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drawings/drawing5.xml" ContentType="application/vnd.openxmlformats-officedocument.drawingml.chartshapes+xml"/>
  <Override PartName="/word/charts/chart6.xml" ContentType="application/vnd.openxmlformats-officedocument.drawingml.chart+xml"/>
  <Override PartName="/word/theme/themeOverride6.xml" ContentType="application/vnd.openxmlformats-officedocument.themeOverride+xml"/>
  <Override PartName="/word/drawings/drawing6.xml" ContentType="application/vnd.openxmlformats-officedocument.drawingml.chartshapes+xml"/>
  <Override PartName="/word/charts/chart7.xml" ContentType="application/vnd.openxmlformats-officedocument.drawingml.chart+xml"/>
  <Override PartName="/word/theme/themeOverride7.xml" ContentType="application/vnd.openxmlformats-officedocument.themeOverride+xml"/>
  <Override PartName="/word/drawings/drawing7.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drawings/drawing8.xml" ContentType="application/vnd.openxmlformats-officedocument.drawingml.chartshapes+xml"/>
  <Override PartName="/word/charts/chart9.xml" ContentType="application/vnd.openxmlformats-officedocument.drawingml.chart+xml"/>
  <Override PartName="/word/theme/themeOverride9.xml" ContentType="application/vnd.openxmlformats-officedocument.themeOverride+xml"/>
  <Override PartName="/word/drawings/drawing9.xml" ContentType="application/vnd.openxmlformats-officedocument.drawingml.chartshapes+xml"/>
  <Override PartName="/word/charts/chart10.xml" ContentType="application/vnd.openxmlformats-officedocument.drawingml.chart+xml"/>
  <Override PartName="/word/theme/themeOverride10.xml" ContentType="application/vnd.openxmlformats-officedocument.themeOverride+xml"/>
  <Override PartName="/word/drawings/drawing10.xml" ContentType="application/vnd.openxmlformats-officedocument.drawingml.chartshapes+xml"/>
  <Override PartName="/word/charts/chart11.xml" ContentType="application/vnd.openxmlformats-officedocument.drawingml.chart+xml"/>
  <Override PartName="/word/theme/themeOverride11.xml" ContentType="application/vnd.openxmlformats-officedocument.themeOverride+xml"/>
  <Override PartName="/word/drawings/drawing11.xml" ContentType="application/vnd.openxmlformats-officedocument.drawingml.chartshapes+xml"/>
  <Override PartName="/word/charts/chart12.xml" ContentType="application/vnd.openxmlformats-officedocument.drawingml.chart+xml"/>
  <Override PartName="/word/theme/themeOverride12.xml" ContentType="application/vnd.openxmlformats-officedocument.themeOverride+xml"/>
  <Override PartName="/word/drawings/drawing12.xml" ContentType="application/vnd.openxmlformats-officedocument.drawingml.chartshapes+xml"/>
  <Override PartName="/word/charts/chart13.xml" ContentType="application/vnd.openxmlformats-officedocument.drawingml.chart+xml"/>
  <Override PartName="/word/theme/themeOverride13.xml" ContentType="application/vnd.openxmlformats-officedocument.themeOverride+xml"/>
  <Override PartName="/word/drawings/drawing13.xml" ContentType="application/vnd.openxmlformats-officedocument.drawingml.chartshapes+xml"/>
  <Override PartName="/word/charts/chart14.xml" ContentType="application/vnd.openxmlformats-officedocument.drawingml.chart+xml"/>
  <Override PartName="/word/theme/themeOverride14.xml" ContentType="application/vnd.openxmlformats-officedocument.themeOverride+xml"/>
  <Override PartName="/word/drawings/drawing14.xml" ContentType="application/vnd.openxmlformats-officedocument.drawingml.chartshapes+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drawings/drawing15.xml" ContentType="application/vnd.openxmlformats-officedocument.drawingml.chartshapes+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charts/chart30.xml" ContentType="application/vnd.openxmlformats-officedocument.drawingml.chart+xml"/>
  <Override PartName="/word/theme/themeOverride30.xml" ContentType="application/vnd.openxmlformats-officedocument.themeOverride+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bidiVisual/>
        <w:tblW w:w="0" w:type="auto"/>
        <w:tblLook w:val="01E0" w:firstRow="1" w:lastRow="1" w:firstColumn="1" w:lastColumn="1" w:noHBand="0" w:noVBand="0"/>
      </w:tblPr>
      <w:tblGrid>
        <w:gridCol w:w="4843"/>
        <w:gridCol w:w="4223"/>
        <w:gridCol w:w="505"/>
      </w:tblGrid>
      <w:tr w:rsidR="002B4408" w:rsidTr="00AA6A6E">
        <w:tc>
          <w:tcPr>
            <w:tcW w:w="4843" w:type="dxa"/>
            <w:tcBorders>
              <w:bottom w:val="single" w:sz="4" w:space="0" w:color="auto"/>
            </w:tcBorders>
          </w:tcPr>
          <w:p w:rsidR="002B4408" w:rsidRPr="009A4222" w:rsidRDefault="002B4408" w:rsidP="00AA6A6E">
            <w:pPr>
              <w:bidi/>
              <w:rPr>
                <w:rFonts w:ascii="Arabic Typesetting" w:hAnsi="Arabic Typesetting" w:cs="Arabic Typesetting"/>
                <w:sz w:val="36"/>
                <w:szCs w:val="36"/>
                <w:lang w:val="fr-CH"/>
              </w:rPr>
            </w:pPr>
          </w:p>
        </w:tc>
        <w:tc>
          <w:tcPr>
            <w:tcW w:w="4223" w:type="dxa"/>
            <w:tcBorders>
              <w:bottom w:val="single" w:sz="4" w:space="0" w:color="auto"/>
            </w:tcBorders>
          </w:tcPr>
          <w:p w:rsidR="002B4408" w:rsidRDefault="002B4408" w:rsidP="00AA6A6E">
            <w:pPr>
              <w:bidi/>
              <w:spacing w:after="20"/>
              <w:rPr>
                <w:rFonts w:ascii="Arabic Typesetting" w:hAnsi="Arabic Typesetting" w:cs="Arabic Typesetting"/>
                <w:sz w:val="36"/>
                <w:szCs w:val="36"/>
                <w:rtl/>
              </w:rPr>
            </w:pPr>
            <w:r>
              <w:rPr>
                <w:noProof/>
              </w:rPr>
              <w:drawing>
                <wp:inline distT="0" distB="0" distL="0" distR="0" wp14:anchorId="1DD47154" wp14:editId="7A0C672C">
                  <wp:extent cx="1327150" cy="1263650"/>
                  <wp:effectExtent l="0" t="0" r="6350" b="0"/>
                  <wp:docPr id="8" name="Picture 8" descr="WIPO-A-B&am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PO-A-B&amp;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27150" cy="1263650"/>
                          </a:xfrm>
                          <a:prstGeom prst="rect">
                            <a:avLst/>
                          </a:prstGeom>
                          <a:noFill/>
                          <a:ln>
                            <a:noFill/>
                          </a:ln>
                        </pic:spPr>
                      </pic:pic>
                    </a:graphicData>
                  </a:graphic>
                </wp:inline>
              </w:drawing>
            </w:r>
          </w:p>
        </w:tc>
        <w:tc>
          <w:tcPr>
            <w:tcW w:w="505" w:type="dxa"/>
            <w:tcBorders>
              <w:bottom w:val="single" w:sz="4" w:space="0" w:color="auto"/>
            </w:tcBorders>
          </w:tcPr>
          <w:p w:rsidR="002B4408" w:rsidRPr="001667B6" w:rsidRDefault="002B4408" w:rsidP="00AA6A6E">
            <w:pPr>
              <w:rPr>
                <w:b/>
                <w:bCs/>
                <w:sz w:val="40"/>
                <w:szCs w:val="40"/>
              </w:rPr>
            </w:pPr>
            <w:r>
              <w:rPr>
                <w:b/>
                <w:bCs/>
                <w:sz w:val="40"/>
                <w:szCs w:val="40"/>
              </w:rPr>
              <w:t>A</w:t>
            </w:r>
          </w:p>
        </w:tc>
      </w:tr>
      <w:tr w:rsidR="002B4408" w:rsidTr="00AA6A6E">
        <w:trPr>
          <w:trHeight w:val="333"/>
        </w:trPr>
        <w:tc>
          <w:tcPr>
            <w:tcW w:w="9571" w:type="dxa"/>
            <w:gridSpan w:val="3"/>
            <w:tcBorders>
              <w:top w:val="single" w:sz="4" w:space="0" w:color="auto"/>
            </w:tcBorders>
            <w:vAlign w:val="bottom"/>
          </w:tcPr>
          <w:p w:rsidR="002B4408" w:rsidRPr="00B6101C" w:rsidRDefault="002B4408" w:rsidP="00AA6A6E">
            <w:pPr>
              <w:pStyle w:val="DocumentCodeAR"/>
              <w:bidi/>
              <w:rPr>
                <w:rtl/>
              </w:rPr>
            </w:pPr>
            <w:r>
              <w:t>A/56/5</w:t>
            </w:r>
          </w:p>
        </w:tc>
      </w:tr>
      <w:tr w:rsidR="002B4408" w:rsidTr="00AA6A6E">
        <w:tc>
          <w:tcPr>
            <w:tcW w:w="9571" w:type="dxa"/>
            <w:gridSpan w:val="3"/>
          </w:tcPr>
          <w:p w:rsidR="002B4408" w:rsidRPr="00B6101C" w:rsidRDefault="002B4408" w:rsidP="00AA6A6E">
            <w:pPr>
              <w:pStyle w:val="DocumentLanguageAR"/>
              <w:bidi/>
              <w:rPr>
                <w:rtl/>
              </w:rPr>
            </w:pPr>
            <w:r w:rsidRPr="00B6101C">
              <w:rPr>
                <w:rFonts w:hint="cs"/>
                <w:rtl/>
              </w:rPr>
              <w:t xml:space="preserve">الأصل: </w:t>
            </w:r>
            <w:r>
              <w:rPr>
                <w:rFonts w:hint="cs"/>
                <w:rtl/>
              </w:rPr>
              <w:t>بالإنكليزية</w:t>
            </w:r>
          </w:p>
        </w:tc>
      </w:tr>
      <w:tr w:rsidR="002B4408" w:rsidTr="00AA6A6E">
        <w:tc>
          <w:tcPr>
            <w:tcW w:w="9571" w:type="dxa"/>
            <w:gridSpan w:val="3"/>
          </w:tcPr>
          <w:p w:rsidR="002B4408" w:rsidRPr="00B6101C" w:rsidRDefault="002B4408" w:rsidP="00AA6A6E">
            <w:pPr>
              <w:pStyle w:val="DocumentDateAR"/>
              <w:bidi/>
              <w:rPr>
                <w:rtl/>
              </w:rPr>
            </w:pPr>
            <w:r w:rsidRPr="00B6101C">
              <w:rPr>
                <w:rFonts w:hint="cs"/>
                <w:rtl/>
              </w:rPr>
              <w:t xml:space="preserve">التاريخ: </w:t>
            </w:r>
            <w:r>
              <w:rPr>
                <w:rFonts w:hint="cs"/>
                <w:rtl/>
              </w:rPr>
              <w:t>2</w:t>
            </w:r>
            <w:r w:rsidRPr="00B6101C">
              <w:rPr>
                <w:rFonts w:hint="cs"/>
                <w:rtl/>
              </w:rPr>
              <w:t xml:space="preserve"> </w:t>
            </w:r>
            <w:r>
              <w:rPr>
                <w:rFonts w:hint="cs"/>
                <w:rtl/>
              </w:rPr>
              <w:t>أغسطس</w:t>
            </w:r>
            <w:r w:rsidRPr="00B6101C">
              <w:rPr>
                <w:rFonts w:hint="cs"/>
                <w:rtl/>
              </w:rPr>
              <w:t xml:space="preserve"> </w:t>
            </w:r>
            <w:r>
              <w:rPr>
                <w:rFonts w:hint="cs"/>
                <w:rtl/>
              </w:rPr>
              <w:t>2016</w:t>
            </w:r>
          </w:p>
        </w:tc>
      </w:tr>
    </w:tbl>
    <w:p w:rsidR="002B4408" w:rsidRDefault="002B4408" w:rsidP="002B4408">
      <w:pPr>
        <w:bidi/>
        <w:spacing w:line="360" w:lineRule="exact"/>
        <w:rPr>
          <w:rFonts w:ascii="Arabic Typesetting" w:hAnsi="Arabic Typesetting" w:cs="Arabic Typesetting"/>
          <w:sz w:val="36"/>
          <w:szCs w:val="36"/>
          <w:rtl/>
        </w:rPr>
      </w:pPr>
    </w:p>
    <w:p w:rsidR="002B4408" w:rsidRDefault="002B4408" w:rsidP="002B4408">
      <w:pPr>
        <w:bidi/>
        <w:spacing w:line="360" w:lineRule="exact"/>
        <w:rPr>
          <w:rFonts w:ascii="Arabic Typesetting" w:hAnsi="Arabic Typesetting" w:cs="Arabic Typesetting"/>
          <w:sz w:val="36"/>
          <w:szCs w:val="36"/>
          <w:rtl/>
        </w:rPr>
      </w:pPr>
    </w:p>
    <w:p w:rsidR="002B4408" w:rsidRDefault="002B4408" w:rsidP="002B4408">
      <w:pPr>
        <w:pStyle w:val="MeetingTitleAR"/>
        <w:bidi/>
        <w:rPr>
          <w:rtl/>
        </w:rPr>
      </w:pPr>
      <w:r>
        <w:rPr>
          <w:rFonts w:hint="cs"/>
          <w:rtl/>
        </w:rPr>
        <w:t xml:space="preserve">جمعيات </w:t>
      </w:r>
      <w:r w:rsidRPr="000438A8">
        <w:rPr>
          <w:rFonts w:hint="cs"/>
          <w:rtl/>
        </w:rPr>
        <w:t>الدول</w:t>
      </w:r>
      <w:r>
        <w:rPr>
          <w:rFonts w:hint="cs"/>
          <w:rtl/>
        </w:rPr>
        <w:t xml:space="preserve"> الأعضاء في الويبو</w:t>
      </w:r>
    </w:p>
    <w:p w:rsidR="002B4408" w:rsidRDefault="002B4408" w:rsidP="002B4408">
      <w:pPr>
        <w:bidi/>
        <w:spacing w:line="360" w:lineRule="exact"/>
        <w:rPr>
          <w:rFonts w:ascii="Arabic Typesetting" w:hAnsi="Arabic Typesetting" w:cs="Arabic Typesetting"/>
          <w:sz w:val="36"/>
          <w:szCs w:val="36"/>
          <w:rtl/>
        </w:rPr>
      </w:pPr>
    </w:p>
    <w:p w:rsidR="002B4408" w:rsidRPr="00D61541" w:rsidRDefault="002B4408" w:rsidP="002B4408">
      <w:pPr>
        <w:pStyle w:val="MeetingSessionAR"/>
        <w:bidi/>
        <w:rPr>
          <w:rtl/>
        </w:rPr>
      </w:pPr>
      <w:r w:rsidRPr="00D61541">
        <w:rPr>
          <w:rFonts w:hint="cs"/>
          <w:rtl/>
        </w:rPr>
        <w:t xml:space="preserve">سلسلة الاجتماعات </w:t>
      </w:r>
      <w:r>
        <w:rPr>
          <w:rFonts w:hint="cs"/>
          <w:rtl/>
        </w:rPr>
        <w:t>السادسة والخمسون</w:t>
      </w:r>
    </w:p>
    <w:p w:rsidR="002B4408" w:rsidRPr="00D61541" w:rsidRDefault="002B4408" w:rsidP="002B4408">
      <w:pPr>
        <w:pStyle w:val="MeetingDatesAR"/>
        <w:bidi/>
        <w:rPr>
          <w:rtl/>
        </w:rPr>
      </w:pPr>
      <w:r w:rsidRPr="00D61541">
        <w:rPr>
          <w:rFonts w:hint="cs"/>
          <w:rtl/>
        </w:rPr>
        <w:t xml:space="preserve">جنيف، </w:t>
      </w:r>
      <w:r>
        <w:rPr>
          <w:rFonts w:hint="cs"/>
          <w:rtl/>
        </w:rPr>
        <w:t>من 3 إلى 11 أكتوبر 2016</w:t>
      </w:r>
    </w:p>
    <w:p w:rsidR="002B4408" w:rsidRDefault="002B4408" w:rsidP="002B4408">
      <w:pPr>
        <w:bidi/>
        <w:spacing w:line="360" w:lineRule="exact"/>
        <w:rPr>
          <w:rFonts w:ascii="Arabic Typesetting" w:hAnsi="Arabic Typesetting" w:cs="Arabic Typesetting"/>
          <w:sz w:val="36"/>
          <w:szCs w:val="36"/>
          <w:rtl/>
        </w:rPr>
      </w:pPr>
    </w:p>
    <w:p w:rsidR="002B4408" w:rsidRDefault="002B4408" w:rsidP="002B4408">
      <w:pPr>
        <w:bidi/>
        <w:spacing w:line="360" w:lineRule="exact"/>
        <w:rPr>
          <w:rFonts w:ascii="Arabic Typesetting" w:hAnsi="Arabic Typesetting" w:cs="Arabic Typesetting"/>
          <w:sz w:val="36"/>
          <w:szCs w:val="36"/>
          <w:rtl/>
        </w:rPr>
      </w:pPr>
    </w:p>
    <w:p w:rsidR="002B4408" w:rsidRPr="00D61541" w:rsidRDefault="002B4408" w:rsidP="002B4408">
      <w:pPr>
        <w:pStyle w:val="DocumentTitleAR"/>
        <w:bidi/>
        <w:rPr>
          <w:rtl/>
        </w:rPr>
      </w:pPr>
      <w:r>
        <w:rPr>
          <w:rFonts w:hint="cs"/>
          <w:rtl/>
        </w:rPr>
        <w:t>تقرير أداء البرنامج 2014/15</w:t>
      </w:r>
    </w:p>
    <w:p w:rsidR="002B4408" w:rsidRPr="00D61541" w:rsidRDefault="002B4408" w:rsidP="002B4408">
      <w:pPr>
        <w:pStyle w:val="PreparedbyAR"/>
        <w:bidi/>
        <w:rPr>
          <w:rtl/>
        </w:rPr>
      </w:pPr>
      <w:r>
        <w:rPr>
          <w:rFonts w:hint="cs"/>
          <w:rtl/>
        </w:rPr>
        <w:t>يقد</w:t>
      </w:r>
      <w:r w:rsidR="004D7D62">
        <w:rPr>
          <w:rFonts w:hint="cs"/>
          <w:rtl/>
        </w:rPr>
        <w:t>ّ</w:t>
      </w:r>
      <w:r>
        <w:rPr>
          <w:rFonts w:hint="cs"/>
          <w:rtl/>
        </w:rPr>
        <w:t>مه المدير العام</w:t>
      </w:r>
    </w:p>
    <w:p w:rsidR="002B4408" w:rsidRPr="003F5AE6" w:rsidRDefault="002B4408" w:rsidP="002B4408">
      <w:pPr>
        <w:pStyle w:val="NumberedParaAR"/>
        <w:numPr>
          <w:ilvl w:val="0"/>
          <w:numId w:val="72"/>
        </w:numPr>
      </w:pPr>
      <w:r w:rsidRPr="003F5AE6">
        <w:rPr>
          <w:rFonts w:hint="cs"/>
          <w:rtl/>
        </w:rPr>
        <w:t xml:space="preserve">تحتوي هذه الوثيقة على "تقرير </w:t>
      </w:r>
      <w:r>
        <w:rPr>
          <w:rFonts w:hint="cs"/>
          <w:rtl/>
        </w:rPr>
        <w:t>أداء البرنامج</w:t>
      </w:r>
      <w:r w:rsidRPr="003F5AE6">
        <w:rPr>
          <w:rFonts w:hint="cs"/>
          <w:rtl/>
        </w:rPr>
        <w:t xml:space="preserve"> </w:t>
      </w:r>
      <w:r>
        <w:rPr>
          <w:rFonts w:hint="cs"/>
          <w:rtl/>
        </w:rPr>
        <w:t>2014</w:t>
      </w:r>
      <w:r w:rsidRPr="003F5AE6">
        <w:rPr>
          <w:rFonts w:hint="cs"/>
          <w:rtl/>
        </w:rPr>
        <w:t>/</w:t>
      </w:r>
      <w:r>
        <w:rPr>
          <w:rFonts w:hint="cs"/>
          <w:rtl/>
        </w:rPr>
        <w:t>15</w:t>
      </w:r>
      <w:r w:rsidRPr="003F5AE6">
        <w:rPr>
          <w:rFonts w:hint="cs"/>
          <w:rtl/>
        </w:rPr>
        <w:t>" (الوثيقة</w:t>
      </w:r>
      <w:r w:rsidRPr="003F5AE6">
        <w:rPr>
          <w:rFonts w:hint="eastAsia"/>
          <w:rtl/>
        </w:rPr>
        <w:t> </w:t>
      </w:r>
      <w:r w:rsidRPr="003F5AE6">
        <w:t>WO/PBC/</w:t>
      </w:r>
      <w:r>
        <w:t>25</w:t>
      </w:r>
      <w:r w:rsidRPr="003F5AE6">
        <w:t>/</w:t>
      </w:r>
      <w:r>
        <w:t>7</w:t>
      </w:r>
      <w:r w:rsidRPr="003F5AE6">
        <w:rPr>
          <w:rFonts w:hint="cs"/>
          <w:rtl/>
        </w:rPr>
        <w:t>)</w:t>
      </w:r>
      <w:r>
        <w:rPr>
          <w:rFonts w:hint="cs"/>
          <w:rtl/>
        </w:rPr>
        <w:t xml:space="preserve"> الذي طُرح</w:t>
      </w:r>
      <w:r w:rsidRPr="003F5AE6">
        <w:rPr>
          <w:rFonts w:hint="cs"/>
          <w:rtl/>
        </w:rPr>
        <w:t xml:space="preserve"> على لجنة الويبو للبر</w:t>
      </w:r>
      <w:r>
        <w:rPr>
          <w:rFonts w:hint="cs"/>
          <w:rtl/>
        </w:rPr>
        <w:t>ن</w:t>
      </w:r>
      <w:r w:rsidRPr="003F5AE6">
        <w:rPr>
          <w:rFonts w:hint="cs"/>
          <w:rtl/>
        </w:rPr>
        <w:t xml:space="preserve">امج والميزانية (اللجنة) في دورتها </w:t>
      </w:r>
      <w:r>
        <w:rPr>
          <w:rFonts w:hint="cs"/>
          <w:rtl/>
        </w:rPr>
        <w:t>الخامسة</w:t>
      </w:r>
      <w:r w:rsidRPr="003F5AE6">
        <w:rPr>
          <w:rFonts w:hint="cs"/>
          <w:rtl/>
        </w:rPr>
        <w:t xml:space="preserve"> والعشرين (</w:t>
      </w:r>
      <w:r>
        <w:rPr>
          <w:rFonts w:hint="cs"/>
          <w:rtl/>
        </w:rPr>
        <w:t>29 أغسطس</w:t>
      </w:r>
      <w:r w:rsidRPr="003F5AE6">
        <w:rPr>
          <w:rFonts w:hint="cs"/>
          <w:rtl/>
        </w:rPr>
        <w:t xml:space="preserve"> إلى </w:t>
      </w:r>
      <w:r>
        <w:rPr>
          <w:rFonts w:hint="cs"/>
          <w:rtl/>
        </w:rPr>
        <w:t>2</w:t>
      </w:r>
      <w:r w:rsidRPr="003F5AE6">
        <w:rPr>
          <w:rFonts w:hint="cs"/>
          <w:rtl/>
        </w:rPr>
        <w:t xml:space="preserve"> سبتمبر </w:t>
      </w:r>
      <w:r>
        <w:rPr>
          <w:rFonts w:hint="cs"/>
          <w:rtl/>
        </w:rPr>
        <w:t>2016</w:t>
      </w:r>
      <w:r w:rsidRPr="003F5AE6">
        <w:rPr>
          <w:rFonts w:hint="cs"/>
          <w:rtl/>
        </w:rPr>
        <w:t>).</w:t>
      </w:r>
    </w:p>
    <w:p w:rsidR="002B4408" w:rsidRPr="003F5AE6" w:rsidRDefault="002B4408" w:rsidP="002B4408">
      <w:pPr>
        <w:pStyle w:val="NumberedParaAR"/>
        <w:numPr>
          <w:ilvl w:val="0"/>
          <w:numId w:val="72"/>
        </w:numPr>
      </w:pPr>
      <w:r w:rsidRPr="003F5AE6">
        <w:rPr>
          <w:rFonts w:hint="cs"/>
          <w:rtl/>
        </w:rPr>
        <w:t>وترد أية قرارات للجنة بشأن تلك الوثيقة في قائمة القرارات التي اتخذتها لجنة البرنامج والميزانية (الوثيقة</w:t>
      </w:r>
      <w:r w:rsidRPr="003F5AE6">
        <w:rPr>
          <w:rFonts w:hint="eastAsia"/>
          <w:rtl/>
        </w:rPr>
        <w:t> </w:t>
      </w:r>
      <w:r w:rsidRPr="003F5AE6">
        <w:t>A/</w:t>
      </w:r>
      <w:r>
        <w:t>56</w:t>
      </w:r>
      <w:r w:rsidRPr="003F5AE6">
        <w:t>/</w:t>
      </w:r>
      <w:r>
        <w:t>12</w:t>
      </w:r>
      <w:r w:rsidRPr="003F5AE6">
        <w:rPr>
          <w:rFonts w:hint="cs"/>
          <w:rtl/>
        </w:rPr>
        <w:t>).</w:t>
      </w:r>
    </w:p>
    <w:p w:rsidR="002B4408" w:rsidRDefault="002B4408" w:rsidP="002B4408">
      <w:pPr>
        <w:pStyle w:val="EndofDocumentAR"/>
        <w:spacing w:before="720"/>
        <w:rPr>
          <w:rtl/>
        </w:rPr>
      </w:pPr>
      <w:r w:rsidRPr="003F5AE6">
        <w:rPr>
          <w:rFonts w:hint="cs"/>
          <w:rtl/>
        </w:rPr>
        <w:t xml:space="preserve">[تلي ذلك الوثيقة </w:t>
      </w:r>
      <w:r w:rsidRPr="003F5AE6">
        <w:t>WO/PBC/</w:t>
      </w:r>
      <w:r>
        <w:t>25</w:t>
      </w:r>
      <w:r w:rsidRPr="003F5AE6">
        <w:t>/</w:t>
      </w:r>
      <w:r>
        <w:t>7</w:t>
      </w:r>
      <w:r w:rsidRPr="003F5AE6">
        <w:rPr>
          <w:rFonts w:hint="cs"/>
          <w:rtl/>
        </w:rPr>
        <w:t>]</w:t>
      </w:r>
    </w:p>
    <w:p w:rsidR="002B4408" w:rsidRDefault="002B4408" w:rsidP="002B4408">
      <w:pPr>
        <w:pStyle w:val="NormalParaAR"/>
        <w:rPr>
          <w:rtl/>
        </w:rPr>
      </w:pPr>
    </w:p>
    <w:p w:rsidR="002B4408" w:rsidRDefault="002B4408" w:rsidP="002B4408">
      <w:pPr>
        <w:bidi/>
        <w:rPr>
          <w:rtl/>
        </w:rPr>
        <w:sectPr w:rsidR="002B4408" w:rsidSect="00B31868">
          <w:headerReference w:type="even" r:id="rId10"/>
          <w:headerReference w:type="default" r:id="rId11"/>
          <w:footerReference w:type="default" r:id="rId12"/>
          <w:pgSz w:w="11907" w:h="16840" w:code="9"/>
          <w:pgMar w:top="567" w:right="1418" w:bottom="1418" w:left="1134" w:header="510" w:footer="1021" w:gutter="0"/>
          <w:pgNumType w:start="1"/>
          <w:cols w:space="720"/>
          <w:titlePg/>
          <w:docGrid w:linePitch="299"/>
        </w:sectPr>
      </w:pPr>
    </w:p>
    <w:tbl>
      <w:tblPr>
        <w:bidiVisual/>
        <w:tblW w:w="0" w:type="auto"/>
        <w:tblLook w:val="01E0" w:firstRow="1" w:lastRow="1" w:firstColumn="1" w:lastColumn="1" w:noHBand="0" w:noVBand="0"/>
      </w:tblPr>
      <w:tblGrid>
        <w:gridCol w:w="4843"/>
        <w:gridCol w:w="4223"/>
        <w:gridCol w:w="505"/>
      </w:tblGrid>
      <w:tr w:rsidR="00FD7897" w:rsidRPr="001667B6" w:rsidTr="005B4F67">
        <w:tc>
          <w:tcPr>
            <w:tcW w:w="4843" w:type="dxa"/>
            <w:tcBorders>
              <w:bottom w:val="single" w:sz="4" w:space="0" w:color="auto"/>
            </w:tcBorders>
          </w:tcPr>
          <w:p w:rsidR="00FD7897" w:rsidRDefault="00FD7897" w:rsidP="005B4F67">
            <w:pPr>
              <w:bidi/>
              <w:rPr>
                <w:rFonts w:ascii="Arabic Typesetting" w:hAnsi="Arabic Typesetting" w:cs="Arabic Typesetting"/>
                <w:sz w:val="36"/>
                <w:szCs w:val="36"/>
                <w:rtl/>
              </w:rPr>
            </w:pPr>
          </w:p>
        </w:tc>
        <w:tc>
          <w:tcPr>
            <w:tcW w:w="4223" w:type="dxa"/>
            <w:tcBorders>
              <w:bottom w:val="single" w:sz="4" w:space="0" w:color="auto"/>
            </w:tcBorders>
          </w:tcPr>
          <w:p w:rsidR="00FD7897" w:rsidRDefault="00FD7897" w:rsidP="005B4F67">
            <w:pPr>
              <w:bidi/>
              <w:spacing w:after="20"/>
              <w:rPr>
                <w:rFonts w:ascii="Arabic Typesetting" w:hAnsi="Arabic Typesetting" w:cs="Arabic Typesetting"/>
                <w:sz w:val="36"/>
                <w:szCs w:val="36"/>
                <w:rtl/>
              </w:rPr>
            </w:pPr>
            <w:r>
              <w:rPr>
                <w:noProof/>
              </w:rPr>
              <w:drawing>
                <wp:inline distT="0" distB="0" distL="0" distR="0" wp14:anchorId="54F978D2" wp14:editId="019D05DB">
                  <wp:extent cx="1327150" cy="1263650"/>
                  <wp:effectExtent l="0" t="0" r="6350" b="0"/>
                  <wp:docPr id="6" name="Picture 6" descr="WIPO-A-B&am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PO-A-B&amp;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27150" cy="1263650"/>
                          </a:xfrm>
                          <a:prstGeom prst="rect">
                            <a:avLst/>
                          </a:prstGeom>
                          <a:noFill/>
                          <a:ln>
                            <a:noFill/>
                          </a:ln>
                        </pic:spPr>
                      </pic:pic>
                    </a:graphicData>
                  </a:graphic>
                </wp:inline>
              </w:drawing>
            </w:r>
          </w:p>
        </w:tc>
        <w:tc>
          <w:tcPr>
            <w:tcW w:w="505" w:type="dxa"/>
            <w:tcBorders>
              <w:bottom w:val="single" w:sz="4" w:space="0" w:color="auto"/>
            </w:tcBorders>
          </w:tcPr>
          <w:p w:rsidR="00FD7897" w:rsidRPr="001667B6" w:rsidRDefault="00FD7897" w:rsidP="005B4F67">
            <w:pPr>
              <w:rPr>
                <w:b/>
                <w:bCs/>
                <w:sz w:val="40"/>
                <w:szCs w:val="40"/>
              </w:rPr>
            </w:pPr>
            <w:r>
              <w:rPr>
                <w:b/>
                <w:bCs/>
                <w:sz w:val="40"/>
                <w:szCs w:val="40"/>
              </w:rPr>
              <w:t>A</w:t>
            </w:r>
          </w:p>
        </w:tc>
      </w:tr>
      <w:tr w:rsidR="00FD7897" w:rsidRPr="00B6101C" w:rsidTr="005B4F67">
        <w:trPr>
          <w:trHeight w:val="333"/>
        </w:trPr>
        <w:tc>
          <w:tcPr>
            <w:tcW w:w="9571" w:type="dxa"/>
            <w:gridSpan w:val="3"/>
            <w:tcBorders>
              <w:top w:val="single" w:sz="4" w:space="0" w:color="auto"/>
            </w:tcBorders>
            <w:vAlign w:val="bottom"/>
          </w:tcPr>
          <w:p w:rsidR="00FD7897" w:rsidRPr="00B6101C" w:rsidRDefault="00FD7897" w:rsidP="00FD7897">
            <w:pPr>
              <w:pStyle w:val="DocumentCodeAR"/>
              <w:bidi/>
              <w:rPr>
                <w:rtl/>
              </w:rPr>
            </w:pPr>
            <w:r>
              <w:t>WO/PBC/25</w:t>
            </w:r>
            <w:r w:rsidRPr="00B6101C">
              <w:t>/</w:t>
            </w:r>
            <w:r>
              <w:t>7</w:t>
            </w:r>
          </w:p>
        </w:tc>
      </w:tr>
      <w:tr w:rsidR="00FD7897" w:rsidRPr="00B6101C" w:rsidTr="005B4F67">
        <w:tc>
          <w:tcPr>
            <w:tcW w:w="9571" w:type="dxa"/>
            <w:gridSpan w:val="3"/>
          </w:tcPr>
          <w:p w:rsidR="00FD7897" w:rsidRPr="00B6101C" w:rsidRDefault="00FD7897" w:rsidP="005B4F67">
            <w:pPr>
              <w:pStyle w:val="DocumentLanguageAR"/>
              <w:bidi/>
              <w:rPr>
                <w:rtl/>
              </w:rPr>
            </w:pPr>
            <w:r w:rsidRPr="00B6101C">
              <w:rPr>
                <w:rFonts w:hint="cs"/>
                <w:rtl/>
              </w:rPr>
              <w:t xml:space="preserve">الأصل: </w:t>
            </w:r>
            <w:r>
              <w:rPr>
                <w:rFonts w:hint="cs"/>
                <w:rtl/>
              </w:rPr>
              <w:t>بالإنكليزية</w:t>
            </w:r>
          </w:p>
        </w:tc>
      </w:tr>
      <w:tr w:rsidR="00FD7897" w:rsidRPr="00B6101C" w:rsidTr="005B4F67">
        <w:tc>
          <w:tcPr>
            <w:tcW w:w="9571" w:type="dxa"/>
            <w:gridSpan w:val="3"/>
          </w:tcPr>
          <w:p w:rsidR="00FD7897" w:rsidRPr="00B6101C" w:rsidRDefault="00FD7897" w:rsidP="000A10C7">
            <w:pPr>
              <w:pStyle w:val="DocumentDateAR"/>
              <w:bidi/>
              <w:rPr>
                <w:rtl/>
              </w:rPr>
            </w:pPr>
            <w:r w:rsidRPr="00BE7CD1">
              <w:rPr>
                <w:rFonts w:hint="eastAsia"/>
                <w:rtl/>
              </w:rPr>
              <w:t>التاريخ</w:t>
            </w:r>
            <w:r w:rsidRPr="00BE7CD1">
              <w:rPr>
                <w:rtl/>
              </w:rPr>
              <w:t xml:space="preserve">: </w:t>
            </w:r>
            <w:r w:rsidR="000A10C7">
              <w:rPr>
                <w:rFonts w:hint="cs"/>
                <w:rtl/>
              </w:rPr>
              <w:t>27</w:t>
            </w:r>
            <w:r w:rsidR="000A10C7" w:rsidRPr="00BE7CD1">
              <w:rPr>
                <w:rtl/>
              </w:rPr>
              <w:t xml:space="preserve"> </w:t>
            </w:r>
            <w:r w:rsidR="000A10C7">
              <w:rPr>
                <w:rFonts w:hint="cs"/>
                <w:rtl/>
              </w:rPr>
              <w:t>يونيو</w:t>
            </w:r>
            <w:r w:rsidR="000A10C7" w:rsidRPr="00BE7CD1">
              <w:rPr>
                <w:rtl/>
              </w:rPr>
              <w:t xml:space="preserve"> </w:t>
            </w:r>
            <w:r w:rsidRPr="00BE7CD1">
              <w:rPr>
                <w:rtl/>
              </w:rPr>
              <w:t>2016</w:t>
            </w:r>
          </w:p>
        </w:tc>
      </w:tr>
    </w:tbl>
    <w:p w:rsidR="00A9449A" w:rsidRPr="001A28BF" w:rsidRDefault="00A9449A" w:rsidP="00A9449A">
      <w:pPr>
        <w:bidi/>
        <w:spacing w:line="360" w:lineRule="exact"/>
        <w:rPr>
          <w:rFonts w:ascii="Arabic Typesetting" w:hAnsi="Arabic Typesetting" w:cs="Arabic Typesetting"/>
          <w:sz w:val="36"/>
          <w:szCs w:val="36"/>
          <w:rtl/>
        </w:rPr>
      </w:pPr>
    </w:p>
    <w:p w:rsidR="00A9449A" w:rsidRPr="001A28BF" w:rsidRDefault="00A9449A" w:rsidP="00A9449A">
      <w:pPr>
        <w:bidi/>
        <w:spacing w:line="360" w:lineRule="exact"/>
        <w:rPr>
          <w:rFonts w:ascii="Arabic Typesetting" w:hAnsi="Arabic Typesetting" w:cs="Arabic Typesetting"/>
          <w:sz w:val="36"/>
          <w:szCs w:val="36"/>
          <w:rtl/>
        </w:rPr>
      </w:pPr>
    </w:p>
    <w:p w:rsidR="00A9449A" w:rsidRPr="001A28BF" w:rsidRDefault="00A9449A" w:rsidP="00A9449A">
      <w:pPr>
        <w:bidi/>
        <w:spacing w:line="360" w:lineRule="exact"/>
        <w:rPr>
          <w:rFonts w:ascii="Arabic Typesetting" w:hAnsi="Arabic Typesetting" w:cs="Arabic Typesetting"/>
          <w:sz w:val="36"/>
          <w:szCs w:val="36"/>
          <w:rtl/>
        </w:rPr>
      </w:pPr>
    </w:p>
    <w:p w:rsidR="00A9449A" w:rsidRPr="001A28BF" w:rsidRDefault="00A9449A" w:rsidP="00A9449A">
      <w:pPr>
        <w:bidi/>
        <w:spacing w:line="360" w:lineRule="exact"/>
        <w:ind w:right="550"/>
        <w:rPr>
          <w:rFonts w:ascii="Arial Black" w:hAnsi="Arial Black" w:cs="PT Bold Heading"/>
          <w:sz w:val="34"/>
          <w:szCs w:val="34"/>
          <w:rtl/>
          <w:lang w:val="fr-CH"/>
        </w:rPr>
      </w:pPr>
      <w:r w:rsidRPr="001A28BF">
        <w:rPr>
          <w:rFonts w:ascii="Arial Black" w:hAnsi="Arial Black" w:cs="PT Bold Heading"/>
          <w:sz w:val="34"/>
          <w:szCs w:val="34"/>
          <w:rtl/>
        </w:rPr>
        <w:t xml:space="preserve">لجنة </w:t>
      </w:r>
      <w:r w:rsidRPr="001A28BF">
        <w:rPr>
          <w:rFonts w:ascii="Arial Black" w:hAnsi="Arial Black" w:cs="PT Bold Heading" w:hint="cs"/>
          <w:sz w:val="34"/>
          <w:szCs w:val="34"/>
          <w:rtl/>
          <w:lang w:val="fr-CH"/>
        </w:rPr>
        <w:t>البرنامج والميزانية</w:t>
      </w:r>
    </w:p>
    <w:p w:rsidR="00A9449A" w:rsidRPr="001A28BF" w:rsidRDefault="00A9449A" w:rsidP="00A9449A">
      <w:pPr>
        <w:bidi/>
        <w:spacing w:line="360" w:lineRule="exact"/>
        <w:rPr>
          <w:rFonts w:ascii="Arabic Typesetting" w:hAnsi="Arabic Typesetting" w:cs="Arabic Typesetting"/>
          <w:sz w:val="36"/>
          <w:szCs w:val="36"/>
          <w:rtl/>
        </w:rPr>
      </w:pPr>
    </w:p>
    <w:p w:rsidR="00A9449A" w:rsidRPr="001A28BF" w:rsidRDefault="00A9449A" w:rsidP="001C506C">
      <w:pPr>
        <w:bidi/>
        <w:spacing w:line="360" w:lineRule="exact"/>
        <w:rPr>
          <w:rFonts w:ascii="Cambria Math" w:hAnsi="Cambria Math" w:cs="PT Bold Heading"/>
          <w:sz w:val="30"/>
          <w:szCs w:val="30"/>
          <w:rtl/>
        </w:rPr>
      </w:pPr>
      <w:r w:rsidRPr="001A28BF">
        <w:rPr>
          <w:rFonts w:ascii="Cambria Math" w:hAnsi="Cambria Math" w:cs="PT Bold Heading"/>
          <w:sz w:val="30"/>
          <w:szCs w:val="30"/>
          <w:rtl/>
        </w:rPr>
        <w:t xml:space="preserve">الدورة </w:t>
      </w:r>
      <w:r w:rsidR="001C506C">
        <w:rPr>
          <w:rFonts w:ascii="Cambria Math" w:hAnsi="Cambria Math" w:cs="PT Bold Heading" w:hint="cs"/>
          <w:sz w:val="30"/>
          <w:szCs w:val="30"/>
          <w:rtl/>
        </w:rPr>
        <w:t>الخامسة</w:t>
      </w:r>
      <w:r w:rsidRPr="001A28BF">
        <w:rPr>
          <w:rFonts w:ascii="Cambria Math" w:hAnsi="Cambria Math" w:cs="PT Bold Heading" w:hint="cs"/>
          <w:sz w:val="30"/>
          <w:szCs w:val="30"/>
          <w:rtl/>
        </w:rPr>
        <w:t xml:space="preserve"> والعشرون</w:t>
      </w:r>
    </w:p>
    <w:p w:rsidR="00A9449A" w:rsidRPr="001A28BF" w:rsidRDefault="00A9449A" w:rsidP="001C506C">
      <w:pPr>
        <w:bidi/>
        <w:spacing w:line="360" w:lineRule="exact"/>
        <w:rPr>
          <w:rFonts w:ascii="Arabic Typesetting" w:hAnsi="Arabic Typesetting" w:cs="Arabic Typesetting"/>
          <w:b/>
          <w:bCs/>
          <w:sz w:val="36"/>
          <w:szCs w:val="36"/>
          <w:rtl/>
        </w:rPr>
      </w:pPr>
      <w:r w:rsidRPr="001A28BF">
        <w:rPr>
          <w:rFonts w:ascii="Arabic Typesetting" w:hAnsi="Arabic Typesetting" w:cs="Arabic Typesetting" w:hint="cs"/>
          <w:b/>
          <w:bCs/>
          <w:sz w:val="36"/>
          <w:szCs w:val="36"/>
          <w:rtl/>
        </w:rPr>
        <w:t xml:space="preserve">جنيف، من </w:t>
      </w:r>
      <w:r w:rsidR="001C506C">
        <w:rPr>
          <w:rFonts w:ascii="Arabic Typesetting" w:hAnsi="Arabic Typesetting" w:cs="Arabic Typesetting" w:hint="cs"/>
          <w:b/>
          <w:bCs/>
          <w:sz w:val="36"/>
          <w:szCs w:val="36"/>
          <w:rtl/>
        </w:rPr>
        <w:t>29 أغسطس إلى 2 سبتمبر 2016</w:t>
      </w:r>
    </w:p>
    <w:p w:rsidR="00A9449A" w:rsidRPr="001A28BF" w:rsidRDefault="00A9449A" w:rsidP="00A9449A">
      <w:pPr>
        <w:bidi/>
        <w:spacing w:line="360" w:lineRule="exact"/>
        <w:rPr>
          <w:rFonts w:ascii="Arabic Typesetting" w:hAnsi="Arabic Typesetting" w:cs="Arabic Typesetting"/>
          <w:sz w:val="36"/>
          <w:szCs w:val="36"/>
          <w:rtl/>
        </w:rPr>
      </w:pPr>
    </w:p>
    <w:p w:rsidR="00A9449A" w:rsidRPr="001A28BF" w:rsidRDefault="00A9449A" w:rsidP="00A9449A">
      <w:pPr>
        <w:bidi/>
        <w:spacing w:line="360" w:lineRule="exact"/>
        <w:rPr>
          <w:rFonts w:ascii="Arabic Typesetting" w:hAnsi="Arabic Typesetting" w:cs="Arabic Typesetting"/>
          <w:sz w:val="36"/>
          <w:szCs w:val="36"/>
          <w:rtl/>
        </w:rPr>
      </w:pPr>
    </w:p>
    <w:p w:rsidR="00A9449A" w:rsidRPr="001A28BF" w:rsidRDefault="000E3B10" w:rsidP="00BE7CD1">
      <w:pPr>
        <w:bidi/>
        <w:spacing w:line="360" w:lineRule="exact"/>
        <w:rPr>
          <w:rFonts w:ascii="Arial Black" w:hAnsi="Arial Black" w:cs="PT Bold Heading"/>
          <w:sz w:val="26"/>
          <w:szCs w:val="26"/>
          <w:rtl/>
        </w:rPr>
      </w:pPr>
      <w:r w:rsidRPr="00BE7CD1">
        <w:rPr>
          <w:rFonts w:ascii="Arial Black" w:hAnsi="Arial Black" w:cs="PT Bold Heading" w:hint="eastAsia"/>
          <w:sz w:val="26"/>
          <w:szCs w:val="26"/>
          <w:rtl/>
        </w:rPr>
        <w:t>تقرير</w:t>
      </w:r>
      <w:r w:rsidRPr="00BE7CD1">
        <w:rPr>
          <w:rFonts w:ascii="Arial Black" w:hAnsi="Arial Black" w:cs="PT Bold Heading"/>
          <w:sz w:val="26"/>
          <w:szCs w:val="26"/>
          <w:rtl/>
        </w:rPr>
        <w:t xml:space="preserve"> </w:t>
      </w:r>
      <w:r w:rsidRPr="00BE7CD1">
        <w:rPr>
          <w:rFonts w:ascii="Arial Black" w:hAnsi="Arial Black" w:cs="PT Bold Heading" w:hint="eastAsia"/>
          <w:sz w:val="26"/>
          <w:szCs w:val="26"/>
          <w:rtl/>
        </w:rPr>
        <w:t>أداء</w:t>
      </w:r>
      <w:r w:rsidRPr="00BE7CD1">
        <w:rPr>
          <w:rFonts w:ascii="Arial Black" w:hAnsi="Arial Black" w:cs="PT Bold Heading"/>
          <w:sz w:val="26"/>
          <w:szCs w:val="26"/>
          <w:rtl/>
        </w:rPr>
        <w:t xml:space="preserve"> </w:t>
      </w:r>
      <w:r w:rsidRPr="00BE7CD1">
        <w:rPr>
          <w:rFonts w:ascii="Arial Black" w:hAnsi="Arial Black" w:cs="PT Bold Heading" w:hint="eastAsia"/>
          <w:sz w:val="26"/>
          <w:szCs w:val="26"/>
          <w:rtl/>
        </w:rPr>
        <w:t>البرنامج</w:t>
      </w:r>
      <w:r w:rsidRPr="00BE7CD1">
        <w:rPr>
          <w:rFonts w:ascii="Arial Black" w:hAnsi="Arial Black" w:cs="PT Bold Heading"/>
          <w:sz w:val="26"/>
          <w:szCs w:val="26"/>
          <w:rtl/>
        </w:rPr>
        <w:t xml:space="preserve"> </w:t>
      </w:r>
      <w:r w:rsidR="00BE7CD1">
        <w:rPr>
          <w:rFonts w:ascii="Arial Black" w:hAnsi="Arial Black" w:cs="PT Bold Heading" w:hint="cs"/>
          <w:sz w:val="26"/>
          <w:szCs w:val="26"/>
          <w:rtl/>
        </w:rPr>
        <w:t>2014/15</w:t>
      </w:r>
    </w:p>
    <w:p w:rsidR="00A9449A" w:rsidRPr="001A28BF" w:rsidRDefault="000E3B10" w:rsidP="00A9449A">
      <w:pPr>
        <w:bidi/>
        <w:spacing w:before="240" w:after="840" w:line="360" w:lineRule="exact"/>
        <w:rPr>
          <w:rFonts w:ascii="Arabic Typesetting" w:hAnsi="Arabic Typesetting" w:cs="Arabic Typesetting"/>
          <w:i/>
          <w:iCs/>
          <w:sz w:val="36"/>
          <w:szCs w:val="36"/>
          <w:rtl/>
        </w:rPr>
      </w:pPr>
      <w:r>
        <w:rPr>
          <w:rFonts w:ascii="Arabic Typesetting" w:hAnsi="Arabic Typesetting" w:cs="Arabic Typesetting" w:hint="cs"/>
          <w:i/>
          <w:iCs/>
          <w:sz w:val="36"/>
          <w:szCs w:val="36"/>
          <w:rtl/>
        </w:rPr>
        <w:t>يقدّمه المدير العام</w:t>
      </w:r>
    </w:p>
    <w:p w:rsidR="00BE7CD1" w:rsidRPr="00BE7CD1" w:rsidRDefault="00BE7CD1" w:rsidP="002E5703">
      <w:pPr>
        <w:pStyle w:val="NumberedParaAR"/>
        <w:tabs>
          <w:tab w:val="num" w:pos="567"/>
        </w:tabs>
        <w:rPr>
          <w:rtl/>
        </w:rPr>
      </w:pPr>
      <w:r w:rsidRPr="00BE7CD1">
        <w:rPr>
          <w:rtl/>
        </w:rPr>
        <w:t xml:space="preserve">أعدّ تقرير أداء البرنامج 2014/15 وفقا لإطار إدارة الويبو القائم على النتائج. ويستند هذا التقرير إلى معايير الأداء الموضوعة في وثيقة </w:t>
      </w:r>
      <w:r w:rsidRPr="00BE7CD1">
        <w:rPr>
          <w:rtl/>
          <w:lang w:val="fr-CH"/>
        </w:rPr>
        <w:t>البرنامج</w:t>
      </w:r>
      <w:r w:rsidRPr="00BE7CD1">
        <w:rPr>
          <w:rtl/>
        </w:rPr>
        <w:t xml:space="preserve"> والميزانية للثنائية 2014/15 كما أقرتها جمعيات الدول الأعضاء في الويبو في ديسمبر 2013 (المنشور رقم </w:t>
      </w:r>
      <w:r w:rsidR="002E5703">
        <w:t>360E</w:t>
      </w:r>
      <w:r w:rsidRPr="00BE7CD1">
        <w:t>/PB14/15</w:t>
      </w:r>
      <w:r w:rsidRPr="00BE7CD1">
        <w:rPr>
          <w:rtl/>
        </w:rPr>
        <w:t>).</w:t>
      </w:r>
    </w:p>
    <w:p w:rsidR="00BE7CD1" w:rsidRPr="00BE7CD1" w:rsidRDefault="00BE7CD1" w:rsidP="00BE7CD1">
      <w:pPr>
        <w:pStyle w:val="NumberedParaAR"/>
        <w:tabs>
          <w:tab w:val="num" w:pos="567"/>
        </w:tabs>
        <w:rPr>
          <w:rtl/>
        </w:rPr>
      </w:pPr>
      <w:r w:rsidRPr="00BE7CD1">
        <w:rPr>
          <w:rtl/>
        </w:rPr>
        <w:t>وفيما يلي فقرة القرار المقترحة.</w:t>
      </w:r>
    </w:p>
    <w:p w:rsidR="00A9449A" w:rsidRDefault="00BE7CD1" w:rsidP="002E5703">
      <w:pPr>
        <w:pStyle w:val="DecisionParaAR"/>
        <w:rPr>
          <w:rtl/>
        </w:rPr>
      </w:pPr>
      <w:r>
        <w:rPr>
          <w:rtl/>
        </w:rPr>
        <w:t xml:space="preserve">إن لجنة </w:t>
      </w:r>
      <w:r w:rsidRPr="00BE7CD1">
        <w:rPr>
          <w:rtl/>
          <w:lang w:val="fr-CH"/>
        </w:rPr>
        <w:t>البرنامج</w:t>
      </w:r>
      <w:r>
        <w:rPr>
          <w:rtl/>
        </w:rPr>
        <w:t xml:space="preserve"> والميزانية، إذ</w:t>
      </w:r>
      <w:r>
        <w:rPr>
          <w:rFonts w:hint="cs"/>
          <w:rtl/>
        </w:rPr>
        <w:t> </w:t>
      </w:r>
      <w:r>
        <w:rPr>
          <w:rtl/>
        </w:rPr>
        <w:t xml:space="preserve">استعرضت تقرير أداء البرنامج 2014/15 (الوثيقة </w:t>
      </w:r>
      <w:r>
        <w:t>WO/PBC/25/7</w:t>
      </w:r>
      <w:r>
        <w:rPr>
          <w:rtl/>
        </w:rPr>
        <w:t>) وأقرّت بطبيعة التقرير كتقييم ذاتي للأمانة، أوصت بأن تقرّ جمعيات الدول الأعضاء في الويبو بمساهمة البرامج في تحقيق الأهداف المرتقبة في 2014/15.</w:t>
      </w:r>
    </w:p>
    <w:p w:rsidR="006A7CB9" w:rsidRDefault="000E3B10" w:rsidP="00BE7CD1">
      <w:pPr>
        <w:pStyle w:val="EndofDocumentAR"/>
        <w:spacing w:before="720"/>
        <w:rPr>
          <w:rtl/>
        </w:rPr>
      </w:pPr>
      <w:r w:rsidRPr="00BE7CD1">
        <w:rPr>
          <w:rFonts w:hint="cs"/>
          <w:rtl/>
        </w:rPr>
        <w:t xml:space="preserve">[يلي ذلك </w:t>
      </w:r>
      <w:r w:rsidR="00E06F29" w:rsidRPr="00BE7CD1">
        <w:rPr>
          <w:rtl/>
        </w:rPr>
        <w:t xml:space="preserve">تقرير أداء البرنامج </w:t>
      </w:r>
      <w:r w:rsidR="00507DE2" w:rsidRPr="00BE7CD1">
        <w:rPr>
          <w:rtl/>
        </w:rPr>
        <w:t>2014/15</w:t>
      </w:r>
      <w:r w:rsidRPr="00BE7CD1">
        <w:rPr>
          <w:rFonts w:hint="cs"/>
          <w:rtl/>
        </w:rPr>
        <w:t>]</w:t>
      </w:r>
    </w:p>
    <w:p w:rsidR="002E5703" w:rsidRPr="002E5703" w:rsidRDefault="002E5703" w:rsidP="002E5703">
      <w:pPr>
        <w:pStyle w:val="NormalParaAR"/>
        <w:rPr>
          <w:rtl/>
        </w:rPr>
      </w:pPr>
    </w:p>
    <w:p w:rsidR="002E5703" w:rsidRDefault="002E5703" w:rsidP="007F38D1">
      <w:pPr>
        <w:pStyle w:val="NormalParaAR"/>
        <w:rPr>
          <w:rtl/>
        </w:rPr>
        <w:sectPr w:rsidR="002E5703" w:rsidSect="002B4408">
          <w:type w:val="oddPage"/>
          <w:pgSz w:w="11907" w:h="16840" w:code="9"/>
          <w:pgMar w:top="567" w:right="1418" w:bottom="1418" w:left="1134" w:header="510" w:footer="1021" w:gutter="0"/>
          <w:pgNumType w:start="1"/>
          <w:cols w:space="720"/>
          <w:titlePg/>
          <w:docGrid w:linePitch="299"/>
        </w:sectPr>
      </w:pPr>
    </w:p>
    <w:p w:rsidR="000E3B10" w:rsidRDefault="0020240E" w:rsidP="002E5703">
      <w:pPr>
        <w:bidi/>
        <w:spacing w:after="240" w:line="360" w:lineRule="exact"/>
        <w:jc w:val="center"/>
        <w:rPr>
          <w:rFonts w:ascii="Arabic Typesetting" w:hAnsi="Arabic Typesetting" w:cs="Arabic Typesetting"/>
          <w:b/>
          <w:bCs/>
          <w:sz w:val="40"/>
          <w:szCs w:val="40"/>
          <w:lang w:val="fr-CH"/>
        </w:rPr>
      </w:pPr>
      <w:r w:rsidRPr="0020240E">
        <w:rPr>
          <w:rFonts w:ascii="Arabic Typesetting" w:hAnsi="Arabic Typesetting" w:cs="Arabic Typesetting"/>
          <w:b/>
          <w:bCs/>
          <w:sz w:val="40"/>
          <w:szCs w:val="40"/>
          <w:rtl/>
          <w:lang w:val="fr-CH"/>
        </w:rPr>
        <w:lastRenderedPageBreak/>
        <w:t xml:space="preserve">تقرير أداء البرنامج </w:t>
      </w:r>
      <w:r w:rsidR="00507DE2">
        <w:rPr>
          <w:rFonts w:ascii="Arabic Typesetting" w:hAnsi="Arabic Typesetting" w:cs="Arabic Typesetting" w:hint="cs"/>
          <w:b/>
          <w:bCs/>
          <w:sz w:val="40"/>
          <w:szCs w:val="40"/>
          <w:rtl/>
          <w:lang w:val="fr-CH"/>
        </w:rPr>
        <w:t>2014/15</w:t>
      </w:r>
    </w:p>
    <w:p w:rsidR="00365D19" w:rsidRPr="00B203A4" w:rsidRDefault="00365D19" w:rsidP="00B203A4">
      <w:pPr>
        <w:bidi/>
        <w:spacing w:after="240" w:line="360" w:lineRule="exact"/>
        <w:jc w:val="center"/>
        <w:rPr>
          <w:rFonts w:ascii="Arabic Typesetting" w:hAnsi="Arabic Typesetting" w:cs="Arabic Typesetting"/>
          <w:b/>
          <w:bCs/>
          <w:sz w:val="40"/>
          <w:szCs w:val="40"/>
          <w:rtl/>
          <w:lang w:val="fr-CH"/>
        </w:rPr>
      </w:pPr>
      <w:r w:rsidRPr="00B203A4">
        <w:rPr>
          <w:rFonts w:ascii="Arabic Typesetting" w:hAnsi="Arabic Typesetting" w:cs="Arabic Typesetting"/>
          <w:b/>
          <w:bCs/>
          <w:sz w:val="40"/>
          <w:szCs w:val="40"/>
          <w:rtl/>
          <w:lang w:val="fr-CH"/>
        </w:rPr>
        <w:t>المحتويات</w:t>
      </w:r>
    </w:p>
    <w:p w:rsidR="006E665D" w:rsidRDefault="00365D19" w:rsidP="006E665D">
      <w:pPr>
        <w:pStyle w:val="TOC1"/>
        <w:rPr>
          <w:rFonts w:asciiTheme="minorHAnsi" w:eastAsiaTheme="minorEastAsia" w:hAnsiTheme="minorHAnsi" w:cstheme="minorBidi"/>
          <w:b w:val="0"/>
          <w:bCs w:val="0"/>
          <w:sz w:val="22"/>
          <w:szCs w:val="22"/>
        </w:rPr>
      </w:pPr>
      <w:r>
        <w:rPr>
          <w:rFonts w:eastAsia="Times New Roman"/>
          <w:b w:val="0"/>
          <w:bCs w:val="0"/>
          <w:sz w:val="36"/>
          <w:szCs w:val="36"/>
          <w:rtl/>
        </w:rPr>
        <w:fldChar w:fldCharType="begin"/>
      </w:r>
      <w:r>
        <w:rPr>
          <w:rFonts w:eastAsia="Times New Roman"/>
          <w:b w:val="0"/>
          <w:bCs w:val="0"/>
          <w:sz w:val="36"/>
          <w:szCs w:val="36"/>
          <w:rtl/>
        </w:rPr>
        <w:instrText xml:space="preserve"> </w:instrText>
      </w:r>
      <w:r>
        <w:rPr>
          <w:rFonts w:eastAsia="Times New Roman"/>
          <w:b w:val="0"/>
          <w:bCs w:val="0"/>
          <w:sz w:val="36"/>
          <w:szCs w:val="36"/>
        </w:rPr>
        <w:instrText>TOC</w:instrText>
      </w:r>
      <w:r>
        <w:rPr>
          <w:rFonts w:eastAsia="Times New Roman"/>
          <w:b w:val="0"/>
          <w:bCs w:val="0"/>
          <w:sz w:val="36"/>
          <w:szCs w:val="36"/>
          <w:rtl/>
        </w:rPr>
        <w:instrText xml:space="preserve"> \</w:instrText>
      </w:r>
      <w:r>
        <w:rPr>
          <w:rFonts w:eastAsia="Times New Roman"/>
          <w:b w:val="0"/>
          <w:bCs w:val="0"/>
          <w:sz w:val="36"/>
          <w:szCs w:val="36"/>
        </w:rPr>
        <w:instrText>h \z \t "Heading_1_AR,1,Heading_2_AR,2,Heading_3_AR,3,Heading_4_AR,4</w:instrText>
      </w:r>
      <w:r>
        <w:rPr>
          <w:rFonts w:eastAsia="Times New Roman"/>
          <w:b w:val="0"/>
          <w:bCs w:val="0"/>
          <w:sz w:val="36"/>
          <w:szCs w:val="36"/>
          <w:rtl/>
        </w:rPr>
        <w:instrText xml:space="preserve">" </w:instrText>
      </w:r>
      <w:r>
        <w:rPr>
          <w:rFonts w:eastAsia="Times New Roman"/>
          <w:b w:val="0"/>
          <w:bCs w:val="0"/>
          <w:sz w:val="36"/>
          <w:szCs w:val="36"/>
          <w:rtl/>
        </w:rPr>
        <w:fldChar w:fldCharType="separate"/>
      </w:r>
      <w:hyperlink w:anchor="_Toc455393357" w:history="1">
        <w:r w:rsidR="006E665D" w:rsidRPr="004A5973">
          <w:rPr>
            <w:rStyle w:val="Hyperlink"/>
            <w:rFonts w:hint="eastAsia"/>
            <w:rtl/>
          </w:rPr>
          <w:t>أولا</w:t>
        </w:r>
        <w:r w:rsidR="006E665D">
          <w:rPr>
            <w:rFonts w:asciiTheme="minorHAnsi" w:eastAsiaTheme="minorEastAsia" w:hAnsiTheme="minorHAnsi" w:cstheme="minorBidi"/>
            <w:b w:val="0"/>
            <w:bCs w:val="0"/>
            <w:sz w:val="22"/>
            <w:szCs w:val="22"/>
          </w:rPr>
          <w:tab/>
        </w:r>
        <w:r w:rsidR="006E665D" w:rsidRPr="004A5973">
          <w:rPr>
            <w:rStyle w:val="Hyperlink"/>
            <w:rFonts w:hint="eastAsia"/>
            <w:rtl/>
          </w:rPr>
          <w:t>المقدمة</w:t>
        </w:r>
        <w:r w:rsidR="006E665D">
          <w:rPr>
            <w:webHidden/>
          </w:rPr>
          <w:tab/>
        </w:r>
        <w:r w:rsidR="006E665D">
          <w:rPr>
            <w:webHidden/>
          </w:rPr>
          <w:fldChar w:fldCharType="begin"/>
        </w:r>
        <w:r w:rsidR="006E665D">
          <w:rPr>
            <w:webHidden/>
          </w:rPr>
          <w:instrText xml:space="preserve"> PAGEREF _Toc455393357 \h </w:instrText>
        </w:r>
        <w:r w:rsidR="006E665D">
          <w:rPr>
            <w:webHidden/>
          </w:rPr>
        </w:r>
        <w:r w:rsidR="006E665D">
          <w:rPr>
            <w:webHidden/>
          </w:rPr>
          <w:fldChar w:fldCharType="separate"/>
        </w:r>
        <w:r w:rsidR="002F66B9">
          <w:rPr>
            <w:webHidden/>
            <w:rtl/>
          </w:rPr>
          <w:t>3</w:t>
        </w:r>
        <w:r w:rsidR="006E665D">
          <w:rPr>
            <w:webHidden/>
          </w:rPr>
          <w:fldChar w:fldCharType="end"/>
        </w:r>
      </w:hyperlink>
    </w:p>
    <w:p w:rsidR="006E665D" w:rsidRDefault="002F66B9" w:rsidP="006E665D">
      <w:pPr>
        <w:pStyle w:val="TOC1"/>
        <w:tabs>
          <w:tab w:val="left" w:pos="2963"/>
        </w:tabs>
        <w:rPr>
          <w:rFonts w:asciiTheme="minorHAnsi" w:eastAsiaTheme="minorEastAsia" w:hAnsiTheme="minorHAnsi" w:cstheme="minorBidi"/>
          <w:b w:val="0"/>
          <w:bCs w:val="0"/>
          <w:sz w:val="22"/>
          <w:szCs w:val="22"/>
        </w:rPr>
      </w:pPr>
      <w:hyperlink w:anchor="_Toc455393358" w:history="1">
        <w:r w:rsidR="006E665D" w:rsidRPr="004A5973">
          <w:rPr>
            <w:rStyle w:val="Hyperlink"/>
            <w:rFonts w:hint="eastAsia"/>
            <w:rtl/>
          </w:rPr>
          <w:t>ثانيا</w:t>
        </w:r>
        <w:r w:rsidR="006E665D">
          <w:rPr>
            <w:rFonts w:asciiTheme="minorHAnsi" w:eastAsiaTheme="minorEastAsia" w:hAnsiTheme="minorHAnsi" w:cstheme="minorBidi"/>
            <w:b w:val="0"/>
            <w:bCs w:val="0"/>
            <w:sz w:val="22"/>
            <w:szCs w:val="22"/>
          </w:rPr>
          <w:tab/>
        </w:r>
        <w:r w:rsidR="006E665D" w:rsidRPr="004A5973">
          <w:rPr>
            <w:rStyle w:val="Hyperlink"/>
            <w:rFonts w:hint="eastAsia"/>
            <w:rtl/>
          </w:rPr>
          <w:t>موجز</w:t>
        </w:r>
        <w:r w:rsidR="006E665D" w:rsidRPr="004A5973">
          <w:rPr>
            <w:rStyle w:val="Hyperlink"/>
            <w:rtl/>
          </w:rPr>
          <w:t xml:space="preserve"> </w:t>
        </w:r>
        <w:r w:rsidR="006E665D" w:rsidRPr="004A5973">
          <w:rPr>
            <w:rStyle w:val="Hyperlink"/>
            <w:rFonts w:hint="eastAsia"/>
            <w:rtl/>
          </w:rPr>
          <w:t>الإنجازات</w:t>
        </w:r>
        <w:r w:rsidR="006E665D" w:rsidRPr="004A5973">
          <w:rPr>
            <w:rStyle w:val="Hyperlink"/>
            <w:rtl/>
          </w:rPr>
          <w:t xml:space="preserve"> </w:t>
        </w:r>
        <w:r w:rsidR="006E665D" w:rsidRPr="004A5973">
          <w:rPr>
            <w:rStyle w:val="Hyperlink"/>
            <w:rFonts w:hint="eastAsia"/>
            <w:rtl/>
          </w:rPr>
          <w:t>خلال</w:t>
        </w:r>
        <w:r w:rsidR="006E665D" w:rsidRPr="004A5973">
          <w:rPr>
            <w:rStyle w:val="Hyperlink"/>
            <w:rtl/>
          </w:rPr>
          <w:t xml:space="preserve"> </w:t>
        </w:r>
        <w:r w:rsidR="006E665D" w:rsidRPr="004A5973">
          <w:rPr>
            <w:rStyle w:val="Hyperlink"/>
            <w:rFonts w:hint="eastAsia"/>
            <w:rtl/>
          </w:rPr>
          <w:t>الثنائية</w:t>
        </w:r>
        <w:r w:rsidR="006E665D" w:rsidRPr="004A5973">
          <w:rPr>
            <w:rStyle w:val="Hyperlink"/>
            <w:rtl/>
          </w:rPr>
          <w:t xml:space="preserve"> 2014/15</w:t>
        </w:r>
        <w:r w:rsidR="006E665D">
          <w:rPr>
            <w:webHidden/>
          </w:rPr>
          <w:tab/>
        </w:r>
        <w:r w:rsidR="006E665D">
          <w:rPr>
            <w:webHidden/>
          </w:rPr>
          <w:fldChar w:fldCharType="begin"/>
        </w:r>
        <w:r w:rsidR="006E665D">
          <w:rPr>
            <w:webHidden/>
          </w:rPr>
          <w:instrText xml:space="preserve"> PAGEREF _Toc455393358 \h </w:instrText>
        </w:r>
        <w:r w:rsidR="006E665D">
          <w:rPr>
            <w:webHidden/>
          </w:rPr>
        </w:r>
        <w:r w:rsidR="006E665D">
          <w:rPr>
            <w:webHidden/>
          </w:rPr>
          <w:fldChar w:fldCharType="separate"/>
        </w:r>
        <w:r>
          <w:rPr>
            <w:webHidden/>
            <w:rtl/>
          </w:rPr>
          <w:t>4</w:t>
        </w:r>
        <w:r w:rsidR="006E665D">
          <w:rPr>
            <w:webHidden/>
          </w:rPr>
          <w:fldChar w:fldCharType="end"/>
        </w:r>
      </w:hyperlink>
    </w:p>
    <w:p w:rsidR="006E665D" w:rsidRDefault="002F66B9" w:rsidP="006E665D">
      <w:pPr>
        <w:pStyle w:val="TOC1"/>
        <w:tabs>
          <w:tab w:val="left" w:pos="3055"/>
        </w:tabs>
        <w:rPr>
          <w:rFonts w:asciiTheme="minorHAnsi" w:eastAsiaTheme="minorEastAsia" w:hAnsiTheme="minorHAnsi" w:cstheme="minorBidi"/>
          <w:b w:val="0"/>
          <w:bCs w:val="0"/>
          <w:sz w:val="22"/>
          <w:szCs w:val="22"/>
        </w:rPr>
      </w:pPr>
      <w:hyperlink w:anchor="_Toc455393359" w:history="1">
        <w:r w:rsidR="006E665D" w:rsidRPr="004A5973">
          <w:rPr>
            <w:rStyle w:val="Hyperlink"/>
            <w:rFonts w:hint="eastAsia"/>
            <w:rtl/>
          </w:rPr>
          <w:t>ثالثا</w:t>
        </w:r>
        <w:r w:rsidR="006E665D">
          <w:rPr>
            <w:rFonts w:asciiTheme="minorHAnsi" w:eastAsiaTheme="minorEastAsia" w:hAnsiTheme="minorHAnsi" w:cstheme="minorBidi"/>
            <w:b w:val="0"/>
            <w:bCs w:val="0"/>
            <w:sz w:val="22"/>
            <w:szCs w:val="22"/>
          </w:rPr>
          <w:tab/>
        </w:r>
        <w:r w:rsidR="006E665D" w:rsidRPr="004A5973">
          <w:rPr>
            <w:rStyle w:val="Hyperlink"/>
            <w:rFonts w:hint="eastAsia"/>
            <w:rtl/>
          </w:rPr>
          <w:t>الميزانية</w:t>
        </w:r>
        <w:r w:rsidR="006E665D" w:rsidRPr="004A5973">
          <w:rPr>
            <w:rStyle w:val="Hyperlink"/>
            <w:rtl/>
          </w:rPr>
          <w:t xml:space="preserve"> </w:t>
        </w:r>
        <w:r w:rsidR="006E665D" w:rsidRPr="004A5973">
          <w:rPr>
            <w:rStyle w:val="Hyperlink"/>
            <w:rFonts w:hint="eastAsia"/>
            <w:rtl/>
          </w:rPr>
          <w:t>الموحدة</w:t>
        </w:r>
        <w:r w:rsidR="006E665D" w:rsidRPr="004A5973">
          <w:rPr>
            <w:rStyle w:val="Hyperlink"/>
            <w:rtl/>
          </w:rPr>
          <w:t xml:space="preserve"> </w:t>
        </w:r>
        <w:r w:rsidR="006E665D" w:rsidRPr="004A5973">
          <w:rPr>
            <w:rStyle w:val="Hyperlink"/>
            <w:rFonts w:hint="eastAsia"/>
            <w:rtl/>
          </w:rPr>
          <w:t>والنفقات</w:t>
        </w:r>
        <w:r w:rsidR="006E665D" w:rsidRPr="004A5973">
          <w:rPr>
            <w:rStyle w:val="Hyperlink"/>
            <w:rtl/>
          </w:rPr>
          <w:t xml:space="preserve"> </w:t>
        </w:r>
        <w:r w:rsidR="006E665D" w:rsidRPr="004A5973">
          <w:rPr>
            <w:rStyle w:val="Hyperlink"/>
            <w:rFonts w:hint="eastAsia"/>
            <w:rtl/>
          </w:rPr>
          <w:t>الفعلية</w:t>
        </w:r>
        <w:r w:rsidR="006E665D" w:rsidRPr="004A5973">
          <w:rPr>
            <w:rStyle w:val="Hyperlink"/>
            <w:rtl/>
          </w:rPr>
          <w:t xml:space="preserve"> 2014/15</w:t>
        </w:r>
        <w:r w:rsidR="006E665D">
          <w:rPr>
            <w:webHidden/>
          </w:rPr>
          <w:tab/>
        </w:r>
        <w:r w:rsidR="006E665D">
          <w:rPr>
            <w:webHidden/>
          </w:rPr>
          <w:fldChar w:fldCharType="begin"/>
        </w:r>
        <w:r w:rsidR="006E665D">
          <w:rPr>
            <w:webHidden/>
          </w:rPr>
          <w:instrText xml:space="preserve"> PAGEREF _Toc455393359 \h </w:instrText>
        </w:r>
        <w:r w:rsidR="006E665D">
          <w:rPr>
            <w:webHidden/>
          </w:rPr>
        </w:r>
        <w:r w:rsidR="006E665D">
          <w:rPr>
            <w:webHidden/>
          </w:rPr>
          <w:fldChar w:fldCharType="separate"/>
        </w:r>
        <w:r>
          <w:rPr>
            <w:webHidden/>
            <w:rtl/>
          </w:rPr>
          <w:t>22</w:t>
        </w:r>
        <w:r w:rsidR="006E665D">
          <w:rPr>
            <w:webHidden/>
          </w:rPr>
          <w:fldChar w:fldCharType="end"/>
        </w:r>
      </w:hyperlink>
    </w:p>
    <w:p w:rsidR="006E665D" w:rsidRDefault="002F66B9" w:rsidP="006E665D">
      <w:pPr>
        <w:pStyle w:val="TOC1"/>
        <w:tabs>
          <w:tab w:val="left" w:pos="2198"/>
        </w:tabs>
        <w:rPr>
          <w:rFonts w:asciiTheme="minorHAnsi" w:eastAsiaTheme="minorEastAsia" w:hAnsiTheme="minorHAnsi" w:cstheme="minorBidi"/>
          <w:b w:val="0"/>
          <w:bCs w:val="0"/>
          <w:sz w:val="22"/>
          <w:szCs w:val="22"/>
        </w:rPr>
      </w:pPr>
      <w:hyperlink w:anchor="_Toc455393360" w:history="1">
        <w:r w:rsidR="006E665D" w:rsidRPr="004A5973">
          <w:rPr>
            <w:rStyle w:val="Hyperlink"/>
            <w:rFonts w:hint="eastAsia"/>
            <w:rtl/>
          </w:rPr>
          <w:t>رابعا</w:t>
        </w:r>
        <w:r w:rsidR="006E665D">
          <w:rPr>
            <w:rFonts w:asciiTheme="minorHAnsi" w:eastAsiaTheme="minorEastAsia" w:hAnsiTheme="minorHAnsi" w:cstheme="minorBidi"/>
            <w:b w:val="0"/>
            <w:bCs w:val="0"/>
            <w:sz w:val="22"/>
            <w:szCs w:val="22"/>
          </w:rPr>
          <w:tab/>
        </w:r>
        <w:r w:rsidR="006E665D" w:rsidRPr="004A5973">
          <w:rPr>
            <w:rStyle w:val="Hyperlink"/>
            <w:rFonts w:hint="eastAsia"/>
            <w:rtl/>
          </w:rPr>
          <w:t>تقرير</w:t>
        </w:r>
        <w:r w:rsidR="006E665D" w:rsidRPr="004A5973">
          <w:rPr>
            <w:rStyle w:val="Hyperlink"/>
            <w:rtl/>
          </w:rPr>
          <w:t xml:space="preserve"> </w:t>
        </w:r>
        <w:r w:rsidR="006E665D" w:rsidRPr="004A5973">
          <w:rPr>
            <w:rStyle w:val="Hyperlink"/>
            <w:rFonts w:hint="eastAsia"/>
            <w:rtl/>
          </w:rPr>
          <w:t>نفقات</w:t>
        </w:r>
        <w:r w:rsidR="006E665D" w:rsidRPr="004A5973">
          <w:rPr>
            <w:rStyle w:val="Hyperlink"/>
            <w:rtl/>
          </w:rPr>
          <w:t xml:space="preserve"> </w:t>
        </w:r>
        <w:r w:rsidR="006E665D" w:rsidRPr="004A5973">
          <w:rPr>
            <w:rStyle w:val="Hyperlink"/>
            <w:rFonts w:hint="eastAsia"/>
            <w:rtl/>
          </w:rPr>
          <w:t>التنمية</w:t>
        </w:r>
        <w:r w:rsidR="006E665D" w:rsidRPr="004A5973">
          <w:rPr>
            <w:rStyle w:val="Hyperlink"/>
            <w:rtl/>
          </w:rPr>
          <w:t xml:space="preserve"> 2014/15</w:t>
        </w:r>
        <w:r w:rsidR="006E665D">
          <w:rPr>
            <w:webHidden/>
          </w:rPr>
          <w:tab/>
        </w:r>
        <w:r w:rsidR="006E665D">
          <w:rPr>
            <w:webHidden/>
          </w:rPr>
          <w:fldChar w:fldCharType="begin"/>
        </w:r>
        <w:r w:rsidR="006E665D">
          <w:rPr>
            <w:webHidden/>
          </w:rPr>
          <w:instrText xml:space="preserve"> PAGEREF _Toc455393360 \h </w:instrText>
        </w:r>
        <w:r w:rsidR="006E665D">
          <w:rPr>
            <w:webHidden/>
          </w:rPr>
        </w:r>
        <w:r w:rsidR="006E665D">
          <w:rPr>
            <w:webHidden/>
          </w:rPr>
          <w:fldChar w:fldCharType="separate"/>
        </w:r>
        <w:r>
          <w:rPr>
            <w:webHidden/>
            <w:rtl/>
          </w:rPr>
          <w:t>25</w:t>
        </w:r>
        <w:r w:rsidR="006E665D">
          <w:rPr>
            <w:webHidden/>
          </w:rPr>
          <w:fldChar w:fldCharType="end"/>
        </w:r>
      </w:hyperlink>
    </w:p>
    <w:p w:rsidR="006E665D" w:rsidRDefault="002F66B9" w:rsidP="006E665D">
      <w:pPr>
        <w:pStyle w:val="TOC1"/>
        <w:tabs>
          <w:tab w:val="left" w:pos="4723"/>
        </w:tabs>
        <w:rPr>
          <w:rFonts w:asciiTheme="minorHAnsi" w:eastAsiaTheme="minorEastAsia" w:hAnsiTheme="minorHAnsi" w:cstheme="minorBidi"/>
          <w:b w:val="0"/>
          <w:bCs w:val="0"/>
          <w:sz w:val="22"/>
          <w:szCs w:val="22"/>
        </w:rPr>
      </w:pPr>
      <w:hyperlink w:anchor="_Toc455393361" w:history="1">
        <w:r w:rsidR="006E665D" w:rsidRPr="004A5973">
          <w:rPr>
            <w:rStyle w:val="Hyperlink"/>
            <w:rFonts w:hint="eastAsia"/>
            <w:rtl/>
          </w:rPr>
          <w:t>خامسا</w:t>
        </w:r>
        <w:r w:rsidR="006E665D">
          <w:rPr>
            <w:rFonts w:asciiTheme="minorHAnsi" w:eastAsiaTheme="minorEastAsia" w:hAnsiTheme="minorHAnsi" w:cstheme="minorBidi"/>
            <w:b w:val="0"/>
            <w:bCs w:val="0"/>
            <w:sz w:val="22"/>
            <w:szCs w:val="22"/>
          </w:rPr>
          <w:tab/>
        </w:r>
        <w:r w:rsidR="006E665D" w:rsidRPr="004A5973">
          <w:rPr>
            <w:rStyle w:val="Hyperlink"/>
            <w:rFonts w:hint="eastAsia"/>
            <w:rtl/>
          </w:rPr>
          <w:t>تقرير</w:t>
        </w:r>
        <w:r w:rsidR="006E665D" w:rsidRPr="004A5973">
          <w:rPr>
            <w:rStyle w:val="Hyperlink"/>
            <w:rtl/>
          </w:rPr>
          <w:t xml:space="preserve"> </w:t>
        </w:r>
        <w:r w:rsidR="006E665D" w:rsidRPr="004A5973">
          <w:rPr>
            <w:rStyle w:val="Hyperlink"/>
            <w:rFonts w:hint="eastAsia"/>
            <w:rtl/>
          </w:rPr>
          <w:t>عن</w:t>
        </w:r>
        <w:r w:rsidR="006E665D" w:rsidRPr="004A5973">
          <w:rPr>
            <w:rStyle w:val="Hyperlink"/>
            <w:rtl/>
          </w:rPr>
          <w:t xml:space="preserve"> </w:t>
        </w:r>
        <w:r w:rsidR="006E665D" w:rsidRPr="004A5973">
          <w:rPr>
            <w:rStyle w:val="Hyperlink"/>
            <w:rFonts w:hint="eastAsia"/>
            <w:rtl/>
          </w:rPr>
          <w:t>تنفيذ</w:t>
        </w:r>
        <w:r w:rsidR="006E665D" w:rsidRPr="004A5973">
          <w:rPr>
            <w:rStyle w:val="Hyperlink"/>
            <w:rtl/>
          </w:rPr>
          <w:t xml:space="preserve"> </w:t>
        </w:r>
        <w:r w:rsidR="006E665D" w:rsidRPr="004A5973">
          <w:rPr>
            <w:rStyle w:val="Hyperlink"/>
            <w:rFonts w:hint="eastAsia"/>
            <w:rtl/>
          </w:rPr>
          <w:t>تدابير</w:t>
        </w:r>
        <w:r w:rsidR="006E665D" w:rsidRPr="004A5973">
          <w:rPr>
            <w:rStyle w:val="Hyperlink"/>
            <w:rtl/>
          </w:rPr>
          <w:t xml:space="preserve"> </w:t>
        </w:r>
        <w:r w:rsidR="006E665D" w:rsidRPr="004A5973">
          <w:rPr>
            <w:rStyle w:val="Hyperlink"/>
            <w:rFonts w:hint="eastAsia"/>
            <w:rtl/>
          </w:rPr>
          <w:t>الفعالية</w:t>
        </w:r>
        <w:r w:rsidR="006E665D" w:rsidRPr="004A5973">
          <w:rPr>
            <w:rStyle w:val="Hyperlink"/>
            <w:rtl/>
          </w:rPr>
          <w:t xml:space="preserve"> </w:t>
        </w:r>
        <w:r w:rsidR="006E665D" w:rsidRPr="004A5973">
          <w:rPr>
            <w:rStyle w:val="Hyperlink"/>
            <w:rFonts w:hint="eastAsia"/>
            <w:rtl/>
          </w:rPr>
          <w:t>من</w:t>
        </w:r>
        <w:r w:rsidR="006E665D" w:rsidRPr="004A5973">
          <w:rPr>
            <w:rStyle w:val="Hyperlink"/>
            <w:rtl/>
          </w:rPr>
          <w:t xml:space="preserve"> </w:t>
        </w:r>
        <w:r w:rsidR="006E665D" w:rsidRPr="004A5973">
          <w:rPr>
            <w:rStyle w:val="Hyperlink"/>
            <w:rFonts w:hint="eastAsia"/>
            <w:rtl/>
          </w:rPr>
          <w:t>حيث</w:t>
        </w:r>
        <w:r w:rsidR="006E665D" w:rsidRPr="004A5973">
          <w:rPr>
            <w:rStyle w:val="Hyperlink"/>
            <w:rtl/>
          </w:rPr>
          <w:t xml:space="preserve"> </w:t>
        </w:r>
        <w:r w:rsidR="006E665D" w:rsidRPr="004A5973">
          <w:rPr>
            <w:rStyle w:val="Hyperlink"/>
            <w:rFonts w:hint="eastAsia"/>
            <w:rtl/>
          </w:rPr>
          <w:t>التكلفة</w:t>
        </w:r>
        <w:r w:rsidR="006E665D" w:rsidRPr="004A5973">
          <w:rPr>
            <w:rStyle w:val="Hyperlink"/>
            <w:rtl/>
          </w:rPr>
          <w:t xml:space="preserve"> </w:t>
        </w:r>
        <w:r w:rsidR="006E665D" w:rsidRPr="004A5973">
          <w:rPr>
            <w:rStyle w:val="Hyperlink"/>
            <w:rFonts w:hint="eastAsia"/>
            <w:rtl/>
          </w:rPr>
          <w:t>في</w:t>
        </w:r>
        <w:r w:rsidR="006E665D" w:rsidRPr="004A5973">
          <w:rPr>
            <w:rStyle w:val="Hyperlink"/>
            <w:rtl/>
          </w:rPr>
          <w:t xml:space="preserve"> </w:t>
        </w:r>
        <w:r w:rsidR="006E665D" w:rsidRPr="004A5973">
          <w:rPr>
            <w:rStyle w:val="Hyperlink"/>
            <w:rFonts w:hint="eastAsia"/>
            <w:rtl/>
          </w:rPr>
          <w:t>الثنائية</w:t>
        </w:r>
        <w:r w:rsidR="006E665D" w:rsidRPr="004A5973">
          <w:rPr>
            <w:rStyle w:val="Hyperlink"/>
            <w:rtl/>
          </w:rPr>
          <w:t xml:space="preserve"> 2014/15</w:t>
        </w:r>
        <w:r w:rsidR="006E665D">
          <w:rPr>
            <w:webHidden/>
          </w:rPr>
          <w:tab/>
        </w:r>
        <w:r w:rsidR="006E665D">
          <w:rPr>
            <w:webHidden/>
          </w:rPr>
          <w:fldChar w:fldCharType="begin"/>
        </w:r>
        <w:r w:rsidR="006E665D">
          <w:rPr>
            <w:webHidden/>
          </w:rPr>
          <w:instrText xml:space="preserve"> PAGEREF _Toc455393361 \h </w:instrText>
        </w:r>
        <w:r w:rsidR="006E665D">
          <w:rPr>
            <w:webHidden/>
          </w:rPr>
        </w:r>
        <w:r w:rsidR="006E665D">
          <w:rPr>
            <w:webHidden/>
          </w:rPr>
          <w:fldChar w:fldCharType="separate"/>
        </w:r>
        <w:r>
          <w:rPr>
            <w:webHidden/>
            <w:rtl/>
          </w:rPr>
          <w:t>29</w:t>
        </w:r>
        <w:r w:rsidR="006E665D">
          <w:rPr>
            <w:webHidden/>
          </w:rPr>
          <w:fldChar w:fldCharType="end"/>
        </w:r>
      </w:hyperlink>
    </w:p>
    <w:p w:rsidR="006E665D" w:rsidRDefault="002F66B9" w:rsidP="006E665D">
      <w:pPr>
        <w:pStyle w:val="TOC1"/>
        <w:tabs>
          <w:tab w:val="left" w:pos="3851"/>
        </w:tabs>
        <w:rPr>
          <w:rFonts w:asciiTheme="minorHAnsi" w:eastAsiaTheme="minorEastAsia" w:hAnsiTheme="minorHAnsi" w:cstheme="minorBidi"/>
          <w:b w:val="0"/>
          <w:bCs w:val="0"/>
          <w:sz w:val="22"/>
          <w:szCs w:val="22"/>
        </w:rPr>
      </w:pPr>
      <w:hyperlink w:anchor="_Toc455393362" w:history="1">
        <w:r w:rsidR="006E665D" w:rsidRPr="004A5973">
          <w:rPr>
            <w:rStyle w:val="Hyperlink"/>
            <w:rFonts w:hint="eastAsia"/>
            <w:rtl/>
          </w:rPr>
          <w:t>سادسا</w:t>
        </w:r>
        <w:r w:rsidR="006E665D">
          <w:rPr>
            <w:rFonts w:asciiTheme="minorHAnsi" w:eastAsiaTheme="minorEastAsia" w:hAnsiTheme="minorHAnsi" w:cstheme="minorBidi"/>
            <w:b w:val="0"/>
            <w:bCs w:val="0"/>
            <w:sz w:val="22"/>
            <w:szCs w:val="22"/>
          </w:rPr>
          <w:tab/>
        </w:r>
        <w:r w:rsidR="006E665D" w:rsidRPr="004A5973">
          <w:rPr>
            <w:rStyle w:val="Hyperlink"/>
            <w:rFonts w:hint="eastAsia"/>
            <w:rtl/>
          </w:rPr>
          <w:t>إنجازات</w:t>
        </w:r>
        <w:r w:rsidR="006E665D" w:rsidRPr="004A5973">
          <w:rPr>
            <w:rStyle w:val="Hyperlink"/>
            <w:rtl/>
          </w:rPr>
          <w:t xml:space="preserve"> </w:t>
        </w:r>
        <w:r w:rsidR="006E665D" w:rsidRPr="004A5973">
          <w:rPr>
            <w:rStyle w:val="Hyperlink"/>
            <w:rFonts w:hint="eastAsia"/>
            <w:rtl/>
          </w:rPr>
          <w:t>الثنائية</w:t>
        </w:r>
        <w:r w:rsidR="006E665D" w:rsidRPr="004A5973">
          <w:rPr>
            <w:rStyle w:val="Hyperlink"/>
            <w:rtl/>
          </w:rPr>
          <w:t xml:space="preserve"> 2014/15 </w:t>
        </w:r>
        <w:r w:rsidR="006E665D" w:rsidRPr="004A5973">
          <w:rPr>
            <w:rStyle w:val="Hyperlink"/>
            <w:rFonts w:hint="eastAsia"/>
            <w:rtl/>
          </w:rPr>
          <w:t>بحسب</w:t>
        </w:r>
        <w:r w:rsidR="006E665D" w:rsidRPr="004A5973">
          <w:rPr>
            <w:rStyle w:val="Hyperlink"/>
            <w:rtl/>
          </w:rPr>
          <w:t xml:space="preserve"> </w:t>
        </w:r>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Pr>
            <w:webHidden/>
          </w:rPr>
          <w:tab/>
        </w:r>
        <w:r w:rsidR="006E665D">
          <w:rPr>
            <w:webHidden/>
          </w:rPr>
          <w:fldChar w:fldCharType="begin"/>
        </w:r>
        <w:r w:rsidR="006E665D">
          <w:rPr>
            <w:webHidden/>
          </w:rPr>
          <w:instrText xml:space="preserve"> PAGEREF _Toc455393362 \h </w:instrText>
        </w:r>
        <w:r w:rsidR="006E665D">
          <w:rPr>
            <w:webHidden/>
          </w:rPr>
        </w:r>
        <w:r w:rsidR="006E665D">
          <w:rPr>
            <w:webHidden/>
          </w:rPr>
          <w:fldChar w:fldCharType="separate"/>
        </w:r>
        <w:r>
          <w:rPr>
            <w:webHidden/>
            <w:rtl/>
          </w:rPr>
          <w:t>38</w:t>
        </w:r>
        <w:r w:rsidR="006E665D">
          <w:rPr>
            <w:webHidden/>
          </w:rPr>
          <w:fldChar w:fldCharType="end"/>
        </w:r>
      </w:hyperlink>
    </w:p>
    <w:p w:rsidR="006E665D" w:rsidRDefault="002F66B9" w:rsidP="006E665D">
      <w:pPr>
        <w:pStyle w:val="TOC2"/>
        <w:rPr>
          <w:rFonts w:asciiTheme="minorHAnsi" w:eastAsiaTheme="minorEastAsia" w:hAnsiTheme="minorHAnsi" w:cstheme="minorBidi"/>
          <w:b w:val="0"/>
          <w:bCs w:val="0"/>
          <w:sz w:val="22"/>
          <w:szCs w:val="22"/>
        </w:rPr>
      </w:pPr>
      <w:hyperlink w:anchor="_Toc455393363"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الأول</w:t>
        </w:r>
        <w:r w:rsidR="006E665D">
          <w:rPr>
            <w:webHidden/>
          </w:rPr>
          <w:tab/>
        </w:r>
        <w:r w:rsidR="006E665D">
          <w:rPr>
            <w:webHidden/>
          </w:rPr>
          <w:fldChar w:fldCharType="begin"/>
        </w:r>
        <w:r w:rsidR="006E665D">
          <w:rPr>
            <w:webHidden/>
          </w:rPr>
          <w:instrText xml:space="preserve"> PAGEREF _Toc455393363 \h </w:instrText>
        </w:r>
        <w:r w:rsidR="006E665D">
          <w:rPr>
            <w:webHidden/>
          </w:rPr>
        </w:r>
        <w:r w:rsidR="006E665D">
          <w:rPr>
            <w:webHidden/>
          </w:rPr>
          <w:fldChar w:fldCharType="separate"/>
        </w:r>
        <w:r>
          <w:rPr>
            <w:webHidden/>
            <w:rtl/>
          </w:rPr>
          <w:t>38</w:t>
        </w:r>
        <w:r w:rsidR="006E665D">
          <w:rPr>
            <w:webHidden/>
          </w:rPr>
          <w:fldChar w:fldCharType="end"/>
        </w:r>
      </w:hyperlink>
    </w:p>
    <w:p w:rsidR="006E665D" w:rsidRDefault="002F66B9" w:rsidP="006E665D">
      <w:pPr>
        <w:pStyle w:val="TOC3"/>
        <w:rPr>
          <w:rFonts w:asciiTheme="minorHAnsi" w:eastAsiaTheme="minorEastAsia" w:hAnsiTheme="minorHAnsi" w:cstheme="minorBidi"/>
          <w:sz w:val="22"/>
          <w:szCs w:val="22"/>
          <w:lang w:val="en-US"/>
        </w:rPr>
      </w:pPr>
      <w:hyperlink w:anchor="_Toc455393364" w:history="1">
        <w:r w:rsidR="006E665D" w:rsidRPr="004A5973">
          <w:rPr>
            <w:rStyle w:val="Hyperlink"/>
            <w:rFonts w:hint="eastAsia"/>
            <w:rtl/>
          </w:rPr>
          <w:t>البرنامج</w:t>
        </w:r>
        <w:r w:rsidR="006E665D" w:rsidRPr="004A5973">
          <w:rPr>
            <w:rStyle w:val="Hyperlink"/>
          </w:rPr>
          <w:t xml:space="preserve"> </w:t>
        </w:r>
        <w:r w:rsidR="006E665D" w:rsidRPr="004A5973">
          <w:rPr>
            <w:rStyle w:val="Hyperlink"/>
            <w:rtl/>
          </w:rPr>
          <w:t>1:</w:t>
        </w:r>
        <w:r w:rsidR="006E665D">
          <w:rPr>
            <w:rFonts w:asciiTheme="minorHAnsi" w:eastAsiaTheme="minorEastAsia" w:hAnsiTheme="minorHAnsi" w:cstheme="minorBidi"/>
            <w:sz w:val="22"/>
            <w:szCs w:val="22"/>
            <w:lang w:val="en-US"/>
          </w:rPr>
          <w:tab/>
        </w:r>
        <w:r w:rsidR="006E665D" w:rsidRPr="004A5973">
          <w:rPr>
            <w:rStyle w:val="Hyperlink"/>
            <w:rFonts w:hint="eastAsia"/>
            <w:rtl/>
          </w:rPr>
          <w:t>قانون</w:t>
        </w:r>
        <w:r w:rsidR="006E665D" w:rsidRPr="004A5973">
          <w:rPr>
            <w:rStyle w:val="Hyperlink"/>
            <w:rtl/>
          </w:rPr>
          <w:t xml:space="preserve"> </w:t>
        </w:r>
        <w:r w:rsidR="006E665D" w:rsidRPr="004A5973">
          <w:rPr>
            <w:rStyle w:val="Hyperlink"/>
            <w:rFonts w:hint="eastAsia"/>
            <w:rtl/>
          </w:rPr>
          <w:t>البراءات</w:t>
        </w:r>
        <w:r w:rsidR="006E665D">
          <w:rPr>
            <w:webHidden/>
          </w:rPr>
          <w:tab/>
        </w:r>
        <w:r w:rsidR="006E665D">
          <w:rPr>
            <w:webHidden/>
          </w:rPr>
          <w:fldChar w:fldCharType="begin"/>
        </w:r>
        <w:r w:rsidR="006E665D">
          <w:rPr>
            <w:webHidden/>
          </w:rPr>
          <w:instrText xml:space="preserve"> PAGEREF _Toc455393364 \h </w:instrText>
        </w:r>
        <w:r w:rsidR="006E665D">
          <w:rPr>
            <w:webHidden/>
          </w:rPr>
        </w:r>
        <w:r w:rsidR="006E665D">
          <w:rPr>
            <w:webHidden/>
          </w:rPr>
          <w:fldChar w:fldCharType="separate"/>
        </w:r>
        <w:r>
          <w:rPr>
            <w:webHidden/>
            <w:rtl/>
          </w:rPr>
          <w:t>40</w:t>
        </w:r>
        <w:r w:rsidR="006E665D">
          <w:rPr>
            <w:webHidden/>
          </w:rPr>
          <w:fldChar w:fldCharType="end"/>
        </w:r>
      </w:hyperlink>
    </w:p>
    <w:p w:rsidR="006E665D" w:rsidRDefault="002F66B9" w:rsidP="006E665D">
      <w:pPr>
        <w:pStyle w:val="TOC3"/>
        <w:tabs>
          <w:tab w:val="left" w:pos="4682"/>
        </w:tabs>
        <w:rPr>
          <w:rFonts w:asciiTheme="minorHAnsi" w:eastAsiaTheme="minorEastAsia" w:hAnsiTheme="minorHAnsi" w:cstheme="minorBidi"/>
          <w:sz w:val="22"/>
          <w:szCs w:val="22"/>
          <w:lang w:val="en-US"/>
        </w:rPr>
      </w:pPr>
      <w:hyperlink w:anchor="_Toc455393365" w:history="1">
        <w:r w:rsidR="006E665D" w:rsidRPr="004A5973">
          <w:rPr>
            <w:rStyle w:val="Hyperlink"/>
            <w:rFonts w:hint="eastAsia"/>
            <w:rtl/>
          </w:rPr>
          <w:t>البرنامج</w:t>
        </w:r>
        <w:r w:rsidR="006E665D" w:rsidRPr="004A5973">
          <w:rPr>
            <w:rStyle w:val="Hyperlink"/>
            <w:rtl/>
          </w:rPr>
          <w:t xml:space="preserve"> 2:</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العلامات</w:t>
        </w:r>
        <w:r w:rsidR="006E665D" w:rsidRPr="004A5973">
          <w:rPr>
            <w:rStyle w:val="Hyperlink"/>
            <w:rtl/>
          </w:rPr>
          <w:t xml:space="preserve"> </w:t>
        </w:r>
        <w:r w:rsidR="006E665D" w:rsidRPr="004A5973">
          <w:rPr>
            <w:rStyle w:val="Hyperlink"/>
            <w:rFonts w:hint="eastAsia"/>
            <w:rtl/>
          </w:rPr>
          <w:t>التجارية</w:t>
        </w:r>
        <w:r w:rsidR="006E665D" w:rsidRPr="004A5973">
          <w:rPr>
            <w:rStyle w:val="Hyperlink"/>
            <w:rtl/>
          </w:rPr>
          <w:t xml:space="preserve"> </w:t>
        </w:r>
        <w:r w:rsidR="006E665D" w:rsidRPr="004A5973">
          <w:rPr>
            <w:rStyle w:val="Hyperlink"/>
            <w:rFonts w:hint="eastAsia"/>
            <w:rtl/>
          </w:rPr>
          <w:t>والرسوم</w:t>
        </w:r>
        <w:r w:rsidR="006E665D" w:rsidRPr="004A5973">
          <w:rPr>
            <w:rStyle w:val="Hyperlink"/>
            <w:rtl/>
          </w:rPr>
          <w:t xml:space="preserve"> </w:t>
        </w:r>
        <w:r w:rsidR="006E665D" w:rsidRPr="004A5973">
          <w:rPr>
            <w:rStyle w:val="Hyperlink"/>
            <w:rFonts w:hint="eastAsia"/>
            <w:rtl/>
          </w:rPr>
          <w:t>والنماذج</w:t>
        </w:r>
        <w:r w:rsidR="006E665D" w:rsidRPr="004A5973">
          <w:rPr>
            <w:rStyle w:val="Hyperlink"/>
            <w:rtl/>
          </w:rPr>
          <w:t xml:space="preserve"> </w:t>
        </w:r>
        <w:r w:rsidR="006E665D" w:rsidRPr="004A5973">
          <w:rPr>
            <w:rStyle w:val="Hyperlink"/>
            <w:rFonts w:hint="eastAsia"/>
            <w:rtl/>
          </w:rPr>
          <w:t>الصناعية</w:t>
        </w:r>
        <w:r w:rsidR="006E665D" w:rsidRPr="004A5973">
          <w:rPr>
            <w:rStyle w:val="Hyperlink"/>
            <w:rtl/>
          </w:rPr>
          <w:t xml:space="preserve"> </w:t>
        </w:r>
        <w:r w:rsidR="006E665D" w:rsidRPr="004A5973">
          <w:rPr>
            <w:rStyle w:val="Hyperlink"/>
            <w:rFonts w:hint="eastAsia"/>
            <w:rtl/>
          </w:rPr>
          <w:t>والبيانات</w:t>
        </w:r>
        <w:r w:rsidR="006E665D" w:rsidRPr="004A5973">
          <w:rPr>
            <w:rStyle w:val="Hyperlink"/>
            <w:rtl/>
          </w:rPr>
          <w:t xml:space="preserve"> </w:t>
        </w:r>
        <w:r w:rsidR="006E665D" w:rsidRPr="004A5973">
          <w:rPr>
            <w:rStyle w:val="Hyperlink"/>
            <w:rFonts w:hint="eastAsia"/>
            <w:rtl/>
          </w:rPr>
          <w:t>الجغرافية</w:t>
        </w:r>
        <w:r w:rsidR="006E665D">
          <w:rPr>
            <w:webHidden/>
          </w:rPr>
          <w:tab/>
        </w:r>
        <w:r w:rsidR="006E665D">
          <w:rPr>
            <w:webHidden/>
          </w:rPr>
          <w:fldChar w:fldCharType="begin"/>
        </w:r>
        <w:r w:rsidR="006E665D">
          <w:rPr>
            <w:webHidden/>
          </w:rPr>
          <w:instrText xml:space="preserve"> PAGEREF _Toc455393365 \h </w:instrText>
        </w:r>
        <w:r w:rsidR="006E665D">
          <w:rPr>
            <w:webHidden/>
          </w:rPr>
        </w:r>
        <w:r w:rsidR="006E665D">
          <w:rPr>
            <w:webHidden/>
          </w:rPr>
          <w:fldChar w:fldCharType="separate"/>
        </w:r>
        <w:r>
          <w:rPr>
            <w:webHidden/>
            <w:rtl/>
          </w:rPr>
          <w:t>44</w:t>
        </w:r>
        <w:r w:rsidR="006E665D">
          <w:rPr>
            <w:webHidden/>
          </w:rPr>
          <w:fldChar w:fldCharType="end"/>
        </w:r>
      </w:hyperlink>
    </w:p>
    <w:p w:rsidR="006E665D" w:rsidRDefault="002F66B9" w:rsidP="006E665D">
      <w:pPr>
        <w:pStyle w:val="TOC3"/>
        <w:tabs>
          <w:tab w:val="left" w:pos="2449"/>
        </w:tabs>
        <w:rPr>
          <w:rFonts w:asciiTheme="minorHAnsi" w:eastAsiaTheme="minorEastAsia" w:hAnsiTheme="minorHAnsi" w:cstheme="minorBidi"/>
          <w:sz w:val="22"/>
          <w:szCs w:val="22"/>
          <w:lang w:val="en-US"/>
        </w:rPr>
      </w:pPr>
      <w:hyperlink w:anchor="_Toc455393366" w:history="1">
        <w:r w:rsidR="006E665D" w:rsidRPr="004A5973">
          <w:rPr>
            <w:rStyle w:val="Hyperlink"/>
            <w:rFonts w:hint="eastAsia"/>
            <w:rtl/>
          </w:rPr>
          <w:t>البرنامج</w:t>
        </w:r>
        <w:r w:rsidR="006E665D" w:rsidRPr="004A5973">
          <w:rPr>
            <w:rStyle w:val="Hyperlink"/>
            <w:rtl/>
          </w:rPr>
          <w:t xml:space="preserve"> 3:</w:t>
        </w:r>
        <w:r w:rsidR="006E665D">
          <w:rPr>
            <w:rFonts w:asciiTheme="minorHAnsi" w:eastAsiaTheme="minorEastAsia" w:hAnsiTheme="minorHAnsi" w:cstheme="minorBidi"/>
            <w:sz w:val="22"/>
            <w:szCs w:val="22"/>
            <w:lang w:val="en-US"/>
          </w:rPr>
          <w:tab/>
        </w:r>
        <w:r w:rsidR="006E665D" w:rsidRPr="004A5973">
          <w:rPr>
            <w:rStyle w:val="Hyperlink"/>
            <w:rFonts w:hint="eastAsia"/>
            <w:rtl/>
          </w:rPr>
          <w:t>حق</w:t>
        </w:r>
        <w:r w:rsidR="006E665D" w:rsidRPr="004A5973">
          <w:rPr>
            <w:rStyle w:val="Hyperlink"/>
            <w:rtl/>
          </w:rPr>
          <w:t xml:space="preserve"> </w:t>
        </w:r>
        <w:r w:rsidR="006E665D" w:rsidRPr="004A5973">
          <w:rPr>
            <w:rStyle w:val="Hyperlink"/>
            <w:rFonts w:hint="eastAsia"/>
            <w:rtl/>
          </w:rPr>
          <w:t>المؤلف</w:t>
        </w:r>
        <w:r w:rsidR="006E665D" w:rsidRPr="004A5973">
          <w:rPr>
            <w:rStyle w:val="Hyperlink"/>
            <w:rtl/>
          </w:rPr>
          <w:t xml:space="preserve"> </w:t>
        </w:r>
        <w:r w:rsidR="006E665D" w:rsidRPr="004A5973">
          <w:rPr>
            <w:rStyle w:val="Hyperlink"/>
            <w:rFonts w:hint="eastAsia"/>
            <w:rtl/>
          </w:rPr>
          <w:t>والحقوق</w:t>
        </w:r>
        <w:r w:rsidR="006E665D" w:rsidRPr="004A5973">
          <w:rPr>
            <w:rStyle w:val="Hyperlink"/>
            <w:rtl/>
          </w:rPr>
          <w:t xml:space="preserve"> </w:t>
        </w:r>
        <w:r w:rsidR="006E665D" w:rsidRPr="004A5973">
          <w:rPr>
            <w:rStyle w:val="Hyperlink"/>
            <w:rFonts w:hint="eastAsia"/>
            <w:rtl/>
          </w:rPr>
          <w:t>المجاورة</w:t>
        </w:r>
        <w:r w:rsidR="006E665D">
          <w:rPr>
            <w:webHidden/>
          </w:rPr>
          <w:tab/>
        </w:r>
        <w:r w:rsidR="006E665D">
          <w:rPr>
            <w:webHidden/>
          </w:rPr>
          <w:fldChar w:fldCharType="begin"/>
        </w:r>
        <w:r w:rsidR="006E665D">
          <w:rPr>
            <w:webHidden/>
          </w:rPr>
          <w:instrText xml:space="preserve"> PAGEREF _Toc455393366 \h </w:instrText>
        </w:r>
        <w:r w:rsidR="006E665D">
          <w:rPr>
            <w:webHidden/>
          </w:rPr>
        </w:r>
        <w:r w:rsidR="006E665D">
          <w:rPr>
            <w:webHidden/>
          </w:rPr>
          <w:fldChar w:fldCharType="separate"/>
        </w:r>
        <w:r>
          <w:rPr>
            <w:webHidden/>
            <w:rtl/>
          </w:rPr>
          <w:t>49</w:t>
        </w:r>
        <w:r w:rsidR="006E665D">
          <w:rPr>
            <w:webHidden/>
          </w:rPr>
          <w:fldChar w:fldCharType="end"/>
        </w:r>
      </w:hyperlink>
    </w:p>
    <w:p w:rsidR="006E665D" w:rsidRDefault="002F66B9" w:rsidP="006E665D">
      <w:pPr>
        <w:pStyle w:val="TOC3"/>
        <w:tabs>
          <w:tab w:val="left" w:pos="4785"/>
        </w:tabs>
        <w:rPr>
          <w:rFonts w:asciiTheme="minorHAnsi" w:eastAsiaTheme="minorEastAsia" w:hAnsiTheme="minorHAnsi" w:cstheme="minorBidi"/>
          <w:sz w:val="22"/>
          <w:szCs w:val="22"/>
          <w:lang w:val="en-US"/>
        </w:rPr>
      </w:pPr>
      <w:hyperlink w:anchor="_Toc455393367" w:history="1">
        <w:r w:rsidR="006E665D" w:rsidRPr="004A5973">
          <w:rPr>
            <w:rStyle w:val="Hyperlink"/>
            <w:rFonts w:hint="eastAsia"/>
            <w:rtl/>
          </w:rPr>
          <w:t>البرنامج</w:t>
        </w:r>
        <w:r w:rsidR="006E665D" w:rsidRPr="004A5973">
          <w:rPr>
            <w:rStyle w:val="Hyperlink"/>
            <w:rtl/>
          </w:rPr>
          <w:t xml:space="preserve"> 4:</w:t>
        </w:r>
        <w:r w:rsidR="006E665D">
          <w:rPr>
            <w:rFonts w:asciiTheme="minorHAnsi" w:eastAsiaTheme="minorEastAsia" w:hAnsiTheme="minorHAnsi" w:cstheme="minorBidi"/>
            <w:sz w:val="22"/>
            <w:szCs w:val="22"/>
            <w:lang w:val="en-US"/>
          </w:rPr>
          <w:tab/>
        </w:r>
        <w:r w:rsidR="006E665D" w:rsidRPr="004A5973">
          <w:rPr>
            <w:rStyle w:val="Hyperlink"/>
            <w:rFonts w:hint="eastAsia"/>
            <w:rtl/>
          </w:rPr>
          <w:t>المعارف</w:t>
        </w:r>
        <w:r w:rsidR="006E665D" w:rsidRPr="004A5973">
          <w:rPr>
            <w:rStyle w:val="Hyperlink"/>
            <w:rtl/>
          </w:rPr>
          <w:t xml:space="preserve"> </w:t>
        </w:r>
        <w:r w:rsidR="006E665D" w:rsidRPr="004A5973">
          <w:rPr>
            <w:rStyle w:val="Hyperlink"/>
            <w:rFonts w:hint="eastAsia"/>
            <w:rtl/>
          </w:rPr>
          <w:t>التقليدية</w:t>
        </w:r>
        <w:r w:rsidR="006E665D" w:rsidRPr="004A5973">
          <w:rPr>
            <w:rStyle w:val="Hyperlink"/>
            <w:rtl/>
          </w:rPr>
          <w:t xml:space="preserve"> </w:t>
        </w:r>
        <w:r w:rsidR="006E665D" w:rsidRPr="004A5973">
          <w:rPr>
            <w:rStyle w:val="Hyperlink"/>
            <w:rFonts w:hint="eastAsia"/>
            <w:rtl/>
          </w:rPr>
          <w:t>وأشكال</w:t>
        </w:r>
        <w:r w:rsidR="006E665D" w:rsidRPr="004A5973">
          <w:rPr>
            <w:rStyle w:val="Hyperlink"/>
            <w:rtl/>
          </w:rPr>
          <w:t xml:space="preserve"> </w:t>
        </w:r>
        <w:r w:rsidR="006E665D" w:rsidRPr="004A5973">
          <w:rPr>
            <w:rStyle w:val="Hyperlink"/>
            <w:rFonts w:hint="eastAsia"/>
            <w:rtl/>
          </w:rPr>
          <w:t>التعبير</w:t>
        </w:r>
        <w:r w:rsidR="006E665D" w:rsidRPr="004A5973">
          <w:rPr>
            <w:rStyle w:val="Hyperlink"/>
            <w:rtl/>
          </w:rPr>
          <w:t xml:space="preserve"> </w:t>
        </w:r>
        <w:r w:rsidR="006E665D" w:rsidRPr="004A5973">
          <w:rPr>
            <w:rStyle w:val="Hyperlink"/>
            <w:rFonts w:hint="eastAsia"/>
            <w:rtl/>
          </w:rPr>
          <w:t>الثقافي</w:t>
        </w:r>
        <w:r w:rsidR="006E665D" w:rsidRPr="004A5973">
          <w:rPr>
            <w:rStyle w:val="Hyperlink"/>
            <w:rtl/>
          </w:rPr>
          <w:t xml:space="preserve"> </w:t>
        </w:r>
        <w:r w:rsidR="006E665D" w:rsidRPr="004A5973">
          <w:rPr>
            <w:rStyle w:val="Hyperlink"/>
            <w:rFonts w:hint="eastAsia"/>
            <w:rtl/>
          </w:rPr>
          <w:t>التقليدي</w:t>
        </w:r>
        <w:r w:rsidR="006E665D" w:rsidRPr="004A5973">
          <w:rPr>
            <w:rStyle w:val="Hyperlink"/>
            <w:rtl/>
          </w:rPr>
          <w:t xml:space="preserve"> </w:t>
        </w:r>
        <w:r w:rsidR="006E665D" w:rsidRPr="004A5973">
          <w:rPr>
            <w:rStyle w:val="Hyperlink"/>
            <w:rFonts w:hint="eastAsia"/>
            <w:rtl/>
          </w:rPr>
          <w:t>والموارد</w:t>
        </w:r>
        <w:r w:rsidR="006E665D" w:rsidRPr="004A5973">
          <w:rPr>
            <w:rStyle w:val="Hyperlink"/>
            <w:rtl/>
          </w:rPr>
          <w:t xml:space="preserve"> </w:t>
        </w:r>
        <w:r w:rsidR="006E665D" w:rsidRPr="004A5973">
          <w:rPr>
            <w:rStyle w:val="Hyperlink"/>
            <w:rFonts w:hint="eastAsia"/>
            <w:rtl/>
          </w:rPr>
          <w:t>الوراثية</w:t>
        </w:r>
        <w:r w:rsidR="006E665D">
          <w:rPr>
            <w:webHidden/>
          </w:rPr>
          <w:tab/>
        </w:r>
        <w:r w:rsidR="006E665D">
          <w:rPr>
            <w:webHidden/>
          </w:rPr>
          <w:fldChar w:fldCharType="begin"/>
        </w:r>
        <w:r w:rsidR="006E665D">
          <w:rPr>
            <w:webHidden/>
          </w:rPr>
          <w:instrText xml:space="preserve"> PAGEREF _Toc455393367 \h </w:instrText>
        </w:r>
        <w:r w:rsidR="006E665D">
          <w:rPr>
            <w:webHidden/>
          </w:rPr>
        </w:r>
        <w:r w:rsidR="006E665D">
          <w:rPr>
            <w:webHidden/>
          </w:rPr>
          <w:fldChar w:fldCharType="separate"/>
        </w:r>
        <w:r>
          <w:rPr>
            <w:webHidden/>
            <w:rtl/>
          </w:rPr>
          <w:t>59</w:t>
        </w:r>
        <w:r w:rsidR="006E665D">
          <w:rPr>
            <w:webHidden/>
          </w:rPr>
          <w:fldChar w:fldCharType="end"/>
        </w:r>
      </w:hyperlink>
    </w:p>
    <w:p w:rsidR="006E665D" w:rsidRDefault="002F66B9" w:rsidP="006E665D">
      <w:pPr>
        <w:pStyle w:val="TOC2"/>
        <w:rPr>
          <w:rFonts w:asciiTheme="minorHAnsi" w:eastAsiaTheme="minorEastAsia" w:hAnsiTheme="minorHAnsi" w:cstheme="minorBidi"/>
          <w:b w:val="0"/>
          <w:bCs w:val="0"/>
          <w:sz w:val="22"/>
          <w:szCs w:val="22"/>
        </w:rPr>
      </w:pPr>
      <w:hyperlink w:anchor="_Toc455393368"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الثاني</w:t>
        </w:r>
        <w:r w:rsidR="006E665D">
          <w:rPr>
            <w:webHidden/>
          </w:rPr>
          <w:tab/>
        </w:r>
        <w:r w:rsidR="006E665D">
          <w:rPr>
            <w:webHidden/>
          </w:rPr>
          <w:fldChar w:fldCharType="begin"/>
        </w:r>
        <w:r w:rsidR="006E665D">
          <w:rPr>
            <w:webHidden/>
          </w:rPr>
          <w:instrText xml:space="preserve"> PAGEREF _Toc455393368 \h </w:instrText>
        </w:r>
        <w:r w:rsidR="006E665D">
          <w:rPr>
            <w:webHidden/>
          </w:rPr>
        </w:r>
        <w:r w:rsidR="006E665D">
          <w:rPr>
            <w:webHidden/>
          </w:rPr>
          <w:fldChar w:fldCharType="separate"/>
        </w:r>
        <w:r>
          <w:rPr>
            <w:webHidden/>
            <w:rtl/>
          </w:rPr>
          <w:t>63</w:t>
        </w:r>
        <w:r w:rsidR="006E665D">
          <w:rPr>
            <w:webHidden/>
          </w:rPr>
          <w:fldChar w:fldCharType="end"/>
        </w:r>
      </w:hyperlink>
    </w:p>
    <w:p w:rsidR="006E665D" w:rsidRDefault="002F66B9" w:rsidP="006E665D">
      <w:pPr>
        <w:pStyle w:val="TOC3"/>
        <w:tabs>
          <w:tab w:val="left" w:pos="2910"/>
        </w:tabs>
        <w:rPr>
          <w:rFonts w:asciiTheme="minorHAnsi" w:eastAsiaTheme="minorEastAsia" w:hAnsiTheme="minorHAnsi" w:cstheme="minorBidi"/>
          <w:sz w:val="22"/>
          <w:szCs w:val="22"/>
          <w:lang w:val="en-US"/>
        </w:rPr>
      </w:pPr>
      <w:hyperlink w:anchor="_Toc455393369" w:history="1">
        <w:r w:rsidR="006E665D" w:rsidRPr="004A5973">
          <w:rPr>
            <w:rStyle w:val="Hyperlink"/>
            <w:rFonts w:hint="eastAsia"/>
            <w:rtl/>
          </w:rPr>
          <w:t>البرنامج</w:t>
        </w:r>
        <w:r w:rsidR="006E665D" w:rsidRPr="004A5973">
          <w:rPr>
            <w:rStyle w:val="Hyperlink"/>
            <w:rtl/>
          </w:rPr>
          <w:t xml:space="preserve"> 5:</w:t>
        </w:r>
        <w:r w:rsidR="006E665D">
          <w:rPr>
            <w:rFonts w:asciiTheme="minorHAnsi" w:eastAsiaTheme="minorEastAsia" w:hAnsiTheme="minorHAnsi" w:cstheme="minorBidi"/>
            <w:sz w:val="22"/>
            <w:szCs w:val="22"/>
            <w:lang w:val="en-US"/>
          </w:rPr>
          <w:tab/>
        </w:r>
        <w:r w:rsidR="006E665D" w:rsidRPr="004A5973">
          <w:rPr>
            <w:rStyle w:val="Hyperlink"/>
            <w:rFonts w:hint="eastAsia"/>
            <w:rtl/>
          </w:rPr>
          <w:t>نظام</w:t>
        </w:r>
        <w:r w:rsidR="006E665D" w:rsidRPr="004A5973">
          <w:rPr>
            <w:rStyle w:val="Hyperlink"/>
            <w:rtl/>
          </w:rPr>
          <w:t xml:space="preserve"> </w:t>
        </w:r>
        <w:r w:rsidR="006E665D" w:rsidRPr="004A5973">
          <w:rPr>
            <w:rStyle w:val="Hyperlink"/>
            <w:rFonts w:hint="eastAsia"/>
            <w:rtl/>
          </w:rPr>
          <w:t>معاهدة</w:t>
        </w:r>
        <w:r w:rsidR="006E665D" w:rsidRPr="004A5973">
          <w:rPr>
            <w:rStyle w:val="Hyperlink"/>
            <w:rtl/>
          </w:rPr>
          <w:t xml:space="preserve"> </w:t>
        </w:r>
        <w:r w:rsidR="006E665D" w:rsidRPr="004A5973">
          <w:rPr>
            <w:rStyle w:val="Hyperlink"/>
            <w:rFonts w:hint="eastAsia"/>
            <w:rtl/>
          </w:rPr>
          <w:t>التعاون</w:t>
        </w:r>
        <w:r w:rsidR="006E665D" w:rsidRPr="004A5973">
          <w:rPr>
            <w:rStyle w:val="Hyperlink"/>
            <w:rtl/>
          </w:rPr>
          <w:t xml:space="preserve"> </w:t>
        </w:r>
        <w:r w:rsidR="006E665D" w:rsidRPr="004A5973">
          <w:rPr>
            <w:rStyle w:val="Hyperlink"/>
            <w:rFonts w:hint="eastAsia"/>
            <w:rtl/>
          </w:rPr>
          <w:t>بشأن</w:t>
        </w:r>
        <w:r w:rsidR="006E665D" w:rsidRPr="004A5973">
          <w:rPr>
            <w:rStyle w:val="Hyperlink"/>
            <w:rtl/>
          </w:rPr>
          <w:t xml:space="preserve"> </w:t>
        </w:r>
        <w:r w:rsidR="006E665D" w:rsidRPr="004A5973">
          <w:rPr>
            <w:rStyle w:val="Hyperlink"/>
            <w:rFonts w:hint="eastAsia"/>
            <w:rtl/>
          </w:rPr>
          <w:t>البراءات</w:t>
        </w:r>
        <w:r w:rsidR="006E665D">
          <w:rPr>
            <w:webHidden/>
          </w:rPr>
          <w:tab/>
        </w:r>
        <w:r w:rsidR="006E665D">
          <w:rPr>
            <w:webHidden/>
          </w:rPr>
          <w:fldChar w:fldCharType="begin"/>
        </w:r>
        <w:r w:rsidR="006E665D">
          <w:rPr>
            <w:webHidden/>
          </w:rPr>
          <w:instrText xml:space="preserve"> PAGEREF _Toc455393369 \h </w:instrText>
        </w:r>
        <w:r w:rsidR="006E665D">
          <w:rPr>
            <w:webHidden/>
          </w:rPr>
        </w:r>
        <w:r w:rsidR="006E665D">
          <w:rPr>
            <w:webHidden/>
          </w:rPr>
          <w:fldChar w:fldCharType="separate"/>
        </w:r>
        <w:r>
          <w:rPr>
            <w:webHidden/>
            <w:rtl/>
          </w:rPr>
          <w:t>67</w:t>
        </w:r>
        <w:r w:rsidR="006E665D">
          <w:rPr>
            <w:webHidden/>
          </w:rPr>
          <w:fldChar w:fldCharType="end"/>
        </w:r>
      </w:hyperlink>
    </w:p>
    <w:p w:rsidR="006E665D" w:rsidRDefault="002F66B9" w:rsidP="006E665D">
      <w:pPr>
        <w:pStyle w:val="TOC4"/>
        <w:rPr>
          <w:rFonts w:asciiTheme="minorHAnsi" w:hAnsiTheme="minorHAnsi" w:cstheme="minorBidi"/>
          <w:i w:val="0"/>
          <w:iCs w:val="0"/>
          <w:noProof/>
          <w:szCs w:val="22"/>
        </w:rPr>
      </w:pPr>
      <w:hyperlink w:anchor="_Toc455393370" w:history="1">
        <w:r w:rsidR="006E665D" w:rsidRPr="004A5973">
          <w:rPr>
            <w:rStyle w:val="Hyperlink"/>
            <w:rFonts w:hint="eastAsia"/>
            <w:noProof/>
            <w:rtl/>
          </w:rPr>
          <w:t>مرفق</w:t>
        </w:r>
        <w:r w:rsidR="006E665D" w:rsidRPr="004A5973">
          <w:rPr>
            <w:rStyle w:val="Hyperlink"/>
            <w:noProof/>
            <w:rtl/>
          </w:rPr>
          <w:t xml:space="preserve"> </w:t>
        </w:r>
        <w:r w:rsidR="006E665D" w:rsidRPr="004A5973">
          <w:rPr>
            <w:rStyle w:val="Hyperlink"/>
            <w:rFonts w:hint="eastAsia"/>
            <w:noProof/>
            <w:rtl/>
          </w:rPr>
          <w:t>البرنامج</w:t>
        </w:r>
        <w:r w:rsidR="006E665D" w:rsidRPr="004A5973">
          <w:rPr>
            <w:rStyle w:val="Hyperlink"/>
            <w:noProof/>
            <w:rtl/>
          </w:rPr>
          <w:t xml:space="preserve"> 5:</w:t>
        </w:r>
        <w:r w:rsidR="006E665D">
          <w:rPr>
            <w:rFonts w:asciiTheme="minorHAnsi" w:hAnsiTheme="minorHAnsi" w:cstheme="minorBidi"/>
            <w:i w:val="0"/>
            <w:iCs w:val="0"/>
            <w:noProof/>
            <w:szCs w:val="22"/>
          </w:rPr>
          <w:tab/>
        </w:r>
        <w:r w:rsidR="006E665D" w:rsidRPr="004A5973">
          <w:rPr>
            <w:rStyle w:val="Hyperlink"/>
            <w:rFonts w:hint="eastAsia"/>
            <w:noProof/>
            <w:rtl/>
          </w:rPr>
          <w:t>مؤشرات</w:t>
        </w:r>
        <w:r w:rsidR="006E665D" w:rsidRPr="004A5973">
          <w:rPr>
            <w:rStyle w:val="Hyperlink"/>
            <w:noProof/>
            <w:rtl/>
          </w:rPr>
          <w:t xml:space="preserve"> </w:t>
        </w:r>
        <w:r w:rsidR="006E665D" w:rsidRPr="004A5973">
          <w:rPr>
            <w:rStyle w:val="Hyperlink"/>
            <w:rFonts w:hint="eastAsia"/>
            <w:noProof/>
            <w:rtl/>
          </w:rPr>
          <w:t>عمليات</w:t>
        </w:r>
        <w:r w:rsidR="006E665D" w:rsidRPr="004A5973">
          <w:rPr>
            <w:rStyle w:val="Hyperlink"/>
            <w:noProof/>
            <w:rtl/>
          </w:rPr>
          <w:t xml:space="preserve"> </w:t>
        </w:r>
        <w:r w:rsidR="006E665D" w:rsidRPr="004A5973">
          <w:rPr>
            <w:rStyle w:val="Hyperlink"/>
            <w:rFonts w:hint="eastAsia"/>
            <w:noProof/>
            <w:rtl/>
          </w:rPr>
          <w:t>معاهدة</w:t>
        </w:r>
        <w:r w:rsidR="006E665D" w:rsidRPr="004A5973">
          <w:rPr>
            <w:rStyle w:val="Hyperlink"/>
            <w:noProof/>
            <w:rtl/>
          </w:rPr>
          <w:t xml:space="preserve"> </w:t>
        </w:r>
        <w:r w:rsidR="006E665D" w:rsidRPr="004A5973">
          <w:rPr>
            <w:rStyle w:val="Hyperlink"/>
            <w:rFonts w:hint="eastAsia"/>
            <w:noProof/>
            <w:rtl/>
          </w:rPr>
          <w:t>التعاون</w:t>
        </w:r>
        <w:r w:rsidR="006E665D" w:rsidRPr="004A5973">
          <w:rPr>
            <w:rStyle w:val="Hyperlink"/>
            <w:noProof/>
            <w:rtl/>
          </w:rPr>
          <w:t xml:space="preserve"> </w:t>
        </w:r>
        <w:r w:rsidR="006E665D" w:rsidRPr="004A5973">
          <w:rPr>
            <w:rStyle w:val="Hyperlink"/>
            <w:rFonts w:hint="eastAsia"/>
            <w:noProof/>
            <w:rtl/>
          </w:rPr>
          <w:t>بشأن</w:t>
        </w:r>
        <w:r w:rsidR="006E665D" w:rsidRPr="004A5973">
          <w:rPr>
            <w:rStyle w:val="Hyperlink"/>
            <w:noProof/>
            <w:rtl/>
          </w:rPr>
          <w:t xml:space="preserve"> </w:t>
        </w:r>
        <w:r w:rsidR="006E665D" w:rsidRPr="004A5973">
          <w:rPr>
            <w:rStyle w:val="Hyperlink"/>
            <w:rFonts w:hint="eastAsia"/>
            <w:noProof/>
            <w:rtl/>
          </w:rPr>
          <w:t>البراءات</w:t>
        </w:r>
        <w:r w:rsidR="006E665D">
          <w:rPr>
            <w:noProof/>
            <w:webHidden/>
          </w:rPr>
          <w:tab/>
        </w:r>
        <w:r w:rsidR="006E665D">
          <w:rPr>
            <w:noProof/>
            <w:webHidden/>
          </w:rPr>
          <w:fldChar w:fldCharType="begin"/>
        </w:r>
        <w:r w:rsidR="006E665D">
          <w:rPr>
            <w:noProof/>
            <w:webHidden/>
          </w:rPr>
          <w:instrText xml:space="preserve"> PAGEREF _Toc455393370 \h </w:instrText>
        </w:r>
        <w:r w:rsidR="006E665D">
          <w:rPr>
            <w:noProof/>
            <w:webHidden/>
          </w:rPr>
        </w:r>
        <w:r w:rsidR="006E665D">
          <w:rPr>
            <w:noProof/>
            <w:webHidden/>
          </w:rPr>
          <w:fldChar w:fldCharType="separate"/>
        </w:r>
        <w:r>
          <w:rPr>
            <w:noProof/>
            <w:webHidden/>
            <w:rtl/>
          </w:rPr>
          <w:t>74</w:t>
        </w:r>
        <w:r w:rsidR="006E665D">
          <w:rPr>
            <w:noProof/>
            <w:webHidden/>
          </w:rPr>
          <w:fldChar w:fldCharType="end"/>
        </w:r>
      </w:hyperlink>
    </w:p>
    <w:p w:rsidR="006E665D" w:rsidRDefault="002F66B9" w:rsidP="006E665D">
      <w:pPr>
        <w:pStyle w:val="TOC3"/>
        <w:rPr>
          <w:rFonts w:asciiTheme="minorHAnsi" w:eastAsiaTheme="minorEastAsia" w:hAnsiTheme="minorHAnsi" w:cstheme="minorBidi"/>
          <w:sz w:val="22"/>
          <w:szCs w:val="22"/>
          <w:lang w:val="en-US"/>
        </w:rPr>
      </w:pPr>
      <w:hyperlink w:anchor="_Toc455393371" w:history="1">
        <w:r w:rsidR="006E665D" w:rsidRPr="004A5973">
          <w:rPr>
            <w:rStyle w:val="Hyperlink"/>
            <w:rFonts w:hint="eastAsia"/>
            <w:rtl/>
          </w:rPr>
          <w:t>البرنامج</w:t>
        </w:r>
        <w:r w:rsidR="006E665D" w:rsidRPr="004A5973">
          <w:rPr>
            <w:rStyle w:val="Hyperlink"/>
            <w:rtl/>
          </w:rPr>
          <w:t xml:space="preserve"> 6:</w:t>
        </w:r>
        <w:r w:rsidR="006E665D">
          <w:rPr>
            <w:rFonts w:asciiTheme="minorHAnsi" w:eastAsiaTheme="minorEastAsia" w:hAnsiTheme="minorHAnsi" w:cstheme="minorBidi"/>
            <w:sz w:val="22"/>
            <w:szCs w:val="22"/>
            <w:lang w:val="en-US"/>
          </w:rPr>
          <w:tab/>
        </w:r>
        <w:r w:rsidR="006E665D" w:rsidRPr="004A5973">
          <w:rPr>
            <w:rStyle w:val="Hyperlink"/>
            <w:rFonts w:hint="eastAsia"/>
            <w:rtl/>
          </w:rPr>
          <w:t>نظاما</w:t>
        </w:r>
        <w:r w:rsidR="006E665D" w:rsidRPr="004A5973">
          <w:rPr>
            <w:rStyle w:val="Hyperlink"/>
            <w:rtl/>
          </w:rPr>
          <w:t xml:space="preserve"> </w:t>
        </w:r>
        <w:r w:rsidR="006E665D" w:rsidRPr="004A5973">
          <w:rPr>
            <w:rStyle w:val="Hyperlink"/>
            <w:rFonts w:hint="eastAsia"/>
            <w:rtl/>
          </w:rPr>
          <w:t>مدريد</w:t>
        </w:r>
        <w:r w:rsidR="006E665D" w:rsidRPr="004A5973">
          <w:rPr>
            <w:rStyle w:val="Hyperlink"/>
            <w:rtl/>
          </w:rPr>
          <w:t xml:space="preserve"> </w:t>
        </w:r>
        <w:r w:rsidR="006E665D" w:rsidRPr="004A5973">
          <w:rPr>
            <w:rStyle w:val="Hyperlink"/>
            <w:rFonts w:hint="eastAsia"/>
            <w:rtl/>
          </w:rPr>
          <w:t>ولشبونة</w:t>
        </w:r>
        <w:r w:rsidR="006E665D">
          <w:rPr>
            <w:webHidden/>
          </w:rPr>
          <w:tab/>
        </w:r>
        <w:r w:rsidR="006E665D">
          <w:rPr>
            <w:webHidden/>
          </w:rPr>
          <w:fldChar w:fldCharType="begin"/>
        </w:r>
        <w:r w:rsidR="006E665D">
          <w:rPr>
            <w:webHidden/>
          </w:rPr>
          <w:instrText xml:space="preserve"> PAGEREF _Toc455393371 \h </w:instrText>
        </w:r>
        <w:r w:rsidR="006E665D">
          <w:rPr>
            <w:webHidden/>
          </w:rPr>
        </w:r>
        <w:r w:rsidR="006E665D">
          <w:rPr>
            <w:webHidden/>
          </w:rPr>
          <w:fldChar w:fldCharType="separate"/>
        </w:r>
        <w:r>
          <w:rPr>
            <w:webHidden/>
            <w:rtl/>
          </w:rPr>
          <w:t>87</w:t>
        </w:r>
        <w:r w:rsidR="006E665D">
          <w:rPr>
            <w:webHidden/>
          </w:rPr>
          <w:fldChar w:fldCharType="end"/>
        </w:r>
      </w:hyperlink>
    </w:p>
    <w:p w:rsidR="006E665D" w:rsidRDefault="002F66B9" w:rsidP="006E665D">
      <w:pPr>
        <w:pStyle w:val="TOC4"/>
        <w:rPr>
          <w:rFonts w:asciiTheme="minorHAnsi" w:hAnsiTheme="minorHAnsi" w:cstheme="minorBidi"/>
          <w:i w:val="0"/>
          <w:iCs w:val="0"/>
          <w:noProof/>
          <w:szCs w:val="22"/>
        </w:rPr>
      </w:pPr>
      <w:hyperlink w:anchor="_Toc455393372" w:history="1">
        <w:r w:rsidR="006E665D" w:rsidRPr="004A5973">
          <w:rPr>
            <w:rStyle w:val="Hyperlink"/>
            <w:rFonts w:hint="eastAsia"/>
            <w:noProof/>
            <w:rtl/>
          </w:rPr>
          <w:t>مرفق</w:t>
        </w:r>
        <w:r w:rsidR="006E665D" w:rsidRPr="004A5973">
          <w:rPr>
            <w:rStyle w:val="Hyperlink"/>
            <w:noProof/>
            <w:rtl/>
          </w:rPr>
          <w:t xml:space="preserve"> </w:t>
        </w:r>
        <w:r w:rsidR="006E665D" w:rsidRPr="004A5973">
          <w:rPr>
            <w:rStyle w:val="Hyperlink"/>
            <w:rFonts w:hint="eastAsia"/>
            <w:noProof/>
            <w:rtl/>
          </w:rPr>
          <w:t>البرنامج</w:t>
        </w:r>
        <w:r w:rsidR="006E665D" w:rsidRPr="004A5973">
          <w:rPr>
            <w:rStyle w:val="Hyperlink"/>
            <w:noProof/>
            <w:rtl/>
          </w:rPr>
          <w:t xml:space="preserve"> 6:</w:t>
        </w:r>
        <w:r w:rsidR="006E665D">
          <w:rPr>
            <w:rFonts w:asciiTheme="minorHAnsi" w:hAnsiTheme="minorHAnsi" w:cstheme="minorBidi"/>
            <w:i w:val="0"/>
            <w:iCs w:val="0"/>
            <w:noProof/>
            <w:szCs w:val="22"/>
          </w:rPr>
          <w:tab/>
        </w:r>
        <w:r w:rsidR="006E665D" w:rsidRPr="004A5973">
          <w:rPr>
            <w:rStyle w:val="Hyperlink"/>
            <w:rFonts w:hint="eastAsia"/>
            <w:noProof/>
            <w:rtl/>
          </w:rPr>
          <w:t>مؤشرات</w:t>
        </w:r>
        <w:r w:rsidR="006E665D" w:rsidRPr="004A5973">
          <w:rPr>
            <w:rStyle w:val="Hyperlink"/>
            <w:noProof/>
            <w:rtl/>
          </w:rPr>
          <w:t xml:space="preserve"> </w:t>
        </w:r>
        <w:r w:rsidR="006E665D" w:rsidRPr="004A5973">
          <w:rPr>
            <w:rStyle w:val="Hyperlink"/>
            <w:rFonts w:hint="eastAsia"/>
            <w:noProof/>
            <w:rtl/>
          </w:rPr>
          <w:t>عمليات</w:t>
        </w:r>
        <w:r w:rsidR="006E665D" w:rsidRPr="004A5973">
          <w:rPr>
            <w:rStyle w:val="Hyperlink"/>
            <w:noProof/>
            <w:rtl/>
          </w:rPr>
          <w:t xml:space="preserve"> </w:t>
        </w:r>
        <w:r w:rsidR="006E665D" w:rsidRPr="004A5973">
          <w:rPr>
            <w:rStyle w:val="Hyperlink"/>
            <w:rFonts w:hint="eastAsia"/>
            <w:noProof/>
            <w:rtl/>
          </w:rPr>
          <w:t>نظام</w:t>
        </w:r>
        <w:r w:rsidR="006E665D" w:rsidRPr="004A5973">
          <w:rPr>
            <w:rStyle w:val="Hyperlink"/>
            <w:noProof/>
            <w:rtl/>
          </w:rPr>
          <w:t xml:space="preserve"> </w:t>
        </w:r>
        <w:r w:rsidR="006E665D" w:rsidRPr="004A5973">
          <w:rPr>
            <w:rStyle w:val="Hyperlink"/>
            <w:rFonts w:hint="eastAsia"/>
            <w:noProof/>
            <w:rtl/>
          </w:rPr>
          <w:t>مدريد</w:t>
        </w:r>
        <w:r w:rsidR="006E665D">
          <w:rPr>
            <w:noProof/>
            <w:webHidden/>
          </w:rPr>
          <w:tab/>
        </w:r>
        <w:r w:rsidR="006E665D">
          <w:rPr>
            <w:noProof/>
            <w:webHidden/>
          </w:rPr>
          <w:fldChar w:fldCharType="begin"/>
        </w:r>
        <w:r w:rsidR="006E665D">
          <w:rPr>
            <w:noProof/>
            <w:webHidden/>
          </w:rPr>
          <w:instrText xml:space="preserve"> PAGEREF _Toc455393372 \h </w:instrText>
        </w:r>
        <w:r w:rsidR="006E665D">
          <w:rPr>
            <w:noProof/>
            <w:webHidden/>
          </w:rPr>
        </w:r>
        <w:r w:rsidR="006E665D">
          <w:rPr>
            <w:noProof/>
            <w:webHidden/>
          </w:rPr>
          <w:fldChar w:fldCharType="separate"/>
        </w:r>
        <w:r>
          <w:rPr>
            <w:noProof/>
            <w:webHidden/>
            <w:rtl/>
          </w:rPr>
          <w:t>95</w:t>
        </w:r>
        <w:r w:rsidR="006E665D">
          <w:rPr>
            <w:noProof/>
            <w:webHidden/>
          </w:rPr>
          <w:fldChar w:fldCharType="end"/>
        </w:r>
      </w:hyperlink>
    </w:p>
    <w:p w:rsidR="006E665D" w:rsidRDefault="002F66B9" w:rsidP="006E665D">
      <w:pPr>
        <w:pStyle w:val="TOC3"/>
        <w:rPr>
          <w:rFonts w:asciiTheme="minorHAnsi" w:eastAsiaTheme="minorEastAsia" w:hAnsiTheme="minorHAnsi" w:cstheme="minorBidi"/>
          <w:sz w:val="22"/>
          <w:szCs w:val="22"/>
          <w:lang w:val="en-US"/>
        </w:rPr>
      </w:pPr>
      <w:hyperlink w:anchor="_Toc455393373" w:history="1">
        <w:r w:rsidR="006E665D" w:rsidRPr="004A5973">
          <w:rPr>
            <w:rStyle w:val="Hyperlink"/>
            <w:rFonts w:hint="eastAsia"/>
            <w:rtl/>
          </w:rPr>
          <w:t>البرنامج</w:t>
        </w:r>
        <w:r w:rsidR="006E665D" w:rsidRPr="004A5973">
          <w:rPr>
            <w:rStyle w:val="Hyperlink"/>
            <w:rtl/>
          </w:rPr>
          <w:t xml:space="preserve"> 31:</w:t>
        </w:r>
        <w:r w:rsidR="006E665D">
          <w:rPr>
            <w:rFonts w:asciiTheme="minorHAnsi" w:eastAsiaTheme="minorEastAsia" w:hAnsiTheme="minorHAnsi" w:cstheme="minorBidi"/>
            <w:sz w:val="22"/>
            <w:szCs w:val="22"/>
            <w:lang w:val="en-US"/>
          </w:rPr>
          <w:tab/>
        </w:r>
        <w:r w:rsidR="006E665D" w:rsidRPr="004A5973">
          <w:rPr>
            <w:rStyle w:val="Hyperlink"/>
            <w:rFonts w:hint="eastAsia"/>
            <w:rtl/>
          </w:rPr>
          <w:t>نظام</w:t>
        </w:r>
        <w:r w:rsidR="006E665D" w:rsidRPr="004A5973">
          <w:rPr>
            <w:rStyle w:val="Hyperlink"/>
            <w:rtl/>
          </w:rPr>
          <w:t xml:space="preserve"> </w:t>
        </w:r>
        <w:r w:rsidR="006E665D" w:rsidRPr="004A5973">
          <w:rPr>
            <w:rStyle w:val="Hyperlink"/>
            <w:rFonts w:hint="eastAsia"/>
            <w:rtl/>
          </w:rPr>
          <w:t>لاهاي</w:t>
        </w:r>
        <w:r w:rsidR="006E665D">
          <w:rPr>
            <w:webHidden/>
          </w:rPr>
          <w:tab/>
        </w:r>
        <w:r w:rsidR="006E665D">
          <w:rPr>
            <w:webHidden/>
          </w:rPr>
          <w:fldChar w:fldCharType="begin"/>
        </w:r>
        <w:r w:rsidR="006E665D">
          <w:rPr>
            <w:webHidden/>
          </w:rPr>
          <w:instrText xml:space="preserve"> PAGEREF _Toc455393373 \h </w:instrText>
        </w:r>
        <w:r w:rsidR="006E665D">
          <w:rPr>
            <w:webHidden/>
          </w:rPr>
        </w:r>
        <w:r w:rsidR="006E665D">
          <w:rPr>
            <w:webHidden/>
          </w:rPr>
          <w:fldChar w:fldCharType="separate"/>
        </w:r>
        <w:r>
          <w:rPr>
            <w:webHidden/>
            <w:rtl/>
          </w:rPr>
          <w:t>112</w:t>
        </w:r>
        <w:r w:rsidR="006E665D">
          <w:rPr>
            <w:webHidden/>
          </w:rPr>
          <w:fldChar w:fldCharType="end"/>
        </w:r>
      </w:hyperlink>
    </w:p>
    <w:p w:rsidR="006E665D" w:rsidRDefault="002F66B9" w:rsidP="006E665D">
      <w:pPr>
        <w:pStyle w:val="TOC4"/>
        <w:rPr>
          <w:rFonts w:asciiTheme="minorHAnsi" w:hAnsiTheme="minorHAnsi" w:cstheme="minorBidi"/>
          <w:i w:val="0"/>
          <w:iCs w:val="0"/>
          <w:noProof/>
          <w:szCs w:val="22"/>
        </w:rPr>
      </w:pPr>
      <w:hyperlink w:anchor="_Toc455393374" w:history="1">
        <w:r w:rsidR="006E665D" w:rsidRPr="004A5973">
          <w:rPr>
            <w:rStyle w:val="Hyperlink"/>
            <w:rFonts w:hint="eastAsia"/>
            <w:noProof/>
            <w:rtl/>
          </w:rPr>
          <w:t>مرفق</w:t>
        </w:r>
        <w:r w:rsidR="006E665D" w:rsidRPr="004A5973">
          <w:rPr>
            <w:rStyle w:val="Hyperlink"/>
            <w:noProof/>
            <w:rtl/>
          </w:rPr>
          <w:t xml:space="preserve"> </w:t>
        </w:r>
        <w:r w:rsidR="006E665D" w:rsidRPr="004A5973">
          <w:rPr>
            <w:rStyle w:val="Hyperlink"/>
            <w:rFonts w:hint="eastAsia"/>
            <w:noProof/>
            <w:rtl/>
          </w:rPr>
          <w:t>البرنامج</w:t>
        </w:r>
        <w:r w:rsidR="006E665D" w:rsidRPr="004A5973">
          <w:rPr>
            <w:rStyle w:val="Hyperlink"/>
            <w:noProof/>
            <w:rtl/>
          </w:rPr>
          <w:t xml:space="preserve"> 31:</w:t>
        </w:r>
        <w:r w:rsidR="006E665D">
          <w:rPr>
            <w:rFonts w:asciiTheme="minorHAnsi" w:hAnsiTheme="minorHAnsi" w:cstheme="minorBidi"/>
            <w:i w:val="0"/>
            <w:iCs w:val="0"/>
            <w:noProof/>
            <w:szCs w:val="22"/>
          </w:rPr>
          <w:tab/>
        </w:r>
        <w:r w:rsidR="006E665D" w:rsidRPr="004A5973">
          <w:rPr>
            <w:rStyle w:val="Hyperlink"/>
            <w:rFonts w:hint="eastAsia"/>
            <w:noProof/>
            <w:rtl/>
          </w:rPr>
          <w:t>مؤشرات</w:t>
        </w:r>
        <w:r w:rsidR="006E665D" w:rsidRPr="004A5973">
          <w:rPr>
            <w:rStyle w:val="Hyperlink"/>
            <w:noProof/>
            <w:rtl/>
          </w:rPr>
          <w:t xml:space="preserve"> </w:t>
        </w:r>
        <w:r w:rsidR="006E665D" w:rsidRPr="004A5973">
          <w:rPr>
            <w:rStyle w:val="Hyperlink"/>
            <w:rFonts w:hint="eastAsia"/>
            <w:noProof/>
            <w:rtl/>
          </w:rPr>
          <w:t>عمليات</w:t>
        </w:r>
        <w:r w:rsidR="006E665D" w:rsidRPr="004A5973">
          <w:rPr>
            <w:rStyle w:val="Hyperlink"/>
            <w:noProof/>
            <w:rtl/>
          </w:rPr>
          <w:t xml:space="preserve"> </w:t>
        </w:r>
        <w:r w:rsidR="006E665D" w:rsidRPr="004A5973">
          <w:rPr>
            <w:rStyle w:val="Hyperlink"/>
            <w:rFonts w:hint="eastAsia"/>
            <w:noProof/>
            <w:rtl/>
          </w:rPr>
          <w:t>نظام</w:t>
        </w:r>
        <w:r w:rsidR="006E665D" w:rsidRPr="004A5973">
          <w:rPr>
            <w:rStyle w:val="Hyperlink"/>
            <w:noProof/>
            <w:rtl/>
          </w:rPr>
          <w:t xml:space="preserve"> </w:t>
        </w:r>
        <w:r w:rsidR="006E665D" w:rsidRPr="004A5973">
          <w:rPr>
            <w:rStyle w:val="Hyperlink"/>
            <w:rFonts w:hint="eastAsia"/>
            <w:noProof/>
            <w:rtl/>
          </w:rPr>
          <w:t>لاهاي</w:t>
        </w:r>
        <w:r w:rsidR="006E665D">
          <w:rPr>
            <w:noProof/>
            <w:webHidden/>
          </w:rPr>
          <w:tab/>
        </w:r>
        <w:r w:rsidR="006E665D">
          <w:rPr>
            <w:noProof/>
            <w:webHidden/>
          </w:rPr>
          <w:fldChar w:fldCharType="begin"/>
        </w:r>
        <w:r w:rsidR="006E665D">
          <w:rPr>
            <w:noProof/>
            <w:webHidden/>
          </w:rPr>
          <w:instrText xml:space="preserve"> PAGEREF _Toc455393374 \h </w:instrText>
        </w:r>
        <w:r w:rsidR="006E665D">
          <w:rPr>
            <w:noProof/>
            <w:webHidden/>
          </w:rPr>
        </w:r>
        <w:r w:rsidR="006E665D">
          <w:rPr>
            <w:noProof/>
            <w:webHidden/>
          </w:rPr>
          <w:fldChar w:fldCharType="separate"/>
        </w:r>
        <w:r>
          <w:rPr>
            <w:noProof/>
            <w:webHidden/>
            <w:rtl/>
          </w:rPr>
          <w:t>117</w:t>
        </w:r>
        <w:r w:rsidR="006E665D">
          <w:rPr>
            <w:noProof/>
            <w:webHidden/>
          </w:rPr>
          <w:fldChar w:fldCharType="end"/>
        </w:r>
      </w:hyperlink>
    </w:p>
    <w:p w:rsidR="006E665D" w:rsidRDefault="002F66B9" w:rsidP="006E665D">
      <w:pPr>
        <w:pStyle w:val="TOC3"/>
        <w:tabs>
          <w:tab w:val="left" w:pos="3264"/>
        </w:tabs>
        <w:rPr>
          <w:rFonts w:asciiTheme="minorHAnsi" w:eastAsiaTheme="minorEastAsia" w:hAnsiTheme="minorHAnsi" w:cstheme="minorBidi"/>
          <w:sz w:val="22"/>
          <w:szCs w:val="22"/>
          <w:lang w:val="en-US"/>
        </w:rPr>
      </w:pPr>
      <w:hyperlink w:anchor="_Toc455393375" w:history="1">
        <w:r w:rsidR="006E665D" w:rsidRPr="004A5973">
          <w:rPr>
            <w:rStyle w:val="Hyperlink"/>
            <w:rFonts w:hint="eastAsia"/>
            <w:rtl/>
          </w:rPr>
          <w:t>البرنامج</w:t>
        </w:r>
        <w:r w:rsidR="006E665D" w:rsidRPr="004A5973">
          <w:rPr>
            <w:rStyle w:val="Hyperlink"/>
          </w:rPr>
          <w:t xml:space="preserve"> </w:t>
        </w:r>
        <w:r w:rsidR="006E665D" w:rsidRPr="004A5973">
          <w:rPr>
            <w:rStyle w:val="Hyperlink"/>
            <w:rtl/>
          </w:rPr>
          <w:t>7:</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التحكيم</w:t>
        </w:r>
        <w:r w:rsidR="006E665D" w:rsidRPr="004A5973">
          <w:rPr>
            <w:rStyle w:val="Hyperlink"/>
            <w:rtl/>
          </w:rPr>
          <w:t xml:space="preserve"> </w:t>
        </w:r>
        <w:r w:rsidR="006E665D" w:rsidRPr="004A5973">
          <w:rPr>
            <w:rStyle w:val="Hyperlink"/>
            <w:rFonts w:hint="eastAsia"/>
            <w:rtl/>
          </w:rPr>
          <w:t>والوساطة</w:t>
        </w:r>
        <w:r w:rsidR="006E665D" w:rsidRPr="004A5973">
          <w:rPr>
            <w:rStyle w:val="Hyperlink"/>
            <w:rtl/>
          </w:rPr>
          <w:t xml:space="preserve"> </w:t>
        </w:r>
        <w:r w:rsidR="006E665D" w:rsidRPr="004A5973">
          <w:rPr>
            <w:rStyle w:val="Hyperlink"/>
            <w:rFonts w:hint="eastAsia"/>
            <w:rtl/>
          </w:rPr>
          <w:t>وأسماء</w:t>
        </w:r>
        <w:r w:rsidR="006E665D" w:rsidRPr="004A5973">
          <w:rPr>
            <w:rStyle w:val="Hyperlink"/>
            <w:rtl/>
          </w:rPr>
          <w:t xml:space="preserve"> </w:t>
        </w:r>
        <w:r w:rsidR="006E665D" w:rsidRPr="004A5973">
          <w:rPr>
            <w:rStyle w:val="Hyperlink"/>
            <w:rFonts w:hint="eastAsia"/>
            <w:rtl/>
          </w:rPr>
          <w:t>الحقول</w:t>
        </w:r>
        <w:r w:rsidR="006E665D">
          <w:rPr>
            <w:webHidden/>
          </w:rPr>
          <w:tab/>
        </w:r>
        <w:r w:rsidR="006E665D">
          <w:rPr>
            <w:webHidden/>
          </w:rPr>
          <w:fldChar w:fldCharType="begin"/>
        </w:r>
        <w:r w:rsidR="006E665D">
          <w:rPr>
            <w:webHidden/>
          </w:rPr>
          <w:instrText xml:space="preserve"> PAGEREF _Toc455393375 \h </w:instrText>
        </w:r>
        <w:r w:rsidR="006E665D">
          <w:rPr>
            <w:webHidden/>
          </w:rPr>
        </w:r>
        <w:r w:rsidR="006E665D">
          <w:rPr>
            <w:webHidden/>
          </w:rPr>
          <w:fldChar w:fldCharType="separate"/>
        </w:r>
        <w:r>
          <w:rPr>
            <w:webHidden/>
            <w:rtl/>
          </w:rPr>
          <w:t>126</w:t>
        </w:r>
        <w:r w:rsidR="006E665D">
          <w:rPr>
            <w:webHidden/>
          </w:rPr>
          <w:fldChar w:fldCharType="end"/>
        </w:r>
      </w:hyperlink>
    </w:p>
    <w:p w:rsidR="006E665D" w:rsidRDefault="002F66B9" w:rsidP="006E665D">
      <w:pPr>
        <w:pStyle w:val="TOC2"/>
        <w:rPr>
          <w:rFonts w:asciiTheme="minorHAnsi" w:eastAsiaTheme="minorEastAsia" w:hAnsiTheme="minorHAnsi" w:cstheme="minorBidi"/>
          <w:b w:val="0"/>
          <w:bCs w:val="0"/>
          <w:sz w:val="22"/>
          <w:szCs w:val="22"/>
        </w:rPr>
      </w:pPr>
      <w:hyperlink w:anchor="_Toc455393376"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الثالث</w:t>
        </w:r>
        <w:r w:rsidR="006E665D">
          <w:rPr>
            <w:webHidden/>
          </w:rPr>
          <w:tab/>
        </w:r>
        <w:r w:rsidR="006E665D">
          <w:rPr>
            <w:webHidden/>
          </w:rPr>
          <w:fldChar w:fldCharType="begin"/>
        </w:r>
        <w:r w:rsidR="006E665D">
          <w:rPr>
            <w:webHidden/>
          </w:rPr>
          <w:instrText xml:space="preserve"> PAGEREF _Toc455393376 \h </w:instrText>
        </w:r>
        <w:r w:rsidR="006E665D">
          <w:rPr>
            <w:webHidden/>
          </w:rPr>
        </w:r>
        <w:r w:rsidR="006E665D">
          <w:rPr>
            <w:webHidden/>
          </w:rPr>
          <w:fldChar w:fldCharType="separate"/>
        </w:r>
        <w:r>
          <w:rPr>
            <w:webHidden/>
            <w:rtl/>
          </w:rPr>
          <w:t>132</w:t>
        </w:r>
        <w:r w:rsidR="006E665D">
          <w:rPr>
            <w:webHidden/>
          </w:rPr>
          <w:fldChar w:fldCharType="end"/>
        </w:r>
      </w:hyperlink>
    </w:p>
    <w:p w:rsidR="006E665D" w:rsidRDefault="002F66B9" w:rsidP="006E665D">
      <w:pPr>
        <w:pStyle w:val="TOC3"/>
        <w:rPr>
          <w:rFonts w:asciiTheme="minorHAnsi" w:eastAsiaTheme="minorEastAsia" w:hAnsiTheme="minorHAnsi" w:cstheme="minorBidi"/>
          <w:sz w:val="22"/>
          <w:szCs w:val="22"/>
          <w:lang w:val="en-US"/>
        </w:rPr>
      </w:pPr>
      <w:hyperlink w:anchor="_Toc455393377" w:history="1">
        <w:r w:rsidR="006E665D" w:rsidRPr="004A5973">
          <w:rPr>
            <w:rStyle w:val="Hyperlink"/>
            <w:rFonts w:hint="eastAsia"/>
            <w:rtl/>
          </w:rPr>
          <w:t>البرنامج</w:t>
        </w:r>
        <w:r w:rsidR="006E665D" w:rsidRPr="004A5973">
          <w:rPr>
            <w:rStyle w:val="Hyperlink"/>
            <w:rtl/>
          </w:rPr>
          <w:t xml:space="preserve"> 8:</w:t>
        </w:r>
        <w:r w:rsidR="006E665D">
          <w:rPr>
            <w:rFonts w:asciiTheme="minorHAnsi" w:eastAsiaTheme="minorEastAsia" w:hAnsiTheme="minorHAnsi" w:cstheme="minorBidi"/>
            <w:sz w:val="22"/>
            <w:szCs w:val="22"/>
            <w:lang w:val="en-US"/>
          </w:rPr>
          <w:tab/>
        </w:r>
        <w:r w:rsidR="006E665D" w:rsidRPr="004A5973">
          <w:rPr>
            <w:rStyle w:val="Hyperlink"/>
            <w:rFonts w:hint="eastAsia"/>
            <w:rtl/>
          </w:rPr>
          <w:t>تنسيق</w:t>
        </w:r>
        <w:r w:rsidR="006E665D" w:rsidRPr="004A5973">
          <w:rPr>
            <w:rStyle w:val="Hyperlink"/>
            <w:rtl/>
          </w:rPr>
          <w:t xml:space="preserve"> </w:t>
        </w:r>
        <w:r w:rsidR="006E665D" w:rsidRPr="004A5973">
          <w:rPr>
            <w:rStyle w:val="Hyperlink"/>
            <w:rFonts w:hint="eastAsia"/>
            <w:rtl/>
          </w:rPr>
          <w:t>جدول</w:t>
        </w:r>
        <w:r w:rsidR="006E665D" w:rsidRPr="004A5973">
          <w:rPr>
            <w:rStyle w:val="Hyperlink"/>
            <w:rtl/>
          </w:rPr>
          <w:t xml:space="preserve"> </w:t>
        </w:r>
        <w:r w:rsidR="006E665D" w:rsidRPr="004A5973">
          <w:rPr>
            <w:rStyle w:val="Hyperlink"/>
            <w:rFonts w:hint="eastAsia"/>
            <w:rtl/>
          </w:rPr>
          <w:t>أعمال</w:t>
        </w:r>
        <w:r w:rsidR="006E665D" w:rsidRPr="004A5973">
          <w:rPr>
            <w:rStyle w:val="Hyperlink"/>
            <w:rtl/>
          </w:rPr>
          <w:t xml:space="preserve"> </w:t>
        </w:r>
        <w:r w:rsidR="006E665D" w:rsidRPr="004A5973">
          <w:rPr>
            <w:rStyle w:val="Hyperlink"/>
            <w:rFonts w:hint="eastAsia"/>
            <w:rtl/>
          </w:rPr>
          <w:t>التنمية</w:t>
        </w:r>
        <w:r w:rsidR="006E665D">
          <w:rPr>
            <w:webHidden/>
          </w:rPr>
          <w:tab/>
        </w:r>
        <w:r w:rsidR="006E665D">
          <w:rPr>
            <w:webHidden/>
          </w:rPr>
          <w:fldChar w:fldCharType="begin"/>
        </w:r>
        <w:r w:rsidR="006E665D">
          <w:rPr>
            <w:webHidden/>
          </w:rPr>
          <w:instrText xml:space="preserve"> PAGEREF _Toc455393377 \h </w:instrText>
        </w:r>
        <w:r w:rsidR="006E665D">
          <w:rPr>
            <w:webHidden/>
          </w:rPr>
        </w:r>
        <w:r w:rsidR="006E665D">
          <w:rPr>
            <w:webHidden/>
          </w:rPr>
          <w:fldChar w:fldCharType="separate"/>
        </w:r>
        <w:r>
          <w:rPr>
            <w:webHidden/>
            <w:rtl/>
          </w:rPr>
          <w:t>137</w:t>
        </w:r>
        <w:r w:rsidR="006E665D">
          <w:rPr>
            <w:webHidden/>
          </w:rPr>
          <w:fldChar w:fldCharType="end"/>
        </w:r>
      </w:hyperlink>
    </w:p>
    <w:p w:rsidR="006E665D" w:rsidRDefault="002F66B9" w:rsidP="006E665D">
      <w:pPr>
        <w:pStyle w:val="TOC3"/>
        <w:tabs>
          <w:tab w:val="left" w:pos="6800"/>
        </w:tabs>
        <w:rPr>
          <w:rFonts w:asciiTheme="minorHAnsi" w:eastAsiaTheme="minorEastAsia" w:hAnsiTheme="minorHAnsi" w:cstheme="minorBidi"/>
          <w:sz w:val="22"/>
          <w:szCs w:val="22"/>
          <w:lang w:val="en-US"/>
        </w:rPr>
      </w:pPr>
      <w:hyperlink w:anchor="_Toc455393378" w:history="1">
        <w:r w:rsidR="006E665D" w:rsidRPr="004A5973">
          <w:rPr>
            <w:rStyle w:val="Hyperlink"/>
            <w:rFonts w:hint="eastAsia"/>
            <w:rtl/>
          </w:rPr>
          <w:t>البرنامج</w:t>
        </w:r>
        <w:r w:rsidR="006E665D" w:rsidRPr="004A5973">
          <w:rPr>
            <w:rStyle w:val="Hyperlink"/>
            <w:rtl/>
          </w:rPr>
          <w:t xml:space="preserve"> 9:</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البلدان</w:t>
        </w:r>
        <w:r w:rsidR="006E665D" w:rsidRPr="004A5973">
          <w:rPr>
            <w:rStyle w:val="Hyperlink"/>
            <w:rtl/>
          </w:rPr>
          <w:t xml:space="preserve"> </w:t>
        </w:r>
        <w:r w:rsidR="006E665D" w:rsidRPr="004A5973">
          <w:rPr>
            <w:rStyle w:val="Hyperlink"/>
            <w:rFonts w:hint="eastAsia"/>
            <w:rtl/>
          </w:rPr>
          <w:t>الأفريقية</w:t>
        </w:r>
        <w:r w:rsidR="006E665D" w:rsidRPr="004A5973">
          <w:rPr>
            <w:rStyle w:val="Hyperlink"/>
            <w:rtl/>
          </w:rPr>
          <w:t xml:space="preserve"> </w:t>
        </w:r>
        <w:r w:rsidR="006E665D" w:rsidRPr="004A5973">
          <w:rPr>
            <w:rStyle w:val="Hyperlink"/>
            <w:rFonts w:hint="eastAsia"/>
            <w:rtl/>
          </w:rPr>
          <w:t>والعربية</w:t>
        </w:r>
        <w:r w:rsidR="006E665D" w:rsidRPr="004A5973">
          <w:rPr>
            <w:rStyle w:val="Hyperlink"/>
            <w:rtl/>
          </w:rPr>
          <w:t xml:space="preserve"> </w:t>
        </w:r>
        <w:r w:rsidR="006E665D" w:rsidRPr="004A5973">
          <w:rPr>
            <w:rStyle w:val="Hyperlink"/>
            <w:rFonts w:hint="eastAsia"/>
            <w:rtl/>
          </w:rPr>
          <w:t>وبلدان</w:t>
        </w:r>
        <w:r w:rsidR="006E665D" w:rsidRPr="004A5973">
          <w:rPr>
            <w:rStyle w:val="Hyperlink"/>
            <w:rtl/>
          </w:rPr>
          <w:t xml:space="preserve"> </w:t>
        </w:r>
        <w:r w:rsidR="006E665D" w:rsidRPr="004A5973">
          <w:rPr>
            <w:rStyle w:val="Hyperlink"/>
            <w:rFonts w:hint="eastAsia"/>
            <w:rtl/>
          </w:rPr>
          <w:t>آسيا</w:t>
        </w:r>
        <w:r w:rsidR="006E665D" w:rsidRPr="004A5973">
          <w:rPr>
            <w:rStyle w:val="Hyperlink"/>
            <w:rtl/>
          </w:rPr>
          <w:t xml:space="preserve"> </w:t>
        </w:r>
        <w:r w:rsidR="006E665D" w:rsidRPr="004A5973">
          <w:rPr>
            <w:rStyle w:val="Hyperlink"/>
            <w:rFonts w:hint="eastAsia"/>
            <w:rtl/>
          </w:rPr>
          <w:t>والمحيط</w:t>
        </w:r>
        <w:r w:rsidR="006E665D" w:rsidRPr="004A5973">
          <w:rPr>
            <w:rStyle w:val="Hyperlink"/>
            <w:rtl/>
          </w:rPr>
          <w:t xml:space="preserve"> </w:t>
        </w:r>
        <w:r w:rsidR="006E665D" w:rsidRPr="004A5973">
          <w:rPr>
            <w:rStyle w:val="Hyperlink"/>
            <w:rFonts w:hint="eastAsia"/>
            <w:rtl/>
          </w:rPr>
          <w:t>الهادئ</w:t>
        </w:r>
        <w:r w:rsidR="006E665D" w:rsidRPr="004A5973">
          <w:rPr>
            <w:rStyle w:val="Hyperlink"/>
            <w:rtl/>
          </w:rPr>
          <w:t xml:space="preserve"> </w:t>
        </w:r>
        <w:r w:rsidR="006E665D" w:rsidRPr="004A5973">
          <w:rPr>
            <w:rStyle w:val="Hyperlink"/>
            <w:rFonts w:hint="eastAsia"/>
            <w:rtl/>
          </w:rPr>
          <w:t>وأمريكا</w:t>
        </w:r>
        <w:r w:rsidR="006E665D" w:rsidRPr="004A5973">
          <w:rPr>
            <w:rStyle w:val="Hyperlink"/>
            <w:rtl/>
          </w:rPr>
          <w:t xml:space="preserve"> </w:t>
        </w:r>
        <w:r w:rsidR="006E665D" w:rsidRPr="004A5973">
          <w:rPr>
            <w:rStyle w:val="Hyperlink"/>
            <w:rFonts w:hint="eastAsia"/>
            <w:rtl/>
          </w:rPr>
          <w:t>اللاتينية</w:t>
        </w:r>
        <w:r w:rsidR="006E665D" w:rsidRPr="004A5973">
          <w:rPr>
            <w:rStyle w:val="Hyperlink"/>
            <w:rtl/>
          </w:rPr>
          <w:t xml:space="preserve"> </w:t>
        </w:r>
        <w:r w:rsidR="006E665D" w:rsidRPr="004A5973">
          <w:rPr>
            <w:rStyle w:val="Hyperlink"/>
            <w:rFonts w:hint="eastAsia"/>
            <w:rtl/>
          </w:rPr>
          <w:t>والكاريبي</w:t>
        </w:r>
        <w:r w:rsidR="006E665D" w:rsidRPr="004A5973">
          <w:rPr>
            <w:rStyle w:val="Hyperlink"/>
            <w:rtl/>
          </w:rPr>
          <w:t xml:space="preserve"> </w:t>
        </w:r>
        <w:r w:rsidR="006E665D" w:rsidRPr="004A5973">
          <w:rPr>
            <w:rStyle w:val="Hyperlink"/>
            <w:rFonts w:hint="eastAsia"/>
            <w:rtl/>
          </w:rPr>
          <w:t>والبلدان</w:t>
        </w:r>
        <w:r w:rsidR="006E665D" w:rsidRPr="004A5973">
          <w:rPr>
            <w:rStyle w:val="Hyperlink"/>
            <w:rtl/>
          </w:rPr>
          <w:t xml:space="preserve"> </w:t>
        </w:r>
        <w:r w:rsidR="006E665D" w:rsidRPr="004A5973">
          <w:rPr>
            <w:rStyle w:val="Hyperlink"/>
            <w:rFonts w:hint="eastAsia"/>
            <w:rtl/>
          </w:rPr>
          <w:t>الأقل</w:t>
        </w:r>
        <w:r w:rsidR="006E665D" w:rsidRPr="004A5973">
          <w:rPr>
            <w:rStyle w:val="Hyperlink"/>
            <w:rtl/>
          </w:rPr>
          <w:t xml:space="preserve"> </w:t>
        </w:r>
        <w:r w:rsidR="006E665D" w:rsidRPr="004A5973">
          <w:rPr>
            <w:rStyle w:val="Hyperlink"/>
            <w:rFonts w:hint="eastAsia"/>
            <w:rtl/>
          </w:rPr>
          <w:t>نموا</w:t>
        </w:r>
        <w:r w:rsidR="006E665D">
          <w:rPr>
            <w:webHidden/>
          </w:rPr>
          <w:tab/>
        </w:r>
        <w:r w:rsidR="006E665D">
          <w:rPr>
            <w:webHidden/>
          </w:rPr>
          <w:fldChar w:fldCharType="begin"/>
        </w:r>
        <w:r w:rsidR="006E665D">
          <w:rPr>
            <w:webHidden/>
          </w:rPr>
          <w:instrText xml:space="preserve"> PAGEREF _Toc455393378 \h </w:instrText>
        </w:r>
        <w:r w:rsidR="006E665D">
          <w:rPr>
            <w:webHidden/>
          </w:rPr>
        </w:r>
        <w:r w:rsidR="006E665D">
          <w:rPr>
            <w:webHidden/>
          </w:rPr>
          <w:fldChar w:fldCharType="separate"/>
        </w:r>
        <w:r>
          <w:rPr>
            <w:webHidden/>
            <w:rtl/>
          </w:rPr>
          <w:t>142</w:t>
        </w:r>
        <w:r w:rsidR="006E665D">
          <w:rPr>
            <w:webHidden/>
          </w:rPr>
          <w:fldChar w:fldCharType="end"/>
        </w:r>
      </w:hyperlink>
    </w:p>
    <w:p w:rsidR="006E665D" w:rsidRDefault="002F66B9" w:rsidP="006E665D">
      <w:pPr>
        <w:pStyle w:val="TOC3"/>
        <w:tabs>
          <w:tab w:val="left" w:pos="3172"/>
        </w:tabs>
        <w:rPr>
          <w:rFonts w:asciiTheme="minorHAnsi" w:eastAsiaTheme="minorEastAsia" w:hAnsiTheme="minorHAnsi" w:cstheme="minorBidi"/>
          <w:sz w:val="22"/>
          <w:szCs w:val="22"/>
          <w:lang w:val="en-US"/>
        </w:rPr>
      </w:pPr>
      <w:hyperlink w:anchor="_Toc455393379" w:history="1">
        <w:r w:rsidR="006E665D" w:rsidRPr="004A5973">
          <w:rPr>
            <w:rStyle w:val="Hyperlink"/>
            <w:rFonts w:hint="eastAsia"/>
            <w:rtl/>
          </w:rPr>
          <w:t>البرنامج</w:t>
        </w:r>
        <w:r w:rsidR="006E665D" w:rsidRPr="004A5973">
          <w:rPr>
            <w:rStyle w:val="Hyperlink"/>
            <w:rtl/>
          </w:rPr>
          <w:t xml:space="preserve"> 10:</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التعاون</w:t>
        </w:r>
        <w:r w:rsidR="006E665D" w:rsidRPr="004A5973">
          <w:rPr>
            <w:rStyle w:val="Hyperlink"/>
            <w:rtl/>
          </w:rPr>
          <w:t xml:space="preserve"> </w:t>
        </w:r>
        <w:r w:rsidR="006E665D" w:rsidRPr="004A5973">
          <w:rPr>
            <w:rStyle w:val="Hyperlink"/>
            <w:rFonts w:hint="eastAsia"/>
            <w:rtl/>
          </w:rPr>
          <w:t>مع</w:t>
        </w:r>
        <w:r w:rsidR="006E665D" w:rsidRPr="004A5973">
          <w:rPr>
            <w:rStyle w:val="Hyperlink"/>
            <w:rtl/>
          </w:rPr>
          <w:t xml:space="preserve"> </w:t>
        </w:r>
        <w:r w:rsidR="006E665D" w:rsidRPr="004A5973">
          <w:rPr>
            <w:rStyle w:val="Hyperlink"/>
            <w:rFonts w:hint="eastAsia"/>
            <w:rtl/>
          </w:rPr>
          <w:t>بلدان</w:t>
        </w:r>
        <w:r w:rsidR="006E665D" w:rsidRPr="004A5973">
          <w:rPr>
            <w:rStyle w:val="Hyperlink"/>
            <w:rtl/>
          </w:rPr>
          <w:t xml:space="preserve"> </w:t>
        </w:r>
        <w:r w:rsidR="006E665D" w:rsidRPr="004A5973">
          <w:rPr>
            <w:rStyle w:val="Hyperlink"/>
            <w:rFonts w:hint="eastAsia"/>
            <w:rtl/>
          </w:rPr>
          <w:t>معينة</w:t>
        </w:r>
        <w:r w:rsidR="006E665D" w:rsidRPr="004A5973">
          <w:rPr>
            <w:rStyle w:val="Hyperlink"/>
            <w:rtl/>
          </w:rPr>
          <w:t xml:space="preserve"> </w:t>
        </w:r>
        <w:r w:rsidR="006E665D" w:rsidRPr="004A5973">
          <w:rPr>
            <w:rStyle w:val="Hyperlink"/>
            <w:rFonts w:hint="eastAsia"/>
            <w:rtl/>
          </w:rPr>
          <w:t>في</w:t>
        </w:r>
        <w:r w:rsidR="006E665D" w:rsidRPr="004A5973">
          <w:rPr>
            <w:rStyle w:val="Hyperlink"/>
            <w:rtl/>
          </w:rPr>
          <w:t xml:space="preserve"> </w:t>
        </w:r>
        <w:r w:rsidR="006E665D" w:rsidRPr="004A5973">
          <w:rPr>
            <w:rStyle w:val="Hyperlink"/>
            <w:rFonts w:hint="eastAsia"/>
            <w:rtl/>
          </w:rPr>
          <w:t>أوروبا</w:t>
        </w:r>
        <w:r w:rsidR="006E665D" w:rsidRPr="004A5973">
          <w:rPr>
            <w:rStyle w:val="Hyperlink"/>
            <w:rtl/>
          </w:rPr>
          <w:t xml:space="preserve"> </w:t>
        </w:r>
        <w:r w:rsidR="006E665D" w:rsidRPr="004A5973">
          <w:rPr>
            <w:rStyle w:val="Hyperlink"/>
            <w:rFonts w:hint="eastAsia"/>
            <w:rtl/>
          </w:rPr>
          <w:t>وآسيا</w:t>
        </w:r>
        <w:r w:rsidR="006E665D">
          <w:rPr>
            <w:webHidden/>
          </w:rPr>
          <w:tab/>
        </w:r>
        <w:r w:rsidR="006E665D">
          <w:rPr>
            <w:webHidden/>
          </w:rPr>
          <w:fldChar w:fldCharType="begin"/>
        </w:r>
        <w:r w:rsidR="006E665D">
          <w:rPr>
            <w:webHidden/>
          </w:rPr>
          <w:instrText xml:space="preserve"> PAGEREF _Toc455393379 \h </w:instrText>
        </w:r>
        <w:r w:rsidR="006E665D">
          <w:rPr>
            <w:webHidden/>
          </w:rPr>
        </w:r>
        <w:r w:rsidR="006E665D">
          <w:rPr>
            <w:webHidden/>
          </w:rPr>
          <w:fldChar w:fldCharType="separate"/>
        </w:r>
        <w:r>
          <w:rPr>
            <w:webHidden/>
            <w:rtl/>
          </w:rPr>
          <w:t>155</w:t>
        </w:r>
        <w:r w:rsidR="006E665D">
          <w:rPr>
            <w:webHidden/>
          </w:rPr>
          <w:fldChar w:fldCharType="end"/>
        </w:r>
      </w:hyperlink>
    </w:p>
    <w:p w:rsidR="006E665D" w:rsidRDefault="002F66B9" w:rsidP="006E665D">
      <w:pPr>
        <w:pStyle w:val="TOC3"/>
        <w:rPr>
          <w:rFonts w:asciiTheme="minorHAnsi" w:eastAsiaTheme="minorEastAsia" w:hAnsiTheme="minorHAnsi" w:cstheme="minorBidi"/>
          <w:sz w:val="22"/>
          <w:szCs w:val="22"/>
          <w:lang w:val="en-US"/>
        </w:rPr>
      </w:pPr>
      <w:hyperlink w:anchor="_Toc455393380" w:history="1">
        <w:r w:rsidR="006E665D" w:rsidRPr="004A5973">
          <w:rPr>
            <w:rStyle w:val="Hyperlink"/>
            <w:rFonts w:hint="eastAsia"/>
            <w:rtl/>
          </w:rPr>
          <w:t>البرنامج</w:t>
        </w:r>
        <w:r w:rsidR="006E665D" w:rsidRPr="004A5973">
          <w:rPr>
            <w:rStyle w:val="Hyperlink"/>
            <w:rtl/>
          </w:rPr>
          <w:t xml:space="preserve"> 11:</w:t>
        </w:r>
        <w:r w:rsidR="006E665D">
          <w:rPr>
            <w:rFonts w:asciiTheme="minorHAnsi" w:eastAsiaTheme="minorEastAsia" w:hAnsiTheme="minorHAnsi" w:cstheme="minorBidi"/>
            <w:sz w:val="22"/>
            <w:szCs w:val="22"/>
            <w:lang w:val="en-US"/>
          </w:rPr>
          <w:tab/>
        </w:r>
        <w:r w:rsidR="006E665D" w:rsidRPr="004A5973">
          <w:rPr>
            <w:rStyle w:val="Hyperlink"/>
            <w:rFonts w:hint="eastAsia"/>
            <w:rtl/>
          </w:rPr>
          <w:t>أكاديمية</w:t>
        </w:r>
        <w:r w:rsidR="006E665D" w:rsidRPr="004A5973">
          <w:rPr>
            <w:rStyle w:val="Hyperlink"/>
            <w:rtl/>
          </w:rPr>
          <w:t xml:space="preserve"> </w:t>
        </w:r>
        <w:r w:rsidR="006E665D" w:rsidRPr="004A5973">
          <w:rPr>
            <w:rStyle w:val="Hyperlink"/>
            <w:rFonts w:hint="eastAsia"/>
            <w:rtl/>
          </w:rPr>
          <w:t>الويبو</w:t>
        </w:r>
        <w:r w:rsidR="006E665D">
          <w:rPr>
            <w:webHidden/>
          </w:rPr>
          <w:tab/>
        </w:r>
        <w:r w:rsidR="006E665D">
          <w:rPr>
            <w:webHidden/>
          </w:rPr>
          <w:fldChar w:fldCharType="begin"/>
        </w:r>
        <w:r w:rsidR="006E665D">
          <w:rPr>
            <w:webHidden/>
          </w:rPr>
          <w:instrText xml:space="preserve"> PAGEREF _Toc455393380 \h </w:instrText>
        </w:r>
        <w:r w:rsidR="006E665D">
          <w:rPr>
            <w:webHidden/>
          </w:rPr>
        </w:r>
        <w:r w:rsidR="006E665D">
          <w:rPr>
            <w:webHidden/>
          </w:rPr>
          <w:fldChar w:fldCharType="separate"/>
        </w:r>
        <w:r>
          <w:rPr>
            <w:webHidden/>
            <w:rtl/>
          </w:rPr>
          <w:t>163</w:t>
        </w:r>
        <w:r w:rsidR="006E665D">
          <w:rPr>
            <w:webHidden/>
          </w:rPr>
          <w:fldChar w:fldCharType="end"/>
        </w:r>
      </w:hyperlink>
    </w:p>
    <w:p w:rsidR="006E665D" w:rsidRDefault="002F66B9" w:rsidP="006E665D">
      <w:pPr>
        <w:pStyle w:val="TOC3"/>
        <w:tabs>
          <w:tab w:val="left" w:pos="3076"/>
        </w:tabs>
        <w:rPr>
          <w:rFonts w:asciiTheme="minorHAnsi" w:eastAsiaTheme="minorEastAsia" w:hAnsiTheme="minorHAnsi" w:cstheme="minorBidi"/>
          <w:sz w:val="22"/>
          <w:szCs w:val="22"/>
          <w:lang w:val="en-US"/>
        </w:rPr>
      </w:pPr>
      <w:hyperlink w:anchor="_Toc455393381" w:history="1">
        <w:r w:rsidR="006E665D" w:rsidRPr="004A5973">
          <w:rPr>
            <w:rStyle w:val="Hyperlink"/>
            <w:rFonts w:hint="eastAsia"/>
            <w:rtl/>
          </w:rPr>
          <w:t>البرنامج</w:t>
        </w:r>
        <w:r w:rsidR="006E665D" w:rsidRPr="004A5973">
          <w:rPr>
            <w:rStyle w:val="Hyperlink"/>
            <w:rtl/>
          </w:rPr>
          <w:t xml:space="preserve"> 30:</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الشركات</w:t>
        </w:r>
        <w:r w:rsidR="006E665D" w:rsidRPr="004A5973">
          <w:rPr>
            <w:rStyle w:val="Hyperlink"/>
            <w:rtl/>
          </w:rPr>
          <w:t xml:space="preserve"> </w:t>
        </w:r>
        <w:r w:rsidR="006E665D" w:rsidRPr="004A5973">
          <w:rPr>
            <w:rStyle w:val="Hyperlink"/>
            <w:rFonts w:hint="eastAsia"/>
            <w:rtl/>
          </w:rPr>
          <w:t>الصغيرة</w:t>
        </w:r>
        <w:r w:rsidR="006E665D" w:rsidRPr="004A5973">
          <w:rPr>
            <w:rStyle w:val="Hyperlink"/>
            <w:rtl/>
          </w:rPr>
          <w:t xml:space="preserve"> </w:t>
        </w:r>
        <w:r w:rsidR="006E665D" w:rsidRPr="004A5973">
          <w:rPr>
            <w:rStyle w:val="Hyperlink"/>
            <w:rFonts w:hint="eastAsia"/>
            <w:rtl/>
          </w:rPr>
          <w:t>والمتوسطة</w:t>
        </w:r>
        <w:r w:rsidR="006E665D" w:rsidRPr="004A5973">
          <w:rPr>
            <w:rStyle w:val="Hyperlink"/>
            <w:rtl/>
          </w:rPr>
          <w:t xml:space="preserve"> </w:t>
        </w:r>
        <w:r w:rsidR="006E665D" w:rsidRPr="004A5973">
          <w:rPr>
            <w:rStyle w:val="Hyperlink"/>
            <w:rFonts w:hint="eastAsia"/>
            <w:rtl/>
          </w:rPr>
          <w:t>والابتكار</w:t>
        </w:r>
        <w:r w:rsidR="006E665D">
          <w:rPr>
            <w:webHidden/>
          </w:rPr>
          <w:tab/>
        </w:r>
        <w:r w:rsidR="006E665D">
          <w:rPr>
            <w:webHidden/>
          </w:rPr>
          <w:fldChar w:fldCharType="begin"/>
        </w:r>
        <w:r w:rsidR="006E665D">
          <w:rPr>
            <w:webHidden/>
          </w:rPr>
          <w:instrText xml:space="preserve"> PAGEREF _Toc455393381 \h </w:instrText>
        </w:r>
        <w:r w:rsidR="006E665D">
          <w:rPr>
            <w:webHidden/>
          </w:rPr>
        </w:r>
        <w:r w:rsidR="006E665D">
          <w:rPr>
            <w:webHidden/>
          </w:rPr>
          <w:fldChar w:fldCharType="separate"/>
        </w:r>
        <w:r>
          <w:rPr>
            <w:webHidden/>
            <w:rtl/>
          </w:rPr>
          <w:t>172</w:t>
        </w:r>
        <w:r w:rsidR="006E665D">
          <w:rPr>
            <w:webHidden/>
          </w:rPr>
          <w:fldChar w:fldCharType="end"/>
        </w:r>
      </w:hyperlink>
    </w:p>
    <w:p w:rsidR="006E665D" w:rsidRDefault="002F66B9" w:rsidP="006E665D">
      <w:pPr>
        <w:pStyle w:val="TOC2"/>
        <w:rPr>
          <w:rFonts w:asciiTheme="minorHAnsi" w:eastAsiaTheme="minorEastAsia" w:hAnsiTheme="minorHAnsi" w:cstheme="minorBidi"/>
          <w:b w:val="0"/>
          <w:bCs w:val="0"/>
          <w:sz w:val="22"/>
          <w:szCs w:val="22"/>
        </w:rPr>
      </w:pPr>
      <w:hyperlink w:anchor="_Toc455393382"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الرابع</w:t>
        </w:r>
        <w:r w:rsidR="006E665D">
          <w:rPr>
            <w:webHidden/>
          </w:rPr>
          <w:tab/>
        </w:r>
        <w:r w:rsidR="006E665D">
          <w:rPr>
            <w:webHidden/>
          </w:rPr>
          <w:fldChar w:fldCharType="begin"/>
        </w:r>
        <w:r w:rsidR="006E665D">
          <w:rPr>
            <w:webHidden/>
          </w:rPr>
          <w:instrText xml:space="preserve"> PAGEREF _Toc455393382 \h </w:instrText>
        </w:r>
        <w:r w:rsidR="006E665D">
          <w:rPr>
            <w:webHidden/>
          </w:rPr>
        </w:r>
        <w:r w:rsidR="006E665D">
          <w:rPr>
            <w:webHidden/>
          </w:rPr>
          <w:fldChar w:fldCharType="separate"/>
        </w:r>
        <w:r>
          <w:rPr>
            <w:webHidden/>
            <w:rtl/>
          </w:rPr>
          <w:t>180</w:t>
        </w:r>
        <w:r w:rsidR="006E665D">
          <w:rPr>
            <w:webHidden/>
          </w:rPr>
          <w:fldChar w:fldCharType="end"/>
        </w:r>
      </w:hyperlink>
    </w:p>
    <w:p w:rsidR="006E665D" w:rsidRDefault="002F66B9" w:rsidP="006E665D">
      <w:pPr>
        <w:pStyle w:val="TOC3"/>
        <w:rPr>
          <w:rFonts w:asciiTheme="minorHAnsi" w:eastAsiaTheme="minorEastAsia" w:hAnsiTheme="minorHAnsi" w:cstheme="minorBidi"/>
          <w:sz w:val="22"/>
          <w:szCs w:val="22"/>
          <w:lang w:val="en-US"/>
        </w:rPr>
      </w:pPr>
      <w:hyperlink w:anchor="_Toc455393383" w:history="1">
        <w:r w:rsidR="006E665D" w:rsidRPr="004A5973">
          <w:rPr>
            <w:rStyle w:val="Hyperlink"/>
            <w:rFonts w:hint="eastAsia"/>
            <w:rtl/>
          </w:rPr>
          <w:t>البرنامج</w:t>
        </w:r>
        <w:r w:rsidR="006E665D" w:rsidRPr="004A5973">
          <w:rPr>
            <w:rStyle w:val="Hyperlink"/>
            <w:rtl/>
          </w:rPr>
          <w:t xml:space="preserve"> 12:</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التصنيفات</w:t>
        </w:r>
        <w:r w:rsidR="006E665D" w:rsidRPr="004A5973">
          <w:rPr>
            <w:rStyle w:val="Hyperlink"/>
            <w:rtl/>
          </w:rPr>
          <w:t xml:space="preserve"> </w:t>
        </w:r>
        <w:r w:rsidR="006E665D" w:rsidRPr="004A5973">
          <w:rPr>
            <w:rStyle w:val="Hyperlink"/>
            <w:rFonts w:hint="eastAsia"/>
            <w:rtl/>
          </w:rPr>
          <w:t>والمعايير</w:t>
        </w:r>
        <w:r w:rsidR="006E665D" w:rsidRPr="004A5973">
          <w:rPr>
            <w:rStyle w:val="Hyperlink"/>
            <w:rtl/>
          </w:rPr>
          <w:t xml:space="preserve"> </w:t>
        </w:r>
        <w:r w:rsidR="006E665D" w:rsidRPr="004A5973">
          <w:rPr>
            <w:rStyle w:val="Hyperlink"/>
            <w:rFonts w:hint="eastAsia"/>
            <w:rtl/>
          </w:rPr>
          <w:t>الدولية</w:t>
        </w:r>
        <w:r w:rsidR="006E665D">
          <w:rPr>
            <w:webHidden/>
          </w:rPr>
          <w:tab/>
        </w:r>
        <w:r w:rsidR="006E665D">
          <w:rPr>
            <w:webHidden/>
          </w:rPr>
          <w:fldChar w:fldCharType="begin"/>
        </w:r>
        <w:r w:rsidR="006E665D">
          <w:rPr>
            <w:webHidden/>
          </w:rPr>
          <w:instrText xml:space="preserve"> PAGEREF _Toc455393383 \h </w:instrText>
        </w:r>
        <w:r w:rsidR="006E665D">
          <w:rPr>
            <w:webHidden/>
          </w:rPr>
        </w:r>
        <w:r w:rsidR="006E665D">
          <w:rPr>
            <w:webHidden/>
          </w:rPr>
          <w:fldChar w:fldCharType="separate"/>
        </w:r>
        <w:r>
          <w:rPr>
            <w:webHidden/>
            <w:rtl/>
          </w:rPr>
          <w:t>184</w:t>
        </w:r>
        <w:r w:rsidR="006E665D">
          <w:rPr>
            <w:webHidden/>
          </w:rPr>
          <w:fldChar w:fldCharType="end"/>
        </w:r>
      </w:hyperlink>
    </w:p>
    <w:p w:rsidR="006E665D" w:rsidRDefault="002F66B9" w:rsidP="006E665D">
      <w:pPr>
        <w:pStyle w:val="TOC3"/>
        <w:rPr>
          <w:rFonts w:asciiTheme="minorHAnsi" w:eastAsiaTheme="minorEastAsia" w:hAnsiTheme="minorHAnsi" w:cstheme="minorBidi"/>
          <w:sz w:val="22"/>
          <w:szCs w:val="22"/>
          <w:lang w:val="en-US"/>
        </w:rPr>
      </w:pPr>
      <w:hyperlink w:anchor="_Toc455393384" w:history="1">
        <w:r w:rsidR="006E665D" w:rsidRPr="004A5973">
          <w:rPr>
            <w:rStyle w:val="Hyperlink"/>
            <w:rFonts w:hint="eastAsia"/>
            <w:rtl/>
          </w:rPr>
          <w:t>البرنامج</w:t>
        </w:r>
        <w:r w:rsidR="006E665D" w:rsidRPr="004A5973">
          <w:rPr>
            <w:rStyle w:val="Hyperlink"/>
            <w:rtl/>
          </w:rPr>
          <w:t xml:space="preserve"> 13:</w:t>
        </w:r>
        <w:r w:rsidR="006E665D">
          <w:rPr>
            <w:rFonts w:asciiTheme="minorHAnsi" w:eastAsiaTheme="minorEastAsia" w:hAnsiTheme="minorHAnsi" w:cstheme="minorBidi"/>
            <w:sz w:val="22"/>
            <w:szCs w:val="22"/>
            <w:lang w:val="en-US"/>
          </w:rPr>
          <w:tab/>
        </w:r>
        <w:r w:rsidR="006E665D" w:rsidRPr="004A5973">
          <w:rPr>
            <w:rStyle w:val="Hyperlink"/>
            <w:rFonts w:hint="eastAsia"/>
            <w:rtl/>
          </w:rPr>
          <w:t>قواعد</w:t>
        </w:r>
        <w:r w:rsidR="006E665D" w:rsidRPr="004A5973">
          <w:rPr>
            <w:rStyle w:val="Hyperlink"/>
            <w:rtl/>
          </w:rPr>
          <w:t xml:space="preserve"> </w:t>
        </w:r>
        <w:r w:rsidR="006E665D" w:rsidRPr="004A5973">
          <w:rPr>
            <w:rStyle w:val="Hyperlink"/>
            <w:rFonts w:hint="eastAsia"/>
            <w:rtl/>
          </w:rPr>
          <w:t>البيانات</w:t>
        </w:r>
        <w:r w:rsidR="006E665D" w:rsidRPr="004A5973">
          <w:rPr>
            <w:rStyle w:val="Hyperlink"/>
            <w:rtl/>
          </w:rPr>
          <w:t xml:space="preserve"> </w:t>
        </w:r>
        <w:r w:rsidR="006E665D" w:rsidRPr="004A5973">
          <w:rPr>
            <w:rStyle w:val="Hyperlink"/>
            <w:rFonts w:hint="eastAsia"/>
            <w:rtl/>
          </w:rPr>
          <w:t>العالمية</w:t>
        </w:r>
        <w:r w:rsidR="006E665D">
          <w:rPr>
            <w:webHidden/>
          </w:rPr>
          <w:tab/>
        </w:r>
        <w:r w:rsidR="006E665D">
          <w:rPr>
            <w:webHidden/>
          </w:rPr>
          <w:fldChar w:fldCharType="begin"/>
        </w:r>
        <w:r w:rsidR="006E665D">
          <w:rPr>
            <w:webHidden/>
          </w:rPr>
          <w:instrText xml:space="preserve"> PAGEREF _Toc455393384 \h </w:instrText>
        </w:r>
        <w:r w:rsidR="006E665D">
          <w:rPr>
            <w:webHidden/>
          </w:rPr>
        </w:r>
        <w:r w:rsidR="006E665D">
          <w:rPr>
            <w:webHidden/>
          </w:rPr>
          <w:fldChar w:fldCharType="separate"/>
        </w:r>
        <w:r>
          <w:rPr>
            <w:webHidden/>
            <w:rtl/>
          </w:rPr>
          <w:t>188</w:t>
        </w:r>
        <w:r w:rsidR="006E665D">
          <w:rPr>
            <w:webHidden/>
          </w:rPr>
          <w:fldChar w:fldCharType="end"/>
        </w:r>
      </w:hyperlink>
    </w:p>
    <w:p w:rsidR="006E665D" w:rsidRDefault="002F66B9" w:rsidP="006E665D">
      <w:pPr>
        <w:pStyle w:val="TOC3"/>
        <w:tabs>
          <w:tab w:val="left" w:pos="3596"/>
        </w:tabs>
        <w:rPr>
          <w:rFonts w:asciiTheme="minorHAnsi" w:eastAsiaTheme="minorEastAsia" w:hAnsiTheme="minorHAnsi" w:cstheme="minorBidi"/>
          <w:sz w:val="22"/>
          <w:szCs w:val="22"/>
          <w:lang w:val="en-US"/>
        </w:rPr>
      </w:pPr>
      <w:hyperlink w:anchor="_Toc455393385" w:history="1">
        <w:r w:rsidR="006E665D" w:rsidRPr="004A5973">
          <w:rPr>
            <w:rStyle w:val="Hyperlink"/>
            <w:rFonts w:hint="eastAsia"/>
            <w:rtl/>
          </w:rPr>
          <w:t>البرنامج</w:t>
        </w:r>
        <w:r w:rsidR="006E665D" w:rsidRPr="004A5973">
          <w:rPr>
            <w:rStyle w:val="Hyperlink"/>
          </w:rPr>
          <w:t xml:space="preserve"> </w:t>
        </w:r>
        <w:r w:rsidR="006E665D" w:rsidRPr="004A5973">
          <w:rPr>
            <w:rStyle w:val="Hyperlink"/>
            <w:rtl/>
          </w:rPr>
          <w:t>14:</w:t>
        </w:r>
        <w:r w:rsidR="006E665D">
          <w:rPr>
            <w:rFonts w:asciiTheme="minorHAnsi" w:eastAsiaTheme="minorEastAsia" w:hAnsiTheme="minorHAnsi" w:cstheme="minorBidi"/>
            <w:sz w:val="22"/>
            <w:szCs w:val="22"/>
            <w:lang w:val="en-US"/>
          </w:rPr>
          <w:tab/>
        </w:r>
        <w:r w:rsidR="006E665D" w:rsidRPr="004A5973">
          <w:rPr>
            <w:rStyle w:val="Hyperlink"/>
            <w:rFonts w:hint="eastAsia"/>
            <w:rtl/>
          </w:rPr>
          <w:t>خدمات</w:t>
        </w:r>
        <w:r w:rsidR="006E665D" w:rsidRPr="004A5973">
          <w:rPr>
            <w:rStyle w:val="Hyperlink"/>
            <w:rtl/>
          </w:rPr>
          <w:t xml:space="preserve"> </w:t>
        </w:r>
        <w:r w:rsidR="006E665D" w:rsidRPr="004A5973">
          <w:rPr>
            <w:rStyle w:val="Hyperlink"/>
            <w:rFonts w:hint="eastAsia"/>
            <w:rtl/>
          </w:rPr>
          <w:t>النفاذ</w:t>
        </w:r>
        <w:r w:rsidR="006E665D" w:rsidRPr="004A5973">
          <w:rPr>
            <w:rStyle w:val="Hyperlink"/>
            <w:rtl/>
          </w:rPr>
          <w:t xml:space="preserve"> </w:t>
        </w:r>
        <w:r w:rsidR="006E665D" w:rsidRPr="004A5973">
          <w:rPr>
            <w:rStyle w:val="Hyperlink"/>
            <w:rFonts w:hint="eastAsia"/>
            <w:rtl/>
          </w:rPr>
          <w:t>إلى</w:t>
        </w:r>
        <w:r w:rsidR="006E665D" w:rsidRPr="004A5973">
          <w:rPr>
            <w:rStyle w:val="Hyperlink"/>
            <w:rtl/>
          </w:rPr>
          <w:t xml:space="preserve"> </w:t>
        </w:r>
        <w:r w:rsidR="006E665D" w:rsidRPr="004A5973">
          <w:rPr>
            <w:rStyle w:val="Hyperlink"/>
            <w:rFonts w:hint="eastAsia"/>
            <w:rtl/>
          </w:rPr>
          <w:t>المعلومات</w:t>
        </w:r>
        <w:r w:rsidR="006E665D" w:rsidRPr="004A5973">
          <w:rPr>
            <w:rStyle w:val="Hyperlink"/>
            <w:rtl/>
          </w:rPr>
          <w:t xml:space="preserve"> </w:t>
        </w:r>
        <w:r w:rsidR="006E665D" w:rsidRPr="004A5973">
          <w:rPr>
            <w:rStyle w:val="Hyperlink"/>
            <w:rFonts w:hint="eastAsia"/>
            <w:rtl/>
          </w:rPr>
          <w:t>والمعارف</w:t>
        </w:r>
        <w:r w:rsidR="006E665D">
          <w:rPr>
            <w:webHidden/>
          </w:rPr>
          <w:tab/>
        </w:r>
        <w:r w:rsidR="006E665D">
          <w:rPr>
            <w:webHidden/>
          </w:rPr>
          <w:fldChar w:fldCharType="begin"/>
        </w:r>
        <w:r w:rsidR="006E665D">
          <w:rPr>
            <w:webHidden/>
          </w:rPr>
          <w:instrText xml:space="preserve"> PAGEREF _Toc455393385 \h </w:instrText>
        </w:r>
        <w:r w:rsidR="006E665D">
          <w:rPr>
            <w:webHidden/>
          </w:rPr>
        </w:r>
        <w:r w:rsidR="006E665D">
          <w:rPr>
            <w:webHidden/>
          </w:rPr>
          <w:fldChar w:fldCharType="separate"/>
        </w:r>
        <w:r>
          <w:rPr>
            <w:webHidden/>
            <w:rtl/>
          </w:rPr>
          <w:t>194</w:t>
        </w:r>
        <w:r w:rsidR="006E665D">
          <w:rPr>
            <w:webHidden/>
          </w:rPr>
          <w:fldChar w:fldCharType="end"/>
        </w:r>
      </w:hyperlink>
    </w:p>
    <w:p w:rsidR="006E665D" w:rsidRDefault="002F66B9" w:rsidP="006E665D">
      <w:pPr>
        <w:pStyle w:val="TOC3"/>
        <w:tabs>
          <w:tab w:val="left" w:pos="3437"/>
        </w:tabs>
        <w:rPr>
          <w:rFonts w:asciiTheme="minorHAnsi" w:eastAsiaTheme="minorEastAsia" w:hAnsiTheme="minorHAnsi" w:cstheme="minorBidi"/>
          <w:sz w:val="22"/>
          <w:szCs w:val="22"/>
          <w:lang w:val="en-US"/>
        </w:rPr>
      </w:pPr>
      <w:hyperlink w:anchor="_Toc455393386" w:history="1">
        <w:r w:rsidR="006E665D" w:rsidRPr="004A5973">
          <w:rPr>
            <w:rStyle w:val="Hyperlink"/>
            <w:rFonts w:hint="eastAsia"/>
            <w:rtl/>
          </w:rPr>
          <w:t>البرنامج</w:t>
        </w:r>
        <w:r w:rsidR="006E665D" w:rsidRPr="004A5973">
          <w:rPr>
            <w:rStyle w:val="Hyperlink"/>
          </w:rPr>
          <w:t xml:space="preserve"> </w:t>
        </w:r>
        <w:r w:rsidR="006E665D" w:rsidRPr="004A5973">
          <w:rPr>
            <w:rStyle w:val="Hyperlink"/>
            <w:rtl/>
          </w:rPr>
          <w:t>15:</w:t>
        </w:r>
        <w:r w:rsidR="006E665D">
          <w:rPr>
            <w:rFonts w:asciiTheme="minorHAnsi" w:eastAsiaTheme="minorEastAsia" w:hAnsiTheme="minorHAnsi" w:cstheme="minorBidi"/>
            <w:sz w:val="22"/>
            <w:szCs w:val="22"/>
            <w:lang w:val="en-US"/>
          </w:rPr>
          <w:tab/>
        </w:r>
        <w:r w:rsidR="006E665D" w:rsidRPr="004A5973">
          <w:rPr>
            <w:rStyle w:val="Hyperlink"/>
            <w:rFonts w:hint="eastAsia"/>
            <w:rtl/>
          </w:rPr>
          <w:t>حلول</w:t>
        </w:r>
        <w:r w:rsidR="006E665D" w:rsidRPr="004A5973">
          <w:rPr>
            <w:rStyle w:val="Hyperlink"/>
            <w:rtl/>
          </w:rPr>
          <w:t xml:space="preserve"> </w:t>
        </w:r>
        <w:r w:rsidR="006E665D" w:rsidRPr="004A5973">
          <w:rPr>
            <w:rStyle w:val="Hyperlink"/>
            <w:rFonts w:hint="eastAsia"/>
            <w:rtl/>
          </w:rPr>
          <w:t>لأعمال</w:t>
        </w:r>
        <w:r w:rsidR="006E665D" w:rsidRPr="004A5973">
          <w:rPr>
            <w:rStyle w:val="Hyperlink"/>
            <w:rtl/>
          </w:rPr>
          <w:t xml:space="preserve"> </w:t>
        </w:r>
        <w:r w:rsidR="006E665D" w:rsidRPr="004A5973">
          <w:rPr>
            <w:rStyle w:val="Hyperlink"/>
            <w:rFonts w:hint="eastAsia"/>
            <w:rtl/>
          </w:rPr>
          <w:t>مكاتب</w:t>
        </w:r>
        <w:r w:rsidR="006E665D" w:rsidRPr="004A5973">
          <w:rPr>
            <w:rStyle w:val="Hyperlink"/>
            <w:rtl/>
          </w:rPr>
          <w:t xml:space="preserve"> </w:t>
        </w:r>
        <w:r w:rsidR="006E665D" w:rsidRPr="004A5973">
          <w:rPr>
            <w:rStyle w:val="Hyperlink"/>
            <w:rFonts w:hint="eastAsia"/>
            <w:rtl/>
          </w:rPr>
          <w:t>الملكية</w:t>
        </w:r>
        <w:r w:rsidR="006E665D" w:rsidRPr="004A5973">
          <w:rPr>
            <w:rStyle w:val="Hyperlink"/>
            <w:rtl/>
          </w:rPr>
          <w:t xml:space="preserve"> </w:t>
        </w:r>
        <w:r w:rsidR="006E665D" w:rsidRPr="004A5973">
          <w:rPr>
            <w:rStyle w:val="Hyperlink"/>
            <w:rFonts w:hint="eastAsia"/>
            <w:rtl/>
          </w:rPr>
          <w:t>الفكرية</w:t>
        </w:r>
        <w:r w:rsidR="006E665D">
          <w:rPr>
            <w:webHidden/>
          </w:rPr>
          <w:tab/>
        </w:r>
        <w:r w:rsidR="006E665D">
          <w:rPr>
            <w:webHidden/>
          </w:rPr>
          <w:fldChar w:fldCharType="begin"/>
        </w:r>
        <w:r w:rsidR="006E665D">
          <w:rPr>
            <w:webHidden/>
          </w:rPr>
          <w:instrText xml:space="preserve"> PAGEREF _Toc455393386 \h </w:instrText>
        </w:r>
        <w:r w:rsidR="006E665D">
          <w:rPr>
            <w:webHidden/>
          </w:rPr>
        </w:r>
        <w:r w:rsidR="006E665D">
          <w:rPr>
            <w:webHidden/>
          </w:rPr>
          <w:fldChar w:fldCharType="separate"/>
        </w:r>
        <w:r>
          <w:rPr>
            <w:webHidden/>
            <w:rtl/>
          </w:rPr>
          <w:t>199</w:t>
        </w:r>
        <w:r w:rsidR="006E665D">
          <w:rPr>
            <w:webHidden/>
          </w:rPr>
          <w:fldChar w:fldCharType="end"/>
        </w:r>
      </w:hyperlink>
    </w:p>
    <w:p w:rsidR="006E665D" w:rsidRDefault="002F66B9" w:rsidP="006E665D">
      <w:pPr>
        <w:pStyle w:val="TOC2"/>
        <w:rPr>
          <w:rFonts w:asciiTheme="minorHAnsi" w:eastAsiaTheme="minorEastAsia" w:hAnsiTheme="minorHAnsi" w:cstheme="minorBidi"/>
          <w:b w:val="0"/>
          <w:bCs w:val="0"/>
          <w:sz w:val="22"/>
          <w:szCs w:val="22"/>
        </w:rPr>
      </w:pPr>
      <w:hyperlink w:anchor="_Toc455393387"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الخامس</w:t>
        </w:r>
        <w:r w:rsidR="006E665D">
          <w:rPr>
            <w:webHidden/>
          </w:rPr>
          <w:tab/>
        </w:r>
        <w:r w:rsidR="006E665D">
          <w:rPr>
            <w:webHidden/>
          </w:rPr>
          <w:fldChar w:fldCharType="begin"/>
        </w:r>
        <w:r w:rsidR="006E665D">
          <w:rPr>
            <w:webHidden/>
          </w:rPr>
          <w:instrText xml:space="preserve"> PAGEREF _Toc455393387 \h </w:instrText>
        </w:r>
        <w:r w:rsidR="006E665D">
          <w:rPr>
            <w:webHidden/>
          </w:rPr>
        </w:r>
        <w:r w:rsidR="006E665D">
          <w:rPr>
            <w:webHidden/>
          </w:rPr>
          <w:fldChar w:fldCharType="separate"/>
        </w:r>
        <w:r>
          <w:rPr>
            <w:webHidden/>
            <w:rtl/>
          </w:rPr>
          <w:t>204</w:t>
        </w:r>
        <w:r w:rsidR="006E665D">
          <w:rPr>
            <w:webHidden/>
          </w:rPr>
          <w:fldChar w:fldCharType="end"/>
        </w:r>
      </w:hyperlink>
    </w:p>
    <w:p w:rsidR="006E665D" w:rsidRDefault="002F66B9" w:rsidP="006E665D">
      <w:pPr>
        <w:pStyle w:val="TOC3"/>
        <w:rPr>
          <w:rFonts w:asciiTheme="minorHAnsi" w:eastAsiaTheme="minorEastAsia" w:hAnsiTheme="minorHAnsi" w:cstheme="minorBidi"/>
          <w:sz w:val="22"/>
          <w:szCs w:val="22"/>
          <w:lang w:val="en-US"/>
        </w:rPr>
      </w:pPr>
      <w:hyperlink w:anchor="_Toc455393388" w:history="1">
        <w:r w:rsidR="006E665D" w:rsidRPr="004A5973">
          <w:rPr>
            <w:rStyle w:val="Hyperlink"/>
            <w:rFonts w:hint="eastAsia"/>
            <w:rtl/>
          </w:rPr>
          <w:t>البرنامج</w:t>
        </w:r>
        <w:r w:rsidR="006E665D" w:rsidRPr="004A5973">
          <w:rPr>
            <w:rStyle w:val="Hyperlink"/>
            <w:rtl/>
          </w:rPr>
          <w:t xml:space="preserve"> 16:</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الاقتصاد</w:t>
        </w:r>
        <w:r w:rsidR="006E665D" w:rsidRPr="004A5973">
          <w:rPr>
            <w:rStyle w:val="Hyperlink"/>
            <w:rtl/>
          </w:rPr>
          <w:t xml:space="preserve"> </w:t>
        </w:r>
        <w:r w:rsidR="006E665D" w:rsidRPr="004A5973">
          <w:rPr>
            <w:rStyle w:val="Hyperlink"/>
            <w:rFonts w:hint="eastAsia"/>
            <w:rtl/>
          </w:rPr>
          <w:t>والإحصاء</w:t>
        </w:r>
        <w:r w:rsidR="006E665D">
          <w:rPr>
            <w:webHidden/>
          </w:rPr>
          <w:tab/>
        </w:r>
        <w:r w:rsidR="006E665D">
          <w:rPr>
            <w:webHidden/>
          </w:rPr>
          <w:fldChar w:fldCharType="begin"/>
        </w:r>
        <w:r w:rsidR="006E665D">
          <w:rPr>
            <w:webHidden/>
          </w:rPr>
          <w:instrText xml:space="preserve"> PAGEREF _Toc455393388 \h </w:instrText>
        </w:r>
        <w:r w:rsidR="006E665D">
          <w:rPr>
            <w:webHidden/>
          </w:rPr>
        </w:r>
        <w:r w:rsidR="006E665D">
          <w:rPr>
            <w:webHidden/>
          </w:rPr>
          <w:fldChar w:fldCharType="separate"/>
        </w:r>
        <w:r>
          <w:rPr>
            <w:webHidden/>
            <w:rtl/>
          </w:rPr>
          <w:t>205</w:t>
        </w:r>
        <w:r w:rsidR="006E665D">
          <w:rPr>
            <w:webHidden/>
          </w:rPr>
          <w:fldChar w:fldCharType="end"/>
        </w:r>
      </w:hyperlink>
    </w:p>
    <w:p w:rsidR="006E665D" w:rsidRDefault="002F66B9" w:rsidP="006E665D">
      <w:pPr>
        <w:pStyle w:val="TOC2"/>
        <w:rPr>
          <w:rFonts w:asciiTheme="minorHAnsi" w:eastAsiaTheme="minorEastAsia" w:hAnsiTheme="minorHAnsi" w:cstheme="minorBidi"/>
          <w:b w:val="0"/>
          <w:bCs w:val="0"/>
          <w:sz w:val="22"/>
          <w:szCs w:val="22"/>
        </w:rPr>
      </w:pPr>
      <w:hyperlink w:anchor="_Toc455393389"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السادس</w:t>
        </w:r>
        <w:r w:rsidR="006E665D">
          <w:rPr>
            <w:webHidden/>
          </w:rPr>
          <w:tab/>
        </w:r>
        <w:r w:rsidR="006E665D">
          <w:rPr>
            <w:webHidden/>
          </w:rPr>
          <w:fldChar w:fldCharType="begin"/>
        </w:r>
        <w:r w:rsidR="006E665D">
          <w:rPr>
            <w:webHidden/>
          </w:rPr>
          <w:instrText xml:space="preserve"> PAGEREF _Toc455393389 \h </w:instrText>
        </w:r>
        <w:r w:rsidR="006E665D">
          <w:rPr>
            <w:webHidden/>
          </w:rPr>
        </w:r>
        <w:r w:rsidR="006E665D">
          <w:rPr>
            <w:webHidden/>
          </w:rPr>
          <w:fldChar w:fldCharType="separate"/>
        </w:r>
        <w:r>
          <w:rPr>
            <w:webHidden/>
            <w:rtl/>
          </w:rPr>
          <w:t>210</w:t>
        </w:r>
        <w:r w:rsidR="006E665D">
          <w:rPr>
            <w:webHidden/>
          </w:rPr>
          <w:fldChar w:fldCharType="end"/>
        </w:r>
      </w:hyperlink>
    </w:p>
    <w:p w:rsidR="006E665D" w:rsidRDefault="002F66B9" w:rsidP="006E665D">
      <w:pPr>
        <w:pStyle w:val="TOC3"/>
        <w:tabs>
          <w:tab w:val="left" w:pos="3085"/>
        </w:tabs>
        <w:rPr>
          <w:rFonts w:asciiTheme="minorHAnsi" w:eastAsiaTheme="minorEastAsia" w:hAnsiTheme="minorHAnsi" w:cstheme="minorBidi"/>
          <w:sz w:val="22"/>
          <w:szCs w:val="22"/>
          <w:lang w:val="en-US"/>
        </w:rPr>
      </w:pPr>
      <w:hyperlink w:anchor="_Toc455393390" w:history="1">
        <w:r w:rsidR="006E665D" w:rsidRPr="004A5973">
          <w:rPr>
            <w:rStyle w:val="Hyperlink"/>
            <w:rFonts w:hint="eastAsia"/>
            <w:rtl/>
          </w:rPr>
          <w:t>البرنامج</w:t>
        </w:r>
        <w:r w:rsidR="006E665D" w:rsidRPr="004A5973">
          <w:rPr>
            <w:rStyle w:val="Hyperlink"/>
          </w:rPr>
          <w:t xml:space="preserve"> </w:t>
        </w:r>
        <w:r w:rsidR="006E665D" w:rsidRPr="004A5973">
          <w:rPr>
            <w:rStyle w:val="Hyperlink"/>
            <w:rtl/>
          </w:rPr>
          <w:t>17:</w:t>
        </w:r>
        <w:r w:rsidR="006E665D">
          <w:rPr>
            <w:rFonts w:asciiTheme="minorHAnsi" w:eastAsiaTheme="minorEastAsia" w:hAnsiTheme="minorHAnsi" w:cstheme="minorBidi"/>
            <w:sz w:val="22"/>
            <w:szCs w:val="22"/>
            <w:lang w:val="en-US"/>
          </w:rPr>
          <w:tab/>
        </w:r>
        <w:r w:rsidR="006E665D" w:rsidRPr="004A5973">
          <w:rPr>
            <w:rStyle w:val="Hyperlink"/>
            <w:rFonts w:hint="eastAsia"/>
            <w:rtl/>
          </w:rPr>
          <w:t>إذكاء</w:t>
        </w:r>
        <w:r w:rsidR="006E665D" w:rsidRPr="004A5973">
          <w:rPr>
            <w:rStyle w:val="Hyperlink"/>
            <w:rtl/>
          </w:rPr>
          <w:t xml:space="preserve"> </w:t>
        </w:r>
        <w:r w:rsidR="006E665D" w:rsidRPr="004A5973">
          <w:rPr>
            <w:rStyle w:val="Hyperlink"/>
            <w:rFonts w:hint="eastAsia"/>
            <w:rtl/>
          </w:rPr>
          <w:t>الاحترام</w:t>
        </w:r>
        <w:r w:rsidR="006E665D" w:rsidRPr="004A5973">
          <w:rPr>
            <w:rStyle w:val="Hyperlink"/>
            <w:rtl/>
          </w:rPr>
          <w:t xml:space="preserve"> </w:t>
        </w:r>
        <w:r w:rsidR="006E665D" w:rsidRPr="004A5973">
          <w:rPr>
            <w:rStyle w:val="Hyperlink"/>
            <w:rFonts w:hint="eastAsia"/>
            <w:rtl/>
          </w:rPr>
          <w:t>للملكية</w:t>
        </w:r>
        <w:r w:rsidR="006E665D" w:rsidRPr="004A5973">
          <w:rPr>
            <w:rStyle w:val="Hyperlink"/>
            <w:rtl/>
          </w:rPr>
          <w:t xml:space="preserve"> </w:t>
        </w:r>
        <w:r w:rsidR="006E665D" w:rsidRPr="004A5973">
          <w:rPr>
            <w:rStyle w:val="Hyperlink"/>
            <w:rFonts w:hint="eastAsia"/>
            <w:rtl/>
          </w:rPr>
          <w:t>الفكرية</w:t>
        </w:r>
        <w:r w:rsidR="006E665D">
          <w:rPr>
            <w:webHidden/>
          </w:rPr>
          <w:tab/>
        </w:r>
        <w:r w:rsidR="006E665D">
          <w:rPr>
            <w:webHidden/>
          </w:rPr>
          <w:fldChar w:fldCharType="begin"/>
        </w:r>
        <w:r w:rsidR="006E665D">
          <w:rPr>
            <w:webHidden/>
          </w:rPr>
          <w:instrText xml:space="preserve"> PAGEREF _Toc455393390 \h </w:instrText>
        </w:r>
        <w:r w:rsidR="006E665D">
          <w:rPr>
            <w:webHidden/>
          </w:rPr>
        </w:r>
        <w:r w:rsidR="006E665D">
          <w:rPr>
            <w:webHidden/>
          </w:rPr>
          <w:fldChar w:fldCharType="separate"/>
        </w:r>
        <w:r>
          <w:rPr>
            <w:webHidden/>
            <w:rtl/>
          </w:rPr>
          <w:t>211</w:t>
        </w:r>
        <w:r w:rsidR="006E665D">
          <w:rPr>
            <w:webHidden/>
          </w:rPr>
          <w:fldChar w:fldCharType="end"/>
        </w:r>
      </w:hyperlink>
    </w:p>
    <w:p w:rsidR="006E665D" w:rsidRDefault="002F66B9" w:rsidP="006E665D">
      <w:pPr>
        <w:pStyle w:val="TOC2"/>
        <w:rPr>
          <w:rFonts w:asciiTheme="minorHAnsi" w:eastAsiaTheme="minorEastAsia" w:hAnsiTheme="minorHAnsi" w:cstheme="minorBidi"/>
          <w:b w:val="0"/>
          <w:bCs w:val="0"/>
          <w:sz w:val="22"/>
          <w:szCs w:val="22"/>
        </w:rPr>
      </w:pPr>
      <w:hyperlink w:anchor="_Toc455393391"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السابع</w:t>
        </w:r>
        <w:r w:rsidR="006E665D">
          <w:rPr>
            <w:webHidden/>
          </w:rPr>
          <w:tab/>
        </w:r>
        <w:r w:rsidR="006E665D">
          <w:rPr>
            <w:webHidden/>
          </w:rPr>
          <w:fldChar w:fldCharType="begin"/>
        </w:r>
        <w:r w:rsidR="006E665D">
          <w:rPr>
            <w:webHidden/>
          </w:rPr>
          <w:instrText xml:space="preserve"> PAGEREF _Toc455393391 \h </w:instrText>
        </w:r>
        <w:r w:rsidR="006E665D">
          <w:rPr>
            <w:webHidden/>
          </w:rPr>
        </w:r>
        <w:r w:rsidR="006E665D">
          <w:rPr>
            <w:webHidden/>
          </w:rPr>
          <w:fldChar w:fldCharType="separate"/>
        </w:r>
        <w:r>
          <w:rPr>
            <w:webHidden/>
            <w:rtl/>
          </w:rPr>
          <w:t>216</w:t>
        </w:r>
        <w:r w:rsidR="006E665D">
          <w:rPr>
            <w:webHidden/>
          </w:rPr>
          <w:fldChar w:fldCharType="end"/>
        </w:r>
      </w:hyperlink>
    </w:p>
    <w:p w:rsidR="006E665D" w:rsidRDefault="002F66B9" w:rsidP="006E665D">
      <w:pPr>
        <w:pStyle w:val="TOC3"/>
        <w:tabs>
          <w:tab w:val="left" w:pos="3287"/>
        </w:tabs>
        <w:rPr>
          <w:rFonts w:asciiTheme="minorHAnsi" w:eastAsiaTheme="minorEastAsia" w:hAnsiTheme="minorHAnsi" w:cstheme="minorBidi"/>
          <w:sz w:val="22"/>
          <w:szCs w:val="22"/>
          <w:lang w:val="en-US"/>
        </w:rPr>
      </w:pPr>
      <w:hyperlink w:anchor="_Toc455393392" w:history="1">
        <w:r w:rsidR="006E665D" w:rsidRPr="004A5973">
          <w:rPr>
            <w:rStyle w:val="Hyperlink"/>
            <w:rFonts w:hint="eastAsia"/>
            <w:rtl/>
          </w:rPr>
          <w:t>البرنامج</w:t>
        </w:r>
        <w:r w:rsidR="006E665D" w:rsidRPr="004A5973">
          <w:rPr>
            <w:rStyle w:val="Hyperlink"/>
          </w:rPr>
          <w:t xml:space="preserve"> </w:t>
        </w:r>
        <w:r w:rsidR="006E665D" w:rsidRPr="004A5973">
          <w:rPr>
            <w:rStyle w:val="Hyperlink"/>
            <w:rtl/>
          </w:rPr>
          <w:t>18:</w:t>
        </w:r>
        <w:r w:rsidR="006E665D">
          <w:rPr>
            <w:rFonts w:asciiTheme="minorHAnsi" w:eastAsiaTheme="minorEastAsia" w:hAnsiTheme="minorHAnsi" w:cstheme="minorBidi"/>
            <w:sz w:val="22"/>
            <w:szCs w:val="22"/>
            <w:lang w:val="en-US"/>
          </w:rPr>
          <w:tab/>
        </w:r>
        <w:r w:rsidR="006E665D" w:rsidRPr="004A5973">
          <w:rPr>
            <w:rStyle w:val="Hyperlink"/>
            <w:rFonts w:hint="eastAsia"/>
            <w:rtl/>
          </w:rPr>
          <w:t>الملكية</w:t>
        </w:r>
        <w:r w:rsidR="006E665D" w:rsidRPr="004A5973">
          <w:rPr>
            <w:rStyle w:val="Hyperlink"/>
            <w:rtl/>
          </w:rPr>
          <w:t xml:space="preserve"> </w:t>
        </w:r>
        <w:r w:rsidR="006E665D" w:rsidRPr="004A5973">
          <w:rPr>
            <w:rStyle w:val="Hyperlink"/>
            <w:rFonts w:hint="eastAsia"/>
            <w:rtl/>
          </w:rPr>
          <w:t>الفكرية</w:t>
        </w:r>
        <w:r w:rsidR="006E665D" w:rsidRPr="004A5973">
          <w:rPr>
            <w:rStyle w:val="Hyperlink"/>
            <w:rtl/>
          </w:rPr>
          <w:t xml:space="preserve"> </w:t>
        </w:r>
        <w:r w:rsidR="006E665D" w:rsidRPr="004A5973">
          <w:rPr>
            <w:rStyle w:val="Hyperlink"/>
            <w:rFonts w:hint="eastAsia"/>
            <w:rtl/>
          </w:rPr>
          <w:t>والتحديات</w:t>
        </w:r>
        <w:r w:rsidR="006E665D" w:rsidRPr="004A5973">
          <w:rPr>
            <w:rStyle w:val="Hyperlink"/>
            <w:rtl/>
          </w:rPr>
          <w:t xml:space="preserve"> </w:t>
        </w:r>
        <w:r w:rsidR="006E665D" w:rsidRPr="004A5973">
          <w:rPr>
            <w:rStyle w:val="Hyperlink"/>
            <w:rFonts w:hint="eastAsia"/>
            <w:rtl/>
          </w:rPr>
          <w:t>العالمية</w:t>
        </w:r>
        <w:r w:rsidR="006E665D">
          <w:rPr>
            <w:webHidden/>
          </w:rPr>
          <w:tab/>
        </w:r>
        <w:r w:rsidR="006E665D">
          <w:rPr>
            <w:webHidden/>
          </w:rPr>
          <w:fldChar w:fldCharType="begin"/>
        </w:r>
        <w:r w:rsidR="006E665D">
          <w:rPr>
            <w:webHidden/>
          </w:rPr>
          <w:instrText xml:space="preserve"> PAGEREF _Toc455393392 \h </w:instrText>
        </w:r>
        <w:r w:rsidR="006E665D">
          <w:rPr>
            <w:webHidden/>
          </w:rPr>
        </w:r>
        <w:r w:rsidR="006E665D">
          <w:rPr>
            <w:webHidden/>
          </w:rPr>
          <w:fldChar w:fldCharType="separate"/>
        </w:r>
        <w:r>
          <w:rPr>
            <w:webHidden/>
            <w:rtl/>
          </w:rPr>
          <w:t>218</w:t>
        </w:r>
        <w:r w:rsidR="006E665D">
          <w:rPr>
            <w:webHidden/>
          </w:rPr>
          <w:fldChar w:fldCharType="end"/>
        </w:r>
      </w:hyperlink>
    </w:p>
    <w:p w:rsidR="006E665D" w:rsidRDefault="002F66B9" w:rsidP="006E665D">
      <w:pPr>
        <w:pStyle w:val="TOC2"/>
        <w:rPr>
          <w:rFonts w:asciiTheme="minorHAnsi" w:eastAsiaTheme="minorEastAsia" w:hAnsiTheme="minorHAnsi" w:cstheme="minorBidi"/>
          <w:b w:val="0"/>
          <w:bCs w:val="0"/>
          <w:sz w:val="22"/>
          <w:szCs w:val="22"/>
        </w:rPr>
      </w:pPr>
      <w:hyperlink w:anchor="_Toc455393393"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الثامن</w:t>
        </w:r>
        <w:r w:rsidR="006E665D">
          <w:rPr>
            <w:webHidden/>
          </w:rPr>
          <w:tab/>
        </w:r>
        <w:r w:rsidR="006E665D">
          <w:rPr>
            <w:webHidden/>
          </w:rPr>
          <w:fldChar w:fldCharType="begin"/>
        </w:r>
        <w:r w:rsidR="006E665D">
          <w:rPr>
            <w:webHidden/>
          </w:rPr>
          <w:instrText xml:space="preserve"> PAGEREF _Toc455393393 \h </w:instrText>
        </w:r>
        <w:r w:rsidR="006E665D">
          <w:rPr>
            <w:webHidden/>
          </w:rPr>
        </w:r>
        <w:r w:rsidR="006E665D">
          <w:rPr>
            <w:webHidden/>
          </w:rPr>
          <w:fldChar w:fldCharType="separate"/>
        </w:r>
        <w:r>
          <w:rPr>
            <w:webHidden/>
            <w:rtl/>
          </w:rPr>
          <w:t>226</w:t>
        </w:r>
        <w:r w:rsidR="006E665D">
          <w:rPr>
            <w:webHidden/>
          </w:rPr>
          <w:fldChar w:fldCharType="end"/>
        </w:r>
      </w:hyperlink>
    </w:p>
    <w:p w:rsidR="006E665D" w:rsidRDefault="002F66B9" w:rsidP="006E665D">
      <w:pPr>
        <w:pStyle w:val="TOC3"/>
        <w:rPr>
          <w:rFonts w:asciiTheme="minorHAnsi" w:eastAsiaTheme="minorEastAsia" w:hAnsiTheme="minorHAnsi" w:cstheme="minorBidi"/>
          <w:sz w:val="22"/>
          <w:szCs w:val="22"/>
          <w:lang w:val="en-US"/>
        </w:rPr>
      </w:pPr>
      <w:hyperlink w:anchor="_Toc455393394" w:history="1">
        <w:r w:rsidR="006E665D" w:rsidRPr="004A5973">
          <w:rPr>
            <w:rStyle w:val="Hyperlink"/>
            <w:rFonts w:hint="eastAsia"/>
            <w:rtl/>
          </w:rPr>
          <w:t>البرنامج</w:t>
        </w:r>
        <w:r w:rsidR="006E665D" w:rsidRPr="004A5973">
          <w:rPr>
            <w:rStyle w:val="Hyperlink"/>
            <w:rtl/>
          </w:rPr>
          <w:t xml:space="preserve"> 19:</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التواصل</w:t>
        </w:r>
        <w:r w:rsidR="006E665D">
          <w:rPr>
            <w:webHidden/>
          </w:rPr>
          <w:tab/>
        </w:r>
        <w:r w:rsidR="006E665D">
          <w:rPr>
            <w:webHidden/>
          </w:rPr>
          <w:fldChar w:fldCharType="begin"/>
        </w:r>
        <w:r w:rsidR="006E665D">
          <w:rPr>
            <w:webHidden/>
          </w:rPr>
          <w:instrText xml:space="preserve"> PAGEREF _Toc455393394 \h </w:instrText>
        </w:r>
        <w:r w:rsidR="006E665D">
          <w:rPr>
            <w:webHidden/>
          </w:rPr>
        </w:r>
        <w:r w:rsidR="006E665D">
          <w:rPr>
            <w:webHidden/>
          </w:rPr>
          <w:fldChar w:fldCharType="separate"/>
        </w:r>
        <w:r>
          <w:rPr>
            <w:webHidden/>
            <w:rtl/>
          </w:rPr>
          <w:t>228</w:t>
        </w:r>
        <w:r w:rsidR="006E665D">
          <w:rPr>
            <w:webHidden/>
          </w:rPr>
          <w:fldChar w:fldCharType="end"/>
        </w:r>
      </w:hyperlink>
    </w:p>
    <w:p w:rsidR="006E665D" w:rsidRDefault="002F66B9" w:rsidP="006E665D">
      <w:pPr>
        <w:pStyle w:val="TOC3"/>
        <w:tabs>
          <w:tab w:val="left" w:pos="3703"/>
        </w:tabs>
        <w:rPr>
          <w:rFonts w:asciiTheme="minorHAnsi" w:eastAsiaTheme="minorEastAsia" w:hAnsiTheme="minorHAnsi" w:cstheme="minorBidi"/>
          <w:sz w:val="22"/>
          <w:szCs w:val="22"/>
          <w:lang w:val="en-US"/>
        </w:rPr>
      </w:pPr>
      <w:hyperlink w:anchor="_Toc455393395" w:history="1">
        <w:r w:rsidR="006E665D" w:rsidRPr="004A5973">
          <w:rPr>
            <w:rStyle w:val="Hyperlink"/>
            <w:rFonts w:hint="eastAsia"/>
            <w:rtl/>
          </w:rPr>
          <w:t>البرنامج</w:t>
        </w:r>
        <w:r w:rsidR="006E665D" w:rsidRPr="004A5973">
          <w:rPr>
            <w:rStyle w:val="Hyperlink"/>
            <w:rtl/>
          </w:rPr>
          <w:t xml:space="preserve"> 20:</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العلاقات</w:t>
        </w:r>
        <w:r w:rsidR="006E665D" w:rsidRPr="004A5973">
          <w:rPr>
            <w:rStyle w:val="Hyperlink"/>
            <w:rtl/>
          </w:rPr>
          <w:t xml:space="preserve"> </w:t>
        </w:r>
        <w:r w:rsidR="006E665D" w:rsidRPr="004A5973">
          <w:rPr>
            <w:rStyle w:val="Hyperlink"/>
            <w:rFonts w:hint="eastAsia"/>
            <w:rtl/>
          </w:rPr>
          <w:t>الخارجية</w:t>
        </w:r>
        <w:r w:rsidR="006E665D" w:rsidRPr="004A5973">
          <w:rPr>
            <w:rStyle w:val="Hyperlink"/>
            <w:rtl/>
          </w:rPr>
          <w:t xml:space="preserve"> </w:t>
        </w:r>
        <w:r w:rsidR="006E665D" w:rsidRPr="004A5973">
          <w:rPr>
            <w:rStyle w:val="Hyperlink"/>
            <w:rFonts w:hint="eastAsia"/>
            <w:rtl/>
          </w:rPr>
          <w:t>والشراكات</w:t>
        </w:r>
        <w:r w:rsidR="006E665D" w:rsidRPr="004A5973">
          <w:rPr>
            <w:rStyle w:val="Hyperlink"/>
            <w:rtl/>
          </w:rPr>
          <w:t xml:space="preserve"> </w:t>
        </w:r>
        <w:r w:rsidR="006E665D" w:rsidRPr="004A5973">
          <w:rPr>
            <w:rStyle w:val="Hyperlink"/>
            <w:rFonts w:hint="eastAsia"/>
            <w:rtl/>
          </w:rPr>
          <w:t>والمكاتب</w:t>
        </w:r>
        <w:r w:rsidR="006E665D" w:rsidRPr="004A5973">
          <w:rPr>
            <w:rStyle w:val="Hyperlink"/>
            <w:rtl/>
          </w:rPr>
          <w:t xml:space="preserve"> </w:t>
        </w:r>
        <w:r w:rsidR="006E665D" w:rsidRPr="004A5973">
          <w:rPr>
            <w:rStyle w:val="Hyperlink"/>
            <w:rFonts w:hint="eastAsia"/>
            <w:rtl/>
          </w:rPr>
          <w:t>الخارجية</w:t>
        </w:r>
        <w:r w:rsidR="006E665D">
          <w:rPr>
            <w:webHidden/>
          </w:rPr>
          <w:tab/>
        </w:r>
        <w:r w:rsidR="006E665D">
          <w:rPr>
            <w:webHidden/>
          </w:rPr>
          <w:fldChar w:fldCharType="begin"/>
        </w:r>
        <w:r w:rsidR="006E665D">
          <w:rPr>
            <w:webHidden/>
          </w:rPr>
          <w:instrText xml:space="preserve"> PAGEREF _Toc455393395 \h </w:instrText>
        </w:r>
        <w:r w:rsidR="006E665D">
          <w:rPr>
            <w:webHidden/>
          </w:rPr>
        </w:r>
        <w:r w:rsidR="006E665D">
          <w:rPr>
            <w:webHidden/>
          </w:rPr>
          <w:fldChar w:fldCharType="separate"/>
        </w:r>
        <w:r>
          <w:rPr>
            <w:webHidden/>
            <w:rtl/>
          </w:rPr>
          <w:t>236</w:t>
        </w:r>
        <w:r w:rsidR="006E665D">
          <w:rPr>
            <w:webHidden/>
          </w:rPr>
          <w:fldChar w:fldCharType="end"/>
        </w:r>
      </w:hyperlink>
    </w:p>
    <w:p w:rsidR="006E665D" w:rsidRDefault="002F66B9" w:rsidP="006E665D">
      <w:pPr>
        <w:pStyle w:val="TOC2"/>
        <w:rPr>
          <w:rFonts w:asciiTheme="minorHAnsi" w:eastAsiaTheme="minorEastAsia" w:hAnsiTheme="minorHAnsi" w:cstheme="minorBidi"/>
          <w:b w:val="0"/>
          <w:bCs w:val="0"/>
          <w:sz w:val="22"/>
          <w:szCs w:val="22"/>
        </w:rPr>
      </w:pPr>
      <w:hyperlink w:anchor="_Toc455393396" w:history="1">
        <w:r w:rsidR="006E665D" w:rsidRPr="004A5973">
          <w:rPr>
            <w:rStyle w:val="Hyperlink"/>
            <w:rFonts w:hint="eastAsia"/>
            <w:rtl/>
          </w:rPr>
          <w:t>الهدف</w:t>
        </w:r>
        <w:r w:rsidR="006E665D" w:rsidRPr="004A5973">
          <w:rPr>
            <w:rStyle w:val="Hyperlink"/>
            <w:rtl/>
          </w:rPr>
          <w:t xml:space="preserve"> </w:t>
        </w:r>
        <w:r w:rsidR="006E665D" w:rsidRPr="004A5973">
          <w:rPr>
            <w:rStyle w:val="Hyperlink"/>
            <w:rFonts w:hint="eastAsia"/>
            <w:rtl/>
          </w:rPr>
          <w:t>الاستراتيجي</w:t>
        </w:r>
        <w:r w:rsidR="006E665D" w:rsidRPr="004A5973">
          <w:rPr>
            <w:rStyle w:val="Hyperlink"/>
            <w:rtl/>
          </w:rPr>
          <w:t xml:space="preserve"> </w:t>
        </w:r>
        <w:r w:rsidR="006E665D" w:rsidRPr="004A5973">
          <w:rPr>
            <w:rStyle w:val="Hyperlink"/>
            <w:rFonts w:hint="eastAsia"/>
            <w:rtl/>
          </w:rPr>
          <w:t>التاسع</w:t>
        </w:r>
        <w:r w:rsidR="006E665D">
          <w:rPr>
            <w:webHidden/>
          </w:rPr>
          <w:tab/>
        </w:r>
        <w:r w:rsidR="006E665D">
          <w:rPr>
            <w:webHidden/>
          </w:rPr>
          <w:fldChar w:fldCharType="begin"/>
        </w:r>
        <w:r w:rsidR="006E665D">
          <w:rPr>
            <w:webHidden/>
          </w:rPr>
          <w:instrText xml:space="preserve"> PAGEREF _Toc455393396 \h </w:instrText>
        </w:r>
        <w:r w:rsidR="006E665D">
          <w:rPr>
            <w:webHidden/>
          </w:rPr>
        </w:r>
        <w:r w:rsidR="006E665D">
          <w:rPr>
            <w:webHidden/>
          </w:rPr>
          <w:fldChar w:fldCharType="separate"/>
        </w:r>
        <w:r>
          <w:rPr>
            <w:webHidden/>
            <w:rtl/>
          </w:rPr>
          <w:t>255</w:t>
        </w:r>
        <w:r w:rsidR="006E665D">
          <w:rPr>
            <w:webHidden/>
          </w:rPr>
          <w:fldChar w:fldCharType="end"/>
        </w:r>
      </w:hyperlink>
    </w:p>
    <w:p w:rsidR="006E665D" w:rsidRDefault="002F66B9" w:rsidP="006E665D">
      <w:pPr>
        <w:pStyle w:val="TOC3"/>
        <w:rPr>
          <w:rFonts w:asciiTheme="minorHAnsi" w:eastAsiaTheme="minorEastAsia" w:hAnsiTheme="minorHAnsi" w:cstheme="minorBidi"/>
          <w:sz w:val="22"/>
          <w:szCs w:val="22"/>
          <w:lang w:val="en-US"/>
        </w:rPr>
      </w:pPr>
      <w:hyperlink w:anchor="_Toc455393397" w:history="1">
        <w:r w:rsidR="006E665D" w:rsidRPr="004A5973">
          <w:rPr>
            <w:rStyle w:val="Hyperlink"/>
            <w:rFonts w:hint="eastAsia"/>
            <w:rtl/>
          </w:rPr>
          <w:t>البرنامج</w:t>
        </w:r>
        <w:r w:rsidR="006E665D" w:rsidRPr="004A5973">
          <w:rPr>
            <w:rStyle w:val="Hyperlink"/>
            <w:rtl/>
          </w:rPr>
          <w:t xml:space="preserve"> 21:</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الإدارة</w:t>
        </w:r>
        <w:r w:rsidR="006E665D" w:rsidRPr="004A5973">
          <w:rPr>
            <w:rStyle w:val="Hyperlink"/>
            <w:rtl/>
          </w:rPr>
          <w:t xml:space="preserve"> </w:t>
        </w:r>
        <w:r w:rsidR="006E665D" w:rsidRPr="004A5973">
          <w:rPr>
            <w:rStyle w:val="Hyperlink"/>
            <w:rFonts w:hint="eastAsia"/>
            <w:rtl/>
          </w:rPr>
          <w:t>التنفيذية</w:t>
        </w:r>
        <w:r w:rsidR="006E665D">
          <w:rPr>
            <w:webHidden/>
          </w:rPr>
          <w:tab/>
        </w:r>
        <w:r w:rsidR="006E665D">
          <w:rPr>
            <w:webHidden/>
          </w:rPr>
          <w:fldChar w:fldCharType="begin"/>
        </w:r>
        <w:r w:rsidR="006E665D">
          <w:rPr>
            <w:webHidden/>
          </w:rPr>
          <w:instrText xml:space="preserve"> PAGEREF _Toc455393397 \h </w:instrText>
        </w:r>
        <w:r w:rsidR="006E665D">
          <w:rPr>
            <w:webHidden/>
          </w:rPr>
        </w:r>
        <w:r w:rsidR="006E665D">
          <w:rPr>
            <w:webHidden/>
          </w:rPr>
          <w:fldChar w:fldCharType="separate"/>
        </w:r>
        <w:r>
          <w:rPr>
            <w:webHidden/>
            <w:rtl/>
          </w:rPr>
          <w:t>259</w:t>
        </w:r>
        <w:r w:rsidR="006E665D">
          <w:rPr>
            <w:webHidden/>
          </w:rPr>
          <w:fldChar w:fldCharType="end"/>
        </w:r>
      </w:hyperlink>
    </w:p>
    <w:p w:rsidR="006E665D" w:rsidRDefault="002F66B9" w:rsidP="006E665D">
      <w:pPr>
        <w:pStyle w:val="TOC3"/>
        <w:rPr>
          <w:rFonts w:asciiTheme="minorHAnsi" w:eastAsiaTheme="minorEastAsia" w:hAnsiTheme="minorHAnsi" w:cstheme="minorBidi"/>
          <w:sz w:val="22"/>
          <w:szCs w:val="22"/>
          <w:lang w:val="en-US"/>
        </w:rPr>
      </w:pPr>
      <w:hyperlink w:anchor="_Toc455393398" w:history="1">
        <w:r w:rsidR="006E665D" w:rsidRPr="004A5973">
          <w:rPr>
            <w:rStyle w:val="Hyperlink"/>
            <w:rFonts w:hint="eastAsia"/>
            <w:rtl/>
          </w:rPr>
          <w:t>البرنامج</w:t>
        </w:r>
        <w:r w:rsidR="006E665D" w:rsidRPr="004A5973">
          <w:rPr>
            <w:rStyle w:val="Hyperlink"/>
            <w:rtl/>
          </w:rPr>
          <w:t xml:space="preserve"> 22:</w:t>
        </w:r>
        <w:r w:rsidR="006E665D">
          <w:rPr>
            <w:rFonts w:asciiTheme="minorHAnsi" w:eastAsiaTheme="minorEastAsia" w:hAnsiTheme="minorHAnsi" w:cstheme="minorBidi"/>
            <w:sz w:val="22"/>
            <w:szCs w:val="22"/>
            <w:lang w:val="en-US"/>
          </w:rPr>
          <w:tab/>
        </w:r>
        <w:r w:rsidR="006E665D" w:rsidRPr="004A5973">
          <w:rPr>
            <w:rStyle w:val="Hyperlink"/>
            <w:rFonts w:hint="eastAsia"/>
            <w:rtl/>
          </w:rPr>
          <w:t>إدارة</w:t>
        </w:r>
        <w:r w:rsidR="006E665D" w:rsidRPr="004A5973">
          <w:rPr>
            <w:rStyle w:val="Hyperlink"/>
            <w:rtl/>
          </w:rPr>
          <w:t xml:space="preserve"> </w:t>
        </w:r>
        <w:r w:rsidR="006E665D" w:rsidRPr="004A5973">
          <w:rPr>
            <w:rStyle w:val="Hyperlink"/>
            <w:rFonts w:hint="eastAsia"/>
            <w:rtl/>
          </w:rPr>
          <w:t>البرامج</w:t>
        </w:r>
        <w:r w:rsidR="006E665D" w:rsidRPr="004A5973">
          <w:rPr>
            <w:rStyle w:val="Hyperlink"/>
            <w:rtl/>
          </w:rPr>
          <w:t xml:space="preserve"> </w:t>
        </w:r>
        <w:r w:rsidR="006E665D" w:rsidRPr="004A5973">
          <w:rPr>
            <w:rStyle w:val="Hyperlink"/>
            <w:rFonts w:hint="eastAsia"/>
            <w:rtl/>
          </w:rPr>
          <w:t>والموارد</w:t>
        </w:r>
        <w:r w:rsidR="006E665D">
          <w:rPr>
            <w:webHidden/>
          </w:rPr>
          <w:tab/>
        </w:r>
        <w:r w:rsidR="006E665D">
          <w:rPr>
            <w:webHidden/>
          </w:rPr>
          <w:fldChar w:fldCharType="begin"/>
        </w:r>
        <w:r w:rsidR="006E665D">
          <w:rPr>
            <w:webHidden/>
          </w:rPr>
          <w:instrText xml:space="preserve"> PAGEREF _Toc455393398 \h </w:instrText>
        </w:r>
        <w:r w:rsidR="006E665D">
          <w:rPr>
            <w:webHidden/>
          </w:rPr>
        </w:r>
        <w:r w:rsidR="006E665D">
          <w:rPr>
            <w:webHidden/>
          </w:rPr>
          <w:fldChar w:fldCharType="separate"/>
        </w:r>
        <w:r>
          <w:rPr>
            <w:webHidden/>
            <w:rtl/>
          </w:rPr>
          <w:t>266</w:t>
        </w:r>
        <w:r w:rsidR="006E665D">
          <w:rPr>
            <w:webHidden/>
          </w:rPr>
          <w:fldChar w:fldCharType="end"/>
        </w:r>
      </w:hyperlink>
    </w:p>
    <w:p w:rsidR="006E665D" w:rsidRDefault="002F66B9" w:rsidP="006E665D">
      <w:pPr>
        <w:pStyle w:val="TOC3"/>
        <w:tabs>
          <w:tab w:val="left" w:pos="2505"/>
        </w:tabs>
        <w:rPr>
          <w:rFonts w:asciiTheme="minorHAnsi" w:eastAsiaTheme="minorEastAsia" w:hAnsiTheme="minorHAnsi" w:cstheme="minorBidi"/>
          <w:sz w:val="22"/>
          <w:szCs w:val="22"/>
          <w:lang w:val="en-US"/>
        </w:rPr>
      </w:pPr>
      <w:hyperlink w:anchor="_Toc455393399" w:history="1">
        <w:r w:rsidR="006E665D" w:rsidRPr="004A5973">
          <w:rPr>
            <w:rStyle w:val="Hyperlink"/>
            <w:rFonts w:hint="eastAsia"/>
            <w:rtl/>
          </w:rPr>
          <w:t>البرنامج</w:t>
        </w:r>
        <w:r w:rsidR="006E665D" w:rsidRPr="004A5973">
          <w:rPr>
            <w:rStyle w:val="Hyperlink"/>
            <w:rtl/>
          </w:rPr>
          <w:t xml:space="preserve"> 23:</w:t>
        </w:r>
        <w:r w:rsidR="006E665D">
          <w:rPr>
            <w:rFonts w:asciiTheme="minorHAnsi" w:eastAsiaTheme="minorEastAsia" w:hAnsiTheme="minorHAnsi" w:cstheme="minorBidi"/>
            <w:sz w:val="22"/>
            <w:szCs w:val="22"/>
            <w:lang w:val="en-US"/>
          </w:rPr>
          <w:tab/>
        </w:r>
        <w:r w:rsidR="006E665D" w:rsidRPr="004A5973">
          <w:rPr>
            <w:rStyle w:val="Hyperlink"/>
            <w:rFonts w:hint="eastAsia"/>
            <w:rtl/>
          </w:rPr>
          <w:t>إدارة</w:t>
        </w:r>
        <w:r w:rsidR="006E665D" w:rsidRPr="004A5973">
          <w:rPr>
            <w:rStyle w:val="Hyperlink"/>
            <w:rtl/>
          </w:rPr>
          <w:t xml:space="preserve"> </w:t>
        </w:r>
        <w:r w:rsidR="006E665D" w:rsidRPr="004A5973">
          <w:rPr>
            <w:rStyle w:val="Hyperlink"/>
            <w:rFonts w:hint="eastAsia"/>
            <w:rtl/>
          </w:rPr>
          <w:t>الموارد</w:t>
        </w:r>
        <w:r w:rsidR="006E665D" w:rsidRPr="004A5973">
          <w:rPr>
            <w:rStyle w:val="Hyperlink"/>
            <w:rtl/>
          </w:rPr>
          <w:t xml:space="preserve"> </w:t>
        </w:r>
        <w:r w:rsidR="006E665D" w:rsidRPr="004A5973">
          <w:rPr>
            <w:rStyle w:val="Hyperlink"/>
            <w:rFonts w:hint="eastAsia"/>
            <w:rtl/>
          </w:rPr>
          <w:t>البشرية</w:t>
        </w:r>
        <w:r w:rsidR="006E665D" w:rsidRPr="004A5973">
          <w:rPr>
            <w:rStyle w:val="Hyperlink"/>
            <w:rtl/>
          </w:rPr>
          <w:t xml:space="preserve"> </w:t>
        </w:r>
        <w:r w:rsidR="006E665D" w:rsidRPr="004A5973">
          <w:rPr>
            <w:rStyle w:val="Hyperlink"/>
            <w:rFonts w:hint="eastAsia"/>
            <w:rtl/>
          </w:rPr>
          <w:t>وتطويرها</w:t>
        </w:r>
        <w:r w:rsidR="006E665D">
          <w:rPr>
            <w:webHidden/>
          </w:rPr>
          <w:tab/>
        </w:r>
        <w:r w:rsidR="006E665D">
          <w:rPr>
            <w:webHidden/>
          </w:rPr>
          <w:fldChar w:fldCharType="begin"/>
        </w:r>
        <w:r w:rsidR="006E665D">
          <w:rPr>
            <w:webHidden/>
          </w:rPr>
          <w:instrText xml:space="preserve"> PAGEREF _Toc455393399 \h </w:instrText>
        </w:r>
        <w:r w:rsidR="006E665D">
          <w:rPr>
            <w:webHidden/>
          </w:rPr>
        </w:r>
        <w:r w:rsidR="006E665D">
          <w:rPr>
            <w:webHidden/>
          </w:rPr>
          <w:fldChar w:fldCharType="separate"/>
        </w:r>
        <w:r>
          <w:rPr>
            <w:webHidden/>
            <w:rtl/>
          </w:rPr>
          <w:t>273</w:t>
        </w:r>
        <w:r w:rsidR="006E665D">
          <w:rPr>
            <w:webHidden/>
          </w:rPr>
          <w:fldChar w:fldCharType="end"/>
        </w:r>
      </w:hyperlink>
    </w:p>
    <w:p w:rsidR="006E665D" w:rsidRDefault="002F66B9" w:rsidP="006E665D">
      <w:pPr>
        <w:pStyle w:val="TOC3"/>
        <w:rPr>
          <w:rFonts w:asciiTheme="minorHAnsi" w:eastAsiaTheme="minorEastAsia" w:hAnsiTheme="minorHAnsi" w:cstheme="minorBidi"/>
          <w:sz w:val="22"/>
          <w:szCs w:val="22"/>
          <w:lang w:val="en-US"/>
        </w:rPr>
      </w:pPr>
      <w:hyperlink w:anchor="_Toc455393400" w:history="1">
        <w:r w:rsidR="006E665D" w:rsidRPr="004A5973">
          <w:rPr>
            <w:rStyle w:val="Hyperlink"/>
            <w:rFonts w:hint="eastAsia"/>
            <w:rtl/>
          </w:rPr>
          <w:t>البرنامج</w:t>
        </w:r>
        <w:r w:rsidR="006E665D" w:rsidRPr="004A5973">
          <w:rPr>
            <w:rStyle w:val="Hyperlink"/>
            <w:rtl/>
          </w:rPr>
          <w:t xml:space="preserve"> 24:</w:t>
        </w:r>
        <w:r w:rsidR="006E665D">
          <w:rPr>
            <w:rFonts w:asciiTheme="minorHAnsi" w:eastAsiaTheme="minorEastAsia" w:hAnsiTheme="minorHAnsi" w:cstheme="minorBidi"/>
            <w:sz w:val="22"/>
            <w:szCs w:val="22"/>
            <w:lang w:val="en-US"/>
          </w:rPr>
          <w:tab/>
        </w:r>
        <w:r w:rsidR="006E665D" w:rsidRPr="004A5973">
          <w:rPr>
            <w:rStyle w:val="Hyperlink"/>
            <w:rFonts w:hint="eastAsia"/>
            <w:rtl/>
          </w:rPr>
          <w:t>خدمات</w:t>
        </w:r>
        <w:r w:rsidR="006E665D" w:rsidRPr="004A5973">
          <w:rPr>
            <w:rStyle w:val="Hyperlink"/>
            <w:rtl/>
          </w:rPr>
          <w:t xml:space="preserve"> </w:t>
        </w:r>
        <w:r w:rsidR="006E665D" w:rsidRPr="004A5973">
          <w:rPr>
            <w:rStyle w:val="Hyperlink"/>
            <w:rFonts w:hint="eastAsia"/>
            <w:rtl/>
          </w:rPr>
          <w:t>الدعم</w:t>
        </w:r>
        <w:r w:rsidR="006E665D" w:rsidRPr="004A5973">
          <w:rPr>
            <w:rStyle w:val="Hyperlink"/>
            <w:rtl/>
          </w:rPr>
          <w:t xml:space="preserve"> </w:t>
        </w:r>
        <w:r w:rsidR="006E665D" w:rsidRPr="004A5973">
          <w:rPr>
            <w:rStyle w:val="Hyperlink"/>
            <w:rFonts w:hint="eastAsia"/>
            <w:rtl/>
          </w:rPr>
          <w:t>العامة</w:t>
        </w:r>
        <w:r w:rsidR="006E665D">
          <w:rPr>
            <w:webHidden/>
          </w:rPr>
          <w:tab/>
        </w:r>
        <w:r w:rsidR="006E665D">
          <w:rPr>
            <w:webHidden/>
          </w:rPr>
          <w:fldChar w:fldCharType="begin"/>
        </w:r>
        <w:r w:rsidR="006E665D">
          <w:rPr>
            <w:webHidden/>
          </w:rPr>
          <w:instrText xml:space="preserve"> PAGEREF _Toc455393400 \h </w:instrText>
        </w:r>
        <w:r w:rsidR="006E665D">
          <w:rPr>
            <w:webHidden/>
          </w:rPr>
        </w:r>
        <w:r w:rsidR="006E665D">
          <w:rPr>
            <w:webHidden/>
          </w:rPr>
          <w:fldChar w:fldCharType="separate"/>
        </w:r>
        <w:r>
          <w:rPr>
            <w:webHidden/>
            <w:rtl/>
          </w:rPr>
          <w:t>281</w:t>
        </w:r>
        <w:r w:rsidR="006E665D">
          <w:rPr>
            <w:webHidden/>
          </w:rPr>
          <w:fldChar w:fldCharType="end"/>
        </w:r>
      </w:hyperlink>
    </w:p>
    <w:p w:rsidR="006E665D" w:rsidRDefault="002F66B9" w:rsidP="006E665D">
      <w:pPr>
        <w:pStyle w:val="TOC3"/>
        <w:tabs>
          <w:tab w:val="left" w:pos="2700"/>
        </w:tabs>
        <w:rPr>
          <w:rFonts w:asciiTheme="minorHAnsi" w:eastAsiaTheme="minorEastAsia" w:hAnsiTheme="minorHAnsi" w:cstheme="minorBidi"/>
          <w:sz w:val="22"/>
          <w:szCs w:val="22"/>
          <w:lang w:val="en-US"/>
        </w:rPr>
      </w:pPr>
      <w:hyperlink w:anchor="_Toc455393401" w:history="1">
        <w:r w:rsidR="006E665D" w:rsidRPr="004A5973">
          <w:rPr>
            <w:rStyle w:val="Hyperlink"/>
            <w:rFonts w:hint="eastAsia"/>
            <w:rtl/>
          </w:rPr>
          <w:t>البرنامج</w:t>
        </w:r>
        <w:r w:rsidR="006E665D" w:rsidRPr="004A5973">
          <w:rPr>
            <w:rStyle w:val="Hyperlink"/>
            <w:rtl/>
          </w:rPr>
          <w:t xml:space="preserve"> 25:</w:t>
        </w:r>
        <w:r w:rsidR="006E665D">
          <w:rPr>
            <w:rFonts w:asciiTheme="minorHAnsi" w:eastAsiaTheme="minorEastAsia" w:hAnsiTheme="minorHAnsi" w:cstheme="minorBidi"/>
            <w:sz w:val="22"/>
            <w:szCs w:val="22"/>
            <w:lang w:val="en-US"/>
          </w:rPr>
          <w:tab/>
        </w:r>
        <w:r w:rsidR="006E665D" w:rsidRPr="004A5973">
          <w:rPr>
            <w:rStyle w:val="Hyperlink"/>
            <w:rFonts w:hint="eastAsia"/>
            <w:rtl/>
          </w:rPr>
          <w:t>تكنولوجيا</w:t>
        </w:r>
        <w:r w:rsidR="006E665D" w:rsidRPr="004A5973">
          <w:rPr>
            <w:rStyle w:val="Hyperlink"/>
            <w:rtl/>
          </w:rPr>
          <w:t xml:space="preserve"> </w:t>
        </w:r>
        <w:r w:rsidR="006E665D" w:rsidRPr="004A5973">
          <w:rPr>
            <w:rStyle w:val="Hyperlink"/>
            <w:rFonts w:hint="eastAsia"/>
            <w:rtl/>
          </w:rPr>
          <w:t>المعلومات</w:t>
        </w:r>
        <w:r w:rsidR="006E665D" w:rsidRPr="004A5973">
          <w:rPr>
            <w:rStyle w:val="Hyperlink"/>
            <w:rtl/>
          </w:rPr>
          <w:t xml:space="preserve"> </w:t>
        </w:r>
        <w:r w:rsidR="006E665D" w:rsidRPr="004A5973">
          <w:rPr>
            <w:rStyle w:val="Hyperlink"/>
            <w:rFonts w:hint="eastAsia"/>
            <w:rtl/>
          </w:rPr>
          <w:t>والاتصالات</w:t>
        </w:r>
        <w:r w:rsidR="006E665D">
          <w:rPr>
            <w:webHidden/>
          </w:rPr>
          <w:tab/>
        </w:r>
        <w:r w:rsidR="006E665D">
          <w:rPr>
            <w:webHidden/>
          </w:rPr>
          <w:fldChar w:fldCharType="begin"/>
        </w:r>
        <w:r w:rsidR="006E665D">
          <w:rPr>
            <w:webHidden/>
          </w:rPr>
          <w:instrText xml:space="preserve"> PAGEREF _Toc455393401 \h </w:instrText>
        </w:r>
        <w:r w:rsidR="006E665D">
          <w:rPr>
            <w:webHidden/>
          </w:rPr>
        </w:r>
        <w:r w:rsidR="006E665D">
          <w:rPr>
            <w:webHidden/>
          </w:rPr>
          <w:fldChar w:fldCharType="separate"/>
        </w:r>
        <w:r>
          <w:rPr>
            <w:webHidden/>
            <w:rtl/>
          </w:rPr>
          <w:t>291</w:t>
        </w:r>
        <w:r w:rsidR="006E665D">
          <w:rPr>
            <w:webHidden/>
          </w:rPr>
          <w:fldChar w:fldCharType="end"/>
        </w:r>
      </w:hyperlink>
    </w:p>
    <w:p w:rsidR="006E665D" w:rsidRDefault="002F66B9" w:rsidP="006E665D">
      <w:pPr>
        <w:pStyle w:val="TOC3"/>
        <w:rPr>
          <w:rFonts w:asciiTheme="minorHAnsi" w:eastAsiaTheme="minorEastAsia" w:hAnsiTheme="minorHAnsi" w:cstheme="minorBidi"/>
          <w:sz w:val="22"/>
          <w:szCs w:val="22"/>
          <w:lang w:val="en-US"/>
        </w:rPr>
      </w:pPr>
      <w:hyperlink w:anchor="_Toc455393402" w:history="1">
        <w:r w:rsidR="006E665D" w:rsidRPr="004A5973">
          <w:rPr>
            <w:rStyle w:val="Hyperlink"/>
            <w:rFonts w:hint="eastAsia"/>
            <w:rtl/>
          </w:rPr>
          <w:t>البرنامج</w:t>
        </w:r>
        <w:r w:rsidR="006E665D" w:rsidRPr="004A5973">
          <w:rPr>
            <w:rStyle w:val="Hyperlink"/>
            <w:rtl/>
          </w:rPr>
          <w:t xml:space="preserve"> 26:</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الرقابة</w:t>
        </w:r>
        <w:r w:rsidR="006E665D" w:rsidRPr="004A5973">
          <w:rPr>
            <w:rStyle w:val="Hyperlink"/>
            <w:rtl/>
          </w:rPr>
          <w:t xml:space="preserve"> </w:t>
        </w:r>
        <w:r w:rsidR="006E665D" w:rsidRPr="004A5973">
          <w:rPr>
            <w:rStyle w:val="Hyperlink"/>
            <w:rFonts w:hint="eastAsia"/>
            <w:rtl/>
          </w:rPr>
          <w:t>الداخلية</w:t>
        </w:r>
        <w:r w:rsidR="006E665D">
          <w:rPr>
            <w:webHidden/>
          </w:rPr>
          <w:tab/>
        </w:r>
        <w:r w:rsidR="006E665D">
          <w:rPr>
            <w:webHidden/>
          </w:rPr>
          <w:fldChar w:fldCharType="begin"/>
        </w:r>
        <w:r w:rsidR="006E665D">
          <w:rPr>
            <w:webHidden/>
          </w:rPr>
          <w:instrText xml:space="preserve"> PAGEREF _Toc455393402 \h </w:instrText>
        </w:r>
        <w:r w:rsidR="006E665D">
          <w:rPr>
            <w:webHidden/>
          </w:rPr>
        </w:r>
        <w:r w:rsidR="006E665D">
          <w:rPr>
            <w:webHidden/>
          </w:rPr>
          <w:fldChar w:fldCharType="separate"/>
        </w:r>
        <w:r>
          <w:rPr>
            <w:webHidden/>
            <w:rtl/>
          </w:rPr>
          <w:t>298</w:t>
        </w:r>
        <w:r w:rsidR="006E665D">
          <w:rPr>
            <w:webHidden/>
          </w:rPr>
          <w:fldChar w:fldCharType="end"/>
        </w:r>
      </w:hyperlink>
    </w:p>
    <w:p w:rsidR="006E665D" w:rsidRDefault="002F66B9" w:rsidP="006E665D">
      <w:pPr>
        <w:pStyle w:val="TOC3"/>
        <w:rPr>
          <w:rFonts w:asciiTheme="minorHAnsi" w:eastAsiaTheme="minorEastAsia" w:hAnsiTheme="minorHAnsi" w:cstheme="minorBidi"/>
          <w:sz w:val="22"/>
          <w:szCs w:val="22"/>
          <w:lang w:val="en-US"/>
        </w:rPr>
      </w:pPr>
      <w:hyperlink w:anchor="_Toc455393403" w:history="1">
        <w:r w:rsidR="006E665D" w:rsidRPr="004A5973">
          <w:rPr>
            <w:rStyle w:val="Hyperlink"/>
            <w:rFonts w:hint="eastAsia"/>
            <w:rtl/>
          </w:rPr>
          <w:t>البرنامج</w:t>
        </w:r>
        <w:r w:rsidR="006E665D" w:rsidRPr="004A5973">
          <w:rPr>
            <w:rStyle w:val="Hyperlink"/>
            <w:rtl/>
          </w:rPr>
          <w:t xml:space="preserve"> 27:</w:t>
        </w:r>
        <w:r w:rsidR="006E665D">
          <w:rPr>
            <w:rFonts w:asciiTheme="minorHAnsi" w:eastAsiaTheme="minorEastAsia" w:hAnsiTheme="minorHAnsi" w:cstheme="minorBidi"/>
            <w:sz w:val="22"/>
            <w:szCs w:val="22"/>
            <w:lang w:val="en-US"/>
          </w:rPr>
          <w:tab/>
        </w:r>
        <w:r w:rsidR="006E665D" w:rsidRPr="004A5973">
          <w:rPr>
            <w:rStyle w:val="Hyperlink"/>
            <w:rFonts w:hint="eastAsia"/>
            <w:rtl/>
          </w:rPr>
          <w:t>خدمات</w:t>
        </w:r>
        <w:r w:rsidR="006E665D" w:rsidRPr="004A5973">
          <w:rPr>
            <w:rStyle w:val="Hyperlink"/>
            <w:rtl/>
          </w:rPr>
          <w:t xml:space="preserve"> </w:t>
        </w:r>
        <w:r w:rsidR="006E665D" w:rsidRPr="004A5973">
          <w:rPr>
            <w:rStyle w:val="Hyperlink"/>
            <w:rFonts w:hint="eastAsia"/>
            <w:rtl/>
          </w:rPr>
          <w:t>المؤتمرات</w:t>
        </w:r>
        <w:r w:rsidR="006E665D" w:rsidRPr="004A5973">
          <w:rPr>
            <w:rStyle w:val="Hyperlink"/>
            <w:rtl/>
          </w:rPr>
          <w:t xml:space="preserve"> </w:t>
        </w:r>
        <w:r w:rsidR="006E665D" w:rsidRPr="004A5973">
          <w:rPr>
            <w:rStyle w:val="Hyperlink"/>
            <w:rFonts w:hint="eastAsia"/>
            <w:rtl/>
          </w:rPr>
          <w:t>واللغات</w:t>
        </w:r>
        <w:r w:rsidR="006E665D">
          <w:rPr>
            <w:webHidden/>
          </w:rPr>
          <w:tab/>
        </w:r>
        <w:r w:rsidR="006E665D">
          <w:rPr>
            <w:webHidden/>
          </w:rPr>
          <w:fldChar w:fldCharType="begin"/>
        </w:r>
        <w:r w:rsidR="006E665D">
          <w:rPr>
            <w:webHidden/>
          </w:rPr>
          <w:instrText xml:space="preserve"> PAGEREF _Toc455393403 \h </w:instrText>
        </w:r>
        <w:r w:rsidR="006E665D">
          <w:rPr>
            <w:webHidden/>
          </w:rPr>
        </w:r>
        <w:r w:rsidR="006E665D">
          <w:rPr>
            <w:webHidden/>
          </w:rPr>
          <w:fldChar w:fldCharType="separate"/>
        </w:r>
        <w:r>
          <w:rPr>
            <w:webHidden/>
            <w:rtl/>
          </w:rPr>
          <w:t>303</w:t>
        </w:r>
        <w:r w:rsidR="006E665D">
          <w:rPr>
            <w:webHidden/>
          </w:rPr>
          <w:fldChar w:fldCharType="end"/>
        </w:r>
      </w:hyperlink>
    </w:p>
    <w:p w:rsidR="006E665D" w:rsidRDefault="002F66B9" w:rsidP="006E665D">
      <w:pPr>
        <w:pStyle w:val="TOC3"/>
        <w:rPr>
          <w:rFonts w:asciiTheme="minorHAnsi" w:eastAsiaTheme="minorEastAsia" w:hAnsiTheme="minorHAnsi" w:cstheme="minorBidi"/>
          <w:sz w:val="22"/>
          <w:szCs w:val="22"/>
          <w:lang w:val="en-US"/>
        </w:rPr>
      </w:pPr>
      <w:hyperlink w:anchor="_Toc455393404" w:history="1">
        <w:r w:rsidR="006E665D" w:rsidRPr="004A5973">
          <w:rPr>
            <w:rStyle w:val="Hyperlink"/>
            <w:rFonts w:hint="eastAsia"/>
            <w:rtl/>
          </w:rPr>
          <w:t>البرنامج</w:t>
        </w:r>
        <w:r w:rsidR="006E665D" w:rsidRPr="004A5973">
          <w:rPr>
            <w:rStyle w:val="Hyperlink"/>
            <w:rtl/>
          </w:rPr>
          <w:t xml:space="preserve"> 28:</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السلامة</w:t>
        </w:r>
        <w:r w:rsidR="006E665D" w:rsidRPr="004A5973">
          <w:rPr>
            <w:rStyle w:val="Hyperlink"/>
            <w:rtl/>
          </w:rPr>
          <w:t xml:space="preserve"> </w:t>
        </w:r>
        <w:r w:rsidR="006E665D" w:rsidRPr="004A5973">
          <w:rPr>
            <w:rStyle w:val="Hyperlink"/>
            <w:rFonts w:hint="eastAsia"/>
            <w:rtl/>
          </w:rPr>
          <w:t>والأمن</w:t>
        </w:r>
        <w:r w:rsidR="006E665D">
          <w:rPr>
            <w:webHidden/>
          </w:rPr>
          <w:tab/>
        </w:r>
        <w:r w:rsidR="006E665D">
          <w:rPr>
            <w:webHidden/>
          </w:rPr>
          <w:fldChar w:fldCharType="begin"/>
        </w:r>
        <w:r w:rsidR="006E665D">
          <w:rPr>
            <w:webHidden/>
          </w:rPr>
          <w:instrText xml:space="preserve"> PAGEREF _Toc455393404 \h </w:instrText>
        </w:r>
        <w:r w:rsidR="006E665D">
          <w:rPr>
            <w:webHidden/>
          </w:rPr>
        </w:r>
        <w:r w:rsidR="006E665D">
          <w:rPr>
            <w:webHidden/>
          </w:rPr>
          <w:fldChar w:fldCharType="separate"/>
        </w:r>
        <w:r>
          <w:rPr>
            <w:webHidden/>
            <w:rtl/>
          </w:rPr>
          <w:t>309</w:t>
        </w:r>
        <w:r w:rsidR="006E665D">
          <w:rPr>
            <w:webHidden/>
          </w:rPr>
          <w:fldChar w:fldCharType="end"/>
        </w:r>
      </w:hyperlink>
    </w:p>
    <w:p w:rsidR="006E665D" w:rsidRDefault="002F66B9" w:rsidP="006E665D">
      <w:pPr>
        <w:pStyle w:val="TOC3"/>
        <w:rPr>
          <w:rFonts w:asciiTheme="minorHAnsi" w:eastAsiaTheme="minorEastAsia" w:hAnsiTheme="minorHAnsi" w:cstheme="minorBidi"/>
          <w:sz w:val="22"/>
          <w:szCs w:val="22"/>
          <w:lang w:val="en-US"/>
        </w:rPr>
      </w:pPr>
      <w:hyperlink w:anchor="_Toc455393405" w:history="1">
        <w:r w:rsidR="006E665D" w:rsidRPr="004A5973">
          <w:rPr>
            <w:rStyle w:val="Hyperlink"/>
            <w:rFonts w:hint="eastAsia"/>
            <w:rtl/>
          </w:rPr>
          <w:t>البرنامج</w:t>
        </w:r>
        <w:r w:rsidR="006E665D" w:rsidRPr="004A5973">
          <w:rPr>
            <w:rStyle w:val="Hyperlink"/>
            <w:rtl/>
          </w:rPr>
          <w:t xml:space="preserve"> 29:</w:t>
        </w:r>
        <w:r w:rsidR="006E665D">
          <w:rPr>
            <w:rFonts w:asciiTheme="minorHAnsi" w:eastAsiaTheme="minorEastAsia" w:hAnsiTheme="minorHAnsi" w:cstheme="minorBidi"/>
            <w:sz w:val="22"/>
            <w:szCs w:val="22"/>
            <w:lang w:val="en-US"/>
          </w:rPr>
          <w:tab/>
        </w:r>
        <w:r w:rsidR="006E665D" w:rsidRPr="004A5973">
          <w:rPr>
            <w:rStyle w:val="Hyperlink"/>
            <w:rFonts w:hint="eastAsia"/>
            <w:rtl/>
          </w:rPr>
          <w:t>مشروعات</w:t>
        </w:r>
        <w:r w:rsidR="006E665D" w:rsidRPr="004A5973">
          <w:rPr>
            <w:rStyle w:val="Hyperlink"/>
            <w:rtl/>
          </w:rPr>
          <w:t xml:space="preserve"> </w:t>
        </w:r>
        <w:r w:rsidR="006E665D" w:rsidRPr="004A5973">
          <w:rPr>
            <w:rStyle w:val="Hyperlink"/>
            <w:rFonts w:hint="eastAsia"/>
            <w:rtl/>
          </w:rPr>
          <w:t>الإنشاءات</w:t>
        </w:r>
        <w:r w:rsidR="006E665D">
          <w:rPr>
            <w:webHidden/>
          </w:rPr>
          <w:tab/>
        </w:r>
        <w:r w:rsidR="006E665D">
          <w:rPr>
            <w:webHidden/>
          </w:rPr>
          <w:fldChar w:fldCharType="begin"/>
        </w:r>
        <w:r w:rsidR="006E665D">
          <w:rPr>
            <w:webHidden/>
          </w:rPr>
          <w:instrText xml:space="preserve"> PAGEREF _Toc455393405 \h </w:instrText>
        </w:r>
        <w:r w:rsidR="006E665D">
          <w:rPr>
            <w:webHidden/>
          </w:rPr>
        </w:r>
        <w:r w:rsidR="006E665D">
          <w:rPr>
            <w:webHidden/>
          </w:rPr>
          <w:fldChar w:fldCharType="separate"/>
        </w:r>
        <w:r>
          <w:rPr>
            <w:webHidden/>
            <w:rtl/>
          </w:rPr>
          <w:t>313</w:t>
        </w:r>
        <w:r w:rsidR="006E665D">
          <w:rPr>
            <w:webHidden/>
          </w:rPr>
          <w:fldChar w:fldCharType="end"/>
        </w:r>
      </w:hyperlink>
    </w:p>
    <w:p w:rsidR="006E665D" w:rsidRDefault="002F66B9" w:rsidP="006E665D">
      <w:pPr>
        <w:pStyle w:val="TOC1"/>
        <w:rPr>
          <w:rFonts w:asciiTheme="minorHAnsi" w:eastAsiaTheme="minorEastAsia" w:hAnsiTheme="minorHAnsi" w:cstheme="minorBidi"/>
          <w:b w:val="0"/>
          <w:bCs w:val="0"/>
          <w:sz w:val="22"/>
          <w:szCs w:val="22"/>
        </w:rPr>
      </w:pPr>
      <w:hyperlink w:anchor="_Toc455393406" w:history="1">
        <w:r w:rsidR="006E665D" w:rsidRPr="004A5973">
          <w:rPr>
            <w:rStyle w:val="Hyperlink"/>
            <w:rFonts w:hint="eastAsia"/>
            <w:rtl/>
            <w:lang w:val="fr-CH"/>
          </w:rPr>
          <w:t>سابعا</w:t>
        </w:r>
        <w:r w:rsidR="006E665D">
          <w:rPr>
            <w:rFonts w:asciiTheme="minorHAnsi" w:eastAsiaTheme="minorEastAsia" w:hAnsiTheme="minorHAnsi" w:cstheme="minorBidi"/>
            <w:b w:val="0"/>
            <w:bCs w:val="0"/>
            <w:sz w:val="22"/>
            <w:szCs w:val="22"/>
          </w:rPr>
          <w:tab/>
        </w:r>
        <w:r w:rsidR="006E665D" w:rsidRPr="004A5973">
          <w:rPr>
            <w:rStyle w:val="Hyperlink"/>
            <w:rFonts w:hint="eastAsia"/>
            <w:rtl/>
            <w:lang w:val="fr-CH"/>
          </w:rPr>
          <w:t>الملحقات</w:t>
        </w:r>
        <w:r w:rsidR="006E665D">
          <w:rPr>
            <w:webHidden/>
          </w:rPr>
          <w:tab/>
        </w:r>
        <w:r w:rsidR="006E665D">
          <w:rPr>
            <w:webHidden/>
          </w:rPr>
          <w:fldChar w:fldCharType="begin"/>
        </w:r>
        <w:r w:rsidR="006E665D">
          <w:rPr>
            <w:webHidden/>
          </w:rPr>
          <w:instrText xml:space="preserve"> PAGEREF _Toc455393406 \h </w:instrText>
        </w:r>
        <w:r w:rsidR="006E665D">
          <w:rPr>
            <w:webHidden/>
          </w:rPr>
        </w:r>
        <w:r w:rsidR="006E665D">
          <w:rPr>
            <w:webHidden/>
          </w:rPr>
          <w:fldChar w:fldCharType="separate"/>
        </w:r>
        <w:r>
          <w:rPr>
            <w:webHidden/>
            <w:rtl/>
          </w:rPr>
          <w:t>318</w:t>
        </w:r>
        <w:r w:rsidR="006E665D">
          <w:rPr>
            <w:webHidden/>
          </w:rPr>
          <w:fldChar w:fldCharType="end"/>
        </w:r>
      </w:hyperlink>
    </w:p>
    <w:p w:rsidR="006E665D" w:rsidRDefault="002F66B9" w:rsidP="006E665D">
      <w:pPr>
        <w:pStyle w:val="TOC3"/>
        <w:tabs>
          <w:tab w:val="left" w:pos="2737"/>
        </w:tabs>
        <w:rPr>
          <w:rFonts w:asciiTheme="minorHAnsi" w:eastAsiaTheme="minorEastAsia" w:hAnsiTheme="minorHAnsi" w:cstheme="minorBidi"/>
          <w:sz w:val="22"/>
          <w:szCs w:val="22"/>
          <w:lang w:val="en-US"/>
        </w:rPr>
      </w:pPr>
      <w:hyperlink w:anchor="_Toc455393407" w:history="1">
        <w:r w:rsidR="006E665D" w:rsidRPr="004A5973">
          <w:rPr>
            <w:rStyle w:val="Hyperlink"/>
            <w:rFonts w:hint="eastAsia"/>
            <w:rtl/>
          </w:rPr>
          <w:t>الملحق</w:t>
        </w:r>
        <w:r w:rsidR="006E665D" w:rsidRPr="004A5973">
          <w:rPr>
            <w:rStyle w:val="Hyperlink"/>
            <w:rtl/>
          </w:rPr>
          <w:t xml:space="preserve"> </w:t>
        </w:r>
        <w:r w:rsidR="006E665D" w:rsidRPr="004A5973">
          <w:rPr>
            <w:rStyle w:val="Hyperlink"/>
            <w:rFonts w:hint="eastAsia"/>
            <w:rtl/>
          </w:rPr>
          <w:t>الأول</w:t>
        </w:r>
        <w:r w:rsidR="006E665D">
          <w:rPr>
            <w:rFonts w:asciiTheme="minorHAnsi" w:eastAsiaTheme="minorEastAsia" w:hAnsiTheme="minorHAnsi" w:cstheme="minorBidi"/>
            <w:sz w:val="22"/>
            <w:szCs w:val="22"/>
            <w:lang w:val="en-US"/>
          </w:rPr>
          <w:tab/>
        </w:r>
        <w:r w:rsidR="006E665D" w:rsidRPr="004A5973">
          <w:rPr>
            <w:rStyle w:val="Hyperlink"/>
            <w:rFonts w:hint="eastAsia"/>
            <w:rtl/>
          </w:rPr>
          <w:t>توزيع</w:t>
        </w:r>
        <w:r w:rsidR="006E665D" w:rsidRPr="004A5973">
          <w:rPr>
            <w:rStyle w:val="Hyperlink"/>
            <w:rtl/>
          </w:rPr>
          <w:t xml:space="preserve"> </w:t>
        </w:r>
        <w:r w:rsidR="006E665D" w:rsidRPr="004A5973">
          <w:rPr>
            <w:rStyle w:val="Hyperlink"/>
            <w:rFonts w:hint="eastAsia"/>
            <w:rtl/>
          </w:rPr>
          <w:t>لتقييمات</w:t>
        </w:r>
        <w:r w:rsidR="006E665D" w:rsidRPr="004A5973">
          <w:rPr>
            <w:rStyle w:val="Hyperlink"/>
            <w:rtl/>
          </w:rPr>
          <w:t xml:space="preserve"> </w:t>
        </w:r>
        <w:r w:rsidR="006E665D" w:rsidRPr="004A5973">
          <w:rPr>
            <w:rStyle w:val="Hyperlink"/>
            <w:rFonts w:hint="eastAsia"/>
            <w:rtl/>
          </w:rPr>
          <w:t>الأداء</w:t>
        </w:r>
        <w:r w:rsidR="006E665D" w:rsidRPr="004A5973">
          <w:rPr>
            <w:rStyle w:val="Hyperlink"/>
            <w:rtl/>
          </w:rPr>
          <w:t xml:space="preserve"> </w:t>
        </w:r>
        <w:r w:rsidR="006E665D" w:rsidRPr="004A5973">
          <w:rPr>
            <w:rStyle w:val="Hyperlink"/>
            <w:rFonts w:hint="eastAsia"/>
            <w:rtl/>
          </w:rPr>
          <w:t>لكل</w:t>
        </w:r>
        <w:r w:rsidR="006E665D" w:rsidRPr="004A5973">
          <w:rPr>
            <w:rStyle w:val="Hyperlink"/>
            <w:rtl/>
          </w:rPr>
          <w:t xml:space="preserve"> </w:t>
        </w:r>
        <w:r w:rsidR="006E665D" w:rsidRPr="004A5973">
          <w:rPr>
            <w:rStyle w:val="Hyperlink"/>
            <w:rFonts w:hint="eastAsia"/>
            <w:rtl/>
          </w:rPr>
          <w:t>برنامج</w:t>
        </w:r>
        <w:r w:rsidR="006E665D">
          <w:rPr>
            <w:webHidden/>
          </w:rPr>
          <w:tab/>
        </w:r>
        <w:r w:rsidR="006E665D">
          <w:rPr>
            <w:webHidden/>
          </w:rPr>
          <w:fldChar w:fldCharType="begin"/>
        </w:r>
        <w:r w:rsidR="006E665D">
          <w:rPr>
            <w:webHidden/>
          </w:rPr>
          <w:instrText xml:space="preserve"> PAGEREF _Toc455393407 \h </w:instrText>
        </w:r>
        <w:r w:rsidR="006E665D">
          <w:rPr>
            <w:webHidden/>
          </w:rPr>
        </w:r>
        <w:r w:rsidR="006E665D">
          <w:rPr>
            <w:webHidden/>
          </w:rPr>
          <w:fldChar w:fldCharType="separate"/>
        </w:r>
        <w:r>
          <w:rPr>
            <w:webHidden/>
            <w:rtl/>
          </w:rPr>
          <w:t>318</w:t>
        </w:r>
        <w:r w:rsidR="006E665D">
          <w:rPr>
            <w:webHidden/>
          </w:rPr>
          <w:fldChar w:fldCharType="end"/>
        </w:r>
      </w:hyperlink>
    </w:p>
    <w:p w:rsidR="006E665D" w:rsidRDefault="002F66B9" w:rsidP="006E665D">
      <w:pPr>
        <w:pStyle w:val="TOC3"/>
        <w:tabs>
          <w:tab w:val="left" w:pos="3176"/>
        </w:tabs>
        <w:rPr>
          <w:rFonts w:asciiTheme="minorHAnsi" w:eastAsiaTheme="minorEastAsia" w:hAnsiTheme="minorHAnsi" w:cstheme="minorBidi"/>
          <w:sz w:val="22"/>
          <w:szCs w:val="22"/>
          <w:lang w:val="en-US"/>
        </w:rPr>
      </w:pPr>
      <w:hyperlink w:anchor="_Toc455393408" w:history="1">
        <w:r w:rsidR="006E665D" w:rsidRPr="004A5973">
          <w:rPr>
            <w:rStyle w:val="Hyperlink"/>
            <w:rFonts w:hint="eastAsia"/>
            <w:rtl/>
          </w:rPr>
          <w:t>الملحق</w:t>
        </w:r>
        <w:r w:rsidR="006E665D" w:rsidRPr="004A5973">
          <w:rPr>
            <w:rStyle w:val="Hyperlink"/>
            <w:rtl/>
          </w:rPr>
          <w:t xml:space="preserve"> </w:t>
        </w:r>
        <w:r w:rsidR="006E665D" w:rsidRPr="004A5973">
          <w:rPr>
            <w:rStyle w:val="Hyperlink"/>
            <w:rFonts w:hint="eastAsia"/>
            <w:rtl/>
          </w:rPr>
          <w:t>الثاني</w:t>
        </w:r>
        <w:r w:rsidR="006E665D">
          <w:rPr>
            <w:rFonts w:asciiTheme="minorHAnsi" w:eastAsiaTheme="minorEastAsia" w:hAnsiTheme="minorHAnsi" w:cstheme="minorBidi"/>
            <w:sz w:val="22"/>
            <w:szCs w:val="22"/>
            <w:lang w:val="en-US"/>
          </w:rPr>
          <w:tab/>
        </w:r>
        <w:r w:rsidR="006E665D" w:rsidRPr="004A5973">
          <w:rPr>
            <w:rStyle w:val="Hyperlink"/>
            <w:rFonts w:hint="eastAsia"/>
            <w:rtl/>
          </w:rPr>
          <w:t>إنفاق</w:t>
        </w:r>
        <w:r w:rsidR="006E665D" w:rsidRPr="004A5973">
          <w:rPr>
            <w:rStyle w:val="Hyperlink"/>
            <w:rtl/>
          </w:rPr>
          <w:t xml:space="preserve"> </w:t>
        </w:r>
        <w:r w:rsidR="006E665D" w:rsidRPr="004A5973">
          <w:rPr>
            <w:rStyle w:val="Hyperlink"/>
            <w:rFonts w:hint="eastAsia"/>
            <w:rtl/>
          </w:rPr>
          <w:t>الصناديق</w:t>
        </w:r>
        <w:r w:rsidR="006E665D" w:rsidRPr="004A5973">
          <w:rPr>
            <w:rStyle w:val="Hyperlink"/>
            <w:rtl/>
          </w:rPr>
          <w:t xml:space="preserve"> </w:t>
        </w:r>
        <w:r w:rsidR="006E665D" w:rsidRPr="004A5973">
          <w:rPr>
            <w:rStyle w:val="Hyperlink"/>
            <w:rFonts w:hint="eastAsia"/>
            <w:rtl/>
          </w:rPr>
          <w:t>الاستئمانية</w:t>
        </w:r>
        <w:r w:rsidR="006E665D" w:rsidRPr="004A5973">
          <w:rPr>
            <w:rStyle w:val="Hyperlink"/>
            <w:rtl/>
          </w:rPr>
          <w:t xml:space="preserve"> 2014/15</w:t>
        </w:r>
        <w:r w:rsidR="006E665D">
          <w:rPr>
            <w:webHidden/>
          </w:rPr>
          <w:tab/>
        </w:r>
        <w:r w:rsidR="006E665D">
          <w:rPr>
            <w:webHidden/>
          </w:rPr>
          <w:fldChar w:fldCharType="begin"/>
        </w:r>
        <w:r w:rsidR="006E665D">
          <w:rPr>
            <w:webHidden/>
          </w:rPr>
          <w:instrText xml:space="preserve"> PAGEREF _Toc455393408 \h </w:instrText>
        </w:r>
        <w:r w:rsidR="006E665D">
          <w:rPr>
            <w:webHidden/>
          </w:rPr>
        </w:r>
        <w:r w:rsidR="006E665D">
          <w:rPr>
            <w:webHidden/>
          </w:rPr>
          <w:fldChar w:fldCharType="separate"/>
        </w:r>
        <w:r>
          <w:rPr>
            <w:webHidden/>
            <w:rtl/>
          </w:rPr>
          <w:t>320</w:t>
        </w:r>
        <w:r w:rsidR="006E665D">
          <w:rPr>
            <w:webHidden/>
          </w:rPr>
          <w:fldChar w:fldCharType="end"/>
        </w:r>
      </w:hyperlink>
    </w:p>
    <w:p w:rsidR="006E665D" w:rsidRDefault="002F66B9" w:rsidP="006E665D">
      <w:pPr>
        <w:pStyle w:val="TOC3"/>
        <w:tabs>
          <w:tab w:val="left" w:pos="4910"/>
        </w:tabs>
        <w:rPr>
          <w:rFonts w:asciiTheme="minorHAnsi" w:eastAsiaTheme="minorEastAsia" w:hAnsiTheme="minorHAnsi" w:cstheme="minorBidi"/>
          <w:sz w:val="22"/>
          <w:szCs w:val="22"/>
          <w:lang w:val="en-US"/>
        </w:rPr>
      </w:pPr>
      <w:hyperlink w:anchor="_Toc455393409" w:history="1">
        <w:r w:rsidR="006E665D" w:rsidRPr="004A5973">
          <w:rPr>
            <w:rStyle w:val="Hyperlink"/>
            <w:rFonts w:hint="eastAsia"/>
            <w:rtl/>
          </w:rPr>
          <w:t>الملحق</w:t>
        </w:r>
        <w:r w:rsidR="006E665D" w:rsidRPr="004A5973">
          <w:rPr>
            <w:rStyle w:val="Hyperlink"/>
            <w:rtl/>
          </w:rPr>
          <w:t xml:space="preserve"> </w:t>
        </w:r>
        <w:r w:rsidR="006E665D" w:rsidRPr="004A5973">
          <w:rPr>
            <w:rStyle w:val="Hyperlink"/>
            <w:rFonts w:hint="eastAsia"/>
            <w:rtl/>
          </w:rPr>
          <w:t>الثالث</w:t>
        </w:r>
        <w:r w:rsidR="006E665D">
          <w:rPr>
            <w:rFonts w:asciiTheme="minorHAnsi" w:eastAsiaTheme="minorEastAsia" w:hAnsiTheme="minorHAnsi" w:cstheme="minorBidi"/>
            <w:sz w:val="22"/>
            <w:szCs w:val="22"/>
            <w:lang w:val="en-US"/>
          </w:rPr>
          <w:tab/>
        </w:r>
        <w:r w:rsidR="006E665D" w:rsidRPr="004A5973">
          <w:rPr>
            <w:rStyle w:val="Hyperlink"/>
            <w:rFonts w:hint="eastAsia"/>
            <w:rtl/>
          </w:rPr>
          <w:t>التقرير</w:t>
        </w:r>
        <w:r w:rsidR="006E665D" w:rsidRPr="004A5973">
          <w:rPr>
            <w:rStyle w:val="Hyperlink"/>
            <w:rtl/>
          </w:rPr>
          <w:t xml:space="preserve"> </w:t>
        </w:r>
        <w:r w:rsidR="006E665D" w:rsidRPr="004A5973">
          <w:rPr>
            <w:rStyle w:val="Hyperlink"/>
            <w:rFonts w:hint="eastAsia"/>
            <w:rtl/>
          </w:rPr>
          <w:t>المرحلي</w:t>
        </w:r>
        <w:r w:rsidR="006E665D" w:rsidRPr="004A5973">
          <w:rPr>
            <w:rStyle w:val="Hyperlink"/>
            <w:rtl/>
          </w:rPr>
          <w:t xml:space="preserve"> </w:t>
        </w:r>
        <w:r w:rsidR="006E665D" w:rsidRPr="004A5973">
          <w:rPr>
            <w:rStyle w:val="Hyperlink"/>
            <w:rFonts w:hint="eastAsia"/>
            <w:rtl/>
          </w:rPr>
          <w:t>للثنائية</w:t>
        </w:r>
        <w:r w:rsidR="006E665D" w:rsidRPr="004A5973">
          <w:rPr>
            <w:rStyle w:val="Hyperlink"/>
            <w:rtl/>
          </w:rPr>
          <w:t xml:space="preserve"> 2014/15 </w:t>
        </w:r>
        <w:r w:rsidR="006E665D" w:rsidRPr="004A5973">
          <w:rPr>
            <w:rStyle w:val="Hyperlink"/>
            <w:rFonts w:hint="eastAsia"/>
            <w:rtl/>
          </w:rPr>
          <w:t>بشأن</w:t>
        </w:r>
        <w:r w:rsidR="006E665D" w:rsidRPr="004A5973">
          <w:rPr>
            <w:rStyle w:val="Hyperlink"/>
            <w:rtl/>
          </w:rPr>
          <w:t xml:space="preserve"> </w:t>
        </w:r>
        <w:r w:rsidR="006E665D" w:rsidRPr="004A5973">
          <w:rPr>
            <w:rStyle w:val="Hyperlink"/>
            <w:rFonts w:hint="eastAsia"/>
            <w:rtl/>
          </w:rPr>
          <w:t>الخطة</w:t>
        </w:r>
        <w:r w:rsidR="006E665D" w:rsidRPr="004A5973">
          <w:rPr>
            <w:rStyle w:val="Hyperlink"/>
            <w:rtl/>
          </w:rPr>
          <w:t xml:space="preserve"> </w:t>
        </w:r>
        <w:r w:rsidR="006E665D" w:rsidRPr="004A5973">
          <w:rPr>
            <w:rStyle w:val="Hyperlink"/>
            <w:rFonts w:hint="eastAsia"/>
            <w:rtl/>
          </w:rPr>
          <w:t>الرأسمالية</w:t>
        </w:r>
        <w:r w:rsidR="006E665D" w:rsidRPr="004A5973">
          <w:rPr>
            <w:rStyle w:val="Hyperlink"/>
            <w:rtl/>
          </w:rPr>
          <w:t xml:space="preserve"> </w:t>
        </w:r>
        <w:r w:rsidR="006E665D" w:rsidRPr="004A5973">
          <w:rPr>
            <w:rStyle w:val="Hyperlink"/>
            <w:rFonts w:hint="eastAsia"/>
            <w:rtl/>
          </w:rPr>
          <w:t>الرئيسية</w:t>
        </w:r>
        <w:r w:rsidR="006E665D">
          <w:rPr>
            <w:webHidden/>
          </w:rPr>
          <w:tab/>
        </w:r>
        <w:r w:rsidR="006E665D">
          <w:rPr>
            <w:webHidden/>
          </w:rPr>
          <w:fldChar w:fldCharType="begin"/>
        </w:r>
        <w:r w:rsidR="006E665D">
          <w:rPr>
            <w:webHidden/>
          </w:rPr>
          <w:instrText xml:space="preserve"> PAGEREF _Toc455393409 \h </w:instrText>
        </w:r>
        <w:r w:rsidR="006E665D">
          <w:rPr>
            <w:webHidden/>
          </w:rPr>
        </w:r>
        <w:r w:rsidR="006E665D">
          <w:rPr>
            <w:webHidden/>
          </w:rPr>
          <w:fldChar w:fldCharType="separate"/>
        </w:r>
        <w:r>
          <w:rPr>
            <w:webHidden/>
            <w:rtl/>
          </w:rPr>
          <w:t>352</w:t>
        </w:r>
        <w:r w:rsidR="006E665D">
          <w:rPr>
            <w:webHidden/>
          </w:rPr>
          <w:fldChar w:fldCharType="end"/>
        </w:r>
      </w:hyperlink>
    </w:p>
    <w:p w:rsidR="006E665D" w:rsidRDefault="002F66B9" w:rsidP="006E665D">
      <w:pPr>
        <w:pStyle w:val="TOC4"/>
        <w:rPr>
          <w:rFonts w:asciiTheme="minorHAnsi" w:hAnsiTheme="minorHAnsi" w:cstheme="minorBidi"/>
          <w:i w:val="0"/>
          <w:iCs w:val="0"/>
          <w:noProof/>
          <w:szCs w:val="22"/>
        </w:rPr>
      </w:pPr>
      <w:hyperlink w:anchor="_Toc455393410" w:history="1">
        <w:r w:rsidR="006E665D" w:rsidRPr="004A5973">
          <w:rPr>
            <w:rStyle w:val="Hyperlink"/>
            <w:rFonts w:hint="eastAsia"/>
            <w:noProof/>
            <w:rtl/>
          </w:rPr>
          <w:t>المشروع</w:t>
        </w:r>
        <w:r w:rsidR="006E665D" w:rsidRPr="004A5973">
          <w:rPr>
            <w:rStyle w:val="Hyperlink"/>
            <w:noProof/>
            <w:rtl/>
          </w:rPr>
          <w:t xml:space="preserve"> 1: </w:t>
        </w:r>
        <w:r w:rsidR="006E665D" w:rsidRPr="004A5973">
          <w:rPr>
            <w:rStyle w:val="Hyperlink"/>
            <w:rFonts w:hint="eastAsia"/>
            <w:noProof/>
            <w:rtl/>
          </w:rPr>
          <w:t>تعزيز</w:t>
        </w:r>
        <w:r w:rsidR="006E665D" w:rsidRPr="004A5973">
          <w:rPr>
            <w:rStyle w:val="Hyperlink"/>
            <w:noProof/>
            <w:rtl/>
          </w:rPr>
          <w:t xml:space="preserve"> </w:t>
        </w:r>
        <w:r w:rsidR="006E665D" w:rsidRPr="004A5973">
          <w:rPr>
            <w:rStyle w:val="Hyperlink"/>
            <w:rFonts w:hint="eastAsia"/>
            <w:noProof/>
            <w:rtl/>
          </w:rPr>
          <w:t>الأمن</w:t>
        </w:r>
        <w:r w:rsidR="006E665D" w:rsidRPr="004A5973">
          <w:rPr>
            <w:rStyle w:val="Hyperlink"/>
            <w:noProof/>
            <w:rtl/>
          </w:rPr>
          <w:t xml:space="preserve">: </w:t>
        </w:r>
        <w:r w:rsidR="006E665D" w:rsidRPr="004A5973">
          <w:rPr>
            <w:rStyle w:val="Hyperlink"/>
            <w:rFonts w:hint="eastAsia"/>
            <w:noProof/>
            <w:rtl/>
          </w:rPr>
          <w:t>تشفير</w:t>
        </w:r>
        <w:r w:rsidR="006E665D" w:rsidRPr="004A5973">
          <w:rPr>
            <w:rStyle w:val="Hyperlink"/>
            <w:noProof/>
            <w:rtl/>
          </w:rPr>
          <w:t xml:space="preserve"> </w:t>
        </w:r>
        <w:r w:rsidR="006E665D" w:rsidRPr="004A5973">
          <w:rPr>
            <w:rStyle w:val="Hyperlink"/>
            <w:rFonts w:hint="eastAsia"/>
            <w:noProof/>
            <w:rtl/>
          </w:rPr>
          <w:t>البيانات</w:t>
        </w:r>
        <w:r w:rsidR="006E665D" w:rsidRPr="004A5973">
          <w:rPr>
            <w:rStyle w:val="Hyperlink"/>
            <w:noProof/>
            <w:rtl/>
          </w:rPr>
          <w:t xml:space="preserve"> </w:t>
        </w:r>
        <w:r w:rsidR="006E665D" w:rsidRPr="004A5973">
          <w:rPr>
            <w:rStyle w:val="Hyperlink"/>
            <w:rFonts w:hint="eastAsia"/>
            <w:noProof/>
            <w:rtl/>
          </w:rPr>
          <w:t>وإدارة</w:t>
        </w:r>
        <w:r w:rsidR="006E665D" w:rsidRPr="004A5973">
          <w:rPr>
            <w:rStyle w:val="Hyperlink"/>
            <w:noProof/>
            <w:rtl/>
          </w:rPr>
          <w:t xml:space="preserve"> </w:t>
        </w:r>
        <w:r w:rsidR="006E665D" w:rsidRPr="004A5973">
          <w:rPr>
            <w:rStyle w:val="Hyperlink"/>
            <w:rFonts w:hint="eastAsia"/>
            <w:noProof/>
            <w:rtl/>
          </w:rPr>
          <w:t>المستخدمين</w:t>
        </w:r>
        <w:r w:rsidR="006E665D" w:rsidRPr="004A5973">
          <w:rPr>
            <w:rStyle w:val="Hyperlink"/>
            <w:noProof/>
            <w:rtl/>
          </w:rPr>
          <w:t xml:space="preserve"> (</w:t>
        </w:r>
        <w:r w:rsidR="006E665D" w:rsidRPr="004A5973">
          <w:rPr>
            <w:rStyle w:val="Hyperlink"/>
            <w:noProof/>
          </w:rPr>
          <w:t>CMP 1</w:t>
        </w:r>
        <w:r w:rsidR="006E665D" w:rsidRPr="004A5973">
          <w:rPr>
            <w:rStyle w:val="Hyperlink"/>
            <w:noProof/>
            <w:rtl/>
          </w:rPr>
          <w:t>)</w:t>
        </w:r>
        <w:r w:rsidR="006E665D">
          <w:rPr>
            <w:noProof/>
            <w:webHidden/>
          </w:rPr>
          <w:tab/>
        </w:r>
        <w:r w:rsidR="006E665D">
          <w:rPr>
            <w:noProof/>
            <w:webHidden/>
          </w:rPr>
          <w:fldChar w:fldCharType="begin"/>
        </w:r>
        <w:r w:rsidR="006E665D">
          <w:rPr>
            <w:noProof/>
            <w:webHidden/>
          </w:rPr>
          <w:instrText xml:space="preserve"> PAGEREF _Toc455393410 \h </w:instrText>
        </w:r>
        <w:r w:rsidR="006E665D">
          <w:rPr>
            <w:noProof/>
            <w:webHidden/>
          </w:rPr>
        </w:r>
        <w:r w:rsidR="006E665D">
          <w:rPr>
            <w:noProof/>
            <w:webHidden/>
          </w:rPr>
          <w:fldChar w:fldCharType="separate"/>
        </w:r>
        <w:r>
          <w:rPr>
            <w:noProof/>
            <w:webHidden/>
            <w:rtl/>
          </w:rPr>
          <w:t>353</w:t>
        </w:r>
        <w:r w:rsidR="006E665D">
          <w:rPr>
            <w:noProof/>
            <w:webHidden/>
          </w:rPr>
          <w:fldChar w:fldCharType="end"/>
        </w:r>
      </w:hyperlink>
    </w:p>
    <w:p w:rsidR="006E665D" w:rsidRDefault="002F66B9" w:rsidP="006E665D">
      <w:pPr>
        <w:pStyle w:val="TOC4"/>
        <w:rPr>
          <w:rFonts w:asciiTheme="minorHAnsi" w:hAnsiTheme="minorHAnsi" w:cstheme="minorBidi"/>
          <w:i w:val="0"/>
          <w:iCs w:val="0"/>
          <w:noProof/>
          <w:szCs w:val="22"/>
        </w:rPr>
      </w:pPr>
      <w:hyperlink w:anchor="_Toc455393411" w:history="1">
        <w:r w:rsidR="006E665D" w:rsidRPr="004A5973">
          <w:rPr>
            <w:rStyle w:val="Hyperlink"/>
            <w:rFonts w:hint="eastAsia"/>
            <w:noProof/>
            <w:rtl/>
          </w:rPr>
          <w:t>المشروع</w:t>
        </w:r>
        <w:r w:rsidR="006E665D" w:rsidRPr="004A5973">
          <w:rPr>
            <w:rStyle w:val="Hyperlink"/>
            <w:noProof/>
            <w:rtl/>
          </w:rPr>
          <w:t xml:space="preserve"> 2: </w:t>
        </w:r>
        <w:r w:rsidR="006E665D" w:rsidRPr="004A5973">
          <w:rPr>
            <w:rStyle w:val="Hyperlink"/>
            <w:rFonts w:hint="eastAsia"/>
            <w:noProof/>
            <w:rtl/>
          </w:rPr>
          <w:t>تنفيذ</w:t>
        </w:r>
        <w:r w:rsidR="006E665D" w:rsidRPr="004A5973">
          <w:rPr>
            <w:rStyle w:val="Hyperlink"/>
            <w:noProof/>
            <w:rtl/>
          </w:rPr>
          <w:t xml:space="preserve"> </w:t>
        </w:r>
        <w:r w:rsidR="006E665D" w:rsidRPr="004A5973">
          <w:rPr>
            <w:rStyle w:val="Hyperlink"/>
            <w:rFonts w:hint="eastAsia"/>
            <w:noProof/>
            <w:rtl/>
          </w:rPr>
          <w:t>إدارة</w:t>
        </w:r>
        <w:r w:rsidR="006E665D" w:rsidRPr="004A5973">
          <w:rPr>
            <w:rStyle w:val="Hyperlink"/>
            <w:noProof/>
            <w:rtl/>
          </w:rPr>
          <w:t xml:space="preserve"> </w:t>
        </w:r>
        <w:r w:rsidR="006E665D" w:rsidRPr="004A5973">
          <w:rPr>
            <w:rStyle w:val="Hyperlink"/>
            <w:rFonts w:hint="eastAsia"/>
            <w:noProof/>
            <w:rtl/>
          </w:rPr>
          <w:t>المعلومات</w:t>
        </w:r>
        <w:r w:rsidR="006E665D" w:rsidRPr="004A5973">
          <w:rPr>
            <w:rStyle w:val="Hyperlink"/>
            <w:noProof/>
            <w:rtl/>
          </w:rPr>
          <w:t xml:space="preserve"> </w:t>
        </w:r>
        <w:r w:rsidR="006E665D" w:rsidRPr="004A5973">
          <w:rPr>
            <w:rStyle w:val="Hyperlink"/>
            <w:rFonts w:hint="eastAsia"/>
            <w:noProof/>
            <w:rtl/>
          </w:rPr>
          <w:t>المؤسسية</w:t>
        </w:r>
        <w:r w:rsidR="006E665D" w:rsidRPr="004A5973">
          <w:rPr>
            <w:rStyle w:val="Hyperlink"/>
            <w:noProof/>
            <w:rtl/>
          </w:rPr>
          <w:t xml:space="preserve"> (</w:t>
        </w:r>
        <w:r w:rsidR="006E665D" w:rsidRPr="004A5973">
          <w:rPr>
            <w:rStyle w:val="Hyperlink"/>
            <w:noProof/>
          </w:rPr>
          <w:t>CMP 2</w:t>
        </w:r>
        <w:r w:rsidR="006E665D" w:rsidRPr="004A5973">
          <w:rPr>
            <w:rStyle w:val="Hyperlink"/>
            <w:noProof/>
            <w:rtl/>
          </w:rPr>
          <w:t>)</w:t>
        </w:r>
        <w:r w:rsidR="006E665D">
          <w:rPr>
            <w:noProof/>
            <w:webHidden/>
          </w:rPr>
          <w:tab/>
        </w:r>
        <w:r w:rsidR="006E665D">
          <w:rPr>
            <w:noProof/>
            <w:webHidden/>
          </w:rPr>
          <w:fldChar w:fldCharType="begin"/>
        </w:r>
        <w:r w:rsidR="006E665D">
          <w:rPr>
            <w:noProof/>
            <w:webHidden/>
          </w:rPr>
          <w:instrText xml:space="preserve"> PAGEREF _Toc455393411 \h </w:instrText>
        </w:r>
        <w:r w:rsidR="006E665D">
          <w:rPr>
            <w:noProof/>
            <w:webHidden/>
          </w:rPr>
        </w:r>
        <w:r w:rsidR="006E665D">
          <w:rPr>
            <w:noProof/>
            <w:webHidden/>
          </w:rPr>
          <w:fldChar w:fldCharType="separate"/>
        </w:r>
        <w:r>
          <w:rPr>
            <w:noProof/>
            <w:webHidden/>
            <w:rtl/>
          </w:rPr>
          <w:t>356</w:t>
        </w:r>
        <w:r w:rsidR="006E665D">
          <w:rPr>
            <w:noProof/>
            <w:webHidden/>
          </w:rPr>
          <w:fldChar w:fldCharType="end"/>
        </w:r>
      </w:hyperlink>
    </w:p>
    <w:p w:rsidR="006E665D" w:rsidRDefault="002F66B9" w:rsidP="006E665D">
      <w:pPr>
        <w:pStyle w:val="TOC4"/>
        <w:rPr>
          <w:rFonts w:asciiTheme="minorHAnsi" w:hAnsiTheme="minorHAnsi" w:cstheme="minorBidi"/>
          <w:i w:val="0"/>
          <w:iCs w:val="0"/>
          <w:noProof/>
          <w:szCs w:val="22"/>
        </w:rPr>
      </w:pPr>
      <w:hyperlink w:anchor="_Toc455393412" w:history="1">
        <w:r w:rsidR="006E665D" w:rsidRPr="004A5973">
          <w:rPr>
            <w:rStyle w:val="Hyperlink"/>
            <w:rFonts w:hint="eastAsia"/>
            <w:noProof/>
            <w:rtl/>
          </w:rPr>
          <w:t>المشروع</w:t>
        </w:r>
        <w:r w:rsidR="006E665D" w:rsidRPr="004A5973">
          <w:rPr>
            <w:rStyle w:val="Hyperlink"/>
            <w:noProof/>
            <w:rtl/>
          </w:rPr>
          <w:t xml:space="preserve"> 3: </w:t>
        </w:r>
        <w:r w:rsidR="006E665D" w:rsidRPr="004A5973">
          <w:rPr>
            <w:rStyle w:val="Hyperlink"/>
            <w:rFonts w:hint="eastAsia"/>
            <w:noProof/>
            <w:rtl/>
          </w:rPr>
          <w:t>تجديد</w:t>
        </w:r>
        <w:r w:rsidR="006E665D" w:rsidRPr="004A5973">
          <w:rPr>
            <w:rStyle w:val="Hyperlink"/>
            <w:noProof/>
            <w:rtl/>
          </w:rPr>
          <w:t xml:space="preserve"> </w:t>
        </w:r>
        <w:r w:rsidR="006E665D" w:rsidRPr="004A5973">
          <w:rPr>
            <w:rStyle w:val="Hyperlink"/>
            <w:rFonts w:hint="eastAsia"/>
            <w:noProof/>
            <w:rtl/>
          </w:rPr>
          <w:t>الواجهات</w:t>
        </w:r>
        <w:r w:rsidR="006E665D" w:rsidRPr="004A5973">
          <w:rPr>
            <w:rStyle w:val="Hyperlink"/>
            <w:noProof/>
            <w:rtl/>
          </w:rPr>
          <w:t xml:space="preserve"> </w:t>
        </w:r>
        <w:r w:rsidR="006E665D" w:rsidRPr="004A5973">
          <w:rPr>
            <w:rStyle w:val="Hyperlink"/>
            <w:rFonts w:hint="eastAsia"/>
            <w:noProof/>
            <w:rtl/>
          </w:rPr>
          <w:t>وتجهيزات</w:t>
        </w:r>
        <w:r w:rsidR="006E665D" w:rsidRPr="004A5973">
          <w:rPr>
            <w:rStyle w:val="Hyperlink"/>
            <w:noProof/>
            <w:rtl/>
          </w:rPr>
          <w:t xml:space="preserve"> </w:t>
        </w:r>
        <w:r w:rsidR="006E665D" w:rsidRPr="004A5973">
          <w:rPr>
            <w:rStyle w:val="Hyperlink"/>
            <w:rFonts w:hint="eastAsia"/>
            <w:noProof/>
            <w:rtl/>
          </w:rPr>
          <w:t>التبريد</w:t>
        </w:r>
        <w:r w:rsidR="006E665D" w:rsidRPr="004A5973">
          <w:rPr>
            <w:rStyle w:val="Hyperlink"/>
            <w:noProof/>
            <w:rtl/>
          </w:rPr>
          <w:t>/</w:t>
        </w:r>
        <w:r w:rsidR="006E665D" w:rsidRPr="004A5973">
          <w:rPr>
            <w:rStyle w:val="Hyperlink"/>
            <w:rFonts w:hint="eastAsia"/>
            <w:noProof/>
            <w:rtl/>
          </w:rPr>
          <w:t>التدفئة</w:t>
        </w:r>
        <w:r w:rsidR="006E665D" w:rsidRPr="004A5973">
          <w:rPr>
            <w:rStyle w:val="Hyperlink"/>
            <w:noProof/>
            <w:rtl/>
          </w:rPr>
          <w:t xml:space="preserve"> </w:t>
        </w:r>
        <w:r w:rsidR="006E665D" w:rsidRPr="004A5973">
          <w:rPr>
            <w:rStyle w:val="Hyperlink"/>
            <w:rFonts w:hint="eastAsia"/>
            <w:noProof/>
            <w:rtl/>
          </w:rPr>
          <w:t>في</w:t>
        </w:r>
        <w:r w:rsidR="006E665D" w:rsidRPr="004A5973">
          <w:rPr>
            <w:rStyle w:val="Hyperlink"/>
            <w:noProof/>
            <w:rtl/>
          </w:rPr>
          <w:t xml:space="preserve"> </w:t>
        </w:r>
        <w:r w:rsidR="006E665D" w:rsidRPr="004A5973">
          <w:rPr>
            <w:rStyle w:val="Hyperlink"/>
            <w:rFonts w:hint="eastAsia"/>
            <w:noProof/>
            <w:rtl/>
          </w:rPr>
          <w:t>مبنى</w:t>
        </w:r>
        <w:r w:rsidR="006E665D" w:rsidRPr="004A5973">
          <w:rPr>
            <w:rStyle w:val="Hyperlink"/>
            <w:noProof/>
            <w:rtl/>
          </w:rPr>
          <w:t xml:space="preserve"> </w:t>
        </w:r>
        <w:r w:rsidR="006E665D" w:rsidRPr="004A5973">
          <w:rPr>
            <w:rStyle w:val="Hyperlink"/>
            <w:rFonts w:hint="eastAsia"/>
            <w:noProof/>
            <w:rtl/>
          </w:rPr>
          <w:t>البراءات</w:t>
        </w:r>
        <w:r w:rsidR="006E665D" w:rsidRPr="004A5973">
          <w:rPr>
            <w:rStyle w:val="Hyperlink"/>
            <w:noProof/>
            <w:rtl/>
          </w:rPr>
          <w:t xml:space="preserve"> (</w:t>
        </w:r>
        <w:r w:rsidR="006E665D" w:rsidRPr="004A5973">
          <w:rPr>
            <w:rStyle w:val="Hyperlink"/>
            <w:noProof/>
          </w:rPr>
          <w:t>CMP 3</w:t>
        </w:r>
        <w:r w:rsidR="006E665D" w:rsidRPr="004A5973">
          <w:rPr>
            <w:rStyle w:val="Hyperlink"/>
            <w:noProof/>
            <w:rtl/>
          </w:rPr>
          <w:t>)</w:t>
        </w:r>
        <w:r w:rsidR="006E665D">
          <w:rPr>
            <w:noProof/>
            <w:webHidden/>
          </w:rPr>
          <w:tab/>
        </w:r>
        <w:r w:rsidR="006E665D">
          <w:rPr>
            <w:noProof/>
            <w:webHidden/>
          </w:rPr>
          <w:fldChar w:fldCharType="begin"/>
        </w:r>
        <w:r w:rsidR="006E665D">
          <w:rPr>
            <w:noProof/>
            <w:webHidden/>
          </w:rPr>
          <w:instrText xml:space="preserve"> PAGEREF _Toc455393412 \h </w:instrText>
        </w:r>
        <w:r w:rsidR="006E665D">
          <w:rPr>
            <w:noProof/>
            <w:webHidden/>
          </w:rPr>
        </w:r>
        <w:r w:rsidR="006E665D">
          <w:rPr>
            <w:noProof/>
            <w:webHidden/>
          </w:rPr>
          <w:fldChar w:fldCharType="separate"/>
        </w:r>
        <w:r>
          <w:rPr>
            <w:noProof/>
            <w:webHidden/>
            <w:rtl/>
          </w:rPr>
          <w:t>363</w:t>
        </w:r>
        <w:r w:rsidR="006E665D">
          <w:rPr>
            <w:noProof/>
            <w:webHidden/>
          </w:rPr>
          <w:fldChar w:fldCharType="end"/>
        </w:r>
      </w:hyperlink>
    </w:p>
    <w:p w:rsidR="006E665D" w:rsidRDefault="002F66B9" w:rsidP="006E665D">
      <w:pPr>
        <w:pStyle w:val="TOC4"/>
        <w:rPr>
          <w:rFonts w:asciiTheme="minorHAnsi" w:hAnsiTheme="minorHAnsi" w:cstheme="minorBidi"/>
          <w:i w:val="0"/>
          <w:iCs w:val="0"/>
          <w:noProof/>
          <w:szCs w:val="22"/>
        </w:rPr>
      </w:pPr>
      <w:hyperlink w:anchor="_Toc455393413" w:history="1">
        <w:r w:rsidR="006E665D" w:rsidRPr="004A5973">
          <w:rPr>
            <w:rStyle w:val="Hyperlink"/>
            <w:rFonts w:hint="eastAsia"/>
            <w:noProof/>
            <w:rtl/>
          </w:rPr>
          <w:t>المشروع</w:t>
        </w:r>
        <w:r w:rsidR="006E665D" w:rsidRPr="004A5973">
          <w:rPr>
            <w:rStyle w:val="Hyperlink"/>
            <w:noProof/>
            <w:rtl/>
          </w:rPr>
          <w:t xml:space="preserve"> 4: </w:t>
        </w:r>
        <w:r w:rsidR="006E665D" w:rsidRPr="004A5973">
          <w:rPr>
            <w:rStyle w:val="Hyperlink"/>
            <w:rFonts w:hint="eastAsia"/>
            <w:noProof/>
            <w:rtl/>
          </w:rPr>
          <w:t>تطبيق</w:t>
        </w:r>
        <w:r w:rsidR="006E665D" w:rsidRPr="004A5973">
          <w:rPr>
            <w:rStyle w:val="Hyperlink"/>
            <w:noProof/>
            <w:rtl/>
          </w:rPr>
          <w:t xml:space="preserve"> </w:t>
        </w:r>
        <w:r w:rsidR="006E665D" w:rsidRPr="004A5973">
          <w:rPr>
            <w:rStyle w:val="Hyperlink"/>
            <w:rFonts w:hint="eastAsia"/>
            <w:noProof/>
            <w:rtl/>
          </w:rPr>
          <w:t>نظام</w:t>
        </w:r>
        <w:r w:rsidR="006E665D" w:rsidRPr="004A5973">
          <w:rPr>
            <w:rStyle w:val="Hyperlink"/>
            <w:noProof/>
            <w:rtl/>
          </w:rPr>
          <w:t xml:space="preserve"> </w:t>
        </w:r>
        <w:r w:rsidR="006E665D" w:rsidRPr="004A5973">
          <w:rPr>
            <w:rStyle w:val="Hyperlink"/>
            <w:rFonts w:hint="eastAsia"/>
            <w:noProof/>
            <w:rtl/>
          </w:rPr>
          <w:t>التبريد</w:t>
        </w:r>
        <w:r w:rsidR="006E665D" w:rsidRPr="004A5973">
          <w:rPr>
            <w:rStyle w:val="Hyperlink"/>
            <w:noProof/>
            <w:rtl/>
          </w:rPr>
          <w:t xml:space="preserve"> </w:t>
        </w:r>
        <w:r w:rsidR="006E665D" w:rsidRPr="004A5973">
          <w:rPr>
            <w:rStyle w:val="Hyperlink"/>
            <w:rFonts w:hint="eastAsia"/>
            <w:noProof/>
            <w:rtl/>
          </w:rPr>
          <w:t>بمياه</w:t>
        </w:r>
        <w:r w:rsidR="006E665D" w:rsidRPr="004A5973">
          <w:rPr>
            <w:rStyle w:val="Hyperlink"/>
            <w:noProof/>
            <w:rtl/>
          </w:rPr>
          <w:t xml:space="preserve"> </w:t>
        </w:r>
        <w:r w:rsidR="006E665D" w:rsidRPr="004A5973">
          <w:rPr>
            <w:rStyle w:val="Hyperlink"/>
            <w:rFonts w:hint="eastAsia"/>
            <w:noProof/>
            <w:rtl/>
          </w:rPr>
          <w:t>بحيرة</w:t>
        </w:r>
        <w:r w:rsidR="006E665D" w:rsidRPr="004A5973">
          <w:rPr>
            <w:rStyle w:val="Hyperlink"/>
            <w:noProof/>
            <w:rtl/>
          </w:rPr>
          <w:t xml:space="preserve"> </w:t>
        </w:r>
        <w:r w:rsidR="006E665D" w:rsidRPr="004A5973">
          <w:rPr>
            <w:rStyle w:val="Hyperlink"/>
            <w:rFonts w:hint="eastAsia"/>
            <w:noProof/>
            <w:rtl/>
          </w:rPr>
          <w:t>جنيف</w:t>
        </w:r>
        <w:r w:rsidR="006E665D" w:rsidRPr="004A5973">
          <w:rPr>
            <w:rStyle w:val="Hyperlink"/>
            <w:noProof/>
            <w:rtl/>
          </w:rPr>
          <w:t xml:space="preserve"> </w:t>
        </w:r>
        <w:r w:rsidR="006E665D" w:rsidRPr="004A5973">
          <w:rPr>
            <w:rStyle w:val="Hyperlink"/>
            <w:rFonts w:hint="eastAsia"/>
            <w:noProof/>
            <w:rtl/>
          </w:rPr>
          <w:t>في</w:t>
        </w:r>
        <w:r w:rsidR="006E665D" w:rsidRPr="004A5973">
          <w:rPr>
            <w:rStyle w:val="Hyperlink"/>
            <w:noProof/>
            <w:rtl/>
          </w:rPr>
          <w:t xml:space="preserve"> </w:t>
        </w:r>
        <w:r w:rsidR="006E665D" w:rsidRPr="004A5973">
          <w:rPr>
            <w:rStyle w:val="Hyperlink"/>
            <w:rFonts w:hint="eastAsia"/>
            <w:noProof/>
            <w:rtl/>
          </w:rPr>
          <w:t>مبنى</w:t>
        </w:r>
        <w:r w:rsidR="006E665D" w:rsidRPr="004A5973">
          <w:rPr>
            <w:rStyle w:val="Hyperlink"/>
            <w:noProof/>
            <w:rtl/>
          </w:rPr>
          <w:t xml:space="preserve"> </w:t>
        </w:r>
        <w:r w:rsidR="006E665D" w:rsidRPr="004A5973">
          <w:rPr>
            <w:rStyle w:val="Hyperlink"/>
            <w:rFonts w:hint="eastAsia"/>
            <w:noProof/>
            <w:rtl/>
          </w:rPr>
          <w:t>أرباد</w:t>
        </w:r>
        <w:r w:rsidR="006E665D" w:rsidRPr="004A5973">
          <w:rPr>
            <w:rStyle w:val="Hyperlink"/>
            <w:noProof/>
            <w:rtl/>
          </w:rPr>
          <w:t xml:space="preserve"> </w:t>
        </w:r>
        <w:r w:rsidR="006E665D" w:rsidRPr="004A5973">
          <w:rPr>
            <w:rStyle w:val="Hyperlink"/>
            <w:rFonts w:hint="eastAsia"/>
            <w:noProof/>
            <w:rtl/>
          </w:rPr>
          <w:t>بوكش</w:t>
        </w:r>
        <w:r w:rsidR="006E665D" w:rsidRPr="004A5973">
          <w:rPr>
            <w:rStyle w:val="Hyperlink"/>
            <w:noProof/>
            <w:rtl/>
          </w:rPr>
          <w:t xml:space="preserve"> </w:t>
        </w:r>
        <w:r w:rsidR="006E665D" w:rsidRPr="004A5973">
          <w:rPr>
            <w:rStyle w:val="Hyperlink"/>
            <w:rFonts w:hint="eastAsia"/>
            <w:noProof/>
            <w:rtl/>
          </w:rPr>
          <w:t>ومبنى</w:t>
        </w:r>
        <w:r w:rsidR="006E665D" w:rsidRPr="004A5973">
          <w:rPr>
            <w:rStyle w:val="Hyperlink"/>
            <w:noProof/>
            <w:rtl/>
          </w:rPr>
          <w:t xml:space="preserve"> </w:t>
        </w:r>
        <w:r w:rsidR="006E665D" w:rsidRPr="004A5973">
          <w:rPr>
            <w:rStyle w:val="Hyperlink"/>
            <w:rFonts w:hint="eastAsia"/>
            <w:noProof/>
            <w:rtl/>
          </w:rPr>
          <w:t>البراءات</w:t>
        </w:r>
        <w:r w:rsidR="006E665D" w:rsidRPr="004A5973">
          <w:rPr>
            <w:rStyle w:val="Hyperlink"/>
            <w:noProof/>
            <w:rtl/>
          </w:rPr>
          <w:t xml:space="preserve"> (</w:t>
        </w:r>
        <w:r w:rsidR="006E665D" w:rsidRPr="004A5973">
          <w:rPr>
            <w:rStyle w:val="Hyperlink"/>
            <w:noProof/>
          </w:rPr>
          <w:t>CMP 4</w:t>
        </w:r>
        <w:r w:rsidR="006E665D" w:rsidRPr="004A5973">
          <w:rPr>
            <w:rStyle w:val="Hyperlink"/>
            <w:noProof/>
            <w:rtl/>
          </w:rPr>
          <w:t>)</w:t>
        </w:r>
        <w:r w:rsidR="006E665D">
          <w:rPr>
            <w:noProof/>
            <w:webHidden/>
          </w:rPr>
          <w:tab/>
        </w:r>
        <w:r w:rsidR="006E665D">
          <w:rPr>
            <w:noProof/>
            <w:webHidden/>
          </w:rPr>
          <w:fldChar w:fldCharType="begin"/>
        </w:r>
        <w:r w:rsidR="006E665D">
          <w:rPr>
            <w:noProof/>
            <w:webHidden/>
          </w:rPr>
          <w:instrText xml:space="preserve"> PAGEREF _Toc455393413 \h </w:instrText>
        </w:r>
        <w:r w:rsidR="006E665D">
          <w:rPr>
            <w:noProof/>
            <w:webHidden/>
          </w:rPr>
        </w:r>
        <w:r w:rsidR="006E665D">
          <w:rPr>
            <w:noProof/>
            <w:webHidden/>
          </w:rPr>
          <w:fldChar w:fldCharType="separate"/>
        </w:r>
        <w:r>
          <w:rPr>
            <w:noProof/>
            <w:webHidden/>
            <w:rtl/>
          </w:rPr>
          <w:t>367</w:t>
        </w:r>
        <w:r w:rsidR="006E665D">
          <w:rPr>
            <w:noProof/>
            <w:webHidden/>
          </w:rPr>
          <w:fldChar w:fldCharType="end"/>
        </w:r>
      </w:hyperlink>
    </w:p>
    <w:p w:rsidR="006E665D" w:rsidRDefault="002F66B9" w:rsidP="006E665D">
      <w:pPr>
        <w:pStyle w:val="TOC4"/>
        <w:rPr>
          <w:rFonts w:asciiTheme="minorHAnsi" w:hAnsiTheme="minorHAnsi" w:cstheme="minorBidi"/>
          <w:i w:val="0"/>
          <w:iCs w:val="0"/>
          <w:noProof/>
          <w:szCs w:val="22"/>
        </w:rPr>
      </w:pPr>
      <w:hyperlink w:anchor="_Toc455393414" w:history="1">
        <w:r w:rsidR="006E665D" w:rsidRPr="004A5973">
          <w:rPr>
            <w:rStyle w:val="Hyperlink"/>
            <w:rFonts w:hint="eastAsia"/>
            <w:noProof/>
            <w:rtl/>
          </w:rPr>
          <w:t>المشروع</w:t>
        </w:r>
        <w:r w:rsidR="006E665D" w:rsidRPr="004A5973">
          <w:rPr>
            <w:rStyle w:val="Hyperlink"/>
            <w:noProof/>
            <w:rtl/>
          </w:rPr>
          <w:t xml:space="preserve"> 5: </w:t>
        </w:r>
        <w:r w:rsidR="006E665D" w:rsidRPr="004A5973">
          <w:rPr>
            <w:rStyle w:val="Hyperlink"/>
            <w:rFonts w:hint="eastAsia"/>
            <w:noProof/>
            <w:rtl/>
          </w:rPr>
          <w:t>مبنى</w:t>
        </w:r>
        <w:r w:rsidR="006E665D" w:rsidRPr="004A5973">
          <w:rPr>
            <w:rStyle w:val="Hyperlink"/>
            <w:noProof/>
            <w:rtl/>
          </w:rPr>
          <w:t xml:space="preserve"> </w:t>
        </w:r>
        <w:r w:rsidR="006E665D" w:rsidRPr="004A5973">
          <w:rPr>
            <w:rStyle w:val="Hyperlink"/>
            <w:rFonts w:hint="eastAsia"/>
            <w:noProof/>
            <w:rtl/>
          </w:rPr>
          <w:t>أرباد</w:t>
        </w:r>
        <w:r w:rsidR="006E665D" w:rsidRPr="004A5973">
          <w:rPr>
            <w:rStyle w:val="Hyperlink"/>
            <w:noProof/>
            <w:rtl/>
          </w:rPr>
          <w:t xml:space="preserve"> </w:t>
        </w:r>
        <w:r w:rsidR="006E665D" w:rsidRPr="004A5973">
          <w:rPr>
            <w:rStyle w:val="Hyperlink"/>
            <w:rFonts w:hint="eastAsia"/>
            <w:noProof/>
            <w:rtl/>
          </w:rPr>
          <w:t>بوكش</w:t>
        </w:r>
        <w:r w:rsidR="006E665D" w:rsidRPr="004A5973">
          <w:rPr>
            <w:rStyle w:val="Hyperlink"/>
            <w:noProof/>
            <w:rtl/>
          </w:rPr>
          <w:t xml:space="preserve"> </w:t>
        </w:r>
        <w:r w:rsidR="006E665D" w:rsidRPr="004A5973">
          <w:rPr>
            <w:rStyle w:val="Hyperlink"/>
            <w:rFonts w:hint="eastAsia"/>
            <w:noProof/>
            <w:rtl/>
          </w:rPr>
          <w:t>المرحلة</w:t>
        </w:r>
        <w:r w:rsidR="006E665D" w:rsidRPr="004A5973">
          <w:rPr>
            <w:rStyle w:val="Hyperlink"/>
            <w:noProof/>
            <w:rtl/>
          </w:rPr>
          <w:t xml:space="preserve"> </w:t>
        </w:r>
        <w:r w:rsidR="006E665D" w:rsidRPr="004A5973">
          <w:rPr>
            <w:rStyle w:val="Hyperlink"/>
            <w:rFonts w:hint="eastAsia"/>
            <w:noProof/>
            <w:rtl/>
          </w:rPr>
          <w:t>الأولى</w:t>
        </w:r>
        <w:r w:rsidR="006E665D" w:rsidRPr="004A5973">
          <w:rPr>
            <w:rStyle w:val="Hyperlink"/>
            <w:noProof/>
            <w:rtl/>
          </w:rPr>
          <w:t xml:space="preserve"> </w:t>
        </w:r>
        <w:r w:rsidR="006E665D" w:rsidRPr="004A5973">
          <w:rPr>
            <w:rStyle w:val="Hyperlink"/>
            <w:rFonts w:hint="eastAsia"/>
            <w:noProof/>
            <w:rtl/>
          </w:rPr>
          <w:t>من</w:t>
        </w:r>
        <w:r w:rsidR="006E665D" w:rsidRPr="004A5973">
          <w:rPr>
            <w:rStyle w:val="Hyperlink"/>
            <w:noProof/>
            <w:rtl/>
          </w:rPr>
          <w:t xml:space="preserve"> </w:t>
        </w:r>
        <w:r w:rsidR="006E665D" w:rsidRPr="004A5973">
          <w:rPr>
            <w:rStyle w:val="Hyperlink"/>
            <w:rFonts w:hint="eastAsia"/>
            <w:noProof/>
            <w:rtl/>
          </w:rPr>
          <w:t>تجديد</w:t>
        </w:r>
        <w:r w:rsidR="006E665D" w:rsidRPr="004A5973">
          <w:rPr>
            <w:rStyle w:val="Hyperlink"/>
            <w:noProof/>
            <w:rtl/>
          </w:rPr>
          <w:t xml:space="preserve"> </w:t>
        </w:r>
        <w:r w:rsidR="006E665D" w:rsidRPr="004A5973">
          <w:rPr>
            <w:rStyle w:val="Hyperlink"/>
            <w:rFonts w:hint="eastAsia"/>
            <w:noProof/>
            <w:rtl/>
          </w:rPr>
          <w:t>القبو</w:t>
        </w:r>
        <w:r w:rsidR="006E665D" w:rsidRPr="004A5973">
          <w:rPr>
            <w:rStyle w:val="Hyperlink"/>
            <w:noProof/>
            <w:rtl/>
          </w:rPr>
          <w:t xml:space="preserve"> (</w:t>
        </w:r>
        <w:r w:rsidR="006E665D" w:rsidRPr="004A5973">
          <w:rPr>
            <w:rStyle w:val="Hyperlink"/>
            <w:rFonts w:hint="eastAsia"/>
            <w:noProof/>
            <w:rtl/>
          </w:rPr>
          <w:t>تغيير</w:t>
        </w:r>
        <w:r w:rsidR="006E665D" w:rsidRPr="004A5973">
          <w:rPr>
            <w:rStyle w:val="Hyperlink"/>
            <w:noProof/>
            <w:rtl/>
          </w:rPr>
          <w:t xml:space="preserve"> </w:t>
        </w:r>
        <w:r w:rsidR="006E665D" w:rsidRPr="004A5973">
          <w:rPr>
            <w:rStyle w:val="Hyperlink"/>
            <w:rFonts w:hint="eastAsia"/>
            <w:noProof/>
            <w:rtl/>
          </w:rPr>
          <w:t>حجم</w:t>
        </w:r>
        <w:r w:rsidR="006E665D" w:rsidRPr="004A5973">
          <w:rPr>
            <w:rStyle w:val="Hyperlink"/>
            <w:noProof/>
            <w:rtl/>
          </w:rPr>
          <w:t xml:space="preserve"> </w:t>
        </w:r>
        <w:r w:rsidR="006E665D" w:rsidRPr="004A5973">
          <w:rPr>
            <w:rStyle w:val="Hyperlink"/>
            <w:rFonts w:hint="eastAsia"/>
            <w:noProof/>
            <w:rtl/>
          </w:rPr>
          <w:t>مركز</w:t>
        </w:r>
        <w:r w:rsidR="006E665D" w:rsidRPr="004A5973">
          <w:rPr>
            <w:rStyle w:val="Hyperlink"/>
            <w:noProof/>
            <w:rtl/>
          </w:rPr>
          <w:t xml:space="preserve"> </w:t>
        </w:r>
        <w:r w:rsidR="006E665D" w:rsidRPr="004A5973">
          <w:rPr>
            <w:rStyle w:val="Hyperlink"/>
            <w:rFonts w:hint="eastAsia"/>
            <w:noProof/>
            <w:rtl/>
          </w:rPr>
          <w:t>البيانات</w:t>
        </w:r>
        <w:r w:rsidR="006E665D" w:rsidRPr="004A5973">
          <w:rPr>
            <w:rStyle w:val="Hyperlink"/>
            <w:noProof/>
            <w:rtl/>
          </w:rPr>
          <w:t xml:space="preserve"> </w:t>
        </w:r>
        <w:r w:rsidR="006E665D" w:rsidRPr="004A5973">
          <w:rPr>
            <w:rStyle w:val="Hyperlink"/>
            <w:rFonts w:hint="eastAsia"/>
            <w:noProof/>
            <w:rtl/>
          </w:rPr>
          <w:t>وتجديد</w:t>
        </w:r>
        <w:r w:rsidR="006E665D" w:rsidRPr="004A5973">
          <w:rPr>
            <w:rStyle w:val="Hyperlink"/>
            <w:noProof/>
            <w:rtl/>
          </w:rPr>
          <w:t xml:space="preserve"> </w:t>
        </w:r>
        <w:r w:rsidR="006E665D" w:rsidRPr="004A5973">
          <w:rPr>
            <w:rStyle w:val="Hyperlink"/>
            <w:rFonts w:hint="eastAsia"/>
            <w:noProof/>
            <w:rtl/>
          </w:rPr>
          <w:t>المطبعة</w:t>
        </w:r>
        <w:r w:rsidR="006E665D" w:rsidRPr="004A5973">
          <w:rPr>
            <w:rStyle w:val="Hyperlink"/>
            <w:noProof/>
            <w:rtl/>
          </w:rPr>
          <w:t>) (</w:t>
        </w:r>
        <w:r w:rsidR="006E665D" w:rsidRPr="004A5973">
          <w:rPr>
            <w:rStyle w:val="Hyperlink"/>
            <w:noProof/>
          </w:rPr>
          <w:t>CMP 5</w:t>
        </w:r>
        <w:r w:rsidR="006E665D" w:rsidRPr="004A5973">
          <w:rPr>
            <w:rStyle w:val="Hyperlink"/>
            <w:noProof/>
            <w:rtl/>
          </w:rPr>
          <w:t>)</w:t>
        </w:r>
        <w:r w:rsidR="006E665D">
          <w:rPr>
            <w:noProof/>
            <w:webHidden/>
          </w:rPr>
          <w:tab/>
        </w:r>
        <w:r w:rsidR="006E665D">
          <w:rPr>
            <w:noProof/>
            <w:webHidden/>
          </w:rPr>
          <w:fldChar w:fldCharType="begin"/>
        </w:r>
        <w:r w:rsidR="006E665D">
          <w:rPr>
            <w:noProof/>
            <w:webHidden/>
          </w:rPr>
          <w:instrText xml:space="preserve"> PAGEREF _Toc455393414 \h </w:instrText>
        </w:r>
        <w:r w:rsidR="006E665D">
          <w:rPr>
            <w:noProof/>
            <w:webHidden/>
          </w:rPr>
        </w:r>
        <w:r w:rsidR="006E665D">
          <w:rPr>
            <w:noProof/>
            <w:webHidden/>
          </w:rPr>
          <w:fldChar w:fldCharType="separate"/>
        </w:r>
        <w:r>
          <w:rPr>
            <w:noProof/>
            <w:webHidden/>
            <w:rtl/>
          </w:rPr>
          <w:t>371</w:t>
        </w:r>
        <w:r w:rsidR="006E665D">
          <w:rPr>
            <w:noProof/>
            <w:webHidden/>
          </w:rPr>
          <w:fldChar w:fldCharType="end"/>
        </w:r>
      </w:hyperlink>
    </w:p>
    <w:p w:rsidR="006E665D" w:rsidRDefault="002F66B9" w:rsidP="006E665D">
      <w:pPr>
        <w:pStyle w:val="TOC4"/>
        <w:rPr>
          <w:rFonts w:asciiTheme="minorHAnsi" w:hAnsiTheme="minorHAnsi" w:cstheme="minorBidi"/>
          <w:i w:val="0"/>
          <w:iCs w:val="0"/>
          <w:noProof/>
          <w:szCs w:val="22"/>
        </w:rPr>
      </w:pPr>
      <w:hyperlink w:anchor="_Toc455393415" w:history="1">
        <w:r w:rsidR="006E665D" w:rsidRPr="004A5973">
          <w:rPr>
            <w:rStyle w:val="Hyperlink"/>
            <w:rFonts w:hint="eastAsia"/>
            <w:noProof/>
            <w:rtl/>
          </w:rPr>
          <w:t>المشروع</w:t>
        </w:r>
        <w:r w:rsidR="006E665D" w:rsidRPr="004A5973">
          <w:rPr>
            <w:rStyle w:val="Hyperlink"/>
            <w:noProof/>
            <w:rtl/>
          </w:rPr>
          <w:t xml:space="preserve"> 6: </w:t>
        </w:r>
        <w:r w:rsidR="006E665D" w:rsidRPr="004A5973">
          <w:rPr>
            <w:rStyle w:val="Hyperlink"/>
            <w:rFonts w:hint="eastAsia"/>
            <w:noProof/>
            <w:rtl/>
          </w:rPr>
          <w:t>مبنى</w:t>
        </w:r>
        <w:r w:rsidR="006E665D" w:rsidRPr="004A5973">
          <w:rPr>
            <w:rStyle w:val="Hyperlink"/>
            <w:noProof/>
            <w:rtl/>
          </w:rPr>
          <w:t xml:space="preserve"> </w:t>
        </w:r>
        <w:r w:rsidR="006E665D" w:rsidRPr="004A5973">
          <w:rPr>
            <w:rStyle w:val="Hyperlink"/>
            <w:rFonts w:hint="eastAsia"/>
            <w:noProof/>
            <w:rtl/>
          </w:rPr>
          <w:t>أرباد</w:t>
        </w:r>
        <w:r w:rsidR="006E665D" w:rsidRPr="004A5973">
          <w:rPr>
            <w:rStyle w:val="Hyperlink"/>
            <w:noProof/>
            <w:rtl/>
          </w:rPr>
          <w:t xml:space="preserve"> </w:t>
        </w:r>
        <w:r w:rsidR="006E665D" w:rsidRPr="004A5973">
          <w:rPr>
            <w:rStyle w:val="Hyperlink"/>
            <w:rFonts w:hint="eastAsia"/>
            <w:noProof/>
            <w:rtl/>
          </w:rPr>
          <w:t>بوكش</w:t>
        </w:r>
        <w:r w:rsidR="006E665D" w:rsidRPr="004A5973">
          <w:rPr>
            <w:rStyle w:val="Hyperlink"/>
            <w:noProof/>
            <w:rtl/>
          </w:rPr>
          <w:t xml:space="preserve"> </w:t>
        </w:r>
        <w:r w:rsidR="006E665D" w:rsidRPr="004A5973">
          <w:rPr>
            <w:rStyle w:val="Hyperlink"/>
            <w:rFonts w:hint="eastAsia"/>
            <w:noProof/>
            <w:rtl/>
          </w:rPr>
          <w:t>استبدال</w:t>
        </w:r>
        <w:r w:rsidR="006E665D" w:rsidRPr="004A5973">
          <w:rPr>
            <w:rStyle w:val="Hyperlink"/>
            <w:noProof/>
            <w:rtl/>
          </w:rPr>
          <w:t xml:space="preserve"> </w:t>
        </w:r>
        <w:r w:rsidR="006E665D" w:rsidRPr="004A5973">
          <w:rPr>
            <w:rStyle w:val="Hyperlink"/>
            <w:rFonts w:hint="eastAsia"/>
            <w:noProof/>
            <w:rtl/>
          </w:rPr>
          <w:t>بعض</w:t>
        </w:r>
        <w:r w:rsidR="006E665D" w:rsidRPr="004A5973">
          <w:rPr>
            <w:rStyle w:val="Hyperlink"/>
            <w:noProof/>
            <w:rtl/>
          </w:rPr>
          <w:t xml:space="preserve"> </w:t>
        </w:r>
        <w:r w:rsidR="006E665D" w:rsidRPr="004A5973">
          <w:rPr>
            <w:rStyle w:val="Hyperlink"/>
            <w:rFonts w:hint="eastAsia"/>
            <w:noProof/>
            <w:rtl/>
          </w:rPr>
          <w:t>النوافذ</w:t>
        </w:r>
        <w:r w:rsidR="006E665D" w:rsidRPr="004A5973">
          <w:rPr>
            <w:rStyle w:val="Hyperlink"/>
            <w:noProof/>
            <w:rtl/>
          </w:rPr>
          <w:t xml:space="preserve"> (</w:t>
        </w:r>
        <w:r w:rsidR="006E665D" w:rsidRPr="004A5973">
          <w:rPr>
            <w:rStyle w:val="Hyperlink"/>
            <w:noProof/>
          </w:rPr>
          <w:t>CMP 6</w:t>
        </w:r>
        <w:r w:rsidR="006E665D" w:rsidRPr="004A5973">
          <w:rPr>
            <w:rStyle w:val="Hyperlink"/>
            <w:noProof/>
            <w:rtl/>
          </w:rPr>
          <w:t>)</w:t>
        </w:r>
        <w:r w:rsidR="006E665D">
          <w:rPr>
            <w:noProof/>
            <w:webHidden/>
          </w:rPr>
          <w:tab/>
        </w:r>
        <w:r w:rsidR="006E665D">
          <w:rPr>
            <w:noProof/>
            <w:webHidden/>
          </w:rPr>
          <w:fldChar w:fldCharType="begin"/>
        </w:r>
        <w:r w:rsidR="006E665D">
          <w:rPr>
            <w:noProof/>
            <w:webHidden/>
          </w:rPr>
          <w:instrText xml:space="preserve"> PAGEREF _Toc455393415 \h </w:instrText>
        </w:r>
        <w:r w:rsidR="006E665D">
          <w:rPr>
            <w:noProof/>
            <w:webHidden/>
          </w:rPr>
        </w:r>
        <w:r w:rsidR="006E665D">
          <w:rPr>
            <w:noProof/>
            <w:webHidden/>
          </w:rPr>
          <w:fldChar w:fldCharType="separate"/>
        </w:r>
        <w:r>
          <w:rPr>
            <w:noProof/>
            <w:webHidden/>
            <w:rtl/>
          </w:rPr>
          <w:t>374</w:t>
        </w:r>
        <w:r w:rsidR="006E665D">
          <w:rPr>
            <w:noProof/>
            <w:webHidden/>
          </w:rPr>
          <w:fldChar w:fldCharType="end"/>
        </w:r>
      </w:hyperlink>
    </w:p>
    <w:p w:rsidR="006E665D" w:rsidRDefault="002F66B9" w:rsidP="006E665D">
      <w:pPr>
        <w:pStyle w:val="TOC4"/>
        <w:rPr>
          <w:rFonts w:asciiTheme="minorHAnsi" w:hAnsiTheme="minorHAnsi" w:cstheme="minorBidi"/>
          <w:i w:val="0"/>
          <w:iCs w:val="0"/>
          <w:noProof/>
          <w:szCs w:val="22"/>
        </w:rPr>
      </w:pPr>
      <w:hyperlink w:anchor="_Toc455393416" w:history="1">
        <w:r w:rsidR="006E665D" w:rsidRPr="004A5973">
          <w:rPr>
            <w:rStyle w:val="Hyperlink"/>
            <w:rFonts w:hint="eastAsia"/>
            <w:noProof/>
            <w:rtl/>
          </w:rPr>
          <w:t>المشروع</w:t>
        </w:r>
        <w:r w:rsidR="006E665D" w:rsidRPr="004A5973">
          <w:rPr>
            <w:rStyle w:val="Hyperlink"/>
            <w:noProof/>
            <w:rtl/>
          </w:rPr>
          <w:t xml:space="preserve"> 7: </w:t>
        </w:r>
        <w:r w:rsidR="006E665D" w:rsidRPr="004A5973">
          <w:rPr>
            <w:rStyle w:val="Hyperlink"/>
            <w:rFonts w:hint="eastAsia"/>
            <w:noProof/>
            <w:rtl/>
          </w:rPr>
          <w:t>تدابير</w:t>
        </w:r>
        <w:r w:rsidR="006E665D" w:rsidRPr="004A5973">
          <w:rPr>
            <w:rStyle w:val="Hyperlink"/>
            <w:noProof/>
            <w:rtl/>
          </w:rPr>
          <w:t xml:space="preserve"> </w:t>
        </w:r>
        <w:r w:rsidR="006E665D" w:rsidRPr="004A5973">
          <w:rPr>
            <w:rStyle w:val="Hyperlink"/>
            <w:rFonts w:hint="eastAsia"/>
            <w:noProof/>
            <w:rtl/>
          </w:rPr>
          <w:t>السلامة</w:t>
        </w:r>
        <w:r w:rsidR="006E665D" w:rsidRPr="004A5973">
          <w:rPr>
            <w:rStyle w:val="Hyperlink"/>
            <w:noProof/>
            <w:rtl/>
          </w:rPr>
          <w:t xml:space="preserve"> </w:t>
        </w:r>
        <w:r w:rsidR="006E665D" w:rsidRPr="004A5973">
          <w:rPr>
            <w:rStyle w:val="Hyperlink"/>
            <w:rFonts w:hint="eastAsia"/>
            <w:noProof/>
            <w:rtl/>
          </w:rPr>
          <w:t>والحماية</w:t>
        </w:r>
        <w:r w:rsidR="006E665D" w:rsidRPr="004A5973">
          <w:rPr>
            <w:rStyle w:val="Hyperlink"/>
            <w:noProof/>
            <w:rtl/>
          </w:rPr>
          <w:t xml:space="preserve"> </w:t>
        </w:r>
        <w:r w:rsidR="006E665D" w:rsidRPr="004A5973">
          <w:rPr>
            <w:rStyle w:val="Hyperlink"/>
            <w:rFonts w:hint="eastAsia"/>
            <w:noProof/>
            <w:rtl/>
          </w:rPr>
          <w:t>من</w:t>
        </w:r>
        <w:r w:rsidR="006E665D" w:rsidRPr="004A5973">
          <w:rPr>
            <w:rStyle w:val="Hyperlink"/>
            <w:noProof/>
            <w:rtl/>
          </w:rPr>
          <w:t xml:space="preserve"> </w:t>
        </w:r>
        <w:r w:rsidR="006E665D" w:rsidRPr="004A5973">
          <w:rPr>
            <w:rStyle w:val="Hyperlink"/>
            <w:rFonts w:hint="eastAsia"/>
            <w:noProof/>
            <w:rtl/>
          </w:rPr>
          <w:t>الحريق</w:t>
        </w:r>
        <w:r w:rsidR="006E665D" w:rsidRPr="004A5973">
          <w:rPr>
            <w:rStyle w:val="Hyperlink"/>
            <w:noProof/>
            <w:rtl/>
          </w:rPr>
          <w:t xml:space="preserve"> (</w:t>
        </w:r>
        <w:r w:rsidR="006E665D" w:rsidRPr="004A5973">
          <w:rPr>
            <w:rStyle w:val="Hyperlink"/>
            <w:noProof/>
          </w:rPr>
          <w:t>CMP 7</w:t>
        </w:r>
        <w:r w:rsidR="006E665D" w:rsidRPr="004A5973">
          <w:rPr>
            <w:rStyle w:val="Hyperlink"/>
            <w:noProof/>
            <w:rtl/>
          </w:rPr>
          <w:t>)</w:t>
        </w:r>
        <w:r w:rsidR="006E665D">
          <w:rPr>
            <w:noProof/>
            <w:webHidden/>
          </w:rPr>
          <w:tab/>
        </w:r>
        <w:r w:rsidR="006E665D">
          <w:rPr>
            <w:noProof/>
            <w:webHidden/>
          </w:rPr>
          <w:fldChar w:fldCharType="begin"/>
        </w:r>
        <w:r w:rsidR="006E665D">
          <w:rPr>
            <w:noProof/>
            <w:webHidden/>
          </w:rPr>
          <w:instrText xml:space="preserve"> PAGEREF _Toc455393416 \h </w:instrText>
        </w:r>
        <w:r w:rsidR="006E665D">
          <w:rPr>
            <w:noProof/>
            <w:webHidden/>
          </w:rPr>
        </w:r>
        <w:r w:rsidR="006E665D">
          <w:rPr>
            <w:noProof/>
            <w:webHidden/>
          </w:rPr>
          <w:fldChar w:fldCharType="separate"/>
        </w:r>
        <w:r>
          <w:rPr>
            <w:noProof/>
            <w:webHidden/>
            <w:rtl/>
          </w:rPr>
          <w:t>377</w:t>
        </w:r>
        <w:r w:rsidR="006E665D">
          <w:rPr>
            <w:noProof/>
            <w:webHidden/>
          </w:rPr>
          <w:fldChar w:fldCharType="end"/>
        </w:r>
      </w:hyperlink>
    </w:p>
    <w:p w:rsidR="006E665D" w:rsidRDefault="002F66B9" w:rsidP="006E665D">
      <w:pPr>
        <w:pStyle w:val="TOC3"/>
        <w:tabs>
          <w:tab w:val="left" w:pos="3368"/>
        </w:tabs>
        <w:rPr>
          <w:rFonts w:asciiTheme="minorHAnsi" w:eastAsiaTheme="minorEastAsia" w:hAnsiTheme="minorHAnsi" w:cstheme="minorBidi"/>
          <w:sz w:val="22"/>
          <w:szCs w:val="22"/>
          <w:lang w:val="en-US"/>
        </w:rPr>
      </w:pPr>
      <w:hyperlink w:anchor="_Toc455393417" w:history="1">
        <w:r w:rsidR="006E665D" w:rsidRPr="004A5973">
          <w:rPr>
            <w:rStyle w:val="Hyperlink"/>
            <w:rFonts w:hint="eastAsia"/>
            <w:rtl/>
          </w:rPr>
          <w:t>الملحق</w:t>
        </w:r>
        <w:r w:rsidR="006E665D" w:rsidRPr="004A5973">
          <w:rPr>
            <w:rStyle w:val="Hyperlink"/>
            <w:rtl/>
          </w:rPr>
          <w:t xml:space="preserve"> </w:t>
        </w:r>
        <w:r w:rsidR="006E665D" w:rsidRPr="004A5973">
          <w:rPr>
            <w:rStyle w:val="Hyperlink"/>
            <w:rFonts w:hint="eastAsia"/>
            <w:rtl/>
          </w:rPr>
          <w:t>الرابع</w:t>
        </w:r>
        <w:r w:rsidR="006E665D">
          <w:rPr>
            <w:rFonts w:asciiTheme="minorHAnsi" w:eastAsiaTheme="minorEastAsia" w:hAnsiTheme="minorHAnsi" w:cstheme="minorBidi"/>
            <w:sz w:val="22"/>
            <w:szCs w:val="22"/>
            <w:lang w:val="en-US"/>
          </w:rPr>
          <w:tab/>
        </w:r>
        <w:r w:rsidR="006E665D" w:rsidRPr="004A5973">
          <w:rPr>
            <w:rStyle w:val="Hyperlink"/>
            <w:rFonts w:hint="eastAsia"/>
            <w:rtl/>
          </w:rPr>
          <w:t>قائمة</w:t>
        </w:r>
        <w:r w:rsidR="006E665D" w:rsidRPr="004A5973">
          <w:rPr>
            <w:rStyle w:val="Hyperlink"/>
            <w:rtl/>
          </w:rPr>
          <w:t xml:space="preserve"> </w:t>
        </w:r>
        <w:r w:rsidR="006E665D" w:rsidRPr="004A5973">
          <w:rPr>
            <w:rStyle w:val="Hyperlink"/>
            <w:rFonts w:hint="eastAsia"/>
            <w:rtl/>
          </w:rPr>
          <w:t>بالمختصرات</w:t>
        </w:r>
        <w:r w:rsidR="006E665D" w:rsidRPr="004A5973">
          <w:rPr>
            <w:rStyle w:val="Hyperlink"/>
            <w:rtl/>
          </w:rPr>
          <w:t xml:space="preserve"> </w:t>
        </w:r>
        <w:r w:rsidR="006E665D" w:rsidRPr="004A5973">
          <w:rPr>
            <w:rStyle w:val="Hyperlink"/>
            <w:rFonts w:hint="eastAsia"/>
            <w:rtl/>
          </w:rPr>
          <w:t>الواردة</w:t>
        </w:r>
        <w:r w:rsidR="006E665D" w:rsidRPr="004A5973">
          <w:rPr>
            <w:rStyle w:val="Hyperlink"/>
            <w:rtl/>
          </w:rPr>
          <w:t xml:space="preserve"> </w:t>
        </w:r>
        <w:r w:rsidR="006E665D" w:rsidRPr="004A5973">
          <w:rPr>
            <w:rStyle w:val="Hyperlink"/>
            <w:rFonts w:hint="eastAsia"/>
            <w:rtl/>
          </w:rPr>
          <w:t>في</w:t>
        </w:r>
        <w:r w:rsidR="006E665D" w:rsidRPr="004A5973">
          <w:rPr>
            <w:rStyle w:val="Hyperlink"/>
            <w:rtl/>
          </w:rPr>
          <w:t xml:space="preserve"> </w:t>
        </w:r>
        <w:r w:rsidR="006E665D" w:rsidRPr="004A5973">
          <w:rPr>
            <w:rStyle w:val="Hyperlink"/>
            <w:rFonts w:hint="eastAsia"/>
            <w:rtl/>
          </w:rPr>
          <w:t>النص</w:t>
        </w:r>
        <w:r w:rsidR="006E665D" w:rsidRPr="004A5973">
          <w:rPr>
            <w:rStyle w:val="Hyperlink"/>
            <w:rtl/>
          </w:rPr>
          <w:t xml:space="preserve"> </w:t>
        </w:r>
        <w:r w:rsidR="006E665D" w:rsidRPr="004A5973">
          <w:rPr>
            <w:rStyle w:val="Hyperlink"/>
            <w:rFonts w:hint="eastAsia"/>
            <w:rtl/>
          </w:rPr>
          <w:t>الإنكليزي</w:t>
        </w:r>
        <w:r w:rsidR="006E665D">
          <w:rPr>
            <w:webHidden/>
          </w:rPr>
          <w:tab/>
        </w:r>
        <w:r w:rsidR="006E665D">
          <w:rPr>
            <w:webHidden/>
          </w:rPr>
          <w:fldChar w:fldCharType="begin"/>
        </w:r>
        <w:r w:rsidR="006E665D">
          <w:rPr>
            <w:webHidden/>
          </w:rPr>
          <w:instrText xml:space="preserve"> PAGEREF _Toc455393417 \h </w:instrText>
        </w:r>
        <w:r w:rsidR="006E665D">
          <w:rPr>
            <w:webHidden/>
          </w:rPr>
        </w:r>
        <w:r w:rsidR="006E665D">
          <w:rPr>
            <w:webHidden/>
          </w:rPr>
          <w:fldChar w:fldCharType="separate"/>
        </w:r>
        <w:r>
          <w:rPr>
            <w:webHidden/>
            <w:rtl/>
          </w:rPr>
          <w:t>381</w:t>
        </w:r>
        <w:r w:rsidR="006E665D">
          <w:rPr>
            <w:webHidden/>
          </w:rPr>
          <w:fldChar w:fldCharType="end"/>
        </w:r>
      </w:hyperlink>
    </w:p>
    <w:p w:rsidR="00BE7DA0" w:rsidRPr="000E3B10" w:rsidRDefault="00365D19" w:rsidP="006E665D">
      <w:pPr>
        <w:bidi/>
        <w:spacing w:after="240" w:line="360" w:lineRule="exact"/>
        <w:rPr>
          <w:rFonts w:ascii="Arabic Typesetting" w:hAnsi="Arabic Typesetting" w:cs="Arabic Typesetting"/>
          <w:sz w:val="30"/>
          <w:szCs w:val="30"/>
          <w:rtl/>
        </w:rPr>
      </w:pPr>
      <w:r>
        <w:rPr>
          <w:rFonts w:ascii="Arabic Typesetting" w:hAnsi="Arabic Typesetting" w:cs="Arabic Typesetting"/>
          <w:b/>
          <w:bCs/>
          <w:noProof/>
          <w:sz w:val="36"/>
          <w:szCs w:val="36"/>
          <w:rtl/>
        </w:rPr>
        <w:fldChar w:fldCharType="end"/>
      </w:r>
    </w:p>
    <w:p w:rsidR="000E3B10" w:rsidRDefault="000E3B10" w:rsidP="007F38D1">
      <w:pPr>
        <w:pStyle w:val="NormalParaAR"/>
        <w:rPr>
          <w:rtl/>
        </w:rPr>
        <w:sectPr w:rsidR="000E3B10" w:rsidSect="002E5703">
          <w:headerReference w:type="default" r:id="rId13"/>
          <w:footerReference w:type="even" r:id="rId14"/>
          <w:headerReference w:type="first" r:id="rId15"/>
          <w:footerReference w:type="first" r:id="rId16"/>
          <w:type w:val="oddPage"/>
          <w:pgSz w:w="11907" w:h="16840" w:code="9"/>
          <w:pgMar w:top="567" w:right="1418" w:bottom="1418" w:left="1134" w:header="510" w:footer="1021" w:gutter="0"/>
          <w:pgNumType w:start="1"/>
          <w:cols w:space="720"/>
          <w:titlePg/>
          <w:docGrid w:linePitch="299"/>
        </w:sectPr>
      </w:pPr>
    </w:p>
    <w:p w:rsidR="00B31868" w:rsidRPr="00967AAF" w:rsidRDefault="00B31868" w:rsidP="000E783B">
      <w:pPr>
        <w:pStyle w:val="Heading1AR"/>
        <w:spacing w:before="0" w:after="240"/>
        <w:rPr>
          <w:rtl/>
        </w:rPr>
      </w:pPr>
      <w:bookmarkStart w:id="2" w:name="_Toc393807415"/>
      <w:bookmarkStart w:id="3" w:name="_Toc393807971"/>
      <w:bookmarkStart w:id="4" w:name="_Toc393817910"/>
      <w:bookmarkStart w:id="5" w:name="_Toc450635395"/>
      <w:bookmarkStart w:id="6" w:name="_Toc455393357"/>
      <w:r w:rsidRPr="00967AAF">
        <w:rPr>
          <w:rFonts w:hint="cs"/>
          <w:rtl/>
        </w:rPr>
        <w:lastRenderedPageBreak/>
        <w:t>أولا</w:t>
      </w:r>
      <w:r w:rsidRPr="00967AAF">
        <w:rPr>
          <w:rFonts w:hint="cs"/>
          <w:rtl/>
        </w:rPr>
        <w:tab/>
      </w:r>
      <w:r w:rsidR="009178C3">
        <w:rPr>
          <w:rFonts w:hint="cs"/>
          <w:rtl/>
        </w:rPr>
        <w:t>ال</w:t>
      </w:r>
      <w:r w:rsidRPr="00967AAF">
        <w:rPr>
          <w:rFonts w:hint="cs"/>
          <w:rtl/>
        </w:rPr>
        <w:t>مقدمة</w:t>
      </w:r>
      <w:bookmarkEnd w:id="2"/>
      <w:bookmarkEnd w:id="3"/>
      <w:bookmarkEnd w:id="4"/>
      <w:bookmarkEnd w:id="5"/>
      <w:bookmarkEnd w:id="6"/>
    </w:p>
    <w:p w:rsidR="009178C3" w:rsidRPr="00C4722B" w:rsidRDefault="009178C3" w:rsidP="009178C3">
      <w:pPr>
        <w:pStyle w:val="NormalParaAR"/>
        <w:numPr>
          <w:ilvl w:val="0"/>
          <w:numId w:val="44"/>
        </w:numPr>
        <w:spacing w:after="120"/>
        <w:ind w:left="0" w:firstLine="0"/>
      </w:pPr>
      <w:r w:rsidRPr="00256D99">
        <w:rPr>
          <w:rtl/>
        </w:rPr>
        <w:t>تقرير أداء البرنامج</w:t>
      </w:r>
      <w:r>
        <w:rPr>
          <w:rFonts w:hint="cs"/>
          <w:rtl/>
        </w:rPr>
        <w:t xml:space="preserve"> (</w:t>
      </w:r>
      <w:r w:rsidRPr="00C4722B">
        <w:rPr>
          <w:rFonts w:hint="cs"/>
          <w:rtl/>
        </w:rPr>
        <w:t xml:space="preserve">التقرير) أداة المساءلة الرئيسية برفع التقارير بشأن أداء المنظمة إلى الدول الأعضاء والتقرير جزء لا يتجزأ من </w:t>
      </w:r>
      <w:r w:rsidRPr="00C4722B">
        <w:rPr>
          <w:rFonts w:hint="cs"/>
          <w:rtl/>
          <w:lang w:bidi="ar-EG"/>
        </w:rPr>
        <w:t>إ</w:t>
      </w:r>
      <w:r w:rsidRPr="00C4722B">
        <w:rPr>
          <w:rFonts w:hint="cs"/>
          <w:rtl/>
        </w:rPr>
        <w:t>ط</w:t>
      </w:r>
      <w:r w:rsidRPr="00C4722B">
        <w:rPr>
          <w:rFonts w:hint="cs"/>
          <w:rtl/>
          <w:lang w:bidi="ar-EG"/>
        </w:rPr>
        <w:t>ا</w:t>
      </w:r>
      <w:r w:rsidRPr="00C4722B">
        <w:rPr>
          <w:rFonts w:hint="cs"/>
          <w:rtl/>
        </w:rPr>
        <w:t>ر الإدارة القائ</w:t>
      </w:r>
      <w:bookmarkStart w:id="7" w:name="_GoBack"/>
      <w:bookmarkEnd w:id="7"/>
      <w:r w:rsidRPr="00C4722B">
        <w:rPr>
          <w:rFonts w:hint="cs"/>
          <w:rtl/>
        </w:rPr>
        <w:t xml:space="preserve">مة على النتائج في الويبو. كما يعد التقرير أداة تعلم هامة تضمن الاستفادة من دروس الماضي وإدراجها في تنفيذ أنشطة الويبو في </w:t>
      </w:r>
      <w:r w:rsidRPr="009178C3">
        <w:rPr>
          <w:rFonts w:hint="cs"/>
          <w:sz w:val="34"/>
          <w:szCs w:val="34"/>
          <w:rtl/>
        </w:rPr>
        <w:t>المستقبل</w:t>
      </w:r>
      <w:r w:rsidRPr="00C4722B">
        <w:rPr>
          <w:rFonts w:hint="cs"/>
          <w:rtl/>
        </w:rPr>
        <w:t xml:space="preserve">. والتقرير تقييم ذاتي يجريه مديرو البرنامج وفقا لإطار النتائج التي تعتمده الدول لأعضاء. </w:t>
      </w:r>
      <w:r w:rsidRPr="00C4722B">
        <w:rPr>
          <w:rtl/>
        </w:rPr>
        <w:t>وعُمِّم تقييم تنفيذ جدول أعمال التنمية</w:t>
      </w:r>
      <w:r w:rsidRPr="00C4722B">
        <w:rPr>
          <w:rFonts w:hint="cs"/>
          <w:rtl/>
        </w:rPr>
        <w:t xml:space="preserve"> (الجدول)</w:t>
      </w:r>
      <w:r w:rsidRPr="00C4722B">
        <w:rPr>
          <w:rtl/>
        </w:rPr>
        <w:t xml:space="preserve"> </w:t>
      </w:r>
      <w:r w:rsidRPr="00C4722B">
        <w:rPr>
          <w:rFonts w:hint="cs"/>
          <w:rtl/>
        </w:rPr>
        <w:t>منذ</w:t>
      </w:r>
      <w:r w:rsidRPr="00C4722B">
        <w:rPr>
          <w:rtl/>
        </w:rPr>
        <w:t xml:space="preserve"> عام 2014، وأدمِج بالتالي</w:t>
      </w:r>
      <w:r w:rsidRPr="00C4722B">
        <w:rPr>
          <w:rFonts w:hint="cs"/>
          <w:rtl/>
        </w:rPr>
        <w:t xml:space="preserve"> في </w:t>
      </w:r>
      <w:r w:rsidRPr="00C4722B">
        <w:rPr>
          <w:rFonts w:hint="cs"/>
          <w:i/>
          <w:iCs/>
          <w:rtl/>
        </w:rPr>
        <w:t>إنجازات الثنائية 2014/15</w:t>
      </w:r>
      <w:r w:rsidRPr="00C4722B">
        <w:rPr>
          <w:rFonts w:hint="cs"/>
          <w:rtl/>
        </w:rPr>
        <w:t xml:space="preserve"> </w:t>
      </w:r>
      <w:r w:rsidRPr="00C4722B">
        <w:rPr>
          <w:rtl/>
        </w:rPr>
        <w:t>بدلاً من تناوله في قسم مستق</w:t>
      </w:r>
      <w:r w:rsidRPr="00C4722B">
        <w:rPr>
          <w:rFonts w:hint="cs"/>
          <w:rtl/>
        </w:rPr>
        <w:t xml:space="preserve">ل وعُزز التقرير كجزء من التزام الويبو بتعزيز إدارة المخاطر الخاصة بها ليشمل للمرة الأول قسم مكرس </w:t>
      </w:r>
      <w:r w:rsidRPr="00C4722B">
        <w:rPr>
          <w:rFonts w:hint="cs"/>
          <w:i/>
          <w:iCs/>
          <w:rtl/>
        </w:rPr>
        <w:t>لتقارير المخاطر للثنائية</w:t>
      </w:r>
      <w:r w:rsidRPr="00C4722B">
        <w:rPr>
          <w:rFonts w:hint="cs"/>
          <w:rtl/>
        </w:rPr>
        <w:t xml:space="preserve">. وسعيا لتعزيز صحة المعلومات الواردة في التقرير، </w:t>
      </w:r>
      <w:r w:rsidRPr="00C4722B">
        <w:rPr>
          <w:rtl/>
        </w:rPr>
        <w:t>تثبت شعبة الرقابة الداخلية بيانات الأداء كل سنتين.</w:t>
      </w:r>
      <w:r w:rsidRPr="00C4722B">
        <w:rPr>
          <w:rFonts w:hint="cs"/>
          <w:rtl/>
        </w:rPr>
        <w:t xml:space="preserve"> ويرد التثبت من تقرير 2014/15 في الوثيقة </w:t>
      </w:r>
      <w:r w:rsidRPr="00C4722B">
        <w:t>WO/PBC/25/8</w:t>
      </w:r>
      <w:r w:rsidRPr="00C4722B">
        <w:rPr>
          <w:rFonts w:hint="cs"/>
          <w:rtl/>
        </w:rPr>
        <w:t>.</w:t>
      </w:r>
    </w:p>
    <w:p w:rsidR="009178C3" w:rsidRPr="00C4722B" w:rsidRDefault="009178C3" w:rsidP="009178C3">
      <w:pPr>
        <w:pStyle w:val="NormalParaAR"/>
        <w:numPr>
          <w:ilvl w:val="0"/>
          <w:numId w:val="44"/>
        </w:numPr>
        <w:spacing w:after="120"/>
        <w:ind w:left="0" w:firstLine="0"/>
        <w:rPr>
          <w:rtl/>
          <w:lang w:bidi="ar-EG"/>
        </w:rPr>
      </w:pPr>
      <w:r w:rsidRPr="00C4722B">
        <w:rPr>
          <w:rtl/>
          <w:lang w:bidi="ar-EG"/>
        </w:rPr>
        <w:t xml:space="preserve">وتقرير أداء البرنامج </w:t>
      </w:r>
      <w:r w:rsidRPr="00C4722B">
        <w:rPr>
          <w:rFonts w:hint="cs"/>
          <w:rtl/>
          <w:lang w:bidi="ar-EG"/>
        </w:rPr>
        <w:t xml:space="preserve">2014/15 </w:t>
      </w:r>
      <w:r w:rsidRPr="00C4722B">
        <w:rPr>
          <w:rtl/>
          <w:lang w:bidi="ar-EG"/>
        </w:rPr>
        <w:t>هو تقرير يصدر نهاية فترة السنتين ويقيّم التقدم المحرز و/أو</w:t>
      </w:r>
      <w:r w:rsidRPr="00C4722B">
        <w:rPr>
          <w:rFonts w:hint="cs"/>
          <w:rtl/>
          <w:lang w:bidi="ar-EG"/>
        </w:rPr>
        <w:t xml:space="preserve"> </w:t>
      </w:r>
      <w:r w:rsidRPr="00C4722B">
        <w:rPr>
          <w:rtl/>
          <w:lang w:bidi="ar-EG"/>
        </w:rPr>
        <w:t xml:space="preserve">النتائج المرتقبة المحققة، قياسا بمؤشرات </w:t>
      </w:r>
      <w:r w:rsidRPr="009178C3">
        <w:rPr>
          <w:sz w:val="34"/>
          <w:szCs w:val="34"/>
          <w:rtl/>
        </w:rPr>
        <w:t>الأداء</w:t>
      </w:r>
      <w:r w:rsidRPr="00C4722B">
        <w:rPr>
          <w:rtl/>
          <w:lang w:bidi="ar-EG"/>
        </w:rPr>
        <w:t xml:space="preserve"> وبالموارد المعتمدة في البرنامج والميزانية للثنائية</w:t>
      </w:r>
      <w:r w:rsidRPr="00C4722B">
        <w:rPr>
          <w:rFonts w:hint="cs"/>
          <w:rtl/>
          <w:lang w:bidi="ar-EG"/>
        </w:rPr>
        <w:t xml:space="preserve"> 2014/15</w:t>
      </w:r>
      <w:r w:rsidRPr="00C4722B">
        <w:rPr>
          <w:rStyle w:val="FootnoteReference"/>
          <w:rtl/>
          <w:lang w:bidi="ar-EG"/>
        </w:rPr>
        <w:footnoteReference w:id="1"/>
      </w:r>
      <w:r w:rsidRPr="00C4722B">
        <w:rPr>
          <w:rtl/>
          <w:lang w:bidi="ar-EG"/>
        </w:rPr>
        <w:t xml:space="preserve">. ويمكن قياس مؤشر الأداء بهدف واحد أو أكثر. وفي مثل هذه الحالات، تعطَى درجة لكل هدف، وهو ما ينتج عنه درجات متعددة. وقد استُخدمت معايير التقييم التالية في تقرير أداء البرنامج </w:t>
      </w:r>
      <w:r w:rsidRPr="00C4722B">
        <w:rPr>
          <w:rFonts w:hint="cs"/>
          <w:rtl/>
          <w:lang w:bidi="ar-EG"/>
        </w:rPr>
        <w:t>2014/15.</w:t>
      </w:r>
    </w:p>
    <w:p w:rsidR="009178C3" w:rsidRPr="0027644A" w:rsidRDefault="009178C3" w:rsidP="009178C3">
      <w:pPr>
        <w:pStyle w:val="NormalParaAR"/>
        <w:numPr>
          <w:ilvl w:val="0"/>
          <w:numId w:val="44"/>
        </w:numPr>
        <w:spacing w:after="120"/>
        <w:ind w:left="0" w:firstLine="0"/>
        <w:rPr>
          <w:rtl/>
          <w:lang w:bidi="ar-EG"/>
        </w:rPr>
      </w:pPr>
      <w:r w:rsidRPr="00A72C49">
        <w:rPr>
          <w:rtl/>
          <w:lang w:bidi="ar-EG"/>
        </w:rPr>
        <w:t xml:space="preserve">مفتاح نظام </w:t>
      </w:r>
      <w:r w:rsidRPr="009178C3">
        <w:rPr>
          <w:sz w:val="34"/>
          <w:szCs w:val="34"/>
          <w:rtl/>
        </w:rPr>
        <w:t>إشارات</w:t>
      </w:r>
      <w:r w:rsidRPr="00A72C49">
        <w:rPr>
          <w:rtl/>
          <w:lang w:bidi="ar-EG"/>
        </w:rPr>
        <w:t xml:space="preserve"> السير:</w:t>
      </w:r>
    </w:p>
    <w:p w:rsidR="009178C3" w:rsidRPr="005D6A45" w:rsidRDefault="009178C3" w:rsidP="00CC1B2B">
      <w:pPr>
        <w:pStyle w:val="ListParagraph"/>
        <w:numPr>
          <w:ilvl w:val="0"/>
          <w:numId w:val="71"/>
        </w:numPr>
        <w:tabs>
          <w:tab w:val="left" w:pos="555"/>
        </w:tabs>
        <w:bidi/>
        <w:spacing w:after="120" w:line="340" w:lineRule="exact"/>
        <w:ind w:left="714" w:hanging="357"/>
        <w:contextualSpacing w:val="0"/>
        <w:rPr>
          <w:rFonts w:ascii="Arabic Typesetting" w:hAnsi="Arabic Typesetting" w:cs="Arabic Typesetting"/>
          <w:sz w:val="34"/>
          <w:szCs w:val="34"/>
          <w:rtl/>
          <w:lang w:bidi="ar-EG"/>
        </w:rPr>
      </w:pPr>
      <w:r w:rsidRPr="005D6A45">
        <w:rPr>
          <w:rFonts w:ascii="Arabic Typesetting" w:hAnsi="Arabic Typesetting" w:cs="Arabic Typesetting" w:hint="cs"/>
          <w:b/>
          <w:bCs/>
          <w:color w:val="008000"/>
          <w:sz w:val="34"/>
          <w:szCs w:val="34"/>
          <w:rtl/>
        </w:rPr>
        <w:t>"</w:t>
      </w:r>
      <w:r w:rsidRPr="005D6A45">
        <w:rPr>
          <w:rFonts w:ascii="Arabic Typesetting" w:hAnsi="Arabic Typesetting" w:cs="Arabic Typesetting"/>
          <w:b/>
          <w:bCs/>
          <w:color w:val="008000"/>
          <w:sz w:val="34"/>
          <w:szCs w:val="34"/>
          <w:rtl/>
        </w:rPr>
        <w:t>محقق كليا"</w:t>
      </w:r>
      <w:r w:rsidRPr="005D6A45">
        <w:rPr>
          <w:rFonts w:ascii="Arabic Typesetting" w:hAnsi="Arabic Typesetting" w:cs="Arabic Typesetting"/>
          <w:sz w:val="34"/>
          <w:szCs w:val="34"/>
          <w:rtl/>
        </w:rPr>
        <w:t xml:space="preserve"> تستخدم عندما يتضح من بيانات الأداء للفترة 2014/15 أن</w:t>
      </w:r>
      <w:r w:rsidRPr="005D6A45">
        <w:rPr>
          <w:rFonts w:ascii="Arabic Typesetting" w:hAnsi="Arabic Typesetting" w:cs="Arabic Typesetting" w:hint="cs"/>
          <w:sz w:val="34"/>
          <w:szCs w:val="34"/>
          <w:rtl/>
        </w:rPr>
        <w:t xml:space="preserve"> إنجاز</w:t>
      </w:r>
      <w:r w:rsidRPr="005D6A45">
        <w:rPr>
          <w:rFonts w:ascii="Arabic Typesetting" w:hAnsi="Arabic Typesetting" w:cs="Arabic Typesetting"/>
          <w:sz w:val="34"/>
          <w:szCs w:val="34"/>
          <w:rtl/>
        </w:rPr>
        <w:t> 80% أو أكثر من مؤشر الأداء قد تحق</w:t>
      </w:r>
      <w:r w:rsidRPr="005D6A45">
        <w:rPr>
          <w:rFonts w:ascii="Arabic Typesetting" w:hAnsi="Arabic Typesetting" w:cs="Arabic Typesetting" w:hint="cs"/>
          <w:sz w:val="34"/>
          <w:szCs w:val="34"/>
          <w:rtl/>
          <w:lang w:bidi="ar-EG"/>
        </w:rPr>
        <w:t>ق.</w:t>
      </w:r>
    </w:p>
    <w:p w:rsidR="009178C3" w:rsidRPr="005D6A45" w:rsidRDefault="009178C3" w:rsidP="00CC1B2B">
      <w:pPr>
        <w:pStyle w:val="ListParagraph"/>
        <w:numPr>
          <w:ilvl w:val="0"/>
          <w:numId w:val="71"/>
        </w:numPr>
        <w:tabs>
          <w:tab w:val="left" w:pos="555"/>
        </w:tabs>
        <w:bidi/>
        <w:spacing w:after="120" w:line="340" w:lineRule="exact"/>
        <w:ind w:left="714" w:hanging="357"/>
        <w:contextualSpacing w:val="0"/>
        <w:rPr>
          <w:rFonts w:ascii="Arabic Typesetting" w:hAnsi="Arabic Typesetting" w:cs="Arabic Typesetting"/>
          <w:sz w:val="34"/>
          <w:szCs w:val="34"/>
          <w:rtl/>
        </w:rPr>
      </w:pPr>
      <w:r w:rsidRPr="005D6A45">
        <w:rPr>
          <w:rFonts w:ascii="Arabic Typesetting" w:hAnsi="Arabic Typesetting" w:cs="Arabic Typesetting"/>
          <w:b/>
          <w:bCs/>
          <w:color w:val="FF6600"/>
          <w:sz w:val="34"/>
          <w:szCs w:val="34"/>
          <w:rtl/>
        </w:rPr>
        <w:t>"محقق جزئيا"</w:t>
      </w:r>
      <w:r w:rsidRPr="005D6A45">
        <w:rPr>
          <w:rFonts w:ascii="Arabic Typesetting" w:hAnsi="Arabic Typesetting" w:cs="Arabic Typesetting"/>
          <w:sz w:val="34"/>
          <w:szCs w:val="34"/>
          <w:rtl/>
        </w:rPr>
        <w:t xml:space="preserve"> تستخدم عندما يتضح من بيانات الأداء للفترة 2014/15 </w:t>
      </w:r>
      <w:r w:rsidRPr="005D6A45">
        <w:rPr>
          <w:rFonts w:ascii="Arabic Typesetting" w:hAnsi="Arabic Typesetting" w:cs="Arabic Typesetting" w:hint="cs"/>
          <w:sz w:val="34"/>
          <w:szCs w:val="34"/>
          <w:rtl/>
        </w:rPr>
        <w:t xml:space="preserve">أن </w:t>
      </w:r>
      <w:r w:rsidRPr="005D6A45">
        <w:rPr>
          <w:rFonts w:ascii="Arabic Typesetting" w:hAnsi="Arabic Typesetting" w:cs="Arabic Typesetting"/>
          <w:sz w:val="34"/>
          <w:szCs w:val="34"/>
          <w:rtl/>
        </w:rPr>
        <w:t xml:space="preserve">نسبة تحقيق مؤشر الأداء تتراوح بين 30% </w:t>
      </w:r>
      <w:r w:rsidRPr="005D6A45">
        <w:rPr>
          <w:rFonts w:ascii="Arabic Typesetting" w:hAnsi="Arabic Typesetting" w:cs="Arabic Typesetting"/>
          <w:color w:val="FF0000"/>
          <w:sz w:val="34"/>
          <w:szCs w:val="34"/>
          <w:rtl/>
        </w:rPr>
        <w:t>و80%.</w:t>
      </w:r>
    </w:p>
    <w:p w:rsidR="009178C3" w:rsidRPr="005D6A45" w:rsidRDefault="009178C3" w:rsidP="00CC1B2B">
      <w:pPr>
        <w:pStyle w:val="ListParagraph"/>
        <w:numPr>
          <w:ilvl w:val="0"/>
          <w:numId w:val="71"/>
        </w:numPr>
        <w:tabs>
          <w:tab w:val="left" w:pos="555"/>
        </w:tabs>
        <w:bidi/>
        <w:spacing w:after="120" w:line="340" w:lineRule="exact"/>
        <w:ind w:left="714" w:hanging="357"/>
        <w:contextualSpacing w:val="0"/>
        <w:rPr>
          <w:rFonts w:ascii="Arabic Typesetting" w:hAnsi="Arabic Typesetting" w:cs="Arabic Typesetting"/>
          <w:sz w:val="34"/>
          <w:szCs w:val="34"/>
          <w:rtl/>
        </w:rPr>
      </w:pPr>
      <w:r w:rsidRPr="005D6A45">
        <w:rPr>
          <w:rFonts w:ascii="Arabic Typesetting" w:hAnsi="Arabic Typesetting" w:cs="Arabic Typesetting" w:hint="cs"/>
          <w:b/>
          <w:bCs/>
          <w:color w:val="FF0000"/>
          <w:sz w:val="34"/>
          <w:szCs w:val="34"/>
          <w:rtl/>
        </w:rPr>
        <w:t>"</w:t>
      </w:r>
      <w:r w:rsidRPr="005D6A45">
        <w:rPr>
          <w:rFonts w:ascii="Arabic Typesetting" w:hAnsi="Arabic Typesetting" w:cs="Arabic Typesetting"/>
          <w:b/>
          <w:bCs/>
          <w:color w:val="FF0000"/>
          <w:sz w:val="34"/>
          <w:szCs w:val="34"/>
          <w:rtl/>
        </w:rPr>
        <w:t>غير محقق"</w:t>
      </w:r>
      <w:r w:rsidRPr="005D6A45">
        <w:rPr>
          <w:rFonts w:ascii="Arabic Typesetting" w:hAnsi="Arabic Typesetting" w:cs="Arabic Typesetting"/>
          <w:sz w:val="34"/>
          <w:szCs w:val="34"/>
          <w:rtl/>
        </w:rPr>
        <w:t xml:space="preserve"> تستخدم عندما يتضح من بيانات الأداء للفترة 2014/15 </w:t>
      </w:r>
      <w:r w:rsidRPr="005D6A45">
        <w:rPr>
          <w:rFonts w:ascii="Arabic Typesetting" w:hAnsi="Arabic Typesetting" w:cs="Arabic Typesetting" w:hint="cs"/>
          <w:sz w:val="34"/>
          <w:szCs w:val="34"/>
          <w:rtl/>
        </w:rPr>
        <w:t xml:space="preserve">أن </w:t>
      </w:r>
      <w:r w:rsidRPr="005D6A45">
        <w:rPr>
          <w:rFonts w:ascii="Arabic Typesetting" w:hAnsi="Arabic Typesetting" w:cs="Arabic Typesetting"/>
          <w:sz w:val="34"/>
          <w:szCs w:val="34"/>
          <w:rtl/>
        </w:rPr>
        <w:t>نسبة تحقيق مؤشر الأداء تقل عن 30%.</w:t>
      </w:r>
    </w:p>
    <w:p w:rsidR="009178C3" w:rsidRPr="005D6A45" w:rsidRDefault="009178C3" w:rsidP="00CC1B2B">
      <w:pPr>
        <w:pStyle w:val="ListParagraph"/>
        <w:numPr>
          <w:ilvl w:val="0"/>
          <w:numId w:val="71"/>
        </w:numPr>
        <w:tabs>
          <w:tab w:val="left" w:pos="555"/>
        </w:tabs>
        <w:bidi/>
        <w:spacing w:after="120" w:line="340" w:lineRule="exact"/>
        <w:ind w:left="714" w:hanging="357"/>
        <w:contextualSpacing w:val="0"/>
        <w:rPr>
          <w:rFonts w:ascii="Arabic Typesetting" w:hAnsi="Arabic Typesetting" w:cs="Arabic Typesetting"/>
          <w:sz w:val="34"/>
          <w:szCs w:val="34"/>
          <w:rtl/>
        </w:rPr>
      </w:pPr>
      <w:r w:rsidRPr="005D6A45">
        <w:rPr>
          <w:rFonts w:ascii="Arabic Typesetting" w:hAnsi="Arabic Typesetting" w:cs="Arabic Typesetting"/>
          <w:b/>
          <w:bCs/>
          <w:color w:val="808080"/>
          <w:sz w:val="34"/>
          <w:szCs w:val="34"/>
          <w:rtl/>
        </w:rPr>
        <w:t>"</w:t>
      </w:r>
      <w:r w:rsidR="005D6A45">
        <w:rPr>
          <w:rFonts w:ascii="Arabic Typesetting" w:hAnsi="Arabic Typesetting" w:cs="Arabic Typesetting" w:hint="cs"/>
          <w:b/>
          <w:bCs/>
          <w:color w:val="808080"/>
          <w:sz w:val="34"/>
          <w:szCs w:val="34"/>
          <w:rtl/>
        </w:rPr>
        <w:t>غير قابل للقياس</w:t>
      </w:r>
      <w:r w:rsidRPr="005D6A45">
        <w:rPr>
          <w:rFonts w:ascii="Arabic Typesetting" w:hAnsi="Arabic Typesetting" w:cs="Arabic Typesetting"/>
          <w:b/>
          <w:bCs/>
          <w:color w:val="808080"/>
          <w:sz w:val="34"/>
          <w:szCs w:val="34"/>
          <w:rtl/>
        </w:rPr>
        <w:t>"</w:t>
      </w:r>
      <w:r>
        <w:rPr>
          <w:rStyle w:val="FootnoteReference"/>
          <w:b/>
          <w:bCs/>
          <w:color w:val="808080"/>
          <w:rtl/>
        </w:rPr>
        <w:footnoteReference w:id="2"/>
      </w:r>
      <w:r w:rsidRPr="005D6A45">
        <w:rPr>
          <w:rFonts w:ascii="Arabic Typesetting" w:hAnsi="Arabic Typesetting" w:cs="Arabic Typesetting"/>
          <w:sz w:val="34"/>
          <w:szCs w:val="34"/>
          <w:rtl/>
        </w:rPr>
        <w:t xml:space="preserve"> تستخدم عندما يتعذر تقييم الأداء بسبب عدم تحديد </w:t>
      </w:r>
      <w:r w:rsidRPr="005D6A45">
        <w:rPr>
          <w:rFonts w:ascii="Arabic Typesetting" w:hAnsi="Arabic Typesetting" w:cs="Arabic Typesetting" w:hint="cs"/>
          <w:sz w:val="34"/>
          <w:szCs w:val="34"/>
          <w:rtl/>
        </w:rPr>
        <w:t xml:space="preserve">الهدف </w:t>
      </w:r>
      <w:r w:rsidRPr="005D6A45">
        <w:rPr>
          <w:rFonts w:ascii="Arabic Typesetting" w:hAnsi="Arabic Typesetting" w:cs="Arabic Typesetting"/>
          <w:sz w:val="34"/>
          <w:szCs w:val="34"/>
          <w:rtl/>
        </w:rPr>
        <w:t>كما ينبغي أو عندما تكون بيانات الأداء غير كافية لتحديد نظام إشارات السير.</w:t>
      </w:r>
    </w:p>
    <w:p w:rsidR="009178C3" w:rsidRPr="005D6A45" w:rsidRDefault="009178C3" w:rsidP="00CC1B2B">
      <w:pPr>
        <w:pStyle w:val="ListParagraph"/>
        <w:numPr>
          <w:ilvl w:val="0"/>
          <w:numId w:val="71"/>
        </w:numPr>
        <w:tabs>
          <w:tab w:val="left" w:pos="555"/>
        </w:tabs>
        <w:bidi/>
        <w:spacing w:after="120" w:line="340" w:lineRule="exact"/>
        <w:ind w:left="714" w:hanging="357"/>
        <w:contextualSpacing w:val="0"/>
        <w:rPr>
          <w:rFonts w:ascii="Arabic Typesetting" w:hAnsi="Arabic Typesetting" w:cs="Arabic Typesetting"/>
          <w:sz w:val="34"/>
          <w:szCs w:val="34"/>
          <w:rtl/>
        </w:rPr>
      </w:pPr>
      <w:r w:rsidRPr="005D6A45">
        <w:rPr>
          <w:rFonts w:ascii="Arabic Typesetting" w:hAnsi="Arabic Typesetting" w:cs="Arabic Typesetting"/>
          <w:b/>
          <w:bCs/>
          <w:sz w:val="34"/>
          <w:szCs w:val="34"/>
          <w:rtl/>
        </w:rPr>
        <w:t>"منقطع"</w:t>
      </w:r>
      <w:r w:rsidRPr="005D6A45">
        <w:rPr>
          <w:rFonts w:ascii="Arabic Typesetting" w:hAnsi="Arabic Typesetting" w:cs="Arabic Typesetting"/>
          <w:sz w:val="34"/>
          <w:szCs w:val="34"/>
          <w:rtl/>
        </w:rPr>
        <w:t xml:space="preserve"> تستخدم عندما يتوقف استخدام مؤشر الأداء لقياس </w:t>
      </w:r>
      <w:r w:rsidRPr="005D6A45">
        <w:rPr>
          <w:rFonts w:ascii="Arabic Typesetting" w:hAnsi="Arabic Typesetting" w:cs="Arabic Typesetting" w:hint="cs"/>
          <w:sz w:val="34"/>
          <w:szCs w:val="34"/>
          <w:rtl/>
        </w:rPr>
        <w:t xml:space="preserve">أداء </w:t>
      </w:r>
      <w:r w:rsidRPr="005D6A45">
        <w:rPr>
          <w:rFonts w:ascii="Arabic Typesetting" w:hAnsi="Arabic Typesetting" w:cs="Arabic Typesetting"/>
          <w:sz w:val="34"/>
          <w:szCs w:val="34"/>
          <w:rtl/>
        </w:rPr>
        <w:t>البرنامج.</w:t>
      </w:r>
    </w:p>
    <w:p w:rsidR="009178C3" w:rsidRPr="00C4722B" w:rsidRDefault="009178C3" w:rsidP="005D6A45">
      <w:pPr>
        <w:pStyle w:val="NormalParaAR"/>
        <w:numPr>
          <w:ilvl w:val="0"/>
          <w:numId w:val="44"/>
        </w:numPr>
        <w:spacing w:after="120"/>
        <w:ind w:left="0" w:firstLine="0"/>
        <w:rPr>
          <w:rtl/>
          <w:lang w:bidi="ar-EG"/>
        </w:rPr>
      </w:pPr>
      <w:r w:rsidRPr="00C4722B">
        <w:rPr>
          <w:rtl/>
          <w:lang w:bidi="ar-EG"/>
        </w:rPr>
        <w:t xml:space="preserve">ومن مجموع </w:t>
      </w:r>
      <w:r w:rsidRPr="00C4722B">
        <w:rPr>
          <w:rFonts w:hint="cs"/>
          <w:rtl/>
          <w:lang w:bidi="ar-EG"/>
        </w:rPr>
        <w:t>394</w:t>
      </w:r>
      <w:r w:rsidRPr="00C4722B">
        <w:rPr>
          <w:rtl/>
          <w:lang w:bidi="ar-EG"/>
        </w:rPr>
        <w:t xml:space="preserve"> مؤشرا من مؤشرات الأداء الواردة في وثيقة البرنامج والميزانية للفترة </w:t>
      </w:r>
      <w:r w:rsidRPr="00C4722B">
        <w:rPr>
          <w:rFonts w:hint="cs"/>
          <w:rtl/>
          <w:lang w:bidi="ar-EG"/>
        </w:rPr>
        <w:t>2014/15</w:t>
      </w:r>
      <w:r w:rsidRPr="00C4722B">
        <w:rPr>
          <w:rtl/>
          <w:lang w:bidi="ar-EG"/>
        </w:rPr>
        <w:t xml:space="preserve">، قُيّم أداء </w:t>
      </w:r>
      <w:r w:rsidRPr="00C4722B">
        <w:rPr>
          <w:rFonts w:hint="cs"/>
          <w:rtl/>
          <w:lang w:bidi="ar-EG"/>
        </w:rPr>
        <w:t>286</w:t>
      </w:r>
      <w:r w:rsidRPr="00C4722B">
        <w:rPr>
          <w:rtl/>
          <w:lang w:bidi="ar-EG"/>
        </w:rPr>
        <w:t xml:space="preserve"> مؤشرا على أنه "</w:t>
      </w:r>
      <w:r w:rsidRPr="009178C3">
        <w:rPr>
          <w:sz w:val="34"/>
          <w:szCs w:val="34"/>
          <w:rtl/>
        </w:rPr>
        <w:t>محقق</w:t>
      </w:r>
      <w:r w:rsidRPr="00C4722B">
        <w:rPr>
          <w:rtl/>
          <w:lang w:bidi="ar-EG"/>
        </w:rPr>
        <w:t xml:space="preserve"> كليا"، أي ما نسبته 72 </w:t>
      </w:r>
      <w:r w:rsidR="000B5473">
        <w:rPr>
          <w:rtl/>
          <w:lang w:bidi="ar-EG"/>
        </w:rPr>
        <w:t>بالمئة</w:t>
      </w:r>
      <w:r w:rsidRPr="00C4722B">
        <w:rPr>
          <w:rtl/>
          <w:lang w:bidi="ar-EG"/>
        </w:rPr>
        <w:t xml:space="preserve"> من مؤشرات الأداء. وقُيّم أداء ما مجموعه </w:t>
      </w:r>
      <w:r w:rsidRPr="00C4722B">
        <w:rPr>
          <w:rFonts w:hint="cs"/>
          <w:rtl/>
          <w:lang w:bidi="ar-EG"/>
        </w:rPr>
        <w:t>19</w:t>
      </w:r>
      <w:r w:rsidRPr="00C4722B">
        <w:rPr>
          <w:rtl/>
          <w:lang w:bidi="ar-EG"/>
        </w:rPr>
        <w:t xml:space="preserve"> مؤشرا، أي ما نسبته </w:t>
      </w:r>
      <w:r w:rsidRPr="00C4722B">
        <w:rPr>
          <w:rFonts w:hint="cs"/>
          <w:rtl/>
          <w:lang w:bidi="ar-EG"/>
        </w:rPr>
        <w:t>خمسة</w:t>
      </w:r>
      <w:r w:rsidRPr="00C4722B">
        <w:rPr>
          <w:rtl/>
          <w:lang w:bidi="ar-EG"/>
        </w:rPr>
        <w:t xml:space="preserve"> </w:t>
      </w:r>
      <w:r w:rsidR="000B5473">
        <w:rPr>
          <w:rtl/>
          <w:lang w:bidi="ar-EG"/>
        </w:rPr>
        <w:t>بالمئة</w:t>
      </w:r>
      <w:r w:rsidRPr="00C4722B">
        <w:rPr>
          <w:rtl/>
          <w:lang w:bidi="ar-EG"/>
        </w:rPr>
        <w:t xml:space="preserve">، على أنه "محقق جزئيا"، وقُيّم أداء </w:t>
      </w:r>
      <w:r w:rsidRPr="00C4722B">
        <w:rPr>
          <w:rFonts w:hint="cs"/>
          <w:rtl/>
          <w:lang w:bidi="ar-EG"/>
        </w:rPr>
        <w:t>46</w:t>
      </w:r>
      <w:r w:rsidRPr="00C4722B">
        <w:rPr>
          <w:rtl/>
          <w:lang w:bidi="ar-EG"/>
        </w:rPr>
        <w:t xml:space="preserve"> مؤشرا، أي ما نسبته </w:t>
      </w:r>
      <w:r w:rsidRPr="00C4722B">
        <w:rPr>
          <w:rFonts w:hint="cs"/>
          <w:rtl/>
          <w:lang w:bidi="ar-EG"/>
        </w:rPr>
        <w:t>12</w:t>
      </w:r>
      <w:r w:rsidRPr="00C4722B">
        <w:rPr>
          <w:rtl/>
          <w:lang w:bidi="ar-EG"/>
        </w:rPr>
        <w:t xml:space="preserve"> </w:t>
      </w:r>
      <w:r w:rsidR="000B5473">
        <w:rPr>
          <w:rtl/>
          <w:lang w:bidi="ar-EG"/>
        </w:rPr>
        <w:t>بالمئة</w:t>
      </w:r>
      <w:r w:rsidRPr="00C4722B">
        <w:rPr>
          <w:rtl/>
          <w:lang w:bidi="ar-EG"/>
        </w:rPr>
        <w:t xml:space="preserve">، على أنه "غير محقق". وقُيّم أداء حوالي </w:t>
      </w:r>
      <w:r w:rsidRPr="00C4722B">
        <w:rPr>
          <w:rFonts w:hint="cs"/>
          <w:rtl/>
          <w:lang w:bidi="ar-EG"/>
        </w:rPr>
        <w:t>35</w:t>
      </w:r>
      <w:r w:rsidRPr="00C4722B">
        <w:rPr>
          <w:rtl/>
          <w:lang w:bidi="ar-EG"/>
        </w:rPr>
        <w:t xml:space="preserve"> مؤشرا، أي ما نسبته </w:t>
      </w:r>
      <w:r w:rsidRPr="00C4722B">
        <w:rPr>
          <w:rFonts w:hint="cs"/>
          <w:rtl/>
          <w:lang w:bidi="ar-EG"/>
        </w:rPr>
        <w:t>تسعة</w:t>
      </w:r>
      <w:r w:rsidRPr="00C4722B">
        <w:rPr>
          <w:rtl/>
          <w:lang w:bidi="ar-EG"/>
        </w:rPr>
        <w:t xml:space="preserve"> </w:t>
      </w:r>
      <w:r w:rsidR="000B5473">
        <w:rPr>
          <w:rtl/>
          <w:lang w:bidi="ar-EG"/>
        </w:rPr>
        <w:t>بالمئة</w:t>
      </w:r>
      <w:r w:rsidRPr="00C4722B">
        <w:rPr>
          <w:rtl/>
          <w:lang w:bidi="ar-EG"/>
        </w:rPr>
        <w:t xml:space="preserve"> على أنه "</w:t>
      </w:r>
      <w:r w:rsidR="005D6A45">
        <w:rPr>
          <w:rFonts w:hint="cs"/>
          <w:rtl/>
          <w:lang w:bidi="ar-EG"/>
        </w:rPr>
        <w:t>غير قابل للقياس</w:t>
      </w:r>
      <w:r w:rsidRPr="00C4722B">
        <w:rPr>
          <w:rtl/>
          <w:lang w:bidi="ar-EG"/>
        </w:rPr>
        <w:t xml:space="preserve">"، وأداء </w:t>
      </w:r>
      <w:r w:rsidRPr="00C4722B">
        <w:rPr>
          <w:rFonts w:hint="cs"/>
          <w:rtl/>
          <w:lang w:bidi="ar-EG"/>
        </w:rPr>
        <w:t>ثمانية</w:t>
      </w:r>
      <w:r w:rsidRPr="00C4722B">
        <w:rPr>
          <w:rtl/>
          <w:lang w:bidi="ar-EG"/>
        </w:rPr>
        <w:t xml:space="preserve"> مؤشرات، أو </w:t>
      </w:r>
      <w:r w:rsidRPr="00C4722B">
        <w:rPr>
          <w:rFonts w:hint="cs"/>
          <w:rtl/>
          <w:lang w:bidi="ar-EG"/>
        </w:rPr>
        <w:t>اثنين</w:t>
      </w:r>
      <w:r w:rsidRPr="00C4722B">
        <w:rPr>
          <w:rtl/>
          <w:lang w:bidi="ar-EG"/>
        </w:rPr>
        <w:t xml:space="preserve"> </w:t>
      </w:r>
      <w:r w:rsidR="000B5473">
        <w:rPr>
          <w:rtl/>
          <w:lang w:bidi="ar-EG"/>
        </w:rPr>
        <w:t>بالمئة</w:t>
      </w:r>
      <w:r w:rsidRPr="00C4722B">
        <w:rPr>
          <w:rtl/>
          <w:lang w:bidi="ar-EG"/>
        </w:rPr>
        <w:t>، على أنه "منقطع".</w:t>
      </w:r>
    </w:p>
    <w:p w:rsidR="009178C3" w:rsidRDefault="005D6A45" w:rsidP="005D6A45">
      <w:pPr>
        <w:pStyle w:val="NormalParaAR"/>
        <w:spacing w:line="240" w:lineRule="auto"/>
        <w:jc w:val="center"/>
        <w:rPr>
          <w:b/>
          <w:bCs/>
        </w:rPr>
      </w:pPr>
      <w:r>
        <w:rPr>
          <w:b/>
          <w:bCs/>
          <w:noProof/>
        </w:rPr>
        <w:lastRenderedPageBreak/>
        <w:drawing>
          <wp:inline distT="0" distB="0" distL="0" distR="0" wp14:anchorId="47DEACA3">
            <wp:extent cx="5602130" cy="3058930"/>
            <wp:effectExtent l="0" t="0" r="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01249" cy="3058449"/>
                    </a:xfrm>
                    <a:prstGeom prst="rect">
                      <a:avLst/>
                    </a:prstGeom>
                    <a:noFill/>
                  </pic:spPr>
                </pic:pic>
              </a:graphicData>
            </a:graphic>
          </wp:inline>
        </w:drawing>
      </w:r>
    </w:p>
    <w:p w:rsidR="00B31868" w:rsidRDefault="00B31868" w:rsidP="005D6A45">
      <w:pPr>
        <w:pStyle w:val="Heading1AR"/>
        <w:spacing w:before="0" w:after="240"/>
        <w:rPr>
          <w:rtl/>
        </w:rPr>
      </w:pPr>
      <w:bookmarkStart w:id="8" w:name="_Toc393807972"/>
      <w:bookmarkStart w:id="9" w:name="_Toc393817911"/>
      <w:bookmarkStart w:id="10" w:name="_Toc450635396"/>
      <w:bookmarkStart w:id="11" w:name="_Toc455393358"/>
      <w:r w:rsidRPr="00967AAF">
        <w:rPr>
          <w:rFonts w:hint="cs"/>
          <w:rtl/>
        </w:rPr>
        <w:t>ثانيا</w:t>
      </w:r>
      <w:r w:rsidRPr="00967AAF">
        <w:rPr>
          <w:rFonts w:hint="cs"/>
          <w:rtl/>
        </w:rPr>
        <w:tab/>
        <w:t xml:space="preserve">موجز الإنجازات </w:t>
      </w:r>
      <w:bookmarkEnd w:id="8"/>
      <w:bookmarkEnd w:id="9"/>
      <w:r w:rsidR="00F3697D">
        <w:rPr>
          <w:rFonts w:hint="cs"/>
          <w:rtl/>
        </w:rPr>
        <w:t xml:space="preserve">خلال الثنائية </w:t>
      </w:r>
      <w:bookmarkEnd w:id="10"/>
      <w:r w:rsidR="00507DE2">
        <w:rPr>
          <w:rFonts w:hint="cs"/>
          <w:rtl/>
        </w:rPr>
        <w:t>2014/15</w:t>
      </w:r>
      <w:bookmarkEnd w:id="11"/>
    </w:p>
    <w:p w:rsidR="009178C3" w:rsidRPr="009178C3" w:rsidRDefault="009178C3" w:rsidP="003C2A9C">
      <w:pPr>
        <w:pStyle w:val="NormalParaAR"/>
        <w:numPr>
          <w:ilvl w:val="0"/>
          <w:numId w:val="44"/>
        </w:numPr>
        <w:spacing w:after="120" w:line="340" w:lineRule="exact"/>
        <w:ind w:left="0" w:firstLine="0"/>
        <w:rPr>
          <w:sz w:val="34"/>
          <w:szCs w:val="34"/>
          <w:rtl/>
          <w:lang w:bidi="ar-EG"/>
        </w:rPr>
      </w:pPr>
      <w:r w:rsidRPr="009178C3">
        <w:rPr>
          <w:sz w:val="34"/>
          <w:szCs w:val="34"/>
          <w:rtl/>
        </w:rPr>
        <w:t xml:space="preserve">يشمل تقرير أداء البرنامج 2014/15 لوحات لمتابعة الأداء لكلٍ من الأهداف التسعة الاستراتيجية، مع تقديم موجز بياني للتقدم المحرز في 2014/15 قياساً بمؤشرات الأداء في إطار البرامج بموجب البرامج التي تسهم في الأهداف المناظرة. وعند تقييم الأداء، أجري للمرة الأولى تحليل معمق عن المخاطر المحددة في برنامج وميزانية 2014/15 على مستوى البرنامج. وشمل تقييما لتطور المخاطر أثناء الثنائية بما في ذلك إن كان الخطر قد تحقق أم لا، كما شمل تنفيذ استراتيجيات </w:t>
      </w:r>
      <w:r w:rsidRPr="009178C3">
        <w:rPr>
          <w:sz w:val="34"/>
          <w:szCs w:val="34"/>
          <w:rtl/>
          <w:lang w:bidi="ar-EG"/>
        </w:rPr>
        <w:t>التخفيف، والأثر على أداء البرنامج نحو تحقيق النتائج المرتقبة. ويرد استعراض لعمليات الإدارة المعززة للمخاطر في الويبو تحت الهدف الاستراتيجي التاسع والبرنامج 22.</w:t>
      </w:r>
    </w:p>
    <w:p w:rsidR="009178C3" w:rsidRPr="009178C3" w:rsidRDefault="009178C3" w:rsidP="009178C3">
      <w:pPr>
        <w:pStyle w:val="NormalParaAR"/>
        <w:numPr>
          <w:ilvl w:val="0"/>
          <w:numId w:val="44"/>
        </w:numPr>
        <w:spacing w:after="120" w:line="340" w:lineRule="exact"/>
        <w:ind w:left="0" w:firstLine="0"/>
        <w:rPr>
          <w:sz w:val="34"/>
          <w:szCs w:val="34"/>
          <w:rtl/>
        </w:rPr>
      </w:pPr>
      <w:r w:rsidRPr="009178C3">
        <w:rPr>
          <w:sz w:val="34"/>
          <w:szCs w:val="34"/>
          <w:rtl/>
        </w:rPr>
        <w:t>وفيما يلي موجز لأبرز الإنجازات في 2014/15 نحو تحقيق الأهداف الاستراتيجية التسعة.</w:t>
      </w:r>
    </w:p>
    <w:p w:rsidR="009178C3" w:rsidRPr="009178C3" w:rsidRDefault="009178C3" w:rsidP="009178C3">
      <w:pPr>
        <w:tabs>
          <w:tab w:val="left" w:pos="1132"/>
        </w:tabs>
        <w:bidi/>
        <w:spacing w:after="120" w:line="340" w:lineRule="exact"/>
        <w:jc w:val="center"/>
        <w:rPr>
          <w:rFonts w:ascii="Arabic Typesetting" w:hAnsi="Arabic Typesetting" w:cs="Arabic Typesetting"/>
          <w:b/>
          <w:bCs/>
          <w:sz w:val="34"/>
          <w:szCs w:val="34"/>
          <w:rtl/>
        </w:rPr>
      </w:pPr>
      <w:r w:rsidRPr="009178C3">
        <w:rPr>
          <w:rFonts w:ascii="Arabic Typesetting" w:hAnsi="Arabic Typesetting" w:cs="Arabic Typesetting"/>
          <w:b/>
          <w:bCs/>
          <w:sz w:val="34"/>
          <w:szCs w:val="34"/>
          <w:rtl/>
        </w:rPr>
        <w:t>عرض مجمَّع لإنجازات الثنائية 2014/15 بحسب الهدف الاستراتيجي</w:t>
      </w:r>
    </w:p>
    <w:p w:rsidR="009178C3" w:rsidRPr="009178C3" w:rsidRDefault="005D6A45" w:rsidP="009178C3">
      <w:pPr>
        <w:tabs>
          <w:tab w:val="left" w:pos="1132"/>
        </w:tabs>
        <w:bidi/>
        <w:spacing w:after="120"/>
        <w:jc w:val="center"/>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15E5CDD4">
            <wp:extent cx="5703772" cy="3331878"/>
            <wp:effectExtent l="0" t="0" r="0"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10020" cy="3335528"/>
                    </a:xfrm>
                    <a:prstGeom prst="rect">
                      <a:avLst/>
                    </a:prstGeom>
                    <a:noFill/>
                  </pic:spPr>
                </pic:pic>
              </a:graphicData>
            </a:graphic>
          </wp:inline>
        </w:drawing>
      </w:r>
    </w:p>
    <w:p w:rsidR="009178C3" w:rsidRPr="009178C3" w:rsidRDefault="009178C3" w:rsidP="009178C3">
      <w:pPr>
        <w:keepNext/>
        <w:bidi/>
        <w:spacing w:after="120" w:line="340" w:lineRule="exact"/>
        <w:jc w:val="center"/>
        <w:rPr>
          <w:rFonts w:ascii="Arabic Typesetting" w:hAnsi="Arabic Typesetting" w:cs="Arabic Typesetting"/>
          <w:b/>
          <w:bCs/>
          <w:sz w:val="34"/>
          <w:szCs w:val="34"/>
          <w:rtl/>
        </w:rPr>
      </w:pPr>
      <w:r w:rsidRPr="009178C3">
        <w:rPr>
          <w:rFonts w:ascii="Arabic Typesetting" w:hAnsi="Arabic Typesetting" w:cs="Arabic Typesetting"/>
          <w:b/>
          <w:bCs/>
          <w:sz w:val="34"/>
          <w:szCs w:val="34"/>
          <w:rtl/>
        </w:rPr>
        <w:lastRenderedPageBreak/>
        <w:t>الهدف الاستراتيجي الأول: تطور متوازن لوضع القواعد والمعايير الدولية بشأن الملكية الفكرية</w:t>
      </w:r>
    </w:p>
    <w:p w:rsidR="009178C3" w:rsidRPr="009178C3" w:rsidRDefault="005D6A45" w:rsidP="009178C3">
      <w:pPr>
        <w:tabs>
          <w:tab w:val="left" w:pos="1132"/>
        </w:tabs>
        <w:bidi/>
        <w:spacing w:after="120"/>
        <w:jc w:val="center"/>
        <w:rPr>
          <w:rFonts w:ascii="Arabic Typesetting" w:hAnsi="Arabic Typesetting" w:cs="Arabic Typesetting"/>
          <w:b/>
          <w:bCs/>
          <w:sz w:val="34"/>
          <w:szCs w:val="34"/>
          <w:rtl/>
        </w:rPr>
      </w:pPr>
      <w:r>
        <w:rPr>
          <w:rFonts w:ascii="Arabic Typesetting" w:hAnsi="Arabic Typesetting" w:cs="Arabic Typesetting"/>
          <w:b/>
          <w:bCs/>
          <w:noProof/>
          <w:sz w:val="34"/>
          <w:szCs w:val="34"/>
        </w:rPr>
        <w:drawing>
          <wp:inline distT="0" distB="0" distL="0" distR="0" wp14:anchorId="453BB006">
            <wp:extent cx="5092552" cy="2467450"/>
            <wp:effectExtent l="0" t="0" r="0" b="9525"/>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94956" cy="2468615"/>
                    </a:xfrm>
                    <a:prstGeom prst="rect">
                      <a:avLst/>
                    </a:prstGeom>
                    <a:noFill/>
                  </pic:spPr>
                </pic:pic>
              </a:graphicData>
            </a:graphic>
          </wp:inline>
        </w:drawing>
      </w:r>
    </w:p>
    <w:p w:rsidR="009178C3" w:rsidRPr="009178C3" w:rsidRDefault="009178C3" w:rsidP="009178C3">
      <w:pPr>
        <w:keepNext/>
        <w:tabs>
          <w:tab w:val="left" w:pos="1132"/>
        </w:tabs>
        <w:bidi/>
        <w:spacing w:after="120" w:line="340" w:lineRule="exact"/>
        <w:jc w:val="center"/>
        <w:rPr>
          <w:rFonts w:ascii="Arabic Typesetting" w:hAnsi="Arabic Typesetting" w:cs="Arabic Typesetting"/>
          <w:b/>
          <w:bCs/>
          <w:sz w:val="34"/>
          <w:szCs w:val="34"/>
          <w:rtl/>
        </w:rPr>
      </w:pPr>
      <w:r w:rsidRPr="009178C3">
        <w:rPr>
          <w:rFonts w:ascii="Arabic Typesetting" w:hAnsi="Arabic Typesetting" w:cs="Arabic Typesetting"/>
          <w:b/>
          <w:bCs/>
          <w:sz w:val="34"/>
          <w:szCs w:val="34"/>
          <w:rtl/>
        </w:rPr>
        <w:t>موجز الإنجازات بحسب النتيجة المرتقبة</w:t>
      </w:r>
    </w:p>
    <w:p w:rsidR="009178C3" w:rsidRPr="009178C3" w:rsidRDefault="00A601E3" w:rsidP="009178C3">
      <w:pPr>
        <w:tabs>
          <w:tab w:val="left" w:pos="1132"/>
        </w:tabs>
        <w:bidi/>
        <w:spacing w:after="120"/>
        <w:jc w:val="center"/>
        <w:rPr>
          <w:rFonts w:ascii="Arabic Typesetting" w:hAnsi="Arabic Typesetting" w:cs="Arabic Typesetting"/>
          <w:b/>
          <w:bCs/>
          <w:sz w:val="34"/>
          <w:szCs w:val="34"/>
        </w:rPr>
      </w:pPr>
      <w:r>
        <w:rPr>
          <w:rFonts w:ascii="Arabic Typesetting" w:hAnsi="Arabic Typesetting" w:cs="Arabic Typesetting"/>
          <w:b/>
          <w:bCs/>
          <w:noProof/>
          <w:sz w:val="34"/>
          <w:szCs w:val="34"/>
        </w:rPr>
        <w:drawing>
          <wp:inline distT="0" distB="0" distL="0" distR="0" wp14:anchorId="736A5CF2">
            <wp:extent cx="5838826" cy="1584922"/>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46424" cy="1586984"/>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sz w:val="34"/>
          <w:szCs w:val="34"/>
          <w:rtl/>
        </w:rPr>
      </w:pPr>
      <w:r w:rsidRPr="009178C3">
        <w:rPr>
          <w:sz w:val="34"/>
          <w:szCs w:val="34"/>
          <w:rtl/>
        </w:rPr>
        <w:t>تواصل تحقيق التقدم في 2014/15 في إطار هذا الهدف الاستراتيجي وإن كان بمعدل أبطأ من المتوقع. وبقيت لدى اللجان الدائمة في نهاية الثنائية عدة أمور معلقة.</w:t>
      </w:r>
    </w:p>
    <w:p w:rsidR="009178C3" w:rsidRPr="009178C3" w:rsidRDefault="009178C3" w:rsidP="009178C3">
      <w:pPr>
        <w:pStyle w:val="NormalParaAR"/>
        <w:numPr>
          <w:ilvl w:val="0"/>
          <w:numId w:val="44"/>
        </w:numPr>
        <w:spacing w:after="120" w:line="340" w:lineRule="exact"/>
        <w:ind w:left="0" w:firstLine="0"/>
        <w:rPr>
          <w:sz w:val="34"/>
          <w:szCs w:val="34"/>
          <w:rtl/>
        </w:rPr>
      </w:pPr>
      <w:r w:rsidRPr="009178C3">
        <w:rPr>
          <w:sz w:val="34"/>
          <w:szCs w:val="34"/>
          <w:rtl/>
        </w:rPr>
        <w:t xml:space="preserve">وتواصل التقدم تحو دخول معاهدتي حق المؤلف الجديدتين حيز النفاذ في 2014 و21015. وحصلت معاهدة بيجين لحماية الأداء السمعي البصري (معاهدة بيجين) على ثماني مصادقات وانضمام إضافية (شيلي والصين اليابان وقطر وجمهورية مولدوفا والاتحاد الروسي وسلوفاكيا والإمارات العربية المتحدة) أي إجمالي </w:t>
      </w:r>
      <w:r w:rsidRPr="009178C3">
        <w:rPr>
          <w:sz w:val="34"/>
          <w:szCs w:val="34"/>
        </w:rPr>
        <w:t>10</w:t>
      </w:r>
      <w:r w:rsidRPr="009178C3">
        <w:rPr>
          <w:sz w:val="34"/>
          <w:szCs w:val="34"/>
          <w:rtl/>
        </w:rPr>
        <w:t xml:space="preserve"> من </w:t>
      </w:r>
      <w:r w:rsidRPr="009178C3">
        <w:rPr>
          <w:sz w:val="34"/>
          <w:szCs w:val="34"/>
        </w:rPr>
        <w:t>30</w:t>
      </w:r>
      <w:r w:rsidRPr="009178C3">
        <w:rPr>
          <w:sz w:val="34"/>
          <w:szCs w:val="34"/>
          <w:rtl/>
        </w:rPr>
        <w:t xml:space="preserve"> اللازمة لدخولها حيز النفاذ. أما معاهدة مراكش لتيسير النفاذ إلى المصنفات المنشورة لفائدة الأشخاص المكفوفين أو معاقي البصر أو ذوي إعاقات أخرى في قراءة المطبوعات (معاهدة مراكش لمعاقي البصر) فحصلت على إجمالي 80 توقيعا بحلول مهلة يونيو 2014 وحصلت معاهدة مراكش لمعاقي البصر على 13 مصادقة وانضماما (الأرجنتين وأستراليا والبرازيل والسلفادور والهند ومالي والمكسيك ومنغوليا وباراغواي وجمهورية كوريا وسنغافورة والإمارات العربية المتحدة وأوروغواي) من أصل العشرين اللازمة لدخلوها حيز النفاذ. وإن كانت أهداف المصادقة/الانضمام المطلوبة في </w:t>
      </w:r>
      <w:r w:rsidR="003C2A9C">
        <w:rPr>
          <w:rFonts w:hint="cs"/>
          <w:sz w:val="34"/>
          <w:szCs w:val="34"/>
          <w:rtl/>
        </w:rPr>
        <w:t>ال</w:t>
      </w:r>
      <w:r w:rsidRPr="009178C3">
        <w:rPr>
          <w:sz w:val="34"/>
          <w:szCs w:val="34"/>
          <w:rtl/>
        </w:rPr>
        <w:t xml:space="preserve">ثنائية 2014/15 لهاتين المعاهدتين في الدورة العشرين للجنة البرنامج والميزانية طموحة نوعا ما بالنظر إلى ضرورة إبقاء الموارد المخصصة لذلك في المستويات المقترحة، فقد تحققت جزئيا من خلال إيلاء الأولوية لتقديم المساعدة إلى الدول الأعضاء بشأن الانضمام إلى المعاهدتين. وستتواصل هذه المقاربة في </w:t>
      </w:r>
      <w:r w:rsidR="003C2A9C">
        <w:rPr>
          <w:rFonts w:hint="cs"/>
          <w:sz w:val="34"/>
          <w:szCs w:val="34"/>
          <w:rtl/>
        </w:rPr>
        <w:t>ال</w:t>
      </w:r>
      <w:r w:rsidRPr="009178C3">
        <w:rPr>
          <w:sz w:val="34"/>
          <w:szCs w:val="34"/>
          <w:rtl/>
        </w:rPr>
        <w:t>ثنائية 2016/17.</w:t>
      </w:r>
    </w:p>
    <w:p w:rsidR="009178C3" w:rsidRPr="009178C3" w:rsidRDefault="009178C3" w:rsidP="009178C3">
      <w:pPr>
        <w:pStyle w:val="NormalParaAR"/>
        <w:numPr>
          <w:ilvl w:val="0"/>
          <w:numId w:val="44"/>
        </w:numPr>
        <w:spacing w:after="120" w:line="340" w:lineRule="exact"/>
        <w:ind w:left="0" w:firstLine="0"/>
        <w:rPr>
          <w:sz w:val="34"/>
          <w:szCs w:val="34"/>
          <w:rtl/>
        </w:rPr>
      </w:pPr>
      <w:r w:rsidRPr="009178C3">
        <w:rPr>
          <w:sz w:val="34"/>
          <w:szCs w:val="34"/>
          <w:rtl/>
        </w:rPr>
        <w:t xml:space="preserve">وعُقد المزيد من المناقشات بشأن موضوعات أخرى على جدول أعمال اللجنة الدائمة المعنية بحق المؤلف والحقوق المجاورة خلال الاجتماعات الخمسة التي عقدت في أبريل/مايو 2014 ويونيه/يوليه 2014 وديسمبر 2014 ويونيه/يوليه 2015 وديسمبر 2015. وتناولت مناقشات اللجنة معاهدة مقترحة لهيئات البث والتقييدات والاستثناءات المتعلقة بالمكتبات ودور الحفظ والمؤسسات التعليمية والبحثية والأشخاص ذوي الإعاقات الأخرى (غير تلك التي تغطيها معاهدة مراكش لمعاقي البصر). كما تلقت اللجنة في الدورة المنعقدة في ديسمبر 2015 اقتراحين لإدراج بنود جديدة على جدول الأعمال، يتعلق أحدهما بتحليل حق المؤلف المرتبط بالبيئة الرقمية ويتعلق ثانيهما بحق إعادة بيع الإتاوة. ولم يتحقق هدف عقد مؤتمر دبلوماسي وإعداد معاهدة جديدة. وطلبت الدول الأعضاء حذف هذا الهدف من </w:t>
      </w:r>
      <w:r w:rsidR="003C2A9C">
        <w:rPr>
          <w:rFonts w:hint="cs"/>
          <w:sz w:val="34"/>
          <w:szCs w:val="34"/>
          <w:rtl/>
        </w:rPr>
        <w:t>ال</w:t>
      </w:r>
      <w:r w:rsidRPr="009178C3">
        <w:rPr>
          <w:sz w:val="34"/>
          <w:szCs w:val="34"/>
          <w:rtl/>
        </w:rPr>
        <w:t>ثنائية 2016/17.</w:t>
      </w:r>
    </w:p>
    <w:p w:rsidR="009178C3" w:rsidRPr="009178C3" w:rsidRDefault="009178C3" w:rsidP="009178C3">
      <w:pPr>
        <w:pStyle w:val="NormalParaAR"/>
        <w:numPr>
          <w:ilvl w:val="0"/>
          <w:numId w:val="44"/>
        </w:numPr>
        <w:spacing w:after="120" w:line="340" w:lineRule="exact"/>
        <w:ind w:left="0" w:firstLine="0"/>
        <w:rPr>
          <w:sz w:val="34"/>
          <w:szCs w:val="34"/>
          <w:rtl/>
        </w:rPr>
      </w:pPr>
      <w:r w:rsidRPr="009178C3">
        <w:rPr>
          <w:sz w:val="34"/>
          <w:szCs w:val="34"/>
          <w:rtl/>
        </w:rPr>
        <w:lastRenderedPageBreak/>
        <w:t>وفي الثنائية واصلت اللجنة الدائمة المعنية بقانون العلامات التجارية والرسوم والنماذج الصناعية والبيانات الجغرافية العمل من دورتيها الحادية والثلاثين حتى الرابعة والثلاثين على مشروع معاهدة بشأن معاهدة لقانون التصاميم لاعتماده في مؤتمر دبلوماسي. وعولجت مسألة عقد مثل هذا المؤتمر في الجمعية العامة للويبو في دورتها السابعة والأربعين (الدورة الثانية والعشرين العادية) في أكتوبر 2015 حيث اتفقت الجمعية العامة على "عقد مؤتمر دبلوماسي لاعتماد معاهدة لقانون التصاميم بنهاية النصف الأول من 2017 شريطة الانتهاء من المناقشات بشأن المساعدة التقنية والكشف في الدورتين الرابعة والثلاثين والخامسة والثلاثين للجنة الدائمة". وتابعت اللجنة الدائمة عملها لحماية أسماء البلدان واعتمدت وثيقة مرجعية بشأن حماية أسماء البلدان من التسجيل والاستخدام كعلامات تجارية (الوثيقة </w:t>
      </w:r>
      <w:r w:rsidRPr="009178C3">
        <w:rPr>
          <w:sz w:val="34"/>
          <w:szCs w:val="34"/>
        </w:rPr>
        <w:t>WIPO/Strad/INF/7</w:t>
      </w:r>
      <w:r w:rsidRPr="009178C3">
        <w:rPr>
          <w:sz w:val="34"/>
          <w:szCs w:val="34"/>
          <w:rtl/>
        </w:rPr>
        <w:t>). كما عرض عدد من الوفود اقتراحات لعمل اللجنة الدائمة على المؤشرات الجغرافية.</w:t>
      </w:r>
    </w:p>
    <w:p w:rsidR="009178C3" w:rsidRPr="009178C3" w:rsidRDefault="009178C3" w:rsidP="009178C3">
      <w:pPr>
        <w:pStyle w:val="NormalParaAR"/>
        <w:numPr>
          <w:ilvl w:val="0"/>
          <w:numId w:val="44"/>
        </w:numPr>
        <w:spacing w:after="120" w:line="340" w:lineRule="exact"/>
        <w:ind w:left="0" w:firstLine="0"/>
        <w:rPr>
          <w:sz w:val="34"/>
          <w:szCs w:val="34"/>
          <w:rtl/>
        </w:rPr>
      </w:pPr>
      <w:r w:rsidRPr="009178C3">
        <w:rPr>
          <w:sz w:val="34"/>
          <w:szCs w:val="34"/>
          <w:rtl/>
        </w:rPr>
        <w:t>والتقت اللجنة الحكومية الدولية المعنية بالملكية الفكرية والموارد والوراثية والمعارف التقليدية والفولكلور، ثلاث مرات في 2014 (الدورات 26 و27 و28 للجنة الحكومية الدولية) وفقا لولايتها المجددة للثنائية التي اعتمدتها الجمعية العامة للويبو في أكتوبر 2013 وبرنامج عمل متفق عليه لسنة 2014. وشملت اللجنة في دورتها 26 اجتماعا لكبار المسؤولين والسفراء المقيمين في العواصم. وبنهاية الدورة 28، كانت اللجنة قد زادت من تعميم نص متكامل بشأن الموارد الوراثية وأحرزت المزيد من التقدم بشأن النصوص الخاصة بالمعارف التقليدية وأشكال التعبير الثقافي التقليدي. ودفع اجتماعٌ بين الدورات عقدته دولة عضو خارج جنيف في 2014 العمليةَ قدما. وواصلت الأمانة العمل على تأدية دور الميسر الحيادي والمهني والفعال دعما للعملية ولمواصلة تحسين الخدمات المقدمة إلى المشاركين في اللجنة الحكومية الدولية كمتابعة للتقييم الذي أجرته شعبة الرقابة الداخلية في 2013 ولقي نسبة رضا عالية (96 بال</w:t>
      </w:r>
      <w:r w:rsidR="000B5473">
        <w:rPr>
          <w:sz w:val="34"/>
          <w:szCs w:val="34"/>
          <w:rtl/>
        </w:rPr>
        <w:t>مئة</w:t>
      </w:r>
      <w:r w:rsidRPr="009178C3">
        <w:rPr>
          <w:sz w:val="34"/>
          <w:szCs w:val="34"/>
          <w:rtl/>
        </w:rPr>
        <w:t>) لدى المشاركين في اللجنة. وإن كانت الأمانة قد واصلت تيسير مشاركة المجتمعات الأصلية والمحلية في عملية اللجنة بقد المستطاع، فقد ظل صندوق الويبو للتبرعات لفائدة المجتمعات الأصلية والمحلية المعتمدة خاوياً. وبينما نظرت الجمعية العامة للويبو في أكتوبر 2014 في النصوص والتقدم المحرز، إلا أنها لم تكن في وضع يسمح لها بالقبول على برنامج عمل اللجنة لعام 2015. ووافقت الجمعية العامة للويبو في أكتوبر 2015 على تجديد ولاية اللجنة للثنائية 2016/17.</w:t>
      </w:r>
    </w:p>
    <w:p w:rsidR="009178C3" w:rsidRPr="009178C3" w:rsidRDefault="009178C3" w:rsidP="009178C3">
      <w:pPr>
        <w:pStyle w:val="NormalParaAR"/>
        <w:numPr>
          <w:ilvl w:val="0"/>
          <w:numId w:val="44"/>
        </w:numPr>
        <w:spacing w:after="120" w:line="340" w:lineRule="exact"/>
        <w:ind w:left="0" w:firstLine="0"/>
        <w:rPr>
          <w:sz w:val="34"/>
          <w:szCs w:val="34"/>
        </w:rPr>
      </w:pPr>
      <w:r w:rsidRPr="009178C3">
        <w:rPr>
          <w:sz w:val="34"/>
          <w:szCs w:val="34"/>
          <w:rtl/>
        </w:rPr>
        <w:t>وبغية تعزيز التعاون بين الدول الأعضاء بشأن مواصلة وضع أطر سياسية ومعيارية متوازنة من أجل نظام البراءات الدولي، عُقدت الدورات العشرين والحادية والعشرين والثانية والعشرين والثالثة والعشرين للجنة الدائمة المعنية بقانون البراءات (اللجنة الدائمة) في يناير ونوفمبر 2014 ويوليه وديسمبر 2015 على التوالي. وواصلت اللجنة الدائمة النظر في خمسة بنود مطروحة على جدول أعمالها، وهي: "1" الاستثناءات والتقييدات على الحقوق المُكتسبة بموجب براءة؛ "2" وجودة البراءات، بما في ذلك أنظمة الاعتراض؛ "3" والبراءات والصحة؛ "4" وسرية التواصل بين مستشاري البراءات وموكليهم؛ "5" ونقل التكنولوجيا.</w:t>
      </w:r>
    </w:p>
    <w:p w:rsidR="009178C3" w:rsidRPr="009178C3" w:rsidRDefault="009178C3" w:rsidP="009178C3">
      <w:pPr>
        <w:pStyle w:val="NormalParaAR"/>
        <w:keepNext/>
        <w:spacing w:after="120" w:line="340" w:lineRule="exact"/>
        <w:jc w:val="center"/>
        <w:rPr>
          <w:b/>
          <w:bCs/>
          <w:sz w:val="34"/>
          <w:szCs w:val="34"/>
        </w:rPr>
      </w:pPr>
      <w:r w:rsidRPr="009178C3">
        <w:rPr>
          <w:b/>
          <w:bCs/>
          <w:sz w:val="34"/>
          <w:szCs w:val="34"/>
          <w:rtl/>
        </w:rPr>
        <w:t>الهدف الاستراتيجي الثاني: تقديم خدمات عالمية في مجال الملكية الفكرية من الطراز الأول</w:t>
      </w:r>
    </w:p>
    <w:p w:rsidR="009178C3" w:rsidRPr="009178C3" w:rsidRDefault="005D6A45" w:rsidP="009178C3">
      <w:pPr>
        <w:tabs>
          <w:tab w:val="left" w:pos="1132"/>
        </w:tabs>
        <w:bidi/>
        <w:spacing w:after="120"/>
        <w:jc w:val="center"/>
        <w:rPr>
          <w:rFonts w:ascii="Arabic Typesetting" w:hAnsi="Arabic Typesetting" w:cs="Arabic Typesetting"/>
          <w:b/>
          <w:bCs/>
          <w:sz w:val="34"/>
          <w:szCs w:val="34"/>
          <w:rtl/>
        </w:rPr>
      </w:pPr>
      <w:r>
        <w:rPr>
          <w:rFonts w:ascii="Arabic Typesetting" w:hAnsi="Arabic Typesetting" w:cs="Arabic Typesetting"/>
          <w:b/>
          <w:bCs/>
          <w:noProof/>
          <w:sz w:val="34"/>
          <w:szCs w:val="34"/>
        </w:rPr>
        <w:drawing>
          <wp:inline distT="0" distB="0" distL="0" distR="0" wp14:anchorId="4D10151E">
            <wp:extent cx="5167266" cy="2579698"/>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69842" cy="2580984"/>
                    </a:xfrm>
                    <a:prstGeom prst="rect">
                      <a:avLst/>
                    </a:prstGeom>
                    <a:noFill/>
                  </pic:spPr>
                </pic:pic>
              </a:graphicData>
            </a:graphic>
          </wp:inline>
        </w:drawing>
      </w:r>
    </w:p>
    <w:p w:rsidR="009178C3" w:rsidRPr="009178C3" w:rsidRDefault="009178C3" w:rsidP="00601E38">
      <w:pPr>
        <w:pStyle w:val="NormalParaAR"/>
        <w:keepNext/>
        <w:spacing w:after="120" w:line="340" w:lineRule="exact"/>
        <w:jc w:val="center"/>
        <w:rPr>
          <w:b/>
          <w:bCs/>
          <w:sz w:val="34"/>
          <w:szCs w:val="34"/>
        </w:rPr>
      </w:pPr>
      <w:r w:rsidRPr="009178C3">
        <w:rPr>
          <w:b/>
          <w:bCs/>
          <w:sz w:val="34"/>
          <w:szCs w:val="34"/>
          <w:rtl/>
        </w:rPr>
        <w:lastRenderedPageBreak/>
        <w:t>موجز الإنجازات بحسب النتيجة المرتقبة</w:t>
      </w:r>
    </w:p>
    <w:p w:rsidR="009178C3" w:rsidRPr="009178C3" w:rsidRDefault="00A601E3" w:rsidP="009178C3">
      <w:pPr>
        <w:tabs>
          <w:tab w:val="left" w:pos="1132"/>
        </w:tabs>
        <w:bidi/>
        <w:spacing w:after="120"/>
        <w:jc w:val="center"/>
        <w:rPr>
          <w:rFonts w:ascii="Arabic Typesetting" w:hAnsi="Arabic Typesetting" w:cs="Arabic Typesetting"/>
          <w:b/>
          <w:bCs/>
          <w:sz w:val="34"/>
          <w:szCs w:val="34"/>
        </w:rPr>
      </w:pPr>
      <w:r>
        <w:rPr>
          <w:rFonts w:ascii="Arabic Typesetting" w:hAnsi="Arabic Typesetting" w:cs="Arabic Typesetting"/>
          <w:b/>
          <w:bCs/>
          <w:noProof/>
          <w:sz w:val="34"/>
          <w:szCs w:val="34"/>
        </w:rPr>
        <w:drawing>
          <wp:inline distT="0" distB="0" distL="0" distR="0" wp14:anchorId="04937355">
            <wp:extent cx="5833362" cy="273367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52977" cy="2742867"/>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شهدت الثنائية نموا معتبرا في نظم التسجيل الدولي للعام الخامس والسادس على التوالي، على الرغم من استمرار هشاشة الاقتصاد </w:t>
      </w:r>
      <w:r w:rsidRPr="009178C3">
        <w:rPr>
          <w:sz w:val="34"/>
          <w:szCs w:val="34"/>
          <w:rtl/>
        </w:rPr>
        <w:t>العالمي</w:t>
      </w:r>
      <w:r w:rsidRPr="009178C3">
        <w:rPr>
          <w:sz w:val="34"/>
          <w:szCs w:val="34"/>
          <w:rtl/>
          <w:lang w:bidi="ar-EG"/>
        </w:rPr>
        <w:t>.</w:t>
      </w:r>
    </w:p>
    <w:p w:rsidR="009178C3" w:rsidRPr="009178C3" w:rsidRDefault="009178C3" w:rsidP="000B5473">
      <w:pPr>
        <w:pStyle w:val="NormalParaAR"/>
        <w:numPr>
          <w:ilvl w:val="0"/>
          <w:numId w:val="44"/>
        </w:numPr>
        <w:spacing w:after="120" w:line="340" w:lineRule="exact"/>
        <w:ind w:left="0" w:firstLine="0"/>
        <w:rPr>
          <w:sz w:val="34"/>
          <w:szCs w:val="34"/>
          <w:rtl/>
          <w:lang w:bidi="ar-EG"/>
        </w:rPr>
      </w:pPr>
      <w:r w:rsidRPr="009178C3">
        <w:rPr>
          <w:sz w:val="34"/>
          <w:szCs w:val="34"/>
          <w:rtl/>
          <w:lang w:bidi="ar-EG"/>
        </w:rPr>
        <w:t>وظل النمو في الإيداعات الدولية للبراءات بموجب معاهدة التعاون بشأن البراءات قويا في عام 2014 إذ بلغ مجموع الطلبات 214500، مما يمثل زيادة بنسبة 4.5% مقارنةً بعام 2013، وفي 2015 إذ بلغ مجموع الطلبات 218000 طلب ما يمثل زيادة بنسبة 1.7% عن عام 2014. وسجل عام 2015 رقما قياسيا جديدا في إيداعات البراءات. وكان في طليعة نشاط إيداع طلبات البراءة دوليا في عامي الثنائية ثلاث شركات اتصالات عملاقة من الصين والولايات المتحدة الأمريكية.</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وواصل الفريق العامل المعني بمعاهدة البراءات في دورتيه السابعة والثامنة المنعقدتين في 2014 و2015 مناقشاته بشأن عدد من المقترحات </w:t>
      </w:r>
      <w:r w:rsidRPr="009178C3">
        <w:rPr>
          <w:sz w:val="34"/>
          <w:szCs w:val="34"/>
          <w:rtl/>
        </w:rPr>
        <w:t>الرامية</w:t>
      </w:r>
      <w:r w:rsidRPr="009178C3">
        <w:rPr>
          <w:sz w:val="34"/>
          <w:szCs w:val="34"/>
          <w:rtl/>
          <w:lang w:bidi="ar-EG"/>
        </w:rPr>
        <w:t xml:space="preserve"> إلى تطوير نظام المعاهدة في المستقبل، وذلك تمشيا مع توصيات جدول أعمال التنمية – خاصة</w:t>
      </w:r>
      <w:r w:rsidRPr="009178C3">
        <w:rPr>
          <w:sz w:val="34"/>
          <w:szCs w:val="34"/>
          <w:lang w:bidi="ar-EG"/>
        </w:rPr>
        <w:t xml:space="preserve"> </w:t>
      </w:r>
      <w:r w:rsidRPr="009178C3">
        <w:rPr>
          <w:sz w:val="34"/>
          <w:szCs w:val="34"/>
          <w:rtl/>
          <w:lang w:bidi="ar-EG"/>
        </w:rPr>
        <w:t>الفئتين أ و ج التي أقرها الفريق في دورته الثالثة. وشملت إنجازات عام 2014 تحديدا "1" الاتفاق على معايير جديدة بشأن أهلية استفادة المودعين من بعض البلدان من تخفيضات الرسوم، مما زاد من عدد البلدان النامية والبلدان الأقل نموا المستفيدة من تلك التخفيضات، و"2" إجراء معدل لتعيين إدارات البحث الدولي وإدارات الفحص التمهيدي الدولي للمساعدة في التأكد من أن الإدارات المحتملة تتمتع بالبنى التحتية والموارد اللازمة لأداء هذا الدور. ومن أهم إنجازات 2015 "1" الاتفاق على إرسال نتائج البحث والتصنيف الخاصة بالطلبات السابقة إلى إدارات البحث الدولي لتحقيق مزيد من الفعالية والمساهمة في رفع الجودة في البحث الدولي "2" والاتفاق على مطالبة المكاتب المعينة بإرسال المعلومات في الوقت اللازم إلى المكتب الدولي بشأن الطلبات في المرحلة الوطنية، وذلك من شأنه أن يحسن بشدة المعلومات بشأن حقوق البراءة الوطنية المعلقة والممنوحة. ومن جهة أخرى عرض المكتب الدولي بعض التقديرات عن مدى استجابة إيداعات معاهدة التعاون بشأن البراءات لما يحدث من تغير في رسم الإيداع الدولي وعرض محاكاة عن أثر الخفض المحتمل للرسم على الجامعات ومنظمات البحث العام في البلدان المتقدمة والنامية.</w:t>
      </w:r>
    </w:p>
    <w:p w:rsidR="009178C3" w:rsidRPr="009178C3" w:rsidRDefault="009178C3" w:rsidP="000B547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وزاد استخدام نظام مدريد في 2014 بنسبة 2.3% مقارنة بعام 2013، وبلغ إجمالي الطلبات المقدمة </w:t>
      </w:r>
      <w:r w:rsidR="000B5473">
        <w:rPr>
          <w:rFonts w:hint="cs"/>
          <w:sz w:val="34"/>
          <w:szCs w:val="34"/>
          <w:rtl/>
          <w:lang w:bidi="ar-EG"/>
        </w:rPr>
        <w:t>885 47</w:t>
      </w:r>
      <w:r w:rsidRPr="009178C3">
        <w:rPr>
          <w:sz w:val="34"/>
          <w:szCs w:val="34"/>
          <w:rtl/>
          <w:lang w:bidi="ar-EG"/>
        </w:rPr>
        <w:t xml:space="preserve"> طلبا. وفي 2014، تجاوزت الولايات المتحدة الأمريكية ألمانيا وأصبحت أكبر مستخدم لنظام مدريد، مما يبرز التحول الجغرافي للنظام. وفي 2015، أودع 273</w:t>
      </w:r>
      <w:r w:rsidR="000B5473">
        <w:rPr>
          <w:rFonts w:hint="cs"/>
          <w:sz w:val="34"/>
          <w:szCs w:val="34"/>
          <w:rtl/>
          <w:lang w:bidi="ar-EG"/>
        </w:rPr>
        <w:t> </w:t>
      </w:r>
      <w:r w:rsidR="000B5473" w:rsidRPr="009178C3">
        <w:rPr>
          <w:sz w:val="34"/>
          <w:szCs w:val="34"/>
          <w:rtl/>
          <w:lang w:bidi="ar-EG"/>
        </w:rPr>
        <w:t>49</w:t>
      </w:r>
      <w:r w:rsidRPr="009178C3">
        <w:rPr>
          <w:sz w:val="34"/>
          <w:szCs w:val="34"/>
          <w:rtl/>
          <w:lang w:bidi="ar-EG"/>
        </w:rPr>
        <w:t xml:space="preserve"> طلبا مما يمثل نسبة نمو قدرها 2.9 بال</w:t>
      </w:r>
      <w:r w:rsidR="000B5473">
        <w:rPr>
          <w:sz w:val="34"/>
          <w:szCs w:val="34"/>
          <w:rtl/>
          <w:lang w:bidi="ar-EG"/>
        </w:rPr>
        <w:t>مئة</w:t>
      </w:r>
      <w:r w:rsidRPr="009178C3">
        <w:rPr>
          <w:sz w:val="34"/>
          <w:szCs w:val="34"/>
          <w:rtl/>
          <w:lang w:bidi="ar-EG"/>
        </w:rPr>
        <w:t xml:space="preserve"> عن عام 2014. ويشكل ذلك نموا صحيا في الثنائية لاسيما وأن نظام مدريد ازدادت كلفته على المودعين في عدد من أهم البلدان المودعة بعد الارتفاع الشديد في سعر الفرنك السويسري في 2015. وشهد التوسع الجغرافي للنظام أيضاً تطورات إيجابية مهمة في الثنائية، حيث انضمت في 2014 زيمبابوي </w:t>
      </w:r>
      <w:r w:rsidRPr="009178C3">
        <w:rPr>
          <w:i/>
          <w:iCs/>
          <w:sz w:val="34"/>
          <w:szCs w:val="34"/>
          <w:rtl/>
          <w:lang w:bidi="ar-EG"/>
        </w:rPr>
        <w:t>والمنظمة الأفريقية للملكية الفكرية</w:t>
      </w:r>
      <w:r w:rsidRPr="009178C3">
        <w:rPr>
          <w:sz w:val="34"/>
          <w:szCs w:val="34"/>
          <w:rtl/>
          <w:lang w:bidi="ar-EG"/>
        </w:rPr>
        <w:t xml:space="preserve"> إلى بروتوكول مدريد. وبما أن المنظمة الأفريقية للملكية الفكرية منظمة حكومية دولية تضم في عضويتها 17 بلداً، فقد أدت حالتا الانضمام هاتان وحدهما إلى زيادة عدد البلدان التي يستطيع المستخدمون </w:t>
      </w:r>
      <w:r w:rsidRPr="009178C3">
        <w:rPr>
          <w:sz w:val="34"/>
          <w:szCs w:val="34"/>
          <w:rtl/>
        </w:rPr>
        <w:t>فيها</w:t>
      </w:r>
      <w:r w:rsidRPr="009178C3">
        <w:rPr>
          <w:sz w:val="34"/>
          <w:szCs w:val="34"/>
          <w:rtl/>
          <w:lang w:bidi="ar-EG"/>
        </w:rPr>
        <w:t xml:space="preserve"> حماية علاماتهم التجارية وإدارتها مركزياً باستخدام نظام مدريد من 94 إلى 110 في 2014 فقط. وفي 2015، انضمت الجزائر وكمبوديا وغامبيا وجمهورية لاو الديمقراطية الشعبية أيضا إلى البروتوكول ليرتفع إجمالي عدد الأطراف المتعاقدة بنهاية الثنائية إلى 97 وتغطي 113 بلدا. وبما أن الجزائر كانت آخر </w:t>
      </w:r>
      <w:r w:rsidRPr="009178C3">
        <w:rPr>
          <w:sz w:val="34"/>
          <w:szCs w:val="34"/>
          <w:rtl/>
          <w:lang w:bidi="ar-EG"/>
        </w:rPr>
        <w:lastRenderedPageBreak/>
        <w:t>طرف متعاقد في اتحاد مدريد ينضم إلى اتفاق مدريد فقط، أصبح نظام مدريد يعمل الآن كنظام قائم على معاهدة واحدة لأغراض عملية.</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وشهد نظام لاهاي نموا جيدا في 2014/15. فقد أصبحت جمهورية كوريا في 2014 طرفا في وثيقة جنيف (1999) لاتفاق لاهاي بشأن التسجيل الدولي للرسوم والنماذج الصناعية (والمشار إليها فيما يلي باسم "وثيقة 1999") وأصبحت اليابان وتركمانستان والولايات المتحدة الأمريكية طرفا فيها. ورفع هذا الانضمام عدد الأطراف المتعاقدة في هذه الوثيقة إلى 50 طرفا. وصحيح أن العدد لايزال أقل من الهدف، إلا أن موجة الانضمام خاصة انضمام جمهورية كوريا والولايات المتحدة الأمريكية واليابان، وهي الولايات</w:t>
      </w:r>
      <w:r w:rsidRPr="009178C3">
        <w:rPr>
          <w:sz w:val="34"/>
          <w:szCs w:val="34"/>
          <w:lang w:bidi="ar-EG"/>
        </w:rPr>
        <w:t xml:space="preserve"> </w:t>
      </w:r>
      <w:r w:rsidRPr="009178C3">
        <w:rPr>
          <w:sz w:val="34"/>
          <w:szCs w:val="34"/>
          <w:rtl/>
          <w:lang w:bidi="ar-EG"/>
        </w:rPr>
        <w:t>القضائية الثالثة والرابعة والخامسة على التوالي عالميا في إيداعات التصاميم، قد زاد بشدة من جاذبية نظام لاهاي. وبالتالي زادت الطلبات الدولية بأكثر من 40 بال</w:t>
      </w:r>
      <w:r w:rsidR="000B5473">
        <w:rPr>
          <w:sz w:val="34"/>
          <w:szCs w:val="34"/>
          <w:rtl/>
          <w:lang w:bidi="ar-EG"/>
        </w:rPr>
        <w:t>مئة</w:t>
      </w:r>
      <w:r w:rsidRPr="009178C3">
        <w:rPr>
          <w:sz w:val="34"/>
          <w:szCs w:val="34"/>
          <w:rtl/>
          <w:lang w:bidi="ar-EG"/>
        </w:rPr>
        <w:t xml:space="preserve"> في 2015، وهو رقم يتجاوز بشدة الزيادة المتوقعة مقارنة بعام 2014. وظهرت مؤشراتٌ قوية على اهتمام أطراف متعاقدة محتملة بالانضمام بنهاية الثنائية كنتيجة أخرى لهذ التوسع بما في ذلك البلدان الملتزمة بوثائق أقدم. وفي هذا الصدد في نهاية 2015، كان لا يزال يلزم وجود موافقتين من أجل إنهاء وثيقة 1934، وظلت أربعة أطراف متعاقدة من خارج الاتحاد الأوروبي </w:t>
      </w:r>
      <w:r w:rsidRPr="009178C3">
        <w:rPr>
          <w:i/>
          <w:iCs/>
          <w:sz w:val="34"/>
          <w:szCs w:val="34"/>
          <w:rtl/>
          <w:lang w:bidi="ar-EG"/>
        </w:rPr>
        <w:t>والمنظمة الأفريقية للملكية الفكرية</w:t>
      </w:r>
      <w:r w:rsidRPr="009178C3">
        <w:rPr>
          <w:sz w:val="34"/>
          <w:szCs w:val="34"/>
          <w:rtl/>
          <w:lang w:bidi="ar-EG"/>
        </w:rPr>
        <w:t xml:space="preserve"> ملزمةً بوثيقة 1960 فقط.</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وكلفت جمعية اتحاد لشبونة في سنة 2009 الفريق العامل المعني بتطوير نظام لشبونة بإجراء استعراض شامل لنظام لشبونة بهدف جعل النظام أكثر جاذبية للمستخدمين والأعضاء الجدد المحتملين مع الحفاظ على مبادئه وأهدافه. ونظرا إلى ما أحرزه الفريق العامل من تقدم، وافقت الجمعية في 2013 على عقد مؤتمر دبلوماسي لاعتماد اتفاق لشبونة المراجع بشأن تسميات المنشأ </w:t>
      </w:r>
      <w:r w:rsidRPr="009178C3">
        <w:rPr>
          <w:sz w:val="34"/>
          <w:szCs w:val="34"/>
          <w:rtl/>
        </w:rPr>
        <w:t>والبيانات</w:t>
      </w:r>
      <w:r w:rsidRPr="009178C3">
        <w:rPr>
          <w:sz w:val="34"/>
          <w:szCs w:val="34"/>
          <w:rtl/>
          <w:lang w:bidi="ar-EG"/>
        </w:rPr>
        <w:t xml:space="preserve"> الجغرافية في سنة 2015. وفي أكتوبر 2014، أنهى الفريق العامل عمله التحضيري. ومن 11 إلى 21 مايو 2015 انعقد المؤتمر الدبلوماسي لاعتماد وثيقة جديدة لاتفاق لشبونة في جنيف واعتمدت في 20 مايو وثيقة جنيف لاتفاق لشبونة بشأن تسميات المنشأ والبيانات الجغرافية.</w:t>
      </w:r>
    </w:p>
    <w:p w:rsidR="009178C3" w:rsidRPr="009178C3" w:rsidRDefault="009178C3" w:rsidP="000B5473">
      <w:pPr>
        <w:pStyle w:val="NormalParaAR"/>
        <w:numPr>
          <w:ilvl w:val="0"/>
          <w:numId w:val="44"/>
        </w:numPr>
        <w:spacing w:after="120" w:line="340" w:lineRule="exact"/>
        <w:ind w:left="0" w:firstLine="0"/>
        <w:rPr>
          <w:b/>
          <w:bCs/>
          <w:sz w:val="34"/>
          <w:szCs w:val="34"/>
          <w:lang w:bidi="ar-EG"/>
        </w:rPr>
      </w:pPr>
      <w:r w:rsidRPr="009178C3">
        <w:rPr>
          <w:sz w:val="34"/>
          <w:szCs w:val="34"/>
          <w:rtl/>
          <w:lang w:bidi="ar-EG"/>
        </w:rPr>
        <w:t xml:space="preserve">وبناء على </w:t>
      </w:r>
      <w:r w:rsidRPr="009178C3">
        <w:rPr>
          <w:sz w:val="34"/>
          <w:szCs w:val="34"/>
          <w:rtl/>
        </w:rPr>
        <w:t>نتائج</w:t>
      </w:r>
      <w:r w:rsidRPr="009178C3">
        <w:rPr>
          <w:sz w:val="34"/>
          <w:szCs w:val="34"/>
          <w:rtl/>
          <w:lang w:bidi="ar-EG"/>
        </w:rPr>
        <w:t xml:space="preserve"> الدراسة الاستقصائية الدولية التي أجراها مركز الويبو في 2013 بشأن تسوية المنازعات في المعاملات الدولية للتكنولوجيا، عمل مركز الويبو في 2014/15 للوصول بإجراءاته إلى المستوى الأمثل لتلبية احتياجات أصحاب حقوق الملكية الفكرية والمنتفعين بها. وشهدت سنة 2014 الذكرى السنوية الخامسة عشرة لسياسة الويبو الموحدة لتسوية المنازعات المتعلقة بأسماء الحقول (السياسة الموحدة). ومنذ أن أدار مركز الويبو أول قضية في إطار السياسة الموحدة في 1999، تجاوز مجموع القضايا المعروضة على الويبو ما عدده </w:t>
      </w:r>
      <w:r w:rsidR="006F0AFD">
        <w:rPr>
          <w:rFonts w:hint="cs"/>
          <w:sz w:val="34"/>
          <w:szCs w:val="34"/>
          <w:rtl/>
          <w:lang w:bidi="ar-EG"/>
        </w:rPr>
        <w:t>000 33</w:t>
      </w:r>
      <w:r w:rsidR="006F0AFD" w:rsidRPr="006F0AFD">
        <w:rPr>
          <w:rStyle w:val="FootnoteReference"/>
          <w:sz w:val="28"/>
          <w:szCs w:val="28"/>
          <w:rtl/>
          <w:lang w:bidi="ar-EG"/>
        </w:rPr>
        <w:footnoteReference w:id="3"/>
      </w:r>
      <w:r w:rsidRPr="009178C3">
        <w:rPr>
          <w:sz w:val="34"/>
          <w:szCs w:val="34"/>
          <w:rtl/>
          <w:lang w:bidi="ar-EG"/>
        </w:rPr>
        <w:t xml:space="preserve"> علامة ويشمل ذلك أكثر من </w:t>
      </w:r>
      <w:r w:rsidR="006F0AFD">
        <w:rPr>
          <w:rFonts w:hint="cs"/>
          <w:sz w:val="34"/>
          <w:szCs w:val="34"/>
          <w:rtl/>
          <w:lang w:bidi="ar-EG"/>
        </w:rPr>
        <w:t xml:space="preserve">000 61 </w:t>
      </w:r>
      <w:r w:rsidRPr="009178C3">
        <w:rPr>
          <w:sz w:val="34"/>
          <w:szCs w:val="34"/>
          <w:rtl/>
          <w:lang w:bidi="ar-EG"/>
        </w:rPr>
        <w:t xml:space="preserve">اسم حقل. وفي 2014، ارتفعت قضايا السطو الإلكتروني التي أودعها أصحاب العلامات التجارية لادعاء تعدي على علامتهم لدى </w:t>
      </w:r>
      <w:r w:rsidRPr="009178C3">
        <w:rPr>
          <w:sz w:val="34"/>
          <w:szCs w:val="34"/>
          <w:rtl/>
        </w:rPr>
        <w:t>الويبو</w:t>
      </w:r>
      <w:r w:rsidRPr="009178C3">
        <w:rPr>
          <w:sz w:val="34"/>
          <w:szCs w:val="34"/>
          <w:rtl/>
          <w:lang w:bidi="ar-EG"/>
        </w:rPr>
        <w:t xml:space="preserve"> بنسبة 1.9 </w:t>
      </w:r>
      <w:r w:rsidR="000B5473">
        <w:rPr>
          <w:sz w:val="34"/>
          <w:szCs w:val="34"/>
          <w:rtl/>
          <w:lang w:bidi="ar-EG"/>
        </w:rPr>
        <w:t>بالمئة</w:t>
      </w:r>
      <w:r w:rsidRPr="009178C3">
        <w:rPr>
          <w:sz w:val="34"/>
          <w:szCs w:val="34"/>
          <w:rtl/>
          <w:lang w:bidi="ar-EG"/>
        </w:rPr>
        <w:t xml:space="preserve"> عن عام 2013 وسجلت زيادة قدرها 4.6 بال</w:t>
      </w:r>
      <w:r w:rsidR="000B5473">
        <w:rPr>
          <w:sz w:val="34"/>
          <w:szCs w:val="34"/>
          <w:rtl/>
          <w:lang w:bidi="ar-EG"/>
        </w:rPr>
        <w:t>مئة</w:t>
      </w:r>
      <w:r w:rsidRPr="009178C3">
        <w:rPr>
          <w:sz w:val="34"/>
          <w:szCs w:val="34"/>
          <w:rtl/>
          <w:lang w:bidi="ar-EG"/>
        </w:rPr>
        <w:t xml:space="preserve"> في 2015 مقارنة بعام 2014. وتشمل تلك القضايا أول حالات السياسة الموحدة فيما يتعلق بالتسجيلات في الحقول العليا الجديدة المكونة من أسماء عامة التي مثلت 6.8% من أسماء الحقول المتنازع عليها في 2014/15. وشملت حالات السياسة الموحدة للويبو أطرافا من 108 </w:t>
      </w:r>
      <w:r w:rsidR="000B5473">
        <w:rPr>
          <w:rFonts w:hint="cs"/>
          <w:sz w:val="34"/>
          <w:szCs w:val="34"/>
          <w:rtl/>
          <w:lang w:bidi="ar-EG"/>
        </w:rPr>
        <w:t>بلدان</w:t>
      </w:r>
      <w:r w:rsidRPr="009178C3">
        <w:rPr>
          <w:sz w:val="34"/>
          <w:szCs w:val="34"/>
          <w:rtl/>
          <w:lang w:bidi="ar-EG"/>
        </w:rPr>
        <w:t xml:space="preserve"> في 2014 و113 بلدا في 2015. ومن بين أكبر خمسة مستخدمين في الثنائية شهدت الولايات المتحدة الأمريكية أعلى معدل نمو في الحالات المودعة (14.3 بال</w:t>
      </w:r>
      <w:r w:rsidR="000B5473">
        <w:rPr>
          <w:sz w:val="34"/>
          <w:szCs w:val="34"/>
          <w:rtl/>
          <w:lang w:bidi="ar-EG"/>
        </w:rPr>
        <w:t>مئة</w:t>
      </w:r>
      <w:r w:rsidRPr="009178C3">
        <w:rPr>
          <w:sz w:val="34"/>
          <w:szCs w:val="34"/>
          <w:rtl/>
          <w:lang w:bidi="ar-EG"/>
        </w:rPr>
        <w:t>) في 2014 وألمانيا (43.6 بال</w:t>
      </w:r>
      <w:r w:rsidR="000B5473">
        <w:rPr>
          <w:sz w:val="34"/>
          <w:szCs w:val="34"/>
          <w:rtl/>
          <w:lang w:bidi="ar-EG"/>
        </w:rPr>
        <w:t>مئة</w:t>
      </w:r>
      <w:r w:rsidRPr="009178C3">
        <w:rPr>
          <w:sz w:val="34"/>
          <w:szCs w:val="34"/>
          <w:rtl/>
          <w:lang w:bidi="ar-EG"/>
        </w:rPr>
        <w:t>) في 2015. وأهم ثلاثة قطاعات لأنشطة الشكاوى هي: التجزئة (13 بال</w:t>
      </w:r>
      <w:r w:rsidR="000B5473">
        <w:rPr>
          <w:sz w:val="34"/>
          <w:szCs w:val="34"/>
          <w:rtl/>
          <w:lang w:bidi="ar-EG"/>
        </w:rPr>
        <w:t>مئة</w:t>
      </w:r>
      <w:r w:rsidRPr="009178C3">
        <w:rPr>
          <w:sz w:val="34"/>
          <w:szCs w:val="34"/>
          <w:rtl/>
          <w:lang w:bidi="ar-EG"/>
        </w:rPr>
        <w:t>) والصرافة والمالية (11 بال</w:t>
      </w:r>
      <w:r w:rsidR="000B5473">
        <w:rPr>
          <w:sz w:val="34"/>
          <w:szCs w:val="34"/>
          <w:rtl/>
          <w:lang w:bidi="ar-EG"/>
        </w:rPr>
        <w:t>مئة</w:t>
      </w:r>
      <w:r w:rsidRPr="009178C3">
        <w:rPr>
          <w:sz w:val="34"/>
          <w:szCs w:val="34"/>
          <w:rtl/>
          <w:lang w:bidi="ar-EG"/>
        </w:rPr>
        <w:t>) والأزياء (10 بال</w:t>
      </w:r>
      <w:r w:rsidR="000B5473">
        <w:rPr>
          <w:sz w:val="34"/>
          <w:szCs w:val="34"/>
          <w:rtl/>
          <w:lang w:bidi="ar-EG"/>
        </w:rPr>
        <w:t>مئة</w:t>
      </w:r>
      <w:r w:rsidRPr="009178C3">
        <w:rPr>
          <w:sz w:val="34"/>
          <w:szCs w:val="34"/>
          <w:rtl/>
          <w:lang w:bidi="ar-EG"/>
        </w:rPr>
        <w:t>) في 2014 والصرافة والمالية (تسعة بال</w:t>
      </w:r>
      <w:r w:rsidR="000B5473">
        <w:rPr>
          <w:sz w:val="34"/>
          <w:szCs w:val="34"/>
          <w:rtl/>
          <w:lang w:bidi="ar-EG"/>
        </w:rPr>
        <w:t>مئة</w:t>
      </w:r>
      <w:r w:rsidRPr="009178C3">
        <w:rPr>
          <w:sz w:val="34"/>
          <w:szCs w:val="34"/>
          <w:rtl/>
          <w:lang w:bidi="ar-EG"/>
        </w:rPr>
        <w:t>) والإنترنت وتكنولوجيا المعلومات (تسعة بال</w:t>
      </w:r>
      <w:r w:rsidR="000B5473">
        <w:rPr>
          <w:sz w:val="34"/>
          <w:szCs w:val="34"/>
          <w:rtl/>
          <w:lang w:bidi="ar-EG"/>
        </w:rPr>
        <w:t>مئة</w:t>
      </w:r>
      <w:r w:rsidRPr="009178C3">
        <w:rPr>
          <w:sz w:val="34"/>
          <w:szCs w:val="34"/>
          <w:rtl/>
          <w:lang w:bidi="ar-EG"/>
        </w:rPr>
        <w:t>) في 2015.</w:t>
      </w:r>
    </w:p>
    <w:p w:rsidR="009178C3" w:rsidRPr="009178C3" w:rsidRDefault="009178C3" w:rsidP="00993033">
      <w:pPr>
        <w:pStyle w:val="NormalParaAR"/>
        <w:keepNext/>
        <w:spacing w:after="120" w:line="340" w:lineRule="exact"/>
        <w:jc w:val="center"/>
        <w:rPr>
          <w:b/>
          <w:bCs/>
          <w:sz w:val="34"/>
          <w:szCs w:val="34"/>
          <w:rtl/>
          <w:lang w:bidi="ar-EG"/>
        </w:rPr>
      </w:pPr>
      <w:r w:rsidRPr="009178C3">
        <w:rPr>
          <w:b/>
          <w:bCs/>
          <w:sz w:val="34"/>
          <w:szCs w:val="34"/>
          <w:rtl/>
          <w:lang w:bidi="ar-EG"/>
        </w:rPr>
        <w:lastRenderedPageBreak/>
        <w:t>الهدف الاستراتيجي الثالث: تسهيل الانتفاع بالملكية الفكرية في سبيل التنمية</w:t>
      </w:r>
    </w:p>
    <w:p w:rsidR="009178C3" w:rsidRPr="009178C3" w:rsidRDefault="00993033" w:rsidP="009178C3">
      <w:pPr>
        <w:tabs>
          <w:tab w:val="left" w:pos="1132"/>
        </w:tabs>
        <w:bidi/>
        <w:spacing w:after="120"/>
        <w:jc w:val="center"/>
        <w:rPr>
          <w:rFonts w:ascii="Arabic Typesetting" w:hAnsi="Arabic Typesetting" w:cs="Arabic Typesetting"/>
          <w:b/>
          <w:bCs/>
          <w:sz w:val="34"/>
          <w:szCs w:val="34"/>
          <w:rtl/>
          <w:lang w:bidi="ar-EG"/>
        </w:rPr>
      </w:pPr>
      <w:r>
        <w:rPr>
          <w:rFonts w:ascii="Arabic Typesetting" w:hAnsi="Arabic Typesetting" w:cs="Arabic Typesetting"/>
          <w:b/>
          <w:bCs/>
          <w:noProof/>
          <w:sz w:val="34"/>
          <w:szCs w:val="34"/>
        </w:rPr>
        <w:drawing>
          <wp:inline distT="0" distB="0" distL="0" distR="0" wp14:anchorId="071512E9">
            <wp:extent cx="4904386" cy="2463422"/>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15273" cy="2468890"/>
                    </a:xfrm>
                    <a:prstGeom prst="rect">
                      <a:avLst/>
                    </a:prstGeom>
                    <a:noFill/>
                  </pic:spPr>
                </pic:pic>
              </a:graphicData>
            </a:graphic>
          </wp:inline>
        </w:drawing>
      </w:r>
    </w:p>
    <w:p w:rsidR="009178C3" w:rsidRPr="009178C3" w:rsidRDefault="009178C3" w:rsidP="009178C3">
      <w:pPr>
        <w:pStyle w:val="NormalParaAR"/>
        <w:keepNext/>
        <w:spacing w:after="120" w:line="340" w:lineRule="exact"/>
        <w:jc w:val="center"/>
        <w:rPr>
          <w:b/>
          <w:bCs/>
          <w:sz w:val="34"/>
          <w:szCs w:val="34"/>
          <w:rtl/>
          <w:lang w:bidi="ar-EG"/>
        </w:rPr>
      </w:pPr>
      <w:r w:rsidRPr="009178C3">
        <w:rPr>
          <w:b/>
          <w:bCs/>
          <w:sz w:val="34"/>
          <w:szCs w:val="34"/>
          <w:rtl/>
          <w:lang w:bidi="ar-EG"/>
        </w:rPr>
        <w:t>موجز الإنجازات بحسب النتيجة المرتقبة</w:t>
      </w:r>
    </w:p>
    <w:p w:rsidR="009178C3" w:rsidRPr="009178C3" w:rsidRDefault="000E3DA7" w:rsidP="009178C3">
      <w:pPr>
        <w:tabs>
          <w:tab w:val="left" w:pos="1132"/>
        </w:tabs>
        <w:bidi/>
        <w:spacing w:after="120"/>
        <w:jc w:val="center"/>
        <w:rPr>
          <w:rFonts w:ascii="Arabic Typesetting" w:hAnsi="Arabic Typesetting" w:cs="Arabic Typesetting"/>
          <w:b/>
          <w:bCs/>
          <w:sz w:val="34"/>
          <w:szCs w:val="34"/>
          <w:lang w:val="fr-FR" w:bidi="ar-EG"/>
        </w:rPr>
      </w:pPr>
      <w:r>
        <w:rPr>
          <w:rFonts w:ascii="Arabic Typesetting" w:hAnsi="Arabic Typesetting" w:cs="Arabic Typesetting"/>
          <w:b/>
          <w:bCs/>
          <w:noProof/>
          <w:sz w:val="34"/>
          <w:szCs w:val="34"/>
        </w:rPr>
        <w:drawing>
          <wp:inline distT="0" distB="0" distL="0" distR="0" wp14:anchorId="32AC28A1">
            <wp:extent cx="5842836" cy="2743200"/>
            <wp:effectExtent l="0" t="0" r="5715"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64996" cy="2753604"/>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sz w:val="34"/>
          <w:szCs w:val="34"/>
          <w:lang w:val="fr-FR" w:bidi="ar-EG"/>
        </w:rPr>
      </w:pPr>
      <w:r w:rsidRPr="009178C3">
        <w:rPr>
          <w:sz w:val="34"/>
          <w:szCs w:val="34"/>
          <w:rtl/>
          <w:lang w:val="fr-FR" w:bidi="ar-EG"/>
        </w:rPr>
        <w:t xml:space="preserve">استمر على </w:t>
      </w:r>
      <w:r w:rsidRPr="009178C3">
        <w:rPr>
          <w:sz w:val="34"/>
          <w:szCs w:val="34"/>
          <w:rtl/>
          <w:lang w:bidi="ar-EG"/>
        </w:rPr>
        <w:t>قائمة</w:t>
      </w:r>
      <w:r w:rsidRPr="009178C3">
        <w:rPr>
          <w:sz w:val="34"/>
          <w:szCs w:val="34"/>
          <w:rtl/>
          <w:lang w:val="fr-FR" w:bidi="ar-EG"/>
        </w:rPr>
        <w:t xml:space="preserve"> أولويات </w:t>
      </w:r>
      <w:r w:rsidRPr="009178C3">
        <w:rPr>
          <w:sz w:val="34"/>
          <w:szCs w:val="34"/>
          <w:rtl/>
          <w:lang w:bidi="ar-EG"/>
        </w:rPr>
        <w:t xml:space="preserve">الثنائية </w:t>
      </w:r>
      <w:r w:rsidRPr="009178C3">
        <w:rPr>
          <w:sz w:val="34"/>
          <w:szCs w:val="34"/>
          <w:rtl/>
          <w:lang w:val="fr-FR" w:bidi="ar-EG"/>
        </w:rPr>
        <w:t>تسهيلُ الانتفاع بالملكية الفكرية في سبيل التنمية وتمكين البلدان النامية وأقل البلدان نموًا والبلدان التي تمر بمرحلة انتقالية من تسخير الملكية الفكرية لتعزيز الطاقات والقدرات الوطنية على الابتكار.</w:t>
      </w:r>
    </w:p>
    <w:p w:rsidR="009178C3" w:rsidRPr="009178C3" w:rsidRDefault="009178C3" w:rsidP="009178C3">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t>وواصلت الويبو تقديم المساعدة للبلدان النامية وأقل البلدان نمواً على صياغة وتطوير وتنفيذ استراتيجيات وطنية للملكية الفكرية متسقة مع خطط التنمية العامة ومزودة بالقدرة على تشجيع الابتكار والإبداع. واستمر الاسترشاد في هذه العملية بتطبيق المنهجية ومجموعة الأدوات العملية الموحدة، مع كونها مرنة، لصياغة استراتيجيات الملكية الفكرية وخططها على الصعيد الوطني، والتي وُضعت ضمن مشروع جدول أعمال التنمية بشأن تحسين قدرات المؤسسات والمستخدمين على الأصعدة الوطنية ودون الإقليمية والإقليمية في عام 2012. وقد تمخض عن ذلك إنشاء 15 بلدا (ستة في أفريقيا وخمسة في آسيا والمحيط الهادئ وأربعة في أمريكا اللاتينية والكاريبي) عملية لصياغة استراتيجيات/خطط تطوير وطنية للملكية الفكرية، بينما لم يكن يزل 13 بلداً (أربعة في أفريقيا واثنان في المنطقة العربية وثلاثة في آسيا والمحيط الهادئ وأربعة في أمريكا اللاتينية والكاريبي) حتى نهاية عام 2014 في مرحلة الصياغة و/أو الاعتماد. وفي نهاية 2014/15، كانت الاستراتيجيات/خطط التنمية الوطنية الخاصة بالملكية الفكرية قد اعتُمدت و/أو كانت قيد التنفيذ في 44 بلداً (26 في أفريقيا واثنان في المنطقة العربية وثمانية في آسيا والمحيط الهادئ وثمانية في أمريكا اللاتينية والكاريبي) منها 19 من أقل البلدان نموًا.</w:t>
      </w:r>
    </w:p>
    <w:p w:rsidR="009178C3" w:rsidRPr="009178C3" w:rsidRDefault="009178C3" w:rsidP="009178C3">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lastRenderedPageBreak/>
        <w:t>وقد عدلت البلدان التسعة التالية تشريعات الملكية الفكرية الوطنية لديها و/أو انضمت إلى المعاهدات التي تديرها الويبو بما يتماشى مع خطط التعاون والاستراتيجيات الوطنية للملكية الفكرية عقب مساعدة الويبو بما فيها الأنشطة الترويجية: كازاخستان وقيرغيزستان ولاتفيا وليتوانيا والجبل الأسود وجمهورية مولدوفا والاتحاد الروسي وطاجيكستان وتركمانستان. وبقي الترويج لأهمية الاستراتيجيات الوطنية الشاملة طويلة الأمد و/أو المساعدة في وضعها وتنفيذها تلبيةً لاحتياجات الدول الأعضاء أولويةً في 2014/15، مما نتج عنه اعتماد ستة بلدان (بلغاريا وسلوفينيا وطاجيكستان وتركيا وتركمانستان وأوكرانيا) استراتيجيات وطنية ذات صلة بالملكية الفكرية وشروع أربعة بلدان (ألبانيا وجورجيا ولاتفيا وبولندا) في وضع استراتيجية جديدة.</w:t>
      </w:r>
    </w:p>
    <w:p w:rsidR="009178C3" w:rsidRPr="009178C3" w:rsidRDefault="009178C3" w:rsidP="000B5473">
      <w:pPr>
        <w:pStyle w:val="NormalParaAR"/>
        <w:numPr>
          <w:ilvl w:val="0"/>
          <w:numId w:val="44"/>
        </w:numPr>
        <w:spacing w:after="120" w:line="340" w:lineRule="exact"/>
        <w:ind w:left="0" w:firstLine="0"/>
        <w:rPr>
          <w:sz w:val="34"/>
          <w:szCs w:val="34"/>
          <w:lang w:val="fr-FR" w:bidi="ar-EG"/>
        </w:rPr>
      </w:pPr>
      <w:r w:rsidRPr="009178C3">
        <w:rPr>
          <w:sz w:val="34"/>
          <w:szCs w:val="34"/>
          <w:rtl/>
          <w:lang w:val="fr-FR" w:bidi="ar-EG"/>
        </w:rPr>
        <w:t xml:space="preserve">واستهلت أكاديمية الويبو في 2014/15 تنفيذ عملية إصلاح وإعادة تعريف لمكانتها بحيث تكون الكيان الأساسي في الويبو المسؤول عن مباشرة أنشطة التدريب المهني والتعليم وتكوين كفاءات المسؤولين الحكوميين وغيرهم من أصحاب المصالح في مجال الملكية </w:t>
      </w:r>
      <w:r w:rsidRPr="009178C3">
        <w:rPr>
          <w:sz w:val="34"/>
          <w:szCs w:val="34"/>
          <w:rtl/>
          <w:lang w:bidi="ar-EG"/>
        </w:rPr>
        <w:t>الفكرية</w:t>
      </w:r>
      <w:r w:rsidRPr="009178C3">
        <w:rPr>
          <w:sz w:val="34"/>
          <w:szCs w:val="34"/>
          <w:rtl/>
          <w:lang w:val="fr-FR" w:bidi="ar-EG"/>
        </w:rPr>
        <w:t>. وأثناء هذه العملية، سعت أكاديمية الويبو للحفاظ على الكم والكيف والتواتر في البرامج التدريبية المقدمة بانتظام من أجل الوفاء بالتزاماتها المتواصلة بشأن التدريب مع شركائها والاستجابة إلى طلبات التدريب الجديدة العاجلة من الدول الأعضاء وأصحاب المصلحة الآخرين والحفاظ على تواصل التدريب المقدم. وفي الثنائية، استفاد نحو 000</w:t>
      </w:r>
      <w:r w:rsidR="000B5473">
        <w:rPr>
          <w:rFonts w:hint="cs"/>
          <w:sz w:val="34"/>
          <w:szCs w:val="34"/>
          <w:rtl/>
          <w:lang w:val="fr-FR" w:bidi="ar-EG"/>
        </w:rPr>
        <w:t> </w:t>
      </w:r>
      <w:r w:rsidR="000B5473" w:rsidRPr="009178C3">
        <w:rPr>
          <w:sz w:val="34"/>
          <w:szCs w:val="34"/>
          <w:rtl/>
          <w:lang w:val="fr-FR" w:bidi="ar-EG"/>
        </w:rPr>
        <w:t>80</w:t>
      </w:r>
      <w:r w:rsidRPr="009178C3">
        <w:rPr>
          <w:sz w:val="34"/>
          <w:szCs w:val="34"/>
          <w:rtl/>
          <w:lang w:val="fr-FR" w:bidi="ar-EG"/>
        </w:rPr>
        <w:t xml:space="preserve"> شخص من برامجها وأنشطتها.</w:t>
      </w:r>
    </w:p>
    <w:p w:rsidR="009178C3" w:rsidRPr="009178C3" w:rsidRDefault="009178C3" w:rsidP="000B5473">
      <w:pPr>
        <w:pStyle w:val="NormalParaAR"/>
        <w:numPr>
          <w:ilvl w:val="0"/>
          <w:numId w:val="44"/>
        </w:numPr>
        <w:spacing w:after="120" w:line="340" w:lineRule="exact"/>
        <w:ind w:left="0" w:firstLine="0"/>
        <w:rPr>
          <w:sz w:val="34"/>
          <w:szCs w:val="34"/>
          <w:rtl/>
          <w:lang w:bidi="ar-EG"/>
        </w:rPr>
      </w:pPr>
      <w:r w:rsidRPr="009178C3">
        <w:rPr>
          <w:sz w:val="34"/>
          <w:szCs w:val="34"/>
          <w:rtl/>
          <w:lang w:val="fr-FR" w:bidi="ar-EG"/>
        </w:rPr>
        <w:t xml:space="preserve">وفيما يخص برنامج التنمية المهنية، </w:t>
      </w:r>
      <w:r w:rsidRPr="009178C3">
        <w:rPr>
          <w:sz w:val="34"/>
          <w:szCs w:val="34"/>
          <w:rtl/>
          <w:lang w:bidi="ar-EG"/>
        </w:rPr>
        <w:t>قُدمت</w:t>
      </w:r>
      <w:r w:rsidRPr="009178C3">
        <w:rPr>
          <w:sz w:val="34"/>
          <w:szCs w:val="34"/>
          <w:rtl/>
          <w:lang w:val="fr-FR" w:bidi="ar-EG"/>
        </w:rPr>
        <w:t xml:space="preserve"> نحو 35 دورة تدريبية بالتعاون مع 22 مؤسسة شريكة في الجزائر والنمسا والبرازيل </w:t>
      </w:r>
      <w:r w:rsidRPr="009178C3">
        <w:rPr>
          <w:sz w:val="34"/>
          <w:szCs w:val="34"/>
          <w:rtl/>
          <w:lang w:bidi="ar-EG"/>
        </w:rPr>
        <w:t>والكاميرون</w:t>
      </w:r>
      <w:r w:rsidRPr="009178C3">
        <w:rPr>
          <w:sz w:val="34"/>
          <w:szCs w:val="34"/>
          <w:rtl/>
          <w:lang w:val="fr-FR" w:bidi="ar-EG"/>
        </w:rPr>
        <w:t xml:space="preserve"> وكندا وكوستاريكا وفنلندا وفرنسا وألمانيا وإندونيسيا وإسرائيل وماليزيا والمكسيك والمغرب والنرويج وباراغواي وبيرو وإسبانيا وسويسرا والمملكة المتحدة فضلاً عن منظمة التجارة العالمية </w:t>
      </w:r>
      <w:r w:rsidRPr="009178C3">
        <w:rPr>
          <w:i/>
          <w:iCs/>
          <w:sz w:val="34"/>
          <w:szCs w:val="34"/>
          <w:rtl/>
          <w:lang w:val="fr-FR" w:bidi="ar-EG"/>
        </w:rPr>
        <w:t>ومركز الدراسات الدولية للملكية الفكرية</w:t>
      </w:r>
      <w:r w:rsidRPr="009178C3">
        <w:rPr>
          <w:sz w:val="34"/>
          <w:szCs w:val="34"/>
          <w:rtl/>
          <w:lang w:val="fr-FR" w:bidi="ar-EG"/>
        </w:rPr>
        <w:t xml:space="preserve"> في مدينة ستراسبورغ بفرنسا. وواصل برنامج التعليم عن بعد جذبَ المشاركين من طائفة واسعة من أصحاب المصلحة. وفي 2014/15 استفاد نحو 551</w:t>
      </w:r>
      <w:r w:rsidR="000B5473">
        <w:rPr>
          <w:rFonts w:hint="cs"/>
          <w:sz w:val="34"/>
          <w:szCs w:val="34"/>
          <w:rtl/>
          <w:lang w:val="fr-FR" w:bidi="ar-EG"/>
        </w:rPr>
        <w:t> </w:t>
      </w:r>
      <w:r w:rsidR="000B5473" w:rsidRPr="009178C3">
        <w:rPr>
          <w:sz w:val="34"/>
          <w:szCs w:val="34"/>
          <w:rtl/>
          <w:lang w:val="fr-FR" w:bidi="ar-EG"/>
        </w:rPr>
        <w:t>78</w:t>
      </w:r>
      <w:r w:rsidRPr="009178C3">
        <w:rPr>
          <w:sz w:val="34"/>
          <w:szCs w:val="34"/>
          <w:rtl/>
          <w:lang w:val="fr-FR" w:bidi="ar-EG"/>
        </w:rPr>
        <w:t xml:space="preserve"> مشاركا من 193 بلدا (809</w:t>
      </w:r>
      <w:r w:rsidR="000B5473">
        <w:rPr>
          <w:rFonts w:hint="cs"/>
          <w:sz w:val="34"/>
          <w:szCs w:val="34"/>
          <w:rtl/>
          <w:lang w:val="fr-FR" w:bidi="ar-EG"/>
        </w:rPr>
        <w:t> </w:t>
      </w:r>
      <w:r w:rsidR="000B5473" w:rsidRPr="009178C3">
        <w:rPr>
          <w:sz w:val="34"/>
          <w:szCs w:val="34"/>
          <w:rtl/>
          <w:lang w:val="fr-FR" w:bidi="ar-EG"/>
        </w:rPr>
        <w:t>67</w:t>
      </w:r>
      <w:r w:rsidRPr="009178C3">
        <w:rPr>
          <w:sz w:val="34"/>
          <w:szCs w:val="34"/>
          <w:rtl/>
          <w:lang w:val="fr-FR" w:bidi="ar-EG"/>
        </w:rPr>
        <w:t xml:space="preserve"> في الدورات العامة و742</w:t>
      </w:r>
      <w:r w:rsidR="000B5473">
        <w:rPr>
          <w:rFonts w:hint="cs"/>
          <w:sz w:val="34"/>
          <w:szCs w:val="34"/>
          <w:rtl/>
          <w:lang w:val="fr-FR" w:bidi="ar-EG"/>
        </w:rPr>
        <w:t> </w:t>
      </w:r>
      <w:r w:rsidR="000B5473" w:rsidRPr="009178C3">
        <w:rPr>
          <w:sz w:val="34"/>
          <w:szCs w:val="34"/>
          <w:rtl/>
          <w:lang w:val="fr-FR" w:bidi="ar-EG"/>
        </w:rPr>
        <w:t>10</w:t>
      </w:r>
      <w:r w:rsidRPr="009178C3">
        <w:rPr>
          <w:sz w:val="34"/>
          <w:szCs w:val="34"/>
          <w:rtl/>
          <w:lang w:val="fr-FR" w:bidi="ar-EG"/>
        </w:rPr>
        <w:t xml:space="preserve"> في الدورات المتقدمة) أي ما يعادل انخفاض قدره 3.6 ب</w:t>
      </w:r>
      <w:r w:rsidR="000B5473">
        <w:rPr>
          <w:rFonts w:hint="cs"/>
          <w:sz w:val="34"/>
          <w:szCs w:val="34"/>
          <w:rtl/>
          <w:lang w:val="fr-FR" w:bidi="ar-EG"/>
        </w:rPr>
        <w:t>ال</w:t>
      </w:r>
      <w:r w:rsidR="000B5473">
        <w:rPr>
          <w:sz w:val="34"/>
          <w:szCs w:val="34"/>
          <w:rtl/>
          <w:lang w:val="fr-FR" w:bidi="ar-EG"/>
        </w:rPr>
        <w:t>مئة</w:t>
      </w:r>
      <w:r w:rsidRPr="009178C3">
        <w:rPr>
          <w:sz w:val="34"/>
          <w:szCs w:val="34"/>
          <w:rtl/>
          <w:lang w:val="fr-FR" w:bidi="ar-EG"/>
        </w:rPr>
        <w:t xml:space="preserve"> مقارنة ب</w:t>
      </w:r>
      <w:r w:rsidR="000B5473">
        <w:rPr>
          <w:rFonts w:hint="cs"/>
          <w:sz w:val="34"/>
          <w:szCs w:val="34"/>
          <w:rtl/>
          <w:lang w:val="fr-FR" w:bidi="ar-EG"/>
        </w:rPr>
        <w:t>ال</w:t>
      </w:r>
      <w:r w:rsidRPr="009178C3">
        <w:rPr>
          <w:sz w:val="34"/>
          <w:szCs w:val="34"/>
          <w:rtl/>
          <w:lang w:val="fr-FR" w:bidi="ar-EG"/>
        </w:rPr>
        <w:t>ثنائية 2012/13 من</w:t>
      </w:r>
      <w:r w:rsidRPr="009178C3">
        <w:rPr>
          <w:sz w:val="34"/>
          <w:szCs w:val="34"/>
          <w:lang w:bidi="ar-EG"/>
        </w:rPr>
        <w:t xml:space="preserve"> </w:t>
      </w:r>
      <w:r w:rsidRPr="009178C3">
        <w:rPr>
          <w:sz w:val="34"/>
          <w:szCs w:val="34"/>
          <w:rtl/>
          <w:lang w:bidi="ar-EG"/>
        </w:rPr>
        <w:t>مركز الويبو للتعليم عن بعد. وتجدر الإشارة إلى أن طلب مكاتب الملكية الفكرية والهيئات الحكومية الأخرى والأكاديميات الناشئة جديدا ومراكز دعم التكنولوجيا والابتكار في البلدان النامية وأقل البلدان نموا على الدورات المتقدمة قد شهد زيادة قدرها 138 بال</w:t>
      </w:r>
      <w:r w:rsidR="000B5473">
        <w:rPr>
          <w:sz w:val="34"/>
          <w:szCs w:val="34"/>
          <w:rtl/>
          <w:lang w:bidi="ar-EG"/>
        </w:rPr>
        <w:t>مئة</w:t>
      </w:r>
      <w:r w:rsidRPr="006F0AFD">
        <w:rPr>
          <w:rStyle w:val="FootnoteReference"/>
          <w:sz w:val="28"/>
          <w:szCs w:val="28"/>
          <w:rtl/>
          <w:lang w:bidi="ar-EG"/>
        </w:rPr>
        <w:footnoteReference w:id="4"/>
      </w:r>
      <w:r w:rsidRPr="009178C3">
        <w:rPr>
          <w:sz w:val="34"/>
          <w:szCs w:val="34"/>
          <w:rtl/>
          <w:lang w:bidi="ar-EG"/>
        </w:rPr>
        <w:t xml:space="preserve"> ليبلغ أعلى مستوى ل</w:t>
      </w:r>
      <w:r w:rsidR="003C2A9C">
        <w:rPr>
          <w:sz w:val="34"/>
          <w:szCs w:val="34"/>
          <w:rtl/>
          <w:lang w:bidi="ar-EG"/>
        </w:rPr>
        <w:t>ه على الإطلاق وهو 6926 مقارنة ب</w:t>
      </w:r>
      <w:r w:rsidRPr="009178C3">
        <w:rPr>
          <w:sz w:val="34"/>
          <w:szCs w:val="34"/>
          <w:rtl/>
          <w:lang w:bidi="ar-EG"/>
        </w:rPr>
        <w:t>مستوى 2907 في الثنائية</w:t>
      </w:r>
      <w:r w:rsidR="000B5473">
        <w:rPr>
          <w:rFonts w:hint="cs"/>
          <w:sz w:val="34"/>
          <w:szCs w:val="34"/>
          <w:rtl/>
          <w:lang w:bidi="ar-EG"/>
        </w:rPr>
        <w:t> </w:t>
      </w:r>
      <w:r w:rsidRPr="009178C3">
        <w:rPr>
          <w:sz w:val="34"/>
          <w:szCs w:val="34"/>
          <w:rtl/>
          <w:lang w:bidi="ar-EG"/>
        </w:rPr>
        <w:t>السابقة.</w:t>
      </w:r>
    </w:p>
    <w:p w:rsidR="009178C3" w:rsidRPr="009178C3" w:rsidRDefault="009178C3" w:rsidP="00E32E98">
      <w:pPr>
        <w:pStyle w:val="NormalParaAR"/>
        <w:numPr>
          <w:ilvl w:val="0"/>
          <w:numId w:val="44"/>
        </w:numPr>
        <w:spacing w:after="120" w:line="340" w:lineRule="exact"/>
        <w:ind w:left="0" w:firstLine="0"/>
        <w:rPr>
          <w:sz w:val="34"/>
          <w:szCs w:val="34"/>
          <w:rtl/>
          <w:lang w:bidi="ar-EG"/>
        </w:rPr>
      </w:pPr>
      <w:r w:rsidRPr="009178C3">
        <w:rPr>
          <w:sz w:val="34"/>
          <w:szCs w:val="34"/>
          <w:rtl/>
          <w:lang w:bidi="ar-EG"/>
        </w:rPr>
        <w:t>وفي 2014، عُمم مشروع الأكاديميات الناشئة جديدا في البرامج النظامية لأكاديمية الويبو عقب موافقة اللجنة المعنية بالتنمية والملكية الفكرية (اللجنة) في دورتها الرابعة عشرة على إجراء تقييم مستقل للمشروع. وتَواصل التعاون خلال الثنائية مع الأكاديميات الست الناشئة جديدا التي أنشئت أثناء مرحلة مشروع اللجنة (كولومبيا والجمهورية الدومنيكية ومصر وإثيوبيا وبيرو وتونس). ووقع على اتفاقات جديدة لإنشاء مراكز تدريب وطنية على الملكية الفكرية (أكاديميات ناشئة جديد</w:t>
      </w:r>
      <w:r w:rsidR="00E32E98">
        <w:rPr>
          <w:rFonts w:hint="cs"/>
          <w:sz w:val="34"/>
          <w:szCs w:val="34"/>
          <w:rtl/>
          <w:lang w:bidi="ar-EG"/>
        </w:rPr>
        <w:t>ة</w:t>
      </w:r>
      <w:r w:rsidRPr="009178C3">
        <w:rPr>
          <w:sz w:val="34"/>
          <w:szCs w:val="34"/>
          <w:rtl/>
          <w:lang w:bidi="ar-EG"/>
        </w:rPr>
        <w:t>) مع حكومات أذربيجان وكمبوديا وكوستاريكا وإكوادور والسلفادور وجورجيا وتركيا</w:t>
      </w:r>
      <w:r w:rsidRPr="009178C3">
        <w:rPr>
          <w:sz w:val="34"/>
          <w:szCs w:val="34"/>
          <w:lang w:bidi="ar-EG"/>
        </w:rPr>
        <w:t>.</w:t>
      </w:r>
      <w:r w:rsidRPr="009178C3">
        <w:rPr>
          <w:sz w:val="34"/>
          <w:szCs w:val="34"/>
          <w:rtl/>
          <w:lang w:bidi="ar-EG"/>
        </w:rPr>
        <w:t xml:space="preserve"> وأرسلت المزيد من الطلبات من الدول الأعضاء للحصول على مساعدة لإنشاء مراكز تدريب وطنية على الملكية الفكرية في 2014/15 وستعالج في 2016/17.</w:t>
      </w:r>
    </w:p>
    <w:p w:rsidR="009178C3" w:rsidRPr="009178C3" w:rsidRDefault="009178C3" w:rsidP="00E32E98">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t xml:space="preserve">وبقي تعزيز قدرات الموارد البشرية على التعامل مع النطاق العريض من متطلبات الاستخدام الفعال للملكية الفكرية من أجل التنمية ورعاية الابتكار والإبداع على قائمة الأولويات في الثنائية. وقد نُفذت برامج تكوين كفاءات وتنمية مهارات لمجموعات مستهدفة محددة مثل المسؤولين الحكوميين وواضعي السياسات والمهنيين المتخصصين في الملكية الفكرية وموظفي الإنفاذ والباحثين والأكاديميين ورواد الأعمال ورجال الصناعة، علاوةً على الشركات الصغيرة والمتوسطة، وذلك على الأصعدة الوطنية ودون الإقليمية والإقليمية. ونُظِّم في هذا الصدد 33 برنامجاً عن إدارة الشركات الصغيرة والمتوسطة لأصول الملكية الفكرية </w:t>
      </w:r>
      <w:r w:rsidR="00E32E98">
        <w:rPr>
          <w:sz w:val="34"/>
          <w:szCs w:val="34"/>
          <w:rtl/>
          <w:lang w:val="fr-FR" w:bidi="ar-EG"/>
        </w:rPr>
        <w:t>بطريقة فعالة، ما أفاد 700 مشترك</w:t>
      </w:r>
      <w:r w:rsidR="00E32E98">
        <w:rPr>
          <w:rFonts w:hint="cs"/>
          <w:sz w:val="34"/>
          <w:szCs w:val="34"/>
          <w:rtl/>
          <w:lang w:val="fr-FR" w:bidi="ar-EG"/>
        </w:rPr>
        <w:t>،</w:t>
      </w:r>
      <w:r w:rsidRPr="009178C3">
        <w:rPr>
          <w:sz w:val="34"/>
          <w:szCs w:val="34"/>
          <w:rtl/>
          <w:lang w:val="fr-FR" w:bidi="ar-EG"/>
        </w:rPr>
        <w:t xml:space="preserve"> بهدف إيجاد مجموعة ملحوظة من المدرِّبين في بلدان معينة يمتلكون المعارف والمهارات والخبرات اللازمة لتوفير المساعدات الأساسية للشركات الصغيرة والمتوسطة عن إدارة أصول الملكية الفكرية.</w:t>
      </w:r>
    </w:p>
    <w:p w:rsidR="009178C3" w:rsidRPr="009178C3" w:rsidRDefault="009178C3" w:rsidP="000B5473">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t xml:space="preserve">كما عززت الويبو تعاونها مع أقل البلدان نموا لوضع إطار للسياسات الوطنية بشأن الابتكار تفيد تقييم الاحتياجات إلى المهارات التقنية، وتيسير النفاذ إلى منصات المعلومات التكنولوجية والعلمية العالمية، وإنشاء بنية تحتية لدعم الابتكار، ودعم قوائم الجرد وتكوين القدرات في المعارف التقليدية. وفي إطار المرحلة الثانية من مشروع جدول أعمال التنمية بشأن تكوين الكفاءات في استخدام المعلومات التقنية والعلمية الملائمة من الناحية التكنولوجية كحل لتحديات إنمائية محددة، وُقع على مذكرات تفاهم مع </w:t>
      </w:r>
      <w:r w:rsidRPr="009178C3">
        <w:rPr>
          <w:sz w:val="34"/>
          <w:szCs w:val="34"/>
          <w:rtl/>
          <w:lang w:val="fr-FR" w:bidi="ar-EG"/>
        </w:rPr>
        <w:lastRenderedPageBreak/>
        <w:t>أربعة</w:t>
      </w:r>
      <w:r w:rsidR="000B5473">
        <w:rPr>
          <w:rFonts w:hint="cs"/>
          <w:sz w:val="34"/>
          <w:szCs w:val="34"/>
          <w:rtl/>
          <w:lang w:val="fr-FR" w:bidi="ar-EG"/>
        </w:rPr>
        <w:t> </w:t>
      </w:r>
      <w:r w:rsidRPr="009178C3">
        <w:rPr>
          <w:sz w:val="34"/>
          <w:szCs w:val="34"/>
          <w:rtl/>
          <w:lang w:val="fr-FR" w:bidi="ar-EG"/>
        </w:rPr>
        <w:t>من أقل البلدان نموا (إثيوبيا ورواندا وجمهورية تنزانيا المتحدة وأوغندا). وبنهاية 2015 بدأ تنفيذ المشروع في ثلاثة منها (إثيوبيا</w:t>
      </w:r>
      <w:r w:rsidR="000B5473">
        <w:rPr>
          <w:rFonts w:hint="cs"/>
          <w:sz w:val="34"/>
          <w:szCs w:val="34"/>
          <w:rtl/>
          <w:lang w:val="fr-FR" w:bidi="ar-EG"/>
        </w:rPr>
        <w:t> </w:t>
      </w:r>
      <w:r w:rsidRPr="009178C3">
        <w:rPr>
          <w:sz w:val="34"/>
          <w:szCs w:val="34"/>
          <w:rtl/>
          <w:lang w:val="fr-FR" w:bidi="ar-EG"/>
        </w:rPr>
        <w:t>ورواندا وجمهورية تنزانيا المتحدة).</w:t>
      </w:r>
    </w:p>
    <w:p w:rsidR="009178C3" w:rsidRPr="009178C3" w:rsidRDefault="009178C3" w:rsidP="009178C3">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t>وفي نفس السياق عملت الويبو عن كثب مع مكتب الأمم المتحدة للممثل السامي لأقل البلدان نمواً والبلدان النامية غير الساحلية والدول الجزرية الصغيرة النامية من أجل تنفيذ برنامج عمل إسطنبول. وفي 2014، بمناسبة المؤتمر الوزاري لأقل البلدان نموا الذي انعقد في بنين، نفذت الويبو برنامج شراكة أقاليمي بالتعاون مع الاتحاد الدولي للاتصالات وصندوق الأمم المتحدة للمشاريع الإنتاجية ومنظمة الأمم المتحدة للتنمية الصناعية. وفي 2015، أُنشئ منتديان إضافيان للتعاون من أجل الشراكة مع اللجنة الاقتصادية والاجتماعية لآسيا والمحيط الهادئ، واللجنة الاقتصادية لأفريقيا التابعة للأمم المتحدة. وأسفرت الشراكة مع اللجنة الاقتصادية والاجتماعية لآسيا والمحيط الهادئ عن توقيع مذكرة تفاهم بين المنظمتين. وكان محور التركيز هو تكوين القدرات وتعزيز المؤسسات في أقل البلدان نموا في أفريقيا وآسيا.</w:t>
      </w:r>
    </w:p>
    <w:p w:rsidR="009178C3" w:rsidRPr="009178C3" w:rsidRDefault="009178C3" w:rsidP="009178C3">
      <w:pPr>
        <w:pStyle w:val="NormalParaAR"/>
        <w:numPr>
          <w:ilvl w:val="0"/>
          <w:numId w:val="44"/>
        </w:numPr>
        <w:spacing w:after="120" w:line="340" w:lineRule="exact"/>
        <w:ind w:left="0" w:firstLine="0"/>
        <w:rPr>
          <w:b/>
          <w:bCs/>
          <w:sz w:val="34"/>
          <w:szCs w:val="34"/>
          <w:rtl/>
          <w:lang w:val="fr-FR" w:bidi="ar-EG"/>
        </w:rPr>
      </w:pPr>
      <w:r w:rsidRPr="009178C3">
        <w:rPr>
          <w:sz w:val="34"/>
          <w:szCs w:val="34"/>
          <w:rtl/>
          <w:lang w:val="fr-FR" w:bidi="ar-EG"/>
        </w:rPr>
        <w:t>وأثناء الثنائية، نظرت اللجنة المعنية بالتنمية والملكية الفكرية وفي مختلف الوثائق والدراسات وناقشتها. كما اعتمدت اللجنة اقتراحات لإطلاق المرحلة الثانية في مشروعي قد استكملا، ووافقت على اقتراحات لثلاثة مشروعات جديدة وأنشطة جديدة تتعلق باستخدام تتعلق بالانتفاع بحق المؤلف للنهوض بالنفاذ إلى المعلومات والمواد الإبداعية. كما وافقت اللجنة على مواصفات الاستعراض المستقل لتنفيذ توصيات جدول أعمال التنمية واتخذت قرارا بعقد مؤتمر دولي بشأن الملكية الفكرية والتنمية.</w:t>
      </w:r>
    </w:p>
    <w:p w:rsidR="009178C3" w:rsidRPr="009178C3" w:rsidRDefault="009178C3" w:rsidP="009178C3">
      <w:pPr>
        <w:pStyle w:val="NormalParaAR"/>
        <w:keepNext/>
        <w:spacing w:after="120" w:line="340" w:lineRule="exact"/>
        <w:jc w:val="center"/>
        <w:rPr>
          <w:b/>
          <w:bCs/>
          <w:sz w:val="34"/>
          <w:szCs w:val="34"/>
          <w:rtl/>
          <w:lang w:val="fr-FR" w:bidi="ar-EG"/>
        </w:rPr>
      </w:pPr>
      <w:r w:rsidRPr="009178C3">
        <w:rPr>
          <w:b/>
          <w:bCs/>
          <w:sz w:val="34"/>
          <w:szCs w:val="34"/>
          <w:rtl/>
          <w:lang w:val="fr-FR" w:bidi="ar-EG"/>
        </w:rPr>
        <w:t>الهدف الاستراتيجي الرابع: تنسيق البنية التحتية العالمية للملكية الفكرية وتطويرها</w:t>
      </w:r>
    </w:p>
    <w:p w:rsidR="009178C3" w:rsidRPr="009178C3" w:rsidRDefault="00993033" w:rsidP="009178C3">
      <w:pPr>
        <w:tabs>
          <w:tab w:val="left" w:pos="1132"/>
        </w:tabs>
        <w:bidi/>
        <w:spacing w:after="120"/>
        <w:jc w:val="center"/>
        <w:rPr>
          <w:rFonts w:ascii="Arabic Typesetting" w:hAnsi="Arabic Typesetting" w:cs="Arabic Typesetting"/>
          <w:sz w:val="34"/>
          <w:szCs w:val="34"/>
          <w:lang w:val="fr-FR" w:bidi="ar-EG"/>
        </w:rPr>
      </w:pPr>
      <w:r>
        <w:rPr>
          <w:rFonts w:ascii="Arabic Typesetting" w:hAnsi="Arabic Typesetting" w:cs="Arabic Typesetting"/>
          <w:noProof/>
          <w:sz w:val="34"/>
          <w:szCs w:val="34"/>
        </w:rPr>
        <w:drawing>
          <wp:inline distT="0" distB="0" distL="0" distR="0" wp14:anchorId="5B73C3AE">
            <wp:extent cx="5137156" cy="2826660"/>
            <wp:effectExtent l="0" t="0" r="635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39761" cy="2828094"/>
                    </a:xfrm>
                    <a:prstGeom prst="rect">
                      <a:avLst/>
                    </a:prstGeom>
                    <a:noFill/>
                  </pic:spPr>
                </pic:pic>
              </a:graphicData>
            </a:graphic>
          </wp:inline>
        </w:drawing>
      </w:r>
    </w:p>
    <w:p w:rsidR="009178C3" w:rsidRPr="009178C3" w:rsidRDefault="009178C3" w:rsidP="009178C3">
      <w:pPr>
        <w:pStyle w:val="NormalParaAR"/>
        <w:spacing w:after="120" w:line="340" w:lineRule="exact"/>
        <w:jc w:val="center"/>
        <w:rPr>
          <w:b/>
          <w:bCs/>
          <w:sz w:val="34"/>
          <w:szCs w:val="34"/>
          <w:lang w:val="fr-FR" w:bidi="ar-EG"/>
        </w:rPr>
      </w:pPr>
      <w:r w:rsidRPr="009178C3">
        <w:rPr>
          <w:b/>
          <w:bCs/>
          <w:sz w:val="34"/>
          <w:szCs w:val="34"/>
          <w:rtl/>
          <w:lang w:val="fr-FR" w:bidi="ar-EG"/>
        </w:rPr>
        <w:t>موجز الإنجازات بحسب النتيجة المرتقبة</w:t>
      </w:r>
    </w:p>
    <w:p w:rsidR="009178C3" w:rsidRPr="009178C3" w:rsidRDefault="00A601E3" w:rsidP="009178C3">
      <w:pPr>
        <w:tabs>
          <w:tab w:val="left" w:pos="1132"/>
        </w:tabs>
        <w:bidi/>
        <w:spacing w:after="120"/>
        <w:jc w:val="center"/>
        <w:rPr>
          <w:rFonts w:ascii="Arabic Typesetting" w:hAnsi="Arabic Typesetting" w:cs="Arabic Typesetting"/>
          <w:b/>
          <w:bCs/>
          <w:sz w:val="34"/>
          <w:szCs w:val="34"/>
          <w:lang w:val="fr-FR" w:bidi="ar-EG"/>
        </w:rPr>
      </w:pPr>
      <w:r>
        <w:rPr>
          <w:rFonts w:ascii="Arabic Typesetting" w:hAnsi="Arabic Typesetting" w:cs="Arabic Typesetting"/>
          <w:b/>
          <w:bCs/>
          <w:noProof/>
          <w:sz w:val="34"/>
          <w:szCs w:val="34"/>
        </w:rPr>
        <w:drawing>
          <wp:inline distT="0" distB="0" distL="0" distR="0" wp14:anchorId="23AA2CA7">
            <wp:extent cx="5723034" cy="2125954"/>
            <wp:effectExtent l="0" t="0" r="0" b="8255"/>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8047" cy="2131531"/>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sz w:val="34"/>
          <w:szCs w:val="34"/>
          <w:lang w:val="fr-FR" w:bidi="ar-EG"/>
        </w:rPr>
      </w:pPr>
      <w:r w:rsidRPr="009178C3">
        <w:rPr>
          <w:sz w:val="34"/>
          <w:szCs w:val="34"/>
          <w:rtl/>
          <w:lang w:val="fr-FR" w:bidi="ar-EG"/>
        </w:rPr>
        <w:lastRenderedPageBreak/>
        <w:t>بغية تعزيز البنية التحتية العالمية للملكية الفكرية بهدف السعي إلى تلبية الاحتياجات العالمية المتزايدة بشأن نظام الملكية الفكرية وتيسير مشاركة البلدان النامية وأقل البلدان نموا في النظام، أحرز تقدم طيب في مجالات القواعد العالمية للملكية الفكرية والتصنيفات وتحديث مكاتب الملكية الفكرية في 2014/15.</w:t>
      </w:r>
    </w:p>
    <w:p w:rsidR="009178C3" w:rsidRPr="009178C3" w:rsidRDefault="009178C3" w:rsidP="009178C3">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t>وتواصل تعزيز نظام ركن البراءات في 2014/15 مع التركيز الشديد على تحسين النفاذ إلى النظام في المناطق</w:t>
      </w:r>
      <w:r w:rsidRPr="009178C3">
        <w:rPr>
          <w:sz w:val="34"/>
          <w:szCs w:val="34"/>
          <w:lang w:bidi="ar-EG"/>
        </w:rPr>
        <w:t xml:space="preserve"> </w:t>
      </w:r>
      <w:r w:rsidRPr="009178C3">
        <w:rPr>
          <w:sz w:val="34"/>
          <w:szCs w:val="34"/>
          <w:rtl/>
          <w:lang w:bidi="ar-EG"/>
        </w:rPr>
        <w:t>التي تشهد فترات انتظار طويلة. كما أُحرز تقدم ملحوظ لصالح المستخدمين في آسيا. وأعدت لغتان لإضافتهما إلى نظام الحصول على المعلومات في لغات مختلفة للبحث متعدد اللغات، ما يرفع إجمالي عدد اللغات إلى 14 بنهاية الثنائية. واتسع نطاق أداة الويبو للترجمة</w:t>
      </w:r>
      <w:r w:rsidRPr="006F0AFD">
        <w:rPr>
          <w:rStyle w:val="FootnoteReference"/>
          <w:sz w:val="28"/>
          <w:szCs w:val="28"/>
          <w:rtl/>
          <w:lang w:bidi="ar-EG"/>
        </w:rPr>
        <w:footnoteReference w:id="5"/>
      </w:r>
      <w:r w:rsidRPr="009178C3">
        <w:rPr>
          <w:sz w:val="34"/>
          <w:szCs w:val="34"/>
          <w:rtl/>
          <w:lang w:bidi="ar-EG"/>
        </w:rPr>
        <w:t xml:space="preserve"> وهي نظام ترجمة آلية إحصائي أعد داخليا </w:t>
      </w:r>
      <w:r w:rsidRPr="009178C3">
        <w:rPr>
          <w:sz w:val="34"/>
          <w:szCs w:val="34"/>
          <w:rtl/>
          <w:lang w:val="fr-FR" w:bidi="ar-EG"/>
        </w:rPr>
        <w:t>لكي تشمل ثلاثة أزواج لغوية إضافية وصعبة بنهاية الثنائية وهي الإنكليزية والكورية، والإنكليزية والروسية، والإنكليزية والإسبانية وبذلك بلغ العدد الإجمالي سبعة أزواج علاوة على توسيع نطاق تغطية الإنكليزية والصينية ليشمل الأوصاف والمطالبات.</w:t>
      </w:r>
    </w:p>
    <w:p w:rsidR="009178C3" w:rsidRPr="009178C3" w:rsidRDefault="009178C3" w:rsidP="000B5473">
      <w:pPr>
        <w:pStyle w:val="NormalParaAR"/>
        <w:numPr>
          <w:ilvl w:val="0"/>
          <w:numId w:val="44"/>
        </w:numPr>
        <w:spacing w:after="120" w:line="340" w:lineRule="exact"/>
        <w:ind w:left="0" w:firstLine="0"/>
        <w:rPr>
          <w:sz w:val="34"/>
          <w:szCs w:val="34"/>
          <w:lang w:val="fr-FR" w:bidi="ar-EG"/>
        </w:rPr>
      </w:pPr>
      <w:r w:rsidRPr="009178C3">
        <w:rPr>
          <w:sz w:val="34"/>
          <w:szCs w:val="34"/>
          <w:rtl/>
          <w:lang w:val="fr-FR" w:bidi="ar-EG"/>
        </w:rPr>
        <w:t>وواصلت خدمة ركن البراءات تحقيق مستويات استخدام عالية وبلغ المتوسط 000</w:t>
      </w:r>
      <w:r w:rsidR="000B5473">
        <w:rPr>
          <w:rFonts w:hint="eastAsia"/>
          <w:sz w:val="34"/>
          <w:szCs w:val="34"/>
          <w:rtl/>
          <w:lang w:val="fr-FR"/>
        </w:rPr>
        <w:t> </w:t>
      </w:r>
      <w:r w:rsidR="000B5473" w:rsidRPr="009178C3">
        <w:rPr>
          <w:sz w:val="34"/>
          <w:szCs w:val="34"/>
          <w:rtl/>
          <w:lang w:val="fr-FR" w:bidi="ar-EG"/>
        </w:rPr>
        <w:t>500</w:t>
      </w:r>
      <w:r w:rsidRPr="009178C3">
        <w:rPr>
          <w:sz w:val="34"/>
          <w:szCs w:val="34"/>
          <w:rtl/>
          <w:lang w:val="fr-FR" w:bidi="ar-EG"/>
        </w:rPr>
        <w:t xml:space="preserve"> مشاهدة فريدة للصفحة في اليوم الواحد. وحافظ استخدام ركن البراءات على استقراره وسجل 000</w:t>
      </w:r>
      <w:r w:rsidR="000B5473">
        <w:rPr>
          <w:rFonts w:hint="cs"/>
          <w:sz w:val="34"/>
          <w:szCs w:val="34"/>
          <w:rtl/>
          <w:lang w:val="fr-FR" w:bidi="ar-EG"/>
        </w:rPr>
        <w:t> </w:t>
      </w:r>
      <w:r w:rsidR="000B5473" w:rsidRPr="009178C3">
        <w:rPr>
          <w:sz w:val="34"/>
          <w:szCs w:val="34"/>
          <w:rtl/>
          <w:lang w:val="fr-FR" w:bidi="ar-EG"/>
        </w:rPr>
        <w:t>221</w:t>
      </w:r>
      <w:r w:rsidRPr="009178C3">
        <w:rPr>
          <w:sz w:val="34"/>
          <w:szCs w:val="34"/>
          <w:rtl/>
          <w:lang w:val="fr-FR" w:bidi="ar-EG"/>
        </w:rPr>
        <w:t xml:space="preserve"> زيارة فريدة في الفصل الواحد في نهاية الثنائية، مما يفيد أن مستويات الخدمة في محرك بحث ركن البراءات قد نضجت بالقدر الكافي لبلوغ نقطة تراجع العائدات. كما سجل عدد المجموعات في ركن البراءات زيادة قدرها 19 بال</w:t>
      </w:r>
      <w:r w:rsidR="000B5473">
        <w:rPr>
          <w:sz w:val="34"/>
          <w:szCs w:val="34"/>
          <w:rtl/>
          <w:lang w:val="fr-FR" w:bidi="ar-EG"/>
        </w:rPr>
        <w:t>مئة</w:t>
      </w:r>
      <w:r w:rsidRPr="009178C3">
        <w:rPr>
          <w:sz w:val="34"/>
          <w:szCs w:val="34"/>
          <w:rtl/>
          <w:lang w:val="fr-FR" w:bidi="ar-EG"/>
        </w:rPr>
        <w:t xml:space="preserve"> عن عام 2013، وبذلك يصبح إجمالي ع</w:t>
      </w:r>
      <w:r w:rsidR="000B5473">
        <w:rPr>
          <w:sz w:val="34"/>
          <w:szCs w:val="34"/>
          <w:rtl/>
          <w:lang w:val="fr-FR" w:bidi="ar-EG"/>
        </w:rPr>
        <w:t>دد المجموعات الوطنية والإقليمية</w:t>
      </w:r>
      <w:r w:rsidRPr="009178C3">
        <w:rPr>
          <w:sz w:val="34"/>
          <w:szCs w:val="34"/>
          <w:rtl/>
          <w:lang w:val="fr-FR" w:bidi="ar-EG"/>
        </w:rPr>
        <w:t xml:space="preserve"> 43 (مقارنة بعدد 36 في نهاية 2013) وبذلك يتخطى إجمالي عدد </w:t>
      </w:r>
      <w:proofErr w:type="spellStart"/>
      <w:r w:rsidRPr="009178C3">
        <w:rPr>
          <w:sz w:val="34"/>
          <w:szCs w:val="34"/>
          <w:rtl/>
          <w:lang w:val="fr-FR" w:bidi="ar-EG"/>
        </w:rPr>
        <w:t>التدوينات</w:t>
      </w:r>
      <w:proofErr w:type="spellEnd"/>
      <w:r w:rsidRPr="009178C3">
        <w:rPr>
          <w:sz w:val="34"/>
          <w:szCs w:val="34"/>
          <w:rtl/>
          <w:lang w:val="fr-FR" w:bidi="ar-EG"/>
        </w:rPr>
        <w:t xml:space="preserve"> المتضمنة أكثر من 50 مليون (مقارنة بعدد 34 مليونا في نهاية 2013) أي ما يوازي زيادة قدرها 47 بال</w:t>
      </w:r>
      <w:r w:rsidR="000B5473">
        <w:rPr>
          <w:sz w:val="34"/>
          <w:szCs w:val="34"/>
          <w:rtl/>
          <w:lang w:val="fr-FR" w:bidi="ar-EG"/>
        </w:rPr>
        <w:t>مئة</w:t>
      </w:r>
      <w:r w:rsidRPr="009178C3">
        <w:rPr>
          <w:sz w:val="34"/>
          <w:szCs w:val="34"/>
          <w:rtl/>
          <w:lang w:val="fr-FR" w:bidi="ar-EG"/>
        </w:rPr>
        <w:t xml:space="preserve"> مقارنة بعام 2013.</w:t>
      </w:r>
    </w:p>
    <w:p w:rsidR="009178C3" w:rsidRPr="009178C3" w:rsidRDefault="009178C3" w:rsidP="009178C3">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t>ومع استحداث وظيفة قوية للبحث حسب تشابه الصور، تجاوز استخدام قاعدة البيانات العالمية للعلامات التوسيم التوقعات في 2014/15، إذ تضاعف عدد الزيارات الفريدة في الفصل أكثر من أربع مرات من 23 ألف في عام 2013 إلى 80000. وتضاعف عدد المجموعات الوطنية أكثر من مرتين وانتقل من 12 في نهاية 2013 إلى 26 في نهاية 2015. وبالمثل وزاد إجمالي عدد المدونات المتضمنة في النظام بأكثر من الضعف في 2014/15 وانتقل من 12 مليون إلى أكثر من 24 مليون مدونة.</w:t>
      </w:r>
    </w:p>
    <w:p w:rsidR="009178C3" w:rsidRPr="009178C3" w:rsidRDefault="009178C3" w:rsidP="000B5473">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t>ومن أهم المستجدات في الثنائية هو إطلاق خدمة جديدة في يناير 2015 وهي قاعدة البيانات العالمية للتصاميم الصناعية. وبنهاية 2015 أي بعد سنة واحدة من الإطلاق، كانت قاعدة البيانات العالمية للتصاميم قد حققت بالفعل 14000 زيارة فريدة في الفصل وهو رقم مبهر. وإضافة إلى</w:t>
      </w:r>
      <w:r w:rsidR="000B5473">
        <w:rPr>
          <w:sz w:val="34"/>
          <w:szCs w:val="34"/>
          <w:rtl/>
          <w:lang w:val="fr-FR" w:bidi="ar-EG"/>
        </w:rPr>
        <w:t xml:space="preserve"> ذلك، بلغ عدد المجموعات الوطنية</w:t>
      </w:r>
      <w:r w:rsidRPr="009178C3">
        <w:rPr>
          <w:sz w:val="34"/>
          <w:szCs w:val="34"/>
          <w:rtl/>
          <w:lang w:val="fr-FR" w:bidi="ar-EG"/>
        </w:rPr>
        <w:t xml:space="preserve"> خمسة واحتوت على أكثر من 1.5 </w:t>
      </w:r>
      <w:r w:rsidR="000B5473">
        <w:rPr>
          <w:rFonts w:hint="cs"/>
          <w:sz w:val="34"/>
          <w:szCs w:val="34"/>
          <w:rtl/>
          <w:lang w:val="fr-FR" w:bidi="ar-EG"/>
        </w:rPr>
        <w:t>مليون</w:t>
      </w:r>
      <w:r w:rsidRPr="009178C3">
        <w:rPr>
          <w:sz w:val="34"/>
          <w:szCs w:val="34"/>
          <w:rtl/>
          <w:lang w:val="fr-FR" w:bidi="ar-EG"/>
        </w:rPr>
        <w:t xml:space="preserve"> وثيقة تصميم.</w:t>
      </w:r>
    </w:p>
    <w:p w:rsidR="009178C3" w:rsidRPr="009178C3" w:rsidRDefault="009178C3" w:rsidP="009178C3">
      <w:pPr>
        <w:pStyle w:val="NormalParaAR"/>
        <w:numPr>
          <w:ilvl w:val="0"/>
          <w:numId w:val="44"/>
        </w:numPr>
        <w:spacing w:after="120" w:line="340" w:lineRule="exact"/>
        <w:ind w:left="0" w:firstLine="0"/>
        <w:rPr>
          <w:sz w:val="34"/>
          <w:szCs w:val="34"/>
          <w:rtl/>
          <w:lang w:val="fr-FR" w:bidi="ar-EG"/>
        </w:rPr>
      </w:pPr>
      <w:r w:rsidRPr="009178C3">
        <w:rPr>
          <w:sz w:val="34"/>
          <w:szCs w:val="34"/>
          <w:rtl/>
          <w:lang w:val="fr-FR" w:bidi="ar-EG"/>
        </w:rPr>
        <w:t>وبالرغم من عدم انتظام التقدم في 2014، تحسن الوضع بشدة في التصنيفات الدولية ومعايير الويبو للملكية الفكرية في 2015 وتجاوز التوقعات في بعض المجالات ولم يدركها في مجالات أخرى. وبالنسبة إلى تصنيف نيس، أدرِج ما مجموعه 1480 تعديلاً جديداً و25 ملف معلومات جديداً في الثنائية. ومثل عدد التعديلات زيادة بنسبة 94 بال</w:t>
      </w:r>
      <w:r w:rsidR="000B5473">
        <w:rPr>
          <w:sz w:val="34"/>
          <w:szCs w:val="34"/>
          <w:rtl/>
          <w:lang w:val="fr-FR" w:bidi="ar-EG"/>
        </w:rPr>
        <w:t>مئة</w:t>
      </w:r>
      <w:r w:rsidRPr="009178C3">
        <w:rPr>
          <w:sz w:val="34"/>
          <w:szCs w:val="34"/>
          <w:rtl/>
          <w:lang w:val="fr-FR" w:bidi="ar-EG"/>
        </w:rPr>
        <w:t xml:space="preserve"> مقارنةً بعام 2012/13. وفي التصنيف الدولي للبراءات، دُشِّنت في أبريل 2014 منصة النشر المعدلة لتيسير استخدام النظام، وقد تضمنت أداة بحث جديدة والعارض المتوازي للتصنيف الدولي للبراءات/التصنيف التعاوني للبراءات/فهرس الملفات (</w:t>
      </w:r>
      <w:r w:rsidRPr="009178C3">
        <w:rPr>
          <w:sz w:val="34"/>
          <w:szCs w:val="34"/>
          <w:lang w:val="fr-FR" w:bidi="ar-EG"/>
        </w:rPr>
        <w:t>IPC/CPC/FI</w:t>
      </w:r>
      <w:r w:rsidRPr="009178C3">
        <w:rPr>
          <w:sz w:val="34"/>
          <w:szCs w:val="34"/>
          <w:rtl/>
          <w:lang w:val="fr-FR" w:bidi="ar-EG"/>
        </w:rPr>
        <w:t>). ونظرا لزيادة المشروعات الجديدة للمراجعة المتأتية من المكاتب الخمس للملكية الفكرية ومن الأوساط المعنية بالتصنيف الدولي للبراءات، تجاوز عدد الشعب الفرعية الجديدة المضافة في 2015 (1031) الهدف السنوي بنسبة 28 بال</w:t>
      </w:r>
      <w:r w:rsidR="000B5473">
        <w:rPr>
          <w:sz w:val="34"/>
          <w:szCs w:val="34"/>
          <w:rtl/>
          <w:lang w:val="fr-FR" w:bidi="ar-EG"/>
        </w:rPr>
        <w:t>مئة</w:t>
      </w:r>
      <w:r w:rsidRPr="009178C3">
        <w:rPr>
          <w:sz w:val="34"/>
          <w:szCs w:val="34"/>
          <w:rtl/>
          <w:lang w:val="fr-FR" w:bidi="ar-EG"/>
        </w:rPr>
        <w:t>، وقفز في 2014 ليحقق الهدف. </w:t>
      </w:r>
      <w:r w:rsidRPr="009178C3">
        <w:rPr>
          <w:sz w:val="34"/>
          <w:szCs w:val="34"/>
          <w:rtl/>
          <w:lang w:bidi="ar-EG"/>
        </w:rPr>
        <w:t>أما اللجنة المعنية بمعايير الويبو فلم تتمكن من اعتماد جدول أعمال في دروتها الرابعة بسبب</w:t>
      </w:r>
      <w:r w:rsidRPr="009178C3">
        <w:rPr>
          <w:sz w:val="34"/>
          <w:szCs w:val="34"/>
          <w:rtl/>
          <w:lang w:val="fr-FR" w:bidi="ar-EG"/>
        </w:rPr>
        <w:t xml:space="preserve"> عدم إضفاء الصبغة الرسمية على بعض القرارات غير الرسمية. ورغم هذه الانتكاسة اعتُمد معيار واحد جديد وعُدل معيار واحد بشكل غير رسمي في عام 2014. واستمر هذا الجمود في 2015 بسبب غياب اعتماد رسمي لهذه المعايير الجديدة. غير أن العمل غير الرسمي تواصل في أفرقة العمل وهي مجموعات تضم خبراء يعينهم أعضاء ومراقبون في اللجنة المعنية بمعايير الويبو، لمعالجة المهام الخاصة. ومن المتوقع أن تعتمد اللجنة عدة معايير عند انعقادها من جديد في 2016. وأظهر استخدام أدوات الإنترنت للنفاذ إلى منشورات التصنيفات والمعايير نمواً مستقراً، حيث ارتفع عدد الزيارات إلى منشورات التصنيف الدولي للبراءات ارتفاعاً معتبراً (زيادة بنسبة 107 بال</w:t>
      </w:r>
      <w:r w:rsidR="000B5473">
        <w:rPr>
          <w:sz w:val="34"/>
          <w:szCs w:val="34"/>
          <w:rtl/>
          <w:lang w:val="fr-FR" w:bidi="ar-EG"/>
        </w:rPr>
        <w:t>مئة</w:t>
      </w:r>
      <w:r w:rsidRPr="009178C3">
        <w:rPr>
          <w:sz w:val="34"/>
          <w:szCs w:val="34"/>
          <w:rtl/>
          <w:lang w:val="fr-FR" w:bidi="ar-EG"/>
        </w:rPr>
        <w:t xml:space="preserve"> مقارنةً بعام 2013)، نظراً لإدراج تصنيفات معدلة وأدوات جديدة.</w:t>
      </w:r>
    </w:p>
    <w:p w:rsidR="009178C3" w:rsidRPr="009178C3" w:rsidRDefault="009178C3" w:rsidP="00E32E98">
      <w:pPr>
        <w:pStyle w:val="NormalParaAR"/>
        <w:keepLines/>
        <w:numPr>
          <w:ilvl w:val="0"/>
          <w:numId w:val="44"/>
        </w:numPr>
        <w:spacing w:after="120" w:line="340" w:lineRule="exact"/>
        <w:ind w:left="0" w:firstLine="0"/>
        <w:rPr>
          <w:sz w:val="34"/>
          <w:szCs w:val="34"/>
          <w:rtl/>
          <w:lang w:bidi="ar-EG"/>
        </w:rPr>
      </w:pPr>
      <w:r w:rsidRPr="009178C3">
        <w:rPr>
          <w:sz w:val="34"/>
          <w:szCs w:val="34"/>
          <w:rtl/>
          <w:lang w:bidi="ar-EG"/>
        </w:rPr>
        <w:lastRenderedPageBreak/>
        <w:t>وشهدت الثنائية 2014/15 زيادة في إجمالي عدد الدول الأعضاء التي أنشأت مراكز دعم التكنولوجيا والابتكار في أقطارها إلى 50 دولة و11 شبكة إضافية وزيادة قدرها 28 بال</w:t>
      </w:r>
      <w:r w:rsidR="000B5473">
        <w:rPr>
          <w:sz w:val="34"/>
          <w:szCs w:val="34"/>
          <w:rtl/>
          <w:lang w:bidi="ar-EG"/>
        </w:rPr>
        <w:t>مئة</w:t>
      </w:r>
      <w:r w:rsidRPr="009178C3">
        <w:rPr>
          <w:sz w:val="34"/>
          <w:szCs w:val="34"/>
          <w:rtl/>
          <w:lang w:bidi="ar-EG"/>
        </w:rPr>
        <w:t xml:space="preserve"> عن 2012/13. وواصل البرنامج تركيزه على تعزيز استدامة الشبكات على المدى الطويل، وفي نهاية عام 2015 اعتبرت 25 شبكة لمراكز دعم التكنولوجيا والابتكار مستدامة. وتواصل المنصة الإلكترونية لإدارة المعارف تسجيل نمو قوي، إذ تضاعف عدد الأعضاء ليبلغ نحو 1500 عضو من 115 بلدا في نهاية عام 2015 مقارنة بعدد 700 عضو في الثنائية السابقة. وأضافت المنصة 16 ندوة عبر الإنترنت واستضافت 10 جلسات سؤال وجواب حية مع خبراء في دعم الابتكار.</w:t>
      </w:r>
    </w:p>
    <w:p w:rsidR="009178C3" w:rsidRPr="009178C3" w:rsidRDefault="009178C3" w:rsidP="009178C3">
      <w:pPr>
        <w:pStyle w:val="NormalParaAR"/>
        <w:keepNext/>
        <w:numPr>
          <w:ilvl w:val="0"/>
          <w:numId w:val="44"/>
        </w:numPr>
        <w:spacing w:after="120" w:line="340" w:lineRule="exact"/>
        <w:ind w:left="0" w:firstLine="0"/>
        <w:rPr>
          <w:sz w:val="34"/>
          <w:szCs w:val="34"/>
          <w:rtl/>
          <w:lang w:bidi="ar-EG"/>
        </w:rPr>
      </w:pPr>
      <w:r w:rsidRPr="009178C3">
        <w:rPr>
          <w:sz w:val="34"/>
          <w:szCs w:val="34"/>
          <w:rtl/>
          <w:lang w:bidi="ar-EG"/>
        </w:rPr>
        <w:t>واستجابة للطلب واصل المكتب الدولي تطوير المنتجات لدعم إجراءات العمل لدى مكاتب الملكية الفكرية لا سيما نظام إدارة الملكية الصناعية والنماذج الداعمة. ومن السمات الرئيسية الجديدة التي أضيفت في الثنائية تحسينُ دعم إدارة الوثائق إلكترونيا ودعم الإجراءات بلغتين خاصة في المكاتب التي تعمل باللغة العربية. وأعد نموذجان جديدان واستخدما تجريبيا في عدة مكاتب للملكية الفكرية.</w:t>
      </w:r>
      <w:r w:rsidRPr="009178C3">
        <w:rPr>
          <w:sz w:val="34"/>
          <w:szCs w:val="34"/>
          <w:rtl/>
        </w:rPr>
        <w:t xml:space="preserve"> و</w:t>
      </w:r>
      <w:r w:rsidRPr="009178C3">
        <w:rPr>
          <w:sz w:val="34"/>
          <w:szCs w:val="34"/>
          <w:rtl/>
          <w:lang w:bidi="ar-EG"/>
        </w:rPr>
        <w:t>طور نموذجان جديدان وجرى وتجريبهما في عدد من مكاتب الملكية الفكرية وهما:</w:t>
      </w:r>
    </w:p>
    <w:p w:rsidR="009178C3" w:rsidRPr="009178C3" w:rsidRDefault="009178C3" w:rsidP="00CC1B2B">
      <w:pPr>
        <w:pStyle w:val="NormalParaAR"/>
        <w:numPr>
          <w:ilvl w:val="0"/>
          <w:numId w:val="70"/>
        </w:numPr>
        <w:tabs>
          <w:tab w:val="right" w:pos="6825"/>
        </w:tabs>
        <w:spacing w:after="120" w:line="340" w:lineRule="exact"/>
        <w:rPr>
          <w:sz w:val="34"/>
          <w:szCs w:val="34"/>
          <w:lang w:bidi="ar-EG"/>
        </w:rPr>
      </w:pPr>
      <w:r w:rsidRPr="009178C3">
        <w:rPr>
          <w:sz w:val="34"/>
          <w:szCs w:val="34"/>
          <w:rtl/>
          <w:lang w:bidi="ar-EG"/>
        </w:rPr>
        <w:t xml:space="preserve">نظام </w:t>
      </w:r>
      <w:r w:rsidRPr="009178C3">
        <w:rPr>
          <w:sz w:val="34"/>
          <w:szCs w:val="34"/>
          <w:lang w:bidi="ar-EG"/>
        </w:rPr>
        <w:t>WIPO Publish</w:t>
      </w:r>
      <w:r w:rsidRPr="009178C3">
        <w:rPr>
          <w:sz w:val="34"/>
          <w:szCs w:val="34"/>
          <w:rtl/>
          <w:lang w:bidi="ar-EG"/>
        </w:rPr>
        <w:t xml:space="preserve"> الذي صمم لتلبية احتياجات المكاتب من حيث نشر البيانات المتعلقة بالملكية الفكرية والوثائق والوضع القانوني ومعلومات الملفات على الإنترنت، وتلبية احتياجاتها من حيث تبادل البيانات (بما في ذلك تبادل البيانات بشأن قواعد بيانات الويبو العالمية). وأعد للاستخدام الداخلي في أكثر من 10 مكاتب ولنشر المعلومات بشأن الملكية الفكرية على الإنترنت في عدة مكاتب أخرى.</w:t>
      </w:r>
    </w:p>
    <w:p w:rsidR="009178C3" w:rsidRPr="009178C3" w:rsidRDefault="009178C3" w:rsidP="00CC1B2B">
      <w:pPr>
        <w:pStyle w:val="NormalParaAR"/>
        <w:numPr>
          <w:ilvl w:val="0"/>
          <w:numId w:val="70"/>
        </w:numPr>
        <w:tabs>
          <w:tab w:val="right" w:pos="6825"/>
        </w:tabs>
        <w:spacing w:after="120" w:line="340" w:lineRule="exact"/>
        <w:rPr>
          <w:sz w:val="34"/>
          <w:szCs w:val="34"/>
          <w:rtl/>
          <w:lang w:bidi="ar-EG"/>
        </w:rPr>
      </w:pPr>
      <w:r w:rsidRPr="009178C3">
        <w:rPr>
          <w:sz w:val="34"/>
          <w:szCs w:val="34"/>
          <w:rtl/>
          <w:lang w:bidi="ar-EG"/>
        </w:rPr>
        <w:t xml:space="preserve">ونظام </w:t>
      </w:r>
      <w:r w:rsidRPr="009178C3">
        <w:rPr>
          <w:sz w:val="34"/>
          <w:szCs w:val="34"/>
          <w:lang w:bidi="ar-EG"/>
        </w:rPr>
        <w:t>WIPO File</w:t>
      </w:r>
      <w:r w:rsidRPr="009178C3">
        <w:rPr>
          <w:sz w:val="34"/>
          <w:szCs w:val="34"/>
          <w:rtl/>
          <w:lang w:bidi="ar-EG"/>
        </w:rPr>
        <w:t xml:space="preserve"> الذي صمم لإتاحة حلول الإيداع على الإنترنت للمكاتب الصغيرة والمتوسطة، بما في ذلك المرونة كي يواءم النظام بقدر كبير مع الظروف المحلية (مثل أنظمة السداد المحلية). وجرى اختبار هذا النظام بنجاح في أحد مكاتب الملكية الفكرية ويستخدم للإيداع الإلكتروني في هذا المكتب.</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ودُشّن مشروع شبكة الويبو لحق المؤلف (الذي أعقب برنامج </w:t>
      </w:r>
      <w:proofErr w:type="spellStart"/>
      <w:r w:rsidRPr="009178C3">
        <w:rPr>
          <w:sz w:val="34"/>
          <w:szCs w:val="34"/>
          <w:rtl/>
          <w:lang w:bidi="ar-EG"/>
        </w:rPr>
        <w:t>ويبوكوس</w:t>
      </w:r>
      <w:proofErr w:type="spellEnd"/>
      <w:r w:rsidRPr="009178C3">
        <w:rPr>
          <w:sz w:val="34"/>
          <w:szCs w:val="34"/>
          <w:rtl/>
          <w:lang w:bidi="ar-EG"/>
        </w:rPr>
        <w:t xml:space="preserve"> </w:t>
      </w:r>
      <w:r w:rsidRPr="009178C3">
        <w:rPr>
          <w:sz w:val="34"/>
          <w:szCs w:val="34"/>
          <w:lang w:bidi="ar-EG"/>
        </w:rPr>
        <w:t>(WIPOCOS)</w:t>
      </w:r>
      <w:r w:rsidRPr="009178C3">
        <w:rPr>
          <w:sz w:val="34"/>
          <w:szCs w:val="34"/>
          <w:rtl/>
          <w:lang w:bidi="ar-EG"/>
        </w:rPr>
        <w:t xml:space="preserve">) في عام 2014 أيضا بهدف إعداد نظام مترابط لإدارة حقوق المؤلف والحقوق المجاورة. وكان النظام في آخر مراحل الإعداد في نهاية 2014/15 وسينفذ في منظمات الإدارة الجماعية في البلدان النامية وأقل البلدان نموا بدءا من عام 2016. </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واستنادا إلى عملية المواصفات والمراجعة مع المكاتب المشاركة، دشنت نسخة جديدة لبوابة خدمات النفاذ الرقمي لدعم الإطار المنقح </w:t>
      </w:r>
      <w:r w:rsidRPr="009178C3">
        <w:rPr>
          <w:sz w:val="34"/>
          <w:szCs w:val="34"/>
          <w:lang w:bidi="ar-EG"/>
        </w:rPr>
        <w:t>DAS 2.0</w:t>
      </w:r>
      <w:r w:rsidRPr="009178C3">
        <w:rPr>
          <w:sz w:val="34"/>
          <w:szCs w:val="34"/>
          <w:rtl/>
          <w:lang w:bidi="ar-EG"/>
        </w:rPr>
        <w:t xml:space="preserve"> في ديسمبر 2014. وظل عدد المكاتب المشاركة ثابتا عند 11 مكتبا في عام 2014. ورُبط نظام الويبو للنفاذ المركزي إلى البحث والفحص (</w:t>
      </w:r>
      <w:r w:rsidRPr="009178C3">
        <w:rPr>
          <w:sz w:val="34"/>
          <w:szCs w:val="34"/>
          <w:lang w:bidi="ar-EG"/>
        </w:rPr>
        <w:t>WIPO CASE</w:t>
      </w:r>
      <w:r w:rsidRPr="009178C3">
        <w:rPr>
          <w:sz w:val="34"/>
          <w:szCs w:val="34"/>
          <w:rtl/>
          <w:lang w:bidi="ar-EG"/>
        </w:rPr>
        <w:t xml:space="preserve">) في أبريل 2014 بنظام منصة الملف الواحد الخاص بالمكاتب الخمس للملكية الفكرية </w:t>
      </w:r>
      <w:r w:rsidRPr="009178C3">
        <w:rPr>
          <w:sz w:val="34"/>
          <w:szCs w:val="34"/>
          <w:lang w:bidi="ar-EG"/>
        </w:rPr>
        <w:t>IP5</w:t>
      </w:r>
      <w:r w:rsidRPr="009178C3">
        <w:rPr>
          <w:sz w:val="34"/>
          <w:szCs w:val="34"/>
          <w:rtl/>
          <w:lang w:bidi="ar-EG"/>
        </w:rPr>
        <w:t xml:space="preserve">، ما أتاح تبادل معلومات الملفات بالكامل في الاتجاهين بين نظام </w:t>
      </w:r>
      <w:r w:rsidRPr="009178C3">
        <w:rPr>
          <w:sz w:val="34"/>
          <w:szCs w:val="34"/>
          <w:lang w:bidi="ar-EG"/>
        </w:rPr>
        <w:t>WIPO CASE</w:t>
      </w:r>
      <w:r w:rsidRPr="009178C3">
        <w:rPr>
          <w:sz w:val="34"/>
          <w:szCs w:val="34"/>
          <w:rtl/>
          <w:lang w:bidi="ar-EG"/>
        </w:rPr>
        <w:t xml:space="preserve"> والمكاتب الخمس للملكية الفكرية </w:t>
      </w:r>
      <w:r w:rsidRPr="009178C3">
        <w:rPr>
          <w:sz w:val="34"/>
          <w:szCs w:val="34"/>
          <w:lang w:bidi="ar-EG"/>
        </w:rPr>
        <w:t>IP5</w:t>
      </w:r>
      <w:r w:rsidRPr="009178C3">
        <w:rPr>
          <w:sz w:val="34"/>
          <w:szCs w:val="34"/>
          <w:rtl/>
          <w:lang w:bidi="ar-EG"/>
        </w:rPr>
        <w:t>. وسجلت عدة مكاتب جديدة لاستخدام النظام في الثنائية، فبلغ العدد الإجمالي للمكاتب المشاركة 21 مكتبا وافقت 10 منها على تقديم معلومات ملفاتها إلى الآخرين.</w:t>
      </w:r>
    </w:p>
    <w:p w:rsidR="009178C3" w:rsidRPr="009178C3" w:rsidRDefault="009178C3" w:rsidP="003C2A9C">
      <w:pPr>
        <w:pStyle w:val="NormalParaAR"/>
        <w:numPr>
          <w:ilvl w:val="0"/>
          <w:numId w:val="44"/>
        </w:numPr>
        <w:spacing w:after="120" w:line="340" w:lineRule="exact"/>
        <w:ind w:left="0" w:firstLine="0"/>
        <w:rPr>
          <w:b/>
          <w:bCs/>
          <w:sz w:val="34"/>
          <w:szCs w:val="34"/>
          <w:rtl/>
          <w:lang w:bidi="ar-EG"/>
        </w:rPr>
      </w:pPr>
      <w:r w:rsidRPr="009178C3">
        <w:rPr>
          <w:sz w:val="34"/>
          <w:szCs w:val="34"/>
          <w:rtl/>
          <w:lang w:bidi="ar-EG"/>
        </w:rPr>
        <w:t>وفي يونيو 2014، أنشئ كيان جديد يضم عدد من أصحاب المصلحة، وهو اتحاد الكتب الميسرة (</w:t>
      </w:r>
      <w:r w:rsidRPr="009178C3">
        <w:rPr>
          <w:sz w:val="34"/>
          <w:szCs w:val="34"/>
          <w:lang w:bidi="ar-EG"/>
        </w:rPr>
        <w:t>ABC</w:t>
      </w:r>
      <w:r w:rsidRPr="009178C3">
        <w:rPr>
          <w:sz w:val="34"/>
          <w:szCs w:val="34"/>
          <w:rtl/>
          <w:lang w:bidi="ar-EG"/>
        </w:rPr>
        <w:t xml:space="preserve">) لزيادة عدد الكتب المتاحة في نسق يمكن النفاذ إليه لمن يعانون من إعاقة في القراءة في العالم. وأجرى الاتحاد ثلاثة أنشطة أساسية هي "1" تقديم المساعدة التقنية في إنتاج الكتب الميسرة (بتمويل من أستراليا وجمهورية كوريا)؛ "2" والنشر الجامع الذي يروج للتكنولوجيات تتيح النشر "الميسّر من الأساس" حتى تكون الكتب الجديدة قابلة من أول الأمر لاستخدام المبصرين والأشخاص ذوي الإعاقات في قراءة المطبوعات على حدٍ سواء؛ "3" وخدمة </w:t>
      </w:r>
      <w:r w:rsidRPr="009178C3">
        <w:rPr>
          <w:sz w:val="34"/>
          <w:szCs w:val="34"/>
          <w:lang w:bidi="ar-EG"/>
        </w:rPr>
        <w:t>ABC</w:t>
      </w:r>
      <w:r w:rsidRPr="009178C3">
        <w:rPr>
          <w:sz w:val="34"/>
          <w:szCs w:val="34"/>
          <w:rtl/>
          <w:lang w:bidi="ar-EG"/>
        </w:rPr>
        <w:t xml:space="preserve"> للكتب (المعروفة باسم خدمة نظام الوسطاء الموثوقين للموارد المتاحة عالميا </w:t>
      </w:r>
      <w:r w:rsidRPr="009178C3">
        <w:rPr>
          <w:sz w:val="34"/>
          <w:szCs w:val="34"/>
          <w:lang w:bidi="ar-EG"/>
        </w:rPr>
        <w:t>TIGAR</w:t>
      </w:r>
      <w:r w:rsidRPr="009178C3">
        <w:rPr>
          <w:sz w:val="34"/>
          <w:szCs w:val="34"/>
          <w:rtl/>
          <w:lang w:bidi="ar-EG"/>
        </w:rPr>
        <w:t>)، وهي عبارة عن قاعدة بيانات بها عناوين يمكن النفاذ إليها بخمس وخمسين لغة. وبموجب النشاط الأول، أنتج الاتحاد 1580 كتابا تعليميا يفيد 23500 طالب يعاني من إعاقة في القراءة في</w:t>
      </w:r>
      <w:r w:rsidRPr="009178C3">
        <w:rPr>
          <w:sz w:val="34"/>
          <w:szCs w:val="34"/>
          <w:lang w:bidi="ar-EG"/>
        </w:rPr>
        <w:t xml:space="preserve"> </w:t>
      </w:r>
      <w:r w:rsidRPr="009178C3">
        <w:rPr>
          <w:sz w:val="34"/>
          <w:szCs w:val="34"/>
          <w:rtl/>
          <w:lang w:bidi="ar-EG"/>
        </w:rPr>
        <w:t>بنغلاديش</w:t>
      </w:r>
      <w:r w:rsidRPr="009178C3">
        <w:rPr>
          <w:sz w:val="34"/>
          <w:szCs w:val="34"/>
          <w:lang w:bidi="ar-EG"/>
        </w:rPr>
        <w:t xml:space="preserve"> </w:t>
      </w:r>
      <w:r w:rsidRPr="009178C3">
        <w:rPr>
          <w:sz w:val="34"/>
          <w:szCs w:val="34"/>
          <w:rtl/>
          <w:lang w:bidi="ar-EG"/>
        </w:rPr>
        <w:t>والهند ونيبال وسري</w:t>
      </w:r>
      <w:r w:rsidRPr="009178C3">
        <w:rPr>
          <w:sz w:val="34"/>
          <w:szCs w:val="34"/>
          <w:lang w:bidi="ar-EG"/>
        </w:rPr>
        <w:t xml:space="preserve"> </w:t>
      </w:r>
      <w:proofErr w:type="spellStart"/>
      <w:r w:rsidRPr="009178C3">
        <w:rPr>
          <w:sz w:val="34"/>
          <w:szCs w:val="34"/>
          <w:rtl/>
          <w:lang w:bidi="ar-EG"/>
        </w:rPr>
        <w:t>لانكا</w:t>
      </w:r>
      <w:proofErr w:type="spellEnd"/>
      <w:r w:rsidRPr="009178C3">
        <w:rPr>
          <w:sz w:val="34"/>
          <w:szCs w:val="34"/>
          <w:rtl/>
          <w:lang w:bidi="ar-EG"/>
        </w:rPr>
        <w:t xml:space="preserve">. وبموجب النشاط الثاني، رعي الاتحادُ </w:t>
      </w:r>
      <w:r w:rsidRPr="009178C3">
        <w:rPr>
          <w:i/>
          <w:iCs/>
          <w:sz w:val="34"/>
          <w:szCs w:val="34"/>
          <w:rtl/>
          <w:lang w:bidi="ar-EG"/>
        </w:rPr>
        <w:t>ميثاقَ النشر الميسر وجائزة التمييز الدولية للنشر الميسر</w:t>
      </w:r>
      <w:r w:rsidRPr="009178C3">
        <w:rPr>
          <w:sz w:val="34"/>
          <w:szCs w:val="34"/>
          <w:rtl/>
          <w:lang w:bidi="ar-EG"/>
        </w:rPr>
        <w:t xml:space="preserve"> </w:t>
      </w:r>
      <w:r w:rsidRPr="009178C3">
        <w:rPr>
          <w:i/>
          <w:iCs/>
          <w:sz w:val="34"/>
          <w:szCs w:val="34"/>
          <w:rtl/>
          <w:lang w:bidi="ar-EG"/>
        </w:rPr>
        <w:t>التابعة للاتحاد</w:t>
      </w:r>
      <w:r w:rsidRPr="009178C3">
        <w:rPr>
          <w:sz w:val="34"/>
          <w:szCs w:val="34"/>
          <w:rtl/>
          <w:lang w:bidi="ar-EG"/>
        </w:rPr>
        <w:t xml:space="preserve">. وبنهاية 2015 نزَّلت 15 مكتبة مُشارِكة 4208 </w:t>
      </w:r>
      <w:r w:rsidR="003C2A9C">
        <w:rPr>
          <w:rFonts w:hint="cs"/>
          <w:sz w:val="34"/>
          <w:szCs w:val="34"/>
          <w:rtl/>
          <w:lang w:bidi="ar-EG"/>
        </w:rPr>
        <w:t>عناوين</w:t>
      </w:r>
      <w:r w:rsidRPr="009178C3">
        <w:rPr>
          <w:sz w:val="34"/>
          <w:szCs w:val="34"/>
          <w:rtl/>
          <w:lang w:bidi="ar-EG"/>
        </w:rPr>
        <w:t xml:space="preserve"> ميسر</w:t>
      </w:r>
      <w:r w:rsidR="003C2A9C">
        <w:rPr>
          <w:rFonts w:hint="cs"/>
          <w:sz w:val="34"/>
          <w:szCs w:val="34"/>
          <w:rtl/>
          <w:lang w:bidi="ar-EG"/>
        </w:rPr>
        <w:t>ة</w:t>
      </w:r>
      <w:r w:rsidRPr="009178C3">
        <w:rPr>
          <w:sz w:val="34"/>
          <w:szCs w:val="34"/>
          <w:rtl/>
          <w:lang w:bidi="ar-EG"/>
        </w:rPr>
        <w:t xml:space="preserve"> وجرت 58000 استعارة لكتب ميسرة لصالح أشخاص يعانون من إعاقة في القراءة في فترة التقرير.</w:t>
      </w:r>
    </w:p>
    <w:p w:rsidR="009178C3" w:rsidRPr="009178C3" w:rsidRDefault="009178C3" w:rsidP="009178C3">
      <w:pPr>
        <w:pStyle w:val="NormalParaAR"/>
        <w:keepNext/>
        <w:tabs>
          <w:tab w:val="right" w:pos="6825"/>
        </w:tabs>
        <w:spacing w:after="120" w:line="340" w:lineRule="exact"/>
        <w:jc w:val="center"/>
        <w:rPr>
          <w:b/>
          <w:bCs/>
          <w:sz w:val="34"/>
          <w:szCs w:val="34"/>
          <w:rtl/>
          <w:lang w:bidi="ar-EG"/>
        </w:rPr>
      </w:pPr>
      <w:r w:rsidRPr="009178C3">
        <w:rPr>
          <w:b/>
          <w:bCs/>
          <w:sz w:val="34"/>
          <w:szCs w:val="34"/>
          <w:rtl/>
          <w:lang w:bidi="ar-EG"/>
        </w:rPr>
        <w:lastRenderedPageBreak/>
        <w:t>الهدف الاستراتيجي الخامس: المصدر العالمي لمراجع المعلومات والدراسات المتعلقة بالملكية الفكرية</w:t>
      </w:r>
    </w:p>
    <w:p w:rsidR="009178C3" w:rsidRDefault="00993033" w:rsidP="009178C3">
      <w:pPr>
        <w:tabs>
          <w:tab w:val="left" w:pos="1132"/>
        </w:tabs>
        <w:bidi/>
        <w:spacing w:after="120"/>
        <w:jc w:val="center"/>
        <w:rPr>
          <w:rFonts w:ascii="Arabic Typesetting" w:hAnsi="Arabic Typesetting" w:cs="Arabic Typesetting"/>
          <w:b/>
          <w:bCs/>
          <w:sz w:val="34"/>
          <w:szCs w:val="34"/>
          <w:rtl/>
          <w:lang w:bidi="ar-EG"/>
        </w:rPr>
      </w:pPr>
      <w:r>
        <w:rPr>
          <w:rFonts w:ascii="Arabic Typesetting" w:hAnsi="Arabic Typesetting" w:cs="Arabic Typesetting"/>
          <w:b/>
          <w:bCs/>
          <w:noProof/>
          <w:sz w:val="34"/>
          <w:szCs w:val="34"/>
        </w:rPr>
        <w:drawing>
          <wp:inline distT="0" distB="0" distL="0" distR="0" wp14:anchorId="63AFEB4F">
            <wp:extent cx="5384042" cy="2590098"/>
            <wp:effectExtent l="0" t="0" r="7620" b="127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84935" cy="2590528"/>
                    </a:xfrm>
                    <a:prstGeom prst="rect">
                      <a:avLst/>
                    </a:prstGeom>
                    <a:noFill/>
                  </pic:spPr>
                </pic:pic>
              </a:graphicData>
            </a:graphic>
          </wp:inline>
        </w:drawing>
      </w:r>
    </w:p>
    <w:p w:rsidR="009178C3" w:rsidRPr="009178C3" w:rsidRDefault="009178C3" w:rsidP="009178C3">
      <w:pPr>
        <w:pStyle w:val="NormalParaAR"/>
        <w:keepNext/>
        <w:spacing w:after="120" w:line="340" w:lineRule="exact"/>
        <w:jc w:val="center"/>
        <w:rPr>
          <w:b/>
          <w:bCs/>
          <w:sz w:val="34"/>
          <w:szCs w:val="34"/>
          <w:lang w:val="fr-FR" w:bidi="ar-EG"/>
        </w:rPr>
      </w:pPr>
      <w:r w:rsidRPr="009178C3">
        <w:rPr>
          <w:b/>
          <w:bCs/>
          <w:sz w:val="34"/>
          <w:szCs w:val="34"/>
          <w:rtl/>
          <w:lang w:val="fr-FR" w:bidi="ar-EG"/>
        </w:rPr>
        <w:t>موجز الإنجازات بحسب النتيجة المرتقبة</w:t>
      </w:r>
    </w:p>
    <w:p w:rsidR="009178C3" w:rsidRPr="009178C3" w:rsidRDefault="00A601E3" w:rsidP="009178C3">
      <w:pPr>
        <w:tabs>
          <w:tab w:val="left" w:pos="1132"/>
        </w:tabs>
        <w:bidi/>
        <w:spacing w:after="120"/>
        <w:jc w:val="center"/>
        <w:rPr>
          <w:rFonts w:ascii="Arabic Typesetting" w:hAnsi="Arabic Typesetting" w:cs="Arabic Typesetting"/>
          <w:b/>
          <w:bCs/>
          <w:sz w:val="34"/>
          <w:szCs w:val="34"/>
          <w:lang w:val="fr-FR" w:bidi="ar-EG"/>
        </w:rPr>
      </w:pPr>
      <w:r>
        <w:rPr>
          <w:rFonts w:ascii="Arabic Typesetting" w:hAnsi="Arabic Typesetting" w:cs="Arabic Typesetting"/>
          <w:b/>
          <w:bCs/>
          <w:noProof/>
          <w:sz w:val="34"/>
          <w:szCs w:val="34"/>
        </w:rPr>
        <w:drawing>
          <wp:inline distT="0" distB="0" distL="0" distR="0" wp14:anchorId="1D2A50D5">
            <wp:extent cx="5800726" cy="1327518"/>
            <wp:effectExtent l="0" t="0" r="0" b="635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02002" cy="1327810"/>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أحرز عمل التحليل الاقتصادي للويبو تقدما ملحوظا في الثنائية نحو تحقيق هدف الترويج لتحاليل عالية الجودة تتناول التحديات الاقتصادية في النظام الدولي للملكية الفكرية وتقييم الآثار الاقتصادية لاختيارات سياسات الملكية الفكرية. ومن أبرز الإنجازات نَشرُ ثالث تقرير عالمي للملكية الفكرية بشأن الابتكار الخارق والنمو الاقتصادي، ونتج عنه أكثر من مقالة إعلامية وأثار اهتمام صناع السياسات والأوساط الأكاديمية في العالم. كما واصلت الويبو الاشتراك في نشر مؤشر الابتكار العالمي مع جامعة </w:t>
      </w:r>
      <w:proofErr w:type="spellStart"/>
      <w:r w:rsidRPr="009178C3">
        <w:rPr>
          <w:sz w:val="34"/>
          <w:szCs w:val="34"/>
          <w:rtl/>
          <w:lang w:bidi="ar-EG"/>
        </w:rPr>
        <w:t>كورنيل</w:t>
      </w:r>
      <w:proofErr w:type="spellEnd"/>
      <w:r w:rsidRPr="009178C3">
        <w:rPr>
          <w:sz w:val="34"/>
          <w:szCs w:val="34"/>
          <w:rtl/>
          <w:lang w:bidi="ar-EG"/>
        </w:rPr>
        <w:t xml:space="preserve"> </w:t>
      </w:r>
      <w:proofErr w:type="spellStart"/>
      <w:r w:rsidRPr="009178C3">
        <w:rPr>
          <w:sz w:val="34"/>
          <w:szCs w:val="34"/>
          <w:rtl/>
          <w:lang w:bidi="ar-EG"/>
        </w:rPr>
        <w:t>والإنسياد</w:t>
      </w:r>
      <w:proofErr w:type="spellEnd"/>
      <w:r w:rsidRPr="009178C3">
        <w:rPr>
          <w:sz w:val="34"/>
          <w:szCs w:val="34"/>
          <w:rtl/>
          <w:lang w:bidi="ar-EG"/>
        </w:rPr>
        <w:t>. وفي 2014/15 وللمرة الأولى جرى إطلاق المؤشر خارج جنيف وشاركت حكومة أستراليا في استضافة الإطلاق في 2014 وحكومة المملكة المتحدة في 2015. وبلغت التغطية الإعلامية وعلى مواقع التواصل الاجتماعي مستويات غير مسبوقة مقارنة بالثنائية السابقة.</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وتحققت إنجازات ملحوظة في الثنائية 2014/15 بشأن الدراسات الاقتصادية الموجهة لتعزيز عمل لجان الويبو. وتحققت بوجه خاص ثلاثة مشروعات من جدول أعمال التنمية بشأن الملكية الفكرية والتنمية الاجتماعية والاقتصادية، والملكية الفكرية والاقتصاد غير الرسمي، والملكية الفكرية ونزوح الأدمغة. وأُطلقت المرحلة الثانية من المشروع بشأن الملكية الفكرية والتنمية الاجتماعية والاقتصادية في 2015 ونقلت الأعمال الدراسية الأساسية إلى دول نامية أخرى.</w:t>
      </w:r>
    </w:p>
    <w:p w:rsidR="009178C3" w:rsidRPr="009178C3" w:rsidRDefault="009178C3" w:rsidP="009178C3">
      <w:pPr>
        <w:pStyle w:val="NormalParaAR"/>
        <w:numPr>
          <w:ilvl w:val="0"/>
          <w:numId w:val="44"/>
        </w:numPr>
        <w:spacing w:after="120" w:line="340" w:lineRule="exact"/>
        <w:ind w:left="0" w:firstLine="0"/>
        <w:rPr>
          <w:b/>
          <w:bCs/>
          <w:sz w:val="34"/>
          <w:szCs w:val="34"/>
          <w:rtl/>
          <w:lang w:bidi="ar-EG"/>
        </w:rPr>
      </w:pPr>
      <w:r w:rsidRPr="009178C3">
        <w:rPr>
          <w:sz w:val="34"/>
          <w:szCs w:val="34"/>
          <w:rtl/>
          <w:lang w:bidi="ar-EG"/>
        </w:rPr>
        <w:t xml:space="preserve">وأخيرا حقق العمل الإحصائي الذي أعد في </w:t>
      </w:r>
      <w:r w:rsidR="003C2A9C">
        <w:rPr>
          <w:rFonts w:hint="cs"/>
          <w:sz w:val="34"/>
          <w:szCs w:val="34"/>
          <w:rtl/>
          <w:lang w:bidi="ar-EG"/>
        </w:rPr>
        <w:t>ال</w:t>
      </w:r>
      <w:r w:rsidRPr="009178C3">
        <w:rPr>
          <w:sz w:val="34"/>
          <w:szCs w:val="34"/>
          <w:rtl/>
          <w:lang w:bidi="ar-EG"/>
        </w:rPr>
        <w:t xml:space="preserve">ثنائية 2014/15 هدف توفير معلومات إحصائية دقيقة وشاملة وفي حينها بشأن أداء نظام الملكية الفكرية في العالم. والأهم هو إجراء </w:t>
      </w:r>
      <w:proofErr w:type="spellStart"/>
      <w:r w:rsidRPr="009178C3">
        <w:rPr>
          <w:sz w:val="34"/>
          <w:szCs w:val="34"/>
          <w:rtl/>
          <w:lang w:bidi="ar-EG"/>
        </w:rPr>
        <w:t>استقصاءات</w:t>
      </w:r>
      <w:proofErr w:type="spellEnd"/>
      <w:r w:rsidRPr="009178C3">
        <w:rPr>
          <w:sz w:val="34"/>
          <w:szCs w:val="34"/>
          <w:rtl/>
          <w:lang w:bidi="ar-EG"/>
        </w:rPr>
        <w:t xml:space="preserve"> إحصائية سنوية بشأن مكاتب الملكية الفكرية الوطنية والإقليمية شهدت ارتفاعا في عدد الاستجابات الذي بلغ 127 مقارنة بعدد 112 في الثنائية السابقة.</w:t>
      </w:r>
    </w:p>
    <w:p w:rsidR="009178C3" w:rsidRPr="009178C3" w:rsidRDefault="009178C3" w:rsidP="00E32E98">
      <w:pPr>
        <w:pStyle w:val="NormalParaAR"/>
        <w:keepNext/>
        <w:tabs>
          <w:tab w:val="right" w:pos="6825"/>
        </w:tabs>
        <w:spacing w:after="120" w:line="340" w:lineRule="exact"/>
        <w:jc w:val="center"/>
        <w:rPr>
          <w:b/>
          <w:bCs/>
          <w:sz w:val="34"/>
          <w:szCs w:val="34"/>
          <w:rtl/>
          <w:lang w:bidi="ar-EG"/>
        </w:rPr>
      </w:pPr>
      <w:r w:rsidRPr="009178C3">
        <w:rPr>
          <w:b/>
          <w:bCs/>
          <w:sz w:val="34"/>
          <w:szCs w:val="34"/>
          <w:rtl/>
          <w:lang w:bidi="ar-EG"/>
        </w:rPr>
        <w:lastRenderedPageBreak/>
        <w:t xml:space="preserve">الهدف الاستراتيجي السادس: التعاون الدولي </w:t>
      </w:r>
      <w:r w:rsidR="00E32E98">
        <w:rPr>
          <w:rFonts w:hint="cs"/>
          <w:b/>
          <w:bCs/>
          <w:sz w:val="34"/>
          <w:szCs w:val="34"/>
          <w:rtl/>
          <w:lang w:bidi="ar-EG"/>
        </w:rPr>
        <w:t>على</w:t>
      </w:r>
      <w:r w:rsidRPr="009178C3">
        <w:rPr>
          <w:b/>
          <w:bCs/>
          <w:sz w:val="34"/>
          <w:szCs w:val="34"/>
          <w:rtl/>
          <w:lang w:bidi="ar-EG"/>
        </w:rPr>
        <w:t xml:space="preserve"> إذكاء الاحترام للملكية الفكرية</w:t>
      </w:r>
    </w:p>
    <w:p w:rsidR="009178C3" w:rsidRPr="009178C3" w:rsidRDefault="00993033" w:rsidP="009178C3">
      <w:pPr>
        <w:tabs>
          <w:tab w:val="left" w:pos="1132"/>
        </w:tabs>
        <w:bidi/>
        <w:spacing w:after="120"/>
        <w:jc w:val="center"/>
        <w:rPr>
          <w:rFonts w:ascii="Arabic Typesetting" w:hAnsi="Arabic Typesetting" w:cs="Arabic Typesetting"/>
          <w:b/>
          <w:bCs/>
          <w:sz w:val="34"/>
          <w:szCs w:val="34"/>
          <w:rtl/>
          <w:lang w:bidi="ar-EG"/>
        </w:rPr>
      </w:pPr>
      <w:r>
        <w:rPr>
          <w:rFonts w:ascii="Arabic Typesetting" w:hAnsi="Arabic Typesetting" w:cs="Arabic Typesetting"/>
          <w:b/>
          <w:bCs/>
          <w:noProof/>
          <w:sz w:val="34"/>
          <w:szCs w:val="34"/>
        </w:rPr>
        <w:drawing>
          <wp:inline distT="0" distB="0" distL="0" distR="0" wp14:anchorId="4080F9BB">
            <wp:extent cx="5682060" cy="2730656"/>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78311" cy="2728854"/>
                    </a:xfrm>
                    <a:prstGeom prst="rect">
                      <a:avLst/>
                    </a:prstGeom>
                    <a:noFill/>
                  </pic:spPr>
                </pic:pic>
              </a:graphicData>
            </a:graphic>
          </wp:inline>
        </w:drawing>
      </w:r>
    </w:p>
    <w:p w:rsidR="009178C3" w:rsidRPr="009178C3" w:rsidRDefault="009178C3" w:rsidP="009178C3">
      <w:pPr>
        <w:pStyle w:val="NormalParaAR"/>
        <w:keepNext/>
        <w:tabs>
          <w:tab w:val="right" w:pos="6825"/>
        </w:tabs>
        <w:spacing w:after="120" w:line="340" w:lineRule="exact"/>
        <w:jc w:val="center"/>
        <w:rPr>
          <w:b/>
          <w:bCs/>
          <w:sz w:val="34"/>
          <w:szCs w:val="34"/>
          <w:rtl/>
        </w:rPr>
      </w:pPr>
      <w:r w:rsidRPr="009178C3">
        <w:rPr>
          <w:b/>
          <w:bCs/>
          <w:sz w:val="34"/>
          <w:szCs w:val="34"/>
          <w:rtl/>
          <w:lang w:bidi="ar-EG"/>
        </w:rPr>
        <w:t>موجز الإنجازات بحسب النتيجة المرتقب</w:t>
      </w:r>
      <w:r>
        <w:rPr>
          <w:rFonts w:hint="cs"/>
          <w:b/>
          <w:bCs/>
          <w:sz w:val="34"/>
          <w:szCs w:val="34"/>
          <w:rtl/>
        </w:rPr>
        <w:t>ة</w:t>
      </w:r>
    </w:p>
    <w:p w:rsidR="009178C3" w:rsidRPr="009178C3" w:rsidRDefault="00A601E3" w:rsidP="009178C3">
      <w:pPr>
        <w:tabs>
          <w:tab w:val="left" w:pos="1132"/>
        </w:tabs>
        <w:bidi/>
        <w:spacing w:after="120"/>
        <w:jc w:val="center"/>
        <w:rPr>
          <w:rFonts w:ascii="Arabic Typesetting" w:hAnsi="Arabic Typesetting" w:cs="Arabic Typesetting"/>
          <w:sz w:val="34"/>
          <w:szCs w:val="34"/>
          <w:lang w:val="fr-FR" w:bidi="ar-EG"/>
        </w:rPr>
      </w:pPr>
      <w:r>
        <w:rPr>
          <w:rFonts w:ascii="Arabic Typesetting" w:hAnsi="Arabic Typesetting" w:cs="Arabic Typesetting"/>
          <w:noProof/>
          <w:sz w:val="34"/>
          <w:szCs w:val="34"/>
        </w:rPr>
        <w:drawing>
          <wp:inline distT="0" distB="0" distL="0" distR="0" wp14:anchorId="6E4F5B97">
            <wp:extent cx="5562600" cy="1312753"/>
            <wp:effectExtent l="0" t="0" r="0" b="1905"/>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81323" cy="1317171"/>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b/>
          <w:bCs/>
          <w:sz w:val="34"/>
          <w:szCs w:val="34"/>
          <w:rtl/>
          <w:lang w:bidi="ar-EG"/>
        </w:rPr>
      </w:pPr>
      <w:r w:rsidRPr="009178C3">
        <w:rPr>
          <w:sz w:val="34"/>
          <w:szCs w:val="34"/>
          <w:rtl/>
          <w:lang w:bidi="ar-EG"/>
        </w:rPr>
        <w:t>أدت الدورتان التاسعة والعاشرة للجنة الاستشارية المعنية بالإنفاذ (3 إلى 5 مارس 2014 و23 إلى 25 نوفمبر 2015) دور "سوق للأفكار" على نحو أتاح إحراز تقدم في الحوار السياسي الدولي بين الدول الأعضاء في الويبو بشأن إذكاء الاحترام للملكية الفكرية. وظهر في الاجتماعين الذين استمرا ثلاثة أيام اهتمام متنام بالاستراتيجيات الوقائية الفعالة التي تتراوح بين رفع التوعية والجديد من نماذج الأعمال وتأمين سلسلة التوريد إلى الآليات البديلة لتسوية المنازعات. وصاحب الدورتين تنظيمُ معرض سمعيات ومرئيات عرضت خلاله الحملات العامة للتواصل بشأن الملكية الفكرية وأدوات توعية للشباب. ووافقت الدول الأعضاء في الدورة الحادية عشرة على الاستمرار في تبادل المعلومات بشأن الخبرات الوطنية بشأن أربعة مواضيع: "1" أنشطة التوعية والحملات الاستراتيجية بوصفها وسيلة لإذكاء الاحترام للملكية الفكرية بين عامة الناس، لا سيما الشباب، طبقاً لأولويات الدول الأعضاء التعليمية وغيرها من الأولويات؛ "2" والترتيبات المؤسسية بشأن سياسات وأنظمة إنفاذ الملكية الفكرية، بما في ذلك آليات تسوية منازعات الملكية الفكرية بطريقة متوازنة وشاملة وفعالة؛ "3" والمساعدة التشريعية التي تُقدِّمها الويبو، مع التركيز على صياغة قوانين الإنفاذ الوطنية التي تراعي مواطن المرونة ومستوى التنمية واختلاف التقاليد القانونية واحتمال إساءة استعمال إجراءات الإنفاذ، مع أخذ المصلحة الاجتماعية الأعم في الحسبان وبالتوافق مع أولويات الدول الأعضاء؛ "4" أنشطة الويبو لتكوين القدرات ودعم التدريب طبقاً للتوصيات المعنية من توصيات جدول أعمال التنمية ووفقاً لولاية لجنة الإنفاذ.</w:t>
      </w:r>
    </w:p>
    <w:p w:rsidR="009178C3" w:rsidRPr="009178C3" w:rsidRDefault="009178C3" w:rsidP="009178C3">
      <w:pPr>
        <w:pStyle w:val="NormalParaAR"/>
        <w:keepNext/>
        <w:tabs>
          <w:tab w:val="right" w:pos="6825"/>
        </w:tabs>
        <w:spacing w:after="120" w:line="340" w:lineRule="exact"/>
        <w:jc w:val="center"/>
        <w:rPr>
          <w:b/>
          <w:bCs/>
          <w:sz w:val="34"/>
          <w:szCs w:val="34"/>
          <w:rtl/>
          <w:lang w:bidi="ar-EG"/>
        </w:rPr>
      </w:pPr>
      <w:r w:rsidRPr="009178C3">
        <w:rPr>
          <w:b/>
          <w:bCs/>
          <w:sz w:val="34"/>
          <w:szCs w:val="34"/>
          <w:rtl/>
          <w:lang w:bidi="ar-EG"/>
        </w:rPr>
        <w:lastRenderedPageBreak/>
        <w:t>الهدف الاستراتيجي السابع: الملكية الفكرية وقضايا السياسات العامة العالمية</w:t>
      </w:r>
    </w:p>
    <w:p w:rsidR="009178C3" w:rsidRDefault="00993033" w:rsidP="009178C3">
      <w:pPr>
        <w:tabs>
          <w:tab w:val="left" w:pos="1132"/>
        </w:tabs>
        <w:bidi/>
        <w:spacing w:after="120"/>
        <w:jc w:val="center"/>
        <w:rPr>
          <w:rFonts w:ascii="Arabic Typesetting" w:hAnsi="Arabic Typesetting" w:cs="Arabic Typesetting"/>
          <w:b/>
          <w:bCs/>
          <w:sz w:val="34"/>
          <w:szCs w:val="34"/>
          <w:rtl/>
          <w:lang w:bidi="ar-EG"/>
        </w:rPr>
      </w:pPr>
      <w:r>
        <w:rPr>
          <w:rFonts w:ascii="Arabic Typesetting" w:hAnsi="Arabic Typesetting" w:cs="Arabic Typesetting"/>
          <w:b/>
          <w:bCs/>
          <w:noProof/>
          <w:sz w:val="34"/>
          <w:szCs w:val="34"/>
        </w:rPr>
        <w:drawing>
          <wp:inline distT="0" distB="0" distL="0" distR="0" wp14:anchorId="5AA266A4">
            <wp:extent cx="5431810" cy="2753152"/>
            <wp:effectExtent l="0" t="0" r="0" b="952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32375" cy="2753438"/>
                    </a:xfrm>
                    <a:prstGeom prst="rect">
                      <a:avLst/>
                    </a:prstGeom>
                    <a:noFill/>
                  </pic:spPr>
                </pic:pic>
              </a:graphicData>
            </a:graphic>
          </wp:inline>
        </w:drawing>
      </w:r>
    </w:p>
    <w:p w:rsidR="009178C3" w:rsidRPr="009178C3" w:rsidRDefault="009178C3" w:rsidP="009178C3">
      <w:pPr>
        <w:keepNext/>
        <w:tabs>
          <w:tab w:val="left" w:pos="1132"/>
        </w:tabs>
        <w:bidi/>
        <w:spacing w:after="120"/>
        <w:jc w:val="center"/>
        <w:rPr>
          <w:rFonts w:ascii="Arabic Typesetting" w:hAnsi="Arabic Typesetting" w:cs="Arabic Typesetting"/>
          <w:b/>
          <w:bCs/>
          <w:sz w:val="34"/>
          <w:szCs w:val="34"/>
          <w:rtl/>
          <w:lang w:bidi="ar-EG"/>
        </w:rPr>
      </w:pPr>
      <w:r w:rsidRPr="009178C3">
        <w:rPr>
          <w:rFonts w:ascii="Arabic Typesetting" w:hAnsi="Arabic Typesetting" w:cs="Arabic Typesetting"/>
          <w:b/>
          <w:bCs/>
          <w:sz w:val="34"/>
          <w:szCs w:val="34"/>
          <w:rtl/>
          <w:lang w:bidi="ar-EG"/>
        </w:rPr>
        <w:t>موجز الإنجازات بحسب النتيجة المرتقب</w:t>
      </w:r>
      <w:r>
        <w:rPr>
          <w:rFonts w:ascii="Arabic Typesetting" w:hAnsi="Arabic Typesetting" w:cs="Arabic Typesetting" w:hint="cs"/>
          <w:b/>
          <w:bCs/>
          <w:sz w:val="34"/>
          <w:szCs w:val="34"/>
          <w:rtl/>
          <w:lang w:bidi="ar-EG"/>
        </w:rPr>
        <w:t>ة</w:t>
      </w:r>
    </w:p>
    <w:p w:rsidR="009178C3" w:rsidRPr="009178C3" w:rsidRDefault="00A601E3" w:rsidP="009178C3">
      <w:pPr>
        <w:tabs>
          <w:tab w:val="left" w:pos="1132"/>
        </w:tabs>
        <w:bidi/>
        <w:spacing w:after="120"/>
        <w:jc w:val="center"/>
        <w:rPr>
          <w:rFonts w:ascii="Arabic Typesetting" w:hAnsi="Arabic Typesetting" w:cs="Arabic Typesetting"/>
          <w:sz w:val="34"/>
          <w:szCs w:val="34"/>
          <w:lang w:val="fr-FR" w:bidi="ar-EG"/>
        </w:rPr>
      </w:pPr>
      <w:r>
        <w:rPr>
          <w:rFonts w:ascii="Arabic Typesetting" w:hAnsi="Arabic Typesetting" w:cs="Arabic Typesetting"/>
          <w:noProof/>
          <w:sz w:val="34"/>
          <w:szCs w:val="34"/>
        </w:rPr>
        <w:drawing>
          <wp:inline distT="0" distB="0" distL="0" distR="0" wp14:anchorId="134E4BB3">
            <wp:extent cx="5861782" cy="1562100"/>
            <wp:effectExtent l="0" t="0" r="5715"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86620" cy="1568719"/>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في تقاطع القضايا العالمية المترابطة والملحة، لا سيما قضايا الصحة العالمية وتغير المناخ والأمن الغذائي، أحرز تقدم معتبر في تحقيق فهم معمق لدى واضعي السياسات للعلاقة بين التحديات العالمية والابتكار والملكية الفكرية. وفي الثنائية، عززت الويبو مكانتها باعتبارها مصدرا موثوقا به للدعم والتعاون ومرجعا للحصول على المعلومات المتعلقة بقضايا السياسة العامة والملكية الفكرية، مما أدى إلى استمرار الطلب على مساهمتها ومشاركتها في المحافل من جانب المنظمات الدولية والمنظمات غير الحكومية الأخرى ومنها منظمة الصحة العالمية ومنظمة التجارة العالمية والمنظمات غير الحكومية والقطاع الخاص والجامعات. وبعد أن دُشِّنت مبادرة الويبو البيئية في نوفمبر 2013، أتى عام 2014 ليكون أول عام كامل لعملياتها. وقد شهدت مكانة المبادرة ارتقاءً معتبراً من خلال حملة توعية موجهة، حيث نمت شبكة الشركاء من 36 إلى 54 في 2014 وإلى 65 في 2015، وزاد عدد المستخدمين المسجلين بثلاثة أضعاف من 160 في 2013 إلى 490 في نهاية 2015. كما ضاعفت قاعدة بيانات المبادرة محتواها أو أكثر فانتقل من 830 مدخلا في 2013 إلى 2181 في 2015 نتيجة لاتفاقات دمج قواعد البيانات والرفع الفردي.</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واكتسبت قاعدة بيانات الويبو للبحث - </w:t>
      </w:r>
      <w:r w:rsidRPr="009178C3">
        <w:rPr>
          <w:i/>
          <w:iCs/>
          <w:sz w:val="34"/>
          <w:szCs w:val="34"/>
          <w:rtl/>
          <w:lang w:bidi="ar-EG"/>
        </w:rPr>
        <w:t>تبادل الابتكارات في مجال مكافحة الأمراض المدارية المهملة</w:t>
      </w:r>
      <w:r w:rsidRPr="009178C3">
        <w:rPr>
          <w:sz w:val="34"/>
          <w:szCs w:val="34"/>
          <w:rtl/>
          <w:lang w:bidi="ar-EG"/>
        </w:rPr>
        <w:t>، الاعتراف باعتبارها منصة لدعم الابتكار وتقاسم المعارف ونقل التكنولوجيا وتكوين القدرات المتعلقة بالبحث في مجال الأمراض المدارية المهملة والسل والملاريا. وشهدت الثنائية زيادة تمثلت في 52 مساهمة إضافية بين أعضاء قاعدة بيانات الويبو للبحث و20 عضوا جديدا منهم 6 من البلدان النامية وبذلك أصبح مجموع المساهمات 96 وعدد الأعضاء 100 منهم 22 من بلدان نامية. كما أثبتت المنصة قدرتها على نقل التكنولوجيا بشأن أصول الملكية الفكرية من الدول المتقدمة إلى البلدان النامية، بما في ذلك نقل الدراية والخبرة، عبر مواصلة تسهيل حصول ستة علماء أفريقيين على إجازات لغرض البحث في مؤسسات بحثية في الخارج. وقد أتيحت إجازات التفرغ هذه التي بدأت في الثنائية السابقة بفضل صندوق استئماني من حكومة أستراليا. وقد اختتمت أربع من إجازات التفرغ هذه بنهاية عام 2014.</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lastRenderedPageBreak/>
        <w:t>وعقدت ثلاث ندوات لشعبة الويبو للتحديات العالمية ونشرت أربعة موجزات عن التحديات العالمية وثلاثة تقارير بشأن التحديات العالمية وكانت بمثابة المحفل الذي تبادل فيه المشاركون الأفكار والتجارب والمعلومات بشأن المجالات الثلاثة الأساسية.</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واستمر التركيز في التعاون الثلاثي الأطراف مع منظمة الصحة العالمية ومنظمة التجارة العالمية على تحقيق الفهم المعمق لدى واضعي السياسات لما بين الصحة والملكية الفكرية والتجارة من تفاعل. وقد عقدت الندوة ثلاثية الأطراف الرابعة والخامسة في نوفمبر 2014 وأكتوبر 2015 في جنيف، حيث استكشفت خلالها التحديات والفرص في مجال الابتكار الصحي للبلدان ذات الدخل المتوسط والسياسات العامة اللازمة لضمان إسهام النمو الاقتصادي السريع في النفاذ والتغطية الصحية الشاملة.</w:t>
      </w:r>
    </w:p>
    <w:p w:rsidR="009178C3" w:rsidRPr="009178C3" w:rsidRDefault="009178C3" w:rsidP="009178C3">
      <w:pPr>
        <w:pStyle w:val="NormalParaAR"/>
        <w:tabs>
          <w:tab w:val="right" w:pos="6825"/>
        </w:tabs>
        <w:spacing w:after="120" w:line="340" w:lineRule="exact"/>
        <w:jc w:val="center"/>
        <w:rPr>
          <w:b/>
          <w:bCs/>
          <w:sz w:val="34"/>
          <w:szCs w:val="34"/>
          <w:rtl/>
          <w:lang w:bidi="ar-EG"/>
        </w:rPr>
      </w:pPr>
      <w:r w:rsidRPr="009178C3">
        <w:rPr>
          <w:b/>
          <w:bCs/>
          <w:sz w:val="34"/>
          <w:szCs w:val="34"/>
          <w:rtl/>
          <w:lang w:bidi="ar-EG"/>
        </w:rPr>
        <w:t>الهدف الاستراتيجي الثامن: آلية تواصل متجاوب بين الويبو والدول الأعضاء وجميع أصحاب المصالح</w:t>
      </w:r>
    </w:p>
    <w:p w:rsidR="009178C3" w:rsidRPr="009178C3" w:rsidRDefault="00993033" w:rsidP="009178C3">
      <w:pPr>
        <w:tabs>
          <w:tab w:val="left" w:pos="1132"/>
        </w:tabs>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5A884ACD">
            <wp:extent cx="5693362" cy="2882410"/>
            <wp:effectExtent l="0" t="0" r="3175"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93964" cy="2882715"/>
                    </a:xfrm>
                    <a:prstGeom prst="rect">
                      <a:avLst/>
                    </a:prstGeom>
                    <a:noFill/>
                  </pic:spPr>
                </pic:pic>
              </a:graphicData>
            </a:graphic>
          </wp:inline>
        </w:drawing>
      </w:r>
    </w:p>
    <w:p w:rsidR="009178C3" w:rsidRPr="009178C3" w:rsidRDefault="009178C3" w:rsidP="009178C3">
      <w:pPr>
        <w:pStyle w:val="NormalParaAR"/>
        <w:tabs>
          <w:tab w:val="right" w:pos="6825"/>
        </w:tabs>
        <w:spacing w:after="120" w:line="340" w:lineRule="exact"/>
        <w:jc w:val="center"/>
        <w:rPr>
          <w:b/>
          <w:bCs/>
          <w:sz w:val="34"/>
          <w:szCs w:val="34"/>
          <w:rtl/>
          <w:lang w:bidi="ar-EG"/>
        </w:rPr>
      </w:pPr>
      <w:r w:rsidRPr="009178C3">
        <w:rPr>
          <w:b/>
          <w:bCs/>
          <w:sz w:val="34"/>
          <w:szCs w:val="34"/>
          <w:rtl/>
          <w:lang w:bidi="ar-EG"/>
        </w:rPr>
        <w:t>موجز الإنجازات بحسب النتيجة المرتقب</w:t>
      </w:r>
      <w:r>
        <w:rPr>
          <w:rFonts w:hint="cs"/>
          <w:b/>
          <w:bCs/>
          <w:sz w:val="34"/>
          <w:szCs w:val="34"/>
          <w:rtl/>
          <w:lang w:bidi="ar-EG"/>
        </w:rPr>
        <w:t>ة</w:t>
      </w:r>
    </w:p>
    <w:p w:rsidR="009178C3" w:rsidRPr="009178C3" w:rsidRDefault="00A601E3" w:rsidP="009178C3">
      <w:pPr>
        <w:tabs>
          <w:tab w:val="left" w:pos="1132"/>
        </w:tabs>
        <w:bidi/>
        <w:spacing w:after="120"/>
        <w:jc w:val="center"/>
        <w:rPr>
          <w:rFonts w:ascii="Arabic Typesetting" w:hAnsi="Arabic Typesetting" w:cs="Arabic Typesetting"/>
          <w:sz w:val="34"/>
          <w:szCs w:val="34"/>
          <w:lang w:val="fr-FR" w:bidi="ar-EG"/>
        </w:rPr>
      </w:pPr>
      <w:r>
        <w:rPr>
          <w:rFonts w:ascii="Arabic Typesetting" w:hAnsi="Arabic Typesetting" w:cs="Arabic Typesetting"/>
          <w:noProof/>
          <w:sz w:val="34"/>
          <w:szCs w:val="34"/>
        </w:rPr>
        <w:drawing>
          <wp:inline distT="0" distB="0" distL="0" distR="0" wp14:anchorId="42624EC4">
            <wp:extent cx="5745576" cy="2364462"/>
            <wp:effectExtent l="0" t="0" r="762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0896" cy="2366651"/>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من الأولويات في هذا الهدف التركيزُ على إعداد وتقديم محتوى وجيه وعالي الجودة وإبراز عمل الويبو لدى الجمهور وتعزيز ثقافة الخدمة داخل المنظمة.</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وأسفر كل من المحتوى الأكثر تكاملا والاستراتيجية الإعلامية عن زيادة أثر الاتصالات بشأن الفعاليات الرئيسية للويبو وإطلاق المنتجات. وبلغ مؤشر الابتكار العالمي وضع "اتجاه" </w:t>
      </w:r>
      <w:proofErr w:type="spellStart"/>
      <w:r w:rsidRPr="009178C3">
        <w:rPr>
          <w:sz w:val="34"/>
          <w:szCs w:val="34"/>
          <w:rtl/>
          <w:lang w:bidi="ar-EG"/>
        </w:rPr>
        <w:t>تويتر</w:t>
      </w:r>
      <w:proofErr w:type="spellEnd"/>
      <w:r w:rsidRPr="009178C3">
        <w:rPr>
          <w:sz w:val="34"/>
          <w:szCs w:val="34"/>
          <w:rtl/>
          <w:lang w:bidi="ar-EG"/>
        </w:rPr>
        <w:t xml:space="preserve"> في لندن يوم إطلاقه في المملكة المتحدة في 2015. وساعدت التغطية في بعض وسائل الإعلام الأكثر نفوذا في العالم على ضبط مكانة تقارير الملكية الفكرية الرئيسية للويبو (مؤشر الابتكار العالمي، والتقرير العالمي للملكية الفكرية، ومعاهدة التعاون بشأن البراءات، والاستعراضان السنويان لنظامي مدريد ولاهاي، ومؤشرات الملكية الفكرية العالمية) بوصفها مصادر مرجعية عالمية للملكية الفكرية وبيانات الابتكار. وأسفر الترويج للتقرير العالمي </w:t>
      </w:r>
      <w:r w:rsidRPr="009178C3">
        <w:rPr>
          <w:sz w:val="34"/>
          <w:szCs w:val="34"/>
          <w:rtl/>
          <w:lang w:bidi="ar-EG"/>
        </w:rPr>
        <w:lastRenderedPageBreak/>
        <w:t>للملكية الفكرية عن صدور نحو 200 مقال صحفي في الأسبوع التالي لإصداره. وحقق التضافر الإعلامي ومخاطبة الجمهور عبر وسائل التواصل الاجتماعي للترويج للمؤتمر الوزاري في داكار عام 2014، تغطيةً واسعة النطاق في الإذاعة وسائل الإعلام الإلكترونية الأفريقية مما حفز اهتمام الجمهور بشأن الملكية الفكرية وقضايا التنمية. ونشرت الصفحات الإلكترونية لجميع الفعاليات الرئيسية باللغات الست. وعززت جهود المناصرة المؤيدة لاتحاد الكتب الميسرة من خلال إنتاج فيديو استثنائي عن تكوين القدرات بشأن اتحاد الكتب الميسرة في الهند.</w:t>
      </w:r>
    </w:p>
    <w:p w:rsidR="009178C3" w:rsidRPr="009178C3" w:rsidRDefault="009178C3" w:rsidP="003C2A9C">
      <w:pPr>
        <w:pStyle w:val="NormalParaAR"/>
        <w:numPr>
          <w:ilvl w:val="0"/>
          <w:numId w:val="44"/>
        </w:numPr>
        <w:spacing w:after="120" w:line="340" w:lineRule="exact"/>
        <w:ind w:left="0" w:firstLine="0"/>
        <w:rPr>
          <w:sz w:val="34"/>
          <w:szCs w:val="34"/>
          <w:rtl/>
          <w:lang w:bidi="ar-EG"/>
        </w:rPr>
      </w:pPr>
      <w:r w:rsidRPr="009178C3">
        <w:rPr>
          <w:sz w:val="34"/>
          <w:szCs w:val="34"/>
          <w:rtl/>
          <w:lang w:bidi="ar-EG"/>
        </w:rPr>
        <w:t>وبلغت مشاركة الدول الأعضاء والجمهور في الحملة السنوية لليوم العالمي للملكية الفكرية مستوى قياسياً. وكان شعار الحملة "</w:t>
      </w:r>
      <w:r w:rsidRPr="009178C3">
        <w:rPr>
          <w:i/>
          <w:iCs/>
          <w:sz w:val="34"/>
          <w:szCs w:val="34"/>
          <w:rtl/>
          <w:lang w:bidi="ar-EG"/>
        </w:rPr>
        <w:t>الأفلام – هواية عالمية</w:t>
      </w:r>
      <w:r w:rsidRPr="009178C3">
        <w:rPr>
          <w:sz w:val="34"/>
          <w:szCs w:val="34"/>
          <w:rtl/>
          <w:lang w:bidi="ar-EG"/>
        </w:rPr>
        <w:t>" محل تركيز أكثر من 350 حدثاً أُبلِغ عنه في 105 بلد</w:t>
      </w:r>
      <w:r w:rsidR="003C2A9C">
        <w:rPr>
          <w:rFonts w:hint="cs"/>
          <w:sz w:val="34"/>
          <w:szCs w:val="34"/>
          <w:rtl/>
          <w:lang w:bidi="ar-EG"/>
        </w:rPr>
        <w:t>ان</w:t>
      </w:r>
      <w:r w:rsidRPr="009178C3">
        <w:rPr>
          <w:sz w:val="34"/>
          <w:szCs w:val="34"/>
          <w:rtl/>
          <w:lang w:bidi="ar-EG"/>
        </w:rPr>
        <w:t xml:space="preserve"> (مقارنة ب</w:t>
      </w:r>
      <w:r w:rsidR="003C2A9C">
        <w:rPr>
          <w:rFonts w:hint="cs"/>
          <w:sz w:val="34"/>
          <w:szCs w:val="34"/>
          <w:rtl/>
          <w:lang w:bidi="ar-EG"/>
        </w:rPr>
        <w:t>عام 2013 الذي سجل</w:t>
      </w:r>
      <w:r w:rsidRPr="009178C3">
        <w:rPr>
          <w:sz w:val="34"/>
          <w:szCs w:val="34"/>
          <w:rtl/>
          <w:lang w:bidi="ar-EG"/>
        </w:rPr>
        <w:t xml:space="preserve"> 236 حدثاً في 93</w:t>
      </w:r>
      <w:r w:rsidRPr="006F0AFD">
        <w:rPr>
          <w:rStyle w:val="FootnoteReference"/>
          <w:sz w:val="28"/>
          <w:szCs w:val="28"/>
          <w:rtl/>
          <w:lang w:bidi="ar-EG"/>
        </w:rPr>
        <w:footnoteReference w:id="6"/>
      </w:r>
      <w:r w:rsidRPr="009178C3">
        <w:rPr>
          <w:sz w:val="34"/>
          <w:szCs w:val="34"/>
          <w:rtl/>
          <w:lang w:bidi="ar-EG"/>
        </w:rPr>
        <w:t xml:space="preserve"> بلداً). و</w:t>
      </w:r>
      <w:r w:rsidR="003C2A9C">
        <w:rPr>
          <w:sz w:val="34"/>
          <w:szCs w:val="34"/>
          <w:rtl/>
          <w:lang w:bidi="ar-EG"/>
        </w:rPr>
        <w:t>في 2015</w:t>
      </w:r>
      <w:r w:rsidR="003C2A9C">
        <w:rPr>
          <w:rFonts w:hint="cs"/>
          <w:sz w:val="34"/>
          <w:szCs w:val="34"/>
          <w:rtl/>
          <w:lang w:bidi="ar-EG"/>
        </w:rPr>
        <w:t xml:space="preserve">، </w:t>
      </w:r>
      <w:r w:rsidRPr="009178C3">
        <w:rPr>
          <w:sz w:val="34"/>
          <w:szCs w:val="34"/>
          <w:rtl/>
          <w:lang w:bidi="ar-EG"/>
        </w:rPr>
        <w:t xml:space="preserve">حصدت </w:t>
      </w:r>
      <w:proofErr w:type="spellStart"/>
      <w:r w:rsidRPr="009178C3">
        <w:rPr>
          <w:sz w:val="34"/>
          <w:szCs w:val="34"/>
          <w:rtl/>
          <w:lang w:bidi="ar-EG"/>
        </w:rPr>
        <w:t>تغريدات</w:t>
      </w:r>
      <w:proofErr w:type="spellEnd"/>
      <w:r w:rsidRPr="009178C3">
        <w:rPr>
          <w:sz w:val="34"/>
          <w:szCs w:val="34"/>
          <w:rtl/>
          <w:lang w:bidi="ar-EG"/>
        </w:rPr>
        <w:t xml:space="preserve"> </w:t>
      </w:r>
      <w:r w:rsidR="003C2A9C">
        <w:rPr>
          <w:sz w:val="34"/>
          <w:szCs w:val="34"/>
          <w:lang w:bidi="ar-EG"/>
        </w:rPr>
        <w:t>#</w:t>
      </w:r>
      <w:proofErr w:type="spellStart"/>
      <w:r w:rsidRPr="009178C3">
        <w:rPr>
          <w:sz w:val="34"/>
          <w:szCs w:val="34"/>
          <w:lang w:bidi="ar-EG"/>
        </w:rPr>
        <w:t>WorldIPDay</w:t>
      </w:r>
      <w:proofErr w:type="spellEnd"/>
      <w:r w:rsidRPr="009178C3">
        <w:rPr>
          <w:sz w:val="34"/>
          <w:szCs w:val="34"/>
          <w:rtl/>
          <w:lang w:bidi="ar-EG"/>
        </w:rPr>
        <w:t xml:space="preserve"> للويبو 5.2 ملايين انطباع محتمل (مقارنة بعدد 1.55 مليون في 2013) ونحو 900 إعادة تغريد. وكانت المشاركة جد عالمية إذ تجاوز عدد زيارات الصفحة الإلكترونية الصينية زيارات الصفحة الإنكليزية في 2014، وسجلت الهند والولايات المتحدة والمكسيك ومصر والبرازيل بالترتيب أكبر عدد من "</w:t>
      </w:r>
      <w:proofErr w:type="spellStart"/>
      <w:r w:rsidR="003C2A9C">
        <w:rPr>
          <w:rFonts w:hint="cs"/>
          <w:sz w:val="34"/>
          <w:szCs w:val="34"/>
          <w:rtl/>
          <w:lang w:bidi="ar-EG"/>
        </w:rPr>
        <w:t>الإعجابات</w:t>
      </w:r>
      <w:proofErr w:type="spellEnd"/>
      <w:r w:rsidRPr="009178C3">
        <w:rPr>
          <w:sz w:val="34"/>
          <w:szCs w:val="34"/>
          <w:rtl/>
          <w:lang w:bidi="ar-EG"/>
        </w:rPr>
        <w:t xml:space="preserve">" على </w:t>
      </w:r>
      <w:proofErr w:type="spellStart"/>
      <w:r w:rsidRPr="009178C3">
        <w:rPr>
          <w:sz w:val="34"/>
          <w:szCs w:val="34"/>
          <w:rtl/>
          <w:lang w:bidi="ar-EG"/>
        </w:rPr>
        <w:t>فيسوبك</w:t>
      </w:r>
      <w:proofErr w:type="spellEnd"/>
      <w:r w:rsidRPr="009178C3">
        <w:rPr>
          <w:sz w:val="34"/>
          <w:szCs w:val="34"/>
          <w:rtl/>
          <w:lang w:bidi="ar-EG"/>
        </w:rPr>
        <w:t>.</w:t>
      </w:r>
    </w:p>
    <w:p w:rsidR="009178C3" w:rsidRPr="009178C3" w:rsidRDefault="009178C3" w:rsidP="009178C3">
      <w:pPr>
        <w:pStyle w:val="NormalParaAR"/>
        <w:numPr>
          <w:ilvl w:val="0"/>
          <w:numId w:val="44"/>
        </w:numPr>
        <w:spacing w:after="120" w:line="340" w:lineRule="exact"/>
        <w:ind w:left="0" w:firstLine="0"/>
        <w:rPr>
          <w:sz w:val="34"/>
          <w:szCs w:val="34"/>
          <w:lang w:bidi="ar-EG"/>
        </w:rPr>
      </w:pPr>
      <w:r w:rsidRPr="009178C3">
        <w:rPr>
          <w:sz w:val="34"/>
          <w:szCs w:val="34"/>
          <w:rtl/>
          <w:lang w:bidi="ar-EG"/>
        </w:rPr>
        <w:t>وفيما يتعلق بالعلاقات الخارجية، أجرت الأمم المتحدة والدول الأعضاء بها عددا من عمليات المفاوضات الأساسية تتعلق بعمل الويبو في 2014/15 بما في ذلك اعتماد خطة عمل أديس أبابا في المؤتمر الدولي الثالث لتمويل التنمية واعتماد تحويل عالمنا: خطة التنمية المستدامة لعام 2030 من أجل التنمية المستدامة واعتماد اتفاق باريس بموجب اتفاقية الأمم المتحدة الإطارية بشأن تغير المناخ. وقد واصلت الويبو الاضطلاع بدورها في دعم هذه المسارات من خلال التزامها الاستراتيجي وتوفير المعلومات المتزنة والقائمة على الدليل والاستجابة السريعة لطلبات المساهمة والتعاون، وذلك باعتبارها وكالة متخصصة تابعة للأمم المتحدة، وتمشياً مع ولايتها ومع التوصيتين 30 و40 من توصيات جدول أعمال الويبو بشأن التنمية.</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وظلت شبكة الويبو من المكاتب الخارجية تشكل جزءاً لا يتجزأ من المنظمة مصمماً بحيث يدني خدمات الويبو وتعاونها من الدول الأعضاء وأصحاب المصالح والشركاء بغية تعزيز الكفاءة والفعالية في تنفيذ البرامج، علاوةً على الاستجابة للاحتياجات والأولويات المحددة للبلدان و/أو المناطق التي تخدمها. وقد نمت شبكة المكاتب في عام 2014 فأصبحت تضم خمسة مكاتب بافتتاح مكتبي الويبو في الصين وفي الاتحاد الروسي. وشهد عام الاحتفال 2015 بالعيد العاشر لإنشاء مكتب الويبو في سنغافورة. وواصلت النتائج المحققة في الثنائية 2014/15 إبراز حجم المساهمة المتواصلة للمكاتب الخارجية في تنفيذ ولاية المنظمة.</w:t>
      </w:r>
    </w:p>
    <w:p w:rsidR="009178C3" w:rsidRPr="009178C3" w:rsidRDefault="009178C3" w:rsidP="00E32E98">
      <w:pPr>
        <w:pStyle w:val="NormalParaAR"/>
        <w:keepNext/>
        <w:tabs>
          <w:tab w:val="right" w:pos="6825"/>
        </w:tabs>
        <w:spacing w:after="120" w:line="340" w:lineRule="exact"/>
        <w:jc w:val="center"/>
        <w:rPr>
          <w:b/>
          <w:bCs/>
          <w:sz w:val="34"/>
          <w:szCs w:val="34"/>
          <w:rtl/>
          <w:lang w:bidi="ar-EG"/>
        </w:rPr>
      </w:pPr>
      <w:r w:rsidRPr="009178C3">
        <w:rPr>
          <w:b/>
          <w:bCs/>
          <w:sz w:val="34"/>
          <w:szCs w:val="34"/>
          <w:rtl/>
          <w:lang w:bidi="ar-EG"/>
        </w:rPr>
        <w:t>الهدف الاستراتيجي ال</w:t>
      </w:r>
      <w:r w:rsidR="00A601E3">
        <w:rPr>
          <w:b/>
          <w:bCs/>
          <w:sz w:val="34"/>
          <w:szCs w:val="34"/>
          <w:rtl/>
          <w:lang w:bidi="ar-EG"/>
        </w:rPr>
        <w:t xml:space="preserve">تاسع: </w:t>
      </w:r>
      <w:r w:rsidR="003C2A9C" w:rsidRPr="003C2A9C">
        <w:rPr>
          <w:b/>
          <w:bCs/>
          <w:sz w:val="34"/>
          <w:szCs w:val="34"/>
          <w:rtl/>
          <w:lang w:bidi="ar-EG"/>
        </w:rPr>
        <w:t>دعم إداري ومالي فعال لتمكين الويبو من تنفيذ برامجها</w:t>
      </w:r>
    </w:p>
    <w:p w:rsidR="009178C3" w:rsidRDefault="00993033" w:rsidP="009178C3">
      <w:pPr>
        <w:tabs>
          <w:tab w:val="left" w:pos="1132"/>
        </w:tabs>
        <w:bidi/>
        <w:spacing w:after="120"/>
        <w:jc w:val="center"/>
        <w:rPr>
          <w:rFonts w:ascii="Arabic Typesetting" w:hAnsi="Arabic Typesetting" w:cs="Arabic Typesetting"/>
          <w:b/>
          <w:bCs/>
          <w:sz w:val="34"/>
          <w:szCs w:val="34"/>
          <w:rtl/>
          <w:lang w:bidi="ar-EG"/>
        </w:rPr>
      </w:pPr>
      <w:r>
        <w:rPr>
          <w:rFonts w:ascii="Arabic Typesetting" w:hAnsi="Arabic Typesetting" w:cs="Arabic Typesetting"/>
          <w:b/>
          <w:bCs/>
          <w:noProof/>
          <w:sz w:val="34"/>
          <w:szCs w:val="34"/>
        </w:rPr>
        <w:drawing>
          <wp:inline distT="0" distB="0" distL="0" distR="0" wp14:anchorId="2849030E">
            <wp:extent cx="5752534" cy="3068048"/>
            <wp:effectExtent l="0" t="0" r="635"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964" cy="3068811"/>
                    </a:xfrm>
                    <a:prstGeom prst="rect">
                      <a:avLst/>
                    </a:prstGeom>
                    <a:noFill/>
                  </pic:spPr>
                </pic:pic>
              </a:graphicData>
            </a:graphic>
          </wp:inline>
        </w:drawing>
      </w:r>
    </w:p>
    <w:p w:rsidR="009178C3" w:rsidRPr="009178C3" w:rsidRDefault="009178C3" w:rsidP="009178C3">
      <w:pPr>
        <w:keepNext/>
        <w:tabs>
          <w:tab w:val="left" w:pos="1132"/>
        </w:tabs>
        <w:bidi/>
        <w:spacing w:after="120"/>
        <w:jc w:val="center"/>
        <w:rPr>
          <w:rFonts w:ascii="Arabic Typesetting" w:hAnsi="Arabic Typesetting" w:cs="Arabic Typesetting"/>
          <w:b/>
          <w:bCs/>
          <w:sz w:val="34"/>
          <w:szCs w:val="34"/>
          <w:rtl/>
          <w:lang w:bidi="ar-EG"/>
        </w:rPr>
      </w:pPr>
      <w:r w:rsidRPr="009178C3">
        <w:rPr>
          <w:rFonts w:ascii="Arabic Typesetting" w:hAnsi="Arabic Typesetting" w:cs="Arabic Typesetting"/>
          <w:b/>
          <w:bCs/>
          <w:sz w:val="34"/>
          <w:szCs w:val="34"/>
          <w:rtl/>
          <w:lang w:bidi="ar-EG"/>
        </w:rPr>
        <w:lastRenderedPageBreak/>
        <w:t>موجز الإنجازات بحسب النتيجة المرتقب</w:t>
      </w:r>
      <w:r>
        <w:rPr>
          <w:rFonts w:ascii="Arabic Typesetting" w:hAnsi="Arabic Typesetting" w:cs="Arabic Typesetting" w:hint="cs"/>
          <w:b/>
          <w:bCs/>
          <w:sz w:val="34"/>
          <w:szCs w:val="34"/>
          <w:rtl/>
          <w:lang w:bidi="ar-EG"/>
        </w:rPr>
        <w:t>ة</w:t>
      </w:r>
    </w:p>
    <w:p w:rsidR="009178C3" w:rsidRPr="009178C3" w:rsidRDefault="00A601E3" w:rsidP="009178C3">
      <w:pPr>
        <w:tabs>
          <w:tab w:val="left" w:pos="1132"/>
        </w:tabs>
        <w:bidi/>
        <w:spacing w:after="120"/>
        <w:jc w:val="center"/>
        <w:rPr>
          <w:rFonts w:ascii="Arabic Typesetting" w:hAnsi="Arabic Typesetting" w:cs="Arabic Typesetting"/>
          <w:sz w:val="34"/>
          <w:szCs w:val="34"/>
          <w:lang w:val="fr-FR" w:bidi="ar-EG"/>
        </w:rPr>
      </w:pPr>
      <w:r>
        <w:rPr>
          <w:rFonts w:ascii="Arabic Typesetting" w:hAnsi="Arabic Typesetting" w:cs="Arabic Typesetting"/>
          <w:noProof/>
          <w:sz w:val="34"/>
          <w:szCs w:val="34"/>
        </w:rPr>
        <w:drawing>
          <wp:inline distT="0" distB="0" distL="0" distR="0" wp14:anchorId="48A1E83B">
            <wp:extent cx="5763400" cy="2638425"/>
            <wp:effectExtent l="0" t="0" r="889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76321" cy="2644340"/>
                    </a:xfrm>
                    <a:prstGeom prst="rect">
                      <a:avLst/>
                    </a:prstGeom>
                    <a:noFill/>
                  </pic:spPr>
                </pic:pic>
              </a:graphicData>
            </a:graphic>
          </wp:inline>
        </w:drawing>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واستمر في الثنائية تعزيز إدارة برامج الويبو وماليتها من أجل توظيف الموارد بمزيدٍ من الفعالية ولإرساء أفضل الممارسات في مجال من مجالات الإدارة يعالج التخطيط وإدارة الأداء وتوفير التيسير والدعم لمختلف الأنشطة التشغيلية عبر المنظمة.</w:t>
      </w:r>
    </w:p>
    <w:p w:rsidR="009178C3" w:rsidRPr="009178C3" w:rsidRDefault="009178C3" w:rsidP="003C2A9C">
      <w:pPr>
        <w:pStyle w:val="NormalParaAR"/>
        <w:numPr>
          <w:ilvl w:val="0"/>
          <w:numId w:val="44"/>
        </w:numPr>
        <w:spacing w:after="120" w:line="340" w:lineRule="exact"/>
        <w:ind w:left="0" w:firstLine="0"/>
        <w:rPr>
          <w:sz w:val="34"/>
          <w:szCs w:val="34"/>
          <w:rtl/>
          <w:lang w:bidi="ar-EG"/>
        </w:rPr>
      </w:pPr>
      <w:r w:rsidRPr="009178C3">
        <w:rPr>
          <w:sz w:val="34"/>
          <w:szCs w:val="34"/>
          <w:rtl/>
          <w:lang w:bidi="ar-EG"/>
        </w:rPr>
        <w:t>وبالرغم من أوجه عدم التيقن الاقتصادية هذه، اختتمت الويبو السنة بنتيجة إيجابية مجملة قيمتها 70.3 ملايين فرنك سويسري حسب المعايير</w:t>
      </w:r>
      <w:r w:rsidR="003C2A9C">
        <w:rPr>
          <w:sz w:val="34"/>
          <w:szCs w:val="34"/>
          <w:rtl/>
          <w:lang w:bidi="ar-EG"/>
        </w:rPr>
        <w:t xml:space="preserve"> المحاسبية الدولية للقطاع العام</w:t>
      </w:r>
      <w:r w:rsidR="003C2A9C">
        <w:rPr>
          <w:rFonts w:hint="cs"/>
          <w:sz w:val="34"/>
          <w:szCs w:val="34"/>
          <w:rtl/>
          <w:lang w:bidi="ar-EG"/>
        </w:rPr>
        <w:t xml:space="preserve">. </w:t>
      </w:r>
      <w:r w:rsidR="003C2A9C" w:rsidRPr="003C2A9C">
        <w:rPr>
          <w:sz w:val="34"/>
          <w:szCs w:val="34"/>
          <w:rtl/>
          <w:lang w:bidi="ar-EG"/>
        </w:rPr>
        <w:t>وبلغت إيرادات 2014/15 بعد التسوية بناء على المعايير المحاسبية الدولية 775.7 مليون فرنك سويسري أي بزيادة قدرها 62.4 مليون فرنك سويسري أو نسبتها 8.8 بالمئة على الإيرادات المقدرة في ميزانية 2014/15. ووصلت نفقات الثنائية 2014/15 إلى 642.6 مليون فرنك سويسري أي بانخفاض قدره 31.4 مليون فرنك سويسري أو نسبته 4.7 بالمئة عن الميزانية المعتمدة 2014/15.</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وقد استكملت في ربيع 2014 الدراسة الشاملة لممارسات الويبو فيما يتعلق بالخزانة وما تتعرض له من مخاطر، والتي بدئت في عام 2013. وتمخضت عن الدراسة سلسلة من التوصيات، منها ما يتعلق بممارسة التحوط باعتبارها وسيلة للحد من التعرض لتذبذبات العملات الأجنبية في إطار معاهدة التعاون بشأن البراءات. وجرى في 2015 استعراض شامل لاستراتيجية التحوط المقترحة واتخذ قرار نهائي يقضي بإنشاء نموذج تحوط من شأنه أن يحفز آثار التحوط على نتائج الثنائية 2014/15 ونتائج عام 2016. وبعد إجراء بحث موسع مع مختلف البنوك والمؤسسات المالية وبعد إعداد دراسة عن السياسات الاستثمارية العديدة المطبقة في منظومة الأمم المتحدة، أعدت سياسة استثمارية جديدة للمنظمة واعتمدتها الدول الأعضاء في 2015.</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وأُحرز تقدم جيد في الثنائية فيما يتعلق بزيادة ترسيخ ثقافة الاستناد إلى النتائج وتعزيز دورة إدارة الأداء لدى الويبو. واستمر تعزيز خطط العمل الثنائية وخطط العمل السنوية. وفي 2014، أضيف تخطيط مستوى المناصب مما وثّق الروابط بين النتائج المرتقبة من البرامج وأهداف الموظفين على المستوى الفردي، وأسفر ذلك عن مزيد من الشفافية والدقة في تخصيص موارد العاملين واستخدامها.</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كما أتاحت زيادة تكامل مكونات نظام التخطيط للموارد المؤسسية خلال 2014/15 تحسين إمكانيات إعداد التقارير والأدوات التحليلية. وأدمِج للمرة الأولي في عام 2014 بين نظامي الإدارة المتكاملة وتخطيط إدارة الأداء المؤسسي، مما سمح بإعداد تقارير أفضل بشأن المقارنة بين الإنفاق حسب الموازنة والإنفاق الفعلي من إدارة الأداء المؤسسي. وعلاوةً على ذلك، فُعِّل نظام الموارد البشرية/الأجور ضمن نظام التخطيط للموارد المؤسسية في يناير 2014، واستكمِل دمجه مع نظام تخطيط إدارة الأداء المؤسسي في أبريل، مما أدي إلى تحسين معتبر في إمكانيات إدارة المناصب. وتطورت وحدة استطلاع معلومات الأعمال في الثنائية، حيث طُورت لوحات إدارة مبدئية ووزعت على المجالات الإدارية الأساسية (إدارة الموارد البشرية، والمشتريات والسفر، وتخطيط البرامج والشؤون المالية) في 2014 وعُمِّم في المنظمة كلها في 2015. وأعدت أيضا لوحة لإدارة المخاطر وأطلقت في 2015.</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lastRenderedPageBreak/>
        <w:t>ووفقا لخارطة طريق إدارة المخاطر، أُعد إطار رسمي ومنسجم للمنظمة بشأن إدارة المخاطر والضوابط الداخلية، بما في ذلك إطار الويبو بشأن المساءلة، وبيان الويبو بشأن "قابلية تحمّل المخاطر"، وإنشاء فريق إدارة المخاطر (</w:t>
      </w:r>
      <w:r w:rsidRPr="009178C3">
        <w:rPr>
          <w:sz w:val="34"/>
          <w:szCs w:val="34"/>
          <w:lang w:bidi="ar-EG"/>
        </w:rPr>
        <w:t>RMG</w:t>
      </w:r>
      <w:r w:rsidRPr="009178C3">
        <w:rPr>
          <w:sz w:val="34"/>
          <w:szCs w:val="34"/>
          <w:rtl/>
          <w:lang w:bidi="ar-EG"/>
        </w:rPr>
        <w:t>)، واعتماد سياسة إدارة المخاطر، وإعداد دليل إدارة المخاطر والضوابط الداخلية.</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ومن أجل تسهيل النفاذ الآني إلى المعلومات عن المخاطر والضوابط، وتعزيز الإدارة الاستباقية للمخاطر والضوابط، والاستجابة الفعالة لهيئات التدقيق، نُفذت أداة لإدارة المخاطر المؤسسية في النصف الثاني من 2014 واستخدمت لدعم عملية تخطيط عمل 2015 وعملية برنامج وميزانية 2016/17.</w:t>
      </w:r>
    </w:p>
    <w:p w:rsidR="009178C3" w:rsidRPr="009178C3" w:rsidRDefault="009178C3" w:rsidP="00DB025E">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وكانت </w:t>
      </w:r>
      <w:r w:rsidR="003C2A9C">
        <w:rPr>
          <w:rFonts w:hint="cs"/>
          <w:sz w:val="34"/>
          <w:szCs w:val="34"/>
          <w:rtl/>
          <w:lang w:bidi="ar-EG"/>
        </w:rPr>
        <w:t>ال</w:t>
      </w:r>
      <w:r w:rsidRPr="009178C3">
        <w:rPr>
          <w:sz w:val="34"/>
          <w:szCs w:val="34"/>
          <w:rtl/>
          <w:lang w:bidi="ar-EG"/>
        </w:rPr>
        <w:t>ثنائية 2014/15 هي أول ثنائية تنفذ فيها استراتيجية الموارد البشرية التي وافقت عليها الدول الأعضاء في عام 2013. واستمر إحراز تقدم أيضا بشأن تعميم التصميم التنظيمي وتخطيط القوة العاملة باعتبارهما نشاطي أعمال أساسيين متكاملين تمام التكامل. وكان من الإنجازات المحققة في الثنائية ما يلي: "1" زيادة مشاركة المديرين من خلال تنفيذ حلقات عمل عن وضع المبادئ التوجيهية ذات الصلة؛ "2" ووضع خطط عمل القوة العاملة للثنائية 2014/</w:t>
      </w:r>
      <w:r w:rsidR="00DB025E">
        <w:rPr>
          <w:rFonts w:hint="cs"/>
          <w:sz w:val="34"/>
          <w:szCs w:val="34"/>
          <w:rtl/>
          <w:lang w:bidi="ar-EG"/>
        </w:rPr>
        <w:t>15</w:t>
      </w:r>
      <w:r w:rsidRPr="009178C3">
        <w:rPr>
          <w:sz w:val="34"/>
          <w:szCs w:val="34"/>
          <w:rtl/>
          <w:lang w:bidi="ar-EG"/>
        </w:rPr>
        <w:t xml:space="preserve"> لكل وحدة تنظيمية بهدف جمع الإجراءات الأساسية ذات الصلة بالموارد البشرية تلبيةً لاحتياجات الأعمال؛ "3"وتعميم ممارسة في كل المنظمة لتحديث التوصيف الوظيفي للتأكد من أنه يعكس بدقة أولويات الأعمال "4" وتحقيق اتساق أوثق وأكثر منهجية بين التوصيفات الوظيفية وخطط العمل السنوية. وكان من ضمن عملية تخطيط القوة العاملة تشجيعُ المديرين على النظر في المزيج الأمثل من الموارد لمعالجة احتياجات الأعمال لديهم بكفاءة.</w:t>
      </w:r>
    </w:p>
    <w:p w:rsidR="009178C3" w:rsidRPr="009178C3" w:rsidRDefault="009178C3" w:rsidP="003C2A9C">
      <w:pPr>
        <w:pStyle w:val="NormalParaAR"/>
        <w:numPr>
          <w:ilvl w:val="0"/>
          <w:numId w:val="44"/>
        </w:numPr>
        <w:spacing w:after="120" w:line="340" w:lineRule="exact"/>
        <w:ind w:left="0" w:firstLine="0"/>
        <w:rPr>
          <w:sz w:val="34"/>
          <w:szCs w:val="34"/>
          <w:rtl/>
          <w:lang w:bidi="ar-EG"/>
        </w:rPr>
      </w:pPr>
      <w:r w:rsidRPr="009178C3">
        <w:rPr>
          <w:sz w:val="34"/>
          <w:szCs w:val="34"/>
          <w:rtl/>
          <w:lang w:bidi="ar-EG"/>
        </w:rPr>
        <w:t>وفي 2014، أصدرت الويبو سياستها الأولى المتعلقة بالمساواة بين الجنسين، وتضمنت تلك السياسة هدفاً مزدوجا يقضي الأول بتعميم المنظور الجنساني في أنشطة الويبو ويهدف الهدف الثاني المُحدَّد المدة إلى تحقيق التوازن بين الجنسين على جميع مستويات التوظيف. ورغم أن النسبة المئوية للسيدات في الرتبة ف-4 (46.1 بال</w:t>
      </w:r>
      <w:r w:rsidR="000B5473">
        <w:rPr>
          <w:sz w:val="34"/>
          <w:szCs w:val="34"/>
          <w:rtl/>
          <w:lang w:bidi="ar-EG"/>
        </w:rPr>
        <w:t>مئة</w:t>
      </w:r>
      <w:r w:rsidRPr="009178C3">
        <w:rPr>
          <w:sz w:val="34"/>
          <w:szCs w:val="34"/>
          <w:rtl/>
          <w:lang w:bidi="ar-EG"/>
        </w:rPr>
        <w:t xml:space="preserve">) تمثل زيادة قدرها 2.7 نقطة مئوية مقارنة بمستوى 2013 ظل بلوغ الهدف بالكامل وأهداف التوازن بين الجنسين بعيد المنال على المستويات الإدارية الأعلى مرتبة. ونجحت التعيينات في الرتبة ف-5 ود-1 في تفادي زيادة الهوة بين الجنسين عقب انفصال الموظفات على هذه المستويات، ومع ذلك شهد عدد النساء في مستوى د-2 انخفاضا قدره 11.1 نقطة مئوية مقارنة بعام 2013. غير أن </w:t>
      </w:r>
      <w:r w:rsidR="003C2A9C">
        <w:rPr>
          <w:rFonts w:hint="cs"/>
          <w:sz w:val="34"/>
          <w:szCs w:val="34"/>
          <w:rtl/>
          <w:lang w:bidi="ar-EG"/>
        </w:rPr>
        <w:t>هذه النسب</w:t>
      </w:r>
      <w:r w:rsidRPr="009178C3">
        <w:rPr>
          <w:sz w:val="34"/>
          <w:szCs w:val="34"/>
          <w:rtl/>
          <w:lang w:bidi="ar-EG"/>
        </w:rPr>
        <w:t xml:space="preserve"> كانت أكبر نسبة على الإطلاق في تاريخ الويبو. ومن ثم أنشئت شبكة تضم جهات تنسيق الشؤون الجنسانية تغطي جميع برامج الويبو وانضمت الويبو إلى شبكة أبطال جنيف تحقيقا لالتزامها الجماعي بالنهوض بالمرأة في العمل.</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واستكملت في عام 2014 عملية تثبيت الموظفين المؤقتين العاملين لفترة طويلة، حيث ثُبِّت 31 من هؤلاء الموظفين في 2014 على وظائف مستمرة بعد إجراء منافسة. كما أعلن عن 40 وظيفة محددة المدة لتثبيت الوظائف المستمرة في الثنائية (17 في عام 2014 و23 عام 2015)، واستكملت 30 منها في نهاية 2015. وظلت الثنائية تشهد مستويات مرتفعة من نشاط التعيين مما أسفر عن تباطء في متوسط وقت التعيين في الثنائية بمقدار 19.77 أسبوعا مقارنة بعدد 16.03 أسابيع في 2012/13. وفي الثنائية أجريت 255 مسابقة إجمالا (183 للوظائف محددة المدة أي زيادة قدرها 29 بال</w:t>
      </w:r>
      <w:r w:rsidR="000B5473">
        <w:rPr>
          <w:sz w:val="34"/>
          <w:szCs w:val="34"/>
          <w:rtl/>
          <w:lang w:bidi="ar-EG"/>
        </w:rPr>
        <w:t>مئة</w:t>
      </w:r>
      <w:r w:rsidRPr="009178C3">
        <w:rPr>
          <w:sz w:val="34"/>
          <w:szCs w:val="34"/>
          <w:rtl/>
          <w:lang w:bidi="ar-EG"/>
        </w:rPr>
        <w:t xml:space="preserve"> مقارنة بالثنائية 2012/13 و72 وظيفة مؤقتة). وإجمالا تلقت المنظمة 30320 طلبا. وتواصلت عمليات تحديث نظم وعمليات إدارة الموارد البشرية. وبدأ إعداد منصة جديدة ومتكاملة للتوظيف (باستخدام </w:t>
      </w:r>
      <w:proofErr w:type="spellStart"/>
      <w:r w:rsidRPr="009178C3">
        <w:rPr>
          <w:sz w:val="34"/>
          <w:szCs w:val="34"/>
          <w:rtl/>
          <w:lang w:bidi="ar-EG"/>
        </w:rPr>
        <w:t>تاليو</w:t>
      </w:r>
      <w:proofErr w:type="spellEnd"/>
      <w:r w:rsidRPr="009178C3">
        <w:rPr>
          <w:sz w:val="34"/>
          <w:szCs w:val="34"/>
          <w:rtl/>
          <w:lang w:bidi="ar-EG"/>
        </w:rPr>
        <w:t xml:space="preserve"> (</w:t>
      </w:r>
      <w:proofErr w:type="spellStart"/>
      <w:r w:rsidRPr="009178C3">
        <w:rPr>
          <w:sz w:val="34"/>
          <w:szCs w:val="34"/>
          <w:lang w:bidi="ar-EG"/>
        </w:rPr>
        <w:t>Taleo</w:t>
      </w:r>
      <w:proofErr w:type="spellEnd"/>
      <w:r w:rsidRPr="009178C3">
        <w:rPr>
          <w:sz w:val="34"/>
          <w:szCs w:val="34"/>
          <w:rtl/>
          <w:lang w:bidi="ar-EG"/>
        </w:rPr>
        <w:t>)) في 2015 ومن المتوقع أن تزيد من فعالية التوظيف.</w:t>
      </w:r>
    </w:p>
    <w:p w:rsidR="009178C3" w:rsidRPr="009178C3" w:rsidRDefault="009178C3" w:rsidP="003C2A9C">
      <w:pPr>
        <w:pStyle w:val="NormalParaAR"/>
        <w:numPr>
          <w:ilvl w:val="0"/>
          <w:numId w:val="44"/>
        </w:numPr>
        <w:spacing w:after="120" w:line="340" w:lineRule="exact"/>
        <w:ind w:left="0" w:firstLine="0"/>
        <w:rPr>
          <w:sz w:val="34"/>
          <w:szCs w:val="34"/>
          <w:rtl/>
          <w:lang w:bidi="ar-EG"/>
        </w:rPr>
      </w:pPr>
      <w:r w:rsidRPr="009178C3">
        <w:rPr>
          <w:sz w:val="34"/>
          <w:szCs w:val="34"/>
          <w:rtl/>
          <w:lang w:val="fr-FR" w:bidi="ar-EG"/>
        </w:rPr>
        <w:t>وفي 2014/15، أحرز تقدم جيد في المشتريات وفي السفر نحو تحقيق الأهداف من خلال مجموعة من التدابير تهدف إلى ترشيد كلفة السلع والخدمات موضوع الشراء في الويبو وتعميم هذه العمليات، مما أسفر عن وفورات مجملة بلغت 3.8 ملايين فرنك سويسري في عام 2015 و2.6 ملايين فرنك سويسري في 2014. وبالنسبة إلى نفقات السفر، انخفض متوسط سعر تذكرة الطيران بنسبة 14 بال</w:t>
      </w:r>
      <w:r w:rsidR="000B5473">
        <w:rPr>
          <w:sz w:val="34"/>
          <w:szCs w:val="34"/>
          <w:rtl/>
          <w:lang w:val="fr-FR" w:bidi="ar-EG"/>
        </w:rPr>
        <w:t>مئة</w:t>
      </w:r>
      <w:r w:rsidRPr="009178C3">
        <w:rPr>
          <w:sz w:val="34"/>
          <w:szCs w:val="34"/>
          <w:rtl/>
          <w:lang w:val="fr-FR" w:bidi="ar-EG"/>
        </w:rPr>
        <w:t xml:space="preserve"> في 2015 إلى 1484 فرنكاً سويسرياً مقارنةً بمبلغ 1,728 فرنكاً سويسرياً في عام 2013 ما يعني تحقيق وفورات هائلة في الثنائية. ومنذ استخدام أداة الحجز </w:t>
      </w:r>
      <w:r w:rsidR="003C2A9C">
        <w:rPr>
          <w:rFonts w:hint="cs"/>
          <w:sz w:val="34"/>
          <w:szCs w:val="34"/>
          <w:rtl/>
          <w:lang w:val="fr-FR" w:bidi="ar-EG"/>
        </w:rPr>
        <w:t>الشبكية</w:t>
      </w:r>
      <w:r w:rsidRPr="009178C3">
        <w:rPr>
          <w:sz w:val="34"/>
          <w:szCs w:val="34"/>
          <w:rtl/>
          <w:lang w:val="fr-FR" w:bidi="ar-EG"/>
        </w:rPr>
        <w:t xml:space="preserve"> في ديسمبر 2014 أنخفض إجمالي متوسط رسم المعاملة بنسبة 20 بال</w:t>
      </w:r>
      <w:r w:rsidR="000B5473">
        <w:rPr>
          <w:sz w:val="34"/>
          <w:szCs w:val="34"/>
          <w:rtl/>
          <w:lang w:val="fr-FR" w:bidi="ar-EG"/>
        </w:rPr>
        <w:t>مئة</w:t>
      </w:r>
      <w:r w:rsidRPr="009178C3">
        <w:rPr>
          <w:sz w:val="34"/>
          <w:szCs w:val="34"/>
          <w:rtl/>
          <w:lang w:val="fr-FR" w:bidi="ar-EG"/>
        </w:rPr>
        <w:t xml:space="preserve"> بالرغم من زيادة رسوم الوكالة المترتبة على تغيير المُوَرد. وجدير بالذكر </w:t>
      </w:r>
      <w:r w:rsidRPr="009178C3">
        <w:rPr>
          <w:sz w:val="34"/>
          <w:szCs w:val="34"/>
          <w:rtl/>
          <w:lang w:bidi="ar-EG"/>
        </w:rPr>
        <w:t>أن جهداً كبيراً قد بذل خلال الثنائية لخفض نفقات السفر، مما أدى إلى انخفاض في كلٍ من عدد التذاكر الصادر وعدد طلبات السفر المقدمة بشكل متأخر. وقد أدى الرصد الوثيق للعملية الإدارية إلى خفض متوسط زمن معالجة طلبات الشراء إلى النصف خلال الخمس سنوات الأخيرة، مما حقق قدراً أعظم من الكفاءة ومزيداً من البراعة في شراء السلع والخدمات. كما تجدر الإشارة إلى ارتفاع نسبة السلع والخدمات الموردة محليا لأنشطة التنمية بنسبة 57 بال</w:t>
      </w:r>
      <w:r w:rsidR="000B5473">
        <w:rPr>
          <w:sz w:val="34"/>
          <w:szCs w:val="34"/>
          <w:rtl/>
          <w:lang w:bidi="ar-EG"/>
        </w:rPr>
        <w:t>مئة</w:t>
      </w:r>
      <w:r w:rsidRPr="009178C3">
        <w:rPr>
          <w:sz w:val="34"/>
          <w:szCs w:val="34"/>
          <w:rtl/>
          <w:lang w:bidi="ar-EG"/>
        </w:rPr>
        <w:t xml:space="preserve"> في 2015، أي زيادة قدرها 9 بال</w:t>
      </w:r>
      <w:r w:rsidR="000B5473">
        <w:rPr>
          <w:sz w:val="34"/>
          <w:szCs w:val="34"/>
          <w:rtl/>
          <w:lang w:bidi="ar-EG"/>
        </w:rPr>
        <w:t>مئة</w:t>
      </w:r>
      <w:r w:rsidRPr="009178C3">
        <w:rPr>
          <w:sz w:val="34"/>
          <w:szCs w:val="34"/>
          <w:rtl/>
          <w:lang w:bidi="ar-EG"/>
        </w:rPr>
        <w:t xml:space="preserve"> مقارنة بعام 2013 و12 بال</w:t>
      </w:r>
      <w:r w:rsidR="000B5473">
        <w:rPr>
          <w:sz w:val="34"/>
          <w:szCs w:val="34"/>
          <w:rtl/>
          <w:lang w:bidi="ar-EG"/>
        </w:rPr>
        <w:t>مئة</w:t>
      </w:r>
      <w:r w:rsidRPr="009178C3">
        <w:rPr>
          <w:sz w:val="34"/>
          <w:szCs w:val="34"/>
          <w:rtl/>
          <w:lang w:bidi="ar-EG"/>
        </w:rPr>
        <w:t xml:space="preserve"> مقارنة بعام 2014.</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lastRenderedPageBreak/>
        <w:t>أما عن التحسينات في مجال تكنولوجيا المعلومات والاتصالات، فقد تضمنت المنجزات المحققة في 2014/15 ما يلي: استعراض عقود الخدمة والعمليات التشغيلية للتأكد من زيادة فعالية الكلفة في العمليات مما أسفر عن وفورات تقدر بنحو 460000 فرنك سويسري مقارنة بعام 2013، والانتهاء بنجاح من إعداد واختبار إمكانية رفيعة المستوى في مجال تكنولوجيا المعلومات والاتصالات للتعافي من الكوارث دعما لنظام معاهدة التعاون بشأن البراءات، واستكمال البنية التحتية لتكنولوجيا المعلومات والاتصالات في قاعة مؤتمرات الويبو الجديدة في توقيت مناسب قبل افتتاحها للدورة الثانية والعشرين للجنة البرنامج والميزانية والسلسلة الرابعة والخمسين من اجتماعات جمعيات الويبو، وتقديم حل جديد لهندسة المكتب العالمي كي تتمكن المكاتب الخارجية في الويبو من توفير اتصال آمن في جميع نظم تكنولوجيا المعلومات الإدارية للويبو التي يستضيفها المقر، إضافة إلى خدمات تكنولوجيا المعلومات المركزية والمتسقة، وإبرام اتفاقات تنفيذ خدمات للوقوف بوضوح على احتياجات مجالات الأعمال المحددة من تكنولوجيا المعلومات والاتصالات علاوةً على إتاحة مزيدٍ من المنهجية في التتبع والرصد، واستخدام نظام فاكس متطور يندمج بسلاسة مع نظم حواسيب مدريد ونظم الإدارة الداخلية أيضا مما سيزيد من الفعالية ويخفض نسبة أخطاء الفاكس بشدة.</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وفي مجال تأمين المعلومات، كان من أوجه عملية التحسين المستمر التي شجع عليها لها المعيار </w:t>
      </w:r>
      <w:r w:rsidRPr="009178C3">
        <w:rPr>
          <w:sz w:val="34"/>
          <w:szCs w:val="34"/>
          <w:lang w:bidi="ar-EG"/>
        </w:rPr>
        <w:t>ISO 27001</w:t>
      </w:r>
      <w:r w:rsidRPr="009178C3">
        <w:rPr>
          <w:sz w:val="34"/>
          <w:szCs w:val="34"/>
          <w:rtl/>
          <w:lang w:bidi="ar-EG"/>
        </w:rPr>
        <w:t xml:space="preserve"> أن خضعت معاهدة التعاون بشأن البراءات في أكتوبر 2014 للجولة الثانية من مراجعة الرقابة الخارجية لشهادة </w:t>
      </w:r>
      <w:r w:rsidRPr="009178C3">
        <w:rPr>
          <w:sz w:val="34"/>
          <w:szCs w:val="34"/>
          <w:lang w:bidi="ar-EG"/>
        </w:rPr>
        <w:t>ISO 27001</w:t>
      </w:r>
      <w:r w:rsidRPr="009178C3">
        <w:rPr>
          <w:sz w:val="34"/>
          <w:szCs w:val="34"/>
          <w:rtl/>
          <w:lang w:bidi="ar-EG"/>
        </w:rPr>
        <w:t xml:space="preserve"> وفي الوقت ذاته انتقلت الشهادة من نسخة 2005 إلى شهادة </w:t>
      </w:r>
      <w:r w:rsidRPr="009178C3">
        <w:rPr>
          <w:sz w:val="34"/>
          <w:szCs w:val="34"/>
          <w:lang w:bidi="ar-EG"/>
        </w:rPr>
        <w:t>ISO 27001</w:t>
      </w:r>
      <w:r w:rsidRPr="009178C3">
        <w:rPr>
          <w:sz w:val="34"/>
          <w:szCs w:val="34"/>
          <w:rtl/>
          <w:lang w:bidi="ar-EG"/>
        </w:rPr>
        <w:t>:2013. وفي أكتوبر 2015، اتسع نطاق الشهادة لتشمل عمليتي مدريد ولاهاي إضافة إلى معاهدة التعاون بشأن البراءات. كما واصلت عمليات محاكاة الانتحال التي أطلقت عام 2014 توعية المستخدمين بالتهديدات الأمنية بشأن المعلومات، والدليل على ذلك هو الزيادة الهائلة في عدد البلاغات الواردة من المستخدمين عن محاولات الانتحال (ارتفعت من واحد بال</w:t>
      </w:r>
      <w:r w:rsidR="000B5473">
        <w:rPr>
          <w:sz w:val="34"/>
          <w:szCs w:val="34"/>
          <w:rtl/>
          <w:lang w:bidi="ar-EG"/>
        </w:rPr>
        <w:t>مئة</w:t>
      </w:r>
      <w:r w:rsidRPr="009178C3">
        <w:rPr>
          <w:sz w:val="34"/>
          <w:szCs w:val="34"/>
          <w:rtl/>
          <w:lang w:bidi="ar-EG"/>
        </w:rPr>
        <w:t xml:space="preserve"> في 2014 إلى 59 بال</w:t>
      </w:r>
      <w:r w:rsidR="000B5473">
        <w:rPr>
          <w:sz w:val="34"/>
          <w:szCs w:val="34"/>
          <w:rtl/>
          <w:lang w:bidi="ar-EG"/>
        </w:rPr>
        <w:t>مئة</w:t>
      </w:r>
      <w:r w:rsidRPr="009178C3">
        <w:rPr>
          <w:sz w:val="34"/>
          <w:szCs w:val="34"/>
          <w:rtl/>
          <w:lang w:bidi="ar-EG"/>
        </w:rPr>
        <w:t xml:space="preserve"> في 2015). كما انخفض عدد المستخدمين الذي كانوا يقعون ضحية حملات الاحتيال بنسبة 10 بال</w:t>
      </w:r>
      <w:r w:rsidR="000B5473">
        <w:rPr>
          <w:sz w:val="34"/>
          <w:szCs w:val="34"/>
          <w:rtl/>
          <w:lang w:bidi="ar-EG"/>
        </w:rPr>
        <w:t>مئة</w:t>
      </w:r>
      <w:r w:rsidRPr="009178C3">
        <w:rPr>
          <w:sz w:val="34"/>
          <w:szCs w:val="34"/>
          <w:rtl/>
          <w:lang w:bidi="ar-EG"/>
        </w:rPr>
        <w:t xml:space="preserve"> (مقارنة بمتوسط قدره 17 بال</w:t>
      </w:r>
      <w:r w:rsidR="000B5473">
        <w:rPr>
          <w:sz w:val="34"/>
          <w:szCs w:val="34"/>
          <w:rtl/>
          <w:lang w:bidi="ar-EG"/>
        </w:rPr>
        <w:t>مئة</w:t>
      </w:r>
      <w:r w:rsidRPr="009178C3">
        <w:rPr>
          <w:sz w:val="34"/>
          <w:szCs w:val="34"/>
          <w:rtl/>
          <w:lang w:bidi="ar-EG"/>
        </w:rPr>
        <w:t xml:space="preserve"> في 2014 إلى متوسط قدره سبعة بال</w:t>
      </w:r>
      <w:r w:rsidR="000B5473">
        <w:rPr>
          <w:sz w:val="34"/>
          <w:szCs w:val="34"/>
          <w:rtl/>
          <w:lang w:bidi="ar-EG"/>
        </w:rPr>
        <w:t>مئة</w:t>
      </w:r>
      <w:r w:rsidRPr="009178C3">
        <w:rPr>
          <w:sz w:val="34"/>
          <w:szCs w:val="34"/>
          <w:rtl/>
          <w:lang w:bidi="ar-EG"/>
        </w:rPr>
        <w:t xml:space="preserve"> في 2015).</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واستمر تنفيذ سياسة الويبو للغات بفعالية، وذلك بتوسيع نطاق التغطية باللغات الست ليشمل الأفرقة العاملة على نحو تدريجي وفعال من حيث التكلفة. وقد وُسِّعت التغطية في 2014/15 وفقاً للجدول الزمني الذي وضعته الدول الأعضاء لتشمل "1" الفريق العامل المعني بمعاهدة التعاون بشأن البراءات "2" والفريق العامل المعني بالتطوير القانوني لنظام لاهاي بشأن التسجيل الدولي للرسوم والنماذج الصناعية "3"و</w:t>
      </w:r>
      <w:r w:rsidRPr="009178C3">
        <w:rPr>
          <w:sz w:val="34"/>
          <w:szCs w:val="34"/>
          <w:rtl/>
        </w:rPr>
        <w:t>ا</w:t>
      </w:r>
      <w:r w:rsidRPr="009178C3">
        <w:rPr>
          <w:sz w:val="34"/>
          <w:szCs w:val="34"/>
          <w:rtl/>
          <w:lang w:bidi="ar-EG"/>
        </w:rPr>
        <w:t>لفريق العامل المعني بالتطوير القانوني لنظام مدريد بشأن التسجيل الدولي للعلامات و"4" والفريق العامل المعني بمراجعة معاهدة التعاون بشأن البراءات.</w:t>
      </w:r>
    </w:p>
    <w:p w:rsidR="009178C3" w:rsidRPr="009178C3" w:rsidRDefault="009178C3" w:rsidP="009178C3">
      <w:pPr>
        <w:pStyle w:val="NormalParaAR"/>
        <w:numPr>
          <w:ilvl w:val="0"/>
          <w:numId w:val="44"/>
        </w:numPr>
        <w:spacing w:after="120" w:line="340" w:lineRule="exact"/>
        <w:ind w:left="0" w:firstLine="0"/>
        <w:rPr>
          <w:sz w:val="34"/>
          <w:szCs w:val="34"/>
          <w:rtl/>
          <w:lang w:bidi="ar-EG"/>
        </w:rPr>
      </w:pPr>
      <w:r w:rsidRPr="009178C3">
        <w:rPr>
          <w:sz w:val="34"/>
          <w:szCs w:val="34"/>
          <w:rtl/>
          <w:lang w:bidi="ar-EG"/>
        </w:rPr>
        <w:t xml:space="preserve">وكان من المنجزات الأساسية في 2014/15 افتتاح قاعة مؤتمرات الويبو الجديدة. وقد نُفذ مشروع قاعة المؤتمرات الجديدة على عدة مراحل أجريت خلالها اختبارات تقنية واختبارات للأنظمة مختلفة بشكل متوازٍ لكل منطقة على حدة. فقد سُلِّم مركز الدخول الجديد في يوليه 2014، والساحة الخارجية الممتدة بين المبنى الجديد وقاعة مؤتمرات الويبو الجديدة ومبنى </w:t>
      </w:r>
      <w:proofErr w:type="spellStart"/>
      <w:r w:rsidRPr="009178C3">
        <w:rPr>
          <w:sz w:val="34"/>
          <w:szCs w:val="34"/>
          <w:rtl/>
          <w:lang w:bidi="ar-EG"/>
        </w:rPr>
        <w:t>أرباد</w:t>
      </w:r>
      <w:proofErr w:type="spellEnd"/>
      <w:r w:rsidRPr="009178C3">
        <w:rPr>
          <w:sz w:val="34"/>
          <w:szCs w:val="34"/>
          <w:rtl/>
          <w:lang w:bidi="ar-EG"/>
        </w:rPr>
        <w:t xml:space="preserve"> </w:t>
      </w:r>
      <w:proofErr w:type="spellStart"/>
      <w:r w:rsidRPr="009178C3">
        <w:rPr>
          <w:sz w:val="34"/>
          <w:szCs w:val="34"/>
          <w:rtl/>
          <w:lang w:bidi="ar-EG"/>
        </w:rPr>
        <w:t>بوكش</w:t>
      </w:r>
      <w:proofErr w:type="spellEnd"/>
      <w:r w:rsidRPr="009178C3">
        <w:rPr>
          <w:sz w:val="34"/>
          <w:szCs w:val="34"/>
          <w:rtl/>
          <w:lang w:bidi="ar-EG"/>
        </w:rPr>
        <w:t xml:space="preserve"> في نهاية أغسطس 2014، وقاعة مؤتمرات الويبو الجديدة نفسها في نهاية أغسطس وكانت متاحة لعقد دورة لجنة البرنامج والميزانية من 1 إلى 5 سبتمبر 2014، واكتملت جميع أعمال الإنشاءات الجديدة والتجديدات في سبتمبر 2014 في قاعة مؤتمرات الويبو الجديدة وثلاثة طوابق من مبنى </w:t>
      </w:r>
      <w:proofErr w:type="spellStart"/>
      <w:r w:rsidRPr="009178C3">
        <w:rPr>
          <w:sz w:val="34"/>
          <w:szCs w:val="34"/>
          <w:rtl/>
          <w:lang w:bidi="ar-EG"/>
        </w:rPr>
        <w:t>أرباد</w:t>
      </w:r>
      <w:proofErr w:type="spellEnd"/>
      <w:r w:rsidRPr="009178C3">
        <w:rPr>
          <w:sz w:val="34"/>
          <w:szCs w:val="34"/>
          <w:rtl/>
          <w:lang w:bidi="ar-EG"/>
        </w:rPr>
        <w:t xml:space="preserve"> </w:t>
      </w:r>
      <w:proofErr w:type="spellStart"/>
      <w:r w:rsidRPr="009178C3">
        <w:rPr>
          <w:sz w:val="34"/>
          <w:szCs w:val="34"/>
          <w:rtl/>
          <w:lang w:bidi="ar-EG"/>
        </w:rPr>
        <w:t>بوكش</w:t>
      </w:r>
      <w:proofErr w:type="spellEnd"/>
      <w:r w:rsidRPr="009178C3">
        <w:rPr>
          <w:sz w:val="34"/>
          <w:szCs w:val="34"/>
          <w:rtl/>
          <w:lang w:bidi="ar-EG"/>
        </w:rPr>
        <w:t xml:space="preserve"> </w:t>
      </w:r>
      <w:proofErr w:type="spellStart"/>
      <w:r w:rsidRPr="009178C3">
        <w:rPr>
          <w:sz w:val="34"/>
          <w:szCs w:val="34"/>
          <w:rtl/>
          <w:lang w:bidi="ar-EG"/>
        </w:rPr>
        <w:t>وأتيحت</w:t>
      </w:r>
      <w:proofErr w:type="spellEnd"/>
      <w:r w:rsidRPr="009178C3">
        <w:rPr>
          <w:sz w:val="34"/>
          <w:szCs w:val="34"/>
          <w:rtl/>
          <w:lang w:bidi="ar-EG"/>
        </w:rPr>
        <w:t xml:space="preserve"> لدورة جمعيات الويبو في الفترة من 22 إلى 30 سبتمبر 2014، مما تضمن افتتاح قاعة مؤتمرات الويبو الجديدة يوم افتتاح الدورة بحضور الدول الأعضاء في الويبو ومراقبين ومسؤولين من دولة المقر (على كلٍ من المستوى الاتحادي والإقليمي والمحلي) وممثلين عن وكالات أخرى من وكالات الأمم المتحدة ومن الشركات النيف وسبعين التي أسهمت في إنشاء المشروع واستكماله. وشهد عام 2015 أيضاً معالجة عدد من عناصر الساحة الخارجية. وقد اكتمل المشروع في الوقت المحدد من أجل استضافة جمعيات الويبو، رغم أنه تأجل من أبريل </w:t>
      </w:r>
      <w:r w:rsidRPr="009178C3">
        <w:rPr>
          <w:sz w:val="34"/>
          <w:szCs w:val="34"/>
          <w:rtl/>
        </w:rPr>
        <w:t>2014</w:t>
      </w:r>
      <w:r w:rsidRPr="009178C3">
        <w:rPr>
          <w:sz w:val="34"/>
          <w:szCs w:val="34"/>
          <w:rtl/>
          <w:lang w:bidi="ar-EG"/>
        </w:rPr>
        <w:t xml:space="preserve"> إلى سبتمبر 2014، نظراً لتعقد موقع العمل خصوصاً في الأشهر القليلة الماضية.</w:t>
      </w:r>
    </w:p>
    <w:p w:rsidR="009178C3" w:rsidRPr="009178C3" w:rsidRDefault="009178C3" w:rsidP="009178C3">
      <w:pPr>
        <w:pStyle w:val="NormalParaAR"/>
        <w:numPr>
          <w:ilvl w:val="0"/>
          <w:numId w:val="44"/>
        </w:numPr>
        <w:spacing w:after="120" w:line="340" w:lineRule="exact"/>
        <w:ind w:left="0" w:firstLine="0"/>
        <w:rPr>
          <w:sz w:val="34"/>
          <w:szCs w:val="34"/>
          <w:lang w:bidi="ar-EG"/>
        </w:rPr>
      </w:pPr>
      <w:r w:rsidRPr="009178C3">
        <w:rPr>
          <w:sz w:val="34"/>
          <w:szCs w:val="34"/>
          <w:rtl/>
          <w:lang w:bidi="ar-EG"/>
        </w:rPr>
        <w:t>وشهدت الثنائية 2014/15 استكمالا وتقدما أحرز في عدد من الإنجازات الهامة في مجال السلامة والأمن، لا سيما افتتاح مدخل الويبو المركزي الجديد (مكتب الاستقبال بمبنى </w:t>
      </w:r>
      <w:r w:rsidRPr="009178C3">
        <w:rPr>
          <w:sz w:val="34"/>
          <w:szCs w:val="34"/>
          <w:lang w:bidi="ar-EG"/>
        </w:rPr>
        <w:t>AB</w:t>
      </w:r>
      <w:r w:rsidRPr="009178C3">
        <w:rPr>
          <w:sz w:val="34"/>
          <w:szCs w:val="34"/>
          <w:rtl/>
          <w:lang w:bidi="ar-EG"/>
        </w:rPr>
        <w:t>) ومركز عمليات التنسيق الأمني (</w:t>
      </w:r>
      <w:r w:rsidRPr="009178C3">
        <w:rPr>
          <w:sz w:val="34"/>
          <w:szCs w:val="34"/>
          <w:lang w:bidi="ar-EG"/>
        </w:rPr>
        <w:t>SCOC</w:t>
      </w:r>
      <w:r w:rsidRPr="009178C3">
        <w:rPr>
          <w:sz w:val="34"/>
          <w:szCs w:val="34"/>
          <w:rtl/>
          <w:lang w:bidi="ar-EG"/>
        </w:rPr>
        <w:t xml:space="preserve">)، في الوقت المناسب </w:t>
      </w:r>
      <w:r w:rsidRPr="009178C3">
        <w:rPr>
          <w:sz w:val="34"/>
          <w:szCs w:val="34"/>
          <w:rtl/>
        </w:rPr>
        <w:t>لضمان</w:t>
      </w:r>
      <w:r w:rsidRPr="009178C3">
        <w:rPr>
          <w:sz w:val="34"/>
          <w:szCs w:val="34"/>
          <w:rtl/>
          <w:lang w:bidi="ar-EG"/>
        </w:rPr>
        <w:t xml:space="preserve"> دعم ناجح للدورة الثانية والعشرين للجنة البرنامج والميزانية وجمعيات الويبو في 2014 وأكثر من 200 مؤتمر وفعالية في 2015 حضرها الموظفون والمندوبون والزائرون والجمهور. وبالإضافة إلى ذلك، استكمل مشروع معايير الأمن التشغيلي الدنيا في المقار (</w:t>
      </w:r>
      <w:r w:rsidRPr="009178C3">
        <w:rPr>
          <w:sz w:val="34"/>
          <w:szCs w:val="34"/>
          <w:lang w:bidi="ar-EG"/>
        </w:rPr>
        <w:t>H-MOSS</w:t>
      </w:r>
      <w:r w:rsidRPr="009178C3">
        <w:rPr>
          <w:sz w:val="34"/>
          <w:szCs w:val="34"/>
          <w:rtl/>
          <w:lang w:bidi="ar-EG"/>
        </w:rPr>
        <w:t>) في 2015 مما أسفر عن تعزيزات دعمت بشدة الأمان والأمن وإدارة الأمن في مجمع الويبو بأكمله.</w:t>
      </w:r>
    </w:p>
    <w:p w:rsidR="00B850DD" w:rsidRDefault="00B850DD" w:rsidP="00084A2E">
      <w:pPr>
        <w:pStyle w:val="Heading1AR"/>
        <w:pageBreakBefore/>
        <w:spacing w:before="0" w:after="240"/>
        <w:rPr>
          <w:rtl/>
        </w:rPr>
      </w:pPr>
      <w:bookmarkStart w:id="12" w:name="_Toc455393359"/>
      <w:r>
        <w:rPr>
          <w:rFonts w:hint="cs"/>
          <w:rtl/>
        </w:rPr>
        <w:lastRenderedPageBreak/>
        <w:t>ثالثا</w:t>
      </w:r>
      <w:r w:rsidRPr="00967AAF">
        <w:rPr>
          <w:rFonts w:hint="cs"/>
          <w:rtl/>
        </w:rPr>
        <w:tab/>
      </w:r>
      <w:r w:rsidRPr="00B850DD">
        <w:rPr>
          <w:rtl/>
        </w:rPr>
        <w:t xml:space="preserve">الميزانية الموحدة والنفقات الفعلية </w:t>
      </w:r>
      <w:r>
        <w:rPr>
          <w:rFonts w:hint="cs"/>
          <w:rtl/>
        </w:rPr>
        <w:t>2014/15</w:t>
      </w:r>
      <w:bookmarkEnd w:id="12"/>
    </w:p>
    <w:p w:rsidR="00084A2E" w:rsidRPr="00084A2E" w:rsidRDefault="00084A2E" w:rsidP="00654102">
      <w:pPr>
        <w:pStyle w:val="NormalParaAR"/>
        <w:keepNext/>
        <w:spacing w:after="0"/>
        <w:jc w:val="center"/>
        <w:rPr>
          <w:b/>
          <w:bCs/>
          <w:sz w:val="34"/>
          <w:szCs w:val="34"/>
          <w:rtl/>
        </w:rPr>
      </w:pPr>
      <w:r w:rsidRPr="00084A2E">
        <w:rPr>
          <w:rFonts w:hint="cs"/>
          <w:b/>
          <w:bCs/>
          <w:sz w:val="34"/>
          <w:szCs w:val="34"/>
          <w:rtl/>
        </w:rPr>
        <w:t>الجدول 1: ملخص الثنائية 2014/15 بحسب البرنامج</w:t>
      </w:r>
    </w:p>
    <w:p w:rsidR="00084A2E" w:rsidRPr="00084A2E" w:rsidRDefault="00084A2E" w:rsidP="00654102">
      <w:pPr>
        <w:pStyle w:val="NormalParaAR"/>
        <w:keepNext/>
        <w:spacing w:after="120"/>
        <w:jc w:val="center"/>
        <w:rPr>
          <w:i/>
          <w:iCs/>
          <w:sz w:val="34"/>
          <w:szCs w:val="34"/>
          <w:rtl/>
        </w:rPr>
      </w:pPr>
      <w:r w:rsidRPr="00084A2E">
        <w:rPr>
          <w:rFonts w:hint="cs"/>
          <w:i/>
          <w:iCs/>
          <w:sz w:val="34"/>
          <w:szCs w:val="34"/>
          <w:rtl/>
        </w:rPr>
        <w:t>(بآلاف الفرنكات السويسرية)</w:t>
      </w:r>
    </w:p>
    <w:p w:rsidR="00084A2E" w:rsidRDefault="00654102" w:rsidP="00084A2E">
      <w:pPr>
        <w:pStyle w:val="NormalParaAR"/>
        <w:spacing w:line="240" w:lineRule="auto"/>
        <w:jc w:val="center"/>
        <w:rPr>
          <w:rtl/>
        </w:rPr>
      </w:pPr>
      <w:r w:rsidRPr="00654102">
        <w:rPr>
          <w:noProof/>
          <w:rtl/>
        </w:rPr>
        <w:drawing>
          <wp:inline distT="0" distB="0" distL="0" distR="0" wp14:anchorId="553D842E" wp14:editId="3404B89F">
            <wp:extent cx="5438012" cy="7976092"/>
            <wp:effectExtent l="0" t="0" r="0" b="635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43782" cy="7984555"/>
                    </a:xfrm>
                    <a:prstGeom prst="rect">
                      <a:avLst/>
                    </a:prstGeom>
                    <a:noFill/>
                    <a:ln>
                      <a:noFill/>
                    </a:ln>
                  </pic:spPr>
                </pic:pic>
              </a:graphicData>
            </a:graphic>
          </wp:inline>
        </w:drawing>
      </w:r>
    </w:p>
    <w:p w:rsidR="00084A2E" w:rsidRPr="00084A2E" w:rsidRDefault="00084A2E" w:rsidP="00654102">
      <w:pPr>
        <w:pStyle w:val="NormalParaAR"/>
        <w:keepNext/>
        <w:spacing w:after="0"/>
        <w:jc w:val="center"/>
        <w:rPr>
          <w:b/>
          <w:bCs/>
          <w:sz w:val="34"/>
          <w:szCs w:val="34"/>
          <w:rtl/>
        </w:rPr>
      </w:pPr>
      <w:r w:rsidRPr="00084A2E">
        <w:rPr>
          <w:rFonts w:hint="cs"/>
          <w:b/>
          <w:bCs/>
          <w:sz w:val="34"/>
          <w:szCs w:val="34"/>
          <w:rtl/>
        </w:rPr>
        <w:lastRenderedPageBreak/>
        <w:t xml:space="preserve">الجدول </w:t>
      </w:r>
      <w:r>
        <w:rPr>
          <w:rFonts w:hint="cs"/>
          <w:b/>
          <w:bCs/>
          <w:sz w:val="34"/>
          <w:szCs w:val="34"/>
          <w:rtl/>
        </w:rPr>
        <w:t>2</w:t>
      </w:r>
      <w:r w:rsidRPr="00084A2E">
        <w:rPr>
          <w:rFonts w:hint="cs"/>
          <w:b/>
          <w:bCs/>
          <w:sz w:val="34"/>
          <w:szCs w:val="34"/>
          <w:rtl/>
        </w:rPr>
        <w:t xml:space="preserve">: ملخص الثنائية 2014/15 بحسب </w:t>
      </w:r>
      <w:r>
        <w:rPr>
          <w:rFonts w:hint="cs"/>
          <w:b/>
          <w:bCs/>
          <w:sz w:val="34"/>
          <w:szCs w:val="34"/>
          <w:rtl/>
        </w:rPr>
        <w:t>النتيجة المرتقبة</w:t>
      </w:r>
    </w:p>
    <w:p w:rsidR="00084A2E" w:rsidRPr="00084A2E" w:rsidRDefault="00084A2E" w:rsidP="00654102">
      <w:pPr>
        <w:pStyle w:val="NormalParaAR"/>
        <w:keepNext/>
        <w:spacing w:after="120"/>
        <w:jc w:val="center"/>
        <w:rPr>
          <w:i/>
          <w:iCs/>
          <w:sz w:val="34"/>
          <w:szCs w:val="34"/>
          <w:rtl/>
        </w:rPr>
      </w:pPr>
      <w:r w:rsidRPr="00084A2E">
        <w:rPr>
          <w:rFonts w:hint="cs"/>
          <w:i/>
          <w:iCs/>
          <w:sz w:val="34"/>
          <w:szCs w:val="34"/>
          <w:rtl/>
        </w:rPr>
        <w:t>(بآلاف الفرنكات السويسرية)</w:t>
      </w:r>
    </w:p>
    <w:p w:rsidR="00084A2E" w:rsidRDefault="00D843A0" w:rsidP="00084A2E">
      <w:pPr>
        <w:pStyle w:val="NormalParaAR"/>
        <w:spacing w:line="240" w:lineRule="auto"/>
        <w:jc w:val="center"/>
        <w:rPr>
          <w:rtl/>
        </w:rPr>
      </w:pPr>
      <w:r w:rsidRPr="00D843A0">
        <w:rPr>
          <w:rFonts w:hint="cs"/>
          <w:noProof/>
          <w:rtl/>
        </w:rPr>
        <w:drawing>
          <wp:inline distT="0" distB="0" distL="0" distR="0" wp14:anchorId="3BF994F3" wp14:editId="70D3FCF3">
            <wp:extent cx="5148106" cy="8495498"/>
            <wp:effectExtent l="0" t="0" r="0" b="127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48106" cy="8495498"/>
                    </a:xfrm>
                    <a:prstGeom prst="rect">
                      <a:avLst/>
                    </a:prstGeom>
                    <a:noFill/>
                    <a:ln>
                      <a:noFill/>
                    </a:ln>
                  </pic:spPr>
                </pic:pic>
              </a:graphicData>
            </a:graphic>
          </wp:inline>
        </w:drawing>
      </w:r>
    </w:p>
    <w:p w:rsidR="00084A2E" w:rsidRPr="00084A2E" w:rsidRDefault="00084A2E" w:rsidP="00084A2E">
      <w:pPr>
        <w:pStyle w:val="NormalParaAR"/>
        <w:spacing w:line="240" w:lineRule="auto"/>
        <w:jc w:val="center"/>
        <w:rPr>
          <w:rtl/>
        </w:rPr>
      </w:pPr>
      <w:r w:rsidRPr="00084A2E">
        <w:rPr>
          <w:noProof/>
          <w:rtl/>
        </w:rPr>
        <w:lastRenderedPageBreak/>
        <w:drawing>
          <wp:inline distT="0" distB="0" distL="0" distR="0" wp14:anchorId="0F9BEBD8" wp14:editId="6BB370CB">
            <wp:extent cx="5176299" cy="9014915"/>
            <wp:effectExtent l="0" t="0" r="571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76299" cy="9014915"/>
                    </a:xfrm>
                    <a:prstGeom prst="rect">
                      <a:avLst/>
                    </a:prstGeom>
                    <a:noFill/>
                    <a:ln>
                      <a:noFill/>
                    </a:ln>
                  </pic:spPr>
                </pic:pic>
              </a:graphicData>
            </a:graphic>
          </wp:inline>
        </w:drawing>
      </w:r>
    </w:p>
    <w:p w:rsidR="00B850DD" w:rsidRDefault="00B850DD" w:rsidP="00084A2E">
      <w:pPr>
        <w:pStyle w:val="Heading1AR"/>
        <w:pageBreakBefore/>
        <w:spacing w:before="0" w:after="240"/>
        <w:rPr>
          <w:rtl/>
        </w:rPr>
      </w:pPr>
      <w:bookmarkStart w:id="13" w:name="_Toc455393360"/>
      <w:r>
        <w:rPr>
          <w:rFonts w:hint="cs"/>
          <w:rtl/>
        </w:rPr>
        <w:lastRenderedPageBreak/>
        <w:t>رابعا</w:t>
      </w:r>
      <w:r w:rsidRPr="00967AAF">
        <w:rPr>
          <w:rFonts w:hint="cs"/>
          <w:rtl/>
        </w:rPr>
        <w:tab/>
      </w:r>
      <w:r w:rsidRPr="00B850DD">
        <w:rPr>
          <w:rtl/>
        </w:rPr>
        <w:t>تقرير نفقات التنمية</w:t>
      </w:r>
      <w:r>
        <w:rPr>
          <w:rFonts w:hint="cs"/>
          <w:rtl/>
        </w:rPr>
        <w:t xml:space="preserve"> 2014/15</w:t>
      </w:r>
      <w:bookmarkEnd w:id="13"/>
    </w:p>
    <w:p w:rsidR="0076458E" w:rsidRDefault="0076458E" w:rsidP="009A3712">
      <w:pPr>
        <w:pStyle w:val="NormalParaAR"/>
        <w:numPr>
          <w:ilvl w:val="0"/>
          <w:numId w:val="44"/>
        </w:numPr>
        <w:spacing w:after="120"/>
        <w:ind w:left="0" w:firstLine="0"/>
        <w:rPr>
          <w:sz w:val="34"/>
          <w:szCs w:val="34"/>
        </w:rPr>
      </w:pPr>
      <w:r w:rsidRPr="004F4A8F">
        <w:rPr>
          <w:rFonts w:hint="cs"/>
          <w:sz w:val="34"/>
          <w:szCs w:val="34"/>
          <w:rtl/>
        </w:rPr>
        <w:t xml:space="preserve">تعرض وثيقة البرنامج والميزانية 2014/15 (الجدول 6) تقديراً لنفقات التنمية </w:t>
      </w:r>
      <w:r w:rsidR="00F84614">
        <w:rPr>
          <w:rFonts w:hint="cs"/>
          <w:sz w:val="34"/>
          <w:szCs w:val="34"/>
          <w:rtl/>
        </w:rPr>
        <w:t>في</w:t>
      </w:r>
      <w:r w:rsidRPr="004F4A8F">
        <w:rPr>
          <w:rFonts w:hint="cs"/>
          <w:sz w:val="34"/>
          <w:szCs w:val="34"/>
          <w:rtl/>
        </w:rPr>
        <w:t xml:space="preserve"> الثنائية 2014/15 بحسب البرامج (</w:t>
      </w:r>
      <w:r w:rsidR="00654102" w:rsidRPr="004F4A8F">
        <w:rPr>
          <w:rFonts w:hint="cs"/>
          <w:sz w:val="34"/>
          <w:szCs w:val="34"/>
          <w:rtl/>
        </w:rPr>
        <w:t>الجدول 6</w:t>
      </w:r>
      <w:r w:rsidR="00654102">
        <w:rPr>
          <w:sz w:val="34"/>
          <w:szCs w:val="34"/>
        </w:rPr>
        <w:t xml:space="preserve"> </w:t>
      </w:r>
      <w:r w:rsidR="00654102">
        <w:rPr>
          <w:rFonts w:hint="cs"/>
          <w:sz w:val="34"/>
          <w:szCs w:val="34"/>
          <w:rtl/>
        </w:rPr>
        <w:t xml:space="preserve">من وثيقة </w:t>
      </w:r>
      <w:r w:rsidRPr="004F4A8F">
        <w:rPr>
          <w:rFonts w:hint="cs"/>
          <w:sz w:val="34"/>
          <w:szCs w:val="34"/>
          <w:rtl/>
        </w:rPr>
        <w:t>البرنامج والميزانية 2014/15) و</w:t>
      </w:r>
      <w:r w:rsidR="005578AA">
        <w:rPr>
          <w:rFonts w:hint="cs"/>
          <w:sz w:val="34"/>
          <w:szCs w:val="34"/>
          <w:rtl/>
        </w:rPr>
        <w:t>النتائج</w:t>
      </w:r>
      <w:r w:rsidRPr="004F4A8F">
        <w:rPr>
          <w:rFonts w:hint="cs"/>
          <w:sz w:val="34"/>
          <w:szCs w:val="34"/>
          <w:rtl/>
        </w:rPr>
        <w:t xml:space="preserve"> المرتقبة (جدول إطار النتائج في الصفحة 14 من</w:t>
      </w:r>
      <w:r w:rsidR="004F4A8F" w:rsidRPr="004F4A8F">
        <w:rPr>
          <w:rFonts w:hint="cs"/>
          <w:sz w:val="34"/>
          <w:szCs w:val="34"/>
          <w:rtl/>
        </w:rPr>
        <w:t xml:space="preserve"> وثيقة</w:t>
      </w:r>
      <w:r w:rsidRPr="004F4A8F">
        <w:rPr>
          <w:rFonts w:hint="cs"/>
          <w:sz w:val="34"/>
          <w:szCs w:val="34"/>
          <w:rtl/>
        </w:rPr>
        <w:t xml:space="preserve"> البرنامج</w:t>
      </w:r>
      <w:r w:rsidR="004F4A8F" w:rsidRPr="004F4A8F">
        <w:rPr>
          <w:rFonts w:hint="eastAsia"/>
          <w:sz w:val="34"/>
          <w:szCs w:val="34"/>
          <w:rtl/>
        </w:rPr>
        <w:t> </w:t>
      </w:r>
      <w:r w:rsidRPr="004F4A8F">
        <w:rPr>
          <w:rFonts w:hint="cs"/>
          <w:sz w:val="34"/>
          <w:szCs w:val="34"/>
          <w:rtl/>
        </w:rPr>
        <w:t>والميزانية 2014/15)</w:t>
      </w:r>
      <w:r w:rsidR="004F4A8F" w:rsidRPr="004F4A8F">
        <w:rPr>
          <w:rFonts w:hint="cs"/>
          <w:sz w:val="34"/>
          <w:szCs w:val="34"/>
          <w:rtl/>
        </w:rPr>
        <w:t xml:space="preserve">. </w:t>
      </w:r>
      <w:r w:rsidR="004F4A8F" w:rsidRPr="004F4A8F">
        <w:rPr>
          <w:sz w:val="34"/>
          <w:szCs w:val="34"/>
          <w:rtl/>
        </w:rPr>
        <w:t xml:space="preserve">ولا </w:t>
      </w:r>
      <w:r w:rsidR="00A52C8C">
        <w:rPr>
          <w:rFonts w:hint="cs"/>
          <w:sz w:val="34"/>
          <w:szCs w:val="34"/>
          <w:rtl/>
        </w:rPr>
        <w:t>يقيَّد</w:t>
      </w:r>
      <w:r w:rsidR="004F4A8F" w:rsidRPr="004F4A8F">
        <w:rPr>
          <w:sz w:val="34"/>
          <w:szCs w:val="34"/>
          <w:rtl/>
        </w:rPr>
        <w:t xml:space="preserve"> الإنفاق إنفاقاً إنمائياً إلا إذا كان المستفيد منه بلداً نامياً ولم يكن الإنفاق المعادل متاحاً للبلدان المتقدمة. </w:t>
      </w:r>
      <w:r w:rsidR="004F4A8F">
        <w:rPr>
          <w:rFonts w:hint="cs"/>
          <w:sz w:val="34"/>
          <w:szCs w:val="34"/>
          <w:rtl/>
        </w:rPr>
        <w:t>ولا تشمل</w:t>
      </w:r>
      <w:r w:rsidR="004F4A8F" w:rsidRPr="004F4A8F">
        <w:rPr>
          <w:sz w:val="34"/>
          <w:szCs w:val="34"/>
          <w:rtl/>
        </w:rPr>
        <w:t xml:space="preserve"> هذه المبالغ الإيرادات السابقة الناتجة عن تخفيضات الرسوم الممنوحة لمودعي الطلبات من البلدان النامية</w:t>
      </w:r>
      <w:r w:rsidR="005578AA" w:rsidRPr="00F96634">
        <w:rPr>
          <w:sz w:val="28"/>
          <w:szCs w:val="28"/>
          <w:vertAlign w:val="superscript"/>
          <w:rtl/>
        </w:rPr>
        <w:footnoteReference w:id="7"/>
      </w:r>
      <w:r w:rsidR="004F4A8F" w:rsidRPr="004F4A8F">
        <w:rPr>
          <w:sz w:val="34"/>
          <w:szCs w:val="34"/>
          <w:rtl/>
        </w:rPr>
        <w:t xml:space="preserve"> بموجب أنظمة التسجيل الدولية. </w:t>
      </w:r>
      <w:r w:rsidR="004F4A8F">
        <w:rPr>
          <w:rFonts w:hint="cs"/>
          <w:sz w:val="34"/>
          <w:szCs w:val="34"/>
          <w:rtl/>
        </w:rPr>
        <w:t>ويقدم هذا التقرير لمحة عامة لنفقات التنمية الفعلية في</w:t>
      </w:r>
      <w:r w:rsidR="00654102">
        <w:rPr>
          <w:rFonts w:hint="cs"/>
          <w:sz w:val="34"/>
          <w:szCs w:val="34"/>
          <w:rtl/>
        </w:rPr>
        <w:t xml:space="preserve"> الثنائية</w:t>
      </w:r>
      <w:r w:rsidR="004F4A8F">
        <w:rPr>
          <w:rFonts w:hint="cs"/>
          <w:sz w:val="34"/>
          <w:szCs w:val="34"/>
          <w:rtl/>
        </w:rPr>
        <w:t xml:space="preserve"> 2014/15.</w:t>
      </w:r>
    </w:p>
    <w:p w:rsidR="002571BD" w:rsidRPr="002571BD" w:rsidRDefault="004F4A8F" w:rsidP="009A3712">
      <w:pPr>
        <w:pStyle w:val="NormalParaAR"/>
        <w:numPr>
          <w:ilvl w:val="0"/>
          <w:numId w:val="44"/>
        </w:numPr>
        <w:spacing w:after="120"/>
        <w:ind w:left="0" w:firstLine="0"/>
        <w:rPr>
          <w:sz w:val="34"/>
          <w:szCs w:val="34"/>
        </w:rPr>
      </w:pPr>
      <w:r w:rsidRPr="002571BD">
        <w:rPr>
          <w:sz w:val="34"/>
          <w:szCs w:val="34"/>
          <w:rtl/>
        </w:rPr>
        <w:t xml:space="preserve">ويُذكر </w:t>
      </w:r>
      <w:r w:rsidRPr="002571BD">
        <w:rPr>
          <w:rFonts w:hint="cs"/>
          <w:sz w:val="34"/>
          <w:szCs w:val="34"/>
          <w:rtl/>
        </w:rPr>
        <w:t>ب</w:t>
      </w:r>
      <w:r w:rsidRPr="002571BD">
        <w:rPr>
          <w:sz w:val="34"/>
          <w:szCs w:val="34"/>
          <w:rtl/>
        </w:rPr>
        <w:t>أن التقدير الشامل لنفقات التنمية أُدرج لأول مرة في وثيقة البرنامج والميزانية المراجّعة للثنائية 2008-2009. وكانت منهج</w:t>
      </w:r>
      <w:r w:rsidR="00A52C8C">
        <w:rPr>
          <w:sz w:val="34"/>
          <w:szCs w:val="34"/>
          <w:rtl/>
        </w:rPr>
        <w:t xml:space="preserve">ية </w:t>
      </w:r>
      <w:r w:rsidR="00A52C8C">
        <w:rPr>
          <w:rFonts w:hint="cs"/>
          <w:sz w:val="34"/>
          <w:szCs w:val="34"/>
          <w:rtl/>
        </w:rPr>
        <w:t>2010/11</w:t>
      </w:r>
      <w:r w:rsidR="00A52C8C">
        <w:rPr>
          <w:sz w:val="34"/>
          <w:szCs w:val="34"/>
          <w:rtl/>
        </w:rPr>
        <w:t xml:space="preserve">، كما كانت في </w:t>
      </w:r>
      <w:r w:rsidR="00A52C8C">
        <w:rPr>
          <w:rFonts w:hint="cs"/>
          <w:sz w:val="34"/>
          <w:szCs w:val="34"/>
          <w:rtl/>
        </w:rPr>
        <w:t>2008/09</w:t>
      </w:r>
      <w:r w:rsidRPr="002571BD">
        <w:rPr>
          <w:sz w:val="34"/>
          <w:szCs w:val="34"/>
          <w:rtl/>
        </w:rPr>
        <w:t xml:space="preserve">، تستند إلى تقديرات </w:t>
      </w:r>
      <w:r w:rsidR="00F101DD" w:rsidRPr="002571BD">
        <w:rPr>
          <w:sz w:val="34"/>
          <w:szCs w:val="34"/>
          <w:rtl/>
        </w:rPr>
        <w:t>رفيعة المستوى على مستوى البرامج</w:t>
      </w:r>
      <w:r w:rsidR="00F101DD" w:rsidRPr="002571BD">
        <w:rPr>
          <w:rFonts w:hint="cs"/>
          <w:sz w:val="34"/>
          <w:szCs w:val="34"/>
          <w:rtl/>
        </w:rPr>
        <w:t xml:space="preserve">. وخضع </w:t>
      </w:r>
      <w:r w:rsidRPr="002571BD">
        <w:rPr>
          <w:sz w:val="34"/>
          <w:szCs w:val="34"/>
          <w:rtl/>
        </w:rPr>
        <w:t xml:space="preserve">هذا النهج لكثير من التنقيح في </w:t>
      </w:r>
      <w:r w:rsidR="00A52C8C">
        <w:rPr>
          <w:rFonts w:hint="cs"/>
          <w:sz w:val="34"/>
          <w:szCs w:val="34"/>
          <w:rtl/>
        </w:rPr>
        <w:t>2012/13</w:t>
      </w:r>
      <w:r w:rsidRPr="002571BD">
        <w:rPr>
          <w:sz w:val="34"/>
          <w:szCs w:val="34"/>
          <w:rtl/>
        </w:rPr>
        <w:t xml:space="preserve"> </w:t>
      </w:r>
      <w:r w:rsidR="00A52C8C">
        <w:rPr>
          <w:rFonts w:hint="cs"/>
          <w:sz w:val="34"/>
          <w:szCs w:val="34"/>
          <w:rtl/>
        </w:rPr>
        <w:t>باعتماد</w:t>
      </w:r>
      <w:r w:rsidRPr="002571BD">
        <w:rPr>
          <w:sz w:val="34"/>
          <w:szCs w:val="34"/>
          <w:rtl/>
        </w:rPr>
        <w:t xml:space="preserve"> نهج مفصّ</w:t>
      </w:r>
      <w:r w:rsidR="00A52C8C">
        <w:rPr>
          <w:sz w:val="34"/>
          <w:szCs w:val="34"/>
          <w:rtl/>
        </w:rPr>
        <w:t>َل تصاعدي على مستوى الأنشطة. و</w:t>
      </w:r>
      <w:r w:rsidRPr="002571BD">
        <w:rPr>
          <w:sz w:val="34"/>
          <w:szCs w:val="34"/>
          <w:rtl/>
        </w:rPr>
        <w:t>أدى هذا النهج المراجَع</w:t>
      </w:r>
      <w:r w:rsidR="00A52C8C">
        <w:rPr>
          <w:rFonts w:hint="cs"/>
          <w:sz w:val="34"/>
          <w:szCs w:val="34"/>
          <w:rtl/>
        </w:rPr>
        <w:t xml:space="preserve"> وما وُضع من</w:t>
      </w:r>
      <w:r w:rsidRPr="002571BD">
        <w:rPr>
          <w:sz w:val="34"/>
          <w:szCs w:val="34"/>
          <w:rtl/>
        </w:rPr>
        <w:t xml:space="preserve"> آليات </w:t>
      </w:r>
      <w:r w:rsidR="00A52C8C">
        <w:rPr>
          <w:rFonts w:hint="cs"/>
          <w:sz w:val="34"/>
          <w:szCs w:val="34"/>
          <w:rtl/>
        </w:rPr>
        <w:t>ل</w:t>
      </w:r>
      <w:r w:rsidRPr="002571BD">
        <w:rPr>
          <w:sz w:val="34"/>
          <w:szCs w:val="34"/>
          <w:rtl/>
        </w:rPr>
        <w:t xml:space="preserve">تعقب نفقات التنمية </w:t>
      </w:r>
      <w:r w:rsidR="00A52C8C">
        <w:rPr>
          <w:rFonts w:hint="cs"/>
          <w:sz w:val="34"/>
          <w:szCs w:val="34"/>
          <w:rtl/>
        </w:rPr>
        <w:t>عن طريق</w:t>
      </w:r>
      <w:r w:rsidRPr="002571BD">
        <w:rPr>
          <w:sz w:val="34"/>
          <w:szCs w:val="34"/>
          <w:rtl/>
        </w:rPr>
        <w:t xml:space="preserve"> التخطيط للموارد المؤسسية إلى إعداد تقارير أدق عن نفقات التنمية. </w:t>
      </w:r>
      <w:r w:rsidR="002571BD" w:rsidRPr="002571BD">
        <w:rPr>
          <w:sz w:val="34"/>
          <w:szCs w:val="34"/>
          <w:rtl/>
        </w:rPr>
        <w:t>و</w:t>
      </w:r>
      <w:r w:rsidR="00A52C8C">
        <w:rPr>
          <w:rFonts w:hint="cs"/>
          <w:sz w:val="34"/>
          <w:szCs w:val="34"/>
          <w:rtl/>
        </w:rPr>
        <w:t>إن</w:t>
      </w:r>
      <w:r w:rsidR="002571BD" w:rsidRPr="002571BD">
        <w:rPr>
          <w:sz w:val="34"/>
          <w:szCs w:val="34"/>
          <w:rtl/>
        </w:rPr>
        <w:t xml:space="preserve"> المنهجية المطبقة لتقدير حصة التنمية </w:t>
      </w:r>
      <w:r w:rsidR="00A52C8C">
        <w:rPr>
          <w:rFonts w:hint="cs"/>
          <w:sz w:val="34"/>
          <w:szCs w:val="34"/>
          <w:rtl/>
        </w:rPr>
        <w:t>من</w:t>
      </w:r>
      <w:r w:rsidR="002571BD" w:rsidRPr="002571BD">
        <w:rPr>
          <w:sz w:val="34"/>
          <w:szCs w:val="34"/>
          <w:rtl/>
        </w:rPr>
        <w:t xml:space="preserve"> ميزانية </w:t>
      </w:r>
      <w:r w:rsidR="002571BD" w:rsidRPr="002571BD">
        <w:rPr>
          <w:rFonts w:hint="cs"/>
          <w:sz w:val="34"/>
          <w:szCs w:val="34"/>
          <w:rtl/>
        </w:rPr>
        <w:t>2014/15</w:t>
      </w:r>
      <w:r w:rsidR="002571BD" w:rsidRPr="002571BD">
        <w:rPr>
          <w:sz w:val="34"/>
          <w:szCs w:val="34"/>
          <w:rtl/>
        </w:rPr>
        <w:t xml:space="preserve"> </w:t>
      </w:r>
      <w:r w:rsidR="00A52C8C">
        <w:rPr>
          <w:rFonts w:hint="cs"/>
          <w:sz w:val="34"/>
          <w:szCs w:val="34"/>
          <w:rtl/>
        </w:rPr>
        <w:t xml:space="preserve">تتماشى وتتسق تماماً </w:t>
      </w:r>
      <w:r w:rsidR="002571BD" w:rsidRPr="002571BD">
        <w:rPr>
          <w:sz w:val="34"/>
          <w:szCs w:val="34"/>
          <w:rtl/>
        </w:rPr>
        <w:t xml:space="preserve">مع المنهجية المعتمدة في </w:t>
      </w:r>
      <w:r w:rsidR="002571BD" w:rsidRPr="002571BD">
        <w:rPr>
          <w:rFonts w:hint="cs"/>
          <w:sz w:val="34"/>
          <w:szCs w:val="34"/>
          <w:rtl/>
        </w:rPr>
        <w:t>2012</w:t>
      </w:r>
      <w:r w:rsidR="002571BD" w:rsidRPr="002571BD">
        <w:rPr>
          <w:sz w:val="34"/>
          <w:szCs w:val="34"/>
          <w:rtl/>
        </w:rPr>
        <w:t>/</w:t>
      </w:r>
      <w:r w:rsidR="002571BD" w:rsidRPr="002571BD">
        <w:rPr>
          <w:rFonts w:hint="cs"/>
          <w:sz w:val="34"/>
          <w:szCs w:val="34"/>
          <w:rtl/>
        </w:rPr>
        <w:t>13</w:t>
      </w:r>
      <w:r w:rsidR="002571BD" w:rsidRPr="002571BD">
        <w:rPr>
          <w:sz w:val="34"/>
          <w:szCs w:val="34"/>
          <w:rtl/>
        </w:rPr>
        <w:t>.</w:t>
      </w:r>
      <w:r w:rsidR="002571BD" w:rsidRPr="002571BD">
        <w:rPr>
          <w:rFonts w:hint="cs"/>
          <w:sz w:val="34"/>
          <w:szCs w:val="34"/>
          <w:rtl/>
        </w:rPr>
        <w:t xml:space="preserve"> وتواصل تنقيح </w:t>
      </w:r>
      <w:r w:rsidR="00A52C8C">
        <w:rPr>
          <w:rFonts w:hint="cs"/>
          <w:sz w:val="34"/>
          <w:szCs w:val="34"/>
          <w:rtl/>
        </w:rPr>
        <w:t>هذه الآلية في الثنائية 2014/15 باعتماد</w:t>
      </w:r>
      <w:r w:rsidR="002571BD" w:rsidRPr="002571BD">
        <w:rPr>
          <w:rFonts w:hint="cs"/>
          <w:sz w:val="34"/>
          <w:szCs w:val="34"/>
          <w:rtl/>
        </w:rPr>
        <w:t xml:space="preserve"> منهجية </w:t>
      </w:r>
      <w:r w:rsidR="00A52C8C">
        <w:rPr>
          <w:rFonts w:hint="cs"/>
          <w:sz w:val="34"/>
          <w:szCs w:val="34"/>
          <w:rtl/>
        </w:rPr>
        <w:t xml:space="preserve">أدق </w:t>
      </w:r>
      <w:r w:rsidR="002571BD" w:rsidRPr="002571BD">
        <w:rPr>
          <w:rFonts w:hint="cs"/>
          <w:sz w:val="34"/>
          <w:szCs w:val="34"/>
          <w:rtl/>
        </w:rPr>
        <w:t xml:space="preserve">لتخصيص موارد الموظفين على مستوى الأنشطة. </w:t>
      </w:r>
      <w:r w:rsidR="00654102">
        <w:rPr>
          <w:rFonts w:hint="cs"/>
          <w:sz w:val="34"/>
          <w:szCs w:val="34"/>
          <w:rtl/>
        </w:rPr>
        <w:t>ومن هذا المنطلق</w:t>
      </w:r>
      <w:r w:rsidR="00A52C8C">
        <w:rPr>
          <w:rFonts w:hint="cs"/>
          <w:sz w:val="34"/>
          <w:szCs w:val="34"/>
          <w:rtl/>
        </w:rPr>
        <w:t>، رُصدت</w:t>
      </w:r>
      <w:r w:rsidR="002571BD" w:rsidRPr="002571BD">
        <w:rPr>
          <w:sz w:val="34"/>
          <w:szCs w:val="34"/>
          <w:rtl/>
        </w:rPr>
        <w:t xml:space="preserve"> نفقات التنمية المقدرة في 2014/</w:t>
      </w:r>
      <w:r w:rsidR="00A52C8C">
        <w:rPr>
          <w:rFonts w:hint="cs"/>
          <w:sz w:val="34"/>
          <w:szCs w:val="34"/>
          <w:rtl/>
        </w:rPr>
        <w:t>15</w:t>
      </w:r>
      <w:r w:rsidR="002571BD" w:rsidRPr="002571BD">
        <w:rPr>
          <w:sz w:val="34"/>
          <w:szCs w:val="34"/>
          <w:rtl/>
        </w:rPr>
        <w:t xml:space="preserve"> </w:t>
      </w:r>
      <w:r w:rsidR="00654102">
        <w:rPr>
          <w:rFonts w:hint="cs"/>
          <w:sz w:val="34"/>
          <w:szCs w:val="34"/>
          <w:rtl/>
        </w:rPr>
        <w:t>لكل</w:t>
      </w:r>
      <w:r w:rsidR="002571BD" w:rsidRPr="002571BD">
        <w:rPr>
          <w:sz w:val="34"/>
          <w:szCs w:val="34"/>
          <w:rtl/>
        </w:rPr>
        <w:t xml:space="preserve"> بر</w:t>
      </w:r>
      <w:r w:rsidR="00A52C8C">
        <w:rPr>
          <w:rFonts w:hint="cs"/>
          <w:sz w:val="34"/>
          <w:szCs w:val="34"/>
          <w:rtl/>
        </w:rPr>
        <w:t>ن</w:t>
      </w:r>
      <w:r w:rsidR="002571BD" w:rsidRPr="002571BD">
        <w:rPr>
          <w:sz w:val="34"/>
          <w:szCs w:val="34"/>
          <w:rtl/>
        </w:rPr>
        <w:t xml:space="preserve">امج </w:t>
      </w:r>
      <w:r w:rsidR="005578AA">
        <w:rPr>
          <w:rFonts w:hint="cs"/>
          <w:sz w:val="34"/>
          <w:szCs w:val="34"/>
          <w:rtl/>
        </w:rPr>
        <w:t>عن طريق تطبيق</w:t>
      </w:r>
      <w:r w:rsidR="002571BD" w:rsidRPr="002571BD">
        <w:rPr>
          <w:sz w:val="34"/>
          <w:szCs w:val="34"/>
          <w:rtl/>
        </w:rPr>
        <w:t xml:space="preserve"> التعريف المذكور</w:t>
      </w:r>
      <w:r w:rsidR="00A52C8C">
        <w:rPr>
          <w:rFonts w:hint="cs"/>
          <w:sz w:val="34"/>
          <w:szCs w:val="34"/>
          <w:rtl/>
        </w:rPr>
        <w:t xml:space="preserve"> آنفاً</w:t>
      </w:r>
      <w:r w:rsidR="002571BD" w:rsidRPr="002571BD">
        <w:rPr>
          <w:sz w:val="34"/>
          <w:szCs w:val="34"/>
          <w:rtl/>
        </w:rPr>
        <w:t xml:space="preserve"> </w:t>
      </w:r>
      <w:r w:rsidR="005578AA">
        <w:rPr>
          <w:rFonts w:hint="cs"/>
          <w:sz w:val="34"/>
          <w:szCs w:val="34"/>
          <w:rtl/>
        </w:rPr>
        <w:t>على</w:t>
      </w:r>
      <w:r w:rsidR="002571BD" w:rsidRPr="002571BD">
        <w:rPr>
          <w:sz w:val="34"/>
          <w:szCs w:val="34"/>
          <w:rtl/>
        </w:rPr>
        <w:t xml:space="preserve"> أنشط</w:t>
      </w:r>
      <w:r w:rsidR="00654102">
        <w:rPr>
          <w:rFonts w:hint="cs"/>
          <w:sz w:val="34"/>
          <w:szCs w:val="34"/>
          <w:rtl/>
        </w:rPr>
        <w:t>ته</w:t>
      </w:r>
      <w:r w:rsidR="002571BD" w:rsidRPr="002571BD">
        <w:rPr>
          <w:sz w:val="34"/>
          <w:szCs w:val="34"/>
          <w:rtl/>
        </w:rPr>
        <w:t xml:space="preserve"> بالتشاور الوثيق مع مدير</w:t>
      </w:r>
      <w:r w:rsidR="00654102">
        <w:rPr>
          <w:rFonts w:hint="cs"/>
          <w:sz w:val="34"/>
          <w:szCs w:val="34"/>
          <w:rtl/>
        </w:rPr>
        <w:t>ه</w:t>
      </w:r>
      <w:r w:rsidR="002571BD" w:rsidRPr="002571BD">
        <w:rPr>
          <w:sz w:val="34"/>
          <w:szCs w:val="34"/>
          <w:rtl/>
        </w:rPr>
        <w:t>.</w:t>
      </w:r>
    </w:p>
    <w:p w:rsidR="002571BD" w:rsidRPr="002571BD" w:rsidRDefault="005578AA" w:rsidP="009A3712">
      <w:pPr>
        <w:pStyle w:val="NormalParaAR"/>
        <w:numPr>
          <w:ilvl w:val="0"/>
          <w:numId w:val="44"/>
        </w:numPr>
        <w:spacing w:after="120"/>
        <w:ind w:left="0" w:firstLine="0"/>
        <w:rPr>
          <w:sz w:val="34"/>
          <w:szCs w:val="34"/>
        </w:rPr>
      </w:pPr>
      <w:r>
        <w:rPr>
          <w:sz w:val="34"/>
          <w:szCs w:val="34"/>
          <w:rtl/>
        </w:rPr>
        <w:t>وي</w:t>
      </w:r>
      <w:r>
        <w:rPr>
          <w:rFonts w:hint="cs"/>
          <w:sz w:val="34"/>
          <w:szCs w:val="34"/>
          <w:rtl/>
        </w:rPr>
        <w:t>عرض</w:t>
      </w:r>
      <w:r w:rsidR="002571BD" w:rsidRPr="002571BD">
        <w:rPr>
          <w:sz w:val="34"/>
          <w:szCs w:val="34"/>
          <w:rtl/>
        </w:rPr>
        <w:t xml:space="preserve"> الجدولان 3 و4 نفقات التنمية المقدرة بحسب البرامج والنتائج المرتقبة، استنادا إلى الميزانية</w:t>
      </w:r>
      <w:r w:rsidR="002571BD">
        <w:rPr>
          <w:rFonts w:hint="cs"/>
          <w:sz w:val="34"/>
          <w:szCs w:val="34"/>
          <w:rtl/>
        </w:rPr>
        <w:t xml:space="preserve"> النهائية</w:t>
      </w:r>
      <w:r w:rsidR="002571BD" w:rsidRPr="002571BD">
        <w:rPr>
          <w:sz w:val="34"/>
          <w:szCs w:val="34"/>
          <w:rtl/>
        </w:rPr>
        <w:t xml:space="preserve"> بعد التحويلات والنفقات الفعلية</w:t>
      </w:r>
      <w:r>
        <w:rPr>
          <w:rFonts w:hint="cs"/>
          <w:sz w:val="34"/>
          <w:szCs w:val="34"/>
          <w:rtl/>
        </w:rPr>
        <w:t xml:space="preserve"> للثنائية</w:t>
      </w:r>
      <w:r w:rsidR="002571BD" w:rsidRPr="002571BD">
        <w:rPr>
          <w:sz w:val="34"/>
          <w:szCs w:val="34"/>
          <w:rtl/>
        </w:rPr>
        <w:t xml:space="preserve"> </w:t>
      </w:r>
      <w:r w:rsidR="002571BD">
        <w:rPr>
          <w:rFonts w:hint="cs"/>
          <w:sz w:val="34"/>
          <w:szCs w:val="34"/>
          <w:rtl/>
        </w:rPr>
        <w:t>2014/15</w:t>
      </w:r>
      <w:r w:rsidR="002571BD" w:rsidRPr="002571BD">
        <w:rPr>
          <w:sz w:val="34"/>
          <w:szCs w:val="34"/>
          <w:rtl/>
        </w:rPr>
        <w:t>. وللاطلاع على مزيد من المعلومات عن النتائج الإنمائية المحققة وعن استخدام الميزانية في الثنائية، يرجى الرجوع إلى التقييمات الفردية لأداء البرامج في هذا التقرير.</w:t>
      </w:r>
    </w:p>
    <w:p w:rsidR="002571BD" w:rsidRDefault="002571BD" w:rsidP="009A3712">
      <w:pPr>
        <w:pStyle w:val="NormalParaAR"/>
        <w:numPr>
          <w:ilvl w:val="0"/>
          <w:numId w:val="44"/>
        </w:numPr>
        <w:spacing w:after="120"/>
        <w:ind w:left="0" w:firstLine="0"/>
        <w:rPr>
          <w:sz w:val="34"/>
          <w:szCs w:val="34"/>
        </w:rPr>
      </w:pPr>
      <w:r w:rsidRPr="002571BD">
        <w:rPr>
          <w:sz w:val="34"/>
          <w:szCs w:val="34"/>
          <w:rtl/>
        </w:rPr>
        <w:t>‏و</w:t>
      </w:r>
      <w:r w:rsidR="005578AA">
        <w:rPr>
          <w:rFonts w:hint="cs"/>
          <w:sz w:val="34"/>
          <w:szCs w:val="34"/>
          <w:rtl/>
        </w:rPr>
        <w:t>توضح أسباب</w:t>
      </w:r>
      <w:r w:rsidRPr="002571BD">
        <w:rPr>
          <w:sz w:val="34"/>
          <w:szCs w:val="34"/>
          <w:rtl/>
        </w:rPr>
        <w:t xml:space="preserve"> الفروق بين الميزانية المعتمدة والميزانية</w:t>
      </w:r>
      <w:r>
        <w:rPr>
          <w:rFonts w:hint="cs"/>
          <w:sz w:val="34"/>
          <w:szCs w:val="34"/>
          <w:rtl/>
        </w:rPr>
        <w:t xml:space="preserve"> النهائية</w:t>
      </w:r>
      <w:r w:rsidRPr="002571BD">
        <w:rPr>
          <w:sz w:val="34"/>
          <w:szCs w:val="34"/>
          <w:rtl/>
        </w:rPr>
        <w:t xml:space="preserve"> بعد التحويلات والنفقات الفعلية في الثنائية </w:t>
      </w:r>
      <w:r>
        <w:rPr>
          <w:rFonts w:hint="cs"/>
          <w:sz w:val="34"/>
          <w:szCs w:val="34"/>
          <w:rtl/>
        </w:rPr>
        <w:t xml:space="preserve">2014/15 </w:t>
      </w:r>
      <w:r w:rsidR="005578AA">
        <w:rPr>
          <w:rFonts w:hint="cs"/>
          <w:sz w:val="34"/>
          <w:szCs w:val="34"/>
          <w:rtl/>
        </w:rPr>
        <w:t>في</w:t>
      </w:r>
      <w:r w:rsidR="000363BE">
        <w:rPr>
          <w:rFonts w:hint="eastAsia"/>
          <w:sz w:val="34"/>
          <w:szCs w:val="34"/>
          <w:rtl/>
        </w:rPr>
        <w:t> </w:t>
      </w:r>
      <w:r w:rsidR="005578AA">
        <w:rPr>
          <w:rFonts w:hint="cs"/>
          <w:sz w:val="34"/>
          <w:szCs w:val="34"/>
          <w:rtl/>
        </w:rPr>
        <w:t>إطار</w:t>
      </w:r>
      <w:r w:rsidRPr="002571BD">
        <w:rPr>
          <w:sz w:val="34"/>
          <w:szCs w:val="34"/>
          <w:rtl/>
        </w:rPr>
        <w:t xml:space="preserve"> </w:t>
      </w:r>
      <w:r w:rsidR="005578AA">
        <w:rPr>
          <w:rFonts w:hint="cs"/>
          <w:sz w:val="34"/>
          <w:szCs w:val="34"/>
          <w:rtl/>
        </w:rPr>
        <w:t>الجزء المعنون "</w:t>
      </w:r>
      <w:r>
        <w:rPr>
          <w:rFonts w:hint="cs"/>
          <w:sz w:val="34"/>
          <w:szCs w:val="34"/>
          <w:rtl/>
        </w:rPr>
        <w:t>استخدام الموارد</w:t>
      </w:r>
      <w:r w:rsidR="005578AA">
        <w:rPr>
          <w:rFonts w:hint="cs"/>
          <w:sz w:val="34"/>
          <w:szCs w:val="34"/>
          <w:rtl/>
        </w:rPr>
        <w:t>"</w:t>
      </w:r>
      <w:r w:rsidR="000E783B">
        <w:rPr>
          <w:sz w:val="34"/>
          <w:szCs w:val="34"/>
          <w:rtl/>
        </w:rPr>
        <w:t xml:space="preserve"> </w:t>
      </w:r>
      <w:r w:rsidR="000E783B">
        <w:rPr>
          <w:rFonts w:hint="cs"/>
          <w:sz w:val="34"/>
          <w:szCs w:val="34"/>
          <w:rtl/>
        </w:rPr>
        <w:t>من</w:t>
      </w:r>
      <w:r w:rsidRPr="002571BD">
        <w:rPr>
          <w:sz w:val="34"/>
          <w:szCs w:val="34"/>
          <w:rtl/>
        </w:rPr>
        <w:t xml:space="preserve"> كل برنامج.</w:t>
      </w:r>
    </w:p>
    <w:p w:rsidR="00084A2E" w:rsidRPr="00084A2E" w:rsidRDefault="00084A2E" w:rsidP="00F101DD">
      <w:pPr>
        <w:pStyle w:val="NormalParaAR"/>
        <w:keepNext/>
        <w:spacing w:after="0"/>
        <w:jc w:val="center"/>
        <w:rPr>
          <w:b/>
          <w:bCs/>
          <w:sz w:val="34"/>
          <w:szCs w:val="34"/>
          <w:rtl/>
        </w:rPr>
      </w:pPr>
      <w:r w:rsidRPr="00084A2E">
        <w:rPr>
          <w:rFonts w:hint="cs"/>
          <w:b/>
          <w:bCs/>
          <w:sz w:val="34"/>
          <w:szCs w:val="34"/>
          <w:rtl/>
        </w:rPr>
        <w:lastRenderedPageBreak/>
        <w:t xml:space="preserve">الجدول </w:t>
      </w:r>
      <w:r w:rsidR="00D843A0">
        <w:rPr>
          <w:rFonts w:hint="cs"/>
          <w:b/>
          <w:bCs/>
          <w:sz w:val="34"/>
          <w:szCs w:val="34"/>
          <w:rtl/>
        </w:rPr>
        <w:t>3</w:t>
      </w:r>
      <w:r w:rsidRPr="00084A2E">
        <w:rPr>
          <w:rFonts w:hint="cs"/>
          <w:b/>
          <w:bCs/>
          <w:sz w:val="34"/>
          <w:szCs w:val="34"/>
          <w:rtl/>
        </w:rPr>
        <w:t xml:space="preserve">: </w:t>
      </w:r>
      <w:r w:rsidR="00D843A0">
        <w:rPr>
          <w:rFonts w:hint="cs"/>
          <w:b/>
          <w:bCs/>
          <w:sz w:val="34"/>
          <w:szCs w:val="34"/>
          <w:rtl/>
        </w:rPr>
        <w:t>نفقات التنمية في 2014/15 بحسب البرنامج</w:t>
      </w:r>
    </w:p>
    <w:p w:rsidR="00084A2E" w:rsidRPr="00084A2E" w:rsidRDefault="00084A2E" w:rsidP="00F101DD">
      <w:pPr>
        <w:pStyle w:val="NormalParaAR"/>
        <w:keepNext/>
        <w:spacing w:after="120"/>
        <w:jc w:val="center"/>
        <w:rPr>
          <w:i/>
          <w:iCs/>
          <w:sz w:val="34"/>
          <w:szCs w:val="34"/>
          <w:rtl/>
        </w:rPr>
      </w:pPr>
      <w:r w:rsidRPr="00084A2E">
        <w:rPr>
          <w:rFonts w:hint="cs"/>
          <w:i/>
          <w:iCs/>
          <w:sz w:val="34"/>
          <w:szCs w:val="34"/>
          <w:rtl/>
        </w:rPr>
        <w:t>(بآلاف الفرنكات السويسرية)</w:t>
      </w:r>
    </w:p>
    <w:p w:rsidR="00084A2E" w:rsidRDefault="000E783B" w:rsidP="007F47CC">
      <w:pPr>
        <w:pStyle w:val="NormalParaAR"/>
        <w:spacing w:line="240" w:lineRule="auto"/>
        <w:jc w:val="center"/>
        <w:rPr>
          <w:rtl/>
        </w:rPr>
      </w:pPr>
      <w:r w:rsidRPr="000E783B">
        <w:rPr>
          <w:noProof/>
          <w:rtl/>
        </w:rPr>
        <w:drawing>
          <wp:inline distT="0" distB="0" distL="0" distR="0" wp14:anchorId="642259FA" wp14:editId="14E2AB5B">
            <wp:extent cx="5818242" cy="6524572"/>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21353" cy="6528061"/>
                    </a:xfrm>
                    <a:prstGeom prst="rect">
                      <a:avLst/>
                    </a:prstGeom>
                    <a:noFill/>
                    <a:ln>
                      <a:noFill/>
                    </a:ln>
                  </pic:spPr>
                </pic:pic>
              </a:graphicData>
            </a:graphic>
          </wp:inline>
        </w:drawing>
      </w:r>
    </w:p>
    <w:p w:rsidR="00D843A0" w:rsidRPr="00084A2E" w:rsidRDefault="00D843A0" w:rsidP="007F47CC">
      <w:pPr>
        <w:pStyle w:val="NormalParaAR"/>
        <w:keepNext/>
        <w:spacing w:after="0"/>
        <w:jc w:val="center"/>
        <w:rPr>
          <w:b/>
          <w:bCs/>
          <w:sz w:val="34"/>
          <w:szCs w:val="34"/>
          <w:rtl/>
        </w:rPr>
      </w:pPr>
      <w:r w:rsidRPr="00084A2E">
        <w:rPr>
          <w:rFonts w:hint="cs"/>
          <w:b/>
          <w:bCs/>
          <w:sz w:val="34"/>
          <w:szCs w:val="34"/>
          <w:rtl/>
        </w:rPr>
        <w:lastRenderedPageBreak/>
        <w:t xml:space="preserve">الجدول </w:t>
      </w:r>
      <w:r>
        <w:rPr>
          <w:rFonts w:hint="cs"/>
          <w:b/>
          <w:bCs/>
          <w:sz w:val="34"/>
          <w:szCs w:val="34"/>
          <w:rtl/>
        </w:rPr>
        <w:t>4</w:t>
      </w:r>
      <w:r w:rsidRPr="00084A2E">
        <w:rPr>
          <w:rFonts w:hint="cs"/>
          <w:b/>
          <w:bCs/>
          <w:sz w:val="34"/>
          <w:szCs w:val="34"/>
          <w:rtl/>
        </w:rPr>
        <w:t xml:space="preserve">: </w:t>
      </w:r>
      <w:r>
        <w:rPr>
          <w:rFonts w:hint="cs"/>
          <w:b/>
          <w:bCs/>
          <w:sz w:val="34"/>
          <w:szCs w:val="34"/>
          <w:rtl/>
        </w:rPr>
        <w:t>نفقات التنمية في 2014/15 بحسب النتيجة المرتقبة</w:t>
      </w:r>
    </w:p>
    <w:p w:rsidR="00D843A0" w:rsidRPr="00084A2E" w:rsidRDefault="00D843A0" w:rsidP="007F47CC">
      <w:pPr>
        <w:pStyle w:val="NormalParaAR"/>
        <w:keepNext/>
        <w:spacing w:after="120"/>
        <w:jc w:val="center"/>
        <w:rPr>
          <w:i/>
          <w:iCs/>
          <w:sz w:val="34"/>
          <w:szCs w:val="34"/>
          <w:rtl/>
        </w:rPr>
      </w:pPr>
      <w:r w:rsidRPr="00084A2E">
        <w:rPr>
          <w:rFonts w:hint="cs"/>
          <w:i/>
          <w:iCs/>
          <w:sz w:val="34"/>
          <w:szCs w:val="34"/>
          <w:rtl/>
        </w:rPr>
        <w:t>(بآلاف الفرنكات السويسرية)</w:t>
      </w:r>
    </w:p>
    <w:p w:rsidR="00D843A0" w:rsidRDefault="007F47CC" w:rsidP="007F47CC">
      <w:pPr>
        <w:pStyle w:val="NormalParaAR"/>
        <w:spacing w:line="240" w:lineRule="auto"/>
        <w:jc w:val="center"/>
        <w:rPr>
          <w:rtl/>
        </w:rPr>
      </w:pPr>
      <w:r w:rsidRPr="007F47CC">
        <w:rPr>
          <w:noProof/>
          <w:rtl/>
        </w:rPr>
        <w:drawing>
          <wp:inline distT="0" distB="0" distL="0" distR="0" wp14:anchorId="56D48C3D" wp14:editId="3314D342">
            <wp:extent cx="5160397" cy="8491607"/>
            <wp:effectExtent l="0" t="0" r="254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60631" cy="8491992"/>
                    </a:xfrm>
                    <a:prstGeom prst="rect">
                      <a:avLst/>
                    </a:prstGeom>
                    <a:noFill/>
                    <a:ln>
                      <a:noFill/>
                    </a:ln>
                  </pic:spPr>
                </pic:pic>
              </a:graphicData>
            </a:graphic>
          </wp:inline>
        </w:drawing>
      </w:r>
    </w:p>
    <w:p w:rsidR="007F47CC" w:rsidRPr="00084A2E" w:rsidRDefault="007F47CC" w:rsidP="007F47CC">
      <w:pPr>
        <w:pStyle w:val="NormalParaAR"/>
        <w:spacing w:line="240" w:lineRule="auto"/>
        <w:jc w:val="center"/>
        <w:rPr>
          <w:rtl/>
        </w:rPr>
      </w:pPr>
      <w:r w:rsidRPr="007F47CC">
        <w:rPr>
          <w:noProof/>
          <w:rtl/>
        </w:rPr>
        <w:lastRenderedPageBreak/>
        <w:drawing>
          <wp:inline distT="0" distB="0" distL="0" distR="0" wp14:anchorId="40F94F50" wp14:editId="37647CB7">
            <wp:extent cx="5170812" cy="8991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70812" cy="8991600"/>
                    </a:xfrm>
                    <a:prstGeom prst="rect">
                      <a:avLst/>
                    </a:prstGeom>
                    <a:noFill/>
                    <a:ln>
                      <a:noFill/>
                    </a:ln>
                  </pic:spPr>
                </pic:pic>
              </a:graphicData>
            </a:graphic>
          </wp:inline>
        </w:drawing>
      </w:r>
    </w:p>
    <w:p w:rsidR="00B850DD" w:rsidRPr="00B850DD" w:rsidRDefault="00B850DD" w:rsidP="000E783B">
      <w:pPr>
        <w:pStyle w:val="Heading1AR"/>
        <w:pageBreakBefore/>
        <w:spacing w:before="0" w:after="480"/>
        <w:ind w:left="850" w:hanging="850"/>
        <w:rPr>
          <w:rtl/>
        </w:rPr>
      </w:pPr>
      <w:bookmarkStart w:id="14" w:name="_Toc455393361"/>
      <w:r w:rsidRPr="00B850DD">
        <w:rPr>
          <w:rFonts w:hint="cs"/>
          <w:rtl/>
        </w:rPr>
        <w:lastRenderedPageBreak/>
        <w:t>خامسا</w:t>
      </w:r>
      <w:r w:rsidRPr="00B850DD">
        <w:rPr>
          <w:rFonts w:hint="cs"/>
          <w:rtl/>
        </w:rPr>
        <w:tab/>
        <w:t>تقرير عن تنفيذ تدابير الفعالية من حيث التكلفة في الثنائية 2014/15</w:t>
      </w:r>
      <w:bookmarkEnd w:id="14"/>
    </w:p>
    <w:p w:rsidR="00B850DD" w:rsidRPr="00AC404B" w:rsidRDefault="000E783B" w:rsidP="000E783B">
      <w:pPr>
        <w:pStyle w:val="NormalParaAR"/>
        <w:jc w:val="center"/>
        <w:rPr>
          <w:rtl/>
        </w:rPr>
      </w:pPr>
      <w:r>
        <w:rPr>
          <w:rFonts w:hint="cs"/>
          <w:rtl/>
        </w:rPr>
        <w:t xml:space="preserve">أوجه </w:t>
      </w:r>
      <w:r w:rsidR="00B850DD" w:rsidRPr="00AC404B">
        <w:rPr>
          <w:rFonts w:hint="cs"/>
          <w:rtl/>
        </w:rPr>
        <w:t>الفعالية من حيث التكلفة في 2014/15</w:t>
      </w:r>
    </w:p>
    <w:tbl>
      <w:tblPr>
        <w:bidiVisual/>
        <w:tblW w:w="5000" w:type="pct"/>
        <w:tblCellMar>
          <w:top w:w="85" w:type="dxa"/>
        </w:tblCellMar>
        <w:tblLook w:val="04A0" w:firstRow="1" w:lastRow="0" w:firstColumn="1" w:lastColumn="0" w:noHBand="0" w:noVBand="1"/>
      </w:tblPr>
      <w:tblGrid>
        <w:gridCol w:w="1938"/>
        <w:gridCol w:w="1248"/>
        <w:gridCol w:w="1106"/>
        <w:gridCol w:w="1382"/>
        <w:gridCol w:w="1663"/>
        <w:gridCol w:w="2234"/>
      </w:tblGrid>
      <w:tr w:rsidR="00B850DD" w:rsidRPr="00695D95" w:rsidTr="00A679B0">
        <w:trPr>
          <w:cantSplit/>
          <w:trHeight w:val="1229"/>
          <w:tblHeader/>
        </w:trPr>
        <w:tc>
          <w:tcPr>
            <w:tcW w:w="1012" w:type="pct"/>
            <w:tcBorders>
              <w:top w:val="single" w:sz="4" w:space="0" w:color="auto"/>
              <w:left w:val="single" w:sz="4" w:space="0" w:color="auto"/>
              <w:right w:val="single" w:sz="4" w:space="0" w:color="auto"/>
            </w:tcBorders>
            <w:shd w:val="clear" w:color="000000" w:fill="8DB4E2"/>
            <w:vAlign w:val="center"/>
            <w:hideMark/>
          </w:tcPr>
          <w:p w:rsidR="00B850DD" w:rsidRPr="00695D95" w:rsidRDefault="00B850DD" w:rsidP="00B850DD">
            <w:pPr>
              <w:bidi/>
              <w:jc w:val="center"/>
              <w:rPr>
                <w:rFonts w:ascii="Arabic Typesetting" w:hAnsi="Arabic Typesetting" w:cs="Arabic Typesetting"/>
                <w:b/>
                <w:bCs/>
                <w:color w:val="000000"/>
                <w:sz w:val="28"/>
                <w:szCs w:val="28"/>
              </w:rPr>
            </w:pPr>
            <w:r w:rsidRPr="00695D95">
              <w:rPr>
                <w:rFonts w:ascii="Arabic Typesetting" w:hAnsi="Arabic Typesetting" w:cs="Arabic Typesetting"/>
                <w:b/>
                <w:bCs/>
                <w:color w:val="000000"/>
                <w:sz w:val="28"/>
                <w:szCs w:val="28"/>
                <w:rtl/>
              </w:rPr>
              <w:t>الفعالية من حيث التكلفة</w:t>
            </w:r>
          </w:p>
        </w:tc>
        <w:tc>
          <w:tcPr>
            <w:tcW w:w="652" w:type="pct"/>
            <w:tcBorders>
              <w:top w:val="single" w:sz="4" w:space="0" w:color="auto"/>
              <w:left w:val="nil"/>
              <w:right w:val="single" w:sz="4" w:space="0" w:color="auto"/>
            </w:tcBorders>
            <w:shd w:val="clear" w:color="000000" w:fill="8DB4E2"/>
            <w:vAlign w:val="center"/>
            <w:hideMark/>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الوفورات السنوية</w:t>
            </w:r>
          </w:p>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2014</w:t>
            </w:r>
            <w:r w:rsidR="00647020" w:rsidRPr="00695D95">
              <w:rPr>
                <w:rFonts w:ascii="Arabic Typesetting" w:hAnsi="Arabic Typesetting" w:cs="Arabic Typesetting"/>
                <w:b/>
                <w:bCs/>
                <w:color w:val="000000"/>
                <w:sz w:val="28"/>
                <w:szCs w:val="28"/>
                <w:rtl/>
              </w:rPr>
              <w:t>*</w:t>
            </w:r>
          </w:p>
          <w:p w:rsidR="00B850DD" w:rsidRPr="00695D95" w:rsidRDefault="00B850DD" w:rsidP="00647020">
            <w:pPr>
              <w:bidi/>
              <w:jc w:val="center"/>
              <w:rPr>
                <w:rFonts w:ascii="Arabic Typesetting" w:hAnsi="Arabic Typesetting" w:cs="Arabic Typesetting"/>
                <w:b/>
                <w:bCs/>
                <w:color w:val="000000"/>
                <w:sz w:val="28"/>
                <w:szCs w:val="28"/>
              </w:rPr>
            </w:pPr>
            <w:r w:rsidRPr="00695D95">
              <w:rPr>
                <w:rFonts w:ascii="Arabic Typesetting" w:hAnsi="Arabic Typesetting" w:cs="Arabic Typesetting"/>
                <w:b/>
                <w:bCs/>
                <w:color w:val="000000"/>
                <w:sz w:val="28"/>
                <w:szCs w:val="28"/>
                <w:rtl/>
              </w:rPr>
              <w:t>(بالفرنك السويسري)</w:t>
            </w:r>
          </w:p>
        </w:tc>
        <w:tc>
          <w:tcPr>
            <w:tcW w:w="578" w:type="pct"/>
            <w:tcBorders>
              <w:top w:val="single" w:sz="4" w:space="0" w:color="auto"/>
              <w:left w:val="nil"/>
              <w:right w:val="single" w:sz="4" w:space="0" w:color="auto"/>
            </w:tcBorders>
            <w:shd w:val="clear" w:color="000000" w:fill="8DB4E2"/>
            <w:vAlign w:val="center"/>
            <w:hideMark/>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الوفورات السنوية</w:t>
            </w:r>
          </w:p>
          <w:p w:rsidR="00B850DD" w:rsidRPr="00695D95" w:rsidRDefault="00B850DD" w:rsidP="00B850DD">
            <w:pPr>
              <w:bidi/>
              <w:jc w:val="center"/>
              <w:rPr>
                <w:rFonts w:ascii="Arabic Typesetting" w:hAnsi="Arabic Typesetting" w:cs="Arabic Typesetting"/>
                <w:b/>
                <w:bCs/>
                <w:color w:val="000000"/>
                <w:sz w:val="28"/>
                <w:szCs w:val="28"/>
                <w:rtl/>
              </w:rPr>
            </w:pPr>
            <w:r>
              <w:rPr>
                <w:rFonts w:ascii="Arabic Typesetting" w:hAnsi="Arabic Typesetting" w:cs="Arabic Typesetting" w:hint="cs"/>
                <w:b/>
                <w:bCs/>
                <w:color w:val="000000"/>
                <w:sz w:val="28"/>
                <w:szCs w:val="28"/>
                <w:rtl/>
              </w:rPr>
              <w:t>2015</w:t>
            </w:r>
            <w:r w:rsidR="00647020" w:rsidRPr="00695D95">
              <w:rPr>
                <w:rFonts w:ascii="Arabic Typesetting" w:hAnsi="Arabic Typesetting" w:cs="Arabic Typesetting"/>
                <w:b/>
                <w:bCs/>
                <w:color w:val="000000"/>
                <w:sz w:val="28"/>
                <w:szCs w:val="28"/>
                <w:rtl/>
              </w:rPr>
              <w:t>**</w:t>
            </w:r>
          </w:p>
          <w:p w:rsidR="00B850DD" w:rsidRPr="00695D95" w:rsidRDefault="00B850DD" w:rsidP="00647020">
            <w:pPr>
              <w:bidi/>
              <w:jc w:val="center"/>
              <w:rPr>
                <w:rFonts w:ascii="Arabic Typesetting" w:hAnsi="Arabic Typesetting" w:cs="Arabic Typesetting"/>
                <w:b/>
                <w:bCs/>
                <w:color w:val="000000"/>
                <w:sz w:val="28"/>
                <w:szCs w:val="28"/>
              </w:rPr>
            </w:pPr>
            <w:r w:rsidRPr="00695D95">
              <w:rPr>
                <w:rFonts w:ascii="Arabic Typesetting" w:hAnsi="Arabic Typesetting" w:cs="Arabic Typesetting"/>
                <w:b/>
                <w:bCs/>
                <w:color w:val="000000"/>
                <w:sz w:val="28"/>
                <w:szCs w:val="28"/>
                <w:rtl/>
              </w:rPr>
              <w:t>(بالفرنك السويسري)</w:t>
            </w:r>
          </w:p>
        </w:tc>
        <w:tc>
          <w:tcPr>
            <w:tcW w:w="722" w:type="pct"/>
            <w:tcBorders>
              <w:top w:val="single" w:sz="4" w:space="0" w:color="auto"/>
              <w:left w:val="nil"/>
              <w:right w:val="single" w:sz="4" w:space="0" w:color="auto"/>
            </w:tcBorders>
            <w:shd w:val="clear" w:color="000000" w:fill="8DB4E2"/>
            <w:vAlign w:val="center"/>
            <w:hideMark/>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انخفاض تكلفة الوحدة</w:t>
            </w:r>
          </w:p>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2014</w:t>
            </w:r>
            <w:r w:rsidR="00647020" w:rsidRPr="00695D95">
              <w:rPr>
                <w:rFonts w:ascii="Arabic Typesetting" w:hAnsi="Arabic Typesetting" w:cs="Arabic Typesetting"/>
                <w:b/>
                <w:bCs/>
                <w:color w:val="000000"/>
                <w:sz w:val="28"/>
                <w:szCs w:val="28"/>
                <w:rtl/>
              </w:rPr>
              <w:t>*</w:t>
            </w:r>
          </w:p>
          <w:p w:rsidR="00B850DD" w:rsidRPr="00695D95" w:rsidRDefault="00B850DD" w:rsidP="00647020">
            <w:pPr>
              <w:bidi/>
              <w:jc w:val="center"/>
              <w:rPr>
                <w:rFonts w:ascii="Arabic Typesetting" w:hAnsi="Arabic Typesetting" w:cs="Arabic Typesetting"/>
                <w:b/>
                <w:bCs/>
                <w:color w:val="000000"/>
                <w:sz w:val="28"/>
                <w:szCs w:val="28"/>
              </w:rPr>
            </w:pPr>
            <w:r w:rsidRPr="00695D95">
              <w:rPr>
                <w:rFonts w:ascii="Arabic Typesetting" w:hAnsi="Arabic Typesetting" w:cs="Arabic Typesetting"/>
                <w:b/>
                <w:bCs/>
                <w:color w:val="000000"/>
                <w:sz w:val="28"/>
                <w:szCs w:val="28"/>
                <w:rtl/>
              </w:rPr>
              <w:t>(بالفرنك السويسري)</w:t>
            </w:r>
          </w:p>
        </w:tc>
        <w:tc>
          <w:tcPr>
            <w:tcW w:w="869" w:type="pct"/>
            <w:tcBorders>
              <w:top w:val="single" w:sz="4" w:space="0" w:color="auto"/>
              <w:left w:val="nil"/>
              <w:right w:val="single" w:sz="4" w:space="0" w:color="auto"/>
            </w:tcBorders>
            <w:shd w:val="clear" w:color="000000" w:fill="8DB4E2"/>
            <w:vAlign w:val="center"/>
            <w:hideMark/>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انخفاض تكلفة الوحدة</w:t>
            </w:r>
          </w:p>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2015</w:t>
            </w:r>
          </w:p>
          <w:p w:rsidR="00B850DD" w:rsidRPr="00695D95" w:rsidRDefault="00B850DD" w:rsidP="00B850DD">
            <w:pPr>
              <w:bidi/>
              <w:jc w:val="center"/>
              <w:rPr>
                <w:rFonts w:ascii="Arabic Typesetting" w:hAnsi="Arabic Typesetting" w:cs="Arabic Typesetting"/>
                <w:b/>
                <w:bCs/>
                <w:color w:val="000000"/>
                <w:sz w:val="28"/>
                <w:szCs w:val="28"/>
              </w:rPr>
            </w:pPr>
            <w:r w:rsidRPr="00695D95">
              <w:rPr>
                <w:rFonts w:ascii="Arabic Typesetting" w:hAnsi="Arabic Typesetting" w:cs="Arabic Typesetting"/>
                <w:b/>
                <w:bCs/>
                <w:color w:val="000000"/>
                <w:sz w:val="28"/>
                <w:szCs w:val="28"/>
                <w:rtl/>
              </w:rPr>
              <w:t>(بالفرنك السويسري)</w:t>
            </w:r>
          </w:p>
        </w:tc>
        <w:tc>
          <w:tcPr>
            <w:tcW w:w="1167" w:type="pct"/>
            <w:tcBorders>
              <w:top w:val="single" w:sz="4" w:space="0" w:color="auto"/>
              <w:left w:val="nil"/>
              <w:right w:val="single" w:sz="4" w:space="0" w:color="auto"/>
            </w:tcBorders>
            <w:shd w:val="clear" w:color="000000" w:fill="8DB4E2"/>
            <w:vAlign w:val="center"/>
            <w:hideMark/>
          </w:tcPr>
          <w:p w:rsidR="00B850DD" w:rsidRPr="00695D95" w:rsidRDefault="00B850DD" w:rsidP="00B850DD">
            <w:pPr>
              <w:bidi/>
              <w:jc w:val="center"/>
              <w:rPr>
                <w:rFonts w:ascii="Arabic Typesetting" w:hAnsi="Arabic Typesetting" w:cs="Arabic Typesetting"/>
                <w:b/>
                <w:bCs/>
                <w:color w:val="000000"/>
                <w:sz w:val="28"/>
                <w:szCs w:val="28"/>
              </w:rPr>
            </w:pPr>
            <w:r w:rsidRPr="00695D95">
              <w:rPr>
                <w:rFonts w:ascii="Arabic Typesetting" w:hAnsi="Arabic Typesetting" w:cs="Arabic Typesetting"/>
                <w:b/>
                <w:bCs/>
                <w:color w:val="000000"/>
                <w:sz w:val="28"/>
                <w:szCs w:val="28"/>
                <w:rtl/>
              </w:rPr>
              <w:t>ملاحظات</w:t>
            </w:r>
          </w:p>
        </w:tc>
      </w:tr>
      <w:tr w:rsidR="00B850DD" w:rsidRPr="00695D95" w:rsidTr="00BE7CD1">
        <w:trPr>
          <w:cantSplit/>
          <w:trHeight w:val="18"/>
          <w:tblHeader/>
        </w:trPr>
        <w:tc>
          <w:tcPr>
            <w:tcW w:w="1012" w:type="pct"/>
            <w:tcBorders>
              <w:left w:val="single" w:sz="4" w:space="0" w:color="auto"/>
              <w:bottom w:val="single" w:sz="4" w:space="0" w:color="auto"/>
              <w:right w:val="single" w:sz="4" w:space="0" w:color="auto"/>
            </w:tcBorders>
            <w:shd w:val="clear" w:color="000000" w:fill="8DB4E2"/>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أ</w:t>
            </w:r>
          </w:p>
        </w:tc>
        <w:tc>
          <w:tcPr>
            <w:tcW w:w="652" w:type="pct"/>
            <w:tcBorders>
              <w:left w:val="nil"/>
              <w:bottom w:val="single" w:sz="4" w:space="0" w:color="auto"/>
              <w:right w:val="single" w:sz="4" w:space="0" w:color="auto"/>
            </w:tcBorders>
            <w:shd w:val="clear" w:color="000000" w:fill="8DB4E2"/>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ب</w:t>
            </w:r>
          </w:p>
        </w:tc>
        <w:tc>
          <w:tcPr>
            <w:tcW w:w="578" w:type="pct"/>
            <w:tcBorders>
              <w:left w:val="nil"/>
              <w:bottom w:val="single" w:sz="4" w:space="0" w:color="auto"/>
              <w:right w:val="single" w:sz="4" w:space="0" w:color="auto"/>
            </w:tcBorders>
            <w:shd w:val="clear" w:color="000000" w:fill="8DB4E2"/>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ج</w:t>
            </w:r>
          </w:p>
        </w:tc>
        <w:tc>
          <w:tcPr>
            <w:tcW w:w="722" w:type="pct"/>
            <w:tcBorders>
              <w:left w:val="nil"/>
              <w:bottom w:val="single" w:sz="4" w:space="0" w:color="auto"/>
              <w:right w:val="single" w:sz="4" w:space="0" w:color="auto"/>
            </w:tcBorders>
            <w:shd w:val="clear" w:color="000000" w:fill="8DB4E2"/>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د</w:t>
            </w:r>
          </w:p>
        </w:tc>
        <w:tc>
          <w:tcPr>
            <w:tcW w:w="869" w:type="pct"/>
            <w:tcBorders>
              <w:left w:val="nil"/>
              <w:bottom w:val="single" w:sz="4" w:space="0" w:color="auto"/>
              <w:right w:val="single" w:sz="4" w:space="0" w:color="auto"/>
            </w:tcBorders>
            <w:shd w:val="clear" w:color="000000" w:fill="8DB4E2"/>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ه</w:t>
            </w:r>
          </w:p>
        </w:tc>
        <w:tc>
          <w:tcPr>
            <w:tcW w:w="1167" w:type="pct"/>
            <w:tcBorders>
              <w:left w:val="nil"/>
              <w:bottom w:val="single" w:sz="4" w:space="0" w:color="auto"/>
              <w:right w:val="single" w:sz="4" w:space="0" w:color="auto"/>
            </w:tcBorders>
            <w:shd w:val="clear" w:color="000000" w:fill="8DB4E2"/>
          </w:tcPr>
          <w:p w:rsidR="00B850DD" w:rsidRPr="00695D95" w:rsidRDefault="00B850DD" w:rsidP="00B850DD">
            <w:pPr>
              <w:bidi/>
              <w:jc w:val="center"/>
              <w:rPr>
                <w:rFonts w:ascii="Arabic Typesetting" w:hAnsi="Arabic Typesetting" w:cs="Arabic Typesetting"/>
                <w:b/>
                <w:bCs/>
                <w:color w:val="000000"/>
                <w:sz w:val="28"/>
                <w:szCs w:val="28"/>
                <w:rtl/>
              </w:rPr>
            </w:pPr>
            <w:r w:rsidRPr="00695D95">
              <w:rPr>
                <w:rFonts w:ascii="Arabic Typesetting" w:hAnsi="Arabic Typesetting" w:cs="Arabic Typesetting"/>
                <w:b/>
                <w:bCs/>
                <w:color w:val="000000"/>
                <w:sz w:val="28"/>
                <w:szCs w:val="28"/>
                <w:rtl/>
              </w:rPr>
              <w:t>و</w:t>
            </w:r>
          </w:p>
        </w:tc>
      </w:tr>
      <w:tr w:rsidR="00B850DD" w:rsidRPr="00695D95" w:rsidTr="00BE7CD1">
        <w:trPr>
          <w:cantSplit/>
          <w:trHeight w:val="1206"/>
        </w:trPr>
        <w:tc>
          <w:tcPr>
            <w:tcW w:w="1012" w:type="pct"/>
            <w:tcBorders>
              <w:top w:val="single" w:sz="4" w:space="0" w:color="auto"/>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التكلفة الإجمالية لمعالجة طلب منشور بناء على معاهدة التعاون بشأن البراءات ما أدى إلى تحسين معالجة الالتزامات المالية المتعلقة بتلزيم خدمات الترجمة وزيادة الإنتاجية</w:t>
            </w:r>
          </w:p>
        </w:tc>
        <w:tc>
          <w:tcPr>
            <w:tcW w:w="652"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spacing w:after="240"/>
              <w:rPr>
                <w:rFonts w:ascii="Arabic Typesetting" w:hAnsi="Arabic Typesetting" w:cs="Arabic Typesetting"/>
                <w:color w:val="000000"/>
                <w:sz w:val="28"/>
                <w:szCs w:val="28"/>
              </w:rPr>
            </w:pPr>
          </w:p>
        </w:tc>
        <w:tc>
          <w:tcPr>
            <w:tcW w:w="578"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72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من 722 فرنكاً سويسرياً في 2013 إلى 662 فرنكاً سويسرياً في 2014 (أي بمبلغ 60 فرنكاً سويسرياً أو نسبة 8.3</w:t>
            </w:r>
            <w:r>
              <w:rPr>
                <w:rFonts w:ascii="Arabic Typesetting" w:hAnsi="Arabic Typesetting" w:cs="Arabic Typesetting" w:hint="cs"/>
                <w:color w:val="000000"/>
                <w:sz w:val="28"/>
                <w:szCs w:val="28"/>
                <w:rtl/>
              </w:rPr>
              <w:t>%</w:t>
            </w:r>
            <w:r w:rsidRPr="00695D95">
              <w:rPr>
                <w:rFonts w:ascii="Arabic Typesetting" w:hAnsi="Arabic Typesetting" w:cs="Arabic Typesetting"/>
                <w:color w:val="000000"/>
                <w:sz w:val="28"/>
                <w:szCs w:val="28"/>
                <w:rtl/>
              </w:rPr>
              <w:t>)</w:t>
            </w:r>
          </w:p>
        </w:tc>
        <w:tc>
          <w:tcPr>
            <w:tcW w:w="869"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زيادة من 662 فرنكاً سويسرياً في 2014 إلى 735 فرنكاً سويسرياً في 2015 (أي بمبلغ 73 فرنكاً سويسرياً أو نسبة 11</w:t>
            </w:r>
            <w:r>
              <w:rPr>
                <w:rFonts w:ascii="Arabic Typesetting" w:hAnsi="Arabic Typesetting" w:cs="Arabic Typesetting"/>
                <w:color w:val="000000"/>
                <w:sz w:val="28"/>
                <w:szCs w:val="28"/>
                <w:rtl/>
              </w:rPr>
              <w:t>%</w:t>
            </w:r>
            <w:r w:rsidRPr="00695D95">
              <w:rPr>
                <w:rFonts w:ascii="Arabic Typesetting" w:hAnsi="Arabic Typesetting" w:cs="Arabic Typesetting"/>
                <w:color w:val="000000"/>
                <w:sz w:val="28"/>
                <w:szCs w:val="28"/>
                <w:rtl/>
              </w:rPr>
              <w:t>)</w:t>
            </w:r>
          </w:p>
        </w:tc>
        <w:tc>
          <w:tcPr>
            <w:tcW w:w="1167"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تكلفة الوحدة هي متوسط التكلفة لإنتاج وحدة واحدة من المخرجات. ويشمل حساب تكلفة الوحدة تكلفة الإنتاج الإجمالية التي تضم النفقات المتعلقة بنظام معاهدة البراءات حصراً ونفقات الأنشطة التي تدعم هذا النظام. (للمزيد من التفاصيل، انظر تقرير أداء البرنامج 2014/15).</w:t>
            </w:r>
          </w:p>
        </w:tc>
      </w:tr>
      <w:tr w:rsidR="00B850DD" w:rsidRPr="00695D95" w:rsidTr="00BE7CD1">
        <w:trPr>
          <w:cantSplit/>
          <w:trHeight w:val="493"/>
        </w:trPr>
        <w:tc>
          <w:tcPr>
            <w:tcW w:w="1012" w:type="pct"/>
            <w:tcBorders>
              <w:top w:val="nil"/>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تكلفة معالجة تسجيل دولي جديد أو مجدَّد في إطار نظام مدريد</w:t>
            </w:r>
          </w:p>
        </w:tc>
        <w:tc>
          <w:tcPr>
            <w:tcW w:w="65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578"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من 837 فرنكاً سويسرياً في 2014 إلى 743 فرنكاً سويسرياً في 2015 (أي بمبلغ 94 فرنكاً سويسرياً أو نسبة 11</w:t>
            </w:r>
            <w:r>
              <w:rPr>
                <w:rFonts w:ascii="Arabic Typesetting" w:hAnsi="Arabic Typesetting" w:cs="Arabic Typesetting"/>
                <w:color w:val="000000"/>
                <w:sz w:val="28"/>
                <w:szCs w:val="28"/>
                <w:rtl/>
              </w:rPr>
              <w:t>%</w:t>
            </w:r>
            <w:r w:rsidRPr="00695D95">
              <w:rPr>
                <w:rFonts w:ascii="Arabic Typesetting" w:hAnsi="Arabic Typesetting" w:cs="Arabic Typesetting"/>
                <w:color w:val="000000"/>
                <w:sz w:val="28"/>
                <w:szCs w:val="28"/>
                <w:rtl/>
              </w:rPr>
              <w:t>)</w:t>
            </w:r>
          </w:p>
        </w:tc>
        <w:tc>
          <w:tcPr>
            <w:tcW w:w="1167"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انظر تقرير أداء البرنامج 2014/15 للمزيد من المعلومات عن المؤشرات الخاصة بعمليات نظام مدريد.</w:t>
            </w:r>
          </w:p>
        </w:tc>
      </w:tr>
      <w:tr w:rsidR="00B850DD" w:rsidRPr="00695D95" w:rsidTr="00BE7CD1">
        <w:trPr>
          <w:cantSplit/>
          <w:trHeight w:val="45"/>
        </w:trPr>
        <w:tc>
          <w:tcPr>
            <w:tcW w:w="1012" w:type="pct"/>
            <w:tcBorders>
              <w:top w:val="single" w:sz="4" w:space="0" w:color="auto"/>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تكلفة إجازة زيارة الوطن عقب تطبيق السياسة الجديدة لإجازة زيارة الوطن (التعميم الإداري 22/2014)</w:t>
            </w:r>
          </w:p>
        </w:tc>
        <w:tc>
          <w:tcPr>
            <w:tcW w:w="65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غير متاحة</w:t>
            </w:r>
          </w:p>
        </w:tc>
        <w:tc>
          <w:tcPr>
            <w:tcW w:w="578"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000 267</w:t>
            </w:r>
          </w:p>
        </w:tc>
        <w:tc>
          <w:tcPr>
            <w:tcW w:w="72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بدأ تطبيق السياسة الجديدة لإجازة زيارة الوطن في 2015.</w:t>
            </w:r>
          </w:p>
        </w:tc>
      </w:tr>
      <w:tr w:rsidR="00B850DD" w:rsidRPr="00695D95" w:rsidTr="00BE7CD1">
        <w:trPr>
          <w:cantSplit/>
          <w:trHeight w:val="101"/>
        </w:trPr>
        <w:tc>
          <w:tcPr>
            <w:tcW w:w="1012" w:type="pct"/>
            <w:tcBorders>
              <w:top w:val="nil"/>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lastRenderedPageBreak/>
              <w:t xml:space="preserve">انخفاض متوسط تكلفة تذكرة الطيران عقب اعتماد أدوات تكنولوجية جديدة </w:t>
            </w:r>
            <w:r>
              <w:rPr>
                <w:rFonts w:ascii="Arabic Typesetting" w:hAnsi="Arabic Typesetting" w:cs="Arabic Typesetting" w:hint="cs"/>
                <w:color w:val="000000"/>
                <w:sz w:val="28"/>
                <w:szCs w:val="28"/>
                <w:rtl/>
              </w:rPr>
              <w:t>تعرض</w:t>
            </w:r>
            <w:r>
              <w:rPr>
                <w:rFonts w:ascii="Arabic Typesetting" w:hAnsi="Arabic Typesetting" w:cs="Arabic Typesetting"/>
                <w:color w:val="000000"/>
                <w:sz w:val="28"/>
                <w:szCs w:val="28"/>
                <w:rtl/>
              </w:rPr>
              <w:t xml:space="preserve"> المزيد من </w:t>
            </w:r>
            <w:r>
              <w:rPr>
                <w:rFonts w:ascii="Arabic Typesetting" w:hAnsi="Arabic Typesetting" w:cs="Arabic Typesetting" w:hint="cs"/>
                <w:color w:val="000000"/>
                <w:sz w:val="28"/>
                <w:szCs w:val="28"/>
                <w:rtl/>
              </w:rPr>
              <w:t xml:space="preserve">الرحلات الأرخص سعراً </w:t>
            </w:r>
            <w:r w:rsidRPr="00695D95">
              <w:rPr>
                <w:rFonts w:ascii="Arabic Typesetting" w:hAnsi="Arabic Typesetting" w:cs="Arabic Typesetting"/>
                <w:color w:val="000000"/>
                <w:sz w:val="28"/>
                <w:szCs w:val="28"/>
                <w:rtl/>
              </w:rPr>
              <w:t xml:space="preserve">(التذاكر المشروطة أو غير القابلة للاسترداد) </w:t>
            </w:r>
            <w:r w:rsidR="000E783B">
              <w:rPr>
                <w:rFonts w:ascii="Arabic Typesetting" w:hAnsi="Arabic Typesetting" w:cs="Arabic Typesetting" w:hint="cs"/>
                <w:color w:val="000000"/>
                <w:sz w:val="28"/>
                <w:szCs w:val="28"/>
                <w:rtl/>
              </w:rPr>
              <w:t>و</w:t>
            </w:r>
            <w:r w:rsidRPr="00695D95">
              <w:rPr>
                <w:rFonts w:ascii="Arabic Typesetting" w:hAnsi="Arabic Typesetting" w:cs="Arabic Typesetting"/>
                <w:color w:val="000000"/>
                <w:sz w:val="28"/>
                <w:szCs w:val="28"/>
                <w:rtl/>
              </w:rPr>
              <w:t>صممت بحيث تمتثل امتثالاً تاماً لسياسة الأسفار في الويبو وتحسن الحجز المبكر.</w:t>
            </w:r>
          </w:p>
        </w:tc>
        <w:tc>
          <w:tcPr>
            <w:tcW w:w="65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578"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من 1728 فرنكاً سويسرياً في 2013 إلى 1598 فرنكاً سويسرياً في 2014 (أي بنسبة 7.5</w:t>
            </w:r>
            <w:r>
              <w:rPr>
                <w:rFonts w:ascii="Arabic Typesetting" w:hAnsi="Arabic Typesetting" w:cs="Arabic Typesetting"/>
                <w:color w:val="000000"/>
                <w:sz w:val="28"/>
                <w:szCs w:val="28"/>
                <w:rtl/>
              </w:rPr>
              <w:t>%</w:t>
            </w:r>
            <w:r w:rsidR="000E783B">
              <w:rPr>
                <w:rFonts w:ascii="Arabic Typesetting" w:hAnsi="Arabic Typesetting" w:cs="Arabic Typesetting" w:hint="cs"/>
                <w:color w:val="000000"/>
                <w:sz w:val="28"/>
                <w:szCs w:val="28"/>
                <w:rtl/>
              </w:rPr>
              <w:t xml:space="preserve"> عن عام 2013</w:t>
            </w:r>
            <w:r w:rsidRPr="00695D95">
              <w:rPr>
                <w:rFonts w:ascii="Arabic Typesetting" w:hAnsi="Arabic Typesetting" w:cs="Arabic Typesetting"/>
                <w:color w:val="000000"/>
                <w:sz w:val="28"/>
                <w:szCs w:val="28"/>
                <w:rtl/>
              </w:rPr>
              <w:t>)</w:t>
            </w: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0E783B">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إلى 1481 فرنكاً سويسرياً في 2015 (أي بنسبة 7.3</w:t>
            </w:r>
            <w:r>
              <w:rPr>
                <w:rFonts w:ascii="Arabic Typesetting" w:hAnsi="Arabic Typesetting" w:cs="Arabic Typesetting"/>
                <w:color w:val="000000"/>
                <w:sz w:val="28"/>
                <w:szCs w:val="28"/>
                <w:rtl/>
              </w:rPr>
              <w:t>%</w:t>
            </w:r>
            <w:r w:rsidRPr="00695D95">
              <w:rPr>
                <w:rFonts w:ascii="Arabic Typesetting" w:hAnsi="Arabic Typesetting" w:cs="Arabic Typesetting"/>
                <w:color w:val="000000"/>
                <w:sz w:val="28"/>
                <w:szCs w:val="28"/>
                <w:rtl/>
              </w:rPr>
              <w:t xml:space="preserve"> عن عام</w:t>
            </w:r>
            <w:r w:rsidR="000E783B">
              <w:rPr>
                <w:rFonts w:ascii="Arabic Typesetting" w:hAnsi="Arabic Typesetting" w:cs="Arabic Typesetting" w:hint="cs"/>
                <w:color w:val="000000"/>
                <w:sz w:val="28"/>
                <w:szCs w:val="28"/>
                <w:rtl/>
              </w:rPr>
              <w:t> </w:t>
            </w:r>
            <w:r w:rsidRPr="00695D95">
              <w:rPr>
                <w:rFonts w:ascii="Arabic Typesetting" w:hAnsi="Arabic Typesetting" w:cs="Arabic Typesetting"/>
                <w:color w:val="000000"/>
                <w:sz w:val="28"/>
                <w:szCs w:val="28"/>
                <w:rtl/>
              </w:rPr>
              <w:t>2014)</w:t>
            </w:r>
          </w:p>
        </w:tc>
        <w:tc>
          <w:tcPr>
            <w:tcW w:w="1167" w:type="pct"/>
            <w:tcBorders>
              <w:top w:val="nil"/>
              <w:left w:val="nil"/>
              <w:bottom w:val="single" w:sz="4" w:space="0" w:color="auto"/>
              <w:right w:val="single" w:sz="4" w:space="0" w:color="auto"/>
            </w:tcBorders>
            <w:shd w:val="clear" w:color="auto" w:fill="auto"/>
          </w:tcPr>
          <w:p w:rsidR="00B850DD" w:rsidRPr="00695D95" w:rsidRDefault="00B850DD" w:rsidP="00B850DD">
            <w:pPr>
              <w:bidi/>
              <w:spacing w:after="120"/>
              <w:rPr>
                <w:rFonts w:ascii="Arabic Typesetting" w:hAnsi="Arabic Typesetting" w:cs="Arabic Typesetting"/>
                <w:color w:val="000000"/>
                <w:sz w:val="28"/>
                <w:szCs w:val="28"/>
                <w:rtl/>
              </w:rPr>
            </w:pPr>
            <w:r w:rsidRPr="00695D95">
              <w:rPr>
                <w:rFonts w:ascii="Arabic Typesetting" w:hAnsi="Arabic Typesetting" w:cs="Arabic Typesetting"/>
                <w:color w:val="000000"/>
                <w:sz w:val="28"/>
                <w:szCs w:val="28"/>
                <w:rtl/>
              </w:rPr>
              <w:t>2014: بُذلت جهود كبيرة خلال الثنائية لتخفيض نفقات السفر</w:t>
            </w:r>
            <w:r>
              <w:rPr>
                <w:rFonts w:ascii="Arabic Typesetting" w:hAnsi="Arabic Typesetting" w:cs="Arabic Typesetting" w:hint="cs"/>
                <w:color w:val="000000"/>
                <w:sz w:val="28"/>
                <w:szCs w:val="28"/>
                <w:rtl/>
              </w:rPr>
              <w:t>،</w:t>
            </w:r>
            <w:r w:rsidRPr="00695D95">
              <w:rPr>
                <w:rFonts w:ascii="Arabic Typesetting" w:hAnsi="Arabic Typesetting" w:cs="Arabic Typesetting"/>
                <w:color w:val="000000"/>
                <w:sz w:val="28"/>
                <w:szCs w:val="28"/>
                <w:rtl/>
              </w:rPr>
              <w:t xml:space="preserve"> ما أفضى إلى تقليص عدد التذاكر الصادرة وعدد طلبات السفر المتأخرة على حد سواء.</w:t>
            </w:r>
          </w:p>
          <w:p w:rsidR="00B850DD" w:rsidRPr="00695D95" w:rsidRDefault="00B850DD" w:rsidP="000E783B">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2015: أدى اعتماد أداة حجز شبكية ورصد طلبات التصريح </w:t>
            </w:r>
            <w:r w:rsidR="000E783B">
              <w:rPr>
                <w:rFonts w:ascii="Arabic Typesetting" w:hAnsi="Arabic Typesetting" w:cs="Arabic Typesetting" w:hint="cs"/>
                <w:color w:val="000000"/>
                <w:sz w:val="28"/>
                <w:szCs w:val="28"/>
                <w:rtl/>
              </w:rPr>
              <w:t>بالسفر المتأخر</w:t>
            </w:r>
            <w:r w:rsidRPr="00695D95">
              <w:rPr>
                <w:rFonts w:ascii="Arabic Typesetting" w:hAnsi="Arabic Typesetting" w:cs="Arabic Typesetting"/>
                <w:color w:val="000000"/>
                <w:sz w:val="28"/>
                <w:szCs w:val="28"/>
                <w:rtl/>
              </w:rPr>
              <w:t xml:space="preserve"> (أي 16 يوماً قبل تاريخ السفر) إلى تحسين معدلات الحجز المبكر ومن ثم الاستفادة من أرخص الأسعار المتاحة في السوق (تشمل تكلفة التذكرة المتوسطة التذاكر الصادرة عن طريق وكالة السفر وبرنامج الأمم المتحدة الإنمائي أو المسافر نفسه)</w:t>
            </w:r>
            <w:r w:rsidR="000E783B">
              <w:rPr>
                <w:rFonts w:ascii="Arabic Typesetting" w:hAnsi="Arabic Typesetting" w:cs="Arabic Typesetting" w:hint="cs"/>
                <w:color w:val="000000"/>
                <w:sz w:val="28"/>
                <w:szCs w:val="28"/>
                <w:rtl/>
              </w:rPr>
              <w:t>.</w:t>
            </w:r>
          </w:p>
        </w:tc>
      </w:tr>
      <w:tr w:rsidR="00B850DD" w:rsidRPr="00695D95" w:rsidTr="00BE7CD1">
        <w:trPr>
          <w:cantSplit/>
          <w:trHeight w:val="433"/>
        </w:trPr>
        <w:tc>
          <w:tcPr>
            <w:tcW w:w="1012" w:type="pct"/>
            <w:tcBorders>
              <w:top w:val="nil"/>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متوسط رسوم المعاملات الإجمالية المستحقة لوكالة السفر وبرنامج الأمم المتحدة الإنمائي وأداة الحجز الشبكية</w:t>
            </w:r>
          </w:p>
        </w:tc>
        <w:tc>
          <w:tcPr>
            <w:tcW w:w="65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578"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119</w:t>
            </w: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95</w:t>
            </w:r>
          </w:p>
        </w:tc>
        <w:tc>
          <w:tcPr>
            <w:tcW w:w="1167"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أدى استخدام أداة الحجز الشبكية لكل الرحلات العادية (جهة واحدة) إلى شراء 69% من مجموع التذاكر من وكالة السفر وانخفاض متوسط رسوم المعاملة.</w:t>
            </w:r>
          </w:p>
        </w:tc>
      </w:tr>
      <w:tr w:rsidR="00B850DD" w:rsidRPr="00695D95" w:rsidTr="00BE7CD1">
        <w:trPr>
          <w:cantSplit/>
          <w:trHeight w:val="3561"/>
        </w:trPr>
        <w:tc>
          <w:tcPr>
            <w:tcW w:w="1012" w:type="pct"/>
            <w:tcBorders>
              <w:top w:val="nil"/>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تحقيق وفورات في تكاليف السلع والخدمات التي تشتريها الويبو</w:t>
            </w:r>
          </w:p>
        </w:tc>
        <w:tc>
          <w:tcPr>
            <w:tcW w:w="65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000 663 2</w:t>
            </w:r>
          </w:p>
        </w:tc>
        <w:tc>
          <w:tcPr>
            <w:tcW w:w="578"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361 826 3</w:t>
            </w: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tcPr>
          <w:p w:rsidR="00B850DD" w:rsidRPr="00695D95" w:rsidRDefault="00B850DD" w:rsidP="00B850DD">
            <w:pPr>
              <w:bidi/>
              <w:spacing w:after="120"/>
              <w:rPr>
                <w:rFonts w:ascii="Arabic Typesetting" w:hAnsi="Arabic Typesetting" w:cs="Arabic Typesetting"/>
                <w:color w:val="000000"/>
                <w:sz w:val="28"/>
                <w:szCs w:val="28"/>
                <w:rtl/>
              </w:rPr>
            </w:pPr>
            <w:r w:rsidRPr="00695D95">
              <w:rPr>
                <w:rFonts w:ascii="Arabic Typesetting" w:hAnsi="Arabic Typesetting" w:cs="Arabic Typesetting"/>
                <w:color w:val="000000"/>
                <w:sz w:val="28"/>
                <w:szCs w:val="28"/>
                <w:rtl/>
              </w:rPr>
              <w:t>2014: ح</w:t>
            </w:r>
            <w:r>
              <w:rPr>
                <w:rFonts w:ascii="Arabic Typesetting" w:hAnsi="Arabic Typesetting" w:cs="Arabic Typesetting" w:hint="cs"/>
                <w:color w:val="000000"/>
                <w:sz w:val="28"/>
                <w:szCs w:val="28"/>
                <w:rtl/>
              </w:rPr>
              <w:t>ُ</w:t>
            </w:r>
            <w:r w:rsidRPr="00695D95">
              <w:rPr>
                <w:rFonts w:ascii="Arabic Typesetting" w:hAnsi="Arabic Typesetting" w:cs="Arabic Typesetting"/>
                <w:color w:val="000000"/>
                <w:sz w:val="28"/>
                <w:szCs w:val="28"/>
                <w:rtl/>
              </w:rPr>
              <w:t xml:space="preserve">ققت وفورات قدرها 000 598 1 فرنك سويسري عن طريق فريق الأمم المتحدة المعني بأنشطة المشتريات المشتركة، و000 064 1 فرنك سويسري عن طريق تفاوض الويبو مع المزود الذي </w:t>
            </w:r>
            <w:proofErr w:type="spellStart"/>
            <w:r w:rsidRPr="00695D95">
              <w:rPr>
                <w:rFonts w:ascii="Arabic Typesetting" w:hAnsi="Arabic Typesetting" w:cs="Arabic Typesetting"/>
                <w:color w:val="000000"/>
                <w:sz w:val="28"/>
                <w:szCs w:val="28"/>
                <w:rtl/>
              </w:rPr>
              <w:t>رسى</w:t>
            </w:r>
            <w:proofErr w:type="spellEnd"/>
            <w:r w:rsidRPr="00695D95">
              <w:rPr>
                <w:rFonts w:ascii="Arabic Typesetting" w:hAnsi="Arabic Typesetting" w:cs="Arabic Typesetting"/>
                <w:color w:val="000000"/>
                <w:sz w:val="28"/>
                <w:szCs w:val="28"/>
                <w:rtl/>
              </w:rPr>
              <w:t xml:space="preserve"> عليه العطاء أو المزود الوحيد.</w:t>
            </w:r>
          </w:p>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2015: ح</w:t>
            </w:r>
            <w:r>
              <w:rPr>
                <w:rFonts w:ascii="Arabic Typesetting" w:hAnsi="Arabic Typesetting" w:cs="Arabic Typesetting" w:hint="cs"/>
                <w:color w:val="000000"/>
                <w:sz w:val="28"/>
                <w:szCs w:val="28"/>
                <w:rtl/>
              </w:rPr>
              <w:t>ُ</w:t>
            </w:r>
            <w:r w:rsidRPr="00695D95">
              <w:rPr>
                <w:rFonts w:ascii="Arabic Typesetting" w:hAnsi="Arabic Typesetting" w:cs="Arabic Typesetting"/>
                <w:color w:val="000000"/>
                <w:sz w:val="28"/>
                <w:szCs w:val="28"/>
                <w:rtl/>
              </w:rPr>
              <w:t xml:space="preserve">ققت وفورات قدرها 919 316 1 فرنكاً سويسرياً عن طريق فريق الأمم المتحدة المعني بأنشطة المشتريات المشتركة، و442 509 2 فرنكاً سويسرياً عن طريق تفاوض الويبو مع المزود الذي </w:t>
            </w:r>
            <w:proofErr w:type="spellStart"/>
            <w:r w:rsidRPr="00695D95">
              <w:rPr>
                <w:rFonts w:ascii="Arabic Typesetting" w:hAnsi="Arabic Typesetting" w:cs="Arabic Typesetting"/>
                <w:color w:val="000000"/>
                <w:sz w:val="28"/>
                <w:szCs w:val="28"/>
                <w:rtl/>
              </w:rPr>
              <w:t>رسى</w:t>
            </w:r>
            <w:proofErr w:type="spellEnd"/>
            <w:r w:rsidRPr="00695D95">
              <w:rPr>
                <w:rFonts w:ascii="Arabic Typesetting" w:hAnsi="Arabic Typesetting" w:cs="Arabic Typesetting"/>
                <w:color w:val="000000"/>
                <w:sz w:val="28"/>
                <w:szCs w:val="28"/>
                <w:rtl/>
              </w:rPr>
              <w:t xml:space="preserve"> عليه العطاء أو المزود الوحيد</w:t>
            </w:r>
          </w:p>
        </w:tc>
      </w:tr>
      <w:tr w:rsidR="00B850DD" w:rsidRPr="00695D95" w:rsidTr="00BE7CD1">
        <w:trPr>
          <w:cantSplit/>
          <w:trHeight w:val="242"/>
        </w:trPr>
        <w:tc>
          <w:tcPr>
            <w:tcW w:w="1012" w:type="pct"/>
            <w:tcBorders>
              <w:top w:val="nil"/>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lastRenderedPageBreak/>
              <w:t>انخفاض استهلاك الطاقة لنظام التبريد باستخدام مياه بحيرة جنيف عوضاً عن مياه المدينة وبدون استخدام آلات لخفض درجة حرارة المياه ومن ثم تحقيق وفورات في استهلاك الكهرباء والمياه لتشغيل نظام التبريد</w:t>
            </w:r>
          </w:p>
        </w:tc>
        <w:tc>
          <w:tcPr>
            <w:tcW w:w="65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000 35</w:t>
            </w:r>
          </w:p>
        </w:tc>
        <w:tc>
          <w:tcPr>
            <w:tcW w:w="578"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000 75</w:t>
            </w:r>
          </w:p>
        </w:tc>
        <w:tc>
          <w:tcPr>
            <w:tcW w:w="72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spacing w:after="120"/>
              <w:rPr>
                <w:rFonts w:ascii="Arabic Typesetting" w:hAnsi="Arabic Typesetting" w:cs="Arabic Typesetting"/>
                <w:color w:val="000000"/>
                <w:sz w:val="28"/>
                <w:szCs w:val="28"/>
                <w:rtl/>
              </w:rPr>
            </w:pPr>
            <w:r w:rsidRPr="00695D95">
              <w:rPr>
                <w:rFonts w:ascii="Arabic Typesetting" w:hAnsi="Arabic Typesetting" w:cs="Arabic Typesetting"/>
                <w:color w:val="000000"/>
                <w:sz w:val="28"/>
                <w:szCs w:val="28"/>
                <w:rtl/>
              </w:rPr>
              <w:t xml:space="preserve">2014: انخفاض استهلاك الكهرباء والمياه في مبنى </w:t>
            </w:r>
            <w:proofErr w:type="spellStart"/>
            <w:r w:rsidRPr="00695D95">
              <w:rPr>
                <w:rFonts w:ascii="Arabic Typesetting" w:hAnsi="Arabic Typesetting" w:cs="Arabic Typesetting"/>
                <w:color w:val="000000"/>
                <w:sz w:val="28"/>
                <w:szCs w:val="28"/>
                <w:rtl/>
              </w:rPr>
              <w:t>أرباد</w:t>
            </w:r>
            <w:proofErr w:type="spellEnd"/>
            <w:r w:rsidRPr="00695D95">
              <w:rPr>
                <w:rFonts w:ascii="Arabic Typesetting" w:hAnsi="Arabic Typesetting" w:cs="Arabic Typesetting"/>
                <w:color w:val="000000"/>
                <w:sz w:val="28"/>
                <w:szCs w:val="28"/>
                <w:rtl/>
              </w:rPr>
              <w:t xml:space="preserve"> </w:t>
            </w:r>
            <w:proofErr w:type="spellStart"/>
            <w:r w:rsidRPr="00695D95">
              <w:rPr>
                <w:rFonts w:ascii="Arabic Typesetting" w:hAnsi="Arabic Typesetting" w:cs="Arabic Typesetting"/>
                <w:color w:val="000000"/>
                <w:sz w:val="28"/>
                <w:szCs w:val="28"/>
                <w:rtl/>
              </w:rPr>
              <w:t>بوكش</w:t>
            </w:r>
            <w:proofErr w:type="spellEnd"/>
            <w:r w:rsidRPr="00695D95">
              <w:rPr>
                <w:rFonts w:ascii="Arabic Typesetting" w:hAnsi="Arabic Typesetting" w:cs="Arabic Typesetting"/>
                <w:color w:val="000000"/>
                <w:sz w:val="28"/>
                <w:szCs w:val="28"/>
                <w:rtl/>
              </w:rPr>
              <w:t xml:space="preserve"> إثر تزويد المبنى بنظام التبريد. </w:t>
            </w:r>
            <w:r>
              <w:rPr>
                <w:rFonts w:ascii="Arabic Typesetting" w:hAnsi="Arabic Typesetting" w:cs="Arabic Typesetting" w:hint="cs"/>
                <w:color w:val="000000"/>
                <w:sz w:val="28"/>
                <w:szCs w:val="28"/>
                <w:rtl/>
              </w:rPr>
              <w:t>و</w:t>
            </w:r>
            <w:r w:rsidRPr="00695D95">
              <w:rPr>
                <w:rFonts w:ascii="Arabic Typesetting" w:hAnsi="Arabic Typesetting" w:cs="Arabic Typesetting"/>
                <w:color w:val="000000"/>
                <w:sz w:val="28"/>
                <w:szCs w:val="28"/>
                <w:rtl/>
              </w:rPr>
              <w:t>استكملت هذه العملية في منتصف السنة وعليه لا تخص الوفورات المحققة سوى النصف الثاني من العام.</w:t>
            </w:r>
          </w:p>
          <w:p w:rsidR="00B850DD" w:rsidRPr="00695D95" w:rsidRDefault="00B850DD" w:rsidP="000E783B">
            <w:pPr>
              <w:bidi/>
              <w:spacing w:after="120"/>
              <w:rPr>
                <w:rFonts w:ascii="Arabic Typesetting" w:hAnsi="Arabic Typesetting" w:cs="Arabic Typesetting"/>
                <w:color w:val="000000"/>
                <w:sz w:val="28"/>
                <w:szCs w:val="28"/>
                <w:rtl/>
              </w:rPr>
            </w:pPr>
            <w:r w:rsidRPr="00695D95">
              <w:rPr>
                <w:rFonts w:ascii="Arabic Typesetting" w:hAnsi="Arabic Typesetting" w:cs="Arabic Typesetting"/>
                <w:color w:val="000000"/>
                <w:sz w:val="28"/>
                <w:szCs w:val="28"/>
                <w:rtl/>
              </w:rPr>
              <w:t xml:space="preserve">2015: مبنى </w:t>
            </w:r>
            <w:proofErr w:type="spellStart"/>
            <w:r w:rsidRPr="00695D95">
              <w:rPr>
                <w:rFonts w:ascii="Arabic Typesetting" w:hAnsi="Arabic Typesetting" w:cs="Arabic Typesetting"/>
                <w:color w:val="000000"/>
                <w:sz w:val="28"/>
                <w:szCs w:val="28"/>
                <w:rtl/>
              </w:rPr>
              <w:t>أرباد</w:t>
            </w:r>
            <w:proofErr w:type="spellEnd"/>
            <w:r w:rsidRPr="00695D95">
              <w:rPr>
                <w:rFonts w:ascii="Arabic Typesetting" w:hAnsi="Arabic Typesetting" w:cs="Arabic Typesetting"/>
                <w:color w:val="000000"/>
                <w:sz w:val="28"/>
                <w:szCs w:val="28"/>
                <w:rtl/>
              </w:rPr>
              <w:t xml:space="preserve"> </w:t>
            </w:r>
            <w:proofErr w:type="spellStart"/>
            <w:r w:rsidRPr="00695D95">
              <w:rPr>
                <w:rFonts w:ascii="Arabic Typesetting" w:hAnsi="Arabic Typesetting" w:cs="Arabic Typesetting"/>
                <w:color w:val="000000"/>
                <w:sz w:val="28"/>
                <w:szCs w:val="28"/>
                <w:rtl/>
              </w:rPr>
              <w:t>بوكش</w:t>
            </w:r>
            <w:proofErr w:type="spellEnd"/>
            <w:r w:rsidRPr="00695D95">
              <w:rPr>
                <w:rFonts w:ascii="Arabic Typesetting" w:hAnsi="Arabic Typesetting" w:cs="Arabic Typesetting"/>
                <w:color w:val="000000"/>
                <w:sz w:val="28"/>
                <w:szCs w:val="28"/>
                <w:rtl/>
              </w:rPr>
              <w:t xml:space="preserve">: الوفورات في التكاليف عن السنة </w:t>
            </w:r>
            <w:r>
              <w:rPr>
                <w:rFonts w:ascii="Arabic Typesetting" w:hAnsi="Arabic Typesetting" w:cs="Arabic Typesetting" w:hint="cs"/>
                <w:color w:val="000000"/>
                <w:sz w:val="28"/>
                <w:szCs w:val="28"/>
                <w:rtl/>
              </w:rPr>
              <w:t xml:space="preserve">كلها </w:t>
            </w:r>
            <w:r w:rsidRPr="00695D95">
              <w:rPr>
                <w:rFonts w:ascii="Arabic Typesetting" w:hAnsi="Arabic Typesetting" w:cs="Arabic Typesetting"/>
                <w:color w:val="000000"/>
                <w:sz w:val="28"/>
                <w:szCs w:val="28"/>
                <w:rtl/>
              </w:rPr>
              <w:t>(000 70 فرنك سويسري)</w:t>
            </w:r>
          </w:p>
          <w:p w:rsidR="00B850DD" w:rsidRPr="00695D95" w:rsidRDefault="00B850DD" w:rsidP="000E783B">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2015: مبنى معاهدة البراءات: بدأ تشغيل نظام التبريد باستخدام مياه بحيرة جنيف في هذا المبنى اعتباراً من نوفمبر 2015 (ما</w:t>
            </w:r>
            <w:r w:rsidR="000E783B">
              <w:rPr>
                <w:rFonts w:ascii="Arabic Typesetting" w:hAnsi="Arabic Typesetting" w:cs="Arabic Typesetting" w:hint="cs"/>
                <w:color w:val="000000"/>
                <w:sz w:val="28"/>
                <w:szCs w:val="28"/>
                <w:rtl/>
              </w:rPr>
              <w:t> </w:t>
            </w:r>
            <w:r w:rsidRPr="00695D95">
              <w:rPr>
                <w:rFonts w:ascii="Arabic Typesetting" w:hAnsi="Arabic Typesetting" w:cs="Arabic Typesetting"/>
                <w:color w:val="000000"/>
                <w:sz w:val="28"/>
                <w:szCs w:val="28"/>
                <w:rtl/>
              </w:rPr>
              <w:t>حقق وفورات قدرها 5000 فرنك سويسري على مدار شهرين).</w:t>
            </w:r>
          </w:p>
        </w:tc>
      </w:tr>
      <w:tr w:rsidR="00B850DD" w:rsidRPr="00695D95" w:rsidTr="00BE7CD1">
        <w:trPr>
          <w:cantSplit/>
          <w:trHeight w:val="21"/>
        </w:trPr>
        <w:tc>
          <w:tcPr>
            <w:tcW w:w="1012" w:type="pct"/>
            <w:tcBorders>
              <w:top w:val="nil"/>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انخفاض استهلاك الكهرباء في كل مباني الويبو عقب تركيب </w:t>
            </w:r>
            <w:proofErr w:type="spellStart"/>
            <w:r w:rsidRPr="00695D95">
              <w:rPr>
                <w:rFonts w:ascii="Arabic Typesetting" w:hAnsi="Arabic Typesetting" w:cs="Arabic Typesetting"/>
                <w:color w:val="000000"/>
                <w:sz w:val="28"/>
                <w:szCs w:val="28"/>
                <w:rtl/>
              </w:rPr>
              <w:t>مجسات</w:t>
            </w:r>
            <w:proofErr w:type="spellEnd"/>
            <w:r w:rsidRPr="00695D95">
              <w:rPr>
                <w:rFonts w:ascii="Arabic Typesetting" w:hAnsi="Arabic Typesetting" w:cs="Arabic Typesetting"/>
                <w:color w:val="000000"/>
                <w:sz w:val="28"/>
                <w:szCs w:val="28"/>
                <w:rtl/>
              </w:rPr>
              <w:t xml:space="preserve"> حركة </w:t>
            </w:r>
            <w:r>
              <w:rPr>
                <w:rFonts w:ascii="Arabic Typesetting" w:hAnsi="Arabic Typesetting" w:cs="Arabic Typesetting" w:hint="cs"/>
                <w:color w:val="000000"/>
                <w:sz w:val="28"/>
                <w:szCs w:val="28"/>
                <w:rtl/>
              </w:rPr>
              <w:t>لنظام الإضاءة</w:t>
            </w:r>
            <w:r w:rsidRPr="00695D95">
              <w:rPr>
                <w:rFonts w:ascii="Arabic Typesetting" w:hAnsi="Arabic Typesetting" w:cs="Arabic Typesetting"/>
                <w:color w:val="000000"/>
                <w:sz w:val="28"/>
                <w:szCs w:val="28"/>
                <w:rtl/>
              </w:rPr>
              <w:t>، ومصابيح موفرة للطاقة، ونظام آلي للإضاءة في مرآب السيارات، وخزانات كهرباء لتشغيل كل المعدات الكهربائية في طوابق كل المباني</w:t>
            </w:r>
          </w:p>
        </w:tc>
        <w:tc>
          <w:tcPr>
            <w:tcW w:w="65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000 15</w:t>
            </w:r>
          </w:p>
        </w:tc>
        <w:tc>
          <w:tcPr>
            <w:tcW w:w="578"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000 45</w:t>
            </w: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spacing w:after="120"/>
              <w:rPr>
                <w:rFonts w:ascii="Arabic Typesetting" w:hAnsi="Arabic Typesetting" w:cs="Arabic Typesetting"/>
                <w:color w:val="000000"/>
                <w:sz w:val="28"/>
                <w:szCs w:val="28"/>
                <w:rtl/>
              </w:rPr>
            </w:pPr>
            <w:r w:rsidRPr="00695D95">
              <w:rPr>
                <w:rFonts w:ascii="Arabic Typesetting" w:hAnsi="Arabic Typesetting" w:cs="Arabic Typesetting"/>
                <w:color w:val="000000"/>
                <w:sz w:val="28"/>
                <w:szCs w:val="28"/>
                <w:rtl/>
              </w:rPr>
              <w:t>أدت التدابير المتخذة في 2014 إلى تحقيق وفورات قدرها 000 15 فرنك سويسري في 2014 و000 30 فرنك سويسري في 2015.</w:t>
            </w:r>
          </w:p>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وأدى اتخاذ تدابير إضافية في طوابق أخرى وأماكن أخرى من مباني مجمع الويبو إلى وفورات إضافية قدرها 000 15 فرنك سويسري في 2015.</w:t>
            </w:r>
          </w:p>
        </w:tc>
      </w:tr>
      <w:tr w:rsidR="00B850DD" w:rsidRPr="00695D95" w:rsidTr="00BE7CD1">
        <w:trPr>
          <w:cantSplit/>
          <w:trHeight w:val="1154"/>
        </w:trPr>
        <w:tc>
          <w:tcPr>
            <w:tcW w:w="1012" w:type="pct"/>
            <w:tcBorders>
              <w:top w:val="nil"/>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انخفاض استهلاك المياه لا سيما بفضل استخدام مياه البحيرة </w:t>
            </w:r>
            <w:r>
              <w:rPr>
                <w:rFonts w:ascii="Arabic Typesetting" w:hAnsi="Arabic Typesetting" w:cs="Arabic Typesetting" w:hint="cs"/>
                <w:color w:val="000000"/>
                <w:sz w:val="28"/>
                <w:szCs w:val="28"/>
                <w:rtl/>
              </w:rPr>
              <w:t>عوضاً</w:t>
            </w:r>
            <w:r w:rsidRPr="00695D95">
              <w:rPr>
                <w:rFonts w:ascii="Arabic Typesetting" w:hAnsi="Arabic Typesetting" w:cs="Arabic Typesetting"/>
                <w:color w:val="000000"/>
                <w:sz w:val="28"/>
                <w:szCs w:val="28"/>
                <w:rtl/>
              </w:rPr>
              <w:t xml:space="preserve"> عن مياه المدينة</w:t>
            </w:r>
          </w:p>
        </w:tc>
        <w:tc>
          <w:tcPr>
            <w:tcW w:w="65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500 19</w:t>
            </w:r>
          </w:p>
        </w:tc>
        <w:tc>
          <w:tcPr>
            <w:tcW w:w="578"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500 125</w:t>
            </w: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p>
        </w:tc>
      </w:tr>
      <w:tr w:rsidR="00B850DD" w:rsidRPr="00695D95" w:rsidTr="00BE7CD1">
        <w:trPr>
          <w:cantSplit/>
          <w:trHeight w:val="1020"/>
        </w:trPr>
        <w:tc>
          <w:tcPr>
            <w:tcW w:w="1012" w:type="pct"/>
            <w:tcBorders>
              <w:top w:val="single" w:sz="4" w:space="0" w:color="auto"/>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سعر الكهرباء نتيجة التعاقد مع المزود الجديد عقب عطاء مع وكالات الأمم المتحدة الأخرى في جنيف</w:t>
            </w:r>
          </w:p>
        </w:tc>
        <w:tc>
          <w:tcPr>
            <w:tcW w:w="652"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غير متاحة</w:t>
            </w:r>
          </w:p>
        </w:tc>
        <w:tc>
          <w:tcPr>
            <w:tcW w:w="578"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000 164</w:t>
            </w:r>
          </w:p>
        </w:tc>
        <w:tc>
          <w:tcPr>
            <w:tcW w:w="722"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أصبح العقد مع المزود الجديد سارياً اعتباراً من 1 يناير 2015.</w:t>
            </w:r>
          </w:p>
        </w:tc>
      </w:tr>
      <w:tr w:rsidR="00B850DD" w:rsidRPr="00695D95" w:rsidTr="00BE7CD1">
        <w:trPr>
          <w:cantSplit/>
          <w:trHeight w:val="1966"/>
        </w:trPr>
        <w:tc>
          <w:tcPr>
            <w:tcW w:w="1012" w:type="pct"/>
            <w:tcBorders>
              <w:top w:val="single" w:sz="4" w:space="0" w:color="auto"/>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lastRenderedPageBreak/>
              <w:t>إنهاء عقود استئجار مخازن خارج المقر</w:t>
            </w:r>
          </w:p>
        </w:tc>
        <w:tc>
          <w:tcPr>
            <w:tcW w:w="65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178 12 (7845 فرنكاً سويسرياً عن ميران 4 و4333 فرنكاً سويسرياً عن </w:t>
            </w:r>
            <w:proofErr w:type="spellStart"/>
            <w:r w:rsidRPr="00695D95">
              <w:rPr>
                <w:rFonts w:ascii="Arabic Typesetting" w:hAnsi="Arabic Typesetting" w:cs="Arabic Typesetting"/>
                <w:color w:val="000000"/>
                <w:sz w:val="28"/>
                <w:szCs w:val="28"/>
                <w:rtl/>
              </w:rPr>
              <w:t>لابراي</w:t>
            </w:r>
            <w:proofErr w:type="spellEnd"/>
            <w:r w:rsidRPr="00695D95">
              <w:rPr>
                <w:rFonts w:ascii="Arabic Typesetting" w:hAnsi="Arabic Typesetting" w:cs="Arabic Typesetting"/>
                <w:color w:val="000000"/>
                <w:sz w:val="28"/>
                <w:szCs w:val="28"/>
                <w:rtl/>
              </w:rPr>
              <w:t>)</w:t>
            </w:r>
          </w:p>
        </w:tc>
        <w:tc>
          <w:tcPr>
            <w:tcW w:w="578"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150 54 (380 31 فرنكاً سويسرياً عن ميران 4 و000 15 فرنك سويسري عن </w:t>
            </w:r>
            <w:proofErr w:type="spellStart"/>
            <w:r w:rsidRPr="00695D95">
              <w:rPr>
                <w:rFonts w:ascii="Arabic Typesetting" w:hAnsi="Arabic Typesetting" w:cs="Arabic Typesetting"/>
                <w:color w:val="000000"/>
                <w:sz w:val="28"/>
                <w:szCs w:val="28"/>
                <w:rtl/>
              </w:rPr>
              <w:t>لابراي</w:t>
            </w:r>
            <w:proofErr w:type="spellEnd"/>
            <w:r w:rsidRPr="00695D95">
              <w:rPr>
                <w:rFonts w:ascii="Arabic Typesetting" w:hAnsi="Arabic Typesetting" w:cs="Arabic Typesetting"/>
                <w:color w:val="000000"/>
                <w:sz w:val="28"/>
                <w:szCs w:val="28"/>
                <w:rtl/>
              </w:rPr>
              <w:t xml:space="preserve"> و7770 فرنكاً سويسرياً عن ميران 2)</w:t>
            </w:r>
          </w:p>
        </w:tc>
        <w:tc>
          <w:tcPr>
            <w:tcW w:w="72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spacing w:after="120"/>
              <w:rPr>
                <w:rFonts w:ascii="Arabic Typesetting" w:hAnsi="Arabic Typesetting" w:cs="Arabic Typesetting"/>
                <w:color w:val="000000"/>
                <w:sz w:val="28"/>
                <w:szCs w:val="28"/>
                <w:rtl/>
              </w:rPr>
            </w:pPr>
            <w:r w:rsidRPr="00695D95">
              <w:rPr>
                <w:rFonts w:ascii="Arabic Typesetting" w:hAnsi="Arabic Typesetting" w:cs="Arabic Typesetting"/>
                <w:color w:val="000000"/>
                <w:sz w:val="28"/>
                <w:szCs w:val="28"/>
                <w:rtl/>
              </w:rPr>
              <w:t xml:space="preserve">أنهي عقد استئجار مخزن ميران 4 في 30 سبتمبر 2014. وأنهي عقد استئجار مخزن </w:t>
            </w:r>
            <w:proofErr w:type="spellStart"/>
            <w:r w:rsidRPr="00695D95">
              <w:rPr>
                <w:rFonts w:ascii="Arabic Typesetting" w:hAnsi="Arabic Typesetting" w:cs="Arabic Typesetting"/>
                <w:color w:val="000000"/>
                <w:sz w:val="28"/>
                <w:szCs w:val="28"/>
                <w:rtl/>
              </w:rPr>
              <w:t>لابراي</w:t>
            </w:r>
            <w:proofErr w:type="spellEnd"/>
            <w:r w:rsidRPr="00695D95">
              <w:rPr>
                <w:rFonts w:ascii="Arabic Typesetting" w:hAnsi="Arabic Typesetting" w:cs="Arabic Typesetting"/>
                <w:color w:val="000000"/>
                <w:sz w:val="28"/>
                <w:szCs w:val="28"/>
                <w:rtl/>
              </w:rPr>
              <w:t xml:space="preserve"> في نوفمبر 2014.</w:t>
            </w:r>
          </w:p>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أنهي عقد استئجار مخزن ميران 2 قبل موعده في عام 2015 (أي قبل نهاية </w:t>
            </w:r>
            <w:r>
              <w:rPr>
                <w:rFonts w:ascii="Arabic Typesetting" w:hAnsi="Arabic Typesetting" w:cs="Arabic Typesetting" w:hint="cs"/>
                <w:color w:val="000000"/>
                <w:sz w:val="28"/>
                <w:szCs w:val="28"/>
                <w:rtl/>
              </w:rPr>
              <w:t>يناير</w:t>
            </w:r>
            <w:r w:rsidRPr="00695D95">
              <w:rPr>
                <w:rFonts w:ascii="Arabic Typesetting" w:hAnsi="Arabic Typesetting" w:cs="Arabic Typesetting"/>
                <w:color w:val="000000"/>
                <w:sz w:val="28"/>
                <w:szCs w:val="28"/>
                <w:rtl/>
              </w:rPr>
              <w:t xml:space="preserve"> 2016 بعد موافقة المؤجِر)</w:t>
            </w:r>
          </w:p>
        </w:tc>
      </w:tr>
      <w:tr w:rsidR="00B850DD" w:rsidRPr="00695D95" w:rsidTr="00BE7CD1">
        <w:trPr>
          <w:cantSplit/>
          <w:trHeight w:val="1020"/>
        </w:trPr>
        <w:tc>
          <w:tcPr>
            <w:tcW w:w="1012" w:type="pct"/>
            <w:tcBorders>
              <w:top w:val="nil"/>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إنهاء 32 اشتراكاً في مرأب سيارات الأمم على عدة مرات في الفترة الممتدة من أغسطس إلى ديسمبر 2014</w:t>
            </w:r>
          </w:p>
        </w:tc>
        <w:tc>
          <w:tcPr>
            <w:tcW w:w="65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3404</w:t>
            </w:r>
          </w:p>
        </w:tc>
        <w:tc>
          <w:tcPr>
            <w:tcW w:w="578"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440 61</w:t>
            </w: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r>
      <w:tr w:rsidR="00B850DD" w:rsidRPr="00695D95" w:rsidTr="00BE7CD1">
        <w:trPr>
          <w:cantSplit/>
          <w:trHeight w:val="1363"/>
        </w:trPr>
        <w:tc>
          <w:tcPr>
            <w:tcW w:w="1012" w:type="pct"/>
            <w:tcBorders>
              <w:top w:val="nil"/>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إنهاء 20 اشتراكاً إضافياً في مرآب الأمم على عدة مرات في عام 2015</w:t>
            </w:r>
          </w:p>
        </w:tc>
        <w:tc>
          <w:tcPr>
            <w:tcW w:w="65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غير متاحة</w:t>
            </w:r>
          </w:p>
        </w:tc>
        <w:tc>
          <w:tcPr>
            <w:tcW w:w="578"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052 62</w:t>
            </w: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r>
      <w:tr w:rsidR="00B850DD" w:rsidRPr="00695D95" w:rsidTr="00BE7CD1">
        <w:trPr>
          <w:cantSplit/>
          <w:trHeight w:val="1075"/>
        </w:trPr>
        <w:tc>
          <w:tcPr>
            <w:tcW w:w="1012" w:type="pct"/>
            <w:tcBorders>
              <w:top w:val="nil"/>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إنهاء 5 اشتراكات في مر</w:t>
            </w:r>
            <w:r>
              <w:rPr>
                <w:rFonts w:ascii="Arabic Typesetting" w:hAnsi="Arabic Typesetting" w:cs="Arabic Typesetting" w:hint="cs"/>
                <w:color w:val="000000"/>
                <w:sz w:val="28"/>
                <w:szCs w:val="28"/>
                <w:rtl/>
              </w:rPr>
              <w:t>آ</w:t>
            </w:r>
            <w:r w:rsidRPr="00695D95">
              <w:rPr>
                <w:rFonts w:ascii="Arabic Typesetting" w:hAnsi="Arabic Typesetting" w:cs="Arabic Typesetting"/>
                <w:color w:val="000000"/>
                <w:sz w:val="28"/>
                <w:szCs w:val="28"/>
                <w:rtl/>
              </w:rPr>
              <w:t xml:space="preserve">ب مبنى </w:t>
            </w:r>
            <w:r w:rsidRPr="00695D95">
              <w:rPr>
                <w:rFonts w:ascii="Arabic Typesetting" w:hAnsi="Arabic Typesetting" w:cs="Arabic Typesetting"/>
                <w:color w:val="000000"/>
                <w:sz w:val="28"/>
                <w:szCs w:val="28"/>
              </w:rPr>
              <w:t>CAM</w:t>
            </w:r>
            <w:r w:rsidRPr="00695D95">
              <w:rPr>
                <w:rFonts w:ascii="Arabic Typesetting" w:hAnsi="Arabic Typesetting" w:cs="Arabic Typesetting"/>
                <w:color w:val="000000"/>
                <w:sz w:val="28"/>
                <w:szCs w:val="28"/>
                <w:rtl/>
              </w:rPr>
              <w:t xml:space="preserve"> في 2015</w:t>
            </w:r>
          </w:p>
        </w:tc>
        <w:tc>
          <w:tcPr>
            <w:tcW w:w="65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غير متاحة</w:t>
            </w:r>
          </w:p>
        </w:tc>
        <w:tc>
          <w:tcPr>
            <w:tcW w:w="578"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8340</w:t>
            </w: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r>
      <w:tr w:rsidR="00B850DD" w:rsidRPr="00695D95" w:rsidTr="00BE7CD1">
        <w:trPr>
          <w:cantSplit/>
          <w:trHeight w:val="765"/>
        </w:trPr>
        <w:tc>
          <w:tcPr>
            <w:tcW w:w="1012" w:type="pct"/>
            <w:tcBorders>
              <w:top w:val="nil"/>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استخدام اللوازم المكتبية</w:t>
            </w:r>
          </w:p>
        </w:tc>
        <w:tc>
          <w:tcPr>
            <w:tcW w:w="65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8193</w:t>
            </w:r>
          </w:p>
        </w:tc>
        <w:tc>
          <w:tcPr>
            <w:tcW w:w="578"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9269</w:t>
            </w: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زادت الوفورات المحققة في 2015 على تلك المحققة في 2014.</w:t>
            </w:r>
          </w:p>
        </w:tc>
      </w:tr>
      <w:tr w:rsidR="00B850DD" w:rsidRPr="00695D95" w:rsidTr="00BE7CD1">
        <w:trPr>
          <w:cantSplit/>
          <w:trHeight w:val="1283"/>
        </w:trPr>
        <w:tc>
          <w:tcPr>
            <w:tcW w:w="1012" w:type="pct"/>
            <w:tcBorders>
              <w:top w:val="nil"/>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lastRenderedPageBreak/>
              <w:t>تطبيق نظام لإدارة الأجهزة المحملة يتيح المزيد من الخدمات المجمعة بتكلفة أقل (التعميم الإداري 17/2014)</w:t>
            </w:r>
          </w:p>
        </w:tc>
        <w:tc>
          <w:tcPr>
            <w:tcW w:w="65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691 112</w:t>
            </w:r>
          </w:p>
        </w:tc>
        <w:tc>
          <w:tcPr>
            <w:tcW w:w="578"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540 277</w:t>
            </w:r>
          </w:p>
        </w:tc>
        <w:tc>
          <w:tcPr>
            <w:tcW w:w="72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متوسط التكلفة الشهرية للجهاز من 177 فرنكاً سويسرياً في 2013 إلى 111 فرنكاً سويسرياً في 2014</w:t>
            </w:r>
            <w:r>
              <w:rPr>
                <w:rFonts w:ascii="Arabic Typesetting" w:hAnsi="Arabic Typesetting" w:cs="Arabic Typesetting" w:hint="cs"/>
                <w:color w:val="000000"/>
                <w:sz w:val="28"/>
                <w:szCs w:val="28"/>
                <w:rtl/>
              </w:rPr>
              <w:t xml:space="preserve"> </w:t>
            </w:r>
            <w:r w:rsidRPr="00695D95">
              <w:rPr>
                <w:rFonts w:ascii="Arabic Typesetting" w:hAnsi="Arabic Typesetting" w:cs="Arabic Typesetting"/>
                <w:color w:val="000000"/>
                <w:sz w:val="28"/>
                <w:szCs w:val="28"/>
                <w:rtl/>
              </w:rPr>
              <w:t>(أي بنسبة 37</w:t>
            </w:r>
            <w:r>
              <w:rPr>
                <w:rFonts w:ascii="Arabic Typesetting" w:hAnsi="Arabic Typesetting" w:cs="Arabic Typesetting"/>
                <w:color w:val="000000"/>
                <w:sz w:val="28"/>
                <w:szCs w:val="28"/>
                <w:rtl/>
              </w:rPr>
              <w:t>%</w:t>
            </w:r>
            <w:r w:rsidRPr="00695D95">
              <w:rPr>
                <w:rFonts w:ascii="Arabic Typesetting" w:hAnsi="Arabic Typesetting" w:cs="Arabic Typesetting"/>
                <w:color w:val="000000"/>
                <w:sz w:val="28"/>
                <w:szCs w:val="28"/>
                <w:rtl/>
              </w:rPr>
              <w:t>)</w:t>
            </w:r>
          </w:p>
        </w:tc>
        <w:tc>
          <w:tcPr>
            <w:tcW w:w="869"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زيادة في متوسط التكلفة الشهرية للجهاز من 111 في 2014 إلى 115 في 2015 (أي بنسبة 3.6</w:t>
            </w:r>
            <w:r>
              <w:rPr>
                <w:rFonts w:ascii="Arabic Typesetting" w:hAnsi="Arabic Typesetting" w:cs="Arabic Typesetting"/>
                <w:color w:val="000000"/>
                <w:sz w:val="28"/>
                <w:szCs w:val="28"/>
                <w:rtl/>
              </w:rPr>
              <w:t>%</w:t>
            </w:r>
            <w:r w:rsidRPr="00695D95">
              <w:rPr>
                <w:rFonts w:ascii="Arabic Typesetting" w:hAnsi="Arabic Typesetting" w:cs="Arabic Typesetting"/>
                <w:color w:val="000000"/>
                <w:sz w:val="28"/>
                <w:szCs w:val="28"/>
                <w:rtl/>
              </w:rPr>
              <w:t>). ولكن لا تزال التكلفة المتوسطة أقل في 2015 عن 2013.</w:t>
            </w:r>
          </w:p>
        </w:tc>
        <w:tc>
          <w:tcPr>
            <w:tcW w:w="1167" w:type="pct"/>
            <w:tcBorders>
              <w:top w:val="nil"/>
              <w:left w:val="nil"/>
              <w:bottom w:val="single" w:sz="4" w:space="0" w:color="auto"/>
              <w:right w:val="single" w:sz="4" w:space="0" w:color="auto"/>
            </w:tcBorders>
            <w:shd w:val="clear" w:color="auto" w:fill="auto"/>
            <w:hideMark/>
          </w:tcPr>
          <w:p w:rsidR="00B850DD" w:rsidRPr="00695D95" w:rsidRDefault="00B850DD" w:rsidP="000E783B">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انخفضت النفقات الإجمالية المتعلقة بالاشتراكات لدى شركة </w:t>
            </w:r>
            <w:proofErr w:type="spellStart"/>
            <w:r w:rsidRPr="00695D95">
              <w:rPr>
                <w:rFonts w:ascii="Arabic Typesetting" w:hAnsi="Arabic Typesetting" w:cs="Arabic Typesetting"/>
                <w:color w:val="000000"/>
                <w:sz w:val="28"/>
                <w:szCs w:val="28"/>
                <w:rtl/>
              </w:rPr>
              <w:t>سويسكوم</w:t>
            </w:r>
            <w:proofErr w:type="spellEnd"/>
            <w:r w:rsidRPr="00695D95">
              <w:rPr>
                <w:rFonts w:ascii="Arabic Typesetting" w:hAnsi="Arabic Typesetting" w:cs="Arabic Typesetting"/>
                <w:color w:val="000000"/>
                <w:sz w:val="28"/>
                <w:szCs w:val="28"/>
                <w:rtl/>
              </w:rPr>
              <w:t xml:space="preserve"> من 815 799 فرنكاً سويسرياً في 2013 (374 جهازاً في نهاية العام) إلى 430 520 فرنكاً سويسرياً في 2014 (404</w:t>
            </w:r>
            <w:r w:rsidR="000E783B">
              <w:rPr>
                <w:rFonts w:ascii="Arabic Typesetting" w:hAnsi="Arabic Typesetting" w:cs="Arabic Typesetting" w:hint="cs"/>
                <w:color w:val="000000"/>
                <w:sz w:val="28"/>
                <w:szCs w:val="28"/>
                <w:rtl/>
              </w:rPr>
              <w:t> </w:t>
            </w:r>
            <w:r w:rsidRPr="00695D95">
              <w:rPr>
                <w:rFonts w:ascii="Arabic Typesetting" w:hAnsi="Arabic Typesetting" w:cs="Arabic Typesetting"/>
                <w:color w:val="000000"/>
                <w:sz w:val="28"/>
                <w:szCs w:val="28"/>
                <w:rtl/>
              </w:rPr>
              <w:t>أجهزة في نهاية العام). ونفذ</w:t>
            </w:r>
            <w:r w:rsidR="000E783B">
              <w:rPr>
                <w:rFonts w:ascii="Arabic Typesetting" w:hAnsi="Arabic Typesetting" w:cs="Arabic Typesetting" w:hint="cs"/>
                <w:color w:val="000000"/>
                <w:sz w:val="28"/>
                <w:szCs w:val="28"/>
                <w:rtl/>
              </w:rPr>
              <w:t> </w:t>
            </w:r>
            <w:r w:rsidRPr="00695D95">
              <w:rPr>
                <w:rFonts w:ascii="Arabic Typesetting" w:hAnsi="Arabic Typesetting" w:cs="Arabic Typesetting"/>
                <w:color w:val="000000"/>
                <w:sz w:val="28"/>
                <w:szCs w:val="28"/>
                <w:rtl/>
              </w:rPr>
              <w:t xml:space="preserve">مشروع في عام 2014 بتكلفة 784 166 وشمل تجديد الأجهزة ومستحقاتها لشركة </w:t>
            </w:r>
            <w:proofErr w:type="spellStart"/>
            <w:r w:rsidRPr="00695D95">
              <w:rPr>
                <w:rFonts w:ascii="Arabic Typesetting" w:hAnsi="Arabic Typesetting" w:cs="Arabic Typesetting"/>
                <w:color w:val="000000"/>
                <w:sz w:val="28"/>
                <w:szCs w:val="28"/>
                <w:rtl/>
              </w:rPr>
              <w:t>سويسكوم</w:t>
            </w:r>
            <w:proofErr w:type="spellEnd"/>
            <w:r w:rsidRPr="00695D95">
              <w:rPr>
                <w:rFonts w:ascii="Arabic Typesetting" w:hAnsi="Arabic Typesetting" w:cs="Arabic Typesetting"/>
                <w:color w:val="000000"/>
                <w:sz w:val="28"/>
                <w:szCs w:val="28"/>
                <w:rtl/>
              </w:rPr>
              <w:t>، وتراخيص نظام إدارة الأجهزة المحمولة وإنشاء البنية التحتية للنظام في 2015. وأما في عام 2015، فقد بلغت النفقات الإجمالية 276 522 فرنكاً سويسرياً (364 جهازاً في نهاية</w:t>
            </w:r>
            <w:r>
              <w:rPr>
                <w:rFonts w:ascii="Arabic Typesetting" w:hAnsi="Arabic Typesetting" w:cs="Arabic Typesetting" w:hint="cs"/>
                <w:color w:val="000000"/>
                <w:sz w:val="28"/>
                <w:szCs w:val="28"/>
                <w:rtl/>
              </w:rPr>
              <w:t> </w:t>
            </w:r>
            <w:r w:rsidRPr="00695D95">
              <w:rPr>
                <w:rFonts w:ascii="Arabic Typesetting" w:hAnsi="Arabic Typesetting" w:cs="Arabic Typesetting"/>
                <w:color w:val="000000"/>
                <w:sz w:val="28"/>
                <w:szCs w:val="28"/>
                <w:rtl/>
              </w:rPr>
              <w:t>العام).</w:t>
            </w:r>
          </w:p>
        </w:tc>
      </w:tr>
      <w:tr w:rsidR="00B850DD" w:rsidRPr="00695D95" w:rsidTr="00BE7CD1">
        <w:trPr>
          <w:cantSplit/>
          <w:trHeight w:val="1669"/>
        </w:trPr>
        <w:tc>
          <w:tcPr>
            <w:tcW w:w="1012" w:type="pct"/>
            <w:tcBorders>
              <w:top w:val="single" w:sz="4" w:space="0" w:color="auto"/>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تطبيق سياسة جديدة لإدارة صناديق البريد الإلكتروني اعتباراً من مارس 2015</w:t>
            </w:r>
          </w:p>
        </w:tc>
        <w:tc>
          <w:tcPr>
            <w:tcW w:w="652"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غير متاحة</w:t>
            </w:r>
          </w:p>
        </w:tc>
        <w:tc>
          <w:tcPr>
            <w:tcW w:w="578" w:type="pct"/>
            <w:tcBorders>
              <w:top w:val="single" w:sz="4" w:space="0" w:color="auto"/>
              <w:left w:val="nil"/>
              <w:bottom w:val="single" w:sz="4" w:space="0" w:color="auto"/>
              <w:right w:val="nil"/>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000 70</w:t>
            </w:r>
          </w:p>
        </w:tc>
        <w:tc>
          <w:tcPr>
            <w:tcW w:w="722" w:type="pct"/>
            <w:tcBorders>
              <w:top w:val="single" w:sz="4" w:space="0" w:color="auto"/>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أدت السياسة الجديدة إلى حفظ أكثر من 1480 صندوق بريد إلكتروني قديم ومحيه على مدار عام 2015. وسيحافظ على الانخفاض الصافي في التكاليف السنوية البالغ 000 113 فرنك سويسري تقريباً على مدار الثنائية 2016/17 عن طريق تفادي التكاليف.</w:t>
            </w:r>
          </w:p>
        </w:tc>
      </w:tr>
      <w:tr w:rsidR="00B850DD" w:rsidRPr="00695D95" w:rsidTr="00BE7CD1">
        <w:trPr>
          <w:cantSplit/>
          <w:trHeight w:val="1228"/>
        </w:trPr>
        <w:tc>
          <w:tcPr>
            <w:tcW w:w="1012" w:type="pct"/>
            <w:tcBorders>
              <w:top w:val="single" w:sz="4" w:space="0" w:color="auto"/>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lastRenderedPageBreak/>
              <w:t>انخفاض تكاليف الترجمة عقب إبرام عقود جديدة مع المترجمين الخارجيين، وإطلاق عطاءات دولية إضافية لتغطية الترجمة إلى اللغات العربية والصينية والروسية استناداً إلى الخبرات المكتسبة من تلزيم أعمال الترجمة باللغتين الفرنسية والإسبانية واستخدام أدوات الترجمة وحفظ المصطلحات بمساعدة الحاسوب</w:t>
            </w:r>
          </w:p>
        </w:tc>
        <w:tc>
          <w:tcPr>
            <w:tcW w:w="65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375 306</w:t>
            </w:r>
          </w:p>
        </w:tc>
        <w:tc>
          <w:tcPr>
            <w:tcW w:w="578" w:type="pct"/>
            <w:tcBorders>
              <w:top w:val="single" w:sz="4" w:space="0" w:color="auto"/>
              <w:left w:val="nil"/>
              <w:bottom w:val="single" w:sz="4" w:space="0" w:color="auto"/>
              <w:right w:val="nil"/>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084 601</w:t>
            </w:r>
          </w:p>
        </w:tc>
        <w:tc>
          <w:tcPr>
            <w:tcW w:w="722" w:type="pct"/>
            <w:tcBorders>
              <w:top w:val="single" w:sz="4" w:space="0" w:color="auto"/>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تكلفة ترجمة الكلمة من 0.63 فرنك سويسري في 2013 إلى 0.59 فرنك سويسري (أي بمبلغ 0.04 فرنك سويسري في الكلمة)</w:t>
            </w:r>
          </w:p>
        </w:tc>
        <w:tc>
          <w:tcPr>
            <w:tcW w:w="869"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انخفاض تكلفة ترجمة الكلمة إلى 0.57 </w:t>
            </w:r>
            <w:r>
              <w:rPr>
                <w:rFonts w:ascii="Arabic Typesetting" w:hAnsi="Arabic Typesetting" w:cs="Arabic Typesetting" w:hint="cs"/>
                <w:color w:val="000000"/>
                <w:sz w:val="28"/>
                <w:szCs w:val="28"/>
                <w:rtl/>
              </w:rPr>
              <w:t xml:space="preserve">فرنك سويسري </w:t>
            </w:r>
            <w:r w:rsidRPr="00695D95">
              <w:rPr>
                <w:rFonts w:ascii="Arabic Typesetting" w:hAnsi="Arabic Typesetting" w:cs="Arabic Typesetting"/>
                <w:color w:val="000000"/>
                <w:sz w:val="28"/>
                <w:szCs w:val="28"/>
                <w:rtl/>
              </w:rPr>
              <w:t>في 2015 (أي بمبلغ إضافي قدره 0.02 فرنك سويسري)</w:t>
            </w:r>
          </w:p>
        </w:tc>
        <w:tc>
          <w:tcPr>
            <w:tcW w:w="1167"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r>
      <w:tr w:rsidR="00B850DD" w:rsidRPr="00695D95" w:rsidTr="00BE7CD1">
        <w:trPr>
          <w:cantSplit/>
          <w:trHeight w:val="1020"/>
        </w:trPr>
        <w:tc>
          <w:tcPr>
            <w:tcW w:w="1012" w:type="pct"/>
            <w:tcBorders>
              <w:top w:val="single" w:sz="4" w:space="0" w:color="auto"/>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تكاليف الطباعة عقب إبرام عقود جديدة تخص الطابعات</w:t>
            </w:r>
          </w:p>
        </w:tc>
        <w:tc>
          <w:tcPr>
            <w:tcW w:w="65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000 243***</w:t>
            </w:r>
          </w:p>
        </w:tc>
        <w:tc>
          <w:tcPr>
            <w:tcW w:w="578"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000 399</w:t>
            </w:r>
          </w:p>
        </w:tc>
        <w:tc>
          <w:tcPr>
            <w:tcW w:w="72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تكلفة الصفحة من 0.20 فرنك سويسري في 2013 إلى 0.15 فرنك سويسري في 2014 (أي بنسبة 26</w:t>
            </w:r>
            <w:r>
              <w:rPr>
                <w:rFonts w:ascii="Arabic Typesetting" w:hAnsi="Arabic Typesetting" w:cs="Arabic Typesetting"/>
                <w:color w:val="000000"/>
                <w:sz w:val="28"/>
                <w:szCs w:val="28"/>
                <w:rtl/>
              </w:rPr>
              <w:t>%</w:t>
            </w:r>
            <w:r w:rsidRPr="00695D95">
              <w:rPr>
                <w:rFonts w:ascii="Arabic Typesetting" w:hAnsi="Arabic Typesetting" w:cs="Arabic Typesetting"/>
                <w:color w:val="000000"/>
                <w:sz w:val="28"/>
                <w:szCs w:val="28"/>
                <w:rtl/>
              </w:rPr>
              <w:t>)***</w:t>
            </w:r>
          </w:p>
        </w:tc>
        <w:tc>
          <w:tcPr>
            <w:tcW w:w="869"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لم تتغير تكلفة الصفحة </w:t>
            </w:r>
            <w:r>
              <w:rPr>
                <w:rFonts w:ascii="Arabic Typesetting" w:hAnsi="Arabic Typesetting" w:cs="Arabic Typesetting" w:hint="cs"/>
                <w:color w:val="000000"/>
                <w:sz w:val="28"/>
                <w:szCs w:val="28"/>
                <w:rtl/>
              </w:rPr>
              <w:t>بين عامي 2014 و2015</w:t>
            </w:r>
            <w:r w:rsidRPr="00695D95">
              <w:rPr>
                <w:rFonts w:ascii="Arabic Typesetting" w:hAnsi="Arabic Typesetting" w:cs="Arabic Typesetting"/>
                <w:color w:val="000000"/>
                <w:sz w:val="28"/>
                <w:szCs w:val="28"/>
                <w:rtl/>
              </w:rPr>
              <w:t xml:space="preserve"> (0.15 فرنك سويسري)</w:t>
            </w:r>
          </w:p>
        </w:tc>
        <w:tc>
          <w:tcPr>
            <w:tcW w:w="1167" w:type="pct"/>
            <w:tcBorders>
              <w:top w:val="single" w:sz="4" w:space="0" w:color="auto"/>
              <w:left w:val="nil"/>
              <w:bottom w:val="single" w:sz="4" w:space="0" w:color="auto"/>
              <w:right w:val="single" w:sz="4" w:space="0" w:color="auto"/>
            </w:tcBorders>
            <w:shd w:val="clear" w:color="auto" w:fill="auto"/>
          </w:tcPr>
          <w:p w:rsidR="00B850DD" w:rsidRPr="00824BAF" w:rsidRDefault="00B850DD" w:rsidP="00B850DD">
            <w:pPr>
              <w:bidi/>
              <w:rPr>
                <w:rFonts w:ascii="Arabic Typesetting" w:hAnsi="Arabic Typesetting" w:cs="Arabic Typesetting"/>
                <w:color w:val="000000"/>
                <w:sz w:val="28"/>
                <w:szCs w:val="28"/>
              </w:rPr>
            </w:pPr>
          </w:p>
        </w:tc>
      </w:tr>
      <w:tr w:rsidR="00B850DD" w:rsidRPr="00695D95" w:rsidTr="00BE7CD1">
        <w:trPr>
          <w:cantSplit/>
          <w:trHeight w:val="1561"/>
        </w:trPr>
        <w:tc>
          <w:tcPr>
            <w:tcW w:w="1012" w:type="pct"/>
            <w:tcBorders>
              <w:top w:val="nil"/>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تكاليف البريد عقب الاتفاق على أسعار أقل مع المزودين الخارجيين لخدمة البريد وتجميع العناوين</w:t>
            </w:r>
          </w:p>
        </w:tc>
        <w:tc>
          <w:tcPr>
            <w:tcW w:w="652"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662 71***</w:t>
            </w:r>
          </w:p>
        </w:tc>
        <w:tc>
          <w:tcPr>
            <w:tcW w:w="578"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367 189</w:t>
            </w:r>
          </w:p>
        </w:tc>
        <w:tc>
          <w:tcPr>
            <w:tcW w:w="722"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nil"/>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nil"/>
              <w:left w:val="nil"/>
              <w:bottom w:val="single" w:sz="4" w:space="0" w:color="auto"/>
              <w:right w:val="single" w:sz="4" w:space="0" w:color="auto"/>
            </w:tcBorders>
            <w:shd w:val="clear" w:color="auto" w:fill="auto"/>
            <w:hideMark/>
          </w:tcPr>
          <w:p w:rsidR="00B850DD" w:rsidRPr="00695D95" w:rsidRDefault="00B850DD" w:rsidP="00B850DD">
            <w:pPr>
              <w:bidi/>
              <w:spacing w:after="120"/>
              <w:rPr>
                <w:rFonts w:ascii="Arabic Typesetting" w:hAnsi="Arabic Typesetting" w:cs="Arabic Typesetting"/>
                <w:color w:val="000000"/>
                <w:sz w:val="28"/>
                <w:szCs w:val="28"/>
                <w:rtl/>
              </w:rPr>
            </w:pPr>
            <w:r w:rsidRPr="00695D95">
              <w:rPr>
                <w:rFonts w:ascii="Arabic Typesetting" w:hAnsi="Arabic Typesetting" w:cs="Arabic Typesetting"/>
                <w:color w:val="000000"/>
                <w:sz w:val="28"/>
                <w:szCs w:val="28"/>
                <w:rtl/>
              </w:rPr>
              <w:t>2014: إعادة التفاوض على العقود المبرمة مع مزودي خدمة البريد إلى انخفاض أدى إلى انخفاض إجمالي في تكاليف البريد بنسبة 4</w:t>
            </w:r>
            <w:r>
              <w:rPr>
                <w:rFonts w:ascii="Arabic Typesetting" w:hAnsi="Arabic Typesetting" w:cs="Arabic Typesetting"/>
                <w:color w:val="000000"/>
                <w:sz w:val="28"/>
                <w:szCs w:val="28"/>
                <w:rtl/>
              </w:rPr>
              <w:t>%</w:t>
            </w:r>
            <w:r w:rsidRPr="00695D95">
              <w:rPr>
                <w:rFonts w:ascii="Arabic Typesetting" w:hAnsi="Arabic Typesetting" w:cs="Arabic Typesetting"/>
                <w:color w:val="000000"/>
                <w:sz w:val="28"/>
                <w:szCs w:val="28"/>
                <w:rtl/>
              </w:rPr>
              <w:t xml:space="preserve"> عن </w:t>
            </w:r>
            <w:r>
              <w:rPr>
                <w:rFonts w:ascii="Arabic Typesetting" w:hAnsi="Arabic Typesetting" w:cs="Arabic Typesetting" w:hint="cs"/>
                <w:color w:val="000000"/>
                <w:sz w:val="28"/>
                <w:szCs w:val="28"/>
                <w:rtl/>
              </w:rPr>
              <w:t>2013.</w:t>
            </w:r>
          </w:p>
          <w:p w:rsidR="00B850DD" w:rsidRPr="00695D95" w:rsidRDefault="00B850DD" w:rsidP="00647020">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2015: انخفاض بنسبة 11</w:t>
            </w:r>
            <w:r>
              <w:rPr>
                <w:rFonts w:ascii="Arabic Typesetting" w:hAnsi="Arabic Typesetting" w:cs="Arabic Typesetting"/>
                <w:color w:val="000000"/>
                <w:sz w:val="28"/>
                <w:szCs w:val="28"/>
                <w:rtl/>
              </w:rPr>
              <w:t>%</w:t>
            </w:r>
            <w:r w:rsidRPr="00695D95">
              <w:rPr>
                <w:rFonts w:ascii="Arabic Typesetting" w:hAnsi="Arabic Typesetting" w:cs="Arabic Typesetting"/>
                <w:color w:val="000000"/>
                <w:sz w:val="28"/>
                <w:szCs w:val="28"/>
                <w:rtl/>
              </w:rPr>
              <w:t xml:space="preserve"> في عام 2015 مقارنة بعام</w:t>
            </w:r>
            <w:r w:rsidR="00647020">
              <w:rPr>
                <w:rFonts w:ascii="Arabic Typesetting" w:hAnsi="Arabic Typesetting" w:cs="Arabic Typesetting" w:hint="cs"/>
                <w:color w:val="000000"/>
                <w:sz w:val="28"/>
                <w:szCs w:val="28"/>
                <w:rtl/>
              </w:rPr>
              <w:t> </w:t>
            </w:r>
            <w:r w:rsidRPr="00695D95">
              <w:rPr>
                <w:rFonts w:ascii="Arabic Typesetting" w:hAnsi="Arabic Typesetting" w:cs="Arabic Typesetting"/>
                <w:color w:val="000000"/>
                <w:sz w:val="28"/>
                <w:szCs w:val="28"/>
                <w:rtl/>
              </w:rPr>
              <w:t>2013</w:t>
            </w:r>
          </w:p>
        </w:tc>
      </w:tr>
      <w:tr w:rsidR="00B850DD" w:rsidRPr="00695D95" w:rsidTr="00BE7CD1">
        <w:trPr>
          <w:cantSplit/>
          <w:trHeight w:val="859"/>
        </w:trPr>
        <w:tc>
          <w:tcPr>
            <w:tcW w:w="1012" w:type="pct"/>
            <w:tcBorders>
              <w:top w:val="single" w:sz="4" w:space="0" w:color="auto"/>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lastRenderedPageBreak/>
              <w:t>انخفاض عدد حراس الأمن الخارجيين وعدد ساعات عملهم</w:t>
            </w:r>
          </w:p>
        </w:tc>
        <w:tc>
          <w:tcPr>
            <w:tcW w:w="65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882 331***</w:t>
            </w:r>
          </w:p>
        </w:tc>
        <w:tc>
          <w:tcPr>
            <w:tcW w:w="578"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739 708</w:t>
            </w:r>
          </w:p>
        </w:tc>
        <w:tc>
          <w:tcPr>
            <w:tcW w:w="722"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spacing w:after="120"/>
              <w:rPr>
                <w:rFonts w:ascii="Arabic Typesetting" w:hAnsi="Arabic Typesetting" w:cs="Arabic Typesetting"/>
                <w:color w:val="000000"/>
                <w:sz w:val="28"/>
                <w:szCs w:val="28"/>
                <w:rtl/>
              </w:rPr>
            </w:pPr>
            <w:r w:rsidRPr="00695D95">
              <w:rPr>
                <w:rFonts w:ascii="Arabic Typesetting" w:hAnsi="Arabic Typesetting" w:cs="Arabic Typesetting"/>
                <w:color w:val="000000"/>
                <w:sz w:val="28"/>
                <w:szCs w:val="28"/>
                <w:rtl/>
              </w:rPr>
              <w:t xml:space="preserve">2014: انخفاض إجمالي بنسبة 8.4% (882 331 فرنكاً سويسرياً) من عام 2013 (837 943 3) إلى عام 2014 (955 611 3) ما أدى إلى خفض عدد حراس الأمن لشركة </w:t>
            </w:r>
            <w:r w:rsidRPr="00695D95">
              <w:rPr>
                <w:rFonts w:ascii="Arabic Typesetting" w:hAnsi="Arabic Typesetting" w:cs="Arabic Typesetting"/>
                <w:color w:val="000000"/>
                <w:sz w:val="28"/>
                <w:szCs w:val="28"/>
              </w:rPr>
              <w:t>ARNDT</w:t>
            </w:r>
            <w:r w:rsidRPr="00695D95">
              <w:rPr>
                <w:rFonts w:ascii="Arabic Typesetting" w:hAnsi="Arabic Typesetting" w:cs="Arabic Typesetting"/>
                <w:color w:val="000000"/>
                <w:sz w:val="28"/>
                <w:szCs w:val="28"/>
                <w:rtl/>
              </w:rPr>
              <w:t xml:space="preserve"> في 2015 وانخفاض في متطلبات الحراسة غير المتوقعة بنسبة 25%</w:t>
            </w:r>
            <w:r w:rsidR="00647020">
              <w:rPr>
                <w:rFonts w:ascii="Arabic Typesetting" w:hAnsi="Arabic Typesetting" w:cs="Arabic Typesetting" w:hint="cs"/>
                <w:color w:val="000000"/>
                <w:sz w:val="28"/>
                <w:szCs w:val="28"/>
                <w:rtl/>
              </w:rPr>
              <w:t>.</w:t>
            </w:r>
          </w:p>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 xml:space="preserve">2015: انخفاض إجمالي نسبته 17.9% (739 708 فرنكاً سويسرياً) من عام 2013 إلى 2015 (098 235 3) عقب إعادة توزيع حراس الأمن لشركة </w:t>
            </w:r>
            <w:r w:rsidRPr="00695D95">
              <w:rPr>
                <w:rFonts w:ascii="Arabic Typesetting" w:hAnsi="Arabic Typesetting" w:cs="Arabic Typesetting"/>
                <w:color w:val="000000"/>
                <w:sz w:val="28"/>
                <w:szCs w:val="28"/>
              </w:rPr>
              <w:t>ARNDT</w:t>
            </w:r>
            <w:r w:rsidRPr="00695D95">
              <w:rPr>
                <w:rFonts w:ascii="Arabic Typesetting" w:hAnsi="Arabic Typesetting" w:cs="Arabic Typesetting"/>
                <w:color w:val="000000"/>
                <w:sz w:val="28"/>
                <w:szCs w:val="28"/>
                <w:rtl/>
              </w:rPr>
              <w:t xml:space="preserve"> بفعالية بعد إنشاء بوابات السرعة ومركز عمليات الأمن الإلكتروني في إطار تأمين المحيط حسب معايير الأمن التشغيلي الدنيا في المقار (</w:t>
            </w:r>
            <w:r w:rsidRPr="00695D95">
              <w:rPr>
                <w:rFonts w:ascii="Arabic Typesetting" w:hAnsi="Arabic Typesetting" w:cs="Arabic Typesetting"/>
                <w:color w:val="000000"/>
                <w:sz w:val="28"/>
                <w:szCs w:val="28"/>
              </w:rPr>
              <w:t>UN H-MOSS</w:t>
            </w:r>
            <w:r w:rsidRPr="00695D95">
              <w:rPr>
                <w:rFonts w:ascii="Arabic Typesetting" w:hAnsi="Arabic Typesetting" w:cs="Arabic Typesetting"/>
                <w:color w:val="000000"/>
                <w:sz w:val="28"/>
                <w:szCs w:val="28"/>
                <w:rtl/>
              </w:rPr>
              <w:t>) ما أدى إلى خفض عدد ساعات العمل الإجمالي لحراس الأمن ونسبة متطلبات الحراسة غير المت</w:t>
            </w:r>
            <w:r>
              <w:rPr>
                <w:rFonts w:ascii="Arabic Typesetting" w:hAnsi="Arabic Typesetting" w:cs="Arabic Typesetting"/>
                <w:color w:val="000000"/>
                <w:sz w:val="28"/>
                <w:szCs w:val="28"/>
                <w:rtl/>
              </w:rPr>
              <w:t>وقعة بنسبة 29%</w:t>
            </w:r>
            <w:r w:rsidR="00647020">
              <w:rPr>
                <w:rFonts w:ascii="Arabic Typesetting" w:hAnsi="Arabic Typesetting" w:cs="Arabic Typesetting" w:hint="cs"/>
                <w:color w:val="000000"/>
                <w:sz w:val="28"/>
                <w:szCs w:val="28"/>
                <w:rtl/>
              </w:rPr>
              <w:t>.</w:t>
            </w:r>
          </w:p>
        </w:tc>
      </w:tr>
      <w:tr w:rsidR="00B850DD" w:rsidRPr="00695D95" w:rsidTr="00BE7CD1">
        <w:trPr>
          <w:cantSplit/>
          <w:trHeight w:val="2550"/>
        </w:trPr>
        <w:tc>
          <w:tcPr>
            <w:tcW w:w="1012" w:type="pct"/>
            <w:tcBorders>
              <w:top w:val="single" w:sz="4" w:space="0" w:color="auto"/>
              <w:left w:val="single" w:sz="4" w:space="0" w:color="auto"/>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lastRenderedPageBreak/>
              <w:t>انخفاض التكاليف الإجمالية لمعالجة الطلبات الدولية في إطار نظام لاهاي</w:t>
            </w:r>
          </w:p>
        </w:tc>
        <w:tc>
          <w:tcPr>
            <w:tcW w:w="652"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578"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722"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تكلفة الوحدة لكل تصميم جديد أو مجدد من 420 فرنكاً سويسرياً في 2013 إلى 366 فرنكاً سويسرياً في 2014 (أي بمبلغ 54 فرنكاً سويسرياً أو نسبة 13%)</w:t>
            </w:r>
            <w:r>
              <w:rPr>
                <w:rFonts w:ascii="Arabic Typesetting" w:hAnsi="Arabic Typesetting" w:cs="Arabic Typesetting" w:hint="cs"/>
                <w:color w:val="000000"/>
                <w:sz w:val="28"/>
                <w:szCs w:val="28"/>
                <w:rtl/>
              </w:rPr>
              <w:t>.</w:t>
            </w:r>
            <w:r w:rsidRPr="00695D95">
              <w:rPr>
                <w:rFonts w:ascii="Arabic Typesetting" w:hAnsi="Arabic Typesetting" w:cs="Arabic Typesetting"/>
                <w:color w:val="000000"/>
                <w:sz w:val="28"/>
                <w:szCs w:val="28"/>
                <w:rtl/>
              </w:rPr>
              <w:t xml:space="preserve"> </w:t>
            </w:r>
            <w:r>
              <w:rPr>
                <w:rFonts w:ascii="Arabic Typesetting" w:hAnsi="Arabic Typesetting" w:cs="Arabic Typesetting" w:hint="cs"/>
                <w:color w:val="000000"/>
                <w:sz w:val="28"/>
                <w:szCs w:val="28"/>
                <w:rtl/>
              </w:rPr>
              <w:t>و</w:t>
            </w:r>
            <w:r w:rsidRPr="00695D95">
              <w:rPr>
                <w:rFonts w:ascii="Arabic Typesetting" w:hAnsi="Arabic Typesetting" w:cs="Arabic Typesetting"/>
                <w:color w:val="000000"/>
                <w:sz w:val="28"/>
                <w:szCs w:val="28"/>
                <w:rtl/>
              </w:rPr>
              <w:t xml:space="preserve">انخفاض تكلفة الوحدة لكل وثيقة مدونة في السجل من </w:t>
            </w:r>
            <w:r>
              <w:rPr>
                <w:rFonts w:ascii="Arabic Typesetting" w:hAnsi="Arabic Typesetting" w:cs="Arabic Typesetting" w:hint="cs"/>
                <w:color w:val="000000"/>
                <w:sz w:val="28"/>
                <w:szCs w:val="28"/>
                <w:rtl/>
              </w:rPr>
              <w:t>1570</w:t>
            </w:r>
            <w:r w:rsidRPr="00695D95">
              <w:rPr>
                <w:rFonts w:ascii="Arabic Typesetting" w:hAnsi="Arabic Typesetting" w:cs="Arabic Typesetting"/>
                <w:color w:val="000000"/>
                <w:sz w:val="28"/>
                <w:szCs w:val="28"/>
                <w:rtl/>
              </w:rPr>
              <w:t xml:space="preserve"> فرنكاً سويسرياً في 2013 إلى 1483 فرنكاً سويسرياً في 2014 (أي بمبلغ 87 فرنكاً سويسرياً أو نسبة 5.5%)</w:t>
            </w:r>
          </w:p>
        </w:tc>
        <w:tc>
          <w:tcPr>
            <w:tcW w:w="869"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تكلفة الوحدة لكل تصميم جديد أو مجدد من 366 فرنكاً سويسرياً في 2014 إلى 337 فرنكاً سويسرياً في 2015 (أي بمبلغ 29 فرنكاً سويسرياً أو 7.9%). انخفاض في تكلفة الوحدة لكل وثيقة مدونة في السجل من 1483 فرنكاً سويسرياً في 2014 إلى 1153 فرنكاً سويسرياً في 2015 (أي بمبلغ 330 فرنكاً سويسرياً أو نسبة 22.3%)</w:t>
            </w:r>
          </w:p>
        </w:tc>
        <w:tc>
          <w:tcPr>
            <w:tcW w:w="1167" w:type="pct"/>
            <w:tcBorders>
              <w:top w:val="single" w:sz="4" w:space="0" w:color="auto"/>
              <w:left w:val="nil"/>
              <w:bottom w:val="single" w:sz="4" w:space="0" w:color="auto"/>
              <w:right w:val="single" w:sz="4" w:space="0" w:color="auto"/>
            </w:tcBorders>
            <w:shd w:val="clear" w:color="auto" w:fill="auto"/>
            <w:hideMark/>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انظر تقرير أداء البرنامج 2014/15 للمزيد من المعلومات عن المؤشرات الخاصة بعمليات نظام لاهاي.</w:t>
            </w:r>
          </w:p>
        </w:tc>
      </w:tr>
      <w:tr w:rsidR="00B850DD" w:rsidRPr="00695D95" w:rsidTr="00BE7CD1">
        <w:trPr>
          <w:cantSplit/>
          <w:trHeight w:val="1579"/>
        </w:trPr>
        <w:tc>
          <w:tcPr>
            <w:tcW w:w="1012" w:type="pct"/>
            <w:tcBorders>
              <w:top w:val="single" w:sz="4" w:space="0" w:color="auto"/>
              <w:left w:val="single" w:sz="4" w:space="0" w:color="auto"/>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انخفاض الأقساط بعد إبرام عقود تأمين جديدة فيما يخص التأمين ضد حوادث العمل</w:t>
            </w:r>
          </w:p>
        </w:tc>
        <w:tc>
          <w:tcPr>
            <w:tcW w:w="652"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غير متاحة</w:t>
            </w:r>
          </w:p>
        </w:tc>
        <w:tc>
          <w:tcPr>
            <w:tcW w:w="578"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000 200</w:t>
            </w:r>
          </w:p>
        </w:tc>
        <w:tc>
          <w:tcPr>
            <w:tcW w:w="722"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869"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p>
        </w:tc>
        <w:tc>
          <w:tcPr>
            <w:tcW w:w="1167" w:type="pct"/>
            <w:tcBorders>
              <w:top w:val="single" w:sz="4" w:space="0" w:color="auto"/>
              <w:left w:val="nil"/>
              <w:bottom w:val="single" w:sz="4" w:space="0" w:color="auto"/>
              <w:right w:val="single" w:sz="4" w:space="0" w:color="auto"/>
            </w:tcBorders>
            <w:shd w:val="clear" w:color="auto" w:fill="auto"/>
          </w:tcPr>
          <w:p w:rsidR="00B850DD" w:rsidRPr="00695D95" w:rsidRDefault="00B850DD" w:rsidP="00B850DD">
            <w:pPr>
              <w:bidi/>
              <w:rPr>
                <w:rFonts w:ascii="Arabic Typesetting" w:hAnsi="Arabic Typesetting" w:cs="Arabic Typesetting"/>
                <w:color w:val="000000"/>
                <w:sz w:val="28"/>
                <w:szCs w:val="28"/>
              </w:rPr>
            </w:pPr>
            <w:r w:rsidRPr="00695D95">
              <w:rPr>
                <w:rFonts w:ascii="Arabic Typesetting" w:hAnsi="Arabic Typesetting" w:cs="Arabic Typesetting"/>
                <w:color w:val="000000"/>
                <w:sz w:val="28"/>
                <w:szCs w:val="28"/>
                <w:rtl/>
              </w:rPr>
              <w:t>أدى إعادة التفاوض على التأمين ضد حوادث العمل إلى وفورات قدرها 000 200 فرنك سويسري في 2015.</w:t>
            </w:r>
          </w:p>
        </w:tc>
      </w:tr>
    </w:tbl>
    <w:p w:rsidR="00B850DD" w:rsidRPr="00360E76" w:rsidRDefault="00B850DD" w:rsidP="00B850DD">
      <w:pPr>
        <w:bidi/>
        <w:spacing w:before="120"/>
        <w:rPr>
          <w:rFonts w:ascii="Arabic Typesetting" w:hAnsi="Arabic Typesetting" w:cs="Arabic Typesetting"/>
          <w:i/>
          <w:iCs/>
          <w:sz w:val="28"/>
          <w:szCs w:val="28"/>
          <w:rtl/>
        </w:rPr>
      </w:pPr>
      <w:r w:rsidRPr="00360E76">
        <w:rPr>
          <w:rFonts w:ascii="Arabic Typesetting" w:hAnsi="Arabic Typesetting" w:cs="Arabic Typesetting"/>
          <w:i/>
          <w:iCs/>
          <w:sz w:val="28"/>
          <w:szCs w:val="28"/>
          <w:rtl/>
        </w:rPr>
        <w:t>تعزى أية فروق في المجموع إلى تقريب المبالغ.</w:t>
      </w:r>
    </w:p>
    <w:p w:rsidR="00B850DD" w:rsidRPr="00360E76" w:rsidRDefault="00B850DD" w:rsidP="00B850DD">
      <w:pPr>
        <w:bidi/>
        <w:rPr>
          <w:rFonts w:ascii="Arabic Typesetting" w:hAnsi="Arabic Typesetting" w:cs="Arabic Typesetting"/>
          <w:i/>
          <w:iCs/>
          <w:sz w:val="28"/>
          <w:szCs w:val="28"/>
          <w:rtl/>
        </w:rPr>
      </w:pPr>
      <w:r w:rsidRPr="00360E76">
        <w:rPr>
          <w:rFonts w:ascii="Arabic Typesetting" w:hAnsi="Arabic Typesetting" w:cs="Arabic Typesetting"/>
          <w:i/>
          <w:iCs/>
          <w:sz w:val="28"/>
          <w:szCs w:val="28"/>
          <w:rtl/>
        </w:rPr>
        <w:t xml:space="preserve">* كما ورد في الوثيقة </w:t>
      </w:r>
      <w:r w:rsidRPr="00360E76">
        <w:rPr>
          <w:rFonts w:ascii="Arabic Typesetting" w:hAnsi="Arabic Typesetting" w:cs="Arabic Typesetting"/>
          <w:i/>
          <w:iCs/>
          <w:sz w:val="28"/>
          <w:szCs w:val="28"/>
        </w:rPr>
        <w:t>WO/PBC/23/COST</w:t>
      </w:r>
      <w:r>
        <w:rPr>
          <w:rFonts w:ascii="Arabic Typesetting" w:hAnsi="Arabic Typesetting" w:cs="Arabic Typesetting"/>
          <w:i/>
          <w:iCs/>
          <w:sz w:val="28"/>
          <w:szCs w:val="28"/>
        </w:rPr>
        <w:t> </w:t>
      </w:r>
      <w:r w:rsidRPr="00360E76">
        <w:rPr>
          <w:rFonts w:ascii="Arabic Typesetting" w:hAnsi="Arabic Typesetting" w:cs="Arabic Typesetting"/>
          <w:i/>
          <w:iCs/>
          <w:sz w:val="28"/>
          <w:szCs w:val="28"/>
        </w:rPr>
        <w:t>EFFICIENCIES</w:t>
      </w:r>
      <w:r>
        <w:rPr>
          <w:rFonts w:ascii="Arabic Typesetting" w:hAnsi="Arabic Typesetting" w:cs="Arabic Typesetting"/>
          <w:i/>
          <w:iCs/>
          <w:sz w:val="28"/>
          <w:szCs w:val="28"/>
        </w:rPr>
        <w:t> </w:t>
      </w:r>
      <w:r w:rsidRPr="00360E76">
        <w:rPr>
          <w:rFonts w:ascii="Arabic Typesetting" w:hAnsi="Arabic Typesetting" w:cs="Arabic Typesetting"/>
          <w:i/>
          <w:iCs/>
          <w:sz w:val="28"/>
          <w:szCs w:val="28"/>
        </w:rPr>
        <w:t>REALIZED</w:t>
      </w:r>
      <w:r>
        <w:rPr>
          <w:rFonts w:ascii="Arabic Typesetting" w:hAnsi="Arabic Typesetting" w:cs="Arabic Typesetting"/>
          <w:i/>
          <w:iCs/>
          <w:sz w:val="28"/>
          <w:szCs w:val="28"/>
        </w:rPr>
        <w:t> </w:t>
      </w:r>
      <w:r w:rsidRPr="00360E76">
        <w:rPr>
          <w:rFonts w:ascii="Arabic Typesetting" w:hAnsi="Arabic Typesetting" w:cs="Arabic Typesetting"/>
          <w:i/>
          <w:iCs/>
          <w:sz w:val="28"/>
          <w:szCs w:val="28"/>
        </w:rPr>
        <w:t>IN</w:t>
      </w:r>
      <w:r>
        <w:rPr>
          <w:rFonts w:ascii="Arabic Typesetting" w:hAnsi="Arabic Typesetting" w:cs="Arabic Typesetting"/>
          <w:i/>
          <w:iCs/>
          <w:sz w:val="28"/>
          <w:szCs w:val="28"/>
        </w:rPr>
        <w:t> </w:t>
      </w:r>
      <w:r w:rsidRPr="00360E76">
        <w:rPr>
          <w:rFonts w:ascii="Arabic Typesetting" w:hAnsi="Arabic Typesetting" w:cs="Arabic Typesetting"/>
          <w:i/>
          <w:iCs/>
          <w:sz w:val="28"/>
          <w:szCs w:val="28"/>
        </w:rPr>
        <w:t>2014</w:t>
      </w:r>
      <w:r w:rsidRPr="00360E76">
        <w:rPr>
          <w:rFonts w:ascii="Arabic Typesetting" w:hAnsi="Arabic Typesetting" w:cs="Arabic Typesetting"/>
          <w:i/>
          <w:iCs/>
          <w:sz w:val="28"/>
          <w:szCs w:val="28"/>
          <w:rtl/>
        </w:rPr>
        <w:t xml:space="preserve"> ما لم يُذكر خلاف ذلك</w:t>
      </w:r>
    </w:p>
    <w:p w:rsidR="00B850DD" w:rsidRPr="00360E76" w:rsidRDefault="00B850DD" w:rsidP="00B850DD">
      <w:pPr>
        <w:bidi/>
        <w:rPr>
          <w:rFonts w:ascii="Arabic Typesetting" w:hAnsi="Arabic Typesetting" w:cs="Arabic Typesetting"/>
          <w:i/>
          <w:iCs/>
          <w:sz w:val="28"/>
          <w:szCs w:val="28"/>
          <w:rtl/>
        </w:rPr>
      </w:pPr>
      <w:r w:rsidRPr="00360E76">
        <w:rPr>
          <w:rFonts w:ascii="Arabic Typesetting" w:hAnsi="Arabic Typesetting" w:cs="Arabic Typesetting"/>
          <w:i/>
          <w:iCs/>
          <w:sz w:val="28"/>
          <w:szCs w:val="28"/>
          <w:rtl/>
        </w:rPr>
        <w:t>** الوفورات السنوية في عام 2015 مقارنة بعام 2013</w:t>
      </w:r>
    </w:p>
    <w:p w:rsidR="00B850DD" w:rsidRPr="00360E76" w:rsidRDefault="00B850DD" w:rsidP="00B850DD">
      <w:pPr>
        <w:bidi/>
        <w:rPr>
          <w:rFonts w:ascii="Arabic Typesetting" w:hAnsi="Arabic Typesetting" w:cs="Arabic Typesetting"/>
          <w:i/>
          <w:iCs/>
          <w:sz w:val="28"/>
          <w:szCs w:val="28"/>
          <w:rtl/>
        </w:rPr>
      </w:pPr>
      <w:r w:rsidRPr="00360E76">
        <w:rPr>
          <w:rFonts w:ascii="Arabic Typesetting" w:hAnsi="Arabic Typesetting" w:cs="Arabic Typesetting"/>
          <w:i/>
          <w:iCs/>
          <w:sz w:val="28"/>
          <w:szCs w:val="28"/>
          <w:rtl/>
        </w:rPr>
        <w:t>*** البيانات المعدَّلة حتى أبريل 2016</w:t>
      </w:r>
    </w:p>
    <w:p w:rsidR="00B850DD" w:rsidRPr="00360E76" w:rsidRDefault="00B850DD" w:rsidP="00B850DD">
      <w:pPr>
        <w:pStyle w:val="NormalParaAR"/>
        <w:keepNext/>
        <w:pageBreakBefore/>
        <w:jc w:val="center"/>
        <w:rPr>
          <w:rtl/>
        </w:rPr>
      </w:pPr>
      <w:r w:rsidRPr="00360E76">
        <w:rPr>
          <w:rFonts w:hint="cs"/>
          <w:rtl/>
        </w:rPr>
        <w:lastRenderedPageBreak/>
        <w:t>التكاليف المستردة في 2014/15</w:t>
      </w:r>
    </w:p>
    <w:tbl>
      <w:tblPr>
        <w:bidiVisual/>
        <w:tblW w:w="5086" w:type="pct"/>
        <w:tblInd w:w="-176" w:type="dxa"/>
        <w:tblCellMar>
          <w:top w:w="85" w:type="dxa"/>
        </w:tblCellMar>
        <w:tblLook w:val="04A0" w:firstRow="1" w:lastRow="0" w:firstColumn="1" w:lastColumn="0" w:noHBand="0" w:noVBand="1"/>
      </w:tblPr>
      <w:tblGrid>
        <w:gridCol w:w="1685"/>
        <w:gridCol w:w="1067"/>
        <w:gridCol w:w="1125"/>
        <w:gridCol w:w="1406"/>
        <w:gridCol w:w="1408"/>
        <w:gridCol w:w="1758"/>
        <w:gridCol w:w="1287"/>
      </w:tblGrid>
      <w:tr w:rsidR="00B850DD" w:rsidRPr="00B42645" w:rsidTr="00B850DD">
        <w:trPr>
          <w:cantSplit/>
          <w:trHeight w:val="765"/>
          <w:tblHeader/>
        </w:trPr>
        <w:tc>
          <w:tcPr>
            <w:tcW w:w="865" w:type="pct"/>
            <w:tcBorders>
              <w:top w:val="single" w:sz="4" w:space="0" w:color="auto"/>
              <w:left w:val="single" w:sz="4" w:space="0" w:color="auto"/>
              <w:right w:val="single" w:sz="4" w:space="0" w:color="auto"/>
            </w:tcBorders>
            <w:shd w:val="clear" w:color="000000" w:fill="8DB4E2"/>
            <w:vAlign w:val="center"/>
            <w:hideMark/>
          </w:tcPr>
          <w:p w:rsidR="00B850DD" w:rsidRPr="00B42645" w:rsidRDefault="00B850DD" w:rsidP="00B850DD">
            <w:pPr>
              <w:keepNext/>
              <w:bidi/>
              <w:jc w:val="center"/>
              <w:rPr>
                <w:rFonts w:ascii="Arabic Typesetting" w:hAnsi="Arabic Typesetting" w:cs="Arabic Typesetting"/>
                <w:b/>
                <w:bCs/>
                <w:color w:val="000000"/>
                <w:sz w:val="28"/>
                <w:szCs w:val="28"/>
              </w:rPr>
            </w:pPr>
            <w:r w:rsidRPr="00B42645">
              <w:rPr>
                <w:rFonts w:ascii="Arabic Typesetting" w:hAnsi="Arabic Typesetting" w:cs="Arabic Typesetting"/>
                <w:b/>
                <w:bCs/>
                <w:color w:val="000000"/>
                <w:sz w:val="28"/>
                <w:szCs w:val="28"/>
                <w:rtl/>
              </w:rPr>
              <w:t>استرداد التكاليف</w:t>
            </w:r>
          </w:p>
        </w:tc>
        <w:tc>
          <w:tcPr>
            <w:tcW w:w="548" w:type="pct"/>
            <w:tcBorders>
              <w:top w:val="single" w:sz="4" w:space="0" w:color="auto"/>
              <w:left w:val="nil"/>
              <w:right w:val="single" w:sz="4" w:space="0" w:color="auto"/>
            </w:tcBorders>
            <w:shd w:val="clear" w:color="000000" w:fill="8DB4E2"/>
            <w:vAlign w:val="center"/>
            <w:hideMark/>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الوفورات السنوية</w:t>
            </w:r>
          </w:p>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2014</w:t>
            </w:r>
            <w:r w:rsidR="00647020">
              <w:rPr>
                <w:rFonts w:ascii="Arabic Typesetting" w:hAnsi="Arabic Typesetting" w:cs="Arabic Typesetting" w:hint="cs"/>
                <w:b/>
                <w:bCs/>
                <w:color w:val="000000"/>
                <w:sz w:val="28"/>
                <w:szCs w:val="28"/>
                <w:rtl/>
              </w:rPr>
              <w:t>*</w:t>
            </w:r>
          </w:p>
          <w:p w:rsidR="00B850DD" w:rsidRPr="00B42645" w:rsidRDefault="00B850DD" w:rsidP="00B850DD">
            <w:pPr>
              <w:keepNext/>
              <w:bidi/>
              <w:jc w:val="center"/>
              <w:rPr>
                <w:rFonts w:ascii="Arabic Typesetting" w:hAnsi="Arabic Typesetting" w:cs="Arabic Typesetting"/>
                <w:b/>
                <w:bCs/>
                <w:color w:val="000000"/>
                <w:sz w:val="28"/>
                <w:szCs w:val="28"/>
              </w:rPr>
            </w:pPr>
            <w:r w:rsidRPr="00B42645">
              <w:rPr>
                <w:rFonts w:ascii="Arabic Typesetting" w:hAnsi="Arabic Typesetting" w:cs="Arabic Typesetting"/>
                <w:b/>
                <w:bCs/>
                <w:color w:val="000000"/>
                <w:sz w:val="28"/>
                <w:szCs w:val="28"/>
                <w:rtl/>
              </w:rPr>
              <w:t>(بالفرنك السويسري)</w:t>
            </w:r>
          </w:p>
        </w:tc>
        <w:tc>
          <w:tcPr>
            <w:tcW w:w="578" w:type="pct"/>
            <w:tcBorders>
              <w:top w:val="single" w:sz="4" w:space="0" w:color="auto"/>
              <w:left w:val="nil"/>
              <w:right w:val="single" w:sz="4" w:space="0" w:color="auto"/>
            </w:tcBorders>
            <w:shd w:val="clear" w:color="000000" w:fill="8DB4E2"/>
            <w:vAlign w:val="center"/>
            <w:hideMark/>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الوفورات السنوية</w:t>
            </w:r>
          </w:p>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2015</w:t>
            </w:r>
          </w:p>
          <w:p w:rsidR="00B850DD" w:rsidRPr="00B42645" w:rsidRDefault="00B850DD" w:rsidP="00B850DD">
            <w:pPr>
              <w:keepNext/>
              <w:bidi/>
              <w:jc w:val="center"/>
              <w:rPr>
                <w:rFonts w:ascii="Arabic Typesetting" w:hAnsi="Arabic Typesetting" w:cs="Arabic Typesetting"/>
                <w:b/>
                <w:bCs/>
                <w:color w:val="000000"/>
                <w:sz w:val="28"/>
                <w:szCs w:val="28"/>
              </w:rPr>
            </w:pPr>
            <w:r w:rsidRPr="00B42645">
              <w:rPr>
                <w:rFonts w:ascii="Arabic Typesetting" w:hAnsi="Arabic Typesetting" w:cs="Arabic Typesetting"/>
                <w:b/>
                <w:bCs/>
                <w:color w:val="000000"/>
                <w:sz w:val="28"/>
                <w:szCs w:val="28"/>
                <w:rtl/>
              </w:rPr>
              <w:t>(بالفرنك السويسري)</w:t>
            </w:r>
          </w:p>
        </w:tc>
        <w:tc>
          <w:tcPr>
            <w:tcW w:w="722" w:type="pct"/>
            <w:tcBorders>
              <w:top w:val="single" w:sz="4" w:space="0" w:color="auto"/>
              <w:left w:val="nil"/>
              <w:right w:val="single" w:sz="4" w:space="0" w:color="auto"/>
            </w:tcBorders>
            <w:shd w:val="clear" w:color="000000" w:fill="8DB4E2"/>
            <w:vAlign w:val="center"/>
            <w:hideMark/>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توزيع التكاليف</w:t>
            </w:r>
          </w:p>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2014</w:t>
            </w:r>
          </w:p>
          <w:p w:rsidR="00B850DD" w:rsidRDefault="00B850DD" w:rsidP="00647020">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(بالفرنك السويسري)</w:t>
            </w:r>
            <w:r w:rsidR="00647020">
              <w:rPr>
                <w:rFonts w:ascii="Arabic Typesetting" w:hAnsi="Arabic Typesetting" w:cs="Arabic Typesetting" w:hint="cs"/>
                <w:b/>
                <w:bCs/>
                <w:color w:val="000000"/>
                <w:sz w:val="28"/>
                <w:szCs w:val="28"/>
                <w:rtl/>
              </w:rPr>
              <w:t>*</w:t>
            </w:r>
          </w:p>
          <w:p w:rsidR="00647020" w:rsidRPr="00B42645" w:rsidRDefault="00647020" w:rsidP="00647020">
            <w:pPr>
              <w:keepNext/>
              <w:bidi/>
              <w:jc w:val="center"/>
              <w:rPr>
                <w:rFonts w:ascii="Arabic Typesetting" w:hAnsi="Arabic Typesetting" w:cs="Arabic Typesetting"/>
                <w:b/>
                <w:bCs/>
                <w:color w:val="000000"/>
                <w:sz w:val="28"/>
                <w:szCs w:val="28"/>
              </w:rPr>
            </w:pPr>
          </w:p>
        </w:tc>
        <w:tc>
          <w:tcPr>
            <w:tcW w:w="723" w:type="pct"/>
            <w:tcBorders>
              <w:top w:val="single" w:sz="4" w:space="0" w:color="auto"/>
              <w:left w:val="nil"/>
              <w:right w:val="single" w:sz="4" w:space="0" w:color="auto"/>
            </w:tcBorders>
            <w:shd w:val="clear" w:color="000000" w:fill="8DB4E2"/>
            <w:vAlign w:val="center"/>
            <w:hideMark/>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توزيع التكاليف</w:t>
            </w:r>
          </w:p>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2015</w:t>
            </w:r>
          </w:p>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(بالفرنك السويسري)</w:t>
            </w:r>
          </w:p>
          <w:p w:rsidR="00B850DD" w:rsidRPr="00B42645" w:rsidRDefault="00B850DD" w:rsidP="00B850DD">
            <w:pPr>
              <w:keepNext/>
              <w:bidi/>
              <w:jc w:val="center"/>
              <w:rPr>
                <w:rFonts w:ascii="Arabic Typesetting" w:hAnsi="Arabic Typesetting" w:cs="Arabic Typesetting"/>
                <w:b/>
                <w:bCs/>
                <w:color w:val="000000"/>
                <w:sz w:val="28"/>
                <w:szCs w:val="28"/>
              </w:rPr>
            </w:pPr>
          </w:p>
        </w:tc>
        <w:tc>
          <w:tcPr>
            <w:tcW w:w="903" w:type="pct"/>
            <w:tcBorders>
              <w:top w:val="single" w:sz="4" w:space="0" w:color="auto"/>
              <w:left w:val="nil"/>
              <w:right w:val="single" w:sz="4" w:space="0" w:color="auto"/>
            </w:tcBorders>
            <w:shd w:val="clear" w:color="000000" w:fill="8DB4E2"/>
            <w:vAlign w:val="center"/>
            <w:hideMark/>
          </w:tcPr>
          <w:p w:rsidR="00B850DD" w:rsidRPr="00B42645" w:rsidRDefault="00B850DD" w:rsidP="00B850DD">
            <w:pPr>
              <w:keepNext/>
              <w:bidi/>
              <w:jc w:val="center"/>
              <w:rPr>
                <w:rFonts w:ascii="Arabic Typesetting" w:hAnsi="Arabic Typesetting" w:cs="Arabic Typesetting"/>
                <w:b/>
                <w:bCs/>
                <w:color w:val="000000"/>
                <w:sz w:val="28"/>
                <w:szCs w:val="28"/>
              </w:rPr>
            </w:pPr>
            <w:r w:rsidRPr="00B42645">
              <w:rPr>
                <w:rFonts w:ascii="Arabic Typesetting" w:hAnsi="Arabic Typesetting" w:cs="Arabic Typesetting"/>
                <w:b/>
                <w:bCs/>
                <w:color w:val="000000"/>
                <w:sz w:val="28"/>
                <w:szCs w:val="28"/>
                <w:rtl/>
              </w:rPr>
              <w:t>ملاحظات</w:t>
            </w:r>
          </w:p>
        </w:tc>
        <w:tc>
          <w:tcPr>
            <w:tcW w:w="661" w:type="pct"/>
            <w:tcBorders>
              <w:top w:val="single" w:sz="4" w:space="0" w:color="auto"/>
              <w:left w:val="nil"/>
              <w:right w:val="single" w:sz="4" w:space="0" w:color="auto"/>
            </w:tcBorders>
            <w:shd w:val="clear" w:color="000000" w:fill="8DB4E2"/>
            <w:vAlign w:val="center"/>
            <w:hideMark/>
          </w:tcPr>
          <w:p w:rsidR="00B850DD" w:rsidRPr="00B42645" w:rsidRDefault="00B850DD" w:rsidP="00B850DD">
            <w:pPr>
              <w:keepNext/>
              <w:bidi/>
              <w:jc w:val="center"/>
              <w:rPr>
                <w:rFonts w:ascii="Arabic Typesetting" w:hAnsi="Arabic Typesetting" w:cs="Arabic Typesetting"/>
                <w:b/>
                <w:bCs/>
                <w:color w:val="000000"/>
                <w:sz w:val="28"/>
                <w:szCs w:val="28"/>
              </w:rPr>
            </w:pPr>
            <w:r w:rsidRPr="00B42645">
              <w:rPr>
                <w:rFonts w:ascii="Arabic Typesetting" w:hAnsi="Arabic Typesetting" w:cs="Arabic Typesetting"/>
                <w:b/>
                <w:bCs/>
                <w:color w:val="000000"/>
                <w:sz w:val="28"/>
                <w:szCs w:val="28"/>
                <w:rtl/>
              </w:rPr>
              <w:t>الجهة المسؤولة</w:t>
            </w:r>
          </w:p>
        </w:tc>
      </w:tr>
      <w:tr w:rsidR="00B850DD" w:rsidRPr="00B42645" w:rsidTr="00B850DD">
        <w:trPr>
          <w:cantSplit/>
          <w:trHeight w:val="21"/>
          <w:tblHeader/>
        </w:trPr>
        <w:tc>
          <w:tcPr>
            <w:tcW w:w="865" w:type="pct"/>
            <w:tcBorders>
              <w:left w:val="single" w:sz="4" w:space="0" w:color="auto"/>
              <w:bottom w:val="single" w:sz="4" w:space="0" w:color="auto"/>
              <w:right w:val="single" w:sz="4" w:space="0" w:color="auto"/>
            </w:tcBorders>
            <w:shd w:val="clear" w:color="000000" w:fill="8DB4E2"/>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أ</w:t>
            </w:r>
          </w:p>
        </w:tc>
        <w:tc>
          <w:tcPr>
            <w:tcW w:w="548" w:type="pct"/>
            <w:tcBorders>
              <w:left w:val="nil"/>
              <w:bottom w:val="single" w:sz="4" w:space="0" w:color="auto"/>
              <w:right w:val="single" w:sz="4" w:space="0" w:color="auto"/>
            </w:tcBorders>
            <w:shd w:val="clear" w:color="000000" w:fill="8DB4E2"/>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ب</w:t>
            </w:r>
          </w:p>
        </w:tc>
        <w:tc>
          <w:tcPr>
            <w:tcW w:w="578" w:type="pct"/>
            <w:tcBorders>
              <w:left w:val="nil"/>
              <w:bottom w:val="single" w:sz="4" w:space="0" w:color="auto"/>
              <w:right w:val="single" w:sz="4" w:space="0" w:color="auto"/>
            </w:tcBorders>
            <w:shd w:val="clear" w:color="000000" w:fill="8DB4E2"/>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ج</w:t>
            </w:r>
          </w:p>
        </w:tc>
        <w:tc>
          <w:tcPr>
            <w:tcW w:w="722" w:type="pct"/>
            <w:tcBorders>
              <w:left w:val="nil"/>
              <w:bottom w:val="single" w:sz="4" w:space="0" w:color="auto"/>
              <w:right w:val="single" w:sz="4" w:space="0" w:color="auto"/>
            </w:tcBorders>
            <w:shd w:val="clear" w:color="000000" w:fill="8DB4E2"/>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د</w:t>
            </w:r>
          </w:p>
        </w:tc>
        <w:tc>
          <w:tcPr>
            <w:tcW w:w="723" w:type="pct"/>
            <w:tcBorders>
              <w:left w:val="nil"/>
              <w:bottom w:val="single" w:sz="4" w:space="0" w:color="auto"/>
              <w:right w:val="single" w:sz="4" w:space="0" w:color="auto"/>
            </w:tcBorders>
            <w:shd w:val="clear" w:color="000000" w:fill="8DB4E2"/>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ه</w:t>
            </w:r>
          </w:p>
        </w:tc>
        <w:tc>
          <w:tcPr>
            <w:tcW w:w="903" w:type="pct"/>
            <w:tcBorders>
              <w:left w:val="nil"/>
              <w:bottom w:val="single" w:sz="4" w:space="0" w:color="auto"/>
              <w:right w:val="single" w:sz="4" w:space="0" w:color="auto"/>
            </w:tcBorders>
            <w:shd w:val="clear" w:color="000000" w:fill="8DB4E2"/>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و</w:t>
            </w:r>
          </w:p>
        </w:tc>
        <w:tc>
          <w:tcPr>
            <w:tcW w:w="661" w:type="pct"/>
            <w:tcBorders>
              <w:left w:val="nil"/>
              <w:bottom w:val="single" w:sz="4" w:space="0" w:color="auto"/>
              <w:right w:val="single" w:sz="4" w:space="0" w:color="auto"/>
            </w:tcBorders>
            <w:shd w:val="clear" w:color="000000" w:fill="8DB4E2"/>
          </w:tcPr>
          <w:p w:rsidR="00B850DD" w:rsidRPr="00B42645" w:rsidRDefault="00B850DD" w:rsidP="00B850DD">
            <w:pPr>
              <w:keepNext/>
              <w:bidi/>
              <w:jc w:val="center"/>
              <w:rPr>
                <w:rFonts w:ascii="Arabic Typesetting" w:hAnsi="Arabic Typesetting" w:cs="Arabic Typesetting"/>
                <w:b/>
                <w:bCs/>
                <w:color w:val="000000"/>
                <w:sz w:val="28"/>
                <w:szCs w:val="28"/>
                <w:rtl/>
              </w:rPr>
            </w:pPr>
            <w:r w:rsidRPr="00B42645">
              <w:rPr>
                <w:rFonts w:ascii="Arabic Typesetting" w:hAnsi="Arabic Typesetting" w:cs="Arabic Typesetting"/>
                <w:b/>
                <w:bCs/>
                <w:color w:val="000000"/>
                <w:sz w:val="28"/>
                <w:szCs w:val="28"/>
                <w:rtl/>
              </w:rPr>
              <w:t>ز</w:t>
            </w:r>
          </w:p>
        </w:tc>
      </w:tr>
      <w:tr w:rsidR="00B850DD" w:rsidRPr="00B42645" w:rsidTr="00B850DD">
        <w:trPr>
          <w:cantSplit/>
          <w:trHeight w:val="2608"/>
        </w:trPr>
        <w:tc>
          <w:tcPr>
            <w:tcW w:w="865" w:type="pct"/>
            <w:tcBorders>
              <w:top w:val="single" w:sz="4" w:space="0" w:color="auto"/>
              <w:left w:val="single" w:sz="4" w:space="0" w:color="auto"/>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sidRPr="0084188F">
              <w:rPr>
                <w:rFonts w:ascii="Arabic Typesetting" w:hAnsi="Arabic Typesetting" w:cs="Arabic Typesetting" w:hint="cs"/>
                <w:color w:val="000000"/>
                <w:sz w:val="28"/>
                <w:szCs w:val="28"/>
                <w:rtl/>
              </w:rPr>
              <w:t>الإيرادات المحصلة من تأجير الويبو لأماكن لكيانات أخرى**</w:t>
            </w:r>
          </w:p>
        </w:tc>
        <w:tc>
          <w:tcPr>
            <w:tcW w:w="548"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000 195</w:t>
            </w:r>
          </w:p>
        </w:tc>
        <w:tc>
          <w:tcPr>
            <w:tcW w:w="578"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000 195</w:t>
            </w:r>
          </w:p>
        </w:tc>
        <w:tc>
          <w:tcPr>
            <w:tcW w:w="722"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tl/>
              </w:rPr>
            </w:pPr>
            <w:r w:rsidRPr="0084188F">
              <w:rPr>
                <w:rFonts w:ascii="Arabic Typesetting" w:hAnsi="Arabic Typesetting" w:cs="Arabic Typesetting" w:hint="cs"/>
                <w:color w:val="000000"/>
                <w:sz w:val="28"/>
                <w:szCs w:val="28"/>
                <w:rtl/>
              </w:rPr>
              <w:t xml:space="preserve">المركز الدولي </w:t>
            </w:r>
            <w:r>
              <w:rPr>
                <w:rFonts w:ascii="Arabic Typesetting" w:hAnsi="Arabic Typesetting" w:cs="Arabic Typesetting" w:hint="cs"/>
                <w:color w:val="000000"/>
                <w:sz w:val="28"/>
                <w:szCs w:val="28"/>
                <w:rtl/>
              </w:rPr>
              <w:t>للحوسبة</w:t>
            </w:r>
            <w:r w:rsidRPr="0084188F">
              <w:rPr>
                <w:rFonts w:ascii="Arabic Typesetting" w:hAnsi="Arabic Typesetting" w:cs="Arabic Typesetting" w:hint="cs"/>
                <w:color w:val="000000"/>
                <w:sz w:val="28"/>
                <w:szCs w:val="28"/>
                <w:rtl/>
              </w:rPr>
              <w:t>: 766 124</w:t>
            </w:r>
          </w:p>
          <w:p w:rsidR="00B850DD" w:rsidRPr="0084188F" w:rsidRDefault="00B850DD" w:rsidP="00B850DD">
            <w:pPr>
              <w:bidi/>
              <w:rPr>
                <w:rFonts w:ascii="Arabic Typesetting" w:hAnsi="Arabic Typesetting" w:cs="Arabic Typesetting"/>
                <w:color w:val="000000"/>
                <w:sz w:val="28"/>
                <w:szCs w:val="28"/>
                <w:rtl/>
              </w:rPr>
            </w:pPr>
            <w:r w:rsidRPr="0084188F">
              <w:rPr>
                <w:rFonts w:ascii="Arabic Typesetting" w:hAnsi="Arabic Typesetting" w:cs="Arabic Typesetting" w:hint="cs"/>
                <w:color w:val="000000"/>
                <w:sz w:val="28"/>
                <w:szCs w:val="28"/>
                <w:rtl/>
              </w:rPr>
              <w:t xml:space="preserve">هوائية </w:t>
            </w:r>
            <w:proofErr w:type="spellStart"/>
            <w:r w:rsidRPr="0084188F">
              <w:rPr>
                <w:rFonts w:ascii="Arabic Typesetting" w:hAnsi="Arabic Typesetting" w:cs="Arabic Typesetting" w:hint="cs"/>
                <w:color w:val="000000"/>
                <w:sz w:val="28"/>
                <w:szCs w:val="28"/>
                <w:rtl/>
              </w:rPr>
              <w:t>سويسكوم</w:t>
            </w:r>
            <w:proofErr w:type="spellEnd"/>
            <w:r w:rsidRPr="0084188F">
              <w:rPr>
                <w:rFonts w:ascii="Arabic Typesetting" w:hAnsi="Arabic Typesetting" w:cs="Arabic Typesetting" w:hint="cs"/>
                <w:color w:val="000000"/>
                <w:sz w:val="28"/>
                <w:szCs w:val="28"/>
                <w:rtl/>
              </w:rPr>
              <w:t>: 500 17</w:t>
            </w:r>
          </w:p>
          <w:p w:rsidR="00B850DD" w:rsidRPr="0084188F" w:rsidRDefault="00B850DD" w:rsidP="00B850DD">
            <w:pPr>
              <w:bidi/>
              <w:rPr>
                <w:rFonts w:ascii="Arabic Typesetting" w:hAnsi="Arabic Typesetting" w:cs="Arabic Typesetting"/>
                <w:color w:val="000000"/>
                <w:sz w:val="28"/>
                <w:szCs w:val="28"/>
                <w:rtl/>
              </w:rPr>
            </w:pPr>
            <w:r w:rsidRPr="0084188F">
              <w:rPr>
                <w:rFonts w:ascii="Arabic Typesetting" w:hAnsi="Arabic Typesetting" w:cs="Arabic Typesetting" w:hint="cs"/>
                <w:color w:val="000000"/>
                <w:sz w:val="28"/>
                <w:szCs w:val="28"/>
                <w:rtl/>
              </w:rPr>
              <w:t>هوائية أورانج: 500 32</w:t>
            </w:r>
          </w:p>
          <w:p w:rsidR="00B850DD" w:rsidRPr="0084188F" w:rsidRDefault="00B850DD" w:rsidP="00B850DD">
            <w:pPr>
              <w:bidi/>
              <w:rPr>
                <w:rFonts w:ascii="Arabic Typesetting" w:hAnsi="Arabic Typesetting" w:cs="Arabic Typesetting"/>
                <w:color w:val="000000"/>
                <w:sz w:val="28"/>
                <w:szCs w:val="28"/>
                <w:rtl/>
              </w:rPr>
            </w:pPr>
            <w:r w:rsidRPr="0084188F">
              <w:rPr>
                <w:rFonts w:ascii="Arabic Typesetting" w:hAnsi="Arabic Typesetting" w:cs="Arabic Typesetting"/>
                <w:color w:val="000000"/>
                <w:sz w:val="28"/>
                <w:szCs w:val="28"/>
              </w:rPr>
              <w:t>AMFIE</w:t>
            </w:r>
            <w:r w:rsidRPr="0084188F">
              <w:rPr>
                <w:rFonts w:ascii="Arabic Typesetting" w:hAnsi="Arabic Typesetting" w:cs="Arabic Typesetting" w:hint="cs"/>
                <w:color w:val="000000"/>
                <w:sz w:val="28"/>
                <w:szCs w:val="28"/>
                <w:rtl/>
              </w:rPr>
              <w:t>: 9504 (كاميرا مكتب عادية واحدة)</w:t>
            </w:r>
          </w:p>
          <w:p w:rsidR="00B850DD" w:rsidRPr="0084188F"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كوة</w:t>
            </w:r>
            <w:r w:rsidRPr="0084188F">
              <w:rPr>
                <w:rFonts w:ascii="Arabic Typesetting" w:hAnsi="Arabic Typesetting" w:cs="Arabic Typesetting" w:hint="cs"/>
                <w:color w:val="000000"/>
                <w:sz w:val="28"/>
                <w:szCs w:val="28"/>
                <w:rtl/>
              </w:rPr>
              <w:t xml:space="preserve"> لمصرف </w:t>
            </w:r>
            <w:r w:rsidRPr="0084188F">
              <w:rPr>
                <w:rFonts w:ascii="Arabic Typesetting" w:hAnsi="Arabic Typesetting" w:cs="Arabic Typesetting"/>
                <w:color w:val="000000"/>
                <w:sz w:val="28"/>
                <w:szCs w:val="28"/>
              </w:rPr>
              <w:t>UBS</w:t>
            </w:r>
            <w:r w:rsidRPr="0084188F">
              <w:rPr>
                <w:rFonts w:ascii="Arabic Typesetting" w:hAnsi="Arabic Typesetting" w:cs="Arabic Typesetting" w:hint="cs"/>
                <w:color w:val="000000"/>
                <w:sz w:val="28"/>
                <w:szCs w:val="28"/>
                <w:rtl/>
              </w:rPr>
              <w:t xml:space="preserve"> في مبنى </w:t>
            </w:r>
            <w:r w:rsidRPr="0084188F">
              <w:rPr>
                <w:rFonts w:ascii="Arabic Typesetting" w:hAnsi="Arabic Typesetting" w:cs="Arabic Typesetting"/>
                <w:color w:val="000000"/>
                <w:sz w:val="28"/>
                <w:szCs w:val="28"/>
              </w:rPr>
              <w:t>GBI</w:t>
            </w:r>
            <w:r w:rsidRPr="0084188F">
              <w:rPr>
                <w:rFonts w:ascii="Arabic Typesetting" w:hAnsi="Arabic Typesetting" w:cs="Arabic Typesetting" w:hint="cs"/>
                <w:color w:val="000000"/>
                <w:sz w:val="28"/>
                <w:szCs w:val="28"/>
                <w:rtl/>
              </w:rPr>
              <w:t>: 9298</w:t>
            </w:r>
          </w:p>
        </w:tc>
        <w:tc>
          <w:tcPr>
            <w:tcW w:w="723"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tl/>
              </w:rPr>
            </w:pPr>
            <w:r w:rsidRPr="0084188F">
              <w:rPr>
                <w:rFonts w:ascii="Arabic Typesetting" w:hAnsi="Arabic Typesetting" w:cs="Arabic Typesetting" w:hint="cs"/>
                <w:color w:val="000000"/>
                <w:sz w:val="28"/>
                <w:szCs w:val="28"/>
                <w:rtl/>
              </w:rPr>
              <w:t xml:space="preserve">المركز الدولي </w:t>
            </w:r>
            <w:r>
              <w:rPr>
                <w:rFonts w:ascii="Arabic Typesetting" w:hAnsi="Arabic Typesetting" w:cs="Arabic Typesetting" w:hint="cs"/>
                <w:color w:val="000000"/>
                <w:sz w:val="28"/>
                <w:szCs w:val="28"/>
                <w:rtl/>
              </w:rPr>
              <w:t>للحوسبة</w:t>
            </w:r>
            <w:r w:rsidRPr="0084188F">
              <w:rPr>
                <w:rFonts w:ascii="Arabic Typesetting" w:hAnsi="Arabic Typesetting" w:cs="Arabic Typesetting" w:hint="cs"/>
                <w:color w:val="000000"/>
                <w:sz w:val="28"/>
                <w:szCs w:val="28"/>
                <w:rtl/>
              </w:rPr>
              <w:t>: 766 124</w:t>
            </w:r>
          </w:p>
          <w:p w:rsidR="00B850DD" w:rsidRPr="0084188F" w:rsidRDefault="00B850DD" w:rsidP="00B850DD">
            <w:pPr>
              <w:bidi/>
              <w:rPr>
                <w:rFonts w:ascii="Arabic Typesetting" w:hAnsi="Arabic Typesetting" w:cs="Arabic Typesetting"/>
                <w:color w:val="000000"/>
                <w:sz w:val="28"/>
                <w:szCs w:val="28"/>
                <w:rtl/>
              </w:rPr>
            </w:pPr>
            <w:r w:rsidRPr="0084188F">
              <w:rPr>
                <w:rFonts w:ascii="Arabic Typesetting" w:hAnsi="Arabic Typesetting" w:cs="Arabic Typesetting" w:hint="cs"/>
                <w:color w:val="000000"/>
                <w:sz w:val="28"/>
                <w:szCs w:val="28"/>
                <w:rtl/>
              </w:rPr>
              <w:t xml:space="preserve">هوائية </w:t>
            </w:r>
            <w:proofErr w:type="spellStart"/>
            <w:r w:rsidRPr="0084188F">
              <w:rPr>
                <w:rFonts w:ascii="Arabic Typesetting" w:hAnsi="Arabic Typesetting" w:cs="Arabic Typesetting" w:hint="cs"/>
                <w:color w:val="000000"/>
                <w:sz w:val="28"/>
                <w:szCs w:val="28"/>
                <w:rtl/>
              </w:rPr>
              <w:t>سويسكوم</w:t>
            </w:r>
            <w:proofErr w:type="spellEnd"/>
            <w:r w:rsidRPr="0084188F">
              <w:rPr>
                <w:rFonts w:ascii="Arabic Typesetting" w:hAnsi="Arabic Typesetting" w:cs="Arabic Typesetting" w:hint="cs"/>
                <w:color w:val="000000"/>
                <w:sz w:val="28"/>
                <w:szCs w:val="28"/>
                <w:rtl/>
              </w:rPr>
              <w:t>: 500 17</w:t>
            </w:r>
          </w:p>
          <w:p w:rsidR="00B850DD" w:rsidRPr="0084188F" w:rsidRDefault="00B850DD" w:rsidP="00B850DD">
            <w:pPr>
              <w:bidi/>
              <w:rPr>
                <w:rFonts w:ascii="Arabic Typesetting" w:hAnsi="Arabic Typesetting" w:cs="Arabic Typesetting"/>
                <w:color w:val="000000"/>
                <w:sz w:val="28"/>
                <w:szCs w:val="28"/>
                <w:rtl/>
              </w:rPr>
            </w:pPr>
            <w:r w:rsidRPr="0084188F">
              <w:rPr>
                <w:rFonts w:ascii="Arabic Typesetting" w:hAnsi="Arabic Typesetting" w:cs="Arabic Typesetting" w:hint="cs"/>
                <w:color w:val="000000"/>
                <w:sz w:val="28"/>
                <w:szCs w:val="28"/>
                <w:rtl/>
              </w:rPr>
              <w:t>هوائية أورانج: 500 32</w:t>
            </w:r>
          </w:p>
          <w:p w:rsidR="00B850DD" w:rsidRPr="0084188F" w:rsidRDefault="00B850DD" w:rsidP="00B850DD">
            <w:pPr>
              <w:bidi/>
              <w:rPr>
                <w:rFonts w:ascii="Arabic Typesetting" w:hAnsi="Arabic Typesetting" w:cs="Arabic Typesetting"/>
                <w:color w:val="000000"/>
                <w:sz w:val="28"/>
                <w:szCs w:val="28"/>
                <w:rtl/>
              </w:rPr>
            </w:pPr>
            <w:r w:rsidRPr="0084188F">
              <w:rPr>
                <w:rFonts w:ascii="Arabic Typesetting" w:hAnsi="Arabic Typesetting" w:cs="Arabic Typesetting"/>
                <w:color w:val="000000"/>
                <w:sz w:val="28"/>
                <w:szCs w:val="28"/>
              </w:rPr>
              <w:t>AMFIE</w:t>
            </w:r>
            <w:r w:rsidRPr="0084188F">
              <w:rPr>
                <w:rFonts w:ascii="Arabic Typesetting" w:hAnsi="Arabic Typesetting" w:cs="Arabic Typesetting" w:hint="cs"/>
                <w:color w:val="000000"/>
                <w:sz w:val="28"/>
                <w:szCs w:val="28"/>
                <w:rtl/>
              </w:rPr>
              <w:t>: 9504 (كاميرا مكتب عادية واحدة)</w:t>
            </w:r>
          </w:p>
          <w:p w:rsidR="00B850DD" w:rsidRPr="0084188F" w:rsidRDefault="00B850DD" w:rsidP="00B850DD">
            <w:pPr>
              <w:bidi/>
              <w:rPr>
                <w:rFonts w:ascii="Arabic Typesetting" w:hAnsi="Arabic Typesetting" w:cs="Arabic Typesetting"/>
                <w:color w:val="000000"/>
                <w:sz w:val="28"/>
                <w:szCs w:val="28"/>
              </w:rPr>
            </w:pPr>
            <w:r w:rsidRPr="0084188F">
              <w:rPr>
                <w:rFonts w:ascii="Arabic Typesetting" w:hAnsi="Arabic Typesetting" w:cs="Arabic Typesetting" w:hint="cs"/>
                <w:color w:val="000000"/>
                <w:sz w:val="28"/>
                <w:szCs w:val="28"/>
                <w:rtl/>
              </w:rPr>
              <w:t xml:space="preserve">شباك لمصرف </w:t>
            </w:r>
            <w:r w:rsidRPr="0084188F">
              <w:rPr>
                <w:rFonts w:ascii="Arabic Typesetting" w:hAnsi="Arabic Typesetting" w:cs="Arabic Typesetting"/>
                <w:color w:val="000000"/>
                <w:sz w:val="28"/>
                <w:szCs w:val="28"/>
              </w:rPr>
              <w:t>UBS</w:t>
            </w:r>
            <w:r w:rsidRPr="0084188F">
              <w:rPr>
                <w:rFonts w:ascii="Arabic Typesetting" w:hAnsi="Arabic Typesetting" w:cs="Arabic Typesetting" w:hint="cs"/>
                <w:color w:val="000000"/>
                <w:sz w:val="28"/>
                <w:szCs w:val="28"/>
                <w:rtl/>
              </w:rPr>
              <w:t xml:space="preserve"> في مبنى </w:t>
            </w:r>
            <w:r w:rsidRPr="0084188F">
              <w:rPr>
                <w:rFonts w:ascii="Arabic Typesetting" w:hAnsi="Arabic Typesetting" w:cs="Arabic Typesetting"/>
                <w:color w:val="000000"/>
                <w:sz w:val="28"/>
                <w:szCs w:val="28"/>
              </w:rPr>
              <w:t>GBI</w:t>
            </w:r>
            <w:r w:rsidRPr="0084188F">
              <w:rPr>
                <w:rFonts w:ascii="Arabic Typesetting" w:hAnsi="Arabic Typesetting" w:cs="Arabic Typesetting" w:hint="cs"/>
                <w:color w:val="000000"/>
                <w:sz w:val="28"/>
                <w:szCs w:val="28"/>
                <w:rtl/>
              </w:rPr>
              <w:t>: 9298</w:t>
            </w:r>
          </w:p>
        </w:tc>
        <w:tc>
          <w:tcPr>
            <w:tcW w:w="903"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p>
        </w:tc>
        <w:tc>
          <w:tcPr>
            <w:tcW w:w="661"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sidRPr="0084188F">
              <w:rPr>
                <w:rFonts w:ascii="Arabic Typesetting" w:hAnsi="Arabic Typesetting" w:cs="Arabic Typesetting"/>
                <w:color w:val="000000"/>
                <w:sz w:val="28"/>
                <w:szCs w:val="28"/>
                <w:rtl/>
              </w:rPr>
              <w:t>شعبة البنى التحتية للمباني</w:t>
            </w:r>
          </w:p>
        </w:tc>
      </w:tr>
      <w:tr w:rsidR="00B850DD" w:rsidRPr="00B42645" w:rsidTr="00B850DD">
        <w:trPr>
          <w:cantSplit/>
          <w:trHeight w:val="2882"/>
        </w:trPr>
        <w:tc>
          <w:tcPr>
            <w:tcW w:w="865" w:type="pct"/>
            <w:tcBorders>
              <w:top w:val="single" w:sz="4" w:space="0" w:color="auto"/>
              <w:left w:val="single" w:sz="4" w:space="0" w:color="auto"/>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sidRPr="0084188F">
              <w:rPr>
                <w:rFonts w:ascii="Arabic Typesetting" w:hAnsi="Arabic Typesetting" w:cs="Arabic Typesetting" w:hint="cs"/>
                <w:color w:val="000000"/>
                <w:sz w:val="28"/>
                <w:szCs w:val="28"/>
                <w:rtl/>
              </w:rPr>
              <w:t>الإيرادات المحصلة من مزود الكهرباء الذي ردّ الفارق بين المدفوعات في عامي 2013 و2014 نظراً إلى تحقيق هدف التوفير السنوي بفضل عدة تدابير متخذة لتوفير استهلاك الكهرباء؛ ويندرج ذلك في إطار الحوافز على مواصلة تقليص استهلاك الكهرباء</w:t>
            </w:r>
          </w:p>
        </w:tc>
        <w:tc>
          <w:tcPr>
            <w:tcW w:w="548"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Pr>
                <w:rFonts w:ascii="Arabic Typesetting" w:hAnsi="Arabic Typesetting" w:cs="Arabic Typesetting" w:hint="cs"/>
                <w:color w:val="000000"/>
                <w:sz w:val="28"/>
                <w:szCs w:val="28"/>
                <w:rtl/>
              </w:rPr>
              <w:t>300 21</w:t>
            </w:r>
          </w:p>
        </w:tc>
        <w:tc>
          <w:tcPr>
            <w:tcW w:w="578"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sidRPr="0084188F">
              <w:rPr>
                <w:rFonts w:ascii="Arabic Typesetting" w:hAnsi="Arabic Typesetting" w:cs="Arabic Typesetting" w:hint="cs"/>
                <w:color w:val="000000"/>
                <w:sz w:val="28"/>
                <w:szCs w:val="28"/>
                <w:rtl/>
              </w:rPr>
              <w:t>غير متاحة</w:t>
            </w:r>
          </w:p>
        </w:tc>
        <w:tc>
          <w:tcPr>
            <w:tcW w:w="722"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sidRPr="0084188F">
              <w:rPr>
                <w:rFonts w:ascii="Arabic Typesetting" w:hAnsi="Arabic Typesetting" w:cs="Arabic Typesetting" w:hint="cs"/>
                <w:color w:val="000000"/>
                <w:sz w:val="28"/>
                <w:szCs w:val="28"/>
                <w:rtl/>
              </w:rPr>
              <w:t>دفعة واحدة ردها مزود الكهرباء في نهاية العام</w:t>
            </w:r>
          </w:p>
        </w:tc>
        <w:tc>
          <w:tcPr>
            <w:tcW w:w="723"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sidRPr="0084188F">
              <w:rPr>
                <w:rFonts w:ascii="Arabic Typesetting" w:hAnsi="Arabic Typesetting" w:cs="Arabic Typesetting" w:hint="cs"/>
                <w:color w:val="000000"/>
                <w:sz w:val="28"/>
                <w:szCs w:val="28"/>
                <w:rtl/>
              </w:rPr>
              <w:t>غير متاحة</w:t>
            </w:r>
          </w:p>
        </w:tc>
        <w:tc>
          <w:tcPr>
            <w:tcW w:w="903"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bidi/>
              <w:rPr>
                <w:rFonts w:ascii="Arabic Typesetting" w:hAnsi="Arabic Typesetting" w:cs="Arabic Typesetting"/>
                <w:color w:val="000000"/>
                <w:sz w:val="28"/>
                <w:szCs w:val="28"/>
              </w:rPr>
            </w:pPr>
            <w:r w:rsidRPr="0084188F">
              <w:rPr>
                <w:rFonts w:ascii="Arabic Typesetting" w:hAnsi="Arabic Typesetting" w:cs="Arabic Typesetting" w:hint="cs"/>
                <w:color w:val="000000"/>
                <w:sz w:val="28"/>
                <w:szCs w:val="28"/>
                <w:rtl/>
              </w:rPr>
              <w:t>لا تنطبق على عام 2015 نظراً إلى أن مزود الكهرباء الجديد الذي رسي عليه العطاء الذي أصدرته وكالات الأمم المتحدة في جنيف لا يوفر هذا النوع من الحوافز.</w:t>
            </w:r>
          </w:p>
        </w:tc>
        <w:tc>
          <w:tcPr>
            <w:tcW w:w="661" w:type="pct"/>
            <w:tcBorders>
              <w:top w:val="single" w:sz="4" w:space="0" w:color="auto"/>
              <w:left w:val="nil"/>
              <w:bottom w:val="single" w:sz="4" w:space="0" w:color="auto"/>
              <w:right w:val="single" w:sz="4" w:space="0" w:color="auto"/>
            </w:tcBorders>
            <w:shd w:val="clear" w:color="auto" w:fill="auto"/>
            <w:hideMark/>
          </w:tcPr>
          <w:p w:rsidR="00B850DD" w:rsidRPr="0084188F" w:rsidRDefault="00B850DD" w:rsidP="00B850DD">
            <w:pPr>
              <w:pStyle w:val="NormalParaAR"/>
              <w:spacing w:after="0"/>
              <w:rPr>
                <w:color w:val="000000"/>
                <w:sz w:val="28"/>
                <w:szCs w:val="28"/>
              </w:rPr>
            </w:pPr>
            <w:r w:rsidRPr="0084188F">
              <w:rPr>
                <w:color w:val="000000"/>
                <w:sz w:val="28"/>
                <w:szCs w:val="28"/>
                <w:rtl/>
              </w:rPr>
              <w:t>شعبة البنى التحتية للمباني</w:t>
            </w:r>
          </w:p>
        </w:tc>
      </w:tr>
    </w:tbl>
    <w:p w:rsidR="00B850DD" w:rsidRDefault="00B850DD" w:rsidP="00B850DD">
      <w:pPr>
        <w:bidi/>
        <w:spacing w:before="120"/>
        <w:rPr>
          <w:rFonts w:ascii="Arabic Typesetting" w:hAnsi="Arabic Typesetting" w:cs="Arabic Typesetting"/>
          <w:i/>
          <w:iCs/>
          <w:sz w:val="28"/>
          <w:szCs w:val="28"/>
          <w:rtl/>
        </w:rPr>
      </w:pPr>
      <w:r w:rsidRPr="00360E76">
        <w:rPr>
          <w:rFonts w:ascii="Arabic Typesetting" w:hAnsi="Arabic Typesetting" w:cs="Arabic Typesetting"/>
          <w:i/>
          <w:iCs/>
          <w:sz w:val="28"/>
          <w:szCs w:val="28"/>
          <w:rtl/>
        </w:rPr>
        <w:t xml:space="preserve">* كما ورد في الوثيقة </w:t>
      </w:r>
      <w:r w:rsidRPr="00360E76">
        <w:rPr>
          <w:rFonts w:ascii="Arabic Typesetting" w:hAnsi="Arabic Typesetting" w:cs="Arabic Typesetting"/>
          <w:i/>
          <w:iCs/>
          <w:sz w:val="28"/>
          <w:szCs w:val="28"/>
        </w:rPr>
        <w:t>WO/PBC/23/COST</w:t>
      </w:r>
      <w:r>
        <w:rPr>
          <w:rFonts w:ascii="Arabic Typesetting" w:hAnsi="Arabic Typesetting" w:cs="Arabic Typesetting"/>
          <w:i/>
          <w:iCs/>
          <w:sz w:val="28"/>
          <w:szCs w:val="28"/>
        </w:rPr>
        <w:t> </w:t>
      </w:r>
      <w:r w:rsidRPr="00360E76">
        <w:rPr>
          <w:rFonts w:ascii="Arabic Typesetting" w:hAnsi="Arabic Typesetting" w:cs="Arabic Typesetting"/>
          <w:i/>
          <w:iCs/>
          <w:sz w:val="28"/>
          <w:szCs w:val="28"/>
        </w:rPr>
        <w:t>EFFICIENCIES</w:t>
      </w:r>
      <w:r>
        <w:rPr>
          <w:rFonts w:ascii="Arabic Typesetting" w:hAnsi="Arabic Typesetting" w:cs="Arabic Typesetting"/>
          <w:i/>
          <w:iCs/>
          <w:sz w:val="28"/>
          <w:szCs w:val="28"/>
        </w:rPr>
        <w:t> </w:t>
      </w:r>
      <w:r w:rsidRPr="00360E76">
        <w:rPr>
          <w:rFonts w:ascii="Arabic Typesetting" w:hAnsi="Arabic Typesetting" w:cs="Arabic Typesetting"/>
          <w:i/>
          <w:iCs/>
          <w:sz w:val="28"/>
          <w:szCs w:val="28"/>
        </w:rPr>
        <w:t>REALIZED</w:t>
      </w:r>
      <w:r>
        <w:rPr>
          <w:rFonts w:ascii="Arabic Typesetting" w:hAnsi="Arabic Typesetting" w:cs="Arabic Typesetting"/>
          <w:i/>
          <w:iCs/>
          <w:sz w:val="28"/>
          <w:szCs w:val="28"/>
        </w:rPr>
        <w:t> </w:t>
      </w:r>
      <w:r w:rsidRPr="00360E76">
        <w:rPr>
          <w:rFonts w:ascii="Arabic Typesetting" w:hAnsi="Arabic Typesetting" w:cs="Arabic Typesetting"/>
          <w:i/>
          <w:iCs/>
          <w:sz w:val="28"/>
          <w:szCs w:val="28"/>
        </w:rPr>
        <w:t>IN</w:t>
      </w:r>
      <w:r>
        <w:rPr>
          <w:rFonts w:ascii="Arabic Typesetting" w:hAnsi="Arabic Typesetting" w:cs="Arabic Typesetting"/>
          <w:i/>
          <w:iCs/>
          <w:sz w:val="28"/>
          <w:szCs w:val="28"/>
        </w:rPr>
        <w:t> </w:t>
      </w:r>
      <w:r w:rsidRPr="00360E76">
        <w:rPr>
          <w:rFonts w:ascii="Arabic Typesetting" w:hAnsi="Arabic Typesetting" w:cs="Arabic Typesetting"/>
          <w:i/>
          <w:iCs/>
          <w:sz w:val="28"/>
          <w:szCs w:val="28"/>
        </w:rPr>
        <w:t>2014</w:t>
      </w:r>
      <w:r w:rsidRPr="00360E76">
        <w:rPr>
          <w:rFonts w:ascii="Arabic Typesetting" w:hAnsi="Arabic Typesetting" w:cs="Arabic Typesetting"/>
          <w:i/>
          <w:iCs/>
          <w:sz w:val="28"/>
          <w:szCs w:val="28"/>
          <w:rtl/>
        </w:rPr>
        <w:t xml:space="preserve"> ما لم يُذكر خلاف ذلك</w:t>
      </w:r>
    </w:p>
    <w:p w:rsidR="00B31868" w:rsidRPr="00B31868" w:rsidRDefault="00B850DD" w:rsidP="002E5703">
      <w:pPr>
        <w:bidi/>
        <w:rPr>
          <w:rFonts w:ascii="Arabic Typesetting" w:hAnsi="Arabic Typesetting" w:cs="Arabic Typesetting"/>
          <w:sz w:val="34"/>
          <w:szCs w:val="34"/>
          <w:rtl/>
          <w:lang w:val="fr-CH"/>
        </w:rPr>
      </w:pPr>
      <w:r>
        <w:rPr>
          <w:rFonts w:ascii="Arabic Typesetting" w:hAnsi="Arabic Typesetting" w:cs="Arabic Typesetting" w:hint="cs"/>
          <w:i/>
          <w:iCs/>
          <w:sz w:val="28"/>
          <w:szCs w:val="28"/>
          <w:rtl/>
        </w:rPr>
        <w:t>** ترد مبالغ الإيرادات السنوية للمركز الدولي للحوسبة كمبالغ إجمالية دون طرح تكاليف أعمال التحسين المنفذة في الثنائية 2014/15</w:t>
      </w:r>
      <w:r w:rsidR="00647020">
        <w:rPr>
          <w:rFonts w:ascii="Arabic Typesetting" w:hAnsi="Arabic Typesetting" w:cs="Arabic Typesetting" w:hint="cs"/>
          <w:i/>
          <w:iCs/>
          <w:sz w:val="28"/>
          <w:szCs w:val="28"/>
          <w:rtl/>
        </w:rPr>
        <w:t>.</w:t>
      </w:r>
    </w:p>
    <w:p w:rsidR="00B31868" w:rsidRDefault="00B850DD" w:rsidP="00050F38">
      <w:pPr>
        <w:pStyle w:val="Heading1AR"/>
        <w:pageBreakBefore/>
        <w:spacing w:after="240"/>
        <w:rPr>
          <w:rtl/>
        </w:rPr>
      </w:pPr>
      <w:bookmarkStart w:id="15" w:name="_Toc450635397"/>
      <w:bookmarkStart w:id="16" w:name="_Toc455393362"/>
      <w:r>
        <w:rPr>
          <w:rFonts w:hint="cs"/>
          <w:rtl/>
        </w:rPr>
        <w:lastRenderedPageBreak/>
        <w:t>سادسا</w:t>
      </w:r>
      <w:r w:rsidR="00B31868" w:rsidRPr="00B31868">
        <w:rPr>
          <w:rFonts w:hint="cs"/>
          <w:rtl/>
        </w:rPr>
        <w:tab/>
      </w:r>
      <w:r w:rsidR="00050F38" w:rsidRPr="00050F38">
        <w:rPr>
          <w:rtl/>
        </w:rPr>
        <w:t>إنجازات الثنائية 2014/15 بحسب الهدف الاستراتيجي</w:t>
      </w:r>
      <w:bookmarkEnd w:id="15"/>
      <w:bookmarkEnd w:id="16"/>
    </w:p>
    <w:p w:rsidR="00B31868" w:rsidRDefault="00B31868" w:rsidP="00050F38">
      <w:pPr>
        <w:pStyle w:val="Heading2AR"/>
        <w:pageBreakBefore w:val="0"/>
        <w:rPr>
          <w:rtl/>
        </w:rPr>
      </w:pPr>
      <w:bookmarkStart w:id="17" w:name="_Toc393817917"/>
      <w:bookmarkStart w:id="18" w:name="_Toc450635398"/>
      <w:bookmarkStart w:id="19" w:name="_Toc455393363"/>
      <w:r w:rsidRPr="00A44E49">
        <w:rPr>
          <w:rFonts w:hint="cs"/>
          <w:rtl/>
        </w:rPr>
        <w:t>الهدف الاستراتيجي الأول</w:t>
      </w:r>
      <w:bookmarkEnd w:id="17"/>
      <w:bookmarkEnd w:id="18"/>
      <w:bookmarkEnd w:id="19"/>
    </w:p>
    <w:p w:rsidR="00050F38" w:rsidRDefault="00050F38" w:rsidP="00050F38">
      <w:pPr>
        <w:tabs>
          <w:tab w:val="left" w:pos="1132"/>
        </w:tabs>
        <w:bidi/>
        <w:spacing w:after="240" w:line="360" w:lineRule="exact"/>
        <w:jc w:val="center"/>
        <w:rPr>
          <w:rFonts w:ascii="Arabic Typesetting" w:hAnsi="Arabic Typesetting" w:cs="Arabic Typesetting"/>
          <w:b/>
          <w:bCs/>
          <w:sz w:val="36"/>
          <w:szCs w:val="36"/>
          <w:rtl/>
        </w:rPr>
      </w:pPr>
      <w:r w:rsidRPr="00316B0D">
        <w:rPr>
          <w:rFonts w:ascii="Arabic Typesetting" w:hAnsi="Arabic Typesetting" w:cs="Arabic Typesetting"/>
          <w:b/>
          <w:bCs/>
          <w:sz w:val="36"/>
          <w:szCs w:val="36"/>
          <w:rtl/>
        </w:rPr>
        <w:t>تطور متوازن لوضع القواعد والمعايير الدولية بشأن الملكية الفكرية</w:t>
      </w:r>
    </w:p>
    <w:p w:rsidR="00050F38" w:rsidRPr="002C1F06" w:rsidRDefault="00050F38" w:rsidP="00050F38">
      <w:pPr>
        <w:keepNext/>
        <w:tabs>
          <w:tab w:val="left" w:pos="1132"/>
        </w:tabs>
        <w:bidi/>
        <w:spacing w:after="240" w:line="360" w:lineRule="exact"/>
        <w:jc w:val="center"/>
        <w:rPr>
          <w:rFonts w:ascii="Arabic Typesetting" w:hAnsi="Arabic Typesetting" w:cs="Arabic Typesetting"/>
          <w:b/>
          <w:bCs/>
          <w:sz w:val="36"/>
          <w:szCs w:val="36"/>
          <w:rtl/>
        </w:rPr>
      </w:pPr>
      <w:r w:rsidRPr="002C1F06">
        <w:rPr>
          <w:rFonts w:ascii="Arabic Typesetting" w:hAnsi="Arabic Typesetting" w:cs="Arabic Typesetting" w:hint="cs"/>
          <w:b/>
          <w:bCs/>
          <w:sz w:val="36"/>
          <w:szCs w:val="36"/>
          <w:rtl/>
        </w:rPr>
        <w:t>لوحة بيانات أداء الفترة الثنائية</w:t>
      </w:r>
    </w:p>
    <w:p w:rsidR="00050F38" w:rsidRDefault="00050F38" w:rsidP="00050F38">
      <w:pPr>
        <w:tabs>
          <w:tab w:val="left" w:pos="1132"/>
        </w:tabs>
        <w:bidi/>
        <w:spacing w:after="120" w:line="340" w:lineRule="exact"/>
        <w:rPr>
          <w:rFonts w:ascii="Arabic Typesetting" w:hAnsi="Arabic Typesetting" w:cs="Arabic Typesetting"/>
          <w:b/>
          <w:bCs/>
          <w:noProof/>
          <w:sz w:val="36"/>
          <w:szCs w:val="36"/>
          <w:rtl/>
        </w:rPr>
      </w:pPr>
      <w:r w:rsidRPr="00BC57BC">
        <w:rPr>
          <w:rFonts w:ascii="Arabic Typesetting" w:hAnsi="Arabic Typesetting" w:cs="Arabic Typesetting" w:hint="cs"/>
          <w:sz w:val="34"/>
          <w:szCs w:val="34"/>
          <w:rtl/>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6F53B7" w:rsidRDefault="006F53B7" w:rsidP="006F53B7">
      <w:pPr>
        <w:tabs>
          <w:tab w:val="left" w:pos="1132"/>
        </w:tabs>
        <w:bidi/>
        <w:spacing w:after="120"/>
        <w:rPr>
          <w:rFonts w:ascii="Arabic Typesetting" w:hAnsi="Arabic Typesetting" w:cs="Arabic Typesetting"/>
          <w:b/>
          <w:bCs/>
          <w:noProof/>
          <w:sz w:val="36"/>
          <w:szCs w:val="36"/>
          <w:rtl/>
        </w:rPr>
      </w:pPr>
      <w:r>
        <w:rPr>
          <w:rFonts w:ascii="Arabic Typesetting" w:hAnsi="Arabic Typesetting" w:cs="Arabic Typesetting"/>
          <w:b/>
          <w:bCs/>
          <w:noProof/>
          <w:sz w:val="36"/>
          <w:szCs w:val="36"/>
        </w:rPr>
        <w:drawing>
          <wp:inline distT="0" distB="0" distL="0" distR="0" wp14:anchorId="29A9197B" wp14:editId="57434BFD">
            <wp:extent cx="5858668" cy="2838648"/>
            <wp:effectExtent l="0" t="0" r="889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65570" cy="2841992"/>
                    </a:xfrm>
                    <a:prstGeom prst="rect">
                      <a:avLst/>
                    </a:prstGeom>
                    <a:noFill/>
                  </pic:spPr>
                </pic:pic>
              </a:graphicData>
            </a:graphic>
          </wp:inline>
        </w:drawing>
      </w:r>
    </w:p>
    <w:tbl>
      <w:tblP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546"/>
        <w:gridCol w:w="3409"/>
        <w:gridCol w:w="1600"/>
        <w:gridCol w:w="1016"/>
      </w:tblGrid>
      <w:tr w:rsidR="00050F38" w:rsidRPr="00FE3908" w:rsidTr="00050F38">
        <w:trPr>
          <w:cantSplit/>
          <w:tblHeader/>
        </w:trPr>
        <w:tc>
          <w:tcPr>
            <w:tcW w:w="1852" w:type="pct"/>
            <w:tcBorders>
              <w:top w:val="single" w:sz="4" w:space="0" w:color="auto"/>
              <w:bottom w:val="single" w:sz="4" w:space="0" w:color="auto"/>
            </w:tcBorders>
            <w:shd w:val="clear" w:color="auto" w:fill="C6D9F1" w:themeFill="text2" w:themeFillTint="33"/>
            <w:vAlign w:val="center"/>
          </w:tcPr>
          <w:p w:rsidR="00050F38" w:rsidRPr="00FE3908" w:rsidRDefault="00050F38"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النتائج المرتقبة</w:t>
            </w:r>
          </w:p>
        </w:tc>
        <w:tc>
          <w:tcPr>
            <w:tcW w:w="1781" w:type="pct"/>
            <w:tcBorders>
              <w:top w:val="single" w:sz="4" w:space="0" w:color="auto"/>
              <w:bottom w:val="single" w:sz="4" w:space="0" w:color="auto"/>
            </w:tcBorders>
            <w:shd w:val="clear" w:color="auto" w:fill="C6D9F1" w:themeFill="text2" w:themeFillTint="33"/>
            <w:vAlign w:val="center"/>
          </w:tcPr>
          <w:p w:rsidR="00050F38" w:rsidRPr="00FE3908" w:rsidRDefault="00050F38"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836" w:type="pct"/>
            <w:tcBorders>
              <w:top w:val="single" w:sz="4" w:space="0" w:color="auto"/>
              <w:bottom w:val="single" w:sz="4" w:space="0" w:color="auto"/>
            </w:tcBorders>
            <w:shd w:val="clear" w:color="auto" w:fill="C6D9F1" w:themeFill="text2" w:themeFillTint="33"/>
            <w:vAlign w:val="center"/>
          </w:tcPr>
          <w:p w:rsidR="00050F38" w:rsidRPr="00FE3908" w:rsidRDefault="00050F38" w:rsidP="00486CE1">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531" w:type="pct"/>
            <w:tcBorders>
              <w:top w:val="single" w:sz="4" w:space="0" w:color="auto"/>
              <w:bottom w:val="single" w:sz="4" w:space="0" w:color="auto"/>
            </w:tcBorders>
            <w:shd w:val="clear" w:color="auto" w:fill="C6D9F1" w:themeFill="text2" w:themeFillTint="33"/>
            <w:vAlign w:val="center"/>
          </w:tcPr>
          <w:p w:rsidR="00050F38" w:rsidRPr="00FE3908" w:rsidRDefault="00050F38"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050F38" w:rsidRPr="00FE3908" w:rsidTr="00050F38">
        <w:trPr>
          <w:cantSplit/>
        </w:trPr>
        <w:tc>
          <w:tcPr>
            <w:tcW w:w="1852" w:type="pct"/>
            <w:vMerge w:val="restart"/>
            <w:tcBorders>
              <w:top w:val="single" w:sz="4" w:space="0" w:color="auto"/>
            </w:tcBorders>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Pr>
                <w:rFonts w:ascii="Arabic Typesetting" w:hAnsi="Arabic Typesetting" w:cs="Arabic Typesetting" w:hint="cs"/>
                <w:color w:val="000000"/>
                <w:sz w:val="30"/>
                <w:szCs w:val="30"/>
                <w:rtl/>
                <w:lang w:bidi="ar-EG"/>
              </w:rPr>
              <w:t xml:space="preserve">ه1.1 </w:t>
            </w:r>
            <w:r w:rsidRPr="00C20CF6">
              <w:rPr>
                <w:rFonts w:ascii="Arabic Typesetting" w:hAnsi="Arabic Typesetting" w:cs="Arabic Typesetting"/>
                <w:color w:val="000000"/>
                <w:sz w:val="30"/>
                <w:szCs w:val="30"/>
                <w:rtl/>
                <w:lang w:bidi="ar-EG"/>
              </w:rPr>
              <w:t>تعاون معزز بين الدول الأعضاء في تطوير أطر معيارية دولية متوازنة للملكية الفكرية والاتفاق على محاور محدّدة وعلى صكوك دولية بشأنها</w:t>
            </w:r>
          </w:p>
        </w:tc>
        <w:tc>
          <w:tcPr>
            <w:tcW w:w="1781" w:type="pct"/>
            <w:tcBorders>
              <w:top w:val="single" w:sz="4" w:space="0" w:color="auto"/>
            </w:tcBorders>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rtl/>
                <w:lang w:bidi="ar-EG"/>
              </w:rPr>
            </w:pPr>
            <w:r w:rsidRPr="0059369F">
              <w:rPr>
                <w:rFonts w:ascii="Arabic Typesetting" w:hAnsi="Arabic Typesetting" w:cs="Arabic Typesetting" w:hint="cs"/>
                <w:b/>
                <w:color w:val="000000"/>
                <w:sz w:val="30"/>
                <w:szCs w:val="30"/>
                <w:rtl/>
              </w:rPr>
              <w:t>التقدم المحرز في تنفيذ الخطوات/الخطط المتفق عليها للجنة الدائمة المعنية بقانون البراءات</w:t>
            </w:r>
          </w:p>
        </w:tc>
        <w:tc>
          <w:tcPr>
            <w:tcW w:w="836" w:type="pct"/>
            <w:tcBorders>
              <w:top w:val="single" w:sz="4" w:space="0" w:color="auto"/>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البرنامج 1</w:t>
            </w:r>
          </w:p>
        </w:tc>
        <w:tc>
          <w:tcPr>
            <w:tcW w:w="531" w:type="pct"/>
            <w:tcBorders>
              <w:top w:val="single" w:sz="4" w:space="0" w:color="auto"/>
            </w:tcBorders>
            <w:shd w:val="clear" w:color="auto" w:fill="auto"/>
            <w:vAlign w:val="center"/>
          </w:tcPr>
          <w:p w:rsidR="00050F38" w:rsidRPr="00C229DD" w:rsidRDefault="00050F38" w:rsidP="00486CE1">
            <w:pPr>
              <w:bidi/>
              <w:jc w:val="center"/>
              <w:rPr>
                <w:rFonts w:ascii="Wingdings" w:hAnsi="Wingdings" w:cs="Calibri"/>
                <w:color w:val="008000"/>
                <w:szCs w:val="22"/>
                <w:lang w:bidi="ar-EG"/>
              </w:rPr>
            </w:pPr>
            <w:r w:rsidRPr="00C229DD">
              <w:rPr>
                <w:rFonts w:ascii="Wingdings" w:hAnsi="Wingdings" w:cs="Calibri"/>
                <w:color w:val="008000"/>
                <w:szCs w:val="22"/>
                <w:lang w:bidi="ar-EG"/>
              </w:rPr>
              <w:t></w:t>
            </w:r>
          </w:p>
        </w:tc>
      </w:tr>
      <w:tr w:rsidR="00050F38" w:rsidRPr="00FE3908" w:rsidTr="00050F38">
        <w:trPr>
          <w:cantSplit/>
        </w:trPr>
        <w:tc>
          <w:tcPr>
            <w:tcW w:w="1852" w:type="pct"/>
            <w:vMerge/>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59369F">
              <w:rPr>
                <w:rFonts w:ascii="Arabic Typesetting" w:hAnsi="Arabic Typesetting" w:cs="Arabic Typesetting" w:hint="cs"/>
                <w:b/>
                <w:color w:val="000000"/>
                <w:sz w:val="30"/>
                <w:szCs w:val="30"/>
                <w:rtl/>
                <w:lang w:bidi="ar-EG"/>
              </w:rPr>
              <w:t>النسبة المئوية للمشاركين الراضين في حلقات عمل/ندوات/مؤتمرات عقدت بخصوص قضايا محددة تتعلق بالبراءات</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w:t>
            </w:r>
          </w:p>
        </w:tc>
        <w:tc>
          <w:tcPr>
            <w:tcW w:w="531" w:type="pct"/>
            <w:shd w:val="clear" w:color="auto" w:fill="auto"/>
            <w:vAlign w:val="center"/>
          </w:tcPr>
          <w:p w:rsidR="00050F38" w:rsidRPr="00C229DD" w:rsidRDefault="00050F38" w:rsidP="00486CE1">
            <w:pPr>
              <w:bidi/>
              <w:jc w:val="center"/>
              <w:rPr>
                <w:rFonts w:ascii="Wingdings" w:hAnsi="Wingdings" w:cs="Calibri"/>
                <w:color w:val="008000"/>
                <w:szCs w:val="22"/>
                <w:lang w:bidi="ar-EG"/>
              </w:rPr>
            </w:pPr>
            <w:r w:rsidRPr="00C229DD">
              <w:rPr>
                <w:rFonts w:ascii="Wingdings" w:hAnsi="Wingdings" w:cs="Calibri"/>
                <w:color w:val="008000"/>
                <w:szCs w:val="22"/>
                <w:lang w:bidi="ar-EG"/>
              </w:rPr>
              <w:t></w:t>
            </w:r>
          </w:p>
        </w:tc>
      </w:tr>
      <w:tr w:rsidR="00050F38" w:rsidRPr="00FE3908" w:rsidTr="00050F38">
        <w:trPr>
          <w:cantSplit/>
        </w:trPr>
        <w:tc>
          <w:tcPr>
            <w:tcW w:w="1852" w:type="pct"/>
            <w:vMerge/>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9817A6" w:rsidRDefault="00050F38" w:rsidP="00486CE1">
            <w:pPr>
              <w:bidi/>
              <w:spacing w:before="60" w:after="60" w:line="280" w:lineRule="exact"/>
              <w:rPr>
                <w:rFonts w:ascii="Arabic Typesetting" w:hAnsi="Arabic Typesetting" w:cs="Arabic Typesetting"/>
                <w:sz w:val="30"/>
                <w:szCs w:val="30"/>
                <w:lang w:bidi="ar-EG"/>
              </w:rPr>
            </w:pPr>
            <w:r w:rsidRPr="00E06DDA">
              <w:rPr>
                <w:rFonts w:ascii="Arabic Typesetting" w:hAnsi="Arabic Typesetting" w:cs="Arabic Typesetting"/>
                <w:b/>
                <w:sz w:val="30"/>
                <w:szCs w:val="30"/>
                <w:rtl/>
                <w:lang w:bidi="ar-EG"/>
              </w:rPr>
              <w:t>الاتفاق بشأن إطار معياري لتسجيل التصاميم الصناعية وإجراءات الصيانة</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البرنامج 2</w:t>
            </w:r>
          </w:p>
        </w:tc>
        <w:tc>
          <w:tcPr>
            <w:tcW w:w="531" w:type="pct"/>
            <w:shd w:val="clear" w:color="auto" w:fill="auto"/>
            <w:vAlign w:val="center"/>
          </w:tcPr>
          <w:p w:rsidR="00050F38" w:rsidRPr="00C229DD" w:rsidRDefault="00050F38" w:rsidP="00486CE1">
            <w:pPr>
              <w:bidi/>
              <w:jc w:val="center"/>
              <w:rPr>
                <w:rFonts w:ascii="Wingdings" w:hAnsi="Wingdings" w:cs="Calibri"/>
                <w:color w:val="FF0000"/>
                <w:szCs w:val="22"/>
                <w:lang w:bidi="ar-EG"/>
              </w:rPr>
            </w:pPr>
            <w:r w:rsidRPr="00C229DD">
              <w:rPr>
                <w:rFonts w:ascii="Wingdings" w:hAnsi="Wingdings" w:cs="Calibri"/>
                <w:color w:val="FF0000"/>
                <w:szCs w:val="22"/>
                <w:lang w:bidi="ar-EG"/>
              </w:rPr>
              <w:t></w:t>
            </w:r>
          </w:p>
        </w:tc>
      </w:tr>
      <w:tr w:rsidR="00050F38" w:rsidRPr="00FE3908" w:rsidTr="00050F38">
        <w:trPr>
          <w:cantSplit/>
          <w:trHeight w:val="1036"/>
        </w:trPr>
        <w:tc>
          <w:tcPr>
            <w:tcW w:w="1852" w:type="pct"/>
            <w:vMerge/>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E06DDA">
              <w:rPr>
                <w:rFonts w:ascii="Arabic Typesetting" w:hAnsi="Arabic Typesetting" w:cs="Arabic Typesetting" w:hint="cs"/>
                <w:b/>
                <w:color w:val="000000"/>
                <w:sz w:val="30"/>
                <w:szCs w:val="30"/>
                <w:rtl/>
                <w:lang w:bidi="ar-EG"/>
              </w:rPr>
              <w:t>ال</w:t>
            </w:r>
            <w:r w:rsidRPr="00E06DDA">
              <w:rPr>
                <w:rFonts w:ascii="Arabic Typesetting" w:hAnsi="Arabic Typesetting" w:cs="Arabic Typesetting"/>
                <w:b/>
                <w:color w:val="000000"/>
                <w:sz w:val="30"/>
                <w:szCs w:val="30"/>
                <w:rtl/>
                <w:lang w:bidi="ar-EG"/>
              </w:rPr>
              <w:t xml:space="preserve">تقدم </w:t>
            </w:r>
            <w:r w:rsidRPr="00E06DDA">
              <w:rPr>
                <w:rFonts w:ascii="Arabic Typesetting" w:hAnsi="Arabic Typesetting" w:cs="Arabic Typesetting" w:hint="cs"/>
                <w:b/>
                <w:color w:val="000000"/>
                <w:sz w:val="30"/>
                <w:szCs w:val="30"/>
                <w:rtl/>
                <w:lang w:bidi="ar-EG"/>
              </w:rPr>
              <w:t>ال</w:t>
            </w:r>
            <w:r w:rsidRPr="00E06DDA">
              <w:rPr>
                <w:rFonts w:ascii="Arabic Typesetting" w:hAnsi="Arabic Typesetting" w:cs="Arabic Typesetting"/>
                <w:b/>
                <w:color w:val="000000"/>
                <w:sz w:val="30"/>
                <w:szCs w:val="30"/>
                <w:rtl/>
                <w:lang w:bidi="ar-EG"/>
              </w:rPr>
              <w:t>محرز نحو الاتفاق على القضايا المدرجة حاليا في جدول أعمال اللجنة الدائمة</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w:t>
            </w:r>
          </w:p>
        </w:tc>
        <w:tc>
          <w:tcPr>
            <w:tcW w:w="531" w:type="pct"/>
            <w:shd w:val="clear" w:color="auto" w:fill="auto"/>
            <w:vAlign w:val="center"/>
          </w:tcPr>
          <w:p w:rsidR="00050F38" w:rsidRPr="00C229DD" w:rsidRDefault="00050F38" w:rsidP="00486CE1">
            <w:pPr>
              <w:bidi/>
              <w:jc w:val="center"/>
              <w:rPr>
                <w:rFonts w:ascii="Wingdings" w:hAnsi="Wingdings" w:cs="Calibri"/>
                <w:color w:val="008000"/>
                <w:szCs w:val="22"/>
                <w:lang w:bidi="ar-EG"/>
              </w:rPr>
            </w:pPr>
            <w:r w:rsidRPr="00C229DD">
              <w:rPr>
                <w:rFonts w:ascii="Wingdings" w:hAnsi="Wingdings" w:cs="Calibri"/>
                <w:color w:val="008000"/>
                <w:szCs w:val="22"/>
                <w:lang w:bidi="ar-EG"/>
              </w:rPr>
              <w:t></w:t>
            </w:r>
          </w:p>
        </w:tc>
      </w:tr>
      <w:tr w:rsidR="00050F38" w:rsidRPr="00FE3908" w:rsidTr="00050F38">
        <w:trPr>
          <w:cantSplit/>
          <w:trHeight w:val="1036"/>
        </w:trPr>
        <w:tc>
          <w:tcPr>
            <w:tcW w:w="1852" w:type="pct"/>
            <w:tcBorders>
              <w:bottom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bottom w:val="nil"/>
            </w:tcBorders>
            <w:shd w:val="clear" w:color="auto" w:fill="auto"/>
          </w:tcPr>
          <w:p w:rsidR="00050F38" w:rsidRPr="00E06DDA" w:rsidRDefault="00050F38" w:rsidP="00486CE1">
            <w:pPr>
              <w:bidi/>
              <w:spacing w:before="60" w:after="60" w:line="280" w:lineRule="exact"/>
              <w:rPr>
                <w:rFonts w:ascii="Arabic Typesetting" w:hAnsi="Arabic Typesetting" w:cs="Arabic Typesetting"/>
                <w:b/>
                <w:color w:val="000000"/>
                <w:sz w:val="30"/>
                <w:szCs w:val="30"/>
                <w:rtl/>
                <w:lang w:bidi="ar-EG"/>
              </w:rPr>
            </w:pPr>
            <w:r w:rsidRPr="00E06DDA">
              <w:rPr>
                <w:rFonts w:ascii="Arabic Typesetting" w:hAnsi="Arabic Typesetting" w:cs="Arabic Typesetting"/>
                <w:b/>
                <w:color w:val="000000"/>
                <w:sz w:val="30"/>
                <w:szCs w:val="30"/>
                <w:rtl/>
                <w:lang w:bidi="ar-EG"/>
              </w:rPr>
              <w:t>عدد حالات التصديق على/الانضمام إلى معاهدة سنغافورة</w:t>
            </w:r>
          </w:p>
        </w:tc>
        <w:tc>
          <w:tcPr>
            <w:tcW w:w="836" w:type="pct"/>
            <w:tcBorders>
              <w:bottom w:val="nil"/>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w:t>
            </w:r>
          </w:p>
        </w:tc>
        <w:tc>
          <w:tcPr>
            <w:tcW w:w="531" w:type="pct"/>
            <w:tcBorders>
              <w:bottom w:val="nil"/>
            </w:tcBorders>
            <w:shd w:val="clear" w:color="auto" w:fill="auto"/>
            <w:vAlign w:val="center"/>
          </w:tcPr>
          <w:p w:rsidR="00050F38" w:rsidRPr="00C229DD" w:rsidRDefault="00050F38" w:rsidP="00486CE1">
            <w:pPr>
              <w:bidi/>
              <w:jc w:val="center"/>
              <w:rPr>
                <w:rFonts w:ascii="Wingdings" w:hAnsi="Wingdings" w:cs="Calibri"/>
                <w:color w:val="008000"/>
                <w:szCs w:val="22"/>
                <w:lang w:bidi="ar-EG"/>
              </w:rPr>
            </w:pPr>
            <w:r w:rsidRPr="00C229DD">
              <w:rPr>
                <w:rFonts w:ascii="Wingdings" w:hAnsi="Wingdings" w:cs="Calibri"/>
                <w:color w:val="008000"/>
                <w:szCs w:val="22"/>
                <w:lang w:bidi="ar-EG"/>
              </w:rPr>
              <w:t></w:t>
            </w:r>
          </w:p>
        </w:tc>
      </w:tr>
      <w:tr w:rsidR="00050F38" w:rsidRPr="00FE3908" w:rsidTr="00050F38">
        <w:trPr>
          <w:cantSplit/>
        </w:trPr>
        <w:tc>
          <w:tcPr>
            <w:tcW w:w="1852" w:type="pct"/>
            <w:tcBorders>
              <w:top w:val="nil"/>
              <w:bottom w:val="single" w:sz="4" w:space="0" w:color="auto"/>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bottom w:val="single" w:sz="4" w:space="0" w:color="auto"/>
            </w:tcBorders>
            <w:shd w:val="clear" w:color="auto" w:fill="auto"/>
          </w:tcPr>
          <w:p w:rsidR="00050F38" w:rsidRPr="009817A6" w:rsidRDefault="00050F38" w:rsidP="00486CE1">
            <w:pPr>
              <w:bidi/>
              <w:spacing w:before="60" w:after="60" w:line="280" w:lineRule="exact"/>
              <w:rPr>
                <w:rFonts w:ascii="Arabic Typesetting" w:hAnsi="Arabic Typesetting" w:cs="Arabic Typesetting"/>
                <w:sz w:val="30"/>
                <w:szCs w:val="30"/>
                <w:lang w:bidi="ar-EG"/>
              </w:rPr>
            </w:pPr>
            <w:r w:rsidRPr="00E06DDA">
              <w:rPr>
                <w:rFonts w:ascii="Arabic Typesetting" w:hAnsi="Arabic Typesetting" w:cs="Arabic Typesetting" w:hint="cs"/>
                <w:b/>
                <w:sz w:val="30"/>
                <w:szCs w:val="30"/>
                <w:rtl/>
              </w:rPr>
              <w:t>التقدم نحو الاتفاق بشأن القضايا الحالية في جدول أعمال اللجنة الدائمة المعنية بحق المؤلف والحقوق المجاورة</w:t>
            </w:r>
          </w:p>
        </w:tc>
        <w:tc>
          <w:tcPr>
            <w:tcW w:w="836" w:type="pct"/>
            <w:tcBorders>
              <w:top w:val="nil"/>
              <w:bottom w:val="single" w:sz="4" w:space="0" w:color="auto"/>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البرنامج 3</w:t>
            </w:r>
          </w:p>
        </w:tc>
        <w:tc>
          <w:tcPr>
            <w:tcW w:w="531" w:type="pct"/>
            <w:tcBorders>
              <w:top w:val="nil"/>
              <w:bottom w:val="single" w:sz="4" w:space="0" w:color="auto"/>
            </w:tcBorders>
            <w:shd w:val="clear" w:color="auto" w:fill="auto"/>
            <w:vAlign w:val="center"/>
          </w:tcPr>
          <w:p w:rsidR="00050F38" w:rsidRPr="00C229DD" w:rsidRDefault="00050F38" w:rsidP="00486CE1">
            <w:pPr>
              <w:bidi/>
              <w:jc w:val="center"/>
              <w:rPr>
                <w:rFonts w:ascii="Wingdings" w:hAnsi="Wingdings" w:cs="Calibri"/>
                <w:color w:val="FF0000"/>
                <w:szCs w:val="22"/>
                <w:rtl/>
                <w:lang w:bidi="ar-EG"/>
              </w:rPr>
            </w:pPr>
            <w:r w:rsidRPr="00C229DD">
              <w:rPr>
                <w:rFonts w:ascii="Wingdings" w:hAnsi="Wingdings" w:cs="Calibri"/>
                <w:color w:val="FF0000"/>
                <w:szCs w:val="22"/>
                <w:lang w:bidi="ar-EG"/>
              </w:rPr>
              <w:t></w:t>
            </w:r>
          </w:p>
        </w:tc>
      </w:tr>
      <w:tr w:rsidR="00050F38" w:rsidRPr="00FE3908" w:rsidTr="00050F38">
        <w:trPr>
          <w:cantSplit/>
        </w:trPr>
        <w:tc>
          <w:tcPr>
            <w:tcW w:w="1852" w:type="pct"/>
            <w:tcBorders>
              <w:top w:val="single" w:sz="4" w:space="0" w:color="auto"/>
              <w:bottom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single" w:sz="4" w:space="0" w:color="auto"/>
              <w:bottom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012439">
              <w:rPr>
                <w:rFonts w:ascii="Arabic Typesetting" w:hAnsi="Arabic Typesetting" w:cs="Arabic Typesetting" w:hint="cs"/>
                <w:b/>
                <w:color w:val="000000"/>
                <w:sz w:val="30"/>
                <w:szCs w:val="30"/>
                <w:rtl/>
                <w:lang w:bidi="ar-EG"/>
              </w:rPr>
              <w:t>الاتفاق في مفاوضات اللجنة الحكومية الدولية على صك قانوني دولي أو أكثر بشأن المعارف التقليدية وأشكال التعبير الثقافي التقليدي والموارد الوراثية</w:t>
            </w:r>
          </w:p>
        </w:tc>
        <w:tc>
          <w:tcPr>
            <w:tcW w:w="836" w:type="pct"/>
            <w:tcBorders>
              <w:top w:val="single" w:sz="4" w:space="0" w:color="auto"/>
              <w:bottom w:val="nil"/>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البرنامج 4</w:t>
            </w:r>
          </w:p>
        </w:tc>
        <w:tc>
          <w:tcPr>
            <w:tcW w:w="531" w:type="pct"/>
            <w:tcBorders>
              <w:top w:val="single" w:sz="4" w:space="0" w:color="auto"/>
              <w:bottom w:val="nil"/>
            </w:tcBorders>
            <w:shd w:val="clear" w:color="auto" w:fill="auto"/>
            <w:vAlign w:val="center"/>
          </w:tcPr>
          <w:p w:rsidR="00050F38" w:rsidRPr="00C229DD" w:rsidRDefault="00050F38" w:rsidP="00486CE1">
            <w:pPr>
              <w:bidi/>
              <w:jc w:val="center"/>
              <w:rPr>
                <w:rFonts w:ascii="Wingdings" w:hAnsi="Wingdings" w:cs="Calibri"/>
                <w:color w:val="FF0000"/>
                <w:szCs w:val="22"/>
                <w:lang w:bidi="ar-EG"/>
              </w:rPr>
            </w:pPr>
            <w:r w:rsidRPr="00C229DD">
              <w:rPr>
                <w:rFonts w:ascii="Wingdings" w:hAnsi="Wingdings" w:cs="Calibri"/>
                <w:color w:val="FF0000"/>
                <w:szCs w:val="22"/>
                <w:lang w:bidi="ar-EG"/>
              </w:rPr>
              <w:t></w:t>
            </w:r>
          </w:p>
        </w:tc>
      </w:tr>
      <w:tr w:rsidR="00050F38" w:rsidRPr="00FE3908" w:rsidTr="00050F38">
        <w:trPr>
          <w:cantSplit/>
        </w:trPr>
        <w:tc>
          <w:tcPr>
            <w:tcW w:w="1852" w:type="pct"/>
            <w:vMerge w:val="restart"/>
            <w:tcBorders>
              <w:top w:val="nil"/>
              <w:bottom w:val="nil"/>
            </w:tcBorders>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012439">
              <w:rPr>
                <w:rFonts w:ascii="Arabic Typesetting" w:hAnsi="Arabic Typesetting" w:cs="Arabic Typesetting" w:hint="cs"/>
                <w:color w:val="000000"/>
                <w:sz w:val="30"/>
                <w:szCs w:val="30"/>
                <w:rtl/>
                <w:lang w:bidi="ar-EG"/>
              </w:rPr>
              <w:t xml:space="preserve">ه2.1 </w:t>
            </w:r>
            <w:r w:rsidRPr="00C20CF6">
              <w:rPr>
                <w:rFonts w:ascii="Arabic Typesetting" w:hAnsi="Arabic Typesetting" w:cs="Arabic Typesetting"/>
                <w:b/>
                <w:color w:val="000000"/>
                <w:sz w:val="30"/>
                <w:szCs w:val="30"/>
                <w:rtl/>
                <w:lang w:bidi="ar-EG"/>
              </w:rPr>
              <w:t>أطر تشريعية وتنظيمية وسياسية مناسبة ومتوازنة للملكية الفكرية</w:t>
            </w:r>
          </w:p>
        </w:tc>
        <w:tc>
          <w:tcPr>
            <w:tcW w:w="1781" w:type="pct"/>
            <w:tcBorders>
              <w:top w:val="nil"/>
              <w:bottom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012439">
              <w:rPr>
                <w:rFonts w:ascii="Arabic Typesetting" w:hAnsi="Arabic Typesetting" w:cs="Arabic Typesetting" w:hint="cs"/>
                <w:b/>
                <w:color w:val="000000"/>
                <w:sz w:val="30"/>
                <w:szCs w:val="30"/>
                <w:rtl/>
                <w:lang w:bidi="ar-EG"/>
              </w:rPr>
              <w:t>عدد الدول الأعضاء التي وجدت المعلومات المقدمة بشأن المبادئ والممارسات القانونية لنظام البراءات، بما فيها مواطن المرونة التي ينطوي عليها النظام والتحديات التي تواجهه، معلومات مفيدة، والنسبة المئوية لهذه الدول</w:t>
            </w:r>
          </w:p>
        </w:tc>
        <w:tc>
          <w:tcPr>
            <w:tcW w:w="836" w:type="pct"/>
            <w:tcBorders>
              <w:top w:val="nil"/>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w:t>
            </w:r>
          </w:p>
        </w:tc>
        <w:tc>
          <w:tcPr>
            <w:tcW w:w="531" w:type="pct"/>
            <w:tcBorders>
              <w:top w:val="nil"/>
            </w:tcBorders>
            <w:shd w:val="clear" w:color="auto" w:fill="auto"/>
            <w:vAlign w:val="center"/>
          </w:tcPr>
          <w:p w:rsidR="00050F38" w:rsidRPr="00C229DD" w:rsidRDefault="00050F38" w:rsidP="00486CE1">
            <w:pPr>
              <w:bidi/>
              <w:jc w:val="center"/>
              <w:rPr>
                <w:rFonts w:ascii="Wingdings" w:hAnsi="Wingdings" w:cs="Calibri"/>
                <w:color w:val="10862C"/>
                <w:szCs w:val="22"/>
                <w:lang w:bidi="ar-EG"/>
              </w:rPr>
            </w:pPr>
            <w:r w:rsidRPr="00C229DD">
              <w:rPr>
                <w:rFonts w:ascii="Wingdings" w:hAnsi="Wingdings" w:cs="Calibri"/>
                <w:color w:val="10862C"/>
                <w:szCs w:val="22"/>
                <w:lang w:bidi="ar-EG"/>
              </w:rPr>
              <w:t></w:t>
            </w:r>
          </w:p>
        </w:tc>
      </w:tr>
      <w:tr w:rsidR="00050F38" w:rsidRPr="00FE3908" w:rsidTr="00050F38">
        <w:trPr>
          <w:cantSplit/>
        </w:trPr>
        <w:tc>
          <w:tcPr>
            <w:tcW w:w="1852" w:type="pct"/>
            <w:vMerge/>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012439">
              <w:rPr>
                <w:rFonts w:ascii="Arabic Typesetting" w:hAnsi="Arabic Typesetting" w:cs="Arabic Typesetting"/>
                <w:b/>
                <w:color w:val="000000"/>
                <w:sz w:val="30"/>
                <w:szCs w:val="30"/>
                <w:rtl/>
                <w:lang w:bidi="ar-EG"/>
              </w:rPr>
              <w:t>عدد الدول الأعضاء التي شعرت بالرضا إزاء مستوى جودة المشورة القانونية فيما يخص البراءات ونماذج المنفعة والأسرار التجارية والدوائر المتكاملة، والنسبة المئوية لهذه الدول</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w:t>
            </w:r>
          </w:p>
        </w:tc>
        <w:tc>
          <w:tcPr>
            <w:tcW w:w="531" w:type="pct"/>
            <w:shd w:val="clear" w:color="auto" w:fill="auto"/>
            <w:vAlign w:val="center"/>
          </w:tcPr>
          <w:p w:rsidR="00050F38" w:rsidRPr="00C229DD" w:rsidRDefault="00050F38" w:rsidP="00486CE1">
            <w:pPr>
              <w:bidi/>
              <w:jc w:val="center"/>
              <w:rPr>
                <w:rFonts w:ascii="Wingdings" w:hAnsi="Wingdings" w:cs="Calibri"/>
                <w:color w:val="10862C"/>
                <w:szCs w:val="22"/>
                <w:lang w:bidi="ar-EG"/>
              </w:rPr>
            </w:pPr>
            <w:r w:rsidRPr="00C229DD">
              <w:rPr>
                <w:rFonts w:ascii="Wingdings" w:hAnsi="Wingdings" w:cs="Calibri"/>
                <w:color w:val="10862C"/>
                <w:szCs w:val="22"/>
                <w:lang w:bidi="ar-EG"/>
              </w:rPr>
              <w:t></w:t>
            </w:r>
          </w:p>
        </w:tc>
      </w:tr>
      <w:tr w:rsidR="00050F38" w:rsidRPr="00FE3908" w:rsidTr="00050F38">
        <w:trPr>
          <w:cantSplit/>
        </w:trPr>
        <w:tc>
          <w:tcPr>
            <w:tcW w:w="1852" w:type="pct"/>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tcBorders>
            <w:shd w:val="clear" w:color="auto" w:fill="auto"/>
            <w:vAlign w:val="center"/>
          </w:tcPr>
          <w:p w:rsidR="00050F38" w:rsidRPr="00012439"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31" w:type="pct"/>
            <w:shd w:val="clear" w:color="auto" w:fill="auto"/>
            <w:vAlign w:val="center"/>
          </w:tcPr>
          <w:p w:rsidR="00050F38" w:rsidRPr="00C229DD" w:rsidRDefault="00050F38" w:rsidP="00486CE1">
            <w:pPr>
              <w:bidi/>
              <w:jc w:val="center"/>
              <w:rPr>
                <w:rFonts w:ascii="Wingdings" w:hAnsi="Wingdings" w:cs="Calibri"/>
                <w:color w:val="10862C"/>
                <w:szCs w:val="22"/>
                <w:lang w:bidi="ar-EG"/>
              </w:rPr>
            </w:pPr>
            <w:r w:rsidRPr="00C229DD">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keepNext/>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012439">
              <w:rPr>
                <w:rFonts w:ascii="Arabic Typesetting" w:hAnsi="Arabic Typesetting" w:cs="Arabic Typesetting" w:hint="cs"/>
                <w:b/>
                <w:color w:val="000000"/>
                <w:sz w:val="30"/>
                <w:szCs w:val="30"/>
                <w:rtl/>
                <w:lang w:bidi="ar-EG"/>
              </w:rPr>
              <w:t xml:space="preserve">رهنا بموافقة الدول الأعضاء، </w:t>
            </w:r>
            <w:r w:rsidRPr="00012439">
              <w:rPr>
                <w:rFonts w:ascii="Arabic Typesetting" w:hAnsi="Arabic Typesetting" w:cs="Arabic Typesetting"/>
                <w:b/>
                <w:color w:val="000000"/>
                <w:sz w:val="30"/>
                <w:szCs w:val="30"/>
                <w:rtl/>
                <w:lang w:bidi="ar-EG"/>
              </w:rPr>
              <w:t xml:space="preserve">التقدم المحرز </w:t>
            </w:r>
            <w:r w:rsidRPr="00012439">
              <w:rPr>
                <w:rFonts w:ascii="Arabic Typesetting" w:hAnsi="Arabic Typesetting" w:cs="Arabic Typesetting" w:hint="cs"/>
                <w:b/>
                <w:color w:val="000000"/>
                <w:sz w:val="30"/>
                <w:szCs w:val="30"/>
                <w:rtl/>
                <w:lang w:bidi="ar-EG"/>
              </w:rPr>
              <w:t xml:space="preserve">في </w:t>
            </w:r>
            <w:r w:rsidRPr="00012439">
              <w:rPr>
                <w:rFonts w:ascii="Arabic Typesetting" w:hAnsi="Arabic Typesetting" w:cs="Arabic Typesetting"/>
                <w:b/>
                <w:color w:val="000000"/>
                <w:sz w:val="30"/>
                <w:szCs w:val="30"/>
                <w:rtl/>
                <w:lang w:bidi="ar-EG"/>
              </w:rPr>
              <w:t>مراجعة قانون البراءات النموذجي للبلدان النامية والبلدان الأقل نموا</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w:t>
            </w:r>
          </w:p>
        </w:tc>
        <w:tc>
          <w:tcPr>
            <w:tcW w:w="531" w:type="pct"/>
            <w:shd w:val="clear" w:color="auto" w:fill="auto"/>
            <w:vAlign w:val="center"/>
          </w:tcPr>
          <w:p w:rsidR="00050F38" w:rsidRPr="00C229DD" w:rsidRDefault="00050F38" w:rsidP="00486CE1">
            <w:pPr>
              <w:bidi/>
              <w:jc w:val="center"/>
              <w:rPr>
                <w:rFonts w:ascii="Wingdings" w:hAnsi="Wingdings" w:cs="Calibri"/>
                <w:color w:val="FF0000"/>
                <w:szCs w:val="22"/>
                <w:lang w:bidi="ar-EG"/>
              </w:rPr>
            </w:pPr>
            <w:r w:rsidRPr="00C229DD">
              <w:rPr>
                <w:rFonts w:ascii="Wingdings" w:hAnsi="Wingdings" w:cs="Calibri"/>
                <w:color w:val="FF0000"/>
                <w:szCs w:val="22"/>
                <w:lang w:bidi="ar-EG"/>
              </w:rPr>
              <w:t></w:t>
            </w:r>
          </w:p>
        </w:tc>
      </w:tr>
      <w:tr w:rsidR="00050F38" w:rsidRPr="00FE3908" w:rsidTr="00050F38">
        <w:trPr>
          <w:cantSplit/>
        </w:trPr>
        <w:tc>
          <w:tcPr>
            <w:tcW w:w="1852" w:type="pct"/>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8A2B1D">
              <w:rPr>
                <w:rFonts w:ascii="Arabic Typesetting" w:hAnsi="Arabic Typesetting" w:cs="Arabic Typesetting"/>
                <w:b/>
                <w:color w:val="000000"/>
                <w:sz w:val="30"/>
                <w:szCs w:val="30"/>
                <w:rtl/>
                <w:lang w:bidi="ar-EG"/>
              </w:rPr>
              <w:t>عدد الدول الأعضاء/المنظمات الإقليمية التي قدمت تعليقات إيجابية على المشورة التشريعية المقدمة في مجال العلامات التجارية والتصاميم الصناعية والبيانات الجغرافية، والنسبة المئوية لهذه الدول والمنظمات</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w:t>
            </w:r>
          </w:p>
        </w:tc>
        <w:tc>
          <w:tcPr>
            <w:tcW w:w="531" w:type="pct"/>
            <w:shd w:val="clear" w:color="auto" w:fill="auto"/>
            <w:vAlign w:val="center"/>
          </w:tcPr>
          <w:p w:rsidR="00050F38" w:rsidRPr="00C229DD" w:rsidRDefault="00050F38" w:rsidP="00486CE1">
            <w:pPr>
              <w:bidi/>
              <w:jc w:val="center"/>
              <w:rPr>
                <w:rFonts w:ascii="Wingdings" w:hAnsi="Wingdings" w:cs="Calibri"/>
                <w:color w:val="10862C"/>
                <w:szCs w:val="22"/>
                <w:lang w:bidi="ar-EG"/>
              </w:rPr>
            </w:pPr>
            <w:r w:rsidRPr="00C229DD">
              <w:rPr>
                <w:rFonts w:ascii="Wingdings" w:hAnsi="Wingdings" w:cs="Calibri"/>
                <w:color w:val="10862C"/>
                <w:szCs w:val="22"/>
                <w:lang w:bidi="ar-EG"/>
              </w:rPr>
              <w:t></w:t>
            </w:r>
            <w:r w:rsidRPr="00C229DD">
              <w:rPr>
                <w:rFonts w:ascii="Wingdings" w:hAnsi="Wingdings" w:cs="Calibri"/>
                <w:color w:val="10862C"/>
                <w:szCs w:val="22"/>
                <w:lang w:bidi="ar-EG"/>
              </w:rPr>
              <w:t></w:t>
            </w:r>
          </w:p>
        </w:tc>
      </w:tr>
      <w:tr w:rsidR="00050F38" w:rsidRPr="00FE3908" w:rsidTr="00050F38">
        <w:trPr>
          <w:cantSplit/>
        </w:trPr>
        <w:tc>
          <w:tcPr>
            <w:tcW w:w="1852" w:type="pct"/>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8A2B1D"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31" w:type="pct"/>
            <w:shd w:val="clear" w:color="auto" w:fill="auto"/>
            <w:vAlign w:val="center"/>
          </w:tcPr>
          <w:p w:rsidR="00050F38" w:rsidRPr="00C229DD" w:rsidRDefault="00050F38" w:rsidP="00486CE1">
            <w:pPr>
              <w:bidi/>
              <w:jc w:val="center"/>
              <w:rPr>
                <w:rFonts w:ascii="Wingdings" w:hAnsi="Wingdings" w:cs="Calibri"/>
                <w:color w:val="10862C"/>
                <w:szCs w:val="22"/>
                <w:lang w:bidi="ar-EG"/>
              </w:rPr>
            </w:pPr>
            <w:r w:rsidRPr="00C229DD">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8A2B1D">
              <w:rPr>
                <w:rFonts w:ascii="Arabic Typesetting" w:hAnsi="Arabic Typesetting" w:cs="Arabic Typesetting" w:hint="cs"/>
                <w:b/>
                <w:color w:val="000000"/>
                <w:sz w:val="30"/>
                <w:szCs w:val="30"/>
                <w:rtl/>
              </w:rPr>
              <w:t>عدد البلدان التي صدقت على معاهدة بيجين</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البرنامج 3</w:t>
            </w:r>
          </w:p>
        </w:tc>
        <w:tc>
          <w:tcPr>
            <w:tcW w:w="531" w:type="pct"/>
            <w:shd w:val="clear" w:color="auto" w:fill="auto"/>
            <w:vAlign w:val="center"/>
          </w:tcPr>
          <w:p w:rsidR="00050F38" w:rsidRPr="00C229DD" w:rsidRDefault="00050F38" w:rsidP="00486CE1">
            <w:pPr>
              <w:bidi/>
              <w:jc w:val="center"/>
              <w:rPr>
                <w:rFonts w:ascii="Wingdings" w:hAnsi="Wingdings" w:cs="Calibri"/>
                <w:color w:val="FF0000"/>
                <w:szCs w:val="22"/>
                <w:lang w:bidi="ar-EG"/>
              </w:rPr>
            </w:pPr>
            <w:r w:rsidRPr="00C229DD">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8A2B1D">
              <w:rPr>
                <w:rFonts w:ascii="Arabic Typesetting" w:hAnsi="Arabic Typesetting" w:cs="Arabic Typesetting"/>
                <w:b/>
                <w:color w:val="000000"/>
                <w:sz w:val="30"/>
                <w:szCs w:val="30"/>
                <w:rtl/>
                <w:lang w:bidi="ar-EG"/>
              </w:rPr>
              <w:t xml:space="preserve">عدد </w:t>
            </w:r>
            <w:r w:rsidRPr="008A2B1D">
              <w:rPr>
                <w:rFonts w:ascii="Arabic Typesetting" w:hAnsi="Arabic Typesetting" w:cs="Arabic Typesetting" w:hint="cs"/>
                <w:b/>
                <w:color w:val="000000"/>
                <w:sz w:val="30"/>
                <w:szCs w:val="30"/>
                <w:rtl/>
                <w:lang w:bidi="ar-EG"/>
              </w:rPr>
              <w:t xml:space="preserve">البلدان </w:t>
            </w:r>
            <w:r w:rsidRPr="008A2B1D">
              <w:rPr>
                <w:rFonts w:ascii="Arabic Typesetting" w:hAnsi="Arabic Typesetting" w:cs="Arabic Typesetting"/>
                <w:b/>
                <w:color w:val="000000"/>
                <w:sz w:val="30"/>
                <w:szCs w:val="30"/>
                <w:rtl/>
                <w:lang w:bidi="ar-EG"/>
              </w:rPr>
              <w:t xml:space="preserve">التي قدمت تعليقات إيجابية على المشورة التشريعية المقدمة </w:t>
            </w:r>
            <w:r w:rsidRPr="008A2B1D">
              <w:rPr>
                <w:rFonts w:ascii="Arabic Typesetting" w:hAnsi="Arabic Typesetting" w:cs="Arabic Typesetting" w:hint="cs"/>
                <w:b/>
                <w:color w:val="000000"/>
                <w:sz w:val="30"/>
                <w:szCs w:val="30"/>
                <w:rtl/>
                <w:lang w:bidi="ar-EG"/>
              </w:rPr>
              <w:t>من الويبو</w:t>
            </w:r>
            <w:r w:rsidRPr="008A2B1D">
              <w:rPr>
                <w:rFonts w:ascii="Arabic Typesetting" w:hAnsi="Arabic Typesetting" w:cs="Arabic Typesetting"/>
                <w:b/>
                <w:color w:val="000000"/>
                <w:sz w:val="30"/>
                <w:szCs w:val="30"/>
                <w:rtl/>
                <w:lang w:bidi="ar-EG"/>
              </w:rPr>
              <w:t xml:space="preserve">، والنسبة المئوية لهذه </w:t>
            </w:r>
            <w:r w:rsidRPr="008A2B1D">
              <w:rPr>
                <w:rFonts w:ascii="Arabic Typesetting" w:hAnsi="Arabic Typesetting" w:cs="Arabic Typesetting" w:hint="cs"/>
                <w:b/>
                <w:color w:val="000000"/>
                <w:sz w:val="30"/>
                <w:szCs w:val="30"/>
                <w:rtl/>
                <w:lang w:bidi="ar-EG"/>
              </w:rPr>
              <w:t>البلدان</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البرنامج 3</w:t>
            </w:r>
          </w:p>
        </w:tc>
        <w:tc>
          <w:tcPr>
            <w:tcW w:w="531" w:type="pct"/>
            <w:shd w:val="clear" w:color="auto" w:fill="auto"/>
            <w:vAlign w:val="center"/>
          </w:tcPr>
          <w:p w:rsidR="00050F38" w:rsidRPr="00C229DD" w:rsidRDefault="00050F38" w:rsidP="00486CE1">
            <w:pPr>
              <w:bidi/>
              <w:jc w:val="center"/>
              <w:rPr>
                <w:rFonts w:ascii="Wingdings" w:hAnsi="Wingdings" w:cs="Calibri"/>
                <w:color w:val="0070C0"/>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8A2B1D"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31" w:type="pct"/>
            <w:shd w:val="clear" w:color="auto" w:fill="auto"/>
            <w:vAlign w:val="center"/>
          </w:tcPr>
          <w:p w:rsidR="00050F38" w:rsidRPr="00C229DD" w:rsidRDefault="00050F38" w:rsidP="00486CE1">
            <w:pPr>
              <w:bidi/>
              <w:jc w:val="center"/>
              <w:rPr>
                <w:rFonts w:ascii="Wingdings" w:hAnsi="Wingdings" w:cs="Calibri"/>
                <w:color w:val="0070C0"/>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24626B">
              <w:rPr>
                <w:rFonts w:ascii="Arabic Typesetting" w:hAnsi="Arabic Typesetting" w:cs="Arabic Typesetting" w:hint="cs"/>
                <w:b/>
                <w:color w:val="000000"/>
                <w:sz w:val="30"/>
                <w:szCs w:val="30"/>
                <w:rtl/>
                <w:lang w:bidi="ar-EG"/>
              </w:rPr>
              <w:t>عدد حالات التصديق على معاهدات الويبو الخاصة بالإنترنت</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البرنامج 3</w:t>
            </w:r>
          </w:p>
        </w:tc>
        <w:tc>
          <w:tcPr>
            <w:tcW w:w="531" w:type="pct"/>
            <w:shd w:val="clear" w:color="auto" w:fill="auto"/>
            <w:vAlign w:val="center"/>
          </w:tcPr>
          <w:p w:rsidR="00050F38" w:rsidRPr="00C229DD" w:rsidRDefault="00050F38" w:rsidP="00486CE1">
            <w:pPr>
              <w:bidi/>
              <w:jc w:val="center"/>
              <w:rPr>
                <w:rFonts w:ascii="Wingdings" w:hAnsi="Wingdings" w:cs="Calibri"/>
                <w:color w:val="10862C"/>
                <w:szCs w:val="22"/>
                <w:lang w:bidi="ar-EG"/>
              </w:rPr>
            </w:pPr>
            <w:r w:rsidRPr="00C229DD">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24626B" w:rsidRDefault="00050F38" w:rsidP="00486CE1">
            <w:pPr>
              <w:bidi/>
              <w:spacing w:before="60" w:after="60" w:line="280" w:lineRule="exact"/>
              <w:rPr>
                <w:rFonts w:ascii="Arabic Typesetting" w:hAnsi="Arabic Typesetting" w:cs="Arabic Typesetting"/>
                <w:b/>
                <w:color w:val="000000"/>
                <w:sz w:val="30"/>
                <w:szCs w:val="30"/>
                <w:rtl/>
                <w:lang w:bidi="ar-EG"/>
              </w:rPr>
            </w:pPr>
            <w:r w:rsidRPr="0024626B">
              <w:rPr>
                <w:rFonts w:ascii="Arabic Typesetting" w:hAnsi="Arabic Typesetting" w:cs="Arabic Typesetting" w:hint="cs"/>
                <w:b/>
                <w:color w:val="000000"/>
                <w:sz w:val="30"/>
                <w:szCs w:val="30"/>
                <w:rtl/>
                <w:lang w:bidi="ar-EG"/>
              </w:rPr>
              <w:t>عدد البلدان التي صدقت على معاهدة مراكش بشأن بالأشخاص معاقي البصر</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البرنامج 3</w:t>
            </w:r>
          </w:p>
        </w:tc>
        <w:tc>
          <w:tcPr>
            <w:tcW w:w="531" w:type="pct"/>
            <w:shd w:val="clear" w:color="auto" w:fill="auto"/>
            <w:vAlign w:val="center"/>
          </w:tcPr>
          <w:p w:rsidR="00050F38" w:rsidRPr="00C229DD" w:rsidRDefault="00050F38" w:rsidP="00486CE1">
            <w:pPr>
              <w:bidi/>
              <w:jc w:val="center"/>
              <w:rPr>
                <w:rFonts w:ascii="Wingdings" w:hAnsi="Wingdings" w:cs="Calibri"/>
                <w:color w:val="FF0000"/>
                <w:szCs w:val="22"/>
                <w:lang w:bidi="ar-EG"/>
              </w:rPr>
            </w:pPr>
            <w:r w:rsidRPr="00C229DD">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24626B" w:rsidRDefault="00050F38" w:rsidP="00486CE1">
            <w:pPr>
              <w:bidi/>
              <w:spacing w:before="60" w:after="60" w:line="280" w:lineRule="exact"/>
              <w:rPr>
                <w:rFonts w:ascii="Arabic Typesetting" w:hAnsi="Arabic Typesetting" w:cs="Arabic Typesetting"/>
                <w:b/>
                <w:color w:val="000000"/>
                <w:sz w:val="30"/>
                <w:szCs w:val="30"/>
                <w:rtl/>
                <w:lang w:bidi="ar-EG"/>
              </w:rPr>
            </w:pPr>
            <w:r w:rsidRPr="0024626B">
              <w:rPr>
                <w:rFonts w:ascii="Arabic Typesetting" w:hAnsi="Arabic Typesetting" w:cs="Arabic Typesetting"/>
                <w:b/>
                <w:color w:val="000000"/>
                <w:sz w:val="30"/>
                <w:szCs w:val="30"/>
                <w:rtl/>
              </w:rPr>
              <w:t>عدد البلدان التي لديها قوانين أو لوائح محدثة أو كلاهما</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10</w:t>
            </w:r>
          </w:p>
        </w:tc>
        <w:tc>
          <w:tcPr>
            <w:tcW w:w="531" w:type="pct"/>
            <w:shd w:val="clear" w:color="auto" w:fill="auto"/>
            <w:vAlign w:val="center"/>
          </w:tcPr>
          <w:p w:rsidR="00050F38" w:rsidRPr="00C229DD" w:rsidRDefault="00050F38" w:rsidP="00486CE1">
            <w:pPr>
              <w:bidi/>
              <w:jc w:val="center"/>
              <w:rPr>
                <w:rFonts w:ascii="Wingdings" w:hAnsi="Wingdings" w:cs="Calibri"/>
                <w:color w:val="10862C"/>
                <w:szCs w:val="22"/>
                <w:lang w:bidi="ar-EG"/>
              </w:rPr>
            </w:pPr>
            <w:r w:rsidRPr="00C229DD">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24626B" w:rsidRDefault="00050F38" w:rsidP="00486CE1">
            <w:pPr>
              <w:bidi/>
              <w:spacing w:before="60" w:after="60" w:line="280" w:lineRule="exact"/>
              <w:rPr>
                <w:rFonts w:ascii="Arabic Typesetting" w:hAnsi="Arabic Typesetting" w:cs="Arabic Typesetting"/>
                <w:b/>
                <w:color w:val="000000"/>
                <w:sz w:val="30"/>
                <w:szCs w:val="30"/>
                <w:rtl/>
              </w:rPr>
            </w:pPr>
            <w:r w:rsidRPr="006D6E09">
              <w:rPr>
                <w:rFonts w:ascii="Arabic Typesetting" w:hAnsi="Arabic Typesetting" w:cs="Arabic Typesetting"/>
                <w:b/>
                <w:color w:val="000000"/>
                <w:sz w:val="30"/>
                <w:szCs w:val="30"/>
                <w:rtl/>
                <w:lang w:bidi="ar-EG"/>
              </w:rPr>
              <w:t>عدد البلدان التي أقرت أو قامت بتعديل أطر العمل ذات الصلة بالإضافة إلى المساعدة التي تقدمها الويبو (أو هي بصدد القيام بذلك)</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17</w:t>
            </w:r>
          </w:p>
        </w:tc>
        <w:tc>
          <w:tcPr>
            <w:tcW w:w="531" w:type="pct"/>
            <w:shd w:val="clear" w:color="auto" w:fill="auto"/>
            <w:vAlign w:val="center"/>
          </w:tcPr>
          <w:p w:rsidR="00050F38" w:rsidRPr="00C229DD" w:rsidRDefault="00050F38" w:rsidP="00486CE1">
            <w:pPr>
              <w:bidi/>
              <w:jc w:val="center"/>
              <w:rPr>
                <w:rFonts w:ascii="Wingdings" w:hAnsi="Wingdings" w:cs="Calibri"/>
                <w:color w:val="10862C"/>
                <w:szCs w:val="22"/>
                <w:lang w:bidi="ar-EG"/>
              </w:rPr>
            </w:pPr>
            <w:r w:rsidRPr="00C229DD">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6D6E09">
              <w:rPr>
                <w:rFonts w:ascii="Arabic Typesetting" w:hAnsi="Arabic Typesetting" w:cs="Arabic Typesetting" w:hint="cs"/>
                <w:color w:val="000000"/>
                <w:sz w:val="30"/>
                <w:szCs w:val="30"/>
                <w:rtl/>
                <w:lang w:bidi="ar-EG"/>
              </w:rPr>
              <w:t xml:space="preserve">ه3.1 </w:t>
            </w:r>
            <w:r w:rsidRPr="00C20CF6">
              <w:rPr>
                <w:rFonts w:ascii="Arabic Typesetting" w:hAnsi="Arabic Typesetting" w:cs="Arabic Typesetting"/>
                <w:b/>
                <w:color w:val="000000"/>
                <w:sz w:val="30"/>
                <w:szCs w:val="30"/>
                <w:rtl/>
                <w:lang w:bidi="ar-EG"/>
              </w:rPr>
              <w:t>حماية متزايدة لشعارات وأسماء المنظمات الحكومية الدولية وشعاراتها</w:t>
            </w:r>
          </w:p>
        </w:tc>
        <w:tc>
          <w:tcPr>
            <w:tcW w:w="1781"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b/>
                <w:color w:val="000000"/>
                <w:sz w:val="30"/>
                <w:szCs w:val="30"/>
                <w:rtl/>
                <w:lang w:bidi="ar-EG"/>
              </w:rPr>
            </w:pPr>
            <w:r w:rsidRPr="006D6E09">
              <w:rPr>
                <w:rFonts w:ascii="Arabic Typesetting" w:hAnsi="Arabic Typesetting" w:cs="Arabic Typesetting"/>
                <w:b/>
                <w:color w:val="000000"/>
                <w:sz w:val="30"/>
                <w:szCs w:val="30"/>
                <w:rtl/>
                <w:lang w:bidi="ar-EG"/>
              </w:rPr>
              <w:t>العدد المعالج من طلبات التبليغ بناء على المادة</w:t>
            </w:r>
            <w:r w:rsidRPr="006D6E09">
              <w:rPr>
                <w:rFonts w:ascii="Arabic Typesetting" w:hAnsi="Arabic Typesetting" w:cs="Arabic Typesetting" w:hint="cs"/>
                <w:b/>
                <w:color w:val="000000"/>
                <w:sz w:val="30"/>
                <w:szCs w:val="30"/>
                <w:rtl/>
                <w:lang w:bidi="ar-EG"/>
              </w:rPr>
              <w:t> </w:t>
            </w:r>
            <w:r w:rsidRPr="006D6E09">
              <w:rPr>
                <w:rFonts w:ascii="Arabic Typesetting" w:hAnsi="Arabic Typesetting" w:cs="Arabic Typesetting"/>
                <w:b/>
                <w:color w:val="000000"/>
                <w:sz w:val="30"/>
                <w:szCs w:val="30"/>
                <w:rtl/>
                <w:lang w:bidi="ar-EG"/>
              </w:rPr>
              <w:t>6</w:t>
            </w:r>
            <w:r w:rsidRPr="006D6E09">
              <w:rPr>
                <w:rFonts w:ascii="Arabic Typesetting" w:hAnsi="Arabic Typesetting" w:cs="Arabic Typesetting" w:hint="cs"/>
                <w:b/>
                <w:color w:val="000000"/>
                <w:sz w:val="30"/>
                <w:szCs w:val="30"/>
                <w:rtl/>
                <w:lang w:bidi="ar-EG"/>
              </w:rPr>
              <w:t> </w:t>
            </w:r>
            <w:r w:rsidRPr="006D6E09">
              <w:rPr>
                <w:rFonts w:ascii="Arabic Typesetting" w:hAnsi="Arabic Typesetting" w:cs="Arabic Typesetting"/>
                <w:b/>
                <w:color w:val="000000"/>
                <w:sz w:val="30"/>
                <w:szCs w:val="30"/>
                <w:rtl/>
                <w:lang w:bidi="ar-EG"/>
              </w:rPr>
              <w:t>(ثالثا)</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w:t>
            </w:r>
          </w:p>
        </w:tc>
        <w:tc>
          <w:tcPr>
            <w:tcW w:w="531" w:type="pct"/>
            <w:shd w:val="clear" w:color="auto" w:fill="auto"/>
            <w:vAlign w:val="center"/>
          </w:tcPr>
          <w:p w:rsidR="00050F38" w:rsidRPr="00C229DD" w:rsidRDefault="00050F38" w:rsidP="00486CE1">
            <w:pPr>
              <w:bidi/>
              <w:jc w:val="center"/>
              <w:rPr>
                <w:rFonts w:ascii="Wingdings" w:hAnsi="Wingdings" w:cs="Calibri"/>
                <w:color w:val="FF0000"/>
                <w:szCs w:val="22"/>
                <w:lang w:bidi="ar-EG"/>
              </w:rPr>
            </w:pPr>
            <w:r w:rsidRPr="00C229DD">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b/>
                <w:color w:val="000000"/>
                <w:sz w:val="30"/>
                <w:szCs w:val="30"/>
                <w:rtl/>
                <w:lang w:bidi="ar-EG"/>
              </w:rPr>
            </w:pPr>
            <w:r w:rsidRPr="00E32B37">
              <w:rPr>
                <w:rFonts w:ascii="Arabic Typesetting" w:hAnsi="Arabic Typesetting" w:cs="Arabic Typesetting"/>
                <w:b/>
                <w:color w:val="000000"/>
                <w:sz w:val="30"/>
                <w:szCs w:val="30"/>
                <w:rtl/>
                <w:lang w:bidi="ar-EG"/>
              </w:rPr>
              <w:t>عدد العلامات المنشورة في قاعدة البيانات الخاصة بالمادة 6 (ثالثا)</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w:t>
            </w:r>
          </w:p>
        </w:tc>
        <w:tc>
          <w:tcPr>
            <w:tcW w:w="531" w:type="pct"/>
            <w:shd w:val="clear" w:color="auto" w:fill="auto"/>
            <w:vAlign w:val="center"/>
          </w:tcPr>
          <w:p w:rsidR="00050F38" w:rsidRPr="00C229DD" w:rsidRDefault="00050F38" w:rsidP="00486CE1">
            <w:pPr>
              <w:bidi/>
              <w:jc w:val="center"/>
              <w:rPr>
                <w:rFonts w:ascii="Wingdings" w:hAnsi="Wingdings" w:cs="Calibri"/>
                <w:color w:val="FF0000"/>
                <w:szCs w:val="22"/>
                <w:lang w:bidi="ar-EG"/>
              </w:rPr>
            </w:pPr>
            <w:r w:rsidRPr="004B0BC7">
              <w:rPr>
                <w:rFonts w:ascii="Wingdings" w:hAnsi="Wingdings" w:cs="Calibri"/>
                <w:color w:val="10862C"/>
                <w:szCs w:val="22"/>
                <w:lang w:bidi="ar-EG"/>
              </w:rPr>
              <w:t></w:t>
            </w:r>
          </w:p>
        </w:tc>
      </w:tr>
    </w:tbl>
    <w:p w:rsidR="00BE7DA0" w:rsidRPr="00967AAF" w:rsidRDefault="00BE7DA0" w:rsidP="00647020">
      <w:pPr>
        <w:pStyle w:val="Heading3AR"/>
        <w:spacing w:after="120"/>
        <w:ind w:left="1133" w:hanging="1133"/>
        <w:rPr>
          <w:rtl/>
        </w:rPr>
      </w:pPr>
      <w:bookmarkStart w:id="20" w:name="_Toc450635399"/>
      <w:bookmarkStart w:id="21" w:name="_Toc455393364"/>
      <w:r w:rsidRPr="00967AAF">
        <w:rPr>
          <w:rtl/>
        </w:rPr>
        <w:lastRenderedPageBreak/>
        <w:t>البرنامج</w:t>
      </w:r>
      <w:r w:rsidRPr="00967AAF">
        <w:t xml:space="preserve"> </w:t>
      </w:r>
      <w:r w:rsidRPr="00967AAF">
        <w:rPr>
          <w:rFonts w:hint="cs"/>
          <w:rtl/>
        </w:rPr>
        <w:t>1:</w:t>
      </w:r>
      <w:r w:rsidRPr="00967AAF">
        <w:tab/>
      </w:r>
      <w:r w:rsidRPr="00967AAF">
        <w:rPr>
          <w:rFonts w:hint="cs"/>
          <w:rtl/>
        </w:rPr>
        <w:t>قانون البراءات</w:t>
      </w:r>
      <w:bookmarkEnd w:id="20"/>
      <w:bookmarkEnd w:id="21"/>
    </w:p>
    <w:p w:rsidR="000E3B10" w:rsidRPr="00FE3908" w:rsidRDefault="000E3B10" w:rsidP="00647020">
      <w:pPr>
        <w:keepNext/>
        <w:bidi/>
        <w:spacing w:after="240" w:line="340" w:lineRule="exact"/>
        <w:ind w:left="1984" w:hanging="1984"/>
        <w:rPr>
          <w:rFonts w:ascii="Arabic Typesetting" w:hAnsi="Arabic Typesetting" w:cs="Arabic Typesetting"/>
          <w:b/>
          <w:bCs/>
          <w:sz w:val="36"/>
          <w:szCs w:val="36"/>
          <w:rtl/>
          <w:lang w:val="fr-CH"/>
        </w:rPr>
      </w:pPr>
      <w:r w:rsidRPr="00FE3908">
        <w:rPr>
          <w:rFonts w:ascii="Arabic Typesetting" w:hAnsi="Arabic Typesetting" w:cs="Arabic Typesetting"/>
          <w:b/>
          <w:bCs/>
          <w:sz w:val="36"/>
          <w:szCs w:val="36"/>
          <w:rtl/>
          <w:lang w:val="fr-CH"/>
        </w:rPr>
        <w:t>المسؤول عن البرنامج</w:t>
      </w:r>
      <w:r w:rsidRPr="00FE3908">
        <w:rPr>
          <w:rFonts w:ascii="Arabic Typesetting" w:hAnsi="Arabic Typesetting" w:cs="Arabic Typesetting" w:hint="cs"/>
          <w:b/>
          <w:bCs/>
          <w:sz w:val="36"/>
          <w:szCs w:val="36"/>
          <w:rtl/>
          <w:lang w:val="fr-CH"/>
        </w:rPr>
        <w:t>:</w:t>
      </w:r>
      <w:r w:rsidRPr="00FE3908">
        <w:rPr>
          <w:rFonts w:ascii="Arabic Typesetting" w:hAnsi="Arabic Typesetting" w:cs="Arabic Typesetting"/>
          <w:b/>
          <w:bCs/>
          <w:sz w:val="36"/>
          <w:szCs w:val="36"/>
          <w:lang w:val="fr-CH"/>
        </w:rPr>
        <w:tab/>
      </w:r>
      <w:r w:rsidRPr="00FE3908">
        <w:rPr>
          <w:rFonts w:ascii="Arabic Typesetting" w:hAnsi="Arabic Typesetting" w:cs="Arabic Typesetting" w:hint="cs"/>
          <w:b/>
          <w:bCs/>
          <w:sz w:val="36"/>
          <w:szCs w:val="36"/>
          <w:rtl/>
          <w:lang w:val="fr-CH"/>
        </w:rPr>
        <w:t xml:space="preserve">السيد </w:t>
      </w:r>
      <w:r>
        <w:rPr>
          <w:rFonts w:ascii="Arabic Typesetting" w:hAnsi="Arabic Typesetting" w:cs="Arabic Typesetting" w:hint="cs"/>
          <w:b/>
          <w:bCs/>
          <w:sz w:val="36"/>
          <w:szCs w:val="36"/>
          <w:rtl/>
          <w:lang w:val="fr-CH"/>
        </w:rPr>
        <w:t>ج</w:t>
      </w:r>
      <w:r w:rsidR="00086C3F">
        <w:rPr>
          <w:rFonts w:ascii="Arabic Typesetting" w:hAnsi="Arabic Typesetting" w:cs="Arabic Typesetting" w:hint="cs"/>
          <w:b/>
          <w:bCs/>
          <w:sz w:val="36"/>
          <w:szCs w:val="36"/>
          <w:rtl/>
          <w:lang w:val="fr-CH"/>
        </w:rPr>
        <w:t>ون</w:t>
      </w:r>
      <w:r w:rsidRPr="00FE3908">
        <w:rPr>
          <w:rFonts w:ascii="Arabic Typesetting" w:hAnsi="Arabic Typesetting" w:cs="Arabic Typesetting" w:hint="cs"/>
          <w:b/>
          <w:bCs/>
          <w:sz w:val="36"/>
          <w:szCs w:val="36"/>
          <w:rtl/>
          <w:lang w:val="fr-CH"/>
        </w:rPr>
        <w:t xml:space="preserve"> </w:t>
      </w:r>
      <w:proofErr w:type="spellStart"/>
      <w:r>
        <w:rPr>
          <w:rFonts w:ascii="Arabic Typesetting" w:hAnsi="Arabic Typesetting" w:cs="Arabic Typesetting" w:hint="cs"/>
          <w:b/>
          <w:bCs/>
          <w:sz w:val="36"/>
          <w:szCs w:val="36"/>
          <w:rtl/>
          <w:lang w:val="fr-CH"/>
        </w:rPr>
        <w:t>سانديج</w:t>
      </w:r>
      <w:proofErr w:type="spellEnd"/>
    </w:p>
    <w:p w:rsidR="000E3B10" w:rsidRPr="00FE3908" w:rsidRDefault="00907E22" w:rsidP="00647020">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ال</w:t>
      </w:r>
      <w:r w:rsidR="00861DB7">
        <w:rPr>
          <w:rFonts w:ascii="Arabic Typesetting" w:hAnsi="Arabic Typesetting" w:cs="Arabic Typesetting" w:hint="cs"/>
          <w:sz w:val="36"/>
          <w:szCs w:val="36"/>
          <w:rtl/>
          <w:lang w:val="fr-CH"/>
        </w:rPr>
        <w:t>إنجازات</w:t>
      </w:r>
      <w:r w:rsidR="0020240E">
        <w:rPr>
          <w:rFonts w:ascii="Arabic Typesetting" w:hAnsi="Arabic Typesetting" w:cs="Arabic Typesetting" w:hint="cs"/>
          <w:sz w:val="36"/>
          <w:szCs w:val="36"/>
          <w:rtl/>
          <w:lang w:val="fr-CH"/>
        </w:rPr>
        <w:t xml:space="preserve"> المحققة</w:t>
      </w:r>
      <w:r w:rsidR="00393028">
        <w:rPr>
          <w:rFonts w:ascii="Arabic Typesetting" w:hAnsi="Arabic Typesetting" w:cs="Arabic Typesetting" w:hint="cs"/>
          <w:sz w:val="36"/>
          <w:szCs w:val="36"/>
          <w:rtl/>
          <w:lang w:val="fr-CH"/>
        </w:rPr>
        <w:t xml:space="preserve"> خلال</w:t>
      </w:r>
      <w:r w:rsidR="00393028" w:rsidRPr="00FE3908">
        <w:rPr>
          <w:rFonts w:ascii="Arabic Typesetting" w:hAnsi="Arabic Typesetting" w:cs="Arabic Typesetting" w:hint="cs"/>
          <w:sz w:val="36"/>
          <w:szCs w:val="36"/>
          <w:rtl/>
          <w:lang w:val="fr-CH"/>
        </w:rPr>
        <w:t xml:space="preserve"> </w:t>
      </w:r>
      <w:r w:rsidR="00CD3180">
        <w:rPr>
          <w:rFonts w:ascii="Arabic Typesetting" w:hAnsi="Arabic Typesetting" w:cs="Arabic Typesetting" w:hint="cs"/>
          <w:sz w:val="36"/>
          <w:szCs w:val="36"/>
          <w:rtl/>
          <w:lang w:val="fr-CH"/>
        </w:rPr>
        <w:t xml:space="preserve">الثنائية </w:t>
      </w:r>
      <w:r w:rsidR="00507DE2">
        <w:rPr>
          <w:rFonts w:ascii="Arabic Typesetting" w:hAnsi="Arabic Typesetting" w:cs="Arabic Typesetting" w:hint="cs"/>
          <w:sz w:val="36"/>
          <w:szCs w:val="36"/>
          <w:rtl/>
          <w:lang w:val="fr-CH"/>
        </w:rPr>
        <w:t>2014/15</w:t>
      </w:r>
    </w:p>
    <w:p w:rsidR="000E3B10" w:rsidRPr="00FE3908" w:rsidRDefault="00861DB7" w:rsidP="009A3712">
      <w:pPr>
        <w:numPr>
          <w:ilvl w:val="1"/>
          <w:numId w:val="1"/>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سعياً</w:t>
      </w:r>
      <w:r w:rsidR="000E3B10" w:rsidRPr="00FE3908">
        <w:rPr>
          <w:rFonts w:ascii="Arabic Typesetting" w:hAnsi="Arabic Typesetting" w:cs="Arabic Typesetting"/>
          <w:sz w:val="34"/>
          <w:szCs w:val="34"/>
          <w:rtl/>
          <w:lang w:val="fr-CH"/>
        </w:rPr>
        <w:t xml:space="preserve"> إلى تعزيز التعاون بين الدول الأعضاء بشأن </w:t>
      </w:r>
      <w:r w:rsidR="000E3B10" w:rsidRPr="00144815">
        <w:rPr>
          <w:rFonts w:ascii="Arabic Typesetting" w:hAnsi="Arabic Typesetting" w:cs="Arabic Typesetting"/>
          <w:sz w:val="34"/>
          <w:szCs w:val="34"/>
          <w:rtl/>
          <w:lang w:val="fr-CH"/>
        </w:rPr>
        <w:t>مواصلة</w:t>
      </w:r>
      <w:r w:rsidR="000E3B10" w:rsidRPr="00FE3908">
        <w:rPr>
          <w:rFonts w:ascii="Arabic Typesetting" w:hAnsi="Arabic Typesetting" w:cs="Arabic Typesetting"/>
          <w:sz w:val="34"/>
          <w:szCs w:val="34"/>
          <w:rtl/>
          <w:lang w:val="fr-CH"/>
        </w:rPr>
        <w:t xml:space="preserve"> رسم السياسة العامة ووضع </w:t>
      </w:r>
      <w:r w:rsidR="000E3B10">
        <w:rPr>
          <w:rFonts w:ascii="Arabic Typesetting" w:hAnsi="Arabic Typesetting" w:cs="Arabic Typesetting" w:hint="cs"/>
          <w:sz w:val="34"/>
          <w:szCs w:val="34"/>
          <w:rtl/>
          <w:lang w:val="fr-CH"/>
        </w:rPr>
        <w:t xml:space="preserve">أطر </w:t>
      </w:r>
      <w:r w:rsidR="000E3B10" w:rsidRPr="00FE3908">
        <w:rPr>
          <w:rFonts w:ascii="Arabic Typesetting" w:hAnsi="Arabic Typesetting" w:cs="Arabic Typesetting"/>
          <w:sz w:val="34"/>
          <w:szCs w:val="34"/>
          <w:rtl/>
          <w:lang w:val="fr-CH"/>
        </w:rPr>
        <w:t xml:space="preserve">القواعد والمعايير بشكل متوازن من أجل نظام البراءات الدولي، عُقدت الدورتان </w:t>
      </w:r>
      <w:r w:rsidR="000E3B10">
        <w:rPr>
          <w:rFonts w:ascii="Arabic Typesetting" w:hAnsi="Arabic Typesetting" w:cs="Arabic Typesetting" w:hint="cs"/>
          <w:sz w:val="34"/>
          <w:szCs w:val="34"/>
          <w:rtl/>
          <w:lang w:val="fr-CH"/>
        </w:rPr>
        <w:t>العشرين</w:t>
      </w:r>
      <w:r w:rsidR="000E3B10">
        <w:rPr>
          <w:rFonts w:ascii="Arabic Typesetting" w:hAnsi="Arabic Typesetting" w:cs="Arabic Typesetting"/>
          <w:sz w:val="34"/>
          <w:szCs w:val="34"/>
          <w:rtl/>
          <w:lang w:val="fr-CH"/>
        </w:rPr>
        <w:t xml:space="preserve"> وال</w:t>
      </w:r>
      <w:r w:rsidR="000E3B10">
        <w:rPr>
          <w:rFonts w:ascii="Arabic Typesetting" w:hAnsi="Arabic Typesetting" w:cs="Arabic Typesetting" w:hint="cs"/>
          <w:sz w:val="34"/>
          <w:szCs w:val="34"/>
          <w:rtl/>
          <w:lang w:val="fr-CH"/>
        </w:rPr>
        <w:t>حادية والعشرين</w:t>
      </w:r>
      <w:r w:rsidR="000E3B10" w:rsidRPr="00FE3908">
        <w:rPr>
          <w:rFonts w:ascii="Arabic Typesetting" w:hAnsi="Arabic Typesetting" w:cs="Arabic Typesetting"/>
          <w:sz w:val="34"/>
          <w:szCs w:val="34"/>
          <w:rtl/>
          <w:lang w:val="fr-CH"/>
        </w:rPr>
        <w:t xml:space="preserve"> </w:t>
      </w:r>
      <w:r w:rsidR="000E3B10">
        <w:rPr>
          <w:rFonts w:ascii="Arabic Typesetting" w:hAnsi="Arabic Typesetting" w:cs="Arabic Typesetting" w:hint="cs"/>
          <w:sz w:val="34"/>
          <w:szCs w:val="34"/>
          <w:rtl/>
          <w:lang w:val="fr-CH"/>
        </w:rPr>
        <w:t>والثانية والعشرين والثالثة</w:t>
      </w:r>
      <w:r>
        <w:rPr>
          <w:rFonts w:ascii="Arabic Typesetting" w:hAnsi="Arabic Typesetting" w:cs="Arabic Typesetting" w:hint="eastAsia"/>
          <w:sz w:val="34"/>
          <w:szCs w:val="34"/>
          <w:rtl/>
          <w:lang w:val="fr-CH"/>
        </w:rPr>
        <w:t> </w:t>
      </w:r>
      <w:r w:rsidR="000E3B10">
        <w:rPr>
          <w:rFonts w:ascii="Arabic Typesetting" w:hAnsi="Arabic Typesetting" w:cs="Arabic Typesetting" w:hint="cs"/>
          <w:sz w:val="34"/>
          <w:szCs w:val="34"/>
          <w:rtl/>
          <w:lang w:val="fr-CH"/>
        </w:rPr>
        <w:t xml:space="preserve">والعشرين </w:t>
      </w:r>
      <w:r w:rsidR="000E3B10" w:rsidRPr="00FE3908">
        <w:rPr>
          <w:rFonts w:ascii="Arabic Typesetting" w:hAnsi="Arabic Typesetting" w:cs="Arabic Typesetting"/>
          <w:sz w:val="34"/>
          <w:szCs w:val="34"/>
          <w:rtl/>
          <w:lang w:val="fr-CH"/>
        </w:rPr>
        <w:t xml:space="preserve">للجنة الدائمة المعنية بقانون البراءات (اللجنة الدائمة) في </w:t>
      </w:r>
      <w:r w:rsidR="000E3B10">
        <w:rPr>
          <w:rFonts w:ascii="Arabic Typesetting" w:hAnsi="Arabic Typesetting" w:cs="Arabic Typesetting" w:hint="cs"/>
          <w:sz w:val="34"/>
          <w:szCs w:val="34"/>
          <w:rtl/>
          <w:lang w:val="fr-CH"/>
        </w:rPr>
        <w:t>يناير</w:t>
      </w:r>
      <w:r w:rsidR="000E3B10" w:rsidRPr="00FE3908">
        <w:rPr>
          <w:rFonts w:ascii="Arabic Typesetting" w:hAnsi="Arabic Typesetting" w:cs="Arabic Typesetting"/>
          <w:sz w:val="34"/>
          <w:szCs w:val="34"/>
          <w:rtl/>
          <w:lang w:val="fr-CH"/>
        </w:rPr>
        <w:t xml:space="preserve"> </w:t>
      </w:r>
      <w:r w:rsidR="000E3B10">
        <w:rPr>
          <w:rFonts w:ascii="Arabic Typesetting" w:hAnsi="Arabic Typesetting" w:cs="Arabic Typesetting"/>
          <w:sz w:val="34"/>
          <w:szCs w:val="34"/>
          <w:rtl/>
          <w:lang w:val="fr-CH"/>
        </w:rPr>
        <w:t>و</w:t>
      </w:r>
      <w:r w:rsidR="000E3B10">
        <w:rPr>
          <w:rFonts w:ascii="Arabic Typesetting" w:hAnsi="Arabic Typesetting" w:cs="Arabic Typesetting" w:hint="cs"/>
          <w:sz w:val="34"/>
          <w:szCs w:val="34"/>
          <w:rtl/>
          <w:lang w:val="fr-CH"/>
        </w:rPr>
        <w:t>نوفمبر</w:t>
      </w:r>
      <w:r w:rsidR="000E3B10">
        <w:rPr>
          <w:rFonts w:ascii="Arabic Typesetting" w:hAnsi="Arabic Typesetting" w:cs="Arabic Typesetting"/>
          <w:sz w:val="34"/>
          <w:szCs w:val="34"/>
          <w:rtl/>
          <w:lang w:val="fr-CH"/>
        </w:rPr>
        <w:t xml:space="preserve"> </w:t>
      </w:r>
      <w:r w:rsidR="000E3B10">
        <w:rPr>
          <w:rFonts w:ascii="Arabic Typesetting" w:hAnsi="Arabic Typesetting" w:cs="Arabic Typesetting" w:hint="cs"/>
          <w:sz w:val="34"/>
          <w:szCs w:val="34"/>
          <w:rtl/>
          <w:lang w:val="fr-CH"/>
        </w:rPr>
        <w:t>2014</w:t>
      </w:r>
      <w:r w:rsidR="000E3B10">
        <w:rPr>
          <w:rFonts w:ascii="Arabic Typesetting" w:hAnsi="Arabic Typesetting" w:cs="Arabic Typesetting"/>
          <w:sz w:val="34"/>
          <w:szCs w:val="34"/>
          <w:rtl/>
          <w:lang w:val="fr-CH"/>
        </w:rPr>
        <w:t xml:space="preserve"> </w:t>
      </w:r>
      <w:r w:rsidR="000E3B10">
        <w:rPr>
          <w:rFonts w:ascii="Arabic Typesetting" w:hAnsi="Arabic Typesetting" w:cs="Arabic Typesetting" w:hint="cs"/>
          <w:sz w:val="34"/>
          <w:szCs w:val="34"/>
          <w:rtl/>
          <w:lang w:val="fr-CH"/>
        </w:rPr>
        <w:t xml:space="preserve">ويوليو وديسمبر 2015 </w:t>
      </w:r>
      <w:r w:rsidR="000E3B10">
        <w:rPr>
          <w:rFonts w:ascii="Arabic Typesetting" w:hAnsi="Arabic Typesetting" w:cs="Arabic Typesetting"/>
          <w:sz w:val="34"/>
          <w:szCs w:val="34"/>
          <w:rtl/>
          <w:lang w:val="fr-CH"/>
        </w:rPr>
        <w:t>على التوالي.</w:t>
      </w:r>
      <w:r w:rsidR="000E3B10" w:rsidRPr="00FE3908">
        <w:rPr>
          <w:rFonts w:ascii="Arabic Typesetting" w:hAnsi="Arabic Typesetting" w:cs="Arabic Typesetting"/>
          <w:sz w:val="34"/>
          <w:szCs w:val="34"/>
          <w:rtl/>
          <w:lang w:val="fr-CH"/>
        </w:rPr>
        <w:t xml:space="preserve"> وتابعت اللجنة الدائمة النظر في خمسة موضوعات </w:t>
      </w:r>
      <w:r w:rsidR="000E3B10">
        <w:rPr>
          <w:rFonts w:ascii="Arabic Typesetting" w:hAnsi="Arabic Typesetting" w:cs="Arabic Typesetting" w:hint="cs"/>
          <w:sz w:val="34"/>
          <w:szCs w:val="34"/>
          <w:rtl/>
          <w:lang w:val="fr-CH"/>
        </w:rPr>
        <w:t xml:space="preserve">مطروحة </w:t>
      </w:r>
      <w:r w:rsidR="000E3B10" w:rsidRPr="00FE3908">
        <w:rPr>
          <w:rFonts w:ascii="Arabic Typesetting" w:hAnsi="Arabic Typesetting" w:cs="Arabic Typesetting"/>
          <w:sz w:val="34"/>
          <w:szCs w:val="34"/>
          <w:rtl/>
          <w:lang w:val="fr-CH"/>
        </w:rPr>
        <w:t xml:space="preserve">على جدول أعمالها، وهي </w:t>
      </w:r>
      <w:r w:rsidR="000E3B10">
        <w:rPr>
          <w:rFonts w:ascii="Arabic Typesetting" w:hAnsi="Arabic Typesetting" w:cs="Arabic Typesetting" w:hint="cs"/>
          <w:sz w:val="34"/>
          <w:szCs w:val="34"/>
          <w:rtl/>
          <w:lang w:val="fr-CH"/>
        </w:rPr>
        <w:t>تحديدا</w:t>
      </w:r>
      <w:r w:rsidR="000E3B10" w:rsidRPr="00FE3908">
        <w:rPr>
          <w:rFonts w:ascii="Arabic Typesetting" w:hAnsi="Arabic Typesetting" w:cs="Arabic Typesetting"/>
          <w:sz w:val="34"/>
          <w:szCs w:val="34"/>
          <w:rtl/>
          <w:lang w:val="fr-CH"/>
        </w:rPr>
        <w:t xml:space="preserve">: "1" الاستثناءات والتقييدات </w:t>
      </w:r>
      <w:r w:rsidR="000E3B10">
        <w:rPr>
          <w:rFonts w:ascii="Arabic Typesetting" w:hAnsi="Arabic Typesetting" w:cs="Arabic Typesetting" w:hint="cs"/>
          <w:sz w:val="34"/>
          <w:szCs w:val="34"/>
          <w:rtl/>
          <w:lang w:val="fr-CH"/>
        </w:rPr>
        <w:t xml:space="preserve">على </w:t>
      </w:r>
      <w:r w:rsidR="000E3B10" w:rsidRPr="00FE3908">
        <w:rPr>
          <w:rFonts w:ascii="Arabic Typesetting" w:hAnsi="Arabic Typesetting" w:cs="Arabic Typesetting"/>
          <w:sz w:val="34"/>
          <w:szCs w:val="34"/>
          <w:rtl/>
          <w:lang w:val="fr-CH"/>
        </w:rPr>
        <w:t>حقوق البراءة؛ "2" وجودة البراءات، بما في ذلك أنظمة الاعتراض؛ "3"</w:t>
      </w:r>
      <w:r w:rsidR="000E3B10">
        <w:rPr>
          <w:rFonts w:ascii="Arabic Typesetting" w:hAnsi="Arabic Typesetting" w:cs="Arabic Typesetting" w:hint="cs"/>
          <w:sz w:val="34"/>
          <w:szCs w:val="34"/>
          <w:rtl/>
          <w:lang w:val="fr-CH"/>
        </w:rPr>
        <w:t> </w:t>
      </w:r>
      <w:r w:rsidR="000E3B10" w:rsidRPr="00FE3908">
        <w:rPr>
          <w:rFonts w:ascii="Arabic Typesetting" w:hAnsi="Arabic Typesetting" w:cs="Arabic Typesetting"/>
          <w:sz w:val="34"/>
          <w:szCs w:val="34"/>
          <w:rtl/>
          <w:lang w:val="fr-CH"/>
        </w:rPr>
        <w:t xml:space="preserve">والبراءات والصحة؛ "4" وسرية التواصل بين مستشاري البراءات </w:t>
      </w:r>
      <w:r w:rsidR="000E3B10">
        <w:rPr>
          <w:rFonts w:ascii="Arabic Typesetting" w:hAnsi="Arabic Typesetting" w:cs="Arabic Typesetting"/>
          <w:sz w:val="34"/>
          <w:szCs w:val="34"/>
          <w:rtl/>
          <w:lang w:val="fr-CH"/>
        </w:rPr>
        <w:t>وموكّليهم؛ "5"ونقل التكنولوجيا.</w:t>
      </w:r>
    </w:p>
    <w:p w:rsidR="000E3B10" w:rsidRPr="00FE3908" w:rsidRDefault="000E3B10" w:rsidP="009A3712">
      <w:pPr>
        <w:numPr>
          <w:ilvl w:val="1"/>
          <w:numId w:val="1"/>
        </w:numPr>
        <w:bidi/>
        <w:spacing w:after="120" w:line="340" w:lineRule="exact"/>
        <w:ind w:left="0" w:firstLine="0"/>
        <w:rPr>
          <w:rFonts w:ascii="Arabic Typesetting" w:hAnsi="Arabic Typesetting" w:cs="Arabic Typesetting"/>
          <w:sz w:val="34"/>
          <w:szCs w:val="34"/>
          <w:rtl/>
          <w:lang w:val="fr-CH"/>
        </w:rPr>
      </w:pPr>
      <w:r>
        <w:rPr>
          <w:rFonts w:ascii="Arabic Typesetting" w:hAnsi="Arabic Typesetting" w:cs="Arabic Typesetting"/>
          <w:sz w:val="34"/>
          <w:szCs w:val="34"/>
          <w:rtl/>
          <w:lang w:val="fr-CH"/>
        </w:rPr>
        <w:t>وب</w:t>
      </w:r>
      <w:r w:rsidRPr="00FE3908">
        <w:rPr>
          <w:rFonts w:ascii="Arabic Typesetting" w:hAnsi="Arabic Typesetting" w:cs="Arabic Typesetting"/>
          <w:sz w:val="34"/>
          <w:szCs w:val="34"/>
          <w:rtl/>
          <w:lang w:val="fr-CH"/>
        </w:rPr>
        <w:t>فحص دراسات موضوعية، تمك</w:t>
      </w:r>
      <w:r>
        <w:rPr>
          <w:rFonts w:ascii="Arabic Typesetting" w:hAnsi="Arabic Typesetting" w:cs="Arabic Typesetting" w:hint="cs"/>
          <w:sz w:val="34"/>
          <w:szCs w:val="34"/>
          <w:rtl/>
          <w:lang w:val="fr-CH"/>
        </w:rPr>
        <w:t>ّ</w:t>
      </w:r>
      <w:r w:rsidRPr="00FE3908">
        <w:rPr>
          <w:rFonts w:ascii="Arabic Typesetting" w:hAnsi="Arabic Typesetting" w:cs="Arabic Typesetting"/>
          <w:sz w:val="34"/>
          <w:szCs w:val="34"/>
          <w:rtl/>
          <w:lang w:val="fr-CH"/>
        </w:rPr>
        <w:t xml:space="preserve">نت اللجنة الدائمة من استعراض نظام البراءات الدولي الراهن من منظور شامل، مع مراعاة الاحتياجات والمصالح المختلفة لجميع الدول الأعضاء وأصحاب المصالح. وأسهم النهج التدرجي في توسعة القاعدة المشتركة التي تنطلق منها اللجنة الدائمة في إجراء مناقشاتها. </w:t>
      </w:r>
      <w:r w:rsidR="00CD3180">
        <w:rPr>
          <w:rFonts w:ascii="Arabic Typesetting" w:hAnsi="Arabic Typesetting" w:cs="Arabic Typesetting" w:hint="cs"/>
          <w:sz w:val="34"/>
          <w:szCs w:val="34"/>
          <w:rtl/>
          <w:lang w:val="fr-CH"/>
        </w:rPr>
        <w:t xml:space="preserve">وإضافة إلى ذلك، </w:t>
      </w:r>
      <w:r>
        <w:rPr>
          <w:rFonts w:ascii="Arabic Typesetting" w:hAnsi="Arabic Typesetting" w:cs="Arabic Typesetting"/>
          <w:sz w:val="34"/>
          <w:szCs w:val="34"/>
          <w:rtl/>
          <w:lang w:val="fr-CH"/>
        </w:rPr>
        <w:t>أ</w:t>
      </w:r>
      <w:r>
        <w:rPr>
          <w:rFonts w:ascii="Arabic Typesetting" w:hAnsi="Arabic Typesetting" w:cs="Arabic Typesetting" w:hint="cs"/>
          <w:sz w:val="34"/>
          <w:szCs w:val="34"/>
          <w:rtl/>
          <w:lang w:val="fr-CH"/>
        </w:rPr>
        <w:t>سهم</w:t>
      </w:r>
      <w:r w:rsidRPr="00FE3908">
        <w:rPr>
          <w:rFonts w:ascii="Arabic Typesetting" w:hAnsi="Arabic Typesetting" w:cs="Arabic Typesetting"/>
          <w:sz w:val="34"/>
          <w:szCs w:val="34"/>
          <w:rtl/>
          <w:lang w:val="fr-CH"/>
        </w:rPr>
        <w:t xml:space="preserve"> استخدام اللجنة الدائمة لمنهجيات مختلفة، مثل إعداد دراسات أساسية و</w:t>
      </w:r>
      <w:r>
        <w:rPr>
          <w:rFonts w:ascii="Arabic Typesetting" w:hAnsi="Arabic Typesetting" w:cs="Arabic Typesetting" w:hint="cs"/>
          <w:sz w:val="34"/>
          <w:szCs w:val="34"/>
          <w:rtl/>
          <w:lang w:val="fr-CH"/>
        </w:rPr>
        <w:t xml:space="preserve">تنظيم ندوات وجلسات تشاركية بشأن </w:t>
      </w:r>
      <w:r w:rsidRPr="00FE3908">
        <w:rPr>
          <w:rFonts w:ascii="Arabic Typesetting" w:hAnsi="Arabic Typesetting" w:cs="Arabic Typesetting"/>
          <w:sz w:val="34"/>
          <w:szCs w:val="34"/>
          <w:rtl/>
          <w:lang w:val="fr-CH"/>
        </w:rPr>
        <w:t xml:space="preserve">تنفيذ قانون البراءات </w:t>
      </w:r>
      <w:r>
        <w:rPr>
          <w:rFonts w:ascii="Arabic Typesetting" w:hAnsi="Arabic Typesetting" w:cs="Arabic Typesetting" w:hint="cs"/>
          <w:sz w:val="34"/>
          <w:szCs w:val="34"/>
          <w:rtl/>
          <w:lang w:val="fr-CH"/>
        </w:rPr>
        <w:t xml:space="preserve">على الصعيد الوطني </w:t>
      </w:r>
      <w:r w:rsidRPr="00FE3908">
        <w:rPr>
          <w:rFonts w:ascii="Arabic Typesetting" w:hAnsi="Arabic Typesetting" w:cs="Arabic Typesetting"/>
          <w:sz w:val="34"/>
          <w:szCs w:val="34"/>
          <w:rtl/>
          <w:lang w:val="fr-CH"/>
        </w:rPr>
        <w:t>و</w:t>
      </w:r>
      <w:r w:rsidR="00CD3180">
        <w:rPr>
          <w:rFonts w:ascii="Arabic Typesetting" w:hAnsi="Arabic Typesetting" w:cs="Arabic Typesetting" w:hint="cs"/>
          <w:sz w:val="34"/>
          <w:szCs w:val="34"/>
          <w:rtl/>
          <w:lang w:val="fr-CH"/>
        </w:rPr>
        <w:t>تبادل الخبرات</w:t>
      </w:r>
      <w:r w:rsidR="00CD3180" w:rsidRPr="00FE3908">
        <w:rPr>
          <w:rFonts w:ascii="Arabic Typesetting" w:hAnsi="Arabic Typesetting" w:cs="Arabic Typesetting"/>
          <w:sz w:val="34"/>
          <w:szCs w:val="34"/>
          <w:rtl/>
          <w:lang w:val="fr-CH"/>
        </w:rPr>
        <w:t xml:space="preserve"> </w:t>
      </w:r>
      <w:r w:rsidRPr="00FE3908">
        <w:rPr>
          <w:rFonts w:ascii="Arabic Typesetting" w:hAnsi="Arabic Typesetting" w:cs="Arabic Typesetting"/>
          <w:sz w:val="34"/>
          <w:szCs w:val="34"/>
          <w:rtl/>
          <w:lang w:val="fr-CH"/>
        </w:rPr>
        <w:t>و</w:t>
      </w:r>
      <w:r w:rsidR="00CD3180">
        <w:rPr>
          <w:rFonts w:ascii="Arabic Typesetting" w:hAnsi="Arabic Typesetting" w:cs="Arabic Typesetting" w:hint="cs"/>
          <w:sz w:val="34"/>
          <w:szCs w:val="34"/>
          <w:rtl/>
          <w:lang w:val="fr-CH"/>
        </w:rPr>
        <w:t xml:space="preserve">المعلومات عن </w:t>
      </w:r>
      <w:r w:rsidRPr="00FE3908">
        <w:rPr>
          <w:rFonts w:ascii="Arabic Typesetting" w:hAnsi="Arabic Typesetting" w:cs="Arabic Typesetting"/>
          <w:sz w:val="34"/>
          <w:szCs w:val="34"/>
          <w:rtl/>
          <w:lang w:val="fr-CH"/>
        </w:rPr>
        <w:t xml:space="preserve">التحديات </w:t>
      </w:r>
      <w:r>
        <w:rPr>
          <w:rFonts w:ascii="Arabic Typesetting" w:hAnsi="Arabic Typesetting" w:cs="Arabic Typesetting"/>
          <w:sz w:val="34"/>
          <w:szCs w:val="34"/>
          <w:rtl/>
          <w:lang w:val="fr-CH"/>
        </w:rPr>
        <w:t>الوطنية</w:t>
      </w:r>
      <w:r w:rsidRPr="00FE3908">
        <w:rPr>
          <w:rFonts w:ascii="Arabic Typesetting" w:hAnsi="Arabic Typesetting" w:cs="Arabic Typesetting"/>
          <w:sz w:val="34"/>
          <w:szCs w:val="34"/>
          <w:rtl/>
          <w:lang w:val="fr-CH"/>
        </w:rPr>
        <w:t xml:space="preserve">، في تقدم المناقشات حول القضايا </w:t>
      </w:r>
      <w:r w:rsidRPr="00144815">
        <w:rPr>
          <w:rFonts w:ascii="Arabic Typesetting" w:hAnsi="Arabic Typesetting" w:cs="Arabic Typesetting"/>
          <w:sz w:val="34"/>
          <w:szCs w:val="34"/>
          <w:rtl/>
          <w:lang w:val="fr-CH"/>
        </w:rPr>
        <w:t>ذات الاهتمام المشترك</w:t>
      </w:r>
      <w:r w:rsidRPr="00FE3908">
        <w:rPr>
          <w:rFonts w:ascii="Arabic Typesetting" w:hAnsi="Arabic Typesetting" w:cs="Arabic Typesetting"/>
          <w:sz w:val="34"/>
          <w:szCs w:val="34"/>
          <w:rtl/>
          <w:lang w:val="fr-CH"/>
        </w:rPr>
        <w:t xml:space="preserve"> في</w:t>
      </w:r>
      <w:r>
        <w:rPr>
          <w:rFonts w:ascii="Arabic Typesetting" w:hAnsi="Arabic Typesetting" w:cs="Arabic Typesetting"/>
          <w:sz w:val="34"/>
          <w:szCs w:val="34"/>
          <w:rtl/>
          <w:lang w:val="fr-CH"/>
        </w:rPr>
        <w:t xml:space="preserve"> اللجنة الدائمة. وخلال</w:t>
      </w:r>
      <w:r>
        <w:rPr>
          <w:rFonts w:ascii="Arabic Typesetting" w:hAnsi="Arabic Typesetting" w:cs="Arabic Typesetting" w:hint="cs"/>
          <w:sz w:val="34"/>
          <w:szCs w:val="34"/>
          <w:rtl/>
          <w:lang w:val="fr-CH"/>
        </w:rPr>
        <w:t xml:space="preserve"> </w:t>
      </w:r>
      <w:r w:rsidR="00CD3180">
        <w:rPr>
          <w:rFonts w:ascii="Arabic Typesetting" w:hAnsi="Arabic Typesetting" w:cs="Arabic Typesetting" w:hint="cs"/>
          <w:sz w:val="34"/>
          <w:szCs w:val="34"/>
          <w:rtl/>
          <w:lang w:val="fr-CH"/>
        </w:rPr>
        <w:t xml:space="preserve">الثنائية </w:t>
      </w:r>
      <w:r w:rsidR="00507DE2">
        <w:rPr>
          <w:rFonts w:ascii="Arabic Typesetting" w:hAnsi="Arabic Typesetting" w:cs="Arabic Typesetting" w:hint="cs"/>
          <w:sz w:val="34"/>
          <w:szCs w:val="34"/>
          <w:rtl/>
          <w:lang w:val="fr-CH"/>
        </w:rPr>
        <w:t>2014/15</w:t>
      </w:r>
      <w:r w:rsidRPr="00FE3908">
        <w:rPr>
          <w:rFonts w:ascii="Arabic Typesetting" w:hAnsi="Arabic Typesetting" w:cs="Arabic Typesetting"/>
          <w:sz w:val="34"/>
          <w:szCs w:val="34"/>
          <w:rtl/>
          <w:lang w:val="fr-CH"/>
        </w:rPr>
        <w:t>،</w:t>
      </w:r>
      <w:r>
        <w:rPr>
          <w:rFonts w:ascii="Arabic Typesetting" w:hAnsi="Arabic Typesetting" w:cs="Arabic Typesetting" w:hint="cs"/>
          <w:sz w:val="34"/>
          <w:szCs w:val="34"/>
          <w:rtl/>
          <w:lang w:val="fr-CH"/>
        </w:rPr>
        <w:t xml:space="preserve"> </w:t>
      </w:r>
      <w:r w:rsidRPr="00FE3908">
        <w:rPr>
          <w:rFonts w:ascii="Arabic Typesetting" w:hAnsi="Arabic Typesetting" w:cs="Arabic Typesetting"/>
          <w:sz w:val="34"/>
          <w:szCs w:val="34"/>
          <w:rtl/>
          <w:lang w:val="fr-CH"/>
        </w:rPr>
        <w:t xml:space="preserve">قدمت الدول الأعضاء عددا من المقترحات بشأن الموضوعات المذكورة </w:t>
      </w:r>
      <w:r w:rsidR="00CD3180">
        <w:rPr>
          <w:rFonts w:ascii="Arabic Typesetting" w:hAnsi="Arabic Typesetting" w:cs="Arabic Typesetting" w:hint="cs"/>
          <w:sz w:val="34"/>
          <w:szCs w:val="34"/>
          <w:rtl/>
          <w:lang w:val="fr-CH"/>
        </w:rPr>
        <w:t>آنفاً</w:t>
      </w:r>
      <w:r w:rsidRPr="00FE3908">
        <w:rPr>
          <w:rFonts w:ascii="Arabic Typesetting" w:hAnsi="Arabic Typesetting" w:cs="Arabic Typesetting"/>
          <w:sz w:val="34"/>
          <w:szCs w:val="34"/>
          <w:rtl/>
          <w:lang w:val="fr-CH"/>
        </w:rPr>
        <w:t xml:space="preserve">، </w:t>
      </w:r>
      <w:r>
        <w:rPr>
          <w:rFonts w:ascii="Arabic Typesetting" w:hAnsi="Arabic Typesetting" w:cs="Arabic Typesetting" w:hint="cs"/>
          <w:sz w:val="34"/>
          <w:szCs w:val="34"/>
          <w:rtl/>
          <w:lang w:val="fr-CH"/>
        </w:rPr>
        <w:t>م</w:t>
      </w:r>
      <w:r w:rsidRPr="00FE3908">
        <w:rPr>
          <w:rFonts w:ascii="Arabic Typesetting" w:hAnsi="Arabic Typesetting" w:cs="Arabic Typesetting"/>
          <w:sz w:val="34"/>
          <w:szCs w:val="34"/>
          <w:rtl/>
          <w:lang w:val="fr-CH"/>
        </w:rPr>
        <w:t xml:space="preserve">ما </w:t>
      </w:r>
      <w:r>
        <w:rPr>
          <w:rFonts w:ascii="Arabic Typesetting" w:hAnsi="Arabic Typesetting" w:cs="Arabic Typesetting" w:hint="cs"/>
          <w:sz w:val="34"/>
          <w:szCs w:val="34"/>
          <w:rtl/>
          <w:lang w:val="fr-CH"/>
        </w:rPr>
        <w:t>يبيّن</w:t>
      </w:r>
      <w:r w:rsidRPr="00FE3908">
        <w:rPr>
          <w:rFonts w:ascii="Arabic Typesetting" w:hAnsi="Arabic Typesetting" w:cs="Arabic Typesetting"/>
          <w:sz w:val="34"/>
          <w:szCs w:val="34"/>
          <w:rtl/>
          <w:lang w:val="fr-CH"/>
        </w:rPr>
        <w:t xml:space="preserve"> التزام الد</w:t>
      </w:r>
      <w:r>
        <w:rPr>
          <w:rFonts w:ascii="Arabic Typesetting" w:hAnsi="Arabic Typesetting" w:cs="Arabic Typesetting"/>
          <w:sz w:val="34"/>
          <w:szCs w:val="34"/>
          <w:rtl/>
          <w:lang w:val="fr-CH"/>
        </w:rPr>
        <w:t>ول الأعضاء بعمل اللجنة الدائمة.</w:t>
      </w:r>
    </w:p>
    <w:p w:rsidR="00E22E36" w:rsidRDefault="000E3B10" w:rsidP="009A3712">
      <w:pPr>
        <w:numPr>
          <w:ilvl w:val="1"/>
          <w:numId w:val="1"/>
        </w:numPr>
        <w:bidi/>
        <w:spacing w:after="120" w:line="340" w:lineRule="exact"/>
        <w:ind w:left="0" w:firstLine="0"/>
        <w:rPr>
          <w:rFonts w:ascii="Arabic Typesetting" w:hAnsi="Arabic Typesetting" w:cs="Arabic Typesetting"/>
          <w:sz w:val="34"/>
          <w:szCs w:val="34"/>
          <w:lang w:val="fr-CH"/>
        </w:rPr>
      </w:pPr>
      <w:r w:rsidRPr="00907E22">
        <w:rPr>
          <w:rFonts w:ascii="Arabic Typesetting" w:hAnsi="Arabic Typesetting" w:cs="Arabic Typesetting"/>
          <w:sz w:val="34"/>
          <w:szCs w:val="34"/>
          <w:rtl/>
          <w:lang w:val="fr-CH"/>
        </w:rPr>
        <w:t xml:space="preserve">وفيما يتعلق بالمعاهدات التي تديرها الويبو في مجال البراءات، </w:t>
      </w:r>
      <w:r w:rsidRPr="00907E22">
        <w:rPr>
          <w:rFonts w:ascii="Arabic Typesetting" w:hAnsi="Arabic Typesetting" w:cs="Arabic Typesetting" w:hint="cs"/>
          <w:sz w:val="34"/>
          <w:szCs w:val="34"/>
          <w:rtl/>
          <w:lang w:val="fr-CH"/>
        </w:rPr>
        <w:t>شهد</w:t>
      </w:r>
      <w:r w:rsidR="00CD3180" w:rsidRPr="00907E22">
        <w:rPr>
          <w:rFonts w:ascii="Arabic Typesetting" w:hAnsi="Arabic Typesetting" w:cs="Arabic Typesetting" w:hint="cs"/>
          <w:sz w:val="34"/>
          <w:szCs w:val="34"/>
          <w:rtl/>
          <w:lang w:val="fr-CH"/>
        </w:rPr>
        <w:t xml:space="preserve">ت الثنائية </w:t>
      </w:r>
      <w:r w:rsidR="00507DE2">
        <w:rPr>
          <w:rFonts w:ascii="Arabic Typesetting" w:hAnsi="Arabic Typesetting" w:cs="Arabic Typesetting" w:hint="cs"/>
          <w:sz w:val="34"/>
          <w:szCs w:val="34"/>
          <w:rtl/>
          <w:lang w:val="fr-CH"/>
        </w:rPr>
        <w:t>2014/15</w:t>
      </w:r>
      <w:r w:rsidRPr="00907E22">
        <w:rPr>
          <w:rFonts w:ascii="Arabic Typesetting" w:hAnsi="Arabic Typesetting" w:cs="Arabic Typesetting"/>
          <w:sz w:val="34"/>
          <w:szCs w:val="34"/>
          <w:rtl/>
          <w:lang w:val="fr-CH"/>
        </w:rPr>
        <w:t xml:space="preserve"> </w:t>
      </w:r>
      <w:r w:rsidRPr="00907E22">
        <w:rPr>
          <w:rFonts w:ascii="Arabic Typesetting" w:hAnsi="Arabic Typesetting" w:cs="Arabic Typesetting" w:hint="cs"/>
          <w:sz w:val="34"/>
          <w:szCs w:val="34"/>
          <w:rtl/>
          <w:lang w:val="fr-CH"/>
        </w:rPr>
        <w:t>انضمام دولة واحدة</w:t>
      </w:r>
      <w:r w:rsidRPr="00907E22">
        <w:rPr>
          <w:rFonts w:ascii="Arabic Typesetting" w:hAnsi="Arabic Typesetting" w:cs="Arabic Typesetting"/>
          <w:sz w:val="34"/>
          <w:szCs w:val="34"/>
          <w:rtl/>
          <w:lang w:val="fr-CH"/>
        </w:rPr>
        <w:t xml:space="preserve"> </w:t>
      </w:r>
      <w:r w:rsidRPr="00907E22">
        <w:rPr>
          <w:rFonts w:ascii="Arabic Typesetting" w:hAnsi="Arabic Typesetting" w:cs="Arabic Typesetting" w:hint="cs"/>
          <w:sz w:val="34"/>
          <w:szCs w:val="34"/>
          <w:rtl/>
          <w:lang w:val="fr-CH"/>
        </w:rPr>
        <w:t xml:space="preserve">(الكويت) </w:t>
      </w:r>
      <w:r w:rsidRPr="00907E22">
        <w:rPr>
          <w:rFonts w:ascii="Arabic Typesetting" w:hAnsi="Arabic Typesetting" w:cs="Arabic Typesetting"/>
          <w:sz w:val="34"/>
          <w:szCs w:val="34"/>
          <w:rtl/>
          <w:lang w:val="fr-CH"/>
        </w:rPr>
        <w:t>إلى اتفاقية باريس</w:t>
      </w:r>
      <w:r w:rsidRPr="00907E22">
        <w:rPr>
          <w:rFonts w:ascii="Arabic Typesetting" w:hAnsi="Arabic Typesetting" w:cs="Arabic Typesetting" w:hint="cs"/>
          <w:sz w:val="34"/>
          <w:szCs w:val="34"/>
          <w:rtl/>
          <w:lang w:val="fr-CH"/>
        </w:rPr>
        <w:t>.</w:t>
      </w:r>
    </w:p>
    <w:p w:rsidR="000E3B10" w:rsidRPr="00907E22" w:rsidRDefault="00067B20" w:rsidP="009A3712">
      <w:pPr>
        <w:numPr>
          <w:ilvl w:val="1"/>
          <w:numId w:val="1"/>
        </w:numPr>
        <w:bidi/>
        <w:spacing w:after="120" w:line="340" w:lineRule="exact"/>
        <w:ind w:left="0" w:firstLine="0"/>
        <w:rPr>
          <w:rFonts w:ascii="Arabic Typesetting" w:hAnsi="Arabic Typesetting" w:cs="Arabic Typesetting"/>
          <w:sz w:val="34"/>
          <w:szCs w:val="34"/>
          <w:lang w:val="fr-CH"/>
        </w:rPr>
      </w:pPr>
      <w:r w:rsidRPr="00907E22">
        <w:rPr>
          <w:rFonts w:ascii="Arabic Typesetting" w:hAnsi="Arabic Typesetting" w:cs="Arabic Typesetting"/>
          <w:sz w:val="34"/>
          <w:szCs w:val="34"/>
          <w:rtl/>
          <w:lang w:val="fr-CH"/>
        </w:rPr>
        <w:t>و</w:t>
      </w:r>
      <w:r w:rsidRPr="00907E22">
        <w:rPr>
          <w:rFonts w:ascii="Arabic Typesetting" w:hAnsi="Arabic Typesetting" w:cs="Arabic Typesetting" w:hint="cs"/>
          <w:sz w:val="34"/>
          <w:szCs w:val="34"/>
          <w:rtl/>
          <w:lang w:val="fr-CH"/>
        </w:rPr>
        <w:t>استندت</w:t>
      </w:r>
      <w:r w:rsidRPr="00907E22">
        <w:rPr>
          <w:rFonts w:ascii="Arabic Typesetting" w:hAnsi="Arabic Typesetting" w:cs="Arabic Typesetting"/>
          <w:sz w:val="34"/>
          <w:szCs w:val="34"/>
          <w:rtl/>
          <w:lang w:val="fr-CH"/>
        </w:rPr>
        <w:t xml:space="preserve"> </w:t>
      </w:r>
      <w:r w:rsidR="000E3B10" w:rsidRPr="00907E22">
        <w:rPr>
          <w:rFonts w:ascii="Arabic Typesetting" w:hAnsi="Arabic Typesetting" w:cs="Arabic Typesetting"/>
          <w:sz w:val="34"/>
          <w:szCs w:val="34"/>
          <w:rtl/>
          <w:lang w:val="fr-CH"/>
        </w:rPr>
        <w:t xml:space="preserve">المساعدة التي تقدمها الويبو في مجال التشريع والسياسات </w:t>
      </w:r>
      <w:r w:rsidRPr="00907E22">
        <w:rPr>
          <w:rFonts w:ascii="Arabic Typesetting" w:hAnsi="Arabic Typesetting" w:cs="Arabic Typesetting" w:hint="cs"/>
          <w:sz w:val="34"/>
          <w:szCs w:val="34"/>
          <w:rtl/>
          <w:lang w:val="fr-CH"/>
        </w:rPr>
        <w:t>بانتظام</w:t>
      </w:r>
      <w:r w:rsidR="000E3B10" w:rsidRPr="00907E22">
        <w:rPr>
          <w:rFonts w:ascii="Arabic Typesetting" w:hAnsi="Arabic Typesetting" w:cs="Arabic Typesetting"/>
          <w:sz w:val="34"/>
          <w:szCs w:val="34"/>
          <w:rtl/>
          <w:lang w:val="fr-CH"/>
        </w:rPr>
        <w:t xml:space="preserve"> إلى الإطار القانوني </w:t>
      </w:r>
      <w:r w:rsidR="000E3B10" w:rsidRPr="00907E22">
        <w:rPr>
          <w:rFonts w:ascii="Arabic Typesetting" w:hAnsi="Arabic Typesetting" w:cs="Arabic Typesetting" w:hint="cs"/>
          <w:sz w:val="34"/>
          <w:szCs w:val="34"/>
          <w:rtl/>
          <w:lang w:val="fr-CH"/>
        </w:rPr>
        <w:t>ال</w:t>
      </w:r>
      <w:r w:rsidR="000E3B10" w:rsidRPr="00907E22">
        <w:rPr>
          <w:rFonts w:ascii="Arabic Typesetting" w:hAnsi="Arabic Typesetting" w:cs="Arabic Typesetting"/>
          <w:sz w:val="34"/>
          <w:szCs w:val="34"/>
          <w:rtl/>
          <w:lang w:val="fr-CH"/>
        </w:rPr>
        <w:t>متعدد الأطراف. و</w:t>
      </w:r>
      <w:r w:rsidR="000E3B10" w:rsidRPr="00907E22">
        <w:rPr>
          <w:rFonts w:ascii="Arabic Typesetting" w:hAnsi="Arabic Typesetting" w:cs="Arabic Typesetting" w:hint="cs"/>
          <w:sz w:val="34"/>
          <w:szCs w:val="34"/>
          <w:rtl/>
          <w:lang w:val="fr-CH"/>
        </w:rPr>
        <w:t>قد</w:t>
      </w:r>
      <w:r w:rsidRPr="00907E22">
        <w:rPr>
          <w:rFonts w:ascii="Arabic Typesetting" w:hAnsi="Arabic Typesetting" w:cs="Arabic Typesetting" w:hint="eastAsia"/>
          <w:sz w:val="34"/>
          <w:szCs w:val="34"/>
          <w:rtl/>
          <w:lang w:val="fr-CH"/>
        </w:rPr>
        <w:t> </w:t>
      </w:r>
      <w:r w:rsidR="000E3B10" w:rsidRPr="00907E22">
        <w:rPr>
          <w:rFonts w:ascii="Arabic Typesetting" w:hAnsi="Arabic Typesetting" w:cs="Arabic Typesetting" w:hint="cs"/>
          <w:sz w:val="34"/>
          <w:szCs w:val="34"/>
          <w:rtl/>
          <w:lang w:val="fr-CH"/>
        </w:rPr>
        <w:t xml:space="preserve">شهدت </w:t>
      </w:r>
      <w:r w:rsidR="000E3B10" w:rsidRPr="00907E22">
        <w:rPr>
          <w:rFonts w:ascii="Arabic Typesetting" w:hAnsi="Arabic Typesetting" w:cs="Arabic Typesetting"/>
          <w:sz w:val="34"/>
          <w:szCs w:val="34"/>
          <w:rtl/>
          <w:lang w:val="fr-CH"/>
        </w:rPr>
        <w:t>أنشطة الدول الأعضاء التشريعية</w:t>
      </w:r>
      <w:r w:rsidR="000E3B10" w:rsidRPr="00907E22">
        <w:rPr>
          <w:rFonts w:ascii="Arabic Typesetting" w:hAnsi="Arabic Typesetting" w:cs="Arabic Typesetting" w:hint="cs"/>
          <w:sz w:val="34"/>
          <w:szCs w:val="34"/>
          <w:rtl/>
          <w:lang w:val="fr-CH"/>
        </w:rPr>
        <w:t xml:space="preserve"> تزايدا يُعزى</w:t>
      </w:r>
      <w:r w:rsidR="000E3B10" w:rsidRPr="00907E22">
        <w:rPr>
          <w:rFonts w:ascii="Arabic Typesetting" w:hAnsi="Arabic Typesetting" w:cs="Arabic Typesetting"/>
          <w:sz w:val="34"/>
          <w:szCs w:val="34"/>
          <w:rtl/>
          <w:lang w:val="fr-CH"/>
        </w:rPr>
        <w:t xml:space="preserve"> </w:t>
      </w:r>
      <w:r w:rsidR="000E3B10" w:rsidRPr="00907E22">
        <w:rPr>
          <w:rFonts w:ascii="Arabic Typesetting" w:hAnsi="Arabic Typesetting" w:cs="Arabic Typesetting" w:hint="cs"/>
          <w:sz w:val="34"/>
          <w:szCs w:val="34"/>
          <w:rtl/>
          <w:lang w:val="fr-CH"/>
        </w:rPr>
        <w:t>خصوصا</w:t>
      </w:r>
      <w:r w:rsidR="000E3B10" w:rsidRPr="00907E22">
        <w:rPr>
          <w:rFonts w:ascii="Arabic Typesetting" w:hAnsi="Arabic Typesetting" w:cs="Arabic Typesetting"/>
          <w:sz w:val="34"/>
          <w:szCs w:val="34"/>
          <w:rtl/>
          <w:lang w:val="fr-CH"/>
        </w:rPr>
        <w:t xml:space="preserve"> إلى </w:t>
      </w:r>
      <w:r w:rsidR="000E3B10" w:rsidRPr="00907E22">
        <w:rPr>
          <w:rFonts w:ascii="Arabic Typesetting" w:hAnsi="Arabic Typesetting" w:cs="Arabic Typesetting" w:hint="cs"/>
          <w:sz w:val="34"/>
          <w:szCs w:val="34"/>
          <w:rtl/>
          <w:lang w:val="fr-CH"/>
        </w:rPr>
        <w:t>مشاركتها</w:t>
      </w:r>
      <w:r w:rsidR="000E3B10" w:rsidRPr="00907E22">
        <w:rPr>
          <w:rFonts w:ascii="Arabic Typesetting" w:hAnsi="Arabic Typesetting" w:cs="Arabic Typesetting"/>
          <w:sz w:val="34"/>
          <w:szCs w:val="34"/>
          <w:rtl/>
          <w:lang w:val="fr-CH"/>
        </w:rPr>
        <w:t xml:space="preserve"> </w:t>
      </w:r>
      <w:r w:rsidR="000E3B10" w:rsidRPr="00907E22">
        <w:rPr>
          <w:rFonts w:ascii="Arabic Typesetting" w:hAnsi="Arabic Typesetting" w:cs="Arabic Typesetting" w:hint="cs"/>
          <w:sz w:val="34"/>
          <w:szCs w:val="34"/>
          <w:rtl/>
          <w:lang w:val="fr-CH"/>
        </w:rPr>
        <w:t xml:space="preserve">في </w:t>
      </w:r>
      <w:r w:rsidR="000E3B10" w:rsidRPr="00907E22">
        <w:rPr>
          <w:rFonts w:ascii="Arabic Typesetting" w:hAnsi="Arabic Typesetting" w:cs="Arabic Typesetting"/>
          <w:sz w:val="34"/>
          <w:szCs w:val="34"/>
          <w:rtl/>
          <w:lang w:val="fr-CH"/>
        </w:rPr>
        <w:t xml:space="preserve">عمليات تكامل اقتصادي إقليمية وتوقيعها اتفاقات تجارة تفضيلية. </w:t>
      </w:r>
      <w:r w:rsidR="000E3B10" w:rsidRPr="00907E22">
        <w:rPr>
          <w:rFonts w:ascii="Arabic Typesetting" w:hAnsi="Arabic Typesetting" w:cs="Arabic Typesetting" w:hint="cs"/>
          <w:sz w:val="34"/>
          <w:szCs w:val="34"/>
          <w:rtl/>
          <w:lang w:val="fr-CH"/>
        </w:rPr>
        <w:t>و</w:t>
      </w:r>
      <w:r w:rsidR="000E3B10" w:rsidRPr="00907E22">
        <w:rPr>
          <w:rFonts w:ascii="Arabic Typesetting" w:hAnsi="Arabic Typesetting" w:cs="Arabic Typesetting"/>
          <w:sz w:val="34"/>
          <w:szCs w:val="34"/>
          <w:rtl/>
          <w:lang w:val="fr-CH"/>
        </w:rPr>
        <w:t xml:space="preserve">إضافة إلى ذلك، </w:t>
      </w:r>
      <w:r w:rsidR="000E3B10" w:rsidRPr="00907E22">
        <w:rPr>
          <w:rFonts w:ascii="Arabic Typesetting" w:hAnsi="Arabic Typesetting" w:cs="Arabic Typesetting" w:hint="cs"/>
          <w:sz w:val="34"/>
          <w:szCs w:val="34"/>
          <w:rtl/>
          <w:lang w:val="fr-CH"/>
        </w:rPr>
        <w:t>يعكف</w:t>
      </w:r>
      <w:r w:rsidR="000E3B10" w:rsidRPr="00907E22">
        <w:rPr>
          <w:rFonts w:ascii="Arabic Typesetting" w:hAnsi="Arabic Typesetting" w:cs="Arabic Typesetting"/>
          <w:sz w:val="34"/>
          <w:szCs w:val="34"/>
          <w:rtl/>
          <w:lang w:val="fr-CH"/>
        </w:rPr>
        <w:t xml:space="preserve"> عدد من البلدان </w:t>
      </w:r>
      <w:r w:rsidR="000E3B10" w:rsidRPr="00907E22">
        <w:rPr>
          <w:rFonts w:ascii="Arabic Typesetting" w:hAnsi="Arabic Typesetting" w:cs="Arabic Typesetting" w:hint="cs"/>
          <w:sz w:val="34"/>
          <w:szCs w:val="34"/>
          <w:rtl/>
          <w:lang w:val="fr-CH"/>
        </w:rPr>
        <w:t xml:space="preserve">على مراجعة </w:t>
      </w:r>
      <w:r w:rsidR="000E3B10" w:rsidRPr="00907E22">
        <w:rPr>
          <w:rFonts w:ascii="Arabic Typesetting" w:hAnsi="Arabic Typesetting" w:cs="Arabic Typesetting"/>
          <w:sz w:val="34"/>
          <w:szCs w:val="34"/>
          <w:rtl/>
          <w:lang w:val="fr-CH"/>
        </w:rPr>
        <w:t>قوانينه المتعلقة بالبراءات ل</w:t>
      </w:r>
      <w:r w:rsidR="000E3B10" w:rsidRPr="00907E22">
        <w:rPr>
          <w:rFonts w:ascii="Arabic Typesetting" w:hAnsi="Arabic Typesetting" w:cs="Arabic Typesetting" w:hint="cs"/>
          <w:sz w:val="34"/>
          <w:szCs w:val="34"/>
          <w:rtl/>
          <w:lang w:val="fr-CH"/>
        </w:rPr>
        <w:t>استيعاب</w:t>
      </w:r>
      <w:r w:rsidR="000E3B10" w:rsidRPr="00907E22">
        <w:rPr>
          <w:rFonts w:ascii="Arabic Typesetting" w:hAnsi="Arabic Typesetting" w:cs="Arabic Typesetting"/>
          <w:sz w:val="34"/>
          <w:szCs w:val="34"/>
          <w:rtl/>
          <w:lang w:val="fr-CH"/>
        </w:rPr>
        <w:t xml:space="preserve"> سياسات عامة محلية أو </w:t>
      </w:r>
      <w:r w:rsidRPr="00907E22">
        <w:rPr>
          <w:rFonts w:ascii="Arabic Typesetting" w:hAnsi="Arabic Typesetting" w:cs="Arabic Typesetting" w:hint="cs"/>
          <w:sz w:val="34"/>
          <w:szCs w:val="34"/>
          <w:rtl/>
          <w:lang w:val="fr-CH"/>
        </w:rPr>
        <w:t>لمتابعة</w:t>
      </w:r>
      <w:r w:rsidRPr="00907E22">
        <w:rPr>
          <w:rFonts w:ascii="Arabic Typesetting" w:hAnsi="Arabic Typesetting" w:cs="Arabic Typesetting"/>
          <w:sz w:val="34"/>
          <w:szCs w:val="34"/>
          <w:rtl/>
          <w:lang w:val="fr-CH"/>
        </w:rPr>
        <w:t xml:space="preserve"> </w:t>
      </w:r>
      <w:r w:rsidR="000E3B10" w:rsidRPr="00907E22">
        <w:rPr>
          <w:rFonts w:ascii="Arabic Typesetting" w:hAnsi="Arabic Typesetting" w:cs="Arabic Typesetting"/>
          <w:sz w:val="34"/>
          <w:szCs w:val="34"/>
          <w:rtl/>
          <w:lang w:val="fr-CH"/>
        </w:rPr>
        <w:t>انضمامه إلى معاهدات متعددة الأطراف بشأن البراءات</w:t>
      </w:r>
      <w:r w:rsidR="000E3B10" w:rsidRPr="00907E22">
        <w:rPr>
          <w:rFonts w:ascii="Arabic Typesetting" w:hAnsi="Arabic Typesetting" w:cs="Arabic Typesetting" w:hint="cs"/>
          <w:sz w:val="34"/>
          <w:szCs w:val="34"/>
          <w:rtl/>
          <w:lang w:val="fr-CH"/>
        </w:rPr>
        <w:t>،</w:t>
      </w:r>
      <w:r w:rsidR="000E3B10" w:rsidRPr="00907E22">
        <w:rPr>
          <w:rFonts w:ascii="Arabic Typesetting" w:hAnsi="Arabic Typesetting" w:cs="Arabic Typesetting"/>
          <w:sz w:val="34"/>
          <w:szCs w:val="34"/>
          <w:rtl/>
          <w:lang w:val="fr-CH"/>
        </w:rPr>
        <w:t xml:space="preserve"> وهي تحديدا</w:t>
      </w:r>
      <w:r w:rsidR="000E3B10" w:rsidRPr="00907E22">
        <w:rPr>
          <w:rFonts w:ascii="Arabic Typesetting" w:hAnsi="Arabic Typesetting" w:cs="Arabic Typesetting" w:hint="cs"/>
          <w:sz w:val="34"/>
          <w:szCs w:val="34"/>
          <w:rtl/>
          <w:lang w:val="fr-CH"/>
        </w:rPr>
        <w:t xml:space="preserve"> </w:t>
      </w:r>
      <w:r w:rsidR="000E3B10" w:rsidRPr="00907E22">
        <w:rPr>
          <w:rFonts w:ascii="Arabic Typesetting" w:hAnsi="Arabic Typesetting" w:cs="Arabic Typesetting"/>
          <w:sz w:val="34"/>
          <w:szCs w:val="34"/>
          <w:rtl/>
          <w:lang w:val="fr-CH"/>
        </w:rPr>
        <w:t>معاهدة التعاون بشأن البراءات ومعاهدة بودابست ومعاهدة قانون البراءات</w:t>
      </w:r>
      <w:r w:rsidRPr="00907E22">
        <w:rPr>
          <w:rFonts w:ascii="Arabic Typesetting" w:hAnsi="Arabic Typesetting" w:cs="Arabic Typesetting" w:hint="cs"/>
          <w:sz w:val="34"/>
          <w:szCs w:val="34"/>
          <w:rtl/>
          <w:lang w:val="fr-CH"/>
        </w:rPr>
        <w:t xml:space="preserve"> أو لتنفيذ هذه المعاهدات لأول مرة عن طريق اعتماد لوائح تنظيمية</w:t>
      </w:r>
      <w:r w:rsidR="000E3B10" w:rsidRPr="00907E22">
        <w:rPr>
          <w:rFonts w:ascii="Arabic Typesetting" w:hAnsi="Arabic Typesetting" w:cs="Arabic Typesetting"/>
          <w:sz w:val="34"/>
          <w:szCs w:val="34"/>
          <w:rtl/>
          <w:lang w:val="fr-CH"/>
        </w:rPr>
        <w:t xml:space="preserve">. </w:t>
      </w:r>
      <w:r w:rsidRPr="00907E22">
        <w:rPr>
          <w:rFonts w:ascii="Arabic Typesetting" w:hAnsi="Arabic Typesetting" w:cs="Arabic Typesetting" w:hint="cs"/>
          <w:sz w:val="34"/>
          <w:szCs w:val="34"/>
          <w:rtl/>
          <w:lang w:val="fr-CH"/>
        </w:rPr>
        <w:t>وفضلاً عن ذلك، ف</w:t>
      </w:r>
      <w:r w:rsidR="000E3B10" w:rsidRPr="00907E22">
        <w:rPr>
          <w:rFonts w:ascii="Arabic Typesetting" w:hAnsi="Arabic Typesetting" w:cs="Arabic Typesetting" w:hint="cs"/>
          <w:sz w:val="34"/>
          <w:szCs w:val="34"/>
          <w:rtl/>
          <w:lang w:val="fr-CH"/>
        </w:rPr>
        <w:t xml:space="preserve">إن </w:t>
      </w:r>
      <w:r w:rsidR="000E3B10" w:rsidRPr="00907E22">
        <w:rPr>
          <w:rFonts w:ascii="Arabic Typesetting" w:hAnsi="Arabic Typesetting" w:cs="Arabic Typesetting"/>
          <w:sz w:val="34"/>
          <w:szCs w:val="34"/>
          <w:rtl/>
          <w:lang w:val="fr-CH" w:bidi="ar"/>
        </w:rPr>
        <w:t xml:space="preserve">البلدان المنضمة إلى منظمة التجارة العالمية تراجع إطارها القانوني </w:t>
      </w:r>
      <w:r w:rsidRPr="00907E22">
        <w:rPr>
          <w:rFonts w:ascii="Arabic Typesetting" w:hAnsi="Arabic Typesetting" w:cs="Arabic Typesetting" w:hint="cs"/>
          <w:sz w:val="34"/>
          <w:szCs w:val="34"/>
          <w:rtl/>
          <w:lang w:val="fr-CH" w:bidi="ar"/>
        </w:rPr>
        <w:t>مراجعة</w:t>
      </w:r>
      <w:r w:rsidRPr="00907E22">
        <w:rPr>
          <w:rFonts w:ascii="Arabic Typesetting" w:hAnsi="Arabic Typesetting" w:cs="Arabic Typesetting"/>
          <w:sz w:val="34"/>
          <w:szCs w:val="34"/>
          <w:rtl/>
          <w:lang w:val="fr-CH" w:bidi="ar"/>
        </w:rPr>
        <w:t xml:space="preserve"> </w:t>
      </w:r>
      <w:r w:rsidR="000E3B10" w:rsidRPr="00907E22">
        <w:rPr>
          <w:rFonts w:ascii="Arabic Typesetting" w:hAnsi="Arabic Typesetting" w:cs="Arabic Typesetting"/>
          <w:sz w:val="34"/>
          <w:szCs w:val="34"/>
          <w:rtl/>
          <w:lang w:val="fr-CH" w:bidi="ar"/>
        </w:rPr>
        <w:t>منهجية</w:t>
      </w:r>
      <w:r w:rsidRPr="00907E22">
        <w:rPr>
          <w:rFonts w:ascii="Arabic Typesetting" w:hAnsi="Arabic Typesetting" w:cs="Arabic Typesetting" w:hint="cs"/>
          <w:sz w:val="34"/>
          <w:szCs w:val="34"/>
          <w:rtl/>
        </w:rPr>
        <w:t>.</w:t>
      </w:r>
      <w:r w:rsidRPr="00907E22">
        <w:rPr>
          <w:rFonts w:ascii="Arabic Typesetting" w:hAnsi="Arabic Typesetting" w:cs="Arabic Typesetting"/>
          <w:sz w:val="34"/>
          <w:szCs w:val="34"/>
          <w:rtl/>
        </w:rPr>
        <w:t xml:space="preserve"> </w:t>
      </w:r>
      <w:r w:rsidR="000E3B10" w:rsidRPr="00907E22">
        <w:rPr>
          <w:rFonts w:ascii="Arabic Typesetting" w:hAnsi="Arabic Typesetting" w:cs="Arabic Typesetting"/>
          <w:sz w:val="34"/>
          <w:szCs w:val="34"/>
          <w:rtl/>
        </w:rPr>
        <w:t xml:space="preserve">ومن ثمَّ </w:t>
      </w:r>
      <w:r w:rsidR="000E3B10" w:rsidRPr="00907E22">
        <w:rPr>
          <w:rFonts w:ascii="Arabic Typesetting" w:hAnsi="Arabic Typesetting" w:cs="Arabic Typesetting"/>
          <w:sz w:val="34"/>
          <w:szCs w:val="34"/>
          <w:rtl/>
          <w:lang w:val="fr-CH" w:bidi="ar"/>
        </w:rPr>
        <w:t>تسير طلبات المشورة التشريعية على المنوال</w:t>
      </w:r>
      <w:r w:rsidRPr="00907E22">
        <w:rPr>
          <w:rFonts w:ascii="Arabic Typesetting" w:hAnsi="Arabic Typesetting" w:cs="Arabic Typesetting" w:hint="cs"/>
          <w:sz w:val="34"/>
          <w:szCs w:val="34"/>
          <w:rtl/>
          <w:lang w:val="fr-CH" w:bidi="ar"/>
        </w:rPr>
        <w:t xml:space="preserve"> نفسه</w:t>
      </w:r>
      <w:r w:rsidR="000E3B10" w:rsidRPr="00907E22">
        <w:rPr>
          <w:rFonts w:ascii="Arabic Typesetting" w:hAnsi="Arabic Typesetting" w:cs="Arabic Typesetting"/>
          <w:sz w:val="34"/>
          <w:szCs w:val="34"/>
        </w:rPr>
        <w:t>.</w:t>
      </w:r>
    </w:p>
    <w:p w:rsidR="000E3B10" w:rsidRPr="00C00C45" w:rsidRDefault="00067B20" w:rsidP="009A3712">
      <w:pPr>
        <w:numPr>
          <w:ilvl w:val="1"/>
          <w:numId w:val="1"/>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rPr>
        <w:t>وإضافة إلى</w:t>
      </w:r>
      <w:r w:rsidR="000E3B10">
        <w:rPr>
          <w:rFonts w:ascii="Arabic Typesetting" w:hAnsi="Arabic Typesetting" w:cs="Arabic Typesetting"/>
          <w:sz w:val="34"/>
          <w:szCs w:val="34"/>
          <w:rtl/>
        </w:rPr>
        <w:t xml:space="preserve"> </w:t>
      </w:r>
      <w:r w:rsidR="000E3B10">
        <w:rPr>
          <w:rFonts w:ascii="Arabic Typesetting" w:hAnsi="Arabic Typesetting" w:cs="Arabic Typesetting" w:hint="cs"/>
          <w:sz w:val="34"/>
          <w:szCs w:val="34"/>
          <w:rtl/>
        </w:rPr>
        <w:t xml:space="preserve">ذلك </w:t>
      </w:r>
      <w:r w:rsidR="000E3B10" w:rsidRPr="00FE3908">
        <w:rPr>
          <w:rFonts w:ascii="Arabic Typesetting" w:hAnsi="Arabic Typesetting" w:cs="Arabic Typesetting"/>
          <w:sz w:val="34"/>
          <w:szCs w:val="34"/>
          <w:rtl/>
        </w:rPr>
        <w:t xml:space="preserve">واصلت الأمانة، خلال </w:t>
      </w:r>
      <w:r>
        <w:rPr>
          <w:rFonts w:ascii="Arabic Typesetting" w:hAnsi="Arabic Typesetting" w:cs="Arabic Typesetting" w:hint="cs"/>
          <w:sz w:val="34"/>
          <w:szCs w:val="34"/>
          <w:rtl/>
        </w:rPr>
        <w:t xml:space="preserve">الثنائية </w:t>
      </w:r>
      <w:r w:rsidR="00507DE2">
        <w:rPr>
          <w:rFonts w:ascii="Arabic Typesetting" w:hAnsi="Arabic Typesetting" w:cs="Arabic Typesetting" w:hint="cs"/>
          <w:sz w:val="34"/>
          <w:szCs w:val="34"/>
          <w:rtl/>
        </w:rPr>
        <w:t>2014/15</w:t>
      </w:r>
      <w:r w:rsidR="000E3B10">
        <w:rPr>
          <w:rFonts w:ascii="Arabic Typesetting" w:hAnsi="Arabic Typesetting" w:cs="Arabic Typesetting"/>
          <w:sz w:val="34"/>
          <w:szCs w:val="34"/>
          <w:rtl/>
        </w:rPr>
        <w:t>،</w:t>
      </w:r>
      <w:r w:rsidR="000E3B10" w:rsidRPr="00FE3908">
        <w:rPr>
          <w:rFonts w:ascii="Arabic Typesetting" w:hAnsi="Arabic Typesetting" w:cs="Arabic Typesetting"/>
          <w:sz w:val="34"/>
          <w:szCs w:val="34"/>
          <w:rtl/>
        </w:rPr>
        <w:t xml:space="preserve"> إسهامها في نشر وعي أكبر بالمبادئ والممارسات القانونية لنظام البراءات </w:t>
      </w:r>
      <w:r w:rsidR="000E3B10">
        <w:rPr>
          <w:rFonts w:ascii="Arabic Typesetting" w:hAnsi="Arabic Typesetting" w:cs="Arabic Typesetting" w:hint="cs"/>
          <w:sz w:val="34"/>
          <w:szCs w:val="34"/>
          <w:rtl/>
        </w:rPr>
        <w:t>من خلال</w:t>
      </w:r>
      <w:r w:rsidR="000E3B10">
        <w:rPr>
          <w:rFonts w:ascii="Arabic Typesetting" w:hAnsi="Arabic Typesetting" w:cs="Arabic Typesetting"/>
          <w:sz w:val="34"/>
          <w:szCs w:val="34"/>
          <w:rtl/>
        </w:rPr>
        <w:t xml:space="preserve"> تقديم </w:t>
      </w:r>
      <w:r w:rsidR="000E3B10" w:rsidRPr="00FE3908">
        <w:rPr>
          <w:rFonts w:ascii="Arabic Typesetting" w:hAnsi="Arabic Typesetting" w:cs="Arabic Typesetting"/>
          <w:sz w:val="34"/>
          <w:szCs w:val="34"/>
          <w:rtl/>
        </w:rPr>
        <w:t xml:space="preserve">معلومات </w:t>
      </w:r>
      <w:r w:rsidR="000E3B10">
        <w:rPr>
          <w:rFonts w:ascii="Arabic Typesetting" w:hAnsi="Arabic Typesetting" w:cs="Arabic Typesetting" w:hint="cs"/>
          <w:sz w:val="34"/>
          <w:szCs w:val="34"/>
          <w:rtl/>
        </w:rPr>
        <w:t xml:space="preserve">وجيهة </w:t>
      </w:r>
      <w:r w:rsidR="000E3B10" w:rsidRPr="00FE3908">
        <w:rPr>
          <w:rFonts w:ascii="Arabic Typesetting" w:hAnsi="Arabic Typesetting" w:cs="Arabic Typesetting"/>
          <w:sz w:val="34"/>
          <w:szCs w:val="34"/>
          <w:rtl/>
        </w:rPr>
        <w:t>إلى</w:t>
      </w:r>
      <w:r w:rsidR="000E3B10">
        <w:rPr>
          <w:rFonts w:ascii="Arabic Typesetting" w:hAnsi="Arabic Typesetting" w:cs="Arabic Typesetting"/>
          <w:sz w:val="34"/>
          <w:szCs w:val="34"/>
          <w:rtl/>
        </w:rPr>
        <w:t xml:space="preserve"> المنظمات الحكومية الدولية وهيئات الأمم المتحدة </w:t>
      </w:r>
      <w:r w:rsidR="000E3B10" w:rsidRPr="00FE3908">
        <w:rPr>
          <w:rFonts w:ascii="Arabic Typesetting" w:hAnsi="Arabic Typesetting" w:cs="Arabic Typesetting"/>
          <w:sz w:val="34"/>
          <w:szCs w:val="34"/>
          <w:rtl/>
        </w:rPr>
        <w:t xml:space="preserve">والمنظمات غير الحكومية وأطراف أخرى عن قضايا يشملها هذا </w:t>
      </w:r>
      <w:r w:rsidR="000E3B10">
        <w:rPr>
          <w:rFonts w:ascii="Arabic Typesetting" w:hAnsi="Arabic Typesetting" w:cs="Arabic Typesetting"/>
          <w:sz w:val="34"/>
          <w:szCs w:val="34"/>
          <w:rtl/>
        </w:rPr>
        <w:t>البرنامج</w:t>
      </w:r>
      <w:r w:rsidR="000E3B10" w:rsidRPr="00FE3908">
        <w:rPr>
          <w:rFonts w:ascii="Arabic Typesetting" w:hAnsi="Arabic Typesetting" w:cs="Arabic Typesetting"/>
          <w:sz w:val="34"/>
          <w:szCs w:val="34"/>
          <w:rtl/>
        </w:rPr>
        <w:t>.</w:t>
      </w:r>
    </w:p>
    <w:p w:rsidR="000E3B10" w:rsidRPr="00FE3908" w:rsidRDefault="00067B20" w:rsidP="009A3712">
      <w:pPr>
        <w:numPr>
          <w:ilvl w:val="1"/>
          <w:numId w:val="1"/>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واسترشدت</w:t>
      </w:r>
      <w:r w:rsidR="000E3B10">
        <w:rPr>
          <w:rFonts w:ascii="Arabic Typesetting" w:hAnsi="Arabic Typesetting" w:cs="Arabic Typesetting" w:hint="cs"/>
          <w:sz w:val="34"/>
          <w:szCs w:val="34"/>
          <w:rtl/>
          <w:lang w:val="fr-CH"/>
        </w:rPr>
        <w:t xml:space="preserve"> </w:t>
      </w:r>
      <w:r w:rsidR="000E3B10">
        <w:rPr>
          <w:rFonts w:ascii="Arabic Typesetting" w:hAnsi="Arabic Typesetting" w:cs="Arabic Typesetting" w:hint="cs"/>
          <w:sz w:val="34"/>
          <w:szCs w:val="34"/>
          <w:rtl/>
        </w:rPr>
        <w:t xml:space="preserve">عمليات </w:t>
      </w:r>
      <w:r w:rsidR="000E3B10" w:rsidRPr="00FE3908">
        <w:rPr>
          <w:rFonts w:ascii="Arabic Typesetting" w:hAnsi="Arabic Typesetting" w:cs="Arabic Typesetting"/>
          <w:sz w:val="34"/>
          <w:szCs w:val="34"/>
          <w:rtl/>
          <w:lang w:val="fr-CH"/>
        </w:rPr>
        <w:t>تصميم أنشطة البرنامج 1 والتخطيط لها و</w:t>
      </w:r>
      <w:r w:rsidR="000E3B10">
        <w:rPr>
          <w:rFonts w:ascii="Arabic Typesetting" w:hAnsi="Arabic Typesetting" w:cs="Arabic Typesetting" w:hint="cs"/>
          <w:sz w:val="34"/>
          <w:szCs w:val="34"/>
          <w:rtl/>
          <w:lang w:val="fr-CH"/>
        </w:rPr>
        <w:t>تنفيذها</w:t>
      </w:r>
      <w:r w:rsidR="000E3B10" w:rsidRPr="00FE3908">
        <w:rPr>
          <w:rFonts w:ascii="Arabic Typesetting" w:hAnsi="Arabic Typesetting" w:cs="Arabic Typesetting"/>
          <w:sz w:val="34"/>
          <w:szCs w:val="34"/>
          <w:rtl/>
          <w:lang w:val="fr-CH"/>
        </w:rPr>
        <w:t xml:space="preserve"> </w:t>
      </w:r>
      <w:r>
        <w:rPr>
          <w:rFonts w:ascii="Arabic Typesetting" w:hAnsi="Arabic Typesetting" w:cs="Arabic Typesetting" w:hint="cs"/>
          <w:sz w:val="34"/>
          <w:szCs w:val="34"/>
          <w:rtl/>
          <w:lang w:val="fr-CH"/>
        </w:rPr>
        <w:t>ب</w:t>
      </w:r>
      <w:r w:rsidR="000E3B10">
        <w:rPr>
          <w:rFonts w:ascii="Arabic Typesetting" w:hAnsi="Arabic Typesetting" w:cs="Arabic Typesetting" w:hint="cs"/>
          <w:sz w:val="34"/>
          <w:szCs w:val="34"/>
          <w:rtl/>
          <w:lang w:val="fr-CH"/>
        </w:rPr>
        <w:t>توصيات جدول أعمال التنمية المعنية. وظلّت المناقشات بشأن التطوير التدريجي لنظام البراءات الدولي ضمن اللجنة الدائمة شاملة و</w:t>
      </w:r>
      <w:r w:rsidR="002C7644">
        <w:rPr>
          <w:rFonts w:ascii="Arabic Typesetting" w:hAnsi="Arabic Typesetting" w:cs="Arabic Typesetting" w:hint="cs"/>
          <w:sz w:val="34"/>
          <w:szCs w:val="34"/>
          <w:rtl/>
          <w:lang w:val="fr-CH"/>
        </w:rPr>
        <w:t>توجهها</w:t>
      </w:r>
      <w:r w:rsidR="000E3B10">
        <w:rPr>
          <w:rFonts w:ascii="Arabic Typesetting" w:hAnsi="Arabic Typesetting" w:cs="Arabic Typesetting"/>
          <w:sz w:val="34"/>
          <w:szCs w:val="34"/>
          <w:rtl/>
          <w:lang w:val="fr-CH"/>
        </w:rPr>
        <w:t xml:space="preserve"> </w:t>
      </w:r>
      <w:r w:rsidR="000E3B10">
        <w:rPr>
          <w:rFonts w:ascii="Arabic Typesetting" w:hAnsi="Arabic Typesetting" w:cs="Arabic Typesetting" w:hint="cs"/>
          <w:sz w:val="34"/>
          <w:szCs w:val="34"/>
          <w:rtl/>
          <w:lang w:val="fr-CH"/>
        </w:rPr>
        <w:t xml:space="preserve">الدول </w:t>
      </w:r>
      <w:r w:rsidR="000E3B10">
        <w:rPr>
          <w:rFonts w:ascii="Arabic Typesetting" w:hAnsi="Arabic Typesetting" w:cs="Arabic Typesetting"/>
          <w:sz w:val="34"/>
          <w:szCs w:val="34"/>
          <w:rtl/>
          <w:lang w:val="fr-CH"/>
        </w:rPr>
        <w:t>الأعضاء</w:t>
      </w:r>
      <w:r w:rsidR="000E3B10" w:rsidRPr="00FE3908">
        <w:rPr>
          <w:rFonts w:ascii="Arabic Typesetting" w:hAnsi="Arabic Typesetting" w:cs="Arabic Typesetting"/>
          <w:sz w:val="34"/>
          <w:szCs w:val="34"/>
          <w:rtl/>
          <w:lang w:val="fr-CH"/>
        </w:rPr>
        <w:t xml:space="preserve">، مع مراعاة مختلف </w:t>
      </w:r>
      <w:r w:rsidR="000E3B10">
        <w:rPr>
          <w:rFonts w:ascii="Arabic Typesetting" w:hAnsi="Arabic Typesetting" w:cs="Arabic Typesetting" w:hint="cs"/>
          <w:sz w:val="34"/>
          <w:szCs w:val="34"/>
          <w:rtl/>
          <w:lang w:val="fr-CH"/>
        </w:rPr>
        <w:t>مستويات التنمية</w:t>
      </w:r>
      <w:r w:rsidR="00861DB7">
        <w:rPr>
          <w:rFonts w:ascii="Arabic Typesetting" w:hAnsi="Arabic Typesetting" w:cs="Arabic Typesetting" w:hint="cs"/>
          <w:sz w:val="34"/>
          <w:szCs w:val="34"/>
          <w:rtl/>
          <w:lang w:val="fr-CH"/>
        </w:rPr>
        <w:t xml:space="preserve"> في إطار</w:t>
      </w:r>
      <w:r w:rsidR="000E3B10">
        <w:rPr>
          <w:rFonts w:ascii="Arabic Typesetting" w:hAnsi="Arabic Typesetting" w:cs="Arabic Typesetting"/>
          <w:sz w:val="34"/>
          <w:szCs w:val="34"/>
          <w:rtl/>
          <w:lang w:val="fr-CH"/>
        </w:rPr>
        <w:t xml:space="preserve"> عملية تشاركية </w:t>
      </w:r>
      <w:r w:rsidR="00861DB7">
        <w:rPr>
          <w:rFonts w:ascii="Arabic Typesetting" w:hAnsi="Arabic Typesetting" w:cs="Arabic Typesetting" w:hint="cs"/>
          <w:sz w:val="34"/>
          <w:szCs w:val="34"/>
          <w:rtl/>
          <w:lang w:val="fr-CH"/>
        </w:rPr>
        <w:t xml:space="preserve">تتماشى </w:t>
      </w:r>
      <w:r w:rsidR="000E3B10" w:rsidRPr="00FE3908">
        <w:rPr>
          <w:rFonts w:ascii="Arabic Typesetting" w:hAnsi="Arabic Typesetting" w:cs="Arabic Typesetting"/>
          <w:sz w:val="34"/>
          <w:szCs w:val="34"/>
          <w:rtl/>
          <w:lang w:val="fr-CH"/>
        </w:rPr>
        <w:t xml:space="preserve">مع مبدأ حياد أمانة الويبو (التوصية 15). </w:t>
      </w:r>
      <w:r w:rsidR="002C7644">
        <w:rPr>
          <w:rFonts w:ascii="Arabic Typesetting" w:hAnsi="Arabic Typesetting" w:cs="Arabic Typesetting" w:hint="cs"/>
          <w:sz w:val="34"/>
          <w:szCs w:val="34"/>
          <w:rtl/>
          <w:lang w:val="fr-CH"/>
        </w:rPr>
        <w:t>و</w:t>
      </w:r>
      <w:r w:rsidR="000E3B10" w:rsidRPr="00FE3908">
        <w:rPr>
          <w:rFonts w:ascii="Arabic Typesetting" w:hAnsi="Arabic Typesetting" w:cs="Arabic Typesetting"/>
          <w:sz w:val="34"/>
          <w:szCs w:val="34"/>
          <w:rtl/>
          <w:lang w:val="fr-CH"/>
        </w:rPr>
        <w:t>راعت المناقشات</w:t>
      </w:r>
      <w:r w:rsidR="002C7644">
        <w:rPr>
          <w:rFonts w:ascii="Arabic Typesetting" w:hAnsi="Arabic Typesetting" w:cs="Arabic Typesetting" w:hint="cs"/>
          <w:sz w:val="34"/>
          <w:szCs w:val="34"/>
          <w:rtl/>
          <w:lang w:val="fr-CH"/>
        </w:rPr>
        <w:t xml:space="preserve"> أيضاً</w:t>
      </w:r>
      <w:r w:rsidR="000E3B10" w:rsidRPr="00FE3908">
        <w:rPr>
          <w:rFonts w:ascii="Arabic Typesetting" w:hAnsi="Arabic Typesetting" w:cs="Arabic Typesetting"/>
          <w:sz w:val="34"/>
          <w:szCs w:val="34"/>
          <w:rtl/>
          <w:lang w:val="fr-CH"/>
        </w:rPr>
        <w:t xml:space="preserve"> أوجه المرونة القائمة في الاتفاقات الدولية المتعلقة بالملكية الفكرية (التوصية 17). واستندت أنشطة اللجنة </w:t>
      </w:r>
      <w:r w:rsidR="000E3B10">
        <w:rPr>
          <w:rFonts w:ascii="Arabic Typesetting" w:hAnsi="Arabic Typesetting" w:cs="Arabic Typesetting" w:hint="cs"/>
          <w:sz w:val="34"/>
          <w:szCs w:val="34"/>
          <w:rtl/>
          <w:lang w:val="fr-CH"/>
        </w:rPr>
        <w:t xml:space="preserve">الدائمة </w:t>
      </w:r>
      <w:r w:rsidR="000E3B10" w:rsidRPr="00FE3908">
        <w:rPr>
          <w:rFonts w:ascii="Arabic Typesetting" w:hAnsi="Arabic Typesetting" w:cs="Arabic Typesetting"/>
          <w:sz w:val="34"/>
          <w:szCs w:val="34"/>
          <w:rtl/>
          <w:lang w:val="fr-CH"/>
        </w:rPr>
        <w:t xml:space="preserve">إلى عمليات تشاور مفتوحة ومتوازنة (التوصيتان 21 و42) مع </w:t>
      </w:r>
      <w:r w:rsidR="000E3B10">
        <w:rPr>
          <w:rFonts w:ascii="Arabic Typesetting" w:hAnsi="Arabic Typesetting" w:cs="Arabic Typesetting" w:hint="cs"/>
          <w:sz w:val="34"/>
          <w:szCs w:val="34"/>
          <w:rtl/>
          <w:lang w:val="fr-CH"/>
        </w:rPr>
        <w:t xml:space="preserve">السعي، في الوقت ذاته، إلى </w:t>
      </w:r>
      <w:r w:rsidR="000E3B10" w:rsidRPr="00FE3908">
        <w:rPr>
          <w:rFonts w:ascii="Arabic Typesetting" w:hAnsi="Arabic Typesetting" w:cs="Arabic Typesetting"/>
          <w:sz w:val="34"/>
          <w:szCs w:val="34"/>
          <w:rtl/>
          <w:lang w:val="fr-CH"/>
        </w:rPr>
        <w:t>دعم الأ</w:t>
      </w:r>
      <w:r w:rsidR="000E3B10">
        <w:rPr>
          <w:rFonts w:ascii="Arabic Typesetting" w:hAnsi="Arabic Typesetting" w:cs="Arabic Typesetting"/>
          <w:sz w:val="34"/>
          <w:szCs w:val="34"/>
          <w:rtl/>
          <w:lang w:val="fr-CH"/>
        </w:rPr>
        <w:t xml:space="preserve">هداف </w:t>
      </w:r>
      <w:r w:rsidR="000E3B10" w:rsidRPr="00144815">
        <w:rPr>
          <w:rFonts w:ascii="Arabic Typesetting" w:hAnsi="Arabic Typesetting" w:cs="Arabic Typesetting"/>
          <w:sz w:val="34"/>
          <w:szCs w:val="34"/>
          <w:rtl/>
          <w:lang w:val="fr-CH"/>
        </w:rPr>
        <w:t>الإنمائية</w:t>
      </w:r>
      <w:r w:rsidR="000E3B10">
        <w:rPr>
          <w:rFonts w:ascii="Arabic Typesetting" w:hAnsi="Arabic Typesetting" w:cs="Arabic Typesetting"/>
          <w:sz w:val="34"/>
          <w:szCs w:val="34"/>
          <w:rtl/>
          <w:lang w:val="fr-CH"/>
        </w:rPr>
        <w:t xml:space="preserve"> للأمم المتحدة</w:t>
      </w:r>
      <w:r w:rsidR="000E3B10">
        <w:rPr>
          <w:rFonts w:ascii="Arabic Typesetting" w:hAnsi="Arabic Typesetting" w:cs="Arabic Typesetting" w:hint="cs"/>
          <w:sz w:val="34"/>
          <w:szCs w:val="34"/>
          <w:rtl/>
          <w:lang w:val="fr-CH"/>
        </w:rPr>
        <w:t xml:space="preserve"> </w:t>
      </w:r>
      <w:r w:rsidR="000E3B10" w:rsidRPr="00FE3908">
        <w:rPr>
          <w:rFonts w:ascii="Arabic Typesetting" w:hAnsi="Arabic Typesetting" w:cs="Arabic Typesetting"/>
          <w:sz w:val="34"/>
          <w:szCs w:val="34"/>
          <w:rtl/>
          <w:lang w:val="fr-CH"/>
        </w:rPr>
        <w:t xml:space="preserve">(التوصية 22). </w:t>
      </w:r>
      <w:r w:rsidR="000E3B10">
        <w:rPr>
          <w:rFonts w:ascii="Arabic Typesetting" w:hAnsi="Arabic Typesetting" w:cs="Arabic Typesetting" w:hint="cs"/>
          <w:sz w:val="34"/>
          <w:szCs w:val="34"/>
          <w:rtl/>
          <w:lang w:val="fr-CH"/>
        </w:rPr>
        <w:t>و</w:t>
      </w:r>
      <w:r w:rsidR="000E3B10">
        <w:rPr>
          <w:rFonts w:ascii="Arabic Typesetting" w:hAnsi="Arabic Typesetting" w:cs="Arabic Typesetting"/>
          <w:sz w:val="34"/>
          <w:szCs w:val="34"/>
          <w:rtl/>
          <w:lang w:val="fr-CH"/>
        </w:rPr>
        <w:t>على وجه التحديد</w:t>
      </w:r>
      <w:r w:rsidR="000E3B10">
        <w:rPr>
          <w:rFonts w:ascii="Arabic Typesetting" w:hAnsi="Arabic Typesetting" w:cs="Arabic Typesetting" w:hint="cs"/>
          <w:sz w:val="34"/>
          <w:szCs w:val="34"/>
          <w:rtl/>
          <w:lang w:val="fr-CH"/>
        </w:rPr>
        <w:t xml:space="preserve"> و</w:t>
      </w:r>
      <w:r w:rsidR="000E3B10">
        <w:rPr>
          <w:rFonts w:ascii="Arabic Typesetting" w:hAnsi="Arabic Typesetting" w:cs="Arabic Typesetting"/>
          <w:sz w:val="34"/>
          <w:szCs w:val="34"/>
          <w:rtl/>
          <w:lang w:val="fr-CH"/>
        </w:rPr>
        <w:t>تم</w:t>
      </w:r>
      <w:r w:rsidR="008F622F">
        <w:rPr>
          <w:rFonts w:ascii="Arabic Typesetting" w:hAnsi="Arabic Typesetting" w:cs="Arabic Typesetting" w:hint="cs"/>
          <w:sz w:val="34"/>
          <w:szCs w:val="34"/>
          <w:rtl/>
          <w:lang w:val="fr-CH"/>
        </w:rPr>
        <w:t>ا</w:t>
      </w:r>
      <w:r w:rsidR="000E3B10">
        <w:rPr>
          <w:rFonts w:ascii="Arabic Typesetting" w:hAnsi="Arabic Typesetting" w:cs="Arabic Typesetting"/>
          <w:sz w:val="34"/>
          <w:szCs w:val="34"/>
          <w:rtl/>
          <w:lang w:val="fr-CH"/>
        </w:rPr>
        <w:t>شيا مع التوصية 22</w:t>
      </w:r>
      <w:r w:rsidR="000E3B10">
        <w:rPr>
          <w:rFonts w:ascii="Arabic Typesetting" w:hAnsi="Arabic Typesetting" w:cs="Arabic Typesetting" w:hint="cs"/>
          <w:sz w:val="34"/>
          <w:szCs w:val="34"/>
          <w:rtl/>
          <w:lang w:val="fr-CH"/>
        </w:rPr>
        <w:t xml:space="preserve">، </w:t>
      </w:r>
      <w:r w:rsidR="000E3B10" w:rsidRPr="00FE3908">
        <w:rPr>
          <w:rFonts w:ascii="Arabic Typesetting" w:hAnsi="Arabic Typesetting" w:cs="Arabic Typesetting"/>
          <w:sz w:val="34"/>
          <w:szCs w:val="34"/>
          <w:rtl/>
          <w:lang w:val="fr-CH"/>
        </w:rPr>
        <w:t>تناولت وثائق عمل اللجنة الدائمة قضايا مثل: "1" نقل التك</w:t>
      </w:r>
      <w:r w:rsidR="000E3B10">
        <w:rPr>
          <w:rFonts w:ascii="Arabic Typesetting" w:hAnsi="Arabic Typesetting" w:cs="Arabic Typesetting"/>
          <w:sz w:val="34"/>
          <w:szCs w:val="34"/>
          <w:rtl/>
          <w:lang w:val="fr-CH"/>
        </w:rPr>
        <w:t>نولوجيا المتعلقة بالبراءات؛ "2"</w:t>
      </w:r>
      <w:r w:rsidR="002C7644">
        <w:rPr>
          <w:rFonts w:ascii="Arabic Typesetting" w:hAnsi="Arabic Typesetting" w:cs="Arabic Typesetting" w:hint="cs"/>
          <w:sz w:val="34"/>
          <w:szCs w:val="34"/>
          <w:rtl/>
          <w:lang w:val="fr-CH"/>
        </w:rPr>
        <w:t> </w:t>
      </w:r>
      <w:r w:rsidR="000E3B10">
        <w:rPr>
          <w:rFonts w:ascii="Arabic Typesetting" w:hAnsi="Arabic Typesetting" w:cs="Arabic Typesetting" w:hint="cs"/>
          <w:sz w:val="34"/>
          <w:szCs w:val="34"/>
          <w:rtl/>
          <w:lang w:val="fr-CH"/>
        </w:rPr>
        <w:t>و</w:t>
      </w:r>
      <w:r w:rsidR="000E3B10">
        <w:rPr>
          <w:rFonts w:ascii="Arabic Typesetting" w:hAnsi="Arabic Typesetting" w:cs="Arabic Typesetting"/>
          <w:sz w:val="34"/>
          <w:szCs w:val="34"/>
          <w:rtl/>
          <w:lang w:val="fr-CH"/>
        </w:rPr>
        <w:t>أوجه</w:t>
      </w:r>
      <w:r w:rsidR="002C7644">
        <w:rPr>
          <w:rFonts w:ascii="Arabic Typesetting" w:hAnsi="Arabic Typesetting" w:cs="Arabic Typesetting" w:hint="cs"/>
          <w:sz w:val="34"/>
          <w:szCs w:val="34"/>
          <w:rtl/>
          <w:lang w:val="fr-CH"/>
        </w:rPr>
        <w:t> </w:t>
      </w:r>
      <w:r w:rsidR="000E3B10">
        <w:rPr>
          <w:rFonts w:ascii="Arabic Typesetting" w:hAnsi="Arabic Typesetting" w:cs="Arabic Typesetting"/>
          <w:sz w:val="34"/>
          <w:szCs w:val="34"/>
          <w:rtl/>
          <w:lang w:val="fr-CH"/>
        </w:rPr>
        <w:t>المرونة</w:t>
      </w:r>
      <w:r w:rsidR="000E3B10">
        <w:rPr>
          <w:rFonts w:ascii="Arabic Typesetting" w:hAnsi="Arabic Typesetting" w:cs="Arabic Typesetting" w:hint="cs"/>
          <w:sz w:val="34"/>
          <w:szCs w:val="34"/>
          <w:rtl/>
          <w:lang w:val="fr-CH"/>
        </w:rPr>
        <w:t xml:space="preserve"> </w:t>
      </w:r>
      <w:r w:rsidR="000E3B10" w:rsidRPr="00FE3908">
        <w:rPr>
          <w:rFonts w:ascii="Arabic Typesetting" w:hAnsi="Arabic Typesetting" w:cs="Arabic Typesetting"/>
          <w:sz w:val="34"/>
          <w:szCs w:val="34"/>
          <w:rtl/>
          <w:lang w:val="fr-CH"/>
        </w:rPr>
        <w:t>والاستثناءات والتقييدات المحتملة لفائدة الدول الأعضاء.</w:t>
      </w:r>
    </w:p>
    <w:p w:rsidR="000E3B10" w:rsidRPr="00FE3908" w:rsidRDefault="000E3B10" w:rsidP="009A3712">
      <w:pPr>
        <w:numPr>
          <w:ilvl w:val="1"/>
          <w:numId w:val="1"/>
        </w:numPr>
        <w:bidi/>
        <w:spacing w:after="120" w:line="340" w:lineRule="exact"/>
        <w:ind w:left="0" w:firstLine="0"/>
        <w:rPr>
          <w:rFonts w:ascii="Arabic Typesetting" w:hAnsi="Arabic Typesetting" w:cs="Arabic Typesetting"/>
          <w:sz w:val="34"/>
          <w:szCs w:val="34"/>
          <w:lang w:val="fr-CH"/>
        </w:rPr>
      </w:pPr>
      <w:r w:rsidRPr="00FE3908">
        <w:rPr>
          <w:rFonts w:ascii="Arabic Typesetting" w:hAnsi="Arabic Typesetting" w:cs="Arabic Typesetting"/>
          <w:sz w:val="34"/>
          <w:szCs w:val="34"/>
          <w:rtl/>
          <w:lang w:val="fr-CH"/>
        </w:rPr>
        <w:t>وكانت أنشطة ال</w:t>
      </w:r>
      <w:r>
        <w:rPr>
          <w:rFonts w:ascii="Arabic Typesetting" w:hAnsi="Arabic Typesetting" w:cs="Arabic Typesetting"/>
          <w:sz w:val="34"/>
          <w:szCs w:val="34"/>
          <w:rtl/>
          <w:lang w:val="fr-CH"/>
        </w:rPr>
        <w:t xml:space="preserve">برنامج </w:t>
      </w:r>
      <w:r>
        <w:rPr>
          <w:rFonts w:ascii="Arabic Typesetting" w:hAnsi="Arabic Typesetting" w:cs="Arabic Typesetting" w:hint="cs"/>
          <w:sz w:val="34"/>
          <w:szCs w:val="34"/>
          <w:rtl/>
          <w:lang w:val="fr-CH"/>
        </w:rPr>
        <w:t>الخاصة</w:t>
      </w:r>
      <w:r>
        <w:rPr>
          <w:rFonts w:ascii="Arabic Typesetting" w:hAnsi="Arabic Typesetting" w:cs="Arabic Typesetting"/>
          <w:sz w:val="34"/>
          <w:szCs w:val="34"/>
          <w:rtl/>
          <w:lang w:val="fr-CH"/>
        </w:rPr>
        <w:t xml:space="preserve"> </w:t>
      </w:r>
      <w:r>
        <w:rPr>
          <w:rFonts w:ascii="Arabic Typesetting" w:hAnsi="Arabic Typesetting" w:cs="Arabic Typesetting" w:hint="cs"/>
          <w:sz w:val="34"/>
          <w:szCs w:val="34"/>
          <w:rtl/>
          <w:lang w:val="fr-CH"/>
        </w:rPr>
        <w:t>بتكوين الكفاءات</w:t>
      </w:r>
      <w:r>
        <w:rPr>
          <w:rFonts w:ascii="Arabic Typesetting" w:hAnsi="Arabic Typesetting" w:cs="Arabic Typesetting"/>
          <w:sz w:val="34"/>
          <w:szCs w:val="34"/>
          <w:rtl/>
          <w:lang w:val="fr-CH"/>
        </w:rPr>
        <w:t xml:space="preserve"> </w:t>
      </w:r>
      <w:r w:rsidRPr="00FE3908">
        <w:rPr>
          <w:rFonts w:ascii="Arabic Typesetting" w:hAnsi="Arabic Typesetting" w:cs="Arabic Typesetting"/>
          <w:sz w:val="34"/>
          <w:szCs w:val="34"/>
          <w:rtl/>
          <w:lang w:val="fr-CH"/>
        </w:rPr>
        <w:t>و</w:t>
      </w:r>
      <w:r>
        <w:rPr>
          <w:rFonts w:ascii="Arabic Typesetting" w:hAnsi="Arabic Typesetting" w:cs="Arabic Typesetting" w:hint="cs"/>
          <w:sz w:val="34"/>
          <w:szCs w:val="34"/>
          <w:rtl/>
          <w:lang w:val="fr-CH"/>
        </w:rPr>
        <w:t>ب</w:t>
      </w:r>
      <w:r w:rsidRPr="00FE3908">
        <w:rPr>
          <w:rFonts w:ascii="Arabic Typesetting" w:hAnsi="Arabic Typesetting" w:cs="Arabic Typesetting"/>
          <w:sz w:val="34"/>
          <w:szCs w:val="34"/>
          <w:rtl/>
          <w:lang w:val="fr-CH"/>
        </w:rPr>
        <w:t xml:space="preserve">المساعدة </w:t>
      </w:r>
      <w:r>
        <w:rPr>
          <w:rFonts w:ascii="Arabic Typesetting" w:hAnsi="Arabic Typesetting" w:cs="Arabic Typesetting" w:hint="cs"/>
          <w:sz w:val="34"/>
          <w:szCs w:val="34"/>
          <w:rtl/>
          <w:lang w:val="fr-CH"/>
        </w:rPr>
        <w:t>في مجالي</w:t>
      </w:r>
      <w:r>
        <w:rPr>
          <w:rFonts w:ascii="Arabic Typesetting" w:hAnsi="Arabic Typesetting" w:cs="Arabic Typesetting"/>
          <w:sz w:val="34"/>
          <w:szCs w:val="34"/>
          <w:rtl/>
          <w:lang w:val="fr-CH"/>
        </w:rPr>
        <w:t xml:space="preserve"> التشريع والسياس</w:t>
      </w:r>
      <w:r>
        <w:rPr>
          <w:rFonts w:ascii="Arabic Typesetting" w:hAnsi="Arabic Typesetting" w:cs="Arabic Typesetting" w:hint="cs"/>
          <w:sz w:val="34"/>
          <w:szCs w:val="34"/>
          <w:rtl/>
          <w:lang w:val="fr-CH"/>
        </w:rPr>
        <w:t>ة العامة</w:t>
      </w:r>
      <w:r w:rsidRPr="00FE3908">
        <w:rPr>
          <w:rFonts w:ascii="Arabic Typesetting" w:hAnsi="Arabic Typesetting" w:cs="Arabic Typesetting"/>
          <w:sz w:val="34"/>
          <w:szCs w:val="34"/>
          <w:rtl/>
          <w:lang w:val="fr-CH"/>
        </w:rPr>
        <w:t xml:space="preserve"> </w:t>
      </w:r>
      <w:r>
        <w:rPr>
          <w:rFonts w:ascii="Arabic Typesetting" w:hAnsi="Arabic Typesetting" w:cs="Arabic Typesetting" w:hint="cs"/>
          <w:sz w:val="34"/>
          <w:szCs w:val="34"/>
          <w:rtl/>
          <w:lang w:val="fr-CH"/>
        </w:rPr>
        <w:t>إنمائية المنحى وقائمة على الطلب</w:t>
      </w:r>
      <w:r w:rsidRPr="00FE3908">
        <w:rPr>
          <w:rFonts w:ascii="Arabic Typesetting" w:hAnsi="Arabic Typesetting" w:cs="Arabic Typesetting"/>
          <w:sz w:val="34"/>
          <w:szCs w:val="34"/>
          <w:rtl/>
          <w:lang w:val="fr-CH"/>
        </w:rPr>
        <w:t xml:space="preserve"> </w:t>
      </w:r>
      <w:r>
        <w:rPr>
          <w:rFonts w:ascii="Arabic Typesetting" w:hAnsi="Arabic Typesetting" w:cs="Arabic Typesetting" w:hint="cs"/>
          <w:sz w:val="34"/>
          <w:szCs w:val="34"/>
          <w:rtl/>
          <w:lang w:val="fr-CH"/>
        </w:rPr>
        <w:t>وتُنفذ</w:t>
      </w:r>
      <w:r w:rsidRPr="00FE3908">
        <w:rPr>
          <w:rFonts w:ascii="Arabic Typesetting" w:hAnsi="Arabic Typesetting" w:cs="Arabic Typesetting"/>
          <w:sz w:val="34"/>
          <w:szCs w:val="34"/>
          <w:rtl/>
          <w:lang w:val="fr-CH"/>
        </w:rPr>
        <w:t xml:space="preserve"> ضمن الإطار الزمني المخطط (التوصيات 1 و13 و14).</w:t>
      </w:r>
      <w:r w:rsidR="002C7644">
        <w:rPr>
          <w:rFonts w:ascii="Arabic Typesetting" w:hAnsi="Arabic Typesetting" w:cs="Arabic Typesetting" w:hint="cs"/>
          <w:sz w:val="34"/>
          <w:szCs w:val="34"/>
          <w:rtl/>
          <w:lang w:val="fr-CH"/>
        </w:rPr>
        <w:t xml:space="preserve"> ومنذ شهر مارس 2015، نُفِّذت أنشطة تكوين الكفاءات في مجال إعداد البراءات على أساس برامج تدريبية ناجعة وفعالة ترمي إلى تحقيق التآزر بين مختلف أصحاب المصلحة.</w:t>
      </w:r>
    </w:p>
    <w:p w:rsidR="000E3B10" w:rsidRDefault="002C7644" w:rsidP="009A3712">
      <w:pPr>
        <w:numPr>
          <w:ilvl w:val="1"/>
          <w:numId w:val="1"/>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lastRenderedPageBreak/>
        <w:t>وإضافة إلى</w:t>
      </w:r>
      <w:r w:rsidR="000E3B10">
        <w:rPr>
          <w:rFonts w:ascii="Arabic Typesetting" w:hAnsi="Arabic Typesetting" w:cs="Arabic Typesetting"/>
          <w:sz w:val="34"/>
          <w:szCs w:val="34"/>
          <w:rtl/>
        </w:rPr>
        <w:t xml:space="preserve"> ذلك</w:t>
      </w:r>
      <w:r w:rsidR="000E3B10">
        <w:rPr>
          <w:rFonts w:ascii="Arabic Typesetting" w:hAnsi="Arabic Typesetting" w:cs="Arabic Typesetting" w:hint="cs"/>
          <w:sz w:val="34"/>
          <w:szCs w:val="34"/>
          <w:rtl/>
        </w:rPr>
        <w:t xml:space="preserve"> </w:t>
      </w:r>
      <w:r w:rsidR="000E3B10" w:rsidRPr="00FE3908">
        <w:rPr>
          <w:rFonts w:ascii="Arabic Typesetting" w:hAnsi="Arabic Typesetting" w:cs="Arabic Typesetting"/>
          <w:sz w:val="34"/>
          <w:szCs w:val="34"/>
          <w:rtl/>
        </w:rPr>
        <w:t>ووفقا للتوصيتين 16 و</w:t>
      </w:r>
      <w:r w:rsidR="000E3B10">
        <w:rPr>
          <w:rFonts w:ascii="Arabic Typesetting" w:hAnsi="Arabic Typesetting" w:cs="Arabic Typesetting"/>
          <w:sz w:val="34"/>
          <w:szCs w:val="34"/>
          <w:rtl/>
        </w:rPr>
        <w:t>20</w:t>
      </w:r>
      <w:r w:rsidR="000E3B10" w:rsidRPr="00FE3908">
        <w:rPr>
          <w:rFonts w:ascii="Arabic Typesetting" w:hAnsi="Arabic Typesetting" w:cs="Arabic Typesetting"/>
          <w:sz w:val="34"/>
          <w:szCs w:val="34"/>
          <w:rtl/>
        </w:rPr>
        <w:t xml:space="preserve">، شارك البرنامج في </w:t>
      </w:r>
      <w:r w:rsidR="000E3B10">
        <w:rPr>
          <w:rFonts w:ascii="Arabic Typesetting" w:hAnsi="Arabic Typesetting" w:cs="Arabic Typesetting" w:hint="cs"/>
          <w:sz w:val="34"/>
          <w:szCs w:val="34"/>
          <w:rtl/>
        </w:rPr>
        <w:t>عملية تقييم نهائي لنتائج</w:t>
      </w:r>
      <w:r w:rsidR="000E3B10" w:rsidRPr="00FE3908">
        <w:rPr>
          <w:rFonts w:ascii="Arabic Typesetting" w:hAnsi="Arabic Typesetting" w:cs="Arabic Typesetting"/>
          <w:sz w:val="34"/>
          <w:szCs w:val="34"/>
          <w:rtl/>
        </w:rPr>
        <w:t xml:space="preserve"> مشروع جدول أعمال التنمية</w:t>
      </w:r>
      <w:r w:rsidR="000E3B10">
        <w:rPr>
          <w:rFonts w:ascii="Arabic Typesetting" w:hAnsi="Arabic Typesetting" w:cs="Arabic Typesetting"/>
          <w:sz w:val="34"/>
          <w:szCs w:val="34"/>
          <w:rtl/>
        </w:rPr>
        <w:t xml:space="preserve"> المتعلق بالبراءات والملك العام</w:t>
      </w:r>
      <w:r w:rsidR="000E3B10">
        <w:rPr>
          <w:rFonts w:ascii="Arabic Typesetting" w:hAnsi="Arabic Typesetting" w:cs="Arabic Typesetting" w:hint="cs"/>
          <w:sz w:val="34"/>
          <w:szCs w:val="34"/>
          <w:rtl/>
        </w:rPr>
        <w:t xml:space="preserve">، الذي عُرض ونوقش في الدورة الثلاثين للجنة المعنية بالتنمية والملكية الفكرية (لجنة التنمية) </w:t>
      </w:r>
      <w:r>
        <w:rPr>
          <w:rFonts w:ascii="Arabic Typesetting" w:hAnsi="Arabic Typesetting" w:cs="Arabic Typesetting" w:hint="cs"/>
          <w:sz w:val="34"/>
          <w:szCs w:val="34"/>
          <w:rtl/>
        </w:rPr>
        <w:t xml:space="preserve">التي عُقدت </w:t>
      </w:r>
      <w:r w:rsidR="000E3B10">
        <w:rPr>
          <w:rFonts w:ascii="Arabic Typesetting" w:hAnsi="Arabic Typesetting" w:cs="Arabic Typesetting" w:hint="cs"/>
          <w:sz w:val="34"/>
          <w:szCs w:val="34"/>
          <w:rtl/>
        </w:rPr>
        <w:t>في مايو</w:t>
      </w:r>
      <w:r>
        <w:rPr>
          <w:rFonts w:ascii="Arabic Typesetting" w:hAnsi="Arabic Typesetting" w:cs="Arabic Typesetting" w:hint="eastAsia"/>
          <w:sz w:val="34"/>
          <w:szCs w:val="34"/>
          <w:rtl/>
        </w:rPr>
        <w:t> </w:t>
      </w:r>
      <w:r w:rsidR="000E3B10">
        <w:rPr>
          <w:rFonts w:ascii="Arabic Typesetting" w:hAnsi="Arabic Typesetting" w:cs="Arabic Typesetting" w:hint="cs"/>
          <w:sz w:val="34"/>
          <w:szCs w:val="34"/>
          <w:rtl/>
        </w:rPr>
        <w:t>2014.</w:t>
      </w:r>
    </w:p>
    <w:p w:rsidR="000E3B10" w:rsidRPr="00E178F4" w:rsidRDefault="000E3B10" w:rsidP="009A3712">
      <w:pPr>
        <w:numPr>
          <w:ilvl w:val="1"/>
          <w:numId w:val="1"/>
        </w:numPr>
        <w:bidi/>
        <w:spacing w:after="120" w:line="340" w:lineRule="exact"/>
        <w:ind w:left="0" w:firstLine="0"/>
        <w:rPr>
          <w:rFonts w:ascii="Arabic Typesetting" w:hAnsi="Arabic Typesetting" w:cs="Arabic Typesetting"/>
          <w:sz w:val="34"/>
          <w:szCs w:val="34"/>
          <w:rtl/>
        </w:rPr>
      </w:pPr>
      <w:r w:rsidRPr="00FE3908">
        <w:rPr>
          <w:rFonts w:ascii="Arabic Typesetting" w:hAnsi="Arabic Typesetting" w:cs="Arabic Typesetting"/>
          <w:sz w:val="34"/>
          <w:szCs w:val="34"/>
          <w:rtl/>
        </w:rPr>
        <w:t xml:space="preserve"> </w:t>
      </w:r>
      <w:r w:rsidR="002C7644">
        <w:rPr>
          <w:rFonts w:ascii="Arabic Typesetting" w:hAnsi="Arabic Typesetting" w:cs="Arabic Typesetting" w:hint="cs"/>
          <w:sz w:val="34"/>
          <w:szCs w:val="34"/>
          <w:rtl/>
        </w:rPr>
        <w:t xml:space="preserve">وفضلاً عن ذلك، </w:t>
      </w:r>
      <w:r>
        <w:rPr>
          <w:rFonts w:ascii="Arabic Typesetting" w:hAnsi="Arabic Typesetting" w:cs="Arabic Typesetting" w:hint="cs"/>
          <w:sz w:val="34"/>
          <w:szCs w:val="34"/>
          <w:rtl/>
        </w:rPr>
        <w:t xml:space="preserve">أعدّ البرنامج </w:t>
      </w:r>
      <w:r w:rsidR="002C7644">
        <w:rPr>
          <w:rFonts w:ascii="Arabic Typesetting" w:hAnsi="Arabic Typesetting" w:cs="Arabic Typesetting" w:hint="cs"/>
          <w:sz w:val="34"/>
          <w:szCs w:val="34"/>
          <w:rtl/>
        </w:rPr>
        <w:t>الوثيقتين</w:t>
      </w:r>
      <w:r w:rsidR="002C7644">
        <w:rPr>
          <w:rFonts w:ascii="Arabic Typesetting" w:hAnsi="Arabic Typesetting" w:cs="Arabic Typesetting" w:hint="eastAsia"/>
          <w:sz w:val="34"/>
          <w:szCs w:val="34"/>
          <w:rtl/>
        </w:rPr>
        <w:t> </w:t>
      </w:r>
      <w:r w:rsidRPr="002438D0">
        <w:rPr>
          <w:rFonts w:ascii="Arabic Typesetting" w:hAnsi="Arabic Typesetting" w:cs="Arabic Typesetting"/>
          <w:sz w:val="34"/>
          <w:szCs w:val="34"/>
        </w:rPr>
        <w:t>CDIP/13/10</w:t>
      </w:r>
      <w:r w:rsidR="002C7644">
        <w:rPr>
          <w:rFonts w:ascii="Arabic Typesetting" w:hAnsi="Arabic Typesetting" w:cs="Arabic Typesetting" w:hint="cs"/>
          <w:sz w:val="34"/>
          <w:szCs w:val="34"/>
          <w:rtl/>
        </w:rPr>
        <w:t xml:space="preserve"> و</w:t>
      </w:r>
      <w:r w:rsidR="002C7644">
        <w:rPr>
          <w:rFonts w:ascii="Arabic Typesetting" w:hAnsi="Arabic Typesetting" w:cs="Arabic Typesetting"/>
          <w:sz w:val="34"/>
          <w:szCs w:val="34"/>
        </w:rPr>
        <w:t>CDIP/15/6</w:t>
      </w:r>
      <w:r w:rsidR="002C7644">
        <w:rPr>
          <w:rFonts w:ascii="Arabic Typesetting" w:hAnsi="Arabic Typesetting" w:cs="Arabic Typesetting" w:hint="cs"/>
          <w:sz w:val="34"/>
          <w:szCs w:val="34"/>
          <w:rtl/>
        </w:rPr>
        <w:t xml:space="preserve"> اللتين</w:t>
      </w:r>
      <w:r>
        <w:rPr>
          <w:rFonts w:ascii="Arabic Typesetting" w:hAnsi="Arabic Typesetting" w:cs="Arabic Typesetting" w:hint="cs"/>
          <w:sz w:val="34"/>
          <w:szCs w:val="34"/>
          <w:rtl/>
        </w:rPr>
        <w:t xml:space="preserve"> تشمل</w:t>
      </w:r>
      <w:r w:rsidR="002C7644">
        <w:rPr>
          <w:rFonts w:ascii="Arabic Typesetting" w:hAnsi="Arabic Typesetting" w:cs="Arabic Typesetting" w:hint="cs"/>
          <w:sz w:val="34"/>
          <w:szCs w:val="34"/>
          <w:rtl/>
        </w:rPr>
        <w:t>ان</w:t>
      </w:r>
      <w:r>
        <w:rPr>
          <w:rFonts w:ascii="Arabic Typesetting" w:hAnsi="Arabic Typesetting" w:cs="Arabic Typesetting" w:hint="cs"/>
          <w:sz w:val="34"/>
          <w:szCs w:val="34"/>
          <w:rtl/>
        </w:rPr>
        <w:t xml:space="preserve"> </w:t>
      </w:r>
      <w:r w:rsidR="002C7644">
        <w:rPr>
          <w:rFonts w:ascii="Arabic Typesetting" w:hAnsi="Arabic Typesetting" w:cs="Arabic Typesetting" w:hint="cs"/>
          <w:sz w:val="34"/>
          <w:szCs w:val="34"/>
          <w:rtl/>
        </w:rPr>
        <w:t>أربعة أوجه جديدة</w:t>
      </w:r>
      <w:r>
        <w:rPr>
          <w:rFonts w:ascii="Arabic Typesetting" w:hAnsi="Arabic Typesetting" w:cs="Arabic Typesetting" w:hint="cs"/>
          <w:sz w:val="34"/>
          <w:szCs w:val="34"/>
          <w:rtl/>
        </w:rPr>
        <w:t xml:space="preserve"> من أوجه المرونة المتعلقة بالبراءات</w:t>
      </w:r>
      <w:r w:rsidR="002C7644">
        <w:rPr>
          <w:rFonts w:ascii="Arabic Typesetting" w:hAnsi="Arabic Typesetting" w:cs="Arabic Typesetting" w:hint="cs"/>
          <w:sz w:val="34"/>
          <w:szCs w:val="34"/>
          <w:rtl/>
        </w:rPr>
        <w:t>،</w:t>
      </w:r>
      <w:r>
        <w:rPr>
          <w:rFonts w:ascii="Arabic Typesetting" w:hAnsi="Arabic Typesetting" w:cs="Arabic Typesetting" w:hint="cs"/>
          <w:sz w:val="34"/>
          <w:szCs w:val="34"/>
          <w:rtl/>
        </w:rPr>
        <w:t xml:space="preserve"> </w:t>
      </w:r>
      <w:r w:rsidR="002C7644">
        <w:rPr>
          <w:rFonts w:ascii="Arabic Typesetting" w:hAnsi="Arabic Typesetting" w:cs="Arabic Typesetting" w:hint="cs"/>
          <w:sz w:val="34"/>
          <w:szCs w:val="34"/>
          <w:rtl/>
        </w:rPr>
        <w:t xml:space="preserve">واللتين ناقشتهما لجنة التنمية في دورتيها الثالثة عشرة والخامسة عشرة على التوالي. </w:t>
      </w:r>
      <w:r w:rsidRPr="00E178F4">
        <w:rPr>
          <w:rFonts w:ascii="Arabic Typesetting" w:hAnsi="Arabic Typesetting" w:cs="Arabic Typesetting" w:hint="cs"/>
          <w:sz w:val="34"/>
          <w:szCs w:val="34"/>
          <w:rtl/>
          <w:lang w:val="fr-CH"/>
        </w:rPr>
        <w:t>واضطلع</w:t>
      </w:r>
      <w:r w:rsidRPr="00E178F4">
        <w:rPr>
          <w:rFonts w:ascii="Arabic Typesetting" w:hAnsi="Arabic Typesetting" w:cs="Arabic Typesetting"/>
          <w:sz w:val="34"/>
          <w:szCs w:val="34"/>
          <w:rtl/>
          <w:lang w:val="fr-CH"/>
        </w:rPr>
        <w:t xml:space="preserve"> </w:t>
      </w:r>
      <w:r w:rsidRPr="00E178F4">
        <w:rPr>
          <w:rFonts w:ascii="Arabic Typesetting" w:hAnsi="Arabic Typesetting" w:cs="Arabic Typesetting" w:hint="cs"/>
          <w:sz w:val="34"/>
          <w:szCs w:val="34"/>
          <w:rtl/>
          <w:lang w:val="fr-CH"/>
        </w:rPr>
        <w:t>ب</w:t>
      </w:r>
      <w:r w:rsidRPr="00E178F4">
        <w:rPr>
          <w:rFonts w:ascii="Arabic Typesetting" w:hAnsi="Arabic Typesetting" w:cs="Arabic Typesetting"/>
          <w:sz w:val="34"/>
          <w:szCs w:val="34"/>
          <w:rtl/>
          <w:lang w:val="fr-CH"/>
        </w:rPr>
        <w:t xml:space="preserve">أنشطة تهدف إلى </w:t>
      </w:r>
      <w:r w:rsidR="002C7644" w:rsidRPr="00E178F4">
        <w:rPr>
          <w:rFonts w:ascii="Arabic Typesetting" w:hAnsi="Arabic Typesetting" w:cs="Arabic Typesetting"/>
          <w:sz w:val="34"/>
          <w:szCs w:val="34"/>
          <w:rtl/>
          <w:lang w:val="fr-CH"/>
        </w:rPr>
        <w:t>إ</w:t>
      </w:r>
      <w:r w:rsidR="002C7644">
        <w:rPr>
          <w:rFonts w:ascii="Arabic Typesetting" w:hAnsi="Arabic Typesetting" w:cs="Arabic Typesetting" w:hint="cs"/>
          <w:sz w:val="34"/>
          <w:szCs w:val="34"/>
          <w:rtl/>
          <w:lang w:val="fr-CH"/>
        </w:rPr>
        <w:t>ز</w:t>
      </w:r>
      <w:r w:rsidR="002C7644" w:rsidRPr="00E178F4">
        <w:rPr>
          <w:rFonts w:ascii="Arabic Typesetting" w:hAnsi="Arabic Typesetting" w:cs="Arabic Typesetting"/>
          <w:sz w:val="34"/>
          <w:szCs w:val="34"/>
          <w:rtl/>
          <w:lang w:val="fr-CH"/>
        </w:rPr>
        <w:t xml:space="preserve">كاء </w:t>
      </w:r>
      <w:r w:rsidRPr="00E178F4">
        <w:rPr>
          <w:rFonts w:ascii="Arabic Typesetting" w:hAnsi="Arabic Typesetting" w:cs="Arabic Typesetting"/>
          <w:sz w:val="34"/>
          <w:szCs w:val="34"/>
          <w:rtl/>
          <w:lang w:val="fr-CH"/>
        </w:rPr>
        <w:t>الوعي بشأن التطبيق العملي لأوجه المرونة على الصعيد الوطني</w:t>
      </w:r>
      <w:r w:rsidR="002C7644">
        <w:rPr>
          <w:rFonts w:ascii="Arabic Typesetting" w:hAnsi="Arabic Typesetting" w:cs="Arabic Typesetting" w:hint="cs"/>
          <w:sz w:val="34"/>
          <w:szCs w:val="34"/>
          <w:rtl/>
          <w:lang w:val="fr-CH"/>
        </w:rPr>
        <w:t xml:space="preserve"> ومنها</w:t>
      </w:r>
      <w:r w:rsidRPr="00E178F4">
        <w:rPr>
          <w:rFonts w:ascii="Arabic Typesetting" w:hAnsi="Arabic Typesetting" w:cs="Arabic Typesetting" w:hint="cs"/>
          <w:sz w:val="34"/>
          <w:szCs w:val="34"/>
          <w:rtl/>
          <w:lang w:val="fr-CH"/>
        </w:rPr>
        <w:t xml:space="preserve"> </w:t>
      </w:r>
      <w:r w:rsidR="002C7644">
        <w:rPr>
          <w:rFonts w:ascii="Arabic Typesetting" w:hAnsi="Arabic Typesetting" w:cs="Arabic Typesetting" w:hint="cs"/>
          <w:sz w:val="34"/>
          <w:szCs w:val="34"/>
          <w:rtl/>
          <w:lang w:val="fr-CH"/>
        </w:rPr>
        <w:t>14</w:t>
      </w:r>
      <w:r w:rsidR="002C7644" w:rsidRPr="00E178F4">
        <w:rPr>
          <w:rFonts w:ascii="Arabic Typesetting" w:hAnsi="Arabic Typesetting" w:cs="Arabic Typesetting" w:hint="cs"/>
          <w:sz w:val="34"/>
          <w:szCs w:val="34"/>
          <w:rtl/>
          <w:lang w:val="fr-CH"/>
        </w:rPr>
        <w:t xml:space="preserve"> </w:t>
      </w:r>
      <w:r w:rsidRPr="00E178F4">
        <w:rPr>
          <w:rFonts w:ascii="Arabic Typesetting" w:hAnsi="Arabic Typesetting" w:cs="Arabic Typesetting" w:hint="cs"/>
          <w:sz w:val="34"/>
          <w:szCs w:val="34"/>
          <w:rtl/>
          <w:lang w:val="fr-CH"/>
        </w:rPr>
        <w:t>ندو</w:t>
      </w:r>
      <w:r w:rsidR="002C7644">
        <w:rPr>
          <w:rFonts w:ascii="Arabic Typesetting" w:hAnsi="Arabic Typesetting" w:cs="Arabic Typesetting" w:hint="cs"/>
          <w:sz w:val="34"/>
          <w:szCs w:val="34"/>
          <w:rtl/>
          <w:lang w:val="fr-CH"/>
        </w:rPr>
        <w:t>ة</w:t>
      </w:r>
      <w:r w:rsidRPr="00E178F4">
        <w:rPr>
          <w:rFonts w:ascii="Arabic Typesetting" w:hAnsi="Arabic Typesetting" w:cs="Arabic Typesetting" w:hint="cs"/>
          <w:sz w:val="34"/>
          <w:szCs w:val="34"/>
          <w:rtl/>
          <w:lang w:val="fr-CH"/>
        </w:rPr>
        <w:t xml:space="preserve"> أو حلق</w:t>
      </w:r>
      <w:r w:rsidR="002C7644">
        <w:rPr>
          <w:rFonts w:ascii="Arabic Typesetting" w:hAnsi="Arabic Typesetting" w:cs="Arabic Typesetting" w:hint="cs"/>
          <w:sz w:val="34"/>
          <w:szCs w:val="34"/>
          <w:rtl/>
          <w:lang w:val="fr-CH"/>
        </w:rPr>
        <w:t>ة</w:t>
      </w:r>
      <w:r w:rsidRPr="00E178F4">
        <w:rPr>
          <w:rFonts w:ascii="Arabic Typesetting" w:hAnsi="Arabic Typesetting" w:cs="Arabic Typesetting" w:hint="cs"/>
          <w:sz w:val="34"/>
          <w:szCs w:val="34"/>
          <w:rtl/>
          <w:lang w:val="fr-CH"/>
        </w:rPr>
        <w:t xml:space="preserve"> عمل وطنية</w:t>
      </w:r>
      <w:r w:rsidR="002C7644">
        <w:rPr>
          <w:rFonts w:ascii="Arabic Typesetting" w:hAnsi="Arabic Typesetting" w:cs="Arabic Typesetting" w:hint="cs"/>
          <w:sz w:val="34"/>
          <w:szCs w:val="34"/>
          <w:rtl/>
          <w:lang w:val="fr-CH"/>
        </w:rPr>
        <w:t xml:space="preserve"> وإقليمية</w:t>
      </w:r>
      <w:r w:rsidRPr="00E178F4">
        <w:rPr>
          <w:rFonts w:ascii="Arabic Typesetting" w:hAnsi="Arabic Typesetting" w:cs="Arabic Typesetting" w:hint="cs"/>
          <w:sz w:val="34"/>
          <w:szCs w:val="34"/>
          <w:rtl/>
          <w:lang w:val="fr-CH"/>
        </w:rPr>
        <w:t xml:space="preserve"> بشأن الإطار القانوني </w:t>
      </w:r>
      <w:r w:rsidR="002C7644">
        <w:rPr>
          <w:rFonts w:ascii="Arabic Typesetting" w:hAnsi="Arabic Typesetting" w:cs="Arabic Typesetting" w:hint="cs"/>
          <w:sz w:val="34"/>
          <w:szCs w:val="34"/>
          <w:rtl/>
          <w:lang w:val="fr-CH"/>
        </w:rPr>
        <w:t xml:space="preserve">المتعدد الأطراف </w:t>
      </w:r>
      <w:r w:rsidRPr="00E178F4">
        <w:rPr>
          <w:rFonts w:ascii="Arabic Typesetting" w:hAnsi="Arabic Typesetting" w:cs="Arabic Typesetting" w:hint="cs"/>
          <w:sz w:val="34"/>
          <w:szCs w:val="34"/>
          <w:rtl/>
          <w:lang w:val="fr-CH"/>
        </w:rPr>
        <w:t>والسياسة العامة في مجال البراءات</w:t>
      </w:r>
      <w:r w:rsidR="00132621">
        <w:rPr>
          <w:rFonts w:ascii="Arabic Typesetting" w:hAnsi="Arabic Typesetting" w:cs="Arabic Typesetting" w:hint="cs"/>
          <w:sz w:val="34"/>
          <w:szCs w:val="34"/>
          <w:rtl/>
          <w:lang w:val="fr-CH"/>
        </w:rPr>
        <w:t xml:space="preserve"> وما </w:t>
      </w:r>
      <w:proofErr w:type="spellStart"/>
      <w:r w:rsidR="00132621">
        <w:rPr>
          <w:rFonts w:ascii="Arabic Typesetting" w:hAnsi="Arabic Typesetting" w:cs="Arabic Typesetting" w:hint="cs"/>
          <w:sz w:val="34"/>
          <w:szCs w:val="34"/>
          <w:rtl/>
          <w:lang w:val="fr-CH"/>
        </w:rPr>
        <w:t>يتيحه</w:t>
      </w:r>
      <w:proofErr w:type="spellEnd"/>
      <w:r w:rsidR="00132621">
        <w:rPr>
          <w:rFonts w:ascii="Arabic Typesetting" w:hAnsi="Arabic Typesetting" w:cs="Arabic Typesetting" w:hint="cs"/>
          <w:sz w:val="34"/>
          <w:szCs w:val="34"/>
          <w:rtl/>
          <w:lang w:val="fr-CH"/>
        </w:rPr>
        <w:t xml:space="preserve"> كلاهما من أوجه مرونة</w:t>
      </w:r>
      <w:r w:rsidRPr="00E178F4">
        <w:rPr>
          <w:rFonts w:ascii="Arabic Typesetting" w:hAnsi="Arabic Typesetting" w:cs="Arabic Typesetting"/>
          <w:sz w:val="34"/>
          <w:szCs w:val="34"/>
        </w:rPr>
        <w:t>.</w:t>
      </w:r>
    </w:p>
    <w:p w:rsidR="000E3B10" w:rsidRPr="00E439F5" w:rsidRDefault="000E3B10" w:rsidP="00E439F5">
      <w:pPr>
        <w:keepNext/>
        <w:bidi/>
        <w:spacing w:before="120" w:after="120" w:line="340" w:lineRule="exact"/>
        <w:rPr>
          <w:rFonts w:ascii="Arabic Typesetting" w:hAnsi="Arabic Typesetting" w:cs="Arabic Typesetting"/>
          <w:sz w:val="34"/>
          <w:szCs w:val="34"/>
          <w:rtl/>
          <w:lang w:val="fr-CH" w:bidi="ar-EG"/>
        </w:rPr>
      </w:pPr>
      <w:r w:rsidRPr="00E439F5">
        <w:rPr>
          <w:rFonts w:ascii="Arabic Typesetting" w:hAnsi="Arabic Typesetting" w:cs="Arabic Typesetting" w:hint="cs"/>
          <w:sz w:val="34"/>
          <w:szCs w:val="34"/>
          <w:rtl/>
          <w:lang w:val="fr-CH"/>
        </w:rPr>
        <w:t>بيانات الأداء</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34"/>
        <w:gridCol w:w="651"/>
        <w:gridCol w:w="841"/>
        <w:gridCol w:w="929"/>
        <w:gridCol w:w="684"/>
        <w:gridCol w:w="583"/>
        <w:gridCol w:w="566"/>
        <w:gridCol w:w="2787"/>
        <w:gridCol w:w="596"/>
      </w:tblGrid>
      <w:tr w:rsidR="000E3B10" w:rsidRPr="00211D55" w:rsidTr="00507D3B">
        <w:trPr>
          <w:cantSplit/>
          <w:trHeight w:val="537"/>
        </w:trPr>
        <w:tc>
          <w:tcPr>
            <w:tcW w:w="0" w:type="auto"/>
            <w:gridSpan w:val="9"/>
            <w:shd w:val="clear" w:color="auto" w:fill="C6D9F1" w:themeFill="text2" w:themeFillTint="33"/>
            <w:tcMar>
              <w:top w:w="0" w:type="dxa"/>
            </w:tcMar>
            <w:vAlign w:val="center"/>
          </w:tcPr>
          <w:p w:rsidR="000E3B10" w:rsidRPr="00211D55" w:rsidRDefault="000E3B10" w:rsidP="009E62B8">
            <w:pPr>
              <w:keepNext/>
              <w:bidi/>
              <w:spacing w:after="60" w:line="280" w:lineRule="exact"/>
              <w:ind w:left="1167" w:hanging="1167"/>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lang w:bidi="ar-EG"/>
              </w:rPr>
              <w:t xml:space="preserve">النتيجة المرتقبة: </w:t>
            </w:r>
            <w:r w:rsidR="006E7FC6" w:rsidRPr="00211D55">
              <w:rPr>
                <w:rFonts w:ascii="Arabic Typesetting" w:hAnsi="Arabic Typesetting" w:cs="Arabic Typesetting"/>
                <w:sz w:val="28"/>
                <w:szCs w:val="28"/>
                <w:rtl/>
                <w:lang w:bidi="ar-EG"/>
              </w:rPr>
              <w:tab/>
            </w:r>
            <w:r w:rsidR="000432CA">
              <w:rPr>
                <w:rFonts w:ascii="Arabic Typesetting" w:hAnsi="Arabic Typesetting" w:cs="Arabic Typesetting"/>
                <w:sz w:val="28"/>
                <w:szCs w:val="28"/>
                <w:rtl/>
                <w:lang w:bidi="ar-EG"/>
              </w:rPr>
              <w:t>ه1.1 تعاون معزز بين الدول الأعضاء في تطوير أطر معيارية دولية متوازنة للملكية الفكرية والاتفاق على محاور محدّدة وعلى صكوك دولية بشأنها</w:t>
            </w:r>
          </w:p>
        </w:tc>
      </w:tr>
      <w:tr w:rsidR="00132621" w:rsidRPr="00211D55" w:rsidTr="00E439F5">
        <w:trPr>
          <w:cantSplit/>
          <w:trHeight w:val="186"/>
        </w:trPr>
        <w:tc>
          <w:tcPr>
            <w:tcW w:w="0" w:type="auto"/>
            <w:tcBorders>
              <w:bottom w:val="nil"/>
              <w:right w:val="nil"/>
            </w:tcBorders>
            <w:tcMar>
              <w:top w:w="110" w:type="dxa"/>
            </w:tcMar>
          </w:tcPr>
          <w:p w:rsidR="000E3B10" w:rsidRPr="00211D55" w:rsidRDefault="000E3B10"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0" w:type="auto"/>
            <w:gridSpan w:val="4"/>
            <w:tcBorders>
              <w:top w:val="nil"/>
              <w:left w:val="nil"/>
              <w:bottom w:val="nil"/>
              <w:right w:val="nil"/>
            </w:tcBorders>
            <w:shd w:val="clear" w:color="auto" w:fill="FFFFFF" w:themeFill="background1"/>
            <w:tcMar>
              <w:top w:w="110" w:type="dxa"/>
            </w:tcMar>
          </w:tcPr>
          <w:p w:rsidR="000E3B10" w:rsidRPr="00211D55" w:rsidRDefault="000E3B10" w:rsidP="00086C3F">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أسس المقارنة</w:t>
            </w:r>
          </w:p>
        </w:tc>
        <w:tc>
          <w:tcPr>
            <w:tcW w:w="0" w:type="auto"/>
            <w:gridSpan w:val="2"/>
            <w:tcBorders>
              <w:top w:val="nil"/>
              <w:left w:val="nil"/>
              <w:bottom w:val="nil"/>
              <w:right w:val="nil"/>
            </w:tcBorders>
          </w:tcPr>
          <w:p w:rsidR="000E3B10" w:rsidRPr="00211D55" w:rsidRDefault="000E3B10"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الأهداف</w:t>
            </w:r>
          </w:p>
        </w:tc>
        <w:tc>
          <w:tcPr>
            <w:tcW w:w="2787" w:type="dxa"/>
            <w:tcBorders>
              <w:top w:val="nil"/>
              <w:left w:val="nil"/>
              <w:bottom w:val="nil"/>
              <w:right w:val="nil"/>
            </w:tcBorders>
            <w:tcMar>
              <w:top w:w="110" w:type="dxa"/>
            </w:tcMar>
          </w:tcPr>
          <w:p w:rsidR="000E3B10" w:rsidRPr="00211D55" w:rsidRDefault="000E3B10"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596" w:type="dxa"/>
            <w:tcBorders>
              <w:top w:val="nil"/>
              <w:left w:val="nil"/>
              <w:bottom w:val="nil"/>
              <w:right w:val="single" w:sz="4" w:space="0" w:color="auto"/>
            </w:tcBorders>
            <w:tcMar>
              <w:top w:w="110" w:type="dxa"/>
            </w:tcMar>
          </w:tcPr>
          <w:p w:rsidR="000E3B10" w:rsidRPr="00211D55" w:rsidRDefault="000E3B10"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132621" w:rsidRPr="00211D55" w:rsidTr="00E439F5">
        <w:trPr>
          <w:cantSplit/>
          <w:trHeight w:val="18"/>
        </w:trPr>
        <w:tc>
          <w:tcPr>
            <w:tcW w:w="0" w:type="auto"/>
            <w:tcBorders>
              <w:top w:val="nil"/>
              <w:bottom w:val="nil"/>
              <w:right w:val="nil"/>
            </w:tcBorders>
            <w:tcMar>
              <w:top w:w="110" w:type="dxa"/>
            </w:tcMar>
          </w:tcPr>
          <w:p w:rsidR="000E3B10" w:rsidRPr="00211D55" w:rsidRDefault="000E3B10"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rPr>
              <w:t>التقدم المحرز في تنفيذ الخطوات/الخطط المتفق عليها للجنة الدائمة المعنية بقانون البراءات</w:t>
            </w:r>
          </w:p>
        </w:tc>
        <w:tc>
          <w:tcPr>
            <w:tcW w:w="0" w:type="auto"/>
            <w:gridSpan w:val="4"/>
            <w:tcBorders>
              <w:top w:val="nil"/>
              <w:left w:val="nil"/>
              <w:bottom w:val="nil"/>
              <w:right w:val="nil"/>
            </w:tcBorders>
            <w:shd w:val="clear" w:color="auto" w:fill="auto"/>
            <w:tcMar>
              <w:top w:w="110" w:type="dxa"/>
            </w:tcMar>
          </w:tcPr>
          <w:p w:rsidR="000E3B10" w:rsidRPr="00211D55" w:rsidRDefault="000E3B10" w:rsidP="00086C3F">
            <w:pPr>
              <w:bidi/>
              <w:spacing w:before="60" w:after="12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ركزت اللجنة الدائمة المعنية بقانون البراءات جهودها على إحراز تقدم في الموضوعات الخمسة المدرجة في جدول أعمالها، والمضي قدما بمناقشاتها من خلال عدة إجراءات منها، مثلا، جمع المعلومات عن طريق استبيان، وإعداد دراسات، وتبادل الممارسات والتجارب الوطنية بين الدول الأعضاء.</w:t>
            </w:r>
          </w:p>
          <w:p w:rsidR="000E3B10" w:rsidRPr="00211D55" w:rsidRDefault="000E3B10"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تحدد لاحقا</w:t>
            </w:r>
          </w:p>
        </w:tc>
        <w:tc>
          <w:tcPr>
            <w:tcW w:w="0" w:type="auto"/>
            <w:gridSpan w:val="2"/>
            <w:tcBorders>
              <w:top w:val="nil"/>
              <w:left w:val="nil"/>
              <w:bottom w:val="nil"/>
              <w:right w:val="nil"/>
            </w:tcBorders>
          </w:tcPr>
          <w:p w:rsidR="000E3B10" w:rsidRPr="00211D55" w:rsidRDefault="000E3B10" w:rsidP="00086C3F">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إحراز تقدم في القضايا ذات الاهتمام المشترك في اللجنة الدائمة المعنية بقانون البراءات</w:t>
            </w:r>
          </w:p>
        </w:tc>
        <w:tc>
          <w:tcPr>
            <w:tcW w:w="2787" w:type="dxa"/>
            <w:tcBorders>
              <w:top w:val="nil"/>
              <w:left w:val="nil"/>
              <w:bottom w:val="nil"/>
              <w:right w:val="nil"/>
            </w:tcBorders>
            <w:tcMar>
              <w:top w:w="110" w:type="dxa"/>
            </w:tcMar>
          </w:tcPr>
          <w:p w:rsidR="000E3B10"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ركزت اللجنة الدائمة المعنية بقانون البراءات جهودها على إحراز تقدم في الموضوعات الخمسة المدرجة في جدول أعمالها، والمضي قدما بمناقشاتها من خلال عدة إجراءات منها، مثلا، إعداد الدراسات وجمع المعلومات عن القوانين والممارسات الوطنية وتبادل الخبرات الوطنية بين الدول الأعضاء. واستندت المناقشات إلى اقتراحات </w:t>
            </w:r>
            <w:r w:rsidR="00907E22" w:rsidRPr="00211D55">
              <w:rPr>
                <w:rFonts w:ascii="Arabic Typesetting" w:hAnsi="Arabic Typesetting" w:cs="Arabic Typesetting"/>
                <w:b/>
                <w:sz w:val="28"/>
                <w:szCs w:val="28"/>
                <w:rtl/>
                <w:lang w:bidi="ar-EG"/>
              </w:rPr>
              <w:t xml:space="preserve">(12) </w:t>
            </w:r>
            <w:r w:rsidRPr="00211D55">
              <w:rPr>
                <w:rFonts w:ascii="Arabic Typesetting" w:hAnsi="Arabic Typesetting" w:cs="Arabic Typesetting"/>
                <w:b/>
                <w:sz w:val="28"/>
                <w:szCs w:val="28"/>
                <w:rtl/>
                <w:lang w:bidi="ar-EG"/>
              </w:rPr>
              <w:t>قدمتها الوفود والوثائق</w:t>
            </w:r>
            <w:r w:rsidR="00907E22" w:rsidRPr="00211D55">
              <w:rPr>
                <w:rFonts w:ascii="Arabic Typesetting" w:hAnsi="Arabic Typesetting" w:cs="Arabic Typesetting"/>
                <w:b/>
                <w:sz w:val="28"/>
                <w:szCs w:val="28"/>
                <w:rtl/>
                <w:lang w:bidi="ar-EG"/>
              </w:rPr>
              <w:t xml:space="preserve"> (27)</w:t>
            </w:r>
            <w:r w:rsidRPr="00211D55">
              <w:rPr>
                <w:rFonts w:ascii="Arabic Typesetting" w:hAnsi="Arabic Typesetting" w:cs="Arabic Typesetting"/>
                <w:b/>
                <w:sz w:val="28"/>
                <w:szCs w:val="28"/>
                <w:rtl/>
                <w:lang w:bidi="ar-EG"/>
              </w:rPr>
              <w:t xml:space="preserve"> التي أعدتها الأمانة خلال الثنائية.</w:t>
            </w:r>
          </w:p>
        </w:tc>
        <w:tc>
          <w:tcPr>
            <w:tcW w:w="596" w:type="dxa"/>
            <w:tcBorders>
              <w:top w:val="nil"/>
              <w:left w:val="nil"/>
              <w:bottom w:val="nil"/>
              <w:right w:val="single" w:sz="4" w:space="0" w:color="auto"/>
            </w:tcBorders>
            <w:tcMar>
              <w:top w:w="110" w:type="dxa"/>
            </w:tcMar>
          </w:tcPr>
          <w:p w:rsidR="000E3B10" w:rsidRPr="00211D55" w:rsidRDefault="00132621" w:rsidP="00086C3F">
            <w:pPr>
              <w:keepNext/>
              <w:bidi/>
              <w:spacing w:before="60" w:after="6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132621" w:rsidRPr="00211D55" w:rsidTr="00E439F5">
        <w:trPr>
          <w:cantSplit/>
          <w:trHeight w:val="18"/>
        </w:trPr>
        <w:tc>
          <w:tcPr>
            <w:tcW w:w="0" w:type="auto"/>
            <w:tcBorders>
              <w:top w:val="nil"/>
              <w:bottom w:val="single" w:sz="4" w:space="0" w:color="auto"/>
              <w:right w:val="nil"/>
            </w:tcBorders>
            <w:tcMar>
              <w:top w:w="110" w:type="dxa"/>
            </w:tcMar>
          </w:tcPr>
          <w:p w:rsidR="00132621" w:rsidRPr="00211D55" w:rsidRDefault="00132621" w:rsidP="00086C3F">
            <w:pPr>
              <w:bidi/>
              <w:spacing w:before="60" w:after="6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lang w:bidi="ar-EG"/>
              </w:rPr>
              <w:t>النسبة المئوية للمشاركين الراضين في حلقات عمل/ندوات/مؤتمرات عقدت بخصوص قضايا محددة تتعلق بالبراءات</w:t>
            </w:r>
          </w:p>
        </w:tc>
        <w:tc>
          <w:tcPr>
            <w:tcW w:w="0" w:type="auto"/>
            <w:gridSpan w:val="4"/>
            <w:tcBorders>
              <w:top w:val="nil"/>
              <w:left w:val="nil"/>
              <w:bottom w:val="single" w:sz="4" w:space="0" w:color="auto"/>
              <w:right w:val="nil"/>
            </w:tcBorders>
            <w:shd w:val="clear" w:color="auto" w:fill="auto"/>
            <w:tcMar>
              <w:top w:w="110" w:type="dxa"/>
            </w:tcMar>
          </w:tcPr>
          <w:p w:rsidR="00132621" w:rsidRPr="00211D55" w:rsidRDefault="00132621" w:rsidP="00086C3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92.5%، استنادا إلى استقصاء </w:t>
            </w:r>
            <w:r w:rsidR="00507DE2">
              <w:rPr>
                <w:rFonts w:ascii="Arabic Typesetting" w:hAnsi="Arabic Typesetting" w:cs="Arabic Typesetting"/>
                <w:b/>
                <w:color w:val="002060"/>
                <w:sz w:val="28"/>
                <w:szCs w:val="28"/>
                <w:rtl/>
                <w:lang w:bidi="ar-EG"/>
              </w:rPr>
              <w:t>2012/13</w:t>
            </w:r>
          </w:p>
          <w:p w:rsidR="00132621" w:rsidRPr="00211D55" w:rsidRDefault="00132621" w:rsidP="00086C3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xml:space="preserve">: </w:t>
            </w:r>
            <w:proofErr w:type="spellStart"/>
            <w:r w:rsidRPr="00211D55">
              <w:rPr>
                <w:rFonts w:ascii="Arabic Typesetting" w:hAnsi="Arabic Typesetting" w:cs="Arabic Typesetting"/>
                <w:b/>
                <w:sz w:val="28"/>
                <w:szCs w:val="28"/>
                <w:rtl/>
                <w:lang w:bidi="ar-EG"/>
              </w:rPr>
              <w:t>استقصاءات</w:t>
            </w:r>
            <w:proofErr w:type="spellEnd"/>
            <w:r w:rsidRPr="00211D55">
              <w:rPr>
                <w:rFonts w:ascii="Arabic Typesetting" w:hAnsi="Arabic Typesetting" w:cs="Arabic Typesetting"/>
                <w:b/>
                <w:sz w:val="28"/>
                <w:szCs w:val="28"/>
                <w:rtl/>
                <w:lang w:bidi="ar-EG"/>
              </w:rPr>
              <w:t xml:space="preserve"> 2012</w:t>
            </w:r>
          </w:p>
        </w:tc>
        <w:tc>
          <w:tcPr>
            <w:tcW w:w="0" w:type="auto"/>
            <w:gridSpan w:val="2"/>
            <w:tcBorders>
              <w:top w:val="nil"/>
              <w:left w:val="nil"/>
              <w:bottom w:val="single" w:sz="4" w:space="0" w:color="auto"/>
              <w:right w:val="nil"/>
            </w:tcBorders>
          </w:tcPr>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90%</w:t>
            </w:r>
          </w:p>
        </w:tc>
        <w:tc>
          <w:tcPr>
            <w:tcW w:w="2787" w:type="dxa"/>
            <w:tcBorders>
              <w:top w:val="nil"/>
              <w:left w:val="nil"/>
              <w:bottom w:val="single" w:sz="4" w:space="0" w:color="auto"/>
              <w:right w:val="nil"/>
            </w:tcBorders>
            <w:tcMar>
              <w:top w:w="110" w:type="dxa"/>
            </w:tcMar>
          </w:tcPr>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96.85% استنادا إلى استقصاء 2014</w:t>
            </w:r>
          </w:p>
        </w:tc>
        <w:tc>
          <w:tcPr>
            <w:tcW w:w="596" w:type="dxa"/>
            <w:tcBorders>
              <w:top w:val="nil"/>
              <w:left w:val="nil"/>
              <w:bottom w:val="single" w:sz="4" w:space="0" w:color="auto"/>
              <w:right w:val="single" w:sz="4" w:space="0" w:color="auto"/>
            </w:tcBorders>
            <w:tcMar>
              <w:top w:w="110" w:type="dxa"/>
            </w:tcMar>
          </w:tcPr>
          <w:p w:rsidR="00132621" w:rsidRPr="00211D55" w:rsidRDefault="00132621" w:rsidP="00086C3F">
            <w:pPr>
              <w:keepNext/>
              <w:bidi/>
              <w:spacing w:before="60" w:after="6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132621" w:rsidRPr="00211D55" w:rsidTr="00393028">
        <w:trPr>
          <w:cantSplit/>
          <w:trHeight w:val="537"/>
        </w:trPr>
        <w:tc>
          <w:tcPr>
            <w:tcW w:w="0" w:type="auto"/>
            <w:gridSpan w:val="9"/>
            <w:tcBorders>
              <w:top w:val="single" w:sz="4" w:space="0" w:color="auto"/>
            </w:tcBorders>
            <w:shd w:val="clear" w:color="auto" w:fill="C6D9F1"/>
            <w:tcMar>
              <w:top w:w="0" w:type="dxa"/>
            </w:tcMar>
            <w:vAlign w:val="center"/>
          </w:tcPr>
          <w:p w:rsidR="00132621" w:rsidRPr="00211D55" w:rsidRDefault="00132621" w:rsidP="009E62B8">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shd w:val="clear" w:color="auto" w:fill="C6D9F1"/>
                <w:rtl/>
                <w:lang w:bidi="ar-EG"/>
              </w:rPr>
              <w:t xml:space="preserve">النتيجة المرتقبة: </w:t>
            </w:r>
            <w:r w:rsidR="006E7FC6" w:rsidRPr="00211D55">
              <w:rPr>
                <w:rFonts w:ascii="Arabic Typesetting" w:hAnsi="Arabic Typesetting" w:cs="Arabic Typesetting"/>
                <w:b/>
                <w:sz w:val="28"/>
                <w:szCs w:val="28"/>
                <w:shd w:val="clear" w:color="auto" w:fill="C6D9F1"/>
                <w:rtl/>
                <w:lang w:bidi="ar-EG"/>
              </w:rPr>
              <w:tab/>
            </w:r>
            <w:r w:rsidR="000432CA">
              <w:rPr>
                <w:rFonts w:ascii="Arabic Typesetting" w:hAnsi="Arabic Typesetting" w:cs="Arabic Typesetting"/>
                <w:b/>
                <w:sz w:val="28"/>
                <w:szCs w:val="28"/>
                <w:shd w:val="clear" w:color="auto" w:fill="C6D9F1"/>
                <w:rtl/>
                <w:lang w:bidi="ar-EG"/>
              </w:rPr>
              <w:t>ه2.1 أطر تشريعية وتنظيمية وسياسية مناسبة ومتوازنة للملكية الفكرية</w:t>
            </w:r>
          </w:p>
        </w:tc>
      </w:tr>
      <w:tr w:rsidR="00132621" w:rsidRPr="00211D55" w:rsidTr="00E439F5">
        <w:trPr>
          <w:cantSplit/>
          <w:trHeight w:val="18"/>
        </w:trPr>
        <w:tc>
          <w:tcPr>
            <w:tcW w:w="0" w:type="auto"/>
            <w:tcBorders>
              <w:bottom w:val="nil"/>
              <w:right w:val="nil"/>
            </w:tcBorders>
            <w:tcMar>
              <w:top w:w="110" w:type="dxa"/>
            </w:tcMar>
          </w:tcPr>
          <w:p w:rsidR="00132621" w:rsidRPr="00211D55" w:rsidRDefault="00132621" w:rsidP="00086C3F">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مؤشرات الأداء</w:t>
            </w:r>
          </w:p>
        </w:tc>
        <w:tc>
          <w:tcPr>
            <w:tcW w:w="0" w:type="auto"/>
            <w:gridSpan w:val="4"/>
            <w:tcBorders>
              <w:top w:val="nil"/>
              <w:left w:val="nil"/>
              <w:bottom w:val="nil"/>
              <w:right w:val="nil"/>
            </w:tcBorders>
            <w:shd w:val="clear" w:color="auto" w:fill="auto"/>
            <w:tcMar>
              <w:top w:w="110" w:type="dxa"/>
            </w:tcMar>
            <w:vAlign w:val="center"/>
          </w:tcPr>
          <w:p w:rsidR="00132621" w:rsidRPr="00211D55" w:rsidRDefault="00132621" w:rsidP="00086C3F">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أسس المقارنة</w:t>
            </w:r>
          </w:p>
        </w:tc>
        <w:tc>
          <w:tcPr>
            <w:tcW w:w="0" w:type="auto"/>
            <w:gridSpan w:val="2"/>
            <w:tcBorders>
              <w:left w:val="nil"/>
              <w:bottom w:val="nil"/>
              <w:right w:val="nil"/>
            </w:tcBorders>
            <w:vAlign w:val="center"/>
          </w:tcPr>
          <w:p w:rsidR="00132621" w:rsidRPr="00211D55" w:rsidRDefault="00132621" w:rsidP="00086C3F">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الأهداف</w:t>
            </w:r>
          </w:p>
        </w:tc>
        <w:tc>
          <w:tcPr>
            <w:tcW w:w="2787" w:type="dxa"/>
            <w:tcBorders>
              <w:top w:val="nil"/>
              <w:left w:val="nil"/>
              <w:bottom w:val="nil"/>
              <w:right w:val="nil"/>
            </w:tcBorders>
            <w:tcMar>
              <w:top w:w="110" w:type="dxa"/>
            </w:tcMar>
          </w:tcPr>
          <w:p w:rsidR="00132621" w:rsidRPr="00211D55" w:rsidRDefault="00132621" w:rsidP="00086C3F">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بيانات الأداء</w:t>
            </w:r>
          </w:p>
        </w:tc>
        <w:tc>
          <w:tcPr>
            <w:tcW w:w="596" w:type="dxa"/>
            <w:tcBorders>
              <w:top w:val="nil"/>
              <w:left w:val="nil"/>
              <w:bottom w:val="nil"/>
              <w:right w:val="single" w:sz="4" w:space="0" w:color="auto"/>
            </w:tcBorders>
            <w:tcMar>
              <w:top w:w="110" w:type="dxa"/>
            </w:tcMar>
          </w:tcPr>
          <w:p w:rsidR="00132621" w:rsidRPr="00211D55" w:rsidRDefault="00132621" w:rsidP="00086C3F">
            <w:pPr>
              <w:keepNext/>
              <w:bidi/>
              <w:spacing w:before="60" w:after="60" w:line="280" w:lineRule="exact"/>
              <w:rPr>
                <w:rFonts w:ascii="Arabic Typesetting" w:hAnsi="Arabic Typesetting" w:cs="Arabic Typesetting"/>
                <w:bCs/>
                <w:color w:val="008000"/>
                <w:sz w:val="28"/>
                <w:szCs w:val="28"/>
                <w:rtl/>
                <w:lang w:bidi="ar-EG"/>
              </w:rPr>
            </w:pPr>
            <w:r w:rsidRPr="00211D55">
              <w:rPr>
                <w:rFonts w:ascii="Arabic Typesetting" w:hAnsi="Arabic Typesetting" w:cs="Arabic Typesetting"/>
                <w:bCs/>
                <w:sz w:val="28"/>
                <w:szCs w:val="28"/>
                <w:rtl/>
                <w:lang w:bidi="ar-EG"/>
              </w:rPr>
              <w:t>السير</w:t>
            </w:r>
          </w:p>
        </w:tc>
      </w:tr>
      <w:tr w:rsidR="00132621" w:rsidRPr="00211D55" w:rsidTr="00E439F5">
        <w:trPr>
          <w:cantSplit/>
          <w:trHeight w:val="1960"/>
        </w:trPr>
        <w:tc>
          <w:tcPr>
            <w:tcW w:w="0" w:type="auto"/>
            <w:gridSpan w:val="2"/>
            <w:tcBorders>
              <w:top w:val="nil"/>
              <w:left w:val="single" w:sz="4" w:space="0" w:color="auto"/>
              <w:bottom w:val="single" w:sz="4" w:space="0" w:color="auto"/>
              <w:right w:val="nil"/>
            </w:tcBorders>
            <w:tcMar>
              <w:top w:w="110" w:type="dxa"/>
            </w:tcMar>
          </w:tcPr>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عدد الدول الأعضاء التي وجدت المعلومات المقدمة بشأن المبادئ والممارسات القانونية لنظام البراءات، بما فيها مواطن المرونة التي ينطوي عليها النظام والتحديات التي تواجهه، معلومات مفيدة، والنسبة المئوية لهذه الدول</w:t>
            </w:r>
          </w:p>
        </w:tc>
        <w:tc>
          <w:tcPr>
            <w:tcW w:w="0" w:type="auto"/>
            <w:gridSpan w:val="2"/>
            <w:tcBorders>
              <w:top w:val="nil"/>
              <w:left w:val="nil"/>
              <w:bottom w:val="single" w:sz="4" w:space="0" w:color="auto"/>
              <w:right w:val="nil"/>
            </w:tcBorders>
            <w:shd w:val="clear" w:color="auto" w:fill="auto"/>
            <w:tcMar>
              <w:top w:w="110" w:type="dxa"/>
            </w:tcMar>
          </w:tcPr>
          <w:p w:rsidR="00132621" w:rsidRPr="00211D55" w:rsidRDefault="00132621" w:rsidP="00086C3F">
            <w:pPr>
              <w:bidi/>
              <w:spacing w:before="60" w:after="12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90% استنادا إلى استقصاء أجرته شعبة الرقابة الداخلية في عام 2013 بين 47 دولة عضوا</w:t>
            </w:r>
          </w:p>
          <w:p w:rsidR="00132621" w:rsidRPr="00211D55" w:rsidRDefault="00132621" w:rsidP="00086C3F">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تحدد لاحقا</w:t>
            </w:r>
          </w:p>
        </w:tc>
        <w:tc>
          <w:tcPr>
            <w:tcW w:w="0" w:type="auto"/>
            <w:gridSpan w:val="2"/>
            <w:tcBorders>
              <w:top w:val="nil"/>
              <w:left w:val="nil"/>
              <w:bottom w:val="single" w:sz="4" w:space="0" w:color="auto"/>
              <w:right w:val="nil"/>
            </w:tcBorders>
          </w:tcPr>
          <w:p w:rsidR="00132621" w:rsidRPr="00211D55" w:rsidRDefault="00132621" w:rsidP="00086C3F">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90%</w:t>
            </w:r>
          </w:p>
        </w:tc>
        <w:tc>
          <w:tcPr>
            <w:tcW w:w="3349" w:type="dxa"/>
            <w:gridSpan w:val="2"/>
            <w:tcBorders>
              <w:top w:val="nil"/>
              <w:left w:val="nil"/>
              <w:bottom w:val="single" w:sz="4" w:space="0" w:color="auto"/>
              <w:right w:val="nil"/>
            </w:tcBorders>
            <w:tcMar>
              <w:top w:w="110" w:type="dxa"/>
            </w:tcMar>
          </w:tcPr>
          <w:p w:rsidR="00132621" w:rsidRPr="00211D55" w:rsidRDefault="00132621"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95.24% استنادا إلى 24 ردا على استقصاء</w:t>
            </w:r>
          </w:p>
        </w:tc>
        <w:tc>
          <w:tcPr>
            <w:tcW w:w="596" w:type="dxa"/>
            <w:tcBorders>
              <w:top w:val="nil"/>
              <w:left w:val="nil"/>
              <w:bottom w:val="single" w:sz="4" w:space="0" w:color="auto"/>
              <w:right w:val="single" w:sz="4" w:space="0" w:color="auto"/>
            </w:tcBorders>
            <w:tcMar>
              <w:top w:w="110" w:type="dxa"/>
            </w:tcMar>
          </w:tcPr>
          <w:p w:rsidR="00132621" w:rsidRPr="00211D55" w:rsidRDefault="00132621" w:rsidP="00086C3F">
            <w:pPr>
              <w:keepNext/>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bCs/>
                <w:color w:val="008000"/>
                <w:sz w:val="28"/>
                <w:szCs w:val="28"/>
                <w:rtl/>
                <w:lang w:bidi="ar-EG"/>
              </w:rPr>
              <w:t>محقق كلياً</w:t>
            </w:r>
          </w:p>
        </w:tc>
      </w:tr>
      <w:tr w:rsidR="00132621" w:rsidRPr="00211D55" w:rsidTr="00E439F5">
        <w:trPr>
          <w:cantSplit/>
          <w:trHeight w:val="537"/>
        </w:trPr>
        <w:tc>
          <w:tcPr>
            <w:tcW w:w="0" w:type="auto"/>
            <w:gridSpan w:val="3"/>
            <w:tcBorders>
              <w:top w:val="single" w:sz="4" w:space="0" w:color="auto"/>
              <w:left w:val="single" w:sz="4" w:space="0" w:color="auto"/>
              <w:bottom w:val="nil"/>
              <w:right w:val="nil"/>
            </w:tcBorders>
            <w:tcMar>
              <w:top w:w="110" w:type="dxa"/>
            </w:tcMar>
          </w:tcPr>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lastRenderedPageBreak/>
              <w:t>عدد الدول الأعضاء التي شعرت بالرضا إزاء مستوى جودة المشورة القانونية فيما يخص البراءات ونماذج المنفعة والأسرار التجارية والدوائر المتكاملة، والنسبة المئوية لهذه الدول</w:t>
            </w:r>
          </w:p>
        </w:tc>
        <w:tc>
          <w:tcPr>
            <w:tcW w:w="0" w:type="auto"/>
            <w:gridSpan w:val="2"/>
            <w:tcBorders>
              <w:top w:val="single" w:sz="4" w:space="0" w:color="auto"/>
              <w:left w:val="nil"/>
              <w:bottom w:val="nil"/>
              <w:right w:val="nil"/>
            </w:tcBorders>
            <w:shd w:val="clear" w:color="auto" w:fill="auto"/>
            <w:tcMar>
              <w:top w:w="110" w:type="dxa"/>
            </w:tcMar>
          </w:tcPr>
          <w:p w:rsidR="00132621" w:rsidRPr="00211D55" w:rsidRDefault="00132621" w:rsidP="00086C3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9 مجيبين (90%)، استنادا إلى استقصاء أجرته شعبة الرقابة الداخلية في عام 2013</w:t>
            </w:r>
          </w:p>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xml:space="preserve">: </w:t>
            </w:r>
            <w:proofErr w:type="spellStart"/>
            <w:r w:rsidRPr="00211D55">
              <w:rPr>
                <w:rFonts w:ascii="Arabic Typesetting" w:hAnsi="Arabic Typesetting" w:cs="Arabic Typesetting"/>
                <w:b/>
                <w:sz w:val="28"/>
                <w:szCs w:val="28"/>
                <w:rtl/>
                <w:lang w:bidi="ar-EG"/>
              </w:rPr>
              <w:t>استقصاءات</w:t>
            </w:r>
            <w:proofErr w:type="spellEnd"/>
            <w:r w:rsidRPr="00211D55">
              <w:rPr>
                <w:rFonts w:ascii="Arabic Typesetting" w:hAnsi="Arabic Typesetting" w:cs="Arabic Typesetting"/>
                <w:b/>
                <w:sz w:val="28"/>
                <w:szCs w:val="28"/>
                <w:rtl/>
                <w:lang w:bidi="ar-EG"/>
              </w:rPr>
              <w:t xml:space="preserve"> 2012</w:t>
            </w:r>
          </w:p>
        </w:tc>
        <w:tc>
          <w:tcPr>
            <w:tcW w:w="0" w:type="auto"/>
            <w:gridSpan w:val="2"/>
            <w:tcBorders>
              <w:top w:val="single" w:sz="4" w:space="0" w:color="auto"/>
              <w:left w:val="nil"/>
              <w:bottom w:val="nil"/>
              <w:right w:val="nil"/>
            </w:tcBorders>
          </w:tcPr>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90%</w:t>
            </w:r>
          </w:p>
        </w:tc>
        <w:tc>
          <w:tcPr>
            <w:tcW w:w="2787" w:type="dxa"/>
            <w:tcBorders>
              <w:top w:val="single" w:sz="4" w:space="0" w:color="auto"/>
              <w:left w:val="nil"/>
              <w:bottom w:val="nil"/>
              <w:right w:val="nil"/>
            </w:tcBorders>
            <w:tcMar>
              <w:top w:w="110" w:type="dxa"/>
            </w:tcMar>
          </w:tcPr>
          <w:p w:rsidR="00132621" w:rsidRPr="00211D55" w:rsidRDefault="00132621" w:rsidP="00FA78A4">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أعرب </w:t>
            </w:r>
            <w:r w:rsidR="00FA78A4">
              <w:rPr>
                <w:rFonts w:ascii="Arabic Typesetting" w:hAnsi="Arabic Typesetting" w:cs="Arabic Typesetting" w:hint="cs"/>
                <w:b/>
                <w:sz w:val="28"/>
                <w:szCs w:val="28"/>
                <w:rtl/>
                <w:lang w:bidi="ar-EG"/>
              </w:rPr>
              <w:t>9</w:t>
            </w:r>
            <w:r w:rsidRPr="00211D55">
              <w:rPr>
                <w:rFonts w:ascii="Arabic Typesetting" w:hAnsi="Arabic Typesetting" w:cs="Arabic Typesetting"/>
                <w:b/>
                <w:sz w:val="28"/>
                <w:szCs w:val="28"/>
                <w:rtl/>
                <w:lang w:bidi="ar-EG"/>
              </w:rPr>
              <w:t xml:space="preserve"> مجيب</w:t>
            </w:r>
            <w:r w:rsidR="00FA78A4">
              <w:rPr>
                <w:rFonts w:ascii="Arabic Typesetting" w:hAnsi="Arabic Typesetting" w:cs="Arabic Typesetting" w:hint="cs"/>
                <w:b/>
                <w:sz w:val="28"/>
                <w:szCs w:val="28"/>
                <w:rtl/>
                <w:lang w:bidi="ar-EG"/>
              </w:rPr>
              <w:t>ين</w:t>
            </w:r>
            <w:r w:rsidRPr="00211D55">
              <w:rPr>
                <w:rFonts w:ascii="Arabic Typesetting" w:hAnsi="Arabic Typesetting" w:cs="Arabic Typesetting"/>
                <w:b/>
                <w:sz w:val="28"/>
                <w:szCs w:val="28"/>
                <w:rtl/>
                <w:lang w:bidi="ar-EG"/>
              </w:rPr>
              <w:t xml:space="preserve"> عن مستوى رضا بلغ في المتوسط </w:t>
            </w:r>
            <w:r w:rsidR="00FA78A4">
              <w:rPr>
                <w:rFonts w:ascii="Arabic Typesetting" w:hAnsi="Arabic Typesetting" w:cs="Arabic Typesetting" w:hint="cs"/>
                <w:b/>
                <w:sz w:val="28"/>
                <w:szCs w:val="28"/>
                <w:rtl/>
                <w:lang w:bidi="ar-EG"/>
              </w:rPr>
              <w:t>94</w:t>
            </w:r>
            <w:r w:rsidRPr="00211D55">
              <w:rPr>
                <w:rFonts w:ascii="Arabic Typesetting" w:hAnsi="Arabic Typesetting" w:cs="Arabic Typesetting"/>
                <w:b/>
                <w:sz w:val="28"/>
                <w:szCs w:val="28"/>
                <w:rtl/>
                <w:lang w:bidi="ar-EG"/>
              </w:rPr>
              <w:t xml:space="preserve">% (أفريقيا </w:t>
            </w:r>
            <w:r w:rsidR="00FA78A4">
              <w:rPr>
                <w:rFonts w:ascii="Arabic Typesetting" w:hAnsi="Arabic Typesetting" w:cs="Arabic Typesetting" w:hint="cs"/>
                <w:b/>
                <w:sz w:val="28"/>
                <w:szCs w:val="28"/>
                <w:rtl/>
                <w:lang w:bidi="ar-EG"/>
              </w:rPr>
              <w:t>3</w:t>
            </w:r>
            <w:r w:rsidRPr="00211D55">
              <w:rPr>
                <w:rFonts w:ascii="Arabic Typesetting" w:hAnsi="Arabic Typesetting" w:cs="Arabic Typesetting"/>
                <w:b/>
                <w:sz w:val="28"/>
                <w:szCs w:val="28"/>
                <w:rtl/>
                <w:lang w:bidi="ar-EG"/>
              </w:rPr>
              <w:t xml:space="preserve">، </w:t>
            </w:r>
            <w:r w:rsidR="00440A11" w:rsidRPr="00211D55">
              <w:rPr>
                <w:rFonts w:ascii="Arabic Typesetting" w:hAnsi="Arabic Typesetting" w:cs="Arabic Typesetting"/>
                <w:b/>
                <w:sz w:val="28"/>
                <w:szCs w:val="28"/>
                <w:rtl/>
                <w:lang w:bidi="ar-EG"/>
              </w:rPr>
              <w:t>البلدان العربية </w:t>
            </w:r>
            <w:r w:rsidR="00FA78A4">
              <w:rPr>
                <w:rFonts w:ascii="Arabic Typesetting" w:hAnsi="Arabic Typesetting" w:cs="Arabic Typesetting" w:hint="cs"/>
                <w:b/>
                <w:sz w:val="28"/>
                <w:szCs w:val="28"/>
                <w:rtl/>
                <w:lang w:bidi="ar-EG"/>
              </w:rPr>
              <w:t>1</w:t>
            </w:r>
            <w:r w:rsidRPr="00211D55">
              <w:rPr>
                <w:rFonts w:ascii="Arabic Typesetting" w:hAnsi="Arabic Typesetting" w:cs="Arabic Typesetting"/>
                <w:b/>
                <w:sz w:val="28"/>
                <w:szCs w:val="28"/>
                <w:rtl/>
                <w:lang w:bidi="ar-EG"/>
              </w:rPr>
              <w:t xml:space="preserve">؛ آسيا والمحيط الهادئ </w:t>
            </w:r>
            <w:r w:rsidR="00FA78A4">
              <w:rPr>
                <w:rFonts w:ascii="Arabic Typesetting" w:hAnsi="Arabic Typesetting" w:cs="Arabic Typesetting" w:hint="cs"/>
                <w:b/>
                <w:sz w:val="28"/>
                <w:szCs w:val="28"/>
                <w:rtl/>
                <w:lang w:bidi="ar-EG"/>
              </w:rPr>
              <w:t>2</w:t>
            </w:r>
            <w:r w:rsidRPr="00211D55">
              <w:rPr>
                <w:rFonts w:ascii="Arabic Typesetting" w:hAnsi="Arabic Typesetting" w:cs="Arabic Typesetting"/>
                <w:b/>
                <w:sz w:val="28"/>
                <w:szCs w:val="28"/>
                <w:rtl/>
                <w:lang w:bidi="ar-EG"/>
              </w:rPr>
              <w:t xml:space="preserve">؛ بعض البلدان في أوروبا وآسيا </w:t>
            </w:r>
            <w:r w:rsidR="00FA78A4">
              <w:rPr>
                <w:rFonts w:ascii="Arabic Typesetting" w:hAnsi="Arabic Typesetting" w:cs="Arabic Typesetting" w:hint="cs"/>
                <w:b/>
                <w:sz w:val="28"/>
                <w:szCs w:val="28"/>
                <w:rtl/>
                <w:lang w:bidi="ar-EG"/>
              </w:rPr>
              <w:t>2</w:t>
            </w:r>
            <w:r w:rsidRPr="00211D55">
              <w:rPr>
                <w:rFonts w:ascii="Arabic Typesetting" w:hAnsi="Arabic Typesetting" w:cs="Arabic Typesetting"/>
                <w:b/>
                <w:sz w:val="28"/>
                <w:szCs w:val="28"/>
                <w:rtl/>
                <w:lang w:bidi="ar-EG"/>
              </w:rPr>
              <w:t xml:space="preserve">؛ </w:t>
            </w:r>
            <w:r w:rsidR="00440A11" w:rsidRPr="00211D55">
              <w:rPr>
                <w:rFonts w:ascii="Arabic Typesetting" w:hAnsi="Arabic Typesetting" w:cs="Arabic Typesetting"/>
                <w:b/>
                <w:sz w:val="28"/>
                <w:szCs w:val="28"/>
                <w:rtl/>
                <w:lang w:bidi="ar-EG"/>
              </w:rPr>
              <w:t>أمريكا </w:t>
            </w:r>
            <w:r w:rsidRPr="00211D55">
              <w:rPr>
                <w:rFonts w:ascii="Arabic Typesetting" w:hAnsi="Arabic Typesetting" w:cs="Arabic Typesetting"/>
                <w:b/>
                <w:sz w:val="28"/>
                <w:szCs w:val="28"/>
                <w:rtl/>
                <w:lang w:bidi="ar-EG"/>
              </w:rPr>
              <w:t>اللاتينية والكاريبي 1</w:t>
            </w:r>
            <w:r w:rsidR="00FA78A4" w:rsidRPr="00F96634">
              <w:rPr>
                <w:rFonts w:ascii="Arabic Typesetting" w:hAnsi="Arabic Typesetting" w:cs="Arabic Typesetting"/>
                <w:b/>
                <w:sz w:val="28"/>
                <w:szCs w:val="28"/>
                <w:vertAlign w:val="superscript"/>
                <w:rtl/>
                <w:lang w:bidi="ar-EG"/>
              </w:rPr>
              <w:footnoteReference w:id="8"/>
            </w:r>
          </w:p>
        </w:tc>
        <w:tc>
          <w:tcPr>
            <w:tcW w:w="596" w:type="dxa"/>
            <w:tcBorders>
              <w:top w:val="single" w:sz="4" w:space="0" w:color="auto"/>
              <w:left w:val="nil"/>
              <w:bottom w:val="nil"/>
              <w:right w:val="single" w:sz="4" w:space="0" w:color="auto"/>
            </w:tcBorders>
            <w:tcMar>
              <w:top w:w="110" w:type="dxa"/>
            </w:tcMar>
          </w:tcPr>
          <w:p w:rsidR="00132621" w:rsidRPr="00211D55" w:rsidRDefault="004C6CAF"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132621" w:rsidRPr="00211D55" w:rsidTr="00E439F5">
        <w:trPr>
          <w:cantSplit/>
          <w:trHeight w:val="537"/>
        </w:trPr>
        <w:tc>
          <w:tcPr>
            <w:tcW w:w="0" w:type="auto"/>
            <w:tcBorders>
              <w:top w:val="nil"/>
              <w:left w:val="single" w:sz="4" w:space="0" w:color="auto"/>
              <w:bottom w:val="single" w:sz="4" w:space="0" w:color="auto"/>
              <w:right w:val="nil"/>
            </w:tcBorders>
            <w:tcMar>
              <w:top w:w="110" w:type="dxa"/>
            </w:tcMar>
          </w:tcPr>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رهنا بموافقة الدول الأعضاء، التقدم المحرز في مراجعة قانون البراءات النموذجي للبلدان النامية والبلدان الأقل نموا</w:t>
            </w:r>
          </w:p>
        </w:tc>
        <w:tc>
          <w:tcPr>
            <w:tcW w:w="0" w:type="auto"/>
            <w:gridSpan w:val="4"/>
            <w:tcBorders>
              <w:top w:val="nil"/>
              <w:left w:val="nil"/>
              <w:bottom w:val="single" w:sz="4" w:space="0" w:color="auto"/>
              <w:right w:val="nil"/>
            </w:tcBorders>
            <w:shd w:val="clear" w:color="auto" w:fill="auto"/>
            <w:tcMar>
              <w:top w:w="110" w:type="dxa"/>
            </w:tcMar>
          </w:tcPr>
          <w:p w:rsidR="00132621" w:rsidRPr="00211D55" w:rsidRDefault="00132621" w:rsidP="00086C3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اجتماع خبراء واحد</w:t>
            </w:r>
          </w:p>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تحدد لاحقا</w:t>
            </w:r>
          </w:p>
        </w:tc>
        <w:tc>
          <w:tcPr>
            <w:tcW w:w="0" w:type="auto"/>
            <w:gridSpan w:val="2"/>
            <w:tcBorders>
              <w:top w:val="nil"/>
              <w:left w:val="nil"/>
              <w:bottom w:val="single" w:sz="4" w:space="0" w:color="auto"/>
              <w:right w:val="nil"/>
            </w:tcBorders>
          </w:tcPr>
          <w:p w:rsidR="00132621" w:rsidRPr="00211D55" w:rsidRDefault="00132621"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rPr>
              <w:t>تقدم في العمل التحضيري لتحديث قانون الويبو النموذجي للبراءات</w:t>
            </w:r>
          </w:p>
        </w:tc>
        <w:tc>
          <w:tcPr>
            <w:tcW w:w="2787" w:type="dxa"/>
            <w:tcBorders>
              <w:top w:val="nil"/>
              <w:left w:val="nil"/>
              <w:bottom w:val="single" w:sz="4" w:space="0" w:color="auto"/>
              <w:right w:val="nil"/>
            </w:tcBorders>
            <w:tcMar>
              <w:top w:w="110" w:type="dxa"/>
            </w:tcMar>
          </w:tcPr>
          <w:p w:rsidR="00132621" w:rsidRPr="00211D55" w:rsidRDefault="004C6CAF" w:rsidP="00086C3F">
            <w:pPr>
              <w:keepNext/>
              <w:bidi/>
              <w:spacing w:before="60" w:after="60" w:line="280" w:lineRule="exact"/>
              <w:rPr>
                <w:rFonts w:ascii="Arabic Typesetting" w:hAnsi="Arabic Typesetting" w:cs="Arabic Typesetting"/>
                <w:bCs/>
                <w:sz w:val="28"/>
                <w:szCs w:val="28"/>
                <w:lang w:bidi="ar-EG"/>
              </w:rPr>
            </w:pPr>
            <w:r w:rsidRPr="00211D55">
              <w:rPr>
                <w:rFonts w:ascii="Arabic Typesetting" w:hAnsi="Arabic Typesetting" w:cs="Arabic Typesetting"/>
                <w:b/>
                <w:sz w:val="28"/>
                <w:szCs w:val="28"/>
                <w:rtl/>
                <w:lang w:bidi="ar-EG"/>
              </w:rPr>
              <w:t>واصلت</w:t>
            </w:r>
            <w:r w:rsidR="00132621" w:rsidRPr="00211D55">
              <w:rPr>
                <w:rFonts w:ascii="Arabic Typesetting" w:hAnsi="Arabic Typesetting" w:cs="Arabic Typesetting"/>
                <w:b/>
                <w:sz w:val="28"/>
                <w:szCs w:val="28"/>
                <w:rtl/>
                <w:lang w:bidi="ar-EG"/>
              </w:rPr>
              <w:t xml:space="preserve"> </w:t>
            </w:r>
            <w:r w:rsidRPr="00211D55">
              <w:rPr>
                <w:rFonts w:ascii="Arabic Typesetting" w:hAnsi="Arabic Typesetting" w:cs="Arabic Typesetting"/>
                <w:b/>
                <w:sz w:val="28"/>
                <w:szCs w:val="28"/>
                <w:rtl/>
                <w:lang w:bidi="ar-EG"/>
              </w:rPr>
              <w:t>ا</w:t>
            </w:r>
            <w:r w:rsidR="00132621" w:rsidRPr="00211D55">
              <w:rPr>
                <w:rFonts w:ascii="Arabic Typesetting" w:hAnsi="Arabic Typesetting" w:cs="Arabic Typesetting"/>
                <w:b/>
                <w:sz w:val="28"/>
                <w:szCs w:val="28"/>
                <w:rtl/>
                <w:lang w:bidi="ar-EG"/>
              </w:rPr>
              <w:t>لل</w:t>
            </w:r>
            <w:r w:rsidRPr="00211D55">
              <w:rPr>
                <w:rFonts w:ascii="Arabic Typesetting" w:hAnsi="Arabic Typesetting" w:cs="Arabic Typesetting"/>
                <w:b/>
                <w:sz w:val="28"/>
                <w:szCs w:val="28"/>
                <w:rtl/>
                <w:lang w:bidi="ar-EG"/>
              </w:rPr>
              <w:t>ج</w:t>
            </w:r>
            <w:r w:rsidR="00132621" w:rsidRPr="00211D55">
              <w:rPr>
                <w:rFonts w:ascii="Arabic Typesetting" w:hAnsi="Arabic Typesetting" w:cs="Arabic Typesetting"/>
                <w:b/>
                <w:sz w:val="28"/>
                <w:szCs w:val="28"/>
                <w:rtl/>
                <w:lang w:bidi="ar-EG"/>
              </w:rPr>
              <w:t>نة الدائمة المعنية بقانون البراءات</w:t>
            </w:r>
            <w:r w:rsidRPr="00211D55">
              <w:rPr>
                <w:rFonts w:ascii="Arabic Typesetting" w:hAnsi="Arabic Typesetting" w:cs="Arabic Typesetting"/>
                <w:b/>
                <w:sz w:val="28"/>
                <w:szCs w:val="28"/>
                <w:rtl/>
                <w:lang w:bidi="ar-EG"/>
              </w:rPr>
              <w:t xml:space="preserve"> مناقشة اقتراح مجموعة بلدان أمريكا اللاتينية والكاريبي</w:t>
            </w:r>
            <w:r w:rsidR="00440A11" w:rsidRPr="00211D55">
              <w:rPr>
                <w:rFonts w:ascii="Arabic Typesetting" w:hAnsi="Arabic Typesetting" w:cs="Arabic Typesetting"/>
                <w:b/>
                <w:sz w:val="28"/>
                <w:szCs w:val="28"/>
                <w:rtl/>
                <w:lang w:bidi="ar-EG"/>
              </w:rPr>
              <w:t>.</w:t>
            </w:r>
          </w:p>
        </w:tc>
        <w:tc>
          <w:tcPr>
            <w:tcW w:w="596" w:type="dxa"/>
            <w:tcBorders>
              <w:top w:val="nil"/>
              <w:left w:val="nil"/>
              <w:bottom w:val="single" w:sz="4" w:space="0" w:color="auto"/>
              <w:right w:val="single" w:sz="4" w:space="0" w:color="auto"/>
            </w:tcBorders>
            <w:tcMar>
              <w:top w:w="110" w:type="dxa"/>
            </w:tcMar>
          </w:tcPr>
          <w:p w:rsidR="00132621" w:rsidRPr="00211D55" w:rsidRDefault="00132621" w:rsidP="00086C3F">
            <w:pPr>
              <w:keepNext/>
              <w:bidi/>
              <w:spacing w:before="60" w:after="60" w:line="280" w:lineRule="exact"/>
              <w:rPr>
                <w:rFonts w:ascii="Arabic Typesetting" w:hAnsi="Arabic Typesetting" w:cs="Arabic Typesetting"/>
                <w:bCs/>
                <w:color w:val="FF0000"/>
                <w:sz w:val="28"/>
                <w:szCs w:val="28"/>
                <w:rtl/>
                <w:lang w:bidi="ar-EG"/>
              </w:rPr>
            </w:pPr>
            <w:r w:rsidRPr="00211D55">
              <w:rPr>
                <w:rFonts w:ascii="Arabic Typesetting" w:hAnsi="Arabic Typesetting" w:cs="Arabic Typesetting"/>
                <w:bCs/>
                <w:color w:val="FF0000"/>
                <w:sz w:val="28"/>
                <w:szCs w:val="28"/>
                <w:rtl/>
                <w:lang w:bidi="ar-EG"/>
              </w:rPr>
              <w:t xml:space="preserve">غير </w:t>
            </w:r>
            <w:r w:rsidR="004C6CAF" w:rsidRPr="00211D55">
              <w:rPr>
                <w:rFonts w:ascii="Arabic Typesetting" w:hAnsi="Arabic Typesetting" w:cs="Arabic Typesetting"/>
                <w:bCs/>
                <w:color w:val="FF0000"/>
                <w:sz w:val="28"/>
                <w:szCs w:val="28"/>
                <w:rtl/>
                <w:lang w:bidi="ar-EG"/>
              </w:rPr>
              <w:t>محقق</w:t>
            </w:r>
          </w:p>
        </w:tc>
      </w:tr>
    </w:tbl>
    <w:p w:rsidR="004C6CAF"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4C6CAF" w:rsidRPr="00211D55" w:rsidTr="00144815">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4C6CAF" w:rsidRPr="00211D55" w:rsidRDefault="004C6CAF"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 xml:space="preserve">المخاطر التي قد </w:t>
            </w:r>
            <w:r w:rsidR="00440A11" w:rsidRPr="00211D55">
              <w:rPr>
                <w:rFonts w:ascii="Arabic Typesetting" w:hAnsi="Arabic Typesetting" w:cs="Arabic Typesetting" w:hint="cs"/>
                <w:bCs/>
                <w:sz w:val="28"/>
                <w:szCs w:val="28"/>
                <w:rtl/>
                <w:lang w:bidi="ar-EG"/>
              </w:rPr>
              <w:t>تحول دون</w:t>
            </w:r>
            <w:r w:rsidRPr="00211D55">
              <w:rPr>
                <w:rFonts w:ascii="Arabic Typesetting" w:hAnsi="Arabic Typesetting" w:cs="Arabic Typesetting" w:hint="cs"/>
                <w:bCs/>
                <w:sz w:val="28"/>
                <w:szCs w:val="28"/>
                <w:rtl/>
                <w:lang w:bidi="ar-EG"/>
              </w:rPr>
              <w:t xml:space="preserve">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4C6CAF" w:rsidRPr="00211D55" w:rsidRDefault="004C6CAF"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4C6CAF" w:rsidRPr="00211D55" w:rsidRDefault="004C6CAF"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w:t>
            </w:r>
            <w:r w:rsidR="00567D2C" w:rsidRPr="00211D55">
              <w:rPr>
                <w:rFonts w:ascii="Arabic Typesetting" w:hAnsi="Arabic Typesetting" w:cs="Arabic Typesetting" w:hint="cs"/>
                <w:bCs/>
                <w:sz w:val="28"/>
                <w:szCs w:val="28"/>
                <w:rtl/>
                <w:lang w:bidi="ar-EG"/>
              </w:rPr>
              <w:t xml:space="preserve"> </w:t>
            </w:r>
            <w:r w:rsidRPr="00211D55">
              <w:rPr>
                <w:rFonts w:ascii="Arabic Typesetting" w:hAnsi="Arabic Typesetting" w:cs="Arabic Typesetting" w:hint="cs"/>
                <w:bCs/>
                <w:sz w:val="28"/>
                <w:szCs w:val="28"/>
                <w:rtl/>
                <w:lang w:bidi="ar-EG"/>
              </w:rPr>
              <w:t>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4C6CAF"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4C6CAF" w:rsidRPr="00211D55" w:rsidTr="00144815">
        <w:trPr>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4C6CAF" w:rsidRPr="00211D55" w:rsidRDefault="004C6CAF" w:rsidP="007A7336">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‏تراجع أهمية</w:t>
            </w:r>
            <w:r w:rsidRPr="00211D55">
              <w:rPr>
                <w:rFonts w:ascii="Arabic Typesetting" w:hAnsi="Arabic Typesetting" w:cs="Arabic Typesetting" w:hint="cs"/>
                <w:b/>
                <w:sz w:val="28"/>
                <w:szCs w:val="28"/>
                <w:rtl/>
                <w:lang w:bidi="ar-EG"/>
              </w:rPr>
              <w:t xml:space="preserve"> اللجنة الدائمة المعنية بقانون البراءات</w:t>
            </w:r>
            <w:r w:rsidRPr="00211D55">
              <w:rPr>
                <w:rFonts w:ascii="Arabic Typesetting" w:hAnsi="Arabic Typesetting" w:cs="Arabic Typesetting"/>
                <w:b/>
                <w:sz w:val="28"/>
                <w:szCs w:val="28"/>
                <w:rtl/>
                <w:lang w:bidi="ar-EG"/>
              </w:rPr>
              <w:t xml:space="preserve"> باعتبارها محفلا متعدد الأطر</w:t>
            </w:r>
            <w:r w:rsidRPr="00211D55">
              <w:rPr>
                <w:rFonts w:ascii="Arabic Typesetting" w:hAnsi="Arabic Typesetting" w:cs="Arabic Typesetting" w:hint="cs"/>
                <w:b/>
                <w:sz w:val="28"/>
                <w:szCs w:val="28"/>
                <w:rtl/>
                <w:lang w:bidi="ar-EG"/>
              </w:rPr>
              <w:t>اف.</w:t>
            </w:r>
          </w:p>
        </w:tc>
        <w:tc>
          <w:tcPr>
            <w:tcW w:w="2200" w:type="dxa"/>
            <w:tcBorders>
              <w:top w:val="single" w:sz="4" w:space="0" w:color="auto"/>
              <w:bottom w:val="single" w:sz="4" w:space="0" w:color="auto"/>
            </w:tcBorders>
            <w:shd w:val="clear" w:color="auto" w:fill="auto"/>
            <w:tcMar>
              <w:top w:w="113" w:type="dxa"/>
              <w:bottom w:w="113" w:type="dxa"/>
            </w:tcMar>
          </w:tcPr>
          <w:p w:rsidR="004C6CAF" w:rsidRPr="007A7336" w:rsidRDefault="004C6CAF" w:rsidP="007A7336">
            <w:pPr>
              <w:bidi/>
              <w:spacing w:before="60" w:after="60" w:line="280" w:lineRule="exact"/>
              <w:rPr>
                <w:rFonts w:ascii="Arabic Typesetting" w:hAnsi="Arabic Typesetting" w:cs="Arabic Typesetting"/>
                <w:bCs/>
                <w:sz w:val="28"/>
                <w:szCs w:val="28"/>
                <w:lang w:bidi="ar-EG"/>
              </w:rPr>
            </w:pPr>
            <w:r w:rsidRPr="00211D55">
              <w:rPr>
                <w:rFonts w:ascii="Arabic Typesetting" w:hAnsi="Arabic Typesetting" w:cs="Arabic Typesetting"/>
                <w:b/>
                <w:sz w:val="28"/>
                <w:szCs w:val="28"/>
                <w:rtl/>
                <w:lang w:bidi="ar-EG"/>
              </w:rPr>
              <w:t>تقديم إرشاد مهني وغير متحيز</w:t>
            </w:r>
            <w:r w:rsidRPr="007A7336">
              <w:rPr>
                <w:rFonts w:ascii="Arabic Typesetting" w:hAnsi="Arabic Typesetting" w:cs="Arabic Typesetting"/>
                <w:sz w:val="28"/>
                <w:szCs w:val="28"/>
                <w:lang w:bidi="ar-EG"/>
              </w:rPr>
              <w:t>.</w:t>
            </w:r>
          </w:p>
          <w:p w:rsidR="004C6CAF" w:rsidRPr="007A7336" w:rsidRDefault="004C6CAF" w:rsidP="007A7336">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sz w:val="28"/>
                <w:szCs w:val="28"/>
                <w:rtl/>
                <w:lang w:bidi="ar-EG"/>
              </w:rPr>
              <w:t>تهيئة بيئة شاملة ومحايدة للحوار بين الدول الأعضاء</w:t>
            </w:r>
            <w:r w:rsidRPr="007A7336">
              <w:rPr>
                <w:rFonts w:ascii="Arabic Typesetting" w:hAnsi="Arabic Typesetting" w:cs="Arabic Typesetting"/>
                <w:sz w:val="28"/>
                <w:szCs w:val="28"/>
                <w:lang w:bidi="ar-EG"/>
              </w:rPr>
              <w:t>.</w:t>
            </w:r>
          </w:p>
          <w:p w:rsidR="004C6CAF" w:rsidRPr="00211D55" w:rsidRDefault="004C6CAF" w:rsidP="007A7336">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sz w:val="28"/>
                <w:szCs w:val="28"/>
                <w:rtl/>
                <w:lang w:bidi="ar-EG"/>
              </w:rPr>
              <w:t>إمداد الدول الأعضاء بما تحتاج إليه من معلومات دقيقة ومناسبة في الوقت المناسب</w:t>
            </w:r>
            <w:r w:rsidRPr="00211D55">
              <w:rPr>
                <w:rFonts w:ascii="Arabic Typesetting" w:hAnsi="Arabic Typesetting" w:cs="Arabic Typesetting"/>
                <w:b/>
                <w:sz w:val="28"/>
                <w:szCs w:val="28"/>
                <w:lang w:bidi="ar-EG"/>
              </w:rPr>
              <w:t>.</w:t>
            </w:r>
          </w:p>
        </w:tc>
        <w:tc>
          <w:tcPr>
            <w:tcW w:w="2310" w:type="dxa"/>
            <w:tcBorders>
              <w:top w:val="single" w:sz="4" w:space="0" w:color="auto"/>
              <w:bottom w:val="single" w:sz="4" w:space="0" w:color="auto"/>
            </w:tcBorders>
          </w:tcPr>
          <w:p w:rsidR="004C6CAF" w:rsidRPr="00211D55" w:rsidRDefault="00567D2C" w:rsidP="007A7336">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هذا الخطر متواصل بالنسبة إلى البرنامج وظل قائما على مدار الثنائية وحُدد بوصفه خطرا رئيسيا يهدد تحقيق النتائج المرتقبة من البرنامج خلال الثنائية المقبلة.</w:t>
            </w:r>
          </w:p>
        </w:tc>
        <w:tc>
          <w:tcPr>
            <w:tcW w:w="2306" w:type="dxa"/>
            <w:tcBorders>
              <w:top w:val="single" w:sz="4" w:space="0" w:color="auto"/>
              <w:bottom w:val="single" w:sz="4" w:space="0" w:color="auto"/>
              <w:right w:val="single" w:sz="4" w:space="0" w:color="auto"/>
            </w:tcBorders>
          </w:tcPr>
          <w:p w:rsidR="004C6CAF" w:rsidRPr="00211D55" w:rsidRDefault="00567D2C"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يعزى هذا الخطر أساسا إلى تباين آراء الدول الأعضاء بشأن سبل المضي قدما بمناقشات اللجنة الدائمة المعنية بقانون البراءات ما أدى إلى بطء التقدم المحرز.</w:t>
            </w:r>
          </w:p>
        </w:tc>
      </w:tr>
    </w:tbl>
    <w:p w:rsidR="00B264F9" w:rsidRPr="00B264F9" w:rsidRDefault="00B264F9" w:rsidP="00774E37">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استخدام الموارد</w:t>
      </w:r>
    </w:p>
    <w:p w:rsidR="000E3B10" w:rsidRPr="00FE3908" w:rsidRDefault="00774E37" w:rsidP="00252762">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0E3B10" w:rsidRDefault="000E3B10" w:rsidP="00086C3F">
      <w:pPr>
        <w:keepNext/>
        <w:bidi/>
        <w:spacing w:after="120" w:line="340" w:lineRule="exact"/>
        <w:jc w:val="center"/>
        <w:rPr>
          <w:rFonts w:ascii="Arabic Typesetting" w:hAnsi="Arabic Typesetting" w:cs="Arabic Typesetting"/>
          <w:i/>
          <w:iCs/>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124584" w:rsidRPr="00211D55" w:rsidTr="00B31868">
        <w:trPr>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124584" w:rsidRPr="00211D55" w:rsidRDefault="00124584" w:rsidP="00086C3F">
            <w:pPr>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124584" w:rsidRPr="00211D55" w:rsidRDefault="00124584" w:rsidP="00086C3F">
            <w:pPr>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124584" w:rsidRPr="00211D55" w:rsidRDefault="00124584" w:rsidP="00086C3F">
            <w:pPr>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124584" w:rsidRPr="00211D55" w:rsidRDefault="00124584" w:rsidP="00086C3F">
            <w:pPr>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144815" w:rsidRPr="00211D55" w:rsidTr="00B31868">
        <w:trPr>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hideMark/>
          </w:tcPr>
          <w:p w:rsidR="00124584" w:rsidRPr="00211D55" w:rsidRDefault="00124584"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ھ1.1</w:t>
            </w:r>
          </w:p>
        </w:tc>
        <w:tc>
          <w:tcPr>
            <w:tcW w:w="2340" w:type="pct"/>
            <w:tcBorders>
              <w:top w:val="nil"/>
              <w:left w:val="nil"/>
              <w:bottom w:val="nil"/>
              <w:right w:val="nil"/>
            </w:tcBorders>
            <w:shd w:val="clear" w:color="auto" w:fill="auto"/>
            <w:tcMar>
              <w:top w:w="15" w:type="dxa"/>
              <w:left w:w="15" w:type="dxa"/>
              <w:bottom w:w="0" w:type="dxa"/>
              <w:right w:w="15" w:type="dxa"/>
            </w:tcMar>
            <w:vAlign w:val="center"/>
            <w:hideMark/>
          </w:tcPr>
          <w:p w:rsidR="00124584" w:rsidRPr="00211D55" w:rsidRDefault="000432CA" w:rsidP="00086C3F">
            <w:pPr>
              <w:bidi/>
              <w:rPr>
                <w:rFonts w:ascii="Arabic Typesetting" w:hAnsi="Arabic Typesetting" w:cs="Arabic Typesetting"/>
                <w:sz w:val="28"/>
                <w:szCs w:val="28"/>
              </w:rPr>
            </w:pPr>
            <w:r>
              <w:rPr>
                <w:rFonts w:ascii="Arabic Typesetting" w:hAnsi="Arabic Typesetting" w:cs="Arabic Typesetting"/>
                <w:sz w:val="28"/>
                <w:szCs w:val="28"/>
                <w:rtl/>
              </w:rPr>
              <w:t>تعاون معزز بين الدول الأعضاء في تطوير أطر معيارية دولية متوازنة للملكية الفكرية والاتفاق على محاور محدّدة وعلى صكوك دولية بشأنها</w:t>
            </w:r>
          </w:p>
        </w:tc>
        <w:tc>
          <w:tcPr>
            <w:tcW w:w="749" w:type="pct"/>
            <w:tcBorders>
              <w:top w:val="nil"/>
              <w:left w:val="nil"/>
              <w:bottom w:val="nil"/>
              <w:right w:val="nil"/>
            </w:tcBorders>
            <w:shd w:val="clear" w:color="auto" w:fill="auto"/>
            <w:tcMar>
              <w:top w:w="15" w:type="dxa"/>
              <w:left w:w="15" w:type="dxa"/>
              <w:bottom w:w="0" w:type="dxa"/>
              <w:right w:w="15" w:type="dxa"/>
            </w:tcMar>
            <w:vAlign w:val="center"/>
            <w:hideMark/>
          </w:tcPr>
          <w:p w:rsidR="00124584" w:rsidRPr="00211D55" w:rsidRDefault="00124584" w:rsidP="00086C3F">
            <w:pPr>
              <w:rPr>
                <w:rFonts w:ascii="Arabic Typesetting" w:hAnsi="Arabic Typesetting" w:cs="Arabic Typesetting"/>
                <w:sz w:val="28"/>
                <w:szCs w:val="28"/>
              </w:rPr>
            </w:pPr>
            <w:r w:rsidRPr="00211D55">
              <w:rPr>
                <w:rFonts w:ascii="Arabic Typesetting" w:hAnsi="Arabic Typesetting" w:cs="Arabic Typesetting"/>
                <w:sz w:val="28"/>
                <w:szCs w:val="28"/>
              </w:rPr>
              <w:t>2,285</w:t>
            </w:r>
          </w:p>
        </w:tc>
        <w:tc>
          <w:tcPr>
            <w:tcW w:w="749" w:type="pct"/>
            <w:tcBorders>
              <w:top w:val="nil"/>
              <w:left w:val="nil"/>
              <w:bottom w:val="nil"/>
              <w:right w:val="nil"/>
            </w:tcBorders>
            <w:shd w:val="clear" w:color="auto" w:fill="auto"/>
            <w:tcMar>
              <w:top w:w="15" w:type="dxa"/>
              <w:left w:w="15" w:type="dxa"/>
              <w:bottom w:w="0" w:type="dxa"/>
              <w:right w:w="15" w:type="dxa"/>
            </w:tcMar>
            <w:vAlign w:val="center"/>
            <w:hideMark/>
          </w:tcPr>
          <w:p w:rsidR="00124584" w:rsidRPr="00211D55" w:rsidRDefault="00124584" w:rsidP="00086C3F">
            <w:pPr>
              <w:rPr>
                <w:rFonts w:ascii="Arabic Typesetting" w:hAnsi="Arabic Typesetting" w:cs="Arabic Typesetting"/>
                <w:sz w:val="28"/>
                <w:szCs w:val="28"/>
              </w:rPr>
            </w:pPr>
            <w:r w:rsidRPr="00211D55">
              <w:rPr>
                <w:rFonts w:ascii="Arabic Typesetting" w:hAnsi="Arabic Typesetting" w:cs="Arabic Typesetting"/>
                <w:sz w:val="28"/>
                <w:szCs w:val="28"/>
              </w:rPr>
              <w:t>2,310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p w:rsidR="00124584" w:rsidRPr="00211D55" w:rsidRDefault="00124584" w:rsidP="00086C3F">
            <w:pPr>
              <w:rPr>
                <w:rFonts w:ascii="Arabic Typesetting" w:hAnsi="Arabic Typesetting" w:cs="Arabic Typesetting"/>
                <w:sz w:val="28"/>
                <w:szCs w:val="28"/>
              </w:rPr>
            </w:pPr>
            <w:r w:rsidRPr="00211D55">
              <w:rPr>
                <w:rFonts w:ascii="Arabic Typesetting" w:hAnsi="Arabic Typesetting" w:cs="Arabic Typesetting"/>
                <w:sz w:val="28"/>
                <w:szCs w:val="28"/>
              </w:rPr>
              <w:t>2,331</w:t>
            </w:r>
          </w:p>
        </w:tc>
      </w:tr>
      <w:tr w:rsidR="00144815" w:rsidRPr="00211D55" w:rsidTr="00B31868">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hideMark/>
          </w:tcPr>
          <w:p w:rsidR="00124584" w:rsidRPr="00211D55" w:rsidRDefault="00124584"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ھ2.1</w:t>
            </w:r>
          </w:p>
        </w:tc>
        <w:tc>
          <w:tcPr>
            <w:tcW w:w="2340" w:type="pct"/>
            <w:tcBorders>
              <w:top w:val="nil"/>
              <w:left w:val="nil"/>
              <w:bottom w:val="nil"/>
              <w:right w:val="nil"/>
            </w:tcBorders>
            <w:shd w:val="clear" w:color="auto" w:fill="auto"/>
            <w:tcMar>
              <w:top w:w="15" w:type="dxa"/>
              <w:left w:w="15" w:type="dxa"/>
              <w:bottom w:w="0" w:type="dxa"/>
              <w:right w:w="15" w:type="dxa"/>
            </w:tcMar>
            <w:vAlign w:val="center"/>
            <w:hideMark/>
          </w:tcPr>
          <w:p w:rsidR="00124584" w:rsidRPr="00211D55" w:rsidRDefault="000432CA" w:rsidP="00086C3F">
            <w:pPr>
              <w:bidi/>
              <w:rPr>
                <w:rFonts w:ascii="Arabic Typesetting" w:hAnsi="Arabic Typesetting" w:cs="Arabic Typesetting"/>
                <w:sz w:val="28"/>
                <w:szCs w:val="28"/>
              </w:rPr>
            </w:pPr>
            <w:r>
              <w:rPr>
                <w:rFonts w:ascii="Arabic Typesetting" w:hAnsi="Arabic Typesetting" w:cs="Arabic Typesetting"/>
                <w:sz w:val="28"/>
                <w:szCs w:val="28"/>
                <w:rtl/>
              </w:rPr>
              <w:t>أطر تشريعية وتنظيمية وسياسية مناسبة ومتوازنة للملكية الفكرية</w:t>
            </w:r>
          </w:p>
        </w:tc>
        <w:tc>
          <w:tcPr>
            <w:tcW w:w="749" w:type="pct"/>
            <w:tcBorders>
              <w:top w:val="nil"/>
              <w:left w:val="nil"/>
              <w:bottom w:val="nil"/>
              <w:right w:val="nil"/>
            </w:tcBorders>
            <w:shd w:val="clear" w:color="auto" w:fill="auto"/>
            <w:tcMar>
              <w:top w:w="15" w:type="dxa"/>
              <w:left w:w="15" w:type="dxa"/>
              <w:bottom w:w="0" w:type="dxa"/>
              <w:right w:w="15" w:type="dxa"/>
            </w:tcMar>
            <w:vAlign w:val="center"/>
            <w:hideMark/>
          </w:tcPr>
          <w:p w:rsidR="00124584" w:rsidRPr="00211D55" w:rsidRDefault="00124584" w:rsidP="00086C3F">
            <w:pPr>
              <w:rPr>
                <w:rFonts w:ascii="Arabic Typesetting" w:hAnsi="Arabic Typesetting" w:cs="Arabic Typesetting"/>
                <w:sz w:val="28"/>
                <w:szCs w:val="28"/>
              </w:rPr>
            </w:pPr>
            <w:r w:rsidRPr="00211D55">
              <w:rPr>
                <w:rFonts w:ascii="Arabic Typesetting" w:hAnsi="Arabic Typesetting" w:cs="Arabic Typesetting"/>
                <w:sz w:val="28"/>
                <w:szCs w:val="28"/>
              </w:rPr>
              <w:t>2,665</w:t>
            </w:r>
          </w:p>
        </w:tc>
        <w:tc>
          <w:tcPr>
            <w:tcW w:w="749" w:type="pct"/>
            <w:tcBorders>
              <w:top w:val="nil"/>
              <w:left w:val="nil"/>
              <w:bottom w:val="nil"/>
              <w:right w:val="nil"/>
            </w:tcBorders>
            <w:shd w:val="clear" w:color="auto" w:fill="auto"/>
            <w:tcMar>
              <w:top w:w="15" w:type="dxa"/>
              <w:left w:w="15" w:type="dxa"/>
              <w:bottom w:w="0" w:type="dxa"/>
              <w:right w:w="15" w:type="dxa"/>
            </w:tcMar>
            <w:vAlign w:val="center"/>
            <w:hideMark/>
          </w:tcPr>
          <w:p w:rsidR="00124584" w:rsidRPr="00211D55" w:rsidRDefault="00124584" w:rsidP="00086C3F">
            <w:pPr>
              <w:rPr>
                <w:rFonts w:ascii="Arabic Typesetting" w:hAnsi="Arabic Typesetting" w:cs="Arabic Typesetting"/>
                <w:sz w:val="28"/>
                <w:szCs w:val="28"/>
              </w:rPr>
            </w:pPr>
            <w:r w:rsidRPr="00211D55">
              <w:rPr>
                <w:rFonts w:ascii="Arabic Typesetting" w:hAnsi="Arabic Typesetting" w:cs="Arabic Typesetting"/>
                <w:sz w:val="28"/>
                <w:szCs w:val="28"/>
              </w:rPr>
              <w:t>3,079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hideMark/>
          </w:tcPr>
          <w:p w:rsidR="00124584" w:rsidRPr="00211D55" w:rsidRDefault="00124584" w:rsidP="00086C3F">
            <w:pPr>
              <w:rPr>
                <w:rFonts w:ascii="Arabic Typesetting" w:hAnsi="Arabic Typesetting" w:cs="Arabic Typesetting"/>
                <w:sz w:val="28"/>
                <w:szCs w:val="28"/>
              </w:rPr>
            </w:pPr>
            <w:r w:rsidRPr="00211D55">
              <w:rPr>
                <w:rFonts w:ascii="Arabic Typesetting" w:hAnsi="Arabic Typesetting" w:cs="Arabic Typesetting"/>
                <w:sz w:val="28"/>
                <w:szCs w:val="28"/>
              </w:rPr>
              <w:t>3,023</w:t>
            </w:r>
          </w:p>
        </w:tc>
      </w:tr>
      <w:tr w:rsidR="00124584" w:rsidRPr="00211D55" w:rsidTr="00B31868">
        <w:trPr>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124584" w:rsidRPr="00211D55" w:rsidRDefault="00124584"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124584" w:rsidRPr="00211D55" w:rsidRDefault="00124584"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124584" w:rsidRPr="00211D55" w:rsidRDefault="00124584"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4,950</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124584" w:rsidRPr="00211D55" w:rsidRDefault="00124584"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5,390</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124584" w:rsidRPr="00211D55" w:rsidRDefault="00124584"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5,354</w:t>
            </w:r>
          </w:p>
        </w:tc>
      </w:tr>
    </w:tbl>
    <w:p w:rsidR="000E3B10" w:rsidRPr="00252762" w:rsidRDefault="00774E37" w:rsidP="00252762">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lastRenderedPageBreak/>
        <w:t>الميزانية والنفقات الفعلية (موارد الموظفين وخلاف موارد الموظفين)</w:t>
      </w:r>
    </w:p>
    <w:p w:rsidR="00144815" w:rsidRPr="00DF1D8A" w:rsidRDefault="000E3B10" w:rsidP="00086C3F">
      <w:pPr>
        <w:keepNext/>
        <w:bidi/>
        <w:spacing w:after="120"/>
        <w:jc w:val="center"/>
        <w:rPr>
          <w:rFonts w:ascii="Arabic Typesetting" w:hAnsi="Arabic Typesetting" w:cs="Arabic Typesetting"/>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393028" w:rsidRPr="00211D55" w:rsidTr="00B31868">
        <w:trPr>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144815" w:rsidRPr="00211D55" w:rsidRDefault="00144815" w:rsidP="00086C3F">
            <w:pPr>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144815" w:rsidRPr="00211D55" w:rsidRDefault="00144815"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144815" w:rsidRPr="00211D55" w:rsidRDefault="00144815"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144815" w:rsidRPr="00211D55" w:rsidRDefault="00144815"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144815" w:rsidRPr="00211D55" w:rsidRDefault="009E57D2" w:rsidP="00086C3F">
            <w:pPr>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144815" w:rsidRPr="00211D55">
              <w:rPr>
                <w:rFonts w:ascii="Arabic Typesetting" w:hAnsi="Arabic Typesetting" w:cs="Arabic Typesetting"/>
                <w:b/>
                <w:bCs/>
                <w:i/>
                <w:iCs/>
                <w:sz w:val="28"/>
                <w:szCs w:val="28"/>
                <w:rtl/>
              </w:rPr>
              <w:t xml:space="preserve"> (%)</w:t>
            </w:r>
          </w:p>
        </w:tc>
      </w:tr>
      <w:tr w:rsidR="00144815" w:rsidRPr="00211D55" w:rsidTr="00B31868">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144815" w:rsidRPr="00211D55" w:rsidRDefault="00144815"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3,746</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4,089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4,194</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103%</w:t>
            </w:r>
          </w:p>
        </w:tc>
      </w:tr>
      <w:tr w:rsidR="00144815" w:rsidRPr="00211D55" w:rsidTr="00B31868">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144815" w:rsidRPr="00211D55" w:rsidRDefault="00144815"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1,204</w:t>
            </w:r>
          </w:p>
        </w:tc>
        <w:tc>
          <w:tcPr>
            <w:tcW w:w="970" w:type="pct"/>
            <w:tcBorders>
              <w:top w:val="nil"/>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1,301</w:t>
            </w:r>
          </w:p>
        </w:tc>
        <w:tc>
          <w:tcPr>
            <w:tcW w:w="970" w:type="pct"/>
            <w:tcBorders>
              <w:top w:val="nil"/>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1,160</w:t>
            </w:r>
          </w:p>
        </w:tc>
        <w:tc>
          <w:tcPr>
            <w:tcW w:w="970" w:type="pct"/>
            <w:tcBorders>
              <w:top w:val="nil"/>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89%</w:t>
            </w:r>
          </w:p>
        </w:tc>
      </w:tr>
      <w:tr w:rsidR="00144815" w:rsidRPr="00211D55" w:rsidTr="00B31868">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144815" w:rsidRPr="00211D55" w:rsidRDefault="00144815"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4,950</w:t>
            </w:r>
          </w:p>
        </w:tc>
        <w:tc>
          <w:tcPr>
            <w:tcW w:w="970" w:type="pct"/>
            <w:tcBorders>
              <w:top w:val="nil"/>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w:t>
            </w:r>
            <w:r w:rsidR="00440A11" w:rsidRPr="00211D55">
              <w:rPr>
                <w:rFonts w:ascii="Arabic Typesetting" w:hAnsi="Arabic Typesetting" w:cs="Arabic Typesetting"/>
                <w:b/>
                <w:bCs/>
                <w:sz w:val="28"/>
                <w:szCs w:val="28"/>
              </w:rPr>
              <w:t>390</w:t>
            </w:r>
          </w:p>
        </w:tc>
        <w:tc>
          <w:tcPr>
            <w:tcW w:w="970" w:type="pct"/>
            <w:tcBorders>
              <w:top w:val="nil"/>
              <w:left w:val="single" w:sz="4" w:space="0" w:color="auto"/>
              <w:bottom w:val="single" w:sz="4" w:space="0" w:color="auto"/>
              <w:right w:val="single" w:sz="4" w:space="0" w:color="auto"/>
            </w:tcBorders>
            <w:shd w:val="clear" w:color="auto" w:fill="auto"/>
            <w:vAlign w:val="center"/>
            <w:hideMark/>
          </w:tcPr>
          <w:p w:rsidR="00144815" w:rsidRPr="00211D55" w:rsidRDefault="00E22E36"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5,354</w:t>
            </w:r>
          </w:p>
        </w:tc>
        <w:tc>
          <w:tcPr>
            <w:tcW w:w="970" w:type="pct"/>
            <w:tcBorders>
              <w:top w:val="nil"/>
              <w:left w:val="single" w:sz="4" w:space="0" w:color="auto"/>
              <w:bottom w:val="single" w:sz="4" w:space="0" w:color="auto"/>
              <w:right w:val="single" w:sz="4" w:space="0" w:color="auto"/>
            </w:tcBorders>
            <w:shd w:val="clear" w:color="auto" w:fill="auto"/>
            <w:vAlign w:val="center"/>
            <w:hideMark/>
          </w:tcPr>
          <w:p w:rsidR="00144815" w:rsidRPr="00211D55" w:rsidRDefault="00144815"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99%</w:t>
            </w:r>
          </w:p>
        </w:tc>
      </w:tr>
    </w:tbl>
    <w:p w:rsidR="000E3B10" w:rsidRPr="00706F20" w:rsidRDefault="000E3B10" w:rsidP="009E62B8">
      <w:pPr>
        <w:keepNext/>
        <w:bidi/>
        <w:spacing w:before="120" w:after="120" w:line="340" w:lineRule="exact"/>
        <w:rPr>
          <w:rFonts w:ascii="Arabic Typesetting" w:hAnsi="Arabic Typesetting" w:cs="Arabic Typesetting"/>
          <w:sz w:val="34"/>
          <w:szCs w:val="34"/>
          <w:lang w:bidi="ar-EG"/>
        </w:rPr>
      </w:pPr>
      <w:r w:rsidRPr="00706F20">
        <w:rPr>
          <w:rFonts w:ascii="Arabic Typesetting" w:hAnsi="Arabic Typesetting" w:cs="Arabic Typesetting" w:hint="cs"/>
          <w:sz w:val="34"/>
          <w:szCs w:val="34"/>
          <w:rtl/>
          <w:lang w:bidi="ar-EG"/>
        </w:rPr>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3E2ECD" w:rsidRPr="00706F20">
        <w:rPr>
          <w:rFonts w:ascii="Arabic Typesetting" w:hAnsi="Arabic Typesetting" w:cs="Arabic Typesetting" w:hint="cs"/>
          <w:sz w:val="34"/>
          <w:szCs w:val="34"/>
          <w:u w:val="single"/>
          <w:rtl/>
          <w:lang w:bidi="ar-EG"/>
        </w:rPr>
        <w:t>الميزانية النهائية بعد التحويلات</w:t>
      </w:r>
      <w:r w:rsidR="00E22E36" w:rsidRPr="00706F20">
        <w:rPr>
          <w:rFonts w:ascii="Arabic Typesetting" w:hAnsi="Arabic Typesetting" w:cs="Arabic Typesetting" w:hint="cs"/>
          <w:sz w:val="34"/>
          <w:szCs w:val="34"/>
          <w:u w:val="single"/>
          <w:rtl/>
          <w:lang w:bidi="ar-EG"/>
        </w:rPr>
        <w:t xml:space="preserve"> </w:t>
      </w:r>
      <w:r w:rsidR="00507DE2">
        <w:rPr>
          <w:rFonts w:ascii="Arabic Typesetting" w:hAnsi="Arabic Typesetting" w:cs="Arabic Typesetting" w:hint="cs"/>
          <w:sz w:val="34"/>
          <w:szCs w:val="34"/>
          <w:u w:val="single"/>
          <w:rtl/>
          <w:lang w:bidi="ar-EG"/>
        </w:rPr>
        <w:t>2014/15</w:t>
      </w:r>
    </w:p>
    <w:p w:rsidR="000E3B10" w:rsidRPr="00DE2650" w:rsidRDefault="000E3B10" w:rsidP="009A3712">
      <w:pPr>
        <w:numPr>
          <w:ilvl w:val="1"/>
          <w:numId w:val="1"/>
        </w:numPr>
        <w:bidi/>
        <w:spacing w:after="120" w:line="340" w:lineRule="exact"/>
        <w:ind w:left="0" w:hanging="1"/>
        <w:rPr>
          <w:rFonts w:ascii="Arabic Typesetting" w:hAnsi="Arabic Typesetting" w:cs="Arabic Typesetting"/>
          <w:sz w:val="34"/>
          <w:szCs w:val="34"/>
        </w:rPr>
      </w:pPr>
      <w:r w:rsidRPr="00FE3908">
        <w:rPr>
          <w:rFonts w:ascii="Arabic Typesetting" w:hAnsi="Arabic Typesetting" w:cs="Arabic Typesetting" w:hint="cs"/>
          <w:sz w:val="34"/>
          <w:szCs w:val="34"/>
          <w:rtl/>
        </w:rPr>
        <w:t>ت</w:t>
      </w:r>
      <w:r w:rsidRPr="00DE2650">
        <w:rPr>
          <w:rFonts w:ascii="Arabic Typesetting" w:hAnsi="Arabic Typesetting" w:cs="Arabic Typesetting" w:hint="cs"/>
          <w:sz w:val="34"/>
          <w:szCs w:val="34"/>
          <w:rtl/>
        </w:rPr>
        <w:t>ُعزى</w:t>
      </w:r>
      <w:r w:rsidR="009F5F08" w:rsidRPr="009F5F08">
        <w:rPr>
          <w:rFonts w:ascii="Arabic Typesetting" w:hAnsi="Arabic Typesetting" w:cs="Arabic Typesetting" w:hint="cs"/>
          <w:sz w:val="34"/>
          <w:szCs w:val="34"/>
          <w:rtl/>
        </w:rPr>
        <w:t xml:space="preserve"> </w:t>
      </w:r>
      <w:r w:rsidR="009F5F08" w:rsidRPr="00DE2650">
        <w:rPr>
          <w:rFonts w:ascii="Arabic Typesetting" w:hAnsi="Arabic Typesetting" w:cs="Arabic Typesetting" w:hint="cs"/>
          <w:sz w:val="34"/>
          <w:szCs w:val="34"/>
          <w:rtl/>
        </w:rPr>
        <w:t xml:space="preserve">أساسا </w:t>
      </w:r>
      <w:r w:rsidRPr="00DE2650">
        <w:rPr>
          <w:rFonts w:ascii="Arabic Typesetting" w:hAnsi="Arabic Typesetting" w:cs="Arabic Typesetting"/>
          <w:sz w:val="34"/>
          <w:szCs w:val="34"/>
          <w:rtl/>
        </w:rPr>
        <w:t xml:space="preserve">الزيادة الإجمالية في </w:t>
      </w:r>
      <w:r w:rsidR="003E2ECD">
        <w:rPr>
          <w:rFonts w:ascii="Arabic Typesetting" w:hAnsi="Arabic Typesetting" w:cs="Arabic Typesetting"/>
          <w:sz w:val="34"/>
          <w:szCs w:val="34"/>
          <w:rtl/>
        </w:rPr>
        <w:t>الميزانية النهائية</w:t>
      </w:r>
      <w:r w:rsidR="00E22E36" w:rsidRPr="00E22E36">
        <w:rPr>
          <w:rFonts w:ascii="Arabic Typesetting" w:hAnsi="Arabic Typesetting" w:cs="Arabic Typesetting"/>
          <w:sz w:val="34"/>
          <w:szCs w:val="34"/>
          <w:rtl/>
        </w:rPr>
        <w:t xml:space="preserve"> </w:t>
      </w:r>
      <w:r w:rsidR="00E22E36">
        <w:rPr>
          <w:rFonts w:ascii="Arabic Typesetting" w:hAnsi="Arabic Typesetting" w:cs="Arabic Typesetting"/>
          <w:sz w:val="34"/>
          <w:szCs w:val="34"/>
          <w:rtl/>
        </w:rPr>
        <w:t>بعد التحويلات</w:t>
      </w:r>
      <w:r w:rsidR="003E2ECD">
        <w:rPr>
          <w:rFonts w:ascii="Arabic Typesetting" w:hAnsi="Arabic Typesetting" w:cs="Arabic Typesetting"/>
          <w:sz w:val="34"/>
          <w:szCs w:val="34"/>
          <w:rtl/>
        </w:rPr>
        <w:t xml:space="preserve"> </w:t>
      </w:r>
      <w:r w:rsidR="00507DE2">
        <w:rPr>
          <w:rFonts w:ascii="Arabic Typesetting" w:hAnsi="Arabic Typesetting" w:cs="Arabic Typesetting"/>
          <w:sz w:val="34"/>
          <w:szCs w:val="34"/>
          <w:rtl/>
        </w:rPr>
        <w:t>2014/15</w:t>
      </w:r>
      <w:r w:rsidR="003E2ECD">
        <w:rPr>
          <w:rFonts w:ascii="Arabic Typesetting" w:hAnsi="Arabic Typesetting" w:cs="Arabic Typesetting"/>
          <w:sz w:val="34"/>
          <w:szCs w:val="34"/>
          <w:rtl/>
        </w:rPr>
        <w:t xml:space="preserve"> </w:t>
      </w:r>
      <w:r w:rsidRPr="00DE2650">
        <w:rPr>
          <w:rFonts w:ascii="Arabic Typesetting" w:hAnsi="Arabic Typesetting" w:cs="Arabic Typesetting" w:hint="cs"/>
          <w:sz w:val="34"/>
          <w:szCs w:val="34"/>
          <w:rtl/>
        </w:rPr>
        <w:t>إلى</w:t>
      </w:r>
      <w:r w:rsidRPr="00DE2650">
        <w:rPr>
          <w:rFonts w:ascii="Arabic Typesetting" w:hAnsi="Arabic Typesetting" w:cs="Arabic Typesetting"/>
          <w:sz w:val="34"/>
          <w:szCs w:val="34"/>
          <w:rtl/>
        </w:rPr>
        <w:t xml:space="preserve"> </w:t>
      </w:r>
      <w:r w:rsidR="00567D2C">
        <w:rPr>
          <w:rFonts w:ascii="Arabic Typesetting" w:hAnsi="Arabic Typesetting" w:cs="Arabic Typesetting" w:hint="cs"/>
          <w:sz w:val="34"/>
          <w:szCs w:val="34"/>
          <w:rtl/>
        </w:rPr>
        <w:t>"1" </w:t>
      </w:r>
      <w:r w:rsidRPr="00DE2650">
        <w:rPr>
          <w:rFonts w:ascii="Arabic Typesetting" w:hAnsi="Arabic Typesetting" w:cs="Arabic Typesetting" w:hint="cs"/>
          <w:sz w:val="34"/>
          <w:szCs w:val="34"/>
          <w:rtl/>
        </w:rPr>
        <w:t>تخصيص</w:t>
      </w:r>
      <w:r w:rsidRPr="00DE2650">
        <w:rPr>
          <w:rFonts w:ascii="Arabic Typesetting" w:hAnsi="Arabic Typesetting" w:cs="Arabic Typesetting"/>
          <w:sz w:val="34"/>
          <w:szCs w:val="34"/>
          <w:rtl/>
        </w:rPr>
        <w:t xml:space="preserve"> موارد بشرية إضافية </w:t>
      </w:r>
      <w:r w:rsidR="00E22E36">
        <w:rPr>
          <w:rFonts w:ascii="Arabic Typesetting" w:hAnsi="Arabic Typesetting" w:cs="Arabic Typesetting" w:hint="cs"/>
          <w:sz w:val="34"/>
          <w:szCs w:val="34"/>
          <w:rtl/>
        </w:rPr>
        <w:t>ل</w:t>
      </w:r>
      <w:r w:rsidRPr="00DE2650">
        <w:rPr>
          <w:rFonts w:ascii="Arabic Typesetting" w:hAnsi="Arabic Typesetting" w:cs="Arabic Typesetting" w:hint="cs"/>
          <w:sz w:val="34"/>
          <w:szCs w:val="34"/>
          <w:rtl/>
        </w:rPr>
        <w:t>ل</w:t>
      </w:r>
      <w:r w:rsidRPr="00DE2650">
        <w:rPr>
          <w:rFonts w:ascii="Arabic Typesetting" w:hAnsi="Arabic Typesetting" w:cs="Arabic Typesetting"/>
          <w:sz w:val="34"/>
          <w:szCs w:val="34"/>
          <w:rtl/>
        </w:rPr>
        <w:t xml:space="preserve">نتيجة </w:t>
      </w:r>
      <w:r w:rsidRPr="00DE2650">
        <w:rPr>
          <w:rFonts w:ascii="Arabic Typesetting" w:hAnsi="Arabic Typesetting" w:cs="Arabic Typesetting" w:hint="cs"/>
          <w:sz w:val="34"/>
          <w:szCs w:val="34"/>
          <w:rtl/>
        </w:rPr>
        <w:t xml:space="preserve">ه2.1 </w:t>
      </w:r>
      <w:r w:rsidRPr="00DE2650">
        <w:rPr>
          <w:rFonts w:ascii="Arabic Typesetting" w:hAnsi="Arabic Typesetting" w:cs="Arabic Typesetting"/>
          <w:sz w:val="34"/>
          <w:szCs w:val="34"/>
          <w:rtl/>
        </w:rPr>
        <w:t>(المشورة التشريعية)</w:t>
      </w:r>
      <w:r w:rsidRPr="00DE2650">
        <w:rPr>
          <w:rFonts w:ascii="Arabic Typesetting" w:hAnsi="Arabic Typesetting" w:cs="Arabic Typesetting" w:hint="cs"/>
          <w:sz w:val="34"/>
          <w:szCs w:val="34"/>
          <w:rtl/>
        </w:rPr>
        <w:t xml:space="preserve"> من أجل الاستجابة بكفاءة أكبر لزيادة في طلبات المشورة التشريعية</w:t>
      </w:r>
      <w:r w:rsidR="00567D2C">
        <w:rPr>
          <w:rFonts w:ascii="Arabic Typesetting" w:hAnsi="Arabic Typesetting" w:cs="Arabic Typesetting" w:hint="cs"/>
          <w:sz w:val="34"/>
          <w:szCs w:val="34"/>
          <w:rtl/>
        </w:rPr>
        <w:t>؛ "2" ونقل أنشطة إعداد البراءات من البرنامج 30 إلى البرنامج 1</w:t>
      </w:r>
      <w:r w:rsidRPr="00DE2650">
        <w:rPr>
          <w:rFonts w:ascii="Arabic Typesetting" w:hAnsi="Arabic Typesetting" w:cs="Arabic Typesetting" w:hint="cs"/>
          <w:sz w:val="34"/>
          <w:szCs w:val="34"/>
          <w:rtl/>
        </w:rPr>
        <w:t>.</w:t>
      </w:r>
    </w:p>
    <w:p w:rsidR="000E3B10" w:rsidRPr="00706F20" w:rsidRDefault="000E3B10" w:rsidP="009E62B8">
      <w:pPr>
        <w:keepNext/>
        <w:bidi/>
        <w:spacing w:after="120" w:line="340" w:lineRule="exact"/>
        <w:rPr>
          <w:rFonts w:ascii="Arabic Typesetting" w:hAnsi="Arabic Typesetting" w:cs="Arabic Typesetting"/>
          <w:sz w:val="34"/>
          <w:szCs w:val="34"/>
          <w:rtl/>
          <w:lang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0E3B10" w:rsidRPr="00393028" w:rsidRDefault="00567D2C" w:rsidP="009A3712">
      <w:pPr>
        <w:numPr>
          <w:ilvl w:val="1"/>
          <w:numId w:val="1"/>
        </w:numPr>
        <w:bidi/>
        <w:spacing w:after="120" w:line="340" w:lineRule="exact"/>
        <w:ind w:left="0" w:hanging="1"/>
        <w:rPr>
          <w:rFonts w:ascii="Arabic Typesetting" w:hAnsi="Arabic Typesetting" w:cs="Arabic Typesetting"/>
          <w:sz w:val="34"/>
          <w:szCs w:val="34"/>
          <w:rtl/>
        </w:rPr>
      </w:pPr>
      <w:r w:rsidRPr="00393028">
        <w:rPr>
          <w:rFonts w:ascii="Arabic Typesetting" w:hAnsi="Arabic Typesetting" w:cs="Arabic Typesetting" w:hint="cs"/>
          <w:sz w:val="34"/>
          <w:szCs w:val="34"/>
          <w:rtl/>
        </w:rPr>
        <w:t>بلغ</w:t>
      </w:r>
      <w:r w:rsidR="009B25F8">
        <w:rPr>
          <w:rFonts w:ascii="Arabic Typesetting" w:hAnsi="Arabic Typesetting" w:cs="Arabic Typesetting" w:hint="cs"/>
          <w:sz w:val="34"/>
          <w:szCs w:val="34"/>
          <w:rtl/>
        </w:rPr>
        <w:t>ت النسبة الإجمالية لا</w:t>
      </w:r>
      <w:r w:rsidR="00B61F74">
        <w:rPr>
          <w:rFonts w:ascii="Arabic Typesetting" w:hAnsi="Arabic Typesetting" w:cs="Arabic Typesetting" w:hint="cs"/>
          <w:sz w:val="34"/>
          <w:szCs w:val="34"/>
          <w:rtl/>
        </w:rPr>
        <w:t>ستخدام</w:t>
      </w:r>
      <w:r w:rsidR="00B61F74" w:rsidRPr="00393028">
        <w:rPr>
          <w:rFonts w:ascii="Arabic Typesetting" w:hAnsi="Arabic Typesetting" w:cs="Arabic Typesetting" w:hint="cs"/>
          <w:sz w:val="34"/>
          <w:szCs w:val="34"/>
          <w:rtl/>
        </w:rPr>
        <w:t xml:space="preserve"> </w:t>
      </w:r>
      <w:r w:rsidRPr="00393028">
        <w:rPr>
          <w:rFonts w:ascii="Arabic Typesetting" w:hAnsi="Arabic Typesetting" w:cs="Arabic Typesetting" w:hint="cs"/>
          <w:sz w:val="34"/>
          <w:szCs w:val="34"/>
          <w:rtl/>
        </w:rPr>
        <w:t xml:space="preserve">الميزانية خلال الثنائية </w:t>
      </w:r>
      <w:r w:rsidR="00507DE2">
        <w:rPr>
          <w:rFonts w:ascii="Arabic Typesetting" w:hAnsi="Arabic Typesetting" w:cs="Arabic Typesetting" w:hint="cs"/>
          <w:sz w:val="34"/>
          <w:szCs w:val="34"/>
          <w:rtl/>
        </w:rPr>
        <w:t>2014/15</w:t>
      </w:r>
      <w:r w:rsidRPr="00393028">
        <w:rPr>
          <w:rFonts w:ascii="Arabic Typesetting" w:hAnsi="Arabic Typesetting" w:cs="Arabic Typesetting" w:hint="cs"/>
          <w:sz w:val="34"/>
          <w:szCs w:val="34"/>
          <w:rtl/>
        </w:rPr>
        <w:t xml:space="preserve"> 97 بالمئة ولكن لم تنفَّذ بعض الأنشطة المتعلقة ب</w:t>
      </w:r>
      <w:r w:rsidRPr="00393028">
        <w:rPr>
          <w:rFonts w:ascii="Arabic Typesetting" w:hAnsi="Arabic Typesetting" w:cs="Arabic Typesetting"/>
          <w:sz w:val="34"/>
          <w:szCs w:val="34"/>
          <w:rtl/>
        </w:rPr>
        <w:t xml:space="preserve">مراجعة قانون البراءات النموذجي </w:t>
      </w:r>
      <w:r w:rsidR="00124584" w:rsidRPr="00393028">
        <w:rPr>
          <w:rFonts w:ascii="Arabic Typesetting" w:hAnsi="Arabic Typesetting" w:cs="Arabic Typesetting" w:hint="cs"/>
          <w:sz w:val="34"/>
          <w:szCs w:val="34"/>
          <w:rtl/>
        </w:rPr>
        <w:t xml:space="preserve">فيما يخص الاختراعات في البلدان النامية بسبب </w:t>
      </w:r>
      <w:r w:rsidR="00E22E36">
        <w:rPr>
          <w:rFonts w:ascii="Arabic Typesetting" w:hAnsi="Arabic Typesetting" w:cs="Arabic Typesetting" w:hint="cs"/>
          <w:sz w:val="34"/>
          <w:szCs w:val="34"/>
          <w:rtl/>
        </w:rPr>
        <w:t>عجز</w:t>
      </w:r>
      <w:r w:rsidR="00124584" w:rsidRPr="00393028">
        <w:rPr>
          <w:rFonts w:ascii="Arabic Typesetting" w:hAnsi="Arabic Typesetting" w:cs="Arabic Typesetting" w:hint="cs"/>
          <w:sz w:val="34"/>
          <w:szCs w:val="34"/>
          <w:rtl/>
        </w:rPr>
        <w:t xml:space="preserve"> الدول الأعضاء</w:t>
      </w:r>
      <w:r w:rsidR="00E22E36" w:rsidRPr="00E22E36">
        <w:rPr>
          <w:rFonts w:ascii="Arabic Typesetting" w:hAnsi="Arabic Typesetting" w:cs="Arabic Typesetting" w:hint="cs"/>
          <w:sz w:val="34"/>
          <w:szCs w:val="34"/>
          <w:rtl/>
        </w:rPr>
        <w:t xml:space="preserve"> </w:t>
      </w:r>
      <w:r w:rsidR="00E22E36">
        <w:rPr>
          <w:rFonts w:ascii="Arabic Typesetting" w:hAnsi="Arabic Typesetting" w:cs="Arabic Typesetting" w:hint="cs"/>
          <w:sz w:val="34"/>
          <w:szCs w:val="34"/>
          <w:rtl/>
        </w:rPr>
        <w:t xml:space="preserve">في </w:t>
      </w:r>
      <w:r w:rsidR="00E22E36" w:rsidRPr="00393028">
        <w:rPr>
          <w:rFonts w:ascii="Arabic Typesetting" w:hAnsi="Arabic Typesetting" w:cs="Arabic Typesetting" w:hint="cs"/>
          <w:sz w:val="34"/>
          <w:szCs w:val="34"/>
          <w:rtl/>
        </w:rPr>
        <w:t>اللجنة الدائمة المعنية بقانون البراءات</w:t>
      </w:r>
      <w:r w:rsidR="00124584" w:rsidRPr="00393028">
        <w:rPr>
          <w:rFonts w:ascii="Arabic Typesetting" w:hAnsi="Arabic Typesetting" w:cs="Arabic Typesetting" w:hint="cs"/>
          <w:sz w:val="34"/>
          <w:szCs w:val="34"/>
          <w:rtl/>
        </w:rPr>
        <w:t xml:space="preserve"> </w:t>
      </w:r>
      <w:r w:rsidR="00E22E36">
        <w:rPr>
          <w:rFonts w:ascii="Arabic Typesetting" w:hAnsi="Arabic Typesetting" w:cs="Arabic Typesetting" w:hint="cs"/>
          <w:sz w:val="34"/>
          <w:szCs w:val="34"/>
          <w:rtl/>
        </w:rPr>
        <w:t>عن التوصل إلى</w:t>
      </w:r>
      <w:r w:rsidR="00124584" w:rsidRPr="00393028">
        <w:rPr>
          <w:rFonts w:ascii="Arabic Typesetting" w:hAnsi="Arabic Typesetting" w:cs="Arabic Typesetting" w:hint="cs"/>
          <w:sz w:val="34"/>
          <w:szCs w:val="34"/>
          <w:rtl/>
        </w:rPr>
        <w:t xml:space="preserve"> اتفاق.</w:t>
      </w:r>
    </w:p>
    <w:p w:rsidR="00393028" w:rsidRPr="00A44E49" w:rsidRDefault="00393028" w:rsidP="00647020">
      <w:pPr>
        <w:pStyle w:val="Heading3AR"/>
        <w:spacing w:after="120"/>
        <w:ind w:left="566" w:hanging="566"/>
        <w:rPr>
          <w:rtl/>
        </w:rPr>
      </w:pPr>
      <w:bookmarkStart w:id="22" w:name="_Toc393817920"/>
      <w:bookmarkStart w:id="23" w:name="_Toc450635400"/>
      <w:bookmarkStart w:id="24" w:name="_Toc455393365"/>
      <w:r w:rsidRPr="00A44E49">
        <w:rPr>
          <w:rtl/>
        </w:rPr>
        <w:lastRenderedPageBreak/>
        <w:t>البرنامج</w:t>
      </w:r>
      <w:r w:rsidRPr="00A44E49">
        <w:rPr>
          <w:rFonts w:hint="cs"/>
          <w:rtl/>
        </w:rPr>
        <w:t xml:space="preserve"> 2:</w:t>
      </w:r>
      <w:r w:rsidRPr="00A44E49">
        <w:rPr>
          <w:rFonts w:hint="cs"/>
          <w:rtl/>
        </w:rPr>
        <w:tab/>
      </w:r>
      <w:r w:rsidRPr="00A44E49">
        <w:rPr>
          <w:rtl/>
        </w:rPr>
        <w:t>العلامات التجارية والرسوم والنماذج الصناعية والبيانات الجغرافية</w:t>
      </w:r>
      <w:bookmarkEnd w:id="22"/>
      <w:bookmarkEnd w:id="23"/>
      <w:bookmarkEnd w:id="24"/>
    </w:p>
    <w:p w:rsidR="00393028" w:rsidRPr="009A48D1" w:rsidRDefault="00393028" w:rsidP="00647020">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hint="cs"/>
          <w:b/>
          <w:bCs/>
          <w:sz w:val="36"/>
          <w:szCs w:val="36"/>
          <w:rtl/>
          <w:lang w:val="fr-CH"/>
        </w:rPr>
        <w:t>:</w:t>
      </w:r>
      <w:r w:rsidRPr="009A48D1">
        <w:rPr>
          <w:rFonts w:ascii="Arabic Typesetting" w:hAnsi="Arabic Typesetting" w:cs="Arabic Typesetting"/>
          <w:b/>
          <w:bCs/>
          <w:sz w:val="36"/>
          <w:szCs w:val="36"/>
          <w:lang w:val="fr-CH"/>
        </w:rPr>
        <w:tab/>
      </w:r>
      <w:r w:rsidR="00086C3F" w:rsidRPr="00B31868">
        <w:rPr>
          <w:rFonts w:ascii="Arabic Typesetting" w:hAnsi="Arabic Typesetting" w:cs="Arabic Typesetting" w:hint="cs"/>
          <w:b/>
          <w:bCs/>
          <w:sz w:val="36"/>
          <w:szCs w:val="36"/>
          <w:rtl/>
          <w:lang w:val="fr-CH"/>
        </w:rPr>
        <w:t xml:space="preserve">السيدة </w:t>
      </w:r>
      <w:proofErr w:type="spellStart"/>
      <w:r w:rsidR="00086C3F" w:rsidRPr="00B31868">
        <w:rPr>
          <w:rFonts w:ascii="Arabic Typesetting" w:hAnsi="Arabic Typesetting" w:cs="Arabic Typesetting" w:hint="cs"/>
          <w:b/>
          <w:bCs/>
          <w:sz w:val="36"/>
          <w:szCs w:val="36"/>
          <w:rtl/>
          <w:lang w:val="fr-CH"/>
        </w:rPr>
        <w:t>بينينغ</w:t>
      </w:r>
      <w:proofErr w:type="spellEnd"/>
      <w:r w:rsidR="00086C3F" w:rsidRPr="00B31868">
        <w:rPr>
          <w:rFonts w:ascii="Arabic Typesetting" w:hAnsi="Arabic Typesetting" w:cs="Arabic Typesetting" w:hint="cs"/>
          <w:b/>
          <w:bCs/>
          <w:sz w:val="36"/>
          <w:szCs w:val="36"/>
          <w:rtl/>
          <w:lang w:val="fr-CH"/>
        </w:rPr>
        <w:t xml:space="preserve"> وانغ</w:t>
      </w:r>
    </w:p>
    <w:p w:rsidR="00393028" w:rsidRPr="00FE3908" w:rsidRDefault="00E22E36" w:rsidP="00647020">
      <w:pPr>
        <w:keepNext/>
        <w:bidi/>
        <w:spacing w:after="240" w:line="340" w:lineRule="exact"/>
        <w:rPr>
          <w:rFonts w:ascii="Arabic Typesetting" w:hAnsi="Arabic Typesetting" w:cs="Arabic Typesetting"/>
          <w:sz w:val="36"/>
          <w:szCs w:val="36"/>
          <w:rtl/>
          <w:lang w:val="fr-CH"/>
        </w:rPr>
      </w:pPr>
      <w:r w:rsidRPr="00E22E36">
        <w:rPr>
          <w:rFonts w:ascii="Arabic Typesetting" w:hAnsi="Arabic Typesetting" w:cs="Arabic Typesetting"/>
          <w:sz w:val="36"/>
          <w:szCs w:val="36"/>
          <w:rtl/>
          <w:lang w:val="fr-CH"/>
        </w:rPr>
        <w:t xml:space="preserve">الإنجازات المحققة خلال الثنائية </w:t>
      </w:r>
      <w:r w:rsidR="00507DE2">
        <w:rPr>
          <w:rFonts w:ascii="Arabic Typesetting" w:hAnsi="Arabic Typesetting" w:cs="Arabic Typesetting"/>
          <w:sz w:val="36"/>
          <w:szCs w:val="36"/>
          <w:rtl/>
          <w:lang w:val="fr-CH"/>
        </w:rPr>
        <w:t>2014/15</w:t>
      </w:r>
    </w:p>
    <w:p w:rsidR="00393028" w:rsidRPr="006536FC" w:rsidRDefault="00393028" w:rsidP="009A3712">
      <w:pPr>
        <w:numPr>
          <w:ilvl w:val="1"/>
          <w:numId w:val="3"/>
        </w:numPr>
        <w:bidi/>
        <w:spacing w:after="120" w:line="340" w:lineRule="exact"/>
        <w:ind w:left="-1" w:firstLine="1"/>
        <w:rPr>
          <w:rFonts w:ascii="Arabic Typesetting" w:hAnsi="Arabic Typesetting" w:cs="Arabic Typesetting"/>
          <w:sz w:val="34"/>
          <w:szCs w:val="34"/>
        </w:rPr>
      </w:pPr>
      <w:r w:rsidRPr="006536FC">
        <w:rPr>
          <w:rFonts w:ascii="Arabic Typesetting" w:hAnsi="Arabic Typesetting" w:cs="Arabic Typesetting" w:hint="cs"/>
          <w:sz w:val="34"/>
          <w:szCs w:val="34"/>
          <w:rtl/>
        </w:rPr>
        <w:t>خلال الثنائية، واصلت</w:t>
      </w:r>
      <w:r w:rsidRPr="006536FC">
        <w:rPr>
          <w:rFonts w:ascii="Arabic Typesetting" w:hAnsi="Arabic Typesetting" w:cs="Arabic Typesetting"/>
          <w:sz w:val="34"/>
          <w:szCs w:val="34"/>
          <w:rtl/>
        </w:rPr>
        <w:t xml:space="preserve"> اللجنة الدائمة المعنية بقانون العلامات التجارية والتصاميم الصناعية والبيانات الجغرافية (اللجنة</w:t>
      </w:r>
      <w:r w:rsidRPr="006536FC">
        <w:rPr>
          <w:rFonts w:ascii="Arabic Typesetting" w:hAnsi="Arabic Typesetting" w:cs="Arabic Typesetting" w:hint="cs"/>
          <w:sz w:val="34"/>
          <w:szCs w:val="34"/>
          <w:rtl/>
        </w:rPr>
        <w:t> </w:t>
      </w:r>
      <w:r w:rsidRPr="006536FC">
        <w:rPr>
          <w:rFonts w:ascii="Arabic Typesetting" w:hAnsi="Arabic Typesetting" w:cs="Arabic Typesetting"/>
          <w:sz w:val="34"/>
          <w:szCs w:val="34"/>
          <w:rtl/>
        </w:rPr>
        <w:t>الدائمة)</w:t>
      </w:r>
      <w:r w:rsidRPr="006536FC">
        <w:rPr>
          <w:rFonts w:ascii="Arabic Typesetting" w:hAnsi="Arabic Typesetting" w:cs="Arabic Typesetting" w:hint="cs"/>
          <w:sz w:val="34"/>
          <w:szCs w:val="34"/>
          <w:rtl/>
        </w:rPr>
        <w:t xml:space="preserve"> في دوراتها</w:t>
      </w:r>
      <w:r w:rsidR="00E22E36">
        <w:rPr>
          <w:rFonts w:ascii="Arabic Typesetting" w:hAnsi="Arabic Typesetting" w:cs="Arabic Typesetting" w:hint="cs"/>
          <w:sz w:val="34"/>
          <w:szCs w:val="34"/>
          <w:rtl/>
        </w:rPr>
        <w:t xml:space="preserve"> من</w:t>
      </w:r>
      <w:r w:rsidRPr="006536FC">
        <w:rPr>
          <w:rFonts w:ascii="Arabic Typesetting" w:hAnsi="Arabic Typesetting" w:cs="Arabic Typesetting" w:hint="cs"/>
          <w:sz w:val="34"/>
          <w:szCs w:val="34"/>
          <w:rtl/>
        </w:rPr>
        <w:t xml:space="preserve"> الحادية والثلاثين إلى الرابعة والثلاثين العمل على إعداد مشروع معاهدة بشأن قانون التصاميم كي يُعتمد في مؤتمر دبلوماسي. وتناولت مسألة الدعوة إلى عقد ذلك المؤتمر الدبلوماسي الجمعية العامة للويبو في دورتها </w:t>
      </w:r>
      <w:r w:rsidR="006536FC" w:rsidRPr="006536FC">
        <w:rPr>
          <w:rFonts w:ascii="Arabic Typesetting" w:hAnsi="Arabic Typesetting" w:cs="Arabic Typesetting" w:hint="cs"/>
          <w:sz w:val="34"/>
          <w:szCs w:val="34"/>
          <w:rtl/>
        </w:rPr>
        <w:t xml:space="preserve">السابعة </w:t>
      </w:r>
      <w:r w:rsidRPr="006536FC">
        <w:rPr>
          <w:rFonts w:ascii="Arabic Typesetting" w:hAnsi="Arabic Typesetting" w:cs="Arabic Typesetting" w:hint="cs"/>
          <w:sz w:val="34"/>
          <w:szCs w:val="34"/>
          <w:rtl/>
        </w:rPr>
        <w:t xml:space="preserve">والأربعين (الدورة الاستثنائية </w:t>
      </w:r>
      <w:r w:rsidR="006536FC" w:rsidRPr="006536FC">
        <w:rPr>
          <w:rFonts w:ascii="Arabic Typesetting" w:hAnsi="Arabic Typesetting" w:cs="Arabic Typesetting" w:hint="cs"/>
          <w:sz w:val="34"/>
          <w:szCs w:val="34"/>
          <w:rtl/>
        </w:rPr>
        <w:t xml:space="preserve">الثانية </w:t>
      </w:r>
      <w:r w:rsidRPr="006536FC">
        <w:rPr>
          <w:rFonts w:ascii="Arabic Typesetting" w:hAnsi="Arabic Typesetting" w:cs="Arabic Typesetting" w:hint="cs"/>
          <w:sz w:val="34"/>
          <w:szCs w:val="34"/>
          <w:rtl/>
        </w:rPr>
        <w:t xml:space="preserve">والعشرين) المعقودة في </w:t>
      </w:r>
      <w:r w:rsidR="006536FC" w:rsidRPr="006536FC">
        <w:rPr>
          <w:rFonts w:ascii="Arabic Typesetting" w:hAnsi="Arabic Typesetting" w:cs="Arabic Typesetting" w:hint="cs"/>
          <w:sz w:val="34"/>
          <w:szCs w:val="34"/>
          <w:rtl/>
        </w:rPr>
        <w:t>أكتوبر 2015 حيث وافقت على "</w:t>
      </w:r>
      <w:r w:rsidR="006536FC" w:rsidRPr="006536FC">
        <w:rPr>
          <w:rFonts w:ascii="Arabic Typesetting" w:hAnsi="Arabic Typesetting" w:cs="Arabic Typesetting"/>
          <w:sz w:val="34"/>
          <w:szCs w:val="34"/>
          <w:rtl/>
        </w:rPr>
        <w:t>ألا يُدعى إلى الانعقاد مؤتمر دبلوماسي لاعتماد معاهدة قانون التصاميم في نهاية والنصف الأول من عام 2017 إلا إذا انتهت المناقشات حول المساعدة التقنية والكشف أثناء دورتي اللجنة الرابعة والخامسة والثلاثين</w:t>
      </w:r>
      <w:r w:rsidR="006536FC" w:rsidRPr="006536FC">
        <w:rPr>
          <w:rFonts w:ascii="Arabic Typesetting" w:hAnsi="Arabic Typesetting" w:cs="Arabic Typesetting" w:hint="cs"/>
          <w:sz w:val="34"/>
          <w:szCs w:val="34"/>
          <w:rtl/>
        </w:rPr>
        <w:t>"</w:t>
      </w:r>
      <w:r w:rsidRPr="006536FC">
        <w:rPr>
          <w:rFonts w:ascii="Arabic Typesetting" w:hAnsi="Arabic Typesetting" w:cs="Arabic Typesetting" w:hint="cs"/>
          <w:sz w:val="34"/>
          <w:szCs w:val="34"/>
          <w:rtl/>
        </w:rPr>
        <w:t>. و</w:t>
      </w:r>
      <w:r w:rsidRPr="006536FC">
        <w:rPr>
          <w:rFonts w:ascii="Arabic Typesetting" w:hAnsi="Arabic Typesetting" w:cs="Arabic Typesetting" w:hint="cs"/>
          <w:sz w:val="34"/>
          <w:szCs w:val="34"/>
          <w:rtl/>
          <w:lang w:bidi="ar-EG"/>
        </w:rPr>
        <w:t>واصلت</w:t>
      </w:r>
      <w:r w:rsidRPr="006536FC">
        <w:rPr>
          <w:rFonts w:ascii="Arabic Typesetting" w:hAnsi="Arabic Typesetting" w:cs="Arabic Typesetting"/>
          <w:sz w:val="34"/>
          <w:szCs w:val="34"/>
          <w:rtl/>
          <w:lang w:bidi="ar-EG"/>
        </w:rPr>
        <w:t xml:space="preserve"> اللجنة الدائمة عملها بشأن حماية أسماء البلدان</w:t>
      </w:r>
      <w:r w:rsidRPr="006536FC">
        <w:rPr>
          <w:rFonts w:ascii="Arabic Typesetting" w:hAnsi="Arabic Typesetting" w:cs="Arabic Typesetting" w:hint="cs"/>
          <w:sz w:val="34"/>
          <w:szCs w:val="34"/>
          <w:rtl/>
          <w:lang w:bidi="ar-EG"/>
        </w:rPr>
        <w:t xml:space="preserve"> </w:t>
      </w:r>
      <w:r w:rsidR="006536FC">
        <w:rPr>
          <w:rFonts w:ascii="Arabic Typesetting" w:hAnsi="Arabic Typesetting" w:cs="Arabic Typesetting" w:hint="cs"/>
          <w:sz w:val="34"/>
          <w:szCs w:val="34"/>
          <w:rtl/>
          <w:lang w:bidi="ar-EG"/>
        </w:rPr>
        <w:t xml:space="preserve">واعتمدت وثيقة مرجعية </w:t>
      </w:r>
      <w:r w:rsidR="006536FC" w:rsidRPr="006536FC">
        <w:rPr>
          <w:rFonts w:ascii="Arabic Typesetting" w:hAnsi="Arabic Typesetting" w:cs="Arabic Typesetting"/>
          <w:sz w:val="34"/>
          <w:szCs w:val="34"/>
          <w:rtl/>
          <w:lang w:bidi="ar-EG"/>
        </w:rPr>
        <w:t>عن حماية أسماء البلدان من تسجيلها واستخدامها كعلامات تجارية (الوثيقة</w:t>
      </w:r>
      <w:r w:rsidR="006536FC">
        <w:rPr>
          <w:rFonts w:ascii="Arabic Typesetting" w:hAnsi="Arabic Typesetting" w:cs="Arabic Typesetting" w:hint="cs"/>
          <w:sz w:val="34"/>
          <w:szCs w:val="34"/>
          <w:rtl/>
          <w:lang w:bidi="ar-EG"/>
        </w:rPr>
        <w:t xml:space="preserve"> </w:t>
      </w:r>
      <w:r w:rsidR="006536FC">
        <w:rPr>
          <w:rFonts w:ascii="Arabic Typesetting" w:hAnsi="Arabic Typesetting" w:cs="Arabic Typesetting"/>
          <w:sz w:val="34"/>
          <w:szCs w:val="34"/>
          <w:lang w:bidi="ar-EG"/>
        </w:rPr>
        <w:t>WIPO/Strad/INF/7</w:t>
      </w:r>
      <w:r w:rsidR="006536FC">
        <w:rPr>
          <w:rFonts w:ascii="Arabic Typesetting" w:hAnsi="Arabic Typesetting" w:cs="Arabic Typesetting" w:hint="cs"/>
          <w:sz w:val="34"/>
          <w:szCs w:val="34"/>
          <w:rtl/>
        </w:rPr>
        <w:t>). وفضلاً عن</w:t>
      </w:r>
      <w:r w:rsidRPr="006536FC">
        <w:rPr>
          <w:rFonts w:ascii="Arabic Typesetting" w:hAnsi="Arabic Typesetting" w:cs="Arabic Typesetting" w:hint="cs"/>
          <w:sz w:val="34"/>
          <w:szCs w:val="34"/>
          <w:rtl/>
          <w:lang w:bidi="ar-EG"/>
        </w:rPr>
        <w:t xml:space="preserve"> ذلك، قدم عدد من الوفود اقتراحات بخصوص عمل اللجنة الدائمة في مجال البيانات الجغرافية. وظلّت أنشطة البرنامج الخاصة بوضع القواعد والمعايير ضمن اللجنة الدائمة </w:t>
      </w:r>
      <w:r w:rsidRPr="006536FC">
        <w:rPr>
          <w:rFonts w:ascii="Arabic Typesetting" w:hAnsi="Arabic Typesetting" w:cs="Arabic Typesetting" w:hint="cs"/>
          <w:sz w:val="34"/>
          <w:szCs w:val="34"/>
          <w:rtl/>
        </w:rPr>
        <w:t xml:space="preserve">شاملة </w:t>
      </w:r>
      <w:r w:rsidR="006536FC">
        <w:rPr>
          <w:rFonts w:ascii="Arabic Typesetting" w:hAnsi="Arabic Typesetting" w:cs="Arabic Typesetting" w:hint="cs"/>
          <w:sz w:val="34"/>
          <w:szCs w:val="34"/>
          <w:rtl/>
        </w:rPr>
        <w:t>وتوجهها</w:t>
      </w:r>
      <w:r w:rsidRPr="006536FC">
        <w:rPr>
          <w:rFonts w:ascii="Arabic Typesetting" w:hAnsi="Arabic Typesetting" w:cs="Arabic Typesetting"/>
          <w:sz w:val="34"/>
          <w:szCs w:val="34"/>
          <w:rtl/>
        </w:rPr>
        <w:t xml:space="preserve"> </w:t>
      </w:r>
      <w:r w:rsidRPr="006536FC">
        <w:rPr>
          <w:rFonts w:ascii="Arabic Typesetting" w:hAnsi="Arabic Typesetting" w:cs="Arabic Typesetting" w:hint="cs"/>
          <w:sz w:val="34"/>
          <w:szCs w:val="34"/>
          <w:rtl/>
        </w:rPr>
        <w:t xml:space="preserve">الدول </w:t>
      </w:r>
      <w:r w:rsidRPr="006536FC">
        <w:rPr>
          <w:rFonts w:ascii="Arabic Typesetting" w:hAnsi="Arabic Typesetting" w:cs="Arabic Typesetting"/>
          <w:sz w:val="34"/>
          <w:szCs w:val="34"/>
          <w:rtl/>
        </w:rPr>
        <w:t xml:space="preserve">الأعضاء، </w:t>
      </w:r>
      <w:r w:rsidRPr="006536FC">
        <w:rPr>
          <w:rFonts w:ascii="Arabic Typesetting" w:hAnsi="Arabic Typesetting" w:cs="Arabic Typesetting" w:hint="cs"/>
          <w:sz w:val="34"/>
          <w:szCs w:val="34"/>
          <w:rtl/>
        </w:rPr>
        <w:t xml:space="preserve">تماشيا مع </w:t>
      </w:r>
      <w:r w:rsidRPr="006536FC">
        <w:rPr>
          <w:rFonts w:ascii="Arabic Typesetting" w:hAnsi="Arabic Typesetting" w:cs="Arabic Typesetting"/>
          <w:sz w:val="34"/>
          <w:szCs w:val="34"/>
          <w:rtl/>
        </w:rPr>
        <w:t>التوصية 15</w:t>
      </w:r>
      <w:r w:rsidRPr="006536FC">
        <w:rPr>
          <w:rFonts w:ascii="Arabic Typesetting" w:hAnsi="Arabic Typesetting" w:cs="Arabic Typesetting" w:hint="cs"/>
          <w:sz w:val="34"/>
          <w:szCs w:val="34"/>
          <w:rtl/>
        </w:rPr>
        <w:t xml:space="preserve"> من توصيات جدول أعمال التنمية، واستندت مناقشات اللجنة الدائمة إلى </w:t>
      </w:r>
      <w:r w:rsidRPr="006536FC">
        <w:rPr>
          <w:rFonts w:ascii="Arabic Typesetting" w:hAnsi="Arabic Typesetting" w:cs="Arabic Typesetting"/>
          <w:sz w:val="34"/>
          <w:szCs w:val="34"/>
          <w:rtl/>
          <w:lang w:val="fr-CH"/>
        </w:rPr>
        <w:t>عمليات تشاور مفتوحة ومتوازنة</w:t>
      </w:r>
      <w:r w:rsidRPr="006536FC">
        <w:rPr>
          <w:rFonts w:ascii="Arabic Typesetting" w:hAnsi="Arabic Typesetting" w:cs="Arabic Typesetting" w:hint="cs"/>
          <w:sz w:val="34"/>
          <w:szCs w:val="34"/>
          <w:rtl/>
        </w:rPr>
        <w:t xml:space="preserve"> طبقا لتوصيتي جدول أعمال التنمية 21 و42</w:t>
      </w:r>
      <w:r w:rsidRPr="006536FC">
        <w:rPr>
          <w:rFonts w:ascii="Arabic Typesetting" w:hAnsi="Arabic Typesetting" w:cs="Arabic Typesetting"/>
          <w:sz w:val="34"/>
          <w:szCs w:val="34"/>
          <w:rtl/>
        </w:rPr>
        <w:t>.</w:t>
      </w:r>
    </w:p>
    <w:p w:rsidR="00393028" w:rsidRPr="00083F4D" w:rsidRDefault="00393028" w:rsidP="009A3712">
      <w:pPr>
        <w:numPr>
          <w:ilvl w:val="1"/>
          <w:numId w:val="3"/>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وشهد</w:t>
      </w:r>
      <w:r w:rsidR="006536FC">
        <w:rPr>
          <w:rFonts w:ascii="Arabic Typesetting" w:hAnsi="Arabic Typesetting" w:cs="Arabic Typesetting" w:hint="cs"/>
          <w:sz w:val="34"/>
          <w:szCs w:val="34"/>
          <w:rtl/>
        </w:rPr>
        <w:t xml:space="preserve">ت الثنائية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أيضا تصديق سبعة أطراف متعاقدة على معاهدة سنغافورة بشأن قانون العلامات أو انضمامها إليها (بيلاروس وبلجيكا ومنظمة </w:t>
      </w:r>
      <w:proofErr w:type="spellStart"/>
      <w:r>
        <w:rPr>
          <w:rFonts w:ascii="Arabic Typesetting" w:hAnsi="Arabic Typesetting" w:cs="Arabic Typesetting" w:hint="cs"/>
          <w:sz w:val="34"/>
          <w:szCs w:val="34"/>
          <w:rtl/>
        </w:rPr>
        <w:t>بنيلوكس</w:t>
      </w:r>
      <w:proofErr w:type="spellEnd"/>
      <w:r>
        <w:rPr>
          <w:rFonts w:ascii="Arabic Typesetting" w:hAnsi="Arabic Typesetting" w:cs="Arabic Typesetting" w:hint="cs"/>
          <w:sz w:val="34"/>
          <w:szCs w:val="34"/>
          <w:rtl/>
        </w:rPr>
        <w:t xml:space="preserve"> للملكية الفكرية والعراق ولكسمبرغ وهولندا وطاجيكستان)، ليصل بذلك العدد الإجمالي للأطراف المتعاقدة إلى 38 في نهاية عام </w:t>
      </w:r>
      <w:r w:rsidR="006536FC">
        <w:rPr>
          <w:rFonts w:ascii="Arabic Typesetting" w:hAnsi="Arabic Typesetting" w:cs="Arabic Typesetting" w:hint="cs"/>
          <w:sz w:val="34"/>
          <w:szCs w:val="34"/>
          <w:rtl/>
        </w:rPr>
        <w:t>2015</w:t>
      </w:r>
      <w:r>
        <w:rPr>
          <w:rFonts w:ascii="Arabic Typesetting" w:hAnsi="Arabic Typesetting" w:cs="Arabic Typesetting" w:hint="cs"/>
          <w:sz w:val="34"/>
          <w:szCs w:val="34"/>
          <w:rtl/>
        </w:rPr>
        <w:t>.</w:t>
      </w:r>
    </w:p>
    <w:p w:rsidR="00393028" w:rsidRPr="00FE3908" w:rsidRDefault="00393028" w:rsidP="009A3712">
      <w:pPr>
        <w:numPr>
          <w:ilvl w:val="1"/>
          <w:numId w:val="3"/>
        </w:numPr>
        <w:bidi/>
        <w:spacing w:after="120" w:line="340" w:lineRule="exact"/>
        <w:ind w:left="0" w:firstLine="0"/>
        <w:rPr>
          <w:rFonts w:ascii="Arabic Typesetting" w:hAnsi="Arabic Typesetting" w:cs="Arabic Typesetting"/>
          <w:sz w:val="34"/>
          <w:szCs w:val="34"/>
        </w:rPr>
      </w:pPr>
      <w:r w:rsidRPr="00FE3908">
        <w:rPr>
          <w:rFonts w:ascii="Arabic Typesetting" w:hAnsi="Arabic Typesetting" w:cs="Arabic Typesetting"/>
          <w:sz w:val="34"/>
          <w:szCs w:val="34"/>
          <w:rtl/>
          <w:lang w:bidi="ar-EG"/>
        </w:rPr>
        <w:t xml:space="preserve">وفيما يتعلق بزيادة </w:t>
      </w:r>
      <w:r>
        <w:rPr>
          <w:rFonts w:ascii="Arabic Typesetting" w:hAnsi="Arabic Typesetting" w:cs="Arabic Typesetting" w:hint="cs"/>
          <w:sz w:val="34"/>
          <w:szCs w:val="34"/>
          <w:rtl/>
          <w:lang w:bidi="ar-EG"/>
        </w:rPr>
        <w:t xml:space="preserve">توفير </w:t>
      </w:r>
      <w:r w:rsidRPr="00FE3908">
        <w:rPr>
          <w:rFonts w:ascii="Arabic Typesetting" w:hAnsi="Arabic Typesetting" w:cs="Arabic Typesetting"/>
          <w:sz w:val="34"/>
          <w:szCs w:val="34"/>
          <w:rtl/>
          <w:lang w:bidi="ar-EG"/>
        </w:rPr>
        <w:t>الحماية لشعارات الدول وأسماء المنظمات ا</w:t>
      </w:r>
      <w:r>
        <w:rPr>
          <w:rFonts w:ascii="Arabic Typesetting" w:hAnsi="Arabic Typesetting" w:cs="Arabic Typesetting"/>
          <w:sz w:val="34"/>
          <w:szCs w:val="34"/>
          <w:rtl/>
          <w:lang w:bidi="ar-EG"/>
        </w:rPr>
        <w:t>لحكومية الدولية وشعاراتها بناء</w:t>
      </w:r>
      <w:r>
        <w:rPr>
          <w:rFonts w:ascii="Arabic Typesetting" w:hAnsi="Arabic Typesetting" w:cs="Arabic Typesetting" w:hint="cs"/>
          <w:sz w:val="34"/>
          <w:szCs w:val="34"/>
          <w:rtl/>
          <w:lang w:bidi="ar-EG"/>
        </w:rPr>
        <w:t xml:space="preserve"> </w:t>
      </w:r>
      <w:r>
        <w:rPr>
          <w:rFonts w:ascii="Arabic Typesetting" w:hAnsi="Arabic Typesetting" w:cs="Arabic Typesetting"/>
          <w:sz w:val="34"/>
          <w:szCs w:val="34"/>
          <w:rtl/>
          <w:lang w:bidi="ar-EG"/>
        </w:rPr>
        <w:t>على المادة 6(ثالث</w:t>
      </w:r>
      <w:r>
        <w:rPr>
          <w:rFonts w:ascii="Arabic Typesetting" w:hAnsi="Arabic Typesetting" w:cs="Arabic Typesetting" w:hint="cs"/>
          <w:sz w:val="34"/>
          <w:szCs w:val="34"/>
          <w:rtl/>
          <w:lang w:bidi="ar-EG"/>
        </w:rPr>
        <w:t>ا</w:t>
      </w:r>
      <w:r w:rsidRPr="00FE3908">
        <w:rPr>
          <w:rFonts w:ascii="Arabic Typesetting" w:hAnsi="Arabic Typesetting" w:cs="Arabic Typesetting"/>
          <w:sz w:val="34"/>
          <w:szCs w:val="34"/>
          <w:rtl/>
          <w:lang w:bidi="ar-EG"/>
        </w:rPr>
        <w:t xml:space="preserve">) من اتفاقية باريس، </w:t>
      </w:r>
      <w:r>
        <w:rPr>
          <w:rFonts w:ascii="Arabic Typesetting" w:hAnsi="Arabic Typesetting" w:cs="Arabic Typesetting" w:hint="cs"/>
          <w:sz w:val="34"/>
          <w:szCs w:val="34"/>
          <w:rtl/>
          <w:lang w:bidi="ar-EG"/>
        </w:rPr>
        <w:t>عولجت</w:t>
      </w:r>
      <w:r w:rsidRPr="00FE3908">
        <w:rPr>
          <w:rFonts w:ascii="Arabic Typesetting" w:hAnsi="Arabic Typesetting" w:cs="Arabic Typesetting"/>
          <w:sz w:val="34"/>
          <w:szCs w:val="34"/>
          <w:rtl/>
          <w:lang w:bidi="ar-EG"/>
        </w:rPr>
        <w:t xml:space="preserve"> </w:t>
      </w:r>
      <w:r>
        <w:rPr>
          <w:rFonts w:ascii="Arabic Typesetting" w:hAnsi="Arabic Typesetting" w:cs="Arabic Typesetting"/>
          <w:sz w:val="34"/>
          <w:szCs w:val="34"/>
          <w:rtl/>
          <w:lang w:bidi="ar-EG"/>
        </w:rPr>
        <w:t>ال</w:t>
      </w:r>
      <w:r>
        <w:rPr>
          <w:rFonts w:ascii="Arabic Typesetting" w:hAnsi="Arabic Typesetting" w:cs="Arabic Typesetting" w:hint="cs"/>
          <w:sz w:val="34"/>
          <w:szCs w:val="34"/>
          <w:rtl/>
          <w:lang w:bidi="ar-EG"/>
        </w:rPr>
        <w:t>تبليغات</w:t>
      </w:r>
      <w:r>
        <w:rPr>
          <w:rFonts w:ascii="Arabic Typesetting" w:hAnsi="Arabic Typesetting" w:cs="Arabic Typesetting"/>
          <w:sz w:val="34"/>
          <w:szCs w:val="34"/>
          <w:rtl/>
          <w:lang w:bidi="ar-EG"/>
        </w:rPr>
        <w:t xml:space="preserve"> والاستجابات للطلبات </w:t>
      </w:r>
      <w:r>
        <w:rPr>
          <w:rFonts w:ascii="Arabic Typesetting" w:hAnsi="Arabic Typesetting" w:cs="Arabic Typesetting" w:hint="cs"/>
          <w:sz w:val="34"/>
          <w:szCs w:val="34"/>
          <w:rtl/>
          <w:lang w:bidi="ar-EG"/>
        </w:rPr>
        <w:t xml:space="preserve">في الوقت المناسب وبطريقة فعالة </w:t>
      </w:r>
      <w:r w:rsidRPr="00FE3908">
        <w:rPr>
          <w:rFonts w:ascii="Arabic Typesetting" w:hAnsi="Arabic Typesetting" w:cs="Arabic Typesetting"/>
          <w:sz w:val="34"/>
          <w:szCs w:val="34"/>
          <w:rtl/>
          <w:lang w:bidi="ar-EG"/>
        </w:rPr>
        <w:t>طيلة الفترة الخاضعة للاستعراض. ويعزى التفاوت بين عدد الطلبات المستهدف معالج</w:t>
      </w:r>
      <w:r w:rsidRPr="00FE3908">
        <w:rPr>
          <w:rFonts w:ascii="Arabic Typesetting" w:hAnsi="Arabic Typesetting" w:cs="Arabic Typesetting" w:hint="cs"/>
          <w:sz w:val="34"/>
          <w:szCs w:val="34"/>
          <w:rtl/>
          <w:lang w:bidi="ar-EG"/>
        </w:rPr>
        <w:t>تها</w:t>
      </w:r>
      <w:r w:rsidRPr="00FE3908">
        <w:rPr>
          <w:rFonts w:ascii="Arabic Typesetting" w:hAnsi="Arabic Typesetting" w:cs="Arabic Typesetting"/>
          <w:sz w:val="34"/>
          <w:szCs w:val="34"/>
          <w:rtl/>
          <w:lang w:bidi="ar-EG"/>
        </w:rPr>
        <w:t xml:space="preserve"> وعدد الطلبات الفعلي </w:t>
      </w:r>
      <w:r w:rsidRPr="00FE3908">
        <w:rPr>
          <w:rFonts w:ascii="Arabic Typesetting" w:hAnsi="Arabic Typesetting" w:cs="Arabic Typesetting" w:hint="cs"/>
          <w:sz w:val="34"/>
          <w:szCs w:val="34"/>
          <w:rtl/>
          <w:lang w:bidi="ar-EG"/>
        </w:rPr>
        <w:t>إلى</w:t>
      </w:r>
      <w:r w:rsidRPr="00FE3908">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تقلّب عدد</w:t>
      </w:r>
      <w:r w:rsidRPr="00FE3908">
        <w:rPr>
          <w:rFonts w:ascii="Arabic Typesetting" w:hAnsi="Arabic Typesetting" w:cs="Arabic Typesetting"/>
          <w:sz w:val="34"/>
          <w:szCs w:val="34"/>
          <w:rtl/>
          <w:lang w:bidi="ar-EG"/>
        </w:rPr>
        <w:t xml:space="preserve"> الطلبات </w:t>
      </w:r>
      <w:r>
        <w:rPr>
          <w:rFonts w:ascii="Arabic Typesetting" w:hAnsi="Arabic Typesetting" w:cs="Arabic Typesetting" w:hint="cs"/>
          <w:sz w:val="34"/>
          <w:szCs w:val="34"/>
          <w:rtl/>
          <w:lang w:bidi="ar-EG"/>
        </w:rPr>
        <w:t>واستناد العدد المستهدف إلى متوسط يشمل الثنائية بأكملها</w:t>
      </w:r>
      <w:r w:rsidRPr="00FE3908">
        <w:rPr>
          <w:rFonts w:ascii="Arabic Typesetting" w:hAnsi="Arabic Typesetting" w:cs="Arabic Typesetting" w:hint="cs"/>
          <w:sz w:val="34"/>
          <w:szCs w:val="34"/>
          <w:rtl/>
          <w:lang w:bidi="ar-EG"/>
        </w:rPr>
        <w:t>.</w:t>
      </w:r>
      <w:r>
        <w:rPr>
          <w:rFonts w:ascii="Arabic Typesetting" w:hAnsi="Arabic Typesetting" w:cs="Arabic Typesetting" w:hint="cs"/>
          <w:sz w:val="34"/>
          <w:szCs w:val="34"/>
          <w:rtl/>
        </w:rPr>
        <w:t xml:space="preserve"> وفي نهاية عام </w:t>
      </w:r>
      <w:r w:rsidR="006536FC">
        <w:rPr>
          <w:rFonts w:ascii="Arabic Typesetting" w:hAnsi="Arabic Typesetting" w:cs="Arabic Typesetting" w:hint="cs"/>
          <w:sz w:val="34"/>
          <w:szCs w:val="34"/>
          <w:rtl/>
        </w:rPr>
        <w:t>2015</w:t>
      </w:r>
      <w:r>
        <w:rPr>
          <w:rFonts w:ascii="Arabic Typesetting" w:hAnsi="Arabic Typesetting" w:cs="Arabic Typesetting" w:hint="cs"/>
          <w:sz w:val="34"/>
          <w:szCs w:val="34"/>
          <w:rtl/>
        </w:rPr>
        <w:t>، كان العدد الإجمالي للعلامات الواردة في قاعدة البيانات الخاصة بالمادة</w:t>
      </w:r>
      <w:r w:rsidR="000378E1">
        <w:rPr>
          <w:rFonts w:ascii="Arabic Typesetting" w:hAnsi="Arabic Typesetting" w:cs="Arabic Typesetting" w:hint="eastAsia"/>
          <w:sz w:val="34"/>
          <w:szCs w:val="34"/>
          <w:rtl/>
        </w:rPr>
        <w:t> </w:t>
      </w:r>
      <w:r>
        <w:rPr>
          <w:rFonts w:ascii="Arabic Typesetting" w:hAnsi="Arabic Typesetting" w:cs="Arabic Typesetting" w:hint="cs"/>
          <w:sz w:val="34"/>
          <w:szCs w:val="34"/>
          <w:rtl/>
        </w:rPr>
        <w:t>6</w:t>
      </w:r>
      <w:r w:rsidR="000378E1">
        <w:rPr>
          <w:rFonts w:ascii="Arabic Typesetting" w:hAnsi="Arabic Typesetting" w:cs="Arabic Typesetting" w:hint="eastAsia"/>
          <w:sz w:val="34"/>
          <w:szCs w:val="34"/>
          <w:rtl/>
        </w:rPr>
        <w:t> </w:t>
      </w:r>
      <w:r>
        <w:rPr>
          <w:rFonts w:ascii="Arabic Typesetting" w:hAnsi="Arabic Typesetting" w:cs="Arabic Typesetting" w:hint="cs"/>
          <w:sz w:val="34"/>
          <w:szCs w:val="34"/>
          <w:rtl/>
        </w:rPr>
        <w:t xml:space="preserve">(ثالثا) يساوي </w:t>
      </w:r>
      <w:r w:rsidR="006536FC">
        <w:rPr>
          <w:rFonts w:ascii="Arabic Typesetting" w:hAnsi="Arabic Typesetting" w:cs="Arabic Typesetting" w:hint="cs"/>
          <w:sz w:val="34"/>
          <w:szCs w:val="34"/>
          <w:rtl/>
        </w:rPr>
        <w:t>3157 علامة</w:t>
      </w:r>
      <w:r>
        <w:rPr>
          <w:rFonts w:ascii="Arabic Typesetting" w:hAnsi="Arabic Typesetting" w:cs="Arabic Typesetting" w:hint="cs"/>
          <w:sz w:val="34"/>
          <w:szCs w:val="34"/>
          <w:rtl/>
        </w:rPr>
        <w:t>.</w:t>
      </w:r>
    </w:p>
    <w:p w:rsidR="00393028" w:rsidRDefault="00393028" w:rsidP="009A3712">
      <w:pPr>
        <w:numPr>
          <w:ilvl w:val="1"/>
          <w:numId w:val="3"/>
        </w:numPr>
        <w:bidi/>
        <w:spacing w:after="120" w:line="340" w:lineRule="exact"/>
        <w:ind w:left="0" w:firstLine="0"/>
        <w:rPr>
          <w:rFonts w:ascii="Arabic Typesetting" w:hAnsi="Arabic Typesetting" w:cs="Arabic Typesetting"/>
          <w:sz w:val="34"/>
          <w:szCs w:val="34"/>
        </w:rPr>
      </w:pPr>
      <w:r w:rsidRPr="00FE3908">
        <w:rPr>
          <w:rFonts w:ascii="Arabic Typesetting" w:hAnsi="Arabic Typesetting" w:cs="Arabic Typesetting"/>
          <w:sz w:val="34"/>
          <w:szCs w:val="34"/>
          <w:rtl/>
        </w:rPr>
        <w:t xml:space="preserve">أما </w:t>
      </w:r>
      <w:r>
        <w:rPr>
          <w:rFonts w:ascii="Arabic Typesetting" w:hAnsi="Arabic Typesetting" w:cs="Arabic Typesetting" w:hint="cs"/>
          <w:sz w:val="34"/>
          <w:szCs w:val="34"/>
          <w:rtl/>
        </w:rPr>
        <w:t xml:space="preserve">عن </w:t>
      </w:r>
      <w:r w:rsidRPr="00FE3908">
        <w:rPr>
          <w:rFonts w:ascii="Arabic Typesetting" w:hAnsi="Arabic Typesetting" w:cs="Arabic Typesetting"/>
          <w:sz w:val="34"/>
          <w:szCs w:val="34"/>
          <w:rtl/>
        </w:rPr>
        <w:t xml:space="preserve">العمل </w:t>
      </w:r>
      <w:r>
        <w:rPr>
          <w:rFonts w:ascii="Arabic Typesetting" w:hAnsi="Arabic Typesetting" w:cs="Arabic Typesetting" w:hint="cs"/>
          <w:sz w:val="34"/>
          <w:szCs w:val="34"/>
          <w:rtl/>
        </w:rPr>
        <w:t xml:space="preserve">بشأن </w:t>
      </w:r>
      <w:r w:rsidR="000432CA">
        <w:rPr>
          <w:rFonts w:ascii="Arabic Typesetting" w:hAnsi="Arabic Typesetting" w:cs="Arabic Typesetting"/>
          <w:sz w:val="34"/>
          <w:szCs w:val="34"/>
          <w:rtl/>
        </w:rPr>
        <w:t>أطر تشريعية وتنظيمية وسياسية مناسبة ومتوازنة للملكية الفكرية</w:t>
      </w:r>
      <w:r>
        <w:rPr>
          <w:rFonts w:ascii="Arabic Typesetting" w:hAnsi="Arabic Typesetting" w:cs="Arabic Typesetting" w:hint="cs"/>
          <w:sz w:val="34"/>
          <w:szCs w:val="34"/>
          <w:rtl/>
        </w:rPr>
        <w:t>،</w:t>
      </w:r>
      <w:r w:rsidRPr="00FE3908">
        <w:rPr>
          <w:rFonts w:ascii="Arabic Typesetting" w:hAnsi="Arabic Typesetting" w:cs="Arabic Typesetting"/>
          <w:sz w:val="34"/>
          <w:szCs w:val="34"/>
          <w:rtl/>
        </w:rPr>
        <w:t xml:space="preserve"> فقد قدم البرنامج </w:t>
      </w:r>
      <w:r w:rsidR="000378E1">
        <w:rPr>
          <w:rFonts w:ascii="Arabic Typesetting" w:hAnsi="Arabic Typesetting" w:cs="Arabic Typesetting" w:hint="cs"/>
          <w:sz w:val="34"/>
          <w:szCs w:val="34"/>
          <w:rtl/>
        </w:rPr>
        <w:t>مشورة</w:t>
      </w:r>
      <w:r w:rsidR="000378E1" w:rsidRPr="00FE3908">
        <w:rPr>
          <w:rFonts w:ascii="Arabic Typesetting" w:hAnsi="Arabic Typesetting" w:cs="Arabic Typesetting"/>
          <w:sz w:val="34"/>
          <w:szCs w:val="34"/>
          <w:rtl/>
        </w:rPr>
        <w:t xml:space="preserve"> </w:t>
      </w:r>
      <w:r>
        <w:rPr>
          <w:rFonts w:ascii="Arabic Typesetting" w:hAnsi="Arabic Typesetting" w:cs="Arabic Typesetting" w:hint="cs"/>
          <w:sz w:val="34"/>
          <w:szCs w:val="34"/>
          <w:rtl/>
        </w:rPr>
        <w:t xml:space="preserve">إلى </w:t>
      </w:r>
      <w:r w:rsidR="006536FC">
        <w:rPr>
          <w:rFonts w:ascii="Arabic Typesetting" w:hAnsi="Arabic Typesetting" w:cs="Arabic Typesetting" w:hint="cs"/>
          <w:sz w:val="34"/>
          <w:szCs w:val="34"/>
          <w:rtl/>
        </w:rPr>
        <w:t>31</w:t>
      </w:r>
      <w:r w:rsidR="006536FC">
        <w:rPr>
          <w:rFonts w:ascii="Arabic Typesetting" w:hAnsi="Arabic Typesetting" w:cs="Arabic Typesetting" w:hint="eastAsia"/>
          <w:sz w:val="34"/>
          <w:szCs w:val="34"/>
          <w:rtl/>
        </w:rPr>
        <w:t> </w:t>
      </w:r>
      <w:r>
        <w:rPr>
          <w:rFonts w:ascii="Arabic Typesetting" w:hAnsi="Arabic Typesetting" w:cs="Arabic Typesetting" w:hint="cs"/>
          <w:sz w:val="34"/>
          <w:szCs w:val="34"/>
          <w:rtl/>
        </w:rPr>
        <w:t xml:space="preserve">دولة عضوا/منظمة حكومية دولية في </w:t>
      </w:r>
      <w:r w:rsidRPr="00FE3908">
        <w:rPr>
          <w:rFonts w:ascii="Arabic Typesetting" w:hAnsi="Arabic Typesetting" w:cs="Arabic Typesetting"/>
          <w:sz w:val="34"/>
          <w:szCs w:val="34"/>
          <w:rtl/>
        </w:rPr>
        <w:t>مجال قانون العلامات التجارية والتصاميم الصناعية والبيانات الجغرافية</w:t>
      </w:r>
      <w:r>
        <w:rPr>
          <w:rFonts w:ascii="Arabic Typesetting" w:hAnsi="Arabic Typesetting" w:cs="Arabic Typesetting" w:hint="cs"/>
          <w:sz w:val="34"/>
          <w:szCs w:val="34"/>
          <w:rtl/>
        </w:rPr>
        <w:t>.</w:t>
      </w:r>
      <w:r w:rsidRPr="00FE3908">
        <w:rPr>
          <w:rFonts w:ascii="Arabic Typesetting" w:hAnsi="Arabic Typesetting" w:cs="Arabic Typesetting" w:hint="cs"/>
          <w:sz w:val="34"/>
          <w:szCs w:val="34"/>
          <w:rtl/>
        </w:rPr>
        <w:t xml:space="preserve"> </w:t>
      </w:r>
      <w:r>
        <w:rPr>
          <w:rFonts w:ascii="Arabic Typesetting" w:hAnsi="Arabic Typesetting" w:cs="Arabic Typesetting" w:hint="cs"/>
          <w:sz w:val="34"/>
          <w:szCs w:val="34"/>
          <w:rtl/>
        </w:rPr>
        <w:t xml:space="preserve">وكانت </w:t>
      </w:r>
      <w:r w:rsidRPr="003C3709">
        <w:rPr>
          <w:rFonts w:ascii="Arabic Typesetting" w:hAnsi="Arabic Typesetting" w:cs="Arabic Typesetting"/>
          <w:sz w:val="34"/>
          <w:szCs w:val="34"/>
          <w:rtl/>
        </w:rPr>
        <w:t xml:space="preserve">أنشطة البرنامج </w:t>
      </w:r>
      <w:r w:rsidRPr="003C3709">
        <w:rPr>
          <w:rFonts w:ascii="Arabic Typesetting" w:hAnsi="Arabic Typesetting" w:cs="Arabic Typesetting" w:hint="cs"/>
          <w:sz w:val="34"/>
          <w:szCs w:val="34"/>
          <w:rtl/>
        </w:rPr>
        <w:t>الخاصة</w:t>
      </w:r>
      <w:r w:rsidRPr="003C3709">
        <w:rPr>
          <w:rFonts w:ascii="Arabic Typesetting" w:hAnsi="Arabic Typesetting" w:cs="Arabic Typesetting"/>
          <w:sz w:val="34"/>
          <w:szCs w:val="34"/>
          <w:rtl/>
        </w:rPr>
        <w:t xml:space="preserve"> </w:t>
      </w:r>
      <w:r>
        <w:rPr>
          <w:rFonts w:ascii="Arabic Typesetting" w:hAnsi="Arabic Typesetting" w:cs="Arabic Typesetting" w:hint="cs"/>
          <w:sz w:val="34"/>
          <w:szCs w:val="34"/>
          <w:rtl/>
        </w:rPr>
        <w:t>بالمساعدة التقنية و</w:t>
      </w:r>
      <w:r w:rsidRPr="003C3709">
        <w:rPr>
          <w:rFonts w:ascii="Arabic Typesetting" w:hAnsi="Arabic Typesetting" w:cs="Arabic Typesetting" w:hint="cs"/>
          <w:sz w:val="34"/>
          <w:szCs w:val="34"/>
          <w:rtl/>
        </w:rPr>
        <w:t>تكوين الكفاءات</w:t>
      </w:r>
      <w:r w:rsidRPr="003C3709">
        <w:rPr>
          <w:rFonts w:ascii="Arabic Typesetting" w:hAnsi="Arabic Typesetting" w:cs="Arabic Typesetting"/>
          <w:sz w:val="34"/>
          <w:szCs w:val="34"/>
          <w:rtl/>
        </w:rPr>
        <w:t xml:space="preserve"> والمساعدة التشريع</w:t>
      </w:r>
      <w:r>
        <w:rPr>
          <w:rFonts w:ascii="Arabic Typesetting" w:hAnsi="Arabic Typesetting" w:cs="Arabic Typesetting" w:hint="cs"/>
          <w:sz w:val="34"/>
          <w:szCs w:val="34"/>
          <w:rtl/>
        </w:rPr>
        <w:t>ية</w:t>
      </w:r>
      <w:r>
        <w:rPr>
          <w:rFonts w:ascii="Arabic Typesetting" w:hAnsi="Arabic Typesetting" w:cs="Arabic Typesetting"/>
          <w:sz w:val="34"/>
          <w:szCs w:val="34"/>
          <w:rtl/>
        </w:rPr>
        <w:t xml:space="preserve"> </w:t>
      </w:r>
      <w:r w:rsidRPr="003C3709">
        <w:rPr>
          <w:rFonts w:ascii="Arabic Typesetting" w:hAnsi="Arabic Typesetting" w:cs="Arabic Typesetting" w:hint="cs"/>
          <w:sz w:val="34"/>
          <w:szCs w:val="34"/>
          <w:rtl/>
        </w:rPr>
        <w:t>إنمائية المنحى وقائمة على الطلب</w:t>
      </w:r>
      <w:r>
        <w:rPr>
          <w:rFonts w:ascii="Arabic Typesetting" w:hAnsi="Arabic Typesetting" w:cs="Arabic Typesetting" w:hint="cs"/>
          <w:sz w:val="34"/>
          <w:szCs w:val="34"/>
          <w:rtl/>
        </w:rPr>
        <w:t xml:space="preserve"> ومشروحة في تقارير أعدت بشأنها خلال السنة طبقا لتوصيتي جدول أعمال التنمية 1 و13.</w:t>
      </w:r>
    </w:p>
    <w:p w:rsidR="00393028" w:rsidRDefault="00393028" w:rsidP="009A3712">
      <w:pPr>
        <w:numPr>
          <w:ilvl w:val="1"/>
          <w:numId w:val="3"/>
        </w:numPr>
        <w:bidi/>
        <w:spacing w:after="120" w:line="340" w:lineRule="exact"/>
        <w:ind w:left="0" w:firstLine="0"/>
        <w:rPr>
          <w:rFonts w:ascii="Arabic Typesetting" w:hAnsi="Arabic Typesetting" w:cs="Arabic Typesetting"/>
          <w:sz w:val="34"/>
          <w:szCs w:val="34"/>
          <w:lang w:bidi="ar-EG"/>
        </w:rPr>
      </w:pPr>
      <w:r w:rsidRPr="006536FC">
        <w:rPr>
          <w:rFonts w:ascii="Arabic Typesetting" w:hAnsi="Arabic Typesetting" w:cs="Arabic Typesetting" w:hint="cs"/>
          <w:sz w:val="34"/>
          <w:szCs w:val="34"/>
          <w:rtl/>
          <w:lang w:bidi="ar-EG"/>
        </w:rPr>
        <w:t>وإضافة إلى ذلك،</w:t>
      </w:r>
      <w:r w:rsidRPr="006536FC">
        <w:rPr>
          <w:rFonts w:ascii="Arabic Typesetting" w:hAnsi="Arabic Typesetting" w:cs="Arabic Typesetting"/>
          <w:sz w:val="34"/>
          <w:szCs w:val="34"/>
          <w:rtl/>
          <w:lang w:bidi="ar-EG"/>
        </w:rPr>
        <w:t xml:space="preserve"> </w:t>
      </w:r>
      <w:r w:rsidR="006536FC" w:rsidRPr="006536FC">
        <w:rPr>
          <w:rFonts w:ascii="Arabic Typesetting" w:hAnsi="Arabic Typesetting" w:cs="Arabic Typesetting" w:hint="cs"/>
          <w:sz w:val="34"/>
          <w:szCs w:val="34"/>
          <w:rtl/>
          <w:lang w:bidi="ar-EG"/>
        </w:rPr>
        <w:t>نفذ</w:t>
      </w:r>
      <w:r w:rsidR="006536FC" w:rsidRPr="006536FC">
        <w:rPr>
          <w:rFonts w:ascii="Arabic Typesetting" w:hAnsi="Arabic Typesetting" w:cs="Arabic Typesetting"/>
          <w:sz w:val="34"/>
          <w:szCs w:val="34"/>
          <w:rtl/>
          <w:lang w:bidi="ar-EG"/>
        </w:rPr>
        <w:t xml:space="preserve"> </w:t>
      </w:r>
      <w:r w:rsidRPr="006536FC">
        <w:rPr>
          <w:rFonts w:ascii="Arabic Typesetting" w:hAnsi="Arabic Typesetting" w:cs="Arabic Typesetting"/>
          <w:sz w:val="34"/>
          <w:szCs w:val="34"/>
          <w:rtl/>
          <w:lang w:bidi="ar-EG"/>
        </w:rPr>
        <w:t xml:space="preserve">البرنامج مشروع </w:t>
      </w:r>
      <w:r w:rsidRPr="006536FC">
        <w:rPr>
          <w:rFonts w:ascii="Arabic Typesetting" w:hAnsi="Arabic Typesetting" w:cs="Arabic Typesetting" w:hint="cs"/>
          <w:sz w:val="34"/>
          <w:szCs w:val="34"/>
          <w:rtl/>
          <w:lang w:bidi="ar-EG"/>
        </w:rPr>
        <w:t>جدول أعمال التنمية الرائد بشأن</w:t>
      </w:r>
      <w:r w:rsidRPr="006536FC">
        <w:rPr>
          <w:rFonts w:ascii="Arabic Typesetting" w:hAnsi="Arabic Typesetting" w:cs="Arabic Typesetting"/>
          <w:sz w:val="34"/>
          <w:szCs w:val="34"/>
          <w:rtl/>
          <w:lang w:bidi="ar-EG"/>
        </w:rPr>
        <w:t xml:space="preserve"> الملكية الفكرية و</w:t>
      </w:r>
      <w:r w:rsidRPr="006536FC">
        <w:rPr>
          <w:rFonts w:ascii="Arabic Typesetting" w:hAnsi="Arabic Typesetting" w:cs="Arabic Typesetting" w:hint="cs"/>
          <w:sz w:val="34"/>
          <w:szCs w:val="34"/>
          <w:rtl/>
          <w:lang w:bidi="ar-EG"/>
        </w:rPr>
        <w:t>إدارة التصاميم</w:t>
      </w:r>
      <w:r w:rsidRPr="006536FC">
        <w:rPr>
          <w:rFonts w:ascii="Arabic Typesetting" w:hAnsi="Arabic Typesetting" w:cs="Arabic Typesetting"/>
          <w:sz w:val="34"/>
          <w:szCs w:val="34"/>
          <w:rtl/>
          <w:lang w:bidi="ar-EG"/>
        </w:rPr>
        <w:t xml:space="preserve"> لتطوير الأعمال في البلدان النامية والبلدان الأقل نموا</w:t>
      </w:r>
      <w:r w:rsidRPr="006536FC">
        <w:rPr>
          <w:rFonts w:ascii="Arabic Typesetting" w:hAnsi="Arabic Typesetting" w:cs="Arabic Typesetting" w:hint="cs"/>
          <w:sz w:val="34"/>
          <w:szCs w:val="34"/>
          <w:rtl/>
          <w:lang w:bidi="ar-EG"/>
        </w:rPr>
        <w:t xml:space="preserve"> (</w:t>
      </w:r>
      <w:r w:rsidRPr="006536FC">
        <w:rPr>
          <w:rFonts w:ascii="Arabic Typesetting" w:hAnsi="Arabic Typesetting" w:cs="Arabic Typesetting"/>
          <w:sz w:val="34"/>
          <w:szCs w:val="34"/>
          <w:lang w:bidi="ar-EG"/>
        </w:rPr>
        <w:t>DA_4_10_02</w:t>
      </w:r>
      <w:r w:rsidRPr="006536FC">
        <w:rPr>
          <w:rFonts w:ascii="Arabic Typesetting" w:hAnsi="Arabic Typesetting" w:cs="Arabic Typesetting" w:hint="cs"/>
          <w:sz w:val="34"/>
          <w:szCs w:val="34"/>
          <w:rtl/>
          <w:lang w:bidi="ar-EG"/>
        </w:rPr>
        <w:t>)</w:t>
      </w:r>
      <w:r w:rsidR="006536FC" w:rsidRPr="006536FC">
        <w:rPr>
          <w:rFonts w:ascii="Arabic Typesetting" w:hAnsi="Arabic Typesetting" w:cs="Arabic Typesetting" w:hint="cs"/>
          <w:sz w:val="34"/>
          <w:szCs w:val="34"/>
          <w:rtl/>
          <w:lang w:bidi="ar-EG"/>
        </w:rPr>
        <w:t xml:space="preserve"> في الأرجنتين والمغرب</w:t>
      </w:r>
      <w:r w:rsidRPr="006536FC">
        <w:rPr>
          <w:rFonts w:ascii="Arabic Typesetting" w:hAnsi="Arabic Typesetting" w:cs="Arabic Typesetting" w:hint="cs"/>
          <w:sz w:val="34"/>
          <w:szCs w:val="34"/>
          <w:rtl/>
          <w:lang w:bidi="ar-EG"/>
        </w:rPr>
        <w:t>. وعقب إبرام اتفاق رسمي بشأن نطاق المشروع، صيغت</w:t>
      </w:r>
      <w:r w:rsidR="006536FC">
        <w:rPr>
          <w:rFonts w:ascii="Arabic Typesetting" w:hAnsi="Arabic Typesetting" w:cs="Arabic Typesetting" w:hint="cs"/>
          <w:sz w:val="34"/>
          <w:szCs w:val="34"/>
          <w:rtl/>
          <w:lang w:bidi="ar-EG"/>
        </w:rPr>
        <w:t xml:space="preserve"> في عام 2014</w:t>
      </w:r>
      <w:r w:rsidRPr="006536FC">
        <w:rPr>
          <w:rFonts w:ascii="Arabic Typesetting" w:hAnsi="Arabic Typesetting" w:cs="Arabic Typesetting" w:hint="cs"/>
          <w:sz w:val="34"/>
          <w:szCs w:val="34"/>
          <w:rtl/>
          <w:lang w:bidi="ar-EG"/>
        </w:rPr>
        <w:t xml:space="preserve"> استراتيجيات وطنية لحماية التصاميم وخطط للتوعية واستراتيجيات للخروج</w:t>
      </w:r>
      <w:r w:rsidR="006536FC">
        <w:rPr>
          <w:rFonts w:ascii="Arabic Typesetting" w:hAnsi="Arabic Typesetting" w:cs="Arabic Typesetting" w:hint="cs"/>
          <w:sz w:val="34"/>
          <w:szCs w:val="34"/>
          <w:rtl/>
          <w:lang w:bidi="ar-EG"/>
        </w:rPr>
        <w:t xml:space="preserve"> لفائدة البلدين المذكورين، ووُضع برنامج وطني مخصص (</w:t>
      </w:r>
      <w:proofErr w:type="spellStart"/>
      <w:r w:rsidR="007E5AD1" w:rsidRPr="00B31868">
        <w:rPr>
          <w:rFonts w:ascii="Arabic Typesetting" w:hAnsi="Arabic Typesetting" w:cs="Arabic Typesetting"/>
          <w:i/>
          <w:iCs/>
          <w:sz w:val="34"/>
          <w:szCs w:val="34"/>
          <w:lang w:bidi="ar-EG"/>
        </w:rPr>
        <w:t>Diseñar</w:t>
      </w:r>
      <w:proofErr w:type="spellEnd"/>
      <w:r w:rsidR="007E5AD1" w:rsidRPr="00B31868">
        <w:rPr>
          <w:rFonts w:ascii="Arabic Typesetting" w:hAnsi="Arabic Typesetting" w:cs="Arabic Typesetting" w:hint="cs"/>
          <w:sz w:val="34"/>
          <w:szCs w:val="34"/>
          <w:rtl/>
          <w:lang w:bidi="ar-EG"/>
        </w:rPr>
        <w:t xml:space="preserve"> في الأرجنتين و</w:t>
      </w:r>
      <w:proofErr w:type="spellStart"/>
      <w:r w:rsidR="007E5AD1" w:rsidRPr="00B31868">
        <w:rPr>
          <w:rFonts w:ascii="Arabic Typesetting" w:hAnsi="Arabic Typesetting" w:cs="Arabic Typesetting"/>
          <w:i/>
          <w:iCs/>
          <w:sz w:val="34"/>
          <w:szCs w:val="34"/>
          <w:lang w:bidi="ar-EG"/>
        </w:rPr>
        <w:t>Namadij</w:t>
      </w:r>
      <w:proofErr w:type="spellEnd"/>
      <w:r w:rsidR="007E5AD1" w:rsidRPr="00B31868">
        <w:rPr>
          <w:rFonts w:ascii="Arabic Typesetting" w:hAnsi="Arabic Typesetting" w:cs="Arabic Typesetting" w:hint="cs"/>
          <w:sz w:val="34"/>
          <w:szCs w:val="34"/>
          <w:rtl/>
          <w:lang w:bidi="ar-EG"/>
        </w:rPr>
        <w:t xml:space="preserve"> في المغرب)</w:t>
      </w:r>
      <w:r w:rsidRPr="006536FC">
        <w:rPr>
          <w:rFonts w:ascii="Arabic Typesetting" w:hAnsi="Arabic Typesetting" w:cs="Arabic Typesetting" w:hint="cs"/>
          <w:sz w:val="34"/>
          <w:szCs w:val="34"/>
          <w:rtl/>
          <w:lang w:bidi="ar-EG"/>
        </w:rPr>
        <w:t xml:space="preserve">. واضطُلع بعد ذلك بدراسات جدوى في كلا البلدين، </w:t>
      </w:r>
      <w:r w:rsidR="007E5AD1">
        <w:rPr>
          <w:rFonts w:ascii="Arabic Typesetting" w:hAnsi="Arabic Typesetting" w:cs="Arabic Typesetting" w:hint="cs"/>
          <w:sz w:val="34"/>
          <w:szCs w:val="34"/>
          <w:rtl/>
          <w:lang w:bidi="ar-EG"/>
        </w:rPr>
        <w:t>ما أسفر عن اختيار</w:t>
      </w:r>
      <w:r w:rsidRPr="006536FC">
        <w:rPr>
          <w:rFonts w:ascii="Arabic Typesetting" w:hAnsi="Arabic Typesetting" w:cs="Arabic Typesetting" w:hint="cs"/>
          <w:sz w:val="34"/>
          <w:szCs w:val="34"/>
          <w:rtl/>
          <w:lang w:bidi="ar-EG"/>
        </w:rPr>
        <w:t>70 من الشركات الصغيرة والمتوسطة المستفيدة</w:t>
      </w:r>
      <w:r w:rsidR="007E5AD1">
        <w:rPr>
          <w:rFonts w:ascii="Arabic Typesetting" w:hAnsi="Arabic Typesetting" w:cs="Arabic Typesetting" w:hint="cs"/>
          <w:sz w:val="34"/>
          <w:szCs w:val="34"/>
          <w:rtl/>
          <w:lang w:bidi="ar-EG"/>
        </w:rPr>
        <w:t xml:space="preserve"> احتُفظ بثماني وستين منها في نهاية المطاف</w:t>
      </w:r>
      <w:r w:rsidR="000378E1">
        <w:rPr>
          <w:rFonts w:ascii="Arabic Typesetting" w:hAnsi="Arabic Typesetting" w:cs="Arabic Typesetting" w:hint="cs"/>
          <w:sz w:val="34"/>
          <w:szCs w:val="34"/>
          <w:rtl/>
          <w:lang w:bidi="ar-EG"/>
        </w:rPr>
        <w:t xml:space="preserve"> (42 في الأرجنتين و26 ف</w:t>
      </w:r>
      <w:r w:rsidR="007E5AD1">
        <w:rPr>
          <w:rFonts w:ascii="Arabic Typesetting" w:hAnsi="Arabic Typesetting" w:cs="Arabic Typesetting" w:hint="cs"/>
          <w:sz w:val="34"/>
          <w:szCs w:val="34"/>
          <w:rtl/>
          <w:lang w:bidi="ar-EG"/>
        </w:rPr>
        <w:t>ي المغرب)</w:t>
      </w:r>
      <w:r w:rsidRPr="006536FC">
        <w:rPr>
          <w:rFonts w:ascii="Arabic Typesetting" w:hAnsi="Arabic Typesetting" w:cs="Arabic Typesetting" w:hint="cs"/>
          <w:sz w:val="34"/>
          <w:szCs w:val="34"/>
          <w:rtl/>
          <w:lang w:bidi="ar-EG"/>
        </w:rPr>
        <w:t>.</w:t>
      </w:r>
      <w:r w:rsidR="007E5AD1">
        <w:rPr>
          <w:rFonts w:ascii="Arabic Typesetting" w:hAnsi="Arabic Typesetting" w:cs="Arabic Typesetting" w:hint="cs"/>
          <w:sz w:val="34"/>
          <w:szCs w:val="34"/>
          <w:rtl/>
          <w:lang w:bidi="ar-EG"/>
        </w:rPr>
        <w:t xml:space="preserve"> وسعياً إلى دعم الشركات الصغيرة والمتوسطة المستفيدة في وضع استراتيجيات مخصصة لحماية التصاميم ومساعدتها في مجال طلبات الملكية الفكرية، </w:t>
      </w:r>
      <w:r w:rsidR="000378E1">
        <w:rPr>
          <w:rFonts w:ascii="Arabic Typesetting" w:hAnsi="Arabic Typesetting" w:cs="Arabic Typesetting" w:hint="cs"/>
          <w:sz w:val="34"/>
          <w:szCs w:val="34"/>
          <w:rtl/>
          <w:lang w:bidi="ar-EG"/>
        </w:rPr>
        <w:t>أنشئت</w:t>
      </w:r>
      <w:r w:rsidR="007E5AD1">
        <w:rPr>
          <w:rFonts w:ascii="Arabic Typesetting" w:hAnsi="Arabic Typesetting" w:cs="Arabic Typesetting" w:hint="cs"/>
          <w:sz w:val="34"/>
          <w:szCs w:val="34"/>
          <w:rtl/>
          <w:lang w:bidi="ar-EG"/>
        </w:rPr>
        <w:t xml:space="preserve"> أفرقة </w:t>
      </w:r>
      <w:r w:rsidR="00FB2BCA">
        <w:rPr>
          <w:rFonts w:ascii="Arabic Typesetting" w:hAnsi="Arabic Typesetting" w:cs="Arabic Typesetting" w:hint="cs"/>
          <w:sz w:val="34"/>
          <w:szCs w:val="34"/>
          <w:rtl/>
          <w:lang w:bidi="ar-EG"/>
        </w:rPr>
        <w:t>مشروعات</w:t>
      </w:r>
      <w:r w:rsidR="007E5AD1">
        <w:rPr>
          <w:rFonts w:ascii="Arabic Typesetting" w:hAnsi="Arabic Typesetting" w:cs="Arabic Typesetting" w:hint="cs"/>
          <w:sz w:val="34"/>
          <w:szCs w:val="34"/>
          <w:rtl/>
          <w:lang w:bidi="ar-EG"/>
        </w:rPr>
        <w:t xml:space="preserve"> وطنية </w:t>
      </w:r>
      <w:r w:rsidR="000378E1">
        <w:rPr>
          <w:rFonts w:ascii="Arabic Typesetting" w:hAnsi="Arabic Typesetting" w:cs="Arabic Typesetting" w:hint="cs"/>
          <w:sz w:val="34"/>
          <w:szCs w:val="34"/>
          <w:rtl/>
          <w:lang w:bidi="ar-EG"/>
        </w:rPr>
        <w:t>تتألف</w:t>
      </w:r>
      <w:r w:rsidR="007E5AD1">
        <w:rPr>
          <w:rFonts w:ascii="Arabic Typesetting" w:hAnsi="Arabic Typesetting" w:cs="Arabic Typesetting" w:hint="cs"/>
          <w:sz w:val="34"/>
          <w:szCs w:val="34"/>
          <w:rtl/>
          <w:lang w:bidi="ar-EG"/>
        </w:rPr>
        <w:t xml:space="preserve"> من لجان توجيهية لل</w:t>
      </w:r>
      <w:r w:rsidR="00FB2BCA">
        <w:rPr>
          <w:rFonts w:ascii="Arabic Typesetting" w:hAnsi="Arabic Typesetting" w:cs="Arabic Typesetting" w:hint="cs"/>
          <w:sz w:val="34"/>
          <w:szCs w:val="34"/>
          <w:rtl/>
          <w:lang w:bidi="ar-EG"/>
        </w:rPr>
        <w:t>مشروعات</w:t>
      </w:r>
      <w:r w:rsidR="007E5AD1">
        <w:rPr>
          <w:rFonts w:ascii="Arabic Typesetting" w:hAnsi="Arabic Typesetting" w:cs="Arabic Typesetting" w:hint="cs"/>
          <w:sz w:val="34"/>
          <w:szCs w:val="34"/>
          <w:rtl/>
          <w:lang w:bidi="ar-EG"/>
        </w:rPr>
        <w:t xml:space="preserve"> ومنسقي قطريين لل</w:t>
      </w:r>
      <w:r w:rsidR="00FB2BCA">
        <w:rPr>
          <w:rFonts w:ascii="Arabic Typesetting" w:hAnsi="Arabic Typesetting" w:cs="Arabic Typesetting" w:hint="cs"/>
          <w:sz w:val="34"/>
          <w:szCs w:val="34"/>
          <w:rtl/>
          <w:lang w:bidi="ar-EG"/>
        </w:rPr>
        <w:t>مشروعات</w:t>
      </w:r>
      <w:r w:rsidR="007E5AD1">
        <w:rPr>
          <w:rFonts w:ascii="Arabic Typesetting" w:hAnsi="Arabic Typesetting" w:cs="Arabic Typesetting" w:hint="cs"/>
          <w:sz w:val="34"/>
          <w:szCs w:val="34"/>
          <w:rtl/>
          <w:lang w:bidi="ar-EG"/>
        </w:rPr>
        <w:t xml:space="preserve"> وثمانية خبراء (خمسة من الأرجنتين وثلاثة من المغرب).</w:t>
      </w:r>
    </w:p>
    <w:p w:rsidR="00B264F9" w:rsidRPr="00B264F9" w:rsidRDefault="007E5AD1" w:rsidP="009A3712">
      <w:pPr>
        <w:numPr>
          <w:ilvl w:val="1"/>
          <w:numId w:val="3"/>
        </w:numPr>
        <w:bidi/>
        <w:spacing w:after="120" w:line="340" w:lineRule="exact"/>
        <w:ind w:left="0" w:firstLine="0"/>
        <w:rPr>
          <w:rFonts w:ascii="Arabic Typesetting" w:hAnsi="Arabic Typesetting" w:cs="Arabic Typesetting"/>
          <w:sz w:val="34"/>
          <w:szCs w:val="34"/>
          <w:rtl/>
          <w:lang w:val="fr-CH"/>
        </w:rPr>
      </w:pPr>
      <w:r w:rsidRPr="00C2163F">
        <w:rPr>
          <w:rFonts w:ascii="Arabic Typesetting" w:hAnsi="Arabic Typesetting" w:cs="Arabic Typesetting" w:hint="cs"/>
          <w:sz w:val="34"/>
          <w:szCs w:val="34"/>
          <w:rtl/>
          <w:lang w:bidi="ar-EG"/>
        </w:rPr>
        <w:t xml:space="preserve">وتواصل التقدم في عام 2015 بوضع مواد ترويجية واستحداث مجموعة من الأدوات لدعم الشركات الصغيرة والمتوسطة </w:t>
      </w:r>
      <w:proofErr w:type="spellStart"/>
      <w:r w:rsidRPr="00C2163F">
        <w:rPr>
          <w:rFonts w:ascii="Arabic Typesetting" w:hAnsi="Arabic Typesetting" w:cs="Arabic Typesetting" w:hint="cs"/>
          <w:sz w:val="34"/>
          <w:szCs w:val="34"/>
          <w:rtl/>
          <w:lang w:bidi="ar-EG"/>
        </w:rPr>
        <w:t>المستفدية</w:t>
      </w:r>
      <w:proofErr w:type="spellEnd"/>
      <w:r w:rsidRPr="00C2163F">
        <w:rPr>
          <w:rFonts w:ascii="Arabic Typesetting" w:hAnsi="Arabic Typesetting" w:cs="Arabic Typesetting" w:hint="cs"/>
          <w:sz w:val="34"/>
          <w:szCs w:val="34"/>
          <w:rtl/>
          <w:lang w:bidi="ar-EG"/>
        </w:rPr>
        <w:t xml:space="preserve"> في حماية تصاميمها حماية استراتيجية بغية تنمية أعمالها في السوقين الداخلي والخارجي. وبحلول نوفمبر 2015، أودعت الشركات الصغيرة والمتوسطة المشاركة أو كانت قيد إيداع طلبات لما مجموعه 32 تصميماً صناعياً و29 علامة تجارية في الأرجنتين و77 تصميماً صناعياً في المغرب. وشملت النتائج الرئيسية الأخرى للمشروع خلال الثنائية إنشاء لجنة توجيهية وطنية في كل من البلدين تضم وزارات وجمعيات وغرف تجارية ومدارس وجامعات. وسعياً إلى تعزيز التزام الشركاء المؤسسيين </w:t>
      </w:r>
      <w:r w:rsidR="00C2163F" w:rsidRPr="00C2163F">
        <w:rPr>
          <w:rFonts w:ascii="Arabic Typesetting" w:hAnsi="Arabic Typesetting" w:cs="Arabic Typesetting" w:hint="cs"/>
          <w:sz w:val="34"/>
          <w:szCs w:val="34"/>
          <w:rtl/>
          <w:lang w:bidi="ar-EG"/>
        </w:rPr>
        <w:t xml:space="preserve">بالإسهام في أهداف البرنامج </w:t>
      </w:r>
      <w:r w:rsidR="00C2163F" w:rsidRPr="00C2163F">
        <w:rPr>
          <w:rFonts w:ascii="Arabic Typesetting" w:hAnsi="Arabic Typesetting" w:cs="Arabic Typesetting" w:hint="cs"/>
          <w:sz w:val="34"/>
          <w:szCs w:val="34"/>
          <w:rtl/>
          <w:lang w:bidi="ar-EG"/>
        </w:rPr>
        <w:lastRenderedPageBreak/>
        <w:t xml:space="preserve">في كل من البلدين، وقع الشركاء الوطنيون الرئيسيون ميثاقان </w:t>
      </w:r>
      <w:r w:rsidR="000378E1">
        <w:rPr>
          <w:rFonts w:ascii="Arabic Typesetting" w:hAnsi="Arabic Typesetting" w:cs="Arabic Typesetting" w:hint="cs"/>
          <w:sz w:val="34"/>
          <w:szCs w:val="34"/>
          <w:rtl/>
          <w:lang w:bidi="ar-EG"/>
        </w:rPr>
        <w:t>عن ا</w:t>
      </w:r>
      <w:r w:rsidR="00C2163F" w:rsidRPr="00C2163F">
        <w:rPr>
          <w:rFonts w:ascii="Arabic Typesetting" w:hAnsi="Arabic Typesetting" w:cs="Arabic Typesetting" w:hint="cs"/>
          <w:sz w:val="34"/>
          <w:szCs w:val="34"/>
          <w:rtl/>
          <w:lang w:bidi="ar-EG"/>
        </w:rPr>
        <w:t>لمشروع في 7 أبريل 2015 في الأرجنتين بحضور وزير الصناعة</w:t>
      </w:r>
      <w:r w:rsidR="000378E1">
        <w:rPr>
          <w:rFonts w:ascii="Arabic Typesetting" w:hAnsi="Arabic Typesetting" w:cs="Arabic Typesetting" w:hint="cs"/>
          <w:sz w:val="34"/>
          <w:szCs w:val="34"/>
          <w:rtl/>
          <w:lang w:bidi="ar-EG"/>
        </w:rPr>
        <w:t>،</w:t>
      </w:r>
      <w:r w:rsidR="00C2163F" w:rsidRPr="00C2163F">
        <w:rPr>
          <w:rFonts w:ascii="Arabic Typesetting" w:hAnsi="Arabic Typesetting" w:cs="Arabic Typesetting" w:hint="cs"/>
          <w:sz w:val="34"/>
          <w:szCs w:val="34"/>
          <w:rtl/>
          <w:lang w:bidi="ar-EG"/>
        </w:rPr>
        <w:t xml:space="preserve"> و</w:t>
      </w:r>
      <w:r w:rsidR="000378E1">
        <w:rPr>
          <w:rFonts w:ascii="Arabic Typesetting" w:hAnsi="Arabic Typesetting" w:cs="Arabic Typesetting" w:hint="cs"/>
          <w:sz w:val="34"/>
          <w:szCs w:val="34"/>
          <w:rtl/>
          <w:lang w:bidi="ar-EG"/>
        </w:rPr>
        <w:t xml:space="preserve">في المغرب خلال </w:t>
      </w:r>
      <w:r w:rsidR="00C2163F" w:rsidRPr="00C2163F">
        <w:rPr>
          <w:rFonts w:ascii="Arabic Typesetting" w:hAnsi="Arabic Typesetting" w:cs="Arabic Typesetting" w:hint="cs"/>
          <w:sz w:val="34"/>
          <w:szCs w:val="34"/>
          <w:rtl/>
          <w:lang w:bidi="ar-EG"/>
        </w:rPr>
        <w:t>الفترة الممتدة بين 1 أبريل و27 أكتوبر 2015. وقدَّمت الأمانة ووفدا البلدين نتائج المشروع</w:t>
      </w:r>
      <w:r w:rsidR="000378E1">
        <w:rPr>
          <w:rFonts w:ascii="Arabic Typesetting" w:hAnsi="Arabic Typesetting" w:cs="Arabic Typesetting" w:hint="cs"/>
          <w:sz w:val="34"/>
          <w:szCs w:val="34"/>
          <w:rtl/>
          <w:lang w:bidi="ar-EG"/>
        </w:rPr>
        <w:t>ين</w:t>
      </w:r>
      <w:r w:rsidR="00C2163F" w:rsidRPr="00C2163F">
        <w:rPr>
          <w:rFonts w:ascii="Arabic Typesetting" w:hAnsi="Arabic Typesetting" w:cs="Arabic Typesetting" w:hint="cs"/>
          <w:sz w:val="34"/>
          <w:szCs w:val="34"/>
          <w:rtl/>
          <w:lang w:bidi="ar-EG"/>
        </w:rPr>
        <w:t xml:space="preserve"> إلى الدول الأعضاء خلال حدث جانبي عُقد على هامش الدورة الثالثة والأربعين </w:t>
      </w:r>
      <w:r w:rsidR="00C2163F" w:rsidRPr="00C2163F">
        <w:rPr>
          <w:rFonts w:ascii="Arabic Typesetting" w:hAnsi="Arabic Typesetting" w:cs="Arabic Typesetting"/>
          <w:sz w:val="34"/>
          <w:szCs w:val="34"/>
          <w:rtl/>
          <w:lang w:bidi="ar-EG"/>
        </w:rPr>
        <w:t>للجنة الدائمة المعنية بقانون العلامات التجارية والتصاميم الصناعية والبيانات الجغرافية</w:t>
      </w:r>
      <w:r w:rsidR="00C2163F" w:rsidRPr="00C2163F">
        <w:rPr>
          <w:rFonts w:ascii="Arabic Typesetting" w:hAnsi="Arabic Typesetting" w:cs="Arabic Typesetting" w:hint="cs"/>
          <w:sz w:val="34"/>
          <w:szCs w:val="34"/>
          <w:rtl/>
          <w:lang w:bidi="ar-EG"/>
        </w:rPr>
        <w:t xml:space="preserve">. وتشير الدراسات الاستقصائية الحالية إلى مستويات من الرضا مرتفعة للغاية في الوكالات الرائدة والشركات الصغيرة والمتوسطة فيما يخص المساعدة التقنية المقدَّمة والقيمة التي أضفاها المشروع على تنمية الأنشطة التجارية المحلية للشركات الصغيرة والمتوسطة الشديدة الاعتماد على التصاميم عن طريق الاستخدام الاستراتيجي للملكية الفكرية. ويُنظر في </w:t>
      </w:r>
      <w:r w:rsidR="000378E1">
        <w:rPr>
          <w:rFonts w:ascii="Arabic Typesetting" w:hAnsi="Arabic Typesetting" w:cs="Arabic Typesetting" w:hint="cs"/>
          <w:sz w:val="34"/>
          <w:szCs w:val="34"/>
          <w:rtl/>
          <w:lang w:bidi="ar-EG"/>
        </w:rPr>
        <w:t xml:space="preserve">وضع </w:t>
      </w:r>
      <w:r w:rsidR="00C2163F" w:rsidRPr="00C2163F">
        <w:rPr>
          <w:rFonts w:ascii="Arabic Typesetting" w:hAnsi="Arabic Typesetting" w:cs="Arabic Typesetting" w:hint="cs"/>
          <w:sz w:val="34"/>
          <w:szCs w:val="34"/>
          <w:rtl/>
          <w:lang w:bidi="ar-EG"/>
        </w:rPr>
        <w:t>استراتيجيات الخروج بغية تنفيذها في كلا البلدين في عام 2016 ويزمع أيضاً إجراء تقييم نهائي للمشروع.</w:t>
      </w:r>
    </w:p>
    <w:p w:rsidR="00393028" w:rsidRPr="00E439F5" w:rsidRDefault="00393028" w:rsidP="00E439F5">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hint="cs"/>
          <w:sz w:val="34"/>
          <w:szCs w:val="34"/>
          <w:rtl/>
          <w:lang w:val="fr-CH"/>
        </w:rPr>
        <w:t>بيانات الأداء</w:t>
      </w:r>
    </w:p>
    <w:tbl>
      <w:tblPr>
        <w:bidiVisual/>
        <w:tblW w:w="474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4"/>
        <w:gridCol w:w="1989"/>
        <w:gridCol w:w="1861"/>
        <w:gridCol w:w="2542"/>
        <w:gridCol w:w="829"/>
      </w:tblGrid>
      <w:tr w:rsidR="00393028" w:rsidRPr="00211D55" w:rsidTr="00507D3B">
        <w:trPr>
          <w:cantSplit/>
          <w:trHeight w:val="537"/>
        </w:trPr>
        <w:tc>
          <w:tcPr>
            <w:tcW w:w="9085" w:type="dxa"/>
            <w:gridSpan w:val="5"/>
            <w:tcBorders>
              <w:bottom w:val="single" w:sz="4" w:space="0" w:color="auto"/>
            </w:tcBorders>
            <w:shd w:val="clear" w:color="auto" w:fill="C6D9F1" w:themeFill="text2" w:themeFillTint="33"/>
          </w:tcPr>
          <w:p w:rsidR="00393028" w:rsidRPr="00211D55" w:rsidRDefault="00393028" w:rsidP="009E62B8">
            <w:pPr>
              <w:keepNext/>
              <w:bidi/>
              <w:spacing w:after="60" w:line="280" w:lineRule="exact"/>
              <w:ind w:left="1167" w:hanging="1167"/>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 xml:space="preserve">النتيجة المرتقبة: </w:t>
            </w:r>
            <w:r w:rsidR="006E7FC6" w:rsidRPr="00211D55">
              <w:rPr>
                <w:rFonts w:ascii="Arabic Typesetting" w:hAnsi="Arabic Typesetting" w:cs="Arabic Typesetting"/>
                <w:sz w:val="28"/>
                <w:szCs w:val="28"/>
                <w:rtl/>
                <w:lang w:bidi="ar-EG"/>
              </w:rPr>
              <w:tab/>
            </w:r>
            <w:r w:rsidR="000432CA">
              <w:rPr>
                <w:rFonts w:ascii="Arabic Typesetting" w:hAnsi="Arabic Typesetting" w:cs="Arabic Typesetting"/>
                <w:sz w:val="28"/>
                <w:szCs w:val="28"/>
                <w:rtl/>
                <w:lang w:bidi="ar-EG"/>
              </w:rPr>
              <w:t>ه1.1 تعاون معزز بين الدول الأعضاء في تطوير أطر معيارية دولية متوازنة للملكية الفكرية والاتفاق على محاور محدّدة وعلى صكوك دولية بشأنها</w:t>
            </w:r>
          </w:p>
        </w:tc>
      </w:tr>
      <w:tr w:rsidR="00393028" w:rsidRPr="00211D55" w:rsidTr="00B31868">
        <w:trPr>
          <w:cantSplit/>
          <w:trHeight w:val="186"/>
        </w:trPr>
        <w:tc>
          <w:tcPr>
            <w:tcW w:w="1864" w:type="dxa"/>
            <w:tcBorders>
              <w:bottom w:val="nil"/>
              <w:right w:val="nil"/>
            </w:tcBorders>
            <w:tcMar>
              <w:top w:w="110" w:type="dxa"/>
            </w:tcMar>
          </w:tcPr>
          <w:p w:rsidR="00393028" w:rsidRPr="00211D55" w:rsidRDefault="0039302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1989" w:type="dxa"/>
            <w:tcBorders>
              <w:left w:val="nil"/>
              <w:bottom w:val="nil"/>
              <w:right w:val="nil"/>
            </w:tcBorders>
            <w:shd w:val="clear" w:color="auto" w:fill="auto"/>
            <w:tcMar>
              <w:top w:w="110" w:type="dxa"/>
            </w:tcMar>
            <w:vAlign w:val="center"/>
          </w:tcPr>
          <w:p w:rsidR="00393028" w:rsidRPr="00211D55" w:rsidRDefault="0039302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أسس المقارنة</w:t>
            </w:r>
          </w:p>
        </w:tc>
        <w:tc>
          <w:tcPr>
            <w:tcW w:w="1861" w:type="dxa"/>
            <w:tcBorders>
              <w:left w:val="nil"/>
              <w:bottom w:val="nil"/>
              <w:right w:val="nil"/>
            </w:tcBorders>
          </w:tcPr>
          <w:p w:rsidR="00393028" w:rsidRPr="00211D55" w:rsidRDefault="00393028" w:rsidP="00086C3F">
            <w:pPr>
              <w:keepNext/>
              <w:bidi/>
              <w:spacing w:before="60" w:after="60" w:line="280" w:lineRule="exact"/>
              <w:ind w:right="317"/>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الأهداف</w:t>
            </w:r>
          </w:p>
        </w:tc>
        <w:tc>
          <w:tcPr>
            <w:tcW w:w="2542" w:type="dxa"/>
            <w:tcBorders>
              <w:left w:val="nil"/>
              <w:bottom w:val="nil"/>
              <w:right w:val="nil"/>
            </w:tcBorders>
            <w:tcMar>
              <w:top w:w="110" w:type="dxa"/>
            </w:tcMar>
          </w:tcPr>
          <w:p w:rsidR="00393028" w:rsidRPr="00211D55" w:rsidRDefault="00393028" w:rsidP="00086C3F">
            <w:pPr>
              <w:keepNext/>
              <w:bidi/>
              <w:spacing w:before="60" w:after="60" w:line="280" w:lineRule="exact"/>
              <w:ind w:right="303"/>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829" w:type="dxa"/>
            <w:tcBorders>
              <w:left w:val="nil"/>
              <w:bottom w:val="nil"/>
            </w:tcBorders>
            <w:tcMar>
              <w:top w:w="110" w:type="dxa"/>
            </w:tcMar>
          </w:tcPr>
          <w:p w:rsidR="00393028" w:rsidRPr="00211D55" w:rsidRDefault="0039302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393028" w:rsidRPr="00211D55" w:rsidTr="00507D3B">
        <w:trPr>
          <w:cantSplit/>
          <w:trHeight w:val="186"/>
        </w:trPr>
        <w:tc>
          <w:tcPr>
            <w:tcW w:w="1864" w:type="dxa"/>
            <w:tcBorders>
              <w:top w:val="nil"/>
              <w:bottom w:val="nil"/>
              <w:right w:val="nil"/>
            </w:tcBorders>
            <w:tcMar>
              <w:top w:w="110" w:type="dxa"/>
            </w:tcMar>
          </w:tcPr>
          <w:p w:rsidR="00393028" w:rsidRPr="00211D55" w:rsidRDefault="0039302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sz w:val="28"/>
                <w:szCs w:val="28"/>
                <w:rtl/>
                <w:lang w:bidi="ar-EG"/>
              </w:rPr>
              <w:t>الاتفاق بشأن إطار معياري لتسجيل التصاميم الصناعية وإجراءات الصيانة</w:t>
            </w:r>
          </w:p>
        </w:tc>
        <w:tc>
          <w:tcPr>
            <w:tcW w:w="1989" w:type="dxa"/>
            <w:tcBorders>
              <w:top w:val="nil"/>
              <w:left w:val="nil"/>
              <w:bottom w:val="nil"/>
              <w:right w:val="nil"/>
            </w:tcBorders>
            <w:shd w:val="clear" w:color="auto" w:fill="auto"/>
            <w:tcMar>
              <w:top w:w="110" w:type="dxa"/>
            </w:tcMar>
          </w:tcPr>
          <w:p w:rsidR="00393028" w:rsidRPr="00211D55" w:rsidRDefault="00393028" w:rsidP="00086C3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لا يوجد إطار معياري لتسجيل التصاميم الصناعية وإجراءات الصيانة</w:t>
            </w:r>
          </w:p>
          <w:p w:rsidR="00393028" w:rsidRPr="00211D55" w:rsidRDefault="0039302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لا يوجد إطار معياري لتسجيل التصاميم الصناعية وإجراءات الصيانة</w:t>
            </w:r>
          </w:p>
        </w:tc>
        <w:tc>
          <w:tcPr>
            <w:tcW w:w="1861" w:type="dxa"/>
            <w:tcBorders>
              <w:top w:val="nil"/>
              <w:left w:val="nil"/>
              <w:bottom w:val="nil"/>
              <w:right w:val="nil"/>
            </w:tcBorders>
          </w:tcPr>
          <w:p w:rsidR="00393028" w:rsidRPr="00211D55" w:rsidRDefault="0039302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اعتماد معاهدة بشأن قانون التصاميم من خلال مؤتمر دبلوماسي محتمل</w:t>
            </w:r>
          </w:p>
        </w:tc>
        <w:tc>
          <w:tcPr>
            <w:tcW w:w="2542" w:type="dxa"/>
            <w:tcBorders>
              <w:top w:val="nil"/>
              <w:left w:val="nil"/>
              <w:bottom w:val="nil"/>
              <w:right w:val="nil"/>
            </w:tcBorders>
            <w:tcMar>
              <w:top w:w="110" w:type="dxa"/>
            </w:tcMar>
          </w:tcPr>
          <w:p w:rsidR="00393028" w:rsidRPr="00211D55" w:rsidRDefault="00C2163F"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وافقت الجمعية العامة للويبو على ألا يُدعى إلى الانعقاد مؤتمر دبلوماسي لاعتماد معاهدة قانون التصاميم في نهاية والنصف الأول من عام 2017 إلا إذا انتهت المناقشات حول المساعدة التقنية والكشف أثناء دورتي اللجنة الرابعة</w:t>
            </w:r>
            <w:r w:rsidR="00FA78A4">
              <w:rPr>
                <w:rFonts w:ascii="Arabic Typesetting" w:hAnsi="Arabic Typesetting" w:cs="Arabic Typesetting" w:hint="cs"/>
                <w:sz w:val="28"/>
                <w:szCs w:val="28"/>
                <w:rtl/>
                <w:lang w:bidi="ar-EG"/>
              </w:rPr>
              <w:t xml:space="preserve"> والثلاثين</w:t>
            </w:r>
            <w:r w:rsidRPr="00211D55">
              <w:rPr>
                <w:rFonts w:ascii="Arabic Typesetting" w:hAnsi="Arabic Typesetting" w:cs="Arabic Typesetting"/>
                <w:sz w:val="28"/>
                <w:szCs w:val="28"/>
                <w:rtl/>
                <w:lang w:bidi="ar-EG"/>
              </w:rPr>
              <w:t xml:space="preserve"> والخامسة والثلاثين.</w:t>
            </w:r>
            <w:r w:rsidR="00FA78A4" w:rsidRPr="00F96634">
              <w:rPr>
                <w:rFonts w:ascii="Arabic Typesetting" w:hAnsi="Arabic Typesetting" w:cs="Arabic Typesetting"/>
                <w:sz w:val="28"/>
                <w:szCs w:val="28"/>
                <w:vertAlign w:val="superscript"/>
                <w:rtl/>
                <w:lang w:bidi="ar-EG"/>
              </w:rPr>
              <w:footnoteReference w:id="9"/>
            </w:r>
          </w:p>
        </w:tc>
        <w:tc>
          <w:tcPr>
            <w:tcW w:w="829" w:type="dxa"/>
            <w:tcBorders>
              <w:top w:val="nil"/>
              <w:left w:val="nil"/>
              <w:bottom w:val="nil"/>
            </w:tcBorders>
            <w:tcMar>
              <w:top w:w="110" w:type="dxa"/>
            </w:tcMar>
          </w:tcPr>
          <w:p w:rsidR="00393028" w:rsidRPr="00211D55" w:rsidRDefault="0039302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color w:val="FF0000"/>
                <w:sz w:val="28"/>
                <w:szCs w:val="28"/>
                <w:rtl/>
                <w:lang w:bidi="ar-EG"/>
              </w:rPr>
              <w:t xml:space="preserve">غير </w:t>
            </w:r>
            <w:r w:rsidR="00C2163F" w:rsidRPr="00211D55">
              <w:rPr>
                <w:rFonts w:ascii="Arabic Typesetting" w:hAnsi="Arabic Typesetting" w:cs="Arabic Typesetting"/>
                <w:b/>
                <w:bCs/>
                <w:color w:val="FF0000"/>
                <w:sz w:val="28"/>
                <w:szCs w:val="28"/>
                <w:rtl/>
                <w:lang w:bidi="ar-EG"/>
              </w:rPr>
              <w:t>محقق</w:t>
            </w:r>
          </w:p>
        </w:tc>
      </w:tr>
      <w:tr w:rsidR="00393028" w:rsidRPr="00211D55" w:rsidTr="00507D3B">
        <w:trPr>
          <w:cantSplit/>
          <w:trHeight w:val="2941"/>
        </w:trPr>
        <w:tc>
          <w:tcPr>
            <w:tcW w:w="1864" w:type="dxa"/>
            <w:tcBorders>
              <w:top w:val="nil"/>
              <w:bottom w:val="nil"/>
              <w:right w:val="nil"/>
            </w:tcBorders>
            <w:tcMar>
              <w:top w:w="110" w:type="dxa"/>
            </w:tcMar>
          </w:tcPr>
          <w:p w:rsidR="00393028" w:rsidRPr="00211D55" w:rsidRDefault="0039302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التقدم المحرز نحو الاتفاق على القضايا المدرجة حاليا في جدول أعمال اللجنة الدائمة</w:t>
            </w:r>
          </w:p>
        </w:tc>
        <w:tc>
          <w:tcPr>
            <w:tcW w:w="1989" w:type="dxa"/>
            <w:tcBorders>
              <w:top w:val="nil"/>
              <w:left w:val="nil"/>
              <w:bottom w:val="nil"/>
              <w:right w:val="nil"/>
            </w:tcBorders>
            <w:shd w:val="clear" w:color="auto" w:fill="auto"/>
            <w:tcMar>
              <w:top w:w="110" w:type="dxa"/>
            </w:tcMar>
          </w:tcPr>
          <w:p w:rsidR="00393028" w:rsidRPr="00211D55" w:rsidRDefault="00393028" w:rsidP="00086C3F">
            <w:pPr>
              <w:bidi/>
              <w:spacing w:before="60" w:after="60" w:line="280" w:lineRule="exact"/>
              <w:ind w:right="34"/>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اتفاق اللجنة الدائمة </w:t>
            </w:r>
            <w:r w:rsidR="00C2163F" w:rsidRPr="00211D55">
              <w:rPr>
                <w:rFonts w:ascii="Arabic Typesetting" w:hAnsi="Arabic Typesetting" w:cs="Arabic Typesetting"/>
                <w:b/>
                <w:color w:val="002060"/>
                <w:sz w:val="28"/>
                <w:szCs w:val="28"/>
                <w:rtl/>
                <w:lang w:bidi="ar-EG"/>
              </w:rPr>
              <w:t xml:space="preserve">على </w:t>
            </w:r>
            <w:r w:rsidRPr="00211D55">
              <w:rPr>
                <w:rFonts w:ascii="Arabic Typesetting" w:hAnsi="Arabic Typesetting" w:cs="Arabic Typesetting"/>
                <w:b/>
                <w:color w:val="002060"/>
                <w:sz w:val="28"/>
                <w:szCs w:val="28"/>
                <w:rtl/>
                <w:lang w:bidi="ar-EG"/>
              </w:rPr>
              <w:t>عدد من مشروعات المواد والقواعد الموضوعية</w:t>
            </w:r>
            <w:r w:rsidRPr="00211D55">
              <w:rPr>
                <w:rFonts w:ascii="Arabic Typesetting" w:hAnsi="Arabic Typesetting" w:cs="Arabic Typesetting"/>
                <w:b/>
                <w:color w:val="002060"/>
                <w:sz w:val="28"/>
                <w:szCs w:val="28"/>
                <w:rtl/>
              </w:rPr>
              <w:t xml:space="preserve"> لمعاهدة قانون التصاميم.</w:t>
            </w:r>
          </w:p>
          <w:p w:rsidR="00393028" w:rsidRPr="00211D55" w:rsidRDefault="00393028" w:rsidP="00086C3F">
            <w:pPr>
              <w:bidi/>
              <w:spacing w:before="60" w:after="60" w:line="280" w:lineRule="exact"/>
              <w:ind w:right="34"/>
              <w:rPr>
                <w:rFonts w:ascii="Arabic Typesetting" w:hAnsi="Arabic Typesetting" w:cs="Arabic Typesetting"/>
                <w:b/>
                <w:color w:val="002060"/>
                <w:sz w:val="28"/>
                <w:szCs w:val="28"/>
                <w:rtl/>
                <w:lang w:bidi="ar-EG"/>
              </w:rPr>
            </w:pPr>
            <w:r w:rsidRPr="00211D55">
              <w:rPr>
                <w:rFonts w:ascii="Arabic Typesetting" w:hAnsi="Arabic Typesetting" w:cs="Arabic Typesetting"/>
                <w:b/>
                <w:color w:val="002060"/>
                <w:sz w:val="28"/>
                <w:szCs w:val="28"/>
                <w:rtl/>
                <w:lang w:bidi="ar-EG"/>
              </w:rPr>
              <w:t>اتفاق اللجنة الدائمة على مواصلة العمل بشأن حماية أسماء البلدان.</w:t>
            </w:r>
          </w:p>
          <w:p w:rsidR="00393028" w:rsidRPr="00211D55" w:rsidRDefault="00393028" w:rsidP="00086C3F">
            <w:pPr>
              <w:bidi/>
              <w:spacing w:before="60" w:after="60" w:line="280" w:lineRule="exact"/>
              <w:ind w:right="34"/>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مشروع الوثيقة المرجعية بشأن حماية أسماء البلدان من التسجيل والاستخدام كعلامات تجارية</w:t>
            </w:r>
          </w:p>
        </w:tc>
        <w:tc>
          <w:tcPr>
            <w:tcW w:w="1861" w:type="dxa"/>
            <w:tcBorders>
              <w:top w:val="nil"/>
              <w:left w:val="nil"/>
              <w:bottom w:val="nil"/>
              <w:right w:val="nil"/>
            </w:tcBorders>
          </w:tcPr>
          <w:p w:rsidR="00393028" w:rsidRPr="00211D55" w:rsidRDefault="0039302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موافقة اللجنة الدائمة على النتائج</w:t>
            </w:r>
          </w:p>
        </w:tc>
        <w:tc>
          <w:tcPr>
            <w:tcW w:w="2542" w:type="dxa"/>
            <w:tcBorders>
              <w:top w:val="nil"/>
              <w:left w:val="nil"/>
              <w:bottom w:val="nil"/>
              <w:right w:val="nil"/>
            </w:tcBorders>
            <w:tcMar>
              <w:top w:w="110" w:type="dxa"/>
            </w:tcMar>
          </w:tcPr>
          <w:p w:rsidR="00393028" w:rsidRPr="00211D55" w:rsidRDefault="00113649" w:rsidP="00DA44C1">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sz w:val="28"/>
                <w:szCs w:val="28"/>
                <w:rtl/>
              </w:rPr>
              <w:t xml:space="preserve">اعتمدت اللجنة الدائمة في دورتها الرابعة والثلاثين وثيقة مرجعية </w:t>
            </w:r>
            <w:r w:rsidRPr="00211D55">
              <w:rPr>
                <w:rFonts w:ascii="Arabic Typesetting" w:hAnsi="Arabic Typesetting" w:cs="Arabic Typesetting"/>
                <w:b/>
                <w:sz w:val="28"/>
                <w:szCs w:val="28"/>
                <w:rtl/>
                <w:lang w:bidi="ar-EG"/>
              </w:rPr>
              <w:t>بشأن حماية أسماء البلدان من التسجيل والاستخدام كعلامات تجارية (الوثيقة</w:t>
            </w:r>
            <w:r w:rsidR="00DA44C1">
              <w:rPr>
                <w:rFonts w:ascii="Arabic Typesetting" w:hAnsi="Arabic Typesetting" w:cs="Arabic Typesetting" w:hint="cs"/>
                <w:b/>
                <w:sz w:val="28"/>
                <w:szCs w:val="28"/>
                <w:rtl/>
                <w:lang w:bidi="ar-EG"/>
              </w:rPr>
              <w:t> </w:t>
            </w:r>
            <w:r w:rsidRPr="00DA44C1">
              <w:rPr>
                <w:rFonts w:ascii="Arabic Typesetting" w:hAnsi="Arabic Typesetting" w:cs="Arabic Typesetting"/>
                <w:bCs/>
                <w:sz w:val="28"/>
                <w:szCs w:val="28"/>
                <w:lang w:bidi="ar-EG"/>
              </w:rPr>
              <w:t>WIPO/Strad/INF/7</w:t>
            </w:r>
            <w:r w:rsidRPr="00211D55">
              <w:rPr>
                <w:rFonts w:ascii="Arabic Typesetting" w:hAnsi="Arabic Typesetting" w:cs="Arabic Typesetting"/>
                <w:b/>
                <w:sz w:val="28"/>
                <w:szCs w:val="28"/>
                <w:rtl/>
              </w:rPr>
              <w:t>).</w:t>
            </w:r>
          </w:p>
        </w:tc>
        <w:tc>
          <w:tcPr>
            <w:tcW w:w="829" w:type="dxa"/>
            <w:tcBorders>
              <w:top w:val="nil"/>
              <w:left w:val="nil"/>
              <w:bottom w:val="nil"/>
            </w:tcBorders>
            <w:tcMar>
              <w:top w:w="110" w:type="dxa"/>
            </w:tcMar>
          </w:tcPr>
          <w:p w:rsidR="00393028" w:rsidRPr="00211D55" w:rsidRDefault="00C2163F" w:rsidP="00086C3F">
            <w:pPr>
              <w:keepNext/>
              <w:bidi/>
              <w:spacing w:before="60" w:after="6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393028" w:rsidRPr="00211D55" w:rsidTr="00B31868">
        <w:trPr>
          <w:cantSplit/>
          <w:trHeight w:val="18"/>
        </w:trPr>
        <w:tc>
          <w:tcPr>
            <w:tcW w:w="1864" w:type="dxa"/>
            <w:tcBorders>
              <w:top w:val="nil"/>
              <w:bottom w:val="single" w:sz="4" w:space="0" w:color="auto"/>
              <w:right w:val="nil"/>
            </w:tcBorders>
            <w:tcMar>
              <w:top w:w="110" w:type="dxa"/>
            </w:tcMar>
          </w:tcPr>
          <w:p w:rsidR="00393028" w:rsidRPr="00211D55" w:rsidRDefault="0039302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عدد حالات التصديق على/الانضمام إلى معاهدة سنغافورة</w:t>
            </w:r>
          </w:p>
        </w:tc>
        <w:tc>
          <w:tcPr>
            <w:tcW w:w="1989" w:type="dxa"/>
            <w:tcBorders>
              <w:top w:val="nil"/>
              <w:left w:val="nil"/>
              <w:bottom w:val="single" w:sz="4" w:space="0" w:color="auto"/>
              <w:right w:val="nil"/>
            </w:tcBorders>
            <w:shd w:val="clear" w:color="auto" w:fill="auto"/>
            <w:tcMar>
              <w:top w:w="110" w:type="dxa"/>
            </w:tcMar>
          </w:tcPr>
          <w:p w:rsidR="00393028" w:rsidRPr="00211D55" w:rsidRDefault="00393028" w:rsidP="00086C3F">
            <w:pPr>
              <w:bidi/>
              <w:spacing w:before="60" w:after="60" w:line="280" w:lineRule="exact"/>
              <w:ind w:right="34"/>
              <w:rPr>
                <w:rFonts w:ascii="Arabic Typesetting" w:hAnsi="Arabic Typesetting" w:cs="Arabic Typesetting"/>
                <w:b/>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31 طرفا متعاقدا (نهاية 2013)</w:t>
            </w:r>
          </w:p>
          <w:p w:rsidR="00393028" w:rsidRPr="00211D55" w:rsidRDefault="00393028" w:rsidP="00086C3F">
            <w:pPr>
              <w:bidi/>
              <w:spacing w:before="60" w:after="60" w:line="280" w:lineRule="exact"/>
              <w:ind w:right="34"/>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29 طرفا متعاقدا (نهاية 2012)</w:t>
            </w:r>
          </w:p>
        </w:tc>
        <w:tc>
          <w:tcPr>
            <w:tcW w:w="1861" w:type="dxa"/>
            <w:tcBorders>
              <w:top w:val="nil"/>
              <w:left w:val="nil"/>
              <w:bottom w:val="single" w:sz="4" w:space="0" w:color="auto"/>
              <w:right w:val="nil"/>
            </w:tcBorders>
          </w:tcPr>
          <w:p w:rsidR="00393028" w:rsidRPr="00211D55" w:rsidRDefault="0039302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ثمان حالات تصديق/ انضمام جديدة</w:t>
            </w:r>
          </w:p>
        </w:tc>
        <w:tc>
          <w:tcPr>
            <w:tcW w:w="2542" w:type="dxa"/>
            <w:tcBorders>
              <w:top w:val="nil"/>
              <w:left w:val="nil"/>
              <w:bottom w:val="single" w:sz="4" w:space="0" w:color="auto"/>
              <w:right w:val="nil"/>
            </w:tcBorders>
            <w:tcMar>
              <w:top w:w="110" w:type="dxa"/>
            </w:tcMar>
          </w:tcPr>
          <w:p w:rsidR="00393028" w:rsidRPr="00211D55" w:rsidRDefault="0039302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sz w:val="28"/>
                <w:szCs w:val="28"/>
                <w:rtl/>
                <w:lang w:bidi="ar-EG"/>
              </w:rPr>
              <w:t xml:space="preserve">سبع أطراف متعاقدة جديدة </w:t>
            </w:r>
            <w:r w:rsidR="00113649" w:rsidRPr="00211D55">
              <w:rPr>
                <w:rFonts w:ascii="Arabic Typesetting" w:hAnsi="Arabic Typesetting" w:cs="Arabic Typesetting"/>
                <w:b/>
                <w:sz w:val="28"/>
                <w:szCs w:val="28"/>
                <w:rtl/>
                <w:lang w:bidi="ar-EG"/>
              </w:rPr>
              <w:t>خلال الثنائية</w:t>
            </w:r>
            <w:r w:rsidRPr="00211D55">
              <w:rPr>
                <w:rFonts w:ascii="Arabic Typesetting" w:hAnsi="Arabic Typesetting" w:cs="Arabic Typesetting"/>
                <w:b/>
                <w:sz w:val="28"/>
                <w:szCs w:val="28"/>
                <w:rtl/>
                <w:lang w:bidi="ar-EG"/>
              </w:rPr>
              <w:t xml:space="preserve">: </w:t>
            </w:r>
            <w:r w:rsidRPr="00211D55">
              <w:rPr>
                <w:rFonts w:ascii="Arabic Typesetting" w:hAnsi="Arabic Typesetting" w:cs="Arabic Typesetting"/>
                <w:b/>
                <w:sz w:val="28"/>
                <w:szCs w:val="28"/>
                <w:rtl/>
              </w:rPr>
              <w:t xml:space="preserve">بيلاروس وبلجيكا ومنظمة </w:t>
            </w:r>
            <w:proofErr w:type="spellStart"/>
            <w:r w:rsidRPr="00211D55">
              <w:rPr>
                <w:rFonts w:ascii="Arabic Typesetting" w:hAnsi="Arabic Typesetting" w:cs="Arabic Typesetting"/>
                <w:b/>
                <w:sz w:val="28"/>
                <w:szCs w:val="28"/>
                <w:rtl/>
              </w:rPr>
              <w:t>بنيلوكس</w:t>
            </w:r>
            <w:proofErr w:type="spellEnd"/>
            <w:r w:rsidRPr="00211D55">
              <w:rPr>
                <w:rFonts w:ascii="Arabic Typesetting" w:hAnsi="Arabic Typesetting" w:cs="Arabic Typesetting"/>
                <w:b/>
                <w:sz w:val="28"/>
                <w:szCs w:val="28"/>
                <w:rtl/>
              </w:rPr>
              <w:t xml:space="preserve"> للملكية الفكرية والعراق ولكسمبرغ وهولندا وطاجيكستان</w:t>
            </w:r>
            <w:r w:rsidRPr="00211D55">
              <w:rPr>
                <w:rFonts w:ascii="Arabic Typesetting" w:hAnsi="Arabic Typesetting" w:cs="Arabic Typesetting"/>
                <w:b/>
                <w:sz w:val="28"/>
                <w:szCs w:val="28"/>
                <w:rtl/>
                <w:lang w:bidi="ar-EG"/>
              </w:rPr>
              <w:t xml:space="preserve">. ليصل بذلك العدد الإجمالي للأطراف المتعاقدة إلى 38 في نهاية </w:t>
            </w:r>
            <w:r w:rsidR="00113649" w:rsidRPr="00211D55">
              <w:rPr>
                <w:rFonts w:ascii="Arabic Typesetting" w:hAnsi="Arabic Typesetting" w:cs="Arabic Typesetting"/>
                <w:b/>
                <w:sz w:val="28"/>
                <w:szCs w:val="28"/>
                <w:rtl/>
                <w:lang w:bidi="ar-EG"/>
              </w:rPr>
              <w:t>عام 2015</w:t>
            </w:r>
            <w:r w:rsidRPr="00211D55">
              <w:rPr>
                <w:rFonts w:ascii="Arabic Typesetting" w:hAnsi="Arabic Typesetting" w:cs="Arabic Typesetting"/>
                <w:b/>
                <w:sz w:val="28"/>
                <w:szCs w:val="28"/>
                <w:rtl/>
                <w:lang w:bidi="ar-EG"/>
              </w:rPr>
              <w:t>.</w:t>
            </w:r>
          </w:p>
        </w:tc>
        <w:tc>
          <w:tcPr>
            <w:tcW w:w="829" w:type="dxa"/>
            <w:tcBorders>
              <w:top w:val="nil"/>
              <w:left w:val="nil"/>
              <w:bottom w:val="single" w:sz="4" w:space="0" w:color="auto"/>
            </w:tcBorders>
            <w:tcMar>
              <w:top w:w="110" w:type="dxa"/>
            </w:tcMar>
          </w:tcPr>
          <w:p w:rsidR="00393028" w:rsidRPr="00211D55" w:rsidRDefault="00C2163F" w:rsidP="00086C3F">
            <w:pPr>
              <w:keepNext/>
              <w:bidi/>
              <w:spacing w:before="60" w:after="6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393028" w:rsidRPr="00211D55" w:rsidTr="00B31868">
        <w:trPr>
          <w:cantSplit/>
          <w:trHeight w:val="537"/>
        </w:trPr>
        <w:tc>
          <w:tcPr>
            <w:tcW w:w="9085" w:type="dxa"/>
            <w:gridSpan w:val="5"/>
            <w:tcBorders>
              <w:bottom w:val="single" w:sz="4" w:space="0" w:color="auto"/>
            </w:tcBorders>
            <w:shd w:val="clear" w:color="auto" w:fill="C6D9F1"/>
          </w:tcPr>
          <w:p w:rsidR="00393028" w:rsidRPr="00211D55" w:rsidRDefault="00393028" w:rsidP="009E62B8">
            <w:pPr>
              <w:keepNext/>
              <w:bidi/>
              <w:spacing w:after="60" w:line="280" w:lineRule="exact"/>
              <w:ind w:left="1167" w:hanging="1167"/>
              <w:rPr>
                <w:rFonts w:ascii="Arabic Typesetting" w:hAnsi="Arabic Typesetting" w:cs="Arabic Typesetting"/>
                <w:sz w:val="28"/>
                <w:szCs w:val="28"/>
                <w:lang w:bidi="ar-EG"/>
              </w:rPr>
            </w:pPr>
            <w:r w:rsidRPr="00211D55">
              <w:rPr>
                <w:rFonts w:ascii="Arabic Typesetting" w:hAnsi="Arabic Typesetting" w:cs="Arabic Typesetting"/>
                <w:bCs/>
                <w:sz w:val="28"/>
                <w:szCs w:val="28"/>
                <w:rtl/>
                <w:lang w:bidi="ar-EG"/>
              </w:rPr>
              <w:lastRenderedPageBreak/>
              <w:t xml:space="preserve">النتيجة </w:t>
            </w:r>
            <w:r w:rsidRPr="00211D55">
              <w:rPr>
                <w:rFonts w:ascii="Arabic Typesetting" w:hAnsi="Arabic Typesetting" w:cs="Arabic Typesetting"/>
                <w:bCs/>
                <w:sz w:val="28"/>
                <w:szCs w:val="28"/>
                <w:shd w:val="clear" w:color="auto" w:fill="C6D9F1"/>
                <w:rtl/>
                <w:lang w:bidi="ar-EG"/>
              </w:rPr>
              <w:t xml:space="preserve">المرتقبة: </w:t>
            </w:r>
            <w:r w:rsidR="006E7FC6" w:rsidRPr="00211D55">
              <w:rPr>
                <w:rFonts w:ascii="Arabic Typesetting" w:hAnsi="Arabic Typesetting" w:cs="Arabic Typesetting"/>
                <w:b/>
                <w:sz w:val="28"/>
                <w:szCs w:val="28"/>
                <w:shd w:val="clear" w:color="auto" w:fill="C6D9F1"/>
                <w:rtl/>
                <w:lang w:bidi="ar-EG"/>
              </w:rPr>
              <w:tab/>
            </w:r>
            <w:r w:rsidR="000432CA">
              <w:rPr>
                <w:rFonts w:ascii="Arabic Typesetting" w:hAnsi="Arabic Typesetting" w:cs="Arabic Typesetting"/>
                <w:b/>
                <w:sz w:val="28"/>
                <w:szCs w:val="28"/>
                <w:shd w:val="clear" w:color="auto" w:fill="C6D9F1"/>
                <w:rtl/>
                <w:lang w:bidi="ar-EG"/>
              </w:rPr>
              <w:t>ه2.1 أطر تشريعية وتنظيمية وسياسية مناسبة ومتوازنة للملكية الفكرية</w:t>
            </w:r>
          </w:p>
        </w:tc>
      </w:tr>
      <w:tr w:rsidR="00393028" w:rsidRPr="00211D55" w:rsidTr="00507D3B">
        <w:trPr>
          <w:cantSplit/>
          <w:trHeight w:val="186"/>
        </w:trPr>
        <w:tc>
          <w:tcPr>
            <w:tcW w:w="1864" w:type="dxa"/>
            <w:tcBorders>
              <w:bottom w:val="nil"/>
              <w:right w:val="nil"/>
            </w:tcBorders>
            <w:tcMar>
              <w:top w:w="110" w:type="dxa"/>
            </w:tcMar>
          </w:tcPr>
          <w:p w:rsidR="00393028" w:rsidRPr="00211D55" w:rsidRDefault="0039302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1989" w:type="dxa"/>
            <w:tcBorders>
              <w:left w:val="nil"/>
              <w:bottom w:val="nil"/>
              <w:right w:val="nil"/>
            </w:tcBorders>
            <w:shd w:val="clear" w:color="auto" w:fill="auto"/>
            <w:tcMar>
              <w:top w:w="110" w:type="dxa"/>
            </w:tcMar>
            <w:vAlign w:val="center"/>
          </w:tcPr>
          <w:p w:rsidR="00393028" w:rsidRPr="00211D55" w:rsidRDefault="0039302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أسس المقارنة</w:t>
            </w:r>
          </w:p>
        </w:tc>
        <w:tc>
          <w:tcPr>
            <w:tcW w:w="1861" w:type="dxa"/>
            <w:tcBorders>
              <w:left w:val="nil"/>
              <w:bottom w:val="nil"/>
              <w:right w:val="nil"/>
            </w:tcBorders>
          </w:tcPr>
          <w:p w:rsidR="00393028" w:rsidRPr="00211D55" w:rsidRDefault="00393028" w:rsidP="00086C3F">
            <w:pPr>
              <w:keepNext/>
              <w:bidi/>
              <w:spacing w:before="60" w:after="60" w:line="280" w:lineRule="exact"/>
              <w:ind w:right="317"/>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الأهداف</w:t>
            </w:r>
          </w:p>
        </w:tc>
        <w:tc>
          <w:tcPr>
            <w:tcW w:w="2542" w:type="dxa"/>
            <w:tcBorders>
              <w:left w:val="nil"/>
              <w:bottom w:val="nil"/>
              <w:right w:val="nil"/>
            </w:tcBorders>
            <w:tcMar>
              <w:top w:w="110" w:type="dxa"/>
            </w:tcMar>
          </w:tcPr>
          <w:p w:rsidR="00393028" w:rsidRPr="00211D55" w:rsidRDefault="00393028" w:rsidP="00086C3F">
            <w:pPr>
              <w:keepNext/>
              <w:bidi/>
              <w:spacing w:before="60" w:after="60" w:line="280" w:lineRule="exact"/>
              <w:ind w:right="303"/>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829" w:type="dxa"/>
            <w:tcBorders>
              <w:left w:val="nil"/>
              <w:bottom w:val="nil"/>
            </w:tcBorders>
            <w:tcMar>
              <w:top w:w="110" w:type="dxa"/>
            </w:tcMar>
          </w:tcPr>
          <w:p w:rsidR="00393028" w:rsidRPr="00211D55" w:rsidRDefault="0039302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393028" w:rsidRPr="00211D55" w:rsidTr="00507D3B">
        <w:trPr>
          <w:cantSplit/>
          <w:trHeight w:val="18"/>
        </w:trPr>
        <w:tc>
          <w:tcPr>
            <w:tcW w:w="1864" w:type="dxa"/>
            <w:tcBorders>
              <w:top w:val="nil"/>
              <w:bottom w:val="single" w:sz="4" w:space="0" w:color="auto"/>
              <w:right w:val="nil"/>
            </w:tcBorders>
            <w:tcMar>
              <w:top w:w="110" w:type="dxa"/>
            </w:tcMar>
          </w:tcPr>
          <w:p w:rsidR="00393028" w:rsidRPr="00211D55" w:rsidRDefault="0039302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عدد الدول الأعضاء/المنظمات الإقليمية التي قدمت تعليقات إيجابية على المشورة التشريعية المقدمة في مجال العلامات التجارية والتصاميم الصناعية والبيانات الجغرافية، والنسبة المئوية لهذه الدول والمنظمات</w:t>
            </w:r>
          </w:p>
        </w:tc>
        <w:tc>
          <w:tcPr>
            <w:tcW w:w="1989" w:type="dxa"/>
            <w:tcBorders>
              <w:top w:val="nil"/>
              <w:left w:val="nil"/>
              <w:bottom w:val="single" w:sz="4" w:space="0" w:color="auto"/>
              <w:right w:val="nil"/>
            </w:tcBorders>
            <w:shd w:val="clear" w:color="auto" w:fill="auto"/>
            <w:tcMar>
              <w:top w:w="110" w:type="dxa"/>
            </w:tcMar>
            <w:vAlign w:val="center"/>
          </w:tcPr>
          <w:p w:rsidR="00393028" w:rsidRPr="00211D55" w:rsidRDefault="00393028" w:rsidP="00086C3F">
            <w:pPr>
              <w:bidi/>
              <w:spacing w:before="60" w:after="60" w:line="280" w:lineRule="exact"/>
              <w:ind w:right="34"/>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p>
          <w:p w:rsidR="00393028" w:rsidRPr="00211D55" w:rsidRDefault="00393028" w:rsidP="00086C3F">
            <w:pPr>
              <w:bidi/>
              <w:spacing w:before="60" w:after="60" w:line="280" w:lineRule="exact"/>
              <w:ind w:right="34"/>
              <w:rPr>
                <w:rFonts w:ascii="Arabic Typesetting" w:hAnsi="Arabic Typesetting" w:cs="Arabic Typesetting"/>
                <w:b/>
                <w:color w:val="002060"/>
                <w:sz w:val="28"/>
                <w:szCs w:val="28"/>
                <w:rtl/>
                <w:lang w:bidi="ar-EG"/>
              </w:rPr>
            </w:pPr>
            <w:r w:rsidRPr="00211D55">
              <w:rPr>
                <w:rFonts w:ascii="Arabic Typesetting" w:hAnsi="Arabic Typesetting" w:cs="Arabic Typesetting"/>
                <w:b/>
                <w:color w:val="002060"/>
                <w:sz w:val="28"/>
                <w:szCs w:val="28"/>
                <w:rtl/>
                <w:lang w:bidi="ar-EG"/>
              </w:rPr>
              <w:t>2013: قُدمت مشورة إلى 13 دولة عضوا بشأن 18 وحدة من مشروعات التشريعات</w:t>
            </w:r>
          </w:p>
          <w:p w:rsidR="00113649" w:rsidRPr="00211D55" w:rsidRDefault="00FC3B9C" w:rsidP="00086C3F">
            <w:pPr>
              <w:bidi/>
              <w:spacing w:before="60" w:after="60" w:line="280" w:lineRule="exact"/>
              <w:ind w:right="34"/>
              <w:rPr>
                <w:rFonts w:ascii="Arabic Typesetting" w:hAnsi="Arabic Typesetting" w:cs="Arabic Typesetting"/>
                <w:b/>
                <w:color w:val="002060"/>
                <w:sz w:val="28"/>
                <w:szCs w:val="28"/>
                <w:rtl/>
                <w:lang w:bidi="ar-EG"/>
              </w:rPr>
            </w:pPr>
            <w:r>
              <w:rPr>
                <w:rFonts w:ascii="Arabic Typesetting" w:hAnsi="Arabic Typesetting" w:cs="Arabic Typesetting" w:hint="cs"/>
                <w:b/>
                <w:color w:val="002060"/>
                <w:sz w:val="28"/>
                <w:szCs w:val="28"/>
                <w:rtl/>
                <w:lang w:bidi="ar-EG"/>
              </w:rPr>
              <w:t>تلقي</w:t>
            </w:r>
            <w:r w:rsidR="00113649" w:rsidRPr="00211D55">
              <w:rPr>
                <w:rFonts w:ascii="Arabic Typesetting" w:hAnsi="Arabic Typesetting" w:cs="Arabic Typesetting"/>
                <w:b/>
                <w:color w:val="002060"/>
                <w:sz w:val="28"/>
                <w:szCs w:val="28"/>
                <w:rtl/>
                <w:lang w:bidi="ar-EG"/>
              </w:rPr>
              <w:t xml:space="preserve"> تعليقات إيجابية من 9 بلدان من أصل 13 بلدا. لم تقدم أربعة بلدان ردودا.</w:t>
            </w:r>
          </w:p>
          <w:p w:rsidR="00393028" w:rsidRPr="00211D55" w:rsidRDefault="0039302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xml:space="preserve">: تلقت 11 دولة عضوا/منظمة إقليمية مشورة تشريعية، منها 3 قدمت تعليقات إيجابية على المشورة التشريعية </w:t>
            </w:r>
            <w:proofErr w:type="spellStart"/>
            <w:r w:rsidRPr="00211D55">
              <w:rPr>
                <w:rFonts w:ascii="Arabic Typesetting" w:hAnsi="Arabic Typesetting" w:cs="Arabic Typesetting"/>
                <w:b/>
                <w:sz w:val="28"/>
                <w:szCs w:val="28"/>
                <w:rtl/>
                <w:lang w:bidi="ar-EG"/>
              </w:rPr>
              <w:t>المتلقاة</w:t>
            </w:r>
            <w:proofErr w:type="spellEnd"/>
            <w:r w:rsidRPr="00211D55">
              <w:rPr>
                <w:rFonts w:ascii="Arabic Typesetting" w:hAnsi="Arabic Typesetting" w:cs="Arabic Typesetting"/>
                <w:b/>
                <w:sz w:val="28"/>
                <w:szCs w:val="28"/>
                <w:rtl/>
                <w:lang w:bidi="ar-EG"/>
              </w:rPr>
              <w:t xml:space="preserve"> في 2012</w:t>
            </w:r>
          </w:p>
        </w:tc>
        <w:tc>
          <w:tcPr>
            <w:tcW w:w="1861" w:type="dxa"/>
            <w:tcBorders>
              <w:top w:val="nil"/>
              <w:left w:val="nil"/>
              <w:bottom w:val="single" w:sz="4" w:space="0" w:color="auto"/>
              <w:right w:val="nil"/>
            </w:tcBorders>
          </w:tcPr>
          <w:p w:rsidR="00393028" w:rsidRPr="00211D55" w:rsidRDefault="0039302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تقديم المشورة التشريعية إلى 10 دول أعضاء/منظمات إقليمية. وأبدت 90% ممّن ردّت على الاستقصاء رضاها عن المشورة المقدمة.</w:t>
            </w:r>
          </w:p>
        </w:tc>
        <w:tc>
          <w:tcPr>
            <w:tcW w:w="2542" w:type="dxa"/>
            <w:tcBorders>
              <w:top w:val="nil"/>
              <w:left w:val="nil"/>
              <w:bottom w:val="single" w:sz="4" w:space="0" w:color="auto"/>
              <w:right w:val="nil"/>
            </w:tcBorders>
            <w:tcMar>
              <w:top w:w="110" w:type="dxa"/>
            </w:tcMar>
          </w:tcPr>
          <w:p w:rsidR="00393028" w:rsidRPr="00211D55" w:rsidRDefault="00393028" w:rsidP="00086C3F">
            <w:pPr>
              <w:keepNext/>
              <w:bidi/>
              <w:spacing w:before="60" w:after="12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تقديم المشورة التشريعية إلى </w:t>
            </w:r>
            <w:r w:rsidR="00113649" w:rsidRPr="00211D55">
              <w:rPr>
                <w:rFonts w:ascii="Arabic Typesetting" w:hAnsi="Arabic Typesetting" w:cs="Arabic Typesetting"/>
                <w:b/>
                <w:sz w:val="28"/>
                <w:szCs w:val="28"/>
                <w:rtl/>
                <w:lang w:bidi="ar-EG"/>
              </w:rPr>
              <w:t xml:space="preserve">31 </w:t>
            </w:r>
            <w:r w:rsidRPr="00211D55">
              <w:rPr>
                <w:rFonts w:ascii="Arabic Typesetting" w:hAnsi="Arabic Typesetting" w:cs="Arabic Typesetting"/>
                <w:b/>
                <w:sz w:val="28"/>
                <w:szCs w:val="28"/>
                <w:rtl/>
                <w:lang w:bidi="ar-EG"/>
              </w:rPr>
              <w:t xml:space="preserve">دولة عضوا/منظمة إقليمية (أفريقيا </w:t>
            </w:r>
            <w:r w:rsidR="00113649" w:rsidRPr="00211D55">
              <w:rPr>
                <w:rFonts w:ascii="Arabic Typesetting" w:hAnsi="Arabic Typesetting" w:cs="Arabic Typesetting"/>
                <w:b/>
                <w:sz w:val="28"/>
                <w:szCs w:val="28"/>
                <w:rtl/>
                <w:lang w:bidi="ar-EG"/>
              </w:rPr>
              <w:t>8</w:t>
            </w:r>
            <w:r w:rsidRPr="00211D55">
              <w:rPr>
                <w:rFonts w:ascii="Arabic Typesetting" w:hAnsi="Arabic Typesetting" w:cs="Arabic Typesetting"/>
                <w:b/>
                <w:sz w:val="28"/>
                <w:szCs w:val="28"/>
                <w:rtl/>
                <w:lang w:bidi="ar-EG"/>
              </w:rPr>
              <w:t xml:space="preserve">؛ البلدان العربية 1؛ آسيا والمحيط الهادئ </w:t>
            </w:r>
            <w:r w:rsidR="00113649" w:rsidRPr="00211D55">
              <w:rPr>
                <w:rFonts w:ascii="Arabic Typesetting" w:hAnsi="Arabic Typesetting" w:cs="Arabic Typesetting"/>
                <w:b/>
                <w:sz w:val="28"/>
                <w:szCs w:val="28"/>
                <w:rtl/>
                <w:lang w:bidi="ar-EG"/>
              </w:rPr>
              <w:t>14</w:t>
            </w:r>
            <w:r w:rsidRPr="00211D55">
              <w:rPr>
                <w:rFonts w:ascii="Arabic Typesetting" w:hAnsi="Arabic Typesetting" w:cs="Arabic Typesetting"/>
                <w:b/>
                <w:sz w:val="28"/>
                <w:szCs w:val="28"/>
                <w:rtl/>
                <w:lang w:bidi="ar-EG"/>
              </w:rPr>
              <w:t>؛ أمريكا اللاتينية والكاريبي </w:t>
            </w:r>
            <w:r w:rsidR="00113649" w:rsidRPr="00211D55">
              <w:rPr>
                <w:rFonts w:ascii="Arabic Typesetting" w:hAnsi="Arabic Typesetting" w:cs="Arabic Typesetting"/>
                <w:b/>
                <w:sz w:val="28"/>
                <w:szCs w:val="28"/>
                <w:rtl/>
                <w:lang w:bidi="ar-EG"/>
              </w:rPr>
              <w:t>6</w:t>
            </w:r>
            <w:r w:rsidRPr="00211D55">
              <w:rPr>
                <w:rFonts w:ascii="Arabic Typesetting" w:hAnsi="Arabic Typesetting" w:cs="Arabic Typesetting"/>
                <w:b/>
                <w:sz w:val="28"/>
                <w:szCs w:val="28"/>
                <w:rtl/>
                <w:lang w:bidi="ar-EG"/>
              </w:rPr>
              <w:t>؛</w:t>
            </w:r>
            <w:r w:rsidR="00113649" w:rsidRPr="00211D55">
              <w:rPr>
                <w:rFonts w:ascii="Arabic Typesetting" w:hAnsi="Arabic Typesetting" w:cs="Arabic Typesetting"/>
                <w:b/>
                <w:sz w:val="28"/>
                <w:szCs w:val="28"/>
                <w:rtl/>
                <w:lang w:bidi="ar-EG"/>
              </w:rPr>
              <w:t xml:space="preserve"> بعض البلدان في أوروبا وآسيا 1</w:t>
            </w:r>
            <w:r w:rsidRPr="00211D55">
              <w:rPr>
                <w:rFonts w:ascii="Arabic Typesetting" w:hAnsi="Arabic Typesetting" w:cs="Arabic Typesetting"/>
                <w:b/>
                <w:sz w:val="28"/>
                <w:szCs w:val="28"/>
                <w:rtl/>
                <w:lang w:bidi="ar-EG"/>
              </w:rPr>
              <w:t>).</w:t>
            </w:r>
          </w:p>
          <w:p w:rsidR="00393028" w:rsidRPr="00211D55" w:rsidRDefault="00393028"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وردّت </w:t>
            </w:r>
            <w:r w:rsidR="00113649" w:rsidRPr="00211D55">
              <w:rPr>
                <w:rFonts w:ascii="Arabic Typesetting" w:hAnsi="Arabic Typesetting" w:cs="Arabic Typesetting"/>
                <w:b/>
                <w:sz w:val="28"/>
                <w:szCs w:val="28"/>
                <w:rtl/>
                <w:lang w:bidi="ar-EG"/>
              </w:rPr>
              <w:t xml:space="preserve">10 </w:t>
            </w:r>
            <w:r w:rsidRPr="00211D55">
              <w:rPr>
                <w:rFonts w:ascii="Arabic Typesetting" w:hAnsi="Arabic Typesetting" w:cs="Arabic Typesetting"/>
                <w:b/>
                <w:sz w:val="28"/>
                <w:szCs w:val="28"/>
                <w:rtl/>
                <w:lang w:bidi="ar-EG"/>
              </w:rPr>
              <w:t>دول أعضاء/منظمات إقليمية على الاستقصاء وأبدت جميعا (100%) رضاها عن المشورة المقدمة.</w:t>
            </w:r>
          </w:p>
        </w:tc>
        <w:tc>
          <w:tcPr>
            <w:tcW w:w="829" w:type="dxa"/>
            <w:tcBorders>
              <w:top w:val="nil"/>
              <w:left w:val="nil"/>
              <w:bottom w:val="single" w:sz="4" w:space="0" w:color="auto"/>
            </w:tcBorders>
            <w:tcMar>
              <w:top w:w="110" w:type="dxa"/>
            </w:tcMar>
          </w:tcPr>
          <w:p w:rsidR="00113649" w:rsidRPr="00211D55" w:rsidRDefault="00113649" w:rsidP="00086C3F">
            <w:pPr>
              <w:keepNext/>
              <w:bidi/>
              <w:spacing w:before="60" w:after="150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p w:rsidR="00393028" w:rsidRPr="00211D55" w:rsidRDefault="00113649" w:rsidP="00086C3F">
            <w:pPr>
              <w:keepNext/>
              <w:bidi/>
              <w:spacing w:before="60" w:after="6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393028" w:rsidRPr="00211D55" w:rsidTr="00647020">
        <w:trPr>
          <w:cantSplit/>
          <w:trHeight w:val="302"/>
        </w:trPr>
        <w:tc>
          <w:tcPr>
            <w:tcW w:w="9085" w:type="dxa"/>
            <w:gridSpan w:val="5"/>
            <w:tcBorders>
              <w:top w:val="single" w:sz="4" w:space="0" w:color="auto"/>
            </w:tcBorders>
            <w:shd w:val="clear" w:color="auto" w:fill="C6D9F1"/>
          </w:tcPr>
          <w:p w:rsidR="00393028" w:rsidRPr="00211D55" w:rsidRDefault="00393028" w:rsidP="009E62B8">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 xml:space="preserve">النتيجة </w:t>
            </w:r>
            <w:r w:rsidRPr="00211D55">
              <w:rPr>
                <w:rFonts w:ascii="Arabic Typesetting" w:hAnsi="Arabic Typesetting" w:cs="Arabic Typesetting"/>
                <w:bCs/>
                <w:sz w:val="28"/>
                <w:szCs w:val="28"/>
                <w:shd w:val="clear" w:color="auto" w:fill="C6D9F1"/>
                <w:rtl/>
                <w:lang w:bidi="ar-EG"/>
              </w:rPr>
              <w:t xml:space="preserve">المرتقبة: </w:t>
            </w:r>
            <w:r w:rsidR="006E7FC6" w:rsidRPr="00211D55">
              <w:rPr>
                <w:rFonts w:ascii="Arabic Typesetting" w:hAnsi="Arabic Typesetting" w:cs="Arabic Typesetting"/>
                <w:b/>
                <w:sz w:val="28"/>
                <w:szCs w:val="28"/>
                <w:shd w:val="clear" w:color="auto" w:fill="C6D9F1"/>
                <w:rtl/>
                <w:lang w:bidi="ar-EG"/>
              </w:rPr>
              <w:tab/>
            </w:r>
            <w:r w:rsidR="000432CA">
              <w:rPr>
                <w:rFonts w:ascii="Arabic Typesetting" w:hAnsi="Arabic Typesetting" w:cs="Arabic Typesetting"/>
                <w:b/>
                <w:sz w:val="28"/>
                <w:szCs w:val="28"/>
                <w:shd w:val="clear" w:color="auto" w:fill="C6D9F1"/>
                <w:rtl/>
                <w:lang w:bidi="ar-EG"/>
              </w:rPr>
              <w:t>ه3.1 حماية متزايدة لشعارات وأسماء المنظمات الحكومية الدولية وشعاراتها</w:t>
            </w:r>
          </w:p>
        </w:tc>
      </w:tr>
      <w:tr w:rsidR="00393028" w:rsidRPr="00211D55" w:rsidTr="00B31868">
        <w:trPr>
          <w:cantSplit/>
          <w:trHeight w:val="148"/>
        </w:trPr>
        <w:tc>
          <w:tcPr>
            <w:tcW w:w="1864" w:type="dxa"/>
            <w:tcBorders>
              <w:bottom w:val="nil"/>
              <w:right w:val="nil"/>
            </w:tcBorders>
            <w:tcMar>
              <w:top w:w="110" w:type="dxa"/>
            </w:tcMar>
          </w:tcPr>
          <w:p w:rsidR="00393028" w:rsidRPr="00211D55" w:rsidRDefault="00393028"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مؤشرات الأداء</w:t>
            </w:r>
          </w:p>
        </w:tc>
        <w:tc>
          <w:tcPr>
            <w:tcW w:w="1989" w:type="dxa"/>
            <w:tcBorders>
              <w:left w:val="nil"/>
              <w:bottom w:val="nil"/>
              <w:right w:val="nil"/>
            </w:tcBorders>
            <w:shd w:val="clear" w:color="auto" w:fill="auto"/>
            <w:tcMar>
              <w:top w:w="110" w:type="dxa"/>
            </w:tcMar>
            <w:vAlign w:val="center"/>
          </w:tcPr>
          <w:p w:rsidR="00393028" w:rsidRPr="00211D55" w:rsidRDefault="00393028" w:rsidP="00086C3F">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أسس المقارنة</w:t>
            </w:r>
          </w:p>
        </w:tc>
        <w:tc>
          <w:tcPr>
            <w:tcW w:w="1861" w:type="dxa"/>
            <w:tcBorders>
              <w:top w:val="nil"/>
              <w:left w:val="nil"/>
              <w:bottom w:val="nil"/>
              <w:right w:val="nil"/>
            </w:tcBorders>
          </w:tcPr>
          <w:p w:rsidR="00393028" w:rsidRPr="00211D55" w:rsidRDefault="00393028" w:rsidP="00086C3F">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الأهداف</w:t>
            </w:r>
          </w:p>
        </w:tc>
        <w:tc>
          <w:tcPr>
            <w:tcW w:w="2542" w:type="dxa"/>
            <w:tcBorders>
              <w:top w:val="nil"/>
              <w:left w:val="nil"/>
              <w:bottom w:val="nil"/>
              <w:right w:val="nil"/>
            </w:tcBorders>
            <w:tcMar>
              <w:top w:w="110" w:type="dxa"/>
            </w:tcMar>
          </w:tcPr>
          <w:p w:rsidR="00393028" w:rsidRPr="00211D55" w:rsidRDefault="00393028"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829" w:type="dxa"/>
            <w:tcBorders>
              <w:left w:val="nil"/>
              <w:bottom w:val="nil"/>
            </w:tcBorders>
            <w:tcMar>
              <w:top w:w="110" w:type="dxa"/>
            </w:tcMar>
          </w:tcPr>
          <w:p w:rsidR="00393028" w:rsidRPr="00211D55" w:rsidRDefault="00393028" w:rsidP="00086C3F">
            <w:pPr>
              <w:keepNext/>
              <w:bidi/>
              <w:spacing w:before="60" w:after="6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Cs/>
                <w:sz w:val="28"/>
                <w:szCs w:val="28"/>
                <w:rtl/>
                <w:lang w:bidi="ar-EG"/>
              </w:rPr>
              <w:t>السير</w:t>
            </w:r>
          </w:p>
        </w:tc>
      </w:tr>
      <w:tr w:rsidR="00393028" w:rsidRPr="00211D55" w:rsidTr="00647020">
        <w:trPr>
          <w:cantSplit/>
          <w:trHeight w:val="148"/>
        </w:trPr>
        <w:tc>
          <w:tcPr>
            <w:tcW w:w="1864" w:type="dxa"/>
            <w:tcBorders>
              <w:top w:val="nil"/>
              <w:bottom w:val="nil"/>
              <w:right w:val="nil"/>
            </w:tcBorders>
            <w:tcMar>
              <w:top w:w="110" w:type="dxa"/>
            </w:tcMar>
          </w:tcPr>
          <w:p w:rsidR="00393028" w:rsidRPr="00211D55" w:rsidRDefault="00393028" w:rsidP="007A7336">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العدد المعالج من طلبات التبليغ بناء على المادة 6 (ثالثا)</w:t>
            </w:r>
          </w:p>
        </w:tc>
        <w:tc>
          <w:tcPr>
            <w:tcW w:w="1989" w:type="dxa"/>
            <w:tcBorders>
              <w:top w:val="nil"/>
              <w:left w:val="nil"/>
              <w:bottom w:val="nil"/>
              <w:right w:val="nil"/>
            </w:tcBorders>
            <w:shd w:val="clear" w:color="auto" w:fill="auto"/>
            <w:tcMar>
              <w:top w:w="110" w:type="dxa"/>
            </w:tcMar>
          </w:tcPr>
          <w:p w:rsidR="00393028" w:rsidRPr="00211D55" w:rsidRDefault="00393028" w:rsidP="00086C3F">
            <w:pPr>
              <w:bidi/>
              <w:spacing w:before="60" w:after="60" w:line="280" w:lineRule="exact"/>
              <w:ind w:right="34"/>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126 طلبا من طلبات النشر معالجا بناء على المادة 6(ثالثا) في نهاية 2013</w:t>
            </w:r>
          </w:p>
          <w:p w:rsidR="00393028" w:rsidRPr="00211D55" w:rsidRDefault="00393028" w:rsidP="007A7336">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xml:space="preserve">: </w:t>
            </w:r>
            <w:r w:rsidR="009A48D1" w:rsidRPr="00211D55">
              <w:rPr>
                <w:rFonts w:ascii="Arabic Typesetting" w:hAnsi="Arabic Typesetting" w:cs="Arabic Typesetting"/>
                <w:b/>
                <w:sz w:val="28"/>
                <w:szCs w:val="28"/>
                <w:rtl/>
                <w:lang w:bidi="ar-EG"/>
              </w:rPr>
              <w:t>70</w:t>
            </w:r>
            <w:r w:rsidRPr="00211D55">
              <w:rPr>
                <w:rFonts w:ascii="Arabic Typesetting" w:hAnsi="Arabic Typesetting" w:cs="Arabic Typesetting"/>
                <w:b/>
                <w:sz w:val="28"/>
                <w:szCs w:val="28"/>
                <w:rtl/>
                <w:lang w:bidi="ar-EG"/>
              </w:rPr>
              <w:t xml:space="preserve"> </w:t>
            </w:r>
            <w:r w:rsidR="009A48D1" w:rsidRPr="00211D55">
              <w:rPr>
                <w:rFonts w:ascii="Arabic Typesetting" w:hAnsi="Arabic Typesetting" w:cs="Arabic Typesetting"/>
                <w:b/>
                <w:sz w:val="28"/>
                <w:szCs w:val="28"/>
                <w:rtl/>
                <w:lang w:bidi="ar-EG"/>
              </w:rPr>
              <w:t>طلبا</w:t>
            </w:r>
            <w:r w:rsidRPr="00F96634">
              <w:rPr>
                <w:rFonts w:ascii="Arabic Typesetting" w:hAnsi="Arabic Typesetting" w:cs="Arabic Typesetting"/>
                <w:b/>
                <w:sz w:val="28"/>
                <w:szCs w:val="28"/>
                <w:vertAlign w:val="superscript"/>
                <w:rtl/>
                <w:lang w:bidi="ar-EG"/>
              </w:rPr>
              <w:footnoteReference w:id="10"/>
            </w:r>
            <w:r w:rsidRPr="00211D55">
              <w:rPr>
                <w:rFonts w:ascii="Arabic Typesetting" w:hAnsi="Arabic Typesetting" w:cs="Arabic Typesetting"/>
                <w:b/>
                <w:sz w:val="28"/>
                <w:szCs w:val="28"/>
                <w:rtl/>
                <w:lang w:bidi="ar-EG"/>
              </w:rPr>
              <w:t xml:space="preserve"> من طلبات التبليغ معالجا بناء على المادة 6 (ثالثا) في 2012</w:t>
            </w:r>
          </w:p>
        </w:tc>
        <w:tc>
          <w:tcPr>
            <w:tcW w:w="1861" w:type="dxa"/>
            <w:tcBorders>
              <w:top w:val="nil"/>
              <w:left w:val="nil"/>
              <w:bottom w:val="nil"/>
              <w:right w:val="nil"/>
            </w:tcBorders>
          </w:tcPr>
          <w:p w:rsidR="00393028" w:rsidRPr="00211D55" w:rsidRDefault="009A48D1" w:rsidP="007A7336">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sz w:val="28"/>
                <w:szCs w:val="28"/>
                <w:rtl/>
                <w:lang w:bidi="ar-EG"/>
              </w:rPr>
              <w:t>140</w:t>
            </w:r>
            <w:r w:rsidR="00393028" w:rsidRPr="00211D55">
              <w:rPr>
                <w:rFonts w:ascii="Arabic Typesetting" w:hAnsi="Arabic Typesetting" w:cs="Arabic Typesetting"/>
                <w:b/>
                <w:sz w:val="28"/>
                <w:szCs w:val="28"/>
                <w:rtl/>
                <w:lang w:bidi="ar-EG"/>
              </w:rPr>
              <w:t xml:space="preserve"> طلبا من طلبات التبليغ معالجا بناء على المادة 6(ثالثا)</w:t>
            </w:r>
          </w:p>
        </w:tc>
        <w:tc>
          <w:tcPr>
            <w:tcW w:w="2542" w:type="dxa"/>
            <w:tcBorders>
              <w:top w:val="nil"/>
              <w:left w:val="nil"/>
              <w:bottom w:val="nil"/>
              <w:right w:val="nil"/>
            </w:tcBorders>
            <w:tcMar>
              <w:top w:w="110" w:type="dxa"/>
            </w:tcMar>
          </w:tcPr>
          <w:p w:rsidR="00393028" w:rsidRPr="00211D55" w:rsidRDefault="00393028" w:rsidP="007A7336">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تلقي ومعالجة </w:t>
            </w:r>
            <w:r w:rsidR="009A48D1" w:rsidRPr="00211D55">
              <w:rPr>
                <w:rFonts w:ascii="Arabic Typesetting" w:hAnsi="Arabic Typesetting" w:cs="Arabic Typesetting"/>
                <w:sz w:val="28"/>
                <w:szCs w:val="28"/>
                <w:rtl/>
                <w:lang w:bidi="ar-EG"/>
              </w:rPr>
              <w:t>109</w:t>
            </w:r>
            <w:r w:rsidR="00514EB8" w:rsidRPr="00211D55">
              <w:rPr>
                <w:rFonts w:ascii="Arabic Typesetting" w:hAnsi="Arabic Typesetting" w:cs="Arabic Typesetting"/>
                <w:sz w:val="28"/>
                <w:szCs w:val="28"/>
                <w:rtl/>
                <w:lang w:bidi="ar-EG"/>
              </w:rPr>
              <w:t xml:space="preserve"> طلبات </w:t>
            </w:r>
            <w:r w:rsidRPr="00211D55">
              <w:rPr>
                <w:rFonts w:ascii="Arabic Typesetting" w:hAnsi="Arabic Typesetting" w:cs="Arabic Typesetting"/>
                <w:sz w:val="28"/>
                <w:szCs w:val="28"/>
                <w:rtl/>
                <w:lang w:bidi="ar-EG"/>
              </w:rPr>
              <w:t xml:space="preserve">تبليغ، نُشر </w:t>
            </w:r>
            <w:r w:rsidR="00514EB8" w:rsidRPr="00211D55">
              <w:rPr>
                <w:rFonts w:ascii="Arabic Typesetting" w:hAnsi="Arabic Typesetting" w:cs="Arabic Typesetting"/>
                <w:sz w:val="28"/>
                <w:szCs w:val="28"/>
                <w:rtl/>
                <w:lang w:bidi="ar-EG"/>
              </w:rPr>
              <w:t xml:space="preserve">41 </w:t>
            </w:r>
            <w:r w:rsidRPr="00211D55">
              <w:rPr>
                <w:rFonts w:ascii="Arabic Typesetting" w:hAnsi="Arabic Typesetting" w:cs="Arabic Typesetting"/>
                <w:sz w:val="28"/>
                <w:szCs w:val="28"/>
                <w:rtl/>
                <w:lang w:bidi="ar-EG"/>
              </w:rPr>
              <w:t>طلبا منها.</w:t>
            </w:r>
          </w:p>
        </w:tc>
        <w:tc>
          <w:tcPr>
            <w:tcW w:w="829" w:type="dxa"/>
            <w:tcBorders>
              <w:top w:val="nil"/>
              <w:left w:val="nil"/>
              <w:bottom w:val="nil"/>
            </w:tcBorders>
            <w:tcMar>
              <w:top w:w="110" w:type="dxa"/>
            </w:tcMar>
          </w:tcPr>
          <w:p w:rsidR="00393028" w:rsidRPr="00211D55" w:rsidRDefault="00514EB8" w:rsidP="007A7336">
            <w:pPr>
              <w:keepNext/>
              <w:bidi/>
              <w:spacing w:before="60" w:after="60" w:line="280" w:lineRule="exact"/>
              <w:rPr>
                <w:rFonts w:ascii="Arabic Typesetting" w:hAnsi="Arabic Typesetting" w:cs="Arabic Typesetting"/>
                <w:b/>
                <w:bCs/>
                <w:color w:val="E26B0A"/>
                <w:sz w:val="28"/>
                <w:szCs w:val="28"/>
                <w:rtl/>
              </w:rPr>
            </w:pPr>
            <w:r w:rsidRPr="00211D55">
              <w:rPr>
                <w:rFonts w:ascii="Arabic Typesetting" w:hAnsi="Arabic Typesetting" w:cs="Arabic Typesetting"/>
                <w:b/>
                <w:bCs/>
                <w:color w:val="E26B0A"/>
                <w:sz w:val="28"/>
                <w:szCs w:val="28"/>
                <w:rtl/>
              </w:rPr>
              <w:t>محقق جزئياً</w:t>
            </w:r>
          </w:p>
        </w:tc>
      </w:tr>
      <w:tr w:rsidR="00514EB8" w:rsidRPr="00211D55" w:rsidTr="00647020">
        <w:trPr>
          <w:cantSplit/>
          <w:trHeight w:val="1865"/>
        </w:trPr>
        <w:tc>
          <w:tcPr>
            <w:tcW w:w="1864" w:type="dxa"/>
            <w:tcBorders>
              <w:top w:val="nil"/>
              <w:right w:val="nil"/>
            </w:tcBorders>
            <w:tcMar>
              <w:top w:w="110" w:type="dxa"/>
            </w:tcMar>
          </w:tcPr>
          <w:p w:rsidR="00514EB8" w:rsidRPr="00647020" w:rsidRDefault="00514EB8" w:rsidP="007A7336">
            <w:pPr>
              <w:bidi/>
              <w:spacing w:before="60" w:after="60" w:line="280" w:lineRule="exact"/>
              <w:rPr>
                <w:rFonts w:ascii="Arabic Typesetting" w:hAnsi="Arabic Typesetting" w:cs="Arabic Typesetting"/>
                <w:b/>
                <w:sz w:val="26"/>
                <w:szCs w:val="26"/>
                <w:rtl/>
                <w:lang w:bidi="ar-EG"/>
              </w:rPr>
            </w:pPr>
            <w:r w:rsidRPr="00647020">
              <w:rPr>
                <w:rFonts w:ascii="Arabic Typesetting" w:hAnsi="Arabic Typesetting" w:cs="Arabic Typesetting"/>
                <w:b/>
                <w:sz w:val="26"/>
                <w:szCs w:val="26"/>
                <w:rtl/>
                <w:lang w:bidi="ar-EG"/>
              </w:rPr>
              <w:t>عدد العلامات المنشورة في قاعدة البيانات الخاصة بالمادة 6 (ثالثا)</w:t>
            </w:r>
          </w:p>
        </w:tc>
        <w:tc>
          <w:tcPr>
            <w:tcW w:w="1989" w:type="dxa"/>
            <w:tcBorders>
              <w:top w:val="nil"/>
              <w:left w:val="nil"/>
              <w:bottom w:val="single" w:sz="4" w:space="0" w:color="auto"/>
              <w:right w:val="nil"/>
            </w:tcBorders>
            <w:shd w:val="clear" w:color="auto" w:fill="auto"/>
            <w:tcMar>
              <w:top w:w="110" w:type="dxa"/>
            </w:tcMar>
          </w:tcPr>
          <w:p w:rsidR="00514EB8" w:rsidRPr="00647020" w:rsidRDefault="00514EB8" w:rsidP="00086C3F">
            <w:pPr>
              <w:keepNext/>
              <w:bidi/>
              <w:spacing w:before="60" w:after="60" w:line="340" w:lineRule="exact"/>
              <w:rPr>
                <w:rFonts w:ascii="Arabic Typesetting" w:hAnsi="Arabic Typesetting" w:cs="Arabic Typesetting"/>
                <w:b/>
                <w:color w:val="002060"/>
                <w:sz w:val="26"/>
                <w:szCs w:val="26"/>
                <w:rtl/>
                <w:lang w:bidi="ar-EG"/>
              </w:rPr>
            </w:pPr>
            <w:r w:rsidRPr="00647020">
              <w:rPr>
                <w:rFonts w:ascii="Arabic Typesetting" w:hAnsi="Arabic Typesetting" w:cs="Arabic Typesetting"/>
                <w:b/>
                <w:i/>
                <w:iCs/>
                <w:color w:val="002060"/>
                <w:sz w:val="26"/>
                <w:szCs w:val="26"/>
                <w:rtl/>
                <w:lang w:bidi="ar-EG"/>
              </w:rPr>
              <w:t>أسس المقارنة المحدّثة في نهاية 2013:</w:t>
            </w:r>
            <w:r w:rsidRPr="00647020">
              <w:rPr>
                <w:rFonts w:ascii="Arabic Typesetting" w:hAnsi="Arabic Typesetting" w:cs="Arabic Typesetting"/>
                <w:b/>
                <w:color w:val="002060"/>
                <w:sz w:val="26"/>
                <w:szCs w:val="26"/>
                <w:rtl/>
                <w:lang w:bidi="ar-EG"/>
              </w:rPr>
              <w:t xml:space="preserve"> 132 علامة منشورة في قاعدة البيانات الخاصة بالمادة 6 (ثالثا) في </w:t>
            </w:r>
            <w:r w:rsidR="00507DE2" w:rsidRPr="00647020">
              <w:rPr>
                <w:rFonts w:ascii="Arabic Typesetting" w:hAnsi="Arabic Typesetting" w:cs="Arabic Typesetting"/>
                <w:b/>
                <w:color w:val="002060"/>
                <w:sz w:val="26"/>
                <w:szCs w:val="26"/>
                <w:rtl/>
                <w:lang w:bidi="ar-EG"/>
              </w:rPr>
              <w:t>2012/13</w:t>
            </w:r>
          </w:p>
          <w:p w:rsidR="00514EB8" w:rsidRPr="00647020" w:rsidRDefault="00514EB8" w:rsidP="007A7336">
            <w:pPr>
              <w:bidi/>
              <w:spacing w:before="60" w:after="60" w:line="280" w:lineRule="exact"/>
              <w:rPr>
                <w:rFonts w:ascii="Arabic Typesetting" w:hAnsi="Arabic Typesetting" w:cs="Arabic Typesetting"/>
                <w:b/>
                <w:sz w:val="26"/>
                <w:szCs w:val="26"/>
                <w:rtl/>
                <w:lang w:bidi="ar-EG"/>
              </w:rPr>
            </w:pPr>
            <w:r w:rsidRPr="00647020">
              <w:rPr>
                <w:rFonts w:ascii="Arabic Typesetting" w:hAnsi="Arabic Typesetting" w:cs="Arabic Typesetting"/>
                <w:b/>
                <w:i/>
                <w:iCs/>
                <w:sz w:val="26"/>
                <w:szCs w:val="26"/>
                <w:rtl/>
                <w:lang w:bidi="ar-EG"/>
              </w:rPr>
              <w:t>أسس المقارنة الأصلية:</w:t>
            </w:r>
            <w:r w:rsidRPr="00647020">
              <w:rPr>
                <w:rFonts w:ascii="Arabic Typesetting" w:hAnsi="Arabic Typesetting" w:cs="Arabic Typesetting"/>
                <w:b/>
                <w:sz w:val="26"/>
                <w:szCs w:val="26"/>
                <w:rtl/>
                <w:lang w:bidi="ar-EG"/>
              </w:rPr>
              <w:t xml:space="preserve"> برنامج وميزانية </w:t>
            </w:r>
            <w:r w:rsidR="00507DE2" w:rsidRPr="00647020">
              <w:rPr>
                <w:rFonts w:ascii="Arabic Typesetting" w:hAnsi="Arabic Typesetting" w:cs="Arabic Typesetting"/>
                <w:b/>
                <w:sz w:val="26"/>
                <w:szCs w:val="26"/>
                <w:rtl/>
                <w:lang w:bidi="ar-EG"/>
              </w:rPr>
              <w:t>2014/15</w:t>
            </w:r>
            <w:r w:rsidRPr="00647020">
              <w:rPr>
                <w:rFonts w:ascii="Arabic Typesetting" w:hAnsi="Arabic Typesetting" w:cs="Arabic Typesetting"/>
                <w:b/>
                <w:sz w:val="26"/>
                <w:szCs w:val="26"/>
                <w:rtl/>
                <w:lang w:bidi="ar-EG"/>
              </w:rPr>
              <w:t>: 75 علامة</w:t>
            </w:r>
            <w:r w:rsidRPr="00F96634">
              <w:rPr>
                <w:rFonts w:ascii="Arabic Typesetting" w:hAnsi="Arabic Typesetting" w:cs="Arabic Typesetting"/>
                <w:b/>
                <w:sz w:val="28"/>
                <w:szCs w:val="28"/>
                <w:vertAlign w:val="superscript"/>
                <w:rtl/>
                <w:lang w:bidi="ar-EG"/>
              </w:rPr>
              <w:footnoteReference w:id="11"/>
            </w:r>
            <w:r w:rsidRPr="00647020">
              <w:rPr>
                <w:rFonts w:ascii="Arabic Typesetting" w:hAnsi="Arabic Typesetting" w:cs="Arabic Typesetting"/>
                <w:b/>
                <w:sz w:val="26"/>
                <w:szCs w:val="26"/>
                <w:rtl/>
                <w:lang w:bidi="ar-EG"/>
              </w:rPr>
              <w:t xml:space="preserve"> منشورة في قاعدة البيانات الخاصة بالمادة 6 (ثالثا) في 2012</w:t>
            </w:r>
          </w:p>
        </w:tc>
        <w:tc>
          <w:tcPr>
            <w:tcW w:w="1861" w:type="dxa"/>
            <w:tcBorders>
              <w:top w:val="nil"/>
              <w:left w:val="nil"/>
              <w:bottom w:val="single" w:sz="4" w:space="0" w:color="auto"/>
              <w:right w:val="nil"/>
            </w:tcBorders>
          </w:tcPr>
          <w:p w:rsidR="00514EB8" w:rsidRPr="00647020" w:rsidRDefault="00514EB8" w:rsidP="007A7336">
            <w:pPr>
              <w:bidi/>
              <w:spacing w:before="60" w:after="60" w:line="280" w:lineRule="exact"/>
              <w:rPr>
                <w:rFonts w:ascii="Arabic Typesetting" w:hAnsi="Arabic Typesetting" w:cs="Arabic Typesetting"/>
                <w:sz w:val="26"/>
                <w:szCs w:val="26"/>
                <w:rtl/>
                <w:lang w:bidi="ar-EG"/>
              </w:rPr>
            </w:pPr>
            <w:r w:rsidRPr="00647020">
              <w:rPr>
                <w:rFonts w:ascii="Arabic Typesetting" w:hAnsi="Arabic Typesetting" w:cs="Arabic Typesetting"/>
                <w:sz w:val="26"/>
                <w:szCs w:val="26"/>
                <w:rtl/>
                <w:lang w:bidi="ar-EG"/>
              </w:rPr>
              <w:t>150 علامة منشورة في قاعدة البيانات الخاصة بالمادة 6 (ثالثا)</w:t>
            </w:r>
            <w:r w:rsidRPr="00F96634">
              <w:rPr>
                <w:rFonts w:ascii="Arabic Typesetting" w:hAnsi="Arabic Typesetting" w:cs="Arabic Typesetting"/>
                <w:b/>
                <w:sz w:val="28"/>
                <w:szCs w:val="28"/>
                <w:vertAlign w:val="superscript"/>
                <w:rtl/>
                <w:lang w:bidi="ar-EG"/>
              </w:rPr>
              <w:footnoteReference w:id="12"/>
            </w:r>
          </w:p>
        </w:tc>
        <w:tc>
          <w:tcPr>
            <w:tcW w:w="2542" w:type="dxa"/>
            <w:tcBorders>
              <w:top w:val="nil"/>
              <w:left w:val="nil"/>
              <w:right w:val="nil"/>
            </w:tcBorders>
            <w:tcMar>
              <w:top w:w="110" w:type="dxa"/>
            </w:tcMar>
          </w:tcPr>
          <w:p w:rsidR="00514EB8" w:rsidRPr="00647020" w:rsidRDefault="00514EB8" w:rsidP="007A7336">
            <w:pPr>
              <w:bidi/>
              <w:spacing w:before="60" w:after="60" w:line="280" w:lineRule="exact"/>
              <w:rPr>
                <w:rFonts w:ascii="Arabic Typesetting" w:hAnsi="Arabic Typesetting" w:cs="Arabic Typesetting"/>
                <w:sz w:val="26"/>
                <w:szCs w:val="26"/>
                <w:rtl/>
                <w:lang w:bidi="ar-EG"/>
              </w:rPr>
            </w:pPr>
            <w:r w:rsidRPr="00647020">
              <w:rPr>
                <w:rFonts w:ascii="Arabic Typesetting" w:hAnsi="Arabic Typesetting" w:cs="Arabic Typesetting"/>
                <w:sz w:val="26"/>
                <w:szCs w:val="26"/>
                <w:rtl/>
                <w:lang w:bidi="ar-EG"/>
              </w:rPr>
              <w:t>149 علامة جديدة منشورة</w:t>
            </w:r>
          </w:p>
          <w:p w:rsidR="00514EB8" w:rsidRPr="00647020" w:rsidRDefault="00514EB8" w:rsidP="007A7336">
            <w:pPr>
              <w:bidi/>
              <w:spacing w:before="60" w:after="60" w:line="280" w:lineRule="exact"/>
              <w:rPr>
                <w:rFonts w:ascii="Arabic Typesetting" w:hAnsi="Arabic Typesetting" w:cs="Arabic Typesetting"/>
                <w:sz w:val="26"/>
                <w:szCs w:val="26"/>
                <w:rtl/>
                <w:lang w:bidi="ar-EG"/>
              </w:rPr>
            </w:pPr>
          </w:p>
          <w:p w:rsidR="00514EB8" w:rsidRPr="00647020" w:rsidRDefault="00514EB8" w:rsidP="007A7336">
            <w:pPr>
              <w:bidi/>
              <w:spacing w:before="60" w:after="60" w:line="280" w:lineRule="exact"/>
              <w:rPr>
                <w:rFonts w:ascii="Arabic Typesetting" w:hAnsi="Arabic Typesetting" w:cs="Arabic Typesetting"/>
                <w:sz w:val="26"/>
                <w:szCs w:val="26"/>
                <w:rtl/>
                <w:lang w:bidi="ar-EG"/>
              </w:rPr>
            </w:pPr>
            <w:r w:rsidRPr="00647020">
              <w:rPr>
                <w:rFonts w:ascii="Arabic Typesetting" w:hAnsi="Arabic Typesetting" w:cs="Arabic Typesetting"/>
                <w:sz w:val="26"/>
                <w:szCs w:val="26"/>
                <w:rtl/>
                <w:lang w:bidi="ar-EG"/>
              </w:rPr>
              <w:t>بلغ العدد الإجمالي للعلامات الواردة في قاعدة البيانات الخاصة بالمادة 6 (ثالثا) 3157 في نهاية عام 2015.</w:t>
            </w:r>
          </w:p>
        </w:tc>
        <w:tc>
          <w:tcPr>
            <w:tcW w:w="829" w:type="dxa"/>
            <w:tcBorders>
              <w:top w:val="nil"/>
              <w:left w:val="nil"/>
            </w:tcBorders>
            <w:tcMar>
              <w:top w:w="110" w:type="dxa"/>
            </w:tcMar>
          </w:tcPr>
          <w:p w:rsidR="00514EB8" w:rsidRPr="00647020" w:rsidRDefault="00514EB8" w:rsidP="00086C3F">
            <w:pPr>
              <w:keepNext/>
              <w:bidi/>
              <w:spacing w:before="60" w:after="1500" w:line="280" w:lineRule="exact"/>
              <w:rPr>
                <w:rFonts w:ascii="Arabic Typesetting" w:hAnsi="Arabic Typesetting" w:cs="Arabic Typesetting"/>
                <w:b/>
                <w:bCs/>
                <w:color w:val="008000"/>
                <w:sz w:val="26"/>
                <w:szCs w:val="26"/>
                <w:rtl/>
                <w:lang w:bidi="ar-EG"/>
              </w:rPr>
            </w:pPr>
            <w:r w:rsidRPr="00647020">
              <w:rPr>
                <w:rFonts w:ascii="Arabic Typesetting" w:hAnsi="Arabic Typesetting" w:cs="Arabic Typesetting"/>
                <w:b/>
                <w:bCs/>
                <w:color w:val="008000"/>
                <w:sz w:val="26"/>
                <w:szCs w:val="26"/>
                <w:rtl/>
                <w:lang w:bidi="ar-EG"/>
              </w:rPr>
              <w:t>محقق كلياً</w:t>
            </w:r>
          </w:p>
        </w:tc>
      </w:tr>
    </w:tbl>
    <w:p w:rsidR="00960B5E"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960B5E" w:rsidRPr="00211D55" w:rsidTr="00BE7DA0">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960B5E" w:rsidRPr="00211D55" w:rsidRDefault="00960B5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960B5E" w:rsidRPr="00211D55" w:rsidRDefault="00960B5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960B5E" w:rsidRPr="00211D55" w:rsidRDefault="00960B5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960B5E"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960B5E" w:rsidRPr="00211D55" w:rsidTr="00BE7DA0">
        <w:trPr>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960B5E" w:rsidRPr="00211D55" w:rsidRDefault="00960B5E"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ما</w:t>
            </w:r>
            <w:r w:rsidR="00514EB8" w:rsidRPr="00211D55">
              <w:rPr>
                <w:rFonts w:ascii="Arabic Typesetting" w:hAnsi="Arabic Typesetting" w:cs="Arabic Typesetting" w:hint="cs"/>
                <w:b/>
                <w:sz w:val="28"/>
                <w:szCs w:val="28"/>
                <w:rtl/>
                <w:lang w:bidi="ar-EG"/>
              </w:rPr>
              <w:t> </w:t>
            </w:r>
            <w:r w:rsidRPr="00211D55">
              <w:rPr>
                <w:rFonts w:ascii="Arabic Typesetting" w:hAnsi="Arabic Typesetting" w:cs="Arabic Typesetting"/>
                <w:b/>
                <w:sz w:val="28"/>
                <w:szCs w:val="28"/>
                <w:rtl/>
                <w:lang w:bidi="ar-EG"/>
              </w:rPr>
              <w:t xml:space="preserve">زال التوصل إلى اتفاقات على المستوى </w:t>
            </w:r>
            <w:r w:rsidR="00514EB8" w:rsidRPr="00211D55">
              <w:rPr>
                <w:rFonts w:ascii="Arabic Typesetting" w:hAnsi="Arabic Typesetting" w:cs="Arabic Typesetting" w:hint="cs"/>
                <w:b/>
                <w:sz w:val="28"/>
                <w:szCs w:val="28"/>
                <w:rtl/>
                <w:lang w:bidi="ar-EG"/>
              </w:rPr>
              <w:t>ال</w:t>
            </w:r>
            <w:r w:rsidRPr="00211D55">
              <w:rPr>
                <w:rFonts w:ascii="Arabic Typesetting" w:hAnsi="Arabic Typesetting" w:cs="Arabic Typesetting"/>
                <w:b/>
                <w:sz w:val="28"/>
                <w:szCs w:val="28"/>
                <w:rtl/>
                <w:lang w:bidi="ar-EG"/>
              </w:rPr>
              <w:t xml:space="preserve">متعدد الأطراف </w:t>
            </w:r>
            <w:r w:rsidR="00514EB8" w:rsidRPr="00211D55">
              <w:rPr>
                <w:rFonts w:ascii="Arabic Typesetting" w:hAnsi="Arabic Typesetting" w:cs="Arabic Typesetting" w:hint="cs"/>
                <w:b/>
                <w:sz w:val="28"/>
                <w:szCs w:val="28"/>
                <w:rtl/>
                <w:lang w:bidi="ar-EG"/>
              </w:rPr>
              <w:t>صعباً</w:t>
            </w:r>
            <w:r w:rsidRPr="00211D55">
              <w:rPr>
                <w:rFonts w:ascii="Arabic Typesetting" w:hAnsi="Arabic Typesetting" w:cs="Arabic Typesetting"/>
                <w:b/>
                <w:sz w:val="28"/>
                <w:szCs w:val="28"/>
                <w:rtl/>
                <w:lang w:bidi="ar-EG"/>
              </w:rPr>
              <w:t xml:space="preserve">، </w:t>
            </w:r>
            <w:r w:rsidR="00514EB8" w:rsidRPr="00211D55">
              <w:rPr>
                <w:rFonts w:ascii="Arabic Typesetting" w:hAnsi="Arabic Typesetting" w:cs="Arabic Typesetting" w:hint="cs"/>
                <w:b/>
                <w:sz w:val="28"/>
                <w:szCs w:val="28"/>
                <w:rtl/>
                <w:lang w:bidi="ar-EG"/>
              </w:rPr>
              <w:t>وسيعتمد</w:t>
            </w:r>
            <w:r w:rsidRPr="00211D55">
              <w:rPr>
                <w:rFonts w:ascii="Arabic Typesetting" w:hAnsi="Arabic Typesetting" w:cs="Arabic Typesetting"/>
                <w:b/>
                <w:sz w:val="28"/>
                <w:szCs w:val="28"/>
                <w:rtl/>
                <w:lang w:bidi="ar-EG"/>
              </w:rPr>
              <w:t xml:space="preserve"> الانتهاء بنجاح من أنشطة وضع القواعد والمعايير في إطار البرنامج 2 </w:t>
            </w:r>
            <w:r w:rsidR="00514EB8" w:rsidRPr="00211D55">
              <w:rPr>
                <w:rFonts w:ascii="Arabic Typesetting" w:hAnsi="Arabic Typesetting" w:cs="Arabic Typesetting" w:hint="cs"/>
                <w:b/>
                <w:sz w:val="28"/>
                <w:szCs w:val="28"/>
                <w:rtl/>
                <w:lang w:bidi="ar-EG"/>
              </w:rPr>
              <w:t>اعتماداً كبيراً</w:t>
            </w:r>
            <w:r w:rsidRPr="00211D55">
              <w:rPr>
                <w:rFonts w:ascii="Arabic Typesetting" w:hAnsi="Arabic Typesetting" w:cs="Arabic Typesetting"/>
                <w:b/>
                <w:sz w:val="28"/>
                <w:szCs w:val="28"/>
                <w:rtl/>
                <w:lang w:bidi="ar-EG"/>
              </w:rPr>
              <w:t xml:space="preserve"> على التزام الدول الأعضاء بتحديد النتائج المتفق عليها فيما بينها.</w:t>
            </w:r>
          </w:p>
        </w:tc>
        <w:tc>
          <w:tcPr>
            <w:tcW w:w="2200" w:type="dxa"/>
            <w:tcBorders>
              <w:top w:val="single" w:sz="4" w:space="0" w:color="auto"/>
              <w:bottom w:val="single" w:sz="4" w:space="0" w:color="auto"/>
            </w:tcBorders>
            <w:shd w:val="clear" w:color="auto" w:fill="auto"/>
            <w:tcMar>
              <w:top w:w="113" w:type="dxa"/>
              <w:bottom w:w="113" w:type="dxa"/>
            </w:tcMar>
          </w:tcPr>
          <w:p w:rsidR="00960B5E" w:rsidRPr="00211D55" w:rsidRDefault="00960B5E" w:rsidP="007A7336">
            <w:pPr>
              <w:bidi/>
              <w:spacing w:line="280" w:lineRule="exact"/>
              <w:rPr>
                <w:rFonts w:ascii="Arabic Typesetting" w:hAnsi="Arabic Typesetting" w:cs="Arabic Typesetting"/>
                <w:sz w:val="28"/>
                <w:szCs w:val="28"/>
              </w:rPr>
            </w:pPr>
            <w:r w:rsidRPr="00211D55">
              <w:rPr>
                <w:rFonts w:ascii="Arabic Typesetting" w:hAnsi="Arabic Typesetting" w:cs="Arabic Typesetting"/>
                <w:b/>
                <w:sz w:val="28"/>
                <w:szCs w:val="28"/>
                <w:rtl/>
                <w:lang w:bidi="ar-EG"/>
              </w:rPr>
              <w:t>‏</w:t>
            </w:r>
            <w:r w:rsidR="00514EB8" w:rsidRPr="00211D55">
              <w:rPr>
                <w:rFonts w:ascii="Arabic Typesetting" w:hAnsi="Arabic Typesetting" w:cs="Arabic Typesetting" w:hint="cs"/>
                <w:b/>
                <w:sz w:val="28"/>
                <w:szCs w:val="28"/>
                <w:rtl/>
                <w:lang w:bidi="ar-EG"/>
              </w:rPr>
              <w:t>يعدُّ هذا الخطر</w:t>
            </w:r>
            <w:r w:rsidRPr="00211D55">
              <w:rPr>
                <w:rFonts w:ascii="Arabic Typesetting" w:hAnsi="Arabic Typesetting" w:cs="Arabic Typesetting"/>
                <w:b/>
                <w:sz w:val="28"/>
                <w:szCs w:val="28"/>
                <w:rtl/>
                <w:lang w:bidi="ar-EG"/>
              </w:rPr>
              <w:t xml:space="preserve"> </w:t>
            </w:r>
            <w:r w:rsidR="00514EB8" w:rsidRPr="00211D55">
              <w:rPr>
                <w:rFonts w:ascii="Arabic Typesetting" w:hAnsi="Arabic Typesetting" w:cs="Arabic Typesetting"/>
                <w:b/>
                <w:sz w:val="28"/>
                <w:szCs w:val="28"/>
                <w:rtl/>
                <w:lang w:bidi="ar-EG"/>
              </w:rPr>
              <w:t>متأصل</w:t>
            </w:r>
            <w:r w:rsidR="00514EB8" w:rsidRPr="00211D55">
              <w:rPr>
                <w:rFonts w:ascii="Arabic Typesetting" w:hAnsi="Arabic Typesetting" w:cs="Arabic Typesetting" w:hint="cs"/>
                <w:b/>
                <w:sz w:val="28"/>
                <w:szCs w:val="28"/>
                <w:rtl/>
                <w:lang w:bidi="ar-EG"/>
              </w:rPr>
              <w:t>اً</w:t>
            </w:r>
            <w:r w:rsidR="00514EB8" w:rsidRPr="00211D55">
              <w:rPr>
                <w:rFonts w:ascii="Arabic Typesetting" w:hAnsi="Arabic Typesetting" w:cs="Arabic Typesetting"/>
                <w:b/>
                <w:sz w:val="28"/>
                <w:szCs w:val="28"/>
                <w:rtl/>
                <w:lang w:bidi="ar-EG"/>
              </w:rPr>
              <w:t xml:space="preserve"> </w:t>
            </w:r>
            <w:r w:rsidRPr="00211D55">
              <w:rPr>
                <w:rFonts w:ascii="Arabic Typesetting" w:hAnsi="Arabic Typesetting" w:cs="Arabic Typesetting"/>
                <w:b/>
                <w:sz w:val="28"/>
                <w:szCs w:val="28"/>
                <w:rtl/>
                <w:lang w:bidi="ar-EG"/>
              </w:rPr>
              <w:t xml:space="preserve">في كل نشاط لوضع القواعد والمعايير، </w:t>
            </w:r>
            <w:r w:rsidR="00514EB8" w:rsidRPr="00211D55">
              <w:rPr>
                <w:rFonts w:ascii="Arabic Typesetting" w:hAnsi="Arabic Typesetting" w:cs="Arabic Typesetting" w:hint="cs"/>
                <w:b/>
                <w:sz w:val="28"/>
                <w:szCs w:val="28"/>
                <w:rtl/>
                <w:lang w:bidi="ar-EG"/>
              </w:rPr>
              <w:t>ومن ثم يجب مراعاته</w:t>
            </w:r>
            <w:r w:rsidRPr="00211D55">
              <w:rPr>
                <w:rFonts w:ascii="Arabic Typesetting" w:hAnsi="Arabic Typesetting" w:cs="Arabic Typesetting"/>
                <w:b/>
                <w:sz w:val="28"/>
                <w:szCs w:val="28"/>
                <w:rtl/>
                <w:lang w:bidi="ar-EG"/>
              </w:rPr>
              <w:t xml:space="preserve"> في البرنامج. ومع ذلك، فإن أنشطة البرنامج المتخصصة، ولاسيما دورات لجنة العلامات، ستتيح إمكانية الانخراط باستمرار في الحوار وتبادل الآراء بغية تحديد المجالات ذات الفهم المشترك والنتائج المحتملة المتفق عليها.</w:t>
            </w:r>
          </w:p>
        </w:tc>
        <w:tc>
          <w:tcPr>
            <w:tcW w:w="2310" w:type="dxa"/>
            <w:tcBorders>
              <w:top w:val="single" w:sz="4" w:space="0" w:color="auto"/>
              <w:bottom w:val="single" w:sz="4" w:space="0" w:color="auto"/>
            </w:tcBorders>
          </w:tcPr>
          <w:p w:rsidR="00960B5E" w:rsidRPr="00211D55" w:rsidRDefault="00E73BFA" w:rsidP="007A7336">
            <w:pPr>
              <w:bidi/>
              <w:spacing w:line="280" w:lineRule="exact"/>
              <w:rPr>
                <w:rFonts w:ascii="Arabic Typesetting" w:hAnsi="Arabic Typesetting" w:cs="Arabic Typesetting"/>
                <w:b/>
                <w:sz w:val="28"/>
                <w:szCs w:val="28"/>
              </w:rPr>
            </w:pPr>
            <w:r w:rsidRPr="00211D55">
              <w:rPr>
                <w:rFonts w:ascii="Arabic Typesetting" w:hAnsi="Arabic Typesetting" w:cs="Arabic Typesetting" w:hint="cs"/>
                <w:b/>
                <w:sz w:val="28"/>
                <w:szCs w:val="28"/>
                <w:rtl/>
              </w:rPr>
              <w:t>لم يتغير مستوى هذا الخطر كثيراً خلال الفترة المشمولة بالتقرير وينبغي اعتباره ثابتاً. وينطبق الأمر ذاته على خطط الحد من وطأته التي ستظل نفسها خلال الثنائية 2016/2017.</w:t>
            </w:r>
          </w:p>
        </w:tc>
        <w:tc>
          <w:tcPr>
            <w:tcW w:w="2306" w:type="dxa"/>
            <w:tcBorders>
              <w:top w:val="single" w:sz="4" w:space="0" w:color="auto"/>
              <w:bottom w:val="single" w:sz="4" w:space="0" w:color="auto"/>
              <w:right w:val="single" w:sz="4" w:space="0" w:color="auto"/>
            </w:tcBorders>
          </w:tcPr>
          <w:p w:rsidR="00960B5E" w:rsidRPr="00211D55" w:rsidRDefault="00E73BFA"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يجري الحد من وطأة المخاطر المتأصلة في أنشطة وضع القواعد والمعايير في هذا البرنامج عن طريق الحوار وتبادل الآراء في إطار دورات اللجنة الدائمة والجمعية العامة للويبو. وقد أحرز تقدم كبير وبخاصة في الدورة السابعة والأربعين للجمعية العامة للويبو وإن لم يحقق الهدف الرئيسي المرتقب من أنشطة وضع القواعد والمعايير في إطار البرنامج</w:t>
            </w:r>
            <w:r w:rsidR="00514EB8" w:rsidRPr="00211D55">
              <w:rPr>
                <w:rFonts w:ascii="Arabic Typesetting" w:hAnsi="Arabic Typesetting" w:cs="Arabic Typesetting" w:hint="eastAsia"/>
                <w:b/>
                <w:sz w:val="28"/>
                <w:szCs w:val="28"/>
                <w:rtl/>
                <w:lang w:bidi="ar-EG"/>
              </w:rPr>
              <w:t> </w:t>
            </w:r>
            <w:r w:rsidRPr="00211D55">
              <w:rPr>
                <w:rFonts w:ascii="Arabic Typesetting" w:hAnsi="Arabic Typesetting" w:cs="Arabic Typesetting" w:hint="cs"/>
                <w:b/>
                <w:sz w:val="28"/>
                <w:szCs w:val="28"/>
                <w:rtl/>
                <w:lang w:bidi="ar-EG"/>
              </w:rPr>
              <w:t>2 (أي إبرام معاهدة بشأن قانون التصاميم).</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استخدام الموارد</w:t>
      </w:r>
    </w:p>
    <w:p w:rsidR="00393028" w:rsidRPr="00252762" w:rsidRDefault="00774E37" w:rsidP="00252762">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val="en-CA" w:bidi="ar-LB"/>
        </w:rPr>
        <w:t>الميزانية والنفقات الفعلية (بحسب النتائج)</w:t>
      </w:r>
    </w:p>
    <w:p w:rsidR="00E73BFA" w:rsidRPr="008D27D7" w:rsidRDefault="00393028" w:rsidP="00086C3F">
      <w:pPr>
        <w:keepNext/>
        <w:bidi/>
        <w:spacing w:after="120" w:line="340" w:lineRule="exact"/>
        <w:jc w:val="center"/>
        <w:rPr>
          <w:rFonts w:ascii="Arabic Typesetting" w:hAnsi="Arabic Typesetting" w:cs="Arabic Typesetting"/>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E73BFA" w:rsidRPr="00211D55" w:rsidTr="00BE7DA0">
        <w:trPr>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E73BFA" w:rsidRPr="00211D55" w:rsidRDefault="00E73BFA" w:rsidP="00211D55">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E73BFA" w:rsidRPr="00211D55" w:rsidRDefault="00E73BFA" w:rsidP="00211D55">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E73BFA" w:rsidRPr="00211D55" w:rsidRDefault="00E73BFA" w:rsidP="00211D55">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E73BFA" w:rsidRPr="00211D55" w:rsidRDefault="00E73BFA" w:rsidP="00211D55">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E73BFA" w:rsidRPr="00211D55" w:rsidTr="00BE7DA0">
        <w:trPr>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hideMark/>
          </w:tcPr>
          <w:p w:rsidR="00E73BFA" w:rsidRPr="00211D55" w:rsidRDefault="00E73BFA" w:rsidP="003B526C">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ھ1.1</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0432CA" w:rsidP="003B526C">
            <w:pPr>
              <w:keepNext/>
              <w:autoSpaceDE w:val="0"/>
              <w:autoSpaceDN w:val="0"/>
              <w:bidi/>
              <w:adjustRightInd w:val="0"/>
              <w:spacing w:after="60"/>
              <w:jc w:val="both"/>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تعاون معزز بين الدول الأعضاء في تطوير أطر معيارية دولية متوازنة للملكية الفكرية والاتفاق على محاور محدّدة وعلى صكوك دولية بشأنها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E73BFA" w:rsidP="003B526C">
            <w:pPr>
              <w:keepNext/>
              <w:rPr>
                <w:rFonts w:ascii="Arabic Typesetting" w:hAnsi="Arabic Typesetting" w:cs="Arabic Typesetting"/>
                <w:sz w:val="28"/>
                <w:szCs w:val="28"/>
              </w:rPr>
            </w:pPr>
            <w:r w:rsidRPr="00211D55">
              <w:rPr>
                <w:rFonts w:ascii="Arabic Typesetting" w:hAnsi="Arabic Typesetting" w:cs="Arabic Typesetting"/>
                <w:sz w:val="28"/>
                <w:szCs w:val="28"/>
              </w:rPr>
              <w:t>3,808</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E73BFA" w:rsidP="003B526C">
            <w:pPr>
              <w:keepNext/>
              <w:rPr>
                <w:rFonts w:ascii="Arabic Typesetting" w:hAnsi="Arabic Typesetting" w:cs="Arabic Typesetting"/>
                <w:sz w:val="28"/>
                <w:szCs w:val="28"/>
              </w:rPr>
            </w:pPr>
            <w:r w:rsidRPr="00211D55">
              <w:rPr>
                <w:rFonts w:ascii="Arabic Typesetting" w:hAnsi="Arabic Typesetting" w:cs="Arabic Typesetting"/>
                <w:sz w:val="28"/>
                <w:szCs w:val="28"/>
              </w:rPr>
              <w:t>3,229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73BFA" w:rsidRPr="00211D55" w:rsidRDefault="00E73BFA" w:rsidP="003B526C">
            <w:pPr>
              <w:keepNext/>
              <w:rPr>
                <w:rFonts w:ascii="Arabic Typesetting" w:hAnsi="Arabic Typesetting" w:cs="Arabic Typesetting"/>
                <w:sz w:val="28"/>
                <w:szCs w:val="28"/>
              </w:rPr>
            </w:pPr>
            <w:r w:rsidRPr="00211D55">
              <w:rPr>
                <w:rFonts w:ascii="Arabic Typesetting" w:hAnsi="Arabic Typesetting" w:cs="Arabic Typesetting"/>
                <w:sz w:val="28"/>
                <w:szCs w:val="28"/>
              </w:rPr>
              <w:t>3,079</w:t>
            </w:r>
          </w:p>
        </w:tc>
      </w:tr>
      <w:tr w:rsidR="00E73BFA" w:rsidRPr="00211D55" w:rsidTr="00BE7DA0">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hideMark/>
          </w:tcPr>
          <w:p w:rsidR="00E73BFA" w:rsidRPr="00211D55" w:rsidRDefault="00E73BFA" w:rsidP="003B526C">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ھ2.1</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0432CA" w:rsidP="003B526C">
            <w:pPr>
              <w:keepNext/>
              <w:autoSpaceDE w:val="0"/>
              <w:autoSpaceDN w:val="0"/>
              <w:bidi/>
              <w:adjustRightInd w:val="0"/>
              <w:spacing w:after="60"/>
              <w:jc w:val="both"/>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أطر تشريعية وتنظيمية وسياسية مناسبة ومتوازنة للملكية الفكرية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E73BFA" w:rsidP="003B526C">
            <w:pPr>
              <w:keepNext/>
              <w:rPr>
                <w:rFonts w:ascii="Arabic Typesetting" w:hAnsi="Arabic Typesetting" w:cs="Arabic Typesetting"/>
                <w:sz w:val="28"/>
                <w:szCs w:val="28"/>
              </w:rPr>
            </w:pPr>
            <w:r w:rsidRPr="00211D55">
              <w:rPr>
                <w:rFonts w:ascii="Arabic Typesetting" w:hAnsi="Arabic Typesetting" w:cs="Arabic Typesetting"/>
                <w:sz w:val="28"/>
                <w:szCs w:val="28"/>
              </w:rPr>
              <w:t>1,429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E73BFA" w:rsidP="003B526C">
            <w:pPr>
              <w:keepNext/>
              <w:rPr>
                <w:rFonts w:ascii="Arabic Typesetting" w:hAnsi="Arabic Typesetting" w:cs="Arabic Typesetting"/>
                <w:sz w:val="28"/>
                <w:szCs w:val="28"/>
              </w:rPr>
            </w:pPr>
            <w:r w:rsidRPr="00211D55">
              <w:rPr>
                <w:rFonts w:ascii="Arabic Typesetting" w:hAnsi="Arabic Typesetting" w:cs="Arabic Typesetting"/>
                <w:sz w:val="28"/>
                <w:szCs w:val="28"/>
              </w:rPr>
              <w:t>1,051</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73BFA" w:rsidRPr="00211D55" w:rsidRDefault="00E73BFA" w:rsidP="003B526C">
            <w:pPr>
              <w:keepNext/>
              <w:rPr>
                <w:rFonts w:ascii="Arabic Typesetting" w:hAnsi="Arabic Typesetting" w:cs="Arabic Typesetting"/>
                <w:sz w:val="28"/>
                <w:szCs w:val="28"/>
              </w:rPr>
            </w:pPr>
            <w:r w:rsidRPr="00211D55">
              <w:rPr>
                <w:rFonts w:ascii="Arabic Typesetting" w:hAnsi="Arabic Typesetting" w:cs="Arabic Typesetting"/>
                <w:sz w:val="28"/>
                <w:szCs w:val="28"/>
              </w:rPr>
              <w:t>1,012</w:t>
            </w:r>
          </w:p>
        </w:tc>
      </w:tr>
      <w:tr w:rsidR="00E73BFA" w:rsidRPr="00211D55" w:rsidTr="00BE7DA0">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73BFA" w:rsidRPr="00211D55" w:rsidRDefault="00E73BFA" w:rsidP="00086C3F">
            <w:pPr>
              <w:bidi/>
              <w:rPr>
                <w:rFonts w:ascii="Arabic Typesetting" w:hAnsi="Arabic Typesetting" w:cs="Arabic Typesetting"/>
                <w:sz w:val="28"/>
                <w:szCs w:val="28"/>
                <w:rtl/>
              </w:rPr>
            </w:pPr>
            <w:r w:rsidRPr="00211D55">
              <w:rPr>
                <w:rFonts w:ascii="Arabic Typesetting" w:hAnsi="Arabic Typesetting" w:cs="Arabic Typesetting"/>
                <w:sz w:val="28"/>
                <w:szCs w:val="28"/>
                <w:rtl/>
              </w:rPr>
              <w:t>ھ3.1</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0432CA" w:rsidP="00086C3F">
            <w:pPr>
              <w:autoSpaceDE w:val="0"/>
              <w:autoSpaceDN w:val="0"/>
              <w:bidi/>
              <w:adjustRightInd w:val="0"/>
              <w:spacing w:after="60"/>
              <w:jc w:val="both"/>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حماية متزايدة لشعارات وأسماء المنظمات الحكومية الدولية وشعاراتها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E73BFA" w:rsidP="00086C3F">
            <w:pPr>
              <w:rPr>
                <w:rFonts w:ascii="Arabic Typesetting" w:hAnsi="Arabic Typesetting" w:cs="Arabic Typesetting"/>
                <w:sz w:val="28"/>
                <w:szCs w:val="28"/>
              </w:rPr>
            </w:pPr>
            <w:r w:rsidRPr="00211D55">
              <w:rPr>
                <w:rFonts w:ascii="Arabic Typesetting" w:hAnsi="Arabic Typesetting" w:cs="Arabic Typesetting"/>
                <w:sz w:val="28"/>
                <w:szCs w:val="28"/>
              </w:rPr>
              <w:t>439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E73BFA" w:rsidP="00086C3F">
            <w:pPr>
              <w:rPr>
                <w:rFonts w:ascii="Arabic Typesetting" w:hAnsi="Arabic Typesetting" w:cs="Arabic Typesetting"/>
                <w:sz w:val="28"/>
                <w:szCs w:val="28"/>
              </w:rPr>
            </w:pPr>
            <w:r w:rsidRPr="00211D55">
              <w:rPr>
                <w:rFonts w:ascii="Arabic Typesetting" w:hAnsi="Arabic Typesetting" w:cs="Arabic Typesetting"/>
                <w:sz w:val="28"/>
                <w:szCs w:val="28"/>
              </w:rPr>
              <w:t>763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73BFA" w:rsidRPr="00211D55" w:rsidRDefault="00E73BFA" w:rsidP="00086C3F">
            <w:pPr>
              <w:rPr>
                <w:rFonts w:ascii="Arabic Typesetting" w:hAnsi="Arabic Typesetting" w:cs="Arabic Typesetting"/>
                <w:sz w:val="28"/>
                <w:szCs w:val="28"/>
              </w:rPr>
            </w:pPr>
            <w:r w:rsidRPr="00211D55">
              <w:rPr>
                <w:rFonts w:ascii="Arabic Typesetting" w:hAnsi="Arabic Typesetting" w:cs="Arabic Typesetting"/>
                <w:sz w:val="28"/>
                <w:szCs w:val="28"/>
              </w:rPr>
              <w:t>750</w:t>
            </w:r>
          </w:p>
        </w:tc>
      </w:tr>
      <w:tr w:rsidR="00E73BFA" w:rsidRPr="00211D55" w:rsidTr="00BE7DA0">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73BFA" w:rsidRPr="00211D55" w:rsidRDefault="00E73BFA" w:rsidP="00086C3F">
            <w:pPr>
              <w:bidi/>
              <w:rPr>
                <w:rFonts w:ascii="Arabic Typesetting" w:hAnsi="Arabic Typesetting" w:cs="Arabic Typesetting"/>
                <w:sz w:val="28"/>
                <w:szCs w:val="28"/>
                <w:rtl/>
              </w:rPr>
            </w:pPr>
            <w:r w:rsidRPr="00211D55">
              <w:rPr>
                <w:rFonts w:ascii="Arabic Typesetting" w:hAnsi="Arabic Typesetting" w:cs="Arabic Typesetting"/>
                <w:sz w:val="28"/>
                <w:szCs w:val="28"/>
                <w:rtl/>
              </w:rPr>
              <w:t>ھ4.3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0432CA" w:rsidP="00086C3F">
            <w:pPr>
              <w:autoSpaceDE w:val="0"/>
              <w:autoSpaceDN w:val="0"/>
              <w:bidi/>
              <w:adjustRightInd w:val="0"/>
              <w:spacing w:after="60"/>
              <w:jc w:val="both"/>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آليات وبرامج تعاونية معزّزة ومكيّفة حسب احتياجات البلدان النامية والبلدان الأقل نموا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E73BFA" w:rsidP="00086C3F">
            <w:pPr>
              <w:rPr>
                <w:rFonts w:ascii="Arabic Typesetting" w:hAnsi="Arabic Typesetting" w:cs="Arabic Typesetting"/>
                <w:sz w:val="28"/>
                <w:szCs w:val="28"/>
              </w:rPr>
            </w:pPr>
            <w:r w:rsidRPr="00211D55">
              <w:rPr>
                <w:rFonts w:ascii="Arabic Typesetting" w:hAnsi="Arabic Typesetting" w:cs="Arabic Typesetting"/>
                <w:sz w:val="28"/>
                <w:szCs w:val="28"/>
              </w:rPr>
              <w:t>487</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73BFA" w:rsidRPr="00211D55" w:rsidRDefault="00E73BFA" w:rsidP="00086C3F">
            <w:pPr>
              <w:rPr>
                <w:rFonts w:ascii="Arabic Typesetting" w:hAnsi="Arabic Typesetting" w:cs="Arabic Typesetting"/>
                <w:sz w:val="28"/>
                <w:szCs w:val="28"/>
              </w:rPr>
            </w:pPr>
            <w:r w:rsidRPr="00211D55">
              <w:rPr>
                <w:rFonts w:ascii="Arabic Typesetting" w:hAnsi="Arabic Typesetting" w:cs="Arabic Typesetting"/>
                <w:sz w:val="28"/>
                <w:szCs w:val="28"/>
              </w:rPr>
              <w:t>487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73BFA" w:rsidRPr="00211D55" w:rsidRDefault="00E73BFA" w:rsidP="00086C3F">
            <w:pPr>
              <w:rPr>
                <w:rFonts w:ascii="Arabic Typesetting" w:hAnsi="Arabic Typesetting" w:cs="Arabic Typesetting"/>
                <w:sz w:val="28"/>
                <w:szCs w:val="28"/>
              </w:rPr>
            </w:pPr>
            <w:r w:rsidRPr="00211D55">
              <w:rPr>
                <w:rFonts w:ascii="Arabic Typesetting" w:hAnsi="Arabic Typesetting" w:cs="Arabic Typesetting"/>
                <w:sz w:val="28"/>
                <w:szCs w:val="28"/>
              </w:rPr>
              <w:t>351</w:t>
            </w:r>
          </w:p>
        </w:tc>
      </w:tr>
      <w:tr w:rsidR="00E73BFA" w:rsidRPr="00211D55" w:rsidTr="00BE7DA0">
        <w:trPr>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E73BFA" w:rsidRPr="00211D55" w:rsidRDefault="00E73BFA"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E73BFA" w:rsidRPr="00211D55" w:rsidRDefault="00E73BFA"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73BFA" w:rsidRPr="00211D55" w:rsidRDefault="00E73BFA"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6,162</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73BFA" w:rsidRPr="00211D55" w:rsidRDefault="00E73BFA"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5,530</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73BFA" w:rsidRPr="00211D55" w:rsidRDefault="00E73BFA"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5,192</w:t>
            </w:r>
          </w:p>
        </w:tc>
      </w:tr>
    </w:tbl>
    <w:p w:rsidR="00252762" w:rsidRPr="00252762" w:rsidRDefault="00774E37" w:rsidP="00252762">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393028" w:rsidRDefault="00393028" w:rsidP="00252762">
      <w:pPr>
        <w:keepNext/>
        <w:bidi/>
        <w:spacing w:after="120" w:line="340" w:lineRule="exact"/>
        <w:jc w:val="center"/>
        <w:rPr>
          <w:rFonts w:ascii="Arabic Typesetting" w:hAnsi="Arabic Typesetting" w:cs="Arabic Typesetting"/>
          <w:i/>
          <w:iCs/>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E73BFA" w:rsidRPr="00211D55" w:rsidTr="00BE7DA0">
        <w:trPr>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E73BFA" w:rsidRPr="00211D55" w:rsidRDefault="00E73BFA" w:rsidP="00647020">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73BFA" w:rsidRPr="00211D55" w:rsidRDefault="00E73BFA" w:rsidP="00647020">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73BFA" w:rsidRPr="00211D55" w:rsidRDefault="00E73BFA" w:rsidP="00647020">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73BFA" w:rsidRPr="00211D55" w:rsidRDefault="00E73BFA" w:rsidP="00647020">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73BFA" w:rsidRPr="00211D55" w:rsidRDefault="009E57D2" w:rsidP="00647020">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E73BFA" w:rsidRPr="00211D55">
              <w:rPr>
                <w:rFonts w:ascii="Arabic Typesetting" w:hAnsi="Arabic Typesetting" w:cs="Arabic Typesetting"/>
                <w:b/>
                <w:bCs/>
                <w:i/>
                <w:iCs/>
                <w:sz w:val="28"/>
                <w:szCs w:val="28"/>
                <w:rtl/>
              </w:rPr>
              <w:t xml:space="preserve"> (%)</w:t>
            </w:r>
          </w:p>
        </w:tc>
      </w:tr>
      <w:tr w:rsidR="00E73BFA" w:rsidRPr="00211D55" w:rsidTr="00BE7DA0">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E73BFA" w:rsidRPr="00211D55" w:rsidRDefault="00E73BFA" w:rsidP="00647020">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73BFA" w:rsidRPr="00211D55" w:rsidRDefault="00E73BFA" w:rsidP="00647020">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4,122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73BFA" w:rsidRPr="00211D55" w:rsidRDefault="00E73BFA" w:rsidP="00647020">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4,154</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73BFA" w:rsidRPr="00211D55" w:rsidRDefault="00E73BFA" w:rsidP="00647020">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4,020</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73BFA" w:rsidRPr="00211D55" w:rsidRDefault="00E73BFA" w:rsidP="00647020">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97%</w:t>
            </w:r>
          </w:p>
        </w:tc>
      </w:tr>
      <w:tr w:rsidR="00E73BFA" w:rsidRPr="00211D55" w:rsidTr="00BE7DA0">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E73BFA" w:rsidRPr="00211D55" w:rsidRDefault="00E73BFA" w:rsidP="00647020">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E73BFA" w:rsidRPr="00211D55" w:rsidRDefault="00E73BFA" w:rsidP="00647020">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2,040</w:t>
            </w:r>
          </w:p>
        </w:tc>
        <w:tc>
          <w:tcPr>
            <w:tcW w:w="970" w:type="pct"/>
            <w:tcBorders>
              <w:top w:val="nil"/>
              <w:left w:val="single" w:sz="4" w:space="0" w:color="auto"/>
              <w:bottom w:val="single" w:sz="4" w:space="0" w:color="auto"/>
              <w:right w:val="single" w:sz="4" w:space="0" w:color="auto"/>
            </w:tcBorders>
            <w:shd w:val="clear" w:color="auto" w:fill="auto"/>
            <w:vAlign w:val="center"/>
          </w:tcPr>
          <w:p w:rsidR="00E73BFA" w:rsidRPr="00211D55" w:rsidRDefault="00E73BFA" w:rsidP="00647020">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1,376</w:t>
            </w:r>
          </w:p>
        </w:tc>
        <w:tc>
          <w:tcPr>
            <w:tcW w:w="970" w:type="pct"/>
            <w:tcBorders>
              <w:top w:val="nil"/>
              <w:left w:val="single" w:sz="4" w:space="0" w:color="auto"/>
              <w:bottom w:val="single" w:sz="4" w:space="0" w:color="auto"/>
              <w:right w:val="single" w:sz="4" w:space="0" w:color="auto"/>
            </w:tcBorders>
            <w:shd w:val="clear" w:color="auto" w:fill="auto"/>
            <w:vAlign w:val="center"/>
          </w:tcPr>
          <w:p w:rsidR="00E73BFA" w:rsidRPr="00211D55" w:rsidRDefault="00E73BFA" w:rsidP="00647020">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1,172</w:t>
            </w:r>
          </w:p>
        </w:tc>
        <w:tc>
          <w:tcPr>
            <w:tcW w:w="970" w:type="pct"/>
            <w:tcBorders>
              <w:top w:val="nil"/>
              <w:left w:val="single" w:sz="4" w:space="0" w:color="auto"/>
              <w:bottom w:val="single" w:sz="4" w:space="0" w:color="auto"/>
              <w:right w:val="single" w:sz="4" w:space="0" w:color="auto"/>
            </w:tcBorders>
            <w:shd w:val="clear" w:color="auto" w:fill="auto"/>
            <w:vAlign w:val="center"/>
          </w:tcPr>
          <w:p w:rsidR="00E73BFA" w:rsidRPr="00211D55" w:rsidRDefault="00E73BFA" w:rsidP="00647020">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85%</w:t>
            </w:r>
          </w:p>
        </w:tc>
      </w:tr>
      <w:tr w:rsidR="00E73BFA" w:rsidRPr="00211D55" w:rsidTr="00BE7DA0">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E73BFA" w:rsidRPr="00211D55" w:rsidRDefault="00E73BFA"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E73BFA" w:rsidRPr="00211D55" w:rsidRDefault="00E73BFA"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6,162</w:t>
            </w:r>
          </w:p>
        </w:tc>
        <w:tc>
          <w:tcPr>
            <w:tcW w:w="970" w:type="pct"/>
            <w:tcBorders>
              <w:top w:val="nil"/>
              <w:left w:val="single" w:sz="4" w:space="0" w:color="auto"/>
              <w:bottom w:val="single" w:sz="4" w:space="0" w:color="auto"/>
              <w:right w:val="single" w:sz="4" w:space="0" w:color="auto"/>
            </w:tcBorders>
            <w:shd w:val="clear" w:color="auto" w:fill="auto"/>
            <w:vAlign w:val="center"/>
          </w:tcPr>
          <w:p w:rsidR="00E73BFA" w:rsidRPr="00211D55" w:rsidRDefault="00E73BFA"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5,530</w:t>
            </w:r>
          </w:p>
        </w:tc>
        <w:tc>
          <w:tcPr>
            <w:tcW w:w="970" w:type="pct"/>
            <w:tcBorders>
              <w:top w:val="nil"/>
              <w:left w:val="single" w:sz="4" w:space="0" w:color="auto"/>
              <w:bottom w:val="single" w:sz="4" w:space="0" w:color="auto"/>
              <w:right w:val="single" w:sz="4" w:space="0" w:color="auto"/>
            </w:tcBorders>
            <w:shd w:val="clear" w:color="auto" w:fill="auto"/>
            <w:vAlign w:val="center"/>
          </w:tcPr>
          <w:p w:rsidR="00E73BFA" w:rsidRPr="00211D55" w:rsidRDefault="00E73BFA"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5,192</w:t>
            </w:r>
          </w:p>
        </w:tc>
        <w:tc>
          <w:tcPr>
            <w:tcW w:w="970" w:type="pct"/>
            <w:tcBorders>
              <w:top w:val="nil"/>
              <w:left w:val="single" w:sz="4" w:space="0" w:color="auto"/>
              <w:bottom w:val="single" w:sz="4" w:space="0" w:color="auto"/>
              <w:right w:val="single" w:sz="4" w:space="0" w:color="auto"/>
            </w:tcBorders>
            <w:shd w:val="clear" w:color="auto" w:fill="auto"/>
            <w:vAlign w:val="center"/>
          </w:tcPr>
          <w:p w:rsidR="00E73BFA" w:rsidRPr="00211D55" w:rsidRDefault="00E73BFA"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94%</w:t>
            </w:r>
          </w:p>
        </w:tc>
      </w:tr>
    </w:tbl>
    <w:p w:rsidR="00393028" w:rsidRPr="00706F20" w:rsidRDefault="00393028" w:rsidP="009E62B8">
      <w:pPr>
        <w:keepNext/>
        <w:bidi/>
        <w:spacing w:before="120" w:after="120" w:line="340" w:lineRule="exact"/>
        <w:rPr>
          <w:rFonts w:ascii="Arabic Typesetting" w:hAnsi="Arabic Typesetting" w:cs="Arabic Typesetting"/>
          <w:sz w:val="34"/>
          <w:szCs w:val="34"/>
          <w:u w:val="single"/>
          <w:rtl/>
          <w:lang w:bidi="ar-EG"/>
        </w:rPr>
      </w:pPr>
      <w:r w:rsidRPr="00706F20">
        <w:rPr>
          <w:rFonts w:ascii="Arabic Typesetting" w:hAnsi="Arabic Typesetting" w:cs="Arabic Typesetting" w:hint="cs"/>
          <w:sz w:val="34"/>
          <w:szCs w:val="34"/>
          <w:rtl/>
          <w:lang w:bidi="ar-EG"/>
        </w:rPr>
        <w:lastRenderedPageBreak/>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14EB8"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393028" w:rsidRDefault="00FF1820" w:rsidP="009A3712">
      <w:pPr>
        <w:numPr>
          <w:ilvl w:val="1"/>
          <w:numId w:val="3"/>
        </w:numPr>
        <w:bidi/>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تظهر</w:t>
      </w:r>
      <w:r w:rsidR="0074533A">
        <w:rPr>
          <w:rFonts w:ascii="Arabic Typesetting" w:hAnsi="Arabic Typesetting" w:cs="Arabic Typesetting" w:hint="cs"/>
          <w:sz w:val="34"/>
          <w:szCs w:val="34"/>
          <w:rtl/>
          <w:lang w:bidi="ar-EG"/>
        </w:rPr>
        <w:t xml:space="preserve"> </w:t>
      </w:r>
      <w:r w:rsidR="003E2ECD">
        <w:rPr>
          <w:rFonts w:ascii="Arabic Typesetting" w:hAnsi="Arabic Typesetting" w:cs="Arabic Typesetting"/>
          <w:sz w:val="34"/>
          <w:szCs w:val="34"/>
          <w:rtl/>
          <w:lang w:bidi="ar-EG"/>
        </w:rPr>
        <w:t>الميزانية النهائية</w:t>
      </w:r>
      <w:r w:rsidR="00823698" w:rsidRPr="00823698">
        <w:rPr>
          <w:rFonts w:ascii="Arabic Typesetting" w:hAnsi="Arabic Typesetting" w:cs="Arabic Typesetting"/>
          <w:sz w:val="34"/>
          <w:szCs w:val="34"/>
          <w:rtl/>
          <w:lang w:bidi="ar-EG"/>
        </w:rPr>
        <w:t xml:space="preserve"> </w:t>
      </w:r>
      <w:r w:rsidR="00823698">
        <w:rPr>
          <w:rFonts w:ascii="Arabic Typesetting" w:hAnsi="Arabic Typesetting" w:cs="Arabic Typesetting"/>
          <w:sz w:val="34"/>
          <w:szCs w:val="34"/>
          <w:rtl/>
          <w:lang w:bidi="ar-EG"/>
        </w:rPr>
        <w:t>بعد التحويلات</w:t>
      </w:r>
      <w:r w:rsidR="003E2ECD">
        <w:rPr>
          <w:rFonts w:ascii="Arabic Typesetting" w:hAnsi="Arabic Typesetting" w:cs="Arabic Typesetting"/>
          <w:sz w:val="34"/>
          <w:szCs w:val="34"/>
          <w:rtl/>
          <w:lang w:bidi="ar-EG"/>
        </w:rPr>
        <w:t xml:space="preserve"> </w:t>
      </w:r>
      <w:r w:rsidR="00507DE2">
        <w:rPr>
          <w:rFonts w:ascii="Arabic Typesetting" w:hAnsi="Arabic Typesetting" w:cs="Arabic Typesetting"/>
          <w:sz w:val="34"/>
          <w:szCs w:val="34"/>
          <w:rtl/>
          <w:lang w:bidi="ar-EG"/>
        </w:rPr>
        <w:t>2014/15</w:t>
      </w:r>
      <w:r w:rsidR="003E2ECD">
        <w:rPr>
          <w:rFonts w:ascii="Arabic Typesetting" w:hAnsi="Arabic Typesetting" w:cs="Arabic Typesetting"/>
          <w:sz w:val="34"/>
          <w:szCs w:val="34"/>
          <w:rtl/>
          <w:lang w:bidi="ar-EG"/>
        </w:rPr>
        <w:t xml:space="preserve"> </w:t>
      </w:r>
      <w:r w:rsidR="00393028" w:rsidRPr="00FE3908">
        <w:rPr>
          <w:rFonts w:ascii="Arabic Typesetting" w:hAnsi="Arabic Typesetting" w:cs="Arabic Typesetting" w:hint="cs"/>
          <w:sz w:val="34"/>
          <w:szCs w:val="34"/>
          <w:rtl/>
          <w:lang w:bidi="ar-EG"/>
        </w:rPr>
        <w:t xml:space="preserve">تسوية </w:t>
      </w:r>
      <w:r w:rsidR="00393028">
        <w:rPr>
          <w:rFonts w:ascii="Arabic Typesetting" w:hAnsi="Arabic Typesetting" w:cs="Arabic Typesetting" w:hint="cs"/>
          <w:sz w:val="34"/>
          <w:szCs w:val="34"/>
          <w:rtl/>
          <w:lang w:bidi="ar-EG"/>
        </w:rPr>
        <w:t>بالتخفيض</w:t>
      </w:r>
      <w:r w:rsidR="00393028" w:rsidRPr="00FE3908">
        <w:rPr>
          <w:rFonts w:ascii="Arabic Typesetting" w:hAnsi="Arabic Typesetting" w:cs="Arabic Typesetting"/>
          <w:sz w:val="34"/>
          <w:szCs w:val="34"/>
          <w:rtl/>
          <w:lang w:bidi="ar-EG"/>
        </w:rPr>
        <w:t xml:space="preserve"> في إطار النتيجة </w:t>
      </w:r>
      <w:r w:rsidR="00393028">
        <w:rPr>
          <w:rFonts w:ascii="Arabic Typesetting" w:hAnsi="Arabic Typesetting" w:cs="Arabic Typesetting" w:hint="cs"/>
          <w:sz w:val="34"/>
          <w:szCs w:val="34"/>
          <w:rtl/>
          <w:lang w:bidi="ar-EG"/>
        </w:rPr>
        <w:t>ه1</w:t>
      </w:r>
      <w:r w:rsidR="00393028" w:rsidRPr="00FE3908">
        <w:rPr>
          <w:rFonts w:ascii="Arabic Typesetting" w:hAnsi="Arabic Typesetting" w:cs="Arabic Typesetting"/>
          <w:sz w:val="34"/>
          <w:szCs w:val="34"/>
          <w:rtl/>
          <w:lang w:bidi="ar-EG"/>
        </w:rPr>
        <w:t>.1</w:t>
      </w:r>
      <w:r w:rsidR="00823698">
        <w:rPr>
          <w:rFonts w:ascii="Arabic Typesetting" w:hAnsi="Arabic Typesetting" w:cs="Arabic Typesetting" w:hint="cs"/>
          <w:sz w:val="34"/>
          <w:szCs w:val="34"/>
          <w:rtl/>
          <w:lang w:bidi="ar-EG"/>
        </w:rPr>
        <w:t xml:space="preserve"> </w:t>
      </w:r>
      <w:r w:rsidR="00393028" w:rsidRPr="00FE3908">
        <w:rPr>
          <w:rFonts w:ascii="Arabic Typesetting" w:hAnsi="Arabic Typesetting" w:cs="Arabic Typesetting" w:hint="cs"/>
          <w:sz w:val="34"/>
          <w:szCs w:val="34"/>
          <w:rtl/>
          <w:lang w:bidi="ar-EG"/>
        </w:rPr>
        <w:t>(</w:t>
      </w:r>
      <w:r w:rsidR="0074533A">
        <w:rPr>
          <w:rFonts w:ascii="Arabic Typesetting" w:hAnsi="Arabic Typesetting" w:cs="Arabic Typesetting" w:hint="cs"/>
          <w:sz w:val="34"/>
          <w:szCs w:val="34"/>
          <w:rtl/>
          <w:lang w:bidi="ar-EG"/>
        </w:rPr>
        <w:t>وضع</w:t>
      </w:r>
      <w:r w:rsidR="00393028" w:rsidRPr="00506EFB">
        <w:rPr>
          <w:rFonts w:ascii="Arabic Typesetting" w:hAnsi="Arabic Typesetting" w:cs="Arabic Typesetting"/>
          <w:sz w:val="34"/>
          <w:szCs w:val="34"/>
          <w:rtl/>
          <w:lang w:bidi="ar-EG"/>
        </w:rPr>
        <w:t xml:space="preserve"> أطر معيارية دولية متوازنة للملكية الفكرية</w:t>
      </w:r>
      <w:r w:rsidR="00393028" w:rsidRPr="00FE3908">
        <w:rPr>
          <w:rFonts w:ascii="Arabic Typesetting" w:hAnsi="Arabic Typesetting" w:cs="Arabic Typesetting" w:hint="cs"/>
          <w:sz w:val="34"/>
          <w:szCs w:val="34"/>
          <w:rtl/>
          <w:lang w:bidi="ar-EG"/>
        </w:rPr>
        <w:t>)</w:t>
      </w:r>
      <w:r w:rsidR="00393028">
        <w:rPr>
          <w:rFonts w:ascii="Times New Roman" w:hAnsi="Times New Roman" w:cs="Traditional Arabic" w:hint="cs"/>
          <w:sz w:val="34"/>
          <w:szCs w:val="34"/>
          <w:rtl/>
          <w:lang w:bidi="ar-EG"/>
        </w:rPr>
        <w:t xml:space="preserve"> نتيجة </w:t>
      </w:r>
      <w:r w:rsidR="00393028" w:rsidRPr="00FE3908">
        <w:rPr>
          <w:rFonts w:ascii="Arabic Typesetting" w:hAnsi="Arabic Typesetting" w:cs="Arabic Typesetting"/>
          <w:sz w:val="34"/>
          <w:szCs w:val="34"/>
          <w:rtl/>
          <w:lang w:bidi="ar-EG"/>
        </w:rPr>
        <w:t xml:space="preserve">تحويل </w:t>
      </w:r>
      <w:r w:rsidR="0055755E">
        <w:rPr>
          <w:rFonts w:ascii="Arabic Typesetting" w:hAnsi="Arabic Typesetting" w:cs="Arabic Typesetting" w:hint="cs"/>
          <w:sz w:val="34"/>
          <w:szCs w:val="34"/>
          <w:rtl/>
          <w:lang w:bidi="ar-EG"/>
        </w:rPr>
        <w:t xml:space="preserve">مخصصات من بند </w:t>
      </w:r>
      <w:r w:rsidR="009F5F08">
        <w:rPr>
          <w:rFonts w:ascii="Arabic Typesetting" w:hAnsi="Arabic Typesetting" w:cs="Arabic Typesetting"/>
          <w:sz w:val="34"/>
          <w:szCs w:val="34"/>
          <w:rtl/>
          <w:lang w:bidi="ar-EG"/>
        </w:rPr>
        <w:t>خلاف موارد الموظفين</w:t>
      </w:r>
      <w:r w:rsidR="0055755E">
        <w:rPr>
          <w:rFonts w:ascii="Arabic Typesetting" w:hAnsi="Arabic Typesetting" w:cs="Arabic Typesetting" w:hint="cs"/>
          <w:sz w:val="34"/>
          <w:szCs w:val="34"/>
          <w:rtl/>
          <w:lang w:bidi="ar-EG"/>
        </w:rPr>
        <w:t>،</w:t>
      </w:r>
      <w:r w:rsidR="00393028">
        <w:rPr>
          <w:rFonts w:ascii="Arabic Typesetting" w:hAnsi="Arabic Typesetting" w:cs="Arabic Typesetting" w:hint="cs"/>
          <w:sz w:val="34"/>
          <w:szCs w:val="34"/>
          <w:rtl/>
          <w:lang w:bidi="ar-EG"/>
        </w:rPr>
        <w:t xml:space="preserve"> </w:t>
      </w:r>
      <w:r w:rsidR="00393028">
        <w:rPr>
          <w:rFonts w:ascii="Arabic Typesetting" w:hAnsi="Arabic Typesetting" w:cs="Arabic Typesetting"/>
          <w:sz w:val="34"/>
          <w:szCs w:val="34"/>
          <w:rtl/>
          <w:lang w:bidi="ar-EG"/>
        </w:rPr>
        <w:t xml:space="preserve">كانت مرصودة أول الأمر لمؤتمر دبلوماسي </w:t>
      </w:r>
      <w:r w:rsidR="00393028" w:rsidRPr="00FE3908">
        <w:rPr>
          <w:rFonts w:ascii="Arabic Typesetting" w:hAnsi="Arabic Typesetting" w:cs="Arabic Typesetting"/>
          <w:sz w:val="34"/>
          <w:szCs w:val="34"/>
          <w:rtl/>
          <w:lang w:bidi="ar-EG"/>
        </w:rPr>
        <w:t>محتمل</w:t>
      </w:r>
      <w:r w:rsidR="0055755E">
        <w:rPr>
          <w:rFonts w:ascii="Arabic Typesetting" w:hAnsi="Arabic Typesetting" w:cs="Arabic Typesetting" w:hint="cs"/>
          <w:sz w:val="34"/>
          <w:szCs w:val="34"/>
          <w:rtl/>
          <w:lang w:bidi="ar-EG"/>
        </w:rPr>
        <w:t>، إلى خارج البرنامج</w:t>
      </w:r>
      <w:r w:rsidR="00393028">
        <w:rPr>
          <w:rFonts w:ascii="Arabic Typesetting" w:hAnsi="Arabic Typesetting" w:cs="Arabic Typesetting" w:hint="cs"/>
          <w:sz w:val="34"/>
          <w:szCs w:val="34"/>
          <w:rtl/>
          <w:lang w:bidi="ar-EG"/>
        </w:rPr>
        <w:t>.</w:t>
      </w:r>
    </w:p>
    <w:p w:rsidR="0074533A" w:rsidRDefault="0074533A" w:rsidP="009A3712">
      <w:pPr>
        <w:numPr>
          <w:ilvl w:val="1"/>
          <w:numId w:val="3"/>
        </w:numPr>
        <w:bidi/>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وتعزى الزيادة الطفيفة في موارد الموظفين في </w:t>
      </w:r>
      <w:r w:rsidR="003E2ECD">
        <w:rPr>
          <w:rFonts w:ascii="Arabic Typesetting" w:hAnsi="Arabic Typesetting" w:cs="Arabic Typesetting"/>
          <w:sz w:val="34"/>
          <w:szCs w:val="34"/>
          <w:rtl/>
          <w:lang w:bidi="ar-EG"/>
        </w:rPr>
        <w:t>الميزانية النهائية</w:t>
      </w:r>
      <w:r w:rsidR="00823698" w:rsidRPr="00823698">
        <w:rPr>
          <w:rFonts w:ascii="Arabic Typesetting" w:hAnsi="Arabic Typesetting" w:cs="Arabic Typesetting"/>
          <w:sz w:val="34"/>
          <w:szCs w:val="34"/>
          <w:rtl/>
          <w:lang w:bidi="ar-EG"/>
        </w:rPr>
        <w:t xml:space="preserve"> </w:t>
      </w:r>
      <w:r w:rsidR="00823698">
        <w:rPr>
          <w:rFonts w:ascii="Arabic Typesetting" w:hAnsi="Arabic Typesetting" w:cs="Arabic Typesetting"/>
          <w:sz w:val="34"/>
          <w:szCs w:val="34"/>
          <w:rtl/>
          <w:lang w:bidi="ar-EG"/>
        </w:rPr>
        <w:t>بعد التحويلات</w:t>
      </w:r>
      <w:r w:rsidR="003E2ECD">
        <w:rPr>
          <w:rFonts w:ascii="Arabic Typesetting" w:hAnsi="Arabic Typesetting" w:cs="Arabic Typesetting"/>
          <w:sz w:val="34"/>
          <w:szCs w:val="34"/>
          <w:rtl/>
          <w:lang w:bidi="ar-EG"/>
        </w:rPr>
        <w:t xml:space="preserve"> </w:t>
      </w:r>
      <w:r w:rsidR="00507DE2">
        <w:rPr>
          <w:rFonts w:ascii="Arabic Typesetting" w:hAnsi="Arabic Typesetting" w:cs="Arabic Typesetting"/>
          <w:sz w:val="34"/>
          <w:szCs w:val="34"/>
          <w:rtl/>
          <w:lang w:bidi="ar-EG"/>
        </w:rPr>
        <w:t>2014/15</w:t>
      </w:r>
      <w:r w:rsidR="003E2ECD">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إلى إعادة تصنيف وظيفة</w:t>
      </w:r>
      <w:r w:rsidR="00823698">
        <w:rPr>
          <w:rFonts w:ascii="Arabic Typesetting" w:hAnsi="Arabic Typesetting" w:cs="Arabic Typesetting" w:hint="eastAsia"/>
          <w:sz w:val="34"/>
          <w:szCs w:val="34"/>
          <w:rtl/>
          <w:lang w:bidi="ar-EG"/>
        </w:rPr>
        <w:t> </w:t>
      </w:r>
      <w:r>
        <w:rPr>
          <w:rFonts w:ascii="Arabic Typesetting" w:hAnsi="Arabic Typesetting" w:cs="Arabic Typesetting" w:hint="cs"/>
          <w:sz w:val="34"/>
          <w:szCs w:val="34"/>
          <w:rtl/>
          <w:lang w:bidi="ar-EG"/>
        </w:rPr>
        <w:t>بالترقية.</w:t>
      </w:r>
    </w:p>
    <w:p w:rsidR="0074533A" w:rsidRDefault="0074533A" w:rsidP="009A3712">
      <w:pPr>
        <w:numPr>
          <w:ilvl w:val="1"/>
          <w:numId w:val="3"/>
        </w:numPr>
        <w:bidi/>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واستندت</w:t>
      </w:r>
      <w:r w:rsidRPr="0074533A">
        <w:rPr>
          <w:rFonts w:ascii="Arabic Typesetting" w:hAnsi="Arabic Typesetting" w:cs="Arabic Typesetting"/>
          <w:sz w:val="34"/>
          <w:szCs w:val="34"/>
          <w:rtl/>
          <w:lang w:bidi="ar-EG"/>
        </w:rPr>
        <w:t xml:space="preserve"> التسويات في نتائج ميزانية </w:t>
      </w:r>
      <w:r w:rsidR="00507DE2">
        <w:rPr>
          <w:rFonts w:ascii="Arabic Typesetting" w:hAnsi="Arabic Typesetting" w:cs="Arabic Typesetting"/>
          <w:sz w:val="34"/>
          <w:szCs w:val="34"/>
          <w:rtl/>
          <w:lang w:bidi="ar-EG"/>
        </w:rPr>
        <w:t>2014/15</w:t>
      </w:r>
      <w:r w:rsidRPr="0074533A">
        <w:rPr>
          <w:rFonts w:ascii="Arabic Typesetting" w:hAnsi="Arabic Typesetting" w:cs="Arabic Typesetting"/>
          <w:sz w:val="34"/>
          <w:szCs w:val="34"/>
          <w:rtl/>
          <w:lang w:bidi="ar-EG"/>
        </w:rPr>
        <w:t xml:space="preserve"> بعد التحويلات</w:t>
      </w:r>
      <w:r w:rsidR="00845284">
        <w:rPr>
          <w:rFonts w:ascii="Arabic Typesetting" w:hAnsi="Arabic Typesetting" w:cs="Arabic Typesetting" w:hint="cs"/>
          <w:sz w:val="34"/>
          <w:szCs w:val="34"/>
          <w:rtl/>
          <w:lang w:bidi="ar-EG"/>
        </w:rPr>
        <w:t>، ولا سيما بين النتيجتين 2.1 (المشورة التشريعية) و3.1 (حماية متزايدة لشعارات الدول)</w:t>
      </w:r>
      <w:r w:rsidRPr="0074533A">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 xml:space="preserve">إلى </w:t>
      </w:r>
      <w:r w:rsidRPr="0074533A">
        <w:rPr>
          <w:rFonts w:ascii="Arabic Typesetting" w:hAnsi="Arabic Typesetting" w:cs="Arabic Typesetting"/>
          <w:sz w:val="34"/>
          <w:szCs w:val="34"/>
          <w:rtl/>
          <w:lang w:bidi="ar-EG"/>
        </w:rPr>
        <w:t>المنهجية الجديدة الأدق المتبعة في تخصيص موارد الموظفين</w:t>
      </w:r>
      <w:r w:rsidR="00322324">
        <w:rPr>
          <w:rFonts w:ascii="Arabic Typesetting" w:hAnsi="Arabic Typesetting" w:cs="Arabic Typesetting" w:hint="cs"/>
          <w:sz w:val="34"/>
          <w:szCs w:val="34"/>
          <w:rtl/>
          <w:lang w:bidi="ar-EG"/>
        </w:rPr>
        <w:t xml:space="preserve"> </w:t>
      </w:r>
      <w:r w:rsidR="00322324">
        <w:rPr>
          <w:rFonts w:ascii="Arabic Typesetting" w:hAnsi="Arabic Typesetting" w:cs="Arabic Typesetting"/>
          <w:sz w:val="34"/>
          <w:szCs w:val="34"/>
          <w:rtl/>
          <w:lang w:val="fr-CH"/>
        </w:rPr>
        <w:t>والناجمة عن التحسينات المدخلة على نظام التخطيط لإدارة الأداء المؤسسي أثناء التخطيط للعمل السنوي لعامي</w:t>
      </w:r>
      <w:r w:rsidR="00322324">
        <w:rPr>
          <w:rFonts w:ascii="Arabic Typesetting" w:hAnsi="Arabic Typesetting" w:cs="Arabic Typesetting" w:hint="cs"/>
          <w:sz w:val="34"/>
          <w:szCs w:val="34"/>
          <w:rtl/>
          <w:lang w:val="fr-CH"/>
        </w:rPr>
        <w:t xml:space="preserve"> </w:t>
      </w:r>
      <w:r w:rsidRPr="0074533A">
        <w:rPr>
          <w:rFonts w:ascii="Arabic Typesetting" w:hAnsi="Arabic Typesetting" w:cs="Arabic Typesetting"/>
          <w:sz w:val="34"/>
          <w:szCs w:val="34"/>
          <w:rtl/>
          <w:lang w:bidi="ar-EG"/>
        </w:rPr>
        <w:t>2014</w:t>
      </w:r>
      <w:r>
        <w:rPr>
          <w:rFonts w:ascii="Arabic Typesetting" w:hAnsi="Arabic Typesetting" w:cs="Arabic Typesetting" w:hint="cs"/>
          <w:sz w:val="34"/>
          <w:szCs w:val="34"/>
          <w:rtl/>
          <w:lang w:bidi="ar-EG"/>
        </w:rPr>
        <w:t xml:space="preserve"> و2015</w:t>
      </w:r>
      <w:r w:rsidRPr="0074533A">
        <w:rPr>
          <w:rFonts w:ascii="Arabic Typesetting" w:hAnsi="Arabic Typesetting" w:cs="Arabic Typesetting"/>
          <w:sz w:val="34"/>
          <w:szCs w:val="34"/>
          <w:rtl/>
          <w:lang w:bidi="ar-EG"/>
        </w:rPr>
        <w:t>.</w:t>
      </w:r>
    </w:p>
    <w:p w:rsidR="00393028" w:rsidRPr="00507DE2" w:rsidRDefault="00393028" w:rsidP="00774E37">
      <w:pPr>
        <w:keepNext/>
        <w:bidi/>
        <w:spacing w:after="120" w:line="340" w:lineRule="exact"/>
        <w:rPr>
          <w:rFonts w:ascii="Arabic Typesetting" w:hAnsi="Arabic Typesetting" w:cs="Arabic Typesetting"/>
          <w:sz w:val="34"/>
          <w:szCs w:val="34"/>
          <w:u w:val="single"/>
          <w:rtl/>
          <w:lang w:bidi="ar-EG"/>
        </w:rPr>
      </w:pPr>
      <w:r w:rsidRPr="00507DE2">
        <w:rPr>
          <w:rFonts w:ascii="Arabic Typesetting" w:hAnsi="Arabic Typesetting" w:cs="Arabic Typesetting" w:hint="cs"/>
          <w:sz w:val="34"/>
          <w:szCs w:val="34"/>
          <w:rtl/>
          <w:lang w:bidi="ar-EG"/>
        </w:rPr>
        <w:t>باء</w:t>
      </w:r>
      <w:r w:rsidRPr="00507DE2">
        <w:rPr>
          <w:rFonts w:ascii="Arabic Typesetting" w:hAnsi="Arabic Typesetting" w:cs="Arabic Typesetting"/>
          <w:sz w:val="34"/>
          <w:szCs w:val="34"/>
          <w:lang w:bidi="ar-EG"/>
        </w:rPr>
        <w:t>.</w:t>
      </w:r>
      <w:r w:rsidRPr="00507DE2">
        <w:rPr>
          <w:rFonts w:ascii="Arabic Typesetting" w:hAnsi="Arabic Typesetting" w:cs="Arabic Typesetting"/>
          <w:sz w:val="34"/>
          <w:szCs w:val="34"/>
          <w:rtl/>
          <w:lang w:bidi="ar-EG"/>
        </w:rPr>
        <w:tab/>
      </w:r>
      <w:r w:rsidR="00507DE2" w:rsidRPr="00507DE2">
        <w:rPr>
          <w:rFonts w:ascii="Arabic Typesetting" w:hAnsi="Arabic Typesetting" w:cs="Arabic Typesetting" w:hint="cs"/>
          <w:sz w:val="34"/>
          <w:szCs w:val="34"/>
          <w:u w:val="single"/>
          <w:rtl/>
          <w:lang w:bidi="ar-EG"/>
        </w:rPr>
        <w:t>استخدام ميزانية 2014/15</w:t>
      </w:r>
    </w:p>
    <w:p w:rsidR="00393028" w:rsidRPr="00FE3908" w:rsidRDefault="00393028" w:rsidP="009A3712">
      <w:pPr>
        <w:keepNext/>
        <w:numPr>
          <w:ilvl w:val="1"/>
          <w:numId w:val="3"/>
        </w:numPr>
        <w:bidi/>
        <w:spacing w:before="120"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lang w:bidi="ar-EG"/>
        </w:rPr>
        <w:t>يُ</w:t>
      </w:r>
      <w:r w:rsidRPr="00FE3908">
        <w:rPr>
          <w:rFonts w:ascii="Arabic Typesetting" w:hAnsi="Arabic Typesetting" w:cs="Arabic Typesetting" w:hint="cs"/>
          <w:sz w:val="34"/>
          <w:szCs w:val="34"/>
          <w:rtl/>
          <w:lang w:bidi="ar-EG"/>
        </w:rPr>
        <w:t xml:space="preserve">عزى </w:t>
      </w:r>
      <w:r w:rsidR="00B61F74">
        <w:rPr>
          <w:rFonts w:ascii="Arabic Typesetting" w:hAnsi="Arabic Typesetting" w:cs="Arabic Typesetting" w:hint="cs"/>
          <w:sz w:val="34"/>
          <w:szCs w:val="34"/>
          <w:rtl/>
          <w:lang w:bidi="ar-EG"/>
        </w:rPr>
        <w:t xml:space="preserve">أساساً </w:t>
      </w:r>
      <w:r w:rsidR="00845284">
        <w:rPr>
          <w:rFonts w:ascii="Arabic Typesetting" w:hAnsi="Arabic Typesetting" w:cs="Arabic Typesetting" w:hint="cs"/>
          <w:sz w:val="34"/>
          <w:szCs w:val="34"/>
          <w:rtl/>
          <w:lang w:bidi="ar-EG"/>
        </w:rPr>
        <w:t xml:space="preserve">النقص الطفيف في </w:t>
      </w:r>
      <w:r w:rsidR="00B61F74">
        <w:rPr>
          <w:rFonts w:ascii="Arabic Typesetting" w:hAnsi="Arabic Typesetting" w:cs="Arabic Typesetting" w:hint="cs"/>
          <w:sz w:val="34"/>
          <w:szCs w:val="34"/>
          <w:rtl/>
          <w:lang w:bidi="ar-EG"/>
        </w:rPr>
        <w:t xml:space="preserve">استخدام </w:t>
      </w:r>
      <w:r w:rsidR="0055755E">
        <w:rPr>
          <w:rFonts w:ascii="Arabic Typesetting" w:hAnsi="Arabic Typesetting" w:cs="Arabic Typesetting" w:hint="cs"/>
          <w:sz w:val="34"/>
          <w:szCs w:val="34"/>
          <w:rtl/>
          <w:lang w:bidi="ar-EG"/>
        </w:rPr>
        <w:t>مخصصات</w:t>
      </w:r>
      <w:r>
        <w:rPr>
          <w:rFonts w:ascii="Arabic Typesetting" w:hAnsi="Arabic Typesetting" w:cs="Arabic Typesetting" w:hint="cs"/>
          <w:sz w:val="34"/>
          <w:szCs w:val="34"/>
          <w:rtl/>
          <w:lang w:bidi="ar-EG"/>
        </w:rPr>
        <w:t xml:space="preserve"> خلاف</w:t>
      </w:r>
      <w:r w:rsidR="0055755E">
        <w:rPr>
          <w:rFonts w:ascii="Arabic Typesetting" w:hAnsi="Arabic Typesetting" w:cs="Arabic Typesetting" w:hint="cs"/>
          <w:sz w:val="34"/>
          <w:szCs w:val="34"/>
          <w:rtl/>
          <w:lang w:bidi="ar-EG"/>
        </w:rPr>
        <w:t xml:space="preserve"> موارد</w:t>
      </w:r>
      <w:r>
        <w:rPr>
          <w:rFonts w:ascii="Arabic Typesetting" w:hAnsi="Arabic Typesetting" w:cs="Arabic Typesetting" w:hint="cs"/>
          <w:sz w:val="34"/>
          <w:szCs w:val="34"/>
          <w:rtl/>
          <w:lang w:bidi="ar-EG"/>
        </w:rPr>
        <w:t xml:space="preserve"> الموظفين إلى</w:t>
      </w:r>
      <w:r w:rsidR="009F5F08">
        <w:rPr>
          <w:rFonts w:ascii="Arabic Typesetting" w:hAnsi="Arabic Typesetting" w:cs="Arabic Typesetting" w:hint="cs"/>
          <w:sz w:val="34"/>
          <w:szCs w:val="34"/>
          <w:rtl/>
          <w:lang w:bidi="ar-EG"/>
        </w:rPr>
        <w:t xml:space="preserve"> العوامل التالية</w:t>
      </w:r>
      <w:r w:rsidRPr="00FE3908">
        <w:rPr>
          <w:rFonts w:ascii="Arabic Typesetting" w:hAnsi="Arabic Typesetting" w:cs="Arabic Typesetting" w:hint="cs"/>
          <w:sz w:val="34"/>
          <w:szCs w:val="34"/>
          <w:rtl/>
          <w:lang w:bidi="ar-EG"/>
        </w:rPr>
        <w:t>:</w:t>
      </w:r>
    </w:p>
    <w:p w:rsidR="00393028" w:rsidRPr="001C029B" w:rsidRDefault="00845284" w:rsidP="00774E37">
      <w:pPr>
        <w:pStyle w:val="NormalParaAR"/>
        <w:keepNext/>
        <w:spacing w:before="120" w:after="120"/>
        <w:ind w:left="1134" w:hanging="567"/>
        <w:rPr>
          <w:sz w:val="34"/>
          <w:szCs w:val="34"/>
        </w:rPr>
      </w:pPr>
      <w:r w:rsidRPr="001C029B">
        <w:rPr>
          <w:rFonts w:hint="cs"/>
          <w:sz w:val="34"/>
          <w:szCs w:val="34"/>
          <w:rtl/>
        </w:rPr>
        <w:t>-</w:t>
      </w:r>
      <w:r w:rsidRPr="001C029B">
        <w:rPr>
          <w:sz w:val="34"/>
          <w:szCs w:val="34"/>
          <w:rtl/>
        </w:rPr>
        <w:tab/>
      </w:r>
      <w:r w:rsidR="00393028" w:rsidRPr="001C029B">
        <w:rPr>
          <w:rFonts w:hint="cs"/>
          <w:sz w:val="34"/>
          <w:szCs w:val="34"/>
          <w:rtl/>
        </w:rPr>
        <w:t xml:space="preserve">إرجاء المؤتمر الدبلوماسي المتوخى في إطار </w:t>
      </w:r>
      <w:r w:rsidR="00393028" w:rsidRPr="001C029B">
        <w:rPr>
          <w:sz w:val="34"/>
          <w:szCs w:val="34"/>
          <w:rtl/>
          <w:lang w:bidi="ar-EG"/>
        </w:rPr>
        <w:t xml:space="preserve">النتيجة </w:t>
      </w:r>
      <w:r w:rsidR="00393028" w:rsidRPr="001C029B">
        <w:rPr>
          <w:rFonts w:hint="cs"/>
          <w:sz w:val="34"/>
          <w:szCs w:val="34"/>
          <w:rtl/>
          <w:lang w:bidi="ar-EG"/>
        </w:rPr>
        <w:t>ه1</w:t>
      </w:r>
      <w:r w:rsidR="00393028" w:rsidRPr="001C029B">
        <w:rPr>
          <w:sz w:val="34"/>
          <w:szCs w:val="34"/>
          <w:rtl/>
          <w:lang w:bidi="ar-EG"/>
        </w:rPr>
        <w:t>.1</w:t>
      </w:r>
      <w:r w:rsidR="00823698" w:rsidRPr="001C029B">
        <w:rPr>
          <w:rFonts w:hint="cs"/>
          <w:sz w:val="34"/>
          <w:szCs w:val="34"/>
          <w:rtl/>
          <w:lang w:bidi="ar-EG"/>
        </w:rPr>
        <w:t xml:space="preserve"> </w:t>
      </w:r>
      <w:r w:rsidR="00393028" w:rsidRPr="001C029B">
        <w:rPr>
          <w:rFonts w:hint="cs"/>
          <w:sz w:val="34"/>
          <w:szCs w:val="34"/>
          <w:rtl/>
          <w:lang w:bidi="ar-EG"/>
        </w:rPr>
        <w:t>(</w:t>
      </w:r>
      <w:r w:rsidR="00393028" w:rsidRPr="001C029B">
        <w:rPr>
          <w:sz w:val="34"/>
          <w:szCs w:val="34"/>
          <w:rtl/>
          <w:lang w:bidi="ar-EG"/>
        </w:rPr>
        <w:t>تطوير أطر معيارية دولية متوازنة للملكية الفكرية</w:t>
      </w:r>
      <w:r w:rsidR="00393028" w:rsidRPr="001C029B">
        <w:rPr>
          <w:rFonts w:hint="cs"/>
          <w:sz w:val="34"/>
          <w:szCs w:val="34"/>
          <w:rtl/>
          <w:lang w:bidi="ar-EG"/>
        </w:rPr>
        <w:t>)</w:t>
      </w:r>
      <w:r w:rsidR="00393028" w:rsidRPr="001C029B">
        <w:rPr>
          <w:rFonts w:hint="cs"/>
          <w:sz w:val="34"/>
          <w:szCs w:val="34"/>
          <w:rtl/>
        </w:rPr>
        <w:t>؛</w:t>
      </w:r>
    </w:p>
    <w:p w:rsidR="00393028" w:rsidRPr="001C029B" w:rsidRDefault="00845284" w:rsidP="00FD7897">
      <w:pPr>
        <w:pStyle w:val="NormalParaAR"/>
        <w:spacing w:before="120" w:after="120"/>
        <w:ind w:left="1134" w:hanging="567"/>
        <w:rPr>
          <w:sz w:val="34"/>
          <w:szCs w:val="34"/>
        </w:rPr>
      </w:pPr>
      <w:r w:rsidRPr="001C029B">
        <w:rPr>
          <w:rFonts w:hint="cs"/>
          <w:sz w:val="34"/>
          <w:szCs w:val="34"/>
          <w:rtl/>
        </w:rPr>
        <w:t>-</w:t>
      </w:r>
      <w:r w:rsidRPr="001C029B">
        <w:rPr>
          <w:sz w:val="34"/>
          <w:szCs w:val="34"/>
          <w:rtl/>
        </w:rPr>
        <w:tab/>
      </w:r>
      <w:r w:rsidR="00393028" w:rsidRPr="001C029B">
        <w:rPr>
          <w:rFonts w:hint="cs"/>
          <w:sz w:val="34"/>
          <w:szCs w:val="34"/>
          <w:rtl/>
        </w:rPr>
        <w:t>و</w:t>
      </w:r>
      <w:r w:rsidR="009F5F08">
        <w:rPr>
          <w:rFonts w:hint="cs"/>
          <w:sz w:val="34"/>
          <w:szCs w:val="34"/>
          <w:rtl/>
        </w:rPr>
        <w:t xml:space="preserve">تحقيق </w:t>
      </w:r>
      <w:r w:rsidR="00393028" w:rsidRPr="001C029B">
        <w:rPr>
          <w:rFonts w:hint="cs"/>
          <w:sz w:val="34"/>
          <w:szCs w:val="34"/>
          <w:rtl/>
        </w:rPr>
        <w:t xml:space="preserve">فورات في التكاليف نتيجة خفض </w:t>
      </w:r>
      <w:r w:rsidRPr="001C029B">
        <w:rPr>
          <w:rFonts w:hint="cs"/>
          <w:sz w:val="34"/>
          <w:szCs w:val="34"/>
          <w:rtl/>
        </w:rPr>
        <w:t xml:space="preserve">عدد </w:t>
      </w:r>
      <w:r w:rsidR="00393028" w:rsidRPr="001C029B">
        <w:rPr>
          <w:rFonts w:hint="cs"/>
          <w:sz w:val="34"/>
          <w:szCs w:val="34"/>
          <w:rtl/>
        </w:rPr>
        <w:t xml:space="preserve">بعثات الموظفين في إطار </w:t>
      </w:r>
      <w:r w:rsidR="00393028" w:rsidRPr="001C029B">
        <w:rPr>
          <w:sz w:val="34"/>
          <w:szCs w:val="34"/>
          <w:rtl/>
          <w:lang w:bidi="ar-EG"/>
        </w:rPr>
        <w:t xml:space="preserve">النتيجة </w:t>
      </w:r>
      <w:r w:rsidR="00393028" w:rsidRPr="001C029B">
        <w:rPr>
          <w:rFonts w:hint="cs"/>
          <w:sz w:val="34"/>
          <w:szCs w:val="34"/>
          <w:rtl/>
          <w:lang w:bidi="ar-EG"/>
        </w:rPr>
        <w:t>ه2</w:t>
      </w:r>
      <w:r w:rsidR="00393028" w:rsidRPr="001C029B">
        <w:rPr>
          <w:sz w:val="34"/>
          <w:szCs w:val="34"/>
          <w:rtl/>
          <w:lang w:bidi="ar-EG"/>
        </w:rPr>
        <w:t>.1</w:t>
      </w:r>
      <w:r w:rsidR="00393028" w:rsidRPr="001C029B">
        <w:rPr>
          <w:rFonts w:hint="cs"/>
          <w:sz w:val="34"/>
          <w:szCs w:val="34"/>
          <w:rtl/>
          <w:lang w:bidi="ar-EG"/>
        </w:rPr>
        <w:t xml:space="preserve"> (المشورة التشريعية)؛</w:t>
      </w:r>
    </w:p>
    <w:p w:rsidR="00393028" w:rsidRPr="001C029B" w:rsidRDefault="00845284" w:rsidP="00FD7897">
      <w:pPr>
        <w:pStyle w:val="NormalParaAR"/>
        <w:spacing w:before="120" w:after="120"/>
        <w:ind w:left="1134" w:hanging="567"/>
        <w:rPr>
          <w:sz w:val="34"/>
          <w:szCs w:val="34"/>
        </w:rPr>
      </w:pPr>
      <w:r w:rsidRPr="001C029B">
        <w:rPr>
          <w:rFonts w:hint="cs"/>
          <w:sz w:val="34"/>
          <w:szCs w:val="34"/>
          <w:rtl/>
        </w:rPr>
        <w:t>-</w:t>
      </w:r>
      <w:r w:rsidRPr="001C029B">
        <w:rPr>
          <w:sz w:val="34"/>
          <w:szCs w:val="34"/>
          <w:rtl/>
        </w:rPr>
        <w:tab/>
      </w:r>
      <w:r w:rsidR="009F5F08">
        <w:rPr>
          <w:rFonts w:hint="cs"/>
          <w:sz w:val="34"/>
          <w:szCs w:val="34"/>
          <w:rtl/>
        </w:rPr>
        <w:t>وال</w:t>
      </w:r>
      <w:r w:rsidR="00393028" w:rsidRPr="001C029B">
        <w:rPr>
          <w:rFonts w:hint="cs"/>
          <w:sz w:val="34"/>
          <w:szCs w:val="34"/>
          <w:rtl/>
        </w:rPr>
        <w:t xml:space="preserve">تأخر في توظيف مدير مشروع لأغراض </w:t>
      </w:r>
      <w:r w:rsidR="00393028" w:rsidRPr="001C029B">
        <w:rPr>
          <w:sz w:val="34"/>
          <w:szCs w:val="34"/>
          <w:rtl/>
          <w:lang w:bidi="ar-EG"/>
        </w:rPr>
        <w:t xml:space="preserve">مشروع </w:t>
      </w:r>
      <w:r w:rsidR="00393028" w:rsidRPr="001C029B">
        <w:rPr>
          <w:rFonts w:hint="cs"/>
          <w:sz w:val="34"/>
          <w:szCs w:val="34"/>
          <w:rtl/>
          <w:lang w:bidi="ar-EG"/>
        </w:rPr>
        <w:t>جدول أعمال التنمية الرائد بشأن</w:t>
      </w:r>
      <w:r w:rsidR="00393028" w:rsidRPr="001C029B">
        <w:rPr>
          <w:sz w:val="34"/>
          <w:szCs w:val="34"/>
          <w:rtl/>
          <w:lang w:bidi="ar-EG"/>
        </w:rPr>
        <w:t xml:space="preserve"> الملكية الفكرية و</w:t>
      </w:r>
      <w:r w:rsidR="00393028" w:rsidRPr="001C029B">
        <w:rPr>
          <w:rFonts w:hint="cs"/>
          <w:sz w:val="34"/>
          <w:szCs w:val="34"/>
          <w:rtl/>
          <w:lang w:bidi="ar-EG"/>
        </w:rPr>
        <w:t>إدارة التصاميم</w:t>
      </w:r>
      <w:r w:rsidR="00393028" w:rsidRPr="001C029B">
        <w:rPr>
          <w:sz w:val="34"/>
          <w:szCs w:val="34"/>
          <w:rtl/>
          <w:lang w:bidi="ar-EG"/>
        </w:rPr>
        <w:t xml:space="preserve"> لتطوير الأعمال في البلدان النامية والبلدان الأقل نموا</w:t>
      </w:r>
      <w:r w:rsidR="00393028" w:rsidRPr="001C029B">
        <w:rPr>
          <w:rFonts w:hint="cs"/>
          <w:sz w:val="34"/>
          <w:szCs w:val="34"/>
          <w:rtl/>
        </w:rPr>
        <w:t>،</w:t>
      </w:r>
      <w:r w:rsidRPr="001C029B">
        <w:rPr>
          <w:rFonts w:hint="cs"/>
          <w:sz w:val="34"/>
          <w:szCs w:val="34"/>
          <w:rtl/>
        </w:rPr>
        <w:t xml:space="preserve"> ما أدى في نهاية المطاف إلى تأخر طفيف في تنفيذ هذا المشروع</w:t>
      </w:r>
      <w:r w:rsidR="00393028" w:rsidRPr="001C029B">
        <w:rPr>
          <w:rFonts w:hint="cs"/>
          <w:sz w:val="34"/>
          <w:szCs w:val="34"/>
          <w:rtl/>
        </w:rPr>
        <w:t xml:space="preserve"> المبيّن في إطار </w:t>
      </w:r>
      <w:r w:rsidR="00393028" w:rsidRPr="001C029B">
        <w:rPr>
          <w:sz w:val="34"/>
          <w:szCs w:val="34"/>
          <w:rtl/>
          <w:lang w:bidi="ar-EG"/>
        </w:rPr>
        <w:t xml:space="preserve">النتيجة </w:t>
      </w:r>
      <w:r w:rsidR="00393028" w:rsidRPr="001C029B">
        <w:rPr>
          <w:rFonts w:hint="cs"/>
          <w:sz w:val="34"/>
          <w:szCs w:val="34"/>
          <w:rtl/>
          <w:lang w:bidi="ar-EG"/>
        </w:rPr>
        <w:t>ه4</w:t>
      </w:r>
      <w:r w:rsidR="00393028" w:rsidRPr="001C029B">
        <w:rPr>
          <w:sz w:val="34"/>
          <w:szCs w:val="34"/>
          <w:rtl/>
          <w:lang w:bidi="ar-EG"/>
        </w:rPr>
        <w:t>.</w:t>
      </w:r>
      <w:r w:rsidR="00393028" w:rsidRPr="001C029B">
        <w:rPr>
          <w:rFonts w:hint="cs"/>
          <w:sz w:val="34"/>
          <w:szCs w:val="34"/>
          <w:rtl/>
          <w:lang w:bidi="ar-EG"/>
        </w:rPr>
        <w:t>3 (</w:t>
      </w:r>
      <w:r w:rsidR="000432CA">
        <w:rPr>
          <w:sz w:val="34"/>
          <w:szCs w:val="34"/>
          <w:rtl/>
          <w:lang w:bidi="ar-EG"/>
        </w:rPr>
        <w:t>آليات وبرامج تعاونية معزّزة ومكيّفة حسب احتياجات البلدان النامية والبلدان الأقل نموا</w:t>
      </w:r>
      <w:r w:rsidR="00393028" w:rsidRPr="001C029B">
        <w:rPr>
          <w:rFonts w:hint="cs"/>
          <w:sz w:val="34"/>
          <w:szCs w:val="34"/>
          <w:rtl/>
          <w:lang w:bidi="ar-EG"/>
        </w:rPr>
        <w:t>)</w:t>
      </w:r>
      <w:r w:rsidRPr="001C029B">
        <w:rPr>
          <w:rFonts w:hint="cs"/>
          <w:sz w:val="34"/>
          <w:szCs w:val="34"/>
          <w:rtl/>
          <w:lang w:bidi="ar-EG"/>
        </w:rPr>
        <w:t>. ويتوقع استكمال المشروع في النصف الأول من عام 2016.</w:t>
      </w:r>
    </w:p>
    <w:p w:rsidR="00B31868" w:rsidRPr="00967AAF" w:rsidRDefault="00B31868" w:rsidP="009E62B8">
      <w:pPr>
        <w:pStyle w:val="Heading3AR"/>
        <w:spacing w:after="120"/>
        <w:rPr>
          <w:rtl/>
        </w:rPr>
      </w:pPr>
      <w:bookmarkStart w:id="25" w:name="_Toc450635401"/>
      <w:bookmarkStart w:id="26" w:name="_Toc455393366"/>
      <w:r w:rsidRPr="00967AAF">
        <w:rPr>
          <w:rtl/>
        </w:rPr>
        <w:lastRenderedPageBreak/>
        <w:t>البرنامج</w:t>
      </w:r>
      <w:r w:rsidRPr="00967AAF">
        <w:rPr>
          <w:rFonts w:hint="cs"/>
          <w:rtl/>
        </w:rPr>
        <w:t xml:space="preserve"> 3:</w:t>
      </w:r>
      <w:r w:rsidRPr="00967AAF">
        <w:rPr>
          <w:rFonts w:hint="cs"/>
          <w:rtl/>
        </w:rPr>
        <w:tab/>
      </w:r>
      <w:r w:rsidRPr="00967AAF">
        <w:rPr>
          <w:rtl/>
        </w:rPr>
        <w:t>حق المؤلف والحقوق المجاورة</w:t>
      </w:r>
      <w:bookmarkEnd w:id="25"/>
      <w:bookmarkEnd w:id="26"/>
    </w:p>
    <w:p w:rsidR="00B31868" w:rsidRPr="009A48D1" w:rsidRDefault="00B31868" w:rsidP="009E62B8">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hint="cs"/>
          <w:b/>
          <w:bCs/>
          <w:sz w:val="36"/>
          <w:szCs w:val="36"/>
          <w:rtl/>
          <w:lang w:val="fr-CH"/>
        </w:rPr>
        <w:t>:</w:t>
      </w:r>
      <w:r w:rsidRPr="009A48D1">
        <w:rPr>
          <w:rFonts w:ascii="Arabic Typesetting" w:hAnsi="Arabic Typesetting" w:cs="Arabic Typesetting"/>
          <w:b/>
          <w:bCs/>
          <w:sz w:val="36"/>
          <w:szCs w:val="36"/>
          <w:lang w:val="fr-CH"/>
        </w:rPr>
        <w:tab/>
      </w:r>
      <w:r w:rsidRPr="009A48D1">
        <w:rPr>
          <w:rFonts w:ascii="Arabic Typesetting" w:hAnsi="Arabic Typesetting" w:cs="Arabic Typesetting"/>
          <w:b/>
          <w:bCs/>
          <w:sz w:val="36"/>
          <w:szCs w:val="36"/>
          <w:rtl/>
          <w:lang w:val="fr-CH"/>
        </w:rPr>
        <w:t>السيد</w:t>
      </w:r>
      <w:r w:rsidRPr="009A48D1">
        <w:rPr>
          <w:rFonts w:ascii="Arabic Typesetting" w:hAnsi="Arabic Typesetting" w:cs="Arabic Typesetting" w:hint="cs"/>
          <w:b/>
          <w:bCs/>
          <w:sz w:val="36"/>
          <w:szCs w:val="36"/>
          <w:rtl/>
          <w:lang w:val="fr-CH"/>
        </w:rPr>
        <w:t>ة</w:t>
      </w:r>
      <w:r w:rsidRPr="009A48D1">
        <w:rPr>
          <w:rFonts w:ascii="Arabic Typesetting" w:hAnsi="Arabic Typesetting" w:cs="Arabic Typesetting"/>
          <w:b/>
          <w:bCs/>
          <w:sz w:val="36"/>
          <w:szCs w:val="36"/>
          <w:rtl/>
          <w:lang w:val="fr-CH"/>
        </w:rPr>
        <w:t xml:space="preserve"> </w:t>
      </w:r>
      <w:r w:rsidR="00086C3F">
        <w:rPr>
          <w:rFonts w:ascii="Arabic Typesetting" w:hAnsi="Arabic Typesetting" w:cs="Arabic Typesetting" w:hint="cs"/>
          <w:b/>
          <w:bCs/>
          <w:sz w:val="36"/>
          <w:szCs w:val="36"/>
          <w:rtl/>
          <w:lang w:val="fr-CH"/>
        </w:rPr>
        <w:t xml:space="preserve">ميشيل </w:t>
      </w:r>
      <w:proofErr w:type="spellStart"/>
      <w:r w:rsidR="00086C3F">
        <w:rPr>
          <w:rFonts w:ascii="Arabic Typesetting" w:hAnsi="Arabic Typesetting" w:cs="Arabic Typesetting" w:hint="cs"/>
          <w:b/>
          <w:bCs/>
          <w:sz w:val="36"/>
          <w:szCs w:val="36"/>
          <w:rtl/>
          <w:lang w:val="fr-CH"/>
        </w:rPr>
        <w:t>وودز</w:t>
      </w:r>
      <w:proofErr w:type="spellEnd"/>
      <w:r w:rsidR="00C33586">
        <w:rPr>
          <w:rFonts w:ascii="Arabic Typesetting" w:hAnsi="Arabic Typesetting" w:cs="Arabic Typesetting" w:hint="cs"/>
          <w:b/>
          <w:bCs/>
          <w:sz w:val="36"/>
          <w:szCs w:val="36"/>
          <w:rtl/>
          <w:lang w:val="fr-CH"/>
        </w:rPr>
        <w:t xml:space="preserve"> (المكلفة </w:t>
      </w:r>
      <w:r w:rsidR="009E62B8">
        <w:rPr>
          <w:rFonts w:ascii="Arabic Typesetting" w:hAnsi="Arabic Typesetting" w:cs="Arabic Typesetting" w:hint="cs"/>
          <w:b/>
          <w:bCs/>
          <w:sz w:val="36"/>
          <w:szCs w:val="36"/>
          <w:rtl/>
          <w:lang w:val="fr-CH"/>
        </w:rPr>
        <w:t>بالإدارة</w:t>
      </w:r>
      <w:r w:rsidR="00C33586">
        <w:rPr>
          <w:rFonts w:ascii="Arabic Typesetting" w:hAnsi="Arabic Typesetting" w:cs="Arabic Typesetting" w:hint="cs"/>
          <w:b/>
          <w:bCs/>
          <w:sz w:val="36"/>
          <w:szCs w:val="36"/>
          <w:rtl/>
          <w:lang w:val="fr-CH"/>
        </w:rPr>
        <w:t>)</w:t>
      </w:r>
    </w:p>
    <w:p w:rsidR="009A48D1" w:rsidRPr="00FE3908" w:rsidRDefault="009A48D1" w:rsidP="009E62B8">
      <w:pPr>
        <w:keepNext/>
        <w:bidi/>
        <w:spacing w:after="240" w:line="340" w:lineRule="exact"/>
        <w:rPr>
          <w:rFonts w:ascii="Arabic Typesetting" w:hAnsi="Arabic Typesetting" w:cs="Arabic Typesetting"/>
          <w:sz w:val="36"/>
          <w:szCs w:val="36"/>
          <w:rtl/>
          <w:lang w:val="fr-CH"/>
        </w:rPr>
      </w:pPr>
      <w:r w:rsidRPr="00E22E36">
        <w:rPr>
          <w:rFonts w:ascii="Arabic Typesetting" w:hAnsi="Arabic Typesetting" w:cs="Arabic Typesetting"/>
          <w:sz w:val="36"/>
          <w:szCs w:val="36"/>
          <w:rtl/>
          <w:lang w:val="fr-CH"/>
        </w:rPr>
        <w:t xml:space="preserve">الإنجازات المحققة خلال الثنائية </w:t>
      </w:r>
      <w:r w:rsidR="00507DE2">
        <w:rPr>
          <w:rFonts w:ascii="Arabic Typesetting" w:hAnsi="Arabic Typesetting" w:cs="Arabic Typesetting"/>
          <w:sz w:val="36"/>
          <w:szCs w:val="36"/>
          <w:rtl/>
          <w:lang w:val="fr-CH"/>
        </w:rPr>
        <w:t>2014/15</w:t>
      </w:r>
    </w:p>
    <w:p w:rsidR="008F54A9" w:rsidRPr="008F54A9" w:rsidRDefault="008F54A9" w:rsidP="009A3712">
      <w:pPr>
        <w:numPr>
          <w:ilvl w:val="0"/>
          <w:numId w:val="4"/>
        </w:numPr>
        <w:bidi/>
        <w:spacing w:after="120" w:line="340" w:lineRule="exact"/>
        <w:ind w:left="0" w:firstLine="0"/>
        <w:rPr>
          <w:rFonts w:ascii="Arabic Typesetting" w:hAnsi="Arabic Typesetting" w:cs="Arabic Typesetting"/>
          <w:sz w:val="34"/>
          <w:szCs w:val="34"/>
        </w:rPr>
      </w:pPr>
      <w:r w:rsidRPr="008F54A9">
        <w:rPr>
          <w:rFonts w:ascii="Arabic Typesetting" w:hAnsi="Arabic Typesetting" w:cs="Arabic Typesetting"/>
          <w:sz w:val="34"/>
          <w:szCs w:val="34"/>
          <w:rtl/>
        </w:rPr>
        <w:t>ركز البرنامج</w:t>
      </w:r>
      <w:r w:rsidR="005009B3">
        <w:rPr>
          <w:rFonts w:ascii="Arabic Typesetting" w:hAnsi="Arabic Typesetting" w:cs="Arabic Typesetting" w:hint="cs"/>
          <w:sz w:val="34"/>
          <w:szCs w:val="34"/>
          <w:rtl/>
        </w:rPr>
        <w:t xml:space="preserve"> 3</w:t>
      </w:r>
      <w:r w:rsidRPr="008F54A9">
        <w:rPr>
          <w:rFonts w:ascii="Arabic Typesetting" w:hAnsi="Arabic Typesetting" w:cs="Arabic Typesetting"/>
          <w:sz w:val="34"/>
          <w:szCs w:val="34"/>
          <w:rtl/>
        </w:rPr>
        <w:t xml:space="preserve"> خلال </w:t>
      </w:r>
      <w:r w:rsidRPr="008F54A9">
        <w:rPr>
          <w:rFonts w:ascii="Arabic Typesetting" w:hAnsi="Arabic Typesetting" w:cs="Arabic Typesetting" w:hint="cs"/>
          <w:sz w:val="34"/>
          <w:szCs w:val="34"/>
          <w:rtl/>
        </w:rPr>
        <w:t xml:space="preserve">الثنائية </w:t>
      </w:r>
      <w:r w:rsidR="00507DE2">
        <w:rPr>
          <w:rFonts w:ascii="Arabic Typesetting" w:hAnsi="Arabic Typesetting" w:cs="Arabic Typesetting" w:hint="cs"/>
          <w:sz w:val="34"/>
          <w:szCs w:val="34"/>
          <w:rtl/>
        </w:rPr>
        <w:t>2014/15</w:t>
      </w:r>
      <w:r w:rsidRPr="008F54A9">
        <w:rPr>
          <w:rFonts w:ascii="Arabic Typesetting" w:hAnsi="Arabic Typesetting" w:cs="Arabic Typesetting"/>
          <w:sz w:val="34"/>
          <w:szCs w:val="34"/>
          <w:rtl/>
        </w:rPr>
        <w:t xml:space="preserve"> على إحراز </w:t>
      </w:r>
      <w:r w:rsidRPr="008F54A9">
        <w:rPr>
          <w:rFonts w:ascii="Arabic Typesetting" w:hAnsi="Arabic Typesetting" w:cs="Arabic Typesetting" w:hint="cs"/>
          <w:sz w:val="34"/>
          <w:szCs w:val="34"/>
          <w:rtl/>
        </w:rPr>
        <w:t xml:space="preserve">النتائج المرتقبة في ثلاثة مجالات رئيسية هي </w:t>
      </w:r>
      <w:r>
        <w:rPr>
          <w:rFonts w:ascii="Arabic Typesetting" w:hAnsi="Arabic Typesetting" w:cs="Arabic Typesetting" w:hint="cs"/>
          <w:sz w:val="34"/>
          <w:szCs w:val="34"/>
          <w:rtl/>
        </w:rPr>
        <w:t>"1" </w:t>
      </w:r>
      <w:r w:rsidRPr="008F54A9">
        <w:rPr>
          <w:rFonts w:ascii="Arabic Typesetting" w:hAnsi="Arabic Typesetting" w:cs="Arabic Typesetting" w:hint="cs"/>
          <w:sz w:val="34"/>
          <w:szCs w:val="34"/>
          <w:rtl/>
        </w:rPr>
        <w:t>المضي قدما</w:t>
      </w:r>
      <w:r w:rsidR="005009B3">
        <w:rPr>
          <w:rFonts w:ascii="Arabic Typesetting" w:hAnsi="Arabic Typesetting" w:cs="Arabic Typesetting" w:hint="cs"/>
          <w:sz w:val="34"/>
          <w:szCs w:val="34"/>
          <w:rtl/>
        </w:rPr>
        <w:t>ً</w:t>
      </w:r>
      <w:r w:rsidRPr="008F54A9">
        <w:rPr>
          <w:rFonts w:ascii="Arabic Typesetting" w:hAnsi="Arabic Typesetting" w:cs="Arabic Typesetting" w:hint="cs"/>
          <w:sz w:val="34"/>
          <w:szCs w:val="34"/>
          <w:rtl/>
        </w:rPr>
        <w:t xml:space="preserve"> في وضع القواعد والمعايير عن طريق دعم الدول الأعضاء </w:t>
      </w:r>
      <w:r w:rsidR="005009B3">
        <w:rPr>
          <w:rFonts w:ascii="Arabic Typesetting" w:hAnsi="Arabic Typesetting" w:cs="Arabic Typesetting" w:hint="cs"/>
          <w:sz w:val="34"/>
          <w:szCs w:val="34"/>
          <w:rtl/>
        </w:rPr>
        <w:t>في ا</w:t>
      </w:r>
      <w:r w:rsidRPr="008F54A9">
        <w:rPr>
          <w:rFonts w:ascii="Arabic Typesetting" w:hAnsi="Arabic Typesetting" w:cs="Arabic Typesetting" w:hint="cs"/>
          <w:sz w:val="34"/>
          <w:szCs w:val="34"/>
          <w:rtl/>
        </w:rPr>
        <w:t xml:space="preserve">لانضمام إلى معاهدات الويبو المعنية بحق المؤلف ودعم </w:t>
      </w:r>
      <w:r w:rsidRPr="008F54A9">
        <w:rPr>
          <w:rFonts w:ascii="Arabic Typesetting" w:hAnsi="Arabic Typesetting" w:cs="Arabic Typesetting"/>
          <w:sz w:val="34"/>
          <w:szCs w:val="34"/>
          <w:rtl/>
        </w:rPr>
        <w:t>اللجنة الدائمة المعنية بحق المؤلف والحقوق المجاورة (اللجنة الدائمة)</w:t>
      </w:r>
      <w:r w:rsidR="005009B3">
        <w:rPr>
          <w:rFonts w:ascii="Arabic Typesetting" w:hAnsi="Arabic Typesetting" w:cs="Arabic Typesetting" w:hint="cs"/>
          <w:sz w:val="34"/>
          <w:szCs w:val="34"/>
          <w:rtl/>
        </w:rPr>
        <w:t>؛</w:t>
      </w:r>
      <w:r w:rsidRPr="008F54A9">
        <w:rPr>
          <w:rFonts w:ascii="Arabic Typesetting" w:hAnsi="Arabic Typesetting" w:cs="Arabic Typesetting" w:hint="cs"/>
          <w:sz w:val="34"/>
          <w:szCs w:val="34"/>
          <w:rtl/>
        </w:rPr>
        <w:t xml:space="preserve"> </w:t>
      </w:r>
      <w:r>
        <w:rPr>
          <w:rFonts w:ascii="Arabic Typesetting" w:hAnsi="Arabic Typesetting" w:cs="Arabic Typesetting" w:hint="cs"/>
          <w:sz w:val="34"/>
          <w:szCs w:val="34"/>
          <w:rtl/>
        </w:rPr>
        <w:t>"2" </w:t>
      </w:r>
      <w:r w:rsidR="005009B3" w:rsidRPr="005009B3">
        <w:rPr>
          <w:rFonts w:ascii="Arabic Typesetting" w:hAnsi="Arabic Typesetting" w:cs="Arabic Typesetting"/>
          <w:sz w:val="34"/>
          <w:szCs w:val="34"/>
          <w:rtl/>
        </w:rPr>
        <w:t>وتعزيز تطوير البنية التحتية لحق المؤلف</w:t>
      </w:r>
      <w:r w:rsidR="005009B3">
        <w:rPr>
          <w:rFonts w:ascii="Arabic Typesetting" w:hAnsi="Arabic Typesetting" w:cs="Arabic Typesetting" w:hint="cs"/>
          <w:sz w:val="34"/>
          <w:szCs w:val="34"/>
          <w:rtl/>
        </w:rPr>
        <w:t>؛ "3" </w:t>
      </w:r>
      <w:r>
        <w:rPr>
          <w:rFonts w:ascii="Arabic Typesetting" w:hAnsi="Arabic Typesetting" w:cs="Arabic Typesetting" w:hint="cs"/>
          <w:sz w:val="34"/>
          <w:szCs w:val="34"/>
          <w:rtl/>
        </w:rPr>
        <w:t>وتعزيز</w:t>
      </w:r>
      <w:r w:rsidRPr="008F54A9">
        <w:rPr>
          <w:rFonts w:ascii="Arabic Typesetting" w:hAnsi="Arabic Typesetting" w:cs="Arabic Typesetting"/>
          <w:sz w:val="34"/>
          <w:szCs w:val="34"/>
          <w:rtl/>
        </w:rPr>
        <w:t xml:space="preserve"> الكفاءات المؤسسية والبشرية في البلدان النامية والبلدان الأقل نموا</w:t>
      </w:r>
      <w:r w:rsidR="005009B3">
        <w:rPr>
          <w:rFonts w:ascii="Arabic Typesetting" w:hAnsi="Arabic Typesetting" w:cs="Arabic Typesetting" w:hint="cs"/>
          <w:sz w:val="34"/>
          <w:szCs w:val="34"/>
          <w:rtl/>
        </w:rPr>
        <w:t>ً</w:t>
      </w:r>
      <w:r w:rsidRPr="008F54A9">
        <w:rPr>
          <w:rFonts w:ascii="Arabic Typesetting" w:hAnsi="Arabic Typesetting" w:cs="Arabic Typesetting"/>
          <w:sz w:val="34"/>
          <w:szCs w:val="34"/>
          <w:rtl/>
        </w:rPr>
        <w:t xml:space="preserve"> </w:t>
      </w:r>
      <w:r>
        <w:rPr>
          <w:rFonts w:ascii="Arabic Typesetting" w:hAnsi="Arabic Typesetting" w:cs="Arabic Typesetting" w:hint="cs"/>
          <w:sz w:val="34"/>
          <w:szCs w:val="34"/>
          <w:rtl/>
        </w:rPr>
        <w:t>كي</w:t>
      </w:r>
      <w:r w:rsidR="005009B3">
        <w:rPr>
          <w:rFonts w:ascii="Arabic Typesetting" w:hAnsi="Arabic Typesetting" w:cs="Arabic Typesetting" w:hint="cs"/>
          <w:sz w:val="34"/>
          <w:szCs w:val="34"/>
          <w:rtl/>
        </w:rPr>
        <w:t xml:space="preserve"> </w:t>
      </w:r>
      <w:r>
        <w:rPr>
          <w:rFonts w:ascii="Arabic Typesetting" w:hAnsi="Arabic Typesetting" w:cs="Arabic Typesetting" w:hint="cs"/>
          <w:sz w:val="34"/>
          <w:szCs w:val="34"/>
          <w:rtl/>
        </w:rPr>
        <w:t>تستفيد تلك البلدان من الإمكانات الاقتصادية لصناعاتها الثقافية عن طريق نظام</w:t>
      </w:r>
      <w:r w:rsidR="005009B3">
        <w:rPr>
          <w:rFonts w:ascii="Arabic Typesetting" w:hAnsi="Arabic Typesetting" w:cs="Arabic Typesetting" w:hint="eastAsia"/>
          <w:sz w:val="34"/>
          <w:szCs w:val="34"/>
          <w:rtl/>
        </w:rPr>
        <w:t> </w:t>
      </w:r>
      <w:r>
        <w:rPr>
          <w:rFonts w:ascii="Arabic Typesetting" w:hAnsi="Arabic Typesetting" w:cs="Arabic Typesetting" w:hint="cs"/>
          <w:sz w:val="34"/>
          <w:szCs w:val="34"/>
          <w:rtl/>
        </w:rPr>
        <w:t>حق المؤلف. وأُحرز تقدم كبير في كل</w:t>
      </w:r>
      <w:r w:rsidRPr="008F54A9">
        <w:rPr>
          <w:rFonts w:ascii="Arabic Typesetting" w:hAnsi="Arabic Typesetting" w:cs="Arabic Typesetting"/>
          <w:sz w:val="34"/>
          <w:szCs w:val="34"/>
          <w:rtl/>
        </w:rPr>
        <w:t xml:space="preserve"> المجالات</w:t>
      </w:r>
      <w:r>
        <w:rPr>
          <w:rFonts w:ascii="Arabic Typesetting" w:hAnsi="Arabic Typesetting" w:cs="Arabic Typesetting" w:hint="cs"/>
          <w:sz w:val="34"/>
          <w:szCs w:val="34"/>
          <w:rtl/>
        </w:rPr>
        <w:t xml:space="preserve"> المذكورة</w:t>
      </w:r>
      <w:r w:rsidRPr="008F54A9">
        <w:rPr>
          <w:rFonts w:ascii="Arabic Typesetting" w:hAnsi="Arabic Typesetting" w:cs="Arabic Typesetting" w:hint="cs"/>
          <w:sz w:val="34"/>
          <w:szCs w:val="34"/>
          <w:rtl/>
        </w:rPr>
        <w:t xml:space="preserve"> كما يتبين من مؤشرات الأداء </w:t>
      </w:r>
      <w:r w:rsidR="00070FC4">
        <w:rPr>
          <w:rFonts w:ascii="Arabic Typesetting" w:hAnsi="Arabic Typesetting" w:cs="Arabic Typesetting" w:hint="cs"/>
          <w:sz w:val="34"/>
          <w:szCs w:val="34"/>
          <w:rtl/>
        </w:rPr>
        <w:t>المعروضة لاحقاً</w:t>
      </w:r>
      <w:r w:rsidRPr="008F54A9">
        <w:rPr>
          <w:rFonts w:ascii="Arabic Typesetting" w:hAnsi="Arabic Typesetting" w:cs="Arabic Typesetting" w:hint="cs"/>
          <w:sz w:val="34"/>
          <w:szCs w:val="34"/>
          <w:rtl/>
        </w:rPr>
        <w:t>.</w:t>
      </w:r>
    </w:p>
    <w:p w:rsidR="008F54A9" w:rsidRPr="008F54A9" w:rsidRDefault="008F54A9" w:rsidP="008F54A9">
      <w:pPr>
        <w:tabs>
          <w:tab w:val="left" w:pos="1132"/>
        </w:tabs>
        <w:bidi/>
        <w:spacing w:after="120" w:line="340" w:lineRule="exact"/>
        <w:rPr>
          <w:rFonts w:ascii="Arabic Typesetting" w:hAnsi="Arabic Typesetting" w:cs="Arabic Typesetting"/>
          <w:sz w:val="34"/>
          <w:szCs w:val="34"/>
          <w:u w:val="single"/>
        </w:rPr>
      </w:pPr>
      <w:r w:rsidRPr="008F54A9">
        <w:rPr>
          <w:rFonts w:ascii="Arabic Typesetting" w:hAnsi="Arabic Typesetting" w:cs="Arabic Typesetting"/>
          <w:sz w:val="34"/>
          <w:szCs w:val="34"/>
          <w:u w:val="single"/>
          <w:rtl/>
        </w:rPr>
        <w:t>العمل المتعلق بوضع القواعد والمعايير والسياسات</w:t>
      </w:r>
    </w:p>
    <w:p w:rsidR="008F54A9" w:rsidRDefault="003F0543" w:rsidP="009A3712">
      <w:pPr>
        <w:numPr>
          <w:ilvl w:val="0"/>
          <w:numId w:val="4"/>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 xml:space="preserve">عملاً بتوصيات جدول أعمال التنمية، </w:t>
      </w:r>
      <w:r w:rsidRPr="008F54A9">
        <w:rPr>
          <w:rFonts w:ascii="Arabic Typesetting" w:hAnsi="Arabic Typesetting" w:cs="Arabic Typesetting" w:hint="cs"/>
          <w:sz w:val="34"/>
          <w:szCs w:val="34"/>
          <w:rtl/>
        </w:rPr>
        <w:t>كانت أنشطة البرنامج شاملة و</w:t>
      </w:r>
      <w:r>
        <w:rPr>
          <w:rFonts w:ascii="Arabic Typesetting" w:hAnsi="Arabic Typesetting" w:cs="Arabic Typesetting" w:hint="cs"/>
          <w:sz w:val="34"/>
          <w:szCs w:val="34"/>
          <w:rtl/>
        </w:rPr>
        <w:t>توجهها</w:t>
      </w:r>
      <w:r w:rsidRPr="008F54A9">
        <w:rPr>
          <w:rFonts w:ascii="Arabic Typesetting" w:hAnsi="Arabic Typesetting" w:cs="Arabic Typesetting" w:hint="cs"/>
          <w:sz w:val="34"/>
          <w:szCs w:val="34"/>
          <w:rtl/>
        </w:rPr>
        <w:t xml:space="preserve"> الدول الأعضاء (التوصية 15) مراعية، كما ينبغي، حدود الملك العام ودوره ومعالمه (التوصيتان 16 و20)، وآخذة في الحسبان مواطن المرونة المتاحة في الاتفاقات الدولية المتعلقة بالملكية الفكرية (التوصية 17).</w:t>
      </w:r>
      <w:r>
        <w:rPr>
          <w:rFonts w:ascii="Arabic Typesetting" w:hAnsi="Arabic Typesetting" w:cs="Arabic Typesetting" w:hint="cs"/>
          <w:sz w:val="34"/>
          <w:szCs w:val="34"/>
          <w:rtl/>
        </w:rPr>
        <w:t xml:space="preserve"> </w:t>
      </w:r>
      <w:r w:rsidRPr="008F54A9">
        <w:rPr>
          <w:rFonts w:ascii="Arabic Typesetting" w:hAnsi="Arabic Typesetting" w:cs="Arabic Typesetting" w:hint="cs"/>
          <w:sz w:val="34"/>
          <w:szCs w:val="34"/>
          <w:rtl/>
        </w:rPr>
        <w:t>واستندت مفاوضات اللجنة الدائمة إلى مشاورات مفتوحة ومتوازنة (التوصيتان 21 و42) مع السعي، في الوقت ذاته، إلى دعم أهداف الأمم المتحدة الإنمائية (التوصية 22).</w:t>
      </w:r>
      <w:r>
        <w:rPr>
          <w:rFonts w:ascii="Arabic Typesetting" w:hAnsi="Arabic Typesetting" w:cs="Arabic Typesetting" w:hint="cs"/>
          <w:sz w:val="34"/>
          <w:szCs w:val="34"/>
          <w:rtl/>
        </w:rPr>
        <w:t xml:space="preserve"> </w:t>
      </w:r>
      <w:r w:rsidRPr="008F54A9">
        <w:rPr>
          <w:rFonts w:ascii="Arabic Typesetting" w:hAnsi="Arabic Typesetting" w:cs="Arabic Typesetting" w:hint="cs"/>
          <w:sz w:val="34"/>
          <w:szCs w:val="34"/>
          <w:rtl/>
        </w:rPr>
        <w:t>وكانت المشورة التشريعية المقدمة إلى الدول الأعضاء، بناء على طلبها، بشأن مسائل حق المؤلف والحقوق المجاورة، إنمائية المنحى ومتوازنة ومكيّفة حسب أوضاع كل دولة من الدول الأعضاء، طبقا لمبادئ جدول أعمال التنمية (التوصية 13)، ومراعية لمواطن المرونة المنطبقة على البلدان على اختلاف مستوياتها الإنمائية (التوصيتان 14 و17).</w:t>
      </w:r>
    </w:p>
    <w:p w:rsidR="008F54A9" w:rsidRPr="008F54A9" w:rsidRDefault="003F0543" w:rsidP="009A3712">
      <w:pPr>
        <w:numPr>
          <w:ilvl w:val="0"/>
          <w:numId w:val="4"/>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و</w:t>
      </w:r>
      <w:r w:rsidR="008F54A9" w:rsidRPr="008F54A9">
        <w:rPr>
          <w:rFonts w:ascii="Arabic Typesetting" w:hAnsi="Arabic Typesetting" w:cs="Arabic Typesetting" w:hint="cs"/>
          <w:sz w:val="34"/>
          <w:szCs w:val="34"/>
          <w:rtl/>
        </w:rPr>
        <w:t xml:space="preserve">تواصل التقدم </w:t>
      </w:r>
      <w:r w:rsidR="00070FC4">
        <w:rPr>
          <w:rFonts w:ascii="Arabic Typesetting" w:hAnsi="Arabic Typesetting" w:cs="Arabic Typesetting" w:hint="cs"/>
          <w:sz w:val="34"/>
          <w:szCs w:val="34"/>
          <w:rtl/>
        </w:rPr>
        <w:t>نحو</w:t>
      </w:r>
      <w:r w:rsidR="008F54A9" w:rsidRPr="008F54A9">
        <w:rPr>
          <w:rFonts w:ascii="Arabic Typesetting" w:hAnsi="Arabic Typesetting" w:cs="Arabic Typesetting" w:hint="cs"/>
          <w:sz w:val="34"/>
          <w:szCs w:val="34"/>
          <w:rtl/>
        </w:rPr>
        <w:t xml:space="preserve"> دخول المعاهدتين الجديدتين لحق المؤلف حيّز النفاذ</w:t>
      </w:r>
      <w:r>
        <w:rPr>
          <w:rFonts w:ascii="Arabic Typesetting" w:hAnsi="Arabic Typesetting" w:cs="Arabic Typesetting" w:hint="cs"/>
          <w:sz w:val="34"/>
          <w:szCs w:val="34"/>
          <w:rtl/>
        </w:rPr>
        <w:t xml:space="preserve"> خلال</w:t>
      </w:r>
      <w:r w:rsidRPr="008F54A9">
        <w:rPr>
          <w:rFonts w:ascii="Arabic Typesetting" w:hAnsi="Arabic Typesetting" w:cs="Arabic Typesetting" w:hint="cs"/>
          <w:sz w:val="34"/>
          <w:szCs w:val="34"/>
          <w:rtl/>
        </w:rPr>
        <w:t xml:space="preserve"> عام</w:t>
      </w:r>
      <w:r>
        <w:rPr>
          <w:rFonts w:ascii="Arabic Typesetting" w:hAnsi="Arabic Typesetting" w:cs="Arabic Typesetting" w:hint="cs"/>
          <w:sz w:val="34"/>
          <w:szCs w:val="34"/>
          <w:rtl/>
        </w:rPr>
        <w:t>ي 2014 و2015</w:t>
      </w:r>
      <w:r w:rsidR="008F54A9" w:rsidRPr="008F54A9">
        <w:rPr>
          <w:rFonts w:ascii="Arabic Typesetting" w:hAnsi="Arabic Typesetting" w:cs="Arabic Typesetting" w:hint="cs"/>
          <w:sz w:val="34"/>
          <w:szCs w:val="34"/>
          <w:rtl/>
        </w:rPr>
        <w:t xml:space="preserve">. </w:t>
      </w:r>
      <w:r>
        <w:rPr>
          <w:rFonts w:ascii="Arabic Typesetting" w:hAnsi="Arabic Typesetting" w:cs="Arabic Typesetting" w:hint="cs"/>
          <w:sz w:val="34"/>
          <w:szCs w:val="34"/>
          <w:rtl/>
        </w:rPr>
        <w:t xml:space="preserve">فقد </w:t>
      </w:r>
      <w:r w:rsidR="008F54A9" w:rsidRPr="008F54A9">
        <w:rPr>
          <w:rFonts w:ascii="Arabic Typesetting" w:hAnsi="Arabic Typesetting" w:cs="Arabic Typesetting" w:hint="cs"/>
          <w:sz w:val="34"/>
          <w:szCs w:val="34"/>
          <w:rtl/>
        </w:rPr>
        <w:t xml:space="preserve">حظيت </w:t>
      </w:r>
      <w:r w:rsidR="008F54A9" w:rsidRPr="008F54A9">
        <w:rPr>
          <w:rFonts w:ascii="Arabic Typesetting" w:hAnsi="Arabic Typesetting" w:cs="Arabic Typesetting"/>
          <w:sz w:val="34"/>
          <w:szCs w:val="34"/>
          <w:rtl/>
        </w:rPr>
        <w:t>معاهدة بيجين لحماية الأداء السمعي البصري</w:t>
      </w:r>
      <w:r w:rsidR="008F54A9" w:rsidRPr="008F54A9">
        <w:rPr>
          <w:rFonts w:ascii="Arabic Typesetting" w:hAnsi="Arabic Typesetting" w:cs="Arabic Typesetting" w:hint="cs"/>
          <w:sz w:val="34"/>
          <w:szCs w:val="34"/>
          <w:rtl/>
        </w:rPr>
        <w:t xml:space="preserve"> (معاهدة بيجين) ب</w:t>
      </w:r>
      <w:r>
        <w:rPr>
          <w:rFonts w:ascii="Arabic Typesetting" w:hAnsi="Arabic Typesetting" w:cs="Arabic Typesetting" w:hint="cs"/>
          <w:sz w:val="34"/>
          <w:szCs w:val="34"/>
          <w:rtl/>
        </w:rPr>
        <w:t>ثماني</w:t>
      </w:r>
      <w:r w:rsidR="008F54A9" w:rsidRPr="008F54A9">
        <w:rPr>
          <w:rFonts w:ascii="Arabic Typesetting" w:hAnsi="Arabic Typesetting" w:cs="Arabic Typesetting" w:hint="cs"/>
          <w:sz w:val="34"/>
          <w:szCs w:val="34"/>
          <w:rtl/>
        </w:rPr>
        <w:t xml:space="preserve"> حالات تصديق وانضمام إضافية (</w:t>
      </w:r>
      <w:r>
        <w:rPr>
          <w:rFonts w:ascii="Arabic Typesetting" w:hAnsi="Arabic Typesetting" w:cs="Arabic Typesetting" w:hint="cs"/>
          <w:sz w:val="34"/>
          <w:szCs w:val="34"/>
          <w:rtl/>
        </w:rPr>
        <w:t>شيلي و</w:t>
      </w:r>
      <w:r w:rsidR="008F54A9" w:rsidRPr="008F54A9">
        <w:rPr>
          <w:rFonts w:ascii="Arabic Typesetting" w:hAnsi="Arabic Typesetting" w:cs="Arabic Typesetting" w:hint="cs"/>
          <w:sz w:val="34"/>
          <w:szCs w:val="34"/>
          <w:rtl/>
        </w:rPr>
        <w:t xml:space="preserve">الصين واليابان </w:t>
      </w:r>
      <w:r>
        <w:rPr>
          <w:rFonts w:ascii="Arabic Typesetting" w:hAnsi="Arabic Typesetting" w:cs="Arabic Typesetting" w:hint="cs"/>
          <w:sz w:val="34"/>
          <w:szCs w:val="34"/>
          <w:rtl/>
        </w:rPr>
        <w:t xml:space="preserve">وقطر وجمهورية مولدوفا والاتحاد الروسي </w:t>
      </w:r>
      <w:r w:rsidR="008F54A9" w:rsidRPr="008F54A9">
        <w:rPr>
          <w:rFonts w:ascii="Arabic Typesetting" w:hAnsi="Arabic Typesetting" w:cs="Arabic Typesetting" w:hint="cs"/>
          <w:sz w:val="34"/>
          <w:szCs w:val="34"/>
          <w:rtl/>
        </w:rPr>
        <w:t xml:space="preserve">وسلوفاكيا والإمارات العربية المتحدة) لتبلغ </w:t>
      </w:r>
      <w:r>
        <w:rPr>
          <w:rFonts w:ascii="Arabic Typesetting" w:hAnsi="Arabic Typesetting" w:cs="Arabic Typesetting" w:hint="cs"/>
          <w:sz w:val="34"/>
          <w:szCs w:val="34"/>
          <w:rtl/>
        </w:rPr>
        <w:t>عشر</w:t>
      </w:r>
      <w:r w:rsidR="008F54A9" w:rsidRPr="008F54A9">
        <w:rPr>
          <w:rFonts w:ascii="Arabic Typesetting" w:hAnsi="Arabic Typesetting" w:cs="Arabic Typesetting" w:hint="cs"/>
          <w:sz w:val="34"/>
          <w:szCs w:val="34"/>
          <w:rtl/>
        </w:rPr>
        <w:t xml:space="preserve"> حالات من أصل الثلاثين اللازمة لدخولها حيّز النفاذ. أما</w:t>
      </w:r>
      <w:r w:rsidR="00070FC4">
        <w:rPr>
          <w:rFonts w:ascii="Arabic Typesetting" w:hAnsi="Arabic Typesetting" w:cs="Arabic Typesetting" w:hint="eastAsia"/>
          <w:sz w:val="34"/>
          <w:szCs w:val="34"/>
          <w:rtl/>
        </w:rPr>
        <w:t> </w:t>
      </w:r>
      <w:r w:rsidR="008F54A9" w:rsidRPr="008F54A9">
        <w:rPr>
          <w:rFonts w:ascii="Arabic Typesetting" w:hAnsi="Arabic Typesetting" w:cs="Arabic Typesetting" w:hint="cs"/>
          <w:sz w:val="34"/>
          <w:szCs w:val="34"/>
          <w:rtl/>
        </w:rPr>
        <w:t>معاهدة مراكش</w:t>
      </w:r>
      <w:r w:rsidR="008F54A9" w:rsidRPr="008F54A9">
        <w:rPr>
          <w:rFonts w:ascii="Arabic Typesetting" w:hAnsi="Arabic Typesetting" w:cs="Arabic Typesetting"/>
          <w:sz w:val="34"/>
          <w:szCs w:val="34"/>
          <w:rtl/>
        </w:rPr>
        <w:t xml:space="preserve"> لتيسير النفاذ إلى المصنفات المنشورة لفائدة الأشخاص المكفوفين أو معاقي البصر أو </w:t>
      </w:r>
      <w:r w:rsidR="008F54A9" w:rsidRPr="008F54A9">
        <w:rPr>
          <w:rFonts w:ascii="Arabic Typesetting" w:hAnsi="Arabic Typesetting" w:cs="Arabic Typesetting" w:hint="cs"/>
          <w:sz w:val="34"/>
          <w:szCs w:val="34"/>
          <w:rtl/>
        </w:rPr>
        <w:t>ذوي إعاقات أخرى في</w:t>
      </w:r>
      <w:r w:rsidR="008F54A9" w:rsidRPr="008F54A9">
        <w:rPr>
          <w:rFonts w:ascii="Arabic Typesetting" w:hAnsi="Arabic Typesetting" w:cs="Arabic Typesetting"/>
          <w:sz w:val="34"/>
          <w:szCs w:val="34"/>
          <w:rtl/>
        </w:rPr>
        <w:t xml:space="preserve"> قراءة المطبوعات</w:t>
      </w:r>
      <w:r w:rsidR="008F54A9" w:rsidRPr="008F54A9">
        <w:rPr>
          <w:rFonts w:ascii="Arabic Typesetting" w:hAnsi="Arabic Typesetting" w:cs="Arabic Typesetting" w:hint="cs"/>
          <w:sz w:val="34"/>
          <w:szCs w:val="34"/>
          <w:rtl/>
          <w:lang w:bidi="ar-EG"/>
        </w:rPr>
        <w:t xml:space="preserve"> </w:t>
      </w:r>
      <w:r w:rsidR="008F54A9" w:rsidRPr="008F54A9">
        <w:rPr>
          <w:rFonts w:ascii="Arabic Typesetting" w:hAnsi="Arabic Typesetting" w:cs="Arabic Typesetting" w:hint="cs"/>
          <w:sz w:val="34"/>
          <w:szCs w:val="34"/>
          <w:rtl/>
        </w:rPr>
        <w:t xml:space="preserve">(معاهدة مراكش) </w:t>
      </w:r>
      <w:r>
        <w:rPr>
          <w:rFonts w:ascii="Arabic Typesetting" w:hAnsi="Arabic Typesetting" w:cs="Arabic Typesetting" w:hint="cs"/>
          <w:sz w:val="34"/>
          <w:szCs w:val="34"/>
          <w:rtl/>
        </w:rPr>
        <w:t xml:space="preserve">فقد حظيت </w:t>
      </w:r>
      <w:r w:rsidR="008F54A9" w:rsidRPr="008F54A9">
        <w:rPr>
          <w:rFonts w:ascii="Arabic Typesetting" w:hAnsi="Arabic Typesetting" w:cs="Arabic Typesetting" w:hint="cs"/>
          <w:sz w:val="34"/>
          <w:szCs w:val="34"/>
          <w:rtl/>
        </w:rPr>
        <w:t>بما مجموعه 80 توقيعا</w:t>
      </w:r>
      <w:r>
        <w:rPr>
          <w:rFonts w:ascii="Arabic Typesetting" w:hAnsi="Arabic Typesetting" w:cs="Arabic Typesetting" w:hint="cs"/>
          <w:sz w:val="34"/>
          <w:szCs w:val="34"/>
          <w:rtl/>
        </w:rPr>
        <w:t>ً</w:t>
      </w:r>
      <w:r w:rsidR="008F54A9" w:rsidRPr="008F54A9">
        <w:rPr>
          <w:rFonts w:ascii="Arabic Typesetting" w:hAnsi="Arabic Typesetting" w:cs="Arabic Typesetting" w:hint="cs"/>
          <w:sz w:val="34"/>
          <w:szCs w:val="34"/>
          <w:rtl/>
        </w:rPr>
        <w:t xml:space="preserve"> بحلول مهلة يونيو</w:t>
      </w:r>
      <w:r>
        <w:rPr>
          <w:rFonts w:ascii="Arabic Typesetting" w:hAnsi="Arabic Typesetting" w:cs="Arabic Typesetting" w:hint="cs"/>
          <w:sz w:val="34"/>
          <w:szCs w:val="34"/>
          <w:rtl/>
        </w:rPr>
        <w:t xml:space="preserve"> 2014. وحظيت أيضاً بثلاث عشرة </w:t>
      </w:r>
      <w:r w:rsidR="008F54A9" w:rsidRPr="008F54A9">
        <w:rPr>
          <w:rFonts w:ascii="Arabic Typesetting" w:hAnsi="Arabic Typesetting" w:cs="Arabic Typesetting" w:hint="cs"/>
          <w:sz w:val="34"/>
          <w:szCs w:val="34"/>
          <w:rtl/>
        </w:rPr>
        <w:t>حال</w:t>
      </w:r>
      <w:r>
        <w:rPr>
          <w:rFonts w:ascii="Arabic Typesetting" w:hAnsi="Arabic Typesetting" w:cs="Arabic Typesetting" w:hint="cs"/>
          <w:sz w:val="34"/>
          <w:szCs w:val="34"/>
          <w:rtl/>
        </w:rPr>
        <w:t>ة</w:t>
      </w:r>
      <w:r w:rsidR="008F54A9" w:rsidRPr="008F54A9">
        <w:rPr>
          <w:rFonts w:ascii="Arabic Typesetting" w:hAnsi="Arabic Typesetting" w:cs="Arabic Typesetting" w:hint="cs"/>
          <w:sz w:val="34"/>
          <w:szCs w:val="34"/>
          <w:rtl/>
        </w:rPr>
        <w:t xml:space="preserve"> تصديق وانضمام (</w:t>
      </w:r>
      <w:r>
        <w:rPr>
          <w:rFonts w:ascii="Arabic Typesetting" w:hAnsi="Arabic Typesetting" w:cs="Arabic Typesetting" w:hint="cs"/>
          <w:sz w:val="34"/>
          <w:szCs w:val="34"/>
          <w:rtl/>
        </w:rPr>
        <w:t>الأرجنتين وأستراليا والبرازيل و</w:t>
      </w:r>
      <w:r w:rsidR="008F54A9" w:rsidRPr="008F54A9">
        <w:rPr>
          <w:rFonts w:ascii="Arabic Typesetting" w:hAnsi="Arabic Typesetting" w:cs="Arabic Typesetting" w:hint="cs"/>
          <w:sz w:val="34"/>
          <w:szCs w:val="34"/>
          <w:rtl/>
        </w:rPr>
        <w:t xml:space="preserve">السلفادور والهند ومالي </w:t>
      </w:r>
      <w:r>
        <w:rPr>
          <w:rFonts w:ascii="Arabic Typesetting" w:hAnsi="Arabic Typesetting" w:cs="Arabic Typesetting" w:hint="cs"/>
          <w:sz w:val="34"/>
          <w:szCs w:val="34"/>
          <w:rtl/>
        </w:rPr>
        <w:t xml:space="preserve">والمكسيك ومنغوليا وباراغواي وجمهورية كوريا وسنغافورة </w:t>
      </w:r>
      <w:r w:rsidR="008F54A9" w:rsidRPr="008F54A9">
        <w:rPr>
          <w:rFonts w:ascii="Arabic Typesetting" w:hAnsi="Arabic Typesetting" w:cs="Arabic Typesetting" w:hint="cs"/>
          <w:sz w:val="34"/>
          <w:szCs w:val="34"/>
          <w:rtl/>
        </w:rPr>
        <w:t xml:space="preserve">والإمارات العربية المتحدة وأوروغواي) من أصل العشرين اللازمة لدخولها حيّز النفاذ. وكانت الأهداف المحدّدة في الدورة العشرين للجنة البرنامج والميزانية للثنائية </w:t>
      </w:r>
      <w:r w:rsidR="00507DE2">
        <w:rPr>
          <w:rFonts w:ascii="Arabic Typesetting" w:hAnsi="Arabic Typesetting" w:cs="Arabic Typesetting" w:hint="cs"/>
          <w:sz w:val="34"/>
          <w:szCs w:val="34"/>
          <w:rtl/>
        </w:rPr>
        <w:t>2014/15</w:t>
      </w:r>
      <w:r w:rsidR="008F54A9" w:rsidRPr="008F54A9">
        <w:rPr>
          <w:rFonts w:ascii="Arabic Typesetting" w:hAnsi="Arabic Typesetting" w:cs="Arabic Typesetting" w:hint="cs"/>
          <w:sz w:val="34"/>
          <w:szCs w:val="34"/>
          <w:rtl/>
        </w:rPr>
        <w:t xml:space="preserve"> فيما يخص حالات التصديق/الانضمام طموحة نوعا ما </w:t>
      </w:r>
      <w:r>
        <w:rPr>
          <w:rFonts w:ascii="Arabic Typesetting" w:hAnsi="Arabic Typesetting" w:cs="Arabic Typesetting" w:hint="cs"/>
          <w:sz w:val="34"/>
          <w:szCs w:val="34"/>
          <w:rtl/>
        </w:rPr>
        <w:t>نظراً</w:t>
      </w:r>
      <w:r w:rsidR="008F54A9" w:rsidRPr="008F54A9">
        <w:rPr>
          <w:rFonts w:ascii="Arabic Typesetting" w:hAnsi="Arabic Typesetting" w:cs="Arabic Typesetting" w:hint="cs"/>
          <w:sz w:val="34"/>
          <w:szCs w:val="34"/>
          <w:rtl/>
        </w:rPr>
        <w:t xml:space="preserve"> إلى ضرورة إبقاء الموارد المخصصة لذلك في المستويات المقترحة</w:t>
      </w:r>
      <w:r w:rsidR="00136959">
        <w:rPr>
          <w:rFonts w:ascii="Arabic Typesetting" w:hAnsi="Arabic Typesetting" w:cs="Arabic Typesetting" w:hint="cs"/>
          <w:sz w:val="34"/>
          <w:szCs w:val="34"/>
          <w:rtl/>
        </w:rPr>
        <w:t>، غير أن البرنامج قد تمكن من تحقيقها جزئياً بإيلاء الأولوية ل</w:t>
      </w:r>
      <w:r w:rsidR="008F54A9" w:rsidRPr="008F54A9">
        <w:rPr>
          <w:rFonts w:ascii="Arabic Typesetting" w:hAnsi="Arabic Typesetting" w:cs="Arabic Typesetting" w:hint="cs"/>
          <w:sz w:val="34"/>
          <w:szCs w:val="34"/>
          <w:rtl/>
        </w:rPr>
        <w:t xml:space="preserve">مساعدة الدول الأعضاء </w:t>
      </w:r>
      <w:r w:rsidR="00070FC4">
        <w:rPr>
          <w:rFonts w:ascii="Arabic Typesetting" w:hAnsi="Arabic Typesetting" w:cs="Arabic Typesetting" w:hint="cs"/>
          <w:sz w:val="34"/>
          <w:szCs w:val="34"/>
          <w:rtl/>
        </w:rPr>
        <w:t>على</w:t>
      </w:r>
      <w:r w:rsidR="008F54A9" w:rsidRPr="008F54A9">
        <w:rPr>
          <w:rFonts w:ascii="Arabic Typesetting" w:hAnsi="Arabic Typesetting" w:cs="Arabic Typesetting" w:hint="cs"/>
          <w:sz w:val="34"/>
          <w:szCs w:val="34"/>
          <w:rtl/>
        </w:rPr>
        <w:t xml:space="preserve"> </w:t>
      </w:r>
      <w:r w:rsidR="00136959">
        <w:rPr>
          <w:rFonts w:ascii="Arabic Typesetting" w:hAnsi="Arabic Typesetting" w:cs="Arabic Typesetting" w:hint="cs"/>
          <w:sz w:val="34"/>
          <w:szCs w:val="34"/>
          <w:rtl/>
        </w:rPr>
        <w:t xml:space="preserve">الانضمام إلى المعاهدتين. </w:t>
      </w:r>
      <w:r w:rsidR="00070FC4">
        <w:rPr>
          <w:rFonts w:ascii="Arabic Typesetting" w:hAnsi="Arabic Typesetting" w:cs="Arabic Typesetting" w:hint="cs"/>
          <w:sz w:val="34"/>
          <w:szCs w:val="34"/>
          <w:rtl/>
        </w:rPr>
        <w:t>ولن يحيد</w:t>
      </w:r>
      <w:r w:rsidR="00136959">
        <w:rPr>
          <w:rFonts w:ascii="Arabic Typesetting" w:hAnsi="Arabic Typesetting" w:cs="Arabic Typesetting" w:hint="cs"/>
          <w:sz w:val="34"/>
          <w:szCs w:val="34"/>
          <w:rtl/>
        </w:rPr>
        <w:t xml:space="preserve"> البرنامج ع</w:t>
      </w:r>
      <w:r w:rsidR="00070FC4">
        <w:rPr>
          <w:rFonts w:ascii="Arabic Typesetting" w:hAnsi="Arabic Typesetting" w:cs="Arabic Typesetting" w:hint="cs"/>
          <w:sz w:val="34"/>
          <w:szCs w:val="34"/>
          <w:rtl/>
        </w:rPr>
        <w:t>ن</w:t>
      </w:r>
      <w:r w:rsidR="00136959">
        <w:rPr>
          <w:rFonts w:ascii="Arabic Typesetting" w:hAnsi="Arabic Typesetting" w:cs="Arabic Typesetting" w:hint="cs"/>
          <w:sz w:val="34"/>
          <w:szCs w:val="34"/>
          <w:rtl/>
        </w:rPr>
        <w:t xml:space="preserve"> هذا النهج خلال الثنائية </w:t>
      </w:r>
      <w:r w:rsidR="00507DE2">
        <w:rPr>
          <w:rFonts w:ascii="Arabic Typesetting" w:hAnsi="Arabic Typesetting" w:cs="Arabic Typesetting" w:hint="cs"/>
          <w:sz w:val="34"/>
          <w:szCs w:val="34"/>
          <w:rtl/>
        </w:rPr>
        <w:t>2016/17</w:t>
      </w:r>
      <w:r w:rsidR="00136959">
        <w:rPr>
          <w:rFonts w:ascii="Arabic Typesetting" w:hAnsi="Arabic Typesetting" w:cs="Arabic Typesetting" w:hint="cs"/>
          <w:sz w:val="34"/>
          <w:szCs w:val="34"/>
          <w:rtl/>
        </w:rPr>
        <w:t>.</w:t>
      </w:r>
    </w:p>
    <w:p w:rsidR="008F54A9" w:rsidRDefault="00136959" w:rsidP="009A3712">
      <w:pPr>
        <w:numPr>
          <w:ilvl w:val="0"/>
          <w:numId w:val="4"/>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وأجريت المزيد من المناقشات عن</w:t>
      </w:r>
      <w:r w:rsidR="00C33586">
        <w:rPr>
          <w:rFonts w:ascii="Arabic Typesetting" w:hAnsi="Arabic Typesetting" w:cs="Arabic Typesetting" w:hint="cs"/>
          <w:sz w:val="34"/>
          <w:szCs w:val="34"/>
          <w:rtl/>
        </w:rPr>
        <w:t xml:space="preserve"> موضوعات</w:t>
      </w:r>
      <w:r>
        <w:rPr>
          <w:rFonts w:ascii="Arabic Typesetting" w:hAnsi="Arabic Typesetting" w:cs="Arabic Typesetting" w:hint="cs"/>
          <w:sz w:val="34"/>
          <w:szCs w:val="34"/>
          <w:rtl/>
        </w:rPr>
        <w:t xml:space="preserve"> جدول أعمال اللجنة الدائمة خلال الاجتماعات الخمسة التي عُقدت في أبريل/مايو 2014 ويونيو/يوليو 2014 وديسمبر 2014 ويونيو/يوليو 2015 وديسمبر 2015. </w:t>
      </w:r>
      <w:r w:rsidRPr="008F54A9">
        <w:rPr>
          <w:rFonts w:ascii="Arabic Typesetting" w:hAnsi="Arabic Typesetting" w:cs="Arabic Typesetting" w:hint="cs"/>
          <w:sz w:val="34"/>
          <w:szCs w:val="34"/>
          <w:rtl/>
        </w:rPr>
        <w:t>وتناولت مناقشات اللجنة الدائمة معاهدة مقترحة بشأن هيئات البث والتقييدات والاستثناءات لفائدة المكتبات ودور المحفوظات ومؤسسات التعليم والبحث والأشخاص ذوي إعاقات أخرى</w:t>
      </w:r>
      <w:r w:rsidR="00C33586">
        <w:rPr>
          <w:rFonts w:ascii="Arabic Typesetting" w:hAnsi="Arabic Typesetting" w:cs="Arabic Typesetting" w:hint="cs"/>
          <w:sz w:val="34"/>
          <w:szCs w:val="34"/>
          <w:rtl/>
        </w:rPr>
        <w:t xml:space="preserve"> (غير تلك المشمولة بمعاهدة مراكش)</w:t>
      </w:r>
      <w:r w:rsidRPr="008F54A9">
        <w:rPr>
          <w:rFonts w:ascii="Arabic Typesetting" w:hAnsi="Arabic Typesetting" w:cs="Arabic Typesetting" w:hint="cs"/>
          <w:sz w:val="34"/>
          <w:szCs w:val="34"/>
          <w:rtl/>
        </w:rPr>
        <w:t>.</w:t>
      </w:r>
      <w:r>
        <w:rPr>
          <w:rFonts w:ascii="Arabic Typesetting" w:hAnsi="Arabic Typesetting" w:cs="Arabic Typesetting" w:hint="cs"/>
          <w:sz w:val="34"/>
          <w:szCs w:val="34"/>
          <w:rtl/>
        </w:rPr>
        <w:t xml:space="preserve"> وفضلاً عن ذلك، تلقت اللجنة الدائمة في دورتها المعقودة في ديسمبر 2015 </w:t>
      </w:r>
      <w:r w:rsidR="00992C4D">
        <w:rPr>
          <w:rFonts w:ascii="Arabic Typesetting" w:hAnsi="Arabic Typesetting" w:cs="Arabic Typesetting" w:hint="cs"/>
          <w:sz w:val="34"/>
          <w:szCs w:val="34"/>
          <w:rtl/>
        </w:rPr>
        <w:t>اقتراحين يتصل كل منهما بإدراج بند جديد</w:t>
      </w:r>
      <w:r>
        <w:rPr>
          <w:rFonts w:ascii="Arabic Typesetting" w:hAnsi="Arabic Typesetting" w:cs="Arabic Typesetting" w:hint="cs"/>
          <w:sz w:val="34"/>
          <w:szCs w:val="34"/>
          <w:rtl/>
        </w:rPr>
        <w:t xml:space="preserve"> في جدول أعمالها </w:t>
      </w:r>
      <w:r w:rsidR="00992C4D">
        <w:rPr>
          <w:rFonts w:ascii="Arabic Typesetting" w:hAnsi="Arabic Typesetting" w:cs="Arabic Typesetting" w:hint="cs"/>
          <w:sz w:val="34"/>
          <w:szCs w:val="34"/>
          <w:rtl/>
        </w:rPr>
        <w:t>يخص</w:t>
      </w:r>
      <w:r>
        <w:rPr>
          <w:rFonts w:ascii="Arabic Typesetting" w:hAnsi="Arabic Typesetting" w:cs="Arabic Typesetting" w:hint="cs"/>
          <w:sz w:val="34"/>
          <w:szCs w:val="34"/>
          <w:rtl/>
        </w:rPr>
        <w:t xml:space="preserve"> أولهما </w:t>
      </w:r>
      <w:r w:rsidR="00B603AE" w:rsidRPr="00B603AE">
        <w:rPr>
          <w:rFonts w:ascii="Arabic Typesetting" w:hAnsi="Arabic Typesetting" w:cs="Arabic Typesetting"/>
          <w:sz w:val="34"/>
          <w:szCs w:val="34"/>
          <w:rtl/>
        </w:rPr>
        <w:t>تحليل حق المؤلف المتعلق بالبيئة الرقمية</w:t>
      </w:r>
      <w:r w:rsidR="00B603AE">
        <w:rPr>
          <w:rFonts w:ascii="Arabic Typesetting" w:hAnsi="Arabic Typesetting" w:cs="Arabic Typesetting" w:hint="cs"/>
          <w:sz w:val="34"/>
          <w:szCs w:val="34"/>
          <w:rtl/>
        </w:rPr>
        <w:t>، ويتعلق ثانيهما بحق التتبع. ولم يحق</w:t>
      </w:r>
      <w:r w:rsidR="00070FC4">
        <w:rPr>
          <w:rFonts w:ascii="Arabic Typesetting" w:hAnsi="Arabic Typesetting" w:cs="Arabic Typesetting" w:hint="cs"/>
          <w:sz w:val="34"/>
          <w:szCs w:val="34"/>
          <w:rtl/>
        </w:rPr>
        <w:t>َّ</w:t>
      </w:r>
      <w:r w:rsidR="00B603AE">
        <w:rPr>
          <w:rFonts w:ascii="Arabic Typesetting" w:hAnsi="Arabic Typesetting" w:cs="Arabic Typesetting" w:hint="cs"/>
          <w:sz w:val="34"/>
          <w:szCs w:val="34"/>
          <w:rtl/>
        </w:rPr>
        <w:t xml:space="preserve">ق هدف الدعوة إلى عقد مؤتمر دبلوماسي يعنى باعتماد معاهدة جديدة؛ وعليه طلبت الدول الأعضاء إلغاء هذا الهدف للثنائية </w:t>
      </w:r>
      <w:r w:rsidR="00507DE2">
        <w:rPr>
          <w:rFonts w:ascii="Arabic Typesetting" w:hAnsi="Arabic Typesetting" w:cs="Arabic Typesetting" w:hint="cs"/>
          <w:sz w:val="34"/>
          <w:szCs w:val="34"/>
          <w:rtl/>
        </w:rPr>
        <w:t>2016/17</w:t>
      </w:r>
      <w:r w:rsidR="00B603AE">
        <w:rPr>
          <w:rFonts w:ascii="Arabic Typesetting" w:hAnsi="Arabic Typesetting" w:cs="Arabic Typesetting" w:hint="cs"/>
          <w:sz w:val="34"/>
          <w:szCs w:val="34"/>
          <w:rtl/>
        </w:rPr>
        <w:t>.</w:t>
      </w:r>
    </w:p>
    <w:p w:rsidR="008F54A9" w:rsidRDefault="00B603AE" w:rsidP="009A3712">
      <w:pPr>
        <w:numPr>
          <w:ilvl w:val="0"/>
          <w:numId w:val="4"/>
        </w:numPr>
        <w:bidi/>
        <w:spacing w:after="120" w:line="340" w:lineRule="exact"/>
        <w:ind w:left="0" w:firstLine="0"/>
        <w:rPr>
          <w:rFonts w:ascii="Arabic Typesetting" w:hAnsi="Arabic Typesetting" w:cs="Arabic Typesetting"/>
          <w:sz w:val="34"/>
          <w:szCs w:val="34"/>
        </w:rPr>
      </w:pPr>
      <w:r w:rsidRPr="00B603AE">
        <w:rPr>
          <w:rFonts w:ascii="Arabic Typesetting" w:hAnsi="Arabic Typesetting" w:cs="Arabic Typesetting" w:hint="cs"/>
          <w:sz w:val="34"/>
          <w:szCs w:val="34"/>
          <w:rtl/>
        </w:rPr>
        <w:t xml:space="preserve">وقدِّمت المشورة التشريعية إلى 25 دولة عضواً في مناطق مختلفة خلال </w:t>
      </w:r>
      <w:r w:rsidR="00507DE2">
        <w:rPr>
          <w:rFonts w:ascii="Arabic Typesetting" w:hAnsi="Arabic Typesetting" w:cs="Arabic Typesetting" w:hint="cs"/>
          <w:sz w:val="34"/>
          <w:szCs w:val="34"/>
          <w:rtl/>
        </w:rPr>
        <w:t>2014/15</w:t>
      </w:r>
      <w:r w:rsidRPr="00B603AE">
        <w:rPr>
          <w:rFonts w:ascii="Arabic Typesetting" w:hAnsi="Arabic Typesetting" w:cs="Arabic Typesetting" w:hint="cs"/>
          <w:sz w:val="34"/>
          <w:szCs w:val="34"/>
          <w:rtl/>
        </w:rPr>
        <w:t xml:space="preserve">. وزاد الطلب على هذه المشورة خلال </w:t>
      </w:r>
      <w:r w:rsidR="00507DE2">
        <w:rPr>
          <w:rFonts w:ascii="Arabic Typesetting" w:hAnsi="Arabic Typesetting" w:cs="Arabic Typesetting" w:hint="cs"/>
          <w:sz w:val="34"/>
          <w:szCs w:val="34"/>
          <w:rtl/>
        </w:rPr>
        <w:t>2014/15</w:t>
      </w:r>
      <w:r w:rsidRPr="00B603AE">
        <w:rPr>
          <w:rFonts w:ascii="Arabic Typesetting" w:hAnsi="Arabic Typesetting" w:cs="Arabic Typesetting" w:hint="cs"/>
          <w:sz w:val="34"/>
          <w:szCs w:val="34"/>
          <w:rtl/>
        </w:rPr>
        <w:t xml:space="preserve"> </w:t>
      </w:r>
      <w:r w:rsidR="008F54A9" w:rsidRPr="008F54A9">
        <w:rPr>
          <w:rFonts w:ascii="Arabic Typesetting" w:hAnsi="Arabic Typesetting" w:cs="Arabic Typesetting" w:hint="cs"/>
          <w:sz w:val="34"/>
          <w:szCs w:val="34"/>
          <w:rtl/>
        </w:rPr>
        <w:t>لعدة أسباب منها اهتمام الدول الأعضاء بالانضمام إلى معاهدتي بيجين ومراكش. وقُدمت مشورة أيضا</w:t>
      </w:r>
      <w:r w:rsidR="00070FC4">
        <w:rPr>
          <w:rFonts w:ascii="Arabic Typesetting" w:hAnsi="Arabic Typesetting" w:cs="Arabic Typesetting" w:hint="cs"/>
          <w:sz w:val="34"/>
          <w:szCs w:val="34"/>
          <w:rtl/>
        </w:rPr>
        <w:t>ً</w:t>
      </w:r>
      <w:r w:rsidR="008F54A9" w:rsidRPr="008F54A9">
        <w:rPr>
          <w:rFonts w:ascii="Arabic Typesetting" w:hAnsi="Arabic Typesetting" w:cs="Arabic Typesetting" w:hint="cs"/>
          <w:sz w:val="34"/>
          <w:szCs w:val="34"/>
          <w:rtl/>
        </w:rPr>
        <w:t xml:space="preserve"> بشأن نظام العشر سنوات الجديد الخاص بملحق برن إلى البلدان النامية والبلدان الأقل نموا بناء على طلبها.</w:t>
      </w:r>
      <w:r>
        <w:rPr>
          <w:rFonts w:ascii="Arabic Typesetting" w:hAnsi="Arabic Typesetting" w:cs="Arabic Typesetting" w:hint="cs"/>
          <w:sz w:val="34"/>
          <w:szCs w:val="34"/>
          <w:rtl/>
        </w:rPr>
        <w:t xml:space="preserve"> وكشفت دراسة استقصائية أجريت في عام 2015 أن خدمة المشورة التشريعية لقيت صدى إيجابياً في صفوف الدول الأعضاء.</w:t>
      </w:r>
    </w:p>
    <w:p w:rsidR="008F54A9" w:rsidRPr="00C33586" w:rsidRDefault="00B603AE" w:rsidP="009A3712">
      <w:pPr>
        <w:numPr>
          <w:ilvl w:val="0"/>
          <w:numId w:val="4"/>
        </w:numPr>
        <w:bidi/>
        <w:spacing w:after="120" w:line="340" w:lineRule="exact"/>
        <w:ind w:left="0" w:firstLine="0"/>
        <w:rPr>
          <w:rFonts w:ascii="Arabic Typesetting" w:hAnsi="Arabic Typesetting" w:cs="Arabic Typesetting"/>
          <w:sz w:val="34"/>
          <w:szCs w:val="34"/>
          <w:u w:val="single"/>
        </w:rPr>
      </w:pPr>
      <w:r w:rsidRPr="00B603AE">
        <w:rPr>
          <w:rFonts w:ascii="Arabic Typesetting" w:hAnsi="Arabic Typesetting" w:cs="Arabic Typesetting" w:hint="cs"/>
          <w:sz w:val="34"/>
          <w:szCs w:val="34"/>
          <w:rtl/>
        </w:rPr>
        <w:lastRenderedPageBreak/>
        <w:t xml:space="preserve">وأحرز تقدِّم جيد </w:t>
      </w:r>
      <w:r w:rsidR="008F54A9" w:rsidRPr="008F54A9">
        <w:rPr>
          <w:rFonts w:ascii="Arabic Typesetting" w:hAnsi="Arabic Typesetting" w:cs="Arabic Typesetting"/>
          <w:sz w:val="34"/>
          <w:szCs w:val="34"/>
          <w:rtl/>
          <w:lang w:bidi="ar-EG"/>
        </w:rPr>
        <w:t xml:space="preserve">في مشروعات </w:t>
      </w:r>
      <w:r w:rsidR="008F54A9" w:rsidRPr="008F54A9">
        <w:rPr>
          <w:rFonts w:ascii="Arabic Typesetting" w:hAnsi="Arabic Typesetting" w:cs="Arabic Typesetting" w:hint="cs"/>
          <w:sz w:val="34"/>
          <w:szCs w:val="34"/>
          <w:rtl/>
          <w:lang w:bidi="ar-EG"/>
        </w:rPr>
        <w:t>مختلفة</w:t>
      </w:r>
      <w:r w:rsidR="008F54A9" w:rsidRPr="008F54A9">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ت</w:t>
      </w:r>
      <w:r w:rsidR="008F54A9" w:rsidRPr="008F54A9">
        <w:rPr>
          <w:rFonts w:ascii="Arabic Typesetting" w:hAnsi="Arabic Typesetting" w:cs="Arabic Typesetting"/>
          <w:sz w:val="34"/>
          <w:szCs w:val="34"/>
          <w:rtl/>
          <w:lang w:bidi="ar-EG"/>
        </w:rPr>
        <w:t>هدف</w:t>
      </w:r>
      <w:r>
        <w:rPr>
          <w:rFonts w:ascii="Arabic Typesetting" w:hAnsi="Arabic Typesetting" w:cs="Arabic Typesetting" w:hint="cs"/>
          <w:sz w:val="34"/>
          <w:szCs w:val="34"/>
          <w:rtl/>
          <w:lang w:bidi="ar-EG"/>
        </w:rPr>
        <w:t xml:space="preserve"> إلى</w:t>
      </w:r>
      <w:r w:rsidR="008F54A9" w:rsidRPr="008F54A9">
        <w:rPr>
          <w:rFonts w:ascii="Arabic Typesetting" w:hAnsi="Arabic Typesetting" w:cs="Arabic Typesetting"/>
          <w:sz w:val="34"/>
          <w:szCs w:val="34"/>
          <w:rtl/>
          <w:lang w:bidi="ar-EG"/>
        </w:rPr>
        <w:t xml:space="preserve"> تعزيز دور الويبو في ميدان حق المؤلف في البيئة الرقمية. </w:t>
      </w:r>
      <w:r w:rsidR="008F54A9" w:rsidRPr="008F54A9">
        <w:rPr>
          <w:rFonts w:ascii="Arabic Typesetting" w:hAnsi="Arabic Typesetting" w:cs="Arabic Typesetting" w:hint="cs"/>
          <w:sz w:val="34"/>
          <w:szCs w:val="34"/>
          <w:rtl/>
        </w:rPr>
        <w:t>وشارك البرنامج في عدد من الأنشطة في محافل مختلفة، مثل منتدى القمة العالمية بشأن مجتمع المعلومات ومنتدى إدارة المعلومات والمنتدى الاقتصادي العالمي، ترمي إلى إ</w:t>
      </w:r>
      <w:r>
        <w:rPr>
          <w:rFonts w:ascii="Arabic Typesetting" w:hAnsi="Arabic Typesetting" w:cs="Arabic Typesetting" w:hint="cs"/>
          <w:sz w:val="34"/>
          <w:szCs w:val="34"/>
          <w:rtl/>
        </w:rPr>
        <w:t>ز</w:t>
      </w:r>
      <w:r w:rsidR="008F54A9" w:rsidRPr="008F54A9">
        <w:rPr>
          <w:rFonts w:ascii="Arabic Typesetting" w:hAnsi="Arabic Typesetting" w:cs="Arabic Typesetting" w:hint="cs"/>
          <w:sz w:val="34"/>
          <w:szCs w:val="34"/>
          <w:rtl/>
        </w:rPr>
        <w:t>كاء الوعي بموضوعات حق المؤلف الوجيهة، بما في ذلك المحتوى الذي يستحدثه المستخدم،</w:t>
      </w:r>
      <w:r>
        <w:rPr>
          <w:rFonts w:ascii="Arabic Typesetting" w:hAnsi="Arabic Typesetting" w:cs="Arabic Typesetting" w:hint="cs"/>
          <w:sz w:val="34"/>
          <w:szCs w:val="34"/>
          <w:rtl/>
        </w:rPr>
        <w:t xml:space="preserve"> والإصدارات المفتوحة المصدر،</w:t>
      </w:r>
      <w:r w:rsidR="008F54A9" w:rsidRPr="008F54A9">
        <w:rPr>
          <w:rFonts w:ascii="Arabic Typesetting" w:hAnsi="Arabic Typesetting" w:cs="Arabic Typesetting" w:hint="cs"/>
          <w:sz w:val="34"/>
          <w:szCs w:val="34"/>
          <w:rtl/>
        </w:rPr>
        <w:t xml:space="preserve"> والحماية القانونية لألعاب الفيديو، وأساليب الترخيص الناشئة.</w:t>
      </w:r>
    </w:p>
    <w:p w:rsidR="00C33586" w:rsidRPr="001919AF" w:rsidRDefault="001919AF" w:rsidP="009A3712">
      <w:pPr>
        <w:numPr>
          <w:ilvl w:val="0"/>
          <w:numId w:val="4"/>
        </w:numPr>
        <w:bidi/>
        <w:spacing w:after="120" w:line="340" w:lineRule="exact"/>
        <w:ind w:left="0" w:firstLine="0"/>
        <w:rPr>
          <w:rFonts w:ascii="Arabic Typesetting" w:hAnsi="Arabic Typesetting" w:cs="Arabic Typesetting"/>
          <w:sz w:val="34"/>
          <w:szCs w:val="34"/>
          <w:lang w:bidi="ar-EG"/>
        </w:rPr>
      </w:pPr>
      <w:r w:rsidRPr="005460B4">
        <w:rPr>
          <w:rFonts w:ascii="Arabic Typesetting" w:hAnsi="Arabic Typesetting" w:cs="Arabic Typesetting" w:hint="cs"/>
          <w:sz w:val="34"/>
          <w:szCs w:val="34"/>
          <w:rtl/>
          <w:lang w:bidi="ar"/>
        </w:rPr>
        <w:t>وتواصل العمل على عدة مشروعات تتعلق بجدول أعمال التنمية: فقد استكمل بنجاح المشروع الرائد لتعزيز القطاع السمعي البصري وتطويره في بوركينا فاسو وبعض البلدان الأفريقية منها كينيا والسنغال وقيِّم خلال الثنائية. وفضلاً عن ذلك واستناداً إلى المناقشات التي أجريت خلال الدورة الثانية عشرة للجنة المعنية بالتنمية والملكية الفكرية (لجنة التنمية)، عُرض اقتراح تنفيذي معد</w:t>
      </w:r>
      <w:r>
        <w:rPr>
          <w:rFonts w:ascii="Arabic Typesetting" w:hAnsi="Arabic Typesetting" w:cs="Arabic Typesetting" w:hint="cs"/>
          <w:sz w:val="34"/>
          <w:szCs w:val="34"/>
          <w:rtl/>
          <w:lang w:bidi="ar"/>
        </w:rPr>
        <w:t>َّ</w:t>
      </w:r>
      <w:r w:rsidRPr="005460B4">
        <w:rPr>
          <w:rFonts w:ascii="Arabic Typesetting" w:hAnsi="Arabic Typesetting" w:cs="Arabic Typesetting" w:hint="cs"/>
          <w:sz w:val="34"/>
          <w:szCs w:val="34"/>
          <w:rtl/>
          <w:lang w:bidi="ar"/>
        </w:rPr>
        <w:t xml:space="preserve">ل بشأن </w:t>
      </w:r>
      <w:r w:rsidRPr="005460B4">
        <w:rPr>
          <w:rFonts w:ascii="Arabic Typesetting" w:hAnsi="Arabic Typesetting" w:cs="Arabic Typesetting"/>
          <w:sz w:val="34"/>
          <w:szCs w:val="34"/>
          <w:rtl/>
          <w:lang w:bidi="ar"/>
        </w:rPr>
        <w:t>إضافة أنشطة جديدة ممكنة للويبو تتعلق بالانتفاع بحق المؤلف للنهوض بالنفاذ إلى المعلومات والمواد الإبداعية</w:t>
      </w:r>
      <w:r w:rsidRPr="005460B4">
        <w:rPr>
          <w:rFonts w:ascii="Arabic Typesetting" w:hAnsi="Arabic Typesetting" w:cs="Arabic Typesetting" w:hint="cs"/>
          <w:sz w:val="34"/>
          <w:szCs w:val="34"/>
          <w:rtl/>
          <w:lang w:bidi="ar"/>
        </w:rPr>
        <w:t xml:space="preserve"> على لجنة التنمية في دورتها الثالثة عشرة ووافقت عليه اللجنة. وإذ صدرت الموافقة على مشروع التنفيذ على مدة ثمانية عشر شهراً في مرحلة متأخرة من الثنائية، سيبدأ التنفيذ في الثنائية </w:t>
      </w:r>
      <w:r>
        <w:rPr>
          <w:rFonts w:ascii="Arabic Typesetting" w:hAnsi="Arabic Typesetting" w:cs="Arabic Typesetting" w:hint="cs"/>
          <w:sz w:val="34"/>
          <w:szCs w:val="34"/>
          <w:rtl/>
          <w:lang w:bidi="ar"/>
        </w:rPr>
        <w:t>2016/17</w:t>
      </w:r>
      <w:r w:rsidRPr="005460B4">
        <w:rPr>
          <w:rFonts w:ascii="Arabic Typesetting" w:hAnsi="Arabic Typesetting" w:cs="Arabic Typesetting" w:hint="cs"/>
          <w:sz w:val="34"/>
          <w:szCs w:val="34"/>
          <w:rtl/>
          <w:lang w:bidi="ar"/>
        </w:rPr>
        <w:t xml:space="preserve">. </w:t>
      </w:r>
      <w:proofErr w:type="spellStart"/>
      <w:r>
        <w:rPr>
          <w:rFonts w:ascii="Arabic Typesetting" w:hAnsi="Arabic Typesetting" w:cs="Arabic Typesetting" w:hint="cs"/>
          <w:sz w:val="34"/>
          <w:szCs w:val="34"/>
          <w:rtl/>
          <w:lang w:bidi="ar"/>
        </w:rPr>
        <w:t>و</w:t>
      </w:r>
      <w:r>
        <w:rPr>
          <w:rFonts w:ascii="Arabic Typesetting" w:hAnsi="Arabic Typesetting" w:cs="Arabic Typesetting"/>
          <w:sz w:val="34"/>
          <w:szCs w:val="34"/>
          <w:rtl/>
          <w:lang w:bidi="ar"/>
        </w:rPr>
        <w:t>‏عُرض</w:t>
      </w:r>
      <w:proofErr w:type="spellEnd"/>
      <w:r>
        <w:rPr>
          <w:rFonts w:ascii="Arabic Typesetting" w:hAnsi="Arabic Typesetting" w:cs="Arabic Typesetting"/>
          <w:sz w:val="34"/>
          <w:szCs w:val="34"/>
          <w:rtl/>
          <w:lang w:bidi="ar"/>
        </w:rPr>
        <w:t xml:space="preserve"> مشروع التحليل المقارن للن</w:t>
      </w:r>
      <w:r w:rsidRPr="005460B4">
        <w:rPr>
          <w:rFonts w:ascii="Arabic Typesetting" w:hAnsi="Arabic Typesetting" w:cs="Arabic Typesetting"/>
          <w:sz w:val="34"/>
          <w:szCs w:val="34"/>
          <w:rtl/>
          <w:lang w:bidi="ar"/>
        </w:rPr>
        <w:t>ه</w:t>
      </w:r>
      <w:r>
        <w:rPr>
          <w:rFonts w:ascii="Arabic Typesetting" w:hAnsi="Arabic Typesetting" w:cs="Arabic Typesetting" w:hint="cs"/>
          <w:sz w:val="34"/>
          <w:szCs w:val="34"/>
          <w:rtl/>
          <w:lang w:bidi="ar"/>
        </w:rPr>
        <w:t>و</w:t>
      </w:r>
      <w:r w:rsidRPr="005460B4">
        <w:rPr>
          <w:rFonts w:ascii="Arabic Typesetting" w:hAnsi="Arabic Typesetting" w:cs="Arabic Typesetting"/>
          <w:sz w:val="34"/>
          <w:szCs w:val="34"/>
          <w:rtl/>
          <w:lang w:bidi="ar"/>
        </w:rPr>
        <w:t xml:space="preserve">ج الوطنية المتعلقة بالتخلي عن حق المؤلف (الوثيقة </w:t>
      </w:r>
      <w:r w:rsidRPr="005460B4">
        <w:rPr>
          <w:rFonts w:ascii="Arabic Typesetting" w:hAnsi="Arabic Typesetting" w:cs="Arabic Typesetting"/>
          <w:sz w:val="34"/>
          <w:szCs w:val="34"/>
          <w:cs/>
          <w:lang w:bidi="ar"/>
        </w:rPr>
        <w:t>‎</w:t>
      </w:r>
      <w:r w:rsidRPr="005460B4">
        <w:rPr>
          <w:rFonts w:ascii="Arabic Typesetting" w:hAnsi="Arabic Typesetting" w:cs="Arabic Typesetting"/>
          <w:sz w:val="34"/>
          <w:szCs w:val="34"/>
          <w:lang w:bidi="ar"/>
        </w:rPr>
        <w:t>CDIP/13/INF/6</w:t>
      </w:r>
      <w:r w:rsidRPr="005460B4">
        <w:rPr>
          <w:rFonts w:ascii="Arabic Typesetting" w:hAnsi="Arabic Typesetting" w:cs="Arabic Typesetting"/>
          <w:sz w:val="34"/>
          <w:szCs w:val="34"/>
          <w:rtl/>
          <w:lang w:bidi="ar"/>
        </w:rPr>
        <w:t xml:space="preserve">‏) وحظي بانطباع إيجابي </w:t>
      </w:r>
      <w:r>
        <w:rPr>
          <w:rFonts w:ascii="Arabic Typesetting" w:hAnsi="Arabic Typesetting" w:cs="Arabic Typesetting" w:hint="cs"/>
          <w:sz w:val="34"/>
          <w:szCs w:val="34"/>
          <w:rtl/>
          <w:lang w:bidi="ar"/>
        </w:rPr>
        <w:t>لدى</w:t>
      </w:r>
      <w:r w:rsidRPr="005460B4">
        <w:rPr>
          <w:rFonts w:ascii="Arabic Typesetting" w:hAnsi="Arabic Typesetting" w:cs="Arabic Typesetting"/>
          <w:sz w:val="34"/>
          <w:szCs w:val="34"/>
          <w:rtl/>
          <w:lang w:bidi="ar"/>
        </w:rPr>
        <w:t xml:space="preserve"> لجنة التنمية في إطار تنفيذ التوصيات 1(ج) و1(و) و2(أ) من دراسة النطاق بشأن حق المؤلف والحقوق المجاورة والملك العام.</w:t>
      </w:r>
    </w:p>
    <w:p w:rsidR="008F54A9" w:rsidRPr="008F54A9" w:rsidRDefault="008F54A9" w:rsidP="008F54A9">
      <w:pPr>
        <w:keepNext/>
        <w:bidi/>
        <w:spacing w:after="120" w:line="340" w:lineRule="exact"/>
        <w:rPr>
          <w:rFonts w:ascii="Arabic Typesetting" w:hAnsi="Arabic Typesetting" w:cs="Arabic Typesetting"/>
          <w:sz w:val="34"/>
          <w:szCs w:val="34"/>
          <w:u w:val="single"/>
          <w:rtl/>
        </w:rPr>
      </w:pPr>
      <w:r w:rsidRPr="008F54A9">
        <w:rPr>
          <w:rFonts w:ascii="Arabic Typesetting" w:hAnsi="Arabic Typesetting" w:cs="Arabic Typesetting"/>
          <w:sz w:val="34"/>
          <w:szCs w:val="34"/>
          <w:u w:val="single"/>
          <w:rtl/>
        </w:rPr>
        <w:t>البنية التحتية لحق المؤلف</w:t>
      </w:r>
    </w:p>
    <w:p w:rsidR="00C7606F" w:rsidRDefault="00C7606F" w:rsidP="009A3712">
      <w:pPr>
        <w:numPr>
          <w:ilvl w:val="0"/>
          <w:numId w:val="4"/>
        </w:numPr>
        <w:bidi/>
        <w:spacing w:after="120" w:line="340" w:lineRule="exact"/>
        <w:ind w:left="0" w:firstLine="0"/>
        <w:rPr>
          <w:rFonts w:ascii="Arabic Typesetting" w:hAnsi="Arabic Typesetting" w:cs="Arabic Typesetting"/>
          <w:sz w:val="34"/>
          <w:szCs w:val="34"/>
          <w:lang w:bidi="ar-EG"/>
        </w:rPr>
      </w:pPr>
      <w:r w:rsidRPr="00401D7B">
        <w:rPr>
          <w:rFonts w:ascii="Arabic Typesetting" w:hAnsi="Arabic Typesetting" w:cs="Arabic Typesetting" w:hint="cs"/>
          <w:sz w:val="34"/>
          <w:szCs w:val="34"/>
          <w:rtl/>
          <w:lang w:bidi="ar-EG"/>
        </w:rPr>
        <w:t>تماشى العمل في هذا المجال مع توصيات جدول أعمال التنمية وبخاصة التوصية 10 (</w:t>
      </w:r>
      <w:r w:rsidR="00401D7B">
        <w:rPr>
          <w:rFonts w:ascii="Arabic Typesetting" w:hAnsi="Arabic Typesetting" w:cs="Arabic Typesetting" w:hint="cs"/>
          <w:sz w:val="34"/>
          <w:szCs w:val="34"/>
          <w:rtl/>
          <w:lang w:bidi="ar-EG"/>
        </w:rPr>
        <w:t>تحسين</w:t>
      </w:r>
      <w:r w:rsidR="00401D7B" w:rsidRPr="00401D7B">
        <w:rPr>
          <w:rFonts w:ascii="Arabic Typesetting" w:hAnsi="Arabic Typesetting" w:cs="Arabic Typesetting" w:hint="cs"/>
          <w:sz w:val="34"/>
          <w:szCs w:val="34"/>
          <w:rtl/>
          <w:lang w:bidi="ar-EG"/>
        </w:rPr>
        <w:t xml:space="preserve"> الكفاءات المؤسسية الوطنية في مجال الملكية الفكرية </w:t>
      </w:r>
      <w:r w:rsidRPr="00401D7B">
        <w:rPr>
          <w:rFonts w:ascii="Arabic Typesetting" w:hAnsi="Arabic Typesetting" w:cs="Arabic Typesetting"/>
          <w:sz w:val="34"/>
          <w:szCs w:val="34"/>
          <w:rtl/>
          <w:lang w:bidi="ar-EG"/>
        </w:rPr>
        <w:t>من خلال المضي في تطوير البنى التحتية وغيرها من المرافق</w:t>
      </w:r>
      <w:r w:rsidR="00401D7B">
        <w:rPr>
          <w:rFonts w:ascii="Arabic Typesetting" w:hAnsi="Arabic Typesetting" w:cs="Arabic Typesetting" w:hint="cs"/>
          <w:sz w:val="34"/>
          <w:szCs w:val="34"/>
          <w:rtl/>
          <w:lang w:bidi="ar-EG"/>
        </w:rPr>
        <w:t>) والتوصية 11 (</w:t>
      </w:r>
      <w:r w:rsidR="00401D7B" w:rsidRPr="00401D7B">
        <w:rPr>
          <w:rFonts w:ascii="Arabic Typesetting" w:hAnsi="Arabic Typesetting" w:cs="Arabic Typesetting"/>
          <w:sz w:val="34"/>
          <w:szCs w:val="34"/>
          <w:rtl/>
          <w:lang w:bidi="ar-EG"/>
        </w:rPr>
        <w:t xml:space="preserve">تعزيز </w:t>
      </w:r>
      <w:r w:rsidR="00401D7B">
        <w:rPr>
          <w:rFonts w:ascii="Arabic Typesetting" w:hAnsi="Arabic Typesetting" w:cs="Arabic Typesetting" w:hint="cs"/>
          <w:sz w:val="34"/>
          <w:szCs w:val="34"/>
          <w:rtl/>
          <w:lang w:bidi="ar-EG"/>
        </w:rPr>
        <w:t>الكفاءات</w:t>
      </w:r>
      <w:r w:rsidR="00401D7B" w:rsidRPr="00401D7B">
        <w:rPr>
          <w:rFonts w:ascii="Arabic Typesetting" w:hAnsi="Arabic Typesetting" w:cs="Arabic Typesetting"/>
          <w:sz w:val="34"/>
          <w:szCs w:val="34"/>
          <w:rtl/>
          <w:lang w:bidi="ar-EG"/>
        </w:rPr>
        <w:t xml:space="preserve"> الوطنية لحماية أعمال الإبداع على الصعيد المحلي</w:t>
      </w:r>
      <w:r w:rsidR="00401D7B">
        <w:rPr>
          <w:rFonts w:ascii="Arabic Typesetting" w:hAnsi="Arabic Typesetting" w:cs="Arabic Typesetting" w:hint="cs"/>
          <w:sz w:val="34"/>
          <w:szCs w:val="34"/>
          <w:rtl/>
          <w:lang w:bidi="ar-EG"/>
        </w:rPr>
        <w:t>) والتوصية 35 (</w:t>
      </w:r>
      <w:r w:rsidR="00401D7B" w:rsidRPr="00401D7B">
        <w:rPr>
          <w:rFonts w:ascii="Arabic Typesetting" w:hAnsi="Arabic Typesetting" w:cs="Arabic Typesetting"/>
          <w:sz w:val="34"/>
          <w:szCs w:val="34"/>
          <w:rtl/>
          <w:lang w:bidi="ar-EG"/>
        </w:rPr>
        <w:t xml:space="preserve">مطالبة الويبو </w:t>
      </w:r>
      <w:r w:rsidR="00B05B47">
        <w:rPr>
          <w:rFonts w:ascii="Arabic Typesetting" w:hAnsi="Arabic Typesetting" w:cs="Arabic Typesetting" w:hint="cs"/>
          <w:sz w:val="34"/>
          <w:szCs w:val="34"/>
          <w:rtl/>
          <w:lang w:bidi="ar-EG"/>
        </w:rPr>
        <w:t>ب</w:t>
      </w:r>
      <w:r w:rsidR="00401D7B" w:rsidRPr="00401D7B">
        <w:rPr>
          <w:rFonts w:ascii="Arabic Typesetting" w:hAnsi="Arabic Typesetting" w:cs="Arabic Typesetting"/>
          <w:sz w:val="34"/>
          <w:szCs w:val="34"/>
          <w:rtl/>
          <w:lang w:bidi="ar-EG"/>
        </w:rPr>
        <w:t xml:space="preserve">إجراء دراسات لتقييم الأثر الاقتصادي والاجتماعي والثقافي </w:t>
      </w:r>
      <w:r w:rsidR="00401D7B">
        <w:rPr>
          <w:rFonts w:ascii="Arabic Typesetting" w:hAnsi="Arabic Typesetting" w:cs="Arabic Typesetting" w:hint="cs"/>
          <w:sz w:val="34"/>
          <w:szCs w:val="34"/>
          <w:rtl/>
          <w:lang w:bidi="ar-EG"/>
        </w:rPr>
        <w:t>ل</w:t>
      </w:r>
      <w:r w:rsidR="00401D7B" w:rsidRPr="00401D7B">
        <w:rPr>
          <w:rFonts w:ascii="Arabic Typesetting" w:hAnsi="Arabic Typesetting" w:cs="Arabic Typesetting"/>
          <w:sz w:val="34"/>
          <w:szCs w:val="34"/>
          <w:rtl/>
          <w:lang w:bidi="ar-EG"/>
        </w:rPr>
        <w:t>نظام الملكية الفكرية</w:t>
      </w:r>
      <w:r w:rsidR="00401D7B">
        <w:rPr>
          <w:rFonts w:ascii="Arabic Typesetting" w:hAnsi="Arabic Typesetting" w:cs="Arabic Typesetting" w:hint="cs"/>
          <w:sz w:val="34"/>
          <w:szCs w:val="34"/>
          <w:rtl/>
          <w:lang w:bidi="ar-EG"/>
        </w:rPr>
        <w:t>).</w:t>
      </w:r>
    </w:p>
    <w:p w:rsidR="008F54A9" w:rsidRPr="008F54A9" w:rsidRDefault="00401D7B" w:rsidP="009A3712">
      <w:pPr>
        <w:numPr>
          <w:ilvl w:val="0"/>
          <w:numId w:val="4"/>
        </w:numPr>
        <w:bidi/>
        <w:spacing w:after="120" w:line="340" w:lineRule="exact"/>
        <w:ind w:left="0" w:firstLine="0"/>
        <w:rPr>
          <w:rFonts w:ascii="Arabic Typesetting" w:hAnsi="Arabic Typesetting" w:cs="Arabic Typesetting"/>
          <w:sz w:val="34"/>
          <w:szCs w:val="34"/>
          <w:lang w:bidi="ar-EG"/>
        </w:rPr>
      </w:pPr>
      <w:r w:rsidRPr="00401D7B">
        <w:rPr>
          <w:rFonts w:ascii="Arabic Typesetting" w:hAnsi="Arabic Typesetting" w:cs="Arabic Typesetting" w:hint="cs"/>
          <w:sz w:val="34"/>
          <w:szCs w:val="34"/>
          <w:rtl/>
          <w:lang w:bidi="ar-EG"/>
        </w:rPr>
        <w:t>و</w:t>
      </w:r>
      <w:r w:rsidR="008F54A9" w:rsidRPr="008F54A9">
        <w:rPr>
          <w:rFonts w:ascii="Arabic Typesetting" w:hAnsi="Arabic Typesetting" w:cs="Arabic Typesetting" w:hint="cs"/>
          <w:sz w:val="34"/>
          <w:szCs w:val="34"/>
          <w:rtl/>
          <w:lang w:bidi="ar-EG"/>
        </w:rPr>
        <w:t xml:space="preserve">أُحرز تقدم في تطوير </w:t>
      </w:r>
      <w:r w:rsidRPr="00401D7B">
        <w:rPr>
          <w:rFonts w:ascii="Arabic Typesetting" w:hAnsi="Arabic Typesetting" w:cs="Arabic Typesetting" w:hint="cs"/>
          <w:sz w:val="34"/>
          <w:szCs w:val="34"/>
          <w:rtl/>
          <w:lang w:bidi="ar-EG"/>
        </w:rPr>
        <w:t>مبادرة</w:t>
      </w:r>
      <w:r w:rsidR="008F54A9" w:rsidRPr="008F54A9">
        <w:rPr>
          <w:rFonts w:ascii="Arabic Typesetting" w:hAnsi="Arabic Typesetting" w:cs="Arabic Typesetting" w:hint="cs"/>
          <w:sz w:val="34"/>
          <w:szCs w:val="34"/>
          <w:rtl/>
          <w:lang w:bidi="ar-EG"/>
        </w:rPr>
        <w:t xml:space="preserve"> </w:t>
      </w:r>
      <w:r w:rsidR="008F54A9" w:rsidRPr="008F54A9">
        <w:rPr>
          <w:rFonts w:ascii="Arabic Typesetting" w:hAnsi="Arabic Typesetting" w:cs="Arabic Typesetting"/>
          <w:sz w:val="34"/>
          <w:szCs w:val="34"/>
          <w:lang w:bidi="ar-EG"/>
        </w:rPr>
        <w:t>“</w:t>
      </w:r>
      <w:r w:rsidR="008F54A9" w:rsidRPr="008F54A9">
        <w:rPr>
          <w:rFonts w:ascii="Arabic Typesetting" w:hAnsi="Arabic Typesetting" w:cs="Arabic Typesetting"/>
          <w:i/>
          <w:iCs/>
          <w:sz w:val="34"/>
          <w:szCs w:val="34"/>
          <w:lang w:bidi="ar-EG"/>
        </w:rPr>
        <w:t>TAG</w:t>
      </w:r>
      <w:r w:rsidRPr="00401D7B">
        <w:rPr>
          <w:rFonts w:ascii="Arabic Typesetting" w:hAnsi="Arabic Typesetting" w:cs="Arabic Typesetting"/>
          <w:i/>
          <w:iCs/>
          <w:sz w:val="34"/>
          <w:szCs w:val="34"/>
          <w:lang w:bidi="ar-EG"/>
        </w:rPr>
        <w:t> </w:t>
      </w:r>
      <w:r w:rsidR="008F54A9" w:rsidRPr="008F54A9">
        <w:rPr>
          <w:rFonts w:ascii="Arabic Typesetting" w:hAnsi="Arabic Typesetting" w:cs="Arabic Typesetting"/>
          <w:i/>
          <w:iCs/>
          <w:sz w:val="34"/>
          <w:szCs w:val="34"/>
          <w:lang w:bidi="ar-EG"/>
        </w:rPr>
        <w:t>of</w:t>
      </w:r>
      <w:r w:rsidRPr="00401D7B">
        <w:rPr>
          <w:rFonts w:ascii="Arabic Typesetting" w:hAnsi="Arabic Typesetting" w:cs="Arabic Typesetting"/>
          <w:i/>
          <w:iCs/>
          <w:sz w:val="34"/>
          <w:szCs w:val="34"/>
          <w:lang w:bidi="ar-EG"/>
        </w:rPr>
        <w:t> </w:t>
      </w:r>
      <w:r w:rsidR="008F54A9" w:rsidRPr="008F54A9">
        <w:rPr>
          <w:rFonts w:ascii="Arabic Typesetting" w:hAnsi="Arabic Typesetting" w:cs="Arabic Typesetting"/>
          <w:i/>
          <w:iCs/>
          <w:sz w:val="34"/>
          <w:szCs w:val="34"/>
          <w:lang w:bidi="ar-EG"/>
        </w:rPr>
        <w:t>Excellence</w:t>
      </w:r>
      <w:r w:rsidR="008F54A9" w:rsidRPr="008F54A9">
        <w:rPr>
          <w:rFonts w:ascii="Arabic Typesetting" w:hAnsi="Arabic Typesetting" w:cs="Arabic Typesetting"/>
          <w:sz w:val="34"/>
          <w:szCs w:val="34"/>
          <w:lang w:bidi="ar-EG"/>
        </w:rPr>
        <w:t>”</w:t>
      </w:r>
      <w:r w:rsidR="008F54A9" w:rsidRPr="008F54A9">
        <w:rPr>
          <w:rFonts w:ascii="Arabic Typesetting" w:hAnsi="Arabic Typesetting" w:cs="Arabic Typesetting" w:hint="cs"/>
          <w:sz w:val="34"/>
          <w:szCs w:val="34"/>
          <w:rtl/>
          <w:lang w:bidi="ar-EG"/>
        </w:rPr>
        <w:t xml:space="preserve"> </w:t>
      </w:r>
      <w:r w:rsidR="00B05B47">
        <w:rPr>
          <w:rFonts w:ascii="Arabic Typesetting" w:hAnsi="Arabic Typesetting" w:cs="Arabic Typesetting" w:hint="cs"/>
          <w:sz w:val="34"/>
          <w:szCs w:val="34"/>
          <w:rtl/>
          <w:lang w:bidi="ar-EG"/>
        </w:rPr>
        <w:t>(</w:t>
      </w:r>
      <w:r w:rsidR="00B05B47">
        <w:rPr>
          <w:rFonts w:ascii="Arabic Typesetting" w:hAnsi="Arabic Typesetting" w:cs="Arabic Typesetting"/>
          <w:sz w:val="34"/>
          <w:szCs w:val="34"/>
          <w:lang w:bidi="ar-EG"/>
        </w:rPr>
        <w:t>TAG</w:t>
      </w:r>
      <w:r w:rsidR="00B05B47">
        <w:rPr>
          <w:rFonts w:ascii="Arabic Typesetting" w:hAnsi="Arabic Typesetting" w:cs="Arabic Typesetting" w:hint="cs"/>
          <w:sz w:val="34"/>
          <w:szCs w:val="34"/>
          <w:rtl/>
        </w:rPr>
        <w:t xml:space="preserve">) </w:t>
      </w:r>
      <w:r w:rsidRPr="00401D7B">
        <w:rPr>
          <w:rFonts w:ascii="Arabic Typesetting" w:hAnsi="Arabic Typesetting" w:cs="Arabic Typesetting" w:hint="cs"/>
          <w:sz w:val="34"/>
          <w:szCs w:val="34"/>
          <w:rtl/>
          <w:lang w:bidi="ar-EG"/>
        </w:rPr>
        <w:t xml:space="preserve">التي تنهض </w:t>
      </w:r>
      <w:r>
        <w:rPr>
          <w:rFonts w:ascii="Arabic Typesetting" w:hAnsi="Arabic Typesetting" w:cs="Arabic Typesetting" w:hint="cs"/>
          <w:sz w:val="34"/>
          <w:szCs w:val="34"/>
          <w:rtl/>
          <w:lang w:bidi="ar-EG"/>
        </w:rPr>
        <w:t>ب</w:t>
      </w:r>
      <w:r w:rsidR="008F54A9" w:rsidRPr="008F54A9">
        <w:rPr>
          <w:rFonts w:ascii="Arabic Typesetting" w:hAnsi="Arabic Typesetting" w:cs="Arabic Typesetting"/>
          <w:sz w:val="34"/>
          <w:szCs w:val="34"/>
          <w:rtl/>
          <w:lang w:bidi="ar-EG"/>
        </w:rPr>
        <w:t>التميّز في الشفافية والمساءلة وحسن الإدارة</w:t>
      </w:r>
      <w:r>
        <w:rPr>
          <w:rFonts w:ascii="Arabic Typesetting" w:hAnsi="Arabic Typesetting" w:cs="Arabic Typesetting" w:hint="cs"/>
          <w:sz w:val="34"/>
          <w:szCs w:val="34"/>
          <w:rtl/>
          <w:lang w:bidi="ar-EG"/>
        </w:rPr>
        <w:t xml:space="preserve"> في منظمات الإدارة الجماعية</w:t>
      </w:r>
      <w:r w:rsidR="008F54A9" w:rsidRPr="008F54A9">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 واجتمعت عدة رابطات تجارية دولية مع الويبو ل</w:t>
      </w:r>
      <w:r w:rsidR="00B05B47">
        <w:rPr>
          <w:rFonts w:ascii="Arabic Typesetting" w:hAnsi="Arabic Typesetting" w:cs="Arabic Typesetting" w:hint="cs"/>
          <w:sz w:val="34"/>
          <w:szCs w:val="34"/>
          <w:rtl/>
          <w:lang w:bidi="ar-EG"/>
        </w:rPr>
        <w:t>تكوين</w:t>
      </w:r>
      <w:r>
        <w:rPr>
          <w:rFonts w:ascii="Arabic Typesetting" w:hAnsi="Arabic Typesetting" w:cs="Arabic Typesetting" w:hint="cs"/>
          <w:sz w:val="34"/>
          <w:szCs w:val="34"/>
          <w:rtl/>
          <w:lang w:bidi="ar-EG"/>
        </w:rPr>
        <w:t xml:space="preserve"> ائتلاف اتفق على </w:t>
      </w:r>
      <w:r w:rsidR="00736D27">
        <w:rPr>
          <w:rFonts w:ascii="Arabic Typesetting" w:hAnsi="Arabic Typesetting" w:cs="Arabic Typesetting" w:hint="cs"/>
          <w:sz w:val="34"/>
          <w:szCs w:val="34"/>
          <w:rtl/>
          <w:lang w:bidi="ar-EG"/>
        </w:rPr>
        <w:t>إعداد دليل</w:t>
      </w:r>
      <w:r>
        <w:rPr>
          <w:rFonts w:ascii="Arabic Typesetting" w:hAnsi="Arabic Typesetting" w:cs="Arabic Typesetting" w:hint="cs"/>
          <w:sz w:val="34"/>
          <w:szCs w:val="34"/>
          <w:rtl/>
          <w:lang w:bidi="ar-EG"/>
        </w:rPr>
        <w:t xml:space="preserve"> </w:t>
      </w:r>
      <w:r w:rsidR="00736D27">
        <w:rPr>
          <w:rFonts w:ascii="Arabic Typesetting" w:hAnsi="Arabic Typesetting" w:cs="Arabic Typesetting" w:hint="cs"/>
          <w:sz w:val="34"/>
          <w:szCs w:val="34"/>
          <w:rtl/>
          <w:lang w:bidi="ar-EG"/>
        </w:rPr>
        <w:t>ل</w:t>
      </w:r>
      <w:r>
        <w:rPr>
          <w:rFonts w:ascii="Arabic Typesetting" w:hAnsi="Arabic Typesetting" w:cs="Arabic Typesetting" w:hint="cs"/>
          <w:sz w:val="34"/>
          <w:szCs w:val="34"/>
          <w:rtl/>
          <w:lang w:bidi="ar-EG"/>
        </w:rPr>
        <w:t>لممارسات الفض</w:t>
      </w:r>
      <w:r w:rsidR="00736D27">
        <w:rPr>
          <w:rFonts w:ascii="Arabic Typesetting" w:hAnsi="Arabic Typesetting" w:cs="Arabic Typesetting" w:hint="cs"/>
          <w:sz w:val="34"/>
          <w:szCs w:val="34"/>
          <w:rtl/>
          <w:lang w:bidi="ar-EG"/>
        </w:rPr>
        <w:t>لى</w:t>
      </w:r>
      <w:r>
        <w:rPr>
          <w:rFonts w:ascii="Arabic Typesetting" w:hAnsi="Arabic Typesetting" w:cs="Arabic Typesetting" w:hint="cs"/>
          <w:sz w:val="34"/>
          <w:szCs w:val="34"/>
          <w:rtl/>
          <w:lang w:bidi="ar-EG"/>
        </w:rPr>
        <w:t xml:space="preserve"> في</w:t>
      </w:r>
      <w:r w:rsidR="00736D27">
        <w:rPr>
          <w:rFonts w:ascii="Arabic Typesetting" w:hAnsi="Arabic Typesetting" w:cs="Arabic Typesetting" w:hint="cs"/>
          <w:sz w:val="34"/>
          <w:szCs w:val="34"/>
          <w:rtl/>
          <w:lang w:bidi="ar-EG"/>
        </w:rPr>
        <w:t xml:space="preserve"> مجال</w:t>
      </w:r>
      <w:r>
        <w:rPr>
          <w:rFonts w:ascii="Arabic Typesetting" w:hAnsi="Arabic Typesetting" w:cs="Arabic Typesetting" w:hint="cs"/>
          <w:sz w:val="34"/>
          <w:szCs w:val="34"/>
          <w:rtl/>
          <w:lang w:bidi="ar-EG"/>
        </w:rPr>
        <w:t xml:space="preserve"> الإدارة الجماعية لحق </w:t>
      </w:r>
      <w:r w:rsidR="00736D27">
        <w:rPr>
          <w:rFonts w:ascii="Arabic Typesetting" w:hAnsi="Arabic Typesetting" w:cs="Arabic Typesetting" w:hint="cs"/>
          <w:sz w:val="34"/>
          <w:szCs w:val="34"/>
          <w:rtl/>
          <w:lang w:bidi="ar-EG"/>
        </w:rPr>
        <w:t>المؤلف والحقوق المجاورة، واست</w:t>
      </w:r>
      <w:r w:rsidR="00B05B47">
        <w:rPr>
          <w:rFonts w:ascii="Arabic Typesetting" w:hAnsi="Arabic Typesetting" w:cs="Arabic Typesetting" w:hint="cs"/>
          <w:sz w:val="34"/>
          <w:szCs w:val="34"/>
          <w:rtl/>
          <w:lang w:bidi="ar-EG"/>
        </w:rPr>
        <w:t>ُ</w:t>
      </w:r>
      <w:r w:rsidR="00736D27">
        <w:rPr>
          <w:rFonts w:ascii="Arabic Typesetting" w:hAnsi="Arabic Typesetting" w:cs="Arabic Typesetting" w:hint="cs"/>
          <w:sz w:val="34"/>
          <w:szCs w:val="34"/>
          <w:rtl/>
          <w:lang w:bidi="ar-EG"/>
        </w:rPr>
        <w:t xml:space="preserve">هلت المشاورات </w:t>
      </w:r>
      <w:r w:rsidR="00B05B47">
        <w:rPr>
          <w:rFonts w:ascii="Arabic Typesetting" w:hAnsi="Arabic Typesetting" w:cs="Arabic Typesetting" w:hint="cs"/>
          <w:sz w:val="34"/>
          <w:szCs w:val="34"/>
          <w:rtl/>
          <w:lang w:bidi="ar-EG"/>
        </w:rPr>
        <w:t>بشأن</w:t>
      </w:r>
      <w:r w:rsidR="00736D27">
        <w:rPr>
          <w:rFonts w:ascii="Arabic Typesetting" w:hAnsi="Arabic Typesetting" w:cs="Arabic Typesetting" w:hint="cs"/>
          <w:sz w:val="34"/>
          <w:szCs w:val="34"/>
          <w:rtl/>
          <w:lang w:bidi="ar-EG"/>
        </w:rPr>
        <w:t xml:space="preserve"> إعداد هذا الدليل.</w:t>
      </w:r>
      <w:r w:rsidR="008F54A9" w:rsidRPr="008F54A9">
        <w:rPr>
          <w:rFonts w:ascii="Arabic Typesetting" w:hAnsi="Arabic Typesetting" w:cs="Arabic Typesetting" w:hint="cs"/>
          <w:sz w:val="34"/>
          <w:szCs w:val="34"/>
          <w:rtl/>
          <w:lang w:bidi="ar-EG"/>
        </w:rPr>
        <w:t xml:space="preserve"> وقد حظيت </w:t>
      </w:r>
      <w:r w:rsidR="00E032F8">
        <w:rPr>
          <w:rFonts w:ascii="Arabic Typesetting" w:hAnsi="Arabic Typesetting" w:cs="Arabic Typesetting" w:hint="cs"/>
          <w:sz w:val="34"/>
          <w:szCs w:val="34"/>
          <w:rtl/>
          <w:lang w:bidi="ar-EG"/>
        </w:rPr>
        <w:t>تلك</w:t>
      </w:r>
      <w:r w:rsidR="008F54A9" w:rsidRPr="008F54A9">
        <w:rPr>
          <w:rFonts w:ascii="Arabic Typesetting" w:hAnsi="Arabic Typesetting" w:cs="Arabic Typesetting" w:hint="cs"/>
          <w:sz w:val="34"/>
          <w:szCs w:val="34"/>
          <w:rtl/>
          <w:lang w:bidi="ar-EG"/>
        </w:rPr>
        <w:t xml:space="preserve"> المبادرة بدعم</w:t>
      </w:r>
      <w:r w:rsidR="00736D27">
        <w:rPr>
          <w:rFonts w:ascii="Arabic Typesetting" w:hAnsi="Arabic Typesetting" w:cs="Arabic Typesetting" w:hint="cs"/>
          <w:sz w:val="34"/>
          <w:szCs w:val="34"/>
          <w:rtl/>
          <w:lang w:bidi="ar-EG"/>
        </w:rPr>
        <w:t xml:space="preserve"> كبير</w:t>
      </w:r>
      <w:r w:rsidR="008F54A9" w:rsidRPr="008F54A9">
        <w:rPr>
          <w:rFonts w:ascii="Arabic Typesetting" w:hAnsi="Arabic Typesetting" w:cs="Arabic Typesetting" w:hint="cs"/>
          <w:sz w:val="34"/>
          <w:szCs w:val="34"/>
          <w:rtl/>
          <w:lang w:bidi="ar-EG"/>
        </w:rPr>
        <w:t xml:space="preserve"> من آحاد منظمات الإدارة الجماعية والحكومات </w:t>
      </w:r>
      <w:r w:rsidR="00B05B47">
        <w:rPr>
          <w:rFonts w:ascii="Arabic Typesetting" w:hAnsi="Arabic Typesetting" w:cs="Arabic Typesetting" w:hint="cs"/>
          <w:sz w:val="34"/>
          <w:szCs w:val="34"/>
          <w:rtl/>
          <w:lang w:bidi="ar-EG"/>
        </w:rPr>
        <w:t>من البلدان النامية والمتقدمة كليهما</w:t>
      </w:r>
      <w:r w:rsidR="008F54A9" w:rsidRPr="008F54A9">
        <w:rPr>
          <w:rFonts w:ascii="Arabic Typesetting" w:hAnsi="Arabic Typesetting" w:cs="Arabic Typesetting" w:hint="cs"/>
          <w:sz w:val="34"/>
          <w:szCs w:val="34"/>
          <w:rtl/>
          <w:lang w:bidi="ar-EG"/>
        </w:rPr>
        <w:t xml:space="preserve"> (وقّعت </w:t>
      </w:r>
      <w:r w:rsidR="00E032F8">
        <w:rPr>
          <w:rFonts w:ascii="Arabic Typesetting" w:hAnsi="Arabic Typesetting" w:cs="Arabic Typesetting" w:hint="cs"/>
          <w:sz w:val="34"/>
          <w:szCs w:val="34"/>
          <w:rtl/>
          <w:lang w:bidi="ar-EG"/>
        </w:rPr>
        <w:t>14</w:t>
      </w:r>
      <w:r w:rsidR="008F54A9" w:rsidRPr="008F54A9">
        <w:rPr>
          <w:rFonts w:ascii="Arabic Typesetting" w:hAnsi="Arabic Typesetting" w:cs="Arabic Typesetting" w:hint="cs"/>
          <w:sz w:val="34"/>
          <w:szCs w:val="34"/>
          <w:rtl/>
          <w:lang w:bidi="ar-EG"/>
        </w:rPr>
        <w:t xml:space="preserve"> حكوم</w:t>
      </w:r>
      <w:r w:rsidR="00E032F8">
        <w:rPr>
          <w:rFonts w:ascii="Arabic Typesetting" w:hAnsi="Arabic Typesetting" w:cs="Arabic Typesetting" w:hint="cs"/>
          <w:sz w:val="34"/>
          <w:szCs w:val="34"/>
          <w:rtl/>
          <w:lang w:bidi="ar-EG"/>
        </w:rPr>
        <w:t>ة</w:t>
      </w:r>
      <w:r w:rsidR="008F54A9" w:rsidRPr="008F54A9">
        <w:rPr>
          <w:rFonts w:ascii="Arabic Typesetting" w:hAnsi="Arabic Typesetting" w:cs="Arabic Typesetting" w:hint="cs"/>
          <w:sz w:val="34"/>
          <w:szCs w:val="34"/>
          <w:rtl/>
          <w:lang w:bidi="ar-EG"/>
        </w:rPr>
        <w:t xml:space="preserve"> و</w:t>
      </w:r>
      <w:r w:rsidR="00E032F8">
        <w:rPr>
          <w:rFonts w:ascii="Arabic Typesetting" w:hAnsi="Arabic Typesetting" w:cs="Arabic Typesetting" w:hint="cs"/>
          <w:sz w:val="34"/>
          <w:szCs w:val="34"/>
          <w:rtl/>
          <w:lang w:bidi="ar-EG"/>
        </w:rPr>
        <w:t>63</w:t>
      </w:r>
      <w:r w:rsidR="008F54A9" w:rsidRPr="008F54A9">
        <w:rPr>
          <w:rFonts w:ascii="Arabic Typesetting" w:hAnsi="Arabic Typesetting" w:cs="Arabic Typesetting" w:hint="cs"/>
          <w:sz w:val="34"/>
          <w:szCs w:val="34"/>
          <w:rtl/>
          <w:lang w:bidi="ar-EG"/>
        </w:rPr>
        <w:t xml:space="preserve"> منظمة من منظمات الإدارة الجماعية مذكرات التعبير عن الاهتمام</w:t>
      </w:r>
      <w:r w:rsidR="00E032F8">
        <w:rPr>
          <w:rFonts w:ascii="Arabic Typesetting" w:hAnsi="Arabic Typesetting" w:cs="Arabic Typesetting" w:hint="cs"/>
          <w:sz w:val="34"/>
          <w:szCs w:val="34"/>
          <w:rtl/>
          <w:lang w:bidi="ar-EG"/>
        </w:rPr>
        <w:t xml:space="preserve"> بتلك المبادرة</w:t>
      </w:r>
      <w:r w:rsidR="008F54A9" w:rsidRPr="008F54A9">
        <w:rPr>
          <w:rFonts w:ascii="Arabic Typesetting" w:hAnsi="Arabic Typesetting" w:cs="Arabic Typesetting" w:hint="cs"/>
          <w:sz w:val="34"/>
          <w:szCs w:val="34"/>
          <w:rtl/>
          <w:lang w:bidi="ar-EG"/>
        </w:rPr>
        <w:t>).</w:t>
      </w:r>
    </w:p>
    <w:p w:rsidR="00ED1A91" w:rsidRDefault="00ED1A91" w:rsidP="009A3712">
      <w:pPr>
        <w:numPr>
          <w:ilvl w:val="0"/>
          <w:numId w:val="4"/>
        </w:numPr>
        <w:bidi/>
        <w:spacing w:after="120" w:line="340" w:lineRule="exact"/>
        <w:ind w:left="-1" w:firstLine="1"/>
        <w:rPr>
          <w:rFonts w:ascii="Arabic Typesetting" w:hAnsi="Arabic Typesetting" w:cs="Arabic Typesetting"/>
          <w:sz w:val="34"/>
          <w:szCs w:val="34"/>
          <w:lang w:bidi="ar-EG"/>
        </w:rPr>
      </w:pPr>
      <w:r w:rsidRPr="008F54A9">
        <w:rPr>
          <w:rFonts w:ascii="Arabic Typesetting" w:hAnsi="Arabic Typesetting" w:cs="Arabic Typesetting" w:hint="cs"/>
          <w:sz w:val="34"/>
          <w:szCs w:val="34"/>
          <w:rtl/>
          <w:lang w:bidi="ar-EG"/>
        </w:rPr>
        <w:t>و</w:t>
      </w:r>
      <w:r w:rsidR="00154E56" w:rsidRPr="00171308">
        <w:rPr>
          <w:rFonts w:ascii="Arabic Typesetting" w:hAnsi="Arabic Typesetting" w:cs="Arabic Typesetting" w:hint="cs"/>
          <w:sz w:val="34"/>
          <w:szCs w:val="34"/>
          <w:rtl/>
          <w:lang w:bidi="ar-EG"/>
        </w:rPr>
        <w:t>أطلقت</w:t>
      </w:r>
      <w:r w:rsidRPr="008F54A9">
        <w:rPr>
          <w:rFonts w:ascii="Arabic Typesetting" w:hAnsi="Arabic Typesetting" w:cs="Arabic Typesetting" w:hint="cs"/>
          <w:sz w:val="34"/>
          <w:szCs w:val="34"/>
          <w:rtl/>
          <w:lang w:bidi="ar-EG"/>
        </w:rPr>
        <w:t xml:space="preserve"> الويبو دورة تعل</w:t>
      </w:r>
      <w:r w:rsidR="00154E56" w:rsidRPr="00171308">
        <w:rPr>
          <w:rFonts w:ascii="Arabic Typesetting" w:hAnsi="Arabic Typesetting" w:cs="Arabic Typesetting" w:hint="cs"/>
          <w:sz w:val="34"/>
          <w:szCs w:val="34"/>
          <w:rtl/>
          <w:lang w:bidi="ar-EG"/>
        </w:rPr>
        <w:t>ّ</w:t>
      </w:r>
      <w:r w:rsidRPr="008F54A9">
        <w:rPr>
          <w:rFonts w:ascii="Arabic Typesetting" w:hAnsi="Arabic Typesetting" w:cs="Arabic Typesetting" w:hint="cs"/>
          <w:sz w:val="34"/>
          <w:szCs w:val="34"/>
          <w:rtl/>
          <w:lang w:bidi="ar-EG"/>
        </w:rPr>
        <w:t>م عن بعد تستخدم مجموعة كاملة من تقنيات التواصل الحديثة المُست</w:t>
      </w:r>
      <w:r w:rsidR="00B05B47">
        <w:rPr>
          <w:rFonts w:ascii="Arabic Typesetting" w:hAnsi="Arabic Typesetting" w:cs="Arabic Typesetting" w:hint="cs"/>
          <w:sz w:val="34"/>
          <w:szCs w:val="34"/>
          <w:rtl/>
          <w:lang w:bidi="ar-EG"/>
        </w:rPr>
        <w:t>خدمة</w:t>
      </w:r>
      <w:r w:rsidRPr="008F54A9">
        <w:rPr>
          <w:rFonts w:ascii="Arabic Typesetting" w:hAnsi="Arabic Typesetting" w:cs="Arabic Typesetting" w:hint="cs"/>
          <w:sz w:val="34"/>
          <w:szCs w:val="34"/>
          <w:rtl/>
          <w:lang w:bidi="ar-EG"/>
        </w:rPr>
        <w:t xml:space="preserve"> في القرن الحادي والعشرين لتهيئة أداة عملية للإدارة الجماعية لفائدة موظفي منظمات الإدارة الجماعية وواضعي السياسات والعاملين في المجال القانوني. وجُرّبت</w:t>
      </w:r>
      <w:r w:rsidR="00450018" w:rsidRPr="00171308">
        <w:rPr>
          <w:rFonts w:ascii="Arabic Typesetting" w:hAnsi="Arabic Typesetting" w:cs="Arabic Typesetting" w:hint="eastAsia"/>
          <w:sz w:val="34"/>
          <w:szCs w:val="34"/>
          <w:rtl/>
          <w:lang w:bidi="ar-EG"/>
        </w:rPr>
        <w:t> </w:t>
      </w:r>
      <w:r w:rsidRPr="008F54A9">
        <w:rPr>
          <w:rFonts w:ascii="Arabic Typesetting" w:hAnsi="Arabic Typesetting" w:cs="Arabic Typesetting" w:hint="cs"/>
          <w:sz w:val="34"/>
          <w:szCs w:val="34"/>
          <w:rtl/>
          <w:lang w:bidi="ar-EG"/>
        </w:rPr>
        <w:t xml:space="preserve">الدورة في </w:t>
      </w:r>
      <w:r w:rsidR="007B3AEB" w:rsidRPr="00171308">
        <w:rPr>
          <w:rFonts w:ascii="Arabic Typesetting" w:hAnsi="Arabic Typesetting" w:cs="Arabic Typesetting" w:hint="cs"/>
          <w:sz w:val="34"/>
          <w:szCs w:val="34"/>
          <w:rtl/>
          <w:lang w:bidi="ar-EG"/>
        </w:rPr>
        <w:t>عام 2014 و</w:t>
      </w:r>
      <w:r w:rsidR="00450018" w:rsidRPr="00171308">
        <w:rPr>
          <w:rFonts w:ascii="Arabic Typesetting" w:hAnsi="Arabic Typesetting" w:cs="Arabic Typesetting" w:hint="cs"/>
          <w:sz w:val="34"/>
          <w:szCs w:val="34"/>
          <w:rtl/>
          <w:lang w:bidi="ar-EG"/>
        </w:rPr>
        <w:t>لقيت صدى إيجابياً في صفوف المشاركين. ويزمع إطلاق الدورة بمضمونها النهائي رسمياً في عام</w:t>
      </w:r>
      <w:r w:rsidR="00450018" w:rsidRPr="00171308">
        <w:rPr>
          <w:rFonts w:ascii="Arabic Typesetting" w:hAnsi="Arabic Typesetting" w:cs="Arabic Typesetting" w:hint="eastAsia"/>
          <w:sz w:val="34"/>
          <w:szCs w:val="34"/>
          <w:rtl/>
          <w:lang w:bidi="ar-EG"/>
        </w:rPr>
        <w:t> </w:t>
      </w:r>
      <w:r w:rsidR="00450018" w:rsidRPr="00171308">
        <w:rPr>
          <w:rFonts w:ascii="Arabic Typesetting" w:hAnsi="Arabic Typesetting" w:cs="Arabic Typesetting" w:hint="cs"/>
          <w:sz w:val="34"/>
          <w:szCs w:val="34"/>
          <w:rtl/>
          <w:lang w:bidi="ar-EG"/>
        </w:rPr>
        <w:t>2016. و</w:t>
      </w:r>
      <w:r w:rsidRPr="008F54A9">
        <w:rPr>
          <w:rFonts w:ascii="Arabic Typesetting" w:hAnsi="Arabic Typesetting" w:cs="Arabic Typesetting" w:hint="cs"/>
          <w:sz w:val="34"/>
          <w:szCs w:val="34"/>
          <w:rtl/>
          <w:lang w:bidi="ar-EG"/>
        </w:rPr>
        <w:t xml:space="preserve">وقّعت الويبو مذكرات تفاهم ونظّمت </w:t>
      </w:r>
      <w:r w:rsidR="00B05B47">
        <w:rPr>
          <w:rFonts w:ascii="Arabic Typesetting" w:hAnsi="Arabic Typesetting" w:cs="Arabic Typesetting" w:hint="cs"/>
          <w:sz w:val="34"/>
          <w:szCs w:val="34"/>
          <w:rtl/>
          <w:lang w:bidi="ar-EG"/>
        </w:rPr>
        <w:t>مجموعة</w:t>
      </w:r>
      <w:r w:rsidRPr="008F54A9">
        <w:rPr>
          <w:rFonts w:ascii="Arabic Typesetting" w:hAnsi="Arabic Typesetting" w:cs="Arabic Typesetting" w:hint="cs"/>
          <w:sz w:val="34"/>
          <w:szCs w:val="34"/>
          <w:rtl/>
          <w:lang w:bidi="ar-EG"/>
        </w:rPr>
        <w:t xml:space="preserve"> من </w:t>
      </w:r>
      <w:r w:rsidR="00450018" w:rsidRPr="00171308">
        <w:rPr>
          <w:rFonts w:ascii="Arabic Typesetting" w:hAnsi="Arabic Typesetting" w:cs="Arabic Typesetting" w:hint="cs"/>
          <w:sz w:val="34"/>
          <w:szCs w:val="34"/>
          <w:rtl/>
          <w:lang w:bidi="ar-EG"/>
        </w:rPr>
        <w:t>ال</w:t>
      </w:r>
      <w:r w:rsidRPr="008F54A9">
        <w:rPr>
          <w:rFonts w:ascii="Arabic Typesetting" w:hAnsi="Arabic Typesetting" w:cs="Arabic Typesetting" w:hint="cs"/>
          <w:sz w:val="34"/>
          <w:szCs w:val="34"/>
          <w:rtl/>
          <w:lang w:bidi="ar-EG"/>
        </w:rPr>
        <w:t>برامج و</w:t>
      </w:r>
      <w:r w:rsidR="00450018" w:rsidRPr="00171308">
        <w:rPr>
          <w:rFonts w:ascii="Arabic Typesetting" w:hAnsi="Arabic Typesetting" w:cs="Arabic Typesetting" w:hint="cs"/>
          <w:sz w:val="34"/>
          <w:szCs w:val="34"/>
          <w:rtl/>
          <w:lang w:bidi="ar-EG"/>
        </w:rPr>
        <w:t>ال</w:t>
      </w:r>
      <w:r w:rsidRPr="008F54A9">
        <w:rPr>
          <w:rFonts w:ascii="Arabic Typesetting" w:hAnsi="Arabic Typesetting" w:cs="Arabic Typesetting" w:hint="cs"/>
          <w:sz w:val="34"/>
          <w:szCs w:val="34"/>
          <w:rtl/>
          <w:lang w:bidi="ar-EG"/>
        </w:rPr>
        <w:t xml:space="preserve">تظاهرات </w:t>
      </w:r>
      <w:r w:rsidR="00450018" w:rsidRPr="00171308">
        <w:rPr>
          <w:rFonts w:ascii="Arabic Typesetting" w:hAnsi="Arabic Typesetting" w:cs="Arabic Typesetting" w:hint="cs"/>
          <w:sz w:val="34"/>
          <w:szCs w:val="34"/>
          <w:rtl/>
          <w:lang w:bidi="ar-EG"/>
        </w:rPr>
        <w:t>الخاصة ب</w:t>
      </w:r>
      <w:r w:rsidRPr="008F54A9">
        <w:rPr>
          <w:rFonts w:ascii="Arabic Typesetting" w:hAnsi="Arabic Typesetting" w:cs="Arabic Typesetting" w:hint="cs"/>
          <w:sz w:val="34"/>
          <w:szCs w:val="34"/>
          <w:rtl/>
          <w:lang w:bidi="ar-EG"/>
        </w:rPr>
        <w:t xml:space="preserve">تكوين الكفاءات مع منظمات غير حكومية </w:t>
      </w:r>
      <w:r w:rsidR="00450018" w:rsidRPr="00171308">
        <w:rPr>
          <w:rFonts w:ascii="Arabic Typesetting" w:hAnsi="Arabic Typesetting" w:cs="Arabic Typesetting" w:hint="cs"/>
          <w:sz w:val="34"/>
          <w:szCs w:val="34"/>
          <w:rtl/>
          <w:lang w:bidi="ar-EG"/>
        </w:rPr>
        <w:t xml:space="preserve">منها </w:t>
      </w:r>
      <w:r w:rsidR="00171308" w:rsidRPr="00171308">
        <w:rPr>
          <w:rFonts w:ascii="Arabic Typesetting" w:hAnsi="Arabic Typesetting" w:cs="Arabic Typesetting"/>
          <w:sz w:val="34"/>
          <w:szCs w:val="34"/>
          <w:rtl/>
          <w:lang w:bidi="ar-EG"/>
        </w:rPr>
        <w:t>الاتحاد الدولي للمنظمات المعنية بحقوق الاستنساخ (</w:t>
      </w:r>
      <w:r w:rsidR="00171308" w:rsidRPr="00171308">
        <w:rPr>
          <w:rFonts w:ascii="Arabic Typesetting" w:hAnsi="Arabic Typesetting" w:cs="Arabic Typesetting"/>
          <w:sz w:val="34"/>
          <w:szCs w:val="34"/>
          <w:lang w:bidi="ar-EG"/>
        </w:rPr>
        <w:t>IFRRO</w:t>
      </w:r>
      <w:r w:rsidR="00171308" w:rsidRPr="00171308">
        <w:rPr>
          <w:rFonts w:ascii="Arabic Typesetting" w:hAnsi="Arabic Typesetting" w:cs="Arabic Typesetting"/>
          <w:sz w:val="34"/>
          <w:szCs w:val="34"/>
          <w:rtl/>
          <w:lang w:bidi="ar-EG"/>
        </w:rPr>
        <w:t>)</w:t>
      </w:r>
      <w:r w:rsidR="00171308" w:rsidRPr="00171308">
        <w:rPr>
          <w:rFonts w:ascii="Arabic Typesetting" w:hAnsi="Arabic Typesetting" w:cs="Arabic Typesetting" w:hint="cs"/>
          <w:sz w:val="34"/>
          <w:szCs w:val="34"/>
          <w:rtl/>
          <w:lang w:bidi="ar-EG"/>
        </w:rPr>
        <w:t xml:space="preserve"> </w:t>
      </w:r>
      <w:r w:rsidR="00171308" w:rsidRPr="008F54A9">
        <w:rPr>
          <w:rFonts w:ascii="Arabic Typesetting" w:hAnsi="Arabic Typesetting" w:cs="Arabic Typesetting" w:hint="cs"/>
          <w:sz w:val="34"/>
          <w:szCs w:val="34"/>
          <w:rtl/>
          <w:lang w:bidi="ar-EG"/>
        </w:rPr>
        <w:t>و</w:t>
      </w:r>
      <w:r w:rsidR="00171308" w:rsidRPr="008F54A9">
        <w:rPr>
          <w:rFonts w:ascii="Arabic Typesetting" w:hAnsi="Arabic Typesetting" w:cs="Arabic Typesetting"/>
          <w:sz w:val="34"/>
          <w:szCs w:val="34"/>
          <w:rtl/>
          <w:lang w:bidi="ar-EG"/>
        </w:rPr>
        <w:t xml:space="preserve">الاتحاد الدولي لصناعة </w:t>
      </w:r>
      <w:proofErr w:type="spellStart"/>
      <w:r w:rsidR="00171308" w:rsidRPr="008F54A9">
        <w:rPr>
          <w:rFonts w:ascii="Arabic Typesetting" w:hAnsi="Arabic Typesetting" w:cs="Arabic Typesetting"/>
          <w:sz w:val="34"/>
          <w:szCs w:val="34"/>
          <w:rtl/>
          <w:lang w:bidi="ar-EG"/>
        </w:rPr>
        <w:t>الفونوغرامات</w:t>
      </w:r>
      <w:proofErr w:type="spellEnd"/>
      <w:r w:rsidR="00171308" w:rsidRPr="008F54A9">
        <w:rPr>
          <w:rFonts w:ascii="Arabic Typesetting" w:hAnsi="Arabic Typesetting" w:cs="Arabic Typesetting"/>
          <w:sz w:val="34"/>
          <w:szCs w:val="34"/>
          <w:rtl/>
          <w:lang w:bidi="ar-EG"/>
        </w:rPr>
        <w:t xml:space="preserve"> (</w:t>
      </w:r>
      <w:r w:rsidR="00171308" w:rsidRPr="008F54A9">
        <w:rPr>
          <w:rFonts w:ascii="Arabic Typesetting" w:hAnsi="Arabic Typesetting" w:cs="Arabic Typesetting"/>
          <w:sz w:val="34"/>
          <w:szCs w:val="34"/>
          <w:lang w:bidi="ar-EG"/>
        </w:rPr>
        <w:t>IFPI</w:t>
      </w:r>
      <w:r w:rsidR="00171308" w:rsidRPr="008F54A9">
        <w:rPr>
          <w:rFonts w:ascii="Arabic Typesetting" w:hAnsi="Arabic Typesetting" w:cs="Arabic Typesetting"/>
          <w:sz w:val="34"/>
          <w:szCs w:val="34"/>
          <w:rtl/>
          <w:lang w:bidi="ar-EG"/>
        </w:rPr>
        <w:t>)</w:t>
      </w:r>
      <w:r w:rsidR="00171308" w:rsidRPr="00171308">
        <w:rPr>
          <w:rFonts w:ascii="Arabic Typesetting" w:hAnsi="Arabic Typesetting" w:cs="Arabic Typesetting" w:hint="cs"/>
          <w:sz w:val="34"/>
          <w:szCs w:val="34"/>
          <w:rtl/>
          <w:lang w:bidi="ar-EG"/>
        </w:rPr>
        <w:t xml:space="preserve"> و</w:t>
      </w:r>
      <w:r w:rsidR="00171308" w:rsidRPr="00171308">
        <w:rPr>
          <w:rFonts w:ascii="Arabic Typesetting" w:hAnsi="Arabic Typesetting" w:cs="Arabic Typesetting"/>
          <w:sz w:val="34"/>
          <w:szCs w:val="34"/>
          <w:rtl/>
          <w:lang w:bidi="ar-EG"/>
        </w:rPr>
        <w:t>الرابطة النرويجية لتطوير حق المؤلف</w:t>
      </w:r>
      <w:r w:rsidR="00171308" w:rsidRPr="00171308">
        <w:rPr>
          <w:rFonts w:ascii="Arabic Typesetting" w:hAnsi="Arabic Typesetting" w:cs="Arabic Typesetting" w:hint="cs"/>
          <w:sz w:val="34"/>
          <w:szCs w:val="34"/>
          <w:rtl/>
          <w:lang w:bidi="ar-EG"/>
        </w:rPr>
        <w:t xml:space="preserve"> (</w:t>
      </w:r>
      <w:r w:rsidR="00171308" w:rsidRPr="00171308">
        <w:rPr>
          <w:rFonts w:ascii="Arabic Typesetting" w:hAnsi="Arabic Typesetting" w:cs="Arabic Typesetting"/>
          <w:sz w:val="34"/>
          <w:szCs w:val="34"/>
          <w:lang w:bidi="ar-EG"/>
        </w:rPr>
        <w:t>NORCODE</w:t>
      </w:r>
      <w:r w:rsidR="00171308" w:rsidRPr="00171308">
        <w:rPr>
          <w:rFonts w:ascii="Arabic Typesetting" w:hAnsi="Arabic Typesetting" w:cs="Arabic Typesetting" w:hint="cs"/>
          <w:sz w:val="34"/>
          <w:szCs w:val="34"/>
          <w:rtl/>
        </w:rPr>
        <w:t xml:space="preserve">) </w:t>
      </w:r>
      <w:r w:rsidR="00171308" w:rsidRPr="008F54A9">
        <w:rPr>
          <w:rFonts w:ascii="Arabic Typesetting" w:hAnsi="Arabic Typesetting" w:cs="Arabic Typesetting" w:hint="cs"/>
          <w:sz w:val="34"/>
          <w:szCs w:val="34"/>
          <w:rtl/>
          <w:lang w:bidi="ar-EG"/>
        </w:rPr>
        <w:t>و</w:t>
      </w:r>
      <w:r w:rsidR="00171308" w:rsidRPr="008F54A9">
        <w:rPr>
          <w:rFonts w:ascii="Arabic Typesetting" w:hAnsi="Arabic Typesetting" w:cs="Arabic Typesetting"/>
          <w:sz w:val="34"/>
          <w:szCs w:val="34"/>
          <w:rtl/>
          <w:lang w:bidi="ar-EG"/>
        </w:rPr>
        <w:t>مجلس جمعيات الإدارة الجماعية لحقوق فناني الأداء (</w:t>
      </w:r>
      <w:r w:rsidR="00171308" w:rsidRPr="008F54A9">
        <w:rPr>
          <w:rFonts w:ascii="Arabic Typesetting" w:hAnsi="Arabic Typesetting" w:cs="Arabic Typesetting"/>
          <w:sz w:val="34"/>
          <w:szCs w:val="34"/>
          <w:lang w:bidi="ar-EG"/>
        </w:rPr>
        <w:t>SCAPR</w:t>
      </w:r>
      <w:r w:rsidR="00171308" w:rsidRPr="008F54A9">
        <w:rPr>
          <w:rFonts w:ascii="Arabic Typesetting" w:hAnsi="Arabic Typesetting" w:cs="Arabic Typesetting"/>
          <w:sz w:val="34"/>
          <w:szCs w:val="34"/>
          <w:rtl/>
          <w:lang w:bidi="ar-EG"/>
        </w:rPr>
        <w:t>)</w:t>
      </w:r>
      <w:r w:rsidR="00171308" w:rsidRPr="00171308">
        <w:rPr>
          <w:rFonts w:ascii="Arabic Typesetting" w:hAnsi="Arabic Typesetting" w:cs="Arabic Typesetting" w:hint="cs"/>
          <w:sz w:val="34"/>
          <w:szCs w:val="34"/>
          <w:rtl/>
          <w:lang w:bidi="ar-EG"/>
        </w:rPr>
        <w:t xml:space="preserve"> و</w:t>
      </w:r>
      <w:r w:rsidRPr="008F54A9">
        <w:rPr>
          <w:rFonts w:ascii="Arabic Typesetting" w:hAnsi="Arabic Typesetting" w:cs="Arabic Typesetting" w:hint="cs"/>
          <w:sz w:val="34"/>
          <w:szCs w:val="34"/>
          <w:rtl/>
          <w:lang w:bidi="ar-EG"/>
        </w:rPr>
        <w:t>معهد</w:t>
      </w:r>
      <w:r w:rsidR="00B05B47">
        <w:rPr>
          <w:rFonts w:ascii="Arabic Typesetting" w:hAnsi="Arabic Typesetting" w:cs="Arabic Typesetting" w:hint="eastAsia"/>
          <w:sz w:val="34"/>
          <w:szCs w:val="34"/>
          <w:rtl/>
          <w:lang w:bidi="ar-EG"/>
        </w:rPr>
        <w:t> </w:t>
      </w:r>
      <w:r w:rsidRPr="008F54A9">
        <w:rPr>
          <w:rFonts w:ascii="Arabic Typesetting" w:hAnsi="Arabic Typesetting" w:cs="Arabic Typesetting" w:hint="cs"/>
          <w:sz w:val="34"/>
          <w:szCs w:val="34"/>
          <w:rtl/>
          <w:lang w:bidi="ar-EG"/>
        </w:rPr>
        <w:t>حق المؤلف (</w:t>
      </w:r>
      <w:r w:rsidRPr="008F54A9">
        <w:rPr>
          <w:rFonts w:ascii="Arabic Typesetting" w:hAnsi="Arabic Typesetting" w:cs="Arabic Typesetting"/>
          <w:sz w:val="34"/>
          <w:szCs w:val="34"/>
          <w:lang w:bidi="ar-EG"/>
        </w:rPr>
        <w:t>IA</w:t>
      </w:r>
      <w:r w:rsidRPr="008F54A9">
        <w:rPr>
          <w:rFonts w:ascii="Arabic Typesetting" w:hAnsi="Arabic Typesetting" w:cs="Arabic Typesetting" w:hint="cs"/>
          <w:sz w:val="34"/>
          <w:szCs w:val="34"/>
          <w:rtl/>
          <w:lang w:bidi="ar-EG"/>
        </w:rPr>
        <w:t>) و</w:t>
      </w:r>
      <w:r w:rsidRPr="008F54A9">
        <w:rPr>
          <w:rFonts w:ascii="Arabic Typesetting" w:hAnsi="Arabic Typesetting" w:cs="Arabic Typesetting"/>
          <w:sz w:val="34"/>
          <w:szCs w:val="34"/>
          <w:rtl/>
          <w:lang w:bidi="ar-EG"/>
        </w:rPr>
        <w:t>الجمعية البرتغالية</w:t>
      </w:r>
      <w:r w:rsidRPr="008F54A9">
        <w:rPr>
          <w:rFonts w:ascii="Arabic Typesetting" w:hAnsi="Arabic Typesetting" w:cs="Arabic Typesetting" w:hint="cs"/>
          <w:sz w:val="34"/>
          <w:szCs w:val="34"/>
          <w:rtl/>
          <w:lang w:bidi="ar-EG"/>
        </w:rPr>
        <w:t xml:space="preserve"> </w:t>
      </w:r>
      <w:r w:rsidRPr="008F54A9">
        <w:rPr>
          <w:rFonts w:ascii="Arabic Typesetting" w:hAnsi="Arabic Typesetting" w:cs="Arabic Typesetting"/>
          <w:sz w:val="34"/>
          <w:szCs w:val="34"/>
          <w:rtl/>
          <w:lang w:bidi="ar-EG"/>
        </w:rPr>
        <w:t>للمؤلفين</w:t>
      </w:r>
      <w:r w:rsidRPr="008F54A9">
        <w:rPr>
          <w:rFonts w:ascii="Arabic Typesetting" w:hAnsi="Arabic Typesetting" w:cs="Arabic Typesetting" w:hint="cs"/>
          <w:sz w:val="34"/>
          <w:szCs w:val="34"/>
          <w:rtl/>
          <w:lang w:bidi="ar-EG"/>
        </w:rPr>
        <w:t xml:space="preserve"> </w:t>
      </w:r>
      <w:r w:rsidRPr="008F54A9">
        <w:rPr>
          <w:rFonts w:ascii="Arabic Typesetting" w:hAnsi="Arabic Typesetting" w:cs="Arabic Typesetting"/>
          <w:sz w:val="34"/>
          <w:szCs w:val="34"/>
          <w:rtl/>
          <w:lang w:bidi="ar-EG"/>
        </w:rPr>
        <w:t>(</w:t>
      </w:r>
      <w:r w:rsidRPr="008F54A9">
        <w:rPr>
          <w:rFonts w:ascii="Arabic Typesetting" w:hAnsi="Arabic Typesetting" w:cs="Arabic Typesetting"/>
          <w:sz w:val="34"/>
          <w:szCs w:val="34"/>
          <w:lang w:bidi="ar-EG"/>
        </w:rPr>
        <w:t>SPA</w:t>
      </w:r>
      <w:r w:rsidRPr="008F54A9">
        <w:rPr>
          <w:rFonts w:ascii="Arabic Typesetting" w:hAnsi="Arabic Typesetting" w:cs="Arabic Typesetting"/>
          <w:sz w:val="34"/>
          <w:szCs w:val="34"/>
          <w:rtl/>
          <w:lang w:bidi="ar-EG"/>
        </w:rPr>
        <w:t>)</w:t>
      </w:r>
      <w:r w:rsidRPr="008F54A9">
        <w:rPr>
          <w:rFonts w:ascii="Arabic Typesetting" w:hAnsi="Arabic Typesetting" w:cs="Arabic Typesetting" w:hint="cs"/>
          <w:sz w:val="34"/>
          <w:szCs w:val="34"/>
          <w:rtl/>
          <w:lang w:bidi="ar-EG"/>
        </w:rPr>
        <w:t xml:space="preserve"> </w:t>
      </w:r>
      <w:r w:rsidR="00B05B47">
        <w:rPr>
          <w:rFonts w:ascii="Arabic Typesetting" w:hAnsi="Arabic Typesetting" w:cs="Arabic Typesetting" w:hint="cs"/>
          <w:sz w:val="34"/>
          <w:szCs w:val="34"/>
          <w:rtl/>
          <w:lang w:bidi="ar-EG"/>
        </w:rPr>
        <w:t>و</w:t>
      </w:r>
      <w:r w:rsidRPr="008F54A9">
        <w:rPr>
          <w:rFonts w:ascii="Arabic Typesetting" w:hAnsi="Arabic Typesetting" w:cs="Arabic Typesetting" w:hint="cs"/>
          <w:sz w:val="34"/>
          <w:szCs w:val="34"/>
          <w:rtl/>
          <w:lang w:bidi="ar-EG"/>
        </w:rPr>
        <w:t>مع حكومات منها حكومة الولايات المتحدة الأمريكية.</w:t>
      </w:r>
      <w:r w:rsidR="00171308">
        <w:rPr>
          <w:rFonts w:ascii="Arabic Typesetting" w:hAnsi="Arabic Typesetting" w:cs="Arabic Typesetting" w:hint="cs"/>
          <w:sz w:val="34"/>
          <w:szCs w:val="34"/>
          <w:rtl/>
          <w:lang w:bidi="ar-EG"/>
        </w:rPr>
        <w:t xml:space="preserve"> واستمر</w:t>
      </w:r>
      <w:r w:rsidR="00B05B47">
        <w:rPr>
          <w:rFonts w:ascii="Arabic Typesetting" w:hAnsi="Arabic Typesetting" w:cs="Arabic Typesetting" w:hint="eastAsia"/>
          <w:sz w:val="34"/>
          <w:szCs w:val="34"/>
          <w:rtl/>
          <w:lang w:bidi="ar-EG"/>
        </w:rPr>
        <w:t> </w:t>
      </w:r>
      <w:r w:rsidR="00171308">
        <w:rPr>
          <w:rFonts w:ascii="Arabic Typesetting" w:hAnsi="Arabic Typesetting" w:cs="Arabic Typesetting" w:hint="cs"/>
          <w:sz w:val="34"/>
          <w:szCs w:val="34"/>
          <w:rtl/>
          <w:lang w:bidi="ar-EG"/>
        </w:rPr>
        <w:t xml:space="preserve">البرنامج التوجيهي للويبو لتيسير نقل المعرفة في مجال الإدارة الجماعية عن طريق الربط بين منظمات </w:t>
      </w:r>
      <w:r w:rsidR="00B05B47">
        <w:rPr>
          <w:rFonts w:ascii="Arabic Typesetting" w:hAnsi="Arabic Typesetting" w:cs="Arabic Typesetting" w:hint="cs"/>
          <w:sz w:val="34"/>
          <w:szCs w:val="34"/>
          <w:rtl/>
          <w:lang w:bidi="ar-EG"/>
        </w:rPr>
        <w:t>ال</w:t>
      </w:r>
      <w:r w:rsidR="00171308">
        <w:rPr>
          <w:rFonts w:ascii="Arabic Typesetting" w:hAnsi="Arabic Typesetting" w:cs="Arabic Typesetting" w:hint="cs"/>
          <w:sz w:val="34"/>
          <w:szCs w:val="34"/>
          <w:rtl/>
          <w:lang w:bidi="ar-EG"/>
        </w:rPr>
        <w:t xml:space="preserve">إدارة </w:t>
      </w:r>
      <w:r w:rsidR="00B05B47">
        <w:rPr>
          <w:rFonts w:ascii="Arabic Typesetting" w:hAnsi="Arabic Typesetting" w:cs="Arabic Typesetting" w:hint="cs"/>
          <w:sz w:val="34"/>
          <w:szCs w:val="34"/>
          <w:rtl/>
          <w:lang w:bidi="ar-EG"/>
        </w:rPr>
        <w:t>ال</w:t>
      </w:r>
      <w:r w:rsidR="00171308">
        <w:rPr>
          <w:rFonts w:ascii="Arabic Typesetting" w:hAnsi="Arabic Typesetting" w:cs="Arabic Typesetting" w:hint="cs"/>
          <w:sz w:val="34"/>
          <w:szCs w:val="34"/>
          <w:rtl/>
          <w:lang w:bidi="ar-EG"/>
        </w:rPr>
        <w:t>جماعية ال</w:t>
      </w:r>
      <w:r w:rsidR="00B05B47">
        <w:rPr>
          <w:rFonts w:ascii="Arabic Typesetting" w:hAnsi="Arabic Typesetting" w:cs="Arabic Typesetting" w:hint="cs"/>
          <w:sz w:val="34"/>
          <w:szCs w:val="34"/>
          <w:rtl/>
          <w:lang w:bidi="ar-EG"/>
        </w:rPr>
        <w:t>قديمة</w:t>
      </w:r>
      <w:r w:rsidR="00171308">
        <w:rPr>
          <w:rFonts w:ascii="Arabic Typesetting" w:hAnsi="Arabic Typesetting" w:cs="Arabic Typesetting" w:hint="cs"/>
          <w:sz w:val="34"/>
          <w:szCs w:val="34"/>
          <w:rtl/>
          <w:lang w:bidi="ar-EG"/>
        </w:rPr>
        <w:t xml:space="preserve"> ونظيراتها الجديدة. وفضلاً عن ذلك، أتيحت ست وحدات تعليمية في مجال منظمات الإدارة الجماعية للدول الأعضاء في </w:t>
      </w:r>
      <w:r w:rsidR="00507DE2">
        <w:rPr>
          <w:rFonts w:ascii="Arabic Typesetting" w:hAnsi="Arabic Typesetting" w:cs="Arabic Typesetting" w:hint="cs"/>
          <w:sz w:val="34"/>
          <w:szCs w:val="34"/>
          <w:rtl/>
          <w:lang w:bidi="ar-EG"/>
        </w:rPr>
        <w:t>2014/15</w:t>
      </w:r>
      <w:r w:rsidR="00171308">
        <w:rPr>
          <w:rFonts w:ascii="Arabic Typesetting" w:hAnsi="Arabic Typesetting" w:cs="Arabic Typesetting" w:hint="cs"/>
          <w:sz w:val="34"/>
          <w:szCs w:val="34"/>
          <w:rtl/>
          <w:lang w:bidi="ar-EG"/>
        </w:rPr>
        <w:t>.</w:t>
      </w:r>
    </w:p>
    <w:p w:rsidR="00171308" w:rsidRDefault="00171308" w:rsidP="009A3712">
      <w:pPr>
        <w:numPr>
          <w:ilvl w:val="0"/>
          <w:numId w:val="4"/>
        </w:numPr>
        <w:bidi/>
        <w:spacing w:after="120" w:line="340" w:lineRule="exact"/>
        <w:ind w:left="-1" w:firstLine="1"/>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ووُضع </w:t>
      </w:r>
      <w:r w:rsidRPr="000B6BBC">
        <w:rPr>
          <w:rFonts w:ascii="Arabic Typesetting" w:hAnsi="Arabic Typesetting" w:cs="Arabic Typesetting"/>
          <w:i/>
          <w:iCs/>
          <w:sz w:val="34"/>
          <w:szCs w:val="34"/>
          <w:rtl/>
          <w:lang w:bidi="ar-EG"/>
        </w:rPr>
        <w:t>دليل جمعيات تحصيل الإتاوات</w:t>
      </w:r>
      <w:r w:rsidRPr="000B6BBC">
        <w:rPr>
          <w:rFonts w:ascii="Arabic Typesetting" w:hAnsi="Arabic Typesetting" w:cs="Arabic Typesetting" w:hint="cs"/>
          <w:i/>
          <w:iCs/>
          <w:sz w:val="34"/>
          <w:szCs w:val="34"/>
          <w:rtl/>
        </w:rPr>
        <w:t xml:space="preserve"> لعام 2014</w:t>
      </w:r>
      <w:r w:rsidRPr="00F96634">
        <w:rPr>
          <w:rFonts w:ascii="Arabic Typesetting" w:hAnsi="Arabic Typesetting" w:cs="Arabic Typesetting"/>
          <w:i/>
          <w:iCs/>
          <w:sz w:val="28"/>
          <w:szCs w:val="28"/>
          <w:vertAlign w:val="superscript"/>
          <w:rtl/>
          <w:lang w:bidi="ar-EG"/>
        </w:rPr>
        <w:footnoteReference w:id="13"/>
      </w:r>
      <w:r>
        <w:rPr>
          <w:rFonts w:ascii="Arabic Typesetting" w:hAnsi="Arabic Typesetting" w:cs="Arabic Typesetting" w:hint="cs"/>
          <w:sz w:val="34"/>
          <w:szCs w:val="34"/>
          <w:rtl/>
          <w:lang w:bidi="ar-EG"/>
        </w:rPr>
        <w:t xml:space="preserve">، وهو دليل شبكي يضم الحقائق والأرقام الأساسية عن منظمات الإدارة الجماعية في شتى أنحاء العالم، بالتعاون مع مكتب </w:t>
      </w:r>
      <w:r w:rsidRPr="00171308">
        <w:rPr>
          <w:rFonts w:ascii="Arabic Typesetting" w:hAnsi="Arabic Typesetting" w:cs="Arabic Typesetting"/>
          <w:sz w:val="34"/>
          <w:szCs w:val="34"/>
          <w:rtl/>
          <w:lang w:bidi="ar-EG"/>
        </w:rPr>
        <w:t xml:space="preserve">بيكر </w:t>
      </w:r>
      <w:proofErr w:type="spellStart"/>
      <w:r w:rsidRPr="00171308">
        <w:rPr>
          <w:rFonts w:ascii="Arabic Typesetting" w:hAnsi="Arabic Typesetting" w:cs="Arabic Typesetting"/>
          <w:sz w:val="34"/>
          <w:szCs w:val="34"/>
          <w:rtl/>
          <w:lang w:bidi="ar-EG"/>
        </w:rPr>
        <w:t>وماكينزي</w:t>
      </w:r>
      <w:proofErr w:type="spellEnd"/>
      <w:r>
        <w:rPr>
          <w:rFonts w:ascii="Arabic Typesetting" w:hAnsi="Arabic Typesetting" w:cs="Arabic Typesetting" w:hint="cs"/>
          <w:sz w:val="34"/>
          <w:szCs w:val="34"/>
          <w:rtl/>
          <w:lang w:bidi="ar-EG"/>
        </w:rPr>
        <w:t xml:space="preserve"> القانوني وأُطلق في أكتوبر 2014. وسج</w:t>
      </w:r>
      <w:r w:rsidR="000B6BBC">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ل الدليل ما </w:t>
      </w:r>
      <w:proofErr w:type="spellStart"/>
      <w:r>
        <w:rPr>
          <w:rFonts w:ascii="Arabic Typesetting" w:hAnsi="Arabic Typesetting" w:cs="Arabic Typesetting" w:hint="cs"/>
          <w:sz w:val="34"/>
          <w:szCs w:val="34"/>
          <w:rtl/>
          <w:lang w:bidi="ar-EG"/>
        </w:rPr>
        <w:t>متوسطه</w:t>
      </w:r>
      <w:proofErr w:type="spellEnd"/>
      <w:r>
        <w:rPr>
          <w:rFonts w:ascii="Arabic Typesetting" w:hAnsi="Arabic Typesetting" w:cs="Arabic Typesetting" w:hint="cs"/>
          <w:sz w:val="34"/>
          <w:szCs w:val="34"/>
          <w:rtl/>
          <w:lang w:bidi="ar-EG"/>
        </w:rPr>
        <w:t xml:space="preserve"> أكثر من 2300 زيارة متفردة في الشهر.</w:t>
      </w:r>
    </w:p>
    <w:p w:rsidR="00724C0D" w:rsidRDefault="000B6BBC" w:rsidP="009A3712">
      <w:pPr>
        <w:keepLines/>
        <w:numPr>
          <w:ilvl w:val="0"/>
          <w:numId w:val="4"/>
        </w:numPr>
        <w:bidi/>
        <w:spacing w:after="120" w:line="340" w:lineRule="exact"/>
        <w:ind w:left="0" w:firstLine="0"/>
        <w:rPr>
          <w:rFonts w:ascii="Arabic Typesetting" w:hAnsi="Arabic Typesetting" w:cs="Arabic Typesetting"/>
          <w:sz w:val="34"/>
          <w:szCs w:val="34"/>
          <w:lang w:bidi="ar-EG"/>
        </w:rPr>
      </w:pPr>
      <w:r w:rsidRPr="00724C0D">
        <w:rPr>
          <w:rFonts w:ascii="Arabic Typesetting" w:hAnsi="Arabic Typesetting" w:cs="Arabic Typesetting" w:hint="cs"/>
          <w:sz w:val="34"/>
          <w:szCs w:val="34"/>
          <w:rtl/>
          <w:lang w:bidi="ar-EG"/>
        </w:rPr>
        <w:lastRenderedPageBreak/>
        <w:t>و</w:t>
      </w:r>
      <w:r w:rsidRPr="008F54A9">
        <w:rPr>
          <w:rFonts w:ascii="Arabic Typesetting" w:hAnsi="Arabic Typesetting" w:cs="Arabic Typesetting" w:hint="cs"/>
          <w:sz w:val="34"/>
          <w:szCs w:val="34"/>
          <w:rtl/>
          <w:lang w:bidi="ar-EG"/>
        </w:rPr>
        <w:t>أصدرت الويبو</w:t>
      </w:r>
      <w:r w:rsidRPr="00724C0D">
        <w:rPr>
          <w:rFonts w:ascii="Arabic Typesetting" w:hAnsi="Arabic Typesetting" w:cs="Arabic Typesetting" w:hint="cs"/>
          <w:sz w:val="34"/>
          <w:szCs w:val="34"/>
          <w:rtl/>
          <w:lang w:bidi="ar-EG"/>
        </w:rPr>
        <w:t xml:space="preserve"> في </w:t>
      </w:r>
      <w:r w:rsidR="00507DE2">
        <w:rPr>
          <w:rFonts w:ascii="Arabic Typesetting" w:hAnsi="Arabic Typesetting" w:cs="Arabic Typesetting" w:hint="cs"/>
          <w:sz w:val="34"/>
          <w:szCs w:val="34"/>
          <w:rtl/>
          <w:lang w:bidi="ar-EG"/>
        </w:rPr>
        <w:t>2014/15</w:t>
      </w:r>
      <w:r w:rsidRPr="008F54A9">
        <w:rPr>
          <w:rFonts w:ascii="Arabic Typesetting" w:hAnsi="Arabic Typesetting" w:cs="Arabic Typesetting" w:hint="cs"/>
          <w:sz w:val="34"/>
          <w:szCs w:val="34"/>
          <w:rtl/>
          <w:lang w:bidi="ar-EG"/>
        </w:rPr>
        <w:t xml:space="preserve"> أربع دراسات وطنية بشأن الإسهام الاقتصادي </w:t>
      </w:r>
      <w:r w:rsidR="00B05B47">
        <w:rPr>
          <w:rFonts w:ascii="Arabic Typesetting" w:hAnsi="Arabic Typesetting" w:cs="Arabic Typesetting" w:hint="cs"/>
          <w:sz w:val="34"/>
          <w:szCs w:val="34"/>
          <w:rtl/>
          <w:lang w:bidi="ar-EG"/>
        </w:rPr>
        <w:t>لصناعات حق المؤلف في الأرجنتين و</w:t>
      </w:r>
      <w:r w:rsidRPr="008F54A9">
        <w:rPr>
          <w:rFonts w:ascii="Arabic Typesetting" w:hAnsi="Arabic Typesetting" w:cs="Arabic Typesetting" w:hint="cs"/>
          <w:sz w:val="34"/>
          <w:szCs w:val="34"/>
          <w:rtl/>
          <w:lang w:bidi="ar-EG"/>
        </w:rPr>
        <w:t>إندونيسيا وصربيا وتركيا ودراسة في الدول الأعضاء في منظمة دول شرقي الكاريبي</w:t>
      </w:r>
      <w:r w:rsidR="00724C0D">
        <w:rPr>
          <w:rFonts w:ascii="Arabic Typesetting" w:hAnsi="Arabic Typesetting" w:cs="Arabic Typesetting" w:hint="cs"/>
          <w:sz w:val="34"/>
          <w:szCs w:val="34"/>
          <w:rtl/>
          <w:lang w:bidi="ar-EG"/>
        </w:rPr>
        <w:t xml:space="preserve"> واستكملت دراسات لفائدة إثيوبيا وفرنسا وجمهورية مولدوفا نُشرت في أوائل عام 2016 (ليبلغ عدد الدراسات التراكمي 49 دراسة). </w:t>
      </w:r>
      <w:r w:rsidRPr="008F54A9">
        <w:rPr>
          <w:rFonts w:ascii="Arabic Typesetting" w:hAnsi="Arabic Typesetting" w:cs="Arabic Typesetting" w:hint="cs"/>
          <w:sz w:val="34"/>
          <w:szCs w:val="34"/>
          <w:rtl/>
          <w:lang w:bidi="ar-EG"/>
        </w:rPr>
        <w:t>وتستند تلك الدراسات إلى دليل الويبو لاستقصاء المساهمة الاقتصادية للصناعات القائمة على حق المؤلف</w:t>
      </w:r>
      <w:r w:rsidR="00B05B47">
        <w:rPr>
          <w:rFonts w:ascii="Arabic Typesetting" w:hAnsi="Arabic Typesetting" w:cs="Arabic Typesetting" w:hint="cs"/>
          <w:sz w:val="34"/>
          <w:szCs w:val="34"/>
          <w:rtl/>
          <w:lang w:bidi="ar-EG"/>
        </w:rPr>
        <w:t>؛</w:t>
      </w:r>
      <w:r w:rsidRPr="008F54A9">
        <w:rPr>
          <w:rFonts w:ascii="Arabic Typesetting" w:hAnsi="Arabic Typesetting" w:cs="Arabic Typesetting" w:hint="cs"/>
          <w:sz w:val="34"/>
          <w:szCs w:val="34"/>
          <w:rtl/>
          <w:lang w:bidi="ar-EG"/>
        </w:rPr>
        <w:t xml:space="preserve"> </w:t>
      </w:r>
      <w:r w:rsidR="00724C0D">
        <w:rPr>
          <w:rFonts w:ascii="Arabic Typesetting" w:hAnsi="Arabic Typesetting" w:cs="Arabic Typesetting" w:hint="cs"/>
          <w:sz w:val="34"/>
          <w:szCs w:val="34"/>
          <w:rtl/>
          <w:lang w:bidi="ar-EG"/>
        </w:rPr>
        <w:t>وأُصدرت النسخة الثانية من</w:t>
      </w:r>
      <w:r w:rsidR="00B05B47">
        <w:rPr>
          <w:rFonts w:ascii="Arabic Typesetting" w:hAnsi="Arabic Typesetting" w:cs="Arabic Typesetting" w:hint="cs"/>
          <w:sz w:val="34"/>
          <w:szCs w:val="34"/>
          <w:rtl/>
          <w:lang w:bidi="ar-EG"/>
        </w:rPr>
        <w:t xml:space="preserve"> هذا الدليل</w:t>
      </w:r>
      <w:r w:rsidR="00724C0D">
        <w:rPr>
          <w:rFonts w:ascii="Arabic Typesetting" w:hAnsi="Arabic Typesetting" w:cs="Arabic Typesetting" w:hint="cs"/>
          <w:sz w:val="34"/>
          <w:szCs w:val="34"/>
          <w:rtl/>
          <w:lang w:bidi="ar-EG"/>
        </w:rPr>
        <w:t xml:space="preserve"> في عام 2015</w:t>
      </w:r>
      <w:r w:rsidRPr="008F54A9">
        <w:rPr>
          <w:rFonts w:ascii="Arabic Typesetting" w:hAnsi="Arabic Typesetting" w:cs="Arabic Typesetting" w:hint="cs"/>
          <w:sz w:val="34"/>
          <w:szCs w:val="34"/>
          <w:rtl/>
          <w:lang w:bidi="ar-EG"/>
        </w:rPr>
        <w:t>.</w:t>
      </w:r>
      <w:r w:rsidR="00724C0D">
        <w:rPr>
          <w:rFonts w:ascii="Arabic Typesetting" w:hAnsi="Arabic Typesetting" w:cs="Arabic Typesetting" w:hint="cs"/>
          <w:sz w:val="34"/>
          <w:szCs w:val="34"/>
          <w:rtl/>
          <w:lang w:bidi="ar-EG"/>
        </w:rPr>
        <w:t xml:space="preserve"> </w:t>
      </w:r>
      <w:r w:rsidRPr="008F54A9">
        <w:rPr>
          <w:rFonts w:ascii="Arabic Typesetting" w:hAnsi="Arabic Typesetting" w:cs="Arabic Typesetting" w:hint="cs"/>
          <w:sz w:val="34"/>
          <w:szCs w:val="34"/>
          <w:rtl/>
          <w:lang w:bidi="ar-EG"/>
        </w:rPr>
        <w:t>وتشير</w:t>
      </w:r>
      <w:r w:rsidR="00B05B47">
        <w:rPr>
          <w:rFonts w:ascii="Arabic Typesetting" w:hAnsi="Arabic Typesetting" w:cs="Arabic Typesetting" w:hint="eastAsia"/>
          <w:sz w:val="34"/>
          <w:szCs w:val="34"/>
          <w:rtl/>
          <w:lang w:bidi="ar-EG"/>
        </w:rPr>
        <w:t> </w:t>
      </w:r>
      <w:r w:rsidRPr="008F54A9">
        <w:rPr>
          <w:rFonts w:ascii="Arabic Typesetting" w:hAnsi="Arabic Typesetting" w:cs="Arabic Typesetting" w:hint="cs"/>
          <w:sz w:val="34"/>
          <w:szCs w:val="34"/>
          <w:rtl/>
          <w:lang w:bidi="ar-EG"/>
        </w:rPr>
        <w:t xml:space="preserve">الدراسات إلى أن الصناعات الإبداعية </w:t>
      </w:r>
      <w:r w:rsidR="00724C0D">
        <w:rPr>
          <w:rFonts w:ascii="Arabic Typesetting" w:hAnsi="Arabic Typesetting" w:cs="Arabic Typesetting" w:hint="cs"/>
          <w:sz w:val="34"/>
          <w:szCs w:val="34"/>
          <w:rtl/>
          <w:lang w:bidi="ar-EG"/>
        </w:rPr>
        <w:t>تولد</w:t>
      </w:r>
      <w:r w:rsidRPr="008F54A9">
        <w:rPr>
          <w:rFonts w:ascii="Arabic Typesetting" w:hAnsi="Arabic Typesetting" w:cs="Arabic Typesetting" w:hint="cs"/>
          <w:sz w:val="34"/>
          <w:szCs w:val="34"/>
          <w:rtl/>
          <w:lang w:bidi="ar-EG"/>
        </w:rPr>
        <w:t xml:space="preserve"> في المتوسط </w:t>
      </w:r>
      <w:r w:rsidR="00724C0D">
        <w:rPr>
          <w:rFonts w:ascii="Arabic Typesetting" w:hAnsi="Arabic Typesetting" w:cs="Arabic Typesetting" w:hint="cs"/>
          <w:sz w:val="34"/>
          <w:szCs w:val="34"/>
          <w:rtl/>
          <w:lang w:bidi="ar-EG"/>
        </w:rPr>
        <w:t>5.16</w:t>
      </w:r>
      <w:r w:rsidRPr="008F54A9">
        <w:rPr>
          <w:rFonts w:ascii="Arabic Typesetting" w:hAnsi="Arabic Typesetting" w:cs="Arabic Typesetting" w:hint="cs"/>
          <w:sz w:val="34"/>
          <w:szCs w:val="34"/>
          <w:rtl/>
          <w:lang w:bidi="ar-EG"/>
        </w:rPr>
        <w:t xml:space="preserve"> بالمئة من الناتج المحلي الإجمالي و</w:t>
      </w:r>
      <w:r w:rsidR="00724C0D">
        <w:rPr>
          <w:rFonts w:ascii="Arabic Typesetting" w:hAnsi="Arabic Typesetting" w:cs="Arabic Typesetting" w:hint="cs"/>
          <w:sz w:val="34"/>
          <w:szCs w:val="34"/>
          <w:rtl/>
          <w:lang w:bidi="ar-EG"/>
        </w:rPr>
        <w:t>5.36</w:t>
      </w:r>
      <w:r w:rsidRPr="008F54A9">
        <w:rPr>
          <w:rFonts w:ascii="Arabic Typesetting" w:hAnsi="Arabic Typesetting" w:cs="Arabic Typesetting" w:hint="cs"/>
          <w:sz w:val="34"/>
          <w:szCs w:val="34"/>
          <w:rtl/>
          <w:lang w:bidi="ar-EG"/>
        </w:rPr>
        <w:t xml:space="preserve"> بالم</w:t>
      </w:r>
      <w:r w:rsidR="00724C0D">
        <w:rPr>
          <w:rFonts w:ascii="Arabic Typesetting" w:hAnsi="Arabic Typesetting" w:cs="Arabic Typesetting" w:hint="cs"/>
          <w:sz w:val="34"/>
          <w:szCs w:val="34"/>
          <w:rtl/>
          <w:lang w:bidi="ar-EG"/>
        </w:rPr>
        <w:t>ئة من مجموع العمالة.</w:t>
      </w:r>
      <w:r w:rsidR="003E0F61">
        <w:rPr>
          <w:rFonts w:ascii="Arabic Typesetting" w:hAnsi="Arabic Typesetting" w:cs="Arabic Typesetting" w:hint="cs"/>
          <w:sz w:val="34"/>
          <w:szCs w:val="34"/>
          <w:rtl/>
          <w:lang w:bidi="ar-EG"/>
        </w:rPr>
        <w:t xml:space="preserve"> وقامت الويبو أيضاً "1" بنشر دراستين استقصائيتين بشأن رسوم حق المؤلف</w:t>
      </w:r>
      <w:r w:rsidR="00345954">
        <w:rPr>
          <w:rFonts w:ascii="Arabic Typesetting" w:hAnsi="Arabic Typesetting" w:cs="Arabic Typesetting" w:hint="cs"/>
          <w:sz w:val="34"/>
          <w:szCs w:val="34"/>
          <w:rtl/>
          <w:lang w:bidi="ar-EG"/>
        </w:rPr>
        <w:t xml:space="preserve"> (بالتعاون مع شركاء خارجيين)</w:t>
      </w:r>
      <w:r w:rsidR="003E0F61">
        <w:rPr>
          <w:rFonts w:ascii="Arabic Typesetting" w:hAnsi="Arabic Typesetting" w:cs="Arabic Typesetting" w:hint="cs"/>
          <w:sz w:val="34"/>
          <w:szCs w:val="34"/>
          <w:rtl/>
          <w:lang w:bidi="ar-EG"/>
        </w:rPr>
        <w:t>؛ "2" وإطلاق دراسة رائدة بشأن الأثر الأوسع نطاقاً لحق المؤلف في الصناعات الإبداعية؛ "3" واستكمال دراسة عن القرصنة.</w:t>
      </w:r>
    </w:p>
    <w:p w:rsidR="003E0F61" w:rsidRDefault="003E0F61" w:rsidP="009A3712">
      <w:pPr>
        <w:numPr>
          <w:ilvl w:val="0"/>
          <w:numId w:val="4"/>
        </w:numPr>
        <w:bidi/>
        <w:spacing w:after="120" w:line="340" w:lineRule="exact"/>
        <w:ind w:left="0" w:firstLine="0"/>
        <w:rPr>
          <w:rFonts w:ascii="Arabic Typesetting" w:hAnsi="Arabic Typesetting" w:cs="Arabic Typesetting"/>
          <w:sz w:val="34"/>
          <w:szCs w:val="34"/>
          <w:lang w:bidi="ar-EG"/>
        </w:rPr>
      </w:pPr>
      <w:r w:rsidRPr="003E0F61">
        <w:rPr>
          <w:rFonts w:ascii="Arabic Typesetting" w:hAnsi="Arabic Typesetting" w:cs="Arabic Typesetting" w:hint="cs"/>
          <w:sz w:val="34"/>
          <w:szCs w:val="34"/>
          <w:rtl/>
          <w:lang w:bidi="ar-EG"/>
        </w:rPr>
        <w:t>و</w:t>
      </w:r>
      <w:r w:rsidRPr="003E0F61">
        <w:rPr>
          <w:rFonts w:ascii="Arabic Typesetting" w:hAnsi="Arabic Typesetting" w:cs="Arabic Typesetting"/>
          <w:sz w:val="34"/>
          <w:szCs w:val="34"/>
          <w:rtl/>
          <w:lang w:bidi="ar-EG"/>
        </w:rPr>
        <w:t>نشرت الويبو أداتين جديدتين لفائدة المبدعين</w:t>
      </w:r>
      <w:r w:rsidRPr="003E0F61">
        <w:rPr>
          <w:rFonts w:ascii="Arabic Typesetting" w:hAnsi="Arabic Typesetting" w:cs="Arabic Typesetting" w:hint="cs"/>
          <w:sz w:val="34"/>
          <w:szCs w:val="34"/>
          <w:rtl/>
          <w:lang w:bidi="ar-EG"/>
        </w:rPr>
        <w:t xml:space="preserve"> في عام 2014</w:t>
      </w:r>
      <w:r w:rsidRPr="003E0F61">
        <w:rPr>
          <w:rFonts w:ascii="Arabic Typesetting" w:hAnsi="Arabic Typesetting" w:cs="Arabic Typesetting"/>
          <w:sz w:val="34"/>
          <w:szCs w:val="34"/>
          <w:rtl/>
          <w:lang w:bidi="ar-EG"/>
        </w:rPr>
        <w:t xml:space="preserve"> هما التحكم في اللعبة – مسائل تجارية وقانونية لمستحدثي ألعاب الفيديو (</w:t>
      </w:r>
      <w:r w:rsidRPr="003E0F61">
        <w:rPr>
          <w:rFonts w:ascii="Arabic Typesetting" w:hAnsi="Arabic Typesetting" w:cs="Arabic Typesetting"/>
          <w:sz w:val="34"/>
          <w:szCs w:val="34"/>
          <w:cs/>
          <w:lang w:bidi="ar-EG"/>
        </w:rPr>
        <w:t>‎</w:t>
      </w:r>
      <w:r w:rsidRPr="003E0F61">
        <w:rPr>
          <w:rFonts w:ascii="Arabic Typesetting" w:hAnsi="Arabic Typesetting" w:cs="Arabic Typesetting"/>
          <w:sz w:val="34"/>
          <w:szCs w:val="34"/>
          <w:lang w:bidi="ar-EG"/>
        </w:rPr>
        <w:t>Mastering the Game - Business and Legal Issues for Video Game Developers</w:t>
      </w:r>
      <w:r w:rsidRPr="003E0F61">
        <w:rPr>
          <w:rFonts w:ascii="Arabic Typesetting" w:hAnsi="Arabic Typesetting" w:cs="Arabic Typesetting"/>
          <w:sz w:val="34"/>
          <w:szCs w:val="34"/>
          <w:rtl/>
          <w:lang w:bidi="ar-EG"/>
        </w:rPr>
        <w:t xml:space="preserve">‏)، وتسييل </w:t>
      </w:r>
      <w:r w:rsidR="0055755E" w:rsidRPr="003E0F61">
        <w:rPr>
          <w:rFonts w:ascii="Arabic Typesetting" w:hAnsi="Arabic Typesetting" w:cs="Arabic Typesetting"/>
          <w:sz w:val="34"/>
          <w:szCs w:val="34"/>
          <w:rtl/>
          <w:lang w:bidi="ar-EG"/>
        </w:rPr>
        <w:t xml:space="preserve">الصناعات الإبداعية </w:t>
      </w:r>
      <w:r w:rsidR="0055755E">
        <w:rPr>
          <w:rFonts w:ascii="Arabic Typesetting" w:hAnsi="Arabic Typesetting" w:cs="Arabic Typesetting" w:hint="cs"/>
          <w:sz w:val="34"/>
          <w:szCs w:val="34"/>
          <w:rtl/>
          <w:lang w:bidi="ar-EG"/>
        </w:rPr>
        <w:t>ل</w:t>
      </w:r>
      <w:r w:rsidRPr="003E0F61">
        <w:rPr>
          <w:rFonts w:ascii="Arabic Typesetting" w:hAnsi="Arabic Typesetting" w:cs="Arabic Typesetting"/>
          <w:sz w:val="34"/>
          <w:szCs w:val="34"/>
          <w:rtl/>
          <w:lang w:bidi="ar-EG"/>
        </w:rPr>
        <w:t>أصول حق المؤلف (</w:t>
      </w:r>
      <w:r w:rsidRPr="003E0F61">
        <w:rPr>
          <w:rFonts w:ascii="Arabic Typesetting" w:hAnsi="Arabic Typesetting" w:cs="Arabic Typesetting"/>
          <w:sz w:val="34"/>
          <w:szCs w:val="34"/>
          <w:cs/>
          <w:lang w:bidi="ar-EG"/>
        </w:rPr>
        <w:t>‎</w:t>
      </w:r>
      <w:r w:rsidRPr="003E0F61">
        <w:rPr>
          <w:rFonts w:ascii="Arabic Typesetting" w:hAnsi="Arabic Typesetting" w:cs="Arabic Typesetting"/>
          <w:sz w:val="34"/>
          <w:szCs w:val="34"/>
          <w:lang w:bidi="ar-EG"/>
        </w:rPr>
        <w:t>Monetization of Copyright Assets by Creative Enterprises</w:t>
      </w:r>
      <w:r w:rsidRPr="003E0F61">
        <w:rPr>
          <w:rFonts w:ascii="Arabic Typesetting" w:hAnsi="Arabic Typesetting" w:cs="Arabic Typesetting"/>
          <w:sz w:val="34"/>
          <w:szCs w:val="34"/>
          <w:rtl/>
          <w:lang w:bidi="ar-EG"/>
        </w:rPr>
        <w:t>‏).</w:t>
      </w:r>
      <w:r w:rsidRPr="003E0F61">
        <w:rPr>
          <w:rFonts w:ascii="Arabic Typesetting" w:hAnsi="Arabic Typesetting" w:cs="Arabic Typesetting" w:hint="cs"/>
          <w:sz w:val="34"/>
          <w:szCs w:val="34"/>
          <w:rtl/>
          <w:lang w:bidi="ar-EG"/>
        </w:rPr>
        <w:t xml:space="preserve"> و</w:t>
      </w:r>
      <w:r w:rsidRPr="008F54A9">
        <w:rPr>
          <w:rFonts w:ascii="Arabic Typesetting" w:hAnsi="Arabic Typesetting" w:cs="Arabic Typesetting" w:hint="cs"/>
          <w:sz w:val="34"/>
          <w:szCs w:val="34"/>
          <w:rtl/>
          <w:lang w:bidi="ar-EG"/>
        </w:rPr>
        <w:t>أصدرت الطبعة الثانية لمنشور الويبو المعنو</w:t>
      </w:r>
      <w:r>
        <w:rPr>
          <w:rFonts w:ascii="Arabic Typesetting" w:hAnsi="Arabic Typesetting" w:cs="Arabic Typesetting" w:hint="cs"/>
          <w:sz w:val="34"/>
          <w:szCs w:val="34"/>
          <w:rtl/>
          <w:lang w:bidi="ar-EG"/>
        </w:rPr>
        <w:t>ن "كيفية كسب العيش من الموسيقى"</w:t>
      </w:r>
      <w:r w:rsidRPr="008F54A9">
        <w:rPr>
          <w:rFonts w:ascii="Arabic Typesetting" w:hAnsi="Arabic Typesetting" w:cs="Arabic Typesetting" w:hint="cs"/>
          <w:sz w:val="34"/>
          <w:szCs w:val="34"/>
          <w:rtl/>
          <w:lang w:bidi="ar-EG"/>
        </w:rPr>
        <w:t xml:space="preserve"> في يوليو</w:t>
      </w:r>
      <w:r w:rsidRPr="008F54A9">
        <w:rPr>
          <w:rFonts w:ascii="Arabic Typesetting" w:hAnsi="Arabic Typesetting" w:cs="Arabic Typesetting" w:hint="eastAsia"/>
          <w:sz w:val="34"/>
          <w:szCs w:val="34"/>
          <w:rtl/>
          <w:lang w:bidi="ar-EG"/>
        </w:rPr>
        <w:t> </w:t>
      </w:r>
      <w:r w:rsidRPr="008F54A9">
        <w:rPr>
          <w:rFonts w:ascii="Arabic Typesetting" w:hAnsi="Arabic Typesetting" w:cs="Arabic Typesetting" w:hint="cs"/>
          <w:sz w:val="34"/>
          <w:szCs w:val="34"/>
          <w:rtl/>
          <w:lang w:bidi="ar-EG"/>
        </w:rPr>
        <w:t>2014.</w:t>
      </w:r>
      <w:r w:rsidRPr="003E0F61">
        <w:rPr>
          <w:rFonts w:ascii="Arabic Typesetting" w:hAnsi="Arabic Typesetting" w:cs="Arabic Typesetting" w:hint="cs"/>
          <w:sz w:val="34"/>
          <w:szCs w:val="34"/>
          <w:rtl/>
          <w:lang w:bidi="ar-EG"/>
        </w:rPr>
        <w:t xml:space="preserve"> </w:t>
      </w:r>
      <w:r w:rsidRPr="008F54A9">
        <w:rPr>
          <w:rFonts w:ascii="Arabic Typesetting" w:hAnsi="Arabic Typesetting" w:cs="Arabic Typesetting" w:hint="cs"/>
          <w:sz w:val="34"/>
          <w:szCs w:val="34"/>
          <w:rtl/>
          <w:lang w:bidi="ar-EG"/>
        </w:rPr>
        <w:t>و</w:t>
      </w:r>
      <w:r>
        <w:rPr>
          <w:rFonts w:ascii="Arabic Typesetting" w:hAnsi="Arabic Typesetting" w:cs="Arabic Typesetting" w:hint="cs"/>
          <w:sz w:val="34"/>
          <w:szCs w:val="34"/>
          <w:rtl/>
          <w:lang w:bidi="ar-EG"/>
        </w:rPr>
        <w:t>ا</w:t>
      </w:r>
      <w:r w:rsidRPr="008F54A9">
        <w:rPr>
          <w:rFonts w:ascii="Arabic Typesetting" w:hAnsi="Arabic Typesetting" w:cs="Arabic Typesetting" w:hint="cs"/>
          <w:sz w:val="34"/>
          <w:szCs w:val="34"/>
          <w:rtl/>
          <w:lang w:bidi="ar-EG"/>
        </w:rPr>
        <w:t>ست</w:t>
      </w:r>
      <w:r>
        <w:rPr>
          <w:rFonts w:ascii="Arabic Typesetting" w:hAnsi="Arabic Typesetting" w:cs="Arabic Typesetting" w:hint="cs"/>
          <w:sz w:val="34"/>
          <w:szCs w:val="34"/>
          <w:rtl/>
          <w:lang w:bidi="ar-EG"/>
        </w:rPr>
        <w:t>ُ</w:t>
      </w:r>
      <w:r w:rsidRPr="008F54A9">
        <w:rPr>
          <w:rFonts w:ascii="Arabic Typesetting" w:hAnsi="Arabic Typesetting" w:cs="Arabic Typesetting" w:hint="cs"/>
          <w:sz w:val="34"/>
          <w:szCs w:val="34"/>
          <w:rtl/>
          <w:lang w:bidi="ar-EG"/>
        </w:rPr>
        <w:t>خدم</w:t>
      </w:r>
      <w:r>
        <w:rPr>
          <w:rFonts w:ascii="Arabic Typesetting" w:hAnsi="Arabic Typesetting" w:cs="Arabic Typesetting" w:hint="cs"/>
          <w:sz w:val="34"/>
          <w:szCs w:val="34"/>
          <w:rtl/>
          <w:lang w:bidi="ar-EG"/>
        </w:rPr>
        <w:t>ت</w:t>
      </w:r>
      <w:r w:rsidRPr="008F54A9">
        <w:rPr>
          <w:rFonts w:ascii="Arabic Typesetting" w:hAnsi="Arabic Typesetting" w:cs="Arabic Typesetting" w:hint="cs"/>
          <w:sz w:val="34"/>
          <w:szCs w:val="34"/>
          <w:rtl/>
          <w:lang w:bidi="ar-EG"/>
        </w:rPr>
        <w:t xml:space="preserve"> هذه الأدوات على نطاق </w:t>
      </w:r>
      <w:r w:rsidR="006B07E2">
        <w:rPr>
          <w:rFonts w:ascii="Arabic Typesetting" w:hAnsi="Arabic Typesetting" w:cs="Arabic Typesetting" w:hint="cs"/>
          <w:sz w:val="34"/>
          <w:szCs w:val="34"/>
          <w:rtl/>
          <w:lang w:bidi="ar-EG"/>
        </w:rPr>
        <w:t>واسع في برامج تكوين الكفاءات ونزِّ</w:t>
      </w:r>
      <w:r w:rsidRPr="008F54A9">
        <w:rPr>
          <w:rFonts w:ascii="Arabic Typesetting" w:hAnsi="Arabic Typesetting" w:cs="Arabic Typesetting" w:hint="cs"/>
          <w:sz w:val="34"/>
          <w:szCs w:val="34"/>
          <w:rtl/>
          <w:lang w:bidi="ar-EG"/>
        </w:rPr>
        <w:t>ل</w:t>
      </w:r>
      <w:r>
        <w:rPr>
          <w:rFonts w:ascii="Arabic Typesetting" w:hAnsi="Arabic Typesetting" w:cs="Arabic Typesetting" w:hint="cs"/>
          <w:sz w:val="34"/>
          <w:szCs w:val="34"/>
          <w:rtl/>
          <w:lang w:bidi="ar-EG"/>
        </w:rPr>
        <w:t>ت</w:t>
      </w:r>
      <w:r w:rsidRPr="008F54A9">
        <w:rPr>
          <w:rFonts w:ascii="Arabic Typesetting" w:hAnsi="Arabic Typesetting" w:cs="Arabic Typesetting" w:hint="cs"/>
          <w:sz w:val="34"/>
          <w:szCs w:val="34"/>
          <w:rtl/>
          <w:lang w:bidi="ar-EG"/>
        </w:rPr>
        <w:t xml:space="preserve"> أكثر من 000</w:t>
      </w:r>
      <w:r w:rsidRPr="008F54A9">
        <w:rPr>
          <w:rFonts w:ascii="Arabic Typesetting" w:hAnsi="Arabic Typesetting" w:cs="Arabic Typesetting" w:hint="eastAsia"/>
          <w:sz w:val="34"/>
          <w:szCs w:val="34"/>
          <w:rtl/>
          <w:lang w:bidi="ar-EG"/>
        </w:rPr>
        <w:t> </w:t>
      </w:r>
      <w:r w:rsidRPr="008F54A9">
        <w:rPr>
          <w:rFonts w:ascii="Arabic Typesetting" w:hAnsi="Arabic Typesetting" w:cs="Arabic Typesetting" w:hint="cs"/>
          <w:sz w:val="34"/>
          <w:szCs w:val="34"/>
          <w:rtl/>
          <w:lang w:bidi="ar-EG"/>
        </w:rPr>
        <w:t>100 مرّة في</w:t>
      </w:r>
      <w:r>
        <w:rPr>
          <w:rFonts w:ascii="Arabic Typesetting" w:hAnsi="Arabic Typesetting" w:cs="Arabic Typesetting" w:hint="cs"/>
          <w:sz w:val="34"/>
          <w:szCs w:val="34"/>
          <w:rtl/>
          <w:lang w:bidi="ar-EG"/>
        </w:rPr>
        <w:t xml:space="preserve"> السنة</w:t>
      </w:r>
      <w:r w:rsidRPr="008F54A9">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 xml:space="preserve">في </w:t>
      </w:r>
      <w:r w:rsidRPr="008F54A9">
        <w:rPr>
          <w:rFonts w:ascii="Arabic Typesetting" w:hAnsi="Arabic Typesetting" w:cs="Arabic Typesetting" w:hint="cs"/>
          <w:sz w:val="34"/>
          <w:szCs w:val="34"/>
          <w:rtl/>
          <w:lang w:bidi="ar-EG"/>
        </w:rPr>
        <w:t>عام</w:t>
      </w:r>
      <w:r>
        <w:rPr>
          <w:rFonts w:ascii="Arabic Typesetting" w:hAnsi="Arabic Typesetting" w:cs="Arabic Typesetting" w:hint="cs"/>
          <w:sz w:val="34"/>
          <w:szCs w:val="34"/>
          <w:rtl/>
          <w:lang w:bidi="ar-EG"/>
        </w:rPr>
        <w:t>ي</w:t>
      </w:r>
      <w:r w:rsidRPr="008F54A9">
        <w:rPr>
          <w:rFonts w:ascii="Arabic Typesetting" w:hAnsi="Arabic Typesetting" w:cs="Arabic Typesetting" w:hint="cs"/>
          <w:sz w:val="34"/>
          <w:szCs w:val="34"/>
          <w:rtl/>
          <w:lang w:bidi="ar-EG"/>
        </w:rPr>
        <w:t xml:space="preserve"> 2014</w:t>
      </w:r>
      <w:r>
        <w:rPr>
          <w:rFonts w:ascii="Arabic Typesetting" w:hAnsi="Arabic Typesetting" w:cs="Arabic Typesetting" w:hint="cs"/>
          <w:sz w:val="34"/>
          <w:szCs w:val="34"/>
          <w:rtl/>
          <w:lang w:bidi="ar-EG"/>
        </w:rPr>
        <w:t xml:space="preserve"> و2015</w:t>
      </w:r>
      <w:r w:rsidRPr="008F54A9">
        <w:rPr>
          <w:rFonts w:ascii="Arabic Typesetting" w:hAnsi="Arabic Typesetting" w:cs="Arabic Typesetting" w:hint="cs"/>
          <w:sz w:val="34"/>
          <w:szCs w:val="34"/>
          <w:rtl/>
          <w:lang w:bidi="ar-EG"/>
        </w:rPr>
        <w:t>.</w:t>
      </w:r>
    </w:p>
    <w:p w:rsidR="006B07E2" w:rsidRDefault="000806C6" w:rsidP="009A3712">
      <w:pPr>
        <w:numPr>
          <w:ilvl w:val="0"/>
          <w:numId w:val="4"/>
        </w:numPr>
        <w:bidi/>
        <w:spacing w:after="120" w:line="340" w:lineRule="exact"/>
        <w:ind w:left="-1" w:firstLine="1"/>
        <w:rPr>
          <w:rFonts w:ascii="Arabic Typesetting" w:hAnsi="Arabic Typesetting" w:cs="Arabic Typesetting"/>
          <w:sz w:val="34"/>
          <w:szCs w:val="34"/>
          <w:lang w:bidi="ar-EG"/>
        </w:rPr>
      </w:pPr>
      <w:r w:rsidRPr="006B07E2">
        <w:rPr>
          <w:rFonts w:ascii="Arabic Typesetting" w:hAnsi="Arabic Typesetting" w:cs="Arabic Typesetting" w:hint="cs"/>
          <w:sz w:val="34"/>
          <w:szCs w:val="34"/>
          <w:rtl/>
          <w:lang w:bidi="ar-EG"/>
        </w:rPr>
        <w:t>وفي يونيو 2014، أنشئ كيان جديد متعدد أصحاب المصلحة هو</w:t>
      </w:r>
      <w:r w:rsidR="006B07E2" w:rsidRPr="006B07E2">
        <w:rPr>
          <w:rFonts w:ascii="Arabic Typesetting" w:hAnsi="Arabic Typesetting" w:cs="Arabic Typesetting" w:hint="cs"/>
          <w:sz w:val="34"/>
          <w:szCs w:val="34"/>
          <w:rtl/>
          <w:lang w:bidi="ar-EG"/>
        </w:rPr>
        <w:t xml:space="preserve"> اتحاد الكتب الميسَّرة</w:t>
      </w:r>
      <w:r w:rsidRPr="006B07E2">
        <w:rPr>
          <w:rFonts w:ascii="Arabic Typesetting" w:hAnsi="Arabic Typesetting" w:cs="Arabic Typesetting" w:hint="cs"/>
          <w:sz w:val="34"/>
          <w:szCs w:val="34"/>
          <w:rtl/>
          <w:lang w:bidi="ar-EG"/>
        </w:rPr>
        <w:t xml:space="preserve"> </w:t>
      </w:r>
      <w:r w:rsidR="006B07E2" w:rsidRPr="006B07E2">
        <w:rPr>
          <w:rFonts w:ascii="Arabic Typesetting" w:hAnsi="Arabic Typesetting" w:cs="Arabic Typesetting" w:hint="cs"/>
          <w:sz w:val="34"/>
          <w:szCs w:val="34"/>
          <w:rtl/>
          <w:lang w:bidi="ar-EG"/>
        </w:rPr>
        <w:t>بغية</w:t>
      </w:r>
      <w:r w:rsidRPr="006B07E2">
        <w:rPr>
          <w:rFonts w:ascii="Arabic Typesetting" w:hAnsi="Arabic Typesetting" w:cs="Arabic Typesetting" w:hint="cs"/>
          <w:sz w:val="34"/>
          <w:szCs w:val="34"/>
          <w:rtl/>
          <w:lang w:bidi="ar-EG"/>
        </w:rPr>
        <w:t xml:space="preserve"> زيادة عدد الكتب المتاحة في </w:t>
      </w:r>
      <w:r w:rsidR="00345954">
        <w:rPr>
          <w:rFonts w:ascii="Arabic Typesetting" w:hAnsi="Arabic Typesetting" w:cs="Arabic Typesetting" w:hint="cs"/>
          <w:sz w:val="34"/>
          <w:szCs w:val="34"/>
          <w:rtl/>
          <w:lang w:bidi="ar-EG"/>
        </w:rPr>
        <w:t>شتى أنحاء</w:t>
      </w:r>
      <w:r w:rsidRPr="006B07E2">
        <w:rPr>
          <w:rFonts w:ascii="Arabic Typesetting" w:hAnsi="Arabic Typesetting" w:cs="Arabic Typesetting" w:hint="cs"/>
          <w:sz w:val="34"/>
          <w:szCs w:val="34"/>
          <w:rtl/>
          <w:lang w:bidi="ar-EG"/>
        </w:rPr>
        <w:t xml:space="preserve"> العالم </w:t>
      </w:r>
      <w:proofErr w:type="spellStart"/>
      <w:r w:rsidRPr="006B07E2">
        <w:rPr>
          <w:rFonts w:ascii="Arabic Typesetting" w:hAnsi="Arabic Typesetting" w:cs="Arabic Typesetting" w:hint="cs"/>
          <w:sz w:val="34"/>
          <w:szCs w:val="34"/>
          <w:rtl/>
          <w:lang w:bidi="ar-EG"/>
        </w:rPr>
        <w:t>بأنساق</w:t>
      </w:r>
      <w:proofErr w:type="spellEnd"/>
      <w:r w:rsidRPr="006B07E2">
        <w:rPr>
          <w:rFonts w:ascii="Arabic Typesetting" w:hAnsi="Arabic Typesetting" w:cs="Arabic Typesetting" w:hint="cs"/>
          <w:sz w:val="34"/>
          <w:szCs w:val="34"/>
          <w:rtl/>
          <w:lang w:bidi="ar-EG"/>
        </w:rPr>
        <w:t xml:space="preserve"> ميسّرة وإتاحتها للأشخاص ذوي الإعاقات في قراءة المطبوعات. ويضطلع الاتحاد بثلاث</w:t>
      </w:r>
      <w:r w:rsidR="00345954">
        <w:rPr>
          <w:rFonts w:ascii="Arabic Typesetting" w:hAnsi="Arabic Typesetting" w:cs="Arabic Typesetting" w:hint="cs"/>
          <w:sz w:val="34"/>
          <w:szCs w:val="34"/>
          <w:rtl/>
          <w:lang w:bidi="ar-EG"/>
        </w:rPr>
        <w:t>ة</w:t>
      </w:r>
      <w:r w:rsidRPr="006B07E2">
        <w:rPr>
          <w:rFonts w:ascii="Arabic Typesetting" w:hAnsi="Arabic Typesetting" w:cs="Arabic Typesetting" w:hint="cs"/>
          <w:sz w:val="34"/>
          <w:szCs w:val="34"/>
          <w:rtl/>
          <w:lang w:bidi="ar-EG"/>
        </w:rPr>
        <w:t xml:space="preserve"> أنشطة رئيسية هي </w:t>
      </w:r>
      <w:r w:rsidR="006B07E2">
        <w:rPr>
          <w:rFonts w:ascii="Arabic Typesetting" w:hAnsi="Arabic Typesetting" w:cs="Arabic Typesetting" w:hint="cs"/>
          <w:sz w:val="34"/>
          <w:szCs w:val="34"/>
          <w:rtl/>
          <w:lang w:bidi="ar-EG"/>
        </w:rPr>
        <w:t>"1"</w:t>
      </w:r>
      <w:r w:rsidR="006B07E2">
        <w:rPr>
          <w:rFonts w:ascii="Arabic Typesetting" w:hAnsi="Arabic Typesetting" w:cs="Arabic Typesetting" w:hint="eastAsia"/>
          <w:sz w:val="34"/>
          <w:szCs w:val="34"/>
          <w:rtl/>
          <w:lang w:bidi="ar-EG"/>
        </w:rPr>
        <w:t> </w:t>
      </w:r>
      <w:r w:rsidR="006B07E2">
        <w:rPr>
          <w:rFonts w:ascii="Arabic Typesetting" w:hAnsi="Arabic Typesetting" w:cs="Arabic Typesetting" w:hint="cs"/>
          <w:sz w:val="34"/>
          <w:szCs w:val="34"/>
          <w:rtl/>
          <w:lang w:bidi="ar-EG"/>
        </w:rPr>
        <w:t>توفير المساعدة التقنية في إنتاج الكتب الميسَّرة (بتمويل من حكومتي أستراليا وجمهورية كوريا)؛ "2" </w:t>
      </w:r>
      <w:r w:rsidR="006B07E2" w:rsidRPr="006B07E2">
        <w:rPr>
          <w:rFonts w:ascii="Arabic Typesetting" w:hAnsi="Arabic Typesetting" w:cs="Arabic Typesetting"/>
          <w:sz w:val="34"/>
          <w:szCs w:val="34"/>
          <w:rtl/>
          <w:lang w:bidi="ar-EG"/>
        </w:rPr>
        <w:t>و</w:t>
      </w:r>
      <w:r w:rsidR="00345954">
        <w:rPr>
          <w:rFonts w:ascii="Arabic Typesetting" w:hAnsi="Arabic Typesetting" w:cs="Arabic Typesetting" w:hint="cs"/>
          <w:sz w:val="34"/>
          <w:szCs w:val="34"/>
          <w:rtl/>
          <w:lang w:bidi="ar-EG"/>
        </w:rPr>
        <w:t xml:space="preserve">اعتماد أسلوب </w:t>
      </w:r>
      <w:r w:rsidR="006B07E2" w:rsidRPr="006B07E2">
        <w:rPr>
          <w:rFonts w:ascii="Arabic Typesetting" w:hAnsi="Arabic Typesetting" w:cs="Arabic Typesetting"/>
          <w:sz w:val="34"/>
          <w:szCs w:val="34"/>
          <w:rtl/>
          <w:lang w:bidi="ar-EG"/>
        </w:rPr>
        <w:t>نشر يراعي الاحتياجات</w:t>
      </w:r>
      <w:r w:rsidR="00345954">
        <w:rPr>
          <w:rFonts w:ascii="Arabic Typesetting" w:hAnsi="Arabic Typesetting" w:cs="Arabic Typesetting" w:hint="cs"/>
          <w:sz w:val="34"/>
          <w:szCs w:val="34"/>
          <w:rtl/>
          <w:lang w:bidi="ar-EG"/>
        </w:rPr>
        <w:t xml:space="preserve"> كافة</w:t>
      </w:r>
      <w:r w:rsidR="006B07E2" w:rsidRPr="006B07E2">
        <w:rPr>
          <w:rFonts w:ascii="Arabic Typesetting" w:hAnsi="Arabic Typesetting" w:cs="Arabic Typesetting"/>
          <w:sz w:val="34"/>
          <w:szCs w:val="34"/>
          <w:rtl/>
          <w:lang w:bidi="ar-EG"/>
        </w:rPr>
        <w:t xml:space="preserve"> وينهض بالتكنولوجيات </w:t>
      </w:r>
      <w:r w:rsidR="00345954">
        <w:rPr>
          <w:rFonts w:ascii="Arabic Typesetting" w:hAnsi="Arabic Typesetting" w:cs="Arabic Typesetting" w:hint="cs"/>
          <w:sz w:val="34"/>
          <w:szCs w:val="34"/>
          <w:rtl/>
          <w:lang w:bidi="ar-EG"/>
        </w:rPr>
        <w:t>التي تتيح</w:t>
      </w:r>
      <w:r w:rsidR="006B07E2" w:rsidRPr="006B07E2">
        <w:rPr>
          <w:rFonts w:ascii="Arabic Typesetting" w:hAnsi="Arabic Typesetting" w:cs="Arabic Typesetting"/>
          <w:sz w:val="34"/>
          <w:szCs w:val="34"/>
          <w:rtl/>
          <w:lang w:bidi="ar-EG"/>
        </w:rPr>
        <w:t xml:space="preserve"> النشر </w:t>
      </w:r>
      <w:proofErr w:type="spellStart"/>
      <w:r w:rsidR="006B07E2" w:rsidRPr="006B07E2">
        <w:rPr>
          <w:rFonts w:ascii="Arabic Typesetting" w:hAnsi="Arabic Typesetting" w:cs="Arabic Typesetting"/>
          <w:sz w:val="34"/>
          <w:szCs w:val="34"/>
          <w:rtl/>
          <w:lang w:bidi="ar-EG"/>
        </w:rPr>
        <w:t>بأنساق</w:t>
      </w:r>
      <w:proofErr w:type="spellEnd"/>
      <w:r w:rsidR="006B07E2" w:rsidRPr="006B07E2">
        <w:rPr>
          <w:rFonts w:ascii="Arabic Typesetting" w:hAnsi="Arabic Typesetting" w:cs="Arabic Typesetting"/>
          <w:sz w:val="34"/>
          <w:szCs w:val="34"/>
          <w:rtl/>
          <w:lang w:bidi="ar-EG"/>
        </w:rPr>
        <w:t xml:space="preserve"> "ميسّرة من الأساس" حتى </w:t>
      </w:r>
      <w:r w:rsidR="00345954">
        <w:rPr>
          <w:rFonts w:ascii="Arabic Typesetting" w:hAnsi="Arabic Typesetting" w:cs="Arabic Typesetting" w:hint="cs"/>
          <w:sz w:val="34"/>
          <w:szCs w:val="34"/>
          <w:rtl/>
          <w:lang w:bidi="ar-EG"/>
        </w:rPr>
        <w:t>يتسنى</w:t>
      </w:r>
      <w:r w:rsidR="00345954" w:rsidRPr="00345954">
        <w:rPr>
          <w:rFonts w:ascii="Arabic Typesetting" w:hAnsi="Arabic Typesetting" w:cs="Arabic Typesetting" w:hint="cs"/>
          <w:sz w:val="34"/>
          <w:szCs w:val="34"/>
          <w:rtl/>
          <w:lang w:bidi="ar-EG"/>
        </w:rPr>
        <w:t xml:space="preserve"> </w:t>
      </w:r>
      <w:r w:rsidR="00345954">
        <w:rPr>
          <w:rFonts w:ascii="Arabic Typesetting" w:hAnsi="Arabic Typesetting" w:cs="Arabic Typesetting" w:hint="cs"/>
          <w:sz w:val="34"/>
          <w:szCs w:val="34"/>
          <w:rtl/>
          <w:lang w:bidi="ar-EG"/>
        </w:rPr>
        <w:t>ل</w:t>
      </w:r>
      <w:r w:rsidR="00345954" w:rsidRPr="006B07E2">
        <w:rPr>
          <w:rFonts w:ascii="Arabic Typesetting" w:hAnsi="Arabic Typesetting" w:cs="Arabic Typesetting"/>
          <w:sz w:val="34"/>
          <w:szCs w:val="34"/>
          <w:rtl/>
          <w:lang w:bidi="ar-EG"/>
        </w:rPr>
        <w:t>لأشخاص المبصرين والأشخاص ذوي الإعاقات في قراءة المطبوعات على حد سواء</w:t>
      </w:r>
      <w:r w:rsidR="006B07E2" w:rsidRPr="006B07E2">
        <w:rPr>
          <w:rFonts w:ascii="Arabic Typesetting" w:hAnsi="Arabic Typesetting" w:cs="Arabic Typesetting"/>
          <w:sz w:val="34"/>
          <w:szCs w:val="34"/>
          <w:rtl/>
          <w:lang w:bidi="ar-EG"/>
        </w:rPr>
        <w:t xml:space="preserve"> </w:t>
      </w:r>
      <w:r w:rsidR="00345954">
        <w:rPr>
          <w:rFonts w:ascii="Arabic Typesetting" w:hAnsi="Arabic Typesetting" w:cs="Arabic Typesetting" w:hint="cs"/>
          <w:sz w:val="34"/>
          <w:szCs w:val="34"/>
          <w:rtl/>
          <w:lang w:bidi="ar-EG"/>
        </w:rPr>
        <w:t xml:space="preserve">قراءة </w:t>
      </w:r>
      <w:r w:rsidR="006B07E2" w:rsidRPr="006B07E2">
        <w:rPr>
          <w:rFonts w:ascii="Arabic Typesetting" w:hAnsi="Arabic Typesetting" w:cs="Arabic Typesetting"/>
          <w:sz w:val="34"/>
          <w:szCs w:val="34"/>
          <w:rtl/>
          <w:lang w:bidi="ar-EG"/>
        </w:rPr>
        <w:t>الكتب الجديدة من البداية</w:t>
      </w:r>
      <w:r w:rsidR="006B07E2">
        <w:rPr>
          <w:rFonts w:ascii="Arabic Typesetting" w:hAnsi="Arabic Typesetting" w:cs="Arabic Typesetting" w:hint="cs"/>
          <w:sz w:val="34"/>
          <w:szCs w:val="34"/>
          <w:rtl/>
          <w:lang w:bidi="ar-EG"/>
        </w:rPr>
        <w:t>؛ "3" </w:t>
      </w:r>
      <w:r w:rsidR="00C32D7F" w:rsidRPr="00C32D7F">
        <w:rPr>
          <w:rFonts w:ascii="Arabic Typesetting" w:hAnsi="Arabic Typesetting" w:cs="Arabic Typesetting"/>
          <w:sz w:val="34"/>
          <w:szCs w:val="34"/>
          <w:rtl/>
          <w:lang w:bidi="ar-EG"/>
        </w:rPr>
        <w:t>ومشروع الاتحاد لتبادل الكتب على الصعيد الدولي</w:t>
      </w:r>
      <w:r w:rsidR="00C32D7F">
        <w:rPr>
          <w:rFonts w:ascii="Arabic Typesetting" w:hAnsi="Arabic Typesetting" w:cs="Arabic Typesetting" w:hint="cs"/>
          <w:sz w:val="34"/>
          <w:szCs w:val="34"/>
          <w:rtl/>
          <w:lang w:bidi="ar-EG"/>
        </w:rPr>
        <w:t>،</w:t>
      </w:r>
      <w:r w:rsidR="00C32D7F" w:rsidRPr="00C32D7F">
        <w:rPr>
          <w:rFonts w:ascii="Arabic Typesetting" w:hAnsi="Arabic Typesetting" w:cs="Arabic Typesetting"/>
          <w:sz w:val="34"/>
          <w:szCs w:val="34"/>
          <w:rtl/>
          <w:lang w:bidi="ar-EG"/>
        </w:rPr>
        <w:t xml:space="preserve"> المعروف بخدمة </w:t>
      </w:r>
      <w:r w:rsidR="00C32D7F" w:rsidRPr="00C32D7F">
        <w:rPr>
          <w:rFonts w:ascii="Arabic Typesetting" w:hAnsi="Arabic Typesetting" w:cs="Arabic Typesetting"/>
          <w:sz w:val="34"/>
          <w:szCs w:val="34"/>
          <w:lang w:bidi="ar-EG"/>
        </w:rPr>
        <w:t>TIGAR</w:t>
      </w:r>
      <w:r w:rsidR="00C32D7F" w:rsidRPr="00C32D7F">
        <w:rPr>
          <w:rFonts w:ascii="Arabic Typesetting" w:hAnsi="Arabic Typesetting" w:cs="Arabic Typesetting"/>
          <w:sz w:val="34"/>
          <w:szCs w:val="34"/>
          <w:rtl/>
          <w:lang w:bidi="ar-EG"/>
        </w:rPr>
        <w:t xml:space="preserve">، وهو عبارة عن قاعدة بيانات دولية تشمل </w:t>
      </w:r>
      <w:r w:rsidR="00C32D7F">
        <w:rPr>
          <w:rFonts w:ascii="Arabic Typesetting" w:hAnsi="Arabic Typesetting" w:cs="Arabic Typesetting" w:hint="cs"/>
          <w:sz w:val="34"/>
          <w:szCs w:val="34"/>
          <w:rtl/>
          <w:lang w:bidi="ar-EG"/>
        </w:rPr>
        <w:t>عناوين</w:t>
      </w:r>
      <w:r w:rsidR="00C32D7F" w:rsidRPr="00C32D7F">
        <w:rPr>
          <w:rFonts w:ascii="Arabic Typesetting" w:hAnsi="Arabic Typesetting" w:cs="Arabic Typesetting"/>
          <w:sz w:val="34"/>
          <w:szCs w:val="34"/>
          <w:rtl/>
          <w:lang w:bidi="ar-EG"/>
        </w:rPr>
        <w:t xml:space="preserve"> متاح</w:t>
      </w:r>
      <w:r w:rsidR="00C32D7F">
        <w:rPr>
          <w:rFonts w:ascii="Arabic Typesetting" w:hAnsi="Arabic Typesetting" w:cs="Arabic Typesetting" w:hint="cs"/>
          <w:sz w:val="34"/>
          <w:szCs w:val="34"/>
          <w:rtl/>
          <w:lang w:bidi="ar-EG"/>
        </w:rPr>
        <w:t>ة</w:t>
      </w:r>
      <w:r w:rsidR="00C32D7F" w:rsidRPr="00C32D7F">
        <w:rPr>
          <w:rFonts w:ascii="Arabic Typesetting" w:hAnsi="Arabic Typesetting" w:cs="Arabic Typesetting"/>
          <w:sz w:val="34"/>
          <w:szCs w:val="34"/>
          <w:rtl/>
          <w:lang w:bidi="ar-EG"/>
        </w:rPr>
        <w:t xml:space="preserve"> </w:t>
      </w:r>
      <w:proofErr w:type="spellStart"/>
      <w:r w:rsidR="00C32D7F" w:rsidRPr="00C32D7F">
        <w:rPr>
          <w:rFonts w:ascii="Arabic Typesetting" w:hAnsi="Arabic Typesetting" w:cs="Arabic Typesetting"/>
          <w:sz w:val="34"/>
          <w:szCs w:val="34"/>
          <w:rtl/>
          <w:lang w:bidi="ar-EG"/>
        </w:rPr>
        <w:t>بأنساق</w:t>
      </w:r>
      <w:proofErr w:type="spellEnd"/>
      <w:r w:rsidR="00C32D7F" w:rsidRPr="00C32D7F">
        <w:rPr>
          <w:rFonts w:ascii="Arabic Typesetting" w:hAnsi="Arabic Typesetting" w:cs="Arabic Typesetting"/>
          <w:sz w:val="34"/>
          <w:szCs w:val="34"/>
          <w:rtl/>
          <w:lang w:bidi="ar-EG"/>
        </w:rPr>
        <w:t xml:space="preserve"> ميسّرة وبزهاء 55 لغة.</w:t>
      </w:r>
      <w:r w:rsidR="00C32D7F">
        <w:rPr>
          <w:rFonts w:ascii="Arabic Typesetting" w:hAnsi="Arabic Typesetting" w:cs="Arabic Typesetting" w:hint="cs"/>
          <w:sz w:val="34"/>
          <w:szCs w:val="34"/>
          <w:rtl/>
          <w:lang w:bidi="ar-EG"/>
        </w:rPr>
        <w:t xml:space="preserve"> وفي إطار النشاط الأول، أصدر الاتحاد 1580 كتاباً تعليمياً لفائدة 500 23 طالب من ذوي الإعاقات في قراءة المطبوعات في بنغلاديش والهند ونيبال وسري </w:t>
      </w:r>
      <w:proofErr w:type="spellStart"/>
      <w:r w:rsidR="00C32D7F">
        <w:rPr>
          <w:rFonts w:ascii="Arabic Typesetting" w:hAnsi="Arabic Typesetting" w:cs="Arabic Typesetting" w:hint="cs"/>
          <w:sz w:val="34"/>
          <w:szCs w:val="34"/>
          <w:rtl/>
          <w:lang w:bidi="ar-EG"/>
        </w:rPr>
        <w:t>لانكا</w:t>
      </w:r>
      <w:proofErr w:type="spellEnd"/>
      <w:r w:rsidR="00C32D7F">
        <w:rPr>
          <w:rFonts w:ascii="Arabic Typesetting" w:hAnsi="Arabic Typesetting" w:cs="Arabic Typesetting" w:hint="cs"/>
          <w:sz w:val="34"/>
          <w:szCs w:val="34"/>
          <w:rtl/>
          <w:lang w:bidi="ar-EG"/>
        </w:rPr>
        <w:t xml:space="preserve">. وفي إطار النشاط الثاني، أيد الاتحاد </w:t>
      </w:r>
      <w:r w:rsidR="00C32D7F" w:rsidRPr="00C32D7F">
        <w:rPr>
          <w:rFonts w:ascii="Arabic Typesetting" w:hAnsi="Arabic Typesetting" w:cs="Arabic Typesetting"/>
          <w:sz w:val="34"/>
          <w:szCs w:val="34"/>
          <w:rtl/>
          <w:lang w:bidi="ar-EG"/>
        </w:rPr>
        <w:t>ميثاق نشر المطبوعات المُيسَّرة</w:t>
      </w:r>
      <w:r w:rsidR="00C32D7F">
        <w:rPr>
          <w:rFonts w:ascii="Arabic Typesetting" w:hAnsi="Arabic Typesetting" w:cs="Arabic Typesetting" w:hint="cs"/>
          <w:sz w:val="34"/>
          <w:szCs w:val="34"/>
          <w:rtl/>
          <w:lang w:bidi="ar-EG"/>
        </w:rPr>
        <w:t xml:space="preserve"> وجائزة الاتحاد الدولية للتميز في النشر الميسَّر. و</w:t>
      </w:r>
      <w:r w:rsidR="001919AF">
        <w:rPr>
          <w:rFonts w:ascii="Arabic Typesetting" w:hAnsi="Arabic Typesetting" w:cs="Arabic Typesetting" w:hint="cs"/>
          <w:sz w:val="34"/>
          <w:szCs w:val="34"/>
          <w:rtl/>
          <w:lang w:bidi="ar-EG"/>
        </w:rPr>
        <w:t xml:space="preserve">في إطار النشاط الثالث، </w:t>
      </w:r>
      <w:r w:rsidR="00C32D7F">
        <w:rPr>
          <w:rFonts w:ascii="Arabic Typesetting" w:hAnsi="Arabic Typesetting" w:cs="Arabic Typesetting" w:hint="cs"/>
          <w:sz w:val="34"/>
          <w:szCs w:val="34"/>
          <w:rtl/>
          <w:lang w:bidi="ar-EG"/>
        </w:rPr>
        <w:t xml:space="preserve">سجلت العناوين الميسَّرة 4208 مرات تنزيل من 15 مكتبة مشاركة وأكثر من 000 58 </w:t>
      </w:r>
      <w:r w:rsidR="00345954">
        <w:rPr>
          <w:rFonts w:ascii="Arabic Typesetting" w:hAnsi="Arabic Typesetting" w:cs="Arabic Typesetting" w:hint="cs"/>
          <w:sz w:val="34"/>
          <w:szCs w:val="34"/>
          <w:rtl/>
          <w:lang w:bidi="ar-EG"/>
        </w:rPr>
        <w:t>إعارة</w:t>
      </w:r>
      <w:r w:rsidR="00C32D7F">
        <w:rPr>
          <w:rFonts w:ascii="Arabic Typesetting" w:hAnsi="Arabic Typesetting" w:cs="Arabic Typesetting" w:hint="cs"/>
          <w:sz w:val="34"/>
          <w:szCs w:val="34"/>
          <w:rtl/>
          <w:lang w:bidi="ar-EG"/>
        </w:rPr>
        <w:t xml:space="preserve"> كتب ميسَّرة لأشخاص من ذوي الإعاقات في قراءة المطبوعات </w:t>
      </w:r>
      <w:r w:rsidR="001919AF">
        <w:rPr>
          <w:rFonts w:ascii="Arabic Typesetting" w:hAnsi="Arabic Typesetting" w:cs="Arabic Typesetting" w:hint="cs"/>
          <w:sz w:val="34"/>
          <w:szCs w:val="34"/>
          <w:rtl/>
          <w:lang w:bidi="ar-EG"/>
        </w:rPr>
        <w:t>حتى نهاية عام 2015</w:t>
      </w:r>
      <w:r w:rsidR="00C32D7F">
        <w:rPr>
          <w:rFonts w:ascii="Arabic Typesetting" w:hAnsi="Arabic Typesetting" w:cs="Arabic Typesetting" w:hint="cs"/>
          <w:sz w:val="34"/>
          <w:szCs w:val="34"/>
          <w:rtl/>
          <w:lang w:bidi="ar-EG"/>
        </w:rPr>
        <w:t>.</w:t>
      </w:r>
    </w:p>
    <w:p w:rsidR="00C32D7F" w:rsidRDefault="00C32D7F" w:rsidP="009A3712">
      <w:pPr>
        <w:numPr>
          <w:ilvl w:val="0"/>
          <w:numId w:val="4"/>
        </w:numPr>
        <w:bidi/>
        <w:spacing w:after="120" w:line="340" w:lineRule="exact"/>
        <w:ind w:left="-1" w:firstLine="1"/>
        <w:rPr>
          <w:rFonts w:ascii="Arabic Typesetting" w:hAnsi="Arabic Typesetting" w:cs="Arabic Typesetting"/>
          <w:sz w:val="34"/>
          <w:szCs w:val="34"/>
        </w:rPr>
      </w:pPr>
      <w:r>
        <w:rPr>
          <w:rFonts w:ascii="Arabic Typesetting" w:hAnsi="Arabic Typesetting" w:cs="Arabic Typesetting" w:hint="cs"/>
          <w:sz w:val="34"/>
          <w:szCs w:val="34"/>
          <w:rtl/>
          <w:lang w:bidi="ar-EG"/>
        </w:rPr>
        <w:t>واستمر البرنامج بنجاح في دعم أداة إدارة بيانات حق المؤلف المستخدمة حالياً في الويبو (</w:t>
      </w:r>
      <w:r>
        <w:rPr>
          <w:rFonts w:ascii="Arabic Typesetting" w:hAnsi="Arabic Typesetting" w:cs="Arabic Typesetting"/>
          <w:sz w:val="34"/>
          <w:szCs w:val="34"/>
          <w:lang w:bidi="ar-EG"/>
        </w:rPr>
        <w:t>WIPOCOS</w:t>
      </w:r>
      <w:r>
        <w:rPr>
          <w:rFonts w:ascii="Arabic Typesetting" w:hAnsi="Arabic Typesetting" w:cs="Arabic Typesetting" w:hint="cs"/>
          <w:sz w:val="34"/>
          <w:szCs w:val="34"/>
          <w:rtl/>
        </w:rPr>
        <w:t>) حتى سبتمبر</w:t>
      </w:r>
      <w:r>
        <w:rPr>
          <w:rFonts w:ascii="Arabic Typesetting" w:hAnsi="Arabic Typesetting" w:cs="Arabic Typesetting" w:hint="eastAsia"/>
          <w:sz w:val="34"/>
          <w:szCs w:val="34"/>
          <w:rtl/>
        </w:rPr>
        <w:t> </w:t>
      </w:r>
      <w:r>
        <w:rPr>
          <w:rFonts w:ascii="Arabic Typesetting" w:hAnsi="Arabic Typesetting" w:cs="Arabic Typesetting" w:hint="cs"/>
          <w:sz w:val="34"/>
          <w:szCs w:val="34"/>
          <w:rtl/>
          <w:lang w:bidi="ar-EG"/>
        </w:rPr>
        <w:t>2015</w:t>
      </w:r>
      <w:r>
        <w:rPr>
          <w:rFonts w:ascii="Arabic Typesetting" w:hAnsi="Arabic Typesetting" w:cs="Arabic Typesetting" w:hint="cs"/>
          <w:sz w:val="34"/>
          <w:szCs w:val="34"/>
          <w:rtl/>
        </w:rPr>
        <w:t xml:space="preserve"> </w:t>
      </w:r>
      <w:r>
        <w:rPr>
          <w:rFonts w:ascii="Arabic Typesetting" w:hAnsi="Arabic Typesetting" w:cs="Arabic Typesetting" w:hint="cs"/>
          <w:sz w:val="34"/>
          <w:szCs w:val="34"/>
          <w:rtl/>
          <w:lang w:bidi="ar-EG"/>
        </w:rPr>
        <w:t>عندما</w:t>
      </w:r>
      <w:r>
        <w:rPr>
          <w:rFonts w:ascii="Arabic Typesetting" w:hAnsi="Arabic Typesetting" w:cs="Arabic Typesetting" w:hint="cs"/>
          <w:sz w:val="34"/>
          <w:szCs w:val="34"/>
          <w:rtl/>
        </w:rPr>
        <w:t xml:space="preserve"> نُقلت </w:t>
      </w:r>
      <w:r w:rsidR="00345954">
        <w:rPr>
          <w:rFonts w:ascii="Arabic Typesetting" w:hAnsi="Arabic Typesetting" w:cs="Arabic Typesetting" w:hint="cs"/>
          <w:sz w:val="34"/>
          <w:szCs w:val="34"/>
          <w:rtl/>
          <w:lang w:bidi="ar-EG"/>
        </w:rPr>
        <w:t>هذه المهمة</w:t>
      </w:r>
      <w:r>
        <w:rPr>
          <w:rFonts w:ascii="Arabic Typesetting" w:hAnsi="Arabic Typesetting" w:cs="Arabic Typesetting" w:hint="cs"/>
          <w:sz w:val="34"/>
          <w:szCs w:val="34"/>
          <w:rtl/>
        </w:rPr>
        <w:t xml:space="preserve"> إلى البرنامج 15 (</w:t>
      </w:r>
      <w:r w:rsidRPr="00C32D7F">
        <w:rPr>
          <w:rFonts w:ascii="Arabic Typesetting" w:hAnsi="Arabic Typesetting" w:cs="Arabic Typesetting"/>
          <w:sz w:val="34"/>
          <w:szCs w:val="34"/>
          <w:rtl/>
        </w:rPr>
        <w:t>حلول لأعمال مكاتب الملكية الفكرية</w:t>
      </w:r>
      <w:r>
        <w:rPr>
          <w:rFonts w:ascii="Arabic Typesetting" w:hAnsi="Arabic Typesetting" w:cs="Arabic Typesetting" w:hint="cs"/>
          <w:sz w:val="34"/>
          <w:szCs w:val="34"/>
          <w:rtl/>
        </w:rPr>
        <w:t xml:space="preserve">). </w:t>
      </w:r>
      <w:r w:rsidR="00345954">
        <w:rPr>
          <w:rFonts w:ascii="Arabic Typesetting" w:hAnsi="Arabic Typesetting" w:cs="Arabic Typesetting" w:hint="cs"/>
          <w:sz w:val="34"/>
          <w:szCs w:val="34"/>
          <w:rtl/>
        </w:rPr>
        <w:t xml:space="preserve">وتهدف الويبو إلى </w:t>
      </w:r>
      <w:r w:rsidRPr="00C32D7F">
        <w:rPr>
          <w:rFonts w:ascii="Arabic Typesetting" w:hAnsi="Arabic Typesetting" w:cs="Arabic Typesetting"/>
          <w:sz w:val="34"/>
          <w:szCs w:val="34"/>
          <w:rtl/>
        </w:rPr>
        <w:t xml:space="preserve">مواصلة دعم نظام </w:t>
      </w:r>
      <w:r w:rsidRPr="00C32D7F">
        <w:rPr>
          <w:rFonts w:ascii="Arabic Typesetting" w:hAnsi="Arabic Typesetting" w:cs="Arabic Typesetting"/>
          <w:sz w:val="34"/>
          <w:szCs w:val="34"/>
          <w:cs/>
        </w:rPr>
        <w:t>‎</w:t>
      </w:r>
      <w:r w:rsidRPr="00C32D7F">
        <w:rPr>
          <w:rFonts w:ascii="Arabic Typesetting" w:hAnsi="Arabic Typesetting" w:cs="Arabic Typesetting"/>
          <w:sz w:val="34"/>
          <w:szCs w:val="34"/>
        </w:rPr>
        <w:t>WIPOCOS</w:t>
      </w:r>
      <w:r w:rsidRPr="00C32D7F">
        <w:rPr>
          <w:rFonts w:ascii="Arabic Typesetting" w:hAnsi="Arabic Typesetting" w:cs="Arabic Typesetting"/>
          <w:sz w:val="34"/>
          <w:szCs w:val="34"/>
          <w:rtl/>
        </w:rPr>
        <w:t xml:space="preserve">‏ </w:t>
      </w:r>
      <w:r w:rsidR="003B526C">
        <w:rPr>
          <w:rFonts w:ascii="Arabic Typesetting" w:hAnsi="Arabic Typesetting" w:cs="Arabic Typesetting" w:hint="cs"/>
          <w:sz w:val="34"/>
          <w:szCs w:val="34"/>
          <w:rtl/>
        </w:rPr>
        <w:t>إلى أن</w:t>
      </w:r>
      <w:r w:rsidRPr="00C32D7F">
        <w:rPr>
          <w:rFonts w:ascii="Arabic Typesetting" w:hAnsi="Arabic Typesetting" w:cs="Arabic Typesetting"/>
          <w:sz w:val="34"/>
          <w:szCs w:val="34"/>
          <w:rtl/>
        </w:rPr>
        <w:t xml:space="preserve"> يصبح نظام "شبكة الويبو لحق المؤلف"</w:t>
      </w:r>
      <w:r w:rsidR="003B526C">
        <w:rPr>
          <w:rFonts w:ascii="Arabic Typesetting" w:hAnsi="Arabic Typesetting" w:cs="Arabic Typesetting"/>
          <w:sz w:val="34"/>
          <w:szCs w:val="34"/>
          <w:rtl/>
        </w:rPr>
        <w:t>–</w:t>
      </w:r>
      <w:r w:rsidR="003B526C">
        <w:rPr>
          <w:rFonts w:ascii="Arabic Typesetting" w:hAnsi="Arabic Typesetting" w:cs="Arabic Typesetting" w:hint="cs"/>
          <w:sz w:val="34"/>
          <w:szCs w:val="34"/>
          <w:rtl/>
        </w:rPr>
        <w:t xml:space="preserve"> </w:t>
      </w:r>
      <w:r w:rsidR="003B526C" w:rsidRPr="00C32D7F">
        <w:rPr>
          <w:rFonts w:ascii="Arabic Typesetting" w:hAnsi="Arabic Typesetting" w:cs="Arabic Typesetting"/>
          <w:sz w:val="34"/>
          <w:szCs w:val="34"/>
          <w:rtl/>
        </w:rPr>
        <w:t xml:space="preserve">وهو نظام جديد لإدارة البيانات </w:t>
      </w:r>
      <w:r w:rsidR="003B526C">
        <w:rPr>
          <w:rFonts w:ascii="Arabic Typesetting" w:hAnsi="Arabic Typesetting" w:cs="Arabic Typesetting" w:hint="cs"/>
          <w:sz w:val="34"/>
          <w:szCs w:val="34"/>
          <w:rtl/>
        </w:rPr>
        <w:t xml:space="preserve">يرمي إلى </w:t>
      </w:r>
      <w:r w:rsidR="003B526C" w:rsidRPr="00C32D7F">
        <w:rPr>
          <w:rFonts w:ascii="Arabic Typesetting" w:hAnsi="Arabic Typesetting" w:cs="Arabic Typesetting"/>
          <w:sz w:val="34"/>
          <w:szCs w:val="34"/>
          <w:rtl/>
        </w:rPr>
        <w:t>تحسين تدفق البيانات العالمية والحقوق في منظمات الإدارة الجماعية المستفيدة</w:t>
      </w:r>
      <w:r w:rsidR="003B526C">
        <w:rPr>
          <w:rFonts w:ascii="Arabic Typesetting" w:hAnsi="Arabic Typesetting" w:cs="Arabic Typesetting" w:hint="cs"/>
          <w:sz w:val="34"/>
          <w:szCs w:val="34"/>
          <w:rtl/>
        </w:rPr>
        <w:t xml:space="preserve"> </w:t>
      </w:r>
      <w:r w:rsidR="003B526C">
        <w:rPr>
          <w:rFonts w:ascii="Arabic Typesetting" w:hAnsi="Arabic Typesetting" w:cs="Arabic Typesetting"/>
          <w:sz w:val="34"/>
          <w:szCs w:val="34"/>
          <w:rtl/>
        </w:rPr>
        <w:t>–</w:t>
      </w:r>
      <w:r w:rsidRPr="00C32D7F">
        <w:rPr>
          <w:rFonts w:ascii="Arabic Typesetting" w:hAnsi="Arabic Typesetting" w:cs="Arabic Typesetting"/>
          <w:sz w:val="34"/>
          <w:szCs w:val="34"/>
          <w:rtl/>
        </w:rPr>
        <w:t xml:space="preserve"> جاهزا </w:t>
      </w:r>
      <w:r w:rsidR="00345954">
        <w:rPr>
          <w:rFonts w:ascii="Arabic Typesetting" w:hAnsi="Arabic Typesetting" w:cs="Arabic Typesetting" w:hint="cs"/>
          <w:sz w:val="34"/>
          <w:szCs w:val="34"/>
          <w:rtl/>
        </w:rPr>
        <w:t>للإطلاق</w:t>
      </w:r>
      <w:r w:rsidRPr="00C32D7F">
        <w:rPr>
          <w:rFonts w:ascii="Arabic Typesetting" w:hAnsi="Arabic Typesetting" w:cs="Arabic Typesetting"/>
          <w:sz w:val="34"/>
          <w:szCs w:val="34"/>
          <w:rtl/>
        </w:rPr>
        <w:t>.</w:t>
      </w:r>
    </w:p>
    <w:p w:rsidR="008F54A9" w:rsidRPr="008F54A9" w:rsidRDefault="008F54A9" w:rsidP="008F54A9">
      <w:pPr>
        <w:keepNext/>
        <w:tabs>
          <w:tab w:val="left" w:pos="1132"/>
        </w:tabs>
        <w:bidi/>
        <w:spacing w:after="120" w:line="340" w:lineRule="exact"/>
        <w:rPr>
          <w:rFonts w:ascii="Arabic Typesetting" w:hAnsi="Arabic Typesetting" w:cs="Arabic Typesetting"/>
          <w:sz w:val="34"/>
          <w:szCs w:val="34"/>
          <w:u w:val="single"/>
        </w:rPr>
      </w:pPr>
      <w:r w:rsidRPr="008F54A9">
        <w:rPr>
          <w:rFonts w:ascii="Arabic Typesetting" w:hAnsi="Arabic Typesetting" w:cs="Arabic Typesetting"/>
          <w:sz w:val="34"/>
          <w:szCs w:val="34"/>
          <w:u w:val="single"/>
          <w:rtl/>
        </w:rPr>
        <w:t>تقديم المساعدة التقنية إلى البلدان النامية والبلدان الأقل نموا</w:t>
      </w:r>
    </w:p>
    <w:p w:rsidR="008F54A9" w:rsidRDefault="008F54A9" w:rsidP="009A3712">
      <w:pPr>
        <w:numPr>
          <w:ilvl w:val="0"/>
          <w:numId w:val="4"/>
        </w:numPr>
        <w:bidi/>
        <w:spacing w:after="120" w:line="340" w:lineRule="exact"/>
        <w:ind w:left="0" w:firstLine="0"/>
        <w:rPr>
          <w:rFonts w:ascii="Arabic Typesetting" w:hAnsi="Arabic Typesetting" w:cs="Arabic Typesetting"/>
          <w:sz w:val="34"/>
          <w:szCs w:val="34"/>
          <w:lang w:bidi="ar"/>
        </w:rPr>
      </w:pPr>
      <w:r w:rsidRPr="008F54A9">
        <w:rPr>
          <w:rFonts w:ascii="Arabic Typesetting" w:hAnsi="Arabic Typesetting" w:cs="Arabic Typesetting" w:hint="cs"/>
          <w:sz w:val="34"/>
          <w:szCs w:val="34"/>
          <w:rtl/>
          <w:lang w:bidi="ar"/>
        </w:rPr>
        <w:t xml:space="preserve">كانت </w:t>
      </w:r>
      <w:r w:rsidRPr="008F54A9">
        <w:rPr>
          <w:rFonts w:ascii="Arabic Typesetting" w:hAnsi="Arabic Typesetting" w:cs="Arabic Typesetting"/>
          <w:sz w:val="34"/>
          <w:szCs w:val="34"/>
          <w:rtl/>
          <w:lang w:bidi="ar"/>
        </w:rPr>
        <w:t xml:space="preserve">المساعدة التقنية </w:t>
      </w:r>
      <w:r w:rsidRPr="008F54A9">
        <w:rPr>
          <w:rFonts w:ascii="Arabic Typesetting" w:hAnsi="Arabic Typesetting" w:cs="Arabic Typesetting" w:hint="cs"/>
          <w:sz w:val="34"/>
          <w:szCs w:val="34"/>
          <w:rtl/>
          <w:lang w:bidi="ar"/>
        </w:rPr>
        <w:t xml:space="preserve">المقدمة إلى البلدان النامية والبلدان الأقل نموا في مجال حق المؤلف والحقوق المجاورة في </w:t>
      </w:r>
      <w:r w:rsidR="004C279B">
        <w:rPr>
          <w:rFonts w:ascii="Arabic Typesetting" w:hAnsi="Arabic Typesetting" w:cs="Arabic Typesetting" w:hint="cs"/>
          <w:sz w:val="34"/>
          <w:szCs w:val="34"/>
          <w:rtl/>
          <w:lang w:bidi="ar"/>
        </w:rPr>
        <w:t xml:space="preserve">الثنائية </w:t>
      </w:r>
      <w:r w:rsidR="00507DE2">
        <w:rPr>
          <w:rFonts w:ascii="Arabic Typesetting" w:hAnsi="Arabic Typesetting" w:cs="Arabic Typesetting" w:hint="cs"/>
          <w:sz w:val="34"/>
          <w:szCs w:val="34"/>
          <w:rtl/>
          <w:lang w:bidi="ar"/>
        </w:rPr>
        <w:t>2014/15</w:t>
      </w:r>
      <w:r w:rsidRPr="008F54A9">
        <w:rPr>
          <w:rFonts w:ascii="Arabic Typesetting" w:hAnsi="Arabic Typesetting" w:cs="Arabic Typesetting" w:hint="cs"/>
          <w:sz w:val="34"/>
          <w:szCs w:val="34"/>
          <w:rtl/>
          <w:lang w:bidi="ar"/>
        </w:rPr>
        <w:t xml:space="preserve"> إنمائية المنحى وقائمة على الطلب وفقا</w:t>
      </w:r>
      <w:r w:rsidR="004C279B">
        <w:rPr>
          <w:rFonts w:ascii="Arabic Typesetting" w:hAnsi="Arabic Typesetting" w:cs="Arabic Typesetting" w:hint="cs"/>
          <w:sz w:val="34"/>
          <w:szCs w:val="34"/>
          <w:rtl/>
          <w:lang w:bidi="ar"/>
        </w:rPr>
        <w:t>ً</w:t>
      </w:r>
      <w:r w:rsidRPr="008F54A9">
        <w:rPr>
          <w:rFonts w:ascii="Arabic Typesetting" w:hAnsi="Arabic Typesetting" w:cs="Arabic Typesetting" w:hint="cs"/>
          <w:sz w:val="34"/>
          <w:szCs w:val="34"/>
          <w:rtl/>
          <w:lang w:bidi="ar"/>
        </w:rPr>
        <w:t xml:space="preserve"> لتوصي</w:t>
      </w:r>
      <w:r w:rsidR="004C279B">
        <w:rPr>
          <w:rFonts w:ascii="Arabic Typesetting" w:hAnsi="Arabic Typesetting" w:cs="Arabic Typesetting" w:hint="cs"/>
          <w:sz w:val="34"/>
          <w:szCs w:val="34"/>
          <w:rtl/>
          <w:lang w:bidi="ar"/>
        </w:rPr>
        <w:t xml:space="preserve">ات ومبادئ </w:t>
      </w:r>
      <w:r w:rsidRPr="008F54A9">
        <w:rPr>
          <w:rFonts w:ascii="Arabic Typesetting" w:hAnsi="Arabic Typesetting" w:cs="Arabic Typesetting" w:hint="cs"/>
          <w:sz w:val="34"/>
          <w:szCs w:val="34"/>
          <w:rtl/>
          <w:lang w:bidi="ar"/>
        </w:rPr>
        <w:t xml:space="preserve">جدول أعمال التنمية </w:t>
      </w:r>
      <w:r w:rsidR="004C279B">
        <w:rPr>
          <w:rFonts w:ascii="Arabic Typesetting" w:hAnsi="Arabic Typesetting" w:cs="Arabic Typesetting" w:hint="cs"/>
          <w:sz w:val="34"/>
          <w:szCs w:val="34"/>
          <w:rtl/>
          <w:lang w:bidi="ar"/>
        </w:rPr>
        <w:t>وبخاصة التوصيات 1 و5 و6 و10 و11. وعليه، كانت برامج المساعدة التقنية تقد</w:t>
      </w:r>
      <w:r w:rsidR="00345954">
        <w:rPr>
          <w:rFonts w:ascii="Arabic Typesetting" w:hAnsi="Arabic Typesetting" w:cs="Arabic Typesetting" w:hint="cs"/>
          <w:sz w:val="34"/>
          <w:szCs w:val="34"/>
          <w:rtl/>
          <w:lang w:bidi="ar"/>
        </w:rPr>
        <w:t>َّ</w:t>
      </w:r>
      <w:r w:rsidR="004C279B">
        <w:rPr>
          <w:rFonts w:ascii="Arabic Typesetting" w:hAnsi="Arabic Typesetting" w:cs="Arabic Typesetting" w:hint="cs"/>
          <w:sz w:val="34"/>
          <w:szCs w:val="34"/>
          <w:rtl/>
          <w:lang w:bidi="ar"/>
        </w:rPr>
        <w:t>م بناء على الطلب وتوضع بالتشاور الوثيق م</w:t>
      </w:r>
      <w:r w:rsidR="00345954">
        <w:rPr>
          <w:rFonts w:ascii="Arabic Typesetting" w:hAnsi="Arabic Typesetting" w:cs="Arabic Typesetting" w:hint="cs"/>
          <w:sz w:val="34"/>
          <w:szCs w:val="34"/>
          <w:rtl/>
          <w:lang w:bidi="ar"/>
        </w:rPr>
        <w:t>ع البلدان المستفيدة ومخصصة للتكي</w:t>
      </w:r>
      <w:r w:rsidR="004C279B">
        <w:rPr>
          <w:rFonts w:ascii="Arabic Typesetting" w:hAnsi="Arabic Typesetting" w:cs="Arabic Typesetting" w:hint="cs"/>
          <w:sz w:val="34"/>
          <w:szCs w:val="34"/>
          <w:rtl/>
          <w:lang w:bidi="ar"/>
        </w:rPr>
        <w:t>ف مع الأولويات والاحتياجات الإنمائية الوطنية.</w:t>
      </w:r>
    </w:p>
    <w:p w:rsidR="004C279B" w:rsidRDefault="004C279B" w:rsidP="009A3712">
      <w:pPr>
        <w:numPr>
          <w:ilvl w:val="0"/>
          <w:numId w:val="4"/>
        </w:numPr>
        <w:bidi/>
        <w:spacing w:after="120" w:line="340" w:lineRule="exact"/>
        <w:ind w:left="0" w:firstLine="0"/>
        <w:rPr>
          <w:rFonts w:ascii="Arabic Typesetting" w:hAnsi="Arabic Typesetting" w:cs="Arabic Typesetting"/>
          <w:sz w:val="34"/>
          <w:szCs w:val="34"/>
          <w:lang w:bidi="ar"/>
        </w:rPr>
      </w:pPr>
      <w:r>
        <w:rPr>
          <w:rFonts w:ascii="Arabic Typesetting" w:hAnsi="Arabic Typesetting" w:cs="Arabic Typesetting" w:hint="cs"/>
          <w:sz w:val="34"/>
          <w:szCs w:val="34"/>
          <w:rtl/>
          <w:lang w:bidi="ar"/>
        </w:rPr>
        <w:t>وبذلت جهود لاستيعاب الطلب المتزايد من البلدان النامية و</w:t>
      </w:r>
      <w:r w:rsidR="003B2ED5">
        <w:rPr>
          <w:rFonts w:ascii="Arabic Typesetting" w:hAnsi="Arabic Typesetting" w:cs="Arabic Typesetting" w:hint="cs"/>
          <w:sz w:val="34"/>
          <w:szCs w:val="34"/>
          <w:rtl/>
          <w:lang w:bidi="ar"/>
        </w:rPr>
        <w:t>البلدان الأقل نمواً</w:t>
      </w:r>
      <w:r>
        <w:rPr>
          <w:rFonts w:ascii="Arabic Typesetting" w:hAnsi="Arabic Typesetting" w:cs="Arabic Typesetting" w:hint="cs"/>
          <w:sz w:val="34"/>
          <w:szCs w:val="34"/>
          <w:rtl/>
          <w:lang w:bidi="ar"/>
        </w:rPr>
        <w:t xml:space="preserve"> على المساعدة التقنية في مجال حق المؤلف والحقوق المجاورة. وخلال الفترة المشمولة بالتقرير، نفذ 95 برنامج مساعدة تقنية </w:t>
      </w:r>
      <w:r w:rsidR="00345954">
        <w:rPr>
          <w:rFonts w:ascii="Arabic Typesetting" w:hAnsi="Arabic Typesetting" w:cs="Arabic Typesetting" w:hint="cs"/>
          <w:sz w:val="34"/>
          <w:szCs w:val="34"/>
          <w:rtl/>
          <w:lang w:bidi="ar"/>
        </w:rPr>
        <w:t>وتكوين</w:t>
      </w:r>
      <w:r>
        <w:rPr>
          <w:rFonts w:ascii="Arabic Typesetting" w:hAnsi="Arabic Typesetting" w:cs="Arabic Typesetting" w:hint="cs"/>
          <w:sz w:val="34"/>
          <w:szCs w:val="34"/>
          <w:rtl/>
          <w:lang w:bidi="ar"/>
        </w:rPr>
        <w:t xml:space="preserve"> كفاءات مختلف على الصعيد الوطني والإقليمي </w:t>
      </w:r>
      <w:proofErr w:type="spellStart"/>
      <w:r>
        <w:rPr>
          <w:rFonts w:ascii="Arabic Typesetting" w:hAnsi="Arabic Typesetting" w:cs="Arabic Typesetting" w:hint="cs"/>
          <w:sz w:val="34"/>
          <w:szCs w:val="34"/>
          <w:rtl/>
          <w:lang w:bidi="ar"/>
        </w:rPr>
        <w:t>والأقاليمي</w:t>
      </w:r>
      <w:proofErr w:type="spellEnd"/>
      <w:r>
        <w:rPr>
          <w:rFonts w:ascii="Arabic Typesetting" w:hAnsi="Arabic Typesetting" w:cs="Arabic Typesetting" w:hint="cs"/>
          <w:sz w:val="34"/>
          <w:szCs w:val="34"/>
          <w:rtl/>
          <w:lang w:bidi="ar"/>
        </w:rPr>
        <w:t xml:space="preserve"> وشمل 116 بلداً وخمس منظمات إقليمية حكومية دولية (</w:t>
      </w:r>
      <w:r w:rsidRPr="008F54A9">
        <w:rPr>
          <w:rFonts w:ascii="Arabic Typesetting" w:hAnsi="Arabic Typesetting" w:cs="Arabic Typesetting" w:hint="cs"/>
          <w:sz w:val="34"/>
          <w:szCs w:val="34"/>
          <w:rtl/>
          <w:lang w:bidi="ar"/>
        </w:rPr>
        <w:t xml:space="preserve">المنظمة الإقليمية الأفريقية للملكية الفكرية (الأريبو) </w:t>
      </w:r>
      <w:r w:rsidRPr="008F54A9">
        <w:rPr>
          <w:rFonts w:ascii="Arabic Typesetting" w:hAnsi="Arabic Typesetting" w:cs="Arabic Typesetting"/>
          <w:sz w:val="34"/>
          <w:szCs w:val="34"/>
          <w:rtl/>
          <w:lang w:bidi="ar"/>
        </w:rPr>
        <w:t>والمركز الإقليمي لتطوير الكتب في إقليم أمريكا اللاتينية والكاريبي (</w:t>
      </w:r>
      <w:r w:rsidRPr="008F54A9">
        <w:rPr>
          <w:rFonts w:ascii="Arabic Typesetting" w:hAnsi="Arabic Typesetting" w:cs="Arabic Typesetting"/>
          <w:sz w:val="34"/>
          <w:szCs w:val="34"/>
          <w:lang w:bidi="ar"/>
        </w:rPr>
        <w:t>CERLALC</w:t>
      </w:r>
      <w:r w:rsidRPr="008F54A9">
        <w:rPr>
          <w:rFonts w:ascii="Arabic Typesetting" w:hAnsi="Arabic Typesetting" w:cs="Arabic Typesetting"/>
          <w:sz w:val="34"/>
          <w:szCs w:val="34"/>
          <w:rtl/>
          <w:lang w:bidi="ar"/>
        </w:rPr>
        <w:t>)</w:t>
      </w:r>
      <w:r w:rsidRPr="008F54A9">
        <w:rPr>
          <w:rFonts w:ascii="Arabic Typesetting" w:hAnsi="Arabic Typesetting" w:cs="Arabic Typesetting" w:hint="cs"/>
          <w:sz w:val="34"/>
          <w:szCs w:val="34"/>
          <w:rtl/>
          <w:lang w:bidi="ar"/>
        </w:rPr>
        <w:t xml:space="preserve"> والمنظمة الأفريقية للملكية الفكرية (</w:t>
      </w:r>
      <w:r w:rsidRPr="008F54A9">
        <w:rPr>
          <w:rFonts w:ascii="Arabic Typesetting" w:hAnsi="Arabic Typesetting" w:cs="Arabic Typesetting"/>
          <w:bCs/>
          <w:sz w:val="34"/>
          <w:szCs w:val="34"/>
          <w:lang w:bidi="ar"/>
        </w:rPr>
        <w:t>OAPI</w:t>
      </w:r>
      <w:r w:rsidRPr="008F54A9">
        <w:rPr>
          <w:rFonts w:ascii="Arabic Typesetting" w:hAnsi="Arabic Typesetting" w:cs="Arabic Typesetting" w:hint="cs"/>
          <w:sz w:val="34"/>
          <w:szCs w:val="34"/>
          <w:rtl/>
          <w:lang w:bidi="ar"/>
        </w:rPr>
        <w:t>)</w:t>
      </w:r>
      <w:r>
        <w:rPr>
          <w:rFonts w:ascii="Arabic Typesetting" w:hAnsi="Arabic Typesetting" w:cs="Arabic Typesetting" w:hint="cs"/>
          <w:sz w:val="34"/>
          <w:szCs w:val="34"/>
          <w:rtl/>
          <w:lang w:bidi="ar"/>
        </w:rPr>
        <w:t xml:space="preserve"> وجامعة الدول العربية </w:t>
      </w:r>
      <w:r w:rsidRPr="004C279B">
        <w:rPr>
          <w:rFonts w:ascii="Arabic Typesetting" w:hAnsi="Arabic Typesetting" w:cs="Arabic Typesetting"/>
          <w:sz w:val="34"/>
          <w:szCs w:val="34"/>
          <w:rtl/>
          <w:lang w:bidi="ar"/>
        </w:rPr>
        <w:t>وأمانة منتدى جزر المحيط الهادئ (</w:t>
      </w:r>
      <w:r w:rsidRPr="004C279B">
        <w:rPr>
          <w:rFonts w:ascii="Arabic Typesetting" w:hAnsi="Arabic Typesetting" w:cs="Arabic Typesetting"/>
          <w:sz w:val="34"/>
          <w:szCs w:val="34"/>
          <w:lang w:bidi="ar"/>
        </w:rPr>
        <w:t>PIFS</w:t>
      </w:r>
      <w:r w:rsidRPr="004C279B">
        <w:rPr>
          <w:rFonts w:ascii="Arabic Typesetting" w:hAnsi="Arabic Typesetting" w:cs="Arabic Typesetting"/>
          <w:sz w:val="34"/>
          <w:szCs w:val="34"/>
          <w:rtl/>
          <w:lang w:bidi="ar"/>
        </w:rPr>
        <w:t>)</w:t>
      </w:r>
      <w:r>
        <w:rPr>
          <w:rFonts w:ascii="Arabic Typesetting" w:hAnsi="Arabic Typesetting" w:cs="Arabic Typesetting" w:hint="cs"/>
          <w:sz w:val="34"/>
          <w:szCs w:val="34"/>
          <w:rtl/>
          <w:lang w:bidi="ar"/>
        </w:rPr>
        <w:t>).</w:t>
      </w:r>
    </w:p>
    <w:p w:rsidR="008F54A9" w:rsidRPr="008F54A9" w:rsidRDefault="008F54A9" w:rsidP="009A3712">
      <w:pPr>
        <w:keepLines/>
        <w:numPr>
          <w:ilvl w:val="0"/>
          <w:numId w:val="4"/>
        </w:numPr>
        <w:bidi/>
        <w:spacing w:after="120" w:line="340" w:lineRule="exact"/>
        <w:ind w:left="0" w:firstLine="0"/>
        <w:rPr>
          <w:rFonts w:ascii="Arabic Typesetting" w:hAnsi="Arabic Typesetting" w:cs="Arabic Typesetting"/>
          <w:sz w:val="34"/>
          <w:szCs w:val="34"/>
          <w:lang w:bidi="ar"/>
        </w:rPr>
      </w:pPr>
      <w:r w:rsidRPr="008F54A9">
        <w:rPr>
          <w:rFonts w:ascii="Arabic Typesetting" w:hAnsi="Arabic Typesetting" w:cs="Arabic Typesetting" w:hint="cs"/>
          <w:sz w:val="34"/>
          <w:szCs w:val="34"/>
          <w:rtl/>
          <w:lang w:bidi="ar"/>
        </w:rPr>
        <w:lastRenderedPageBreak/>
        <w:t xml:space="preserve">وشملت </w:t>
      </w:r>
      <w:r w:rsidR="004F61BA">
        <w:rPr>
          <w:rFonts w:ascii="Arabic Typesetting" w:hAnsi="Arabic Typesetting" w:cs="Arabic Typesetting" w:hint="cs"/>
          <w:sz w:val="34"/>
          <w:szCs w:val="34"/>
          <w:rtl/>
          <w:lang w:bidi="ar"/>
        </w:rPr>
        <w:t xml:space="preserve">هذه </w:t>
      </w:r>
      <w:r w:rsidRPr="008F54A9">
        <w:rPr>
          <w:rFonts w:ascii="Arabic Typesetting" w:hAnsi="Arabic Typesetting" w:cs="Arabic Typesetting" w:hint="cs"/>
          <w:sz w:val="34"/>
          <w:szCs w:val="34"/>
          <w:rtl/>
          <w:lang w:bidi="ar"/>
        </w:rPr>
        <w:t>الأنشطة إ</w:t>
      </w:r>
      <w:r w:rsidR="004F61BA">
        <w:rPr>
          <w:rFonts w:ascii="Arabic Typesetting" w:hAnsi="Arabic Typesetting" w:cs="Arabic Typesetting" w:hint="cs"/>
          <w:sz w:val="34"/>
          <w:szCs w:val="34"/>
          <w:rtl/>
          <w:lang w:bidi="ar"/>
        </w:rPr>
        <w:t>ز</w:t>
      </w:r>
      <w:r w:rsidRPr="008F54A9">
        <w:rPr>
          <w:rFonts w:ascii="Arabic Typesetting" w:hAnsi="Arabic Typesetting" w:cs="Arabic Typesetting" w:hint="cs"/>
          <w:sz w:val="34"/>
          <w:szCs w:val="34"/>
          <w:rtl/>
          <w:lang w:bidi="ar"/>
        </w:rPr>
        <w:t xml:space="preserve">كاء الوعي في مجال حق المؤلف والحقوق المجاورة وتكوين الكفاءات في أوساط رؤساء المكاتب الوطنية لحق المؤلف وواضعي السياسات وأصحاب </w:t>
      </w:r>
      <w:r w:rsidR="00B32938">
        <w:rPr>
          <w:rFonts w:ascii="Arabic Typesetting" w:hAnsi="Arabic Typesetting" w:cs="Arabic Typesetting" w:hint="cs"/>
          <w:sz w:val="34"/>
          <w:szCs w:val="34"/>
          <w:rtl/>
          <w:lang w:bidi="ar"/>
        </w:rPr>
        <w:t>المصلحة</w:t>
      </w:r>
      <w:r w:rsidRPr="008F54A9">
        <w:rPr>
          <w:rFonts w:ascii="Arabic Typesetting" w:hAnsi="Arabic Typesetting" w:cs="Arabic Typesetting" w:hint="cs"/>
          <w:sz w:val="34"/>
          <w:szCs w:val="34"/>
          <w:rtl/>
          <w:lang w:bidi="ar"/>
        </w:rPr>
        <w:t xml:space="preserve"> الرئيسيين. وتناولت </w:t>
      </w:r>
      <w:r w:rsidR="004F61BA">
        <w:rPr>
          <w:rFonts w:ascii="Arabic Typesetting" w:hAnsi="Arabic Typesetting" w:cs="Arabic Typesetting" w:hint="cs"/>
          <w:sz w:val="34"/>
          <w:szCs w:val="34"/>
          <w:rtl/>
          <w:lang w:bidi="ar"/>
        </w:rPr>
        <w:t xml:space="preserve">برامج تكوين الكفاءات </w:t>
      </w:r>
      <w:r w:rsidRPr="008F54A9">
        <w:rPr>
          <w:rFonts w:ascii="Arabic Typesetting" w:hAnsi="Arabic Typesetting" w:cs="Arabic Typesetting" w:hint="cs"/>
          <w:sz w:val="34"/>
          <w:szCs w:val="34"/>
          <w:rtl/>
          <w:lang w:bidi="ar"/>
        </w:rPr>
        <w:t xml:space="preserve">المبادئ الأساسية لحق المؤلف والحقوق المجاورة والمسائل الموضوعية الناشئة التي تكتسي وجاهة وأهمية </w:t>
      </w:r>
      <w:r w:rsidR="00B32938">
        <w:rPr>
          <w:rFonts w:ascii="Arabic Typesetting" w:hAnsi="Arabic Typesetting" w:cs="Arabic Typesetting" w:hint="cs"/>
          <w:sz w:val="34"/>
          <w:szCs w:val="34"/>
          <w:rtl/>
          <w:lang w:bidi="ar"/>
        </w:rPr>
        <w:t>خاصتين</w:t>
      </w:r>
      <w:r w:rsidRPr="008F54A9">
        <w:rPr>
          <w:rFonts w:ascii="Arabic Typesetting" w:hAnsi="Arabic Typesetting" w:cs="Arabic Typesetting" w:hint="cs"/>
          <w:sz w:val="34"/>
          <w:szCs w:val="34"/>
          <w:rtl/>
          <w:lang w:bidi="ar"/>
        </w:rPr>
        <w:t xml:space="preserve"> بالنسبة </w:t>
      </w:r>
      <w:r w:rsidR="004F61BA">
        <w:rPr>
          <w:rFonts w:ascii="Arabic Typesetting" w:hAnsi="Arabic Typesetting" w:cs="Arabic Typesetting" w:hint="cs"/>
          <w:sz w:val="34"/>
          <w:szCs w:val="34"/>
          <w:rtl/>
          <w:lang w:bidi="ar"/>
        </w:rPr>
        <w:t>إلى ا</w:t>
      </w:r>
      <w:r w:rsidRPr="008F54A9">
        <w:rPr>
          <w:rFonts w:ascii="Arabic Typesetting" w:hAnsi="Arabic Typesetting" w:cs="Arabic Typesetting" w:hint="cs"/>
          <w:sz w:val="34"/>
          <w:szCs w:val="34"/>
          <w:rtl/>
          <w:lang w:bidi="ar"/>
        </w:rPr>
        <w:t xml:space="preserve">لبلدان النامية والبلدان الأقل نموا، بما في ذلك </w:t>
      </w:r>
      <w:r w:rsidR="005460B4">
        <w:rPr>
          <w:rFonts w:ascii="Arabic Typesetting" w:hAnsi="Arabic Typesetting" w:cs="Arabic Typesetting" w:hint="cs"/>
          <w:sz w:val="34"/>
          <w:szCs w:val="34"/>
          <w:rtl/>
          <w:lang w:bidi="ar"/>
        </w:rPr>
        <w:t>المستجدات</w:t>
      </w:r>
      <w:r w:rsidRPr="008F54A9">
        <w:rPr>
          <w:rFonts w:ascii="Arabic Typesetting" w:hAnsi="Arabic Typesetting" w:cs="Arabic Typesetting" w:hint="cs"/>
          <w:sz w:val="34"/>
          <w:szCs w:val="34"/>
          <w:rtl/>
          <w:lang w:bidi="ar"/>
        </w:rPr>
        <w:t xml:space="preserve"> على الصعيدين الوطني والدولي، وأسهمت في</w:t>
      </w:r>
      <w:r w:rsidR="005460B4">
        <w:rPr>
          <w:rFonts w:ascii="Arabic Typesetting" w:hAnsi="Arabic Typesetting" w:cs="Arabic Typesetting" w:hint="cs"/>
          <w:sz w:val="34"/>
          <w:szCs w:val="34"/>
          <w:rtl/>
          <w:lang w:bidi="ar"/>
        </w:rPr>
        <w:t xml:space="preserve"> </w:t>
      </w:r>
      <w:r w:rsidRPr="008F54A9">
        <w:rPr>
          <w:rFonts w:ascii="Arabic Typesetting" w:hAnsi="Arabic Typesetting" w:cs="Arabic Typesetting" w:hint="cs"/>
          <w:sz w:val="34"/>
          <w:szCs w:val="34"/>
          <w:rtl/>
          <w:lang w:bidi="ar"/>
        </w:rPr>
        <w:t xml:space="preserve">ما يلي: "1" تعزيز القدرة على </w:t>
      </w:r>
      <w:r w:rsidR="00B32938">
        <w:rPr>
          <w:rFonts w:ascii="Arabic Typesetting" w:hAnsi="Arabic Typesetting" w:cs="Arabic Typesetting" w:hint="cs"/>
          <w:sz w:val="34"/>
          <w:szCs w:val="34"/>
          <w:rtl/>
          <w:lang w:bidi="ar"/>
        </w:rPr>
        <w:t>وضع</w:t>
      </w:r>
      <w:r w:rsidRPr="008F54A9">
        <w:rPr>
          <w:rFonts w:ascii="Arabic Typesetting" w:hAnsi="Arabic Typesetting" w:cs="Arabic Typesetting" w:hint="cs"/>
          <w:sz w:val="34"/>
          <w:szCs w:val="34"/>
          <w:rtl/>
          <w:lang w:bidi="ar"/>
        </w:rPr>
        <w:t xml:space="preserve"> سياسات وأطر استراتيجية وطنية في مجال حق المؤلف</w:t>
      </w:r>
      <w:r w:rsidR="00B32938">
        <w:rPr>
          <w:rFonts w:ascii="Arabic Typesetting" w:hAnsi="Arabic Typesetting" w:cs="Arabic Typesetting" w:hint="cs"/>
          <w:sz w:val="34"/>
          <w:szCs w:val="34"/>
          <w:rtl/>
          <w:lang w:bidi="ar"/>
        </w:rPr>
        <w:t xml:space="preserve"> </w:t>
      </w:r>
      <w:r w:rsidR="00B32938" w:rsidRPr="008F54A9">
        <w:rPr>
          <w:rFonts w:ascii="Arabic Typesetting" w:hAnsi="Arabic Typesetting" w:cs="Arabic Typesetting" w:hint="cs"/>
          <w:sz w:val="34"/>
          <w:szCs w:val="34"/>
          <w:rtl/>
          <w:lang w:bidi="ar"/>
        </w:rPr>
        <w:t>وتنفيذ</w:t>
      </w:r>
      <w:r w:rsidR="00B32938">
        <w:rPr>
          <w:rFonts w:ascii="Arabic Typesetting" w:hAnsi="Arabic Typesetting" w:cs="Arabic Typesetting" w:hint="cs"/>
          <w:sz w:val="34"/>
          <w:szCs w:val="34"/>
          <w:rtl/>
          <w:lang w:bidi="ar"/>
        </w:rPr>
        <w:t>ها</w:t>
      </w:r>
      <w:r w:rsidRPr="008F54A9">
        <w:rPr>
          <w:rFonts w:ascii="Arabic Typesetting" w:hAnsi="Arabic Typesetting" w:cs="Arabic Typesetting" w:hint="cs"/>
          <w:sz w:val="34"/>
          <w:szCs w:val="34"/>
          <w:rtl/>
          <w:lang w:bidi="ar"/>
        </w:rPr>
        <w:t xml:space="preserve"> </w:t>
      </w:r>
      <w:r w:rsidR="00B32938">
        <w:rPr>
          <w:rFonts w:ascii="Arabic Typesetting" w:hAnsi="Arabic Typesetting" w:cs="Arabic Typesetting" w:hint="cs"/>
          <w:sz w:val="34"/>
          <w:szCs w:val="34"/>
          <w:rtl/>
          <w:lang w:bidi="ar"/>
        </w:rPr>
        <w:t xml:space="preserve">بغية </w:t>
      </w:r>
      <w:r w:rsidRPr="008F54A9">
        <w:rPr>
          <w:rFonts w:ascii="Arabic Typesetting" w:hAnsi="Arabic Typesetting" w:cs="Arabic Typesetting" w:hint="cs"/>
          <w:sz w:val="34"/>
          <w:szCs w:val="34"/>
          <w:rtl/>
          <w:lang w:bidi="ar"/>
        </w:rPr>
        <w:t xml:space="preserve">استخدام الملكية الفكرية باتساق وفعالية لأغراض التنمية المستدامة؛ </w:t>
      </w:r>
      <w:r w:rsidR="005460B4">
        <w:rPr>
          <w:rFonts w:ascii="Arabic Typesetting" w:hAnsi="Arabic Typesetting" w:cs="Arabic Typesetting" w:hint="cs"/>
          <w:sz w:val="34"/>
          <w:szCs w:val="34"/>
          <w:rtl/>
          <w:lang w:bidi="ar"/>
        </w:rPr>
        <w:t>"2" وتعزيز</w:t>
      </w:r>
      <w:r w:rsidR="00B32938">
        <w:rPr>
          <w:rFonts w:ascii="Arabic Typesetting" w:hAnsi="Arabic Typesetting" w:cs="Arabic Typesetting" w:hint="cs"/>
          <w:sz w:val="34"/>
          <w:szCs w:val="34"/>
          <w:rtl/>
          <w:lang w:bidi="ar"/>
        </w:rPr>
        <w:t xml:space="preserve"> القدرات البشرية والمؤسسية لتقديم</w:t>
      </w:r>
      <w:r w:rsidR="005460B4">
        <w:rPr>
          <w:rFonts w:ascii="Arabic Typesetting" w:hAnsi="Arabic Typesetting" w:cs="Arabic Typesetting" w:hint="cs"/>
          <w:sz w:val="34"/>
          <w:szCs w:val="34"/>
          <w:rtl/>
          <w:lang w:bidi="ar"/>
        </w:rPr>
        <w:t xml:space="preserve"> خدمات أفضل إلى أصحاب المصلحة؛ "3" والنهوض بالروح الإبداعية على الصعيد الوطني والاستفادة منها.</w:t>
      </w:r>
    </w:p>
    <w:p w:rsidR="008F54A9" w:rsidRDefault="005460B4" w:rsidP="009A3712">
      <w:pPr>
        <w:keepLines/>
        <w:numPr>
          <w:ilvl w:val="0"/>
          <w:numId w:val="4"/>
        </w:numPr>
        <w:bidi/>
        <w:spacing w:after="120" w:line="340" w:lineRule="exact"/>
        <w:ind w:left="0" w:firstLine="0"/>
        <w:rPr>
          <w:rFonts w:ascii="Arabic Typesetting" w:hAnsi="Arabic Typesetting" w:cs="Arabic Typesetting"/>
          <w:sz w:val="34"/>
          <w:szCs w:val="34"/>
          <w:lang w:bidi="ar"/>
        </w:rPr>
      </w:pPr>
      <w:r>
        <w:rPr>
          <w:rFonts w:ascii="Arabic Typesetting" w:hAnsi="Arabic Typesetting" w:cs="Arabic Typesetting" w:hint="cs"/>
          <w:sz w:val="34"/>
          <w:szCs w:val="34"/>
          <w:rtl/>
          <w:lang w:bidi="ar"/>
        </w:rPr>
        <w:t>وبذلت جهود أيضاً لتحسين فعالية أنشطة المساعدة التقنية من حيث التكلفة و</w:t>
      </w:r>
      <w:r w:rsidR="00B32938">
        <w:rPr>
          <w:rFonts w:ascii="Arabic Typesetting" w:hAnsi="Arabic Typesetting" w:cs="Arabic Typesetting" w:hint="cs"/>
          <w:sz w:val="34"/>
          <w:szCs w:val="34"/>
          <w:rtl/>
          <w:lang w:bidi="ar"/>
        </w:rPr>
        <w:t xml:space="preserve">تعزيز </w:t>
      </w:r>
      <w:r>
        <w:rPr>
          <w:rFonts w:ascii="Arabic Typesetting" w:hAnsi="Arabic Typesetting" w:cs="Arabic Typesetting" w:hint="cs"/>
          <w:sz w:val="34"/>
          <w:szCs w:val="34"/>
          <w:rtl/>
          <w:lang w:bidi="ar"/>
        </w:rPr>
        <w:t xml:space="preserve">استمراريتها عن طريق جملة تدابير منها النهوض بالتعاون بين البلدان النامية وتوطيده من خلال تبادل المعارف والمهارات والخبرات والموارد لتحقيق أهدافها الإنمائية. وأجريت عمليات تقييم قطرية لتحسين أطر المساءلة عن النتائج. وكشفت عمليات التقييم </w:t>
      </w:r>
      <w:r w:rsidR="008F54A9" w:rsidRPr="008F54A9">
        <w:rPr>
          <w:rFonts w:ascii="Arabic Typesetting" w:hAnsi="Arabic Typesetting" w:cs="Arabic Typesetting" w:hint="cs"/>
          <w:sz w:val="34"/>
          <w:szCs w:val="34"/>
          <w:rtl/>
          <w:lang w:bidi="ar"/>
        </w:rPr>
        <w:t xml:space="preserve">أن أكثر من 80 بالمئة من المشاركين </w:t>
      </w:r>
      <w:r w:rsidR="00B32938">
        <w:rPr>
          <w:rFonts w:ascii="Arabic Typesetting" w:hAnsi="Arabic Typesetting" w:cs="Arabic Typesetting" w:hint="cs"/>
          <w:sz w:val="34"/>
          <w:szCs w:val="34"/>
          <w:rtl/>
          <w:lang w:bidi="ar"/>
        </w:rPr>
        <w:t>رأوا</w:t>
      </w:r>
      <w:r w:rsidR="008F54A9" w:rsidRPr="008F54A9">
        <w:rPr>
          <w:rFonts w:ascii="Arabic Typesetting" w:hAnsi="Arabic Typesetting" w:cs="Arabic Typesetting" w:hint="cs"/>
          <w:sz w:val="34"/>
          <w:szCs w:val="34"/>
          <w:rtl/>
          <w:lang w:bidi="ar"/>
        </w:rPr>
        <w:t xml:space="preserve"> أن مضمون</w:t>
      </w:r>
      <w:r w:rsidR="001919AF">
        <w:rPr>
          <w:rFonts w:ascii="Arabic Typesetting" w:hAnsi="Arabic Typesetting" w:cs="Arabic Typesetting" w:hint="cs"/>
          <w:sz w:val="34"/>
          <w:szCs w:val="34"/>
          <w:rtl/>
          <w:lang w:bidi="ar"/>
        </w:rPr>
        <w:t xml:space="preserve"> الاجتماعات</w:t>
      </w:r>
      <w:r w:rsidR="008F54A9" w:rsidRPr="008F54A9">
        <w:rPr>
          <w:rFonts w:ascii="Arabic Typesetting" w:hAnsi="Arabic Typesetting" w:cs="Arabic Typesetting" w:hint="cs"/>
          <w:sz w:val="34"/>
          <w:szCs w:val="34"/>
          <w:rtl/>
          <w:lang w:bidi="ar"/>
        </w:rPr>
        <w:t xml:space="preserve"> </w:t>
      </w:r>
      <w:r w:rsidR="001919AF">
        <w:rPr>
          <w:rFonts w:ascii="Arabic Typesetting" w:hAnsi="Arabic Typesetting" w:cs="Arabic Typesetting" w:hint="cs"/>
          <w:sz w:val="34"/>
          <w:szCs w:val="34"/>
          <w:rtl/>
          <w:lang w:bidi="ar"/>
        </w:rPr>
        <w:t>و</w:t>
      </w:r>
      <w:r w:rsidR="008F54A9" w:rsidRPr="008F54A9">
        <w:rPr>
          <w:rFonts w:ascii="Arabic Typesetting" w:hAnsi="Arabic Typesetting" w:cs="Arabic Typesetting" w:hint="cs"/>
          <w:sz w:val="34"/>
          <w:szCs w:val="34"/>
          <w:rtl/>
          <w:lang w:bidi="ar"/>
        </w:rPr>
        <w:t>حلقات العمل</w:t>
      </w:r>
      <w:r w:rsidR="001919AF">
        <w:rPr>
          <w:rFonts w:ascii="Arabic Typesetting" w:hAnsi="Arabic Typesetting" w:cs="Arabic Typesetting" w:hint="cs"/>
          <w:sz w:val="34"/>
          <w:szCs w:val="34"/>
          <w:rtl/>
          <w:lang w:bidi="ar"/>
        </w:rPr>
        <w:t xml:space="preserve"> الخاصة بتكوين الكفاءات</w:t>
      </w:r>
      <w:r w:rsidR="008F54A9" w:rsidRPr="008F54A9">
        <w:rPr>
          <w:rFonts w:ascii="Arabic Typesetting" w:hAnsi="Arabic Typesetting" w:cs="Arabic Typesetting" w:hint="cs"/>
          <w:sz w:val="34"/>
          <w:szCs w:val="34"/>
          <w:rtl/>
          <w:lang w:bidi="ar"/>
        </w:rPr>
        <w:t xml:space="preserve"> وجيها بالنسبة </w:t>
      </w:r>
      <w:r>
        <w:rPr>
          <w:rFonts w:ascii="Arabic Typesetting" w:hAnsi="Arabic Typesetting" w:cs="Arabic Typesetting" w:hint="cs"/>
          <w:sz w:val="34"/>
          <w:szCs w:val="34"/>
          <w:rtl/>
          <w:lang w:bidi="ar"/>
        </w:rPr>
        <w:t xml:space="preserve">إلى </w:t>
      </w:r>
      <w:r w:rsidR="008F54A9" w:rsidRPr="008F54A9">
        <w:rPr>
          <w:rFonts w:ascii="Arabic Typesetting" w:hAnsi="Arabic Typesetting" w:cs="Arabic Typesetting" w:hint="cs"/>
          <w:sz w:val="34"/>
          <w:szCs w:val="34"/>
          <w:rtl/>
          <w:lang w:bidi="ar"/>
        </w:rPr>
        <w:t xml:space="preserve">عملهم وأنهم سيتمكّنون من استخدام المعلومات والمعارف المكتسبة من </w:t>
      </w:r>
      <w:r w:rsidR="001919AF">
        <w:rPr>
          <w:rFonts w:ascii="Arabic Typesetting" w:hAnsi="Arabic Typesetting" w:cs="Arabic Typesetting" w:hint="cs"/>
          <w:sz w:val="34"/>
          <w:szCs w:val="34"/>
          <w:rtl/>
          <w:lang w:bidi="ar"/>
        </w:rPr>
        <w:t>الاجتماعات و</w:t>
      </w:r>
      <w:r>
        <w:rPr>
          <w:rFonts w:ascii="Arabic Typesetting" w:hAnsi="Arabic Typesetting" w:cs="Arabic Typesetting" w:hint="cs"/>
          <w:sz w:val="34"/>
          <w:szCs w:val="34"/>
          <w:rtl/>
          <w:lang w:bidi="ar"/>
        </w:rPr>
        <w:t xml:space="preserve">حلقات العمل </w:t>
      </w:r>
      <w:r w:rsidR="008F54A9" w:rsidRPr="008F54A9">
        <w:rPr>
          <w:rFonts w:ascii="Arabic Typesetting" w:hAnsi="Arabic Typesetting" w:cs="Arabic Typesetting" w:hint="cs"/>
          <w:sz w:val="34"/>
          <w:szCs w:val="34"/>
          <w:rtl/>
          <w:lang w:bidi="ar"/>
        </w:rPr>
        <w:t>في عملهم.</w:t>
      </w:r>
    </w:p>
    <w:p w:rsidR="008F54A9" w:rsidRPr="00E439F5" w:rsidRDefault="008F54A9" w:rsidP="00B32938">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hint="cs"/>
          <w:sz w:val="34"/>
          <w:szCs w:val="34"/>
          <w:rtl/>
          <w:lang w:val="fr-CH"/>
        </w:rPr>
        <w:t>بيانات الأداء</w:t>
      </w:r>
    </w:p>
    <w:tbl>
      <w:tblPr>
        <w:bidiVisual/>
        <w:tblW w:w="4887"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25"/>
        <w:gridCol w:w="191"/>
        <w:gridCol w:w="2503"/>
        <w:gridCol w:w="1234"/>
        <w:gridCol w:w="2308"/>
        <w:gridCol w:w="994"/>
      </w:tblGrid>
      <w:tr w:rsidR="008F54A9" w:rsidRPr="00211D55" w:rsidTr="00507D3B">
        <w:trPr>
          <w:cantSplit/>
          <w:trHeight w:val="537"/>
        </w:trPr>
        <w:tc>
          <w:tcPr>
            <w:tcW w:w="9355" w:type="dxa"/>
            <w:gridSpan w:val="6"/>
            <w:tcBorders>
              <w:top w:val="single" w:sz="4" w:space="0" w:color="auto"/>
              <w:bottom w:val="single" w:sz="4" w:space="0" w:color="auto"/>
            </w:tcBorders>
            <w:shd w:val="clear" w:color="auto" w:fill="C6D9F1" w:themeFill="text2" w:themeFillTint="33"/>
            <w:tcMar>
              <w:top w:w="0" w:type="dxa"/>
            </w:tcMar>
            <w:vAlign w:val="center"/>
          </w:tcPr>
          <w:p w:rsidR="008F54A9" w:rsidRPr="00211D55" w:rsidRDefault="008F54A9" w:rsidP="009E62B8">
            <w:pPr>
              <w:keepNext/>
              <w:bidi/>
              <w:spacing w:after="60" w:line="280" w:lineRule="exact"/>
              <w:ind w:left="1167" w:hanging="1167"/>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 xml:space="preserve">النتيجة المرتقبة: </w:t>
            </w:r>
            <w:r w:rsidRPr="00211D55">
              <w:rPr>
                <w:rFonts w:ascii="Arabic Typesetting" w:hAnsi="Arabic Typesetting" w:cs="Arabic Typesetting"/>
                <w:sz w:val="28"/>
                <w:szCs w:val="28"/>
                <w:rtl/>
                <w:lang w:bidi="ar-EG"/>
              </w:rPr>
              <w:tab/>
            </w:r>
            <w:r w:rsidR="000432CA">
              <w:rPr>
                <w:rFonts w:ascii="Arabic Typesetting" w:hAnsi="Arabic Typesetting" w:cs="Arabic Typesetting"/>
                <w:sz w:val="28"/>
                <w:szCs w:val="28"/>
                <w:rtl/>
                <w:lang w:bidi="ar-EG"/>
              </w:rPr>
              <w:t>ه1.1 تعاون معزز بين الدول الأعضاء في تطوير أطر معيارية دولية متوازنة للملكية الفكرية والاتفاق على محاور محدّدة وعلى صكوك دولية بشأنها</w:t>
            </w:r>
          </w:p>
        </w:tc>
      </w:tr>
      <w:tr w:rsidR="008F54A9" w:rsidRPr="00211D55" w:rsidTr="005460B4">
        <w:trPr>
          <w:cantSplit/>
          <w:trHeight w:val="186"/>
        </w:trPr>
        <w:tc>
          <w:tcPr>
            <w:tcW w:w="2125" w:type="dxa"/>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2694" w:type="dxa"/>
            <w:gridSpan w:val="2"/>
            <w:tcBorders>
              <w:top w:val="single" w:sz="4" w:space="0" w:color="auto"/>
              <w:bottom w:val="nil"/>
            </w:tcBorders>
            <w:shd w:val="clear" w:color="auto" w:fill="auto"/>
            <w:tcMar>
              <w:top w:w="110" w:type="dxa"/>
            </w:tcMar>
            <w:vAlign w:val="cente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أسس المقارنة</w:t>
            </w:r>
          </w:p>
        </w:tc>
        <w:tc>
          <w:tcPr>
            <w:tcW w:w="1234" w:type="dxa"/>
            <w:tcBorders>
              <w:top w:val="single" w:sz="4" w:space="0" w:color="auto"/>
            </w:tcBorders>
            <w:vAlign w:val="cente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الأهداف</w:t>
            </w:r>
          </w:p>
        </w:tc>
        <w:tc>
          <w:tcPr>
            <w:tcW w:w="2308" w:type="dxa"/>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994" w:type="dxa"/>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8F54A9" w:rsidRPr="00211D55" w:rsidTr="005460B4">
        <w:trPr>
          <w:cantSplit/>
          <w:trHeight w:val="18"/>
        </w:trPr>
        <w:tc>
          <w:tcPr>
            <w:tcW w:w="2125" w:type="dxa"/>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rPr>
              <w:t>التقدم نحو الاتفاق بشأن القضايا الحالية في جدول أعمال اللجنة الدائمة المعنية بحق المؤلف والحقوق المجاورة</w:t>
            </w:r>
          </w:p>
        </w:tc>
        <w:tc>
          <w:tcPr>
            <w:tcW w:w="2694" w:type="dxa"/>
            <w:gridSpan w:val="2"/>
            <w:tcBorders>
              <w:top w:val="nil"/>
              <w:bottom w:val="single" w:sz="4" w:space="0" w:color="auto"/>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اعتماد نص معاهدة بيجين في يونيو 2012. واعتماد نص معاهدة مراكش في يونيو 2013. والتقدم متسق مع خطة عمل اللجنة الدائمة بشأن كل القضايا المدرجة في جدول الأعمال.</w:t>
            </w:r>
          </w:p>
          <w:p w:rsidR="008F54A9" w:rsidRPr="00211D55" w:rsidRDefault="008F54A9" w:rsidP="00676D5F">
            <w:pPr>
              <w:keepNext/>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معاهدتان معتمدتان في الثنائية </w:t>
            </w:r>
            <w:r w:rsidR="00507DE2">
              <w:rPr>
                <w:rFonts w:ascii="Arabic Typesetting" w:hAnsi="Arabic Typesetting" w:cs="Arabic Typesetting"/>
                <w:b/>
                <w:sz w:val="28"/>
                <w:szCs w:val="28"/>
                <w:rtl/>
                <w:lang w:bidi="ar-EG"/>
              </w:rPr>
              <w:t>2012/13</w:t>
            </w:r>
            <w:r w:rsidRPr="00211D55">
              <w:rPr>
                <w:rFonts w:ascii="Arabic Typesetting" w:hAnsi="Arabic Typesetting" w:cs="Arabic Typesetting"/>
                <w:b/>
                <w:sz w:val="28"/>
                <w:szCs w:val="28"/>
                <w:rtl/>
                <w:lang w:bidi="ar-EG"/>
              </w:rPr>
              <w:t xml:space="preserve"> (حتى الآن). ومؤتمران دبلوماسيان معقودان خلال الثنائية </w:t>
            </w:r>
            <w:r w:rsidR="00507DE2">
              <w:rPr>
                <w:rFonts w:ascii="Arabic Typesetting" w:hAnsi="Arabic Typesetting" w:cs="Arabic Typesetting"/>
                <w:b/>
                <w:sz w:val="28"/>
                <w:szCs w:val="28"/>
                <w:rtl/>
                <w:lang w:bidi="ar-EG"/>
              </w:rPr>
              <w:t>2012/13</w:t>
            </w:r>
            <w:r w:rsidR="00E82944" w:rsidRPr="00211D55">
              <w:rPr>
                <w:rFonts w:ascii="Arabic Typesetting" w:hAnsi="Arabic Typesetting" w:cs="Arabic Typesetting"/>
                <w:b/>
                <w:sz w:val="28"/>
                <w:szCs w:val="28"/>
                <w:rtl/>
                <w:lang w:bidi="ar-EG"/>
              </w:rPr>
              <w:t>.</w:t>
            </w:r>
          </w:p>
        </w:tc>
        <w:tc>
          <w:tcPr>
            <w:tcW w:w="1234" w:type="dxa"/>
          </w:tcPr>
          <w:p w:rsidR="008F54A9" w:rsidRPr="00211D55" w:rsidRDefault="008F54A9" w:rsidP="00E82944">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عقد مؤتمر دبلوماسي واحد واعتماد معاهدة واحدة في الثنائية </w:t>
            </w:r>
            <w:r w:rsidR="00507DE2">
              <w:rPr>
                <w:rFonts w:ascii="Arabic Typesetting" w:hAnsi="Arabic Typesetting" w:cs="Arabic Typesetting"/>
                <w:b/>
                <w:sz w:val="28"/>
                <w:szCs w:val="28"/>
                <w:rtl/>
                <w:lang w:bidi="ar-EG"/>
              </w:rPr>
              <w:t>2014/15</w:t>
            </w:r>
          </w:p>
        </w:tc>
        <w:tc>
          <w:tcPr>
            <w:tcW w:w="2308" w:type="dxa"/>
            <w:tcMar>
              <w:top w:w="110" w:type="dxa"/>
            </w:tcMar>
          </w:tcPr>
          <w:p w:rsidR="008F54A9" w:rsidRPr="00211D55" w:rsidRDefault="008F54A9" w:rsidP="00157A6A">
            <w:pPr>
              <w:keepNext/>
              <w:bidi/>
              <w:spacing w:before="60" w:after="60" w:line="280" w:lineRule="exact"/>
              <w:rPr>
                <w:rFonts w:ascii="Arabic Typesetting" w:hAnsi="Arabic Typesetting" w:cs="Arabic Typesetting"/>
                <w:b/>
                <w:w w:val="96"/>
                <w:sz w:val="28"/>
                <w:szCs w:val="28"/>
                <w:rtl/>
                <w:lang w:bidi="ar-EG"/>
              </w:rPr>
            </w:pPr>
            <w:r w:rsidRPr="00211D55">
              <w:rPr>
                <w:rFonts w:ascii="Arabic Typesetting" w:hAnsi="Arabic Typesetting" w:cs="Arabic Typesetting"/>
                <w:b/>
                <w:w w:val="96"/>
                <w:sz w:val="28"/>
                <w:szCs w:val="28"/>
                <w:rtl/>
                <w:lang w:bidi="ar-EG"/>
              </w:rPr>
              <w:t xml:space="preserve">لم تتوصل اللجنة الدائمة والجمعية العامة للويبو إلى اتفاق </w:t>
            </w:r>
            <w:r w:rsidR="00157A6A">
              <w:rPr>
                <w:rFonts w:ascii="Arabic Typesetting" w:hAnsi="Arabic Typesetting" w:cs="Arabic Typesetting" w:hint="cs"/>
                <w:b/>
                <w:w w:val="96"/>
                <w:sz w:val="28"/>
                <w:szCs w:val="28"/>
                <w:rtl/>
                <w:lang w:bidi="ar-EG"/>
              </w:rPr>
              <w:t>على</w:t>
            </w:r>
            <w:r w:rsidRPr="00211D55">
              <w:rPr>
                <w:rFonts w:ascii="Arabic Typesetting" w:hAnsi="Arabic Typesetting" w:cs="Arabic Typesetting"/>
                <w:b/>
                <w:w w:val="96"/>
                <w:sz w:val="28"/>
                <w:szCs w:val="28"/>
                <w:rtl/>
                <w:lang w:bidi="ar-EG"/>
              </w:rPr>
              <w:t xml:space="preserve"> الخطوات التي ينبغي اتخاذها من أجل الدعوة إلى عقد مؤتمر دبلوماسي لاعتماد معاهدة بشأن حماية هيئات البث.</w:t>
            </w:r>
          </w:p>
        </w:tc>
        <w:tc>
          <w:tcPr>
            <w:tcW w:w="994" w:type="dxa"/>
            <w:tcMar>
              <w:top w:w="110" w:type="dxa"/>
            </w:tcMar>
          </w:tcPr>
          <w:p w:rsidR="008F54A9" w:rsidRPr="00211D55" w:rsidRDefault="008F54A9" w:rsidP="00E82944">
            <w:pPr>
              <w:keepNext/>
              <w:bidi/>
              <w:spacing w:before="60" w:after="60" w:line="280" w:lineRule="exact"/>
              <w:rPr>
                <w:rFonts w:ascii="Arabic Typesetting" w:hAnsi="Arabic Typesetting" w:cs="Arabic Typesetting"/>
                <w:b/>
                <w:bCs/>
                <w:color w:val="FF0000"/>
                <w:sz w:val="28"/>
                <w:szCs w:val="28"/>
                <w:rtl/>
                <w:lang w:bidi="ar-EG"/>
              </w:rPr>
            </w:pPr>
            <w:r w:rsidRPr="00211D55">
              <w:rPr>
                <w:rFonts w:ascii="Arabic Typesetting" w:hAnsi="Arabic Typesetting" w:cs="Arabic Typesetting"/>
                <w:b/>
                <w:bCs/>
                <w:color w:val="FF0000"/>
                <w:sz w:val="28"/>
                <w:szCs w:val="28"/>
                <w:rtl/>
                <w:lang w:bidi="ar-EG"/>
              </w:rPr>
              <w:t xml:space="preserve">غير </w:t>
            </w:r>
            <w:r w:rsidR="00E82944" w:rsidRPr="00211D55">
              <w:rPr>
                <w:rFonts w:ascii="Arabic Typesetting" w:hAnsi="Arabic Typesetting" w:cs="Arabic Typesetting"/>
                <w:b/>
                <w:bCs/>
                <w:color w:val="FF0000"/>
                <w:sz w:val="28"/>
                <w:szCs w:val="28"/>
                <w:rtl/>
                <w:lang w:bidi="ar-EG"/>
              </w:rPr>
              <w:t>محقق</w:t>
            </w:r>
          </w:p>
        </w:tc>
      </w:tr>
      <w:tr w:rsidR="008F54A9" w:rsidRPr="00211D55" w:rsidTr="00507D3B">
        <w:trPr>
          <w:cantSplit/>
          <w:trHeight w:val="537"/>
        </w:trPr>
        <w:tc>
          <w:tcPr>
            <w:tcW w:w="9355" w:type="dxa"/>
            <w:gridSpan w:val="6"/>
            <w:tcBorders>
              <w:top w:val="single" w:sz="4" w:space="0" w:color="auto"/>
              <w:bottom w:val="single" w:sz="4" w:space="0" w:color="auto"/>
            </w:tcBorders>
            <w:shd w:val="clear" w:color="auto" w:fill="C6D9F1" w:themeFill="text2" w:themeFillTint="33"/>
            <w:tcMar>
              <w:top w:w="0" w:type="dxa"/>
            </w:tcMar>
            <w:vAlign w:val="center"/>
          </w:tcPr>
          <w:p w:rsidR="008F54A9" w:rsidRPr="00211D55" w:rsidRDefault="008F54A9" w:rsidP="009E62B8">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 xml:space="preserve">النتيجة </w:t>
            </w:r>
            <w:r w:rsidRPr="00211D55">
              <w:rPr>
                <w:rFonts w:ascii="Arabic Typesetting" w:hAnsi="Arabic Typesetting" w:cs="Arabic Typesetting"/>
                <w:bCs/>
                <w:sz w:val="28"/>
                <w:szCs w:val="28"/>
                <w:shd w:val="clear" w:color="auto" w:fill="C6D9F1" w:themeFill="text2" w:themeFillTint="33"/>
                <w:rtl/>
                <w:lang w:bidi="ar-EG"/>
              </w:rPr>
              <w:t xml:space="preserve">المرتقبة: </w:t>
            </w:r>
            <w:r w:rsidRPr="00211D55">
              <w:rPr>
                <w:rFonts w:ascii="Arabic Typesetting" w:hAnsi="Arabic Typesetting" w:cs="Arabic Typesetting"/>
                <w:b/>
                <w:sz w:val="28"/>
                <w:szCs w:val="28"/>
                <w:shd w:val="clear" w:color="auto" w:fill="C6D9F1" w:themeFill="text2" w:themeFillTint="33"/>
                <w:rtl/>
                <w:lang w:bidi="ar-EG"/>
              </w:rPr>
              <w:tab/>
            </w:r>
            <w:r w:rsidR="000432CA">
              <w:rPr>
                <w:rFonts w:ascii="Arabic Typesetting" w:hAnsi="Arabic Typesetting" w:cs="Arabic Typesetting"/>
                <w:sz w:val="28"/>
                <w:szCs w:val="28"/>
                <w:shd w:val="clear" w:color="auto" w:fill="C6D9F1" w:themeFill="text2" w:themeFillTint="33"/>
                <w:rtl/>
                <w:lang w:bidi="ar-EG"/>
              </w:rPr>
              <w:t>ه2.1 أطر تشريعية وتنظيمية وسياسية مناسبة ومتوازنة للملكية الفكرية</w:t>
            </w:r>
          </w:p>
        </w:tc>
      </w:tr>
      <w:tr w:rsidR="008F54A9" w:rsidRPr="00211D55" w:rsidTr="005460B4">
        <w:trPr>
          <w:cantSplit/>
          <w:trHeight w:val="18"/>
        </w:trPr>
        <w:tc>
          <w:tcPr>
            <w:tcW w:w="2125" w:type="dxa"/>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 الأداء</w:t>
            </w:r>
          </w:p>
        </w:tc>
        <w:tc>
          <w:tcPr>
            <w:tcW w:w="2694" w:type="dxa"/>
            <w:gridSpan w:val="2"/>
            <w:tcBorders>
              <w:top w:val="single" w:sz="4" w:space="0" w:color="auto"/>
              <w:bottom w:val="nil"/>
            </w:tcBorders>
            <w:shd w:val="clear" w:color="auto" w:fill="auto"/>
            <w:tcMar>
              <w:top w:w="110" w:type="dxa"/>
            </w:tcMar>
            <w:vAlign w:val="center"/>
          </w:tcPr>
          <w:p w:rsidR="008F54A9" w:rsidRPr="00211D55" w:rsidRDefault="008F54A9" w:rsidP="008F54A9">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Cs/>
                <w:sz w:val="28"/>
                <w:szCs w:val="28"/>
                <w:rtl/>
                <w:lang w:bidi="ar-EG"/>
              </w:rPr>
              <w:t>أسس المقارنة</w:t>
            </w:r>
          </w:p>
        </w:tc>
        <w:tc>
          <w:tcPr>
            <w:tcW w:w="1234" w:type="dxa"/>
            <w:tcBorders>
              <w:top w:val="single" w:sz="4" w:space="0" w:color="auto"/>
            </w:tcBorders>
            <w:vAlign w:val="center"/>
          </w:tcPr>
          <w:p w:rsidR="008F54A9" w:rsidRPr="00211D55" w:rsidRDefault="008F54A9" w:rsidP="008F54A9">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الأهداف</w:t>
            </w:r>
          </w:p>
        </w:tc>
        <w:tc>
          <w:tcPr>
            <w:tcW w:w="2308" w:type="dxa"/>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994" w:type="dxa"/>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Cs/>
                <w:sz w:val="28"/>
                <w:szCs w:val="28"/>
                <w:rtl/>
                <w:lang w:bidi="ar-EG"/>
              </w:rPr>
              <w:t>السير</w:t>
            </w:r>
          </w:p>
        </w:tc>
      </w:tr>
      <w:tr w:rsidR="008F54A9" w:rsidRPr="00211D55" w:rsidTr="009E62B8">
        <w:trPr>
          <w:cantSplit/>
          <w:trHeight w:val="537"/>
        </w:trPr>
        <w:tc>
          <w:tcPr>
            <w:tcW w:w="2125" w:type="dxa"/>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rPr>
              <w:t>عدد البلدان التي صدقت على معاهدة بيجين</w:t>
            </w:r>
          </w:p>
        </w:tc>
        <w:tc>
          <w:tcPr>
            <w:tcW w:w="2694" w:type="dxa"/>
            <w:gridSpan w:val="2"/>
            <w:tcBorders>
              <w:top w:val="nil"/>
              <w:bottom w:val="single" w:sz="4" w:space="0" w:color="auto"/>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2 (بوتسوانا، الجمهورية العربية السورية)</w:t>
            </w:r>
          </w:p>
          <w:p w:rsidR="008F54A9" w:rsidRPr="00211D55" w:rsidRDefault="00157A6A" w:rsidP="00157A6A">
            <w:pPr>
              <w:bidi/>
              <w:spacing w:line="240" w:lineRule="exact"/>
              <w:rPr>
                <w:rFonts w:ascii="Arabic Typesetting" w:hAnsi="Arabic Typesetting" w:cs="Arabic Typesetting"/>
                <w:b/>
                <w:sz w:val="28"/>
                <w:szCs w:val="28"/>
                <w:lang w:bidi="ar-EG"/>
              </w:rPr>
            </w:pPr>
            <w:r>
              <w:rPr>
                <w:rFonts w:ascii="Arabic Typesetting" w:hAnsi="Arabic Typesetting" w:cs="Arabic Typesetting"/>
                <w:b/>
                <w:i/>
                <w:iCs/>
                <w:sz w:val="28"/>
                <w:szCs w:val="28"/>
                <w:rtl/>
                <w:lang w:bidi="ar-EG"/>
              </w:rPr>
              <w:t>أسس المقارنة الأصلية:</w:t>
            </w:r>
            <w:r>
              <w:rPr>
                <w:rFonts w:ascii="Arabic Typesetting" w:hAnsi="Arabic Typesetting" w:cs="Arabic Typesetting" w:hint="cs"/>
                <w:b/>
                <w:i/>
                <w:iCs/>
                <w:sz w:val="28"/>
                <w:szCs w:val="28"/>
                <w:rtl/>
                <w:lang w:bidi="ar-EG"/>
              </w:rPr>
              <w:t xml:space="preserve"> </w:t>
            </w:r>
            <w:r w:rsidR="008F54A9" w:rsidRPr="00211D55">
              <w:rPr>
                <w:rFonts w:ascii="Arabic Typesetting" w:hAnsi="Arabic Typesetting" w:cs="Arabic Typesetting"/>
                <w:b/>
                <w:i/>
                <w:iCs/>
                <w:sz w:val="28"/>
                <w:szCs w:val="28"/>
                <w:rtl/>
                <w:lang w:bidi="ar-EG"/>
              </w:rPr>
              <w:t xml:space="preserve">برنامج وميزانية </w:t>
            </w:r>
            <w:r w:rsidR="00507DE2">
              <w:rPr>
                <w:rFonts w:ascii="Arabic Typesetting" w:hAnsi="Arabic Typesetting" w:cs="Arabic Typesetting"/>
                <w:b/>
                <w:i/>
                <w:iCs/>
                <w:sz w:val="28"/>
                <w:szCs w:val="28"/>
                <w:rtl/>
                <w:lang w:bidi="ar-EG"/>
              </w:rPr>
              <w:t>2014/15</w:t>
            </w:r>
            <w:r w:rsidR="008F54A9" w:rsidRPr="00211D55">
              <w:rPr>
                <w:rFonts w:ascii="Arabic Typesetting" w:hAnsi="Arabic Typesetting" w:cs="Arabic Typesetting"/>
                <w:b/>
                <w:i/>
                <w:iCs/>
                <w:sz w:val="28"/>
                <w:szCs w:val="28"/>
                <w:rtl/>
                <w:lang w:bidi="ar-EG"/>
              </w:rPr>
              <w:t>:</w:t>
            </w:r>
            <w:r w:rsidR="008F54A9" w:rsidRPr="00211D55">
              <w:rPr>
                <w:rFonts w:ascii="Arabic Typesetting" w:hAnsi="Arabic Typesetting" w:cs="Arabic Typesetting"/>
                <w:b/>
                <w:sz w:val="28"/>
                <w:szCs w:val="28"/>
                <w:rtl/>
                <w:lang w:bidi="ar-EG"/>
              </w:rPr>
              <w:t xml:space="preserve"> لا يوجد</w:t>
            </w:r>
          </w:p>
        </w:tc>
        <w:tc>
          <w:tcPr>
            <w:tcW w:w="1234" w:type="dxa"/>
          </w:tcPr>
          <w:p w:rsidR="008F54A9" w:rsidRPr="00211D55" w:rsidRDefault="008F54A9" w:rsidP="00CE042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30 بلدا</w:t>
            </w:r>
            <w:r w:rsidR="00E82944" w:rsidRPr="00211D55">
              <w:rPr>
                <w:rFonts w:ascii="Arabic Typesetting" w:hAnsi="Arabic Typesetting" w:cs="Arabic Typesetting"/>
                <w:b/>
                <w:sz w:val="28"/>
                <w:szCs w:val="28"/>
                <w:rtl/>
                <w:lang w:bidi="ar-EG"/>
              </w:rPr>
              <w:t xml:space="preserve"> </w:t>
            </w:r>
            <w:r w:rsidR="00CE0429" w:rsidRPr="00211D55">
              <w:rPr>
                <w:rFonts w:ascii="Arabic Typesetting" w:hAnsi="Arabic Typesetting" w:cs="Arabic Typesetting"/>
                <w:b/>
                <w:sz w:val="28"/>
                <w:szCs w:val="28"/>
                <w:rtl/>
                <w:lang w:bidi="ar-EG"/>
              </w:rPr>
              <w:t>التراكمي</w:t>
            </w:r>
          </w:p>
        </w:tc>
        <w:tc>
          <w:tcPr>
            <w:tcW w:w="2308" w:type="dxa"/>
            <w:tcMar>
              <w:top w:w="110" w:type="dxa"/>
            </w:tcMar>
          </w:tcPr>
          <w:p w:rsidR="008F54A9" w:rsidRPr="00211D55" w:rsidRDefault="00E82944" w:rsidP="00CE042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8</w:t>
            </w:r>
            <w:r w:rsidR="008F54A9" w:rsidRPr="00211D55">
              <w:rPr>
                <w:rFonts w:ascii="Arabic Typesetting" w:hAnsi="Arabic Typesetting" w:cs="Arabic Typesetting"/>
                <w:b/>
                <w:sz w:val="28"/>
                <w:szCs w:val="28"/>
                <w:rtl/>
                <w:lang w:bidi="ar-EG"/>
              </w:rPr>
              <w:t xml:space="preserve"> بلدان إضافية أودعت وثائق التصديق على معاهدة بيجين أو الانضمام إليها (</w:t>
            </w:r>
            <w:r w:rsidR="00676D5F" w:rsidRPr="00211D55">
              <w:rPr>
                <w:rFonts w:ascii="Arabic Typesetting" w:hAnsi="Arabic Typesetting" w:cs="Arabic Typesetting"/>
                <w:b/>
                <w:sz w:val="28"/>
                <w:szCs w:val="28"/>
                <w:rtl/>
                <w:lang w:bidi="ar-EG"/>
              </w:rPr>
              <w:t>شيلي والصين واليابان وقطر وجمهورية مولدوفا والاتحاد الروسي وسلوفاكيا والإمارات العربية المتحدة</w:t>
            </w:r>
            <w:r w:rsidR="008F54A9" w:rsidRPr="00211D55">
              <w:rPr>
                <w:rFonts w:ascii="Arabic Typesetting" w:hAnsi="Arabic Typesetting" w:cs="Arabic Typesetting"/>
                <w:b/>
                <w:sz w:val="28"/>
                <w:szCs w:val="28"/>
                <w:rtl/>
                <w:lang w:bidi="ar-EG"/>
              </w:rPr>
              <w:t>) (</w:t>
            </w:r>
            <w:r w:rsidRPr="00211D55">
              <w:rPr>
                <w:rFonts w:ascii="Arabic Typesetting" w:hAnsi="Arabic Typesetting" w:cs="Arabic Typesetting"/>
                <w:b/>
                <w:sz w:val="28"/>
                <w:szCs w:val="28"/>
                <w:rtl/>
                <w:lang w:bidi="ar-EG"/>
              </w:rPr>
              <w:t>10</w:t>
            </w:r>
            <w:r w:rsidR="00CE0429" w:rsidRPr="00211D55">
              <w:rPr>
                <w:rFonts w:ascii="Arabic Typesetting" w:hAnsi="Arabic Typesetting" w:cs="Arabic Typesetting"/>
                <w:b/>
                <w:sz w:val="28"/>
                <w:szCs w:val="28"/>
                <w:rtl/>
                <w:lang w:bidi="ar-EG"/>
              </w:rPr>
              <w:t> </w:t>
            </w:r>
            <w:r w:rsidR="008F54A9" w:rsidRPr="00211D55">
              <w:rPr>
                <w:rFonts w:ascii="Arabic Typesetting" w:hAnsi="Arabic Typesetting" w:cs="Arabic Typesetting"/>
                <w:b/>
                <w:sz w:val="28"/>
                <w:szCs w:val="28"/>
                <w:rtl/>
                <w:lang w:bidi="ar-EG"/>
              </w:rPr>
              <w:t>بلدان إجمالا)</w:t>
            </w:r>
          </w:p>
        </w:tc>
        <w:tc>
          <w:tcPr>
            <w:tcW w:w="994" w:type="dxa"/>
            <w:tcMar>
              <w:top w:w="110" w:type="dxa"/>
            </w:tcMar>
          </w:tcPr>
          <w:p w:rsidR="008F54A9" w:rsidRPr="00211D55" w:rsidRDefault="008F54A9" w:rsidP="00676D5F">
            <w:pPr>
              <w:keepNext/>
              <w:bidi/>
              <w:spacing w:before="60" w:after="60" w:line="280" w:lineRule="exact"/>
              <w:rPr>
                <w:rFonts w:ascii="Arabic Typesetting" w:hAnsi="Arabic Typesetting" w:cs="Arabic Typesetting"/>
                <w:b/>
                <w:bCs/>
                <w:color w:val="FF0000"/>
                <w:sz w:val="28"/>
                <w:szCs w:val="28"/>
                <w:rtl/>
                <w:lang w:bidi="ar-EG"/>
              </w:rPr>
            </w:pPr>
            <w:r w:rsidRPr="00211D55">
              <w:rPr>
                <w:rFonts w:ascii="Arabic Typesetting" w:hAnsi="Arabic Typesetting" w:cs="Arabic Typesetting"/>
                <w:b/>
                <w:bCs/>
                <w:color w:val="FF0000"/>
                <w:sz w:val="28"/>
                <w:szCs w:val="28"/>
                <w:rtl/>
                <w:lang w:bidi="ar-EG"/>
              </w:rPr>
              <w:t xml:space="preserve">غير </w:t>
            </w:r>
            <w:r w:rsidR="00676D5F" w:rsidRPr="00211D55">
              <w:rPr>
                <w:rFonts w:ascii="Arabic Typesetting" w:hAnsi="Arabic Typesetting" w:cs="Arabic Typesetting"/>
                <w:b/>
                <w:bCs/>
                <w:color w:val="FF0000"/>
                <w:sz w:val="28"/>
                <w:szCs w:val="28"/>
                <w:rtl/>
                <w:lang w:bidi="ar-EG"/>
              </w:rPr>
              <w:t>محقق</w:t>
            </w:r>
          </w:p>
        </w:tc>
      </w:tr>
      <w:tr w:rsidR="008F54A9" w:rsidRPr="00211D55" w:rsidTr="009E62B8">
        <w:trPr>
          <w:cantSplit/>
          <w:trHeight w:val="537"/>
        </w:trPr>
        <w:tc>
          <w:tcPr>
            <w:tcW w:w="2125" w:type="dxa"/>
            <w:tcMar>
              <w:top w:w="110" w:type="dxa"/>
            </w:tcMar>
          </w:tcPr>
          <w:p w:rsidR="008F54A9" w:rsidRPr="00211D55" w:rsidRDefault="008F54A9" w:rsidP="00CE0429">
            <w:pPr>
              <w:bidi/>
              <w:spacing w:before="60" w:after="60" w:line="280" w:lineRule="exact"/>
              <w:rPr>
                <w:rFonts w:ascii="Arabic Typesetting" w:hAnsi="Arabic Typesetting" w:cs="Arabic Typesetting"/>
                <w:b/>
                <w:spacing w:val="-18"/>
                <w:sz w:val="28"/>
                <w:szCs w:val="28"/>
                <w:rtl/>
                <w:lang w:bidi="ar-EG"/>
              </w:rPr>
            </w:pPr>
            <w:r w:rsidRPr="00211D55">
              <w:rPr>
                <w:rFonts w:ascii="Arabic Typesetting" w:hAnsi="Arabic Typesetting" w:cs="Arabic Typesetting"/>
                <w:b/>
                <w:sz w:val="28"/>
                <w:szCs w:val="28"/>
                <w:rtl/>
                <w:lang w:bidi="ar-EG"/>
              </w:rPr>
              <w:lastRenderedPageBreak/>
              <w:t xml:space="preserve">عدد البلدان التي قدمت تعليقات إيجابية على المشورة التشريعية </w:t>
            </w:r>
            <w:r w:rsidR="00CE0429" w:rsidRPr="00211D55">
              <w:rPr>
                <w:rFonts w:ascii="Arabic Typesetting" w:hAnsi="Arabic Typesetting" w:cs="Arabic Typesetting"/>
                <w:b/>
                <w:sz w:val="28"/>
                <w:szCs w:val="28"/>
                <w:rtl/>
                <w:lang w:bidi="ar-EG"/>
              </w:rPr>
              <w:t>التي تقدمها</w:t>
            </w:r>
            <w:r w:rsidRPr="00211D55">
              <w:rPr>
                <w:rFonts w:ascii="Arabic Typesetting" w:hAnsi="Arabic Typesetting" w:cs="Arabic Typesetting"/>
                <w:b/>
                <w:sz w:val="28"/>
                <w:szCs w:val="28"/>
                <w:rtl/>
                <w:lang w:bidi="ar-EG"/>
              </w:rPr>
              <w:t xml:space="preserve"> الويبو، والنسبة المئوية لهذه البلدان</w:t>
            </w:r>
          </w:p>
        </w:tc>
        <w:tc>
          <w:tcPr>
            <w:tcW w:w="2694" w:type="dxa"/>
            <w:gridSpan w:val="2"/>
            <w:tcBorders>
              <w:top w:val="single" w:sz="4" w:space="0" w:color="auto"/>
              <w:bottom w:val="nil"/>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لا توجد بيانات متاحة</w:t>
            </w:r>
          </w:p>
        </w:tc>
        <w:tc>
          <w:tcPr>
            <w:tcW w:w="1234" w:type="dxa"/>
          </w:tcPr>
          <w:p w:rsidR="008F54A9" w:rsidRPr="00211D55" w:rsidRDefault="008F54A9"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15 بلدا</w:t>
            </w:r>
          </w:p>
        </w:tc>
        <w:tc>
          <w:tcPr>
            <w:tcW w:w="2308" w:type="dxa"/>
            <w:tcMar>
              <w:top w:w="110" w:type="dxa"/>
            </w:tcMar>
          </w:tcPr>
          <w:p w:rsidR="008F54A9" w:rsidRPr="00211D55" w:rsidRDefault="008F54A9" w:rsidP="00FD7897">
            <w:pPr>
              <w:keepNext/>
              <w:bidi/>
              <w:spacing w:before="60" w:after="12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تلقى </w:t>
            </w:r>
            <w:r w:rsidR="00676D5F" w:rsidRPr="00211D55">
              <w:rPr>
                <w:rFonts w:ascii="Arabic Typesetting" w:hAnsi="Arabic Typesetting" w:cs="Arabic Typesetting"/>
                <w:b/>
                <w:sz w:val="28"/>
                <w:szCs w:val="28"/>
                <w:rtl/>
                <w:lang w:bidi="ar-EG"/>
              </w:rPr>
              <w:t>25</w:t>
            </w:r>
            <w:r w:rsidRPr="00211D55">
              <w:rPr>
                <w:rFonts w:ascii="Arabic Typesetting" w:hAnsi="Arabic Typesetting" w:cs="Arabic Typesetting"/>
                <w:b/>
                <w:sz w:val="28"/>
                <w:szCs w:val="28"/>
                <w:rtl/>
                <w:lang w:bidi="ar-EG"/>
              </w:rPr>
              <w:t xml:space="preserve"> بلدا المشورة التشريعية في عام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xml:space="preserve"> (أفريقيا </w:t>
            </w:r>
            <w:r w:rsidR="00676D5F" w:rsidRPr="00211D55">
              <w:rPr>
                <w:rFonts w:ascii="Arabic Typesetting" w:hAnsi="Arabic Typesetting" w:cs="Arabic Typesetting"/>
                <w:b/>
                <w:sz w:val="28"/>
                <w:szCs w:val="28"/>
                <w:rtl/>
                <w:lang w:bidi="ar-EG"/>
              </w:rPr>
              <w:t>9</w:t>
            </w:r>
            <w:r w:rsidRPr="00211D55">
              <w:rPr>
                <w:rFonts w:ascii="Arabic Typesetting" w:hAnsi="Arabic Typesetting" w:cs="Arabic Typesetting"/>
                <w:b/>
                <w:sz w:val="28"/>
                <w:szCs w:val="28"/>
                <w:rtl/>
                <w:lang w:bidi="ar-EG"/>
              </w:rPr>
              <w:t xml:space="preserve">؛ </w:t>
            </w:r>
            <w:r w:rsidR="00676D5F" w:rsidRPr="00211D55">
              <w:rPr>
                <w:rFonts w:ascii="Arabic Typesetting" w:hAnsi="Arabic Typesetting" w:cs="Arabic Typesetting"/>
                <w:b/>
                <w:sz w:val="28"/>
                <w:szCs w:val="28"/>
                <w:rtl/>
                <w:lang w:bidi="ar-EG"/>
              </w:rPr>
              <w:t xml:space="preserve">البلدان العربية 3؛ </w:t>
            </w:r>
            <w:r w:rsidRPr="00211D55">
              <w:rPr>
                <w:rFonts w:ascii="Arabic Typesetting" w:hAnsi="Arabic Typesetting" w:cs="Arabic Typesetting"/>
                <w:b/>
                <w:sz w:val="28"/>
                <w:szCs w:val="28"/>
                <w:rtl/>
                <w:lang w:bidi="ar-EG"/>
              </w:rPr>
              <w:t xml:space="preserve">آسيا والمحيط الهادئ </w:t>
            </w:r>
            <w:r w:rsidR="00676D5F" w:rsidRPr="00211D55">
              <w:rPr>
                <w:rFonts w:ascii="Arabic Typesetting" w:hAnsi="Arabic Typesetting" w:cs="Arabic Typesetting"/>
                <w:b/>
                <w:sz w:val="28"/>
                <w:szCs w:val="28"/>
                <w:rtl/>
                <w:lang w:bidi="ar-EG"/>
              </w:rPr>
              <w:t>5</w:t>
            </w:r>
            <w:r w:rsidRPr="00211D55">
              <w:rPr>
                <w:rFonts w:ascii="Arabic Typesetting" w:hAnsi="Arabic Typesetting" w:cs="Arabic Typesetting"/>
                <w:b/>
                <w:sz w:val="28"/>
                <w:szCs w:val="28"/>
                <w:rtl/>
                <w:lang w:bidi="ar-EG"/>
              </w:rPr>
              <w:t xml:space="preserve">؛ أمريكا اللاتينية والكاريبي </w:t>
            </w:r>
            <w:r w:rsidR="00676D5F" w:rsidRPr="00211D55">
              <w:rPr>
                <w:rFonts w:ascii="Arabic Typesetting" w:hAnsi="Arabic Typesetting" w:cs="Arabic Typesetting"/>
                <w:b/>
                <w:sz w:val="28"/>
                <w:szCs w:val="28"/>
                <w:rtl/>
                <w:lang w:bidi="ar-EG"/>
              </w:rPr>
              <w:t xml:space="preserve">6؛ </w:t>
            </w:r>
            <w:r w:rsidRPr="00211D55">
              <w:rPr>
                <w:rFonts w:ascii="Arabic Typesetting" w:hAnsi="Arabic Typesetting" w:cs="Arabic Typesetting"/>
                <w:b/>
                <w:sz w:val="28"/>
                <w:szCs w:val="28"/>
                <w:rtl/>
                <w:lang w:bidi="ar-EG"/>
              </w:rPr>
              <w:t>بلدان أخرى 2).</w:t>
            </w:r>
          </w:p>
          <w:p w:rsidR="00CE0429" w:rsidRPr="00211D55" w:rsidRDefault="00CE0429" w:rsidP="00CE0429">
            <w:pPr>
              <w:keepNext/>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100% من الردود الصالحة على الاستقصاء كانت تعليقات إيجابية (درجة 5 أو 6 من بين 1-6) على المشورة التشريعية التي تقدمها الويبو في مجال حق المؤلف</w:t>
            </w:r>
          </w:p>
        </w:tc>
        <w:tc>
          <w:tcPr>
            <w:tcW w:w="994" w:type="dxa"/>
            <w:tcMar>
              <w:top w:w="110" w:type="dxa"/>
            </w:tcMar>
          </w:tcPr>
          <w:p w:rsidR="008F54A9" w:rsidRPr="00211D55" w:rsidRDefault="00676D5F" w:rsidP="00766374">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8F54A9" w:rsidRPr="00211D55" w:rsidTr="009E62B8">
        <w:trPr>
          <w:cantSplit/>
          <w:trHeight w:val="537"/>
        </w:trPr>
        <w:tc>
          <w:tcPr>
            <w:tcW w:w="2125" w:type="dxa"/>
            <w:tcBorders>
              <w:bottom w:val="nil"/>
            </w:tcBorders>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عدد حالات التصديق على معاهدات الويبو الخاصة بالإنترنت</w:t>
            </w:r>
          </w:p>
        </w:tc>
        <w:tc>
          <w:tcPr>
            <w:tcW w:w="2694" w:type="dxa"/>
            <w:gridSpan w:val="2"/>
            <w:tcBorders>
              <w:top w:val="nil"/>
              <w:bottom w:val="nil"/>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184</w:t>
            </w:r>
          </w:p>
          <w:p w:rsidR="008F54A9" w:rsidRPr="00211D55" w:rsidRDefault="008F54A9" w:rsidP="00CE042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181 (نهاية 2012)</w:t>
            </w:r>
          </w:p>
        </w:tc>
        <w:tc>
          <w:tcPr>
            <w:tcW w:w="1234" w:type="dxa"/>
            <w:tcBorders>
              <w:bottom w:val="nil"/>
            </w:tcBorders>
          </w:tcPr>
          <w:p w:rsidR="008F54A9" w:rsidRPr="00211D55" w:rsidRDefault="008F54A9"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190</w:t>
            </w:r>
            <w:r w:rsidR="00CE0429" w:rsidRPr="00211D55">
              <w:rPr>
                <w:rFonts w:ascii="Arabic Typesetting" w:hAnsi="Arabic Typesetting" w:cs="Arabic Typesetting"/>
                <w:b/>
                <w:sz w:val="28"/>
                <w:szCs w:val="28"/>
                <w:rtl/>
                <w:lang w:bidi="ar-EG"/>
              </w:rPr>
              <w:t xml:space="preserve"> التراكمي</w:t>
            </w:r>
          </w:p>
        </w:tc>
        <w:tc>
          <w:tcPr>
            <w:tcW w:w="2308" w:type="dxa"/>
            <w:tcBorders>
              <w:bottom w:val="nil"/>
            </w:tcBorders>
            <w:tcMar>
              <w:top w:w="110" w:type="dxa"/>
            </w:tcMar>
          </w:tcPr>
          <w:p w:rsidR="008F54A9" w:rsidRPr="00211D55" w:rsidRDefault="008F54A9" w:rsidP="00CE042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أودعت أربع وثائق للتصديق أو الانضمام في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xml:space="preserve">، ليصبح العدد الإجمالي </w:t>
            </w:r>
            <w:r w:rsidR="00CE0429" w:rsidRPr="00211D55">
              <w:rPr>
                <w:rFonts w:ascii="Arabic Typesetting" w:hAnsi="Arabic Typesetting" w:cs="Arabic Typesetting"/>
                <w:b/>
                <w:sz w:val="28"/>
                <w:szCs w:val="28"/>
                <w:rtl/>
                <w:lang w:bidi="ar-EG"/>
              </w:rPr>
              <w:t>188</w:t>
            </w:r>
            <w:r w:rsidRPr="00211D55">
              <w:rPr>
                <w:rFonts w:ascii="Arabic Typesetting" w:hAnsi="Arabic Typesetting" w:cs="Arabic Typesetting"/>
                <w:b/>
                <w:sz w:val="28"/>
                <w:szCs w:val="28"/>
                <w:rtl/>
                <w:lang w:bidi="ar-EG"/>
              </w:rPr>
              <w:t>:</w:t>
            </w:r>
          </w:p>
          <w:p w:rsidR="008F54A9" w:rsidRPr="00211D55" w:rsidRDefault="008F54A9" w:rsidP="009A3712">
            <w:pPr>
              <w:numPr>
                <w:ilvl w:val="0"/>
                <w:numId w:val="2"/>
              </w:numPr>
              <w:bidi/>
              <w:spacing w:before="60" w:after="60" w:line="280" w:lineRule="exact"/>
              <w:ind w:left="284" w:hanging="284"/>
              <w:contextualSpacing/>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معاهدة الويبو لحق المؤلف (كندا</w:t>
            </w:r>
            <w:r w:rsidR="00157A6A">
              <w:rPr>
                <w:rFonts w:ascii="Arabic Typesetting" w:hAnsi="Arabic Typesetting" w:cs="Arabic Typesetting" w:hint="cs"/>
                <w:b/>
                <w:sz w:val="28"/>
                <w:szCs w:val="28"/>
                <w:rtl/>
                <w:lang w:bidi="ar-EG"/>
              </w:rPr>
              <w:t xml:space="preserve"> و</w:t>
            </w:r>
            <w:r w:rsidRPr="00211D55">
              <w:rPr>
                <w:rFonts w:ascii="Arabic Typesetting" w:hAnsi="Arabic Typesetting" w:cs="Arabic Typesetting"/>
                <w:b/>
                <w:sz w:val="28"/>
                <w:szCs w:val="28"/>
                <w:rtl/>
                <w:lang w:bidi="ar-EG"/>
              </w:rPr>
              <w:t>مدغشقر)</w:t>
            </w:r>
          </w:p>
          <w:p w:rsidR="008F54A9" w:rsidRPr="00211D55" w:rsidRDefault="008F54A9" w:rsidP="009A3712">
            <w:pPr>
              <w:numPr>
                <w:ilvl w:val="0"/>
                <w:numId w:val="2"/>
              </w:numPr>
              <w:bidi/>
              <w:spacing w:before="60" w:after="60" w:line="280" w:lineRule="exact"/>
              <w:ind w:left="284" w:hanging="284"/>
              <w:contextualSpacing/>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معاهدة الويبو بشأن الأداء والتسجيل الصوتي (كندا</w:t>
            </w:r>
            <w:r w:rsidR="00157A6A">
              <w:rPr>
                <w:rFonts w:ascii="Arabic Typesetting" w:hAnsi="Arabic Typesetting" w:cs="Arabic Typesetting" w:hint="cs"/>
                <w:b/>
                <w:sz w:val="28"/>
                <w:szCs w:val="28"/>
                <w:rtl/>
                <w:lang w:bidi="ar-EG"/>
              </w:rPr>
              <w:t xml:space="preserve"> و</w:t>
            </w:r>
            <w:r w:rsidRPr="00211D55">
              <w:rPr>
                <w:rFonts w:ascii="Arabic Typesetting" w:hAnsi="Arabic Typesetting" w:cs="Arabic Typesetting"/>
                <w:b/>
                <w:sz w:val="28"/>
                <w:szCs w:val="28"/>
                <w:rtl/>
                <w:lang w:bidi="ar-EG"/>
              </w:rPr>
              <w:t>مدغشقر)</w:t>
            </w:r>
          </w:p>
        </w:tc>
        <w:tc>
          <w:tcPr>
            <w:tcW w:w="994" w:type="dxa"/>
            <w:tcBorders>
              <w:bottom w:val="nil"/>
            </w:tcBorders>
            <w:tcMar>
              <w:top w:w="110" w:type="dxa"/>
            </w:tcMar>
          </w:tcPr>
          <w:p w:rsidR="008F54A9" w:rsidRPr="00211D55" w:rsidRDefault="00676D5F" w:rsidP="00766374">
            <w:pPr>
              <w:bidi/>
              <w:spacing w:before="60" w:after="60" w:line="280" w:lineRule="exact"/>
              <w:rPr>
                <w:rFonts w:ascii="Arabic Typesetting" w:hAnsi="Arabic Typesetting" w:cs="Arabic Typesetting"/>
                <w:b/>
                <w:bCs/>
                <w:color w:val="00B050"/>
                <w:sz w:val="28"/>
                <w:szCs w:val="28"/>
                <w:lang w:bidi="ar-EG"/>
              </w:rPr>
            </w:pPr>
            <w:r w:rsidRPr="00211D55">
              <w:rPr>
                <w:rFonts w:ascii="Arabic Typesetting" w:hAnsi="Arabic Typesetting" w:cs="Arabic Typesetting"/>
                <w:b/>
                <w:bCs/>
                <w:color w:val="00B050"/>
                <w:sz w:val="28"/>
                <w:szCs w:val="28"/>
                <w:rtl/>
                <w:lang w:bidi="ar-EG"/>
              </w:rPr>
              <w:t>محقق كلياً</w:t>
            </w:r>
          </w:p>
        </w:tc>
      </w:tr>
      <w:tr w:rsidR="008F54A9" w:rsidRPr="00211D55" w:rsidTr="005460B4">
        <w:trPr>
          <w:cantSplit/>
          <w:trHeight w:val="537"/>
        </w:trPr>
        <w:tc>
          <w:tcPr>
            <w:tcW w:w="2125" w:type="dxa"/>
            <w:tcBorders>
              <w:top w:val="nil"/>
              <w:bottom w:val="single" w:sz="4" w:space="0" w:color="auto"/>
            </w:tcBorders>
            <w:tcMar>
              <w:top w:w="110" w:type="dxa"/>
            </w:tcMar>
          </w:tcPr>
          <w:p w:rsidR="008F54A9" w:rsidRPr="00211D55" w:rsidRDefault="008F54A9" w:rsidP="00CE042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عدد البلدان التي صدقت على معاهدة مراكش بشأن الأشخاص معاقي البصر</w:t>
            </w:r>
          </w:p>
        </w:tc>
        <w:tc>
          <w:tcPr>
            <w:tcW w:w="2694" w:type="dxa"/>
            <w:gridSpan w:val="2"/>
            <w:tcBorders>
              <w:top w:val="nil"/>
              <w:bottom w:val="single" w:sz="4" w:space="0" w:color="auto"/>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لا يوجد</w:t>
            </w:r>
          </w:p>
        </w:tc>
        <w:tc>
          <w:tcPr>
            <w:tcW w:w="1234" w:type="dxa"/>
            <w:tcBorders>
              <w:top w:val="nil"/>
              <w:bottom w:val="single" w:sz="4" w:space="0" w:color="auto"/>
            </w:tcBorders>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20 بلدا</w:t>
            </w:r>
            <w:r w:rsidR="00CE0429" w:rsidRPr="00211D55">
              <w:rPr>
                <w:rFonts w:ascii="Arabic Typesetting" w:hAnsi="Arabic Typesetting" w:cs="Arabic Typesetting"/>
                <w:b/>
                <w:sz w:val="28"/>
                <w:szCs w:val="28"/>
                <w:rtl/>
                <w:lang w:bidi="ar-EG"/>
              </w:rPr>
              <w:t xml:space="preserve"> التراكمي</w:t>
            </w:r>
          </w:p>
        </w:tc>
        <w:tc>
          <w:tcPr>
            <w:tcW w:w="2308" w:type="dxa"/>
            <w:tcBorders>
              <w:top w:val="nil"/>
              <w:bottom w:val="single" w:sz="4" w:space="0" w:color="auto"/>
            </w:tcBorders>
            <w:tcMar>
              <w:top w:w="110" w:type="dxa"/>
            </w:tcMar>
          </w:tcPr>
          <w:p w:rsidR="008F54A9" w:rsidRPr="00211D55" w:rsidRDefault="008F54A9" w:rsidP="00CE042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أودعت </w:t>
            </w:r>
            <w:r w:rsidR="00CE0429" w:rsidRPr="00211D55">
              <w:rPr>
                <w:rFonts w:ascii="Arabic Typesetting" w:hAnsi="Arabic Typesetting" w:cs="Arabic Typesetting"/>
                <w:b/>
                <w:sz w:val="28"/>
                <w:szCs w:val="28"/>
                <w:rtl/>
                <w:lang w:bidi="ar-EG"/>
              </w:rPr>
              <w:t>13 وثي</w:t>
            </w:r>
            <w:r w:rsidRPr="00211D55">
              <w:rPr>
                <w:rFonts w:ascii="Arabic Typesetting" w:hAnsi="Arabic Typesetting" w:cs="Arabic Typesetting"/>
                <w:b/>
                <w:sz w:val="28"/>
                <w:szCs w:val="28"/>
                <w:rtl/>
                <w:lang w:bidi="ar-EG"/>
              </w:rPr>
              <w:t>ق</w:t>
            </w:r>
            <w:r w:rsidR="00CE0429" w:rsidRPr="00211D55">
              <w:rPr>
                <w:rFonts w:ascii="Arabic Typesetting" w:hAnsi="Arabic Typesetting" w:cs="Arabic Typesetting"/>
                <w:b/>
                <w:sz w:val="28"/>
                <w:szCs w:val="28"/>
                <w:rtl/>
                <w:lang w:bidi="ar-EG"/>
              </w:rPr>
              <w:t>ة</w:t>
            </w:r>
            <w:r w:rsidRPr="00211D55">
              <w:rPr>
                <w:rFonts w:ascii="Arabic Typesetting" w:hAnsi="Arabic Typesetting" w:cs="Arabic Typesetting"/>
                <w:b/>
                <w:sz w:val="28"/>
                <w:szCs w:val="28"/>
                <w:rtl/>
                <w:lang w:bidi="ar-EG"/>
              </w:rPr>
              <w:t xml:space="preserve"> للتصديق أو الانضمام في </w:t>
            </w:r>
            <w:r w:rsidR="00507DE2">
              <w:rPr>
                <w:rFonts w:ascii="Arabic Typesetting" w:hAnsi="Arabic Typesetting" w:cs="Arabic Typesetting"/>
                <w:b/>
                <w:sz w:val="28"/>
                <w:szCs w:val="28"/>
                <w:rtl/>
                <w:lang w:bidi="ar-EG"/>
              </w:rPr>
              <w:t>2014/15</w:t>
            </w:r>
            <w:r w:rsidR="00CE0429" w:rsidRPr="00211D55">
              <w:rPr>
                <w:rFonts w:ascii="Arabic Typesetting" w:hAnsi="Arabic Typesetting" w:cs="Arabic Typesetting"/>
                <w:b/>
                <w:sz w:val="28"/>
                <w:szCs w:val="28"/>
                <w:rtl/>
                <w:lang w:bidi="ar-EG"/>
              </w:rPr>
              <w:t xml:space="preserve"> </w:t>
            </w:r>
            <w:r w:rsidRPr="00211D55">
              <w:rPr>
                <w:rFonts w:ascii="Arabic Typesetting" w:hAnsi="Arabic Typesetting" w:cs="Arabic Typesetting"/>
                <w:b/>
                <w:sz w:val="28"/>
                <w:szCs w:val="28"/>
                <w:rtl/>
                <w:lang w:bidi="ar-EG"/>
              </w:rPr>
              <w:t>(</w:t>
            </w:r>
            <w:r w:rsidR="00CE0429" w:rsidRPr="00211D55">
              <w:rPr>
                <w:rFonts w:ascii="Arabic Typesetting" w:hAnsi="Arabic Typesetting" w:cs="Arabic Typesetting"/>
                <w:b/>
                <w:sz w:val="28"/>
                <w:szCs w:val="28"/>
                <w:rtl/>
                <w:lang w:bidi="ar-EG"/>
              </w:rPr>
              <w:t>الأرجنتين وأستراليا والبرازيل والسلفادور والهند ومالي والمكسيك ومنغوليا وباراغواي وجمهورية كوريا وسنغافورة والإمارات العربية المتحدة وأوروغواي</w:t>
            </w:r>
            <w:r w:rsidRPr="00211D55">
              <w:rPr>
                <w:rFonts w:ascii="Arabic Typesetting" w:hAnsi="Arabic Typesetting" w:cs="Arabic Typesetting"/>
                <w:b/>
                <w:sz w:val="28"/>
                <w:szCs w:val="28"/>
                <w:rtl/>
                <w:lang w:bidi="ar-EG"/>
              </w:rPr>
              <w:t>)</w:t>
            </w:r>
          </w:p>
        </w:tc>
        <w:tc>
          <w:tcPr>
            <w:tcW w:w="994" w:type="dxa"/>
            <w:tcBorders>
              <w:top w:val="nil"/>
              <w:bottom w:val="single" w:sz="4" w:space="0" w:color="auto"/>
            </w:tcBorders>
            <w:tcMar>
              <w:top w:w="110" w:type="dxa"/>
            </w:tcMar>
          </w:tcPr>
          <w:p w:rsidR="00CE0429" w:rsidRPr="00211D55" w:rsidRDefault="00CE0429" w:rsidP="007A7336">
            <w:pPr>
              <w:bidi/>
              <w:spacing w:line="280" w:lineRule="exact"/>
              <w:rPr>
                <w:rFonts w:ascii="Arabic Typesetting" w:hAnsi="Arabic Typesetting" w:cs="Arabic Typesetting"/>
                <w:b/>
                <w:bCs/>
                <w:color w:val="D56509"/>
                <w:sz w:val="28"/>
                <w:szCs w:val="28"/>
                <w:rtl/>
              </w:rPr>
            </w:pPr>
            <w:r w:rsidRPr="00211D55">
              <w:rPr>
                <w:rFonts w:ascii="Arabic Typesetting" w:hAnsi="Arabic Typesetting" w:cs="Arabic Typesetting"/>
                <w:b/>
                <w:bCs/>
                <w:color w:val="D56509"/>
                <w:sz w:val="28"/>
                <w:szCs w:val="28"/>
                <w:rtl/>
              </w:rPr>
              <w:t>محقق جزئياً</w:t>
            </w:r>
          </w:p>
        </w:tc>
      </w:tr>
      <w:tr w:rsidR="008F54A9" w:rsidRPr="00211D55" w:rsidTr="00157A6A">
        <w:trPr>
          <w:cantSplit/>
          <w:trHeight w:val="537"/>
        </w:trPr>
        <w:tc>
          <w:tcPr>
            <w:tcW w:w="9355" w:type="dxa"/>
            <w:gridSpan w:val="6"/>
            <w:tcBorders>
              <w:top w:val="single" w:sz="4" w:space="0" w:color="auto"/>
              <w:bottom w:val="single" w:sz="4" w:space="0" w:color="auto"/>
            </w:tcBorders>
            <w:shd w:val="clear" w:color="auto" w:fill="C6D9F1" w:themeFill="text2" w:themeFillTint="33"/>
            <w:tcMar>
              <w:top w:w="110" w:type="dxa"/>
            </w:tcMar>
            <w:vAlign w:val="center"/>
          </w:tcPr>
          <w:p w:rsidR="008F54A9" w:rsidRPr="00211D55" w:rsidRDefault="008F54A9" w:rsidP="009E62B8">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 xml:space="preserve">النتيجة </w:t>
            </w:r>
            <w:r w:rsidRPr="00211D55">
              <w:rPr>
                <w:rFonts w:ascii="Arabic Typesetting" w:hAnsi="Arabic Typesetting" w:cs="Arabic Typesetting"/>
                <w:bCs/>
                <w:sz w:val="28"/>
                <w:szCs w:val="28"/>
                <w:shd w:val="clear" w:color="auto" w:fill="C6D9F1" w:themeFill="text2" w:themeFillTint="33"/>
                <w:rtl/>
                <w:lang w:bidi="ar-EG"/>
              </w:rPr>
              <w:t xml:space="preserve">المرتقبة: </w:t>
            </w:r>
            <w:r w:rsidRPr="00211D55">
              <w:rPr>
                <w:rFonts w:ascii="Arabic Typesetting" w:hAnsi="Arabic Typesetting" w:cs="Arabic Typesetting"/>
                <w:b/>
                <w:sz w:val="28"/>
                <w:szCs w:val="28"/>
                <w:shd w:val="clear" w:color="auto" w:fill="C6D9F1" w:themeFill="text2" w:themeFillTint="33"/>
                <w:rtl/>
                <w:lang w:bidi="ar-EG"/>
              </w:rPr>
              <w:tab/>
            </w:r>
            <w:r w:rsidRPr="00211D55">
              <w:rPr>
                <w:rFonts w:ascii="Arabic Typesetting" w:hAnsi="Arabic Typesetting" w:cs="Arabic Typesetting"/>
                <w:sz w:val="28"/>
                <w:szCs w:val="28"/>
                <w:shd w:val="clear" w:color="auto" w:fill="C6D9F1" w:themeFill="text2" w:themeFillTint="33"/>
                <w:rtl/>
                <w:lang w:bidi="ar-EG"/>
              </w:rPr>
              <w:t xml:space="preserve">ه2.3 </w:t>
            </w:r>
            <w:r w:rsidR="000432CA">
              <w:rPr>
                <w:rFonts w:ascii="Arabic Typesetting" w:hAnsi="Arabic Typesetting" w:cs="Arabic Typesetting"/>
                <w:b/>
                <w:sz w:val="28"/>
                <w:szCs w:val="28"/>
                <w:shd w:val="clear" w:color="auto" w:fill="C6D9F1" w:themeFill="text2" w:themeFillTint="33"/>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8F54A9" w:rsidRPr="00211D55" w:rsidTr="00815916">
        <w:trPr>
          <w:cantSplit/>
          <w:trHeight w:val="148"/>
        </w:trPr>
        <w:tc>
          <w:tcPr>
            <w:tcW w:w="2125" w:type="dxa"/>
            <w:tcBorders>
              <w:top w:val="single" w:sz="4" w:space="0" w:color="auto"/>
              <w:bottom w:val="nil"/>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مؤشرات الأداء</w:t>
            </w:r>
          </w:p>
        </w:tc>
        <w:tc>
          <w:tcPr>
            <w:tcW w:w="2694" w:type="dxa"/>
            <w:gridSpan w:val="2"/>
            <w:tcBorders>
              <w:top w:val="single" w:sz="4" w:space="0" w:color="auto"/>
              <w:bottom w:val="nil"/>
            </w:tcBorders>
            <w:shd w:val="clear" w:color="auto" w:fill="auto"/>
            <w:tcMar>
              <w:top w:w="110" w:type="dxa"/>
            </w:tcMar>
            <w:vAlign w:val="center"/>
          </w:tcPr>
          <w:p w:rsidR="008F54A9" w:rsidRPr="00211D55" w:rsidRDefault="008F54A9" w:rsidP="008F54A9">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Cs/>
                <w:sz w:val="28"/>
                <w:szCs w:val="28"/>
                <w:rtl/>
                <w:lang w:bidi="ar-EG"/>
              </w:rPr>
              <w:t>أسس المقارنة</w:t>
            </w:r>
          </w:p>
        </w:tc>
        <w:tc>
          <w:tcPr>
            <w:tcW w:w="1234" w:type="dxa"/>
            <w:tcBorders>
              <w:top w:val="single" w:sz="4" w:space="0" w:color="auto"/>
              <w:bottom w:val="nil"/>
            </w:tcBorders>
            <w:vAlign w:val="cente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الأهداف</w:t>
            </w:r>
          </w:p>
        </w:tc>
        <w:tc>
          <w:tcPr>
            <w:tcW w:w="2308" w:type="dxa"/>
            <w:tcBorders>
              <w:top w:val="single" w:sz="4" w:space="0" w:color="auto"/>
              <w:bottom w:val="nil"/>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994" w:type="dxa"/>
            <w:tcBorders>
              <w:top w:val="single" w:sz="4" w:space="0" w:color="auto"/>
              <w:bottom w:val="nil"/>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Cs/>
                <w:sz w:val="28"/>
                <w:szCs w:val="28"/>
                <w:rtl/>
                <w:lang w:bidi="ar-EG"/>
              </w:rPr>
              <w:t>السير</w:t>
            </w:r>
          </w:p>
        </w:tc>
      </w:tr>
      <w:tr w:rsidR="008F54A9" w:rsidRPr="00211D55" w:rsidTr="00815916">
        <w:trPr>
          <w:cantSplit/>
          <w:trHeight w:val="148"/>
        </w:trPr>
        <w:tc>
          <w:tcPr>
            <w:tcW w:w="2125" w:type="dxa"/>
            <w:tcBorders>
              <w:top w:val="nil"/>
              <w:bottom w:val="nil"/>
            </w:tcBorders>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عدد الحكومات ومنظمات الإدارة الجماعية الموقعة لاتفاق مع الويبو لوضع معيار جديد للشفافية والمساءلة وضمان جودة الحوكمة</w:t>
            </w:r>
          </w:p>
        </w:tc>
        <w:tc>
          <w:tcPr>
            <w:tcW w:w="2694" w:type="dxa"/>
            <w:gridSpan w:val="2"/>
            <w:tcBorders>
              <w:top w:val="nil"/>
              <w:bottom w:val="nil"/>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غير متاحة</w:t>
            </w:r>
          </w:p>
        </w:tc>
        <w:tc>
          <w:tcPr>
            <w:tcW w:w="1234" w:type="dxa"/>
            <w:tcBorders>
              <w:top w:val="nil"/>
              <w:bottom w:val="nil"/>
            </w:tcBorders>
          </w:tcPr>
          <w:p w:rsidR="008F54A9" w:rsidRPr="00211D55" w:rsidRDefault="008F54A9" w:rsidP="008F54A9">
            <w:pPr>
              <w:bidi/>
              <w:spacing w:before="60" w:after="6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lang w:bidi="ar-EG"/>
              </w:rPr>
              <w:t>أربع حكومات وست منظمات للإدارة الجماعية</w:t>
            </w:r>
          </w:p>
        </w:tc>
        <w:tc>
          <w:tcPr>
            <w:tcW w:w="2308" w:type="dxa"/>
            <w:tcBorders>
              <w:top w:val="nil"/>
              <w:bottom w:val="nil"/>
            </w:tcBorders>
            <w:tcMar>
              <w:top w:w="110" w:type="dxa"/>
            </w:tcMar>
          </w:tcPr>
          <w:p w:rsidR="008F54A9" w:rsidRPr="00211D55" w:rsidRDefault="008F54A9" w:rsidP="00CE042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 xml:space="preserve">وقّعت </w:t>
            </w:r>
            <w:r w:rsidR="00CE0429" w:rsidRPr="00211D55">
              <w:rPr>
                <w:rFonts w:ascii="Arabic Typesetting" w:hAnsi="Arabic Typesetting" w:cs="Arabic Typesetting"/>
                <w:b/>
                <w:sz w:val="28"/>
                <w:szCs w:val="28"/>
                <w:rtl/>
                <w:lang w:bidi="ar-EG"/>
              </w:rPr>
              <w:t>14</w:t>
            </w:r>
            <w:r w:rsidRPr="00211D55">
              <w:rPr>
                <w:rFonts w:ascii="Arabic Typesetting" w:hAnsi="Arabic Typesetting" w:cs="Arabic Typesetting"/>
                <w:b/>
                <w:sz w:val="28"/>
                <w:szCs w:val="28"/>
                <w:rtl/>
                <w:lang w:bidi="ar-EG"/>
              </w:rPr>
              <w:t xml:space="preserve"> </w:t>
            </w:r>
            <w:r w:rsidR="00CE0429" w:rsidRPr="00211D55">
              <w:rPr>
                <w:rFonts w:ascii="Arabic Typesetting" w:hAnsi="Arabic Typesetting" w:cs="Arabic Typesetting"/>
                <w:b/>
                <w:sz w:val="28"/>
                <w:szCs w:val="28"/>
                <w:rtl/>
                <w:lang w:bidi="ar-EG"/>
              </w:rPr>
              <w:t>حكومة</w:t>
            </w:r>
            <w:r w:rsidRPr="00211D55">
              <w:rPr>
                <w:rFonts w:ascii="Arabic Typesetting" w:hAnsi="Arabic Typesetting" w:cs="Arabic Typesetting"/>
                <w:b/>
                <w:sz w:val="28"/>
                <w:szCs w:val="28"/>
                <w:rtl/>
                <w:lang w:bidi="ar-EG"/>
              </w:rPr>
              <w:t xml:space="preserve"> (</w:t>
            </w:r>
            <w:r w:rsidR="00CE0429" w:rsidRPr="00211D55">
              <w:rPr>
                <w:rFonts w:ascii="Arabic Typesetting" w:hAnsi="Arabic Typesetting" w:cs="Arabic Typesetting"/>
                <w:b/>
                <w:sz w:val="28"/>
                <w:szCs w:val="28"/>
                <w:rtl/>
                <w:lang w:bidi="ar-EG"/>
              </w:rPr>
              <w:t>بنغلاديش وكامبوديا وغامبيا وإندونيسيا والأردن وليبيريا وماليزيا وموريشيوس وناميبيا ونيبال ونيجيريا والفلبين وسري </w:t>
            </w:r>
            <w:proofErr w:type="spellStart"/>
            <w:r w:rsidR="00CE0429" w:rsidRPr="00211D55">
              <w:rPr>
                <w:rFonts w:ascii="Arabic Typesetting" w:hAnsi="Arabic Typesetting" w:cs="Arabic Typesetting"/>
                <w:b/>
                <w:sz w:val="28"/>
                <w:szCs w:val="28"/>
                <w:rtl/>
                <w:lang w:bidi="ar-EG"/>
              </w:rPr>
              <w:t>لانكا</w:t>
            </w:r>
            <w:proofErr w:type="spellEnd"/>
            <w:r w:rsidR="00CE0429" w:rsidRPr="00211D55">
              <w:rPr>
                <w:rFonts w:ascii="Arabic Typesetting" w:hAnsi="Arabic Typesetting" w:cs="Arabic Typesetting"/>
                <w:b/>
                <w:sz w:val="28"/>
                <w:szCs w:val="28"/>
                <w:rtl/>
                <w:lang w:bidi="ar-EG"/>
              </w:rPr>
              <w:t xml:space="preserve"> وترينيداد وتوباغو)</w:t>
            </w:r>
            <w:r w:rsidR="00CE0429" w:rsidRPr="00F96634">
              <w:rPr>
                <w:rFonts w:ascii="Arabic Typesetting" w:hAnsi="Arabic Typesetting" w:cs="Arabic Typesetting"/>
                <w:b/>
                <w:sz w:val="28"/>
                <w:szCs w:val="28"/>
                <w:vertAlign w:val="superscript"/>
                <w:rtl/>
                <w:lang w:bidi="ar-EG"/>
              </w:rPr>
              <w:footnoteReference w:id="14"/>
            </w:r>
            <w:r w:rsidRPr="00211D55">
              <w:rPr>
                <w:rFonts w:ascii="Arabic Typesetting" w:hAnsi="Arabic Typesetting" w:cs="Arabic Typesetting"/>
                <w:b/>
                <w:sz w:val="28"/>
                <w:szCs w:val="28"/>
                <w:rtl/>
                <w:lang w:bidi="ar-EG"/>
              </w:rPr>
              <w:t xml:space="preserve"> و</w:t>
            </w:r>
            <w:r w:rsidR="00CE0429" w:rsidRPr="00211D55">
              <w:rPr>
                <w:rFonts w:ascii="Arabic Typesetting" w:hAnsi="Arabic Typesetting" w:cs="Arabic Typesetting"/>
                <w:b/>
                <w:sz w:val="28"/>
                <w:szCs w:val="28"/>
                <w:rtl/>
                <w:lang w:bidi="ar-EG"/>
              </w:rPr>
              <w:t>63</w:t>
            </w:r>
            <w:r w:rsidRPr="00211D55">
              <w:rPr>
                <w:rFonts w:ascii="Arabic Typesetting" w:hAnsi="Arabic Typesetting" w:cs="Arabic Typesetting"/>
                <w:b/>
                <w:sz w:val="28"/>
                <w:szCs w:val="28"/>
                <w:rtl/>
                <w:lang w:bidi="ar-EG"/>
              </w:rPr>
              <w:t xml:space="preserve"> من منظمات الإدارة الجماعية مذكرات التعبير عن الاهتمام ب</w:t>
            </w:r>
            <w:r w:rsidR="00CE0429" w:rsidRPr="00211D55">
              <w:rPr>
                <w:rFonts w:ascii="Arabic Typesetting" w:hAnsi="Arabic Typesetting" w:cs="Arabic Typesetting"/>
                <w:b/>
                <w:sz w:val="28"/>
                <w:szCs w:val="28"/>
                <w:rtl/>
                <w:lang w:bidi="ar-EG"/>
              </w:rPr>
              <w:t>مبادرة</w:t>
            </w:r>
            <w:r w:rsidRPr="00211D55">
              <w:rPr>
                <w:rFonts w:ascii="Arabic Typesetting" w:hAnsi="Arabic Typesetting" w:cs="Arabic Typesetting"/>
                <w:b/>
                <w:sz w:val="28"/>
                <w:szCs w:val="28"/>
                <w:rtl/>
              </w:rPr>
              <w:t xml:space="preserve"> </w:t>
            </w:r>
            <w:r w:rsidRPr="00211D55">
              <w:rPr>
                <w:rFonts w:ascii="Arabic Typesetting" w:hAnsi="Arabic Typesetting" w:cs="Arabic Typesetting"/>
                <w:bCs/>
                <w:sz w:val="28"/>
                <w:szCs w:val="28"/>
              </w:rPr>
              <w:t>TAG</w:t>
            </w:r>
            <w:r w:rsidRPr="00211D55">
              <w:rPr>
                <w:rFonts w:ascii="Arabic Typesetting" w:hAnsi="Arabic Typesetting" w:cs="Arabic Typesetting"/>
                <w:b/>
                <w:sz w:val="28"/>
                <w:szCs w:val="28"/>
                <w:rtl/>
                <w:lang w:bidi="ar-EG"/>
              </w:rPr>
              <w:t>.</w:t>
            </w:r>
          </w:p>
        </w:tc>
        <w:tc>
          <w:tcPr>
            <w:tcW w:w="994" w:type="dxa"/>
            <w:tcBorders>
              <w:top w:val="nil"/>
              <w:bottom w:val="nil"/>
            </w:tcBorders>
            <w:tcMar>
              <w:top w:w="110" w:type="dxa"/>
            </w:tcMar>
          </w:tcPr>
          <w:p w:rsidR="008F54A9" w:rsidRPr="00211D55" w:rsidRDefault="00CE0429" w:rsidP="00766374">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8F54A9" w:rsidRPr="00211D55" w:rsidTr="00815916">
        <w:trPr>
          <w:cantSplit/>
          <w:trHeight w:val="148"/>
        </w:trPr>
        <w:tc>
          <w:tcPr>
            <w:tcW w:w="2125" w:type="dxa"/>
            <w:tcBorders>
              <w:top w:val="nil"/>
              <w:bottom w:val="single" w:sz="4" w:space="0" w:color="auto"/>
            </w:tcBorders>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النسبة المئوية للمبدعين الراضين عن التدريب المقدم على استخدام بيانات ومعلومات حق المؤلف من أجل تحقيق الكفاءة في إدارة حق المؤلف الخاص بهم</w:t>
            </w:r>
          </w:p>
        </w:tc>
        <w:tc>
          <w:tcPr>
            <w:tcW w:w="2694" w:type="dxa"/>
            <w:gridSpan w:val="2"/>
            <w:tcBorders>
              <w:top w:val="nil"/>
              <w:bottom w:val="single" w:sz="4" w:space="0" w:color="auto"/>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p>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لم تبدأ بعد</w:t>
            </w:r>
          </w:p>
        </w:tc>
        <w:tc>
          <w:tcPr>
            <w:tcW w:w="1234" w:type="dxa"/>
            <w:tcBorders>
              <w:top w:val="nil"/>
              <w:bottom w:val="single" w:sz="4" w:space="0" w:color="auto"/>
            </w:tcBorders>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60%</w:t>
            </w:r>
          </w:p>
        </w:tc>
        <w:tc>
          <w:tcPr>
            <w:tcW w:w="2308" w:type="dxa"/>
            <w:tcBorders>
              <w:top w:val="nil"/>
              <w:bottom w:val="single" w:sz="4" w:space="0" w:color="auto"/>
            </w:tcBorders>
            <w:tcMar>
              <w:top w:w="110" w:type="dxa"/>
            </w:tcMar>
          </w:tcPr>
          <w:p w:rsidR="008F54A9"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90</w:t>
            </w:r>
            <w:r w:rsidR="008F54A9" w:rsidRPr="00211D55">
              <w:rPr>
                <w:rFonts w:ascii="Arabic Typesetting" w:hAnsi="Arabic Typesetting" w:cs="Arabic Typesetting"/>
                <w:b/>
                <w:sz w:val="28"/>
                <w:szCs w:val="28"/>
                <w:rtl/>
                <w:lang w:bidi="ar-EG"/>
              </w:rPr>
              <w:t>%</w:t>
            </w:r>
          </w:p>
        </w:tc>
        <w:tc>
          <w:tcPr>
            <w:tcW w:w="994" w:type="dxa"/>
            <w:tcBorders>
              <w:top w:val="nil"/>
              <w:bottom w:val="single" w:sz="4" w:space="0" w:color="auto"/>
            </w:tcBorders>
            <w:tcMar>
              <w:top w:w="110" w:type="dxa"/>
            </w:tcMar>
          </w:tcPr>
          <w:p w:rsidR="008F54A9" w:rsidRPr="00211D55" w:rsidRDefault="00766374" w:rsidP="00766374">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8F54A9" w:rsidRPr="00211D55" w:rsidTr="00815916">
        <w:trPr>
          <w:cantSplit/>
          <w:trHeight w:val="148"/>
        </w:trPr>
        <w:tc>
          <w:tcPr>
            <w:tcW w:w="2125" w:type="dxa"/>
            <w:tcBorders>
              <w:top w:val="single" w:sz="4" w:space="0" w:color="auto"/>
              <w:bottom w:val="nil"/>
              <w:right w:val="nil"/>
            </w:tcBorders>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lastRenderedPageBreak/>
              <w:t>النسبة المئوية لتقييم المشاركين الإيجابي لمدى نفع اجتماعات وحلقات عمل بناء القدرات المتصلة بحق المؤلف</w:t>
            </w:r>
          </w:p>
        </w:tc>
        <w:tc>
          <w:tcPr>
            <w:tcW w:w="2694" w:type="dxa"/>
            <w:gridSpan w:val="2"/>
            <w:tcBorders>
              <w:top w:val="single" w:sz="4" w:space="0" w:color="auto"/>
              <w:left w:val="nil"/>
              <w:bottom w:val="nil"/>
              <w:right w:val="nil"/>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أكثر من 80% من المشاركين في برامج تكوين الكفاءات في مجال حق المؤلف والحقوق المجاورة اعتبروا التدريب الذي تلقونه مفيدا.</w:t>
            </w:r>
          </w:p>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نسبة الرضا 70%</w:t>
            </w:r>
          </w:p>
        </w:tc>
        <w:tc>
          <w:tcPr>
            <w:tcW w:w="1234" w:type="dxa"/>
            <w:tcBorders>
              <w:top w:val="single" w:sz="4" w:space="0" w:color="auto"/>
              <w:left w:val="nil"/>
              <w:bottom w:val="nil"/>
            </w:tcBorders>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موافقة أو موافقة بشدة بنسبة 70%</w:t>
            </w:r>
          </w:p>
        </w:tc>
        <w:tc>
          <w:tcPr>
            <w:tcW w:w="2308" w:type="dxa"/>
            <w:tcBorders>
              <w:top w:val="single" w:sz="4" w:space="0" w:color="auto"/>
              <w:bottom w:val="nil"/>
            </w:tcBorders>
            <w:tcMar>
              <w:top w:w="110" w:type="dxa"/>
            </w:tcMar>
          </w:tcPr>
          <w:p w:rsidR="008F54A9" w:rsidRPr="00211D55" w:rsidRDefault="00766374" w:rsidP="00766374">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موافقة أو موافقة بشدة بأكثر من 80%</w:t>
            </w:r>
          </w:p>
        </w:tc>
        <w:tc>
          <w:tcPr>
            <w:tcW w:w="994" w:type="dxa"/>
            <w:tcBorders>
              <w:top w:val="single" w:sz="4" w:space="0" w:color="auto"/>
              <w:bottom w:val="nil"/>
            </w:tcBorders>
            <w:tcMar>
              <w:top w:w="110" w:type="dxa"/>
            </w:tcMar>
          </w:tcPr>
          <w:p w:rsidR="008F54A9" w:rsidRPr="00211D55" w:rsidRDefault="00766374" w:rsidP="00766374">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8F54A9" w:rsidRPr="00211D55" w:rsidTr="009E62B8">
        <w:trPr>
          <w:cantSplit/>
          <w:trHeight w:val="148"/>
        </w:trPr>
        <w:tc>
          <w:tcPr>
            <w:tcW w:w="2125" w:type="dxa"/>
            <w:tcBorders>
              <w:top w:val="nil"/>
              <w:bottom w:val="single" w:sz="4" w:space="0" w:color="auto"/>
            </w:tcBorders>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عدد الدول الأعضاء التي تبادر بتحسين استخدامها لنظام حق المؤلف والحقوق المجاورة من أجل الانتفاع بالطاقات الاقتصادية الكامنة لمصنفاتها ومنتجاتها الثقافية</w:t>
            </w:r>
          </w:p>
        </w:tc>
        <w:tc>
          <w:tcPr>
            <w:tcW w:w="2694" w:type="dxa"/>
            <w:gridSpan w:val="2"/>
            <w:tcBorders>
              <w:top w:val="nil"/>
              <w:bottom w:val="single" w:sz="4" w:space="0" w:color="auto"/>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60% من البلدان التي تلقت المساعدة</w:t>
            </w:r>
          </w:p>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60% من البلدان التي طلبت المساعدة التقنية</w:t>
            </w:r>
          </w:p>
        </w:tc>
        <w:tc>
          <w:tcPr>
            <w:tcW w:w="1234" w:type="dxa"/>
            <w:tcBorders>
              <w:top w:val="nil"/>
              <w:bottom w:val="single" w:sz="4" w:space="0" w:color="auto"/>
            </w:tcBorders>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60% من البلدان التي تلقت المساعدة</w:t>
            </w:r>
          </w:p>
        </w:tc>
        <w:tc>
          <w:tcPr>
            <w:tcW w:w="2308" w:type="dxa"/>
            <w:tcBorders>
              <w:top w:val="nil"/>
              <w:bottom w:val="single" w:sz="4" w:space="0" w:color="auto"/>
            </w:tcBorders>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أكثر من 60%</w:t>
            </w:r>
          </w:p>
        </w:tc>
        <w:tc>
          <w:tcPr>
            <w:tcW w:w="994" w:type="dxa"/>
            <w:tcBorders>
              <w:top w:val="nil"/>
              <w:bottom w:val="single" w:sz="4" w:space="0" w:color="auto"/>
            </w:tcBorders>
            <w:tcMar>
              <w:top w:w="110" w:type="dxa"/>
            </w:tcMar>
          </w:tcPr>
          <w:p w:rsidR="008F54A9" w:rsidRPr="00211D55" w:rsidRDefault="00766374" w:rsidP="00766374">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8F54A9" w:rsidRPr="00211D55" w:rsidTr="00507D3B">
        <w:trPr>
          <w:cantSplit/>
          <w:trHeight w:val="537"/>
        </w:trPr>
        <w:tc>
          <w:tcPr>
            <w:tcW w:w="9355" w:type="dxa"/>
            <w:gridSpan w:val="6"/>
            <w:tcBorders>
              <w:top w:val="single" w:sz="4" w:space="0" w:color="auto"/>
              <w:bottom w:val="single" w:sz="4" w:space="0" w:color="auto"/>
            </w:tcBorders>
            <w:shd w:val="clear" w:color="auto" w:fill="C6D9F1" w:themeFill="text2" w:themeFillTint="33"/>
            <w:tcMar>
              <w:top w:w="110" w:type="dxa"/>
            </w:tcMar>
            <w:vAlign w:val="center"/>
          </w:tcPr>
          <w:p w:rsidR="008F54A9" w:rsidRPr="00211D55" w:rsidRDefault="008F54A9" w:rsidP="00DA44C1">
            <w:pPr>
              <w:keepNext/>
              <w:bidi/>
              <w:spacing w:after="60" w:line="280" w:lineRule="exact"/>
              <w:ind w:left="1167" w:hanging="1167"/>
              <w:rPr>
                <w:rFonts w:ascii="Arabic Typesetting" w:hAnsi="Arabic Typesetting" w:cs="Arabic Typesetting"/>
                <w:b/>
                <w:sz w:val="28"/>
                <w:szCs w:val="28"/>
                <w:lang w:bidi="ar-EG"/>
              </w:rPr>
            </w:pPr>
            <w:r w:rsidRPr="00211D55">
              <w:rPr>
                <w:rFonts w:ascii="Arabic Typesetting" w:hAnsi="Arabic Typesetting" w:cs="Arabic Typesetting"/>
                <w:bCs/>
                <w:sz w:val="28"/>
                <w:szCs w:val="28"/>
                <w:shd w:val="clear" w:color="auto" w:fill="C6D9F1" w:themeFill="text2" w:themeFillTint="33"/>
                <w:rtl/>
                <w:lang w:bidi="ar-EG"/>
              </w:rPr>
              <w:t xml:space="preserve">النتيجة المرتقبة: </w:t>
            </w:r>
            <w:r w:rsidRPr="00211D55">
              <w:rPr>
                <w:rFonts w:ascii="Arabic Typesetting" w:hAnsi="Arabic Typesetting" w:cs="Arabic Typesetting"/>
                <w:b/>
                <w:sz w:val="28"/>
                <w:szCs w:val="28"/>
                <w:shd w:val="clear" w:color="auto" w:fill="C6D9F1" w:themeFill="text2" w:themeFillTint="33"/>
                <w:rtl/>
                <w:lang w:bidi="ar-EG"/>
              </w:rPr>
              <w:tab/>
            </w:r>
            <w:r w:rsidRPr="00211D55">
              <w:rPr>
                <w:rFonts w:ascii="Arabic Typesetting" w:hAnsi="Arabic Typesetting" w:cs="Arabic Typesetting"/>
                <w:sz w:val="28"/>
                <w:szCs w:val="28"/>
                <w:rtl/>
                <w:lang w:bidi="ar-EG"/>
              </w:rPr>
              <w:t xml:space="preserve">ه2.4 </w:t>
            </w:r>
            <w:r w:rsidR="000432CA">
              <w:rPr>
                <w:rFonts w:ascii="Arabic Typesetting" w:hAnsi="Arabic Typesetting" w:cs="Arabic Typesetting"/>
                <w:b/>
                <w:sz w:val="28"/>
                <w:szCs w:val="28"/>
                <w:shd w:val="clear" w:color="auto" w:fill="C6D9F1" w:themeFill="text2" w:themeFillTint="33"/>
                <w:rtl/>
                <w:lang w:bidi="ar-EG"/>
              </w:rPr>
              <w:t>تحسين النفاذ إلى المعلومات المتعلقة بالملكية الفكرية واستخدامها من قبل مؤسسات الملكية الفكرية والجمهور لتشجيع الابتكار</w:t>
            </w:r>
            <w:r w:rsidR="00DA44C1">
              <w:rPr>
                <w:rFonts w:ascii="Arabic Typesetting" w:hAnsi="Arabic Typesetting" w:cs="Arabic Typesetting" w:hint="cs"/>
                <w:b/>
                <w:sz w:val="28"/>
                <w:szCs w:val="28"/>
                <w:shd w:val="clear" w:color="auto" w:fill="C6D9F1" w:themeFill="text2" w:themeFillTint="33"/>
                <w:rtl/>
                <w:lang w:bidi="ar-EG"/>
              </w:rPr>
              <w:t> </w:t>
            </w:r>
            <w:r w:rsidR="000432CA">
              <w:rPr>
                <w:rFonts w:ascii="Arabic Typesetting" w:hAnsi="Arabic Typesetting" w:cs="Arabic Typesetting"/>
                <w:b/>
                <w:sz w:val="28"/>
                <w:szCs w:val="28"/>
                <w:shd w:val="clear" w:color="auto" w:fill="C6D9F1" w:themeFill="text2" w:themeFillTint="33"/>
                <w:rtl/>
                <w:lang w:bidi="ar-EG"/>
              </w:rPr>
              <w:t>والإبداع</w:t>
            </w:r>
          </w:p>
        </w:tc>
      </w:tr>
      <w:tr w:rsidR="008F54A9" w:rsidRPr="00211D55" w:rsidTr="005460B4">
        <w:trPr>
          <w:cantSplit/>
          <w:trHeight w:val="148"/>
        </w:trPr>
        <w:tc>
          <w:tcPr>
            <w:tcW w:w="2316" w:type="dxa"/>
            <w:gridSpan w:val="2"/>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مؤشرات الأداء</w:t>
            </w:r>
          </w:p>
        </w:tc>
        <w:tc>
          <w:tcPr>
            <w:tcW w:w="2503" w:type="dxa"/>
            <w:tcBorders>
              <w:top w:val="single" w:sz="4" w:space="0" w:color="auto"/>
              <w:bottom w:val="nil"/>
            </w:tcBorders>
            <w:shd w:val="clear" w:color="auto" w:fill="auto"/>
            <w:tcMar>
              <w:top w:w="110" w:type="dxa"/>
            </w:tcMar>
            <w:vAlign w:val="center"/>
          </w:tcPr>
          <w:p w:rsidR="008F54A9" w:rsidRPr="00211D55" w:rsidRDefault="008F54A9" w:rsidP="008F54A9">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أسس المقارنة</w:t>
            </w:r>
          </w:p>
        </w:tc>
        <w:tc>
          <w:tcPr>
            <w:tcW w:w="1234" w:type="dxa"/>
            <w:tcBorders>
              <w:top w:val="single" w:sz="4" w:space="0" w:color="auto"/>
            </w:tcBorders>
            <w:vAlign w:val="center"/>
          </w:tcPr>
          <w:p w:rsidR="008F54A9" w:rsidRPr="00211D55" w:rsidRDefault="008F54A9" w:rsidP="008F54A9">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الأهداف</w:t>
            </w:r>
          </w:p>
        </w:tc>
        <w:tc>
          <w:tcPr>
            <w:tcW w:w="2308" w:type="dxa"/>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994" w:type="dxa"/>
            <w:tcBorders>
              <w:top w:val="single" w:sz="4" w:space="0" w:color="auto"/>
            </w:tcBorders>
            <w:tcMar>
              <w:top w:w="110" w:type="dxa"/>
            </w:tcMa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Cs/>
                <w:sz w:val="28"/>
                <w:szCs w:val="28"/>
                <w:rtl/>
                <w:lang w:bidi="ar-EG"/>
              </w:rPr>
              <w:t>السير</w:t>
            </w:r>
          </w:p>
        </w:tc>
      </w:tr>
      <w:tr w:rsidR="008F54A9" w:rsidRPr="00211D55" w:rsidTr="00815916">
        <w:trPr>
          <w:cantSplit/>
          <w:trHeight w:val="148"/>
        </w:trPr>
        <w:tc>
          <w:tcPr>
            <w:tcW w:w="2316" w:type="dxa"/>
            <w:gridSpan w:val="2"/>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عدد الوسطاء الموثوقين وأصحاب الحقوق الذين انضموا إلى شبكة نظام الوسطاء الموثوقين للموارد المتاحة عالميا، بما في ذلك البلدان النامية والبلدان الأقل نموا</w:t>
            </w:r>
          </w:p>
        </w:tc>
        <w:tc>
          <w:tcPr>
            <w:tcW w:w="2503" w:type="dxa"/>
            <w:tcBorders>
              <w:top w:val="nil"/>
              <w:bottom w:val="nil"/>
            </w:tcBorders>
            <w:shd w:val="clear" w:color="auto" w:fill="auto"/>
            <w:tcMar>
              <w:top w:w="110" w:type="dxa"/>
            </w:tcMar>
          </w:tcPr>
          <w:p w:rsidR="008F54A9" w:rsidRPr="00211D55" w:rsidRDefault="008F54A9" w:rsidP="00766374">
            <w:pPr>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بحلول نهاية 2013، كان 25 وسيطا موثوقا و45 صاحب حق قد وقّعوا مذكرة التفاهم الخاصة بمشروع </w:t>
            </w:r>
            <w:r w:rsidRPr="00211D55">
              <w:rPr>
                <w:rFonts w:ascii="Arabic Typesetting" w:hAnsi="Arabic Typesetting" w:cs="Arabic Typesetting"/>
                <w:color w:val="002060"/>
                <w:sz w:val="28"/>
                <w:szCs w:val="28"/>
                <w:lang w:bidi="ar-EG"/>
              </w:rPr>
              <w:t>TIGAR</w:t>
            </w:r>
            <w:r w:rsidRPr="00211D55">
              <w:rPr>
                <w:rFonts w:ascii="Arabic Typesetting" w:hAnsi="Arabic Typesetting" w:cs="Arabic Typesetting"/>
                <w:color w:val="002060"/>
                <w:sz w:val="28"/>
                <w:szCs w:val="28"/>
                <w:rtl/>
              </w:rPr>
              <w:t xml:space="preserve">، بما في ذلك وسطاء موثوقين من البلدان النامية والبلدان الأقل نموا. وكان 11 وسيطا موثوقا قد حمّلوا عناوينهم ذات </w:t>
            </w:r>
            <w:proofErr w:type="spellStart"/>
            <w:r w:rsidRPr="00211D55">
              <w:rPr>
                <w:rFonts w:ascii="Arabic Typesetting" w:hAnsi="Arabic Typesetting" w:cs="Arabic Typesetting"/>
                <w:color w:val="002060"/>
                <w:sz w:val="28"/>
                <w:szCs w:val="28"/>
                <w:rtl/>
              </w:rPr>
              <w:t>الأنساق</w:t>
            </w:r>
            <w:proofErr w:type="spellEnd"/>
            <w:r w:rsidRPr="00211D55">
              <w:rPr>
                <w:rFonts w:ascii="Arabic Typesetting" w:hAnsi="Arabic Typesetting" w:cs="Arabic Typesetting"/>
                <w:color w:val="002060"/>
                <w:sz w:val="28"/>
                <w:szCs w:val="28"/>
                <w:rtl/>
              </w:rPr>
              <w:t xml:space="preserve"> الميسّرة في قاعدة بيانات </w:t>
            </w:r>
            <w:r w:rsidRPr="00211D55">
              <w:rPr>
                <w:rFonts w:ascii="Arabic Typesetting" w:hAnsi="Arabic Typesetting" w:cs="Arabic Typesetting"/>
                <w:color w:val="002060"/>
                <w:sz w:val="28"/>
                <w:szCs w:val="28"/>
                <w:lang w:bidi="ar-EG"/>
              </w:rPr>
              <w:t>TIGAR</w:t>
            </w:r>
            <w:r w:rsidRPr="00211D55">
              <w:rPr>
                <w:rFonts w:ascii="Arabic Typesetting" w:hAnsi="Arabic Typesetting" w:cs="Arabic Typesetting"/>
                <w:color w:val="002060"/>
                <w:sz w:val="28"/>
                <w:szCs w:val="28"/>
                <w:rtl/>
                <w:lang w:bidi="ar-EG"/>
              </w:rPr>
              <w:t xml:space="preserve"> بحلول نهاية 2013.</w:t>
            </w:r>
          </w:p>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19 وسيطا موثوقا و40 صاحب حق</w:t>
            </w:r>
          </w:p>
        </w:tc>
        <w:tc>
          <w:tcPr>
            <w:tcW w:w="1234" w:type="dxa"/>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24 وسيطا موثوقا و46 صاحب حق (</w:t>
            </w:r>
            <w:r w:rsidR="00766374" w:rsidRPr="00211D55">
              <w:rPr>
                <w:rFonts w:ascii="Arabic Typesetting" w:hAnsi="Arabic Typesetting" w:cs="Arabic Typesetting"/>
                <w:b/>
                <w:sz w:val="28"/>
                <w:szCs w:val="28"/>
                <w:rtl/>
                <w:lang w:bidi="ar-EG"/>
              </w:rPr>
              <w:t>ال</w:t>
            </w:r>
            <w:r w:rsidRPr="00211D55">
              <w:rPr>
                <w:rFonts w:ascii="Arabic Typesetting" w:hAnsi="Arabic Typesetting" w:cs="Arabic Typesetting"/>
                <w:b/>
                <w:sz w:val="28"/>
                <w:szCs w:val="28"/>
                <w:rtl/>
                <w:lang w:bidi="ar-EG"/>
              </w:rPr>
              <w:t>تراكمي)</w:t>
            </w:r>
          </w:p>
        </w:tc>
        <w:tc>
          <w:tcPr>
            <w:tcW w:w="2308" w:type="dxa"/>
            <w:tcMar>
              <w:top w:w="110" w:type="dxa"/>
            </w:tcMar>
          </w:tcPr>
          <w:p w:rsidR="008F54A9" w:rsidRPr="00211D55" w:rsidRDefault="00766374" w:rsidP="00766374">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نُقلت</w:t>
            </w:r>
            <w:r w:rsidR="008F54A9" w:rsidRPr="00211D55">
              <w:rPr>
                <w:rFonts w:ascii="Arabic Typesetting" w:hAnsi="Arabic Typesetting" w:cs="Arabic Typesetting"/>
                <w:b/>
                <w:sz w:val="28"/>
                <w:szCs w:val="28"/>
                <w:rtl/>
                <w:lang w:bidi="ar-EG"/>
              </w:rPr>
              <w:t xml:space="preserve"> منصة أصحاب المصالح إلى اتحاد الكتب </w:t>
            </w:r>
            <w:r w:rsidRPr="00211D55">
              <w:rPr>
                <w:rFonts w:ascii="Arabic Typesetting" w:hAnsi="Arabic Typesetting" w:cs="Arabic Typesetting"/>
                <w:b/>
                <w:sz w:val="28"/>
                <w:szCs w:val="28"/>
                <w:rtl/>
                <w:lang w:bidi="ar-EG"/>
              </w:rPr>
              <w:t>ال</w:t>
            </w:r>
            <w:r w:rsidR="008F54A9" w:rsidRPr="00211D55">
              <w:rPr>
                <w:rFonts w:ascii="Arabic Typesetting" w:hAnsi="Arabic Typesetting" w:cs="Arabic Typesetting"/>
                <w:b/>
                <w:sz w:val="28"/>
                <w:szCs w:val="28"/>
                <w:rtl/>
                <w:lang w:bidi="ar-EG"/>
              </w:rPr>
              <w:t>ميسّرة</w:t>
            </w:r>
          </w:p>
        </w:tc>
        <w:tc>
          <w:tcPr>
            <w:tcW w:w="994" w:type="dxa"/>
            <w:tcMar>
              <w:top w:w="110" w:type="dxa"/>
            </w:tcMar>
          </w:tcPr>
          <w:p w:rsidR="008F54A9" w:rsidRPr="00211D55" w:rsidRDefault="008F54A9"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منقطع</w:t>
            </w:r>
          </w:p>
        </w:tc>
      </w:tr>
      <w:tr w:rsidR="008F54A9" w:rsidRPr="00211D55" w:rsidTr="00815916">
        <w:trPr>
          <w:cantSplit/>
          <w:trHeight w:val="148"/>
        </w:trPr>
        <w:tc>
          <w:tcPr>
            <w:tcW w:w="2316" w:type="dxa"/>
            <w:gridSpan w:val="2"/>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عدد المصنفات المحمية بحق المؤلف التي وزعت على الوسطاء الموثوقين وأتيح النفاذ إليها للأشخاص معاقي البصر عبر الحدود من خلال شبكة نظام الوسطاء الموثوقين للموارد المتاحة عالميا</w:t>
            </w:r>
          </w:p>
        </w:tc>
        <w:tc>
          <w:tcPr>
            <w:tcW w:w="2503" w:type="dxa"/>
            <w:tcBorders>
              <w:top w:val="nil"/>
              <w:bottom w:val="nil"/>
            </w:tcBorders>
            <w:shd w:val="clear" w:color="auto" w:fill="auto"/>
            <w:tcMar>
              <w:top w:w="110" w:type="dxa"/>
            </w:tcMar>
          </w:tcPr>
          <w:p w:rsidR="008F54A9" w:rsidRPr="00211D55" w:rsidRDefault="008F54A9" w:rsidP="008F54A9">
            <w:pPr>
              <w:bidi/>
              <w:spacing w:before="60" w:after="60" w:line="280" w:lineRule="exact"/>
              <w:rPr>
                <w:rFonts w:ascii="Arabic Typesetting" w:hAnsi="Arabic Typesetting" w:cs="Arabic Typesetting"/>
                <w:color w:val="002060"/>
                <w:sz w:val="28"/>
                <w:szCs w:val="28"/>
                <w:rtl/>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بحلول نهاية 2013، كان نحو 600 كتاب من الكتب المتاحة </w:t>
            </w:r>
            <w:proofErr w:type="spellStart"/>
            <w:r w:rsidRPr="00211D55">
              <w:rPr>
                <w:rFonts w:ascii="Arabic Typesetting" w:hAnsi="Arabic Typesetting" w:cs="Arabic Typesetting"/>
                <w:b/>
                <w:color w:val="002060"/>
                <w:sz w:val="28"/>
                <w:szCs w:val="28"/>
                <w:rtl/>
                <w:lang w:bidi="ar-EG"/>
              </w:rPr>
              <w:t>بأنساق</w:t>
            </w:r>
            <w:proofErr w:type="spellEnd"/>
            <w:r w:rsidRPr="00211D55">
              <w:rPr>
                <w:rFonts w:ascii="Arabic Typesetting" w:hAnsi="Arabic Typesetting" w:cs="Arabic Typesetting"/>
                <w:b/>
                <w:color w:val="002060"/>
                <w:sz w:val="28"/>
                <w:szCs w:val="28"/>
                <w:rtl/>
                <w:lang w:bidi="ar-EG"/>
              </w:rPr>
              <w:t xml:space="preserve"> ميسّرة قد نُزّل من قاعدة بيانات </w:t>
            </w:r>
            <w:r w:rsidRPr="00211D55">
              <w:rPr>
                <w:rFonts w:ascii="Arabic Typesetting" w:hAnsi="Arabic Typesetting" w:cs="Arabic Typesetting"/>
                <w:color w:val="002060"/>
                <w:sz w:val="28"/>
                <w:szCs w:val="28"/>
                <w:lang w:bidi="ar-EG"/>
              </w:rPr>
              <w:t>TIGAR</w:t>
            </w:r>
            <w:r w:rsidRPr="00211D55">
              <w:rPr>
                <w:rFonts w:ascii="Arabic Typesetting" w:hAnsi="Arabic Typesetting" w:cs="Arabic Typesetting"/>
                <w:color w:val="002060"/>
                <w:sz w:val="28"/>
                <w:szCs w:val="28"/>
                <w:rtl/>
              </w:rPr>
              <w:t xml:space="preserve"> في بلدان مختلفة.</w:t>
            </w:r>
          </w:p>
          <w:p w:rsidR="008F54A9" w:rsidRPr="00211D55" w:rsidRDefault="008F54A9"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400</w:t>
            </w:r>
          </w:p>
        </w:tc>
        <w:tc>
          <w:tcPr>
            <w:tcW w:w="1234" w:type="dxa"/>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000 1 (</w:t>
            </w:r>
            <w:r w:rsidR="00766374" w:rsidRPr="00211D55">
              <w:rPr>
                <w:rFonts w:ascii="Arabic Typesetting" w:hAnsi="Arabic Typesetting" w:cs="Arabic Typesetting"/>
                <w:b/>
                <w:sz w:val="28"/>
                <w:szCs w:val="28"/>
                <w:rtl/>
                <w:lang w:bidi="ar-EG"/>
              </w:rPr>
              <w:t>ال</w:t>
            </w:r>
            <w:r w:rsidRPr="00211D55">
              <w:rPr>
                <w:rFonts w:ascii="Arabic Typesetting" w:hAnsi="Arabic Typesetting" w:cs="Arabic Typesetting"/>
                <w:b/>
                <w:sz w:val="28"/>
                <w:szCs w:val="28"/>
                <w:rtl/>
                <w:lang w:bidi="ar-EG"/>
              </w:rPr>
              <w:t>تراكمي)</w:t>
            </w:r>
          </w:p>
        </w:tc>
        <w:tc>
          <w:tcPr>
            <w:tcW w:w="2308" w:type="dxa"/>
            <w:tcMar>
              <w:top w:w="110" w:type="dxa"/>
            </w:tcMar>
          </w:tcPr>
          <w:p w:rsidR="00766374" w:rsidRPr="00211D55" w:rsidRDefault="008F54A9" w:rsidP="00157A6A">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بحلول نهاية </w:t>
            </w:r>
            <w:r w:rsidR="00766374" w:rsidRPr="00211D55">
              <w:rPr>
                <w:rFonts w:ascii="Arabic Typesetting" w:hAnsi="Arabic Typesetting" w:cs="Arabic Typesetting"/>
                <w:b/>
                <w:sz w:val="28"/>
                <w:szCs w:val="28"/>
                <w:rtl/>
                <w:lang w:bidi="ar-EG"/>
              </w:rPr>
              <w:t>2015</w:t>
            </w:r>
            <w:r w:rsidRPr="00211D55">
              <w:rPr>
                <w:rFonts w:ascii="Arabic Typesetting" w:hAnsi="Arabic Typesetting" w:cs="Arabic Typesetting"/>
                <w:b/>
                <w:sz w:val="28"/>
                <w:szCs w:val="28"/>
                <w:rtl/>
                <w:lang w:bidi="ar-EG"/>
              </w:rPr>
              <w:t xml:space="preserve">، </w:t>
            </w:r>
            <w:r w:rsidR="00766374" w:rsidRPr="00211D55">
              <w:rPr>
                <w:rFonts w:ascii="Arabic Typesetting" w:hAnsi="Arabic Typesetting" w:cs="Arabic Typesetting"/>
                <w:b/>
                <w:sz w:val="28"/>
                <w:szCs w:val="28"/>
                <w:rtl/>
                <w:lang w:bidi="ar-EG"/>
              </w:rPr>
              <w:t>نزلت 15 مكتبة مشاركة</w:t>
            </w:r>
            <w:r w:rsidRPr="00211D55">
              <w:rPr>
                <w:rFonts w:ascii="Arabic Typesetting" w:hAnsi="Arabic Typesetting" w:cs="Arabic Typesetting"/>
                <w:b/>
                <w:sz w:val="28"/>
                <w:szCs w:val="28"/>
                <w:rtl/>
                <w:lang w:bidi="ar-EG"/>
              </w:rPr>
              <w:t xml:space="preserve"> </w:t>
            </w:r>
            <w:r w:rsidR="00766374" w:rsidRPr="00211D55">
              <w:rPr>
                <w:rFonts w:ascii="Arabic Typesetting" w:hAnsi="Arabic Typesetting" w:cs="Arabic Typesetting"/>
                <w:b/>
                <w:sz w:val="28"/>
                <w:szCs w:val="28"/>
                <w:rtl/>
                <w:lang w:bidi="ar-EG"/>
              </w:rPr>
              <w:t>4208</w:t>
            </w:r>
            <w:r w:rsidRPr="00211D55">
              <w:rPr>
                <w:rFonts w:ascii="Arabic Typesetting" w:hAnsi="Arabic Typesetting" w:cs="Arabic Typesetting"/>
                <w:b/>
                <w:sz w:val="28"/>
                <w:szCs w:val="28"/>
                <w:rtl/>
                <w:lang w:bidi="ar-EG"/>
              </w:rPr>
              <w:t xml:space="preserve"> </w:t>
            </w:r>
            <w:r w:rsidR="00766374" w:rsidRPr="00211D55">
              <w:rPr>
                <w:rFonts w:ascii="Arabic Typesetting" w:hAnsi="Arabic Typesetting" w:cs="Arabic Typesetting"/>
                <w:b/>
                <w:sz w:val="28"/>
                <w:szCs w:val="28"/>
                <w:rtl/>
                <w:lang w:bidi="ar-EG"/>
              </w:rPr>
              <w:t>كتب</w:t>
            </w:r>
            <w:r w:rsidRPr="00211D55">
              <w:rPr>
                <w:rFonts w:ascii="Arabic Typesetting" w:hAnsi="Arabic Typesetting" w:cs="Arabic Typesetting"/>
                <w:b/>
                <w:sz w:val="28"/>
                <w:szCs w:val="28"/>
                <w:rtl/>
                <w:lang w:bidi="ar-EG"/>
              </w:rPr>
              <w:t xml:space="preserve"> صوتي</w:t>
            </w:r>
            <w:r w:rsidR="00766374" w:rsidRPr="00211D55">
              <w:rPr>
                <w:rFonts w:ascii="Arabic Typesetting" w:hAnsi="Arabic Typesetting" w:cs="Arabic Typesetting"/>
                <w:b/>
                <w:sz w:val="28"/>
                <w:szCs w:val="28"/>
                <w:rtl/>
                <w:lang w:bidi="ar-EG"/>
              </w:rPr>
              <w:t>ة،</w:t>
            </w:r>
          </w:p>
          <w:p w:rsidR="008F54A9" w:rsidRPr="00211D55" w:rsidRDefault="00766374" w:rsidP="00766374">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وأعير أكثر من 000 58 كتاب ميسّر</w:t>
            </w:r>
            <w:r w:rsidR="008F54A9" w:rsidRPr="00211D55">
              <w:rPr>
                <w:rFonts w:ascii="Arabic Typesetting" w:hAnsi="Arabic Typesetting" w:cs="Arabic Typesetting"/>
                <w:b/>
                <w:sz w:val="28"/>
                <w:szCs w:val="28"/>
                <w:rtl/>
                <w:lang w:bidi="ar-EG"/>
              </w:rPr>
              <w:t xml:space="preserve"> </w:t>
            </w:r>
            <w:r w:rsidRPr="00211D55">
              <w:rPr>
                <w:rFonts w:ascii="Arabic Typesetting" w:hAnsi="Arabic Typesetting" w:cs="Arabic Typesetting"/>
                <w:b/>
                <w:sz w:val="28"/>
                <w:szCs w:val="28"/>
                <w:rtl/>
                <w:lang w:bidi="ar-EG"/>
              </w:rPr>
              <w:t>لأشخاص</w:t>
            </w:r>
            <w:r w:rsidR="008F54A9" w:rsidRPr="00211D55">
              <w:rPr>
                <w:rFonts w:ascii="Arabic Typesetting" w:hAnsi="Arabic Typesetting" w:cs="Arabic Typesetting"/>
                <w:b/>
                <w:sz w:val="28"/>
                <w:szCs w:val="28"/>
                <w:rtl/>
                <w:lang w:bidi="ar-EG"/>
              </w:rPr>
              <w:t xml:space="preserve"> من ذوي الإعاقات في قراءة المطبوعات بحلول نهاية </w:t>
            </w:r>
            <w:r w:rsidRPr="00211D55">
              <w:rPr>
                <w:rFonts w:ascii="Arabic Typesetting" w:hAnsi="Arabic Typesetting" w:cs="Arabic Typesetting"/>
                <w:b/>
                <w:sz w:val="28"/>
                <w:szCs w:val="28"/>
                <w:rtl/>
                <w:lang w:bidi="ar-EG"/>
              </w:rPr>
              <w:t>2015</w:t>
            </w:r>
            <w:r w:rsidR="008F54A9" w:rsidRPr="00211D55">
              <w:rPr>
                <w:rFonts w:ascii="Arabic Typesetting" w:hAnsi="Arabic Typesetting" w:cs="Arabic Typesetting"/>
                <w:b/>
                <w:sz w:val="28"/>
                <w:szCs w:val="28"/>
                <w:rtl/>
                <w:lang w:bidi="ar-EG"/>
              </w:rPr>
              <w:t>.</w:t>
            </w:r>
          </w:p>
        </w:tc>
        <w:tc>
          <w:tcPr>
            <w:tcW w:w="994" w:type="dxa"/>
            <w:tcMar>
              <w:top w:w="110" w:type="dxa"/>
            </w:tcMar>
          </w:tcPr>
          <w:p w:rsidR="008F54A9" w:rsidRPr="00211D55" w:rsidRDefault="00766374" w:rsidP="00766374">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8F54A9" w:rsidRPr="00211D55" w:rsidTr="00815916">
        <w:trPr>
          <w:cantSplit/>
          <w:trHeight w:val="855"/>
        </w:trPr>
        <w:tc>
          <w:tcPr>
            <w:tcW w:w="2316" w:type="dxa"/>
            <w:gridSpan w:val="2"/>
            <w:tcBorders>
              <w:bottom w:val="single" w:sz="4" w:space="0" w:color="auto"/>
            </w:tcBorders>
            <w:tcMar>
              <w:top w:w="110" w:type="dxa"/>
            </w:tcMar>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rPr>
              <w:t>النسبة المئوية للأفراد الراضين عن دعم بناء القدرات في مجال البنية التحتية لحق المؤلف</w:t>
            </w:r>
          </w:p>
        </w:tc>
        <w:tc>
          <w:tcPr>
            <w:tcW w:w="2503" w:type="dxa"/>
            <w:tcBorders>
              <w:top w:val="nil"/>
              <w:bottom w:val="single" w:sz="4" w:space="0" w:color="auto"/>
            </w:tcBorders>
            <w:shd w:val="clear" w:color="auto" w:fill="auto"/>
            <w:tcMar>
              <w:top w:w="110" w:type="dxa"/>
            </w:tcMar>
          </w:tcPr>
          <w:p w:rsidR="008F54A9"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لم يبدأ بعد</w:t>
            </w:r>
          </w:p>
        </w:tc>
        <w:tc>
          <w:tcPr>
            <w:tcW w:w="1234" w:type="dxa"/>
            <w:tcBorders>
              <w:bottom w:val="single" w:sz="4" w:space="0" w:color="auto"/>
            </w:tcBorders>
          </w:tcPr>
          <w:p w:rsidR="008F54A9" w:rsidRPr="00211D55" w:rsidRDefault="008F54A9"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60</w:t>
            </w:r>
            <w:r w:rsidR="00766374" w:rsidRPr="00211D55">
              <w:rPr>
                <w:rFonts w:ascii="Arabic Typesetting" w:hAnsi="Arabic Typesetting" w:cs="Arabic Typesetting"/>
                <w:b/>
                <w:sz w:val="28"/>
                <w:szCs w:val="28"/>
                <w:rtl/>
                <w:lang w:bidi="ar-EG"/>
              </w:rPr>
              <w:t>%</w:t>
            </w:r>
          </w:p>
        </w:tc>
        <w:tc>
          <w:tcPr>
            <w:tcW w:w="2308" w:type="dxa"/>
            <w:tcBorders>
              <w:bottom w:val="single" w:sz="4" w:space="0" w:color="auto"/>
            </w:tcBorders>
            <w:tcMar>
              <w:top w:w="110" w:type="dxa"/>
            </w:tcMar>
          </w:tcPr>
          <w:p w:rsidR="008F54A9"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90</w:t>
            </w:r>
            <w:r w:rsidR="008F54A9" w:rsidRPr="00211D55">
              <w:rPr>
                <w:rFonts w:ascii="Arabic Typesetting" w:hAnsi="Arabic Typesetting" w:cs="Arabic Typesetting"/>
                <w:b/>
                <w:sz w:val="28"/>
                <w:szCs w:val="28"/>
                <w:rtl/>
                <w:lang w:bidi="ar-EG"/>
              </w:rPr>
              <w:t>%</w:t>
            </w:r>
          </w:p>
        </w:tc>
        <w:tc>
          <w:tcPr>
            <w:tcW w:w="994" w:type="dxa"/>
            <w:tcBorders>
              <w:bottom w:val="single" w:sz="4" w:space="0" w:color="auto"/>
            </w:tcBorders>
            <w:tcMar>
              <w:top w:w="110" w:type="dxa"/>
            </w:tcMar>
          </w:tcPr>
          <w:p w:rsidR="008F54A9" w:rsidRPr="00211D55" w:rsidRDefault="00766374" w:rsidP="008F54A9">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766374" w:rsidRPr="00211D55" w:rsidTr="00815916">
        <w:trPr>
          <w:cantSplit/>
          <w:trHeight w:val="1870"/>
        </w:trPr>
        <w:tc>
          <w:tcPr>
            <w:tcW w:w="2316" w:type="dxa"/>
            <w:gridSpan w:val="2"/>
            <w:tcBorders>
              <w:top w:val="single" w:sz="4" w:space="0" w:color="auto"/>
              <w:bottom w:val="nil"/>
            </w:tcBorders>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lang w:bidi="ar-EG"/>
              </w:rPr>
              <w:lastRenderedPageBreak/>
              <w:t xml:space="preserve">عدد المؤسسات التي تستخدم البرنامج الحاسوبي </w:t>
            </w:r>
            <w:r w:rsidRPr="00211D55">
              <w:rPr>
                <w:rFonts w:ascii="Arabic Typesetting" w:hAnsi="Arabic Typesetting" w:cs="Arabic Typesetting"/>
                <w:sz w:val="28"/>
                <w:szCs w:val="28"/>
              </w:rPr>
              <w:t>GDA</w:t>
            </w:r>
          </w:p>
        </w:tc>
        <w:tc>
          <w:tcPr>
            <w:tcW w:w="2503" w:type="dxa"/>
            <w:tcBorders>
              <w:top w:val="single" w:sz="4" w:space="0" w:color="auto"/>
              <w:bottom w:val="nil"/>
            </w:tcBorders>
            <w:shd w:val="clear" w:color="auto" w:fill="auto"/>
            <w:tcMar>
              <w:top w:w="110" w:type="dxa"/>
            </w:tcMar>
          </w:tcPr>
          <w:p w:rsidR="00766374" w:rsidRPr="00211D55" w:rsidRDefault="00766374" w:rsidP="008F54A9">
            <w:pPr>
              <w:bidi/>
              <w:spacing w:before="60" w:after="60" w:line="280" w:lineRule="exact"/>
              <w:rPr>
                <w:rFonts w:ascii="Arabic Typesetting" w:hAnsi="Arabic Typesetting" w:cs="Arabic Typesetting"/>
                <w:color w:val="002060"/>
                <w:sz w:val="28"/>
                <w:szCs w:val="28"/>
                <w:rtl/>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15</w:t>
            </w:r>
            <w:r w:rsidRPr="00F96634">
              <w:rPr>
                <w:rFonts w:ascii="Arabic Typesetting" w:hAnsi="Arabic Typesetting" w:cs="Arabic Typesetting"/>
                <w:b/>
                <w:color w:val="002060"/>
                <w:sz w:val="28"/>
                <w:szCs w:val="28"/>
                <w:vertAlign w:val="superscript"/>
                <w:rtl/>
                <w:lang w:bidi="ar-EG"/>
              </w:rPr>
              <w:footnoteReference w:id="15"/>
            </w:r>
            <w:r w:rsidRPr="00211D55">
              <w:rPr>
                <w:rFonts w:ascii="Arabic Typesetting" w:hAnsi="Arabic Typesetting" w:cs="Arabic Typesetting"/>
                <w:b/>
                <w:color w:val="002060"/>
                <w:sz w:val="28"/>
                <w:szCs w:val="28"/>
                <w:rtl/>
                <w:lang w:bidi="ar-EG"/>
              </w:rPr>
              <w:t xml:space="preserve"> مكتبا من مكاتب حق المؤلف تستخدم البرنامج الحاسوبي </w:t>
            </w:r>
            <w:r w:rsidRPr="00211D55">
              <w:rPr>
                <w:rFonts w:ascii="Arabic Typesetting" w:hAnsi="Arabic Typesetting" w:cs="Arabic Typesetting"/>
                <w:color w:val="002060"/>
                <w:sz w:val="28"/>
                <w:szCs w:val="28"/>
                <w:lang w:bidi="ar-EG"/>
              </w:rPr>
              <w:t>GDA</w:t>
            </w:r>
            <w:r w:rsidRPr="00211D55">
              <w:rPr>
                <w:rFonts w:ascii="Arabic Typesetting" w:hAnsi="Arabic Typesetting" w:cs="Arabic Typesetting"/>
                <w:color w:val="002060"/>
                <w:sz w:val="28"/>
                <w:szCs w:val="28"/>
                <w:rtl/>
              </w:rPr>
              <w:t xml:space="preserve"> (التراكمي)</w:t>
            </w:r>
          </w:p>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15</w:t>
            </w:r>
          </w:p>
        </w:tc>
        <w:tc>
          <w:tcPr>
            <w:tcW w:w="1234" w:type="dxa"/>
            <w:tcBorders>
              <w:top w:val="single" w:sz="4" w:space="0" w:color="auto"/>
              <w:bottom w:val="nil"/>
            </w:tcBorders>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15</w:t>
            </w:r>
          </w:p>
        </w:tc>
        <w:tc>
          <w:tcPr>
            <w:tcW w:w="2308" w:type="dxa"/>
            <w:tcBorders>
              <w:top w:val="single" w:sz="4" w:space="0" w:color="auto"/>
              <w:bottom w:val="nil"/>
            </w:tcBorders>
            <w:tcMar>
              <w:top w:w="110" w:type="dxa"/>
            </w:tcMar>
          </w:tcPr>
          <w:p w:rsidR="00766374" w:rsidRPr="00211D55" w:rsidRDefault="00766374" w:rsidP="008F54A9">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b/>
                <w:sz w:val="28"/>
                <w:szCs w:val="28"/>
                <w:rtl/>
                <w:lang w:bidi="ar-EG"/>
              </w:rPr>
              <w:t xml:space="preserve">16 مكتبا من مكاتب حق المؤلف تستخدم النظام الحاسوبي </w:t>
            </w:r>
            <w:r w:rsidRPr="00211D55">
              <w:rPr>
                <w:rFonts w:ascii="Arabic Typesetting" w:hAnsi="Arabic Typesetting" w:cs="Arabic Typesetting"/>
                <w:sz w:val="28"/>
                <w:szCs w:val="28"/>
              </w:rPr>
              <w:t>GDA</w:t>
            </w:r>
            <w:r w:rsidRPr="00211D55">
              <w:rPr>
                <w:rFonts w:ascii="Arabic Typesetting" w:hAnsi="Arabic Typesetting" w:cs="Arabic Typesetting"/>
                <w:sz w:val="28"/>
                <w:szCs w:val="28"/>
                <w:rtl/>
              </w:rPr>
              <w:t xml:space="preserve"> (التراكمي)</w:t>
            </w:r>
          </w:p>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sz w:val="28"/>
                <w:szCs w:val="28"/>
                <w:rtl/>
              </w:rPr>
              <w:t xml:space="preserve">من المتوقع أن توقف الويبو تدريجيا دعمها للنظام الحاسوبي </w:t>
            </w:r>
            <w:r w:rsidRPr="00211D55">
              <w:rPr>
                <w:rFonts w:ascii="Arabic Typesetting" w:hAnsi="Arabic Typesetting" w:cs="Arabic Typesetting"/>
                <w:sz w:val="28"/>
                <w:szCs w:val="28"/>
              </w:rPr>
              <w:t>GDA</w:t>
            </w:r>
            <w:r w:rsidRPr="00211D55">
              <w:rPr>
                <w:rFonts w:ascii="Arabic Typesetting" w:hAnsi="Arabic Typesetting" w:cs="Arabic Typesetting"/>
                <w:sz w:val="28"/>
                <w:szCs w:val="28"/>
                <w:rtl/>
              </w:rPr>
              <w:t xml:space="preserve"> بحلول نهاية 2015.</w:t>
            </w:r>
          </w:p>
        </w:tc>
        <w:tc>
          <w:tcPr>
            <w:tcW w:w="994" w:type="dxa"/>
            <w:tcBorders>
              <w:top w:val="single" w:sz="4" w:space="0" w:color="auto"/>
              <w:bottom w:val="nil"/>
            </w:tcBorders>
            <w:tcMar>
              <w:top w:w="110" w:type="dxa"/>
            </w:tcMar>
          </w:tcPr>
          <w:p w:rsidR="00766374" w:rsidRPr="00211D55" w:rsidRDefault="00766374" w:rsidP="00766374">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منقطع</w:t>
            </w:r>
          </w:p>
        </w:tc>
      </w:tr>
      <w:tr w:rsidR="00766374" w:rsidRPr="00211D55" w:rsidTr="009E62B8">
        <w:trPr>
          <w:cantSplit/>
          <w:trHeight w:val="333"/>
        </w:trPr>
        <w:tc>
          <w:tcPr>
            <w:tcW w:w="2316" w:type="dxa"/>
            <w:gridSpan w:val="2"/>
            <w:tcBorders>
              <w:top w:val="nil"/>
              <w:bottom w:val="nil"/>
            </w:tcBorders>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استخدام قاعدة بيانات مراجع إدارة الويبو الجماعية</w:t>
            </w:r>
          </w:p>
        </w:tc>
        <w:tc>
          <w:tcPr>
            <w:tcW w:w="2503" w:type="dxa"/>
            <w:tcBorders>
              <w:top w:val="nil"/>
              <w:bottom w:val="nil"/>
            </w:tcBorders>
            <w:shd w:val="clear" w:color="auto" w:fill="auto"/>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لم يبدأ بعد</w:t>
            </w:r>
          </w:p>
        </w:tc>
        <w:tc>
          <w:tcPr>
            <w:tcW w:w="1234" w:type="dxa"/>
            <w:tcBorders>
              <w:top w:val="nil"/>
              <w:bottom w:val="nil"/>
            </w:tcBorders>
          </w:tcPr>
          <w:p w:rsidR="00766374" w:rsidRPr="00211D55" w:rsidRDefault="00157A6A" w:rsidP="008F54A9">
            <w:pPr>
              <w:bidi/>
              <w:spacing w:before="60" w:after="60" w:line="280" w:lineRule="exact"/>
              <w:rPr>
                <w:rFonts w:ascii="Arabic Typesetting" w:hAnsi="Arabic Typesetting" w:cs="Arabic Typesetting"/>
                <w:b/>
                <w:sz w:val="28"/>
                <w:szCs w:val="28"/>
                <w:rtl/>
                <w:lang w:bidi="ar-EG"/>
              </w:rPr>
            </w:pPr>
            <w:r>
              <w:rPr>
                <w:rFonts w:ascii="Arabic Typesetting" w:hAnsi="Arabic Typesetting" w:cs="Arabic Typesetting"/>
                <w:b/>
                <w:sz w:val="28"/>
                <w:szCs w:val="28"/>
                <w:rtl/>
                <w:lang w:bidi="ar-EG"/>
              </w:rPr>
              <w:t>100 مستخدم</w:t>
            </w:r>
          </w:p>
        </w:tc>
        <w:tc>
          <w:tcPr>
            <w:tcW w:w="2308" w:type="dxa"/>
            <w:tcBorders>
              <w:top w:val="nil"/>
              <w:bottom w:val="nil"/>
            </w:tcBorders>
            <w:tcMar>
              <w:top w:w="110" w:type="dxa"/>
            </w:tcMar>
          </w:tcPr>
          <w:p w:rsidR="00766374" w:rsidRPr="00211D55" w:rsidRDefault="00766374" w:rsidP="00157A6A">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سجل دليل جمعيات تحصيل الإتاوات منذ إصداره في </w:t>
            </w:r>
            <w:r w:rsidR="00157A6A">
              <w:rPr>
                <w:rFonts w:ascii="Arabic Typesetting" w:hAnsi="Arabic Typesetting" w:cs="Arabic Typesetting" w:hint="cs"/>
                <w:b/>
                <w:sz w:val="28"/>
                <w:szCs w:val="28"/>
                <w:rtl/>
                <w:lang w:bidi="ar-EG"/>
              </w:rPr>
              <w:t>أكتوبر</w:t>
            </w:r>
            <w:r w:rsidRPr="00211D55">
              <w:rPr>
                <w:rFonts w:ascii="Arabic Typesetting" w:hAnsi="Arabic Typesetting" w:cs="Arabic Typesetting"/>
                <w:b/>
                <w:sz w:val="28"/>
                <w:szCs w:val="28"/>
                <w:rtl/>
                <w:lang w:bidi="ar-EG"/>
              </w:rPr>
              <w:t xml:space="preserve"> 2014 ما </w:t>
            </w:r>
            <w:proofErr w:type="spellStart"/>
            <w:r w:rsidRPr="00211D55">
              <w:rPr>
                <w:rFonts w:ascii="Arabic Typesetting" w:hAnsi="Arabic Typesetting" w:cs="Arabic Typesetting"/>
                <w:b/>
                <w:sz w:val="28"/>
                <w:szCs w:val="28"/>
                <w:rtl/>
                <w:lang w:bidi="ar-EG"/>
              </w:rPr>
              <w:t>متوسطه</w:t>
            </w:r>
            <w:proofErr w:type="spellEnd"/>
            <w:r w:rsidRPr="00211D55">
              <w:rPr>
                <w:rFonts w:ascii="Arabic Typesetting" w:hAnsi="Arabic Typesetting" w:cs="Arabic Typesetting"/>
                <w:b/>
                <w:sz w:val="28"/>
                <w:szCs w:val="28"/>
                <w:rtl/>
                <w:lang w:bidi="ar-EG"/>
              </w:rPr>
              <w:t xml:space="preserve"> الشهري2300 زيارة متفردة.</w:t>
            </w:r>
          </w:p>
        </w:tc>
        <w:tc>
          <w:tcPr>
            <w:tcW w:w="994" w:type="dxa"/>
            <w:tcBorders>
              <w:top w:val="nil"/>
              <w:bottom w:val="nil"/>
            </w:tcBorders>
            <w:tcMar>
              <w:top w:w="110" w:type="dxa"/>
            </w:tcMar>
          </w:tcPr>
          <w:p w:rsidR="00766374" w:rsidRPr="00211D55" w:rsidRDefault="00766374" w:rsidP="008F54A9">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766374" w:rsidRPr="00211D55" w:rsidTr="00766374">
        <w:trPr>
          <w:cantSplit/>
          <w:trHeight w:val="1870"/>
        </w:trPr>
        <w:tc>
          <w:tcPr>
            <w:tcW w:w="2316" w:type="dxa"/>
            <w:gridSpan w:val="2"/>
            <w:tcBorders>
              <w:top w:val="nil"/>
              <w:bottom w:val="single" w:sz="4" w:space="0" w:color="auto"/>
            </w:tcBorders>
            <w:tcMar>
              <w:top w:w="110" w:type="dxa"/>
            </w:tcMar>
          </w:tcPr>
          <w:p w:rsidR="00766374" w:rsidRPr="00211D55" w:rsidRDefault="00766374" w:rsidP="00157A6A">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عدد الصكوك القانونية والمبادئ التوجيهية وإعلانات </w:t>
            </w:r>
            <w:r w:rsidR="00157A6A">
              <w:rPr>
                <w:rFonts w:ascii="Arabic Typesetting" w:hAnsi="Arabic Typesetting" w:cs="Arabic Typesetting" w:hint="cs"/>
                <w:b/>
                <w:sz w:val="28"/>
                <w:szCs w:val="28"/>
                <w:rtl/>
                <w:lang w:bidi="ar-EG"/>
              </w:rPr>
              <w:t>ال</w:t>
            </w:r>
            <w:r w:rsidRPr="00211D55">
              <w:rPr>
                <w:rFonts w:ascii="Arabic Typesetting" w:hAnsi="Arabic Typesetting" w:cs="Arabic Typesetting"/>
                <w:b/>
                <w:sz w:val="28"/>
                <w:szCs w:val="28"/>
                <w:rtl/>
                <w:lang w:bidi="ar-EG"/>
              </w:rPr>
              <w:t>مبادئ بخلاف المعاهدات التي وافق عليها أو صدق عليها أصحاب المصالح المعنيين في مجالات كالملكية الفكرية والرياضة وحق المؤلف في البيئة الرقمية</w:t>
            </w:r>
          </w:p>
        </w:tc>
        <w:tc>
          <w:tcPr>
            <w:tcW w:w="2503" w:type="dxa"/>
            <w:tcBorders>
              <w:top w:val="nil"/>
              <w:bottom w:val="single" w:sz="4" w:space="0" w:color="auto"/>
            </w:tcBorders>
            <w:shd w:val="clear" w:color="auto" w:fill="auto"/>
            <w:tcMar>
              <w:top w:w="110" w:type="dxa"/>
            </w:tcMar>
          </w:tcPr>
          <w:p w:rsidR="00766374" w:rsidRPr="00211D55" w:rsidRDefault="00766374" w:rsidP="00F60B87">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p>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واحد (مراجعة الويبو للاعتبارات التعاقدية في القطاع السمعي البصري)</w:t>
            </w:r>
          </w:p>
        </w:tc>
        <w:tc>
          <w:tcPr>
            <w:tcW w:w="1234" w:type="dxa"/>
            <w:tcBorders>
              <w:top w:val="nil"/>
              <w:bottom w:val="single" w:sz="4" w:space="0" w:color="auto"/>
            </w:tcBorders>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1</w:t>
            </w:r>
          </w:p>
        </w:tc>
        <w:tc>
          <w:tcPr>
            <w:tcW w:w="2308" w:type="dxa"/>
            <w:tcBorders>
              <w:top w:val="nil"/>
              <w:bottom w:val="single" w:sz="4" w:space="0" w:color="auto"/>
            </w:tcBorders>
            <w:tcMar>
              <w:top w:w="110" w:type="dxa"/>
            </w:tcMar>
          </w:tcPr>
          <w:p w:rsidR="00766374" w:rsidRPr="00211D55" w:rsidRDefault="00766374" w:rsidP="00157A6A">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استُكمل مشروع المبادئ التوجيهية بشأن تقييم ال</w:t>
            </w:r>
            <w:r w:rsidR="00157A6A">
              <w:rPr>
                <w:rFonts w:ascii="Arabic Typesetting" w:hAnsi="Arabic Typesetting" w:cs="Arabic Typesetting" w:hint="cs"/>
                <w:b/>
                <w:sz w:val="28"/>
                <w:szCs w:val="28"/>
                <w:rtl/>
                <w:lang w:bidi="ar-EG"/>
              </w:rPr>
              <w:t>أثر</w:t>
            </w:r>
            <w:r w:rsidRPr="00211D55">
              <w:rPr>
                <w:rFonts w:ascii="Arabic Typesetting" w:hAnsi="Arabic Typesetting" w:cs="Arabic Typesetting"/>
                <w:b/>
                <w:sz w:val="28"/>
                <w:szCs w:val="28"/>
                <w:rtl/>
                <w:lang w:bidi="ar-EG"/>
              </w:rPr>
              <w:t xml:space="preserve"> الاقتصادي والاجتماعي والثقافي لحق المؤلف على الاقتصاد في عام 2014 ودخل مرحلة تنفيذ تجريبية يزمع استكمالها بحلول يونيو 2016.</w:t>
            </w:r>
          </w:p>
        </w:tc>
        <w:tc>
          <w:tcPr>
            <w:tcW w:w="994" w:type="dxa"/>
            <w:tcBorders>
              <w:top w:val="nil"/>
              <w:bottom w:val="single" w:sz="4" w:space="0" w:color="auto"/>
            </w:tcBorders>
            <w:tcMar>
              <w:top w:w="110" w:type="dxa"/>
            </w:tcMar>
          </w:tcPr>
          <w:p w:rsidR="00766374" w:rsidRPr="00211D55" w:rsidRDefault="00766374" w:rsidP="008F54A9">
            <w:pPr>
              <w:bidi/>
              <w:spacing w:before="60" w:after="6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766374" w:rsidRPr="00211D55" w:rsidTr="009E62B8">
        <w:trPr>
          <w:cantSplit/>
          <w:trHeight w:val="25"/>
        </w:trPr>
        <w:tc>
          <w:tcPr>
            <w:tcW w:w="9355" w:type="dxa"/>
            <w:gridSpan w:val="6"/>
            <w:tcBorders>
              <w:top w:val="single" w:sz="4" w:space="0" w:color="auto"/>
              <w:bottom w:val="single" w:sz="4" w:space="0" w:color="auto"/>
            </w:tcBorders>
            <w:shd w:val="clear" w:color="auto" w:fill="C6D9F1" w:themeFill="text2" w:themeFillTint="33"/>
            <w:tcMar>
              <w:top w:w="110" w:type="dxa"/>
            </w:tcMar>
            <w:vAlign w:val="center"/>
          </w:tcPr>
          <w:p w:rsidR="00766374" w:rsidRPr="00211D55" w:rsidRDefault="00766374" w:rsidP="009E62B8">
            <w:pPr>
              <w:keepNext/>
              <w:bidi/>
              <w:spacing w:after="60" w:line="280" w:lineRule="exact"/>
              <w:ind w:left="1167" w:hanging="1167"/>
              <w:rPr>
                <w:rFonts w:ascii="Arabic Typesetting" w:hAnsi="Arabic Typesetting" w:cs="Arabic Typesetting"/>
                <w:b/>
                <w:sz w:val="28"/>
                <w:szCs w:val="28"/>
                <w:lang w:bidi="ar-EG"/>
              </w:rPr>
            </w:pPr>
            <w:r w:rsidRPr="00211D55">
              <w:rPr>
                <w:rFonts w:ascii="Arabic Typesetting" w:hAnsi="Arabic Typesetting" w:cs="Arabic Typesetting"/>
                <w:bCs/>
                <w:sz w:val="28"/>
                <w:szCs w:val="28"/>
                <w:shd w:val="clear" w:color="auto" w:fill="C6D9F1" w:themeFill="text2" w:themeFillTint="33"/>
                <w:rtl/>
                <w:lang w:bidi="ar-EG"/>
              </w:rPr>
              <w:t xml:space="preserve">النتيجة المرتقبة: </w:t>
            </w:r>
            <w:r w:rsidRPr="00211D55">
              <w:rPr>
                <w:rFonts w:ascii="Arabic Typesetting" w:hAnsi="Arabic Typesetting" w:cs="Arabic Typesetting"/>
                <w:b/>
                <w:sz w:val="28"/>
                <w:szCs w:val="28"/>
                <w:shd w:val="clear" w:color="auto" w:fill="C6D9F1" w:themeFill="text2" w:themeFillTint="33"/>
                <w:rtl/>
                <w:lang w:bidi="ar-EG"/>
              </w:rPr>
              <w:tab/>
            </w:r>
            <w:r w:rsidRPr="00211D55">
              <w:rPr>
                <w:rFonts w:ascii="Arabic Typesetting" w:hAnsi="Arabic Typesetting" w:cs="Arabic Typesetting"/>
                <w:sz w:val="28"/>
                <w:szCs w:val="28"/>
                <w:shd w:val="clear" w:color="auto" w:fill="C6D9F1" w:themeFill="text2" w:themeFillTint="33"/>
                <w:rtl/>
                <w:lang w:bidi="ar-EG"/>
              </w:rPr>
              <w:t xml:space="preserve">ه4.4 </w:t>
            </w:r>
            <w:r w:rsidR="000432CA">
              <w:rPr>
                <w:rFonts w:ascii="Arabic Typesetting" w:hAnsi="Arabic Typesetting" w:cs="Arabic Typesetting"/>
                <w:b/>
                <w:sz w:val="28"/>
                <w:szCs w:val="28"/>
                <w:shd w:val="clear" w:color="auto" w:fill="C6D9F1" w:themeFill="text2" w:themeFillTint="33"/>
                <w:rtl/>
                <w:lang w:bidi="ar-EG"/>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766374" w:rsidRPr="00211D55" w:rsidTr="005460B4">
        <w:trPr>
          <w:cantSplit/>
          <w:trHeight w:val="148"/>
        </w:trPr>
        <w:tc>
          <w:tcPr>
            <w:tcW w:w="2316" w:type="dxa"/>
            <w:gridSpan w:val="2"/>
            <w:tcBorders>
              <w:top w:val="single" w:sz="4" w:space="0" w:color="auto"/>
            </w:tcBorders>
            <w:tcMar>
              <w:top w:w="110" w:type="dxa"/>
            </w:tcMar>
          </w:tcPr>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مؤشرات الأداء</w:t>
            </w:r>
          </w:p>
        </w:tc>
        <w:tc>
          <w:tcPr>
            <w:tcW w:w="2503" w:type="dxa"/>
            <w:tcBorders>
              <w:top w:val="single" w:sz="4" w:space="0" w:color="auto"/>
              <w:bottom w:val="nil"/>
            </w:tcBorders>
            <w:shd w:val="clear" w:color="auto" w:fill="auto"/>
            <w:tcMar>
              <w:top w:w="110" w:type="dxa"/>
            </w:tcMar>
            <w:vAlign w:val="center"/>
          </w:tcPr>
          <w:p w:rsidR="00766374" w:rsidRPr="00211D55" w:rsidRDefault="00766374" w:rsidP="008F54A9">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Cs/>
                <w:sz w:val="28"/>
                <w:szCs w:val="28"/>
                <w:rtl/>
                <w:lang w:bidi="ar-EG"/>
              </w:rPr>
              <w:t>أسس المقارنة</w:t>
            </w:r>
          </w:p>
        </w:tc>
        <w:tc>
          <w:tcPr>
            <w:tcW w:w="1234" w:type="dxa"/>
            <w:tcBorders>
              <w:top w:val="single" w:sz="4" w:space="0" w:color="auto"/>
            </w:tcBorders>
            <w:vAlign w:val="center"/>
          </w:tcPr>
          <w:p w:rsidR="00766374" w:rsidRPr="00211D55" w:rsidRDefault="00766374" w:rsidP="008F54A9">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الأهداف</w:t>
            </w:r>
          </w:p>
        </w:tc>
        <w:tc>
          <w:tcPr>
            <w:tcW w:w="2308" w:type="dxa"/>
            <w:tcBorders>
              <w:top w:val="single" w:sz="4" w:space="0" w:color="auto"/>
            </w:tcBorders>
            <w:tcMar>
              <w:top w:w="110" w:type="dxa"/>
            </w:tcMar>
          </w:tcPr>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994" w:type="dxa"/>
            <w:tcBorders>
              <w:top w:val="single" w:sz="4" w:space="0" w:color="auto"/>
            </w:tcBorders>
            <w:tcMar>
              <w:top w:w="110" w:type="dxa"/>
            </w:tcMar>
          </w:tcPr>
          <w:p w:rsidR="00766374" w:rsidRPr="00211D55" w:rsidRDefault="00766374"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Cs/>
                <w:sz w:val="28"/>
                <w:szCs w:val="28"/>
                <w:rtl/>
                <w:lang w:bidi="ar-EG"/>
              </w:rPr>
              <w:t>السير</w:t>
            </w:r>
          </w:p>
        </w:tc>
      </w:tr>
      <w:tr w:rsidR="00766374" w:rsidRPr="00211D55" w:rsidTr="005460B4">
        <w:trPr>
          <w:cantSplit/>
          <w:trHeight w:val="148"/>
        </w:trPr>
        <w:tc>
          <w:tcPr>
            <w:tcW w:w="2316" w:type="dxa"/>
            <w:gridSpan w:val="2"/>
            <w:tcMar>
              <w:top w:w="110" w:type="dxa"/>
            </w:tcMar>
          </w:tcPr>
          <w:p w:rsidR="00766374" w:rsidRPr="00211D55" w:rsidRDefault="00766374" w:rsidP="00766374">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 xml:space="preserve">عدد الحكومات ومنظمات الإدارة الجماعية التي وقعت اتفاقية مع الويبو بشأن إعادة هندسة البرنامج الحاسوبي </w:t>
            </w:r>
            <w:r w:rsidRPr="00211D55">
              <w:rPr>
                <w:rFonts w:ascii="Arabic Typesetting" w:hAnsi="Arabic Typesetting" w:cs="Arabic Typesetting"/>
                <w:sz w:val="28"/>
                <w:szCs w:val="28"/>
                <w:rtl/>
                <w:lang w:bidi="ar-EG"/>
              </w:rPr>
              <w:t>(</w:t>
            </w:r>
            <w:r w:rsidRPr="00211D55">
              <w:rPr>
                <w:rFonts w:ascii="Arabic Typesetting" w:hAnsi="Arabic Typesetting" w:cs="Arabic Typesetting"/>
                <w:sz w:val="28"/>
                <w:szCs w:val="28"/>
                <w:lang w:bidi="ar-EG"/>
              </w:rPr>
              <w:t>WIPOCOS</w:t>
            </w:r>
            <w:r w:rsidRPr="00211D55">
              <w:rPr>
                <w:rFonts w:ascii="Arabic Typesetting" w:hAnsi="Arabic Typesetting" w:cs="Arabic Typesetting"/>
                <w:sz w:val="28"/>
                <w:szCs w:val="28"/>
                <w:rtl/>
                <w:lang w:bidi="ar-EG"/>
              </w:rPr>
              <w:t>)</w:t>
            </w:r>
          </w:p>
        </w:tc>
        <w:tc>
          <w:tcPr>
            <w:tcW w:w="2503" w:type="dxa"/>
            <w:tcBorders>
              <w:top w:val="nil"/>
              <w:bottom w:val="nil"/>
            </w:tcBorders>
            <w:shd w:val="clear" w:color="auto" w:fill="auto"/>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لم تبدأ بعد</w:t>
            </w:r>
          </w:p>
        </w:tc>
        <w:tc>
          <w:tcPr>
            <w:tcW w:w="1234" w:type="dxa"/>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أربع حكومات وخمس منظمات غير حكومية</w:t>
            </w:r>
          </w:p>
        </w:tc>
        <w:tc>
          <w:tcPr>
            <w:tcW w:w="2308" w:type="dxa"/>
            <w:tcMar>
              <w:top w:w="110" w:type="dxa"/>
            </w:tcMar>
          </w:tcPr>
          <w:p w:rsidR="00766374" w:rsidRPr="00211D55" w:rsidRDefault="00766374" w:rsidP="0012602F">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7 حكومات (تشاد</w:t>
            </w:r>
            <w:r w:rsidR="0012602F">
              <w:rPr>
                <w:rFonts w:ascii="Arabic Typesetting" w:hAnsi="Arabic Typesetting" w:cs="Arabic Typesetting" w:hint="cs"/>
                <w:b/>
                <w:sz w:val="28"/>
                <w:szCs w:val="28"/>
                <w:rtl/>
                <w:lang w:bidi="ar-EG"/>
              </w:rPr>
              <w:t xml:space="preserve"> و</w:t>
            </w:r>
            <w:r w:rsidRPr="00211D55">
              <w:rPr>
                <w:rFonts w:ascii="Arabic Typesetting" w:hAnsi="Arabic Typesetting" w:cs="Arabic Typesetting"/>
                <w:b/>
                <w:sz w:val="28"/>
                <w:szCs w:val="28"/>
                <w:rtl/>
                <w:lang w:bidi="ar-EG"/>
              </w:rPr>
              <w:t>جمهورية الكونغو الديمقراطية</w:t>
            </w:r>
            <w:r w:rsidR="0012602F">
              <w:rPr>
                <w:rFonts w:ascii="Arabic Typesetting" w:hAnsi="Arabic Typesetting" w:cs="Arabic Typesetting" w:hint="cs"/>
                <w:b/>
                <w:sz w:val="28"/>
                <w:szCs w:val="28"/>
                <w:rtl/>
                <w:lang w:bidi="ar-EG"/>
              </w:rPr>
              <w:t xml:space="preserve"> و</w:t>
            </w:r>
            <w:r w:rsidRPr="00211D55">
              <w:rPr>
                <w:rFonts w:ascii="Arabic Typesetting" w:hAnsi="Arabic Typesetting" w:cs="Arabic Typesetting"/>
                <w:b/>
                <w:sz w:val="28"/>
                <w:szCs w:val="28"/>
                <w:rtl/>
                <w:lang w:bidi="ar-EG"/>
              </w:rPr>
              <w:t>ماليزيا</w:t>
            </w:r>
            <w:r w:rsidR="0012602F">
              <w:rPr>
                <w:rFonts w:ascii="Arabic Typesetting" w:hAnsi="Arabic Typesetting" w:cs="Arabic Typesetting" w:hint="cs"/>
                <w:b/>
                <w:sz w:val="28"/>
                <w:szCs w:val="28"/>
                <w:rtl/>
                <w:lang w:bidi="ar-EG"/>
              </w:rPr>
              <w:t xml:space="preserve"> و</w:t>
            </w:r>
            <w:r w:rsidRPr="00211D55">
              <w:rPr>
                <w:rFonts w:ascii="Arabic Typesetting" w:hAnsi="Arabic Typesetting" w:cs="Arabic Typesetting"/>
                <w:b/>
                <w:sz w:val="28"/>
                <w:szCs w:val="28"/>
                <w:rtl/>
                <w:lang w:bidi="ar-EG"/>
              </w:rPr>
              <w:t>مالي</w:t>
            </w:r>
            <w:r w:rsidR="0012602F">
              <w:rPr>
                <w:rFonts w:ascii="Arabic Typesetting" w:hAnsi="Arabic Typesetting" w:cs="Arabic Typesetting" w:hint="cs"/>
                <w:b/>
                <w:sz w:val="28"/>
                <w:szCs w:val="28"/>
                <w:rtl/>
                <w:lang w:bidi="ar-EG"/>
              </w:rPr>
              <w:t xml:space="preserve"> و</w:t>
            </w:r>
            <w:r w:rsidRPr="00211D55">
              <w:rPr>
                <w:rFonts w:ascii="Arabic Typesetting" w:hAnsi="Arabic Typesetting" w:cs="Arabic Typesetting"/>
                <w:b/>
                <w:sz w:val="28"/>
                <w:szCs w:val="28"/>
                <w:rtl/>
                <w:lang w:bidi="ar-EG"/>
              </w:rPr>
              <w:t xml:space="preserve">نيبال </w:t>
            </w:r>
            <w:r w:rsidR="0012602F">
              <w:rPr>
                <w:rFonts w:ascii="Arabic Typesetting" w:hAnsi="Arabic Typesetting" w:cs="Arabic Typesetting" w:hint="cs"/>
                <w:b/>
                <w:sz w:val="28"/>
                <w:szCs w:val="28"/>
                <w:rtl/>
                <w:lang w:bidi="ar-EG"/>
              </w:rPr>
              <w:t>و</w:t>
            </w:r>
            <w:r w:rsidRPr="00211D55">
              <w:rPr>
                <w:rFonts w:ascii="Arabic Typesetting" w:hAnsi="Arabic Typesetting" w:cs="Arabic Typesetting"/>
                <w:b/>
                <w:sz w:val="28"/>
                <w:szCs w:val="28"/>
                <w:rtl/>
                <w:lang w:bidi="ar-EG"/>
              </w:rPr>
              <w:t xml:space="preserve">الفلبين </w:t>
            </w:r>
            <w:r w:rsidR="0012602F">
              <w:rPr>
                <w:rFonts w:ascii="Arabic Typesetting" w:hAnsi="Arabic Typesetting" w:cs="Arabic Typesetting" w:hint="cs"/>
                <w:b/>
                <w:sz w:val="28"/>
                <w:szCs w:val="28"/>
                <w:rtl/>
                <w:lang w:bidi="ar-EG"/>
              </w:rPr>
              <w:t>و</w:t>
            </w:r>
            <w:r w:rsidRPr="00211D55">
              <w:rPr>
                <w:rFonts w:ascii="Arabic Typesetting" w:hAnsi="Arabic Typesetting" w:cs="Arabic Typesetting"/>
                <w:b/>
                <w:sz w:val="28"/>
                <w:szCs w:val="28"/>
                <w:rtl/>
                <w:lang w:bidi="ar-EG"/>
              </w:rPr>
              <w:t>أوغندا) و43 منظمة للإدارة الجماعية.</w:t>
            </w:r>
          </w:p>
        </w:tc>
        <w:tc>
          <w:tcPr>
            <w:tcW w:w="994" w:type="dxa"/>
            <w:tcMar>
              <w:top w:w="110" w:type="dxa"/>
            </w:tcMar>
          </w:tcPr>
          <w:p w:rsidR="00766374" w:rsidRPr="00211D55" w:rsidRDefault="00766374" w:rsidP="008F54A9">
            <w:pPr>
              <w:bidi/>
              <w:spacing w:before="60" w:after="60" w:line="28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766374" w:rsidRPr="00211D55" w:rsidTr="00070FC4">
        <w:trPr>
          <w:cantSplit/>
          <w:trHeight w:val="148"/>
        </w:trPr>
        <w:tc>
          <w:tcPr>
            <w:tcW w:w="2316" w:type="dxa"/>
            <w:gridSpan w:val="2"/>
            <w:tcBorders>
              <w:bottom w:val="nil"/>
            </w:tcBorders>
            <w:tcMar>
              <w:top w:w="110" w:type="dxa"/>
            </w:tcMar>
          </w:tcPr>
          <w:p w:rsidR="00766374" w:rsidRPr="00211D55" w:rsidRDefault="00766374" w:rsidP="0012602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عدد منظمات الإدارة الجماعية في البلدان النامية والبلدان الأقل نموا التي شاركت في شبكات إقليمية وعالمية </w:t>
            </w:r>
            <w:r w:rsidR="0012602F">
              <w:rPr>
                <w:rFonts w:ascii="Arabic Typesetting" w:hAnsi="Arabic Typesetting" w:cs="Arabic Typesetting" w:hint="cs"/>
                <w:b/>
                <w:sz w:val="28"/>
                <w:szCs w:val="28"/>
                <w:rtl/>
                <w:lang w:bidi="ar-EG"/>
              </w:rPr>
              <w:t>تيسرها</w:t>
            </w:r>
            <w:r w:rsidRPr="00211D55">
              <w:rPr>
                <w:rFonts w:ascii="Arabic Typesetting" w:hAnsi="Arabic Typesetting" w:cs="Arabic Typesetting"/>
                <w:b/>
                <w:sz w:val="28"/>
                <w:szCs w:val="28"/>
                <w:rtl/>
                <w:lang w:bidi="ar-EG"/>
              </w:rPr>
              <w:t xml:space="preserve"> الويبو</w:t>
            </w:r>
          </w:p>
        </w:tc>
        <w:tc>
          <w:tcPr>
            <w:tcW w:w="2503" w:type="dxa"/>
            <w:tcBorders>
              <w:top w:val="nil"/>
              <w:bottom w:val="nil"/>
            </w:tcBorders>
            <w:shd w:val="clear" w:color="auto" w:fill="auto"/>
            <w:tcMar>
              <w:top w:w="110" w:type="dxa"/>
            </w:tcMar>
          </w:tcPr>
          <w:p w:rsidR="00766374" w:rsidRPr="00211D55" w:rsidRDefault="00766374" w:rsidP="008F54A9">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صفر</w:t>
            </w:r>
          </w:p>
        </w:tc>
        <w:tc>
          <w:tcPr>
            <w:tcW w:w="1234" w:type="dxa"/>
            <w:tcBorders>
              <w:bottom w:val="nil"/>
            </w:tcBorders>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10</w:t>
            </w:r>
          </w:p>
        </w:tc>
        <w:tc>
          <w:tcPr>
            <w:tcW w:w="2308" w:type="dxa"/>
            <w:tcBorders>
              <w:bottom w:val="nil"/>
            </w:tcBorders>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13</w:t>
            </w:r>
          </w:p>
        </w:tc>
        <w:tc>
          <w:tcPr>
            <w:tcW w:w="994" w:type="dxa"/>
            <w:tcBorders>
              <w:bottom w:val="nil"/>
            </w:tcBorders>
            <w:tcMar>
              <w:top w:w="110" w:type="dxa"/>
            </w:tcMar>
          </w:tcPr>
          <w:p w:rsidR="00766374" w:rsidRPr="00211D55" w:rsidRDefault="00766374" w:rsidP="008F54A9">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766374" w:rsidRPr="00211D55" w:rsidTr="00070FC4">
        <w:trPr>
          <w:cantSplit/>
          <w:trHeight w:val="148"/>
        </w:trPr>
        <w:tc>
          <w:tcPr>
            <w:tcW w:w="2316" w:type="dxa"/>
            <w:gridSpan w:val="2"/>
            <w:tcBorders>
              <w:top w:val="nil"/>
              <w:bottom w:val="single" w:sz="4" w:space="0" w:color="auto"/>
            </w:tcBorders>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النسبة المئوية للحكومات التي تقدم تقارير إيجابية عن تعزيز فعالية (</w:t>
            </w:r>
            <w:proofErr w:type="spellStart"/>
            <w:r w:rsidRPr="00211D55">
              <w:rPr>
                <w:rFonts w:ascii="Arabic Typesetting" w:hAnsi="Arabic Typesetting" w:cs="Arabic Typesetting"/>
                <w:b/>
                <w:sz w:val="28"/>
                <w:szCs w:val="28"/>
                <w:rtl/>
                <w:lang w:bidi="ar-EG"/>
              </w:rPr>
              <w:t>وحوكمة</w:t>
            </w:r>
            <w:proofErr w:type="spellEnd"/>
            <w:r w:rsidRPr="00211D55">
              <w:rPr>
                <w:rFonts w:ascii="Arabic Typesetting" w:hAnsi="Arabic Typesetting" w:cs="Arabic Typesetting"/>
                <w:b/>
                <w:sz w:val="28"/>
                <w:szCs w:val="28"/>
                <w:rtl/>
                <w:lang w:bidi="ar-EG"/>
              </w:rPr>
              <w:t>) مكاتب حق المؤلف وغيرها من مؤسسات حق المؤلف في البلد</w:t>
            </w:r>
          </w:p>
        </w:tc>
        <w:tc>
          <w:tcPr>
            <w:tcW w:w="2503" w:type="dxa"/>
            <w:tcBorders>
              <w:top w:val="nil"/>
              <w:bottom w:val="single" w:sz="4" w:space="0" w:color="auto"/>
            </w:tcBorders>
            <w:shd w:val="clear" w:color="auto" w:fill="auto"/>
            <w:tcMar>
              <w:top w:w="110" w:type="dxa"/>
            </w:tcMar>
          </w:tcPr>
          <w:p w:rsidR="00766374" w:rsidRPr="00211D55" w:rsidRDefault="00766374" w:rsidP="0012602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أكثر من 70% من الحكومات التي تلقت المساعدة قدمت تقارير إيجابية عن تعزيز فعالية المؤسسات </w:t>
            </w:r>
            <w:r w:rsidR="0012602F">
              <w:rPr>
                <w:rFonts w:ascii="Arabic Typesetting" w:hAnsi="Arabic Typesetting" w:cs="Arabic Typesetting" w:hint="cs"/>
                <w:b/>
                <w:color w:val="002060"/>
                <w:sz w:val="28"/>
                <w:szCs w:val="28"/>
                <w:rtl/>
                <w:lang w:bidi="ar-EG"/>
              </w:rPr>
              <w:t xml:space="preserve">المعنية </w:t>
            </w:r>
            <w:proofErr w:type="spellStart"/>
            <w:r w:rsidR="0012602F">
              <w:rPr>
                <w:rFonts w:ascii="Arabic Typesetting" w:hAnsi="Arabic Typesetting" w:cs="Arabic Typesetting" w:hint="cs"/>
                <w:b/>
                <w:color w:val="002060"/>
                <w:sz w:val="28"/>
                <w:szCs w:val="28"/>
                <w:rtl/>
                <w:lang w:bidi="ar-EG"/>
              </w:rPr>
              <w:t>وإدراتها</w:t>
            </w:r>
            <w:proofErr w:type="spellEnd"/>
            <w:r w:rsidRPr="00211D55">
              <w:rPr>
                <w:rFonts w:ascii="Arabic Typesetting" w:hAnsi="Arabic Typesetting" w:cs="Arabic Typesetting"/>
                <w:b/>
                <w:color w:val="002060"/>
                <w:sz w:val="28"/>
                <w:szCs w:val="28"/>
                <w:rtl/>
                <w:lang w:bidi="ar-EG"/>
              </w:rPr>
              <w:t xml:space="preserve"> في البلد بعد التدريب</w:t>
            </w:r>
          </w:p>
          <w:p w:rsidR="00766374" w:rsidRPr="00211D55" w:rsidRDefault="00766374" w:rsidP="008F54A9">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نسبة الرضا 80%</w:t>
            </w:r>
          </w:p>
        </w:tc>
        <w:tc>
          <w:tcPr>
            <w:tcW w:w="1234" w:type="dxa"/>
            <w:tcBorders>
              <w:top w:val="nil"/>
              <w:bottom w:val="single" w:sz="4" w:space="0" w:color="auto"/>
            </w:tcBorders>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80% من البلدان التي تلقت المساعدة التقنية</w:t>
            </w:r>
          </w:p>
        </w:tc>
        <w:tc>
          <w:tcPr>
            <w:tcW w:w="2308" w:type="dxa"/>
            <w:tcBorders>
              <w:top w:val="nil"/>
              <w:bottom w:val="single" w:sz="4" w:space="0" w:color="auto"/>
            </w:tcBorders>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أكثر من 80% من البلدان التي تلقت المساعدة التقنية</w:t>
            </w:r>
          </w:p>
        </w:tc>
        <w:tc>
          <w:tcPr>
            <w:tcW w:w="994" w:type="dxa"/>
            <w:tcBorders>
              <w:top w:val="nil"/>
              <w:bottom w:val="single" w:sz="4" w:space="0" w:color="auto"/>
            </w:tcBorders>
            <w:tcMar>
              <w:top w:w="110" w:type="dxa"/>
            </w:tcMar>
          </w:tcPr>
          <w:p w:rsidR="00766374" w:rsidRPr="00211D55" w:rsidRDefault="00766374" w:rsidP="008F54A9">
            <w:pPr>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766374" w:rsidRPr="00211D55" w:rsidTr="009E62B8">
        <w:trPr>
          <w:cantSplit/>
          <w:trHeight w:val="192"/>
        </w:trPr>
        <w:tc>
          <w:tcPr>
            <w:tcW w:w="9355" w:type="dxa"/>
            <w:gridSpan w:val="6"/>
            <w:tcBorders>
              <w:top w:val="single" w:sz="4" w:space="0" w:color="auto"/>
              <w:bottom w:val="single" w:sz="4" w:space="0" w:color="auto"/>
            </w:tcBorders>
            <w:shd w:val="clear" w:color="auto" w:fill="C6D9F1" w:themeFill="text2" w:themeFillTint="33"/>
            <w:tcMar>
              <w:top w:w="110" w:type="dxa"/>
            </w:tcMar>
          </w:tcPr>
          <w:p w:rsidR="00766374" w:rsidRPr="00211D55" w:rsidRDefault="00766374" w:rsidP="009E62B8">
            <w:pPr>
              <w:keepNext/>
              <w:bidi/>
              <w:spacing w:after="60" w:line="280" w:lineRule="exact"/>
              <w:ind w:left="1167" w:hanging="1167"/>
              <w:rPr>
                <w:rFonts w:ascii="Arabic Typesetting" w:hAnsi="Arabic Typesetting" w:cs="Arabic Typesetting"/>
                <w:b/>
                <w:bCs/>
                <w:sz w:val="28"/>
                <w:szCs w:val="28"/>
                <w:rtl/>
                <w:lang w:bidi="ar-EG"/>
              </w:rPr>
            </w:pPr>
            <w:r w:rsidRPr="00211D55">
              <w:rPr>
                <w:rFonts w:ascii="Arabic Typesetting" w:hAnsi="Arabic Typesetting" w:cs="Arabic Typesetting"/>
                <w:bCs/>
                <w:sz w:val="28"/>
                <w:szCs w:val="28"/>
                <w:rtl/>
                <w:lang w:bidi="ar-EG"/>
              </w:rPr>
              <w:lastRenderedPageBreak/>
              <w:t xml:space="preserve">النتيجة </w:t>
            </w:r>
            <w:r w:rsidRPr="00211D55">
              <w:rPr>
                <w:rFonts w:ascii="Arabic Typesetting" w:hAnsi="Arabic Typesetting" w:cs="Arabic Typesetting"/>
                <w:bCs/>
                <w:sz w:val="28"/>
                <w:szCs w:val="28"/>
                <w:shd w:val="clear" w:color="auto" w:fill="C6D9F1" w:themeFill="text2" w:themeFillTint="33"/>
                <w:rtl/>
                <w:lang w:bidi="ar-EG"/>
              </w:rPr>
              <w:t xml:space="preserve">المرتقبة: </w:t>
            </w:r>
            <w:r w:rsidRPr="00211D55">
              <w:rPr>
                <w:rFonts w:ascii="Arabic Typesetting" w:hAnsi="Arabic Typesetting" w:cs="Arabic Typesetting"/>
                <w:b/>
                <w:sz w:val="28"/>
                <w:szCs w:val="28"/>
                <w:shd w:val="clear" w:color="auto" w:fill="C6D9F1" w:themeFill="text2" w:themeFillTint="33"/>
                <w:rtl/>
                <w:lang w:bidi="ar-EG"/>
              </w:rPr>
              <w:tab/>
            </w:r>
            <w:r w:rsidRPr="00211D55">
              <w:rPr>
                <w:rFonts w:ascii="Arabic Typesetting" w:hAnsi="Arabic Typesetting" w:cs="Arabic Typesetting"/>
                <w:sz w:val="28"/>
                <w:szCs w:val="28"/>
                <w:shd w:val="clear" w:color="auto" w:fill="C6D9F1" w:themeFill="text2" w:themeFillTint="33"/>
                <w:rtl/>
                <w:lang w:bidi="ar-EG"/>
              </w:rPr>
              <w:t xml:space="preserve">ه2.5 </w:t>
            </w:r>
            <w:r w:rsidRPr="00211D55">
              <w:rPr>
                <w:rFonts w:ascii="Arabic Typesetting" w:hAnsi="Arabic Typesetting" w:cs="Arabic Typesetting"/>
                <w:b/>
                <w:sz w:val="28"/>
                <w:szCs w:val="28"/>
                <w:shd w:val="clear" w:color="auto" w:fill="C6D9F1" w:themeFill="text2" w:themeFillTint="33"/>
                <w:rtl/>
                <w:lang w:bidi="ar-EG"/>
              </w:rPr>
              <w:t xml:space="preserve">استخدام </w:t>
            </w:r>
            <w:r w:rsidRPr="009E62B8">
              <w:rPr>
                <w:rFonts w:ascii="Arabic Typesetting" w:hAnsi="Arabic Typesetting" w:cs="Arabic Typesetting"/>
                <w:sz w:val="28"/>
                <w:szCs w:val="28"/>
                <w:rtl/>
                <w:lang w:bidi="ar-EG"/>
              </w:rPr>
              <w:t>تحليلات</w:t>
            </w:r>
            <w:r w:rsidRPr="00211D55">
              <w:rPr>
                <w:rFonts w:ascii="Arabic Typesetting" w:hAnsi="Arabic Typesetting" w:cs="Arabic Typesetting"/>
                <w:b/>
                <w:sz w:val="28"/>
                <w:szCs w:val="28"/>
                <w:shd w:val="clear" w:color="auto" w:fill="C6D9F1" w:themeFill="text2" w:themeFillTint="33"/>
                <w:rtl/>
                <w:lang w:bidi="ar-EG"/>
              </w:rPr>
              <w:t xml:space="preserve"> الويبو الاقتصادية في صياغة السياسات العامة على نطاق أوسع ونحو أفضل</w:t>
            </w:r>
          </w:p>
        </w:tc>
      </w:tr>
      <w:tr w:rsidR="00766374" w:rsidRPr="00211D55" w:rsidTr="005460B4">
        <w:trPr>
          <w:cantSplit/>
          <w:trHeight w:val="148"/>
        </w:trPr>
        <w:tc>
          <w:tcPr>
            <w:tcW w:w="2316" w:type="dxa"/>
            <w:gridSpan w:val="2"/>
            <w:tcBorders>
              <w:top w:val="single" w:sz="4" w:space="0" w:color="auto"/>
              <w:bottom w:val="nil"/>
            </w:tcBorders>
            <w:tcMar>
              <w:top w:w="110" w:type="dxa"/>
            </w:tcMar>
          </w:tcPr>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مؤشرات الأداء</w:t>
            </w:r>
          </w:p>
        </w:tc>
        <w:tc>
          <w:tcPr>
            <w:tcW w:w="2503" w:type="dxa"/>
            <w:tcBorders>
              <w:top w:val="single" w:sz="4" w:space="0" w:color="auto"/>
              <w:bottom w:val="nil"/>
            </w:tcBorders>
            <w:shd w:val="clear" w:color="auto" w:fill="auto"/>
            <w:tcMar>
              <w:top w:w="110" w:type="dxa"/>
            </w:tcMar>
            <w:vAlign w:val="center"/>
          </w:tcPr>
          <w:p w:rsidR="00766374" w:rsidRPr="00211D55" w:rsidRDefault="00766374" w:rsidP="008F54A9">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Cs/>
                <w:sz w:val="28"/>
                <w:szCs w:val="28"/>
                <w:rtl/>
                <w:lang w:bidi="ar-EG"/>
              </w:rPr>
              <w:t>أسس المقارنة</w:t>
            </w:r>
          </w:p>
        </w:tc>
        <w:tc>
          <w:tcPr>
            <w:tcW w:w="1234" w:type="dxa"/>
            <w:tcBorders>
              <w:top w:val="single" w:sz="4" w:space="0" w:color="auto"/>
              <w:bottom w:val="nil"/>
            </w:tcBorders>
            <w:vAlign w:val="center"/>
          </w:tcPr>
          <w:p w:rsidR="00766374" w:rsidRPr="00211D55" w:rsidRDefault="00766374" w:rsidP="008F54A9">
            <w:pPr>
              <w:keepNext/>
              <w:bidi/>
              <w:spacing w:before="60" w:after="60" w:line="280" w:lineRule="exact"/>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lang w:bidi="ar-EG"/>
              </w:rPr>
              <w:t>الأهداف</w:t>
            </w:r>
          </w:p>
        </w:tc>
        <w:tc>
          <w:tcPr>
            <w:tcW w:w="2308" w:type="dxa"/>
            <w:tcBorders>
              <w:top w:val="single" w:sz="4" w:space="0" w:color="auto"/>
              <w:bottom w:val="nil"/>
            </w:tcBorders>
            <w:tcMar>
              <w:top w:w="110" w:type="dxa"/>
            </w:tcMar>
          </w:tcPr>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994" w:type="dxa"/>
            <w:tcBorders>
              <w:top w:val="single" w:sz="4" w:space="0" w:color="auto"/>
              <w:bottom w:val="nil"/>
            </w:tcBorders>
            <w:tcMar>
              <w:top w:w="110" w:type="dxa"/>
            </w:tcMar>
          </w:tcPr>
          <w:p w:rsidR="00766374" w:rsidRPr="00211D55" w:rsidRDefault="00766374" w:rsidP="008F54A9">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Cs/>
                <w:sz w:val="28"/>
                <w:szCs w:val="28"/>
                <w:rtl/>
                <w:lang w:bidi="ar-EG"/>
              </w:rPr>
              <w:t>السير</w:t>
            </w:r>
          </w:p>
        </w:tc>
      </w:tr>
      <w:tr w:rsidR="00766374" w:rsidRPr="00211D55" w:rsidTr="005460B4">
        <w:trPr>
          <w:cantSplit/>
          <w:trHeight w:val="148"/>
        </w:trPr>
        <w:tc>
          <w:tcPr>
            <w:tcW w:w="2316" w:type="dxa"/>
            <w:gridSpan w:val="2"/>
            <w:tcBorders>
              <w:top w:val="nil"/>
              <w:bottom w:val="nil"/>
            </w:tcBorders>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استخدام الحكومات والمنظمات غير الحكومية لدراسات الويبو الاقتصادية عن حق المؤلف في صنع القرارات</w:t>
            </w:r>
          </w:p>
        </w:tc>
        <w:tc>
          <w:tcPr>
            <w:tcW w:w="2503" w:type="dxa"/>
            <w:tcBorders>
              <w:top w:val="nil"/>
              <w:bottom w:val="nil"/>
            </w:tcBorders>
            <w:shd w:val="clear" w:color="auto" w:fill="auto"/>
            <w:tcMar>
              <w:top w:w="110" w:type="dxa"/>
            </w:tcMar>
          </w:tcPr>
          <w:p w:rsidR="00766374" w:rsidRPr="00211D55" w:rsidRDefault="00766374" w:rsidP="0012602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10 بلدان في </w:t>
            </w:r>
            <w:r w:rsidR="00507DE2">
              <w:rPr>
                <w:rFonts w:ascii="Arabic Typesetting" w:hAnsi="Arabic Typesetting" w:cs="Arabic Typesetting" w:hint="cs"/>
                <w:b/>
                <w:color w:val="002060"/>
                <w:sz w:val="28"/>
                <w:szCs w:val="28"/>
                <w:rtl/>
                <w:lang w:bidi="ar-EG"/>
              </w:rPr>
              <w:t>2012/13</w:t>
            </w:r>
            <w:r w:rsidRPr="00211D55">
              <w:rPr>
                <w:rFonts w:ascii="Arabic Typesetting" w:hAnsi="Arabic Typesetting" w:cs="Arabic Typesetting"/>
                <w:b/>
                <w:color w:val="002060"/>
                <w:sz w:val="28"/>
                <w:szCs w:val="28"/>
                <w:rtl/>
                <w:lang w:bidi="ar-EG"/>
              </w:rPr>
              <w:t>: بلغاريا٬ الصين٬ كولومبيا٬ كرواتيا٬ جامايكا٬ كينيا٬ ماليزيا٬ جمهورية تنزانيا المتحدة٬ تايلند٬ ترينيداد وتوباغو</w:t>
            </w:r>
          </w:p>
          <w:p w:rsidR="00766374" w:rsidRPr="00211D55" w:rsidRDefault="00766374" w:rsidP="0012602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استخدام ثماني حكومات أو منظمات غير حكومية لدراسات</w:t>
            </w:r>
            <w:r w:rsidR="0012602F">
              <w:rPr>
                <w:rFonts w:ascii="Arabic Typesetting" w:hAnsi="Arabic Typesetting" w:cs="Arabic Typesetting" w:hint="cs"/>
                <w:b/>
                <w:sz w:val="28"/>
                <w:szCs w:val="28"/>
                <w:rtl/>
                <w:lang w:bidi="ar-EG"/>
              </w:rPr>
              <w:t> </w:t>
            </w:r>
            <w:r w:rsidRPr="00211D55">
              <w:rPr>
                <w:rFonts w:ascii="Arabic Typesetting" w:hAnsi="Arabic Typesetting" w:cs="Arabic Typesetting"/>
                <w:b/>
                <w:sz w:val="28"/>
                <w:szCs w:val="28"/>
                <w:rtl/>
                <w:lang w:bidi="ar-EG"/>
              </w:rPr>
              <w:t>الويبو</w:t>
            </w:r>
          </w:p>
        </w:tc>
        <w:tc>
          <w:tcPr>
            <w:tcW w:w="1234" w:type="dxa"/>
            <w:tcBorders>
              <w:top w:val="nil"/>
              <w:bottom w:val="nil"/>
            </w:tcBorders>
          </w:tcPr>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استخدام 12 حكومة أو منظمة غير حكومية لدراسات الويبو (</w:t>
            </w:r>
            <w:r w:rsidR="0012602F">
              <w:rPr>
                <w:rFonts w:ascii="Arabic Typesetting" w:hAnsi="Arabic Typesetting" w:cs="Arabic Typesetting" w:hint="cs"/>
                <w:b/>
                <w:sz w:val="28"/>
                <w:szCs w:val="28"/>
                <w:rtl/>
                <w:lang w:bidi="ar-EG"/>
              </w:rPr>
              <w:t>ال</w:t>
            </w:r>
            <w:r w:rsidRPr="00211D55">
              <w:rPr>
                <w:rFonts w:ascii="Arabic Typesetting" w:hAnsi="Arabic Typesetting" w:cs="Arabic Typesetting"/>
                <w:b/>
                <w:sz w:val="28"/>
                <w:szCs w:val="28"/>
                <w:rtl/>
                <w:lang w:bidi="ar-EG"/>
              </w:rPr>
              <w:t>تراكمي)</w:t>
            </w:r>
          </w:p>
        </w:tc>
        <w:tc>
          <w:tcPr>
            <w:tcW w:w="2308" w:type="dxa"/>
            <w:tcBorders>
              <w:top w:val="nil"/>
              <w:bottom w:val="nil"/>
            </w:tcBorders>
            <w:tcMar>
              <w:top w:w="110" w:type="dxa"/>
            </w:tcMar>
          </w:tcPr>
          <w:p w:rsidR="00766374" w:rsidRPr="00211D55" w:rsidRDefault="00766374" w:rsidP="00992C4D">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استخدام </w:t>
            </w:r>
            <w:r w:rsidR="00992C4D" w:rsidRPr="00211D55">
              <w:rPr>
                <w:rFonts w:ascii="Arabic Typesetting" w:hAnsi="Arabic Typesetting" w:cs="Arabic Typesetting"/>
                <w:b/>
                <w:sz w:val="28"/>
                <w:szCs w:val="28"/>
                <w:rtl/>
                <w:lang w:bidi="ar-EG"/>
              </w:rPr>
              <w:t>13</w:t>
            </w:r>
            <w:r w:rsidRPr="00211D55">
              <w:rPr>
                <w:rFonts w:ascii="Arabic Typesetting" w:hAnsi="Arabic Typesetting" w:cs="Arabic Typesetting"/>
                <w:b/>
                <w:sz w:val="28"/>
                <w:szCs w:val="28"/>
                <w:rtl/>
                <w:lang w:bidi="ar-EG"/>
              </w:rPr>
              <w:t xml:space="preserve"> بلدا إضافي</w:t>
            </w:r>
            <w:r w:rsidR="00992C4D" w:rsidRPr="00211D55">
              <w:rPr>
                <w:rFonts w:ascii="Arabic Typesetting" w:hAnsi="Arabic Typesetting" w:cs="Arabic Typesetting"/>
                <w:b/>
                <w:sz w:val="28"/>
                <w:szCs w:val="28"/>
                <w:rtl/>
                <w:lang w:bidi="ar-EG"/>
              </w:rPr>
              <w:t>ا ومنظمة غير حكومية</w:t>
            </w:r>
            <w:r w:rsidRPr="00211D55">
              <w:rPr>
                <w:rFonts w:ascii="Arabic Typesetting" w:hAnsi="Arabic Typesetting" w:cs="Arabic Typesetting"/>
                <w:b/>
                <w:sz w:val="28"/>
                <w:szCs w:val="28"/>
                <w:rtl/>
                <w:lang w:bidi="ar-EG"/>
              </w:rPr>
              <w:t xml:space="preserve"> (فنلندا٬ </w:t>
            </w:r>
            <w:r w:rsidR="00992C4D" w:rsidRPr="00211D55">
              <w:rPr>
                <w:rFonts w:ascii="Arabic Typesetting" w:hAnsi="Arabic Typesetting" w:cs="Arabic Typesetting"/>
                <w:b/>
                <w:sz w:val="28"/>
                <w:szCs w:val="28"/>
                <w:rtl/>
                <w:lang w:bidi="ar-EG"/>
              </w:rPr>
              <w:t xml:space="preserve">إندونيسيا، </w:t>
            </w:r>
            <w:r w:rsidRPr="00211D55">
              <w:rPr>
                <w:rFonts w:ascii="Arabic Typesetting" w:hAnsi="Arabic Typesetting" w:cs="Arabic Typesetting"/>
                <w:b/>
                <w:sz w:val="28"/>
                <w:szCs w:val="28"/>
                <w:rtl/>
                <w:lang w:bidi="ar-EG"/>
              </w:rPr>
              <w:t>لاتفيا٬ ليتوانيا٬ ملاوي٬</w:t>
            </w:r>
            <w:r w:rsidR="00992C4D" w:rsidRPr="00211D55">
              <w:rPr>
                <w:rFonts w:ascii="Arabic Typesetting" w:hAnsi="Arabic Typesetting" w:cs="Arabic Typesetting"/>
                <w:b/>
                <w:sz w:val="28"/>
                <w:szCs w:val="28"/>
                <w:rtl/>
                <w:lang w:bidi="ar-EG"/>
              </w:rPr>
              <w:t xml:space="preserve"> جمهورية مولدوفا،</w:t>
            </w:r>
            <w:r w:rsidRPr="00211D55">
              <w:rPr>
                <w:rFonts w:ascii="Arabic Typesetting" w:hAnsi="Arabic Typesetting" w:cs="Arabic Typesetting"/>
                <w:b/>
                <w:sz w:val="28"/>
                <w:szCs w:val="28"/>
                <w:rtl/>
                <w:lang w:bidi="ar-EG"/>
              </w:rPr>
              <w:t xml:space="preserve"> هولندا٬</w:t>
            </w:r>
            <w:r w:rsidR="00992C4D" w:rsidRPr="00211D55">
              <w:rPr>
                <w:rFonts w:ascii="Arabic Typesetting" w:hAnsi="Arabic Typesetting" w:cs="Arabic Typesetting"/>
                <w:b/>
                <w:sz w:val="28"/>
                <w:szCs w:val="28"/>
                <w:rtl/>
                <w:lang w:bidi="ar-EG"/>
              </w:rPr>
              <w:t xml:space="preserve"> الفلبين،</w:t>
            </w:r>
            <w:r w:rsidRPr="00211D55">
              <w:rPr>
                <w:rFonts w:ascii="Arabic Typesetting" w:hAnsi="Arabic Typesetting" w:cs="Arabic Typesetting"/>
                <w:b/>
                <w:sz w:val="28"/>
                <w:szCs w:val="28"/>
                <w:rtl/>
                <w:lang w:bidi="ar-EG"/>
              </w:rPr>
              <w:t xml:space="preserve"> جمهورية كوريا٬ صربيا٬ الولايات المتحدة الأمريكية</w:t>
            </w:r>
            <w:r w:rsidR="00992C4D" w:rsidRPr="00211D55">
              <w:rPr>
                <w:rFonts w:ascii="Arabic Typesetting" w:hAnsi="Arabic Typesetting" w:cs="Arabic Typesetting"/>
                <w:b/>
                <w:sz w:val="28"/>
                <w:szCs w:val="28"/>
                <w:rtl/>
                <w:lang w:bidi="ar-EG"/>
              </w:rPr>
              <w:t>،</w:t>
            </w:r>
            <w:r w:rsidRPr="00211D55">
              <w:rPr>
                <w:rFonts w:ascii="Arabic Typesetting" w:hAnsi="Arabic Typesetting" w:cs="Arabic Typesetting"/>
                <w:b/>
                <w:sz w:val="28"/>
                <w:szCs w:val="28"/>
                <w:rtl/>
                <w:lang w:bidi="ar-EG"/>
              </w:rPr>
              <w:t xml:space="preserve"> </w:t>
            </w:r>
            <w:r w:rsidR="00992C4D" w:rsidRPr="00211D55">
              <w:rPr>
                <w:rFonts w:ascii="Arabic Typesetting" w:hAnsi="Arabic Typesetting" w:cs="Arabic Typesetting"/>
                <w:b/>
                <w:sz w:val="28"/>
                <w:szCs w:val="28"/>
                <w:rtl/>
                <w:lang w:bidi="ar-EG"/>
              </w:rPr>
              <w:t>المركز الإقليمي لتطوير الكتب في إقليم أمريكا اللاتينية والكاريبي (</w:t>
            </w:r>
            <w:r w:rsidR="00992C4D" w:rsidRPr="00211D55">
              <w:rPr>
                <w:rFonts w:ascii="Arabic Typesetting" w:hAnsi="Arabic Typesetting" w:cs="Arabic Typesetting"/>
                <w:b/>
                <w:sz w:val="28"/>
                <w:szCs w:val="28"/>
                <w:cs/>
                <w:lang w:bidi="ar-EG"/>
              </w:rPr>
              <w:t>‎</w:t>
            </w:r>
            <w:r w:rsidR="00992C4D" w:rsidRPr="00211D55">
              <w:rPr>
                <w:rFonts w:ascii="Arabic Typesetting" w:hAnsi="Arabic Typesetting" w:cs="Arabic Typesetting"/>
                <w:sz w:val="28"/>
                <w:szCs w:val="28"/>
                <w:lang w:bidi="ar-EG"/>
              </w:rPr>
              <w:t>CERLALC</w:t>
            </w:r>
            <w:r w:rsidR="00992C4D" w:rsidRPr="00211D55">
              <w:rPr>
                <w:rFonts w:ascii="Arabic Typesetting" w:hAnsi="Arabic Typesetting" w:cs="Arabic Typesetting"/>
                <w:b/>
                <w:sz w:val="28"/>
                <w:szCs w:val="28"/>
                <w:rtl/>
                <w:lang w:bidi="ar-EG"/>
              </w:rPr>
              <w:t>‏)، جمعية البحث الاقتصادي في حق المؤلف (</w:t>
            </w:r>
            <w:r w:rsidR="00992C4D" w:rsidRPr="00211D55">
              <w:rPr>
                <w:rFonts w:ascii="Arabic Typesetting" w:hAnsi="Arabic Typesetting" w:cs="Arabic Typesetting"/>
                <w:sz w:val="28"/>
                <w:szCs w:val="28"/>
                <w:lang w:bidi="ar-EG"/>
              </w:rPr>
              <w:t>SERCI</w:t>
            </w:r>
            <w:r w:rsidR="00992C4D" w:rsidRPr="00211D55">
              <w:rPr>
                <w:rFonts w:ascii="Arabic Typesetting" w:hAnsi="Arabic Typesetting" w:cs="Arabic Typesetting"/>
                <w:b/>
                <w:sz w:val="28"/>
                <w:szCs w:val="28"/>
                <w:rtl/>
              </w:rPr>
              <w:t xml:space="preserve">)) </w:t>
            </w:r>
            <w:r w:rsidRPr="00211D55">
              <w:rPr>
                <w:rFonts w:ascii="Arabic Typesetting" w:hAnsi="Arabic Typesetting" w:cs="Arabic Typesetting"/>
                <w:b/>
                <w:sz w:val="28"/>
                <w:szCs w:val="28"/>
                <w:rtl/>
                <w:lang w:bidi="ar-EG"/>
              </w:rPr>
              <w:t>لدراسات الويبو</w:t>
            </w:r>
          </w:p>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p>
          <w:p w:rsidR="00766374" w:rsidRPr="00211D55" w:rsidRDefault="00992C4D" w:rsidP="00992C4D">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23</w:t>
            </w:r>
            <w:r w:rsidR="00766374" w:rsidRPr="00211D55">
              <w:rPr>
                <w:rFonts w:ascii="Arabic Typesetting" w:hAnsi="Arabic Typesetting" w:cs="Arabic Typesetting"/>
                <w:b/>
                <w:sz w:val="28"/>
                <w:szCs w:val="28"/>
                <w:rtl/>
                <w:lang w:bidi="ar-EG"/>
              </w:rPr>
              <w:t xml:space="preserve"> بلدا</w:t>
            </w:r>
            <w:r w:rsidRPr="00211D55">
              <w:rPr>
                <w:rFonts w:ascii="Arabic Typesetting" w:hAnsi="Arabic Typesetting" w:cs="Arabic Typesetting"/>
                <w:b/>
                <w:sz w:val="28"/>
                <w:szCs w:val="28"/>
                <w:rtl/>
                <w:lang w:bidi="ar-EG"/>
              </w:rPr>
              <w:t xml:space="preserve"> ومنظمة غير حكومية</w:t>
            </w:r>
            <w:r w:rsidR="00766374" w:rsidRPr="00211D55">
              <w:rPr>
                <w:rFonts w:ascii="Arabic Typesetting" w:hAnsi="Arabic Typesetting" w:cs="Arabic Typesetting"/>
                <w:b/>
                <w:sz w:val="28"/>
                <w:szCs w:val="28"/>
                <w:rtl/>
                <w:lang w:bidi="ar-EG"/>
              </w:rPr>
              <w:t xml:space="preserve"> (</w:t>
            </w:r>
            <w:r w:rsidRPr="00211D55">
              <w:rPr>
                <w:rFonts w:ascii="Arabic Typesetting" w:hAnsi="Arabic Typesetting" w:cs="Arabic Typesetting"/>
                <w:b/>
                <w:sz w:val="28"/>
                <w:szCs w:val="28"/>
                <w:rtl/>
                <w:lang w:bidi="ar-EG"/>
              </w:rPr>
              <w:t>التراكمي</w:t>
            </w:r>
            <w:r w:rsidR="00766374" w:rsidRPr="00211D55">
              <w:rPr>
                <w:rFonts w:ascii="Arabic Typesetting" w:hAnsi="Arabic Typesetting" w:cs="Arabic Typesetting"/>
                <w:b/>
                <w:sz w:val="28"/>
                <w:szCs w:val="28"/>
                <w:rtl/>
                <w:lang w:bidi="ar-EG"/>
              </w:rPr>
              <w:t>)</w:t>
            </w:r>
          </w:p>
        </w:tc>
        <w:tc>
          <w:tcPr>
            <w:tcW w:w="994" w:type="dxa"/>
            <w:tcBorders>
              <w:top w:val="nil"/>
              <w:bottom w:val="nil"/>
            </w:tcBorders>
            <w:tcMar>
              <w:top w:w="110" w:type="dxa"/>
            </w:tcMar>
          </w:tcPr>
          <w:p w:rsidR="00766374" w:rsidRPr="00211D55" w:rsidRDefault="00992C4D" w:rsidP="008F54A9">
            <w:pPr>
              <w:keepNext/>
              <w:bidi/>
              <w:spacing w:before="60" w:after="60" w:line="280" w:lineRule="exact"/>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color w:val="00B050"/>
                <w:sz w:val="28"/>
                <w:szCs w:val="28"/>
                <w:rtl/>
                <w:lang w:bidi="ar-EG"/>
              </w:rPr>
              <w:t>محقق كلياً</w:t>
            </w:r>
          </w:p>
        </w:tc>
      </w:tr>
      <w:tr w:rsidR="00766374" w:rsidRPr="00211D55" w:rsidTr="005460B4">
        <w:trPr>
          <w:cantSplit/>
          <w:trHeight w:val="148"/>
        </w:trPr>
        <w:tc>
          <w:tcPr>
            <w:tcW w:w="2316" w:type="dxa"/>
            <w:gridSpan w:val="2"/>
            <w:tcBorders>
              <w:top w:val="nil"/>
            </w:tcBorders>
            <w:tcMar>
              <w:top w:w="110" w:type="dxa"/>
            </w:tcMar>
          </w:tcPr>
          <w:p w:rsidR="00766374" w:rsidRPr="00211D55" w:rsidRDefault="00766374" w:rsidP="008F54A9">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المبادرات الوطنية لإعداد مزيد من الإحصاءات عن الصناعات الإبداعية استنادا إلى عمل الويبو في هذا المجال</w:t>
            </w:r>
          </w:p>
        </w:tc>
        <w:tc>
          <w:tcPr>
            <w:tcW w:w="2503" w:type="dxa"/>
            <w:tcBorders>
              <w:top w:val="nil"/>
              <w:bottom w:val="single" w:sz="4" w:space="0" w:color="auto"/>
            </w:tcBorders>
            <w:shd w:val="clear" w:color="auto" w:fill="auto"/>
            <w:tcMar>
              <w:top w:w="110" w:type="dxa"/>
            </w:tcMar>
            <w:vAlign w:val="center"/>
          </w:tcPr>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10 مبادرات وطنية (بلغاريا٬ الصين٬ كولومبيا٬ كرواتيا٬ جامايكا٬ كينيا٬ ماليزيا٬ تايلند٬ ترينيداد وتوباغو٬ جمهورية تنزانيا المتحدة)</w:t>
            </w:r>
          </w:p>
        </w:tc>
        <w:tc>
          <w:tcPr>
            <w:tcW w:w="1234" w:type="dxa"/>
            <w:tcBorders>
              <w:top w:val="nil"/>
            </w:tcBorders>
          </w:tcPr>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15 مبادرة وطنية (</w:t>
            </w:r>
            <w:proofErr w:type="spellStart"/>
            <w:r w:rsidR="0012602F">
              <w:rPr>
                <w:rFonts w:ascii="Arabic Typesetting" w:hAnsi="Arabic Typesetting" w:cs="Arabic Typesetting" w:hint="cs"/>
                <w:b/>
                <w:sz w:val="28"/>
                <w:szCs w:val="28"/>
                <w:rtl/>
              </w:rPr>
              <w:t>ال</w:t>
            </w:r>
            <w:proofErr w:type="spellEnd"/>
            <w:r w:rsidRPr="00211D55">
              <w:rPr>
                <w:rFonts w:ascii="Arabic Typesetting" w:hAnsi="Arabic Typesetting" w:cs="Arabic Typesetting"/>
                <w:b/>
                <w:sz w:val="28"/>
                <w:szCs w:val="28"/>
                <w:rtl/>
                <w:lang w:bidi="ar-EG"/>
              </w:rPr>
              <w:t>تراكمي)</w:t>
            </w:r>
          </w:p>
        </w:tc>
        <w:tc>
          <w:tcPr>
            <w:tcW w:w="2308" w:type="dxa"/>
            <w:tcBorders>
              <w:top w:val="nil"/>
            </w:tcBorders>
            <w:tcMar>
              <w:top w:w="110" w:type="dxa"/>
            </w:tcMar>
          </w:tcPr>
          <w:p w:rsidR="00766374" w:rsidRPr="00211D55" w:rsidRDefault="00766374" w:rsidP="00992C4D">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مبادر</w:t>
            </w:r>
            <w:r w:rsidR="00992C4D" w:rsidRPr="00211D55">
              <w:rPr>
                <w:rFonts w:ascii="Arabic Typesetting" w:hAnsi="Arabic Typesetting" w:cs="Arabic Typesetting"/>
                <w:b/>
                <w:sz w:val="28"/>
                <w:szCs w:val="28"/>
                <w:rtl/>
                <w:lang w:bidi="ar-EG"/>
              </w:rPr>
              <w:t>ة</w:t>
            </w:r>
            <w:r w:rsidRPr="00211D55">
              <w:rPr>
                <w:rFonts w:ascii="Arabic Typesetting" w:hAnsi="Arabic Typesetting" w:cs="Arabic Typesetting"/>
                <w:b/>
                <w:sz w:val="28"/>
                <w:szCs w:val="28"/>
                <w:rtl/>
                <w:lang w:bidi="ar-EG"/>
              </w:rPr>
              <w:t xml:space="preserve"> وطنية إضافية (</w:t>
            </w:r>
            <w:r w:rsidR="00992C4D" w:rsidRPr="00211D55">
              <w:rPr>
                <w:rFonts w:ascii="Arabic Typesetting" w:hAnsi="Arabic Typesetting" w:cs="Arabic Typesetting"/>
                <w:b/>
                <w:sz w:val="28"/>
                <w:szCs w:val="28"/>
                <w:rtl/>
                <w:lang w:bidi="ar-EG"/>
              </w:rPr>
              <w:t>فنلندا</w:t>
            </w:r>
            <w:r w:rsidRPr="00211D55">
              <w:rPr>
                <w:rFonts w:ascii="Arabic Typesetting" w:hAnsi="Arabic Typesetting" w:cs="Arabic Typesetting"/>
                <w:b/>
                <w:sz w:val="28"/>
                <w:szCs w:val="28"/>
                <w:rtl/>
                <w:lang w:bidi="ar-EG"/>
              </w:rPr>
              <w:t>) في 2014</w:t>
            </w:r>
            <w:r w:rsidR="00992C4D" w:rsidRPr="00211D55">
              <w:rPr>
                <w:rFonts w:ascii="Arabic Typesetting" w:hAnsi="Arabic Typesetting" w:cs="Arabic Typesetting"/>
                <w:b/>
                <w:sz w:val="28"/>
                <w:szCs w:val="28"/>
                <w:rtl/>
                <w:lang w:bidi="ar-EG"/>
              </w:rPr>
              <w:t>؛ انقطع العمل في هذا المجال في 2015.</w:t>
            </w:r>
          </w:p>
          <w:p w:rsidR="00766374" w:rsidRPr="00211D55" w:rsidRDefault="00766374" w:rsidP="008F54A9">
            <w:pPr>
              <w:keepNext/>
              <w:bidi/>
              <w:spacing w:before="60" w:after="60" w:line="280" w:lineRule="exact"/>
              <w:rPr>
                <w:rFonts w:ascii="Arabic Typesetting" w:hAnsi="Arabic Typesetting" w:cs="Arabic Typesetting"/>
                <w:b/>
                <w:sz w:val="28"/>
                <w:szCs w:val="28"/>
                <w:rtl/>
                <w:lang w:bidi="ar-EG"/>
              </w:rPr>
            </w:pPr>
          </w:p>
          <w:p w:rsidR="00766374" w:rsidRPr="00211D55" w:rsidRDefault="00992C4D" w:rsidP="008F54A9">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11</w:t>
            </w:r>
            <w:r w:rsidR="00766374" w:rsidRPr="00211D55">
              <w:rPr>
                <w:rFonts w:ascii="Arabic Typesetting" w:hAnsi="Arabic Typesetting" w:cs="Arabic Typesetting"/>
                <w:b/>
                <w:sz w:val="28"/>
                <w:szCs w:val="28"/>
                <w:rtl/>
                <w:lang w:bidi="ar-EG"/>
              </w:rPr>
              <w:t xml:space="preserve"> مبادرة وطنية (</w:t>
            </w:r>
            <w:r w:rsidRPr="00211D55">
              <w:rPr>
                <w:rFonts w:ascii="Arabic Typesetting" w:hAnsi="Arabic Typesetting" w:cs="Arabic Typesetting"/>
                <w:b/>
                <w:sz w:val="28"/>
                <w:szCs w:val="28"/>
                <w:rtl/>
                <w:lang w:bidi="ar-EG"/>
              </w:rPr>
              <w:t>ال</w:t>
            </w:r>
            <w:r w:rsidR="00766374" w:rsidRPr="00211D55">
              <w:rPr>
                <w:rFonts w:ascii="Arabic Typesetting" w:hAnsi="Arabic Typesetting" w:cs="Arabic Typesetting"/>
                <w:b/>
                <w:sz w:val="28"/>
                <w:szCs w:val="28"/>
                <w:rtl/>
                <w:lang w:bidi="ar-EG"/>
              </w:rPr>
              <w:t>تراكمي)</w:t>
            </w:r>
          </w:p>
        </w:tc>
        <w:tc>
          <w:tcPr>
            <w:tcW w:w="994" w:type="dxa"/>
            <w:tcBorders>
              <w:top w:val="nil"/>
            </w:tcBorders>
            <w:tcMar>
              <w:top w:w="110" w:type="dxa"/>
            </w:tcMar>
          </w:tcPr>
          <w:p w:rsidR="00766374" w:rsidRPr="00211D55" w:rsidRDefault="00992C4D" w:rsidP="00992C4D">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منقطع</w:t>
            </w:r>
          </w:p>
        </w:tc>
      </w:tr>
    </w:tbl>
    <w:p w:rsidR="006D6B70" w:rsidRPr="006D6B70" w:rsidRDefault="006D6B70" w:rsidP="006536BF">
      <w:pPr>
        <w:keepNext/>
        <w:bidi/>
        <w:spacing w:before="120" w:after="120" w:line="340" w:lineRule="exact"/>
        <w:rPr>
          <w:rFonts w:ascii="Arabic Typesetting" w:hAnsi="Arabic Typesetting" w:cs="Arabic Typesetting"/>
          <w:sz w:val="34"/>
          <w:szCs w:val="34"/>
          <w:rtl/>
          <w:lang w:bidi="ar-EG"/>
        </w:rPr>
      </w:pPr>
      <w:r w:rsidRPr="006D6B70">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6D6B70" w:rsidRPr="00211D55" w:rsidTr="00676D5F">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6D6B70" w:rsidRPr="00211D55" w:rsidRDefault="006D6B70" w:rsidP="00676D5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6D6B70" w:rsidRPr="00211D55" w:rsidRDefault="006D6B70" w:rsidP="00676D5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6D6B70" w:rsidRPr="00211D55" w:rsidRDefault="006D6B70" w:rsidP="00676D5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6D6B70" w:rsidRPr="00211D55" w:rsidRDefault="006D6B70" w:rsidP="0012602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 xml:space="preserve">التأثير </w:t>
            </w:r>
            <w:r w:rsidR="0012602F">
              <w:rPr>
                <w:rFonts w:ascii="Arabic Typesetting" w:hAnsi="Arabic Typesetting" w:cs="Arabic Typesetting" w:hint="cs"/>
                <w:bCs/>
                <w:sz w:val="28"/>
                <w:szCs w:val="28"/>
                <w:rtl/>
                <w:lang w:bidi="ar-EG"/>
              </w:rPr>
              <w:t>في</w:t>
            </w:r>
            <w:r w:rsidRPr="00211D55">
              <w:rPr>
                <w:rFonts w:ascii="Arabic Typesetting" w:hAnsi="Arabic Typesetting" w:cs="Arabic Typesetting" w:hint="cs"/>
                <w:bCs/>
                <w:sz w:val="28"/>
                <w:szCs w:val="28"/>
                <w:rtl/>
                <w:lang w:bidi="ar-EG"/>
              </w:rPr>
              <w:t xml:space="preserve"> أداء البرنامج</w:t>
            </w:r>
          </w:p>
        </w:tc>
      </w:tr>
      <w:tr w:rsidR="006D6B70" w:rsidRPr="00211D55" w:rsidTr="00676D5F">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6D6B70" w:rsidRPr="009E62B8" w:rsidRDefault="006D6B70" w:rsidP="009E62B8">
            <w:pPr>
              <w:bidi/>
              <w:spacing w:line="280" w:lineRule="exact"/>
              <w:rPr>
                <w:rFonts w:ascii="Arabic Typesetting" w:hAnsi="Arabic Typesetting" w:cs="Arabic Typesetting"/>
                <w:b/>
                <w:sz w:val="28"/>
                <w:szCs w:val="28"/>
                <w:rtl/>
                <w:lang w:bidi="ar-EG"/>
              </w:rPr>
            </w:pPr>
            <w:r w:rsidRPr="009E62B8">
              <w:rPr>
                <w:rFonts w:ascii="Arabic Typesetting" w:hAnsi="Arabic Typesetting" w:cs="Arabic Typesetting" w:hint="cs"/>
                <w:b/>
                <w:sz w:val="28"/>
                <w:szCs w:val="28"/>
                <w:rtl/>
                <w:lang w:bidi="ar-EG"/>
              </w:rPr>
              <w:t xml:space="preserve">التكنولوجيا والابتكار: </w:t>
            </w:r>
            <w:r w:rsidR="0012602F" w:rsidRPr="009E62B8">
              <w:rPr>
                <w:rFonts w:ascii="Arabic Typesetting" w:hAnsi="Arabic Typesetting" w:cs="Arabic Typesetting" w:hint="cs"/>
                <w:b/>
                <w:sz w:val="28"/>
                <w:szCs w:val="28"/>
                <w:rtl/>
                <w:lang w:bidi="ar-EG"/>
              </w:rPr>
              <w:t>يعدّ</w:t>
            </w:r>
            <w:r w:rsidRPr="009E62B8">
              <w:rPr>
                <w:rFonts w:ascii="Arabic Typesetting" w:hAnsi="Arabic Typesetting" w:cs="Arabic Typesetting" w:hint="cs"/>
                <w:b/>
                <w:sz w:val="28"/>
                <w:szCs w:val="28"/>
                <w:rtl/>
                <w:lang w:bidi="ar-EG"/>
              </w:rPr>
              <w:t xml:space="preserve"> عجز نظام حق المؤلف عن التكيف مع التغيرات السريعة في التكنولوجيا والوسائط تهديدا بالتقليل من أهمية نظام حق</w:t>
            </w:r>
            <w:r w:rsidR="0012602F" w:rsidRPr="009E62B8">
              <w:rPr>
                <w:rFonts w:ascii="Arabic Typesetting" w:hAnsi="Arabic Typesetting" w:cs="Arabic Typesetting" w:hint="eastAsia"/>
                <w:b/>
                <w:sz w:val="28"/>
                <w:szCs w:val="28"/>
                <w:rtl/>
                <w:lang w:bidi="ar-EG"/>
              </w:rPr>
              <w:t> </w:t>
            </w:r>
            <w:r w:rsidRPr="009E62B8">
              <w:rPr>
                <w:rFonts w:ascii="Arabic Typesetting" w:hAnsi="Arabic Typesetting" w:cs="Arabic Typesetting" w:hint="cs"/>
                <w:b/>
                <w:sz w:val="28"/>
                <w:szCs w:val="28"/>
                <w:rtl/>
                <w:lang w:bidi="ar-EG"/>
              </w:rPr>
              <w:t>المؤلف.</w:t>
            </w:r>
          </w:p>
        </w:tc>
        <w:tc>
          <w:tcPr>
            <w:tcW w:w="2200" w:type="dxa"/>
            <w:tcBorders>
              <w:top w:val="single" w:sz="4" w:space="0" w:color="auto"/>
              <w:bottom w:val="single" w:sz="4" w:space="0" w:color="auto"/>
            </w:tcBorders>
            <w:shd w:val="clear" w:color="auto" w:fill="auto"/>
            <w:tcMar>
              <w:top w:w="113" w:type="dxa"/>
              <w:bottom w:w="113" w:type="dxa"/>
            </w:tcMar>
          </w:tcPr>
          <w:p w:rsidR="006D6B70" w:rsidRPr="009E62B8" w:rsidRDefault="006D6B70" w:rsidP="009E62B8">
            <w:pPr>
              <w:bidi/>
              <w:spacing w:line="280" w:lineRule="exact"/>
              <w:rPr>
                <w:rFonts w:ascii="Arabic Typesetting" w:hAnsi="Arabic Typesetting" w:cs="Arabic Typesetting"/>
                <w:b/>
                <w:sz w:val="28"/>
                <w:szCs w:val="28"/>
                <w:rtl/>
                <w:lang w:bidi="ar-EG"/>
              </w:rPr>
            </w:pPr>
            <w:r w:rsidRPr="009E62B8">
              <w:rPr>
                <w:rFonts w:ascii="Arabic Typesetting" w:hAnsi="Arabic Typesetting" w:cs="Arabic Typesetting" w:hint="cs"/>
                <w:b/>
                <w:sz w:val="28"/>
                <w:szCs w:val="28"/>
                <w:rtl/>
                <w:lang w:bidi="ar-EG"/>
              </w:rPr>
              <w:t>مواصلة الأنشطة والمبادرات الرامية إلى إزكاء الوعي لإظهار أهمية حق المؤلف وتأكيد قيمته وملاءمته في الساحة التكنولوجية المتطورة.</w:t>
            </w:r>
          </w:p>
        </w:tc>
        <w:tc>
          <w:tcPr>
            <w:tcW w:w="2310" w:type="dxa"/>
            <w:tcBorders>
              <w:top w:val="single" w:sz="4" w:space="0" w:color="auto"/>
              <w:bottom w:val="single" w:sz="4" w:space="0" w:color="auto"/>
            </w:tcBorders>
          </w:tcPr>
          <w:p w:rsidR="006D6B70" w:rsidRPr="00211D55" w:rsidRDefault="006D6B70" w:rsidP="009E62B8">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استمر التطور التكنولوجي السريع مع تطور التكنولوجيات وتغيرها؛ وعليه لم يتغير الخطر ولا</w:t>
            </w:r>
            <w:r w:rsidRPr="00211D55">
              <w:rPr>
                <w:rFonts w:ascii="Arabic Typesetting" w:hAnsi="Arabic Typesetting" w:cs="Arabic Typesetting" w:hint="eastAsia"/>
                <w:b/>
                <w:sz w:val="28"/>
                <w:szCs w:val="28"/>
                <w:rtl/>
                <w:lang w:bidi="ar-EG"/>
              </w:rPr>
              <w:t> </w:t>
            </w:r>
            <w:r w:rsidRPr="00211D55">
              <w:rPr>
                <w:rFonts w:ascii="Arabic Typesetting" w:hAnsi="Arabic Typesetting" w:cs="Arabic Typesetting" w:hint="cs"/>
                <w:b/>
                <w:sz w:val="28"/>
                <w:szCs w:val="28"/>
                <w:rtl/>
                <w:lang w:bidi="ar-EG"/>
              </w:rPr>
              <w:t>استراتيجيات الحد من وطأته تغيراً ملحوظاً خلال الثنائية.</w:t>
            </w:r>
          </w:p>
        </w:tc>
        <w:tc>
          <w:tcPr>
            <w:tcW w:w="2306" w:type="dxa"/>
            <w:tcBorders>
              <w:top w:val="single" w:sz="4" w:space="0" w:color="auto"/>
              <w:bottom w:val="single" w:sz="4" w:space="0" w:color="auto"/>
              <w:right w:val="single" w:sz="4" w:space="0" w:color="auto"/>
            </w:tcBorders>
          </w:tcPr>
          <w:p w:rsidR="006D6B70" w:rsidRPr="00211D55" w:rsidRDefault="006D6B70" w:rsidP="002F200B">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نجحت استراتيجية الحد من وطأة المخاطر خلال الثنائية إذ </w:t>
            </w:r>
            <w:r w:rsidR="0012602F">
              <w:rPr>
                <w:rFonts w:ascii="Arabic Typesetting" w:hAnsi="Arabic Typesetting" w:cs="Arabic Typesetting" w:hint="cs"/>
                <w:b/>
                <w:sz w:val="28"/>
                <w:szCs w:val="28"/>
                <w:rtl/>
                <w:lang w:bidi="ar-EG"/>
              </w:rPr>
              <w:t>التمست</w:t>
            </w:r>
            <w:r w:rsidRPr="00211D55">
              <w:rPr>
                <w:rFonts w:ascii="Arabic Typesetting" w:hAnsi="Arabic Typesetting" w:cs="Arabic Typesetting" w:hint="cs"/>
                <w:b/>
                <w:sz w:val="28"/>
                <w:szCs w:val="28"/>
                <w:rtl/>
                <w:lang w:bidi="ar-EG"/>
              </w:rPr>
              <w:t xml:space="preserve"> العديد من الدول الأعضاء في الويبو المساعدة </w:t>
            </w:r>
            <w:r w:rsidR="0012602F">
              <w:rPr>
                <w:rFonts w:ascii="Arabic Typesetting" w:hAnsi="Arabic Typesetting" w:cs="Arabic Typesetting" w:hint="cs"/>
                <w:b/>
                <w:sz w:val="28"/>
                <w:szCs w:val="28"/>
                <w:rtl/>
                <w:lang w:bidi="ar-EG"/>
              </w:rPr>
              <w:t>في</w:t>
            </w:r>
            <w:r w:rsidRPr="00211D55">
              <w:rPr>
                <w:rFonts w:ascii="Arabic Typesetting" w:hAnsi="Arabic Typesetting" w:cs="Arabic Typesetting" w:hint="cs"/>
                <w:b/>
                <w:sz w:val="28"/>
                <w:szCs w:val="28"/>
                <w:rtl/>
                <w:lang w:bidi="ar-EG"/>
              </w:rPr>
              <w:t xml:space="preserve"> عرض أهمية نظام حق المؤلف ولا سيما بالنسبة إلى الاقتصاد الوطني. واستجاب البرنامج لهذه الطلبات قدر الإمكان وفي حدود الموارد العملية المتاحة. </w:t>
            </w:r>
            <w:r w:rsidR="002F200B">
              <w:rPr>
                <w:rFonts w:ascii="Arabic Typesetting" w:hAnsi="Arabic Typesetting" w:cs="Arabic Typesetting" w:hint="cs"/>
                <w:b/>
                <w:sz w:val="28"/>
                <w:szCs w:val="28"/>
                <w:rtl/>
                <w:lang w:bidi="ar-EG"/>
              </w:rPr>
              <w:t>و</w:t>
            </w:r>
            <w:r w:rsidR="002F200B">
              <w:rPr>
                <w:rFonts w:ascii="Arabic Typesetting" w:hAnsi="Arabic Typesetting" w:cs="Arabic Typesetting" w:hint="cs"/>
                <w:b/>
                <w:sz w:val="28"/>
                <w:szCs w:val="28"/>
                <w:rtl/>
              </w:rPr>
              <w:t>لم</w:t>
            </w:r>
            <w:r w:rsidR="002F200B">
              <w:rPr>
                <w:rFonts w:ascii="Arabic Typesetting" w:hAnsi="Arabic Typesetting" w:cs="Arabic Typesetting" w:hint="eastAsia"/>
                <w:b/>
                <w:sz w:val="28"/>
                <w:szCs w:val="28"/>
                <w:rtl/>
              </w:rPr>
              <w:t> </w:t>
            </w:r>
            <w:r w:rsidR="002F200B">
              <w:rPr>
                <w:rFonts w:ascii="Arabic Typesetting" w:hAnsi="Arabic Typesetting" w:cs="Arabic Typesetting" w:hint="cs"/>
                <w:b/>
                <w:sz w:val="28"/>
                <w:szCs w:val="28"/>
                <w:rtl/>
              </w:rPr>
              <w:t>يؤثر هذا الخطر تأثيراً مادياً في أداء البرنامج خلال الثنائية</w:t>
            </w:r>
            <w:r w:rsidRPr="00211D55">
              <w:rPr>
                <w:rFonts w:ascii="Arabic Typesetting" w:hAnsi="Arabic Typesetting" w:cs="Arabic Typesetting" w:hint="cs"/>
                <w:b/>
                <w:sz w:val="28"/>
                <w:szCs w:val="28"/>
                <w:rtl/>
                <w:lang w:bidi="ar-EG"/>
              </w:rPr>
              <w:t>.</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استخدام الموارد</w:t>
      </w:r>
    </w:p>
    <w:p w:rsidR="00E82944" w:rsidRPr="00FE3908" w:rsidRDefault="00774E37" w:rsidP="00E82944">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E82944" w:rsidRDefault="00E82944" w:rsidP="00E82944">
      <w:pPr>
        <w:keepNext/>
        <w:bidi/>
        <w:spacing w:after="120" w:line="340" w:lineRule="exact"/>
        <w:jc w:val="center"/>
        <w:rPr>
          <w:rFonts w:ascii="Arabic Typesetting" w:hAnsi="Arabic Typesetting" w:cs="Arabic Typesetting"/>
          <w:i/>
          <w:iCs/>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E82944" w:rsidRPr="00211D55" w:rsidTr="00C10ACB">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themeFill="text2" w:themeFillTint="33"/>
            <w:noWrap/>
            <w:tcMar>
              <w:top w:w="15" w:type="dxa"/>
              <w:left w:w="15" w:type="dxa"/>
              <w:bottom w:w="0" w:type="dxa"/>
              <w:right w:w="15" w:type="dxa"/>
            </w:tcMar>
            <w:vAlign w:val="center"/>
            <w:hideMark/>
          </w:tcPr>
          <w:p w:rsidR="00E82944" w:rsidRPr="00211D55" w:rsidRDefault="00E82944" w:rsidP="00676D5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hemeFill="text2" w:themeFillTint="33"/>
            <w:tcMar>
              <w:top w:w="15" w:type="dxa"/>
              <w:left w:w="15" w:type="dxa"/>
              <w:bottom w:w="0" w:type="dxa"/>
              <w:right w:w="15" w:type="dxa"/>
            </w:tcMar>
            <w:vAlign w:val="center"/>
            <w:hideMark/>
          </w:tcPr>
          <w:p w:rsidR="00E82944" w:rsidRPr="00211D55" w:rsidRDefault="00E82944" w:rsidP="00676D5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hemeFill="text2" w:themeFillTint="33"/>
            <w:tcMar>
              <w:top w:w="15" w:type="dxa"/>
              <w:left w:w="15" w:type="dxa"/>
              <w:bottom w:w="0" w:type="dxa"/>
              <w:right w:w="15" w:type="dxa"/>
            </w:tcMar>
            <w:vAlign w:val="center"/>
            <w:hideMark/>
          </w:tcPr>
          <w:p w:rsidR="00E82944" w:rsidRPr="00211D55" w:rsidRDefault="00E82944" w:rsidP="00676D5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hemeFill="text2" w:themeFillTint="33"/>
            <w:tcMar>
              <w:top w:w="15" w:type="dxa"/>
              <w:left w:w="15" w:type="dxa"/>
              <w:bottom w:w="0" w:type="dxa"/>
              <w:right w:w="15" w:type="dxa"/>
            </w:tcMar>
            <w:vAlign w:val="center"/>
            <w:hideMark/>
          </w:tcPr>
          <w:p w:rsidR="00E82944" w:rsidRPr="00211D55" w:rsidRDefault="00E82944" w:rsidP="00676D5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E82944" w:rsidRPr="00211D55" w:rsidTr="000432CA">
        <w:trPr>
          <w:cantSplit/>
          <w:trHeight w:val="711"/>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82944" w:rsidRPr="00211D55" w:rsidRDefault="00E82944" w:rsidP="000432CA">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ھ1.1</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0432CA" w:rsidP="000432CA">
            <w:pPr>
              <w:keepNext/>
              <w:bidi/>
              <w:rPr>
                <w:rFonts w:ascii="Arabic Typesetting" w:hAnsi="Arabic Typesetting" w:cs="Arabic Typesetting"/>
                <w:sz w:val="28"/>
                <w:szCs w:val="28"/>
              </w:rPr>
            </w:pPr>
            <w:r>
              <w:rPr>
                <w:rFonts w:ascii="Arabic Typesetting" w:hAnsi="Arabic Typesetting" w:cs="Arabic Typesetting"/>
                <w:sz w:val="28"/>
                <w:szCs w:val="28"/>
                <w:rtl/>
              </w:rPr>
              <w:t>تعاون معزز بين الدول الأعضاء في تطوير أطر معيارية دولية متوازنة للملكية الفكرية والاتفاق على محاور محدّدة وعلى صكوك دولية بشأنها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0432CA">
            <w:pPr>
              <w:keepNext/>
              <w:rPr>
                <w:rFonts w:ascii="Arabic Typesetting" w:hAnsi="Arabic Typesetting" w:cs="Arabic Typesetting"/>
                <w:sz w:val="28"/>
                <w:szCs w:val="28"/>
              </w:rPr>
            </w:pPr>
            <w:r w:rsidRPr="00211D55">
              <w:rPr>
                <w:rFonts w:ascii="Arabic Typesetting" w:hAnsi="Arabic Typesetting" w:cs="Arabic Typesetting"/>
                <w:sz w:val="28"/>
                <w:szCs w:val="28"/>
              </w:rPr>
              <w:t>3,916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0432CA">
            <w:pPr>
              <w:keepNext/>
              <w:rPr>
                <w:rFonts w:ascii="Arabic Typesetting" w:hAnsi="Arabic Typesetting" w:cs="Arabic Typesetting"/>
                <w:sz w:val="28"/>
                <w:szCs w:val="28"/>
              </w:rPr>
            </w:pPr>
            <w:r w:rsidRPr="00211D55">
              <w:rPr>
                <w:rFonts w:ascii="Arabic Typesetting" w:hAnsi="Arabic Typesetting" w:cs="Arabic Typesetting"/>
                <w:sz w:val="28"/>
                <w:szCs w:val="28"/>
              </w:rPr>
              <w:t>2,539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82944" w:rsidRPr="00211D55" w:rsidRDefault="00E82944" w:rsidP="000432CA">
            <w:pPr>
              <w:keepNext/>
              <w:rPr>
                <w:rFonts w:ascii="Arabic Typesetting" w:hAnsi="Arabic Typesetting" w:cs="Arabic Typesetting"/>
                <w:sz w:val="28"/>
                <w:szCs w:val="28"/>
              </w:rPr>
            </w:pPr>
            <w:r w:rsidRPr="00211D55">
              <w:rPr>
                <w:rFonts w:ascii="Arabic Typesetting" w:hAnsi="Arabic Typesetting" w:cs="Arabic Typesetting"/>
                <w:sz w:val="28"/>
                <w:szCs w:val="28"/>
              </w:rPr>
              <w:t>2,462</w:t>
            </w:r>
          </w:p>
        </w:tc>
      </w:tr>
      <w:tr w:rsidR="00E82944" w:rsidRPr="00211D55" w:rsidTr="000432CA">
        <w:trPr>
          <w:cantSplit/>
          <w:trHeight w:val="372"/>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82944" w:rsidRPr="00211D55" w:rsidRDefault="00E82944">
            <w:pPr>
              <w:bidi/>
              <w:rPr>
                <w:rFonts w:ascii="Arabic Typesetting" w:hAnsi="Arabic Typesetting" w:cs="Arabic Typesetting"/>
                <w:sz w:val="28"/>
                <w:szCs w:val="28"/>
              </w:rPr>
            </w:pPr>
            <w:r w:rsidRPr="00211D55">
              <w:rPr>
                <w:rFonts w:ascii="Arabic Typesetting" w:hAnsi="Arabic Typesetting" w:cs="Arabic Typesetting"/>
                <w:sz w:val="28"/>
                <w:szCs w:val="28"/>
                <w:rtl/>
              </w:rPr>
              <w:t>ھ2.1</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0432CA">
            <w:pPr>
              <w:bidi/>
              <w:rPr>
                <w:rFonts w:ascii="Arabic Typesetting" w:hAnsi="Arabic Typesetting" w:cs="Arabic Typesetting"/>
                <w:sz w:val="28"/>
                <w:szCs w:val="28"/>
              </w:rPr>
            </w:pPr>
            <w:r>
              <w:rPr>
                <w:rFonts w:ascii="Arabic Typesetting" w:hAnsi="Arabic Typesetting" w:cs="Arabic Typesetting"/>
                <w:sz w:val="28"/>
                <w:szCs w:val="28"/>
                <w:rtl/>
              </w:rPr>
              <w:t>أطر تشريعية وتنظيمية وسياسية مناسبة ومتوازنة للملكية الفكرية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1,841</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3,440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3,081</w:t>
            </w:r>
          </w:p>
        </w:tc>
      </w:tr>
      <w:tr w:rsidR="00E82944" w:rsidRPr="00211D55" w:rsidTr="00676D5F">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82944" w:rsidRPr="00211D55" w:rsidRDefault="00E82944">
            <w:pPr>
              <w:bidi/>
              <w:rPr>
                <w:rFonts w:ascii="Arabic Typesetting" w:hAnsi="Arabic Typesetting" w:cs="Arabic Typesetting"/>
                <w:sz w:val="28"/>
                <w:szCs w:val="28"/>
              </w:rPr>
            </w:pPr>
            <w:r w:rsidRPr="00211D55">
              <w:rPr>
                <w:rFonts w:ascii="Arabic Typesetting" w:hAnsi="Arabic Typesetting" w:cs="Arabic Typesetting"/>
                <w:sz w:val="28"/>
                <w:szCs w:val="28"/>
                <w:rtl/>
              </w:rPr>
              <w:t>ھ2.3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0432CA">
            <w:pPr>
              <w:bidi/>
              <w:rPr>
                <w:rFonts w:ascii="Arabic Typesetting" w:hAnsi="Arabic Typesetting" w:cs="Arabic Typesetting"/>
                <w:sz w:val="28"/>
                <w:szCs w:val="28"/>
              </w:rPr>
            </w:pPr>
            <w:r>
              <w:rPr>
                <w:rFonts w:ascii="Arabic Typesetting" w:hAnsi="Arabic Typesetting" w:cs="Arabic Typesetting"/>
                <w:sz w:val="28"/>
                <w:szCs w:val="28"/>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4,188</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4,047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4,023</w:t>
            </w:r>
          </w:p>
        </w:tc>
      </w:tr>
      <w:tr w:rsidR="00E82944" w:rsidRPr="00211D55" w:rsidTr="00676D5F">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82944" w:rsidRPr="00211D55" w:rsidRDefault="00E82944">
            <w:pPr>
              <w:bidi/>
              <w:rPr>
                <w:rFonts w:ascii="Arabic Typesetting" w:hAnsi="Arabic Typesetting" w:cs="Arabic Typesetting"/>
                <w:sz w:val="28"/>
                <w:szCs w:val="28"/>
              </w:rPr>
            </w:pPr>
            <w:r w:rsidRPr="00211D55">
              <w:rPr>
                <w:rFonts w:ascii="Arabic Typesetting" w:hAnsi="Arabic Typesetting" w:cs="Arabic Typesetting"/>
                <w:sz w:val="28"/>
                <w:szCs w:val="28"/>
                <w:rtl/>
              </w:rPr>
              <w:t>ھ2.4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0432CA">
            <w:pPr>
              <w:bidi/>
              <w:rPr>
                <w:rFonts w:ascii="Arabic Typesetting" w:hAnsi="Arabic Typesetting" w:cs="Arabic Typesetting"/>
                <w:sz w:val="28"/>
                <w:szCs w:val="28"/>
              </w:rPr>
            </w:pPr>
            <w:r>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2,536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3,438</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3,305</w:t>
            </w:r>
          </w:p>
        </w:tc>
      </w:tr>
      <w:tr w:rsidR="00E82944" w:rsidRPr="00211D55" w:rsidTr="00676D5F">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82944" w:rsidRPr="00211D55" w:rsidRDefault="00E82944">
            <w:pPr>
              <w:bidi/>
              <w:rPr>
                <w:rFonts w:ascii="Arabic Typesetting" w:hAnsi="Arabic Typesetting" w:cs="Arabic Typesetting"/>
                <w:sz w:val="28"/>
                <w:szCs w:val="28"/>
              </w:rPr>
            </w:pPr>
            <w:r w:rsidRPr="00211D55">
              <w:rPr>
                <w:rFonts w:ascii="Arabic Typesetting" w:hAnsi="Arabic Typesetting" w:cs="Arabic Typesetting"/>
                <w:sz w:val="28"/>
                <w:szCs w:val="28"/>
                <w:rtl/>
              </w:rPr>
              <w:t>ھ4.4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0432CA">
            <w:pPr>
              <w:bidi/>
              <w:rPr>
                <w:rFonts w:ascii="Arabic Typesetting" w:hAnsi="Arabic Typesetting" w:cs="Arabic Typesetting"/>
                <w:sz w:val="28"/>
                <w:szCs w:val="28"/>
              </w:rPr>
            </w:pPr>
            <w:r>
              <w:rPr>
                <w:rFonts w:ascii="Arabic Typesetting" w:hAnsi="Arabic Typesetting" w:cs="Arabic Typesetting"/>
                <w:sz w:val="28"/>
                <w:szCs w:val="28"/>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2,883</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2,339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2,263</w:t>
            </w:r>
          </w:p>
        </w:tc>
      </w:tr>
      <w:tr w:rsidR="00E82944" w:rsidRPr="00211D55" w:rsidTr="00676D5F">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82944" w:rsidRPr="00211D55" w:rsidRDefault="00E82944">
            <w:pPr>
              <w:bidi/>
              <w:rPr>
                <w:rFonts w:ascii="Arabic Typesetting" w:hAnsi="Arabic Typesetting" w:cs="Arabic Typesetting"/>
                <w:sz w:val="28"/>
                <w:szCs w:val="28"/>
              </w:rPr>
            </w:pPr>
            <w:r w:rsidRPr="00211D55">
              <w:rPr>
                <w:rFonts w:ascii="Arabic Typesetting" w:hAnsi="Arabic Typesetting" w:cs="Arabic Typesetting"/>
                <w:sz w:val="28"/>
                <w:szCs w:val="28"/>
                <w:rtl/>
              </w:rPr>
              <w:t>ھ2.5</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0432CA">
            <w:pPr>
              <w:bidi/>
              <w:rPr>
                <w:rFonts w:ascii="Arabic Typesetting" w:hAnsi="Arabic Typesetting" w:cs="Arabic Typesetting"/>
                <w:sz w:val="28"/>
                <w:szCs w:val="28"/>
              </w:rPr>
            </w:pPr>
            <w:r>
              <w:rPr>
                <w:rFonts w:ascii="Arabic Typesetting" w:hAnsi="Arabic Typesetting" w:cs="Arabic Typesetting"/>
                <w:sz w:val="28"/>
                <w:szCs w:val="28"/>
                <w:rtl/>
              </w:rPr>
              <w:t>استخدام تحليلات الويبو الاقتصادية في صياغة السياسات العامة على نطاق أوسع ونحو أفضل</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1,065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962</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82944" w:rsidRPr="00211D55" w:rsidRDefault="00E82944" w:rsidP="00676D5F">
            <w:pPr>
              <w:rPr>
                <w:rFonts w:ascii="Arabic Typesetting" w:hAnsi="Arabic Typesetting" w:cs="Arabic Typesetting"/>
                <w:sz w:val="28"/>
                <w:szCs w:val="28"/>
              </w:rPr>
            </w:pPr>
            <w:r w:rsidRPr="00211D55">
              <w:rPr>
                <w:rFonts w:ascii="Arabic Typesetting" w:hAnsi="Arabic Typesetting" w:cs="Arabic Typesetting"/>
                <w:sz w:val="28"/>
                <w:szCs w:val="28"/>
              </w:rPr>
              <w:t>1,005</w:t>
            </w:r>
          </w:p>
        </w:tc>
      </w:tr>
      <w:tr w:rsidR="00E82944" w:rsidRPr="00211D55" w:rsidTr="00676D5F">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E82944" w:rsidRPr="00211D55" w:rsidRDefault="00E82944" w:rsidP="00676D5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E82944" w:rsidRPr="00211D55" w:rsidRDefault="00E82944" w:rsidP="00676D5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82944" w:rsidRPr="00211D55" w:rsidRDefault="00E82944" w:rsidP="00676D5F">
            <w:pPr>
              <w:rPr>
                <w:rFonts w:ascii="Arabic Typesetting" w:hAnsi="Arabic Typesetting" w:cs="Arabic Typesetting"/>
                <w:b/>
                <w:bCs/>
                <w:sz w:val="28"/>
                <w:szCs w:val="28"/>
              </w:rPr>
            </w:pPr>
            <w:r w:rsidRPr="00211D55">
              <w:rPr>
                <w:rFonts w:ascii="Arabic Typesetting" w:hAnsi="Arabic Typesetting" w:cs="Arabic Typesetting"/>
                <w:b/>
                <w:bCs/>
                <w:sz w:val="28"/>
                <w:szCs w:val="28"/>
              </w:rPr>
              <w:t>16,430</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82944" w:rsidRPr="00211D55" w:rsidRDefault="00E82944" w:rsidP="00676D5F">
            <w:pPr>
              <w:rPr>
                <w:rFonts w:ascii="Arabic Typesetting" w:hAnsi="Arabic Typesetting" w:cs="Arabic Typesetting"/>
                <w:b/>
                <w:bCs/>
                <w:sz w:val="28"/>
                <w:szCs w:val="28"/>
              </w:rPr>
            </w:pPr>
            <w:r w:rsidRPr="00211D55">
              <w:rPr>
                <w:rFonts w:ascii="Arabic Typesetting" w:hAnsi="Arabic Typesetting" w:cs="Arabic Typesetting"/>
                <w:b/>
                <w:bCs/>
                <w:sz w:val="28"/>
                <w:szCs w:val="28"/>
              </w:rPr>
              <w:t>16,764</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82944" w:rsidRPr="00211D55" w:rsidRDefault="00E82944" w:rsidP="00676D5F">
            <w:pPr>
              <w:rPr>
                <w:rFonts w:ascii="Arabic Typesetting" w:hAnsi="Arabic Typesetting" w:cs="Arabic Typesetting"/>
                <w:b/>
                <w:bCs/>
                <w:sz w:val="28"/>
                <w:szCs w:val="28"/>
              </w:rPr>
            </w:pPr>
            <w:r w:rsidRPr="00211D55">
              <w:rPr>
                <w:rFonts w:ascii="Arabic Typesetting" w:hAnsi="Arabic Typesetting" w:cs="Arabic Typesetting"/>
                <w:b/>
                <w:bCs/>
                <w:sz w:val="28"/>
                <w:szCs w:val="28"/>
              </w:rPr>
              <w:t>16,140</w:t>
            </w:r>
          </w:p>
        </w:tc>
      </w:tr>
    </w:tbl>
    <w:p w:rsidR="00E82944" w:rsidRPr="00252762" w:rsidRDefault="00774E37" w:rsidP="00E82944">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E82944" w:rsidRPr="00DF1D8A" w:rsidRDefault="00E82944" w:rsidP="00E82944">
      <w:pPr>
        <w:keepNext/>
        <w:bidi/>
        <w:spacing w:after="120"/>
        <w:jc w:val="center"/>
        <w:rPr>
          <w:rFonts w:ascii="Arabic Typesetting" w:hAnsi="Arabic Typesetting" w:cs="Arabic Typesetting"/>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E82944" w:rsidRPr="00211D55" w:rsidTr="00E82944">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E82944" w:rsidRPr="00211D55" w:rsidRDefault="00E82944" w:rsidP="00676D5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82944" w:rsidRPr="00211D55" w:rsidRDefault="00E82944" w:rsidP="00676D5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82944" w:rsidRPr="00211D55" w:rsidRDefault="00E82944" w:rsidP="00676D5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82944" w:rsidRPr="00211D55" w:rsidRDefault="00E82944" w:rsidP="00676D5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82944" w:rsidRPr="00211D55" w:rsidRDefault="009E57D2" w:rsidP="00676D5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E82944" w:rsidRPr="00211D55">
              <w:rPr>
                <w:rFonts w:ascii="Arabic Typesetting" w:hAnsi="Arabic Typesetting" w:cs="Arabic Typesetting"/>
                <w:b/>
                <w:bCs/>
                <w:i/>
                <w:iCs/>
                <w:sz w:val="28"/>
                <w:szCs w:val="28"/>
                <w:rtl/>
              </w:rPr>
              <w:t xml:space="preserve"> (%)</w:t>
            </w:r>
          </w:p>
        </w:tc>
      </w:tr>
      <w:tr w:rsidR="00E82944" w:rsidRPr="00211D55" w:rsidTr="00E82944">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E82944" w:rsidRPr="00211D55" w:rsidRDefault="00E82944" w:rsidP="00676D5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sz w:val="28"/>
                <w:szCs w:val="28"/>
              </w:rPr>
            </w:pPr>
            <w:r w:rsidRPr="00211D55">
              <w:rPr>
                <w:rFonts w:ascii="Arabic Typesetting" w:hAnsi="Arabic Typesetting" w:cs="Arabic Typesetting"/>
                <w:sz w:val="28"/>
                <w:szCs w:val="28"/>
              </w:rPr>
              <w:t>10,315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sz w:val="28"/>
                <w:szCs w:val="28"/>
              </w:rPr>
            </w:pPr>
            <w:r w:rsidRPr="00211D55">
              <w:rPr>
                <w:rFonts w:ascii="Arabic Typesetting" w:hAnsi="Arabic Typesetting" w:cs="Arabic Typesetting"/>
                <w:sz w:val="28"/>
                <w:szCs w:val="28"/>
              </w:rPr>
              <w:t>10,272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sz w:val="28"/>
                <w:szCs w:val="28"/>
              </w:rPr>
            </w:pPr>
            <w:r w:rsidRPr="00211D55">
              <w:rPr>
                <w:rFonts w:ascii="Arabic Typesetting" w:hAnsi="Arabic Typesetting" w:cs="Arabic Typesetting"/>
                <w:sz w:val="28"/>
                <w:szCs w:val="28"/>
              </w:rPr>
              <w:t>10,102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sz w:val="28"/>
                <w:szCs w:val="28"/>
              </w:rPr>
            </w:pPr>
            <w:r w:rsidRPr="00211D55">
              <w:rPr>
                <w:rFonts w:ascii="Arabic Typesetting" w:hAnsi="Arabic Typesetting" w:cs="Arabic Typesetting"/>
                <w:sz w:val="28"/>
                <w:szCs w:val="28"/>
              </w:rPr>
              <w:t>98%</w:t>
            </w:r>
          </w:p>
        </w:tc>
      </w:tr>
      <w:tr w:rsidR="00E82944" w:rsidRPr="00211D55" w:rsidTr="00E82944">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E82944" w:rsidRPr="00211D55" w:rsidRDefault="00E82944" w:rsidP="00676D5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sz w:val="28"/>
                <w:szCs w:val="28"/>
              </w:rPr>
            </w:pPr>
            <w:r w:rsidRPr="00211D55">
              <w:rPr>
                <w:rFonts w:ascii="Arabic Typesetting" w:hAnsi="Arabic Typesetting" w:cs="Arabic Typesetting"/>
                <w:sz w:val="28"/>
                <w:szCs w:val="28"/>
              </w:rPr>
              <w:t>6,114</w:t>
            </w:r>
          </w:p>
        </w:tc>
        <w:tc>
          <w:tcPr>
            <w:tcW w:w="970" w:type="pct"/>
            <w:tcBorders>
              <w:top w:val="nil"/>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sz w:val="28"/>
                <w:szCs w:val="28"/>
              </w:rPr>
            </w:pPr>
            <w:r w:rsidRPr="00211D55">
              <w:rPr>
                <w:rFonts w:ascii="Arabic Typesetting" w:hAnsi="Arabic Typesetting" w:cs="Arabic Typesetting"/>
                <w:sz w:val="28"/>
                <w:szCs w:val="28"/>
              </w:rPr>
              <w:t>6,492</w:t>
            </w:r>
          </w:p>
        </w:tc>
        <w:tc>
          <w:tcPr>
            <w:tcW w:w="970" w:type="pct"/>
            <w:tcBorders>
              <w:top w:val="nil"/>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sz w:val="28"/>
                <w:szCs w:val="28"/>
              </w:rPr>
            </w:pPr>
            <w:r w:rsidRPr="00211D55">
              <w:rPr>
                <w:rFonts w:ascii="Arabic Typesetting" w:hAnsi="Arabic Typesetting" w:cs="Arabic Typesetting"/>
                <w:sz w:val="28"/>
                <w:szCs w:val="28"/>
              </w:rPr>
              <w:t>6,038</w:t>
            </w:r>
          </w:p>
        </w:tc>
        <w:tc>
          <w:tcPr>
            <w:tcW w:w="970" w:type="pct"/>
            <w:tcBorders>
              <w:top w:val="nil"/>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sz w:val="28"/>
                <w:szCs w:val="28"/>
              </w:rPr>
            </w:pPr>
            <w:r w:rsidRPr="00211D55">
              <w:rPr>
                <w:rFonts w:ascii="Arabic Typesetting" w:hAnsi="Arabic Typesetting" w:cs="Arabic Typesetting"/>
                <w:sz w:val="28"/>
                <w:szCs w:val="28"/>
              </w:rPr>
              <w:t>93%</w:t>
            </w:r>
          </w:p>
        </w:tc>
      </w:tr>
      <w:tr w:rsidR="00E82944" w:rsidRPr="00211D55" w:rsidTr="00E82944">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E82944" w:rsidRPr="00211D55" w:rsidRDefault="00E82944" w:rsidP="00676D5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E82944" w:rsidRPr="00211D55" w:rsidRDefault="00E82944" w:rsidP="00E82944">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16,430</w:t>
            </w:r>
          </w:p>
        </w:tc>
        <w:tc>
          <w:tcPr>
            <w:tcW w:w="970" w:type="pct"/>
            <w:tcBorders>
              <w:top w:val="nil"/>
              <w:left w:val="single" w:sz="4" w:space="0" w:color="auto"/>
              <w:bottom w:val="single" w:sz="4" w:space="0" w:color="auto"/>
              <w:right w:val="single" w:sz="4" w:space="0" w:color="auto"/>
            </w:tcBorders>
            <w:shd w:val="clear" w:color="auto" w:fill="auto"/>
            <w:vAlign w:val="center"/>
          </w:tcPr>
          <w:p w:rsidR="00E82944" w:rsidRPr="00211D55" w:rsidRDefault="00E82944" w:rsidP="00E82944">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16,764</w:t>
            </w:r>
          </w:p>
        </w:tc>
        <w:tc>
          <w:tcPr>
            <w:tcW w:w="970" w:type="pct"/>
            <w:tcBorders>
              <w:top w:val="nil"/>
              <w:left w:val="single" w:sz="4" w:space="0" w:color="auto"/>
              <w:bottom w:val="single" w:sz="4" w:space="0" w:color="auto"/>
              <w:right w:val="single" w:sz="4" w:space="0" w:color="auto"/>
            </w:tcBorders>
            <w:shd w:val="clear" w:color="auto" w:fill="auto"/>
            <w:vAlign w:val="center"/>
          </w:tcPr>
          <w:p w:rsidR="00E82944" w:rsidRPr="00211D55" w:rsidRDefault="00E82944" w:rsidP="00E82944">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16,140</w:t>
            </w:r>
          </w:p>
        </w:tc>
        <w:tc>
          <w:tcPr>
            <w:tcW w:w="970" w:type="pct"/>
            <w:tcBorders>
              <w:top w:val="nil"/>
              <w:left w:val="single" w:sz="4" w:space="0" w:color="auto"/>
              <w:bottom w:val="single" w:sz="4" w:space="0" w:color="auto"/>
              <w:right w:val="single" w:sz="4" w:space="0" w:color="auto"/>
            </w:tcBorders>
            <w:shd w:val="clear" w:color="auto" w:fill="auto"/>
            <w:vAlign w:val="center"/>
          </w:tcPr>
          <w:p w:rsidR="00E82944" w:rsidRPr="00211D55" w:rsidRDefault="00E82944" w:rsidP="00676D5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96%</w:t>
            </w:r>
          </w:p>
        </w:tc>
      </w:tr>
    </w:tbl>
    <w:p w:rsidR="00B264F9" w:rsidRPr="00141A0B" w:rsidRDefault="008F54A9" w:rsidP="00A679B0">
      <w:pPr>
        <w:keepNext/>
        <w:pageBreakBefore/>
        <w:bidi/>
        <w:spacing w:before="120" w:after="120" w:line="340" w:lineRule="exact"/>
        <w:rPr>
          <w:rFonts w:ascii="Arabic Typesetting" w:hAnsi="Arabic Typesetting" w:cs="Arabic Typesetting"/>
          <w:sz w:val="34"/>
          <w:szCs w:val="34"/>
          <w:u w:val="single"/>
          <w:rtl/>
          <w:lang w:bidi="ar-EG"/>
        </w:rPr>
      </w:pPr>
      <w:r w:rsidRPr="00141A0B">
        <w:rPr>
          <w:rFonts w:ascii="Arabic Typesetting" w:hAnsi="Arabic Typesetting" w:cs="Arabic Typesetting" w:hint="cs"/>
          <w:sz w:val="34"/>
          <w:szCs w:val="34"/>
          <w:rtl/>
          <w:lang w:bidi="ar-EG"/>
        </w:rPr>
        <w:lastRenderedPageBreak/>
        <w:t>ألف</w:t>
      </w:r>
      <w:r w:rsidRPr="00141A0B">
        <w:rPr>
          <w:rFonts w:ascii="Arabic Typesetting" w:hAnsi="Arabic Typesetting" w:cs="Arabic Typesetting"/>
          <w:sz w:val="34"/>
          <w:szCs w:val="34"/>
          <w:lang w:bidi="ar-EG"/>
        </w:rPr>
        <w:t>.</w:t>
      </w:r>
      <w:r w:rsidRPr="00141A0B">
        <w:rPr>
          <w:rFonts w:ascii="Arabic Typesetting" w:hAnsi="Arabic Typesetting" w:cs="Arabic Typesetting" w:hint="cs"/>
          <w:sz w:val="34"/>
          <w:szCs w:val="34"/>
          <w:rtl/>
          <w:lang w:bidi="ar-EG"/>
        </w:rPr>
        <w:tab/>
      </w:r>
      <w:r w:rsidR="006D6B70" w:rsidRPr="00141A0B">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8F54A9" w:rsidRDefault="008F54A9" w:rsidP="009A3712">
      <w:pPr>
        <w:keepNext/>
        <w:numPr>
          <w:ilvl w:val="0"/>
          <w:numId w:val="4"/>
        </w:numPr>
        <w:bidi/>
        <w:spacing w:after="120" w:line="340" w:lineRule="exact"/>
        <w:ind w:left="-1" w:firstLine="1"/>
        <w:rPr>
          <w:rFonts w:ascii="Arabic Typesetting" w:hAnsi="Arabic Typesetting" w:cs="Arabic Typesetting"/>
          <w:sz w:val="34"/>
          <w:szCs w:val="34"/>
          <w:lang w:bidi="ar-EG"/>
        </w:rPr>
      </w:pPr>
      <w:r w:rsidRPr="00532F8F">
        <w:rPr>
          <w:rFonts w:ascii="Arabic Typesetting" w:hAnsi="Arabic Typesetting" w:cs="Arabic Typesetting" w:hint="cs"/>
          <w:sz w:val="34"/>
          <w:szCs w:val="34"/>
          <w:rtl/>
          <w:lang w:bidi="ar-EG"/>
        </w:rPr>
        <w:t xml:space="preserve">يُعزى تحويل الموارد من النتيجة المرتقبة ه1.1 </w:t>
      </w:r>
      <w:r w:rsidR="000445CA" w:rsidRPr="00532F8F">
        <w:rPr>
          <w:rFonts w:ascii="Arabic Typesetting" w:hAnsi="Arabic Typesetting" w:cs="Arabic Typesetting" w:hint="cs"/>
          <w:sz w:val="34"/>
          <w:szCs w:val="34"/>
          <w:rtl/>
          <w:lang w:bidi="ar-EG"/>
        </w:rPr>
        <w:t>(</w:t>
      </w:r>
      <w:r w:rsidR="000445CA" w:rsidRPr="00532F8F">
        <w:rPr>
          <w:rFonts w:ascii="Arabic Typesetting" w:hAnsi="Arabic Typesetting" w:cs="Arabic Typesetting"/>
          <w:sz w:val="34"/>
          <w:szCs w:val="34"/>
          <w:rtl/>
          <w:lang w:bidi="ar-EG"/>
        </w:rPr>
        <w:t xml:space="preserve">تعاون معزز بين الدول </w:t>
      </w:r>
      <w:r w:rsidR="000445CA" w:rsidRPr="00532F8F">
        <w:rPr>
          <w:rFonts w:ascii="Arabic Typesetting" w:hAnsi="Arabic Typesetting" w:cs="Arabic Typesetting" w:hint="cs"/>
          <w:sz w:val="34"/>
          <w:szCs w:val="34"/>
          <w:rtl/>
          <w:lang w:bidi="ar-EG"/>
        </w:rPr>
        <w:t xml:space="preserve">الأعضاء) </w:t>
      </w:r>
      <w:r w:rsidRPr="00532F8F">
        <w:rPr>
          <w:rFonts w:ascii="Arabic Typesetting" w:hAnsi="Arabic Typesetting" w:cs="Arabic Typesetting" w:hint="cs"/>
          <w:sz w:val="34"/>
          <w:szCs w:val="34"/>
          <w:rtl/>
          <w:lang w:bidi="ar-EG"/>
        </w:rPr>
        <w:t xml:space="preserve">إلى ه2.1 </w:t>
      </w:r>
      <w:r w:rsidR="000445CA" w:rsidRPr="00532F8F">
        <w:rPr>
          <w:rFonts w:ascii="Arabic Typesetting" w:hAnsi="Arabic Typesetting" w:cs="Arabic Typesetting" w:hint="cs"/>
          <w:sz w:val="34"/>
          <w:szCs w:val="34"/>
          <w:rtl/>
          <w:lang w:bidi="ar-EG"/>
        </w:rPr>
        <w:t>(</w:t>
      </w:r>
      <w:r w:rsidR="000432CA">
        <w:rPr>
          <w:rFonts w:ascii="Arabic Typesetting" w:hAnsi="Arabic Typesetting" w:cs="Arabic Typesetting"/>
          <w:sz w:val="34"/>
          <w:szCs w:val="34"/>
          <w:rtl/>
          <w:lang w:bidi="ar-EG"/>
        </w:rPr>
        <w:t>أطر تشريعية وتنظيمية وسياسية مناسبة ومتوازنة للملكية الفكرية</w:t>
      </w:r>
      <w:r w:rsidR="000445CA" w:rsidRPr="00532F8F">
        <w:rPr>
          <w:rFonts w:ascii="Arabic Typesetting" w:hAnsi="Arabic Typesetting" w:cs="Arabic Typesetting" w:hint="cs"/>
          <w:sz w:val="34"/>
          <w:szCs w:val="34"/>
          <w:rtl/>
          <w:lang w:bidi="ar-EG"/>
        </w:rPr>
        <w:t>)</w:t>
      </w:r>
      <w:r w:rsidR="00532F8F" w:rsidRPr="00532F8F">
        <w:rPr>
          <w:rFonts w:ascii="Arabic Typesetting" w:hAnsi="Arabic Typesetting" w:cs="Arabic Typesetting" w:hint="cs"/>
          <w:sz w:val="34"/>
          <w:szCs w:val="34"/>
          <w:rtl/>
          <w:lang w:bidi="ar-EG"/>
        </w:rPr>
        <w:t xml:space="preserve"> في الميزانية النهائية بعد التحويلات </w:t>
      </w:r>
      <w:r w:rsidR="00507DE2">
        <w:rPr>
          <w:rFonts w:ascii="Arabic Typesetting" w:hAnsi="Arabic Typesetting" w:cs="Arabic Typesetting" w:hint="cs"/>
          <w:sz w:val="34"/>
          <w:szCs w:val="34"/>
          <w:rtl/>
          <w:lang w:bidi="ar-EG"/>
        </w:rPr>
        <w:t>2014/15</w:t>
      </w:r>
      <w:r w:rsidR="00532F8F" w:rsidRPr="00532F8F">
        <w:rPr>
          <w:rFonts w:ascii="Arabic Typesetting" w:hAnsi="Arabic Typesetting" w:cs="Arabic Typesetting" w:hint="cs"/>
          <w:sz w:val="34"/>
          <w:szCs w:val="34"/>
          <w:rtl/>
          <w:lang w:bidi="ar-EG"/>
        </w:rPr>
        <w:t xml:space="preserve"> إلى </w:t>
      </w:r>
      <w:r w:rsidRPr="00532F8F">
        <w:rPr>
          <w:rFonts w:ascii="Arabic Typesetting" w:hAnsi="Arabic Typesetting" w:cs="Arabic Typesetting" w:hint="cs"/>
          <w:sz w:val="34"/>
          <w:szCs w:val="34"/>
          <w:rtl/>
          <w:lang w:bidi="ar-EG"/>
        </w:rPr>
        <w:t xml:space="preserve">تخصيص موارد إضافية من موارد الموظفين </w:t>
      </w:r>
      <w:r w:rsidR="0055755E">
        <w:rPr>
          <w:rFonts w:ascii="Arabic Typesetting" w:hAnsi="Arabic Typesetting" w:cs="Arabic Typesetting" w:hint="cs"/>
          <w:sz w:val="34"/>
          <w:szCs w:val="34"/>
          <w:rtl/>
          <w:lang w:bidi="ar-EG"/>
        </w:rPr>
        <w:t>وخلاف</w:t>
      </w:r>
      <w:r w:rsidRPr="00532F8F">
        <w:rPr>
          <w:rFonts w:ascii="Arabic Typesetting" w:hAnsi="Arabic Typesetting" w:cs="Arabic Typesetting" w:hint="cs"/>
          <w:sz w:val="34"/>
          <w:szCs w:val="34"/>
          <w:rtl/>
          <w:lang w:bidi="ar-EG"/>
        </w:rPr>
        <w:t xml:space="preserve"> الموظفين </w:t>
      </w:r>
      <w:r w:rsidR="00532F8F">
        <w:rPr>
          <w:rFonts w:ascii="Arabic Typesetting" w:hAnsi="Arabic Typesetting" w:cs="Arabic Typesetting" w:hint="cs"/>
          <w:sz w:val="34"/>
          <w:szCs w:val="34"/>
          <w:rtl/>
          <w:lang w:bidi="ar-EG"/>
        </w:rPr>
        <w:t>للأنشطة المتعلقة بتقديم المساعدة</w:t>
      </w:r>
      <w:r w:rsidRPr="00532F8F">
        <w:rPr>
          <w:rFonts w:ascii="Arabic Typesetting" w:hAnsi="Arabic Typesetting" w:cs="Arabic Typesetting" w:hint="cs"/>
          <w:sz w:val="34"/>
          <w:szCs w:val="34"/>
          <w:rtl/>
          <w:lang w:bidi="ar-EG"/>
        </w:rPr>
        <w:t xml:space="preserve"> </w:t>
      </w:r>
      <w:r w:rsidR="005432CC">
        <w:rPr>
          <w:rFonts w:ascii="Arabic Typesetting" w:hAnsi="Arabic Typesetting" w:cs="Arabic Typesetting" w:hint="cs"/>
          <w:sz w:val="34"/>
          <w:szCs w:val="34"/>
          <w:rtl/>
          <w:lang w:bidi="ar-EG"/>
        </w:rPr>
        <w:t xml:space="preserve">في </w:t>
      </w:r>
      <w:r w:rsidRPr="00532F8F">
        <w:rPr>
          <w:rFonts w:ascii="Arabic Typesetting" w:hAnsi="Arabic Typesetting" w:cs="Arabic Typesetting" w:hint="cs"/>
          <w:sz w:val="34"/>
          <w:szCs w:val="34"/>
          <w:rtl/>
          <w:lang w:bidi="ar-EG"/>
        </w:rPr>
        <w:t>التصديق على معاهدتي مراكش وبيجين وتنفيذهما.</w:t>
      </w:r>
    </w:p>
    <w:p w:rsidR="008F54A9" w:rsidRDefault="008F54A9" w:rsidP="009A3712">
      <w:pPr>
        <w:keepNext/>
        <w:numPr>
          <w:ilvl w:val="0"/>
          <w:numId w:val="4"/>
        </w:numPr>
        <w:bidi/>
        <w:spacing w:after="120" w:line="340" w:lineRule="exact"/>
        <w:ind w:left="-1" w:firstLine="1"/>
        <w:rPr>
          <w:rFonts w:ascii="Arabic Typesetting" w:hAnsi="Arabic Typesetting" w:cs="Arabic Typesetting"/>
          <w:sz w:val="34"/>
          <w:szCs w:val="34"/>
          <w:lang w:bidi="ar-EG"/>
        </w:rPr>
      </w:pPr>
      <w:r w:rsidRPr="000A7DC1">
        <w:rPr>
          <w:rFonts w:ascii="Arabic Typesetting" w:hAnsi="Arabic Typesetting" w:cs="Arabic Typesetting" w:hint="cs"/>
          <w:sz w:val="34"/>
          <w:szCs w:val="34"/>
          <w:rtl/>
          <w:lang w:bidi="ar-EG"/>
        </w:rPr>
        <w:t xml:space="preserve">وتُعزى </w:t>
      </w:r>
      <w:r w:rsidR="00532F8F" w:rsidRPr="000A7DC1">
        <w:rPr>
          <w:rFonts w:ascii="Arabic Typesetting" w:hAnsi="Arabic Typesetting" w:cs="Arabic Typesetting" w:hint="cs"/>
          <w:sz w:val="34"/>
          <w:szCs w:val="34"/>
          <w:rtl/>
          <w:lang w:bidi="ar-EG"/>
        </w:rPr>
        <w:t xml:space="preserve">أساساً </w:t>
      </w:r>
      <w:r w:rsidRPr="000A7DC1">
        <w:rPr>
          <w:rFonts w:ascii="Arabic Typesetting" w:hAnsi="Arabic Typesetting" w:cs="Arabic Typesetting" w:hint="cs"/>
          <w:sz w:val="34"/>
          <w:szCs w:val="34"/>
          <w:rtl/>
          <w:lang w:bidi="ar-EG"/>
        </w:rPr>
        <w:t xml:space="preserve">الزيادة في الموارد المخصصة للنتيجة المرتقبة ه2.4 </w:t>
      </w:r>
      <w:r w:rsidR="000A7DC1" w:rsidRPr="000A7DC1">
        <w:rPr>
          <w:rFonts w:ascii="Arabic Typesetting" w:hAnsi="Arabic Typesetting" w:cs="Arabic Typesetting" w:hint="cs"/>
          <w:sz w:val="34"/>
          <w:szCs w:val="34"/>
          <w:rtl/>
          <w:lang w:bidi="ar-EG"/>
        </w:rPr>
        <w:t>(</w:t>
      </w:r>
      <w:r w:rsidR="000A7DC1" w:rsidRPr="000A7DC1">
        <w:rPr>
          <w:rFonts w:ascii="Arabic Typesetting" w:hAnsi="Arabic Typesetting" w:cs="Arabic Typesetting"/>
          <w:sz w:val="34"/>
          <w:szCs w:val="34"/>
          <w:rtl/>
          <w:lang w:bidi="ar-EG"/>
        </w:rPr>
        <w:t>نفاذ محسّن إلى المعلومات المتعلقة بالملكية الفكرية واستخدامها</w:t>
      </w:r>
      <w:r w:rsidR="000A7DC1" w:rsidRPr="000A7DC1">
        <w:rPr>
          <w:rFonts w:ascii="Arabic Typesetting" w:hAnsi="Arabic Typesetting" w:cs="Arabic Typesetting" w:hint="cs"/>
          <w:sz w:val="34"/>
          <w:szCs w:val="34"/>
          <w:rtl/>
          <w:lang w:bidi="ar-EG"/>
        </w:rPr>
        <w:t xml:space="preserve">) </w:t>
      </w:r>
      <w:r w:rsidRPr="000A7DC1">
        <w:rPr>
          <w:rFonts w:ascii="Arabic Typesetting" w:hAnsi="Arabic Typesetting" w:cs="Arabic Typesetting" w:hint="cs"/>
          <w:sz w:val="34"/>
          <w:szCs w:val="34"/>
          <w:rtl/>
          <w:lang w:bidi="ar-EG"/>
        </w:rPr>
        <w:t xml:space="preserve">إلى زيادة التركيز على الأنشطة المتصلة </w:t>
      </w:r>
      <w:r w:rsidR="000A7DC1">
        <w:rPr>
          <w:rFonts w:ascii="Arabic Typesetting" w:hAnsi="Arabic Typesetting" w:cs="Arabic Typesetting" w:hint="cs"/>
          <w:sz w:val="34"/>
          <w:szCs w:val="34"/>
          <w:rtl/>
          <w:lang w:bidi="ar-EG"/>
        </w:rPr>
        <w:t>باتحاد الكتب الميسرة</w:t>
      </w:r>
      <w:r w:rsidRPr="000A7DC1">
        <w:rPr>
          <w:rFonts w:ascii="Arabic Typesetting" w:hAnsi="Arabic Typesetting" w:cs="Arabic Typesetting" w:hint="cs"/>
          <w:sz w:val="34"/>
          <w:szCs w:val="34"/>
          <w:rtl/>
          <w:lang w:bidi="ar-EG"/>
        </w:rPr>
        <w:t>.</w:t>
      </w:r>
    </w:p>
    <w:p w:rsidR="008F54A9" w:rsidRPr="000A7DC1" w:rsidRDefault="008F54A9" w:rsidP="009A3712">
      <w:pPr>
        <w:numPr>
          <w:ilvl w:val="0"/>
          <w:numId w:val="4"/>
        </w:numPr>
        <w:bidi/>
        <w:spacing w:after="120" w:line="340" w:lineRule="exact"/>
        <w:ind w:left="-1" w:firstLine="1"/>
        <w:rPr>
          <w:rFonts w:ascii="Arabic Typesetting" w:hAnsi="Arabic Typesetting" w:cs="Arabic Typesetting"/>
          <w:sz w:val="34"/>
          <w:szCs w:val="34"/>
          <w:lang w:bidi="ar-EG"/>
        </w:rPr>
      </w:pPr>
      <w:r w:rsidRPr="000A7DC1">
        <w:rPr>
          <w:rFonts w:ascii="Arabic Typesetting" w:hAnsi="Arabic Typesetting" w:cs="Arabic Typesetting" w:hint="cs"/>
          <w:sz w:val="34"/>
          <w:szCs w:val="34"/>
          <w:rtl/>
          <w:lang w:bidi="ar-EG"/>
        </w:rPr>
        <w:t xml:space="preserve">ويُعزى انخفاض الموارد المخصصة للنتيجة المرتقبة </w:t>
      </w:r>
      <w:r w:rsidR="000A7DC1" w:rsidRPr="000A7DC1">
        <w:rPr>
          <w:rFonts w:ascii="Arabic Typesetting" w:hAnsi="Arabic Typesetting" w:cs="Arabic Typesetting" w:hint="cs"/>
          <w:sz w:val="34"/>
          <w:szCs w:val="34"/>
          <w:rtl/>
          <w:lang w:bidi="ar-EG"/>
        </w:rPr>
        <w:t>ه2.5</w:t>
      </w:r>
      <w:r w:rsidRPr="000A7DC1">
        <w:rPr>
          <w:rFonts w:ascii="Arabic Typesetting" w:hAnsi="Arabic Typesetting" w:cs="Arabic Typesetting" w:hint="cs"/>
          <w:sz w:val="34"/>
          <w:szCs w:val="34"/>
          <w:rtl/>
          <w:lang w:bidi="ar-EG"/>
        </w:rPr>
        <w:t xml:space="preserve"> </w:t>
      </w:r>
      <w:r w:rsidR="000A7DC1" w:rsidRPr="000A7DC1">
        <w:rPr>
          <w:rFonts w:ascii="Arabic Typesetting" w:hAnsi="Arabic Typesetting" w:cs="Arabic Typesetting" w:hint="cs"/>
          <w:sz w:val="34"/>
          <w:szCs w:val="34"/>
          <w:rtl/>
          <w:lang w:bidi="ar-EG"/>
        </w:rPr>
        <w:t>(</w:t>
      </w:r>
      <w:r w:rsidR="000A7DC1" w:rsidRPr="000A7DC1">
        <w:rPr>
          <w:rFonts w:ascii="Arabic Typesetting" w:hAnsi="Arabic Typesetting" w:cs="Arabic Typesetting"/>
          <w:sz w:val="34"/>
          <w:szCs w:val="34"/>
          <w:rtl/>
          <w:lang w:bidi="ar-EG"/>
        </w:rPr>
        <w:t>استخدام تحليلات الويبو الاقتصادية على نطاق أوسع ونحو أفضل</w:t>
      </w:r>
      <w:r w:rsidR="000A7DC1" w:rsidRPr="000A7DC1">
        <w:rPr>
          <w:rFonts w:ascii="Arabic Typesetting" w:hAnsi="Arabic Typesetting" w:cs="Arabic Typesetting" w:hint="cs"/>
          <w:sz w:val="34"/>
          <w:szCs w:val="34"/>
          <w:rtl/>
          <w:lang w:bidi="ar-EG"/>
        </w:rPr>
        <w:t xml:space="preserve">) إلى نقل </w:t>
      </w:r>
      <w:r w:rsidRPr="000A7DC1">
        <w:rPr>
          <w:rFonts w:ascii="Arabic Typesetting" w:hAnsi="Arabic Typesetting" w:cs="Arabic Typesetting" w:hint="cs"/>
          <w:sz w:val="34"/>
          <w:szCs w:val="34"/>
          <w:rtl/>
          <w:lang w:bidi="ar-EG"/>
        </w:rPr>
        <w:t>بعض الأنشطة المتعلقة بنظام</w:t>
      </w:r>
      <w:r w:rsidRPr="000A7DC1">
        <w:rPr>
          <w:rFonts w:ascii="Arabic Typesetting" w:hAnsi="Arabic Typesetting" w:cs="Arabic Typesetting" w:hint="eastAsia"/>
          <w:sz w:val="34"/>
          <w:szCs w:val="34"/>
          <w:rtl/>
          <w:lang w:bidi="ar-EG"/>
        </w:rPr>
        <w:t> </w:t>
      </w:r>
      <w:r w:rsidRPr="000A7DC1">
        <w:rPr>
          <w:rFonts w:ascii="Arabic Typesetting" w:hAnsi="Arabic Typesetting" w:cs="Arabic Typesetting"/>
          <w:sz w:val="34"/>
          <w:szCs w:val="34"/>
          <w:lang w:bidi="ar-EG"/>
        </w:rPr>
        <w:t>WIPOCOS</w:t>
      </w:r>
      <w:r w:rsidRPr="000A7DC1">
        <w:rPr>
          <w:rFonts w:ascii="Arabic Typesetting" w:hAnsi="Arabic Typesetting" w:cs="Arabic Typesetting" w:hint="cs"/>
          <w:sz w:val="34"/>
          <w:szCs w:val="34"/>
          <w:rtl/>
          <w:lang w:bidi="ar-EG"/>
        </w:rPr>
        <w:t xml:space="preserve"> </w:t>
      </w:r>
      <w:r w:rsidR="000A7DC1">
        <w:rPr>
          <w:rFonts w:ascii="Arabic Typesetting" w:hAnsi="Arabic Typesetting" w:cs="Arabic Typesetting" w:hint="cs"/>
          <w:sz w:val="34"/>
          <w:szCs w:val="34"/>
          <w:rtl/>
          <w:lang w:bidi="ar-EG"/>
        </w:rPr>
        <w:t>إلى البرنامج 15 (حلول لأعمال مكاتب الملكية الفكرية) الذي نقلت إليه مسؤولية دعم إدارة البيانات المتعلقة بمنظمات الإدارة الجماعية.</w:t>
      </w:r>
    </w:p>
    <w:p w:rsidR="00B264F9" w:rsidRPr="00141A0B" w:rsidRDefault="008F54A9" w:rsidP="009E62B8">
      <w:pPr>
        <w:keepNext/>
        <w:bidi/>
        <w:spacing w:after="120" w:line="340" w:lineRule="exact"/>
        <w:rPr>
          <w:rFonts w:ascii="Arabic Typesetting" w:hAnsi="Arabic Typesetting" w:cs="Arabic Typesetting"/>
          <w:sz w:val="34"/>
          <w:szCs w:val="34"/>
          <w:u w:val="single"/>
          <w:rtl/>
          <w:lang w:bidi="ar-EG"/>
        </w:rPr>
      </w:pPr>
      <w:r w:rsidRPr="00141A0B">
        <w:rPr>
          <w:rFonts w:ascii="Arabic Typesetting" w:hAnsi="Arabic Typesetting" w:cs="Arabic Typesetting"/>
          <w:sz w:val="34"/>
          <w:szCs w:val="34"/>
          <w:rtl/>
          <w:lang w:bidi="ar-EG"/>
        </w:rPr>
        <w:t>باء</w:t>
      </w:r>
      <w:r w:rsidRPr="00141A0B">
        <w:rPr>
          <w:rFonts w:ascii="Arabic Typesetting" w:hAnsi="Arabic Typesetting" w:cs="Arabic Typesetting"/>
          <w:sz w:val="34"/>
          <w:szCs w:val="34"/>
          <w:lang w:bidi="ar-EG"/>
        </w:rPr>
        <w:t>.</w:t>
      </w:r>
      <w:r w:rsidRPr="00141A0B">
        <w:rPr>
          <w:rFonts w:ascii="Arabic Typesetting" w:hAnsi="Arabic Typesetting" w:cs="Arabic Typesetting"/>
          <w:sz w:val="34"/>
          <w:szCs w:val="34"/>
          <w:rtl/>
          <w:lang w:bidi="ar-EG"/>
        </w:rPr>
        <w:tab/>
      </w:r>
      <w:r w:rsidR="00507DE2">
        <w:rPr>
          <w:rFonts w:ascii="Arabic Typesetting" w:hAnsi="Arabic Typesetting" w:cs="Arabic Typesetting"/>
          <w:sz w:val="34"/>
          <w:szCs w:val="34"/>
          <w:u w:val="single"/>
          <w:rtl/>
          <w:lang w:bidi="ar-EG"/>
        </w:rPr>
        <w:t>استخدام ميزانية 2014/15</w:t>
      </w:r>
    </w:p>
    <w:p w:rsidR="000A7DC1" w:rsidRDefault="000A7DC1" w:rsidP="009A3712">
      <w:pPr>
        <w:numPr>
          <w:ilvl w:val="0"/>
          <w:numId w:val="4"/>
        </w:numPr>
        <w:bidi/>
        <w:spacing w:after="120" w:line="340" w:lineRule="exact"/>
        <w:ind w:left="-1" w:firstLine="1"/>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يعزى أساساً تدني إنفاق الموارد المخصصة للنتيجة المرتقبة ه2.4 </w:t>
      </w:r>
      <w:r w:rsidRPr="000A7DC1">
        <w:rPr>
          <w:rFonts w:ascii="Arabic Typesetting" w:hAnsi="Arabic Typesetting" w:cs="Arabic Typesetting" w:hint="cs"/>
          <w:sz w:val="34"/>
          <w:szCs w:val="34"/>
          <w:rtl/>
          <w:lang w:bidi="ar-EG"/>
        </w:rPr>
        <w:t>(</w:t>
      </w:r>
      <w:r w:rsidRPr="000A7DC1">
        <w:rPr>
          <w:rFonts w:ascii="Arabic Typesetting" w:hAnsi="Arabic Typesetting" w:cs="Arabic Typesetting"/>
          <w:sz w:val="34"/>
          <w:szCs w:val="34"/>
          <w:rtl/>
          <w:lang w:bidi="ar-EG"/>
        </w:rPr>
        <w:t>نفاذ محسّن إلى المعلومات المتعلقة بالملكية الفكرية واستخدامها</w:t>
      </w:r>
      <w:r w:rsidRPr="000A7DC1">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 إلى تأجيل بعض الأنشطة المندرجة في إطار مشروع جدول أعمال التنمية والمتعلقة باستخدام حق المؤلف لتعزيز النفاذ إلى المعلومات والمحتويات الإبداعية. ويعزى الانخفاض الطفيف في إنفاق الموارد المخصصة للنتيجة المرتقبة ه2.1 (</w:t>
      </w:r>
      <w:r w:rsidR="000432CA">
        <w:rPr>
          <w:rFonts w:ascii="Arabic Typesetting" w:hAnsi="Arabic Typesetting" w:cs="Arabic Typesetting"/>
          <w:sz w:val="34"/>
          <w:szCs w:val="34"/>
          <w:rtl/>
          <w:lang w:bidi="ar-EG"/>
        </w:rPr>
        <w:t>أطر تشريعية وتنظيمية وسياسية مناسبة ومتوازنة للملكية الفكرية</w:t>
      </w:r>
      <w:r>
        <w:rPr>
          <w:rFonts w:ascii="Arabic Typesetting" w:hAnsi="Arabic Typesetting" w:cs="Arabic Typesetting" w:hint="cs"/>
          <w:sz w:val="34"/>
          <w:szCs w:val="34"/>
          <w:rtl/>
          <w:lang w:bidi="ar-EG"/>
        </w:rPr>
        <w:t>) إلى تأجيل بعض الأنشطة المتعلقة بترويج معاهدتي مراكش وبيجين وبخاصة في منطقتي أفريقيا وأمريكا اللاتينية.</w:t>
      </w:r>
    </w:p>
    <w:p w:rsidR="00B31868" w:rsidRPr="00A44E49" w:rsidRDefault="00B31868" w:rsidP="009E62B8">
      <w:pPr>
        <w:pStyle w:val="Heading3AR"/>
        <w:spacing w:after="120"/>
        <w:ind w:left="0"/>
        <w:rPr>
          <w:rtl/>
        </w:rPr>
      </w:pPr>
      <w:bookmarkStart w:id="27" w:name="_Toc450635402"/>
      <w:bookmarkStart w:id="28" w:name="_Toc455393367"/>
      <w:r w:rsidRPr="00A44E49">
        <w:rPr>
          <w:rtl/>
        </w:rPr>
        <w:lastRenderedPageBreak/>
        <w:t>البرنامج</w:t>
      </w:r>
      <w:r w:rsidRPr="00A44E49">
        <w:rPr>
          <w:rFonts w:hint="cs"/>
          <w:rtl/>
        </w:rPr>
        <w:t xml:space="preserve"> 4:</w:t>
      </w:r>
      <w:r w:rsidRPr="00A44E49">
        <w:rPr>
          <w:rFonts w:hint="cs"/>
          <w:rtl/>
        </w:rPr>
        <w:tab/>
        <w:t>المعارف التقليدية و</w:t>
      </w:r>
      <w:r w:rsidRPr="00A44E49">
        <w:rPr>
          <w:rtl/>
        </w:rPr>
        <w:t>أشكال التعبير الثقافي التقليدي</w:t>
      </w:r>
      <w:r w:rsidRPr="00A44E49">
        <w:rPr>
          <w:rFonts w:hint="cs"/>
          <w:rtl/>
        </w:rPr>
        <w:t xml:space="preserve"> و</w:t>
      </w:r>
      <w:r w:rsidRPr="00A44E49">
        <w:rPr>
          <w:rtl/>
        </w:rPr>
        <w:t>الموارد الوراثية</w:t>
      </w:r>
      <w:bookmarkEnd w:id="27"/>
      <w:bookmarkEnd w:id="28"/>
    </w:p>
    <w:p w:rsidR="00B31868" w:rsidRPr="009A48D1" w:rsidRDefault="00B31868" w:rsidP="009E62B8">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hint="cs"/>
          <w:b/>
          <w:bCs/>
          <w:sz w:val="36"/>
          <w:szCs w:val="36"/>
          <w:rtl/>
          <w:lang w:val="fr-CH"/>
        </w:rPr>
        <w:t>:</w:t>
      </w:r>
      <w:r w:rsidRPr="009A48D1">
        <w:rPr>
          <w:rFonts w:ascii="Arabic Typesetting" w:hAnsi="Arabic Typesetting" w:cs="Arabic Typesetting"/>
          <w:b/>
          <w:bCs/>
          <w:sz w:val="36"/>
          <w:szCs w:val="36"/>
          <w:lang w:val="fr-CH"/>
        </w:rPr>
        <w:tab/>
      </w:r>
      <w:r w:rsidRPr="009A48D1">
        <w:rPr>
          <w:rFonts w:ascii="Arabic Typesetting" w:hAnsi="Arabic Typesetting" w:cs="Arabic Typesetting"/>
          <w:b/>
          <w:bCs/>
          <w:sz w:val="36"/>
          <w:szCs w:val="36"/>
          <w:rtl/>
          <w:lang w:val="fr-CH"/>
        </w:rPr>
        <w:t xml:space="preserve">السيد </w:t>
      </w:r>
      <w:proofErr w:type="spellStart"/>
      <w:r w:rsidR="00086C3F" w:rsidRPr="009A48D1">
        <w:rPr>
          <w:rFonts w:ascii="Arabic Typesetting" w:hAnsi="Arabic Typesetting" w:cs="Arabic Typesetting"/>
          <w:b/>
          <w:bCs/>
          <w:sz w:val="36"/>
          <w:szCs w:val="36"/>
          <w:rtl/>
          <w:lang w:val="fr-CH"/>
        </w:rPr>
        <w:t>مينيليك</w:t>
      </w:r>
      <w:proofErr w:type="spellEnd"/>
      <w:r w:rsidR="00086C3F" w:rsidRPr="009A48D1">
        <w:rPr>
          <w:rFonts w:ascii="Arabic Typesetting" w:hAnsi="Arabic Typesetting" w:cs="Arabic Typesetting"/>
          <w:b/>
          <w:bCs/>
          <w:sz w:val="36"/>
          <w:szCs w:val="36"/>
          <w:rtl/>
          <w:lang w:val="fr-CH"/>
        </w:rPr>
        <w:t xml:space="preserve"> </w:t>
      </w:r>
      <w:proofErr w:type="spellStart"/>
      <w:r w:rsidR="00086C3F" w:rsidRPr="009A48D1">
        <w:rPr>
          <w:rFonts w:ascii="Arabic Typesetting" w:hAnsi="Arabic Typesetting" w:cs="Arabic Typesetting"/>
          <w:b/>
          <w:bCs/>
          <w:sz w:val="36"/>
          <w:szCs w:val="36"/>
          <w:rtl/>
          <w:lang w:val="fr-CH"/>
        </w:rPr>
        <w:t>غيتاهون</w:t>
      </w:r>
      <w:proofErr w:type="spellEnd"/>
    </w:p>
    <w:p w:rsidR="009A48D1" w:rsidRPr="00FE3908" w:rsidRDefault="009A48D1" w:rsidP="009E62B8">
      <w:pPr>
        <w:keepNext/>
        <w:bidi/>
        <w:spacing w:after="240" w:line="340" w:lineRule="exact"/>
        <w:rPr>
          <w:rFonts w:ascii="Arabic Typesetting" w:hAnsi="Arabic Typesetting" w:cs="Arabic Typesetting"/>
          <w:sz w:val="36"/>
          <w:szCs w:val="36"/>
          <w:rtl/>
          <w:lang w:val="fr-CH"/>
        </w:rPr>
      </w:pPr>
      <w:r w:rsidRPr="00E22E36">
        <w:rPr>
          <w:rFonts w:ascii="Arabic Typesetting" w:hAnsi="Arabic Typesetting" w:cs="Arabic Typesetting"/>
          <w:sz w:val="36"/>
          <w:szCs w:val="36"/>
          <w:rtl/>
          <w:lang w:val="fr-CH"/>
        </w:rPr>
        <w:t xml:space="preserve">الإنجازات المحققة خلال الثنائية </w:t>
      </w:r>
      <w:r w:rsidR="00507DE2">
        <w:rPr>
          <w:rFonts w:ascii="Arabic Typesetting" w:hAnsi="Arabic Typesetting" w:cs="Arabic Typesetting"/>
          <w:sz w:val="36"/>
          <w:szCs w:val="36"/>
          <w:rtl/>
          <w:lang w:val="fr-CH"/>
        </w:rPr>
        <w:t>2014/15</w:t>
      </w:r>
    </w:p>
    <w:p w:rsidR="00B31868" w:rsidRPr="00E50C06" w:rsidRDefault="00B31868" w:rsidP="009A3712">
      <w:pPr>
        <w:numPr>
          <w:ilvl w:val="0"/>
          <w:numId w:val="5"/>
        </w:numPr>
        <w:bidi/>
        <w:spacing w:after="120" w:line="340" w:lineRule="exact"/>
        <w:ind w:left="0" w:firstLine="0"/>
        <w:rPr>
          <w:rFonts w:ascii="Arabic Typesetting" w:hAnsi="Arabic Typesetting" w:cs="Arabic Typesetting"/>
          <w:sz w:val="34"/>
          <w:szCs w:val="34"/>
        </w:rPr>
      </w:pPr>
      <w:r w:rsidRPr="00E50C06">
        <w:rPr>
          <w:rFonts w:ascii="Arabic Typesetting" w:hAnsi="Arabic Typesetting" w:cs="Arabic Typesetting" w:hint="cs"/>
          <w:sz w:val="34"/>
          <w:szCs w:val="34"/>
          <w:rtl/>
        </w:rPr>
        <w:t>اجتمعت</w:t>
      </w:r>
      <w:r w:rsidRPr="00E50C06">
        <w:rPr>
          <w:rFonts w:ascii="Arabic Typesetting" w:hAnsi="Arabic Typesetting" w:cs="Arabic Typesetting"/>
          <w:sz w:val="34"/>
          <w:szCs w:val="34"/>
          <w:rtl/>
        </w:rPr>
        <w:t xml:space="preserve"> </w:t>
      </w:r>
      <w:r w:rsidR="00170666" w:rsidRPr="00E50C06">
        <w:rPr>
          <w:rFonts w:ascii="Arabic Typesetting" w:hAnsi="Arabic Typesetting" w:cs="Arabic Typesetting" w:hint="cs"/>
          <w:sz w:val="34"/>
          <w:szCs w:val="34"/>
          <w:rtl/>
        </w:rPr>
        <w:t>ل</w:t>
      </w:r>
      <w:r w:rsidR="00170666" w:rsidRPr="00E50C06">
        <w:rPr>
          <w:rFonts w:ascii="Arabic Typesetting" w:hAnsi="Arabic Typesetting" w:cs="Arabic Typesetting"/>
          <w:sz w:val="34"/>
          <w:szCs w:val="34"/>
          <w:rtl/>
        </w:rPr>
        <w:t>جنة الويبو الحكومية الدولية المعنية بالملكية الفكرية والموارد الوراثية والمعارف التقليدية والفولكلور (اللجنة الحكومية الدولية)</w:t>
      </w:r>
      <w:r w:rsidRPr="00E50C06">
        <w:rPr>
          <w:rFonts w:ascii="Arabic Typesetting" w:hAnsi="Arabic Typesetting" w:cs="Arabic Typesetting" w:hint="cs"/>
          <w:sz w:val="34"/>
          <w:szCs w:val="34"/>
          <w:rtl/>
        </w:rPr>
        <w:t xml:space="preserve"> ثلاث مرّات</w:t>
      </w:r>
      <w:r w:rsidRPr="00E50C06">
        <w:rPr>
          <w:rFonts w:ascii="Arabic Typesetting" w:hAnsi="Arabic Typesetting" w:cs="Arabic Typesetting"/>
          <w:sz w:val="34"/>
          <w:szCs w:val="34"/>
          <w:rtl/>
        </w:rPr>
        <w:t xml:space="preserve"> (الدورات</w:t>
      </w:r>
      <w:r w:rsidRPr="00E50C06">
        <w:rPr>
          <w:rFonts w:ascii="Arabic Typesetting" w:hAnsi="Arabic Typesetting" w:cs="Arabic Typesetting" w:hint="cs"/>
          <w:sz w:val="34"/>
          <w:szCs w:val="34"/>
          <w:rtl/>
        </w:rPr>
        <w:t xml:space="preserve"> 26</w:t>
      </w:r>
      <w:r w:rsidRPr="00E50C06">
        <w:rPr>
          <w:rFonts w:ascii="Arabic Typesetting" w:hAnsi="Arabic Typesetting" w:cs="Arabic Typesetting"/>
          <w:sz w:val="34"/>
          <w:szCs w:val="34"/>
          <w:rtl/>
        </w:rPr>
        <w:t xml:space="preserve"> </w:t>
      </w:r>
      <w:r w:rsidRPr="00E50C06">
        <w:rPr>
          <w:rFonts w:ascii="Arabic Typesetting" w:hAnsi="Arabic Typesetting" w:cs="Arabic Typesetting" w:hint="cs"/>
          <w:sz w:val="34"/>
          <w:szCs w:val="34"/>
          <w:rtl/>
        </w:rPr>
        <w:t>و27 و28</w:t>
      </w:r>
      <w:r w:rsidRPr="00E50C06">
        <w:rPr>
          <w:rFonts w:ascii="Arabic Typesetting" w:hAnsi="Arabic Typesetting" w:cs="Arabic Typesetting"/>
          <w:sz w:val="34"/>
          <w:szCs w:val="34"/>
          <w:rtl/>
        </w:rPr>
        <w:t xml:space="preserve"> للجنة الحكومية الدولية)</w:t>
      </w:r>
      <w:r w:rsidR="00E50C06" w:rsidRPr="00E50C06">
        <w:rPr>
          <w:rFonts w:ascii="Arabic Typesetting" w:hAnsi="Arabic Typesetting" w:cs="Arabic Typesetting" w:hint="cs"/>
          <w:sz w:val="34"/>
          <w:szCs w:val="34"/>
          <w:rtl/>
        </w:rPr>
        <w:t xml:space="preserve"> في عام 2014 وفقاً لولايتها المجددة للثنائية التي اعتمدتها الجمعية العامة للويبو في أكتوبر 2013 ولبرنامج العمل المتفق عليه لعام 2014</w:t>
      </w:r>
      <w:r w:rsidRPr="00E50C06">
        <w:rPr>
          <w:rFonts w:ascii="Arabic Typesetting" w:hAnsi="Arabic Typesetting" w:cs="Arabic Typesetting"/>
          <w:sz w:val="34"/>
          <w:szCs w:val="34"/>
          <w:rtl/>
        </w:rPr>
        <w:t>.</w:t>
      </w:r>
      <w:r w:rsidR="00E50C06" w:rsidRPr="00E50C06">
        <w:rPr>
          <w:rFonts w:ascii="Arabic Typesetting" w:hAnsi="Arabic Typesetting" w:cs="Arabic Typesetting" w:hint="cs"/>
          <w:sz w:val="34"/>
          <w:szCs w:val="34"/>
          <w:rtl/>
        </w:rPr>
        <w:t xml:space="preserve"> وشملت الدورة 26 </w:t>
      </w:r>
      <w:r w:rsidR="00E50C06" w:rsidRPr="00E50C06">
        <w:rPr>
          <w:rFonts w:ascii="Arabic Typesetting" w:hAnsi="Arabic Typesetting" w:cs="Arabic Typesetting"/>
          <w:sz w:val="34"/>
          <w:szCs w:val="34"/>
          <w:rtl/>
        </w:rPr>
        <w:t>اجتماع</w:t>
      </w:r>
      <w:r w:rsidR="00E50C06" w:rsidRPr="00E50C06">
        <w:rPr>
          <w:rFonts w:ascii="Arabic Typesetting" w:hAnsi="Arabic Typesetting" w:cs="Arabic Typesetting" w:hint="cs"/>
          <w:sz w:val="34"/>
          <w:szCs w:val="34"/>
          <w:rtl/>
        </w:rPr>
        <w:t>اً</w:t>
      </w:r>
      <w:r w:rsidR="00E50C06" w:rsidRPr="00E50C06">
        <w:rPr>
          <w:rFonts w:ascii="Arabic Typesetting" w:hAnsi="Arabic Typesetting" w:cs="Arabic Typesetting"/>
          <w:sz w:val="34"/>
          <w:szCs w:val="34"/>
          <w:rtl/>
        </w:rPr>
        <w:t xml:space="preserve"> للسفراء/</w:t>
      </w:r>
      <w:r w:rsidR="00E50C06" w:rsidRPr="00E50C06">
        <w:rPr>
          <w:rFonts w:ascii="Arabic Typesetting" w:hAnsi="Arabic Typesetting" w:cs="Arabic Typesetting"/>
          <w:sz w:val="34"/>
          <w:szCs w:val="34"/>
          <w:cs/>
        </w:rPr>
        <w:t>‎</w:t>
      </w:r>
      <w:r w:rsidR="00E50C06" w:rsidRPr="00E50C06">
        <w:rPr>
          <w:rFonts w:ascii="Arabic Typesetting" w:hAnsi="Arabic Typesetting" w:cs="Arabic Typesetting"/>
          <w:sz w:val="34"/>
          <w:szCs w:val="34"/>
          <w:rtl/>
        </w:rPr>
        <w:t xml:space="preserve"> ‏كبار المسؤولين الحكوميين</w:t>
      </w:r>
      <w:r w:rsidR="00E50C06" w:rsidRPr="00E50C06">
        <w:rPr>
          <w:rFonts w:ascii="Arabic Typesetting" w:hAnsi="Arabic Typesetting" w:cs="Arabic Typesetting" w:hint="cs"/>
          <w:sz w:val="34"/>
          <w:szCs w:val="34"/>
          <w:rtl/>
        </w:rPr>
        <w:t xml:space="preserve">. </w:t>
      </w:r>
      <w:r w:rsidRPr="00E50C06">
        <w:rPr>
          <w:rFonts w:ascii="Arabic Typesetting" w:hAnsi="Arabic Typesetting" w:cs="Arabic Typesetting" w:hint="cs"/>
          <w:sz w:val="34"/>
          <w:szCs w:val="34"/>
          <w:rtl/>
        </w:rPr>
        <w:t>و</w:t>
      </w:r>
      <w:r w:rsidRPr="00E50C06">
        <w:rPr>
          <w:rFonts w:ascii="Arabic Typesetting" w:hAnsi="Arabic Typesetting" w:cs="Arabic Typesetting"/>
          <w:sz w:val="34"/>
          <w:szCs w:val="34"/>
          <w:rtl/>
        </w:rPr>
        <w:t xml:space="preserve">قد </w:t>
      </w:r>
      <w:r w:rsidRPr="00E50C06">
        <w:rPr>
          <w:rFonts w:ascii="Arabic Typesetting" w:hAnsi="Arabic Typesetting" w:cs="Arabic Typesetting" w:hint="cs"/>
          <w:sz w:val="34"/>
          <w:szCs w:val="34"/>
          <w:rtl/>
        </w:rPr>
        <w:t>تمكّنت اللجنة الحكومية الدولية،</w:t>
      </w:r>
      <w:r w:rsidRPr="00E50C06">
        <w:rPr>
          <w:rFonts w:ascii="Arabic Typesetting" w:hAnsi="Arabic Typesetting" w:cs="Arabic Typesetting"/>
          <w:sz w:val="34"/>
          <w:szCs w:val="34"/>
          <w:rtl/>
        </w:rPr>
        <w:t xml:space="preserve"> </w:t>
      </w:r>
      <w:r w:rsidRPr="00E50C06">
        <w:rPr>
          <w:rFonts w:ascii="Arabic Typesetting" w:hAnsi="Arabic Typesetting" w:cs="Arabic Typesetting" w:hint="cs"/>
          <w:sz w:val="34"/>
          <w:szCs w:val="34"/>
          <w:rtl/>
        </w:rPr>
        <w:t xml:space="preserve">في ختام </w:t>
      </w:r>
      <w:r w:rsidRPr="00E50C06">
        <w:rPr>
          <w:rFonts w:ascii="Arabic Typesetting" w:hAnsi="Arabic Typesetting" w:cs="Arabic Typesetting"/>
          <w:sz w:val="34"/>
          <w:szCs w:val="34"/>
          <w:rtl/>
        </w:rPr>
        <w:t xml:space="preserve">دورتها </w:t>
      </w:r>
      <w:r w:rsidR="00E50C06" w:rsidRPr="00E50C06">
        <w:rPr>
          <w:rFonts w:ascii="Arabic Typesetting" w:hAnsi="Arabic Typesetting" w:cs="Arabic Typesetting" w:hint="cs"/>
          <w:sz w:val="34"/>
          <w:szCs w:val="34"/>
          <w:rtl/>
        </w:rPr>
        <w:t xml:space="preserve">28 </w:t>
      </w:r>
      <w:r w:rsidRPr="00E50C06">
        <w:rPr>
          <w:rFonts w:ascii="Arabic Typesetting" w:hAnsi="Arabic Typesetting" w:cs="Arabic Typesetting" w:hint="cs"/>
          <w:sz w:val="34"/>
          <w:szCs w:val="34"/>
          <w:rtl/>
        </w:rPr>
        <w:t xml:space="preserve">من زيادة تبسيط </w:t>
      </w:r>
      <w:r w:rsidRPr="00E50C06">
        <w:rPr>
          <w:rFonts w:ascii="Arabic Typesetting" w:hAnsi="Arabic Typesetting" w:cs="Arabic Typesetting"/>
          <w:sz w:val="34"/>
          <w:szCs w:val="34"/>
          <w:rtl/>
        </w:rPr>
        <w:t>نص موحد</w:t>
      </w:r>
      <w:r w:rsidRPr="00E50C06">
        <w:rPr>
          <w:rFonts w:ascii="Arabic Typesetting" w:hAnsi="Arabic Typesetting" w:cs="Arabic Typesetting" w:hint="cs"/>
          <w:sz w:val="34"/>
          <w:szCs w:val="34"/>
          <w:rtl/>
        </w:rPr>
        <w:t xml:space="preserve"> بشأن الموارد الوراثية وأحرزت مزيدا من التقدم في النصين المتعلقين بالمعارف التقليدية وأشكال التعبير الثقافي التقليدي. </w:t>
      </w:r>
      <w:r w:rsidR="00E50C06" w:rsidRPr="00E50C06">
        <w:rPr>
          <w:rFonts w:ascii="Arabic Typesetting" w:hAnsi="Arabic Typesetting" w:cs="Arabic Typesetting" w:hint="cs"/>
          <w:sz w:val="34"/>
          <w:szCs w:val="34"/>
          <w:rtl/>
        </w:rPr>
        <w:t>و</w:t>
      </w:r>
      <w:r w:rsidR="00E50C06" w:rsidRPr="00E50C06">
        <w:rPr>
          <w:rFonts w:ascii="Arabic Typesetting" w:hAnsi="Arabic Typesetting" w:cs="Arabic Typesetting"/>
          <w:sz w:val="34"/>
          <w:szCs w:val="34"/>
          <w:rtl/>
        </w:rPr>
        <w:t>أسهمت اجتماعات الدول الأعضاء التي نُظمت</w:t>
      </w:r>
      <w:r w:rsidR="00E50C06" w:rsidRPr="00E50C06">
        <w:rPr>
          <w:rFonts w:ascii="Arabic Typesetting" w:hAnsi="Arabic Typesetting" w:cs="Arabic Typesetting" w:hint="cs"/>
          <w:sz w:val="34"/>
          <w:szCs w:val="34"/>
          <w:rtl/>
        </w:rPr>
        <w:t xml:space="preserve"> خارج جنيف</w:t>
      </w:r>
      <w:r w:rsidR="00E50C06" w:rsidRPr="00E50C06">
        <w:rPr>
          <w:rFonts w:ascii="Arabic Typesetting" w:hAnsi="Arabic Typesetting" w:cs="Arabic Typesetting"/>
          <w:sz w:val="34"/>
          <w:szCs w:val="34"/>
          <w:rtl/>
        </w:rPr>
        <w:t xml:space="preserve"> </w:t>
      </w:r>
      <w:r w:rsidR="00E50C06" w:rsidRPr="00E50C06">
        <w:rPr>
          <w:rFonts w:ascii="Arabic Typesetting" w:hAnsi="Arabic Typesetting" w:cs="Arabic Typesetting" w:hint="cs"/>
          <w:sz w:val="34"/>
          <w:szCs w:val="34"/>
          <w:rtl/>
        </w:rPr>
        <w:t>في الفترة الفاصلة</w:t>
      </w:r>
      <w:r w:rsidR="00E50C06" w:rsidRPr="00E50C06">
        <w:rPr>
          <w:rFonts w:ascii="Arabic Typesetting" w:hAnsi="Arabic Typesetting" w:cs="Arabic Typesetting"/>
          <w:sz w:val="34"/>
          <w:szCs w:val="34"/>
          <w:rtl/>
        </w:rPr>
        <w:t xml:space="preserve"> بين الدورات في</w:t>
      </w:r>
      <w:r w:rsidR="00E50C06" w:rsidRPr="00E50C06">
        <w:rPr>
          <w:rFonts w:ascii="Arabic Typesetting" w:hAnsi="Arabic Typesetting" w:cs="Arabic Typesetting" w:hint="cs"/>
          <w:sz w:val="34"/>
          <w:szCs w:val="34"/>
          <w:rtl/>
        </w:rPr>
        <w:t xml:space="preserve"> إعطاء زخم جديد لهذه العملية. </w:t>
      </w:r>
      <w:r w:rsidRPr="00E50C06">
        <w:rPr>
          <w:rFonts w:ascii="Arabic Typesetting" w:hAnsi="Arabic Typesetting" w:cs="Arabic Typesetting" w:hint="cs"/>
          <w:sz w:val="34"/>
          <w:szCs w:val="34"/>
          <w:rtl/>
        </w:rPr>
        <w:t>وواصلت الأمانة السعي من أجل تأدية دور تيسيري حيادي ومهني وفعال دعما لمسار اللجنة الحكومية الدولية وزيادة تحسين الخدمات المقدمة إلى المشاركين في تلك اللجنة في إطار متابعة التقييم الذي أجرته شعبة الويبو للرقابة الداخلية في عام 2013، والذي خلص إلى وجود نسبة عالية (96 بال</w:t>
      </w:r>
      <w:r w:rsidR="00C352F0">
        <w:rPr>
          <w:rFonts w:ascii="Arabic Typesetting" w:hAnsi="Arabic Typesetting" w:cs="Arabic Typesetting" w:hint="cs"/>
          <w:sz w:val="34"/>
          <w:szCs w:val="34"/>
          <w:rtl/>
        </w:rPr>
        <w:t>مئة</w:t>
      </w:r>
      <w:r w:rsidRPr="00E50C06">
        <w:rPr>
          <w:rFonts w:ascii="Arabic Typesetting" w:hAnsi="Arabic Typesetting" w:cs="Arabic Typesetting" w:hint="cs"/>
          <w:sz w:val="34"/>
          <w:szCs w:val="34"/>
          <w:rtl/>
        </w:rPr>
        <w:t xml:space="preserve">) من الرضا بين المشاركين في اللجنة الحكومية الدولية. وعلى الرغم من مواصلة الأمانة تيسير مشاركة الشعوب الأصلية والجماعات المحلية في مسار اللجنة الحكومية الدولية بالقدر الممكن، ظلّ </w:t>
      </w:r>
      <w:r w:rsidRPr="00E50C06">
        <w:rPr>
          <w:rFonts w:ascii="Arabic Typesetting" w:hAnsi="Arabic Typesetting" w:cs="Arabic Typesetting"/>
          <w:sz w:val="34"/>
          <w:szCs w:val="34"/>
          <w:rtl/>
          <w:lang w:bidi="ar-EG"/>
        </w:rPr>
        <w:t>صندوق تبرعات الويبو لفائدة الجماعات الأصلية والمحلية المعتمدة</w:t>
      </w:r>
      <w:r w:rsidRPr="00E50C06">
        <w:rPr>
          <w:rFonts w:ascii="Arabic Typesetting" w:hAnsi="Arabic Typesetting" w:cs="Arabic Typesetting" w:hint="cs"/>
          <w:sz w:val="34"/>
          <w:szCs w:val="34"/>
          <w:rtl/>
        </w:rPr>
        <w:t xml:space="preserve"> مستنفدا. </w:t>
      </w:r>
      <w:r w:rsidR="009E20D2">
        <w:rPr>
          <w:rFonts w:ascii="Arabic Typesetting" w:hAnsi="Arabic Typesetting" w:cs="Arabic Typesetting" w:hint="cs"/>
          <w:sz w:val="34"/>
          <w:szCs w:val="34"/>
          <w:rtl/>
        </w:rPr>
        <w:t>وأحاطت</w:t>
      </w:r>
      <w:r w:rsidRPr="00E50C06">
        <w:rPr>
          <w:rFonts w:ascii="Arabic Typesetting" w:hAnsi="Arabic Typesetting" w:cs="Arabic Typesetting" w:hint="cs"/>
          <w:sz w:val="34"/>
          <w:szCs w:val="34"/>
          <w:rtl/>
        </w:rPr>
        <w:t xml:space="preserve"> الجمعية العامة للويبو</w:t>
      </w:r>
      <w:r w:rsidR="009E20D2">
        <w:rPr>
          <w:rFonts w:ascii="Arabic Typesetting" w:hAnsi="Arabic Typesetting" w:cs="Arabic Typesetting" w:hint="cs"/>
          <w:sz w:val="34"/>
          <w:szCs w:val="34"/>
          <w:rtl/>
        </w:rPr>
        <w:t xml:space="preserve"> علماً في أكتوبر 2014</w:t>
      </w:r>
      <w:r w:rsidRPr="00E50C06">
        <w:rPr>
          <w:rFonts w:ascii="Arabic Typesetting" w:hAnsi="Arabic Typesetting" w:cs="Arabic Typesetting" w:hint="cs"/>
          <w:sz w:val="34"/>
          <w:szCs w:val="34"/>
          <w:rtl/>
        </w:rPr>
        <w:t xml:space="preserve"> </w:t>
      </w:r>
      <w:r w:rsidR="009E20D2">
        <w:rPr>
          <w:rFonts w:ascii="Arabic Typesetting" w:hAnsi="Arabic Typesetting" w:cs="Arabic Typesetting" w:hint="cs"/>
          <w:sz w:val="34"/>
          <w:szCs w:val="34"/>
          <w:rtl/>
        </w:rPr>
        <w:t>ب</w:t>
      </w:r>
      <w:r w:rsidRPr="00E50C06">
        <w:rPr>
          <w:rFonts w:ascii="Arabic Typesetting" w:hAnsi="Arabic Typesetting" w:cs="Arabic Typesetting" w:hint="cs"/>
          <w:sz w:val="34"/>
          <w:szCs w:val="34"/>
          <w:rtl/>
        </w:rPr>
        <w:t xml:space="preserve">النصوص </w:t>
      </w:r>
      <w:r w:rsidR="009E20D2">
        <w:rPr>
          <w:rFonts w:ascii="Arabic Typesetting" w:hAnsi="Arabic Typesetting" w:cs="Arabic Typesetting" w:hint="cs"/>
          <w:sz w:val="34"/>
          <w:szCs w:val="34"/>
          <w:rtl/>
        </w:rPr>
        <w:t xml:space="preserve">المقدمة </w:t>
      </w:r>
      <w:r w:rsidR="009E20D2" w:rsidRPr="00E50C06">
        <w:rPr>
          <w:rFonts w:ascii="Arabic Typesetting" w:hAnsi="Arabic Typesetting" w:cs="Arabic Typesetting" w:hint="cs"/>
          <w:sz w:val="34"/>
          <w:szCs w:val="34"/>
          <w:rtl/>
        </w:rPr>
        <w:t>و</w:t>
      </w:r>
      <w:r w:rsidR="009E20D2">
        <w:rPr>
          <w:rFonts w:ascii="Arabic Typesetting" w:hAnsi="Arabic Typesetting" w:cs="Arabic Typesetting" w:hint="cs"/>
          <w:sz w:val="34"/>
          <w:szCs w:val="34"/>
          <w:rtl/>
        </w:rPr>
        <w:t>ب</w:t>
      </w:r>
      <w:r w:rsidRPr="00E50C06">
        <w:rPr>
          <w:rFonts w:ascii="Arabic Typesetting" w:hAnsi="Arabic Typesetting" w:cs="Arabic Typesetting" w:hint="cs"/>
          <w:sz w:val="34"/>
          <w:szCs w:val="34"/>
          <w:rtl/>
        </w:rPr>
        <w:t xml:space="preserve">التقدم </w:t>
      </w:r>
      <w:proofErr w:type="spellStart"/>
      <w:r w:rsidRPr="00E50C06">
        <w:rPr>
          <w:rFonts w:ascii="Arabic Typesetting" w:hAnsi="Arabic Typesetting" w:cs="Arabic Typesetting" w:hint="cs"/>
          <w:sz w:val="34"/>
          <w:szCs w:val="34"/>
          <w:rtl/>
        </w:rPr>
        <w:t>المحرز</w:t>
      </w:r>
      <w:r w:rsidR="009E20D2">
        <w:rPr>
          <w:rFonts w:ascii="Arabic Typesetting" w:hAnsi="Arabic Typesetting" w:cs="Arabic Typesetting" w:hint="cs"/>
          <w:sz w:val="34"/>
          <w:szCs w:val="34"/>
          <w:rtl/>
        </w:rPr>
        <w:t>ولكنها</w:t>
      </w:r>
      <w:proofErr w:type="spellEnd"/>
      <w:r w:rsidRPr="00E50C06">
        <w:rPr>
          <w:rFonts w:ascii="Arabic Typesetting" w:hAnsi="Arabic Typesetting" w:cs="Arabic Typesetting" w:hint="cs"/>
          <w:sz w:val="34"/>
          <w:szCs w:val="34"/>
          <w:rtl/>
        </w:rPr>
        <w:t xml:space="preserve"> لم تتمكّن من الاتفاق </w:t>
      </w:r>
      <w:r w:rsidR="009E20D2">
        <w:rPr>
          <w:rFonts w:ascii="Arabic Typesetting" w:hAnsi="Arabic Typesetting" w:cs="Arabic Typesetting" w:hint="cs"/>
          <w:sz w:val="34"/>
          <w:szCs w:val="34"/>
          <w:rtl/>
        </w:rPr>
        <w:t>على</w:t>
      </w:r>
      <w:r w:rsidR="009E20D2" w:rsidRPr="00E50C06">
        <w:rPr>
          <w:rFonts w:ascii="Arabic Typesetting" w:hAnsi="Arabic Typesetting" w:cs="Arabic Typesetting" w:hint="cs"/>
          <w:sz w:val="34"/>
          <w:szCs w:val="34"/>
          <w:rtl/>
        </w:rPr>
        <w:t xml:space="preserve"> </w:t>
      </w:r>
      <w:r w:rsidRPr="00E50C06">
        <w:rPr>
          <w:rFonts w:ascii="Arabic Typesetting" w:hAnsi="Arabic Typesetting" w:cs="Arabic Typesetting" w:hint="cs"/>
          <w:sz w:val="34"/>
          <w:szCs w:val="34"/>
          <w:rtl/>
        </w:rPr>
        <w:t>برنامج عمل للجنة الحكومية الدولية في عام 2015.</w:t>
      </w:r>
      <w:r w:rsidR="00E50C06">
        <w:rPr>
          <w:rFonts w:ascii="Arabic Typesetting" w:hAnsi="Arabic Typesetting" w:cs="Arabic Typesetting" w:hint="cs"/>
          <w:sz w:val="34"/>
          <w:szCs w:val="34"/>
          <w:rtl/>
        </w:rPr>
        <w:t xml:space="preserve"> واتفقت الجمعية العامة للويبو في أكتوبر 2015 على تجديد ولاية اللجنة الحكومية الدولية للثنائية </w:t>
      </w:r>
      <w:r w:rsidR="00507DE2">
        <w:rPr>
          <w:rFonts w:ascii="Arabic Typesetting" w:hAnsi="Arabic Typesetting" w:cs="Arabic Typesetting" w:hint="cs"/>
          <w:sz w:val="34"/>
          <w:szCs w:val="34"/>
          <w:rtl/>
        </w:rPr>
        <w:t>2016/17</w:t>
      </w:r>
      <w:r w:rsidR="00E50C06">
        <w:rPr>
          <w:rFonts w:ascii="Arabic Typesetting" w:hAnsi="Arabic Typesetting" w:cs="Arabic Typesetting" w:hint="cs"/>
          <w:sz w:val="34"/>
          <w:szCs w:val="34"/>
          <w:rtl/>
        </w:rPr>
        <w:t>.</w:t>
      </w:r>
    </w:p>
    <w:p w:rsidR="00B31868" w:rsidRPr="00B31868" w:rsidRDefault="00B31868" w:rsidP="009A3712">
      <w:pPr>
        <w:numPr>
          <w:ilvl w:val="0"/>
          <w:numId w:val="5"/>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sz w:val="34"/>
          <w:szCs w:val="34"/>
          <w:rtl/>
          <w:lang w:bidi="ar-EG"/>
        </w:rPr>
        <w:t>ونتيجة مفاوضات اللجنة الحكومية الدولية هي موضوع التوصية 18 لجدول أعمال التنمية، والتي تحث اللجنة "على الإسراع في مسارها بشأن حماية الموارد الوراثية والمعارف التقليدية والفولكلور، من غير إخلال بأي نتائج بما فيها إمكانية وضع صك دولي واحد أو أكثر"</w:t>
      </w:r>
      <w:r w:rsidRPr="00B31868">
        <w:rPr>
          <w:rFonts w:ascii="Arabic Typesetting" w:hAnsi="Arabic Typesetting" w:cs="Arabic Typesetting" w:hint="cs"/>
          <w:sz w:val="34"/>
          <w:szCs w:val="34"/>
          <w:rtl/>
          <w:lang w:bidi="ar-EG"/>
        </w:rPr>
        <w:t xml:space="preserve">. وظلّت أنشطة البرنامج المتعلقة بوضع القواعد والمعايير ضمن اللجنة الحكومية الدولية شاملة </w:t>
      </w:r>
      <w:r w:rsidR="00E50C06">
        <w:rPr>
          <w:rFonts w:ascii="Arabic Typesetting" w:hAnsi="Arabic Typesetting" w:cs="Arabic Typesetting" w:hint="cs"/>
          <w:sz w:val="34"/>
          <w:szCs w:val="34"/>
          <w:rtl/>
          <w:lang w:bidi="ar-EG"/>
        </w:rPr>
        <w:t>وتوجهها</w:t>
      </w:r>
      <w:r w:rsidRPr="00B31868">
        <w:rPr>
          <w:rFonts w:ascii="Arabic Typesetting" w:hAnsi="Arabic Typesetting" w:cs="Arabic Typesetting" w:hint="cs"/>
          <w:sz w:val="34"/>
          <w:szCs w:val="34"/>
          <w:rtl/>
          <w:lang w:bidi="ar-EG"/>
        </w:rPr>
        <w:t xml:space="preserve"> الدول الأعضاء وقائمة على مشاورات مفتوحة ومتوازنة تشمل المجتمع المدني عموما (التوصيات 15 و21 و42)، وتراعي الملك العام (التوصيتان 16 و20) ومواطن المرونة المتاحة في الاتفاقات الدولية المتعلقة بالملكية الفكرية (التوصيتان 14 و17). وأسهمت مفاوضات اللجنة الحكومية الدولية في تعميم الاعتبارات الإنمائية وكانت داعمة لأهداف الأمم المتحدة الإنمائية (التوصيتان 12 و22).</w:t>
      </w:r>
    </w:p>
    <w:p w:rsidR="00B31868" w:rsidRPr="0089473E" w:rsidRDefault="00B31868" w:rsidP="009A3712">
      <w:pPr>
        <w:numPr>
          <w:ilvl w:val="0"/>
          <w:numId w:val="5"/>
        </w:numPr>
        <w:bidi/>
        <w:spacing w:after="120" w:line="340" w:lineRule="exact"/>
        <w:ind w:left="0" w:firstLine="0"/>
        <w:rPr>
          <w:rFonts w:ascii="Arabic Typesetting" w:hAnsi="Arabic Typesetting" w:cs="Arabic Typesetting"/>
          <w:sz w:val="34"/>
          <w:szCs w:val="34"/>
        </w:rPr>
      </w:pPr>
      <w:r w:rsidRPr="0089473E">
        <w:rPr>
          <w:rFonts w:ascii="Arabic Typesetting" w:hAnsi="Arabic Typesetting" w:cs="Arabic Typesetting" w:hint="cs"/>
          <w:sz w:val="34"/>
          <w:szCs w:val="34"/>
          <w:rtl/>
        </w:rPr>
        <w:t xml:space="preserve">وفيما يخص تكوين الكفاءات </w:t>
      </w:r>
      <w:r w:rsidR="00E50C06" w:rsidRPr="0089473E">
        <w:rPr>
          <w:rFonts w:ascii="Arabic Typesetting" w:hAnsi="Arabic Typesetting" w:cs="Arabic Typesetting" w:hint="cs"/>
          <w:sz w:val="34"/>
          <w:szCs w:val="34"/>
          <w:rtl/>
        </w:rPr>
        <w:t xml:space="preserve">وإزكاء </w:t>
      </w:r>
      <w:r w:rsidRPr="0089473E">
        <w:rPr>
          <w:rFonts w:ascii="Arabic Typesetting" w:hAnsi="Arabic Typesetting" w:cs="Arabic Typesetting" w:hint="cs"/>
          <w:sz w:val="34"/>
          <w:szCs w:val="34"/>
          <w:rtl/>
        </w:rPr>
        <w:t xml:space="preserve">الوعي، تواصل العمل على الأنشطة الهادفة إلى توعية الشعوب الأصلية والجماعات المحلية بهدف تعزيز اطلاعها على الملكية الفكرية وتيسير مشاركتها بفعالية في مسار اللجنة الحكومية الدولية؛ وتقديم الدعم، بناء على الطلب، للتمكين من وضع تشريعات وسياسات وطنية وإقليمية؛ واستنباط حلول عملية على جميع المستويات من خلال زيادة فهم القضايا والخيارات. </w:t>
      </w:r>
      <w:r w:rsidR="0089473E" w:rsidRPr="0089473E">
        <w:rPr>
          <w:rFonts w:ascii="Arabic Typesetting" w:hAnsi="Arabic Typesetting" w:cs="Arabic Typesetting" w:hint="cs"/>
          <w:sz w:val="34"/>
          <w:szCs w:val="34"/>
          <w:rtl/>
        </w:rPr>
        <w:t>ونظمت الأمانة في عام 2015 ندوتين دوليتين عن الملكية الفكرية والموارد الوراثية والمعارف التقليدية وأشكال التعبير الثقافي التقليدي في جنيف كانت مفتوحة لمشاركة جميع الدول الأعضاء والهيئات المراقبة. وهدفت الندوتان إلى تبادل الخبرات الإقليمية والوطنية والمحلية فضلاً عن تمكين البلدان وغيرها من أصحاب المصلحة من مناقش</w:t>
      </w:r>
      <w:r w:rsidR="009E20D2">
        <w:rPr>
          <w:rFonts w:ascii="Arabic Typesetting" w:hAnsi="Arabic Typesetting" w:cs="Arabic Typesetting" w:hint="cs"/>
          <w:sz w:val="34"/>
          <w:szCs w:val="34"/>
          <w:rtl/>
        </w:rPr>
        <w:t>ة</w:t>
      </w:r>
      <w:r w:rsidR="0089473E" w:rsidRPr="0089473E">
        <w:rPr>
          <w:rFonts w:ascii="Arabic Typesetting" w:hAnsi="Arabic Typesetting" w:cs="Arabic Typesetting" w:hint="cs"/>
          <w:sz w:val="34"/>
          <w:szCs w:val="34"/>
          <w:rtl/>
        </w:rPr>
        <w:t xml:space="preserve"> مسائل السياسة العامة في سياق </w:t>
      </w:r>
      <w:r w:rsidR="009E20D2">
        <w:rPr>
          <w:rFonts w:ascii="Arabic Typesetting" w:hAnsi="Arabic Typesetting" w:cs="Arabic Typesetting" w:hint="cs"/>
          <w:sz w:val="34"/>
          <w:szCs w:val="34"/>
          <w:rtl/>
        </w:rPr>
        <w:t>أقل رسمية</w:t>
      </w:r>
      <w:r w:rsidR="0089473E" w:rsidRPr="0089473E">
        <w:rPr>
          <w:rFonts w:ascii="Arabic Typesetting" w:hAnsi="Arabic Typesetting" w:cs="Arabic Typesetting" w:hint="cs"/>
          <w:sz w:val="34"/>
          <w:szCs w:val="34"/>
          <w:rtl/>
        </w:rPr>
        <w:t xml:space="preserve">. وخلال الثنائية، </w:t>
      </w:r>
      <w:r w:rsidRPr="0089473E">
        <w:rPr>
          <w:rFonts w:ascii="Arabic Typesetting" w:hAnsi="Arabic Typesetting" w:cs="Arabic Typesetting" w:hint="cs"/>
          <w:sz w:val="34"/>
          <w:szCs w:val="34"/>
          <w:rtl/>
        </w:rPr>
        <w:t xml:space="preserve">استجابت الأمانة بشكل إيجابي لما يقرب من </w:t>
      </w:r>
      <w:r w:rsidR="0089473E" w:rsidRPr="0089473E">
        <w:rPr>
          <w:rFonts w:ascii="Arabic Typesetting" w:hAnsi="Arabic Typesetting" w:cs="Arabic Typesetting" w:hint="cs"/>
          <w:sz w:val="34"/>
          <w:szCs w:val="34"/>
          <w:rtl/>
        </w:rPr>
        <w:t xml:space="preserve">80 </w:t>
      </w:r>
      <w:r w:rsidRPr="0089473E">
        <w:rPr>
          <w:rFonts w:ascii="Arabic Typesetting" w:hAnsi="Arabic Typesetting" w:cs="Arabic Typesetting" w:hint="cs"/>
          <w:sz w:val="34"/>
          <w:szCs w:val="34"/>
          <w:rtl/>
          <w:lang w:bidi="ar-EG"/>
        </w:rPr>
        <w:t>طلبا</w:t>
      </w:r>
      <w:r w:rsidRPr="0089473E">
        <w:rPr>
          <w:rFonts w:ascii="Arabic Typesetting" w:hAnsi="Arabic Typesetting" w:cs="Arabic Typesetting"/>
          <w:sz w:val="34"/>
          <w:szCs w:val="34"/>
          <w:rtl/>
          <w:lang w:bidi="ar-EG"/>
        </w:rPr>
        <w:t xml:space="preserve"> من دول أعضاء ومنظمات غير حكومية وشعوب أصلية </w:t>
      </w:r>
      <w:r w:rsidRPr="0089473E">
        <w:rPr>
          <w:rFonts w:ascii="Arabic Typesetting" w:hAnsi="Arabic Typesetting" w:cs="Arabic Typesetting" w:hint="cs"/>
          <w:sz w:val="34"/>
          <w:szCs w:val="34"/>
          <w:rtl/>
          <w:lang w:bidi="ar-EG"/>
        </w:rPr>
        <w:t>ومجتمعات</w:t>
      </w:r>
      <w:r w:rsidRPr="0089473E">
        <w:rPr>
          <w:rFonts w:ascii="Arabic Typesetting" w:hAnsi="Arabic Typesetting" w:cs="Arabic Typesetting"/>
          <w:sz w:val="34"/>
          <w:szCs w:val="34"/>
          <w:rtl/>
          <w:lang w:bidi="ar-EG"/>
        </w:rPr>
        <w:t xml:space="preserve"> محلية وجمعيات صناعات وجامعات </w:t>
      </w:r>
      <w:r w:rsidR="0089473E" w:rsidRPr="0089473E">
        <w:rPr>
          <w:rFonts w:ascii="Arabic Typesetting" w:hAnsi="Arabic Typesetting" w:cs="Arabic Typesetting"/>
          <w:sz w:val="34"/>
          <w:szCs w:val="34"/>
          <w:rtl/>
          <w:lang w:bidi="ar-EG"/>
        </w:rPr>
        <w:t>ب</w:t>
      </w:r>
      <w:r w:rsidR="0089473E" w:rsidRPr="0089473E">
        <w:rPr>
          <w:rFonts w:ascii="Arabic Typesetting" w:hAnsi="Arabic Typesetting" w:cs="Arabic Typesetting" w:hint="cs"/>
          <w:sz w:val="34"/>
          <w:szCs w:val="34"/>
          <w:rtl/>
          <w:lang w:bidi="ar-EG"/>
        </w:rPr>
        <w:t>تنظيم حلقات عمل و</w:t>
      </w:r>
      <w:r w:rsidRPr="0089473E">
        <w:rPr>
          <w:rFonts w:ascii="Arabic Typesetting" w:hAnsi="Arabic Typesetting" w:cs="Arabic Typesetting"/>
          <w:sz w:val="34"/>
          <w:szCs w:val="34"/>
          <w:rtl/>
          <w:lang w:bidi="ar-EG"/>
        </w:rPr>
        <w:t xml:space="preserve">جلسات </w:t>
      </w:r>
      <w:r w:rsidR="0089473E" w:rsidRPr="0089473E">
        <w:rPr>
          <w:rFonts w:ascii="Arabic Typesetting" w:hAnsi="Arabic Typesetting" w:cs="Arabic Typesetting" w:hint="cs"/>
          <w:sz w:val="34"/>
          <w:szCs w:val="34"/>
          <w:rtl/>
          <w:lang w:bidi="ar-EG"/>
        </w:rPr>
        <w:t>إعلامية</w:t>
      </w:r>
      <w:r w:rsidR="0089473E" w:rsidRPr="0089473E">
        <w:rPr>
          <w:rFonts w:ascii="Arabic Typesetting" w:hAnsi="Arabic Typesetting" w:cs="Arabic Typesetting"/>
          <w:sz w:val="34"/>
          <w:szCs w:val="34"/>
          <w:rtl/>
          <w:lang w:bidi="ar-EG"/>
        </w:rPr>
        <w:t xml:space="preserve"> </w:t>
      </w:r>
      <w:r w:rsidRPr="0089473E">
        <w:rPr>
          <w:rFonts w:ascii="Arabic Typesetting" w:hAnsi="Arabic Typesetting" w:cs="Arabic Typesetting"/>
          <w:sz w:val="34"/>
          <w:szCs w:val="34"/>
          <w:rtl/>
          <w:lang w:bidi="ar-EG"/>
        </w:rPr>
        <w:t>وغير ذلك من العروض سواء في جنيف أو خارجها.</w:t>
      </w:r>
      <w:r w:rsidRPr="0089473E">
        <w:rPr>
          <w:rFonts w:ascii="Arabic Typesetting" w:hAnsi="Arabic Typesetting" w:cs="Arabic Typesetting" w:hint="cs"/>
          <w:sz w:val="34"/>
          <w:szCs w:val="34"/>
          <w:rtl/>
          <w:lang w:bidi="ar-EG"/>
        </w:rPr>
        <w:t xml:space="preserve"> وتلق</w:t>
      </w:r>
      <w:r w:rsidR="0089473E" w:rsidRPr="0089473E">
        <w:rPr>
          <w:rFonts w:ascii="Arabic Typesetting" w:hAnsi="Arabic Typesetting" w:cs="Arabic Typesetting" w:hint="cs"/>
          <w:sz w:val="34"/>
          <w:szCs w:val="34"/>
          <w:rtl/>
          <w:lang w:bidi="ar-EG"/>
        </w:rPr>
        <w:t>ت ستة</w:t>
      </w:r>
      <w:r w:rsidRPr="0089473E">
        <w:rPr>
          <w:rFonts w:ascii="Arabic Typesetting" w:hAnsi="Arabic Typesetting" w:cs="Arabic Typesetting" w:hint="cs"/>
          <w:sz w:val="34"/>
          <w:szCs w:val="34"/>
          <w:rtl/>
          <w:lang w:bidi="ar-EG"/>
        </w:rPr>
        <w:t xml:space="preserve"> بلد</w:t>
      </w:r>
      <w:r w:rsidR="0089473E" w:rsidRPr="0089473E">
        <w:rPr>
          <w:rFonts w:ascii="Arabic Typesetting" w:hAnsi="Arabic Typesetting" w:cs="Arabic Typesetting" w:hint="cs"/>
          <w:sz w:val="34"/>
          <w:szCs w:val="34"/>
          <w:rtl/>
          <w:lang w:bidi="ar-EG"/>
        </w:rPr>
        <w:t>ان</w:t>
      </w:r>
      <w:r w:rsidRPr="0089473E">
        <w:rPr>
          <w:rFonts w:ascii="Arabic Typesetting" w:hAnsi="Arabic Typesetting" w:cs="Arabic Typesetting" w:hint="cs"/>
          <w:sz w:val="34"/>
          <w:szCs w:val="34"/>
          <w:rtl/>
          <w:lang w:bidi="ar-EG"/>
        </w:rPr>
        <w:t xml:space="preserve"> مساعدة تشريعية وسياسية بناء على طلبه</w:t>
      </w:r>
      <w:r w:rsidR="0089473E" w:rsidRPr="0089473E">
        <w:rPr>
          <w:rFonts w:ascii="Arabic Typesetting" w:hAnsi="Arabic Typesetting" w:cs="Arabic Typesetting" w:hint="cs"/>
          <w:sz w:val="34"/>
          <w:szCs w:val="34"/>
          <w:rtl/>
          <w:lang w:bidi="ar-EG"/>
        </w:rPr>
        <w:t>ا</w:t>
      </w:r>
      <w:r w:rsidRPr="0089473E">
        <w:rPr>
          <w:rFonts w:ascii="Arabic Typesetting" w:hAnsi="Arabic Typesetting" w:cs="Arabic Typesetting" w:hint="cs"/>
          <w:sz w:val="34"/>
          <w:szCs w:val="34"/>
          <w:rtl/>
          <w:lang w:bidi="ar-EG"/>
        </w:rPr>
        <w:t>. ونُظمت</w:t>
      </w:r>
      <w:r w:rsidR="0089473E" w:rsidRPr="0089473E">
        <w:rPr>
          <w:rFonts w:ascii="Arabic Typesetting" w:hAnsi="Arabic Typesetting" w:cs="Arabic Typesetting" w:hint="cs"/>
          <w:sz w:val="34"/>
          <w:szCs w:val="34"/>
          <w:rtl/>
          <w:lang w:bidi="ar-EG"/>
        </w:rPr>
        <w:t xml:space="preserve"> مجموعة من حلقات العمل العملية في عامي 2014 و2015</w:t>
      </w:r>
      <w:r w:rsidRPr="0089473E">
        <w:rPr>
          <w:rFonts w:ascii="Arabic Typesetting" w:hAnsi="Arabic Typesetting" w:cs="Arabic Typesetting" w:hint="cs"/>
          <w:sz w:val="34"/>
          <w:szCs w:val="34"/>
          <w:rtl/>
          <w:lang w:bidi="ar-EG"/>
        </w:rPr>
        <w:t xml:space="preserve"> </w:t>
      </w:r>
      <w:r w:rsidR="0089473E" w:rsidRPr="0089473E">
        <w:rPr>
          <w:rFonts w:ascii="Arabic Typesetting" w:hAnsi="Arabic Typesetting" w:cs="Arabic Typesetting" w:hint="cs"/>
          <w:sz w:val="34"/>
          <w:szCs w:val="34"/>
          <w:rtl/>
          <w:lang w:bidi="ar-EG"/>
        </w:rPr>
        <w:t xml:space="preserve">بغية تبادل المعرفة وتحقيق التفاهم وتعزيز التعاون. وشملت هذه المجموعة حلقات عمل في جنيف (ديسمبر 2014) </w:t>
      </w:r>
      <w:proofErr w:type="spellStart"/>
      <w:r w:rsidR="0089473E" w:rsidRPr="0089473E">
        <w:rPr>
          <w:rFonts w:ascii="Arabic Typesetting" w:hAnsi="Arabic Typesetting" w:cs="Arabic Typesetting" w:hint="cs"/>
          <w:sz w:val="34"/>
          <w:szCs w:val="34"/>
          <w:rtl/>
          <w:lang w:bidi="ar-EG"/>
        </w:rPr>
        <w:t>وويندهوك</w:t>
      </w:r>
      <w:proofErr w:type="spellEnd"/>
      <w:r w:rsidR="0089473E" w:rsidRPr="0089473E">
        <w:rPr>
          <w:rFonts w:ascii="Arabic Typesetting" w:hAnsi="Arabic Typesetting" w:cs="Arabic Typesetting" w:hint="cs"/>
          <w:sz w:val="34"/>
          <w:szCs w:val="34"/>
          <w:rtl/>
          <w:lang w:bidi="ar-EG"/>
        </w:rPr>
        <w:t xml:space="preserve"> بناميبيا (أغسطس 2015) ومدينة بنما في بنما (نوفمبر 2015) وأبيا في ساموا (ديسمبر 2015). </w:t>
      </w:r>
      <w:r w:rsidRPr="0089473E">
        <w:rPr>
          <w:rFonts w:ascii="Arabic Typesetting" w:hAnsi="Arabic Typesetting" w:cs="Arabic Typesetting" w:hint="cs"/>
          <w:sz w:val="34"/>
          <w:szCs w:val="34"/>
          <w:rtl/>
          <w:lang w:bidi="ar-EG"/>
        </w:rPr>
        <w:t xml:space="preserve">وواصلت الويبو الإسهام بوصفها شريكا تقنيا في مشروعات إقليمية في أفريقيا، وآسيا والمحيط الهادئ، وأمريكا اللاتينية والكاريبي. </w:t>
      </w:r>
      <w:r w:rsidR="0089473E">
        <w:rPr>
          <w:rFonts w:ascii="Arabic Typesetting" w:hAnsi="Arabic Typesetting" w:cs="Arabic Typesetting" w:hint="cs"/>
          <w:sz w:val="34"/>
          <w:szCs w:val="34"/>
          <w:rtl/>
          <w:lang w:bidi="ar-EG"/>
        </w:rPr>
        <w:t>و</w:t>
      </w:r>
      <w:r w:rsidRPr="0089473E">
        <w:rPr>
          <w:rFonts w:ascii="Arabic Typesetting" w:hAnsi="Arabic Typesetting" w:cs="Arabic Typesetting" w:hint="cs"/>
          <w:sz w:val="34"/>
          <w:szCs w:val="34"/>
          <w:rtl/>
          <w:lang w:bidi="ar-EG"/>
        </w:rPr>
        <w:t>واصلت الويبو</w:t>
      </w:r>
      <w:r w:rsidR="0089473E">
        <w:rPr>
          <w:rFonts w:ascii="Arabic Typesetting" w:hAnsi="Arabic Typesetting" w:cs="Arabic Typesetting" w:hint="cs"/>
          <w:sz w:val="34"/>
          <w:szCs w:val="34"/>
          <w:rtl/>
          <w:lang w:bidi="ar-EG"/>
        </w:rPr>
        <w:t xml:space="preserve"> أيضاً</w:t>
      </w:r>
      <w:r w:rsidRPr="0089473E">
        <w:rPr>
          <w:rFonts w:ascii="Arabic Typesetting" w:hAnsi="Arabic Typesetting" w:cs="Arabic Typesetting" w:hint="cs"/>
          <w:sz w:val="34"/>
          <w:szCs w:val="34"/>
          <w:rtl/>
          <w:lang w:bidi="ar-EG"/>
        </w:rPr>
        <w:t xml:space="preserve"> إتاحة سلسلة من المنشورات القصيرة الميسّرة بشأن القضايا الرئيسية، ونشرت</w:t>
      </w:r>
      <w:r w:rsidR="0089473E">
        <w:rPr>
          <w:rFonts w:ascii="Arabic Typesetting" w:hAnsi="Arabic Typesetting" w:cs="Arabic Typesetting" w:hint="cs"/>
          <w:sz w:val="34"/>
          <w:szCs w:val="34"/>
          <w:rtl/>
          <w:lang w:bidi="ar-EG"/>
        </w:rPr>
        <w:t xml:space="preserve"> في عام 2014</w:t>
      </w:r>
      <w:r w:rsidRPr="0089473E">
        <w:rPr>
          <w:rFonts w:ascii="Arabic Typesetting" w:hAnsi="Arabic Typesetting" w:cs="Arabic Typesetting" w:hint="cs"/>
          <w:sz w:val="34"/>
          <w:szCs w:val="34"/>
          <w:rtl/>
          <w:lang w:bidi="ar-EG"/>
        </w:rPr>
        <w:t xml:space="preserve"> دليلا عمليا بشأن الملكية الفكرية والمهرجانات الفولكلورية والفنية والثقافية.</w:t>
      </w:r>
      <w:r w:rsidRPr="00F96634">
        <w:rPr>
          <w:rFonts w:ascii="Arabic Typesetting" w:hAnsi="Arabic Typesetting" w:cs="Arabic Typesetting"/>
          <w:sz w:val="28"/>
          <w:szCs w:val="28"/>
          <w:vertAlign w:val="superscript"/>
          <w:rtl/>
          <w:lang w:bidi="ar-EG"/>
        </w:rPr>
        <w:footnoteReference w:id="16"/>
      </w:r>
      <w:r w:rsidR="0089473E">
        <w:rPr>
          <w:rFonts w:ascii="Arabic Typesetting" w:hAnsi="Arabic Typesetting" w:cs="Arabic Typesetting" w:hint="cs"/>
          <w:sz w:val="34"/>
          <w:szCs w:val="34"/>
          <w:rtl/>
          <w:lang w:bidi="ar-EG"/>
        </w:rPr>
        <w:t xml:space="preserve"> واستُهلت دورة تعلّم عن بعد بشأن الملكية الفكرية والمعارف التقليدية وأشكال التعبير الثقافي التقليدي في أبريل 2015 بالتعاون مع أكاديمية الويبو.</w:t>
      </w:r>
    </w:p>
    <w:p w:rsidR="00B31868" w:rsidRPr="00B31868" w:rsidRDefault="00B31868" w:rsidP="009A3712">
      <w:pPr>
        <w:numPr>
          <w:ilvl w:val="0"/>
          <w:numId w:val="5"/>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lang w:bidi="ar-EG"/>
        </w:rPr>
        <w:lastRenderedPageBreak/>
        <w:t xml:space="preserve">ولدى تعزيز التعاون مع سائر المنظمات الحكومية الدولية والمحافل المعنية، تعاونت الأمانة </w:t>
      </w:r>
      <w:r w:rsidR="00C45BBE">
        <w:rPr>
          <w:rFonts w:ascii="Arabic Typesetting" w:hAnsi="Arabic Typesetting" w:cs="Arabic Typesetting" w:hint="cs"/>
          <w:sz w:val="34"/>
          <w:szCs w:val="34"/>
          <w:rtl/>
          <w:lang w:bidi="ar-EG"/>
        </w:rPr>
        <w:t>تعاوناً</w:t>
      </w:r>
      <w:r w:rsidR="00C45BBE"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hint="cs"/>
          <w:sz w:val="34"/>
          <w:szCs w:val="34"/>
          <w:rtl/>
          <w:lang w:bidi="ar-EG"/>
        </w:rPr>
        <w:t>أوثق مع أمانة اتفاقية التنوع البيولوجي (</w:t>
      </w:r>
      <w:r w:rsidRPr="00B31868">
        <w:rPr>
          <w:rFonts w:ascii="Arabic Typesetting" w:hAnsi="Arabic Typesetting" w:cs="Arabic Typesetting"/>
          <w:sz w:val="34"/>
          <w:szCs w:val="34"/>
          <w:lang w:bidi="ar-EG"/>
        </w:rPr>
        <w:t>CBD</w:t>
      </w:r>
      <w:r w:rsidRPr="00B31868">
        <w:rPr>
          <w:rFonts w:ascii="Arabic Typesetting" w:hAnsi="Arabic Typesetting" w:cs="Arabic Typesetting" w:hint="cs"/>
          <w:sz w:val="34"/>
          <w:szCs w:val="34"/>
          <w:rtl/>
          <w:lang w:bidi="ar-EG"/>
        </w:rPr>
        <w:t xml:space="preserve">) وبروتوكول </w:t>
      </w:r>
      <w:proofErr w:type="spellStart"/>
      <w:r w:rsidRPr="00B31868">
        <w:rPr>
          <w:rFonts w:ascii="Arabic Typesetting" w:hAnsi="Arabic Typesetting" w:cs="Arabic Typesetting" w:hint="cs"/>
          <w:sz w:val="34"/>
          <w:szCs w:val="34"/>
          <w:rtl/>
          <w:lang w:bidi="ar-EG"/>
        </w:rPr>
        <w:t>ناغويا</w:t>
      </w:r>
      <w:proofErr w:type="spellEnd"/>
      <w:r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sz w:val="34"/>
          <w:szCs w:val="34"/>
          <w:rtl/>
          <w:lang w:bidi="ar-EG"/>
        </w:rPr>
        <w:t>بشأن الحصول على الموارد الجينية والتقاسم العادل والمنصف للمنافع الناشئة عن استخدامها</w:t>
      </w:r>
      <w:r w:rsidRPr="00B31868">
        <w:rPr>
          <w:rFonts w:ascii="Arabic Typesetting" w:hAnsi="Arabic Typesetting" w:cs="Arabic Typesetting" w:hint="cs"/>
          <w:sz w:val="34"/>
          <w:szCs w:val="34"/>
          <w:rtl/>
          <w:lang w:bidi="ar-EG"/>
        </w:rPr>
        <w:t xml:space="preserve">، بما في ذلك من خلال الاشتراك في تنظيم حلقات عمل لفائدة المسؤولين والجماعات الأصلية والمحلية. </w:t>
      </w:r>
      <w:r w:rsidR="0026553E">
        <w:rPr>
          <w:rFonts w:ascii="Arabic Typesetting" w:hAnsi="Arabic Typesetting" w:cs="Arabic Typesetting" w:hint="cs"/>
          <w:sz w:val="34"/>
          <w:szCs w:val="34"/>
          <w:rtl/>
          <w:lang w:bidi="ar-EG"/>
        </w:rPr>
        <w:t>و</w:t>
      </w:r>
      <w:r w:rsidRPr="00B31868">
        <w:rPr>
          <w:rFonts w:ascii="Arabic Typesetting" w:hAnsi="Arabic Typesetting" w:cs="Arabic Typesetting" w:hint="cs"/>
          <w:sz w:val="34"/>
          <w:szCs w:val="34"/>
          <w:rtl/>
          <w:lang w:bidi="ar-EG"/>
        </w:rPr>
        <w:t xml:space="preserve">عملت الأمانة </w:t>
      </w:r>
      <w:r w:rsidR="0026553E">
        <w:rPr>
          <w:rFonts w:ascii="Arabic Typesetting" w:hAnsi="Arabic Typesetting" w:cs="Arabic Typesetting" w:hint="cs"/>
          <w:sz w:val="34"/>
          <w:szCs w:val="34"/>
          <w:rtl/>
          <w:lang w:bidi="ar-EG"/>
        </w:rPr>
        <w:t xml:space="preserve">أيضاً </w:t>
      </w:r>
      <w:r w:rsidRPr="00B31868">
        <w:rPr>
          <w:rFonts w:ascii="Arabic Typesetting" w:hAnsi="Arabic Typesetting" w:cs="Arabic Typesetting" w:hint="cs"/>
          <w:sz w:val="34"/>
          <w:szCs w:val="34"/>
          <w:rtl/>
          <w:lang w:bidi="ar-EG"/>
        </w:rPr>
        <w:t>مع منتدى الأمم المتحدة الدائم المعني بالشعوب الأصلية (</w:t>
      </w:r>
      <w:r w:rsidRPr="00B31868">
        <w:rPr>
          <w:rFonts w:ascii="Arabic Typesetting" w:hAnsi="Arabic Typesetting" w:cs="Arabic Typesetting"/>
          <w:sz w:val="34"/>
          <w:szCs w:val="34"/>
          <w:lang w:bidi="ar-EG"/>
        </w:rPr>
        <w:t>UNPFII</w:t>
      </w:r>
      <w:r w:rsidRPr="00B31868">
        <w:rPr>
          <w:rFonts w:ascii="Arabic Typesetting" w:hAnsi="Arabic Typesetting" w:cs="Arabic Typesetting" w:hint="cs"/>
          <w:sz w:val="34"/>
          <w:szCs w:val="34"/>
          <w:rtl/>
          <w:lang w:bidi="ar-EG"/>
        </w:rPr>
        <w:t>) وشاركت في دورت</w:t>
      </w:r>
      <w:r w:rsidR="0026553E">
        <w:rPr>
          <w:rFonts w:ascii="Arabic Typesetting" w:hAnsi="Arabic Typesetting" w:cs="Arabic Typesetting" w:hint="cs"/>
          <w:sz w:val="34"/>
          <w:szCs w:val="34"/>
          <w:rtl/>
          <w:lang w:bidi="ar-EG"/>
        </w:rPr>
        <w:t>ي</w:t>
      </w:r>
      <w:r w:rsidRPr="00B31868">
        <w:rPr>
          <w:rFonts w:ascii="Arabic Typesetting" w:hAnsi="Arabic Typesetting" w:cs="Arabic Typesetting" w:hint="cs"/>
          <w:sz w:val="34"/>
          <w:szCs w:val="34"/>
          <w:rtl/>
          <w:lang w:bidi="ar-EG"/>
        </w:rPr>
        <w:t>ه الثالثة عشرة</w:t>
      </w:r>
      <w:r w:rsidR="0026553E">
        <w:rPr>
          <w:rFonts w:ascii="Arabic Typesetting" w:hAnsi="Arabic Typesetting" w:cs="Arabic Typesetting" w:hint="cs"/>
          <w:sz w:val="34"/>
          <w:szCs w:val="34"/>
          <w:rtl/>
          <w:lang w:bidi="ar-EG"/>
        </w:rPr>
        <w:t xml:space="preserve"> والرابعة عشرة</w:t>
      </w:r>
      <w:r w:rsidRPr="00B31868">
        <w:rPr>
          <w:rFonts w:ascii="Arabic Typesetting" w:hAnsi="Arabic Typesetting" w:cs="Arabic Typesetting" w:hint="cs"/>
          <w:sz w:val="34"/>
          <w:szCs w:val="34"/>
          <w:rtl/>
          <w:lang w:bidi="ar-EG"/>
        </w:rPr>
        <w:t xml:space="preserve"> المعقودة في </w:t>
      </w:r>
      <w:r w:rsidR="0026553E">
        <w:rPr>
          <w:rFonts w:ascii="Arabic Typesetting" w:hAnsi="Arabic Typesetting" w:cs="Arabic Typesetting" w:hint="cs"/>
          <w:sz w:val="34"/>
          <w:szCs w:val="34"/>
          <w:rtl/>
          <w:lang w:bidi="ar-EG"/>
        </w:rPr>
        <w:t xml:space="preserve">عامي 2014 و2015 على التوالي </w:t>
      </w:r>
      <w:r w:rsidRPr="00B31868">
        <w:rPr>
          <w:rFonts w:ascii="Arabic Typesetting" w:hAnsi="Arabic Typesetting" w:cs="Arabic Typesetting" w:hint="cs"/>
          <w:sz w:val="34"/>
          <w:szCs w:val="34"/>
          <w:rtl/>
          <w:lang w:bidi="ar-EG"/>
        </w:rPr>
        <w:t xml:space="preserve">وفي المؤتمر العالمي المعني بالشعوب الأصلية المعقود في سبتمبر 2014، </w:t>
      </w:r>
      <w:r w:rsidR="0026553E" w:rsidRPr="00B31868">
        <w:rPr>
          <w:rFonts w:ascii="Arabic Typesetting" w:hAnsi="Arabic Typesetting" w:cs="Arabic Typesetting" w:hint="cs"/>
          <w:sz w:val="34"/>
          <w:szCs w:val="34"/>
          <w:rtl/>
          <w:lang w:bidi="ar-EG"/>
        </w:rPr>
        <w:t>ب</w:t>
      </w:r>
      <w:r w:rsidR="0026553E">
        <w:rPr>
          <w:rFonts w:ascii="Arabic Typesetting" w:hAnsi="Arabic Typesetting" w:cs="Arabic Typesetting" w:hint="cs"/>
          <w:sz w:val="34"/>
          <w:szCs w:val="34"/>
          <w:rtl/>
          <w:lang w:bidi="ar-EG"/>
        </w:rPr>
        <w:t>غية</w:t>
      </w:r>
      <w:r w:rsidR="0026553E"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hint="cs"/>
          <w:sz w:val="34"/>
          <w:szCs w:val="34"/>
          <w:rtl/>
          <w:lang w:bidi="ar-EG"/>
        </w:rPr>
        <w:t>زيادة المشاركة مع منظمات الجماعات الأصلية والمحلية وسائر منظمات الأمم المتحدة والتمكّن من توعيتها. وبناء على طلب أمانة منتدى الأمم المتحدة الدائم المعني بالشعوب الأصلية (</w:t>
      </w:r>
      <w:r w:rsidRPr="00B31868">
        <w:rPr>
          <w:rFonts w:ascii="Arabic Typesetting" w:hAnsi="Arabic Typesetting" w:cs="Arabic Typesetting"/>
          <w:sz w:val="34"/>
          <w:szCs w:val="34"/>
          <w:lang w:bidi="ar-EG"/>
        </w:rPr>
        <w:t>UNPFII</w:t>
      </w:r>
      <w:r w:rsidRPr="00B31868">
        <w:rPr>
          <w:rFonts w:ascii="Arabic Typesetting" w:hAnsi="Arabic Typesetting" w:cs="Arabic Typesetting" w:hint="cs"/>
          <w:sz w:val="34"/>
          <w:szCs w:val="34"/>
          <w:rtl/>
          <w:lang w:bidi="ar-EG"/>
        </w:rPr>
        <w:t>)، قدمت أمانة الويبو دعما ماليا لتمكين خبير في مجال الشعوب الأصلية من صياغة استعراض تقني لمشروع نصوص اللجنة الحكومية الدولية من منظور حقوق الإنسان لفائدة المنتدى المذكور.</w:t>
      </w:r>
    </w:p>
    <w:p w:rsidR="00B31868" w:rsidRPr="00B31868" w:rsidRDefault="00B31868" w:rsidP="009A3712">
      <w:pPr>
        <w:numPr>
          <w:ilvl w:val="0"/>
          <w:numId w:val="5"/>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lang w:bidi="ar-EG"/>
        </w:rPr>
        <w:t xml:space="preserve">وأسهمت أنشطة البرنامج المتعلقة بالمساعدة التقنية وتكوين الكفاءات والمساعدة التشريعية إسهاما مباشرا في التنمية </w:t>
      </w:r>
      <w:r w:rsidR="0026553E" w:rsidRPr="00B31868">
        <w:rPr>
          <w:rFonts w:ascii="Arabic Typesetting" w:hAnsi="Arabic Typesetting" w:cs="Arabic Typesetting" w:hint="cs"/>
          <w:sz w:val="34"/>
          <w:szCs w:val="34"/>
          <w:rtl/>
          <w:lang w:bidi="ar-EG"/>
        </w:rPr>
        <w:t>وفي</w:t>
      </w:r>
      <w:r w:rsidR="0026553E">
        <w:rPr>
          <w:rFonts w:ascii="Arabic Typesetting" w:hAnsi="Arabic Typesetting" w:cs="Arabic Typesetting" w:hint="eastAsia"/>
          <w:sz w:val="34"/>
          <w:szCs w:val="34"/>
          <w:rtl/>
          <w:lang w:bidi="ar-EG"/>
        </w:rPr>
        <w:t> </w:t>
      </w:r>
      <w:r w:rsidRPr="00B31868">
        <w:rPr>
          <w:rFonts w:ascii="Arabic Typesetting" w:hAnsi="Arabic Typesetting" w:cs="Arabic Typesetting" w:hint="cs"/>
          <w:sz w:val="34"/>
          <w:szCs w:val="34"/>
          <w:rtl/>
          <w:lang w:bidi="ar-EG"/>
        </w:rPr>
        <w:t>الوفاء بتوصيات جدول أعمال التنمية الأخرى، لا</w:t>
      </w:r>
      <w:r w:rsidRPr="00B31868">
        <w:rPr>
          <w:rFonts w:ascii="Arabic Typesetting" w:hAnsi="Arabic Typesetting" w:cs="Arabic Typesetting" w:hint="eastAsia"/>
          <w:sz w:val="34"/>
          <w:szCs w:val="34"/>
          <w:rtl/>
          <w:lang w:bidi="ar-EG"/>
        </w:rPr>
        <w:t> </w:t>
      </w:r>
      <w:r w:rsidRPr="00B31868">
        <w:rPr>
          <w:rFonts w:ascii="Arabic Typesetting" w:hAnsi="Arabic Typesetting" w:cs="Arabic Typesetting" w:hint="cs"/>
          <w:sz w:val="34"/>
          <w:szCs w:val="34"/>
          <w:rtl/>
          <w:lang w:bidi="ar-EG"/>
        </w:rPr>
        <w:t xml:space="preserve">سيما ضمان مساعدة تقنية إنمائية المنحى وقائمة على الطلب (التوصيتان 1 و12)، وتقديم المشورة التشريعية والسياسية بشأن التشريعات الوطنية (التوصيات 11 و13 و14)، </w:t>
      </w:r>
      <w:r w:rsidR="0026553E" w:rsidRPr="00B31868">
        <w:rPr>
          <w:rFonts w:ascii="Arabic Typesetting" w:hAnsi="Arabic Typesetting" w:cs="Arabic Typesetting" w:hint="cs"/>
          <w:sz w:val="34"/>
          <w:szCs w:val="34"/>
          <w:rtl/>
          <w:lang w:bidi="ar-EG"/>
        </w:rPr>
        <w:t>وإ</w:t>
      </w:r>
      <w:r w:rsidR="0026553E">
        <w:rPr>
          <w:rFonts w:ascii="Arabic Typesetting" w:hAnsi="Arabic Typesetting" w:cs="Arabic Typesetting" w:hint="cs"/>
          <w:sz w:val="34"/>
          <w:szCs w:val="34"/>
          <w:rtl/>
          <w:lang w:bidi="ar-EG"/>
        </w:rPr>
        <w:t>ز</w:t>
      </w:r>
      <w:r w:rsidR="0026553E" w:rsidRPr="00B31868">
        <w:rPr>
          <w:rFonts w:ascii="Arabic Typesetting" w:hAnsi="Arabic Typesetting" w:cs="Arabic Typesetting" w:hint="cs"/>
          <w:sz w:val="34"/>
          <w:szCs w:val="34"/>
          <w:rtl/>
          <w:lang w:bidi="ar-EG"/>
        </w:rPr>
        <w:t xml:space="preserve">كاء </w:t>
      </w:r>
      <w:r w:rsidRPr="00B31868">
        <w:rPr>
          <w:rFonts w:ascii="Arabic Typesetting" w:hAnsi="Arabic Typesetting" w:cs="Arabic Typesetting" w:hint="cs"/>
          <w:sz w:val="34"/>
          <w:szCs w:val="34"/>
          <w:rtl/>
          <w:lang w:bidi="ar-EG"/>
        </w:rPr>
        <w:t>الوعي بقضايا الملكية الفكرية المرتبطة بالمعارف التقليدية وأشكال التعبير الثقافي التقليدي والموارد الوراثية (التوصية 3)، والتعاون مع وكالات الأمم المتحدة بشأن القضايا المتعلقة بالملكية الفكرية (التوصية 40).</w:t>
      </w:r>
    </w:p>
    <w:p w:rsidR="00B31868" w:rsidRPr="00E439F5" w:rsidRDefault="00B31868" w:rsidP="00B32938">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hint="cs"/>
          <w:sz w:val="34"/>
          <w:szCs w:val="34"/>
          <w:rtl/>
          <w:lang w:val="fr-CH"/>
        </w:rPr>
        <w:t>بيانات الأداء</w:t>
      </w:r>
    </w:p>
    <w:tbl>
      <w:tblPr>
        <w:bidiVisual/>
        <w:tblW w:w="4887"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2"/>
        <w:gridCol w:w="2694"/>
        <w:gridCol w:w="1417"/>
        <w:gridCol w:w="2552"/>
        <w:gridCol w:w="850"/>
      </w:tblGrid>
      <w:tr w:rsidR="00B31868" w:rsidRPr="00211D55" w:rsidTr="0026553E">
        <w:trPr>
          <w:trHeight w:val="537"/>
        </w:trPr>
        <w:tc>
          <w:tcPr>
            <w:tcW w:w="9355" w:type="dxa"/>
            <w:gridSpan w:val="5"/>
            <w:tcBorders>
              <w:top w:val="single" w:sz="4" w:space="0" w:color="auto"/>
              <w:bottom w:val="single" w:sz="4" w:space="0" w:color="auto"/>
            </w:tcBorders>
            <w:shd w:val="clear" w:color="auto" w:fill="C6D9F1" w:themeFill="text2" w:themeFillTint="33"/>
            <w:tcMar>
              <w:top w:w="0" w:type="dxa"/>
            </w:tcMar>
            <w:vAlign w:val="center"/>
          </w:tcPr>
          <w:p w:rsidR="00B31868" w:rsidRPr="00211D55" w:rsidRDefault="00B31868" w:rsidP="009E62B8">
            <w:pPr>
              <w:keepNext/>
              <w:bidi/>
              <w:spacing w:after="60" w:line="280" w:lineRule="exact"/>
              <w:ind w:left="1167" w:hanging="1167"/>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 xml:space="preserve">النتيجة المرتقبة: </w:t>
            </w:r>
            <w:r w:rsidR="006E7FC6" w:rsidRPr="00211D55">
              <w:rPr>
                <w:rFonts w:ascii="Arabic Typesetting" w:hAnsi="Arabic Typesetting" w:cs="Arabic Typesetting"/>
                <w:sz w:val="28"/>
                <w:szCs w:val="28"/>
                <w:rtl/>
                <w:lang w:bidi="ar-EG"/>
              </w:rPr>
              <w:tab/>
            </w:r>
            <w:r w:rsidR="000432CA">
              <w:rPr>
                <w:rFonts w:ascii="Arabic Typesetting" w:hAnsi="Arabic Typesetting" w:cs="Arabic Typesetting"/>
                <w:sz w:val="28"/>
                <w:szCs w:val="28"/>
                <w:rtl/>
                <w:lang w:bidi="ar-EG"/>
              </w:rPr>
              <w:t>ه1.1 تعاون معزز بين الدول الأعضاء في تطوير أطر معيارية دولية متوازنة للملكية الفكرية والاتفاق على محاور محدّدة وعلى صكوك دولية بشأنها</w:t>
            </w:r>
          </w:p>
        </w:tc>
      </w:tr>
      <w:tr w:rsidR="00B31868" w:rsidRPr="00211D55" w:rsidTr="009F0E15">
        <w:trPr>
          <w:trHeight w:val="186"/>
        </w:trPr>
        <w:tc>
          <w:tcPr>
            <w:tcW w:w="1842" w:type="dxa"/>
            <w:tcBorders>
              <w:top w:val="single" w:sz="4" w:space="0" w:color="auto"/>
            </w:tcBorders>
            <w:tcMar>
              <w:top w:w="110" w:type="dxa"/>
            </w:tcMar>
          </w:tcPr>
          <w:p w:rsidR="00B31868" w:rsidRPr="00211D55" w:rsidRDefault="00B31868" w:rsidP="00086C3F">
            <w:pPr>
              <w:keepNext/>
              <w:bidi/>
              <w:spacing w:before="60" w:after="60" w:line="24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2694" w:type="dxa"/>
            <w:tcBorders>
              <w:top w:val="single" w:sz="4" w:space="0" w:color="auto"/>
              <w:bottom w:val="nil"/>
            </w:tcBorders>
            <w:shd w:val="clear" w:color="auto" w:fill="auto"/>
            <w:tcMar>
              <w:top w:w="110" w:type="dxa"/>
            </w:tcMar>
            <w:vAlign w:val="center"/>
          </w:tcPr>
          <w:p w:rsidR="00B31868" w:rsidRPr="00211D55" w:rsidRDefault="00B31868" w:rsidP="00086C3F">
            <w:pPr>
              <w:keepNext/>
              <w:bidi/>
              <w:spacing w:before="60" w:after="60" w:line="24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أسس المقارنة</w:t>
            </w:r>
          </w:p>
        </w:tc>
        <w:tc>
          <w:tcPr>
            <w:tcW w:w="1417" w:type="dxa"/>
            <w:tcBorders>
              <w:top w:val="single" w:sz="4" w:space="0" w:color="auto"/>
            </w:tcBorders>
            <w:vAlign w:val="center"/>
          </w:tcPr>
          <w:p w:rsidR="00B31868" w:rsidRPr="00211D55" w:rsidRDefault="00B31868" w:rsidP="00086C3F">
            <w:pPr>
              <w:keepNext/>
              <w:bidi/>
              <w:spacing w:before="60" w:after="60" w:line="240" w:lineRule="exact"/>
              <w:rPr>
                <w:rFonts w:ascii="Arabic Typesetting" w:hAnsi="Arabic Typesetting" w:cs="Arabic Typesetting"/>
                <w:b/>
                <w:bCs/>
                <w:sz w:val="28"/>
                <w:szCs w:val="28"/>
                <w:rtl/>
                <w:lang w:bidi="ar-EG"/>
              </w:rPr>
            </w:pPr>
            <w:r w:rsidRPr="00211D55">
              <w:rPr>
                <w:rFonts w:ascii="Arabic Typesetting" w:hAnsi="Arabic Typesetting" w:cs="Arabic Typesetting" w:hint="cs"/>
                <w:b/>
                <w:bCs/>
                <w:sz w:val="28"/>
                <w:szCs w:val="28"/>
                <w:rtl/>
                <w:lang w:bidi="ar-EG"/>
              </w:rPr>
              <w:t>الأهداف</w:t>
            </w:r>
          </w:p>
        </w:tc>
        <w:tc>
          <w:tcPr>
            <w:tcW w:w="2552" w:type="dxa"/>
            <w:tcBorders>
              <w:top w:val="single" w:sz="4" w:space="0" w:color="auto"/>
            </w:tcBorders>
            <w:tcMar>
              <w:top w:w="110" w:type="dxa"/>
            </w:tcMar>
          </w:tcPr>
          <w:p w:rsidR="00B31868" w:rsidRPr="00211D55" w:rsidRDefault="00B31868" w:rsidP="00086C3F">
            <w:pPr>
              <w:keepNext/>
              <w:bidi/>
              <w:spacing w:before="60" w:after="60" w:line="24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850" w:type="dxa"/>
            <w:tcBorders>
              <w:top w:val="single" w:sz="4" w:space="0" w:color="auto"/>
            </w:tcBorders>
            <w:tcMar>
              <w:top w:w="110" w:type="dxa"/>
            </w:tcMar>
          </w:tcPr>
          <w:p w:rsidR="00B31868" w:rsidRPr="00211D55" w:rsidRDefault="00B31868" w:rsidP="00086C3F">
            <w:pPr>
              <w:keepNext/>
              <w:bidi/>
              <w:spacing w:before="60" w:after="60" w:line="240" w:lineRule="exact"/>
              <w:rPr>
                <w:rFonts w:ascii="Arabic Typesetting" w:hAnsi="Arabic Typesetting" w:cs="Arabic Typesetting"/>
                <w:b/>
                <w:bCs/>
                <w:sz w:val="28"/>
                <w:szCs w:val="28"/>
                <w:rtl/>
                <w:lang w:bidi="ar-EG"/>
              </w:rPr>
            </w:pPr>
            <w:r w:rsidRPr="00211D55">
              <w:rPr>
                <w:rFonts w:ascii="Arabic Typesetting" w:hAnsi="Arabic Typesetting" w:cs="Arabic Typesetting" w:hint="cs"/>
                <w:b/>
                <w:bCs/>
                <w:sz w:val="28"/>
                <w:szCs w:val="28"/>
                <w:rtl/>
                <w:lang w:bidi="ar-EG"/>
              </w:rPr>
              <w:t>السير</w:t>
            </w:r>
          </w:p>
        </w:tc>
      </w:tr>
      <w:tr w:rsidR="00B31868" w:rsidRPr="00211D55" w:rsidTr="009F0E15">
        <w:trPr>
          <w:trHeight w:val="18"/>
        </w:trPr>
        <w:tc>
          <w:tcPr>
            <w:tcW w:w="1842" w:type="dxa"/>
            <w:tcBorders>
              <w:bottom w:val="single" w:sz="4" w:space="0" w:color="auto"/>
            </w:tcBorders>
            <w:tcMar>
              <w:top w:w="110" w:type="dxa"/>
            </w:tcMar>
          </w:tcPr>
          <w:p w:rsidR="00B31868" w:rsidRPr="00211D55" w:rsidRDefault="00B31868" w:rsidP="00086C3F">
            <w:pPr>
              <w:bidi/>
              <w:spacing w:before="60" w:after="60" w:line="240" w:lineRule="exact"/>
              <w:rPr>
                <w:rFonts w:ascii="Arabic Typesetting" w:hAnsi="Arabic Typesetting" w:cs="Arabic Typesetting"/>
                <w:b/>
                <w:sz w:val="28"/>
                <w:szCs w:val="28"/>
                <w:rtl/>
                <w:lang w:bidi="ar-EG"/>
              </w:rPr>
            </w:pPr>
            <w:r w:rsidRPr="00211D55">
              <w:rPr>
                <w:rFonts w:ascii="Arabic Typesetting" w:hAnsi="Arabic Typesetting" w:cs="Arabic Typesetting" w:hint="cs"/>
                <w:b/>
                <w:sz w:val="28"/>
                <w:szCs w:val="28"/>
                <w:rtl/>
                <w:lang w:bidi="ar-EG"/>
              </w:rPr>
              <w:t>الاتفاق في مفاوضات اللجنة الحكومية الدولية على صك قانوني دولي أو أكثر بشأن المعارف التقليدية وأشكال التعبير الثقافي التقليدي والموارد الوراثية</w:t>
            </w:r>
          </w:p>
        </w:tc>
        <w:tc>
          <w:tcPr>
            <w:tcW w:w="2694" w:type="dxa"/>
            <w:tcBorders>
              <w:top w:val="nil"/>
              <w:bottom w:val="single" w:sz="4" w:space="0" w:color="auto"/>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w:t>
            </w:r>
            <w:r w:rsidRPr="00211D55">
              <w:rPr>
                <w:rFonts w:ascii="Arabic Typesetting" w:hAnsi="Arabic Typesetting" w:cs="Arabic Typesetting" w:hint="cs"/>
                <w:b/>
                <w:i/>
                <w:iCs/>
                <w:color w:val="002060"/>
                <w:sz w:val="28"/>
                <w:szCs w:val="28"/>
                <w:rtl/>
                <w:lang w:bidi="ar-EG"/>
              </w:rPr>
              <w:t xml:space="preserve"> في </w:t>
            </w:r>
            <w:r w:rsidRPr="00211D55">
              <w:rPr>
                <w:rFonts w:ascii="Arabic Typesetting" w:hAnsi="Arabic Typesetting" w:cs="Arabic Typesetting"/>
                <w:b/>
                <w:i/>
                <w:iCs/>
                <w:color w:val="002060"/>
                <w:sz w:val="28"/>
                <w:szCs w:val="28"/>
                <w:rtl/>
                <w:lang w:bidi="ar-EG"/>
              </w:rPr>
              <w:t xml:space="preserve">نهاية </w:t>
            </w:r>
            <w:r w:rsidRPr="00211D55">
              <w:rPr>
                <w:rFonts w:ascii="Arabic Typesetting" w:hAnsi="Arabic Typesetting" w:cs="Arabic Typesetting" w:hint="cs"/>
                <w:b/>
                <w:i/>
                <w:iCs/>
                <w:color w:val="002060"/>
                <w:sz w:val="28"/>
                <w:szCs w:val="28"/>
                <w:rtl/>
                <w:lang w:bidi="ar-EG"/>
              </w:rPr>
              <w:t>2013</w:t>
            </w:r>
            <w:r w:rsidRPr="00211D55">
              <w:rPr>
                <w:rFonts w:ascii="Arabic Typesetting" w:hAnsi="Arabic Typesetting" w:cs="Arabic Typesetting"/>
                <w:b/>
                <w:i/>
                <w:iCs/>
                <w:color w:val="002060"/>
                <w:sz w:val="28"/>
                <w:szCs w:val="28"/>
                <w:rtl/>
                <w:lang w:bidi="ar-EG"/>
              </w:rPr>
              <w:t>:</w:t>
            </w:r>
            <w:r w:rsidRPr="00211D55">
              <w:rPr>
                <w:rFonts w:ascii="Arabic Typesetting" w:hAnsi="Arabic Typesetting" w:cs="Arabic Typesetting"/>
                <w:b/>
                <w:color w:val="002060"/>
                <w:sz w:val="28"/>
                <w:szCs w:val="28"/>
                <w:rtl/>
                <w:lang w:bidi="ar-EG"/>
              </w:rPr>
              <w:t xml:space="preserve"> </w:t>
            </w:r>
            <w:r w:rsidRPr="00211D55">
              <w:rPr>
                <w:rFonts w:ascii="Arabic Typesetting" w:hAnsi="Arabic Typesetting" w:cs="Arabic Typesetting" w:hint="cs"/>
                <w:b/>
                <w:color w:val="002060"/>
                <w:sz w:val="28"/>
                <w:szCs w:val="28"/>
                <w:rtl/>
                <w:lang w:bidi="ar-EG"/>
              </w:rPr>
              <w:t xml:space="preserve">وافقت الجمعية العامة للويبو في أكتوبر 2013 على تجديد ولاية اللجنة الحكومية الدولية للثنائية </w:t>
            </w:r>
            <w:r w:rsidR="00507DE2">
              <w:rPr>
                <w:rFonts w:ascii="Arabic Typesetting" w:hAnsi="Arabic Typesetting" w:cs="Arabic Typesetting" w:hint="cs"/>
                <w:b/>
                <w:color w:val="002060"/>
                <w:sz w:val="28"/>
                <w:szCs w:val="28"/>
                <w:rtl/>
                <w:lang w:bidi="ar-EG"/>
              </w:rPr>
              <w:t>2014/15</w:t>
            </w:r>
            <w:r w:rsidRPr="00211D55">
              <w:rPr>
                <w:rFonts w:ascii="Arabic Typesetting" w:hAnsi="Arabic Typesetting" w:cs="Arabic Typesetting" w:hint="cs"/>
                <w:b/>
                <w:color w:val="002060"/>
                <w:sz w:val="28"/>
                <w:szCs w:val="28"/>
                <w:rtl/>
                <w:lang w:bidi="ar-EG"/>
              </w:rPr>
              <w:t xml:space="preserve"> وعلى برنامج عمل لعام 2014.</w:t>
            </w:r>
          </w:p>
          <w:p w:rsidR="00B31868" w:rsidRPr="00211D55" w:rsidRDefault="00B31868" w:rsidP="00086C3F">
            <w:pPr>
              <w:bidi/>
              <w:spacing w:before="60" w:after="60" w:line="240" w:lineRule="exact"/>
              <w:rPr>
                <w:rFonts w:ascii="Arabic Typesetting" w:hAnsi="Arabic Typesetting" w:cs="Arabic Typesetting"/>
                <w:b/>
                <w:sz w:val="28"/>
                <w:szCs w:val="28"/>
                <w:lang w:bidi="ar-EG"/>
              </w:rPr>
            </w:pPr>
            <w:r w:rsidRPr="00211D55">
              <w:rPr>
                <w:rFonts w:ascii="Arabic Typesetting" w:hAnsi="Arabic Typesetting" w:cs="Arabic Typesetting"/>
                <w:b/>
                <w:i/>
                <w:iCs/>
                <w:sz w:val="28"/>
                <w:szCs w:val="28"/>
                <w:rtl/>
                <w:lang w:bidi="ar-EG"/>
              </w:rPr>
              <w:t>أسس المقارنة الأصلية: برنامج وميزانية</w:t>
            </w:r>
            <w:r w:rsidRPr="00211D55">
              <w:rPr>
                <w:rFonts w:ascii="Arabic Typesetting" w:hAnsi="Arabic Typesetting" w:cs="Arabic Typesetting" w:hint="cs"/>
                <w:b/>
                <w:i/>
                <w:iCs/>
                <w:sz w:val="28"/>
                <w:szCs w:val="28"/>
                <w:rtl/>
                <w:lang w:bidi="ar-EG"/>
              </w:rPr>
              <w:t xml:space="preserve"> </w:t>
            </w:r>
            <w:r w:rsidR="00507DE2">
              <w:rPr>
                <w:rFonts w:ascii="Arabic Typesetting" w:hAnsi="Arabic Typesetting" w:cs="Arabic Typesetting" w:hint="cs"/>
                <w:b/>
                <w:i/>
                <w:iCs/>
                <w:sz w:val="28"/>
                <w:szCs w:val="28"/>
                <w:rtl/>
                <w:lang w:bidi="ar-EG"/>
              </w:rPr>
              <w:t>2014/15</w:t>
            </w:r>
            <w:r w:rsidRPr="00211D55">
              <w:rPr>
                <w:rFonts w:ascii="Arabic Typesetting" w:hAnsi="Arabic Typesetting" w:cs="Arabic Typesetting" w:hint="cs"/>
                <w:b/>
                <w:i/>
                <w:iCs/>
                <w:sz w:val="28"/>
                <w:szCs w:val="28"/>
                <w:rtl/>
                <w:lang w:bidi="ar-EG"/>
              </w:rPr>
              <w:t>:</w:t>
            </w:r>
            <w:r w:rsidRPr="00211D55">
              <w:rPr>
                <w:rFonts w:ascii="Arabic Typesetting" w:hAnsi="Arabic Typesetting" w:cs="Arabic Typesetting" w:hint="cs"/>
                <w:b/>
                <w:sz w:val="28"/>
                <w:szCs w:val="28"/>
                <w:rtl/>
                <w:lang w:bidi="ar-EG"/>
              </w:rPr>
              <w:t xml:space="preserve"> مفاوضات جارية تحت ولاية </w:t>
            </w:r>
            <w:r w:rsidRPr="00211D55">
              <w:rPr>
                <w:rFonts w:ascii="Arabic Typesetting" w:hAnsi="Arabic Typesetting" w:cs="Arabic Typesetting"/>
                <w:b/>
                <w:sz w:val="28"/>
                <w:szCs w:val="28"/>
                <w:rtl/>
                <w:lang w:bidi="ar-EG"/>
              </w:rPr>
              <w:t>اللجنة الحكومية الدولية</w:t>
            </w:r>
            <w:r w:rsidRPr="00211D55">
              <w:rPr>
                <w:rFonts w:ascii="Arabic Typesetting" w:hAnsi="Arabic Typesetting" w:cs="Arabic Typesetting" w:hint="cs"/>
                <w:b/>
                <w:sz w:val="28"/>
                <w:szCs w:val="28"/>
                <w:rtl/>
                <w:lang w:bidi="ar-EG"/>
              </w:rPr>
              <w:t xml:space="preserve"> للثنائية </w:t>
            </w:r>
            <w:r w:rsidR="00507DE2">
              <w:rPr>
                <w:rFonts w:ascii="Arabic Typesetting" w:hAnsi="Arabic Typesetting" w:cs="Arabic Typesetting" w:hint="cs"/>
                <w:b/>
                <w:sz w:val="28"/>
                <w:szCs w:val="28"/>
                <w:rtl/>
                <w:lang w:bidi="ar-EG"/>
              </w:rPr>
              <w:t>2012/13</w:t>
            </w:r>
            <w:r w:rsidRPr="00211D55">
              <w:rPr>
                <w:rFonts w:ascii="Arabic Typesetting" w:hAnsi="Arabic Typesetting" w:cs="Arabic Typesetting" w:hint="cs"/>
                <w:b/>
                <w:sz w:val="28"/>
                <w:szCs w:val="28"/>
                <w:rtl/>
                <w:lang w:bidi="ar-EG"/>
              </w:rPr>
              <w:t xml:space="preserve"> وبرنامج العمل لعام 2013</w:t>
            </w:r>
          </w:p>
        </w:tc>
        <w:tc>
          <w:tcPr>
            <w:tcW w:w="1417" w:type="dxa"/>
            <w:tcBorders>
              <w:bottom w:val="single" w:sz="4" w:space="0" w:color="auto"/>
            </w:tcBorders>
          </w:tcPr>
          <w:p w:rsidR="00B31868" w:rsidRPr="00211D55" w:rsidRDefault="00B31868" w:rsidP="009F5F08">
            <w:pPr>
              <w:keepNext/>
              <w:bidi/>
              <w:spacing w:before="60" w:after="60" w:line="240" w:lineRule="exact"/>
              <w:rPr>
                <w:rFonts w:ascii="Arabic Typesetting" w:hAnsi="Arabic Typesetting" w:cs="Arabic Typesetting"/>
                <w:b/>
                <w:sz w:val="28"/>
                <w:szCs w:val="28"/>
                <w:rtl/>
                <w:lang w:bidi="ar-EG"/>
              </w:rPr>
            </w:pPr>
            <w:r w:rsidRPr="00211D55">
              <w:rPr>
                <w:rFonts w:ascii="Arabic Typesetting" w:hAnsi="Arabic Typesetting" w:cs="Arabic Typesetting" w:hint="cs"/>
                <w:b/>
                <w:sz w:val="28"/>
                <w:szCs w:val="28"/>
                <w:rtl/>
                <w:lang w:bidi="ar-EG"/>
              </w:rPr>
              <w:t xml:space="preserve">اعتماد صك قانوني دولي أو أكثر </w:t>
            </w:r>
            <w:r w:rsidR="009F5F08" w:rsidRPr="00211D55">
              <w:rPr>
                <w:rFonts w:ascii="Arabic Typesetting" w:hAnsi="Arabic Typesetting" w:cs="Arabic Typesetting" w:hint="cs"/>
                <w:b/>
                <w:sz w:val="28"/>
                <w:szCs w:val="28"/>
                <w:rtl/>
                <w:lang w:bidi="ar-EG"/>
              </w:rPr>
              <w:t>في إطار</w:t>
            </w:r>
            <w:r w:rsidRPr="00211D55">
              <w:rPr>
                <w:rFonts w:ascii="Arabic Typesetting" w:hAnsi="Arabic Typesetting" w:cs="Arabic Typesetting" w:hint="cs"/>
                <w:b/>
                <w:sz w:val="28"/>
                <w:szCs w:val="28"/>
                <w:rtl/>
                <w:lang w:bidi="ar-EG"/>
              </w:rPr>
              <w:t xml:space="preserve"> مؤتمر دبلوماسي محتمل</w:t>
            </w:r>
          </w:p>
        </w:tc>
        <w:tc>
          <w:tcPr>
            <w:tcW w:w="2552" w:type="dxa"/>
            <w:tcBorders>
              <w:bottom w:val="single" w:sz="4" w:space="0" w:color="auto"/>
            </w:tcBorders>
            <w:tcMar>
              <w:top w:w="110" w:type="dxa"/>
            </w:tcMar>
          </w:tcPr>
          <w:p w:rsidR="00B31868" w:rsidRPr="00211D55" w:rsidRDefault="00B31868" w:rsidP="00086C3F">
            <w:pPr>
              <w:keepNext/>
              <w:bidi/>
              <w:spacing w:before="60" w:after="60" w:line="240" w:lineRule="exact"/>
              <w:rPr>
                <w:rFonts w:ascii="Arabic Typesetting" w:hAnsi="Arabic Typesetting" w:cs="Arabic Typesetting"/>
                <w:b/>
                <w:sz w:val="28"/>
                <w:szCs w:val="28"/>
                <w:rtl/>
                <w:lang w:bidi="ar-EG"/>
              </w:rPr>
            </w:pPr>
            <w:r w:rsidRPr="00211D55">
              <w:rPr>
                <w:rFonts w:ascii="Arabic Typesetting" w:hAnsi="Arabic Typesetting" w:cs="Arabic Typesetting" w:hint="cs"/>
                <w:b/>
                <w:sz w:val="28"/>
                <w:szCs w:val="28"/>
                <w:rtl/>
                <w:lang w:bidi="ar-EG"/>
              </w:rPr>
              <w:t>بعد ثلاث دورات أخرى في 2014، أحرزت اللجنة الحكومية الدولية تقدّما في مفاوضاتها القائمة على النصوص وفقا لولايتها.</w:t>
            </w:r>
            <w:r w:rsidR="0026553E" w:rsidRPr="00211D55">
              <w:rPr>
                <w:rFonts w:ascii="Arabic Typesetting" w:hAnsi="Arabic Typesetting" w:cs="Arabic Typesetting" w:hint="cs"/>
                <w:b/>
                <w:sz w:val="28"/>
                <w:szCs w:val="28"/>
                <w:rtl/>
                <w:lang w:bidi="ar-EG"/>
              </w:rPr>
              <w:t xml:space="preserve"> و</w:t>
            </w:r>
            <w:r w:rsidRPr="00211D55">
              <w:rPr>
                <w:rFonts w:ascii="Arabic Typesetting" w:hAnsi="Arabic Typesetting" w:cs="Arabic Typesetting" w:hint="cs"/>
                <w:b/>
                <w:sz w:val="28"/>
                <w:szCs w:val="28"/>
                <w:rtl/>
                <w:lang w:bidi="ar-EG"/>
              </w:rPr>
              <w:t>لم تتفق الجمعية العامة للويبو في أكتوبر 2014 على برنامج عمل للجنة الحكومية الدولية في عام</w:t>
            </w:r>
            <w:r w:rsidRPr="00211D55">
              <w:rPr>
                <w:rFonts w:ascii="Arabic Typesetting" w:hAnsi="Arabic Typesetting" w:cs="Arabic Typesetting" w:hint="eastAsia"/>
                <w:b/>
                <w:sz w:val="28"/>
                <w:szCs w:val="28"/>
                <w:rtl/>
                <w:lang w:bidi="ar-EG"/>
              </w:rPr>
              <w:t> </w:t>
            </w:r>
            <w:r w:rsidRPr="00211D55">
              <w:rPr>
                <w:rFonts w:ascii="Arabic Typesetting" w:hAnsi="Arabic Typesetting" w:cs="Arabic Typesetting" w:hint="cs"/>
                <w:b/>
                <w:sz w:val="28"/>
                <w:szCs w:val="28"/>
                <w:rtl/>
                <w:lang w:bidi="ar-EG"/>
              </w:rPr>
              <w:t>2015.</w:t>
            </w:r>
            <w:r w:rsidR="0026553E" w:rsidRPr="00211D55">
              <w:rPr>
                <w:rFonts w:ascii="Arabic Typesetting" w:hAnsi="Arabic Typesetting" w:cs="Arabic Typesetting" w:hint="cs"/>
                <w:b/>
                <w:sz w:val="28"/>
                <w:szCs w:val="28"/>
                <w:rtl/>
                <w:lang w:bidi="ar-EG"/>
              </w:rPr>
              <w:t xml:space="preserve"> واتفقت الجمعية العامة للويبو في أكتوبر 2015 على تجديد ولاية اللجنة الحكومية الدولية للثنائية 2016/2017.</w:t>
            </w:r>
          </w:p>
        </w:tc>
        <w:tc>
          <w:tcPr>
            <w:tcW w:w="850" w:type="dxa"/>
            <w:tcBorders>
              <w:bottom w:val="single" w:sz="4" w:space="0" w:color="auto"/>
            </w:tcBorders>
            <w:tcMar>
              <w:top w:w="110" w:type="dxa"/>
            </w:tcMar>
          </w:tcPr>
          <w:p w:rsidR="00B31868" w:rsidRPr="00211D55" w:rsidRDefault="00B31868" w:rsidP="00086C3F">
            <w:pPr>
              <w:keepNext/>
              <w:bidi/>
              <w:spacing w:before="60" w:after="60" w:line="240" w:lineRule="exact"/>
              <w:rPr>
                <w:rFonts w:ascii="Arabic Typesetting" w:hAnsi="Arabic Typesetting" w:cs="Arabic Typesetting"/>
                <w:b/>
                <w:bCs/>
                <w:color w:val="FF0000"/>
                <w:sz w:val="28"/>
                <w:szCs w:val="28"/>
                <w:rtl/>
                <w:lang w:bidi="ar-EG"/>
              </w:rPr>
            </w:pPr>
            <w:r w:rsidRPr="00211D55">
              <w:rPr>
                <w:rFonts w:ascii="Arabic Typesetting" w:hAnsi="Arabic Typesetting" w:cs="Arabic Typesetting" w:hint="cs"/>
                <w:b/>
                <w:bCs/>
                <w:color w:val="FF0000"/>
                <w:sz w:val="28"/>
                <w:szCs w:val="28"/>
                <w:rtl/>
                <w:lang w:bidi="ar-EG"/>
              </w:rPr>
              <w:t xml:space="preserve">غير </w:t>
            </w:r>
            <w:r w:rsidR="0026553E" w:rsidRPr="00211D55">
              <w:rPr>
                <w:rFonts w:ascii="Arabic Typesetting" w:hAnsi="Arabic Typesetting" w:cs="Arabic Typesetting" w:hint="cs"/>
                <w:b/>
                <w:bCs/>
                <w:color w:val="FF0000"/>
                <w:sz w:val="28"/>
                <w:szCs w:val="28"/>
                <w:rtl/>
                <w:lang w:bidi="ar-EG"/>
              </w:rPr>
              <w:t>محقق</w:t>
            </w:r>
          </w:p>
        </w:tc>
      </w:tr>
      <w:tr w:rsidR="00B31868" w:rsidRPr="00211D55" w:rsidTr="0026553E">
        <w:trPr>
          <w:trHeight w:val="537"/>
        </w:trPr>
        <w:tc>
          <w:tcPr>
            <w:tcW w:w="9355" w:type="dxa"/>
            <w:gridSpan w:val="5"/>
            <w:tcBorders>
              <w:top w:val="single" w:sz="4" w:space="0" w:color="auto"/>
              <w:bottom w:val="single" w:sz="4" w:space="0" w:color="auto"/>
            </w:tcBorders>
            <w:shd w:val="clear" w:color="auto" w:fill="C6D9F1" w:themeFill="text2" w:themeFillTint="33"/>
            <w:tcMar>
              <w:top w:w="0" w:type="dxa"/>
            </w:tcMar>
            <w:vAlign w:val="center"/>
          </w:tcPr>
          <w:p w:rsidR="00B31868" w:rsidRPr="00211D55" w:rsidRDefault="00B31868" w:rsidP="009E62B8">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 xml:space="preserve">النتيجة </w:t>
            </w:r>
            <w:r w:rsidRPr="00211D55">
              <w:rPr>
                <w:rFonts w:ascii="Arabic Typesetting" w:hAnsi="Arabic Typesetting" w:cs="Arabic Typesetting"/>
                <w:bCs/>
                <w:sz w:val="28"/>
                <w:szCs w:val="28"/>
                <w:shd w:val="clear" w:color="auto" w:fill="C6D9F1" w:themeFill="text2" w:themeFillTint="33"/>
                <w:rtl/>
                <w:lang w:bidi="ar-EG"/>
              </w:rPr>
              <w:t xml:space="preserve">المرتقبة: </w:t>
            </w:r>
            <w:r w:rsidR="006E7FC6" w:rsidRPr="00211D55">
              <w:rPr>
                <w:rFonts w:ascii="Arabic Typesetting" w:hAnsi="Arabic Typesetting" w:cs="Arabic Typesetting" w:hint="cs"/>
                <w:b/>
                <w:sz w:val="28"/>
                <w:szCs w:val="28"/>
                <w:shd w:val="clear" w:color="auto" w:fill="C6D9F1" w:themeFill="text2" w:themeFillTint="33"/>
                <w:rtl/>
                <w:lang w:bidi="ar-EG"/>
              </w:rPr>
              <w:tab/>
              <w:t>ه</w:t>
            </w:r>
            <w:r w:rsidRPr="00211D55">
              <w:rPr>
                <w:rFonts w:ascii="Arabic Typesetting" w:hAnsi="Arabic Typesetting" w:cs="Arabic Typesetting" w:hint="cs"/>
                <w:sz w:val="28"/>
                <w:szCs w:val="28"/>
                <w:shd w:val="clear" w:color="auto" w:fill="C6D9F1" w:themeFill="text2" w:themeFillTint="33"/>
                <w:rtl/>
                <w:lang w:bidi="ar-EG"/>
              </w:rPr>
              <w:t xml:space="preserve">2.3 </w:t>
            </w:r>
            <w:r w:rsidR="000432CA">
              <w:rPr>
                <w:rFonts w:ascii="Arabic Typesetting" w:hAnsi="Arabic Typesetting" w:cs="Arabic Typesetting"/>
                <w:b/>
                <w:sz w:val="28"/>
                <w:szCs w:val="28"/>
                <w:shd w:val="clear" w:color="auto" w:fill="C6D9F1" w:themeFill="text2" w:themeFillTint="33"/>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B31868" w:rsidRPr="00211D55" w:rsidTr="009F0E15">
        <w:trPr>
          <w:trHeight w:val="18"/>
        </w:trPr>
        <w:tc>
          <w:tcPr>
            <w:tcW w:w="1842" w:type="dxa"/>
            <w:tcBorders>
              <w:top w:val="single" w:sz="4" w:space="0" w:color="auto"/>
            </w:tcBorders>
            <w:tcMar>
              <w:top w:w="110" w:type="dxa"/>
            </w:tcMar>
          </w:tcPr>
          <w:p w:rsidR="00B31868" w:rsidRPr="00211D55" w:rsidRDefault="00B31868" w:rsidP="00086C3F">
            <w:pPr>
              <w:keepNext/>
              <w:bidi/>
              <w:spacing w:before="60" w:after="60" w:line="24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مؤشرات الأداء</w:t>
            </w:r>
          </w:p>
        </w:tc>
        <w:tc>
          <w:tcPr>
            <w:tcW w:w="2694" w:type="dxa"/>
            <w:tcBorders>
              <w:top w:val="single" w:sz="4" w:space="0" w:color="auto"/>
              <w:bottom w:val="nil"/>
            </w:tcBorders>
            <w:shd w:val="clear" w:color="auto" w:fill="auto"/>
            <w:tcMar>
              <w:top w:w="110" w:type="dxa"/>
            </w:tcMar>
            <w:vAlign w:val="center"/>
          </w:tcPr>
          <w:p w:rsidR="00B31868" w:rsidRPr="00211D55" w:rsidRDefault="00B31868" w:rsidP="00086C3F">
            <w:pPr>
              <w:keepNext/>
              <w:bidi/>
              <w:spacing w:before="60" w:after="60" w:line="240" w:lineRule="exact"/>
              <w:rPr>
                <w:rFonts w:ascii="Arabic Typesetting" w:hAnsi="Arabic Typesetting" w:cs="Arabic Typesetting"/>
                <w:sz w:val="28"/>
                <w:szCs w:val="28"/>
                <w:rtl/>
                <w:lang w:bidi="ar-EG"/>
              </w:rPr>
            </w:pPr>
            <w:r w:rsidRPr="00211D55">
              <w:rPr>
                <w:rFonts w:ascii="Arabic Typesetting" w:hAnsi="Arabic Typesetting" w:cs="Arabic Typesetting"/>
                <w:bCs/>
                <w:sz w:val="28"/>
                <w:szCs w:val="28"/>
                <w:rtl/>
                <w:lang w:bidi="ar-EG"/>
              </w:rPr>
              <w:t>أسس المقارنة</w:t>
            </w:r>
          </w:p>
        </w:tc>
        <w:tc>
          <w:tcPr>
            <w:tcW w:w="1417" w:type="dxa"/>
            <w:tcBorders>
              <w:top w:val="single" w:sz="4" w:space="0" w:color="auto"/>
            </w:tcBorders>
            <w:vAlign w:val="center"/>
          </w:tcPr>
          <w:p w:rsidR="00B31868" w:rsidRPr="00211D55" w:rsidRDefault="00B31868" w:rsidP="00086C3F">
            <w:pPr>
              <w:keepNext/>
              <w:bidi/>
              <w:spacing w:before="60" w:after="60" w:line="240" w:lineRule="exact"/>
              <w:rPr>
                <w:rFonts w:ascii="Arabic Typesetting" w:hAnsi="Arabic Typesetting" w:cs="Arabic Typesetting"/>
                <w:bCs/>
                <w:sz w:val="28"/>
                <w:szCs w:val="28"/>
                <w:rtl/>
                <w:lang w:bidi="ar-EG"/>
              </w:rPr>
            </w:pPr>
            <w:r w:rsidRPr="00211D55">
              <w:rPr>
                <w:rFonts w:ascii="Arabic Typesetting" w:hAnsi="Arabic Typesetting" w:cs="Arabic Typesetting" w:hint="cs"/>
                <w:bCs/>
                <w:sz w:val="28"/>
                <w:szCs w:val="28"/>
                <w:rtl/>
                <w:lang w:bidi="ar-EG"/>
              </w:rPr>
              <w:t>الأهداف</w:t>
            </w:r>
          </w:p>
        </w:tc>
        <w:tc>
          <w:tcPr>
            <w:tcW w:w="2552" w:type="dxa"/>
            <w:tcBorders>
              <w:top w:val="single" w:sz="4" w:space="0" w:color="auto"/>
            </w:tcBorders>
            <w:tcMar>
              <w:top w:w="110" w:type="dxa"/>
            </w:tcMar>
          </w:tcPr>
          <w:p w:rsidR="00B31868" w:rsidRPr="00211D55" w:rsidRDefault="00B31868" w:rsidP="00086C3F">
            <w:pPr>
              <w:keepNext/>
              <w:bidi/>
              <w:spacing w:before="60" w:after="60" w:line="24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850" w:type="dxa"/>
            <w:tcBorders>
              <w:top w:val="single" w:sz="4" w:space="0" w:color="auto"/>
            </w:tcBorders>
            <w:tcMar>
              <w:top w:w="110" w:type="dxa"/>
            </w:tcMar>
          </w:tcPr>
          <w:p w:rsidR="00B31868" w:rsidRPr="00211D55" w:rsidRDefault="00B31868" w:rsidP="00086C3F">
            <w:pPr>
              <w:keepNext/>
              <w:bidi/>
              <w:spacing w:before="60" w:after="60" w:line="240" w:lineRule="exact"/>
              <w:rPr>
                <w:rFonts w:ascii="Arabic Typesetting" w:hAnsi="Arabic Typesetting" w:cs="Arabic Typesetting"/>
                <w:b/>
                <w:bCs/>
                <w:sz w:val="28"/>
                <w:szCs w:val="28"/>
                <w:rtl/>
                <w:lang w:bidi="ar-EG"/>
              </w:rPr>
            </w:pPr>
            <w:r w:rsidRPr="00211D55">
              <w:rPr>
                <w:rFonts w:ascii="Arabic Typesetting" w:hAnsi="Arabic Typesetting" w:cs="Arabic Typesetting" w:hint="cs"/>
                <w:bCs/>
                <w:sz w:val="28"/>
                <w:szCs w:val="28"/>
                <w:rtl/>
                <w:lang w:bidi="ar-EG"/>
              </w:rPr>
              <w:t>السير</w:t>
            </w:r>
          </w:p>
        </w:tc>
      </w:tr>
      <w:tr w:rsidR="00B31868" w:rsidRPr="00211D55" w:rsidTr="009F0E15">
        <w:trPr>
          <w:trHeight w:val="537"/>
        </w:trPr>
        <w:tc>
          <w:tcPr>
            <w:tcW w:w="1842" w:type="dxa"/>
            <w:tcBorders>
              <w:bottom w:val="single" w:sz="4" w:space="0" w:color="auto"/>
            </w:tcBorders>
            <w:tcMar>
              <w:top w:w="110" w:type="dxa"/>
            </w:tcMar>
          </w:tcPr>
          <w:p w:rsidR="00B31868" w:rsidRPr="00211D55" w:rsidRDefault="00B31868" w:rsidP="00086C3F">
            <w:pPr>
              <w:bidi/>
              <w:spacing w:before="60" w:after="60" w:line="240" w:lineRule="exact"/>
              <w:rPr>
                <w:rFonts w:ascii="Arabic Typesetting" w:hAnsi="Arabic Typesetting" w:cs="Arabic Typesetting"/>
                <w:sz w:val="28"/>
                <w:szCs w:val="28"/>
                <w:lang w:bidi="ar-EG"/>
              </w:rPr>
            </w:pPr>
            <w:r w:rsidRPr="00211D55">
              <w:rPr>
                <w:rFonts w:ascii="Arabic Typesetting" w:hAnsi="Arabic Typesetting" w:cs="Arabic Typesetting" w:hint="cs"/>
                <w:sz w:val="28"/>
                <w:szCs w:val="28"/>
                <w:rtl/>
                <w:lang w:bidi="ar-EG"/>
              </w:rPr>
              <w:t>نسبة المشاركين في أنشطة الويبو التي تسفر عن تقارير حول كفاءات معززة لفهم مبادئ وأنظمة وأدوات الملكية الفكرية والانتفاع بها من أجل حماية المعارف التقليدية وأشكال التعبير الثقافي التقليدي وإدارة</w:t>
            </w:r>
            <w:r w:rsidRPr="00211D55">
              <w:rPr>
                <w:rFonts w:ascii="Arabic Typesetting" w:hAnsi="Arabic Typesetting" w:cs="Arabic Typesetting"/>
                <w:sz w:val="28"/>
                <w:szCs w:val="28"/>
                <w:rtl/>
                <w:lang w:bidi="ar-EG"/>
              </w:rPr>
              <w:t xml:space="preserve"> العلاقة بين الملكية الفكرية والموارد الوراثية</w:t>
            </w:r>
          </w:p>
        </w:tc>
        <w:tc>
          <w:tcPr>
            <w:tcW w:w="2694" w:type="dxa"/>
            <w:tcBorders>
              <w:top w:val="nil"/>
              <w:bottom w:val="single" w:sz="4" w:space="0" w:color="auto"/>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w:t>
            </w:r>
            <w:r w:rsidRPr="00211D55">
              <w:rPr>
                <w:rFonts w:ascii="Arabic Typesetting" w:hAnsi="Arabic Typesetting" w:cs="Arabic Typesetting" w:hint="cs"/>
                <w:b/>
                <w:i/>
                <w:iCs/>
                <w:color w:val="002060"/>
                <w:sz w:val="28"/>
                <w:szCs w:val="28"/>
                <w:rtl/>
                <w:lang w:bidi="ar-EG"/>
              </w:rPr>
              <w:t xml:space="preserve"> في </w:t>
            </w:r>
            <w:r w:rsidRPr="00211D55">
              <w:rPr>
                <w:rFonts w:ascii="Arabic Typesetting" w:hAnsi="Arabic Typesetting" w:cs="Arabic Typesetting"/>
                <w:b/>
                <w:i/>
                <w:iCs/>
                <w:color w:val="002060"/>
                <w:sz w:val="28"/>
                <w:szCs w:val="28"/>
                <w:rtl/>
                <w:lang w:bidi="ar-EG"/>
              </w:rPr>
              <w:t xml:space="preserve">نهاية </w:t>
            </w:r>
            <w:r w:rsidRPr="00211D55">
              <w:rPr>
                <w:rFonts w:ascii="Arabic Typesetting" w:hAnsi="Arabic Typesetting" w:cs="Arabic Typesetting" w:hint="cs"/>
                <w:b/>
                <w:i/>
                <w:iCs/>
                <w:color w:val="002060"/>
                <w:sz w:val="28"/>
                <w:szCs w:val="28"/>
                <w:rtl/>
                <w:lang w:bidi="ar-EG"/>
              </w:rPr>
              <w:t>2013</w:t>
            </w:r>
            <w:r w:rsidRPr="00211D55">
              <w:rPr>
                <w:rFonts w:ascii="Arabic Typesetting" w:hAnsi="Arabic Typesetting" w:cs="Arabic Typesetting"/>
                <w:b/>
                <w:i/>
                <w:iCs/>
                <w:color w:val="002060"/>
                <w:sz w:val="28"/>
                <w:szCs w:val="28"/>
                <w:rtl/>
                <w:lang w:bidi="ar-EG"/>
              </w:rPr>
              <w:t>:</w:t>
            </w:r>
            <w:r w:rsidRPr="00211D55">
              <w:rPr>
                <w:rFonts w:ascii="Arabic Typesetting" w:hAnsi="Arabic Typesetting" w:cs="Arabic Typesetting"/>
                <w:b/>
                <w:color w:val="002060"/>
                <w:sz w:val="28"/>
                <w:szCs w:val="28"/>
                <w:rtl/>
                <w:lang w:bidi="ar-EG"/>
              </w:rPr>
              <w:t xml:space="preserve"> </w:t>
            </w:r>
            <w:r w:rsidRPr="00211D55">
              <w:rPr>
                <w:rFonts w:ascii="Arabic Typesetting" w:hAnsi="Arabic Typesetting" w:cs="Arabic Typesetting" w:hint="cs"/>
                <w:b/>
                <w:color w:val="002060"/>
                <w:sz w:val="28"/>
                <w:szCs w:val="28"/>
                <w:rtl/>
                <w:lang w:bidi="ar-EG"/>
              </w:rPr>
              <w:t>95% (79 من أصل 83) من المشاركين قدموا تقارير إيجابية (استخدام استبيان التعليقات في خمسة أنشطة من تنظيم شعبة المعارف التقليدية في الثنائية</w:t>
            </w:r>
            <w:r w:rsidRPr="00211D55">
              <w:rPr>
                <w:rFonts w:ascii="Arabic Typesetting" w:hAnsi="Arabic Typesetting" w:cs="Arabic Typesetting" w:hint="eastAsia"/>
                <w:b/>
                <w:color w:val="002060"/>
                <w:sz w:val="28"/>
                <w:szCs w:val="28"/>
                <w:rtl/>
                <w:lang w:bidi="ar-EG"/>
              </w:rPr>
              <w:t> </w:t>
            </w:r>
            <w:r w:rsidR="00507DE2">
              <w:rPr>
                <w:rFonts w:ascii="Arabic Typesetting" w:hAnsi="Arabic Typesetting" w:cs="Arabic Typesetting" w:hint="cs"/>
                <w:b/>
                <w:color w:val="002060"/>
                <w:sz w:val="28"/>
                <w:szCs w:val="28"/>
                <w:rtl/>
                <w:lang w:bidi="ar-EG"/>
              </w:rPr>
              <w:t>2012/13</w:t>
            </w:r>
            <w:r w:rsidRPr="00211D55">
              <w:rPr>
                <w:rFonts w:ascii="Arabic Typesetting" w:hAnsi="Arabic Typesetting" w:cs="Arabic Typesetting" w:hint="cs"/>
                <w:b/>
                <w:color w:val="002060"/>
                <w:sz w:val="28"/>
                <w:szCs w:val="28"/>
                <w:rtl/>
                <w:lang w:bidi="ar-EG"/>
              </w:rPr>
              <w:t>)</w:t>
            </w:r>
          </w:p>
          <w:p w:rsidR="00B31868" w:rsidRPr="00211D55" w:rsidRDefault="00B31868" w:rsidP="00086C3F">
            <w:pPr>
              <w:bidi/>
              <w:spacing w:before="60" w:after="60" w:line="240" w:lineRule="exact"/>
              <w:rPr>
                <w:rFonts w:ascii="Arabic Typesetting" w:hAnsi="Arabic Typesetting" w:cs="Arabic Typesetting"/>
                <w:b/>
                <w:sz w:val="28"/>
                <w:szCs w:val="28"/>
                <w:rtl/>
              </w:rPr>
            </w:pPr>
            <w:r w:rsidRPr="00211D55">
              <w:rPr>
                <w:rFonts w:ascii="Arabic Typesetting" w:hAnsi="Arabic Typesetting" w:cs="Arabic Typesetting"/>
                <w:b/>
                <w:i/>
                <w:iCs/>
                <w:sz w:val="28"/>
                <w:szCs w:val="28"/>
                <w:rtl/>
                <w:lang w:bidi="ar-EG"/>
              </w:rPr>
              <w:t>أسس المقارنة الأصلية: برنامج وميزانية</w:t>
            </w:r>
            <w:r w:rsidRPr="00211D55">
              <w:rPr>
                <w:rFonts w:ascii="Arabic Typesetting" w:hAnsi="Arabic Typesetting" w:cs="Arabic Typesetting" w:hint="cs"/>
                <w:b/>
                <w:i/>
                <w:iCs/>
                <w:sz w:val="28"/>
                <w:szCs w:val="28"/>
                <w:rtl/>
                <w:lang w:bidi="ar-EG"/>
              </w:rPr>
              <w:t xml:space="preserve"> </w:t>
            </w:r>
            <w:r w:rsidR="00507DE2">
              <w:rPr>
                <w:rFonts w:ascii="Arabic Typesetting" w:hAnsi="Arabic Typesetting" w:cs="Arabic Typesetting" w:hint="cs"/>
                <w:b/>
                <w:i/>
                <w:iCs/>
                <w:sz w:val="28"/>
                <w:szCs w:val="28"/>
                <w:rtl/>
                <w:lang w:bidi="ar-EG"/>
              </w:rPr>
              <w:t>2014/15</w:t>
            </w:r>
            <w:r w:rsidRPr="00211D55">
              <w:rPr>
                <w:rFonts w:ascii="Arabic Typesetting" w:hAnsi="Arabic Typesetting" w:cs="Arabic Typesetting" w:hint="cs"/>
                <w:b/>
                <w:i/>
                <w:iCs/>
                <w:sz w:val="28"/>
                <w:szCs w:val="28"/>
                <w:rtl/>
                <w:lang w:bidi="ar-EG"/>
              </w:rPr>
              <w:t>:</w:t>
            </w:r>
            <w:r w:rsidRPr="00211D55">
              <w:rPr>
                <w:rFonts w:ascii="Arabic Typesetting" w:hAnsi="Arabic Typesetting" w:cs="Arabic Typesetting" w:hint="cs"/>
                <w:b/>
                <w:sz w:val="28"/>
                <w:szCs w:val="28"/>
                <w:rtl/>
                <w:lang w:bidi="ar-EG"/>
              </w:rPr>
              <w:t xml:space="preserve"> غير متاحة بعد</w:t>
            </w:r>
          </w:p>
        </w:tc>
        <w:tc>
          <w:tcPr>
            <w:tcW w:w="1417" w:type="dxa"/>
            <w:tcBorders>
              <w:bottom w:val="single" w:sz="4" w:space="0" w:color="auto"/>
            </w:tcBorders>
          </w:tcPr>
          <w:p w:rsidR="00B31868" w:rsidRPr="00211D55" w:rsidRDefault="00B31868" w:rsidP="00086C3F">
            <w:pPr>
              <w:bidi/>
              <w:spacing w:before="60" w:after="60" w:line="240" w:lineRule="exact"/>
              <w:rPr>
                <w:rFonts w:ascii="Arabic Typesetting" w:hAnsi="Arabic Typesetting" w:cs="Arabic Typesetting"/>
                <w:b/>
                <w:sz w:val="28"/>
                <w:szCs w:val="28"/>
                <w:rtl/>
                <w:lang w:bidi="ar-EG"/>
              </w:rPr>
            </w:pPr>
            <w:r w:rsidRPr="00211D55">
              <w:rPr>
                <w:rFonts w:ascii="Arabic Typesetting" w:hAnsi="Arabic Typesetting" w:cs="Arabic Typesetting" w:hint="cs"/>
                <w:b/>
                <w:sz w:val="28"/>
                <w:szCs w:val="28"/>
                <w:rtl/>
                <w:lang w:bidi="ar-EG"/>
              </w:rPr>
              <w:t>80%</w:t>
            </w:r>
          </w:p>
        </w:tc>
        <w:tc>
          <w:tcPr>
            <w:tcW w:w="2552" w:type="dxa"/>
            <w:tcBorders>
              <w:bottom w:val="single" w:sz="4" w:space="0" w:color="auto"/>
            </w:tcBorders>
            <w:tcMar>
              <w:top w:w="110" w:type="dxa"/>
            </w:tcMar>
          </w:tcPr>
          <w:p w:rsidR="00B31868" w:rsidRPr="00211D55" w:rsidRDefault="0026553E" w:rsidP="00086C3F">
            <w:pPr>
              <w:bidi/>
              <w:spacing w:before="60" w:after="60" w:line="24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92</w:t>
            </w:r>
            <w:r w:rsidR="00B31868" w:rsidRPr="00211D55">
              <w:rPr>
                <w:rFonts w:ascii="Arabic Typesetting" w:hAnsi="Arabic Typesetting" w:cs="Arabic Typesetting"/>
                <w:b/>
                <w:sz w:val="28"/>
                <w:szCs w:val="28"/>
                <w:rtl/>
                <w:lang w:bidi="ar-EG"/>
              </w:rPr>
              <w:t xml:space="preserve">% </w:t>
            </w:r>
            <w:r w:rsidR="00B31868" w:rsidRPr="00211D55">
              <w:rPr>
                <w:rFonts w:ascii="Arabic Typesetting" w:hAnsi="Arabic Typesetting" w:cs="Arabic Typesetting" w:hint="cs"/>
                <w:b/>
                <w:sz w:val="28"/>
                <w:szCs w:val="28"/>
                <w:rtl/>
                <w:lang w:bidi="ar-EG"/>
              </w:rPr>
              <w:t>(</w:t>
            </w:r>
            <w:r w:rsidRPr="00211D55">
              <w:rPr>
                <w:rFonts w:ascii="Arabic Typesetting" w:hAnsi="Arabic Typesetting" w:cs="Arabic Typesetting" w:hint="cs"/>
                <w:b/>
                <w:sz w:val="28"/>
                <w:szCs w:val="28"/>
                <w:rtl/>
                <w:lang w:bidi="ar-EG"/>
              </w:rPr>
              <w:t xml:space="preserve">370 </w:t>
            </w:r>
            <w:r w:rsidR="00B31868" w:rsidRPr="00211D55">
              <w:rPr>
                <w:rFonts w:ascii="Arabic Typesetting" w:hAnsi="Arabic Typesetting" w:cs="Arabic Typesetting" w:hint="cs"/>
                <w:b/>
                <w:sz w:val="28"/>
                <w:szCs w:val="28"/>
                <w:rtl/>
                <w:lang w:bidi="ar-EG"/>
              </w:rPr>
              <w:t xml:space="preserve">من أصل </w:t>
            </w:r>
            <w:r w:rsidRPr="00211D55">
              <w:rPr>
                <w:rFonts w:ascii="Arabic Typesetting" w:hAnsi="Arabic Typesetting" w:cs="Arabic Typesetting" w:hint="cs"/>
                <w:b/>
                <w:sz w:val="28"/>
                <w:szCs w:val="28"/>
                <w:rtl/>
                <w:lang w:bidi="ar-EG"/>
              </w:rPr>
              <w:t>398</w:t>
            </w:r>
            <w:r w:rsidR="00B31868" w:rsidRPr="00211D55">
              <w:rPr>
                <w:rFonts w:ascii="Arabic Typesetting" w:hAnsi="Arabic Typesetting" w:cs="Arabic Typesetting" w:hint="cs"/>
                <w:b/>
                <w:sz w:val="28"/>
                <w:szCs w:val="28"/>
                <w:rtl/>
                <w:lang w:bidi="ar-EG"/>
              </w:rPr>
              <w:t xml:space="preserve">) </w:t>
            </w:r>
            <w:r w:rsidR="00B31868" w:rsidRPr="00211D55">
              <w:rPr>
                <w:rFonts w:ascii="Arabic Typesetting" w:hAnsi="Arabic Typesetting" w:cs="Arabic Typesetting"/>
                <w:b/>
                <w:sz w:val="28"/>
                <w:szCs w:val="28"/>
                <w:rtl/>
                <w:lang w:bidi="ar-EG"/>
              </w:rPr>
              <w:t>من المشاركين قدموا تقارير إيجابية (استخدام استبيان</w:t>
            </w:r>
            <w:r w:rsidR="00B31868" w:rsidRPr="00211D55">
              <w:rPr>
                <w:rFonts w:ascii="Arabic Typesetting" w:hAnsi="Arabic Typesetting" w:cs="Arabic Typesetting"/>
                <w:b/>
                <w:sz w:val="28"/>
                <w:szCs w:val="28"/>
                <w:lang w:bidi="ar-EG"/>
              </w:rPr>
              <w:t xml:space="preserve"> </w:t>
            </w:r>
            <w:r w:rsidR="00B31868" w:rsidRPr="00211D55">
              <w:rPr>
                <w:rFonts w:ascii="Arabic Typesetting" w:hAnsi="Arabic Typesetting" w:cs="Arabic Typesetting"/>
                <w:b/>
                <w:sz w:val="28"/>
                <w:szCs w:val="28"/>
                <w:rtl/>
                <w:lang w:bidi="ar-EG"/>
              </w:rPr>
              <w:t xml:space="preserve">التعليقات في </w:t>
            </w:r>
            <w:r w:rsidRPr="00211D55">
              <w:rPr>
                <w:rFonts w:ascii="Arabic Typesetting" w:hAnsi="Arabic Typesetting" w:cs="Arabic Typesetting" w:hint="cs"/>
                <w:b/>
                <w:sz w:val="28"/>
                <w:szCs w:val="28"/>
                <w:rtl/>
                <w:lang w:bidi="ar-EG"/>
              </w:rPr>
              <w:t>15</w:t>
            </w:r>
            <w:r w:rsidRPr="00211D55">
              <w:rPr>
                <w:rFonts w:ascii="Arabic Typesetting" w:hAnsi="Arabic Typesetting" w:cs="Arabic Typesetting"/>
                <w:b/>
                <w:sz w:val="28"/>
                <w:szCs w:val="28"/>
                <w:rtl/>
                <w:lang w:bidi="ar-EG"/>
              </w:rPr>
              <w:t xml:space="preserve"> </w:t>
            </w:r>
            <w:r w:rsidR="001C029B" w:rsidRPr="00211D55">
              <w:rPr>
                <w:rFonts w:ascii="Arabic Typesetting" w:hAnsi="Arabic Typesetting" w:cs="Arabic Typesetting" w:hint="cs"/>
                <w:b/>
                <w:sz w:val="28"/>
                <w:szCs w:val="28"/>
                <w:rtl/>
                <w:lang w:bidi="ar-EG"/>
              </w:rPr>
              <w:t>نشاطاً</w:t>
            </w:r>
            <w:r w:rsidR="001C029B" w:rsidRPr="00211D55">
              <w:rPr>
                <w:rFonts w:ascii="Arabic Typesetting" w:hAnsi="Arabic Typesetting" w:cs="Arabic Typesetting"/>
                <w:b/>
                <w:sz w:val="28"/>
                <w:szCs w:val="28"/>
                <w:rtl/>
                <w:lang w:bidi="ar-EG"/>
              </w:rPr>
              <w:t xml:space="preserve"> </w:t>
            </w:r>
            <w:r w:rsidR="00B31868" w:rsidRPr="00211D55">
              <w:rPr>
                <w:rFonts w:ascii="Arabic Typesetting" w:hAnsi="Arabic Typesetting" w:cs="Arabic Typesetting" w:hint="cs"/>
                <w:b/>
                <w:sz w:val="28"/>
                <w:szCs w:val="28"/>
                <w:rtl/>
                <w:lang w:bidi="ar-EG"/>
              </w:rPr>
              <w:t>من تنظيم</w:t>
            </w:r>
            <w:r w:rsidR="00B31868" w:rsidRPr="00211D55">
              <w:rPr>
                <w:rFonts w:ascii="Arabic Typesetting" w:hAnsi="Arabic Typesetting" w:cs="Arabic Typesetting"/>
                <w:b/>
                <w:sz w:val="28"/>
                <w:szCs w:val="28"/>
                <w:rtl/>
                <w:lang w:bidi="ar-EG"/>
              </w:rPr>
              <w:t xml:space="preserve"> شعبة المعارف التقليدية في </w:t>
            </w:r>
            <w:r w:rsidRPr="00211D55">
              <w:rPr>
                <w:rFonts w:ascii="Arabic Typesetting" w:hAnsi="Arabic Typesetting" w:cs="Arabic Typesetting" w:hint="cs"/>
                <w:b/>
                <w:sz w:val="28"/>
                <w:szCs w:val="28"/>
                <w:rtl/>
                <w:lang w:bidi="ar-EG"/>
              </w:rPr>
              <w:t xml:space="preserve">الثنائية </w:t>
            </w:r>
            <w:r w:rsidR="00507DE2">
              <w:rPr>
                <w:rFonts w:ascii="Arabic Typesetting" w:hAnsi="Arabic Typesetting" w:cs="Arabic Typesetting" w:hint="cs"/>
                <w:b/>
                <w:sz w:val="28"/>
                <w:szCs w:val="28"/>
                <w:rtl/>
                <w:lang w:bidi="ar-EG"/>
              </w:rPr>
              <w:t>2014/15</w:t>
            </w:r>
            <w:r w:rsidR="00B31868" w:rsidRPr="00211D55">
              <w:rPr>
                <w:rFonts w:ascii="Arabic Typesetting" w:hAnsi="Arabic Typesetting" w:cs="Arabic Typesetting" w:hint="cs"/>
                <w:b/>
                <w:sz w:val="28"/>
                <w:szCs w:val="28"/>
                <w:rtl/>
                <w:lang w:bidi="ar-EG"/>
              </w:rPr>
              <w:t>)</w:t>
            </w:r>
          </w:p>
        </w:tc>
        <w:tc>
          <w:tcPr>
            <w:tcW w:w="850" w:type="dxa"/>
            <w:tcBorders>
              <w:bottom w:val="single" w:sz="4" w:space="0" w:color="auto"/>
            </w:tcBorders>
            <w:tcMar>
              <w:top w:w="110" w:type="dxa"/>
            </w:tcMar>
          </w:tcPr>
          <w:p w:rsidR="00B31868" w:rsidRPr="00211D55" w:rsidRDefault="0026553E" w:rsidP="00086C3F">
            <w:pPr>
              <w:bidi/>
              <w:spacing w:before="60" w:after="60" w:line="240" w:lineRule="exact"/>
              <w:rPr>
                <w:rFonts w:ascii="Arabic Typesetting" w:hAnsi="Arabic Typesetting" w:cs="Arabic Typesetting"/>
                <w:b/>
                <w:bCs/>
                <w:color w:val="008000"/>
                <w:sz w:val="28"/>
                <w:szCs w:val="28"/>
                <w:rtl/>
                <w:lang w:bidi="ar-EG"/>
              </w:rPr>
            </w:pPr>
            <w:r w:rsidRPr="00211D55">
              <w:rPr>
                <w:rFonts w:ascii="Arabic Typesetting" w:hAnsi="Arabic Typesetting" w:cs="Arabic Typesetting" w:hint="cs"/>
                <w:b/>
                <w:bCs/>
                <w:color w:val="008000"/>
                <w:sz w:val="28"/>
                <w:szCs w:val="28"/>
                <w:rtl/>
                <w:lang w:bidi="ar-EG"/>
              </w:rPr>
              <w:t>محقق كلياً</w:t>
            </w:r>
          </w:p>
        </w:tc>
      </w:tr>
    </w:tbl>
    <w:p w:rsidR="00604F08"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604F08" w:rsidRPr="00211D55" w:rsidTr="0020240E">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604F08" w:rsidRPr="00211D55" w:rsidRDefault="00604F08"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604F08" w:rsidRPr="00211D55" w:rsidRDefault="00604F08"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604F08" w:rsidRPr="00211D55" w:rsidRDefault="00604F08"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604F08"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604F08" w:rsidRPr="00211D55" w:rsidTr="00FA156B">
        <w:trPr>
          <w:trHeight w:val="1332"/>
        </w:trPr>
        <w:tc>
          <w:tcPr>
            <w:tcW w:w="2420" w:type="dxa"/>
            <w:tcBorders>
              <w:top w:val="single" w:sz="4" w:space="0" w:color="auto"/>
              <w:left w:val="single" w:sz="4" w:space="0" w:color="auto"/>
            </w:tcBorders>
            <w:shd w:val="clear" w:color="auto" w:fill="auto"/>
            <w:tcMar>
              <w:top w:w="113" w:type="dxa"/>
              <w:bottom w:w="113" w:type="dxa"/>
            </w:tcMar>
          </w:tcPr>
          <w:p w:rsidR="00604F08" w:rsidRPr="00211D55" w:rsidRDefault="00604F08"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 xml:space="preserve">عدم قدرة اللجنة الحكومية الدولية على التوصل إلى اتفاق </w:t>
            </w:r>
            <w:r w:rsidR="009E20D2" w:rsidRPr="00211D55">
              <w:rPr>
                <w:rFonts w:ascii="Arabic Typesetting" w:hAnsi="Arabic Typesetting" w:cs="Arabic Typesetting" w:hint="cs"/>
                <w:b/>
                <w:sz w:val="28"/>
                <w:szCs w:val="28"/>
                <w:rtl/>
                <w:lang w:bidi="ar-EG"/>
              </w:rPr>
              <w:t>بشأن</w:t>
            </w:r>
            <w:r w:rsidR="009E20D2" w:rsidRPr="00211D55">
              <w:rPr>
                <w:rFonts w:ascii="Arabic Typesetting" w:hAnsi="Arabic Typesetting" w:cs="Arabic Typesetting"/>
                <w:b/>
                <w:sz w:val="28"/>
                <w:szCs w:val="28"/>
                <w:rtl/>
                <w:lang w:bidi="ar-EG"/>
              </w:rPr>
              <w:t xml:space="preserve"> </w:t>
            </w:r>
            <w:r w:rsidRPr="00211D55">
              <w:rPr>
                <w:rFonts w:ascii="Arabic Typesetting" w:hAnsi="Arabic Typesetting" w:cs="Arabic Typesetting"/>
                <w:b/>
                <w:sz w:val="28"/>
                <w:szCs w:val="28"/>
                <w:rtl/>
                <w:lang w:bidi="ar-EG"/>
              </w:rPr>
              <w:t>صك قانوني دولي أو أكثر.</w:t>
            </w:r>
          </w:p>
        </w:tc>
        <w:tc>
          <w:tcPr>
            <w:tcW w:w="2200" w:type="dxa"/>
            <w:tcBorders>
              <w:top w:val="single" w:sz="4" w:space="0" w:color="auto"/>
            </w:tcBorders>
            <w:shd w:val="clear" w:color="auto" w:fill="auto"/>
            <w:tcMar>
              <w:top w:w="113" w:type="dxa"/>
              <w:bottom w:w="113" w:type="dxa"/>
            </w:tcMar>
          </w:tcPr>
          <w:p w:rsidR="00604F08" w:rsidRPr="00211D55" w:rsidRDefault="00604F08"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 xml:space="preserve">تلتزم الأمانة، في الحدود التي تسمح بها مواردها، بتهيئة وإعداد بيئة </w:t>
            </w:r>
            <w:proofErr w:type="spellStart"/>
            <w:r w:rsidR="009E20D2" w:rsidRPr="00211D55">
              <w:rPr>
                <w:rFonts w:ascii="Arabic Typesetting" w:hAnsi="Arabic Typesetting" w:cs="Arabic Typesetting"/>
                <w:b/>
                <w:sz w:val="28"/>
                <w:szCs w:val="28"/>
                <w:rtl/>
                <w:lang w:bidi="ar-EG"/>
              </w:rPr>
              <w:t>م</w:t>
            </w:r>
            <w:r w:rsidR="009E20D2" w:rsidRPr="00211D55">
              <w:rPr>
                <w:rFonts w:ascii="Arabic Typesetting" w:hAnsi="Arabic Typesetting" w:cs="Arabic Typesetting" w:hint="cs"/>
                <w:b/>
                <w:sz w:val="28"/>
                <w:szCs w:val="28"/>
                <w:rtl/>
                <w:lang w:bidi="ar-EG"/>
              </w:rPr>
              <w:t>ؤ</w:t>
            </w:r>
            <w:r w:rsidR="009E20D2" w:rsidRPr="00211D55">
              <w:rPr>
                <w:rFonts w:ascii="Arabic Typesetting" w:hAnsi="Arabic Typesetting" w:cs="Arabic Typesetting"/>
                <w:b/>
                <w:sz w:val="28"/>
                <w:szCs w:val="28"/>
                <w:rtl/>
                <w:lang w:bidi="ar-EG"/>
              </w:rPr>
              <w:t>اتية</w:t>
            </w:r>
            <w:proofErr w:type="spellEnd"/>
            <w:r w:rsidR="009E20D2" w:rsidRPr="00211D55">
              <w:rPr>
                <w:rFonts w:ascii="Arabic Typesetting" w:hAnsi="Arabic Typesetting" w:cs="Arabic Typesetting"/>
                <w:b/>
                <w:sz w:val="28"/>
                <w:szCs w:val="28"/>
                <w:rtl/>
                <w:lang w:bidi="ar-EG"/>
              </w:rPr>
              <w:t xml:space="preserve"> </w:t>
            </w:r>
            <w:r w:rsidRPr="00211D55">
              <w:rPr>
                <w:rFonts w:ascii="Arabic Typesetting" w:hAnsi="Arabic Typesetting" w:cs="Arabic Typesetting"/>
                <w:b/>
                <w:sz w:val="28"/>
                <w:szCs w:val="28"/>
                <w:rtl/>
                <w:lang w:bidi="ar-EG"/>
              </w:rPr>
              <w:t>للمفاوضات، على سبيل المثال، من خلال توفير معلومات واضحة وموضوعية عن القضايا الجاري مناقشتها في اللجنة الحكومية الدولية، مقدمة بذلك خدمة تتسم بالكفاءة والحياد ودعما يتسم بالكفاءة والحياد لرئيس اللجنة الحكومية الدولية.</w:t>
            </w:r>
          </w:p>
        </w:tc>
        <w:tc>
          <w:tcPr>
            <w:tcW w:w="2310" w:type="dxa"/>
            <w:tcBorders>
              <w:top w:val="single" w:sz="4" w:space="0" w:color="auto"/>
            </w:tcBorders>
          </w:tcPr>
          <w:p w:rsidR="00604F08" w:rsidRPr="00211D55" w:rsidRDefault="00604F08"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نظراً إلى عدم توصل الدول الأعضاء إلى قرار بشأن خطة عمل لعام 2015 وعلى الرغم من تجديد ولاية اللجنة الحكومية الدولية في سبتمبر 2015، يظل خطر عدم قدرة الدول الأعضاء على التوصل إلى اتفاق </w:t>
            </w:r>
            <w:r w:rsidR="009E20D2" w:rsidRPr="00211D55">
              <w:rPr>
                <w:rFonts w:ascii="Arabic Typesetting" w:hAnsi="Arabic Typesetting" w:cs="Arabic Typesetting" w:hint="cs"/>
                <w:b/>
                <w:sz w:val="28"/>
                <w:szCs w:val="28"/>
                <w:rtl/>
                <w:lang w:bidi="ar-EG"/>
              </w:rPr>
              <w:t>بشأن</w:t>
            </w:r>
            <w:r w:rsidRPr="00211D55">
              <w:rPr>
                <w:rFonts w:ascii="Arabic Typesetting" w:hAnsi="Arabic Typesetting" w:cs="Arabic Typesetting" w:hint="cs"/>
                <w:b/>
                <w:sz w:val="28"/>
                <w:szCs w:val="28"/>
                <w:rtl/>
                <w:lang w:bidi="ar-EG"/>
              </w:rPr>
              <w:t xml:space="preserve"> صك قانوني د</w:t>
            </w:r>
            <w:r w:rsidR="009E20D2" w:rsidRPr="00211D55">
              <w:rPr>
                <w:rFonts w:ascii="Arabic Typesetting" w:hAnsi="Arabic Typesetting" w:cs="Arabic Typesetting" w:hint="cs"/>
                <w:b/>
                <w:sz w:val="28"/>
                <w:szCs w:val="28"/>
                <w:rtl/>
                <w:lang w:bidi="ar-EG"/>
              </w:rPr>
              <w:t>و</w:t>
            </w:r>
            <w:r w:rsidRPr="00211D55">
              <w:rPr>
                <w:rFonts w:ascii="Arabic Typesetting" w:hAnsi="Arabic Typesetting" w:cs="Arabic Typesetting" w:hint="cs"/>
                <w:b/>
                <w:sz w:val="28"/>
                <w:szCs w:val="28"/>
                <w:rtl/>
                <w:lang w:bidi="ar-EG"/>
              </w:rPr>
              <w:t xml:space="preserve">لي أو أكثر قائماً خلال الثنائية المقبلة. وستظل استراتيجية الحد من وطأته ذاتها أي توفير الدعم الفعال والمحايد لهذا المسار ولا سيما </w:t>
            </w:r>
            <w:r w:rsidR="009E20D2" w:rsidRPr="00211D55">
              <w:rPr>
                <w:rFonts w:ascii="Arabic Typesetting" w:hAnsi="Arabic Typesetting" w:cs="Arabic Typesetting" w:hint="cs"/>
                <w:b/>
                <w:sz w:val="28"/>
                <w:szCs w:val="28"/>
                <w:rtl/>
                <w:lang w:bidi="ar-EG"/>
              </w:rPr>
              <w:t>ل</w:t>
            </w:r>
            <w:r w:rsidRPr="00211D55">
              <w:rPr>
                <w:rFonts w:ascii="Arabic Typesetting" w:hAnsi="Arabic Typesetting" w:cs="Arabic Typesetting" w:hint="cs"/>
                <w:b/>
                <w:sz w:val="28"/>
                <w:szCs w:val="28"/>
                <w:rtl/>
                <w:lang w:bidi="ar-EG"/>
              </w:rPr>
              <w:t>رئيس اللجنة الحكومية الدولية.</w:t>
            </w:r>
          </w:p>
        </w:tc>
        <w:tc>
          <w:tcPr>
            <w:tcW w:w="2306" w:type="dxa"/>
            <w:tcBorders>
              <w:top w:val="single" w:sz="4" w:space="0" w:color="auto"/>
              <w:right w:val="single" w:sz="4" w:space="0" w:color="auto"/>
            </w:tcBorders>
          </w:tcPr>
          <w:p w:rsidR="00604F08" w:rsidRPr="00211D55" w:rsidRDefault="003E2ECD"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أثر تطور هذا الخطر تأثيراً مباشراً على إبرام الدول الأعضاء صكاً قانونياً دولياً أو أكثر.</w:t>
            </w:r>
          </w:p>
        </w:tc>
      </w:tr>
      <w:tr w:rsidR="00604F08" w:rsidRPr="00211D55" w:rsidTr="00FA156B">
        <w:trPr>
          <w:trHeight w:val="1332"/>
        </w:trPr>
        <w:tc>
          <w:tcPr>
            <w:tcW w:w="2420" w:type="dxa"/>
            <w:tcBorders>
              <w:left w:val="single" w:sz="4" w:space="0" w:color="auto"/>
              <w:bottom w:val="single" w:sz="4" w:space="0" w:color="auto"/>
            </w:tcBorders>
            <w:shd w:val="clear" w:color="auto" w:fill="auto"/>
            <w:tcMar>
              <w:top w:w="113" w:type="dxa"/>
              <w:bottom w:w="113" w:type="dxa"/>
            </w:tcMar>
          </w:tcPr>
          <w:p w:rsidR="00604F08" w:rsidRPr="00211D55" w:rsidRDefault="00604F08" w:rsidP="003B2ED5">
            <w:pPr>
              <w:bidi/>
              <w:spacing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فقدان أهمية اللجنة الحكومية الدولية إذا أخرجت الدول الأعضاء من أولوياتها المعارف التقليدية وأشكال التعبير الثقافي التقليدي والموارد الوراثية كقضايا للملكية الفكرية و/أو إذا رأت أن محافل أخرى أقدر على تحقيق النتائج المرغوبة.</w:t>
            </w:r>
          </w:p>
        </w:tc>
        <w:tc>
          <w:tcPr>
            <w:tcW w:w="2200" w:type="dxa"/>
            <w:tcBorders>
              <w:bottom w:val="single" w:sz="4" w:space="0" w:color="auto"/>
            </w:tcBorders>
            <w:shd w:val="clear" w:color="auto" w:fill="auto"/>
            <w:tcMar>
              <w:top w:w="113" w:type="dxa"/>
              <w:bottom w:w="113" w:type="dxa"/>
            </w:tcMar>
          </w:tcPr>
          <w:p w:rsidR="00604F08" w:rsidRPr="00211D55" w:rsidRDefault="00604F08"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b/>
                <w:sz w:val="28"/>
                <w:szCs w:val="28"/>
                <w:rtl/>
                <w:lang w:bidi="ar-EG"/>
              </w:rPr>
              <w:t>ت</w:t>
            </w:r>
            <w:r w:rsidRPr="00211D55">
              <w:rPr>
                <w:rFonts w:ascii="Arabic Typesetting" w:hAnsi="Arabic Typesetting" w:cs="Arabic Typesetting" w:hint="cs"/>
                <w:b/>
                <w:sz w:val="28"/>
                <w:szCs w:val="28"/>
                <w:rtl/>
                <w:lang w:bidi="ar-EG"/>
              </w:rPr>
              <w:t>ز</w:t>
            </w:r>
            <w:r w:rsidRPr="00211D55">
              <w:rPr>
                <w:rFonts w:ascii="Arabic Typesetting" w:hAnsi="Arabic Typesetting" w:cs="Arabic Typesetting"/>
                <w:b/>
                <w:sz w:val="28"/>
                <w:szCs w:val="28"/>
                <w:rtl/>
                <w:lang w:bidi="ar-EG"/>
              </w:rPr>
              <w:t>كي الأمانة الوعي بأهمية سياسة الملكية الفكرية المتعلقة بقضايا المعارف التقليدية وأشكال التعبير الثقافي التقليدي والموارد الوراثية</w:t>
            </w:r>
            <w:r w:rsidRPr="00211D55">
              <w:rPr>
                <w:rFonts w:ascii="Arabic Typesetting" w:hAnsi="Arabic Typesetting" w:cs="Arabic Typesetting"/>
                <w:b/>
                <w:sz w:val="28"/>
                <w:szCs w:val="28"/>
                <w:lang w:bidi="ar-EG"/>
              </w:rPr>
              <w:t>.</w:t>
            </w:r>
            <w:r w:rsidRPr="00211D55">
              <w:rPr>
                <w:rFonts w:ascii="Arabic Typesetting" w:hAnsi="Arabic Typesetting" w:cs="Arabic Typesetting" w:hint="cs"/>
                <w:b/>
                <w:sz w:val="28"/>
                <w:szCs w:val="28"/>
                <w:rtl/>
                <w:lang w:bidi="ar-EG"/>
              </w:rPr>
              <w:t xml:space="preserve"> </w:t>
            </w:r>
            <w:r w:rsidRPr="00211D55">
              <w:rPr>
                <w:rFonts w:ascii="Arabic Typesetting" w:hAnsi="Arabic Typesetting" w:cs="Arabic Typesetting"/>
                <w:b/>
                <w:sz w:val="28"/>
                <w:szCs w:val="28"/>
                <w:rtl/>
                <w:lang w:bidi="ar-EG"/>
              </w:rPr>
              <w:t>وتتابع الأمانة عن كثب المفاوضات في المحافل الأخرى، لكي تكون قادرة على تقديم معلومات محايدة عن اللجنة الحكومية الدولية إلى الدول الأعضاء في تلك المحافل الأخرى، وتنسق مع الأمانات الأخرى كي تحاول تجنب ازدواجية الجهود المبذولة بين الأمانات والتي يمكن أن تتسبب في إرباك الدول الأعضاء.</w:t>
            </w:r>
          </w:p>
        </w:tc>
        <w:tc>
          <w:tcPr>
            <w:tcW w:w="2310" w:type="dxa"/>
            <w:tcBorders>
              <w:bottom w:val="single" w:sz="4" w:space="0" w:color="auto"/>
            </w:tcBorders>
          </w:tcPr>
          <w:p w:rsidR="00604F08" w:rsidRPr="00211D55" w:rsidRDefault="003E2ECD"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أعربت الدول الأعضاء خلال الجمعية العامة لعام 2015 عن دعمها الشديد لمسار اللجنة الحكومية الدولية </w:t>
            </w:r>
            <w:r w:rsidR="009E20D2" w:rsidRPr="00211D55">
              <w:rPr>
                <w:rFonts w:ascii="Arabic Typesetting" w:hAnsi="Arabic Typesetting" w:cs="Arabic Typesetting" w:hint="cs"/>
                <w:b/>
                <w:sz w:val="28"/>
                <w:szCs w:val="28"/>
                <w:rtl/>
                <w:lang w:bidi="ar-EG"/>
              </w:rPr>
              <w:t>ول</w:t>
            </w:r>
            <w:r w:rsidRPr="00211D55">
              <w:rPr>
                <w:rFonts w:ascii="Arabic Typesetting" w:hAnsi="Arabic Typesetting" w:cs="Arabic Typesetting" w:hint="cs"/>
                <w:b/>
                <w:sz w:val="28"/>
                <w:szCs w:val="28"/>
                <w:rtl/>
                <w:lang w:bidi="ar-EG"/>
              </w:rPr>
              <w:t xml:space="preserve">لبرنامج 4 بأكمله على الرغم من </w:t>
            </w:r>
            <w:r w:rsidR="009E20D2" w:rsidRPr="00211D55">
              <w:rPr>
                <w:rFonts w:ascii="Arabic Typesetting" w:hAnsi="Arabic Typesetting" w:cs="Arabic Typesetting" w:hint="cs"/>
                <w:b/>
                <w:sz w:val="28"/>
                <w:szCs w:val="28"/>
                <w:rtl/>
                <w:lang w:bidi="ar-EG"/>
              </w:rPr>
              <w:t xml:space="preserve">تعطل </w:t>
            </w:r>
            <w:r w:rsidRPr="00211D55">
              <w:rPr>
                <w:rFonts w:ascii="Arabic Typesetting" w:hAnsi="Arabic Typesetting" w:cs="Arabic Typesetting" w:hint="cs"/>
                <w:b/>
                <w:sz w:val="28"/>
                <w:szCs w:val="28"/>
                <w:rtl/>
                <w:lang w:bidi="ar-EG"/>
              </w:rPr>
              <w:t>اللجنة الحكومية الدولية في عام 2015. ولعل هذا الدعم وتجديد ولاية اللجنة الحكومية الدولية قد أسهما في التخفيف من وطأة خطر فقدان الأهمية إلى حد ما. وواصلت الأمانة إزكاء الوعي بشأن أهمية وجدوى قضايا الموارد الوراثية والمعارف التقليدية وأشكال التعبير الثقافي التقليدي في رسم السياسات الخاصة بالملكية الفكرية.</w:t>
            </w:r>
          </w:p>
        </w:tc>
        <w:tc>
          <w:tcPr>
            <w:tcW w:w="2306" w:type="dxa"/>
            <w:tcBorders>
              <w:bottom w:val="single" w:sz="4" w:space="0" w:color="auto"/>
              <w:right w:val="single" w:sz="4" w:space="0" w:color="auto"/>
            </w:tcBorders>
          </w:tcPr>
          <w:p w:rsidR="00604F08" w:rsidRPr="00211D55" w:rsidRDefault="002F200B" w:rsidP="002F200B">
            <w:pPr>
              <w:bidi/>
              <w:spacing w:line="280" w:lineRule="exact"/>
              <w:rPr>
                <w:rFonts w:ascii="Arabic Typesetting" w:hAnsi="Arabic Typesetting" w:cs="Arabic Typesetting"/>
                <w:b/>
                <w:sz w:val="28"/>
                <w:szCs w:val="28"/>
                <w:lang w:bidi="ar-EG"/>
              </w:rPr>
            </w:pPr>
            <w:r>
              <w:rPr>
                <w:rFonts w:ascii="Arabic Typesetting" w:hAnsi="Arabic Typesetting" w:cs="Arabic Typesetting" w:hint="cs"/>
                <w:b/>
                <w:sz w:val="28"/>
                <w:szCs w:val="28"/>
                <w:rtl/>
              </w:rPr>
              <w:t>لم</w:t>
            </w:r>
            <w:r>
              <w:rPr>
                <w:rFonts w:ascii="Arabic Typesetting" w:hAnsi="Arabic Typesetting" w:cs="Arabic Typesetting" w:hint="eastAsia"/>
                <w:b/>
                <w:sz w:val="28"/>
                <w:szCs w:val="28"/>
                <w:rtl/>
              </w:rPr>
              <w:t> </w:t>
            </w:r>
            <w:r>
              <w:rPr>
                <w:rFonts w:ascii="Arabic Typesetting" w:hAnsi="Arabic Typesetting" w:cs="Arabic Typesetting" w:hint="cs"/>
                <w:b/>
                <w:sz w:val="28"/>
                <w:szCs w:val="28"/>
                <w:rtl/>
              </w:rPr>
              <w:t>يؤثر هذا الخطر تأثيراً مادياً في أداء البرنامج.</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استخدام الموارد</w:t>
      </w:r>
    </w:p>
    <w:p w:rsidR="00B31868" w:rsidRPr="00252762" w:rsidRDefault="00774E37" w:rsidP="00815916">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val="en-CA" w:bidi="ar-LB"/>
        </w:rPr>
        <w:t>الميزانية والنفقات الفعلية (بحسب النتائج)</w:t>
      </w:r>
    </w:p>
    <w:p w:rsidR="003E2ECD" w:rsidRPr="00B31868" w:rsidRDefault="00B31868" w:rsidP="00815916">
      <w:pPr>
        <w:keepNext/>
        <w:bidi/>
        <w:spacing w:after="120" w:line="340" w:lineRule="exact"/>
        <w:jc w:val="center"/>
        <w:rPr>
          <w:rFonts w:ascii="Arabic Typesetting" w:hAnsi="Arabic Typesetting" w:cs="Arabic Typesetting"/>
          <w:sz w:val="34"/>
          <w:szCs w:val="34"/>
          <w:rtl/>
          <w:lang w:bidi="ar-EG"/>
        </w:rPr>
      </w:pPr>
      <w:r w:rsidRPr="00B3186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3E2ECD" w:rsidRPr="00211D55" w:rsidTr="00815916">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3E2ECD" w:rsidRPr="00211D55" w:rsidRDefault="003E2ECD" w:rsidP="00815916">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3E2ECD" w:rsidRPr="00211D55" w:rsidRDefault="003E2ECD" w:rsidP="00815916">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3E2ECD" w:rsidRPr="00211D55" w:rsidRDefault="003E2ECD" w:rsidP="00815916">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3E2ECD" w:rsidRPr="00211D55" w:rsidRDefault="003E2ECD" w:rsidP="00815916">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3E2ECD" w:rsidRPr="00211D55" w:rsidTr="00815916">
        <w:trPr>
          <w:cantSplit/>
          <w:trHeight w:val="490"/>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hideMark/>
          </w:tcPr>
          <w:p w:rsidR="003E2ECD" w:rsidRPr="00211D55" w:rsidRDefault="003E2ECD" w:rsidP="00815916">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ھ1.1</w:t>
            </w:r>
          </w:p>
        </w:tc>
        <w:tc>
          <w:tcPr>
            <w:tcW w:w="2340" w:type="pct"/>
            <w:tcBorders>
              <w:top w:val="nil"/>
              <w:left w:val="nil"/>
              <w:bottom w:val="nil"/>
              <w:right w:val="nil"/>
            </w:tcBorders>
            <w:shd w:val="clear" w:color="auto" w:fill="auto"/>
            <w:tcMar>
              <w:top w:w="15" w:type="dxa"/>
              <w:left w:w="15" w:type="dxa"/>
              <w:bottom w:w="0" w:type="dxa"/>
              <w:right w:w="15" w:type="dxa"/>
            </w:tcMar>
          </w:tcPr>
          <w:p w:rsidR="003E2ECD" w:rsidRPr="00211D55" w:rsidRDefault="000432CA" w:rsidP="00815916">
            <w:pPr>
              <w:keepNext/>
              <w:bidi/>
              <w:rPr>
                <w:rFonts w:ascii="Arabic Typesetting" w:hAnsi="Arabic Typesetting" w:cs="Arabic Typesetting"/>
                <w:sz w:val="28"/>
                <w:szCs w:val="28"/>
              </w:rPr>
            </w:pPr>
            <w:r>
              <w:rPr>
                <w:rFonts w:ascii="Arabic Typesetting" w:hAnsi="Arabic Typesetting" w:cs="Arabic Typesetting"/>
                <w:sz w:val="28"/>
                <w:szCs w:val="28"/>
                <w:rtl/>
              </w:rPr>
              <w:t>تعاون معزز بين الدول الأعضاء في تطوير أطر معيارية دولية متوازنة للملكية الفكرية والاتفاق على محاور محدّدة وعلى صكوك دولية بشأنها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5,725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4,187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3,519</w:t>
            </w:r>
          </w:p>
        </w:tc>
      </w:tr>
      <w:tr w:rsidR="003E2ECD" w:rsidRPr="00211D55" w:rsidTr="00815916">
        <w:trPr>
          <w:cantSplit/>
          <w:trHeight w:val="727"/>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hideMark/>
          </w:tcPr>
          <w:p w:rsidR="003E2ECD" w:rsidRPr="00211D55" w:rsidRDefault="003E2ECD" w:rsidP="00815916">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ھ2.3</w:t>
            </w:r>
          </w:p>
        </w:tc>
        <w:tc>
          <w:tcPr>
            <w:tcW w:w="2340" w:type="pct"/>
            <w:tcBorders>
              <w:top w:val="nil"/>
              <w:left w:val="nil"/>
              <w:bottom w:val="nil"/>
              <w:right w:val="nil"/>
            </w:tcBorders>
            <w:shd w:val="clear" w:color="auto" w:fill="auto"/>
            <w:tcMar>
              <w:top w:w="15" w:type="dxa"/>
              <w:left w:w="15" w:type="dxa"/>
              <w:bottom w:w="0" w:type="dxa"/>
              <w:right w:w="15" w:type="dxa"/>
            </w:tcMar>
          </w:tcPr>
          <w:p w:rsidR="003E2ECD" w:rsidRPr="00211D55" w:rsidRDefault="000432CA" w:rsidP="00815916">
            <w:pPr>
              <w:keepNext/>
              <w:bidi/>
              <w:rPr>
                <w:rFonts w:ascii="Arabic Typesetting" w:hAnsi="Arabic Typesetting" w:cs="Arabic Typesetting"/>
                <w:sz w:val="28"/>
                <w:szCs w:val="28"/>
              </w:rPr>
            </w:pPr>
            <w:r>
              <w:rPr>
                <w:rFonts w:ascii="Arabic Typesetting" w:hAnsi="Arabic Typesetting" w:cs="Arabic Typesetting"/>
                <w:sz w:val="28"/>
                <w:szCs w:val="28"/>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2,139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2,061</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1,788</w:t>
            </w:r>
          </w:p>
        </w:tc>
      </w:tr>
      <w:tr w:rsidR="003E2ECD" w:rsidRPr="00211D55" w:rsidTr="00815916">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tcPr>
          <w:p w:rsidR="003E2ECD" w:rsidRPr="00211D55" w:rsidRDefault="003E2ECD" w:rsidP="00815916">
            <w:pPr>
              <w:keepNext/>
              <w:bidi/>
              <w:rPr>
                <w:rFonts w:ascii="Arabic Typesetting" w:hAnsi="Arabic Typesetting" w:cs="Arabic Typesetting"/>
                <w:sz w:val="28"/>
                <w:szCs w:val="28"/>
                <w:rtl/>
              </w:rPr>
            </w:pPr>
            <w:r w:rsidRPr="00211D55">
              <w:rPr>
                <w:rFonts w:ascii="Arabic Typesetting" w:hAnsi="Arabic Typesetting" w:cs="Arabic Typesetting"/>
                <w:sz w:val="28"/>
                <w:szCs w:val="28"/>
                <w:rtl/>
              </w:rPr>
              <w:t>ھ2.7</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E2ECD" w:rsidRPr="00211D55" w:rsidRDefault="00A0719D" w:rsidP="00815916">
            <w:pPr>
              <w:keepNext/>
              <w:bidi/>
              <w:rPr>
                <w:rFonts w:ascii="Arabic Typesetting" w:hAnsi="Arabic Typesetting" w:cs="Arabic Typesetting"/>
                <w:sz w:val="28"/>
                <w:szCs w:val="28"/>
              </w:rPr>
            </w:pPr>
            <w:r>
              <w:rPr>
                <w:rFonts w:ascii="Arabic Typesetting" w:hAnsi="Arabic Typesetting" w:cs="Arabic Typesetting"/>
                <w:sz w:val="28"/>
                <w:szCs w:val="28"/>
                <w:rtl/>
              </w:rPr>
              <w:t>منصات وأدوات الملكية الفكرية مستخدمة في نقل المعارف وتطويع التكنولوجيا ونشرها من البلدان المتقدمة إلى البلدان النامية، ولا سيما البلدان الأقل نموا، لمواجهة التحديات العالمية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124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E2ECD" w:rsidRPr="00211D55" w:rsidRDefault="003E2ECD" w:rsidP="00815916">
            <w:pPr>
              <w:keepNext/>
              <w:rPr>
                <w:rFonts w:ascii="Arabic Typesetting" w:hAnsi="Arabic Typesetting" w:cs="Arabic Typesetting"/>
                <w:sz w:val="28"/>
                <w:szCs w:val="28"/>
              </w:rPr>
            </w:pPr>
            <w:r w:rsidRPr="00211D55">
              <w:rPr>
                <w:rFonts w:ascii="Arabic Typesetting" w:hAnsi="Arabic Typesetting" w:cs="Arabic Typesetting"/>
                <w:sz w:val="28"/>
                <w:szCs w:val="28"/>
              </w:rPr>
              <w:t>130</w:t>
            </w:r>
          </w:p>
        </w:tc>
      </w:tr>
      <w:tr w:rsidR="003E2ECD" w:rsidRPr="00211D55" w:rsidTr="00815916">
        <w:trPr>
          <w:cantSplit/>
          <w:trHeight w:val="148"/>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3E2ECD" w:rsidRPr="00211D55" w:rsidRDefault="003E2ECD" w:rsidP="00815916">
            <w:pPr>
              <w:keepNext/>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3E2ECD" w:rsidRPr="00211D55" w:rsidRDefault="003E2ECD" w:rsidP="00815916">
            <w:pPr>
              <w:keepNext/>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E2ECD" w:rsidRPr="00211D55" w:rsidRDefault="003E2ECD" w:rsidP="00815916">
            <w:pPr>
              <w:keepNext/>
              <w:rPr>
                <w:rFonts w:ascii="Arabic Typesetting" w:hAnsi="Arabic Typesetting" w:cs="Arabic Typesetting"/>
                <w:b/>
                <w:bCs/>
                <w:sz w:val="28"/>
                <w:szCs w:val="28"/>
              </w:rPr>
            </w:pPr>
            <w:r w:rsidRPr="00211D55">
              <w:rPr>
                <w:rFonts w:ascii="Arabic Typesetting" w:hAnsi="Arabic Typesetting" w:cs="Arabic Typesetting"/>
                <w:b/>
                <w:bCs/>
                <w:sz w:val="28"/>
                <w:szCs w:val="28"/>
              </w:rPr>
              <w:t>7,864</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E2ECD" w:rsidRPr="00211D55" w:rsidRDefault="003E2ECD" w:rsidP="00815916">
            <w:pPr>
              <w:keepNext/>
              <w:rPr>
                <w:rFonts w:ascii="Arabic Typesetting" w:hAnsi="Arabic Typesetting" w:cs="Arabic Typesetting"/>
                <w:b/>
                <w:bCs/>
                <w:sz w:val="28"/>
                <w:szCs w:val="28"/>
              </w:rPr>
            </w:pPr>
            <w:r w:rsidRPr="00211D55">
              <w:rPr>
                <w:rFonts w:ascii="Arabic Typesetting" w:hAnsi="Arabic Typesetting" w:cs="Arabic Typesetting"/>
                <w:b/>
                <w:bCs/>
                <w:sz w:val="28"/>
                <w:szCs w:val="28"/>
              </w:rPr>
              <w:t>6,372</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E2ECD" w:rsidRPr="00211D55" w:rsidRDefault="003E2ECD" w:rsidP="00815916">
            <w:pPr>
              <w:keepNext/>
              <w:rPr>
                <w:rFonts w:ascii="Arabic Typesetting" w:hAnsi="Arabic Typesetting" w:cs="Arabic Typesetting"/>
                <w:b/>
                <w:bCs/>
                <w:sz w:val="28"/>
                <w:szCs w:val="28"/>
              </w:rPr>
            </w:pPr>
            <w:r w:rsidRPr="00211D55">
              <w:rPr>
                <w:rFonts w:ascii="Arabic Typesetting" w:hAnsi="Arabic Typesetting" w:cs="Arabic Typesetting"/>
                <w:b/>
                <w:bCs/>
                <w:sz w:val="28"/>
                <w:szCs w:val="28"/>
              </w:rPr>
              <w:t>5,438</w:t>
            </w:r>
          </w:p>
        </w:tc>
      </w:tr>
    </w:tbl>
    <w:p w:rsidR="00252762" w:rsidRPr="00252762" w:rsidRDefault="00774E37" w:rsidP="00252762">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3E2ECD" w:rsidRPr="00B31868" w:rsidRDefault="00B31868" w:rsidP="00252762">
      <w:pPr>
        <w:keepNext/>
        <w:bidi/>
        <w:spacing w:after="120" w:line="340" w:lineRule="exact"/>
        <w:jc w:val="center"/>
        <w:rPr>
          <w:rFonts w:ascii="Arabic Typesetting" w:hAnsi="Arabic Typesetting" w:cs="Arabic Typesetting"/>
          <w:sz w:val="34"/>
          <w:szCs w:val="34"/>
          <w:rtl/>
          <w:lang w:bidi="ar-EG"/>
        </w:rPr>
      </w:pPr>
      <w:r w:rsidRPr="00B3186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3E2ECD" w:rsidRPr="00211D55" w:rsidTr="0020240E">
        <w:trPr>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3E2ECD" w:rsidRPr="00211D55" w:rsidRDefault="003E2ECD" w:rsidP="00086C3F">
            <w:pPr>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E2ECD" w:rsidRPr="00211D55" w:rsidRDefault="003E2ECD"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E2ECD" w:rsidRPr="00211D55" w:rsidRDefault="003E2ECD"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E2ECD" w:rsidRPr="00211D55" w:rsidRDefault="003E2ECD"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E2ECD" w:rsidRPr="00211D55" w:rsidRDefault="009E57D2" w:rsidP="00086C3F">
            <w:pPr>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3E2ECD" w:rsidRPr="00211D55">
              <w:rPr>
                <w:rFonts w:ascii="Arabic Typesetting" w:hAnsi="Arabic Typesetting" w:cs="Arabic Typesetting"/>
                <w:b/>
                <w:bCs/>
                <w:i/>
                <w:iCs/>
                <w:sz w:val="28"/>
                <w:szCs w:val="28"/>
                <w:rtl/>
              </w:rPr>
              <w:t xml:space="preserve"> (%)</w:t>
            </w:r>
          </w:p>
        </w:tc>
      </w:tr>
      <w:tr w:rsidR="003E2ECD" w:rsidRPr="00211D55" w:rsidTr="0020240E">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3E2ECD" w:rsidRPr="00211D55" w:rsidRDefault="003E2ECD"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4,434</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3,850</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3,657</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95%</w:t>
            </w:r>
          </w:p>
        </w:tc>
      </w:tr>
      <w:tr w:rsidR="003E2ECD" w:rsidRPr="00211D55" w:rsidTr="0020240E">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3E2ECD" w:rsidRPr="00211D55" w:rsidRDefault="003E2ECD"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3,430</w:t>
            </w:r>
          </w:p>
        </w:tc>
        <w:tc>
          <w:tcPr>
            <w:tcW w:w="970" w:type="pct"/>
            <w:tcBorders>
              <w:top w:val="nil"/>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2,521</w:t>
            </w:r>
          </w:p>
        </w:tc>
        <w:tc>
          <w:tcPr>
            <w:tcW w:w="970" w:type="pct"/>
            <w:tcBorders>
              <w:top w:val="nil"/>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1,781</w:t>
            </w:r>
          </w:p>
        </w:tc>
        <w:tc>
          <w:tcPr>
            <w:tcW w:w="970" w:type="pct"/>
            <w:tcBorders>
              <w:top w:val="nil"/>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71%</w:t>
            </w:r>
          </w:p>
        </w:tc>
      </w:tr>
      <w:tr w:rsidR="003E2ECD" w:rsidRPr="00211D55" w:rsidTr="0020240E">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3E2ECD" w:rsidRPr="00211D55" w:rsidRDefault="003E2ECD"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7,864</w:t>
            </w:r>
          </w:p>
        </w:tc>
        <w:tc>
          <w:tcPr>
            <w:tcW w:w="970" w:type="pct"/>
            <w:tcBorders>
              <w:top w:val="nil"/>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6,372</w:t>
            </w:r>
          </w:p>
        </w:tc>
        <w:tc>
          <w:tcPr>
            <w:tcW w:w="970" w:type="pct"/>
            <w:tcBorders>
              <w:top w:val="nil"/>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5,438</w:t>
            </w:r>
          </w:p>
        </w:tc>
        <w:tc>
          <w:tcPr>
            <w:tcW w:w="970" w:type="pct"/>
            <w:tcBorders>
              <w:top w:val="nil"/>
              <w:left w:val="single" w:sz="4" w:space="0" w:color="auto"/>
              <w:bottom w:val="single" w:sz="4" w:space="0" w:color="auto"/>
              <w:right w:val="single" w:sz="4" w:space="0" w:color="auto"/>
            </w:tcBorders>
            <w:shd w:val="clear" w:color="auto" w:fill="auto"/>
            <w:vAlign w:val="center"/>
          </w:tcPr>
          <w:p w:rsidR="003E2ECD" w:rsidRPr="00211D55" w:rsidRDefault="003E2ECD"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85%</w:t>
            </w:r>
          </w:p>
        </w:tc>
      </w:tr>
    </w:tbl>
    <w:p w:rsidR="00B31868" w:rsidRPr="00706F20" w:rsidRDefault="003E2ECD" w:rsidP="00086C3F">
      <w:pPr>
        <w:keepNext/>
        <w:bidi/>
        <w:spacing w:before="240" w:after="120" w:line="340" w:lineRule="exact"/>
        <w:rPr>
          <w:rFonts w:ascii="Arabic Typesetting" w:hAnsi="Arabic Typesetting" w:cs="Arabic Typesetting"/>
          <w:sz w:val="34"/>
          <w:szCs w:val="34"/>
          <w:u w:val="single"/>
          <w:rtl/>
          <w:lang w:bidi="ar-EG"/>
        </w:rPr>
      </w:pPr>
      <w:r w:rsidRPr="00706F20">
        <w:rPr>
          <w:rFonts w:ascii="Arabic Typesetting" w:hAnsi="Arabic Typesetting" w:cs="Arabic Typesetting"/>
          <w:sz w:val="34"/>
          <w:szCs w:val="34"/>
          <w:rtl/>
          <w:lang w:bidi="ar-EG"/>
        </w:rPr>
        <w:t>ألف.</w:t>
      </w:r>
      <w:r w:rsidRPr="00706F20">
        <w:rPr>
          <w:rFonts w:ascii="Arabic Typesetting" w:hAnsi="Arabic Typesetting" w:cs="Arabic Typesetting"/>
          <w:sz w:val="34"/>
          <w:szCs w:val="34"/>
          <w:rtl/>
          <w:lang w:bidi="ar-EG"/>
        </w:rPr>
        <w:tab/>
      </w:r>
      <w:r w:rsidR="00342BCF"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B31868" w:rsidRPr="00B31868" w:rsidRDefault="00FF1820" w:rsidP="009A3712">
      <w:pPr>
        <w:numPr>
          <w:ilvl w:val="0"/>
          <w:numId w:val="5"/>
        </w:numPr>
        <w:bidi/>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يظهر</w:t>
      </w:r>
      <w:r w:rsidR="00B31868" w:rsidRPr="00B31868">
        <w:rPr>
          <w:rFonts w:ascii="Arabic Typesetting" w:hAnsi="Arabic Typesetting" w:cs="Arabic Typesetting" w:hint="cs"/>
          <w:sz w:val="34"/>
          <w:szCs w:val="34"/>
          <w:rtl/>
          <w:lang w:bidi="ar-EG"/>
        </w:rPr>
        <w:t xml:space="preserve"> الانخفاض المسجل في </w:t>
      </w:r>
      <w:r w:rsidR="003E2ECD" w:rsidRPr="003E2ECD">
        <w:rPr>
          <w:rFonts w:ascii="Arabic Typesetting" w:hAnsi="Arabic Typesetting" w:cs="Arabic Typesetting"/>
          <w:sz w:val="34"/>
          <w:szCs w:val="34"/>
          <w:rtl/>
          <w:lang w:bidi="ar-EG"/>
        </w:rPr>
        <w:t>الميزانية النهائية للثنائية</w:t>
      </w:r>
      <w:r w:rsidR="00342BCF" w:rsidRPr="00342BCF">
        <w:rPr>
          <w:rFonts w:ascii="Arabic Typesetting" w:hAnsi="Arabic Typesetting" w:cs="Arabic Typesetting"/>
          <w:sz w:val="34"/>
          <w:szCs w:val="34"/>
          <w:rtl/>
          <w:lang w:bidi="ar-EG"/>
        </w:rPr>
        <w:t xml:space="preserve"> </w:t>
      </w:r>
      <w:r w:rsidR="00342BCF" w:rsidRPr="003E2ECD">
        <w:rPr>
          <w:rFonts w:ascii="Arabic Typesetting" w:hAnsi="Arabic Typesetting" w:cs="Arabic Typesetting"/>
          <w:sz w:val="34"/>
          <w:szCs w:val="34"/>
          <w:rtl/>
          <w:lang w:bidi="ar-EG"/>
        </w:rPr>
        <w:t>بعد التحويلات</w:t>
      </w:r>
      <w:r w:rsidR="003E2ECD" w:rsidRPr="003E2ECD">
        <w:rPr>
          <w:rFonts w:ascii="Arabic Typesetting" w:hAnsi="Arabic Typesetting" w:cs="Arabic Typesetting"/>
          <w:sz w:val="34"/>
          <w:szCs w:val="34"/>
          <w:rtl/>
          <w:lang w:bidi="ar-EG"/>
        </w:rPr>
        <w:t xml:space="preserve"> </w:t>
      </w:r>
      <w:r w:rsidR="00507DE2">
        <w:rPr>
          <w:rFonts w:ascii="Arabic Typesetting" w:hAnsi="Arabic Typesetting" w:cs="Arabic Typesetting"/>
          <w:sz w:val="34"/>
          <w:szCs w:val="34"/>
          <w:rtl/>
          <w:lang w:bidi="ar-EG"/>
        </w:rPr>
        <w:t>2014/15</w:t>
      </w:r>
      <w:r w:rsidR="003E2ECD" w:rsidRPr="003E2ECD">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 xml:space="preserve">في إطار النتيجة المرتقبة </w:t>
      </w:r>
      <w:r w:rsidR="003E2ECD" w:rsidRPr="00B31868">
        <w:rPr>
          <w:rFonts w:ascii="Arabic Typesetting" w:hAnsi="Arabic Typesetting" w:cs="Arabic Typesetting" w:hint="cs"/>
          <w:sz w:val="34"/>
          <w:szCs w:val="34"/>
          <w:rtl/>
          <w:lang w:bidi="ar-EG"/>
        </w:rPr>
        <w:t>ه</w:t>
      </w:r>
      <w:r w:rsidR="00B31868" w:rsidRPr="00B31868">
        <w:rPr>
          <w:rFonts w:ascii="Arabic Typesetting" w:hAnsi="Arabic Typesetting" w:cs="Arabic Typesetting" w:hint="cs"/>
          <w:sz w:val="34"/>
          <w:szCs w:val="34"/>
          <w:rtl/>
          <w:lang w:bidi="ar-EG"/>
        </w:rPr>
        <w:t>1.1 (</w:t>
      </w:r>
      <w:r w:rsidR="00D55B28" w:rsidRPr="00D55B28">
        <w:rPr>
          <w:rFonts w:ascii="Arabic Typesetting" w:hAnsi="Arabic Typesetting" w:cs="Arabic Typesetting"/>
          <w:sz w:val="34"/>
          <w:szCs w:val="34"/>
          <w:rtl/>
          <w:lang w:bidi="ar-EG"/>
        </w:rPr>
        <w:t>أطر تشريعية وتنظيمية وسياسية مناسبة ومتوازنة للملكية الفكرية</w:t>
      </w:r>
      <w:r w:rsidR="00B31868" w:rsidRPr="00B31868">
        <w:rPr>
          <w:rFonts w:ascii="Arabic Typesetting" w:hAnsi="Arabic Typesetting" w:cs="Arabic Typesetting" w:hint="cs"/>
          <w:sz w:val="34"/>
          <w:szCs w:val="34"/>
          <w:rtl/>
          <w:lang w:bidi="ar-EG"/>
        </w:rPr>
        <w:t>) تراجعا فيما يخص الموارد المتوقع تخصيصها أصلا لأغراض مؤتمر دبلوماسي في مجال الملكية الفكرية والموارد الوراثية والمعارف التقليدية والفولكلور.</w:t>
      </w:r>
    </w:p>
    <w:p w:rsidR="00B31868" w:rsidRPr="00B31868" w:rsidRDefault="00B31868" w:rsidP="009A3712">
      <w:pPr>
        <w:numPr>
          <w:ilvl w:val="0"/>
          <w:numId w:val="5"/>
        </w:numPr>
        <w:bidi/>
        <w:spacing w:after="120" w:line="340" w:lineRule="exact"/>
        <w:ind w:left="0" w:firstLine="0"/>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ويشمل البرنامج 4 الموارد المخصّصة لإدارة المعارف التقليدية والتحديات العالمية ذات الصلة بالنتيجة المرتقبة ه2.7.</w:t>
      </w:r>
    </w:p>
    <w:p w:rsidR="00B31868" w:rsidRPr="00706F20" w:rsidRDefault="00B31868" w:rsidP="00086C3F">
      <w:pPr>
        <w:keepNext/>
        <w:bidi/>
        <w:spacing w:after="120" w:line="340" w:lineRule="exact"/>
        <w:rPr>
          <w:rFonts w:ascii="Arabic Typesetting" w:hAnsi="Arabic Typesetting" w:cs="Arabic Typesetting"/>
          <w:sz w:val="34"/>
          <w:szCs w:val="34"/>
          <w:u w:val="single"/>
          <w:rtl/>
          <w:lang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012C70" w:rsidRPr="00012C70" w:rsidRDefault="00A44E49" w:rsidP="009A3712">
      <w:pPr>
        <w:numPr>
          <w:ilvl w:val="0"/>
          <w:numId w:val="5"/>
        </w:numPr>
        <w:bidi/>
        <w:spacing w:after="120" w:line="340" w:lineRule="exact"/>
        <w:ind w:left="0" w:firstLine="0"/>
        <w:rPr>
          <w:rFonts w:ascii="Arabic Typesetting" w:hAnsi="Arabic Typesetting" w:cs="Arabic Typesetting"/>
          <w:sz w:val="34"/>
          <w:szCs w:val="34"/>
          <w:rtl/>
          <w:lang w:bidi="ar-EG"/>
        </w:rPr>
      </w:pPr>
      <w:r w:rsidRPr="00012C70">
        <w:rPr>
          <w:rFonts w:ascii="Arabic Typesetting" w:hAnsi="Arabic Typesetting" w:cs="Arabic Typesetting" w:hint="cs"/>
          <w:sz w:val="34"/>
          <w:szCs w:val="34"/>
          <w:rtl/>
          <w:lang w:bidi="ar-EG"/>
        </w:rPr>
        <w:t xml:space="preserve">بلغت نسبة </w:t>
      </w:r>
      <w:r w:rsidR="00B61F74">
        <w:rPr>
          <w:rFonts w:ascii="Arabic Typesetting" w:hAnsi="Arabic Typesetting" w:cs="Arabic Typesetting" w:hint="cs"/>
          <w:sz w:val="34"/>
          <w:szCs w:val="34"/>
          <w:rtl/>
          <w:lang w:bidi="ar-EG"/>
        </w:rPr>
        <w:t>استخدام</w:t>
      </w:r>
      <w:r w:rsidR="00B61F74" w:rsidRPr="00012C70">
        <w:rPr>
          <w:rFonts w:ascii="Arabic Typesetting" w:hAnsi="Arabic Typesetting" w:cs="Arabic Typesetting" w:hint="cs"/>
          <w:sz w:val="34"/>
          <w:szCs w:val="34"/>
          <w:rtl/>
          <w:lang w:bidi="ar-EG"/>
        </w:rPr>
        <w:t xml:space="preserve"> </w:t>
      </w:r>
      <w:r w:rsidR="00B61F74">
        <w:rPr>
          <w:rFonts w:ascii="Arabic Typesetting" w:hAnsi="Arabic Typesetting" w:cs="Arabic Typesetting" w:hint="cs"/>
          <w:sz w:val="34"/>
          <w:szCs w:val="34"/>
          <w:rtl/>
          <w:lang w:bidi="ar-EG"/>
        </w:rPr>
        <w:t xml:space="preserve">مخصصات </w:t>
      </w:r>
      <w:r w:rsidRPr="00012C70">
        <w:rPr>
          <w:rFonts w:ascii="Arabic Typesetting" w:hAnsi="Arabic Typesetting" w:cs="Arabic Typesetting" w:hint="cs"/>
          <w:sz w:val="34"/>
          <w:szCs w:val="34"/>
          <w:rtl/>
          <w:lang w:bidi="ar-EG"/>
        </w:rPr>
        <w:t>خلاف</w:t>
      </w:r>
      <w:r w:rsidR="00B61F74">
        <w:rPr>
          <w:rFonts w:ascii="Arabic Typesetting" w:hAnsi="Arabic Typesetting" w:cs="Arabic Typesetting" w:hint="cs"/>
          <w:sz w:val="34"/>
          <w:szCs w:val="34"/>
          <w:rtl/>
          <w:lang w:bidi="ar-EG"/>
        </w:rPr>
        <w:t xml:space="preserve"> موارد</w:t>
      </w:r>
      <w:r w:rsidRPr="00012C70">
        <w:rPr>
          <w:rFonts w:ascii="Arabic Typesetting" w:hAnsi="Arabic Typesetting" w:cs="Arabic Typesetting" w:hint="cs"/>
          <w:sz w:val="34"/>
          <w:szCs w:val="34"/>
          <w:rtl/>
          <w:lang w:bidi="ar-EG"/>
        </w:rPr>
        <w:t xml:space="preserve"> الموظفين 67 بالمئة من الميزانية النهائية بعد التحويلات. </w:t>
      </w:r>
      <w:proofErr w:type="spellStart"/>
      <w:r w:rsidRPr="00012C70">
        <w:rPr>
          <w:rFonts w:ascii="Arabic Typesetting" w:hAnsi="Arabic Typesetting" w:cs="Arabic Typesetting" w:hint="cs"/>
          <w:sz w:val="34"/>
          <w:szCs w:val="34"/>
          <w:rtl/>
          <w:lang w:bidi="ar-EG"/>
        </w:rPr>
        <w:t>و</w:t>
      </w:r>
      <w:r w:rsidRPr="00012C70">
        <w:rPr>
          <w:rFonts w:ascii="Arabic Typesetting" w:hAnsi="Arabic Typesetting" w:cs="Arabic Typesetting"/>
          <w:sz w:val="34"/>
          <w:szCs w:val="34"/>
          <w:rtl/>
          <w:lang w:bidi="ar-EG"/>
        </w:rPr>
        <w:t>‏يُعزى</w:t>
      </w:r>
      <w:proofErr w:type="spellEnd"/>
      <w:r w:rsidRPr="00012C70">
        <w:rPr>
          <w:rFonts w:ascii="Arabic Typesetting" w:hAnsi="Arabic Typesetting" w:cs="Arabic Typesetting"/>
          <w:sz w:val="34"/>
          <w:szCs w:val="34"/>
          <w:rtl/>
          <w:lang w:bidi="ar-EG"/>
        </w:rPr>
        <w:t xml:space="preserve"> </w:t>
      </w:r>
      <w:r w:rsidR="0055755E">
        <w:rPr>
          <w:rFonts w:ascii="Arabic Typesetting" w:hAnsi="Arabic Typesetting" w:cs="Arabic Typesetting" w:hint="cs"/>
          <w:sz w:val="34"/>
          <w:szCs w:val="34"/>
          <w:rtl/>
          <w:lang w:bidi="ar-EG"/>
        </w:rPr>
        <w:t xml:space="preserve">تدني </w:t>
      </w:r>
      <w:r w:rsidR="00B61F74">
        <w:rPr>
          <w:rFonts w:ascii="Arabic Typesetting" w:hAnsi="Arabic Typesetting" w:cs="Arabic Typesetting" w:hint="cs"/>
          <w:sz w:val="34"/>
          <w:szCs w:val="34"/>
          <w:rtl/>
          <w:lang w:bidi="ar-EG"/>
        </w:rPr>
        <w:t>استخدام</w:t>
      </w:r>
      <w:r w:rsidR="00B61F74" w:rsidRPr="00012C70">
        <w:rPr>
          <w:rFonts w:ascii="Arabic Typesetting" w:hAnsi="Arabic Typesetting" w:cs="Arabic Typesetting"/>
          <w:sz w:val="34"/>
          <w:szCs w:val="34"/>
          <w:rtl/>
          <w:lang w:bidi="ar-EG"/>
        </w:rPr>
        <w:t xml:space="preserve"> </w:t>
      </w:r>
      <w:r w:rsidR="0055755E">
        <w:rPr>
          <w:rFonts w:ascii="Arabic Typesetting" w:hAnsi="Arabic Typesetting" w:cs="Arabic Typesetting" w:hint="cs"/>
          <w:sz w:val="34"/>
          <w:szCs w:val="34"/>
          <w:rtl/>
          <w:lang w:bidi="ar-EG"/>
        </w:rPr>
        <w:t xml:space="preserve">مخصصات </w:t>
      </w:r>
      <w:r w:rsidR="009F5F08">
        <w:rPr>
          <w:rFonts w:ascii="Arabic Typesetting" w:hAnsi="Arabic Typesetting" w:cs="Arabic Typesetting"/>
          <w:sz w:val="34"/>
          <w:szCs w:val="34"/>
          <w:rtl/>
          <w:lang w:bidi="ar-EG"/>
        </w:rPr>
        <w:t>خلاف موارد الموظفين</w:t>
      </w:r>
      <w:r w:rsidRPr="00012C70">
        <w:rPr>
          <w:rFonts w:ascii="Arabic Typesetting" w:hAnsi="Arabic Typesetting" w:cs="Arabic Typesetting"/>
          <w:sz w:val="34"/>
          <w:szCs w:val="34"/>
          <w:rtl/>
          <w:lang w:bidi="ar-EG"/>
        </w:rPr>
        <w:t xml:space="preserve"> أساسا إلى</w:t>
      </w:r>
      <w:r w:rsidRPr="00012C70">
        <w:rPr>
          <w:rFonts w:ascii="Arabic Typesetting" w:hAnsi="Arabic Typesetting" w:cs="Arabic Typesetting" w:hint="cs"/>
          <w:sz w:val="34"/>
          <w:szCs w:val="34"/>
          <w:rtl/>
          <w:lang w:bidi="ar-EG"/>
        </w:rPr>
        <w:t xml:space="preserve"> عدم توصل الجمعية العامة للويبو في أكتوبر 2014 إلى اتفاق على برنامج عمل اللجنة الحكومية الدولية في عام 2015 ما أدى إلى عدم عقد أي دورة لهذه اللجنة خلال عام 2015. ونظراً إلى أن اللجنة الحكومية الدولية تستأثر بجزء كبير من ميزانية البرنامج، فقد استخدم البرنامج جزءاً من ميزانية اللجنة الحكومية الدولية لتعزيز أنشطة تكوين الكفاءات وتقديم المساعدات التقنية في عام 2015.</w:t>
      </w:r>
    </w:p>
    <w:p w:rsidR="00B31868" w:rsidRDefault="00B31868" w:rsidP="00086C3F">
      <w:pPr>
        <w:pStyle w:val="Heading2AR"/>
        <w:rPr>
          <w:rtl/>
        </w:rPr>
      </w:pPr>
      <w:bookmarkStart w:id="29" w:name="_Toc450635403"/>
      <w:bookmarkStart w:id="30" w:name="_Toc455393368"/>
      <w:r w:rsidRPr="00A44E49">
        <w:rPr>
          <w:rFonts w:hint="cs"/>
          <w:rtl/>
        </w:rPr>
        <w:lastRenderedPageBreak/>
        <w:t>الهدف الاستراتيجي الثاني</w:t>
      </w:r>
      <w:bookmarkEnd w:id="29"/>
      <w:bookmarkEnd w:id="30"/>
    </w:p>
    <w:p w:rsidR="00050F38" w:rsidRDefault="00050F38" w:rsidP="00050F38">
      <w:pPr>
        <w:pStyle w:val="NormalParaAR"/>
        <w:jc w:val="center"/>
        <w:rPr>
          <w:b/>
          <w:bCs/>
          <w:rtl/>
        </w:rPr>
      </w:pPr>
      <w:r w:rsidRPr="0076344A">
        <w:rPr>
          <w:b/>
          <w:bCs/>
          <w:rtl/>
        </w:rPr>
        <w:t>تقديم خدمات عالمية في مجال الملكية الفكرية من الطراز الأول</w:t>
      </w:r>
    </w:p>
    <w:p w:rsidR="00050F38" w:rsidRPr="002C1F06" w:rsidRDefault="00050F38" w:rsidP="00050F38">
      <w:pPr>
        <w:keepNext/>
        <w:tabs>
          <w:tab w:val="left" w:pos="1132"/>
        </w:tabs>
        <w:bidi/>
        <w:spacing w:after="240" w:line="360" w:lineRule="exact"/>
        <w:jc w:val="center"/>
        <w:rPr>
          <w:rFonts w:ascii="Arabic Typesetting" w:hAnsi="Arabic Typesetting" w:cs="Arabic Typesetting"/>
          <w:b/>
          <w:bCs/>
          <w:sz w:val="36"/>
          <w:szCs w:val="36"/>
          <w:rtl/>
        </w:rPr>
      </w:pPr>
      <w:r w:rsidRPr="002C1F06">
        <w:rPr>
          <w:rFonts w:ascii="Arabic Typesetting" w:hAnsi="Arabic Typesetting" w:cs="Arabic Typesetting" w:hint="cs"/>
          <w:b/>
          <w:bCs/>
          <w:sz w:val="36"/>
          <w:szCs w:val="36"/>
          <w:rtl/>
        </w:rPr>
        <w:t>لوحة بيانات أداء الفترة الثنائية</w:t>
      </w:r>
    </w:p>
    <w:p w:rsidR="00050F38" w:rsidRDefault="00050F38" w:rsidP="00050F38">
      <w:pPr>
        <w:tabs>
          <w:tab w:val="left" w:pos="1132"/>
        </w:tabs>
        <w:bidi/>
        <w:spacing w:after="120" w:line="340" w:lineRule="exact"/>
        <w:rPr>
          <w:rFonts w:ascii="Arabic Typesetting" w:hAnsi="Arabic Typesetting" w:cs="Arabic Typesetting"/>
          <w:sz w:val="34"/>
          <w:szCs w:val="34"/>
          <w:rtl/>
        </w:rPr>
      </w:pPr>
      <w:r w:rsidRPr="00BC57BC">
        <w:rPr>
          <w:rFonts w:ascii="Arabic Typesetting" w:hAnsi="Arabic Typesetting" w:cs="Arabic Typesetting" w:hint="cs"/>
          <w:sz w:val="34"/>
          <w:szCs w:val="34"/>
          <w:rtl/>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6F53B7" w:rsidRPr="00BC57BC" w:rsidRDefault="006F53B7" w:rsidP="006F53B7">
      <w:pPr>
        <w:tabs>
          <w:tab w:val="left" w:pos="1132"/>
        </w:tabs>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417EBF62">
            <wp:extent cx="5713172" cy="2852238"/>
            <wp:effectExtent l="0" t="0" r="1905" b="571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15389" cy="2853345"/>
                    </a:xfrm>
                    <a:prstGeom prst="rect">
                      <a:avLst/>
                    </a:prstGeom>
                    <a:noFill/>
                  </pic:spPr>
                </pic:pic>
              </a:graphicData>
            </a:graphic>
          </wp:inline>
        </w:drawing>
      </w:r>
    </w:p>
    <w:tbl>
      <w:tblP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546"/>
        <w:gridCol w:w="3409"/>
        <w:gridCol w:w="1600"/>
        <w:gridCol w:w="1016"/>
      </w:tblGrid>
      <w:tr w:rsidR="00050F38" w:rsidRPr="00FE3908" w:rsidTr="00050F38">
        <w:trPr>
          <w:cantSplit/>
          <w:tblHeader/>
        </w:trPr>
        <w:tc>
          <w:tcPr>
            <w:tcW w:w="1852" w:type="pct"/>
            <w:tcBorders>
              <w:top w:val="single" w:sz="4" w:space="0" w:color="auto"/>
              <w:bottom w:val="single" w:sz="4" w:space="0" w:color="auto"/>
            </w:tcBorders>
            <w:shd w:val="clear" w:color="auto" w:fill="C6D9F1" w:themeFill="text2" w:themeFillTint="33"/>
            <w:vAlign w:val="center"/>
          </w:tcPr>
          <w:p w:rsidR="00050F38" w:rsidRPr="00FE3908" w:rsidRDefault="00050F38"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النتائج المرتقبة</w:t>
            </w:r>
          </w:p>
        </w:tc>
        <w:tc>
          <w:tcPr>
            <w:tcW w:w="1781" w:type="pct"/>
            <w:tcBorders>
              <w:top w:val="single" w:sz="4" w:space="0" w:color="auto"/>
              <w:bottom w:val="single" w:sz="4" w:space="0" w:color="auto"/>
            </w:tcBorders>
            <w:shd w:val="clear" w:color="auto" w:fill="C6D9F1" w:themeFill="text2" w:themeFillTint="33"/>
            <w:vAlign w:val="center"/>
          </w:tcPr>
          <w:p w:rsidR="00050F38" w:rsidRPr="00FE3908" w:rsidRDefault="00050F38"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836" w:type="pct"/>
            <w:tcBorders>
              <w:top w:val="single" w:sz="4" w:space="0" w:color="auto"/>
              <w:bottom w:val="single" w:sz="4" w:space="0" w:color="auto"/>
            </w:tcBorders>
            <w:shd w:val="clear" w:color="auto" w:fill="C6D9F1" w:themeFill="text2" w:themeFillTint="33"/>
            <w:vAlign w:val="center"/>
          </w:tcPr>
          <w:p w:rsidR="00050F38" w:rsidRPr="00FE3908" w:rsidRDefault="00050F38" w:rsidP="00486CE1">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531" w:type="pct"/>
            <w:tcBorders>
              <w:top w:val="single" w:sz="4" w:space="0" w:color="auto"/>
              <w:bottom w:val="single" w:sz="4" w:space="0" w:color="auto"/>
            </w:tcBorders>
            <w:shd w:val="clear" w:color="auto" w:fill="C6D9F1" w:themeFill="text2" w:themeFillTint="33"/>
            <w:vAlign w:val="center"/>
          </w:tcPr>
          <w:p w:rsidR="00050F38" w:rsidRPr="00FE3908" w:rsidRDefault="00050F38"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050F38" w:rsidRPr="00FE3908" w:rsidTr="00050F38">
        <w:trPr>
          <w:cantSplit/>
        </w:trPr>
        <w:tc>
          <w:tcPr>
            <w:tcW w:w="1852" w:type="pct"/>
            <w:vMerge w:val="restart"/>
            <w:tcBorders>
              <w:top w:val="single" w:sz="4" w:space="0" w:color="auto"/>
            </w:tcBorders>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E16A6D">
              <w:rPr>
                <w:rFonts w:ascii="Arabic Typesetting" w:hAnsi="Arabic Typesetting" w:cs="Arabic Typesetting"/>
                <w:color w:val="000000"/>
                <w:sz w:val="30"/>
                <w:szCs w:val="30"/>
                <w:rtl/>
                <w:lang w:bidi="ar-EG"/>
              </w:rPr>
              <w:t xml:space="preserve">ھ1.2 </w:t>
            </w:r>
            <w:r w:rsidRPr="00C20CF6">
              <w:rPr>
                <w:rFonts w:ascii="Arabic Typesetting" w:hAnsi="Arabic Typesetting" w:cs="Arabic Typesetting"/>
                <w:color w:val="000000"/>
                <w:sz w:val="30"/>
                <w:szCs w:val="30"/>
                <w:rtl/>
                <w:lang w:bidi="ar-EG"/>
              </w:rPr>
              <w:t>انتفاع متزايد بنظام معاهدة التعاون بشأن البراءات كسبيل للإيداع الدولي لطلبات البراءات</w:t>
            </w:r>
          </w:p>
        </w:tc>
        <w:tc>
          <w:tcPr>
            <w:tcW w:w="1781" w:type="pct"/>
            <w:tcBorders>
              <w:top w:val="single" w:sz="4" w:space="0" w:color="auto"/>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rtl/>
                <w:lang w:bidi="ar-EG"/>
              </w:rPr>
            </w:pPr>
            <w:r w:rsidRPr="00E16A6D">
              <w:rPr>
                <w:rFonts w:ascii="Arabic Typesetting" w:hAnsi="Arabic Typesetting" w:cs="Arabic Typesetting"/>
                <w:b/>
                <w:color w:val="000000"/>
                <w:sz w:val="30"/>
                <w:szCs w:val="30"/>
                <w:rtl/>
              </w:rPr>
              <w:t>مستوى رضا المنتفعين بمعاهدة التعاون بشأن البراءات عن خدمات المعلومات والتدريب التي تركز على المنتفعين</w:t>
            </w:r>
          </w:p>
        </w:tc>
        <w:tc>
          <w:tcPr>
            <w:tcW w:w="836" w:type="pct"/>
            <w:tcBorders>
              <w:top w:val="single" w:sz="4" w:space="0" w:color="auto"/>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5</w:t>
            </w:r>
          </w:p>
        </w:tc>
        <w:tc>
          <w:tcPr>
            <w:tcW w:w="531" w:type="pct"/>
            <w:tcBorders>
              <w:top w:val="single" w:sz="4" w:space="0" w:color="auto"/>
            </w:tcBorders>
            <w:shd w:val="clear" w:color="auto" w:fill="auto"/>
            <w:vAlign w:val="center"/>
          </w:tcPr>
          <w:p w:rsidR="00050F38" w:rsidRPr="004B0BC7" w:rsidRDefault="00050F38" w:rsidP="00486CE1">
            <w:pPr>
              <w:bidi/>
              <w:spacing w:before="60" w:after="60" w:line="280" w:lineRule="exact"/>
              <w:jc w:val="center"/>
              <w:rPr>
                <w:rFonts w:ascii="Wingdings" w:hAnsi="Wingdings" w:cs="Calibri"/>
                <w:color w:val="0070C0"/>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vMerge/>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E16A6D">
              <w:rPr>
                <w:rFonts w:ascii="Arabic Typesetting" w:hAnsi="Arabic Typesetting" w:cs="Arabic Typesetting"/>
                <w:color w:val="000000"/>
                <w:sz w:val="30"/>
                <w:szCs w:val="30"/>
                <w:rtl/>
              </w:rPr>
              <w:t>رضا المكاتب والسلطات الدولية عن الأنشطة التعاونية لمعاهدة التعاون بشأن البراءات</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5</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0070C0"/>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vMerge/>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9817A6" w:rsidRDefault="00050F38" w:rsidP="00486CE1">
            <w:pPr>
              <w:bidi/>
              <w:spacing w:before="60" w:after="60" w:line="280" w:lineRule="exact"/>
              <w:rPr>
                <w:rFonts w:ascii="Arabic Typesetting" w:hAnsi="Arabic Typesetting" w:cs="Arabic Typesetting"/>
                <w:sz w:val="30"/>
                <w:szCs w:val="30"/>
                <w:lang w:bidi="ar-EG"/>
              </w:rPr>
            </w:pPr>
            <w:r w:rsidRPr="00E16A6D">
              <w:rPr>
                <w:rFonts w:ascii="Arabic Typesetting" w:hAnsi="Arabic Typesetting" w:cs="Arabic Typesetting"/>
                <w:b/>
                <w:sz w:val="30"/>
                <w:szCs w:val="30"/>
                <w:rtl/>
              </w:rPr>
              <w:t>عدد الطلبات المودعة بناء على معاهدة التعاون بشأن البراءات والصادرة من البلدان المنتقلة إلى نظام الاقتصاد الحر والبلدان المتقدمة</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008000"/>
                <w:szCs w:val="22"/>
                <w:lang w:bidi="ar-EG"/>
              </w:rPr>
            </w:pPr>
            <w:r w:rsidRPr="004B0BC7">
              <w:rPr>
                <w:rFonts w:ascii="Wingdings" w:hAnsi="Wingdings" w:cs="Calibri"/>
                <w:color w:val="008000"/>
                <w:szCs w:val="22"/>
                <w:lang w:bidi="ar-EG"/>
              </w:rPr>
              <w:t></w:t>
            </w:r>
          </w:p>
        </w:tc>
      </w:tr>
      <w:tr w:rsidR="00050F38" w:rsidRPr="00FE3908" w:rsidTr="00050F38">
        <w:trPr>
          <w:cantSplit/>
          <w:trHeight w:val="1036"/>
        </w:trPr>
        <w:tc>
          <w:tcPr>
            <w:tcW w:w="1852" w:type="pct"/>
            <w:vMerge/>
            <w:tcBorders>
              <w:bottom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bottom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E16A6D">
              <w:rPr>
                <w:rFonts w:ascii="Arabic Typesetting" w:hAnsi="Arabic Typesetting" w:cs="Arabic Typesetting"/>
                <w:color w:val="000000"/>
                <w:sz w:val="30"/>
                <w:szCs w:val="30"/>
                <w:rtl/>
                <w:lang w:bidi="ar-EG"/>
              </w:rPr>
              <w:t>النسبة المئوية للإيداعات بناء على معاهدة التعاون بشأن البراءات</w:t>
            </w:r>
          </w:p>
        </w:tc>
        <w:tc>
          <w:tcPr>
            <w:tcW w:w="836" w:type="pct"/>
            <w:tcBorders>
              <w:bottom w:val="nil"/>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31" w:type="pct"/>
            <w:tcBorders>
              <w:bottom w:val="nil"/>
            </w:tcBorders>
            <w:shd w:val="clear" w:color="auto" w:fill="auto"/>
            <w:vAlign w:val="center"/>
          </w:tcPr>
          <w:p w:rsidR="00050F38" w:rsidRPr="004B0BC7" w:rsidRDefault="00050F38" w:rsidP="00486CE1">
            <w:pPr>
              <w:bidi/>
              <w:spacing w:before="60" w:after="60" w:line="280" w:lineRule="exact"/>
              <w:jc w:val="center"/>
              <w:rPr>
                <w:rFonts w:ascii="Wingdings" w:hAnsi="Wingdings" w:cs="Calibri"/>
                <w:color w:val="008000"/>
                <w:szCs w:val="22"/>
                <w:lang w:bidi="ar-EG"/>
              </w:rPr>
            </w:pPr>
            <w:r w:rsidRPr="004B0BC7">
              <w:rPr>
                <w:rFonts w:ascii="Wingdings" w:hAnsi="Wingdings" w:cs="Calibri"/>
                <w:color w:val="008000"/>
                <w:szCs w:val="22"/>
                <w:lang w:bidi="ar-EG"/>
              </w:rPr>
              <w:t></w:t>
            </w:r>
            <w:r w:rsidRPr="004B0BC7">
              <w:rPr>
                <w:rFonts w:ascii="Wingdings" w:hAnsi="Wingdings" w:cs="Calibri"/>
                <w:color w:val="FF0000"/>
                <w:szCs w:val="22"/>
                <w:lang w:bidi="ar-EG"/>
              </w:rPr>
              <w:t></w:t>
            </w:r>
            <w:r w:rsidRPr="004B0BC7">
              <w:rPr>
                <w:rFonts w:ascii="Wingdings" w:hAnsi="Wingdings" w:cs="Calibri"/>
                <w:color w:val="FF0000"/>
                <w:szCs w:val="22"/>
                <w:lang w:bidi="ar-EG"/>
              </w:rPr>
              <w:t></w:t>
            </w:r>
          </w:p>
        </w:tc>
      </w:tr>
      <w:tr w:rsidR="00050F38" w:rsidRPr="00FE3908" w:rsidTr="00050F38">
        <w:trPr>
          <w:cantSplit/>
          <w:trHeight w:val="1036"/>
        </w:trPr>
        <w:tc>
          <w:tcPr>
            <w:tcW w:w="1852" w:type="pct"/>
            <w:tcBorders>
              <w:top w:val="nil"/>
              <w:bottom w:val="single" w:sz="4" w:space="0" w:color="auto"/>
            </w:tcBorders>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bottom w:val="single" w:sz="4" w:space="0" w:color="auto"/>
            </w:tcBorders>
            <w:shd w:val="clear" w:color="auto" w:fill="auto"/>
          </w:tcPr>
          <w:p w:rsidR="00050F38" w:rsidRPr="00E06DDA" w:rsidRDefault="00050F38" w:rsidP="00486CE1">
            <w:pPr>
              <w:bidi/>
              <w:spacing w:before="60" w:after="60" w:line="280" w:lineRule="exact"/>
              <w:rPr>
                <w:rFonts w:ascii="Arabic Typesetting" w:hAnsi="Arabic Typesetting" w:cs="Arabic Typesetting"/>
                <w:b/>
                <w:color w:val="000000"/>
                <w:sz w:val="30"/>
                <w:szCs w:val="30"/>
                <w:rtl/>
                <w:lang w:bidi="ar-EG"/>
              </w:rPr>
            </w:pPr>
            <w:r w:rsidRPr="00E16A6D">
              <w:rPr>
                <w:rFonts w:ascii="Arabic Typesetting" w:hAnsi="Arabic Typesetting" w:cs="Arabic Typesetting"/>
                <w:b/>
                <w:color w:val="000000"/>
                <w:sz w:val="30"/>
                <w:szCs w:val="30"/>
                <w:rtl/>
                <w:lang w:bidi="ar-EG"/>
              </w:rPr>
              <w:t>النسبة المئوية لواضعي السياسات والمسؤولين الحكوميين والعاملين في مجال الملكية الفكرية والمشاركين في حلقات العمل المستهدفة ممن لديهم فهم معمّق لمعاهدة التعاون بشأن البراءات وما يتعلق بها من موضوعات</w:t>
            </w:r>
          </w:p>
        </w:tc>
        <w:tc>
          <w:tcPr>
            <w:tcW w:w="836" w:type="pct"/>
            <w:tcBorders>
              <w:top w:val="nil"/>
              <w:bottom w:val="single" w:sz="4" w:space="0" w:color="auto"/>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31" w:type="pct"/>
            <w:tcBorders>
              <w:top w:val="nil"/>
              <w:bottom w:val="single" w:sz="4" w:space="0" w:color="auto"/>
            </w:tcBorders>
            <w:shd w:val="clear" w:color="auto" w:fill="auto"/>
            <w:vAlign w:val="center"/>
          </w:tcPr>
          <w:p w:rsidR="00050F38" w:rsidRPr="004B0BC7" w:rsidRDefault="00050F38" w:rsidP="00486CE1">
            <w:pPr>
              <w:bidi/>
              <w:spacing w:before="60" w:after="60" w:line="280" w:lineRule="exact"/>
              <w:jc w:val="center"/>
              <w:rPr>
                <w:rFonts w:ascii="Wingdings" w:hAnsi="Wingdings" w:cs="Calibri"/>
                <w:color w:val="008000"/>
                <w:szCs w:val="22"/>
                <w:lang w:bidi="ar-EG"/>
              </w:rPr>
            </w:pPr>
            <w:r w:rsidRPr="004B0BC7">
              <w:rPr>
                <w:rFonts w:ascii="Wingdings" w:hAnsi="Wingdings" w:cs="Calibri"/>
                <w:color w:val="008000"/>
                <w:szCs w:val="22"/>
                <w:lang w:bidi="ar-EG"/>
              </w:rPr>
              <w:t></w:t>
            </w:r>
            <w:r w:rsidRPr="004B0BC7">
              <w:rPr>
                <w:rFonts w:ascii="Wingdings" w:hAnsi="Wingdings" w:cs="Calibri"/>
                <w:color w:val="008000"/>
                <w:szCs w:val="22"/>
                <w:lang w:bidi="ar-EG"/>
              </w:rPr>
              <w:t></w:t>
            </w:r>
            <w:r w:rsidRPr="004B0BC7">
              <w:rPr>
                <w:rFonts w:ascii="Wingdings" w:hAnsi="Wingdings" w:cs="Calibri"/>
                <w:color w:val="008000"/>
                <w:szCs w:val="22"/>
                <w:lang w:bidi="ar-EG"/>
              </w:rPr>
              <w:t></w:t>
            </w:r>
          </w:p>
        </w:tc>
      </w:tr>
      <w:tr w:rsidR="00050F38" w:rsidRPr="00FE3908" w:rsidTr="00050F38">
        <w:trPr>
          <w:cantSplit/>
        </w:trPr>
        <w:tc>
          <w:tcPr>
            <w:tcW w:w="1852" w:type="pct"/>
            <w:tcBorders>
              <w:top w:val="single" w:sz="4" w:space="0" w:color="auto"/>
              <w:bottom w:val="nil"/>
            </w:tcBorders>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222320">
              <w:rPr>
                <w:rFonts w:ascii="Arabic Typesetting" w:hAnsi="Arabic Typesetting" w:cs="Arabic Typesetting"/>
                <w:b/>
                <w:color w:val="000000"/>
                <w:sz w:val="30"/>
                <w:szCs w:val="30"/>
                <w:rtl/>
                <w:lang w:bidi="ar-EG"/>
              </w:rPr>
              <w:lastRenderedPageBreak/>
              <w:t xml:space="preserve">ھ2.2 </w:t>
            </w:r>
            <w:r w:rsidRPr="00C20CF6">
              <w:rPr>
                <w:rFonts w:ascii="Arabic Typesetting" w:hAnsi="Arabic Typesetting" w:cs="Arabic Typesetting"/>
                <w:b/>
                <w:color w:val="000000"/>
                <w:sz w:val="30"/>
                <w:szCs w:val="30"/>
                <w:rtl/>
                <w:lang w:bidi="ar-EG"/>
              </w:rPr>
              <w:t>تحسين نظام معاهدة التعاون بشأن البراءات</w:t>
            </w:r>
          </w:p>
        </w:tc>
        <w:tc>
          <w:tcPr>
            <w:tcW w:w="1781" w:type="pct"/>
            <w:tcBorders>
              <w:top w:val="single" w:sz="4" w:space="0" w:color="auto"/>
              <w:bottom w:val="nil"/>
            </w:tcBorders>
            <w:shd w:val="clear" w:color="auto" w:fill="auto"/>
          </w:tcPr>
          <w:p w:rsidR="00050F38" w:rsidRPr="009817A6" w:rsidRDefault="00050F38" w:rsidP="00486CE1">
            <w:pPr>
              <w:bidi/>
              <w:spacing w:before="60" w:after="60" w:line="280" w:lineRule="exact"/>
              <w:rPr>
                <w:rFonts w:ascii="Arabic Typesetting" w:hAnsi="Arabic Typesetting" w:cs="Arabic Typesetting"/>
                <w:sz w:val="30"/>
                <w:szCs w:val="30"/>
                <w:lang w:bidi="ar-EG"/>
              </w:rPr>
            </w:pPr>
            <w:r w:rsidRPr="00222320">
              <w:rPr>
                <w:rFonts w:ascii="Arabic Typesetting" w:hAnsi="Arabic Typesetting" w:cs="Arabic Typesetting"/>
                <w:sz w:val="30"/>
                <w:szCs w:val="30"/>
                <w:rtl/>
              </w:rPr>
              <w:t>مواصلة تطوير نظام معاهدة التعاون بشأن البراءات، ولا سيما تنفيذ توصيات خارطة طريق معاهدة التعاون بشأن البراءات التي أقرتها الدول الأعضاء في معاهدة التعاون بشأن البراءات</w:t>
            </w:r>
          </w:p>
        </w:tc>
        <w:tc>
          <w:tcPr>
            <w:tcW w:w="836" w:type="pct"/>
            <w:tcBorders>
              <w:top w:val="single" w:sz="4" w:space="0" w:color="auto"/>
              <w:bottom w:val="nil"/>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5</w:t>
            </w:r>
          </w:p>
        </w:tc>
        <w:tc>
          <w:tcPr>
            <w:tcW w:w="531" w:type="pct"/>
            <w:tcBorders>
              <w:top w:val="single" w:sz="4" w:space="0" w:color="auto"/>
              <w:bottom w:val="nil"/>
            </w:tcBorders>
            <w:shd w:val="clear" w:color="auto" w:fill="auto"/>
            <w:vAlign w:val="center"/>
          </w:tcPr>
          <w:p w:rsidR="00050F38" w:rsidRPr="004B0BC7" w:rsidRDefault="00050F38" w:rsidP="00486CE1">
            <w:pPr>
              <w:bidi/>
              <w:spacing w:before="60" w:after="60" w:line="280" w:lineRule="exact"/>
              <w:jc w:val="center"/>
              <w:rPr>
                <w:rFonts w:ascii="Wingdings" w:hAnsi="Wingdings" w:cs="Calibri"/>
                <w:color w:val="008000"/>
                <w:szCs w:val="22"/>
                <w:rtl/>
                <w:lang w:bidi="ar-EG"/>
              </w:rPr>
            </w:pPr>
            <w:r w:rsidRPr="004B0BC7">
              <w:rPr>
                <w:rFonts w:ascii="Wingdings" w:hAnsi="Wingdings" w:cs="Calibri"/>
                <w:color w:val="008000"/>
                <w:szCs w:val="22"/>
                <w:lang w:bidi="ar-EG"/>
              </w:rPr>
              <w:t></w:t>
            </w:r>
          </w:p>
        </w:tc>
      </w:tr>
      <w:tr w:rsidR="00050F38" w:rsidRPr="00FE3908" w:rsidTr="00050F38">
        <w:trPr>
          <w:cantSplit/>
        </w:trPr>
        <w:tc>
          <w:tcPr>
            <w:tcW w:w="1852" w:type="pct"/>
            <w:tcBorders>
              <w:top w:val="nil"/>
              <w:bottom w:val="nil"/>
            </w:tcBorders>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bottom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222320">
              <w:rPr>
                <w:rFonts w:ascii="Arabic Typesetting" w:hAnsi="Arabic Typesetting" w:cs="Arabic Typesetting"/>
                <w:color w:val="000000"/>
                <w:sz w:val="30"/>
                <w:szCs w:val="30"/>
                <w:rtl/>
              </w:rPr>
              <w:t>تحسن الخدمات الإلكترونية المقدمة للمودعين، وللغير، وللمكاتب، وللسلطات</w:t>
            </w:r>
          </w:p>
        </w:tc>
        <w:tc>
          <w:tcPr>
            <w:tcW w:w="836" w:type="pct"/>
            <w:tcBorders>
              <w:top w:val="nil"/>
              <w:bottom w:val="nil"/>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5</w:t>
            </w:r>
          </w:p>
        </w:tc>
        <w:tc>
          <w:tcPr>
            <w:tcW w:w="531" w:type="pct"/>
            <w:tcBorders>
              <w:top w:val="nil"/>
              <w:bottom w:val="nil"/>
            </w:tcBorders>
            <w:shd w:val="clear" w:color="auto" w:fill="auto"/>
            <w:vAlign w:val="center"/>
          </w:tcPr>
          <w:p w:rsidR="00050F38" w:rsidRPr="004B0BC7" w:rsidRDefault="00050F38" w:rsidP="00486CE1">
            <w:pPr>
              <w:bidi/>
              <w:spacing w:before="60" w:after="60" w:line="280" w:lineRule="exact"/>
              <w:jc w:val="center"/>
              <w:rPr>
                <w:rFonts w:ascii="Wingdings" w:hAnsi="Wingdings" w:cs="Calibri"/>
                <w:color w:val="008000"/>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vMerge w:val="restart"/>
            <w:tcBorders>
              <w:top w:val="nil"/>
              <w:bottom w:val="nil"/>
            </w:tcBorders>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222320">
              <w:rPr>
                <w:rFonts w:ascii="Arabic Typesetting" w:hAnsi="Arabic Typesetting" w:cs="Arabic Typesetting"/>
                <w:b/>
                <w:color w:val="000000"/>
                <w:sz w:val="30"/>
                <w:szCs w:val="30"/>
                <w:rtl/>
                <w:lang w:bidi="ar-EG"/>
              </w:rPr>
              <w:t xml:space="preserve">ه3.2 </w:t>
            </w:r>
            <w:r w:rsidRPr="00C20CF6">
              <w:rPr>
                <w:rFonts w:ascii="Arabic Typesetting" w:hAnsi="Arabic Typesetting" w:cs="Arabic Typesetting"/>
                <w:b/>
                <w:color w:val="000000"/>
                <w:sz w:val="30"/>
                <w:szCs w:val="30"/>
                <w:rtl/>
                <w:lang w:bidi="ar-EG"/>
              </w:rPr>
              <w:t>تحسين الإنتاجية وجودة الخدمات في عمليات معاهدة التعاون بشأن البراءات</w:t>
            </w:r>
          </w:p>
        </w:tc>
        <w:tc>
          <w:tcPr>
            <w:tcW w:w="1781" w:type="pct"/>
            <w:tcBorders>
              <w:top w:val="nil"/>
              <w:bottom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FD3497">
              <w:rPr>
                <w:rFonts w:ascii="Arabic Typesetting" w:hAnsi="Arabic Typesetting" w:cs="Arabic Typesetting"/>
                <w:color w:val="000000"/>
                <w:sz w:val="30"/>
                <w:szCs w:val="30"/>
                <w:rtl/>
              </w:rPr>
              <w:t>تكلفة وحدة معالجة الطلبات</w:t>
            </w:r>
          </w:p>
        </w:tc>
        <w:tc>
          <w:tcPr>
            <w:tcW w:w="836" w:type="pct"/>
            <w:tcBorders>
              <w:top w:val="nil"/>
            </w:tcBorders>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5</w:t>
            </w:r>
          </w:p>
        </w:tc>
        <w:tc>
          <w:tcPr>
            <w:tcW w:w="531" w:type="pct"/>
            <w:tcBorders>
              <w:top w:val="nil"/>
            </w:tcBorders>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r w:rsidRPr="00CF21E2">
              <w:rPr>
                <w:rFonts w:ascii="Wingdings" w:hAnsi="Wingdings" w:cs="Calibri"/>
                <w:color w:val="FF0000"/>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vMerge/>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FD3497">
              <w:rPr>
                <w:rFonts w:ascii="Arabic Typesetting" w:hAnsi="Arabic Typesetting" w:cs="Arabic Typesetting"/>
                <w:color w:val="000000"/>
                <w:sz w:val="30"/>
                <w:szCs w:val="30"/>
                <w:rtl/>
              </w:rPr>
              <w:t>الجودة الإجمالية لفحص الإجراءات الشكلية (بما في ذلك الجداول الزمنية)</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5</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tcBorders>
            <w:shd w:val="clear" w:color="auto" w:fill="auto"/>
            <w:vAlign w:val="center"/>
          </w:tcPr>
          <w:p w:rsidR="00050F38" w:rsidRPr="00012439" w:rsidRDefault="00050F38" w:rsidP="00486CE1">
            <w:pPr>
              <w:bidi/>
              <w:spacing w:before="60" w:after="60" w:line="280" w:lineRule="exact"/>
              <w:rPr>
                <w:rFonts w:ascii="Arabic Typesetting" w:hAnsi="Arabic Typesetting" w:cs="Arabic Typesetting"/>
                <w:b/>
                <w:color w:val="000000"/>
                <w:sz w:val="30"/>
                <w:szCs w:val="30"/>
                <w:rtl/>
                <w:lang w:bidi="ar-EG"/>
              </w:rPr>
            </w:pPr>
            <w:r w:rsidRPr="00FD3497">
              <w:rPr>
                <w:rFonts w:ascii="Arabic Typesetting" w:hAnsi="Arabic Typesetting" w:cs="Arabic Typesetting"/>
                <w:b/>
                <w:color w:val="000000"/>
                <w:sz w:val="30"/>
                <w:szCs w:val="30"/>
                <w:rtl/>
              </w:rPr>
              <w:t>جودة الترجمة</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5</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tcBorders>
            <w:shd w:val="clear" w:color="auto" w:fill="auto"/>
            <w:vAlign w:val="center"/>
          </w:tcPr>
          <w:p w:rsidR="00050F38" w:rsidRPr="00FD3497" w:rsidRDefault="00050F38" w:rsidP="00486CE1">
            <w:pPr>
              <w:bidi/>
              <w:spacing w:before="60" w:after="60" w:line="280" w:lineRule="exact"/>
              <w:rPr>
                <w:rFonts w:ascii="Arabic Typesetting" w:hAnsi="Arabic Typesetting" w:cs="Arabic Typesetting"/>
                <w:b/>
                <w:color w:val="000000"/>
                <w:sz w:val="30"/>
                <w:szCs w:val="30"/>
                <w:rtl/>
              </w:rPr>
            </w:pPr>
            <w:r w:rsidRPr="00FD3497">
              <w:rPr>
                <w:rFonts w:ascii="Arabic Typesetting" w:hAnsi="Arabic Typesetting" w:cs="Arabic Typesetting"/>
                <w:b/>
                <w:color w:val="000000"/>
                <w:sz w:val="30"/>
                <w:szCs w:val="30"/>
                <w:rtl/>
              </w:rPr>
              <w:t>توقيت ترجمة التقارير</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5</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tcBorders>
            <w:shd w:val="clear" w:color="auto" w:fill="auto"/>
            <w:vAlign w:val="center"/>
          </w:tcPr>
          <w:p w:rsidR="00050F38" w:rsidRPr="00FD3497" w:rsidRDefault="00050F38" w:rsidP="00486CE1">
            <w:pPr>
              <w:bidi/>
              <w:spacing w:before="60" w:after="60" w:line="280" w:lineRule="exact"/>
              <w:rPr>
                <w:rFonts w:ascii="Arabic Typesetting" w:hAnsi="Arabic Typesetting" w:cs="Arabic Typesetting"/>
                <w:b/>
                <w:color w:val="000000"/>
                <w:sz w:val="30"/>
                <w:szCs w:val="30"/>
                <w:rtl/>
              </w:rPr>
            </w:pPr>
            <w:r w:rsidRPr="00FD3497">
              <w:rPr>
                <w:rFonts w:ascii="Arabic Typesetting" w:hAnsi="Arabic Typesetting" w:cs="Arabic Typesetting"/>
                <w:b/>
                <w:color w:val="000000"/>
                <w:sz w:val="30"/>
                <w:szCs w:val="30"/>
                <w:rtl/>
              </w:rPr>
              <w:t>جودة تطوير البرمجيات</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5</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tcBorders>
              <w:top w:val="nil"/>
            </w:tcBorders>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tcBorders>
              <w:top w:val="nil"/>
            </w:tcBorders>
            <w:shd w:val="clear" w:color="auto" w:fill="auto"/>
            <w:vAlign w:val="center"/>
          </w:tcPr>
          <w:p w:rsidR="00050F38" w:rsidRPr="00FD3497" w:rsidRDefault="00050F38" w:rsidP="00486CE1">
            <w:pPr>
              <w:bidi/>
              <w:spacing w:before="60" w:after="60" w:line="280" w:lineRule="exact"/>
              <w:rPr>
                <w:rFonts w:ascii="Arabic Typesetting" w:hAnsi="Arabic Typesetting" w:cs="Arabic Typesetting"/>
                <w:b/>
                <w:color w:val="000000"/>
                <w:sz w:val="30"/>
                <w:szCs w:val="30"/>
                <w:rtl/>
              </w:rPr>
            </w:pPr>
            <w:r w:rsidRPr="00FD3497">
              <w:rPr>
                <w:rFonts w:ascii="Arabic Typesetting" w:hAnsi="Arabic Typesetting" w:cs="Arabic Typesetting"/>
                <w:b/>
                <w:color w:val="000000"/>
                <w:sz w:val="30"/>
                <w:szCs w:val="30"/>
                <w:rtl/>
              </w:rPr>
              <w:t>مستويات خدمات أنظمة المعلومات</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5</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FD3497">
              <w:rPr>
                <w:rFonts w:ascii="Arabic Typesetting" w:hAnsi="Arabic Typesetting" w:cs="Arabic Typesetting"/>
                <w:b/>
                <w:color w:val="000000"/>
                <w:sz w:val="30"/>
                <w:szCs w:val="30"/>
                <w:rtl/>
                <w:lang w:bidi="ar-EG"/>
              </w:rPr>
              <w:t xml:space="preserve">ه4.2 </w:t>
            </w:r>
            <w:r w:rsidR="000E3DA7">
              <w:rPr>
                <w:rFonts w:ascii="Arabic Typesetting" w:hAnsi="Arabic Typesetting" w:cs="Arabic Typesetting"/>
                <w:b/>
                <w:color w:val="000000"/>
                <w:sz w:val="30"/>
                <w:szCs w:val="30"/>
                <w:rtl/>
                <w:lang w:bidi="ar-EG"/>
              </w:rPr>
              <w:t>الانتفاع بنظام لاهاي على نطاق أوسع ونحو أفضل، بما في ذلك من جهة البلدان النامية والبلدان الأقل نموا</w:t>
            </w: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FD3497">
              <w:rPr>
                <w:rFonts w:ascii="Arabic Typesetting" w:hAnsi="Arabic Typesetting" w:cs="Arabic Typesetting"/>
                <w:color w:val="000000"/>
                <w:sz w:val="30"/>
                <w:szCs w:val="30"/>
                <w:rtl/>
                <w:lang w:bidi="ar-EG"/>
              </w:rPr>
              <w:t>عدد الطلبات المودعة بناء على نظام لاهاي والصادرة من البلدان المنتقلة إلى نظام الاقتصاد الحر والبلدان المتقدمة</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FD3497">
              <w:rPr>
                <w:rFonts w:ascii="Arabic Typesetting" w:hAnsi="Arabic Typesetting" w:cs="Arabic Typesetting"/>
                <w:color w:val="000000"/>
                <w:sz w:val="30"/>
                <w:szCs w:val="30"/>
                <w:rtl/>
                <w:lang w:bidi="ar-EG"/>
              </w:rPr>
              <w:t>عدد البلدان التي صاغت السياسات التي تحدد انضمامها إلى اتفاق لاهاي أو شاركت في هذه السياسات أو كلا الأمرين معاً</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8A2B1D" w:rsidRDefault="00050F38" w:rsidP="00486CE1">
            <w:pPr>
              <w:bidi/>
              <w:spacing w:before="60" w:after="60" w:line="280" w:lineRule="exact"/>
              <w:rPr>
                <w:rFonts w:ascii="Arabic Typesetting" w:hAnsi="Arabic Typesetting" w:cs="Arabic Typesetting"/>
                <w:b/>
                <w:color w:val="000000"/>
                <w:sz w:val="30"/>
                <w:szCs w:val="30"/>
                <w:rtl/>
                <w:lang w:bidi="ar-EG"/>
              </w:rPr>
            </w:pPr>
            <w:r w:rsidRPr="00467271">
              <w:rPr>
                <w:rFonts w:ascii="Arabic Typesetting" w:hAnsi="Arabic Typesetting" w:cs="Arabic Typesetting"/>
                <w:b/>
                <w:color w:val="000000"/>
                <w:sz w:val="30"/>
                <w:szCs w:val="30"/>
                <w:rtl/>
                <w:lang w:bidi="ar-EG"/>
              </w:rPr>
              <w:t>النسبة المئوية لواضعي السياسات والمسؤولين الحكوميين والعاملين في مجال الملكية الفكرية والمشاركين في حلقات العمل المستهدفة ممن لديهم فهم معمّق لنظام لاهاي</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467271">
              <w:rPr>
                <w:rFonts w:ascii="Arabic Typesetting" w:hAnsi="Arabic Typesetting" w:cs="Arabic Typesetting"/>
                <w:color w:val="000000"/>
                <w:sz w:val="30"/>
                <w:szCs w:val="30"/>
                <w:rtl/>
                <w:lang w:bidi="ar-EG"/>
              </w:rPr>
              <w:t xml:space="preserve">عدد الأطراف المتعاقدة في </w:t>
            </w:r>
            <w:r w:rsidRPr="00467271">
              <w:rPr>
                <w:rFonts w:ascii="Arabic Typesetting" w:hAnsi="Arabic Typesetting" w:cs="Arabic Typesetting" w:hint="cs"/>
                <w:color w:val="000000"/>
                <w:sz w:val="30"/>
                <w:szCs w:val="30"/>
                <w:rtl/>
                <w:lang w:bidi="ar-EG"/>
              </w:rPr>
              <w:t>نظام</w:t>
            </w:r>
            <w:r w:rsidRPr="00467271">
              <w:rPr>
                <w:rFonts w:ascii="Arabic Typesetting" w:hAnsi="Arabic Typesetting" w:cs="Arabic Typesetting"/>
                <w:color w:val="000000"/>
                <w:sz w:val="30"/>
                <w:szCs w:val="30"/>
                <w:rtl/>
                <w:lang w:bidi="ar-EG"/>
              </w:rPr>
              <w:t xml:space="preserve"> لاهاي في منطقة آسيا والمحيط الهادئ</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FF0000"/>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E35319">
              <w:rPr>
                <w:rFonts w:ascii="Arabic Typesetting" w:hAnsi="Arabic Typesetting" w:cs="Arabic Typesetting"/>
                <w:b/>
                <w:color w:val="000000"/>
                <w:sz w:val="30"/>
                <w:szCs w:val="30"/>
                <w:rtl/>
              </w:rPr>
              <w:t>عضوية وثيقة جنيف (1999)</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31</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F13EA7">
              <w:rPr>
                <w:rFonts w:ascii="Wingdings" w:hAnsi="Wingdings" w:cs="Calibri"/>
                <w:color w:val="E36C0A" w:themeColor="accent6" w:themeShade="BF"/>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8A2B1D" w:rsidRDefault="00050F38" w:rsidP="00486CE1">
            <w:pPr>
              <w:bidi/>
              <w:spacing w:before="60" w:after="60" w:line="280" w:lineRule="exact"/>
              <w:rPr>
                <w:rFonts w:ascii="Arabic Typesetting" w:hAnsi="Arabic Typesetting" w:cs="Arabic Typesetting"/>
                <w:b/>
                <w:color w:val="000000"/>
                <w:sz w:val="30"/>
                <w:szCs w:val="30"/>
                <w:rtl/>
                <w:lang w:bidi="ar-EG"/>
              </w:rPr>
            </w:pPr>
            <w:r w:rsidRPr="00E35319">
              <w:rPr>
                <w:rFonts w:ascii="Arabic Typesetting" w:hAnsi="Arabic Typesetting" w:cs="Arabic Typesetting"/>
                <w:b/>
                <w:color w:val="000000"/>
                <w:sz w:val="30"/>
                <w:szCs w:val="30"/>
                <w:rtl/>
              </w:rPr>
              <w:t>حصة المكاتب المعنية التي تقدم معلومات عن نظام لاهاي</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31</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E35319">
              <w:rPr>
                <w:rFonts w:ascii="Arabic Typesetting" w:hAnsi="Arabic Typesetting" w:cs="Arabic Typesetting"/>
                <w:color w:val="000000"/>
                <w:sz w:val="30"/>
                <w:szCs w:val="30"/>
                <w:rtl/>
              </w:rPr>
              <w:t>إيداعات نظام لاهاي وتجديداته</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31</w:t>
            </w:r>
          </w:p>
        </w:tc>
        <w:tc>
          <w:tcPr>
            <w:tcW w:w="531" w:type="pct"/>
            <w:shd w:val="clear" w:color="auto" w:fill="auto"/>
            <w:vAlign w:val="center"/>
          </w:tcPr>
          <w:p w:rsidR="00050F38" w:rsidRDefault="00050F38" w:rsidP="00486CE1">
            <w:pPr>
              <w:bidi/>
              <w:spacing w:before="60" w:after="60" w:line="280" w:lineRule="exact"/>
              <w:jc w:val="center"/>
              <w:rPr>
                <w:rFonts w:ascii="Wingdings" w:hAnsi="Wingdings" w:cs="Calibri"/>
                <w:color w:val="FF0000"/>
                <w:szCs w:val="22"/>
                <w:rtl/>
                <w:lang w:bidi="ar-EG"/>
              </w:rPr>
            </w:pPr>
            <w:r w:rsidRPr="00F13EA7">
              <w:rPr>
                <w:rFonts w:ascii="Wingdings" w:hAnsi="Wingdings" w:cs="Calibri"/>
                <w:color w:val="E36C0A" w:themeColor="accent6" w:themeShade="BF"/>
                <w:szCs w:val="22"/>
                <w:lang w:bidi="ar-EG"/>
              </w:rPr>
              <w:t></w:t>
            </w:r>
            <w:r w:rsidRPr="004B0BC7">
              <w:rPr>
                <w:rFonts w:ascii="Wingdings" w:hAnsi="Wingdings" w:cs="Calibri"/>
                <w:color w:val="FF0000"/>
                <w:szCs w:val="22"/>
                <w:lang w:bidi="ar-EG"/>
              </w:rPr>
              <w:t></w:t>
            </w:r>
            <w:r w:rsidRPr="004B0BC7">
              <w:rPr>
                <w:rFonts w:ascii="Wingdings" w:hAnsi="Wingdings" w:cs="Calibri"/>
                <w:color w:val="FF0000"/>
                <w:szCs w:val="22"/>
                <w:lang w:bidi="ar-EG"/>
              </w:rPr>
              <w:t></w:t>
            </w:r>
          </w:p>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10862C"/>
                <w:szCs w:val="22"/>
                <w:lang w:bidi="ar-EG"/>
              </w:rPr>
              <w:t></w:t>
            </w:r>
            <w:r w:rsidRPr="004B0BC7">
              <w:rPr>
                <w:rFonts w:ascii="Wingdings" w:hAnsi="Wingdings" w:cs="Calibri"/>
                <w:color w:val="FF0000"/>
                <w:szCs w:val="22"/>
                <w:lang w:bidi="ar-EG"/>
              </w:rPr>
              <w:t></w:t>
            </w:r>
            <w:r w:rsidRPr="004B0BC7">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r w:rsidRPr="00E35319">
              <w:rPr>
                <w:rFonts w:ascii="Arabic Typesetting" w:hAnsi="Arabic Typesetting" w:cs="Arabic Typesetting"/>
                <w:color w:val="000000"/>
                <w:sz w:val="30"/>
                <w:szCs w:val="30"/>
                <w:rtl/>
              </w:rPr>
              <w:t xml:space="preserve">ھ5.2 </w:t>
            </w:r>
            <w:r w:rsidRPr="00C20CF6">
              <w:rPr>
                <w:rFonts w:ascii="Arabic Typesetting" w:hAnsi="Arabic Typesetting" w:cs="Arabic Typesetting"/>
                <w:color w:val="000000"/>
                <w:sz w:val="30"/>
                <w:szCs w:val="30"/>
                <w:rtl/>
              </w:rPr>
              <w:t>تحسين الإنتاجية وجودة الخدمات في عمليات نظام لاهاي</w:t>
            </w:r>
          </w:p>
        </w:tc>
        <w:tc>
          <w:tcPr>
            <w:tcW w:w="1781" w:type="pct"/>
            <w:shd w:val="clear" w:color="auto" w:fill="auto"/>
            <w:vAlign w:val="center"/>
          </w:tcPr>
          <w:p w:rsidR="00050F38" w:rsidRPr="00E35319" w:rsidRDefault="00050F38" w:rsidP="00486CE1">
            <w:pPr>
              <w:bidi/>
              <w:spacing w:before="60" w:after="60" w:line="280" w:lineRule="exact"/>
              <w:rPr>
                <w:rFonts w:ascii="Arabic Typesetting" w:hAnsi="Arabic Typesetting" w:cs="Arabic Typesetting"/>
                <w:color w:val="000000"/>
                <w:sz w:val="30"/>
                <w:szCs w:val="30"/>
                <w:rtl/>
              </w:rPr>
            </w:pPr>
            <w:r w:rsidRPr="00E35319">
              <w:rPr>
                <w:rFonts w:ascii="Arabic Typesetting" w:hAnsi="Arabic Typesetting" w:cs="Arabic Typesetting"/>
                <w:color w:val="000000"/>
                <w:sz w:val="30"/>
                <w:szCs w:val="30"/>
                <w:rtl/>
              </w:rPr>
              <w:t>هيمنة وثيقة جنيف (1999) في نظام لاهاي</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31</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24626B" w:rsidRDefault="00050F38" w:rsidP="00486CE1">
            <w:pPr>
              <w:bidi/>
              <w:spacing w:before="60" w:after="60" w:line="280" w:lineRule="exact"/>
              <w:rPr>
                <w:rFonts w:ascii="Arabic Typesetting" w:hAnsi="Arabic Typesetting" w:cs="Arabic Typesetting"/>
                <w:b/>
                <w:color w:val="000000"/>
                <w:sz w:val="30"/>
                <w:szCs w:val="30"/>
                <w:rtl/>
                <w:lang w:bidi="ar-EG"/>
              </w:rPr>
            </w:pPr>
            <w:r w:rsidRPr="00E35319">
              <w:rPr>
                <w:rFonts w:ascii="Arabic Typesetting" w:hAnsi="Arabic Typesetting" w:cs="Arabic Typesetting"/>
                <w:b/>
                <w:color w:val="000000"/>
                <w:sz w:val="30"/>
                <w:szCs w:val="30"/>
                <w:rtl/>
              </w:rPr>
              <w:t>التقدم المحرز نحو تعزيز الإطار القانوني</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31</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24626B" w:rsidRDefault="00050F38" w:rsidP="00486CE1">
            <w:pPr>
              <w:bidi/>
              <w:spacing w:before="60" w:after="60" w:line="280" w:lineRule="exact"/>
              <w:rPr>
                <w:rFonts w:ascii="Arabic Typesetting" w:hAnsi="Arabic Typesetting" w:cs="Arabic Typesetting"/>
                <w:b/>
                <w:color w:val="000000"/>
                <w:sz w:val="30"/>
                <w:szCs w:val="30"/>
                <w:rtl/>
                <w:lang w:bidi="ar-EG"/>
              </w:rPr>
            </w:pPr>
            <w:r w:rsidRPr="00E35319">
              <w:rPr>
                <w:rFonts w:ascii="Arabic Typesetting" w:hAnsi="Arabic Typesetting" w:cs="Arabic Typesetting"/>
                <w:b/>
                <w:color w:val="000000"/>
                <w:sz w:val="30"/>
                <w:szCs w:val="30"/>
                <w:rtl/>
              </w:rPr>
              <w:t>مرونة البيانات المُسجَّلة في السجل الدولي</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31</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486CE1">
            <w:pPr>
              <w:bidi/>
              <w:spacing w:before="60" w:after="60" w:line="280" w:lineRule="exact"/>
              <w:rPr>
                <w:rFonts w:ascii="Arabic Typesetting" w:hAnsi="Arabic Typesetting" w:cs="Arabic Typesetting"/>
                <w:color w:val="000000"/>
                <w:sz w:val="30"/>
                <w:szCs w:val="30"/>
                <w:lang w:bidi="ar-EG"/>
              </w:rPr>
            </w:pPr>
          </w:p>
        </w:tc>
        <w:tc>
          <w:tcPr>
            <w:tcW w:w="1781" w:type="pct"/>
            <w:shd w:val="clear" w:color="auto" w:fill="auto"/>
            <w:vAlign w:val="center"/>
          </w:tcPr>
          <w:p w:rsidR="00050F38" w:rsidRPr="0024626B" w:rsidRDefault="00050F38" w:rsidP="00486CE1">
            <w:pPr>
              <w:bidi/>
              <w:spacing w:before="60" w:after="60" w:line="280" w:lineRule="exact"/>
              <w:rPr>
                <w:rFonts w:ascii="Arabic Typesetting" w:hAnsi="Arabic Typesetting" w:cs="Arabic Typesetting"/>
                <w:b/>
                <w:color w:val="000000"/>
                <w:sz w:val="30"/>
                <w:szCs w:val="30"/>
                <w:rtl/>
              </w:rPr>
            </w:pPr>
            <w:r w:rsidRPr="00E35319">
              <w:rPr>
                <w:rFonts w:ascii="Arabic Typesetting" w:hAnsi="Arabic Typesetting" w:cs="Arabic Typesetting"/>
                <w:b/>
                <w:color w:val="000000"/>
                <w:sz w:val="30"/>
                <w:szCs w:val="30"/>
                <w:rtl/>
              </w:rPr>
              <w:t>عدد الإجراءات المؤتمتة</w:t>
            </w:r>
          </w:p>
        </w:tc>
        <w:tc>
          <w:tcPr>
            <w:tcW w:w="836" w:type="pct"/>
            <w:shd w:val="clear" w:color="auto" w:fill="auto"/>
            <w:vAlign w:val="center"/>
          </w:tcPr>
          <w:p w:rsidR="00050F38" w:rsidRPr="00FE390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31</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FE3908" w:rsidRDefault="00050F38" w:rsidP="006F53B7">
            <w:pPr>
              <w:keepNext/>
              <w:bidi/>
              <w:spacing w:before="60" w:after="60" w:line="280" w:lineRule="exact"/>
              <w:rPr>
                <w:rFonts w:ascii="Arabic Typesetting" w:hAnsi="Arabic Typesetting" w:cs="Arabic Typesetting"/>
                <w:color w:val="000000"/>
                <w:sz w:val="30"/>
                <w:szCs w:val="30"/>
                <w:lang w:bidi="ar-EG"/>
              </w:rPr>
            </w:pPr>
            <w:r w:rsidRPr="00E35319">
              <w:rPr>
                <w:rFonts w:ascii="Arabic Typesetting" w:hAnsi="Arabic Typesetting" w:cs="Arabic Typesetting" w:hint="cs"/>
                <w:color w:val="000000"/>
                <w:sz w:val="30"/>
                <w:szCs w:val="30"/>
                <w:rtl/>
                <w:lang w:bidi="ar-EG"/>
              </w:rPr>
              <w:lastRenderedPageBreak/>
              <w:t xml:space="preserve">ه6.2 </w:t>
            </w:r>
            <w:r w:rsidRPr="00C20CF6">
              <w:rPr>
                <w:rFonts w:ascii="Arabic Typesetting" w:hAnsi="Arabic Typesetting" w:cs="Arabic Typesetting"/>
                <w:color w:val="000000"/>
                <w:sz w:val="30"/>
                <w:szCs w:val="30"/>
                <w:rtl/>
                <w:lang w:bidi="ar-EG"/>
              </w:rPr>
              <w:t>الانتفاع بنظامي مدريد ولشبونة على نطاق أوسع ونحو أفضل، بما في ذلك من جهة البلدان الأقل نموا</w:t>
            </w:r>
          </w:p>
        </w:tc>
        <w:tc>
          <w:tcPr>
            <w:tcW w:w="1781" w:type="pct"/>
            <w:shd w:val="clear" w:color="auto" w:fill="auto"/>
            <w:vAlign w:val="center"/>
          </w:tcPr>
          <w:p w:rsidR="00050F38" w:rsidRPr="006D6E09" w:rsidRDefault="00050F38" w:rsidP="006F53B7">
            <w:pPr>
              <w:keepNext/>
              <w:bidi/>
              <w:spacing w:before="60" w:after="60" w:line="280" w:lineRule="exact"/>
              <w:rPr>
                <w:rFonts w:ascii="Arabic Typesetting" w:hAnsi="Arabic Typesetting" w:cs="Arabic Typesetting"/>
                <w:b/>
                <w:color w:val="000000"/>
                <w:sz w:val="30"/>
                <w:szCs w:val="30"/>
                <w:rtl/>
                <w:lang w:bidi="ar-EG"/>
              </w:rPr>
            </w:pPr>
            <w:r w:rsidRPr="00DC1275">
              <w:rPr>
                <w:rFonts w:ascii="Arabic Typesetting" w:hAnsi="Arabic Typesetting" w:cs="Arabic Typesetting"/>
                <w:b/>
                <w:color w:val="000000"/>
                <w:sz w:val="30"/>
                <w:szCs w:val="30"/>
                <w:rtl/>
              </w:rPr>
              <w:t>توسع التغطية الجغرافية (مدريد)</w:t>
            </w:r>
          </w:p>
        </w:tc>
        <w:tc>
          <w:tcPr>
            <w:tcW w:w="836" w:type="pct"/>
            <w:shd w:val="clear" w:color="auto" w:fill="auto"/>
            <w:vAlign w:val="center"/>
          </w:tcPr>
          <w:p w:rsidR="00050F38" w:rsidRPr="00FE3908" w:rsidRDefault="00050F38" w:rsidP="006F53B7">
            <w:pPr>
              <w:keepNext/>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6F53B7">
            <w:pPr>
              <w:keepNext/>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6F53B7">
            <w:pPr>
              <w:keepNext/>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6D6E09" w:rsidRDefault="00050F38" w:rsidP="006F53B7">
            <w:pPr>
              <w:keepNext/>
              <w:bidi/>
              <w:spacing w:before="60" w:after="60" w:line="280" w:lineRule="exact"/>
              <w:rPr>
                <w:rFonts w:ascii="Arabic Typesetting" w:hAnsi="Arabic Typesetting" w:cs="Arabic Typesetting"/>
                <w:b/>
                <w:color w:val="000000"/>
                <w:sz w:val="30"/>
                <w:szCs w:val="30"/>
                <w:rtl/>
                <w:lang w:bidi="ar-EG"/>
              </w:rPr>
            </w:pPr>
            <w:r w:rsidRPr="00DC1275">
              <w:rPr>
                <w:rFonts w:ascii="Arabic Typesetting" w:hAnsi="Arabic Typesetting" w:cs="Arabic Typesetting"/>
                <w:b/>
                <w:color w:val="000000"/>
                <w:sz w:val="30"/>
                <w:szCs w:val="30"/>
                <w:rtl/>
              </w:rPr>
              <w:t>توسع التغطية الجغرافية (لشبونة)</w:t>
            </w:r>
          </w:p>
        </w:tc>
        <w:tc>
          <w:tcPr>
            <w:tcW w:w="836" w:type="pct"/>
            <w:shd w:val="clear" w:color="auto" w:fill="auto"/>
            <w:vAlign w:val="center"/>
          </w:tcPr>
          <w:p w:rsidR="00050F38" w:rsidRDefault="00050F38" w:rsidP="006F53B7">
            <w:pPr>
              <w:keepNext/>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6F53B7">
            <w:pPr>
              <w:keepNext/>
              <w:bidi/>
              <w:spacing w:before="60" w:after="60" w:line="280" w:lineRule="exact"/>
              <w:jc w:val="center"/>
              <w:rPr>
                <w:rFonts w:ascii="Wingdings" w:hAnsi="Wingdings" w:cs="Calibri"/>
                <w:color w:val="FF0000"/>
                <w:szCs w:val="22"/>
                <w:lang w:bidi="ar-EG"/>
              </w:rPr>
            </w:pPr>
            <w:r w:rsidRPr="004B0BC7">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DC1275" w:rsidRDefault="00050F38" w:rsidP="00486CE1">
            <w:pPr>
              <w:bidi/>
              <w:spacing w:before="60" w:after="60" w:line="280" w:lineRule="exact"/>
              <w:rPr>
                <w:rFonts w:ascii="Arabic Typesetting" w:hAnsi="Arabic Typesetting" w:cs="Arabic Typesetting"/>
                <w:b/>
                <w:color w:val="000000"/>
                <w:sz w:val="30"/>
                <w:szCs w:val="30"/>
                <w:rtl/>
              </w:rPr>
            </w:pPr>
            <w:r w:rsidRPr="00DC1275">
              <w:rPr>
                <w:rFonts w:ascii="Arabic Typesetting" w:hAnsi="Arabic Typesetting" w:cs="Arabic Typesetting"/>
                <w:b/>
                <w:color w:val="000000"/>
                <w:sz w:val="30"/>
                <w:szCs w:val="30"/>
                <w:rtl/>
              </w:rPr>
              <w:t>اعتماد أحكام لترشيد الإطار القانوني لنظام لشبونة أو تحديثه</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DC1275" w:rsidRDefault="00050F38" w:rsidP="00486CE1">
            <w:pPr>
              <w:bidi/>
              <w:spacing w:before="60" w:after="60" w:line="280" w:lineRule="exact"/>
              <w:rPr>
                <w:rFonts w:ascii="Arabic Typesetting" w:hAnsi="Arabic Typesetting" w:cs="Arabic Typesetting"/>
                <w:b/>
                <w:color w:val="000000"/>
                <w:sz w:val="30"/>
                <w:szCs w:val="30"/>
                <w:rtl/>
              </w:rPr>
            </w:pPr>
            <w:r w:rsidRPr="00DC1275">
              <w:rPr>
                <w:rFonts w:ascii="Arabic Typesetting" w:hAnsi="Arabic Typesetting" w:cs="Arabic Typesetting"/>
                <w:b/>
                <w:color w:val="000000"/>
                <w:sz w:val="30"/>
                <w:szCs w:val="30"/>
                <w:rtl/>
              </w:rPr>
              <w:t>عدد الطلبات الدولية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DC1275" w:rsidRDefault="00050F38" w:rsidP="00486CE1">
            <w:pPr>
              <w:bidi/>
              <w:spacing w:before="60" w:after="60" w:line="280" w:lineRule="exact"/>
              <w:rPr>
                <w:rFonts w:ascii="Arabic Typesetting" w:hAnsi="Arabic Typesetting" w:cs="Arabic Typesetting"/>
                <w:b/>
                <w:color w:val="000000"/>
                <w:sz w:val="30"/>
                <w:szCs w:val="30"/>
                <w:rtl/>
              </w:rPr>
            </w:pPr>
            <w:r w:rsidRPr="00DC1275">
              <w:rPr>
                <w:rFonts w:ascii="Arabic Typesetting" w:hAnsi="Arabic Typesetting" w:cs="Arabic Typesetting"/>
                <w:b/>
                <w:color w:val="000000"/>
                <w:sz w:val="30"/>
                <w:szCs w:val="30"/>
                <w:rtl/>
              </w:rPr>
              <w:t>حصة المكاتب المعنية التي تقدم معلومات مُحدَّثة عن نظام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szCs w:val="22"/>
                <w:lang w:bidi="ar-EG"/>
              </w:rPr>
            </w:pPr>
            <w:r w:rsidRPr="004B0BC7">
              <w:rPr>
                <w:rFonts w:ascii="Wingdings" w:hAnsi="Wingdings" w:cs="Calibri"/>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DC1275" w:rsidRDefault="00050F38" w:rsidP="00486CE1">
            <w:pPr>
              <w:bidi/>
              <w:spacing w:before="60" w:after="60" w:line="280" w:lineRule="exact"/>
              <w:rPr>
                <w:rFonts w:ascii="Arabic Typesetting" w:hAnsi="Arabic Typesetting" w:cs="Arabic Typesetting"/>
                <w:b/>
                <w:color w:val="000000"/>
                <w:sz w:val="30"/>
                <w:szCs w:val="30"/>
                <w:rtl/>
              </w:rPr>
            </w:pPr>
            <w:r w:rsidRPr="00C10FED">
              <w:rPr>
                <w:rFonts w:ascii="Arabic Typesetting" w:hAnsi="Arabic Typesetting" w:cs="Arabic Typesetting"/>
                <w:b/>
                <w:color w:val="000000"/>
                <w:sz w:val="30"/>
                <w:szCs w:val="30"/>
                <w:rtl/>
              </w:rPr>
              <w:t>النسبة المئوية للمشاركين في أحداث نظام لشبونة الذين يعبرون عن رضاهم ويبلغون عن تعزز وعيهم بعد حضور الحدث</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C10FED" w:rsidRDefault="00050F38" w:rsidP="00486CE1">
            <w:pPr>
              <w:bidi/>
              <w:spacing w:before="60" w:after="60" w:line="280" w:lineRule="exact"/>
              <w:rPr>
                <w:rFonts w:ascii="Arabic Typesetting" w:hAnsi="Arabic Typesetting" w:cs="Arabic Typesetting"/>
                <w:b/>
                <w:color w:val="000000"/>
                <w:sz w:val="30"/>
                <w:szCs w:val="30"/>
                <w:rtl/>
              </w:rPr>
            </w:pPr>
            <w:r w:rsidRPr="00C10FED">
              <w:rPr>
                <w:rFonts w:ascii="Arabic Typesetting" w:hAnsi="Arabic Typesetting" w:cs="Arabic Typesetting"/>
                <w:b/>
                <w:color w:val="000000"/>
                <w:sz w:val="30"/>
                <w:szCs w:val="30"/>
                <w:rtl/>
              </w:rPr>
              <w:t>عدد تسجيلات لشبونة السارية الواردة من البلدان النامية والبلدان الأقل نمواً ونسبة هذه التسجيلات</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C10FED" w:rsidRDefault="00050F38" w:rsidP="00486CE1">
            <w:pPr>
              <w:bidi/>
              <w:spacing w:before="60" w:after="60" w:line="280" w:lineRule="exact"/>
              <w:rPr>
                <w:rFonts w:ascii="Arabic Typesetting" w:hAnsi="Arabic Typesetting" w:cs="Arabic Typesetting"/>
                <w:b/>
                <w:color w:val="000000"/>
                <w:sz w:val="30"/>
                <w:szCs w:val="30"/>
                <w:rtl/>
              </w:rPr>
            </w:pPr>
            <w:r w:rsidRPr="00C10FED">
              <w:rPr>
                <w:rFonts w:ascii="Arabic Typesetting" w:hAnsi="Arabic Typesetting" w:cs="Arabic Typesetting"/>
                <w:b/>
                <w:color w:val="000000"/>
                <w:sz w:val="30"/>
                <w:szCs w:val="30"/>
                <w:rtl/>
                <w:lang w:bidi="ar-EG"/>
              </w:rPr>
              <w:t>انخفاض عدد المخالفات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C10FED" w:rsidRDefault="00050F38" w:rsidP="00486CE1">
            <w:pPr>
              <w:bidi/>
              <w:spacing w:before="60" w:after="60" w:line="280" w:lineRule="exact"/>
              <w:rPr>
                <w:rFonts w:ascii="Arabic Typesetting" w:hAnsi="Arabic Typesetting" w:cs="Arabic Typesetting"/>
                <w:b/>
                <w:color w:val="000000"/>
                <w:sz w:val="30"/>
                <w:szCs w:val="30"/>
                <w:rtl/>
                <w:lang w:bidi="ar-EG"/>
              </w:rPr>
            </w:pPr>
            <w:r w:rsidRPr="00A25996">
              <w:rPr>
                <w:rFonts w:ascii="Arabic Typesetting" w:hAnsi="Arabic Typesetting" w:cs="Arabic Typesetting"/>
                <w:b/>
                <w:color w:val="000000"/>
                <w:sz w:val="30"/>
                <w:szCs w:val="30"/>
                <w:rtl/>
              </w:rPr>
              <w:t>عدد الطلبات المودعة بناء على نظامي مدريد ولشبونة والصادرة من البلدان المنتقلة إلى نظام الاقتصاد الحر والبلدان المتقدمة</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A25996" w:rsidRDefault="00050F38" w:rsidP="00486CE1">
            <w:pPr>
              <w:bidi/>
              <w:spacing w:before="60" w:after="60" w:line="280" w:lineRule="exact"/>
              <w:rPr>
                <w:rFonts w:ascii="Arabic Typesetting" w:hAnsi="Arabic Typesetting" w:cs="Arabic Typesetting"/>
                <w:b/>
                <w:color w:val="000000"/>
                <w:sz w:val="30"/>
                <w:szCs w:val="30"/>
                <w:rtl/>
              </w:rPr>
            </w:pPr>
            <w:r w:rsidRPr="00A25996">
              <w:rPr>
                <w:rFonts w:ascii="Arabic Typesetting" w:hAnsi="Arabic Typesetting" w:cs="Arabic Typesetting"/>
                <w:b/>
                <w:color w:val="000000"/>
                <w:sz w:val="30"/>
                <w:szCs w:val="30"/>
                <w:rtl/>
                <w:lang w:bidi="ar-EG"/>
              </w:rPr>
              <w:t>عدد البلدان التي صاغت السياسات التي تحدد انضمامها إلى بروتوكول مدريد أو شاركت في هذه السياسات أو كلا الأمرين معاً</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A25996" w:rsidRDefault="00050F38" w:rsidP="00486CE1">
            <w:pPr>
              <w:bidi/>
              <w:spacing w:before="60" w:after="60" w:line="280" w:lineRule="exact"/>
              <w:rPr>
                <w:rFonts w:ascii="Arabic Typesetting" w:hAnsi="Arabic Typesetting" w:cs="Arabic Typesetting"/>
                <w:b/>
                <w:color w:val="000000"/>
                <w:sz w:val="30"/>
                <w:szCs w:val="30"/>
                <w:rtl/>
                <w:lang w:bidi="ar-EG"/>
              </w:rPr>
            </w:pPr>
            <w:r w:rsidRPr="00A25996">
              <w:rPr>
                <w:rFonts w:ascii="Arabic Typesetting" w:hAnsi="Arabic Typesetting" w:cs="Arabic Typesetting"/>
                <w:b/>
                <w:color w:val="000000"/>
                <w:sz w:val="30"/>
                <w:szCs w:val="30"/>
                <w:rtl/>
                <w:lang w:bidi="ar-EG"/>
              </w:rPr>
              <w:t>النسبة المئوية للمشاركين الراضين في حلقات عمل أو</w:t>
            </w:r>
            <w:r w:rsidRPr="00A25996">
              <w:rPr>
                <w:rFonts w:ascii="Arabic Typesetting" w:hAnsi="Arabic Typesetting" w:cs="Arabic Typesetting" w:hint="cs"/>
                <w:b/>
                <w:color w:val="000000"/>
                <w:sz w:val="30"/>
                <w:szCs w:val="30"/>
                <w:rtl/>
                <w:lang w:bidi="ar-EG"/>
              </w:rPr>
              <w:t> </w:t>
            </w:r>
            <w:r w:rsidRPr="00A25996">
              <w:rPr>
                <w:rFonts w:ascii="Arabic Typesetting" w:hAnsi="Arabic Typesetting" w:cs="Arabic Typesetting"/>
                <w:b/>
                <w:color w:val="000000"/>
                <w:sz w:val="30"/>
                <w:szCs w:val="30"/>
                <w:rtl/>
                <w:lang w:bidi="ar-EG"/>
              </w:rPr>
              <w:t>ندوات عُقدت بخصوص موضوعات تتعلق بنظام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r w:rsidRPr="00CF21E2">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A25996" w:rsidRDefault="00050F38" w:rsidP="00486CE1">
            <w:pPr>
              <w:bidi/>
              <w:spacing w:before="60" w:after="60" w:line="280" w:lineRule="exact"/>
              <w:rPr>
                <w:rFonts w:ascii="Arabic Typesetting" w:hAnsi="Arabic Typesetting" w:cs="Arabic Typesetting"/>
                <w:b/>
                <w:color w:val="000000"/>
                <w:sz w:val="30"/>
                <w:szCs w:val="30"/>
                <w:rtl/>
                <w:lang w:bidi="ar-EG"/>
              </w:rPr>
            </w:pPr>
            <w:r w:rsidRPr="00A25996">
              <w:rPr>
                <w:rFonts w:ascii="Arabic Typesetting" w:hAnsi="Arabic Typesetting" w:cs="Arabic Typesetting"/>
                <w:b/>
                <w:color w:val="000000"/>
                <w:sz w:val="30"/>
                <w:szCs w:val="30"/>
                <w:rtl/>
                <w:lang w:bidi="ar-EG"/>
              </w:rPr>
              <w:t>عدد الأطراف المتعاقدة في بروتوكول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CF21E2">
              <w:rPr>
                <w:rFonts w:ascii="Wingdings" w:hAnsi="Wingdings" w:cs="Calibri"/>
                <w:color w:val="E36C0A" w:themeColor="accent6" w:themeShade="BF"/>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A25996" w:rsidRDefault="00050F38" w:rsidP="00486CE1">
            <w:pPr>
              <w:bidi/>
              <w:spacing w:before="60" w:after="60" w:line="280" w:lineRule="exact"/>
              <w:rPr>
                <w:rFonts w:ascii="Arabic Typesetting" w:hAnsi="Arabic Typesetting" w:cs="Arabic Typesetting"/>
                <w:b/>
                <w:color w:val="000000"/>
                <w:sz w:val="30"/>
                <w:szCs w:val="30"/>
                <w:rtl/>
                <w:lang w:bidi="ar-EG"/>
              </w:rPr>
            </w:pPr>
            <w:r w:rsidRPr="00A25996">
              <w:rPr>
                <w:rFonts w:ascii="Arabic Typesetting" w:hAnsi="Arabic Typesetting" w:cs="Arabic Typesetting"/>
                <w:b/>
                <w:color w:val="000000"/>
                <w:sz w:val="30"/>
                <w:szCs w:val="30"/>
                <w:rtl/>
                <w:lang w:bidi="ar-EG"/>
              </w:rPr>
              <w:t>عدد التسجيلات الجديدة (نظام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p>
        </w:tc>
        <w:tc>
          <w:tcPr>
            <w:tcW w:w="1781" w:type="pct"/>
            <w:shd w:val="clear" w:color="auto" w:fill="auto"/>
            <w:vAlign w:val="center"/>
          </w:tcPr>
          <w:p w:rsidR="00050F38" w:rsidRPr="00A25996" w:rsidRDefault="00050F38" w:rsidP="00486CE1">
            <w:pPr>
              <w:bidi/>
              <w:spacing w:before="60" w:after="60" w:line="280" w:lineRule="exact"/>
              <w:rPr>
                <w:rFonts w:ascii="Arabic Typesetting" w:hAnsi="Arabic Typesetting" w:cs="Arabic Typesetting"/>
                <w:b/>
                <w:color w:val="000000"/>
                <w:sz w:val="30"/>
                <w:szCs w:val="30"/>
                <w:rtl/>
                <w:lang w:bidi="ar-EG"/>
              </w:rPr>
            </w:pPr>
            <w:r w:rsidRPr="00075276">
              <w:rPr>
                <w:rFonts w:ascii="Arabic Typesetting" w:hAnsi="Arabic Typesetting" w:cs="Arabic Typesetting"/>
                <w:b/>
                <w:color w:val="000000"/>
                <w:sz w:val="30"/>
                <w:szCs w:val="30"/>
                <w:rtl/>
                <w:lang w:bidi="ar-EG"/>
              </w:rPr>
              <w:t>عدد التجديدات (نظام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A6A6A6"/>
                <w:szCs w:val="22"/>
                <w:lang w:bidi="ar-EG"/>
              </w:rPr>
            </w:pPr>
            <w:r w:rsidRPr="004B0BC7">
              <w:rPr>
                <w:rFonts w:ascii="Wingdings" w:hAnsi="Wingdings" w:cs="Calibri"/>
                <w:color w:val="A6A6A6"/>
                <w:szCs w:val="22"/>
                <w:lang w:bidi="ar-EG"/>
              </w:rPr>
              <w:t></w:t>
            </w:r>
            <w:r w:rsidRPr="004B0BC7">
              <w:rPr>
                <w:rFonts w:ascii="Wingdings" w:hAnsi="Wingdings" w:cs="Calibri"/>
                <w:color w:val="A6A6A6"/>
                <w:szCs w:val="22"/>
                <w:lang w:bidi="ar-EG"/>
              </w:rPr>
              <w:t></w:t>
            </w:r>
          </w:p>
        </w:tc>
      </w:tr>
      <w:tr w:rsidR="00050F38" w:rsidRPr="00FE3908" w:rsidTr="00050F38">
        <w:trPr>
          <w:cantSplit/>
        </w:trPr>
        <w:tc>
          <w:tcPr>
            <w:tcW w:w="1852" w:type="pct"/>
            <w:shd w:val="clear" w:color="auto" w:fill="auto"/>
            <w:vAlign w:val="center"/>
          </w:tcPr>
          <w:p w:rsidR="00050F38" w:rsidRPr="006D6E09" w:rsidRDefault="00050F38" w:rsidP="00486CE1">
            <w:pPr>
              <w:bidi/>
              <w:spacing w:before="60" w:after="60" w:line="280" w:lineRule="exact"/>
              <w:rPr>
                <w:rFonts w:ascii="Arabic Typesetting" w:hAnsi="Arabic Typesetting" w:cs="Arabic Typesetting"/>
                <w:color w:val="000000"/>
                <w:sz w:val="30"/>
                <w:szCs w:val="30"/>
                <w:rtl/>
                <w:lang w:bidi="ar-EG"/>
              </w:rPr>
            </w:pPr>
            <w:r w:rsidRPr="00075276">
              <w:rPr>
                <w:rFonts w:ascii="Arabic Typesetting" w:hAnsi="Arabic Typesetting" w:cs="Arabic Typesetting" w:hint="cs"/>
                <w:b/>
                <w:color w:val="000000"/>
                <w:sz w:val="30"/>
                <w:szCs w:val="30"/>
                <w:rtl/>
                <w:lang w:bidi="ar-EG"/>
              </w:rPr>
              <w:t xml:space="preserve">ه7.2 </w:t>
            </w:r>
            <w:r w:rsidRPr="00C20CF6">
              <w:rPr>
                <w:rFonts w:ascii="Arabic Typesetting" w:hAnsi="Arabic Typesetting" w:cs="Arabic Typesetting"/>
                <w:b/>
                <w:color w:val="000000"/>
                <w:sz w:val="30"/>
                <w:szCs w:val="30"/>
                <w:rtl/>
                <w:lang w:bidi="ar-EG"/>
              </w:rPr>
              <w:t>تحسين الإنتاجية وجودة الخدمات في عمليات نظامي مدريد ولشبونة</w:t>
            </w:r>
          </w:p>
        </w:tc>
        <w:tc>
          <w:tcPr>
            <w:tcW w:w="1781"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r>
              <w:rPr>
                <w:rFonts w:ascii="Arabic Typesetting" w:hAnsi="Arabic Typesetting" w:cs="Arabic Typesetting"/>
                <w:b/>
                <w:color w:val="000000"/>
                <w:sz w:val="30"/>
                <w:szCs w:val="30"/>
                <w:rtl/>
              </w:rPr>
              <w:t>التقدم الم</w:t>
            </w:r>
            <w:r w:rsidRPr="00075276">
              <w:rPr>
                <w:rFonts w:ascii="Arabic Typesetting" w:hAnsi="Arabic Typesetting" w:cs="Arabic Typesetting"/>
                <w:b/>
                <w:color w:val="000000"/>
                <w:sz w:val="30"/>
                <w:szCs w:val="30"/>
                <w:rtl/>
              </w:rPr>
              <w:t>حرز نحو ترشيد الإطار القانوني لنظام مدريد وتبسيطه</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rPr>
            </w:pPr>
            <w:r w:rsidRPr="00075276">
              <w:rPr>
                <w:rFonts w:ascii="Arabic Typesetting" w:hAnsi="Arabic Typesetting" w:cs="Arabic Typesetting"/>
                <w:b/>
                <w:color w:val="000000"/>
                <w:sz w:val="30"/>
                <w:szCs w:val="30"/>
                <w:rtl/>
              </w:rPr>
              <w:t>عدد التسجيلات</w:t>
            </w:r>
          </w:p>
          <w:p w:rsidR="00050F38" w:rsidRPr="00075276" w:rsidRDefault="00050F38" w:rsidP="00486CE1">
            <w:pPr>
              <w:bidi/>
              <w:spacing w:before="60" w:after="60" w:line="280" w:lineRule="exact"/>
              <w:rPr>
                <w:rFonts w:ascii="Arabic Typesetting" w:hAnsi="Arabic Typesetting" w:cs="Arabic Typesetting"/>
                <w:b/>
                <w:color w:val="000000"/>
                <w:sz w:val="30"/>
                <w:szCs w:val="30"/>
                <w:rtl/>
              </w:rPr>
            </w:pPr>
            <w:r w:rsidRPr="00075276">
              <w:rPr>
                <w:rFonts w:ascii="Arabic Typesetting" w:hAnsi="Arabic Typesetting" w:cs="Arabic Typesetting"/>
                <w:b/>
                <w:color w:val="000000"/>
                <w:sz w:val="30"/>
                <w:szCs w:val="30"/>
                <w:rtl/>
              </w:rPr>
              <w:t>عدد التجديدات التي عُولجت</w:t>
            </w:r>
          </w:p>
          <w:p w:rsidR="00050F38" w:rsidRDefault="00050F38" w:rsidP="00486CE1">
            <w:pPr>
              <w:bidi/>
              <w:spacing w:before="60" w:after="60" w:line="280" w:lineRule="exact"/>
              <w:rPr>
                <w:rFonts w:ascii="Arabic Typesetting" w:hAnsi="Arabic Typesetting" w:cs="Arabic Typesetting"/>
                <w:b/>
                <w:color w:val="000000"/>
                <w:sz w:val="30"/>
                <w:szCs w:val="30"/>
                <w:rtl/>
              </w:rPr>
            </w:pPr>
            <w:r w:rsidRPr="00075276">
              <w:rPr>
                <w:rFonts w:ascii="Arabic Typesetting" w:hAnsi="Arabic Typesetting" w:cs="Arabic Typesetting"/>
                <w:b/>
                <w:color w:val="000000"/>
                <w:sz w:val="30"/>
                <w:szCs w:val="30"/>
                <w:rtl/>
              </w:rPr>
              <w:t>عدد التعديلات، بما في ذلك التعيينات اللاحقة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Default="00050F38" w:rsidP="00486CE1">
            <w:pPr>
              <w:bidi/>
              <w:spacing w:before="60" w:after="60" w:line="280" w:lineRule="exact"/>
              <w:jc w:val="center"/>
              <w:rPr>
                <w:rFonts w:ascii="Wingdings" w:hAnsi="Wingdings" w:cs="Calibri"/>
                <w:color w:val="FF0000"/>
                <w:szCs w:val="22"/>
                <w:rtl/>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4B0BC7">
              <w:rPr>
                <w:rFonts w:ascii="Wingdings" w:hAnsi="Wingdings" w:cs="Calibri"/>
                <w:color w:val="FF0000"/>
                <w:szCs w:val="22"/>
                <w:lang w:bidi="ar-EG"/>
              </w:rPr>
              <w:t></w:t>
            </w:r>
          </w:p>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rPr>
            </w:pPr>
            <w:r w:rsidRPr="00075276">
              <w:rPr>
                <w:rFonts w:ascii="Arabic Typesetting" w:hAnsi="Arabic Typesetting" w:cs="Arabic Typesetting"/>
                <w:b/>
                <w:color w:val="000000"/>
                <w:sz w:val="30"/>
                <w:szCs w:val="30"/>
                <w:rtl/>
              </w:rPr>
              <w:t>ترجمة الطلبات في الوقت المناسب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rPr>
            </w:pPr>
            <w:r w:rsidRPr="00075276">
              <w:rPr>
                <w:rFonts w:ascii="Arabic Typesetting" w:hAnsi="Arabic Typesetting" w:cs="Arabic Typesetting"/>
                <w:b/>
                <w:color w:val="000000"/>
                <w:sz w:val="30"/>
                <w:szCs w:val="30"/>
                <w:rtl/>
              </w:rPr>
              <w:t>انخفاض عدد التصويبات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rPr>
            </w:pPr>
            <w:r w:rsidRPr="001A6672">
              <w:rPr>
                <w:rFonts w:ascii="Arabic Typesetting" w:hAnsi="Arabic Typesetting" w:cs="Arabic Typesetting" w:hint="cs"/>
                <w:b/>
                <w:color w:val="000000"/>
                <w:sz w:val="30"/>
                <w:szCs w:val="30"/>
                <w:rtl/>
              </w:rPr>
              <w:t>تحسّن</w:t>
            </w:r>
            <w:r w:rsidRPr="001A6672">
              <w:rPr>
                <w:rFonts w:ascii="Arabic Typesetting" w:hAnsi="Arabic Typesetting" w:cs="Arabic Typesetting"/>
                <w:b/>
                <w:color w:val="000000"/>
                <w:sz w:val="30"/>
                <w:szCs w:val="30"/>
                <w:rtl/>
              </w:rPr>
              <w:t xml:space="preserve"> رضا العملاء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F13EA7">
              <w:rPr>
                <w:rFonts w:ascii="Wingdings" w:hAnsi="Wingdings" w:cs="Calibri"/>
                <w:color w:val="A6A6A6" w:themeColor="background1" w:themeShade="A6"/>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rPr>
            </w:pPr>
            <w:r w:rsidRPr="001A6672">
              <w:rPr>
                <w:rFonts w:ascii="Arabic Typesetting" w:hAnsi="Arabic Typesetting" w:cs="Arabic Typesetting"/>
                <w:b/>
                <w:color w:val="000000"/>
                <w:sz w:val="30"/>
                <w:szCs w:val="30"/>
                <w:rtl/>
              </w:rPr>
              <w:t>زيادة استخدام التبادل الإلكتروني (مدريد)</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rPr>
            </w:pPr>
            <w:r w:rsidRPr="001A6672">
              <w:rPr>
                <w:rFonts w:ascii="Arabic Typesetting" w:hAnsi="Arabic Typesetting" w:cs="Arabic Typesetting"/>
                <w:b/>
                <w:color w:val="000000"/>
                <w:sz w:val="30"/>
                <w:szCs w:val="30"/>
                <w:rtl/>
              </w:rPr>
              <w:t>تنقية السجل الدولي الإلكتروني لنظام لشبونة</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CF21E2">
              <w:rPr>
                <w:rFonts w:ascii="Wingdings" w:hAnsi="Wingdings" w:cs="Calibri"/>
                <w:color w:val="E36C0A" w:themeColor="accent6" w:themeShade="BF"/>
                <w:szCs w:val="22"/>
                <w:lang w:bidi="ar-EG"/>
              </w:rPr>
              <w:t></w:t>
            </w:r>
          </w:p>
        </w:tc>
      </w:tr>
      <w:tr w:rsidR="00050F38" w:rsidRPr="00FE3908" w:rsidTr="00050F38">
        <w:trPr>
          <w:cantSplit/>
        </w:trPr>
        <w:tc>
          <w:tcPr>
            <w:tcW w:w="1852"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rPr>
            </w:pPr>
            <w:r w:rsidRPr="001A6672">
              <w:rPr>
                <w:rFonts w:ascii="Arabic Typesetting" w:hAnsi="Arabic Typesetting" w:cs="Arabic Typesetting"/>
                <w:b/>
                <w:color w:val="000000"/>
                <w:sz w:val="30"/>
                <w:szCs w:val="30"/>
                <w:rtl/>
              </w:rPr>
              <w:t xml:space="preserve">تنقية </w:t>
            </w:r>
            <w:r w:rsidRPr="001A6672">
              <w:rPr>
                <w:rFonts w:ascii="Arabic Typesetting" w:hAnsi="Arabic Typesetting" w:cs="Arabic Typesetting" w:hint="cs"/>
                <w:b/>
                <w:color w:val="000000"/>
                <w:sz w:val="30"/>
                <w:szCs w:val="30"/>
                <w:rtl/>
              </w:rPr>
              <w:t>ال</w:t>
            </w:r>
            <w:r w:rsidRPr="001A6672">
              <w:rPr>
                <w:rFonts w:ascii="Arabic Typesetting" w:hAnsi="Arabic Typesetting" w:cs="Arabic Typesetting"/>
                <w:b/>
                <w:color w:val="000000"/>
                <w:sz w:val="30"/>
                <w:szCs w:val="30"/>
                <w:rtl/>
              </w:rPr>
              <w:t>وسائل الإلكترونية</w:t>
            </w:r>
            <w:r w:rsidRPr="001A6672">
              <w:rPr>
                <w:rFonts w:ascii="Arabic Typesetting" w:hAnsi="Arabic Typesetting" w:cs="Arabic Typesetting" w:hint="cs"/>
                <w:b/>
                <w:color w:val="000000"/>
                <w:sz w:val="30"/>
                <w:szCs w:val="30"/>
                <w:rtl/>
              </w:rPr>
              <w:t xml:space="preserve"> للاتصال</w:t>
            </w:r>
            <w:r w:rsidRPr="001A6672">
              <w:rPr>
                <w:rFonts w:ascii="Arabic Typesetting" w:hAnsi="Arabic Typesetting" w:cs="Arabic Typesetting"/>
                <w:b/>
                <w:color w:val="000000"/>
                <w:sz w:val="30"/>
                <w:szCs w:val="30"/>
                <w:rtl/>
              </w:rPr>
              <w:t xml:space="preserve"> والنشر بموجب إجراءات نظام لشبونة</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6</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075276" w:rsidRDefault="00050F38" w:rsidP="00486CE1">
            <w:pPr>
              <w:bidi/>
              <w:spacing w:before="60" w:after="60" w:line="280" w:lineRule="exact"/>
              <w:rPr>
                <w:rFonts w:ascii="Arabic Typesetting" w:hAnsi="Arabic Typesetting" w:cs="Arabic Typesetting"/>
                <w:b/>
                <w:color w:val="000000"/>
                <w:sz w:val="30"/>
                <w:szCs w:val="30"/>
                <w:rtl/>
                <w:lang w:bidi="ar-EG"/>
              </w:rPr>
            </w:pPr>
            <w:r w:rsidRPr="001A6672">
              <w:rPr>
                <w:rFonts w:ascii="Arabic Typesetting" w:hAnsi="Arabic Typesetting" w:cs="Arabic Typesetting"/>
                <w:b/>
                <w:color w:val="000000"/>
                <w:sz w:val="30"/>
                <w:szCs w:val="30"/>
                <w:rtl/>
                <w:lang w:bidi="ar-EG"/>
              </w:rPr>
              <w:t xml:space="preserve">ه8.2 </w:t>
            </w:r>
            <w:r w:rsidRPr="00C20CF6">
              <w:rPr>
                <w:rFonts w:ascii="Arabic Typesetting" w:hAnsi="Arabic Typesetting" w:cs="Arabic Typesetting"/>
                <w:b/>
                <w:color w:val="000000"/>
                <w:sz w:val="30"/>
                <w:szCs w:val="30"/>
                <w:rtl/>
                <w:lang w:bidi="ar-EG"/>
              </w:rPr>
              <w:t>تزايد تفادي نشوء المنازعات المتعلقة بالملكية الفكرية دوليا وداخليا وتسويتها بفضل الوساطة والتحكيم وغيرها من أساليب الويبو البديلة في تسوية المنازعات</w:t>
            </w:r>
          </w:p>
        </w:tc>
        <w:tc>
          <w:tcPr>
            <w:tcW w:w="1781"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rPr>
            </w:pPr>
            <w:r w:rsidRPr="001A6672">
              <w:rPr>
                <w:rFonts w:ascii="Arabic Typesetting" w:hAnsi="Arabic Typesetting" w:cs="Arabic Typesetting"/>
                <w:b/>
                <w:color w:val="000000"/>
                <w:sz w:val="30"/>
                <w:szCs w:val="30"/>
                <w:rtl/>
              </w:rPr>
              <w:t>النظر بقدر أكبر في اللجوء إلى خدمات بديلة لتسوية المنازعات في الصفقات المتعلقة بالملكية الفكرية، بما في ذلك عبر استخدام إجراءات الويبو</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7</w:t>
            </w:r>
          </w:p>
        </w:tc>
        <w:tc>
          <w:tcPr>
            <w:tcW w:w="531" w:type="pct"/>
            <w:shd w:val="clear" w:color="auto" w:fill="auto"/>
            <w:vAlign w:val="center"/>
          </w:tcPr>
          <w:p w:rsidR="00050F38" w:rsidRDefault="00050F38" w:rsidP="00486CE1">
            <w:pPr>
              <w:bidi/>
              <w:spacing w:before="60" w:after="60" w:line="280" w:lineRule="exact"/>
              <w:jc w:val="center"/>
              <w:rPr>
                <w:rFonts w:ascii="Wingdings" w:hAnsi="Wingdings" w:cs="Calibri"/>
                <w:color w:val="10862C"/>
                <w:szCs w:val="22"/>
                <w:rtl/>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4B0BC7">
              <w:rPr>
                <w:rFonts w:ascii="Wingdings" w:hAnsi="Wingdings" w:cs="Calibri"/>
                <w:color w:val="10862C"/>
                <w:szCs w:val="22"/>
                <w:lang w:bidi="ar-EG"/>
              </w:rPr>
              <w:t></w:t>
            </w:r>
          </w:p>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rPr>
            </w:pP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FF0000"/>
                <w:szCs w:val="22"/>
                <w:lang w:bidi="ar-EG"/>
              </w:rPr>
            </w:pPr>
            <w:r w:rsidRPr="004B0BC7">
              <w:rPr>
                <w:rFonts w:ascii="Wingdings" w:hAnsi="Wingdings" w:cs="Calibri"/>
                <w:color w:val="FF0000"/>
                <w:szCs w:val="22"/>
                <w:lang w:bidi="ar-EG"/>
              </w:rPr>
              <w:t></w:t>
            </w:r>
          </w:p>
        </w:tc>
      </w:tr>
      <w:tr w:rsidR="00050F38" w:rsidRPr="00FE3908" w:rsidTr="00050F38">
        <w:trPr>
          <w:cantSplit/>
        </w:trPr>
        <w:tc>
          <w:tcPr>
            <w:tcW w:w="1852"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rPr>
            </w:pPr>
            <w:r w:rsidRPr="001A6672">
              <w:rPr>
                <w:rFonts w:ascii="Arabic Typesetting" w:hAnsi="Arabic Typesetting" w:cs="Arabic Typesetting"/>
                <w:b/>
                <w:color w:val="000000"/>
                <w:sz w:val="30"/>
                <w:szCs w:val="30"/>
                <w:rtl/>
              </w:rPr>
              <w:t>السياسات البديلة لتسوية المنازعات التي ساهم المركز في وضعها وتنفيذها</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7</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rPr>
            </w:pPr>
            <w:r w:rsidRPr="003C1447">
              <w:rPr>
                <w:rFonts w:ascii="Arabic Typesetting" w:hAnsi="Arabic Typesetting" w:cs="Arabic Typesetting" w:hint="cs"/>
                <w:b/>
                <w:color w:val="000000"/>
                <w:sz w:val="30"/>
                <w:szCs w:val="30"/>
                <w:rtl/>
              </w:rPr>
              <w:t>ع</w:t>
            </w:r>
            <w:r w:rsidRPr="003C1447">
              <w:rPr>
                <w:rFonts w:ascii="Arabic Typesetting" w:hAnsi="Arabic Typesetting" w:cs="Arabic Typesetting"/>
                <w:b/>
                <w:color w:val="000000"/>
                <w:sz w:val="30"/>
                <w:szCs w:val="30"/>
                <w:rtl/>
              </w:rPr>
              <w:t>دد المستخدمين في البلدان المنتقلة إلى نظام الاقتصاد الحر والبلدان المتقدمة التي تنتفع بخدمات مركز التحكيم والوساطة</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1A6672" w:rsidRDefault="00050F38" w:rsidP="00486CE1">
            <w:pPr>
              <w:bidi/>
              <w:spacing w:before="60" w:after="60" w:line="280" w:lineRule="exact"/>
              <w:rPr>
                <w:rFonts w:ascii="Arabic Typesetting" w:hAnsi="Arabic Typesetting" w:cs="Arabic Typesetting"/>
                <w:b/>
                <w:color w:val="000000"/>
                <w:sz w:val="30"/>
                <w:szCs w:val="30"/>
                <w:rtl/>
                <w:lang w:bidi="ar-EG"/>
              </w:rPr>
            </w:pPr>
            <w:r w:rsidRPr="003C1447">
              <w:rPr>
                <w:rFonts w:ascii="Arabic Typesetting" w:hAnsi="Arabic Typesetting" w:cs="Arabic Typesetting"/>
                <w:b/>
                <w:color w:val="000000"/>
                <w:sz w:val="30"/>
                <w:szCs w:val="30"/>
                <w:rtl/>
                <w:lang w:bidi="ar-EG"/>
              </w:rPr>
              <w:t>ه9.2</w:t>
            </w:r>
            <w:r w:rsidRPr="003C1447">
              <w:rPr>
                <w:rFonts w:ascii="Arabic Typesetting" w:hAnsi="Arabic Typesetting" w:cs="Arabic Typesetting" w:hint="cs"/>
                <w:b/>
                <w:color w:val="000000"/>
                <w:sz w:val="30"/>
                <w:szCs w:val="30"/>
                <w:rtl/>
                <w:lang w:bidi="ar-EG"/>
              </w:rPr>
              <w:t xml:space="preserve"> </w:t>
            </w:r>
            <w:r w:rsidRPr="00C20CF6">
              <w:rPr>
                <w:rFonts w:ascii="Arabic Typesetting" w:hAnsi="Arabic Typesetting" w:cs="Arabic Typesetting"/>
                <w:b/>
                <w:color w:val="000000"/>
                <w:sz w:val="30"/>
                <w:szCs w:val="30"/>
                <w:rtl/>
                <w:lang w:bidi="ar-EG"/>
              </w:rPr>
              <w:t>حماية الملكية الفكرية حمايةً فعالة في الحقول العليا المكونة من أسماء عامة وفي تسجيل الحقول العليا المكونة من رموز البلدان</w:t>
            </w:r>
          </w:p>
        </w:tc>
        <w:tc>
          <w:tcPr>
            <w:tcW w:w="1781" w:type="pct"/>
            <w:shd w:val="clear" w:color="auto" w:fill="auto"/>
            <w:vAlign w:val="center"/>
          </w:tcPr>
          <w:p w:rsidR="00050F38" w:rsidRPr="003C1447" w:rsidRDefault="00050F38" w:rsidP="00486CE1">
            <w:pPr>
              <w:bidi/>
              <w:spacing w:before="60" w:after="60" w:line="280" w:lineRule="exact"/>
              <w:rPr>
                <w:rFonts w:ascii="Arabic Typesetting" w:hAnsi="Arabic Typesetting" w:cs="Arabic Typesetting"/>
                <w:b/>
                <w:color w:val="000000"/>
                <w:sz w:val="30"/>
                <w:szCs w:val="30"/>
                <w:rtl/>
              </w:rPr>
            </w:pPr>
            <w:r w:rsidRPr="003C1447">
              <w:rPr>
                <w:rFonts w:ascii="Arabic Typesetting" w:hAnsi="Arabic Typesetting" w:cs="Arabic Typesetting"/>
                <w:b/>
                <w:color w:val="000000"/>
                <w:sz w:val="30"/>
                <w:szCs w:val="30"/>
                <w:rtl/>
              </w:rPr>
              <w:t>عدد الحالات المعالجة المتعلقة بالحقول العليا المكونة من أسماء عامة في إطار السياسة الموحدة لتسوية المنازعات المتعلقة بأسماء الحقول</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7</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3C1447"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3C1447" w:rsidRDefault="00050F38" w:rsidP="00486CE1">
            <w:pPr>
              <w:bidi/>
              <w:spacing w:before="60" w:after="60" w:line="280" w:lineRule="exact"/>
              <w:rPr>
                <w:rFonts w:ascii="Arabic Typesetting" w:hAnsi="Arabic Typesetting" w:cs="Arabic Typesetting"/>
                <w:b/>
                <w:color w:val="000000"/>
                <w:sz w:val="30"/>
                <w:szCs w:val="30"/>
                <w:rtl/>
              </w:rPr>
            </w:pPr>
            <w:r w:rsidRPr="003C1447">
              <w:rPr>
                <w:rFonts w:ascii="Arabic Typesetting" w:hAnsi="Arabic Typesetting" w:cs="Arabic Typesetting"/>
                <w:b/>
                <w:color w:val="000000"/>
                <w:sz w:val="30"/>
                <w:szCs w:val="30"/>
                <w:rtl/>
              </w:rPr>
              <w:t>عدد الحالات المعالجة المتعلقة بتسجيل الحقول العليا المكونة من رموز البلدان في إطار السياسة الموحدة لتسوية المنازعات المتعلقة بأسماء الحقول</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7</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3C1447"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3C1447" w:rsidRDefault="00050F38" w:rsidP="00486CE1">
            <w:pPr>
              <w:bidi/>
              <w:spacing w:before="60" w:after="60" w:line="280" w:lineRule="exact"/>
              <w:rPr>
                <w:rFonts w:ascii="Arabic Typesetting" w:hAnsi="Arabic Typesetting" w:cs="Arabic Typesetting"/>
                <w:b/>
                <w:color w:val="000000"/>
                <w:sz w:val="30"/>
                <w:szCs w:val="30"/>
                <w:rtl/>
              </w:rPr>
            </w:pPr>
            <w:r w:rsidRPr="003C1447">
              <w:rPr>
                <w:rFonts w:ascii="Arabic Typesetting" w:hAnsi="Arabic Typesetting" w:cs="Arabic Typesetting"/>
                <w:b/>
                <w:color w:val="000000"/>
                <w:sz w:val="30"/>
                <w:szCs w:val="30"/>
                <w:rtl/>
              </w:rPr>
              <w:t>سياسات تسوية المنازعات التي ساهم المركز في وضعها وتنفيذها في سياق نظام أسماء الحقول</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7</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050F38" w:rsidRPr="00FE3908" w:rsidTr="00050F38">
        <w:trPr>
          <w:cantSplit/>
        </w:trPr>
        <w:tc>
          <w:tcPr>
            <w:tcW w:w="1852" w:type="pct"/>
            <w:shd w:val="clear" w:color="auto" w:fill="auto"/>
            <w:vAlign w:val="center"/>
          </w:tcPr>
          <w:p w:rsidR="00050F38" w:rsidRPr="003C1447" w:rsidRDefault="00050F38" w:rsidP="00486CE1">
            <w:pPr>
              <w:bidi/>
              <w:spacing w:before="60" w:after="60" w:line="280" w:lineRule="exact"/>
              <w:rPr>
                <w:rFonts w:ascii="Arabic Typesetting" w:hAnsi="Arabic Typesetting" w:cs="Arabic Typesetting"/>
                <w:b/>
                <w:color w:val="000000"/>
                <w:sz w:val="30"/>
                <w:szCs w:val="30"/>
                <w:rtl/>
                <w:lang w:bidi="ar-EG"/>
              </w:rPr>
            </w:pPr>
          </w:p>
        </w:tc>
        <w:tc>
          <w:tcPr>
            <w:tcW w:w="1781" w:type="pct"/>
            <w:shd w:val="clear" w:color="auto" w:fill="auto"/>
            <w:vAlign w:val="center"/>
          </w:tcPr>
          <w:p w:rsidR="00050F38" w:rsidRPr="003C1447" w:rsidRDefault="00050F38" w:rsidP="00486CE1">
            <w:pPr>
              <w:bidi/>
              <w:spacing w:before="60" w:after="60" w:line="280" w:lineRule="exact"/>
              <w:rPr>
                <w:rFonts w:ascii="Arabic Typesetting" w:hAnsi="Arabic Typesetting" w:cs="Arabic Typesetting"/>
                <w:b/>
                <w:color w:val="000000"/>
                <w:sz w:val="30"/>
                <w:szCs w:val="30"/>
                <w:rtl/>
              </w:rPr>
            </w:pPr>
            <w:r w:rsidRPr="003C1447">
              <w:rPr>
                <w:rFonts w:ascii="Arabic Typesetting" w:hAnsi="Arabic Typesetting" w:cs="Arabic Typesetting"/>
                <w:b/>
                <w:color w:val="000000"/>
                <w:sz w:val="30"/>
                <w:szCs w:val="30"/>
                <w:rtl/>
              </w:rPr>
              <w:t>عدد جهات إدارة تسجيل الحقول العليا المكونة من رموز البلدان بمساعدة تقدمها الويبو لتصميم أو إدارة آليات حماية الملكية الفكرية وفقا للمعايير الدولية</w:t>
            </w:r>
          </w:p>
        </w:tc>
        <w:tc>
          <w:tcPr>
            <w:tcW w:w="836" w:type="pct"/>
            <w:shd w:val="clear" w:color="auto" w:fill="auto"/>
            <w:vAlign w:val="center"/>
          </w:tcPr>
          <w:p w:rsidR="00050F38" w:rsidRDefault="00050F38"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7</w:t>
            </w:r>
          </w:p>
        </w:tc>
        <w:tc>
          <w:tcPr>
            <w:tcW w:w="531" w:type="pct"/>
            <w:shd w:val="clear" w:color="auto" w:fill="auto"/>
            <w:vAlign w:val="center"/>
          </w:tcPr>
          <w:p w:rsidR="00050F38" w:rsidRPr="004B0BC7" w:rsidRDefault="00050F38" w:rsidP="00486CE1">
            <w:pPr>
              <w:bidi/>
              <w:spacing w:before="60" w:after="60" w:line="280" w:lineRule="exact"/>
              <w:jc w:val="center"/>
              <w:rPr>
                <w:rFonts w:ascii="Wingdings" w:hAnsi="Wingdings" w:cs="Calibri"/>
                <w:color w:val="10862C"/>
                <w:szCs w:val="22"/>
                <w:lang w:bidi="ar-EG"/>
              </w:rPr>
            </w:pPr>
            <w:r w:rsidRPr="00CF21E2">
              <w:rPr>
                <w:rFonts w:ascii="Wingdings" w:hAnsi="Wingdings" w:cs="Calibri"/>
                <w:color w:val="E36C0A" w:themeColor="accent6" w:themeShade="BF"/>
                <w:szCs w:val="22"/>
                <w:lang w:bidi="ar-EG"/>
              </w:rPr>
              <w:t></w:t>
            </w:r>
          </w:p>
        </w:tc>
      </w:tr>
    </w:tbl>
    <w:p w:rsidR="00B31868" w:rsidRPr="00F3697D" w:rsidRDefault="00B31868" w:rsidP="009E62B8">
      <w:pPr>
        <w:pStyle w:val="Heading3AR"/>
        <w:spacing w:after="120"/>
        <w:rPr>
          <w:rtl/>
        </w:rPr>
      </w:pPr>
      <w:bookmarkStart w:id="31" w:name="_Toc393817925"/>
      <w:bookmarkStart w:id="32" w:name="_Toc450635404"/>
      <w:bookmarkStart w:id="33" w:name="_Toc455393369"/>
      <w:r w:rsidRPr="00F3697D">
        <w:rPr>
          <w:rtl/>
        </w:rPr>
        <w:lastRenderedPageBreak/>
        <w:t>البرنامج</w:t>
      </w:r>
      <w:r w:rsidRPr="00F3697D">
        <w:rPr>
          <w:rFonts w:hint="cs"/>
          <w:rtl/>
        </w:rPr>
        <w:t xml:space="preserve"> 5:</w:t>
      </w:r>
      <w:r w:rsidRPr="00F3697D">
        <w:rPr>
          <w:rFonts w:hint="cs"/>
          <w:rtl/>
        </w:rPr>
        <w:tab/>
      </w:r>
      <w:r w:rsidRPr="00F3697D">
        <w:rPr>
          <w:rtl/>
        </w:rPr>
        <w:t>نظام معاهدة التعاون بشأن البراءات</w:t>
      </w:r>
      <w:bookmarkEnd w:id="31"/>
      <w:bookmarkEnd w:id="32"/>
      <w:bookmarkEnd w:id="33"/>
    </w:p>
    <w:p w:rsidR="00B31868" w:rsidRPr="009A48D1" w:rsidRDefault="00B31868" w:rsidP="009E62B8">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hint="cs"/>
          <w:b/>
          <w:bCs/>
          <w:sz w:val="36"/>
          <w:szCs w:val="36"/>
          <w:rtl/>
          <w:lang w:val="fr-CH"/>
        </w:rPr>
        <w:t>:</w:t>
      </w:r>
      <w:r w:rsidRPr="009A48D1">
        <w:rPr>
          <w:rFonts w:ascii="Arabic Typesetting" w:hAnsi="Arabic Typesetting" w:cs="Arabic Typesetting"/>
          <w:b/>
          <w:bCs/>
          <w:sz w:val="36"/>
          <w:szCs w:val="36"/>
          <w:lang w:val="fr-CH"/>
        </w:rPr>
        <w:tab/>
      </w:r>
      <w:r w:rsidRPr="009A48D1">
        <w:rPr>
          <w:rFonts w:ascii="Arabic Typesetting" w:hAnsi="Arabic Typesetting" w:cs="Arabic Typesetting"/>
          <w:b/>
          <w:bCs/>
          <w:sz w:val="36"/>
          <w:szCs w:val="36"/>
          <w:rtl/>
          <w:lang w:val="fr-CH"/>
        </w:rPr>
        <w:t xml:space="preserve">السيد </w:t>
      </w:r>
      <w:r w:rsidRPr="009A48D1">
        <w:rPr>
          <w:rFonts w:ascii="Arabic Typesetting" w:hAnsi="Arabic Typesetting" w:cs="Arabic Typesetting" w:hint="cs"/>
          <w:b/>
          <w:bCs/>
          <w:sz w:val="36"/>
          <w:szCs w:val="36"/>
          <w:rtl/>
          <w:lang w:val="fr-CH"/>
        </w:rPr>
        <w:t xml:space="preserve">جون </w:t>
      </w:r>
      <w:proofErr w:type="spellStart"/>
      <w:r w:rsidRPr="009A48D1">
        <w:rPr>
          <w:rFonts w:ascii="Arabic Typesetting" w:hAnsi="Arabic Typesetting" w:cs="Arabic Typesetting" w:hint="cs"/>
          <w:b/>
          <w:bCs/>
          <w:sz w:val="36"/>
          <w:szCs w:val="36"/>
          <w:rtl/>
          <w:lang w:val="fr-CH"/>
        </w:rPr>
        <w:t>سانديج</w:t>
      </w:r>
      <w:proofErr w:type="spellEnd"/>
    </w:p>
    <w:p w:rsidR="00B31868" w:rsidRPr="00B31868" w:rsidRDefault="00E22E36" w:rsidP="009E62B8">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3F76B5" w:rsidRDefault="00B31868" w:rsidP="009A3712">
      <w:pPr>
        <w:numPr>
          <w:ilvl w:val="0"/>
          <w:numId w:val="6"/>
        </w:numPr>
        <w:bidi/>
        <w:spacing w:after="120" w:line="340" w:lineRule="exact"/>
        <w:ind w:left="0" w:firstLine="0"/>
        <w:rPr>
          <w:rFonts w:ascii="Arabic Typesetting" w:hAnsi="Arabic Typesetting" w:cs="Arabic Typesetting"/>
          <w:sz w:val="34"/>
          <w:szCs w:val="34"/>
        </w:rPr>
      </w:pPr>
      <w:r w:rsidRPr="003F76B5">
        <w:rPr>
          <w:rFonts w:ascii="Arabic Typesetting" w:hAnsi="Arabic Typesetting" w:cs="Arabic Typesetting"/>
          <w:sz w:val="34"/>
          <w:szCs w:val="34"/>
          <w:rtl/>
        </w:rPr>
        <w:t xml:space="preserve">تلقى المكتب الدولي حوالي </w:t>
      </w:r>
      <w:r w:rsidR="003F76B5" w:rsidRPr="003F76B5">
        <w:rPr>
          <w:rFonts w:ascii="Arabic Typesetting" w:hAnsi="Arabic Typesetting" w:cs="Arabic Typesetting" w:hint="cs"/>
          <w:sz w:val="34"/>
          <w:szCs w:val="34"/>
          <w:rtl/>
        </w:rPr>
        <w:t>000 217</w:t>
      </w:r>
      <w:r w:rsidRPr="003F76B5">
        <w:rPr>
          <w:rFonts w:ascii="Arabic Typesetting" w:hAnsi="Arabic Typesetting" w:cs="Arabic Typesetting"/>
          <w:sz w:val="34"/>
          <w:szCs w:val="34"/>
          <w:rtl/>
        </w:rPr>
        <w:t xml:space="preserve"> نسخة أصلية في </w:t>
      </w:r>
      <w:r w:rsidR="003F76B5" w:rsidRPr="003F76B5">
        <w:rPr>
          <w:rFonts w:ascii="Arabic Typesetting" w:hAnsi="Arabic Typesetting" w:cs="Arabic Typesetting" w:hint="cs"/>
          <w:sz w:val="34"/>
          <w:szCs w:val="34"/>
          <w:rtl/>
        </w:rPr>
        <w:t>عام 2015</w:t>
      </w:r>
      <w:r w:rsidRPr="003F76B5">
        <w:rPr>
          <w:rFonts w:ascii="Arabic Typesetting" w:hAnsi="Arabic Typesetting" w:cs="Arabic Typesetting"/>
          <w:sz w:val="34"/>
          <w:szCs w:val="34"/>
          <w:rtl/>
        </w:rPr>
        <w:t xml:space="preserve">، أي </w:t>
      </w:r>
      <w:r w:rsidR="003F76B5" w:rsidRPr="003F76B5">
        <w:rPr>
          <w:rFonts w:ascii="Arabic Typesetting" w:hAnsi="Arabic Typesetting" w:cs="Arabic Typesetting" w:hint="cs"/>
          <w:sz w:val="34"/>
          <w:szCs w:val="34"/>
          <w:rtl/>
        </w:rPr>
        <w:t>بانخفاض</w:t>
      </w:r>
      <w:r w:rsidR="003F76B5" w:rsidRPr="003F76B5">
        <w:rPr>
          <w:rFonts w:ascii="Arabic Typesetting" w:hAnsi="Arabic Typesetting" w:cs="Arabic Typesetting"/>
          <w:sz w:val="34"/>
          <w:szCs w:val="34"/>
          <w:rtl/>
        </w:rPr>
        <w:t xml:space="preserve"> </w:t>
      </w:r>
      <w:r w:rsidR="003F76B5" w:rsidRPr="003F76B5">
        <w:rPr>
          <w:rFonts w:ascii="Arabic Typesetting" w:hAnsi="Arabic Typesetting" w:cs="Arabic Typesetting" w:hint="cs"/>
          <w:sz w:val="34"/>
          <w:szCs w:val="34"/>
          <w:rtl/>
        </w:rPr>
        <w:t>نسبته</w:t>
      </w:r>
      <w:r w:rsidRPr="003F76B5">
        <w:rPr>
          <w:rFonts w:ascii="Arabic Typesetting" w:hAnsi="Arabic Typesetting" w:cs="Arabic Typesetting"/>
          <w:sz w:val="34"/>
          <w:szCs w:val="34"/>
          <w:rtl/>
        </w:rPr>
        <w:t xml:space="preserve"> </w:t>
      </w:r>
      <w:r w:rsidR="003F76B5" w:rsidRPr="003F76B5">
        <w:rPr>
          <w:rFonts w:ascii="Arabic Typesetting" w:hAnsi="Arabic Typesetting" w:cs="Arabic Typesetting" w:hint="cs"/>
          <w:sz w:val="34"/>
          <w:szCs w:val="34"/>
          <w:rtl/>
        </w:rPr>
        <w:t>0.3</w:t>
      </w:r>
      <w:r w:rsidR="003F76B5" w:rsidRPr="003F76B5">
        <w:rPr>
          <w:rFonts w:ascii="Arabic Typesetting" w:hAnsi="Arabic Typesetting" w:cs="Arabic Typesetting"/>
          <w:sz w:val="34"/>
          <w:szCs w:val="34"/>
          <w:rtl/>
        </w:rPr>
        <w:t xml:space="preserve"> </w:t>
      </w:r>
      <w:r w:rsidRPr="003F76B5">
        <w:rPr>
          <w:rFonts w:ascii="Arabic Typesetting" w:hAnsi="Arabic Typesetting" w:cs="Arabic Typesetting"/>
          <w:sz w:val="34"/>
          <w:szCs w:val="34"/>
          <w:rtl/>
        </w:rPr>
        <w:t xml:space="preserve">بالمئة مقارنة </w:t>
      </w:r>
      <w:r w:rsidR="003F76B5" w:rsidRPr="003F76B5">
        <w:rPr>
          <w:rFonts w:ascii="Arabic Typesetting" w:hAnsi="Arabic Typesetting" w:cs="Arabic Typesetting" w:hint="cs"/>
          <w:sz w:val="34"/>
          <w:szCs w:val="34"/>
          <w:rtl/>
        </w:rPr>
        <w:t>بعام 2014</w:t>
      </w:r>
      <w:r w:rsidRPr="003F76B5">
        <w:rPr>
          <w:rFonts w:ascii="Arabic Typesetting" w:hAnsi="Arabic Typesetting" w:cs="Arabic Typesetting"/>
          <w:sz w:val="34"/>
          <w:szCs w:val="34"/>
          <w:rtl/>
        </w:rPr>
        <w:t xml:space="preserve">. </w:t>
      </w:r>
      <w:r w:rsidR="003F76B5" w:rsidRPr="003F76B5">
        <w:rPr>
          <w:rFonts w:ascii="Arabic Typesetting" w:hAnsi="Arabic Typesetting" w:cs="Arabic Typesetting" w:hint="cs"/>
          <w:sz w:val="34"/>
          <w:szCs w:val="34"/>
          <w:rtl/>
        </w:rPr>
        <w:t>ولعل أحد الأسباب الرئيسية لهذا الانخفاض هو زيادة الإيداعات في الولايات المتحدة الأمريكية في شهر مارس 2014 عقب دخول قانون</w:t>
      </w:r>
      <w:r w:rsidR="003F76B5" w:rsidRPr="003F76B5">
        <w:rPr>
          <w:rFonts w:ascii="Arabic Typesetting" w:hAnsi="Arabic Typesetting" w:cs="Arabic Typesetting"/>
          <w:sz w:val="34"/>
          <w:szCs w:val="34"/>
          <w:rtl/>
        </w:rPr>
        <w:t xml:space="preserve"> الاختراعات الأمريكي ليهي سميث (</w:t>
      </w:r>
      <w:r w:rsidR="003F76B5" w:rsidRPr="003F76B5">
        <w:rPr>
          <w:rFonts w:ascii="Arabic Typesetting" w:hAnsi="Arabic Typesetting" w:cs="Arabic Typesetting"/>
          <w:sz w:val="34"/>
          <w:szCs w:val="34"/>
        </w:rPr>
        <w:t>AIA</w:t>
      </w:r>
      <w:r w:rsidR="003F76B5" w:rsidRPr="003F76B5">
        <w:rPr>
          <w:rFonts w:ascii="Arabic Typesetting" w:hAnsi="Arabic Typesetting" w:cs="Arabic Typesetting"/>
          <w:sz w:val="34"/>
          <w:szCs w:val="34"/>
          <w:rtl/>
        </w:rPr>
        <w:t>)</w:t>
      </w:r>
      <w:r w:rsidR="003F76B5" w:rsidRPr="003F76B5">
        <w:rPr>
          <w:rFonts w:ascii="Arabic Typesetting" w:hAnsi="Arabic Typesetting" w:cs="Arabic Typesetting" w:hint="cs"/>
          <w:sz w:val="34"/>
          <w:szCs w:val="34"/>
          <w:rtl/>
        </w:rPr>
        <w:t xml:space="preserve"> حيز النفاذ في العام السابق. وورد ما مجموعه 000 435 نسخة أصلية تقريباً في الثنائية </w:t>
      </w:r>
      <w:r w:rsidR="00507DE2">
        <w:rPr>
          <w:rFonts w:ascii="Arabic Typesetting" w:hAnsi="Arabic Typesetting" w:cs="Arabic Typesetting" w:hint="cs"/>
          <w:sz w:val="34"/>
          <w:szCs w:val="34"/>
          <w:rtl/>
        </w:rPr>
        <w:t>2014/15</w:t>
      </w:r>
      <w:r w:rsidR="003F76B5" w:rsidRPr="003F76B5">
        <w:rPr>
          <w:rFonts w:ascii="Arabic Typesetting" w:hAnsi="Arabic Typesetting" w:cs="Arabic Typesetting" w:hint="cs"/>
          <w:sz w:val="34"/>
          <w:szCs w:val="34"/>
          <w:rtl/>
        </w:rPr>
        <w:t xml:space="preserve"> أي بزيادة نسبتها تسعة بالمئة مقارنة بالثنائية </w:t>
      </w:r>
      <w:r w:rsidR="00507DE2">
        <w:rPr>
          <w:rFonts w:ascii="Arabic Typesetting" w:hAnsi="Arabic Typesetting" w:cs="Arabic Typesetting" w:hint="cs"/>
          <w:sz w:val="34"/>
          <w:szCs w:val="34"/>
          <w:rtl/>
        </w:rPr>
        <w:t>2012/13</w:t>
      </w:r>
      <w:r w:rsidR="003F76B5" w:rsidRPr="003F76B5">
        <w:rPr>
          <w:rFonts w:ascii="Arabic Typesetting" w:hAnsi="Arabic Typesetting" w:cs="Arabic Typesetting" w:hint="cs"/>
          <w:sz w:val="34"/>
          <w:szCs w:val="34"/>
          <w:rtl/>
        </w:rPr>
        <w:t xml:space="preserve"> التي ورد خلالها ما مجموعه 000 399 نسخة أصلية</w:t>
      </w:r>
      <w:r w:rsidR="004118F4">
        <w:rPr>
          <w:rFonts w:ascii="Arabic Typesetting" w:hAnsi="Arabic Typesetting" w:cs="Arabic Typesetting" w:hint="cs"/>
          <w:sz w:val="34"/>
          <w:szCs w:val="34"/>
          <w:rtl/>
        </w:rPr>
        <w:t xml:space="preserve"> تقريباً</w:t>
      </w:r>
      <w:r w:rsidR="003F76B5" w:rsidRPr="003F76B5">
        <w:rPr>
          <w:rFonts w:ascii="Arabic Typesetting" w:hAnsi="Arabic Typesetting" w:cs="Arabic Typesetting" w:hint="cs"/>
          <w:sz w:val="34"/>
          <w:szCs w:val="34"/>
          <w:rtl/>
        </w:rPr>
        <w:t xml:space="preserve">. </w:t>
      </w:r>
      <w:r w:rsidRPr="003F76B5">
        <w:rPr>
          <w:rFonts w:ascii="Arabic Typesetting" w:hAnsi="Arabic Typesetting" w:cs="Arabic Typesetting"/>
          <w:sz w:val="34"/>
          <w:szCs w:val="34"/>
          <w:rtl/>
        </w:rPr>
        <w:t xml:space="preserve">واستمرت حصة أساليب الإيداع الإلكتروني الكامل في الزيادة في </w:t>
      </w:r>
      <w:r w:rsidR="003F76B5">
        <w:rPr>
          <w:rFonts w:ascii="Arabic Typesetting" w:hAnsi="Arabic Typesetting" w:cs="Arabic Typesetting" w:hint="cs"/>
          <w:sz w:val="34"/>
          <w:szCs w:val="34"/>
          <w:rtl/>
        </w:rPr>
        <w:t>عام 2015</w:t>
      </w:r>
      <w:r w:rsidRPr="003F76B5">
        <w:rPr>
          <w:rFonts w:ascii="Arabic Typesetting" w:hAnsi="Arabic Typesetting" w:cs="Arabic Typesetting"/>
          <w:sz w:val="34"/>
          <w:szCs w:val="34"/>
          <w:rtl/>
        </w:rPr>
        <w:t>، وهي تبلغ في الوقت الراهن نسبة </w:t>
      </w:r>
      <w:r w:rsidR="003F76B5">
        <w:rPr>
          <w:rFonts w:ascii="Arabic Typesetting" w:hAnsi="Arabic Typesetting" w:cs="Arabic Typesetting" w:hint="cs"/>
          <w:sz w:val="34"/>
          <w:szCs w:val="34"/>
          <w:rtl/>
        </w:rPr>
        <w:t>94</w:t>
      </w:r>
      <w:r w:rsidR="003F76B5" w:rsidRPr="003F76B5">
        <w:rPr>
          <w:rFonts w:ascii="Arabic Typesetting" w:hAnsi="Arabic Typesetting" w:cs="Arabic Typesetting" w:hint="cs"/>
          <w:sz w:val="34"/>
          <w:szCs w:val="34"/>
          <w:rtl/>
        </w:rPr>
        <w:t xml:space="preserve"> </w:t>
      </w:r>
      <w:r w:rsidRPr="003F76B5">
        <w:rPr>
          <w:rFonts w:ascii="Arabic Typesetting" w:hAnsi="Arabic Typesetting" w:cs="Arabic Typesetting"/>
          <w:sz w:val="34"/>
          <w:szCs w:val="34"/>
          <w:rtl/>
        </w:rPr>
        <w:t xml:space="preserve">بالمئة من مجموع الإيداعات. </w:t>
      </w:r>
      <w:r w:rsidRPr="003F76B5">
        <w:rPr>
          <w:rFonts w:ascii="Arabic Typesetting" w:hAnsi="Arabic Typesetting" w:cs="Arabic Typesetting" w:hint="cs"/>
          <w:sz w:val="34"/>
          <w:szCs w:val="34"/>
          <w:rtl/>
        </w:rPr>
        <w:t>وفي حين أن</w:t>
      </w:r>
      <w:r w:rsidRPr="003F76B5">
        <w:rPr>
          <w:rFonts w:ascii="Arabic Typesetting" w:hAnsi="Arabic Typesetting" w:cs="Arabic Typesetting"/>
          <w:sz w:val="34"/>
          <w:szCs w:val="34"/>
          <w:rtl/>
        </w:rPr>
        <w:t xml:space="preserve"> اللغة الإنكليزية</w:t>
      </w:r>
      <w:r w:rsidRPr="003F76B5">
        <w:rPr>
          <w:rFonts w:ascii="Arabic Typesetting" w:hAnsi="Arabic Typesetting" w:cs="Arabic Typesetting" w:hint="cs"/>
          <w:sz w:val="34"/>
          <w:szCs w:val="34"/>
          <w:rtl/>
        </w:rPr>
        <w:t xml:space="preserve"> هي اللغة</w:t>
      </w:r>
      <w:r w:rsidRPr="003F76B5">
        <w:rPr>
          <w:rFonts w:ascii="Arabic Typesetting" w:hAnsi="Arabic Typesetting" w:cs="Arabic Typesetting"/>
          <w:sz w:val="34"/>
          <w:szCs w:val="34"/>
          <w:rtl/>
        </w:rPr>
        <w:t xml:space="preserve"> </w:t>
      </w:r>
      <w:r w:rsidRPr="003F76B5">
        <w:rPr>
          <w:rFonts w:ascii="Arabic Typesetting" w:hAnsi="Arabic Typesetting" w:cs="Arabic Typesetting" w:hint="cs"/>
          <w:sz w:val="34"/>
          <w:szCs w:val="34"/>
          <w:rtl/>
        </w:rPr>
        <w:t>المس</w:t>
      </w:r>
      <w:r w:rsidRPr="003F76B5">
        <w:rPr>
          <w:rFonts w:ascii="Arabic Typesetting" w:hAnsi="Arabic Typesetting" w:cs="Arabic Typesetting"/>
          <w:sz w:val="34"/>
          <w:szCs w:val="34"/>
          <w:rtl/>
        </w:rPr>
        <w:t>تخدم</w:t>
      </w:r>
      <w:r w:rsidRPr="003F76B5">
        <w:rPr>
          <w:rFonts w:ascii="Arabic Typesetting" w:hAnsi="Arabic Typesetting" w:cs="Arabic Typesetting" w:hint="cs"/>
          <w:sz w:val="34"/>
          <w:szCs w:val="34"/>
          <w:rtl/>
        </w:rPr>
        <w:t>ة</w:t>
      </w:r>
      <w:r w:rsidRPr="003F76B5">
        <w:rPr>
          <w:rFonts w:ascii="Arabic Typesetting" w:hAnsi="Arabic Typesetting" w:cs="Arabic Typesetting"/>
          <w:sz w:val="34"/>
          <w:szCs w:val="34"/>
          <w:rtl/>
        </w:rPr>
        <w:t xml:space="preserve"> في </w:t>
      </w:r>
      <w:r w:rsidRPr="003F76B5">
        <w:rPr>
          <w:rFonts w:ascii="Arabic Typesetting" w:hAnsi="Arabic Typesetting" w:cs="Arabic Typesetting" w:hint="cs"/>
          <w:sz w:val="34"/>
          <w:szCs w:val="34"/>
          <w:rtl/>
        </w:rPr>
        <w:t xml:space="preserve">أغلب </w:t>
      </w:r>
      <w:r w:rsidRPr="003F76B5">
        <w:rPr>
          <w:rFonts w:ascii="Arabic Typesetting" w:hAnsi="Arabic Typesetting" w:cs="Arabic Typesetting"/>
          <w:sz w:val="34"/>
          <w:szCs w:val="34"/>
          <w:rtl/>
        </w:rPr>
        <w:t>الإيداع</w:t>
      </w:r>
      <w:r w:rsidRPr="003F76B5">
        <w:rPr>
          <w:rFonts w:ascii="Arabic Typesetting" w:hAnsi="Arabic Typesetting" w:cs="Arabic Typesetting" w:hint="cs"/>
          <w:sz w:val="34"/>
          <w:szCs w:val="34"/>
          <w:rtl/>
        </w:rPr>
        <w:t xml:space="preserve">ات بنسبة </w:t>
      </w:r>
      <w:r w:rsidR="003F76B5">
        <w:rPr>
          <w:rFonts w:ascii="Arabic Typesetting" w:hAnsi="Arabic Typesetting" w:cs="Arabic Typesetting" w:hint="cs"/>
          <w:sz w:val="34"/>
          <w:szCs w:val="34"/>
          <w:rtl/>
        </w:rPr>
        <w:t>48.6</w:t>
      </w:r>
      <w:r w:rsidRPr="003F76B5">
        <w:rPr>
          <w:rFonts w:ascii="Arabic Typesetting" w:hAnsi="Arabic Typesetting" w:cs="Arabic Typesetting" w:hint="cs"/>
          <w:sz w:val="34"/>
          <w:szCs w:val="34"/>
          <w:rtl/>
        </w:rPr>
        <w:t xml:space="preserve"> بالمئة في </w:t>
      </w:r>
      <w:r w:rsidR="003F76B5">
        <w:rPr>
          <w:rFonts w:ascii="Arabic Typesetting" w:hAnsi="Arabic Typesetting" w:cs="Arabic Typesetting" w:hint="cs"/>
          <w:sz w:val="34"/>
          <w:szCs w:val="34"/>
          <w:rtl/>
        </w:rPr>
        <w:t xml:space="preserve">الثنائية </w:t>
      </w:r>
      <w:r w:rsidR="00507DE2">
        <w:rPr>
          <w:rFonts w:ascii="Arabic Typesetting" w:hAnsi="Arabic Typesetting" w:cs="Arabic Typesetting" w:hint="cs"/>
          <w:sz w:val="34"/>
          <w:szCs w:val="34"/>
          <w:rtl/>
        </w:rPr>
        <w:t>2014/15</w:t>
      </w:r>
      <w:r w:rsidRPr="003F76B5">
        <w:rPr>
          <w:rFonts w:ascii="Arabic Typesetting" w:hAnsi="Arabic Typesetting" w:cs="Arabic Typesetting"/>
          <w:sz w:val="34"/>
          <w:szCs w:val="34"/>
          <w:rtl/>
        </w:rPr>
        <w:t xml:space="preserve">، </w:t>
      </w:r>
      <w:r w:rsidRPr="003F76B5">
        <w:rPr>
          <w:rFonts w:ascii="Arabic Typesetting" w:hAnsi="Arabic Typesetting" w:cs="Arabic Typesetting" w:hint="cs"/>
          <w:sz w:val="34"/>
          <w:szCs w:val="34"/>
          <w:rtl/>
        </w:rPr>
        <w:t xml:space="preserve">تزايدت حصة </w:t>
      </w:r>
      <w:r w:rsidRPr="003F76B5">
        <w:rPr>
          <w:rFonts w:ascii="Arabic Typesetting" w:hAnsi="Arabic Typesetting" w:cs="Arabic Typesetting"/>
          <w:sz w:val="34"/>
          <w:szCs w:val="34"/>
          <w:rtl/>
        </w:rPr>
        <w:t>اللغات</w:t>
      </w:r>
      <w:r w:rsidRPr="003F76B5">
        <w:rPr>
          <w:rFonts w:ascii="Arabic Typesetting" w:hAnsi="Arabic Typesetting" w:cs="Arabic Typesetting" w:hint="cs"/>
          <w:sz w:val="34"/>
          <w:szCs w:val="34"/>
          <w:rtl/>
        </w:rPr>
        <w:t xml:space="preserve"> الأسيوية على مدى العقد ال</w:t>
      </w:r>
      <w:r w:rsidR="003F76B5">
        <w:rPr>
          <w:rFonts w:ascii="Arabic Typesetting" w:hAnsi="Arabic Typesetting" w:cs="Arabic Typesetting" w:hint="cs"/>
          <w:sz w:val="34"/>
          <w:szCs w:val="34"/>
          <w:rtl/>
        </w:rPr>
        <w:t>ماضي</w:t>
      </w:r>
      <w:r w:rsidRPr="003F76B5">
        <w:rPr>
          <w:rFonts w:ascii="Arabic Typesetting" w:hAnsi="Arabic Typesetting" w:cs="Arabic Typesetting" w:hint="cs"/>
          <w:sz w:val="34"/>
          <w:szCs w:val="34"/>
          <w:rtl/>
        </w:rPr>
        <w:t>. و</w:t>
      </w:r>
      <w:r w:rsidRPr="003F76B5">
        <w:rPr>
          <w:rFonts w:ascii="Arabic Typesetting" w:hAnsi="Arabic Typesetting" w:cs="Arabic Typesetting"/>
          <w:sz w:val="34"/>
          <w:szCs w:val="34"/>
          <w:rtl/>
        </w:rPr>
        <w:t>ارتفعت حصة الطلبات المودعة بناء على معاهدة التعاون بشأن البراءات</w:t>
      </w:r>
      <w:r w:rsidRPr="003F76B5">
        <w:rPr>
          <w:rFonts w:ascii="Arabic Typesetting" w:hAnsi="Arabic Typesetting" w:cs="Arabic Typesetting" w:hint="cs"/>
          <w:sz w:val="34"/>
          <w:szCs w:val="34"/>
          <w:rtl/>
        </w:rPr>
        <w:t xml:space="preserve"> (معاهدة البراءات)</w:t>
      </w:r>
      <w:r w:rsidRPr="003F76B5">
        <w:rPr>
          <w:rFonts w:ascii="Arabic Typesetting" w:hAnsi="Arabic Typesetting" w:cs="Arabic Typesetting"/>
          <w:sz w:val="34"/>
          <w:szCs w:val="34"/>
          <w:rtl/>
        </w:rPr>
        <w:t xml:space="preserve"> باللغات اليابانية والصينية والكورية من </w:t>
      </w:r>
      <w:r w:rsidRPr="003F76B5">
        <w:rPr>
          <w:rFonts w:ascii="Arabic Typesetting" w:hAnsi="Arabic Typesetting" w:cs="Arabic Typesetting" w:hint="cs"/>
          <w:sz w:val="34"/>
          <w:szCs w:val="34"/>
          <w:rtl/>
        </w:rPr>
        <w:t>29.5</w:t>
      </w:r>
      <w:r w:rsidRPr="003F76B5">
        <w:rPr>
          <w:rFonts w:ascii="Arabic Typesetting" w:hAnsi="Arabic Typesetting" w:cs="Arabic Typesetting"/>
          <w:sz w:val="34"/>
          <w:szCs w:val="34"/>
          <w:rtl/>
        </w:rPr>
        <w:t xml:space="preserve"> بالمئة في</w:t>
      </w:r>
      <w:r w:rsidR="003F76B5">
        <w:rPr>
          <w:rFonts w:ascii="Arabic Typesetting" w:hAnsi="Arabic Typesetting" w:cs="Arabic Typesetting" w:hint="cs"/>
          <w:sz w:val="34"/>
          <w:szCs w:val="34"/>
          <w:rtl/>
        </w:rPr>
        <w:t xml:space="preserve"> عام</w:t>
      </w:r>
      <w:r w:rsidRPr="003F76B5">
        <w:rPr>
          <w:rFonts w:ascii="Arabic Typesetting" w:hAnsi="Arabic Typesetting" w:cs="Arabic Typesetting"/>
          <w:sz w:val="34"/>
          <w:szCs w:val="34"/>
          <w:rtl/>
        </w:rPr>
        <w:t xml:space="preserve"> </w:t>
      </w:r>
      <w:r w:rsidRPr="003F76B5">
        <w:rPr>
          <w:rFonts w:ascii="Arabic Typesetting" w:hAnsi="Arabic Typesetting" w:cs="Arabic Typesetting" w:hint="cs"/>
          <w:sz w:val="34"/>
          <w:szCs w:val="34"/>
          <w:rtl/>
        </w:rPr>
        <w:t>2009</w:t>
      </w:r>
      <w:r w:rsidRPr="003F76B5">
        <w:rPr>
          <w:rFonts w:ascii="Arabic Typesetting" w:hAnsi="Arabic Typesetting" w:cs="Arabic Typesetting"/>
          <w:sz w:val="34"/>
          <w:szCs w:val="34"/>
          <w:rtl/>
        </w:rPr>
        <w:t xml:space="preserve"> إلى </w:t>
      </w:r>
      <w:r w:rsidRPr="003F76B5">
        <w:rPr>
          <w:rFonts w:ascii="Arabic Typesetting" w:hAnsi="Arabic Typesetting" w:cs="Arabic Typesetting" w:hint="cs"/>
          <w:sz w:val="34"/>
          <w:szCs w:val="34"/>
          <w:rtl/>
        </w:rPr>
        <w:t>34.5</w:t>
      </w:r>
      <w:r w:rsidRPr="003F76B5">
        <w:rPr>
          <w:rFonts w:ascii="Arabic Typesetting" w:hAnsi="Arabic Typesetting" w:cs="Arabic Typesetting"/>
          <w:sz w:val="34"/>
          <w:szCs w:val="34"/>
          <w:rtl/>
        </w:rPr>
        <w:t xml:space="preserve"> بالمئة في</w:t>
      </w:r>
      <w:r w:rsidR="003F76B5">
        <w:rPr>
          <w:rFonts w:ascii="Arabic Typesetting" w:hAnsi="Arabic Typesetting" w:cs="Arabic Typesetting" w:hint="cs"/>
          <w:sz w:val="34"/>
          <w:szCs w:val="34"/>
          <w:rtl/>
        </w:rPr>
        <w:t xml:space="preserve"> عام 2015</w:t>
      </w:r>
      <w:r w:rsidRPr="003F76B5">
        <w:rPr>
          <w:rFonts w:ascii="Arabic Typesetting" w:hAnsi="Arabic Typesetting" w:cs="Arabic Typesetting" w:hint="cs"/>
          <w:sz w:val="34"/>
          <w:szCs w:val="34"/>
          <w:rtl/>
        </w:rPr>
        <w:t>.</w:t>
      </w:r>
    </w:p>
    <w:p w:rsidR="00C727B4" w:rsidRPr="00C727B4" w:rsidRDefault="00B31868" w:rsidP="009A3712">
      <w:pPr>
        <w:numPr>
          <w:ilvl w:val="0"/>
          <w:numId w:val="6"/>
        </w:numPr>
        <w:bidi/>
        <w:spacing w:after="120" w:line="340" w:lineRule="exact"/>
        <w:ind w:left="0" w:firstLine="0"/>
        <w:rPr>
          <w:rFonts w:ascii="Arabic Typesetting" w:hAnsi="Arabic Typesetting" w:cs="Arabic Typesetting"/>
          <w:sz w:val="34"/>
          <w:szCs w:val="34"/>
        </w:rPr>
      </w:pPr>
      <w:r w:rsidRPr="00C727B4">
        <w:rPr>
          <w:rFonts w:ascii="Arabic Typesetting" w:hAnsi="Arabic Typesetting" w:cs="Arabic Typesetting" w:hint="cs"/>
          <w:sz w:val="34"/>
          <w:szCs w:val="34"/>
          <w:rtl/>
        </w:rPr>
        <w:t xml:space="preserve">وتزايد استخدام نظام </w:t>
      </w:r>
      <w:r w:rsidRPr="00C727B4">
        <w:rPr>
          <w:rFonts w:ascii="Arabic Typesetting" w:hAnsi="Arabic Typesetting" w:cs="Arabic Typesetting"/>
          <w:sz w:val="34"/>
          <w:szCs w:val="34"/>
        </w:rPr>
        <w:t>e</w:t>
      </w:r>
      <w:r w:rsidRPr="00C727B4">
        <w:rPr>
          <w:rFonts w:ascii="Arabic Typesetting" w:hAnsi="Arabic Typesetting" w:cs="Arabic Typesetting"/>
          <w:sz w:val="34"/>
          <w:szCs w:val="34"/>
          <w:lang w:val="fr-CH"/>
        </w:rPr>
        <w:t>P</w:t>
      </w:r>
      <w:r w:rsidRPr="00C727B4">
        <w:rPr>
          <w:rFonts w:ascii="Arabic Typesetting" w:hAnsi="Arabic Typesetting" w:cs="Arabic Typesetting"/>
          <w:sz w:val="34"/>
          <w:szCs w:val="34"/>
        </w:rPr>
        <w:t>C</w:t>
      </w:r>
      <w:r w:rsidRPr="00C727B4">
        <w:rPr>
          <w:rFonts w:ascii="Arabic Typesetting" w:hAnsi="Arabic Typesetting" w:cs="Arabic Typesetting"/>
          <w:sz w:val="34"/>
          <w:szCs w:val="34"/>
          <w:lang w:val="fr-CH"/>
        </w:rPr>
        <w:t>T</w:t>
      </w:r>
      <w:r w:rsidRPr="00C727B4">
        <w:rPr>
          <w:rFonts w:ascii="Arabic Typesetting" w:hAnsi="Arabic Typesetting" w:cs="Arabic Typesetting" w:hint="cs"/>
          <w:sz w:val="34"/>
          <w:szCs w:val="34"/>
          <w:rtl/>
          <w:lang w:val="fr-CH"/>
        </w:rPr>
        <w:t xml:space="preserve"> الإلكتروني </w:t>
      </w:r>
      <w:r w:rsidR="003F76B5" w:rsidRPr="00C727B4">
        <w:rPr>
          <w:rFonts w:ascii="Arabic Typesetting" w:hAnsi="Arabic Typesetting" w:cs="Arabic Typesetting" w:hint="cs"/>
          <w:sz w:val="34"/>
          <w:szCs w:val="34"/>
          <w:rtl/>
          <w:lang w:val="fr-CH"/>
        </w:rPr>
        <w:t xml:space="preserve">ازدياداً </w:t>
      </w:r>
      <w:r w:rsidRPr="00C727B4">
        <w:rPr>
          <w:rFonts w:ascii="Arabic Typesetting" w:hAnsi="Arabic Typesetting" w:cs="Arabic Typesetting" w:hint="cs"/>
          <w:sz w:val="34"/>
          <w:szCs w:val="34"/>
          <w:rtl/>
          <w:lang w:val="fr-CH"/>
        </w:rPr>
        <w:t>كبير</w:t>
      </w:r>
      <w:r w:rsidR="003F76B5" w:rsidRPr="00C727B4">
        <w:rPr>
          <w:rFonts w:ascii="Arabic Typesetting" w:hAnsi="Arabic Typesetting" w:cs="Arabic Typesetting" w:hint="cs"/>
          <w:sz w:val="34"/>
          <w:szCs w:val="34"/>
          <w:rtl/>
          <w:lang w:val="fr-CH"/>
        </w:rPr>
        <w:t>اً</w:t>
      </w:r>
      <w:r w:rsidRPr="00C727B4">
        <w:rPr>
          <w:rFonts w:ascii="Arabic Typesetting" w:hAnsi="Arabic Typesetting" w:cs="Arabic Typesetting" w:hint="cs"/>
          <w:sz w:val="34"/>
          <w:szCs w:val="34"/>
          <w:rtl/>
          <w:lang w:val="fr-CH"/>
        </w:rPr>
        <w:t xml:space="preserve"> في </w:t>
      </w:r>
      <w:r w:rsidR="003F76B5" w:rsidRPr="00C727B4">
        <w:rPr>
          <w:rFonts w:ascii="Arabic Typesetting" w:hAnsi="Arabic Typesetting" w:cs="Arabic Typesetting" w:hint="cs"/>
          <w:sz w:val="34"/>
          <w:szCs w:val="34"/>
          <w:rtl/>
          <w:lang w:val="fr-CH"/>
        </w:rPr>
        <w:t xml:space="preserve">الثنائية </w:t>
      </w:r>
      <w:r w:rsidR="00507DE2">
        <w:rPr>
          <w:rFonts w:ascii="Arabic Typesetting" w:hAnsi="Arabic Typesetting" w:cs="Arabic Typesetting" w:hint="cs"/>
          <w:sz w:val="34"/>
          <w:szCs w:val="34"/>
          <w:rtl/>
          <w:lang w:val="fr-CH"/>
        </w:rPr>
        <w:t>2014/15</w:t>
      </w:r>
      <w:r w:rsidRPr="00C727B4">
        <w:rPr>
          <w:rFonts w:ascii="Arabic Typesetting" w:hAnsi="Arabic Typesetting" w:cs="Arabic Typesetting" w:hint="cs"/>
          <w:sz w:val="34"/>
          <w:szCs w:val="34"/>
          <w:rtl/>
          <w:lang w:val="fr-CH"/>
        </w:rPr>
        <w:t>، إذ</w:t>
      </w:r>
      <w:r w:rsidR="003F76B5" w:rsidRPr="00C727B4">
        <w:rPr>
          <w:rFonts w:ascii="Arabic Typesetting" w:hAnsi="Arabic Typesetting" w:cs="Arabic Typesetting" w:hint="cs"/>
          <w:sz w:val="34"/>
          <w:szCs w:val="34"/>
          <w:rtl/>
          <w:lang w:val="fr-CH"/>
        </w:rPr>
        <w:t xml:space="preserve"> أصبحت الواجهة متاحة بلغات النشر العشر في أبريل 2015، ما يسر النفاذ للمودعين ولمكاتب تسلّم الطلبات في شتى أنحاء العالم. و</w:t>
      </w:r>
      <w:r w:rsidRPr="00C727B4">
        <w:rPr>
          <w:rFonts w:ascii="Arabic Typesetting" w:hAnsi="Arabic Typesetting" w:cs="Arabic Typesetting" w:hint="cs"/>
          <w:sz w:val="34"/>
          <w:szCs w:val="34"/>
          <w:rtl/>
          <w:lang w:val="fr-CH"/>
        </w:rPr>
        <w:t xml:space="preserve">وظيفة الإيداع الإلكتروني </w:t>
      </w:r>
      <w:r w:rsidRPr="00C727B4">
        <w:rPr>
          <w:rFonts w:ascii="Arabic Typesetting" w:hAnsi="Arabic Typesetting" w:cs="Arabic Typesetting"/>
          <w:sz w:val="34"/>
          <w:szCs w:val="34"/>
        </w:rPr>
        <w:t>e</w:t>
      </w:r>
      <w:r w:rsidRPr="00C727B4">
        <w:rPr>
          <w:rFonts w:ascii="Arabic Typesetting" w:hAnsi="Arabic Typesetting" w:cs="Arabic Typesetting"/>
          <w:sz w:val="34"/>
          <w:szCs w:val="34"/>
          <w:lang w:val="fr-CH"/>
        </w:rPr>
        <w:t>P</w:t>
      </w:r>
      <w:r w:rsidRPr="00C727B4">
        <w:rPr>
          <w:rFonts w:ascii="Arabic Typesetting" w:hAnsi="Arabic Typesetting" w:cs="Arabic Typesetting"/>
          <w:sz w:val="34"/>
          <w:szCs w:val="34"/>
        </w:rPr>
        <w:t>C</w:t>
      </w:r>
      <w:r w:rsidRPr="00C727B4">
        <w:rPr>
          <w:rFonts w:ascii="Arabic Typesetting" w:hAnsi="Arabic Typesetting" w:cs="Arabic Typesetting"/>
          <w:sz w:val="34"/>
          <w:szCs w:val="34"/>
          <w:lang w:val="fr-CH"/>
        </w:rPr>
        <w:t>T</w:t>
      </w:r>
      <w:r w:rsidRPr="00C727B4">
        <w:rPr>
          <w:rFonts w:ascii="Arabic Typesetting" w:hAnsi="Arabic Typesetting" w:cs="Arabic Typesetting" w:hint="cs"/>
          <w:sz w:val="34"/>
          <w:szCs w:val="34"/>
          <w:rtl/>
          <w:lang w:val="fr-CH"/>
        </w:rPr>
        <w:t xml:space="preserve"> التي كانت في 2013 متاحة فقط لمكتب تسلم الطلبات في المكتب الدولي، أتيحت في </w:t>
      </w:r>
      <w:r w:rsidR="003F76B5" w:rsidRPr="00C727B4">
        <w:rPr>
          <w:rFonts w:ascii="Arabic Typesetting" w:hAnsi="Arabic Typesetting" w:cs="Arabic Typesetting" w:hint="cs"/>
          <w:sz w:val="34"/>
          <w:szCs w:val="34"/>
          <w:rtl/>
          <w:lang w:val="fr-CH"/>
        </w:rPr>
        <w:t xml:space="preserve">الثنائية </w:t>
      </w:r>
      <w:r w:rsidR="00507DE2">
        <w:rPr>
          <w:rFonts w:ascii="Arabic Typesetting" w:hAnsi="Arabic Typesetting" w:cs="Arabic Typesetting" w:hint="cs"/>
          <w:sz w:val="34"/>
          <w:szCs w:val="34"/>
          <w:rtl/>
          <w:lang w:val="fr-CH"/>
        </w:rPr>
        <w:t>2014/15</w:t>
      </w:r>
      <w:r w:rsidR="003F76B5" w:rsidRPr="00C727B4">
        <w:rPr>
          <w:rFonts w:ascii="Arabic Typesetting" w:hAnsi="Arabic Typesetting" w:cs="Arabic Typesetting" w:hint="cs"/>
          <w:sz w:val="34"/>
          <w:szCs w:val="34"/>
          <w:rtl/>
          <w:lang w:val="fr-CH"/>
        </w:rPr>
        <w:t xml:space="preserve"> </w:t>
      </w:r>
      <w:r w:rsidRPr="00C727B4">
        <w:rPr>
          <w:rFonts w:ascii="Arabic Typesetting" w:hAnsi="Arabic Typesetting" w:cs="Arabic Typesetting" w:hint="cs"/>
          <w:sz w:val="34"/>
          <w:szCs w:val="34"/>
          <w:rtl/>
          <w:lang w:val="fr-CH"/>
        </w:rPr>
        <w:t xml:space="preserve">لجميع مكاتب تسلم الطلبات الراغبة في </w:t>
      </w:r>
      <w:r w:rsidR="005F6A0E">
        <w:rPr>
          <w:rFonts w:ascii="Arabic Typesetting" w:hAnsi="Arabic Typesetting" w:cs="Arabic Typesetting" w:hint="cs"/>
          <w:sz w:val="34"/>
          <w:szCs w:val="34"/>
          <w:rtl/>
          <w:lang w:val="fr-CH"/>
        </w:rPr>
        <w:t>تسلّم</w:t>
      </w:r>
      <w:r w:rsidR="005F6A0E" w:rsidRPr="00C727B4">
        <w:rPr>
          <w:rFonts w:ascii="Arabic Typesetting" w:hAnsi="Arabic Typesetting" w:cs="Arabic Typesetting" w:hint="cs"/>
          <w:sz w:val="34"/>
          <w:szCs w:val="34"/>
          <w:rtl/>
          <w:lang w:val="fr-CH"/>
        </w:rPr>
        <w:t xml:space="preserve"> </w:t>
      </w:r>
      <w:r w:rsidRPr="00C727B4">
        <w:rPr>
          <w:rFonts w:ascii="Arabic Typesetting" w:hAnsi="Arabic Typesetting" w:cs="Arabic Typesetting" w:hint="cs"/>
          <w:sz w:val="34"/>
          <w:szCs w:val="34"/>
          <w:rtl/>
          <w:lang w:val="fr-CH"/>
        </w:rPr>
        <w:t xml:space="preserve">الطلبات الدولية ومعالجتها. وبحلول نهاية </w:t>
      </w:r>
      <w:r w:rsidR="003F76B5" w:rsidRPr="00C727B4">
        <w:rPr>
          <w:rFonts w:ascii="Arabic Typesetting" w:hAnsi="Arabic Typesetting" w:cs="Arabic Typesetting" w:hint="cs"/>
          <w:sz w:val="34"/>
          <w:szCs w:val="34"/>
          <w:rtl/>
          <w:lang w:val="fr-CH"/>
        </w:rPr>
        <w:t>عام 2015</w:t>
      </w:r>
      <w:r w:rsidRPr="00C727B4">
        <w:rPr>
          <w:rFonts w:ascii="Arabic Typesetting" w:hAnsi="Arabic Typesetting" w:cs="Arabic Typesetting" w:hint="cs"/>
          <w:sz w:val="34"/>
          <w:szCs w:val="34"/>
          <w:rtl/>
          <w:lang w:val="fr-CH"/>
        </w:rPr>
        <w:t xml:space="preserve">، </w:t>
      </w:r>
      <w:r w:rsidR="003F76B5" w:rsidRPr="00C727B4">
        <w:rPr>
          <w:rFonts w:ascii="Arabic Typesetting" w:hAnsi="Arabic Typesetting" w:cs="Arabic Typesetting" w:hint="cs"/>
          <w:sz w:val="34"/>
          <w:szCs w:val="34"/>
          <w:rtl/>
          <w:lang w:val="fr-CH"/>
        </w:rPr>
        <w:t>شرع 29 مكتباً لتسلم الطلبات</w:t>
      </w:r>
      <w:r w:rsidR="004118F4">
        <w:rPr>
          <w:rFonts w:ascii="Arabic Typesetting" w:hAnsi="Arabic Typesetting" w:cs="Arabic Typesetting" w:hint="cs"/>
          <w:sz w:val="34"/>
          <w:szCs w:val="34"/>
          <w:rtl/>
          <w:lang w:val="fr-CH"/>
        </w:rPr>
        <w:t>،</w:t>
      </w:r>
      <w:r w:rsidR="003F76B5" w:rsidRPr="00C727B4">
        <w:rPr>
          <w:rFonts w:ascii="Arabic Typesetting" w:hAnsi="Arabic Typesetting" w:cs="Arabic Typesetting" w:hint="cs"/>
          <w:sz w:val="34"/>
          <w:szCs w:val="34"/>
          <w:rtl/>
          <w:lang w:val="fr-CH"/>
        </w:rPr>
        <w:t xml:space="preserve"> بمساعدة المكتب الدولي</w:t>
      </w:r>
      <w:r w:rsidR="004118F4">
        <w:rPr>
          <w:rFonts w:ascii="Arabic Typesetting" w:hAnsi="Arabic Typesetting" w:cs="Arabic Typesetting" w:hint="cs"/>
          <w:sz w:val="34"/>
          <w:szCs w:val="34"/>
          <w:rtl/>
          <w:lang w:val="fr-CH"/>
        </w:rPr>
        <w:t>،</w:t>
      </w:r>
      <w:r w:rsidR="003F76B5" w:rsidRPr="00C727B4">
        <w:rPr>
          <w:rFonts w:ascii="Arabic Typesetting" w:hAnsi="Arabic Typesetting" w:cs="Arabic Typesetting" w:hint="cs"/>
          <w:sz w:val="34"/>
          <w:szCs w:val="34"/>
          <w:rtl/>
          <w:lang w:val="fr-CH"/>
        </w:rPr>
        <w:t xml:space="preserve"> في قبول الطلبات المودعة عن طريق نظام </w:t>
      </w:r>
      <w:r w:rsidR="003F76B5" w:rsidRPr="00C727B4">
        <w:rPr>
          <w:rFonts w:ascii="Arabic Typesetting" w:hAnsi="Arabic Typesetting" w:cs="Arabic Typesetting"/>
          <w:sz w:val="34"/>
          <w:szCs w:val="34"/>
        </w:rPr>
        <w:t>e</w:t>
      </w:r>
      <w:r w:rsidR="003F76B5" w:rsidRPr="00C727B4">
        <w:rPr>
          <w:rFonts w:ascii="Arabic Typesetting" w:hAnsi="Arabic Typesetting" w:cs="Arabic Typesetting"/>
          <w:sz w:val="34"/>
          <w:szCs w:val="34"/>
          <w:lang w:val="fr-CH"/>
        </w:rPr>
        <w:t>P</w:t>
      </w:r>
      <w:r w:rsidR="003F76B5" w:rsidRPr="00C727B4">
        <w:rPr>
          <w:rFonts w:ascii="Arabic Typesetting" w:hAnsi="Arabic Typesetting" w:cs="Arabic Typesetting"/>
          <w:sz w:val="34"/>
          <w:szCs w:val="34"/>
        </w:rPr>
        <w:t>C</w:t>
      </w:r>
      <w:r w:rsidR="003F76B5" w:rsidRPr="00C727B4">
        <w:rPr>
          <w:rFonts w:ascii="Arabic Typesetting" w:hAnsi="Arabic Typesetting" w:cs="Arabic Typesetting"/>
          <w:sz w:val="34"/>
          <w:szCs w:val="34"/>
          <w:lang w:val="fr-CH"/>
        </w:rPr>
        <w:t>T</w:t>
      </w:r>
      <w:r w:rsidR="003F76B5" w:rsidRPr="00C727B4">
        <w:rPr>
          <w:rFonts w:ascii="Arabic Typesetting" w:hAnsi="Arabic Typesetting" w:cs="Arabic Typesetting" w:hint="cs"/>
          <w:sz w:val="34"/>
          <w:szCs w:val="34"/>
          <w:rtl/>
        </w:rPr>
        <w:t xml:space="preserve"> بما في ذلك من البلدان النامية مثل الجزائر وأذربيجان والبرازيل وشيلي وكولومبيا والهند وماليزيا والمكسيك والمملكة العربية السعودية وجنوب أفريقيا بما يتماشى مع توصيات جدول أعمال التنمية </w:t>
      </w:r>
      <w:r w:rsidR="005F6A0E">
        <w:rPr>
          <w:rFonts w:ascii="Arabic Typesetting" w:hAnsi="Arabic Typesetting" w:cs="Arabic Typesetting" w:hint="cs"/>
          <w:sz w:val="34"/>
          <w:szCs w:val="34"/>
          <w:rtl/>
        </w:rPr>
        <w:t xml:space="preserve">من </w:t>
      </w:r>
      <w:r w:rsidR="003F76B5" w:rsidRPr="00C727B4">
        <w:rPr>
          <w:rFonts w:ascii="Arabic Typesetting" w:hAnsi="Arabic Typesetting" w:cs="Arabic Typesetting"/>
          <w:sz w:val="34"/>
          <w:szCs w:val="34"/>
          <w:rtl/>
        </w:rPr>
        <w:t>الفئة ألف حول المساعدة التقنية</w:t>
      </w:r>
      <w:r w:rsidR="00B21C0C" w:rsidRPr="00C727B4">
        <w:rPr>
          <w:rFonts w:ascii="Arabic Typesetting" w:hAnsi="Arabic Typesetting" w:cs="Arabic Typesetting" w:hint="cs"/>
          <w:sz w:val="34"/>
          <w:szCs w:val="34"/>
          <w:rtl/>
        </w:rPr>
        <w:t xml:space="preserve"> إذ كانت تلك البلدان لا تتيح إمكانية الإيداع الشبكي للطلبات الدولية. </w:t>
      </w:r>
      <w:r w:rsidRPr="00C727B4">
        <w:rPr>
          <w:rFonts w:ascii="Arabic Typesetting" w:hAnsi="Arabic Typesetting" w:cs="Arabic Typesetting" w:hint="cs"/>
          <w:sz w:val="34"/>
          <w:szCs w:val="34"/>
          <w:rtl/>
          <w:lang w:val="fr-CH"/>
        </w:rPr>
        <w:t xml:space="preserve">وكانت بلدان أخرى في مراحل متفاوتة من الاختبار، في حين أن </w:t>
      </w:r>
      <w:r w:rsidR="00C727B4" w:rsidRPr="00C727B4">
        <w:rPr>
          <w:rFonts w:ascii="Arabic Typesetting" w:hAnsi="Arabic Typesetting" w:cs="Arabic Typesetting" w:hint="cs"/>
          <w:sz w:val="34"/>
          <w:szCs w:val="34"/>
          <w:rtl/>
          <w:lang w:val="fr-CH"/>
        </w:rPr>
        <w:t xml:space="preserve">34 مكتباً لتسلم الطلبات وثماني إدارات دولية </w:t>
      </w:r>
      <w:r w:rsidRPr="00C727B4">
        <w:rPr>
          <w:rFonts w:ascii="Arabic Typesetting" w:hAnsi="Arabic Typesetting" w:cs="Arabic Typesetting" w:hint="cs"/>
          <w:sz w:val="34"/>
          <w:szCs w:val="34"/>
          <w:rtl/>
          <w:lang w:val="fr-CH"/>
        </w:rPr>
        <w:t xml:space="preserve">سمحت بتقديم وثائق بعد الإيداع بواسطة نظام </w:t>
      </w:r>
      <w:r w:rsidRPr="00C727B4">
        <w:rPr>
          <w:rFonts w:ascii="Arabic Typesetting" w:hAnsi="Arabic Typesetting" w:cs="Arabic Typesetting"/>
          <w:sz w:val="34"/>
          <w:szCs w:val="34"/>
        </w:rPr>
        <w:t>e</w:t>
      </w:r>
      <w:r w:rsidRPr="00C727B4">
        <w:rPr>
          <w:rFonts w:ascii="Arabic Typesetting" w:hAnsi="Arabic Typesetting" w:cs="Arabic Typesetting"/>
          <w:sz w:val="34"/>
          <w:szCs w:val="34"/>
          <w:lang w:val="fr-CH"/>
        </w:rPr>
        <w:t>P</w:t>
      </w:r>
      <w:r w:rsidRPr="00C727B4">
        <w:rPr>
          <w:rFonts w:ascii="Arabic Typesetting" w:hAnsi="Arabic Typesetting" w:cs="Arabic Typesetting"/>
          <w:sz w:val="34"/>
          <w:szCs w:val="34"/>
        </w:rPr>
        <w:t>C</w:t>
      </w:r>
      <w:r w:rsidRPr="00C727B4">
        <w:rPr>
          <w:rFonts w:ascii="Arabic Typesetting" w:hAnsi="Arabic Typesetting" w:cs="Arabic Typesetting"/>
          <w:sz w:val="34"/>
          <w:szCs w:val="34"/>
          <w:lang w:val="fr-CH"/>
        </w:rPr>
        <w:t>T</w:t>
      </w:r>
      <w:r w:rsidRPr="00C727B4">
        <w:rPr>
          <w:rFonts w:ascii="Arabic Typesetting" w:hAnsi="Arabic Typesetting" w:cs="Arabic Typesetting" w:hint="cs"/>
          <w:sz w:val="34"/>
          <w:szCs w:val="34"/>
          <w:rtl/>
          <w:lang w:val="fr-CH"/>
        </w:rPr>
        <w:t>.</w:t>
      </w:r>
      <w:r w:rsidR="00C727B4" w:rsidRPr="00C727B4">
        <w:rPr>
          <w:rFonts w:ascii="Arabic Typesetting" w:hAnsi="Arabic Typesetting" w:cs="Arabic Typesetting" w:hint="cs"/>
          <w:sz w:val="34"/>
          <w:szCs w:val="34"/>
          <w:rtl/>
          <w:lang w:val="fr-CH"/>
        </w:rPr>
        <w:t xml:space="preserve"> وإضافة إلى ذلك، است</w:t>
      </w:r>
      <w:r w:rsidR="004118F4">
        <w:rPr>
          <w:rFonts w:ascii="Arabic Typesetting" w:hAnsi="Arabic Typesetting" w:cs="Arabic Typesetting" w:hint="cs"/>
          <w:sz w:val="34"/>
          <w:szCs w:val="34"/>
          <w:rtl/>
          <w:lang w:val="fr-CH"/>
        </w:rPr>
        <w:t>ُ</w:t>
      </w:r>
      <w:r w:rsidR="00C727B4" w:rsidRPr="00C727B4">
        <w:rPr>
          <w:rFonts w:ascii="Arabic Typesetting" w:hAnsi="Arabic Typesetting" w:cs="Arabic Typesetting" w:hint="cs"/>
          <w:sz w:val="34"/>
          <w:szCs w:val="34"/>
          <w:rtl/>
          <w:lang w:val="fr-CH"/>
        </w:rPr>
        <w:t xml:space="preserve">هل </w:t>
      </w:r>
      <w:r w:rsidR="004118F4">
        <w:rPr>
          <w:rFonts w:ascii="Arabic Typesetting" w:hAnsi="Arabic Typesetting" w:cs="Arabic Typesetting" w:hint="cs"/>
          <w:sz w:val="34"/>
          <w:szCs w:val="34"/>
          <w:rtl/>
          <w:lang w:val="fr-CH"/>
        </w:rPr>
        <w:t>اختبار</w:t>
      </w:r>
      <w:r w:rsidR="00C727B4" w:rsidRPr="00C727B4">
        <w:rPr>
          <w:rFonts w:ascii="Arabic Typesetting" w:hAnsi="Arabic Typesetting" w:cs="Arabic Typesetting" w:hint="cs"/>
          <w:sz w:val="34"/>
          <w:szCs w:val="34"/>
          <w:rtl/>
          <w:lang w:val="fr-CH"/>
        </w:rPr>
        <w:t xml:space="preserve"> نظام </w:t>
      </w:r>
      <w:proofErr w:type="spellStart"/>
      <w:r w:rsidR="00C727B4" w:rsidRPr="00C727B4">
        <w:rPr>
          <w:rFonts w:ascii="Arabic Typesetting" w:hAnsi="Arabic Typesetting" w:cs="Arabic Typesetting"/>
          <w:sz w:val="34"/>
          <w:szCs w:val="34"/>
        </w:rPr>
        <w:t>eSearchCopy</w:t>
      </w:r>
      <w:proofErr w:type="spellEnd"/>
      <w:r w:rsidR="00C727B4" w:rsidRPr="00C727B4">
        <w:rPr>
          <w:rFonts w:ascii="Arabic Typesetting" w:hAnsi="Arabic Typesetting" w:cs="Arabic Typesetting" w:hint="cs"/>
          <w:sz w:val="34"/>
          <w:szCs w:val="34"/>
          <w:rtl/>
        </w:rPr>
        <w:t xml:space="preserve"> حيث يعدُّ المكتب الدولي نسخ البحث </w:t>
      </w:r>
      <w:r w:rsidR="004118F4" w:rsidRPr="00C727B4">
        <w:rPr>
          <w:rFonts w:ascii="Arabic Typesetting" w:hAnsi="Arabic Typesetting" w:cs="Arabic Typesetting" w:hint="cs"/>
          <w:sz w:val="34"/>
          <w:szCs w:val="34"/>
          <w:rtl/>
        </w:rPr>
        <w:t>ويحيل</w:t>
      </w:r>
      <w:r w:rsidR="004118F4">
        <w:rPr>
          <w:rFonts w:ascii="Arabic Typesetting" w:hAnsi="Arabic Typesetting" w:cs="Arabic Typesetting" w:hint="cs"/>
          <w:sz w:val="34"/>
          <w:szCs w:val="34"/>
          <w:rtl/>
        </w:rPr>
        <w:t xml:space="preserve">ها </w:t>
      </w:r>
      <w:r w:rsidR="00C727B4" w:rsidRPr="00C727B4">
        <w:rPr>
          <w:rFonts w:ascii="Arabic Typesetting" w:hAnsi="Arabic Typesetting" w:cs="Arabic Typesetting" w:hint="cs"/>
          <w:sz w:val="34"/>
          <w:szCs w:val="34"/>
          <w:rtl/>
        </w:rPr>
        <w:t>إلى إدارة البحث الدولي باسم مكتب تسلّم الطلبات بغية إصدار البحث الدولي في الوقت المناسب وتعزيز فعاليته. واستخدم 28 زوجاً من المكاتب منها ست إدارات للبحث الدولي و15 مكتباً لتسلّم الطلبات هذه الخدمة بحلول عام 2015.</w:t>
      </w:r>
    </w:p>
    <w:p w:rsidR="00D2596E" w:rsidRDefault="00B31868" w:rsidP="009A3712">
      <w:pPr>
        <w:numPr>
          <w:ilvl w:val="0"/>
          <w:numId w:val="6"/>
        </w:numPr>
        <w:bidi/>
        <w:spacing w:after="120" w:line="340" w:lineRule="exact"/>
        <w:ind w:left="0" w:firstLine="0"/>
        <w:rPr>
          <w:rFonts w:ascii="Arabic Typesetting" w:hAnsi="Arabic Typesetting" w:cs="Arabic Typesetting"/>
          <w:sz w:val="34"/>
          <w:szCs w:val="34"/>
        </w:rPr>
      </w:pPr>
      <w:r w:rsidRPr="00D2596E">
        <w:rPr>
          <w:rFonts w:ascii="Arabic Typesetting" w:hAnsi="Arabic Typesetting" w:cs="Arabic Typesetting" w:hint="cs"/>
          <w:sz w:val="34"/>
          <w:szCs w:val="34"/>
          <w:rtl/>
        </w:rPr>
        <w:t xml:space="preserve">وواصل </w:t>
      </w:r>
      <w:r w:rsidRPr="00D2596E">
        <w:rPr>
          <w:rFonts w:ascii="Arabic Typesetting" w:hAnsi="Arabic Typesetting" w:cs="Arabic Typesetting"/>
          <w:sz w:val="34"/>
          <w:szCs w:val="34"/>
          <w:rtl/>
        </w:rPr>
        <w:t xml:space="preserve">الفريق العامل </w:t>
      </w:r>
      <w:r w:rsidRPr="00D2596E">
        <w:rPr>
          <w:rFonts w:ascii="Arabic Typesetting" w:hAnsi="Arabic Typesetting" w:cs="Arabic Typesetting" w:hint="cs"/>
          <w:sz w:val="34"/>
          <w:szCs w:val="34"/>
          <w:rtl/>
        </w:rPr>
        <w:t>المعني ب</w:t>
      </w:r>
      <w:r w:rsidRPr="00D2596E">
        <w:rPr>
          <w:rFonts w:ascii="Arabic Typesetting" w:hAnsi="Arabic Typesetting" w:cs="Arabic Typesetting"/>
          <w:sz w:val="34"/>
          <w:szCs w:val="34"/>
          <w:rtl/>
        </w:rPr>
        <w:t xml:space="preserve">معاهدة البراءات </w:t>
      </w:r>
      <w:r w:rsidRPr="00D2596E">
        <w:rPr>
          <w:rFonts w:ascii="Arabic Typesetting" w:hAnsi="Arabic Typesetting" w:cs="Arabic Typesetting" w:hint="cs"/>
          <w:sz w:val="34"/>
          <w:szCs w:val="34"/>
          <w:rtl/>
        </w:rPr>
        <w:t xml:space="preserve">في </w:t>
      </w:r>
      <w:r w:rsidRPr="00D2596E">
        <w:rPr>
          <w:rFonts w:ascii="Arabic Typesetting" w:hAnsi="Arabic Typesetting" w:cs="Arabic Typesetting"/>
          <w:sz w:val="34"/>
          <w:szCs w:val="34"/>
          <w:rtl/>
        </w:rPr>
        <w:t>دورت</w:t>
      </w:r>
      <w:r w:rsidR="00C727B4" w:rsidRPr="00D2596E">
        <w:rPr>
          <w:rFonts w:ascii="Arabic Typesetting" w:hAnsi="Arabic Typesetting" w:cs="Arabic Typesetting" w:hint="cs"/>
          <w:sz w:val="34"/>
          <w:szCs w:val="34"/>
          <w:rtl/>
        </w:rPr>
        <w:t>ي</w:t>
      </w:r>
      <w:r w:rsidRPr="00D2596E">
        <w:rPr>
          <w:rFonts w:ascii="Arabic Typesetting" w:hAnsi="Arabic Typesetting" w:cs="Arabic Typesetting" w:hint="cs"/>
          <w:sz w:val="34"/>
          <w:szCs w:val="34"/>
          <w:rtl/>
        </w:rPr>
        <w:t xml:space="preserve">ه السابعة </w:t>
      </w:r>
      <w:r w:rsidR="00C727B4" w:rsidRPr="00D2596E">
        <w:rPr>
          <w:rFonts w:ascii="Arabic Typesetting" w:hAnsi="Arabic Typesetting" w:cs="Arabic Typesetting" w:hint="cs"/>
          <w:sz w:val="34"/>
          <w:szCs w:val="34"/>
          <w:rtl/>
        </w:rPr>
        <w:t>والثا</w:t>
      </w:r>
      <w:r w:rsidR="004118F4">
        <w:rPr>
          <w:rFonts w:ascii="Arabic Typesetting" w:hAnsi="Arabic Typesetting" w:cs="Arabic Typesetting" w:hint="cs"/>
          <w:sz w:val="34"/>
          <w:szCs w:val="34"/>
          <w:rtl/>
        </w:rPr>
        <w:t>م</w:t>
      </w:r>
      <w:r w:rsidR="00C727B4" w:rsidRPr="00D2596E">
        <w:rPr>
          <w:rFonts w:ascii="Arabic Typesetting" w:hAnsi="Arabic Typesetting" w:cs="Arabic Typesetting" w:hint="cs"/>
          <w:sz w:val="34"/>
          <w:szCs w:val="34"/>
          <w:rtl/>
        </w:rPr>
        <w:t>نة اللتين عقدتا في عامي 2014 و2015 على التوالي</w:t>
      </w:r>
      <w:r w:rsidRPr="00D2596E">
        <w:rPr>
          <w:rFonts w:ascii="Arabic Typesetting" w:hAnsi="Arabic Typesetting" w:cs="Arabic Typesetting" w:hint="cs"/>
          <w:sz w:val="34"/>
          <w:szCs w:val="34"/>
          <w:rtl/>
        </w:rPr>
        <w:t xml:space="preserve"> </w:t>
      </w:r>
      <w:r w:rsidRPr="00D2596E">
        <w:rPr>
          <w:rFonts w:ascii="Arabic Typesetting" w:hAnsi="Arabic Typesetting" w:cs="Arabic Typesetting"/>
          <w:sz w:val="34"/>
          <w:szCs w:val="34"/>
          <w:rtl/>
        </w:rPr>
        <w:t xml:space="preserve">مناقشاته بشأن عدد من المقترحات الرامية إلى تحسين </w:t>
      </w:r>
      <w:r w:rsidRPr="00D2596E">
        <w:rPr>
          <w:rFonts w:ascii="Arabic Typesetting" w:hAnsi="Arabic Typesetting" w:cs="Arabic Typesetting" w:hint="cs"/>
          <w:sz w:val="34"/>
          <w:szCs w:val="34"/>
          <w:rtl/>
        </w:rPr>
        <w:t xml:space="preserve">طريقة عمل </w:t>
      </w:r>
      <w:r w:rsidRPr="00D2596E">
        <w:rPr>
          <w:rFonts w:ascii="Arabic Typesetting" w:hAnsi="Arabic Typesetting" w:cs="Arabic Typesetting"/>
          <w:sz w:val="34"/>
          <w:szCs w:val="34"/>
          <w:rtl/>
        </w:rPr>
        <w:t>نظام المعاهدة، وذلك تم</w:t>
      </w:r>
      <w:r w:rsidR="008F622F">
        <w:rPr>
          <w:rFonts w:ascii="Arabic Typesetting" w:hAnsi="Arabic Typesetting" w:cs="Arabic Typesetting" w:hint="cs"/>
          <w:sz w:val="34"/>
          <w:szCs w:val="34"/>
          <w:rtl/>
        </w:rPr>
        <w:t>ا</w:t>
      </w:r>
      <w:r w:rsidRPr="00D2596E">
        <w:rPr>
          <w:rFonts w:ascii="Arabic Typesetting" w:hAnsi="Arabic Typesetting" w:cs="Arabic Typesetting"/>
          <w:sz w:val="34"/>
          <w:szCs w:val="34"/>
          <w:rtl/>
        </w:rPr>
        <w:t>شيا مع التوصيات التي أقرها الفريق في دورته الثالثة</w:t>
      </w:r>
      <w:r w:rsidR="00C727B4" w:rsidRPr="00D2596E">
        <w:rPr>
          <w:rFonts w:ascii="Arabic Typesetting" w:hAnsi="Arabic Typesetting" w:cs="Arabic Typesetting" w:hint="cs"/>
          <w:sz w:val="34"/>
          <w:szCs w:val="34"/>
          <w:rtl/>
        </w:rPr>
        <w:t xml:space="preserve"> والتي شملت</w:t>
      </w:r>
      <w:r w:rsidR="00C727B4" w:rsidRPr="00D2596E">
        <w:rPr>
          <w:rFonts w:ascii="Arabic Typesetting" w:hAnsi="Arabic Typesetting" w:cs="Arabic Typesetting"/>
          <w:sz w:val="34"/>
          <w:szCs w:val="34"/>
          <w:rtl/>
        </w:rPr>
        <w:t xml:space="preserve"> توصيات بشأن كيفية مواءمة التنمية المستقبلية للمعاهدة مع توصيات جدول الأعمال المعمول بها، لا سيما التوصيات من الفئتين ألف</w:t>
      </w:r>
      <w:r w:rsidR="00C727B4" w:rsidRPr="00D2596E">
        <w:rPr>
          <w:rFonts w:ascii="Arabic Typesetting" w:hAnsi="Arabic Typesetting" w:cs="Arabic Typesetting"/>
          <w:sz w:val="34"/>
          <w:szCs w:val="34"/>
          <w:cs/>
        </w:rPr>
        <w:t>‎</w:t>
      </w:r>
      <w:r w:rsidR="00C727B4" w:rsidRPr="00D2596E">
        <w:rPr>
          <w:rFonts w:ascii="Arabic Typesetting" w:hAnsi="Arabic Typesetting" w:cs="Arabic Typesetting"/>
          <w:sz w:val="34"/>
          <w:szCs w:val="34"/>
          <w:rtl/>
        </w:rPr>
        <w:t xml:space="preserve"> ‏وجيم.</w:t>
      </w:r>
      <w:r w:rsidR="00D2596E" w:rsidRPr="00D2596E">
        <w:rPr>
          <w:rFonts w:ascii="Arabic Typesetting" w:hAnsi="Arabic Typesetting" w:cs="Arabic Typesetting" w:hint="cs"/>
          <w:sz w:val="34"/>
          <w:szCs w:val="34"/>
          <w:rtl/>
        </w:rPr>
        <w:t xml:space="preserve"> </w:t>
      </w:r>
      <w:r w:rsidRPr="00D2596E">
        <w:rPr>
          <w:rFonts w:ascii="Arabic Typesetting" w:hAnsi="Arabic Typesetting" w:cs="Arabic Typesetting" w:hint="cs"/>
          <w:sz w:val="34"/>
          <w:szCs w:val="34"/>
          <w:rtl/>
        </w:rPr>
        <w:t xml:space="preserve">وشملت إنجازات عام 2014 تحديدا </w:t>
      </w:r>
      <w:r w:rsidR="00D2596E">
        <w:rPr>
          <w:rFonts w:ascii="Arabic Typesetting" w:hAnsi="Arabic Typesetting" w:cs="Arabic Typesetting" w:hint="cs"/>
          <w:sz w:val="34"/>
          <w:szCs w:val="34"/>
          <w:rtl/>
        </w:rPr>
        <w:t>"1" </w:t>
      </w:r>
      <w:r w:rsidRPr="00D2596E">
        <w:rPr>
          <w:rFonts w:ascii="Arabic Typesetting" w:hAnsi="Arabic Typesetting" w:cs="Arabic Typesetting" w:hint="cs"/>
          <w:sz w:val="34"/>
          <w:szCs w:val="34"/>
          <w:rtl/>
        </w:rPr>
        <w:t>الاتفاق على معايير جديدة بشأن أهلية استفادة المودعين من بعض البلدان من تخفيضات الرسوم، مما زاد من عدد البلدان النامية والبلدان الأقل</w:t>
      </w:r>
      <w:r w:rsidR="004118F4">
        <w:rPr>
          <w:rFonts w:ascii="Arabic Typesetting" w:hAnsi="Arabic Typesetting" w:cs="Arabic Typesetting" w:hint="cs"/>
          <w:sz w:val="34"/>
          <w:szCs w:val="34"/>
          <w:rtl/>
        </w:rPr>
        <w:t xml:space="preserve"> نمواً</w:t>
      </w:r>
      <w:r w:rsidRPr="00D2596E">
        <w:rPr>
          <w:rFonts w:ascii="Arabic Typesetting" w:hAnsi="Arabic Typesetting" w:cs="Arabic Typesetting" w:hint="cs"/>
          <w:sz w:val="34"/>
          <w:szCs w:val="34"/>
          <w:rtl/>
        </w:rPr>
        <w:t xml:space="preserve"> المستفيدة من تلك التخفيضات</w:t>
      </w:r>
      <w:r w:rsidR="00D2596E">
        <w:rPr>
          <w:rFonts w:ascii="Arabic Typesetting" w:hAnsi="Arabic Typesetting" w:cs="Arabic Typesetting" w:hint="cs"/>
          <w:sz w:val="34"/>
          <w:szCs w:val="34"/>
          <w:rtl/>
        </w:rPr>
        <w:t xml:space="preserve">؛ "2" وعلى </w:t>
      </w:r>
      <w:r w:rsidR="00D2596E" w:rsidRPr="00D2596E">
        <w:rPr>
          <w:rFonts w:ascii="Arabic Typesetting" w:hAnsi="Arabic Typesetting" w:cs="Arabic Typesetting"/>
          <w:sz w:val="34"/>
          <w:szCs w:val="34"/>
          <w:rtl/>
        </w:rPr>
        <w:t>إجراء معدّل لتعيين إدارات جديدة كإدارات للبحث الدولي والفحص التمهيدي الدولي</w:t>
      </w:r>
      <w:r w:rsidR="00D2596E">
        <w:rPr>
          <w:rFonts w:ascii="Arabic Typesetting" w:hAnsi="Arabic Typesetting" w:cs="Arabic Typesetting" w:hint="cs"/>
          <w:sz w:val="34"/>
          <w:szCs w:val="34"/>
          <w:rtl/>
        </w:rPr>
        <w:t xml:space="preserve"> ل</w:t>
      </w:r>
      <w:r w:rsidR="004118F4">
        <w:rPr>
          <w:rFonts w:ascii="Arabic Typesetting" w:hAnsi="Arabic Typesetting" w:cs="Arabic Typesetting" w:hint="cs"/>
          <w:sz w:val="34"/>
          <w:szCs w:val="34"/>
          <w:rtl/>
        </w:rPr>
        <w:t>ل</w:t>
      </w:r>
      <w:r w:rsidR="00D2596E">
        <w:rPr>
          <w:rFonts w:ascii="Arabic Typesetting" w:hAnsi="Arabic Typesetting" w:cs="Arabic Typesetting" w:hint="cs"/>
          <w:sz w:val="34"/>
          <w:szCs w:val="34"/>
          <w:rtl/>
        </w:rPr>
        <w:t>إسهام في ضمان تمتع الإدارات المحتملة بالبنية والموارد اللازمتين لأداء هذا الدور. وشملت إنجازات عام 2015 "1"</w:t>
      </w:r>
      <w:r w:rsidR="00D2596E">
        <w:rPr>
          <w:rFonts w:ascii="Arabic Typesetting" w:hAnsi="Arabic Typesetting" w:cs="Arabic Typesetting" w:hint="eastAsia"/>
          <w:sz w:val="34"/>
          <w:szCs w:val="34"/>
          <w:rtl/>
        </w:rPr>
        <w:t> </w:t>
      </w:r>
      <w:r w:rsidR="00D2596E">
        <w:rPr>
          <w:rFonts w:ascii="Arabic Typesetting" w:hAnsi="Arabic Typesetting" w:cs="Arabic Typesetting" w:hint="cs"/>
          <w:sz w:val="34"/>
          <w:szCs w:val="34"/>
          <w:rtl/>
        </w:rPr>
        <w:t xml:space="preserve">الاتفاق على إحالة نتائج البحث والتصنيف من الطلبات السابقة إلى إدارات البحث الدولي بغية تعزيز فعاليتها والإسهام في الارتقاء بجودة البحث الدولي؛ "2" والاتفاق على إلزام المكاتب المعيَّنة بموافاة المكتب الدولي في الوقت المناسب بالمعلومات الخاصة بطلبات المرحلة الوطنية </w:t>
      </w:r>
      <w:r w:rsidR="00CD5185">
        <w:rPr>
          <w:rFonts w:ascii="Arabic Typesetting" w:hAnsi="Arabic Typesetting" w:cs="Arabic Typesetting" w:hint="cs"/>
          <w:sz w:val="34"/>
          <w:szCs w:val="34"/>
          <w:rtl/>
        </w:rPr>
        <w:t xml:space="preserve">بغية توفير المزيد من المعلومات عن طلبات </w:t>
      </w:r>
      <w:r w:rsidR="00D2596E">
        <w:rPr>
          <w:rFonts w:ascii="Arabic Typesetting" w:hAnsi="Arabic Typesetting" w:cs="Arabic Typesetting" w:hint="cs"/>
          <w:sz w:val="34"/>
          <w:szCs w:val="34"/>
          <w:rtl/>
        </w:rPr>
        <w:t>البراءات الوطنية قيد النظر أو الممنوحة.</w:t>
      </w:r>
      <w:r w:rsidR="00CD5185">
        <w:rPr>
          <w:rFonts w:ascii="Arabic Typesetting" w:hAnsi="Arabic Typesetting" w:cs="Arabic Typesetting" w:hint="cs"/>
          <w:sz w:val="34"/>
          <w:szCs w:val="34"/>
          <w:rtl/>
        </w:rPr>
        <w:t xml:space="preserve"> وعرض المكتب الدولي أيضاً تقديراً </w:t>
      </w:r>
      <w:r w:rsidR="00CD5185" w:rsidRPr="00CD5185">
        <w:rPr>
          <w:rFonts w:ascii="Arabic Typesetting" w:hAnsi="Arabic Typesetting" w:cs="Arabic Typesetting"/>
          <w:sz w:val="34"/>
          <w:szCs w:val="34"/>
          <w:rtl/>
        </w:rPr>
        <w:t xml:space="preserve">لمدى استجابة إيداعات معاهدة التعاون بشأن البراءات </w:t>
      </w:r>
      <w:r w:rsidR="00CD5185">
        <w:rPr>
          <w:rFonts w:ascii="Arabic Typesetting" w:hAnsi="Arabic Typesetting" w:cs="Arabic Typesetting" w:hint="cs"/>
          <w:sz w:val="34"/>
          <w:szCs w:val="34"/>
          <w:rtl/>
        </w:rPr>
        <w:t>لتغير</w:t>
      </w:r>
      <w:r w:rsidR="00CD5185" w:rsidRPr="00CD5185">
        <w:rPr>
          <w:rFonts w:ascii="Arabic Typesetting" w:hAnsi="Arabic Typesetting" w:cs="Arabic Typesetting"/>
          <w:sz w:val="34"/>
          <w:szCs w:val="34"/>
          <w:rtl/>
        </w:rPr>
        <w:t xml:space="preserve"> رسم الإيداع الدولي</w:t>
      </w:r>
      <w:r w:rsidR="00CD5185">
        <w:rPr>
          <w:rFonts w:ascii="Arabic Typesetting" w:hAnsi="Arabic Typesetting" w:cs="Arabic Typesetting" w:hint="cs"/>
          <w:sz w:val="34"/>
          <w:szCs w:val="34"/>
          <w:rtl/>
        </w:rPr>
        <w:t xml:space="preserve"> مقدماً محاكاة لتأثير خفض الرسوم المحتمل على الجامعات ومؤسسات البحث العامة في البلدان النامية والمتقدمة.</w:t>
      </w:r>
    </w:p>
    <w:p w:rsidR="00B31868" w:rsidRPr="004118F4" w:rsidRDefault="00B31868" w:rsidP="009A3712">
      <w:pPr>
        <w:keepLines/>
        <w:numPr>
          <w:ilvl w:val="0"/>
          <w:numId w:val="6"/>
        </w:numPr>
        <w:bidi/>
        <w:spacing w:after="120" w:line="340" w:lineRule="exact"/>
        <w:ind w:left="0" w:firstLine="0"/>
        <w:rPr>
          <w:rFonts w:ascii="Arabic Typesetting" w:hAnsi="Arabic Typesetting" w:cs="Arabic Typesetting"/>
          <w:sz w:val="34"/>
          <w:szCs w:val="34"/>
          <w:lang w:val="fr-CH"/>
        </w:rPr>
      </w:pPr>
      <w:r w:rsidRPr="00CD5185">
        <w:rPr>
          <w:rFonts w:ascii="Arabic Typesetting" w:hAnsi="Arabic Typesetting" w:cs="Arabic Typesetting" w:hint="cs"/>
          <w:sz w:val="34"/>
          <w:szCs w:val="34"/>
          <w:rtl/>
        </w:rPr>
        <w:lastRenderedPageBreak/>
        <w:t xml:space="preserve">وواصل </w:t>
      </w:r>
      <w:r w:rsidRPr="00CD5185">
        <w:rPr>
          <w:rFonts w:ascii="Arabic Typesetting" w:hAnsi="Arabic Typesetting" w:cs="Arabic Typesetting"/>
          <w:sz w:val="34"/>
          <w:szCs w:val="34"/>
          <w:rtl/>
        </w:rPr>
        <w:t>البرنامج</w:t>
      </w:r>
      <w:r w:rsidRPr="00CD5185">
        <w:rPr>
          <w:rFonts w:ascii="Arabic Typesetting" w:hAnsi="Arabic Typesetting" w:cs="Arabic Typesetting" w:hint="cs"/>
          <w:sz w:val="34"/>
          <w:szCs w:val="34"/>
          <w:rtl/>
        </w:rPr>
        <w:t xml:space="preserve"> تسخير جزء من عمله وموارده ل</w:t>
      </w:r>
      <w:r w:rsidRPr="00CD5185">
        <w:rPr>
          <w:rFonts w:ascii="Arabic Typesetting" w:hAnsi="Arabic Typesetting" w:cs="Arabic Typesetting"/>
          <w:sz w:val="34"/>
          <w:szCs w:val="34"/>
          <w:rtl/>
        </w:rPr>
        <w:t>لتعاون التقني والمساعدة التقنية للبلدان النامية والبلدان الأقل نموا. وتجرى أنشطة التدريب و</w:t>
      </w:r>
      <w:r w:rsidRPr="00CD5185">
        <w:rPr>
          <w:rFonts w:ascii="Arabic Typesetting" w:hAnsi="Arabic Typesetting" w:cs="Arabic Typesetting" w:hint="cs"/>
          <w:sz w:val="34"/>
          <w:szCs w:val="34"/>
          <w:rtl/>
        </w:rPr>
        <w:t>تكوين الكفاءات ل</w:t>
      </w:r>
      <w:r w:rsidRPr="00CD5185">
        <w:rPr>
          <w:rFonts w:ascii="Arabic Typesetting" w:hAnsi="Arabic Typesetting" w:cs="Arabic Typesetting"/>
          <w:sz w:val="34"/>
          <w:szCs w:val="34"/>
          <w:rtl/>
        </w:rPr>
        <w:t>مساعدة الدول الأعضاء في</w:t>
      </w:r>
      <w:r w:rsidR="00CD5185" w:rsidRPr="00CD5185">
        <w:rPr>
          <w:rFonts w:ascii="Arabic Typesetting" w:hAnsi="Arabic Typesetting" w:cs="Arabic Typesetting" w:hint="cs"/>
          <w:sz w:val="34"/>
          <w:szCs w:val="34"/>
          <w:rtl/>
        </w:rPr>
        <w:t xml:space="preserve"> معاهدة </w:t>
      </w:r>
      <w:r w:rsidR="00CD5185" w:rsidRPr="004118F4">
        <w:rPr>
          <w:rFonts w:ascii="Arabic Typesetting" w:hAnsi="Arabic Typesetting" w:cs="Arabic Typesetting" w:hint="cs"/>
          <w:sz w:val="34"/>
          <w:szCs w:val="34"/>
          <w:rtl/>
        </w:rPr>
        <w:t xml:space="preserve">البراءات وتلك التي تنظر في الانضمام إليها على </w:t>
      </w:r>
      <w:r w:rsidRPr="004118F4">
        <w:rPr>
          <w:rFonts w:ascii="Arabic Typesetting" w:hAnsi="Arabic Typesetting" w:cs="Arabic Typesetting"/>
          <w:sz w:val="34"/>
          <w:szCs w:val="34"/>
          <w:rtl/>
        </w:rPr>
        <w:t>تعزيز الكفاءة الوطنية لحماية الإبداع والابتكار الوطنيين وفق</w:t>
      </w:r>
      <w:r w:rsidR="004118F4">
        <w:rPr>
          <w:rFonts w:ascii="Arabic Typesetting" w:hAnsi="Arabic Typesetting" w:cs="Arabic Typesetting" w:hint="cs"/>
          <w:sz w:val="34"/>
          <w:szCs w:val="34"/>
          <w:rtl/>
        </w:rPr>
        <w:t>اً</w:t>
      </w:r>
      <w:r w:rsidRPr="004118F4">
        <w:rPr>
          <w:rFonts w:ascii="Arabic Typesetting" w:hAnsi="Arabic Typesetting" w:cs="Arabic Typesetting"/>
          <w:sz w:val="34"/>
          <w:szCs w:val="34"/>
          <w:rtl/>
        </w:rPr>
        <w:t xml:space="preserve"> </w:t>
      </w:r>
      <w:r w:rsidR="004118F4">
        <w:rPr>
          <w:rFonts w:ascii="Arabic Typesetting" w:hAnsi="Arabic Typesetting" w:cs="Arabic Typesetting" w:hint="cs"/>
          <w:sz w:val="34"/>
          <w:szCs w:val="34"/>
          <w:rtl/>
        </w:rPr>
        <w:t>ل</w:t>
      </w:r>
      <w:r w:rsidR="00CD5185" w:rsidRPr="004118F4">
        <w:rPr>
          <w:rFonts w:ascii="Arabic Typesetting" w:hAnsi="Arabic Typesetting" w:cs="Arabic Typesetting" w:hint="cs"/>
          <w:sz w:val="34"/>
          <w:szCs w:val="34"/>
          <w:rtl/>
        </w:rPr>
        <w:t xml:space="preserve">لتوصية 1 من </w:t>
      </w:r>
      <w:r w:rsidRPr="004118F4">
        <w:rPr>
          <w:rFonts w:ascii="Arabic Typesetting" w:hAnsi="Arabic Typesetting" w:cs="Arabic Typesetting"/>
          <w:sz w:val="34"/>
          <w:szCs w:val="34"/>
          <w:rtl/>
        </w:rPr>
        <w:t xml:space="preserve">جدول أعمال التنمية. والأنشطة </w:t>
      </w:r>
      <w:r w:rsidR="00131C0E">
        <w:rPr>
          <w:rFonts w:ascii="Arabic Typesetting" w:hAnsi="Arabic Typesetting" w:cs="Arabic Typesetting" w:hint="cs"/>
          <w:sz w:val="34"/>
          <w:szCs w:val="34"/>
          <w:rtl/>
          <w:lang w:val="fr-CH"/>
        </w:rPr>
        <w:t>إنمائية المنحى وقائمة على الطلب</w:t>
      </w:r>
      <w:r w:rsidRPr="004118F4">
        <w:rPr>
          <w:rFonts w:ascii="Arabic Typesetting" w:hAnsi="Arabic Typesetting" w:cs="Arabic Typesetting"/>
          <w:sz w:val="34"/>
          <w:szCs w:val="34"/>
          <w:rtl/>
        </w:rPr>
        <w:t xml:space="preserve"> وشفافة</w:t>
      </w:r>
      <w:r w:rsidR="00CD5185" w:rsidRPr="004118F4">
        <w:rPr>
          <w:rFonts w:ascii="Arabic Typesetting" w:hAnsi="Arabic Typesetting" w:cs="Arabic Typesetting" w:hint="cs"/>
          <w:sz w:val="34"/>
          <w:szCs w:val="34"/>
          <w:rtl/>
        </w:rPr>
        <w:t>. وقد وُضعت هذه الأنشطة</w:t>
      </w:r>
      <w:r w:rsidRPr="004118F4">
        <w:rPr>
          <w:rFonts w:ascii="Arabic Typesetting" w:hAnsi="Arabic Typesetting" w:cs="Arabic Typesetting"/>
          <w:sz w:val="34"/>
          <w:szCs w:val="34"/>
          <w:rtl/>
        </w:rPr>
        <w:t xml:space="preserve"> بالتنسيق مع المنظمين المحليين مع مراعاة مستوى الوعي بمعاهدة </w:t>
      </w:r>
      <w:r w:rsidRPr="004118F4">
        <w:rPr>
          <w:rFonts w:ascii="Arabic Typesetting" w:hAnsi="Arabic Typesetting" w:cs="Arabic Typesetting" w:hint="cs"/>
          <w:sz w:val="34"/>
          <w:szCs w:val="34"/>
          <w:rtl/>
        </w:rPr>
        <w:t>البرا</w:t>
      </w:r>
      <w:r w:rsidRPr="004118F4">
        <w:rPr>
          <w:rFonts w:ascii="Arabic Typesetting" w:hAnsi="Arabic Typesetting" w:cs="Arabic Typesetting"/>
          <w:sz w:val="34"/>
          <w:szCs w:val="34"/>
          <w:rtl/>
        </w:rPr>
        <w:t xml:space="preserve">ءات والمعرفة التقنية والمهارات </w:t>
      </w:r>
      <w:r w:rsidRPr="004118F4">
        <w:rPr>
          <w:rFonts w:ascii="Arabic Typesetting" w:hAnsi="Arabic Typesetting" w:cs="Arabic Typesetting" w:hint="cs"/>
          <w:sz w:val="34"/>
          <w:szCs w:val="34"/>
          <w:rtl/>
        </w:rPr>
        <w:t>المتصلة</w:t>
      </w:r>
      <w:r w:rsidRPr="004118F4">
        <w:rPr>
          <w:rFonts w:ascii="Arabic Typesetting" w:hAnsi="Arabic Typesetting" w:cs="Arabic Typesetting"/>
          <w:sz w:val="34"/>
          <w:szCs w:val="34"/>
          <w:rtl/>
        </w:rPr>
        <w:t xml:space="preserve"> بالمعاهدة لدى المشاركين</w:t>
      </w:r>
      <w:r w:rsidR="00CD5185" w:rsidRPr="004118F4">
        <w:rPr>
          <w:rFonts w:ascii="Arabic Typesetting" w:hAnsi="Arabic Typesetting" w:cs="Arabic Typesetting" w:hint="cs"/>
          <w:sz w:val="34"/>
          <w:szCs w:val="34"/>
          <w:rtl/>
        </w:rPr>
        <w:t xml:space="preserve">، وشملت مجموعة واسعة من جوانب نظام معاهدة البراءات ولا سيما نظام </w:t>
      </w:r>
      <w:proofErr w:type="spellStart"/>
      <w:r w:rsidR="00CD5185" w:rsidRPr="004118F4">
        <w:rPr>
          <w:rFonts w:ascii="Arabic Typesetting" w:hAnsi="Arabic Typesetting" w:cs="Arabic Typesetting"/>
          <w:sz w:val="34"/>
          <w:szCs w:val="34"/>
        </w:rPr>
        <w:t>ePCT</w:t>
      </w:r>
      <w:proofErr w:type="spellEnd"/>
      <w:r w:rsidR="00CD5185" w:rsidRPr="004118F4">
        <w:rPr>
          <w:rFonts w:ascii="Arabic Typesetting" w:hAnsi="Arabic Typesetting" w:cs="Arabic Typesetting" w:hint="cs"/>
          <w:sz w:val="34"/>
          <w:szCs w:val="34"/>
          <w:rtl/>
        </w:rPr>
        <w:t xml:space="preserve"> والفحص بعد دخول المرحلة الوطنية.</w:t>
      </w:r>
      <w:r w:rsidR="00CD5185" w:rsidRPr="004118F4">
        <w:rPr>
          <w:rFonts w:ascii="Arabic Typesetting" w:hAnsi="Arabic Typesetting" w:cs="Arabic Typesetting"/>
          <w:sz w:val="34"/>
          <w:szCs w:val="34"/>
          <w:rtl/>
        </w:rPr>
        <w:t xml:space="preserve"> </w:t>
      </w:r>
      <w:r w:rsidR="00CD5185" w:rsidRPr="004118F4">
        <w:rPr>
          <w:rFonts w:ascii="Arabic Typesetting" w:hAnsi="Arabic Typesetting" w:cs="Arabic Typesetting" w:hint="cs"/>
          <w:sz w:val="34"/>
          <w:szCs w:val="34"/>
          <w:rtl/>
        </w:rPr>
        <w:t>وأسهمت</w:t>
      </w:r>
      <w:r w:rsidR="00CD5185" w:rsidRPr="004118F4">
        <w:rPr>
          <w:rFonts w:ascii="Arabic Typesetting" w:hAnsi="Arabic Typesetting" w:cs="Arabic Typesetting"/>
          <w:sz w:val="34"/>
          <w:szCs w:val="34"/>
          <w:rtl/>
        </w:rPr>
        <w:t xml:space="preserve"> </w:t>
      </w:r>
      <w:r w:rsidR="00CD5185" w:rsidRPr="004118F4">
        <w:rPr>
          <w:rFonts w:ascii="Arabic Typesetting" w:hAnsi="Arabic Typesetting" w:cs="Arabic Typesetting" w:hint="cs"/>
          <w:sz w:val="34"/>
          <w:szCs w:val="34"/>
          <w:rtl/>
        </w:rPr>
        <w:t>تلك</w:t>
      </w:r>
      <w:r w:rsidR="00CD5185" w:rsidRPr="004118F4">
        <w:rPr>
          <w:rFonts w:ascii="Arabic Typesetting" w:hAnsi="Arabic Typesetting" w:cs="Arabic Typesetting"/>
          <w:sz w:val="34"/>
          <w:szCs w:val="34"/>
          <w:rtl/>
        </w:rPr>
        <w:t xml:space="preserve"> </w:t>
      </w:r>
      <w:r w:rsidRPr="004118F4">
        <w:rPr>
          <w:rFonts w:ascii="Arabic Typesetting" w:hAnsi="Arabic Typesetting" w:cs="Arabic Typesetting"/>
          <w:sz w:val="34"/>
          <w:szCs w:val="34"/>
          <w:rtl/>
        </w:rPr>
        <w:t>الأنشطة في تعزيز قدرات الدول الأعضاء في المعاهدة</w:t>
      </w:r>
      <w:r w:rsidRPr="004118F4">
        <w:rPr>
          <w:rFonts w:ascii="Arabic Typesetting" w:hAnsi="Arabic Typesetting" w:cs="Arabic Typesetting" w:hint="cs"/>
          <w:sz w:val="34"/>
          <w:szCs w:val="34"/>
          <w:rtl/>
        </w:rPr>
        <w:t xml:space="preserve"> وتلك التي تنظر في الانضمام إليها</w:t>
      </w:r>
      <w:r w:rsidRPr="004118F4">
        <w:rPr>
          <w:rFonts w:ascii="Arabic Typesetting" w:hAnsi="Arabic Typesetting" w:cs="Arabic Typesetting"/>
          <w:sz w:val="34"/>
          <w:szCs w:val="34"/>
          <w:rtl/>
        </w:rPr>
        <w:t xml:space="preserve"> عن طريق تعزيز </w:t>
      </w:r>
      <w:r w:rsidRPr="004118F4">
        <w:rPr>
          <w:rFonts w:ascii="Arabic Typesetting" w:hAnsi="Arabic Typesetting" w:cs="Arabic Typesetting" w:hint="cs"/>
          <w:sz w:val="34"/>
          <w:szCs w:val="34"/>
          <w:rtl/>
        </w:rPr>
        <w:t xml:space="preserve">المعارف </w:t>
      </w:r>
      <w:r w:rsidRPr="004118F4">
        <w:rPr>
          <w:rFonts w:ascii="Arabic Typesetting" w:hAnsi="Arabic Typesetting" w:cs="Arabic Typesetting"/>
          <w:sz w:val="34"/>
          <w:szCs w:val="34"/>
          <w:rtl/>
        </w:rPr>
        <w:t xml:space="preserve">والمهارات </w:t>
      </w:r>
      <w:r w:rsidRPr="004118F4">
        <w:rPr>
          <w:rFonts w:ascii="Arabic Typesetting" w:hAnsi="Arabic Typesetting" w:cs="Arabic Typesetting" w:hint="cs"/>
          <w:sz w:val="34"/>
          <w:szCs w:val="34"/>
          <w:rtl/>
        </w:rPr>
        <w:t>المحلية لاستخدام نظام المعاهدة.</w:t>
      </w:r>
    </w:p>
    <w:p w:rsidR="00B31868" w:rsidRPr="00B31868" w:rsidRDefault="00B31868" w:rsidP="009A3712">
      <w:pPr>
        <w:numPr>
          <w:ilvl w:val="0"/>
          <w:numId w:val="6"/>
        </w:numPr>
        <w:bidi/>
        <w:spacing w:after="120" w:line="340" w:lineRule="exact"/>
        <w:ind w:left="0" w:firstLine="0"/>
        <w:rPr>
          <w:rFonts w:ascii="Arabic Typesetting" w:hAnsi="Arabic Typesetting" w:cs="Arabic Typesetting"/>
          <w:sz w:val="34"/>
          <w:szCs w:val="34"/>
          <w:rtl/>
        </w:rPr>
      </w:pPr>
      <w:r w:rsidRPr="00B31868">
        <w:rPr>
          <w:rFonts w:ascii="Arabic Typesetting" w:hAnsi="Arabic Typesetting" w:cs="Arabic Typesetting"/>
          <w:sz w:val="34"/>
          <w:szCs w:val="34"/>
          <w:rtl/>
        </w:rPr>
        <w:t xml:space="preserve">وقد ارتفع مستوى الوعي بمعاهدة البراءات </w:t>
      </w:r>
      <w:r w:rsidR="00131C0E">
        <w:rPr>
          <w:rFonts w:ascii="Arabic Typesetting" w:hAnsi="Arabic Typesetting" w:cs="Arabic Typesetting" w:hint="cs"/>
          <w:sz w:val="34"/>
          <w:szCs w:val="34"/>
          <w:rtl/>
        </w:rPr>
        <w:t>لدى</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المستخدمين</w:t>
      </w:r>
      <w:r w:rsidRPr="00B31868">
        <w:rPr>
          <w:rFonts w:ascii="Arabic Typesetting" w:hAnsi="Arabic Typesetting" w:cs="Arabic Typesetting"/>
          <w:sz w:val="34"/>
          <w:szCs w:val="34"/>
          <w:rtl/>
        </w:rPr>
        <w:t xml:space="preserve"> الفعليين والمحتملين </w:t>
      </w:r>
      <w:r w:rsidRPr="00B31868">
        <w:rPr>
          <w:rFonts w:ascii="Arabic Typesetting" w:hAnsi="Arabic Typesetting" w:cs="Arabic Typesetting" w:hint="cs"/>
          <w:sz w:val="34"/>
          <w:szCs w:val="34"/>
          <w:rtl/>
        </w:rPr>
        <w:t xml:space="preserve">في </w:t>
      </w:r>
      <w:r w:rsidR="00CD5185">
        <w:rPr>
          <w:rFonts w:ascii="Arabic Typesetting" w:hAnsi="Arabic Typesetting" w:cs="Arabic Typesetting" w:hint="cs"/>
          <w:sz w:val="34"/>
          <w:szCs w:val="34"/>
          <w:rtl/>
        </w:rPr>
        <w:t xml:space="preserve">الثنائية </w:t>
      </w:r>
      <w:r w:rsidR="00507DE2">
        <w:rPr>
          <w:rFonts w:ascii="Arabic Typesetting" w:hAnsi="Arabic Typesetting" w:cs="Arabic Typesetting" w:hint="cs"/>
          <w:sz w:val="34"/>
          <w:szCs w:val="34"/>
          <w:rtl/>
        </w:rPr>
        <w:t>2014/15</w:t>
      </w:r>
      <w:r w:rsidR="00CD5185" w:rsidRPr="00B31868">
        <w:rPr>
          <w:rFonts w:ascii="Arabic Typesetting" w:hAnsi="Arabic Typesetting" w:cs="Arabic Typesetting"/>
          <w:sz w:val="34"/>
          <w:szCs w:val="34"/>
          <w:rtl/>
        </w:rPr>
        <w:t xml:space="preserve"> </w:t>
      </w:r>
      <w:r w:rsidRPr="00B31868">
        <w:rPr>
          <w:rFonts w:ascii="Arabic Typesetting" w:hAnsi="Arabic Typesetting" w:cs="Arabic Typesetting"/>
          <w:sz w:val="34"/>
          <w:szCs w:val="34"/>
          <w:rtl/>
        </w:rPr>
        <w:t xml:space="preserve">من خلال أنشطة تدريب وتوعية متنوعة </w:t>
      </w:r>
      <w:r w:rsidR="00CD5185">
        <w:rPr>
          <w:rFonts w:ascii="Arabic Typesetting" w:hAnsi="Arabic Typesetting" w:cs="Arabic Typesetting" w:hint="cs"/>
          <w:sz w:val="34"/>
          <w:szCs w:val="34"/>
          <w:rtl/>
        </w:rPr>
        <w:t>منها 111</w:t>
      </w:r>
      <w:r w:rsidR="00CD5185" w:rsidRPr="00B31868">
        <w:rPr>
          <w:rFonts w:ascii="Arabic Typesetting" w:hAnsi="Arabic Typesetting" w:cs="Arabic Typesetting"/>
          <w:sz w:val="34"/>
          <w:szCs w:val="34"/>
          <w:rtl/>
        </w:rPr>
        <w:t xml:space="preserve"> </w:t>
      </w:r>
      <w:r w:rsidRPr="00B31868">
        <w:rPr>
          <w:rFonts w:ascii="Arabic Typesetting" w:hAnsi="Arabic Typesetting" w:cs="Arabic Typesetting"/>
          <w:sz w:val="34"/>
          <w:szCs w:val="34"/>
          <w:rtl/>
        </w:rPr>
        <w:t xml:space="preserve">ندوة </w:t>
      </w:r>
      <w:r w:rsidR="00CD5185" w:rsidRPr="00B31868">
        <w:rPr>
          <w:rFonts w:ascii="Arabic Typesetting" w:hAnsi="Arabic Typesetting" w:cs="Arabic Typesetting" w:hint="cs"/>
          <w:sz w:val="34"/>
          <w:szCs w:val="34"/>
          <w:rtl/>
        </w:rPr>
        <w:t>و</w:t>
      </w:r>
      <w:r w:rsidR="00CD5185">
        <w:rPr>
          <w:rFonts w:ascii="Arabic Typesetting" w:hAnsi="Arabic Typesetting" w:cs="Arabic Typesetting" w:hint="cs"/>
          <w:sz w:val="34"/>
          <w:szCs w:val="34"/>
          <w:rtl/>
        </w:rPr>
        <w:t>101</w:t>
      </w:r>
      <w:r w:rsidR="00CD5185" w:rsidRPr="00B31868">
        <w:rPr>
          <w:rFonts w:ascii="Arabic Typesetting" w:hAnsi="Arabic Typesetting" w:cs="Arabic Typesetting"/>
          <w:sz w:val="34"/>
          <w:szCs w:val="34"/>
          <w:rtl/>
        </w:rPr>
        <w:t xml:space="preserve"> </w:t>
      </w:r>
      <w:r w:rsidRPr="00B31868">
        <w:rPr>
          <w:rFonts w:ascii="Arabic Typesetting" w:hAnsi="Arabic Typesetting" w:cs="Arabic Typesetting"/>
          <w:sz w:val="34"/>
          <w:szCs w:val="34"/>
          <w:rtl/>
        </w:rPr>
        <w:t>عرض</w:t>
      </w:r>
      <w:r w:rsidRPr="00B31868">
        <w:rPr>
          <w:rFonts w:ascii="Arabic Typesetting" w:hAnsi="Arabic Typesetting" w:cs="Arabic Typesetting" w:hint="cs"/>
          <w:sz w:val="34"/>
          <w:szCs w:val="34"/>
          <w:rtl/>
        </w:rPr>
        <w:t xml:space="preserve"> </w:t>
      </w:r>
      <w:r w:rsidR="003A63DC" w:rsidRPr="00B31868">
        <w:rPr>
          <w:rFonts w:ascii="Arabic Typesetting" w:hAnsi="Arabic Typesetting" w:cs="Arabic Typesetting"/>
          <w:sz w:val="34"/>
          <w:szCs w:val="34"/>
          <w:rtl/>
        </w:rPr>
        <w:t>و</w:t>
      </w:r>
      <w:r w:rsidR="003A63DC">
        <w:rPr>
          <w:rFonts w:ascii="Arabic Typesetting" w:hAnsi="Arabic Typesetting" w:cs="Arabic Typesetting" w:hint="cs"/>
          <w:sz w:val="34"/>
          <w:szCs w:val="34"/>
          <w:rtl/>
        </w:rPr>
        <w:t>25</w:t>
      </w:r>
      <w:r w:rsidR="003A63DC" w:rsidRPr="00B31868">
        <w:rPr>
          <w:rFonts w:ascii="Arabic Typesetting" w:hAnsi="Arabic Typesetting" w:cs="Arabic Typesetting" w:hint="cs"/>
          <w:sz w:val="34"/>
          <w:szCs w:val="34"/>
          <w:rtl/>
        </w:rPr>
        <w:t xml:space="preserve"> </w:t>
      </w:r>
      <w:r w:rsidRPr="00B31868">
        <w:rPr>
          <w:rFonts w:ascii="Arabic Typesetting" w:hAnsi="Arabic Typesetting" w:cs="Arabic Typesetting"/>
          <w:sz w:val="34"/>
          <w:szCs w:val="34"/>
          <w:rtl/>
        </w:rPr>
        <w:t xml:space="preserve">ندوة عبر الإنترنت </w:t>
      </w:r>
      <w:r w:rsidR="003A63DC" w:rsidRPr="00B31868">
        <w:rPr>
          <w:rFonts w:ascii="Arabic Typesetting" w:hAnsi="Arabic Typesetting" w:cs="Arabic Typesetting"/>
          <w:sz w:val="34"/>
          <w:szCs w:val="34"/>
          <w:rtl/>
        </w:rPr>
        <w:t>و</w:t>
      </w:r>
      <w:r w:rsidR="003A63DC">
        <w:rPr>
          <w:rFonts w:ascii="Arabic Typesetting" w:hAnsi="Arabic Typesetting" w:cs="Arabic Typesetting" w:hint="cs"/>
          <w:sz w:val="34"/>
          <w:szCs w:val="34"/>
          <w:rtl/>
        </w:rPr>
        <w:t>67</w:t>
      </w:r>
      <w:r w:rsidR="003A63DC" w:rsidRPr="00B31868">
        <w:rPr>
          <w:rFonts w:ascii="Arabic Typesetting" w:hAnsi="Arabic Typesetting" w:cs="Arabic Typesetting"/>
          <w:sz w:val="34"/>
          <w:szCs w:val="34"/>
          <w:rtl/>
        </w:rPr>
        <w:t xml:space="preserve"> </w:t>
      </w:r>
      <w:r w:rsidRPr="00B31868">
        <w:rPr>
          <w:rFonts w:ascii="Arabic Typesetting" w:hAnsi="Arabic Typesetting" w:cs="Arabic Typesetting"/>
          <w:sz w:val="34"/>
          <w:szCs w:val="34"/>
          <w:rtl/>
        </w:rPr>
        <w:t>زيارة للمستخدمين)</w:t>
      </w:r>
      <w:r w:rsidRPr="00B31868">
        <w:rPr>
          <w:rFonts w:ascii="Arabic Typesetting" w:hAnsi="Arabic Typesetting" w:cs="Arabic Typesetting" w:hint="cs"/>
          <w:sz w:val="34"/>
          <w:szCs w:val="34"/>
          <w:rtl/>
        </w:rPr>
        <w:t xml:space="preserve">. </w:t>
      </w:r>
      <w:r w:rsidR="003A63DC">
        <w:rPr>
          <w:rFonts w:ascii="Arabic Typesetting" w:hAnsi="Arabic Typesetting" w:cs="Arabic Typesetting" w:hint="cs"/>
          <w:sz w:val="34"/>
          <w:szCs w:val="34"/>
          <w:rtl/>
        </w:rPr>
        <w:t>وفضلاً عن</w:t>
      </w:r>
      <w:r w:rsidRPr="00B31868">
        <w:rPr>
          <w:rFonts w:ascii="Arabic Typesetting" w:hAnsi="Arabic Typesetting" w:cs="Arabic Typesetting" w:hint="cs"/>
          <w:sz w:val="34"/>
          <w:szCs w:val="34"/>
          <w:rtl/>
        </w:rPr>
        <w:t xml:space="preserve"> </w:t>
      </w:r>
      <w:r w:rsidRPr="00B31868">
        <w:rPr>
          <w:rFonts w:ascii="Arabic Typesetting" w:hAnsi="Arabic Typesetting" w:cs="Arabic Typesetting"/>
          <w:sz w:val="34"/>
          <w:szCs w:val="34"/>
          <w:rtl/>
        </w:rPr>
        <w:t>ذلك، رد</w:t>
      </w:r>
      <w:r w:rsidR="003A63DC">
        <w:rPr>
          <w:rFonts w:ascii="Arabic Typesetting" w:hAnsi="Arabic Typesetting" w:cs="Arabic Typesetting" w:hint="cs"/>
          <w:sz w:val="34"/>
          <w:szCs w:val="34"/>
          <w:rtl/>
        </w:rPr>
        <w:t xml:space="preserve">ت دائرة الإعلام لمعاهدة التعاون بشأن البراءات </w:t>
      </w:r>
      <w:r w:rsidRPr="00B31868">
        <w:rPr>
          <w:rFonts w:ascii="Arabic Typesetting" w:hAnsi="Arabic Typesetting" w:cs="Arabic Typesetting"/>
          <w:sz w:val="34"/>
          <w:szCs w:val="34"/>
          <w:rtl/>
        </w:rPr>
        <w:t>على</w:t>
      </w:r>
      <w:r w:rsidRPr="00B31868">
        <w:rPr>
          <w:rFonts w:ascii="Arabic Typesetting" w:hAnsi="Arabic Typesetting" w:cs="Arabic Typesetting" w:hint="cs"/>
          <w:sz w:val="34"/>
          <w:szCs w:val="34"/>
          <w:rtl/>
        </w:rPr>
        <w:t> </w:t>
      </w:r>
      <w:r w:rsidR="003A63DC">
        <w:rPr>
          <w:rFonts w:ascii="Arabic Typesetting" w:hAnsi="Arabic Typesetting" w:cs="Arabic Typesetting" w:hint="cs"/>
          <w:sz w:val="34"/>
          <w:szCs w:val="34"/>
          <w:rtl/>
        </w:rPr>
        <w:t>618 23</w:t>
      </w:r>
      <w:r w:rsidRPr="00B31868">
        <w:rPr>
          <w:rFonts w:ascii="Arabic Typesetting" w:hAnsi="Arabic Typesetting" w:cs="Arabic Typesetting"/>
          <w:sz w:val="34"/>
          <w:szCs w:val="34"/>
          <w:rtl/>
        </w:rPr>
        <w:t xml:space="preserve"> استفسارا متعلقا بالمعاهدة من المستخدمين والمستخدمين المحتملين</w:t>
      </w:r>
      <w:r w:rsidRPr="00B31868">
        <w:rPr>
          <w:rFonts w:ascii="Arabic Typesetting" w:hAnsi="Arabic Typesetting" w:cs="Arabic Typesetting" w:hint="cs"/>
          <w:sz w:val="34"/>
          <w:szCs w:val="34"/>
          <w:rtl/>
        </w:rPr>
        <w:t xml:space="preserve"> </w:t>
      </w:r>
      <w:r w:rsidRPr="00B31868">
        <w:rPr>
          <w:rFonts w:ascii="Arabic Typesetting" w:hAnsi="Arabic Typesetting" w:cs="Arabic Typesetting"/>
          <w:sz w:val="34"/>
          <w:szCs w:val="34"/>
          <w:rtl/>
        </w:rPr>
        <w:t>(بمتوسط</w:t>
      </w:r>
      <w:r w:rsidRPr="00B31868">
        <w:rPr>
          <w:rFonts w:ascii="Arabic Typesetting" w:hAnsi="Arabic Typesetting" w:cs="Arabic Typesetting"/>
          <w:sz w:val="34"/>
          <w:szCs w:val="34"/>
        </w:rPr>
        <w:t xml:space="preserve"> </w:t>
      </w:r>
      <w:r w:rsidR="003A63DC">
        <w:rPr>
          <w:rFonts w:ascii="Arabic Typesetting" w:hAnsi="Arabic Typesetting" w:cs="Arabic Typesetting" w:hint="cs"/>
          <w:sz w:val="34"/>
          <w:szCs w:val="34"/>
          <w:rtl/>
        </w:rPr>
        <w:t>49</w:t>
      </w:r>
      <w:r w:rsidR="003A63DC" w:rsidRPr="00B31868">
        <w:rPr>
          <w:rFonts w:ascii="Arabic Typesetting" w:hAnsi="Arabic Typesetting" w:cs="Arabic Typesetting"/>
          <w:sz w:val="34"/>
          <w:szCs w:val="34"/>
        </w:rPr>
        <w:t xml:space="preserve"> </w:t>
      </w:r>
      <w:r w:rsidRPr="00B31868">
        <w:rPr>
          <w:rFonts w:ascii="Arabic Typesetting" w:hAnsi="Arabic Typesetting" w:cs="Arabic Typesetting"/>
          <w:sz w:val="34"/>
          <w:szCs w:val="34"/>
          <w:rtl/>
        </w:rPr>
        <w:t xml:space="preserve">استفسارا في اليوم الواحد) </w:t>
      </w:r>
      <w:r w:rsidR="003A63DC">
        <w:rPr>
          <w:rFonts w:ascii="Arabic Typesetting" w:hAnsi="Arabic Typesetting" w:cs="Arabic Typesetting" w:hint="cs"/>
          <w:sz w:val="34"/>
          <w:szCs w:val="34"/>
          <w:rtl/>
        </w:rPr>
        <w:t xml:space="preserve">وتمكنت </w:t>
      </w:r>
      <w:r w:rsidR="003A63DC" w:rsidRPr="003A63DC">
        <w:rPr>
          <w:rFonts w:ascii="Arabic Typesetting" w:hAnsi="Arabic Typesetting" w:cs="Arabic Typesetting"/>
          <w:sz w:val="34"/>
          <w:szCs w:val="34"/>
          <w:rtl/>
        </w:rPr>
        <w:t>شعبة الشؤون القانونية ‏لمعاهدة التعاون بشأن البراءات</w:t>
      </w:r>
      <w:r w:rsidRPr="00B31868">
        <w:rPr>
          <w:rFonts w:ascii="Arabic Typesetting" w:hAnsi="Arabic Typesetting" w:cs="Arabic Typesetting"/>
          <w:sz w:val="34"/>
          <w:szCs w:val="34"/>
          <w:rtl/>
        </w:rPr>
        <w:t xml:space="preserve"> </w:t>
      </w:r>
      <w:r w:rsidR="003A63DC">
        <w:rPr>
          <w:rFonts w:ascii="Arabic Typesetting" w:hAnsi="Arabic Typesetting" w:cs="Arabic Typesetting" w:hint="cs"/>
          <w:sz w:val="34"/>
          <w:szCs w:val="34"/>
          <w:rtl/>
        </w:rPr>
        <w:t xml:space="preserve">من </w:t>
      </w:r>
      <w:r w:rsidRPr="00B31868">
        <w:rPr>
          <w:rFonts w:ascii="Arabic Typesetting" w:hAnsi="Arabic Typesetting" w:cs="Arabic Typesetting"/>
          <w:sz w:val="34"/>
          <w:szCs w:val="34"/>
          <w:rtl/>
        </w:rPr>
        <w:t xml:space="preserve">تسوية </w:t>
      </w:r>
      <w:r w:rsidR="003A63DC">
        <w:rPr>
          <w:rFonts w:ascii="Arabic Typesetting" w:hAnsi="Arabic Typesetting" w:cs="Arabic Typesetting" w:hint="cs"/>
          <w:sz w:val="34"/>
          <w:szCs w:val="34"/>
          <w:rtl/>
        </w:rPr>
        <w:t>2408 حالات</w:t>
      </w:r>
      <w:r w:rsidR="003A63DC" w:rsidRPr="00B31868">
        <w:rPr>
          <w:rFonts w:ascii="Arabic Typesetting" w:hAnsi="Arabic Typesetting" w:cs="Arabic Typesetting"/>
          <w:sz w:val="34"/>
          <w:szCs w:val="34"/>
          <w:rtl/>
        </w:rPr>
        <w:t xml:space="preserve"> </w:t>
      </w:r>
      <w:r w:rsidRPr="00B31868">
        <w:rPr>
          <w:rFonts w:ascii="Arabic Typesetting" w:hAnsi="Arabic Typesetting" w:cs="Arabic Typesetting"/>
          <w:sz w:val="34"/>
          <w:szCs w:val="34"/>
        </w:rPr>
        <w:t>"</w:t>
      </w:r>
      <w:r w:rsidRPr="00B31868">
        <w:rPr>
          <w:rFonts w:ascii="Arabic Typesetting" w:hAnsi="Arabic Typesetting" w:cs="Arabic Typesetting"/>
          <w:sz w:val="34"/>
          <w:szCs w:val="34"/>
          <w:rtl/>
        </w:rPr>
        <w:t>معالجة خاصة</w:t>
      </w:r>
      <w:r w:rsidRPr="00B31868">
        <w:rPr>
          <w:rFonts w:ascii="Arabic Typesetting" w:hAnsi="Arabic Typesetting" w:cs="Arabic Typesetting"/>
          <w:sz w:val="34"/>
          <w:szCs w:val="34"/>
        </w:rPr>
        <w:t xml:space="preserve">" </w:t>
      </w:r>
      <w:r w:rsidRPr="00B31868">
        <w:rPr>
          <w:rFonts w:ascii="Arabic Typesetting" w:hAnsi="Arabic Typesetting" w:cs="Arabic Typesetting"/>
          <w:sz w:val="34"/>
          <w:szCs w:val="34"/>
          <w:rtl/>
        </w:rPr>
        <w:t xml:space="preserve">خلال </w:t>
      </w:r>
      <w:r w:rsidRPr="00B31868">
        <w:rPr>
          <w:rFonts w:ascii="Arabic Typesetting" w:hAnsi="Arabic Typesetting" w:cs="Arabic Typesetting" w:hint="cs"/>
          <w:sz w:val="34"/>
          <w:szCs w:val="34"/>
          <w:rtl/>
        </w:rPr>
        <w:t>السنة.</w:t>
      </w:r>
    </w:p>
    <w:p w:rsidR="00B31868" w:rsidRPr="00B31868" w:rsidRDefault="00B31868" w:rsidP="009A3712">
      <w:pPr>
        <w:numPr>
          <w:ilvl w:val="0"/>
          <w:numId w:val="6"/>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وواصل المكتب الدولي تحسين وتوسيع </w:t>
      </w:r>
      <w:r w:rsidRPr="00B31868">
        <w:rPr>
          <w:rFonts w:ascii="Arabic Typesetting" w:hAnsi="Arabic Typesetting" w:cs="Arabic Typesetting"/>
          <w:sz w:val="34"/>
          <w:szCs w:val="34"/>
          <w:rtl/>
        </w:rPr>
        <w:t>أتمتة بعض العمليات المتعلقة بفحص الإجراءات الشكلية لطلبات معاهدة البراءات</w:t>
      </w:r>
      <w:r w:rsidRPr="00B31868">
        <w:rPr>
          <w:rFonts w:ascii="Arabic Typesetting" w:hAnsi="Arabic Typesetting" w:cs="Arabic Typesetting" w:hint="cs"/>
          <w:sz w:val="34"/>
          <w:szCs w:val="34"/>
          <w:rtl/>
        </w:rPr>
        <w:t xml:space="preserve">. وإضافة إلى الطلبات المودعة إلكترونيا في نسقي </w:t>
      </w:r>
      <w:r w:rsidRPr="00B31868">
        <w:rPr>
          <w:rFonts w:ascii="Arabic Typesetting" w:hAnsi="Arabic Typesetting" w:cs="Arabic Typesetting"/>
          <w:sz w:val="34"/>
          <w:szCs w:val="34"/>
        </w:rPr>
        <w:t>XML</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و</w:t>
      </w:r>
      <w:r w:rsidRPr="00B31868">
        <w:rPr>
          <w:rFonts w:ascii="Arabic Typesetting" w:hAnsi="Arabic Typesetting" w:cs="Arabic Typesetting"/>
          <w:sz w:val="34"/>
          <w:szCs w:val="34"/>
        </w:rPr>
        <w:t>PDF</w:t>
      </w:r>
      <w:r w:rsidRPr="00B31868">
        <w:rPr>
          <w:rFonts w:ascii="Arabic Typesetting" w:hAnsi="Arabic Typesetting" w:cs="Arabic Typesetting" w:hint="cs"/>
          <w:sz w:val="34"/>
          <w:szCs w:val="34"/>
          <w:rtl/>
        </w:rPr>
        <w:t>، أحرز المكتب الدولي تقدما مهما في المعالجة الآلية لطلبات ال</w:t>
      </w:r>
      <w:r w:rsidR="000036F7">
        <w:rPr>
          <w:rFonts w:ascii="Arabic Typesetting" w:hAnsi="Arabic Typesetting" w:cs="Arabic Typesetting" w:hint="cs"/>
          <w:sz w:val="34"/>
          <w:szCs w:val="34"/>
          <w:rtl/>
        </w:rPr>
        <w:t>بحث الدولي والآراء المكتوبة الواردة</w:t>
      </w:r>
      <w:r w:rsidRPr="00B31868">
        <w:rPr>
          <w:rFonts w:ascii="Arabic Typesetting" w:hAnsi="Arabic Typesetting" w:cs="Arabic Typesetting" w:hint="cs"/>
          <w:sz w:val="34"/>
          <w:szCs w:val="34"/>
          <w:rtl/>
        </w:rPr>
        <w:t xml:space="preserve"> من الصين</w:t>
      </w:r>
      <w:r w:rsidR="003A63DC">
        <w:rPr>
          <w:rFonts w:ascii="Arabic Typesetting" w:hAnsi="Arabic Typesetting" w:cs="Arabic Typesetting" w:hint="cs"/>
          <w:sz w:val="34"/>
          <w:szCs w:val="34"/>
          <w:rtl/>
        </w:rPr>
        <w:t xml:space="preserve"> واليابان وجمهورية كوريا</w:t>
      </w:r>
      <w:r w:rsidRPr="00B31868">
        <w:rPr>
          <w:rFonts w:ascii="Arabic Typesetting" w:hAnsi="Arabic Typesetting" w:cs="Arabic Typesetting" w:hint="cs"/>
          <w:sz w:val="34"/>
          <w:szCs w:val="34"/>
          <w:rtl/>
        </w:rPr>
        <w:t xml:space="preserve"> والمكتب الأوروبي للبراءات في نسق</w:t>
      </w:r>
      <w:r w:rsidR="003A63DC">
        <w:rPr>
          <w:rFonts w:ascii="Arabic Typesetting" w:hAnsi="Arabic Typesetting" w:cs="Arabic Typesetting" w:hint="cs"/>
          <w:sz w:val="34"/>
          <w:szCs w:val="34"/>
          <w:rtl/>
        </w:rPr>
        <w:t>ي</w:t>
      </w:r>
      <w:r w:rsidR="00A214AF">
        <w:rPr>
          <w:rFonts w:ascii="Arabic Typesetting" w:hAnsi="Arabic Typesetting" w:cs="Arabic Typesetting" w:hint="cs"/>
          <w:sz w:val="34"/>
          <w:szCs w:val="34"/>
          <w:rtl/>
        </w:rPr>
        <w:t xml:space="preserve"> </w:t>
      </w:r>
      <w:r w:rsidR="00A214AF" w:rsidRPr="00B31868">
        <w:rPr>
          <w:rFonts w:ascii="Arabic Typesetting" w:hAnsi="Arabic Typesetting" w:cs="Arabic Typesetting"/>
          <w:sz w:val="34"/>
          <w:szCs w:val="34"/>
        </w:rPr>
        <w:t>XML</w:t>
      </w:r>
      <w:r w:rsidR="00A214AF">
        <w:rPr>
          <w:rFonts w:ascii="Arabic Typesetting" w:hAnsi="Arabic Typesetting" w:cs="Arabic Typesetting" w:hint="cs"/>
          <w:sz w:val="34"/>
          <w:szCs w:val="34"/>
          <w:rtl/>
        </w:rPr>
        <w:t xml:space="preserve"> </w:t>
      </w:r>
      <w:r w:rsidR="003A63DC">
        <w:rPr>
          <w:rFonts w:ascii="Arabic Typesetting" w:hAnsi="Arabic Typesetting" w:cs="Arabic Typesetting" w:hint="cs"/>
          <w:sz w:val="34"/>
          <w:szCs w:val="34"/>
          <w:rtl/>
        </w:rPr>
        <w:t>و</w:t>
      </w:r>
      <w:r w:rsidR="003A63DC">
        <w:rPr>
          <w:rFonts w:ascii="Arabic Typesetting" w:hAnsi="Arabic Typesetting" w:cs="Arabic Typesetting"/>
          <w:sz w:val="34"/>
          <w:szCs w:val="34"/>
        </w:rPr>
        <w:t>PDF</w:t>
      </w:r>
      <w:r w:rsidRPr="00B31868">
        <w:rPr>
          <w:rFonts w:ascii="Arabic Typesetting" w:hAnsi="Arabic Typesetting" w:cs="Arabic Typesetting" w:hint="cs"/>
          <w:sz w:val="34"/>
          <w:szCs w:val="34"/>
          <w:rtl/>
        </w:rPr>
        <w:t xml:space="preserve">. </w:t>
      </w:r>
      <w:r w:rsidR="003A63DC">
        <w:rPr>
          <w:rFonts w:ascii="Arabic Typesetting" w:hAnsi="Arabic Typesetting" w:cs="Arabic Typesetting" w:hint="cs"/>
          <w:sz w:val="34"/>
          <w:szCs w:val="34"/>
          <w:rtl/>
        </w:rPr>
        <w:t>وأدى ذلك إلى</w:t>
      </w:r>
      <w:r w:rsidRPr="00B31868">
        <w:rPr>
          <w:rFonts w:ascii="Arabic Typesetting" w:hAnsi="Arabic Typesetting" w:cs="Arabic Typesetting"/>
          <w:sz w:val="34"/>
          <w:szCs w:val="34"/>
          <w:rtl/>
        </w:rPr>
        <w:t xml:space="preserve"> زيادة</w:t>
      </w:r>
      <w:r w:rsidRPr="00B31868">
        <w:rPr>
          <w:rFonts w:ascii="Arabic Typesetting" w:hAnsi="Arabic Typesetting" w:cs="Arabic Typesetting" w:hint="cs"/>
          <w:sz w:val="34"/>
          <w:szCs w:val="34"/>
          <w:rtl/>
        </w:rPr>
        <w:t xml:space="preserve"> </w:t>
      </w:r>
      <w:r w:rsidR="003A63DC">
        <w:rPr>
          <w:rFonts w:ascii="Arabic Typesetting" w:hAnsi="Arabic Typesetting" w:cs="Arabic Typesetting" w:hint="cs"/>
          <w:sz w:val="34"/>
          <w:szCs w:val="34"/>
          <w:rtl/>
        </w:rPr>
        <w:t>إ</w:t>
      </w:r>
      <w:r w:rsidR="003A63DC" w:rsidRPr="00B31868">
        <w:rPr>
          <w:rFonts w:ascii="Arabic Typesetting" w:hAnsi="Arabic Typesetting" w:cs="Arabic Typesetting" w:hint="cs"/>
          <w:sz w:val="34"/>
          <w:szCs w:val="34"/>
          <w:rtl/>
        </w:rPr>
        <w:t xml:space="preserve">نتاجية </w:t>
      </w:r>
      <w:r w:rsidRPr="00B31868">
        <w:rPr>
          <w:rFonts w:ascii="Arabic Typesetting" w:hAnsi="Arabic Typesetting" w:cs="Arabic Typesetting" w:hint="cs"/>
          <w:sz w:val="34"/>
          <w:szCs w:val="34"/>
          <w:rtl/>
        </w:rPr>
        <w:t xml:space="preserve">وجودة </w:t>
      </w:r>
      <w:r w:rsidRPr="00B31868">
        <w:rPr>
          <w:rFonts w:ascii="Arabic Typesetting" w:hAnsi="Arabic Typesetting" w:cs="Arabic Typesetting"/>
          <w:sz w:val="34"/>
          <w:szCs w:val="34"/>
          <w:rtl/>
        </w:rPr>
        <w:t>الإجراءات الشكلية ل</w:t>
      </w:r>
      <w:r w:rsidRPr="00B31868">
        <w:rPr>
          <w:rFonts w:ascii="Arabic Typesetting" w:hAnsi="Arabic Typesetting" w:cs="Arabic Typesetting" w:hint="cs"/>
          <w:sz w:val="34"/>
          <w:szCs w:val="34"/>
          <w:rtl/>
        </w:rPr>
        <w:t>فحص ال</w:t>
      </w:r>
      <w:r w:rsidRPr="00B31868">
        <w:rPr>
          <w:rFonts w:ascii="Arabic Typesetting" w:hAnsi="Arabic Typesetting" w:cs="Arabic Typesetting"/>
          <w:sz w:val="34"/>
          <w:szCs w:val="34"/>
          <w:rtl/>
        </w:rPr>
        <w:t>طلبات</w:t>
      </w:r>
      <w:r w:rsidRPr="00B31868">
        <w:rPr>
          <w:rFonts w:ascii="Arabic Typesetting" w:hAnsi="Arabic Typesetting" w:cs="Arabic Typesetting" w:hint="cs"/>
          <w:sz w:val="34"/>
          <w:szCs w:val="34"/>
          <w:rtl/>
        </w:rPr>
        <w:t xml:space="preserve"> الدولية</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ل</w:t>
      </w:r>
      <w:r w:rsidRPr="00B31868">
        <w:rPr>
          <w:rFonts w:ascii="Arabic Typesetting" w:hAnsi="Arabic Typesetting" w:cs="Arabic Typesetting"/>
          <w:sz w:val="34"/>
          <w:szCs w:val="34"/>
          <w:rtl/>
        </w:rPr>
        <w:t>معاهدة البراءات</w:t>
      </w:r>
      <w:r w:rsidR="003A63DC">
        <w:rPr>
          <w:rFonts w:ascii="Arabic Typesetting" w:hAnsi="Arabic Typesetting" w:cs="Arabic Typesetting" w:hint="cs"/>
          <w:sz w:val="34"/>
          <w:szCs w:val="34"/>
          <w:rtl/>
        </w:rPr>
        <w:t xml:space="preserve"> خلال الثنائية ما مكَّن المكتب الدولي</w:t>
      </w:r>
      <w:r w:rsidRPr="00B31868">
        <w:rPr>
          <w:rFonts w:ascii="Arabic Typesetting" w:hAnsi="Arabic Typesetting" w:cs="Arabic Typesetting" w:hint="cs"/>
          <w:sz w:val="34"/>
          <w:szCs w:val="34"/>
          <w:rtl/>
        </w:rPr>
        <w:t xml:space="preserve"> من استيعاب عبء العمل المتزايد بعدد أقل من</w:t>
      </w:r>
      <w:r w:rsidR="003A63DC">
        <w:rPr>
          <w:rFonts w:ascii="Arabic Typesetting" w:hAnsi="Arabic Typesetting" w:cs="Arabic Typesetting" w:hint="cs"/>
          <w:sz w:val="34"/>
          <w:szCs w:val="34"/>
          <w:rtl/>
        </w:rPr>
        <w:t xml:space="preserve"> الموظفين</w:t>
      </w:r>
      <w:r w:rsidRPr="00B31868">
        <w:rPr>
          <w:rFonts w:ascii="Arabic Typesetting" w:hAnsi="Arabic Typesetting" w:cs="Arabic Typesetting" w:hint="cs"/>
          <w:sz w:val="34"/>
          <w:szCs w:val="34"/>
          <w:rtl/>
        </w:rPr>
        <w:t xml:space="preserve"> </w:t>
      </w:r>
      <w:r w:rsidR="003A63DC">
        <w:rPr>
          <w:rFonts w:ascii="Arabic Typesetting" w:hAnsi="Arabic Typesetting" w:cs="Arabic Typesetting" w:hint="cs"/>
          <w:sz w:val="34"/>
          <w:szCs w:val="34"/>
          <w:rtl/>
        </w:rPr>
        <w:t xml:space="preserve">مع </w:t>
      </w:r>
      <w:r w:rsidR="003A63DC" w:rsidRPr="00B31868">
        <w:rPr>
          <w:rFonts w:ascii="Arabic Typesetting" w:hAnsi="Arabic Typesetting" w:cs="Arabic Typesetting" w:hint="cs"/>
          <w:sz w:val="34"/>
          <w:szCs w:val="34"/>
          <w:rtl/>
        </w:rPr>
        <w:t xml:space="preserve">الحفاظ </w:t>
      </w:r>
      <w:r w:rsidRPr="00B31868">
        <w:rPr>
          <w:rFonts w:ascii="Arabic Typesetting" w:hAnsi="Arabic Typesetting" w:cs="Arabic Typesetting" w:hint="cs"/>
          <w:sz w:val="34"/>
          <w:szCs w:val="34"/>
          <w:rtl/>
        </w:rPr>
        <w:t xml:space="preserve">على خدمة عالية الجودة. وارتفعت </w:t>
      </w:r>
      <w:r w:rsidR="003A63DC" w:rsidRPr="00B31868">
        <w:rPr>
          <w:rFonts w:ascii="Arabic Typesetting" w:hAnsi="Arabic Typesetting" w:cs="Arabic Typesetting" w:hint="cs"/>
          <w:sz w:val="34"/>
          <w:szCs w:val="34"/>
          <w:rtl/>
        </w:rPr>
        <w:t>ال</w:t>
      </w:r>
      <w:r w:rsidR="003A63DC">
        <w:rPr>
          <w:rFonts w:ascii="Arabic Typesetting" w:hAnsi="Arabic Typesetting" w:cs="Arabic Typesetting" w:hint="cs"/>
          <w:sz w:val="34"/>
          <w:szCs w:val="34"/>
          <w:rtl/>
        </w:rPr>
        <w:t>إ</w:t>
      </w:r>
      <w:r w:rsidR="003A63DC" w:rsidRPr="00B31868">
        <w:rPr>
          <w:rFonts w:ascii="Arabic Typesetting" w:hAnsi="Arabic Typesetting" w:cs="Arabic Typesetting" w:hint="cs"/>
          <w:sz w:val="34"/>
          <w:szCs w:val="34"/>
          <w:rtl/>
        </w:rPr>
        <w:t>نتاجية</w:t>
      </w:r>
      <w:r w:rsidRPr="00B31868">
        <w:rPr>
          <w:rFonts w:ascii="Arabic Typesetting" w:hAnsi="Arabic Typesetting" w:cs="Arabic Typesetting" w:hint="cs"/>
          <w:sz w:val="34"/>
          <w:szCs w:val="34"/>
          <w:rtl/>
        </w:rPr>
        <w:t xml:space="preserve">، التي تُحسب بقسمة </w:t>
      </w:r>
      <w:r w:rsidRPr="00B31868">
        <w:rPr>
          <w:rFonts w:ascii="Arabic Typesetting" w:hAnsi="Arabic Typesetting" w:cs="Arabic Typesetting"/>
          <w:sz w:val="34"/>
          <w:szCs w:val="34"/>
          <w:rtl/>
        </w:rPr>
        <w:t xml:space="preserve">عدد </w:t>
      </w:r>
      <w:r w:rsidRPr="00B31868">
        <w:rPr>
          <w:rFonts w:ascii="Arabic Typesetting" w:hAnsi="Arabic Typesetting" w:cs="Arabic Typesetting" w:hint="cs"/>
          <w:sz w:val="34"/>
          <w:szCs w:val="34"/>
          <w:rtl/>
        </w:rPr>
        <w:t>الطلبات ال</w:t>
      </w:r>
      <w:r w:rsidRPr="00B31868">
        <w:rPr>
          <w:rFonts w:ascii="Arabic Typesetting" w:hAnsi="Arabic Typesetting" w:cs="Arabic Typesetting"/>
          <w:sz w:val="34"/>
          <w:szCs w:val="34"/>
          <w:rtl/>
        </w:rPr>
        <w:t>منشور</w:t>
      </w:r>
      <w:r w:rsidRPr="00B31868">
        <w:rPr>
          <w:rFonts w:ascii="Arabic Typesetting" w:hAnsi="Arabic Typesetting" w:cs="Arabic Typesetting" w:hint="cs"/>
          <w:sz w:val="34"/>
          <w:szCs w:val="34"/>
          <w:rtl/>
        </w:rPr>
        <w:t>ة</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 xml:space="preserve">بموجب </w:t>
      </w:r>
      <w:r w:rsidRPr="00B31868">
        <w:rPr>
          <w:rFonts w:ascii="Arabic Typesetting" w:hAnsi="Arabic Typesetting" w:cs="Arabic Typesetting"/>
          <w:sz w:val="34"/>
          <w:szCs w:val="34"/>
          <w:rtl/>
        </w:rPr>
        <w:t>معاهدة البراءات</w:t>
      </w:r>
      <w:r w:rsidRPr="00B31868">
        <w:rPr>
          <w:rFonts w:ascii="Arabic Typesetting" w:hAnsi="Arabic Typesetting" w:cs="Arabic Typesetting" w:hint="cs"/>
          <w:sz w:val="34"/>
          <w:szCs w:val="34"/>
          <w:rtl/>
        </w:rPr>
        <w:t xml:space="preserve"> </w:t>
      </w:r>
      <w:r w:rsidRPr="00B31868">
        <w:rPr>
          <w:rFonts w:ascii="Arabic Typesetting" w:hAnsi="Arabic Typesetting" w:cs="Arabic Typesetting"/>
          <w:sz w:val="34"/>
          <w:szCs w:val="34"/>
          <w:rtl/>
        </w:rPr>
        <w:t>على عدد الموظفين</w:t>
      </w:r>
      <w:r w:rsidRPr="00B31868">
        <w:rPr>
          <w:rFonts w:ascii="Arabic Typesetting" w:hAnsi="Arabic Typesetting" w:cs="Arabic Typesetting" w:hint="cs"/>
          <w:sz w:val="34"/>
          <w:szCs w:val="34"/>
          <w:rtl/>
        </w:rPr>
        <w:t>،</w:t>
      </w:r>
      <w:r w:rsidR="003A63DC">
        <w:rPr>
          <w:rFonts w:ascii="Arabic Typesetting" w:hAnsi="Arabic Typesetting" w:cs="Arabic Typesetting" w:hint="cs"/>
          <w:sz w:val="34"/>
          <w:szCs w:val="34"/>
          <w:rtl/>
        </w:rPr>
        <w:t xml:space="preserve"> ارتفاعاً كبيراً</w:t>
      </w:r>
      <w:r w:rsidRPr="00B31868">
        <w:rPr>
          <w:rFonts w:ascii="Arabic Typesetting" w:hAnsi="Arabic Typesetting" w:cs="Arabic Typesetting" w:hint="cs"/>
          <w:sz w:val="34"/>
          <w:szCs w:val="34"/>
          <w:rtl/>
        </w:rPr>
        <w:t xml:space="preserve"> بنسبة </w:t>
      </w:r>
      <w:r w:rsidR="003A63DC">
        <w:rPr>
          <w:rFonts w:ascii="Arabic Typesetting" w:hAnsi="Arabic Typesetting" w:cs="Arabic Typesetting" w:hint="cs"/>
          <w:sz w:val="34"/>
          <w:szCs w:val="34"/>
          <w:rtl/>
        </w:rPr>
        <w:t>22</w:t>
      </w:r>
      <w:r w:rsidR="003A63DC"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بالمئة في</w:t>
      </w:r>
      <w:r w:rsidR="003A63DC">
        <w:rPr>
          <w:rFonts w:ascii="Arabic Typesetting" w:hAnsi="Arabic Typesetting" w:cs="Arabic Typesetting" w:hint="cs"/>
          <w:sz w:val="34"/>
          <w:szCs w:val="34"/>
          <w:rtl/>
        </w:rPr>
        <w:t xml:space="preserve"> الثنائية </w:t>
      </w:r>
      <w:r w:rsidR="00507DE2">
        <w:rPr>
          <w:rFonts w:ascii="Arabic Typesetting" w:hAnsi="Arabic Typesetting" w:cs="Arabic Typesetting" w:hint="cs"/>
          <w:sz w:val="34"/>
          <w:szCs w:val="34"/>
          <w:rtl/>
        </w:rPr>
        <w:t>2014/15</w:t>
      </w:r>
      <w:r w:rsidRPr="00B31868">
        <w:rPr>
          <w:rFonts w:ascii="Arabic Typesetting" w:hAnsi="Arabic Typesetting" w:cs="Arabic Typesetting" w:hint="cs"/>
          <w:sz w:val="34"/>
          <w:szCs w:val="34"/>
          <w:rtl/>
        </w:rPr>
        <w:t xml:space="preserve"> مقارنة </w:t>
      </w:r>
      <w:r w:rsidR="003A63DC">
        <w:rPr>
          <w:rFonts w:ascii="Arabic Typesetting" w:hAnsi="Arabic Typesetting" w:cs="Arabic Typesetting" w:hint="cs"/>
          <w:sz w:val="34"/>
          <w:szCs w:val="34"/>
          <w:rtl/>
        </w:rPr>
        <w:t xml:space="preserve">بالثنائية </w:t>
      </w:r>
      <w:r w:rsidR="00507DE2">
        <w:rPr>
          <w:rFonts w:ascii="Arabic Typesetting" w:hAnsi="Arabic Typesetting" w:cs="Arabic Typesetting" w:hint="cs"/>
          <w:sz w:val="34"/>
          <w:szCs w:val="34"/>
          <w:rtl/>
        </w:rPr>
        <w:t>2012/13</w:t>
      </w:r>
      <w:r w:rsidRPr="00B31868">
        <w:rPr>
          <w:rFonts w:ascii="Arabic Typesetting" w:hAnsi="Arabic Typesetting" w:cs="Arabic Typesetting" w:hint="cs"/>
          <w:sz w:val="34"/>
          <w:szCs w:val="34"/>
          <w:rtl/>
        </w:rPr>
        <w:t>، وتح</w:t>
      </w:r>
      <w:r w:rsidRPr="00B31868">
        <w:rPr>
          <w:rFonts w:ascii="Arabic Typesetting" w:hAnsi="Arabic Typesetting" w:cs="Arabic Typesetting"/>
          <w:sz w:val="34"/>
          <w:szCs w:val="34"/>
          <w:rtl/>
        </w:rPr>
        <w:t>سنت الجودة</w:t>
      </w:r>
      <w:r w:rsidRPr="00B31868">
        <w:rPr>
          <w:rFonts w:ascii="Arabic Typesetting" w:hAnsi="Arabic Typesetting" w:cs="Arabic Typesetting" w:hint="cs"/>
          <w:sz w:val="34"/>
          <w:szCs w:val="34"/>
          <w:rtl/>
        </w:rPr>
        <w:t xml:space="preserve"> </w:t>
      </w:r>
      <w:r w:rsidR="003A63DC">
        <w:rPr>
          <w:rFonts w:ascii="Arabic Typesetting" w:hAnsi="Arabic Typesetting" w:cs="Arabic Typesetting" w:hint="cs"/>
          <w:sz w:val="34"/>
          <w:szCs w:val="34"/>
          <w:rtl/>
        </w:rPr>
        <w:t>العامة</w:t>
      </w:r>
      <w:r w:rsidRPr="00B31868">
        <w:rPr>
          <w:rFonts w:ascii="Arabic Typesetting" w:hAnsi="Arabic Typesetting" w:cs="Arabic Typesetting" w:hint="cs"/>
          <w:sz w:val="34"/>
          <w:szCs w:val="34"/>
          <w:rtl/>
        </w:rPr>
        <w:t xml:space="preserve">، التي تقاس </w:t>
      </w:r>
      <w:r w:rsidRPr="00B31868">
        <w:rPr>
          <w:rFonts w:ascii="Arabic Typesetting" w:hAnsi="Arabic Typesetting" w:cs="Arabic Typesetting"/>
          <w:sz w:val="34"/>
          <w:szCs w:val="34"/>
          <w:rtl/>
        </w:rPr>
        <w:t>بالمؤشر المركّب</w:t>
      </w:r>
      <w:r w:rsidRPr="00B31868">
        <w:rPr>
          <w:rFonts w:ascii="Arabic Typesetting" w:hAnsi="Arabic Typesetting" w:cs="Arabic Typesetting" w:hint="cs"/>
          <w:sz w:val="34"/>
          <w:szCs w:val="34"/>
          <w:rtl/>
        </w:rPr>
        <w:t>،</w:t>
      </w:r>
      <w:r w:rsidRPr="00B31868">
        <w:rPr>
          <w:rFonts w:ascii="Arabic Typesetting" w:hAnsi="Arabic Typesetting" w:cs="Arabic Typesetting"/>
          <w:sz w:val="34"/>
          <w:szCs w:val="34"/>
          <w:rtl/>
        </w:rPr>
        <w:t xml:space="preserve"> تحسنا </w:t>
      </w:r>
      <w:r w:rsidR="003A63DC">
        <w:rPr>
          <w:rFonts w:ascii="Arabic Typesetting" w:hAnsi="Arabic Typesetting" w:cs="Arabic Typesetting" w:hint="cs"/>
          <w:sz w:val="34"/>
          <w:szCs w:val="34"/>
          <w:rtl/>
        </w:rPr>
        <w:t>كبيراً</w:t>
      </w:r>
      <w:r w:rsidR="003A63DC" w:rsidRPr="00B31868">
        <w:rPr>
          <w:rFonts w:ascii="Arabic Typesetting" w:hAnsi="Arabic Typesetting" w:cs="Arabic Typesetting" w:hint="cs"/>
          <w:sz w:val="34"/>
          <w:szCs w:val="34"/>
          <w:rtl/>
        </w:rPr>
        <w:t xml:space="preserve"> </w:t>
      </w:r>
      <w:r w:rsidR="003A63DC">
        <w:rPr>
          <w:rFonts w:ascii="Arabic Typesetting" w:hAnsi="Arabic Typesetting" w:cs="Arabic Typesetting" w:hint="cs"/>
          <w:sz w:val="34"/>
          <w:szCs w:val="34"/>
          <w:rtl/>
        </w:rPr>
        <w:t>بنسبة</w:t>
      </w:r>
      <w:r w:rsidR="003A63DC" w:rsidRPr="00B31868">
        <w:rPr>
          <w:rFonts w:ascii="Arabic Typesetting" w:hAnsi="Arabic Typesetting" w:cs="Arabic Typesetting" w:hint="cs"/>
          <w:sz w:val="34"/>
          <w:szCs w:val="34"/>
          <w:rtl/>
        </w:rPr>
        <w:t xml:space="preserve"> </w:t>
      </w:r>
      <w:r w:rsidR="003A63DC">
        <w:rPr>
          <w:rFonts w:ascii="Arabic Typesetting" w:hAnsi="Arabic Typesetting" w:cs="Arabic Typesetting" w:hint="cs"/>
          <w:sz w:val="34"/>
          <w:szCs w:val="34"/>
          <w:rtl/>
        </w:rPr>
        <w:t>5.8</w:t>
      </w:r>
      <w:r w:rsidR="003A63DC">
        <w:rPr>
          <w:rFonts w:ascii="Arabic Typesetting" w:hAnsi="Arabic Typesetting" w:cs="Arabic Typesetting" w:hint="eastAsia"/>
          <w:sz w:val="34"/>
          <w:szCs w:val="34"/>
          <w:rtl/>
        </w:rPr>
        <w:t> </w:t>
      </w:r>
      <w:r w:rsidRPr="00B31868">
        <w:rPr>
          <w:rFonts w:ascii="Arabic Typesetting" w:hAnsi="Arabic Typesetting" w:cs="Arabic Typesetting" w:hint="cs"/>
          <w:sz w:val="34"/>
          <w:szCs w:val="34"/>
          <w:rtl/>
        </w:rPr>
        <w:t>بالمئة في</w:t>
      </w:r>
      <w:r w:rsidR="003A63DC">
        <w:rPr>
          <w:rFonts w:ascii="Arabic Typesetting" w:hAnsi="Arabic Typesetting" w:cs="Arabic Typesetting" w:hint="cs"/>
          <w:sz w:val="34"/>
          <w:szCs w:val="34"/>
          <w:rtl/>
        </w:rPr>
        <w:t xml:space="preserve"> الثنائية </w:t>
      </w:r>
      <w:r w:rsidR="00507DE2">
        <w:rPr>
          <w:rFonts w:ascii="Arabic Typesetting" w:hAnsi="Arabic Typesetting" w:cs="Arabic Typesetting" w:hint="cs"/>
          <w:sz w:val="34"/>
          <w:szCs w:val="34"/>
          <w:rtl/>
        </w:rPr>
        <w:t>2014/15</w:t>
      </w:r>
      <w:r w:rsidR="003A63DC">
        <w:rPr>
          <w:rFonts w:ascii="Arabic Typesetting" w:hAnsi="Arabic Typesetting" w:cs="Arabic Typesetting" w:hint="cs"/>
          <w:sz w:val="34"/>
          <w:szCs w:val="34"/>
          <w:rtl/>
        </w:rPr>
        <w:t xml:space="preserve"> مقارنة بالثنائية </w:t>
      </w:r>
      <w:r w:rsidR="00507DE2">
        <w:rPr>
          <w:rFonts w:ascii="Arabic Typesetting" w:hAnsi="Arabic Typesetting" w:cs="Arabic Typesetting" w:hint="cs"/>
          <w:sz w:val="34"/>
          <w:szCs w:val="34"/>
          <w:rtl/>
        </w:rPr>
        <w:t>2012/13</w:t>
      </w:r>
      <w:r w:rsidRPr="00B31868">
        <w:rPr>
          <w:rFonts w:ascii="Arabic Typesetting" w:hAnsi="Arabic Typesetting" w:cs="Arabic Typesetting" w:hint="cs"/>
          <w:sz w:val="34"/>
          <w:szCs w:val="34"/>
          <w:rtl/>
        </w:rPr>
        <w:t>.</w:t>
      </w:r>
    </w:p>
    <w:p w:rsidR="00B31868" w:rsidRPr="00E439F5" w:rsidRDefault="00B31868" w:rsidP="00086C3F">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hint="cs"/>
          <w:sz w:val="34"/>
          <w:szCs w:val="34"/>
          <w:rtl/>
          <w:lang w:val="fr-CH"/>
        </w:rPr>
        <w:t>بيانات الأداء</w:t>
      </w:r>
    </w:p>
    <w:tbl>
      <w:tblPr>
        <w:bidiVisual/>
        <w:tblW w:w="4811" w:type="pct"/>
        <w:tblInd w:w="-3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266"/>
        <w:gridCol w:w="190"/>
        <w:gridCol w:w="2222"/>
        <w:gridCol w:w="1560"/>
        <w:gridCol w:w="2127"/>
        <w:gridCol w:w="844"/>
      </w:tblGrid>
      <w:tr w:rsidR="00B31868" w:rsidRPr="00211D55" w:rsidTr="00224009">
        <w:trPr>
          <w:cantSplit/>
          <w:trHeight w:val="170"/>
        </w:trPr>
        <w:tc>
          <w:tcPr>
            <w:tcW w:w="9209" w:type="dxa"/>
            <w:gridSpan w:val="6"/>
            <w:tcBorders>
              <w:top w:val="single" w:sz="4" w:space="0" w:color="auto"/>
              <w:bottom w:val="single" w:sz="4" w:space="0" w:color="auto"/>
            </w:tcBorders>
            <w:shd w:val="clear" w:color="auto" w:fill="C6D9F1" w:themeFill="text2" w:themeFillTint="33"/>
            <w:tcMar>
              <w:top w:w="0" w:type="dxa"/>
            </w:tcMar>
            <w:vAlign w:val="center"/>
          </w:tcPr>
          <w:p w:rsidR="00B31868" w:rsidRPr="00211D55" w:rsidRDefault="00B31868" w:rsidP="00224009">
            <w:pPr>
              <w:keepNext/>
              <w:bidi/>
              <w:spacing w:after="60" w:line="280" w:lineRule="exact"/>
              <w:ind w:left="1167" w:hanging="1167"/>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النتيجة المرتقبة:</w:t>
            </w:r>
            <w:r w:rsidRPr="00211D55">
              <w:rPr>
                <w:rFonts w:ascii="Arabic Typesetting" w:hAnsi="Arabic Typesetting" w:cs="Arabic Typesetting"/>
                <w:b/>
                <w:bCs/>
                <w:sz w:val="28"/>
                <w:szCs w:val="28"/>
                <w:rtl/>
                <w:lang w:bidi="ar-EG"/>
              </w:rPr>
              <w:tab/>
            </w:r>
            <w:r w:rsidRPr="00211D55">
              <w:rPr>
                <w:rFonts w:ascii="Arabic Typesetting" w:hAnsi="Arabic Typesetting" w:cs="Arabic Typesetting"/>
                <w:sz w:val="28"/>
                <w:szCs w:val="28"/>
                <w:rtl/>
                <w:lang w:bidi="ar-EG"/>
              </w:rPr>
              <w:t xml:space="preserve">ھ1.2 </w:t>
            </w:r>
            <w:r w:rsidR="00A0719D">
              <w:rPr>
                <w:rFonts w:ascii="Arabic Typesetting" w:hAnsi="Arabic Typesetting" w:cs="Arabic Typesetting"/>
                <w:sz w:val="28"/>
                <w:szCs w:val="28"/>
                <w:rtl/>
                <w:lang w:bidi="ar-EG"/>
              </w:rPr>
              <w:t>انتفاع متزايد بنظام معاهدة التعاون بشأن البراءات كسبيل للإيداع الدولي لطلبات البراءات</w:t>
            </w:r>
          </w:p>
        </w:tc>
      </w:tr>
      <w:tr w:rsidR="00B31868" w:rsidRPr="00211D55" w:rsidTr="00224009">
        <w:trPr>
          <w:cantSplit/>
          <w:trHeight w:val="20"/>
        </w:trPr>
        <w:tc>
          <w:tcPr>
            <w:tcW w:w="2266" w:type="dxa"/>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2412" w:type="dxa"/>
            <w:gridSpan w:val="2"/>
            <w:tcBorders>
              <w:top w:val="nil"/>
              <w:bottom w:val="nil"/>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أسس المقارنة</w:t>
            </w:r>
          </w:p>
        </w:tc>
        <w:tc>
          <w:tcPr>
            <w:tcW w:w="1560" w:type="dxa"/>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الأهداف</w:t>
            </w:r>
          </w:p>
        </w:tc>
        <w:tc>
          <w:tcPr>
            <w:tcW w:w="2127" w:type="dxa"/>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844" w:type="dxa"/>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A33501">
        <w:trPr>
          <w:cantSplit/>
          <w:trHeight w:val="18"/>
        </w:trPr>
        <w:tc>
          <w:tcPr>
            <w:tcW w:w="2266" w:type="dxa"/>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مستوى رضا المنتفعين بمعاهدة التعاون بشأن البراءات عن خدمات المعلومات والتدريب التي تركز على المنتفعين</w:t>
            </w:r>
          </w:p>
        </w:tc>
        <w:tc>
          <w:tcPr>
            <w:tcW w:w="2412" w:type="dxa"/>
            <w:gridSpan w:val="2"/>
            <w:tcBorders>
              <w:top w:val="nil"/>
              <w:bottom w:val="nil"/>
            </w:tcBorders>
            <w:shd w:val="clear" w:color="auto" w:fill="auto"/>
            <w:tcMar>
              <w:top w:w="110" w:type="dxa"/>
            </w:tcMar>
          </w:tcPr>
          <w:p w:rsidR="00B31868" w:rsidRPr="00211D55" w:rsidRDefault="00B31868"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مستوى رضا المنتفعين بمعاهدة التعاون بشأن البراءات في عام 2009 عن خدمات المعلومات والتدريب المقدمة للمنتفعين بالمعاهدة</w:t>
            </w:r>
          </w:p>
        </w:tc>
        <w:tc>
          <w:tcPr>
            <w:tcW w:w="1560" w:type="dxa"/>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الاحتفاظ بمستوى رضا المنتفعين بمعاهدة التعاون بشأن البراءات في عام 2009 أو ارتفاع هذا المستوى</w:t>
            </w:r>
          </w:p>
        </w:tc>
        <w:tc>
          <w:tcPr>
            <w:tcW w:w="2127" w:type="dxa"/>
            <w:tcMar>
              <w:top w:w="110" w:type="dxa"/>
            </w:tcMar>
          </w:tcPr>
          <w:p w:rsidR="00B31868" w:rsidRPr="00211D55" w:rsidRDefault="001939B6"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ارتفع مستوى رضا المنتفعين بالخدمات التي تقدمها الويبو في إطار معاهدة التعاون بشأن البراءات بنسبة 11% منذ عام 2009 ليصل إلى 89%.</w:t>
            </w:r>
          </w:p>
        </w:tc>
        <w:tc>
          <w:tcPr>
            <w:tcW w:w="844" w:type="dxa"/>
            <w:tcMar>
              <w:top w:w="110" w:type="dxa"/>
            </w:tcMar>
          </w:tcPr>
          <w:p w:rsidR="00B31868" w:rsidRPr="00211D55" w:rsidRDefault="001939B6" w:rsidP="00086C3F">
            <w:pPr>
              <w:bidi/>
              <w:spacing w:before="60" w:after="60" w:line="280" w:lineRule="exact"/>
              <w:jc w:val="center"/>
              <w:rPr>
                <w:rFonts w:ascii="Arabic Typesetting" w:hAnsi="Arabic Typesetting" w:cs="Arabic Typesetting"/>
                <w:bCs/>
                <w:color w:val="808080"/>
                <w:sz w:val="28"/>
                <w:szCs w:val="28"/>
              </w:rPr>
            </w:pPr>
            <w:r w:rsidRPr="00211D55">
              <w:rPr>
                <w:rFonts w:ascii="Arabic Typesetting" w:hAnsi="Arabic Typesetting" w:cs="Arabic Typesetting"/>
                <w:b/>
                <w:bCs/>
                <w:color w:val="008000"/>
                <w:sz w:val="28"/>
                <w:szCs w:val="28"/>
                <w:rtl/>
                <w:lang w:bidi="ar-EG"/>
              </w:rPr>
              <w:t>محقق كلياً</w:t>
            </w:r>
          </w:p>
        </w:tc>
      </w:tr>
      <w:tr w:rsidR="00B31868" w:rsidRPr="00211D55" w:rsidTr="00A33501">
        <w:trPr>
          <w:cantSplit/>
          <w:trHeight w:val="537"/>
        </w:trPr>
        <w:tc>
          <w:tcPr>
            <w:tcW w:w="2266" w:type="dxa"/>
            <w:tcBorders>
              <w:bottom w:val="single" w:sz="4" w:space="0" w:color="auto"/>
            </w:tcBorders>
            <w:tcMar>
              <w:top w:w="110" w:type="dxa"/>
            </w:tcMar>
          </w:tcPr>
          <w:p w:rsidR="00B31868" w:rsidRPr="00211D55" w:rsidRDefault="00B31868" w:rsidP="00086C3F">
            <w:pPr>
              <w:bidi/>
              <w:spacing w:line="240" w:lineRule="exact"/>
              <w:rPr>
                <w:rFonts w:ascii="Arabic Typesetting" w:hAnsi="Arabic Typesetting" w:cs="Arabic Typesetting"/>
                <w:sz w:val="28"/>
                <w:szCs w:val="28"/>
              </w:rPr>
            </w:pPr>
            <w:r w:rsidRPr="00211D55">
              <w:rPr>
                <w:rFonts w:ascii="Arabic Typesetting" w:hAnsi="Arabic Typesetting" w:cs="Arabic Typesetting"/>
                <w:sz w:val="28"/>
                <w:szCs w:val="28"/>
                <w:rtl/>
              </w:rPr>
              <w:t>رضا المكاتب والسلطات الدولية عن الأنشطة التعاونية لمعاهدة التعاون بشأن البراءات</w:t>
            </w:r>
          </w:p>
        </w:tc>
        <w:tc>
          <w:tcPr>
            <w:tcW w:w="2412" w:type="dxa"/>
            <w:gridSpan w:val="2"/>
            <w:tcBorders>
              <w:top w:val="nil"/>
              <w:bottom w:val="single" w:sz="4" w:space="0" w:color="auto"/>
            </w:tcBorders>
            <w:shd w:val="clear" w:color="auto" w:fill="auto"/>
            <w:tcMar>
              <w:top w:w="110" w:type="dxa"/>
            </w:tcMar>
          </w:tcPr>
          <w:p w:rsidR="00B31868" w:rsidRPr="00211D55" w:rsidRDefault="00B31868" w:rsidP="00086C3F">
            <w:pPr>
              <w:bidi/>
              <w:spacing w:after="60" w:line="240" w:lineRule="exact"/>
              <w:rPr>
                <w:rFonts w:ascii="Arabic Typesetting" w:hAnsi="Arabic Typesetting" w:cs="Arabic Typesetting"/>
                <w:i/>
                <w:color w:val="002060"/>
                <w:sz w:val="28"/>
                <w:szCs w:val="28"/>
              </w:rPr>
            </w:pPr>
            <w:r w:rsidRPr="00211D55">
              <w:rPr>
                <w:rFonts w:ascii="Arabic Typesetting" w:hAnsi="Arabic Typesetting" w:cs="Arabic Typesetting"/>
                <w:iCs/>
                <w:color w:val="002060"/>
                <w:sz w:val="28"/>
                <w:szCs w:val="28"/>
                <w:rtl/>
              </w:rPr>
              <w:t>أسس مقارنة محدثة نهاية 2013</w:t>
            </w:r>
            <w:r w:rsidRPr="00211D55">
              <w:rPr>
                <w:rFonts w:ascii="Arabic Typesetting" w:hAnsi="Arabic Typesetting" w:cs="Arabic Typesetting"/>
                <w:i/>
                <w:color w:val="002060"/>
                <w:sz w:val="28"/>
                <w:szCs w:val="28"/>
                <w:rtl/>
              </w:rPr>
              <w:t>: 56 (95% من أصل 59 مستفيد</w:t>
            </w:r>
            <w:r w:rsidR="003A63DC" w:rsidRPr="00211D55">
              <w:rPr>
                <w:rFonts w:ascii="Arabic Typesetting" w:hAnsi="Arabic Typesetting" w:cs="Arabic Typesetting"/>
                <w:i/>
                <w:color w:val="002060"/>
                <w:sz w:val="28"/>
                <w:szCs w:val="28"/>
                <w:rtl/>
              </w:rPr>
              <w:t>اً</w:t>
            </w:r>
            <w:r w:rsidRPr="00211D55">
              <w:rPr>
                <w:rFonts w:ascii="Arabic Typesetting" w:hAnsi="Arabic Typesetting" w:cs="Arabic Typesetting"/>
                <w:i/>
                <w:color w:val="002060"/>
                <w:sz w:val="28"/>
                <w:szCs w:val="28"/>
                <w:rtl/>
              </w:rPr>
              <w:t xml:space="preserve"> من الأنشطة التعاونية للمعاهدة؛ 85% من أصل 66 مجيب</w:t>
            </w:r>
            <w:r w:rsidR="003A63DC" w:rsidRPr="00211D55">
              <w:rPr>
                <w:rFonts w:ascii="Arabic Typesetting" w:hAnsi="Arabic Typesetting" w:cs="Arabic Typesetting"/>
                <w:i/>
                <w:color w:val="002060"/>
                <w:sz w:val="28"/>
                <w:szCs w:val="28"/>
                <w:rtl/>
              </w:rPr>
              <w:t>اً</w:t>
            </w:r>
            <w:r w:rsidRPr="00211D55">
              <w:rPr>
                <w:rFonts w:ascii="Arabic Typesetting" w:hAnsi="Arabic Typesetting" w:cs="Arabic Typesetting"/>
                <w:i/>
                <w:color w:val="002060"/>
                <w:sz w:val="28"/>
                <w:szCs w:val="28"/>
                <w:rtl/>
              </w:rPr>
              <w:t xml:space="preserve"> على الاستقصاء) (استقصاء 2012)</w:t>
            </w:r>
          </w:p>
          <w:p w:rsidR="00B31868" w:rsidRPr="00211D55" w:rsidRDefault="00B31868" w:rsidP="00086C3F">
            <w:pPr>
              <w:bidi/>
              <w:spacing w:line="240" w:lineRule="exact"/>
              <w:rPr>
                <w:rFonts w:ascii="Arabic Typesetting" w:hAnsi="Arabic Typesetting" w:cs="Arabic Typesetting"/>
                <w:sz w:val="28"/>
                <w:szCs w:val="28"/>
              </w:rPr>
            </w:pPr>
            <w:r w:rsidRPr="00211D55">
              <w:rPr>
                <w:rFonts w:ascii="Arabic Typesetting" w:hAnsi="Arabic Typesetting" w:cs="Arabic Typesetting"/>
                <w:i/>
                <w:iCs/>
                <w:sz w:val="28"/>
                <w:szCs w:val="28"/>
                <w:rtl/>
              </w:rPr>
              <w:t xml:space="preserve">أسس المقارنة الأصلية في برنامج وميزانية </w:t>
            </w:r>
            <w:r w:rsidR="00507DE2">
              <w:rPr>
                <w:rFonts w:ascii="Arabic Typesetting" w:hAnsi="Arabic Typesetting" w:cs="Arabic Typesetting"/>
                <w:i/>
                <w:iCs/>
                <w:sz w:val="28"/>
                <w:szCs w:val="28"/>
                <w:rtl/>
              </w:rPr>
              <w:t>2014/15</w:t>
            </w:r>
            <w:r w:rsidRPr="00211D55">
              <w:rPr>
                <w:rFonts w:ascii="Arabic Typesetting" w:hAnsi="Arabic Typesetting" w:cs="Arabic Typesetting"/>
                <w:i/>
                <w:iCs/>
                <w:sz w:val="28"/>
                <w:szCs w:val="28"/>
                <w:rtl/>
              </w:rPr>
              <w:t>:</w:t>
            </w:r>
            <w:r w:rsidRPr="00211D55">
              <w:rPr>
                <w:rFonts w:ascii="Arabic Typesetting" w:hAnsi="Arabic Typesetting" w:cs="Arabic Typesetting"/>
                <w:sz w:val="28"/>
                <w:szCs w:val="28"/>
                <w:rtl/>
              </w:rPr>
              <w:t xml:space="preserve"> أعرب 59 مجيبًا عن رضاهم عن الأنشطة في عام 2011 (95% من</w:t>
            </w:r>
            <w:r w:rsidR="00131C0E" w:rsidRPr="00211D55">
              <w:rPr>
                <w:rFonts w:ascii="Arabic Typesetting" w:hAnsi="Arabic Typesetting" w:cs="Arabic Typesetting"/>
                <w:sz w:val="28"/>
                <w:szCs w:val="28"/>
                <w:rtl/>
              </w:rPr>
              <w:t xml:space="preserve"> أصل</w:t>
            </w:r>
            <w:r w:rsidRPr="00211D55">
              <w:rPr>
                <w:rFonts w:ascii="Arabic Typesetting" w:hAnsi="Arabic Typesetting" w:cs="Arabic Typesetting"/>
                <w:sz w:val="28"/>
                <w:szCs w:val="28"/>
                <w:rtl/>
              </w:rPr>
              <w:t xml:space="preserve"> 62 مشارك</w:t>
            </w:r>
            <w:r w:rsidR="001939B6" w:rsidRPr="00211D55">
              <w:rPr>
                <w:rFonts w:ascii="Arabic Typesetting" w:hAnsi="Arabic Typesetting" w:cs="Arabic Typesetting"/>
                <w:sz w:val="28"/>
                <w:szCs w:val="28"/>
                <w:rtl/>
              </w:rPr>
              <w:t>اً</w:t>
            </w:r>
            <w:r w:rsidRPr="00211D55">
              <w:rPr>
                <w:rFonts w:ascii="Arabic Typesetting" w:hAnsi="Arabic Typesetting" w:cs="Arabic Typesetting"/>
                <w:sz w:val="28"/>
                <w:szCs w:val="28"/>
                <w:rtl/>
              </w:rPr>
              <w:t xml:space="preserve"> في الأنشطة / 86% من أصل 69 مجيب</w:t>
            </w:r>
            <w:r w:rsidR="001939B6" w:rsidRPr="00211D55">
              <w:rPr>
                <w:rFonts w:ascii="Arabic Typesetting" w:hAnsi="Arabic Typesetting" w:cs="Arabic Typesetting"/>
                <w:sz w:val="28"/>
                <w:szCs w:val="28"/>
                <w:rtl/>
              </w:rPr>
              <w:t>اً</w:t>
            </w:r>
            <w:r w:rsidR="00131C0E" w:rsidRPr="00211D55">
              <w:rPr>
                <w:rFonts w:ascii="Arabic Typesetting" w:hAnsi="Arabic Typesetting" w:cs="Arabic Typesetting"/>
                <w:sz w:val="28"/>
                <w:szCs w:val="28"/>
                <w:rtl/>
              </w:rPr>
              <w:t>)</w:t>
            </w:r>
          </w:p>
        </w:tc>
        <w:tc>
          <w:tcPr>
            <w:tcW w:w="1560" w:type="dxa"/>
            <w:tcBorders>
              <w:bottom w:val="single" w:sz="4" w:space="0" w:color="auto"/>
            </w:tcBorders>
          </w:tcPr>
          <w:p w:rsidR="00B31868" w:rsidRPr="00211D55" w:rsidRDefault="00B31868" w:rsidP="00086C3F">
            <w:pPr>
              <w:bidi/>
              <w:spacing w:line="24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الاحتفاظ بمستوى رضا المكاتب والسلطات الدولية في عام 2011</w:t>
            </w:r>
          </w:p>
        </w:tc>
        <w:tc>
          <w:tcPr>
            <w:tcW w:w="2127" w:type="dxa"/>
            <w:tcBorders>
              <w:bottom w:val="single" w:sz="4" w:space="0" w:color="auto"/>
            </w:tcBorders>
            <w:tcMar>
              <w:top w:w="110" w:type="dxa"/>
            </w:tcMar>
          </w:tcPr>
          <w:p w:rsidR="00B31868" w:rsidRPr="00211D55" w:rsidRDefault="001939B6" w:rsidP="00086C3F">
            <w:pPr>
              <w:bidi/>
              <w:spacing w:line="240" w:lineRule="exact"/>
              <w:rPr>
                <w:rFonts w:ascii="Arabic Typesetting" w:hAnsi="Arabic Typesetting" w:cs="Arabic Typesetting"/>
                <w:sz w:val="28"/>
                <w:szCs w:val="28"/>
              </w:rPr>
            </w:pPr>
            <w:r w:rsidRPr="00211D55">
              <w:rPr>
                <w:rFonts w:ascii="Arabic Typesetting" w:hAnsi="Arabic Typesetting" w:cs="Arabic Typesetting"/>
                <w:sz w:val="28"/>
                <w:szCs w:val="28"/>
                <w:rtl/>
              </w:rPr>
              <w:t>58 (96% من أصل 60 مستفيداً من الأنشطة التعاونية للمعاهدة؛ 95% من أصل 61 مجيباً عن الاستقصاء) (استقصاء 2016)</w:t>
            </w:r>
          </w:p>
        </w:tc>
        <w:tc>
          <w:tcPr>
            <w:tcW w:w="844" w:type="dxa"/>
            <w:tcBorders>
              <w:bottom w:val="single" w:sz="4" w:space="0" w:color="auto"/>
            </w:tcBorders>
            <w:tcMar>
              <w:top w:w="110" w:type="dxa"/>
            </w:tcMar>
          </w:tcPr>
          <w:p w:rsidR="00B31868" w:rsidRPr="00211D55" w:rsidRDefault="00C10ACB" w:rsidP="007A7336">
            <w:pPr>
              <w:bidi/>
              <w:spacing w:line="280" w:lineRule="exact"/>
              <w:rPr>
                <w:rFonts w:ascii="Arabic Typesetting" w:hAnsi="Arabic Typesetting" w:cs="Arabic Typesetting"/>
                <w:bCs/>
                <w:color w:val="808080"/>
                <w:sz w:val="28"/>
                <w:szCs w:val="28"/>
                <w:rtl/>
              </w:rPr>
            </w:pPr>
            <w:r w:rsidRPr="00211D55">
              <w:rPr>
                <w:rFonts w:ascii="Arabic Typesetting" w:hAnsi="Arabic Typesetting" w:cs="Arabic Typesetting"/>
                <w:b/>
                <w:bCs/>
                <w:color w:val="008000"/>
                <w:sz w:val="28"/>
                <w:szCs w:val="28"/>
                <w:rtl/>
                <w:lang w:bidi="ar-EG"/>
              </w:rPr>
              <w:t>محقق كل</w:t>
            </w:r>
            <w:r w:rsidRPr="00211D55">
              <w:rPr>
                <w:rFonts w:ascii="Arabic Typesetting" w:hAnsi="Arabic Typesetting" w:cs="Arabic Typesetting"/>
                <w:b/>
                <w:bCs/>
                <w:color w:val="008000"/>
                <w:sz w:val="28"/>
                <w:szCs w:val="28"/>
                <w:rtl/>
              </w:rPr>
              <w:t>ياً</w:t>
            </w:r>
          </w:p>
        </w:tc>
      </w:tr>
      <w:tr w:rsidR="00B31868" w:rsidRPr="00211D55" w:rsidTr="00224009">
        <w:trPr>
          <w:cantSplit/>
          <w:trHeight w:val="160"/>
        </w:trPr>
        <w:tc>
          <w:tcPr>
            <w:tcW w:w="9209" w:type="dxa"/>
            <w:gridSpan w:val="6"/>
            <w:tcBorders>
              <w:top w:val="single" w:sz="4" w:space="0" w:color="auto"/>
              <w:bottom w:val="single" w:sz="4" w:space="0" w:color="auto"/>
            </w:tcBorders>
            <w:shd w:val="clear" w:color="auto" w:fill="C6D9F1" w:themeFill="text2" w:themeFillTint="33"/>
            <w:tcMar>
              <w:top w:w="0" w:type="dxa"/>
            </w:tcMar>
            <w:vAlign w:val="center"/>
          </w:tcPr>
          <w:p w:rsidR="00B31868" w:rsidRPr="00211D55" w:rsidRDefault="00B31868" w:rsidP="00224009">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lastRenderedPageBreak/>
              <w:t>النتيجة المرتقبة:</w:t>
            </w:r>
            <w:r w:rsidRPr="00211D55">
              <w:rPr>
                <w:rFonts w:ascii="Arabic Typesetting" w:hAnsi="Arabic Typesetting" w:cs="Arabic Typesetting"/>
                <w:bCs/>
                <w:sz w:val="28"/>
                <w:szCs w:val="28"/>
                <w:rtl/>
                <w:lang w:bidi="ar-EG"/>
              </w:rPr>
              <w:tab/>
            </w:r>
            <w:r w:rsidRPr="00211D55">
              <w:rPr>
                <w:rFonts w:ascii="Arabic Typesetting" w:hAnsi="Arabic Typesetting" w:cs="Arabic Typesetting"/>
                <w:b/>
                <w:sz w:val="28"/>
                <w:szCs w:val="28"/>
                <w:rtl/>
                <w:lang w:bidi="ar-EG"/>
              </w:rPr>
              <w:t xml:space="preserve">ھ2.2 </w:t>
            </w:r>
            <w:r w:rsidR="00A0719D">
              <w:rPr>
                <w:rFonts w:ascii="Arabic Typesetting" w:hAnsi="Arabic Typesetting" w:cs="Arabic Typesetting"/>
                <w:b/>
                <w:sz w:val="28"/>
                <w:szCs w:val="28"/>
                <w:rtl/>
                <w:lang w:bidi="ar-EG"/>
              </w:rPr>
              <w:t>تحسين نظام معاهدة التعاون بشأن البراءات</w:t>
            </w:r>
          </w:p>
        </w:tc>
      </w:tr>
      <w:tr w:rsidR="00B31868" w:rsidRPr="00211D55" w:rsidTr="00A33501">
        <w:trPr>
          <w:cantSplit/>
          <w:trHeight w:val="18"/>
        </w:trPr>
        <w:tc>
          <w:tcPr>
            <w:tcW w:w="2266" w:type="dxa"/>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مؤشرات الأداء</w:t>
            </w:r>
          </w:p>
        </w:tc>
        <w:tc>
          <w:tcPr>
            <w:tcW w:w="2412" w:type="dxa"/>
            <w:gridSpan w:val="2"/>
            <w:tcBorders>
              <w:top w:val="nil"/>
              <w:bottom w:val="nil"/>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Cs/>
                <w:sz w:val="28"/>
                <w:szCs w:val="28"/>
                <w:rtl/>
                <w:lang w:bidi="ar-EG"/>
              </w:rPr>
              <w:t>أسس المقارنة</w:t>
            </w:r>
          </w:p>
        </w:tc>
        <w:tc>
          <w:tcPr>
            <w:tcW w:w="1560" w:type="dxa"/>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ا</w:t>
            </w:r>
            <w:r w:rsidRPr="00211D55">
              <w:rPr>
                <w:rFonts w:ascii="Arabic Typesetting" w:hAnsi="Arabic Typesetting" w:cs="Arabic Typesetting"/>
                <w:bCs/>
                <w:sz w:val="28"/>
                <w:szCs w:val="28"/>
                <w:rtl/>
                <w:lang w:bidi="ar-EG"/>
              </w:rPr>
              <w:t>لأهداف</w:t>
            </w:r>
          </w:p>
        </w:tc>
        <w:tc>
          <w:tcPr>
            <w:tcW w:w="2127" w:type="dxa"/>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844" w:type="dxa"/>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Cs/>
                <w:sz w:val="28"/>
                <w:szCs w:val="28"/>
                <w:rtl/>
                <w:lang w:bidi="ar-EG"/>
              </w:rPr>
              <w:t>السير</w:t>
            </w:r>
          </w:p>
        </w:tc>
      </w:tr>
      <w:tr w:rsidR="00B31868" w:rsidRPr="00211D55" w:rsidTr="00D47BCE">
        <w:trPr>
          <w:cantSplit/>
          <w:trHeight w:val="537"/>
        </w:trPr>
        <w:tc>
          <w:tcPr>
            <w:tcW w:w="2266" w:type="dxa"/>
            <w:tcBorders>
              <w:right w:val="nil"/>
            </w:tcBorders>
            <w:tcMar>
              <w:top w:w="110" w:type="dxa"/>
            </w:tcMar>
          </w:tcPr>
          <w:p w:rsidR="00B31868" w:rsidRPr="00211D55" w:rsidRDefault="00B31868" w:rsidP="007A7336">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مواصلة تطوير نظام معاهدة التعاون بشأن البراءات، ولا سيما تنفيذ توصيات خارطة طريق معاهدة التعاون بشأن البراءات التي أقرتها الدول </w:t>
            </w:r>
            <w:r w:rsidRPr="007A7336">
              <w:rPr>
                <w:rFonts w:ascii="Arabic Typesetting" w:hAnsi="Arabic Typesetting" w:cs="Arabic Typesetting"/>
                <w:b/>
                <w:sz w:val="28"/>
                <w:szCs w:val="28"/>
                <w:rtl/>
                <w:lang w:bidi="ar-EG"/>
              </w:rPr>
              <w:t>الأعضاء</w:t>
            </w:r>
            <w:r w:rsidRPr="00211D55">
              <w:rPr>
                <w:rFonts w:ascii="Arabic Typesetting" w:hAnsi="Arabic Typesetting" w:cs="Arabic Typesetting"/>
                <w:sz w:val="28"/>
                <w:szCs w:val="28"/>
                <w:rtl/>
              </w:rPr>
              <w:t xml:space="preserve"> في معاهدة التعاون بشأن البراءات</w:t>
            </w:r>
          </w:p>
        </w:tc>
        <w:tc>
          <w:tcPr>
            <w:tcW w:w="2412" w:type="dxa"/>
            <w:gridSpan w:val="2"/>
            <w:tcBorders>
              <w:top w:val="nil"/>
              <w:left w:val="nil"/>
              <w:bottom w:val="single" w:sz="4" w:space="0" w:color="auto"/>
              <w:right w:val="nil"/>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
                <w:iCs/>
                <w:color w:val="002060"/>
                <w:sz w:val="28"/>
                <w:szCs w:val="28"/>
                <w:rtl/>
              </w:rPr>
              <w:t>أسس المقارنة المحدّثة نهاية 2013:</w:t>
            </w:r>
            <w:r w:rsidRPr="00211D55">
              <w:rPr>
                <w:rFonts w:ascii="Arabic Typesetting" w:hAnsi="Arabic Typesetting" w:cs="Arabic Typesetting"/>
                <w:color w:val="002060"/>
                <w:sz w:val="28"/>
                <w:szCs w:val="28"/>
                <w:rtl/>
              </w:rPr>
              <w:t xml:space="preserve"> حالة نظام المعاهدة في نهاية 2013</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
                <w:iCs/>
                <w:sz w:val="28"/>
                <w:szCs w:val="28"/>
                <w:rtl/>
              </w:rPr>
              <w:t xml:space="preserve">أسس المقارنة الأصلية في ميزانية </w:t>
            </w:r>
            <w:r w:rsidR="00507DE2">
              <w:rPr>
                <w:rFonts w:ascii="Arabic Typesetting" w:hAnsi="Arabic Typesetting" w:cs="Arabic Typesetting"/>
                <w:i/>
                <w:iCs/>
                <w:sz w:val="28"/>
                <w:szCs w:val="28"/>
                <w:rtl/>
              </w:rPr>
              <w:t>2014/15</w:t>
            </w:r>
            <w:r w:rsidRPr="00211D55">
              <w:rPr>
                <w:rFonts w:ascii="Arabic Typesetting" w:hAnsi="Arabic Typesetting" w:cs="Arabic Typesetting"/>
                <w:sz w:val="28"/>
                <w:szCs w:val="28"/>
                <w:rtl/>
              </w:rPr>
              <w:t>: القرارات الصادرة عن هيئات المعاهدة المختصة حتى نهاية 2013</w:t>
            </w:r>
          </w:p>
        </w:tc>
        <w:tc>
          <w:tcPr>
            <w:tcW w:w="1560" w:type="dxa"/>
            <w:tcBorders>
              <w:left w:val="nil"/>
            </w:tcBorders>
          </w:tcPr>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تقدّم نحو تحقيق أهداف المعاهدة لفائدة جميع أصحاب المصلحة بما يتماشى وتوصيات خارطة طريق معاهدة البراءات التي اعتمدتها الدول الأعضاء</w:t>
            </w:r>
            <w:r w:rsidRPr="00F96634">
              <w:rPr>
                <w:rFonts w:ascii="Arabic Typesetting" w:hAnsi="Arabic Typesetting" w:cs="Arabic Typesetting"/>
                <w:sz w:val="28"/>
                <w:szCs w:val="28"/>
                <w:vertAlign w:val="superscript"/>
                <w:rtl/>
              </w:rPr>
              <w:footnoteReference w:id="17"/>
            </w:r>
          </w:p>
          <w:p w:rsidR="00B31868" w:rsidRPr="00211D55" w:rsidRDefault="00B31868" w:rsidP="00086C3F">
            <w:pPr>
              <w:autoSpaceDE w:val="0"/>
              <w:autoSpaceDN w:val="0"/>
              <w:adjustRightInd w:val="0"/>
              <w:spacing w:before="60" w:after="60" w:line="280" w:lineRule="exact"/>
              <w:rPr>
                <w:rFonts w:ascii="Arabic Typesetting" w:hAnsi="Arabic Typesetting" w:cs="Arabic Typesetting"/>
                <w:sz w:val="28"/>
                <w:szCs w:val="28"/>
              </w:rPr>
            </w:pPr>
          </w:p>
        </w:tc>
        <w:tc>
          <w:tcPr>
            <w:tcW w:w="2127" w:type="dxa"/>
            <w:tcMar>
              <w:top w:w="110" w:type="dxa"/>
            </w:tcMar>
          </w:tcPr>
          <w:p w:rsidR="00B31868" w:rsidRPr="00211D55" w:rsidRDefault="009334FA"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شهدت الثنائية </w:t>
            </w:r>
            <w:r w:rsidR="00507DE2">
              <w:rPr>
                <w:rFonts w:ascii="Arabic Typesetting" w:hAnsi="Arabic Typesetting" w:cs="Arabic Typesetting"/>
                <w:sz w:val="28"/>
                <w:szCs w:val="28"/>
                <w:rtl/>
              </w:rPr>
              <w:t>2014/15</w:t>
            </w:r>
            <w:r w:rsidR="00B31868" w:rsidRPr="00211D55">
              <w:rPr>
                <w:rFonts w:ascii="Arabic Typesetting" w:hAnsi="Arabic Typesetting" w:cs="Arabic Typesetting"/>
                <w:sz w:val="28"/>
                <w:szCs w:val="28"/>
                <w:rtl/>
              </w:rPr>
              <w:t xml:space="preserve"> تقدما في تعزيز أهداف المعاهدة ل</w:t>
            </w:r>
            <w:r w:rsidRPr="00211D55">
              <w:rPr>
                <w:rFonts w:ascii="Arabic Typesetting" w:hAnsi="Arabic Typesetting" w:cs="Arabic Typesetting"/>
                <w:sz w:val="28"/>
                <w:szCs w:val="28"/>
                <w:rtl/>
              </w:rPr>
              <w:t xml:space="preserve">فائدة جميع </w:t>
            </w:r>
            <w:r w:rsidR="00B31868" w:rsidRPr="00211D55">
              <w:rPr>
                <w:rFonts w:ascii="Arabic Typesetting" w:hAnsi="Arabic Typesetting" w:cs="Arabic Typesetting"/>
                <w:sz w:val="28"/>
                <w:szCs w:val="28"/>
                <w:rtl/>
              </w:rPr>
              <w:t>أصحاب المصلحة وفقا لتوصيات خارطة الطريق التي اعتمدتها الدول الأعضاء: (أ</w:t>
            </w:r>
            <w:r w:rsidRPr="00211D55">
              <w:rPr>
                <w:rFonts w:ascii="Arabic Typesetting" w:hAnsi="Arabic Typesetting" w:cs="Arabic Typesetting"/>
                <w:sz w:val="28"/>
                <w:szCs w:val="28"/>
                <w:rtl/>
              </w:rPr>
              <w:t>) </w:t>
            </w:r>
            <w:r w:rsidR="00B31868" w:rsidRPr="00211D55">
              <w:rPr>
                <w:rFonts w:ascii="Arabic Typesetting" w:hAnsi="Arabic Typesetting" w:cs="Arabic Typesetting"/>
                <w:sz w:val="28"/>
                <w:szCs w:val="28"/>
                <w:rtl/>
              </w:rPr>
              <w:t>اتفاق الدول الأعضاء على معايير الاستفادة من تخفيضات الرسوم؛</w:t>
            </w:r>
            <w:r w:rsidRPr="00211D55">
              <w:rPr>
                <w:rFonts w:ascii="Arabic Typesetting" w:hAnsi="Arabic Typesetting" w:cs="Arabic Typesetting"/>
                <w:sz w:val="28"/>
                <w:szCs w:val="28"/>
                <w:rtl/>
              </w:rPr>
              <w:br/>
            </w:r>
            <w:r w:rsidR="00B31868" w:rsidRPr="00211D55">
              <w:rPr>
                <w:rFonts w:ascii="Arabic Typesetting" w:hAnsi="Arabic Typesetting" w:cs="Arabic Typesetting"/>
                <w:sz w:val="28"/>
                <w:szCs w:val="28"/>
                <w:rtl/>
              </w:rPr>
              <w:t>(ب</w:t>
            </w:r>
            <w:r w:rsidRPr="00211D55">
              <w:rPr>
                <w:rFonts w:ascii="Arabic Typesetting" w:hAnsi="Arabic Typesetting" w:cs="Arabic Typesetting"/>
                <w:sz w:val="28"/>
                <w:szCs w:val="28"/>
                <w:rtl/>
              </w:rPr>
              <w:t>) </w:t>
            </w:r>
            <w:r w:rsidR="00B31868" w:rsidRPr="00211D55">
              <w:rPr>
                <w:rFonts w:ascii="Arabic Typesetting" w:hAnsi="Arabic Typesetting" w:cs="Arabic Typesetting"/>
                <w:sz w:val="28"/>
                <w:szCs w:val="28"/>
                <w:rtl/>
              </w:rPr>
              <w:t xml:space="preserve">اتفاق الدول الأعضاء على إجراء </w:t>
            </w:r>
            <w:r w:rsidRPr="00211D55">
              <w:rPr>
                <w:rFonts w:ascii="Arabic Typesetting" w:hAnsi="Arabic Typesetting" w:cs="Arabic Typesetting"/>
                <w:sz w:val="28"/>
                <w:szCs w:val="28"/>
                <w:rtl/>
              </w:rPr>
              <w:t xml:space="preserve">معدل </w:t>
            </w:r>
            <w:r w:rsidR="00B31868" w:rsidRPr="00211D55">
              <w:rPr>
                <w:rFonts w:ascii="Arabic Typesetting" w:hAnsi="Arabic Typesetting" w:cs="Arabic Typesetting"/>
                <w:sz w:val="28"/>
                <w:szCs w:val="28"/>
                <w:rtl/>
              </w:rPr>
              <w:t>لتعيين إدارات البحث الدولي والفحص التمهيدي الدولي؛</w:t>
            </w:r>
            <w:r w:rsidRPr="00211D55">
              <w:rPr>
                <w:rFonts w:ascii="Arabic Typesetting" w:hAnsi="Arabic Typesetting" w:cs="Arabic Typesetting"/>
                <w:sz w:val="28"/>
                <w:szCs w:val="28"/>
                <w:rtl/>
              </w:rPr>
              <w:br/>
              <w:t xml:space="preserve">(ج) اتفاق الدول الأعضاء على تبادل نتائج عمل البحث الخاص بالطلبات السابقة بغية تحسين الجودة واحترام الآجال في </w:t>
            </w:r>
            <w:r w:rsidR="00131C0E" w:rsidRPr="00211D55">
              <w:rPr>
                <w:rFonts w:ascii="Arabic Typesetting" w:hAnsi="Arabic Typesetting" w:cs="Arabic Typesetting"/>
                <w:sz w:val="28"/>
                <w:szCs w:val="28"/>
                <w:rtl/>
              </w:rPr>
              <w:t xml:space="preserve">إصدار </w:t>
            </w:r>
            <w:r w:rsidRPr="00211D55">
              <w:rPr>
                <w:rFonts w:ascii="Arabic Typesetting" w:hAnsi="Arabic Typesetting" w:cs="Arabic Typesetting"/>
                <w:sz w:val="28"/>
                <w:szCs w:val="28"/>
                <w:rtl/>
              </w:rPr>
              <w:t>منتجات أعمال نظام المعاهدة؛</w:t>
            </w:r>
            <w:r w:rsidRPr="00211D55">
              <w:rPr>
                <w:rFonts w:ascii="Arabic Typesetting" w:hAnsi="Arabic Typesetting" w:cs="Arabic Typesetting"/>
                <w:sz w:val="28"/>
                <w:szCs w:val="28"/>
                <w:rtl/>
              </w:rPr>
              <w:br/>
              <w:t xml:space="preserve">(د) تنفيذ خدمة </w:t>
            </w:r>
            <w:proofErr w:type="spellStart"/>
            <w:r w:rsidRPr="00211D55">
              <w:rPr>
                <w:rFonts w:ascii="Arabic Typesetting" w:hAnsi="Arabic Typesetting" w:cs="Arabic Typesetting"/>
                <w:sz w:val="28"/>
                <w:szCs w:val="28"/>
              </w:rPr>
              <w:t>eSearchCopy</w:t>
            </w:r>
            <w:proofErr w:type="spellEnd"/>
            <w:r w:rsidRPr="00211D55">
              <w:rPr>
                <w:rFonts w:ascii="Arabic Typesetting" w:hAnsi="Arabic Typesetting" w:cs="Arabic Typesetting"/>
                <w:sz w:val="28"/>
                <w:szCs w:val="28"/>
                <w:rtl/>
              </w:rPr>
              <w:t xml:space="preserve"> الجديدة لتحقيق المزيد من السرعة والفعالية في إحالة طلبات البحث الدولي؛</w:t>
            </w:r>
            <w:r w:rsidRPr="00211D55">
              <w:rPr>
                <w:rFonts w:ascii="Arabic Typesetting" w:hAnsi="Arabic Typesetting" w:cs="Arabic Typesetting"/>
                <w:sz w:val="28"/>
                <w:szCs w:val="28"/>
                <w:rtl/>
              </w:rPr>
              <w:br/>
              <w:t>(ه) الاتفاق على أن توافي المكاتب المكتب الدولي في الوقت المناسب ببيانات عن طلبات المرحلة الوطنية بغية تحسين المعلومات الخاصة بوضع البراءات.</w:t>
            </w:r>
          </w:p>
        </w:tc>
        <w:tc>
          <w:tcPr>
            <w:tcW w:w="844" w:type="dxa"/>
            <w:tcMar>
              <w:top w:w="110" w:type="dxa"/>
            </w:tcMar>
          </w:tcPr>
          <w:p w:rsidR="00B31868" w:rsidRPr="00211D55" w:rsidRDefault="009334FA" w:rsidP="00086C3F">
            <w:pPr>
              <w:bidi/>
              <w:spacing w:before="60" w:after="60" w:line="280" w:lineRule="exact"/>
              <w:jc w:val="center"/>
              <w:rPr>
                <w:rFonts w:ascii="Arabic Typesetting" w:hAnsi="Arabic Typesetting" w:cs="Arabic Typesetting"/>
                <w:b/>
                <w:bCs/>
                <w:color w:val="008000"/>
                <w:sz w:val="28"/>
                <w:szCs w:val="28"/>
                <w:lang w:bidi="ar-EG"/>
              </w:rPr>
            </w:pPr>
            <w:r w:rsidRPr="00211D55">
              <w:rPr>
                <w:rFonts w:ascii="Arabic Typesetting" w:hAnsi="Arabic Typesetting" w:cs="Arabic Typesetting"/>
                <w:b/>
                <w:bCs/>
                <w:color w:val="008000"/>
                <w:sz w:val="28"/>
                <w:szCs w:val="28"/>
                <w:rtl/>
                <w:lang w:bidi="ar-EG"/>
              </w:rPr>
              <w:t>محقق كلياً</w:t>
            </w:r>
          </w:p>
        </w:tc>
      </w:tr>
      <w:tr w:rsidR="00B31868" w:rsidRPr="00211D55" w:rsidTr="00D47BCE">
        <w:trPr>
          <w:cantSplit/>
          <w:trHeight w:val="148"/>
        </w:trPr>
        <w:tc>
          <w:tcPr>
            <w:tcW w:w="2266" w:type="dxa"/>
            <w:tcBorders>
              <w:bottom w:val="single" w:sz="4" w:space="0" w:color="auto"/>
            </w:tcBorders>
            <w:tcMar>
              <w:top w:w="110" w:type="dxa"/>
            </w:tcMar>
          </w:tcPr>
          <w:p w:rsidR="00B31868" w:rsidRPr="00211D55" w:rsidRDefault="00B31868"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lastRenderedPageBreak/>
              <w:t>تحسن الخدمات الإلكترونية المقدمة للمودعين، وللغير، وللمكاتب، وللسلطات</w:t>
            </w:r>
          </w:p>
        </w:tc>
        <w:tc>
          <w:tcPr>
            <w:tcW w:w="2412" w:type="dxa"/>
            <w:gridSpan w:val="2"/>
            <w:tcBorders>
              <w:top w:val="single" w:sz="4" w:space="0" w:color="auto"/>
              <w:bottom w:val="single" w:sz="4" w:space="0" w:color="auto"/>
            </w:tcBorders>
            <w:shd w:val="clear" w:color="auto" w:fill="auto"/>
            <w:tcMar>
              <w:top w:w="110" w:type="dxa"/>
            </w:tcMar>
          </w:tcPr>
          <w:p w:rsidR="00A214AF" w:rsidRPr="00211D55" w:rsidRDefault="00B31868" w:rsidP="00086C3F">
            <w:pPr>
              <w:autoSpaceDE w:val="0"/>
              <w:autoSpaceDN w:val="0"/>
              <w:bidi/>
              <w:adjustRightInd w:val="0"/>
              <w:spacing w:line="280" w:lineRule="exact"/>
              <w:rPr>
                <w:rFonts w:ascii="Arabic Typesetting" w:hAnsi="Arabic Typesetting" w:cs="Arabic Typesetting"/>
                <w:color w:val="002060"/>
                <w:sz w:val="28"/>
                <w:szCs w:val="28"/>
                <w:rtl/>
              </w:rPr>
            </w:pPr>
            <w:r w:rsidRPr="00211D55">
              <w:rPr>
                <w:rFonts w:ascii="Arabic Typesetting" w:hAnsi="Arabic Typesetting" w:cs="Arabic Typesetting"/>
                <w:i/>
                <w:iCs/>
                <w:color w:val="002060"/>
                <w:sz w:val="28"/>
                <w:szCs w:val="28"/>
                <w:rtl/>
              </w:rPr>
              <w:t>أسس المقارنة المحدّثة نهاية 2013:</w:t>
            </w:r>
            <w:r w:rsidRPr="00211D55">
              <w:rPr>
                <w:rFonts w:ascii="Arabic Typesetting" w:hAnsi="Arabic Typesetting" w:cs="Arabic Typesetting"/>
                <w:color w:val="002060"/>
                <w:sz w:val="28"/>
                <w:szCs w:val="28"/>
                <w:rtl/>
              </w:rPr>
              <w:t xml:space="preserve"> عدد المعاملات المنفذة باستخدام خدمات منصة</w:t>
            </w:r>
            <w:r w:rsidRPr="00211D55">
              <w:rPr>
                <w:rFonts w:ascii="Arabic Typesetting" w:hAnsi="Arabic Typesetting" w:cs="Arabic Typesetting"/>
                <w:color w:val="002060"/>
                <w:sz w:val="28"/>
                <w:szCs w:val="28"/>
              </w:rPr>
              <w:t xml:space="preserve"> </w:t>
            </w:r>
            <w:proofErr w:type="spellStart"/>
            <w:r w:rsidRPr="00211D55">
              <w:rPr>
                <w:rFonts w:ascii="Arabic Typesetting" w:hAnsi="Arabic Typesetting" w:cs="Arabic Typesetting"/>
                <w:color w:val="002060"/>
                <w:sz w:val="28"/>
                <w:szCs w:val="28"/>
              </w:rPr>
              <w:t>ePCT</w:t>
            </w:r>
            <w:proofErr w:type="spellEnd"/>
            <w:r w:rsidRPr="00211D55">
              <w:rPr>
                <w:rFonts w:ascii="Arabic Typesetting" w:hAnsi="Arabic Typesetting" w:cs="Arabic Typesetting"/>
                <w:color w:val="002060"/>
                <w:sz w:val="28"/>
                <w:szCs w:val="28"/>
              </w:rPr>
              <w:t xml:space="preserve"> </w:t>
            </w:r>
            <w:r w:rsidRPr="00211D55">
              <w:rPr>
                <w:rFonts w:ascii="Arabic Typesetting" w:hAnsi="Arabic Typesetting" w:cs="Arabic Typesetting"/>
                <w:color w:val="002060"/>
                <w:sz w:val="28"/>
                <w:szCs w:val="28"/>
                <w:rtl/>
              </w:rPr>
              <w:t xml:space="preserve">في نهاية عام 2013 بالنسبة </w:t>
            </w:r>
            <w:r w:rsidR="009334FA" w:rsidRPr="00211D55">
              <w:rPr>
                <w:rFonts w:ascii="Arabic Typesetting" w:hAnsi="Arabic Typesetting" w:cs="Arabic Typesetting"/>
                <w:color w:val="002060"/>
                <w:sz w:val="28"/>
                <w:szCs w:val="28"/>
                <w:rtl/>
              </w:rPr>
              <w:t>إلى</w:t>
            </w:r>
            <w:r w:rsidRPr="00211D55">
              <w:rPr>
                <w:rFonts w:ascii="Arabic Typesetting" w:hAnsi="Arabic Typesetting" w:cs="Arabic Typesetting"/>
                <w:color w:val="002060"/>
                <w:sz w:val="28"/>
                <w:szCs w:val="28"/>
                <w:rtl/>
              </w:rPr>
              <w:t>:</w:t>
            </w:r>
          </w:p>
          <w:p w:rsidR="00B31868" w:rsidRPr="00211D55" w:rsidRDefault="009334FA" w:rsidP="00086C3F">
            <w:pPr>
              <w:autoSpaceDE w:val="0"/>
              <w:autoSpaceDN w:val="0"/>
              <w:bidi/>
              <w:adjustRightInd w:val="0"/>
              <w:spacing w:line="28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 xml:space="preserve">-- 8005 </w:t>
            </w:r>
            <w:r w:rsidR="00B31868" w:rsidRPr="00211D55">
              <w:rPr>
                <w:rFonts w:ascii="Arabic Typesetting" w:hAnsi="Arabic Typesetting" w:cs="Arabic Typesetting"/>
                <w:color w:val="002060"/>
                <w:sz w:val="28"/>
                <w:szCs w:val="28"/>
                <w:rtl/>
              </w:rPr>
              <w:t>مودع</w:t>
            </w:r>
            <w:r w:rsidRPr="00211D55">
              <w:rPr>
                <w:rFonts w:ascii="Arabic Typesetting" w:hAnsi="Arabic Typesetting" w:cs="Arabic Typesetting"/>
                <w:color w:val="002060"/>
                <w:sz w:val="28"/>
                <w:szCs w:val="28"/>
                <w:rtl/>
              </w:rPr>
              <w:t>ين</w:t>
            </w:r>
            <w:r w:rsidR="00B31868" w:rsidRPr="00211D55">
              <w:rPr>
                <w:rFonts w:ascii="Arabic Typesetting" w:hAnsi="Arabic Typesetting" w:cs="Arabic Typesetting"/>
                <w:color w:val="002060"/>
                <w:sz w:val="28"/>
                <w:szCs w:val="28"/>
                <w:rtl/>
              </w:rPr>
              <w:t xml:space="preserve"> عام</w:t>
            </w:r>
            <w:r w:rsidRPr="00211D55">
              <w:rPr>
                <w:rFonts w:ascii="Arabic Typesetting" w:hAnsi="Arabic Typesetting" w:cs="Arabic Typesetting"/>
                <w:color w:val="002060"/>
                <w:sz w:val="28"/>
                <w:szCs w:val="28"/>
                <w:rtl/>
              </w:rPr>
              <w:t>ين</w:t>
            </w:r>
            <w:r w:rsidR="00B31868" w:rsidRPr="00211D55">
              <w:rPr>
                <w:rFonts w:ascii="Arabic Typesetting" w:hAnsi="Arabic Typesetting" w:cs="Arabic Typesetting"/>
                <w:color w:val="002060"/>
                <w:sz w:val="28"/>
                <w:szCs w:val="28"/>
                <w:rtl/>
              </w:rPr>
              <w:t>؛</w:t>
            </w:r>
          </w:p>
          <w:p w:rsidR="00B31868" w:rsidRPr="00211D55" w:rsidRDefault="009334FA" w:rsidP="00086C3F">
            <w:pPr>
              <w:autoSpaceDE w:val="0"/>
              <w:autoSpaceDN w:val="0"/>
              <w:bidi/>
              <w:adjustRightInd w:val="0"/>
              <w:spacing w:line="28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-- 4754</w:t>
            </w:r>
            <w:r w:rsidR="00B31868" w:rsidRPr="00211D55">
              <w:rPr>
                <w:rFonts w:ascii="Arabic Typesetting" w:hAnsi="Arabic Typesetting" w:cs="Arabic Typesetting"/>
                <w:color w:val="002060"/>
                <w:sz w:val="28"/>
                <w:szCs w:val="28"/>
                <w:rtl/>
              </w:rPr>
              <w:t xml:space="preserve"> مودع</w:t>
            </w:r>
            <w:r w:rsidRPr="00211D55">
              <w:rPr>
                <w:rFonts w:ascii="Arabic Typesetting" w:hAnsi="Arabic Typesetting" w:cs="Arabic Typesetting"/>
                <w:color w:val="002060"/>
                <w:sz w:val="28"/>
                <w:szCs w:val="28"/>
                <w:rtl/>
              </w:rPr>
              <w:t>اً</w:t>
            </w:r>
            <w:r w:rsidR="00B31868" w:rsidRPr="00211D55">
              <w:rPr>
                <w:rFonts w:ascii="Arabic Typesetting" w:hAnsi="Arabic Typesetting" w:cs="Arabic Typesetting"/>
                <w:color w:val="002060"/>
                <w:sz w:val="28"/>
                <w:szCs w:val="28"/>
                <w:rtl/>
              </w:rPr>
              <w:t xml:space="preserve"> خاص</w:t>
            </w:r>
            <w:r w:rsidRPr="00211D55">
              <w:rPr>
                <w:rFonts w:ascii="Arabic Typesetting" w:hAnsi="Arabic Typesetting" w:cs="Arabic Typesetting"/>
                <w:color w:val="002060"/>
                <w:sz w:val="28"/>
                <w:szCs w:val="28"/>
                <w:rtl/>
              </w:rPr>
              <w:t>اً</w:t>
            </w:r>
            <w:r w:rsidR="00B31868" w:rsidRPr="00211D55">
              <w:rPr>
                <w:rFonts w:ascii="Arabic Typesetting" w:hAnsi="Arabic Typesetting" w:cs="Arabic Typesetting"/>
                <w:color w:val="002060"/>
                <w:sz w:val="28"/>
                <w:szCs w:val="28"/>
                <w:rtl/>
              </w:rPr>
              <w:t>؛</w:t>
            </w:r>
          </w:p>
          <w:p w:rsidR="00B31868" w:rsidRPr="00211D55" w:rsidRDefault="009334FA" w:rsidP="00086C3F">
            <w:pPr>
              <w:autoSpaceDE w:val="0"/>
              <w:autoSpaceDN w:val="0"/>
              <w:bidi/>
              <w:adjustRightInd w:val="0"/>
              <w:spacing w:line="28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 xml:space="preserve">-- 74 </w:t>
            </w:r>
            <w:r w:rsidR="00B31868" w:rsidRPr="00211D55">
              <w:rPr>
                <w:rFonts w:ascii="Arabic Typesetting" w:hAnsi="Arabic Typesetting" w:cs="Arabic Typesetting"/>
                <w:color w:val="002060"/>
                <w:sz w:val="28"/>
                <w:szCs w:val="28"/>
                <w:rtl/>
              </w:rPr>
              <w:t>الغير؛</w:t>
            </w:r>
          </w:p>
          <w:p w:rsidR="00B31868" w:rsidRPr="00211D55" w:rsidRDefault="00B31868" w:rsidP="00086C3F">
            <w:pPr>
              <w:autoSpaceDE w:val="0"/>
              <w:autoSpaceDN w:val="0"/>
              <w:bidi/>
              <w:adjustRightInd w:val="0"/>
              <w:spacing w:line="28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 xml:space="preserve">-- </w:t>
            </w:r>
            <w:r w:rsidR="009334FA" w:rsidRPr="00211D55">
              <w:rPr>
                <w:rFonts w:ascii="Arabic Typesetting" w:hAnsi="Arabic Typesetting" w:cs="Arabic Typesetting"/>
                <w:color w:val="002060"/>
                <w:sz w:val="28"/>
                <w:szCs w:val="28"/>
                <w:rtl/>
              </w:rPr>
              <w:t xml:space="preserve">2474 </w:t>
            </w:r>
            <w:r w:rsidRPr="00211D55">
              <w:rPr>
                <w:rFonts w:ascii="Arabic Typesetting" w:hAnsi="Arabic Typesetting" w:cs="Arabic Typesetting"/>
                <w:color w:val="002060"/>
                <w:sz w:val="28"/>
                <w:szCs w:val="28"/>
                <w:rtl/>
              </w:rPr>
              <w:t>مكتب</w:t>
            </w:r>
            <w:r w:rsidR="009334FA" w:rsidRPr="00211D55">
              <w:rPr>
                <w:rFonts w:ascii="Arabic Typesetting" w:hAnsi="Arabic Typesetting" w:cs="Arabic Typesetting"/>
                <w:color w:val="002060"/>
                <w:sz w:val="28"/>
                <w:szCs w:val="28"/>
                <w:rtl/>
              </w:rPr>
              <w:t>اً</w:t>
            </w:r>
            <w:r w:rsidRPr="00211D55">
              <w:rPr>
                <w:rFonts w:ascii="Arabic Typesetting" w:hAnsi="Arabic Typesetting" w:cs="Arabic Typesetting"/>
                <w:color w:val="002060"/>
                <w:sz w:val="28"/>
                <w:szCs w:val="28"/>
                <w:rtl/>
              </w:rPr>
              <w:t>؛</w:t>
            </w:r>
          </w:p>
          <w:p w:rsidR="00B31868" w:rsidRPr="00211D55" w:rsidRDefault="00B31868" w:rsidP="00086C3F">
            <w:pPr>
              <w:autoSpaceDE w:val="0"/>
              <w:autoSpaceDN w:val="0"/>
              <w:bidi/>
              <w:adjustRightInd w:val="0"/>
              <w:spacing w:line="280" w:lineRule="exact"/>
              <w:rPr>
                <w:rFonts w:ascii="Arabic Typesetting" w:hAnsi="Arabic Typesetting" w:cs="Arabic Typesetting"/>
                <w:color w:val="000000"/>
                <w:sz w:val="28"/>
                <w:szCs w:val="28"/>
              </w:rPr>
            </w:pPr>
            <w:r w:rsidRPr="00211D55">
              <w:rPr>
                <w:rFonts w:ascii="Arabic Typesetting" w:hAnsi="Arabic Typesetting" w:cs="Arabic Typesetting"/>
                <w:color w:val="002060"/>
                <w:sz w:val="28"/>
                <w:szCs w:val="28"/>
                <w:rtl/>
              </w:rPr>
              <w:t xml:space="preserve">-- </w:t>
            </w:r>
            <w:r w:rsidR="009334FA" w:rsidRPr="00211D55">
              <w:rPr>
                <w:rFonts w:ascii="Arabic Typesetting" w:hAnsi="Arabic Typesetting" w:cs="Arabic Typesetting"/>
                <w:color w:val="002060"/>
                <w:sz w:val="28"/>
                <w:szCs w:val="28"/>
                <w:rtl/>
              </w:rPr>
              <w:t>2398</w:t>
            </w:r>
            <w:r w:rsidRPr="00211D55">
              <w:rPr>
                <w:rFonts w:ascii="Arabic Typesetting" w:hAnsi="Arabic Typesetting" w:cs="Arabic Typesetting"/>
                <w:color w:val="002060"/>
                <w:sz w:val="28"/>
                <w:szCs w:val="28"/>
                <w:rtl/>
              </w:rPr>
              <w:t xml:space="preserve"> </w:t>
            </w:r>
            <w:r w:rsidR="009334FA" w:rsidRPr="00211D55">
              <w:rPr>
                <w:rFonts w:ascii="Arabic Typesetting" w:hAnsi="Arabic Typesetting" w:cs="Arabic Typesetting"/>
                <w:color w:val="002060"/>
                <w:sz w:val="28"/>
                <w:szCs w:val="28"/>
                <w:rtl/>
              </w:rPr>
              <w:t>إدارة</w:t>
            </w:r>
            <w:r w:rsidR="009334FA" w:rsidRPr="00211D55">
              <w:rPr>
                <w:rFonts w:ascii="Arabic Typesetting" w:hAnsi="Arabic Typesetting" w:cs="Arabic Typesetting"/>
                <w:color w:val="002060"/>
                <w:sz w:val="28"/>
                <w:szCs w:val="28"/>
                <w:rtl/>
              </w:rPr>
              <w:br/>
              <w:t>(تراكمي)</w:t>
            </w:r>
          </w:p>
          <w:p w:rsidR="00A214AF" w:rsidRPr="00211D55" w:rsidRDefault="00B31868"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i/>
                <w:iCs/>
                <w:sz w:val="28"/>
                <w:szCs w:val="28"/>
                <w:rtl/>
              </w:rPr>
              <w:t xml:space="preserve">أساس المقارنة الأصلي في ميزانية </w:t>
            </w:r>
            <w:r w:rsidR="00507DE2">
              <w:rPr>
                <w:rFonts w:ascii="Arabic Typesetting" w:hAnsi="Arabic Typesetting" w:cs="Arabic Typesetting"/>
                <w:i/>
                <w:iCs/>
                <w:sz w:val="28"/>
                <w:szCs w:val="28"/>
                <w:rtl/>
              </w:rPr>
              <w:t>2014/15</w:t>
            </w:r>
            <w:r w:rsidRPr="00211D55">
              <w:rPr>
                <w:rFonts w:ascii="Arabic Typesetting" w:hAnsi="Arabic Typesetting" w:cs="Arabic Typesetting"/>
                <w:i/>
                <w:iCs/>
                <w:sz w:val="28"/>
                <w:szCs w:val="28"/>
                <w:rtl/>
              </w:rPr>
              <w:t>:</w:t>
            </w:r>
            <w:r w:rsidRPr="00211D55">
              <w:rPr>
                <w:rFonts w:ascii="Arabic Typesetting" w:hAnsi="Arabic Typesetting" w:cs="Arabic Typesetting"/>
                <w:sz w:val="28"/>
                <w:szCs w:val="28"/>
                <w:rtl/>
              </w:rPr>
              <w:t xml:space="preserve"> عدد المعاملات المنفذة باستخدام خدمات منصة</w:t>
            </w:r>
            <w:r w:rsidRPr="00211D55">
              <w:rPr>
                <w:rFonts w:ascii="Arabic Typesetting" w:hAnsi="Arabic Typesetting" w:cs="Arabic Typesetting"/>
                <w:sz w:val="28"/>
                <w:szCs w:val="28"/>
              </w:rPr>
              <w:t xml:space="preserve"> </w:t>
            </w:r>
            <w:proofErr w:type="spellStart"/>
            <w:r w:rsidRPr="00211D55">
              <w:rPr>
                <w:rFonts w:ascii="Arabic Typesetting" w:hAnsi="Arabic Typesetting" w:cs="Arabic Typesetting"/>
                <w:sz w:val="28"/>
                <w:szCs w:val="28"/>
              </w:rPr>
              <w:t>ePCT</w:t>
            </w:r>
            <w:proofErr w:type="spellEnd"/>
            <w:r w:rsidRPr="00211D55">
              <w:rPr>
                <w:rFonts w:ascii="Arabic Typesetting" w:hAnsi="Arabic Typesetting" w:cs="Arabic Typesetting"/>
                <w:sz w:val="28"/>
                <w:szCs w:val="28"/>
              </w:rPr>
              <w:t xml:space="preserve"> </w:t>
            </w:r>
            <w:r w:rsidRPr="00211D55">
              <w:rPr>
                <w:rFonts w:ascii="Arabic Typesetting" w:hAnsi="Arabic Typesetting" w:cs="Arabic Typesetting"/>
                <w:sz w:val="28"/>
                <w:szCs w:val="28"/>
                <w:rtl/>
              </w:rPr>
              <w:t xml:space="preserve">في نهاية عام 2013 بالنسبة </w:t>
            </w:r>
            <w:r w:rsidR="009334FA" w:rsidRPr="00211D55">
              <w:rPr>
                <w:rFonts w:ascii="Arabic Typesetting" w:hAnsi="Arabic Typesetting" w:cs="Arabic Typesetting"/>
                <w:sz w:val="28"/>
                <w:szCs w:val="28"/>
                <w:rtl/>
              </w:rPr>
              <w:t>إلى</w:t>
            </w:r>
            <w:r w:rsidRPr="00211D55">
              <w:rPr>
                <w:rFonts w:ascii="Arabic Typesetting" w:hAnsi="Arabic Typesetting" w:cs="Arabic Typesetting"/>
                <w:sz w:val="28"/>
                <w:szCs w:val="28"/>
              </w:rPr>
              <w:t>:</w:t>
            </w:r>
          </w:p>
          <w:p w:rsidR="00B31868" w:rsidRPr="00211D55" w:rsidRDefault="009334FA"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 </w:t>
            </w:r>
            <w:r w:rsidR="00B31868" w:rsidRPr="00211D55">
              <w:rPr>
                <w:rFonts w:ascii="Arabic Typesetting" w:hAnsi="Arabic Typesetting" w:cs="Arabic Typesetting"/>
                <w:sz w:val="28"/>
                <w:szCs w:val="28"/>
                <w:rtl/>
              </w:rPr>
              <w:t>مودعي الطلبات؛</w:t>
            </w:r>
          </w:p>
          <w:p w:rsidR="00B31868" w:rsidRPr="00211D55" w:rsidRDefault="009334FA"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 </w:t>
            </w:r>
            <w:r w:rsidR="00B31868" w:rsidRPr="00211D55">
              <w:rPr>
                <w:rFonts w:ascii="Arabic Typesetting" w:hAnsi="Arabic Typesetting" w:cs="Arabic Typesetting"/>
                <w:sz w:val="28"/>
                <w:szCs w:val="28"/>
                <w:rtl/>
              </w:rPr>
              <w:t>الغير؛</w:t>
            </w:r>
          </w:p>
          <w:p w:rsidR="00B31868" w:rsidRPr="00211D55" w:rsidRDefault="009334FA"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 </w:t>
            </w:r>
            <w:r w:rsidR="00B31868" w:rsidRPr="00211D55">
              <w:rPr>
                <w:rFonts w:ascii="Arabic Typesetting" w:hAnsi="Arabic Typesetting" w:cs="Arabic Typesetting"/>
                <w:sz w:val="28"/>
                <w:szCs w:val="28"/>
                <w:rtl/>
              </w:rPr>
              <w:t>المكاتب؛</w:t>
            </w:r>
          </w:p>
          <w:p w:rsidR="00B31868" w:rsidRPr="00211D55" w:rsidRDefault="00B31868" w:rsidP="00086C3F">
            <w:pPr>
              <w:bidi/>
              <w:spacing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الإدارات</w:t>
            </w:r>
          </w:p>
        </w:tc>
        <w:tc>
          <w:tcPr>
            <w:tcW w:w="1560" w:type="dxa"/>
            <w:tcBorders>
              <w:bottom w:val="single" w:sz="4" w:space="0" w:color="auto"/>
            </w:tcBorders>
          </w:tcPr>
          <w:p w:rsidR="00A214AF" w:rsidRPr="00211D55" w:rsidRDefault="00B31868"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زيادة عدد المعاملات المنفذة باستخدام خدمات منصة</w:t>
            </w:r>
            <w:r w:rsidR="00A214AF" w:rsidRPr="00211D55">
              <w:rPr>
                <w:rFonts w:ascii="Arabic Typesetting" w:hAnsi="Arabic Typesetting" w:cs="Arabic Typesetting"/>
                <w:sz w:val="28"/>
                <w:szCs w:val="28"/>
                <w:rtl/>
              </w:rPr>
              <w:t xml:space="preserve"> </w:t>
            </w:r>
            <w:proofErr w:type="spellStart"/>
            <w:r w:rsidR="00A214AF" w:rsidRPr="00211D55">
              <w:rPr>
                <w:rFonts w:ascii="Arabic Typesetting" w:hAnsi="Arabic Typesetting" w:cs="Arabic Typesetting"/>
                <w:sz w:val="28"/>
                <w:szCs w:val="28"/>
              </w:rPr>
              <w:t>ePCT</w:t>
            </w:r>
            <w:proofErr w:type="spellEnd"/>
            <w:r w:rsidR="00A214AF" w:rsidRPr="00211D55">
              <w:rPr>
                <w:rFonts w:ascii="Arabic Typesetting" w:hAnsi="Arabic Typesetting" w:cs="Arabic Typesetting"/>
                <w:sz w:val="28"/>
                <w:szCs w:val="28"/>
                <w:rtl/>
              </w:rPr>
              <w:t xml:space="preserve"> </w:t>
            </w:r>
            <w:r w:rsidRPr="00211D55">
              <w:rPr>
                <w:rFonts w:ascii="Arabic Typesetting" w:hAnsi="Arabic Typesetting" w:cs="Arabic Typesetting"/>
                <w:sz w:val="28"/>
                <w:szCs w:val="28"/>
                <w:rtl/>
              </w:rPr>
              <w:t xml:space="preserve">بالنسبة </w:t>
            </w:r>
            <w:r w:rsidR="009334FA" w:rsidRPr="00211D55">
              <w:rPr>
                <w:rFonts w:ascii="Arabic Typesetting" w:hAnsi="Arabic Typesetting" w:cs="Arabic Typesetting"/>
                <w:sz w:val="28"/>
                <w:szCs w:val="28"/>
                <w:rtl/>
              </w:rPr>
              <w:t>إلى</w:t>
            </w:r>
            <w:r w:rsidRPr="00211D55">
              <w:rPr>
                <w:rFonts w:ascii="Arabic Typesetting" w:hAnsi="Arabic Typesetting" w:cs="Arabic Typesetting"/>
                <w:sz w:val="28"/>
                <w:szCs w:val="28"/>
              </w:rPr>
              <w:t>:</w:t>
            </w:r>
          </w:p>
          <w:p w:rsidR="00B31868" w:rsidRPr="00211D55" w:rsidRDefault="009334FA"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 </w:t>
            </w:r>
            <w:r w:rsidR="00B31868" w:rsidRPr="00211D55">
              <w:rPr>
                <w:rFonts w:ascii="Arabic Typesetting" w:hAnsi="Arabic Typesetting" w:cs="Arabic Typesetting"/>
                <w:sz w:val="28"/>
                <w:szCs w:val="28"/>
                <w:rtl/>
              </w:rPr>
              <w:t>مودعي الطلبات؛</w:t>
            </w:r>
          </w:p>
          <w:p w:rsidR="00B31868" w:rsidRPr="00211D55" w:rsidRDefault="009334FA"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 </w:t>
            </w:r>
            <w:r w:rsidR="00B31868" w:rsidRPr="00211D55">
              <w:rPr>
                <w:rFonts w:ascii="Arabic Typesetting" w:hAnsi="Arabic Typesetting" w:cs="Arabic Typesetting"/>
                <w:sz w:val="28"/>
                <w:szCs w:val="28"/>
                <w:rtl/>
              </w:rPr>
              <w:t>الغير؛</w:t>
            </w:r>
          </w:p>
          <w:p w:rsidR="00B31868" w:rsidRPr="00211D55" w:rsidRDefault="009334FA"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 </w:t>
            </w:r>
            <w:r w:rsidR="00B31868" w:rsidRPr="00211D55">
              <w:rPr>
                <w:rFonts w:ascii="Arabic Typesetting" w:hAnsi="Arabic Typesetting" w:cs="Arabic Typesetting"/>
                <w:sz w:val="28"/>
                <w:szCs w:val="28"/>
                <w:rtl/>
              </w:rPr>
              <w:t>المكاتب؛</w:t>
            </w:r>
          </w:p>
          <w:p w:rsidR="00B31868" w:rsidRPr="00211D55" w:rsidRDefault="00B31868"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الإدارات</w:t>
            </w:r>
          </w:p>
        </w:tc>
        <w:tc>
          <w:tcPr>
            <w:tcW w:w="2127" w:type="dxa"/>
            <w:tcBorders>
              <w:bottom w:val="single" w:sz="4" w:space="0" w:color="auto"/>
            </w:tcBorders>
            <w:tcMar>
              <w:top w:w="110" w:type="dxa"/>
            </w:tcMar>
          </w:tcPr>
          <w:p w:rsidR="00B31868" w:rsidRPr="00211D55" w:rsidRDefault="00B31868"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في نهاية </w:t>
            </w:r>
            <w:r w:rsidR="009334FA" w:rsidRPr="00211D55">
              <w:rPr>
                <w:rFonts w:ascii="Arabic Typesetting" w:hAnsi="Arabic Typesetting" w:cs="Arabic Typesetting"/>
                <w:sz w:val="28"/>
                <w:szCs w:val="28"/>
                <w:rtl/>
              </w:rPr>
              <w:t xml:space="preserve">عام 2015 </w:t>
            </w:r>
            <w:r w:rsidRPr="00211D55">
              <w:rPr>
                <w:rFonts w:ascii="Arabic Typesetting" w:hAnsi="Arabic Typesetting" w:cs="Arabic Typesetting"/>
                <w:sz w:val="28"/>
                <w:szCs w:val="28"/>
                <w:rtl/>
              </w:rPr>
              <w:t xml:space="preserve">مقارنة بنهاية </w:t>
            </w:r>
            <w:r w:rsidR="009334FA" w:rsidRPr="00211D55">
              <w:rPr>
                <w:rFonts w:ascii="Arabic Typesetting" w:hAnsi="Arabic Typesetting" w:cs="Arabic Typesetting"/>
                <w:sz w:val="28"/>
                <w:szCs w:val="28"/>
                <w:rtl/>
              </w:rPr>
              <w:t>عام 2013</w:t>
            </w:r>
            <w:r w:rsidRPr="00211D55">
              <w:rPr>
                <w:rFonts w:ascii="Arabic Typesetting" w:hAnsi="Arabic Typesetting" w:cs="Arabic Typesetting"/>
                <w:sz w:val="28"/>
                <w:szCs w:val="28"/>
                <w:rtl/>
              </w:rPr>
              <w:t>:</w:t>
            </w:r>
          </w:p>
          <w:p w:rsidR="009334FA" w:rsidRPr="00211D55" w:rsidRDefault="009334FA"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-- 242 11 </w:t>
            </w:r>
            <w:r w:rsidR="00B31868" w:rsidRPr="00211D55">
              <w:rPr>
                <w:rFonts w:ascii="Arabic Typesetting" w:hAnsi="Arabic Typesetting" w:cs="Arabic Typesetting"/>
                <w:sz w:val="28"/>
                <w:szCs w:val="28"/>
                <w:rtl/>
              </w:rPr>
              <w:t>مودع</w:t>
            </w:r>
            <w:r w:rsidRPr="00211D55">
              <w:rPr>
                <w:rFonts w:ascii="Arabic Typesetting" w:hAnsi="Arabic Typesetting" w:cs="Arabic Typesetting"/>
                <w:sz w:val="28"/>
                <w:szCs w:val="28"/>
                <w:rtl/>
              </w:rPr>
              <w:t>اً</w:t>
            </w:r>
            <w:r w:rsidR="00B31868" w:rsidRPr="00211D55">
              <w:rPr>
                <w:rFonts w:ascii="Arabic Typesetting" w:hAnsi="Arabic Typesetting" w:cs="Arabic Typesetting"/>
                <w:sz w:val="28"/>
                <w:szCs w:val="28"/>
                <w:rtl/>
              </w:rPr>
              <w:t xml:space="preserve"> عام</w:t>
            </w:r>
            <w:r w:rsidRPr="00211D55">
              <w:rPr>
                <w:rFonts w:ascii="Arabic Typesetting" w:hAnsi="Arabic Typesetting" w:cs="Arabic Typesetting"/>
                <w:sz w:val="28"/>
                <w:szCs w:val="28"/>
                <w:rtl/>
              </w:rPr>
              <w:t>اً</w:t>
            </w:r>
            <w:r w:rsidR="00B31868" w:rsidRPr="00211D55">
              <w:rPr>
                <w:rFonts w:ascii="Arabic Typesetting" w:hAnsi="Arabic Typesetting" w:cs="Arabic Typesetting"/>
                <w:sz w:val="28"/>
                <w:szCs w:val="28"/>
                <w:rtl/>
              </w:rPr>
              <w:t xml:space="preserve"> </w:t>
            </w:r>
            <w:r w:rsidRPr="00211D55">
              <w:rPr>
                <w:rFonts w:ascii="Arabic Typesetting" w:hAnsi="Arabic Typesetting" w:cs="Arabic Typesetting"/>
                <w:sz w:val="28"/>
                <w:szCs w:val="28"/>
                <w:rtl/>
              </w:rPr>
              <w:t>(+40%)</w:t>
            </w:r>
          </w:p>
          <w:p w:rsidR="009334FA" w:rsidRPr="00211D55" w:rsidRDefault="009334FA"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-- 590 29 مودعاً خاصاً (+522%)</w:t>
            </w:r>
          </w:p>
          <w:p w:rsidR="009334FA" w:rsidRPr="00211D55" w:rsidRDefault="009334FA"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-- 70 مراقباً من الغير (-5%)</w:t>
            </w:r>
          </w:p>
          <w:p w:rsidR="009334FA" w:rsidRPr="00211D55" w:rsidRDefault="009334FA"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-- 9085 مكتب تسلم طلبات (+267%)</w:t>
            </w:r>
          </w:p>
          <w:p w:rsidR="009334FA" w:rsidRPr="00211D55" w:rsidRDefault="009334FA"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-- 2596 إدارة دولية (+8%)</w:t>
            </w:r>
          </w:p>
          <w:p w:rsidR="00B31868" w:rsidRPr="00211D55" w:rsidRDefault="009334FA" w:rsidP="00086C3F">
            <w:pPr>
              <w:bidi/>
              <w:spacing w:line="280" w:lineRule="exact"/>
              <w:ind w:right="-80"/>
              <w:rPr>
                <w:rFonts w:ascii="Arabic Typesetting" w:hAnsi="Arabic Typesetting" w:cs="Arabic Typesetting"/>
                <w:sz w:val="28"/>
                <w:szCs w:val="28"/>
              </w:rPr>
            </w:pPr>
            <w:r w:rsidRPr="00211D55">
              <w:rPr>
                <w:rFonts w:ascii="Arabic Typesetting" w:hAnsi="Arabic Typesetting" w:cs="Arabic Typesetting"/>
                <w:sz w:val="28"/>
                <w:szCs w:val="28"/>
                <w:rtl/>
              </w:rPr>
              <w:t>(تراكمي)</w:t>
            </w:r>
          </w:p>
        </w:tc>
        <w:tc>
          <w:tcPr>
            <w:tcW w:w="844" w:type="dxa"/>
            <w:tcBorders>
              <w:bottom w:val="single" w:sz="4" w:space="0" w:color="auto"/>
            </w:tcBorders>
            <w:tcMar>
              <w:top w:w="110" w:type="dxa"/>
            </w:tcMar>
          </w:tcPr>
          <w:p w:rsidR="00B31868" w:rsidRPr="00211D55" w:rsidRDefault="009334FA"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224009">
        <w:trPr>
          <w:cantSplit/>
          <w:trHeight w:val="20"/>
        </w:trPr>
        <w:tc>
          <w:tcPr>
            <w:tcW w:w="9209" w:type="dxa"/>
            <w:gridSpan w:val="6"/>
            <w:tcBorders>
              <w:top w:val="single" w:sz="4" w:space="0" w:color="auto"/>
              <w:bottom w:val="single" w:sz="4" w:space="0" w:color="auto"/>
            </w:tcBorders>
            <w:shd w:val="clear" w:color="auto" w:fill="C6D9F1" w:themeFill="text2" w:themeFillTint="33"/>
            <w:tcMar>
              <w:top w:w="110" w:type="dxa"/>
            </w:tcMar>
            <w:vAlign w:val="center"/>
          </w:tcPr>
          <w:p w:rsidR="00B31868" w:rsidRPr="00211D55" w:rsidRDefault="00B31868" w:rsidP="00224009">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النتيجة المرتقبة:</w:t>
            </w:r>
            <w:r w:rsidRPr="00211D55">
              <w:rPr>
                <w:rFonts w:ascii="Arabic Typesetting" w:hAnsi="Arabic Typesetting" w:cs="Arabic Typesetting"/>
                <w:bCs/>
                <w:sz w:val="28"/>
                <w:szCs w:val="28"/>
                <w:rtl/>
                <w:lang w:bidi="ar-EG"/>
              </w:rPr>
              <w:tab/>
            </w:r>
            <w:r w:rsidRPr="00211D55">
              <w:rPr>
                <w:rFonts w:ascii="Arabic Typesetting" w:hAnsi="Arabic Typesetting" w:cs="Arabic Typesetting"/>
                <w:b/>
                <w:sz w:val="28"/>
                <w:szCs w:val="28"/>
                <w:rtl/>
                <w:lang w:bidi="ar-EG"/>
              </w:rPr>
              <w:t xml:space="preserve">ه3.2 </w:t>
            </w:r>
            <w:r w:rsidR="00A0719D">
              <w:rPr>
                <w:rFonts w:ascii="Arabic Typesetting" w:hAnsi="Arabic Typesetting" w:cs="Arabic Typesetting"/>
                <w:b/>
                <w:sz w:val="28"/>
                <w:szCs w:val="28"/>
                <w:rtl/>
                <w:lang w:bidi="ar-EG"/>
              </w:rPr>
              <w:t>تحسين الإنتاجية وجودة الخدمات في عمليات معاهدة التعاون بشأن البراءات</w:t>
            </w:r>
          </w:p>
        </w:tc>
      </w:tr>
      <w:tr w:rsidR="00B31868" w:rsidRPr="00211D55" w:rsidTr="00A33501">
        <w:trPr>
          <w:cantSplit/>
          <w:trHeight w:val="148"/>
        </w:trPr>
        <w:tc>
          <w:tcPr>
            <w:tcW w:w="2456" w:type="dxa"/>
            <w:gridSpan w:val="2"/>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مؤشرات الأداء</w:t>
            </w:r>
          </w:p>
        </w:tc>
        <w:tc>
          <w:tcPr>
            <w:tcW w:w="2222" w:type="dxa"/>
            <w:tcBorders>
              <w:top w:val="nil"/>
              <w:bottom w:val="nil"/>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Cs/>
                <w:sz w:val="28"/>
                <w:szCs w:val="28"/>
                <w:rtl/>
                <w:lang w:bidi="ar-EG"/>
              </w:rPr>
              <w:t>أسس المقارنة</w:t>
            </w:r>
          </w:p>
        </w:tc>
        <w:tc>
          <w:tcPr>
            <w:tcW w:w="1560" w:type="dxa"/>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Cs/>
                <w:sz w:val="28"/>
                <w:szCs w:val="28"/>
                <w:rtl/>
                <w:lang w:bidi="ar-EG"/>
              </w:rPr>
              <w:t>الأهداف</w:t>
            </w:r>
          </w:p>
        </w:tc>
        <w:tc>
          <w:tcPr>
            <w:tcW w:w="2127" w:type="dxa"/>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Cs/>
                <w:sz w:val="28"/>
                <w:szCs w:val="28"/>
                <w:rtl/>
                <w:lang w:bidi="ar-EG"/>
              </w:rPr>
              <w:t>بيانات الأداء</w:t>
            </w:r>
          </w:p>
        </w:tc>
        <w:tc>
          <w:tcPr>
            <w:tcW w:w="844" w:type="dxa"/>
            <w:tcBorders>
              <w:top w:val="single" w:sz="4" w:space="0" w:color="auto"/>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Cs/>
                <w:sz w:val="28"/>
                <w:szCs w:val="28"/>
                <w:rtl/>
                <w:lang w:bidi="ar-EG"/>
              </w:rPr>
              <w:t>السير</w:t>
            </w:r>
          </w:p>
        </w:tc>
      </w:tr>
      <w:tr w:rsidR="00B31868" w:rsidRPr="00211D55" w:rsidTr="00A33501">
        <w:trPr>
          <w:cantSplit/>
          <w:trHeight w:val="148"/>
        </w:trPr>
        <w:tc>
          <w:tcPr>
            <w:tcW w:w="2456" w:type="dxa"/>
            <w:gridSpan w:val="2"/>
            <w:tcMar>
              <w:top w:w="110" w:type="dxa"/>
            </w:tcMar>
          </w:tcPr>
          <w:p w:rsidR="00B31868" w:rsidRPr="00211D55" w:rsidRDefault="00B31868"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تكلفة وحدة معالجة الطلبات</w:t>
            </w:r>
          </w:p>
        </w:tc>
        <w:tc>
          <w:tcPr>
            <w:tcW w:w="2222" w:type="dxa"/>
            <w:tcBorders>
              <w:top w:val="nil"/>
              <w:bottom w:val="nil"/>
            </w:tcBorders>
            <w:shd w:val="clear" w:color="auto" w:fill="auto"/>
            <w:tcMar>
              <w:top w:w="110" w:type="dxa"/>
            </w:tcMar>
          </w:tcPr>
          <w:p w:rsidR="00B31868" w:rsidRPr="00211D55" w:rsidRDefault="00B31868" w:rsidP="00086C3F">
            <w:pPr>
              <w:keepNext/>
              <w:autoSpaceDE w:val="0"/>
              <w:autoSpaceDN w:val="0"/>
              <w:bidi/>
              <w:adjustRightInd w:val="0"/>
              <w:spacing w:line="280" w:lineRule="exact"/>
              <w:rPr>
                <w:rFonts w:ascii="Arabic Typesetting" w:hAnsi="Arabic Typesetting" w:cs="Arabic Typesetting"/>
                <w:color w:val="002060"/>
                <w:sz w:val="28"/>
                <w:szCs w:val="28"/>
              </w:rPr>
            </w:pPr>
            <w:r w:rsidRPr="00211D55">
              <w:rPr>
                <w:rFonts w:ascii="Arabic Typesetting" w:hAnsi="Arabic Typesetting" w:cs="Arabic Typesetting"/>
                <w:i/>
                <w:iCs/>
                <w:color w:val="002060"/>
                <w:sz w:val="28"/>
                <w:szCs w:val="28"/>
                <w:rtl/>
              </w:rPr>
              <w:t>أسس المقارنة المحدّثة في نهاية 2013:</w:t>
            </w:r>
            <w:r w:rsidRPr="00211D55">
              <w:rPr>
                <w:rFonts w:ascii="Arabic Typesetting" w:hAnsi="Arabic Typesetting" w:cs="Arabic Typesetting"/>
                <w:color w:val="002060"/>
                <w:sz w:val="28"/>
                <w:szCs w:val="28"/>
                <w:rtl/>
              </w:rPr>
              <w:t xml:space="preserve"> 722 فرنكاً سويسرياً (2013)</w:t>
            </w:r>
          </w:p>
          <w:p w:rsidR="00B31868" w:rsidRPr="00211D55" w:rsidRDefault="00B31868" w:rsidP="00086C3F">
            <w:pPr>
              <w:keepNext/>
              <w:bidi/>
              <w:spacing w:line="280" w:lineRule="exact"/>
              <w:rPr>
                <w:rFonts w:ascii="Arabic Typesetting" w:hAnsi="Arabic Typesetting" w:cs="Arabic Typesetting"/>
                <w:sz w:val="28"/>
                <w:szCs w:val="28"/>
              </w:rPr>
            </w:pPr>
            <w:r w:rsidRPr="00211D55">
              <w:rPr>
                <w:rFonts w:ascii="Arabic Typesetting" w:hAnsi="Arabic Typesetting" w:cs="Arabic Typesetting"/>
                <w:i/>
                <w:iCs/>
                <w:sz w:val="28"/>
                <w:szCs w:val="28"/>
                <w:rtl/>
              </w:rPr>
              <w:t>أسس المقارنة الأصلية: برنامج وميزانية 14/2015:</w:t>
            </w:r>
            <w:r w:rsidRPr="00211D55">
              <w:rPr>
                <w:rFonts w:ascii="Arabic Typesetting" w:hAnsi="Arabic Typesetting" w:cs="Arabic Typesetting"/>
                <w:i/>
                <w:iCs/>
                <w:sz w:val="28"/>
                <w:szCs w:val="28"/>
                <w:rtl/>
              </w:rPr>
              <w:br/>
            </w:r>
            <w:r w:rsidRPr="00211D55">
              <w:rPr>
                <w:rFonts w:ascii="Arabic Typesetting" w:hAnsi="Arabic Typesetting" w:cs="Arabic Typesetting"/>
                <w:sz w:val="28"/>
                <w:szCs w:val="28"/>
                <w:rtl/>
              </w:rPr>
              <w:t>تكلفة الوحدة في 2013</w:t>
            </w:r>
          </w:p>
        </w:tc>
        <w:tc>
          <w:tcPr>
            <w:tcW w:w="1560" w:type="dxa"/>
          </w:tcPr>
          <w:p w:rsidR="00B31868" w:rsidRPr="00211D55" w:rsidRDefault="00B31868" w:rsidP="00086C3F">
            <w:pPr>
              <w:keepNext/>
              <w:autoSpaceDE w:val="0"/>
              <w:autoSpaceDN w:val="0"/>
              <w:bidi/>
              <w:adjustRightInd w:val="0"/>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تكلفة أقل للوحدة</w:t>
            </w:r>
          </w:p>
        </w:tc>
        <w:tc>
          <w:tcPr>
            <w:tcW w:w="2127" w:type="dxa"/>
            <w:tcMar>
              <w:top w:w="110" w:type="dxa"/>
            </w:tcMar>
          </w:tcPr>
          <w:p w:rsidR="00B31868" w:rsidRPr="00211D55" w:rsidRDefault="00B31868" w:rsidP="00086C3F">
            <w:pPr>
              <w:keepNext/>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662 فرنكا سويسريا (2014)</w:t>
            </w:r>
          </w:p>
          <w:p w:rsidR="00180A19" w:rsidRPr="00211D55" w:rsidRDefault="00180A19" w:rsidP="00086C3F">
            <w:pPr>
              <w:keepNext/>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735 فرنكا سويسريا (2015)</w:t>
            </w:r>
            <w:r w:rsidRPr="00F96634">
              <w:rPr>
                <w:rFonts w:ascii="Arabic Typesetting" w:hAnsi="Arabic Typesetting" w:cs="Arabic Typesetting"/>
                <w:sz w:val="28"/>
                <w:szCs w:val="28"/>
                <w:vertAlign w:val="superscript"/>
                <w:rtl/>
              </w:rPr>
              <w:footnoteReference w:id="18"/>
            </w:r>
          </w:p>
          <w:p w:rsidR="00180A19" w:rsidRPr="00211D55" w:rsidRDefault="00180A19" w:rsidP="00086C3F">
            <w:pPr>
              <w:keepNext/>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المتوسط 698 فرنكا سويسريا في الثنائية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xml:space="preserve"> أي أقل بنسبة 2.7 بالمئة من متوسط الثنائية </w:t>
            </w:r>
            <w:r w:rsidR="00507DE2">
              <w:rPr>
                <w:rFonts w:ascii="Arabic Typesetting" w:hAnsi="Arabic Typesetting" w:cs="Arabic Typesetting"/>
                <w:sz w:val="28"/>
                <w:szCs w:val="28"/>
                <w:rtl/>
              </w:rPr>
              <w:t>2012/13</w:t>
            </w:r>
            <w:r w:rsidRPr="00211D55">
              <w:rPr>
                <w:rFonts w:ascii="Arabic Typesetting" w:hAnsi="Arabic Typesetting" w:cs="Arabic Typesetting"/>
                <w:sz w:val="28"/>
                <w:szCs w:val="28"/>
                <w:rtl/>
              </w:rPr>
              <w:t xml:space="preserve"> البالغ 717 فرنكا سويسريا</w:t>
            </w:r>
          </w:p>
        </w:tc>
        <w:tc>
          <w:tcPr>
            <w:tcW w:w="844" w:type="dxa"/>
            <w:tcMar>
              <w:top w:w="110" w:type="dxa"/>
            </w:tcMar>
          </w:tcPr>
          <w:p w:rsidR="00B31868" w:rsidRPr="00211D55" w:rsidRDefault="00180A19" w:rsidP="00086C3F">
            <w:pPr>
              <w:keepNext/>
              <w:bidi/>
              <w:spacing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40724F">
        <w:trPr>
          <w:cantSplit/>
          <w:trHeight w:val="148"/>
        </w:trPr>
        <w:tc>
          <w:tcPr>
            <w:tcW w:w="2456" w:type="dxa"/>
            <w:gridSpan w:val="2"/>
            <w:tcBorders>
              <w:bottom w:val="nil"/>
            </w:tcBorders>
            <w:tcMar>
              <w:top w:w="110" w:type="dxa"/>
            </w:tcMar>
          </w:tcPr>
          <w:p w:rsidR="00B31868" w:rsidRPr="00211D55" w:rsidRDefault="00B31868"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الجودة الإجمالية لفحص الإجراءات الشكلية (بما في ذلك الجداول الزمنية)</w:t>
            </w:r>
          </w:p>
        </w:tc>
        <w:tc>
          <w:tcPr>
            <w:tcW w:w="2222" w:type="dxa"/>
            <w:tcBorders>
              <w:top w:val="nil"/>
              <w:bottom w:val="nil"/>
            </w:tcBorders>
            <w:shd w:val="clear" w:color="auto" w:fill="auto"/>
            <w:tcMar>
              <w:top w:w="110" w:type="dxa"/>
            </w:tcMar>
          </w:tcPr>
          <w:p w:rsidR="00B31868" w:rsidRPr="00211D55" w:rsidRDefault="00B31868" w:rsidP="00086C3F">
            <w:pPr>
              <w:keepNext/>
              <w:autoSpaceDE w:val="0"/>
              <w:autoSpaceDN w:val="0"/>
              <w:bidi/>
              <w:adjustRightInd w:val="0"/>
              <w:spacing w:line="280" w:lineRule="exact"/>
              <w:rPr>
                <w:rFonts w:ascii="Arabic Typesetting" w:hAnsi="Arabic Typesetting" w:cs="Arabic Typesetting"/>
                <w:i/>
                <w:iCs/>
                <w:color w:val="002060"/>
                <w:sz w:val="28"/>
                <w:szCs w:val="28"/>
              </w:rPr>
            </w:pPr>
            <w:r w:rsidRPr="00211D55">
              <w:rPr>
                <w:rFonts w:ascii="Arabic Typesetting" w:hAnsi="Arabic Typesetting" w:cs="Arabic Typesetting"/>
                <w:i/>
                <w:iCs/>
                <w:color w:val="002060"/>
                <w:sz w:val="28"/>
                <w:szCs w:val="28"/>
                <w:rtl/>
              </w:rPr>
              <w:t>أسس المقارنة المحدّثة في نهاية 2013: 88.74% (متوسط 2011-13)</w:t>
            </w:r>
          </w:p>
          <w:p w:rsidR="00B31868" w:rsidRPr="00211D55" w:rsidRDefault="00B31868" w:rsidP="00086C3F">
            <w:pPr>
              <w:autoSpaceDE w:val="0"/>
              <w:autoSpaceDN w:val="0"/>
              <w:bidi/>
              <w:adjustRightInd w:val="0"/>
              <w:spacing w:line="280" w:lineRule="exact"/>
              <w:rPr>
                <w:rFonts w:ascii="Arabic Typesetting" w:hAnsi="Arabic Typesetting" w:cs="Arabic Typesetting"/>
                <w:sz w:val="28"/>
                <w:szCs w:val="28"/>
              </w:rPr>
            </w:pPr>
            <w:r w:rsidRPr="00211D55">
              <w:rPr>
                <w:rFonts w:ascii="Arabic Typesetting" w:hAnsi="Arabic Typesetting" w:cs="Arabic Typesetting"/>
                <w:i/>
                <w:iCs/>
                <w:sz w:val="28"/>
                <w:szCs w:val="28"/>
                <w:rtl/>
              </w:rPr>
              <w:t xml:space="preserve">أسس المقارنة الأصلية في برنامج وميزانية </w:t>
            </w:r>
            <w:r w:rsidR="00507DE2">
              <w:rPr>
                <w:rFonts w:ascii="Arabic Typesetting" w:hAnsi="Arabic Typesetting" w:cs="Arabic Typesetting"/>
                <w:i/>
                <w:iCs/>
                <w:sz w:val="28"/>
                <w:szCs w:val="28"/>
                <w:rtl/>
              </w:rPr>
              <w:t>2014/15</w:t>
            </w:r>
            <w:r w:rsidRPr="00211D55">
              <w:rPr>
                <w:rFonts w:ascii="Arabic Typesetting" w:hAnsi="Arabic Typesetting" w:cs="Arabic Typesetting"/>
                <w:sz w:val="28"/>
                <w:szCs w:val="28"/>
                <w:rtl/>
              </w:rPr>
              <w:t>: متوسط السنوات الثلاث الأخيرة</w:t>
            </w:r>
          </w:p>
        </w:tc>
        <w:tc>
          <w:tcPr>
            <w:tcW w:w="1560" w:type="dxa"/>
            <w:tcBorders>
              <w:bottom w:val="nil"/>
            </w:tcBorders>
          </w:tcPr>
          <w:p w:rsidR="00B31868" w:rsidRPr="00211D55" w:rsidRDefault="00B31868" w:rsidP="00086C3F">
            <w:pPr>
              <w:autoSpaceDE w:val="0"/>
              <w:autoSpaceDN w:val="0"/>
              <w:bidi/>
              <w:adjustRightInd w:val="0"/>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جودة أعلى</w:t>
            </w:r>
          </w:p>
        </w:tc>
        <w:tc>
          <w:tcPr>
            <w:tcW w:w="2127" w:type="dxa"/>
            <w:tcBorders>
              <w:bottom w:val="nil"/>
            </w:tcBorders>
            <w:tcMar>
              <w:top w:w="110" w:type="dxa"/>
            </w:tcMar>
          </w:tcPr>
          <w:p w:rsidR="00B31868" w:rsidRPr="00211D55" w:rsidRDefault="00B31868"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89.60% (2012-2014)</w:t>
            </w:r>
          </w:p>
          <w:p w:rsidR="00180A19" w:rsidRPr="00211D55" w:rsidRDefault="00180A19"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91.13% (2013-2015)</w:t>
            </w:r>
          </w:p>
        </w:tc>
        <w:tc>
          <w:tcPr>
            <w:tcW w:w="844" w:type="dxa"/>
            <w:tcBorders>
              <w:bottom w:val="nil"/>
            </w:tcBorders>
            <w:tcMar>
              <w:top w:w="110" w:type="dxa"/>
            </w:tcMar>
          </w:tcPr>
          <w:p w:rsidR="00B31868" w:rsidRPr="00211D55" w:rsidRDefault="00180A19" w:rsidP="00086C3F">
            <w:pPr>
              <w:bidi/>
              <w:spacing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121881">
        <w:trPr>
          <w:cantSplit/>
          <w:trHeight w:val="148"/>
        </w:trPr>
        <w:tc>
          <w:tcPr>
            <w:tcW w:w="2456" w:type="dxa"/>
            <w:gridSpan w:val="2"/>
            <w:tcBorders>
              <w:top w:val="nil"/>
              <w:bottom w:val="single" w:sz="4" w:space="0" w:color="auto"/>
            </w:tcBorders>
            <w:tcMar>
              <w:top w:w="110" w:type="dxa"/>
            </w:tcMar>
          </w:tcPr>
          <w:p w:rsidR="00B31868" w:rsidRPr="00211D55" w:rsidRDefault="00B31868"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جودة الترجمة</w:t>
            </w:r>
          </w:p>
        </w:tc>
        <w:tc>
          <w:tcPr>
            <w:tcW w:w="2222" w:type="dxa"/>
            <w:tcBorders>
              <w:top w:val="nil"/>
              <w:bottom w:val="single" w:sz="4" w:space="0" w:color="auto"/>
            </w:tcBorders>
            <w:shd w:val="clear" w:color="auto" w:fill="auto"/>
            <w:tcMar>
              <w:top w:w="110" w:type="dxa"/>
            </w:tcMar>
          </w:tcPr>
          <w:p w:rsidR="00B31868" w:rsidRPr="00211D55" w:rsidRDefault="00B31868" w:rsidP="00086C3F">
            <w:pPr>
              <w:keepNext/>
              <w:autoSpaceDE w:val="0"/>
              <w:autoSpaceDN w:val="0"/>
              <w:bidi/>
              <w:adjustRightInd w:val="0"/>
              <w:spacing w:line="280" w:lineRule="exact"/>
              <w:rPr>
                <w:rFonts w:ascii="Arabic Typesetting" w:hAnsi="Arabic Typesetting" w:cs="Arabic Typesetting"/>
                <w:i/>
                <w:iCs/>
                <w:color w:val="002060"/>
                <w:sz w:val="28"/>
                <w:szCs w:val="28"/>
              </w:rPr>
            </w:pPr>
            <w:r w:rsidRPr="00211D55">
              <w:rPr>
                <w:rFonts w:ascii="Arabic Typesetting" w:hAnsi="Arabic Typesetting" w:cs="Arabic Typesetting"/>
                <w:i/>
                <w:iCs/>
                <w:color w:val="002060"/>
                <w:sz w:val="28"/>
                <w:szCs w:val="28"/>
                <w:rtl/>
              </w:rPr>
              <w:t>أسس المقارنة المحدّثة في نهاية 2013: 86.23% (متوسط 2011-2013)</w:t>
            </w:r>
          </w:p>
          <w:p w:rsidR="00B31868" w:rsidRPr="00211D55" w:rsidRDefault="00B31868" w:rsidP="00086C3F">
            <w:pPr>
              <w:autoSpaceDE w:val="0"/>
              <w:autoSpaceDN w:val="0"/>
              <w:bidi/>
              <w:adjustRightInd w:val="0"/>
              <w:spacing w:line="280" w:lineRule="exact"/>
              <w:rPr>
                <w:rFonts w:ascii="Arabic Typesetting" w:hAnsi="Arabic Typesetting" w:cs="Arabic Typesetting"/>
                <w:sz w:val="28"/>
                <w:szCs w:val="28"/>
              </w:rPr>
            </w:pPr>
            <w:r w:rsidRPr="00211D55">
              <w:rPr>
                <w:rFonts w:ascii="Arabic Typesetting" w:hAnsi="Arabic Typesetting" w:cs="Arabic Typesetting"/>
                <w:i/>
                <w:iCs/>
                <w:sz w:val="28"/>
                <w:szCs w:val="28"/>
                <w:rtl/>
              </w:rPr>
              <w:t xml:space="preserve">أسس المقارنة الأصلية في برنامج وميزانية </w:t>
            </w:r>
            <w:r w:rsidR="00507DE2">
              <w:rPr>
                <w:rFonts w:ascii="Arabic Typesetting" w:hAnsi="Arabic Typesetting" w:cs="Arabic Typesetting"/>
                <w:i/>
                <w:iCs/>
                <w:sz w:val="28"/>
                <w:szCs w:val="28"/>
                <w:rtl/>
              </w:rPr>
              <w:t>2014/15</w:t>
            </w:r>
            <w:r w:rsidRPr="00211D55">
              <w:rPr>
                <w:rFonts w:ascii="Arabic Typesetting" w:hAnsi="Arabic Typesetting" w:cs="Arabic Typesetting"/>
                <w:sz w:val="28"/>
                <w:szCs w:val="28"/>
                <w:rtl/>
              </w:rPr>
              <w:t>: متوسط السنوات الثلاث الأخيرة</w:t>
            </w:r>
          </w:p>
        </w:tc>
        <w:tc>
          <w:tcPr>
            <w:tcW w:w="1560" w:type="dxa"/>
            <w:tcBorders>
              <w:top w:val="nil"/>
              <w:bottom w:val="single" w:sz="4" w:space="0" w:color="auto"/>
            </w:tcBorders>
          </w:tcPr>
          <w:p w:rsidR="00B31868" w:rsidRPr="00211D55" w:rsidRDefault="00B31868" w:rsidP="00086C3F">
            <w:pPr>
              <w:autoSpaceDE w:val="0"/>
              <w:autoSpaceDN w:val="0"/>
              <w:bidi/>
              <w:adjustRightInd w:val="0"/>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جودة أعلى</w:t>
            </w:r>
          </w:p>
        </w:tc>
        <w:tc>
          <w:tcPr>
            <w:tcW w:w="2127" w:type="dxa"/>
            <w:tcBorders>
              <w:top w:val="nil"/>
              <w:bottom w:val="single" w:sz="4" w:space="0" w:color="auto"/>
            </w:tcBorders>
            <w:tcMar>
              <w:top w:w="110" w:type="dxa"/>
            </w:tcMar>
          </w:tcPr>
          <w:p w:rsidR="00B31868" w:rsidRPr="00211D55" w:rsidRDefault="00B31868" w:rsidP="00086C3F">
            <w:pPr>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86.77% (2012-2014)</w:t>
            </w:r>
          </w:p>
          <w:p w:rsidR="00180A19" w:rsidRPr="00211D55" w:rsidRDefault="00180A19"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86.90% (2013-2015)</w:t>
            </w:r>
          </w:p>
        </w:tc>
        <w:tc>
          <w:tcPr>
            <w:tcW w:w="844" w:type="dxa"/>
            <w:tcBorders>
              <w:top w:val="nil"/>
              <w:bottom w:val="single" w:sz="4" w:space="0" w:color="auto"/>
            </w:tcBorders>
            <w:tcMar>
              <w:top w:w="110" w:type="dxa"/>
            </w:tcMar>
          </w:tcPr>
          <w:p w:rsidR="00B31868" w:rsidRPr="00211D55" w:rsidRDefault="00180A19" w:rsidP="00086C3F">
            <w:pPr>
              <w:bidi/>
              <w:spacing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40724F" w:rsidRPr="00211D55" w:rsidTr="00121881">
        <w:trPr>
          <w:cantSplit/>
          <w:trHeight w:val="148"/>
        </w:trPr>
        <w:tc>
          <w:tcPr>
            <w:tcW w:w="2456" w:type="dxa"/>
            <w:gridSpan w:val="2"/>
            <w:tcMar>
              <w:top w:w="110" w:type="dxa"/>
            </w:tcMar>
          </w:tcPr>
          <w:p w:rsidR="0040724F" w:rsidRPr="00211D55" w:rsidRDefault="0040724F" w:rsidP="00086C3F">
            <w:pPr>
              <w:keepNext/>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lastRenderedPageBreak/>
              <w:t>جودة تطوير البرمجيات</w:t>
            </w:r>
          </w:p>
        </w:tc>
        <w:tc>
          <w:tcPr>
            <w:tcW w:w="2222" w:type="dxa"/>
            <w:tcBorders>
              <w:top w:val="single" w:sz="4" w:space="0" w:color="auto"/>
              <w:bottom w:val="nil"/>
            </w:tcBorders>
            <w:shd w:val="clear" w:color="auto" w:fill="auto"/>
            <w:tcMar>
              <w:top w:w="110" w:type="dxa"/>
            </w:tcMar>
          </w:tcPr>
          <w:p w:rsidR="0040724F" w:rsidRPr="00211D55" w:rsidRDefault="0040724F" w:rsidP="00086C3F">
            <w:pPr>
              <w:keepNext/>
              <w:autoSpaceDE w:val="0"/>
              <w:autoSpaceDN w:val="0"/>
              <w:bidi/>
              <w:adjustRightInd w:val="0"/>
              <w:spacing w:line="280" w:lineRule="exact"/>
              <w:rPr>
                <w:rFonts w:ascii="Arabic Typesetting" w:hAnsi="Arabic Typesetting" w:cs="Arabic Typesetting"/>
                <w:i/>
                <w:iCs/>
                <w:color w:val="002060"/>
                <w:sz w:val="28"/>
                <w:szCs w:val="28"/>
              </w:rPr>
            </w:pPr>
            <w:r w:rsidRPr="00211D55">
              <w:rPr>
                <w:rFonts w:ascii="Arabic Typesetting" w:hAnsi="Arabic Typesetting" w:cs="Arabic Typesetting"/>
                <w:i/>
                <w:iCs/>
                <w:color w:val="002060"/>
                <w:sz w:val="28"/>
                <w:szCs w:val="28"/>
                <w:rtl/>
              </w:rPr>
              <w:t>أسس المقارنة المحدّثة في نهاية 2013: 89.4% (2013)</w:t>
            </w:r>
          </w:p>
          <w:p w:rsidR="0040724F" w:rsidRPr="00211D55" w:rsidRDefault="0040724F" w:rsidP="00086C3F">
            <w:pPr>
              <w:keepNext/>
              <w:bidi/>
              <w:spacing w:line="240" w:lineRule="exact"/>
              <w:rPr>
                <w:rFonts w:ascii="Arabic Typesetting" w:hAnsi="Arabic Typesetting" w:cs="Arabic Typesetting"/>
                <w:sz w:val="28"/>
                <w:szCs w:val="28"/>
              </w:rPr>
            </w:pPr>
            <w:r w:rsidRPr="00211D55">
              <w:rPr>
                <w:rFonts w:ascii="Arabic Typesetting" w:hAnsi="Arabic Typesetting" w:cs="Arabic Typesetting"/>
                <w:i/>
                <w:iCs/>
                <w:sz w:val="28"/>
                <w:szCs w:val="28"/>
                <w:rtl/>
              </w:rPr>
              <w:t xml:space="preserve">أسس المقارنة الأصلية في برنامج وميزانية </w:t>
            </w:r>
            <w:r w:rsidR="00507DE2">
              <w:rPr>
                <w:rFonts w:ascii="Arabic Typesetting" w:hAnsi="Arabic Typesetting" w:cs="Arabic Typesetting"/>
                <w:i/>
                <w:iCs/>
                <w:sz w:val="28"/>
                <w:szCs w:val="28"/>
                <w:rtl/>
              </w:rPr>
              <w:t>2014/15</w:t>
            </w:r>
            <w:r w:rsidRPr="00211D55">
              <w:rPr>
                <w:rFonts w:ascii="Arabic Typesetting" w:hAnsi="Arabic Typesetting" w:cs="Arabic Typesetting"/>
                <w:sz w:val="28"/>
                <w:szCs w:val="28"/>
                <w:rtl/>
              </w:rPr>
              <w:t>: جودة تطوير البرمجيات</w:t>
            </w:r>
          </w:p>
          <w:p w:rsidR="0040724F" w:rsidRPr="00211D55" w:rsidRDefault="0040724F" w:rsidP="00086C3F">
            <w:pPr>
              <w:keepNext/>
              <w:bidi/>
              <w:spacing w:line="240" w:lineRule="exact"/>
              <w:rPr>
                <w:rFonts w:ascii="Arabic Typesetting" w:hAnsi="Arabic Typesetting" w:cs="Arabic Typesetting"/>
                <w:sz w:val="28"/>
                <w:szCs w:val="28"/>
              </w:rPr>
            </w:pPr>
            <w:r w:rsidRPr="00211D55">
              <w:rPr>
                <w:rFonts w:ascii="Arabic Typesetting" w:hAnsi="Arabic Typesetting" w:cs="Arabic Typesetting"/>
                <w:sz w:val="28"/>
                <w:szCs w:val="28"/>
                <w:rtl/>
              </w:rPr>
              <w:t>لآخر نسخة لنظام الإيداع الإلكتروني (</w:t>
            </w:r>
            <w:proofErr w:type="spellStart"/>
            <w:r w:rsidRPr="00211D55">
              <w:rPr>
                <w:rFonts w:ascii="Arabic Typesetting" w:hAnsi="Arabic Typesetting" w:cs="Arabic Typesetting"/>
                <w:sz w:val="28"/>
                <w:szCs w:val="28"/>
              </w:rPr>
              <w:t>ePCT</w:t>
            </w:r>
            <w:proofErr w:type="spellEnd"/>
            <w:r w:rsidRPr="00211D55">
              <w:rPr>
                <w:rFonts w:ascii="Arabic Typesetting" w:hAnsi="Arabic Typesetting" w:cs="Arabic Typesetting"/>
                <w:sz w:val="28"/>
                <w:szCs w:val="28"/>
                <w:rtl/>
              </w:rPr>
              <w:t xml:space="preserve">) ونظام </w:t>
            </w:r>
            <w:proofErr w:type="spellStart"/>
            <w:r w:rsidRPr="00211D55">
              <w:rPr>
                <w:rFonts w:ascii="Arabic Typesetting" w:hAnsi="Arabic Typesetting" w:cs="Arabic Typesetting"/>
                <w:sz w:val="28"/>
                <w:szCs w:val="28"/>
              </w:rPr>
              <w:t>eDossier</w:t>
            </w:r>
            <w:proofErr w:type="spellEnd"/>
            <w:r w:rsidRPr="00211D55">
              <w:rPr>
                <w:rFonts w:ascii="Arabic Typesetting" w:hAnsi="Arabic Typesetting" w:cs="Arabic Typesetting"/>
                <w:sz w:val="28"/>
                <w:szCs w:val="28"/>
                <w:rtl/>
              </w:rPr>
              <w:t xml:space="preserve"> في 2013</w:t>
            </w:r>
          </w:p>
        </w:tc>
        <w:tc>
          <w:tcPr>
            <w:tcW w:w="1560" w:type="dxa"/>
          </w:tcPr>
          <w:p w:rsidR="0040724F" w:rsidRPr="00211D55" w:rsidRDefault="0040724F" w:rsidP="00086C3F">
            <w:pPr>
              <w:keepNext/>
              <w:autoSpaceDE w:val="0"/>
              <w:autoSpaceDN w:val="0"/>
              <w:bidi/>
              <w:adjustRightInd w:val="0"/>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جودة أكبر في تطوير البرمجيات</w:t>
            </w:r>
          </w:p>
        </w:tc>
        <w:tc>
          <w:tcPr>
            <w:tcW w:w="2127" w:type="dxa"/>
            <w:tcMar>
              <w:top w:w="110" w:type="dxa"/>
            </w:tcMar>
          </w:tcPr>
          <w:p w:rsidR="0040724F" w:rsidRPr="00211D55" w:rsidRDefault="00131C0E" w:rsidP="00086C3F">
            <w:pPr>
              <w:keepNext/>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94.5%</w:t>
            </w:r>
            <w:r w:rsidR="0040724F" w:rsidRPr="00211D55">
              <w:rPr>
                <w:rFonts w:ascii="Arabic Typesetting" w:hAnsi="Arabic Typesetting" w:cs="Arabic Typesetting"/>
                <w:sz w:val="28"/>
                <w:szCs w:val="28"/>
                <w:rtl/>
              </w:rPr>
              <w:t xml:space="preserve"> </w:t>
            </w:r>
            <w:r w:rsidRPr="00211D55">
              <w:rPr>
                <w:rFonts w:ascii="Arabic Typesetting" w:hAnsi="Arabic Typesetting" w:cs="Arabic Typesetting"/>
                <w:sz w:val="28"/>
                <w:szCs w:val="28"/>
                <w:rtl/>
              </w:rPr>
              <w:t>(2014)</w:t>
            </w:r>
          </w:p>
          <w:p w:rsidR="0040724F" w:rsidRPr="00211D55" w:rsidRDefault="0040724F" w:rsidP="00086C3F">
            <w:pPr>
              <w:keepNext/>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91.9% (2015)</w:t>
            </w:r>
          </w:p>
        </w:tc>
        <w:tc>
          <w:tcPr>
            <w:tcW w:w="844" w:type="dxa"/>
            <w:tcMar>
              <w:top w:w="110" w:type="dxa"/>
            </w:tcMar>
          </w:tcPr>
          <w:p w:rsidR="0040724F" w:rsidRPr="00211D55" w:rsidRDefault="0040724F" w:rsidP="00086C3F">
            <w:pPr>
              <w:keepNext/>
              <w:bidi/>
              <w:spacing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40724F" w:rsidRPr="00211D55" w:rsidTr="00A33501">
        <w:trPr>
          <w:cantSplit/>
          <w:trHeight w:val="148"/>
        </w:trPr>
        <w:tc>
          <w:tcPr>
            <w:tcW w:w="2456" w:type="dxa"/>
            <w:gridSpan w:val="2"/>
            <w:tcMar>
              <w:top w:w="110" w:type="dxa"/>
            </w:tcMar>
          </w:tcPr>
          <w:p w:rsidR="0040724F" w:rsidRPr="00211D55" w:rsidRDefault="0040724F" w:rsidP="00086C3F">
            <w:pPr>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مستويات خدمات أنظمة المعلومات </w:t>
            </w:r>
          </w:p>
        </w:tc>
        <w:tc>
          <w:tcPr>
            <w:tcW w:w="2222" w:type="dxa"/>
            <w:tcBorders>
              <w:top w:val="nil"/>
              <w:bottom w:val="single" w:sz="4" w:space="0" w:color="auto"/>
            </w:tcBorders>
            <w:shd w:val="clear" w:color="auto" w:fill="auto"/>
            <w:tcMar>
              <w:top w:w="110" w:type="dxa"/>
            </w:tcMar>
          </w:tcPr>
          <w:p w:rsidR="0040724F" w:rsidRPr="00211D55" w:rsidRDefault="0040724F" w:rsidP="00086C3F">
            <w:pPr>
              <w:keepNext/>
              <w:autoSpaceDE w:val="0"/>
              <w:autoSpaceDN w:val="0"/>
              <w:bidi/>
              <w:adjustRightInd w:val="0"/>
              <w:spacing w:line="280" w:lineRule="exact"/>
              <w:rPr>
                <w:rFonts w:ascii="Arabic Typesetting" w:hAnsi="Arabic Typesetting" w:cs="Arabic Typesetting"/>
                <w:i/>
                <w:iCs/>
                <w:color w:val="002060"/>
                <w:sz w:val="28"/>
                <w:szCs w:val="28"/>
              </w:rPr>
            </w:pPr>
            <w:r w:rsidRPr="00211D55">
              <w:rPr>
                <w:rFonts w:ascii="Arabic Typesetting" w:hAnsi="Arabic Typesetting" w:cs="Arabic Typesetting"/>
                <w:i/>
                <w:iCs/>
                <w:color w:val="002060"/>
                <w:sz w:val="28"/>
                <w:szCs w:val="28"/>
                <w:rtl/>
              </w:rPr>
              <w:t>أسس المقارنة المحدّثة في نهاية 2013: 93.0% (2013)</w:t>
            </w:r>
          </w:p>
          <w:p w:rsidR="0040724F" w:rsidRPr="00211D55" w:rsidRDefault="0040724F" w:rsidP="00086C3F">
            <w:pPr>
              <w:keepNext/>
              <w:bidi/>
              <w:spacing w:line="280" w:lineRule="exact"/>
              <w:rPr>
                <w:rFonts w:ascii="Arabic Typesetting" w:hAnsi="Arabic Typesetting" w:cs="Arabic Typesetting"/>
                <w:sz w:val="28"/>
                <w:szCs w:val="28"/>
              </w:rPr>
            </w:pPr>
            <w:r w:rsidRPr="00211D55">
              <w:rPr>
                <w:rFonts w:ascii="Arabic Typesetting" w:hAnsi="Arabic Typesetting" w:cs="Arabic Typesetting"/>
                <w:i/>
                <w:iCs/>
                <w:sz w:val="28"/>
                <w:szCs w:val="28"/>
                <w:rtl/>
              </w:rPr>
              <w:t xml:space="preserve">أسس المقارنة الأصلية في برنامج وميزانية </w:t>
            </w:r>
            <w:r w:rsidR="00507DE2">
              <w:rPr>
                <w:rFonts w:ascii="Arabic Typesetting" w:hAnsi="Arabic Typesetting" w:cs="Arabic Typesetting"/>
                <w:i/>
                <w:iCs/>
                <w:sz w:val="28"/>
                <w:szCs w:val="28"/>
                <w:rtl/>
              </w:rPr>
              <w:t>2014/15</w:t>
            </w:r>
            <w:r w:rsidRPr="00211D55">
              <w:rPr>
                <w:rFonts w:ascii="Arabic Typesetting" w:hAnsi="Arabic Typesetting" w:cs="Arabic Typesetting"/>
                <w:i/>
                <w:iCs/>
                <w:sz w:val="28"/>
                <w:szCs w:val="28"/>
                <w:rtl/>
              </w:rPr>
              <w:t>:</w:t>
            </w:r>
            <w:r w:rsidRPr="00211D55">
              <w:rPr>
                <w:rFonts w:ascii="Arabic Typesetting" w:hAnsi="Arabic Typesetting" w:cs="Arabic Typesetting"/>
                <w:sz w:val="28"/>
                <w:szCs w:val="28"/>
                <w:rtl/>
              </w:rPr>
              <w:t xml:space="preserve"> مستويات خدمات أنظمة المعلومات في</w:t>
            </w:r>
            <w:r w:rsidR="00A214AF"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2013</w:t>
            </w:r>
          </w:p>
        </w:tc>
        <w:tc>
          <w:tcPr>
            <w:tcW w:w="1560" w:type="dxa"/>
          </w:tcPr>
          <w:p w:rsidR="0040724F" w:rsidRPr="00211D55" w:rsidRDefault="0040724F" w:rsidP="00086C3F">
            <w:pPr>
              <w:keepNext/>
              <w:autoSpaceDE w:val="0"/>
              <w:autoSpaceDN w:val="0"/>
              <w:bidi/>
              <w:adjustRightInd w:val="0"/>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مستويات أكبر في خدمات أنظمة المعلومات</w:t>
            </w:r>
          </w:p>
        </w:tc>
        <w:tc>
          <w:tcPr>
            <w:tcW w:w="2127" w:type="dxa"/>
            <w:tcMar>
              <w:top w:w="110" w:type="dxa"/>
            </w:tcMar>
          </w:tcPr>
          <w:p w:rsidR="0040724F" w:rsidRPr="00211D55" w:rsidRDefault="0040724F" w:rsidP="00086C3F">
            <w:pPr>
              <w:keepNext/>
              <w:bidi/>
              <w:spacing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95.1</w:t>
            </w:r>
            <w:r w:rsidR="00121881" w:rsidRPr="00211D55">
              <w:rPr>
                <w:rFonts w:ascii="Arabic Typesetting" w:hAnsi="Arabic Typesetting" w:cs="Arabic Typesetting"/>
                <w:sz w:val="28"/>
                <w:szCs w:val="28"/>
                <w:rtl/>
              </w:rPr>
              <w:t>%</w:t>
            </w:r>
            <w:r w:rsidR="00121881" w:rsidRPr="00F96634">
              <w:rPr>
                <w:rFonts w:ascii="Arabic Typesetting" w:hAnsi="Arabic Typesetting" w:cs="Arabic Typesetting"/>
                <w:sz w:val="28"/>
                <w:szCs w:val="28"/>
                <w:vertAlign w:val="superscript"/>
              </w:rPr>
              <w:footnoteReference w:id="19"/>
            </w:r>
            <w:r w:rsidR="00121881" w:rsidRPr="00211D55">
              <w:rPr>
                <w:rFonts w:ascii="Arabic Typesetting" w:hAnsi="Arabic Typesetting" w:cs="Arabic Typesetting"/>
                <w:sz w:val="28"/>
                <w:szCs w:val="28"/>
                <w:rtl/>
              </w:rPr>
              <w:t xml:space="preserve"> </w:t>
            </w:r>
            <w:r w:rsidR="00131C0E" w:rsidRPr="00211D55">
              <w:rPr>
                <w:rFonts w:ascii="Arabic Typesetting" w:hAnsi="Arabic Typesetting" w:cs="Arabic Typesetting"/>
                <w:sz w:val="28"/>
                <w:szCs w:val="28"/>
                <w:rtl/>
              </w:rPr>
              <w:t>(2014)</w:t>
            </w:r>
          </w:p>
          <w:p w:rsidR="0040724F" w:rsidRPr="00211D55" w:rsidRDefault="0040724F" w:rsidP="00086C3F">
            <w:pPr>
              <w:keepNext/>
              <w:bidi/>
              <w:spacing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96.5% (2015)</w:t>
            </w:r>
          </w:p>
        </w:tc>
        <w:tc>
          <w:tcPr>
            <w:tcW w:w="844" w:type="dxa"/>
            <w:tcMar>
              <w:top w:w="110" w:type="dxa"/>
            </w:tcMar>
          </w:tcPr>
          <w:p w:rsidR="0040724F" w:rsidRPr="00211D55" w:rsidRDefault="0040724F" w:rsidP="00086C3F">
            <w:pPr>
              <w:keepNext/>
              <w:bidi/>
              <w:spacing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bl>
    <w:p w:rsidR="0040724F" w:rsidRPr="00141A0B" w:rsidRDefault="00B264F9" w:rsidP="00B264F9">
      <w:pPr>
        <w:keepNext/>
        <w:bidi/>
        <w:spacing w:before="120" w:after="120" w:line="340" w:lineRule="exact"/>
        <w:rPr>
          <w:rFonts w:ascii="Arabic Typesetting" w:hAnsi="Arabic Typesetting" w:cs="Arabic Typesetting"/>
          <w:sz w:val="34"/>
          <w:szCs w:val="34"/>
          <w:rtl/>
          <w:lang w:val="fr-CH"/>
        </w:rPr>
      </w:pPr>
      <w:r w:rsidRPr="00B264F9">
        <w:rPr>
          <w:rFonts w:ascii="Arabic Typesetting" w:hAnsi="Arabic Typesetting" w:cs="Arabic Typesetting" w:hint="cs"/>
          <w:sz w:val="34"/>
          <w:szCs w:val="34"/>
          <w:rtl/>
          <w:lang w:val="fr-CH"/>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40724F" w:rsidRPr="00211D55" w:rsidTr="00D47BCE">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40724F" w:rsidRPr="00211D55" w:rsidRDefault="0040724F"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40724F" w:rsidRPr="00211D55" w:rsidRDefault="0040724F"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40724F" w:rsidRPr="00211D55" w:rsidRDefault="0040724F"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40724F"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40724F" w:rsidRPr="00211D55" w:rsidTr="00D47BCE">
        <w:trPr>
          <w:cantSplit/>
          <w:trHeight w:val="1986"/>
        </w:trPr>
        <w:tc>
          <w:tcPr>
            <w:tcW w:w="2420" w:type="dxa"/>
            <w:tcBorders>
              <w:top w:val="single" w:sz="4" w:space="0" w:color="auto"/>
              <w:left w:val="single" w:sz="4" w:space="0" w:color="auto"/>
            </w:tcBorders>
            <w:shd w:val="clear" w:color="auto" w:fill="auto"/>
            <w:tcMar>
              <w:top w:w="113" w:type="dxa"/>
              <w:bottom w:w="113" w:type="dxa"/>
            </w:tcMar>
          </w:tcPr>
          <w:p w:rsidR="0040724F" w:rsidRPr="00211D55" w:rsidRDefault="0040724F" w:rsidP="007A7336">
            <w:pPr>
              <w:bidi/>
              <w:spacing w:line="280" w:lineRule="exact"/>
              <w:rPr>
                <w:rFonts w:ascii="Arabic Typesetting" w:hAnsi="Arabic Typesetting" w:cs="Arabic Typesetting"/>
                <w:b/>
                <w:sz w:val="28"/>
                <w:szCs w:val="28"/>
                <w:lang w:bidi="ar-EG"/>
              </w:rPr>
            </w:pPr>
            <w:r w:rsidRPr="007A7336">
              <w:rPr>
                <w:rFonts w:ascii="Arabic Typesetting" w:hAnsi="Arabic Typesetting" w:cs="Arabic Typesetting"/>
                <w:b/>
                <w:sz w:val="28"/>
                <w:szCs w:val="28"/>
                <w:rtl/>
                <w:lang w:bidi="ar-EG"/>
              </w:rPr>
              <w:t>انخفاض في إيداعات معاهدة البراءات، بصورة مطلقة أو بالنسبة إلى إيداعات مسار باريس</w:t>
            </w:r>
          </w:p>
        </w:tc>
        <w:tc>
          <w:tcPr>
            <w:tcW w:w="2200" w:type="dxa"/>
            <w:tcBorders>
              <w:top w:val="single" w:sz="4" w:space="0" w:color="auto"/>
            </w:tcBorders>
            <w:shd w:val="clear" w:color="auto" w:fill="auto"/>
            <w:tcMar>
              <w:top w:w="113" w:type="dxa"/>
              <w:bottom w:w="113" w:type="dxa"/>
            </w:tcMar>
          </w:tcPr>
          <w:p w:rsidR="0040724F" w:rsidRPr="00211D55" w:rsidRDefault="0040724F" w:rsidP="007A7336">
            <w:pPr>
              <w:bidi/>
              <w:spacing w:line="280" w:lineRule="exact"/>
              <w:rPr>
                <w:rFonts w:ascii="Arabic Typesetting" w:hAnsi="Arabic Typesetting" w:cs="Arabic Typesetting"/>
                <w:sz w:val="28"/>
                <w:szCs w:val="28"/>
              </w:rPr>
            </w:pPr>
            <w:r w:rsidRPr="00211D55">
              <w:rPr>
                <w:rFonts w:ascii="Arabic Typesetting" w:hAnsi="Arabic Typesetting" w:cs="Arabic Typesetting"/>
                <w:noProof/>
                <w:sz w:val="28"/>
                <w:szCs w:val="28"/>
                <w:rtl/>
                <w:lang w:bidi="ar-EG"/>
              </w:rPr>
              <w:t xml:space="preserve">استمرار الترويج لمعاهدة البراءات </w:t>
            </w:r>
            <w:r w:rsidR="00121881" w:rsidRPr="00211D55">
              <w:rPr>
                <w:rFonts w:ascii="Arabic Typesetting" w:hAnsi="Arabic Typesetting" w:cs="Arabic Typesetting" w:hint="cs"/>
                <w:noProof/>
                <w:sz w:val="28"/>
                <w:szCs w:val="28"/>
                <w:rtl/>
                <w:lang w:bidi="ar-EG"/>
              </w:rPr>
              <w:t>لجميع المستخدمين بوصفها خير وسيلة لحماية الابتكار في الأسواق الدولية بفعالية</w:t>
            </w:r>
          </w:p>
        </w:tc>
        <w:tc>
          <w:tcPr>
            <w:tcW w:w="2310" w:type="dxa"/>
            <w:tcBorders>
              <w:top w:val="single" w:sz="4" w:space="0" w:color="auto"/>
            </w:tcBorders>
          </w:tcPr>
          <w:p w:rsidR="0040724F" w:rsidRPr="00211D55" w:rsidRDefault="00F20276" w:rsidP="00F20276">
            <w:pPr>
              <w:bidi/>
              <w:spacing w:line="280" w:lineRule="exact"/>
              <w:rPr>
                <w:rFonts w:ascii="Arabic Typesetting" w:hAnsi="Arabic Typesetting" w:cs="Arabic Typesetting"/>
                <w:b/>
                <w:sz w:val="28"/>
                <w:szCs w:val="28"/>
              </w:rPr>
            </w:pPr>
            <w:r>
              <w:rPr>
                <w:rFonts w:ascii="Arabic Typesetting" w:hAnsi="Arabic Typesetting" w:cs="Arabic Typesetting" w:hint="cs"/>
                <w:b/>
                <w:sz w:val="28"/>
                <w:szCs w:val="28"/>
                <w:rtl/>
              </w:rPr>
              <w:t>هذ الخطر متواصل بالنسبة إلى البرنامج</w:t>
            </w:r>
            <w:r w:rsidR="0040724F" w:rsidRPr="00211D55">
              <w:rPr>
                <w:rFonts w:ascii="Arabic Typesetting" w:hAnsi="Arabic Typesetting" w:cs="Arabic Typesetting" w:hint="cs"/>
                <w:b/>
                <w:sz w:val="28"/>
                <w:szCs w:val="28"/>
                <w:rtl/>
              </w:rPr>
              <w:t xml:space="preserve"> ولكنه لم يزداد سوءا بالنسبة إلى معاهدة البراءات في الثنائية </w:t>
            </w:r>
            <w:r w:rsidR="00507DE2">
              <w:rPr>
                <w:rFonts w:ascii="Arabic Typesetting" w:hAnsi="Arabic Typesetting" w:cs="Arabic Typesetting" w:hint="cs"/>
                <w:b/>
                <w:sz w:val="28"/>
                <w:szCs w:val="28"/>
                <w:rtl/>
              </w:rPr>
              <w:t>2014/15</w:t>
            </w:r>
            <w:r w:rsidR="0040724F" w:rsidRPr="00211D55">
              <w:rPr>
                <w:rFonts w:ascii="Arabic Typesetting" w:hAnsi="Arabic Typesetting" w:cs="Arabic Typesetting" w:hint="cs"/>
                <w:b/>
                <w:sz w:val="28"/>
                <w:szCs w:val="28"/>
                <w:rtl/>
              </w:rPr>
              <w:t>. ويتوا</w:t>
            </w:r>
            <w:r w:rsidR="00121881" w:rsidRPr="00211D55">
              <w:rPr>
                <w:rFonts w:ascii="Arabic Typesetting" w:hAnsi="Arabic Typesetting" w:cs="Arabic Typesetting" w:hint="cs"/>
                <w:b/>
                <w:sz w:val="28"/>
                <w:szCs w:val="28"/>
                <w:rtl/>
              </w:rPr>
              <w:t>ص</w:t>
            </w:r>
            <w:r w:rsidR="0040724F" w:rsidRPr="00211D55">
              <w:rPr>
                <w:rFonts w:ascii="Arabic Typesetting" w:hAnsi="Arabic Typesetting" w:cs="Arabic Typesetting" w:hint="cs"/>
                <w:b/>
                <w:sz w:val="28"/>
                <w:szCs w:val="28"/>
                <w:rtl/>
              </w:rPr>
              <w:t>ل تنفيذ استراتيجيات الحد من وطأة هذا الخطر.</w:t>
            </w:r>
          </w:p>
        </w:tc>
        <w:tc>
          <w:tcPr>
            <w:tcW w:w="2306" w:type="dxa"/>
            <w:tcBorders>
              <w:top w:val="single" w:sz="4" w:space="0" w:color="auto"/>
              <w:right w:val="single" w:sz="4" w:space="0" w:color="auto"/>
            </w:tcBorders>
          </w:tcPr>
          <w:p w:rsidR="0040724F" w:rsidRPr="00211D55" w:rsidRDefault="0040724F"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غير قابل للقياس</w:t>
            </w:r>
          </w:p>
        </w:tc>
      </w:tr>
      <w:tr w:rsidR="0040724F" w:rsidRPr="00211D55" w:rsidTr="00D47BCE">
        <w:trPr>
          <w:cantSplit/>
          <w:trHeight w:val="1332"/>
        </w:trPr>
        <w:tc>
          <w:tcPr>
            <w:tcW w:w="2420" w:type="dxa"/>
            <w:tcBorders>
              <w:left w:val="single" w:sz="4" w:space="0" w:color="auto"/>
            </w:tcBorders>
            <w:shd w:val="clear" w:color="auto" w:fill="auto"/>
            <w:tcMar>
              <w:top w:w="113" w:type="dxa"/>
              <w:bottom w:w="113" w:type="dxa"/>
            </w:tcMar>
          </w:tcPr>
          <w:p w:rsidR="0040724F" w:rsidRPr="007A7336" w:rsidRDefault="0040724F" w:rsidP="007A7336">
            <w:pPr>
              <w:bidi/>
              <w:spacing w:line="280" w:lineRule="exact"/>
              <w:rPr>
                <w:rFonts w:ascii="Arabic Typesetting" w:hAnsi="Arabic Typesetting" w:cs="Arabic Typesetting"/>
                <w:b/>
                <w:sz w:val="28"/>
                <w:szCs w:val="28"/>
                <w:rtl/>
                <w:lang w:bidi="ar-EG"/>
              </w:rPr>
            </w:pPr>
            <w:r w:rsidRPr="007A7336">
              <w:rPr>
                <w:rFonts w:ascii="Arabic Typesetting" w:hAnsi="Arabic Typesetting" w:cs="Arabic Typesetting"/>
                <w:b/>
                <w:sz w:val="28"/>
                <w:szCs w:val="28"/>
                <w:rtl/>
                <w:lang w:bidi="ar-EG"/>
              </w:rPr>
              <w:t>التوقف الطويل لعمليات معاهدة التعاون بشأن البراءات</w:t>
            </w:r>
          </w:p>
        </w:tc>
        <w:tc>
          <w:tcPr>
            <w:tcW w:w="2200" w:type="dxa"/>
            <w:shd w:val="clear" w:color="auto" w:fill="auto"/>
            <w:tcMar>
              <w:top w:w="113" w:type="dxa"/>
              <w:bottom w:w="113" w:type="dxa"/>
            </w:tcMar>
          </w:tcPr>
          <w:p w:rsidR="0040724F" w:rsidRPr="007A7336" w:rsidRDefault="0040724F" w:rsidP="007A7336">
            <w:pPr>
              <w:bidi/>
              <w:spacing w:line="280" w:lineRule="exact"/>
              <w:rPr>
                <w:rFonts w:ascii="Arabic Typesetting" w:hAnsi="Arabic Typesetting" w:cs="Arabic Typesetting"/>
                <w:b/>
                <w:sz w:val="28"/>
                <w:szCs w:val="28"/>
                <w:rtl/>
                <w:lang w:bidi="ar-EG"/>
              </w:rPr>
            </w:pPr>
            <w:r w:rsidRPr="007A7336">
              <w:rPr>
                <w:rFonts w:ascii="Arabic Typesetting" w:hAnsi="Arabic Typesetting" w:cs="Arabic Typesetting"/>
                <w:b/>
                <w:sz w:val="28"/>
                <w:szCs w:val="28"/>
                <w:rtl/>
                <w:lang w:bidi="ar-EG"/>
              </w:rPr>
              <w:t>تنفيذ خطة إدارة استمرارية الأعمال</w:t>
            </w:r>
            <w:r w:rsidRPr="007A7336">
              <w:rPr>
                <w:rFonts w:ascii="Arabic Typesetting" w:hAnsi="Arabic Typesetting" w:cs="Arabic Typesetting" w:hint="cs"/>
                <w:b/>
                <w:sz w:val="28"/>
                <w:szCs w:val="28"/>
                <w:rtl/>
                <w:lang w:bidi="ar-EG"/>
              </w:rPr>
              <w:t xml:space="preserve"> واختبارها دورياً</w:t>
            </w:r>
          </w:p>
        </w:tc>
        <w:tc>
          <w:tcPr>
            <w:tcW w:w="2310" w:type="dxa"/>
          </w:tcPr>
          <w:p w:rsidR="003D0B72" w:rsidRPr="00211D55" w:rsidRDefault="003D0B72" w:rsidP="007A7336">
            <w:pPr>
              <w:autoSpaceDE w:val="0"/>
              <w:autoSpaceDN w:val="0"/>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لم يُتعرض لهذا الخطر. واستهلت التحضيرات اللازمة لوضع منصة محكمة وآمنة </w:t>
            </w:r>
            <w:r w:rsidR="00121881" w:rsidRPr="00211D55">
              <w:rPr>
                <w:rFonts w:ascii="Arabic Typesetting" w:hAnsi="Arabic Typesetting" w:cs="Arabic Typesetting" w:hint="cs"/>
                <w:b/>
                <w:sz w:val="28"/>
                <w:szCs w:val="28"/>
                <w:rtl/>
                <w:lang w:bidi="ar-EG"/>
              </w:rPr>
              <w:t>للأنظمة المعلوماتية</w:t>
            </w:r>
            <w:r w:rsidRPr="00211D55">
              <w:rPr>
                <w:rFonts w:ascii="Arabic Typesetting" w:hAnsi="Arabic Typesetting" w:cs="Arabic Typesetting" w:hint="cs"/>
                <w:b/>
                <w:sz w:val="28"/>
                <w:szCs w:val="28"/>
                <w:rtl/>
                <w:lang w:bidi="ar-EG"/>
              </w:rPr>
              <w:t xml:space="preserve"> الخاصة بمعاهدة البراءات بغية التخفيف من وطأة هذا الخطر.</w:t>
            </w:r>
          </w:p>
        </w:tc>
        <w:tc>
          <w:tcPr>
            <w:tcW w:w="2306" w:type="dxa"/>
            <w:tcBorders>
              <w:right w:val="single" w:sz="4" w:space="0" w:color="auto"/>
            </w:tcBorders>
          </w:tcPr>
          <w:p w:rsidR="003D0B72" w:rsidRPr="00211D55" w:rsidRDefault="003D0B72" w:rsidP="002F200B">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لم يؤثر هذا الخطر ولا تطوره </w:t>
            </w:r>
            <w:r w:rsidR="002F200B">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w:t>
            </w:r>
            <w:r w:rsidR="00121881" w:rsidRPr="00211D55">
              <w:rPr>
                <w:rFonts w:ascii="Arabic Typesetting" w:hAnsi="Arabic Typesetting" w:cs="Arabic Typesetting" w:hint="cs"/>
                <w:b/>
                <w:sz w:val="28"/>
                <w:szCs w:val="28"/>
                <w:rtl/>
                <w:lang w:bidi="ar-EG"/>
              </w:rPr>
              <w:t>في</w:t>
            </w:r>
            <w:r w:rsidRPr="00211D55">
              <w:rPr>
                <w:rFonts w:ascii="Arabic Typesetting" w:hAnsi="Arabic Typesetting" w:cs="Arabic Typesetting" w:hint="cs"/>
                <w:b/>
                <w:sz w:val="28"/>
                <w:szCs w:val="28"/>
                <w:rtl/>
                <w:lang w:bidi="ar-EG"/>
              </w:rPr>
              <w:t xml:space="preserve"> أداء البرنامج </w:t>
            </w:r>
            <w:r w:rsidR="00121881" w:rsidRPr="00211D55">
              <w:rPr>
                <w:rFonts w:ascii="Arabic Typesetting" w:hAnsi="Arabic Typesetting" w:cs="Arabic Typesetting" w:hint="cs"/>
                <w:b/>
                <w:sz w:val="28"/>
                <w:szCs w:val="28"/>
                <w:rtl/>
                <w:lang w:bidi="ar-EG"/>
              </w:rPr>
              <w:t>للفترة</w:t>
            </w:r>
            <w:r w:rsidRPr="00211D55">
              <w:rPr>
                <w:rFonts w:ascii="Arabic Typesetting" w:hAnsi="Arabic Typesetting" w:cs="Arabic Typesetting" w:hint="cs"/>
                <w:b/>
                <w:sz w:val="28"/>
                <w:szCs w:val="28"/>
                <w:rtl/>
                <w:lang w:bidi="ar-EG"/>
              </w:rPr>
              <w:t xml:space="preserve"> </w:t>
            </w:r>
            <w:r w:rsidR="00507DE2">
              <w:rPr>
                <w:rFonts w:ascii="Arabic Typesetting" w:hAnsi="Arabic Typesetting" w:cs="Arabic Typesetting" w:hint="cs"/>
                <w:b/>
                <w:sz w:val="28"/>
                <w:szCs w:val="28"/>
                <w:rtl/>
                <w:lang w:bidi="ar-EG"/>
              </w:rPr>
              <w:t>2014/15</w:t>
            </w:r>
            <w:r w:rsidRPr="00211D55">
              <w:rPr>
                <w:rFonts w:ascii="Arabic Typesetting" w:hAnsi="Arabic Typesetting" w:cs="Arabic Typesetting" w:hint="cs"/>
                <w:b/>
                <w:sz w:val="28"/>
                <w:szCs w:val="28"/>
                <w:rtl/>
                <w:lang w:bidi="ar-EG"/>
              </w:rPr>
              <w:t>.</w:t>
            </w:r>
          </w:p>
        </w:tc>
      </w:tr>
      <w:tr w:rsidR="00121881" w:rsidRPr="00211D55" w:rsidTr="007A7336">
        <w:trPr>
          <w:cantSplit/>
          <w:trHeight w:val="1332"/>
        </w:trPr>
        <w:tc>
          <w:tcPr>
            <w:tcW w:w="2420" w:type="dxa"/>
            <w:tcBorders>
              <w:left w:val="single" w:sz="4" w:space="0" w:color="auto"/>
            </w:tcBorders>
            <w:shd w:val="clear" w:color="auto" w:fill="auto"/>
            <w:tcMar>
              <w:top w:w="113" w:type="dxa"/>
              <w:bottom w:w="113" w:type="dxa"/>
            </w:tcMar>
          </w:tcPr>
          <w:p w:rsidR="00121881" w:rsidRPr="007A7336" w:rsidRDefault="00121881" w:rsidP="007A7336">
            <w:pPr>
              <w:bidi/>
              <w:spacing w:line="280" w:lineRule="exact"/>
              <w:rPr>
                <w:rFonts w:ascii="Arabic Typesetting" w:hAnsi="Arabic Typesetting" w:cs="Arabic Typesetting"/>
                <w:b/>
                <w:sz w:val="28"/>
                <w:szCs w:val="28"/>
                <w:rtl/>
                <w:lang w:bidi="ar-EG"/>
              </w:rPr>
            </w:pPr>
            <w:r w:rsidRPr="007A7336">
              <w:rPr>
                <w:rFonts w:ascii="Arabic Typesetting" w:hAnsi="Arabic Typesetting" w:cs="Arabic Typesetting"/>
                <w:b/>
                <w:sz w:val="28"/>
                <w:szCs w:val="28"/>
                <w:rtl/>
                <w:lang w:bidi="ar-EG"/>
              </w:rPr>
              <w:t>في حالة عدم قدرة المكتب الدولي على معالجة الوثائق، ولو لفترة زمنية قصيرة، فإن الأعمال المتراكمة تزداد بسرعة كبيرة. وتعطُّل الأعمال لأيام قليلة يمكن أن يؤدي إلى عدة أسابيع من تراكم الأعمال غير المُنجزة.</w:t>
            </w:r>
          </w:p>
        </w:tc>
        <w:tc>
          <w:tcPr>
            <w:tcW w:w="2200" w:type="dxa"/>
            <w:shd w:val="clear" w:color="auto" w:fill="auto"/>
            <w:tcMar>
              <w:top w:w="113" w:type="dxa"/>
              <w:bottom w:w="113" w:type="dxa"/>
            </w:tcMar>
          </w:tcPr>
          <w:p w:rsidR="00121881" w:rsidRPr="007A7336" w:rsidRDefault="00121881" w:rsidP="007A7336">
            <w:pPr>
              <w:bidi/>
              <w:spacing w:line="280" w:lineRule="exact"/>
              <w:rPr>
                <w:rFonts w:ascii="Arabic Typesetting" w:hAnsi="Arabic Typesetting" w:cs="Arabic Typesetting"/>
                <w:b/>
                <w:sz w:val="28"/>
                <w:szCs w:val="28"/>
                <w:rtl/>
                <w:lang w:bidi="ar-EG"/>
              </w:rPr>
            </w:pPr>
            <w:r w:rsidRPr="007A7336">
              <w:rPr>
                <w:rFonts w:ascii="Arabic Typesetting" w:hAnsi="Arabic Typesetting" w:cs="Arabic Typesetting"/>
                <w:b/>
                <w:sz w:val="28"/>
                <w:szCs w:val="28"/>
                <w:rtl/>
                <w:lang w:bidi="ar-EG"/>
              </w:rPr>
              <w:t xml:space="preserve">الهدف من خطة إدارة استمرارية الأعمال هو التأكد </w:t>
            </w:r>
            <w:r w:rsidR="003633CE" w:rsidRPr="007A7336">
              <w:rPr>
                <w:rFonts w:ascii="Arabic Typesetting" w:hAnsi="Arabic Typesetting" w:cs="Arabic Typesetting" w:hint="cs"/>
                <w:b/>
                <w:sz w:val="28"/>
                <w:szCs w:val="28"/>
                <w:rtl/>
                <w:lang w:bidi="ar-EG"/>
              </w:rPr>
              <w:t>قدرة</w:t>
            </w:r>
            <w:r w:rsidRPr="007A7336">
              <w:rPr>
                <w:rFonts w:ascii="Arabic Typesetting" w:hAnsi="Arabic Typesetting" w:cs="Arabic Typesetting"/>
                <w:b/>
                <w:sz w:val="28"/>
                <w:szCs w:val="28"/>
                <w:rtl/>
                <w:lang w:bidi="ar-EG"/>
              </w:rPr>
              <w:t xml:space="preserve"> المكتب الدولي </w:t>
            </w:r>
            <w:r w:rsidR="003633CE" w:rsidRPr="007A7336">
              <w:rPr>
                <w:rFonts w:ascii="Arabic Typesetting" w:hAnsi="Arabic Typesetting" w:cs="Arabic Typesetting" w:hint="cs"/>
                <w:b/>
                <w:sz w:val="28"/>
                <w:szCs w:val="28"/>
                <w:rtl/>
                <w:lang w:bidi="ar-EG"/>
              </w:rPr>
              <w:t>على المضي</w:t>
            </w:r>
            <w:r w:rsidRPr="007A7336">
              <w:rPr>
                <w:rFonts w:ascii="Arabic Typesetting" w:hAnsi="Arabic Typesetting" w:cs="Arabic Typesetting"/>
                <w:b/>
                <w:sz w:val="28"/>
                <w:szCs w:val="28"/>
                <w:rtl/>
                <w:lang w:bidi="ar-EG"/>
              </w:rPr>
              <w:t xml:space="preserve"> قدمًا في عمله على النحو الكافي خلال فترات التعطُّل تجنباً لحدوث </w:t>
            </w:r>
            <w:r w:rsidRPr="007A7336">
              <w:rPr>
                <w:rFonts w:ascii="Arabic Typesetting" w:hAnsi="Arabic Typesetting" w:cs="Arabic Typesetting" w:hint="cs"/>
                <w:b/>
                <w:sz w:val="28"/>
                <w:szCs w:val="28"/>
                <w:rtl/>
                <w:lang w:bidi="ar-EG"/>
              </w:rPr>
              <w:t>تدنٍّ</w:t>
            </w:r>
            <w:r w:rsidRPr="007A7336">
              <w:rPr>
                <w:rFonts w:ascii="Arabic Typesetting" w:hAnsi="Arabic Typesetting" w:cs="Arabic Typesetting"/>
                <w:b/>
                <w:sz w:val="28"/>
                <w:szCs w:val="28"/>
                <w:rtl/>
                <w:lang w:bidi="ar-EG"/>
              </w:rPr>
              <w:t xml:space="preserve"> غير مقبول في جودة الخدمة المقدمة إلى المكاتب وإلى مودعي الطلبات بناء على المعاهدة</w:t>
            </w:r>
          </w:p>
        </w:tc>
        <w:tc>
          <w:tcPr>
            <w:tcW w:w="2310" w:type="dxa"/>
          </w:tcPr>
          <w:p w:rsidR="00121881" w:rsidRPr="00211D55" w:rsidRDefault="00121881" w:rsidP="007A7336">
            <w:pPr>
              <w:bidi/>
              <w:spacing w:line="280" w:lineRule="exact"/>
              <w:rPr>
                <w:rFonts w:ascii="Arabic Typesetting" w:hAnsi="Arabic Typesetting" w:cs="Arabic Typesetting"/>
                <w:b/>
                <w:sz w:val="28"/>
                <w:szCs w:val="28"/>
                <w:rtl/>
                <w:lang w:bidi="ar-EG"/>
              </w:rPr>
            </w:pPr>
            <w:r w:rsidRPr="00211D55">
              <w:rPr>
                <w:rFonts w:ascii="Arabic Typesetting" w:hAnsi="Arabic Typesetting" w:cs="Arabic Typesetting" w:hint="cs"/>
                <w:b/>
                <w:sz w:val="28"/>
                <w:szCs w:val="28"/>
                <w:rtl/>
                <w:lang w:bidi="ar-EG"/>
              </w:rPr>
              <w:t>لم يُتعرض لهذا الخطر. ووُضعت مؤشرات جديدة لعبء العمل بغية تحسين إجراءات ضبط جودة تدابير الحد من وطأة المخاطر.</w:t>
            </w:r>
          </w:p>
        </w:tc>
        <w:tc>
          <w:tcPr>
            <w:tcW w:w="2306" w:type="dxa"/>
            <w:tcBorders>
              <w:right w:val="single" w:sz="4" w:space="0" w:color="auto"/>
            </w:tcBorders>
          </w:tcPr>
          <w:p w:rsidR="00121881" w:rsidRPr="00211D55" w:rsidRDefault="00121881" w:rsidP="007A7336">
            <w:pPr>
              <w:bidi/>
              <w:spacing w:line="280" w:lineRule="exact"/>
              <w:rPr>
                <w:rFonts w:ascii="Arabic Typesetting" w:hAnsi="Arabic Typesetting" w:cs="Arabic Typesetting"/>
                <w:b/>
                <w:sz w:val="28"/>
                <w:szCs w:val="28"/>
                <w:rtl/>
                <w:lang w:bidi="ar-EG"/>
              </w:rPr>
            </w:pPr>
            <w:r w:rsidRPr="00211D55">
              <w:rPr>
                <w:rFonts w:ascii="Arabic Typesetting" w:hAnsi="Arabic Typesetting" w:cs="Arabic Typesetting" w:hint="cs"/>
                <w:b/>
                <w:sz w:val="28"/>
                <w:szCs w:val="28"/>
                <w:rtl/>
                <w:lang w:bidi="ar-EG"/>
              </w:rPr>
              <w:t>تحسنت جودة الإجراءات الشكلية للفحص</w:t>
            </w:r>
          </w:p>
        </w:tc>
      </w:tr>
      <w:tr w:rsidR="0040724F" w:rsidRPr="00211D55" w:rsidTr="007A7336">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40724F" w:rsidRPr="007A7336" w:rsidRDefault="0040724F" w:rsidP="007A7336">
            <w:pPr>
              <w:bidi/>
              <w:spacing w:line="280" w:lineRule="exact"/>
              <w:rPr>
                <w:rFonts w:ascii="Arabic Typesetting" w:hAnsi="Arabic Typesetting" w:cs="Arabic Typesetting"/>
                <w:b/>
                <w:sz w:val="28"/>
                <w:szCs w:val="28"/>
                <w:rtl/>
                <w:lang w:bidi="ar-EG"/>
              </w:rPr>
            </w:pPr>
            <w:r w:rsidRPr="007A7336">
              <w:rPr>
                <w:rFonts w:ascii="Arabic Typesetting" w:hAnsi="Arabic Typesetting" w:cs="Arabic Typesetting"/>
                <w:b/>
                <w:sz w:val="28"/>
                <w:szCs w:val="28"/>
                <w:rtl/>
                <w:lang w:bidi="ar-EG"/>
              </w:rPr>
              <w:t>الكشف العمدي أو غير المقصود عن معلومات سرية</w:t>
            </w:r>
          </w:p>
        </w:tc>
        <w:tc>
          <w:tcPr>
            <w:tcW w:w="2200" w:type="dxa"/>
            <w:tcBorders>
              <w:bottom w:val="single" w:sz="4" w:space="0" w:color="auto"/>
            </w:tcBorders>
            <w:shd w:val="clear" w:color="auto" w:fill="auto"/>
            <w:tcMar>
              <w:top w:w="113" w:type="dxa"/>
              <w:bottom w:w="113" w:type="dxa"/>
            </w:tcMar>
          </w:tcPr>
          <w:p w:rsidR="0040724F" w:rsidRPr="007A7336" w:rsidRDefault="0040724F" w:rsidP="007A7336">
            <w:pPr>
              <w:bidi/>
              <w:spacing w:line="280" w:lineRule="exact"/>
              <w:rPr>
                <w:rFonts w:ascii="Arabic Typesetting" w:hAnsi="Arabic Typesetting" w:cs="Arabic Typesetting"/>
                <w:b/>
                <w:sz w:val="28"/>
                <w:szCs w:val="28"/>
                <w:rtl/>
                <w:lang w:bidi="ar-EG"/>
              </w:rPr>
            </w:pPr>
            <w:r w:rsidRPr="007A7336">
              <w:rPr>
                <w:rFonts w:ascii="Arabic Typesetting" w:hAnsi="Arabic Typesetting" w:cs="Arabic Typesetting"/>
                <w:b/>
                <w:sz w:val="28"/>
                <w:szCs w:val="28"/>
                <w:rtl/>
                <w:lang w:bidi="ar-EG"/>
              </w:rPr>
              <w:t>استمرار برنامج التوعية للموظفين المعنيين: مواصلة تنفيذ ضوابط متطورة في البيئة المادية والإلكترونية</w:t>
            </w:r>
            <w:r w:rsidRPr="007A7336">
              <w:rPr>
                <w:rFonts w:ascii="Arabic Typesetting" w:hAnsi="Arabic Typesetting" w:cs="Arabic Typesetting" w:hint="cs"/>
                <w:b/>
                <w:sz w:val="28"/>
                <w:szCs w:val="28"/>
                <w:rtl/>
                <w:lang w:bidi="ar-EG"/>
              </w:rPr>
              <w:t>؛</w:t>
            </w:r>
            <w:r w:rsidRPr="007A7336">
              <w:rPr>
                <w:rFonts w:ascii="Arabic Typesetting" w:hAnsi="Arabic Typesetting" w:cs="Arabic Typesetting"/>
                <w:b/>
                <w:sz w:val="28"/>
                <w:szCs w:val="28"/>
                <w:rtl/>
                <w:lang w:bidi="ar-EG"/>
              </w:rPr>
              <w:t xml:space="preserve"> ومواصلة تحسين المراقبة الاستراتيجية؛ والاحتفاظ بمستو</w:t>
            </w:r>
            <w:r w:rsidRPr="007A7336">
              <w:rPr>
                <w:rFonts w:ascii="Arabic Typesetting" w:hAnsi="Arabic Typesetting" w:cs="Arabic Typesetting" w:hint="cs"/>
                <w:b/>
                <w:sz w:val="28"/>
                <w:szCs w:val="28"/>
                <w:rtl/>
                <w:lang w:bidi="ar-EG"/>
              </w:rPr>
              <w:t>ى</w:t>
            </w:r>
            <w:r w:rsidRPr="007A7336">
              <w:rPr>
                <w:rFonts w:ascii="Arabic Typesetting" w:hAnsi="Arabic Typesetting" w:cs="Arabic Typesetting"/>
                <w:b/>
                <w:sz w:val="28"/>
                <w:szCs w:val="28"/>
                <w:rtl/>
                <w:lang w:bidi="ar-EG"/>
              </w:rPr>
              <w:t xml:space="preserve"> عال</w:t>
            </w:r>
            <w:r w:rsidRPr="007A7336">
              <w:rPr>
                <w:rFonts w:ascii="Arabic Typesetting" w:hAnsi="Arabic Typesetting" w:cs="Arabic Typesetting" w:hint="cs"/>
                <w:b/>
                <w:sz w:val="28"/>
                <w:szCs w:val="28"/>
                <w:rtl/>
                <w:lang w:bidi="ar-EG"/>
              </w:rPr>
              <w:t>ٍ</w:t>
            </w:r>
            <w:r w:rsidRPr="007A7336">
              <w:rPr>
                <w:rFonts w:ascii="Arabic Typesetting" w:hAnsi="Arabic Typesetting" w:cs="Arabic Typesetting"/>
                <w:b/>
                <w:sz w:val="28"/>
                <w:szCs w:val="28"/>
                <w:rtl/>
                <w:lang w:bidi="ar-EG"/>
              </w:rPr>
              <w:t xml:space="preserve"> من الرقابة مع مقدمي خدمة الترجمة الخارجيين</w:t>
            </w:r>
          </w:p>
        </w:tc>
        <w:tc>
          <w:tcPr>
            <w:tcW w:w="2310" w:type="dxa"/>
            <w:tcBorders>
              <w:bottom w:val="single" w:sz="4" w:space="0" w:color="auto"/>
            </w:tcBorders>
          </w:tcPr>
          <w:p w:rsidR="0040724F" w:rsidRPr="00211D55" w:rsidRDefault="003D0B72"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لم يؤثر هذا الخطر كثيرا على البرنامج. واستهلت التحضيرات اللازمة لوضع منصة محكمة وآمنة لأنظمة تكنولوجيا المعلومات الخاصة بمعاهدة البراءات بغية التخفيف من وطأة هذا الخطر.</w:t>
            </w:r>
          </w:p>
        </w:tc>
        <w:tc>
          <w:tcPr>
            <w:tcW w:w="2306" w:type="dxa"/>
            <w:tcBorders>
              <w:bottom w:val="single" w:sz="4" w:space="0" w:color="auto"/>
              <w:right w:val="single" w:sz="4" w:space="0" w:color="auto"/>
            </w:tcBorders>
          </w:tcPr>
          <w:p w:rsidR="0040724F" w:rsidRPr="00211D55" w:rsidRDefault="002F200B"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لم يؤثر هذا الخطر ولا تطوره </w:t>
            </w:r>
            <w:r>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في أداء البرنامج للفترة </w:t>
            </w:r>
            <w:r>
              <w:rPr>
                <w:rFonts w:ascii="Arabic Typesetting" w:hAnsi="Arabic Typesetting" w:cs="Arabic Typesetting" w:hint="cs"/>
                <w:b/>
                <w:sz w:val="28"/>
                <w:szCs w:val="28"/>
                <w:rtl/>
                <w:lang w:bidi="ar-EG"/>
              </w:rPr>
              <w:t>2014/15</w:t>
            </w:r>
            <w:r w:rsidRPr="00211D55">
              <w:rPr>
                <w:rFonts w:ascii="Arabic Typesetting" w:hAnsi="Arabic Typesetting" w:cs="Arabic Typesetting" w:hint="cs"/>
                <w:b/>
                <w:sz w:val="28"/>
                <w:szCs w:val="28"/>
                <w:rtl/>
                <w:lang w:bidi="ar-EG"/>
              </w:rPr>
              <w:t>.</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val="fr-CH"/>
        </w:rPr>
      </w:pPr>
      <w:r w:rsidRPr="00B264F9">
        <w:rPr>
          <w:rFonts w:ascii="Arabic Typesetting" w:hAnsi="Arabic Typesetting" w:cs="Arabic Typesetting" w:hint="cs"/>
          <w:sz w:val="34"/>
          <w:szCs w:val="34"/>
          <w:rtl/>
          <w:lang w:val="fr-CH"/>
        </w:rPr>
        <w:lastRenderedPageBreak/>
        <w:t>استخدام الموارد</w:t>
      </w:r>
    </w:p>
    <w:p w:rsidR="00B31868" w:rsidRPr="00252762" w:rsidRDefault="00774E37" w:rsidP="00252762">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val="en-CA" w:bidi="ar-LB"/>
        </w:rPr>
        <w:t>الميزانية والنفقات الفعلية (بحسب النتائج)</w:t>
      </w:r>
    </w:p>
    <w:p w:rsidR="00B31868" w:rsidRPr="00B31868" w:rsidRDefault="00B31868" w:rsidP="00086C3F">
      <w:pPr>
        <w:keepNext/>
        <w:bidi/>
        <w:spacing w:after="120" w:line="340" w:lineRule="exact"/>
        <w:jc w:val="center"/>
        <w:rPr>
          <w:rFonts w:ascii="Arabic Typesetting" w:hAnsi="Arabic Typesetting" w:cs="Arabic Typesetting"/>
          <w:i/>
          <w:iCs/>
          <w:sz w:val="34"/>
          <w:szCs w:val="34"/>
          <w:rtl/>
          <w:lang w:bidi="ar-EG"/>
        </w:rPr>
      </w:pPr>
      <w:r w:rsidRPr="00B3186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3D0B72" w:rsidRPr="00211D55" w:rsidTr="003633CE">
        <w:trPr>
          <w:cantSplit/>
          <w:trHeight w:val="620"/>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3D0B72" w:rsidRPr="00211D55" w:rsidRDefault="003D0B7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3D0B72" w:rsidRPr="00211D55" w:rsidRDefault="003D0B7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3D0B72" w:rsidRPr="00211D55" w:rsidRDefault="003D0B7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3D0B72" w:rsidRPr="00211D55" w:rsidRDefault="003D0B7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3D0B72" w:rsidRPr="00211D55" w:rsidTr="003633CE">
        <w:trPr>
          <w:cantSplit/>
          <w:trHeight w:val="432"/>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3D0B72" w:rsidRPr="00211D55" w:rsidRDefault="003D0B72" w:rsidP="00086C3F">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ھ1.2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A0719D" w:rsidP="00086C3F">
            <w:pPr>
              <w:keepNext/>
              <w:bidi/>
              <w:rPr>
                <w:rFonts w:ascii="Arabic Typesetting" w:hAnsi="Arabic Typesetting" w:cs="Arabic Typesetting"/>
                <w:sz w:val="28"/>
                <w:szCs w:val="28"/>
              </w:rPr>
            </w:pPr>
            <w:r>
              <w:rPr>
                <w:rFonts w:ascii="Arabic Typesetting" w:hAnsi="Arabic Typesetting" w:cs="Arabic Typesetting"/>
                <w:sz w:val="28"/>
                <w:szCs w:val="28"/>
                <w:rtl/>
              </w:rPr>
              <w:t>انتفاع متزايد بنظام معاهدة التعاون بشأن البراءات كسبيل للإيداع الدولي لطلبات البراءات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22,011</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20,004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18,575</w:t>
            </w:r>
          </w:p>
        </w:tc>
      </w:tr>
      <w:tr w:rsidR="003D0B72" w:rsidRPr="00211D55" w:rsidTr="003633CE">
        <w:trPr>
          <w:cantSplit/>
          <w:trHeight w:val="144"/>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3D0B72" w:rsidRPr="00211D55" w:rsidRDefault="003D0B72" w:rsidP="00086C3F">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ھ2.2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A0719D" w:rsidP="00086C3F">
            <w:pPr>
              <w:keepNext/>
              <w:bidi/>
              <w:rPr>
                <w:rFonts w:ascii="Arabic Typesetting" w:hAnsi="Arabic Typesetting" w:cs="Arabic Typesetting"/>
                <w:sz w:val="28"/>
                <w:szCs w:val="28"/>
              </w:rPr>
            </w:pPr>
            <w:r>
              <w:rPr>
                <w:rFonts w:ascii="Arabic Typesetting" w:hAnsi="Arabic Typesetting" w:cs="Arabic Typesetting"/>
                <w:sz w:val="28"/>
                <w:szCs w:val="28"/>
                <w:rtl/>
              </w:rPr>
              <w:t>تحسين نظام معاهدة التعاون بشأن البراءات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3,106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3,862</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4,004</w:t>
            </w:r>
          </w:p>
        </w:tc>
      </w:tr>
      <w:tr w:rsidR="003D0B72" w:rsidRPr="00211D55" w:rsidTr="003633CE">
        <w:trPr>
          <w:cantSplit/>
          <w:trHeight w:val="4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3D0B72" w:rsidRPr="00211D55" w:rsidRDefault="003D0B72" w:rsidP="00086C3F">
            <w:pPr>
              <w:keepNext/>
              <w:bidi/>
              <w:rPr>
                <w:rFonts w:ascii="Arabic Typesetting" w:hAnsi="Arabic Typesetting" w:cs="Arabic Typesetting"/>
                <w:sz w:val="28"/>
                <w:szCs w:val="28"/>
                <w:rtl/>
              </w:rPr>
            </w:pPr>
            <w:r w:rsidRPr="00211D55">
              <w:rPr>
                <w:rFonts w:ascii="Arabic Typesetting" w:hAnsi="Arabic Typesetting" w:cs="Arabic Typesetting"/>
                <w:sz w:val="28"/>
                <w:szCs w:val="28"/>
                <w:rtl/>
              </w:rPr>
              <w:t>ھ3.2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A0719D" w:rsidP="00086C3F">
            <w:pPr>
              <w:keepNext/>
              <w:bidi/>
              <w:rPr>
                <w:rFonts w:ascii="Arabic Typesetting" w:hAnsi="Arabic Typesetting" w:cs="Arabic Typesetting"/>
                <w:sz w:val="28"/>
                <w:szCs w:val="28"/>
              </w:rPr>
            </w:pPr>
            <w:r>
              <w:rPr>
                <w:rFonts w:ascii="Arabic Typesetting" w:hAnsi="Arabic Typesetting" w:cs="Arabic Typesetting"/>
                <w:sz w:val="28"/>
                <w:szCs w:val="28"/>
                <w:rtl/>
              </w:rPr>
              <w:t>تحسين الإنتاجية وجودة الخدمات في عمليات معاهدة التعاون بشأن البراءات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172,856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171,056</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163,181</w:t>
            </w:r>
          </w:p>
        </w:tc>
      </w:tr>
      <w:tr w:rsidR="003D0B72" w:rsidRPr="00211D55" w:rsidTr="003633CE">
        <w:trPr>
          <w:cantSplit/>
          <w:trHeight w:val="4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3D0B72" w:rsidRPr="00211D55" w:rsidRDefault="003D0B72" w:rsidP="00086C3F">
            <w:pPr>
              <w:keepNext/>
              <w:bidi/>
              <w:rPr>
                <w:rFonts w:ascii="Arabic Typesetting" w:hAnsi="Arabic Typesetting" w:cs="Arabic Typesetting"/>
                <w:sz w:val="28"/>
                <w:szCs w:val="28"/>
                <w:rtl/>
              </w:rPr>
            </w:pPr>
            <w:r w:rsidRPr="00211D55">
              <w:rPr>
                <w:rFonts w:ascii="Arabic Typesetting" w:hAnsi="Arabic Typesetting" w:cs="Arabic Typesetting"/>
                <w:sz w:val="28"/>
                <w:szCs w:val="28"/>
                <w:rtl/>
              </w:rPr>
              <w:t>ھ2.4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0432CA" w:rsidP="00086C3F">
            <w:pPr>
              <w:keepNext/>
              <w:bidi/>
              <w:rPr>
                <w:rFonts w:ascii="Arabic Typesetting" w:hAnsi="Arabic Typesetting" w:cs="Arabic Typesetting"/>
                <w:sz w:val="28"/>
                <w:szCs w:val="28"/>
              </w:rPr>
            </w:pPr>
            <w:r>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280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244</w:t>
            </w:r>
          </w:p>
        </w:tc>
      </w:tr>
      <w:tr w:rsidR="003D0B72" w:rsidRPr="00211D55" w:rsidTr="003633CE">
        <w:trPr>
          <w:cantSplit/>
          <w:trHeight w:val="4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3D0B72" w:rsidRPr="00211D55" w:rsidRDefault="003D0B72" w:rsidP="00086C3F">
            <w:pPr>
              <w:keepNext/>
              <w:bidi/>
              <w:rPr>
                <w:rFonts w:ascii="Arabic Typesetting" w:hAnsi="Arabic Typesetting" w:cs="Arabic Typesetting"/>
                <w:sz w:val="28"/>
                <w:szCs w:val="28"/>
                <w:rtl/>
              </w:rPr>
            </w:pPr>
            <w:r w:rsidRPr="00211D55">
              <w:rPr>
                <w:rFonts w:ascii="Arabic Typesetting" w:hAnsi="Arabic Typesetting" w:cs="Arabic Typesetting"/>
                <w:sz w:val="28"/>
                <w:szCs w:val="28"/>
                <w:rtl/>
              </w:rPr>
              <w:t>ه3.7</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bidi/>
              <w:rPr>
                <w:rFonts w:ascii="Arabic Typesetting" w:hAnsi="Arabic Typesetting" w:cs="Arabic Typesetting"/>
                <w:sz w:val="28"/>
                <w:szCs w:val="28"/>
                <w:rtl/>
              </w:rPr>
            </w:pPr>
            <w:r w:rsidRPr="00211D55">
              <w:rPr>
                <w:rFonts w:ascii="Arabic Typesetting" w:hAnsi="Arabic Typesetting" w:cs="Arabic Typesetting"/>
                <w:sz w:val="28"/>
                <w:szCs w:val="28"/>
                <w:rtl/>
              </w:rPr>
              <w:t>‏</w:t>
            </w:r>
            <w:r w:rsidR="00A0719D">
              <w:rPr>
                <w:rFonts w:ascii="Arabic Typesetting" w:hAnsi="Arabic Typesetting" w:cs="Arabic Typesetting"/>
                <w:sz w:val="28"/>
                <w:szCs w:val="28"/>
                <w:rtl/>
              </w:rPr>
              <w:t>تزايد مصداقية الويبو كمحفل لتحليل القضايا المطروحة في مجال الملكية الفكرية وسياسة المنافسة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hint="cs"/>
                <w:sz w:val="28"/>
                <w:szCs w:val="28"/>
                <w:rtl/>
              </w:rPr>
              <w:t>-</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153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D0B72" w:rsidRPr="00211D55" w:rsidRDefault="003D0B7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149</w:t>
            </w:r>
          </w:p>
        </w:tc>
      </w:tr>
      <w:tr w:rsidR="003D0B72" w:rsidRPr="00211D55" w:rsidTr="003633CE">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3D0B72" w:rsidRPr="00211D55" w:rsidRDefault="003D0B72" w:rsidP="00086C3F">
            <w:pPr>
              <w:keepNext/>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3D0B72" w:rsidRPr="00211D55" w:rsidRDefault="003D0B72" w:rsidP="00086C3F">
            <w:pPr>
              <w:keepNext/>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D0B72" w:rsidRPr="00211D55" w:rsidRDefault="003D0B72" w:rsidP="00086C3F">
            <w:pPr>
              <w:keepNext/>
              <w:rPr>
                <w:rFonts w:ascii="Arabic Typesetting" w:hAnsi="Arabic Typesetting" w:cs="Arabic Typesetting"/>
                <w:b/>
                <w:bCs/>
                <w:sz w:val="28"/>
                <w:szCs w:val="28"/>
              </w:rPr>
            </w:pPr>
            <w:r w:rsidRPr="00211D55">
              <w:rPr>
                <w:rFonts w:ascii="Arabic Typesetting" w:hAnsi="Arabic Typesetting" w:cs="Arabic Typesetting"/>
                <w:b/>
                <w:bCs/>
                <w:sz w:val="28"/>
                <w:szCs w:val="28"/>
              </w:rPr>
              <w:t>197,973</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D0B72" w:rsidRPr="00211D55" w:rsidRDefault="003D0B72" w:rsidP="00086C3F">
            <w:pPr>
              <w:keepNext/>
              <w:rPr>
                <w:rFonts w:ascii="Arabic Typesetting" w:hAnsi="Arabic Typesetting" w:cs="Arabic Typesetting"/>
                <w:b/>
                <w:bCs/>
                <w:sz w:val="28"/>
                <w:szCs w:val="28"/>
              </w:rPr>
            </w:pPr>
            <w:r w:rsidRPr="00211D55">
              <w:rPr>
                <w:rFonts w:ascii="Arabic Typesetting" w:hAnsi="Arabic Typesetting" w:cs="Arabic Typesetting"/>
                <w:b/>
                <w:bCs/>
                <w:sz w:val="28"/>
                <w:szCs w:val="28"/>
              </w:rPr>
              <w:t>195,354</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D0B72" w:rsidRPr="00211D55" w:rsidRDefault="003D0B72" w:rsidP="00086C3F">
            <w:pPr>
              <w:keepNext/>
              <w:rPr>
                <w:rFonts w:ascii="Arabic Typesetting" w:hAnsi="Arabic Typesetting" w:cs="Arabic Typesetting"/>
                <w:b/>
                <w:bCs/>
                <w:sz w:val="28"/>
                <w:szCs w:val="28"/>
              </w:rPr>
            </w:pPr>
            <w:r w:rsidRPr="00211D55">
              <w:rPr>
                <w:rFonts w:ascii="Arabic Typesetting" w:hAnsi="Arabic Typesetting" w:cs="Arabic Typesetting"/>
                <w:b/>
                <w:bCs/>
                <w:sz w:val="28"/>
                <w:szCs w:val="28"/>
              </w:rPr>
              <w:t>186,155</w:t>
            </w:r>
          </w:p>
        </w:tc>
      </w:tr>
    </w:tbl>
    <w:p w:rsidR="00252762" w:rsidRPr="00252762" w:rsidRDefault="00774E37" w:rsidP="00252762">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B31868" w:rsidRPr="00B31868" w:rsidRDefault="00B31868" w:rsidP="00252762">
      <w:pPr>
        <w:keepNext/>
        <w:bidi/>
        <w:spacing w:before="120" w:after="120" w:line="340" w:lineRule="exact"/>
        <w:jc w:val="center"/>
        <w:rPr>
          <w:rFonts w:ascii="Arabic Typesetting" w:hAnsi="Arabic Typesetting" w:cs="Arabic Typesetting"/>
          <w:i/>
          <w:iCs/>
          <w:sz w:val="34"/>
          <w:szCs w:val="34"/>
          <w:rtl/>
          <w:lang w:bidi="ar-EG"/>
        </w:rPr>
      </w:pPr>
      <w:r w:rsidRPr="00B3186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3D0B72" w:rsidRPr="00211D55" w:rsidTr="003D0B72">
        <w:trPr>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3D0B72" w:rsidRPr="00211D55" w:rsidRDefault="003D0B72" w:rsidP="00086C3F">
            <w:pPr>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D0B72" w:rsidRPr="00211D55" w:rsidRDefault="003D0B72"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D0B72" w:rsidRPr="00211D55" w:rsidRDefault="003D0B72"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D0B72" w:rsidRPr="00211D55" w:rsidRDefault="003D0B72" w:rsidP="00086C3F">
            <w:pPr>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D0B72" w:rsidRPr="00211D55" w:rsidRDefault="009E57D2" w:rsidP="00086C3F">
            <w:pPr>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3D0B72" w:rsidRPr="00211D55">
              <w:rPr>
                <w:rFonts w:ascii="Arabic Typesetting" w:hAnsi="Arabic Typesetting" w:cs="Arabic Typesetting"/>
                <w:b/>
                <w:bCs/>
                <w:i/>
                <w:iCs/>
                <w:sz w:val="28"/>
                <w:szCs w:val="28"/>
                <w:rtl/>
              </w:rPr>
              <w:t xml:space="preserve"> (%)</w:t>
            </w:r>
          </w:p>
        </w:tc>
      </w:tr>
      <w:tr w:rsidR="003D0B72" w:rsidRPr="00211D55" w:rsidTr="003D0B72">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3D0B72" w:rsidRPr="00211D55" w:rsidRDefault="003D0B7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129,325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127,513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121,781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96%</w:t>
            </w:r>
          </w:p>
        </w:tc>
      </w:tr>
      <w:tr w:rsidR="003D0B72" w:rsidRPr="00211D55" w:rsidTr="003D0B72">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3D0B72" w:rsidRPr="00211D55" w:rsidRDefault="003D0B7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68,648</w:t>
            </w:r>
          </w:p>
        </w:tc>
        <w:tc>
          <w:tcPr>
            <w:tcW w:w="970" w:type="pct"/>
            <w:tcBorders>
              <w:top w:val="nil"/>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67,841</w:t>
            </w:r>
          </w:p>
        </w:tc>
        <w:tc>
          <w:tcPr>
            <w:tcW w:w="970" w:type="pct"/>
            <w:tcBorders>
              <w:top w:val="nil"/>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64,374</w:t>
            </w:r>
          </w:p>
        </w:tc>
        <w:tc>
          <w:tcPr>
            <w:tcW w:w="970" w:type="pct"/>
            <w:tcBorders>
              <w:top w:val="nil"/>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95%</w:t>
            </w:r>
          </w:p>
        </w:tc>
      </w:tr>
      <w:tr w:rsidR="003D0B72" w:rsidRPr="00211D55" w:rsidTr="003D0B72">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3D0B72" w:rsidRPr="00211D55" w:rsidRDefault="003D0B72"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197,973</w:t>
            </w:r>
          </w:p>
        </w:tc>
        <w:tc>
          <w:tcPr>
            <w:tcW w:w="970" w:type="pct"/>
            <w:tcBorders>
              <w:top w:val="nil"/>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195,354</w:t>
            </w:r>
          </w:p>
        </w:tc>
        <w:tc>
          <w:tcPr>
            <w:tcW w:w="970" w:type="pct"/>
            <w:tcBorders>
              <w:top w:val="nil"/>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186,155</w:t>
            </w:r>
          </w:p>
        </w:tc>
        <w:tc>
          <w:tcPr>
            <w:tcW w:w="970" w:type="pct"/>
            <w:tcBorders>
              <w:top w:val="nil"/>
              <w:left w:val="single" w:sz="4" w:space="0" w:color="auto"/>
              <w:bottom w:val="single" w:sz="4" w:space="0" w:color="auto"/>
              <w:right w:val="single" w:sz="4" w:space="0" w:color="auto"/>
            </w:tcBorders>
            <w:shd w:val="clear" w:color="auto" w:fill="auto"/>
            <w:vAlign w:val="center"/>
          </w:tcPr>
          <w:p w:rsidR="003D0B72" w:rsidRPr="00211D55" w:rsidRDefault="003D0B7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95%</w:t>
            </w:r>
          </w:p>
        </w:tc>
      </w:tr>
    </w:tbl>
    <w:p w:rsidR="00B31868" w:rsidRPr="00211D55" w:rsidRDefault="003D0B72" w:rsidP="00086C3F">
      <w:pPr>
        <w:bidi/>
        <w:spacing w:before="240" w:after="120" w:line="300" w:lineRule="exact"/>
        <w:rPr>
          <w:rFonts w:ascii="Arabic Typesetting" w:hAnsi="Arabic Typesetting" w:cs="Arabic Typesetting"/>
          <w:i/>
          <w:iCs/>
          <w:sz w:val="28"/>
          <w:szCs w:val="28"/>
          <w:rtl/>
          <w:lang w:bidi="ar-EG"/>
        </w:rPr>
      </w:pPr>
      <w:r>
        <w:rPr>
          <w:rFonts w:ascii="Arabic Typesetting" w:hAnsi="Arabic Typesetting" w:cs="Arabic Typesetting" w:hint="cs"/>
          <w:sz w:val="34"/>
          <w:szCs w:val="34"/>
          <w:rtl/>
          <w:lang w:bidi="ar-EG"/>
        </w:rPr>
        <w:t>"</w:t>
      </w:r>
      <w:r w:rsidRPr="00211D55">
        <w:rPr>
          <w:rFonts w:ascii="Arabic Typesetting" w:hAnsi="Arabic Typesetting" w:cs="Arabic Typesetting"/>
          <w:i/>
          <w:iCs/>
          <w:sz w:val="28"/>
          <w:szCs w:val="28"/>
          <w:rtl/>
        </w:rPr>
        <w:t>ملحوظة:</w:t>
      </w:r>
      <w:r w:rsidR="00B31868" w:rsidRPr="00211D55">
        <w:rPr>
          <w:rFonts w:ascii="Arabic Typesetting" w:hAnsi="Arabic Typesetting" w:cs="Arabic Typesetting"/>
          <w:i/>
          <w:iCs/>
          <w:sz w:val="28"/>
          <w:szCs w:val="28"/>
          <w:rtl/>
        </w:rPr>
        <w:tab/>
        <w:t>ترد موارد مشروع</w:t>
      </w:r>
      <w:r w:rsidRPr="00211D55">
        <w:rPr>
          <w:rFonts w:ascii="Arabic Typesetting" w:hAnsi="Arabic Typesetting" w:cs="Arabic Typesetting"/>
          <w:i/>
          <w:iCs/>
          <w:sz w:val="28"/>
          <w:szCs w:val="28"/>
          <w:rtl/>
        </w:rPr>
        <w:t>َي</w:t>
      </w:r>
      <w:r w:rsidR="00B31868" w:rsidRPr="00211D55">
        <w:rPr>
          <w:rFonts w:ascii="Arabic Typesetting" w:hAnsi="Arabic Typesetting" w:cs="Arabic Typesetting"/>
          <w:i/>
          <w:iCs/>
          <w:sz w:val="28"/>
          <w:szCs w:val="28"/>
          <w:rtl/>
        </w:rPr>
        <w:t xml:space="preserve"> جدول أعمال التنمية </w:t>
      </w:r>
      <w:r w:rsidRPr="00211D55">
        <w:rPr>
          <w:rFonts w:ascii="Arabic Typesetting" w:hAnsi="Arabic Typesetting" w:cs="Arabic Typesetting"/>
          <w:i/>
          <w:iCs/>
          <w:sz w:val="28"/>
          <w:szCs w:val="28"/>
          <w:rtl/>
        </w:rPr>
        <w:t>"</w:t>
      </w:r>
      <w:r w:rsidR="00B31868" w:rsidRPr="00211D55">
        <w:rPr>
          <w:rFonts w:ascii="Arabic Typesetting" w:hAnsi="Arabic Typesetting" w:cs="Arabic Typesetting"/>
          <w:i/>
          <w:iCs/>
          <w:sz w:val="28"/>
          <w:szCs w:val="28"/>
          <w:rtl/>
        </w:rPr>
        <w:t>الملكية الفكرية ونقل التكنولوجيا</w:t>
      </w:r>
      <w:r w:rsidRPr="00211D55">
        <w:rPr>
          <w:rFonts w:ascii="Arabic Typesetting" w:hAnsi="Arabic Typesetting" w:cs="Arabic Typesetting"/>
          <w:i/>
          <w:iCs/>
          <w:sz w:val="28"/>
          <w:szCs w:val="28"/>
          <w:rtl/>
        </w:rPr>
        <w:t>"</w:t>
      </w:r>
      <w:r w:rsidR="00B31868" w:rsidRPr="00211D55">
        <w:rPr>
          <w:rFonts w:ascii="Arabic Typesetting" w:hAnsi="Arabic Typesetting" w:cs="Arabic Typesetting"/>
          <w:i/>
          <w:iCs/>
          <w:sz w:val="28"/>
          <w:szCs w:val="28"/>
          <w:rtl/>
        </w:rPr>
        <w:t xml:space="preserve"> بمبلغ 280 ألف فرنك سويسري و</w:t>
      </w:r>
      <w:r w:rsidRPr="00211D55">
        <w:rPr>
          <w:rFonts w:ascii="Arabic Typesetting" w:hAnsi="Arabic Typesetting" w:cs="Arabic Typesetting"/>
          <w:i/>
          <w:iCs/>
          <w:sz w:val="28"/>
          <w:szCs w:val="28"/>
          <w:rtl/>
        </w:rPr>
        <w:t>"</w:t>
      </w:r>
      <w:r w:rsidR="00B31868" w:rsidRPr="00211D55">
        <w:rPr>
          <w:rFonts w:ascii="Arabic Typesetting" w:hAnsi="Arabic Typesetting" w:cs="Arabic Typesetting"/>
          <w:i/>
          <w:iCs/>
          <w:sz w:val="28"/>
          <w:szCs w:val="28"/>
          <w:rtl/>
        </w:rPr>
        <w:t>المشروعات التعاونية المفتوحة</w:t>
      </w:r>
      <w:r w:rsidRPr="00211D55">
        <w:rPr>
          <w:rFonts w:ascii="Arabic Typesetting" w:hAnsi="Arabic Typesetting" w:cs="Arabic Typesetting"/>
          <w:i/>
          <w:iCs/>
          <w:sz w:val="28"/>
          <w:szCs w:val="28"/>
          <w:rtl/>
        </w:rPr>
        <w:t>"</w:t>
      </w:r>
      <w:r w:rsidR="00B31868" w:rsidRPr="00211D55">
        <w:rPr>
          <w:rFonts w:ascii="Arabic Typesetting" w:hAnsi="Arabic Typesetting" w:cs="Arabic Typesetting"/>
          <w:i/>
          <w:iCs/>
          <w:sz w:val="28"/>
          <w:szCs w:val="28"/>
          <w:rtl/>
        </w:rPr>
        <w:t xml:space="preserve"> بمبلغ </w:t>
      </w:r>
      <w:r w:rsidRPr="00211D55">
        <w:rPr>
          <w:rFonts w:ascii="Arabic Typesetting" w:hAnsi="Arabic Typesetting" w:cs="Arabic Typesetting"/>
          <w:i/>
          <w:iCs/>
          <w:sz w:val="28"/>
          <w:szCs w:val="28"/>
          <w:rtl/>
        </w:rPr>
        <w:t xml:space="preserve">153 </w:t>
      </w:r>
      <w:r w:rsidR="00B31868" w:rsidRPr="00211D55">
        <w:rPr>
          <w:rFonts w:ascii="Arabic Typesetting" w:hAnsi="Arabic Typesetting" w:cs="Arabic Typesetting"/>
          <w:i/>
          <w:iCs/>
          <w:sz w:val="28"/>
          <w:szCs w:val="28"/>
          <w:rtl/>
        </w:rPr>
        <w:t>ألف فرنك سويسري في النتيج</w:t>
      </w:r>
      <w:r w:rsidRPr="00211D55">
        <w:rPr>
          <w:rFonts w:ascii="Arabic Typesetting" w:hAnsi="Arabic Typesetting" w:cs="Arabic Typesetting"/>
          <w:i/>
          <w:iCs/>
          <w:sz w:val="28"/>
          <w:szCs w:val="28"/>
          <w:rtl/>
        </w:rPr>
        <w:t>تين</w:t>
      </w:r>
      <w:r w:rsidR="00B31868" w:rsidRPr="00211D55">
        <w:rPr>
          <w:rFonts w:ascii="Arabic Typesetting" w:hAnsi="Arabic Typesetting" w:cs="Arabic Typesetting"/>
          <w:i/>
          <w:iCs/>
          <w:sz w:val="28"/>
          <w:szCs w:val="28"/>
          <w:rtl/>
        </w:rPr>
        <w:t xml:space="preserve"> </w:t>
      </w:r>
      <w:r w:rsidRPr="00211D55">
        <w:rPr>
          <w:rFonts w:ascii="Arabic Typesetting" w:hAnsi="Arabic Typesetting" w:cs="Arabic Typesetting"/>
          <w:i/>
          <w:iCs/>
          <w:sz w:val="28"/>
          <w:szCs w:val="28"/>
          <w:rtl/>
        </w:rPr>
        <w:t xml:space="preserve">المرتقبتين </w:t>
      </w:r>
      <w:r w:rsidR="00B31868" w:rsidRPr="00211D55">
        <w:rPr>
          <w:rFonts w:ascii="Arabic Typesetting" w:hAnsi="Arabic Typesetting" w:cs="Arabic Typesetting"/>
          <w:i/>
          <w:iCs/>
          <w:sz w:val="28"/>
          <w:szCs w:val="28"/>
          <w:rtl/>
        </w:rPr>
        <w:t>ه2.4</w:t>
      </w:r>
      <w:r w:rsidRPr="00211D55">
        <w:rPr>
          <w:rFonts w:ascii="Arabic Typesetting" w:hAnsi="Arabic Typesetting" w:cs="Arabic Typesetting"/>
          <w:i/>
          <w:iCs/>
          <w:sz w:val="28"/>
          <w:szCs w:val="28"/>
          <w:rtl/>
        </w:rPr>
        <w:t xml:space="preserve"> </w:t>
      </w:r>
      <w:r w:rsidR="003633CE" w:rsidRPr="00211D55">
        <w:rPr>
          <w:rFonts w:ascii="Arabic Typesetting" w:hAnsi="Arabic Typesetting" w:cs="Arabic Typesetting"/>
          <w:i/>
          <w:iCs/>
          <w:sz w:val="28"/>
          <w:szCs w:val="28"/>
          <w:rtl/>
        </w:rPr>
        <w:t>وهـ</w:t>
      </w:r>
      <w:r w:rsidRPr="00211D55">
        <w:rPr>
          <w:rFonts w:ascii="Arabic Typesetting" w:hAnsi="Arabic Typesetting" w:cs="Arabic Typesetting"/>
          <w:i/>
          <w:iCs/>
          <w:sz w:val="28"/>
          <w:szCs w:val="28"/>
          <w:rtl/>
        </w:rPr>
        <w:t>7.3</w:t>
      </w:r>
      <w:r w:rsidR="00B31868" w:rsidRPr="00211D55">
        <w:rPr>
          <w:rFonts w:ascii="Arabic Typesetting" w:hAnsi="Arabic Typesetting" w:cs="Arabic Typesetting"/>
          <w:i/>
          <w:iCs/>
          <w:sz w:val="28"/>
          <w:szCs w:val="28"/>
          <w:rtl/>
        </w:rPr>
        <w:t xml:space="preserve">. </w:t>
      </w:r>
      <w:r w:rsidRPr="00211D55">
        <w:rPr>
          <w:rFonts w:ascii="Arabic Typesetting" w:hAnsi="Arabic Typesetting" w:cs="Arabic Typesetting"/>
          <w:i/>
          <w:iCs/>
          <w:sz w:val="28"/>
          <w:szCs w:val="28"/>
          <w:rtl/>
        </w:rPr>
        <w:t>واستُكمل المشروعان في عام 2015؛ و</w:t>
      </w:r>
      <w:r w:rsidR="00B31868" w:rsidRPr="00211D55">
        <w:rPr>
          <w:rFonts w:ascii="Arabic Typesetting" w:hAnsi="Arabic Typesetting" w:cs="Arabic Typesetting"/>
          <w:i/>
          <w:iCs/>
          <w:sz w:val="28"/>
          <w:szCs w:val="28"/>
          <w:rtl/>
        </w:rPr>
        <w:t xml:space="preserve">يرد تقرير التقدم الموضوعي </w:t>
      </w:r>
      <w:r w:rsidRPr="00211D55">
        <w:rPr>
          <w:rFonts w:ascii="Arabic Typesetting" w:hAnsi="Arabic Typesetting" w:cs="Arabic Typesetting"/>
          <w:i/>
          <w:iCs/>
          <w:sz w:val="28"/>
          <w:szCs w:val="28"/>
          <w:rtl/>
        </w:rPr>
        <w:t>الخاص بالمشروعين</w:t>
      </w:r>
      <w:r w:rsidR="00B31868" w:rsidRPr="00211D55">
        <w:rPr>
          <w:rFonts w:ascii="Arabic Typesetting" w:hAnsi="Arabic Typesetting" w:cs="Arabic Typesetting"/>
          <w:i/>
          <w:iCs/>
          <w:sz w:val="28"/>
          <w:szCs w:val="28"/>
          <w:rtl/>
        </w:rPr>
        <w:t xml:space="preserve"> </w:t>
      </w:r>
      <w:r w:rsidR="003633CE" w:rsidRPr="00211D55">
        <w:rPr>
          <w:rFonts w:ascii="Arabic Typesetting" w:hAnsi="Arabic Typesetting" w:cs="Arabic Typesetting"/>
          <w:i/>
          <w:iCs/>
          <w:sz w:val="28"/>
          <w:szCs w:val="28"/>
          <w:rtl/>
        </w:rPr>
        <w:t>في إطار</w:t>
      </w:r>
      <w:r w:rsidR="00B31868" w:rsidRPr="00211D55">
        <w:rPr>
          <w:rFonts w:ascii="Arabic Typesetting" w:hAnsi="Arabic Typesetting" w:cs="Arabic Typesetting"/>
          <w:i/>
          <w:iCs/>
          <w:sz w:val="28"/>
          <w:szCs w:val="28"/>
          <w:rtl/>
        </w:rPr>
        <w:t xml:space="preserve"> البرنامج 30.</w:t>
      </w:r>
      <w:r w:rsidRPr="00211D55">
        <w:rPr>
          <w:rFonts w:ascii="Arabic Typesetting" w:hAnsi="Arabic Typesetting" w:cs="Arabic Typesetting"/>
          <w:i/>
          <w:iCs/>
          <w:sz w:val="28"/>
          <w:szCs w:val="28"/>
          <w:rtl/>
        </w:rPr>
        <w:t>"</w:t>
      </w:r>
    </w:p>
    <w:p w:rsidR="00B31868" w:rsidRPr="00B31868" w:rsidRDefault="00B31868" w:rsidP="00086C3F">
      <w:pPr>
        <w:keepNext/>
        <w:bidi/>
        <w:spacing w:before="240" w:after="120" w:line="340" w:lineRule="exact"/>
        <w:rPr>
          <w:rFonts w:ascii="Arabic Typesetting" w:hAnsi="Arabic Typesetting" w:cs="Arabic Typesetting"/>
          <w:sz w:val="34"/>
          <w:szCs w:val="34"/>
          <w:u w:val="single"/>
          <w:rtl/>
          <w:lang w:bidi="ar-EG"/>
        </w:rPr>
      </w:pPr>
      <w:r w:rsidRPr="009E62B8">
        <w:rPr>
          <w:rFonts w:ascii="Arabic Typesetting" w:hAnsi="Arabic Typesetting" w:cs="Arabic Typesetting" w:hint="cs"/>
          <w:sz w:val="34"/>
          <w:szCs w:val="34"/>
          <w:rtl/>
          <w:lang w:bidi="ar-EG"/>
        </w:rPr>
        <w:lastRenderedPageBreak/>
        <w:t>ألف</w:t>
      </w:r>
      <w:r w:rsidRPr="009E62B8">
        <w:rPr>
          <w:rFonts w:ascii="Arabic Typesetting" w:hAnsi="Arabic Typesetting" w:cs="Arabic Typesetting"/>
          <w:sz w:val="34"/>
          <w:szCs w:val="34"/>
          <w:rtl/>
          <w:lang w:bidi="ar-EG"/>
        </w:rPr>
        <w:t>.</w:t>
      </w:r>
      <w:r w:rsidRPr="009E62B8">
        <w:rPr>
          <w:rFonts w:ascii="Arabic Typesetting" w:hAnsi="Arabic Typesetting" w:cs="Arabic Typesetting" w:hint="cs"/>
          <w:sz w:val="34"/>
          <w:szCs w:val="34"/>
          <w:rtl/>
          <w:lang w:bidi="ar-EG"/>
        </w:rPr>
        <w:tab/>
      </w:r>
      <w:r w:rsidR="003D0B72" w:rsidRPr="003D0B72">
        <w:rPr>
          <w:rFonts w:ascii="Arabic Typesetting" w:hAnsi="Arabic Typesetting" w:cs="Arabic Typesetting"/>
          <w:sz w:val="34"/>
          <w:szCs w:val="34"/>
          <w:u w:val="single"/>
          <w:rtl/>
          <w:lang w:bidi="ar-EG"/>
        </w:rPr>
        <w:t xml:space="preserve">الميزانية النهائية بعد التحويلات </w:t>
      </w:r>
      <w:r w:rsidR="00507DE2">
        <w:rPr>
          <w:rFonts w:ascii="Arabic Typesetting" w:hAnsi="Arabic Typesetting" w:cs="Arabic Typesetting"/>
          <w:sz w:val="34"/>
          <w:szCs w:val="34"/>
          <w:u w:val="single"/>
          <w:rtl/>
          <w:lang w:bidi="ar-EG"/>
        </w:rPr>
        <w:t>2014/15</w:t>
      </w:r>
    </w:p>
    <w:p w:rsidR="005F6A0E" w:rsidRDefault="00B31868" w:rsidP="009A3712">
      <w:pPr>
        <w:keepNext/>
        <w:keepLines/>
        <w:numPr>
          <w:ilvl w:val="0"/>
          <w:numId w:val="6"/>
        </w:numPr>
        <w:bidi/>
        <w:spacing w:after="120" w:line="340" w:lineRule="exact"/>
        <w:ind w:left="0" w:firstLine="0"/>
        <w:rPr>
          <w:rFonts w:ascii="Arabic Typesetting" w:hAnsi="Arabic Typesetting" w:cs="Arabic Typesetting"/>
          <w:sz w:val="34"/>
          <w:szCs w:val="34"/>
        </w:rPr>
      </w:pPr>
      <w:r w:rsidRPr="003D0B72">
        <w:rPr>
          <w:rFonts w:ascii="Arabic Typesetting" w:hAnsi="Arabic Typesetting" w:cs="Arabic Typesetting" w:hint="cs"/>
          <w:sz w:val="34"/>
          <w:szCs w:val="34"/>
          <w:rtl/>
        </w:rPr>
        <w:t>يعزى الانخفاض الإجمالي في الميزانية</w:t>
      </w:r>
      <w:r w:rsidR="003D0B72" w:rsidRPr="003D0B72">
        <w:rPr>
          <w:rFonts w:ascii="Arabic Typesetting" w:hAnsi="Arabic Typesetting" w:cs="Arabic Typesetting" w:hint="cs"/>
          <w:sz w:val="34"/>
          <w:szCs w:val="34"/>
          <w:rtl/>
        </w:rPr>
        <w:t xml:space="preserve"> النهائية</w:t>
      </w:r>
      <w:r w:rsidRPr="003D0B72">
        <w:rPr>
          <w:rFonts w:ascii="Arabic Typesetting" w:hAnsi="Arabic Typesetting" w:cs="Arabic Typesetting" w:hint="cs"/>
          <w:sz w:val="34"/>
          <w:szCs w:val="34"/>
          <w:rtl/>
        </w:rPr>
        <w:t xml:space="preserve"> بعد التحويلات </w:t>
      </w:r>
      <w:r w:rsidR="003D0B72" w:rsidRPr="003D0B72">
        <w:rPr>
          <w:rFonts w:ascii="Arabic Typesetting" w:hAnsi="Arabic Typesetting" w:cs="Arabic Typesetting" w:hint="cs"/>
          <w:sz w:val="34"/>
          <w:szCs w:val="34"/>
          <w:rtl/>
        </w:rPr>
        <w:t xml:space="preserve">أساساً إلى </w:t>
      </w:r>
      <w:r w:rsidRPr="003D0B72">
        <w:rPr>
          <w:rFonts w:ascii="Arabic Typesetting" w:hAnsi="Arabic Typesetting" w:cs="Arabic Typesetting" w:hint="cs"/>
          <w:sz w:val="34"/>
          <w:szCs w:val="34"/>
          <w:rtl/>
        </w:rPr>
        <w:t xml:space="preserve">ارتفاع </w:t>
      </w:r>
      <w:r w:rsidR="003D0B72" w:rsidRPr="003D0B72">
        <w:rPr>
          <w:rFonts w:ascii="Arabic Typesetting" w:hAnsi="Arabic Typesetting" w:cs="Arabic Typesetting" w:hint="cs"/>
          <w:sz w:val="34"/>
          <w:szCs w:val="34"/>
          <w:rtl/>
        </w:rPr>
        <w:t>ال</w:t>
      </w:r>
      <w:r w:rsidR="003D0B72">
        <w:rPr>
          <w:rFonts w:ascii="Arabic Typesetting" w:hAnsi="Arabic Typesetting" w:cs="Arabic Typesetting" w:hint="cs"/>
          <w:sz w:val="34"/>
          <w:szCs w:val="34"/>
          <w:rtl/>
        </w:rPr>
        <w:t>إ</w:t>
      </w:r>
      <w:r w:rsidR="003D0B72" w:rsidRPr="003D0B72">
        <w:rPr>
          <w:rFonts w:ascii="Arabic Typesetting" w:hAnsi="Arabic Typesetting" w:cs="Arabic Typesetting" w:hint="cs"/>
          <w:sz w:val="34"/>
          <w:szCs w:val="34"/>
          <w:rtl/>
        </w:rPr>
        <w:t xml:space="preserve">نتاجية </w:t>
      </w:r>
      <w:r w:rsidRPr="003D0B72">
        <w:rPr>
          <w:rFonts w:ascii="Arabic Typesetting" w:hAnsi="Arabic Typesetting" w:cs="Arabic Typesetting" w:hint="cs"/>
          <w:sz w:val="34"/>
          <w:szCs w:val="34"/>
          <w:rtl/>
        </w:rPr>
        <w:t>فيما يخص معالجة الطلبات الدولية</w:t>
      </w:r>
      <w:r w:rsidR="005F6A0E">
        <w:rPr>
          <w:rFonts w:ascii="Arabic Typesetting" w:hAnsi="Arabic Typesetting" w:cs="Arabic Typesetting" w:hint="cs"/>
          <w:sz w:val="34"/>
          <w:szCs w:val="34"/>
          <w:rtl/>
        </w:rPr>
        <w:t>. وفضلاً عن ذلك، أسهم تحسين نظم سير العمل ومعالجة الالتزامات المالية الخاصة بخدمات الترجمة في تعزيز فعالية استخدام الموارد.</w:t>
      </w:r>
    </w:p>
    <w:p w:rsidR="005F6A0E" w:rsidRDefault="005F6A0E" w:rsidP="009A3712">
      <w:pPr>
        <w:keepNext/>
        <w:numPr>
          <w:ilvl w:val="0"/>
          <w:numId w:val="6"/>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وقد عوض هذا الانخفاض الإجمالي بزيادة صافية في الميزانية المخصصة لدعم مواصلة تحسين الأنظمة المعلوماتية لمعاهدة</w:t>
      </w:r>
      <w:r w:rsidR="003633CE">
        <w:rPr>
          <w:rFonts w:ascii="Arabic Typesetting" w:hAnsi="Arabic Typesetting" w:cs="Arabic Typesetting" w:hint="eastAsia"/>
          <w:sz w:val="34"/>
          <w:szCs w:val="34"/>
          <w:rtl/>
        </w:rPr>
        <w:t> </w:t>
      </w:r>
      <w:r>
        <w:rPr>
          <w:rFonts w:ascii="Arabic Typesetting" w:hAnsi="Arabic Typesetting" w:cs="Arabic Typesetting" w:hint="cs"/>
          <w:sz w:val="34"/>
          <w:szCs w:val="34"/>
          <w:rtl/>
        </w:rPr>
        <w:t>البراءات.</w:t>
      </w:r>
    </w:p>
    <w:p w:rsidR="00B31868" w:rsidRPr="00B31868" w:rsidRDefault="00B31868" w:rsidP="009A3712">
      <w:pPr>
        <w:keepNext/>
        <w:numPr>
          <w:ilvl w:val="0"/>
          <w:numId w:val="6"/>
        </w:numPr>
        <w:bidi/>
        <w:spacing w:after="120" w:line="340" w:lineRule="exact"/>
        <w:ind w:left="0" w:firstLine="0"/>
        <w:rPr>
          <w:rFonts w:ascii="Arabic Typesetting" w:hAnsi="Arabic Typesetting" w:cs="Arabic Typesetting"/>
          <w:sz w:val="34"/>
          <w:szCs w:val="34"/>
          <w:rtl/>
        </w:rPr>
      </w:pPr>
      <w:r w:rsidRPr="00B31868">
        <w:rPr>
          <w:rFonts w:ascii="Arabic Typesetting" w:hAnsi="Arabic Typesetting" w:cs="Arabic Typesetting" w:hint="cs"/>
          <w:sz w:val="34"/>
          <w:szCs w:val="34"/>
          <w:rtl/>
        </w:rPr>
        <w:t>وتعزى التسويات بين النتائج في الميزانية</w:t>
      </w:r>
      <w:r w:rsidR="005F6A0E">
        <w:rPr>
          <w:rFonts w:ascii="Arabic Typesetting" w:hAnsi="Arabic Typesetting" w:cs="Arabic Typesetting" w:hint="cs"/>
          <w:sz w:val="34"/>
          <w:szCs w:val="34"/>
          <w:rtl/>
        </w:rPr>
        <w:t xml:space="preserve"> النهائية</w:t>
      </w:r>
      <w:r w:rsidRPr="00B31868">
        <w:rPr>
          <w:rFonts w:ascii="Arabic Typesetting" w:hAnsi="Arabic Typesetting" w:cs="Arabic Typesetting" w:hint="cs"/>
          <w:sz w:val="34"/>
          <w:szCs w:val="34"/>
          <w:rtl/>
        </w:rPr>
        <w:t xml:space="preserve"> بعد التحويلات </w:t>
      </w:r>
      <w:r w:rsidR="005F6A0E">
        <w:rPr>
          <w:rFonts w:ascii="Arabic Typesetting" w:hAnsi="Arabic Typesetting" w:cs="Arabic Typesetting" w:hint="cs"/>
          <w:sz w:val="34"/>
          <w:szCs w:val="34"/>
          <w:rtl/>
        </w:rPr>
        <w:t>أساساً</w:t>
      </w:r>
      <w:r w:rsidRPr="00B31868">
        <w:rPr>
          <w:rFonts w:ascii="Arabic Typesetting" w:hAnsi="Arabic Typesetting" w:cs="Arabic Typesetting" w:hint="cs"/>
          <w:sz w:val="34"/>
          <w:szCs w:val="34"/>
          <w:rtl/>
        </w:rPr>
        <w:t xml:space="preserve"> إلى إعادة تخصيص موارد الموظفين.</w:t>
      </w:r>
    </w:p>
    <w:p w:rsidR="00B31868" w:rsidRPr="00B31868" w:rsidRDefault="00B31868" w:rsidP="00086C3F">
      <w:pPr>
        <w:keepNext/>
        <w:bidi/>
        <w:spacing w:after="120" w:line="340" w:lineRule="exact"/>
        <w:rPr>
          <w:rFonts w:ascii="Arabic Typesetting" w:hAnsi="Arabic Typesetting" w:cs="Arabic Typesetting"/>
          <w:sz w:val="34"/>
          <w:szCs w:val="34"/>
          <w:u w:val="single"/>
          <w:rtl/>
          <w:lang w:bidi="ar-EG"/>
        </w:rPr>
      </w:pPr>
      <w:r w:rsidRPr="00507DE2">
        <w:rPr>
          <w:rFonts w:ascii="Arabic Typesetting" w:hAnsi="Arabic Typesetting" w:cs="Arabic Typesetting" w:hint="cs"/>
          <w:sz w:val="34"/>
          <w:szCs w:val="34"/>
          <w:rtl/>
          <w:lang w:bidi="ar-EG"/>
        </w:rPr>
        <w:t>باء.</w:t>
      </w:r>
      <w:r w:rsidRPr="00507DE2">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B31868" w:rsidRDefault="005F6A0E" w:rsidP="009A3712">
      <w:pPr>
        <w:keepNext/>
        <w:numPr>
          <w:ilvl w:val="0"/>
          <w:numId w:val="6"/>
        </w:numPr>
        <w:bidi/>
        <w:spacing w:after="120" w:line="340" w:lineRule="exact"/>
        <w:ind w:left="0" w:firstLine="0"/>
        <w:rPr>
          <w:rFonts w:ascii="Arabic Typesetting" w:hAnsi="Arabic Typesetting" w:cs="Arabic Typesetting"/>
          <w:sz w:val="34"/>
          <w:szCs w:val="34"/>
          <w:rtl/>
        </w:rPr>
      </w:pPr>
      <w:r>
        <w:rPr>
          <w:rFonts w:ascii="Arabic Typesetting" w:hAnsi="Arabic Typesetting" w:cs="Arabic Typesetting" w:hint="cs"/>
          <w:sz w:val="34"/>
          <w:szCs w:val="34"/>
          <w:rtl/>
        </w:rPr>
        <w:t>بلغ</w:t>
      </w:r>
      <w:r w:rsidR="009B25F8">
        <w:rPr>
          <w:rFonts w:ascii="Arabic Typesetting" w:hAnsi="Arabic Typesetting" w:cs="Arabic Typesetting" w:hint="cs"/>
          <w:sz w:val="34"/>
          <w:szCs w:val="34"/>
          <w:rtl/>
        </w:rPr>
        <w:t>ت النسبة الإجمالية</w:t>
      </w:r>
      <w:r>
        <w:rPr>
          <w:rFonts w:ascii="Arabic Typesetting" w:hAnsi="Arabic Typesetting" w:cs="Arabic Typesetting" w:hint="cs"/>
          <w:sz w:val="34"/>
          <w:szCs w:val="34"/>
          <w:rtl/>
        </w:rPr>
        <w:t xml:space="preserve"> </w:t>
      </w:r>
      <w:r w:rsidR="009B25F8">
        <w:rPr>
          <w:rFonts w:ascii="Arabic Typesetting" w:hAnsi="Arabic Typesetting" w:cs="Arabic Typesetting" w:hint="cs"/>
          <w:sz w:val="34"/>
          <w:szCs w:val="34"/>
          <w:rtl/>
        </w:rPr>
        <w:t>لا</w:t>
      </w:r>
      <w:r w:rsidR="00B61F74">
        <w:rPr>
          <w:rFonts w:ascii="Arabic Typesetting" w:hAnsi="Arabic Typesetting" w:cs="Arabic Typesetting" w:hint="cs"/>
          <w:sz w:val="34"/>
          <w:szCs w:val="34"/>
          <w:rtl/>
        </w:rPr>
        <w:t xml:space="preserve">ستخدام </w:t>
      </w:r>
      <w:r>
        <w:rPr>
          <w:rFonts w:ascii="Arabic Typesetting" w:hAnsi="Arabic Typesetting" w:cs="Arabic Typesetting" w:hint="cs"/>
          <w:sz w:val="34"/>
          <w:szCs w:val="34"/>
          <w:rtl/>
        </w:rPr>
        <w:t xml:space="preserve">الميزانية للثنائية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95 بالمئة بسبب العامل التالي:</w:t>
      </w:r>
    </w:p>
    <w:p w:rsidR="00B31868" w:rsidRPr="00B31868" w:rsidRDefault="005F6A0E" w:rsidP="00086C3F">
      <w:pPr>
        <w:bidi/>
        <w:spacing w:after="120" w:line="340" w:lineRule="exact"/>
        <w:ind w:left="1134" w:hanging="567"/>
        <w:rPr>
          <w:rFonts w:ascii="Arabic Typesetting" w:hAnsi="Arabic Typesetting" w:cs="Arabic Typesetting"/>
          <w:sz w:val="34"/>
          <w:szCs w:val="34"/>
          <w:rtl/>
        </w:rPr>
      </w:pPr>
      <w:r>
        <w:rPr>
          <w:rFonts w:ascii="Arabic Typesetting" w:hAnsi="Arabic Typesetting" w:cs="Arabic Typesetting" w:hint="cs"/>
          <w:sz w:val="34"/>
          <w:szCs w:val="34"/>
          <w:rtl/>
        </w:rPr>
        <w:t>-</w:t>
      </w:r>
      <w:r>
        <w:rPr>
          <w:rFonts w:ascii="Arabic Typesetting" w:hAnsi="Arabic Typesetting" w:cs="Arabic Typesetting" w:hint="cs"/>
          <w:sz w:val="34"/>
          <w:szCs w:val="34"/>
          <w:rtl/>
        </w:rPr>
        <w:tab/>
        <w:t xml:space="preserve">ارتفاع الإنتاجية فيما يخص معالجة الطلبات الدولية على مدار الثنائية وانخفاض تكاليف الترجمة ما حقق مكاسب من حيث الفعالية في قطاع أعمال معاهدة البراءات؛ والتنفيذ الجاري لبعض </w:t>
      </w:r>
      <w:r w:rsidR="00FB2BCA">
        <w:rPr>
          <w:rFonts w:ascii="Arabic Typesetting" w:hAnsi="Arabic Typesetting" w:cs="Arabic Typesetting" w:hint="cs"/>
          <w:sz w:val="34"/>
          <w:szCs w:val="34"/>
          <w:rtl/>
        </w:rPr>
        <w:t>مشروعات</w:t>
      </w:r>
      <w:r>
        <w:rPr>
          <w:rFonts w:ascii="Arabic Typesetting" w:hAnsi="Arabic Typesetting" w:cs="Arabic Typesetting" w:hint="cs"/>
          <w:sz w:val="34"/>
          <w:szCs w:val="34"/>
          <w:rtl/>
        </w:rPr>
        <w:t xml:space="preserve"> نظم المعلومات الخاصة بمعاهدة البراءات </w:t>
      </w:r>
      <w:r w:rsidR="003633CE">
        <w:rPr>
          <w:rFonts w:ascii="Arabic Typesetting" w:hAnsi="Arabic Typesetting" w:cs="Arabic Typesetting" w:hint="cs"/>
          <w:sz w:val="34"/>
          <w:szCs w:val="34"/>
          <w:rtl/>
        </w:rPr>
        <w:t>والتي</w:t>
      </w:r>
      <w:r>
        <w:rPr>
          <w:rFonts w:ascii="Arabic Typesetting" w:hAnsi="Arabic Typesetting" w:cs="Arabic Typesetting" w:hint="cs"/>
          <w:sz w:val="34"/>
          <w:szCs w:val="34"/>
          <w:rtl/>
        </w:rPr>
        <w:t xml:space="preserve"> استُهل</w:t>
      </w:r>
      <w:r w:rsidR="003633CE">
        <w:rPr>
          <w:rFonts w:ascii="Arabic Typesetting" w:hAnsi="Arabic Typesetting" w:cs="Arabic Typesetting" w:hint="cs"/>
          <w:sz w:val="34"/>
          <w:szCs w:val="34"/>
          <w:rtl/>
        </w:rPr>
        <w:t>ت</w:t>
      </w:r>
      <w:r>
        <w:rPr>
          <w:rFonts w:ascii="Arabic Typesetting" w:hAnsi="Arabic Typesetting" w:cs="Arabic Typesetting" w:hint="cs"/>
          <w:sz w:val="34"/>
          <w:szCs w:val="34"/>
          <w:rtl/>
        </w:rPr>
        <w:t xml:space="preserve"> ولكن لم يُستكمل في عام 2015 ويزمع مواصلته</w:t>
      </w:r>
      <w:r w:rsidR="003633CE">
        <w:rPr>
          <w:rFonts w:ascii="Arabic Typesetting" w:hAnsi="Arabic Typesetting" w:cs="Arabic Typesetting" w:hint="cs"/>
          <w:sz w:val="34"/>
          <w:szCs w:val="34"/>
          <w:rtl/>
        </w:rPr>
        <w:t>ا</w:t>
      </w:r>
      <w:r>
        <w:rPr>
          <w:rFonts w:ascii="Arabic Typesetting" w:hAnsi="Arabic Typesetting" w:cs="Arabic Typesetting" w:hint="cs"/>
          <w:sz w:val="34"/>
          <w:szCs w:val="34"/>
          <w:rtl/>
        </w:rPr>
        <w:t xml:space="preserve"> في الثنائية المقبلة.</w:t>
      </w:r>
    </w:p>
    <w:p w:rsidR="00B31868" w:rsidRDefault="00B31868" w:rsidP="00086C3F">
      <w:pPr>
        <w:pStyle w:val="Heading4AR"/>
        <w:rPr>
          <w:rtl/>
        </w:rPr>
      </w:pPr>
      <w:bookmarkStart w:id="34" w:name="_Toc450635405"/>
      <w:bookmarkStart w:id="35" w:name="_Toc455393370"/>
      <w:r w:rsidRPr="00B31868">
        <w:rPr>
          <w:rFonts w:hint="cs"/>
          <w:rtl/>
        </w:rPr>
        <w:lastRenderedPageBreak/>
        <w:t>مرفق البرنامج 5:</w:t>
      </w:r>
      <w:r w:rsidRPr="00B31868">
        <w:rPr>
          <w:rFonts w:hint="cs"/>
          <w:rtl/>
        </w:rPr>
        <w:tab/>
      </w:r>
      <w:r w:rsidRPr="00B31868">
        <w:rPr>
          <w:rtl/>
        </w:rPr>
        <w:t>مؤشرات عمليات معاهدة التعاون بشأن البراءات</w:t>
      </w:r>
      <w:bookmarkEnd w:id="34"/>
      <w:bookmarkEnd w:id="35"/>
    </w:p>
    <w:p w:rsidR="00F37899" w:rsidRPr="00F37899" w:rsidRDefault="00F37899" w:rsidP="00F37899">
      <w:pPr>
        <w:bidi/>
        <w:spacing w:after="120" w:line="340" w:lineRule="exact"/>
        <w:rPr>
          <w:rFonts w:ascii="Arabic Typesetting" w:hAnsi="Arabic Typesetting" w:cs="Arabic Typesetting"/>
          <w:sz w:val="34"/>
          <w:szCs w:val="34"/>
          <w:rtl/>
          <w:lang w:val="en-GB"/>
        </w:rPr>
      </w:pPr>
      <w:r w:rsidRPr="00F37899">
        <w:rPr>
          <w:rFonts w:ascii="Arabic Typesetting" w:hAnsi="Arabic Typesetting" w:cs="Arabic Typesetting"/>
          <w:sz w:val="34"/>
          <w:szCs w:val="34"/>
          <w:rtl/>
          <w:lang w:val="en-GB"/>
        </w:rPr>
        <w:t>مؤشرات الأداء للنتيجة المرتقبة</w:t>
      </w:r>
    </w:p>
    <w:p w:rsidR="00F37899" w:rsidRPr="00F37899" w:rsidRDefault="00F37899" w:rsidP="00F37899">
      <w:pPr>
        <w:bidi/>
        <w:spacing w:after="120" w:line="340" w:lineRule="exact"/>
        <w:rPr>
          <w:rFonts w:ascii="Arabic Typesetting" w:hAnsi="Arabic Typesetting" w:cs="Arabic Typesetting"/>
          <w:sz w:val="34"/>
          <w:szCs w:val="34"/>
          <w:rtl/>
          <w:lang w:val="en-GB"/>
        </w:rPr>
      </w:pPr>
      <w:r w:rsidRPr="00F37899">
        <w:rPr>
          <w:rFonts w:ascii="Arabic Typesetting" w:hAnsi="Arabic Typesetting" w:cs="Arabic Typesetting"/>
          <w:sz w:val="34"/>
          <w:szCs w:val="34"/>
          <w:rtl/>
          <w:lang w:val="en-GB"/>
        </w:rPr>
        <w:t>"</w:t>
      </w:r>
      <w:r w:rsidR="00A0719D">
        <w:rPr>
          <w:rFonts w:ascii="Arabic Typesetting" w:hAnsi="Arabic Typesetting" w:cs="Arabic Typesetting"/>
          <w:sz w:val="34"/>
          <w:szCs w:val="34"/>
          <w:rtl/>
          <w:lang w:val="en-GB"/>
        </w:rPr>
        <w:t>تحسين الإنتاجية وجودة الخدمات في عمليات معاهدة التعاون بشأن البراءات</w:t>
      </w:r>
      <w:r w:rsidRPr="00F37899">
        <w:rPr>
          <w:rFonts w:ascii="Arabic Typesetting" w:hAnsi="Arabic Typesetting" w:cs="Arabic Typesetting"/>
          <w:sz w:val="34"/>
          <w:szCs w:val="34"/>
          <w:rtl/>
          <w:lang w:val="en-GB"/>
        </w:rPr>
        <w:t>"</w:t>
      </w:r>
    </w:p>
    <w:p w:rsidR="00F37899" w:rsidRPr="00F37899" w:rsidRDefault="00F37899" w:rsidP="00F37899">
      <w:pPr>
        <w:keepNext/>
        <w:tabs>
          <w:tab w:val="left" w:pos="2916"/>
        </w:tabs>
        <w:bidi/>
        <w:spacing w:after="120" w:line="340" w:lineRule="exact"/>
        <w:rPr>
          <w:rFonts w:ascii="Arabic Typesetting" w:hAnsi="Arabic Typesetting" w:cs="Arabic Typesetting"/>
          <w:b/>
          <w:bCs/>
          <w:sz w:val="34"/>
          <w:szCs w:val="34"/>
          <w:rtl/>
          <w:lang w:val="en-GB"/>
        </w:rPr>
      </w:pPr>
      <w:r w:rsidRPr="00F37899">
        <w:rPr>
          <w:rFonts w:ascii="Arabic Typesetting" w:hAnsi="Arabic Typesetting" w:cs="Arabic Typesetting"/>
          <w:b/>
          <w:bCs/>
          <w:sz w:val="34"/>
          <w:szCs w:val="34"/>
          <w:rtl/>
          <w:lang w:val="en-GB"/>
        </w:rPr>
        <w:t>معلومات عامة</w:t>
      </w:r>
    </w:p>
    <w:p w:rsidR="00F37899" w:rsidRPr="00F37899" w:rsidRDefault="00F37899" w:rsidP="009A3712">
      <w:pPr>
        <w:numPr>
          <w:ilvl w:val="0"/>
          <w:numId w:val="29"/>
        </w:numPr>
        <w:tabs>
          <w:tab w:val="clear" w:pos="567"/>
        </w:tabs>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من المهم معرفة تطورات الأمور التالية، كمعلومات أساسية عن مؤشرات أداء النتيجة المرتقبة "</w:t>
      </w:r>
      <w:r w:rsidR="00A0719D">
        <w:rPr>
          <w:rFonts w:ascii="Arabic Typesetting" w:hAnsi="Arabic Typesetting" w:cs="Arabic Typesetting"/>
          <w:sz w:val="34"/>
          <w:szCs w:val="34"/>
          <w:rtl/>
          <w:lang w:val="en-GB"/>
        </w:rPr>
        <w:t>تحسين الإنتاجية وجودة الخدمات في عمليات معاهدة التعاون بشأن البراءات</w:t>
      </w:r>
      <w:r w:rsidRPr="00F37899">
        <w:rPr>
          <w:rFonts w:ascii="Arabic Typesetting" w:hAnsi="Arabic Typesetting" w:cs="Arabic Typesetting"/>
          <w:sz w:val="34"/>
          <w:szCs w:val="34"/>
          <w:rtl/>
          <w:lang w:val="en-GB"/>
        </w:rPr>
        <w:t>":</w:t>
      </w:r>
    </w:p>
    <w:p w:rsidR="00F37899" w:rsidRPr="00F37899" w:rsidRDefault="00F37899" w:rsidP="009A3712">
      <w:pPr>
        <w:numPr>
          <w:ilvl w:val="0"/>
          <w:numId w:val="25"/>
        </w:numPr>
        <w:bidi/>
        <w:spacing w:after="120" w:line="340" w:lineRule="exact"/>
        <w:ind w:left="714" w:hanging="357"/>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أعباء عمل معاهدة التعاون بشأن البراءات؛</w:t>
      </w:r>
    </w:p>
    <w:p w:rsidR="00F37899" w:rsidRPr="00F37899" w:rsidRDefault="00F37899" w:rsidP="009A3712">
      <w:pPr>
        <w:numPr>
          <w:ilvl w:val="0"/>
          <w:numId w:val="25"/>
        </w:numPr>
        <w:bidi/>
        <w:spacing w:after="120" w:line="340" w:lineRule="exact"/>
        <w:ind w:left="714" w:hanging="357"/>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التوزيع اللغوي لهذه الأعباء؛</w:t>
      </w:r>
    </w:p>
    <w:p w:rsidR="00F37899" w:rsidRPr="00F37899" w:rsidRDefault="00F37899" w:rsidP="009A3712">
      <w:pPr>
        <w:numPr>
          <w:ilvl w:val="0"/>
          <w:numId w:val="25"/>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عدد الموظفين المكلفين بتناول هذه الأعباء؛</w:t>
      </w:r>
    </w:p>
    <w:p w:rsidR="00F37899" w:rsidRPr="00F37899" w:rsidRDefault="00F37899" w:rsidP="009A3712">
      <w:pPr>
        <w:numPr>
          <w:ilvl w:val="0"/>
          <w:numId w:val="25"/>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مستوى </w:t>
      </w:r>
      <w:proofErr w:type="spellStart"/>
      <w:r w:rsidRPr="00F37899">
        <w:rPr>
          <w:rFonts w:ascii="Arabic Typesetting" w:hAnsi="Arabic Typesetting" w:cs="Arabic Typesetting"/>
          <w:sz w:val="34"/>
          <w:szCs w:val="34"/>
          <w:rtl/>
          <w:lang w:val="en-GB"/>
        </w:rPr>
        <w:t>الأتمتة</w:t>
      </w:r>
      <w:proofErr w:type="spellEnd"/>
      <w:r w:rsidRPr="00F37899">
        <w:rPr>
          <w:rFonts w:ascii="Arabic Typesetting" w:hAnsi="Arabic Typesetting" w:cs="Arabic Typesetting"/>
          <w:sz w:val="34"/>
          <w:szCs w:val="34"/>
          <w:rtl/>
          <w:lang w:val="en-GB"/>
        </w:rPr>
        <w:t>.</w:t>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أعباء العمل</w:t>
      </w:r>
    </w:p>
    <w:p w:rsidR="00B264F9" w:rsidRPr="00141A0B" w:rsidRDefault="00F37899" w:rsidP="009A3712">
      <w:pPr>
        <w:numPr>
          <w:ilvl w:val="0"/>
          <w:numId w:val="29"/>
        </w:numPr>
        <w:bidi/>
        <w:spacing w:before="120" w:after="120" w:line="340" w:lineRule="exact"/>
        <w:rPr>
          <w:rFonts w:ascii="Arabic Typesetting" w:hAnsi="Arabic Typesetting" w:cs="Arabic Typesetting"/>
          <w:sz w:val="34"/>
          <w:szCs w:val="34"/>
          <w:rtl/>
          <w:lang w:val="en-GB"/>
        </w:rPr>
      </w:pPr>
      <w:r w:rsidRPr="00141A0B">
        <w:rPr>
          <w:rFonts w:ascii="Arabic Typesetting" w:hAnsi="Arabic Typesetting" w:cs="Arabic Typesetting"/>
          <w:sz w:val="34"/>
          <w:szCs w:val="34"/>
          <w:rtl/>
          <w:lang w:val="en-GB"/>
        </w:rPr>
        <w:t>تُتابع أعباء العمل بالاستناد إلى عدد النسخ الأصلية التي يتسلمها المكتب الدولي في كل عام</w:t>
      </w:r>
      <w:r w:rsidRPr="00F96634">
        <w:rPr>
          <w:rFonts w:ascii="Arabic Typesetting" w:hAnsi="Arabic Typesetting" w:cs="Arabic Typesetting"/>
          <w:sz w:val="28"/>
          <w:szCs w:val="28"/>
          <w:vertAlign w:val="superscript"/>
          <w:rtl/>
          <w:lang w:val="en-GB"/>
        </w:rPr>
        <w:footnoteReference w:id="20"/>
      </w:r>
    </w:p>
    <w:p w:rsidR="00F37899" w:rsidRPr="00F37899" w:rsidRDefault="00F37899" w:rsidP="00F37899">
      <w:pPr>
        <w:keepNext/>
        <w:bidi/>
        <w:spacing w:after="120" w:line="340" w:lineRule="exact"/>
        <w:jc w:val="center"/>
        <w:rPr>
          <w:rFonts w:ascii="Arabic Typesetting" w:hAnsi="Arabic Typesetting" w:cs="Arabic Typesetting"/>
          <w:b/>
          <w:bCs/>
          <w:sz w:val="34"/>
          <w:szCs w:val="34"/>
          <w:rtl/>
          <w:lang w:val="en-GB"/>
        </w:rPr>
      </w:pPr>
      <w:r w:rsidRPr="00F37899">
        <w:rPr>
          <w:rFonts w:ascii="Arabic Typesetting" w:hAnsi="Arabic Typesetting" w:cs="Arabic Typesetting"/>
          <w:b/>
          <w:bCs/>
          <w:sz w:val="34"/>
          <w:szCs w:val="34"/>
          <w:rtl/>
          <w:lang w:val="en-GB"/>
        </w:rPr>
        <w:t>تطور إيداع النسخ الأصلية بحسب طريقة الإيداع</w:t>
      </w:r>
    </w:p>
    <w:p w:rsidR="00F37899" w:rsidRPr="00F37899" w:rsidRDefault="00845C26" w:rsidP="00F37899">
      <w:pPr>
        <w:bidi/>
        <w:spacing w:after="120"/>
        <w:rPr>
          <w:rFonts w:ascii="Arabic Typesetting" w:hAnsi="Arabic Typesetting" w:cs="Arabic Typesetting"/>
          <w:sz w:val="34"/>
          <w:szCs w:val="34"/>
          <w:rtl/>
          <w:lang w:val="en-GB"/>
        </w:rPr>
      </w:pPr>
      <w:r>
        <w:rPr>
          <w:noProof/>
        </w:rPr>
        <w:drawing>
          <wp:inline distT="0" distB="0" distL="0" distR="0" wp14:anchorId="25114B5A" wp14:editId="2384917E">
            <wp:extent cx="5937662" cy="2618509"/>
            <wp:effectExtent l="0" t="0" r="25400" b="10795"/>
            <wp:docPr id="358" name="Chart 35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845C26" w:rsidRDefault="00F37899" w:rsidP="009A3712">
      <w:pPr>
        <w:numPr>
          <w:ilvl w:val="0"/>
          <w:numId w:val="26"/>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تسلم المكتب الدولي </w:t>
      </w:r>
      <w:r w:rsidR="00A33CD4">
        <w:rPr>
          <w:rFonts w:ascii="Arabic Typesetting" w:hAnsi="Arabic Typesetting" w:cs="Arabic Typesetting" w:hint="cs"/>
          <w:sz w:val="34"/>
          <w:szCs w:val="34"/>
          <w:rtl/>
          <w:lang w:val="en-GB"/>
        </w:rPr>
        <w:t>نحو</w:t>
      </w:r>
      <w:r w:rsidRPr="00F37899">
        <w:rPr>
          <w:rFonts w:ascii="Arabic Typesetting" w:hAnsi="Arabic Typesetting" w:cs="Arabic Typesetting"/>
          <w:sz w:val="34"/>
          <w:szCs w:val="34"/>
          <w:rtl/>
          <w:lang w:val="en-GB"/>
        </w:rPr>
        <w:t xml:space="preserve"> </w:t>
      </w:r>
      <w:r w:rsidR="00845C26">
        <w:rPr>
          <w:rFonts w:ascii="Arabic Typesetting" w:hAnsi="Arabic Typesetting" w:cs="Arabic Typesetting" w:hint="cs"/>
          <w:sz w:val="34"/>
          <w:szCs w:val="34"/>
          <w:rtl/>
          <w:lang w:val="en-GB"/>
        </w:rPr>
        <w:t>000</w:t>
      </w:r>
      <w:r w:rsidRPr="00F37899">
        <w:rPr>
          <w:rFonts w:ascii="Arabic Typesetting" w:hAnsi="Arabic Typesetting" w:cs="Arabic Typesetting"/>
          <w:sz w:val="34"/>
          <w:szCs w:val="34"/>
          <w:rtl/>
          <w:lang w:val="en-GB"/>
        </w:rPr>
        <w:t> 217 نسخة أصل</w:t>
      </w:r>
      <w:r w:rsidR="00845C26">
        <w:rPr>
          <w:rFonts w:ascii="Arabic Typesetting" w:hAnsi="Arabic Typesetting" w:cs="Arabic Typesetting" w:hint="cs"/>
          <w:sz w:val="34"/>
          <w:szCs w:val="34"/>
          <w:rtl/>
          <w:lang w:val="en-GB"/>
        </w:rPr>
        <w:t>ي</w:t>
      </w:r>
      <w:r w:rsidRPr="00F37899">
        <w:rPr>
          <w:rFonts w:ascii="Arabic Typesetting" w:hAnsi="Arabic Typesetting" w:cs="Arabic Typesetting"/>
          <w:sz w:val="34"/>
          <w:szCs w:val="34"/>
          <w:rtl/>
          <w:lang w:val="en-GB"/>
        </w:rPr>
        <w:t xml:space="preserve">ة في عام </w:t>
      </w:r>
      <w:r w:rsidR="00845C26">
        <w:rPr>
          <w:rFonts w:ascii="Arabic Typesetting" w:hAnsi="Arabic Typesetting" w:cs="Arabic Typesetting" w:hint="cs"/>
          <w:sz w:val="34"/>
          <w:szCs w:val="34"/>
          <w:rtl/>
          <w:lang w:val="en-GB"/>
        </w:rPr>
        <w:t>2015</w:t>
      </w:r>
      <w:r w:rsidRPr="00F37899">
        <w:rPr>
          <w:rFonts w:ascii="Arabic Typesetting" w:hAnsi="Arabic Typesetting" w:cs="Arabic Typesetting"/>
          <w:sz w:val="34"/>
          <w:szCs w:val="34"/>
          <w:rtl/>
          <w:lang w:val="en-GB"/>
        </w:rPr>
        <w:t xml:space="preserve">، أي </w:t>
      </w:r>
      <w:r w:rsidR="00845C26">
        <w:rPr>
          <w:rFonts w:ascii="Arabic Typesetting" w:hAnsi="Arabic Typesetting" w:cs="Arabic Typesetting" w:hint="cs"/>
          <w:sz w:val="34"/>
          <w:szCs w:val="34"/>
          <w:rtl/>
          <w:lang w:val="en-GB"/>
        </w:rPr>
        <w:t>بانخفاض طفيف</w:t>
      </w:r>
      <w:r w:rsidRPr="00F37899">
        <w:rPr>
          <w:rFonts w:ascii="Arabic Typesetting" w:hAnsi="Arabic Typesetting" w:cs="Arabic Typesetting"/>
          <w:sz w:val="34"/>
          <w:szCs w:val="34"/>
          <w:rtl/>
          <w:lang w:val="en-GB"/>
        </w:rPr>
        <w:t xml:space="preserve"> بلغ </w:t>
      </w:r>
      <w:r w:rsidR="00845C26">
        <w:rPr>
          <w:rFonts w:ascii="Arabic Typesetting" w:hAnsi="Arabic Typesetting" w:cs="Arabic Typesetting" w:hint="cs"/>
          <w:sz w:val="34"/>
          <w:szCs w:val="34"/>
          <w:rtl/>
          <w:lang w:val="en-GB"/>
        </w:rPr>
        <w:t>0.3</w:t>
      </w:r>
      <w:r w:rsidRPr="00F37899">
        <w:rPr>
          <w:rFonts w:ascii="Arabic Typesetting" w:hAnsi="Arabic Typesetting" w:cs="Arabic Typesetting"/>
          <w:sz w:val="34"/>
          <w:szCs w:val="34"/>
          <w:rtl/>
          <w:lang w:val="en-GB"/>
        </w:rPr>
        <w:t xml:space="preserve"> </w:t>
      </w:r>
      <w:r w:rsidR="00845C26">
        <w:rPr>
          <w:rFonts w:ascii="Arabic Typesetting" w:hAnsi="Arabic Typesetting" w:cs="Arabic Typesetting" w:hint="cs"/>
          <w:sz w:val="34"/>
          <w:szCs w:val="34"/>
          <w:rtl/>
          <w:lang w:val="en-GB"/>
        </w:rPr>
        <w:t>بالمئة</w:t>
      </w:r>
      <w:r w:rsidRPr="00F37899">
        <w:rPr>
          <w:rFonts w:ascii="Arabic Typesetting" w:hAnsi="Arabic Typesetting" w:cs="Arabic Typesetting"/>
          <w:sz w:val="34"/>
          <w:szCs w:val="34"/>
          <w:rtl/>
          <w:lang w:val="en-GB"/>
        </w:rPr>
        <w:t xml:space="preserve"> مقارنة بعام </w:t>
      </w:r>
      <w:r w:rsidR="00845C26">
        <w:rPr>
          <w:rFonts w:ascii="Arabic Typesetting" w:hAnsi="Arabic Typesetting" w:cs="Arabic Typesetting" w:hint="cs"/>
          <w:sz w:val="34"/>
          <w:szCs w:val="34"/>
          <w:rtl/>
          <w:lang w:val="en-GB"/>
        </w:rPr>
        <w:t>2014. ومن الأسباب الرئيسية لهذا الانخفاض ارتفاع الإيداعات الواردة من الولايات المتحدة الأمريكية في مارس</w:t>
      </w:r>
      <w:r w:rsidR="00845C26">
        <w:rPr>
          <w:rFonts w:ascii="Arabic Typesetting" w:hAnsi="Arabic Typesetting" w:cs="Arabic Typesetting" w:hint="eastAsia"/>
          <w:sz w:val="34"/>
          <w:szCs w:val="34"/>
          <w:rtl/>
          <w:lang w:val="en-GB"/>
        </w:rPr>
        <w:t> </w:t>
      </w:r>
      <w:r w:rsidR="00845C26">
        <w:rPr>
          <w:rFonts w:ascii="Arabic Typesetting" w:hAnsi="Arabic Typesetting" w:cs="Arabic Typesetting" w:hint="cs"/>
          <w:sz w:val="34"/>
          <w:szCs w:val="34"/>
          <w:rtl/>
          <w:lang w:val="en-GB"/>
        </w:rPr>
        <w:t xml:space="preserve">2014 عقب </w:t>
      </w:r>
      <w:r w:rsidR="00845C26" w:rsidRPr="003F76B5">
        <w:rPr>
          <w:rFonts w:ascii="Arabic Typesetting" w:hAnsi="Arabic Typesetting" w:cs="Arabic Typesetting" w:hint="cs"/>
          <w:sz w:val="34"/>
          <w:szCs w:val="34"/>
          <w:rtl/>
        </w:rPr>
        <w:t>دخول قانون</w:t>
      </w:r>
      <w:r w:rsidR="00845C26" w:rsidRPr="003F76B5">
        <w:rPr>
          <w:rFonts w:ascii="Arabic Typesetting" w:hAnsi="Arabic Typesetting" w:cs="Arabic Typesetting"/>
          <w:sz w:val="34"/>
          <w:szCs w:val="34"/>
          <w:rtl/>
        </w:rPr>
        <w:t xml:space="preserve"> الاختراعات الأمريكي ليهي سميث (</w:t>
      </w:r>
      <w:r w:rsidR="00845C26" w:rsidRPr="003F76B5">
        <w:rPr>
          <w:rFonts w:ascii="Arabic Typesetting" w:hAnsi="Arabic Typesetting" w:cs="Arabic Typesetting"/>
          <w:sz w:val="34"/>
          <w:szCs w:val="34"/>
        </w:rPr>
        <w:t>AIA</w:t>
      </w:r>
      <w:r w:rsidR="00845C26" w:rsidRPr="003F76B5">
        <w:rPr>
          <w:rFonts w:ascii="Arabic Typesetting" w:hAnsi="Arabic Typesetting" w:cs="Arabic Typesetting"/>
          <w:sz w:val="34"/>
          <w:szCs w:val="34"/>
          <w:rtl/>
        </w:rPr>
        <w:t>)</w:t>
      </w:r>
      <w:r w:rsidR="00845C26" w:rsidRPr="003F76B5">
        <w:rPr>
          <w:rFonts w:ascii="Arabic Typesetting" w:hAnsi="Arabic Typesetting" w:cs="Arabic Typesetting" w:hint="cs"/>
          <w:sz w:val="34"/>
          <w:szCs w:val="34"/>
          <w:rtl/>
        </w:rPr>
        <w:t xml:space="preserve"> حيز النفاذ</w:t>
      </w:r>
      <w:r w:rsidR="00845C26">
        <w:rPr>
          <w:rFonts w:ascii="Arabic Typesetting" w:hAnsi="Arabic Typesetting" w:cs="Arabic Typesetting" w:hint="cs"/>
          <w:sz w:val="34"/>
          <w:szCs w:val="34"/>
          <w:rtl/>
        </w:rPr>
        <w:t xml:space="preserve"> في العام السابق. ومع ذلك، ازداد إجمالي عدد النسخ الأصلية الواردة في الثنائية </w:t>
      </w:r>
      <w:r w:rsidR="00507DE2">
        <w:rPr>
          <w:rFonts w:ascii="Arabic Typesetting" w:hAnsi="Arabic Typesetting" w:cs="Arabic Typesetting" w:hint="cs"/>
          <w:sz w:val="34"/>
          <w:szCs w:val="34"/>
          <w:rtl/>
        </w:rPr>
        <w:t>2014/15</w:t>
      </w:r>
      <w:r w:rsidR="00845C26">
        <w:rPr>
          <w:rFonts w:ascii="Arabic Typesetting" w:hAnsi="Arabic Typesetting" w:cs="Arabic Typesetting" w:hint="cs"/>
          <w:sz w:val="34"/>
          <w:szCs w:val="34"/>
          <w:rtl/>
        </w:rPr>
        <w:t xml:space="preserve"> بنسبة 9 بالمئة مقارنة بالثنائية </w:t>
      </w:r>
      <w:r w:rsidR="00507DE2">
        <w:rPr>
          <w:rFonts w:ascii="Arabic Typesetting" w:hAnsi="Arabic Typesetting" w:cs="Arabic Typesetting" w:hint="cs"/>
          <w:sz w:val="34"/>
          <w:szCs w:val="34"/>
          <w:rtl/>
        </w:rPr>
        <w:t>2012/13</w:t>
      </w:r>
      <w:r w:rsidR="00845C26">
        <w:rPr>
          <w:rFonts w:ascii="Arabic Typesetting" w:hAnsi="Arabic Typesetting" w:cs="Arabic Typesetting" w:hint="cs"/>
          <w:sz w:val="34"/>
          <w:szCs w:val="34"/>
          <w:rtl/>
        </w:rPr>
        <w:t>.</w:t>
      </w:r>
    </w:p>
    <w:p w:rsidR="00F37899" w:rsidRPr="00F37899" w:rsidRDefault="00845C26" w:rsidP="009A3712">
      <w:pPr>
        <w:numPr>
          <w:ilvl w:val="0"/>
          <w:numId w:val="26"/>
        </w:numPr>
        <w:bidi/>
        <w:spacing w:after="120" w:line="340" w:lineRule="exact"/>
        <w:rPr>
          <w:rFonts w:ascii="Arabic Typesetting" w:hAnsi="Arabic Typesetting" w:cs="Arabic Typesetting"/>
          <w:sz w:val="34"/>
          <w:szCs w:val="34"/>
          <w:lang w:val="en-GB"/>
        </w:rPr>
      </w:pPr>
      <w:r w:rsidRPr="00845C26">
        <w:rPr>
          <w:rFonts w:ascii="Arabic Typesetting" w:hAnsi="Arabic Typesetting" w:cs="Arabic Typesetting" w:hint="cs"/>
          <w:sz w:val="34"/>
          <w:szCs w:val="34"/>
          <w:rtl/>
          <w:lang w:val="en-GB"/>
        </w:rPr>
        <w:t xml:space="preserve"> </w:t>
      </w:r>
      <w:r w:rsidR="00F37899" w:rsidRPr="00F37899">
        <w:rPr>
          <w:rFonts w:ascii="Arabic Typesetting" w:hAnsi="Arabic Typesetting" w:cs="Arabic Typesetting"/>
          <w:sz w:val="34"/>
          <w:szCs w:val="34"/>
          <w:rtl/>
          <w:lang w:val="en-GB"/>
        </w:rPr>
        <w:t xml:space="preserve">لم تفتأ حصة أساليب الإيداع الإلكتروني بالكامل تزداد في عام </w:t>
      </w:r>
      <w:r>
        <w:rPr>
          <w:rFonts w:ascii="Arabic Typesetting" w:hAnsi="Arabic Typesetting" w:cs="Arabic Typesetting" w:hint="cs"/>
          <w:sz w:val="34"/>
          <w:szCs w:val="34"/>
          <w:rtl/>
          <w:lang w:val="en-GB"/>
        </w:rPr>
        <w:t>2015</w:t>
      </w:r>
      <w:r w:rsidR="00F37899" w:rsidRPr="00F37899">
        <w:rPr>
          <w:rFonts w:ascii="Arabic Typesetting" w:hAnsi="Arabic Typesetting" w:cs="Arabic Typesetting"/>
          <w:sz w:val="34"/>
          <w:szCs w:val="34"/>
          <w:rtl/>
          <w:lang w:val="en-GB"/>
        </w:rPr>
        <w:t xml:space="preserve">، </w:t>
      </w:r>
      <w:r w:rsidR="00A33CD4">
        <w:rPr>
          <w:rFonts w:ascii="Arabic Typesetting" w:hAnsi="Arabic Typesetting" w:cs="Arabic Typesetting" w:hint="cs"/>
          <w:sz w:val="34"/>
          <w:szCs w:val="34"/>
          <w:rtl/>
          <w:lang w:val="en-GB"/>
        </w:rPr>
        <w:t>وباتت تستأثر</w:t>
      </w:r>
      <w:r>
        <w:rPr>
          <w:rFonts w:ascii="Arabic Typesetting" w:hAnsi="Arabic Typesetting" w:cs="Arabic Typesetting" w:hint="cs"/>
          <w:sz w:val="34"/>
          <w:szCs w:val="34"/>
          <w:rtl/>
          <w:lang w:val="en-GB"/>
        </w:rPr>
        <w:t xml:space="preserve"> ب</w:t>
      </w:r>
      <w:r w:rsidR="00F37899" w:rsidRPr="00F37899">
        <w:rPr>
          <w:rFonts w:ascii="Arabic Typesetting" w:hAnsi="Arabic Typesetting" w:cs="Arabic Typesetting"/>
          <w:sz w:val="34"/>
          <w:szCs w:val="34"/>
          <w:rtl/>
          <w:lang w:val="en-GB"/>
        </w:rPr>
        <w:t xml:space="preserve">نسبة 91 </w:t>
      </w:r>
      <w:r>
        <w:rPr>
          <w:rFonts w:ascii="Arabic Typesetting" w:hAnsi="Arabic Typesetting" w:cs="Arabic Typesetting" w:hint="cs"/>
          <w:sz w:val="34"/>
          <w:szCs w:val="34"/>
          <w:rtl/>
          <w:lang w:val="en-GB"/>
        </w:rPr>
        <w:t>ب</w:t>
      </w:r>
      <w:r w:rsidR="00F37899" w:rsidRPr="00F37899">
        <w:rPr>
          <w:rFonts w:ascii="Arabic Typesetting" w:hAnsi="Arabic Typesetting" w:cs="Arabic Typesetting"/>
          <w:sz w:val="34"/>
          <w:szCs w:val="34"/>
          <w:rtl/>
          <w:lang w:val="en-GB"/>
        </w:rPr>
        <w:t>المئة من مجموع</w:t>
      </w:r>
      <w:r>
        <w:rPr>
          <w:rFonts w:ascii="Arabic Typesetting" w:hAnsi="Arabic Typesetting" w:cs="Arabic Typesetting" w:hint="cs"/>
          <w:sz w:val="34"/>
          <w:szCs w:val="34"/>
          <w:rtl/>
          <w:lang w:val="en-GB"/>
        </w:rPr>
        <w:t> </w:t>
      </w:r>
      <w:r w:rsidR="00F37899" w:rsidRPr="00F37899">
        <w:rPr>
          <w:rFonts w:ascii="Arabic Typesetting" w:hAnsi="Arabic Typesetting" w:cs="Arabic Typesetting"/>
          <w:sz w:val="34"/>
          <w:szCs w:val="34"/>
          <w:rtl/>
          <w:lang w:val="en-GB"/>
        </w:rPr>
        <w:t>الإيداعات.</w:t>
      </w:r>
    </w:p>
    <w:p w:rsidR="00F37899" w:rsidRPr="00F37899" w:rsidRDefault="00F37899" w:rsidP="00F37899">
      <w:pPr>
        <w:keepNext/>
        <w:bidi/>
        <w:spacing w:after="120" w:line="340" w:lineRule="exact"/>
        <w:rPr>
          <w:rFonts w:ascii="Arabic Typesetting" w:hAnsi="Arabic Typesetting" w:cs="Arabic Typesetting"/>
          <w:i/>
          <w:iCs/>
          <w:sz w:val="34"/>
          <w:szCs w:val="34"/>
          <w:rtl/>
          <w:lang w:val="en-GB"/>
        </w:rPr>
      </w:pPr>
      <w:r w:rsidRPr="00F37899">
        <w:rPr>
          <w:rFonts w:ascii="Arabic Typesetting" w:hAnsi="Arabic Typesetting" w:cs="Arabic Typesetting"/>
          <w:i/>
          <w:iCs/>
          <w:sz w:val="34"/>
          <w:szCs w:val="34"/>
          <w:rtl/>
          <w:lang w:val="en-GB"/>
        </w:rPr>
        <w:lastRenderedPageBreak/>
        <w:t>التوزيع اللغوي</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من التطورات الأساسية التي تؤدي إلى إدخال تغييرات على المكتب الدولي، هي تزايد التنوع اللغوي للطلبات المودعة، الناجم </w:t>
      </w:r>
      <w:r w:rsidR="00845C26">
        <w:rPr>
          <w:rFonts w:ascii="Arabic Typesetting" w:hAnsi="Arabic Typesetting" w:cs="Arabic Typesetting" w:hint="cs"/>
          <w:sz w:val="34"/>
          <w:szCs w:val="34"/>
          <w:rtl/>
          <w:lang w:val="en-GB"/>
        </w:rPr>
        <w:t>بخاصة</w:t>
      </w:r>
      <w:r w:rsidRPr="00F37899">
        <w:rPr>
          <w:rFonts w:ascii="Arabic Typesetting" w:hAnsi="Arabic Typesetting" w:cs="Arabic Typesetting"/>
          <w:sz w:val="34"/>
          <w:szCs w:val="34"/>
          <w:rtl/>
          <w:lang w:val="en-GB"/>
        </w:rPr>
        <w:t xml:space="preserve"> عن زيادة الانتفاع بنظام معاهدة التعاون بشأن البراءات في بلدان شرق آسيا.</w:t>
      </w:r>
    </w:p>
    <w:p w:rsidR="00F37899" w:rsidRPr="00F37899" w:rsidRDefault="00F37899" w:rsidP="00F37899">
      <w:pPr>
        <w:keepNext/>
        <w:tabs>
          <w:tab w:val="left" w:pos="2834"/>
          <w:tab w:val="center" w:pos="4677"/>
        </w:tabs>
        <w:bidi/>
        <w:spacing w:after="120" w:line="340" w:lineRule="exact"/>
        <w:jc w:val="center"/>
        <w:rPr>
          <w:rFonts w:ascii="Arabic Typesetting" w:hAnsi="Arabic Typesetting" w:cs="Arabic Typesetting"/>
          <w:sz w:val="34"/>
          <w:szCs w:val="34"/>
          <w:rtl/>
          <w:lang w:val="en-GB"/>
        </w:rPr>
      </w:pPr>
      <w:r w:rsidRPr="00F37899">
        <w:rPr>
          <w:rFonts w:ascii="Arabic Typesetting" w:hAnsi="Arabic Typesetting" w:cs="Arabic Typesetting"/>
          <w:b/>
          <w:bCs/>
          <w:sz w:val="34"/>
          <w:szCs w:val="34"/>
          <w:rtl/>
          <w:lang w:val="en-GB"/>
        </w:rPr>
        <w:t>لغات الإيداع</w:t>
      </w:r>
      <w:r w:rsidRPr="00F37899">
        <w:rPr>
          <w:rFonts w:ascii="Arabic Typesetting" w:hAnsi="Arabic Typesetting" w:cs="Arabic Typesetting"/>
          <w:sz w:val="34"/>
          <w:szCs w:val="34"/>
          <w:rtl/>
          <w:lang w:val="en-GB"/>
        </w:rPr>
        <w:t xml:space="preserve"> </w:t>
      </w:r>
      <w:r w:rsidRPr="00F37899">
        <w:rPr>
          <w:rFonts w:ascii="Arabic Typesetting" w:hAnsi="Arabic Typesetting" w:cs="Arabic Typesetting"/>
          <w:i/>
          <w:iCs/>
          <w:sz w:val="34"/>
          <w:szCs w:val="34"/>
          <w:rtl/>
          <w:lang w:val="en-GB"/>
        </w:rPr>
        <w:t>(جميع اللغات)</w:t>
      </w:r>
    </w:p>
    <w:p w:rsidR="00F37899" w:rsidRPr="00F37899" w:rsidRDefault="00E0588C" w:rsidP="00F37899">
      <w:pPr>
        <w:bidi/>
        <w:spacing w:after="120"/>
        <w:rPr>
          <w:rFonts w:ascii="Arabic Typesetting" w:hAnsi="Arabic Typesetting" w:cs="Arabic Typesetting"/>
          <w:sz w:val="34"/>
          <w:szCs w:val="34"/>
          <w:lang w:val="en-GB"/>
        </w:rPr>
      </w:pPr>
      <w:r>
        <w:rPr>
          <w:noProof/>
        </w:rPr>
        <w:drawing>
          <wp:inline distT="0" distB="0" distL="0" distR="0" wp14:anchorId="2FCE416D" wp14:editId="16B0C459">
            <wp:extent cx="5940425" cy="3082547"/>
            <wp:effectExtent l="0" t="0" r="22225" b="22860"/>
            <wp:docPr id="361" name="Chart 3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F37899" w:rsidRPr="00F37899" w:rsidRDefault="00A33CD4" w:rsidP="009A3712">
      <w:pPr>
        <w:numPr>
          <w:ilvl w:val="0"/>
          <w:numId w:val="29"/>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t>و</w:t>
      </w:r>
      <w:r w:rsidR="00E0588C">
        <w:rPr>
          <w:rFonts w:ascii="Arabic Typesetting" w:hAnsi="Arabic Typesetting" w:cs="Arabic Typesetting" w:hint="cs"/>
          <w:sz w:val="34"/>
          <w:szCs w:val="34"/>
          <w:rtl/>
          <w:lang w:val="en-GB"/>
        </w:rPr>
        <w:t>يلاحظ أن</w:t>
      </w:r>
      <w:r w:rsidR="00F37899" w:rsidRPr="00F37899">
        <w:rPr>
          <w:rFonts w:ascii="Arabic Typesetting" w:hAnsi="Arabic Typesetting" w:cs="Arabic Typesetting"/>
          <w:sz w:val="34"/>
          <w:szCs w:val="34"/>
          <w:rtl/>
          <w:lang w:val="en-GB"/>
        </w:rPr>
        <w:t xml:space="preserve"> اللغة الإنكليزية تظل أكثر لغة مستخدمة في الإيداع بنسبة </w:t>
      </w:r>
      <w:r w:rsidR="00E0588C">
        <w:rPr>
          <w:rFonts w:ascii="Arabic Typesetting" w:hAnsi="Arabic Typesetting" w:cs="Arabic Typesetting" w:hint="cs"/>
          <w:sz w:val="34"/>
          <w:szCs w:val="34"/>
          <w:rtl/>
          <w:lang w:val="en-GB"/>
        </w:rPr>
        <w:t>48.6</w:t>
      </w:r>
      <w:r w:rsidR="00F37899" w:rsidRPr="00F37899">
        <w:rPr>
          <w:rFonts w:ascii="Arabic Typesetting" w:hAnsi="Arabic Typesetting" w:cs="Arabic Typesetting"/>
          <w:sz w:val="34"/>
          <w:szCs w:val="34"/>
          <w:rtl/>
          <w:lang w:val="en-GB"/>
        </w:rPr>
        <w:t xml:space="preserve"> </w:t>
      </w:r>
      <w:r w:rsidR="00E0588C">
        <w:rPr>
          <w:rFonts w:ascii="Arabic Typesetting" w:hAnsi="Arabic Typesetting" w:cs="Arabic Typesetting" w:hint="cs"/>
          <w:sz w:val="34"/>
          <w:szCs w:val="34"/>
          <w:rtl/>
          <w:lang w:val="en-GB"/>
        </w:rPr>
        <w:t>بالمئة</w:t>
      </w:r>
      <w:r w:rsidR="00F37899" w:rsidRPr="00F37899">
        <w:rPr>
          <w:rFonts w:ascii="Arabic Typesetting" w:hAnsi="Arabic Typesetting" w:cs="Arabic Typesetting"/>
          <w:sz w:val="34"/>
          <w:szCs w:val="34"/>
          <w:rtl/>
          <w:lang w:val="en-GB"/>
        </w:rPr>
        <w:t xml:space="preserve"> من الإيداعات في عام </w:t>
      </w:r>
      <w:r w:rsidR="00E0588C">
        <w:rPr>
          <w:rFonts w:ascii="Arabic Typesetting" w:hAnsi="Arabic Typesetting" w:cs="Arabic Typesetting" w:hint="cs"/>
          <w:sz w:val="34"/>
          <w:szCs w:val="34"/>
          <w:rtl/>
          <w:lang w:val="en-GB"/>
        </w:rPr>
        <w:t>2015</w:t>
      </w:r>
      <w:r w:rsidR="00F37899" w:rsidRPr="00F37899">
        <w:rPr>
          <w:rFonts w:ascii="Arabic Typesetting" w:hAnsi="Arabic Typesetting" w:cs="Arabic Typesetting"/>
          <w:sz w:val="34"/>
          <w:szCs w:val="34"/>
          <w:rtl/>
          <w:lang w:val="en-GB"/>
        </w:rPr>
        <w:t xml:space="preserve">، </w:t>
      </w:r>
      <w:r w:rsidR="00E0588C">
        <w:rPr>
          <w:rFonts w:ascii="Arabic Typesetting" w:hAnsi="Arabic Typesetting" w:cs="Arabic Typesetting" w:hint="cs"/>
          <w:sz w:val="34"/>
          <w:szCs w:val="34"/>
          <w:rtl/>
          <w:lang w:val="en-GB"/>
        </w:rPr>
        <w:t>غير أن</w:t>
      </w:r>
      <w:r w:rsidR="00F37899" w:rsidRPr="00F37899">
        <w:rPr>
          <w:rFonts w:ascii="Arabic Typesetting" w:hAnsi="Arabic Typesetting" w:cs="Arabic Typesetting"/>
          <w:sz w:val="34"/>
          <w:szCs w:val="34"/>
          <w:rtl/>
          <w:lang w:val="en-GB"/>
        </w:rPr>
        <w:t xml:space="preserve"> حصص اللغات الآسيوية زادت على مدى العقد المنصرم. وقد زادت الحصة المجمعة للطلبات المودعة بناء على معاهدة التعاون بشأن البراءات باللغات اليابانية والصينية والكورية من نسبة </w:t>
      </w:r>
      <w:r w:rsidR="00E0588C">
        <w:rPr>
          <w:rFonts w:ascii="Arabic Typesetting" w:hAnsi="Arabic Typesetting" w:cs="Arabic Typesetting" w:hint="cs"/>
          <w:sz w:val="34"/>
          <w:szCs w:val="34"/>
          <w:rtl/>
          <w:lang w:val="en-GB"/>
        </w:rPr>
        <w:t>29.5</w:t>
      </w:r>
      <w:r w:rsidR="00F37899" w:rsidRPr="00F37899">
        <w:rPr>
          <w:rFonts w:ascii="Arabic Typesetting" w:hAnsi="Arabic Typesetting" w:cs="Arabic Typesetting"/>
          <w:sz w:val="34"/>
          <w:szCs w:val="34"/>
          <w:rtl/>
          <w:lang w:val="en-GB"/>
        </w:rPr>
        <w:t xml:space="preserve"> </w:t>
      </w:r>
      <w:r w:rsidR="00E0588C">
        <w:rPr>
          <w:rFonts w:ascii="Arabic Typesetting" w:hAnsi="Arabic Typesetting" w:cs="Arabic Typesetting" w:hint="cs"/>
          <w:sz w:val="34"/>
          <w:szCs w:val="34"/>
          <w:rtl/>
          <w:lang w:val="en-GB"/>
        </w:rPr>
        <w:t>بالمئة</w:t>
      </w:r>
      <w:r w:rsidR="00F37899" w:rsidRPr="00F37899">
        <w:rPr>
          <w:rFonts w:ascii="Arabic Typesetting" w:hAnsi="Arabic Typesetting" w:cs="Arabic Typesetting"/>
          <w:sz w:val="34"/>
          <w:szCs w:val="34"/>
          <w:rtl/>
          <w:lang w:val="en-GB"/>
        </w:rPr>
        <w:t xml:space="preserve"> في عام 2009 إلى نسبة </w:t>
      </w:r>
      <w:r w:rsidR="00E0588C">
        <w:rPr>
          <w:rFonts w:ascii="Arabic Typesetting" w:hAnsi="Arabic Typesetting" w:cs="Arabic Typesetting" w:hint="cs"/>
          <w:sz w:val="34"/>
          <w:szCs w:val="34"/>
          <w:rtl/>
          <w:lang w:val="en-GB"/>
        </w:rPr>
        <w:t>37.6</w:t>
      </w:r>
      <w:r w:rsidR="00F37899" w:rsidRPr="00F37899">
        <w:rPr>
          <w:rFonts w:ascii="Arabic Typesetting" w:hAnsi="Arabic Typesetting" w:cs="Arabic Typesetting"/>
          <w:sz w:val="34"/>
          <w:szCs w:val="34"/>
          <w:rtl/>
          <w:lang w:val="en-GB"/>
        </w:rPr>
        <w:t xml:space="preserve"> </w:t>
      </w:r>
      <w:r w:rsidR="00E0588C">
        <w:rPr>
          <w:rFonts w:ascii="Arabic Typesetting" w:hAnsi="Arabic Typesetting" w:cs="Arabic Typesetting" w:hint="cs"/>
          <w:sz w:val="34"/>
          <w:szCs w:val="34"/>
          <w:rtl/>
          <w:lang w:val="en-GB"/>
        </w:rPr>
        <w:t>بالمئة</w:t>
      </w:r>
      <w:r w:rsidR="00F37899" w:rsidRPr="00F37899">
        <w:rPr>
          <w:rFonts w:ascii="Arabic Typesetting" w:hAnsi="Arabic Typesetting" w:cs="Arabic Typesetting"/>
          <w:sz w:val="34"/>
          <w:szCs w:val="34"/>
          <w:rtl/>
          <w:lang w:val="en-GB"/>
        </w:rPr>
        <w:t xml:space="preserve"> في عام </w:t>
      </w:r>
      <w:r w:rsidR="00E0588C">
        <w:rPr>
          <w:rFonts w:ascii="Arabic Typesetting" w:hAnsi="Arabic Typesetting" w:cs="Arabic Typesetting" w:hint="cs"/>
          <w:sz w:val="34"/>
          <w:szCs w:val="34"/>
          <w:rtl/>
          <w:lang w:val="en-GB"/>
        </w:rPr>
        <w:t>2015</w:t>
      </w:r>
      <w:r w:rsidR="00F37899" w:rsidRPr="00F37899">
        <w:rPr>
          <w:rFonts w:ascii="Arabic Typesetting" w:hAnsi="Arabic Typesetting" w:cs="Arabic Typesetting"/>
          <w:sz w:val="34"/>
          <w:szCs w:val="34"/>
          <w:rtl/>
          <w:lang w:val="en-GB"/>
        </w:rPr>
        <w:t>. و</w:t>
      </w:r>
      <w:r w:rsidR="00E0588C">
        <w:rPr>
          <w:rFonts w:ascii="Arabic Typesetting" w:hAnsi="Arabic Typesetting" w:cs="Arabic Typesetting" w:hint="cs"/>
          <w:sz w:val="34"/>
          <w:szCs w:val="34"/>
          <w:rtl/>
          <w:lang w:val="en-GB"/>
        </w:rPr>
        <w:t>فيما يلي رسم بياني يركز على اللغات غير الإنكليزية</w:t>
      </w:r>
      <w:r w:rsidR="00F37899" w:rsidRPr="00F37899">
        <w:rPr>
          <w:rFonts w:ascii="Arabic Typesetting" w:hAnsi="Arabic Typesetting" w:cs="Arabic Typesetting"/>
          <w:sz w:val="34"/>
          <w:szCs w:val="34"/>
          <w:rtl/>
          <w:lang w:val="en-GB"/>
        </w:rPr>
        <w:t>:</w:t>
      </w:r>
    </w:p>
    <w:p w:rsidR="00F37899" w:rsidRPr="00F37899" w:rsidRDefault="00F37899" w:rsidP="00F37899">
      <w:pPr>
        <w:keepNext/>
        <w:bidi/>
        <w:spacing w:after="120" w:line="340" w:lineRule="exact"/>
        <w:jc w:val="center"/>
        <w:rPr>
          <w:rFonts w:ascii="Arabic Typesetting" w:hAnsi="Arabic Typesetting" w:cs="Arabic Typesetting"/>
          <w:sz w:val="34"/>
          <w:szCs w:val="34"/>
          <w:rtl/>
          <w:lang w:val="en-GB"/>
        </w:rPr>
      </w:pPr>
      <w:r w:rsidRPr="00F37899">
        <w:rPr>
          <w:rFonts w:ascii="Arabic Typesetting" w:hAnsi="Arabic Typesetting" w:cs="Arabic Typesetting"/>
          <w:b/>
          <w:bCs/>
          <w:sz w:val="34"/>
          <w:szCs w:val="34"/>
          <w:rtl/>
          <w:lang w:val="en-GB"/>
        </w:rPr>
        <w:t>لغات الإيداع</w:t>
      </w:r>
      <w:r w:rsidRPr="00F37899">
        <w:rPr>
          <w:rFonts w:ascii="Arabic Typesetting" w:hAnsi="Arabic Typesetting" w:cs="Arabic Typesetting"/>
          <w:sz w:val="34"/>
          <w:szCs w:val="34"/>
          <w:rtl/>
          <w:lang w:val="en-GB"/>
        </w:rPr>
        <w:t xml:space="preserve"> (جميع اللغات غير اللغة الإنكليزية)</w:t>
      </w:r>
    </w:p>
    <w:p w:rsidR="00F37899" w:rsidRPr="00F37899" w:rsidRDefault="00E0588C" w:rsidP="00F37899">
      <w:pPr>
        <w:bidi/>
        <w:spacing w:after="120"/>
        <w:rPr>
          <w:rFonts w:ascii="Arabic Typesetting" w:hAnsi="Arabic Typesetting" w:cs="Arabic Typesetting"/>
          <w:sz w:val="34"/>
          <w:szCs w:val="34"/>
          <w:lang w:val="en-GB"/>
        </w:rPr>
      </w:pPr>
      <w:r>
        <w:rPr>
          <w:noProof/>
        </w:rPr>
        <w:drawing>
          <wp:inline distT="0" distB="0" distL="0" distR="0" wp14:anchorId="16694454" wp14:editId="5F6F149E">
            <wp:extent cx="5940425" cy="3318641"/>
            <wp:effectExtent l="0" t="0" r="22225" b="15240"/>
            <wp:docPr id="360" name="Chart 36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F37899" w:rsidRPr="00F37899" w:rsidRDefault="00A33CD4" w:rsidP="009A3712">
      <w:pPr>
        <w:numPr>
          <w:ilvl w:val="0"/>
          <w:numId w:val="29"/>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lastRenderedPageBreak/>
        <w:t>و</w:t>
      </w:r>
      <w:r>
        <w:rPr>
          <w:rFonts w:ascii="Arabic Typesetting" w:hAnsi="Arabic Typesetting" w:cs="Arabic Typesetting"/>
          <w:sz w:val="34"/>
          <w:szCs w:val="34"/>
          <w:rtl/>
          <w:lang w:val="en-GB"/>
        </w:rPr>
        <w:t>تض</w:t>
      </w:r>
      <w:r>
        <w:rPr>
          <w:rFonts w:ascii="Arabic Typesetting" w:hAnsi="Arabic Typesetting" w:cs="Arabic Typesetting" w:hint="cs"/>
          <w:sz w:val="34"/>
          <w:szCs w:val="34"/>
          <w:rtl/>
          <w:lang w:val="en-GB"/>
        </w:rPr>
        <w:t>غط</w:t>
      </w:r>
      <w:r w:rsidR="00F37899" w:rsidRPr="00F37899">
        <w:rPr>
          <w:rFonts w:ascii="Arabic Typesetting" w:hAnsi="Arabic Typesetting" w:cs="Arabic Typesetting"/>
          <w:sz w:val="34"/>
          <w:szCs w:val="34"/>
          <w:rtl/>
          <w:lang w:val="en-GB"/>
        </w:rPr>
        <w:t xml:space="preserve"> الزيادة الحادة في الطلبات المودعة باللغات الآسيوية في السنوات الخمس الأخيرة ضغطاً هائلاً على المكتب الدولي نظراً</w:t>
      </w:r>
      <w:r w:rsidR="00E0588C">
        <w:rPr>
          <w:rFonts w:ascii="Arabic Typesetting" w:hAnsi="Arabic Typesetting" w:cs="Arabic Typesetting" w:hint="cs"/>
          <w:sz w:val="34"/>
          <w:szCs w:val="34"/>
          <w:rtl/>
          <w:lang w:val="en-GB"/>
        </w:rPr>
        <w:t xml:space="preserve"> إلى </w:t>
      </w:r>
      <w:r w:rsidR="00F37899" w:rsidRPr="00F37899">
        <w:rPr>
          <w:rFonts w:ascii="Arabic Typesetting" w:hAnsi="Arabic Typesetting" w:cs="Arabic Typesetting"/>
          <w:sz w:val="34"/>
          <w:szCs w:val="34"/>
          <w:rtl/>
          <w:lang w:val="en-GB"/>
        </w:rPr>
        <w:t xml:space="preserve">عدد الموارد المحدودة من الموظفين القادرين على العمل بهذه اللغات. </w:t>
      </w:r>
      <w:r w:rsidR="00083094">
        <w:rPr>
          <w:rFonts w:ascii="Arabic Typesetting" w:hAnsi="Arabic Typesetting" w:cs="Arabic Typesetting" w:hint="cs"/>
          <w:sz w:val="34"/>
          <w:szCs w:val="34"/>
          <w:rtl/>
          <w:lang w:val="en-GB"/>
        </w:rPr>
        <w:t>ولعل ا</w:t>
      </w:r>
      <w:r w:rsidR="00F37899" w:rsidRPr="00F37899">
        <w:rPr>
          <w:rFonts w:ascii="Arabic Typesetting" w:hAnsi="Arabic Typesetting" w:cs="Arabic Typesetting"/>
          <w:sz w:val="34"/>
          <w:szCs w:val="34"/>
          <w:rtl/>
          <w:lang w:val="en-GB"/>
        </w:rPr>
        <w:t xml:space="preserve">لتخفيف من وقع هذه المسألة </w:t>
      </w:r>
      <w:r w:rsidR="00083094">
        <w:rPr>
          <w:rFonts w:ascii="Arabic Typesetting" w:hAnsi="Arabic Typesetting" w:cs="Arabic Typesetting" w:hint="cs"/>
          <w:sz w:val="34"/>
          <w:szCs w:val="34"/>
          <w:rtl/>
          <w:lang w:val="en-GB"/>
        </w:rPr>
        <w:t xml:space="preserve">يتسنى عن طريق </w:t>
      </w:r>
      <w:r w:rsidR="00F37899" w:rsidRPr="00F37899">
        <w:rPr>
          <w:rFonts w:ascii="Arabic Typesetting" w:hAnsi="Arabic Typesetting" w:cs="Arabic Typesetting"/>
          <w:sz w:val="34"/>
          <w:szCs w:val="34"/>
          <w:rtl/>
          <w:lang w:val="en-GB"/>
        </w:rPr>
        <w:t>أتمتة بعض المهام وتعيين موظفين قادرين على العمل بهذه اللغات.</w:t>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الموظفون</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يبين الشكل التالي عدد موظفي قطاع أعمال معاهدة التعاون بشأن البراءات منذ عام 2001، المبين بمكافئ عدد الموظفين المتفرغين (أي عدد الموظفين المتفرغين زائد عدد المتفرغين الذي يكافئ مجموع الموظفين غير المتفرغين).</w:t>
      </w:r>
    </w:p>
    <w:p w:rsidR="00F37899" w:rsidRPr="00F37899" w:rsidRDefault="00253523" w:rsidP="00253523">
      <w:pPr>
        <w:bidi/>
        <w:spacing w:after="120"/>
        <w:rPr>
          <w:rFonts w:ascii="Arabic Typesetting" w:hAnsi="Arabic Typesetting" w:cs="Arabic Typesetting"/>
          <w:sz w:val="34"/>
          <w:szCs w:val="34"/>
          <w:lang w:val="en-GB"/>
        </w:rPr>
      </w:pPr>
      <w:r>
        <w:rPr>
          <w:noProof/>
        </w:rPr>
        <w:drawing>
          <wp:inline distT="0" distB="0" distL="0" distR="0" wp14:anchorId="4376E3E4" wp14:editId="43116A49">
            <wp:extent cx="5917997" cy="3518611"/>
            <wp:effectExtent l="0" t="0" r="6985" b="5715"/>
            <wp:docPr id="364" name="Chart 36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F37899" w:rsidRPr="00F37899" w:rsidRDefault="00253523" w:rsidP="009A3712">
      <w:pPr>
        <w:numPr>
          <w:ilvl w:val="0"/>
          <w:numId w:val="27"/>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t>تواصل انخفاض</w:t>
      </w:r>
      <w:r w:rsidR="00F37899" w:rsidRPr="00F37899">
        <w:rPr>
          <w:rFonts w:ascii="Arabic Typesetting" w:hAnsi="Arabic Typesetting" w:cs="Arabic Typesetting"/>
          <w:sz w:val="34"/>
          <w:szCs w:val="34"/>
          <w:rtl/>
          <w:lang w:val="en-GB"/>
        </w:rPr>
        <w:t xml:space="preserve"> عدد موظفي شعبة عمليات معاهدة التعاون بشأن البراءات في عام </w:t>
      </w:r>
      <w:r>
        <w:rPr>
          <w:rFonts w:ascii="Arabic Typesetting" w:hAnsi="Arabic Typesetting" w:cs="Arabic Typesetting" w:hint="cs"/>
          <w:sz w:val="34"/>
          <w:szCs w:val="34"/>
          <w:rtl/>
          <w:lang w:val="en-GB"/>
        </w:rPr>
        <w:t>2015.</w:t>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تكلفة وحدة معالجة الطلب</w:t>
      </w:r>
    </w:p>
    <w:p w:rsidR="00502623"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يمكن قياس إنتاجية المكتب الدولي في معالجة الطلبات المودعة بناء على معاهدة التعاون بشأن البراءات بتكلفة وحدة معالجة الطلب، المعرّفة بمتوسط التكلفة الإجمالية اللازمة لنشر طلب من طلبات معاهدة التعاون بشأن البراءات. </w:t>
      </w:r>
      <w:r w:rsidR="00502623">
        <w:rPr>
          <w:rFonts w:ascii="Arabic Typesetting" w:hAnsi="Arabic Typesetting" w:cs="Arabic Typesetting" w:hint="cs"/>
          <w:sz w:val="34"/>
          <w:szCs w:val="34"/>
          <w:rtl/>
          <w:lang w:val="en-GB"/>
        </w:rPr>
        <w:t>وتشمل تكلفة الإنتاج الإجمالية النفقات المتعلقة بنظام معاهدة البراءات حصراً ونفقات الأنشطة التي تدعم نظام معاهدة البراءات.</w:t>
      </w:r>
    </w:p>
    <w:p w:rsidR="00502623" w:rsidRDefault="00502623" w:rsidP="009A3712">
      <w:pPr>
        <w:numPr>
          <w:ilvl w:val="0"/>
          <w:numId w:val="29"/>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t xml:space="preserve">وتشمل النفقات المتعلقة </w:t>
      </w:r>
      <w:r w:rsidR="00083094">
        <w:rPr>
          <w:rFonts w:ascii="Arabic Typesetting" w:hAnsi="Arabic Typesetting" w:cs="Arabic Typesetting" w:hint="cs"/>
          <w:sz w:val="34"/>
          <w:szCs w:val="34"/>
          <w:rtl/>
          <w:lang w:val="en-GB"/>
        </w:rPr>
        <w:t xml:space="preserve">حصراً </w:t>
      </w:r>
      <w:r>
        <w:rPr>
          <w:rFonts w:ascii="Arabic Typesetting" w:hAnsi="Arabic Typesetting" w:cs="Arabic Typesetting" w:hint="cs"/>
          <w:sz w:val="34"/>
          <w:szCs w:val="34"/>
          <w:rtl/>
          <w:lang w:val="en-GB"/>
        </w:rPr>
        <w:t>بنظام معاهدة البراءات النفقات المتعلقة بالبرنامج 5 (نظام معاهدة التعاون بشأن البراءات).</w:t>
      </w:r>
    </w:p>
    <w:p w:rsidR="00502623" w:rsidRDefault="00502623" w:rsidP="009A3712">
      <w:pPr>
        <w:numPr>
          <w:ilvl w:val="0"/>
          <w:numId w:val="29"/>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t xml:space="preserve">وتشمل نفقات أنشطة دعم نظام معاهدة البراءات نفقات الخدمات التالية: خدمات المؤتمرات واللغات، وأعمال البناء، والإدارة التنفيذية، والمالية والميزانية، وخدمات الدعم العامة، وإدارة الموارد البشرية، والرقابة الداخلية، وتكنولوجيا المعلومات، والسلامة والأمن. وتخص حصة صغيرة من هذه النفقات (تكلفة استضافة </w:t>
      </w:r>
      <w:proofErr w:type="spellStart"/>
      <w:r>
        <w:rPr>
          <w:rFonts w:ascii="Arabic Typesetting" w:hAnsi="Arabic Typesetting" w:cs="Arabic Typesetting" w:hint="cs"/>
          <w:sz w:val="34"/>
          <w:szCs w:val="34"/>
          <w:rtl/>
          <w:lang w:val="en-GB"/>
        </w:rPr>
        <w:t>الخادوم</w:t>
      </w:r>
      <w:proofErr w:type="spellEnd"/>
      <w:r>
        <w:rPr>
          <w:rFonts w:ascii="Arabic Typesetting" w:hAnsi="Arabic Typesetting" w:cs="Arabic Typesetting" w:hint="cs"/>
          <w:sz w:val="34"/>
          <w:szCs w:val="34"/>
          <w:rtl/>
          <w:lang w:val="en-GB"/>
        </w:rPr>
        <w:t xml:space="preserve"> في</w:t>
      </w:r>
      <w:r w:rsidRPr="00502623">
        <w:rPr>
          <w:rFonts w:ascii="Arabic Typesetting" w:hAnsi="Arabic Typesetting" w:cs="Arabic Typesetting"/>
          <w:sz w:val="34"/>
          <w:szCs w:val="34"/>
          <w:rtl/>
          <w:lang w:val="en-GB"/>
        </w:rPr>
        <w:t xml:space="preserve"> المركز الدولي للحوسبة</w:t>
      </w:r>
      <w:r>
        <w:rPr>
          <w:rFonts w:ascii="Arabic Typesetting" w:hAnsi="Arabic Typesetting" w:cs="Arabic Typesetting" w:hint="cs"/>
          <w:sz w:val="34"/>
          <w:szCs w:val="34"/>
          <w:rtl/>
          <w:lang w:val="en-GB"/>
        </w:rPr>
        <w:t xml:space="preserve"> التابع للأمم المتحدة، والتكلفة المقدرة </w:t>
      </w:r>
      <w:r w:rsidR="009557E7">
        <w:rPr>
          <w:rFonts w:ascii="Arabic Typesetting" w:hAnsi="Arabic Typesetting" w:cs="Arabic Typesetting" w:hint="cs"/>
          <w:sz w:val="34"/>
          <w:szCs w:val="34"/>
          <w:rtl/>
          <w:lang w:val="en-GB"/>
        </w:rPr>
        <w:t xml:space="preserve">لنشر المصدر الأصلي لطلبات معاهدة البراءات (ركن البراءات) وحصة التكلفة من قسم الإيرادات في المالية) نظام معاهدة البراءات مباشرةً في حين تحسب باقي النفقات المتصلة بنظام معاهدة البراءات استناداً إلى عدد الموظفين (ومنهم الموظفون ذوو العقود المحددة المدة والموظفون المؤقتة والمنتفعون </w:t>
      </w:r>
      <w:proofErr w:type="spellStart"/>
      <w:r w:rsidR="009557E7">
        <w:rPr>
          <w:rFonts w:ascii="Arabic Typesetting" w:hAnsi="Arabic Typesetting" w:cs="Arabic Typesetting" w:hint="cs"/>
          <w:sz w:val="34"/>
          <w:szCs w:val="34"/>
          <w:rtl/>
          <w:lang w:val="en-GB"/>
        </w:rPr>
        <w:t>بزمالات</w:t>
      </w:r>
      <w:proofErr w:type="spellEnd"/>
      <w:r w:rsidR="009557E7">
        <w:rPr>
          <w:rFonts w:ascii="Arabic Typesetting" w:hAnsi="Arabic Typesetting" w:cs="Arabic Typesetting" w:hint="cs"/>
          <w:sz w:val="34"/>
          <w:szCs w:val="34"/>
          <w:rtl/>
          <w:lang w:val="en-GB"/>
        </w:rPr>
        <w:t>).</w:t>
      </w:r>
    </w:p>
    <w:p w:rsidR="00F37899" w:rsidRPr="00F37899" w:rsidRDefault="00F37899" w:rsidP="009A3712">
      <w:pPr>
        <w:keepLines/>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lastRenderedPageBreak/>
        <w:t>وروجعت منهجية حساب تكلفة الوحدة في عام 2013 لمواءمتها مع سائر حسابات تكاليف الوحدات/الاتحادات في الويبو، ولكي تبين على نحو أفضل البيئة السريعة التغير. ف</w:t>
      </w:r>
      <w:r w:rsidR="00AA623D">
        <w:rPr>
          <w:rFonts w:ascii="Arabic Typesetting" w:hAnsi="Arabic Typesetting" w:cs="Arabic Typesetting" w:hint="cs"/>
          <w:sz w:val="34"/>
          <w:szCs w:val="34"/>
          <w:rtl/>
          <w:lang w:val="en-GB"/>
        </w:rPr>
        <w:t>على سبيل المثال،</w:t>
      </w:r>
      <w:r w:rsidRPr="00F37899">
        <w:rPr>
          <w:rFonts w:ascii="Arabic Typesetting" w:hAnsi="Arabic Typesetting" w:cs="Arabic Typesetting"/>
          <w:sz w:val="34"/>
          <w:szCs w:val="34"/>
          <w:rtl/>
          <w:lang w:val="en-GB"/>
        </w:rPr>
        <w:t xml:space="preserve"> كانت تشمل المنهجية القديمة، التي صممت في عام 2007، تكلفة التخزين (لأكثر من 30 عاماً) في المخازن، في حين بلغت نسبة إيداع الطلبات الورقية (بما فيها الإيداعات بناء على نظام </w:t>
      </w:r>
      <w:r w:rsidRPr="00F37899">
        <w:rPr>
          <w:rFonts w:ascii="Arabic Typesetting" w:hAnsi="Arabic Typesetting" w:cs="Arabic Typesetting"/>
          <w:sz w:val="34"/>
          <w:szCs w:val="34"/>
          <w:lang w:val="en-GB"/>
        </w:rPr>
        <w:t>PCT</w:t>
      </w:r>
      <w:r w:rsidR="00083094">
        <w:rPr>
          <w:rFonts w:ascii="Arabic Typesetting" w:hAnsi="Arabic Typesetting" w:cs="Arabic Typesetting"/>
          <w:sz w:val="34"/>
          <w:szCs w:val="34"/>
          <w:lang w:val="en-GB"/>
        </w:rPr>
        <w:t> </w:t>
      </w:r>
      <w:r w:rsidRPr="00F37899">
        <w:rPr>
          <w:rFonts w:ascii="Arabic Typesetting" w:hAnsi="Arabic Typesetting" w:cs="Arabic Typesetting"/>
          <w:sz w:val="34"/>
          <w:szCs w:val="34"/>
          <w:lang w:val="en-GB"/>
        </w:rPr>
        <w:t>EASY</w:t>
      </w:r>
      <w:r w:rsidRPr="00F37899">
        <w:rPr>
          <w:rFonts w:ascii="Arabic Typesetting" w:hAnsi="Arabic Typesetting" w:cs="Arabic Typesetting"/>
          <w:sz w:val="34"/>
          <w:szCs w:val="34"/>
          <w:rtl/>
          <w:lang w:val="en-GB"/>
        </w:rPr>
        <w:t>) 10</w:t>
      </w:r>
      <w:r w:rsidR="004021A8">
        <w:rPr>
          <w:rFonts w:ascii="Arabic Typesetting" w:hAnsi="Arabic Typesetting" w:cs="Arabic Typesetting" w:hint="cs"/>
          <w:sz w:val="34"/>
          <w:szCs w:val="34"/>
          <w:rtl/>
          <w:lang w:val="en-GB"/>
        </w:rPr>
        <w:t>بالمئة</w:t>
      </w:r>
      <w:r w:rsidRPr="00F37899">
        <w:rPr>
          <w:rFonts w:ascii="Arabic Typesetting" w:hAnsi="Arabic Typesetting" w:cs="Arabic Typesetting"/>
          <w:sz w:val="34"/>
          <w:szCs w:val="34"/>
          <w:rtl/>
          <w:lang w:val="en-GB"/>
        </w:rPr>
        <w:t xml:space="preserve"> من الإيداعات في عام 2013. وحسبت تكلفة الوحدة في معاهدة التعاون بشأن البراءات لعام</w:t>
      </w:r>
      <w:r w:rsidR="00AA623D">
        <w:rPr>
          <w:rFonts w:ascii="Arabic Typesetting" w:hAnsi="Arabic Typesetting" w:cs="Arabic Typesetting" w:hint="cs"/>
          <w:sz w:val="34"/>
          <w:szCs w:val="34"/>
          <w:rtl/>
          <w:lang w:val="en-GB"/>
        </w:rPr>
        <w:t> </w:t>
      </w:r>
      <w:r w:rsidRPr="00F37899">
        <w:rPr>
          <w:rFonts w:ascii="Arabic Typesetting" w:hAnsi="Arabic Typesetting" w:cs="Arabic Typesetting"/>
          <w:sz w:val="34"/>
          <w:szCs w:val="34"/>
          <w:rtl/>
          <w:lang w:val="en-GB"/>
        </w:rPr>
        <w:t>2012 باستخدام المنهجيتين. وبلغت تكلفة الوحدة 680 فرنكا سويسريا في عام 2012 باستخدام المنهجية القديمة في حين بلغت 712 فرنكا سويسريا باستخدام المنهجية الجديدة. ويعزى الفارق بين المبلغين وقدره 32 فرنكا سويسريا إلى المنهجية الجديدة لتخصيص التكاليف غير المباشرة.</w:t>
      </w:r>
    </w:p>
    <w:p w:rsidR="00F37899" w:rsidRPr="00F37899" w:rsidRDefault="00AA623D" w:rsidP="009A3712">
      <w:pPr>
        <w:numPr>
          <w:ilvl w:val="0"/>
          <w:numId w:val="29"/>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t>وتُحسب</w:t>
      </w:r>
      <w:r w:rsidR="00F37899" w:rsidRPr="00F37899">
        <w:rPr>
          <w:rFonts w:ascii="Arabic Typesetting" w:hAnsi="Arabic Typesetting" w:cs="Arabic Typesetting"/>
          <w:sz w:val="34"/>
          <w:szCs w:val="34"/>
          <w:rtl/>
          <w:lang w:val="en-GB"/>
        </w:rPr>
        <w:t xml:space="preserve"> تكلفة الوحدة رسميا على النحو التالي:</w:t>
      </w:r>
    </w:p>
    <w:p w:rsidR="00F37899" w:rsidRPr="00F37899" w:rsidRDefault="00F37899" w:rsidP="00F37899">
      <w:pPr>
        <w:keepNext/>
        <w:bidi/>
        <w:spacing w:after="120" w:line="340" w:lineRule="exact"/>
        <w:jc w:val="center"/>
        <w:rPr>
          <w:rFonts w:ascii="Arabic Typesetting" w:hAnsi="Arabic Typesetting" w:cs="Arabic Typesetting"/>
          <w:sz w:val="34"/>
          <w:szCs w:val="34"/>
          <w:lang w:val="en-GB"/>
        </w:rPr>
      </w:pPr>
    </w:p>
    <w:p w:rsidR="00F37899" w:rsidRPr="00F37899" w:rsidRDefault="00F37899" w:rsidP="00F37899">
      <w:pPr>
        <w:bidi/>
        <w:spacing w:after="120" w:line="340" w:lineRule="exact"/>
        <w:jc w:val="center"/>
        <w:rPr>
          <w:rFonts w:ascii="Arabic Typesetting" w:hAnsi="Arabic Typesetting" w:cs="Arabic Typesetting"/>
          <w:sz w:val="34"/>
          <w:szCs w:val="34"/>
        </w:rPr>
      </w:pPr>
      <w:r w:rsidRPr="00F37899">
        <w:rPr>
          <w:rFonts w:ascii="Arabic Typesetting" w:hAnsi="Arabic Typesetting" w:cs="Arabic Typesetting"/>
          <w:noProof/>
          <w:sz w:val="34"/>
          <w:szCs w:val="34"/>
        </w:rPr>
        <mc:AlternateContent>
          <mc:Choice Requires="wpc">
            <w:drawing>
              <wp:inline distT="0" distB="0" distL="0" distR="0" wp14:anchorId="0E273ECD" wp14:editId="12A0EE81">
                <wp:extent cx="2054860" cy="377825"/>
                <wp:effectExtent l="0" t="0" r="2540" b="3175"/>
                <wp:docPr id="218" name="Canvas 2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80" name="Rectangle 21"/>
                        <wps:cNvSpPr>
                          <a:spLocks noChangeArrowheads="1"/>
                        </wps:cNvSpPr>
                        <wps:spPr bwMode="auto">
                          <a:xfrm>
                            <a:off x="320627" y="9525"/>
                            <a:ext cx="681355"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Pr="000D6F05" w:rsidRDefault="000B5473" w:rsidP="009557E7">
                              <w:pPr>
                                <w:bidi/>
                                <w:rPr>
                                  <w:rFonts w:ascii="Arabic Typesetting" w:hAnsi="Arabic Typesetting" w:cs="Arabic Typesetting"/>
                                  <w:sz w:val="26"/>
                                  <w:szCs w:val="26"/>
                                </w:rPr>
                              </w:pPr>
                              <w:r w:rsidRPr="000D6F05">
                                <w:rPr>
                                  <w:rFonts w:ascii="Arabic Typesetting" w:hAnsi="Arabic Typesetting" w:cs="Arabic Typesetting"/>
                                  <w:color w:val="000000"/>
                                  <w:sz w:val="26"/>
                                  <w:szCs w:val="26"/>
                                  <w:rtl/>
                                </w:rPr>
                                <w:t>إجمالي تكلفة الإنتاج</w:t>
                              </w:r>
                            </w:p>
                          </w:txbxContent>
                        </wps:txbx>
                        <wps:bodyPr rot="0" vert="horz" wrap="none" lIns="0" tIns="0" rIns="0" bIns="0" anchor="t" anchorCtr="0">
                          <a:spAutoFit/>
                        </wps:bodyPr>
                      </wps:wsp>
                      <wps:wsp>
                        <wps:cNvPr id="381" name="Rectangle 22"/>
                        <wps:cNvSpPr>
                          <a:spLocks noChangeArrowheads="1"/>
                        </wps:cNvSpPr>
                        <wps:spPr bwMode="auto">
                          <a:xfrm>
                            <a:off x="389638" y="190332"/>
                            <a:ext cx="547370"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Pr="000D6F05" w:rsidRDefault="000B5473" w:rsidP="00F37899">
                              <w:pPr>
                                <w:jc w:val="center"/>
                                <w:rPr>
                                  <w:rFonts w:ascii="Arabic Typesetting" w:hAnsi="Arabic Typesetting" w:cs="Arabic Typesetting"/>
                                  <w:sz w:val="26"/>
                                  <w:szCs w:val="26"/>
                                </w:rPr>
                              </w:pPr>
                              <w:r w:rsidRPr="000D6F05">
                                <w:rPr>
                                  <w:rFonts w:ascii="Arabic Typesetting" w:hAnsi="Arabic Typesetting" w:cs="Arabic Typesetting"/>
                                  <w:color w:val="000000"/>
                                  <w:sz w:val="26"/>
                                  <w:szCs w:val="26"/>
                                  <w:rtl/>
                                </w:rPr>
                                <w:t>عدد المنشورات</w:t>
                              </w:r>
                            </w:p>
                          </w:txbxContent>
                        </wps:txbx>
                        <wps:bodyPr rot="0" vert="horz" wrap="none" lIns="0" tIns="0" rIns="0" bIns="0" anchor="t" anchorCtr="0">
                          <a:spAutoFit/>
                        </wps:bodyPr>
                      </wps:wsp>
                      <wps:wsp>
                        <wps:cNvPr id="382" name="Rectangle 23"/>
                        <wps:cNvSpPr>
                          <a:spLocks noChangeArrowheads="1"/>
                        </wps:cNvSpPr>
                        <wps:spPr bwMode="auto">
                          <a:xfrm>
                            <a:off x="1604645" y="85725"/>
                            <a:ext cx="447040"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Pr="000D6F05" w:rsidRDefault="000B5473" w:rsidP="00F37899">
                              <w:pPr>
                                <w:rPr>
                                  <w:rFonts w:ascii="Arabic Typesetting" w:hAnsi="Arabic Typesetting" w:cs="Arabic Typesetting"/>
                                  <w:sz w:val="26"/>
                                  <w:szCs w:val="26"/>
                                </w:rPr>
                              </w:pPr>
                              <w:r w:rsidRPr="000D6F05">
                                <w:rPr>
                                  <w:rFonts w:ascii="Arabic Typesetting" w:hAnsi="Arabic Typesetting" w:cs="Arabic Typesetting"/>
                                  <w:color w:val="000000"/>
                                  <w:sz w:val="26"/>
                                  <w:szCs w:val="26"/>
                                  <w:rtl/>
                                </w:rPr>
                                <w:t>تكلفة الوحدة</w:t>
                              </w:r>
                            </w:p>
                          </w:txbxContent>
                        </wps:txbx>
                        <wps:bodyPr rot="0" vert="horz" wrap="none" lIns="0" tIns="0" rIns="0" bIns="0" anchor="t" anchorCtr="0">
                          <a:spAutoFit/>
                        </wps:bodyPr>
                      </wps:wsp>
                      <wps:wsp>
                        <wps:cNvPr id="383" name="Rectangle 24"/>
                        <wps:cNvSpPr>
                          <a:spLocks noChangeArrowheads="1"/>
                        </wps:cNvSpPr>
                        <wps:spPr bwMode="auto">
                          <a:xfrm>
                            <a:off x="1416050" y="85725"/>
                            <a:ext cx="12065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Default="000B5473" w:rsidP="00F37899">
                              <w:r>
                                <w:rPr>
                                  <w:color w:val="000000"/>
                                </w:rPr>
                                <w:t xml:space="preserve"> = </w:t>
                              </w:r>
                            </w:p>
                          </w:txbxContent>
                        </wps:txbx>
                        <wps:bodyPr rot="0" vert="horz" wrap="none" lIns="0" tIns="0" rIns="0" bIns="0" anchor="t" anchorCtr="0">
                          <a:spAutoFit/>
                        </wps:bodyPr>
                      </wps:wsp>
                      <wps:wsp>
                        <wps:cNvPr id="160" name="Rectangle 25"/>
                        <wps:cNvSpPr>
                          <a:spLocks noChangeArrowheads="1"/>
                        </wps:cNvSpPr>
                        <wps:spPr bwMode="auto">
                          <a:xfrm>
                            <a:off x="70485" y="179094"/>
                            <a:ext cx="1345565" cy="190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c:wpc>
                  </a:graphicData>
                </a:graphic>
              </wp:inline>
            </w:drawing>
          </mc:Choice>
          <mc:Fallback>
            <w:pict>
              <v:group id="Canvas 218" o:spid="_x0000_s1026" editas="canvas" style="width:161.8pt;height:29.75pt;mso-position-horizontal-relative:char;mso-position-vertical-relative:line" coordsize="20548,3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0548;height:3778;visibility:visible;mso-wrap-style:square">
                  <v:fill o:detectmouseclick="t"/>
                  <v:path o:connecttype="none"/>
                </v:shape>
                <v:rect id="Rectangle 21" o:spid="_x0000_s1028" style="position:absolute;left:3206;top:95;width:6813;height:18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zSVb4A&#10;AADcAAAADwAAAGRycy9kb3ducmV2LnhtbERPy4rCMBTdD/gP4QruxlSFoVSjiCA44sbqB1ya2wcm&#10;NyWJtvP3ZiHM8nDem91ojXiRD51jBYt5BoK4crrjRsH9dvzOQYSIrNE4JgV/FGC3nXxtsNBu4Cu9&#10;ytiIFMKhQAVtjH0hZahashjmridOXO28xZigb6T2OKRwa+Qyy36kxY5TQ4s9HVqqHuXTKpC38jjk&#10;pfGZOy/ri/k9XWtySs2m434NItIY/8Uf90krWOVpfj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gM0lW+AAAA3AAAAA8AAAAAAAAAAAAAAAAAmAIAAGRycy9kb3ducmV2&#10;LnhtbFBLBQYAAAAABAAEAPUAAACDAwAAAAA=&#10;" filled="f" stroked="f">
                  <v:textbox style="mso-fit-shape-to-text:t" inset="0,0,0,0">
                    <w:txbxContent>
                      <w:p w:rsidR="000B5473" w:rsidRPr="000D6F05" w:rsidRDefault="000B5473" w:rsidP="009557E7">
                        <w:pPr>
                          <w:bidi/>
                          <w:rPr>
                            <w:rFonts w:ascii="Arabic Typesetting" w:hAnsi="Arabic Typesetting" w:cs="Arabic Typesetting"/>
                            <w:sz w:val="26"/>
                            <w:szCs w:val="26"/>
                          </w:rPr>
                        </w:pPr>
                        <w:r w:rsidRPr="000D6F05">
                          <w:rPr>
                            <w:rFonts w:ascii="Arabic Typesetting" w:hAnsi="Arabic Typesetting" w:cs="Arabic Typesetting"/>
                            <w:color w:val="000000"/>
                            <w:sz w:val="26"/>
                            <w:szCs w:val="26"/>
                            <w:rtl/>
                          </w:rPr>
                          <w:t>إجمالي تكلفة الإنتاج</w:t>
                        </w:r>
                      </w:p>
                    </w:txbxContent>
                  </v:textbox>
                </v:rect>
                <v:rect id="Rectangle 22" o:spid="_x0000_s1029" style="position:absolute;left:3896;top:1903;width:5474;height:18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B3zsEA&#10;AADcAAAADwAAAGRycy9kb3ducmV2LnhtbESP3YrCMBSE7xd8h3AE79ZUhaVUo4gguLI3Vh/g0Jz+&#10;YHJSkqytb2+Ehb0cZuYbZrMbrREP8qFzrGAxz0AQV0533Ci4XY+fOYgQkTUax6TgSQF228nHBgvt&#10;Br7Qo4yNSBAOBSpoY+wLKUPVksUwdz1x8mrnLcYkfSO1xyHBrZHLLPuSFjtOCy32dGipupe/VoG8&#10;lschL43P3HlZ/5jv06Ump9RsOu7XICKN8T/81z5pBat8A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Ad87BAAAA3AAAAA8AAAAAAAAAAAAAAAAAmAIAAGRycy9kb3du&#10;cmV2LnhtbFBLBQYAAAAABAAEAPUAAACGAwAAAAA=&#10;" filled="f" stroked="f">
                  <v:textbox style="mso-fit-shape-to-text:t" inset="0,0,0,0">
                    <w:txbxContent>
                      <w:p w:rsidR="000B5473" w:rsidRPr="000D6F05" w:rsidRDefault="000B5473" w:rsidP="00F37899">
                        <w:pPr>
                          <w:jc w:val="center"/>
                          <w:rPr>
                            <w:rFonts w:ascii="Arabic Typesetting" w:hAnsi="Arabic Typesetting" w:cs="Arabic Typesetting"/>
                            <w:sz w:val="26"/>
                            <w:szCs w:val="26"/>
                          </w:rPr>
                        </w:pPr>
                        <w:r w:rsidRPr="000D6F05">
                          <w:rPr>
                            <w:rFonts w:ascii="Arabic Typesetting" w:hAnsi="Arabic Typesetting" w:cs="Arabic Typesetting"/>
                            <w:color w:val="000000"/>
                            <w:sz w:val="26"/>
                            <w:szCs w:val="26"/>
                            <w:rtl/>
                          </w:rPr>
                          <w:t>عدد المنشورات</w:t>
                        </w:r>
                      </w:p>
                    </w:txbxContent>
                  </v:textbox>
                </v:rect>
                <v:rect id="Rectangle 23" o:spid="_x0000_s1030" style="position:absolute;left:16046;top:857;width:4470;height:18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LpucIA&#10;AADcAAAADwAAAGRycy9kb3ducmV2LnhtbESP3WoCMRSE7wu+QziCdzXbFcqyNUopCCreuPYBDpuz&#10;PzQ5WZLorm9vBKGXw8x8w6y3kzXiRj70jhV8LDMQxLXTPbcKfi+79wJEiMgajWNScKcA283sbY2l&#10;diOf6VbFViQIhxIVdDEOpZSh7shiWLqBOHmN8xZjkr6V2uOY4NbIPMs+pcWe00KHA/10VP9VV6tA&#10;XqrdWFTGZ+6YNydz2J8bckot5tP3F4hIU/wPv9p7rWBV5P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kum5wgAAANwAAAAPAAAAAAAAAAAAAAAAAJgCAABkcnMvZG93&#10;bnJldi54bWxQSwUGAAAAAAQABAD1AAAAhwMAAAAA&#10;" filled="f" stroked="f">
                  <v:textbox style="mso-fit-shape-to-text:t" inset="0,0,0,0">
                    <w:txbxContent>
                      <w:p w:rsidR="000B5473" w:rsidRPr="000D6F05" w:rsidRDefault="000B5473" w:rsidP="00F37899">
                        <w:pPr>
                          <w:rPr>
                            <w:rFonts w:ascii="Arabic Typesetting" w:hAnsi="Arabic Typesetting" w:cs="Arabic Typesetting"/>
                            <w:sz w:val="26"/>
                            <w:szCs w:val="26"/>
                          </w:rPr>
                        </w:pPr>
                        <w:r w:rsidRPr="000D6F05">
                          <w:rPr>
                            <w:rFonts w:ascii="Arabic Typesetting" w:hAnsi="Arabic Typesetting" w:cs="Arabic Typesetting"/>
                            <w:color w:val="000000"/>
                            <w:sz w:val="26"/>
                            <w:szCs w:val="26"/>
                            <w:rtl/>
                          </w:rPr>
                          <w:t>تكلفة الوحدة</w:t>
                        </w:r>
                      </w:p>
                    </w:txbxContent>
                  </v:textbox>
                </v:rect>
                <v:rect id="Rectangle 24" o:spid="_x0000_s1031" style="position:absolute;left:14160;top:857;width:1207;height:160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5MIsEA&#10;AADcAAAADwAAAGRycy9kb3ducmV2LnhtbESP3YrCMBSE7xd8h3AE79ZUhaVUo4gguLI3Vh/g0Jz+&#10;YHJSkmi7b2+Ehb0cZuYbZrMbrRFP8qFzrGAxz0AQV0533Ci4XY+fOYgQkTUax6TglwLstpOPDRba&#10;DXyhZxkbkSAcClTQxtgXUoaqJYth7nri5NXOW4xJ+kZqj0OCWyOXWfYlLXacFlrs6dBSdS8fVoG8&#10;lschL43P3HlZ/5jv06Ump9RsOu7XICKN8T/81z5pBat8B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eTCLBAAAA3AAAAA8AAAAAAAAAAAAAAAAAmAIAAGRycy9kb3du&#10;cmV2LnhtbFBLBQYAAAAABAAEAPUAAACGAwAAAAA=&#10;" filled="f" stroked="f">
                  <v:textbox style="mso-fit-shape-to-text:t" inset="0,0,0,0">
                    <w:txbxContent>
                      <w:p w:rsidR="000B5473" w:rsidRDefault="000B5473" w:rsidP="00F37899">
                        <w:r>
                          <w:rPr>
                            <w:color w:val="000000"/>
                          </w:rPr>
                          <w:t xml:space="preserve"> = </w:t>
                        </w:r>
                      </w:p>
                    </w:txbxContent>
                  </v:textbox>
                </v:rect>
                <v:rect id="Rectangle 25" o:spid="_x0000_s1032" style="position:absolute;left:704;top:1790;width:13456;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K2jccA&#10;AADcAAAADwAAAGRycy9kb3ducmV2LnhtbESPQW/CMAyF75P2HyIjcRspiCEoBDQmIe0yabAd4GYa&#10;01Y0TpcE6Pbr58Mkbrbe83ufF6vONepKIdaeDQwHGSjiwtuaSwNfn5unKaiYkC02nsnAD0VYLR8f&#10;Fphbf+MtXXepVBLCMUcDVUptrnUsKnIYB74lFu3kg8Mkayi1DXiTcNfoUZZNtMOapaHCll4rKs67&#10;izOwnk3X3x9jfv/dHg902B/Pz6OQGdPvdS9zUIm6dDf/X79ZwZ8IvjwjE+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1yto3HAAAA3AAAAA8AAAAAAAAAAAAAAAAAmAIAAGRy&#10;cy9kb3ducmV2LnhtbFBLBQYAAAAABAAEAPUAAACMAwAAAAA=&#10;" fillcolor="black" stroked="f"/>
                <w10:anchorlock/>
              </v:group>
            </w:pict>
          </mc:Fallback>
        </mc:AlternateContent>
      </w:r>
    </w:p>
    <w:p w:rsidR="00F37899" w:rsidRPr="00F37899" w:rsidRDefault="009557E7" w:rsidP="009A3712">
      <w:pPr>
        <w:numPr>
          <w:ilvl w:val="0"/>
          <w:numId w:val="29"/>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rPr>
        <w:t>ويبين</w:t>
      </w:r>
      <w:r w:rsidR="00F37899" w:rsidRPr="00F37899">
        <w:rPr>
          <w:rFonts w:ascii="Arabic Typesetting" w:hAnsi="Arabic Typesetting" w:cs="Arabic Typesetting"/>
          <w:sz w:val="34"/>
          <w:szCs w:val="34"/>
          <w:rtl/>
          <w:lang w:val="en-GB"/>
        </w:rPr>
        <w:t xml:space="preserve"> </w:t>
      </w:r>
      <w:r>
        <w:rPr>
          <w:rFonts w:ascii="Arabic Typesetting" w:hAnsi="Arabic Typesetting" w:cs="Arabic Typesetting" w:hint="cs"/>
          <w:sz w:val="34"/>
          <w:szCs w:val="34"/>
          <w:rtl/>
          <w:lang w:val="en-GB"/>
        </w:rPr>
        <w:t>الشكلان التاليان</w:t>
      </w:r>
      <w:r w:rsidR="00F37899" w:rsidRPr="00F37899">
        <w:rPr>
          <w:rFonts w:ascii="Arabic Typesetting" w:hAnsi="Arabic Typesetting" w:cs="Arabic Typesetting"/>
          <w:sz w:val="34"/>
          <w:szCs w:val="34"/>
          <w:rtl/>
          <w:lang w:val="en-GB"/>
        </w:rPr>
        <w:t xml:space="preserve"> تطور تكلفة وحدة المعالجة من عام 2004 إلى عام 2012 باستخدام المنهجية القديمة ومن عام</w:t>
      </w:r>
      <w:r>
        <w:rPr>
          <w:rFonts w:ascii="Arabic Typesetting" w:hAnsi="Arabic Typesetting" w:cs="Arabic Typesetting" w:hint="cs"/>
          <w:sz w:val="34"/>
          <w:szCs w:val="34"/>
          <w:rtl/>
          <w:lang w:val="en-GB"/>
        </w:rPr>
        <w:t> </w:t>
      </w:r>
      <w:r w:rsidR="00F37899" w:rsidRPr="00F37899">
        <w:rPr>
          <w:rFonts w:ascii="Arabic Typesetting" w:hAnsi="Arabic Typesetting" w:cs="Arabic Typesetting"/>
          <w:sz w:val="34"/>
          <w:szCs w:val="34"/>
          <w:rtl/>
          <w:lang w:val="en-GB"/>
        </w:rPr>
        <w:t xml:space="preserve">2012 إلى عام </w:t>
      </w:r>
      <w:r>
        <w:rPr>
          <w:rFonts w:ascii="Arabic Typesetting" w:hAnsi="Arabic Typesetting" w:cs="Arabic Typesetting" w:hint="cs"/>
          <w:sz w:val="34"/>
          <w:szCs w:val="34"/>
          <w:rtl/>
          <w:lang w:val="en-GB"/>
        </w:rPr>
        <w:t>2015</w:t>
      </w:r>
      <w:r>
        <w:rPr>
          <w:rFonts w:ascii="Arabic Typesetting" w:hAnsi="Arabic Typesetting" w:cs="Arabic Typesetting"/>
          <w:sz w:val="34"/>
          <w:szCs w:val="34"/>
          <w:rtl/>
          <w:lang w:val="en-GB"/>
        </w:rPr>
        <w:t xml:space="preserve"> باستخدام المنهجية الجديدة</w:t>
      </w:r>
      <w:r>
        <w:rPr>
          <w:rFonts w:ascii="Arabic Typesetting" w:hAnsi="Arabic Typesetting" w:cs="Arabic Typesetting" w:hint="cs"/>
          <w:sz w:val="34"/>
          <w:szCs w:val="34"/>
          <w:rtl/>
          <w:lang w:val="en-GB"/>
        </w:rPr>
        <w:t>، ب</w:t>
      </w:r>
      <w:r w:rsidRPr="009557E7">
        <w:rPr>
          <w:rFonts w:ascii="Arabic Typesetting" w:hAnsi="Arabic Typesetting" w:cs="Arabic Typesetting"/>
          <w:sz w:val="34"/>
          <w:szCs w:val="34"/>
          <w:rtl/>
          <w:lang w:val="en-GB"/>
        </w:rPr>
        <w:t xml:space="preserve">ما في ذلك تفصيل </w:t>
      </w:r>
      <w:r>
        <w:rPr>
          <w:rFonts w:ascii="Arabic Typesetting" w:hAnsi="Arabic Typesetting" w:cs="Arabic Typesetting" w:hint="cs"/>
          <w:sz w:val="34"/>
          <w:szCs w:val="34"/>
          <w:rtl/>
          <w:lang w:val="en-GB"/>
        </w:rPr>
        <w:t>لحصة</w:t>
      </w:r>
      <w:r w:rsidRPr="009557E7">
        <w:rPr>
          <w:rFonts w:ascii="Arabic Typesetting" w:hAnsi="Arabic Typesetting" w:cs="Arabic Typesetting"/>
          <w:sz w:val="34"/>
          <w:szCs w:val="34"/>
          <w:rtl/>
          <w:lang w:val="en-GB"/>
        </w:rPr>
        <w:t xml:space="preserve"> التكاليف المباشرة وغير المباشرة</w:t>
      </w:r>
      <w:r w:rsidRPr="009557E7">
        <w:rPr>
          <w:rFonts w:ascii="Arabic Typesetting" w:hAnsi="Arabic Typesetting" w:cs="Arabic Typesetting"/>
          <w:sz w:val="34"/>
          <w:szCs w:val="34"/>
          <w:cs/>
          <w:lang w:val="en-GB"/>
        </w:rPr>
        <w:t>‎</w:t>
      </w:r>
      <w:r w:rsidRPr="009557E7">
        <w:rPr>
          <w:rFonts w:ascii="Arabic Typesetting" w:hAnsi="Arabic Typesetting" w:cs="Arabic Typesetting"/>
          <w:sz w:val="34"/>
          <w:szCs w:val="34"/>
          <w:rtl/>
          <w:lang w:val="en-GB"/>
        </w:rPr>
        <w:t>.</w:t>
      </w:r>
    </w:p>
    <w:p w:rsidR="00F37899" w:rsidRPr="00F37899" w:rsidRDefault="00F37899" w:rsidP="00F37899">
      <w:pPr>
        <w:keepNext/>
        <w:bidi/>
        <w:spacing w:after="120" w:line="340" w:lineRule="exact"/>
        <w:jc w:val="center"/>
        <w:rPr>
          <w:rFonts w:ascii="Arabic Typesetting" w:hAnsi="Arabic Typesetting" w:cs="Arabic Typesetting"/>
          <w:b/>
          <w:bCs/>
          <w:sz w:val="34"/>
          <w:szCs w:val="34"/>
          <w:rtl/>
          <w:lang w:val="en-GB"/>
        </w:rPr>
      </w:pPr>
      <w:r w:rsidRPr="00F37899">
        <w:rPr>
          <w:rFonts w:ascii="Arabic Typesetting" w:hAnsi="Arabic Typesetting" w:cs="Arabic Typesetting"/>
          <w:b/>
          <w:bCs/>
          <w:sz w:val="34"/>
          <w:szCs w:val="34"/>
          <w:rtl/>
          <w:lang w:val="en-GB"/>
        </w:rPr>
        <w:t>تكلفة وحدة معالجة طلب منشور بناء على معاهدة التعاون بشأن البراءات</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6"/>
        <w:gridCol w:w="4905"/>
      </w:tblGrid>
      <w:tr w:rsidR="00F37899" w:rsidRPr="00211D55" w:rsidTr="00921FC0">
        <w:trPr>
          <w:trHeight w:val="347"/>
        </w:trPr>
        <w:tc>
          <w:tcPr>
            <w:tcW w:w="4547" w:type="dxa"/>
            <w:shd w:val="clear" w:color="auto" w:fill="auto"/>
          </w:tcPr>
          <w:p w:rsidR="00F37899" w:rsidRPr="00211D55" w:rsidRDefault="00F37899" w:rsidP="00F37899">
            <w:pPr>
              <w:keepNext/>
              <w:keepLines/>
              <w:bidi/>
              <w:jc w:val="center"/>
              <w:rPr>
                <w:rFonts w:ascii="Arabic Typesetting" w:eastAsia="MS Mincho" w:hAnsi="Arabic Typesetting" w:cs="Arabic Typesetting"/>
                <w:sz w:val="28"/>
                <w:szCs w:val="28"/>
              </w:rPr>
            </w:pPr>
            <w:r w:rsidRPr="00211D55">
              <w:rPr>
                <w:rFonts w:ascii="Arabic Typesetting" w:eastAsia="MS Mincho" w:hAnsi="Arabic Typesetting" w:cs="Arabic Typesetting"/>
                <w:sz w:val="28"/>
                <w:szCs w:val="28"/>
                <w:rtl/>
              </w:rPr>
              <w:t>الطريقة القديمة</w:t>
            </w:r>
          </w:p>
        </w:tc>
        <w:tc>
          <w:tcPr>
            <w:tcW w:w="4648" w:type="dxa"/>
            <w:shd w:val="clear" w:color="auto" w:fill="auto"/>
          </w:tcPr>
          <w:p w:rsidR="00F37899" w:rsidRPr="00211D55" w:rsidRDefault="00F37899" w:rsidP="00F37899">
            <w:pPr>
              <w:keepNext/>
              <w:keepLines/>
              <w:bidi/>
              <w:jc w:val="center"/>
              <w:rPr>
                <w:rFonts w:ascii="Arabic Typesetting" w:eastAsia="MS Mincho" w:hAnsi="Arabic Typesetting" w:cs="Arabic Typesetting"/>
                <w:sz w:val="28"/>
                <w:szCs w:val="28"/>
              </w:rPr>
            </w:pPr>
            <w:r w:rsidRPr="00211D55">
              <w:rPr>
                <w:rFonts w:ascii="Arabic Typesetting" w:eastAsia="MS Mincho" w:hAnsi="Arabic Typesetting" w:cs="Arabic Typesetting"/>
                <w:sz w:val="28"/>
                <w:szCs w:val="28"/>
                <w:rtl/>
              </w:rPr>
              <w:t>الطريقة الجديدة</w:t>
            </w:r>
          </w:p>
        </w:tc>
      </w:tr>
      <w:tr w:rsidR="00F37899" w:rsidRPr="00211D55" w:rsidTr="00921FC0">
        <w:trPr>
          <w:trHeight w:val="3311"/>
        </w:trPr>
        <w:tc>
          <w:tcPr>
            <w:tcW w:w="4547" w:type="dxa"/>
            <w:shd w:val="clear" w:color="auto" w:fill="auto"/>
          </w:tcPr>
          <w:p w:rsidR="00F37899" w:rsidRPr="00211D55" w:rsidRDefault="00DB2695" w:rsidP="00F37899">
            <w:pPr>
              <w:keepNext/>
              <w:keepLines/>
              <w:bidi/>
              <w:rPr>
                <w:rFonts w:ascii="Arabic Typesetting" w:eastAsia="MS Mincho" w:hAnsi="Arabic Typesetting" w:cs="Arabic Typesetting"/>
                <w:sz w:val="28"/>
                <w:szCs w:val="28"/>
                <w:lang w:val="fr-CH"/>
              </w:rPr>
            </w:pPr>
            <w:r w:rsidRPr="00211D55">
              <w:rPr>
                <w:rFonts w:ascii="Arabic Typesetting" w:eastAsia="MS Mincho" w:hAnsi="Arabic Typesetting" w:cs="Arabic Typesetting"/>
                <w:noProof/>
                <w:sz w:val="28"/>
                <w:szCs w:val="28"/>
              </w:rPr>
              <w:drawing>
                <wp:inline distT="0" distB="0" distL="0" distR="0" wp14:anchorId="42EA8EE6" wp14:editId="3B78E4B2">
                  <wp:extent cx="2838203" cy="2127965"/>
                  <wp:effectExtent l="0" t="0" r="635" b="571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43744" cy="2132119"/>
                          </a:xfrm>
                          <a:prstGeom prst="rect">
                            <a:avLst/>
                          </a:prstGeom>
                          <a:noFill/>
                        </pic:spPr>
                      </pic:pic>
                    </a:graphicData>
                  </a:graphic>
                </wp:inline>
              </w:drawing>
            </w:r>
          </w:p>
        </w:tc>
        <w:tc>
          <w:tcPr>
            <w:tcW w:w="4648" w:type="dxa"/>
            <w:shd w:val="clear" w:color="auto" w:fill="auto"/>
          </w:tcPr>
          <w:p w:rsidR="00F37899" w:rsidRPr="00211D55" w:rsidRDefault="006A3B12" w:rsidP="00F37899">
            <w:pPr>
              <w:keepNext/>
              <w:keepLines/>
              <w:bidi/>
              <w:rPr>
                <w:rFonts w:ascii="Arabic Typesetting" w:eastAsia="MS Mincho" w:hAnsi="Arabic Typesetting" w:cs="Arabic Typesetting"/>
                <w:sz w:val="28"/>
                <w:szCs w:val="28"/>
                <w:lang w:val="fr-CH"/>
              </w:rPr>
            </w:pPr>
            <w:r w:rsidRPr="00211D55">
              <w:rPr>
                <w:rFonts w:ascii="Arabic Typesetting" w:eastAsia="MS Mincho" w:hAnsi="Arabic Typesetting" w:cs="Arabic Typesetting"/>
                <w:noProof/>
                <w:sz w:val="28"/>
                <w:szCs w:val="28"/>
              </w:rPr>
              <w:drawing>
                <wp:inline distT="0" distB="0" distL="0" distR="0" wp14:anchorId="27EA6405" wp14:editId="660BE81C">
                  <wp:extent cx="2986593" cy="2125683"/>
                  <wp:effectExtent l="0" t="0" r="4445" b="8255"/>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87996" cy="2126682"/>
                          </a:xfrm>
                          <a:prstGeom prst="rect">
                            <a:avLst/>
                          </a:prstGeom>
                          <a:noFill/>
                        </pic:spPr>
                      </pic:pic>
                    </a:graphicData>
                  </a:graphic>
                </wp:inline>
              </w:drawing>
            </w:r>
          </w:p>
        </w:tc>
      </w:tr>
    </w:tbl>
    <w:p w:rsidR="00F37899" w:rsidRPr="00F37899" w:rsidRDefault="00F37899" w:rsidP="00F37899">
      <w:pPr>
        <w:bidi/>
        <w:spacing w:after="120" w:line="240" w:lineRule="exact"/>
        <w:rPr>
          <w:rFonts w:ascii="Arabic Typesetting" w:hAnsi="Arabic Typesetting" w:cs="Arabic Typesetting"/>
          <w:sz w:val="34"/>
          <w:szCs w:val="34"/>
          <w:lang w:val="en-GB"/>
        </w:rPr>
      </w:pPr>
    </w:p>
    <w:p w:rsidR="006A3B12" w:rsidRPr="00921FC0" w:rsidRDefault="00F37899" w:rsidP="009A3712">
      <w:pPr>
        <w:numPr>
          <w:ilvl w:val="0"/>
          <w:numId w:val="27"/>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بلغ متوسط تكلفة معالجة طلب منشور بناء على معاهدة التعاون بشأن البراءات </w:t>
      </w:r>
      <w:r w:rsidR="006A3B12">
        <w:rPr>
          <w:rFonts w:ascii="Arabic Typesetting" w:hAnsi="Arabic Typesetting" w:cs="Arabic Typesetting" w:hint="cs"/>
          <w:sz w:val="34"/>
          <w:szCs w:val="34"/>
          <w:rtl/>
          <w:lang w:val="en-GB"/>
        </w:rPr>
        <w:t>735</w:t>
      </w:r>
      <w:r w:rsidRPr="00F37899">
        <w:rPr>
          <w:rFonts w:ascii="Arabic Typesetting" w:hAnsi="Arabic Typesetting" w:cs="Arabic Typesetting"/>
          <w:sz w:val="34"/>
          <w:szCs w:val="34"/>
          <w:rtl/>
          <w:lang w:val="en-GB"/>
        </w:rPr>
        <w:t xml:space="preserve"> فرنكا سويسريا في عام </w:t>
      </w:r>
      <w:r w:rsidR="006A3B12">
        <w:rPr>
          <w:rFonts w:ascii="Arabic Typesetting" w:hAnsi="Arabic Typesetting" w:cs="Arabic Typesetting" w:hint="cs"/>
          <w:sz w:val="34"/>
          <w:szCs w:val="34"/>
          <w:rtl/>
          <w:lang w:val="en-GB"/>
        </w:rPr>
        <w:t>2015</w:t>
      </w:r>
      <w:r w:rsidRPr="00F37899">
        <w:rPr>
          <w:rFonts w:ascii="Arabic Typesetting" w:hAnsi="Arabic Typesetting" w:cs="Arabic Typesetting"/>
          <w:sz w:val="34"/>
          <w:szCs w:val="34"/>
          <w:rtl/>
          <w:lang w:val="en-GB"/>
        </w:rPr>
        <w:t xml:space="preserve">، أي </w:t>
      </w:r>
      <w:r w:rsidR="006A3B12">
        <w:rPr>
          <w:rFonts w:ascii="Arabic Typesetting" w:hAnsi="Arabic Typesetting" w:cs="Arabic Typesetting" w:hint="cs"/>
          <w:sz w:val="34"/>
          <w:szCs w:val="34"/>
          <w:rtl/>
          <w:lang w:val="en-GB"/>
        </w:rPr>
        <w:t>بزيادة نسبتها 11 بالمئة مقارنة بعام 2014</w:t>
      </w:r>
      <w:r w:rsidRPr="00F37899">
        <w:rPr>
          <w:rFonts w:ascii="Arabic Typesetting" w:hAnsi="Arabic Typesetting" w:cs="Arabic Typesetting"/>
          <w:sz w:val="34"/>
          <w:szCs w:val="34"/>
          <w:rtl/>
          <w:lang w:val="en-GB"/>
        </w:rPr>
        <w:t>.</w:t>
      </w:r>
      <w:r w:rsidR="006A3B12">
        <w:rPr>
          <w:rFonts w:ascii="Arabic Typesetting" w:hAnsi="Arabic Typesetting" w:cs="Arabic Typesetting" w:hint="cs"/>
          <w:sz w:val="34"/>
          <w:szCs w:val="34"/>
          <w:rtl/>
          <w:lang w:val="en-GB"/>
        </w:rPr>
        <w:t xml:space="preserve"> وتعزى هذه الزيادة إلى زيادة النفقات المباشرة وغير المباشرة فضلاً عن انخفاض عدد الطلبات المنشورة في عام 2015 مقارنة بعام 2014. </w:t>
      </w:r>
      <w:r w:rsidR="00443AFB">
        <w:rPr>
          <w:rFonts w:ascii="Arabic Typesetting" w:hAnsi="Arabic Typesetting" w:cs="Arabic Typesetting" w:hint="cs"/>
          <w:sz w:val="34"/>
          <w:szCs w:val="34"/>
          <w:rtl/>
          <w:lang w:val="en-GB"/>
        </w:rPr>
        <w:t>وتعزى</w:t>
      </w:r>
      <w:r w:rsidR="00921FC0">
        <w:rPr>
          <w:rFonts w:ascii="Arabic Typesetting" w:hAnsi="Arabic Typesetting" w:cs="Arabic Typesetting" w:hint="cs"/>
          <w:sz w:val="34"/>
          <w:szCs w:val="34"/>
          <w:rtl/>
          <w:lang w:val="en-GB"/>
        </w:rPr>
        <w:t xml:space="preserve"> أساساً الزيادة في عام 2015 إلى أن عام</w:t>
      </w:r>
      <w:r w:rsidR="002F10E6">
        <w:rPr>
          <w:rFonts w:ascii="Arabic Typesetting" w:hAnsi="Arabic Typesetting" w:cs="Arabic Typesetting" w:hint="eastAsia"/>
          <w:sz w:val="34"/>
          <w:szCs w:val="34"/>
          <w:rtl/>
          <w:lang w:val="en-GB"/>
        </w:rPr>
        <w:t> </w:t>
      </w:r>
      <w:r w:rsidR="00921FC0">
        <w:rPr>
          <w:rFonts w:ascii="Arabic Typesetting" w:hAnsi="Arabic Typesetting" w:cs="Arabic Typesetting" w:hint="cs"/>
          <w:sz w:val="34"/>
          <w:szCs w:val="34"/>
          <w:rtl/>
          <w:lang w:val="en-GB"/>
        </w:rPr>
        <w:t>2014 قد سجل انخفاضاً غير مسبوق في تكلفة الوحدة وفعالية كبرى بفضل العوامل التالية: "1" زيادة الإيداعات الواردة من الولايات المتحدة في مارس 2014 عقب دخول قانون الاختراعات الأمريكي ليهي سميث (</w:t>
      </w:r>
      <w:r w:rsidR="00921FC0">
        <w:rPr>
          <w:rFonts w:ascii="Arabic Typesetting" w:hAnsi="Arabic Typesetting" w:cs="Arabic Typesetting"/>
          <w:sz w:val="34"/>
          <w:szCs w:val="34"/>
        </w:rPr>
        <w:t>AIA</w:t>
      </w:r>
      <w:r w:rsidR="00921FC0">
        <w:rPr>
          <w:rFonts w:ascii="Arabic Typesetting" w:hAnsi="Arabic Typesetting" w:cs="Arabic Typesetting" w:hint="cs"/>
          <w:sz w:val="34"/>
          <w:szCs w:val="34"/>
          <w:rtl/>
        </w:rPr>
        <w:t xml:space="preserve">) حيز النفاذ في العام السابق؛ "2" وتزامن عام 2014 مع مرور فترة خمس إلى ست سنوات </w:t>
      </w:r>
      <w:r w:rsidR="002F10E6">
        <w:rPr>
          <w:rFonts w:ascii="Arabic Typesetting" w:hAnsi="Arabic Typesetting" w:cs="Arabic Typesetting" w:hint="cs"/>
          <w:sz w:val="34"/>
          <w:szCs w:val="34"/>
          <w:rtl/>
        </w:rPr>
        <w:t>حيث يبلغ</w:t>
      </w:r>
      <w:r w:rsidR="00921FC0">
        <w:rPr>
          <w:rFonts w:ascii="Arabic Typesetting" w:hAnsi="Arabic Typesetting" w:cs="Arabic Typesetting" w:hint="cs"/>
          <w:sz w:val="34"/>
          <w:szCs w:val="34"/>
          <w:rtl/>
        </w:rPr>
        <w:t xml:space="preserve"> عدد أسابيع النشر 53 أسبوعاً عوضاً عن 52 ما </w:t>
      </w:r>
      <w:r w:rsidR="002F10E6">
        <w:rPr>
          <w:rFonts w:ascii="Arabic Typesetting" w:hAnsi="Arabic Typesetting" w:cs="Arabic Typesetting" w:hint="cs"/>
          <w:sz w:val="34"/>
          <w:szCs w:val="34"/>
          <w:rtl/>
        </w:rPr>
        <w:t>أدى</w:t>
      </w:r>
      <w:r w:rsidR="00921FC0">
        <w:rPr>
          <w:rFonts w:ascii="Arabic Typesetting" w:hAnsi="Arabic Typesetting" w:cs="Arabic Typesetting" w:hint="cs"/>
          <w:sz w:val="34"/>
          <w:szCs w:val="34"/>
          <w:rtl/>
        </w:rPr>
        <w:t xml:space="preserve"> إلى زيادة عدد المنشورات الصادرة خلال عام 2014.</w:t>
      </w:r>
      <w:r w:rsidR="002F10E6">
        <w:rPr>
          <w:rFonts w:ascii="Arabic Typesetting" w:hAnsi="Arabic Typesetting" w:cs="Arabic Typesetting" w:hint="cs"/>
          <w:sz w:val="34"/>
          <w:szCs w:val="34"/>
          <w:rtl/>
        </w:rPr>
        <w:t xml:space="preserve"> وفضلاً عن ذلك، تكون النفقات أعلى عادة في السنة الثانية من الثنائية. وفضلاً عن ذلك، ارتفعت تكلفة الترجمة المتعلقة بنظام معاهدة البراءات بنسبة 7.3 بالمئة في عام 2015 مقارنة بعام 2014 نظراً إلى زيادة حصص اللغات الآسيوية وطول التقارير الواجب ترجمتها. وأما من حيث تفاصيل الزيادة، فتعزى 44 بالمئة منها إلى الانخفاض المذكور في المنشورات و18.7 بالمئة إلى زيادة تكاليف الترجمة و4.4 بالمئة إلى الخدمات الإعلامية لنظام معاهدة البراءات و5.5 بالمئة إلى معالجة الطلبات نفسها والباقي إلى التكاليف غير المباشرة. ومع ذلك، فقد انخفض متوسط تكلفة معالجة طلب منشور بناء على معاهدة التعاون بشأن البراءات في الثنائية </w:t>
      </w:r>
      <w:r w:rsidR="00507DE2">
        <w:rPr>
          <w:rFonts w:ascii="Arabic Typesetting" w:hAnsi="Arabic Typesetting" w:cs="Arabic Typesetting" w:hint="cs"/>
          <w:sz w:val="34"/>
          <w:szCs w:val="34"/>
          <w:rtl/>
        </w:rPr>
        <w:t>2014/15</w:t>
      </w:r>
      <w:r w:rsidR="002F10E6">
        <w:rPr>
          <w:rFonts w:ascii="Arabic Typesetting" w:hAnsi="Arabic Typesetting" w:cs="Arabic Typesetting" w:hint="cs"/>
          <w:sz w:val="34"/>
          <w:szCs w:val="34"/>
          <w:rtl/>
        </w:rPr>
        <w:t xml:space="preserve"> (698 فرنكا سويسريا) بنسبة 2.7 بالمئة مقارنة بالثنائية </w:t>
      </w:r>
      <w:r w:rsidR="00507DE2">
        <w:rPr>
          <w:rFonts w:ascii="Arabic Typesetting" w:hAnsi="Arabic Typesetting" w:cs="Arabic Typesetting" w:hint="cs"/>
          <w:sz w:val="34"/>
          <w:szCs w:val="34"/>
          <w:rtl/>
        </w:rPr>
        <w:t>2012/13</w:t>
      </w:r>
      <w:r w:rsidR="002F10E6">
        <w:rPr>
          <w:rFonts w:ascii="Arabic Typesetting" w:hAnsi="Arabic Typesetting" w:cs="Arabic Typesetting" w:hint="cs"/>
          <w:sz w:val="34"/>
          <w:szCs w:val="34"/>
          <w:rtl/>
        </w:rPr>
        <w:t xml:space="preserve"> (717</w:t>
      </w:r>
      <w:r w:rsidR="00AA623D">
        <w:rPr>
          <w:rFonts w:ascii="Arabic Typesetting" w:hAnsi="Arabic Typesetting" w:cs="Arabic Typesetting" w:hint="eastAsia"/>
          <w:sz w:val="34"/>
          <w:szCs w:val="34"/>
          <w:rtl/>
        </w:rPr>
        <w:t> </w:t>
      </w:r>
      <w:r w:rsidR="002F10E6">
        <w:rPr>
          <w:rFonts w:ascii="Arabic Typesetting" w:hAnsi="Arabic Typesetting" w:cs="Arabic Typesetting" w:hint="cs"/>
          <w:sz w:val="34"/>
          <w:szCs w:val="34"/>
          <w:rtl/>
        </w:rPr>
        <w:t>فرنكا</w:t>
      </w:r>
      <w:r w:rsidR="00AA623D">
        <w:rPr>
          <w:rFonts w:ascii="Arabic Typesetting" w:hAnsi="Arabic Typesetting" w:cs="Arabic Typesetting" w:hint="eastAsia"/>
          <w:sz w:val="34"/>
          <w:szCs w:val="34"/>
          <w:rtl/>
        </w:rPr>
        <w:t> </w:t>
      </w:r>
      <w:r w:rsidR="002F10E6">
        <w:rPr>
          <w:rFonts w:ascii="Arabic Typesetting" w:hAnsi="Arabic Typesetting" w:cs="Arabic Typesetting" w:hint="cs"/>
          <w:sz w:val="34"/>
          <w:szCs w:val="34"/>
          <w:rtl/>
        </w:rPr>
        <w:t>سويسريا).</w:t>
      </w:r>
    </w:p>
    <w:p w:rsidR="00F37899" w:rsidRPr="00F37899" w:rsidRDefault="00F37899" w:rsidP="009A3712">
      <w:pPr>
        <w:numPr>
          <w:ilvl w:val="0"/>
          <w:numId w:val="27"/>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lastRenderedPageBreak/>
        <w:t xml:space="preserve">وانخفض متوسط تكلفة معالجة طلب منشور بناء على معاهدة التعاون بشأن البراءات المحسوب باستخدام المنهجية القديمة بنسبة 5 </w:t>
      </w:r>
      <w:r w:rsidR="00AA623D">
        <w:rPr>
          <w:rFonts w:ascii="Arabic Typesetting" w:hAnsi="Arabic Typesetting" w:cs="Arabic Typesetting" w:hint="cs"/>
          <w:sz w:val="34"/>
          <w:szCs w:val="34"/>
          <w:rtl/>
          <w:lang w:val="en-GB"/>
        </w:rPr>
        <w:t>بالمئة</w:t>
      </w:r>
      <w:r w:rsidRPr="00F37899">
        <w:rPr>
          <w:rFonts w:ascii="Arabic Typesetting" w:hAnsi="Arabic Typesetting" w:cs="Arabic Typesetting"/>
          <w:sz w:val="34"/>
          <w:szCs w:val="34"/>
          <w:rtl/>
          <w:lang w:val="en-GB"/>
        </w:rPr>
        <w:t xml:space="preserve"> في </w:t>
      </w:r>
      <w:r w:rsidRPr="002F10E6">
        <w:rPr>
          <w:rFonts w:ascii="Arabic Typesetting" w:hAnsi="Arabic Typesetting" w:cs="Arabic Typesetting"/>
          <w:sz w:val="34"/>
          <w:szCs w:val="34"/>
          <w:rtl/>
        </w:rPr>
        <w:t>المتوسط</w:t>
      </w:r>
      <w:r w:rsidRPr="00F37899">
        <w:rPr>
          <w:rFonts w:ascii="Arabic Typesetting" w:hAnsi="Arabic Typesetting" w:cs="Arabic Typesetting"/>
          <w:sz w:val="34"/>
          <w:szCs w:val="34"/>
          <w:rtl/>
          <w:lang w:val="en-GB"/>
        </w:rPr>
        <w:t xml:space="preserve"> في كل عام من مبلغ 042 1 فرنكا سويسريا في عام 2004 إلى مبلغ 680 فرنكا سويسريا في عام 2012.</w:t>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إنتاجية فحص الإجراءات الشكلية</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تعرف إنتاجية الموظفين على أنها المخرجات (أي عدد منشورات معاهدة التعاون بشأن البراءات) مقسمة على عدد الموظفين المتاحين لفحص الإجراءات الشكلية.</w:t>
      </w:r>
    </w:p>
    <w:p w:rsidR="00F37899" w:rsidRPr="00F37899" w:rsidRDefault="00F37899" w:rsidP="00F37899">
      <w:pPr>
        <w:keepNext/>
        <w:bidi/>
        <w:spacing w:after="120" w:line="340" w:lineRule="exact"/>
        <w:jc w:val="center"/>
        <w:rPr>
          <w:rFonts w:ascii="Arabic Typesetting" w:hAnsi="Arabic Typesetting" w:cs="Arabic Typesetting"/>
          <w:b/>
          <w:bCs/>
          <w:sz w:val="34"/>
          <w:szCs w:val="34"/>
          <w:rtl/>
          <w:lang w:val="en-GB"/>
        </w:rPr>
      </w:pPr>
      <w:r w:rsidRPr="00F37899">
        <w:rPr>
          <w:rFonts w:ascii="Arabic Typesetting" w:hAnsi="Arabic Typesetting" w:cs="Arabic Typesetting"/>
          <w:b/>
          <w:bCs/>
          <w:sz w:val="34"/>
          <w:szCs w:val="34"/>
          <w:rtl/>
          <w:lang w:val="en-GB"/>
        </w:rPr>
        <w:t>إنتاجية فحص الإجراءات الشكلية</w:t>
      </w:r>
    </w:p>
    <w:p w:rsidR="00F37899" w:rsidRPr="00F37899" w:rsidRDefault="006F2B2D" w:rsidP="00F37899">
      <w:pPr>
        <w:bidi/>
        <w:spacing w:after="120"/>
        <w:rPr>
          <w:rFonts w:ascii="Arabic Typesetting" w:hAnsi="Arabic Typesetting" w:cs="Arabic Typesetting"/>
          <w:sz w:val="34"/>
          <w:szCs w:val="34"/>
          <w:rtl/>
          <w:lang w:val="en-GB"/>
        </w:rPr>
      </w:pPr>
      <w:r>
        <w:rPr>
          <w:noProof/>
        </w:rPr>
        <w:drawing>
          <wp:inline distT="0" distB="0" distL="0" distR="0" wp14:anchorId="71D46145" wp14:editId="7BA491DE">
            <wp:extent cx="5940425" cy="3001311"/>
            <wp:effectExtent l="0" t="0" r="22225" b="27940"/>
            <wp:docPr id="369" name="Chart 36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F37899" w:rsidRDefault="00F37899" w:rsidP="009A3712">
      <w:pPr>
        <w:numPr>
          <w:ilvl w:val="0"/>
          <w:numId w:val="28"/>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ارتفعت إنتاجية فحص الإجراءات الشكلية في الماضي أساسا بسبب أتمتة هذه الإجراءات التي</w:t>
      </w:r>
      <w:r w:rsidR="007E6F48">
        <w:rPr>
          <w:rFonts w:ascii="Arabic Typesetting" w:hAnsi="Arabic Typesetting" w:cs="Arabic Typesetting"/>
          <w:sz w:val="34"/>
          <w:szCs w:val="34"/>
          <w:rtl/>
          <w:lang w:val="en-GB"/>
        </w:rPr>
        <w:t xml:space="preserve"> أتاحت معالجة عدد أكبر من أعباء</w:t>
      </w:r>
      <w:r w:rsidR="007E6F48">
        <w:rPr>
          <w:rFonts w:ascii="Arabic Typesetting" w:hAnsi="Arabic Typesetting" w:cs="Arabic Typesetting" w:hint="cs"/>
          <w:sz w:val="34"/>
          <w:szCs w:val="34"/>
          <w:rtl/>
          <w:lang w:val="en-GB"/>
        </w:rPr>
        <w:t xml:space="preserve"> </w:t>
      </w:r>
      <w:r w:rsidRPr="00F37899">
        <w:rPr>
          <w:rFonts w:ascii="Arabic Typesetting" w:hAnsi="Arabic Typesetting" w:cs="Arabic Typesetting"/>
          <w:sz w:val="34"/>
          <w:szCs w:val="34"/>
          <w:rtl/>
          <w:lang w:val="en-GB"/>
        </w:rPr>
        <w:t>العمل بعدد أقل أو مساوٍ من الموظفين.</w:t>
      </w:r>
    </w:p>
    <w:p w:rsidR="0059728B" w:rsidRPr="00F37899" w:rsidRDefault="006241B7" w:rsidP="009A3712">
      <w:pPr>
        <w:numPr>
          <w:ilvl w:val="0"/>
          <w:numId w:val="28"/>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t>و</w:t>
      </w:r>
      <w:r w:rsidR="0059728B">
        <w:rPr>
          <w:rFonts w:ascii="Arabic Typesetting" w:hAnsi="Arabic Typesetting" w:cs="Arabic Typesetting" w:hint="cs"/>
          <w:sz w:val="34"/>
          <w:szCs w:val="34"/>
          <w:rtl/>
          <w:lang w:val="en-GB"/>
        </w:rPr>
        <w:t>على الرغم من انخفاض عدد الموظفين العاملين على فحص الإ</w:t>
      </w:r>
      <w:r>
        <w:rPr>
          <w:rFonts w:ascii="Arabic Typesetting" w:hAnsi="Arabic Typesetting" w:cs="Arabic Typesetting" w:hint="cs"/>
          <w:sz w:val="34"/>
          <w:szCs w:val="34"/>
          <w:rtl/>
          <w:lang w:val="en-GB"/>
        </w:rPr>
        <w:t>ج</w:t>
      </w:r>
      <w:r w:rsidR="0059728B">
        <w:rPr>
          <w:rFonts w:ascii="Arabic Typesetting" w:hAnsi="Arabic Typesetting" w:cs="Arabic Typesetting" w:hint="cs"/>
          <w:sz w:val="34"/>
          <w:szCs w:val="34"/>
          <w:rtl/>
          <w:lang w:val="en-GB"/>
        </w:rPr>
        <w:t>راءات الشكلية</w:t>
      </w:r>
      <w:r>
        <w:rPr>
          <w:rFonts w:ascii="Arabic Typesetting" w:hAnsi="Arabic Typesetting" w:cs="Arabic Typesetting" w:hint="cs"/>
          <w:sz w:val="34"/>
          <w:szCs w:val="34"/>
          <w:rtl/>
          <w:lang w:val="en-GB"/>
        </w:rPr>
        <w:t xml:space="preserve"> بنسبة 4 بالمئة</w:t>
      </w:r>
      <w:r w:rsidRPr="006241B7">
        <w:rPr>
          <w:rFonts w:ascii="Arabic Typesetting" w:hAnsi="Arabic Typesetting" w:cs="Arabic Typesetting" w:hint="cs"/>
          <w:sz w:val="34"/>
          <w:szCs w:val="34"/>
          <w:rtl/>
          <w:lang w:val="en-GB"/>
        </w:rPr>
        <w:t xml:space="preserve"> </w:t>
      </w:r>
      <w:r>
        <w:rPr>
          <w:rFonts w:ascii="Arabic Typesetting" w:hAnsi="Arabic Typesetting" w:cs="Arabic Typesetting" w:hint="cs"/>
          <w:sz w:val="34"/>
          <w:szCs w:val="34"/>
          <w:rtl/>
          <w:lang w:val="en-GB"/>
        </w:rPr>
        <w:t>في عام 2015</w:t>
      </w:r>
      <w:r w:rsidR="0059728B">
        <w:rPr>
          <w:rFonts w:ascii="Arabic Typesetting" w:hAnsi="Arabic Typesetting" w:cs="Arabic Typesetting" w:hint="cs"/>
          <w:sz w:val="34"/>
          <w:szCs w:val="34"/>
          <w:rtl/>
          <w:lang w:val="en-GB"/>
        </w:rPr>
        <w:t>، فقد</w:t>
      </w:r>
      <w:r w:rsidR="00390257">
        <w:rPr>
          <w:rFonts w:ascii="Arabic Typesetting" w:hAnsi="Arabic Typesetting" w:cs="Arabic Typesetting" w:hint="eastAsia"/>
          <w:sz w:val="34"/>
          <w:szCs w:val="34"/>
          <w:rtl/>
          <w:lang w:val="en-GB"/>
        </w:rPr>
        <w:t> </w:t>
      </w:r>
      <w:r w:rsidR="0059728B">
        <w:rPr>
          <w:rFonts w:ascii="Arabic Typesetting" w:hAnsi="Arabic Typesetting" w:cs="Arabic Typesetting" w:hint="cs"/>
          <w:sz w:val="34"/>
          <w:szCs w:val="34"/>
          <w:rtl/>
          <w:lang w:val="en-GB"/>
        </w:rPr>
        <w:t xml:space="preserve">انخفضت </w:t>
      </w:r>
      <w:proofErr w:type="spellStart"/>
      <w:r w:rsidR="0059728B">
        <w:rPr>
          <w:rFonts w:ascii="Arabic Typesetting" w:hAnsi="Arabic Typesetting" w:cs="Arabic Typesetting" w:hint="cs"/>
          <w:sz w:val="34"/>
          <w:szCs w:val="34"/>
          <w:rtl/>
          <w:lang w:val="en-GB"/>
        </w:rPr>
        <w:t>ال</w:t>
      </w:r>
      <w:r>
        <w:rPr>
          <w:rFonts w:ascii="Arabic Typesetting" w:hAnsi="Arabic Typesetting" w:cs="Arabic Typesetting" w:hint="cs"/>
          <w:sz w:val="34"/>
          <w:szCs w:val="34"/>
          <w:rtl/>
          <w:lang w:val="en-GB"/>
        </w:rPr>
        <w:t>إ</w:t>
      </w:r>
      <w:r w:rsidR="0059728B">
        <w:rPr>
          <w:rFonts w:ascii="Arabic Typesetting" w:hAnsi="Arabic Typesetting" w:cs="Arabic Typesetting" w:hint="cs"/>
          <w:sz w:val="34"/>
          <w:szCs w:val="34"/>
          <w:rtl/>
          <w:lang w:val="en-GB"/>
        </w:rPr>
        <w:t>نتجاية</w:t>
      </w:r>
      <w:proofErr w:type="spellEnd"/>
      <w:r w:rsidR="0059728B">
        <w:rPr>
          <w:rFonts w:ascii="Arabic Typesetting" w:hAnsi="Arabic Typesetting" w:cs="Arabic Typesetting" w:hint="cs"/>
          <w:sz w:val="34"/>
          <w:szCs w:val="34"/>
          <w:rtl/>
          <w:lang w:val="en-GB"/>
        </w:rPr>
        <w:t xml:space="preserve"> في فحص الإجراءات الشكلية بنسبة 1 بالمئة مقارنة بعام 2014 بسبب انخفاض نسبته 5 بالمئة في عدد الطلبات بناء على معاهدة البراءات </w:t>
      </w:r>
      <w:r w:rsidR="007E6F48">
        <w:rPr>
          <w:rFonts w:ascii="Arabic Typesetting" w:hAnsi="Arabic Typesetting" w:cs="Arabic Typesetting" w:hint="cs"/>
          <w:sz w:val="34"/>
          <w:szCs w:val="34"/>
          <w:rtl/>
          <w:lang w:val="en-GB"/>
        </w:rPr>
        <w:t>و</w:t>
      </w:r>
      <w:r w:rsidR="0059728B">
        <w:rPr>
          <w:rFonts w:ascii="Arabic Typesetting" w:hAnsi="Arabic Typesetting" w:cs="Arabic Typesetting" w:hint="cs"/>
          <w:sz w:val="34"/>
          <w:szCs w:val="34"/>
          <w:rtl/>
          <w:lang w:val="en-GB"/>
        </w:rPr>
        <w:t>الواجب إعدادها للنشر. وكانت الأسباب الرئيسية لهذا الانخفاض هي "1" زيادة الإيداعات الواردة من الولايات المتحدة في مارس 2014 عقب دخول قانون الاختراعات الأمريكي ليهي سميث (</w:t>
      </w:r>
      <w:r w:rsidR="0059728B">
        <w:rPr>
          <w:rFonts w:ascii="Arabic Typesetting" w:hAnsi="Arabic Typesetting" w:cs="Arabic Typesetting"/>
          <w:sz w:val="34"/>
          <w:szCs w:val="34"/>
        </w:rPr>
        <w:t>AIA</w:t>
      </w:r>
      <w:r w:rsidR="0059728B">
        <w:rPr>
          <w:rFonts w:ascii="Arabic Typesetting" w:hAnsi="Arabic Typesetting" w:cs="Arabic Typesetting" w:hint="cs"/>
          <w:sz w:val="34"/>
          <w:szCs w:val="34"/>
          <w:rtl/>
        </w:rPr>
        <w:t>) حيز النفاذ في العام السابق؛ "2" وتزامن عام 2014 مع مرور فترة خمس إلى ست سنوات حيث ي</w:t>
      </w:r>
      <w:r>
        <w:rPr>
          <w:rFonts w:ascii="Arabic Typesetting" w:hAnsi="Arabic Typesetting" w:cs="Arabic Typesetting" w:hint="cs"/>
          <w:sz w:val="34"/>
          <w:szCs w:val="34"/>
          <w:rtl/>
        </w:rPr>
        <w:t xml:space="preserve">صبح </w:t>
      </w:r>
      <w:r w:rsidR="0059728B">
        <w:rPr>
          <w:rFonts w:ascii="Arabic Typesetting" w:hAnsi="Arabic Typesetting" w:cs="Arabic Typesetting" w:hint="cs"/>
          <w:sz w:val="34"/>
          <w:szCs w:val="34"/>
          <w:rtl/>
        </w:rPr>
        <w:t>عدد أسابيع النشر 53 أسبوعاً عوضاً عن 52 ما أدى إلى زيادة عدد المنشورات الصادرة خلال عام 2014. ومع</w:t>
      </w:r>
      <w:r>
        <w:rPr>
          <w:rFonts w:ascii="Arabic Typesetting" w:hAnsi="Arabic Typesetting" w:cs="Arabic Typesetting" w:hint="eastAsia"/>
          <w:sz w:val="34"/>
          <w:szCs w:val="34"/>
          <w:rtl/>
        </w:rPr>
        <w:t> </w:t>
      </w:r>
      <w:r w:rsidR="0059728B">
        <w:rPr>
          <w:rFonts w:ascii="Arabic Typesetting" w:hAnsi="Arabic Typesetting" w:cs="Arabic Typesetting" w:hint="cs"/>
          <w:sz w:val="34"/>
          <w:szCs w:val="34"/>
          <w:rtl/>
        </w:rPr>
        <w:t xml:space="preserve">ذلك، فقد ازدادت الإنتاجية الإجمالية في فحص البراءات خلال </w:t>
      </w:r>
      <w:r w:rsidR="00507DE2">
        <w:rPr>
          <w:rFonts w:ascii="Arabic Typesetting" w:hAnsi="Arabic Typesetting" w:cs="Arabic Typesetting" w:hint="cs"/>
          <w:sz w:val="34"/>
          <w:szCs w:val="34"/>
          <w:rtl/>
        </w:rPr>
        <w:t>2014/15</w:t>
      </w:r>
      <w:r w:rsidR="0059728B">
        <w:rPr>
          <w:rFonts w:ascii="Arabic Typesetting" w:hAnsi="Arabic Typesetting" w:cs="Arabic Typesetting" w:hint="cs"/>
          <w:sz w:val="34"/>
          <w:szCs w:val="34"/>
          <w:rtl/>
        </w:rPr>
        <w:t xml:space="preserve"> بنسبة 22 بالمئة مقارنة بالثنائية</w:t>
      </w:r>
      <w:r w:rsidR="00390257">
        <w:rPr>
          <w:rFonts w:ascii="Arabic Typesetting" w:hAnsi="Arabic Typesetting" w:cs="Arabic Typesetting" w:hint="eastAsia"/>
          <w:sz w:val="34"/>
          <w:szCs w:val="34"/>
          <w:rtl/>
        </w:rPr>
        <w:t> </w:t>
      </w:r>
      <w:r w:rsidR="00507DE2">
        <w:rPr>
          <w:rFonts w:ascii="Arabic Typesetting" w:hAnsi="Arabic Typesetting" w:cs="Arabic Typesetting" w:hint="cs"/>
          <w:sz w:val="34"/>
          <w:szCs w:val="34"/>
          <w:rtl/>
        </w:rPr>
        <w:t>2012/13</w:t>
      </w:r>
      <w:r w:rsidR="0059728B">
        <w:rPr>
          <w:rFonts w:ascii="Arabic Typesetting" w:hAnsi="Arabic Typesetting" w:cs="Arabic Typesetting" w:hint="cs"/>
          <w:sz w:val="34"/>
          <w:szCs w:val="34"/>
          <w:rtl/>
        </w:rPr>
        <w:t>.</w:t>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الجودة الإجمالية لفحص الإجراءات الشكلية</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سعيا</w:t>
      </w:r>
      <w:r w:rsidR="0059728B">
        <w:rPr>
          <w:rFonts w:ascii="Arabic Typesetting" w:hAnsi="Arabic Typesetting" w:cs="Arabic Typesetting" w:hint="cs"/>
          <w:sz w:val="34"/>
          <w:szCs w:val="34"/>
          <w:rtl/>
          <w:lang w:val="en-GB"/>
        </w:rPr>
        <w:t>ً</w:t>
      </w:r>
      <w:r w:rsidRPr="00F37899">
        <w:rPr>
          <w:rFonts w:ascii="Arabic Typesetting" w:hAnsi="Arabic Typesetting" w:cs="Arabic Typesetting"/>
          <w:sz w:val="34"/>
          <w:szCs w:val="34"/>
          <w:rtl/>
          <w:lang w:val="en-GB"/>
        </w:rPr>
        <w:t xml:space="preserve"> إلى قياس جودة العمل الذي يضطلع به المكتب الدولي بطريقة بسيطة وشاملة، </w:t>
      </w:r>
      <w:r w:rsidR="0059728B">
        <w:rPr>
          <w:rFonts w:ascii="Arabic Typesetting" w:hAnsi="Arabic Typesetting" w:cs="Arabic Typesetting" w:hint="cs"/>
          <w:sz w:val="34"/>
          <w:szCs w:val="34"/>
          <w:rtl/>
          <w:lang w:val="en-GB"/>
        </w:rPr>
        <w:t>وضع</w:t>
      </w:r>
      <w:r w:rsidRPr="00F37899">
        <w:rPr>
          <w:rFonts w:ascii="Arabic Typesetting" w:hAnsi="Arabic Typesetting" w:cs="Arabic Typesetting"/>
          <w:sz w:val="34"/>
          <w:szCs w:val="34"/>
          <w:rtl/>
          <w:lang w:val="en-GB"/>
        </w:rPr>
        <w:t xml:space="preserve"> المكتب مؤشرا</w:t>
      </w:r>
      <w:r w:rsidR="00E37B17">
        <w:rPr>
          <w:rFonts w:ascii="Arabic Typesetting" w:hAnsi="Arabic Typesetting" w:cs="Arabic Typesetting" w:hint="cs"/>
          <w:sz w:val="34"/>
          <w:szCs w:val="34"/>
          <w:rtl/>
          <w:lang w:val="en-GB"/>
        </w:rPr>
        <w:t>ً</w:t>
      </w:r>
      <w:r w:rsidRPr="00F37899">
        <w:rPr>
          <w:rFonts w:ascii="Arabic Typesetting" w:hAnsi="Arabic Typesetting" w:cs="Arabic Typesetting"/>
          <w:sz w:val="34"/>
          <w:szCs w:val="34"/>
          <w:rtl/>
          <w:lang w:val="en-GB"/>
        </w:rPr>
        <w:t xml:space="preserve"> </w:t>
      </w:r>
      <w:r w:rsidR="00390257">
        <w:rPr>
          <w:rFonts w:ascii="Arabic Typesetting" w:hAnsi="Arabic Typesetting" w:cs="Arabic Typesetting" w:hint="cs"/>
          <w:sz w:val="34"/>
          <w:szCs w:val="34"/>
          <w:rtl/>
          <w:lang w:val="en-GB"/>
        </w:rPr>
        <w:t xml:space="preserve">مركباً </w:t>
      </w:r>
      <w:r w:rsidRPr="00F37899">
        <w:rPr>
          <w:rFonts w:ascii="Arabic Typesetting" w:hAnsi="Arabic Typesetting" w:cs="Arabic Typesetting"/>
          <w:sz w:val="34"/>
          <w:szCs w:val="34"/>
          <w:rtl/>
          <w:lang w:val="en-GB"/>
        </w:rPr>
        <w:t>ل</w:t>
      </w:r>
      <w:r w:rsidR="00390257">
        <w:rPr>
          <w:rFonts w:ascii="Arabic Typesetting" w:hAnsi="Arabic Typesetting" w:cs="Arabic Typesetting"/>
          <w:sz w:val="34"/>
          <w:szCs w:val="34"/>
          <w:rtl/>
          <w:lang w:val="en-GB"/>
        </w:rPr>
        <w:t>لجودة</w:t>
      </w:r>
      <w:r w:rsidRPr="00F37899">
        <w:rPr>
          <w:rFonts w:ascii="Arabic Typesetting" w:hAnsi="Arabic Typesetting" w:cs="Arabic Typesetting"/>
          <w:sz w:val="34"/>
          <w:szCs w:val="34"/>
          <w:rtl/>
          <w:lang w:val="en-GB"/>
        </w:rPr>
        <w:t xml:space="preserve"> يحسب كمتوسط أربعة مؤشرات رئيسية للجودة تقوم ثلاثة منها على توقيت المعاملات الرئيسية في نظام </w:t>
      </w:r>
      <w:r w:rsidR="00E37B17">
        <w:rPr>
          <w:rFonts w:ascii="Arabic Typesetting" w:hAnsi="Arabic Typesetting" w:cs="Arabic Typesetting" w:hint="cs"/>
          <w:sz w:val="34"/>
          <w:szCs w:val="34"/>
          <w:rtl/>
          <w:lang w:val="en-GB"/>
        </w:rPr>
        <w:t>معاهدة البراءات،</w:t>
      </w:r>
      <w:r w:rsidRPr="00F37899">
        <w:rPr>
          <w:rFonts w:ascii="Arabic Typesetting" w:hAnsi="Arabic Typesetting" w:cs="Arabic Typesetting"/>
          <w:sz w:val="34"/>
          <w:szCs w:val="34"/>
          <w:rtl/>
          <w:lang w:val="en-GB"/>
        </w:rPr>
        <w:t xml:space="preserve"> وهي الإشعار </w:t>
      </w:r>
      <w:r w:rsidR="00390257">
        <w:rPr>
          <w:rFonts w:ascii="Arabic Typesetting" w:hAnsi="Arabic Typesetting" w:cs="Arabic Typesetting" w:hint="cs"/>
          <w:sz w:val="34"/>
          <w:szCs w:val="34"/>
          <w:rtl/>
          <w:lang w:val="en-GB"/>
        </w:rPr>
        <w:t>بتسلم</w:t>
      </w:r>
      <w:r w:rsidRPr="00F37899">
        <w:rPr>
          <w:rFonts w:ascii="Arabic Typesetting" w:hAnsi="Arabic Typesetting" w:cs="Arabic Typesetting"/>
          <w:sz w:val="34"/>
          <w:szCs w:val="34"/>
          <w:rtl/>
          <w:lang w:val="en-GB"/>
        </w:rPr>
        <w:t xml:space="preserve"> النسخة الأصلية والنشر وإعادة النشر. ويبين المؤشر الرابع عدد الأخطاء المرتكبة خلال معالجة طلبات معاهدة التعاون بشأن</w:t>
      </w:r>
      <w:r w:rsidR="00E37B17">
        <w:rPr>
          <w:rFonts w:ascii="Arabic Typesetting" w:hAnsi="Arabic Typesetting" w:cs="Arabic Typesetting" w:hint="cs"/>
          <w:sz w:val="34"/>
          <w:szCs w:val="34"/>
          <w:rtl/>
          <w:lang w:val="en-GB"/>
        </w:rPr>
        <w:t> </w:t>
      </w:r>
      <w:r w:rsidRPr="00F37899">
        <w:rPr>
          <w:rFonts w:ascii="Arabic Typesetting" w:hAnsi="Arabic Typesetting" w:cs="Arabic Typesetting"/>
          <w:sz w:val="34"/>
          <w:szCs w:val="34"/>
          <w:rtl/>
          <w:lang w:val="en-GB"/>
        </w:rPr>
        <w:t>البراءات.</w:t>
      </w:r>
    </w:p>
    <w:p w:rsidR="00F37899" w:rsidRPr="00F37899" w:rsidRDefault="00F37899" w:rsidP="00F37899">
      <w:pPr>
        <w:keepNext/>
        <w:bidi/>
        <w:spacing w:after="120" w:line="340" w:lineRule="exact"/>
        <w:jc w:val="center"/>
        <w:rPr>
          <w:rFonts w:ascii="Arabic Typesetting" w:hAnsi="Arabic Typesetting" w:cs="Arabic Typesetting"/>
          <w:b/>
          <w:bCs/>
          <w:sz w:val="34"/>
          <w:szCs w:val="34"/>
          <w:rtl/>
          <w:lang w:val="en-GB"/>
        </w:rPr>
      </w:pPr>
      <w:r w:rsidRPr="00F37899">
        <w:rPr>
          <w:rFonts w:ascii="Arabic Typesetting" w:hAnsi="Arabic Typesetting" w:cs="Arabic Typesetting"/>
          <w:b/>
          <w:bCs/>
          <w:sz w:val="34"/>
          <w:szCs w:val="34"/>
          <w:rtl/>
          <w:lang w:val="en-GB"/>
        </w:rPr>
        <w:lastRenderedPageBreak/>
        <w:t>مؤشر جودة فحص الإجراءات الشكلية</w:t>
      </w:r>
    </w:p>
    <w:p w:rsidR="00F37899" w:rsidRPr="00F37899" w:rsidRDefault="0059728B" w:rsidP="0059728B">
      <w:pPr>
        <w:bidi/>
        <w:spacing w:after="120"/>
        <w:jc w:val="center"/>
        <w:rPr>
          <w:rFonts w:ascii="Arabic Typesetting" w:hAnsi="Arabic Typesetting" w:cs="Arabic Typesetting"/>
          <w:sz w:val="34"/>
          <w:szCs w:val="34"/>
          <w:rtl/>
          <w:lang w:val="en-GB"/>
        </w:rPr>
      </w:pPr>
      <w:r>
        <w:rPr>
          <w:noProof/>
        </w:rPr>
        <w:drawing>
          <wp:inline distT="0" distB="0" distL="0" distR="0" wp14:anchorId="737CF0F3" wp14:editId="1B348B7F">
            <wp:extent cx="5940425" cy="2693500"/>
            <wp:effectExtent l="0" t="0" r="22225" b="12065"/>
            <wp:docPr id="372" name="Chart 3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F37899" w:rsidRPr="00F37899" w:rsidRDefault="00F37899" w:rsidP="009A3712">
      <w:pPr>
        <w:numPr>
          <w:ilvl w:val="0"/>
          <w:numId w:val="28"/>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تحسنت الجودة الإجمالية، المقاسة بالمؤشر المركب، تحسنا ملحوظا من متوسط قدره 81 </w:t>
      </w:r>
      <w:r w:rsidR="0059728B">
        <w:rPr>
          <w:rFonts w:ascii="Arabic Typesetting" w:hAnsi="Arabic Typesetting" w:cs="Arabic Typesetting" w:hint="cs"/>
          <w:sz w:val="34"/>
          <w:szCs w:val="34"/>
          <w:rtl/>
          <w:lang w:val="en-GB"/>
        </w:rPr>
        <w:t>بالمئة</w:t>
      </w:r>
      <w:r w:rsidRPr="00F37899">
        <w:rPr>
          <w:rFonts w:ascii="Arabic Typesetting" w:hAnsi="Arabic Typesetting" w:cs="Arabic Typesetting"/>
          <w:sz w:val="34"/>
          <w:szCs w:val="34"/>
          <w:rtl/>
          <w:lang w:val="en-GB"/>
        </w:rPr>
        <w:t xml:space="preserve"> في عام 2007 إلى </w:t>
      </w:r>
      <w:r w:rsidR="0059728B">
        <w:rPr>
          <w:rFonts w:ascii="Arabic Typesetting" w:hAnsi="Arabic Typesetting" w:cs="Arabic Typesetting" w:hint="cs"/>
          <w:sz w:val="34"/>
          <w:szCs w:val="34"/>
          <w:rtl/>
          <w:lang w:val="en-GB"/>
        </w:rPr>
        <w:t>92.8 بالمئة</w:t>
      </w:r>
      <w:r w:rsidRPr="00F37899">
        <w:rPr>
          <w:rFonts w:ascii="Arabic Typesetting" w:hAnsi="Arabic Typesetting" w:cs="Arabic Typesetting"/>
          <w:sz w:val="34"/>
          <w:szCs w:val="34"/>
          <w:rtl/>
          <w:lang w:val="en-GB"/>
        </w:rPr>
        <w:t xml:space="preserve"> في عام </w:t>
      </w:r>
      <w:r w:rsidR="0059728B">
        <w:rPr>
          <w:rFonts w:ascii="Arabic Typesetting" w:hAnsi="Arabic Typesetting" w:cs="Arabic Typesetting" w:hint="cs"/>
          <w:sz w:val="34"/>
          <w:szCs w:val="34"/>
          <w:rtl/>
          <w:lang w:val="en-GB"/>
        </w:rPr>
        <w:t>2015</w:t>
      </w:r>
      <w:r w:rsidRPr="00F37899">
        <w:rPr>
          <w:rFonts w:ascii="Arabic Typesetting" w:hAnsi="Arabic Typesetting" w:cs="Arabic Typesetting"/>
          <w:sz w:val="34"/>
          <w:szCs w:val="34"/>
          <w:rtl/>
          <w:lang w:val="en-GB"/>
        </w:rPr>
        <w:t>.</w:t>
      </w:r>
    </w:p>
    <w:p w:rsidR="0067185A" w:rsidRDefault="0067185A" w:rsidP="009A3712">
      <w:pPr>
        <w:numPr>
          <w:ilvl w:val="0"/>
          <w:numId w:val="28"/>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t xml:space="preserve">ويعزى الانخفاض الطفيف في مؤشر الجودة بنسبة 0.3 بالمئة في عام 2015 مقارنة بعام </w:t>
      </w:r>
      <w:r w:rsidR="005B1E75">
        <w:rPr>
          <w:rFonts w:ascii="Arabic Typesetting" w:hAnsi="Arabic Typesetting" w:cs="Arabic Typesetting" w:hint="cs"/>
          <w:sz w:val="34"/>
          <w:szCs w:val="34"/>
          <w:rtl/>
          <w:lang w:val="en-GB"/>
        </w:rPr>
        <w:t>2014</w:t>
      </w:r>
      <w:r>
        <w:rPr>
          <w:rFonts w:ascii="Arabic Typesetting" w:hAnsi="Arabic Typesetting" w:cs="Arabic Typesetting" w:hint="cs"/>
          <w:sz w:val="34"/>
          <w:szCs w:val="34"/>
          <w:rtl/>
          <w:lang w:val="en-GB"/>
        </w:rPr>
        <w:t xml:space="preserve"> إلى </w:t>
      </w:r>
      <w:r w:rsidR="00390257">
        <w:rPr>
          <w:rFonts w:ascii="Arabic Typesetting" w:hAnsi="Arabic Typesetting" w:cs="Arabic Typesetting" w:hint="cs"/>
          <w:sz w:val="34"/>
          <w:szCs w:val="34"/>
          <w:rtl/>
          <w:lang w:val="en-GB"/>
        </w:rPr>
        <w:t>التأخر</w:t>
      </w:r>
      <w:r>
        <w:rPr>
          <w:rFonts w:ascii="Arabic Typesetting" w:hAnsi="Arabic Typesetting" w:cs="Arabic Typesetting" w:hint="cs"/>
          <w:sz w:val="34"/>
          <w:szCs w:val="34"/>
          <w:rtl/>
          <w:lang w:val="en-GB"/>
        </w:rPr>
        <w:t xml:space="preserve"> في إعادة نشر طلبات مودعة بناء على معاهدة البراءات مع تقارير البحث الدولي في غضون شهرين</w:t>
      </w:r>
      <w:r w:rsidR="00390257">
        <w:rPr>
          <w:rFonts w:ascii="Arabic Typesetting" w:hAnsi="Arabic Typesetting" w:cs="Arabic Typesetting" w:hint="cs"/>
          <w:sz w:val="34"/>
          <w:szCs w:val="34"/>
          <w:rtl/>
          <w:lang w:val="en-GB"/>
        </w:rPr>
        <w:t xml:space="preserve">، إذ انخفضت نسبة إعادة النشر </w:t>
      </w:r>
      <w:r w:rsidR="00FD3F5C">
        <w:rPr>
          <w:rFonts w:ascii="Arabic Typesetting" w:hAnsi="Arabic Typesetting" w:cs="Arabic Typesetting" w:hint="cs"/>
          <w:sz w:val="34"/>
          <w:szCs w:val="34"/>
          <w:rtl/>
          <w:lang w:val="en-GB"/>
        </w:rPr>
        <w:t xml:space="preserve">من 77 بالمئة في عام 2014 إلى 74 بالمئة في عام 2015. أما المؤشرات الثلاثة الأخرى المستخدمة في حساب مؤشر الجودة </w:t>
      </w:r>
      <w:r w:rsidR="00390257">
        <w:rPr>
          <w:rFonts w:ascii="Arabic Typesetting" w:hAnsi="Arabic Typesetting" w:cs="Arabic Typesetting" w:hint="cs"/>
          <w:sz w:val="34"/>
          <w:szCs w:val="34"/>
          <w:rtl/>
          <w:lang w:val="en-GB"/>
        </w:rPr>
        <w:t>المركب،</w:t>
      </w:r>
      <w:r w:rsidR="00FD3F5C">
        <w:rPr>
          <w:rFonts w:ascii="Arabic Typesetting" w:hAnsi="Arabic Typesetting" w:cs="Arabic Typesetting" w:hint="cs"/>
          <w:sz w:val="34"/>
          <w:szCs w:val="34"/>
          <w:rtl/>
          <w:lang w:val="en-GB"/>
        </w:rPr>
        <w:t xml:space="preserve"> فقد تحسنت في عام 2015 مقارنة بعام 2014. وتحسن مؤشر الجودة في الثنائية </w:t>
      </w:r>
      <w:r w:rsidR="00507DE2">
        <w:rPr>
          <w:rFonts w:ascii="Arabic Typesetting" w:hAnsi="Arabic Typesetting" w:cs="Arabic Typesetting" w:hint="cs"/>
          <w:sz w:val="34"/>
          <w:szCs w:val="34"/>
          <w:rtl/>
          <w:lang w:val="en-GB"/>
        </w:rPr>
        <w:t>2014/15</w:t>
      </w:r>
      <w:r w:rsidR="00FD3F5C">
        <w:rPr>
          <w:rFonts w:ascii="Arabic Typesetting" w:hAnsi="Arabic Typesetting" w:cs="Arabic Typesetting" w:hint="cs"/>
          <w:sz w:val="34"/>
          <w:szCs w:val="34"/>
          <w:rtl/>
          <w:lang w:val="en-GB"/>
        </w:rPr>
        <w:t xml:space="preserve"> (93</w:t>
      </w:r>
      <w:r w:rsidR="00390257">
        <w:rPr>
          <w:rFonts w:ascii="Arabic Typesetting" w:hAnsi="Arabic Typesetting" w:cs="Arabic Typesetting" w:hint="eastAsia"/>
          <w:sz w:val="34"/>
          <w:szCs w:val="34"/>
          <w:rtl/>
          <w:lang w:val="en-GB"/>
        </w:rPr>
        <w:t> </w:t>
      </w:r>
      <w:r w:rsidR="00FD3F5C">
        <w:rPr>
          <w:rFonts w:ascii="Arabic Typesetting" w:hAnsi="Arabic Typesetting" w:cs="Arabic Typesetting" w:hint="cs"/>
          <w:sz w:val="34"/>
          <w:szCs w:val="34"/>
          <w:rtl/>
          <w:lang w:val="en-GB"/>
        </w:rPr>
        <w:t xml:space="preserve">بالمئة) بنحو 5 </w:t>
      </w:r>
      <w:r w:rsidR="00390257">
        <w:rPr>
          <w:rFonts w:ascii="Arabic Typesetting" w:hAnsi="Arabic Typesetting" w:cs="Arabic Typesetting" w:hint="cs"/>
          <w:sz w:val="34"/>
          <w:szCs w:val="34"/>
          <w:rtl/>
          <w:lang w:val="en-GB"/>
        </w:rPr>
        <w:t>بالمئة</w:t>
      </w:r>
      <w:r w:rsidR="00FD3F5C">
        <w:rPr>
          <w:rFonts w:ascii="Arabic Typesetting" w:hAnsi="Arabic Typesetting" w:cs="Arabic Typesetting" w:hint="cs"/>
          <w:sz w:val="34"/>
          <w:szCs w:val="34"/>
          <w:rtl/>
          <w:lang w:val="en-GB"/>
        </w:rPr>
        <w:t xml:space="preserve"> مقارنة بالثنائية </w:t>
      </w:r>
      <w:r w:rsidR="00507DE2">
        <w:rPr>
          <w:rFonts w:ascii="Arabic Typesetting" w:hAnsi="Arabic Typesetting" w:cs="Arabic Typesetting" w:hint="cs"/>
          <w:sz w:val="34"/>
          <w:szCs w:val="34"/>
          <w:rtl/>
          <w:lang w:val="en-GB"/>
        </w:rPr>
        <w:t>2012/13</w:t>
      </w:r>
      <w:r w:rsidR="00FD3F5C">
        <w:rPr>
          <w:rFonts w:ascii="Arabic Typesetting" w:hAnsi="Arabic Typesetting" w:cs="Arabic Typesetting" w:hint="cs"/>
          <w:sz w:val="34"/>
          <w:szCs w:val="34"/>
          <w:rtl/>
          <w:lang w:val="en-GB"/>
        </w:rPr>
        <w:t xml:space="preserve"> (88.1 بالمئة).</w:t>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توقيت فحص الإجراءات الشكلية</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يبين هذا المؤشر بمزيد من التفاصيل أحد عناصر مؤشر الجودة المركب، وهو الوقت اللازم للمكتب الدولي لإصدار الاستمارة 301. وتصدر هذه الاستمارة عقب استكمال فحص الإجراءات الشكلية للطلب. ويحبذ المودعون تلقي هذه الاستمارة في أسرع وقت ممكن لأن</w:t>
      </w:r>
      <w:r w:rsidR="00390257">
        <w:rPr>
          <w:rFonts w:ascii="Arabic Typesetting" w:hAnsi="Arabic Typesetting" w:cs="Arabic Typesetting" w:hint="cs"/>
          <w:sz w:val="34"/>
          <w:szCs w:val="34"/>
          <w:rtl/>
          <w:lang w:val="en-GB"/>
        </w:rPr>
        <w:t xml:space="preserve">ها بمثابة </w:t>
      </w:r>
      <w:r w:rsidRPr="00F37899">
        <w:rPr>
          <w:rFonts w:ascii="Arabic Typesetting" w:hAnsi="Arabic Typesetting" w:cs="Arabic Typesetting"/>
          <w:sz w:val="34"/>
          <w:szCs w:val="34"/>
          <w:rtl/>
          <w:lang w:val="en-GB"/>
        </w:rPr>
        <w:t>إشعار بتسلم المكتب الدولي للطلب، و</w:t>
      </w:r>
      <w:r w:rsidR="00390257">
        <w:rPr>
          <w:rFonts w:ascii="Arabic Typesetting" w:hAnsi="Arabic Typesetting" w:cs="Arabic Typesetting" w:hint="cs"/>
          <w:sz w:val="34"/>
          <w:szCs w:val="34"/>
          <w:rtl/>
          <w:lang w:val="en-GB"/>
        </w:rPr>
        <w:t>ت</w:t>
      </w:r>
      <w:r w:rsidRPr="00F37899">
        <w:rPr>
          <w:rFonts w:ascii="Arabic Typesetting" w:hAnsi="Arabic Typesetting" w:cs="Arabic Typesetting"/>
          <w:sz w:val="34"/>
          <w:szCs w:val="34"/>
          <w:rtl/>
          <w:lang w:val="en-GB"/>
        </w:rPr>
        <w:t>سمح لهم بمعرفة إن كان طلبهم تتخلله أية نواقص شكلية.</w:t>
      </w:r>
    </w:p>
    <w:p w:rsidR="00F37899" w:rsidRPr="00F37899" w:rsidRDefault="00FD3F5C" w:rsidP="00F37899">
      <w:pPr>
        <w:bidi/>
        <w:spacing w:after="120"/>
        <w:rPr>
          <w:rFonts w:ascii="Arabic Typesetting" w:hAnsi="Arabic Typesetting" w:cs="Arabic Typesetting"/>
          <w:sz w:val="34"/>
          <w:szCs w:val="34"/>
          <w:rtl/>
          <w:lang w:val="en-GB"/>
        </w:rPr>
      </w:pPr>
      <w:r>
        <w:rPr>
          <w:noProof/>
        </w:rPr>
        <w:drawing>
          <wp:inline distT="0" distB="0" distL="0" distR="0" wp14:anchorId="49D84C4C" wp14:editId="09F3CC31">
            <wp:extent cx="5940425" cy="2575453"/>
            <wp:effectExtent l="0" t="0" r="22225" b="15875"/>
            <wp:docPr id="375" name="Chart 37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lastRenderedPageBreak/>
        <w:t>توقيت النشر</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يبين هذا المؤشر بمزيد من التفاصيل أحد عناصر مؤشر الجودة المركب، وهو الوقت اللازم للمكتب الدولي لنشر الطلب. وتنص المادة 21(2)(أ) من معاهدة التعاون بشأن البراءات على أن "[...] يُجرى النشر الدولي للطلب الدولي فور انقضاء 18 شهرا من تاريخ أولوية هذا الطلب"</w:t>
      </w:r>
      <w:r w:rsidR="005B1E75">
        <w:rPr>
          <w:rFonts w:ascii="Arabic Typesetting" w:hAnsi="Arabic Typesetting" w:cs="Arabic Typesetting" w:hint="cs"/>
          <w:sz w:val="34"/>
          <w:szCs w:val="34"/>
          <w:rtl/>
          <w:lang w:val="en-GB"/>
        </w:rPr>
        <w:t>.</w:t>
      </w:r>
    </w:p>
    <w:p w:rsidR="00F37899" w:rsidRPr="00F37899" w:rsidRDefault="00A640C6" w:rsidP="00F37899">
      <w:pPr>
        <w:bidi/>
        <w:spacing w:after="120"/>
        <w:rPr>
          <w:rFonts w:ascii="Arabic Typesetting" w:hAnsi="Arabic Typesetting" w:cs="Arabic Typesetting"/>
          <w:sz w:val="34"/>
          <w:szCs w:val="34"/>
          <w:lang w:val="en-GB"/>
        </w:rPr>
      </w:pPr>
      <w:r>
        <w:rPr>
          <w:noProof/>
        </w:rPr>
        <w:drawing>
          <wp:inline distT="0" distB="0" distL="0" distR="0" wp14:anchorId="68ED1956" wp14:editId="6AF1F884">
            <wp:extent cx="5940425" cy="2726503"/>
            <wp:effectExtent l="0" t="0" r="3175" b="17145"/>
            <wp:docPr id="378" name="Chart 37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توقيت إعادة النشر</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يبين هذا المؤشر بمزيد من التفاصيل أحد عناصر مؤشر الجودة المركب، وهو الوقت اللازم للمكتب الدولي لإعادة نشر الطلب مع تقرير البحث الدولي. ونظرا</w:t>
      </w:r>
      <w:r w:rsidR="00390257">
        <w:rPr>
          <w:rFonts w:ascii="Arabic Typesetting" w:hAnsi="Arabic Typesetting" w:cs="Arabic Typesetting" w:hint="cs"/>
          <w:sz w:val="34"/>
          <w:szCs w:val="34"/>
          <w:rtl/>
          <w:lang w:val="en-GB"/>
        </w:rPr>
        <w:t>ً</w:t>
      </w:r>
      <w:r w:rsidRPr="00F37899">
        <w:rPr>
          <w:rFonts w:ascii="Arabic Typesetting" w:hAnsi="Arabic Typesetting" w:cs="Arabic Typesetting"/>
          <w:sz w:val="34"/>
          <w:szCs w:val="34"/>
          <w:rtl/>
          <w:lang w:val="en-GB"/>
        </w:rPr>
        <w:t xml:space="preserve"> </w:t>
      </w:r>
      <w:r w:rsidR="00A41D8B">
        <w:rPr>
          <w:rFonts w:ascii="Arabic Typesetting" w:hAnsi="Arabic Typesetting" w:cs="Arabic Typesetting" w:hint="cs"/>
          <w:sz w:val="34"/>
          <w:szCs w:val="34"/>
          <w:rtl/>
          <w:lang w:val="en-GB"/>
        </w:rPr>
        <w:t xml:space="preserve">إلى </w:t>
      </w:r>
      <w:r w:rsidRPr="00F37899">
        <w:rPr>
          <w:rFonts w:ascii="Arabic Typesetting" w:hAnsi="Arabic Typesetting" w:cs="Arabic Typesetting"/>
          <w:sz w:val="34"/>
          <w:szCs w:val="34"/>
          <w:rtl/>
          <w:lang w:val="en-GB"/>
        </w:rPr>
        <w:t>تأخر إدارات البحث الدولي في تقديم تقارير البحث الدولي، ينشر عدد من الطلبات الدولية من دون هذه التقارير. وعندما تتاح هذه التقارير، سيلزم إعادة نشر الطلبات الدولية معها في أسرع وقت ممكن، لاستكمال النشر الدولي.</w:t>
      </w:r>
    </w:p>
    <w:p w:rsidR="00F37899" w:rsidRPr="00F37899" w:rsidRDefault="00A41D8B" w:rsidP="00F37899">
      <w:pPr>
        <w:bidi/>
        <w:spacing w:after="120"/>
        <w:rPr>
          <w:rFonts w:ascii="Arabic Typesetting" w:hAnsi="Arabic Typesetting" w:cs="Arabic Typesetting"/>
          <w:sz w:val="34"/>
          <w:szCs w:val="34"/>
          <w:lang w:val="en-GB"/>
        </w:rPr>
      </w:pPr>
      <w:r>
        <w:rPr>
          <w:noProof/>
        </w:rPr>
        <w:drawing>
          <wp:inline distT="0" distB="0" distL="0" distR="0" wp14:anchorId="5FD7DEF4" wp14:editId="77913258">
            <wp:extent cx="5940425" cy="2726503"/>
            <wp:effectExtent l="0" t="0" r="3175" b="17145"/>
            <wp:docPr id="379" name="Chart 379"/>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lastRenderedPageBreak/>
        <w:t>جودة الترجمة</w:t>
      </w:r>
    </w:p>
    <w:p w:rsidR="00F37899" w:rsidRPr="00F37899" w:rsidRDefault="00F37899" w:rsidP="009A3712">
      <w:pPr>
        <w:keepNext/>
        <w:keepLines/>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يختار عشوائيا عدد يحسب إحصائيا من وثائق ترجمات الملخصات والتقارير التي تعد</w:t>
      </w:r>
      <w:r w:rsidR="008A499E">
        <w:rPr>
          <w:rFonts w:ascii="Arabic Typesetting" w:hAnsi="Arabic Typesetting" w:cs="Arabic Typesetting" w:hint="cs"/>
          <w:sz w:val="34"/>
          <w:szCs w:val="34"/>
          <w:rtl/>
          <w:lang w:val="en-GB"/>
        </w:rPr>
        <w:t>ُّ</w:t>
      </w:r>
      <w:r w:rsidRPr="00F37899">
        <w:rPr>
          <w:rFonts w:ascii="Arabic Typesetting" w:hAnsi="Arabic Typesetting" w:cs="Arabic Typesetting"/>
          <w:sz w:val="34"/>
          <w:szCs w:val="34"/>
          <w:rtl/>
          <w:lang w:val="en-GB"/>
        </w:rPr>
        <w:t xml:space="preserve"> تحت مسؤولية المكتب الدولي لتخضع لاختبار جودة. ويحدد التقييم إذا كانت الترجمة "مقبولة" أو "غير مقبولة".</w:t>
      </w:r>
      <w:r w:rsidRPr="00F37899">
        <w:rPr>
          <w:rFonts w:ascii="Arabic Typesetting" w:hAnsi="Arabic Typesetting" w:cs="Arabic Typesetting"/>
          <w:sz w:val="34"/>
          <w:szCs w:val="34"/>
          <w:rtl/>
        </w:rPr>
        <w:t xml:space="preserve"> </w:t>
      </w:r>
      <w:r w:rsidRPr="00F37899">
        <w:rPr>
          <w:rFonts w:ascii="Arabic Typesetting" w:hAnsi="Arabic Typesetting" w:cs="Arabic Typesetting"/>
          <w:sz w:val="34"/>
          <w:szCs w:val="34"/>
          <w:rtl/>
          <w:lang w:val="en-GB"/>
        </w:rPr>
        <w:t>ويجمع هذا المؤشر نتائج اختبار الجودة الذي يجريه المكتب الدولي في جميع توليفات اللغات وجميع أنواع الوثائق. وت</w:t>
      </w:r>
      <w:r w:rsidR="008A499E">
        <w:rPr>
          <w:rFonts w:ascii="Arabic Typesetting" w:hAnsi="Arabic Typesetting" w:cs="Arabic Typesetting" w:hint="cs"/>
          <w:sz w:val="34"/>
          <w:szCs w:val="34"/>
          <w:rtl/>
          <w:lang w:val="en-GB"/>
        </w:rPr>
        <w:t>ُ</w:t>
      </w:r>
      <w:r w:rsidRPr="00F37899">
        <w:rPr>
          <w:rFonts w:ascii="Arabic Typesetting" w:hAnsi="Arabic Typesetting" w:cs="Arabic Typesetting"/>
          <w:sz w:val="34"/>
          <w:szCs w:val="34"/>
          <w:rtl/>
          <w:lang w:val="en-GB"/>
        </w:rPr>
        <w:t xml:space="preserve">قطع العلاقات مع أية وكالات تعتبر دائما نسبة أقل من 80 </w:t>
      </w:r>
      <w:r w:rsidR="00872BAE">
        <w:rPr>
          <w:rFonts w:ascii="Arabic Typesetting" w:hAnsi="Arabic Typesetting" w:cs="Arabic Typesetting" w:hint="cs"/>
          <w:sz w:val="34"/>
          <w:szCs w:val="34"/>
          <w:rtl/>
          <w:lang w:val="en-GB"/>
        </w:rPr>
        <w:t>بالمئة</w:t>
      </w:r>
      <w:r w:rsidRPr="00F37899">
        <w:rPr>
          <w:rFonts w:ascii="Arabic Typesetting" w:hAnsi="Arabic Typesetting" w:cs="Arabic Typesetting"/>
          <w:sz w:val="34"/>
          <w:szCs w:val="34"/>
          <w:rtl/>
          <w:lang w:val="en-GB"/>
        </w:rPr>
        <w:t xml:space="preserve"> من ترجماتها "مقبولة"</w:t>
      </w:r>
      <w:r w:rsidR="00872BAE">
        <w:rPr>
          <w:rFonts w:ascii="Arabic Typesetting" w:hAnsi="Arabic Typesetting" w:cs="Arabic Typesetting" w:hint="cs"/>
          <w:sz w:val="34"/>
          <w:szCs w:val="34"/>
          <w:rtl/>
          <w:lang w:val="en-GB"/>
        </w:rPr>
        <w:t>. وسجل عام 2015 حصة ترجمة "مقبولة" نسبتها 87.6 بالمئة وهي أعلى نسبة سجلت وكانت أعلى بنسبة 1.6 بالمئة مقارنة بعام 2014.</w:t>
      </w:r>
    </w:p>
    <w:p w:rsidR="00F37899" w:rsidRPr="00F37899" w:rsidRDefault="00F37899" w:rsidP="00F37899">
      <w:pPr>
        <w:keepNext/>
        <w:bidi/>
        <w:spacing w:after="120" w:line="340" w:lineRule="exact"/>
        <w:jc w:val="center"/>
        <w:rPr>
          <w:rFonts w:ascii="Arabic Typesetting" w:hAnsi="Arabic Typesetting" w:cs="Arabic Typesetting"/>
          <w:b/>
          <w:bCs/>
          <w:sz w:val="34"/>
          <w:szCs w:val="34"/>
          <w:rtl/>
          <w:lang w:val="en-GB"/>
        </w:rPr>
      </w:pPr>
      <w:r w:rsidRPr="00F37899">
        <w:rPr>
          <w:rFonts w:ascii="Arabic Typesetting" w:hAnsi="Arabic Typesetting" w:cs="Arabic Typesetting"/>
          <w:b/>
          <w:bCs/>
          <w:sz w:val="34"/>
          <w:szCs w:val="34"/>
          <w:rtl/>
          <w:lang w:val="en-GB"/>
        </w:rPr>
        <w:t>جودة ترجمة معاهدة التعاون بشأن البراءات</w:t>
      </w:r>
    </w:p>
    <w:p w:rsidR="00F37899" w:rsidRPr="00F37899" w:rsidRDefault="008F042E" w:rsidP="00F37899">
      <w:pPr>
        <w:bidi/>
        <w:spacing w:after="120"/>
        <w:rPr>
          <w:rFonts w:ascii="Arabic Typesetting" w:hAnsi="Arabic Typesetting" w:cs="Arabic Typesetting"/>
          <w:sz w:val="34"/>
          <w:szCs w:val="34"/>
          <w:lang w:val="en-GB"/>
        </w:rPr>
      </w:pPr>
      <w:r>
        <w:rPr>
          <w:noProof/>
        </w:rPr>
        <w:drawing>
          <wp:inline distT="0" distB="0" distL="0" distR="0" wp14:anchorId="184555E7" wp14:editId="36FD4307">
            <wp:extent cx="5895975" cy="3324225"/>
            <wp:effectExtent l="0" t="0" r="28575" b="28575"/>
            <wp:docPr id="166" name="Chart 16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توقيت تقرير الترجمة</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الغرض من هذا المؤشر هو تقديم معلومات عن التوقيت الذي يتيح المكتب الدولي خلاله ترجمات تقارير الأهلية للبراءة للمودعين والمكاتب. وقد زادت نسبة تقارير الأهلية للبراءة المرسلة خلال 30 شهرا من تاريخ أولوية الطلب زيادة مطردة منذ عام</w:t>
      </w:r>
      <w:r w:rsidR="00B2730C">
        <w:rPr>
          <w:rFonts w:ascii="Arabic Typesetting" w:hAnsi="Arabic Typesetting" w:cs="Arabic Typesetting" w:hint="cs"/>
          <w:sz w:val="34"/>
          <w:szCs w:val="34"/>
          <w:rtl/>
          <w:lang w:val="en-GB"/>
        </w:rPr>
        <w:t> </w:t>
      </w:r>
      <w:r w:rsidRPr="00F37899">
        <w:rPr>
          <w:rFonts w:ascii="Arabic Typesetting" w:hAnsi="Arabic Typesetting" w:cs="Arabic Typesetting"/>
          <w:sz w:val="34"/>
          <w:szCs w:val="34"/>
          <w:rtl/>
          <w:lang w:val="en-GB"/>
        </w:rPr>
        <w:t>2010. وفي عام 2014 أرسلت نسبة 82.5 في المائدة من تقارير الأهلية للبراءة خلال 30 شهراً من تاريخ الأولوية.</w:t>
      </w:r>
      <w:r w:rsidR="00B2730C">
        <w:rPr>
          <w:rFonts w:ascii="Arabic Typesetting" w:hAnsi="Arabic Typesetting" w:cs="Arabic Typesetting" w:hint="cs"/>
          <w:sz w:val="34"/>
          <w:szCs w:val="34"/>
          <w:rtl/>
          <w:lang w:val="en-GB"/>
        </w:rPr>
        <w:t xml:space="preserve"> وفي</w:t>
      </w:r>
      <w:r w:rsidR="00B2730C">
        <w:rPr>
          <w:rFonts w:ascii="Arabic Typesetting" w:hAnsi="Arabic Typesetting" w:cs="Arabic Typesetting" w:hint="eastAsia"/>
          <w:sz w:val="34"/>
          <w:szCs w:val="34"/>
          <w:rtl/>
          <w:lang w:val="en-GB"/>
        </w:rPr>
        <w:t> </w:t>
      </w:r>
      <w:r w:rsidR="00B2730C">
        <w:rPr>
          <w:rFonts w:ascii="Arabic Typesetting" w:hAnsi="Arabic Typesetting" w:cs="Arabic Typesetting" w:hint="cs"/>
          <w:sz w:val="34"/>
          <w:szCs w:val="34"/>
          <w:rtl/>
          <w:lang w:val="en-GB"/>
        </w:rPr>
        <w:t>عام</w:t>
      </w:r>
      <w:r w:rsidR="00B2730C">
        <w:rPr>
          <w:rFonts w:ascii="Arabic Typesetting" w:hAnsi="Arabic Typesetting" w:cs="Arabic Typesetting" w:hint="eastAsia"/>
          <w:sz w:val="34"/>
          <w:szCs w:val="34"/>
          <w:rtl/>
          <w:lang w:val="en-GB"/>
        </w:rPr>
        <w:t> </w:t>
      </w:r>
      <w:r w:rsidR="00B2730C">
        <w:rPr>
          <w:rFonts w:ascii="Arabic Typesetting" w:hAnsi="Arabic Typesetting" w:cs="Arabic Typesetting" w:hint="cs"/>
          <w:sz w:val="34"/>
          <w:szCs w:val="34"/>
          <w:rtl/>
          <w:lang w:val="en-GB"/>
        </w:rPr>
        <w:t>2015، ارتفعت هذه النسبة إلى 90 بالمئة من ترجمات تقارير الأهلية للبراءة التي تصدر خلال 30 شهراً وتصدر 99 بالمئة منها خلال 31 شهراً.</w:t>
      </w:r>
    </w:p>
    <w:p w:rsidR="00F37899" w:rsidRPr="00F37899" w:rsidRDefault="00F37899" w:rsidP="00F37899">
      <w:pPr>
        <w:keepNext/>
        <w:bidi/>
        <w:spacing w:after="120" w:line="340" w:lineRule="exact"/>
        <w:jc w:val="center"/>
        <w:rPr>
          <w:rFonts w:ascii="Arabic Typesetting" w:hAnsi="Arabic Typesetting" w:cs="Arabic Typesetting"/>
          <w:b/>
          <w:bCs/>
          <w:sz w:val="34"/>
          <w:szCs w:val="34"/>
          <w:rtl/>
          <w:lang w:val="en-GB"/>
        </w:rPr>
      </w:pPr>
      <w:r w:rsidRPr="00F37899">
        <w:rPr>
          <w:rFonts w:ascii="Arabic Typesetting" w:hAnsi="Arabic Typesetting" w:cs="Arabic Typesetting"/>
          <w:b/>
          <w:bCs/>
          <w:sz w:val="34"/>
          <w:szCs w:val="34"/>
          <w:rtl/>
          <w:lang w:val="en-GB"/>
        </w:rPr>
        <w:lastRenderedPageBreak/>
        <w:t>توقيت تقرير الترجمة</w:t>
      </w:r>
    </w:p>
    <w:p w:rsidR="00F37899" w:rsidRPr="00F37899" w:rsidRDefault="00B2730C" w:rsidP="00F37899">
      <w:pPr>
        <w:bidi/>
        <w:spacing w:after="120"/>
        <w:rPr>
          <w:rFonts w:ascii="Arabic Typesetting" w:hAnsi="Arabic Typesetting" w:cs="Arabic Typesetting"/>
          <w:sz w:val="34"/>
          <w:szCs w:val="34"/>
          <w:lang w:val="en-GB"/>
        </w:rPr>
      </w:pPr>
      <w:r>
        <w:rPr>
          <w:noProof/>
        </w:rPr>
        <w:drawing>
          <wp:inline distT="0" distB="0" distL="0" distR="0" wp14:anchorId="2D0141A8" wp14:editId="244082E7">
            <wp:extent cx="5940425" cy="2637016"/>
            <wp:effectExtent l="0" t="0" r="22225" b="11430"/>
            <wp:docPr id="167" name="Chart 167"/>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جودة تطوير البرمجيات</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يتيح مؤشر جودة تطوير البرمجيات مقياسا لجودة أكبر إصدارات البرمجيات لمشروعي الملفات الإلكترونية (</w:t>
      </w:r>
      <w:proofErr w:type="spellStart"/>
      <w:r w:rsidRPr="00F37899">
        <w:rPr>
          <w:rFonts w:ascii="Arabic Typesetting" w:hAnsi="Arabic Typesetting" w:cs="Arabic Typesetting"/>
          <w:sz w:val="34"/>
          <w:szCs w:val="34"/>
          <w:lang w:val="en-GB"/>
        </w:rPr>
        <w:t>eDossier</w:t>
      </w:r>
      <w:proofErr w:type="spellEnd"/>
      <w:r w:rsidRPr="00F37899">
        <w:rPr>
          <w:rFonts w:ascii="Arabic Typesetting" w:hAnsi="Arabic Typesetting" w:cs="Arabic Typesetting"/>
          <w:sz w:val="34"/>
          <w:szCs w:val="34"/>
          <w:rtl/>
          <w:lang w:val="en-GB"/>
        </w:rPr>
        <w:t>) ونظام معاهدة التعاون بشأن البراءات الإلكتروني (</w:t>
      </w:r>
      <w:proofErr w:type="spellStart"/>
      <w:r w:rsidRPr="00F37899">
        <w:rPr>
          <w:rFonts w:ascii="Arabic Typesetting" w:hAnsi="Arabic Typesetting" w:cs="Arabic Typesetting"/>
          <w:sz w:val="34"/>
          <w:szCs w:val="34"/>
          <w:lang w:val="en-GB"/>
        </w:rPr>
        <w:t>ePCT</w:t>
      </w:r>
      <w:proofErr w:type="spellEnd"/>
      <w:r w:rsidRPr="00F37899">
        <w:rPr>
          <w:rFonts w:ascii="Arabic Typesetting" w:hAnsi="Arabic Typesetting" w:cs="Arabic Typesetting"/>
          <w:sz w:val="34"/>
          <w:szCs w:val="34"/>
          <w:rtl/>
          <w:lang w:val="en-GB"/>
        </w:rPr>
        <w:t>). ويبين هذا المؤشر الحصة المستغرقة من الوقت لإصدار وظائف جديدة في النسخ الصادرة (أي العمل) من إجمالي الوقت المستغرق (أي العمل + إعادة العمل). وإعادة العمل هو الوقت المستغرق لتصويب الأعمال المعيب</w:t>
      </w:r>
      <w:r w:rsidR="00FC52F3">
        <w:rPr>
          <w:rFonts w:ascii="Arabic Typesetting" w:hAnsi="Arabic Typesetting" w:cs="Arabic Typesetting"/>
          <w:sz w:val="34"/>
          <w:szCs w:val="34"/>
          <w:rtl/>
          <w:lang w:val="en-GB"/>
        </w:rPr>
        <w:t>ة المحددة في بيئة الإنتاج.</w:t>
      </w:r>
    </w:p>
    <w:p w:rsidR="00F37899" w:rsidRPr="00F37899" w:rsidRDefault="008A499E" w:rsidP="009A3712">
      <w:pPr>
        <w:numPr>
          <w:ilvl w:val="0"/>
          <w:numId w:val="29"/>
        </w:numPr>
        <w:bidi/>
        <w:spacing w:after="120" w:line="340" w:lineRule="exact"/>
        <w:rPr>
          <w:rFonts w:ascii="Arabic Typesetting" w:hAnsi="Arabic Typesetting" w:cs="Arabic Typesetting"/>
          <w:sz w:val="34"/>
          <w:szCs w:val="34"/>
          <w:lang w:val="en-GB"/>
        </w:rPr>
      </w:pPr>
      <w:r>
        <w:rPr>
          <w:rFonts w:ascii="Arabic Typesetting" w:hAnsi="Arabic Typesetting" w:cs="Arabic Typesetting" w:hint="cs"/>
          <w:sz w:val="34"/>
          <w:szCs w:val="34"/>
          <w:rtl/>
          <w:lang w:val="en-GB"/>
        </w:rPr>
        <w:t>ومن هذا المنطلق،</w:t>
      </w:r>
      <w:r w:rsidR="00F37899" w:rsidRPr="00F37899">
        <w:rPr>
          <w:rFonts w:ascii="Arabic Typesetting" w:hAnsi="Arabic Typesetting" w:cs="Arabic Typesetting"/>
          <w:sz w:val="34"/>
          <w:szCs w:val="34"/>
          <w:rtl/>
          <w:lang w:val="en-GB"/>
        </w:rPr>
        <w:t xml:space="preserve"> </w:t>
      </w:r>
      <w:r>
        <w:rPr>
          <w:rFonts w:ascii="Arabic Typesetting" w:hAnsi="Arabic Typesetting" w:cs="Arabic Typesetting" w:hint="cs"/>
          <w:sz w:val="34"/>
          <w:szCs w:val="34"/>
          <w:rtl/>
          <w:lang w:val="en-GB"/>
        </w:rPr>
        <w:t>تعدُّ</w:t>
      </w:r>
      <w:r w:rsidR="00F37899" w:rsidRPr="00F37899">
        <w:rPr>
          <w:rFonts w:ascii="Arabic Typesetting" w:hAnsi="Arabic Typesetting" w:cs="Arabic Typesetting"/>
          <w:sz w:val="34"/>
          <w:szCs w:val="34"/>
          <w:rtl/>
          <w:lang w:val="en-GB"/>
        </w:rPr>
        <w:t xml:space="preserve"> مخرجات التطوير التي تحتوي على مستويات أدنى من إعادة العمل عالية الجودة لأنها </w:t>
      </w:r>
      <w:r>
        <w:rPr>
          <w:rFonts w:ascii="Arabic Typesetting" w:hAnsi="Arabic Typesetting" w:cs="Arabic Typesetting" w:hint="cs"/>
          <w:sz w:val="34"/>
          <w:szCs w:val="34"/>
          <w:rtl/>
          <w:lang w:val="en-GB"/>
        </w:rPr>
        <w:t>تدل على</w:t>
      </w:r>
      <w:r w:rsidR="00F37899" w:rsidRPr="00F37899">
        <w:rPr>
          <w:rFonts w:ascii="Arabic Typesetting" w:hAnsi="Arabic Typesetting" w:cs="Arabic Typesetting"/>
          <w:sz w:val="34"/>
          <w:szCs w:val="34"/>
          <w:rtl/>
          <w:lang w:val="en-GB"/>
        </w:rPr>
        <w:t xml:space="preserve"> مدى القيمة المضافة للمنتج من خلال استحداث السمات الجديدة.</w:t>
      </w:r>
    </w:p>
    <w:p w:rsidR="00F37899" w:rsidRPr="00F37899" w:rsidRDefault="00F37899" w:rsidP="009A3712">
      <w:pPr>
        <w:keepNext/>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noProof/>
          <w:sz w:val="34"/>
          <w:szCs w:val="34"/>
        </w:rPr>
        <mc:AlternateContent>
          <mc:Choice Requires="wps">
            <w:drawing>
              <wp:anchor distT="0" distB="0" distL="114300" distR="114300" simplePos="0" relativeHeight="251659264" behindDoc="0" locked="0" layoutInCell="1" allowOverlap="1" wp14:anchorId="59EAAC96" wp14:editId="1AEBDA13">
                <wp:simplePos x="0" y="0"/>
                <wp:positionH relativeFrom="column">
                  <wp:posOffset>2585720</wp:posOffset>
                </wp:positionH>
                <wp:positionV relativeFrom="paragraph">
                  <wp:posOffset>285750</wp:posOffset>
                </wp:positionV>
                <wp:extent cx="405130" cy="212725"/>
                <wp:effectExtent l="0" t="0" r="13970" b="15875"/>
                <wp:wrapNone/>
                <wp:docPr id="161" name="Rectangl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5130" cy="21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Pr="008A499E" w:rsidRDefault="000B5473" w:rsidP="008A499E">
                            <w:pPr>
                              <w:jc w:val="center"/>
                              <w:rPr>
                                <w:rFonts w:ascii="Arabic Typesetting" w:hAnsi="Arabic Typesetting" w:cs="Arabic Typesetting"/>
                                <w:sz w:val="26"/>
                                <w:szCs w:val="26"/>
                              </w:rPr>
                            </w:pPr>
                            <w:r w:rsidRPr="008A499E">
                              <w:rPr>
                                <w:rFonts w:ascii="Arabic Typesetting" w:hAnsi="Arabic Typesetting" w:cs="Arabic Typesetting"/>
                                <w:color w:val="000000"/>
                                <w:sz w:val="26"/>
                                <w:szCs w:val="26"/>
                                <w:rtl/>
                              </w:rPr>
                              <w:t>العمل</w:t>
                            </w:r>
                          </w:p>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id="Rectangle 161" o:spid="_x0000_s1033" style="position:absolute;left:0;text-align:left;margin-left:203.6pt;margin-top:22.5pt;width:31.9pt;height:1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" filled="f" stroked="f">
                <v:textbox inset="0,0,0,0">
                  <w:txbxContent>
                    <w:p w:rsidR="000B5473" w:rsidRPr="008A499E" w:rsidRDefault="000B5473" w:rsidP="008A499E">
                      <w:pPr>
                        <w:jc w:val="center"/>
                        <w:rPr>
                          <w:rFonts w:ascii="Arabic Typesetting" w:hAnsi="Arabic Typesetting" w:cs="Arabic Typesetting"/>
                          <w:sz w:val="26"/>
                          <w:szCs w:val="26"/>
                        </w:rPr>
                      </w:pPr>
                      <w:r w:rsidRPr="008A499E">
                        <w:rPr>
                          <w:rFonts w:ascii="Arabic Typesetting" w:hAnsi="Arabic Typesetting" w:cs="Arabic Typesetting"/>
                          <w:color w:val="000000"/>
                          <w:sz w:val="26"/>
                          <w:szCs w:val="26"/>
                          <w:rtl/>
                        </w:rPr>
                        <w:t>العمل</w:t>
                      </w:r>
                    </w:p>
                  </w:txbxContent>
                </v:textbox>
              </v:rect>
            </w:pict>
          </mc:Fallback>
        </mc:AlternateContent>
      </w:r>
      <w:r w:rsidR="008A499E">
        <w:rPr>
          <w:rFonts w:ascii="Arabic Typesetting" w:hAnsi="Arabic Typesetting" w:cs="Arabic Typesetting" w:hint="cs"/>
          <w:noProof/>
          <w:sz w:val="34"/>
          <w:szCs w:val="34"/>
          <w:rtl/>
        </w:rPr>
        <w:t>ويُحسب</w:t>
      </w:r>
      <w:r w:rsidRPr="00F37899">
        <w:rPr>
          <w:rFonts w:ascii="Arabic Typesetting" w:hAnsi="Arabic Typesetting" w:cs="Arabic Typesetting"/>
          <w:sz w:val="34"/>
          <w:szCs w:val="34"/>
          <w:rtl/>
          <w:lang w:val="en-GB"/>
        </w:rPr>
        <w:t xml:space="preserve"> مؤشر جودة تطوير البرمجيات على النحو التالي:</w:t>
      </w:r>
    </w:p>
    <w:p w:rsidR="00F37899" w:rsidRPr="00F37899" w:rsidRDefault="00F37899" w:rsidP="00F37899">
      <w:pPr>
        <w:bidi/>
        <w:spacing w:after="120" w:line="340" w:lineRule="exact"/>
        <w:jc w:val="center"/>
        <w:rPr>
          <w:rFonts w:ascii="Arabic Typesetting" w:hAnsi="Arabic Typesetting" w:cs="Arabic Typesetting"/>
          <w:sz w:val="34"/>
          <w:szCs w:val="34"/>
          <w:lang w:val="en-GB"/>
        </w:rPr>
      </w:pPr>
    </w:p>
    <w:p w:rsidR="00F37899" w:rsidRPr="00F37899" w:rsidRDefault="00F37899" w:rsidP="00F37899">
      <w:pPr>
        <w:tabs>
          <w:tab w:val="left" w:pos="5972"/>
        </w:tabs>
        <w:bidi/>
        <w:spacing w:after="120" w:line="340" w:lineRule="exact"/>
        <w:jc w:val="center"/>
        <w:rPr>
          <w:rFonts w:ascii="Arabic Typesetting" w:hAnsi="Arabic Typesetting" w:cs="Arabic Typesetting"/>
          <w:sz w:val="34"/>
          <w:szCs w:val="34"/>
          <w:lang w:val="en-GB"/>
        </w:rPr>
      </w:pPr>
      <w:r w:rsidRPr="00F37899">
        <w:rPr>
          <w:rFonts w:ascii="Arabic Typesetting" w:hAnsi="Arabic Typesetting" w:cs="Arabic Typesetting"/>
          <w:noProof/>
          <w:sz w:val="34"/>
          <w:szCs w:val="34"/>
        </w:rPr>
        <mc:AlternateContent>
          <mc:Choice Requires="wpc">
            <w:drawing>
              <wp:inline distT="0" distB="0" distL="0" distR="0" wp14:anchorId="6519CDBD" wp14:editId="29F6A666">
                <wp:extent cx="3522980" cy="393065"/>
                <wp:effectExtent l="0" t="0" r="0" b="6985"/>
                <wp:docPr id="219" name="Canvas 2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2" name="Rectangle 12"/>
                        <wps:cNvSpPr>
                          <a:spLocks noChangeArrowheads="1"/>
                        </wps:cNvSpPr>
                        <wps:spPr bwMode="auto">
                          <a:xfrm>
                            <a:off x="1085688" y="203835"/>
                            <a:ext cx="828675"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Pr="00B9220D" w:rsidRDefault="000B5473" w:rsidP="00F37899">
                              <w:pPr>
                                <w:jc w:val="right"/>
                                <w:rPr>
                                  <w:rFonts w:ascii="Arabic Typesetting" w:hAnsi="Arabic Typesetting" w:cs="Arabic Typesetting"/>
                                  <w:sz w:val="26"/>
                                  <w:szCs w:val="26"/>
                                </w:rPr>
                              </w:pPr>
                              <w:r w:rsidRPr="00B9220D">
                                <w:rPr>
                                  <w:rFonts w:ascii="Arabic Typesetting" w:hAnsi="Arabic Typesetting" w:cs="Arabic Typesetting"/>
                                  <w:color w:val="000000"/>
                                  <w:sz w:val="26"/>
                                  <w:szCs w:val="26"/>
                                  <w:rtl/>
                                </w:rPr>
                                <w:t>العمل + إعادة العمل</w:t>
                              </w:r>
                            </w:p>
                          </w:txbxContent>
                        </wps:txbx>
                        <wps:bodyPr rot="0" vert="horz" wrap="square" lIns="0" tIns="0" rIns="0" bIns="0" anchor="t" anchorCtr="0">
                          <a:spAutoFit/>
                        </wps:bodyPr>
                      </wps:wsp>
                      <wps:wsp>
                        <wps:cNvPr id="163" name="Rectangle 13"/>
                        <wps:cNvSpPr>
                          <a:spLocks noChangeArrowheads="1"/>
                        </wps:cNvSpPr>
                        <wps:spPr bwMode="auto">
                          <a:xfrm>
                            <a:off x="923026" y="74932"/>
                            <a:ext cx="5461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Default="000B5473" w:rsidP="00F37899">
                              <w:r>
                                <w:rPr>
                                  <w:color w:val="000000"/>
                                </w:rPr>
                                <w:t>*</w:t>
                              </w:r>
                            </w:p>
                          </w:txbxContent>
                        </wps:txbx>
                        <wps:bodyPr rot="0" vert="horz" wrap="none" lIns="0" tIns="0" rIns="0" bIns="0" anchor="t" anchorCtr="0">
                          <a:noAutofit/>
                        </wps:bodyPr>
                      </wps:wsp>
                      <wps:wsp>
                        <wps:cNvPr id="164" name="Rectangle 14"/>
                        <wps:cNvSpPr>
                          <a:spLocks noChangeArrowheads="1"/>
                        </wps:cNvSpPr>
                        <wps:spPr bwMode="auto">
                          <a:xfrm>
                            <a:off x="603849" y="74932"/>
                            <a:ext cx="224155"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Pr="00B9220D" w:rsidRDefault="000B5473" w:rsidP="00F37899">
                              <w:pPr>
                                <w:jc w:val="right"/>
                                <w:rPr>
                                  <w:rFonts w:ascii="Arabic Typesetting" w:hAnsi="Arabic Typesetting" w:cs="Arabic Typesetting"/>
                                  <w:sz w:val="26"/>
                                  <w:szCs w:val="26"/>
                                </w:rPr>
                              </w:pPr>
                              <w:r>
                                <w:rPr>
                                  <w:rFonts w:ascii="Arabic Typesetting" w:hAnsi="Arabic Typesetting" w:cs="Arabic Typesetting" w:hint="cs"/>
                                  <w:color w:val="000000"/>
                                  <w:sz w:val="26"/>
                                  <w:szCs w:val="26"/>
                                  <w:rtl/>
                                </w:rPr>
                                <w:t>100</w:t>
                              </w:r>
                            </w:p>
                          </w:txbxContent>
                        </wps:txbx>
                        <wps:bodyPr rot="0" vert="horz" wrap="square" lIns="0" tIns="0" rIns="0" bIns="0" anchor="t" anchorCtr="0">
                          <a:spAutoFit/>
                        </wps:bodyPr>
                      </wps:wsp>
                      <wps:wsp>
                        <wps:cNvPr id="212" name="Rectangle 15"/>
                        <wps:cNvSpPr>
                          <a:spLocks noChangeArrowheads="1"/>
                        </wps:cNvSpPr>
                        <wps:spPr bwMode="auto">
                          <a:xfrm>
                            <a:off x="2086309" y="103517"/>
                            <a:ext cx="259715" cy="189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Pr="00B9220D" w:rsidRDefault="000B5473" w:rsidP="00F37899">
                              <w:pPr>
                                <w:jc w:val="right"/>
                                <w:rPr>
                                  <w:rFonts w:ascii="Arabic Typesetting" w:hAnsi="Arabic Typesetting" w:cs="Arabic Typesetting"/>
                                  <w:sz w:val="26"/>
                                  <w:szCs w:val="26"/>
                                </w:rPr>
                              </w:pPr>
                              <w:r w:rsidRPr="00B9220D">
                                <w:rPr>
                                  <w:rFonts w:ascii="Arabic Typesetting" w:hAnsi="Arabic Typesetting" w:cs="Arabic Typesetting"/>
                                  <w:color w:val="000000"/>
                                  <w:sz w:val="26"/>
                                  <w:szCs w:val="26"/>
                                </w:rPr>
                                <w:t xml:space="preserve"> = </w:t>
                              </w:r>
                            </w:p>
                          </w:txbxContent>
                        </wps:txbx>
                        <wps:bodyPr rot="0" vert="horz" wrap="square" lIns="0" tIns="0" rIns="0" bIns="0" anchor="t" anchorCtr="0">
                          <a:spAutoFit/>
                        </wps:bodyPr>
                      </wps:wsp>
                      <wps:wsp>
                        <wps:cNvPr id="213" name="Rectangle 16"/>
                        <wps:cNvSpPr>
                          <a:spLocks noChangeArrowheads="1"/>
                        </wps:cNvSpPr>
                        <wps:spPr bwMode="auto">
                          <a:xfrm>
                            <a:off x="1085850" y="160655"/>
                            <a:ext cx="952500" cy="190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 name="Rectangle 17"/>
                        <wps:cNvSpPr>
                          <a:spLocks noChangeArrowheads="1"/>
                        </wps:cNvSpPr>
                        <wps:spPr bwMode="auto">
                          <a:xfrm>
                            <a:off x="2492356" y="115128"/>
                            <a:ext cx="76962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B5473" w:rsidRPr="006042F1" w:rsidRDefault="000B5473" w:rsidP="00F37899">
                              <w:pPr>
                                <w:rPr>
                                  <w:rFonts w:ascii="Arabic Typesetting" w:hAnsi="Arabic Typesetting" w:cs="Arabic Typesetting"/>
                                  <w:sz w:val="26"/>
                                  <w:szCs w:val="26"/>
                                </w:rPr>
                              </w:pPr>
                              <w:r w:rsidRPr="006042F1">
                                <w:rPr>
                                  <w:rFonts w:ascii="Arabic Typesetting" w:hAnsi="Arabic Typesetting" w:cs="Arabic Typesetting"/>
                                  <w:color w:val="000000"/>
                                  <w:sz w:val="26"/>
                                  <w:szCs w:val="26"/>
                                  <w:rtl/>
                                </w:rPr>
                                <w:t>جودة تطوير البرمجيات</w:t>
                              </w:r>
                            </w:p>
                          </w:txbxContent>
                        </wps:txbx>
                        <wps:bodyPr rot="0" vert="horz" wrap="none" lIns="0" tIns="0" rIns="0" bIns="0" anchor="t" anchorCtr="0">
                          <a:noAutofit/>
                        </wps:bodyPr>
                      </wps:wsp>
                    </wpc:wpc>
                  </a:graphicData>
                </a:graphic>
              </wp:inline>
            </w:drawing>
          </mc:Choice>
          <mc:Fallback>
            <w:pict>
              <v:group id="Canvas 219" o:spid="_x0000_s1034" editas="canvas" style="width:277.4pt;height:30.95pt;mso-position-horizontal-relative:char;mso-position-vertical-relative:line" coordsize="35229,3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">
                <v:shape id="_x0000_s1035" type="#_x0000_t75" style="position:absolute;width:35229;height:3930;visibility:visible;mso-wrap-style:square">
                  <v:fill o:detectmouseclick="t"/>
                  <v:path o:connecttype="none"/>
                </v:shape>
                <v:rect id="Rectangle 12" o:spid="_x0000_s1036" style="position:absolute;left:10856;top:2038;width:8287;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os1cQA&#10;AADcAAAADwAAAGRycy9kb3ducmV2LnhtbERPTWvCQBC9F/oflil4KbppDmJj1lAKgR4EMfbQ3obs&#10;mI3Nzobs1kR/vVsoeJvH+5y8mGwnzjT41rGCl0UCgrh2uuVGweehnK9A+ICssXNMCi7kodg8PuSY&#10;aTfyns5VaEQMYZ+hAhNCn0npa0MW/cL1xJE7usFiiHBopB5wjOG2k2mSLKXFlmODwZ7eDdU/1a9V&#10;UO6+WuKr3D+/rkZ3qtPvymx7pWZP09saRKAp3MX/7g8d5y9T+HsmXi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aLNXEAAAA3AAAAA8AAAAAAAAAAAAAAAAAmAIAAGRycy9k&#10;b3ducmV2LnhtbFBLBQYAAAAABAAEAPUAAACJAwAAAAA=&#10;" filled="f" stroked="f">
                  <v:textbox style="mso-fit-shape-to-text:t" inset="0,0,0,0">
                    <w:txbxContent>
                      <w:p w:rsidR="000B5473" w:rsidRPr="00B9220D" w:rsidRDefault="000B5473" w:rsidP="00F37899">
                        <w:pPr>
                          <w:jc w:val="right"/>
                          <w:rPr>
                            <w:rFonts w:ascii="Arabic Typesetting" w:hAnsi="Arabic Typesetting" w:cs="Arabic Typesetting"/>
                            <w:sz w:val="26"/>
                            <w:szCs w:val="26"/>
                          </w:rPr>
                        </w:pPr>
                        <w:r w:rsidRPr="00B9220D">
                          <w:rPr>
                            <w:rFonts w:ascii="Arabic Typesetting" w:hAnsi="Arabic Typesetting" w:cs="Arabic Typesetting"/>
                            <w:color w:val="000000"/>
                            <w:sz w:val="26"/>
                            <w:szCs w:val="26"/>
                            <w:rtl/>
                          </w:rPr>
                          <w:t>العمل + إعادة العمل</w:t>
                        </w:r>
                      </w:p>
                    </w:txbxContent>
                  </v:textbox>
                </v:rect>
                <v:rect id="Rectangle 13" o:spid="_x0000_s1037" style="position:absolute;left:9230;top:749;width:546;height:20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JLGcIA&#10;AADcAAAADwAAAGRycy9kb3ducmV2LnhtbERPzWoCMRC+C75DGKE3zW5bFt0axQrFUvCg9gGGzXSz&#10;dTNZk6jbt28Ewdt8fL8zX/a2FRfyoXGsIJ9kIIgrpxuuFXwfPsZTECEia2wdk4I/CrBcDAdzLLW7&#10;8o4u+1iLFMKhRAUmxq6UMlSGLIaJ64gT9+O8xZigr6X2eE3htpXPWVZIiw2nBoMdrQ1Vx/3ZKqD3&#10;zW72uwpmK30e8u1XMXvdnJR6GvWrNxCR+vgQ392fOs0vXuD2TLp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cksZwgAAANwAAAAPAAAAAAAAAAAAAAAAAJgCAABkcnMvZG93&#10;bnJldi54bWxQSwUGAAAAAAQABAD1AAAAhwMAAAAA&#10;" filled="f" stroked="f">
                  <v:textbox inset="0,0,0,0">
                    <w:txbxContent>
                      <w:p w:rsidR="000B5473" w:rsidRDefault="000B5473" w:rsidP="00F37899">
                        <w:r>
                          <w:rPr>
                            <w:color w:val="000000"/>
                          </w:rPr>
                          <w:t>*</w:t>
                        </w:r>
                      </w:p>
                    </w:txbxContent>
                  </v:textbox>
                </v:rect>
                <v:rect id="Rectangle 14" o:spid="_x0000_s1038" style="position:absolute;left:6038;top:749;width:2242;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8ROsMA&#10;AADcAAAADwAAAGRycy9kb3ducmV2LnhtbERPTYvCMBC9C/sfwix4WTRdEdFqlGVB8CCIdQ/rbWjG&#10;pm4zKU201V9vhAVv83ifs1h1thJXanzpWMHnMAFBnDtdcqHg57AeTEH4gKyxckwKbuRhtXzrLTDV&#10;ruU9XbNQiBjCPkUFJoQ6ldLnhiz6oauJI3dyjcUQYVNI3WAbw20lR0kykRZLjg0Ga/o2lP9lF6tg&#10;vfstie9y/zGbtu6cj46Z2dZK9d+7rzmIQF14if/dGx3nT8bwfCZe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8ROsMAAADcAAAADwAAAAAAAAAAAAAAAACYAgAAZHJzL2Rv&#10;d25yZXYueG1sUEsFBgAAAAAEAAQA9QAAAIgDAAAAAA==&#10;" filled="f" stroked="f">
                  <v:textbox style="mso-fit-shape-to-text:t" inset="0,0,0,0">
                    <w:txbxContent>
                      <w:p w:rsidR="000B5473" w:rsidRPr="00B9220D" w:rsidRDefault="000B5473" w:rsidP="00F37899">
                        <w:pPr>
                          <w:jc w:val="right"/>
                          <w:rPr>
                            <w:rFonts w:ascii="Arabic Typesetting" w:hAnsi="Arabic Typesetting" w:cs="Arabic Typesetting"/>
                            <w:sz w:val="26"/>
                            <w:szCs w:val="26"/>
                          </w:rPr>
                        </w:pPr>
                        <w:r>
                          <w:rPr>
                            <w:rFonts w:ascii="Arabic Typesetting" w:hAnsi="Arabic Typesetting" w:cs="Arabic Typesetting" w:hint="cs"/>
                            <w:color w:val="000000"/>
                            <w:sz w:val="26"/>
                            <w:szCs w:val="26"/>
                            <w:rtl/>
                          </w:rPr>
                          <w:t>100</w:t>
                        </w:r>
                      </w:p>
                    </w:txbxContent>
                  </v:textbox>
                </v:rect>
                <v:rect id="Rectangle 15" o:spid="_x0000_s1039" style="position:absolute;left:20863;top:1035;width:2597;height:18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k+1MUA&#10;AADcAAAADwAAAGRycy9kb3ducmV2LnhtbESPQWvCQBSE70L/w/IKXkQ35iA2ukopCB4EMfbQ3h7Z&#10;ZzY2+zZktyb6611B8DjMzDfMct3bWlyo9ZVjBdNJAoK4cLriUsH3cTOeg/ABWWPtmBRcycN69TZY&#10;YqZdxwe65KEUEcI+QwUmhCaT0heGLPqJa4ijd3KtxRBlW0rdYhfhtpZpksykxYrjgsGGvgwVf/m/&#10;VbDZ/1TEN3kYfcw7dy7S39zsGqWG7/3nAkSgPrzCz/ZWK0inKTzOxCM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T7UxQAAANwAAAAPAAAAAAAAAAAAAAAAAJgCAABkcnMv&#10;ZG93bnJldi54bWxQSwUGAAAAAAQABAD1AAAAigMAAAAA&#10;" filled="f" stroked="f">
                  <v:textbox style="mso-fit-shape-to-text:t" inset="0,0,0,0">
                    <w:txbxContent>
                      <w:p w:rsidR="000B5473" w:rsidRPr="00B9220D" w:rsidRDefault="000B5473" w:rsidP="00F37899">
                        <w:pPr>
                          <w:jc w:val="right"/>
                          <w:rPr>
                            <w:rFonts w:ascii="Arabic Typesetting" w:hAnsi="Arabic Typesetting" w:cs="Arabic Typesetting"/>
                            <w:sz w:val="26"/>
                            <w:szCs w:val="26"/>
                          </w:rPr>
                        </w:pPr>
                        <w:r w:rsidRPr="00B9220D">
                          <w:rPr>
                            <w:rFonts w:ascii="Arabic Typesetting" w:hAnsi="Arabic Typesetting" w:cs="Arabic Typesetting"/>
                            <w:color w:val="000000"/>
                            <w:sz w:val="26"/>
                            <w:szCs w:val="26"/>
                          </w:rPr>
                          <w:t xml:space="preserve"> = </w:t>
                        </w:r>
                      </w:p>
                    </w:txbxContent>
                  </v:textbox>
                </v:rect>
                <v:rect id="Rectangle 16" o:spid="_x0000_s1040" style="position:absolute;left:10858;top:1606;width:9525;height: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6+8cA&#10;AADcAAAADwAAAGRycy9kb3ducmV2LnhtbESPQWvCQBSE70L/w/IKvZmNqRZNXUULhV4KanvQ2zP7&#10;mgSzb+PuVmN/vSsIPQ4z8w0znXemESdyvrasYJCkIIgLq2suFXx/vffHIHxA1thYJgUX8jCfPfSm&#10;mGt75jWdNqEUEcI+RwVVCG0upS8qMugT2xJH78c6gyFKV0rt8BzhppFZmr5IgzXHhQpbequoOGx+&#10;jYLlZLw8rob8+bfe72i33R9GmUuVenrsFq8gAnXhP3xvf2gF2eAZbmfiEZC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DOvvHAAAA3AAAAA8AAAAAAAAAAAAAAAAAmAIAAGRy&#10;cy9kb3ducmV2LnhtbFBLBQYAAAAABAAEAPUAAACMAwAAAAA=&#10;" fillcolor="black" stroked="f"/>
                <v:rect id="Rectangle 17" o:spid="_x0000_s1041" style="position:absolute;left:24923;top:1151;width:7696;height:18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jBbMQA&#10;AADcAAAADwAAAGRycy9kb3ducmV2LnhtbESP3WoCMRSE7wXfIRyhd5pdEdGtUWyhKIIX/jzAYXO6&#10;Wd2cbJNU17c3hYKXw8x8wyxWnW3EjXyoHSvIRxkI4tLpmisF59PXcAYiRGSNjWNS8KAAq2W/t8BC&#10;uzsf6HaMlUgQDgUqMDG2hZShNGQxjFxLnLxv5y3GJH0ltcd7gttGjrNsKi3WnBYMtvRpqLwef60C&#10;+tgc5pd1MHvp85Dvd9P5ZPOj1NugW7+DiNTFV/i/vdUKxvkE/s6k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4wWzEAAAA3AAAAA8AAAAAAAAAAAAAAAAAmAIAAGRycy9k&#10;b3ducmV2LnhtbFBLBQYAAAAABAAEAPUAAACJAwAAAAA=&#10;" filled="f" stroked="f">
                  <v:textbox inset="0,0,0,0">
                    <w:txbxContent>
                      <w:p w:rsidR="000B5473" w:rsidRPr="006042F1" w:rsidRDefault="000B5473" w:rsidP="00F37899">
                        <w:pPr>
                          <w:rPr>
                            <w:rFonts w:ascii="Arabic Typesetting" w:hAnsi="Arabic Typesetting" w:cs="Arabic Typesetting"/>
                            <w:sz w:val="26"/>
                            <w:szCs w:val="26"/>
                          </w:rPr>
                        </w:pPr>
                        <w:r w:rsidRPr="006042F1">
                          <w:rPr>
                            <w:rFonts w:ascii="Arabic Typesetting" w:hAnsi="Arabic Typesetting" w:cs="Arabic Typesetting"/>
                            <w:color w:val="000000"/>
                            <w:sz w:val="26"/>
                            <w:szCs w:val="26"/>
                            <w:rtl/>
                          </w:rPr>
                          <w:t>جودة تطوير البرمجيات</w:t>
                        </w:r>
                      </w:p>
                    </w:txbxContent>
                  </v:textbox>
                </v:rect>
                <w10:anchorlock/>
              </v:group>
            </w:pict>
          </mc:Fallback>
        </mc:AlternateConten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وفي عام 2014 بلغت جودة الإصدارات الكبرى، بحسب تعريف مؤشر جودة البرمجيات، نسبة 94.</w:t>
      </w:r>
      <w:r w:rsidR="008A499E">
        <w:rPr>
          <w:rFonts w:ascii="Arabic Typesetting" w:hAnsi="Arabic Typesetting" w:cs="Arabic Typesetting" w:hint="cs"/>
          <w:sz w:val="34"/>
          <w:szCs w:val="34"/>
          <w:rtl/>
          <w:lang w:val="en-GB"/>
        </w:rPr>
        <w:t>5</w:t>
      </w:r>
      <w:r w:rsidRPr="00F37899">
        <w:rPr>
          <w:rFonts w:ascii="Arabic Typesetting" w:hAnsi="Arabic Typesetting" w:cs="Arabic Typesetting"/>
          <w:sz w:val="34"/>
          <w:szCs w:val="34"/>
          <w:rtl/>
          <w:lang w:val="en-GB"/>
        </w:rPr>
        <w:t xml:space="preserve"> </w:t>
      </w:r>
      <w:r w:rsidR="008A499E">
        <w:rPr>
          <w:rFonts w:ascii="Arabic Typesetting" w:hAnsi="Arabic Typesetting" w:cs="Arabic Typesetting" w:hint="cs"/>
          <w:sz w:val="34"/>
          <w:szCs w:val="34"/>
          <w:rtl/>
          <w:lang w:val="en-GB"/>
        </w:rPr>
        <w:t>بالمئة</w:t>
      </w:r>
      <w:r w:rsidRPr="00F37899">
        <w:rPr>
          <w:rFonts w:ascii="Arabic Typesetting" w:hAnsi="Arabic Typesetting" w:cs="Arabic Typesetting"/>
          <w:sz w:val="34"/>
          <w:szCs w:val="34"/>
          <w:rtl/>
          <w:lang w:val="en-GB"/>
        </w:rPr>
        <w:t>. وتعد هذه النسبة أعلى بخمس نقاط مئوية من النسبة المسجلة في عام 2013.</w:t>
      </w:r>
      <w:r w:rsidR="008A499E">
        <w:rPr>
          <w:rFonts w:ascii="Arabic Typesetting" w:hAnsi="Arabic Typesetting" w:cs="Arabic Typesetting" w:hint="cs"/>
          <w:sz w:val="34"/>
          <w:szCs w:val="34"/>
          <w:rtl/>
          <w:lang w:val="en-GB"/>
        </w:rPr>
        <w:t xml:space="preserve"> وشهد عام 2015 انخفاضاً في جودة الإصدارات الكبرى مقارنة بعام 2014 إذ بلغت 91.9 بالمئة. ومع ذلك، حققت أهداف الأداء في السنتين نظراً إلى تجاوزهما أساس المقارنة المحدد بنسبة 89.4 بالمئة.</w:t>
      </w:r>
    </w:p>
    <w:p w:rsidR="00F37899" w:rsidRPr="00F37899" w:rsidRDefault="00F37899" w:rsidP="00F37899">
      <w:pPr>
        <w:keepNext/>
        <w:bidi/>
        <w:spacing w:after="120" w:line="340" w:lineRule="exact"/>
        <w:jc w:val="center"/>
        <w:rPr>
          <w:rFonts w:ascii="Arabic Typesetting" w:hAnsi="Arabic Typesetting" w:cs="Arabic Typesetting"/>
          <w:b/>
          <w:bCs/>
          <w:sz w:val="34"/>
          <w:szCs w:val="34"/>
          <w:lang w:val="en-GB"/>
        </w:rPr>
      </w:pPr>
      <w:r w:rsidRPr="00F37899">
        <w:rPr>
          <w:rFonts w:ascii="Arabic Typesetting" w:hAnsi="Arabic Typesetting" w:cs="Arabic Typesetting"/>
          <w:b/>
          <w:bCs/>
          <w:sz w:val="34"/>
          <w:szCs w:val="34"/>
          <w:rtl/>
          <w:lang w:val="en-GB"/>
        </w:rPr>
        <w:lastRenderedPageBreak/>
        <w:t>جودة تطوير البرمجيات</w:t>
      </w:r>
    </w:p>
    <w:p w:rsidR="00F37899" w:rsidRPr="00F37899" w:rsidRDefault="002F4B3A" w:rsidP="002F4B3A">
      <w:pPr>
        <w:bidi/>
        <w:spacing w:after="120"/>
        <w:jc w:val="center"/>
        <w:rPr>
          <w:rFonts w:ascii="Arabic Typesetting" w:hAnsi="Arabic Typesetting" w:cs="Arabic Typesetting"/>
          <w:sz w:val="34"/>
          <w:szCs w:val="34"/>
          <w:rtl/>
          <w:lang w:val="en-GB"/>
        </w:rPr>
      </w:pPr>
      <w:r>
        <w:rPr>
          <w:noProof/>
        </w:rPr>
        <w:drawing>
          <wp:inline distT="0" distB="0" distL="0" distR="0" wp14:anchorId="765A6F9E" wp14:editId="0678F511">
            <wp:extent cx="4933950" cy="3238500"/>
            <wp:effectExtent l="0" t="0" r="19050" b="19050"/>
            <wp:docPr id="169" name="Chart 16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مستويات خدمات أنظمة المعلومات</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يبين مؤشر الأداء </w:t>
      </w:r>
      <w:r w:rsidR="008A499E">
        <w:rPr>
          <w:rFonts w:ascii="Arabic Typesetting" w:hAnsi="Arabic Typesetting" w:cs="Arabic Typesetting" w:hint="cs"/>
          <w:sz w:val="34"/>
          <w:szCs w:val="34"/>
          <w:rtl/>
          <w:lang w:val="en-GB"/>
        </w:rPr>
        <w:t>"</w:t>
      </w:r>
      <w:r w:rsidRPr="00F37899">
        <w:rPr>
          <w:rFonts w:ascii="Arabic Typesetting" w:hAnsi="Arabic Typesetting" w:cs="Arabic Typesetting"/>
          <w:sz w:val="34"/>
          <w:szCs w:val="34"/>
          <w:rtl/>
          <w:lang w:val="en-GB"/>
        </w:rPr>
        <w:t>مستويات خدمات أنظمة المعلومات</w:t>
      </w:r>
      <w:r w:rsidR="008A499E">
        <w:rPr>
          <w:rFonts w:ascii="Arabic Typesetting" w:hAnsi="Arabic Typesetting" w:cs="Arabic Typesetting" w:hint="cs"/>
          <w:sz w:val="34"/>
          <w:szCs w:val="34"/>
          <w:rtl/>
          <w:lang w:val="en-GB"/>
        </w:rPr>
        <w:t>"</w:t>
      </w:r>
      <w:r w:rsidRPr="00F37899">
        <w:rPr>
          <w:rFonts w:ascii="Arabic Typesetting" w:hAnsi="Arabic Typesetting" w:cs="Arabic Typesetting"/>
          <w:sz w:val="34"/>
          <w:szCs w:val="34"/>
          <w:rtl/>
          <w:lang w:val="en-GB"/>
        </w:rPr>
        <w:t xml:space="preserve"> أداء الخدمة التي تقدمها أنظمة معلومات نظام معاهدة التعاون بشأن البراءات إلى المستخدمين، استنادا إلى قدرتها على تحقيق الأهداف المتفق عليها.</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ويحسب هذا المؤشر المركب باستخدام متوسط خمسة مؤشرات أداء تقوم على الأهداف.</w:t>
      </w:r>
      <w:r w:rsidRPr="00F96634">
        <w:rPr>
          <w:rFonts w:ascii="Arabic Typesetting" w:hAnsi="Arabic Typesetting" w:cs="Arabic Typesetting"/>
          <w:sz w:val="28"/>
          <w:szCs w:val="28"/>
          <w:vertAlign w:val="superscript"/>
          <w:rtl/>
          <w:lang w:val="en-GB"/>
        </w:rPr>
        <w:footnoteReference w:id="21"/>
      </w:r>
      <w:r w:rsidRPr="00F37899">
        <w:rPr>
          <w:rFonts w:ascii="Arabic Typesetting" w:hAnsi="Arabic Typesetting" w:cs="Arabic Typesetting"/>
          <w:sz w:val="34"/>
          <w:szCs w:val="34"/>
          <w:rtl/>
          <w:lang w:val="en-GB"/>
        </w:rPr>
        <w:t xml:space="preserve"> ويُعبر عن كل مؤشر كنسبة من الهدف المحقق.</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وفي عام 2014 بلغ مستوى الخدمة العام 95.</w:t>
      </w:r>
      <w:r w:rsidR="002F4B3A">
        <w:rPr>
          <w:rFonts w:ascii="Arabic Typesetting" w:hAnsi="Arabic Typesetting" w:cs="Arabic Typesetting" w:hint="cs"/>
          <w:sz w:val="34"/>
          <w:szCs w:val="34"/>
          <w:rtl/>
          <w:lang w:val="en-GB"/>
        </w:rPr>
        <w:t>1</w:t>
      </w:r>
      <w:r w:rsidRPr="00F37899">
        <w:rPr>
          <w:rFonts w:ascii="Arabic Typesetting" w:hAnsi="Arabic Typesetting" w:cs="Arabic Typesetting"/>
          <w:sz w:val="34"/>
          <w:szCs w:val="34"/>
          <w:rtl/>
          <w:lang w:val="en-GB"/>
        </w:rPr>
        <w:t xml:space="preserve"> </w:t>
      </w:r>
      <w:r w:rsidR="002F4B3A">
        <w:rPr>
          <w:rFonts w:ascii="Arabic Typesetting" w:hAnsi="Arabic Typesetting" w:cs="Arabic Typesetting" w:hint="cs"/>
          <w:sz w:val="34"/>
          <w:szCs w:val="34"/>
          <w:rtl/>
          <w:lang w:val="en-GB"/>
        </w:rPr>
        <w:t xml:space="preserve">بالمئة </w:t>
      </w:r>
      <w:r w:rsidRPr="00F37899">
        <w:rPr>
          <w:rFonts w:ascii="Arabic Typesetting" w:hAnsi="Arabic Typesetting" w:cs="Arabic Typesetting"/>
          <w:sz w:val="34"/>
          <w:szCs w:val="34"/>
          <w:rtl/>
          <w:lang w:val="en-GB"/>
        </w:rPr>
        <w:t>من مستويات الأداء المستهدفة.</w:t>
      </w:r>
      <w:r w:rsidR="002F4B3A">
        <w:rPr>
          <w:rFonts w:ascii="Arabic Typesetting" w:hAnsi="Arabic Typesetting" w:cs="Arabic Typesetting" w:hint="cs"/>
          <w:sz w:val="34"/>
          <w:szCs w:val="34"/>
          <w:rtl/>
          <w:lang w:val="en-GB"/>
        </w:rPr>
        <w:t xml:space="preserve"> وشهد عام 2015 تحسناً أيضاً إذ بلغ مستوى الخدمة العام 96.5 بالمئة ما أدى إلى تحقيق هدف الثنائية أي تجاوز أس</w:t>
      </w:r>
      <w:r w:rsidR="00F20276">
        <w:rPr>
          <w:rFonts w:ascii="Arabic Typesetting" w:hAnsi="Arabic Typesetting" w:cs="Arabic Typesetting" w:hint="cs"/>
          <w:sz w:val="34"/>
          <w:szCs w:val="34"/>
          <w:rtl/>
          <w:lang w:val="en-GB"/>
        </w:rPr>
        <w:t>اس المقارنة لعام 2013 البالغ 93</w:t>
      </w:r>
      <w:r w:rsidR="002F4B3A">
        <w:rPr>
          <w:rFonts w:ascii="Arabic Typesetting" w:hAnsi="Arabic Typesetting" w:cs="Arabic Typesetting" w:hint="cs"/>
          <w:sz w:val="34"/>
          <w:szCs w:val="34"/>
          <w:rtl/>
          <w:lang w:val="en-GB"/>
        </w:rPr>
        <w:t xml:space="preserve"> بالمئة في السنتين كليهما.</w:t>
      </w:r>
    </w:p>
    <w:p w:rsidR="00F37899" w:rsidRPr="00F37899" w:rsidRDefault="00F37899" w:rsidP="004021A8">
      <w:pPr>
        <w:keepNext/>
        <w:pageBreakBefore/>
        <w:bidi/>
        <w:spacing w:after="120" w:line="340" w:lineRule="exact"/>
        <w:jc w:val="center"/>
        <w:rPr>
          <w:rFonts w:ascii="Arabic Typesetting" w:hAnsi="Arabic Typesetting" w:cs="Arabic Typesetting"/>
          <w:b/>
          <w:bCs/>
          <w:sz w:val="34"/>
          <w:szCs w:val="34"/>
          <w:rtl/>
          <w:lang w:val="en-GB"/>
        </w:rPr>
      </w:pPr>
      <w:r w:rsidRPr="00F37899">
        <w:rPr>
          <w:rFonts w:ascii="Arabic Typesetting" w:hAnsi="Arabic Typesetting" w:cs="Arabic Typesetting"/>
          <w:b/>
          <w:bCs/>
          <w:sz w:val="34"/>
          <w:szCs w:val="34"/>
          <w:rtl/>
          <w:lang w:val="en-GB"/>
        </w:rPr>
        <w:lastRenderedPageBreak/>
        <w:t>مستويات خدمة أنظمة المعلومات</w:t>
      </w:r>
    </w:p>
    <w:tbl>
      <w:tblP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
        <w:gridCol w:w="1625"/>
        <w:gridCol w:w="1353"/>
        <w:gridCol w:w="1342"/>
        <w:gridCol w:w="1518"/>
        <w:gridCol w:w="1518"/>
        <w:gridCol w:w="1516"/>
      </w:tblGrid>
      <w:tr w:rsidR="00211D55" w:rsidRPr="00211D55" w:rsidTr="00211D55">
        <w:trPr>
          <w:cantSplit/>
        </w:trPr>
        <w:tc>
          <w:tcPr>
            <w:tcW w:w="365" w:type="pct"/>
            <w:vMerge w:val="restart"/>
            <w:shd w:val="clear" w:color="auto" w:fill="FFCC99"/>
            <w:tcMar>
              <w:top w:w="85" w:type="dxa"/>
              <w:bottom w:w="85" w:type="dxa"/>
            </w:tcMar>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color w:val="000000"/>
                <w:sz w:val="28"/>
                <w:szCs w:val="28"/>
                <w:lang w:val="en-GB" w:eastAsia="en-GB"/>
              </w:rPr>
            </w:pPr>
            <w:r w:rsidRPr="00211D55">
              <w:rPr>
                <w:rFonts w:ascii="Arabic Typesetting" w:hAnsi="Arabic Typesetting" w:cs="Arabic Typesetting"/>
                <w:bCs/>
                <w:color w:val="000000"/>
                <w:sz w:val="28"/>
                <w:szCs w:val="28"/>
                <w:rtl/>
                <w:lang w:val="en-GB" w:eastAsia="en-GB"/>
              </w:rPr>
              <w:t>رقم المؤشر</w:t>
            </w:r>
          </w:p>
        </w:tc>
        <w:tc>
          <w:tcPr>
            <w:tcW w:w="849" w:type="pct"/>
            <w:vMerge w:val="restart"/>
            <w:shd w:val="clear" w:color="auto" w:fill="FFCC99"/>
            <w:tcMar>
              <w:top w:w="85" w:type="dxa"/>
              <w:bottom w:w="85" w:type="dxa"/>
            </w:tcMar>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i/>
                <w:color w:val="000000"/>
                <w:sz w:val="28"/>
                <w:szCs w:val="28"/>
                <w:lang w:val="en-GB" w:eastAsia="en-GB"/>
              </w:rPr>
            </w:pPr>
            <w:r w:rsidRPr="00211D55">
              <w:rPr>
                <w:rFonts w:ascii="Arabic Typesetting" w:hAnsi="Arabic Typesetting" w:cs="Arabic Typesetting"/>
                <w:bCs/>
                <w:color w:val="000000"/>
                <w:sz w:val="28"/>
                <w:szCs w:val="28"/>
                <w:rtl/>
                <w:lang w:val="en-GB" w:eastAsia="en-GB"/>
              </w:rPr>
              <w:t>وصف قصير لمؤشر الأداء</w:t>
            </w:r>
          </w:p>
        </w:tc>
        <w:tc>
          <w:tcPr>
            <w:tcW w:w="707" w:type="pct"/>
            <w:vMerge w:val="restart"/>
            <w:shd w:val="clear" w:color="auto" w:fill="FFCC99"/>
            <w:tcMar>
              <w:top w:w="85" w:type="dxa"/>
              <w:bottom w:w="85" w:type="dxa"/>
            </w:tcMar>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color w:val="000000"/>
                <w:sz w:val="28"/>
                <w:szCs w:val="28"/>
                <w:lang w:val="en-GB" w:eastAsia="en-GB"/>
              </w:rPr>
            </w:pPr>
            <w:r w:rsidRPr="00211D55">
              <w:rPr>
                <w:rFonts w:ascii="Arabic Typesetting" w:hAnsi="Arabic Typesetting" w:cs="Arabic Typesetting"/>
                <w:bCs/>
                <w:color w:val="000000"/>
                <w:sz w:val="28"/>
                <w:szCs w:val="28"/>
                <w:rtl/>
                <w:lang w:val="en-GB" w:eastAsia="en-GB"/>
              </w:rPr>
              <w:t>الهدف</w:t>
            </w:r>
          </w:p>
        </w:tc>
        <w:tc>
          <w:tcPr>
            <w:tcW w:w="701" w:type="pct"/>
            <w:vMerge w:val="restart"/>
            <w:shd w:val="clear" w:color="auto" w:fill="FFCC99"/>
            <w:tcMar>
              <w:top w:w="85" w:type="dxa"/>
              <w:bottom w:w="85" w:type="dxa"/>
            </w:tcMar>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color w:val="000000"/>
                <w:sz w:val="28"/>
                <w:szCs w:val="28"/>
                <w:lang w:val="en-GB" w:eastAsia="en-GB"/>
              </w:rPr>
            </w:pPr>
            <w:r w:rsidRPr="00211D55">
              <w:rPr>
                <w:rFonts w:ascii="Arabic Typesetting" w:hAnsi="Arabic Typesetting" w:cs="Arabic Typesetting"/>
                <w:bCs/>
                <w:color w:val="000000"/>
                <w:sz w:val="28"/>
                <w:szCs w:val="28"/>
                <w:rtl/>
                <w:lang w:val="en-GB" w:eastAsia="en-GB"/>
              </w:rPr>
              <w:t>الشروط</w:t>
            </w:r>
          </w:p>
        </w:tc>
        <w:tc>
          <w:tcPr>
            <w:tcW w:w="2378" w:type="pct"/>
            <w:gridSpan w:val="3"/>
            <w:shd w:val="clear" w:color="auto" w:fill="FFCC99"/>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sz w:val="28"/>
                <w:szCs w:val="28"/>
                <w:rtl/>
              </w:rPr>
            </w:pPr>
            <w:r w:rsidRPr="00211D55">
              <w:rPr>
                <w:rFonts w:ascii="Arabic Typesetting" w:hAnsi="Arabic Typesetting" w:cs="Arabic Typesetting" w:hint="cs"/>
                <w:bCs/>
                <w:sz w:val="28"/>
                <w:szCs w:val="28"/>
                <w:rtl/>
              </w:rPr>
              <w:t>النتائج</w:t>
            </w:r>
          </w:p>
        </w:tc>
      </w:tr>
      <w:tr w:rsidR="00211D55" w:rsidRPr="00211D55" w:rsidTr="00211D55">
        <w:trPr>
          <w:cantSplit/>
        </w:trPr>
        <w:tc>
          <w:tcPr>
            <w:tcW w:w="365" w:type="pct"/>
            <w:vMerge/>
            <w:shd w:val="clear" w:color="auto" w:fill="auto"/>
            <w:tcMar>
              <w:top w:w="85" w:type="dxa"/>
              <w:bottom w:w="85" w:type="dxa"/>
            </w:tcMar>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color w:val="000000"/>
                <w:sz w:val="28"/>
                <w:szCs w:val="28"/>
                <w:rtl/>
                <w:lang w:val="en-GB" w:eastAsia="en-GB"/>
              </w:rPr>
            </w:pPr>
          </w:p>
        </w:tc>
        <w:tc>
          <w:tcPr>
            <w:tcW w:w="849" w:type="pct"/>
            <w:vMerge/>
            <w:shd w:val="clear" w:color="auto" w:fill="auto"/>
            <w:tcMar>
              <w:top w:w="85" w:type="dxa"/>
              <w:bottom w:w="85" w:type="dxa"/>
            </w:tcMar>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color w:val="000000"/>
                <w:sz w:val="28"/>
                <w:szCs w:val="28"/>
                <w:rtl/>
                <w:lang w:val="en-GB" w:eastAsia="en-GB"/>
              </w:rPr>
            </w:pPr>
          </w:p>
        </w:tc>
        <w:tc>
          <w:tcPr>
            <w:tcW w:w="707" w:type="pct"/>
            <w:vMerge/>
            <w:shd w:val="clear" w:color="auto" w:fill="auto"/>
            <w:tcMar>
              <w:top w:w="85" w:type="dxa"/>
              <w:bottom w:w="85" w:type="dxa"/>
            </w:tcMar>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color w:val="000000"/>
                <w:sz w:val="28"/>
                <w:szCs w:val="28"/>
                <w:rtl/>
                <w:lang w:val="en-GB" w:eastAsia="en-GB"/>
              </w:rPr>
            </w:pPr>
          </w:p>
        </w:tc>
        <w:tc>
          <w:tcPr>
            <w:tcW w:w="701" w:type="pct"/>
            <w:vMerge/>
            <w:shd w:val="clear" w:color="auto" w:fill="auto"/>
            <w:tcMar>
              <w:top w:w="85" w:type="dxa"/>
              <w:bottom w:w="85" w:type="dxa"/>
            </w:tcMar>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color w:val="000000"/>
                <w:sz w:val="28"/>
                <w:szCs w:val="28"/>
                <w:rtl/>
                <w:lang w:val="en-GB" w:eastAsia="en-GB"/>
              </w:rPr>
            </w:pPr>
          </w:p>
        </w:tc>
        <w:tc>
          <w:tcPr>
            <w:tcW w:w="793" w:type="pct"/>
            <w:shd w:val="clear" w:color="auto" w:fill="FFCC99"/>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sz w:val="28"/>
                <w:szCs w:val="28"/>
                <w:rtl/>
              </w:rPr>
            </w:pPr>
            <w:r w:rsidRPr="00211D55">
              <w:rPr>
                <w:rFonts w:ascii="Arabic Typesetting" w:hAnsi="Arabic Typesetting" w:cs="Arabic Typesetting" w:hint="cs"/>
                <w:bCs/>
                <w:sz w:val="28"/>
                <w:szCs w:val="28"/>
                <w:rtl/>
              </w:rPr>
              <w:t>2013</w:t>
            </w:r>
          </w:p>
        </w:tc>
        <w:tc>
          <w:tcPr>
            <w:tcW w:w="793" w:type="pct"/>
            <w:shd w:val="clear" w:color="auto" w:fill="FFCC99"/>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sz w:val="28"/>
                <w:szCs w:val="28"/>
                <w:rtl/>
              </w:rPr>
            </w:pPr>
            <w:r w:rsidRPr="00211D55">
              <w:rPr>
                <w:rFonts w:ascii="Arabic Typesetting" w:hAnsi="Arabic Typesetting" w:cs="Arabic Typesetting" w:hint="cs"/>
                <w:bCs/>
                <w:sz w:val="28"/>
                <w:szCs w:val="28"/>
                <w:rtl/>
              </w:rPr>
              <w:t>2014</w:t>
            </w:r>
          </w:p>
        </w:tc>
        <w:tc>
          <w:tcPr>
            <w:tcW w:w="792" w:type="pct"/>
            <w:shd w:val="clear" w:color="auto" w:fill="FFCC99"/>
          </w:tcPr>
          <w:p w:rsidR="00211D55" w:rsidRPr="00211D55" w:rsidRDefault="00211D55" w:rsidP="00F37899">
            <w:pPr>
              <w:autoSpaceDE w:val="0"/>
              <w:autoSpaceDN w:val="0"/>
              <w:bidi/>
              <w:adjustRightInd w:val="0"/>
              <w:spacing w:line="240" w:lineRule="exact"/>
              <w:jc w:val="center"/>
              <w:rPr>
                <w:rFonts w:ascii="Arabic Typesetting" w:hAnsi="Arabic Typesetting" w:cs="Arabic Typesetting"/>
                <w:bCs/>
                <w:sz w:val="28"/>
                <w:szCs w:val="28"/>
                <w:rtl/>
              </w:rPr>
            </w:pPr>
            <w:r w:rsidRPr="00211D55">
              <w:rPr>
                <w:rFonts w:ascii="Arabic Typesetting" w:hAnsi="Arabic Typesetting" w:cs="Arabic Typesetting" w:hint="cs"/>
                <w:bCs/>
                <w:sz w:val="28"/>
                <w:szCs w:val="28"/>
                <w:rtl/>
              </w:rPr>
              <w:t>2015</w:t>
            </w:r>
          </w:p>
        </w:tc>
      </w:tr>
      <w:tr w:rsidR="002F4B3A" w:rsidRPr="00211D55" w:rsidTr="00211D55">
        <w:trPr>
          <w:cantSplit/>
        </w:trPr>
        <w:tc>
          <w:tcPr>
            <w:tcW w:w="365" w:type="pct"/>
            <w:shd w:val="clear" w:color="auto" w:fill="auto"/>
            <w:tcMar>
              <w:top w:w="85" w:type="dxa"/>
              <w:bottom w:w="85" w:type="dxa"/>
            </w:tcMar>
          </w:tcPr>
          <w:p w:rsidR="002F4B3A" w:rsidRPr="00211D55" w:rsidRDefault="002F4B3A" w:rsidP="00F37899">
            <w:pPr>
              <w:bidi/>
              <w:spacing w:line="240" w:lineRule="exact"/>
              <w:rPr>
                <w:rFonts w:ascii="Arabic Typesetting" w:hAnsi="Arabic Typesetting" w:cs="Arabic Typesetting"/>
                <w:sz w:val="28"/>
                <w:szCs w:val="28"/>
                <w:lang w:val="en-GB" w:eastAsia="en-GB"/>
              </w:rPr>
            </w:pPr>
            <w:r w:rsidRPr="00211D55">
              <w:rPr>
                <w:rFonts w:ascii="Arabic Typesetting" w:hAnsi="Arabic Typesetting" w:cs="Arabic Typesetting"/>
                <w:sz w:val="28"/>
                <w:szCs w:val="28"/>
                <w:rtl/>
                <w:lang w:val="en-GB" w:eastAsia="en-GB"/>
              </w:rPr>
              <w:t>(1)</w:t>
            </w:r>
          </w:p>
        </w:tc>
        <w:tc>
          <w:tcPr>
            <w:tcW w:w="849" w:type="pct"/>
            <w:shd w:val="clear" w:color="auto" w:fill="auto"/>
            <w:tcMar>
              <w:top w:w="85" w:type="dxa"/>
              <w:bottom w:w="85" w:type="dxa"/>
            </w:tcMar>
          </w:tcPr>
          <w:p w:rsidR="002F4B3A" w:rsidRPr="00211D55" w:rsidRDefault="002F4B3A" w:rsidP="00F37899">
            <w:pPr>
              <w:bidi/>
              <w:spacing w:line="240" w:lineRule="exact"/>
              <w:rPr>
                <w:rFonts w:ascii="Arabic Typesetting" w:hAnsi="Arabic Typesetting" w:cs="Arabic Typesetting"/>
                <w:sz w:val="28"/>
                <w:szCs w:val="28"/>
                <w:lang w:val="en-GB" w:eastAsia="en-GB"/>
              </w:rPr>
            </w:pPr>
            <w:r w:rsidRPr="00211D55">
              <w:rPr>
                <w:rFonts w:ascii="Arabic Typesetting" w:hAnsi="Arabic Typesetting" w:cs="Arabic Typesetting"/>
                <w:sz w:val="28"/>
                <w:szCs w:val="28"/>
                <w:rtl/>
                <w:lang w:val="en-GB" w:eastAsia="en-GB"/>
              </w:rPr>
              <w:t>زمن حل الأحداث</w:t>
            </w:r>
          </w:p>
          <w:p w:rsidR="002F4B3A" w:rsidRPr="00211D55" w:rsidRDefault="002F4B3A" w:rsidP="00F37899">
            <w:pPr>
              <w:bidi/>
              <w:spacing w:line="240" w:lineRule="exact"/>
              <w:rPr>
                <w:rFonts w:ascii="Arabic Typesetting" w:hAnsi="Arabic Typesetting" w:cs="Arabic Typesetting"/>
                <w:iCs/>
                <w:sz w:val="28"/>
                <w:szCs w:val="28"/>
                <w:lang w:val="en-GB" w:eastAsia="en-GB"/>
              </w:rPr>
            </w:pPr>
            <w:r w:rsidRPr="00211D55">
              <w:rPr>
                <w:rFonts w:ascii="Arabic Typesetting" w:hAnsi="Arabic Typesetting" w:cs="Arabic Typesetting"/>
                <w:iCs/>
                <w:sz w:val="28"/>
                <w:szCs w:val="28"/>
                <w:rtl/>
                <w:lang w:val="en-GB" w:eastAsia="en-GB"/>
              </w:rPr>
              <w:t>وقت العمل (7 صباحا – 7 مساء في أيام عمل الويبو) بين وقت إصدار بطاقة وحلها.</w:t>
            </w:r>
          </w:p>
        </w:tc>
        <w:tc>
          <w:tcPr>
            <w:tcW w:w="707"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rtl/>
                <w:lang w:val="en-GB" w:eastAsia="en-GB"/>
              </w:rPr>
            </w:pPr>
            <w:r w:rsidRPr="00211D55">
              <w:rPr>
                <w:rFonts w:ascii="Arabic Typesetting" w:hAnsi="Arabic Typesetting" w:cs="Arabic Typesetting"/>
                <w:color w:val="000000"/>
                <w:sz w:val="28"/>
                <w:szCs w:val="28"/>
                <w:rtl/>
                <w:lang w:val="en-GB" w:eastAsia="en-GB"/>
              </w:rPr>
              <w:t>الشدة 1: 4 ساعات</w:t>
            </w:r>
          </w:p>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rtl/>
                <w:lang w:val="en-GB" w:eastAsia="en-GB"/>
              </w:rPr>
            </w:pPr>
            <w:r w:rsidRPr="00211D55">
              <w:rPr>
                <w:rFonts w:ascii="Arabic Typesetting" w:hAnsi="Arabic Typesetting" w:cs="Arabic Typesetting"/>
                <w:color w:val="000000"/>
                <w:sz w:val="28"/>
                <w:szCs w:val="28"/>
                <w:rtl/>
                <w:lang w:val="en-GB" w:eastAsia="en-GB"/>
              </w:rPr>
              <w:t>الشدة 2: يومان</w:t>
            </w:r>
          </w:p>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rtl/>
                <w:lang w:val="en-GB" w:eastAsia="en-GB"/>
              </w:rPr>
            </w:pPr>
            <w:r w:rsidRPr="00211D55">
              <w:rPr>
                <w:rFonts w:ascii="Arabic Typesetting" w:hAnsi="Arabic Typesetting" w:cs="Arabic Typesetting"/>
                <w:color w:val="000000"/>
                <w:sz w:val="28"/>
                <w:szCs w:val="28"/>
                <w:rtl/>
                <w:lang w:val="en-GB" w:eastAsia="en-GB"/>
              </w:rPr>
              <w:t>الشدة 3: 5 أيام</w:t>
            </w:r>
          </w:p>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الشدة 4: 10 أيام</w:t>
            </w:r>
          </w:p>
        </w:tc>
        <w:tc>
          <w:tcPr>
            <w:tcW w:w="701"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بطاقات الإنتاج والدعم التي يحلها فريق الدعم</w:t>
            </w:r>
          </w:p>
        </w:tc>
        <w:tc>
          <w:tcPr>
            <w:tcW w:w="793" w:type="pct"/>
          </w:tcPr>
          <w:p w:rsidR="002F4B3A" w:rsidRPr="00211D55" w:rsidRDefault="002F4B3A" w:rsidP="002F4B3A">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sz w:val="28"/>
                <w:szCs w:val="28"/>
                <w:rtl/>
              </w:rPr>
              <w:t>85.5</w:t>
            </w:r>
            <w:r w:rsidRPr="00211D55">
              <w:rPr>
                <w:rFonts w:ascii="Arabic Typesetting" w:hAnsi="Arabic Typesetting" w:cs="Arabic Typesetting" w:hint="cs"/>
                <w:sz w:val="28"/>
                <w:szCs w:val="28"/>
                <w:rtl/>
              </w:rPr>
              <w:t>%</w:t>
            </w:r>
          </w:p>
        </w:tc>
        <w:tc>
          <w:tcPr>
            <w:tcW w:w="793" w:type="pct"/>
          </w:tcPr>
          <w:p w:rsidR="002F4B3A" w:rsidRPr="00211D55" w:rsidRDefault="002F4B3A" w:rsidP="003C151C">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hint="cs"/>
                <w:sz w:val="28"/>
                <w:szCs w:val="28"/>
                <w:rtl/>
              </w:rPr>
              <w:t>87.6%</w:t>
            </w:r>
            <w:r w:rsidRPr="00F96634">
              <w:rPr>
                <w:rFonts w:ascii="Arabic Typesetting" w:hAnsi="Arabic Typesetting" w:cs="Arabic Typesetting"/>
                <w:sz w:val="28"/>
                <w:szCs w:val="28"/>
                <w:vertAlign w:val="superscript"/>
                <w:rtl/>
              </w:rPr>
              <w:footnoteReference w:id="22"/>
            </w:r>
          </w:p>
        </w:tc>
        <w:tc>
          <w:tcPr>
            <w:tcW w:w="792" w:type="pct"/>
          </w:tcPr>
          <w:p w:rsidR="002F4B3A" w:rsidRPr="00211D55" w:rsidRDefault="002F4B3A" w:rsidP="00F37899">
            <w:pPr>
              <w:autoSpaceDE w:val="0"/>
              <w:autoSpaceDN w:val="0"/>
              <w:bidi/>
              <w:adjustRightInd w:val="0"/>
              <w:spacing w:line="24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rPr>
              <w:t>93.6%</w:t>
            </w:r>
          </w:p>
        </w:tc>
      </w:tr>
      <w:tr w:rsidR="002F4B3A" w:rsidRPr="00211D55" w:rsidTr="00211D55">
        <w:trPr>
          <w:cantSplit/>
        </w:trPr>
        <w:tc>
          <w:tcPr>
            <w:tcW w:w="365" w:type="pct"/>
            <w:shd w:val="clear" w:color="auto" w:fill="auto"/>
            <w:tcMar>
              <w:top w:w="85" w:type="dxa"/>
              <w:bottom w:w="85" w:type="dxa"/>
            </w:tcMar>
          </w:tcPr>
          <w:p w:rsidR="002F4B3A" w:rsidRPr="00211D55" w:rsidRDefault="002F4B3A" w:rsidP="00F37899">
            <w:pPr>
              <w:bidi/>
              <w:spacing w:line="240" w:lineRule="exact"/>
              <w:rPr>
                <w:rFonts w:ascii="Arabic Typesetting" w:hAnsi="Arabic Typesetting" w:cs="Arabic Typesetting"/>
                <w:sz w:val="28"/>
                <w:szCs w:val="28"/>
                <w:lang w:val="en-GB" w:eastAsia="en-GB"/>
              </w:rPr>
            </w:pPr>
            <w:r w:rsidRPr="00211D55">
              <w:rPr>
                <w:rFonts w:ascii="Arabic Typesetting" w:hAnsi="Arabic Typesetting" w:cs="Arabic Typesetting"/>
                <w:sz w:val="28"/>
                <w:szCs w:val="28"/>
                <w:rtl/>
                <w:lang w:val="en-GB" w:eastAsia="en-GB"/>
              </w:rPr>
              <w:t>(2)</w:t>
            </w:r>
          </w:p>
        </w:tc>
        <w:tc>
          <w:tcPr>
            <w:tcW w:w="849" w:type="pct"/>
            <w:shd w:val="clear" w:color="auto" w:fill="auto"/>
            <w:tcMar>
              <w:top w:w="85" w:type="dxa"/>
              <w:bottom w:w="85" w:type="dxa"/>
            </w:tcMar>
          </w:tcPr>
          <w:p w:rsidR="002F4B3A" w:rsidRPr="00211D55" w:rsidRDefault="002F4B3A" w:rsidP="00B1424D">
            <w:pPr>
              <w:bidi/>
              <w:spacing w:line="240" w:lineRule="exact"/>
              <w:rPr>
                <w:rFonts w:ascii="Arabic Typesetting" w:hAnsi="Arabic Typesetting" w:cs="Arabic Typesetting"/>
                <w:sz w:val="28"/>
                <w:szCs w:val="28"/>
                <w:lang w:val="en-GB" w:eastAsia="en-GB"/>
              </w:rPr>
            </w:pPr>
            <w:r w:rsidRPr="00211D55">
              <w:rPr>
                <w:rFonts w:ascii="Arabic Typesetting" w:hAnsi="Arabic Typesetting" w:cs="Arabic Typesetting"/>
                <w:sz w:val="28"/>
                <w:szCs w:val="28"/>
                <w:rtl/>
                <w:lang w:val="en-GB" w:eastAsia="en-GB"/>
              </w:rPr>
              <w:t xml:space="preserve">زمن </w:t>
            </w:r>
            <w:r w:rsidR="00B1424D">
              <w:rPr>
                <w:rFonts w:ascii="Arabic Typesetting" w:hAnsi="Arabic Typesetting" w:cs="Arabic Typesetting" w:hint="cs"/>
                <w:sz w:val="28"/>
                <w:szCs w:val="28"/>
                <w:rtl/>
                <w:lang w:val="en-GB" w:eastAsia="en-GB"/>
              </w:rPr>
              <w:t>تنزيل</w:t>
            </w:r>
            <w:r w:rsidRPr="00211D55">
              <w:rPr>
                <w:rFonts w:ascii="Arabic Typesetting" w:hAnsi="Arabic Typesetting" w:cs="Arabic Typesetting"/>
                <w:sz w:val="28"/>
                <w:szCs w:val="28"/>
                <w:rtl/>
                <w:lang w:val="en-GB" w:eastAsia="en-GB"/>
              </w:rPr>
              <w:t xml:space="preserve"> الوثائق</w:t>
            </w:r>
          </w:p>
          <w:p w:rsidR="002F4B3A" w:rsidRPr="00211D55" w:rsidRDefault="002F4B3A" w:rsidP="00F37899">
            <w:pPr>
              <w:bidi/>
              <w:spacing w:line="240" w:lineRule="exact"/>
              <w:rPr>
                <w:rFonts w:ascii="Arabic Typesetting" w:hAnsi="Arabic Typesetting" w:cs="Arabic Typesetting"/>
                <w:iCs/>
                <w:sz w:val="28"/>
                <w:szCs w:val="28"/>
                <w:lang w:val="en-GB" w:eastAsia="en-GB"/>
              </w:rPr>
            </w:pPr>
            <w:r w:rsidRPr="00211D55">
              <w:rPr>
                <w:rFonts w:ascii="Arabic Typesetting" w:hAnsi="Arabic Typesetting" w:cs="Arabic Typesetting"/>
                <w:iCs/>
                <w:sz w:val="28"/>
                <w:szCs w:val="28"/>
                <w:rtl/>
                <w:lang w:val="en-GB" w:eastAsia="en-GB"/>
              </w:rPr>
              <w:t>الوقت المستغرق منذ تسلم وثيقة في المكتب الدولي وتوافرها في نظام الملفات الإلكترونية (</w:t>
            </w:r>
            <w:proofErr w:type="spellStart"/>
            <w:r w:rsidRPr="00211D55">
              <w:rPr>
                <w:rFonts w:ascii="Arabic Typesetting" w:hAnsi="Arabic Typesetting" w:cs="Arabic Typesetting"/>
                <w:iCs/>
                <w:sz w:val="28"/>
                <w:szCs w:val="28"/>
                <w:lang w:val="en-GB" w:eastAsia="en-GB"/>
              </w:rPr>
              <w:t>eDossier</w:t>
            </w:r>
            <w:proofErr w:type="spellEnd"/>
            <w:r w:rsidRPr="00211D55">
              <w:rPr>
                <w:rFonts w:ascii="Arabic Typesetting" w:hAnsi="Arabic Typesetting" w:cs="Arabic Typesetting"/>
                <w:iCs/>
                <w:sz w:val="28"/>
                <w:szCs w:val="28"/>
                <w:rtl/>
                <w:lang w:val="en-GB" w:eastAsia="en-GB"/>
              </w:rPr>
              <w:t>)</w:t>
            </w:r>
          </w:p>
        </w:tc>
        <w:tc>
          <w:tcPr>
            <w:tcW w:w="707"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8 ساعات</w:t>
            </w:r>
          </w:p>
        </w:tc>
        <w:tc>
          <w:tcPr>
            <w:tcW w:w="701"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الوثائق المحملة بعملية شبه مؤتمتة أو مؤتمتة بالكامل</w:t>
            </w:r>
          </w:p>
        </w:tc>
        <w:tc>
          <w:tcPr>
            <w:tcW w:w="793" w:type="pct"/>
          </w:tcPr>
          <w:p w:rsidR="002F4B3A" w:rsidRPr="00211D55" w:rsidRDefault="002F4B3A" w:rsidP="004021A8">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sz w:val="28"/>
                <w:szCs w:val="28"/>
                <w:rtl/>
              </w:rPr>
              <w:t>80.0</w:t>
            </w:r>
            <w:r w:rsidR="004021A8" w:rsidRPr="00211D55">
              <w:rPr>
                <w:rFonts w:ascii="Arabic Typesetting" w:hAnsi="Arabic Typesetting" w:cs="Arabic Typesetting" w:hint="cs"/>
                <w:sz w:val="28"/>
                <w:szCs w:val="28"/>
                <w:rtl/>
              </w:rPr>
              <w:t>%</w:t>
            </w:r>
          </w:p>
        </w:tc>
        <w:tc>
          <w:tcPr>
            <w:tcW w:w="793" w:type="pct"/>
          </w:tcPr>
          <w:p w:rsidR="002F4B3A" w:rsidRPr="00211D55" w:rsidRDefault="002F4B3A" w:rsidP="003C151C">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sz w:val="28"/>
                <w:szCs w:val="28"/>
                <w:rtl/>
              </w:rPr>
              <w:t>88.2</w:t>
            </w:r>
            <w:r w:rsidR="004021A8" w:rsidRPr="00211D55">
              <w:rPr>
                <w:rFonts w:ascii="Arabic Typesetting" w:hAnsi="Arabic Typesetting" w:cs="Arabic Typesetting"/>
                <w:sz w:val="28"/>
                <w:szCs w:val="28"/>
                <w:rtl/>
              </w:rPr>
              <w:t>%</w:t>
            </w:r>
          </w:p>
        </w:tc>
        <w:tc>
          <w:tcPr>
            <w:tcW w:w="792" w:type="pct"/>
          </w:tcPr>
          <w:p w:rsidR="002F4B3A" w:rsidRPr="00211D55" w:rsidRDefault="004021A8" w:rsidP="00F37899">
            <w:pPr>
              <w:autoSpaceDE w:val="0"/>
              <w:autoSpaceDN w:val="0"/>
              <w:bidi/>
              <w:adjustRightInd w:val="0"/>
              <w:spacing w:line="24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rPr>
              <w:t>89.5%</w:t>
            </w:r>
          </w:p>
        </w:tc>
      </w:tr>
      <w:tr w:rsidR="002F4B3A" w:rsidRPr="00211D55" w:rsidTr="00211D55">
        <w:trPr>
          <w:cantSplit/>
        </w:trPr>
        <w:tc>
          <w:tcPr>
            <w:tcW w:w="365"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(3)</w:t>
            </w:r>
          </w:p>
        </w:tc>
        <w:tc>
          <w:tcPr>
            <w:tcW w:w="849"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معدل النجاح في معالجة مجموعة من الوظائف</w:t>
            </w:r>
          </w:p>
        </w:tc>
        <w:tc>
          <w:tcPr>
            <w:tcW w:w="707"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sz w:val="28"/>
                <w:szCs w:val="28"/>
                <w:rtl/>
              </w:rPr>
              <w:t>100</w:t>
            </w:r>
            <w:r w:rsidR="004021A8" w:rsidRPr="00211D55">
              <w:rPr>
                <w:rFonts w:ascii="Arabic Typesetting" w:hAnsi="Arabic Typesetting" w:cs="Arabic Typesetting"/>
                <w:sz w:val="28"/>
                <w:szCs w:val="28"/>
                <w:rtl/>
              </w:rPr>
              <w:t>%</w:t>
            </w:r>
          </w:p>
        </w:tc>
        <w:tc>
          <w:tcPr>
            <w:tcW w:w="701"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مجموعات العمل اللازم استكمالها بنجاح عند إغلاق دائرة أعمال في تاريخ محدد</w:t>
            </w:r>
          </w:p>
        </w:tc>
        <w:tc>
          <w:tcPr>
            <w:tcW w:w="793" w:type="pct"/>
          </w:tcPr>
          <w:p w:rsidR="002F4B3A" w:rsidRPr="00211D55" w:rsidRDefault="002F4B3A" w:rsidP="003C151C">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99.6</w:t>
            </w:r>
            <w:r w:rsidR="004021A8" w:rsidRPr="00211D55">
              <w:rPr>
                <w:rFonts w:ascii="Arabic Typesetting" w:hAnsi="Arabic Typesetting" w:cs="Arabic Typesetting"/>
                <w:color w:val="000000"/>
                <w:sz w:val="28"/>
                <w:szCs w:val="28"/>
                <w:rtl/>
                <w:lang w:val="en-GB" w:eastAsia="en-GB"/>
              </w:rPr>
              <w:t>%</w:t>
            </w:r>
          </w:p>
        </w:tc>
        <w:tc>
          <w:tcPr>
            <w:tcW w:w="793" w:type="pct"/>
          </w:tcPr>
          <w:p w:rsidR="002F4B3A" w:rsidRPr="00211D55" w:rsidRDefault="002F4B3A" w:rsidP="003C151C">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99.5</w:t>
            </w:r>
            <w:r w:rsidR="004021A8" w:rsidRPr="00211D55">
              <w:rPr>
                <w:rFonts w:ascii="Arabic Typesetting" w:hAnsi="Arabic Typesetting" w:cs="Arabic Typesetting"/>
                <w:color w:val="000000"/>
                <w:sz w:val="28"/>
                <w:szCs w:val="28"/>
                <w:rtl/>
                <w:lang w:val="en-GB" w:eastAsia="en-GB"/>
              </w:rPr>
              <w:t>%</w:t>
            </w:r>
          </w:p>
        </w:tc>
        <w:tc>
          <w:tcPr>
            <w:tcW w:w="792" w:type="pct"/>
          </w:tcPr>
          <w:p w:rsidR="002F4B3A" w:rsidRPr="00211D55" w:rsidRDefault="004021A8" w:rsidP="00F37899">
            <w:pPr>
              <w:autoSpaceDE w:val="0"/>
              <w:autoSpaceDN w:val="0"/>
              <w:bidi/>
              <w:adjustRightInd w:val="0"/>
              <w:spacing w:line="240" w:lineRule="exact"/>
              <w:rPr>
                <w:rFonts w:ascii="Arabic Typesetting" w:hAnsi="Arabic Typesetting" w:cs="Arabic Typesetting"/>
                <w:color w:val="000000"/>
                <w:sz w:val="28"/>
                <w:szCs w:val="28"/>
                <w:rtl/>
                <w:lang w:val="en-GB" w:eastAsia="en-GB"/>
              </w:rPr>
            </w:pPr>
            <w:r w:rsidRPr="00211D55">
              <w:rPr>
                <w:rFonts w:ascii="Arabic Typesetting" w:hAnsi="Arabic Typesetting" w:cs="Arabic Typesetting" w:hint="cs"/>
                <w:color w:val="000000"/>
                <w:sz w:val="28"/>
                <w:szCs w:val="28"/>
                <w:rtl/>
                <w:lang w:val="en-GB" w:eastAsia="en-GB"/>
              </w:rPr>
              <w:t>99.6%</w:t>
            </w:r>
          </w:p>
        </w:tc>
      </w:tr>
      <w:tr w:rsidR="002F4B3A" w:rsidRPr="00211D55" w:rsidTr="00211D55">
        <w:trPr>
          <w:cantSplit/>
        </w:trPr>
        <w:tc>
          <w:tcPr>
            <w:tcW w:w="365"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(4)</w:t>
            </w:r>
          </w:p>
        </w:tc>
        <w:tc>
          <w:tcPr>
            <w:tcW w:w="849"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توافر نظام الملفات الإلكترونية (</w:t>
            </w:r>
            <w:proofErr w:type="spellStart"/>
            <w:r w:rsidRPr="00211D55">
              <w:rPr>
                <w:rFonts w:ascii="Arabic Typesetting" w:hAnsi="Arabic Typesetting" w:cs="Arabic Typesetting"/>
                <w:color w:val="000000"/>
                <w:sz w:val="28"/>
                <w:szCs w:val="28"/>
                <w:lang w:val="en-GB" w:eastAsia="en-GB"/>
              </w:rPr>
              <w:t>eDossier</w:t>
            </w:r>
            <w:proofErr w:type="spellEnd"/>
            <w:r w:rsidRPr="00211D55">
              <w:rPr>
                <w:rFonts w:ascii="Arabic Typesetting" w:hAnsi="Arabic Typesetting" w:cs="Arabic Typesetting"/>
                <w:color w:val="000000"/>
                <w:sz w:val="28"/>
                <w:szCs w:val="28"/>
                <w:rtl/>
                <w:lang w:val="en-GB" w:eastAsia="en-GB"/>
              </w:rPr>
              <w:t>)</w:t>
            </w:r>
          </w:p>
        </w:tc>
        <w:tc>
          <w:tcPr>
            <w:tcW w:w="707"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99</w:t>
            </w:r>
            <w:r w:rsidR="004021A8" w:rsidRPr="00211D55">
              <w:rPr>
                <w:rFonts w:ascii="Arabic Typesetting" w:hAnsi="Arabic Typesetting" w:cs="Arabic Typesetting"/>
                <w:color w:val="000000"/>
                <w:sz w:val="28"/>
                <w:szCs w:val="28"/>
                <w:rtl/>
                <w:lang w:val="en-GB" w:eastAsia="en-GB"/>
              </w:rPr>
              <w:t>%</w:t>
            </w:r>
          </w:p>
        </w:tc>
        <w:tc>
          <w:tcPr>
            <w:tcW w:w="701"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من الساعة 7 صباحا إلى الساعة 7 مساء في أيام العمل</w:t>
            </w:r>
          </w:p>
        </w:tc>
        <w:tc>
          <w:tcPr>
            <w:tcW w:w="793" w:type="pct"/>
          </w:tcPr>
          <w:p w:rsidR="002F4B3A" w:rsidRPr="00211D55" w:rsidRDefault="002F4B3A" w:rsidP="003C151C">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sz w:val="28"/>
                <w:szCs w:val="28"/>
                <w:rtl/>
              </w:rPr>
              <w:t>100.0</w:t>
            </w:r>
            <w:r w:rsidR="004021A8" w:rsidRPr="00211D55">
              <w:rPr>
                <w:rFonts w:ascii="Arabic Typesetting" w:hAnsi="Arabic Typesetting" w:cs="Arabic Typesetting"/>
                <w:sz w:val="28"/>
                <w:szCs w:val="28"/>
                <w:rtl/>
              </w:rPr>
              <w:t>%</w:t>
            </w:r>
          </w:p>
        </w:tc>
        <w:tc>
          <w:tcPr>
            <w:tcW w:w="793" w:type="pct"/>
          </w:tcPr>
          <w:p w:rsidR="002F4B3A" w:rsidRPr="00211D55" w:rsidRDefault="002F4B3A" w:rsidP="003C151C">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sz w:val="28"/>
                <w:szCs w:val="28"/>
                <w:rtl/>
              </w:rPr>
              <w:t>100.0</w:t>
            </w:r>
            <w:r w:rsidR="004021A8" w:rsidRPr="00211D55">
              <w:rPr>
                <w:rFonts w:ascii="Arabic Typesetting" w:hAnsi="Arabic Typesetting" w:cs="Arabic Typesetting"/>
                <w:sz w:val="28"/>
                <w:szCs w:val="28"/>
                <w:rtl/>
              </w:rPr>
              <w:t>%</w:t>
            </w:r>
          </w:p>
        </w:tc>
        <w:tc>
          <w:tcPr>
            <w:tcW w:w="792" w:type="pct"/>
          </w:tcPr>
          <w:p w:rsidR="002F4B3A" w:rsidRPr="00211D55" w:rsidRDefault="004021A8" w:rsidP="00F37899">
            <w:pPr>
              <w:autoSpaceDE w:val="0"/>
              <w:autoSpaceDN w:val="0"/>
              <w:bidi/>
              <w:adjustRightInd w:val="0"/>
              <w:spacing w:line="24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rPr>
              <w:t>100.0%</w:t>
            </w:r>
          </w:p>
        </w:tc>
      </w:tr>
      <w:tr w:rsidR="002F4B3A" w:rsidRPr="00211D55" w:rsidTr="00211D55">
        <w:trPr>
          <w:cantSplit/>
        </w:trPr>
        <w:tc>
          <w:tcPr>
            <w:tcW w:w="365"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(5)</w:t>
            </w:r>
          </w:p>
        </w:tc>
        <w:tc>
          <w:tcPr>
            <w:tcW w:w="849"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توافر نظام (</w:t>
            </w:r>
            <w:proofErr w:type="spellStart"/>
            <w:r w:rsidRPr="00211D55">
              <w:rPr>
                <w:rFonts w:ascii="Arabic Typesetting" w:hAnsi="Arabic Typesetting" w:cs="Arabic Typesetting"/>
                <w:color w:val="000000"/>
                <w:sz w:val="28"/>
                <w:szCs w:val="28"/>
                <w:lang w:val="en-GB" w:eastAsia="en-GB"/>
              </w:rPr>
              <w:t>ePCT</w:t>
            </w:r>
            <w:proofErr w:type="spellEnd"/>
            <w:r w:rsidRPr="00211D55">
              <w:rPr>
                <w:rFonts w:ascii="Arabic Typesetting" w:hAnsi="Arabic Typesetting" w:cs="Arabic Typesetting"/>
                <w:color w:val="000000"/>
                <w:sz w:val="28"/>
                <w:szCs w:val="28"/>
                <w:rtl/>
                <w:lang w:val="en-GB" w:eastAsia="en-GB"/>
              </w:rPr>
              <w:t>)</w:t>
            </w:r>
          </w:p>
        </w:tc>
        <w:tc>
          <w:tcPr>
            <w:tcW w:w="707"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99</w:t>
            </w:r>
            <w:r w:rsidR="004021A8" w:rsidRPr="00211D55">
              <w:rPr>
                <w:rFonts w:ascii="Arabic Typesetting" w:hAnsi="Arabic Typesetting" w:cs="Arabic Typesetting"/>
                <w:color w:val="000000"/>
                <w:sz w:val="28"/>
                <w:szCs w:val="28"/>
                <w:rtl/>
                <w:lang w:val="en-GB" w:eastAsia="en-GB"/>
              </w:rPr>
              <w:t>%</w:t>
            </w:r>
          </w:p>
        </w:tc>
        <w:tc>
          <w:tcPr>
            <w:tcW w:w="701"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color w:val="000000"/>
                <w:sz w:val="28"/>
                <w:szCs w:val="28"/>
                <w:rtl/>
                <w:lang w:val="en-GB" w:eastAsia="en-GB"/>
              </w:rPr>
              <w:t>24 ساعة</w:t>
            </w:r>
          </w:p>
        </w:tc>
        <w:tc>
          <w:tcPr>
            <w:tcW w:w="793" w:type="pct"/>
          </w:tcPr>
          <w:p w:rsidR="002F4B3A" w:rsidRPr="00211D55" w:rsidRDefault="002F4B3A" w:rsidP="003C151C">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sz w:val="28"/>
                <w:szCs w:val="28"/>
                <w:rtl/>
              </w:rPr>
              <w:t>100.0</w:t>
            </w:r>
            <w:r w:rsidR="004021A8" w:rsidRPr="00211D55">
              <w:rPr>
                <w:rFonts w:ascii="Arabic Typesetting" w:hAnsi="Arabic Typesetting" w:cs="Arabic Typesetting"/>
                <w:sz w:val="28"/>
                <w:szCs w:val="28"/>
                <w:rtl/>
              </w:rPr>
              <w:t>%</w:t>
            </w:r>
          </w:p>
        </w:tc>
        <w:tc>
          <w:tcPr>
            <w:tcW w:w="793" w:type="pct"/>
          </w:tcPr>
          <w:p w:rsidR="002F4B3A" w:rsidRPr="00211D55" w:rsidRDefault="002F4B3A" w:rsidP="003C151C">
            <w:pPr>
              <w:autoSpaceDE w:val="0"/>
              <w:autoSpaceDN w:val="0"/>
              <w:bidi/>
              <w:adjustRightInd w:val="0"/>
              <w:spacing w:line="240" w:lineRule="exact"/>
              <w:rPr>
                <w:rFonts w:ascii="Arabic Typesetting" w:hAnsi="Arabic Typesetting" w:cs="Arabic Typesetting"/>
                <w:color w:val="000000"/>
                <w:sz w:val="28"/>
                <w:szCs w:val="28"/>
                <w:lang w:val="en-GB" w:eastAsia="en-GB"/>
              </w:rPr>
            </w:pPr>
            <w:r w:rsidRPr="00211D55">
              <w:rPr>
                <w:rFonts w:ascii="Arabic Typesetting" w:hAnsi="Arabic Typesetting" w:cs="Arabic Typesetting"/>
                <w:sz w:val="28"/>
                <w:szCs w:val="28"/>
                <w:rtl/>
              </w:rPr>
              <w:t>100.0</w:t>
            </w:r>
            <w:r w:rsidR="004021A8" w:rsidRPr="00211D55">
              <w:rPr>
                <w:rFonts w:ascii="Arabic Typesetting" w:hAnsi="Arabic Typesetting" w:cs="Arabic Typesetting"/>
                <w:sz w:val="28"/>
                <w:szCs w:val="28"/>
                <w:rtl/>
              </w:rPr>
              <w:t>%</w:t>
            </w:r>
          </w:p>
        </w:tc>
        <w:tc>
          <w:tcPr>
            <w:tcW w:w="792" w:type="pct"/>
          </w:tcPr>
          <w:p w:rsidR="002F4B3A" w:rsidRPr="00211D55" w:rsidRDefault="004021A8" w:rsidP="00F37899">
            <w:pPr>
              <w:autoSpaceDE w:val="0"/>
              <w:autoSpaceDN w:val="0"/>
              <w:bidi/>
              <w:adjustRightInd w:val="0"/>
              <w:spacing w:line="24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100.0%</w:t>
            </w:r>
          </w:p>
        </w:tc>
      </w:tr>
      <w:tr w:rsidR="002F4B3A" w:rsidRPr="00211D55" w:rsidTr="00211D55">
        <w:trPr>
          <w:cantSplit/>
        </w:trPr>
        <w:tc>
          <w:tcPr>
            <w:tcW w:w="365"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b/>
                <w:color w:val="000000"/>
                <w:sz w:val="28"/>
                <w:szCs w:val="28"/>
                <w:lang w:val="en-GB" w:eastAsia="en-GB"/>
              </w:rPr>
            </w:pPr>
          </w:p>
        </w:tc>
        <w:tc>
          <w:tcPr>
            <w:tcW w:w="849" w:type="pct"/>
            <w:shd w:val="clear" w:color="auto" w:fill="auto"/>
            <w:tcMar>
              <w:top w:w="85" w:type="dxa"/>
              <w:bottom w:w="85" w:type="dxa"/>
            </w:tcMar>
          </w:tcPr>
          <w:p w:rsidR="002F4B3A" w:rsidRPr="00211D55" w:rsidRDefault="00224009" w:rsidP="00F37899">
            <w:pPr>
              <w:autoSpaceDE w:val="0"/>
              <w:autoSpaceDN w:val="0"/>
              <w:bidi/>
              <w:adjustRightInd w:val="0"/>
              <w:spacing w:line="240" w:lineRule="exact"/>
              <w:rPr>
                <w:rFonts w:ascii="Arabic Typesetting" w:hAnsi="Arabic Typesetting" w:cs="Arabic Typesetting"/>
                <w:bCs/>
                <w:color w:val="000000"/>
                <w:sz w:val="28"/>
                <w:szCs w:val="28"/>
                <w:rtl/>
                <w:lang w:val="en-GB" w:eastAsia="en-GB"/>
              </w:rPr>
            </w:pPr>
            <w:r>
              <w:rPr>
                <w:rFonts w:ascii="Arabic Typesetting" w:hAnsi="Arabic Typesetting" w:cs="Arabic Typesetting"/>
                <w:bCs/>
                <w:color w:val="000000"/>
                <w:sz w:val="28"/>
                <w:szCs w:val="28"/>
                <w:rtl/>
                <w:lang w:val="en-GB" w:eastAsia="en-GB"/>
              </w:rPr>
              <w:t>مستويات خدمات أنظمة المعلومات</w:t>
            </w:r>
          </w:p>
          <w:p w:rsidR="002F4B3A" w:rsidRPr="00211D55" w:rsidRDefault="002F4B3A" w:rsidP="00F37899">
            <w:pPr>
              <w:autoSpaceDE w:val="0"/>
              <w:autoSpaceDN w:val="0"/>
              <w:bidi/>
              <w:adjustRightInd w:val="0"/>
              <w:spacing w:line="240" w:lineRule="exact"/>
              <w:rPr>
                <w:rFonts w:ascii="Arabic Typesetting" w:hAnsi="Arabic Typesetting" w:cs="Arabic Typesetting"/>
                <w:bCs/>
                <w:iCs/>
                <w:color w:val="000000"/>
                <w:sz w:val="28"/>
                <w:szCs w:val="28"/>
                <w:lang w:val="en-GB" w:eastAsia="en-GB"/>
              </w:rPr>
            </w:pPr>
            <w:r w:rsidRPr="00211D55">
              <w:rPr>
                <w:rFonts w:ascii="Arabic Typesetting" w:hAnsi="Arabic Typesetting" w:cs="Arabic Typesetting"/>
                <w:bCs/>
                <w:iCs/>
                <w:color w:val="000000"/>
                <w:sz w:val="28"/>
                <w:szCs w:val="28"/>
                <w:rtl/>
                <w:lang w:val="en-GB" w:eastAsia="en-GB"/>
              </w:rPr>
              <w:t>متوسط المؤشرات الواردة أعلاه: (1): 20</w:t>
            </w:r>
            <w:r w:rsidR="004021A8" w:rsidRPr="00211D55">
              <w:rPr>
                <w:rFonts w:ascii="Arabic Typesetting" w:hAnsi="Arabic Typesetting" w:cs="Arabic Typesetting"/>
                <w:bCs/>
                <w:iCs/>
                <w:color w:val="000000"/>
                <w:sz w:val="28"/>
                <w:szCs w:val="28"/>
                <w:rtl/>
                <w:lang w:val="en-GB" w:eastAsia="en-GB"/>
              </w:rPr>
              <w:t>%</w:t>
            </w:r>
            <w:r w:rsidRPr="00211D55">
              <w:rPr>
                <w:rFonts w:ascii="Arabic Typesetting" w:hAnsi="Arabic Typesetting" w:cs="Arabic Typesetting"/>
                <w:bCs/>
                <w:iCs/>
                <w:color w:val="000000"/>
                <w:sz w:val="28"/>
                <w:szCs w:val="28"/>
                <w:rtl/>
                <w:lang w:val="en-GB" w:eastAsia="en-GB"/>
              </w:rPr>
              <w:t xml:space="preserve"> (2): 20</w:t>
            </w:r>
            <w:r w:rsidR="004021A8" w:rsidRPr="00211D55">
              <w:rPr>
                <w:rFonts w:ascii="Arabic Typesetting" w:hAnsi="Arabic Typesetting" w:cs="Arabic Typesetting"/>
                <w:bCs/>
                <w:iCs/>
                <w:color w:val="000000"/>
                <w:sz w:val="28"/>
                <w:szCs w:val="28"/>
                <w:rtl/>
                <w:lang w:val="en-GB" w:eastAsia="en-GB"/>
              </w:rPr>
              <w:t>%</w:t>
            </w:r>
            <w:r w:rsidRPr="00211D55">
              <w:rPr>
                <w:rFonts w:ascii="Arabic Typesetting" w:hAnsi="Arabic Typesetting" w:cs="Arabic Typesetting"/>
                <w:bCs/>
                <w:iCs/>
                <w:color w:val="000000"/>
                <w:sz w:val="28"/>
                <w:szCs w:val="28"/>
                <w:rtl/>
                <w:lang w:val="en-GB" w:eastAsia="en-GB"/>
              </w:rPr>
              <w:t xml:space="preserve"> (3): 20</w:t>
            </w:r>
            <w:r w:rsidR="004021A8" w:rsidRPr="00211D55">
              <w:rPr>
                <w:rFonts w:ascii="Arabic Typesetting" w:hAnsi="Arabic Typesetting" w:cs="Arabic Typesetting"/>
                <w:bCs/>
                <w:iCs/>
                <w:color w:val="000000"/>
                <w:sz w:val="28"/>
                <w:szCs w:val="28"/>
                <w:rtl/>
                <w:lang w:val="en-GB" w:eastAsia="en-GB"/>
              </w:rPr>
              <w:t>%</w:t>
            </w:r>
            <w:r w:rsidRPr="00211D55">
              <w:rPr>
                <w:rFonts w:ascii="Arabic Typesetting" w:hAnsi="Arabic Typesetting" w:cs="Arabic Typesetting"/>
                <w:bCs/>
                <w:iCs/>
                <w:color w:val="000000"/>
                <w:sz w:val="28"/>
                <w:szCs w:val="28"/>
                <w:rtl/>
                <w:lang w:val="en-GB" w:eastAsia="en-GB"/>
              </w:rPr>
              <w:t xml:space="preserve"> (4): 20</w:t>
            </w:r>
            <w:r w:rsidR="004021A8" w:rsidRPr="00211D55">
              <w:rPr>
                <w:rFonts w:ascii="Arabic Typesetting" w:hAnsi="Arabic Typesetting" w:cs="Arabic Typesetting"/>
                <w:bCs/>
                <w:iCs/>
                <w:color w:val="000000"/>
                <w:sz w:val="28"/>
                <w:szCs w:val="28"/>
                <w:rtl/>
                <w:lang w:val="en-GB" w:eastAsia="en-GB"/>
              </w:rPr>
              <w:t>%</w:t>
            </w:r>
            <w:r w:rsidRPr="00211D55">
              <w:rPr>
                <w:rFonts w:ascii="Arabic Typesetting" w:hAnsi="Arabic Typesetting" w:cs="Arabic Typesetting"/>
                <w:bCs/>
                <w:iCs/>
                <w:color w:val="000000"/>
                <w:sz w:val="28"/>
                <w:szCs w:val="28"/>
                <w:rtl/>
                <w:lang w:val="en-GB" w:eastAsia="en-GB"/>
              </w:rPr>
              <w:t xml:space="preserve"> (5): 20</w:t>
            </w:r>
            <w:r w:rsidR="004021A8" w:rsidRPr="00211D55">
              <w:rPr>
                <w:rFonts w:ascii="Arabic Typesetting" w:hAnsi="Arabic Typesetting" w:cs="Arabic Typesetting"/>
                <w:bCs/>
                <w:iCs/>
                <w:color w:val="000000"/>
                <w:sz w:val="28"/>
                <w:szCs w:val="28"/>
                <w:rtl/>
                <w:lang w:val="en-GB" w:eastAsia="en-GB"/>
              </w:rPr>
              <w:t>%</w:t>
            </w:r>
          </w:p>
        </w:tc>
        <w:tc>
          <w:tcPr>
            <w:tcW w:w="707"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b/>
                <w:color w:val="000000"/>
                <w:sz w:val="28"/>
                <w:szCs w:val="28"/>
                <w:lang w:val="en-GB" w:eastAsia="en-GB"/>
              </w:rPr>
            </w:pPr>
          </w:p>
        </w:tc>
        <w:tc>
          <w:tcPr>
            <w:tcW w:w="701" w:type="pct"/>
            <w:shd w:val="clear" w:color="auto" w:fill="auto"/>
            <w:tcMar>
              <w:top w:w="85" w:type="dxa"/>
              <w:bottom w:w="85" w:type="dxa"/>
            </w:tcMar>
          </w:tcPr>
          <w:p w:rsidR="002F4B3A" w:rsidRPr="00211D55" w:rsidRDefault="002F4B3A" w:rsidP="00F37899">
            <w:pPr>
              <w:autoSpaceDE w:val="0"/>
              <w:autoSpaceDN w:val="0"/>
              <w:bidi/>
              <w:adjustRightInd w:val="0"/>
              <w:spacing w:line="240" w:lineRule="exact"/>
              <w:rPr>
                <w:rFonts w:ascii="Arabic Typesetting" w:hAnsi="Arabic Typesetting" w:cs="Arabic Typesetting"/>
                <w:b/>
                <w:color w:val="000000"/>
                <w:sz w:val="28"/>
                <w:szCs w:val="28"/>
                <w:lang w:val="en-GB" w:eastAsia="en-GB"/>
              </w:rPr>
            </w:pPr>
          </w:p>
        </w:tc>
        <w:tc>
          <w:tcPr>
            <w:tcW w:w="793" w:type="pct"/>
          </w:tcPr>
          <w:p w:rsidR="002F4B3A" w:rsidRPr="00211D55" w:rsidRDefault="002F4B3A" w:rsidP="003C151C">
            <w:pPr>
              <w:tabs>
                <w:tab w:val="right" w:pos="918"/>
              </w:tabs>
              <w:autoSpaceDE w:val="0"/>
              <w:autoSpaceDN w:val="0"/>
              <w:bidi/>
              <w:adjustRightInd w:val="0"/>
              <w:spacing w:line="24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93.0</w:t>
            </w:r>
            <w:r w:rsidR="004021A8" w:rsidRPr="00211D55">
              <w:rPr>
                <w:rFonts w:ascii="Arabic Typesetting" w:hAnsi="Arabic Typesetting" w:cs="Arabic Typesetting"/>
                <w:bCs/>
                <w:sz w:val="28"/>
                <w:szCs w:val="28"/>
                <w:rtl/>
              </w:rPr>
              <w:t>%</w:t>
            </w:r>
          </w:p>
        </w:tc>
        <w:tc>
          <w:tcPr>
            <w:tcW w:w="793" w:type="pct"/>
          </w:tcPr>
          <w:p w:rsidR="002F4B3A" w:rsidRPr="00211D55" w:rsidRDefault="004021A8" w:rsidP="003C151C">
            <w:pPr>
              <w:autoSpaceDE w:val="0"/>
              <w:autoSpaceDN w:val="0"/>
              <w:bidi/>
              <w:adjustRightInd w:val="0"/>
              <w:spacing w:line="240" w:lineRule="exact"/>
              <w:rPr>
                <w:rFonts w:ascii="Arabic Typesetting" w:hAnsi="Arabic Typesetting" w:cs="Arabic Typesetting"/>
                <w:bCs/>
                <w:sz w:val="28"/>
                <w:szCs w:val="28"/>
              </w:rPr>
            </w:pPr>
            <w:r w:rsidRPr="00211D55">
              <w:rPr>
                <w:rFonts w:ascii="Arabic Typesetting" w:hAnsi="Arabic Typesetting" w:cs="Arabic Typesetting" w:hint="cs"/>
                <w:bCs/>
                <w:sz w:val="28"/>
                <w:szCs w:val="28"/>
                <w:rtl/>
              </w:rPr>
              <w:t>95.1%</w:t>
            </w:r>
            <w:r w:rsidRPr="00F96634">
              <w:rPr>
                <w:rFonts w:ascii="Arabic Typesetting" w:hAnsi="Arabic Typesetting" w:cs="Arabic Typesetting"/>
                <w:bCs/>
                <w:sz w:val="28"/>
                <w:szCs w:val="28"/>
                <w:vertAlign w:val="superscript"/>
                <w:rtl/>
              </w:rPr>
              <w:footnoteReference w:id="23"/>
            </w:r>
          </w:p>
        </w:tc>
        <w:tc>
          <w:tcPr>
            <w:tcW w:w="792" w:type="pct"/>
          </w:tcPr>
          <w:p w:rsidR="002F4B3A" w:rsidRPr="00211D55" w:rsidRDefault="004021A8" w:rsidP="00F37899">
            <w:pPr>
              <w:tabs>
                <w:tab w:val="right" w:pos="918"/>
              </w:tabs>
              <w:autoSpaceDE w:val="0"/>
              <w:autoSpaceDN w:val="0"/>
              <w:bidi/>
              <w:adjustRightInd w:val="0"/>
              <w:spacing w:line="240" w:lineRule="exact"/>
              <w:rPr>
                <w:rFonts w:ascii="Arabic Typesetting" w:hAnsi="Arabic Typesetting" w:cs="Arabic Typesetting"/>
                <w:bCs/>
                <w:sz w:val="28"/>
                <w:szCs w:val="28"/>
                <w:rtl/>
              </w:rPr>
            </w:pPr>
            <w:r w:rsidRPr="00211D55">
              <w:rPr>
                <w:rFonts w:ascii="Arabic Typesetting" w:hAnsi="Arabic Typesetting" w:cs="Arabic Typesetting" w:hint="cs"/>
                <w:bCs/>
                <w:sz w:val="28"/>
                <w:szCs w:val="28"/>
                <w:rtl/>
              </w:rPr>
              <w:t>96.5%</w:t>
            </w:r>
          </w:p>
        </w:tc>
      </w:tr>
    </w:tbl>
    <w:p w:rsidR="004021A8" w:rsidRPr="00211D55" w:rsidRDefault="004021A8" w:rsidP="008A499E">
      <w:pPr>
        <w:tabs>
          <w:tab w:val="left" w:pos="2916"/>
        </w:tabs>
        <w:bidi/>
        <w:spacing w:after="120" w:line="340" w:lineRule="exact"/>
        <w:rPr>
          <w:rFonts w:ascii="Arabic Typesetting" w:hAnsi="Arabic Typesetting" w:cs="Arabic Typesetting"/>
          <w:sz w:val="28"/>
          <w:szCs w:val="28"/>
          <w:rtl/>
          <w:lang w:val="en-GB"/>
        </w:rPr>
      </w:pPr>
      <w:r w:rsidRPr="00211D55">
        <w:rPr>
          <w:rFonts w:ascii="Arabic Typesetting" w:hAnsi="Arabic Typesetting" w:cs="Arabic Typesetting"/>
          <w:sz w:val="28"/>
          <w:szCs w:val="28"/>
          <w:rtl/>
          <w:lang w:val="en-GB"/>
        </w:rPr>
        <w:t>المصدر: عمليات معاهدة البراءات، فبراير 2016</w:t>
      </w:r>
    </w:p>
    <w:p w:rsidR="00F37899" w:rsidRPr="00F37899" w:rsidRDefault="00F37899" w:rsidP="004021A8">
      <w:pPr>
        <w:keepNext/>
        <w:tabs>
          <w:tab w:val="left" w:pos="2916"/>
        </w:tabs>
        <w:bidi/>
        <w:spacing w:before="120" w:after="120" w:line="340" w:lineRule="exact"/>
        <w:rPr>
          <w:rFonts w:ascii="Arabic Typesetting" w:hAnsi="Arabic Typesetting" w:cs="Arabic Typesetting"/>
          <w:b/>
          <w:bCs/>
          <w:sz w:val="36"/>
          <w:szCs w:val="36"/>
          <w:lang w:val="en-GB"/>
        </w:rPr>
      </w:pPr>
      <w:r w:rsidRPr="00F37899">
        <w:rPr>
          <w:rFonts w:ascii="Arabic Typesetting" w:hAnsi="Arabic Typesetting" w:cs="Arabic Typesetting"/>
          <w:b/>
          <w:bCs/>
          <w:sz w:val="36"/>
          <w:szCs w:val="36"/>
          <w:rtl/>
          <w:lang w:val="en-GB"/>
        </w:rPr>
        <w:t>المكتب الدولي بوصفه مكتبا لتسلم الطلبات</w:t>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الإيداعات</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يوضح </w:t>
      </w:r>
      <w:r w:rsidR="008A499E">
        <w:rPr>
          <w:rFonts w:ascii="Arabic Typesetting" w:hAnsi="Arabic Typesetting" w:cs="Arabic Typesetting" w:hint="cs"/>
          <w:sz w:val="34"/>
          <w:szCs w:val="34"/>
          <w:rtl/>
          <w:lang w:val="en-GB"/>
        </w:rPr>
        <w:t>الجدول التالي</w:t>
      </w:r>
      <w:r w:rsidRPr="00F37899">
        <w:rPr>
          <w:rFonts w:ascii="Arabic Typesetting" w:hAnsi="Arabic Typesetting" w:cs="Arabic Typesetting"/>
          <w:sz w:val="34"/>
          <w:szCs w:val="34"/>
          <w:rtl/>
          <w:lang w:val="en-GB"/>
        </w:rPr>
        <w:t xml:space="preserve"> الإيداعات بناء على معاهدة التعاون بشأن البراءات لدى أكبر عشرة مكاتب لتسلم الطلبات خلال الأعوام الخمسة الماضية وحتى عام </w:t>
      </w:r>
      <w:r w:rsidR="004021A8">
        <w:rPr>
          <w:rFonts w:ascii="Arabic Typesetting" w:hAnsi="Arabic Typesetting" w:cs="Arabic Typesetting" w:hint="cs"/>
          <w:sz w:val="34"/>
          <w:szCs w:val="34"/>
          <w:rtl/>
          <w:lang w:val="en-GB"/>
        </w:rPr>
        <w:t>2015</w:t>
      </w:r>
      <w:r w:rsidRPr="00F37899">
        <w:rPr>
          <w:rFonts w:ascii="Arabic Typesetting" w:hAnsi="Arabic Typesetting" w:cs="Arabic Typesetting"/>
          <w:sz w:val="34"/>
          <w:szCs w:val="34"/>
          <w:rtl/>
          <w:lang w:val="en-GB"/>
        </w:rPr>
        <w:t xml:space="preserve">. ومن حيث المبدأ يودع أي طلب بناء على معاهدة التعاون بشأن البراءات لدى مكتب البراءات الوطني في وطن المودع أو لدى أي مكتب براءات إقليمي ينوب عن اختصاص هذا المكتب. والمكتب الدولي مختص بتسلم الطلبات من جميع الدول المتعاقدة بموجب معاهدة التعاون بشأن البراءات. ويمكن الاطلاع في هذا الجدول </w:t>
      </w:r>
      <w:r w:rsidR="008A499E">
        <w:rPr>
          <w:rFonts w:ascii="Arabic Typesetting" w:hAnsi="Arabic Typesetting" w:cs="Arabic Typesetting" w:hint="cs"/>
          <w:sz w:val="34"/>
          <w:szCs w:val="34"/>
          <w:rtl/>
          <w:lang w:val="en-GB"/>
        </w:rPr>
        <w:t>أيضاً</w:t>
      </w:r>
      <w:r w:rsidRPr="00F37899">
        <w:rPr>
          <w:rFonts w:ascii="Arabic Typesetting" w:hAnsi="Arabic Typesetting" w:cs="Arabic Typesetting"/>
          <w:sz w:val="34"/>
          <w:szCs w:val="34"/>
          <w:rtl/>
          <w:lang w:val="en-GB"/>
        </w:rPr>
        <w:t xml:space="preserve"> على تطور الإيداعات لدى المكتب الدولي بوصفه مكتبا لتسلم الطلبات وترتيبه من حيث عدد الإيداعات بين سائر مكاتب تسلم الطلب</w:t>
      </w:r>
      <w:r w:rsidR="004021A8">
        <w:rPr>
          <w:rFonts w:ascii="Arabic Typesetting" w:hAnsi="Arabic Typesetting" w:cs="Arabic Typesetting"/>
          <w:sz w:val="34"/>
          <w:szCs w:val="34"/>
          <w:rtl/>
          <w:lang w:val="en-GB"/>
        </w:rPr>
        <w:t>ات فضلا عن حصته في السوق.</w:t>
      </w:r>
    </w:p>
    <w:tbl>
      <w:tblPr>
        <w:bidiVisual/>
        <w:tblW w:w="9508" w:type="dxa"/>
        <w:tblInd w:w="108" w:type="dxa"/>
        <w:tblLook w:val="04A0" w:firstRow="1" w:lastRow="0" w:firstColumn="1" w:lastColumn="0" w:noHBand="0" w:noVBand="1"/>
      </w:tblPr>
      <w:tblGrid>
        <w:gridCol w:w="2816"/>
        <w:gridCol w:w="956"/>
        <w:gridCol w:w="956"/>
        <w:gridCol w:w="956"/>
        <w:gridCol w:w="956"/>
        <w:gridCol w:w="956"/>
        <w:gridCol w:w="956"/>
        <w:gridCol w:w="956"/>
      </w:tblGrid>
      <w:tr w:rsidR="004021A8" w:rsidRPr="00211D55" w:rsidTr="004021A8">
        <w:trPr>
          <w:trHeight w:val="450"/>
        </w:trPr>
        <w:tc>
          <w:tcPr>
            <w:tcW w:w="281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hideMark/>
          </w:tcPr>
          <w:p w:rsidR="004021A8" w:rsidRPr="00211D55" w:rsidRDefault="004021A8" w:rsidP="007A7336">
            <w:pPr>
              <w:keepNext/>
              <w:bidi/>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سنة الإيداع الدولي</w:t>
            </w: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bidi/>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التغير</w:t>
            </w:r>
          </w:p>
        </w:tc>
      </w:tr>
      <w:tr w:rsidR="004021A8" w:rsidRPr="00211D55" w:rsidTr="004021A8">
        <w:trPr>
          <w:trHeight w:val="450"/>
        </w:trPr>
        <w:tc>
          <w:tcPr>
            <w:tcW w:w="281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bidi/>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حصة</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bidi/>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مقارنة</w:t>
            </w:r>
          </w:p>
        </w:tc>
      </w:tr>
      <w:tr w:rsidR="004021A8" w:rsidRPr="00211D55" w:rsidTr="004021A8">
        <w:trPr>
          <w:trHeight w:val="450"/>
        </w:trPr>
        <w:tc>
          <w:tcPr>
            <w:tcW w:w="2816" w:type="dxa"/>
            <w:tcBorders>
              <w:top w:val="nil"/>
              <w:left w:val="nil"/>
              <w:bottom w:val="nil"/>
              <w:right w:val="nil"/>
            </w:tcBorders>
            <w:shd w:val="clear" w:color="000000" w:fill="FFCC99"/>
            <w:noWrap/>
            <w:vAlign w:val="bottom"/>
            <w:hideMark/>
          </w:tcPr>
          <w:p w:rsidR="004021A8" w:rsidRPr="00211D55" w:rsidRDefault="004021A8" w:rsidP="00211D55">
            <w:pPr>
              <w:keepNext/>
              <w:bidi/>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مكاتب تسلّم الطلبات</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Pr>
              <w:t>2011</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Pr>
              <w:t>2012</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Pr>
              <w:t>2013</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Pr>
              <w:t>2014</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Pr>
              <w:t>2015</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2015</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bidi/>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بعام 2014</w:t>
            </w:r>
          </w:p>
        </w:tc>
      </w:tr>
      <w:tr w:rsidR="004021A8" w:rsidRPr="00211D55" w:rsidTr="004021A8">
        <w:trPr>
          <w:trHeight w:val="450"/>
        </w:trPr>
        <w:tc>
          <w:tcPr>
            <w:tcW w:w="281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tcPr>
          <w:p w:rsidR="004021A8" w:rsidRPr="00211D55" w:rsidRDefault="004021A8" w:rsidP="00211D55">
            <w:pPr>
              <w:keepNext/>
              <w:jc w:val="center"/>
              <w:rPr>
                <w:rFonts w:ascii="Arabic Typesetting" w:hAnsi="Arabic Typesetting" w:cs="Arabic Typesetting"/>
                <w:b/>
                <w:bCs/>
                <w:sz w:val="28"/>
                <w:szCs w:val="28"/>
              </w:rPr>
            </w:pP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w:t>
            </w:r>
          </w:p>
        </w:tc>
        <w:tc>
          <w:tcPr>
            <w:tcW w:w="956" w:type="dxa"/>
            <w:tcBorders>
              <w:top w:val="nil"/>
              <w:left w:val="nil"/>
              <w:bottom w:val="nil"/>
              <w:right w:val="nil"/>
            </w:tcBorders>
            <w:shd w:val="clear" w:color="000000" w:fill="FFCC99"/>
            <w:noWrap/>
            <w:vAlign w:val="bottom"/>
            <w:hideMark/>
          </w:tcPr>
          <w:p w:rsidR="004021A8" w:rsidRPr="00211D55" w:rsidRDefault="004021A8" w:rsidP="00211D55">
            <w:pPr>
              <w:keepNex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w:t>
            </w:r>
          </w:p>
        </w:tc>
      </w:tr>
      <w:tr w:rsidR="004021A8" w:rsidRPr="00211D55" w:rsidTr="004021A8">
        <w:trPr>
          <w:trHeight w:val="450"/>
        </w:trPr>
        <w:tc>
          <w:tcPr>
            <w:tcW w:w="2816" w:type="dxa"/>
            <w:tcBorders>
              <w:top w:val="single" w:sz="4" w:space="0" w:color="auto"/>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الولايات المتحدة الأمريكية</w:t>
            </w:r>
          </w:p>
        </w:tc>
        <w:tc>
          <w:tcPr>
            <w:tcW w:w="956" w:type="dxa"/>
            <w:tcBorders>
              <w:top w:val="single" w:sz="4" w:space="0" w:color="auto"/>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49,366</w:t>
            </w:r>
          </w:p>
        </w:tc>
        <w:tc>
          <w:tcPr>
            <w:tcW w:w="956" w:type="dxa"/>
            <w:tcBorders>
              <w:top w:val="single" w:sz="4" w:space="0" w:color="auto"/>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52,010</w:t>
            </w:r>
          </w:p>
        </w:tc>
        <w:tc>
          <w:tcPr>
            <w:tcW w:w="956" w:type="dxa"/>
            <w:tcBorders>
              <w:top w:val="single" w:sz="4" w:space="0" w:color="auto"/>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57,683</w:t>
            </w:r>
          </w:p>
        </w:tc>
        <w:tc>
          <w:tcPr>
            <w:tcW w:w="956" w:type="dxa"/>
            <w:tcBorders>
              <w:top w:val="single" w:sz="4" w:space="0" w:color="auto"/>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61,974</w:t>
            </w:r>
          </w:p>
        </w:tc>
        <w:tc>
          <w:tcPr>
            <w:tcW w:w="956" w:type="dxa"/>
            <w:tcBorders>
              <w:top w:val="single" w:sz="4" w:space="0" w:color="auto"/>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57,881</w:t>
            </w:r>
          </w:p>
        </w:tc>
        <w:tc>
          <w:tcPr>
            <w:tcW w:w="956" w:type="dxa"/>
            <w:tcBorders>
              <w:top w:val="single" w:sz="4" w:space="0" w:color="auto"/>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26.6</w:t>
            </w:r>
          </w:p>
        </w:tc>
        <w:tc>
          <w:tcPr>
            <w:tcW w:w="956" w:type="dxa"/>
            <w:tcBorders>
              <w:top w:val="single" w:sz="4" w:space="0" w:color="auto"/>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-6.6</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اليابان</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37,972</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42,787</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43,075</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41,292</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43,285</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19.9</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4.8</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المكتب الأوروبي للبراءات</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30,892</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32,430</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32,043</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32,905</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34,302</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15.7</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4.2</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الصين</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17,471</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19,924</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22,927</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27,088</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31,031</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14.2</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14.6</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جمهورية كوريا</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10,413</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11,869</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12,439</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13,137</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14,657</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6.7</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11.6</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المكتب الدولي</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8,773</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9,780</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10,394</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10,527</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10,430</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4.8</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-0.9</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المملكة المتحدة</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4,226</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4,128</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3,894</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4,240</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4,118</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1.9</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-2.9</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فرنسا</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3,498</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3,266</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3,313</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3,508</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3,545</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1.6</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1.1</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كندا</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2,193</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2,135</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2,091</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2,174</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2,000</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0.9</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-8.0</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أستراليا</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1,691</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1,607</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1,521</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1,622</w:t>
            </w:r>
          </w:p>
        </w:tc>
        <w:tc>
          <w:tcPr>
            <w:tcW w:w="956" w:type="dxa"/>
            <w:tcBorders>
              <w:top w:val="nil"/>
              <w:left w:val="nil"/>
              <w:bottom w:val="single" w:sz="4" w:space="0" w:color="auto"/>
              <w:right w:val="nil"/>
            </w:tcBorders>
            <w:shd w:val="clear" w:color="auto" w:fill="auto"/>
            <w:vAlign w:val="bottom"/>
            <w:hideMark/>
          </w:tcPr>
          <w:p w:rsidR="004021A8" w:rsidRPr="00211D55" w:rsidRDefault="004021A8" w:rsidP="004021A8">
            <w:pPr>
              <w:jc w:val="righ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Pr>
              <w:t>1,622</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0.7</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0.0</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كل المكاتب الأخرى</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15,941</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15,398</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15,912</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15,847</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15,129</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6.9</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-4.5</w:t>
            </w:r>
          </w:p>
        </w:tc>
      </w:tr>
      <w:tr w:rsidR="004021A8" w:rsidRPr="00211D55" w:rsidTr="004021A8">
        <w:trPr>
          <w:trHeight w:val="450"/>
        </w:trPr>
        <w:tc>
          <w:tcPr>
            <w:tcW w:w="2816" w:type="dxa"/>
            <w:tcBorders>
              <w:top w:val="nil"/>
              <w:left w:val="nil"/>
              <w:bottom w:val="single" w:sz="4" w:space="0" w:color="auto"/>
              <w:right w:val="nil"/>
            </w:tcBorders>
            <w:shd w:val="clear" w:color="auto" w:fill="auto"/>
            <w:vAlign w:val="bottom"/>
            <w:hideMark/>
          </w:tcPr>
          <w:p w:rsidR="004021A8" w:rsidRPr="00211D55" w:rsidRDefault="004021A8" w:rsidP="004021A8">
            <w:pPr>
              <w:bidi/>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المجموع</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182,436</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195,334</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205,292</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214,314</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218,000</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100</w:t>
            </w:r>
          </w:p>
        </w:tc>
        <w:tc>
          <w:tcPr>
            <w:tcW w:w="956" w:type="dxa"/>
            <w:tcBorders>
              <w:top w:val="nil"/>
              <w:left w:val="nil"/>
              <w:bottom w:val="single" w:sz="4" w:space="0" w:color="auto"/>
              <w:right w:val="nil"/>
            </w:tcBorders>
            <w:shd w:val="clear" w:color="auto" w:fill="auto"/>
            <w:noWrap/>
            <w:vAlign w:val="bottom"/>
            <w:hideMark/>
          </w:tcPr>
          <w:p w:rsidR="004021A8" w:rsidRPr="00211D55" w:rsidRDefault="004021A8" w:rsidP="004021A8">
            <w:pPr>
              <w:jc w:val="right"/>
              <w:rPr>
                <w:rFonts w:ascii="Arabic Typesetting" w:hAnsi="Arabic Typesetting" w:cs="Arabic Typesetting"/>
                <w:sz w:val="28"/>
                <w:szCs w:val="28"/>
              </w:rPr>
            </w:pPr>
            <w:r w:rsidRPr="00211D55">
              <w:rPr>
                <w:rFonts w:ascii="Arabic Typesetting" w:hAnsi="Arabic Typesetting" w:cs="Arabic Typesetting"/>
                <w:sz w:val="28"/>
                <w:szCs w:val="28"/>
              </w:rPr>
              <w:t>1.7</w:t>
            </w:r>
          </w:p>
        </w:tc>
      </w:tr>
      <w:tr w:rsidR="004021A8" w:rsidRPr="00211D55" w:rsidTr="004021A8">
        <w:trPr>
          <w:trHeight w:val="450"/>
        </w:trPr>
        <w:tc>
          <w:tcPr>
            <w:tcW w:w="3772" w:type="dxa"/>
            <w:gridSpan w:val="2"/>
            <w:tcBorders>
              <w:top w:val="nil"/>
              <w:left w:val="nil"/>
              <w:bottom w:val="nil"/>
              <w:right w:val="nil"/>
            </w:tcBorders>
            <w:shd w:val="clear" w:color="auto" w:fill="auto"/>
            <w:noWrap/>
            <w:vAlign w:val="bottom"/>
            <w:hideMark/>
          </w:tcPr>
          <w:p w:rsidR="004021A8" w:rsidRPr="00211D55" w:rsidRDefault="004021A8" w:rsidP="00915D49">
            <w:pPr>
              <w:bidi/>
              <w:rPr>
                <w:rFonts w:ascii="Arabic Typesetting" w:hAnsi="Arabic Typesetting" w:cs="Arabic Typesetting"/>
                <w:sz w:val="28"/>
                <w:szCs w:val="28"/>
              </w:rPr>
            </w:pPr>
            <w:r w:rsidRPr="00211D55">
              <w:rPr>
                <w:rFonts w:ascii="Arabic Typesetting" w:hAnsi="Arabic Typesetting" w:cs="Arabic Typesetting"/>
                <w:sz w:val="28"/>
                <w:szCs w:val="28"/>
                <w:rtl/>
              </w:rPr>
              <w:t xml:space="preserve">المصدر: قاعدة بيانات إحصاءات الويبو، </w:t>
            </w:r>
            <w:r w:rsidR="00915D49">
              <w:rPr>
                <w:rFonts w:ascii="Arabic Typesetting" w:hAnsi="Arabic Typesetting" w:cs="Arabic Typesetting" w:hint="cs"/>
                <w:sz w:val="28"/>
                <w:szCs w:val="28"/>
                <w:rtl/>
              </w:rPr>
              <w:t>ف</w:t>
            </w:r>
            <w:r w:rsidRPr="00211D55">
              <w:rPr>
                <w:rFonts w:ascii="Arabic Typesetting" w:hAnsi="Arabic Typesetting" w:cs="Arabic Typesetting"/>
                <w:sz w:val="28"/>
                <w:szCs w:val="28"/>
                <w:rtl/>
              </w:rPr>
              <w:t>براير 2016</w:t>
            </w: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r>
      <w:tr w:rsidR="004021A8" w:rsidRPr="00211D55" w:rsidTr="004021A8">
        <w:trPr>
          <w:trHeight w:val="450"/>
        </w:trPr>
        <w:tc>
          <w:tcPr>
            <w:tcW w:w="3772" w:type="dxa"/>
            <w:gridSpan w:val="2"/>
            <w:tcBorders>
              <w:top w:val="nil"/>
              <w:left w:val="nil"/>
              <w:bottom w:val="nil"/>
              <w:right w:val="nil"/>
            </w:tcBorders>
            <w:shd w:val="clear" w:color="auto" w:fill="auto"/>
            <w:noWrap/>
            <w:vAlign w:val="bottom"/>
            <w:hideMark/>
          </w:tcPr>
          <w:p w:rsidR="004021A8" w:rsidRPr="00211D55" w:rsidRDefault="004021A8" w:rsidP="004021A8">
            <w:pPr>
              <w:bidi/>
              <w:rPr>
                <w:rFonts w:ascii="Arabic Typesetting" w:hAnsi="Arabic Typesetting" w:cs="Arabic Typesetting"/>
                <w:sz w:val="28"/>
                <w:szCs w:val="28"/>
              </w:rPr>
            </w:pPr>
            <w:r w:rsidRPr="00211D55">
              <w:rPr>
                <w:rFonts w:ascii="Arabic Typesetting" w:hAnsi="Arabic Typesetting" w:cs="Arabic Typesetting"/>
                <w:sz w:val="28"/>
                <w:szCs w:val="28"/>
                <w:rtl/>
              </w:rPr>
              <w:t>ملاحظة: بيانات 2015 هي بيانات تقديرية</w:t>
            </w:r>
            <w:r w:rsidR="00915D49">
              <w:rPr>
                <w:rFonts w:ascii="Arabic Typesetting" w:hAnsi="Arabic Typesetting" w:cs="Arabic Typesetting" w:hint="cs"/>
                <w:sz w:val="28"/>
                <w:szCs w:val="28"/>
                <w:rtl/>
              </w:rPr>
              <w:t>.</w:t>
            </w: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c>
          <w:tcPr>
            <w:tcW w:w="956" w:type="dxa"/>
            <w:tcBorders>
              <w:top w:val="nil"/>
              <w:left w:val="nil"/>
              <w:bottom w:val="nil"/>
              <w:right w:val="nil"/>
            </w:tcBorders>
            <w:shd w:val="clear" w:color="auto" w:fill="auto"/>
            <w:noWrap/>
            <w:vAlign w:val="bottom"/>
            <w:hideMark/>
          </w:tcPr>
          <w:p w:rsidR="004021A8" w:rsidRPr="00211D55" w:rsidRDefault="004021A8" w:rsidP="004021A8">
            <w:pPr>
              <w:rPr>
                <w:rFonts w:ascii="Arabic Typesetting" w:hAnsi="Arabic Typesetting" w:cs="Arabic Typesetting"/>
                <w:sz w:val="28"/>
                <w:szCs w:val="28"/>
              </w:rPr>
            </w:pPr>
          </w:p>
        </w:tc>
      </w:tr>
    </w:tbl>
    <w:p w:rsidR="00F37899" w:rsidRPr="00F37899" w:rsidRDefault="00F37899" w:rsidP="00DA44C1">
      <w:pPr>
        <w:numPr>
          <w:ilvl w:val="0"/>
          <w:numId w:val="29"/>
        </w:numPr>
        <w:bidi/>
        <w:spacing w:before="240"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واعتبارا من البرنامج والميزانية للثنائية 2014/2015 أضيف مؤشرا الأداء التاليان </w:t>
      </w:r>
      <w:r w:rsidR="00915D49">
        <w:rPr>
          <w:rFonts w:ascii="Arabic Typesetting" w:hAnsi="Arabic Typesetting" w:cs="Arabic Typesetting" w:hint="cs"/>
          <w:sz w:val="34"/>
          <w:szCs w:val="34"/>
          <w:rtl/>
          <w:lang w:val="en-GB"/>
        </w:rPr>
        <w:t>اللذان يخصان</w:t>
      </w:r>
      <w:r w:rsidRPr="00F37899">
        <w:rPr>
          <w:rFonts w:ascii="Arabic Typesetting" w:hAnsi="Arabic Typesetting" w:cs="Arabic Typesetting"/>
          <w:sz w:val="34"/>
          <w:szCs w:val="34"/>
          <w:rtl/>
          <w:lang w:val="en-GB"/>
        </w:rPr>
        <w:t xml:space="preserve"> المكتب الدولي بصفته مكتبا لتسلم الطلبات:</w:t>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توقيت الإخطار بتاريخ الإيداع الدولي</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 xml:space="preserve">يبين هذا المؤشر الوقت اللازم للمكتب الدولي بصفته مكتبا لتسلم الطلبات لإصدار الاستمارة 105. وتصدر هذه الاستمارة بعد منح تاريخ الإيداع الدولي. ويحبذ المودعون تسلم هذه الاستمارة في أسرع وقت ممكن لأن الطلب الدولي يكون له أثر الطلب الوطني العادي في كل دولة معينة اعتبارا من تاريخ الإيداع الدولي الذي </w:t>
      </w:r>
      <w:r w:rsidR="00915D49">
        <w:rPr>
          <w:rFonts w:ascii="Arabic Typesetting" w:hAnsi="Arabic Typesetting" w:cs="Arabic Typesetting" w:hint="cs"/>
          <w:sz w:val="34"/>
          <w:szCs w:val="34"/>
          <w:rtl/>
          <w:lang w:val="en-GB"/>
        </w:rPr>
        <w:t>يصبح</w:t>
      </w:r>
      <w:r w:rsidRPr="00F37899">
        <w:rPr>
          <w:rFonts w:ascii="Arabic Typesetting" w:hAnsi="Arabic Typesetting" w:cs="Arabic Typesetting"/>
          <w:sz w:val="34"/>
          <w:szCs w:val="34"/>
          <w:rtl/>
          <w:lang w:val="en-GB"/>
        </w:rPr>
        <w:t xml:space="preserve"> تاريخ الإيداع الفعلي في كل دولة معينة.</w:t>
      </w:r>
    </w:p>
    <w:p w:rsidR="00F37899" w:rsidRPr="00F37899" w:rsidRDefault="00F37899" w:rsidP="00F37899">
      <w:pPr>
        <w:keepNext/>
        <w:bidi/>
        <w:spacing w:after="120" w:line="340" w:lineRule="exact"/>
        <w:jc w:val="center"/>
        <w:rPr>
          <w:rFonts w:ascii="Arabic Typesetting" w:hAnsi="Arabic Typesetting" w:cs="Arabic Typesetting"/>
          <w:b/>
          <w:bCs/>
          <w:sz w:val="34"/>
          <w:szCs w:val="34"/>
          <w:lang w:val="en-GB"/>
        </w:rPr>
      </w:pPr>
      <w:r w:rsidRPr="00F37899">
        <w:rPr>
          <w:rFonts w:ascii="Arabic Typesetting" w:hAnsi="Arabic Typesetting" w:cs="Arabic Typesetting"/>
          <w:b/>
          <w:bCs/>
          <w:sz w:val="34"/>
          <w:szCs w:val="34"/>
          <w:rtl/>
          <w:lang w:val="en-GB"/>
        </w:rPr>
        <w:lastRenderedPageBreak/>
        <w:t>توقيت الإخطار بتاريخ الإيداع الدولي</w:t>
      </w:r>
    </w:p>
    <w:p w:rsidR="00F37899" w:rsidRPr="00F37899" w:rsidRDefault="007569A2" w:rsidP="00F37899">
      <w:pPr>
        <w:bidi/>
        <w:spacing w:after="120"/>
        <w:rPr>
          <w:rFonts w:ascii="Arabic Typesetting" w:hAnsi="Arabic Typesetting" w:cs="Arabic Typesetting"/>
          <w:sz w:val="34"/>
          <w:szCs w:val="34"/>
          <w:rtl/>
          <w:lang w:val="en-GB"/>
        </w:rPr>
      </w:pPr>
      <w:r>
        <w:rPr>
          <w:noProof/>
        </w:rPr>
        <w:drawing>
          <wp:inline distT="0" distB="0" distL="0" distR="0" wp14:anchorId="695E399B" wp14:editId="5ED4E47F">
            <wp:extent cx="5940425" cy="2617341"/>
            <wp:effectExtent l="0" t="0" r="22225" b="12065"/>
            <wp:docPr id="171" name="Chart 17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F37899" w:rsidRPr="00F37899" w:rsidRDefault="00F37899" w:rsidP="00F37899">
      <w:pPr>
        <w:keepNext/>
        <w:bidi/>
        <w:spacing w:after="120" w:line="340" w:lineRule="exact"/>
        <w:rPr>
          <w:rFonts w:ascii="Arabic Typesetting" w:hAnsi="Arabic Typesetting" w:cs="Arabic Typesetting"/>
          <w:i/>
          <w:iCs/>
          <w:sz w:val="34"/>
          <w:szCs w:val="34"/>
          <w:lang w:val="en-GB"/>
        </w:rPr>
      </w:pPr>
      <w:r w:rsidRPr="00F37899">
        <w:rPr>
          <w:rFonts w:ascii="Arabic Typesetting" w:hAnsi="Arabic Typesetting" w:cs="Arabic Typesetting"/>
          <w:i/>
          <w:iCs/>
          <w:sz w:val="34"/>
          <w:szCs w:val="34"/>
          <w:rtl/>
          <w:lang w:val="en-GB"/>
        </w:rPr>
        <w:t>توقيت تسليم نسخة البحث</w:t>
      </w:r>
    </w:p>
    <w:p w:rsidR="00F37899" w:rsidRPr="00F37899" w:rsidRDefault="00F37899" w:rsidP="009A3712">
      <w:pPr>
        <w:numPr>
          <w:ilvl w:val="0"/>
          <w:numId w:val="29"/>
        </w:numPr>
        <w:bidi/>
        <w:spacing w:after="120" w:line="340" w:lineRule="exact"/>
        <w:rPr>
          <w:rFonts w:ascii="Arabic Typesetting" w:hAnsi="Arabic Typesetting" w:cs="Arabic Typesetting"/>
          <w:sz w:val="34"/>
          <w:szCs w:val="34"/>
          <w:lang w:val="en-GB"/>
        </w:rPr>
      </w:pPr>
      <w:r w:rsidRPr="00F37899">
        <w:rPr>
          <w:rFonts w:ascii="Arabic Typesetting" w:hAnsi="Arabic Typesetting" w:cs="Arabic Typesetting"/>
          <w:sz w:val="34"/>
          <w:szCs w:val="34"/>
          <w:rtl/>
          <w:lang w:val="en-GB"/>
        </w:rPr>
        <w:t>يبين هذا المؤشر الوقت اللازم للمكتب الدولي بصفته مكتبا لتسلم الطلبات لتسليم نسخ البحث إلى إدارات البحث الدولي. وتسلم نسخ البحث سريعا بعد سداد رسم البحث، كي تتمكن إدارات البحث الدولي من إعداد تقرير البحث الدولي في إطار المهلة المحددة في الإطار التنظيمي لمعاهدة التعاون بشأن البراءات. ويؤثر التأخير في تسليم نسخ البحث سلبا في قدرة إدارات البحث الدولي على الوفاء بهذه المهل.</w:t>
      </w:r>
    </w:p>
    <w:p w:rsidR="00F37899" w:rsidRPr="00F37899" w:rsidRDefault="00F37899" w:rsidP="007569A2">
      <w:pPr>
        <w:bidi/>
        <w:spacing w:after="120" w:line="340" w:lineRule="exact"/>
        <w:jc w:val="center"/>
        <w:rPr>
          <w:rFonts w:ascii="Arabic Typesetting" w:hAnsi="Arabic Typesetting" w:cs="Arabic Typesetting"/>
          <w:sz w:val="34"/>
          <w:szCs w:val="34"/>
          <w:highlight w:val="yellow"/>
          <w:lang w:val="fr-CH"/>
        </w:rPr>
      </w:pPr>
      <w:r w:rsidRPr="00F37899">
        <w:rPr>
          <w:rFonts w:ascii="Arabic Typesetting" w:hAnsi="Arabic Typesetting" w:cs="Arabic Typesetting"/>
          <w:b/>
          <w:bCs/>
          <w:sz w:val="34"/>
          <w:szCs w:val="34"/>
          <w:rtl/>
          <w:lang w:val="en-GB" w:bidi="ar-EG"/>
        </w:rPr>
        <w:t>توقيت تسليم نسخة البحث</w:t>
      </w:r>
    </w:p>
    <w:p w:rsidR="00F37899" w:rsidRDefault="007569A2" w:rsidP="00F37899">
      <w:pPr>
        <w:bidi/>
        <w:spacing w:after="120"/>
        <w:rPr>
          <w:rtl/>
          <w:lang w:val="fr-CH"/>
        </w:rPr>
      </w:pPr>
      <w:r>
        <w:rPr>
          <w:noProof/>
        </w:rPr>
        <w:drawing>
          <wp:inline distT="0" distB="0" distL="0" distR="0" wp14:anchorId="284EB946" wp14:editId="6F2683CD">
            <wp:extent cx="5940425" cy="2726503"/>
            <wp:effectExtent l="0" t="0" r="22225" b="17145"/>
            <wp:docPr id="172" name="Chart 1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1919AF" w:rsidRPr="00F37899" w:rsidRDefault="001919AF" w:rsidP="001919AF">
      <w:pPr>
        <w:pStyle w:val="EndofDocumentAR"/>
        <w:rPr>
          <w:rtl/>
          <w:lang w:val="fr-CH"/>
        </w:rPr>
      </w:pPr>
      <w:r>
        <w:rPr>
          <w:rFonts w:hint="cs"/>
          <w:rtl/>
          <w:lang w:val="fr-CH"/>
        </w:rPr>
        <w:t>[نهاية المرفق]</w:t>
      </w:r>
    </w:p>
    <w:p w:rsidR="00B31868" w:rsidRPr="00F3697D" w:rsidRDefault="00B31868" w:rsidP="00224009">
      <w:pPr>
        <w:pStyle w:val="Heading3AR"/>
        <w:spacing w:after="120"/>
        <w:rPr>
          <w:rtl/>
        </w:rPr>
      </w:pPr>
      <w:bookmarkStart w:id="36" w:name="_Toc359865186"/>
      <w:bookmarkStart w:id="37" w:name="_Toc393807098"/>
      <w:bookmarkStart w:id="38" w:name="_Toc393807224"/>
      <w:bookmarkStart w:id="39" w:name="_Toc393807973"/>
      <w:bookmarkStart w:id="40" w:name="_Toc393817926"/>
      <w:bookmarkStart w:id="41" w:name="_Toc450635406"/>
      <w:bookmarkStart w:id="42" w:name="_Toc455393371"/>
      <w:r w:rsidRPr="00F3697D">
        <w:rPr>
          <w:rtl/>
        </w:rPr>
        <w:lastRenderedPageBreak/>
        <w:t>البرنامج</w:t>
      </w:r>
      <w:r w:rsidRPr="00F3697D">
        <w:rPr>
          <w:rFonts w:hint="cs"/>
          <w:rtl/>
        </w:rPr>
        <w:t xml:space="preserve"> 6:</w:t>
      </w:r>
      <w:r w:rsidRPr="00F3697D">
        <w:rPr>
          <w:rFonts w:hint="cs"/>
          <w:rtl/>
        </w:rPr>
        <w:tab/>
        <w:t>نظاما مدريد ولشبونة</w:t>
      </w:r>
      <w:bookmarkEnd w:id="36"/>
      <w:bookmarkEnd w:id="37"/>
      <w:bookmarkEnd w:id="38"/>
      <w:bookmarkEnd w:id="39"/>
      <w:bookmarkEnd w:id="40"/>
      <w:bookmarkEnd w:id="41"/>
      <w:bookmarkEnd w:id="42"/>
    </w:p>
    <w:p w:rsidR="00B31868" w:rsidRDefault="00B31868" w:rsidP="00224009">
      <w:pPr>
        <w:keepNext/>
        <w:bidi/>
        <w:spacing w:after="240" w:line="340" w:lineRule="exact"/>
        <w:ind w:left="1984" w:hanging="1984"/>
        <w:rPr>
          <w:rFonts w:ascii="Arabic Typesetting" w:hAnsi="Arabic Typesetting" w:cs="Arabic Typesetting"/>
          <w:b/>
          <w:bCs/>
          <w:sz w:val="36"/>
          <w:szCs w:val="36"/>
          <w:rtl/>
          <w:lang w:val="fr-CH"/>
        </w:rPr>
      </w:pPr>
      <w:r w:rsidRPr="00B31868">
        <w:rPr>
          <w:rFonts w:ascii="Arabic Typesetting" w:hAnsi="Arabic Typesetting" w:cs="Arabic Typesetting"/>
          <w:b/>
          <w:bCs/>
          <w:sz w:val="36"/>
          <w:szCs w:val="36"/>
          <w:rtl/>
          <w:lang w:val="fr-CH"/>
        </w:rPr>
        <w:t>المسؤول عن البرنامج</w:t>
      </w:r>
      <w:r w:rsidRPr="00B31868">
        <w:rPr>
          <w:rFonts w:ascii="Arabic Typesetting" w:hAnsi="Arabic Typesetting" w:cs="Arabic Typesetting" w:hint="cs"/>
          <w:b/>
          <w:bCs/>
          <w:sz w:val="36"/>
          <w:szCs w:val="36"/>
          <w:rtl/>
          <w:lang w:val="fr-CH"/>
        </w:rPr>
        <w:t>:</w:t>
      </w:r>
      <w:r w:rsidR="00A214AF">
        <w:rPr>
          <w:rFonts w:ascii="Arabic Typesetting" w:hAnsi="Arabic Typesetting" w:cs="Arabic Typesetting" w:hint="cs"/>
          <w:b/>
          <w:bCs/>
          <w:sz w:val="36"/>
          <w:szCs w:val="36"/>
          <w:rtl/>
          <w:lang w:val="fr-CH"/>
        </w:rPr>
        <w:tab/>
      </w:r>
      <w:r w:rsidRPr="00B31868">
        <w:rPr>
          <w:rFonts w:ascii="Arabic Typesetting" w:hAnsi="Arabic Typesetting" w:cs="Arabic Typesetting" w:hint="cs"/>
          <w:b/>
          <w:bCs/>
          <w:sz w:val="36"/>
          <w:szCs w:val="36"/>
          <w:rtl/>
          <w:lang w:val="fr-CH"/>
        </w:rPr>
        <w:t xml:space="preserve">السيدة </w:t>
      </w:r>
      <w:proofErr w:type="spellStart"/>
      <w:r w:rsidRPr="00B31868">
        <w:rPr>
          <w:rFonts w:ascii="Arabic Typesetting" w:hAnsi="Arabic Typesetting" w:cs="Arabic Typesetting" w:hint="cs"/>
          <w:b/>
          <w:bCs/>
          <w:sz w:val="36"/>
          <w:szCs w:val="36"/>
          <w:rtl/>
          <w:lang w:val="fr-CH"/>
        </w:rPr>
        <w:t>بينينغ</w:t>
      </w:r>
      <w:proofErr w:type="spellEnd"/>
      <w:r w:rsidRPr="00B31868">
        <w:rPr>
          <w:rFonts w:ascii="Arabic Typesetting" w:hAnsi="Arabic Typesetting" w:cs="Arabic Typesetting" w:hint="cs"/>
          <w:b/>
          <w:bCs/>
          <w:sz w:val="36"/>
          <w:szCs w:val="36"/>
          <w:rtl/>
          <w:lang w:val="fr-CH"/>
        </w:rPr>
        <w:t xml:space="preserve"> وانغ</w:t>
      </w:r>
    </w:p>
    <w:p w:rsidR="009A48D1" w:rsidRDefault="009A48D1" w:rsidP="00224009">
      <w:pPr>
        <w:keepNext/>
        <w:bidi/>
        <w:spacing w:before="120"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7A4D9E" w:rsidRPr="007A4D9E" w:rsidRDefault="007A4D9E" w:rsidP="007A4D9E">
      <w:pPr>
        <w:keepNext/>
        <w:bidi/>
        <w:spacing w:after="120" w:line="340" w:lineRule="exact"/>
        <w:ind w:left="-1"/>
        <w:rPr>
          <w:rFonts w:ascii="Arabic Typesetting" w:hAnsi="Arabic Typesetting" w:cs="Arabic Typesetting"/>
          <w:sz w:val="34"/>
          <w:szCs w:val="34"/>
          <w:rtl/>
          <w:lang w:val="fr-CH"/>
        </w:rPr>
      </w:pPr>
      <w:r w:rsidRPr="007A4D9E">
        <w:rPr>
          <w:rFonts w:ascii="Arabic Typesetting" w:hAnsi="Arabic Typesetting" w:cs="Arabic Typesetting" w:hint="cs"/>
          <w:sz w:val="34"/>
          <w:szCs w:val="34"/>
          <w:rtl/>
          <w:lang w:val="fr-CH"/>
        </w:rPr>
        <w:t>ألف.</w:t>
      </w:r>
      <w:r w:rsidRPr="007A4D9E">
        <w:rPr>
          <w:rFonts w:ascii="Arabic Typesetting" w:hAnsi="Arabic Typesetting" w:cs="Arabic Typesetting" w:hint="cs"/>
          <w:sz w:val="34"/>
          <w:szCs w:val="34"/>
          <w:rtl/>
          <w:lang w:val="fr-CH"/>
        </w:rPr>
        <w:tab/>
        <w:t>نظام مدريد</w:t>
      </w:r>
    </w:p>
    <w:p w:rsidR="007A4D9E" w:rsidRPr="007A4D9E" w:rsidRDefault="007A4D9E" w:rsidP="009A3712">
      <w:pPr>
        <w:numPr>
          <w:ilvl w:val="0"/>
          <w:numId w:val="7"/>
        </w:numPr>
        <w:bidi/>
        <w:spacing w:after="120" w:line="340" w:lineRule="exact"/>
        <w:ind w:left="0" w:firstLine="0"/>
        <w:rPr>
          <w:rFonts w:ascii="Arabic Typesetting" w:hAnsi="Arabic Typesetting" w:cs="Arabic Typesetting"/>
          <w:sz w:val="34"/>
          <w:szCs w:val="34"/>
          <w:rtl/>
          <w:lang w:val="fr-CH"/>
        </w:rPr>
      </w:pPr>
      <w:r w:rsidRPr="007A4D9E">
        <w:rPr>
          <w:rFonts w:ascii="Arabic Typesetting" w:hAnsi="Arabic Typesetting" w:cs="Arabic Typesetting"/>
          <w:sz w:val="34"/>
          <w:szCs w:val="34"/>
          <w:rtl/>
          <w:lang w:val="fr-CH"/>
        </w:rPr>
        <w:t xml:space="preserve">شهد التوسع الجغرافي </w:t>
      </w:r>
      <w:r w:rsidR="000363BE">
        <w:rPr>
          <w:rFonts w:ascii="Arabic Typesetting" w:hAnsi="Arabic Typesetting" w:cs="Arabic Typesetting" w:hint="cs"/>
          <w:sz w:val="34"/>
          <w:szCs w:val="34"/>
          <w:rtl/>
          <w:lang w:val="fr-CH"/>
        </w:rPr>
        <w:t>لنظام مدريد</w:t>
      </w:r>
      <w:r w:rsidR="000363BE"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sz w:val="34"/>
          <w:szCs w:val="34"/>
          <w:rtl/>
          <w:lang w:val="fr-CH"/>
        </w:rPr>
        <w:t xml:space="preserve">تطورات إيجابية </w:t>
      </w:r>
      <w:r w:rsidR="000363BE">
        <w:rPr>
          <w:rFonts w:ascii="Arabic Typesetting" w:hAnsi="Arabic Typesetting" w:cs="Arabic Typesetting" w:hint="cs"/>
          <w:sz w:val="34"/>
          <w:szCs w:val="34"/>
          <w:rtl/>
          <w:lang w:val="fr-CH"/>
        </w:rPr>
        <w:t>مهمة</w:t>
      </w:r>
      <w:r w:rsidR="000363BE"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sz w:val="34"/>
          <w:szCs w:val="34"/>
          <w:rtl/>
          <w:lang w:val="fr-CH"/>
        </w:rPr>
        <w:t xml:space="preserve">في </w:t>
      </w:r>
      <w:r w:rsidRPr="007A4D9E">
        <w:rPr>
          <w:rFonts w:ascii="Arabic Typesetting" w:hAnsi="Arabic Typesetting" w:cs="Arabic Typesetting" w:hint="cs"/>
          <w:sz w:val="34"/>
          <w:szCs w:val="34"/>
          <w:rtl/>
          <w:lang w:val="fr-CH"/>
        </w:rPr>
        <w:t>الثنائية</w:t>
      </w:r>
      <w:r w:rsidRPr="007A4D9E">
        <w:rPr>
          <w:rFonts w:ascii="Arabic Typesetting" w:hAnsi="Arabic Typesetting" w:cs="Arabic Typesetting"/>
          <w:sz w:val="34"/>
          <w:szCs w:val="34"/>
          <w:rtl/>
          <w:lang w:val="fr-CH"/>
        </w:rPr>
        <w:t xml:space="preserve">. </w:t>
      </w:r>
      <w:r w:rsidR="000363BE">
        <w:rPr>
          <w:rFonts w:ascii="Arabic Typesetting" w:hAnsi="Arabic Typesetting" w:cs="Arabic Typesetting" w:hint="cs"/>
          <w:sz w:val="34"/>
          <w:szCs w:val="34"/>
          <w:rtl/>
          <w:lang w:val="fr-CH"/>
        </w:rPr>
        <w:t>ف</w:t>
      </w:r>
      <w:r w:rsidR="000363BE" w:rsidRPr="007A4D9E">
        <w:rPr>
          <w:rFonts w:ascii="Arabic Typesetting" w:hAnsi="Arabic Typesetting" w:cs="Arabic Typesetting"/>
          <w:sz w:val="34"/>
          <w:szCs w:val="34"/>
          <w:rtl/>
          <w:lang w:val="fr-CH"/>
        </w:rPr>
        <w:t xml:space="preserve">في </w:t>
      </w:r>
      <w:r w:rsidRPr="007A4D9E">
        <w:rPr>
          <w:rFonts w:ascii="Arabic Typesetting" w:hAnsi="Arabic Typesetting" w:cs="Arabic Typesetting" w:hint="cs"/>
          <w:sz w:val="34"/>
          <w:szCs w:val="34"/>
          <w:rtl/>
          <w:lang w:val="fr-CH"/>
        </w:rPr>
        <w:t>عام 2014، انضمت</w:t>
      </w:r>
      <w:r w:rsidRPr="007A4D9E">
        <w:rPr>
          <w:rFonts w:ascii="Arabic Typesetting" w:hAnsi="Arabic Typesetting" w:cs="Arabic Typesetting"/>
          <w:sz w:val="34"/>
          <w:szCs w:val="34"/>
          <w:rtl/>
          <w:lang w:val="fr-CH"/>
        </w:rPr>
        <w:t xml:space="preserve"> زمبابوي و</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منظمة الأفريقية للملكية الفكرية</w:t>
      </w:r>
      <w:r w:rsidRPr="007A4D9E">
        <w:rPr>
          <w:rFonts w:ascii="Arabic Typesetting" w:hAnsi="Arabic Typesetting" w:cs="Arabic Typesetting" w:hint="eastAsia"/>
          <w:sz w:val="34"/>
          <w:szCs w:val="34"/>
          <w:rtl/>
          <w:lang w:val="fr-CH"/>
        </w:rPr>
        <w:t xml:space="preserve"> </w:t>
      </w:r>
      <w:r w:rsidRPr="007A4D9E">
        <w:rPr>
          <w:rFonts w:ascii="Arabic Typesetting" w:hAnsi="Arabic Typesetting" w:cs="Arabic Typesetting"/>
          <w:sz w:val="34"/>
          <w:szCs w:val="34"/>
          <w:lang w:val="fr-CH"/>
        </w:rPr>
        <w:t>(OAPI)</w:t>
      </w:r>
      <w:r w:rsidRPr="007A4D9E">
        <w:rPr>
          <w:rFonts w:ascii="Arabic Typesetting" w:hAnsi="Arabic Typesetting" w:cs="Arabic Typesetting" w:hint="cs"/>
          <w:sz w:val="34"/>
          <w:szCs w:val="34"/>
          <w:rtl/>
          <w:lang w:val="fr-CH"/>
        </w:rPr>
        <w:t xml:space="preserve"> إ</w:t>
      </w:r>
      <w:r w:rsidRPr="007A4D9E">
        <w:rPr>
          <w:rFonts w:ascii="Arabic Typesetting" w:hAnsi="Arabic Typesetting" w:cs="Arabic Typesetting"/>
          <w:sz w:val="34"/>
          <w:szCs w:val="34"/>
          <w:rtl/>
          <w:lang w:val="fr-CH"/>
        </w:rPr>
        <w:t>لى بروتوكول مدريد</w:t>
      </w:r>
      <w:r w:rsidRPr="007A4D9E">
        <w:rPr>
          <w:rFonts w:ascii="Arabic Typesetting" w:hAnsi="Arabic Typesetting" w:cs="Arabic Typesetting" w:hint="cs"/>
          <w:sz w:val="34"/>
          <w:szCs w:val="34"/>
          <w:rtl/>
          <w:lang w:val="fr-CH"/>
        </w:rPr>
        <w:t>. و</w:t>
      </w:r>
      <w:r w:rsidR="000363BE">
        <w:rPr>
          <w:rFonts w:ascii="Arabic Typesetting" w:hAnsi="Arabic Typesetting" w:cs="Arabic Typesetting" w:hint="cs"/>
          <w:sz w:val="34"/>
          <w:szCs w:val="34"/>
          <w:rtl/>
          <w:lang w:val="fr-CH"/>
        </w:rPr>
        <w:t>إذ يبلغ عدد</w:t>
      </w:r>
      <w:r w:rsidRPr="007A4D9E">
        <w:rPr>
          <w:rFonts w:ascii="Arabic Typesetting" w:hAnsi="Arabic Typesetting" w:cs="Arabic Typesetting" w:hint="cs"/>
          <w:sz w:val="34"/>
          <w:szCs w:val="34"/>
          <w:rtl/>
          <w:lang w:val="fr-CH"/>
        </w:rPr>
        <w:t xml:space="preserve"> أعضاء تلك ال</w:t>
      </w:r>
      <w:r w:rsidRPr="007A4D9E">
        <w:rPr>
          <w:rFonts w:ascii="Arabic Typesetting" w:hAnsi="Arabic Typesetting" w:cs="Arabic Typesetting"/>
          <w:sz w:val="34"/>
          <w:szCs w:val="34"/>
          <w:rtl/>
          <w:lang w:val="fr-CH"/>
        </w:rPr>
        <w:t xml:space="preserve">منظمة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 xml:space="preserve">حكومية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 xml:space="preserve">دولية </w:t>
      </w:r>
      <w:r w:rsidRPr="007A4D9E">
        <w:rPr>
          <w:rFonts w:ascii="Arabic Typesetting" w:hAnsi="Arabic Typesetting" w:cs="Arabic Typesetting" w:hint="cs"/>
          <w:sz w:val="34"/>
          <w:szCs w:val="34"/>
          <w:rtl/>
          <w:lang w:val="fr-CH"/>
        </w:rPr>
        <w:t xml:space="preserve">17 عضوا، فقد </w:t>
      </w:r>
      <w:r w:rsidRPr="007A4D9E">
        <w:rPr>
          <w:rFonts w:ascii="Arabic Typesetting" w:hAnsi="Arabic Typesetting" w:cs="Arabic Typesetting"/>
          <w:sz w:val="34"/>
          <w:szCs w:val="34"/>
          <w:rtl/>
          <w:lang w:val="fr-CH"/>
        </w:rPr>
        <w:t>زاد</w:t>
      </w:r>
      <w:r w:rsidRPr="007A4D9E">
        <w:rPr>
          <w:rFonts w:ascii="Arabic Typesetting" w:hAnsi="Arabic Typesetting" w:cs="Arabic Typesetting" w:hint="cs"/>
          <w:sz w:val="34"/>
          <w:szCs w:val="34"/>
          <w:rtl/>
          <w:lang w:val="fr-CH"/>
        </w:rPr>
        <w:t xml:space="preserve">ت حالتا الانضمام المذكورتان وحدهما من عدد البلدان </w:t>
      </w:r>
      <w:r w:rsidRPr="007A4D9E">
        <w:rPr>
          <w:rFonts w:ascii="Arabic Typesetting" w:hAnsi="Arabic Typesetting" w:cs="Arabic Typesetting"/>
          <w:sz w:val="34"/>
          <w:szCs w:val="34"/>
          <w:rtl/>
          <w:lang w:val="fr-CH"/>
        </w:rPr>
        <w:t xml:space="preserve">التي يمكن </w:t>
      </w:r>
      <w:r w:rsidRPr="007A4D9E">
        <w:rPr>
          <w:rFonts w:ascii="Arabic Typesetting" w:hAnsi="Arabic Typesetting" w:cs="Arabic Typesetting" w:hint="cs"/>
          <w:sz w:val="34"/>
          <w:szCs w:val="34"/>
          <w:rtl/>
          <w:lang w:val="fr-CH"/>
        </w:rPr>
        <w:t xml:space="preserve">فيها </w:t>
      </w:r>
      <w:r w:rsidRPr="007A4D9E">
        <w:rPr>
          <w:rFonts w:ascii="Arabic Typesetting" w:hAnsi="Arabic Typesetting" w:cs="Arabic Typesetting"/>
          <w:sz w:val="34"/>
          <w:szCs w:val="34"/>
          <w:rtl/>
          <w:lang w:val="fr-CH"/>
        </w:rPr>
        <w:t>للمستخدمين حماية علامات</w:t>
      </w:r>
      <w:r w:rsidRPr="007A4D9E">
        <w:rPr>
          <w:rFonts w:ascii="Arabic Typesetting" w:hAnsi="Arabic Typesetting" w:cs="Arabic Typesetting" w:hint="cs"/>
          <w:sz w:val="34"/>
          <w:szCs w:val="34"/>
          <w:rtl/>
          <w:lang w:val="fr-CH"/>
        </w:rPr>
        <w:t>هم</w:t>
      </w:r>
      <w:r w:rsidRPr="007A4D9E">
        <w:rPr>
          <w:rFonts w:ascii="Arabic Typesetting" w:hAnsi="Arabic Typesetting" w:cs="Arabic Typesetting"/>
          <w:sz w:val="34"/>
          <w:szCs w:val="34"/>
          <w:rtl/>
          <w:lang w:val="fr-CH"/>
        </w:rPr>
        <w:t xml:space="preserve"> التجارية</w:t>
      </w:r>
      <w:r w:rsidR="000363BE">
        <w:rPr>
          <w:rFonts w:ascii="Arabic Typesetting" w:hAnsi="Arabic Typesetting" w:cs="Arabic Typesetting" w:hint="cs"/>
          <w:sz w:val="34"/>
          <w:szCs w:val="34"/>
          <w:rtl/>
          <w:lang w:val="fr-CH"/>
        </w:rPr>
        <w:t xml:space="preserve"> وإدارتها</w:t>
      </w:r>
      <w:r w:rsidRPr="007A4D9E">
        <w:rPr>
          <w:rFonts w:ascii="Arabic Typesetting" w:hAnsi="Arabic Typesetting" w:cs="Arabic Typesetting"/>
          <w:sz w:val="34"/>
          <w:szCs w:val="34"/>
          <w:rtl/>
          <w:lang w:val="fr-CH"/>
        </w:rPr>
        <w:t xml:space="preserve"> مركزي</w:t>
      </w:r>
      <w:r w:rsidR="000363BE">
        <w:rPr>
          <w:rFonts w:ascii="Arabic Typesetting" w:hAnsi="Arabic Typesetting" w:cs="Arabic Typesetting" w:hint="cs"/>
          <w:sz w:val="34"/>
          <w:szCs w:val="34"/>
          <w:rtl/>
          <w:lang w:val="fr-CH"/>
        </w:rPr>
        <w:t>اً</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باستخدام</w:t>
      </w:r>
      <w:r w:rsidRPr="007A4D9E">
        <w:rPr>
          <w:rFonts w:ascii="Arabic Typesetting" w:hAnsi="Arabic Typesetting" w:cs="Arabic Typesetting"/>
          <w:sz w:val="34"/>
          <w:szCs w:val="34"/>
          <w:rtl/>
          <w:lang w:val="fr-CH"/>
        </w:rPr>
        <w:t xml:space="preserve"> نظام مدريد</w:t>
      </w:r>
      <w:r w:rsidRPr="007A4D9E">
        <w:rPr>
          <w:rFonts w:ascii="Arabic Typesetting" w:hAnsi="Arabic Typesetting" w:cs="Arabic Typesetting" w:hint="cs"/>
          <w:sz w:val="34"/>
          <w:szCs w:val="34"/>
          <w:rtl/>
          <w:lang w:val="fr-CH"/>
        </w:rPr>
        <w:t xml:space="preserve"> من 94</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بلدا إلى 110</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بلدان في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 xml:space="preserve">2014 وحده. وفي عام 2015، انضمت الجزائر وكمبوديا وغامبيا وجمهورية لاو الديمقراطية الشعبية </w:t>
      </w:r>
      <w:r w:rsidR="000363BE">
        <w:rPr>
          <w:rFonts w:ascii="Arabic Typesetting" w:hAnsi="Arabic Typesetting" w:cs="Arabic Typesetting" w:hint="cs"/>
          <w:sz w:val="34"/>
          <w:szCs w:val="34"/>
          <w:rtl/>
          <w:lang w:val="fr-CH"/>
        </w:rPr>
        <w:t>أيضاً</w:t>
      </w:r>
      <w:r w:rsidR="000363BE"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hint="cs"/>
          <w:sz w:val="34"/>
          <w:szCs w:val="34"/>
          <w:rtl/>
          <w:lang w:val="fr-CH"/>
        </w:rPr>
        <w:t xml:space="preserve">إلى البروتوكول، </w:t>
      </w:r>
      <w:r w:rsidR="000363BE">
        <w:rPr>
          <w:rFonts w:ascii="Arabic Typesetting" w:hAnsi="Arabic Typesetting" w:cs="Arabic Typesetting" w:hint="cs"/>
          <w:sz w:val="34"/>
          <w:szCs w:val="34"/>
          <w:rtl/>
          <w:lang w:val="fr-CH"/>
        </w:rPr>
        <w:t>ليصل</w:t>
      </w:r>
      <w:r w:rsidRPr="007A4D9E">
        <w:rPr>
          <w:rFonts w:ascii="Arabic Typesetting" w:hAnsi="Arabic Typesetting" w:cs="Arabic Typesetting" w:hint="cs"/>
          <w:sz w:val="34"/>
          <w:szCs w:val="34"/>
          <w:rtl/>
          <w:lang w:val="fr-CH"/>
        </w:rPr>
        <w:t xml:space="preserve"> العدد الإجمالي للأطراف المتعاقدة في نهاية الثنائية إلى 97</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طرفا متعاقد يشمل 113 بلدا. و</w:t>
      </w:r>
      <w:r w:rsidR="00224009">
        <w:rPr>
          <w:rFonts w:ascii="Arabic Typesetting" w:hAnsi="Arabic Typesetting" w:cs="Arabic Typesetting" w:hint="cs"/>
          <w:sz w:val="34"/>
          <w:szCs w:val="34"/>
          <w:rtl/>
          <w:lang w:val="fr-CH"/>
        </w:rPr>
        <w:t xml:space="preserve">لما </w:t>
      </w:r>
      <w:r w:rsidR="001C4272">
        <w:rPr>
          <w:rFonts w:ascii="Arabic Typesetting" w:hAnsi="Arabic Typesetting" w:cs="Arabic Typesetting" w:hint="cs"/>
          <w:sz w:val="34"/>
          <w:szCs w:val="34"/>
          <w:rtl/>
          <w:lang w:val="fr-CH"/>
        </w:rPr>
        <w:t>كانت</w:t>
      </w:r>
      <w:r w:rsidRPr="007A4D9E">
        <w:rPr>
          <w:rFonts w:ascii="Arabic Typesetting" w:hAnsi="Arabic Typesetting" w:cs="Arabic Typesetting" w:hint="cs"/>
          <w:sz w:val="34"/>
          <w:szCs w:val="34"/>
          <w:rtl/>
          <w:lang w:val="fr-CH"/>
        </w:rPr>
        <w:t xml:space="preserve"> الجزائر آخر طرف متعاقد </w:t>
      </w:r>
      <w:r w:rsidR="001C4272">
        <w:rPr>
          <w:rFonts w:ascii="Arabic Typesetting" w:hAnsi="Arabic Typesetting" w:cs="Arabic Typesetting" w:hint="cs"/>
          <w:sz w:val="34"/>
          <w:szCs w:val="34"/>
          <w:rtl/>
          <w:lang w:val="fr-CH"/>
        </w:rPr>
        <w:t>في</w:t>
      </w:r>
      <w:r w:rsidR="001C4272" w:rsidRPr="007A4D9E">
        <w:rPr>
          <w:rFonts w:ascii="Arabic Typesetting" w:hAnsi="Arabic Typesetting" w:cs="Arabic Typesetting" w:hint="cs"/>
          <w:sz w:val="34"/>
          <w:szCs w:val="34"/>
          <w:rtl/>
          <w:lang w:val="fr-CH"/>
        </w:rPr>
        <w:t xml:space="preserve"> </w:t>
      </w:r>
      <w:r w:rsidR="001C4272">
        <w:rPr>
          <w:rFonts w:ascii="Arabic Typesetting" w:hAnsi="Arabic Typesetting" w:cs="Arabic Typesetting" w:hint="cs"/>
          <w:sz w:val="34"/>
          <w:szCs w:val="34"/>
          <w:rtl/>
          <w:lang w:val="fr-CH"/>
        </w:rPr>
        <w:t>اتحاد</w:t>
      </w:r>
      <w:r w:rsidR="001C4272"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hint="cs"/>
          <w:sz w:val="34"/>
          <w:szCs w:val="34"/>
          <w:rtl/>
          <w:lang w:val="fr-CH"/>
        </w:rPr>
        <w:t xml:space="preserve">مدريد </w:t>
      </w:r>
      <w:r w:rsidR="001C4272">
        <w:rPr>
          <w:rFonts w:ascii="Arabic Typesetting" w:hAnsi="Arabic Typesetting" w:cs="Arabic Typesetting" w:hint="cs"/>
          <w:sz w:val="34"/>
          <w:szCs w:val="34"/>
          <w:rtl/>
          <w:lang w:val="fr-CH"/>
        </w:rPr>
        <w:t xml:space="preserve">يكون </w:t>
      </w:r>
      <w:r w:rsidRPr="007A4D9E">
        <w:rPr>
          <w:rFonts w:ascii="Arabic Typesetting" w:hAnsi="Arabic Typesetting" w:cs="Arabic Typesetting" w:hint="cs"/>
          <w:sz w:val="34"/>
          <w:szCs w:val="34"/>
          <w:rtl/>
          <w:lang w:val="fr-CH"/>
        </w:rPr>
        <w:t>عضو</w:t>
      </w:r>
      <w:r w:rsidR="001C4272">
        <w:rPr>
          <w:rFonts w:ascii="Arabic Typesetting" w:hAnsi="Arabic Typesetting" w:cs="Arabic Typesetting" w:hint="cs"/>
          <w:sz w:val="34"/>
          <w:szCs w:val="34"/>
          <w:rtl/>
          <w:lang w:val="fr-CH"/>
        </w:rPr>
        <w:t>اً</w:t>
      </w:r>
      <w:r w:rsidRPr="007A4D9E">
        <w:rPr>
          <w:rFonts w:ascii="Arabic Typesetting" w:hAnsi="Arabic Typesetting" w:cs="Arabic Typesetting" w:hint="cs"/>
          <w:sz w:val="34"/>
          <w:szCs w:val="34"/>
          <w:rtl/>
          <w:lang w:val="fr-CH"/>
        </w:rPr>
        <w:t xml:space="preserve"> في اتفاق مدريد</w:t>
      </w:r>
      <w:r w:rsidR="001C4272">
        <w:rPr>
          <w:rFonts w:ascii="Arabic Typesetting" w:hAnsi="Arabic Typesetting" w:cs="Arabic Typesetting" w:hint="cs"/>
          <w:sz w:val="34"/>
          <w:szCs w:val="34"/>
          <w:rtl/>
          <w:lang w:val="fr-CH"/>
        </w:rPr>
        <w:t xml:space="preserve"> فقط</w:t>
      </w:r>
      <w:r w:rsidRPr="007A4D9E">
        <w:rPr>
          <w:rFonts w:ascii="Arabic Typesetting" w:hAnsi="Arabic Typesetting" w:cs="Arabic Typesetting" w:hint="cs"/>
          <w:sz w:val="34"/>
          <w:szCs w:val="34"/>
          <w:rtl/>
          <w:lang w:val="fr-CH"/>
        </w:rPr>
        <w:t xml:space="preserve">، </w:t>
      </w:r>
      <w:r w:rsidR="001C4272">
        <w:rPr>
          <w:rFonts w:ascii="Arabic Typesetting" w:hAnsi="Arabic Typesetting" w:cs="Arabic Typesetting" w:hint="cs"/>
          <w:sz w:val="34"/>
          <w:szCs w:val="34"/>
          <w:rtl/>
          <w:lang w:val="fr-CH"/>
        </w:rPr>
        <w:t>فقد بات</w:t>
      </w:r>
      <w:r w:rsidR="001C4272"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hint="cs"/>
          <w:sz w:val="34"/>
          <w:szCs w:val="34"/>
          <w:rtl/>
          <w:lang w:val="fr-CH"/>
        </w:rPr>
        <w:t>نظام مدريد، لأغراض عملية، يعمل كنظام قائم على معاهدة واحدة.</w:t>
      </w:r>
    </w:p>
    <w:p w:rsidR="007A4D9E" w:rsidRPr="007A4D9E" w:rsidRDefault="007A4D9E" w:rsidP="009A3712">
      <w:pPr>
        <w:numPr>
          <w:ilvl w:val="0"/>
          <w:numId w:val="7"/>
        </w:numPr>
        <w:bidi/>
        <w:spacing w:after="120" w:line="340" w:lineRule="exact"/>
        <w:ind w:left="-1" w:firstLine="0"/>
        <w:rPr>
          <w:rFonts w:ascii="Arabic Typesetting" w:hAnsi="Arabic Typesetting" w:cs="Arabic Typesetting"/>
          <w:sz w:val="34"/>
          <w:szCs w:val="34"/>
          <w:rtl/>
          <w:lang w:val="fr-CH"/>
        </w:rPr>
      </w:pPr>
      <w:r w:rsidRPr="007A4D9E">
        <w:rPr>
          <w:rFonts w:ascii="Arabic Typesetting" w:hAnsi="Arabic Typesetting" w:cs="Arabic Typesetting" w:hint="cs"/>
          <w:sz w:val="34"/>
          <w:szCs w:val="34"/>
          <w:rtl/>
          <w:lang w:val="fr-CH"/>
        </w:rPr>
        <w:t>وشهد</w:t>
      </w:r>
      <w:r w:rsidRPr="007A4D9E">
        <w:rPr>
          <w:rFonts w:ascii="Arabic Typesetting" w:hAnsi="Arabic Typesetting" w:cs="Arabic Typesetting"/>
          <w:sz w:val="34"/>
          <w:szCs w:val="34"/>
          <w:rtl/>
          <w:lang w:val="fr-CH"/>
        </w:rPr>
        <w:t xml:space="preserve"> استخدام نظام مدريد </w:t>
      </w:r>
      <w:r w:rsidRPr="007A4D9E">
        <w:rPr>
          <w:rFonts w:ascii="Arabic Typesetting" w:hAnsi="Arabic Typesetting" w:cs="Arabic Typesetting" w:hint="cs"/>
          <w:sz w:val="34"/>
          <w:szCs w:val="34"/>
          <w:rtl/>
          <w:lang w:val="fr-CH"/>
        </w:rPr>
        <w:t xml:space="preserve">زيادة بنسبة 2.3% </w:t>
      </w:r>
      <w:r w:rsidRPr="007A4D9E">
        <w:rPr>
          <w:rFonts w:ascii="Arabic Typesetting" w:hAnsi="Arabic Typesetting" w:cs="Arabic Typesetting"/>
          <w:sz w:val="34"/>
          <w:szCs w:val="34"/>
          <w:rtl/>
          <w:lang w:val="fr-CH"/>
        </w:rPr>
        <w:t>في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sz w:val="34"/>
          <w:szCs w:val="34"/>
          <w:rtl/>
          <w:lang w:val="fr-CH"/>
        </w:rPr>
        <w:t xml:space="preserve">2014 </w:t>
      </w:r>
      <w:r w:rsidRPr="007A4D9E">
        <w:rPr>
          <w:rFonts w:ascii="Arabic Typesetting" w:hAnsi="Arabic Typesetting" w:cs="Arabic Typesetting" w:hint="cs"/>
          <w:sz w:val="34"/>
          <w:szCs w:val="34"/>
          <w:rtl/>
          <w:lang w:val="fr-CH"/>
        </w:rPr>
        <w:t xml:space="preserve">مقارنة بعام 2013، إذ ورد ما مجموعه </w:t>
      </w:r>
      <w:r w:rsidRPr="007A4D9E">
        <w:rPr>
          <w:rFonts w:ascii="Arabic Typesetting" w:hAnsi="Arabic Typesetting" w:cs="Arabic Typesetting" w:hint="cs"/>
          <w:sz w:val="34"/>
          <w:szCs w:val="34"/>
          <w:rtl/>
        </w:rPr>
        <w:t>885 47</w:t>
      </w:r>
      <w:r w:rsidRPr="007A4D9E">
        <w:rPr>
          <w:rFonts w:ascii="Arabic Typesetting" w:hAnsi="Arabic Typesetting" w:cs="Arabic Typesetting"/>
          <w:sz w:val="34"/>
          <w:szCs w:val="34"/>
          <w:rtl/>
        </w:rPr>
        <w:t xml:space="preserve"> </w:t>
      </w:r>
      <w:r w:rsidRPr="007A4D9E">
        <w:rPr>
          <w:rFonts w:ascii="Arabic Typesetting" w:hAnsi="Arabic Typesetting" w:cs="Arabic Typesetting" w:hint="cs"/>
          <w:sz w:val="34"/>
          <w:szCs w:val="34"/>
          <w:rtl/>
          <w:lang w:val="fr-CH"/>
        </w:rPr>
        <w:t>طلبا. و</w:t>
      </w:r>
      <w:r w:rsidRPr="007A4D9E">
        <w:rPr>
          <w:rFonts w:ascii="Arabic Typesetting" w:hAnsi="Arabic Typesetting" w:cs="Arabic Typesetting"/>
          <w:sz w:val="34"/>
          <w:szCs w:val="34"/>
          <w:rtl/>
          <w:lang w:val="fr-CH"/>
        </w:rPr>
        <w:t>في</w:t>
      </w:r>
      <w:r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sz w:val="34"/>
          <w:szCs w:val="34"/>
          <w:rtl/>
          <w:lang w:val="fr-CH"/>
        </w:rPr>
        <w:t>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sz w:val="34"/>
          <w:szCs w:val="34"/>
          <w:rtl/>
          <w:lang w:val="fr-CH"/>
        </w:rPr>
        <w:t>2014،</w:t>
      </w:r>
      <w:r w:rsidRPr="007A4D9E">
        <w:rPr>
          <w:rFonts w:ascii="Arabic Typesetting" w:hAnsi="Arabic Typesetting" w:cs="Arabic Typesetting" w:hint="cs"/>
          <w:sz w:val="34"/>
          <w:szCs w:val="34"/>
          <w:rtl/>
          <w:lang w:val="fr-CH"/>
        </w:rPr>
        <w:t xml:space="preserve"> تجاوزت </w:t>
      </w:r>
      <w:r w:rsidRPr="007A4D9E">
        <w:rPr>
          <w:rFonts w:ascii="Arabic Typesetting" w:hAnsi="Arabic Typesetting" w:cs="Arabic Typesetting"/>
          <w:sz w:val="34"/>
          <w:szCs w:val="34"/>
          <w:rtl/>
          <w:lang w:val="fr-CH"/>
        </w:rPr>
        <w:t xml:space="preserve">الولايات المتحدة الأمريكية ألمانيا كأكبر مستخدم لنظام مدريد، مما </w:t>
      </w:r>
      <w:r w:rsidR="001C4272">
        <w:rPr>
          <w:rFonts w:ascii="Arabic Typesetting" w:hAnsi="Arabic Typesetting" w:cs="Arabic Typesetting" w:hint="cs"/>
          <w:sz w:val="34"/>
          <w:szCs w:val="34"/>
          <w:rtl/>
          <w:lang w:val="fr-CH"/>
        </w:rPr>
        <w:t>يدل على</w:t>
      </w:r>
      <w:r w:rsidR="001C4272"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sz w:val="34"/>
          <w:szCs w:val="34"/>
          <w:rtl/>
          <w:lang w:val="fr-CH"/>
        </w:rPr>
        <w:t xml:space="preserve">التحول </w:t>
      </w:r>
      <w:r w:rsidRPr="007A4D9E">
        <w:rPr>
          <w:rFonts w:ascii="Arabic Typesetting" w:hAnsi="Arabic Typesetting" w:cs="Arabic Typesetting" w:hint="cs"/>
          <w:sz w:val="34"/>
          <w:szCs w:val="34"/>
          <w:rtl/>
          <w:lang w:val="fr-CH"/>
        </w:rPr>
        <w:t xml:space="preserve">الجغرافي الذي يشهده </w:t>
      </w:r>
      <w:r w:rsidRPr="007A4D9E">
        <w:rPr>
          <w:rFonts w:ascii="Arabic Typesetting" w:hAnsi="Arabic Typesetting" w:cs="Arabic Typesetting"/>
          <w:sz w:val="34"/>
          <w:szCs w:val="34"/>
          <w:rtl/>
          <w:lang w:val="fr-CH"/>
        </w:rPr>
        <w:t>النظام</w:t>
      </w:r>
      <w:r w:rsidRPr="007A4D9E">
        <w:rPr>
          <w:rFonts w:ascii="Arabic Typesetting" w:hAnsi="Arabic Typesetting" w:cs="Arabic Typesetting"/>
          <w:sz w:val="34"/>
          <w:szCs w:val="34"/>
          <w:lang w:val="fr-CH"/>
        </w:rPr>
        <w:t>.</w:t>
      </w:r>
      <w:r w:rsidRPr="007A4D9E">
        <w:rPr>
          <w:rFonts w:ascii="Arabic Typesetting" w:hAnsi="Arabic Typesetting" w:cs="Arabic Typesetting" w:hint="cs"/>
          <w:sz w:val="34"/>
          <w:szCs w:val="34"/>
          <w:rtl/>
          <w:lang w:val="fr-CH"/>
        </w:rPr>
        <w:t xml:space="preserve"> وفي عام 2015، ورد ما مجموعه 273 49 طلبا </w:t>
      </w:r>
      <w:r w:rsidR="001C4272">
        <w:rPr>
          <w:rFonts w:ascii="Arabic Typesetting" w:hAnsi="Arabic Typesetting" w:cs="Arabic Typesetting" w:hint="cs"/>
          <w:sz w:val="34"/>
          <w:szCs w:val="34"/>
          <w:rtl/>
          <w:lang w:val="fr-CH"/>
        </w:rPr>
        <w:t>أي بزيادة نسبتها</w:t>
      </w:r>
      <w:r w:rsidRPr="007A4D9E">
        <w:rPr>
          <w:rFonts w:ascii="Arabic Typesetting" w:hAnsi="Arabic Typesetting" w:cs="Arabic Typesetting" w:hint="cs"/>
          <w:sz w:val="34"/>
          <w:szCs w:val="34"/>
          <w:rtl/>
          <w:lang w:val="fr-CH"/>
        </w:rPr>
        <w:t xml:space="preserve"> 2.9% مقارنة بعام 2014. </w:t>
      </w:r>
      <w:r w:rsidR="001C4272">
        <w:rPr>
          <w:rFonts w:ascii="Arabic Typesetting" w:hAnsi="Arabic Typesetting" w:cs="Arabic Typesetting" w:hint="cs"/>
          <w:sz w:val="34"/>
          <w:szCs w:val="34"/>
          <w:rtl/>
          <w:lang w:val="fr-CH"/>
        </w:rPr>
        <w:t>و</w:t>
      </w:r>
      <w:r w:rsidRPr="007A4D9E">
        <w:rPr>
          <w:rFonts w:ascii="Arabic Typesetting" w:hAnsi="Arabic Typesetting" w:cs="Arabic Typesetting" w:hint="cs"/>
          <w:sz w:val="34"/>
          <w:szCs w:val="34"/>
          <w:rtl/>
          <w:lang w:val="fr-CH"/>
        </w:rPr>
        <w:t>يمثّل</w:t>
      </w:r>
      <w:r w:rsidR="001C4272">
        <w:rPr>
          <w:rFonts w:ascii="Arabic Typesetting" w:hAnsi="Arabic Typesetting" w:cs="Arabic Typesetting" w:hint="cs"/>
          <w:sz w:val="34"/>
          <w:szCs w:val="34"/>
          <w:rtl/>
          <w:lang w:val="fr-CH"/>
        </w:rPr>
        <w:t xml:space="preserve"> ذلك العدد</w:t>
      </w:r>
      <w:r w:rsidRPr="007A4D9E">
        <w:rPr>
          <w:rFonts w:ascii="Arabic Typesetting" w:hAnsi="Arabic Typesetting" w:cs="Arabic Typesetting" w:hint="cs"/>
          <w:sz w:val="34"/>
          <w:szCs w:val="34"/>
          <w:rtl/>
          <w:lang w:val="fr-CH"/>
        </w:rPr>
        <w:t xml:space="preserve"> نموا سليما في الثنائية، </w:t>
      </w:r>
      <w:r w:rsidR="001C4272">
        <w:rPr>
          <w:rFonts w:ascii="Arabic Typesetting" w:hAnsi="Arabic Typesetting" w:cs="Arabic Typesetting" w:hint="cs"/>
          <w:sz w:val="34"/>
          <w:szCs w:val="34"/>
          <w:rtl/>
          <w:lang w:val="fr-CH"/>
        </w:rPr>
        <w:t>و</w:t>
      </w:r>
      <w:r w:rsidRPr="007A4D9E">
        <w:rPr>
          <w:rFonts w:ascii="Arabic Typesetting" w:hAnsi="Arabic Typesetting" w:cs="Arabic Typesetting" w:hint="cs"/>
          <w:sz w:val="34"/>
          <w:szCs w:val="34"/>
          <w:rtl/>
          <w:lang w:val="fr-CH"/>
        </w:rPr>
        <w:t xml:space="preserve">لا سيما </w:t>
      </w:r>
      <w:r w:rsidR="001C4272">
        <w:rPr>
          <w:rFonts w:ascii="Arabic Typesetting" w:hAnsi="Arabic Typesetting" w:cs="Arabic Typesetting" w:hint="cs"/>
          <w:sz w:val="34"/>
          <w:szCs w:val="34"/>
          <w:rtl/>
          <w:lang w:val="fr-CH"/>
        </w:rPr>
        <w:t>بعد</w:t>
      </w:r>
      <w:r w:rsidRPr="007A4D9E">
        <w:rPr>
          <w:rFonts w:ascii="Arabic Typesetting" w:hAnsi="Arabic Typesetting" w:cs="Arabic Typesetting" w:hint="cs"/>
          <w:sz w:val="34"/>
          <w:szCs w:val="34"/>
          <w:rtl/>
          <w:lang w:val="fr-CH"/>
        </w:rPr>
        <w:t xml:space="preserve"> زيادة تكاليف نظام مدريد بالنسبة إلى عدد من البلدان المودعة المهمة عقب الارتفاع الحاد في قيمة الفرنك السويسري في عام 2015.</w:t>
      </w:r>
    </w:p>
    <w:p w:rsidR="007A4D9E" w:rsidRPr="007A4D9E" w:rsidRDefault="007A4D9E" w:rsidP="009A3712">
      <w:pPr>
        <w:numPr>
          <w:ilvl w:val="0"/>
          <w:numId w:val="7"/>
        </w:numPr>
        <w:bidi/>
        <w:spacing w:after="120" w:line="340" w:lineRule="exact"/>
        <w:ind w:left="-1" w:firstLine="0"/>
        <w:rPr>
          <w:rFonts w:ascii="Arabic Typesetting" w:hAnsi="Arabic Typesetting" w:cs="Arabic Typesetting"/>
          <w:sz w:val="34"/>
          <w:szCs w:val="34"/>
          <w:rtl/>
          <w:lang w:val="fr-CH"/>
        </w:rPr>
      </w:pPr>
      <w:r w:rsidRPr="007A4D9E">
        <w:rPr>
          <w:rFonts w:ascii="Arabic Typesetting" w:hAnsi="Arabic Typesetting" w:cs="Arabic Typesetting"/>
          <w:sz w:val="34"/>
          <w:szCs w:val="34"/>
          <w:rtl/>
          <w:lang w:val="fr-CH"/>
        </w:rPr>
        <w:t xml:space="preserve">وأدت المناقشات </w:t>
      </w:r>
      <w:r w:rsidRPr="007A4D9E">
        <w:rPr>
          <w:rFonts w:ascii="Arabic Typesetting" w:hAnsi="Arabic Typesetting" w:cs="Arabic Typesetting" w:hint="cs"/>
          <w:sz w:val="34"/>
          <w:szCs w:val="34"/>
          <w:rtl/>
          <w:lang w:val="fr-CH"/>
        </w:rPr>
        <w:t xml:space="preserve">التي جرت على صعيد </w:t>
      </w:r>
      <w:r w:rsidRPr="007A4D9E">
        <w:rPr>
          <w:rFonts w:ascii="Arabic Typesetting" w:hAnsi="Arabic Typesetting" w:cs="Arabic Typesetting"/>
          <w:sz w:val="34"/>
          <w:szCs w:val="34"/>
          <w:rtl/>
          <w:lang w:val="fr-CH"/>
        </w:rPr>
        <w:t xml:space="preserve">الفريق العامل المعني </w:t>
      </w:r>
      <w:r w:rsidRPr="007A4D9E">
        <w:rPr>
          <w:rFonts w:ascii="Arabic Typesetting" w:hAnsi="Arabic Typesetting" w:cs="Arabic Typesetting" w:hint="cs"/>
          <w:sz w:val="34"/>
          <w:szCs w:val="34"/>
          <w:rtl/>
          <w:lang w:val="fr-CH"/>
        </w:rPr>
        <w:t>بالتطوير</w:t>
      </w:r>
      <w:r w:rsidRPr="007A4D9E">
        <w:rPr>
          <w:rFonts w:ascii="Arabic Typesetting" w:hAnsi="Arabic Typesetting" w:cs="Arabic Typesetting"/>
          <w:sz w:val="34"/>
          <w:szCs w:val="34"/>
          <w:rtl/>
          <w:lang w:val="fr-CH"/>
        </w:rPr>
        <w:t xml:space="preserve"> القانوني </w:t>
      </w:r>
      <w:r w:rsidRPr="007A4D9E">
        <w:rPr>
          <w:rFonts w:ascii="Arabic Typesetting" w:hAnsi="Arabic Typesetting" w:cs="Arabic Typesetting" w:hint="cs"/>
          <w:sz w:val="34"/>
          <w:szCs w:val="34"/>
          <w:rtl/>
          <w:lang w:val="fr-CH"/>
        </w:rPr>
        <w:t>ل</w:t>
      </w:r>
      <w:r w:rsidRPr="007A4D9E">
        <w:rPr>
          <w:rFonts w:ascii="Arabic Typesetting" w:hAnsi="Arabic Typesetting" w:cs="Arabic Typesetting"/>
          <w:sz w:val="34"/>
          <w:szCs w:val="34"/>
          <w:rtl/>
          <w:lang w:val="fr-CH"/>
        </w:rPr>
        <w:t xml:space="preserve">نظام مدريد إلى </w:t>
      </w:r>
      <w:r w:rsidRPr="007A4D9E">
        <w:rPr>
          <w:rFonts w:ascii="Arabic Typesetting" w:hAnsi="Arabic Typesetting" w:cs="Arabic Typesetting" w:hint="cs"/>
          <w:sz w:val="34"/>
          <w:szCs w:val="34"/>
          <w:rtl/>
          <w:lang w:val="fr-CH"/>
        </w:rPr>
        <w:t xml:space="preserve">اعتماد جمعية اتحاد مدريد </w:t>
      </w:r>
      <w:r w:rsidRPr="007A4D9E">
        <w:rPr>
          <w:rFonts w:ascii="Arabic Typesetting" w:hAnsi="Arabic Typesetting" w:cs="Arabic Typesetting"/>
          <w:sz w:val="34"/>
          <w:szCs w:val="34"/>
          <w:rtl/>
          <w:lang w:val="fr-CH"/>
        </w:rPr>
        <w:t>عدد</w:t>
      </w:r>
      <w:r w:rsidR="001C4272">
        <w:rPr>
          <w:rFonts w:ascii="Arabic Typesetting" w:hAnsi="Arabic Typesetting" w:cs="Arabic Typesetting" w:hint="cs"/>
          <w:sz w:val="34"/>
          <w:szCs w:val="34"/>
          <w:rtl/>
          <w:lang w:val="fr-CH"/>
        </w:rPr>
        <w:t>اً</w:t>
      </w:r>
      <w:r w:rsidRPr="007A4D9E">
        <w:rPr>
          <w:rFonts w:ascii="Arabic Typesetting" w:hAnsi="Arabic Typesetting" w:cs="Arabic Typesetting"/>
          <w:sz w:val="34"/>
          <w:szCs w:val="34"/>
          <w:rtl/>
          <w:lang w:val="fr-CH"/>
        </w:rPr>
        <w:t xml:space="preserve"> من التغييرات ال</w:t>
      </w:r>
      <w:r w:rsidR="001C4272">
        <w:rPr>
          <w:rFonts w:ascii="Arabic Typesetting" w:hAnsi="Arabic Typesetting" w:cs="Arabic Typesetting" w:hint="cs"/>
          <w:sz w:val="34"/>
          <w:szCs w:val="34"/>
          <w:rtl/>
          <w:lang w:val="fr-CH"/>
        </w:rPr>
        <w:t>م</w:t>
      </w:r>
      <w:r w:rsidRPr="007A4D9E">
        <w:rPr>
          <w:rFonts w:ascii="Arabic Typesetting" w:hAnsi="Arabic Typesetting" w:cs="Arabic Typesetting"/>
          <w:sz w:val="34"/>
          <w:szCs w:val="34"/>
          <w:rtl/>
          <w:lang w:val="fr-CH"/>
        </w:rPr>
        <w:t xml:space="preserve">همة </w:t>
      </w:r>
      <w:r w:rsidR="001C4272">
        <w:rPr>
          <w:rFonts w:ascii="Arabic Typesetting" w:hAnsi="Arabic Typesetting" w:cs="Arabic Typesetting" w:hint="cs"/>
          <w:sz w:val="34"/>
          <w:szCs w:val="34"/>
          <w:rtl/>
          <w:lang w:val="fr-CH"/>
        </w:rPr>
        <w:t>في</w:t>
      </w:r>
      <w:r w:rsidRPr="007A4D9E">
        <w:rPr>
          <w:rFonts w:ascii="Arabic Typesetting" w:hAnsi="Arabic Typesetting" w:cs="Arabic Typesetting"/>
          <w:sz w:val="34"/>
          <w:szCs w:val="34"/>
          <w:rtl/>
          <w:lang w:val="fr-CH"/>
        </w:rPr>
        <w:t xml:space="preserve"> اللائحة التنفيذية المشتركة، </w:t>
      </w:r>
      <w:r w:rsidR="00B56B8A">
        <w:rPr>
          <w:rFonts w:ascii="Arabic Typesetting" w:hAnsi="Arabic Typesetting" w:cs="Arabic Typesetting" w:hint="cs"/>
          <w:sz w:val="34"/>
          <w:szCs w:val="34"/>
          <w:rtl/>
          <w:lang w:val="fr-CH"/>
        </w:rPr>
        <w:t>يلي بيانها</w:t>
      </w:r>
      <w:r w:rsidRPr="007A4D9E">
        <w:rPr>
          <w:rFonts w:ascii="Arabic Typesetting" w:hAnsi="Arabic Typesetting" w:cs="Arabic Typesetting" w:hint="cs"/>
          <w:sz w:val="34"/>
          <w:szCs w:val="34"/>
          <w:rtl/>
          <w:lang w:val="fr-CH"/>
        </w:rPr>
        <w:t>:</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"1"</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 xml:space="preserve">أصبح </w:t>
      </w:r>
      <w:r w:rsidRPr="007A4D9E">
        <w:rPr>
          <w:rFonts w:ascii="Arabic Typesetting" w:hAnsi="Arabic Typesetting" w:cs="Arabic Typesetting"/>
          <w:sz w:val="34"/>
          <w:szCs w:val="34"/>
          <w:rtl/>
          <w:lang w:val="fr-CH"/>
        </w:rPr>
        <w:t xml:space="preserve">تدبير </w:t>
      </w:r>
      <w:r w:rsidRPr="007A4D9E">
        <w:rPr>
          <w:rFonts w:ascii="Arabic Typesetting" w:hAnsi="Arabic Typesetting" w:cs="Arabic Typesetting" w:hint="cs"/>
          <w:sz w:val="34"/>
          <w:szCs w:val="34"/>
          <w:rtl/>
          <w:lang w:val="fr-CH"/>
        </w:rPr>
        <w:t xml:space="preserve">جديد بشأن </w:t>
      </w:r>
      <w:r w:rsidRPr="007A4D9E">
        <w:rPr>
          <w:rFonts w:ascii="Arabic Typesetting" w:hAnsi="Arabic Typesetting" w:cs="Arabic Typesetting"/>
          <w:sz w:val="34"/>
          <w:szCs w:val="34"/>
          <w:rtl/>
          <w:lang w:val="fr-CH"/>
        </w:rPr>
        <w:t xml:space="preserve">"مواصلة </w:t>
      </w:r>
      <w:r w:rsidR="00B56B8A" w:rsidRPr="007A4D9E">
        <w:rPr>
          <w:rFonts w:ascii="Arabic Typesetting" w:hAnsi="Arabic Typesetting" w:cs="Arabic Typesetting"/>
          <w:sz w:val="34"/>
          <w:szCs w:val="34"/>
          <w:rtl/>
          <w:lang w:val="fr-CH"/>
        </w:rPr>
        <w:t>ال</w:t>
      </w:r>
      <w:r w:rsidR="00B56B8A">
        <w:rPr>
          <w:rFonts w:ascii="Arabic Typesetting" w:hAnsi="Arabic Typesetting" w:cs="Arabic Typesetting" w:hint="cs"/>
          <w:sz w:val="34"/>
          <w:szCs w:val="34"/>
          <w:rtl/>
          <w:lang w:val="fr-CH"/>
        </w:rPr>
        <w:t>إ</w:t>
      </w:r>
      <w:r w:rsidR="00B56B8A" w:rsidRPr="007A4D9E">
        <w:rPr>
          <w:rFonts w:ascii="Arabic Typesetting" w:hAnsi="Arabic Typesetting" w:cs="Arabic Typesetting"/>
          <w:sz w:val="34"/>
          <w:szCs w:val="34"/>
          <w:rtl/>
          <w:lang w:val="fr-CH"/>
        </w:rPr>
        <w:t>جراءات</w:t>
      </w:r>
      <w:r w:rsidRPr="007A4D9E">
        <w:rPr>
          <w:rFonts w:ascii="Arabic Typesetting" w:hAnsi="Arabic Typesetting" w:cs="Arabic Typesetting"/>
          <w:sz w:val="34"/>
          <w:szCs w:val="34"/>
          <w:rtl/>
          <w:lang w:val="fr-CH"/>
        </w:rPr>
        <w:t>" مت</w:t>
      </w:r>
      <w:r w:rsidRPr="007A4D9E">
        <w:rPr>
          <w:rFonts w:ascii="Arabic Typesetting" w:hAnsi="Arabic Typesetting" w:cs="Arabic Typesetting" w:hint="cs"/>
          <w:sz w:val="34"/>
          <w:szCs w:val="34"/>
          <w:rtl/>
          <w:lang w:val="fr-CH"/>
        </w:rPr>
        <w:t xml:space="preserve">احا للمودعين </w:t>
      </w:r>
      <w:r w:rsidRPr="007A4D9E">
        <w:rPr>
          <w:rFonts w:ascii="Arabic Typesetting" w:hAnsi="Arabic Typesetting" w:cs="Arabic Typesetting"/>
          <w:sz w:val="34"/>
          <w:szCs w:val="34"/>
          <w:rtl/>
          <w:lang w:val="fr-CH"/>
        </w:rPr>
        <w:t>أو أصحاب</w:t>
      </w:r>
      <w:r w:rsidRPr="007A4D9E">
        <w:rPr>
          <w:rFonts w:ascii="Arabic Typesetting" w:hAnsi="Arabic Typesetting" w:cs="Arabic Typesetting" w:hint="cs"/>
          <w:sz w:val="34"/>
          <w:szCs w:val="34"/>
          <w:rtl/>
          <w:lang w:val="fr-CH"/>
        </w:rPr>
        <w:t xml:space="preserve"> العلامات</w:t>
      </w:r>
      <w:r w:rsidRPr="007A4D9E">
        <w:rPr>
          <w:rFonts w:ascii="Arabic Typesetting" w:hAnsi="Arabic Typesetting" w:cs="Arabic Typesetting"/>
          <w:sz w:val="34"/>
          <w:szCs w:val="34"/>
          <w:rtl/>
          <w:lang w:val="fr-CH"/>
        </w:rPr>
        <w:t xml:space="preserve"> الذين </w:t>
      </w:r>
      <w:r w:rsidRPr="007A4D9E">
        <w:rPr>
          <w:rFonts w:ascii="Arabic Typesetting" w:hAnsi="Arabic Typesetting" w:cs="Arabic Typesetting" w:hint="cs"/>
          <w:sz w:val="34"/>
          <w:szCs w:val="34"/>
          <w:rtl/>
          <w:lang w:val="fr-CH"/>
        </w:rPr>
        <w:t>لم يمتثلوا</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 xml:space="preserve">لمهل </w:t>
      </w:r>
      <w:r w:rsidRPr="007A4D9E">
        <w:rPr>
          <w:rFonts w:ascii="Arabic Typesetting" w:hAnsi="Arabic Typesetting" w:cs="Arabic Typesetting"/>
          <w:sz w:val="34"/>
          <w:szCs w:val="34"/>
          <w:rtl/>
          <w:lang w:val="fr-CH"/>
        </w:rPr>
        <w:t>معي</w:t>
      </w:r>
      <w:r w:rsidRPr="007A4D9E">
        <w:rPr>
          <w:rFonts w:ascii="Arabic Typesetting" w:hAnsi="Arabic Typesetting" w:cs="Arabic Typesetting" w:hint="cs"/>
          <w:sz w:val="34"/>
          <w:szCs w:val="34"/>
          <w:rtl/>
          <w:lang w:val="fr-CH"/>
        </w:rPr>
        <w:t>ّ</w:t>
      </w:r>
      <w:r w:rsidRPr="007A4D9E">
        <w:rPr>
          <w:rFonts w:ascii="Arabic Typesetting" w:hAnsi="Arabic Typesetting" w:cs="Arabic Typesetting"/>
          <w:sz w:val="34"/>
          <w:szCs w:val="34"/>
          <w:rtl/>
          <w:lang w:val="fr-CH"/>
        </w:rPr>
        <w:t xml:space="preserve">نة </w:t>
      </w:r>
      <w:r w:rsidRPr="007A4D9E">
        <w:rPr>
          <w:rFonts w:ascii="Arabic Typesetting" w:hAnsi="Arabic Typesetting" w:cs="Arabic Typesetting" w:hint="cs"/>
          <w:sz w:val="34"/>
          <w:szCs w:val="34"/>
          <w:rtl/>
          <w:lang w:val="fr-CH"/>
        </w:rPr>
        <w:t>عند القيام</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ب</w:t>
      </w:r>
      <w:r w:rsidRPr="007A4D9E">
        <w:rPr>
          <w:rFonts w:ascii="Arabic Typesetting" w:hAnsi="Arabic Typesetting" w:cs="Arabic Typesetting"/>
          <w:sz w:val="34"/>
          <w:szCs w:val="34"/>
          <w:rtl/>
          <w:lang w:val="fr-CH"/>
        </w:rPr>
        <w:t>إجراءات محد</w:t>
      </w:r>
      <w:r w:rsidRPr="007A4D9E">
        <w:rPr>
          <w:rFonts w:ascii="Arabic Typesetting" w:hAnsi="Arabic Typesetting" w:cs="Arabic Typesetting" w:hint="cs"/>
          <w:sz w:val="34"/>
          <w:szCs w:val="34"/>
          <w:rtl/>
          <w:lang w:val="fr-CH"/>
        </w:rPr>
        <w:t>ّ</w:t>
      </w:r>
      <w:r w:rsidRPr="007A4D9E">
        <w:rPr>
          <w:rFonts w:ascii="Arabic Typesetting" w:hAnsi="Arabic Typesetting" w:cs="Arabic Typesetting"/>
          <w:sz w:val="34"/>
          <w:szCs w:val="34"/>
          <w:rtl/>
          <w:lang w:val="fr-CH"/>
        </w:rPr>
        <w:t xml:space="preserve">دة </w:t>
      </w:r>
      <w:r w:rsidRPr="007A4D9E">
        <w:rPr>
          <w:rFonts w:ascii="Arabic Typesetting" w:hAnsi="Arabic Typesetting" w:cs="Arabic Typesetting" w:hint="cs"/>
          <w:sz w:val="34"/>
          <w:szCs w:val="34"/>
          <w:rtl/>
          <w:lang w:val="fr-CH"/>
        </w:rPr>
        <w:t xml:space="preserve">لدى </w:t>
      </w:r>
      <w:r w:rsidRPr="007A4D9E">
        <w:rPr>
          <w:rFonts w:ascii="Arabic Typesetting" w:hAnsi="Arabic Typesetting" w:cs="Arabic Typesetting"/>
          <w:sz w:val="34"/>
          <w:szCs w:val="34"/>
          <w:rtl/>
          <w:lang w:val="fr-CH"/>
        </w:rPr>
        <w:t>المكتب الدو</w:t>
      </w:r>
      <w:r w:rsidRPr="007A4D9E">
        <w:rPr>
          <w:rFonts w:ascii="Arabic Typesetting" w:hAnsi="Arabic Typesetting" w:cs="Arabic Typesetting" w:hint="cs"/>
          <w:sz w:val="34"/>
          <w:szCs w:val="34"/>
          <w:rtl/>
          <w:lang w:val="fr-CH"/>
        </w:rPr>
        <w:t>لي؛ "2"</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 xml:space="preserve">وخضعت </w:t>
      </w:r>
      <w:r w:rsidRPr="007A4D9E">
        <w:rPr>
          <w:rFonts w:ascii="Arabic Typesetting" w:hAnsi="Arabic Typesetting" w:cs="Arabic Typesetting"/>
          <w:sz w:val="34"/>
          <w:szCs w:val="34"/>
          <w:rtl/>
          <w:lang w:val="fr-CH"/>
        </w:rPr>
        <w:t xml:space="preserve">إجراءات التجديد </w:t>
      </w:r>
      <w:r w:rsidRPr="007A4D9E">
        <w:rPr>
          <w:rFonts w:ascii="Arabic Typesetting" w:hAnsi="Arabic Typesetting" w:cs="Arabic Typesetting" w:hint="cs"/>
          <w:sz w:val="34"/>
          <w:szCs w:val="34"/>
          <w:rtl/>
          <w:lang w:val="fr-CH"/>
        </w:rPr>
        <w:t>لتبسيط قانوني ب</w:t>
      </w:r>
      <w:r w:rsidRPr="007A4D9E">
        <w:rPr>
          <w:rFonts w:ascii="Arabic Typesetting" w:hAnsi="Arabic Typesetting" w:cs="Arabic Typesetting"/>
          <w:sz w:val="34"/>
          <w:szCs w:val="34"/>
          <w:rtl/>
          <w:lang w:val="fr-CH"/>
        </w:rPr>
        <w:t xml:space="preserve">إدخال خيار </w:t>
      </w:r>
      <w:r w:rsidRPr="007A4D9E">
        <w:rPr>
          <w:rFonts w:ascii="Arabic Typesetting" w:hAnsi="Arabic Typesetting" w:cs="Arabic Typesetting" w:hint="cs"/>
          <w:sz w:val="34"/>
          <w:szCs w:val="34"/>
          <w:rtl/>
          <w:lang w:val="fr-CH"/>
        </w:rPr>
        <w:t>ل</w:t>
      </w:r>
      <w:r w:rsidRPr="007A4D9E">
        <w:rPr>
          <w:rFonts w:ascii="Arabic Typesetting" w:hAnsi="Arabic Typesetting" w:cs="Arabic Typesetting"/>
          <w:sz w:val="34"/>
          <w:szCs w:val="34"/>
          <w:rtl/>
          <w:lang w:val="fr-CH"/>
        </w:rPr>
        <w:t xml:space="preserve">تجديد تسجيل دولي </w:t>
      </w:r>
      <w:r w:rsidRPr="007A4D9E">
        <w:rPr>
          <w:rFonts w:ascii="Arabic Typesetting" w:hAnsi="Arabic Typesetting" w:cs="Arabic Typesetting" w:hint="cs"/>
          <w:sz w:val="34"/>
          <w:szCs w:val="34"/>
          <w:rtl/>
          <w:lang w:val="fr-CH"/>
        </w:rPr>
        <w:t>بالنسبة ل</w:t>
      </w:r>
      <w:r w:rsidRPr="007A4D9E">
        <w:rPr>
          <w:rFonts w:ascii="Arabic Typesetting" w:hAnsi="Arabic Typesetting" w:cs="Arabic Typesetting"/>
          <w:sz w:val="34"/>
          <w:szCs w:val="34"/>
          <w:rtl/>
          <w:lang w:val="fr-CH"/>
        </w:rPr>
        <w:t>قائمة</w:t>
      </w:r>
      <w:r w:rsidRPr="007A4D9E">
        <w:rPr>
          <w:rFonts w:ascii="Arabic Typesetting" w:hAnsi="Arabic Typesetting" w:cs="Arabic Typesetting" w:hint="cs"/>
          <w:sz w:val="34"/>
          <w:szCs w:val="34"/>
          <w:rtl/>
          <w:lang w:val="fr-CH"/>
        </w:rPr>
        <w:t xml:space="preserve"> محدودة من </w:t>
      </w:r>
      <w:r w:rsidRPr="007A4D9E">
        <w:rPr>
          <w:rFonts w:ascii="Arabic Typesetting" w:hAnsi="Arabic Typesetting" w:cs="Arabic Typesetting"/>
          <w:sz w:val="34"/>
          <w:szCs w:val="34"/>
          <w:rtl/>
          <w:lang w:val="fr-CH"/>
        </w:rPr>
        <w:t>السلع والخدمات</w:t>
      </w:r>
      <w:r w:rsidRPr="007A4D9E">
        <w:rPr>
          <w:rFonts w:ascii="Arabic Typesetting" w:hAnsi="Arabic Typesetting" w:cs="Arabic Typesetting" w:hint="cs"/>
          <w:sz w:val="34"/>
          <w:szCs w:val="34"/>
          <w:rtl/>
          <w:lang w:val="fr-CH"/>
        </w:rPr>
        <w:t xml:space="preserve"> فقط</w:t>
      </w:r>
      <w:r w:rsidRPr="007A4D9E">
        <w:rPr>
          <w:rFonts w:ascii="Arabic Typesetting" w:hAnsi="Arabic Typesetting" w:cs="Arabic Typesetting"/>
          <w:sz w:val="34"/>
          <w:szCs w:val="34"/>
          <w:rtl/>
          <w:lang w:val="fr-CH"/>
        </w:rPr>
        <w:t xml:space="preserve">، بدلا من الاضطرار إلى التماس إنقاص قبل تاريخ التجديد، كما كان عليه الحال </w:t>
      </w:r>
      <w:r w:rsidRPr="007A4D9E">
        <w:rPr>
          <w:rFonts w:ascii="Arabic Typesetting" w:hAnsi="Arabic Typesetting" w:cs="Arabic Typesetting" w:hint="cs"/>
          <w:sz w:val="34"/>
          <w:szCs w:val="34"/>
          <w:rtl/>
          <w:lang w:val="fr-CH"/>
        </w:rPr>
        <w:t>سابقا؛ "3"</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وسيُعذر عدم التقيّد بالمهلة المحدّدة لإرسال تبليغ للمكتب الدولي موجه بالوسائل الإلكترونية إذا برهن الطرف بشكل مرض أن المهلة لم تُراع بسبب عطل في التواصل الإلكتروني مع المكتب الدولي، أو عطل يصيب مكان وجود الطرف المعني من جرّاء ظروف استثنائية؛ "4"</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و</w:t>
      </w:r>
      <w:r w:rsidR="00E62C61">
        <w:rPr>
          <w:rFonts w:ascii="Arabic Typesetting" w:hAnsi="Arabic Typesetting" w:cs="Arabic Typesetting" w:hint="cs"/>
          <w:sz w:val="34"/>
          <w:szCs w:val="34"/>
          <w:rtl/>
          <w:lang w:val="fr-CH"/>
        </w:rPr>
        <w:t xml:space="preserve">أُدخلت </w:t>
      </w:r>
      <w:r w:rsidRPr="007A4D9E">
        <w:rPr>
          <w:rFonts w:ascii="Arabic Typesetting" w:hAnsi="Arabic Typesetting" w:cs="Arabic Typesetting" w:hint="cs"/>
          <w:sz w:val="34"/>
          <w:szCs w:val="34"/>
          <w:rtl/>
          <w:lang w:val="fr-CH"/>
        </w:rPr>
        <w:t>تغييرات في عنوان المراسلة أو عنوان البريد الإلكتروني أو أية وسيلة تواصل أخرى إذ كان المودع أو صاحب التسجيل معفيا من الرسوم؛ "5"</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وسيُسمح للمودعين بتقديم وصف طوعي للعلامة يكون مفيدا لتلافي حالات الرفض المؤقت؛ "6"</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و</w:t>
      </w:r>
      <w:r w:rsidR="00E62C61">
        <w:rPr>
          <w:rFonts w:ascii="Arabic Typesetting" w:hAnsi="Arabic Typesetting" w:cs="Arabic Typesetting" w:hint="cs"/>
          <w:sz w:val="34"/>
          <w:szCs w:val="34"/>
          <w:rtl/>
          <w:lang w:val="fr-CH"/>
        </w:rPr>
        <w:t>وضِّح</w:t>
      </w:r>
      <w:r w:rsidRPr="007A4D9E">
        <w:rPr>
          <w:rFonts w:ascii="Arabic Typesetting" w:hAnsi="Arabic Typesetting" w:cs="Arabic Typesetting" w:hint="cs"/>
          <w:sz w:val="34"/>
          <w:szCs w:val="34"/>
          <w:rtl/>
          <w:lang w:val="fr-CH"/>
        </w:rPr>
        <w:t xml:space="preserve"> مستوى الفحص الذي يجريه المكتب الدولي لقائمة السلع والخدمات في التعيينات اللاحقة؛ "7"</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وفي حال عُيّنت الولايات المتحدة الأمريكية وأطراف متعاقدة أخرى لاحقا ولم يُقدَم إعلان بنية الاستخدام في الولايات المتحدة الأمريكية أو لم يُصحَّح، فإن ذلك القصور لم يعد يؤثر في بقية الأطراف المتعاقدة. ودخلت بعض التغييرات حيّز النفاذ في يناير</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2015، في حين ستدخل تغييرات أخرى حيّز النفاذ في 1</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أبريل</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2016 و1</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نوفمبر</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2017.</w:t>
      </w:r>
    </w:p>
    <w:p w:rsidR="007A4D9E" w:rsidRPr="007A4D9E" w:rsidRDefault="007A4D9E" w:rsidP="009A3712">
      <w:pPr>
        <w:numPr>
          <w:ilvl w:val="0"/>
          <w:numId w:val="7"/>
        </w:numPr>
        <w:bidi/>
        <w:spacing w:after="120" w:line="340" w:lineRule="exact"/>
        <w:ind w:left="-1" w:firstLine="0"/>
        <w:rPr>
          <w:rFonts w:ascii="Arabic Typesetting" w:hAnsi="Arabic Typesetting" w:cs="Arabic Typesetting"/>
          <w:sz w:val="34"/>
          <w:szCs w:val="34"/>
          <w:rtl/>
          <w:lang w:val="fr-CH"/>
        </w:rPr>
      </w:pPr>
      <w:r w:rsidRPr="007A4D9E">
        <w:rPr>
          <w:rFonts w:ascii="Arabic Typesetting" w:hAnsi="Arabic Typesetting" w:cs="Arabic Typesetting" w:hint="cs"/>
          <w:sz w:val="34"/>
          <w:szCs w:val="34"/>
          <w:rtl/>
          <w:lang w:val="fr-CH"/>
        </w:rPr>
        <w:t>وفي أوائل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2014، أُ</w:t>
      </w:r>
      <w:r w:rsidRPr="007A4D9E">
        <w:rPr>
          <w:rFonts w:ascii="Arabic Typesetting" w:hAnsi="Arabic Typesetting" w:cs="Arabic Typesetting"/>
          <w:sz w:val="34"/>
          <w:szCs w:val="34"/>
          <w:rtl/>
          <w:lang w:val="fr-CH"/>
        </w:rPr>
        <w:t>طلق</w:t>
      </w:r>
      <w:r w:rsidRPr="007A4D9E">
        <w:rPr>
          <w:rFonts w:ascii="Arabic Typesetting" w:hAnsi="Arabic Typesetting" w:cs="Arabic Typesetting" w:hint="cs"/>
          <w:sz w:val="34"/>
          <w:szCs w:val="34"/>
          <w:rtl/>
          <w:lang w:val="fr-CH"/>
        </w:rPr>
        <w:t>ت</w:t>
      </w:r>
      <w:r w:rsidRPr="007A4D9E">
        <w:rPr>
          <w:rFonts w:ascii="Arabic Typesetting" w:hAnsi="Arabic Typesetting" w:cs="Arabic Typesetting"/>
          <w:sz w:val="34"/>
          <w:szCs w:val="34"/>
          <w:rtl/>
          <w:lang w:val="fr-CH"/>
        </w:rPr>
        <w:t xml:space="preserve"> مبادرة إصلاح </w:t>
      </w:r>
      <w:r w:rsidRPr="007A4D9E">
        <w:rPr>
          <w:rFonts w:ascii="Arabic Typesetting" w:hAnsi="Arabic Typesetting" w:cs="Arabic Typesetting" w:hint="cs"/>
          <w:sz w:val="34"/>
          <w:szCs w:val="34"/>
          <w:rtl/>
          <w:lang w:val="fr-CH"/>
        </w:rPr>
        <w:t xml:space="preserve">مهمة </w:t>
      </w:r>
      <w:r w:rsidRPr="007A4D9E">
        <w:rPr>
          <w:rFonts w:ascii="Arabic Typesetting" w:hAnsi="Arabic Typesetting" w:cs="Arabic Typesetting"/>
          <w:sz w:val="34"/>
          <w:szCs w:val="34"/>
          <w:rtl/>
          <w:lang w:val="fr-CH"/>
        </w:rPr>
        <w:t>وطويلة الأجل تهدف إلى تحسين مستوى نضج البيئة التشغيلية</w:t>
      </w:r>
      <w:r w:rsidRPr="007A4D9E">
        <w:rPr>
          <w:rFonts w:ascii="Arabic Typesetting" w:hAnsi="Arabic Typesetting" w:cs="Arabic Typesetting" w:hint="cs"/>
          <w:sz w:val="34"/>
          <w:szCs w:val="34"/>
          <w:rtl/>
          <w:lang w:val="fr-CH"/>
        </w:rPr>
        <w:t>. وتشمل المجالات الرئيسية التي تغطيها تلك المبادرة ما يلي: "1"</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تخطيط العمل وتنفيذ الإجراءات ذات الصلة؛ "2"</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وتكنولوجيا المعلومات؛ "3"</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ودعم الزبائن؛ "4"</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ووثائق الفحص؛ "5" </w:t>
      </w:r>
      <w:r w:rsidRPr="007A4D9E">
        <w:rPr>
          <w:rFonts w:ascii="Arabic Typesetting" w:hAnsi="Arabic Typesetting" w:cs="Arabic Typesetting" w:hint="eastAsia"/>
          <w:sz w:val="34"/>
          <w:szCs w:val="34"/>
          <w:rtl/>
          <w:lang w:val="fr-CH"/>
        </w:rPr>
        <w:t>ومعالجة الرسوم؛ "6"</w:t>
      </w:r>
      <w:r w:rsidRPr="007A4D9E">
        <w:rPr>
          <w:rFonts w:ascii="Arabic Typesetting" w:hAnsi="Arabic Typesetting" w:cs="Arabic Typesetting" w:hint="cs"/>
          <w:sz w:val="34"/>
          <w:szCs w:val="34"/>
          <w:rtl/>
          <w:lang w:val="fr-CH"/>
        </w:rPr>
        <w:t xml:space="preserve"> واستمرارية الأعمال. </w:t>
      </w:r>
      <w:r w:rsidRPr="007A4D9E">
        <w:rPr>
          <w:rFonts w:ascii="Arabic Typesetting" w:hAnsi="Arabic Typesetting" w:cs="Arabic Typesetting"/>
          <w:sz w:val="34"/>
          <w:szCs w:val="34"/>
          <w:rtl/>
          <w:lang w:val="fr-CH"/>
        </w:rPr>
        <w:t>وتطلب</w:t>
      </w:r>
      <w:r w:rsidRPr="007A4D9E">
        <w:rPr>
          <w:rFonts w:ascii="Arabic Typesetting" w:hAnsi="Arabic Typesetting" w:cs="Arabic Typesetting" w:hint="cs"/>
          <w:sz w:val="34"/>
          <w:szCs w:val="34"/>
          <w:rtl/>
          <w:lang w:val="fr-CH"/>
        </w:rPr>
        <w:t>ت</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 xml:space="preserve">تلك المشروعات الجديدة </w:t>
      </w:r>
      <w:r w:rsidRPr="007A4D9E">
        <w:rPr>
          <w:rFonts w:ascii="Arabic Typesetting" w:hAnsi="Arabic Typesetting" w:cs="Arabic Typesetting"/>
          <w:sz w:val="34"/>
          <w:szCs w:val="34"/>
          <w:rtl/>
          <w:lang w:val="fr-CH"/>
        </w:rPr>
        <w:t xml:space="preserve">تحويل بعض الموارد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 xml:space="preserve">مخصصة </w:t>
      </w:r>
      <w:r w:rsidRPr="007A4D9E">
        <w:rPr>
          <w:rFonts w:ascii="Arabic Typesetting" w:hAnsi="Arabic Typesetting" w:cs="Arabic Typesetting" w:hint="cs"/>
          <w:sz w:val="34"/>
          <w:szCs w:val="34"/>
          <w:rtl/>
          <w:lang w:val="fr-CH"/>
        </w:rPr>
        <w:t>أصلا</w:t>
      </w:r>
      <w:r w:rsidRPr="007A4D9E">
        <w:rPr>
          <w:rFonts w:ascii="Arabic Typesetting" w:hAnsi="Arabic Typesetting" w:cs="Arabic Typesetting"/>
          <w:sz w:val="34"/>
          <w:szCs w:val="34"/>
          <w:rtl/>
          <w:lang w:val="fr-CH"/>
        </w:rPr>
        <w:t xml:space="preserve"> للفحص</w:t>
      </w:r>
      <w:r w:rsidRPr="007A4D9E">
        <w:rPr>
          <w:rFonts w:ascii="Arabic Typesetting" w:hAnsi="Arabic Typesetting" w:cs="Arabic Typesetting" w:hint="cs"/>
          <w:sz w:val="34"/>
          <w:szCs w:val="34"/>
          <w:rtl/>
          <w:lang w:val="fr-CH"/>
        </w:rPr>
        <w:t xml:space="preserve"> إلى أنشطة أخرى</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و</w:t>
      </w:r>
      <w:r w:rsidRPr="007A4D9E">
        <w:rPr>
          <w:rFonts w:ascii="Arabic Typesetting" w:hAnsi="Arabic Typesetting" w:cs="Arabic Typesetting"/>
          <w:sz w:val="34"/>
          <w:szCs w:val="34"/>
          <w:rtl/>
          <w:lang w:val="fr-CH"/>
        </w:rPr>
        <w:t>نتيجة لذلك</w:t>
      </w:r>
      <w:r w:rsidR="00B56B8A">
        <w:rPr>
          <w:rFonts w:ascii="Arabic Typesetting" w:hAnsi="Arabic Typesetting" w:cs="Arabic Typesetting" w:hint="cs"/>
          <w:sz w:val="34"/>
          <w:szCs w:val="34"/>
          <w:rtl/>
          <w:lang w:val="fr-CH"/>
        </w:rPr>
        <w:t>،</w:t>
      </w:r>
      <w:r w:rsidRPr="007A4D9E">
        <w:rPr>
          <w:rFonts w:ascii="Arabic Typesetting" w:hAnsi="Arabic Typesetting" w:cs="Arabic Typesetting" w:hint="cs"/>
          <w:sz w:val="34"/>
          <w:szCs w:val="34"/>
          <w:rtl/>
          <w:lang w:val="fr-CH"/>
        </w:rPr>
        <w:t xml:space="preserve"> </w:t>
      </w:r>
      <w:r w:rsidR="00B56B8A">
        <w:rPr>
          <w:rFonts w:ascii="Arabic Typesetting" w:hAnsi="Arabic Typesetting" w:cs="Arabic Typesetting" w:hint="cs"/>
          <w:sz w:val="34"/>
          <w:szCs w:val="34"/>
          <w:rtl/>
          <w:lang w:val="fr-CH"/>
        </w:rPr>
        <w:t>شهد</w:t>
      </w:r>
      <w:r w:rsidRPr="007A4D9E">
        <w:rPr>
          <w:rFonts w:ascii="Arabic Typesetting" w:hAnsi="Arabic Typesetting" w:cs="Arabic Typesetting" w:hint="cs"/>
          <w:sz w:val="34"/>
          <w:szCs w:val="34"/>
          <w:rtl/>
          <w:lang w:val="fr-CH"/>
        </w:rPr>
        <w:t xml:space="preserve">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2014 تراكم ال</w:t>
      </w:r>
      <w:r w:rsidRPr="007A4D9E">
        <w:rPr>
          <w:rFonts w:ascii="Arabic Typesetting" w:hAnsi="Arabic Typesetting" w:cs="Arabic Typesetting"/>
          <w:sz w:val="34"/>
          <w:szCs w:val="34"/>
          <w:rtl/>
          <w:lang w:val="fr-CH"/>
        </w:rPr>
        <w:t xml:space="preserve">تأخير في مختلف </w:t>
      </w:r>
      <w:r w:rsidRPr="007A4D9E">
        <w:rPr>
          <w:rFonts w:ascii="Arabic Typesetting" w:hAnsi="Arabic Typesetting" w:cs="Arabic Typesetting" w:hint="cs"/>
          <w:sz w:val="34"/>
          <w:szCs w:val="34"/>
          <w:rtl/>
          <w:lang w:val="fr-CH"/>
        </w:rPr>
        <w:t>معاملات</w:t>
      </w:r>
      <w:r w:rsidRPr="007A4D9E">
        <w:rPr>
          <w:rFonts w:ascii="Arabic Typesetting" w:hAnsi="Arabic Typesetting" w:cs="Arabic Typesetting"/>
          <w:sz w:val="34"/>
          <w:szCs w:val="34"/>
          <w:rtl/>
          <w:lang w:val="fr-CH"/>
        </w:rPr>
        <w:t xml:space="preserve"> الفحص، </w:t>
      </w:r>
      <w:r w:rsidRPr="007A4D9E">
        <w:rPr>
          <w:rFonts w:ascii="Arabic Typesetting" w:hAnsi="Arabic Typesetting" w:cs="Arabic Typesetting" w:hint="cs"/>
          <w:sz w:val="34"/>
          <w:szCs w:val="34"/>
          <w:rtl/>
          <w:lang w:val="fr-CH"/>
        </w:rPr>
        <w:t xml:space="preserve">فضلا عن حالات </w:t>
      </w:r>
      <w:r w:rsidRPr="007A4D9E">
        <w:rPr>
          <w:rFonts w:ascii="Arabic Typesetting" w:hAnsi="Arabic Typesetting" w:cs="Arabic Typesetting"/>
          <w:sz w:val="34"/>
          <w:szCs w:val="34"/>
          <w:rtl/>
          <w:lang w:val="fr-CH"/>
        </w:rPr>
        <w:t xml:space="preserve">تأخير تشغيلية أخرى. </w:t>
      </w:r>
      <w:r w:rsidRPr="007A4D9E">
        <w:rPr>
          <w:rFonts w:ascii="Arabic Typesetting" w:hAnsi="Arabic Typesetting" w:cs="Arabic Typesetting" w:hint="cs"/>
          <w:sz w:val="34"/>
          <w:szCs w:val="34"/>
          <w:rtl/>
          <w:lang w:val="fr-CH"/>
        </w:rPr>
        <w:t xml:space="preserve">ولكن اتُخذت </w:t>
      </w:r>
      <w:r w:rsidRPr="007A4D9E">
        <w:rPr>
          <w:rFonts w:ascii="Arabic Typesetting" w:hAnsi="Arabic Typesetting" w:cs="Arabic Typesetting"/>
          <w:sz w:val="34"/>
          <w:szCs w:val="34"/>
          <w:rtl/>
          <w:lang w:val="fr-CH"/>
        </w:rPr>
        <w:t xml:space="preserve">تدابير </w:t>
      </w:r>
      <w:r w:rsidRPr="007A4D9E">
        <w:rPr>
          <w:rFonts w:ascii="Arabic Typesetting" w:hAnsi="Arabic Typesetting" w:cs="Arabic Typesetting" w:hint="cs"/>
          <w:sz w:val="34"/>
          <w:szCs w:val="34"/>
          <w:rtl/>
          <w:lang w:val="fr-CH"/>
        </w:rPr>
        <w:t>ل</w:t>
      </w:r>
      <w:r w:rsidRPr="007A4D9E">
        <w:rPr>
          <w:rFonts w:ascii="Arabic Typesetting" w:hAnsi="Arabic Typesetting" w:cs="Arabic Typesetting"/>
          <w:sz w:val="34"/>
          <w:szCs w:val="34"/>
          <w:rtl/>
          <w:lang w:val="fr-CH"/>
        </w:rPr>
        <w:t>لتخفيف</w:t>
      </w:r>
      <w:r w:rsidRPr="007A4D9E">
        <w:rPr>
          <w:rFonts w:ascii="Arabic Typesetting" w:hAnsi="Arabic Typesetting" w:cs="Arabic Typesetting" w:hint="cs"/>
          <w:sz w:val="34"/>
          <w:szCs w:val="34"/>
          <w:rtl/>
          <w:lang w:val="fr-CH"/>
        </w:rPr>
        <w:t xml:space="preserve"> من ذلك</w:t>
      </w:r>
      <w:r w:rsidRPr="007A4D9E">
        <w:rPr>
          <w:rFonts w:ascii="Arabic Typesetting" w:hAnsi="Arabic Typesetting" w:cs="Arabic Typesetting"/>
          <w:sz w:val="34"/>
          <w:szCs w:val="34"/>
          <w:rtl/>
          <w:lang w:val="fr-CH"/>
        </w:rPr>
        <w:t xml:space="preserve">، بما في ذلك الاحتفاظ بعدد من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 xml:space="preserve">موارد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 xml:space="preserve">مرنة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إضافية</w:t>
      </w:r>
      <w:r w:rsidRPr="007A4D9E">
        <w:rPr>
          <w:rFonts w:ascii="Arabic Typesetting" w:hAnsi="Arabic Typesetting" w:cs="Arabic Typesetting" w:hint="cs"/>
          <w:sz w:val="34"/>
          <w:szCs w:val="34"/>
          <w:rtl/>
          <w:lang w:val="fr-CH"/>
        </w:rPr>
        <w:t xml:space="preserve"> مما سمح للمكتب</w:t>
      </w:r>
      <w:r w:rsidRPr="007A4D9E">
        <w:rPr>
          <w:rFonts w:ascii="Arabic Typesetting" w:hAnsi="Arabic Typesetting" w:cs="Arabic Typesetting"/>
          <w:sz w:val="34"/>
          <w:szCs w:val="34"/>
          <w:rtl/>
          <w:lang w:val="fr-CH"/>
        </w:rPr>
        <w:t xml:space="preserve"> الدولي</w:t>
      </w:r>
      <w:r w:rsidRPr="007A4D9E">
        <w:rPr>
          <w:rFonts w:ascii="Arabic Typesetting" w:hAnsi="Arabic Typesetting" w:cs="Arabic Typesetting" w:hint="cs"/>
          <w:sz w:val="34"/>
          <w:szCs w:val="34"/>
          <w:rtl/>
          <w:lang w:val="fr-CH"/>
        </w:rPr>
        <w:t xml:space="preserve"> ب</w:t>
      </w:r>
      <w:r w:rsidRPr="007A4D9E">
        <w:rPr>
          <w:rFonts w:ascii="Arabic Typesetting" w:hAnsi="Arabic Typesetting" w:cs="Arabic Typesetting"/>
          <w:sz w:val="34"/>
          <w:szCs w:val="34"/>
          <w:rtl/>
          <w:lang w:val="fr-CH"/>
        </w:rPr>
        <w:t xml:space="preserve">تحسين الوضع </w:t>
      </w:r>
      <w:r w:rsidRPr="007A4D9E">
        <w:rPr>
          <w:rFonts w:ascii="Arabic Typesetting" w:hAnsi="Arabic Typesetting" w:cs="Arabic Typesetting" w:hint="cs"/>
          <w:sz w:val="34"/>
          <w:szCs w:val="34"/>
          <w:rtl/>
          <w:lang w:val="fr-CH"/>
        </w:rPr>
        <w:t>في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2015. وفي نهاية الثنائية، كانت معدلات مدة المعالجة الخاصة بكل معاملات الفحص تساوي المتوسط التاريخي المحسوب على أساس خمس سنوات أو تتجاوزه. وإضافة إلى ذلك، أدى ارتفاع مستوى التسجيلات في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 xml:space="preserve">2015 (نتيجة التخلّص من حالات التأخير) إلى ارتفاع مستوى إيرادات الثنائية بما يتجاوز الهدف المحدّد في الميزانية بنسبة ستة بالمئة. وإلى جانب ذلك، أحرِز تقدم أساسي في مجالات الإصلاح الأخرى المذكورة </w:t>
      </w:r>
      <w:r w:rsidR="00B56B8A">
        <w:rPr>
          <w:rFonts w:ascii="Arabic Typesetting" w:hAnsi="Arabic Typesetting" w:cs="Arabic Typesetting" w:hint="cs"/>
          <w:sz w:val="34"/>
          <w:szCs w:val="34"/>
          <w:rtl/>
          <w:lang w:val="fr-CH"/>
        </w:rPr>
        <w:t>آنفا</w:t>
      </w:r>
      <w:r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hint="cs"/>
          <w:sz w:val="34"/>
          <w:szCs w:val="34"/>
          <w:rtl/>
          <w:lang w:val="fr-CH"/>
        </w:rPr>
        <w:lastRenderedPageBreak/>
        <w:t>لا</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سيما مجالات دعم الزبائن ومراقبة جودة الفحص واستمرارية الأعمال</w:t>
      </w:r>
      <w:r w:rsidR="00E62C61">
        <w:rPr>
          <w:rFonts w:ascii="Arabic Typesetting" w:hAnsi="Arabic Typesetting" w:cs="Arabic Typesetting" w:hint="cs"/>
          <w:sz w:val="34"/>
          <w:szCs w:val="34"/>
          <w:rtl/>
          <w:lang w:val="fr-CH"/>
        </w:rPr>
        <w:t>؛</w:t>
      </w:r>
      <w:r w:rsidR="00E62C61" w:rsidRPr="007A4D9E">
        <w:rPr>
          <w:rFonts w:ascii="Arabic Typesetting" w:hAnsi="Arabic Typesetting" w:cs="Arabic Typesetting" w:hint="cs"/>
          <w:sz w:val="34"/>
          <w:szCs w:val="34"/>
          <w:rtl/>
          <w:lang w:val="fr-CH"/>
        </w:rPr>
        <w:t xml:space="preserve"> </w:t>
      </w:r>
      <w:r w:rsidR="00E62C61">
        <w:rPr>
          <w:rFonts w:ascii="Arabic Typesetting" w:hAnsi="Arabic Typesetting" w:cs="Arabic Typesetting" w:hint="cs"/>
          <w:sz w:val="34"/>
          <w:szCs w:val="34"/>
          <w:rtl/>
          <w:lang w:val="fr-CH"/>
        </w:rPr>
        <w:t>و</w:t>
      </w:r>
      <w:r w:rsidRPr="007A4D9E">
        <w:rPr>
          <w:rFonts w:ascii="Arabic Typesetting" w:hAnsi="Arabic Typesetting" w:cs="Arabic Typesetting" w:hint="cs"/>
          <w:sz w:val="34"/>
          <w:szCs w:val="34"/>
          <w:rtl/>
          <w:lang w:val="fr-CH"/>
        </w:rPr>
        <w:t>من المتوقّع أن تتجسّد فوائده في السنوات القادمة. ومع</w:t>
      </w:r>
      <w:r w:rsidR="00E62C61">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الاستقرار التدريجي الذي شهدته البيئة التشغيلية في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2015، تسنى أيضا تحويل بعض من محور تركيز الإدارة إلى التسويق والترويج، فضلا عن التطور الاستراتيجي لنظام مدريد نفسه.</w:t>
      </w:r>
    </w:p>
    <w:p w:rsidR="007A4D9E" w:rsidRPr="007A4D9E" w:rsidRDefault="007A4D9E" w:rsidP="009A3712">
      <w:pPr>
        <w:numPr>
          <w:ilvl w:val="0"/>
          <w:numId w:val="7"/>
        </w:numPr>
        <w:bidi/>
        <w:spacing w:after="120" w:line="340" w:lineRule="exact"/>
        <w:ind w:left="-1" w:firstLine="0"/>
        <w:rPr>
          <w:rFonts w:ascii="Arabic Typesetting" w:hAnsi="Arabic Typesetting" w:cs="Arabic Typesetting"/>
          <w:sz w:val="34"/>
          <w:szCs w:val="34"/>
          <w:lang w:val="fr-CH"/>
        </w:rPr>
      </w:pPr>
      <w:r w:rsidRPr="007A4D9E">
        <w:rPr>
          <w:rFonts w:ascii="Arabic Typesetting" w:hAnsi="Arabic Typesetting" w:cs="Arabic Typesetting"/>
          <w:sz w:val="34"/>
          <w:szCs w:val="34"/>
          <w:rtl/>
          <w:lang w:val="fr-CH"/>
        </w:rPr>
        <w:t>و</w:t>
      </w:r>
      <w:r w:rsidRPr="007A4D9E">
        <w:rPr>
          <w:rFonts w:ascii="Arabic Typesetting" w:hAnsi="Arabic Typesetting" w:cs="Arabic Typesetting" w:hint="cs"/>
          <w:sz w:val="34"/>
          <w:szCs w:val="34"/>
          <w:rtl/>
          <w:lang w:val="fr-CH"/>
        </w:rPr>
        <w:t>عقب تنفيذ التوصيات المُدرجة في ال</w:t>
      </w:r>
      <w:r w:rsidRPr="007A4D9E">
        <w:rPr>
          <w:rFonts w:ascii="Arabic Typesetting" w:hAnsi="Arabic Typesetting" w:cs="Arabic Typesetting"/>
          <w:sz w:val="34"/>
          <w:szCs w:val="34"/>
          <w:rtl/>
          <w:lang w:val="fr-CH"/>
        </w:rPr>
        <w:t xml:space="preserve">استعراض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 xml:space="preserve">مستقل </w:t>
      </w:r>
      <w:r w:rsidRPr="007A4D9E">
        <w:rPr>
          <w:rFonts w:ascii="Arabic Typesetting" w:hAnsi="Arabic Typesetting" w:cs="Arabic Typesetting" w:hint="cs"/>
          <w:sz w:val="34"/>
          <w:szCs w:val="34"/>
          <w:rtl/>
          <w:lang w:val="fr-CH"/>
        </w:rPr>
        <w:t>ل</w:t>
      </w:r>
      <w:r w:rsidRPr="007A4D9E">
        <w:rPr>
          <w:rFonts w:ascii="Arabic Typesetting" w:hAnsi="Arabic Typesetting" w:cs="Arabic Typesetting"/>
          <w:sz w:val="34"/>
          <w:szCs w:val="34"/>
          <w:rtl/>
          <w:lang w:val="fr-CH"/>
        </w:rPr>
        <w:t xml:space="preserve">لاستعدادات اللازمة </w:t>
      </w:r>
      <w:r w:rsidRPr="007A4D9E">
        <w:rPr>
          <w:rFonts w:ascii="Arabic Typesetting" w:hAnsi="Arabic Typesetting" w:cs="Arabic Typesetting" w:hint="cs"/>
          <w:sz w:val="34"/>
          <w:szCs w:val="34"/>
          <w:rtl/>
          <w:lang w:val="fr-CH"/>
        </w:rPr>
        <w:t>لنشر ال</w:t>
      </w:r>
      <w:r w:rsidRPr="007A4D9E">
        <w:rPr>
          <w:rFonts w:ascii="Arabic Typesetting" w:hAnsi="Arabic Typesetting" w:cs="Arabic Typesetting"/>
          <w:sz w:val="34"/>
          <w:szCs w:val="34"/>
          <w:rtl/>
          <w:lang w:val="fr-CH"/>
        </w:rPr>
        <w:t>أنظمة</w:t>
      </w:r>
      <w:r w:rsidRPr="007A4D9E">
        <w:rPr>
          <w:rFonts w:ascii="Arabic Typesetting" w:hAnsi="Arabic Typesetting" w:cs="Arabic Typesetting" w:hint="cs"/>
          <w:sz w:val="34"/>
          <w:szCs w:val="34"/>
          <w:rtl/>
          <w:lang w:val="fr-CH"/>
        </w:rPr>
        <w:t xml:space="preserve"> الخلفية المُطورة</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ل</w:t>
      </w:r>
      <w:r w:rsidRPr="007A4D9E">
        <w:rPr>
          <w:rFonts w:ascii="Arabic Typesetting" w:hAnsi="Arabic Typesetting" w:cs="Arabic Typesetting"/>
          <w:sz w:val="34"/>
          <w:szCs w:val="34"/>
          <w:rtl/>
          <w:lang w:val="fr-CH"/>
        </w:rPr>
        <w:t>تكنولوجيا المعلومات والاتصالات</w:t>
      </w:r>
      <w:r w:rsidRPr="007A4D9E">
        <w:rPr>
          <w:rFonts w:ascii="Arabic Typesetting" w:hAnsi="Arabic Typesetting" w:cs="Arabic Typesetting" w:hint="cs"/>
          <w:sz w:val="34"/>
          <w:szCs w:val="34"/>
          <w:rtl/>
          <w:lang w:val="fr-CH"/>
        </w:rPr>
        <w:t xml:space="preserve"> التي ت</w:t>
      </w:r>
      <w:r w:rsidRPr="007A4D9E">
        <w:rPr>
          <w:rFonts w:ascii="Arabic Typesetting" w:hAnsi="Arabic Typesetting" w:cs="Arabic Typesetting"/>
          <w:sz w:val="34"/>
          <w:szCs w:val="34"/>
          <w:rtl/>
          <w:lang w:val="fr-CH"/>
        </w:rPr>
        <w:t>دعم سجل مدريد</w:t>
      </w:r>
      <w:r w:rsidRPr="007A4D9E">
        <w:rPr>
          <w:rFonts w:ascii="Arabic Typesetting" w:hAnsi="Arabic Typesetting" w:cs="Arabic Typesetting" w:hint="cs"/>
          <w:sz w:val="34"/>
          <w:szCs w:val="34"/>
          <w:rtl/>
          <w:lang w:val="fr-CH"/>
        </w:rPr>
        <w:t>، ولا</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 xml:space="preserve">سيما استهلال البرامج المناسبة لتعديل الأعمال وتكنولوجيا المعلومات والاتصالات، بُرمجت الأنظمة الخلفية المُطورة لاختبارها الشامل من حيث درجة قبولها لدى المستخدمين، ومن المتوقّع </w:t>
      </w:r>
      <w:r w:rsidR="00E62C61">
        <w:rPr>
          <w:rFonts w:ascii="Arabic Typesetting" w:hAnsi="Arabic Typesetting" w:cs="Arabic Typesetting" w:hint="cs"/>
          <w:sz w:val="34"/>
          <w:szCs w:val="34"/>
          <w:rtl/>
          <w:lang w:val="fr-CH"/>
        </w:rPr>
        <w:t>إطلاقها</w:t>
      </w:r>
      <w:r w:rsidR="00E62C61"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hint="cs"/>
          <w:sz w:val="34"/>
          <w:szCs w:val="34"/>
          <w:rtl/>
          <w:lang w:val="fr-CH"/>
        </w:rPr>
        <w:t>في مارس</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2016 رهن الاستكمال الناجح للاختبار النهائي للنظام وإمكانية استخدامه</w:t>
      </w:r>
      <w:r w:rsidRPr="007A4D9E">
        <w:rPr>
          <w:rFonts w:ascii="Arabic Typesetting" w:hAnsi="Arabic Typesetting" w:cs="Arabic Typesetting"/>
          <w:sz w:val="34"/>
          <w:szCs w:val="34"/>
          <w:rtl/>
          <w:lang w:val="fr-CH"/>
        </w:rPr>
        <w:t xml:space="preserve">. وفيما يتعلق </w:t>
      </w:r>
      <w:r w:rsidRPr="007A4D9E">
        <w:rPr>
          <w:rFonts w:ascii="Arabic Typesetting" w:hAnsi="Arabic Typesetting" w:cs="Arabic Typesetting" w:hint="cs"/>
          <w:sz w:val="34"/>
          <w:szCs w:val="34"/>
          <w:rtl/>
          <w:lang w:val="fr-CH"/>
        </w:rPr>
        <w:t>بال</w:t>
      </w:r>
      <w:r w:rsidRPr="007A4D9E">
        <w:rPr>
          <w:rFonts w:ascii="Arabic Typesetting" w:hAnsi="Arabic Typesetting" w:cs="Arabic Typesetting"/>
          <w:sz w:val="34"/>
          <w:szCs w:val="34"/>
          <w:rtl/>
          <w:lang w:val="fr-CH"/>
        </w:rPr>
        <w:t>أنظمة</w:t>
      </w:r>
      <w:r w:rsidRPr="007A4D9E">
        <w:rPr>
          <w:rFonts w:ascii="Arabic Typesetting" w:hAnsi="Arabic Typesetting" w:cs="Arabic Typesetting" w:hint="cs"/>
          <w:sz w:val="34"/>
          <w:szCs w:val="34"/>
          <w:rtl/>
          <w:lang w:val="fr-CH"/>
        </w:rPr>
        <w:t xml:space="preserve"> الأمامية</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ل</w:t>
      </w:r>
      <w:r w:rsidRPr="007A4D9E">
        <w:rPr>
          <w:rFonts w:ascii="Arabic Typesetting" w:hAnsi="Arabic Typesetting" w:cs="Arabic Typesetting"/>
          <w:sz w:val="34"/>
          <w:szCs w:val="34"/>
          <w:rtl/>
          <w:lang w:val="fr-CH"/>
        </w:rPr>
        <w:t>تكنولوجيا المعلومات والاتصالات، استمر العمل كما هو مخطط له</w:t>
      </w:r>
      <w:r w:rsidRPr="007A4D9E">
        <w:rPr>
          <w:rFonts w:ascii="Arabic Typesetting" w:hAnsi="Arabic Typesetting" w:cs="Arabic Typesetting" w:hint="cs"/>
          <w:sz w:val="34"/>
          <w:szCs w:val="34"/>
          <w:rtl/>
          <w:lang w:val="fr-CH"/>
        </w:rPr>
        <w:t xml:space="preserve">. </w:t>
      </w:r>
      <w:r w:rsidR="00E62C61" w:rsidRPr="007A4D9E">
        <w:rPr>
          <w:rFonts w:ascii="Arabic Typesetting" w:hAnsi="Arabic Typesetting" w:cs="Arabic Typesetting" w:hint="cs"/>
          <w:sz w:val="34"/>
          <w:szCs w:val="34"/>
          <w:rtl/>
          <w:lang w:val="fr-CH"/>
        </w:rPr>
        <w:t>و</w:t>
      </w:r>
      <w:r w:rsidR="00E62C61">
        <w:rPr>
          <w:rFonts w:ascii="Arabic Typesetting" w:hAnsi="Arabic Typesetting" w:cs="Arabic Typesetting" w:hint="cs"/>
          <w:sz w:val="34"/>
          <w:szCs w:val="34"/>
          <w:rtl/>
          <w:lang w:val="fr-CH"/>
        </w:rPr>
        <w:t>حقق</w:t>
      </w:r>
      <w:r w:rsidR="00E62C61"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hint="cs"/>
          <w:sz w:val="34"/>
          <w:szCs w:val="34"/>
          <w:rtl/>
          <w:lang w:val="fr-CH"/>
        </w:rPr>
        <w:t xml:space="preserve">تقدم في </w:t>
      </w:r>
      <w:r w:rsidR="00E62C61">
        <w:rPr>
          <w:rFonts w:ascii="Arabic Typesetting" w:hAnsi="Arabic Typesetting" w:cs="Arabic Typesetting" w:hint="cs"/>
          <w:sz w:val="34"/>
          <w:szCs w:val="34"/>
          <w:rtl/>
          <w:lang w:val="fr-CH"/>
        </w:rPr>
        <w:t>تطوير</w:t>
      </w:r>
      <w:r w:rsidRPr="007A4D9E">
        <w:rPr>
          <w:rFonts w:ascii="Arabic Typesetting" w:hAnsi="Arabic Typesetting" w:cs="Arabic Typesetting" w:hint="cs"/>
          <w:sz w:val="34"/>
          <w:szCs w:val="34"/>
          <w:rtl/>
          <w:lang w:val="fr-CH"/>
        </w:rPr>
        <w:t xml:space="preserve"> نظام محسّن للبحث، وهو نظام مدريد للرصد</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 xml:space="preserve">الذي يُزمع </w:t>
      </w:r>
      <w:r w:rsidR="00E62C61">
        <w:rPr>
          <w:rFonts w:ascii="Arabic Typesetting" w:hAnsi="Arabic Typesetting" w:cs="Arabic Typesetting" w:hint="cs"/>
          <w:sz w:val="34"/>
          <w:szCs w:val="34"/>
          <w:rtl/>
          <w:lang w:val="fr-CH"/>
        </w:rPr>
        <w:t>إطلاق</w:t>
      </w:r>
      <w:r w:rsidRPr="007A4D9E">
        <w:rPr>
          <w:rFonts w:ascii="Arabic Typesetting" w:hAnsi="Arabic Typesetting" w:cs="Arabic Typesetting" w:hint="cs"/>
          <w:sz w:val="34"/>
          <w:szCs w:val="34"/>
          <w:rtl/>
          <w:lang w:val="fr-CH"/>
        </w:rPr>
        <w:t xml:space="preserve"> </w:t>
      </w:r>
      <w:r w:rsidR="00E62C61">
        <w:rPr>
          <w:rFonts w:ascii="Arabic Typesetting" w:hAnsi="Arabic Typesetting" w:cs="Arabic Typesetting" w:hint="cs"/>
          <w:sz w:val="34"/>
          <w:szCs w:val="34"/>
          <w:rtl/>
          <w:lang w:val="fr-CH"/>
        </w:rPr>
        <w:t>نسخته التجريبية</w:t>
      </w:r>
      <w:r w:rsidRPr="007A4D9E">
        <w:rPr>
          <w:rFonts w:ascii="Arabic Typesetting" w:hAnsi="Arabic Typesetting" w:cs="Arabic Typesetting" w:hint="cs"/>
          <w:sz w:val="34"/>
          <w:szCs w:val="34"/>
          <w:rtl/>
          <w:lang w:val="fr-CH"/>
        </w:rPr>
        <w:t xml:space="preserve"> بيتا</w:t>
      </w:r>
      <w:r w:rsidR="00E62C61">
        <w:rPr>
          <w:rFonts w:ascii="Arabic Typesetting" w:hAnsi="Arabic Typesetting" w:cs="Arabic Typesetting" w:hint="cs"/>
          <w:sz w:val="34"/>
          <w:szCs w:val="34"/>
          <w:rtl/>
          <w:lang w:val="fr-CH"/>
        </w:rPr>
        <w:t xml:space="preserve"> </w:t>
      </w:r>
      <w:r w:rsidRPr="007A4D9E">
        <w:rPr>
          <w:rFonts w:ascii="Arabic Typesetting" w:hAnsi="Arabic Typesetting" w:cs="Arabic Typesetting" w:hint="cs"/>
          <w:sz w:val="34"/>
          <w:szCs w:val="34"/>
          <w:rtl/>
          <w:lang w:val="fr-CH"/>
        </w:rPr>
        <w:t>في الربع الثاني من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 xml:space="preserve">2016. </w:t>
      </w:r>
      <w:r w:rsidR="00E62C61">
        <w:rPr>
          <w:rFonts w:ascii="Arabic Typesetting" w:hAnsi="Arabic Typesetting" w:cs="Arabic Typesetting" w:hint="cs"/>
          <w:sz w:val="34"/>
          <w:szCs w:val="34"/>
          <w:rtl/>
          <w:lang w:val="fr-CH"/>
        </w:rPr>
        <w:t>وحقق</w:t>
      </w:r>
      <w:r w:rsidRPr="007A4D9E">
        <w:rPr>
          <w:rFonts w:ascii="Arabic Typesetting" w:hAnsi="Arabic Typesetting" w:cs="Arabic Typesetting" w:hint="cs"/>
          <w:sz w:val="34"/>
          <w:szCs w:val="34"/>
          <w:rtl/>
          <w:lang w:val="fr-CH"/>
        </w:rPr>
        <w:t xml:space="preserve"> تقدم </w:t>
      </w:r>
      <w:r w:rsidR="00E62C61">
        <w:rPr>
          <w:rFonts w:ascii="Arabic Typesetting" w:hAnsi="Arabic Typesetting" w:cs="Arabic Typesetting" w:hint="cs"/>
          <w:sz w:val="34"/>
          <w:szCs w:val="34"/>
          <w:rtl/>
          <w:lang w:val="fr-CH"/>
        </w:rPr>
        <w:t xml:space="preserve">أيضاً </w:t>
      </w:r>
      <w:r w:rsidRPr="007A4D9E">
        <w:rPr>
          <w:rFonts w:ascii="Arabic Typesetting" w:hAnsi="Arabic Typesetting" w:cs="Arabic Typesetting" w:hint="cs"/>
          <w:sz w:val="34"/>
          <w:szCs w:val="34"/>
          <w:rtl/>
          <w:lang w:val="fr-CH"/>
        </w:rPr>
        <w:t xml:space="preserve">في حضور نظام مدريد على الإنترنت، وبخاصة </w:t>
      </w:r>
      <w:proofErr w:type="spellStart"/>
      <w:r w:rsidRPr="007A4D9E">
        <w:rPr>
          <w:rFonts w:ascii="Arabic Typesetting" w:hAnsi="Arabic Typesetting" w:cs="Arabic Typesetting" w:hint="cs"/>
          <w:sz w:val="34"/>
          <w:szCs w:val="34"/>
          <w:rtl/>
          <w:lang w:val="fr-CH"/>
        </w:rPr>
        <w:t>التنقيحات</w:t>
      </w:r>
      <w:proofErr w:type="spellEnd"/>
      <w:r w:rsidRPr="007A4D9E">
        <w:rPr>
          <w:rFonts w:ascii="Arabic Typesetting" w:hAnsi="Arabic Typesetting" w:cs="Arabic Typesetting" w:hint="cs"/>
          <w:sz w:val="34"/>
          <w:szCs w:val="34"/>
          <w:rtl/>
          <w:lang w:val="fr-CH"/>
        </w:rPr>
        <w:t xml:space="preserve"> المُدخلة على وظائف استمارة التجديد الإلكتروني نتيجة أحكام الإطار القانوني الجديدة.</w:t>
      </w:r>
    </w:p>
    <w:p w:rsidR="007A4D9E" w:rsidRPr="007A4D9E" w:rsidRDefault="007A4D9E" w:rsidP="007A4D9E">
      <w:pPr>
        <w:keepNext/>
        <w:bidi/>
        <w:spacing w:after="120" w:line="340" w:lineRule="exact"/>
        <w:ind w:left="-1"/>
        <w:rPr>
          <w:rFonts w:ascii="Arabic Typesetting" w:hAnsi="Arabic Typesetting" w:cs="Arabic Typesetting"/>
          <w:sz w:val="34"/>
          <w:szCs w:val="34"/>
          <w:lang w:val="fr-CH"/>
        </w:rPr>
      </w:pPr>
      <w:r w:rsidRPr="007A4D9E">
        <w:rPr>
          <w:rFonts w:ascii="Arabic Typesetting" w:hAnsi="Arabic Typesetting" w:cs="Arabic Typesetting" w:hint="cs"/>
          <w:sz w:val="34"/>
          <w:szCs w:val="34"/>
          <w:rtl/>
          <w:lang w:val="fr-CH"/>
        </w:rPr>
        <w:t>باء.</w:t>
      </w:r>
      <w:r w:rsidRPr="007A4D9E">
        <w:rPr>
          <w:rFonts w:ascii="Arabic Typesetting" w:hAnsi="Arabic Typesetting" w:cs="Arabic Typesetting" w:hint="cs"/>
          <w:sz w:val="34"/>
          <w:szCs w:val="34"/>
          <w:rtl/>
          <w:lang w:val="fr-CH"/>
        </w:rPr>
        <w:tab/>
        <w:t>نظام لشبونة</w:t>
      </w:r>
    </w:p>
    <w:p w:rsidR="007A4D9E" w:rsidRPr="007A4D9E" w:rsidRDefault="007A0848" w:rsidP="009A3712">
      <w:pPr>
        <w:numPr>
          <w:ilvl w:val="0"/>
          <w:numId w:val="7"/>
        </w:numPr>
        <w:bidi/>
        <w:spacing w:after="120" w:line="340" w:lineRule="exact"/>
        <w:ind w:left="-1"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كلفت</w:t>
      </w:r>
      <w:r w:rsidRPr="007A4D9E">
        <w:rPr>
          <w:rFonts w:ascii="Arabic Typesetting" w:hAnsi="Arabic Typesetting" w:cs="Arabic Typesetting"/>
          <w:sz w:val="34"/>
          <w:szCs w:val="34"/>
          <w:rtl/>
          <w:lang w:val="fr-CH"/>
        </w:rPr>
        <w:t xml:space="preserve"> </w:t>
      </w:r>
      <w:r w:rsidR="007A4D9E" w:rsidRPr="007A4D9E">
        <w:rPr>
          <w:rFonts w:ascii="Arabic Typesetting" w:hAnsi="Arabic Typesetting" w:cs="Arabic Typesetting"/>
          <w:sz w:val="34"/>
          <w:szCs w:val="34"/>
          <w:rtl/>
          <w:lang w:val="fr-CH"/>
        </w:rPr>
        <w:t>جمعية اتحاد لشبونة في</w:t>
      </w:r>
      <w:r w:rsidR="007A4D9E" w:rsidRPr="007A4D9E">
        <w:rPr>
          <w:rFonts w:ascii="Arabic Typesetting" w:hAnsi="Arabic Typesetting" w:cs="Arabic Typesetting" w:hint="cs"/>
          <w:sz w:val="34"/>
          <w:szCs w:val="34"/>
          <w:rtl/>
          <w:lang w:val="fr-CH"/>
        </w:rPr>
        <w:t xml:space="preserve"> عام </w:t>
      </w:r>
      <w:r w:rsidR="007A4D9E" w:rsidRPr="007A4D9E">
        <w:rPr>
          <w:rFonts w:ascii="Arabic Typesetting" w:hAnsi="Arabic Typesetting" w:cs="Arabic Typesetting"/>
          <w:sz w:val="34"/>
          <w:szCs w:val="34"/>
          <w:rtl/>
          <w:lang w:val="fr-CH"/>
        </w:rPr>
        <w:t xml:space="preserve">2009 </w:t>
      </w:r>
      <w:r>
        <w:rPr>
          <w:rFonts w:ascii="Arabic Typesetting" w:hAnsi="Arabic Typesetting" w:cs="Arabic Typesetting" w:hint="cs"/>
          <w:sz w:val="34"/>
          <w:szCs w:val="34"/>
          <w:rtl/>
          <w:lang w:val="fr-CH"/>
        </w:rPr>
        <w:t>ا</w:t>
      </w:r>
      <w:r w:rsidR="007A4D9E" w:rsidRPr="007A4D9E">
        <w:rPr>
          <w:rFonts w:ascii="Arabic Typesetting" w:hAnsi="Arabic Typesetting" w:cs="Arabic Typesetting"/>
          <w:sz w:val="34"/>
          <w:szCs w:val="34"/>
          <w:rtl/>
          <w:lang w:val="fr-CH"/>
        </w:rPr>
        <w:t xml:space="preserve">لفريق العامل المعني بتطوير نظام لشبونة بإجراء استعراض شامل لنظام لشبونة بهدف جعل النظام أكثر جاذبية للمستخدمين والأعضاء الجدد المحتملين مع الحفاظ على مبادئه وأهدافه. </w:t>
      </w:r>
      <w:r w:rsidR="007A4D9E" w:rsidRPr="007A4D9E">
        <w:rPr>
          <w:rFonts w:ascii="Arabic Typesetting" w:hAnsi="Arabic Typesetting" w:cs="Arabic Typesetting" w:hint="cs"/>
          <w:sz w:val="34"/>
          <w:szCs w:val="34"/>
          <w:rtl/>
          <w:lang w:val="fr-CH"/>
        </w:rPr>
        <w:t>ونظرا إلى ما أحرزه</w:t>
      </w:r>
      <w:r w:rsidR="007A4D9E" w:rsidRPr="007A4D9E">
        <w:rPr>
          <w:rFonts w:ascii="Arabic Typesetting" w:hAnsi="Arabic Typesetting" w:cs="Arabic Typesetting"/>
          <w:sz w:val="34"/>
          <w:szCs w:val="34"/>
          <w:rtl/>
          <w:lang w:val="fr-CH"/>
        </w:rPr>
        <w:t xml:space="preserve"> الفريق العامل </w:t>
      </w:r>
      <w:r w:rsidR="007A4D9E" w:rsidRPr="007A4D9E">
        <w:rPr>
          <w:rFonts w:ascii="Arabic Typesetting" w:hAnsi="Arabic Typesetting" w:cs="Arabic Typesetting" w:hint="cs"/>
          <w:sz w:val="34"/>
          <w:szCs w:val="34"/>
          <w:rtl/>
          <w:lang w:val="fr-CH"/>
        </w:rPr>
        <w:t>من تقدم، وافقت جمعية اتحاد لشبونة في عام</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2013 على عقد مؤتمر دبلوماسي لاعتماد اتفاق لشبونة المراجع بشأن تسميات المنشأ والمؤشرات الجغرافية في عام</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2015</w:t>
      </w:r>
      <w:r w:rsidR="007A4D9E" w:rsidRPr="007A4D9E">
        <w:rPr>
          <w:rFonts w:ascii="Arabic Typesetting" w:hAnsi="Arabic Typesetting" w:cs="Arabic Typesetting"/>
          <w:sz w:val="34"/>
          <w:szCs w:val="34"/>
          <w:rtl/>
          <w:lang w:val="fr-CH"/>
        </w:rPr>
        <w:t xml:space="preserve">. </w:t>
      </w:r>
      <w:r w:rsidR="007A4D9E" w:rsidRPr="007A4D9E">
        <w:rPr>
          <w:rFonts w:ascii="Arabic Typesetting" w:hAnsi="Arabic Typesetting" w:cs="Arabic Typesetting" w:hint="cs"/>
          <w:sz w:val="34"/>
          <w:szCs w:val="34"/>
          <w:rtl/>
          <w:lang w:val="fr-CH"/>
        </w:rPr>
        <w:t>وفي أكتوبر</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2014 ، أنهى الفريق العامل عمله التحضيري. وفي الفترة من</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11</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إلى 21</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مايو</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 xml:space="preserve">2015، </w:t>
      </w:r>
      <w:r>
        <w:rPr>
          <w:rFonts w:ascii="Arabic Typesetting" w:hAnsi="Arabic Typesetting" w:cs="Arabic Typesetting" w:hint="cs"/>
          <w:sz w:val="34"/>
          <w:szCs w:val="34"/>
          <w:rtl/>
          <w:lang w:val="fr-CH"/>
        </w:rPr>
        <w:t>عُقد</w:t>
      </w:r>
      <w:r w:rsidRPr="007A4D9E">
        <w:rPr>
          <w:rFonts w:ascii="Arabic Typesetting" w:hAnsi="Arabic Typesetting" w:cs="Arabic Typesetting" w:hint="cs"/>
          <w:sz w:val="34"/>
          <w:szCs w:val="34"/>
          <w:rtl/>
          <w:lang w:val="fr-CH"/>
        </w:rPr>
        <w:t xml:space="preserve"> </w:t>
      </w:r>
      <w:r w:rsidR="007A4D9E" w:rsidRPr="007A4D9E">
        <w:rPr>
          <w:rFonts w:ascii="Arabic Typesetting" w:hAnsi="Arabic Typesetting" w:cs="Arabic Typesetting" w:hint="cs"/>
          <w:sz w:val="34"/>
          <w:szCs w:val="34"/>
          <w:rtl/>
          <w:lang w:val="fr-CH"/>
        </w:rPr>
        <w:t>المؤتمر الدبلوماسي المعني باعتماد وثيقة جديدة لاتفاق لشبونة في جنيف واعت</w:t>
      </w:r>
      <w:r w:rsidR="00224009">
        <w:rPr>
          <w:rFonts w:ascii="Arabic Typesetting" w:hAnsi="Arabic Typesetting" w:cs="Arabic Typesetting" w:hint="cs"/>
          <w:sz w:val="34"/>
          <w:szCs w:val="34"/>
          <w:rtl/>
          <w:lang w:val="fr-CH"/>
        </w:rPr>
        <w:t>ُ</w:t>
      </w:r>
      <w:r w:rsidR="007A4D9E" w:rsidRPr="007A4D9E">
        <w:rPr>
          <w:rFonts w:ascii="Arabic Typesetting" w:hAnsi="Arabic Typesetting" w:cs="Arabic Typesetting" w:hint="cs"/>
          <w:sz w:val="34"/>
          <w:szCs w:val="34"/>
          <w:rtl/>
          <w:lang w:val="fr-CH"/>
        </w:rPr>
        <w:t>مد</w:t>
      </w:r>
      <w:r>
        <w:rPr>
          <w:rFonts w:ascii="Arabic Typesetting" w:hAnsi="Arabic Typesetting" w:cs="Arabic Typesetting" w:hint="cs"/>
          <w:sz w:val="34"/>
          <w:szCs w:val="34"/>
          <w:rtl/>
          <w:lang w:val="fr-CH"/>
        </w:rPr>
        <w:t>ت</w:t>
      </w:r>
      <w:r w:rsidR="007A4D9E" w:rsidRPr="007A4D9E">
        <w:rPr>
          <w:rFonts w:ascii="Arabic Typesetting" w:hAnsi="Arabic Typesetting" w:cs="Arabic Typesetting" w:hint="cs"/>
          <w:sz w:val="34"/>
          <w:szCs w:val="34"/>
          <w:rtl/>
          <w:lang w:val="fr-CH"/>
        </w:rPr>
        <w:t>، في 20</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مايو</w:t>
      </w:r>
      <w:r w:rsidR="007A4D9E" w:rsidRPr="007A4D9E">
        <w:rPr>
          <w:rFonts w:ascii="Arabic Typesetting" w:hAnsi="Arabic Typesetting" w:cs="Arabic Typesetting" w:hint="eastAsia"/>
          <w:sz w:val="34"/>
          <w:szCs w:val="34"/>
          <w:rtl/>
          <w:lang w:val="fr-CH"/>
        </w:rPr>
        <w:t> </w:t>
      </w:r>
      <w:r w:rsidR="007A4D9E" w:rsidRPr="007A4D9E">
        <w:rPr>
          <w:rFonts w:ascii="Arabic Typesetting" w:hAnsi="Arabic Typesetting" w:cs="Arabic Typesetting" w:hint="cs"/>
          <w:sz w:val="34"/>
          <w:szCs w:val="34"/>
          <w:rtl/>
          <w:lang w:val="fr-CH"/>
        </w:rPr>
        <w:t xml:space="preserve">2015، </w:t>
      </w:r>
      <w:r w:rsidR="007A4D9E" w:rsidRPr="007A4D9E">
        <w:rPr>
          <w:rFonts w:ascii="Arabic Typesetting" w:hAnsi="Arabic Typesetting" w:cs="Arabic Typesetting"/>
          <w:sz w:val="34"/>
          <w:szCs w:val="34"/>
          <w:rtl/>
          <w:lang w:val="fr-CH"/>
        </w:rPr>
        <w:t xml:space="preserve">وثيقة </w:t>
      </w:r>
      <w:r w:rsidR="007A4D9E" w:rsidRPr="007A4D9E">
        <w:rPr>
          <w:rFonts w:ascii="Arabic Typesetting" w:hAnsi="Arabic Typesetting" w:cs="Arabic Typesetting" w:hint="cs"/>
          <w:sz w:val="34"/>
          <w:szCs w:val="34"/>
          <w:rtl/>
          <w:lang w:val="fr-CH"/>
        </w:rPr>
        <w:t>جنيف</w:t>
      </w:r>
      <w:r w:rsidR="007A4D9E" w:rsidRPr="007A4D9E">
        <w:rPr>
          <w:rFonts w:ascii="Arabic Typesetting" w:hAnsi="Arabic Typesetting" w:cs="Arabic Typesetting"/>
          <w:sz w:val="34"/>
          <w:szCs w:val="34"/>
          <w:rtl/>
          <w:lang w:val="fr-CH"/>
        </w:rPr>
        <w:t xml:space="preserve"> لاتفاق لشبونة </w:t>
      </w:r>
      <w:r w:rsidR="007A4D9E" w:rsidRPr="007A4D9E">
        <w:rPr>
          <w:rFonts w:ascii="Arabic Typesetting" w:hAnsi="Arabic Typesetting" w:cs="Arabic Typesetting" w:hint="cs"/>
          <w:sz w:val="34"/>
          <w:szCs w:val="34"/>
          <w:rtl/>
          <w:lang w:val="fr-CH"/>
        </w:rPr>
        <w:t>بشأن تسميات المنشأ والمؤشرات الجغرافية.</w:t>
      </w:r>
    </w:p>
    <w:p w:rsidR="007A4D9E" w:rsidRPr="007A4D9E" w:rsidRDefault="007A4D9E" w:rsidP="00161D28">
      <w:pPr>
        <w:numPr>
          <w:ilvl w:val="0"/>
          <w:numId w:val="7"/>
        </w:numPr>
        <w:bidi/>
        <w:spacing w:after="120" w:line="340" w:lineRule="exact"/>
        <w:ind w:left="-1" w:firstLine="0"/>
        <w:rPr>
          <w:rFonts w:ascii="Arabic Typesetting" w:hAnsi="Arabic Typesetting" w:cs="Arabic Typesetting"/>
          <w:sz w:val="34"/>
          <w:szCs w:val="34"/>
          <w:rtl/>
          <w:lang w:val="fr-CH"/>
        </w:rPr>
      </w:pPr>
      <w:r w:rsidRPr="007A4D9E">
        <w:rPr>
          <w:rFonts w:ascii="Arabic Typesetting" w:hAnsi="Arabic Typesetting" w:cs="Arabic Typesetting" w:hint="cs"/>
          <w:sz w:val="34"/>
          <w:szCs w:val="34"/>
          <w:rtl/>
          <w:lang w:val="fr-CH"/>
        </w:rPr>
        <w:t>و</w:t>
      </w:r>
      <w:r w:rsidRPr="007A4D9E">
        <w:rPr>
          <w:rFonts w:ascii="Arabic Typesetting" w:hAnsi="Arabic Typesetting" w:cs="Arabic Typesetting"/>
          <w:sz w:val="34"/>
          <w:szCs w:val="34"/>
          <w:rtl/>
          <w:lang w:val="fr-CH"/>
        </w:rPr>
        <w:t>تلق</w:t>
      </w:r>
      <w:r w:rsidRPr="007A4D9E">
        <w:rPr>
          <w:rFonts w:ascii="Arabic Typesetting" w:hAnsi="Arabic Typesetting" w:cs="Arabic Typesetting" w:hint="cs"/>
          <w:sz w:val="34"/>
          <w:szCs w:val="34"/>
          <w:rtl/>
          <w:lang w:val="fr-CH"/>
        </w:rPr>
        <w:t>ى</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 xml:space="preserve">سجل </w:t>
      </w:r>
      <w:r w:rsidRPr="007A4D9E">
        <w:rPr>
          <w:rFonts w:ascii="Arabic Typesetting" w:hAnsi="Arabic Typesetting" w:cs="Arabic Typesetting"/>
          <w:sz w:val="34"/>
          <w:szCs w:val="34"/>
          <w:rtl/>
          <w:lang w:val="fr-CH"/>
        </w:rPr>
        <w:t xml:space="preserve">لشبونة </w:t>
      </w:r>
      <w:r w:rsidRPr="007A4D9E">
        <w:rPr>
          <w:rFonts w:ascii="Arabic Typesetting" w:hAnsi="Arabic Typesetting" w:cs="Arabic Typesetting" w:hint="cs"/>
          <w:sz w:val="34"/>
          <w:szCs w:val="34"/>
          <w:rtl/>
          <w:lang w:val="fr-CH"/>
        </w:rPr>
        <w:t>115 طلبا</w:t>
      </w:r>
      <w:r w:rsidRPr="007A4D9E">
        <w:rPr>
          <w:rFonts w:ascii="Arabic Typesetting" w:hAnsi="Arabic Typesetting" w:cs="Arabic Typesetting"/>
          <w:sz w:val="34"/>
          <w:szCs w:val="34"/>
          <w:rtl/>
          <w:lang w:val="fr-CH"/>
        </w:rPr>
        <w:t xml:space="preserve"> جديد</w:t>
      </w:r>
      <w:r w:rsidRPr="007A4D9E">
        <w:rPr>
          <w:rFonts w:ascii="Arabic Typesetting" w:hAnsi="Arabic Typesetting" w:cs="Arabic Typesetting" w:hint="cs"/>
          <w:sz w:val="34"/>
          <w:szCs w:val="34"/>
          <w:rtl/>
          <w:lang w:val="fr-CH"/>
        </w:rPr>
        <w:t>ا</w:t>
      </w:r>
      <w:r w:rsidRPr="007A4D9E">
        <w:rPr>
          <w:rFonts w:ascii="Arabic Typesetting" w:hAnsi="Arabic Typesetting" w:cs="Arabic Typesetting"/>
          <w:sz w:val="34"/>
          <w:szCs w:val="34"/>
          <w:rtl/>
          <w:lang w:val="fr-CH"/>
        </w:rPr>
        <w:t xml:space="preserve"> لتسجيل تسميات المنشأ، </w:t>
      </w:r>
      <w:r w:rsidRPr="007A4D9E">
        <w:rPr>
          <w:rFonts w:ascii="Arabic Typesetting" w:hAnsi="Arabic Typesetting" w:cs="Arabic Typesetting" w:hint="cs"/>
          <w:sz w:val="34"/>
          <w:szCs w:val="34"/>
          <w:rtl/>
          <w:lang w:val="fr-CH"/>
        </w:rPr>
        <w:t>و105</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بيانات ل</w:t>
      </w:r>
      <w:r w:rsidRPr="007A4D9E">
        <w:rPr>
          <w:rFonts w:ascii="Arabic Typesetting" w:hAnsi="Arabic Typesetting" w:cs="Arabic Typesetting"/>
          <w:sz w:val="34"/>
          <w:szCs w:val="34"/>
          <w:rtl/>
          <w:lang w:val="fr-CH"/>
        </w:rPr>
        <w:t>منح الحماية و</w:t>
      </w:r>
      <w:r w:rsidR="00161D28">
        <w:rPr>
          <w:rFonts w:ascii="Arabic Typesetting" w:hAnsi="Arabic Typesetting" w:cs="Arabic Typesetting" w:hint="cs"/>
          <w:sz w:val="34"/>
          <w:szCs w:val="34"/>
          <w:rtl/>
          <w:lang w:val="fr-CH"/>
        </w:rPr>
        <w:t>39</w:t>
      </w:r>
      <w:r w:rsidRPr="007A4D9E">
        <w:rPr>
          <w:rFonts w:ascii="Arabic Typesetting" w:hAnsi="Arabic Typesetting" w:cs="Arabic Typesetting"/>
          <w:sz w:val="34"/>
          <w:szCs w:val="34"/>
          <w:rtl/>
          <w:lang w:val="fr-CH"/>
        </w:rPr>
        <w:t xml:space="preserve"> إعلان</w:t>
      </w:r>
      <w:r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sz w:val="34"/>
          <w:szCs w:val="34"/>
          <w:rtl/>
          <w:lang w:val="fr-CH"/>
        </w:rPr>
        <w:t xml:space="preserve">رفض، </w:t>
      </w:r>
      <w:r w:rsidRPr="007A4D9E">
        <w:rPr>
          <w:rFonts w:ascii="Arabic Typesetting" w:hAnsi="Arabic Typesetting" w:cs="Arabic Typesetting" w:hint="cs"/>
          <w:sz w:val="34"/>
          <w:szCs w:val="34"/>
          <w:rtl/>
          <w:lang w:val="fr-CH"/>
        </w:rPr>
        <w:t xml:space="preserve">ليبلغ </w:t>
      </w:r>
      <w:r w:rsidRPr="007A4D9E">
        <w:rPr>
          <w:rFonts w:ascii="Arabic Typesetting" w:hAnsi="Arabic Typesetting" w:cs="Arabic Typesetting"/>
          <w:sz w:val="34"/>
          <w:szCs w:val="34"/>
          <w:rtl/>
          <w:lang w:val="fr-CH"/>
        </w:rPr>
        <w:t>المجموع الكلي</w:t>
      </w:r>
      <w:r w:rsidRPr="007A4D9E">
        <w:rPr>
          <w:rFonts w:ascii="Arabic Typesetting" w:hAnsi="Arabic Typesetting" w:cs="Arabic Typesetting" w:hint="cs"/>
          <w:sz w:val="34"/>
          <w:szCs w:val="34"/>
          <w:rtl/>
          <w:lang w:val="fr-CH"/>
        </w:rPr>
        <w:t xml:space="preserve"> للمعاملات</w:t>
      </w:r>
      <w:r w:rsidRPr="007A4D9E">
        <w:rPr>
          <w:rFonts w:ascii="Arabic Typesetting" w:hAnsi="Arabic Typesetting" w:cs="Arabic Typesetting"/>
          <w:sz w:val="34"/>
          <w:szCs w:val="34"/>
          <w:rtl/>
          <w:lang w:val="fr-CH"/>
        </w:rPr>
        <w:t xml:space="preserve"> </w:t>
      </w:r>
      <w:r w:rsidR="00161D28">
        <w:rPr>
          <w:rFonts w:ascii="Arabic Typesetting" w:hAnsi="Arabic Typesetting" w:cs="Arabic Typesetting" w:hint="cs"/>
          <w:sz w:val="34"/>
          <w:szCs w:val="34"/>
          <w:rtl/>
          <w:lang w:val="fr-CH"/>
        </w:rPr>
        <w:t>267</w:t>
      </w:r>
      <w:r w:rsidRPr="007A4D9E">
        <w:rPr>
          <w:rFonts w:ascii="Arabic Typesetting" w:hAnsi="Arabic Typesetting" w:cs="Arabic Typesetting" w:hint="cs"/>
          <w:sz w:val="34"/>
          <w:szCs w:val="34"/>
          <w:rtl/>
          <w:lang w:val="fr-CH"/>
        </w:rPr>
        <w:t> معاملة (</w:t>
      </w:r>
      <w:r w:rsidR="007A0848">
        <w:rPr>
          <w:rFonts w:ascii="Arabic Typesetting" w:hAnsi="Arabic Typesetting" w:cs="Arabic Typesetting" w:hint="cs"/>
          <w:sz w:val="34"/>
          <w:szCs w:val="34"/>
          <w:rtl/>
          <w:lang w:val="fr-CH"/>
        </w:rPr>
        <w:t>منها</w:t>
      </w:r>
      <w:r w:rsidRPr="007A4D9E">
        <w:rPr>
          <w:rFonts w:ascii="Arabic Typesetting" w:hAnsi="Arabic Typesetting" w:cs="Arabic Typesetting" w:hint="cs"/>
          <w:sz w:val="34"/>
          <w:szCs w:val="34"/>
          <w:rtl/>
          <w:lang w:val="fr-CH"/>
        </w:rPr>
        <w:t xml:space="preserve"> سحب</w:t>
      </w:r>
      <w:r w:rsidR="00161D28">
        <w:rPr>
          <w:rFonts w:ascii="Arabic Typesetting" w:hAnsi="Arabic Typesetting" w:cs="Arabic Typesetting" w:hint="cs"/>
          <w:sz w:val="34"/>
          <w:szCs w:val="34"/>
          <w:rtl/>
          <w:lang w:val="fr-CH"/>
        </w:rPr>
        <w:t>ان</w:t>
      </w:r>
      <w:r w:rsidRPr="007A4D9E">
        <w:rPr>
          <w:rFonts w:ascii="Arabic Typesetting" w:hAnsi="Arabic Typesetting" w:cs="Arabic Typesetting" w:hint="cs"/>
          <w:sz w:val="34"/>
          <w:szCs w:val="34"/>
          <w:rtl/>
          <w:lang w:val="fr-CH"/>
        </w:rPr>
        <w:t xml:space="preserve"> للرفض و</w:t>
      </w:r>
      <w:r w:rsidR="00161D28">
        <w:rPr>
          <w:rFonts w:ascii="Arabic Typesetting" w:hAnsi="Arabic Typesetting" w:cs="Arabic Typesetting" w:hint="cs"/>
          <w:sz w:val="34"/>
          <w:szCs w:val="34"/>
          <w:rtl/>
          <w:lang w:val="fr-CH"/>
        </w:rPr>
        <w:t>ستة</w:t>
      </w:r>
      <w:r w:rsidRPr="007A4D9E">
        <w:rPr>
          <w:rFonts w:ascii="Arabic Typesetting" w:hAnsi="Arabic Typesetting" w:cs="Arabic Typesetting" w:hint="cs"/>
          <w:sz w:val="34"/>
          <w:szCs w:val="34"/>
          <w:rtl/>
          <w:lang w:val="fr-CH"/>
        </w:rPr>
        <w:t xml:space="preserve"> تصويبات)</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 xml:space="preserve">وزاد </w:t>
      </w:r>
      <w:r w:rsidRPr="007A4D9E">
        <w:rPr>
          <w:rFonts w:ascii="Arabic Typesetting" w:hAnsi="Arabic Typesetting" w:cs="Arabic Typesetting"/>
          <w:sz w:val="34"/>
          <w:szCs w:val="34"/>
          <w:rtl/>
          <w:lang w:val="fr-CH"/>
        </w:rPr>
        <w:t xml:space="preserve">العدد الإجمالي للتسجيلات </w:t>
      </w:r>
      <w:r w:rsidRPr="007A4D9E">
        <w:rPr>
          <w:rFonts w:ascii="Arabic Typesetting" w:hAnsi="Arabic Typesetting" w:cs="Arabic Typesetting" w:hint="cs"/>
          <w:sz w:val="34"/>
          <w:szCs w:val="34"/>
          <w:rtl/>
          <w:lang w:val="fr-CH"/>
        </w:rPr>
        <w:t>النافذة</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 xml:space="preserve">في الثنائية من 816 تسجيلا </w:t>
      </w:r>
      <w:r w:rsidRPr="007A4D9E">
        <w:rPr>
          <w:rFonts w:ascii="Arabic Typesetting" w:hAnsi="Arabic Typesetting" w:cs="Arabic Typesetting"/>
          <w:sz w:val="34"/>
          <w:szCs w:val="34"/>
          <w:rtl/>
          <w:lang w:val="fr-CH"/>
        </w:rPr>
        <w:t>في</w:t>
      </w:r>
      <w:r w:rsidRPr="007A4D9E">
        <w:rPr>
          <w:rFonts w:ascii="Arabic Typesetting" w:hAnsi="Arabic Typesetting" w:cs="Arabic Typesetting" w:hint="cs"/>
          <w:sz w:val="34"/>
          <w:szCs w:val="34"/>
          <w:rtl/>
          <w:lang w:val="fr-CH"/>
        </w:rPr>
        <w:t xml:space="preserve"> عام </w:t>
      </w:r>
      <w:r w:rsidRPr="007A4D9E">
        <w:rPr>
          <w:rFonts w:ascii="Arabic Typesetting" w:hAnsi="Arabic Typesetting" w:cs="Arabic Typesetting"/>
          <w:sz w:val="34"/>
          <w:szCs w:val="34"/>
          <w:rtl/>
          <w:lang w:val="fr-CH"/>
        </w:rPr>
        <w:t>2013</w:t>
      </w:r>
      <w:r w:rsidRPr="007A4D9E">
        <w:rPr>
          <w:rFonts w:ascii="Arabic Typesetting" w:hAnsi="Arabic Typesetting" w:cs="Arabic Typesetting" w:hint="cs"/>
          <w:sz w:val="34"/>
          <w:szCs w:val="34"/>
          <w:rtl/>
          <w:lang w:val="fr-CH"/>
        </w:rPr>
        <w:t xml:space="preserve"> إلى 931</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تسجيلا. وكان</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منشأ 95</w:t>
      </w:r>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من تلك التسجيلات في</w:t>
      </w:r>
      <w:r w:rsidRPr="007A4D9E">
        <w:rPr>
          <w:rFonts w:ascii="Arabic Typesetting" w:hAnsi="Arabic Typesetting" w:cs="Arabic Typesetting"/>
          <w:sz w:val="34"/>
          <w:szCs w:val="34"/>
          <w:rtl/>
          <w:lang w:val="fr-CH"/>
        </w:rPr>
        <w:t xml:space="preserve"> البلدان النامية أو البلدان الأقل نموا (14</w:t>
      </w:r>
      <w:r w:rsidRPr="007A4D9E">
        <w:rPr>
          <w:rFonts w:ascii="Arabic Typesetting" w:hAnsi="Arabic Typesetting" w:cs="Arabic Typesetting" w:hint="cs"/>
          <w:sz w:val="34"/>
          <w:szCs w:val="34"/>
          <w:rtl/>
          <w:lang w:val="fr-CH"/>
        </w:rPr>
        <w:t xml:space="preserve"> تسجيلا </w:t>
      </w:r>
      <w:r w:rsidRPr="007A4D9E">
        <w:rPr>
          <w:rFonts w:ascii="Arabic Typesetting" w:hAnsi="Arabic Typesetting" w:cs="Arabic Typesetting"/>
          <w:sz w:val="34"/>
          <w:szCs w:val="34"/>
          <w:rtl/>
          <w:lang w:val="fr-CH"/>
        </w:rPr>
        <w:t xml:space="preserve">في المنطقة العربية؛ </w:t>
      </w:r>
      <w:r w:rsidRPr="007A4D9E">
        <w:rPr>
          <w:rFonts w:ascii="Arabic Typesetting" w:hAnsi="Arabic Typesetting" w:cs="Arabic Typesetting" w:hint="cs"/>
          <w:sz w:val="34"/>
          <w:szCs w:val="34"/>
          <w:rtl/>
          <w:lang w:val="fr-CH"/>
        </w:rPr>
        <w:t xml:space="preserve">و38 تسجيلا </w:t>
      </w:r>
      <w:r w:rsidRPr="007A4D9E">
        <w:rPr>
          <w:rFonts w:ascii="Arabic Typesetting" w:hAnsi="Arabic Typesetting" w:cs="Arabic Typesetting"/>
          <w:sz w:val="34"/>
          <w:szCs w:val="34"/>
          <w:rtl/>
          <w:lang w:val="fr-CH"/>
        </w:rPr>
        <w:t>في آسيا والمحيط الهادئ؛ و</w:t>
      </w:r>
      <w:r w:rsidRPr="007A4D9E">
        <w:rPr>
          <w:rFonts w:ascii="Arabic Typesetting" w:hAnsi="Arabic Typesetting" w:cs="Arabic Typesetting" w:hint="cs"/>
          <w:sz w:val="34"/>
          <w:szCs w:val="34"/>
          <w:rtl/>
          <w:lang w:val="fr-CH"/>
        </w:rPr>
        <w:t>43 تسجيلا</w:t>
      </w:r>
      <w:r w:rsidRPr="007A4D9E">
        <w:rPr>
          <w:rFonts w:ascii="Arabic Typesetting" w:hAnsi="Arabic Typesetting" w:cs="Arabic Typesetting"/>
          <w:sz w:val="34"/>
          <w:szCs w:val="34"/>
          <w:rtl/>
          <w:lang w:val="fr-CH"/>
        </w:rPr>
        <w:t xml:space="preserve"> في أمريكا اللاتينية والكاريبي</w:t>
      </w:r>
      <w:r w:rsidRPr="007A4D9E">
        <w:rPr>
          <w:rFonts w:ascii="Arabic Typesetting" w:hAnsi="Arabic Typesetting" w:cs="Arabic Typesetting" w:hint="cs"/>
          <w:sz w:val="34"/>
          <w:szCs w:val="34"/>
          <w:rtl/>
          <w:lang w:val="fr-CH"/>
        </w:rPr>
        <w:t>).</w:t>
      </w:r>
    </w:p>
    <w:p w:rsidR="007A4D9E" w:rsidRPr="007A4D9E" w:rsidRDefault="007A4D9E" w:rsidP="009A3712">
      <w:pPr>
        <w:numPr>
          <w:ilvl w:val="0"/>
          <w:numId w:val="7"/>
        </w:numPr>
        <w:bidi/>
        <w:spacing w:after="120" w:line="340" w:lineRule="exact"/>
        <w:ind w:left="-1" w:firstLine="0"/>
        <w:rPr>
          <w:rFonts w:ascii="Arabic Typesetting" w:hAnsi="Arabic Typesetting" w:cs="Arabic Typesetting"/>
          <w:sz w:val="34"/>
          <w:szCs w:val="34"/>
          <w:rtl/>
          <w:lang w:val="fr-CH"/>
        </w:rPr>
      </w:pPr>
      <w:r w:rsidRPr="007A4D9E">
        <w:rPr>
          <w:rFonts w:ascii="Arabic Typesetting" w:hAnsi="Arabic Typesetting" w:cs="Arabic Typesetting" w:hint="cs"/>
          <w:sz w:val="34"/>
          <w:szCs w:val="34"/>
          <w:rtl/>
          <w:lang w:val="fr-CH"/>
        </w:rPr>
        <w:t>و</w:t>
      </w:r>
      <w:r w:rsidRPr="007A4D9E">
        <w:rPr>
          <w:rFonts w:ascii="Arabic Typesetting" w:hAnsi="Arabic Typesetting" w:cs="Arabic Typesetting"/>
          <w:sz w:val="34"/>
          <w:szCs w:val="34"/>
          <w:rtl/>
          <w:lang w:val="fr-CH"/>
        </w:rPr>
        <w:t xml:space="preserve">ارتفع عدد </w:t>
      </w:r>
      <w:r w:rsidRPr="007A4D9E">
        <w:rPr>
          <w:rFonts w:ascii="Arabic Typesetting" w:hAnsi="Arabic Typesetting" w:cs="Arabic Typesetting" w:hint="cs"/>
          <w:sz w:val="34"/>
          <w:szCs w:val="34"/>
          <w:rtl/>
          <w:lang w:val="fr-CH"/>
        </w:rPr>
        <w:t xml:space="preserve">الإدارات </w:t>
      </w:r>
      <w:r w:rsidRPr="007A4D9E">
        <w:rPr>
          <w:rFonts w:ascii="Arabic Typesetting" w:hAnsi="Arabic Typesetting" w:cs="Arabic Typesetting"/>
          <w:sz w:val="34"/>
          <w:szCs w:val="34"/>
          <w:rtl/>
          <w:lang w:val="fr-CH"/>
        </w:rPr>
        <w:t>المختصة التي وافق</w:t>
      </w:r>
      <w:r w:rsidRPr="007A4D9E">
        <w:rPr>
          <w:rFonts w:ascii="Arabic Typesetting" w:hAnsi="Arabic Typesetting" w:cs="Arabic Typesetting" w:hint="cs"/>
          <w:sz w:val="34"/>
          <w:szCs w:val="34"/>
          <w:rtl/>
          <w:lang w:val="fr-CH"/>
        </w:rPr>
        <w:t>ت</w:t>
      </w:r>
      <w:r w:rsidRPr="007A4D9E">
        <w:rPr>
          <w:rFonts w:ascii="Arabic Typesetting" w:hAnsi="Arabic Typesetting" w:cs="Arabic Typesetting"/>
          <w:sz w:val="34"/>
          <w:szCs w:val="34"/>
          <w:rtl/>
          <w:lang w:val="fr-CH"/>
        </w:rPr>
        <w:t xml:space="preserve"> على استخدام الوسائل</w:t>
      </w:r>
      <w:r w:rsidRPr="007A4D9E">
        <w:rPr>
          <w:rFonts w:ascii="Arabic Typesetting" w:hAnsi="Arabic Typesetting" w:cs="Arabic Typesetting" w:hint="cs"/>
          <w:sz w:val="34"/>
          <w:szCs w:val="34"/>
          <w:rtl/>
          <w:lang w:val="fr-CH"/>
        </w:rPr>
        <w:t xml:space="preserve"> </w:t>
      </w:r>
      <w:r w:rsidRPr="007A4D9E">
        <w:rPr>
          <w:rFonts w:ascii="Arabic Typesetting" w:hAnsi="Arabic Typesetting" w:cs="Arabic Typesetting"/>
          <w:sz w:val="34"/>
          <w:szCs w:val="34"/>
          <w:rtl/>
          <w:lang w:val="fr-CH"/>
        </w:rPr>
        <w:t xml:space="preserve">الإلكترونية </w:t>
      </w:r>
      <w:r w:rsidRPr="007A4D9E">
        <w:rPr>
          <w:rFonts w:ascii="Arabic Typesetting" w:hAnsi="Arabic Typesetting" w:cs="Arabic Typesetting" w:hint="cs"/>
          <w:sz w:val="34"/>
          <w:szCs w:val="34"/>
          <w:rtl/>
          <w:lang w:val="fr-CH"/>
        </w:rPr>
        <w:t xml:space="preserve">للتبليغات </w:t>
      </w:r>
      <w:r w:rsidRPr="007A4D9E">
        <w:rPr>
          <w:rFonts w:ascii="Arabic Typesetting" w:hAnsi="Arabic Typesetting" w:cs="Arabic Typesetting"/>
          <w:sz w:val="34"/>
          <w:szCs w:val="34"/>
          <w:rtl/>
          <w:lang w:val="fr-CH"/>
        </w:rPr>
        <w:t>بموجب إجراءات نظام لشبونة إلى</w:t>
      </w:r>
      <w:r w:rsidRPr="007A4D9E">
        <w:rPr>
          <w:rFonts w:ascii="Arabic Typesetting" w:hAnsi="Arabic Typesetting" w:cs="Arabic Typesetting" w:hint="cs"/>
          <w:sz w:val="34"/>
          <w:szCs w:val="34"/>
          <w:rtl/>
          <w:lang w:val="fr-CH"/>
        </w:rPr>
        <w:t xml:space="preserve"> 26 إدارة في نهاية عام</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2015 بعدما كان عددها</w:t>
      </w:r>
      <w:r w:rsidRPr="007A4D9E">
        <w:rPr>
          <w:rFonts w:ascii="Arabic Typesetting" w:hAnsi="Arabic Typesetting" w:cs="Arabic Typesetting"/>
          <w:sz w:val="34"/>
          <w:szCs w:val="34"/>
          <w:rtl/>
          <w:lang w:val="fr-CH"/>
        </w:rPr>
        <w:t xml:space="preserve"> 23 </w:t>
      </w:r>
      <w:r w:rsidRPr="007A4D9E">
        <w:rPr>
          <w:rFonts w:ascii="Arabic Typesetting" w:hAnsi="Arabic Typesetting" w:cs="Arabic Typesetting" w:hint="cs"/>
          <w:sz w:val="34"/>
          <w:szCs w:val="34"/>
          <w:rtl/>
          <w:lang w:val="fr-CH"/>
        </w:rPr>
        <w:t xml:space="preserve">إدارة </w:t>
      </w:r>
      <w:r w:rsidRPr="007A4D9E">
        <w:rPr>
          <w:rFonts w:ascii="Arabic Typesetting" w:hAnsi="Arabic Typesetting" w:cs="Arabic Typesetting"/>
          <w:sz w:val="34"/>
          <w:szCs w:val="34"/>
          <w:rtl/>
          <w:lang w:val="fr-CH"/>
        </w:rPr>
        <w:t>في</w:t>
      </w:r>
      <w:r w:rsidRPr="007A4D9E">
        <w:rPr>
          <w:rFonts w:ascii="Arabic Typesetting" w:hAnsi="Arabic Typesetting" w:cs="Arabic Typesetting" w:hint="cs"/>
          <w:sz w:val="34"/>
          <w:szCs w:val="34"/>
          <w:rtl/>
          <w:lang w:val="fr-CH"/>
        </w:rPr>
        <w:t xml:space="preserve"> عام </w:t>
      </w:r>
      <w:r w:rsidRPr="007A4D9E">
        <w:rPr>
          <w:rFonts w:ascii="Arabic Typesetting" w:hAnsi="Arabic Typesetting" w:cs="Arabic Typesetting"/>
          <w:sz w:val="34"/>
          <w:szCs w:val="34"/>
          <w:rtl/>
          <w:lang w:val="fr-CH"/>
        </w:rPr>
        <w:t xml:space="preserve">2013. </w:t>
      </w:r>
      <w:r w:rsidRPr="007A4D9E">
        <w:rPr>
          <w:rFonts w:ascii="Arabic Typesetting" w:hAnsi="Arabic Typesetting" w:cs="Arabic Typesetting" w:hint="cs"/>
          <w:sz w:val="34"/>
          <w:szCs w:val="34"/>
          <w:rtl/>
          <w:lang w:val="fr-CH"/>
        </w:rPr>
        <w:t>واستُكملت ال</w:t>
      </w:r>
      <w:r w:rsidRPr="007A4D9E">
        <w:rPr>
          <w:rFonts w:ascii="Arabic Typesetting" w:hAnsi="Arabic Typesetting" w:cs="Arabic Typesetting"/>
          <w:sz w:val="34"/>
          <w:szCs w:val="34"/>
          <w:rtl/>
          <w:lang w:val="fr-CH"/>
        </w:rPr>
        <w:t xml:space="preserve">واجهة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 xml:space="preserve">إلكترونية </w:t>
      </w:r>
      <w:r w:rsidRPr="007A4D9E">
        <w:rPr>
          <w:rFonts w:ascii="Arabic Typesetting" w:hAnsi="Arabic Typesetting" w:cs="Arabic Typesetting" w:hint="cs"/>
          <w:sz w:val="34"/>
          <w:szCs w:val="34"/>
          <w:rtl/>
          <w:lang w:val="fr-CH"/>
        </w:rPr>
        <w:t xml:space="preserve">التي تربط بين </w:t>
      </w:r>
      <w:r w:rsidRPr="007A4D9E">
        <w:rPr>
          <w:rFonts w:ascii="Arabic Typesetting" w:hAnsi="Arabic Typesetting" w:cs="Arabic Typesetting"/>
          <w:sz w:val="34"/>
          <w:szCs w:val="34"/>
          <w:rtl/>
          <w:lang w:val="fr-CH"/>
        </w:rPr>
        <w:t xml:space="preserve">السجل الدولي </w:t>
      </w:r>
      <w:r w:rsidRPr="007A4D9E">
        <w:rPr>
          <w:rFonts w:ascii="Arabic Typesetting" w:hAnsi="Arabic Typesetting" w:cs="Arabic Typesetting" w:hint="cs"/>
          <w:sz w:val="34"/>
          <w:szCs w:val="34"/>
          <w:rtl/>
          <w:lang w:val="fr-CH"/>
        </w:rPr>
        <w:t>و</w:t>
      </w:r>
      <w:r w:rsidRPr="007A4D9E">
        <w:rPr>
          <w:rFonts w:ascii="Arabic Typesetting" w:hAnsi="Arabic Typesetting" w:cs="Arabic Typesetting"/>
          <w:sz w:val="34"/>
          <w:szCs w:val="34"/>
          <w:rtl/>
          <w:lang w:val="fr-CH"/>
        </w:rPr>
        <w:t xml:space="preserve">قاعدة </w:t>
      </w:r>
      <w:r w:rsidRPr="007A4D9E">
        <w:rPr>
          <w:rFonts w:ascii="Arabic Typesetting" w:hAnsi="Arabic Typesetting" w:cs="Arabic Typesetting" w:hint="cs"/>
          <w:sz w:val="34"/>
          <w:szCs w:val="34"/>
          <w:rtl/>
          <w:lang w:val="fr-CH"/>
        </w:rPr>
        <w:t>ال</w:t>
      </w:r>
      <w:r w:rsidRPr="007A4D9E">
        <w:rPr>
          <w:rFonts w:ascii="Arabic Typesetting" w:hAnsi="Arabic Typesetting" w:cs="Arabic Typesetting"/>
          <w:sz w:val="34"/>
          <w:szCs w:val="34"/>
          <w:rtl/>
          <w:lang w:val="fr-CH"/>
        </w:rPr>
        <w:t>بيانات</w:t>
      </w:r>
      <w:r w:rsidRPr="007A4D9E">
        <w:rPr>
          <w:rFonts w:ascii="Arabic Typesetting" w:hAnsi="Arabic Typesetting" w:cs="Arabic Typesetting" w:hint="eastAsia"/>
          <w:sz w:val="34"/>
          <w:szCs w:val="34"/>
          <w:rtl/>
          <w:lang w:val="fr-CH"/>
        </w:rPr>
        <w:t> </w:t>
      </w:r>
      <w:proofErr w:type="spellStart"/>
      <w:r w:rsidRPr="007A4D9E">
        <w:rPr>
          <w:rFonts w:ascii="Arabic Typesetting" w:hAnsi="Arabic Typesetting" w:cs="Arabic Typesetting"/>
          <w:sz w:val="34"/>
          <w:szCs w:val="34"/>
          <w:lang w:val="fr-CH"/>
        </w:rPr>
        <w:t>Lisbon</w:t>
      </w:r>
      <w:proofErr w:type="spellEnd"/>
      <w:r w:rsidRPr="007A4D9E">
        <w:rPr>
          <w:rFonts w:ascii="Arabic Typesetting" w:hAnsi="Arabic Typesetting" w:cs="Arabic Typesetting"/>
          <w:sz w:val="34"/>
          <w:szCs w:val="34"/>
          <w:lang w:val="fr-CH"/>
        </w:rPr>
        <w:t> Express</w:t>
      </w:r>
      <w:r w:rsidRPr="007A4D9E">
        <w:rPr>
          <w:rFonts w:ascii="Arabic Typesetting" w:hAnsi="Arabic Typesetting" w:cs="Arabic Typesetting"/>
          <w:sz w:val="34"/>
          <w:szCs w:val="34"/>
          <w:rtl/>
          <w:lang w:val="fr-CH"/>
        </w:rPr>
        <w:t xml:space="preserve"> على موقع الويبو</w:t>
      </w:r>
      <w:r w:rsidRPr="007A4D9E">
        <w:rPr>
          <w:rFonts w:ascii="Arabic Typesetting" w:hAnsi="Arabic Typesetting" w:cs="Arabic Typesetting" w:hint="cs"/>
          <w:sz w:val="34"/>
          <w:szCs w:val="34"/>
          <w:rtl/>
          <w:lang w:val="fr-CH"/>
        </w:rPr>
        <w:t xml:space="preserve"> و</w:t>
      </w:r>
      <w:r w:rsidRPr="007A4D9E">
        <w:rPr>
          <w:rFonts w:ascii="Arabic Typesetting" w:hAnsi="Arabic Typesetting" w:cs="Arabic Typesetting"/>
          <w:sz w:val="34"/>
          <w:szCs w:val="34"/>
          <w:rtl/>
          <w:lang w:val="fr-CH"/>
        </w:rPr>
        <w:t>ن</w:t>
      </w:r>
      <w:r w:rsidRPr="007A4D9E">
        <w:rPr>
          <w:rFonts w:ascii="Arabic Typesetting" w:hAnsi="Arabic Typesetting" w:cs="Arabic Typesetting" w:hint="cs"/>
          <w:sz w:val="34"/>
          <w:szCs w:val="34"/>
          <w:rtl/>
          <w:lang w:val="fr-CH"/>
        </w:rPr>
        <w:t>ُ</w:t>
      </w:r>
      <w:r w:rsidRPr="007A4D9E">
        <w:rPr>
          <w:rFonts w:ascii="Arabic Typesetting" w:hAnsi="Arabic Typesetting" w:cs="Arabic Typesetting"/>
          <w:sz w:val="34"/>
          <w:szCs w:val="34"/>
          <w:rtl/>
          <w:lang w:val="fr-CH"/>
        </w:rPr>
        <w:t>شرت في</w:t>
      </w:r>
      <w:r w:rsidRPr="007A4D9E">
        <w:rPr>
          <w:rFonts w:ascii="Arabic Typesetting" w:hAnsi="Arabic Typesetting" w:cs="Arabic Typesetting" w:hint="cs"/>
          <w:sz w:val="34"/>
          <w:szCs w:val="34"/>
          <w:rtl/>
          <w:lang w:val="fr-CH"/>
        </w:rPr>
        <w:t xml:space="preserve"> عام </w:t>
      </w:r>
      <w:r w:rsidRPr="007A4D9E">
        <w:rPr>
          <w:rFonts w:ascii="Arabic Typesetting" w:hAnsi="Arabic Typesetting" w:cs="Arabic Typesetting"/>
          <w:sz w:val="34"/>
          <w:szCs w:val="34"/>
          <w:rtl/>
          <w:lang w:val="fr-CH"/>
        </w:rPr>
        <w:t xml:space="preserve">2014. </w:t>
      </w:r>
      <w:r w:rsidRPr="007A4D9E">
        <w:rPr>
          <w:rFonts w:ascii="Arabic Typesetting" w:hAnsi="Arabic Typesetting" w:cs="Arabic Typesetting" w:hint="cs"/>
          <w:sz w:val="34"/>
          <w:szCs w:val="34"/>
          <w:rtl/>
          <w:lang w:val="fr-CH"/>
        </w:rPr>
        <w:t xml:space="preserve">وتواصل تبسيط </w:t>
      </w:r>
      <w:r w:rsidRPr="007A4D9E">
        <w:rPr>
          <w:rFonts w:ascii="Arabic Typesetting" w:hAnsi="Arabic Typesetting" w:cs="Arabic Typesetting"/>
          <w:sz w:val="34"/>
          <w:szCs w:val="34"/>
          <w:rtl/>
          <w:lang w:val="fr-CH"/>
        </w:rPr>
        <w:t xml:space="preserve">إجراء </w:t>
      </w:r>
      <w:proofErr w:type="spellStart"/>
      <w:r w:rsidRPr="007A4D9E">
        <w:rPr>
          <w:rFonts w:ascii="Arabic Typesetting" w:hAnsi="Arabic Typesetting" w:cs="Arabic Typesetting"/>
          <w:sz w:val="34"/>
          <w:szCs w:val="34"/>
          <w:rtl/>
          <w:lang w:val="fr-CH"/>
        </w:rPr>
        <w:t>الإخطارات</w:t>
      </w:r>
      <w:proofErr w:type="spellEnd"/>
      <w:r w:rsidRPr="007A4D9E">
        <w:rPr>
          <w:rFonts w:ascii="Arabic Typesetting" w:hAnsi="Arabic Typesetting" w:cs="Arabic Typesetting"/>
          <w:sz w:val="34"/>
          <w:szCs w:val="34"/>
          <w:rtl/>
          <w:lang w:val="fr-CH"/>
        </w:rPr>
        <w:t xml:space="preserve"> </w:t>
      </w:r>
      <w:r w:rsidRPr="007A4D9E">
        <w:rPr>
          <w:rFonts w:ascii="Arabic Typesetting" w:hAnsi="Arabic Typesetting" w:cs="Arabic Typesetting" w:hint="cs"/>
          <w:sz w:val="34"/>
          <w:szCs w:val="34"/>
          <w:rtl/>
          <w:lang w:val="fr-CH"/>
        </w:rPr>
        <w:t>عبر</w:t>
      </w:r>
      <w:r w:rsidRPr="007A4D9E">
        <w:rPr>
          <w:rFonts w:ascii="Arabic Typesetting" w:hAnsi="Arabic Typesetting" w:cs="Arabic Typesetting"/>
          <w:sz w:val="34"/>
          <w:szCs w:val="34"/>
          <w:rtl/>
          <w:lang w:val="fr-CH"/>
        </w:rPr>
        <w:t xml:space="preserve"> استخدام نظام الويبو ل</w:t>
      </w:r>
      <w:r w:rsidRPr="007A4D9E">
        <w:rPr>
          <w:rFonts w:ascii="Arabic Typesetting" w:hAnsi="Arabic Typesetting" w:cs="Arabic Typesetting" w:hint="cs"/>
          <w:sz w:val="34"/>
          <w:szCs w:val="34"/>
          <w:rtl/>
          <w:lang w:val="fr-CH"/>
        </w:rPr>
        <w:t>تب</w:t>
      </w:r>
      <w:r w:rsidRPr="007A4D9E">
        <w:rPr>
          <w:rFonts w:ascii="Arabic Typesetting" w:hAnsi="Arabic Typesetting" w:cs="Arabic Typesetting"/>
          <w:sz w:val="34"/>
          <w:szCs w:val="34"/>
          <w:rtl/>
          <w:lang w:val="fr-CH"/>
        </w:rPr>
        <w:t>ل</w:t>
      </w:r>
      <w:r w:rsidRPr="007A4D9E">
        <w:rPr>
          <w:rFonts w:ascii="Arabic Typesetting" w:hAnsi="Arabic Typesetting" w:cs="Arabic Typesetting" w:hint="cs"/>
          <w:sz w:val="34"/>
          <w:szCs w:val="34"/>
          <w:rtl/>
          <w:lang w:val="fr-CH"/>
        </w:rPr>
        <w:t>ي</w:t>
      </w:r>
      <w:r w:rsidRPr="007A4D9E">
        <w:rPr>
          <w:rFonts w:ascii="Arabic Typesetting" w:hAnsi="Arabic Typesetting" w:cs="Arabic Typesetting"/>
          <w:sz w:val="34"/>
          <w:szCs w:val="34"/>
          <w:rtl/>
          <w:lang w:val="fr-CH"/>
        </w:rPr>
        <w:t>غ الاستفسارات</w:t>
      </w:r>
      <w:r w:rsidRPr="007A4D9E">
        <w:rPr>
          <w:rFonts w:ascii="Arabic Typesetting" w:hAnsi="Arabic Typesetting" w:cs="Arabic Typesetting" w:hint="eastAsia"/>
          <w:sz w:val="34"/>
          <w:szCs w:val="34"/>
          <w:rtl/>
          <w:lang w:val="fr-CH"/>
        </w:rPr>
        <w:t> </w:t>
      </w:r>
      <w:r w:rsidRPr="007A4D9E">
        <w:rPr>
          <w:rFonts w:ascii="Arabic Typesetting" w:hAnsi="Arabic Typesetting" w:cs="Arabic Typesetting" w:hint="cs"/>
          <w:sz w:val="34"/>
          <w:szCs w:val="34"/>
          <w:rtl/>
          <w:lang w:val="fr-CH"/>
        </w:rPr>
        <w:t>(</w:t>
      </w:r>
      <w:r w:rsidRPr="007A4D9E">
        <w:rPr>
          <w:rFonts w:ascii="Arabic Typesetting" w:hAnsi="Arabic Typesetting" w:cs="Arabic Typesetting"/>
          <w:sz w:val="34"/>
          <w:szCs w:val="34"/>
          <w:lang w:val="fr-CH"/>
        </w:rPr>
        <w:t>WINS</w:t>
      </w:r>
      <w:r w:rsidRPr="007A4D9E">
        <w:rPr>
          <w:rFonts w:ascii="Arabic Typesetting" w:hAnsi="Arabic Typesetting" w:cs="Arabic Typesetting" w:hint="cs"/>
          <w:sz w:val="34"/>
          <w:szCs w:val="34"/>
          <w:rtl/>
          <w:lang w:val="fr-CH"/>
        </w:rPr>
        <w:t xml:space="preserve">). وبعد المضي في </w:t>
      </w:r>
      <w:r w:rsidRPr="007A4D9E">
        <w:rPr>
          <w:rFonts w:ascii="Arabic Typesetting" w:hAnsi="Arabic Typesetting" w:cs="Arabic Typesetting"/>
          <w:sz w:val="34"/>
          <w:szCs w:val="34"/>
          <w:rtl/>
          <w:lang w:val="fr-CH"/>
        </w:rPr>
        <w:t xml:space="preserve">تطوير نظام إلكتروني لتوليد </w:t>
      </w:r>
      <w:r w:rsidRPr="007A4D9E">
        <w:rPr>
          <w:rFonts w:ascii="Arabic Typesetting" w:hAnsi="Arabic Typesetting" w:cs="Arabic Typesetting" w:hint="cs"/>
          <w:sz w:val="34"/>
          <w:szCs w:val="34"/>
          <w:rtl/>
          <w:lang w:val="fr-CH"/>
        </w:rPr>
        <w:t>رسائل ال</w:t>
      </w:r>
      <w:r w:rsidRPr="007A4D9E">
        <w:rPr>
          <w:rFonts w:ascii="Arabic Typesetting" w:hAnsi="Arabic Typesetting" w:cs="Arabic Typesetting"/>
          <w:sz w:val="34"/>
          <w:szCs w:val="34"/>
          <w:rtl/>
          <w:lang w:val="fr-CH"/>
        </w:rPr>
        <w:t xml:space="preserve">إخطار </w:t>
      </w:r>
      <w:r w:rsidRPr="007A4D9E">
        <w:rPr>
          <w:rFonts w:ascii="Arabic Typesetting" w:hAnsi="Arabic Typesetting" w:cs="Arabic Typesetting" w:hint="cs"/>
          <w:sz w:val="34"/>
          <w:szCs w:val="34"/>
          <w:rtl/>
          <w:lang w:val="fr-CH"/>
        </w:rPr>
        <w:t xml:space="preserve">في </w:t>
      </w:r>
      <w:r w:rsidRPr="007A4D9E">
        <w:rPr>
          <w:rFonts w:ascii="Arabic Typesetting" w:hAnsi="Arabic Typesetting" w:cs="Arabic Typesetting"/>
          <w:sz w:val="34"/>
          <w:szCs w:val="34"/>
          <w:rtl/>
          <w:lang w:val="fr-CH"/>
        </w:rPr>
        <w:t>عام</w:t>
      </w:r>
      <w:r w:rsidRPr="007A4D9E">
        <w:rPr>
          <w:rFonts w:ascii="Arabic Typesetting" w:hAnsi="Arabic Typesetting" w:cs="Arabic Typesetting" w:hint="cs"/>
          <w:sz w:val="34"/>
          <w:szCs w:val="34"/>
          <w:rtl/>
          <w:lang w:val="fr-CH"/>
        </w:rPr>
        <w:t> </w:t>
      </w:r>
      <w:r w:rsidRPr="007A4D9E">
        <w:rPr>
          <w:rFonts w:ascii="Arabic Typesetting" w:hAnsi="Arabic Typesetting" w:cs="Arabic Typesetting"/>
          <w:sz w:val="34"/>
          <w:szCs w:val="34"/>
          <w:rtl/>
          <w:lang w:val="fr-CH"/>
        </w:rPr>
        <w:t>2015</w:t>
      </w:r>
      <w:r w:rsidRPr="007A4D9E">
        <w:rPr>
          <w:rFonts w:ascii="Arabic Typesetting" w:hAnsi="Arabic Typesetting" w:cs="Arabic Typesetting" w:hint="cs"/>
          <w:sz w:val="34"/>
          <w:szCs w:val="34"/>
          <w:rtl/>
          <w:lang w:val="fr-CH"/>
        </w:rPr>
        <w:t>، شُرع في مرحلة اختبارية.</w:t>
      </w:r>
    </w:p>
    <w:p w:rsidR="007A4D9E" w:rsidRPr="007A4D9E" w:rsidRDefault="007A4D9E" w:rsidP="009A3712">
      <w:pPr>
        <w:numPr>
          <w:ilvl w:val="0"/>
          <w:numId w:val="7"/>
        </w:numPr>
        <w:bidi/>
        <w:spacing w:after="120" w:line="340" w:lineRule="exact"/>
        <w:ind w:left="-1" w:firstLine="0"/>
        <w:rPr>
          <w:rFonts w:ascii="Arabic Typesetting" w:hAnsi="Arabic Typesetting" w:cs="Arabic Typesetting"/>
          <w:sz w:val="34"/>
          <w:szCs w:val="34"/>
          <w:lang w:val="fr-CH"/>
        </w:rPr>
      </w:pPr>
      <w:r w:rsidRPr="007A4D9E">
        <w:rPr>
          <w:rFonts w:ascii="Arabic Typesetting" w:hAnsi="Arabic Typesetting" w:cs="Arabic Typesetting"/>
          <w:sz w:val="34"/>
          <w:szCs w:val="34"/>
          <w:rtl/>
          <w:lang w:val="fr-CH"/>
        </w:rPr>
        <w:t xml:space="preserve">وفيما يتعلق </w:t>
      </w:r>
      <w:r w:rsidRPr="007A4D9E">
        <w:rPr>
          <w:rFonts w:ascii="Arabic Typesetting" w:hAnsi="Arabic Typesetting" w:cs="Arabic Typesetting" w:hint="cs"/>
          <w:sz w:val="34"/>
          <w:szCs w:val="34"/>
          <w:rtl/>
          <w:lang w:val="fr-CH"/>
        </w:rPr>
        <w:t>ب</w:t>
      </w:r>
      <w:r w:rsidRPr="007A4D9E">
        <w:rPr>
          <w:rFonts w:ascii="Arabic Typesetting" w:hAnsi="Arabic Typesetting" w:cs="Arabic Typesetting"/>
          <w:sz w:val="34"/>
          <w:szCs w:val="34"/>
          <w:rtl/>
          <w:lang w:val="fr-CH"/>
        </w:rPr>
        <w:t xml:space="preserve">التوعية </w:t>
      </w:r>
      <w:r w:rsidRPr="007A4D9E">
        <w:rPr>
          <w:rFonts w:ascii="Arabic Typesetting" w:hAnsi="Arabic Typesetting" w:cs="Arabic Typesetting" w:hint="cs"/>
          <w:sz w:val="34"/>
          <w:szCs w:val="34"/>
          <w:rtl/>
          <w:lang w:val="fr-CH"/>
        </w:rPr>
        <w:t>ب</w:t>
      </w:r>
      <w:r w:rsidRPr="007A4D9E">
        <w:rPr>
          <w:rFonts w:ascii="Arabic Typesetting" w:hAnsi="Arabic Typesetting" w:cs="Arabic Typesetting"/>
          <w:sz w:val="34"/>
          <w:szCs w:val="34"/>
          <w:rtl/>
          <w:lang w:val="fr-CH"/>
        </w:rPr>
        <w:t>نظام لشبونة، نظ</w:t>
      </w:r>
      <w:r w:rsidRPr="007A4D9E">
        <w:rPr>
          <w:rFonts w:ascii="Arabic Typesetting" w:hAnsi="Arabic Typesetting" w:cs="Arabic Typesetting" w:hint="cs"/>
          <w:sz w:val="34"/>
          <w:szCs w:val="34"/>
          <w:rtl/>
          <w:lang w:val="fr-CH"/>
        </w:rPr>
        <w:t>ّ</w:t>
      </w:r>
      <w:r w:rsidRPr="007A4D9E">
        <w:rPr>
          <w:rFonts w:ascii="Arabic Typesetting" w:hAnsi="Arabic Typesetting" w:cs="Arabic Typesetting"/>
          <w:sz w:val="34"/>
          <w:szCs w:val="34"/>
          <w:rtl/>
          <w:lang w:val="fr-CH"/>
        </w:rPr>
        <w:t>م</w:t>
      </w:r>
      <w:r w:rsidRPr="007A4D9E">
        <w:rPr>
          <w:rFonts w:ascii="Arabic Typesetting" w:hAnsi="Arabic Typesetting" w:cs="Arabic Typesetting" w:hint="cs"/>
          <w:sz w:val="34"/>
          <w:szCs w:val="34"/>
          <w:rtl/>
          <w:lang w:val="fr-CH"/>
        </w:rPr>
        <w:t xml:space="preserve"> المكتب الدولي سبع تظاهرات إعلامية وترويجية </w:t>
      </w:r>
      <w:r w:rsidRPr="007A4D9E">
        <w:rPr>
          <w:rFonts w:ascii="Arabic Typesetting" w:hAnsi="Arabic Typesetting" w:cs="Arabic Typesetting"/>
          <w:sz w:val="34"/>
          <w:szCs w:val="34"/>
          <w:rtl/>
          <w:lang w:val="fr-CH"/>
        </w:rPr>
        <w:t>و/أو شارك</w:t>
      </w:r>
      <w:r w:rsidRPr="007A4D9E">
        <w:rPr>
          <w:rFonts w:ascii="Arabic Typesetting" w:hAnsi="Arabic Typesetting" w:cs="Arabic Typesetting" w:hint="cs"/>
          <w:sz w:val="34"/>
          <w:szCs w:val="34"/>
          <w:rtl/>
          <w:lang w:val="fr-CH"/>
        </w:rPr>
        <w:t xml:space="preserve"> فيها </w:t>
      </w:r>
      <w:r w:rsidRPr="007A4D9E">
        <w:rPr>
          <w:rFonts w:ascii="Arabic Typesetting" w:hAnsi="Arabic Typesetting" w:cs="Arabic Typesetting"/>
          <w:sz w:val="34"/>
          <w:szCs w:val="34"/>
          <w:rtl/>
          <w:lang w:val="fr-CH"/>
        </w:rPr>
        <w:t>في جميع المناطق</w:t>
      </w:r>
      <w:r w:rsidRPr="007A4D9E">
        <w:rPr>
          <w:rFonts w:ascii="Arabic Typesetting" w:hAnsi="Arabic Typesetting" w:cs="Arabic Typesetting" w:hint="cs"/>
          <w:sz w:val="34"/>
          <w:szCs w:val="34"/>
          <w:rtl/>
          <w:lang w:val="fr-CH"/>
        </w:rPr>
        <w:t>، و</w:t>
      </w:r>
      <w:r w:rsidRPr="007A4D9E">
        <w:rPr>
          <w:rFonts w:ascii="Arabic Typesetting" w:hAnsi="Arabic Typesetting" w:cs="Arabic Typesetting"/>
          <w:sz w:val="34"/>
          <w:szCs w:val="34"/>
          <w:rtl/>
          <w:lang w:val="fr-CH"/>
        </w:rPr>
        <w:t>رك</w:t>
      </w:r>
      <w:r w:rsidRPr="007A4D9E">
        <w:rPr>
          <w:rFonts w:ascii="Arabic Typesetting" w:hAnsi="Arabic Typesetting" w:cs="Arabic Typesetting" w:hint="cs"/>
          <w:sz w:val="34"/>
          <w:szCs w:val="34"/>
          <w:rtl/>
          <w:lang w:val="fr-CH"/>
        </w:rPr>
        <w:t>ّ</w:t>
      </w:r>
      <w:r w:rsidRPr="007A4D9E">
        <w:rPr>
          <w:rFonts w:ascii="Arabic Typesetting" w:hAnsi="Arabic Typesetting" w:cs="Arabic Typesetting"/>
          <w:sz w:val="34"/>
          <w:szCs w:val="34"/>
          <w:rtl/>
          <w:lang w:val="fr-CH"/>
        </w:rPr>
        <w:t>ز</w:t>
      </w:r>
      <w:r w:rsidRPr="007A4D9E">
        <w:rPr>
          <w:rFonts w:ascii="Arabic Typesetting" w:hAnsi="Arabic Typesetting" w:cs="Arabic Typesetting" w:hint="cs"/>
          <w:sz w:val="34"/>
          <w:szCs w:val="34"/>
          <w:rtl/>
          <w:lang w:val="fr-CH"/>
        </w:rPr>
        <w:t xml:space="preserve"> فيها</w:t>
      </w:r>
      <w:r w:rsidRPr="007A4D9E">
        <w:rPr>
          <w:rFonts w:ascii="Arabic Typesetting" w:hAnsi="Arabic Typesetting" w:cs="Arabic Typesetting"/>
          <w:sz w:val="34"/>
          <w:szCs w:val="34"/>
          <w:rtl/>
          <w:lang w:val="fr-CH"/>
        </w:rPr>
        <w:t xml:space="preserve"> بوجه خاص على نظام لشبونة، بما في ذلك </w:t>
      </w:r>
      <w:r w:rsidRPr="007A4D9E">
        <w:rPr>
          <w:rFonts w:ascii="Arabic Typesetting" w:hAnsi="Arabic Typesetting" w:cs="Arabic Typesetting" w:hint="cs"/>
          <w:sz w:val="34"/>
          <w:szCs w:val="34"/>
          <w:rtl/>
          <w:lang w:val="fr-CH"/>
        </w:rPr>
        <w:t>مراجعته المزمعة</w:t>
      </w:r>
      <w:r w:rsidRPr="007A4D9E">
        <w:rPr>
          <w:rFonts w:ascii="Arabic Typesetting" w:hAnsi="Arabic Typesetting" w:cs="Arabic Typesetting"/>
          <w:sz w:val="34"/>
          <w:szCs w:val="34"/>
          <w:rtl/>
          <w:lang w:val="fr-CH"/>
        </w:rPr>
        <w:t>.</w:t>
      </w:r>
    </w:p>
    <w:p w:rsidR="007A4D9E" w:rsidRPr="007A4D9E" w:rsidRDefault="007A4D9E" w:rsidP="009A3712">
      <w:pPr>
        <w:numPr>
          <w:ilvl w:val="0"/>
          <w:numId w:val="7"/>
        </w:numPr>
        <w:bidi/>
        <w:spacing w:after="120" w:line="340" w:lineRule="exact"/>
        <w:ind w:left="-1" w:firstLine="0"/>
        <w:rPr>
          <w:rFonts w:ascii="Arabic Typesetting" w:hAnsi="Arabic Typesetting" w:cs="Arabic Typesetting"/>
          <w:sz w:val="34"/>
          <w:szCs w:val="34"/>
        </w:rPr>
      </w:pPr>
      <w:r w:rsidRPr="007A4D9E">
        <w:rPr>
          <w:rFonts w:ascii="Arabic Typesetting" w:hAnsi="Arabic Typesetting" w:cs="Arabic Typesetting" w:hint="cs"/>
          <w:sz w:val="34"/>
          <w:szCs w:val="34"/>
          <w:rtl/>
        </w:rPr>
        <w:t>و</w:t>
      </w:r>
      <w:r w:rsidRPr="007A4D9E">
        <w:rPr>
          <w:rFonts w:ascii="Arabic Typesetting" w:hAnsi="Arabic Typesetting" w:cs="Arabic Typesetting"/>
          <w:sz w:val="34"/>
          <w:szCs w:val="34"/>
          <w:rtl/>
        </w:rPr>
        <w:t>استمد</w:t>
      </w:r>
      <w:r w:rsidRPr="007A4D9E">
        <w:rPr>
          <w:rFonts w:ascii="Arabic Typesetting" w:hAnsi="Arabic Typesetting" w:cs="Arabic Typesetting" w:hint="cs"/>
          <w:sz w:val="34"/>
          <w:szCs w:val="34"/>
          <w:rtl/>
        </w:rPr>
        <w:t>ت عمليات</w:t>
      </w:r>
      <w:r w:rsidRPr="007A4D9E">
        <w:rPr>
          <w:rFonts w:ascii="Arabic Typesetting" w:hAnsi="Arabic Typesetting" w:cs="Arabic Typesetting"/>
          <w:sz w:val="34"/>
          <w:szCs w:val="34"/>
          <w:rtl/>
        </w:rPr>
        <w:t xml:space="preserve"> تصميم أنشطة البرنامج</w:t>
      </w:r>
      <w:r w:rsidRPr="007A4D9E">
        <w:rPr>
          <w:rFonts w:ascii="Arabic Typesetting" w:hAnsi="Arabic Typesetting" w:cs="Arabic Typesetting" w:hint="cs"/>
          <w:sz w:val="34"/>
          <w:szCs w:val="34"/>
          <w:rtl/>
        </w:rPr>
        <w:t> </w:t>
      </w:r>
      <w:r w:rsidRPr="007A4D9E">
        <w:rPr>
          <w:rFonts w:ascii="Arabic Typesetting" w:hAnsi="Arabic Typesetting" w:cs="Arabic Typesetting"/>
          <w:sz w:val="34"/>
          <w:szCs w:val="34"/>
          <w:rtl/>
        </w:rPr>
        <w:t xml:space="preserve">6 والتخطيط لها وتنفيذها التوجيه والإرشاد من توصيات جدول أعمال التنمية </w:t>
      </w:r>
      <w:r w:rsidRPr="007A4D9E">
        <w:rPr>
          <w:rFonts w:ascii="Arabic Typesetting" w:hAnsi="Arabic Typesetting" w:cs="Arabic Typesetting" w:hint="cs"/>
          <w:sz w:val="34"/>
          <w:szCs w:val="34"/>
          <w:rtl/>
        </w:rPr>
        <w:t>المعنية</w:t>
      </w:r>
      <w:r w:rsidRPr="007A4D9E">
        <w:rPr>
          <w:rFonts w:ascii="Arabic Typesetting" w:hAnsi="Arabic Typesetting" w:cs="Arabic Typesetting"/>
          <w:sz w:val="34"/>
          <w:szCs w:val="34"/>
          <w:rtl/>
        </w:rPr>
        <w:t xml:space="preserve">، </w:t>
      </w:r>
      <w:r w:rsidRPr="007A4D9E">
        <w:rPr>
          <w:rFonts w:ascii="Arabic Typesetting" w:hAnsi="Arabic Typesetting" w:cs="Arabic Typesetting" w:hint="cs"/>
          <w:sz w:val="34"/>
          <w:szCs w:val="34"/>
          <w:rtl/>
        </w:rPr>
        <w:t>وخ</w:t>
      </w:r>
      <w:r w:rsidRPr="007A4D9E">
        <w:rPr>
          <w:rFonts w:ascii="Arabic Typesetting" w:hAnsi="Arabic Typesetting" w:cs="Arabic Typesetting"/>
          <w:sz w:val="34"/>
          <w:szCs w:val="34"/>
          <w:rtl/>
        </w:rPr>
        <w:t>اصة التوصيت</w:t>
      </w:r>
      <w:r w:rsidRPr="007A4D9E">
        <w:rPr>
          <w:rFonts w:ascii="Arabic Typesetting" w:hAnsi="Arabic Typesetting" w:cs="Arabic Typesetting" w:hint="cs"/>
          <w:sz w:val="34"/>
          <w:szCs w:val="34"/>
          <w:rtl/>
        </w:rPr>
        <w:t>ا</w:t>
      </w:r>
      <w:r w:rsidRPr="007A4D9E">
        <w:rPr>
          <w:rFonts w:ascii="Arabic Typesetting" w:hAnsi="Arabic Typesetting" w:cs="Arabic Typesetting"/>
          <w:sz w:val="34"/>
          <w:szCs w:val="34"/>
          <w:rtl/>
        </w:rPr>
        <w:t>ن</w:t>
      </w:r>
      <w:r w:rsidRPr="007A4D9E">
        <w:rPr>
          <w:rFonts w:ascii="Arabic Typesetting" w:hAnsi="Arabic Typesetting" w:cs="Arabic Typesetting" w:hint="cs"/>
          <w:sz w:val="34"/>
          <w:szCs w:val="34"/>
          <w:rtl/>
        </w:rPr>
        <w:t> </w:t>
      </w:r>
      <w:r w:rsidRPr="007A4D9E">
        <w:rPr>
          <w:rFonts w:ascii="Arabic Typesetting" w:hAnsi="Arabic Typesetting" w:cs="Arabic Typesetting"/>
          <w:sz w:val="34"/>
          <w:szCs w:val="34"/>
          <w:rtl/>
        </w:rPr>
        <w:t xml:space="preserve">1 و6. </w:t>
      </w:r>
      <w:r w:rsidR="007A0848">
        <w:rPr>
          <w:rFonts w:ascii="Arabic Typesetting" w:hAnsi="Arabic Typesetting" w:cs="Arabic Typesetting" w:hint="cs"/>
          <w:sz w:val="34"/>
          <w:szCs w:val="34"/>
          <w:rtl/>
        </w:rPr>
        <w:t>وإضافة إلى</w:t>
      </w:r>
      <w:r w:rsidRPr="007A4D9E">
        <w:rPr>
          <w:rFonts w:ascii="Arabic Typesetting" w:hAnsi="Arabic Typesetting" w:cs="Arabic Typesetting"/>
          <w:sz w:val="34"/>
          <w:szCs w:val="34"/>
          <w:rtl/>
        </w:rPr>
        <w:t xml:space="preserve"> ذلك، كانت المساعدة التشريعية المقدمة للدول الأعضاء موجهة نحو التنمية </w:t>
      </w:r>
      <w:r w:rsidRPr="007A4D9E">
        <w:rPr>
          <w:rFonts w:ascii="Arabic Typesetting" w:hAnsi="Arabic Typesetting" w:cs="Arabic Typesetting" w:hint="cs"/>
          <w:sz w:val="34"/>
          <w:szCs w:val="34"/>
          <w:rtl/>
        </w:rPr>
        <w:t xml:space="preserve">ومتوازنة ومكيّفة حسب طلب كل دولة عضو، وفقا لمبادئ جدول أعمال التنمية </w:t>
      </w:r>
      <w:r w:rsidRPr="007A4D9E">
        <w:rPr>
          <w:rFonts w:ascii="Arabic Typesetting" w:hAnsi="Arabic Typesetting" w:cs="Arabic Typesetting"/>
          <w:sz w:val="34"/>
          <w:szCs w:val="34"/>
          <w:rtl/>
        </w:rPr>
        <w:t>(التوصية</w:t>
      </w:r>
      <w:r w:rsidRPr="007A4D9E">
        <w:rPr>
          <w:rFonts w:ascii="Arabic Typesetting" w:hAnsi="Arabic Typesetting" w:cs="Arabic Typesetting" w:hint="cs"/>
          <w:sz w:val="34"/>
          <w:szCs w:val="34"/>
          <w:rtl/>
        </w:rPr>
        <w:t> </w:t>
      </w:r>
      <w:r w:rsidRPr="007A4D9E">
        <w:rPr>
          <w:rFonts w:ascii="Arabic Typesetting" w:hAnsi="Arabic Typesetting" w:cs="Arabic Typesetting"/>
          <w:sz w:val="34"/>
          <w:szCs w:val="34"/>
          <w:rtl/>
        </w:rPr>
        <w:t xml:space="preserve">13)، ومراعية لمواطن المرونة المنطبقة </w:t>
      </w:r>
      <w:r w:rsidRPr="007A4D9E">
        <w:rPr>
          <w:rFonts w:ascii="Arabic Typesetting" w:hAnsi="Arabic Typesetting" w:cs="Arabic Typesetting" w:hint="cs"/>
          <w:sz w:val="34"/>
          <w:szCs w:val="34"/>
          <w:rtl/>
        </w:rPr>
        <w:t>الوجيهة بالنسبة ل</w:t>
      </w:r>
      <w:r w:rsidRPr="007A4D9E">
        <w:rPr>
          <w:rFonts w:ascii="Arabic Typesetting" w:hAnsi="Arabic Typesetting" w:cs="Arabic Typesetting"/>
          <w:sz w:val="34"/>
          <w:szCs w:val="34"/>
          <w:rtl/>
        </w:rPr>
        <w:t xml:space="preserve">لبلدان على اختلاف مستويات التنمية </w:t>
      </w:r>
      <w:r w:rsidRPr="007A4D9E">
        <w:rPr>
          <w:rFonts w:ascii="Arabic Typesetting" w:hAnsi="Arabic Typesetting" w:cs="Arabic Typesetting" w:hint="cs"/>
          <w:sz w:val="34"/>
          <w:szCs w:val="34"/>
          <w:rtl/>
        </w:rPr>
        <w:t>فيها (التوصيتان 14 و17).</w:t>
      </w:r>
    </w:p>
    <w:p w:rsidR="007A4D9E" w:rsidRPr="007A4D9E" w:rsidRDefault="007A4D9E" w:rsidP="007A4D9E">
      <w:pPr>
        <w:keepNext/>
        <w:bidi/>
        <w:spacing w:after="120" w:line="340" w:lineRule="exact"/>
        <w:ind w:left="-1"/>
        <w:rPr>
          <w:rFonts w:ascii="Arabic Typesetting" w:hAnsi="Arabic Typesetting" w:cs="Arabic Typesetting"/>
          <w:sz w:val="34"/>
          <w:szCs w:val="34"/>
          <w:rtl/>
          <w:lang w:val="fr-CH"/>
        </w:rPr>
      </w:pPr>
      <w:r w:rsidRPr="007A4D9E">
        <w:rPr>
          <w:rFonts w:ascii="Arabic Typesetting" w:hAnsi="Arabic Typesetting" w:cs="Arabic Typesetting" w:hint="cs"/>
          <w:sz w:val="34"/>
          <w:szCs w:val="34"/>
          <w:rtl/>
          <w:lang w:val="fr-CH"/>
        </w:rPr>
        <w:lastRenderedPageBreak/>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9"/>
        <w:gridCol w:w="2695"/>
        <w:gridCol w:w="1559"/>
        <w:gridCol w:w="2556"/>
        <w:gridCol w:w="848"/>
      </w:tblGrid>
      <w:tr w:rsidR="007A4D9E" w:rsidRPr="007A4D9E" w:rsidTr="00224009">
        <w:trPr>
          <w:cantSplit/>
        </w:trPr>
        <w:tc>
          <w:tcPr>
            <w:tcW w:w="5000" w:type="pct"/>
            <w:gridSpan w:val="5"/>
            <w:tcBorders>
              <w:top w:val="single" w:sz="4" w:space="0" w:color="auto"/>
              <w:bottom w:val="single" w:sz="4" w:space="0" w:color="auto"/>
            </w:tcBorders>
            <w:shd w:val="clear" w:color="auto" w:fill="C6D9F1" w:themeFill="text2" w:themeFillTint="33"/>
          </w:tcPr>
          <w:p w:rsidR="007A4D9E" w:rsidRPr="007A4D9E" w:rsidRDefault="007A4D9E" w:rsidP="00224009">
            <w:pPr>
              <w:keepNext/>
              <w:bidi/>
              <w:spacing w:after="60" w:line="280" w:lineRule="exact"/>
              <w:ind w:left="1167" w:hanging="1167"/>
              <w:rPr>
                <w:rFonts w:ascii="Arabic Typesetting" w:hAnsi="Arabic Typesetting" w:cs="Arabic Typesetting"/>
                <w:sz w:val="28"/>
                <w:szCs w:val="28"/>
                <w:lang w:bidi="ar-EG"/>
              </w:rPr>
            </w:pPr>
            <w:r w:rsidRPr="007A4D9E">
              <w:rPr>
                <w:rFonts w:ascii="Arabic Typesetting" w:hAnsi="Arabic Typesetting" w:cs="Arabic Typesetting"/>
                <w:b/>
                <w:bCs/>
                <w:sz w:val="28"/>
                <w:szCs w:val="28"/>
                <w:rtl/>
                <w:lang w:bidi="ar-EG"/>
              </w:rPr>
              <w:t>النتيجة المرتقبة:</w:t>
            </w:r>
            <w:r w:rsidRPr="007A4D9E">
              <w:rPr>
                <w:rFonts w:ascii="Arabic Typesetting" w:hAnsi="Arabic Typesetting" w:cs="Arabic Typesetting"/>
                <w:b/>
                <w:bCs/>
                <w:sz w:val="28"/>
                <w:szCs w:val="28"/>
                <w:rtl/>
                <w:lang w:bidi="ar-EG"/>
              </w:rPr>
              <w:tab/>
            </w:r>
            <w:r w:rsidRPr="007A4D9E">
              <w:rPr>
                <w:rFonts w:ascii="Arabic Typesetting" w:hAnsi="Arabic Typesetting" w:cs="Arabic Typesetting"/>
                <w:sz w:val="28"/>
                <w:szCs w:val="28"/>
                <w:rtl/>
                <w:lang w:bidi="ar-EG"/>
              </w:rPr>
              <w:t xml:space="preserve">ه6.2 </w:t>
            </w:r>
            <w:r w:rsidR="00A0719D">
              <w:rPr>
                <w:rFonts w:ascii="Arabic Typesetting" w:hAnsi="Arabic Typesetting" w:cs="Arabic Typesetting"/>
                <w:sz w:val="28"/>
                <w:szCs w:val="28"/>
                <w:rtl/>
                <w:lang w:bidi="ar-EG"/>
              </w:rPr>
              <w:t>الانتفاع بنظامي مدريد ولشبونة على نطاق أوسع ونحو أفضل، بما في ذلك من جهة البلدان الأقل نموا</w:t>
            </w:r>
          </w:p>
        </w:tc>
      </w:tr>
      <w:tr w:rsidR="007A4D9E" w:rsidRPr="007A4D9E" w:rsidTr="00224009">
        <w:trPr>
          <w:cantSplit/>
        </w:trPr>
        <w:tc>
          <w:tcPr>
            <w:tcW w:w="908" w:type="pct"/>
            <w:tcBorders>
              <w:top w:val="single" w:sz="4" w:space="0" w:color="auto"/>
            </w:tcBorders>
            <w:shd w:val="clear" w:color="auto" w:fill="auto"/>
          </w:tcPr>
          <w:p w:rsidR="007A4D9E" w:rsidRPr="007A4D9E" w:rsidRDefault="007A4D9E" w:rsidP="007A4D9E">
            <w:pPr>
              <w:keepNext/>
              <w:bidi/>
              <w:spacing w:before="60" w:after="60" w:line="280" w:lineRule="exact"/>
              <w:rPr>
                <w:rFonts w:ascii="Arabic Typesetting" w:hAnsi="Arabic Typesetting" w:cs="Arabic Typesetting"/>
                <w:b/>
                <w:bCs/>
                <w:sz w:val="28"/>
                <w:szCs w:val="28"/>
                <w:rtl/>
                <w:lang w:bidi="ar-EG"/>
              </w:rPr>
            </w:pPr>
            <w:r w:rsidRPr="007A4D9E">
              <w:rPr>
                <w:rFonts w:ascii="Arabic Typesetting" w:hAnsi="Arabic Typesetting" w:cs="Arabic Typesetting"/>
                <w:b/>
                <w:bCs/>
                <w:sz w:val="28"/>
                <w:szCs w:val="28"/>
                <w:rtl/>
                <w:lang w:bidi="ar-EG"/>
              </w:rPr>
              <w:t>مؤشرات الأداء</w:t>
            </w:r>
          </w:p>
        </w:tc>
        <w:tc>
          <w:tcPr>
            <w:tcW w:w="1440" w:type="pct"/>
            <w:tcBorders>
              <w:top w:val="single" w:sz="4" w:space="0" w:color="auto"/>
            </w:tcBorders>
            <w:shd w:val="clear" w:color="auto" w:fill="auto"/>
            <w:vAlign w:val="center"/>
          </w:tcPr>
          <w:p w:rsidR="007A4D9E" w:rsidRPr="007A4D9E" w:rsidRDefault="007A4D9E" w:rsidP="007A4D9E">
            <w:pPr>
              <w:keepNext/>
              <w:bidi/>
              <w:spacing w:before="60" w:after="60" w:line="280" w:lineRule="exact"/>
              <w:rPr>
                <w:rFonts w:ascii="Arabic Typesetting" w:hAnsi="Arabic Typesetting" w:cs="Arabic Typesetting"/>
                <w:b/>
                <w:bCs/>
                <w:sz w:val="28"/>
                <w:szCs w:val="28"/>
                <w:lang w:bidi="ar-EG"/>
              </w:rPr>
            </w:pPr>
            <w:r w:rsidRPr="007A4D9E">
              <w:rPr>
                <w:rFonts w:ascii="Arabic Typesetting" w:hAnsi="Arabic Typesetting" w:cs="Arabic Typesetting"/>
                <w:b/>
                <w:bCs/>
                <w:sz w:val="28"/>
                <w:szCs w:val="28"/>
                <w:rtl/>
                <w:lang w:bidi="ar-EG"/>
              </w:rPr>
              <w:t>أسس المقارنة</w:t>
            </w:r>
          </w:p>
        </w:tc>
        <w:tc>
          <w:tcPr>
            <w:tcW w:w="833" w:type="pct"/>
            <w:tcBorders>
              <w:top w:val="single" w:sz="4" w:space="0" w:color="auto"/>
            </w:tcBorders>
            <w:shd w:val="clear" w:color="auto" w:fill="auto"/>
            <w:tcMar>
              <w:top w:w="110" w:type="dxa"/>
            </w:tcMar>
            <w:vAlign w:val="center"/>
          </w:tcPr>
          <w:p w:rsidR="007A4D9E" w:rsidRPr="007A4D9E" w:rsidRDefault="007A4D9E" w:rsidP="007A4D9E">
            <w:pPr>
              <w:keepNext/>
              <w:bidi/>
              <w:spacing w:before="60" w:after="60" w:line="280" w:lineRule="exact"/>
              <w:rPr>
                <w:rFonts w:ascii="Arabic Typesetting" w:hAnsi="Arabic Typesetting" w:cs="Arabic Typesetting"/>
                <w:b/>
                <w:bCs/>
                <w:sz w:val="28"/>
                <w:szCs w:val="28"/>
                <w:lang w:bidi="ar-EG"/>
              </w:rPr>
            </w:pPr>
            <w:r w:rsidRPr="007A4D9E">
              <w:rPr>
                <w:rFonts w:ascii="Arabic Typesetting" w:hAnsi="Arabic Typesetting" w:cs="Arabic Typesetting"/>
                <w:b/>
                <w:bCs/>
                <w:sz w:val="28"/>
                <w:szCs w:val="28"/>
                <w:rtl/>
                <w:lang w:bidi="ar-EG"/>
              </w:rPr>
              <w:t>الأهداف</w:t>
            </w:r>
          </w:p>
        </w:tc>
        <w:tc>
          <w:tcPr>
            <w:tcW w:w="1366" w:type="pct"/>
            <w:tcBorders>
              <w:top w:val="single" w:sz="4" w:space="0" w:color="auto"/>
            </w:tcBorders>
            <w:shd w:val="clear" w:color="auto" w:fill="FFFFFF"/>
            <w:tcMar>
              <w:top w:w="110" w:type="dxa"/>
            </w:tcMar>
          </w:tcPr>
          <w:p w:rsidR="007A4D9E" w:rsidRPr="007A4D9E" w:rsidRDefault="007A4D9E" w:rsidP="007A4D9E">
            <w:pPr>
              <w:keepNext/>
              <w:bidi/>
              <w:spacing w:before="60" w:after="60" w:line="280" w:lineRule="exact"/>
              <w:rPr>
                <w:rFonts w:ascii="Arabic Typesetting" w:hAnsi="Arabic Typesetting" w:cs="Arabic Typesetting"/>
                <w:b/>
                <w:bCs/>
                <w:sz w:val="28"/>
                <w:szCs w:val="28"/>
                <w:rtl/>
                <w:lang w:bidi="ar-EG"/>
              </w:rPr>
            </w:pPr>
            <w:r w:rsidRPr="007A4D9E">
              <w:rPr>
                <w:rFonts w:ascii="Arabic Typesetting" w:hAnsi="Arabic Typesetting" w:cs="Arabic Typesetting"/>
                <w:b/>
                <w:bCs/>
                <w:sz w:val="28"/>
                <w:szCs w:val="28"/>
                <w:rtl/>
                <w:lang w:bidi="ar-EG"/>
              </w:rPr>
              <w:t>بيانات الأداء</w:t>
            </w:r>
          </w:p>
        </w:tc>
        <w:tc>
          <w:tcPr>
            <w:tcW w:w="453" w:type="pct"/>
            <w:tcBorders>
              <w:top w:val="single" w:sz="4" w:space="0" w:color="auto"/>
            </w:tcBorders>
            <w:shd w:val="clear" w:color="auto" w:fill="auto"/>
            <w:tcMar>
              <w:top w:w="110" w:type="dxa"/>
            </w:tcMar>
            <w:vAlign w:val="center"/>
          </w:tcPr>
          <w:p w:rsidR="007A4D9E" w:rsidRPr="007A4D9E" w:rsidRDefault="007A4D9E" w:rsidP="007A4D9E">
            <w:pPr>
              <w:keepNext/>
              <w:keepLines/>
              <w:bidi/>
              <w:spacing w:before="60" w:after="60" w:line="280" w:lineRule="exact"/>
              <w:jc w:val="center"/>
              <w:rPr>
                <w:rFonts w:ascii="Arabic Typesetting" w:hAnsi="Arabic Typesetting" w:cs="Arabic Typesetting"/>
                <w:b/>
                <w:bCs/>
                <w:sz w:val="28"/>
                <w:szCs w:val="28"/>
                <w:lang w:bidi="ar-EG"/>
              </w:rPr>
            </w:pPr>
            <w:r w:rsidRPr="007A4D9E">
              <w:rPr>
                <w:rFonts w:ascii="Arabic Typesetting" w:hAnsi="Arabic Typesetting" w:cs="Arabic Typesetting"/>
                <w:b/>
                <w:bCs/>
                <w:sz w:val="28"/>
                <w:szCs w:val="28"/>
                <w:rtl/>
                <w:lang w:bidi="ar-EG"/>
              </w:rPr>
              <w:t>السير</w:t>
            </w:r>
          </w:p>
        </w:tc>
      </w:tr>
      <w:tr w:rsidR="007A4D9E" w:rsidRPr="007A4D9E" w:rsidTr="00224009">
        <w:trPr>
          <w:cantSplit/>
        </w:trPr>
        <w:tc>
          <w:tcPr>
            <w:tcW w:w="908" w:type="pct"/>
            <w:shd w:val="clear" w:color="auto" w:fill="auto"/>
          </w:tcPr>
          <w:p w:rsidR="007A4D9E" w:rsidRPr="007A4D9E" w:rsidRDefault="007A4D9E" w:rsidP="007A0848">
            <w:pPr>
              <w:bidi/>
              <w:spacing w:before="60" w:after="60" w:line="280" w:lineRule="exact"/>
              <w:rPr>
                <w:rFonts w:ascii="Arabic Typesetting" w:hAnsi="Arabic Typesetting" w:cs="Arabic Typesetting"/>
                <w:b/>
                <w:sz w:val="28"/>
                <w:szCs w:val="28"/>
                <w:rtl/>
                <w:lang w:bidi="ar-EG"/>
              </w:rPr>
            </w:pPr>
            <w:r w:rsidRPr="007A4D9E">
              <w:rPr>
                <w:rFonts w:ascii="Arabic Typesetting" w:hAnsi="Arabic Typesetting" w:cs="Arabic Typesetting"/>
                <w:b/>
                <w:sz w:val="28"/>
                <w:szCs w:val="28"/>
                <w:rtl/>
              </w:rPr>
              <w:t>توسع التغطية الجغرافية (مدريد)</w:t>
            </w:r>
          </w:p>
        </w:tc>
        <w:tc>
          <w:tcPr>
            <w:tcW w:w="1440" w:type="pct"/>
            <w:shd w:val="clear" w:color="auto" w:fill="auto"/>
          </w:tcPr>
          <w:p w:rsidR="007A0848" w:rsidRDefault="007A4D9E" w:rsidP="007A0848">
            <w:pPr>
              <w:bidi/>
              <w:spacing w:before="60" w:after="60" w:line="280" w:lineRule="exact"/>
              <w:rPr>
                <w:rFonts w:ascii="Arabic Typesetting" w:hAnsi="Arabic Typesetting" w:cs="Arabic Typesetting"/>
                <w:i/>
                <w:color w:val="002060"/>
                <w:sz w:val="28"/>
                <w:szCs w:val="28"/>
                <w:rtl/>
                <w:lang w:bidi="ar-EG"/>
              </w:rPr>
            </w:pPr>
            <w:r w:rsidRPr="007A4D9E">
              <w:rPr>
                <w:rFonts w:ascii="Arabic Typesetting" w:hAnsi="Arabic Typesetting" w:cs="Arabic Typesetting"/>
                <w:iCs/>
                <w:color w:val="002060"/>
                <w:sz w:val="28"/>
                <w:szCs w:val="28"/>
                <w:rtl/>
                <w:lang w:bidi="ar-EG"/>
              </w:rPr>
              <w:t>أسس المقارنة المحدثة في نهاية 2013:</w:t>
            </w:r>
            <w:r w:rsidRPr="007A4D9E">
              <w:rPr>
                <w:rFonts w:ascii="Arabic Typesetting" w:hAnsi="Arabic Typesetting" w:cs="Arabic Typesetting"/>
                <w:i/>
                <w:color w:val="002060"/>
                <w:sz w:val="28"/>
                <w:szCs w:val="28"/>
                <w:rtl/>
                <w:lang w:bidi="ar-EG"/>
              </w:rPr>
              <w:t xml:space="preserve"> 92 طرفا متعاقدا في نظام مدريد (</w:t>
            </w:r>
            <w:r w:rsidR="007A0848">
              <w:rPr>
                <w:rFonts w:ascii="Arabic Typesetting" w:hAnsi="Arabic Typesetting" w:cs="Arabic Typesetting" w:hint="cs"/>
                <w:i/>
                <w:color w:val="002060"/>
                <w:sz w:val="28"/>
                <w:szCs w:val="28"/>
                <w:rtl/>
                <w:lang w:bidi="ar-EG"/>
              </w:rPr>
              <w:t>نهاية</w:t>
            </w:r>
            <w:r w:rsidR="007A0848">
              <w:rPr>
                <w:rFonts w:ascii="Arabic Typesetting" w:hAnsi="Arabic Typesetting" w:cs="Arabic Typesetting" w:hint="eastAsia"/>
                <w:i/>
                <w:color w:val="002060"/>
                <w:sz w:val="28"/>
                <w:szCs w:val="28"/>
                <w:rtl/>
                <w:lang w:bidi="ar-EG"/>
              </w:rPr>
              <w:t> </w:t>
            </w:r>
            <w:r w:rsidRPr="007A4D9E">
              <w:rPr>
                <w:rFonts w:ascii="Arabic Typesetting" w:hAnsi="Arabic Typesetting" w:cs="Arabic Typesetting"/>
                <w:i/>
                <w:color w:val="002060"/>
                <w:sz w:val="28"/>
                <w:szCs w:val="28"/>
                <w:rtl/>
                <w:lang w:bidi="ar-EG"/>
              </w:rPr>
              <w:t>2013)</w:t>
            </w:r>
          </w:p>
          <w:p w:rsidR="007A4D9E" w:rsidRPr="007A4D9E" w:rsidRDefault="007A4D9E" w:rsidP="007A0848">
            <w:pPr>
              <w:bidi/>
              <w:spacing w:before="60" w:after="60" w:line="280" w:lineRule="exact"/>
              <w:rPr>
                <w:rFonts w:ascii="Arabic Typesetting" w:hAnsi="Arabic Typesetting" w:cs="Arabic Typesetting"/>
                <w:sz w:val="28"/>
                <w:szCs w:val="28"/>
                <w:lang w:bidi="ar-EG"/>
              </w:rPr>
            </w:pPr>
            <w:r w:rsidRPr="007A4D9E">
              <w:rPr>
                <w:rFonts w:ascii="Arabic Typesetting" w:hAnsi="Arabic Typesetting" w:cs="Arabic Typesetting"/>
                <w:iCs/>
                <w:sz w:val="28"/>
                <w:szCs w:val="28"/>
                <w:rtl/>
                <w:lang w:bidi="ar-EG"/>
              </w:rPr>
              <w:t>أسس المقارنة الأصلية في برنامج وميزانية 2014/15:</w:t>
            </w:r>
            <w:r w:rsidRPr="007A4D9E">
              <w:rPr>
                <w:rFonts w:ascii="Arabic Typesetting" w:hAnsi="Arabic Typesetting" w:cs="Arabic Typesetting"/>
                <w:sz w:val="28"/>
                <w:szCs w:val="28"/>
                <w:rtl/>
                <w:lang w:bidi="ar-EG"/>
              </w:rPr>
              <w:t>عدد الأطراف المتعاقدة في نهاية 2013</w:t>
            </w:r>
          </w:p>
        </w:tc>
        <w:tc>
          <w:tcPr>
            <w:tcW w:w="833" w:type="pct"/>
            <w:shd w:val="clear" w:color="auto" w:fill="auto"/>
            <w:tcMar>
              <w:top w:w="110" w:type="dxa"/>
            </w:tcMar>
          </w:tcPr>
          <w:p w:rsidR="007A4D9E" w:rsidRPr="007A4D9E" w:rsidRDefault="007A4D9E" w:rsidP="007A4D9E">
            <w:pPr>
              <w:bidi/>
              <w:spacing w:before="60" w:after="60" w:line="280" w:lineRule="exact"/>
              <w:rPr>
                <w:rFonts w:ascii="Arabic Typesetting" w:hAnsi="Arabic Typesetting" w:cs="Arabic Typesetting"/>
                <w:i/>
                <w:sz w:val="28"/>
                <w:szCs w:val="28"/>
                <w:lang w:bidi="ar-EG"/>
              </w:rPr>
            </w:pPr>
            <w:r w:rsidRPr="007A4D9E">
              <w:rPr>
                <w:rFonts w:ascii="Arabic Typesetting" w:hAnsi="Arabic Typesetting" w:cs="Arabic Typesetting"/>
                <w:i/>
                <w:sz w:val="28"/>
                <w:szCs w:val="28"/>
                <w:rtl/>
                <w:lang w:bidi="ar-EG"/>
              </w:rPr>
              <w:t>إجمالي عدد الأطراف المتعاقدة 100 بحلول نهاية 2015</w:t>
            </w:r>
          </w:p>
        </w:tc>
        <w:tc>
          <w:tcPr>
            <w:tcW w:w="1366" w:type="pct"/>
            <w:shd w:val="clear" w:color="auto" w:fill="FFFFFF"/>
            <w:tcMar>
              <w:top w:w="110" w:type="dxa"/>
            </w:tcMar>
          </w:tcPr>
          <w:p w:rsidR="007A4D9E" w:rsidRPr="007A4D9E" w:rsidRDefault="007A4D9E" w:rsidP="007A4D9E">
            <w:pPr>
              <w:bidi/>
              <w:spacing w:before="60" w:after="60" w:line="280" w:lineRule="exact"/>
              <w:rPr>
                <w:rFonts w:ascii="Arabic Typesetting" w:hAnsi="Arabic Typesetting" w:cs="Arabic Typesetting"/>
                <w:sz w:val="28"/>
                <w:szCs w:val="28"/>
                <w:lang w:bidi="ar-EG"/>
              </w:rPr>
            </w:pPr>
            <w:r w:rsidRPr="007A4D9E">
              <w:rPr>
                <w:rFonts w:ascii="Arabic Typesetting" w:hAnsi="Arabic Typesetting" w:cs="Arabic Typesetting"/>
                <w:sz w:val="28"/>
                <w:szCs w:val="28"/>
                <w:rtl/>
                <w:lang w:bidi="ar-EG"/>
              </w:rPr>
              <w:t xml:space="preserve">97 طرفا متعاقدا </w:t>
            </w:r>
            <w:r w:rsidR="007A0848">
              <w:rPr>
                <w:rFonts w:ascii="Arabic Typesetting" w:hAnsi="Arabic Typesetting" w:cs="Arabic Typesetting" w:hint="cs"/>
                <w:sz w:val="28"/>
                <w:szCs w:val="28"/>
                <w:rtl/>
                <w:lang w:bidi="ar-EG"/>
              </w:rPr>
              <w:t xml:space="preserve">يشمل 113 بلدا </w:t>
            </w:r>
            <w:r w:rsidRPr="007A4D9E">
              <w:rPr>
                <w:rFonts w:ascii="Arabic Typesetting" w:hAnsi="Arabic Typesetting" w:cs="Arabic Typesetting"/>
                <w:sz w:val="28"/>
                <w:szCs w:val="28"/>
                <w:rtl/>
                <w:lang w:bidi="ar-EG"/>
              </w:rPr>
              <w:t>بحلول نهاية 2015</w:t>
            </w:r>
          </w:p>
        </w:tc>
        <w:tc>
          <w:tcPr>
            <w:tcW w:w="453" w:type="pct"/>
            <w:shd w:val="clear" w:color="auto" w:fill="auto"/>
            <w:tcMar>
              <w:top w:w="110" w:type="dxa"/>
            </w:tcMar>
          </w:tcPr>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Pr>
            </w:pPr>
            <w:r w:rsidRPr="007A4D9E">
              <w:rPr>
                <w:rFonts w:ascii="Arabic Typesetting" w:hAnsi="Arabic Typesetting" w:cs="Arabic Typesetting"/>
                <w:bCs/>
                <w:color w:val="00B050"/>
                <w:sz w:val="28"/>
                <w:szCs w:val="28"/>
                <w:rtl/>
              </w:rPr>
              <w:t>محقق كلياً</w:t>
            </w:r>
          </w:p>
        </w:tc>
      </w:tr>
      <w:tr w:rsidR="007A4D9E" w:rsidRPr="007A4D9E" w:rsidTr="00224009">
        <w:trPr>
          <w:cantSplit/>
        </w:trPr>
        <w:tc>
          <w:tcPr>
            <w:tcW w:w="908" w:type="pct"/>
            <w:shd w:val="clear" w:color="auto" w:fill="auto"/>
          </w:tcPr>
          <w:p w:rsidR="007A4D9E" w:rsidRPr="007A4D9E" w:rsidRDefault="007A4D9E" w:rsidP="007A0848">
            <w:pPr>
              <w:bidi/>
              <w:spacing w:before="60" w:after="60" w:line="280" w:lineRule="exact"/>
              <w:rPr>
                <w:rFonts w:ascii="Arabic Typesetting" w:hAnsi="Arabic Typesetting" w:cs="Arabic Typesetting"/>
                <w:b/>
                <w:sz w:val="28"/>
                <w:szCs w:val="28"/>
                <w:rtl/>
                <w:lang w:bidi="ar-EG"/>
              </w:rPr>
            </w:pPr>
            <w:r w:rsidRPr="007A4D9E">
              <w:rPr>
                <w:rFonts w:ascii="Arabic Typesetting" w:hAnsi="Arabic Typesetting" w:cs="Arabic Typesetting"/>
                <w:b/>
                <w:sz w:val="28"/>
                <w:szCs w:val="28"/>
                <w:rtl/>
              </w:rPr>
              <w:t>توسع التغطية الجغرافية (لشبونة)</w:t>
            </w:r>
          </w:p>
        </w:tc>
        <w:tc>
          <w:tcPr>
            <w:tcW w:w="1440" w:type="pct"/>
            <w:shd w:val="clear" w:color="auto" w:fill="auto"/>
          </w:tcPr>
          <w:p w:rsidR="007A4D9E" w:rsidRPr="007A4D9E" w:rsidRDefault="007A4D9E" w:rsidP="007A4D9E">
            <w:pPr>
              <w:bidi/>
              <w:spacing w:before="60" w:after="60" w:line="280" w:lineRule="exact"/>
              <w:rPr>
                <w:rFonts w:ascii="Arabic Typesetting" w:hAnsi="Arabic Typesetting" w:cs="Arabic Typesetting"/>
                <w:i/>
                <w:color w:val="002060"/>
                <w:sz w:val="28"/>
                <w:szCs w:val="28"/>
                <w:rtl/>
                <w:lang w:bidi="ar-EG"/>
              </w:rPr>
            </w:pPr>
            <w:r w:rsidRPr="007A4D9E">
              <w:rPr>
                <w:rFonts w:ascii="Arabic Typesetting" w:hAnsi="Arabic Typesetting" w:cs="Arabic Typesetting"/>
                <w:iCs/>
                <w:color w:val="002060"/>
                <w:sz w:val="28"/>
                <w:szCs w:val="28"/>
                <w:rtl/>
                <w:lang w:bidi="ar-EG"/>
              </w:rPr>
              <w:t>أسس المقارنة المحدثة في نهاية 2013:</w:t>
            </w:r>
            <w:r w:rsidRPr="007A4D9E">
              <w:rPr>
                <w:rFonts w:ascii="Arabic Typesetting" w:hAnsi="Arabic Typesetting" w:cs="Arabic Typesetting"/>
                <w:i/>
                <w:color w:val="002060"/>
                <w:sz w:val="28"/>
                <w:szCs w:val="28"/>
                <w:rtl/>
                <w:lang w:bidi="ar-EG"/>
              </w:rPr>
              <w:t xml:space="preserve"> 28 (نهاية 2013)</w:t>
            </w:r>
          </w:p>
          <w:p w:rsidR="007A4D9E" w:rsidRPr="007A4D9E" w:rsidRDefault="007A4D9E" w:rsidP="007A4D9E">
            <w:pPr>
              <w:bidi/>
              <w:spacing w:before="60" w:after="60" w:line="280" w:lineRule="exact"/>
              <w:rPr>
                <w:rFonts w:ascii="Arabic Typesetting" w:hAnsi="Arabic Typesetting" w:cs="Arabic Typesetting"/>
                <w:sz w:val="28"/>
                <w:szCs w:val="28"/>
                <w:lang w:bidi="ar-EG"/>
              </w:rPr>
            </w:pPr>
            <w:r w:rsidRPr="007A4D9E">
              <w:rPr>
                <w:rFonts w:ascii="Arabic Typesetting" w:hAnsi="Arabic Typesetting" w:cs="Arabic Typesetting"/>
                <w:iCs/>
                <w:sz w:val="28"/>
                <w:szCs w:val="28"/>
                <w:rtl/>
                <w:lang w:bidi="ar-EG"/>
              </w:rPr>
              <w:t>أسس المقارنة الأصلية في برنامج وميزانية 2013/2014: 23 (أبريل 2013)</w:t>
            </w:r>
          </w:p>
        </w:tc>
        <w:tc>
          <w:tcPr>
            <w:tcW w:w="833" w:type="pct"/>
            <w:shd w:val="clear" w:color="auto" w:fill="auto"/>
            <w:tcMar>
              <w:top w:w="110" w:type="dxa"/>
            </w:tcMar>
          </w:tcPr>
          <w:p w:rsidR="007A4D9E" w:rsidRPr="007A4D9E" w:rsidRDefault="007A4D9E" w:rsidP="007A4D9E">
            <w:pPr>
              <w:bidi/>
              <w:spacing w:before="60" w:after="60" w:line="280" w:lineRule="exact"/>
              <w:rPr>
                <w:rFonts w:ascii="Arabic Typesetting" w:hAnsi="Arabic Typesetting" w:cs="Arabic Typesetting"/>
                <w:i/>
                <w:sz w:val="28"/>
                <w:szCs w:val="28"/>
                <w:lang w:bidi="ar-EG"/>
              </w:rPr>
            </w:pPr>
            <w:r w:rsidRPr="007A4D9E">
              <w:rPr>
                <w:rFonts w:ascii="Arabic Typesetting" w:hAnsi="Arabic Typesetting" w:cs="Arabic Typesetting"/>
                <w:i/>
                <w:sz w:val="28"/>
                <w:szCs w:val="28"/>
                <w:rtl/>
                <w:lang w:bidi="ar-EG"/>
              </w:rPr>
              <w:t>32</w:t>
            </w:r>
          </w:p>
        </w:tc>
        <w:tc>
          <w:tcPr>
            <w:tcW w:w="1366" w:type="pct"/>
            <w:shd w:val="clear" w:color="auto" w:fill="FFFFFF"/>
            <w:tcMar>
              <w:top w:w="110" w:type="dxa"/>
            </w:tcMar>
          </w:tcPr>
          <w:p w:rsidR="007A4D9E" w:rsidRPr="007A4D9E" w:rsidRDefault="007A4D9E" w:rsidP="007A4D9E">
            <w:pPr>
              <w:bidi/>
              <w:spacing w:before="60" w:after="60" w:line="280" w:lineRule="exact"/>
              <w:rPr>
                <w:rFonts w:ascii="Arabic Typesetting" w:hAnsi="Arabic Typesetting" w:cs="Arabic Typesetting"/>
                <w:sz w:val="28"/>
                <w:szCs w:val="28"/>
                <w:lang w:bidi="ar-EG"/>
              </w:rPr>
            </w:pPr>
            <w:r w:rsidRPr="007A4D9E">
              <w:rPr>
                <w:rFonts w:ascii="Arabic Typesetting" w:hAnsi="Arabic Typesetting" w:cs="Arabic Typesetting"/>
                <w:noProof/>
                <w:sz w:val="28"/>
                <w:szCs w:val="28"/>
                <w:rtl/>
              </w:rPr>
              <w:t>عدم انضمام أي أطراف متعاقدة جديدة</w:t>
            </w:r>
          </w:p>
        </w:tc>
        <w:tc>
          <w:tcPr>
            <w:tcW w:w="453" w:type="pct"/>
            <w:shd w:val="clear" w:color="auto" w:fill="auto"/>
            <w:tcMar>
              <w:top w:w="110" w:type="dxa"/>
            </w:tcMar>
          </w:tcPr>
          <w:p w:rsidR="007A4D9E" w:rsidRPr="007A4D9E" w:rsidRDefault="007A4D9E" w:rsidP="007A4D9E">
            <w:pPr>
              <w:keepNext/>
              <w:keepLines/>
              <w:bidi/>
              <w:spacing w:before="60" w:after="60" w:line="280" w:lineRule="exact"/>
              <w:jc w:val="center"/>
              <w:rPr>
                <w:rFonts w:ascii="Arabic Typesetting" w:hAnsi="Arabic Typesetting" w:cs="Arabic Typesetting"/>
                <w:bCs/>
                <w:color w:val="FF0000"/>
                <w:sz w:val="28"/>
                <w:szCs w:val="28"/>
                <w:lang w:bidi="ar-EG"/>
              </w:rPr>
            </w:pPr>
            <w:r w:rsidRPr="007A4D9E">
              <w:rPr>
                <w:rFonts w:ascii="Arabic Typesetting" w:hAnsi="Arabic Typesetting" w:cs="Arabic Typesetting"/>
                <w:bCs/>
                <w:color w:val="FF0000"/>
                <w:sz w:val="28"/>
                <w:szCs w:val="28"/>
                <w:rtl/>
                <w:lang w:bidi="ar-EG"/>
              </w:rPr>
              <w:t>غير محقق</w:t>
            </w:r>
          </w:p>
        </w:tc>
      </w:tr>
      <w:tr w:rsidR="007A4D9E" w:rsidRPr="007A4D9E" w:rsidTr="00224009">
        <w:trPr>
          <w:cantSplit/>
        </w:trPr>
        <w:tc>
          <w:tcPr>
            <w:tcW w:w="908" w:type="pct"/>
            <w:shd w:val="clear" w:color="auto" w:fill="FFFFFF"/>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اعتماد أحكام لترشيد الإطار القانوني لنظام لشبونة أو تحديثه</w:t>
            </w:r>
          </w:p>
        </w:tc>
        <w:tc>
          <w:tcPr>
            <w:tcW w:w="1440" w:type="pct"/>
            <w:shd w:val="clear" w:color="auto" w:fill="auto"/>
          </w:tcPr>
          <w:p w:rsidR="007A4D9E" w:rsidRPr="007A4D9E" w:rsidRDefault="007A4D9E" w:rsidP="007A4D9E">
            <w:pPr>
              <w:bidi/>
              <w:spacing w:before="60" w:after="60" w:line="280" w:lineRule="exact"/>
              <w:rPr>
                <w:rFonts w:ascii="Arabic Typesetting" w:hAnsi="Arabic Typesetting" w:cs="Arabic Typesetting"/>
                <w:iCs/>
                <w:color w:val="002060"/>
                <w:sz w:val="28"/>
                <w:szCs w:val="28"/>
                <w:rtl/>
                <w:lang w:bidi="ar-EG"/>
              </w:rPr>
            </w:pPr>
            <w:r w:rsidRPr="007A4D9E">
              <w:rPr>
                <w:rFonts w:ascii="Arabic Typesetting" w:hAnsi="Arabic Typesetting" w:cs="Arabic Typesetting"/>
                <w:iCs/>
                <w:color w:val="002060"/>
                <w:sz w:val="28"/>
                <w:szCs w:val="28"/>
                <w:rtl/>
                <w:lang w:bidi="ar-EG"/>
              </w:rPr>
              <w:t>أسس المقارنة المحدثة في نهاية 2013:</w:t>
            </w:r>
            <w:r w:rsidRPr="007A4D9E">
              <w:rPr>
                <w:rFonts w:ascii="Arabic Typesetting" w:hAnsi="Arabic Typesetting" w:cs="Arabic Typesetting"/>
                <w:i/>
                <w:color w:val="002060"/>
                <w:sz w:val="28"/>
                <w:szCs w:val="28"/>
                <w:rtl/>
                <w:lang w:bidi="ar-EG"/>
              </w:rPr>
              <w:t xml:space="preserve"> إعداد مراجعة لاتفاق لشبونة وتعديلات اللائحة التنفيذية في إطار الفريق العامل المعني بتطوير نظام لشبونة </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sz w:val="28"/>
                <w:szCs w:val="28"/>
                <w:rtl/>
                <w:lang w:bidi="ar-EG"/>
              </w:rPr>
              <w:t>أسس المقارنة الأصلية في برنامج وميزانية 2013/14</w:t>
            </w:r>
            <w:r w:rsidRPr="007A4D9E">
              <w:rPr>
                <w:rFonts w:ascii="Arabic Typesetting" w:hAnsi="Arabic Typesetting" w:cs="Arabic Typesetting"/>
                <w:i/>
                <w:sz w:val="28"/>
                <w:szCs w:val="28"/>
                <w:rtl/>
                <w:lang w:bidi="ar-EG"/>
              </w:rPr>
              <w:t xml:space="preserve">: </w:t>
            </w:r>
            <w:r w:rsidRPr="007A4D9E">
              <w:rPr>
                <w:rFonts w:ascii="Arabic Typesetting" w:hAnsi="Arabic Typesetting" w:cs="Arabic Typesetting"/>
                <w:noProof/>
                <w:sz w:val="28"/>
                <w:szCs w:val="28"/>
                <w:rtl/>
              </w:rPr>
              <w:t>اتفاق لشبونة، واللائحة التنفيذية والتعليمات الإدارية السارية في نهاية عام 2013</w:t>
            </w:r>
          </w:p>
        </w:tc>
        <w:tc>
          <w:tcPr>
            <w:tcW w:w="833" w:type="pct"/>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b/>
                <w:sz w:val="28"/>
                <w:szCs w:val="28"/>
              </w:rPr>
            </w:pPr>
            <w:r w:rsidRPr="007A4D9E">
              <w:rPr>
                <w:rFonts w:ascii="Arabic Typesetting" w:hAnsi="Arabic Typesetting" w:cs="Arabic Typesetting"/>
                <w:b/>
                <w:noProof/>
                <w:sz w:val="28"/>
                <w:szCs w:val="28"/>
                <w:rtl/>
              </w:rPr>
              <w:t>مراجعة اتفاق لشبونة وتعديلات على اللائحة التنفيذية والتعليمات الإدارية</w:t>
            </w:r>
          </w:p>
        </w:tc>
        <w:tc>
          <w:tcPr>
            <w:tcW w:w="1366" w:type="pct"/>
            <w:shd w:val="clear" w:color="auto" w:fill="FFFFFF"/>
            <w:tcMar>
              <w:top w:w="110" w:type="dxa"/>
            </w:tcMar>
          </w:tcPr>
          <w:p w:rsidR="007A4D9E" w:rsidRPr="007A4D9E" w:rsidRDefault="007A4D9E" w:rsidP="007A4D9E">
            <w:pPr>
              <w:bidi/>
              <w:spacing w:before="60" w:after="60" w:line="280" w:lineRule="exact"/>
              <w:rPr>
                <w:rFonts w:ascii="Arabic Typesetting" w:hAnsi="Arabic Typesetting" w:cs="Arabic Typesetting"/>
                <w:sz w:val="28"/>
                <w:szCs w:val="28"/>
              </w:rPr>
            </w:pPr>
            <w:r w:rsidRPr="007A4D9E">
              <w:rPr>
                <w:rFonts w:ascii="Arabic Typesetting" w:hAnsi="Arabic Typesetting" w:cs="Arabic Typesetting"/>
                <w:sz w:val="28"/>
                <w:szCs w:val="28"/>
                <w:rtl/>
              </w:rPr>
              <w:t>اعتماد وثيقة جنيف لاتفاق لشبونة بشأن تسميات المنشأ والمؤشرات الجغرافية في مايو 2015</w:t>
            </w:r>
          </w:p>
        </w:tc>
        <w:tc>
          <w:tcPr>
            <w:tcW w:w="453" w:type="pct"/>
            <w:shd w:val="clear" w:color="auto" w:fill="auto"/>
            <w:tcMar>
              <w:top w:w="110" w:type="dxa"/>
            </w:tcMar>
          </w:tcPr>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Pr>
            </w:pPr>
            <w:r w:rsidRPr="007A4D9E">
              <w:rPr>
                <w:rFonts w:ascii="Arabic Typesetting" w:hAnsi="Arabic Typesetting" w:cs="Arabic Typesetting"/>
                <w:bCs/>
                <w:color w:val="00B050"/>
                <w:sz w:val="28"/>
                <w:szCs w:val="28"/>
                <w:rtl/>
              </w:rPr>
              <w:t>محقق كلياً</w:t>
            </w:r>
          </w:p>
        </w:tc>
      </w:tr>
      <w:tr w:rsidR="007A4D9E" w:rsidRPr="007A4D9E" w:rsidTr="00224009">
        <w:trPr>
          <w:cantSplit/>
        </w:trPr>
        <w:tc>
          <w:tcPr>
            <w:tcW w:w="908"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عدد الطلبات الدولية (مدريد)</w:t>
            </w:r>
          </w:p>
        </w:tc>
        <w:tc>
          <w:tcPr>
            <w:tcW w:w="1440" w:type="pct"/>
            <w:shd w:val="clear" w:color="auto" w:fill="auto"/>
          </w:tcPr>
          <w:p w:rsidR="007A4D9E" w:rsidRPr="007A4D9E" w:rsidRDefault="007A4D9E" w:rsidP="007A4D9E">
            <w:pPr>
              <w:bidi/>
              <w:spacing w:before="60" w:after="60" w:line="280" w:lineRule="exact"/>
              <w:rPr>
                <w:rFonts w:ascii="Arabic Typesetting" w:hAnsi="Arabic Typesetting" w:cs="Arabic Typesetting"/>
                <w:iCs/>
                <w:color w:val="002060"/>
                <w:sz w:val="28"/>
                <w:szCs w:val="28"/>
                <w:rtl/>
                <w:lang w:bidi="ar-EG"/>
              </w:rPr>
            </w:pPr>
            <w:r w:rsidRPr="007A4D9E">
              <w:rPr>
                <w:rFonts w:ascii="Arabic Typesetting" w:hAnsi="Arabic Typesetting" w:cs="Arabic Typesetting"/>
                <w:iCs/>
                <w:color w:val="002060"/>
                <w:sz w:val="28"/>
                <w:szCs w:val="28"/>
                <w:rtl/>
                <w:lang w:bidi="ar-EG"/>
              </w:rPr>
              <w:t>أسس المقارنة المحدثة في نهاية 2013:</w:t>
            </w:r>
            <w:r w:rsidRPr="007A4D9E">
              <w:rPr>
                <w:rFonts w:ascii="Arabic Typesetting" w:hAnsi="Arabic Typesetting" w:cs="Arabic Typesetting"/>
                <w:i/>
                <w:color w:val="002060"/>
                <w:sz w:val="28"/>
                <w:szCs w:val="28"/>
                <w:rtl/>
                <w:lang w:bidi="ar-EG"/>
              </w:rPr>
              <w:t xml:space="preserve"> 018 44 (2012)</w:t>
            </w:r>
            <w:r w:rsidRPr="007A4D9E">
              <w:rPr>
                <w:rFonts w:ascii="Arabic Typesetting" w:hAnsi="Arabic Typesetting" w:cs="Arabic Typesetting"/>
                <w:i/>
                <w:color w:val="002060"/>
                <w:sz w:val="28"/>
                <w:szCs w:val="28"/>
                <w:rtl/>
                <w:lang w:bidi="ar-EG"/>
              </w:rPr>
              <w:br/>
              <w:t>829 46 (2013)</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sz w:val="28"/>
                <w:szCs w:val="28"/>
                <w:rtl/>
                <w:lang w:bidi="ar-EG"/>
              </w:rPr>
              <w:t>أسس المقارنة الأصلية في برنامج وميزانية 2014/15:</w:t>
            </w:r>
            <w:r w:rsidRPr="007A4D9E">
              <w:rPr>
                <w:rFonts w:ascii="Arabic Typesetting" w:hAnsi="Arabic Typesetting" w:cs="Arabic Typesetting"/>
                <w:sz w:val="28"/>
                <w:szCs w:val="28"/>
                <w:rtl/>
              </w:rPr>
              <w:t xml:space="preserve"> </w:t>
            </w:r>
            <w:r w:rsidRPr="007A4D9E">
              <w:rPr>
                <w:rFonts w:ascii="Arabic Typesetting" w:hAnsi="Arabic Typesetting" w:cs="Arabic Typesetting"/>
                <w:sz w:val="28"/>
                <w:szCs w:val="28"/>
                <w:rtl/>
                <w:lang w:bidi="ar-EG"/>
              </w:rPr>
              <w:t>عدد الطلبات الدولية في نهاية عام 2013</w:t>
            </w:r>
          </w:p>
        </w:tc>
        <w:tc>
          <w:tcPr>
            <w:tcW w:w="833" w:type="pct"/>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زيادة بنسبة 8.1% بحلول نهاية 2015</w:t>
            </w:r>
          </w:p>
        </w:tc>
        <w:tc>
          <w:tcPr>
            <w:tcW w:w="1366" w:type="pct"/>
            <w:shd w:val="clear" w:color="auto" w:fill="FFFFFF"/>
            <w:tcMar>
              <w:top w:w="110" w:type="dxa"/>
            </w:tcMar>
          </w:tcPr>
          <w:p w:rsidR="007A4D9E" w:rsidRPr="007A4D9E" w:rsidRDefault="003B2ED5" w:rsidP="007A4D9E">
            <w:pPr>
              <w:keepNext/>
              <w:keepLines/>
              <w:bidi/>
              <w:adjustRightInd w:val="0"/>
              <w:snapToGrid w:val="0"/>
              <w:spacing w:before="60" w:after="60" w:line="280" w:lineRule="exact"/>
              <w:rPr>
                <w:rFonts w:ascii="Arabic Typesetting" w:hAnsi="Arabic Typesetting" w:cs="Arabic Typesetting"/>
                <w:noProof/>
                <w:sz w:val="28"/>
                <w:szCs w:val="28"/>
                <w:rtl/>
              </w:rPr>
            </w:pPr>
            <w:r>
              <w:rPr>
                <w:rFonts w:ascii="Arabic Typesetting" w:hAnsi="Arabic Typesetting" w:cs="Arabic Typesetting" w:hint="cs"/>
                <w:noProof/>
                <w:sz w:val="28"/>
                <w:szCs w:val="28"/>
                <w:rtl/>
              </w:rPr>
              <w:t>تسلّم</w:t>
            </w:r>
            <w:r w:rsidR="007A4D9E" w:rsidRPr="007A4D9E">
              <w:rPr>
                <w:rFonts w:ascii="Arabic Typesetting" w:hAnsi="Arabic Typesetting" w:cs="Arabic Typesetting"/>
                <w:noProof/>
                <w:sz w:val="28"/>
                <w:szCs w:val="28"/>
                <w:rtl/>
              </w:rPr>
              <w:t xml:space="preserve"> ما مجموعه 158 97 طلبا دوليا في الثنائية 2014/15:</w:t>
            </w:r>
          </w:p>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noProof/>
                <w:sz w:val="28"/>
                <w:szCs w:val="28"/>
                <w:rtl/>
              </w:rPr>
              <w:t>885 47 (2014)</w:t>
            </w:r>
          </w:p>
          <w:p w:rsidR="007A4D9E" w:rsidRPr="007A4D9E" w:rsidRDefault="007A4D9E" w:rsidP="00224009">
            <w:pPr>
              <w:keepNext/>
              <w:keepLines/>
              <w:bidi/>
              <w:adjustRightInd w:val="0"/>
              <w:snapToGrid w:val="0"/>
              <w:spacing w:before="60" w:after="120" w:line="280" w:lineRule="exact"/>
              <w:rPr>
                <w:rFonts w:ascii="Arabic Typesetting" w:hAnsi="Arabic Typesetting" w:cs="Arabic Typesetting"/>
                <w:noProof/>
                <w:sz w:val="28"/>
                <w:szCs w:val="28"/>
                <w:rtl/>
              </w:rPr>
            </w:pPr>
            <w:r w:rsidRPr="007A4D9E">
              <w:rPr>
                <w:rFonts w:ascii="Arabic Typesetting" w:hAnsi="Arabic Typesetting" w:cs="Arabic Typesetting"/>
                <w:noProof/>
                <w:sz w:val="28"/>
                <w:szCs w:val="28"/>
                <w:rtl/>
              </w:rPr>
              <w:t>273 49 (2015)</w:t>
            </w:r>
          </w:p>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noProof/>
                <w:sz w:val="28"/>
                <w:szCs w:val="28"/>
              </w:rPr>
            </w:pPr>
            <w:r w:rsidRPr="007A4D9E">
              <w:rPr>
                <w:rFonts w:ascii="Arabic Typesetting" w:hAnsi="Arabic Typesetting" w:cs="Arabic Typesetting"/>
                <w:noProof/>
                <w:sz w:val="28"/>
                <w:szCs w:val="28"/>
                <w:rtl/>
              </w:rPr>
              <w:t>ويمثّل ذلك نموا بنسبة 6.9% مقارنة بالثنائية 2012/13.</w:t>
            </w:r>
          </w:p>
        </w:tc>
        <w:tc>
          <w:tcPr>
            <w:tcW w:w="453" w:type="pct"/>
            <w:shd w:val="clear" w:color="auto" w:fill="auto"/>
            <w:tcMar>
              <w:top w:w="110" w:type="dxa"/>
            </w:tcMar>
          </w:tcPr>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Pr>
            </w:pPr>
            <w:r w:rsidRPr="007A4D9E">
              <w:rPr>
                <w:rFonts w:ascii="Arabic Typesetting" w:hAnsi="Arabic Typesetting" w:cs="Arabic Typesetting"/>
                <w:bCs/>
                <w:color w:val="00B050"/>
                <w:sz w:val="28"/>
                <w:szCs w:val="28"/>
                <w:rtl/>
              </w:rPr>
              <w:t>محقق كلياً</w:t>
            </w:r>
          </w:p>
        </w:tc>
      </w:tr>
      <w:tr w:rsidR="007A4D9E" w:rsidRPr="007A4D9E" w:rsidTr="00224009">
        <w:trPr>
          <w:cantSplit/>
        </w:trPr>
        <w:tc>
          <w:tcPr>
            <w:tcW w:w="908" w:type="pct"/>
            <w:tcBorders>
              <w:bottom w:val="single" w:sz="4" w:space="0" w:color="auto"/>
            </w:tcBorders>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حصة المكاتب المعنية التي تقدم معلومات مُحدَّثة عن نظام مدريد</w:t>
            </w:r>
          </w:p>
        </w:tc>
        <w:tc>
          <w:tcPr>
            <w:tcW w:w="1440" w:type="pct"/>
            <w:tcBorders>
              <w:bottom w:val="single" w:sz="4" w:space="0" w:color="auto"/>
            </w:tcBorders>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حصة المكاتب التي تقدم هذه المعلومات</w:t>
            </w:r>
          </w:p>
        </w:tc>
        <w:tc>
          <w:tcPr>
            <w:tcW w:w="833" w:type="pct"/>
            <w:tcBorders>
              <w:bottom w:val="single" w:sz="4" w:space="0" w:color="auto"/>
            </w:tcBorders>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b/>
                <w:sz w:val="28"/>
                <w:szCs w:val="28"/>
              </w:rPr>
            </w:pPr>
            <w:r w:rsidRPr="007A4D9E">
              <w:rPr>
                <w:rFonts w:ascii="Arabic Typesetting" w:hAnsi="Arabic Typesetting" w:cs="Arabic Typesetting"/>
                <w:b/>
                <w:noProof/>
                <w:sz w:val="28"/>
                <w:szCs w:val="28"/>
                <w:rtl/>
              </w:rPr>
              <w:t>زيادة الحصة</w:t>
            </w:r>
          </w:p>
        </w:tc>
        <w:tc>
          <w:tcPr>
            <w:tcW w:w="1366" w:type="pct"/>
            <w:tcBorders>
              <w:bottom w:val="single" w:sz="4" w:space="0" w:color="auto"/>
            </w:tcBorders>
            <w:shd w:val="clear" w:color="auto" w:fill="FFFFFF"/>
            <w:tcMar>
              <w:top w:w="110" w:type="dxa"/>
            </w:tcMar>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p>
        </w:tc>
        <w:tc>
          <w:tcPr>
            <w:tcW w:w="453" w:type="pct"/>
            <w:tcBorders>
              <w:bottom w:val="single" w:sz="4" w:space="0" w:color="auto"/>
            </w:tcBorders>
            <w:shd w:val="clear" w:color="auto" w:fill="auto"/>
            <w:tcMar>
              <w:top w:w="110" w:type="dxa"/>
            </w:tcMar>
          </w:tcPr>
          <w:p w:rsidR="007A4D9E" w:rsidRPr="007A4D9E" w:rsidRDefault="007A4D9E" w:rsidP="007A4D9E">
            <w:pPr>
              <w:keepNext/>
              <w:bidi/>
              <w:spacing w:before="60" w:after="60" w:line="280" w:lineRule="exact"/>
              <w:jc w:val="center"/>
              <w:rPr>
                <w:rFonts w:ascii="Arabic Typesetting" w:hAnsi="Arabic Typesetting" w:cs="Arabic Typesetting"/>
                <w:b/>
                <w:bCs/>
                <w:sz w:val="28"/>
                <w:szCs w:val="28"/>
              </w:rPr>
            </w:pPr>
            <w:r w:rsidRPr="007A4D9E">
              <w:rPr>
                <w:rFonts w:ascii="Arabic Typesetting" w:hAnsi="Arabic Typesetting" w:cs="Arabic Typesetting"/>
                <w:bCs/>
                <w:sz w:val="28"/>
                <w:szCs w:val="28"/>
                <w:rtl/>
                <w:lang w:bidi="ar-EG"/>
              </w:rPr>
              <w:t>منقطع</w:t>
            </w:r>
          </w:p>
        </w:tc>
      </w:tr>
      <w:tr w:rsidR="007A4D9E" w:rsidRPr="007A4D9E" w:rsidTr="00224009">
        <w:trPr>
          <w:cantSplit/>
        </w:trPr>
        <w:tc>
          <w:tcPr>
            <w:tcW w:w="5000" w:type="pct"/>
            <w:gridSpan w:val="5"/>
            <w:tcBorders>
              <w:top w:val="single" w:sz="4" w:space="0" w:color="auto"/>
              <w:bottom w:val="single" w:sz="4" w:space="0" w:color="auto"/>
            </w:tcBorders>
            <w:shd w:val="clear" w:color="auto" w:fill="C6D9F1" w:themeFill="text2" w:themeFillTint="33"/>
          </w:tcPr>
          <w:p w:rsidR="007A4D9E" w:rsidRPr="007A4D9E" w:rsidRDefault="007A4D9E" w:rsidP="00224009">
            <w:pPr>
              <w:keepNext/>
              <w:bidi/>
              <w:spacing w:after="60" w:line="280" w:lineRule="exact"/>
              <w:ind w:left="1167" w:hanging="1167"/>
              <w:rPr>
                <w:rFonts w:ascii="Arabic Typesetting" w:hAnsi="Arabic Typesetting" w:cs="Arabic Typesetting"/>
                <w:b/>
                <w:bCs/>
                <w:sz w:val="28"/>
                <w:szCs w:val="28"/>
                <w:lang w:bidi="ar-EG"/>
              </w:rPr>
            </w:pPr>
            <w:r w:rsidRPr="007A4D9E">
              <w:rPr>
                <w:rFonts w:ascii="Arabic Typesetting" w:hAnsi="Arabic Typesetting" w:cs="Arabic Typesetting"/>
                <w:b/>
                <w:bCs/>
                <w:sz w:val="28"/>
                <w:szCs w:val="28"/>
                <w:rtl/>
                <w:lang w:bidi="ar-EG"/>
              </w:rPr>
              <w:lastRenderedPageBreak/>
              <w:t>النتيجة المرتقبة:</w:t>
            </w:r>
            <w:r w:rsidRPr="007A4D9E">
              <w:rPr>
                <w:rFonts w:ascii="Arabic Typesetting" w:hAnsi="Arabic Typesetting" w:cs="Arabic Typesetting" w:hint="cs"/>
                <w:b/>
                <w:bCs/>
                <w:sz w:val="28"/>
                <w:szCs w:val="28"/>
                <w:rtl/>
                <w:lang w:bidi="ar-EG"/>
              </w:rPr>
              <w:tab/>
            </w:r>
            <w:r w:rsidRPr="007A4D9E">
              <w:rPr>
                <w:rFonts w:ascii="Arabic Typesetting" w:hAnsi="Arabic Typesetting" w:cs="Arabic Typesetting" w:hint="cs"/>
                <w:sz w:val="28"/>
                <w:szCs w:val="28"/>
                <w:rtl/>
                <w:lang w:bidi="ar-EG"/>
              </w:rPr>
              <w:t xml:space="preserve">ه6.2 </w:t>
            </w:r>
            <w:r w:rsidR="00A0719D">
              <w:rPr>
                <w:rFonts w:ascii="Arabic Typesetting" w:hAnsi="Arabic Typesetting" w:cs="Arabic Typesetting"/>
                <w:sz w:val="28"/>
                <w:szCs w:val="28"/>
                <w:rtl/>
                <w:lang w:bidi="ar-EG"/>
              </w:rPr>
              <w:t>الانتفاع بنظامي مدريد ولشبونة على نطاق أوسع ونحو أفضل، بما في ذلك من جهة البلدان الأقل نموا</w:t>
            </w:r>
          </w:p>
        </w:tc>
      </w:tr>
      <w:tr w:rsidR="007A4D9E" w:rsidRPr="007A4D9E" w:rsidTr="00224009">
        <w:trPr>
          <w:cantSplit/>
        </w:trPr>
        <w:tc>
          <w:tcPr>
            <w:tcW w:w="908" w:type="pct"/>
            <w:tcBorders>
              <w:top w:val="single" w:sz="4" w:space="0" w:color="auto"/>
            </w:tcBorders>
            <w:shd w:val="clear" w:color="auto" w:fill="auto"/>
          </w:tcPr>
          <w:p w:rsidR="007A4D9E" w:rsidRPr="007A4D9E" w:rsidRDefault="007A4D9E" w:rsidP="005E1E69">
            <w:pPr>
              <w:keepNext/>
              <w:bidi/>
              <w:spacing w:before="60" w:after="60" w:line="280" w:lineRule="exact"/>
              <w:rPr>
                <w:rFonts w:ascii="Arabic Typesetting" w:hAnsi="Arabic Typesetting" w:cs="Arabic Typesetting"/>
                <w:b/>
                <w:sz w:val="28"/>
                <w:szCs w:val="28"/>
                <w:rtl/>
                <w:lang w:bidi="ar-EG"/>
              </w:rPr>
            </w:pPr>
            <w:r w:rsidRPr="007A4D9E">
              <w:rPr>
                <w:rFonts w:ascii="Arabic Typesetting" w:hAnsi="Arabic Typesetting" w:cs="Arabic Typesetting"/>
                <w:bCs/>
                <w:sz w:val="28"/>
                <w:szCs w:val="28"/>
                <w:rtl/>
                <w:lang w:bidi="ar-EG"/>
              </w:rPr>
              <w:t>مؤشرات الأداء</w:t>
            </w:r>
          </w:p>
        </w:tc>
        <w:tc>
          <w:tcPr>
            <w:tcW w:w="1440" w:type="pct"/>
            <w:tcBorders>
              <w:top w:val="single" w:sz="4" w:space="0" w:color="auto"/>
            </w:tcBorders>
            <w:shd w:val="clear" w:color="auto" w:fill="auto"/>
            <w:vAlign w:val="center"/>
          </w:tcPr>
          <w:p w:rsidR="007A4D9E" w:rsidRPr="007A4D9E" w:rsidRDefault="007A4D9E" w:rsidP="005E1E69">
            <w:pPr>
              <w:keepNext/>
              <w:bidi/>
              <w:spacing w:before="60" w:after="60" w:line="280" w:lineRule="exact"/>
              <w:rPr>
                <w:rFonts w:ascii="Arabic Typesetting" w:hAnsi="Arabic Typesetting" w:cs="Arabic Typesetting"/>
                <w:bCs/>
                <w:sz w:val="28"/>
                <w:szCs w:val="28"/>
                <w:lang w:bidi="ar-EG"/>
              </w:rPr>
            </w:pPr>
            <w:r w:rsidRPr="007A4D9E">
              <w:rPr>
                <w:rFonts w:ascii="Arabic Typesetting" w:hAnsi="Arabic Typesetting" w:cs="Arabic Typesetting"/>
                <w:bCs/>
                <w:sz w:val="28"/>
                <w:szCs w:val="28"/>
                <w:rtl/>
                <w:lang w:bidi="ar-EG"/>
              </w:rPr>
              <w:t>أسس المقارنة</w:t>
            </w:r>
          </w:p>
        </w:tc>
        <w:tc>
          <w:tcPr>
            <w:tcW w:w="833" w:type="pct"/>
            <w:tcBorders>
              <w:top w:val="single" w:sz="4" w:space="0" w:color="auto"/>
            </w:tcBorders>
            <w:shd w:val="clear" w:color="auto" w:fill="auto"/>
            <w:tcMar>
              <w:top w:w="110" w:type="dxa"/>
            </w:tcMar>
            <w:vAlign w:val="center"/>
          </w:tcPr>
          <w:p w:rsidR="007A4D9E" w:rsidRPr="007A4D9E" w:rsidRDefault="007A4D9E" w:rsidP="005E1E69">
            <w:pPr>
              <w:keepNext/>
              <w:bidi/>
              <w:spacing w:before="60" w:after="60" w:line="280" w:lineRule="exact"/>
              <w:rPr>
                <w:rFonts w:ascii="Arabic Typesetting" w:hAnsi="Arabic Typesetting" w:cs="Arabic Typesetting"/>
                <w:bCs/>
                <w:sz w:val="28"/>
                <w:szCs w:val="28"/>
                <w:lang w:bidi="ar-EG"/>
              </w:rPr>
            </w:pPr>
            <w:r w:rsidRPr="007A4D9E">
              <w:rPr>
                <w:rFonts w:ascii="Arabic Typesetting" w:hAnsi="Arabic Typesetting" w:cs="Arabic Typesetting"/>
                <w:bCs/>
                <w:sz w:val="28"/>
                <w:szCs w:val="28"/>
                <w:rtl/>
                <w:lang w:bidi="ar-EG"/>
              </w:rPr>
              <w:t>الأهداف</w:t>
            </w:r>
          </w:p>
        </w:tc>
        <w:tc>
          <w:tcPr>
            <w:tcW w:w="1366" w:type="pct"/>
            <w:tcBorders>
              <w:top w:val="single" w:sz="4" w:space="0" w:color="auto"/>
            </w:tcBorders>
            <w:shd w:val="clear" w:color="auto" w:fill="FFFFFF"/>
            <w:tcMar>
              <w:top w:w="110" w:type="dxa"/>
            </w:tcMar>
            <w:vAlign w:val="center"/>
          </w:tcPr>
          <w:p w:rsidR="007A4D9E" w:rsidRPr="007A4D9E" w:rsidRDefault="007A4D9E" w:rsidP="005E1E69">
            <w:pPr>
              <w:keepNext/>
              <w:bidi/>
              <w:spacing w:before="60" w:after="60" w:line="280" w:lineRule="exact"/>
              <w:rPr>
                <w:rFonts w:ascii="Arabic Typesetting" w:hAnsi="Arabic Typesetting" w:cs="Arabic Typesetting"/>
                <w:bCs/>
                <w:sz w:val="28"/>
                <w:szCs w:val="28"/>
                <w:lang w:bidi="ar-EG"/>
              </w:rPr>
            </w:pPr>
            <w:r w:rsidRPr="007A4D9E">
              <w:rPr>
                <w:rFonts w:ascii="Arabic Typesetting" w:hAnsi="Arabic Typesetting" w:cs="Arabic Typesetting"/>
                <w:bCs/>
                <w:sz w:val="28"/>
                <w:szCs w:val="28"/>
                <w:rtl/>
                <w:lang w:bidi="ar-EG"/>
              </w:rPr>
              <w:t>بيانات الأداء</w:t>
            </w:r>
          </w:p>
        </w:tc>
        <w:tc>
          <w:tcPr>
            <w:tcW w:w="453" w:type="pct"/>
            <w:tcBorders>
              <w:top w:val="single" w:sz="4" w:space="0" w:color="auto"/>
            </w:tcBorders>
            <w:shd w:val="clear" w:color="auto" w:fill="auto"/>
            <w:tcMar>
              <w:top w:w="110" w:type="dxa"/>
            </w:tcMar>
            <w:vAlign w:val="center"/>
          </w:tcPr>
          <w:p w:rsidR="007A4D9E" w:rsidRPr="007A4D9E" w:rsidRDefault="007A4D9E" w:rsidP="005E1E69">
            <w:pPr>
              <w:keepNext/>
              <w:keepLines/>
              <w:bidi/>
              <w:spacing w:before="60" w:after="60" w:line="280" w:lineRule="exact"/>
              <w:jc w:val="center"/>
              <w:rPr>
                <w:rFonts w:ascii="Arabic Typesetting" w:hAnsi="Arabic Typesetting" w:cs="Arabic Typesetting"/>
                <w:b/>
                <w:bCs/>
                <w:sz w:val="28"/>
                <w:szCs w:val="28"/>
                <w:lang w:bidi="ar-EG"/>
              </w:rPr>
            </w:pPr>
            <w:r w:rsidRPr="007A4D9E">
              <w:rPr>
                <w:rFonts w:ascii="Arabic Typesetting" w:hAnsi="Arabic Typesetting" w:cs="Arabic Typesetting"/>
                <w:bCs/>
                <w:sz w:val="28"/>
                <w:szCs w:val="28"/>
                <w:rtl/>
                <w:lang w:bidi="ar-EG"/>
              </w:rPr>
              <w:t>السير</w:t>
            </w:r>
          </w:p>
        </w:tc>
      </w:tr>
      <w:tr w:rsidR="007A4D9E" w:rsidRPr="007A4D9E" w:rsidTr="00224009">
        <w:trPr>
          <w:cantSplit/>
        </w:trPr>
        <w:tc>
          <w:tcPr>
            <w:tcW w:w="908" w:type="pct"/>
            <w:shd w:val="clear" w:color="auto" w:fill="auto"/>
          </w:tcPr>
          <w:p w:rsidR="007A4D9E" w:rsidRPr="007A4D9E" w:rsidRDefault="007A4D9E" w:rsidP="00224009">
            <w:pPr>
              <w:keepNext/>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 xml:space="preserve">النسبة المئوية للمشاركين في </w:t>
            </w:r>
            <w:r w:rsidRPr="007A4D9E">
              <w:rPr>
                <w:rFonts w:ascii="Arabic Typesetting" w:hAnsi="Arabic Typesetting" w:cs="Arabic Typesetting" w:hint="cs"/>
                <w:noProof/>
                <w:sz w:val="28"/>
                <w:szCs w:val="28"/>
                <w:rtl/>
              </w:rPr>
              <w:t>تظاهرات</w:t>
            </w:r>
            <w:r w:rsidRPr="007A4D9E">
              <w:rPr>
                <w:rFonts w:ascii="Arabic Typesetting" w:hAnsi="Arabic Typesetting" w:cs="Arabic Typesetting"/>
                <w:noProof/>
                <w:sz w:val="28"/>
                <w:szCs w:val="28"/>
                <w:rtl/>
              </w:rPr>
              <w:t xml:space="preserve"> نظام لشبونة الذين يعبرون عن رضاهم ويبلغون عن تعزز وعيهم بعد حضور </w:t>
            </w:r>
            <w:r w:rsidRPr="007A4D9E">
              <w:rPr>
                <w:rFonts w:ascii="Arabic Typesetting" w:hAnsi="Arabic Typesetting" w:cs="Arabic Typesetting" w:hint="cs"/>
                <w:noProof/>
                <w:sz w:val="28"/>
                <w:szCs w:val="28"/>
                <w:rtl/>
              </w:rPr>
              <w:t>التظاهرة</w:t>
            </w:r>
          </w:p>
        </w:tc>
        <w:tc>
          <w:tcPr>
            <w:tcW w:w="1440" w:type="pct"/>
            <w:shd w:val="clear" w:color="auto" w:fill="auto"/>
          </w:tcPr>
          <w:p w:rsidR="007A4D9E" w:rsidRPr="007A4D9E" w:rsidRDefault="007A4D9E" w:rsidP="00224009">
            <w:pPr>
              <w:keepNext/>
              <w:bidi/>
              <w:spacing w:before="60" w:after="60" w:line="280" w:lineRule="exact"/>
              <w:rPr>
                <w:rFonts w:ascii="Arabic Typesetting" w:hAnsi="Arabic Typesetting" w:cs="Arabic Typesetting"/>
                <w:iCs/>
                <w:color w:val="002060"/>
                <w:sz w:val="28"/>
                <w:szCs w:val="28"/>
                <w:rtl/>
                <w:lang w:bidi="ar-EG"/>
              </w:rPr>
            </w:pPr>
            <w:r w:rsidRPr="007A4D9E">
              <w:rPr>
                <w:rFonts w:ascii="Arabic Typesetting" w:hAnsi="Arabic Typesetting" w:cs="Arabic Typesetting"/>
                <w:iCs/>
                <w:color w:val="002060"/>
                <w:sz w:val="28"/>
                <w:szCs w:val="28"/>
                <w:rtl/>
                <w:lang w:bidi="ar-EG"/>
              </w:rPr>
              <w:t>أسس المقارنة المحدثة في نهاية 2013:</w:t>
            </w:r>
            <w:r w:rsidRPr="007A4D9E">
              <w:rPr>
                <w:rFonts w:ascii="Arabic Typesetting" w:hAnsi="Arabic Typesetting" w:cs="Arabic Typesetting"/>
                <w:i/>
                <w:color w:val="002060"/>
                <w:sz w:val="28"/>
                <w:szCs w:val="28"/>
                <w:rtl/>
                <w:lang w:bidi="ar-EG"/>
              </w:rPr>
              <w:t xml:space="preserve"> بيّنت استبيانات التقييم نسبة جاوزت 90%</w:t>
            </w:r>
          </w:p>
          <w:p w:rsidR="007A4D9E" w:rsidRPr="007A4D9E" w:rsidRDefault="007A4D9E" w:rsidP="00224009">
            <w:pPr>
              <w:keepNext/>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sz w:val="28"/>
                <w:szCs w:val="28"/>
                <w:rtl/>
                <w:lang w:bidi="ar-EG"/>
              </w:rPr>
              <w:t>أسس المقارنة الأصلية في برنامج وميزانية 2013/14</w:t>
            </w:r>
            <w:r w:rsidRPr="007A4D9E">
              <w:rPr>
                <w:rFonts w:ascii="Arabic Typesetting" w:hAnsi="Arabic Typesetting" w:cs="Arabic Typesetting"/>
                <w:i/>
                <w:sz w:val="28"/>
                <w:szCs w:val="28"/>
                <w:rtl/>
                <w:lang w:bidi="ar-EG"/>
              </w:rPr>
              <w:t xml:space="preserve">: </w:t>
            </w:r>
            <w:r w:rsidRPr="007A4D9E">
              <w:rPr>
                <w:rFonts w:ascii="Arabic Typesetting" w:hAnsi="Arabic Typesetting" w:cs="Arabic Typesetting"/>
                <w:noProof/>
                <w:sz w:val="28"/>
                <w:szCs w:val="28"/>
                <w:rtl/>
              </w:rPr>
              <w:t xml:space="preserve">عدد </w:t>
            </w:r>
            <w:r w:rsidRPr="007A4D9E">
              <w:rPr>
                <w:rFonts w:ascii="Arabic Typesetting" w:hAnsi="Arabic Typesetting" w:cs="Arabic Typesetting" w:hint="cs"/>
                <w:noProof/>
                <w:sz w:val="28"/>
                <w:szCs w:val="28"/>
                <w:rtl/>
              </w:rPr>
              <w:t>التظاهرات</w:t>
            </w:r>
            <w:r w:rsidRPr="007A4D9E">
              <w:rPr>
                <w:rFonts w:ascii="Arabic Typesetting" w:hAnsi="Arabic Typesetting" w:cs="Arabic Typesetting"/>
                <w:noProof/>
                <w:sz w:val="28"/>
                <w:szCs w:val="28"/>
                <w:rtl/>
              </w:rPr>
              <w:t xml:space="preserve"> والنسبة المئوية للمشاركين الراضين في عام 2013</w:t>
            </w:r>
          </w:p>
        </w:tc>
        <w:tc>
          <w:tcPr>
            <w:tcW w:w="833" w:type="pct"/>
            <w:shd w:val="clear" w:color="auto" w:fill="auto"/>
            <w:tcMar>
              <w:top w:w="110" w:type="dxa"/>
            </w:tcMar>
          </w:tcPr>
          <w:p w:rsidR="007A4D9E" w:rsidRPr="007A4D9E" w:rsidRDefault="007A4D9E" w:rsidP="005E1E69">
            <w:pPr>
              <w:keepNext/>
              <w:keepLines/>
              <w:bidi/>
              <w:adjustRightInd w:val="0"/>
              <w:snapToGrid w:val="0"/>
              <w:spacing w:before="60" w:after="60" w:line="280" w:lineRule="exact"/>
              <w:rPr>
                <w:rFonts w:ascii="Arabic Typesetting" w:hAnsi="Arabic Typesetting" w:cs="Arabic Typesetting"/>
                <w:b/>
                <w:sz w:val="28"/>
                <w:szCs w:val="28"/>
                <w:rtl/>
              </w:rPr>
            </w:pPr>
            <w:r w:rsidRPr="007A4D9E">
              <w:rPr>
                <w:rFonts w:ascii="Arabic Typesetting" w:hAnsi="Arabic Typesetting" w:cs="Arabic Typesetting"/>
                <w:b/>
                <w:noProof/>
                <w:sz w:val="28"/>
                <w:szCs w:val="28"/>
                <w:rtl/>
              </w:rPr>
              <w:t>ثمان</w:t>
            </w:r>
            <w:r w:rsidRPr="007A4D9E">
              <w:rPr>
                <w:rFonts w:ascii="Arabic Typesetting" w:hAnsi="Arabic Typesetting" w:cs="Arabic Typesetting" w:hint="cs"/>
                <w:b/>
                <w:noProof/>
                <w:sz w:val="28"/>
                <w:szCs w:val="28"/>
                <w:rtl/>
              </w:rPr>
              <w:t xml:space="preserve"> تظاهرات </w:t>
            </w:r>
            <w:r w:rsidRPr="007A4D9E">
              <w:rPr>
                <w:rFonts w:ascii="Arabic Typesetting" w:hAnsi="Arabic Typesetting" w:cs="Arabic Typesetting"/>
                <w:b/>
                <w:noProof/>
                <w:sz w:val="28"/>
                <w:szCs w:val="28"/>
                <w:rtl/>
              </w:rPr>
              <w:t>على الأقل مع رضا المشاركين بنسبة</w:t>
            </w:r>
            <w:r w:rsidRPr="007A4D9E">
              <w:rPr>
                <w:rFonts w:ascii="Arabic Typesetting" w:hAnsi="Arabic Typesetting" w:cs="Arabic Typesetting" w:hint="cs"/>
                <w:b/>
                <w:noProof/>
                <w:sz w:val="28"/>
                <w:szCs w:val="28"/>
                <w:rtl/>
              </w:rPr>
              <w:t> </w:t>
            </w:r>
            <w:r w:rsidRPr="007A4D9E">
              <w:rPr>
                <w:rFonts w:ascii="Arabic Typesetting" w:hAnsi="Arabic Typesetting" w:cs="Arabic Typesetting"/>
                <w:b/>
                <w:noProof/>
                <w:sz w:val="28"/>
                <w:szCs w:val="28"/>
                <w:rtl/>
              </w:rPr>
              <w:t>85%</w:t>
            </w:r>
          </w:p>
        </w:tc>
        <w:tc>
          <w:tcPr>
            <w:tcW w:w="1366" w:type="pct"/>
            <w:shd w:val="clear" w:color="auto" w:fill="FFFFFF"/>
            <w:tcMar>
              <w:top w:w="110" w:type="dxa"/>
            </w:tcMar>
          </w:tcPr>
          <w:p w:rsidR="007A4D9E" w:rsidRPr="007A4D9E" w:rsidRDefault="007A4D9E" w:rsidP="00224009">
            <w:pPr>
              <w:keepNext/>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sz w:val="28"/>
                <w:szCs w:val="28"/>
                <w:rtl/>
                <w:lang w:val="fr-CH"/>
              </w:rPr>
              <w:t>خمس تظاهرات إعلامية وترويجية في جميع المناطق ر</w:t>
            </w:r>
            <w:r w:rsidRPr="007A4D9E">
              <w:rPr>
                <w:rFonts w:ascii="Arabic Typesetting" w:hAnsi="Arabic Typesetting" w:cs="Arabic Typesetting" w:hint="cs"/>
                <w:sz w:val="28"/>
                <w:szCs w:val="28"/>
                <w:rtl/>
                <w:lang w:val="fr-CH"/>
              </w:rPr>
              <w:t>ُ</w:t>
            </w:r>
            <w:r w:rsidRPr="007A4D9E">
              <w:rPr>
                <w:rFonts w:ascii="Arabic Typesetting" w:hAnsi="Arabic Typesetting" w:cs="Arabic Typesetting"/>
                <w:sz w:val="28"/>
                <w:szCs w:val="28"/>
                <w:rtl/>
                <w:lang w:val="fr-CH"/>
              </w:rPr>
              <w:t>ك</w:t>
            </w:r>
            <w:r w:rsidRPr="007A4D9E">
              <w:rPr>
                <w:rFonts w:ascii="Arabic Typesetting" w:hAnsi="Arabic Typesetting" w:cs="Arabic Typesetting" w:hint="cs"/>
                <w:sz w:val="28"/>
                <w:szCs w:val="28"/>
                <w:rtl/>
                <w:lang w:val="fr-CH"/>
              </w:rPr>
              <w:t>ّز فيها</w:t>
            </w:r>
            <w:r w:rsidRPr="007A4D9E">
              <w:rPr>
                <w:rFonts w:ascii="Arabic Typesetting" w:hAnsi="Arabic Typesetting" w:cs="Arabic Typesetting"/>
                <w:sz w:val="28"/>
                <w:szCs w:val="28"/>
                <w:rtl/>
                <w:lang w:val="fr-CH"/>
              </w:rPr>
              <w:t xml:space="preserve"> بوجه خاص على نظام لشبونة، بما في ذلك </w:t>
            </w:r>
            <w:r w:rsidRPr="007A4D9E">
              <w:rPr>
                <w:rFonts w:ascii="Arabic Typesetting" w:hAnsi="Arabic Typesetting" w:cs="Arabic Typesetting" w:hint="cs"/>
                <w:sz w:val="28"/>
                <w:szCs w:val="28"/>
                <w:rtl/>
                <w:lang w:val="fr-CH"/>
              </w:rPr>
              <w:t>مراجعته المزمعة،</w:t>
            </w:r>
            <w:r w:rsidRPr="007A4D9E">
              <w:rPr>
                <w:rFonts w:ascii="Arabic Typesetting" w:hAnsi="Arabic Typesetting" w:cs="Arabic Typesetting"/>
                <w:sz w:val="28"/>
                <w:szCs w:val="28"/>
                <w:rtl/>
                <w:lang w:val="fr-CH"/>
              </w:rPr>
              <w:t xml:space="preserve"> مع رضا المشاركين بنسبة</w:t>
            </w:r>
            <w:r w:rsidRPr="007A4D9E">
              <w:rPr>
                <w:rFonts w:ascii="Arabic Typesetting" w:hAnsi="Arabic Typesetting" w:cs="Arabic Typesetting" w:hint="cs"/>
                <w:sz w:val="28"/>
                <w:szCs w:val="28"/>
                <w:rtl/>
                <w:lang w:val="fr-CH"/>
              </w:rPr>
              <w:t> </w:t>
            </w:r>
            <w:r w:rsidRPr="007A4D9E">
              <w:rPr>
                <w:rFonts w:ascii="Arabic Typesetting" w:hAnsi="Arabic Typesetting" w:cs="Arabic Typesetting"/>
                <w:sz w:val="28"/>
                <w:szCs w:val="28"/>
                <w:rtl/>
                <w:lang w:val="fr-CH"/>
              </w:rPr>
              <w:t>84%</w:t>
            </w:r>
          </w:p>
        </w:tc>
        <w:tc>
          <w:tcPr>
            <w:tcW w:w="453" w:type="pct"/>
            <w:shd w:val="clear" w:color="auto" w:fill="auto"/>
          </w:tcPr>
          <w:p w:rsidR="007A4D9E" w:rsidRPr="007A4D9E" w:rsidRDefault="007A4D9E" w:rsidP="005E1E69">
            <w:pPr>
              <w:keepNext/>
              <w:keepLines/>
              <w:bidi/>
              <w:spacing w:before="60" w:after="60" w:line="280" w:lineRule="exact"/>
              <w:jc w:val="center"/>
              <w:rPr>
                <w:rFonts w:ascii="Arabic Typesetting" w:hAnsi="Arabic Typesetting" w:cs="Arabic Typesetting"/>
                <w:bCs/>
                <w:color w:val="00B050"/>
                <w:sz w:val="28"/>
                <w:szCs w:val="28"/>
              </w:rPr>
            </w:pPr>
            <w:r w:rsidRPr="007A4D9E">
              <w:rPr>
                <w:rFonts w:ascii="Arabic Typesetting" w:hAnsi="Arabic Typesetting" w:cs="Arabic Typesetting"/>
                <w:bCs/>
                <w:color w:val="00B050"/>
                <w:sz w:val="28"/>
                <w:szCs w:val="28"/>
                <w:rtl/>
              </w:rPr>
              <w:t>محقق كلياً</w:t>
            </w:r>
          </w:p>
        </w:tc>
      </w:tr>
      <w:tr w:rsidR="007A4D9E" w:rsidRPr="007A4D9E" w:rsidTr="00224009">
        <w:trPr>
          <w:cantSplit/>
        </w:trPr>
        <w:tc>
          <w:tcPr>
            <w:tcW w:w="908"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tl/>
              </w:rPr>
            </w:pPr>
            <w:r w:rsidRPr="007A4D9E">
              <w:rPr>
                <w:rFonts w:ascii="Arabic Typesetting" w:hAnsi="Arabic Typesetting" w:cs="Arabic Typesetting"/>
                <w:noProof/>
                <w:sz w:val="28"/>
                <w:szCs w:val="28"/>
                <w:rtl/>
              </w:rPr>
              <w:t xml:space="preserve">عدد تسجيلات لشبونة السارية الواردة من البلدان النامية والبلدان الأقل نمواً ونسبة </w:t>
            </w:r>
            <w:r w:rsidRPr="007A4D9E">
              <w:rPr>
                <w:rFonts w:ascii="Arabic Typesetting" w:hAnsi="Arabic Typesetting" w:cs="Arabic Typesetting" w:hint="cs"/>
                <w:noProof/>
                <w:sz w:val="28"/>
                <w:szCs w:val="28"/>
                <w:rtl/>
              </w:rPr>
              <w:t>تلك</w:t>
            </w:r>
            <w:r w:rsidRPr="007A4D9E">
              <w:rPr>
                <w:rFonts w:ascii="Arabic Typesetting" w:hAnsi="Arabic Typesetting" w:cs="Arabic Typesetting"/>
                <w:noProof/>
                <w:sz w:val="28"/>
                <w:szCs w:val="28"/>
                <w:rtl/>
              </w:rPr>
              <w:t xml:space="preserve"> التسجيلات</w:t>
            </w:r>
          </w:p>
        </w:tc>
        <w:tc>
          <w:tcPr>
            <w:tcW w:w="1440"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i/>
                <w:color w:val="002060"/>
                <w:sz w:val="28"/>
                <w:szCs w:val="28"/>
                <w:rtl/>
                <w:lang w:bidi="ar-EG"/>
              </w:rPr>
            </w:pPr>
            <w:r w:rsidRPr="007A4D9E">
              <w:rPr>
                <w:rFonts w:ascii="Arabic Typesetting" w:hAnsi="Arabic Typesetting" w:cs="Arabic Typesetting"/>
                <w:iCs/>
                <w:color w:val="002060"/>
                <w:sz w:val="28"/>
                <w:szCs w:val="28"/>
                <w:rtl/>
                <w:lang w:bidi="ar-EG"/>
              </w:rPr>
              <w:t>أسس المقارنة المحدثة في نهاية 2013:</w:t>
            </w:r>
            <w:r w:rsidRPr="007A4D9E">
              <w:rPr>
                <w:rFonts w:ascii="Arabic Typesetting" w:hAnsi="Arabic Typesetting" w:cs="Arabic Typesetting"/>
                <w:sz w:val="28"/>
                <w:szCs w:val="28"/>
                <w:rtl/>
              </w:rPr>
              <w:t xml:space="preserve"> </w:t>
            </w:r>
            <w:r w:rsidRPr="007A4D9E">
              <w:rPr>
                <w:rFonts w:ascii="Arabic Typesetting" w:hAnsi="Arabic Typesetting" w:cs="Arabic Typesetting"/>
                <w:i/>
                <w:color w:val="002060"/>
                <w:sz w:val="28"/>
                <w:szCs w:val="28"/>
                <w:rtl/>
                <w:lang w:bidi="ar-EG"/>
              </w:rPr>
              <w:t>67 من أصل 816</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sz w:val="28"/>
                <w:szCs w:val="28"/>
                <w:rtl/>
                <w:lang w:bidi="ar-EG"/>
              </w:rPr>
              <w:t>أسس المقارنة الأصلية في برنامج وميزانية 2013/14</w:t>
            </w:r>
            <w:r w:rsidRPr="007A4D9E">
              <w:rPr>
                <w:rFonts w:ascii="Arabic Typesetting" w:hAnsi="Arabic Typesetting" w:cs="Arabic Typesetting"/>
                <w:i/>
                <w:sz w:val="28"/>
                <w:szCs w:val="28"/>
                <w:rtl/>
                <w:lang w:bidi="ar-EG"/>
              </w:rPr>
              <w:t xml:space="preserve">: </w:t>
            </w:r>
            <w:r w:rsidRPr="007A4D9E">
              <w:rPr>
                <w:rFonts w:ascii="Arabic Typesetting" w:hAnsi="Arabic Typesetting" w:cs="Arabic Typesetting"/>
                <w:sz w:val="28"/>
                <w:szCs w:val="28"/>
                <w:rtl/>
              </w:rPr>
              <w:t>67 (من أصل 809) (أبريل 2013)</w:t>
            </w:r>
          </w:p>
        </w:tc>
        <w:tc>
          <w:tcPr>
            <w:tcW w:w="833" w:type="pct"/>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sz w:val="28"/>
                <w:szCs w:val="28"/>
                <w:rtl/>
              </w:rPr>
              <w:t>80 (من أصل 825)</w:t>
            </w:r>
          </w:p>
        </w:tc>
        <w:tc>
          <w:tcPr>
            <w:tcW w:w="1366" w:type="pct"/>
            <w:shd w:val="clear" w:color="auto" w:fill="FFFFFF"/>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sz w:val="28"/>
                <w:szCs w:val="28"/>
                <w:rtl/>
              </w:rPr>
            </w:pPr>
            <w:r w:rsidRPr="007A4D9E">
              <w:rPr>
                <w:rFonts w:ascii="Arabic Typesetting" w:hAnsi="Arabic Typesetting" w:cs="Arabic Typesetting" w:hint="cs"/>
                <w:sz w:val="28"/>
                <w:szCs w:val="28"/>
                <w:rtl/>
              </w:rPr>
              <w:t>95</w:t>
            </w:r>
            <w:r w:rsidRPr="007A4D9E">
              <w:rPr>
                <w:rFonts w:ascii="Arabic Typesetting" w:hAnsi="Arabic Typesetting" w:cs="Arabic Typesetting"/>
                <w:sz w:val="28"/>
                <w:szCs w:val="28"/>
                <w:rtl/>
              </w:rPr>
              <w:t xml:space="preserve"> (من أصل </w:t>
            </w:r>
            <w:r w:rsidRPr="007A4D9E">
              <w:rPr>
                <w:rFonts w:ascii="Arabic Typesetting" w:hAnsi="Arabic Typesetting" w:cs="Arabic Typesetting" w:hint="cs"/>
                <w:sz w:val="28"/>
                <w:szCs w:val="28"/>
                <w:rtl/>
              </w:rPr>
              <w:t>931</w:t>
            </w:r>
            <w:r w:rsidRPr="007A4D9E">
              <w:rPr>
                <w:rFonts w:ascii="Arabic Typesetting" w:hAnsi="Arabic Typesetting" w:cs="Arabic Typesetting"/>
                <w:sz w:val="28"/>
                <w:szCs w:val="28"/>
                <w:rtl/>
              </w:rPr>
              <w:t>)</w:t>
            </w:r>
          </w:p>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sz w:val="28"/>
                <w:szCs w:val="28"/>
                <w:rtl/>
              </w:rPr>
              <w:t>-</w:t>
            </w:r>
            <w:r w:rsidRPr="007A4D9E">
              <w:rPr>
                <w:rFonts w:ascii="Arabic Typesetting" w:hAnsi="Arabic Typesetting" w:cs="Arabic Typesetting"/>
                <w:sz w:val="28"/>
                <w:szCs w:val="28"/>
                <w:rtl/>
              </w:rPr>
              <w:tab/>
              <w:t>المنطقة العربية (14)</w:t>
            </w:r>
            <w:r w:rsidRPr="007A4D9E">
              <w:rPr>
                <w:rFonts w:ascii="Arabic Typesetting" w:hAnsi="Arabic Typesetting" w:cs="Arabic Typesetting"/>
                <w:sz w:val="28"/>
                <w:szCs w:val="28"/>
                <w:rtl/>
              </w:rPr>
              <w:br/>
              <w:t>-</w:t>
            </w:r>
            <w:r w:rsidRPr="007A4D9E">
              <w:rPr>
                <w:rFonts w:ascii="Arabic Typesetting" w:hAnsi="Arabic Typesetting" w:cs="Arabic Typesetting"/>
                <w:sz w:val="28"/>
                <w:szCs w:val="28"/>
                <w:rtl/>
              </w:rPr>
              <w:tab/>
              <w:t>آسيا والمحيط الهادئ (</w:t>
            </w:r>
            <w:r w:rsidRPr="007A4D9E">
              <w:rPr>
                <w:rFonts w:ascii="Arabic Typesetting" w:hAnsi="Arabic Typesetting" w:cs="Arabic Typesetting" w:hint="cs"/>
                <w:sz w:val="28"/>
                <w:szCs w:val="28"/>
                <w:rtl/>
              </w:rPr>
              <w:t>38</w:t>
            </w:r>
            <w:r w:rsidRPr="007A4D9E">
              <w:rPr>
                <w:rFonts w:ascii="Arabic Typesetting" w:hAnsi="Arabic Typesetting" w:cs="Arabic Typesetting"/>
                <w:sz w:val="28"/>
                <w:szCs w:val="28"/>
                <w:rtl/>
              </w:rPr>
              <w:t>)</w:t>
            </w:r>
            <w:r w:rsidRPr="007A4D9E">
              <w:rPr>
                <w:rFonts w:ascii="Arabic Typesetting" w:hAnsi="Arabic Typesetting" w:cs="Arabic Typesetting"/>
                <w:sz w:val="28"/>
                <w:szCs w:val="28"/>
                <w:rtl/>
              </w:rPr>
              <w:br/>
              <w:t>-</w:t>
            </w:r>
            <w:r w:rsidRPr="007A4D9E">
              <w:rPr>
                <w:rFonts w:ascii="Arabic Typesetting" w:hAnsi="Arabic Typesetting" w:cs="Arabic Typesetting"/>
                <w:sz w:val="28"/>
                <w:szCs w:val="28"/>
                <w:rtl/>
              </w:rPr>
              <w:tab/>
              <w:t>أمريكا اللاتينية والكاريبي (</w:t>
            </w:r>
            <w:r w:rsidRPr="007A4D9E">
              <w:rPr>
                <w:rFonts w:ascii="Arabic Typesetting" w:hAnsi="Arabic Typesetting" w:cs="Arabic Typesetting" w:hint="cs"/>
                <w:sz w:val="28"/>
                <w:szCs w:val="28"/>
                <w:rtl/>
              </w:rPr>
              <w:t>43</w:t>
            </w:r>
            <w:r w:rsidRPr="007A4D9E">
              <w:rPr>
                <w:rFonts w:ascii="Arabic Typesetting" w:hAnsi="Arabic Typesetting" w:cs="Arabic Typesetting"/>
                <w:sz w:val="28"/>
                <w:szCs w:val="28"/>
                <w:rtl/>
              </w:rPr>
              <w:t>)</w:t>
            </w:r>
          </w:p>
        </w:tc>
        <w:tc>
          <w:tcPr>
            <w:tcW w:w="453" w:type="pct"/>
            <w:shd w:val="clear" w:color="auto" w:fill="auto"/>
          </w:tcPr>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Pr>
            </w:pPr>
            <w:r w:rsidRPr="007A4D9E">
              <w:rPr>
                <w:rFonts w:ascii="Arabic Typesetting" w:hAnsi="Arabic Typesetting" w:cs="Arabic Typesetting"/>
                <w:bCs/>
                <w:color w:val="00B050"/>
                <w:sz w:val="28"/>
                <w:szCs w:val="28"/>
                <w:rtl/>
              </w:rPr>
              <w:t>محقق كلياً</w:t>
            </w:r>
          </w:p>
        </w:tc>
      </w:tr>
      <w:tr w:rsidR="007A4D9E" w:rsidRPr="007A4D9E" w:rsidTr="00224009">
        <w:trPr>
          <w:cantSplit/>
        </w:trPr>
        <w:tc>
          <w:tcPr>
            <w:tcW w:w="908" w:type="pct"/>
            <w:tcBorders>
              <w:bottom w:val="single" w:sz="4" w:space="0" w:color="auto"/>
            </w:tcBorders>
            <w:shd w:val="clear" w:color="auto" w:fill="auto"/>
          </w:tcPr>
          <w:p w:rsidR="007A4D9E" w:rsidRPr="007A4D9E" w:rsidRDefault="007A4D9E" w:rsidP="007A4D9E">
            <w:pPr>
              <w:bidi/>
              <w:spacing w:before="60" w:after="60" w:line="280" w:lineRule="exact"/>
              <w:rPr>
                <w:rFonts w:ascii="Arabic Typesetting" w:hAnsi="Arabic Typesetting" w:cs="Arabic Typesetting"/>
                <w:b/>
                <w:sz w:val="28"/>
                <w:szCs w:val="28"/>
                <w:lang w:bidi="ar-EG"/>
              </w:rPr>
            </w:pPr>
            <w:r w:rsidRPr="007A4D9E">
              <w:rPr>
                <w:rFonts w:ascii="Arabic Typesetting" w:hAnsi="Arabic Typesetting" w:cs="Arabic Typesetting"/>
                <w:b/>
                <w:sz w:val="28"/>
                <w:szCs w:val="28"/>
                <w:rtl/>
                <w:lang w:bidi="ar-EG"/>
              </w:rPr>
              <w:t>انخفاض عدد المخالفات (مدريد)</w:t>
            </w:r>
          </w:p>
        </w:tc>
        <w:tc>
          <w:tcPr>
            <w:tcW w:w="1440" w:type="pct"/>
            <w:tcBorders>
              <w:bottom w:val="single" w:sz="4" w:space="0" w:color="auto"/>
            </w:tcBorders>
            <w:shd w:val="clear" w:color="auto" w:fill="auto"/>
          </w:tcPr>
          <w:p w:rsidR="007A4D9E" w:rsidRPr="007A4D9E" w:rsidRDefault="007A4D9E" w:rsidP="007A4D9E">
            <w:pPr>
              <w:bidi/>
              <w:spacing w:before="60" w:after="60" w:line="280" w:lineRule="exact"/>
              <w:rPr>
                <w:rFonts w:ascii="Arabic Typesetting" w:hAnsi="Arabic Typesetting" w:cs="Arabic Typesetting"/>
                <w:i/>
                <w:color w:val="002060"/>
                <w:sz w:val="28"/>
                <w:szCs w:val="28"/>
                <w:rtl/>
                <w:lang w:bidi="ar-EG"/>
              </w:rPr>
            </w:pPr>
            <w:r w:rsidRPr="007A4D9E">
              <w:rPr>
                <w:rFonts w:ascii="Arabic Typesetting" w:hAnsi="Arabic Typesetting" w:cs="Arabic Typesetting"/>
                <w:iCs/>
                <w:color w:val="002060"/>
                <w:sz w:val="28"/>
                <w:szCs w:val="28"/>
                <w:rtl/>
                <w:lang w:bidi="ar-EG"/>
              </w:rPr>
              <w:t xml:space="preserve">أسس المقارنة المحدثة في نهاية 2013: </w:t>
            </w:r>
            <w:r w:rsidRPr="007A4D9E">
              <w:rPr>
                <w:rFonts w:ascii="Arabic Typesetting" w:hAnsi="Arabic Typesetting" w:cs="Arabic Typesetting" w:hint="cs"/>
                <w:i/>
                <w:color w:val="002060"/>
                <w:sz w:val="28"/>
                <w:szCs w:val="28"/>
                <w:rtl/>
                <w:lang w:bidi="ar-EG"/>
              </w:rPr>
              <w:t>32</w:t>
            </w:r>
            <w:r w:rsidRPr="007A4D9E">
              <w:rPr>
                <w:rFonts w:ascii="Arabic Typesetting" w:hAnsi="Arabic Typesetting" w:cs="Arabic Typesetting"/>
                <w:i/>
                <w:color w:val="002060"/>
                <w:sz w:val="28"/>
                <w:szCs w:val="28"/>
                <w:rtl/>
                <w:lang w:bidi="ar-EG"/>
              </w:rPr>
              <w:t>%</w:t>
            </w:r>
            <w:r w:rsidRPr="00F96634">
              <w:rPr>
                <w:rFonts w:ascii="Arabic Typesetting" w:hAnsi="Arabic Typesetting" w:cs="Arabic Typesetting"/>
                <w:i/>
                <w:color w:val="002060"/>
                <w:sz w:val="28"/>
                <w:szCs w:val="28"/>
                <w:vertAlign w:val="superscript"/>
                <w:rtl/>
                <w:lang w:bidi="ar-EG"/>
              </w:rPr>
              <w:footnoteReference w:id="24"/>
            </w:r>
            <w:r w:rsidRPr="007A4D9E">
              <w:rPr>
                <w:rFonts w:ascii="Arabic Typesetting" w:hAnsi="Arabic Typesetting" w:cs="Arabic Typesetting" w:hint="cs"/>
                <w:i/>
                <w:color w:val="002060"/>
                <w:sz w:val="28"/>
                <w:szCs w:val="28"/>
                <w:rtl/>
                <w:lang w:bidi="ar-EG"/>
              </w:rPr>
              <w:t xml:space="preserve"> (985</w:t>
            </w:r>
            <w:r w:rsidRPr="007A4D9E">
              <w:rPr>
                <w:rFonts w:ascii="Arabic Typesetting" w:hAnsi="Arabic Typesetting" w:cs="Arabic Typesetting" w:hint="eastAsia"/>
                <w:i/>
                <w:color w:val="002060"/>
                <w:sz w:val="28"/>
                <w:szCs w:val="28"/>
                <w:rtl/>
                <w:lang w:bidi="ar-EG"/>
              </w:rPr>
              <w:t> </w:t>
            </w:r>
            <w:r w:rsidRPr="007A4D9E">
              <w:rPr>
                <w:rFonts w:ascii="Arabic Typesetting" w:hAnsi="Arabic Typesetting" w:cs="Arabic Typesetting" w:hint="cs"/>
                <w:i/>
                <w:color w:val="002060"/>
                <w:sz w:val="28"/>
                <w:szCs w:val="28"/>
                <w:rtl/>
                <w:lang w:bidi="ar-EG"/>
              </w:rPr>
              <w:t>14 طالبا مخالفا للأصول)</w:t>
            </w:r>
          </w:p>
          <w:p w:rsidR="007A4D9E" w:rsidRPr="007A4D9E" w:rsidRDefault="007A4D9E" w:rsidP="007A4D9E">
            <w:pPr>
              <w:bidi/>
              <w:spacing w:before="60" w:after="60" w:line="280" w:lineRule="exact"/>
              <w:rPr>
                <w:rFonts w:ascii="Arabic Typesetting" w:hAnsi="Arabic Typesetting" w:cs="Arabic Typesetting"/>
                <w:i/>
                <w:sz w:val="28"/>
                <w:szCs w:val="28"/>
                <w:lang w:bidi="ar-EG"/>
              </w:rPr>
            </w:pPr>
            <w:r w:rsidRPr="007A4D9E">
              <w:rPr>
                <w:rFonts w:ascii="Arabic Typesetting" w:hAnsi="Arabic Typesetting" w:cs="Arabic Typesetting"/>
                <w:iCs/>
                <w:sz w:val="28"/>
                <w:szCs w:val="28"/>
                <w:rtl/>
                <w:lang w:bidi="ar-EG"/>
              </w:rPr>
              <w:t xml:space="preserve">أسس المقارنة الأصلية في برنامج وميزانية 2014/15: </w:t>
            </w:r>
            <w:r w:rsidRPr="007A4D9E">
              <w:rPr>
                <w:rFonts w:ascii="Arabic Typesetting" w:hAnsi="Arabic Typesetting" w:cs="Arabic Typesetting"/>
                <w:sz w:val="28"/>
                <w:szCs w:val="28"/>
                <w:rtl/>
                <w:lang w:bidi="ar-EG"/>
              </w:rPr>
              <w:t xml:space="preserve">الطلبات </w:t>
            </w:r>
            <w:r w:rsidRPr="007A4D9E">
              <w:rPr>
                <w:rFonts w:ascii="Arabic Typesetting" w:hAnsi="Arabic Typesetting" w:cs="Arabic Typesetting" w:hint="cs"/>
                <w:sz w:val="28"/>
                <w:szCs w:val="28"/>
                <w:rtl/>
                <w:lang w:bidi="ar-EG"/>
              </w:rPr>
              <w:t>المخالفة للأصول</w:t>
            </w:r>
            <w:r w:rsidRPr="007A4D9E">
              <w:rPr>
                <w:rFonts w:ascii="Arabic Typesetting" w:hAnsi="Arabic Typesetting" w:cs="Arabic Typesetting"/>
                <w:sz w:val="28"/>
                <w:szCs w:val="28"/>
                <w:rtl/>
                <w:lang w:bidi="ar-EG"/>
              </w:rPr>
              <w:t xml:space="preserve"> </w:t>
            </w:r>
            <w:r w:rsidRPr="007A4D9E">
              <w:rPr>
                <w:rFonts w:ascii="Arabic Typesetting" w:hAnsi="Arabic Typesetting" w:cs="Arabic Typesetting" w:hint="cs"/>
                <w:sz w:val="28"/>
                <w:szCs w:val="28"/>
                <w:rtl/>
                <w:lang w:bidi="ar-EG"/>
              </w:rPr>
              <w:t>32</w:t>
            </w:r>
            <w:r w:rsidRPr="007A4D9E">
              <w:rPr>
                <w:rFonts w:ascii="Arabic Typesetting" w:hAnsi="Arabic Typesetting" w:cs="Arabic Typesetting"/>
                <w:sz w:val="28"/>
                <w:szCs w:val="28"/>
                <w:rtl/>
                <w:lang w:bidi="ar-EG"/>
              </w:rPr>
              <w:t>%</w:t>
            </w:r>
            <w:r w:rsidRPr="00F96634">
              <w:rPr>
                <w:rFonts w:ascii="Arabic Typesetting" w:hAnsi="Arabic Typesetting" w:cs="Arabic Typesetting"/>
                <w:sz w:val="28"/>
                <w:szCs w:val="28"/>
                <w:vertAlign w:val="superscript"/>
                <w:rtl/>
                <w:lang w:bidi="ar-EG"/>
              </w:rPr>
              <w:footnoteReference w:id="25"/>
            </w:r>
            <w:r w:rsidRPr="007A4D9E">
              <w:rPr>
                <w:rFonts w:ascii="Arabic Typesetting" w:hAnsi="Arabic Typesetting" w:cs="Arabic Typesetting"/>
                <w:sz w:val="28"/>
                <w:szCs w:val="28"/>
                <w:rtl/>
                <w:lang w:bidi="ar-EG"/>
              </w:rPr>
              <w:t xml:space="preserve"> (في 2012)</w:t>
            </w:r>
          </w:p>
        </w:tc>
        <w:tc>
          <w:tcPr>
            <w:tcW w:w="833" w:type="pct"/>
            <w:tcBorders>
              <w:bottom w:val="single" w:sz="4" w:space="0" w:color="auto"/>
            </w:tcBorders>
            <w:shd w:val="clear" w:color="auto" w:fill="auto"/>
            <w:tcMar>
              <w:top w:w="110" w:type="dxa"/>
            </w:tcMar>
          </w:tcPr>
          <w:p w:rsidR="007A4D9E" w:rsidRPr="007A4D9E" w:rsidRDefault="007A4D9E" w:rsidP="007A4D9E">
            <w:pPr>
              <w:bidi/>
              <w:spacing w:before="60" w:after="60" w:line="280" w:lineRule="exact"/>
              <w:rPr>
                <w:rFonts w:ascii="Arabic Typesetting" w:hAnsi="Arabic Typesetting" w:cs="Arabic Typesetting"/>
                <w:sz w:val="28"/>
                <w:szCs w:val="28"/>
              </w:rPr>
            </w:pPr>
            <w:r w:rsidRPr="007A4D9E">
              <w:rPr>
                <w:rFonts w:ascii="Arabic Typesetting" w:hAnsi="Arabic Typesetting" w:cs="Arabic Typesetting"/>
                <w:sz w:val="28"/>
                <w:szCs w:val="28"/>
                <w:rtl/>
              </w:rPr>
              <w:t>انخفاض عدد المخالفات بنسبة 10%</w:t>
            </w:r>
          </w:p>
        </w:tc>
        <w:tc>
          <w:tcPr>
            <w:tcW w:w="1366" w:type="pct"/>
            <w:tcBorders>
              <w:bottom w:val="single" w:sz="4" w:space="0" w:color="auto"/>
            </w:tcBorders>
            <w:shd w:val="clear" w:color="auto" w:fill="FFFFFF"/>
            <w:tcMar>
              <w:top w:w="110" w:type="dxa"/>
            </w:tcMar>
          </w:tcPr>
          <w:p w:rsidR="007A4D9E" w:rsidRPr="007A4D9E" w:rsidRDefault="007A4D9E" w:rsidP="00224009">
            <w:pPr>
              <w:bidi/>
              <w:spacing w:before="60" w:after="60" w:line="280" w:lineRule="exact"/>
              <w:ind w:left="284" w:hanging="284"/>
              <w:rPr>
                <w:rFonts w:ascii="Arabic Typesetting" w:hAnsi="Arabic Typesetting" w:cs="Arabic Typesetting"/>
                <w:sz w:val="28"/>
                <w:szCs w:val="28"/>
                <w:rtl/>
              </w:rPr>
            </w:pPr>
            <w:r w:rsidRPr="007A4D9E">
              <w:rPr>
                <w:rFonts w:ascii="Arabic Typesetting" w:hAnsi="Arabic Typesetting" w:cs="Arabic Typesetting" w:hint="cs"/>
                <w:sz w:val="28"/>
                <w:szCs w:val="28"/>
                <w:rtl/>
              </w:rPr>
              <w:t>-</w:t>
            </w:r>
            <w:r w:rsidRPr="007A4D9E">
              <w:rPr>
                <w:rFonts w:ascii="Arabic Typesetting" w:hAnsi="Arabic Typesetting" w:cs="Arabic Typesetting"/>
                <w:sz w:val="28"/>
                <w:szCs w:val="28"/>
                <w:rtl/>
              </w:rPr>
              <w:tab/>
              <w:t xml:space="preserve">2014: </w:t>
            </w:r>
            <w:r w:rsidRPr="007A4D9E">
              <w:rPr>
                <w:rFonts w:ascii="Arabic Typesetting" w:hAnsi="Arabic Typesetting" w:cs="Arabic Typesetting" w:hint="cs"/>
                <w:sz w:val="28"/>
                <w:szCs w:val="28"/>
                <w:rtl/>
              </w:rPr>
              <w:t>34</w:t>
            </w:r>
            <w:r w:rsidRPr="007A4D9E">
              <w:rPr>
                <w:rFonts w:ascii="Arabic Typesetting" w:hAnsi="Arabic Typesetting" w:cs="Arabic Typesetting"/>
                <w:sz w:val="28"/>
                <w:szCs w:val="28"/>
                <w:rtl/>
              </w:rPr>
              <w:t>%</w:t>
            </w:r>
            <w:r w:rsidRPr="00F96634">
              <w:rPr>
                <w:rFonts w:ascii="Arabic Typesetting" w:hAnsi="Arabic Typesetting" w:cs="Arabic Typesetting"/>
                <w:sz w:val="28"/>
                <w:szCs w:val="28"/>
                <w:vertAlign w:val="superscript"/>
                <w:rtl/>
              </w:rPr>
              <w:footnoteReference w:id="26"/>
            </w:r>
            <w:r w:rsidRPr="007A4D9E">
              <w:rPr>
                <w:rFonts w:ascii="Arabic Typesetting" w:hAnsi="Arabic Typesetting" w:cs="Arabic Typesetting" w:hint="cs"/>
                <w:sz w:val="28"/>
                <w:szCs w:val="28"/>
                <w:rtl/>
              </w:rPr>
              <w:t xml:space="preserve"> أو 281</w:t>
            </w:r>
            <w:r w:rsidRPr="007A4D9E">
              <w:rPr>
                <w:rFonts w:ascii="Arabic Typesetting" w:hAnsi="Arabic Typesetting" w:cs="Arabic Typesetting" w:hint="eastAsia"/>
                <w:sz w:val="28"/>
                <w:szCs w:val="28"/>
                <w:rtl/>
              </w:rPr>
              <w:t> </w:t>
            </w:r>
            <w:r w:rsidRPr="007A4D9E">
              <w:rPr>
                <w:rFonts w:ascii="Arabic Typesetting" w:hAnsi="Arabic Typesetting" w:cs="Arabic Typesetting" w:hint="cs"/>
                <w:sz w:val="28"/>
                <w:szCs w:val="28"/>
                <w:rtl/>
              </w:rPr>
              <w:t>16 طلبا مخالفا للأصول (+9% مقارنة بعام 2013)</w:t>
            </w:r>
          </w:p>
          <w:p w:rsidR="007A4D9E" w:rsidRPr="007A4D9E" w:rsidRDefault="007A4D9E" w:rsidP="00224009">
            <w:pPr>
              <w:bidi/>
              <w:spacing w:before="60" w:after="60" w:line="280" w:lineRule="exact"/>
              <w:ind w:left="284" w:hanging="284"/>
              <w:rPr>
                <w:rFonts w:ascii="Arabic Typesetting" w:hAnsi="Arabic Typesetting" w:cs="Arabic Typesetting"/>
                <w:sz w:val="28"/>
                <w:szCs w:val="28"/>
              </w:rPr>
            </w:pPr>
            <w:r w:rsidRPr="007A4D9E">
              <w:rPr>
                <w:rFonts w:ascii="Arabic Typesetting" w:hAnsi="Arabic Typesetting" w:cs="Arabic Typesetting" w:hint="cs"/>
                <w:sz w:val="28"/>
                <w:szCs w:val="28"/>
                <w:rtl/>
              </w:rPr>
              <w:t>-</w:t>
            </w:r>
            <w:r w:rsidRPr="007A4D9E">
              <w:rPr>
                <w:rFonts w:ascii="Arabic Typesetting" w:hAnsi="Arabic Typesetting" w:cs="Arabic Typesetting"/>
                <w:sz w:val="28"/>
                <w:szCs w:val="28"/>
                <w:rtl/>
              </w:rPr>
              <w:tab/>
            </w:r>
            <w:r w:rsidRPr="007A4D9E">
              <w:rPr>
                <w:rFonts w:ascii="Arabic Typesetting" w:hAnsi="Arabic Typesetting" w:cs="Arabic Typesetting" w:hint="cs"/>
                <w:sz w:val="28"/>
                <w:szCs w:val="28"/>
                <w:rtl/>
              </w:rPr>
              <w:t>2015: 39% أو 216</w:t>
            </w:r>
            <w:r w:rsidRPr="007A4D9E">
              <w:rPr>
                <w:rFonts w:ascii="Arabic Typesetting" w:hAnsi="Arabic Typesetting" w:cs="Arabic Typesetting" w:hint="eastAsia"/>
                <w:sz w:val="28"/>
                <w:szCs w:val="28"/>
                <w:rtl/>
              </w:rPr>
              <w:t> </w:t>
            </w:r>
            <w:r w:rsidRPr="007A4D9E">
              <w:rPr>
                <w:rFonts w:ascii="Arabic Typesetting" w:hAnsi="Arabic Typesetting" w:cs="Arabic Typesetting" w:hint="cs"/>
                <w:sz w:val="28"/>
                <w:szCs w:val="28"/>
                <w:rtl/>
              </w:rPr>
              <w:t>19 طلبا مخالفا للأصول (+18% مقارنة بعام</w:t>
            </w:r>
            <w:r w:rsidRPr="007A4D9E">
              <w:rPr>
                <w:rFonts w:ascii="Arabic Typesetting" w:hAnsi="Arabic Typesetting" w:cs="Arabic Typesetting" w:hint="eastAsia"/>
                <w:sz w:val="28"/>
                <w:szCs w:val="28"/>
                <w:rtl/>
              </w:rPr>
              <w:t> </w:t>
            </w:r>
            <w:r w:rsidRPr="007A4D9E">
              <w:rPr>
                <w:rFonts w:ascii="Arabic Typesetting" w:hAnsi="Arabic Typesetting" w:cs="Arabic Typesetting" w:hint="cs"/>
                <w:sz w:val="28"/>
                <w:szCs w:val="28"/>
                <w:rtl/>
              </w:rPr>
              <w:t>2014)</w:t>
            </w:r>
          </w:p>
        </w:tc>
        <w:tc>
          <w:tcPr>
            <w:tcW w:w="453" w:type="pct"/>
            <w:tcBorders>
              <w:bottom w:val="single" w:sz="4" w:space="0" w:color="auto"/>
            </w:tcBorders>
            <w:shd w:val="clear" w:color="auto" w:fill="auto"/>
            <w:tcMar>
              <w:top w:w="110" w:type="dxa"/>
            </w:tcMar>
          </w:tcPr>
          <w:p w:rsidR="007A4D9E" w:rsidRPr="007A4D9E" w:rsidRDefault="007A4D9E" w:rsidP="007A4D9E">
            <w:pPr>
              <w:keepNext/>
              <w:keepLines/>
              <w:bidi/>
              <w:spacing w:before="60" w:after="60" w:line="280" w:lineRule="exact"/>
              <w:jc w:val="center"/>
              <w:rPr>
                <w:rFonts w:ascii="Arabic Typesetting" w:hAnsi="Arabic Typesetting" w:cs="Arabic Typesetting"/>
                <w:bCs/>
                <w:color w:val="FF0000"/>
                <w:sz w:val="28"/>
                <w:szCs w:val="28"/>
                <w:lang w:bidi="ar-EG"/>
              </w:rPr>
            </w:pPr>
            <w:r w:rsidRPr="007A4D9E">
              <w:rPr>
                <w:rFonts w:ascii="Arabic Typesetting" w:hAnsi="Arabic Typesetting" w:cs="Arabic Typesetting" w:hint="cs"/>
                <w:bCs/>
                <w:color w:val="FF0000"/>
                <w:sz w:val="28"/>
                <w:szCs w:val="28"/>
                <w:rtl/>
                <w:lang w:bidi="ar-EG"/>
              </w:rPr>
              <w:t>غير محقق</w:t>
            </w:r>
          </w:p>
        </w:tc>
      </w:tr>
      <w:tr w:rsidR="007A4D9E" w:rsidRPr="007A4D9E" w:rsidTr="00224009">
        <w:trPr>
          <w:cantSplit/>
        </w:trPr>
        <w:tc>
          <w:tcPr>
            <w:tcW w:w="5000" w:type="pct"/>
            <w:gridSpan w:val="5"/>
            <w:tcBorders>
              <w:top w:val="single" w:sz="4" w:space="0" w:color="auto"/>
              <w:bottom w:val="single" w:sz="4" w:space="0" w:color="auto"/>
            </w:tcBorders>
            <w:shd w:val="clear" w:color="auto" w:fill="C6D9F1" w:themeFill="text2" w:themeFillTint="33"/>
          </w:tcPr>
          <w:p w:rsidR="007A4D9E" w:rsidRPr="007A4D9E" w:rsidRDefault="007A4D9E" w:rsidP="00224009">
            <w:pPr>
              <w:keepNext/>
              <w:bidi/>
              <w:spacing w:after="60" w:line="280" w:lineRule="exact"/>
              <w:ind w:left="1167" w:hanging="1167"/>
              <w:rPr>
                <w:rFonts w:ascii="Arabic Typesetting" w:hAnsi="Arabic Typesetting" w:cs="Arabic Typesetting"/>
                <w:b/>
                <w:sz w:val="28"/>
                <w:szCs w:val="28"/>
                <w:lang w:bidi="ar-EG"/>
              </w:rPr>
            </w:pPr>
            <w:r w:rsidRPr="007A4D9E">
              <w:rPr>
                <w:rFonts w:ascii="Arabic Typesetting" w:hAnsi="Arabic Typesetting" w:cs="Arabic Typesetting"/>
                <w:bCs/>
                <w:sz w:val="28"/>
                <w:szCs w:val="28"/>
                <w:rtl/>
                <w:lang w:bidi="ar-EG"/>
              </w:rPr>
              <w:lastRenderedPageBreak/>
              <w:t>النتيجة المرتقبة:</w:t>
            </w:r>
            <w:r w:rsidRPr="007A4D9E">
              <w:rPr>
                <w:rFonts w:ascii="Arabic Typesetting" w:hAnsi="Arabic Typesetting" w:cs="Arabic Typesetting"/>
                <w:bCs/>
                <w:sz w:val="28"/>
                <w:szCs w:val="28"/>
                <w:rtl/>
                <w:lang w:bidi="ar-EG"/>
              </w:rPr>
              <w:tab/>
            </w:r>
            <w:r w:rsidRPr="007A4D9E">
              <w:rPr>
                <w:rFonts w:ascii="Arabic Typesetting" w:hAnsi="Arabic Typesetting" w:cs="Arabic Typesetting"/>
                <w:b/>
                <w:sz w:val="28"/>
                <w:szCs w:val="28"/>
                <w:rtl/>
                <w:lang w:bidi="ar-EG"/>
              </w:rPr>
              <w:t xml:space="preserve">ه7.2 </w:t>
            </w:r>
            <w:r w:rsidR="00A0719D">
              <w:rPr>
                <w:rFonts w:ascii="Arabic Typesetting" w:hAnsi="Arabic Typesetting" w:cs="Arabic Typesetting"/>
                <w:b/>
                <w:sz w:val="28"/>
                <w:szCs w:val="28"/>
                <w:rtl/>
                <w:lang w:bidi="ar-EG"/>
              </w:rPr>
              <w:t>تحسين الإنتاجية وجودة الخدمات في عمليات نظامي مدريد ولشبونة</w:t>
            </w:r>
          </w:p>
        </w:tc>
      </w:tr>
      <w:tr w:rsidR="007A4D9E" w:rsidRPr="007A4D9E" w:rsidTr="00224009">
        <w:trPr>
          <w:cantSplit/>
        </w:trPr>
        <w:tc>
          <w:tcPr>
            <w:tcW w:w="908" w:type="pct"/>
            <w:tcBorders>
              <w:top w:val="single" w:sz="4" w:space="0" w:color="auto"/>
            </w:tcBorders>
            <w:shd w:val="clear" w:color="auto" w:fill="auto"/>
          </w:tcPr>
          <w:p w:rsidR="007A4D9E" w:rsidRPr="007A4D9E" w:rsidRDefault="007A4D9E" w:rsidP="007A4D9E">
            <w:pPr>
              <w:keepNext/>
              <w:bidi/>
              <w:spacing w:before="60" w:after="60" w:line="280" w:lineRule="exact"/>
              <w:rPr>
                <w:rFonts w:ascii="Arabic Typesetting" w:hAnsi="Arabic Typesetting" w:cs="Arabic Typesetting"/>
                <w:b/>
                <w:sz w:val="28"/>
                <w:szCs w:val="28"/>
                <w:rtl/>
                <w:lang w:bidi="ar-EG"/>
              </w:rPr>
            </w:pPr>
            <w:r w:rsidRPr="007A4D9E">
              <w:rPr>
                <w:rFonts w:ascii="Arabic Typesetting" w:hAnsi="Arabic Typesetting" w:cs="Arabic Typesetting"/>
                <w:bCs/>
                <w:sz w:val="28"/>
                <w:szCs w:val="28"/>
                <w:rtl/>
                <w:lang w:bidi="ar-EG"/>
              </w:rPr>
              <w:t>مؤشرات الأداء</w:t>
            </w:r>
          </w:p>
        </w:tc>
        <w:tc>
          <w:tcPr>
            <w:tcW w:w="1440" w:type="pct"/>
            <w:tcBorders>
              <w:top w:val="single" w:sz="4" w:space="0" w:color="auto"/>
            </w:tcBorders>
            <w:shd w:val="clear" w:color="auto" w:fill="auto"/>
            <w:vAlign w:val="center"/>
          </w:tcPr>
          <w:p w:rsidR="007A4D9E" w:rsidRPr="007A4D9E" w:rsidRDefault="007A4D9E" w:rsidP="007A4D9E">
            <w:pPr>
              <w:keepNext/>
              <w:bidi/>
              <w:spacing w:before="60" w:after="60" w:line="280" w:lineRule="exact"/>
              <w:rPr>
                <w:rFonts w:ascii="Arabic Typesetting" w:hAnsi="Arabic Typesetting" w:cs="Arabic Typesetting"/>
                <w:bCs/>
                <w:sz w:val="28"/>
                <w:szCs w:val="28"/>
                <w:lang w:bidi="ar-EG"/>
              </w:rPr>
            </w:pPr>
            <w:r w:rsidRPr="007A4D9E">
              <w:rPr>
                <w:rFonts w:ascii="Arabic Typesetting" w:hAnsi="Arabic Typesetting" w:cs="Arabic Typesetting"/>
                <w:bCs/>
                <w:sz w:val="28"/>
                <w:szCs w:val="28"/>
                <w:rtl/>
                <w:lang w:bidi="ar-EG"/>
              </w:rPr>
              <w:t>أسس المقارنة</w:t>
            </w:r>
          </w:p>
        </w:tc>
        <w:tc>
          <w:tcPr>
            <w:tcW w:w="833" w:type="pct"/>
            <w:tcBorders>
              <w:top w:val="single" w:sz="4" w:space="0" w:color="auto"/>
            </w:tcBorders>
            <w:shd w:val="clear" w:color="auto" w:fill="auto"/>
            <w:tcMar>
              <w:top w:w="110" w:type="dxa"/>
            </w:tcMar>
            <w:vAlign w:val="center"/>
          </w:tcPr>
          <w:p w:rsidR="007A4D9E" w:rsidRPr="007A4D9E" w:rsidRDefault="007A4D9E" w:rsidP="007A4D9E">
            <w:pPr>
              <w:keepNext/>
              <w:bidi/>
              <w:spacing w:before="60" w:after="60" w:line="280" w:lineRule="exact"/>
              <w:rPr>
                <w:rFonts w:ascii="Arabic Typesetting" w:hAnsi="Arabic Typesetting" w:cs="Arabic Typesetting"/>
                <w:bCs/>
                <w:sz w:val="28"/>
                <w:szCs w:val="28"/>
                <w:lang w:bidi="ar-EG"/>
              </w:rPr>
            </w:pPr>
            <w:r w:rsidRPr="007A4D9E">
              <w:rPr>
                <w:rFonts w:ascii="Arabic Typesetting" w:hAnsi="Arabic Typesetting" w:cs="Arabic Typesetting"/>
                <w:bCs/>
                <w:sz w:val="28"/>
                <w:szCs w:val="28"/>
                <w:rtl/>
                <w:lang w:bidi="ar-EG"/>
              </w:rPr>
              <w:t>الأهداف</w:t>
            </w:r>
          </w:p>
        </w:tc>
        <w:tc>
          <w:tcPr>
            <w:tcW w:w="1366" w:type="pct"/>
            <w:tcBorders>
              <w:top w:val="single" w:sz="4" w:space="0" w:color="auto"/>
            </w:tcBorders>
            <w:shd w:val="clear" w:color="auto" w:fill="FFFFFF"/>
            <w:tcMar>
              <w:top w:w="110" w:type="dxa"/>
            </w:tcMar>
            <w:vAlign w:val="center"/>
          </w:tcPr>
          <w:p w:rsidR="007A4D9E" w:rsidRPr="007A4D9E" w:rsidRDefault="007A4D9E" w:rsidP="007A4D9E">
            <w:pPr>
              <w:keepNext/>
              <w:bidi/>
              <w:spacing w:before="60" w:after="60" w:line="280" w:lineRule="exact"/>
              <w:rPr>
                <w:rFonts w:ascii="Arabic Typesetting" w:hAnsi="Arabic Typesetting" w:cs="Arabic Typesetting"/>
                <w:bCs/>
                <w:sz w:val="28"/>
                <w:szCs w:val="28"/>
                <w:lang w:bidi="ar-EG"/>
              </w:rPr>
            </w:pPr>
            <w:r w:rsidRPr="007A4D9E">
              <w:rPr>
                <w:rFonts w:ascii="Arabic Typesetting" w:hAnsi="Arabic Typesetting" w:cs="Arabic Typesetting"/>
                <w:bCs/>
                <w:sz w:val="28"/>
                <w:szCs w:val="28"/>
                <w:rtl/>
                <w:lang w:bidi="ar-EG"/>
              </w:rPr>
              <w:t>بيانات الأداء</w:t>
            </w:r>
          </w:p>
        </w:tc>
        <w:tc>
          <w:tcPr>
            <w:tcW w:w="453" w:type="pct"/>
            <w:tcBorders>
              <w:top w:val="single" w:sz="4" w:space="0" w:color="auto"/>
            </w:tcBorders>
            <w:shd w:val="clear" w:color="auto" w:fill="auto"/>
            <w:tcMar>
              <w:top w:w="110" w:type="dxa"/>
            </w:tcMar>
            <w:vAlign w:val="center"/>
          </w:tcPr>
          <w:p w:rsidR="007A4D9E" w:rsidRPr="007A4D9E" w:rsidRDefault="007A4D9E" w:rsidP="007A4D9E">
            <w:pPr>
              <w:keepNext/>
              <w:keepLines/>
              <w:bidi/>
              <w:spacing w:before="60" w:after="60" w:line="280" w:lineRule="exact"/>
              <w:jc w:val="center"/>
              <w:rPr>
                <w:rFonts w:ascii="Arabic Typesetting" w:hAnsi="Arabic Typesetting" w:cs="Arabic Typesetting"/>
                <w:b/>
                <w:bCs/>
                <w:sz w:val="28"/>
                <w:szCs w:val="28"/>
                <w:lang w:bidi="ar-EG"/>
              </w:rPr>
            </w:pPr>
            <w:r w:rsidRPr="007A4D9E">
              <w:rPr>
                <w:rFonts w:ascii="Arabic Typesetting" w:hAnsi="Arabic Typesetting" w:cs="Arabic Typesetting"/>
                <w:bCs/>
                <w:sz w:val="28"/>
                <w:szCs w:val="28"/>
                <w:rtl/>
                <w:lang w:bidi="ar-EG"/>
              </w:rPr>
              <w:t>السير</w:t>
            </w:r>
          </w:p>
        </w:tc>
      </w:tr>
      <w:tr w:rsidR="007A4D9E" w:rsidRPr="007A4D9E" w:rsidTr="00224009">
        <w:trPr>
          <w:cantSplit/>
          <w:trHeight w:val="1420"/>
        </w:trPr>
        <w:tc>
          <w:tcPr>
            <w:tcW w:w="908" w:type="pct"/>
            <w:shd w:val="clear" w:color="auto" w:fill="FFFFFF"/>
          </w:tcPr>
          <w:p w:rsidR="007A4D9E" w:rsidRPr="007A4D9E" w:rsidRDefault="007A4D9E" w:rsidP="00224009">
            <w:pPr>
              <w:keepNext/>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التقدم المُحرز نحو ترشيد الإطار القانوني لنظام مدريد وتبسيطه</w:t>
            </w:r>
          </w:p>
        </w:tc>
        <w:tc>
          <w:tcPr>
            <w:tcW w:w="1440" w:type="pct"/>
            <w:shd w:val="clear" w:color="auto" w:fill="auto"/>
          </w:tcPr>
          <w:p w:rsidR="007A4D9E" w:rsidRPr="007A4D9E" w:rsidRDefault="007A4D9E" w:rsidP="00224009">
            <w:pPr>
              <w:keepNext/>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اللائحة التنفيذية المشتركة والتعليمات الإدارية السارية لنظام مدريد في نهاية عام 2013</w:t>
            </w:r>
          </w:p>
        </w:tc>
        <w:tc>
          <w:tcPr>
            <w:tcW w:w="833" w:type="pct"/>
            <w:shd w:val="clear" w:color="auto" w:fill="auto"/>
            <w:tcMar>
              <w:top w:w="110" w:type="dxa"/>
            </w:tcMar>
          </w:tcPr>
          <w:p w:rsidR="007A4D9E" w:rsidRPr="007A4D9E" w:rsidRDefault="007A4D9E" w:rsidP="00224009">
            <w:pPr>
              <w:keepNext/>
              <w:keepLines/>
              <w:bidi/>
              <w:adjustRightInd w:val="0"/>
              <w:snapToGrid w:val="0"/>
              <w:spacing w:before="60" w:after="60" w:line="280" w:lineRule="exact"/>
              <w:rPr>
                <w:rFonts w:ascii="Arabic Typesetting" w:hAnsi="Arabic Typesetting" w:cs="Arabic Typesetting"/>
                <w:b/>
                <w:sz w:val="28"/>
                <w:szCs w:val="28"/>
                <w:rtl/>
              </w:rPr>
            </w:pPr>
            <w:r w:rsidRPr="007A4D9E">
              <w:rPr>
                <w:rFonts w:ascii="Arabic Typesetting" w:hAnsi="Arabic Typesetting" w:cs="Arabic Typesetting"/>
                <w:b/>
                <w:noProof/>
                <w:sz w:val="28"/>
                <w:szCs w:val="28"/>
                <w:rtl/>
              </w:rPr>
              <w:t>تعديلات على اللائحة التنفيذية المشتركة والتعليمات الإدارية لنظام مدريد</w:t>
            </w:r>
          </w:p>
        </w:tc>
        <w:tc>
          <w:tcPr>
            <w:tcW w:w="1366" w:type="pct"/>
            <w:shd w:val="clear" w:color="auto" w:fill="FFFFFF"/>
            <w:tcMar>
              <w:top w:w="110" w:type="dxa"/>
            </w:tcMar>
          </w:tcPr>
          <w:p w:rsidR="007A4D9E" w:rsidRPr="007A4D9E" w:rsidRDefault="00E14A59" w:rsidP="00E14A59">
            <w:pPr>
              <w:keepNext/>
              <w:bidi/>
              <w:spacing w:before="60" w:after="60" w:line="280" w:lineRule="exact"/>
              <w:rPr>
                <w:rFonts w:ascii="Arabic Typesetting" w:hAnsi="Arabic Typesetting" w:cs="Arabic Typesetting"/>
                <w:sz w:val="28"/>
                <w:szCs w:val="28"/>
                <w:rtl/>
              </w:rPr>
            </w:pPr>
            <w:r>
              <w:rPr>
                <w:rFonts w:ascii="Arabic Typesetting" w:hAnsi="Arabic Typesetting" w:cs="Arabic Typesetting" w:hint="cs"/>
                <w:b/>
                <w:noProof/>
                <w:sz w:val="28"/>
                <w:szCs w:val="28"/>
                <w:rtl/>
              </w:rPr>
              <w:t>اعتمدت جمعية اتحاد المدريد</w:t>
            </w:r>
            <w:r w:rsidR="007A4D9E" w:rsidRPr="007A4D9E">
              <w:rPr>
                <w:rFonts w:ascii="Arabic Typesetting" w:hAnsi="Arabic Typesetting" w:cs="Arabic Typesetting" w:hint="cs"/>
                <w:b/>
                <w:noProof/>
                <w:sz w:val="28"/>
                <w:szCs w:val="28"/>
                <w:rtl/>
              </w:rPr>
              <w:t xml:space="preserve"> التعديلات (القواعد 5 و5(ثانيا) و9 و20(ثانيا) و24 و27 و30 و31 و36 وجدول الرسوم. ودخل بعض منها حيّز النفاذ (أبريل 2015) وسيدخل البعض الآخر حيّز النفاذ في 2016 (1أبريل) أو في 2017 (1 يوليو و1</w:t>
            </w:r>
            <w:r w:rsidR="000801D9">
              <w:rPr>
                <w:rFonts w:ascii="Arabic Typesetting" w:hAnsi="Arabic Typesetting" w:cs="Arabic Typesetting" w:hint="eastAsia"/>
                <w:b/>
                <w:noProof/>
                <w:sz w:val="28"/>
                <w:szCs w:val="28"/>
                <w:rtl/>
              </w:rPr>
              <w:t> </w:t>
            </w:r>
            <w:r w:rsidR="007A4D9E" w:rsidRPr="007A4D9E">
              <w:rPr>
                <w:rFonts w:ascii="Arabic Typesetting" w:hAnsi="Arabic Typesetting" w:cs="Arabic Typesetting" w:hint="cs"/>
                <w:b/>
                <w:noProof/>
                <w:sz w:val="28"/>
                <w:szCs w:val="28"/>
                <w:rtl/>
              </w:rPr>
              <w:t>نوفمبر).</w:t>
            </w:r>
          </w:p>
        </w:tc>
        <w:tc>
          <w:tcPr>
            <w:tcW w:w="453" w:type="pct"/>
            <w:shd w:val="clear" w:color="auto" w:fill="auto"/>
            <w:tcMar>
              <w:top w:w="110" w:type="dxa"/>
            </w:tcMar>
          </w:tcPr>
          <w:p w:rsidR="007A4D9E" w:rsidRPr="007A4D9E" w:rsidRDefault="007A4D9E" w:rsidP="00224009">
            <w:pPr>
              <w:keepNext/>
              <w:keepLines/>
              <w:bidi/>
              <w:spacing w:before="60" w:after="60" w:line="280" w:lineRule="exact"/>
              <w:jc w:val="center"/>
              <w:rPr>
                <w:rFonts w:ascii="Arabic Typesetting" w:hAnsi="Arabic Typesetting" w:cs="Arabic Typesetting"/>
                <w:b/>
                <w:bCs/>
                <w:color w:val="00B050"/>
                <w:sz w:val="28"/>
                <w:szCs w:val="28"/>
              </w:rPr>
            </w:pPr>
            <w:r w:rsidRPr="007A4D9E">
              <w:rPr>
                <w:rFonts w:ascii="Arabic Typesetting" w:hAnsi="Arabic Typesetting" w:cs="Arabic Typesetting"/>
                <w:bCs/>
                <w:color w:val="00B050"/>
                <w:sz w:val="28"/>
                <w:szCs w:val="28"/>
                <w:rtl/>
              </w:rPr>
              <w:t>محقق كلياً</w:t>
            </w:r>
          </w:p>
        </w:tc>
      </w:tr>
      <w:tr w:rsidR="007A4D9E" w:rsidRPr="007A4D9E" w:rsidTr="00224009">
        <w:trPr>
          <w:cantSplit/>
        </w:trPr>
        <w:tc>
          <w:tcPr>
            <w:tcW w:w="908"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عدد التسجيلات</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عدد التجديدات التي عُولجت</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tl/>
              </w:rPr>
            </w:pPr>
            <w:r w:rsidRPr="007A4D9E">
              <w:rPr>
                <w:rFonts w:ascii="Arabic Typesetting" w:hAnsi="Arabic Typesetting" w:cs="Arabic Typesetting"/>
                <w:noProof/>
                <w:sz w:val="28"/>
                <w:szCs w:val="28"/>
                <w:rtl/>
              </w:rPr>
              <w:t>عدد التعديلات، بما في ذلك التعيينات اللاحقة (مدريد)</w:t>
            </w:r>
          </w:p>
        </w:tc>
        <w:tc>
          <w:tcPr>
            <w:tcW w:w="1440"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color w:val="002060"/>
                <w:sz w:val="28"/>
                <w:szCs w:val="28"/>
                <w:rtl/>
                <w:lang w:bidi="ar-EG"/>
              </w:rPr>
              <w:t>أسس المقارنة المحدثة في نهاية 2013:</w:t>
            </w:r>
            <w:r w:rsidRPr="007A4D9E">
              <w:rPr>
                <w:rFonts w:ascii="Arabic Typesetting" w:hAnsi="Arabic Typesetting" w:cs="Arabic Typesetting"/>
                <w:iCs/>
                <w:color w:val="002060"/>
                <w:sz w:val="28"/>
                <w:szCs w:val="28"/>
                <w:rtl/>
                <w:lang w:bidi="ar-EG"/>
              </w:rPr>
              <w:br/>
            </w:r>
            <w:r w:rsidRPr="007A4D9E">
              <w:rPr>
                <w:rFonts w:ascii="Arabic Typesetting" w:hAnsi="Arabic Typesetting" w:cs="Arabic Typesetting"/>
                <w:i/>
                <w:color w:val="002060"/>
                <w:sz w:val="28"/>
                <w:szCs w:val="28"/>
                <w:rtl/>
                <w:lang w:bidi="ar-EG"/>
              </w:rPr>
              <w:t xml:space="preserve">2013: </w:t>
            </w:r>
            <w:r w:rsidRPr="007A4D9E">
              <w:rPr>
                <w:rFonts w:ascii="Arabic Typesetting" w:hAnsi="Arabic Typesetting" w:cs="Arabic Typesetting" w:hint="cs"/>
                <w:i/>
                <w:color w:val="002060"/>
                <w:sz w:val="28"/>
                <w:szCs w:val="28"/>
                <w:rtl/>
                <w:lang w:bidi="ar-EG"/>
              </w:rPr>
              <w:t>414</w:t>
            </w:r>
            <w:r w:rsidRPr="007A4D9E">
              <w:rPr>
                <w:rFonts w:ascii="Arabic Typesetting" w:hAnsi="Arabic Typesetting" w:cs="Arabic Typesetting" w:hint="eastAsia"/>
                <w:i/>
                <w:color w:val="002060"/>
                <w:sz w:val="28"/>
                <w:szCs w:val="28"/>
                <w:rtl/>
                <w:lang w:bidi="ar-EG"/>
              </w:rPr>
              <w:t> </w:t>
            </w:r>
            <w:r w:rsidRPr="007A4D9E">
              <w:rPr>
                <w:rFonts w:ascii="Arabic Typesetting" w:hAnsi="Arabic Typesetting" w:cs="Arabic Typesetting" w:hint="cs"/>
                <w:i/>
                <w:color w:val="002060"/>
                <w:sz w:val="28"/>
                <w:szCs w:val="28"/>
                <w:rtl/>
                <w:lang w:bidi="ar-EG"/>
              </w:rPr>
              <w:t>44</w:t>
            </w:r>
            <w:r w:rsidRPr="007A4D9E">
              <w:rPr>
                <w:rFonts w:ascii="Arabic Typesetting" w:hAnsi="Arabic Typesetting" w:cs="Arabic Typesetting"/>
                <w:i/>
                <w:color w:val="002060"/>
                <w:sz w:val="28"/>
                <w:szCs w:val="28"/>
                <w:rtl/>
                <w:lang w:bidi="ar-EG"/>
              </w:rPr>
              <w:t xml:space="preserve"> تسجيلا؛</w:t>
            </w:r>
            <w:r w:rsidRPr="007A4D9E">
              <w:rPr>
                <w:rFonts w:ascii="Arabic Typesetting" w:hAnsi="Arabic Typesetting" w:cs="Arabic Typesetting"/>
                <w:i/>
                <w:color w:val="002060"/>
                <w:sz w:val="28"/>
                <w:szCs w:val="28"/>
                <w:rtl/>
                <w:lang w:bidi="ar-EG"/>
              </w:rPr>
              <w:br/>
              <w:t xml:space="preserve">2014: </w:t>
            </w:r>
            <w:r w:rsidRPr="007A4D9E">
              <w:rPr>
                <w:rFonts w:ascii="Arabic Typesetting" w:hAnsi="Arabic Typesetting" w:cs="Arabic Typesetting" w:hint="cs"/>
                <w:i/>
                <w:color w:val="002060"/>
                <w:sz w:val="28"/>
                <w:szCs w:val="28"/>
                <w:rtl/>
                <w:lang w:bidi="ar-EG"/>
              </w:rPr>
              <w:t>014</w:t>
            </w:r>
            <w:r w:rsidRPr="007A4D9E">
              <w:rPr>
                <w:rFonts w:ascii="Arabic Typesetting" w:hAnsi="Arabic Typesetting" w:cs="Arabic Typesetting" w:hint="eastAsia"/>
                <w:i/>
                <w:color w:val="002060"/>
                <w:sz w:val="28"/>
                <w:szCs w:val="28"/>
                <w:rtl/>
                <w:lang w:bidi="ar-EG"/>
              </w:rPr>
              <w:t> </w:t>
            </w:r>
            <w:r w:rsidRPr="007A4D9E">
              <w:rPr>
                <w:rFonts w:ascii="Arabic Typesetting" w:hAnsi="Arabic Typesetting" w:cs="Arabic Typesetting" w:hint="cs"/>
                <w:i/>
                <w:color w:val="002060"/>
                <w:sz w:val="28"/>
                <w:szCs w:val="28"/>
                <w:rtl/>
                <w:lang w:bidi="ar-EG"/>
              </w:rPr>
              <w:t xml:space="preserve">23 </w:t>
            </w:r>
            <w:r w:rsidRPr="007A4D9E">
              <w:rPr>
                <w:rFonts w:ascii="Arabic Typesetting" w:hAnsi="Arabic Typesetting" w:cs="Arabic Typesetting"/>
                <w:i/>
                <w:color w:val="002060"/>
                <w:sz w:val="28"/>
                <w:szCs w:val="28"/>
                <w:rtl/>
                <w:lang w:bidi="ar-EG"/>
              </w:rPr>
              <w:t>تجديدا؛</w:t>
            </w:r>
            <w:r w:rsidRPr="007A4D9E">
              <w:rPr>
                <w:rFonts w:ascii="Arabic Typesetting" w:hAnsi="Arabic Typesetting" w:cs="Arabic Typesetting"/>
                <w:i/>
                <w:color w:val="002060"/>
                <w:sz w:val="28"/>
                <w:szCs w:val="28"/>
                <w:rtl/>
                <w:lang w:bidi="ar-EG"/>
              </w:rPr>
              <w:br/>
            </w:r>
            <w:r w:rsidRPr="007A4D9E">
              <w:rPr>
                <w:rFonts w:ascii="Arabic Typesetting" w:hAnsi="Arabic Typesetting" w:cs="Arabic Typesetting" w:hint="cs"/>
                <w:i/>
                <w:color w:val="002060"/>
                <w:sz w:val="28"/>
                <w:szCs w:val="28"/>
                <w:rtl/>
                <w:lang w:bidi="ar-EG"/>
              </w:rPr>
              <w:t>673</w:t>
            </w:r>
            <w:r w:rsidRPr="007A4D9E">
              <w:rPr>
                <w:rFonts w:ascii="Arabic Typesetting" w:hAnsi="Arabic Typesetting" w:cs="Arabic Typesetting" w:hint="eastAsia"/>
                <w:i/>
                <w:color w:val="002060"/>
                <w:sz w:val="28"/>
                <w:szCs w:val="28"/>
                <w:rtl/>
                <w:lang w:bidi="ar-EG"/>
              </w:rPr>
              <w:t> </w:t>
            </w:r>
            <w:r w:rsidRPr="007A4D9E">
              <w:rPr>
                <w:rFonts w:ascii="Arabic Typesetting" w:hAnsi="Arabic Typesetting" w:cs="Arabic Typesetting" w:hint="cs"/>
                <w:i/>
                <w:color w:val="002060"/>
                <w:sz w:val="28"/>
                <w:szCs w:val="28"/>
                <w:rtl/>
                <w:lang w:bidi="ar-EG"/>
              </w:rPr>
              <w:t>117</w:t>
            </w:r>
            <w:r w:rsidRPr="007A4D9E">
              <w:rPr>
                <w:rFonts w:ascii="Arabic Typesetting" w:hAnsi="Arabic Typesetting" w:cs="Arabic Typesetting"/>
                <w:i/>
                <w:color w:val="002060"/>
                <w:sz w:val="28"/>
                <w:szCs w:val="28"/>
                <w:rtl/>
                <w:lang w:bidi="ar-EG"/>
              </w:rPr>
              <w:t xml:space="preserve"> تغييرا بما</w:t>
            </w:r>
            <w:r w:rsidRPr="007A4D9E">
              <w:rPr>
                <w:rFonts w:ascii="Arabic Typesetting" w:hAnsi="Arabic Typesetting" w:cs="Arabic Typesetting" w:hint="cs"/>
                <w:i/>
                <w:color w:val="002060"/>
                <w:sz w:val="28"/>
                <w:szCs w:val="28"/>
                <w:rtl/>
                <w:lang w:bidi="ar-EG"/>
              </w:rPr>
              <w:br/>
              <w:t>373</w:t>
            </w:r>
            <w:r w:rsidRPr="007A4D9E">
              <w:rPr>
                <w:rFonts w:ascii="Arabic Typesetting" w:hAnsi="Arabic Typesetting" w:cs="Arabic Typesetting" w:hint="eastAsia"/>
                <w:i/>
                <w:color w:val="002060"/>
                <w:sz w:val="28"/>
                <w:szCs w:val="28"/>
                <w:rtl/>
                <w:lang w:bidi="ar-EG"/>
              </w:rPr>
              <w:t> </w:t>
            </w:r>
            <w:r w:rsidRPr="007A4D9E">
              <w:rPr>
                <w:rFonts w:ascii="Arabic Typesetting" w:hAnsi="Arabic Typesetting" w:cs="Arabic Typesetting" w:hint="cs"/>
                <w:i/>
                <w:color w:val="002060"/>
                <w:sz w:val="28"/>
                <w:szCs w:val="28"/>
                <w:rtl/>
                <w:lang w:bidi="ar-EG"/>
              </w:rPr>
              <w:t xml:space="preserve">14 </w:t>
            </w:r>
            <w:r w:rsidRPr="007A4D9E">
              <w:rPr>
                <w:rFonts w:ascii="Arabic Typesetting" w:hAnsi="Arabic Typesetting" w:cs="Arabic Typesetting"/>
                <w:i/>
                <w:color w:val="002060"/>
                <w:sz w:val="28"/>
                <w:szCs w:val="28"/>
                <w:rtl/>
                <w:lang w:bidi="ar-EG"/>
              </w:rPr>
              <w:t>تعيينا لاحق</w:t>
            </w:r>
            <w:r w:rsidRPr="007A4D9E">
              <w:rPr>
                <w:rFonts w:ascii="Arabic Typesetting" w:hAnsi="Arabic Typesetting" w:cs="Arabic Typesetting" w:hint="cs"/>
                <w:i/>
                <w:color w:val="002060"/>
                <w:sz w:val="28"/>
                <w:szCs w:val="28"/>
                <w:rtl/>
                <w:lang w:bidi="ar-EG"/>
              </w:rPr>
              <w:t>ا</w:t>
            </w:r>
            <w:r w:rsidRPr="007A4D9E">
              <w:rPr>
                <w:rFonts w:ascii="Arabic Typesetting" w:hAnsi="Arabic Typesetting" w:cs="Arabic Typesetting"/>
                <w:i/>
                <w:color w:val="002060"/>
                <w:sz w:val="28"/>
                <w:szCs w:val="28"/>
                <w:rtl/>
                <w:lang w:bidi="ar-EG"/>
              </w:rPr>
              <w:br/>
            </w:r>
            <w:r w:rsidRPr="007A4D9E">
              <w:rPr>
                <w:rFonts w:ascii="Arabic Typesetting" w:hAnsi="Arabic Typesetting" w:cs="Arabic Typesetting"/>
                <w:iCs/>
                <w:sz w:val="28"/>
                <w:szCs w:val="28"/>
                <w:rtl/>
                <w:lang w:bidi="ar-EG"/>
              </w:rPr>
              <w:t>أسس المقارنة الأصلية في برنامج وميزانية 2013/14</w:t>
            </w:r>
            <w:r w:rsidRPr="007A4D9E">
              <w:rPr>
                <w:rFonts w:ascii="Arabic Typesetting" w:hAnsi="Arabic Typesetting" w:cs="Arabic Typesetting"/>
                <w:i/>
                <w:sz w:val="28"/>
                <w:szCs w:val="28"/>
                <w:rtl/>
                <w:lang w:bidi="ar-EG"/>
              </w:rPr>
              <w:t xml:space="preserve">: </w:t>
            </w:r>
            <w:r w:rsidRPr="007A4D9E">
              <w:rPr>
                <w:rFonts w:ascii="Arabic Typesetting" w:hAnsi="Arabic Typesetting" w:cs="Arabic Typesetting"/>
                <w:sz w:val="28"/>
                <w:szCs w:val="28"/>
                <w:rtl/>
              </w:rPr>
              <w:t>التسجيلات والتجديدات (انظر المرفق السابع).</w:t>
            </w:r>
          </w:p>
          <w:p w:rsidR="007A4D9E" w:rsidRPr="007A4D9E" w:rsidRDefault="007A4D9E" w:rsidP="000801D9">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sz w:val="28"/>
                <w:szCs w:val="28"/>
                <w:rtl/>
              </w:rPr>
              <w:t xml:space="preserve">أدرج </w:t>
            </w:r>
            <w:r w:rsidRPr="007A4D9E">
              <w:rPr>
                <w:rFonts w:ascii="Arabic Typesetting" w:hAnsi="Arabic Typesetting" w:cs="Arabic Typesetting" w:hint="cs"/>
                <w:sz w:val="28"/>
                <w:szCs w:val="28"/>
                <w:rtl/>
              </w:rPr>
              <w:t>500</w:t>
            </w:r>
            <w:r w:rsidRPr="007A4D9E">
              <w:rPr>
                <w:rFonts w:ascii="Arabic Typesetting" w:hAnsi="Arabic Typesetting" w:cs="Arabic Typesetting" w:hint="eastAsia"/>
                <w:sz w:val="28"/>
                <w:szCs w:val="28"/>
                <w:rtl/>
              </w:rPr>
              <w:t> </w:t>
            </w:r>
            <w:r w:rsidRPr="007A4D9E">
              <w:rPr>
                <w:rFonts w:ascii="Arabic Typesetting" w:hAnsi="Arabic Typesetting" w:cs="Arabic Typesetting" w:hint="cs"/>
                <w:sz w:val="28"/>
                <w:szCs w:val="28"/>
                <w:rtl/>
              </w:rPr>
              <w:t>97</w:t>
            </w:r>
            <w:r w:rsidRPr="007A4D9E">
              <w:rPr>
                <w:rFonts w:ascii="Arabic Typesetting" w:hAnsi="Arabic Typesetting" w:cs="Arabic Typesetting"/>
                <w:sz w:val="28"/>
                <w:szCs w:val="28"/>
                <w:rtl/>
              </w:rPr>
              <w:t xml:space="preserve"> تعديل في السجل (2012)</w:t>
            </w:r>
          </w:p>
        </w:tc>
        <w:tc>
          <w:tcPr>
            <w:tcW w:w="833" w:type="pct"/>
            <w:shd w:val="clear" w:color="auto" w:fill="auto"/>
            <w:tcMar>
              <w:top w:w="110" w:type="dxa"/>
            </w:tcMar>
          </w:tcPr>
          <w:p w:rsidR="007A4D9E" w:rsidRPr="007A4D9E" w:rsidRDefault="007A4D9E" w:rsidP="00224009">
            <w:pPr>
              <w:keepNext/>
              <w:keepLines/>
              <w:bidi/>
              <w:adjustRightInd w:val="0"/>
              <w:snapToGrid w:val="0"/>
              <w:spacing w:before="60" w:after="120" w:line="280" w:lineRule="exact"/>
              <w:rPr>
                <w:rFonts w:ascii="Arabic Typesetting" w:hAnsi="Arabic Typesetting" w:cs="Arabic Typesetting"/>
                <w:sz w:val="28"/>
                <w:szCs w:val="28"/>
              </w:rPr>
            </w:pPr>
            <w:r w:rsidRPr="007A4D9E">
              <w:rPr>
                <w:rFonts w:ascii="Arabic Typesetting" w:hAnsi="Arabic Typesetting" w:cs="Arabic Typesetting"/>
                <w:b/>
                <w:sz w:val="28"/>
                <w:szCs w:val="28"/>
                <w:rtl/>
              </w:rPr>
              <w:t xml:space="preserve">2014: </w:t>
            </w:r>
            <w:r w:rsidRPr="007A4D9E">
              <w:rPr>
                <w:rFonts w:ascii="Arabic Typesetting" w:hAnsi="Arabic Typesetting" w:cs="Arabic Typesetting"/>
                <w:noProof/>
                <w:sz w:val="28"/>
                <w:szCs w:val="28"/>
                <w:rtl/>
              </w:rPr>
              <w:t>زيادة بنسبة 6.3% في التسجيلات والتجديدات</w:t>
            </w:r>
            <w:r w:rsidRPr="00F96634">
              <w:rPr>
                <w:rFonts w:ascii="Arabic Typesetting" w:hAnsi="Arabic Typesetting" w:cs="Arabic Typesetting"/>
                <w:noProof/>
                <w:sz w:val="28"/>
                <w:szCs w:val="28"/>
                <w:vertAlign w:val="superscript"/>
                <w:rtl/>
              </w:rPr>
              <w:footnoteReference w:id="27"/>
            </w:r>
          </w:p>
          <w:p w:rsidR="007A4D9E" w:rsidRPr="007A4D9E" w:rsidRDefault="007A4D9E" w:rsidP="00224009">
            <w:pPr>
              <w:keepNext/>
              <w:keepLines/>
              <w:bidi/>
              <w:adjustRightInd w:val="0"/>
              <w:snapToGrid w:val="0"/>
              <w:spacing w:before="60" w:after="120" w:line="280" w:lineRule="exact"/>
              <w:rPr>
                <w:rFonts w:ascii="Arabic Typesetting" w:hAnsi="Arabic Typesetting" w:cs="Arabic Typesetting"/>
                <w:sz w:val="28"/>
                <w:szCs w:val="28"/>
              </w:rPr>
            </w:pPr>
            <w:r w:rsidRPr="007A4D9E">
              <w:rPr>
                <w:rFonts w:ascii="Arabic Typesetting" w:hAnsi="Arabic Typesetting" w:cs="Arabic Typesetting"/>
                <w:b/>
                <w:sz w:val="28"/>
                <w:szCs w:val="28"/>
                <w:rtl/>
              </w:rPr>
              <w:t xml:space="preserve">2015: </w:t>
            </w:r>
            <w:r w:rsidRPr="007A4D9E">
              <w:rPr>
                <w:rFonts w:ascii="Arabic Typesetting" w:hAnsi="Arabic Typesetting" w:cs="Arabic Typesetting"/>
                <w:noProof/>
                <w:sz w:val="28"/>
                <w:szCs w:val="28"/>
                <w:rtl/>
              </w:rPr>
              <w:t>زيادة بنسبة 3.3% في التسجيلات والتجديدات</w:t>
            </w:r>
          </w:p>
          <w:p w:rsidR="007A4D9E" w:rsidRPr="007A4D9E" w:rsidRDefault="007A4D9E" w:rsidP="00224009">
            <w:pPr>
              <w:keepNext/>
              <w:keepLines/>
              <w:bidi/>
              <w:adjustRightInd w:val="0"/>
              <w:snapToGrid w:val="0"/>
              <w:spacing w:before="60" w:after="120" w:line="280" w:lineRule="exact"/>
              <w:rPr>
                <w:rFonts w:ascii="Arabic Typesetting" w:hAnsi="Arabic Typesetting" w:cs="Arabic Typesetting"/>
                <w:sz w:val="28"/>
                <w:szCs w:val="28"/>
              </w:rPr>
            </w:pPr>
            <w:r w:rsidRPr="007A4D9E">
              <w:rPr>
                <w:rFonts w:ascii="Arabic Typesetting" w:hAnsi="Arabic Typesetting" w:cs="Arabic Typesetting"/>
                <w:b/>
                <w:sz w:val="28"/>
                <w:szCs w:val="28"/>
                <w:rtl/>
              </w:rPr>
              <w:t xml:space="preserve">مجموع التسجيلات </w:t>
            </w:r>
            <w:r w:rsidRPr="007A4D9E">
              <w:rPr>
                <w:rFonts w:ascii="Arabic Typesetting" w:hAnsi="Arabic Typesetting" w:cs="Arabic Typesetting" w:hint="cs"/>
                <w:b/>
                <w:sz w:val="28"/>
                <w:szCs w:val="28"/>
                <w:rtl/>
              </w:rPr>
              <w:t>500</w:t>
            </w:r>
            <w:r w:rsidRPr="007A4D9E">
              <w:rPr>
                <w:rFonts w:ascii="Arabic Typesetting" w:hAnsi="Arabic Typesetting" w:cs="Arabic Typesetting" w:hint="eastAsia"/>
                <w:b/>
                <w:sz w:val="28"/>
                <w:szCs w:val="28"/>
                <w:rtl/>
              </w:rPr>
              <w:t> </w:t>
            </w:r>
            <w:r w:rsidRPr="007A4D9E">
              <w:rPr>
                <w:rFonts w:ascii="Arabic Typesetting" w:hAnsi="Arabic Typesetting" w:cs="Arabic Typesetting" w:hint="cs"/>
                <w:b/>
                <w:sz w:val="28"/>
                <w:szCs w:val="28"/>
                <w:rtl/>
              </w:rPr>
              <w:t>92</w:t>
            </w:r>
          </w:p>
          <w:p w:rsidR="007A4D9E" w:rsidRPr="007A4D9E" w:rsidRDefault="007A4D9E" w:rsidP="00224009">
            <w:pPr>
              <w:keepNext/>
              <w:keepLines/>
              <w:bidi/>
              <w:adjustRightInd w:val="0"/>
              <w:snapToGrid w:val="0"/>
              <w:spacing w:before="60" w:after="12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 xml:space="preserve">مجموع التجديدات </w:t>
            </w:r>
            <w:r w:rsidRPr="007A4D9E">
              <w:rPr>
                <w:rFonts w:ascii="Arabic Typesetting" w:hAnsi="Arabic Typesetting" w:cs="Arabic Typesetting" w:hint="cs"/>
                <w:noProof/>
                <w:sz w:val="28"/>
                <w:szCs w:val="28"/>
                <w:rtl/>
              </w:rPr>
              <w:t>000</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49</w:t>
            </w:r>
          </w:p>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b/>
                <w:sz w:val="28"/>
                <w:szCs w:val="28"/>
              </w:rPr>
            </w:pPr>
            <w:r w:rsidRPr="007A4D9E">
              <w:rPr>
                <w:rFonts w:ascii="Arabic Typesetting" w:hAnsi="Arabic Typesetting" w:cs="Arabic Typesetting"/>
                <w:noProof/>
                <w:sz w:val="28"/>
                <w:szCs w:val="28"/>
                <w:rtl/>
              </w:rPr>
              <w:t xml:space="preserve">مجموع التعديلات </w:t>
            </w:r>
            <w:r w:rsidRPr="007A4D9E">
              <w:rPr>
                <w:rFonts w:ascii="Arabic Typesetting" w:hAnsi="Arabic Typesetting" w:cs="Arabic Typesetting" w:hint="cs"/>
                <w:noProof/>
                <w:sz w:val="28"/>
                <w:szCs w:val="28"/>
                <w:rtl/>
              </w:rPr>
              <w:t>000</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200</w:t>
            </w:r>
            <w:r w:rsidRPr="007A4D9E">
              <w:rPr>
                <w:rFonts w:ascii="Arabic Typesetting" w:hAnsi="Arabic Typesetting" w:cs="Arabic Typesetting"/>
                <w:noProof/>
                <w:sz w:val="28"/>
                <w:szCs w:val="28"/>
                <w:rtl/>
              </w:rPr>
              <w:t xml:space="preserve">، بما في ذلك </w:t>
            </w:r>
            <w:r w:rsidRPr="007A4D9E">
              <w:rPr>
                <w:rFonts w:ascii="Arabic Typesetting" w:hAnsi="Arabic Typesetting" w:cs="Arabic Typesetting" w:hint="cs"/>
                <w:noProof/>
                <w:sz w:val="28"/>
                <w:szCs w:val="28"/>
                <w:rtl/>
              </w:rPr>
              <w:t>000</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35</w:t>
            </w:r>
            <w:r w:rsidRPr="007A4D9E">
              <w:rPr>
                <w:rFonts w:ascii="Arabic Typesetting" w:hAnsi="Arabic Typesetting" w:cs="Arabic Typesetting"/>
                <w:noProof/>
                <w:sz w:val="28"/>
                <w:szCs w:val="28"/>
                <w:rtl/>
              </w:rPr>
              <w:t xml:space="preserve"> تعيين لاحق</w:t>
            </w:r>
          </w:p>
        </w:tc>
        <w:tc>
          <w:tcPr>
            <w:tcW w:w="1366" w:type="pct"/>
            <w:shd w:val="clear" w:color="auto" w:fill="FFFFFF"/>
            <w:tcMar>
              <w:top w:w="110" w:type="dxa"/>
            </w:tcMar>
          </w:tcPr>
          <w:p w:rsidR="007A4D9E" w:rsidRPr="007A4D9E" w:rsidRDefault="007A4D9E" w:rsidP="007A4D9E">
            <w:pPr>
              <w:bidi/>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 xml:space="preserve">2014: </w:t>
            </w:r>
            <w:r w:rsidRPr="007A4D9E">
              <w:rPr>
                <w:rFonts w:ascii="Arabic Typesetting" w:hAnsi="Arabic Typesetting" w:cs="Arabic Typesetting"/>
                <w:noProof/>
                <w:sz w:val="28"/>
                <w:szCs w:val="28"/>
                <w:rtl/>
              </w:rPr>
              <w:t xml:space="preserve">زيادة بنسبة 1.1% </w:t>
            </w:r>
            <w:r w:rsidRPr="007A4D9E">
              <w:rPr>
                <w:rFonts w:ascii="Arabic Typesetting" w:hAnsi="Arabic Typesetting" w:cs="Arabic Typesetting" w:hint="cs"/>
                <w:noProof/>
                <w:sz w:val="28"/>
                <w:szCs w:val="28"/>
                <w:rtl/>
              </w:rPr>
              <w:t>على مدى 2013 في</w:t>
            </w:r>
            <w:r w:rsidRPr="007A4D9E">
              <w:rPr>
                <w:rFonts w:ascii="Arabic Typesetting" w:hAnsi="Arabic Typesetting" w:cs="Arabic Typesetting"/>
                <w:noProof/>
                <w:sz w:val="28"/>
                <w:szCs w:val="28"/>
                <w:rtl/>
              </w:rPr>
              <w:t xml:space="preserve"> التسجيلات والتجديدات:</w:t>
            </w:r>
            <w:r w:rsidRPr="007A4D9E">
              <w:rPr>
                <w:rFonts w:ascii="Arabic Typesetting" w:hAnsi="Arabic Typesetting" w:cs="Arabic Typesetting"/>
                <w:noProof/>
                <w:sz w:val="28"/>
                <w:szCs w:val="28"/>
                <w:rtl/>
              </w:rPr>
              <w:br/>
              <w:t>-</w:t>
            </w:r>
            <w:r w:rsidRPr="007A4D9E">
              <w:rPr>
                <w:rFonts w:ascii="Arabic Typesetting" w:hAnsi="Arabic Typesetting" w:cs="Arabic Typesetting"/>
                <w:noProof/>
                <w:sz w:val="28"/>
                <w:szCs w:val="28"/>
                <w:rtl/>
              </w:rPr>
              <w:tab/>
            </w:r>
            <w:r w:rsidRPr="007A4D9E">
              <w:rPr>
                <w:rFonts w:ascii="Arabic Typesetting" w:hAnsi="Arabic Typesetting" w:cs="Arabic Typesetting" w:hint="cs"/>
                <w:noProof/>
                <w:sz w:val="28"/>
                <w:szCs w:val="28"/>
                <w:rtl/>
              </w:rPr>
              <w:t>430</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42</w:t>
            </w:r>
            <w:r w:rsidRPr="007A4D9E">
              <w:rPr>
                <w:rFonts w:ascii="Arabic Typesetting" w:hAnsi="Arabic Typesetting" w:cs="Arabic Typesetting"/>
                <w:noProof/>
                <w:sz w:val="28"/>
                <w:szCs w:val="28"/>
                <w:rtl/>
              </w:rPr>
              <w:t xml:space="preserve"> تسجيلا</w:t>
            </w:r>
            <w:r w:rsidRPr="007A4D9E">
              <w:rPr>
                <w:rFonts w:ascii="Arabic Typesetting" w:hAnsi="Arabic Typesetting" w:cs="Arabic Typesetting"/>
                <w:noProof/>
                <w:sz w:val="28"/>
                <w:szCs w:val="28"/>
                <w:rtl/>
              </w:rPr>
              <w:br/>
              <w:t>-</w:t>
            </w:r>
            <w:r w:rsidRPr="007A4D9E">
              <w:rPr>
                <w:rFonts w:ascii="Arabic Typesetting" w:hAnsi="Arabic Typesetting" w:cs="Arabic Typesetting"/>
                <w:noProof/>
                <w:sz w:val="28"/>
                <w:szCs w:val="28"/>
                <w:rtl/>
              </w:rPr>
              <w:tab/>
            </w:r>
            <w:r w:rsidRPr="007A4D9E">
              <w:rPr>
                <w:rFonts w:ascii="Arabic Typesetting" w:hAnsi="Arabic Typesetting" w:cs="Arabic Typesetting" w:hint="cs"/>
                <w:noProof/>
                <w:sz w:val="28"/>
                <w:szCs w:val="28"/>
                <w:rtl/>
              </w:rPr>
              <w:t>729</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25</w:t>
            </w:r>
            <w:r w:rsidRPr="007A4D9E">
              <w:rPr>
                <w:rFonts w:ascii="Arabic Typesetting" w:hAnsi="Arabic Typesetting" w:cs="Arabic Typesetting"/>
                <w:noProof/>
                <w:sz w:val="28"/>
                <w:szCs w:val="28"/>
                <w:rtl/>
              </w:rPr>
              <w:t xml:space="preserve"> تجديدا</w:t>
            </w:r>
          </w:p>
          <w:p w:rsidR="007A4D9E" w:rsidRPr="007A4D9E" w:rsidRDefault="007A4D9E" w:rsidP="007A4D9E">
            <w:pPr>
              <w:bidi/>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2015: زيادة بنسبة 12.2% على مدى 2014 في التسجيلات والتجديدات</w:t>
            </w:r>
            <w:r w:rsidRPr="00F96634">
              <w:rPr>
                <w:rFonts w:ascii="Arabic Typesetting" w:hAnsi="Arabic Typesetting" w:cs="Arabic Typesetting"/>
                <w:noProof/>
                <w:sz w:val="28"/>
                <w:szCs w:val="28"/>
                <w:vertAlign w:val="superscript"/>
                <w:rtl/>
              </w:rPr>
              <w:footnoteReference w:id="28"/>
            </w:r>
            <w:r w:rsidRPr="007A4D9E">
              <w:rPr>
                <w:rFonts w:ascii="Arabic Typesetting" w:hAnsi="Arabic Typesetting" w:cs="Arabic Typesetting" w:hint="cs"/>
                <w:noProof/>
                <w:sz w:val="28"/>
                <w:szCs w:val="28"/>
                <w:rtl/>
              </w:rPr>
              <w:t>:</w:t>
            </w:r>
          </w:p>
          <w:p w:rsidR="007A4D9E" w:rsidRPr="007A4D9E" w:rsidRDefault="007A4D9E" w:rsidP="007A4D9E">
            <w:pPr>
              <w:bidi/>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w:t>
            </w:r>
            <w:r w:rsidRPr="007A4D9E">
              <w:rPr>
                <w:rFonts w:ascii="Arabic Typesetting" w:hAnsi="Arabic Typesetting" w:cs="Arabic Typesetting"/>
                <w:noProof/>
                <w:sz w:val="28"/>
                <w:szCs w:val="28"/>
                <w:rtl/>
              </w:rPr>
              <w:tab/>
            </w:r>
            <w:r w:rsidRPr="007A4D9E">
              <w:rPr>
                <w:rFonts w:ascii="Arabic Typesetting" w:hAnsi="Arabic Typesetting" w:cs="Arabic Typesetting" w:hint="cs"/>
                <w:noProof/>
                <w:sz w:val="28"/>
                <w:szCs w:val="28"/>
                <w:rtl/>
              </w:rPr>
              <w:t>938</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51 تسجيلا</w:t>
            </w:r>
          </w:p>
          <w:p w:rsidR="007A4D9E" w:rsidRPr="007A4D9E" w:rsidRDefault="007A4D9E" w:rsidP="00224009">
            <w:pPr>
              <w:bidi/>
              <w:spacing w:before="60" w:after="120" w:line="280" w:lineRule="exact"/>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w:t>
            </w:r>
            <w:r w:rsidRPr="007A4D9E">
              <w:rPr>
                <w:rFonts w:ascii="Arabic Typesetting" w:hAnsi="Arabic Typesetting" w:cs="Arabic Typesetting"/>
                <w:noProof/>
                <w:sz w:val="28"/>
                <w:szCs w:val="28"/>
                <w:rtl/>
              </w:rPr>
              <w:tab/>
            </w:r>
            <w:r w:rsidRPr="007A4D9E">
              <w:rPr>
                <w:rFonts w:ascii="Arabic Typesetting" w:hAnsi="Arabic Typesetting" w:cs="Arabic Typesetting" w:hint="cs"/>
                <w:noProof/>
                <w:sz w:val="28"/>
                <w:szCs w:val="28"/>
                <w:rtl/>
              </w:rPr>
              <w:t>502</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28 تجديدا</w:t>
            </w:r>
          </w:p>
          <w:p w:rsidR="007A4D9E" w:rsidRPr="007A4D9E" w:rsidRDefault="007A4D9E" w:rsidP="00224009">
            <w:pPr>
              <w:bidi/>
              <w:spacing w:before="60" w:after="120" w:line="280" w:lineRule="exact"/>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مجموع التسجيلات في الثنائية</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2014/15: 368</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94.</w:t>
            </w:r>
          </w:p>
          <w:p w:rsidR="007A4D9E" w:rsidRPr="007A4D9E" w:rsidRDefault="007A4D9E" w:rsidP="00224009">
            <w:pPr>
              <w:bidi/>
              <w:spacing w:before="60" w:after="120" w:line="280" w:lineRule="exact"/>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مجموع التجديدات في الثنائية</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2014/15: 230</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54</w:t>
            </w:r>
          </w:p>
          <w:p w:rsidR="007A4D9E" w:rsidRPr="007A4D9E" w:rsidRDefault="007A4D9E" w:rsidP="00224009">
            <w:pPr>
              <w:bidi/>
              <w:spacing w:before="60" w:line="280" w:lineRule="exact"/>
              <w:rPr>
                <w:rFonts w:ascii="Arabic Typesetting" w:hAnsi="Arabic Typesetting" w:cs="Arabic Typesetting"/>
                <w:sz w:val="28"/>
                <w:szCs w:val="28"/>
                <w:rtl/>
                <w:lang w:bidi="ar-EG"/>
              </w:rPr>
            </w:pPr>
            <w:r w:rsidRPr="007A4D9E">
              <w:rPr>
                <w:rFonts w:ascii="Arabic Typesetting" w:hAnsi="Arabic Typesetting" w:cs="Arabic Typesetting" w:hint="cs"/>
                <w:noProof/>
                <w:sz w:val="28"/>
                <w:szCs w:val="28"/>
                <w:rtl/>
              </w:rPr>
              <w:t>مجموع التعديلات في الثنائية</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2014/15: 469</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220</w:t>
            </w:r>
            <w:r w:rsidRPr="007A4D9E">
              <w:rPr>
                <w:rFonts w:ascii="Arabic Typesetting" w:hAnsi="Arabic Typesetting" w:cs="Arabic Typesetting"/>
                <w:noProof/>
                <w:sz w:val="28"/>
                <w:szCs w:val="28"/>
                <w:rtl/>
              </w:rPr>
              <w:t xml:space="preserve"> تعديلا، بما في ذلك </w:t>
            </w:r>
            <w:r w:rsidRPr="007A4D9E">
              <w:rPr>
                <w:rFonts w:ascii="Arabic Typesetting" w:hAnsi="Arabic Typesetting" w:cs="Arabic Typesetting" w:hint="cs"/>
                <w:noProof/>
                <w:sz w:val="28"/>
                <w:szCs w:val="28"/>
                <w:rtl/>
              </w:rPr>
              <w:t>937</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35</w:t>
            </w:r>
            <w:r w:rsidRPr="007A4D9E">
              <w:rPr>
                <w:rFonts w:ascii="Arabic Typesetting" w:hAnsi="Arabic Typesetting" w:cs="Arabic Typesetting"/>
                <w:noProof/>
                <w:sz w:val="28"/>
                <w:szCs w:val="28"/>
                <w:rtl/>
              </w:rPr>
              <w:t xml:space="preserve"> تعيين</w:t>
            </w:r>
            <w:r w:rsidRPr="007A4D9E">
              <w:rPr>
                <w:rFonts w:ascii="Arabic Typesetting" w:hAnsi="Arabic Typesetting" w:cs="Arabic Typesetting" w:hint="cs"/>
                <w:noProof/>
                <w:sz w:val="28"/>
                <w:szCs w:val="28"/>
                <w:rtl/>
              </w:rPr>
              <w:t>ا</w:t>
            </w:r>
            <w:r w:rsidRPr="007A4D9E">
              <w:rPr>
                <w:rFonts w:ascii="Arabic Typesetting" w:hAnsi="Arabic Typesetting" w:cs="Arabic Typesetting"/>
                <w:noProof/>
                <w:sz w:val="28"/>
                <w:szCs w:val="28"/>
                <w:rtl/>
              </w:rPr>
              <w:t xml:space="preserve"> لاحق</w:t>
            </w:r>
            <w:r w:rsidRPr="007A4D9E">
              <w:rPr>
                <w:rFonts w:ascii="Arabic Typesetting" w:hAnsi="Arabic Typesetting" w:cs="Arabic Typesetting" w:hint="cs"/>
                <w:noProof/>
                <w:sz w:val="28"/>
                <w:szCs w:val="28"/>
                <w:rtl/>
              </w:rPr>
              <w:t>ا</w:t>
            </w:r>
          </w:p>
        </w:tc>
        <w:tc>
          <w:tcPr>
            <w:tcW w:w="453" w:type="pct"/>
            <w:shd w:val="clear" w:color="auto" w:fill="auto"/>
          </w:tcPr>
          <w:p w:rsidR="007A4D9E" w:rsidRPr="007A4D9E" w:rsidRDefault="007A4D9E" w:rsidP="007A4D9E">
            <w:pPr>
              <w:keepNext/>
              <w:keepLines/>
              <w:bidi/>
              <w:spacing w:before="60" w:after="60" w:line="280" w:lineRule="exact"/>
              <w:jc w:val="center"/>
              <w:rPr>
                <w:rFonts w:ascii="Arabic Typesetting" w:hAnsi="Arabic Typesetting" w:cs="Arabic Typesetting"/>
                <w:b/>
                <w:bCs/>
                <w:color w:val="FF0000"/>
                <w:sz w:val="28"/>
                <w:szCs w:val="28"/>
                <w:rtl/>
              </w:rPr>
            </w:pPr>
            <w:r w:rsidRPr="007A4D9E">
              <w:rPr>
                <w:rFonts w:ascii="Arabic Typesetting" w:hAnsi="Arabic Typesetting" w:cs="Arabic Typesetting" w:hint="cs"/>
                <w:bCs/>
                <w:color w:val="FF0000"/>
                <w:sz w:val="28"/>
                <w:szCs w:val="28"/>
                <w:rtl/>
                <w:lang w:bidi="ar-EG"/>
              </w:rPr>
              <w:t>غير محقق</w:t>
            </w: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FF000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FF000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FF000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r w:rsidRPr="007A4D9E">
              <w:rPr>
                <w:rFonts w:ascii="Arabic Typesetting" w:hAnsi="Arabic Typesetting" w:cs="Arabic Typesetting"/>
                <w:bCs/>
                <w:color w:val="00B050"/>
                <w:sz w:val="28"/>
                <w:szCs w:val="28"/>
                <w:rtl/>
              </w:rPr>
              <w:t>محقق كلياً</w:t>
            </w: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r w:rsidRPr="007A4D9E">
              <w:rPr>
                <w:rFonts w:ascii="Arabic Typesetting" w:hAnsi="Arabic Typesetting" w:cs="Arabic Typesetting"/>
                <w:bCs/>
                <w:color w:val="00B050"/>
                <w:sz w:val="28"/>
                <w:szCs w:val="28"/>
                <w:rtl/>
              </w:rPr>
              <w:t>محقق كلياً</w:t>
            </w: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r w:rsidRPr="007A4D9E">
              <w:rPr>
                <w:rFonts w:ascii="Arabic Typesetting" w:hAnsi="Arabic Typesetting" w:cs="Arabic Typesetting"/>
                <w:bCs/>
                <w:color w:val="00B050"/>
                <w:sz w:val="28"/>
                <w:szCs w:val="28"/>
                <w:rtl/>
              </w:rPr>
              <w:t>محقق كلياً</w:t>
            </w: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Pr>
            </w:pPr>
            <w:r w:rsidRPr="007A4D9E">
              <w:rPr>
                <w:rFonts w:ascii="Arabic Typesetting" w:hAnsi="Arabic Typesetting" w:cs="Arabic Typesetting"/>
                <w:bCs/>
                <w:color w:val="00B050"/>
                <w:sz w:val="28"/>
                <w:szCs w:val="28"/>
                <w:rtl/>
              </w:rPr>
              <w:t>محقق كلياً</w:t>
            </w:r>
          </w:p>
        </w:tc>
      </w:tr>
      <w:tr w:rsidR="007A4D9E" w:rsidRPr="007A4D9E" w:rsidTr="00224009">
        <w:trPr>
          <w:cantSplit/>
        </w:trPr>
        <w:tc>
          <w:tcPr>
            <w:tcW w:w="908"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ترجمة الطلبات في الوقت المناسب (مدريد)</w:t>
            </w:r>
          </w:p>
        </w:tc>
        <w:tc>
          <w:tcPr>
            <w:tcW w:w="1440"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البيانات غير متوفرة</w:t>
            </w:r>
          </w:p>
        </w:tc>
        <w:tc>
          <w:tcPr>
            <w:tcW w:w="833" w:type="pct"/>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b/>
                <w:sz w:val="28"/>
                <w:szCs w:val="28"/>
                <w:rtl/>
              </w:rPr>
            </w:pPr>
            <w:r w:rsidRPr="007A4D9E">
              <w:rPr>
                <w:rFonts w:ascii="Arabic Typesetting" w:hAnsi="Arabic Typesetting" w:cs="Arabic Typesetting"/>
                <w:b/>
                <w:noProof/>
                <w:sz w:val="28"/>
                <w:szCs w:val="28"/>
                <w:rtl/>
              </w:rPr>
              <w:t>أربعة أسابيع</w:t>
            </w:r>
          </w:p>
        </w:tc>
        <w:tc>
          <w:tcPr>
            <w:tcW w:w="1366" w:type="pct"/>
            <w:shd w:val="clear" w:color="auto" w:fill="FFFFFF"/>
            <w:tcMar>
              <w:top w:w="110" w:type="dxa"/>
            </w:tcMar>
          </w:tcPr>
          <w:p w:rsidR="007A4D9E" w:rsidRPr="007A4D9E" w:rsidRDefault="007A4D9E" w:rsidP="007A4D9E">
            <w:pPr>
              <w:bidi/>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noProof/>
                <w:sz w:val="28"/>
                <w:szCs w:val="28"/>
                <w:rtl/>
              </w:rPr>
              <w:t>ي</w:t>
            </w:r>
            <w:r w:rsidRPr="007A4D9E">
              <w:rPr>
                <w:rFonts w:ascii="Arabic Typesetting" w:hAnsi="Arabic Typesetting" w:cs="Arabic Typesetting" w:hint="cs"/>
                <w:noProof/>
                <w:sz w:val="28"/>
                <w:szCs w:val="28"/>
                <w:rtl/>
              </w:rPr>
              <w:t>بلغ</w:t>
            </w:r>
            <w:r w:rsidRPr="007A4D9E">
              <w:rPr>
                <w:rFonts w:ascii="Arabic Typesetting" w:hAnsi="Arabic Typesetting" w:cs="Arabic Typesetting"/>
                <w:noProof/>
                <w:sz w:val="28"/>
                <w:szCs w:val="28"/>
                <w:rtl/>
              </w:rPr>
              <w:t xml:space="preserve"> متوسط مدة المعالجة </w:t>
            </w:r>
            <w:r w:rsidRPr="007A4D9E">
              <w:rPr>
                <w:rFonts w:ascii="Arabic Typesetting" w:hAnsi="Arabic Typesetting" w:cs="Arabic Typesetting" w:hint="cs"/>
                <w:noProof/>
                <w:sz w:val="28"/>
                <w:szCs w:val="28"/>
                <w:rtl/>
              </w:rPr>
              <w:t>أسبوعين اثنين</w:t>
            </w:r>
          </w:p>
        </w:tc>
        <w:tc>
          <w:tcPr>
            <w:tcW w:w="453" w:type="pct"/>
            <w:shd w:val="clear" w:color="auto" w:fill="auto"/>
          </w:tcPr>
          <w:p w:rsidR="007A4D9E" w:rsidRPr="007A4D9E" w:rsidRDefault="007A4D9E" w:rsidP="007A4D9E">
            <w:pPr>
              <w:keepNext/>
              <w:keepLines/>
              <w:bidi/>
              <w:spacing w:before="60" w:after="60" w:line="280" w:lineRule="exact"/>
              <w:jc w:val="center"/>
              <w:rPr>
                <w:rFonts w:ascii="Arabic Typesetting" w:hAnsi="Arabic Typesetting" w:cs="Arabic Typesetting"/>
                <w:bCs/>
                <w:color w:val="00B050"/>
                <w:sz w:val="28"/>
                <w:szCs w:val="28"/>
                <w:rtl/>
              </w:rPr>
            </w:pPr>
            <w:r w:rsidRPr="007A4D9E">
              <w:rPr>
                <w:rFonts w:ascii="Arabic Typesetting" w:hAnsi="Arabic Typesetting" w:cs="Arabic Typesetting"/>
                <w:bCs/>
                <w:color w:val="00B050"/>
                <w:sz w:val="28"/>
                <w:szCs w:val="28"/>
                <w:rtl/>
              </w:rPr>
              <w:t>محقق كلياً</w:t>
            </w:r>
          </w:p>
        </w:tc>
      </w:tr>
      <w:tr w:rsidR="007A4D9E" w:rsidRPr="007A4D9E" w:rsidTr="00426BB2">
        <w:trPr>
          <w:cantSplit/>
          <w:trHeight w:val="2158"/>
        </w:trPr>
        <w:tc>
          <w:tcPr>
            <w:tcW w:w="908"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انخفاض عدد التصويبات (مدريد)</w:t>
            </w:r>
          </w:p>
        </w:tc>
        <w:tc>
          <w:tcPr>
            <w:tcW w:w="1440" w:type="pct"/>
            <w:shd w:val="clear" w:color="auto" w:fill="auto"/>
          </w:tcPr>
          <w:p w:rsidR="007A4D9E" w:rsidRPr="007A4D9E" w:rsidRDefault="007A4D9E" w:rsidP="003B2ED5">
            <w:pPr>
              <w:bidi/>
              <w:adjustRightInd w:val="0"/>
              <w:snapToGrid w:val="0"/>
              <w:spacing w:before="60" w:after="60" w:line="280" w:lineRule="exact"/>
              <w:rPr>
                <w:rFonts w:ascii="Arabic Typesetting" w:hAnsi="Arabic Typesetting" w:cs="Arabic Typesetting"/>
                <w:iCs/>
                <w:color w:val="002060"/>
                <w:sz w:val="28"/>
                <w:szCs w:val="28"/>
                <w:rtl/>
                <w:lang w:bidi="ar-EG"/>
              </w:rPr>
            </w:pPr>
            <w:r w:rsidRPr="007A4D9E">
              <w:rPr>
                <w:rFonts w:ascii="Arabic Typesetting" w:hAnsi="Arabic Typesetting" w:cs="Arabic Typesetting"/>
                <w:iCs/>
                <w:color w:val="002060"/>
                <w:sz w:val="28"/>
                <w:szCs w:val="28"/>
                <w:rtl/>
                <w:lang w:bidi="ar-EG"/>
              </w:rPr>
              <w:t xml:space="preserve">أسس المقارنة المحدثة في نهاية 2013: </w:t>
            </w:r>
            <w:r w:rsidR="003B2ED5">
              <w:rPr>
                <w:rFonts w:ascii="Arabic Typesetting" w:hAnsi="Arabic Typesetting" w:cs="Arabic Typesetting" w:hint="cs"/>
                <w:iCs/>
                <w:color w:val="002060"/>
                <w:sz w:val="28"/>
                <w:szCs w:val="28"/>
                <w:rtl/>
                <w:lang w:bidi="ar-EG"/>
              </w:rPr>
              <w:t>تسلّم</w:t>
            </w:r>
            <w:r w:rsidRPr="007A4D9E">
              <w:rPr>
                <w:rFonts w:ascii="Arabic Typesetting" w:hAnsi="Arabic Typesetting" w:cs="Arabic Typesetting"/>
                <w:iCs/>
                <w:color w:val="002060"/>
                <w:sz w:val="28"/>
                <w:szCs w:val="28"/>
                <w:rtl/>
                <w:lang w:bidi="ar-EG"/>
              </w:rPr>
              <w:t xml:space="preserve"> </w:t>
            </w:r>
            <w:r w:rsidRPr="007A4D9E">
              <w:rPr>
                <w:rFonts w:ascii="Arabic Typesetting" w:hAnsi="Arabic Typesetting" w:cs="Arabic Typesetting" w:hint="cs"/>
                <w:iCs/>
                <w:color w:val="002060"/>
                <w:sz w:val="28"/>
                <w:szCs w:val="28"/>
                <w:rtl/>
                <w:lang w:bidi="ar-EG"/>
              </w:rPr>
              <w:t>197</w:t>
            </w:r>
            <w:r w:rsidRPr="007A4D9E">
              <w:rPr>
                <w:rFonts w:ascii="Arabic Typesetting" w:hAnsi="Arabic Typesetting" w:cs="Arabic Typesetting" w:hint="eastAsia"/>
                <w:iCs/>
                <w:color w:val="002060"/>
                <w:sz w:val="28"/>
                <w:szCs w:val="28"/>
                <w:rtl/>
                <w:lang w:bidi="ar-EG"/>
              </w:rPr>
              <w:t> </w:t>
            </w:r>
            <w:r w:rsidRPr="007A4D9E">
              <w:rPr>
                <w:rFonts w:ascii="Arabic Typesetting" w:hAnsi="Arabic Typesetting" w:cs="Arabic Typesetting" w:hint="cs"/>
                <w:iCs/>
                <w:color w:val="002060"/>
                <w:sz w:val="28"/>
                <w:szCs w:val="28"/>
                <w:rtl/>
                <w:lang w:bidi="ar-EG"/>
              </w:rPr>
              <w:t>5</w:t>
            </w:r>
            <w:r w:rsidRPr="007A4D9E">
              <w:rPr>
                <w:rFonts w:ascii="Arabic Typesetting" w:hAnsi="Arabic Typesetting" w:cs="Arabic Typesetting"/>
                <w:iCs/>
                <w:color w:val="002060"/>
                <w:sz w:val="28"/>
                <w:szCs w:val="28"/>
                <w:rtl/>
                <w:lang w:bidi="ar-EG"/>
              </w:rPr>
              <w:t xml:space="preserve"> تصويبا ومعالجة </w:t>
            </w:r>
            <w:r w:rsidRPr="007A4D9E">
              <w:rPr>
                <w:rFonts w:ascii="Arabic Typesetting" w:hAnsi="Arabic Typesetting" w:cs="Arabic Typesetting" w:hint="cs"/>
                <w:iCs/>
                <w:color w:val="002060"/>
                <w:sz w:val="28"/>
                <w:szCs w:val="28"/>
                <w:rtl/>
                <w:lang w:bidi="ar-EG"/>
              </w:rPr>
              <w:t>499</w:t>
            </w:r>
            <w:r w:rsidRPr="007A4D9E">
              <w:rPr>
                <w:rFonts w:ascii="Arabic Typesetting" w:hAnsi="Arabic Typesetting" w:cs="Arabic Typesetting" w:hint="eastAsia"/>
                <w:iCs/>
                <w:color w:val="002060"/>
                <w:sz w:val="28"/>
                <w:szCs w:val="28"/>
                <w:rtl/>
                <w:lang w:bidi="ar-EG"/>
              </w:rPr>
              <w:t> </w:t>
            </w:r>
            <w:r w:rsidRPr="007A4D9E">
              <w:rPr>
                <w:rFonts w:ascii="Arabic Typesetting" w:hAnsi="Arabic Typesetting" w:cs="Arabic Typesetting" w:hint="cs"/>
                <w:iCs/>
                <w:color w:val="002060"/>
                <w:sz w:val="28"/>
                <w:szCs w:val="28"/>
                <w:rtl/>
                <w:lang w:bidi="ar-EG"/>
              </w:rPr>
              <w:t>4</w:t>
            </w:r>
            <w:r w:rsidRPr="007A4D9E">
              <w:rPr>
                <w:rFonts w:ascii="Arabic Typesetting" w:hAnsi="Arabic Typesetting" w:cs="Arabic Typesetting"/>
                <w:iCs/>
                <w:color w:val="002060"/>
                <w:sz w:val="28"/>
                <w:szCs w:val="28"/>
                <w:rtl/>
                <w:lang w:bidi="ar-EG"/>
              </w:rPr>
              <w:t xml:space="preserve"> منها</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sz w:val="28"/>
                <w:szCs w:val="28"/>
                <w:rtl/>
                <w:lang w:bidi="ar-EG"/>
              </w:rPr>
              <w:t>أسس المقارنة الأصلية في برنامج وميزانية 2013/14</w:t>
            </w:r>
            <w:r w:rsidRPr="007A4D9E">
              <w:rPr>
                <w:rFonts w:ascii="Arabic Typesetting" w:hAnsi="Arabic Typesetting" w:cs="Arabic Typesetting"/>
                <w:i/>
                <w:sz w:val="28"/>
                <w:szCs w:val="28"/>
                <w:rtl/>
                <w:lang w:bidi="ar-EG"/>
              </w:rPr>
              <w:t>:</w:t>
            </w:r>
            <w:r w:rsidRPr="007A4D9E">
              <w:rPr>
                <w:rFonts w:ascii="Arabic Typesetting" w:hAnsi="Arabic Typesetting" w:cs="Arabic Typesetting"/>
                <w:sz w:val="28"/>
                <w:szCs w:val="28"/>
                <w:rtl/>
              </w:rPr>
              <w:t>أرقام التصويبات في عام 2012 (</w:t>
            </w:r>
            <w:r w:rsidRPr="007A4D9E">
              <w:rPr>
                <w:rFonts w:ascii="Arabic Typesetting" w:hAnsi="Arabic Typesetting" w:cs="Arabic Typesetting" w:hint="cs"/>
                <w:sz w:val="28"/>
                <w:szCs w:val="28"/>
                <w:rtl/>
              </w:rPr>
              <w:t>000</w:t>
            </w:r>
            <w:r w:rsidRPr="007A4D9E">
              <w:rPr>
                <w:rFonts w:ascii="Arabic Typesetting" w:hAnsi="Arabic Typesetting" w:cs="Arabic Typesetting" w:hint="eastAsia"/>
                <w:sz w:val="28"/>
                <w:szCs w:val="28"/>
                <w:rtl/>
              </w:rPr>
              <w:t> </w:t>
            </w:r>
            <w:r w:rsidRPr="007A4D9E">
              <w:rPr>
                <w:rFonts w:ascii="Arabic Typesetting" w:hAnsi="Arabic Typesetting" w:cs="Arabic Typesetting" w:hint="cs"/>
                <w:sz w:val="28"/>
                <w:szCs w:val="28"/>
                <w:rtl/>
              </w:rPr>
              <w:t>5</w:t>
            </w:r>
            <w:r w:rsidRPr="007A4D9E">
              <w:rPr>
                <w:rFonts w:ascii="Arabic Typesetting" w:hAnsi="Arabic Typesetting" w:cs="Arabic Typesetting"/>
                <w:sz w:val="28"/>
                <w:szCs w:val="28"/>
                <w:rtl/>
              </w:rPr>
              <w:t xml:space="preserve"> التماس)</w:t>
            </w:r>
          </w:p>
        </w:tc>
        <w:tc>
          <w:tcPr>
            <w:tcW w:w="833" w:type="pct"/>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bCs/>
                <w:sz w:val="28"/>
                <w:szCs w:val="28"/>
                <w:rtl/>
              </w:rPr>
            </w:pPr>
            <w:r w:rsidRPr="007A4D9E">
              <w:rPr>
                <w:rFonts w:ascii="Arabic Typesetting" w:hAnsi="Arabic Typesetting" w:cs="Arabic Typesetting"/>
                <w:b/>
                <w:noProof/>
                <w:sz w:val="28"/>
                <w:szCs w:val="28"/>
                <w:rtl/>
              </w:rPr>
              <w:t>انخفاض التصويبات بنسبة</w:t>
            </w:r>
            <w:r w:rsidRPr="007A4D9E">
              <w:rPr>
                <w:rFonts w:ascii="Arabic Typesetting" w:hAnsi="Arabic Typesetting" w:cs="Arabic Typesetting"/>
                <w:bCs/>
                <w:noProof/>
                <w:sz w:val="28"/>
                <w:szCs w:val="28"/>
                <w:rtl/>
              </w:rPr>
              <w:t xml:space="preserve"> </w:t>
            </w:r>
            <w:r w:rsidRPr="007A4D9E">
              <w:rPr>
                <w:rFonts w:ascii="Arabic Typesetting" w:hAnsi="Arabic Typesetting" w:cs="Arabic Typesetting"/>
                <w:b/>
                <w:noProof/>
                <w:sz w:val="28"/>
                <w:szCs w:val="28"/>
                <w:rtl/>
              </w:rPr>
              <w:t>10%</w:t>
            </w:r>
          </w:p>
        </w:tc>
        <w:tc>
          <w:tcPr>
            <w:tcW w:w="1366" w:type="pct"/>
            <w:shd w:val="clear" w:color="auto" w:fill="FFFFFF"/>
            <w:tcMar>
              <w:top w:w="110" w:type="dxa"/>
            </w:tcMar>
          </w:tcPr>
          <w:p w:rsidR="007A4D9E" w:rsidRPr="007A4D9E" w:rsidRDefault="007A4D9E" w:rsidP="007A4D9E">
            <w:pPr>
              <w:bidi/>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زاد عدد التصويبات في الثنائية 2014/15.</w:t>
            </w:r>
          </w:p>
          <w:p w:rsidR="007A4D9E" w:rsidRPr="007A4D9E" w:rsidRDefault="007A4D9E" w:rsidP="00224009">
            <w:pPr>
              <w:bidi/>
              <w:spacing w:before="60" w:after="60" w:line="280" w:lineRule="exact"/>
              <w:ind w:left="284" w:hanging="284"/>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w:t>
            </w:r>
            <w:r w:rsidRPr="007A4D9E">
              <w:rPr>
                <w:rFonts w:ascii="Arabic Typesetting" w:hAnsi="Arabic Typesetting" w:cs="Arabic Typesetting"/>
                <w:noProof/>
                <w:sz w:val="28"/>
                <w:szCs w:val="28"/>
                <w:rtl/>
              </w:rPr>
              <w:tab/>
              <w:t xml:space="preserve">2014: </w:t>
            </w:r>
            <w:r w:rsidR="003B2ED5">
              <w:rPr>
                <w:rFonts w:ascii="Arabic Typesetting" w:hAnsi="Arabic Typesetting" w:cs="Arabic Typesetting"/>
                <w:noProof/>
                <w:sz w:val="28"/>
                <w:szCs w:val="28"/>
                <w:rtl/>
              </w:rPr>
              <w:t>تسلّم</w:t>
            </w:r>
            <w:r w:rsidRPr="007A4D9E">
              <w:rPr>
                <w:rFonts w:ascii="Arabic Typesetting" w:hAnsi="Arabic Typesetting" w:cs="Arabic Typesetting"/>
                <w:noProof/>
                <w:sz w:val="28"/>
                <w:szCs w:val="28"/>
                <w:rtl/>
              </w:rPr>
              <w:t xml:space="preserve"> </w:t>
            </w:r>
            <w:r w:rsidRPr="007A4D9E">
              <w:rPr>
                <w:rFonts w:ascii="Arabic Typesetting" w:hAnsi="Arabic Typesetting" w:cs="Arabic Typesetting" w:hint="cs"/>
                <w:noProof/>
                <w:sz w:val="28"/>
                <w:szCs w:val="28"/>
                <w:rtl/>
              </w:rPr>
              <w:t>073</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6</w:t>
            </w:r>
            <w:r w:rsidRPr="007A4D9E">
              <w:rPr>
                <w:rFonts w:ascii="Arabic Typesetting" w:hAnsi="Arabic Typesetting" w:cs="Arabic Typesetting"/>
                <w:noProof/>
                <w:sz w:val="28"/>
                <w:szCs w:val="28"/>
                <w:rtl/>
              </w:rPr>
              <w:t xml:space="preserve"> تصويبا ومعالجة </w:t>
            </w:r>
            <w:r w:rsidRPr="007A4D9E">
              <w:rPr>
                <w:rFonts w:ascii="Arabic Typesetting" w:hAnsi="Arabic Typesetting" w:cs="Arabic Typesetting" w:hint="cs"/>
                <w:noProof/>
                <w:sz w:val="28"/>
                <w:szCs w:val="28"/>
                <w:rtl/>
              </w:rPr>
              <w:t>737</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5</w:t>
            </w:r>
            <w:r w:rsidRPr="007A4D9E">
              <w:rPr>
                <w:rFonts w:ascii="Arabic Typesetting" w:hAnsi="Arabic Typesetting" w:cs="Arabic Typesetting"/>
                <w:noProof/>
                <w:sz w:val="28"/>
                <w:szCs w:val="28"/>
                <w:rtl/>
              </w:rPr>
              <w:t xml:space="preserve"> منها</w:t>
            </w:r>
            <w:r w:rsidRPr="007A4D9E">
              <w:rPr>
                <w:rFonts w:ascii="Arabic Typesetting" w:hAnsi="Arabic Typesetting" w:cs="Arabic Typesetting" w:hint="cs"/>
                <w:noProof/>
                <w:sz w:val="28"/>
                <w:szCs w:val="28"/>
                <w:rtl/>
              </w:rPr>
              <w:t xml:space="preserve"> (+17% مقارنة بعام 2013)</w:t>
            </w:r>
          </w:p>
          <w:p w:rsidR="007A4D9E" w:rsidRPr="007A4D9E" w:rsidRDefault="007A4D9E" w:rsidP="00426BB2">
            <w:pPr>
              <w:bidi/>
              <w:spacing w:before="60" w:after="120" w:line="280" w:lineRule="exact"/>
              <w:ind w:left="284" w:hanging="284"/>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w:t>
            </w:r>
            <w:r w:rsidRPr="007A4D9E">
              <w:rPr>
                <w:rFonts w:ascii="Arabic Typesetting" w:hAnsi="Arabic Typesetting" w:cs="Arabic Typesetting"/>
                <w:noProof/>
                <w:sz w:val="28"/>
                <w:szCs w:val="28"/>
                <w:rtl/>
              </w:rPr>
              <w:tab/>
            </w:r>
            <w:r w:rsidRPr="007A4D9E">
              <w:rPr>
                <w:rFonts w:ascii="Arabic Typesetting" w:hAnsi="Arabic Typesetting" w:cs="Arabic Typesetting" w:hint="cs"/>
                <w:noProof/>
                <w:sz w:val="28"/>
                <w:szCs w:val="28"/>
                <w:rtl/>
              </w:rPr>
              <w:t xml:space="preserve">2015: </w:t>
            </w:r>
            <w:r w:rsidR="003B2ED5">
              <w:rPr>
                <w:rFonts w:ascii="Arabic Typesetting" w:hAnsi="Arabic Typesetting" w:cs="Arabic Typesetting" w:hint="cs"/>
                <w:noProof/>
                <w:sz w:val="28"/>
                <w:szCs w:val="28"/>
                <w:rtl/>
              </w:rPr>
              <w:t>تسلّم</w:t>
            </w:r>
            <w:r w:rsidRPr="007A4D9E">
              <w:rPr>
                <w:rFonts w:ascii="Arabic Typesetting" w:hAnsi="Arabic Typesetting" w:cs="Arabic Typesetting" w:hint="cs"/>
                <w:noProof/>
                <w:sz w:val="28"/>
                <w:szCs w:val="28"/>
                <w:rtl/>
              </w:rPr>
              <w:t xml:space="preserve"> 127</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6 تصويبا ومعالجة 294</w:t>
            </w:r>
            <w:r w:rsidRPr="007A4D9E">
              <w:rPr>
                <w:rFonts w:ascii="Arabic Typesetting" w:hAnsi="Arabic Typesetting" w:cs="Arabic Typesetting" w:hint="eastAsia"/>
                <w:noProof/>
                <w:sz w:val="28"/>
                <w:szCs w:val="28"/>
                <w:rtl/>
              </w:rPr>
              <w:t> </w:t>
            </w:r>
            <w:r w:rsidRPr="007A4D9E">
              <w:rPr>
                <w:rFonts w:ascii="Arabic Typesetting" w:hAnsi="Arabic Typesetting" w:cs="Arabic Typesetting" w:hint="cs"/>
                <w:noProof/>
                <w:sz w:val="28"/>
                <w:szCs w:val="28"/>
                <w:rtl/>
              </w:rPr>
              <w:t>5 منها (+31% مقارنة بالهدف المحدّد لعام 2014)</w:t>
            </w:r>
            <w:r w:rsidRPr="00F96634">
              <w:rPr>
                <w:rFonts w:ascii="Arabic Typesetting" w:hAnsi="Arabic Typesetting" w:cs="Arabic Typesetting"/>
                <w:noProof/>
                <w:sz w:val="28"/>
                <w:szCs w:val="28"/>
                <w:vertAlign w:val="superscript"/>
                <w:rtl/>
              </w:rPr>
              <w:footnoteReference w:id="29"/>
            </w:r>
          </w:p>
        </w:tc>
        <w:tc>
          <w:tcPr>
            <w:tcW w:w="453" w:type="pct"/>
            <w:shd w:val="clear" w:color="auto" w:fill="auto"/>
          </w:tcPr>
          <w:p w:rsidR="007A4D9E" w:rsidRPr="007A4D9E" w:rsidRDefault="007A4D9E" w:rsidP="007A4D9E">
            <w:pPr>
              <w:keepNext/>
              <w:keepLines/>
              <w:bidi/>
              <w:spacing w:before="60" w:after="60" w:line="280" w:lineRule="exact"/>
              <w:jc w:val="center"/>
              <w:rPr>
                <w:rFonts w:ascii="Arabic Typesetting" w:hAnsi="Arabic Typesetting" w:cs="Arabic Typesetting"/>
                <w:b/>
                <w:bCs/>
                <w:sz w:val="28"/>
                <w:szCs w:val="28"/>
                <w:rtl/>
              </w:rPr>
            </w:pPr>
            <w:r w:rsidRPr="007A4D9E">
              <w:rPr>
                <w:rFonts w:ascii="Arabic Typesetting" w:hAnsi="Arabic Typesetting" w:cs="Arabic Typesetting" w:hint="cs"/>
                <w:b/>
                <w:bCs/>
                <w:color w:val="FF0000"/>
                <w:sz w:val="28"/>
                <w:szCs w:val="28"/>
                <w:rtl/>
                <w:lang w:bidi="ar-EG"/>
              </w:rPr>
              <w:t>غير محقق</w:t>
            </w:r>
          </w:p>
        </w:tc>
      </w:tr>
      <w:tr w:rsidR="007A4D9E" w:rsidRPr="007A4D9E" w:rsidTr="00224009">
        <w:trPr>
          <w:cantSplit/>
        </w:trPr>
        <w:tc>
          <w:tcPr>
            <w:tcW w:w="908"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tl/>
              </w:rPr>
            </w:pPr>
            <w:r w:rsidRPr="007A4D9E">
              <w:rPr>
                <w:rFonts w:ascii="Arabic Typesetting" w:hAnsi="Arabic Typesetting" w:cs="Arabic Typesetting"/>
                <w:noProof/>
                <w:sz w:val="28"/>
                <w:szCs w:val="28"/>
                <w:rtl/>
              </w:rPr>
              <w:lastRenderedPageBreak/>
              <w:t>زيادة رضا العملاء (مدريد)</w:t>
            </w:r>
          </w:p>
        </w:tc>
        <w:tc>
          <w:tcPr>
            <w:tcW w:w="1440"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i/>
                <w:color w:val="002060"/>
                <w:sz w:val="28"/>
                <w:szCs w:val="28"/>
                <w:rtl/>
                <w:lang w:bidi="ar-EG"/>
              </w:rPr>
            </w:pPr>
            <w:r w:rsidRPr="007A4D9E">
              <w:rPr>
                <w:rFonts w:ascii="Arabic Typesetting" w:hAnsi="Arabic Typesetting" w:cs="Arabic Typesetting"/>
                <w:iCs/>
                <w:color w:val="002060"/>
                <w:sz w:val="28"/>
                <w:szCs w:val="28"/>
                <w:rtl/>
                <w:lang w:bidi="ar-EG"/>
              </w:rPr>
              <w:t xml:space="preserve">أسس المقارنة المحدثة في نهاية 2013: </w:t>
            </w:r>
            <w:r w:rsidRPr="007A4D9E">
              <w:rPr>
                <w:rFonts w:ascii="Arabic Typesetting" w:hAnsi="Arabic Typesetting" w:cs="Arabic Typesetting"/>
                <w:i/>
                <w:color w:val="002060"/>
                <w:sz w:val="28"/>
                <w:szCs w:val="28"/>
                <w:rtl/>
                <w:lang w:bidi="ar-EG"/>
              </w:rPr>
              <w:t>مؤشر التوجه نحو الخدمات 38</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sz w:val="28"/>
                <w:szCs w:val="28"/>
                <w:rtl/>
                <w:lang w:bidi="ar-EG"/>
              </w:rPr>
              <w:t>أسس المقارنة الأصلية في برنامج وميزانية 2013/14</w:t>
            </w:r>
            <w:r w:rsidRPr="007A4D9E">
              <w:rPr>
                <w:rFonts w:ascii="Arabic Typesetting" w:hAnsi="Arabic Typesetting" w:cs="Arabic Typesetting"/>
                <w:i/>
                <w:sz w:val="28"/>
                <w:szCs w:val="28"/>
                <w:rtl/>
                <w:lang w:bidi="ar-EG"/>
              </w:rPr>
              <w:t>:</w:t>
            </w:r>
            <w:r w:rsidRPr="007A4D9E">
              <w:rPr>
                <w:rFonts w:ascii="Arabic Typesetting" w:hAnsi="Arabic Typesetting" w:cs="Arabic Typesetting"/>
                <w:sz w:val="28"/>
                <w:szCs w:val="28"/>
                <w:rtl/>
              </w:rPr>
              <w:t>استقصاء النهج القائم على خدمة الزبون لعام 2012</w:t>
            </w:r>
            <w:r w:rsidRPr="007A4D9E">
              <w:rPr>
                <w:rFonts w:ascii="Arabic Typesetting" w:hAnsi="Arabic Typesetting" w:cs="Arabic Typesetting"/>
                <w:noProof/>
                <w:sz w:val="28"/>
                <w:szCs w:val="28"/>
              </w:rPr>
              <w:t>.</w:t>
            </w:r>
            <w:r w:rsidRPr="007A4D9E">
              <w:rPr>
                <w:rFonts w:ascii="Arabic Typesetting" w:hAnsi="Arabic Typesetting" w:cs="Arabic Typesetting"/>
                <w:noProof/>
                <w:sz w:val="28"/>
                <w:szCs w:val="28"/>
                <w:rtl/>
              </w:rPr>
              <w:t xml:space="preserve"> </w:t>
            </w:r>
            <w:r w:rsidRPr="007A4D9E">
              <w:rPr>
                <w:rFonts w:ascii="Arabic Typesetting" w:hAnsi="Arabic Typesetting" w:cs="Arabic Typesetting"/>
                <w:sz w:val="28"/>
                <w:szCs w:val="28"/>
                <w:rtl/>
              </w:rPr>
              <w:t>مؤشر التوجه نحو الخدمات 79</w:t>
            </w:r>
            <w:r w:rsidRPr="007A4D9E">
              <w:rPr>
                <w:rFonts w:ascii="Arabic Typesetting" w:hAnsi="Arabic Typesetting" w:cs="Arabic Typesetting"/>
                <w:noProof/>
                <w:sz w:val="28"/>
                <w:szCs w:val="28"/>
              </w:rPr>
              <w:t>.</w:t>
            </w:r>
            <w:r w:rsidRPr="00F96634">
              <w:rPr>
                <w:rFonts w:ascii="Arabic Typesetting" w:hAnsi="Arabic Typesetting" w:cs="Arabic Typesetting"/>
                <w:noProof/>
                <w:sz w:val="28"/>
                <w:szCs w:val="28"/>
                <w:vertAlign w:val="superscript"/>
              </w:rPr>
              <w:footnoteReference w:id="30"/>
            </w:r>
          </w:p>
        </w:tc>
        <w:tc>
          <w:tcPr>
            <w:tcW w:w="833" w:type="pct"/>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b/>
                <w:sz w:val="28"/>
                <w:szCs w:val="28"/>
                <w:rtl/>
              </w:rPr>
            </w:pPr>
            <w:r w:rsidRPr="007A4D9E">
              <w:rPr>
                <w:rFonts w:ascii="Arabic Typesetting" w:hAnsi="Arabic Typesetting" w:cs="Arabic Typesetting"/>
                <w:b/>
                <w:noProof/>
                <w:sz w:val="28"/>
                <w:szCs w:val="28"/>
                <w:rtl/>
              </w:rPr>
              <w:t>ارتفاع معدل الرضا في الاستقصاء القادم، مع التركيز على سرعة الاستجابة وحسن التوقيت</w:t>
            </w:r>
          </w:p>
        </w:tc>
        <w:tc>
          <w:tcPr>
            <w:tcW w:w="1366" w:type="pct"/>
            <w:shd w:val="clear" w:color="auto" w:fill="FFFFFF"/>
            <w:tcMar>
              <w:top w:w="110" w:type="dxa"/>
            </w:tcMar>
          </w:tcPr>
          <w:p w:rsidR="007A4D9E" w:rsidRPr="007A4D9E" w:rsidRDefault="007A4D9E" w:rsidP="00224009">
            <w:pPr>
              <w:bidi/>
              <w:spacing w:before="60" w:after="120" w:line="280" w:lineRule="exact"/>
              <w:rPr>
                <w:rFonts w:ascii="Arabic Typesetting" w:hAnsi="Arabic Typesetting" w:cs="Arabic Typesetting"/>
                <w:noProof/>
                <w:sz w:val="28"/>
                <w:szCs w:val="28"/>
                <w:rtl/>
              </w:rPr>
            </w:pPr>
            <w:r w:rsidRPr="007A4D9E">
              <w:rPr>
                <w:rFonts w:ascii="Arabic Typesetting" w:hAnsi="Arabic Typesetting" w:cs="Arabic Typesetting"/>
                <w:noProof/>
                <w:sz w:val="28"/>
                <w:szCs w:val="28"/>
                <w:rtl/>
              </w:rPr>
              <w:t>2014: مؤشر التوجه نحو الخدمات 39</w:t>
            </w:r>
          </w:p>
          <w:p w:rsidR="007A4D9E" w:rsidRPr="007A4D9E" w:rsidRDefault="007A4D9E" w:rsidP="007A4D9E">
            <w:pPr>
              <w:bidi/>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hint="cs"/>
                <w:noProof/>
                <w:sz w:val="28"/>
                <w:szCs w:val="28"/>
                <w:rtl/>
              </w:rPr>
              <w:t>2015: لم يُجر أي استقصاء يغطي هذا العام</w:t>
            </w:r>
          </w:p>
        </w:tc>
        <w:tc>
          <w:tcPr>
            <w:tcW w:w="453" w:type="pct"/>
            <w:shd w:val="clear" w:color="auto" w:fill="auto"/>
          </w:tcPr>
          <w:p w:rsidR="007A4D9E" w:rsidRPr="007A4D9E" w:rsidRDefault="007A4D9E" w:rsidP="00224009">
            <w:pPr>
              <w:keepNext/>
              <w:keepLines/>
              <w:bidi/>
              <w:spacing w:before="60" w:after="360" w:line="280" w:lineRule="exact"/>
              <w:jc w:val="center"/>
              <w:rPr>
                <w:rFonts w:ascii="Arabic Typesetting" w:hAnsi="Arabic Typesetting" w:cs="Arabic Typesetting"/>
                <w:b/>
                <w:bCs/>
                <w:color w:val="00B050"/>
                <w:sz w:val="28"/>
                <w:szCs w:val="28"/>
                <w:rtl/>
              </w:rPr>
            </w:pPr>
            <w:r w:rsidRPr="007A4D9E">
              <w:rPr>
                <w:rFonts w:ascii="Arabic Typesetting" w:hAnsi="Arabic Typesetting" w:cs="Arabic Typesetting"/>
                <w:b/>
                <w:bCs/>
                <w:color w:val="00B050"/>
                <w:sz w:val="28"/>
                <w:szCs w:val="28"/>
                <w:rtl/>
              </w:rPr>
              <w:t>محقق كلياً</w:t>
            </w:r>
          </w:p>
          <w:p w:rsidR="007A4D9E" w:rsidRPr="007A4D9E" w:rsidRDefault="007A4D9E" w:rsidP="007A4D9E">
            <w:pPr>
              <w:keepNext/>
              <w:keepLines/>
              <w:bidi/>
              <w:spacing w:before="60" w:after="60" w:line="280" w:lineRule="exact"/>
              <w:jc w:val="center"/>
              <w:rPr>
                <w:rFonts w:ascii="Arabic Typesetting" w:hAnsi="Arabic Typesetting" w:cs="Arabic Typesetting"/>
                <w:b/>
                <w:bCs/>
                <w:sz w:val="28"/>
                <w:szCs w:val="28"/>
                <w:rtl/>
              </w:rPr>
            </w:pPr>
            <w:r w:rsidRPr="007A4D9E">
              <w:rPr>
                <w:rFonts w:ascii="Arabic Typesetting" w:hAnsi="Arabic Typesetting" w:cs="Arabic Typesetting" w:hint="cs"/>
                <w:b/>
                <w:bCs/>
                <w:color w:val="808080"/>
                <w:sz w:val="30"/>
                <w:szCs w:val="30"/>
                <w:rtl/>
              </w:rPr>
              <w:t>غير قابل للقياس</w:t>
            </w:r>
          </w:p>
        </w:tc>
      </w:tr>
      <w:tr w:rsidR="007A4D9E" w:rsidRPr="007A4D9E" w:rsidTr="00224009">
        <w:trPr>
          <w:cantSplit/>
        </w:trPr>
        <w:tc>
          <w:tcPr>
            <w:tcW w:w="908"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زيادة استخدام التبادل الإلكتروني (مدريد)</w:t>
            </w:r>
          </w:p>
        </w:tc>
        <w:tc>
          <w:tcPr>
            <w:tcW w:w="1440" w:type="pct"/>
            <w:shd w:val="clear" w:color="auto" w:fill="auto"/>
          </w:tcPr>
          <w:p w:rsidR="007A4D9E" w:rsidRPr="007A4D9E" w:rsidRDefault="007A4D9E" w:rsidP="00224009">
            <w:pPr>
              <w:bidi/>
              <w:adjustRightInd w:val="0"/>
              <w:snapToGrid w:val="0"/>
              <w:spacing w:before="60" w:after="120" w:line="280" w:lineRule="exact"/>
              <w:rPr>
                <w:rFonts w:ascii="Arabic Typesetting" w:hAnsi="Arabic Typesetting" w:cs="Arabic Typesetting"/>
                <w:color w:val="002060"/>
                <w:sz w:val="28"/>
                <w:szCs w:val="28"/>
                <w:rtl/>
                <w:lang w:bidi="ar-EG"/>
              </w:rPr>
            </w:pPr>
            <w:r w:rsidRPr="007A4D9E">
              <w:rPr>
                <w:rFonts w:ascii="Arabic Typesetting" w:hAnsi="Arabic Typesetting" w:cs="Arabic Typesetting"/>
                <w:iCs/>
                <w:color w:val="002060"/>
                <w:sz w:val="28"/>
                <w:szCs w:val="28"/>
                <w:rtl/>
                <w:lang w:bidi="ar-EG"/>
              </w:rPr>
              <w:t>أسس المقارنة المحدثة في نهاية 2013:</w:t>
            </w:r>
            <w:r w:rsidRPr="007A4D9E">
              <w:rPr>
                <w:rFonts w:ascii="Arabic Typesetting" w:hAnsi="Arabic Typesetting" w:cs="Arabic Typesetting"/>
                <w:sz w:val="28"/>
                <w:szCs w:val="28"/>
                <w:rtl/>
              </w:rPr>
              <w:t xml:space="preserve"> </w:t>
            </w:r>
            <w:r w:rsidR="000801D9">
              <w:rPr>
                <w:rFonts w:ascii="Arabic Typesetting" w:hAnsi="Arabic Typesetting" w:cs="Arabic Typesetting" w:hint="cs"/>
                <w:color w:val="002060"/>
                <w:sz w:val="28"/>
                <w:szCs w:val="28"/>
                <w:rtl/>
                <w:lang w:bidi="ar-EG"/>
              </w:rPr>
              <w:t>تسلّم</w:t>
            </w:r>
            <w:r w:rsidR="000801D9" w:rsidRPr="007A4D9E">
              <w:rPr>
                <w:rFonts w:ascii="Arabic Typesetting" w:hAnsi="Arabic Typesetting" w:cs="Arabic Typesetting"/>
                <w:color w:val="002060"/>
                <w:sz w:val="28"/>
                <w:szCs w:val="28"/>
                <w:rtl/>
                <w:lang w:bidi="ar-EG"/>
              </w:rPr>
              <w:t xml:space="preserve"> </w:t>
            </w:r>
            <w:r w:rsidRPr="007A4D9E">
              <w:rPr>
                <w:rFonts w:ascii="Arabic Typesetting" w:hAnsi="Arabic Typesetting" w:cs="Arabic Typesetting"/>
                <w:color w:val="002060"/>
                <w:sz w:val="28"/>
                <w:szCs w:val="28"/>
                <w:rtl/>
                <w:lang w:bidi="ar-EG"/>
              </w:rPr>
              <w:t>67% من الوثائق إلكترونياً</w:t>
            </w:r>
          </w:p>
          <w:p w:rsidR="007A4D9E" w:rsidRPr="007A4D9E" w:rsidRDefault="007A4D9E" w:rsidP="00224009">
            <w:pPr>
              <w:bidi/>
              <w:adjustRightInd w:val="0"/>
              <w:snapToGrid w:val="0"/>
              <w:spacing w:before="60" w:after="120" w:line="280" w:lineRule="exact"/>
              <w:rPr>
                <w:rFonts w:ascii="Arabic Typesetting" w:hAnsi="Arabic Typesetting" w:cs="Arabic Typesetting"/>
                <w:color w:val="002060"/>
                <w:sz w:val="28"/>
                <w:szCs w:val="28"/>
                <w:rtl/>
                <w:lang w:bidi="ar-EG"/>
              </w:rPr>
            </w:pPr>
            <w:r w:rsidRPr="007A4D9E">
              <w:rPr>
                <w:rFonts w:ascii="Arabic Typesetting" w:hAnsi="Arabic Typesetting" w:cs="Arabic Typesetting" w:hint="cs"/>
                <w:color w:val="002060"/>
                <w:sz w:val="28"/>
                <w:szCs w:val="28"/>
                <w:rtl/>
                <w:lang w:bidi="ar-EG"/>
              </w:rPr>
              <w:t>717</w:t>
            </w:r>
            <w:r w:rsidRPr="007A4D9E">
              <w:rPr>
                <w:rFonts w:ascii="Arabic Typesetting" w:hAnsi="Arabic Typesetting" w:cs="Arabic Typesetting" w:hint="eastAsia"/>
                <w:color w:val="002060"/>
                <w:sz w:val="28"/>
                <w:szCs w:val="28"/>
                <w:rtl/>
                <w:lang w:bidi="ar-EG"/>
              </w:rPr>
              <w:t> </w:t>
            </w:r>
            <w:r w:rsidRPr="007A4D9E">
              <w:rPr>
                <w:rFonts w:ascii="Arabic Typesetting" w:hAnsi="Arabic Typesetting" w:cs="Arabic Typesetting" w:hint="cs"/>
                <w:color w:val="002060"/>
                <w:sz w:val="28"/>
                <w:szCs w:val="28"/>
                <w:rtl/>
                <w:lang w:bidi="ar-EG"/>
              </w:rPr>
              <w:t>158</w:t>
            </w:r>
            <w:r w:rsidRPr="007A4D9E">
              <w:rPr>
                <w:rFonts w:ascii="Arabic Typesetting" w:hAnsi="Arabic Typesetting" w:cs="Arabic Typesetting"/>
                <w:color w:val="002060"/>
                <w:sz w:val="28"/>
                <w:szCs w:val="28"/>
                <w:rtl/>
                <w:lang w:bidi="ar-EG"/>
              </w:rPr>
              <w:t xml:space="preserve"> من </w:t>
            </w:r>
            <w:proofErr w:type="spellStart"/>
            <w:r w:rsidRPr="007A4D9E">
              <w:rPr>
                <w:rFonts w:ascii="Arabic Typesetting" w:hAnsi="Arabic Typesetting" w:cs="Arabic Typesetting"/>
                <w:color w:val="002060"/>
                <w:sz w:val="28"/>
                <w:szCs w:val="28"/>
                <w:rtl/>
                <w:lang w:bidi="ar-EG"/>
              </w:rPr>
              <w:t>الإخطارات</w:t>
            </w:r>
            <w:proofErr w:type="spellEnd"/>
            <w:r w:rsidRPr="007A4D9E">
              <w:rPr>
                <w:rFonts w:ascii="Arabic Typesetting" w:hAnsi="Arabic Typesetting" w:cs="Arabic Typesetting"/>
                <w:color w:val="002060"/>
                <w:sz w:val="28"/>
                <w:szCs w:val="28"/>
                <w:rtl/>
                <w:lang w:bidi="ar-EG"/>
              </w:rPr>
              <w:t xml:space="preserve"> بالبريد الإلكتروني</w:t>
            </w:r>
          </w:p>
          <w:p w:rsidR="007A4D9E" w:rsidRPr="007A4D9E" w:rsidRDefault="007A4D9E" w:rsidP="00224009">
            <w:pPr>
              <w:bidi/>
              <w:adjustRightInd w:val="0"/>
              <w:snapToGrid w:val="0"/>
              <w:spacing w:before="60" w:after="120" w:line="280" w:lineRule="exact"/>
              <w:rPr>
                <w:rFonts w:ascii="Arabic Typesetting" w:hAnsi="Arabic Typesetting" w:cs="Arabic Typesetting"/>
                <w:color w:val="002060"/>
                <w:sz w:val="28"/>
                <w:szCs w:val="28"/>
                <w:rtl/>
                <w:lang w:bidi="ar-EG"/>
              </w:rPr>
            </w:pPr>
            <w:r w:rsidRPr="007A4D9E">
              <w:rPr>
                <w:rFonts w:ascii="Arabic Typesetting" w:hAnsi="Arabic Typesetting" w:cs="Arabic Typesetting"/>
                <w:color w:val="002060"/>
                <w:sz w:val="28"/>
                <w:szCs w:val="28"/>
                <w:rtl/>
                <w:lang w:bidi="ar-EG"/>
              </w:rPr>
              <w:t xml:space="preserve">714 عميل يستخدم خدمة إدارة الحافظة في نظام مدريد </w:t>
            </w:r>
            <w:r w:rsidRPr="007A4D9E">
              <w:rPr>
                <w:rFonts w:ascii="Arabic Typesetting" w:hAnsi="Arabic Typesetting" w:cs="Arabic Typesetting"/>
                <w:color w:val="002060"/>
                <w:sz w:val="28"/>
                <w:szCs w:val="28"/>
                <w:lang w:bidi="ar-EG"/>
              </w:rPr>
              <w:t>(MPM)</w:t>
            </w:r>
          </w:p>
          <w:p w:rsidR="007A4D9E" w:rsidRPr="007A4D9E" w:rsidRDefault="007A4D9E" w:rsidP="00224009">
            <w:pPr>
              <w:bidi/>
              <w:adjustRightInd w:val="0"/>
              <w:snapToGrid w:val="0"/>
              <w:spacing w:before="60" w:after="120" w:line="280" w:lineRule="exact"/>
              <w:rPr>
                <w:rFonts w:ascii="Arabic Typesetting" w:hAnsi="Arabic Typesetting" w:cs="Arabic Typesetting"/>
                <w:color w:val="002060"/>
                <w:sz w:val="28"/>
                <w:szCs w:val="28"/>
                <w:rtl/>
                <w:lang w:bidi="ar-EG"/>
              </w:rPr>
            </w:pPr>
            <w:r w:rsidRPr="007A4D9E">
              <w:rPr>
                <w:rFonts w:ascii="Arabic Typesetting" w:hAnsi="Arabic Typesetting" w:cs="Arabic Typesetting"/>
                <w:color w:val="002060"/>
                <w:sz w:val="28"/>
                <w:szCs w:val="28"/>
                <w:rtl/>
                <w:lang w:bidi="ar-EG"/>
              </w:rPr>
              <w:t xml:space="preserve">16 مكتباً يرسل الطلبات بلغة الترميز الموسعة </w:t>
            </w:r>
            <w:r w:rsidRPr="007A4D9E">
              <w:rPr>
                <w:rFonts w:ascii="Arabic Typesetting" w:hAnsi="Arabic Typesetting" w:cs="Arabic Typesetting"/>
                <w:color w:val="002060"/>
                <w:sz w:val="28"/>
                <w:szCs w:val="28"/>
                <w:lang w:bidi="ar-EG"/>
              </w:rPr>
              <w:t>(XML)</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sz w:val="28"/>
                <w:szCs w:val="28"/>
                <w:rtl/>
                <w:lang w:bidi="ar-EG"/>
              </w:rPr>
              <w:t>أسس المقارنة الأصلية في برنامج وميزانية 2013/14</w:t>
            </w:r>
            <w:r w:rsidRPr="007A4D9E">
              <w:rPr>
                <w:rFonts w:ascii="Arabic Typesetting" w:hAnsi="Arabic Typesetting" w:cs="Arabic Typesetting"/>
                <w:sz w:val="28"/>
                <w:szCs w:val="28"/>
                <w:rtl/>
                <w:lang w:bidi="ar-EG"/>
              </w:rPr>
              <w:t xml:space="preserve">: </w:t>
            </w:r>
            <w:r w:rsidRPr="007A4D9E">
              <w:rPr>
                <w:rFonts w:ascii="Arabic Typesetting" w:hAnsi="Arabic Typesetting" w:cs="Arabic Typesetting"/>
                <w:sz w:val="28"/>
                <w:szCs w:val="28"/>
                <w:rtl/>
              </w:rPr>
              <w:t xml:space="preserve">60% من الوثائق وردت إلكترونياً؛ </w:t>
            </w:r>
            <w:r w:rsidRPr="007A4D9E">
              <w:rPr>
                <w:rFonts w:ascii="Arabic Typesetting" w:hAnsi="Arabic Typesetting" w:cs="Arabic Typesetting" w:hint="cs"/>
                <w:sz w:val="28"/>
                <w:szCs w:val="28"/>
                <w:rtl/>
              </w:rPr>
              <w:t>000</w:t>
            </w:r>
            <w:r w:rsidRPr="007A4D9E">
              <w:rPr>
                <w:rFonts w:ascii="Arabic Typesetting" w:hAnsi="Arabic Typesetting" w:cs="Arabic Typesetting" w:hint="eastAsia"/>
                <w:sz w:val="28"/>
                <w:szCs w:val="28"/>
                <w:rtl/>
              </w:rPr>
              <w:t> </w:t>
            </w:r>
            <w:r w:rsidRPr="007A4D9E">
              <w:rPr>
                <w:rFonts w:ascii="Arabic Typesetting" w:hAnsi="Arabic Typesetting" w:cs="Arabic Typesetting" w:hint="cs"/>
                <w:sz w:val="28"/>
                <w:szCs w:val="28"/>
                <w:rtl/>
              </w:rPr>
              <w:t>85</w:t>
            </w:r>
            <w:r w:rsidRPr="007A4D9E">
              <w:rPr>
                <w:rFonts w:ascii="Arabic Typesetting" w:hAnsi="Arabic Typesetting" w:cs="Arabic Typesetting"/>
                <w:sz w:val="28"/>
                <w:szCs w:val="28"/>
                <w:rtl/>
              </w:rPr>
              <w:t xml:space="preserve"> علامة أُخطرت عن طريق البريد الإلكتروني؛ 200 عميل يستخدم خدمة إدارة الحافظة في نظام مدريد </w:t>
            </w:r>
            <w:r w:rsidRPr="007A4D9E">
              <w:rPr>
                <w:rFonts w:ascii="Arabic Typesetting" w:hAnsi="Arabic Typesetting" w:cs="Arabic Typesetting"/>
                <w:noProof/>
                <w:sz w:val="28"/>
                <w:szCs w:val="28"/>
              </w:rPr>
              <w:t>(MPM)</w:t>
            </w:r>
            <w:r w:rsidRPr="007A4D9E">
              <w:rPr>
                <w:rFonts w:ascii="Arabic Typesetting" w:hAnsi="Arabic Typesetting" w:cs="Arabic Typesetting"/>
                <w:sz w:val="28"/>
                <w:szCs w:val="28"/>
                <w:rtl/>
              </w:rPr>
              <w:t>؛ 17 مكتباً يرسل الطلبات بلغة الترميز الموسعة</w:t>
            </w:r>
            <w:r w:rsidRPr="007A4D9E">
              <w:rPr>
                <w:rFonts w:ascii="Arabic Typesetting" w:hAnsi="Arabic Typesetting" w:cs="Arabic Typesetting"/>
                <w:noProof/>
                <w:sz w:val="28"/>
                <w:szCs w:val="28"/>
                <w:rtl/>
              </w:rPr>
              <w:t xml:space="preserve"> </w:t>
            </w:r>
            <w:r w:rsidRPr="007A4D9E">
              <w:rPr>
                <w:rFonts w:ascii="Arabic Typesetting" w:hAnsi="Arabic Typesetting" w:cs="Arabic Typesetting"/>
                <w:noProof/>
                <w:sz w:val="28"/>
                <w:szCs w:val="28"/>
              </w:rPr>
              <w:t>(XML)</w:t>
            </w:r>
          </w:p>
        </w:tc>
        <w:tc>
          <w:tcPr>
            <w:tcW w:w="833" w:type="pct"/>
            <w:shd w:val="clear" w:color="auto" w:fill="auto"/>
            <w:tcMar>
              <w:top w:w="110" w:type="dxa"/>
            </w:tcMar>
          </w:tcPr>
          <w:p w:rsidR="007A4D9E" w:rsidRPr="007A4D9E" w:rsidRDefault="000801D9" w:rsidP="007A4D9E">
            <w:pPr>
              <w:keepNext/>
              <w:keepLines/>
              <w:bidi/>
              <w:adjustRightInd w:val="0"/>
              <w:snapToGrid w:val="0"/>
              <w:spacing w:before="60" w:after="60" w:line="280" w:lineRule="exact"/>
              <w:rPr>
                <w:rFonts w:ascii="Arabic Typesetting" w:hAnsi="Arabic Typesetting" w:cs="Arabic Typesetting"/>
                <w:b/>
                <w:sz w:val="28"/>
                <w:szCs w:val="28"/>
                <w:rtl/>
              </w:rPr>
            </w:pPr>
            <w:r>
              <w:rPr>
                <w:rFonts w:ascii="Arabic Typesetting" w:hAnsi="Arabic Typesetting" w:cs="Arabic Typesetting" w:hint="cs"/>
                <w:b/>
                <w:sz w:val="28"/>
                <w:szCs w:val="28"/>
                <w:rtl/>
              </w:rPr>
              <w:t>تسلّم</w:t>
            </w:r>
            <w:r w:rsidRPr="007A4D9E">
              <w:rPr>
                <w:rFonts w:ascii="Arabic Typesetting" w:hAnsi="Arabic Typesetting" w:cs="Arabic Typesetting"/>
                <w:b/>
                <w:sz w:val="28"/>
                <w:szCs w:val="28"/>
                <w:rtl/>
              </w:rPr>
              <w:t xml:space="preserve"> </w:t>
            </w:r>
            <w:r w:rsidR="007A4D9E" w:rsidRPr="007A4D9E">
              <w:rPr>
                <w:rFonts w:ascii="Arabic Typesetting" w:hAnsi="Arabic Typesetting" w:cs="Arabic Typesetting"/>
                <w:b/>
                <w:sz w:val="28"/>
                <w:szCs w:val="28"/>
                <w:rtl/>
              </w:rPr>
              <w:t xml:space="preserve">70% من الوثائق إلكترونياً؛ إخطار </w:t>
            </w:r>
            <w:r w:rsidR="007A4D9E" w:rsidRPr="007A4D9E">
              <w:rPr>
                <w:rFonts w:ascii="Arabic Typesetting" w:hAnsi="Arabic Typesetting" w:cs="Arabic Typesetting" w:hint="cs"/>
                <w:b/>
                <w:sz w:val="28"/>
                <w:szCs w:val="28"/>
                <w:rtl/>
              </w:rPr>
              <w:t>000</w:t>
            </w:r>
            <w:r w:rsidR="007A4D9E" w:rsidRPr="007A4D9E">
              <w:rPr>
                <w:rFonts w:ascii="Arabic Typesetting" w:hAnsi="Arabic Typesetting" w:cs="Arabic Typesetting" w:hint="eastAsia"/>
                <w:b/>
                <w:sz w:val="28"/>
                <w:szCs w:val="28"/>
                <w:rtl/>
              </w:rPr>
              <w:t> </w:t>
            </w:r>
            <w:r w:rsidR="007A4D9E" w:rsidRPr="007A4D9E">
              <w:rPr>
                <w:rFonts w:ascii="Arabic Typesetting" w:hAnsi="Arabic Typesetting" w:cs="Arabic Typesetting" w:hint="cs"/>
                <w:b/>
                <w:sz w:val="28"/>
                <w:szCs w:val="28"/>
                <w:rtl/>
              </w:rPr>
              <w:t>110</w:t>
            </w:r>
            <w:r w:rsidR="007A4D9E" w:rsidRPr="007A4D9E">
              <w:rPr>
                <w:rFonts w:ascii="Arabic Typesetting" w:hAnsi="Arabic Typesetting" w:cs="Arabic Typesetting"/>
                <w:b/>
                <w:sz w:val="28"/>
                <w:szCs w:val="28"/>
                <w:rtl/>
              </w:rPr>
              <w:t xml:space="preserve"> علامة عن طريق البريد الإلكتروني؛ استخدام 1000 عميل لخدمة إدارة الحافظة في نظام مدريد (</w:t>
            </w:r>
            <w:r w:rsidR="007A4D9E" w:rsidRPr="007A4D9E">
              <w:rPr>
                <w:rFonts w:ascii="Arabic Typesetting" w:hAnsi="Arabic Typesetting" w:cs="Arabic Typesetting"/>
                <w:bCs/>
                <w:noProof/>
                <w:sz w:val="28"/>
                <w:szCs w:val="28"/>
              </w:rPr>
              <w:t>MPM</w:t>
            </w:r>
            <w:r w:rsidR="007A4D9E" w:rsidRPr="007A4D9E">
              <w:rPr>
                <w:rFonts w:ascii="Arabic Typesetting" w:hAnsi="Arabic Typesetting" w:cs="Arabic Typesetting"/>
                <w:b/>
                <w:sz w:val="28"/>
                <w:szCs w:val="28"/>
                <w:rtl/>
              </w:rPr>
              <w:t>)؛ إرسال 23 مكتب</w:t>
            </w:r>
            <w:r w:rsidR="007A4D9E" w:rsidRPr="007A4D9E">
              <w:rPr>
                <w:rFonts w:ascii="Arabic Typesetting" w:hAnsi="Arabic Typesetting" w:cs="Arabic Typesetting" w:hint="cs"/>
                <w:b/>
                <w:sz w:val="28"/>
                <w:szCs w:val="28"/>
                <w:rtl/>
              </w:rPr>
              <w:t>ا</w:t>
            </w:r>
            <w:r w:rsidR="007A4D9E" w:rsidRPr="007A4D9E">
              <w:rPr>
                <w:rFonts w:ascii="Arabic Typesetting" w:hAnsi="Arabic Typesetting" w:cs="Arabic Typesetting"/>
                <w:b/>
                <w:sz w:val="28"/>
                <w:szCs w:val="28"/>
                <w:rtl/>
              </w:rPr>
              <w:t xml:space="preserve"> للطلبات بلغة الترميز الموسعة </w:t>
            </w:r>
            <w:r w:rsidR="007A4D9E" w:rsidRPr="007A4D9E">
              <w:rPr>
                <w:rFonts w:ascii="Arabic Typesetting" w:hAnsi="Arabic Typesetting" w:cs="Arabic Typesetting"/>
                <w:b/>
                <w:noProof/>
                <w:sz w:val="28"/>
                <w:szCs w:val="28"/>
              </w:rPr>
              <w:t>(</w:t>
            </w:r>
            <w:r w:rsidR="007A4D9E" w:rsidRPr="007A4D9E">
              <w:rPr>
                <w:rFonts w:ascii="Arabic Typesetting" w:hAnsi="Arabic Typesetting" w:cs="Arabic Typesetting"/>
                <w:bCs/>
                <w:noProof/>
                <w:sz w:val="28"/>
                <w:szCs w:val="28"/>
              </w:rPr>
              <w:t>XML</w:t>
            </w:r>
            <w:r w:rsidR="007A4D9E" w:rsidRPr="007A4D9E">
              <w:rPr>
                <w:rFonts w:ascii="Arabic Typesetting" w:hAnsi="Arabic Typesetting" w:cs="Arabic Typesetting"/>
                <w:b/>
                <w:noProof/>
                <w:sz w:val="28"/>
                <w:szCs w:val="28"/>
              </w:rPr>
              <w:t>)</w:t>
            </w:r>
          </w:p>
        </w:tc>
        <w:tc>
          <w:tcPr>
            <w:tcW w:w="1366" w:type="pct"/>
            <w:shd w:val="clear" w:color="auto" w:fill="FFFFFF"/>
            <w:tcMar>
              <w:top w:w="110" w:type="dxa"/>
            </w:tcMar>
          </w:tcPr>
          <w:p w:rsidR="007A4D9E" w:rsidRPr="007A4D9E" w:rsidRDefault="000801D9" w:rsidP="00224009">
            <w:pPr>
              <w:bidi/>
              <w:adjustRightInd w:val="0"/>
              <w:snapToGrid w:val="0"/>
              <w:spacing w:before="60" w:after="12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تسلّم</w:t>
            </w:r>
            <w:r w:rsidRPr="007A4D9E">
              <w:rPr>
                <w:rFonts w:ascii="Arabic Typesetting" w:hAnsi="Arabic Typesetting" w:cs="Arabic Typesetting"/>
                <w:sz w:val="28"/>
                <w:szCs w:val="28"/>
                <w:rtl/>
                <w:lang w:bidi="ar-EG"/>
              </w:rPr>
              <w:t xml:space="preserve"> </w:t>
            </w:r>
            <w:r w:rsidR="007A4D9E" w:rsidRPr="007A4D9E">
              <w:rPr>
                <w:rFonts w:ascii="Arabic Typesetting" w:hAnsi="Arabic Typesetting" w:cs="Arabic Typesetting" w:hint="cs"/>
                <w:sz w:val="28"/>
                <w:szCs w:val="28"/>
                <w:rtl/>
                <w:lang w:bidi="ar-EG"/>
              </w:rPr>
              <w:t>79</w:t>
            </w:r>
            <w:r w:rsidR="007A4D9E" w:rsidRPr="007A4D9E">
              <w:rPr>
                <w:rFonts w:ascii="Arabic Typesetting" w:hAnsi="Arabic Typesetting" w:cs="Arabic Typesetting"/>
                <w:sz w:val="28"/>
                <w:szCs w:val="28"/>
                <w:rtl/>
                <w:lang w:bidi="ar-EG"/>
              </w:rPr>
              <w:t>% من الوثائق إلكترونياً</w:t>
            </w:r>
            <w:r w:rsidR="007A4D9E" w:rsidRPr="007A4D9E">
              <w:rPr>
                <w:rFonts w:ascii="Arabic Typesetting" w:hAnsi="Arabic Typesetting" w:cs="Arabic Typesetting" w:hint="cs"/>
                <w:sz w:val="28"/>
                <w:szCs w:val="28"/>
                <w:rtl/>
                <w:lang w:bidi="ar-EG"/>
              </w:rPr>
              <w:t xml:space="preserve"> في عام 2015 (70% في عام</w:t>
            </w:r>
            <w:r w:rsidR="007A4D9E" w:rsidRPr="007A4D9E">
              <w:rPr>
                <w:rFonts w:ascii="Arabic Typesetting" w:hAnsi="Arabic Typesetting" w:cs="Arabic Typesetting" w:hint="eastAsia"/>
                <w:sz w:val="28"/>
                <w:szCs w:val="28"/>
                <w:rtl/>
                <w:lang w:bidi="ar-EG"/>
              </w:rPr>
              <w:t> </w:t>
            </w:r>
            <w:r w:rsidR="007A4D9E" w:rsidRPr="007A4D9E">
              <w:rPr>
                <w:rFonts w:ascii="Arabic Typesetting" w:hAnsi="Arabic Typesetting" w:cs="Arabic Typesetting" w:hint="cs"/>
                <w:sz w:val="28"/>
                <w:szCs w:val="28"/>
                <w:rtl/>
                <w:lang w:bidi="ar-EG"/>
              </w:rPr>
              <w:t>2014)</w:t>
            </w:r>
          </w:p>
          <w:p w:rsidR="007A4D9E" w:rsidRPr="007A4D9E" w:rsidRDefault="007A4D9E" w:rsidP="00224009">
            <w:pPr>
              <w:bidi/>
              <w:adjustRightInd w:val="0"/>
              <w:snapToGrid w:val="0"/>
              <w:spacing w:before="60" w:after="120" w:line="280" w:lineRule="exact"/>
              <w:rPr>
                <w:rFonts w:ascii="Arabic Typesetting" w:hAnsi="Arabic Typesetting" w:cs="Arabic Typesetting"/>
                <w:sz w:val="28"/>
                <w:szCs w:val="28"/>
                <w:rtl/>
                <w:lang w:bidi="ar-EG"/>
              </w:rPr>
            </w:pPr>
            <w:r w:rsidRPr="007A4D9E">
              <w:rPr>
                <w:rFonts w:ascii="Arabic Typesetting" w:hAnsi="Arabic Typesetting" w:cs="Arabic Typesetting" w:hint="cs"/>
                <w:sz w:val="28"/>
                <w:szCs w:val="28"/>
                <w:rtl/>
                <w:lang w:bidi="ar-EG"/>
              </w:rPr>
              <w:t>000</w:t>
            </w:r>
            <w:r w:rsidRPr="007A4D9E">
              <w:rPr>
                <w:rFonts w:ascii="Arabic Typesetting" w:hAnsi="Arabic Typesetting" w:cs="Arabic Typesetting" w:hint="eastAsia"/>
                <w:sz w:val="28"/>
                <w:szCs w:val="28"/>
                <w:rtl/>
                <w:lang w:bidi="ar-EG"/>
              </w:rPr>
              <w:t> </w:t>
            </w:r>
            <w:r w:rsidRPr="007A4D9E">
              <w:rPr>
                <w:rFonts w:ascii="Arabic Typesetting" w:hAnsi="Arabic Typesetting" w:cs="Arabic Typesetting" w:hint="cs"/>
                <w:sz w:val="28"/>
                <w:szCs w:val="28"/>
                <w:rtl/>
                <w:lang w:bidi="ar-EG"/>
              </w:rPr>
              <w:t>325</w:t>
            </w:r>
            <w:r w:rsidRPr="007A4D9E">
              <w:rPr>
                <w:rFonts w:ascii="Arabic Typesetting" w:hAnsi="Arabic Typesetting" w:cs="Arabic Typesetting"/>
                <w:sz w:val="28"/>
                <w:szCs w:val="28"/>
                <w:rtl/>
                <w:lang w:bidi="ar-EG"/>
              </w:rPr>
              <w:t xml:space="preserve"> من </w:t>
            </w:r>
            <w:proofErr w:type="spellStart"/>
            <w:r w:rsidRPr="007A4D9E">
              <w:rPr>
                <w:rFonts w:ascii="Arabic Typesetting" w:hAnsi="Arabic Typesetting" w:cs="Arabic Typesetting"/>
                <w:sz w:val="28"/>
                <w:szCs w:val="28"/>
                <w:rtl/>
                <w:lang w:bidi="ar-EG"/>
              </w:rPr>
              <w:t>الإخطارات</w:t>
            </w:r>
            <w:proofErr w:type="spellEnd"/>
            <w:r w:rsidRPr="007A4D9E">
              <w:rPr>
                <w:rFonts w:ascii="Arabic Typesetting" w:hAnsi="Arabic Typesetting" w:cs="Arabic Typesetting"/>
                <w:sz w:val="28"/>
                <w:szCs w:val="28"/>
                <w:rtl/>
                <w:lang w:bidi="ar-EG"/>
              </w:rPr>
              <w:t xml:space="preserve"> بالبريد الإلكتروني</w:t>
            </w:r>
            <w:r w:rsidRPr="007A4D9E">
              <w:rPr>
                <w:rFonts w:ascii="Arabic Typesetting" w:hAnsi="Arabic Typesetting" w:cs="Arabic Typesetting" w:hint="cs"/>
                <w:sz w:val="28"/>
                <w:szCs w:val="28"/>
                <w:rtl/>
                <w:lang w:bidi="ar-EG"/>
              </w:rPr>
              <w:t xml:space="preserve"> في عام 2015 (000</w:t>
            </w:r>
            <w:r w:rsidRPr="007A4D9E">
              <w:rPr>
                <w:rFonts w:ascii="Arabic Typesetting" w:hAnsi="Arabic Typesetting" w:cs="Arabic Typesetting" w:hint="eastAsia"/>
                <w:sz w:val="28"/>
                <w:szCs w:val="28"/>
                <w:rtl/>
                <w:lang w:bidi="ar-EG"/>
              </w:rPr>
              <w:t> </w:t>
            </w:r>
            <w:r w:rsidRPr="007A4D9E">
              <w:rPr>
                <w:rFonts w:ascii="Arabic Typesetting" w:hAnsi="Arabic Typesetting" w:cs="Arabic Typesetting" w:hint="cs"/>
                <w:sz w:val="28"/>
                <w:szCs w:val="28"/>
                <w:rtl/>
                <w:lang w:bidi="ar-EG"/>
              </w:rPr>
              <w:t>220 في عام 2014)</w:t>
            </w:r>
          </w:p>
          <w:p w:rsidR="007A4D9E" w:rsidRPr="007A4D9E" w:rsidRDefault="007A4D9E" w:rsidP="00224009">
            <w:pPr>
              <w:bidi/>
              <w:adjustRightInd w:val="0"/>
              <w:snapToGrid w:val="0"/>
              <w:spacing w:before="60" w:after="120" w:line="280" w:lineRule="exact"/>
              <w:rPr>
                <w:rFonts w:ascii="Arabic Typesetting" w:hAnsi="Arabic Typesetting" w:cs="Arabic Typesetting"/>
                <w:sz w:val="28"/>
                <w:szCs w:val="28"/>
                <w:rtl/>
                <w:lang w:bidi="ar-EG"/>
              </w:rPr>
            </w:pPr>
            <w:r w:rsidRPr="007A4D9E">
              <w:rPr>
                <w:rFonts w:ascii="Arabic Typesetting" w:hAnsi="Arabic Typesetting" w:cs="Arabic Typesetting" w:hint="cs"/>
                <w:sz w:val="28"/>
                <w:szCs w:val="28"/>
                <w:rtl/>
                <w:lang w:bidi="ar-EG"/>
              </w:rPr>
              <w:t>752</w:t>
            </w:r>
            <w:r w:rsidRPr="007A4D9E">
              <w:rPr>
                <w:rFonts w:ascii="Arabic Typesetting" w:hAnsi="Arabic Typesetting" w:cs="Arabic Typesetting" w:hint="eastAsia"/>
                <w:sz w:val="28"/>
                <w:szCs w:val="28"/>
                <w:rtl/>
                <w:lang w:bidi="ar-EG"/>
              </w:rPr>
              <w:t> </w:t>
            </w:r>
            <w:r w:rsidRPr="007A4D9E">
              <w:rPr>
                <w:rFonts w:ascii="Arabic Typesetting" w:hAnsi="Arabic Typesetting" w:cs="Arabic Typesetting" w:hint="cs"/>
                <w:sz w:val="28"/>
                <w:szCs w:val="28"/>
                <w:rtl/>
                <w:lang w:bidi="ar-EG"/>
              </w:rPr>
              <w:t>2</w:t>
            </w:r>
            <w:r w:rsidRPr="007A4D9E">
              <w:rPr>
                <w:rFonts w:ascii="Arabic Typesetting" w:hAnsi="Arabic Typesetting" w:cs="Arabic Typesetting"/>
                <w:sz w:val="28"/>
                <w:szCs w:val="28"/>
                <w:rtl/>
                <w:lang w:bidi="ar-EG"/>
              </w:rPr>
              <w:t xml:space="preserve"> عميل يستخدم خدمة إدارة الحافظة في نظام مدريد </w:t>
            </w:r>
            <w:r w:rsidRPr="007A4D9E">
              <w:rPr>
                <w:rFonts w:ascii="Arabic Typesetting" w:hAnsi="Arabic Typesetting" w:cs="Arabic Typesetting"/>
                <w:sz w:val="28"/>
                <w:szCs w:val="28"/>
                <w:lang w:bidi="ar-EG"/>
              </w:rPr>
              <w:t>(MPM)</w:t>
            </w:r>
            <w:r w:rsidRPr="007A4D9E">
              <w:rPr>
                <w:rFonts w:ascii="Arabic Typesetting" w:hAnsi="Arabic Typesetting" w:cs="Arabic Typesetting" w:hint="cs"/>
                <w:sz w:val="28"/>
                <w:szCs w:val="28"/>
                <w:rtl/>
                <w:lang w:bidi="ar-EG"/>
              </w:rPr>
              <w:t xml:space="preserve"> في عام 2015 (800 1 في عام 2014)</w:t>
            </w:r>
          </w:p>
          <w:p w:rsidR="007A4D9E" w:rsidRPr="007A4D9E" w:rsidRDefault="007A4D9E" w:rsidP="00224009">
            <w:pPr>
              <w:bidi/>
              <w:adjustRightInd w:val="0"/>
              <w:snapToGrid w:val="0"/>
              <w:spacing w:before="60" w:after="60" w:line="280" w:lineRule="exact"/>
              <w:rPr>
                <w:rFonts w:ascii="Arabic Typesetting" w:hAnsi="Arabic Typesetting" w:cs="Arabic Typesetting"/>
                <w:noProof/>
                <w:sz w:val="28"/>
                <w:szCs w:val="28"/>
                <w:rtl/>
                <w:lang w:bidi="ar-EG"/>
              </w:rPr>
            </w:pPr>
            <w:r w:rsidRPr="007A4D9E">
              <w:rPr>
                <w:rFonts w:ascii="Arabic Typesetting" w:hAnsi="Arabic Typesetting" w:cs="Arabic Typesetting" w:hint="cs"/>
                <w:sz w:val="28"/>
                <w:szCs w:val="28"/>
                <w:rtl/>
                <w:lang w:bidi="ar-EG"/>
              </w:rPr>
              <w:t>27</w:t>
            </w:r>
            <w:r w:rsidRPr="007A4D9E">
              <w:rPr>
                <w:rFonts w:ascii="Arabic Typesetting" w:hAnsi="Arabic Typesetting" w:cs="Arabic Typesetting"/>
                <w:sz w:val="28"/>
                <w:szCs w:val="28"/>
                <w:rtl/>
                <w:lang w:bidi="ar-EG"/>
              </w:rPr>
              <w:t xml:space="preserve"> مكتباً يرسل الطلبات بلغة الترميز الموسعة </w:t>
            </w:r>
            <w:r w:rsidRPr="007A4D9E">
              <w:rPr>
                <w:rFonts w:ascii="Arabic Typesetting" w:hAnsi="Arabic Typesetting" w:cs="Arabic Typesetting"/>
                <w:sz w:val="28"/>
                <w:szCs w:val="28"/>
                <w:lang w:bidi="ar-EG"/>
              </w:rPr>
              <w:t>(XML)</w:t>
            </w:r>
            <w:r w:rsidRPr="007A4D9E">
              <w:rPr>
                <w:rFonts w:ascii="Arabic Typesetting" w:hAnsi="Arabic Typesetting" w:cs="Arabic Typesetting" w:hint="cs"/>
                <w:sz w:val="28"/>
                <w:szCs w:val="28"/>
                <w:rtl/>
                <w:lang w:bidi="ar-EG"/>
              </w:rPr>
              <w:t xml:space="preserve"> في عام 2015 (24</w:t>
            </w:r>
            <w:r w:rsidR="005E1E69">
              <w:rPr>
                <w:rFonts w:ascii="Arabic Typesetting" w:hAnsi="Arabic Typesetting" w:cs="Arabic Typesetting" w:hint="eastAsia"/>
                <w:sz w:val="28"/>
                <w:szCs w:val="28"/>
                <w:rtl/>
                <w:lang w:bidi="ar-EG"/>
              </w:rPr>
              <w:t> </w:t>
            </w:r>
            <w:r w:rsidRPr="007A4D9E">
              <w:rPr>
                <w:rFonts w:ascii="Arabic Typesetting" w:hAnsi="Arabic Typesetting" w:cs="Arabic Typesetting" w:hint="cs"/>
                <w:sz w:val="28"/>
                <w:szCs w:val="28"/>
                <w:rtl/>
                <w:lang w:bidi="ar-EG"/>
              </w:rPr>
              <w:t>في عام 2014)</w:t>
            </w:r>
          </w:p>
        </w:tc>
        <w:tc>
          <w:tcPr>
            <w:tcW w:w="453" w:type="pct"/>
            <w:shd w:val="clear" w:color="auto" w:fill="auto"/>
          </w:tcPr>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r w:rsidRPr="007A4D9E">
              <w:rPr>
                <w:rFonts w:ascii="Arabic Typesetting" w:hAnsi="Arabic Typesetting" w:cs="Arabic Typesetting"/>
                <w:b/>
                <w:bCs/>
                <w:color w:val="00B050"/>
                <w:sz w:val="28"/>
                <w:szCs w:val="28"/>
                <w:rtl/>
              </w:rPr>
              <w:t>محقق كلياً</w:t>
            </w: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r w:rsidRPr="007A4D9E">
              <w:rPr>
                <w:rFonts w:ascii="Arabic Typesetting" w:hAnsi="Arabic Typesetting" w:cs="Arabic Typesetting"/>
                <w:b/>
                <w:bCs/>
                <w:color w:val="00B050"/>
                <w:sz w:val="28"/>
                <w:szCs w:val="28"/>
                <w:rtl/>
              </w:rPr>
              <w:t>محقق كلياً</w:t>
            </w: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r w:rsidRPr="007A4D9E">
              <w:rPr>
                <w:rFonts w:ascii="Arabic Typesetting" w:hAnsi="Arabic Typesetting" w:cs="Arabic Typesetting"/>
                <w:b/>
                <w:bCs/>
                <w:color w:val="00B050"/>
                <w:sz w:val="28"/>
                <w:szCs w:val="28"/>
                <w:rtl/>
              </w:rPr>
              <w:t>محقق كلياً</w:t>
            </w: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p>
          <w:p w:rsidR="007A4D9E" w:rsidRPr="007A4D9E" w:rsidRDefault="007A4D9E" w:rsidP="007A4D9E">
            <w:pPr>
              <w:keepNext/>
              <w:keepLines/>
              <w:bidi/>
              <w:spacing w:before="60" w:after="60" w:line="280" w:lineRule="exact"/>
              <w:jc w:val="center"/>
              <w:rPr>
                <w:rFonts w:ascii="Arabic Typesetting" w:hAnsi="Arabic Typesetting" w:cs="Arabic Typesetting"/>
                <w:b/>
                <w:bCs/>
                <w:color w:val="00B050"/>
                <w:sz w:val="28"/>
                <w:szCs w:val="28"/>
                <w:rtl/>
              </w:rPr>
            </w:pPr>
            <w:r w:rsidRPr="007A4D9E">
              <w:rPr>
                <w:rFonts w:ascii="Arabic Typesetting" w:hAnsi="Arabic Typesetting" w:cs="Arabic Typesetting"/>
                <w:b/>
                <w:bCs/>
                <w:color w:val="00B050"/>
                <w:sz w:val="28"/>
                <w:szCs w:val="28"/>
                <w:rtl/>
              </w:rPr>
              <w:t>محقق كلياً</w:t>
            </w:r>
          </w:p>
        </w:tc>
      </w:tr>
      <w:tr w:rsidR="007A4D9E" w:rsidRPr="007A4D9E" w:rsidTr="00224009">
        <w:trPr>
          <w:cantSplit/>
        </w:trPr>
        <w:tc>
          <w:tcPr>
            <w:tcW w:w="908" w:type="pct"/>
            <w:shd w:val="clear" w:color="auto" w:fill="auto"/>
          </w:tcPr>
          <w:p w:rsidR="007A4D9E" w:rsidRPr="007A4D9E" w:rsidRDefault="005E1E69" w:rsidP="007A4D9E">
            <w:pPr>
              <w:bidi/>
              <w:adjustRightInd w:val="0"/>
              <w:snapToGrid w:val="0"/>
              <w:spacing w:before="60" w:after="60" w:line="280" w:lineRule="exact"/>
              <w:rPr>
                <w:rFonts w:ascii="Arabic Typesetting" w:hAnsi="Arabic Typesetting" w:cs="Arabic Typesetting"/>
                <w:sz w:val="28"/>
                <w:szCs w:val="28"/>
              </w:rPr>
            </w:pPr>
            <w:r>
              <w:rPr>
                <w:rFonts w:ascii="Arabic Typesetting" w:hAnsi="Arabic Typesetting" w:cs="Arabic Typesetting" w:hint="cs"/>
                <w:noProof/>
                <w:sz w:val="28"/>
                <w:szCs w:val="28"/>
                <w:rtl/>
              </w:rPr>
              <w:t>تحسين</w:t>
            </w:r>
            <w:r w:rsidRPr="007A4D9E">
              <w:rPr>
                <w:rFonts w:ascii="Arabic Typesetting" w:hAnsi="Arabic Typesetting" w:cs="Arabic Typesetting"/>
                <w:noProof/>
                <w:sz w:val="28"/>
                <w:szCs w:val="28"/>
                <w:rtl/>
              </w:rPr>
              <w:t xml:space="preserve"> </w:t>
            </w:r>
            <w:r w:rsidR="007A4D9E" w:rsidRPr="007A4D9E">
              <w:rPr>
                <w:rFonts w:ascii="Arabic Typesetting" w:hAnsi="Arabic Typesetting" w:cs="Arabic Typesetting"/>
                <w:noProof/>
                <w:sz w:val="28"/>
                <w:szCs w:val="28"/>
                <w:rtl/>
              </w:rPr>
              <w:t>الوسائل الإلكترونية للاتصال والنشر بموجب إجراءات نظام لشبونة</w:t>
            </w:r>
          </w:p>
        </w:tc>
        <w:tc>
          <w:tcPr>
            <w:tcW w:w="1440"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الوسائل الإلكترونية المستخدمة في نهاية عام 2013</w:t>
            </w:r>
          </w:p>
        </w:tc>
        <w:tc>
          <w:tcPr>
            <w:tcW w:w="833" w:type="pct"/>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b/>
                <w:sz w:val="28"/>
                <w:szCs w:val="28"/>
                <w:rtl/>
              </w:rPr>
            </w:pPr>
            <w:r w:rsidRPr="007A4D9E">
              <w:rPr>
                <w:rFonts w:ascii="Arabic Typesetting" w:hAnsi="Arabic Typesetting" w:cs="Arabic Typesetting"/>
                <w:b/>
                <w:noProof/>
                <w:sz w:val="28"/>
                <w:szCs w:val="28"/>
                <w:rtl/>
              </w:rPr>
              <w:t>نظام إيداع إلكتروني وإدراج نشرة لشبونة في قاعدة بيانات لشبونة إكسبرس</w:t>
            </w:r>
          </w:p>
        </w:tc>
        <w:tc>
          <w:tcPr>
            <w:tcW w:w="1366" w:type="pct"/>
            <w:shd w:val="clear" w:color="auto" w:fill="FFFFFF"/>
            <w:tcMar>
              <w:top w:w="110" w:type="dxa"/>
            </w:tcMar>
          </w:tcPr>
          <w:p w:rsidR="007A4D9E" w:rsidRPr="007A4D9E" w:rsidRDefault="007A4D9E" w:rsidP="005E1E69">
            <w:pPr>
              <w:bidi/>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noProof/>
                <w:sz w:val="28"/>
                <w:szCs w:val="28"/>
                <w:rtl/>
              </w:rPr>
              <w:t>بُسّط إجراء الإخطارات عبر استخدام نظام الويبو لتبليغ الاستفسارات (</w:t>
            </w:r>
            <w:r w:rsidRPr="007A4D9E">
              <w:rPr>
                <w:rFonts w:ascii="Arabic Typesetting" w:hAnsi="Arabic Typesetting" w:cs="Arabic Typesetting"/>
                <w:noProof/>
                <w:sz w:val="28"/>
                <w:szCs w:val="28"/>
              </w:rPr>
              <w:t>WINS</w:t>
            </w:r>
            <w:r w:rsidRPr="007A4D9E">
              <w:rPr>
                <w:rFonts w:ascii="Arabic Typesetting" w:hAnsi="Arabic Typesetting" w:cs="Arabic Typesetting"/>
                <w:noProof/>
                <w:sz w:val="28"/>
                <w:szCs w:val="28"/>
                <w:rtl/>
              </w:rPr>
              <w:t>)</w:t>
            </w:r>
          </w:p>
        </w:tc>
        <w:tc>
          <w:tcPr>
            <w:tcW w:w="453" w:type="pct"/>
            <w:shd w:val="clear" w:color="auto" w:fill="auto"/>
          </w:tcPr>
          <w:p w:rsidR="007A4D9E" w:rsidRPr="007A4D9E" w:rsidRDefault="007A4D9E" w:rsidP="00224009">
            <w:pPr>
              <w:bidi/>
              <w:jc w:val="center"/>
              <w:rPr>
                <w:rFonts w:ascii="Arabic Typesetting" w:hAnsi="Arabic Typesetting" w:cs="Arabic Typesetting"/>
                <w:b/>
                <w:bCs/>
                <w:color w:val="D56509"/>
                <w:sz w:val="30"/>
                <w:szCs w:val="30"/>
                <w:rtl/>
              </w:rPr>
            </w:pPr>
            <w:r w:rsidRPr="007A4D9E">
              <w:rPr>
                <w:rFonts w:ascii="Arabic Typesetting" w:hAnsi="Arabic Typesetting" w:cs="Arabic Typesetting" w:hint="cs"/>
                <w:b/>
                <w:bCs/>
                <w:color w:val="D56509"/>
                <w:sz w:val="30"/>
                <w:szCs w:val="30"/>
                <w:rtl/>
              </w:rPr>
              <w:t>محقق جزئياً</w:t>
            </w:r>
          </w:p>
        </w:tc>
      </w:tr>
      <w:tr w:rsidR="007A4D9E" w:rsidRPr="007A4D9E" w:rsidTr="00224009">
        <w:trPr>
          <w:cantSplit/>
        </w:trPr>
        <w:tc>
          <w:tcPr>
            <w:tcW w:w="908"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تنقية السجل الدولي الإلكتروني لنظام لشبونة</w:t>
            </w:r>
          </w:p>
        </w:tc>
        <w:tc>
          <w:tcPr>
            <w:tcW w:w="1440" w:type="pct"/>
            <w:shd w:val="clear" w:color="auto" w:fill="auto"/>
          </w:tcPr>
          <w:p w:rsidR="007A4D9E" w:rsidRPr="007A4D9E" w:rsidRDefault="007A4D9E" w:rsidP="007A4D9E">
            <w:pPr>
              <w:bidi/>
              <w:adjustRightInd w:val="0"/>
              <w:snapToGrid w:val="0"/>
              <w:spacing w:before="60" w:after="60" w:line="280" w:lineRule="exact"/>
              <w:rPr>
                <w:rFonts w:ascii="Arabic Typesetting" w:hAnsi="Arabic Typesetting" w:cs="Arabic Typesetting"/>
                <w:i/>
                <w:color w:val="002060"/>
                <w:sz w:val="28"/>
                <w:szCs w:val="28"/>
                <w:rtl/>
                <w:lang w:bidi="ar-EG"/>
              </w:rPr>
            </w:pPr>
            <w:r w:rsidRPr="007A4D9E">
              <w:rPr>
                <w:rFonts w:ascii="Arabic Typesetting" w:hAnsi="Arabic Typesetting" w:cs="Arabic Typesetting"/>
                <w:iCs/>
                <w:color w:val="002060"/>
                <w:sz w:val="28"/>
                <w:szCs w:val="28"/>
                <w:rtl/>
                <w:lang w:bidi="ar-EG"/>
              </w:rPr>
              <w:t xml:space="preserve">أسس المقارنة المحدثة في نهاية 2013: تستخدم </w:t>
            </w:r>
            <w:r w:rsidRPr="007A4D9E">
              <w:rPr>
                <w:rFonts w:ascii="Arabic Typesetting" w:hAnsi="Arabic Typesetting" w:cs="Arabic Typesetting" w:hint="cs"/>
                <w:iCs/>
                <w:color w:val="002060"/>
                <w:sz w:val="28"/>
                <w:szCs w:val="28"/>
                <w:rtl/>
                <w:lang w:bidi="ar-EG"/>
              </w:rPr>
              <w:t>تطبيقات معلوماتية</w:t>
            </w:r>
            <w:r w:rsidRPr="007A4D9E">
              <w:rPr>
                <w:rFonts w:ascii="Arabic Typesetting" w:hAnsi="Arabic Typesetting" w:cs="Arabic Typesetting"/>
                <w:iCs/>
                <w:color w:val="002060"/>
                <w:sz w:val="28"/>
                <w:szCs w:val="28"/>
                <w:rtl/>
                <w:lang w:bidi="ar-EG"/>
              </w:rPr>
              <w:t xml:space="preserve"> لأغراض سجل</w:t>
            </w:r>
            <w:r w:rsidRPr="007A4D9E">
              <w:rPr>
                <w:rFonts w:ascii="Arabic Typesetting" w:hAnsi="Arabic Typesetting" w:cs="Arabic Typesetting" w:hint="cs"/>
                <w:iCs/>
                <w:color w:val="002060"/>
                <w:sz w:val="28"/>
                <w:szCs w:val="28"/>
                <w:rtl/>
                <w:lang w:bidi="ar-EG"/>
              </w:rPr>
              <w:t xml:space="preserve"> </w:t>
            </w:r>
            <w:r w:rsidRPr="007A4D9E">
              <w:rPr>
                <w:rFonts w:ascii="Arabic Typesetting" w:hAnsi="Arabic Typesetting" w:cs="Arabic Typesetting"/>
                <w:iCs/>
                <w:color w:val="002060"/>
                <w:sz w:val="28"/>
                <w:szCs w:val="28"/>
                <w:rtl/>
                <w:lang w:bidi="ar-EG"/>
              </w:rPr>
              <w:t>دولي إلكتروني</w:t>
            </w:r>
            <w:r w:rsidRPr="007A4D9E">
              <w:rPr>
                <w:rFonts w:ascii="Arabic Typesetting" w:hAnsi="Arabic Typesetting" w:cs="Arabic Typesetting" w:hint="cs"/>
                <w:iCs/>
                <w:color w:val="002060"/>
                <w:sz w:val="28"/>
                <w:szCs w:val="28"/>
                <w:rtl/>
                <w:lang w:bidi="ar-EG"/>
              </w:rPr>
              <w:t xml:space="preserve"> </w:t>
            </w:r>
            <w:r w:rsidRPr="007A4D9E">
              <w:rPr>
                <w:rFonts w:ascii="Arabic Typesetting" w:hAnsi="Arabic Typesetting" w:cs="Arabic Typesetting"/>
                <w:iCs/>
                <w:color w:val="002060"/>
                <w:sz w:val="28"/>
                <w:szCs w:val="28"/>
                <w:rtl/>
                <w:lang w:bidi="ar-EG"/>
              </w:rPr>
              <w:t>منذ صيف 2013</w:t>
            </w:r>
          </w:p>
          <w:p w:rsidR="007A4D9E" w:rsidRPr="007A4D9E" w:rsidRDefault="007A4D9E" w:rsidP="007A4D9E">
            <w:pPr>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iCs/>
                <w:sz w:val="28"/>
                <w:szCs w:val="28"/>
                <w:rtl/>
                <w:lang w:bidi="ar-EG"/>
              </w:rPr>
              <w:t>أسس المقارنة الأصلية في برنامج وميزانية 2013/14</w:t>
            </w:r>
            <w:r w:rsidRPr="007A4D9E">
              <w:rPr>
                <w:rFonts w:ascii="Arabic Typesetting" w:hAnsi="Arabic Typesetting" w:cs="Arabic Typesetting"/>
                <w:i/>
                <w:sz w:val="28"/>
                <w:szCs w:val="28"/>
                <w:rtl/>
                <w:lang w:bidi="ar-EG"/>
              </w:rPr>
              <w:t>:</w:t>
            </w:r>
            <w:r w:rsidRPr="007A4D9E">
              <w:rPr>
                <w:rFonts w:ascii="Arabic Typesetting" w:hAnsi="Arabic Typesetting" w:cs="Arabic Typesetting"/>
                <w:noProof/>
                <w:sz w:val="28"/>
                <w:szCs w:val="28"/>
                <w:rtl/>
              </w:rPr>
              <w:t>السجل الدولي الإلكتروني (المقرر) إنشاؤه في عام 2013</w:t>
            </w:r>
          </w:p>
        </w:tc>
        <w:tc>
          <w:tcPr>
            <w:tcW w:w="833" w:type="pct"/>
            <w:shd w:val="clear" w:color="auto" w:fill="auto"/>
            <w:tcMar>
              <w:top w:w="110" w:type="dxa"/>
            </w:tcMar>
          </w:tcPr>
          <w:p w:rsidR="007A4D9E" w:rsidRPr="007A4D9E" w:rsidRDefault="007A4D9E" w:rsidP="007A4D9E">
            <w:pPr>
              <w:keepNext/>
              <w:keepLines/>
              <w:bidi/>
              <w:adjustRightInd w:val="0"/>
              <w:snapToGrid w:val="0"/>
              <w:spacing w:before="60" w:after="60" w:line="280" w:lineRule="exact"/>
              <w:rPr>
                <w:rFonts w:ascii="Arabic Typesetting" w:hAnsi="Arabic Typesetting" w:cs="Arabic Typesetting"/>
                <w:sz w:val="28"/>
                <w:szCs w:val="28"/>
              </w:rPr>
            </w:pPr>
            <w:r w:rsidRPr="007A4D9E">
              <w:rPr>
                <w:rFonts w:ascii="Arabic Typesetting" w:hAnsi="Arabic Typesetting" w:cs="Arabic Typesetting"/>
                <w:noProof/>
                <w:sz w:val="28"/>
                <w:szCs w:val="28"/>
                <w:rtl/>
              </w:rPr>
              <w:t>نظام إلكتروني يربط السجل الدولي بقاعدة بيانات لشبونة إكسبرس على موقع الويبو الإلكتروني</w:t>
            </w:r>
          </w:p>
        </w:tc>
        <w:tc>
          <w:tcPr>
            <w:tcW w:w="1366" w:type="pct"/>
            <w:shd w:val="clear" w:color="auto" w:fill="FFFFFF"/>
            <w:tcMar>
              <w:top w:w="110" w:type="dxa"/>
            </w:tcMar>
          </w:tcPr>
          <w:p w:rsidR="007A4D9E" w:rsidRPr="007A4D9E" w:rsidRDefault="007A4D9E" w:rsidP="007A4D9E">
            <w:pPr>
              <w:bidi/>
              <w:spacing w:before="60" w:after="60" w:line="280" w:lineRule="exact"/>
              <w:rPr>
                <w:rFonts w:ascii="Arabic Typesetting" w:hAnsi="Arabic Typesetting" w:cs="Arabic Typesetting"/>
                <w:noProof/>
                <w:sz w:val="28"/>
                <w:szCs w:val="28"/>
                <w:rtl/>
              </w:rPr>
            </w:pPr>
            <w:r w:rsidRPr="007A4D9E">
              <w:rPr>
                <w:rFonts w:ascii="Arabic Typesetting" w:hAnsi="Arabic Typesetting" w:cs="Arabic Typesetting"/>
                <w:sz w:val="28"/>
                <w:szCs w:val="28"/>
                <w:rtl/>
                <w:lang w:val="fr-CH"/>
              </w:rPr>
              <w:t xml:space="preserve">استُكملت الواجهة الإلكترونية التي تربط بين السجل الدولي وقاعدة </w:t>
            </w:r>
            <w:r w:rsidRPr="007A4D9E">
              <w:rPr>
                <w:rFonts w:ascii="Arabic Typesetting" w:hAnsi="Arabic Typesetting" w:cs="Arabic Typesetting"/>
                <w:noProof/>
                <w:sz w:val="28"/>
                <w:szCs w:val="28"/>
                <w:rtl/>
              </w:rPr>
              <w:t>بيانات لشبونة إكسبرس على موقع الويبو الإلكتروني</w:t>
            </w:r>
            <w:r w:rsidRPr="007A4D9E">
              <w:rPr>
                <w:rFonts w:ascii="Arabic Typesetting" w:hAnsi="Arabic Typesetting" w:cs="Arabic Typesetting"/>
                <w:sz w:val="28"/>
                <w:szCs w:val="28"/>
                <w:rtl/>
                <w:lang w:val="fr-CH"/>
              </w:rPr>
              <w:t xml:space="preserve"> ونُشرت في 2014.</w:t>
            </w:r>
          </w:p>
        </w:tc>
        <w:tc>
          <w:tcPr>
            <w:tcW w:w="453" w:type="pct"/>
            <w:shd w:val="clear" w:color="auto" w:fill="auto"/>
          </w:tcPr>
          <w:p w:rsidR="007A4D9E" w:rsidRPr="007A4D9E" w:rsidRDefault="007A4D9E" w:rsidP="007A4D9E">
            <w:pPr>
              <w:keepNext/>
              <w:keepLines/>
              <w:bidi/>
              <w:spacing w:before="60" w:after="60" w:line="280" w:lineRule="exact"/>
              <w:jc w:val="center"/>
              <w:rPr>
                <w:rFonts w:ascii="Arabic Typesetting" w:hAnsi="Arabic Typesetting" w:cs="Arabic Typesetting"/>
                <w:b/>
                <w:bCs/>
                <w:sz w:val="28"/>
                <w:szCs w:val="28"/>
                <w:rtl/>
              </w:rPr>
            </w:pPr>
            <w:r w:rsidRPr="007A4D9E">
              <w:rPr>
                <w:rFonts w:ascii="Arabic Typesetting" w:hAnsi="Arabic Typesetting" w:cs="Arabic Typesetting"/>
                <w:b/>
                <w:bCs/>
                <w:color w:val="00B050"/>
                <w:sz w:val="28"/>
                <w:szCs w:val="28"/>
                <w:rtl/>
              </w:rPr>
              <w:t>محقق كلياً</w:t>
            </w:r>
          </w:p>
        </w:tc>
      </w:tr>
    </w:tbl>
    <w:p w:rsidR="007A4D9E" w:rsidRPr="007A4D9E" w:rsidRDefault="007A4D9E" w:rsidP="007A4D9E">
      <w:pPr>
        <w:keepNext/>
        <w:bidi/>
        <w:spacing w:before="120" w:after="120" w:line="340" w:lineRule="exact"/>
        <w:rPr>
          <w:rFonts w:ascii="Arabic Typesetting" w:hAnsi="Arabic Typesetting" w:cs="Arabic Typesetting"/>
          <w:sz w:val="34"/>
          <w:szCs w:val="34"/>
          <w:rtl/>
          <w:lang w:val="fr-CH"/>
        </w:rPr>
      </w:pPr>
      <w:r w:rsidRPr="007A4D9E">
        <w:rPr>
          <w:rFonts w:ascii="Arabic Typesetting" w:hAnsi="Arabic Typesetting" w:cs="Arabic Typesetting" w:hint="cs"/>
          <w:sz w:val="34"/>
          <w:szCs w:val="34"/>
          <w:rtl/>
          <w:lang w:val="fr-CH"/>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7A4D9E" w:rsidRPr="007A4D9E" w:rsidTr="00815916">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7A4D9E" w:rsidRPr="007A4D9E" w:rsidRDefault="007A4D9E" w:rsidP="007A4D9E">
            <w:pPr>
              <w:keepNext/>
              <w:bidi/>
              <w:spacing w:before="60" w:after="60" w:line="280" w:lineRule="exact"/>
              <w:jc w:val="center"/>
              <w:rPr>
                <w:rFonts w:ascii="Arabic Typesetting" w:hAnsi="Arabic Typesetting" w:cs="Arabic Typesetting"/>
                <w:bCs/>
                <w:sz w:val="28"/>
                <w:szCs w:val="28"/>
                <w:lang w:bidi="ar-EG"/>
              </w:rPr>
            </w:pPr>
            <w:r w:rsidRPr="007A4D9E">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7A4D9E" w:rsidRPr="007A4D9E" w:rsidRDefault="007A4D9E" w:rsidP="007A4D9E">
            <w:pPr>
              <w:keepNext/>
              <w:bidi/>
              <w:spacing w:before="60" w:after="60" w:line="280" w:lineRule="exact"/>
              <w:jc w:val="center"/>
              <w:rPr>
                <w:rFonts w:ascii="Arabic Typesetting" w:hAnsi="Arabic Typesetting" w:cs="Arabic Typesetting"/>
                <w:bCs/>
                <w:sz w:val="28"/>
                <w:szCs w:val="28"/>
                <w:lang w:bidi="ar-EG"/>
              </w:rPr>
            </w:pPr>
            <w:r w:rsidRPr="007A4D9E">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7A4D9E" w:rsidRPr="007A4D9E" w:rsidRDefault="007A4D9E" w:rsidP="007A4D9E">
            <w:pPr>
              <w:keepNext/>
              <w:bidi/>
              <w:spacing w:before="60" w:after="60" w:line="280" w:lineRule="exact"/>
              <w:jc w:val="center"/>
              <w:rPr>
                <w:rFonts w:ascii="Arabic Typesetting" w:hAnsi="Arabic Typesetting" w:cs="Arabic Typesetting"/>
                <w:bCs/>
                <w:sz w:val="28"/>
                <w:szCs w:val="28"/>
                <w:lang w:bidi="ar-EG"/>
              </w:rPr>
            </w:pPr>
            <w:r w:rsidRPr="007A4D9E">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7A4D9E" w:rsidRPr="007A4D9E" w:rsidRDefault="007A4D9E" w:rsidP="007A4D9E">
            <w:pPr>
              <w:keepNext/>
              <w:bidi/>
              <w:spacing w:before="60" w:after="60" w:line="280" w:lineRule="exact"/>
              <w:jc w:val="center"/>
              <w:rPr>
                <w:rFonts w:ascii="Arabic Typesetting" w:hAnsi="Arabic Typesetting" w:cs="Arabic Typesetting"/>
                <w:bCs/>
                <w:sz w:val="28"/>
                <w:szCs w:val="28"/>
                <w:lang w:bidi="ar-EG"/>
              </w:rPr>
            </w:pPr>
            <w:r w:rsidRPr="007A4D9E">
              <w:rPr>
                <w:rFonts w:ascii="Arabic Typesetting" w:hAnsi="Arabic Typesetting" w:cs="Arabic Typesetting" w:hint="cs"/>
                <w:bCs/>
                <w:sz w:val="28"/>
                <w:szCs w:val="28"/>
                <w:rtl/>
                <w:lang w:bidi="ar-EG"/>
              </w:rPr>
              <w:t>التأثير في أداء البرنامج</w:t>
            </w:r>
          </w:p>
        </w:tc>
      </w:tr>
      <w:tr w:rsidR="007A4D9E" w:rsidRPr="007A4D9E" w:rsidTr="00815916">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7A4D9E" w:rsidRPr="007A4D9E" w:rsidRDefault="007A4D9E" w:rsidP="007A4D9E">
            <w:pPr>
              <w:autoSpaceDE w:val="0"/>
              <w:autoSpaceDN w:val="0"/>
              <w:bidi/>
              <w:adjustRightInd w:val="0"/>
              <w:rPr>
                <w:rFonts w:ascii="Arabic Typesetting" w:hAnsi="Arabic Typesetting" w:cs="Arabic Typesetting"/>
                <w:sz w:val="28"/>
                <w:szCs w:val="28"/>
              </w:rPr>
            </w:pPr>
            <w:r w:rsidRPr="007A4D9E">
              <w:rPr>
                <w:rFonts w:ascii="Arabic Typesetting" w:hAnsi="Arabic Typesetting" w:cs="Arabic Typesetting"/>
                <w:sz w:val="28"/>
                <w:szCs w:val="28"/>
                <w:rtl/>
              </w:rPr>
              <w:t>انخفض استخدام نظام مدريد في عام</w:t>
            </w:r>
            <w:r w:rsidRPr="007A4D9E">
              <w:rPr>
                <w:rFonts w:ascii="Arabic Typesetting" w:hAnsi="Arabic Typesetting" w:cs="Arabic Typesetting" w:hint="cs"/>
                <w:sz w:val="28"/>
                <w:szCs w:val="28"/>
                <w:rtl/>
              </w:rPr>
              <w:t> </w:t>
            </w:r>
            <w:r w:rsidRPr="007A4D9E">
              <w:rPr>
                <w:rFonts w:ascii="Arabic Typesetting" w:hAnsi="Arabic Typesetting" w:cs="Arabic Typesetting"/>
                <w:sz w:val="28"/>
                <w:szCs w:val="28"/>
                <w:rtl/>
              </w:rPr>
              <w:t>2009، وازداد منذ ذلك الحين. إلا أنه من المحتمل حدوث انخفاض ثان يؤدي إلى قصور في استخدام نظام مدريد وانخفاض دخل الويبو. وتوجد عوامل أخرى أيضًا يمكن أن تساهم في حدوث قصور في استخدام نظام مدريد، مثل عدم الاستقرار السياسي أو الاجتماعي أو عدم وجود بنية تحتية قانونية مناسبة.</w:t>
            </w:r>
          </w:p>
        </w:tc>
        <w:tc>
          <w:tcPr>
            <w:tcW w:w="2200" w:type="dxa"/>
            <w:tcBorders>
              <w:top w:val="single" w:sz="4" w:space="0" w:color="auto"/>
            </w:tcBorders>
            <w:shd w:val="clear" w:color="auto" w:fill="auto"/>
            <w:tcMar>
              <w:top w:w="113" w:type="dxa"/>
              <w:bottom w:w="113" w:type="dxa"/>
            </w:tcMar>
          </w:tcPr>
          <w:p w:rsidR="007A4D9E" w:rsidRPr="007A4D9E" w:rsidRDefault="007A4D9E" w:rsidP="007A4D9E">
            <w:pPr>
              <w:autoSpaceDE w:val="0"/>
              <w:autoSpaceDN w:val="0"/>
              <w:bidi/>
              <w:adjustRightInd w:val="0"/>
              <w:rPr>
                <w:rFonts w:ascii="Arabic Typesetting" w:hAnsi="Arabic Typesetting" w:cs="Arabic Typesetting"/>
                <w:sz w:val="28"/>
                <w:szCs w:val="28"/>
                <w:lang w:bidi="ar-EG"/>
              </w:rPr>
            </w:pPr>
            <w:r w:rsidRPr="007A4D9E">
              <w:rPr>
                <w:rFonts w:ascii="Arabic Typesetting" w:hAnsi="Arabic Typesetting" w:cs="Arabic Typesetting" w:hint="cs"/>
                <w:sz w:val="28"/>
                <w:szCs w:val="28"/>
                <w:rtl/>
                <w:lang w:bidi="ar-EG"/>
              </w:rPr>
              <w:t>ي</w:t>
            </w:r>
            <w:r w:rsidRPr="007A4D9E">
              <w:rPr>
                <w:rFonts w:ascii="Arabic Typesetting" w:hAnsi="Arabic Typesetting" w:cs="Arabic Typesetting"/>
                <w:sz w:val="28"/>
                <w:szCs w:val="28"/>
                <w:rtl/>
                <w:lang w:bidi="ar-EG"/>
              </w:rPr>
              <w:t>مكن تخفيف حدة المخاطر بالأنشطة الترويجية المكثفة لتحقيق أقصى استفادة محتملة للمستخدمين من نظام مدريد – ومن ثمَّ تقليص القصور في الاستخدام – للاستفادة من زيادة كفاءة النظام وفعاليته من حيث التكلفة. إلا أنه عندما يلزم إجراء تغيير في سياسة العلامات التجارية أو قانونها على المستوى الوطني أو الإقليمي أو حتى الدولي، فإن ذلك قد يستغرق وقتاً طويلاً لاتخاذ قرار بشأنه، إن اتُّخذ.</w:t>
            </w:r>
          </w:p>
        </w:tc>
        <w:tc>
          <w:tcPr>
            <w:tcW w:w="2310" w:type="dxa"/>
            <w:tcBorders>
              <w:top w:val="single" w:sz="4" w:space="0" w:color="auto"/>
            </w:tcBorders>
          </w:tcPr>
          <w:p w:rsidR="007A4D9E" w:rsidRPr="007A4D9E" w:rsidRDefault="007A4D9E" w:rsidP="00426BB2">
            <w:pPr>
              <w:autoSpaceDE w:val="0"/>
              <w:autoSpaceDN w:val="0"/>
              <w:bidi/>
              <w:adjustRightInd w:val="0"/>
              <w:spacing w:after="120"/>
              <w:rPr>
                <w:rFonts w:ascii="Arabic Typesetting" w:hAnsi="Arabic Typesetting" w:cs="Arabic Typesetting"/>
                <w:sz w:val="28"/>
                <w:szCs w:val="28"/>
                <w:rtl/>
                <w:lang w:bidi="ar-EG"/>
              </w:rPr>
            </w:pPr>
            <w:r w:rsidRPr="007A4D9E">
              <w:rPr>
                <w:rFonts w:ascii="Arabic Typesetting" w:hAnsi="Arabic Typesetting" w:cs="Arabic Typesetting" w:hint="cs"/>
                <w:sz w:val="28"/>
                <w:szCs w:val="28"/>
                <w:rtl/>
                <w:lang w:bidi="ar-EG"/>
              </w:rPr>
              <w:t>تم، على مدى الثنائية، توسيع استراتيجيات الحد من وطأة المخاطر لتشمل أيضا التركيز على تحسين الخدمات والأداء لفائدة مستخدمي النظام، بما في ذلك من خلال تحديث المنصة المعلوماتية المُستخدمة. وأجري أيضا تحليل لاستراتيجيات الإيداع الخاصة بالمستخدمين بالتعاون مع شعبة الاقتصاد والإحصاء.</w:t>
            </w:r>
          </w:p>
          <w:p w:rsidR="007A4D9E" w:rsidRPr="007A4D9E" w:rsidRDefault="007A4D9E" w:rsidP="003B2ED5">
            <w:pPr>
              <w:autoSpaceDE w:val="0"/>
              <w:autoSpaceDN w:val="0"/>
              <w:bidi/>
              <w:adjustRightInd w:val="0"/>
              <w:rPr>
                <w:rFonts w:ascii="Arabic Typesetting" w:hAnsi="Arabic Typesetting" w:cs="Arabic Typesetting"/>
                <w:sz w:val="28"/>
                <w:szCs w:val="28"/>
                <w:lang w:bidi="ar-EG"/>
              </w:rPr>
            </w:pPr>
            <w:r w:rsidRPr="007A4D9E">
              <w:rPr>
                <w:rFonts w:ascii="Arabic Typesetting" w:hAnsi="Arabic Typesetting" w:cs="Arabic Typesetting" w:hint="cs"/>
                <w:sz w:val="28"/>
                <w:szCs w:val="28"/>
                <w:rtl/>
                <w:lang w:bidi="ar-EG"/>
              </w:rPr>
              <w:t xml:space="preserve">وبُذلت جهود كبيرة </w:t>
            </w:r>
            <w:r w:rsidR="005E1E69">
              <w:rPr>
                <w:rFonts w:ascii="Arabic Typesetting" w:hAnsi="Arabic Typesetting" w:cs="Arabic Typesetting" w:hint="cs"/>
                <w:sz w:val="28"/>
                <w:szCs w:val="28"/>
                <w:rtl/>
                <w:lang w:bidi="ar-EG"/>
              </w:rPr>
              <w:t>ل</w:t>
            </w:r>
            <w:r w:rsidRPr="007A4D9E">
              <w:rPr>
                <w:rFonts w:ascii="Arabic Typesetting" w:hAnsi="Arabic Typesetting" w:cs="Arabic Typesetting" w:hint="cs"/>
                <w:sz w:val="28"/>
                <w:szCs w:val="28"/>
                <w:rtl/>
                <w:lang w:bidi="ar-EG"/>
              </w:rPr>
              <w:t xml:space="preserve">إرساء تواصل جيد مع الأطراف المتعاقدة بشأن الطريقة التي ينبغي أن يتطور بها الإطار القانوني للنظام، ولكن لوحظ </w:t>
            </w:r>
            <w:r w:rsidR="003B2ED5">
              <w:rPr>
                <w:rFonts w:ascii="Arabic Typesetting" w:hAnsi="Arabic Typesetting" w:cs="Arabic Typesetting" w:hint="cs"/>
                <w:sz w:val="28"/>
                <w:szCs w:val="28"/>
                <w:rtl/>
                <w:lang w:bidi="ar-EG"/>
              </w:rPr>
              <w:t>وجود</w:t>
            </w:r>
            <w:r w:rsidRPr="007A4D9E">
              <w:rPr>
                <w:rFonts w:ascii="Arabic Typesetting" w:hAnsi="Arabic Typesetting" w:cs="Arabic Typesetting" w:hint="cs"/>
                <w:sz w:val="28"/>
                <w:szCs w:val="28"/>
                <w:rtl/>
                <w:lang w:bidi="ar-EG"/>
              </w:rPr>
              <w:t xml:space="preserve"> حدود للتغييرات التي يمكن للأطراف المتعاقدة قبولها في هذه المرحلة</w:t>
            </w:r>
            <w:r w:rsidR="003B2ED5">
              <w:rPr>
                <w:rFonts w:ascii="Arabic Typesetting" w:hAnsi="Arabic Typesetting" w:cs="Arabic Typesetting" w:hint="cs"/>
                <w:sz w:val="28"/>
                <w:szCs w:val="28"/>
                <w:rtl/>
                <w:lang w:bidi="ar-EG"/>
              </w:rPr>
              <w:t xml:space="preserve"> أيا كان الجهد المبذول</w:t>
            </w:r>
            <w:r w:rsidRPr="007A4D9E">
              <w:rPr>
                <w:rFonts w:ascii="Arabic Typesetting" w:hAnsi="Arabic Typesetting" w:cs="Arabic Typesetting" w:hint="cs"/>
                <w:sz w:val="28"/>
                <w:szCs w:val="28"/>
                <w:rtl/>
                <w:lang w:bidi="ar-EG"/>
              </w:rPr>
              <w:t>.</w:t>
            </w:r>
          </w:p>
        </w:tc>
        <w:tc>
          <w:tcPr>
            <w:tcW w:w="2306" w:type="dxa"/>
            <w:tcBorders>
              <w:top w:val="single" w:sz="4" w:space="0" w:color="auto"/>
              <w:right w:val="single" w:sz="4" w:space="0" w:color="auto"/>
            </w:tcBorders>
          </w:tcPr>
          <w:p w:rsidR="007A4D9E" w:rsidRPr="007A4D9E" w:rsidRDefault="007A4D9E" w:rsidP="00426BB2">
            <w:pPr>
              <w:bidi/>
              <w:spacing w:after="120"/>
              <w:rPr>
                <w:rFonts w:ascii="Arabic Typesetting" w:hAnsi="Arabic Typesetting" w:cs="Arabic Typesetting"/>
                <w:sz w:val="28"/>
                <w:szCs w:val="28"/>
                <w:rtl/>
                <w:lang w:bidi="ar-EG"/>
              </w:rPr>
            </w:pPr>
            <w:r w:rsidRPr="007A4D9E">
              <w:rPr>
                <w:rFonts w:ascii="Arabic Typesetting" w:hAnsi="Arabic Typesetting" w:cs="Arabic Typesetting" w:hint="cs"/>
                <w:sz w:val="28"/>
                <w:szCs w:val="28"/>
                <w:rtl/>
                <w:lang w:bidi="ar-EG"/>
              </w:rPr>
              <w:t>في حين كان عدد الأطراف المتعاقدة أقل من التوقعات بعض الشيء، فإن عدد البلدان المشمولة كان أكبر بمراحل من العدد المتوقّع (بسبب انضمام النظام الإقليمي للمنظمة الأفريقية للملكية الفكرية). وكانت معدلات الإيداع أقل من التوقعات، ولكن ظلّت في مستويات معقولة بالنظر إلى وضع الاقتصاد وقيمة الفرنك السويسري.</w:t>
            </w:r>
          </w:p>
          <w:p w:rsidR="007A4D9E" w:rsidRPr="007A4D9E" w:rsidRDefault="007A4D9E" w:rsidP="00426BB2">
            <w:pPr>
              <w:bidi/>
              <w:spacing w:after="120"/>
              <w:rPr>
                <w:rFonts w:ascii="Arabic Typesetting" w:hAnsi="Arabic Typesetting" w:cs="Arabic Typesetting"/>
                <w:sz w:val="28"/>
                <w:szCs w:val="28"/>
                <w:rtl/>
                <w:lang w:bidi="ar-EG"/>
              </w:rPr>
            </w:pPr>
            <w:r w:rsidRPr="007A4D9E">
              <w:rPr>
                <w:rFonts w:ascii="Arabic Typesetting" w:hAnsi="Arabic Typesetting" w:cs="Arabic Typesetting" w:hint="cs"/>
                <w:sz w:val="28"/>
                <w:szCs w:val="28"/>
                <w:rtl/>
                <w:lang w:bidi="ar-EG"/>
              </w:rPr>
              <w:t>وشهد الأداء التشغيلي تحسّنا كبيرا من حيث مدة الفحص، وتجاوز عدد التسجيلات الهدف المحدّد للثنائية. ويبدو، إجمالا، أن رضا الزبائن يمضي في الاتجاه الصحيح. غير أن عدد المخالفات والتصحيحات ظلّ فوق المستوى الأقصى المحدّد كهدف.</w:t>
            </w:r>
          </w:p>
          <w:p w:rsidR="007A4D9E" w:rsidRPr="007A4D9E" w:rsidRDefault="007A4D9E" w:rsidP="005E1E69">
            <w:pPr>
              <w:bidi/>
              <w:rPr>
                <w:rFonts w:ascii="Arabic Typesetting" w:hAnsi="Arabic Typesetting" w:cs="Arabic Typesetting"/>
                <w:sz w:val="28"/>
                <w:szCs w:val="28"/>
                <w:lang w:bidi="ar-EG"/>
              </w:rPr>
            </w:pPr>
            <w:r w:rsidRPr="007A4D9E">
              <w:rPr>
                <w:rFonts w:ascii="Arabic Typesetting" w:hAnsi="Arabic Typesetting" w:cs="Arabic Typesetting" w:hint="cs"/>
                <w:sz w:val="28"/>
                <w:szCs w:val="28"/>
                <w:rtl/>
                <w:lang w:bidi="ar-EG"/>
              </w:rPr>
              <w:t>وفي حين اعتُمدت معظم التغييرات التي اقترح المكتب الدولي إدخالها على الإطار القانوني، فإن البعض منها الذي يكتسي طابعا أساسيا أكثر من غيره لقي مواجهة سياسية.</w:t>
            </w:r>
          </w:p>
        </w:tc>
      </w:tr>
      <w:tr w:rsidR="007A4D9E" w:rsidRPr="007A4D9E" w:rsidTr="00815916">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7A4D9E" w:rsidRPr="007A4D9E" w:rsidRDefault="007A4D9E" w:rsidP="007A4D9E">
            <w:pPr>
              <w:autoSpaceDE w:val="0"/>
              <w:autoSpaceDN w:val="0"/>
              <w:bidi/>
              <w:adjustRightInd w:val="0"/>
              <w:rPr>
                <w:rFonts w:ascii="Arabic Typesetting" w:hAnsi="Arabic Typesetting" w:cs="Arabic Typesetting"/>
                <w:sz w:val="28"/>
                <w:szCs w:val="28"/>
                <w:rtl/>
                <w:lang w:bidi="ar-EG"/>
              </w:rPr>
            </w:pPr>
            <w:r w:rsidRPr="007A4D9E">
              <w:rPr>
                <w:rFonts w:ascii="Arabic Typesetting" w:hAnsi="Arabic Typesetting" w:cs="Arabic Typesetting"/>
                <w:sz w:val="28"/>
                <w:szCs w:val="28"/>
                <w:rtl/>
                <w:lang w:bidi="ar-EG"/>
              </w:rPr>
              <w:t>يوجد عدد من التحديات التي قد تعوق تحول نظام لشبونة إلى نظام يتمتع بمشاركة دولية واسعة. وقد يستمر، على وجه الخصوص، وجود شكوك لدى أصحاب المصلحة بشأن فوائد النظام.</w:t>
            </w:r>
          </w:p>
        </w:tc>
        <w:tc>
          <w:tcPr>
            <w:tcW w:w="2200" w:type="dxa"/>
            <w:tcBorders>
              <w:bottom w:val="single" w:sz="4" w:space="0" w:color="auto"/>
            </w:tcBorders>
            <w:shd w:val="clear" w:color="auto" w:fill="auto"/>
            <w:tcMar>
              <w:top w:w="113" w:type="dxa"/>
              <w:bottom w:w="113" w:type="dxa"/>
            </w:tcMar>
          </w:tcPr>
          <w:p w:rsidR="007A4D9E" w:rsidRPr="007A4D9E" w:rsidRDefault="007A4D9E" w:rsidP="00426BB2">
            <w:pPr>
              <w:autoSpaceDE w:val="0"/>
              <w:autoSpaceDN w:val="0"/>
              <w:bidi/>
              <w:adjustRightInd w:val="0"/>
              <w:spacing w:after="120"/>
              <w:rPr>
                <w:rFonts w:ascii="Arabic Typesetting" w:hAnsi="Arabic Typesetting" w:cs="Arabic Typesetting"/>
                <w:sz w:val="28"/>
                <w:szCs w:val="28"/>
                <w:rtl/>
                <w:lang w:bidi="ar-EG"/>
              </w:rPr>
            </w:pPr>
            <w:r w:rsidRPr="007A4D9E">
              <w:rPr>
                <w:rFonts w:ascii="Arabic Typesetting" w:hAnsi="Arabic Typesetting" w:cs="Arabic Typesetting"/>
                <w:sz w:val="28"/>
                <w:szCs w:val="28"/>
                <w:rtl/>
                <w:lang w:bidi="ar-EG"/>
              </w:rPr>
              <w:t>يراعي الاستعراض كيفية حماية تسميات المنشأ والمؤشرات الجغرافية في مختلف الولايات القضائية، دون إغفال مبادئ نظام لشبونة وأهدافه.</w:t>
            </w:r>
          </w:p>
          <w:p w:rsidR="007A4D9E" w:rsidRPr="007A4D9E" w:rsidRDefault="007A4D9E" w:rsidP="007A4D9E">
            <w:pPr>
              <w:autoSpaceDE w:val="0"/>
              <w:autoSpaceDN w:val="0"/>
              <w:bidi/>
              <w:adjustRightInd w:val="0"/>
              <w:rPr>
                <w:rFonts w:ascii="Arabic Typesetting" w:hAnsi="Arabic Typesetting" w:cs="Arabic Typesetting"/>
                <w:sz w:val="28"/>
                <w:szCs w:val="28"/>
                <w:lang w:bidi="ar-EG"/>
              </w:rPr>
            </w:pPr>
            <w:r w:rsidRPr="007A4D9E">
              <w:rPr>
                <w:rFonts w:ascii="Arabic Typesetting" w:hAnsi="Arabic Typesetting" w:cs="Arabic Typesetting"/>
                <w:sz w:val="28"/>
                <w:szCs w:val="28"/>
                <w:rtl/>
                <w:lang w:bidi="ar-EG"/>
              </w:rPr>
              <w:t>وترك</w:t>
            </w:r>
            <w:r w:rsidRPr="007A4D9E">
              <w:rPr>
                <w:rFonts w:ascii="Arabic Typesetting" w:hAnsi="Arabic Typesetting" w:cs="Arabic Typesetting" w:hint="cs"/>
                <w:sz w:val="28"/>
                <w:szCs w:val="28"/>
                <w:rtl/>
                <w:lang w:bidi="ar-EG"/>
              </w:rPr>
              <w:t>ّ</w:t>
            </w:r>
            <w:r w:rsidRPr="007A4D9E">
              <w:rPr>
                <w:rFonts w:ascii="Arabic Typesetting" w:hAnsi="Arabic Typesetting" w:cs="Arabic Typesetting"/>
                <w:sz w:val="28"/>
                <w:szCs w:val="28"/>
                <w:rtl/>
                <w:lang w:bidi="ar-EG"/>
              </w:rPr>
              <w:t>ز الأنشطة الإعلامية والترويجية على الشيء نفسه، مع التأكيد على فوائد نظام لشبونة وأوجه المرونة المتاحة التي سوف يُنص عليها في اتفاق لشبونة المُنقَّح.</w:t>
            </w:r>
          </w:p>
        </w:tc>
        <w:tc>
          <w:tcPr>
            <w:tcW w:w="2310" w:type="dxa"/>
            <w:tcBorders>
              <w:bottom w:val="single" w:sz="4" w:space="0" w:color="auto"/>
            </w:tcBorders>
          </w:tcPr>
          <w:p w:rsidR="007A4D9E" w:rsidRPr="007A4D9E" w:rsidRDefault="007A4D9E" w:rsidP="002D3BD1">
            <w:pPr>
              <w:autoSpaceDE w:val="0"/>
              <w:autoSpaceDN w:val="0"/>
              <w:bidi/>
              <w:adjustRightInd w:val="0"/>
              <w:rPr>
                <w:rFonts w:ascii="Arabic Typesetting" w:hAnsi="Arabic Typesetting" w:cs="Arabic Typesetting"/>
                <w:sz w:val="28"/>
                <w:szCs w:val="28"/>
                <w:lang w:bidi="ar-EG"/>
              </w:rPr>
            </w:pPr>
            <w:r w:rsidRPr="007A4D9E">
              <w:rPr>
                <w:rFonts w:ascii="Arabic Typesetting" w:hAnsi="Arabic Typesetting" w:cs="Arabic Typesetting" w:hint="cs"/>
                <w:b/>
                <w:sz w:val="28"/>
                <w:szCs w:val="28"/>
                <w:rtl/>
              </w:rPr>
              <w:t xml:space="preserve">تجسَّد الخطر على مدى الثنائية بالرغم مما نُفذ من استراتيجيات الحد من وطأة المخاطر، التي ركّزت على إيلاء اهتمام خاص لمواصلة تزويد مختلف أصحاب </w:t>
            </w:r>
            <w:r w:rsidR="002D3BD1">
              <w:rPr>
                <w:rFonts w:ascii="Arabic Typesetting" w:hAnsi="Arabic Typesetting" w:cs="Arabic Typesetting" w:hint="cs"/>
                <w:b/>
                <w:sz w:val="28"/>
                <w:szCs w:val="28"/>
                <w:rtl/>
              </w:rPr>
              <w:t>المصلحة</w:t>
            </w:r>
            <w:r w:rsidR="002D3BD1" w:rsidRPr="007A4D9E">
              <w:rPr>
                <w:rFonts w:ascii="Arabic Typesetting" w:hAnsi="Arabic Typesetting" w:cs="Arabic Typesetting" w:hint="cs"/>
                <w:b/>
                <w:sz w:val="28"/>
                <w:szCs w:val="28"/>
                <w:rtl/>
              </w:rPr>
              <w:t xml:space="preserve"> </w:t>
            </w:r>
            <w:r w:rsidRPr="007A4D9E">
              <w:rPr>
                <w:rFonts w:ascii="Arabic Typesetting" w:hAnsi="Arabic Typesetting" w:cs="Arabic Typesetting" w:hint="cs"/>
                <w:b/>
                <w:sz w:val="28"/>
                <w:szCs w:val="28"/>
                <w:rtl/>
              </w:rPr>
              <w:t xml:space="preserve">بمحفل داعم ومحايد بمكن أن تُعرض وتُناقش </w:t>
            </w:r>
            <w:r w:rsidR="002D3BD1">
              <w:rPr>
                <w:rFonts w:ascii="Arabic Typesetting" w:hAnsi="Arabic Typesetting" w:cs="Arabic Typesetting" w:hint="cs"/>
                <w:b/>
                <w:sz w:val="28"/>
                <w:szCs w:val="28"/>
                <w:rtl/>
              </w:rPr>
              <w:t>ف</w:t>
            </w:r>
            <w:r w:rsidRPr="007A4D9E">
              <w:rPr>
                <w:rFonts w:ascii="Arabic Typesetting" w:hAnsi="Arabic Typesetting" w:cs="Arabic Typesetting" w:hint="cs"/>
                <w:b/>
                <w:sz w:val="28"/>
                <w:szCs w:val="28"/>
                <w:rtl/>
              </w:rPr>
              <w:t>يه مصالحهم المختلفة.</w:t>
            </w:r>
          </w:p>
        </w:tc>
        <w:tc>
          <w:tcPr>
            <w:tcW w:w="2306" w:type="dxa"/>
            <w:tcBorders>
              <w:bottom w:val="single" w:sz="4" w:space="0" w:color="auto"/>
              <w:right w:val="single" w:sz="4" w:space="0" w:color="auto"/>
            </w:tcBorders>
          </w:tcPr>
          <w:p w:rsidR="007A4D9E" w:rsidRPr="007A4D9E" w:rsidRDefault="007A4D9E" w:rsidP="007A4D9E">
            <w:pPr>
              <w:bidi/>
              <w:rPr>
                <w:rFonts w:ascii="Arabic Typesetting" w:hAnsi="Arabic Typesetting" w:cs="Arabic Typesetting"/>
                <w:sz w:val="28"/>
                <w:szCs w:val="28"/>
                <w:lang w:bidi="ar-EG"/>
              </w:rPr>
            </w:pPr>
            <w:r w:rsidRPr="007A4D9E">
              <w:rPr>
                <w:rFonts w:ascii="Arabic Typesetting" w:hAnsi="Arabic Typesetting" w:cs="Arabic Typesetting" w:hint="cs"/>
                <w:sz w:val="28"/>
                <w:szCs w:val="28"/>
                <w:rtl/>
                <w:lang w:bidi="ar-EG"/>
              </w:rPr>
              <w:t>كان الأثر على أداء البرنامج محدودا. غير أن الخطر المُحدّد للثنائية قد يظلّ قائما على مدى الثنائية القادمة.</w:t>
            </w:r>
          </w:p>
        </w:tc>
      </w:tr>
    </w:tbl>
    <w:p w:rsidR="007A4D9E" w:rsidRPr="007A4D9E" w:rsidRDefault="007A4D9E" w:rsidP="007A4D9E">
      <w:pPr>
        <w:keepNext/>
        <w:bidi/>
        <w:spacing w:before="120" w:after="120" w:line="340" w:lineRule="exact"/>
        <w:rPr>
          <w:rFonts w:ascii="Arabic Typesetting" w:hAnsi="Arabic Typesetting" w:cs="Arabic Typesetting"/>
          <w:sz w:val="34"/>
          <w:szCs w:val="34"/>
          <w:rtl/>
          <w:lang w:val="fr-CH"/>
        </w:rPr>
      </w:pPr>
      <w:r w:rsidRPr="007A4D9E">
        <w:rPr>
          <w:rFonts w:ascii="Arabic Typesetting" w:hAnsi="Arabic Typesetting" w:cs="Arabic Typesetting" w:hint="cs"/>
          <w:sz w:val="34"/>
          <w:szCs w:val="34"/>
          <w:rtl/>
          <w:lang w:val="fr-CH"/>
        </w:rPr>
        <w:lastRenderedPageBreak/>
        <w:t>استخدام الموارد</w:t>
      </w:r>
    </w:p>
    <w:p w:rsidR="007A4D9E" w:rsidRPr="007A4D9E" w:rsidRDefault="007A4D9E" w:rsidP="00426BB2">
      <w:pPr>
        <w:keepNext/>
        <w:bidi/>
        <w:spacing w:line="340" w:lineRule="exact"/>
        <w:jc w:val="center"/>
        <w:rPr>
          <w:rFonts w:ascii="Arabic Typesetting" w:hAnsi="Arabic Typesetting" w:cs="Arabic Typesetting"/>
          <w:sz w:val="34"/>
          <w:szCs w:val="34"/>
          <w:rtl/>
          <w:lang w:bidi="ar-EG"/>
        </w:rPr>
      </w:pPr>
      <w:r w:rsidRPr="007A4D9E">
        <w:rPr>
          <w:rFonts w:ascii="Arabic Typesetting" w:hAnsi="Arabic Typesetting" w:cs="Arabic Typesetting"/>
          <w:sz w:val="34"/>
          <w:szCs w:val="34"/>
          <w:rtl/>
          <w:lang w:bidi="ar-EG"/>
        </w:rPr>
        <w:t>الميزانية والنفقات الفعلية (بحسب النتائج)</w:t>
      </w:r>
    </w:p>
    <w:p w:rsidR="007A4D9E" w:rsidRPr="007A4D9E" w:rsidRDefault="007A4D9E" w:rsidP="00426BB2">
      <w:pPr>
        <w:keepNext/>
        <w:bidi/>
        <w:spacing w:after="120" w:line="340" w:lineRule="exact"/>
        <w:jc w:val="center"/>
        <w:rPr>
          <w:rFonts w:ascii="Arabic Typesetting" w:hAnsi="Arabic Typesetting" w:cs="Arabic Typesetting"/>
          <w:i/>
          <w:iCs/>
          <w:sz w:val="34"/>
          <w:szCs w:val="34"/>
          <w:rtl/>
          <w:lang w:bidi="ar-EG"/>
        </w:rPr>
      </w:pPr>
      <w:r w:rsidRPr="007A4D9E">
        <w:rPr>
          <w:rFonts w:ascii="Arabic Typesetting" w:hAnsi="Arabic Typesetting" w:cs="Arabic Typesetting"/>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7A4D9E" w:rsidRPr="007A4D9E" w:rsidTr="00D62C15">
        <w:trPr>
          <w:cantSplit/>
          <w:trHeight w:val="825"/>
        </w:trPr>
        <w:tc>
          <w:tcPr>
            <w:tcW w:w="2752"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7A4D9E" w:rsidRPr="007A4D9E" w:rsidRDefault="007A4D9E" w:rsidP="007A4D9E">
            <w:pPr>
              <w:keepNext/>
              <w:bidi/>
              <w:jc w:val="center"/>
              <w:rPr>
                <w:rFonts w:ascii="Arabic Typesetting" w:hAnsi="Arabic Typesetting" w:cs="Arabic Typesetting"/>
                <w:i/>
                <w:iCs/>
                <w:sz w:val="28"/>
                <w:szCs w:val="28"/>
              </w:rPr>
            </w:pPr>
            <w:r w:rsidRPr="007A4D9E">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7A4D9E" w:rsidRPr="007A4D9E" w:rsidRDefault="007A4D9E" w:rsidP="007A4D9E">
            <w:pPr>
              <w:keepNext/>
              <w:bidi/>
              <w:jc w:val="center"/>
              <w:rPr>
                <w:rFonts w:ascii="Arabic Typesetting" w:hAnsi="Arabic Typesetting" w:cs="Arabic Typesetting"/>
                <w:i/>
                <w:iCs/>
                <w:sz w:val="28"/>
                <w:szCs w:val="28"/>
              </w:rPr>
            </w:pPr>
            <w:r w:rsidRPr="007A4D9E">
              <w:rPr>
                <w:rFonts w:ascii="Arabic Typesetting" w:hAnsi="Arabic Typesetting" w:cs="Arabic Typesetting"/>
                <w:i/>
                <w:iCs/>
                <w:sz w:val="28"/>
                <w:szCs w:val="28"/>
                <w:rtl/>
              </w:rPr>
              <w:t xml:space="preserve">الميزانية المعتمدة </w:t>
            </w:r>
            <w:r w:rsidRPr="007A4D9E">
              <w:rPr>
                <w:rFonts w:ascii="Arabic Typesetting" w:hAnsi="Arabic Typesetting" w:cs="Arabic Typesetting" w:hint="cs"/>
                <w:i/>
                <w:iCs/>
                <w:sz w:val="28"/>
                <w:szCs w:val="28"/>
                <w:rtl/>
              </w:rPr>
              <w:t>2014</w:t>
            </w:r>
            <w:r w:rsidRPr="007A4D9E">
              <w:rPr>
                <w:rFonts w:ascii="Arabic Typesetting" w:hAnsi="Arabic Typesetting" w:cs="Arabic Typesetting"/>
                <w:i/>
                <w:iCs/>
                <w:sz w:val="28"/>
                <w:szCs w:val="28"/>
                <w:rtl/>
              </w:rPr>
              <w:t>/</w:t>
            </w:r>
            <w:r w:rsidRPr="007A4D9E">
              <w:rPr>
                <w:rFonts w:ascii="Arabic Typesetting" w:hAnsi="Arabic Typesetting" w:cs="Arabic Typesetting" w:hint="cs"/>
                <w:i/>
                <w:iCs/>
                <w:sz w:val="28"/>
                <w:szCs w:val="28"/>
                <w:rtl/>
              </w:rPr>
              <w:t>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7A4D9E" w:rsidRPr="007A4D9E" w:rsidRDefault="007A4D9E" w:rsidP="007A4D9E">
            <w:pPr>
              <w:keepNext/>
              <w:bidi/>
              <w:jc w:val="center"/>
              <w:rPr>
                <w:rFonts w:ascii="Arabic Typesetting" w:hAnsi="Arabic Typesetting" w:cs="Arabic Typesetting"/>
                <w:i/>
                <w:iCs/>
                <w:sz w:val="28"/>
                <w:szCs w:val="28"/>
              </w:rPr>
            </w:pPr>
            <w:r w:rsidRPr="007A4D9E">
              <w:rPr>
                <w:rFonts w:ascii="Arabic Typesetting" w:hAnsi="Arabic Typesetting" w:cs="Arabic Typesetting" w:hint="cs"/>
                <w:i/>
                <w:iCs/>
                <w:sz w:val="28"/>
                <w:szCs w:val="28"/>
                <w:rtl/>
              </w:rPr>
              <w:t>الميزانية النهائية</w:t>
            </w:r>
            <w:r w:rsidRPr="007A4D9E">
              <w:rPr>
                <w:rFonts w:ascii="Arabic Typesetting" w:hAnsi="Arabic Typesetting" w:cs="Arabic Typesetting"/>
                <w:i/>
                <w:iCs/>
                <w:sz w:val="28"/>
                <w:szCs w:val="28"/>
                <w:rtl/>
              </w:rPr>
              <w:t xml:space="preserve"> بعد التحويلات</w:t>
            </w:r>
            <w:r w:rsidRPr="007A4D9E">
              <w:rPr>
                <w:rFonts w:ascii="Arabic Typesetting" w:hAnsi="Arabic Typesetting" w:cs="Arabic Typesetting" w:hint="cs"/>
                <w:i/>
                <w:iCs/>
                <w:sz w:val="28"/>
                <w:szCs w:val="28"/>
                <w:rtl/>
              </w:rPr>
              <w:t xml:space="preserve"> 2014</w:t>
            </w:r>
            <w:r w:rsidRPr="007A4D9E">
              <w:rPr>
                <w:rFonts w:ascii="Arabic Typesetting" w:hAnsi="Arabic Typesetting" w:cs="Arabic Typesetting"/>
                <w:i/>
                <w:iCs/>
                <w:sz w:val="28"/>
                <w:szCs w:val="28"/>
                <w:rtl/>
              </w:rPr>
              <w:t>/</w:t>
            </w:r>
            <w:r w:rsidRPr="007A4D9E">
              <w:rPr>
                <w:rFonts w:ascii="Arabic Typesetting" w:hAnsi="Arabic Typesetting" w:cs="Arabic Typesetting" w:hint="cs"/>
                <w:i/>
                <w:iCs/>
                <w:sz w:val="28"/>
                <w:szCs w:val="28"/>
                <w:rtl/>
              </w:rPr>
              <w:t>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7A4D9E" w:rsidRPr="007A4D9E" w:rsidRDefault="007A4D9E" w:rsidP="007A4D9E">
            <w:pPr>
              <w:keepNext/>
              <w:bidi/>
              <w:jc w:val="center"/>
              <w:rPr>
                <w:rFonts w:ascii="Arabic Typesetting" w:hAnsi="Arabic Typesetting" w:cs="Arabic Typesetting"/>
                <w:i/>
                <w:iCs/>
                <w:sz w:val="28"/>
                <w:szCs w:val="28"/>
              </w:rPr>
            </w:pPr>
            <w:r w:rsidRPr="007A4D9E">
              <w:rPr>
                <w:rFonts w:ascii="Arabic Typesetting" w:hAnsi="Arabic Typesetting" w:cs="Arabic Typesetting"/>
                <w:i/>
                <w:iCs/>
                <w:sz w:val="28"/>
                <w:szCs w:val="28"/>
                <w:rtl/>
              </w:rPr>
              <w:t xml:space="preserve">نفقات </w:t>
            </w:r>
            <w:r w:rsidRPr="007A4D9E">
              <w:rPr>
                <w:rFonts w:ascii="Arabic Typesetting" w:hAnsi="Arabic Typesetting" w:cs="Arabic Typesetting" w:hint="cs"/>
                <w:i/>
                <w:iCs/>
                <w:sz w:val="28"/>
                <w:szCs w:val="28"/>
                <w:rtl/>
              </w:rPr>
              <w:t>2014</w:t>
            </w:r>
            <w:r w:rsidRPr="007A4D9E">
              <w:rPr>
                <w:rFonts w:ascii="Arabic Typesetting" w:hAnsi="Arabic Typesetting" w:cs="Arabic Typesetting"/>
                <w:i/>
                <w:iCs/>
                <w:sz w:val="28"/>
                <w:szCs w:val="28"/>
                <w:rtl/>
              </w:rPr>
              <w:t>/</w:t>
            </w:r>
            <w:r w:rsidRPr="007A4D9E">
              <w:rPr>
                <w:rFonts w:ascii="Arabic Typesetting" w:hAnsi="Arabic Typesetting" w:cs="Arabic Typesetting" w:hint="cs"/>
                <w:i/>
                <w:iCs/>
                <w:sz w:val="28"/>
                <w:szCs w:val="28"/>
                <w:rtl/>
              </w:rPr>
              <w:t>15</w:t>
            </w:r>
          </w:p>
        </w:tc>
      </w:tr>
      <w:tr w:rsidR="007A4D9E" w:rsidRPr="007A4D9E" w:rsidTr="00D62C15">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7A4D9E" w:rsidRPr="007A4D9E" w:rsidRDefault="007A4D9E" w:rsidP="007A4D9E">
            <w:pPr>
              <w:bidi/>
              <w:rPr>
                <w:rFonts w:ascii="Arabic Typesetting" w:hAnsi="Arabic Typesetting" w:cs="Arabic Typesetting"/>
                <w:sz w:val="28"/>
                <w:szCs w:val="28"/>
              </w:rPr>
            </w:pPr>
            <w:r w:rsidRPr="007A4D9E">
              <w:rPr>
                <w:rFonts w:ascii="Arabic Typesetting" w:hAnsi="Arabic Typesetting" w:cs="Arabic Typesetting"/>
                <w:sz w:val="28"/>
                <w:szCs w:val="28"/>
                <w:rtl/>
              </w:rPr>
              <w:t>ھ</w:t>
            </w:r>
            <w:r w:rsidRPr="007A4D9E">
              <w:rPr>
                <w:rFonts w:ascii="Arabic Typesetting" w:hAnsi="Arabic Typesetting" w:cs="Arabic Typesetting" w:hint="cs"/>
                <w:sz w:val="28"/>
                <w:szCs w:val="28"/>
                <w:rtl/>
              </w:rPr>
              <w:t>6</w:t>
            </w:r>
            <w:r w:rsidRPr="007A4D9E">
              <w:rPr>
                <w:rFonts w:ascii="Arabic Typesetting" w:hAnsi="Arabic Typesetting" w:cs="Arabic Typesetting"/>
                <w:sz w:val="28"/>
                <w:szCs w:val="28"/>
                <w:rtl/>
              </w:rPr>
              <w:t>.</w:t>
            </w:r>
            <w:r w:rsidRPr="007A4D9E">
              <w:rPr>
                <w:rFonts w:ascii="Arabic Typesetting" w:hAnsi="Arabic Typesetting" w:cs="Arabic Typesetting" w:hint="cs"/>
                <w:sz w:val="28"/>
                <w:szCs w:val="28"/>
                <w:rtl/>
              </w:rPr>
              <w:t>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7A4D9E" w:rsidRPr="007A4D9E" w:rsidRDefault="00A0719D" w:rsidP="007A4D9E">
            <w:pPr>
              <w:bidi/>
              <w:rPr>
                <w:rFonts w:ascii="Arabic Typesetting" w:hAnsi="Arabic Typesetting" w:cs="Arabic Typesetting"/>
                <w:sz w:val="28"/>
                <w:szCs w:val="28"/>
              </w:rPr>
            </w:pPr>
            <w:r>
              <w:rPr>
                <w:rFonts w:ascii="Arabic Typesetting" w:hAnsi="Arabic Typesetting" w:cs="Arabic Typesetting"/>
                <w:sz w:val="28"/>
                <w:szCs w:val="28"/>
                <w:rtl/>
                <w:lang w:bidi="ar-EG"/>
              </w:rPr>
              <w:t>الانتفاع بنظامي مدريد ولشبونة على نطاق أوسع ونحو أفضل، بما في ذلك من جهة البلدان الأقل نموا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A4D9E" w:rsidRPr="007A4D9E" w:rsidRDefault="007A4D9E" w:rsidP="007A4D9E">
            <w:pPr>
              <w:bidi/>
              <w:jc w:val="right"/>
              <w:rPr>
                <w:rFonts w:ascii="Arabic Typesetting" w:hAnsi="Arabic Typesetting" w:cs="Arabic Typesetting"/>
                <w:sz w:val="28"/>
                <w:szCs w:val="28"/>
              </w:rPr>
            </w:pPr>
            <w:r w:rsidRPr="007A4D9E">
              <w:rPr>
                <w:rFonts w:ascii="Arabic Typesetting" w:hAnsi="Arabic Typesetting" w:cs="Arabic Typesetting" w:hint="cs"/>
                <w:sz w:val="28"/>
                <w:szCs w:val="28"/>
                <w:rtl/>
              </w:rPr>
              <w:t>14,313</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A4D9E" w:rsidRPr="007A4D9E" w:rsidRDefault="007A4D9E" w:rsidP="007A4D9E">
            <w:pPr>
              <w:bidi/>
              <w:jc w:val="right"/>
              <w:rPr>
                <w:rFonts w:ascii="Arabic Typesetting" w:hAnsi="Arabic Typesetting" w:cs="Arabic Typesetting"/>
                <w:sz w:val="28"/>
                <w:szCs w:val="28"/>
              </w:rPr>
            </w:pPr>
            <w:r w:rsidRPr="007A4D9E">
              <w:rPr>
                <w:rFonts w:ascii="Arabic Typesetting" w:hAnsi="Arabic Typesetting" w:cs="Arabic Typesetting" w:hint="cs"/>
                <w:sz w:val="28"/>
                <w:szCs w:val="28"/>
                <w:rtl/>
              </w:rPr>
              <w:t>16,543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7A4D9E" w:rsidRPr="007A4D9E" w:rsidRDefault="007A4D9E" w:rsidP="007A4D9E">
            <w:pPr>
              <w:bidi/>
              <w:jc w:val="right"/>
              <w:rPr>
                <w:rFonts w:ascii="Arabic Typesetting" w:hAnsi="Arabic Typesetting" w:cs="Arabic Typesetting"/>
                <w:sz w:val="28"/>
                <w:szCs w:val="28"/>
              </w:rPr>
            </w:pPr>
            <w:r w:rsidRPr="007A4D9E">
              <w:rPr>
                <w:rFonts w:ascii="Arabic Typesetting" w:hAnsi="Arabic Typesetting" w:cs="Arabic Typesetting" w:hint="cs"/>
                <w:sz w:val="28"/>
                <w:szCs w:val="28"/>
                <w:rtl/>
              </w:rPr>
              <w:t>15,784</w:t>
            </w:r>
          </w:p>
        </w:tc>
      </w:tr>
      <w:tr w:rsidR="007A4D9E" w:rsidRPr="007A4D9E" w:rsidTr="00D62C15">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7A4D9E" w:rsidRPr="007A4D9E" w:rsidRDefault="007A4D9E" w:rsidP="007A4D9E">
            <w:pPr>
              <w:bidi/>
              <w:rPr>
                <w:rFonts w:ascii="Arabic Typesetting" w:hAnsi="Arabic Typesetting" w:cs="Arabic Typesetting"/>
                <w:sz w:val="28"/>
                <w:szCs w:val="28"/>
              </w:rPr>
            </w:pPr>
            <w:r w:rsidRPr="007A4D9E">
              <w:rPr>
                <w:rFonts w:ascii="Arabic Typesetting" w:hAnsi="Arabic Typesetting" w:cs="Arabic Typesetting"/>
                <w:sz w:val="28"/>
                <w:szCs w:val="28"/>
                <w:rtl/>
              </w:rPr>
              <w:t>ھ</w:t>
            </w:r>
            <w:r w:rsidRPr="007A4D9E">
              <w:rPr>
                <w:rFonts w:ascii="Arabic Typesetting" w:hAnsi="Arabic Typesetting" w:cs="Arabic Typesetting" w:hint="cs"/>
                <w:sz w:val="28"/>
                <w:szCs w:val="28"/>
                <w:rtl/>
              </w:rPr>
              <w:t>7</w:t>
            </w:r>
            <w:r w:rsidRPr="007A4D9E">
              <w:rPr>
                <w:rFonts w:ascii="Arabic Typesetting" w:hAnsi="Arabic Typesetting" w:cs="Arabic Typesetting"/>
                <w:sz w:val="28"/>
                <w:szCs w:val="28"/>
                <w:rtl/>
              </w:rPr>
              <w:t>.</w:t>
            </w:r>
            <w:r w:rsidRPr="007A4D9E">
              <w:rPr>
                <w:rFonts w:ascii="Arabic Typesetting" w:hAnsi="Arabic Typesetting" w:cs="Arabic Typesetting" w:hint="cs"/>
                <w:sz w:val="28"/>
                <w:szCs w:val="28"/>
                <w:rtl/>
              </w:rPr>
              <w:t>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7A4D9E" w:rsidRPr="007A4D9E" w:rsidRDefault="00A0719D" w:rsidP="007A4D9E">
            <w:pPr>
              <w:bidi/>
              <w:rPr>
                <w:rFonts w:ascii="Arabic Typesetting" w:hAnsi="Arabic Typesetting" w:cs="Arabic Typesetting"/>
                <w:sz w:val="28"/>
                <w:szCs w:val="28"/>
              </w:rPr>
            </w:pPr>
            <w:r>
              <w:rPr>
                <w:rFonts w:ascii="Arabic Typesetting" w:hAnsi="Arabic Typesetting" w:cs="Arabic Typesetting"/>
                <w:b/>
                <w:sz w:val="28"/>
                <w:szCs w:val="28"/>
                <w:rtl/>
                <w:lang w:bidi="ar-EG"/>
              </w:rPr>
              <w:t>تحسين الإنتاجية وجودة الخدمات في عمليات نظامي مدريد ولشبونة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A4D9E" w:rsidRPr="007A4D9E" w:rsidRDefault="007A4D9E" w:rsidP="007A4D9E">
            <w:pPr>
              <w:bidi/>
              <w:jc w:val="right"/>
              <w:rPr>
                <w:rFonts w:ascii="Arabic Typesetting" w:hAnsi="Arabic Typesetting" w:cs="Arabic Typesetting"/>
                <w:sz w:val="28"/>
                <w:szCs w:val="28"/>
              </w:rPr>
            </w:pPr>
            <w:r w:rsidRPr="007A4D9E">
              <w:rPr>
                <w:rFonts w:ascii="Arabic Typesetting" w:hAnsi="Arabic Typesetting" w:cs="Arabic Typesetting" w:hint="cs"/>
                <w:sz w:val="28"/>
                <w:szCs w:val="28"/>
                <w:rtl/>
              </w:rPr>
              <w:t>40,932</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A4D9E" w:rsidRPr="007A4D9E" w:rsidRDefault="007A4D9E" w:rsidP="007A4D9E">
            <w:pPr>
              <w:bidi/>
              <w:jc w:val="right"/>
              <w:rPr>
                <w:rFonts w:ascii="Arabic Typesetting" w:hAnsi="Arabic Typesetting" w:cs="Arabic Typesetting"/>
                <w:sz w:val="28"/>
                <w:szCs w:val="28"/>
              </w:rPr>
            </w:pPr>
            <w:r w:rsidRPr="007A4D9E">
              <w:rPr>
                <w:rFonts w:ascii="Arabic Typesetting" w:hAnsi="Arabic Typesetting" w:cs="Arabic Typesetting" w:hint="cs"/>
                <w:sz w:val="28"/>
                <w:szCs w:val="28"/>
                <w:rtl/>
              </w:rPr>
              <w:t>40,885</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7A4D9E" w:rsidRPr="007A4D9E" w:rsidRDefault="007A4D9E" w:rsidP="007A4D9E">
            <w:pPr>
              <w:bidi/>
              <w:jc w:val="right"/>
              <w:rPr>
                <w:rFonts w:ascii="Arabic Typesetting" w:hAnsi="Arabic Typesetting" w:cs="Arabic Typesetting"/>
                <w:sz w:val="28"/>
                <w:szCs w:val="28"/>
              </w:rPr>
            </w:pPr>
            <w:r w:rsidRPr="007A4D9E">
              <w:rPr>
                <w:rFonts w:ascii="Arabic Typesetting" w:hAnsi="Arabic Typesetting" w:cs="Arabic Typesetting" w:hint="cs"/>
                <w:sz w:val="28"/>
                <w:szCs w:val="28"/>
                <w:rtl/>
              </w:rPr>
              <w:t>39,925</w:t>
            </w:r>
          </w:p>
        </w:tc>
      </w:tr>
      <w:tr w:rsidR="007A4D9E" w:rsidRPr="007A4D9E" w:rsidTr="00D62C15">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7A4D9E" w:rsidRPr="007A4D9E" w:rsidRDefault="007A4D9E" w:rsidP="007A4D9E">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7A4D9E" w:rsidRPr="007A4D9E" w:rsidRDefault="007A4D9E" w:rsidP="007A4D9E">
            <w:pPr>
              <w:bidi/>
              <w:rPr>
                <w:rFonts w:ascii="Arabic Typesetting" w:hAnsi="Arabic Typesetting" w:cs="Arabic Typesetting"/>
                <w:b/>
                <w:bCs/>
                <w:sz w:val="28"/>
                <w:szCs w:val="28"/>
              </w:rPr>
            </w:pPr>
            <w:r w:rsidRPr="007A4D9E">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7A4D9E" w:rsidRPr="007A4D9E" w:rsidRDefault="007A4D9E" w:rsidP="007A4D9E">
            <w:pPr>
              <w:bidi/>
              <w:jc w:val="right"/>
              <w:rPr>
                <w:rFonts w:ascii="Arabic Typesetting" w:hAnsi="Arabic Typesetting" w:cs="Arabic Typesetting"/>
                <w:b/>
                <w:bCs/>
                <w:sz w:val="28"/>
                <w:szCs w:val="28"/>
              </w:rPr>
            </w:pPr>
            <w:r w:rsidRPr="007A4D9E">
              <w:rPr>
                <w:rFonts w:ascii="Arabic Typesetting" w:hAnsi="Arabic Typesetting" w:cs="Arabic Typesetting" w:hint="cs"/>
                <w:b/>
                <w:bCs/>
                <w:sz w:val="28"/>
                <w:szCs w:val="28"/>
                <w:rtl/>
              </w:rPr>
              <w:t>55,245</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7A4D9E" w:rsidRPr="007A4D9E" w:rsidRDefault="007A4D9E" w:rsidP="007A4D9E">
            <w:pPr>
              <w:bidi/>
              <w:jc w:val="right"/>
              <w:rPr>
                <w:rFonts w:ascii="Arabic Typesetting" w:hAnsi="Arabic Typesetting" w:cs="Arabic Typesetting"/>
                <w:b/>
                <w:bCs/>
                <w:sz w:val="28"/>
                <w:szCs w:val="28"/>
              </w:rPr>
            </w:pPr>
            <w:r w:rsidRPr="007A4D9E">
              <w:rPr>
                <w:rFonts w:ascii="Arabic Typesetting" w:hAnsi="Arabic Typesetting" w:cs="Arabic Typesetting" w:hint="cs"/>
                <w:b/>
                <w:bCs/>
                <w:sz w:val="28"/>
                <w:szCs w:val="28"/>
                <w:rtl/>
              </w:rPr>
              <w:t>57,428</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7A4D9E" w:rsidRPr="007A4D9E" w:rsidRDefault="007A4D9E" w:rsidP="007A4D9E">
            <w:pPr>
              <w:bidi/>
              <w:jc w:val="right"/>
              <w:rPr>
                <w:rFonts w:ascii="Arabic Typesetting" w:hAnsi="Arabic Typesetting" w:cs="Arabic Typesetting"/>
                <w:b/>
                <w:bCs/>
                <w:sz w:val="28"/>
                <w:szCs w:val="28"/>
              </w:rPr>
            </w:pPr>
            <w:r w:rsidRPr="007A4D9E">
              <w:rPr>
                <w:rFonts w:ascii="Arabic Typesetting" w:hAnsi="Arabic Typesetting" w:cs="Arabic Typesetting" w:hint="cs"/>
                <w:b/>
                <w:bCs/>
                <w:sz w:val="28"/>
                <w:szCs w:val="28"/>
                <w:rtl/>
              </w:rPr>
              <w:t>55,709</w:t>
            </w:r>
          </w:p>
        </w:tc>
      </w:tr>
    </w:tbl>
    <w:p w:rsidR="007A4D9E" w:rsidRPr="007A4D9E" w:rsidRDefault="007A4D9E" w:rsidP="007A4D9E">
      <w:pPr>
        <w:keepNext/>
        <w:bidi/>
        <w:spacing w:before="240" w:line="340" w:lineRule="exact"/>
        <w:jc w:val="center"/>
        <w:rPr>
          <w:rFonts w:ascii="Arabic Typesetting" w:hAnsi="Arabic Typesetting" w:cs="Arabic Typesetting"/>
          <w:sz w:val="34"/>
          <w:szCs w:val="34"/>
          <w:rtl/>
          <w:lang w:bidi="ar-EG"/>
        </w:rPr>
      </w:pPr>
      <w:r w:rsidRPr="007A4D9E">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7A4D9E" w:rsidRPr="007A4D9E" w:rsidRDefault="007A4D9E" w:rsidP="007A4D9E">
      <w:pPr>
        <w:keepNext/>
        <w:bidi/>
        <w:spacing w:after="120"/>
        <w:jc w:val="center"/>
        <w:rPr>
          <w:rFonts w:ascii="Arabic Typesetting" w:hAnsi="Arabic Typesetting" w:cs="Arabic Typesetting"/>
          <w:sz w:val="34"/>
          <w:szCs w:val="34"/>
          <w:rtl/>
          <w:lang w:bidi="ar-EG"/>
        </w:rPr>
      </w:pPr>
      <w:r w:rsidRPr="007A4D9E">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7A4D9E" w:rsidRPr="007A4D9E" w:rsidTr="00D62C15">
        <w:trPr>
          <w:cantSplit/>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7A4D9E" w:rsidRPr="007A4D9E" w:rsidRDefault="007A4D9E" w:rsidP="007A4D9E">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7A4D9E" w:rsidRPr="007A4D9E" w:rsidRDefault="007A4D9E" w:rsidP="007A4D9E">
            <w:pPr>
              <w:keepNext/>
              <w:bidi/>
              <w:jc w:val="center"/>
              <w:rPr>
                <w:rFonts w:ascii="Arabic Typesetting" w:hAnsi="Arabic Typesetting" w:cs="Arabic Typesetting"/>
                <w:b/>
                <w:bCs/>
                <w:i/>
                <w:iCs/>
                <w:sz w:val="28"/>
                <w:szCs w:val="28"/>
              </w:rPr>
            </w:pPr>
            <w:r w:rsidRPr="007A4D9E">
              <w:rPr>
                <w:rFonts w:ascii="Arabic Typesetting" w:hAnsi="Arabic Typesetting" w:cs="Arabic Typesetting"/>
                <w:b/>
                <w:bCs/>
                <w:i/>
                <w:iCs/>
                <w:sz w:val="28"/>
                <w:szCs w:val="28"/>
                <w:rtl/>
              </w:rPr>
              <w:t xml:space="preserve">الميزانية المعتمدة </w:t>
            </w:r>
            <w:r w:rsidRPr="007A4D9E">
              <w:rPr>
                <w:rFonts w:ascii="Arabic Typesetting" w:hAnsi="Arabic Typesetting" w:cs="Arabic Typesetting" w:hint="cs"/>
                <w:b/>
                <w:bCs/>
                <w:i/>
                <w:iCs/>
                <w:sz w:val="28"/>
                <w:szCs w:val="28"/>
                <w:rtl/>
              </w:rPr>
              <w:t>2014</w:t>
            </w:r>
            <w:r w:rsidRPr="007A4D9E">
              <w:rPr>
                <w:rFonts w:ascii="Arabic Typesetting" w:hAnsi="Arabic Typesetting" w:cs="Arabic Typesetting"/>
                <w:b/>
                <w:bCs/>
                <w:i/>
                <w:iCs/>
                <w:sz w:val="28"/>
                <w:szCs w:val="28"/>
                <w:rtl/>
              </w:rPr>
              <w:t>/</w:t>
            </w:r>
            <w:r w:rsidRPr="007A4D9E">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7A4D9E" w:rsidRPr="007A4D9E" w:rsidRDefault="007A4D9E" w:rsidP="007A4D9E">
            <w:pPr>
              <w:keepNext/>
              <w:bidi/>
              <w:jc w:val="center"/>
              <w:rPr>
                <w:rFonts w:ascii="Arabic Typesetting" w:hAnsi="Arabic Typesetting" w:cs="Arabic Typesetting"/>
                <w:b/>
                <w:bCs/>
                <w:i/>
                <w:iCs/>
                <w:sz w:val="28"/>
                <w:szCs w:val="28"/>
              </w:rPr>
            </w:pPr>
            <w:r w:rsidRPr="007A4D9E">
              <w:rPr>
                <w:rFonts w:ascii="Arabic Typesetting" w:hAnsi="Arabic Typesetting" w:cs="Arabic Typesetting" w:hint="cs"/>
                <w:b/>
                <w:bCs/>
                <w:i/>
                <w:iCs/>
                <w:sz w:val="28"/>
                <w:szCs w:val="28"/>
                <w:rtl/>
              </w:rPr>
              <w:t>الميزانية النهائية</w:t>
            </w:r>
            <w:r w:rsidRPr="007A4D9E">
              <w:rPr>
                <w:rFonts w:ascii="Arabic Typesetting" w:hAnsi="Arabic Typesetting" w:cs="Arabic Typesetting"/>
                <w:b/>
                <w:bCs/>
                <w:i/>
                <w:iCs/>
                <w:sz w:val="28"/>
                <w:szCs w:val="28"/>
                <w:rtl/>
              </w:rPr>
              <w:t xml:space="preserve"> بعد التحويلات</w:t>
            </w:r>
            <w:r w:rsidRPr="007A4D9E">
              <w:rPr>
                <w:rFonts w:ascii="Arabic Typesetting" w:hAnsi="Arabic Typesetting" w:cs="Arabic Typesetting" w:hint="cs"/>
                <w:b/>
                <w:bCs/>
                <w:i/>
                <w:iCs/>
                <w:sz w:val="28"/>
                <w:szCs w:val="28"/>
                <w:rtl/>
              </w:rPr>
              <w:t xml:space="preserve"> 2014</w:t>
            </w:r>
            <w:r w:rsidRPr="007A4D9E">
              <w:rPr>
                <w:rFonts w:ascii="Arabic Typesetting" w:hAnsi="Arabic Typesetting" w:cs="Arabic Typesetting"/>
                <w:b/>
                <w:bCs/>
                <w:i/>
                <w:iCs/>
                <w:sz w:val="28"/>
                <w:szCs w:val="28"/>
                <w:rtl/>
              </w:rPr>
              <w:t>/</w:t>
            </w:r>
            <w:r w:rsidRPr="007A4D9E">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7A4D9E" w:rsidRPr="007A4D9E" w:rsidRDefault="007A4D9E" w:rsidP="007A4D9E">
            <w:pPr>
              <w:keepNext/>
              <w:bidi/>
              <w:jc w:val="center"/>
              <w:rPr>
                <w:rFonts w:ascii="Arabic Typesetting" w:hAnsi="Arabic Typesetting" w:cs="Arabic Typesetting"/>
                <w:b/>
                <w:bCs/>
                <w:i/>
                <w:iCs/>
                <w:sz w:val="28"/>
                <w:szCs w:val="28"/>
              </w:rPr>
            </w:pPr>
            <w:r w:rsidRPr="007A4D9E">
              <w:rPr>
                <w:rFonts w:ascii="Arabic Typesetting" w:hAnsi="Arabic Typesetting" w:cs="Arabic Typesetting"/>
                <w:b/>
                <w:bCs/>
                <w:i/>
                <w:iCs/>
                <w:sz w:val="28"/>
                <w:szCs w:val="28"/>
                <w:rtl/>
              </w:rPr>
              <w:t xml:space="preserve">نفقات </w:t>
            </w:r>
            <w:r w:rsidRPr="007A4D9E">
              <w:rPr>
                <w:rFonts w:ascii="Arabic Typesetting" w:hAnsi="Arabic Typesetting" w:cs="Arabic Typesetting" w:hint="cs"/>
                <w:b/>
                <w:bCs/>
                <w:i/>
                <w:iCs/>
                <w:sz w:val="28"/>
                <w:szCs w:val="28"/>
                <w:rtl/>
              </w:rPr>
              <w:t>2014</w:t>
            </w:r>
            <w:r w:rsidRPr="007A4D9E">
              <w:rPr>
                <w:rFonts w:ascii="Arabic Typesetting" w:hAnsi="Arabic Typesetting" w:cs="Arabic Typesetting"/>
                <w:b/>
                <w:bCs/>
                <w:i/>
                <w:iCs/>
                <w:sz w:val="28"/>
                <w:szCs w:val="28"/>
                <w:rtl/>
              </w:rPr>
              <w:t>/</w:t>
            </w:r>
            <w:r w:rsidRPr="007A4D9E">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7A4D9E" w:rsidRPr="007A4D9E" w:rsidRDefault="007A4D9E" w:rsidP="007A4D9E">
            <w:pPr>
              <w:keepNext/>
              <w:bidi/>
              <w:jc w:val="center"/>
              <w:rPr>
                <w:rFonts w:ascii="Arabic Typesetting" w:hAnsi="Arabic Typesetting" w:cs="Arabic Typesetting"/>
                <w:b/>
                <w:bCs/>
                <w:i/>
                <w:iCs/>
                <w:sz w:val="28"/>
                <w:szCs w:val="28"/>
              </w:rPr>
            </w:pPr>
            <w:r w:rsidRPr="007A4D9E">
              <w:rPr>
                <w:rFonts w:ascii="Arabic Typesetting" w:hAnsi="Arabic Typesetting" w:cs="Arabic Typesetting"/>
                <w:b/>
                <w:bCs/>
                <w:i/>
                <w:iCs/>
                <w:sz w:val="28"/>
                <w:szCs w:val="28"/>
                <w:rtl/>
              </w:rPr>
              <w:t xml:space="preserve">نسبة </w:t>
            </w:r>
            <w:r w:rsidRPr="007A4D9E">
              <w:rPr>
                <w:rFonts w:ascii="Arabic Typesetting" w:hAnsi="Arabic Typesetting" w:cs="Arabic Typesetting" w:hint="cs"/>
                <w:b/>
                <w:bCs/>
                <w:i/>
                <w:iCs/>
                <w:sz w:val="28"/>
                <w:szCs w:val="28"/>
                <w:rtl/>
              </w:rPr>
              <w:t>الاستخدام</w:t>
            </w:r>
            <w:r w:rsidRPr="007A4D9E">
              <w:rPr>
                <w:rFonts w:ascii="Arabic Typesetting" w:hAnsi="Arabic Typesetting" w:cs="Arabic Typesetting"/>
                <w:b/>
                <w:bCs/>
                <w:i/>
                <w:iCs/>
                <w:sz w:val="28"/>
                <w:szCs w:val="28"/>
                <w:rtl/>
              </w:rPr>
              <w:t xml:space="preserve"> (%)</w:t>
            </w:r>
          </w:p>
        </w:tc>
      </w:tr>
      <w:tr w:rsidR="007A4D9E" w:rsidRPr="007A4D9E" w:rsidTr="00D62C1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7A4D9E" w:rsidRPr="007A4D9E" w:rsidRDefault="007A4D9E" w:rsidP="007A4D9E">
            <w:pPr>
              <w:bidi/>
              <w:rPr>
                <w:rFonts w:ascii="Arabic Typesetting" w:hAnsi="Arabic Typesetting" w:cs="Arabic Typesetting"/>
                <w:sz w:val="28"/>
                <w:szCs w:val="28"/>
              </w:rPr>
            </w:pPr>
            <w:r w:rsidRPr="007A4D9E">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sz w:val="28"/>
                <w:szCs w:val="28"/>
              </w:rPr>
            </w:pPr>
            <w:r w:rsidRPr="007A4D9E">
              <w:rPr>
                <w:rFonts w:ascii="Arabic Typesetting" w:hAnsi="Arabic Typesetting" w:cs="Arabic Typesetting" w:hint="cs"/>
                <w:sz w:val="28"/>
                <w:szCs w:val="28"/>
                <w:rtl/>
              </w:rPr>
              <w:t>43,365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sz w:val="28"/>
                <w:szCs w:val="28"/>
              </w:rPr>
            </w:pPr>
            <w:r w:rsidRPr="007A4D9E">
              <w:rPr>
                <w:rFonts w:ascii="Arabic Typesetting" w:hAnsi="Arabic Typesetting" w:cs="Arabic Typesetting" w:hint="cs"/>
                <w:sz w:val="28"/>
                <w:szCs w:val="28"/>
                <w:rtl/>
              </w:rPr>
              <w:t>42,939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sz w:val="28"/>
                <w:szCs w:val="28"/>
              </w:rPr>
            </w:pPr>
            <w:r w:rsidRPr="007A4D9E">
              <w:rPr>
                <w:rFonts w:ascii="Arabic Typesetting" w:hAnsi="Arabic Typesetting" w:cs="Arabic Typesetting" w:hint="cs"/>
                <w:sz w:val="28"/>
                <w:szCs w:val="28"/>
                <w:rtl/>
              </w:rPr>
              <w:t>42,356</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sz w:val="28"/>
                <w:szCs w:val="28"/>
              </w:rPr>
            </w:pPr>
            <w:r w:rsidRPr="007A4D9E">
              <w:rPr>
                <w:rFonts w:ascii="Arabic Typesetting" w:hAnsi="Arabic Typesetting" w:cs="Arabic Typesetting" w:hint="cs"/>
                <w:sz w:val="28"/>
                <w:szCs w:val="28"/>
                <w:rtl/>
              </w:rPr>
              <w:t>99%</w:t>
            </w:r>
          </w:p>
        </w:tc>
      </w:tr>
      <w:tr w:rsidR="007A4D9E" w:rsidRPr="007A4D9E" w:rsidTr="00D62C1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7A4D9E" w:rsidRPr="007A4D9E" w:rsidRDefault="007A4D9E" w:rsidP="007A4D9E">
            <w:pPr>
              <w:bidi/>
              <w:rPr>
                <w:rFonts w:ascii="Arabic Typesetting" w:hAnsi="Arabic Typesetting" w:cs="Arabic Typesetting"/>
                <w:sz w:val="28"/>
                <w:szCs w:val="28"/>
              </w:rPr>
            </w:pPr>
            <w:r w:rsidRPr="007A4D9E">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sz w:val="28"/>
                <w:szCs w:val="28"/>
              </w:rPr>
            </w:pPr>
            <w:r w:rsidRPr="007A4D9E">
              <w:rPr>
                <w:rFonts w:ascii="Arabic Typesetting" w:hAnsi="Arabic Typesetting" w:cs="Arabic Typesetting" w:hint="cs"/>
                <w:sz w:val="28"/>
                <w:szCs w:val="28"/>
                <w:rtl/>
              </w:rPr>
              <w:t>11,880</w:t>
            </w:r>
          </w:p>
        </w:tc>
        <w:tc>
          <w:tcPr>
            <w:tcW w:w="970" w:type="pct"/>
            <w:tcBorders>
              <w:top w:val="nil"/>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sz w:val="28"/>
                <w:szCs w:val="28"/>
              </w:rPr>
            </w:pPr>
            <w:r w:rsidRPr="007A4D9E">
              <w:rPr>
                <w:rFonts w:ascii="Arabic Typesetting" w:hAnsi="Arabic Typesetting" w:cs="Arabic Typesetting" w:hint="cs"/>
                <w:sz w:val="28"/>
                <w:szCs w:val="28"/>
                <w:rtl/>
              </w:rPr>
              <w:t>14,489</w:t>
            </w:r>
          </w:p>
        </w:tc>
        <w:tc>
          <w:tcPr>
            <w:tcW w:w="970" w:type="pct"/>
            <w:tcBorders>
              <w:top w:val="nil"/>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sz w:val="28"/>
                <w:szCs w:val="28"/>
              </w:rPr>
            </w:pPr>
            <w:r w:rsidRPr="007A4D9E">
              <w:rPr>
                <w:rFonts w:ascii="Arabic Typesetting" w:hAnsi="Arabic Typesetting" w:cs="Arabic Typesetting" w:hint="cs"/>
                <w:sz w:val="28"/>
                <w:szCs w:val="28"/>
                <w:rtl/>
              </w:rPr>
              <w:t>13,353</w:t>
            </w:r>
          </w:p>
        </w:tc>
        <w:tc>
          <w:tcPr>
            <w:tcW w:w="970" w:type="pct"/>
            <w:tcBorders>
              <w:top w:val="nil"/>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sz w:val="28"/>
                <w:szCs w:val="28"/>
              </w:rPr>
            </w:pPr>
            <w:r w:rsidRPr="007A4D9E">
              <w:rPr>
                <w:rFonts w:ascii="Arabic Typesetting" w:hAnsi="Arabic Typesetting" w:cs="Arabic Typesetting" w:hint="cs"/>
                <w:sz w:val="28"/>
                <w:szCs w:val="28"/>
                <w:rtl/>
              </w:rPr>
              <w:t>92%</w:t>
            </w:r>
          </w:p>
        </w:tc>
      </w:tr>
      <w:tr w:rsidR="007A4D9E" w:rsidRPr="007A4D9E" w:rsidTr="00D62C1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7A4D9E" w:rsidRPr="007A4D9E" w:rsidRDefault="007A4D9E" w:rsidP="007A4D9E">
            <w:pPr>
              <w:bidi/>
              <w:jc w:val="right"/>
              <w:rPr>
                <w:rFonts w:ascii="Arabic Typesetting" w:hAnsi="Arabic Typesetting" w:cs="Arabic Typesetting"/>
                <w:b/>
                <w:bCs/>
                <w:sz w:val="28"/>
                <w:szCs w:val="28"/>
              </w:rPr>
            </w:pPr>
            <w:r w:rsidRPr="007A4D9E">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b/>
                <w:bCs/>
                <w:sz w:val="28"/>
                <w:szCs w:val="28"/>
              </w:rPr>
            </w:pPr>
            <w:r w:rsidRPr="007A4D9E">
              <w:rPr>
                <w:rFonts w:ascii="Arabic Typesetting" w:hAnsi="Arabic Typesetting" w:cs="Arabic Typesetting" w:hint="cs"/>
                <w:b/>
                <w:bCs/>
                <w:sz w:val="28"/>
                <w:szCs w:val="28"/>
                <w:rtl/>
              </w:rPr>
              <w:t>55,245</w:t>
            </w:r>
          </w:p>
        </w:tc>
        <w:tc>
          <w:tcPr>
            <w:tcW w:w="970" w:type="pct"/>
            <w:tcBorders>
              <w:top w:val="nil"/>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b/>
                <w:bCs/>
                <w:sz w:val="28"/>
                <w:szCs w:val="28"/>
              </w:rPr>
            </w:pPr>
            <w:r w:rsidRPr="007A4D9E">
              <w:rPr>
                <w:rFonts w:ascii="Arabic Typesetting" w:hAnsi="Arabic Typesetting" w:cs="Arabic Typesetting" w:hint="cs"/>
                <w:b/>
                <w:bCs/>
                <w:sz w:val="28"/>
                <w:szCs w:val="28"/>
                <w:rtl/>
              </w:rPr>
              <w:t>57,428</w:t>
            </w:r>
          </w:p>
        </w:tc>
        <w:tc>
          <w:tcPr>
            <w:tcW w:w="970" w:type="pct"/>
            <w:tcBorders>
              <w:top w:val="nil"/>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b/>
                <w:bCs/>
                <w:sz w:val="28"/>
                <w:szCs w:val="28"/>
              </w:rPr>
            </w:pPr>
            <w:r w:rsidRPr="007A4D9E">
              <w:rPr>
                <w:rFonts w:ascii="Arabic Typesetting" w:hAnsi="Arabic Typesetting" w:cs="Arabic Typesetting" w:hint="cs"/>
                <w:b/>
                <w:bCs/>
                <w:sz w:val="28"/>
                <w:szCs w:val="28"/>
                <w:rtl/>
              </w:rPr>
              <w:t>55,709</w:t>
            </w:r>
          </w:p>
        </w:tc>
        <w:tc>
          <w:tcPr>
            <w:tcW w:w="970" w:type="pct"/>
            <w:tcBorders>
              <w:top w:val="nil"/>
              <w:left w:val="single" w:sz="4" w:space="0" w:color="auto"/>
              <w:bottom w:val="single" w:sz="4" w:space="0" w:color="auto"/>
              <w:right w:val="single" w:sz="4" w:space="0" w:color="auto"/>
            </w:tcBorders>
            <w:shd w:val="clear" w:color="auto" w:fill="auto"/>
            <w:vAlign w:val="center"/>
          </w:tcPr>
          <w:p w:rsidR="007A4D9E" w:rsidRPr="007A4D9E" w:rsidRDefault="007A4D9E" w:rsidP="007A4D9E">
            <w:pPr>
              <w:bidi/>
              <w:jc w:val="center"/>
              <w:rPr>
                <w:rFonts w:ascii="Arabic Typesetting" w:hAnsi="Arabic Typesetting" w:cs="Arabic Typesetting"/>
                <w:b/>
                <w:bCs/>
                <w:sz w:val="28"/>
                <w:szCs w:val="28"/>
              </w:rPr>
            </w:pPr>
            <w:r w:rsidRPr="007A4D9E">
              <w:rPr>
                <w:rFonts w:ascii="Arabic Typesetting" w:hAnsi="Arabic Typesetting" w:cs="Arabic Typesetting" w:hint="cs"/>
                <w:b/>
                <w:bCs/>
                <w:sz w:val="28"/>
                <w:szCs w:val="28"/>
                <w:rtl/>
              </w:rPr>
              <w:t>97%</w:t>
            </w:r>
          </w:p>
        </w:tc>
      </w:tr>
    </w:tbl>
    <w:p w:rsidR="007A4D9E" w:rsidRPr="007A4D9E" w:rsidRDefault="007A4D9E" w:rsidP="007A4D9E">
      <w:pPr>
        <w:keepNext/>
        <w:bidi/>
        <w:spacing w:before="240" w:after="120" w:line="340" w:lineRule="exact"/>
        <w:rPr>
          <w:rFonts w:ascii="Arabic Typesetting" w:hAnsi="Arabic Typesetting" w:cs="Arabic Typesetting"/>
          <w:sz w:val="34"/>
          <w:szCs w:val="34"/>
          <w:lang w:bidi="ar-EG"/>
        </w:rPr>
      </w:pPr>
      <w:r w:rsidRPr="007A4D9E">
        <w:rPr>
          <w:rFonts w:ascii="Arabic Typesetting" w:hAnsi="Arabic Typesetting" w:cs="Arabic Typesetting" w:hint="cs"/>
          <w:sz w:val="34"/>
          <w:szCs w:val="34"/>
          <w:rtl/>
          <w:lang w:bidi="ar-EG"/>
        </w:rPr>
        <w:t>ألف</w:t>
      </w:r>
      <w:r w:rsidRPr="007A4D9E">
        <w:rPr>
          <w:rFonts w:ascii="Arabic Typesetting" w:hAnsi="Arabic Typesetting" w:cs="Arabic Typesetting"/>
          <w:sz w:val="34"/>
          <w:szCs w:val="34"/>
          <w:lang w:bidi="ar-EG"/>
        </w:rPr>
        <w:t>.</w:t>
      </w:r>
      <w:r w:rsidRPr="007A4D9E">
        <w:rPr>
          <w:rFonts w:ascii="Arabic Typesetting" w:hAnsi="Arabic Typesetting" w:cs="Arabic Typesetting" w:hint="cs"/>
          <w:sz w:val="34"/>
          <w:szCs w:val="34"/>
          <w:rtl/>
          <w:lang w:bidi="ar-EG"/>
        </w:rPr>
        <w:tab/>
      </w:r>
      <w:r w:rsidRPr="007A4D9E">
        <w:rPr>
          <w:rFonts w:ascii="Arabic Typesetting" w:hAnsi="Arabic Typesetting" w:cs="Arabic Typesetting" w:hint="cs"/>
          <w:sz w:val="34"/>
          <w:szCs w:val="34"/>
          <w:u w:val="single"/>
          <w:rtl/>
          <w:lang w:bidi="ar-EG"/>
        </w:rPr>
        <w:t>الميزانية النهائية بعد التحويلات 2014/15</w:t>
      </w:r>
    </w:p>
    <w:p w:rsidR="007A4D9E" w:rsidRPr="007A4D9E" w:rsidRDefault="007A4D9E" w:rsidP="009A3712">
      <w:pPr>
        <w:keepNext/>
        <w:numPr>
          <w:ilvl w:val="0"/>
          <w:numId w:val="7"/>
        </w:numPr>
        <w:bidi/>
        <w:spacing w:after="120" w:line="340" w:lineRule="exact"/>
        <w:ind w:left="0" w:firstLine="0"/>
        <w:rPr>
          <w:rFonts w:ascii="Arabic Typesetting" w:hAnsi="Arabic Typesetting" w:cs="Arabic Typesetting"/>
          <w:sz w:val="34"/>
          <w:szCs w:val="34"/>
          <w:lang w:eastAsia="ko-KR"/>
        </w:rPr>
      </w:pPr>
      <w:r w:rsidRPr="007A4D9E">
        <w:rPr>
          <w:rFonts w:ascii="Arabic Typesetting" w:hAnsi="Arabic Typesetting" w:cs="Arabic Typesetting" w:hint="cs"/>
          <w:sz w:val="34"/>
          <w:szCs w:val="34"/>
          <w:rtl/>
        </w:rPr>
        <w:t xml:space="preserve">تبيّن الميزانية النهائية بعد التحويلات تحت النتيجة </w:t>
      </w:r>
      <w:r w:rsidRPr="007A4D9E">
        <w:rPr>
          <w:rFonts w:ascii="Arabic Typesetting" w:hAnsi="Arabic Typesetting" w:cs="Arabic Typesetting"/>
          <w:sz w:val="34"/>
          <w:szCs w:val="34"/>
          <w:rtl/>
        </w:rPr>
        <w:t>ھ</w:t>
      </w:r>
      <w:r w:rsidRPr="007A4D9E">
        <w:rPr>
          <w:rFonts w:ascii="Arabic Typesetting" w:hAnsi="Arabic Typesetting" w:cs="Arabic Typesetting" w:hint="cs"/>
          <w:sz w:val="34"/>
          <w:szCs w:val="34"/>
          <w:rtl/>
        </w:rPr>
        <w:t>6</w:t>
      </w:r>
      <w:r w:rsidRPr="007A4D9E">
        <w:rPr>
          <w:rFonts w:ascii="Arabic Typesetting" w:hAnsi="Arabic Typesetting" w:cs="Arabic Typesetting"/>
          <w:sz w:val="34"/>
          <w:szCs w:val="34"/>
          <w:rtl/>
        </w:rPr>
        <w:t>.</w:t>
      </w:r>
      <w:r w:rsidRPr="007A4D9E">
        <w:rPr>
          <w:rFonts w:ascii="Arabic Typesetting" w:hAnsi="Arabic Typesetting" w:cs="Arabic Typesetting" w:hint="cs"/>
          <w:sz w:val="34"/>
          <w:szCs w:val="34"/>
          <w:rtl/>
        </w:rPr>
        <w:t>2 (</w:t>
      </w:r>
      <w:r w:rsidR="007A0848" w:rsidRPr="007A0848">
        <w:rPr>
          <w:rFonts w:ascii="Arabic Typesetting" w:hAnsi="Arabic Typesetting" w:cs="Arabic Typesetting"/>
          <w:sz w:val="34"/>
          <w:szCs w:val="34"/>
          <w:rtl/>
        </w:rPr>
        <w:t>استخدام نظامي مدريد ولشبونة على نطاق أوسع ونحو أفضل</w:t>
      </w:r>
      <w:r w:rsidRPr="007A4D9E">
        <w:rPr>
          <w:rFonts w:ascii="Arabic Typesetting" w:hAnsi="Arabic Typesetting" w:cs="Arabic Typesetting" w:hint="cs"/>
          <w:sz w:val="34"/>
          <w:szCs w:val="34"/>
          <w:rtl/>
        </w:rPr>
        <w:t>) تسوية بالزيادة ناجمة أساسا عن ما يلي: "1" تحويل موارد إضافية لدعم مبادرة إصلاح نظام مدريد، بما في ذلك برنامج نظام مدريد للمنح الدراسية؛ "2" وتحويل موارد لأغراض عقد مؤتمر دبلوماسي لاعتماد اتفاق لشبونة المراجع بشأن تسميات المنشأ والمؤشرات الجغرافية؛ "3" وتحويل موارد من البرنامج 31 إلى البرنامج 6 لأغراض العمل المرتبط بتكنولوجيا المعلومات، ولتغطية تكاليف المندوبين الإضافيين الموفدين إلى جمعيات اتحادات مدريد ولاهاي ولشبونة نتيجة نمو تلك الأنظمة.</w:t>
      </w:r>
    </w:p>
    <w:p w:rsidR="007A4D9E" w:rsidRPr="007A4D9E" w:rsidRDefault="002D3BD1" w:rsidP="009A3712">
      <w:pPr>
        <w:numPr>
          <w:ilvl w:val="0"/>
          <w:numId w:val="7"/>
        </w:numPr>
        <w:bidi/>
        <w:spacing w:after="120" w:line="340" w:lineRule="exact"/>
        <w:ind w:left="-1" w:firstLine="0"/>
        <w:rPr>
          <w:rFonts w:ascii="Arabic Typesetting" w:hAnsi="Arabic Typesetting" w:cs="Arabic Typesetting"/>
          <w:sz w:val="34"/>
          <w:szCs w:val="34"/>
          <w:lang w:eastAsia="ko-KR"/>
        </w:rPr>
      </w:pPr>
      <w:r>
        <w:rPr>
          <w:rFonts w:ascii="Arabic Typesetting" w:hAnsi="Arabic Typesetting" w:cs="Arabic Typesetting" w:hint="cs"/>
          <w:sz w:val="34"/>
          <w:szCs w:val="34"/>
          <w:rtl/>
        </w:rPr>
        <w:t>ويعزى</w:t>
      </w:r>
      <w:r w:rsidRPr="007A4D9E">
        <w:rPr>
          <w:rFonts w:ascii="Arabic Typesetting" w:hAnsi="Arabic Typesetting" w:cs="Arabic Typesetting" w:hint="cs"/>
          <w:sz w:val="34"/>
          <w:szCs w:val="34"/>
          <w:rtl/>
        </w:rPr>
        <w:t xml:space="preserve"> </w:t>
      </w:r>
      <w:r w:rsidR="007A4D9E" w:rsidRPr="007A4D9E">
        <w:rPr>
          <w:rFonts w:ascii="Arabic Typesetting" w:hAnsi="Arabic Typesetting" w:cs="Arabic Typesetting" w:hint="cs"/>
          <w:sz w:val="34"/>
          <w:szCs w:val="34"/>
          <w:rtl/>
        </w:rPr>
        <w:t>الانخفاض الصافي في موارد الموظفين في الميزانية النهائية بعد التحويلات</w:t>
      </w:r>
      <w:r w:rsidR="007A4D9E" w:rsidRPr="007A4D9E">
        <w:rPr>
          <w:rFonts w:ascii="Arabic Typesetting" w:hAnsi="Arabic Typesetting" w:cs="Arabic Typesetting" w:hint="eastAsia"/>
          <w:sz w:val="34"/>
          <w:szCs w:val="34"/>
          <w:rtl/>
        </w:rPr>
        <w:t> </w:t>
      </w:r>
      <w:r w:rsidR="007A4D9E" w:rsidRPr="007A4D9E">
        <w:rPr>
          <w:rFonts w:ascii="Arabic Typesetting" w:hAnsi="Arabic Typesetting" w:cs="Arabic Typesetting" w:hint="cs"/>
          <w:sz w:val="34"/>
          <w:szCs w:val="34"/>
          <w:rtl/>
        </w:rPr>
        <w:t xml:space="preserve">2014/15 </w:t>
      </w:r>
      <w:r>
        <w:rPr>
          <w:rFonts w:ascii="Arabic Typesetting" w:hAnsi="Arabic Typesetting" w:cs="Arabic Typesetting" w:hint="cs"/>
          <w:sz w:val="34"/>
          <w:szCs w:val="34"/>
          <w:rtl/>
        </w:rPr>
        <w:t>إلى نقل</w:t>
      </w:r>
      <w:r w:rsidRPr="007A4D9E">
        <w:rPr>
          <w:rFonts w:ascii="Arabic Typesetting" w:hAnsi="Arabic Typesetting" w:cs="Arabic Typesetting" w:hint="cs"/>
          <w:sz w:val="34"/>
          <w:szCs w:val="34"/>
          <w:rtl/>
        </w:rPr>
        <w:t xml:space="preserve"> </w:t>
      </w:r>
      <w:r>
        <w:rPr>
          <w:rFonts w:ascii="Arabic Typesetting" w:hAnsi="Arabic Typesetting" w:cs="Arabic Typesetting" w:hint="cs"/>
          <w:sz w:val="34"/>
          <w:szCs w:val="34"/>
          <w:rtl/>
        </w:rPr>
        <w:t xml:space="preserve">مخصصات من </w:t>
      </w:r>
      <w:r w:rsidR="007A4D9E" w:rsidRPr="007A4D9E">
        <w:rPr>
          <w:rFonts w:ascii="Arabic Typesetting" w:hAnsi="Arabic Typesetting" w:cs="Arabic Typesetting" w:hint="cs"/>
          <w:sz w:val="34"/>
          <w:szCs w:val="34"/>
          <w:rtl/>
        </w:rPr>
        <w:t xml:space="preserve">موارد الموظفين إلى خلاف موارد الموظفين لتمويل عمليات مدريد بطريقة أكثر مرونة وحصافة في إطار مبادرة إصلاح </w:t>
      </w:r>
      <w:r>
        <w:rPr>
          <w:rFonts w:ascii="Arabic Typesetting" w:hAnsi="Arabic Typesetting" w:cs="Arabic Typesetting" w:hint="cs"/>
          <w:sz w:val="34"/>
          <w:szCs w:val="34"/>
          <w:rtl/>
        </w:rPr>
        <w:t>نظام مدريد</w:t>
      </w:r>
      <w:r w:rsidR="007A4D9E" w:rsidRPr="007A4D9E">
        <w:rPr>
          <w:rFonts w:ascii="Arabic Typesetting" w:hAnsi="Arabic Typesetting" w:cs="Arabic Typesetting" w:hint="cs"/>
          <w:sz w:val="34"/>
          <w:szCs w:val="34"/>
          <w:rtl/>
        </w:rPr>
        <w:t>.</w:t>
      </w:r>
    </w:p>
    <w:p w:rsidR="007A4D9E" w:rsidRPr="007A4D9E" w:rsidRDefault="007A4D9E" w:rsidP="007A4D9E">
      <w:pPr>
        <w:keepNext/>
        <w:bidi/>
        <w:spacing w:after="120" w:line="340" w:lineRule="exact"/>
        <w:jc w:val="both"/>
        <w:rPr>
          <w:rFonts w:ascii="Arabic Typesetting" w:hAnsi="Arabic Typesetting" w:cs="Arabic Typesetting"/>
          <w:sz w:val="34"/>
          <w:szCs w:val="34"/>
          <w:u w:val="single"/>
          <w:rtl/>
          <w:lang w:eastAsia="ko-KR" w:bidi="ar-EG"/>
        </w:rPr>
      </w:pPr>
      <w:r w:rsidRPr="007A4D9E">
        <w:rPr>
          <w:rFonts w:ascii="Arabic Typesetting" w:hAnsi="Arabic Typesetting" w:cs="Arabic Typesetting"/>
          <w:sz w:val="34"/>
          <w:szCs w:val="34"/>
          <w:rtl/>
          <w:lang w:eastAsia="ko-KR"/>
        </w:rPr>
        <w:t>باء</w:t>
      </w:r>
      <w:r w:rsidRPr="007A4D9E">
        <w:rPr>
          <w:rFonts w:ascii="Arabic Typesetting" w:hAnsi="Arabic Typesetting" w:cs="Arabic Typesetting"/>
          <w:sz w:val="34"/>
          <w:szCs w:val="34"/>
          <w:lang w:eastAsia="ko-KR"/>
        </w:rPr>
        <w:t>.</w:t>
      </w:r>
      <w:r w:rsidRPr="007A4D9E">
        <w:rPr>
          <w:rFonts w:ascii="Arabic Typesetting" w:hAnsi="Arabic Typesetting" w:cs="Arabic Typesetting"/>
          <w:sz w:val="34"/>
          <w:szCs w:val="34"/>
          <w:lang w:eastAsia="ko-KR"/>
        </w:rPr>
        <w:tab/>
      </w:r>
      <w:r w:rsidRPr="007A4D9E">
        <w:rPr>
          <w:rFonts w:ascii="Arabic Typesetting" w:hAnsi="Arabic Typesetting" w:cs="Arabic Typesetting"/>
          <w:sz w:val="34"/>
          <w:szCs w:val="34"/>
          <w:u w:val="single"/>
          <w:rtl/>
          <w:lang w:eastAsia="ko-KR"/>
        </w:rPr>
        <w:t>استخدام ميزانية</w:t>
      </w:r>
      <w:r w:rsidRPr="007A4D9E">
        <w:rPr>
          <w:rFonts w:ascii="Arabic Typesetting" w:hAnsi="Arabic Typesetting" w:cs="Arabic Typesetting" w:hint="cs"/>
          <w:sz w:val="34"/>
          <w:szCs w:val="34"/>
          <w:u w:val="single"/>
          <w:rtl/>
          <w:lang w:eastAsia="ko-KR"/>
        </w:rPr>
        <w:t> 2014/15</w:t>
      </w:r>
    </w:p>
    <w:p w:rsidR="007A4D9E" w:rsidRPr="007A4D9E" w:rsidRDefault="007A4D9E" w:rsidP="009A3712">
      <w:pPr>
        <w:numPr>
          <w:ilvl w:val="0"/>
          <w:numId w:val="7"/>
        </w:numPr>
        <w:bidi/>
        <w:spacing w:after="120" w:line="340" w:lineRule="exact"/>
        <w:ind w:left="-1" w:firstLine="0"/>
        <w:rPr>
          <w:rFonts w:ascii="Arabic Typesetting" w:hAnsi="Arabic Typesetting" w:cs="Arabic Typesetting"/>
          <w:sz w:val="34"/>
          <w:szCs w:val="34"/>
        </w:rPr>
      </w:pPr>
      <w:r w:rsidRPr="007A4D9E">
        <w:rPr>
          <w:rFonts w:ascii="Arabic Typesetting" w:hAnsi="Arabic Typesetting" w:cs="Arabic Typesetting"/>
          <w:sz w:val="34"/>
          <w:szCs w:val="34"/>
          <w:rtl/>
        </w:rPr>
        <w:t xml:space="preserve">استُخدمت الميزانية </w:t>
      </w:r>
      <w:r w:rsidRPr="007A4D9E">
        <w:rPr>
          <w:rFonts w:ascii="Arabic Typesetting" w:hAnsi="Arabic Typesetting" w:cs="Arabic Typesetting" w:hint="cs"/>
          <w:sz w:val="34"/>
          <w:szCs w:val="34"/>
          <w:rtl/>
        </w:rPr>
        <w:t>ضمن النطاق المتوقّع</w:t>
      </w:r>
      <w:r w:rsidRPr="007A4D9E">
        <w:rPr>
          <w:rFonts w:ascii="Arabic Typesetting" w:hAnsi="Arabic Typesetting" w:cs="Arabic Typesetting"/>
          <w:sz w:val="34"/>
          <w:szCs w:val="34"/>
          <w:rtl/>
        </w:rPr>
        <w:t xml:space="preserve"> </w:t>
      </w:r>
      <w:r w:rsidRPr="007A4D9E">
        <w:rPr>
          <w:rFonts w:ascii="Arabic Typesetting" w:hAnsi="Arabic Typesetting" w:cs="Arabic Typesetting" w:hint="cs"/>
          <w:sz w:val="34"/>
          <w:szCs w:val="34"/>
          <w:rtl/>
        </w:rPr>
        <w:t>للثنائية.</w:t>
      </w:r>
    </w:p>
    <w:p w:rsidR="00B31868" w:rsidRPr="00365D19" w:rsidRDefault="00B31868" w:rsidP="00426BB2">
      <w:pPr>
        <w:pStyle w:val="Heading4AR"/>
        <w:rPr>
          <w:rtl/>
        </w:rPr>
      </w:pPr>
      <w:bookmarkStart w:id="43" w:name="_Toc455393372"/>
      <w:r w:rsidRPr="00365D19">
        <w:rPr>
          <w:rFonts w:hint="cs"/>
          <w:rtl/>
        </w:rPr>
        <w:lastRenderedPageBreak/>
        <w:t xml:space="preserve">مرفق البرنامج </w:t>
      </w:r>
      <w:r w:rsidR="00365D19" w:rsidRPr="00365D19">
        <w:rPr>
          <w:rFonts w:hint="cs"/>
          <w:rtl/>
        </w:rPr>
        <w:t>6</w:t>
      </w:r>
      <w:r w:rsidRPr="00365D19">
        <w:rPr>
          <w:rFonts w:hint="cs"/>
          <w:rtl/>
        </w:rPr>
        <w:t>:</w:t>
      </w:r>
      <w:r w:rsidRPr="00365D19">
        <w:rPr>
          <w:rFonts w:hint="cs"/>
          <w:rtl/>
        </w:rPr>
        <w:tab/>
      </w:r>
      <w:r w:rsidRPr="00365D19">
        <w:rPr>
          <w:rtl/>
        </w:rPr>
        <w:t>مؤشرات عمليات نظام مدريد</w:t>
      </w:r>
      <w:bookmarkEnd w:id="43"/>
    </w:p>
    <w:p w:rsidR="005852E0" w:rsidRPr="00426BB2" w:rsidRDefault="005852E0" w:rsidP="00426BB2">
      <w:pPr>
        <w:keepNext/>
        <w:bidi/>
        <w:spacing w:after="120" w:line="380" w:lineRule="exact"/>
        <w:rPr>
          <w:rFonts w:ascii="Arabic Typesetting" w:hAnsi="Arabic Typesetting" w:cs="Arabic Typesetting"/>
          <w:sz w:val="36"/>
          <w:szCs w:val="36"/>
          <w:lang w:val="fr-CH"/>
        </w:rPr>
      </w:pPr>
      <w:r w:rsidRPr="00426BB2">
        <w:rPr>
          <w:rFonts w:ascii="Arabic Typesetting" w:hAnsi="Arabic Typesetting" w:cs="Arabic Typesetting"/>
          <w:sz w:val="36"/>
          <w:szCs w:val="36"/>
          <w:rtl/>
          <w:lang w:val="fr-CH"/>
        </w:rPr>
        <w:t xml:space="preserve">مؤشرات </w:t>
      </w:r>
      <w:r w:rsidRPr="00426BB2">
        <w:rPr>
          <w:rFonts w:ascii="Arabic Typesetting" w:hAnsi="Arabic Typesetting" w:cs="Arabic Typesetting" w:hint="eastAsia"/>
          <w:sz w:val="36"/>
          <w:szCs w:val="36"/>
          <w:rtl/>
          <w:lang w:val="fr-CH"/>
        </w:rPr>
        <w:t>النتيجة</w:t>
      </w:r>
      <w:r w:rsidRPr="00426BB2">
        <w:rPr>
          <w:rFonts w:ascii="Arabic Typesetting" w:hAnsi="Arabic Typesetting" w:cs="Arabic Typesetting"/>
          <w:sz w:val="36"/>
          <w:szCs w:val="36"/>
          <w:rtl/>
          <w:lang w:val="fr-CH"/>
        </w:rPr>
        <w:t xml:space="preserve"> </w:t>
      </w:r>
      <w:r w:rsidRPr="00426BB2">
        <w:rPr>
          <w:rFonts w:ascii="Arabic Typesetting" w:hAnsi="Arabic Typesetting" w:cs="Arabic Typesetting" w:hint="eastAsia"/>
          <w:sz w:val="36"/>
          <w:szCs w:val="36"/>
          <w:rtl/>
          <w:lang w:val="fr-CH"/>
        </w:rPr>
        <w:t>المرتقبة</w:t>
      </w:r>
    </w:p>
    <w:p w:rsidR="005852E0" w:rsidRPr="00426BB2" w:rsidRDefault="005852E0" w:rsidP="00E206DD">
      <w:pPr>
        <w:keepNext/>
        <w:bidi/>
        <w:spacing w:after="240" w:line="380" w:lineRule="exact"/>
        <w:rPr>
          <w:rFonts w:ascii="Arabic Typesetting" w:hAnsi="Arabic Typesetting" w:cs="Arabic Typesetting"/>
          <w:sz w:val="34"/>
          <w:szCs w:val="34"/>
          <w:rtl/>
          <w:lang w:val="fr-CH"/>
        </w:rPr>
      </w:pPr>
      <w:r w:rsidRPr="00426BB2">
        <w:rPr>
          <w:rFonts w:ascii="Arabic Typesetting" w:hAnsi="Arabic Typesetting" w:cs="Arabic Typesetting"/>
          <w:sz w:val="34"/>
          <w:szCs w:val="34"/>
          <w:rtl/>
          <w:lang w:val="fr-CH"/>
        </w:rPr>
        <w:t>"</w:t>
      </w:r>
      <w:r w:rsidR="00E206DD" w:rsidRPr="00E206DD">
        <w:rPr>
          <w:rtl/>
        </w:rPr>
        <w:t xml:space="preserve"> </w:t>
      </w:r>
      <w:r w:rsidR="00E206DD" w:rsidRPr="00E206DD">
        <w:rPr>
          <w:rFonts w:ascii="Arabic Typesetting" w:hAnsi="Arabic Typesetting" w:cs="Arabic Typesetting"/>
          <w:sz w:val="34"/>
          <w:szCs w:val="34"/>
          <w:rtl/>
          <w:lang w:val="fr-CH"/>
        </w:rPr>
        <w:t xml:space="preserve">إنتاجية وجودة خدمات محسّنة في عمليات </w:t>
      </w:r>
      <w:r w:rsidR="00E206DD">
        <w:rPr>
          <w:rFonts w:ascii="Arabic Typesetting" w:hAnsi="Arabic Typesetting" w:cs="Arabic Typesetting" w:hint="cs"/>
          <w:sz w:val="34"/>
          <w:szCs w:val="34"/>
          <w:rtl/>
          <w:lang w:val="fr-CH"/>
        </w:rPr>
        <w:t>نظام مدريد</w:t>
      </w:r>
      <w:r w:rsidRPr="00426BB2">
        <w:rPr>
          <w:rFonts w:ascii="Arabic Typesetting" w:hAnsi="Arabic Typesetting" w:cs="Arabic Typesetting"/>
          <w:sz w:val="34"/>
          <w:szCs w:val="34"/>
          <w:rtl/>
          <w:lang w:val="fr-CH"/>
        </w:rPr>
        <w:t>"</w:t>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ينبغي مراعاة العوامل التالية عند تقييم مؤشرات الأداء لتحديد النتيجة المرتقبة "</w:t>
      </w:r>
      <w:r w:rsidR="00E206DD">
        <w:rPr>
          <w:rFonts w:ascii="Arabic Typesetting" w:hAnsi="Arabic Typesetting" w:cs="Arabic Typesetting" w:hint="cs"/>
          <w:sz w:val="34"/>
          <w:szCs w:val="34"/>
          <w:rtl/>
        </w:rPr>
        <w:t>إنتاجية وجودة خدمات محسّنة في عمليات نظام مدريد</w:t>
      </w:r>
      <w:r w:rsidRPr="005852E0">
        <w:rPr>
          <w:rFonts w:ascii="Arabic Typesetting" w:hAnsi="Arabic Typesetting" w:cs="Arabic Typesetting"/>
          <w:sz w:val="34"/>
          <w:szCs w:val="34"/>
          <w:rtl/>
        </w:rPr>
        <w:t>"</w:t>
      </w:r>
      <w:r w:rsidRPr="005852E0">
        <w:rPr>
          <w:rFonts w:ascii="Arabic Typesetting" w:hAnsi="Arabic Typesetting" w:cs="Arabic Typesetting" w:hint="cs"/>
          <w:sz w:val="34"/>
          <w:szCs w:val="34"/>
          <w:rtl/>
        </w:rPr>
        <w:t>:</w:t>
      </w:r>
    </w:p>
    <w:p w:rsidR="005852E0" w:rsidRPr="005852E0" w:rsidRDefault="005852E0" w:rsidP="009A3712">
      <w:pPr>
        <w:numPr>
          <w:ilvl w:val="0"/>
          <w:numId w:val="30"/>
        </w:numPr>
        <w:bidi/>
        <w:spacing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rPr>
        <w:t>عبء عمل نظام مدريد؛</w:t>
      </w:r>
    </w:p>
    <w:p w:rsidR="005852E0" w:rsidRPr="005852E0" w:rsidRDefault="005852E0" w:rsidP="009A3712">
      <w:pPr>
        <w:numPr>
          <w:ilvl w:val="0"/>
          <w:numId w:val="30"/>
        </w:numPr>
        <w:bidi/>
        <w:spacing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rPr>
        <w:t>ومكونات ذلك العبء؛</w:t>
      </w:r>
    </w:p>
    <w:p w:rsidR="005852E0" w:rsidRPr="005852E0" w:rsidRDefault="005852E0" w:rsidP="009A3712">
      <w:pPr>
        <w:numPr>
          <w:ilvl w:val="0"/>
          <w:numId w:val="30"/>
        </w:numPr>
        <w:bidi/>
        <w:spacing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rPr>
        <w:t>وعدد الموظفين المكلفين بمعالجة ذلك العبء؛</w:t>
      </w:r>
    </w:p>
    <w:p w:rsidR="005852E0" w:rsidRPr="005852E0" w:rsidRDefault="005852E0" w:rsidP="009A3712">
      <w:pPr>
        <w:numPr>
          <w:ilvl w:val="0"/>
          <w:numId w:val="30"/>
        </w:numPr>
        <w:bidi/>
        <w:spacing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rPr>
        <w:t xml:space="preserve">ومستوى </w:t>
      </w:r>
      <w:proofErr w:type="spellStart"/>
      <w:r w:rsidRPr="005852E0">
        <w:rPr>
          <w:rFonts w:ascii="Arabic Typesetting" w:hAnsi="Arabic Typesetting" w:cs="Arabic Typesetting" w:hint="cs"/>
          <w:sz w:val="34"/>
          <w:szCs w:val="34"/>
          <w:rtl/>
        </w:rPr>
        <w:t>الأتمتة</w:t>
      </w:r>
      <w:proofErr w:type="spellEnd"/>
      <w:r w:rsidRPr="005852E0">
        <w:rPr>
          <w:rFonts w:ascii="Arabic Typesetting" w:hAnsi="Arabic Typesetting" w:cs="Arabic Typesetting" w:hint="cs"/>
          <w:sz w:val="34"/>
          <w:szCs w:val="34"/>
          <w:rtl/>
        </w:rPr>
        <w:t>؛</w:t>
      </w:r>
    </w:p>
    <w:p w:rsidR="005852E0" w:rsidRPr="005852E0" w:rsidRDefault="005852E0" w:rsidP="009A3712">
      <w:pPr>
        <w:numPr>
          <w:ilvl w:val="0"/>
          <w:numId w:val="30"/>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وتكلفة الإنتاج الإجمالية.</w:t>
      </w:r>
    </w:p>
    <w:p w:rsidR="005852E0" w:rsidRPr="005852E0" w:rsidRDefault="005852E0" w:rsidP="005852E0">
      <w:pPr>
        <w:keepNext/>
        <w:bidi/>
        <w:spacing w:after="240" w:line="380" w:lineRule="exact"/>
        <w:rPr>
          <w:rFonts w:ascii="Arabic Typesetting" w:hAnsi="Arabic Typesetting" w:cs="Arabic Typesetting"/>
          <w:b/>
          <w:bCs/>
          <w:sz w:val="34"/>
          <w:szCs w:val="34"/>
          <w:rtl/>
          <w:lang w:val="fr-CH"/>
        </w:rPr>
      </w:pPr>
      <w:r w:rsidRPr="005852E0">
        <w:rPr>
          <w:rFonts w:ascii="Arabic Typesetting" w:hAnsi="Arabic Typesetting" w:cs="Arabic Typesetting" w:hint="cs"/>
          <w:b/>
          <w:bCs/>
          <w:sz w:val="34"/>
          <w:szCs w:val="34"/>
          <w:rtl/>
          <w:lang w:val="fr-CH"/>
        </w:rPr>
        <w:t>أولا.</w:t>
      </w:r>
      <w:r w:rsidRPr="005852E0">
        <w:rPr>
          <w:rFonts w:ascii="Arabic Typesetting" w:hAnsi="Arabic Typesetting" w:cs="Arabic Typesetting" w:hint="cs"/>
          <w:b/>
          <w:bCs/>
          <w:sz w:val="34"/>
          <w:szCs w:val="34"/>
          <w:rtl/>
          <w:lang w:val="fr-CH"/>
        </w:rPr>
        <w:tab/>
        <w:t>الوثائق الواردة</w:t>
      </w:r>
    </w:p>
    <w:p w:rsidR="005852E0" w:rsidRPr="005852E0" w:rsidRDefault="005852E0" w:rsidP="00E14A59">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يت</w:t>
      </w:r>
      <w:r w:rsidR="00E206DD">
        <w:rPr>
          <w:rFonts w:ascii="Arabic Typesetting" w:hAnsi="Arabic Typesetting" w:cs="Arabic Typesetting" w:hint="cs"/>
          <w:sz w:val="34"/>
          <w:szCs w:val="34"/>
          <w:rtl/>
        </w:rPr>
        <w:t>س</w:t>
      </w:r>
      <w:r w:rsidRPr="005852E0">
        <w:rPr>
          <w:rFonts w:ascii="Arabic Typesetting" w:hAnsi="Arabic Typesetting" w:cs="Arabic Typesetting" w:hint="cs"/>
          <w:sz w:val="34"/>
          <w:szCs w:val="34"/>
          <w:rtl/>
        </w:rPr>
        <w:t>لم</w:t>
      </w:r>
      <w:r w:rsidRPr="005852E0">
        <w:rPr>
          <w:rFonts w:ascii="Arabic Typesetting" w:hAnsi="Arabic Typesetting" w:cs="Arabic Typesetting"/>
          <w:sz w:val="34"/>
          <w:szCs w:val="34"/>
          <w:rtl/>
        </w:rPr>
        <w:t xml:space="preserve"> المكتب الدولي ست فئات مختلفة من </w:t>
      </w:r>
      <w:r w:rsidRPr="005852E0">
        <w:rPr>
          <w:rFonts w:ascii="Arabic Typesetting" w:hAnsi="Arabic Typesetting" w:cs="Arabic Typesetting" w:hint="cs"/>
          <w:sz w:val="34"/>
          <w:szCs w:val="34"/>
          <w:rtl/>
        </w:rPr>
        <w:t>الوثائق</w:t>
      </w:r>
      <w:r w:rsidRPr="005852E0">
        <w:rPr>
          <w:rFonts w:ascii="Arabic Typesetting" w:hAnsi="Arabic Typesetting" w:cs="Arabic Typesetting"/>
          <w:sz w:val="34"/>
          <w:szCs w:val="34"/>
          <w:rtl/>
        </w:rPr>
        <w:t>، وهي الطلبات الدولية</w:t>
      </w:r>
      <w:r w:rsidRPr="005852E0">
        <w:rPr>
          <w:rFonts w:ascii="Arabic Typesetting" w:hAnsi="Arabic Typesetting" w:cs="Arabic Typesetting" w:hint="cs"/>
          <w:sz w:val="34"/>
          <w:szCs w:val="34"/>
          <w:rtl/>
        </w:rPr>
        <w:t>،</w:t>
      </w:r>
      <w:r w:rsidRPr="005852E0">
        <w:rPr>
          <w:rFonts w:ascii="Arabic Typesetting" w:hAnsi="Arabic Typesetting" w:cs="Arabic Typesetting"/>
          <w:sz w:val="34"/>
          <w:szCs w:val="34"/>
          <w:rtl/>
        </w:rPr>
        <w:t xml:space="preserve"> والتجديدات</w:t>
      </w:r>
      <w:r w:rsidRPr="005852E0">
        <w:rPr>
          <w:rFonts w:ascii="Arabic Typesetting" w:hAnsi="Arabic Typesetting" w:cs="Arabic Typesetting" w:hint="cs"/>
          <w:sz w:val="34"/>
          <w:szCs w:val="34"/>
          <w:rtl/>
        </w:rPr>
        <w:t>،</w:t>
      </w:r>
      <w:r w:rsidRPr="005852E0">
        <w:rPr>
          <w:rFonts w:ascii="Arabic Typesetting" w:hAnsi="Arabic Typesetting" w:cs="Arabic Typesetting"/>
          <w:sz w:val="34"/>
          <w:szCs w:val="34"/>
          <w:rtl/>
        </w:rPr>
        <w:t xml:space="preserve"> والتعيينات اللاحقة</w:t>
      </w:r>
      <w:r w:rsidRPr="005852E0">
        <w:rPr>
          <w:rFonts w:ascii="Arabic Typesetting" w:hAnsi="Arabic Typesetting" w:cs="Arabic Typesetting" w:hint="cs"/>
          <w:sz w:val="34"/>
          <w:szCs w:val="34"/>
          <w:rtl/>
        </w:rPr>
        <w:t>،</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والتغييرات،</w:t>
      </w:r>
      <w:r w:rsidRPr="005852E0">
        <w:rPr>
          <w:rFonts w:ascii="Arabic Typesetting" w:hAnsi="Arabic Typesetting" w:cs="Arabic Typesetting"/>
          <w:sz w:val="34"/>
          <w:szCs w:val="34"/>
          <w:rtl/>
        </w:rPr>
        <w:t xml:space="preserve"> والقرارات</w:t>
      </w:r>
      <w:r w:rsidRPr="005852E0">
        <w:rPr>
          <w:rFonts w:ascii="Arabic Typesetting" w:hAnsi="Arabic Typesetting" w:cs="Arabic Typesetting" w:hint="cs"/>
          <w:sz w:val="34"/>
          <w:szCs w:val="34"/>
          <w:rtl/>
        </w:rPr>
        <w:t>،</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والتصحيحات</w:t>
      </w:r>
      <w:r w:rsidRPr="005852E0">
        <w:rPr>
          <w:rFonts w:ascii="Arabic Typesetting" w:hAnsi="Arabic Typesetting" w:cs="Arabic Typesetting"/>
          <w:sz w:val="34"/>
          <w:szCs w:val="34"/>
          <w:rtl/>
        </w:rPr>
        <w:t>. و</w:t>
      </w:r>
      <w:r w:rsidR="003B2ED5">
        <w:rPr>
          <w:rFonts w:ascii="Arabic Typesetting" w:hAnsi="Arabic Typesetting" w:cs="Arabic Typesetting" w:hint="cs"/>
          <w:sz w:val="34"/>
          <w:szCs w:val="34"/>
          <w:rtl/>
        </w:rPr>
        <w:t xml:space="preserve">يلي </w:t>
      </w:r>
      <w:r w:rsidRPr="005852E0">
        <w:rPr>
          <w:rFonts w:ascii="Arabic Typesetting" w:hAnsi="Arabic Typesetting" w:cs="Arabic Typesetting" w:hint="cs"/>
          <w:sz w:val="34"/>
          <w:szCs w:val="34"/>
          <w:rtl/>
        </w:rPr>
        <w:t>ُعرض</w:t>
      </w:r>
      <w:r w:rsidRPr="005852E0">
        <w:rPr>
          <w:rFonts w:ascii="Arabic Typesetting" w:hAnsi="Arabic Typesetting" w:cs="Arabic Typesetting"/>
          <w:sz w:val="34"/>
          <w:szCs w:val="34"/>
          <w:rtl/>
        </w:rPr>
        <w:t xml:space="preserve"> </w:t>
      </w:r>
      <w:r w:rsidR="003B2ED5">
        <w:rPr>
          <w:rFonts w:ascii="Arabic Typesetting" w:hAnsi="Arabic Typesetting" w:cs="Arabic Typesetting" w:hint="cs"/>
          <w:sz w:val="34"/>
          <w:szCs w:val="34"/>
          <w:rtl/>
        </w:rPr>
        <w:t>أحدث توجه</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 xml:space="preserve">لعدد الوثائق </w:t>
      </w:r>
      <w:r w:rsidR="00E14A59">
        <w:rPr>
          <w:rFonts w:ascii="Arabic Typesetting" w:hAnsi="Arabic Typesetting" w:cs="Arabic Typesetting" w:hint="cs"/>
          <w:sz w:val="34"/>
          <w:szCs w:val="34"/>
          <w:rtl/>
        </w:rPr>
        <w:t>التي تسلمها</w:t>
      </w:r>
      <w:r w:rsidRPr="005852E0">
        <w:rPr>
          <w:rFonts w:ascii="Arabic Typesetting" w:hAnsi="Arabic Typesetting" w:cs="Arabic Typesetting" w:hint="cs"/>
          <w:sz w:val="34"/>
          <w:szCs w:val="34"/>
          <w:rtl/>
        </w:rPr>
        <w:t xml:space="preserve"> المكتب الدولي فيما يتعلق ب</w:t>
      </w:r>
      <w:r w:rsidRPr="005852E0">
        <w:rPr>
          <w:rFonts w:ascii="Arabic Typesetting" w:hAnsi="Arabic Typesetting" w:cs="Arabic Typesetting"/>
          <w:sz w:val="34"/>
          <w:szCs w:val="34"/>
          <w:rtl/>
        </w:rPr>
        <w:t xml:space="preserve">كل من </w:t>
      </w:r>
      <w:r w:rsidRPr="005852E0">
        <w:rPr>
          <w:rFonts w:ascii="Arabic Typesetting" w:hAnsi="Arabic Typesetting" w:cs="Arabic Typesetting" w:hint="cs"/>
          <w:sz w:val="34"/>
          <w:szCs w:val="34"/>
          <w:rtl/>
        </w:rPr>
        <w:t>تلك الفئات</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وترد أيضا معلومات إضافية بخصوص</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 xml:space="preserve">الطلبات الدولية، </w:t>
      </w:r>
      <w:r w:rsidRPr="005852E0">
        <w:rPr>
          <w:rFonts w:ascii="Arabic Typesetting" w:hAnsi="Arabic Typesetting" w:cs="Arabic Typesetting"/>
          <w:sz w:val="34"/>
          <w:szCs w:val="34"/>
          <w:rtl/>
        </w:rPr>
        <w:t>مثل متوسط عدد</w:t>
      </w:r>
      <w:r w:rsidRPr="005852E0">
        <w:rPr>
          <w:rFonts w:ascii="Arabic Typesetting" w:hAnsi="Arabic Typesetting" w:cs="Arabic Typesetting" w:hint="cs"/>
          <w:sz w:val="34"/>
          <w:szCs w:val="34"/>
          <w:rtl/>
        </w:rPr>
        <w:t xml:space="preserve"> الأصناف </w:t>
      </w:r>
      <w:r w:rsidRPr="005852E0">
        <w:rPr>
          <w:rFonts w:ascii="Arabic Typesetting" w:hAnsi="Arabic Typesetting" w:cs="Arabic Typesetting"/>
          <w:sz w:val="34"/>
          <w:szCs w:val="34"/>
          <w:rtl/>
        </w:rPr>
        <w:t xml:space="preserve">ومتوسط </w:t>
      </w:r>
      <w:r w:rsidRPr="005852E0">
        <w:rPr>
          <w:rFonts w:ascii="Arabic Typesetting" w:hAnsi="Arabic Typesetting" w:cs="Arabic Typesetting" w:hint="cs"/>
          <w:sz w:val="34"/>
          <w:szCs w:val="34"/>
          <w:rtl/>
        </w:rPr>
        <w:t>حجم</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الطلب</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و</w:t>
      </w:r>
      <w:r w:rsidRPr="005852E0">
        <w:rPr>
          <w:rFonts w:ascii="Arabic Typesetting" w:hAnsi="Arabic Typesetting" w:cs="Arabic Typesetting"/>
          <w:sz w:val="34"/>
          <w:szCs w:val="34"/>
          <w:rtl/>
        </w:rPr>
        <w:t xml:space="preserve">لأسباب </w:t>
      </w:r>
      <w:r w:rsidRPr="005852E0">
        <w:rPr>
          <w:rFonts w:ascii="Arabic Typesetting" w:hAnsi="Arabic Typesetting" w:cs="Arabic Typesetting" w:hint="cs"/>
          <w:sz w:val="34"/>
          <w:szCs w:val="34"/>
          <w:rtl/>
        </w:rPr>
        <w:t>تقنية،</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 xml:space="preserve">تقدم </w:t>
      </w:r>
      <w:r w:rsidRPr="005852E0">
        <w:rPr>
          <w:rFonts w:ascii="Arabic Typesetting" w:hAnsi="Arabic Typesetting" w:cs="Arabic Typesetting"/>
          <w:sz w:val="34"/>
          <w:szCs w:val="34"/>
          <w:rtl/>
        </w:rPr>
        <w:t xml:space="preserve">بعض المؤشرات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 xml:space="preserve">بيانات بناء على </w:t>
      </w:r>
      <w:r w:rsidRPr="005852E0">
        <w:rPr>
          <w:rFonts w:ascii="Arabic Typesetting" w:hAnsi="Arabic Typesetting" w:cs="Arabic Typesetting" w:hint="cs"/>
          <w:sz w:val="34"/>
          <w:szCs w:val="34"/>
          <w:rtl/>
        </w:rPr>
        <w:t>الوثائق المعالجة بد</w:t>
      </w:r>
      <w:r w:rsidRPr="005852E0">
        <w:rPr>
          <w:rFonts w:ascii="Arabic Typesetting" w:hAnsi="Arabic Typesetting" w:cs="Arabic Typesetting"/>
          <w:sz w:val="34"/>
          <w:szCs w:val="34"/>
          <w:rtl/>
        </w:rPr>
        <w:t xml:space="preserve">لا من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 xml:space="preserve">وثائق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 xml:space="preserve">واردة. ولذلك قد </w:t>
      </w:r>
      <w:r w:rsidRPr="005852E0">
        <w:rPr>
          <w:rFonts w:ascii="Arabic Typesetting" w:hAnsi="Arabic Typesetting" w:cs="Arabic Typesetting" w:hint="cs"/>
          <w:sz w:val="34"/>
          <w:szCs w:val="34"/>
          <w:rtl/>
        </w:rPr>
        <w:t>يؤثر ت</w:t>
      </w:r>
      <w:r w:rsidRPr="005852E0">
        <w:rPr>
          <w:rFonts w:ascii="Arabic Typesetting" w:hAnsi="Arabic Typesetting" w:cs="Arabic Typesetting"/>
          <w:sz w:val="34"/>
          <w:szCs w:val="34"/>
          <w:rtl/>
        </w:rPr>
        <w:t xml:space="preserve">راكم </w:t>
      </w:r>
      <w:r w:rsidRPr="005852E0">
        <w:rPr>
          <w:rFonts w:ascii="Arabic Typesetting" w:hAnsi="Arabic Typesetting" w:cs="Arabic Typesetting" w:hint="cs"/>
          <w:sz w:val="34"/>
          <w:szCs w:val="34"/>
          <w:rtl/>
        </w:rPr>
        <w:t>الوثائق التي تنتظر ال</w:t>
      </w:r>
      <w:r w:rsidRPr="005852E0">
        <w:rPr>
          <w:rFonts w:ascii="Arabic Typesetting" w:hAnsi="Arabic Typesetting" w:cs="Arabic Typesetting"/>
          <w:sz w:val="34"/>
          <w:szCs w:val="34"/>
          <w:rtl/>
        </w:rPr>
        <w:t xml:space="preserve">معالجة </w:t>
      </w:r>
      <w:r w:rsidRPr="005852E0">
        <w:rPr>
          <w:rFonts w:ascii="Arabic Typesetting" w:hAnsi="Arabic Typesetting" w:cs="Arabic Typesetting" w:hint="cs"/>
          <w:sz w:val="34"/>
          <w:szCs w:val="34"/>
          <w:rtl/>
        </w:rPr>
        <w:t xml:space="preserve">في </w:t>
      </w:r>
      <w:r w:rsidRPr="005852E0">
        <w:rPr>
          <w:rFonts w:ascii="Arabic Typesetting" w:hAnsi="Arabic Typesetting" w:cs="Arabic Typesetting"/>
          <w:sz w:val="34"/>
          <w:szCs w:val="34"/>
          <w:rtl/>
        </w:rPr>
        <w:t>بعض المؤشرات.</w:t>
      </w:r>
      <w:r w:rsidRPr="005852E0">
        <w:rPr>
          <w:rFonts w:ascii="Arabic Typesetting" w:hAnsi="Arabic Typesetting" w:cs="Arabic Typesetting" w:hint="cs"/>
          <w:sz w:val="34"/>
          <w:szCs w:val="34"/>
          <w:rtl/>
        </w:rPr>
        <w:t xml:space="preserve"> وينطبق ذلك خصوصا على عام 2015 لأن المكتب الدولي تخلّص من جزء كبير من الوثائق المتراكمة في ذلك العام.</w:t>
      </w:r>
    </w:p>
    <w:p w:rsidR="005852E0" w:rsidRPr="005852E0" w:rsidRDefault="005852E0" w:rsidP="005852E0">
      <w:pPr>
        <w:keepNext/>
        <w:bidi/>
        <w:spacing w:after="120" w:line="340" w:lineRule="exact"/>
        <w:rPr>
          <w:rFonts w:ascii="Arabic Typesetting" w:hAnsi="Arabic Typesetting" w:cs="Arabic Typesetting"/>
          <w:sz w:val="34"/>
          <w:szCs w:val="34"/>
          <w:u w:val="single"/>
          <w:rtl/>
          <w:lang w:val="fr-CH"/>
        </w:rPr>
      </w:pPr>
      <w:r w:rsidRPr="005852E0">
        <w:rPr>
          <w:rFonts w:ascii="Arabic Typesetting" w:hAnsi="Arabic Typesetting" w:cs="Arabic Typesetting" w:hint="cs"/>
          <w:sz w:val="34"/>
          <w:szCs w:val="34"/>
          <w:u w:val="single"/>
          <w:rtl/>
          <w:lang w:val="fr-CH"/>
        </w:rPr>
        <w:t>الطلبات الدولية</w:t>
      </w:r>
    </w:p>
    <w:p w:rsidR="005852E0" w:rsidRPr="005852E0" w:rsidRDefault="008257D2" w:rsidP="008257D2">
      <w:pPr>
        <w:bidi/>
        <w:spacing w:after="120"/>
        <w:rPr>
          <w:rFonts w:ascii="Arabic Typesetting" w:hAnsi="Arabic Typesetting" w:cs="Arabic Typesetting"/>
          <w:sz w:val="36"/>
          <w:szCs w:val="36"/>
          <w:u w:val="single"/>
          <w:lang w:val="fr-CH"/>
        </w:rPr>
      </w:pPr>
      <w:r w:rsidRPr="000E2DE3">
        <w:rPr>
          <w:rFonts w:ascii="Arabic Typesetting" w:hAnsi="Arabic Typesetting" w:cs="Arabic Typesetting"/>
          <w:noProof/>
          <w:sz w:val="36"/>
          <w:szCs w:val="36"/>
        </w:rPr>
        <w:drawing>
          <wp:inline distT="0" distB="0" distL="0" distR="0" wp14:anchorId="339B335A" wp14:editId="640DE27A">
            <wp:extent cx="5708394" cy="2711658"/>
            <wp:effectExtent l="0" t="0" r="6985"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07749" cy="2711352"/>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 xml:space="preserve">2015، </w:t>
      </w:r>
      <w:r w:rsidR="008257D2">
        <w:rPr>
          <w:rFonts w:ascii="Arabic Typesetting" w:hAnsi="Arabic Typesetting" w:cs="Arabic Typesetting" w:hint="cs"/>
          <w:sz w:val="34"/>
          <w:szCs w:val="34"/>
          <w:rtl/>
        </w:rPr>
        <w:t>تسلم</w:t>
      </w:r>
      <w:r w:rsidR="008257D2" w:rsidRPr="005852E0">
        <w:rPr>
          <w:rFonts w:ascii="Arabic Typesetting" w:hAnsi="Arabic Typesetting" w:cs="Arabic Typesetting" w:hint="cs"/>
          <w:sz w:val="34"/>
          <w:szCs w:val="34"/>
          <w:rtl/>
        </w:rPr>
        <w:t xml:space="preserve"> </w:t>
      </w:r>
      <w:r w:rsidRPr="005852E0">
        <w:rPr>
          <w:rFonts w:ascii="Arabic Typesetting" w:hAnsi="Arabic Typesetting" w:cs="Arabic Typesetting" w:hint="cs"/>
          <w:sz w:val="34"/>
          <w:szCs w:val="34"/>
          <w:rtl/>
        </w:rPr>
        <w:t xml:space="preserve">المكتب الدولي </w:t>
      </w:r>
      <w:r w:rsidR="008257D2">
        <w:rPr>
          <w:rFonts w:ascii="Arabic Typesetting" w:hAnsi="Arabic Typesetting" w:cs="Arabic Typesetting" w:hint="cs"/>
          <w:sz w:val="34"/>
          <w:szCs w:val="34"/>
          <w:rtl/>
        </w:rPr>
        <w:t>273 49</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 xml:space="preserve">طلبا، أي </w:t>
      </w:r>
      <w:r w:rsidR="008257D2">
        <w:rPr>
          <w:rFonts w:ascii="Arabic Typesetting" w:hAnsi="Arabic Typesetting" w:cs="Arabic Typesetting" w:hint="cs"/>
          <w:sz w:val="34"/>
          <w:szCs w:val="34"/>
          <w:rtl/>
        </w:rPr>
        <w:t>ب</w:t>
      </w:r>
      <w:r w:rsidRPr="005852E0">
        <w:rPr>
          <w:rFonts w:ascii="Arabic Typesetting" w:hAnsi="Arabic Typesetting" w:cs="Arabic Typesetting" w:hint="cs"/>
          <w:sz w:val="34"/>
          <w:szCs w:val="34"/>
          <w:rtl/>
        </w:rPr>
        <w:t xml:space="preserve">زيادة </w:t>
      </w:r>
      <w:r w:rsidR="008257D2">
        <w:rPr>
          <w:rFonts w:ascii="Arabic Typesetting" w:hAnsi="Arabic Typesetting" w:cs="Arabic Typesetting" w:hint="cs"/>
          <w:sz w:val="34"/>
          <w:szCs w:val="34"/>
          <w:rtl/>
        </w:rPr>
        <w:t>نسبتها</w:t>
      </w:r>
      <w:r w:rsidR="008257D2" w:rsidRPr="005852E0">
        <w:rPr>
          <w:rFonts w:ascii="Arabic Typesetting" w:hAnsi="Arabic Typesetting" w:cs="Arabic Typesetting" w:hint="cs"/>
          <w:sz w:val="34"/>
          <w:szCs w:val="34"/>
          <w:rtl/>
        </w:rPr>
        <w:t xml:space="preserve"> </w:t>
      </w:r>
      <w:r w:rsidRPr="005852E0">
        <w:rPr>
          <w:rFonts w:ascii="Arabic Typesetting" w:hAnsi="Arabic Typesetting" w:cs="Arabic Typesetting" w:hint="cs"/>
          <w:sz w:val="34"/>
          <w:szCs w:val="34"/>
          <w:rtl/>
        </w:rPr>
        <w:t>2.9</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بالمئة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وشهد العدد الإجمالي للطلبات المستلمة في 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2014/15 زيادة بنسبة سبعة بالمئة مقارنة بالثنائية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2012/13.</w:t>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وارتفع باستمرار عدد الطلبات المستلمة منذ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2010.</w:t>
      </w:r>
    </w:p>
    <w:p w:rsidR="005852E0" w:rsidRPr="005852E0" w:rsidRDefault="005852E0" w:rsidP="005852E0">
      <w:pPr>
        <w:keepNext/>
        <w:bidi/>
        <w:spacing w:before="120" w:after="120" w:line="340" w:lineRule="exact"/>
        <w:ind w:left="423"/>
        <w:rPr>
          <w:rFonts w:ascii="Arabic Typesetting" w:hAnsi="Arabic Typesetting" w:cs="Arabic Typesetting"/>
          <w:i/>
          <w:iCs/>
          <w:sz w:val="34"/>
          <w:szCs w:val="34"/>
          <w:rtl/>
        </w:rPr>
      </w:pPr>
      <w:r w:rsidRPr="005852E0">
        <w:rPr>
          <w:rFonts w:ascii="Arabic Typesetting" w:hAnsi="Arabic Typesetting" w:cs="Arabic Typesetting" w:hint="cs"/>
          <w:i/>
          <w:iCs/>
          <w:sz w:val="34"/>
          <w:szCs w:val="34"/>
          <w:rtl/>
        </w:rPr>
        <w:lastRenderedPageBreak/>
        <w:t>توزيع الطلبات بحسب لغة الإيداع</w:t>
      </w:r>
    </w:p>
    <w:p w:rsidR="005852E0" w:rsidRPr="005852E0" w:rsidRDefault="008257D2" w:rsidP="008257D2">
      <w:pPr>
        <w:bidi/>
        <w:spacing w:after="120"/>
        <w:rPr>
          <w:rFonts w:ascii="Arabic Typesetting" w:hAnsi="Arabic Typesetting" w:cs="Arabic Typesetting"/>
          <w:sz w:val="36"/>
          <w:szCs w:val="36"/>
          <w:rtl/>
        </w:rPr>
      </w:pPr>
      <w:r w:rsidRPr="00B851E2">
        <w:rPr>
          <w:rFonts w:ascii="Arabic Typesetting" w:hAnsi="Arabic Typesetting" w:cs="Arabic Typesetting"/>
          <w:noProof/>
          <w:sz w:val="36"/>
          <w:szCs w:val="36"/>
        </w:rPr>
        <w:drawing>
          <wp:inline distT="0" distB="0" distL="0" distR="0" wp14:anchorId="03B659E9" wp14:editId="05A3EF3A">
            <wp:extent cx="5752804" cy="2887652"/>
            <wp:effectExtent l="0" t="0" r="635" b="8255"/>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1823" cy="2892179"/>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 2015، أُودع 80</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من مجموع الطلبات بالإنكليزية. ولم تتغيّر تلك الحصة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ولكنها ارتفعت بخمس عشرة نقطة مئوية منذ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2008، عندما كانت الطلبات المودعة باللغة الإنكليزية تمثّل 65</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من مجموع الطلبات المودعة.</w:t>
      </w:r>
    </w:p>
    <w:p w:rsidR="005852E0" w:rsidRPr="005852E0" w:rsidRDefault="005852E0" w:rsidP="005852E0">
      <w:pPr>
        <w:keepNext/>
        <w:bidi/>
        <w:spacing w:before="120" w:after="120" w:line="340" w:lineRule="exact"/>
        <w:ind w:left="423"/>
        <w:rPr>
          <w:rFonts w:ascii="Arabic Typesetting" w:hAnsi="Arabic Typesetting" w:cs="Arabic Typesetting"/>
          <w:i/>
          <w:iCs/>
          <w:sz w:val="34"/>
          <w:szCs w:val="34"/>
          <w:rtl/>
        </w:rPr>
      </w:pPr>
      <w:r w:rsidRPr="005852E0">
        <w:rPr>
          <w:rFonts w:ascii="Arabic Typesetting" w:hAnsi="Arabic Typesetting" w:cs="Arabic Typesetting" w:hint="cs"/>
          <w:i/>
          <w:iCs/>
          <w:sz w:val="34"/>
          <w:szCs w:val="34"/>
          <w:rtl/>
        </w:rPr>
        <w:t>متوسط عدد التعيينات بحسب كل تسجيل</w:t>
      </w:r>
    </w:p>
    <w:p w:rsidR="005852E0" w:rsidRPr="005852E0" w:rsidRDefault="008257D2" w:rsidP="005852E0">
      <w:pPr>
        <w:bidi/>
        <w:spacing w:before="120" w:after="120"/>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7D1D44A8" wp14:editId="66DFD0E6">
            <wp:extent cx="5832114" cy="2810494"/>
            <wp:effectExtent l="0" t="0" r="0" b="952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31879" cy="2810381"/>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بلغ متوسط عدد التعيينات في الطلبات المسجلة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ما قدره 7.7</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تعيينات، ويُعد ذلك زيادة قدرها تعيين واحد مقارنة بمتوسط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w:t>
      </w:r>
    </w:p>
    <w:p w:rsidR="005852E0" w:rsidRPr="005852E0" w:rsidRDefault="005852E0" w:rsidP="005852E0">
      <w:pPr>
        <w:keepNext/>
        <w:bidi/>
        <w:spacing w:before="120" w:after="120" w:line="340" w:lineRule="exact"/>
        <w:ind w:left="423"/>
        <w:rPr>
          <w:rFonts w:ascii="Arabic Typesetting" w:hAnsi="Arabic Typesetting" w:cs="Arabic Typesetting"/>
          <w:i/>
          <w:iCs/>
          <w:sz w:val="34"/>
          <w:szCs w:val="34"/>
          <w:rtl/>
        </w:rPr>
      </w:pPr>
      <w:r w:rsidRPr="005852E0">
        <w:rPr>
          <w:rFonts w:ascii="Arabic Typesetting" w:hAnsi="Arabic Typesetting" w:cs="Arabic Typesetting" w:hint="cs"/>
          <w:i/>
          <w:iCs/>
          <w:sz w:val="34"/>
          <w:szCs w:val="34"/>
          <w:rtl/>
        </w:rPr>
        <w:lastRenderedPageBreak/>
        <w:t>متوسط عدد الأصناف بحسب كل تسجيل</w:t>
      </w:r>
    </w:p>
    <w:p w:rsidR="005852E0" w:rsidRPr="005852E0" w:rsidRDefault="008257D2" w:rsidP="005852E0">
      <w:pPr>
        <w:bidi/>
        <w:spacing w:before="120" w:after="120"/>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335DE8BD" wp14:editId="34B664B1">
            <wp:extent cx="5772500" cy="2664716"/>
            <wp:effectExtent l="0" t="0" r="0" b="254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78597" cy="2667530"/>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كما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 xml:space="preserve">2014، حُدِّد ما </w:t>
      </w:r>
      <w:proofErr w:type="spellStart"/>
      <w:r w:rsidRPr="005852E0">
        <w:rPr>
          <w:rFonts w:ascii="Arabic Typesetting" w:hAnsi="Arabic Typesetting" w:cs="Arabic Typesetting" w:hint="cs"/>
          <w:sz w:val="34"/>
          <w:szCs w:val="34"/>
          <w:rtl/>
        </w:rPr>
        <w:t>متوسطه</w:t>
      </w:r>
      <w:proofErr w:type="spellEnd"/>
      <w:r w:rsidRPr="005852E0">
        <w:rPr>
          <w:rFonts w:ascii="Arabic Typesetting" w:hAnsi="Arabic Typesetting" w:cs="Arabic Typesetting" w:hint="cs"/>
          <w:sz w:val="34"/>
          <w:szCs w:val="34"/>
          <w:rtl/>
        </w:rPr>
        <w:t xml:space="preserve"> 2.5 أصناف في الطلبات المسجلة في سنة 2015.</w:t>
      </w:r>
    </w:p>
    <w:p w:rsidR="005852E0" w:rsidRPr="005852E0" w:rsidRDefault="005852E0" w:rsidP="005852E0">
      <w:pPr>
        <w:keepNext/>
        <w:bidi/>
        <w:spacing w:before="120" w:after="120" w:line="340" w:lineRule="exact"/>
        <w:ind w:left="423"/>
        <w:rPr>
          <w:rFonts w:ascii="Arabic Typesetting" w:hAnsi="Arabic Typesetting" w:cs="Arabic Typesetting"/>
          <w:i/>
          <w:iCs/>
          <w:sz w:val="34"/>
          <w:szCs w:val="34"/>
        </w:rPr>
      </w:pPr>
      <w:r w:rsidRPr="005852E0">
        <w:rPr>
          <w:rFonts w:ascii="Arabic Typesetting" w:hAnsi="Arabic Typesetting" w:cs="Arabic Typesetting" w:hint="cs"/>
          <w:i/>
          <w:iCs/>
          <w:sz w:val="34"/>
          <w:szCs w:val="34"/>
          <w:rtl/>
        </w:rPr>
        <w:t>متوسط حجم الطلبات</w:t>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يُحدَّد حجم الطلب بالعدد الإجمالي للكلمات التي يستخدمها المودع في (أ)</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وصف العلامة، (ب)</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وقائمة السلع والخدمات، (ج)</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وأي حالات انقاص مرافقة للطلب. ولإتاحة الطلب بكل لغات نظام مدريد، يترجم المكتب الدولي تلك العناصر الثلاثة إلى الإنكليزية أو الفرنسية أو الإسبانية، حسب لغة الطلب الأصلية.</w:t>
      </w:r>
    </w:p>
    <w:p w:rsidR="005852E0" w:rsidRPr="005852E0" w:rsidRDefault="00E057AF" w:rsidP="005852E0">
      <w:pPr>
        <w:bidi/>
        <w:spacing w:after="120"/>
        <w:rPr>
          <w:rFonts w:ascii="Arabic Typesetting" w:hAnsi="Arabic Typesetting" w:cs="Arabic Typesetting"/>
          <w:sz w:val="34"/>
          <w:szCs w:val="34"/>
        </w:rPr>
      </w:pPr>
      <w:r>
        <w:rPr>
          <w:rFonts w:ascii="Arabic Typesetting" w:hAnsi="Arabic Typesetting" w:cs="Arabic Typesetting"/>
          <w:noProof/>
          <w:sz w:val="34"/>
          <w:szCs w:val="34"/>
        </w:rPr>
        <w:drawing>
          <wp:inline distT="0" distB="0" distL="0" distR="0" wp14:anchorId="54419F75" wp14:editId="748F3E71">
            <wp:extent cx="5328898" cy="2713876"/>
            <wp:effectExtent l="0" t="0" r="571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29909" cy="2714391"/>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بلغ متوسط حجم الطلب 209</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كلمات، مقابل 239</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كلمة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ويُعد ذلك انخفاضا بنسبة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12.4</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w:t>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وفي حين أن بعض جوانب عمل الترجمة والتصنيف أصبحت مؤتمتة، فإن الارتفاع في حجم الطلبات، مثل ذلك الملاحظ خلال الفترة الممتدة بين سنتي</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2011 و2014، أثّر بشكل كبير في عبء العمل الواقع على المكتب الدولي.</w:t>
      </w:r>
    </w:p>
    <w:p w:rsidR="005852E0" w:rsidRPr="005852E0" w:rsidRDefault="005852E0" w:rsidP="005852E0">
      <w:pPr>
        <w:keepNext/>
        <w:bidi/>
        <w:spacing w:before="120" w:after="120" w:line="340" w:lineRule="exact"/>
        <w:ind w:left="423"/>
        <w:rPr>
          <w:rFonts w:ascii="Arabic Typesetting" w:hAnsi="Arabic Typesetting" w:cs="Arabic Typesetting"/>
          <w:i/>
          <w:iCs/>
          <w:sz w:val="34"/>
          <w:szCs w:val="34"/>
        </w:rPr>
      </w:pPr>
      <w:r w:rsidRPr="005852E0">
        <w:rPr>
          <w:rFonts w:ascii="Arabic Typesetting" w:hAnsi="Arabic Typesetting" w:cs="Arabic Typesetting" w:hint="cs"/>
          <w:i/>
          <w:iCs/>
          <w:sz w:val="34"/>
          <w:szCs w:val="34"/>
          <w:rtl/>
        </w:rPr>
        <w:lastRenderedPageBreak/>
        <w:t>توزيع الطلبات الصحيحة والطلبات غير الصحيحة</w:t>
      </w:r>
    </w:p>
    <w:p w:rsidR="005852E0" w:rsidRPr="005852E0" w:rsidRDefault="00133615" w:rsidP="005852E0">
      <w:pPr>
        <w:bidi/>
        <w:spacing w:after="120"/>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365B6751" wp14:editId="6B97686A">
            <wp:extent cx="5581650" cy="282732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82664" cy="2827834"/>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حين ظلت حصة الطلبات الصحيحة ثابتة في الفترة بين سنتي</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2011 و2014، سُجّل انخفاض قدره خمس نقاط مئوية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w:t>
      </w:r>
    </w:p>
    <w:p w:rsidR="005852E0" w:rsidRPr="005852E0" w:rsidRDefault="005852E0" w:rsidP="005852E0">
      <w:pPr>
        <w:keepNext/>
        <w:bidi/>
        <w:spacing w:after="120" w:line="340" w:lineRule="exact"/>
        <w:rPr>
          <w:rFonts w:ascii="Arabic Typesetting" w:hAnsi="Arabic Typesetting" w:cs="Arabic Typesetting"/>
          <w:sz w:val="34"/>
          <w:szCs w:val="34"/>
          <w:u w:val="single"/>
          <w:rtl/>
          <w:lang w:val="fr-CH"/>
        </w:rPr>
      </w:pPr>
      <w:r w:rsidRPr="005852E0">
        <w:rPr>
          <w:rFonts w:ascii="Arabic Typesetting" w:hAnsi="Arabic Typesetting" w:cs="Arabic Typesetting" w:hint="cs"/>
          <w:sz w:val="34"/>
          <w:szCs w:val="34"/>
          <w:u w:val="single"/>
          <w:rtl/>
          <w:lang w:val="fr-CH"/>
        </w:rPr>
        <w:t>التجديدات</w:t>
      </w:r>
    </w:p>
    <w:p w:rsidR="005852E0" w:rsidRPr="005852E0" w:rsidRDefault="00133615" w:rsidP="005852E0">
      <w:pPr>
        <w:bidi/>
        <w:spacing w:after="120"/>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2A8D8A1E" wp14:editId="12F8720D">
            <wp:extent cx="5715064" cy="2847714"/>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5821" cy="2858057"/>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tl/>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سجل المكتب الدولي 28,502 تجديد، أي بزيادة بلغت 11</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وشهد العدد الإجمالي للتجديدات المعالجة خلال 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2014/15 زيادة بنسبة 21</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2012/13.</w:t>
      </w:r>
    </w:p>
    <w:p w:rsidR="005852E0" w:rsidRPr="005852E0" w:rsidRDefault="005852E0" w:rsidP="005852E0">
      <w:pPr>
        <w:keepNext/>
        <w:bidi/>
        <w:spacing w:after="120" w:line="340" w:lineRule="exact"/>
        <w:rPr>
          <w:rFonts w:ascii="Arabic Typesetting" w:hAnsi="Arabic Typesetting" w:cs="Arabic Typesetting"/>
          <w:sz w:val="34"/>
          <w:szCs w:val="34"/>
          <w:u w:val="single"/>
          <w:rtl/>
          <w:lang w:val="fr-CH"/>
        </w:rPr>
      </w:pPr>
      <w:r w:rsidRPr="005852E0">
        <w:rPr>
          <w:rFonts w:ascii="Arabic Typesetting" w:hAnsi="Arabic Typesetting" w:cs="Arabic Typesetting" w:hint="cs"/>
          <w:sz w:val="34"/>
          <w:szCs w:val="34"/>
          <w:u w:val="single"/>
          <w:rtl/>
          <w:lang w:val="fr-CH"/>
        </w:rPr>
        <w:lastRenderedPageBreak/>
        <w:t>التعيينات اللاحقة</w:t>
      </w:r>
    </w:p>
    <w:p w:rsidR="005852E0" w:rsidRPr="00426BB2" w:rsidRDefault="00133615" w:rsidP="005852E0">
      <w:pPr>
        <w:bidi/>
        <w:spacing w:after="120"/>
        <w:rPr>
          <w:rFonts w:ascii="Arabic Typesetting" w:hAnsi="Arabic Typesetting" w:cs="Arabic Typesetting"/>
          <w:sz w:val="36"/>
          <w:szCs w:val="36"/>
          <w:rtl/>
          <w:lang w:val="fr-CH"/>
        </w:rPr>
      </w:pPr>
      <w:r>
        <w:rPr>
          <w:rFonts w:ascii="Arabic Typesetting" w:hAnsi="Arabic Typesetting" w:cs="Arabic Typesetting"/>
          <w:noProof/>
          <w:sz w:val="36"/>
          <w:szCs w:val="36"/>
        </w:rPr>
        <w:drawing>
          <wp:inline distT="0" distB="0" distL="0" distR="0" wp14:anchorId="603C0555" wp14:editId="79A578F3">
            <wp:extent cx="5642040" cy="2972822"/>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41088" cy="2972320"/>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سجل المكتب الدولي 17,937 تعيينا لاحقا، أي بزيادة قدرها 3.6</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w:t>
      </w:r>
    </w:p>
    <w:p w:rsidR="005852E0" w:rsidRPr="005852E0" w:rsidRDefault="005852E0" w:rsidP="005852E0">
      <w:pPr>
        <w:keepNext/>
        <w:bidi/>
        <w:spacing w:after="120" w:line="340" w:lineRule="exact"/>
        <w:rPr>
          <w:rFonts w:ascii="Arabic Typesetting" w:hAnsi="Arabic Typesetting" w:cs="Arabic Typesetting"/>
          <w:sz w:val="34"/>
          <w:szCs w:val="34"/>
          <w:u w:val="single"/>
          <w:rtl/>
          <w:lang w:val="fr-CH"/>
        </w:rPr>
      </w:pPr>
      <w:r w:rsidRPr="005852E0">
        <w:rPr>
          <w:rFonts w:ascii="Arabic Typesetting" w:hAnsi="Arabic Typesetting" w:cs="Arabic Typesetting" w:hint="cs"/>
          <w:sz w:val="34"/>
          <w:szCs w:val="34"/>
          <w:u w:val="single"/>
          <w:rtl/>
          <w:lang w:val="fr-CH"/>
        </w:rPr>
        <w:t>التغييرات</w:t>
      </w:r>
    </w:p>
    <w:p w:rsidR="005852E0" w:rsidRPr="005852E0" w:rsidRDefault="00133615" w:rsidP="005852E0">
      <w:pPr>
        <w:bidi/>
        <w:spacing w:after="120"/>
        <w:rPr>
          <w:rFonts w:ascii="Arabic Typesetting" w:hAnsi="Arabic Typesetting" w:cs="Arabic Typesetting"/>
          <w:sz w:val="36"/>
          <w:szCs w:val="36"/>
          <w:u w:val="single"/>
          <w:rtl/>
          <w:lang w:val="fr-CH"/>
        </w:rPr>
      </w:pPr>
      <w:r w:rsidRPr="000E2DE3">
        <w:rPr>
          <w:rFonts w:ascii="Arabic Typesetting" w:hAnsi="Arabic Typesetting" w:cs="Arabic Typesetting"/>
          <w:noProof/>
          <w:sz w:val="36"/>
          <w:szCs w:val="36"/>
        </w:rPr>
        <w:drawing>
          <wp:inline distT="0" distB="0" distL="0" distR="0" wp14:anchorId="5C1DF1C5" wp14:editId="03D0F733">
            <wp:extent cx="5667374" cy="2851186"/>
            <wp:effectExtent l="0" t="0" r="0" b="635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65275" cy="2850130"/>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سجل المكتب الدولي 41,363 التماسا لإجراء تغييرات، أي بزيادة قدرها 6.6</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w:t>
      </w:r>
    </w:p>
    <w:p w:rsidR="005852E0" w:rsidRPr="005852E0" w:rsidRDefault="005852E0" w:rsidP="005852E0">
      <w:pPr>
        <w:keepNext/>
        <w:bidi/>
        <w:spacing w:after="120" w:line="340" w:lineRule="exact"/>
        <w:rPr>
          <w:rFonts w:ascii="Arabic Typesetting" w:hAnsi="Arabic Typesetting" w:cs="Arabic Typesetting"/>
          <w:sz w:val="34"/>
          <w:szCs w:val="34"/>
          <w:u w:val="single"/>
          <w:rtl/>
          <w:lang w:val="fr-CH"/>
        </w:rPr>
      </w:pPr>
      <w:r w:rsidRPr="005852E0">
        <w:rPr>
          <w:rFonts w:ascii="Arabic Typesetting" w:hAnsi="Arabic Typesetting" w:cs="Arabic Typesetting" w:hint="cs"/>
          <w:sz w:val="34"/>
          <w:szCs w:val="34"/>
          <w:u w:val="single"/>
          <w:rtl/>
          <w:lang w:val="fr-CH"/>
        </w:rPr>
        <w:lastRenderedPageBreak/>
        <w:t>القرارات</w:t>
      </w:r>
    </w:p>
    <w:p w:rsidR="005852E0" w:rsidRPr="005852E0" w:rsidRDefault="00133615" w:rsidP="005852E0">
      <w:pPr>
        <w:bidi/>
        <w:spacing w:after="120"/>
        <w:rPr>
          <w:rFonts w:ascii="Arabic Typesetting" w:hAnsi="Arabic Typesetting" w:cs="Arabic Typesetting"/>
          <w:sz w:val="36"/>
          <w:szCs w:val="36"/>
          <w:u w:val="single"/>
          <w:rtl/>
          <w:lang w:val="fr-CH"/>
        </w:rPr>
      </w:pPr>
      <w:r w:rsidRPr="000E2DE3">
        <w:rPr>
          <w:rFonts w:ascii="Arabic Typesetting" w:hAnsi="Arabic Typesetting" w:cs="Arabic Typesetting"/>
          <w:noProof/>
          <w:sz w:val="36"/>
          <w:szCs w:val="36"/>
        </w:rPr>
        <w:drawing>
          <wp:inline distT="0" distB="0" distL="0" distR="0" wp14:anchorId="02A810D6" wp14:editId="049A82CA">
            <wp:extent cx="5648326" cy="29345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46191" cy="2933391"/>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ارتفع عدد القرارات المسجلة بنسبة أربعة 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وبلغ مجموعها 541,964 قرارا. وارتفع عدد القرارات المسجلة بشكل كبير منذ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2010.</w:t>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وفي سنة 2015، عولج 68</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من القرارات آليا، وهي نسبة شهدت زيادة مطردة منذ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2011، عند بدأت معالجة معظم القرارات آليا.</w:t>
      </w:r>
    </w:p>
    <w:p w:rsidR="005852E0" w:rsidRPr="005852E0" w:rsidRDefault="005852E0" w:rsidP="005852E0">
      <w:pPr>
        <w:keepNext/>
        <w:bidi/>
        <w:spacing w:after="120" w:line="340" w:lineRule="exact"/>
        <w:rPr>
          <w:rFonts w:ascii="Arabic Typesetting" w:hAnsi="Arabic Typesetting" w:cs="Arabic Typesetting"/>
          <w:sz w:val="36"/>
          <w:szCs w:val="36"/>
          <w:u w:val="single"/>
          <w:rtl/>
          <w:lang w:val="fr-CH"/>
        </w:rPr>
      </w:pPr>
      <w:r w:rsidRPr="005852E0">
        <w:rPr>
          <w:rFonts w:ascii="Arabic Typesetting" w:hAnsi="Arabic Typesetting" w:cs="Arabic Typesetting" w:hint="cs"/>
          <w:sz w:val="34"/>
          <w:szCs w:val="34"/>
          <w:u w:val="single"/>
          <w:rtl/>
          <w:lang w:val="fr-CH"/>
        </w:rPr>
        <w:t>التصحيحات</w:t>
      </w:r>
    </w:p>
    <w:p w:rsidR="005852E0" w:rsidRPr="005852E0" w:rsidRDefault="00133615" w:rsidP="005852E0">
      <w:pPr>
        <w:bidi/>
        <w:spacing w:after="120"/>
        <w:rPr>
          <w:rFonts w:ascii="Arabic Typesetting" w:hAnsi="Arabic Typesetting" w:cs="Arabic Typesetting"/>
          <w:sz w:val="36"/>
          <w:szCs w:val="36"/>
          <w:u w:val="single"/>
          <w:rtl/>
          <w:lang w:val="fr-CH"/>
        </w:rPr>
      </w:pPr>
      <w:r w:rsidRPr="000E2DE3">
        <w:rPr>
          <w:rFonts w:ascii="Arabic Typesetting" w:hAnsi="Arabic Typesetting" w:cs="Arabic Typesetting"/>
          <w:noProof/>
          <w:sz w:val="36"/>
          <w:szCs w:val="36"/>
        </w:rPr>
        <w:drawing>
          <wp:inline distT="0" distB="0" distL="0" distR="0" wp14:anchorId="369836D5" wp14:editId="087C63BE">
            <wp:extent cx="5854700" cy="2742534"/>
            <wp:effectExtent l="0" t="0" r="0" b="127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52027" cy="2741282"/>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دوّن المكتب الدولي 6,127 تصحيحا، أي بزيادة قدرها 0.9</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w:t>
      </w:r>
    </w:p>
    <w:p w:rsidR="005852E0" w:rsidRPr="005852E0" w:rsidRDefault="005852E0" w:rsidP="005852E0">
      <w:pPr>
        <w:keepNext/>
        <w:bidi/>
        <w:spacing w:after="240" w:line="380" w:lineRule="exact"/>
        <w:rPr>
          <w:rFonts w:ascii="Arabic Typesetting" w:hAnsi="Arabic Typesetting" w:cs="Arabic Typesetting"/>
          <w:b/>
          <w:bCs/>
          <w:sz w:val="34"/>
          <w:szCs w:val="34"/>
          <w:rtl/>
          <w:lang w:val="fr-CH"/>
        </w:rPr>
      </w:pPr>
      <w:r w:rsidRPr="005852E0">
        <w:rPr>
          <w:rFonts w:ascii="Arabic Typesetting" w:hAnsi="Arabic Typesetting" w:cs="Arabic Typesetting" w:hint="cs"/>
          <w:b/>
          <w:bCs/>
          <w:sz w:val="34"/>
          <w:szCs w:val="34"/>
          <w:rtl/>
          <w:lang w:val="fr-CH"/>
        </w:rPr>
        <w:t>ثانيا.</w:t>
      </w:r>
      <w:r w:rsidRPr="005852E0">
        <w:rPr>
          <w:rFonts w:ascii="Arabic Typesetting" w:hAnsi="Arabic Typesetting" w:cs="Arabic Typesetting" w:hint="cs"/>
          <w:b/>
          <w:bCs/>
          <w:sz w:val="34"/>
          <w:szCs w:val="34"/>
          <w:rtl/>
          <w:lang w:val="fr-CH"/>
        </w:rPr>
        <w:tab/>
        <w:t>عبء العمل الإجمالي</w:t>
      </w:r>
    </w:p>
    <w:p w:rsidR="005852E0" w:rsidRPr="005852E0" w:rsidRDefault="005852E0" w:rsidP="009A3712">
      <w:pPr>
        <w:keepNext/>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يمثّل عبء العمل الإجمالي العدد الإجمالي المرجح للوثائق التي يعالجها المكتب الدولي. ويشمل ذلك جميع فئات الوثائق الست (الطلبات والتجديدات والتعيينات اللاحقة والتغييرات والقرارات والتصحيحات).</w:t>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وبالنظر إلى لزوم توفير مستويات مختلفة من الموارد لمعالجة كل من أنواع الوثائق، فإن كل نوع يُرجح على حدة بشكل مختلف. ووفقا لنظام الترجيح، يُفترض من الفاحص أن يعالج، في الفترة اللازمة لمعالجة طلب دولي، 1.6</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تجديدات أو</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1.8</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 xml:space="preserve">تعيينات </w:t>
      </w:r>
      <w:r w:rsidRPr="005852E0">
        <w:rPr>
          <w:rFonts w:ascii="Arabic Typesetting" w:hAnsi="Arabic Typesetting" w:cs="Arabic Typesetting" w:hint="cs"/>
          <w:sz w:val="34"/>
          <w:szCs w:val="34"/>
          <w:rtl/>
        </w:rPr>
        <w:lastRenderedPageBreak/>
        <w:t>لاحقة أو</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1.8</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تغييرات أو 10</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قرارا</w:t>
      </w:r>
      <w:r w:rsidRPr="005852E0">
        <w:rPr>
          <w:rFonts w:ascii="Arabic Typesetting" w:hAnsi="Arabic Typesetting" w:cs="Arabic Typesetting" w:hint="eastAsia"/>
          <w:sz w:val="34"/>
          <w:szCs w:val="34"/>
          <w:rtl/>
        </w:rPr>
        <w:t>ت</w:t>
      </w:r>
      <w:r w:rsidRPr="005852E0">
        <w:rPr>
          <w:rFonts w:ascii="Arabic Typesetting" w:hAnsi="Arabic Typesetting" w:cs="Arabic Typesetting" w:hint="cs"/>
          <w:sz w:val="34"/>
          <w:szCs w:val="34"/>
          <w:rtl/>
        </w:rPr>
        <w:t xml:space="preserve">. </w:t>
      </w:r>
      <w:r w:rsidR="00BA356F">
        <w:rPr>
          <w:rFonts w:ascii="Arabic Typesetting" w:hAnsi="Arabic Typesetting" w:cs="Arabic Typesetting" w:hint="cs"/>
          <w:sz w:val="34"/>
          <w:szCs w:val="34"/>
          <w:rtl/>
        </w:rPr>
        <w:t>و</w:t>
      </w:r>
      <w:r w:rsidRPr="005852E0">
        <w:rPr>
          <w:rFonts w:ascii="Arabic Typesetting" w:hAnsi="Arabic Typesetting" w:cs="Arabic Typesetting" w:hint="cs"/>
          <w:sz w:val="34"/>
          <w:szCs w:val="34"/>
          <w:rtl/>
        </w:rPr>
        <w:t xml:space="preserve">يُفترض </w:t>
      </w:r>
      <w:r w:rsidR="00BA356F">
        <w:rPr>
          <w:rFonts w:ascii="Arabic Typesetting" w:hAnsi="Arabic Typesetting" w:cs="Arabic Typesetting" w:hint="cs"/>
          <w:sz w:val="34"/>
          <w:szCs w:val="34"/>
          <w:rtl/>
        </w:rPr>
        <w:t xml:space="preserve">أيضاً </w:t>
      </w:r>
      <w:r w:rsidRPr="005852E0">
        <w:rPr>
          <w:rFonts w:ascii="Arabic Typesetting" w:hAnsi="Arabic Typesetting" w:cs="Arabic Typesetting" w:hint="cs"/>
          <w:sz w:val="34"/>
          <w:szCs w:val="34"/>
          <w:rtl/>
        </w:rPr>
        <w:t xml:space="preserve">من الموظف الذي يساهم في عملية </w:t>
      </w:r>
      <w:proofErr w:type="spellStart"/>
      <w:r w:rsidRPr="005852E0">
        <w:rPr>
          <w:rFonts w:ascii="Arabic Typesetting" w:hAnsi="Arabic Typesetting" w:cs="Arabic Typesetting" w:hint="cs"/>
          <w:sz w:val="34"/>
          <w:szCs w:val="34"/>
          <w:rtl/>
        </w:rPr>
        <w:t>الأتمتة</w:t>
      </w:r>
      <w:proofErr w:type="spellEnd"/>
      <w:r w:rsidRPr="005852E0">
        <w:rPr>
          <w:rFonts w:ascii="Arabic Typesetting" w:hAnsi="Arabic Typesetting" w:cs="Arabic Typesetting" w:hint="cs"/>
          <w:sz w:val="34"/>
          <w:szCs w:val="34"/>
          <w:rtl/>
        </w:rPr>
        <w:t xml:space="preserve"> أن يعالج17</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وثيقة في الفترة اللازمة لمعالجة طلب دولي.</w:t>
      </w:r>
    </w:p>
    <w:p w:rsidR="005852E0" w:rsidRPr="005852E0" w:rsidRDefault="00E057AF" w:rsidP="005852E0">
      <w:pPr>
        <w:bidi/>
        <w:spacing w:after="120"/>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270B1E1B" wp14:editId="708EC07B">
            <wp:extent cx="5706600" cy="3185044"/>
            <wp:effectExtent l="0" t="0" r="889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14452" cy="3189426"/>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زاد عبء العمل الإجمالي بنسبة 11</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ومثّلت الطلبا</w:t>
      </w:r>
      <w:r w:rsidRPr="005852E0">
        <w:rPr>
          <w:rFonts w:ascii="Arabic Typesetting" w:hAnsi="Arabic Typesetting" w:cs="Arabic Typesetting" w:hint="eastAsia"/>
          <w:sz w:val="34"/>
          <w:szCs w:val="34"/>
          <w:rtl/>
        </w:rPr>
        <w:t>ت</w:t>
      </w:r>
      <w:r w:rsidRPr="005852E0">
        <w:rPr>
          <w:rFonts w:ascii="Arabic Typesetting" w:hAnsi="Arabic Typesetting" w:cs="Arabic Typesetting" w:hint="cs"/>
          <w:sz w:val="34"/>
          <w:szCs w:val="34"/>
          <w:rtl/>
        </w:rPr>
        <w:t xml:space="preserve"> والقرارات والتغييرات 80</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تقريبا من عبء العمل الإجمالي. وزاد عبء العمل الإجمالي خلال 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2014/15 بنسبة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10 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2012/13.</w:t>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والنمو الملاحظ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راجع بالأساس إلى زيادة عدد الطلبات والتجديدات، بينما كانت الزيادة الحادة المسجلة في عبء العمل في الفترة بين سنتي</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2011 و2013 ناجمة أساسا عن تزايد عدد القرارات.</w:t>
      </w:r>
    </w:p>
    <w:p w:rsidR="005852E0" w:rsidRPr="005852E0" w:rsidRDefault="005852E0" w:rsidP="005852E0">
      <w:pPr>
        <w:keepNext/>
        <w:bidi/>
        <w:spacing w:after="240" w:line="380" w:lineRule="exact"/>
        <w:rPr>
          <w:rFonts w:ascii="Arabic Typesetting" w:hAnsi="Arabic Typesetting" w:cs="Arabic Typesetting"/>
          <w:b/>
          <w:bCs/>
          <w:sz w:val="34"/>
          <w:szCs w:val="34"/>
          <w:lang w:val="fr-CH"/>
        </w:rPr>
      </w:pPr>
      <w:r w:rsidRPr="005852E0">
        <w:rPr>
          <w:rFonts w:ascii="Arabic Typesetting" w:hAnsi="Arabic Typesetting" w:cs="Arabic Typesetting" w:hint="cs"/>
          <w:b/>
          <w:bCs/>
          <w:sz w:val="34"/>
          <w:szCs w:val="34"/>
          <w:rtl/>
          <w:lang w:val="fr-CH"/>
        </w:rPr>
        <w:t>ثالثا.</w:t>
      </w:r>
      <w:r w:rsidRPr="005852E0">
        <w:rPr>
          <w:rFonts w:ascii="Arabic Typesetting" w:hAnsi="Arabic Typesetting" w:cs="Arabic Typesetting" w:hint="cs"/>
          <w:b/>
          <w:bCs/>
          <w:sz w:val="34"/>
          <w:szCs w:val="34"/>
          <w:rtl/>
          <w:lang w:val="fr-CH"/>
        </w:rPr>
        <w:tab/>
        <w:t>طريقة إرسال الوثائق الواردة</w:t>
      </w:r>
    </w:p>
    <w:p w:rsidR="005852E0" w:rsidRPr="005852E0" w:rsidRDefault="00B851E2" w:rsidP="005852E0">
      <w:pPr>
        <w:bidi/>
        <w:spacing w:before="120" w:after="120"/>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2F7B243F" wp14:editId="222A5E94">
            <wp:extent cx="5742502" cy="2664700"/>
            <wp:effectExtent l="0" t="0" r="0" b="254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44794" cy="2665764"/>
                    </a:xfrm>
                    <a:prstGeom prst="rect">
                      <a:avLst/>
                    </a:prstGeom>
                    <a:noFill/>
                  </pic:spPr>
                </pic:pic>
              </a:graphicData>
            </a:graphic>
          </wp:inline>
        </w:drawing>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أرسِل إلكترونيا 79</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من جميع الوثائق الواردة إلى المكتب الدولي، مما يُعد زيادة بخمس نقاط مئوية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w:t>
      </w:r>
    </w:p>
    <w:p w:rsidR="005852E0" w:rsidRPr="005852E0" w:rsidRDefault="005852E0" w:rsidP="005852E0">
      <w:pPr>
        <w:keepNext/>
        <w:bidi/>
        <w:spacing w:after="240" w:line="380" w:lineRule="exact"/>
        <w:rPr>
          <w:rFonts w:ascii="Arabic Typesetting" w:hAnsi="Arabic Typesetting" w:cs="Arabic Typesetting"/>
          <w:b/>
          <w:bCs/>
          <w:sz w:val="34"/>
          <w:szCs w:val="34"/>
          <w:lang w:val="fr-CH"/>
        </w:rPr>
      </w:pPr>
      <w:r w:rsidRPr="005852E0">
        <w:rPr>
          <w:rFonts w:ascii="Arabic Typesetting" w:hAnsi="Arabic Typesetting" w:cs="Arabic Typesetting" w:hint="cs"/>
          <w:b/>
          <w:bCs/>
          <w:sz w:val="34"/>
          <w:szCs w:val="34"/>
          <w:rtl/>
          <w:lang w:val="fr-CH"/>
        </w:rPr>
        <w:lastRenderedPageBreak/>
        <w:t>رابعا.</w:t>
      </w:r>
      <w:r w:rsidRPr="005852E0">
        <w:rPr>
          <w:rFonts w:ascii="Arabic Typesetting" w:hAnsi="Arabic Typesetting" w:cs="Arabic Typesetting" w:hint="cs"/>
          <w:b/>
          <w:bCs/>
          <w:sz w:val="34"/>
          <w:szCs w:val="34"/>
          <w:rtl/>
          <w:lang w:val="fr-CH"/>
        </w:rPr>
        <w:tab/>
        <w:t>المعالجة</w:t>
      </w:r>
    </w:p>
    <w:p w:rsidR="005852E0" w:rsidRPr="005852E0" w:rsidRDefault="005852E0" w:rsidP="005852E0">
      <w:pPr>
        <w:keepNext/>
        <w:bidi/>
        <w:spacing w:after="120" w:line="340" w:lineRule="exact"/>
        <w:rPr>
          <w:rFonts w:ascii="Arabic Typesetting" w:hAnsi="Arabic Typesetting" w:cs="Arabic Typesetting"/>
          <w:sz w:val="34"/>
          <w:szCs w:val="34"/>
          <w:u w:val="single"/>
          <w:rtl/>
          <w:lang w:val="fr-CH"/>
        </w:rPr>
      </w:pPr>
      <w:r w:rsidRPr="005852E0">
        <w:rPr>
          <w:rFonts w:ascii="Arabic Typesetting" w:hAnsi="Arabic Typesetting" w:cs="Arabic Typesetting" w:hint="cs"/>
          <w:sz w:val="34"/>
          <w:szCs w:val="34"/>
          <w:u w:val="single"/>
          <w:rtl/>
          <w:lang w:val="fr-CH"/>
        </w:rPr>
        <w:t>تكلفة الإنتاج الإجمالية</w:t>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تتألف تكلفة الإنتاج الإجمالية من النفقات الخاصة بنظام مدريد فقط ونفقات الأنشطة الداعمة للنظام.</w:t>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وتمثّل النفقات الخاصة بنظام مدريد فقط نحو 96</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من نفقات البرنامج</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6 (نظاما مدريد ولشبونة)</w:t>
      </w:r>
      <w:r w:rsidRPr="00F96634">
        <w:rPr>
          <w:rFonts w:ascii="Arabic Typesetting" w:hAnsi="Arabic Typesetting" w:cs="Arabic Typesetting"/>
          <w:sz w:val="28"/>
          <w:szCs w:val="28"/>
          <w:vertAlign w:val="superscript"/>
          <w:rtl/>
        </w:rPr>
        <w:footnoteReference w:id="31"/>
      </w:r>
      <w:r w:rsidRPr="005852E0">
        <w:rPr>
          <w:rFonts w:ascii="Arabic Typesetting" w:hAnsi="Arabic Typesetting" w:cs="Arabic Typesetting" w:hint="cs"/>
          <w:sz w:val="34"/>
          <w:szCs w:val="34"/>
          <w:rtl/>
        </w:rPr>
        <w:t>. ولا تشمل تكلفة الإنتاج الإجمالية لنظام مدريد نفقات سجل لشبونة في عام</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w:t>
      </w:r>
      <w:r w:rsidRPr="00F96634">
        <w:rPr>
          <w:rFonts w:ascii="Arabic Typesetting" w:hAnsi="Arabic Typesetting" w:cs="Arabic Typesetting"/>
          <w:sz w:val="28"/>
          <w:szCs w:val="28"/>
          <w:vertAlign w:val="superscript"/>
          <w:rtl/>
        </w:rPr>
        <w:footnoteReference w:id="32"/>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وتشمل نفقات الأنشطة الداعمة لنظام مدريد نفقات الخدمات العامة التالية: خدمات المؤتمرات واللغات، والبناء، والإدارة التنفيذية، والشؤون المالية والميزانية، وخدمات الدعم العامة، وإدارة الموارد البشرية، والرقابة الداخلية، وتكنولوجيا المعلومات، والسلامة والأمن. وقسط صغير من هذه المصروفات (تكلفة استضافة الخادم لدى مركز الأمم المتحدة الدولي للحساب الإلكتروني وتقاسم تكلفة قسم الإيرادات بإدارة الشؤون المالية) ناجم مباشرة عن نظام مدريد، في حين تُحسب بقية المصروفات التي يمكن عزوها إلى نظام مدريد استنادا إلى عدد الموظفين (بمن فيهم العاملون بعقود محدّدة المدة والعاملون بعقود مؤقتة والممنوحون).</w:t>
      </w:r>
    </w:p>
    <w:p w:rsidR="005852E0" w:rsidRPr="005852E0" w:rsidRDefault="00E057AF" w:rsidP="005852E0">
      <w:pPr>
        <w:bidi/>
        <w:spacing w:after="120"/>
        <w:rPr>
          <w:rFonts w:ascii="Arabic Typesetting" w:hAnsi="Arabic Typesetting" w:cs="Arabic Typesetting"/>
          <w:sz w:val="36"/>
          <w:szCs w:val="36"/>
          <w:rtl/>
        </w:rPr>
      </w:pPr>
      <w:r>
        <w:rPr>
          <w:rFonts w:ascii="Arabic Typesetting" w:hAnsi="Arabic Typesetting" w:cs="Arabic Typesetting"/>
          <w:noProof/>
          <w:sz w:val="36"/>
          <w:szCs w:val="36"/>
        </w:rPr>
        <w:drawing>
          <wp:inline distT="0" distB="0" distL="0" distR="0" wp14:anchorId="4E7B1780" wp14:editId="63416B21">
            <wp:extent cx="5587804" cy="3305022"/>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87482" cy="3304832"/>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rPr>
        <w:t>بلغت تكلفة الإنتاج الإجمالية، حسب التقديرات، 46.3</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مليون فرنك سويسري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مما يُعد زيادة بنسبة 11</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وزادت تكلفة الإنتاج الإجمالية في 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2014/15 بنسبة 10</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2012/13.</w:t>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وفي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بلغت حصة التكاليف المباشرة 61</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من التكلفة الإجمالية.</w:t>
      </w:r>
    </w:p>
    <w:p w:rsidR="005852E0" w:rsidRPr="005852E0" w:rsidRDefault="005852E0" w:rsidP="005852E0">
      <w:pPr>
        <w:keepNext/>
        <w:bidi/>
        <w:spacing w:after="120" w:line="340" w:lineRule="exact"/>
        <w:rPr>
          <w:rFonts w:ascii="Arabic Typesetting" w:hAnsi="Arabic Typesetting" w:cs="Arabic Typesetting"/>
          <w:sz w:val="34"/>
          <w:szCs w:val="34"/>
          <w:u w:val="single"/>
          <w:rtl/>
          <w:lang w:val="fr-CH"/>
        </w:rPr>
      </w:pPr>
      <w:r w:rsidRPr="005852E0">
        <w:rPr>
          <w:rFonts w:ascii="Arabic Typesetting" w:hAnsi="Arabic Typesetting" w:cs="Arabic Typesetting" w:hint="cs"/>
          <w:sz w:val="34"/>
          <w:szCs w:val="34"/>
          <w:u w:val="single"/>
          <w:rtl/>
          <w:lang w:val="fr-CH"/>
        </w:rPr>
        <w:t>تكلفة الوحدة</w:t>
      </w:r>
    </w:p>
    <w:p w:rsidR="005852E0" w:rsidRPr="005852E0" w:rsidRDefault="005852E0" w:rsidP="009A3712">
      <w:pPr>
        <w:numPr>
          <w:ilvl w:val="0"/>
          <w:numId w:val="45"/>
        </w:numPr>
        <w:bidi/>
        <w:spacing w:after="200" w:line="276" w:lineRule="auto"/>
        <w:rPr>
          <w:rFonts w:ascii="Arabic Typesetting" w:hAnsi="Arabic Typesetting" w:cs="Arabic Typesetting"/>
          <w:sz w:val="34"/>
          <w:szCs w:val="34"/>
          <w:rtl/>
        </w:rPr>
      </w:pPr>
      <w:r w:rsidRPr="005852E0">
        <w:rPr>
          <w:rFonts w:ascii="Arabic Typesetting" w:hAnsi="Arabic Typesetting" w:cs="Arabic Typesetting" w:hint="cs"/>
          <w:sz w:val="34"/>
          <w:szCs w:val="34"/>
          <w:rtl/>
        </w:rPr>
        <w:t xml:space="preserve">يمكن حساب </w:t>
      </w:r>
      <w:r w:rsidRPr="005852E0">
        <w:rPr>
          <w:rFonts w:ascii="Arabic Typesetting" w:hAnsi="Arabic Typesetting" w:cs="Arabic Typesetting"/>
          <w:sz w:val="34"/>
          <w:szCs w:val="34"/>
          <w:rtl/>
        </w:rPr>
        <w:t xml:space="preserve">كفاءة المكتب الدولي في معالجة المعاملات </w:t>
      </w:r>
      <w:r w:rsidRPr="005852E0">
        <w:rPr>
          <w:rFonts w:ascii="Arabic Typesetting" w:hAnsi="Arabic Typesetting" w:cs="Arabic Typesetting" w:hint="cs"/>
          <w:sz w:val="34"/>
          <w:szCs w:val="34"/>
          <w:rtl/>
        </w:rPr>
        <w:t>ب</w:t>
      </w:r>
      <w:r w:rsidRPr="005852E0">
        <w:rPr>
          <w:rFonts w:ascii="Arabic Typesetting" w:hAnsi="Arabic Typesetting" w:cs="Arabic Typesetting"/>
          <w:sz w:val="34"/>
          <w:szCs w:val="34"/>
          <w:rtl/>
        </w:rPr>
        <w:t>تكلفة الوحدة</w:t>
      </w:r>
      <w:r w:rsidRPr="005852E0">
        <w:rPr>
          <w:rFonts w:ascii="Arabic Typesetting" w:hAnsi="Arabic Typesetting" w:cs="Arabic Typesetting" w:hint="cs"/>
          <w:sz w:val="34"/>
          <w:szCs w:val="34"/>
          <w:rtl/>
        </w:rPr>
        <w:t xml:space="preserve"> التي تعني متسوط</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التكلفة</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لإنتاج</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وحدة</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واحدة</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من</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المخرجات</w:t>
      </w:r>
      <w:r w:rsidRPr="005852E0">
        <w:rPr>
          <w:rFonts w:ascii="Arabic Typesetting" w:hAnsi="Arabic Typesetting" w:cs="Arabic Typesetting"/>
          <w:sz w:val="34"/>
          <w:szCs w:val="34"/>
        </w:rPr>
        <w:t>.</w:t>
      </w:r>
    </w:p>
    <w:p w:rsidR="005852E0" w:rsidRPr="005852E0" w:rsidRDefault="005852E0" w:rsidP="009A3712">
      <w:pPr>
        <w:numPr>
          <w:ilvl w:val="0"/>
          <w:numId w:val="45"/>
        </w:numPr>
        <w:bidi/>
        <w:spacing w:after="200" w:line="276" w:lineRule="auto"/>
        <w:rPr>
          <w:rFonts w:ascii="Arabic Typesetting" w:hAnsi="Arabic Typesetting" w:cs="Arabic Typesetting"/>
          <w:sz w:val="34"/>
          <w:szCs w:val="34"/>
        </w:rPr>
      </w:pPr>
      <w:r w:rsidRPr="005852E0">
        <w:rPr>
          <w:rFonts w:ascii="Arabic Typesetting" w:hAnsi="Arabic Typesetting" w:cs="Arabic Typesetting" w:hint="cs"/>
          <w:sz w:val="34"/>
          <w:szCs w:val="34"/>
          <w:rtl/>
        </w:rPr>
        <w:lastRenderedPageBreak/>
        <w:t xml:space="preserve">وبما أن </w:t>
      </w:r>
      <w:r w:rsidRPr="005852E0">
        <w:rPr>
          <w:rFonts w:ascii="Arabic Typesetting" w:hAnsi="Arabic Typesetting" w:cs="Arabic Typesetting"/>
          <w:sz w:val="34"/>
          <w:szCs w:val="34"/>
          <w:rtl/>
        </w:rPr>
        <w:t xml:space="preserve">المكتب الدولي يسجل </w:t>
      </w:r>
      <w:r w:rsidRPr="005852E0">
        <w:rPr>
          <w:rFonts w:ascii="Arabic Typesetting" w:hAnsi="Arabic Typesetting" w:cs="Arabic Typesetting" w:hint="cs"/>
          <w:sz w:val="34"/>
          <w:szCs w:val="34"/>
          <w:rtl/>
        </w:rPr>
        <w:t xml:space="preserve">طلبات </w:t>
      </w:r>
      <w:r w:rsidRPr="005852E0">
        <w:rPr>
          <w:rFonts w:ascii="Arabic Typesetting" w:hAnsi="Arabic Typesetting" w:cs="Arabic Typesetting"/>
          <w:sz w:val="34"/>
          <w:szCs w:val="34"/>
          <w:rtl/>
        </w:rPr>
        <w:t xml:space="preserve">جديدة ويحفظ التسجيلات </w:t>
      </w:r>
      <w:r w:rsidRPr="005852E0">
        <w:rPr>
          <w:rFonts w:ascii="Arabic Typesetting" w:hAnsi="Arabic Typesetting" w:cs="Arabic Typesetting" w:hint="cs"/>
          <w:sz w:val="34"/>
          <w:szCs w:val="34"/>
          <w:rtl/>
        </w:rPr>
        <w:t>الموجودة</w:t>
      </w:r>
      <w:r w:rsidRPr="005852E0">
        <w:rPr>
          <w:rFonts w:ascii="Arabic Typesetting" w:hAnsi="Arabic Typesetting" w:cs="Arabic Typesetting"/>
          <w:sz w:val="34"/>
          <w:szCs w:val="34"/>
          <w:rtl/>
        </w:rPr>
        <w:t xml:space="preserve">، فمن </w:t>
      </w:r>
      <w:r w:rsidRPr="005852E0">
        <w:rPr>
          <w:rFonts w:ascii="Arabic Typesetting" w:hAnsi="Arabic Typesetting" w:cs="Arabic Typesetting" w:hint="cs"/>
          <w:sz w:val="34"/>
          <w:szCs w:val="34"/>
          <w:rtl/>
        </w:rPr>
        <w:t>الوجيه</w:t>
      </w:r>
      <w:r w:rsidRPr="005852E0">
        <w:rPr>
          <w:rFonts w:ascii="Arabic Typesetting" w:hAnsi="Arabic Typesetting" w:cs="Arabic Typesetting"/>
          <w:sz w:val="34"/>
          <w:szCs w:val="34"/>
          <w:rtl/>
        </w:rPr>
        <w:t xml:space="preserve"> أن </w:t>
      </w:r>
      <w:r w:rsidRPr="005852E0">
        <w:rPr>
          <w:rFonts w:ascii="Arabic Typesetting" w:hAnsi="Arabic Typesetting" w:cs="Arabic Typesetting" w:hint="cs"/>
          <w:sz w:val="34"/>
          <w:szCs w:val="34"/>
          <w:rtl/>
        </w:rPr>
        <w:t>ت</w:t>
      </w:r>
      <w:r w:rsidRPr="005852E0">
        <w:rPr>
          <w:rFonts w:ascii="Arabic Typesetting" w:hAnsi="Arabic Typesetting" w:cs="Arabic Typesetting"/>
          <w:sz w:val="34"/>
          <w:szCs w:val="34"/>
          <w:rtl/>
        </w:rPr>
        <w:t xml:space="preserve">كون </w:t>
      </w:r>
      <w:r w:rsidRPr="005852E0">
        <w:rPr>
          <w:rFonts w:ascii="Arabic Typesetting" w:hAnsi="Arabic Typesetting" w:cs="Arabic Typesetting" w:hint="cs"/>
          <w:sz w:val="34"/>
          <w:szCs w:val="34"/>
          <w:rtl/>
        </w:rPr>
        <w:t>هناك</w:t>
      </w:r>
      <w:r w:rsidRPr="005852E0">
        <w:rPr>
          <w:rFonts w:ascii="Arabic Typesetting" w:hAnsi="Arabic Typesetting" w:cs="Arabic Typesetting"/>
          <w:sz w:val="34"/>
          <w:szCs w:val="34"/>
          <w:rtl/>
        </w:rPr>
        <w:t xml:space="preserve"> وحدة من </w:t>
      </w:r>
      <w:r w:rsidRPr="005852E0">
        <w:rPr>
          <w:rFonts w:ascii="Arabic Typesetting" w:hAnsi="Arabic Typesetting" w:cs="Arabic Typesetting" w:hint="cs"/>
          <w:sz w:val="34"/>
          <w:szCs w:val="34"/>
          <w:rtl/>
        </w:rPr>
        <w:t>المخرجات</w:t>
      </w:r>
      <w:r w:rsidRPr="005852E0">
        <w:rPr>
          <w:rFonts w:ascii="Arabic Typesetting" w:hAnsi="Arabic Typesetting" w:cs="Arabic Typesetting"/>
          <w:sz w:val="34"/>
          <w:szCs w:val="34"/>
          <w:rtl/>
        </w:rPr>
        <w:t xml:space="preserve"> ال</w:t>
      </w:r>
      <w:r w:rsidRPr="005852E0">
        <w:rPr>
          <w:rFonts w:ascii="Arabic Typesetting" w:hAnsi="Arabic Typesetting" w:cs="Arabic Typesetting" w:hint="cs"/>
          <w:sz w:val="34"/>
          <w:szCs w:val="34"/>
          <w:rtl/>
        </w:rPr>
        <w:t>ت</w:t>
      </w:r>
      <w:r w:rsidRPr="005852E0">
        <w:rPr>
          <w:rFonts w:ascii="Arabic Typesetting" w:hAnsi="Arabic Typesetting" w:cs="Arabic Typesetting"/>
          <w:sz w:val="34"/>
          <w:szCs w:val="34"/>
          <w:rtl/>
        </w:rPr>
        <w:t xml:space="preserve">ي </w:t>
      </w:r>
      <w:r w:rsidRPr="005852E0">
        <w:rPr>
          <w:rFonts w:ascii="Arabic Typesetting" w:hAnsi="Arabic Typesetting" w:cs="Arabic Typesetting" w:hint="cs"/>
          <w:sz w:val="34"/>
          <w:szCs w:val="34"/>
          <w:rtl/>
        </w:rPr>
        <w:t>ت</w:t>
      </w:r>
      <w:r w:rsidRPr="005852E0">
        <w:rPr>
          <w:rFonts w:ascii="Arabic Typesetting" w:hAnsi="Arabic Typesetting" w:cs="Arabic Typesetting"/>
          <w:sz w:val="34"/>
          <w:szCs w:val="34"/>
          <w:rtl/>
        </w:rPr>
        <w:t>تضمن مجموعة من المعاملات. و</w:t>
      </w:r>
      <w:r w:rsidRPr="005852E0">
        <w:rPr>
          <w:rFonts w:ascii="Arabic Typesetting" w:hAnsi="Arabic Typesetting" w:cs="Arabic Typesetting" w:hint="cs"/>
          <w:sz w:val="34"/>
          <w:szCs w:val="34"/>
          <w:rtl/>
        </w:rPr>
        <w:t xml:space="preserve">يرد </w:t>
      </w:r>
      <w:r w:rsidR="003B2ED5">
        <w:rPr>
          <w:rFonts w:ascii="Arabic Typesetting" w:hAnsi="Arabic Typesetting" w:cs="Arabic Typesetting" w:hint="cs"/>
          <w:sz w:val="34"/>
          <w:szCs w:val="34"/>
          <w:rtl/>
        </w:rPr>
        <w:t>فيما يلي</w:t>
      </w:r>
      <w:r w:rsidRPr="005852E0">
        <w:rPr>
          <w:rFonts w:ascii="Arabic Typesetting" w:hAnsi="Arabic Typesetting" w:cs="Arabic Typesetting" w:hint="cs"/>
          <w:sz w:val="34"/>
          <w:szCs w:val="34"/>
          <w:rtl/>
        </w:rPr>
        <w:t xml:space="preserve"> </w:t>
      </w:r>
      <w:r w:rsidRPr="005852E0">
        <w:rPr>
          <w:rFonts w:ascii="Arabic Typesetting" w:hAnsi="Arabic Typesetting" w:cs="Arabic Typesetting"/>
          <w:sz w:val="34"/>
          <w:szCs w:val="34"/>
          <w:rtl/>
        </w:rPr>
        <w:t>مؤشرا</w:t>
      </w:r>
      <w:r w:rsidRPr="005852E0">
        <w:rPr>
          <w:rFonts w:ascii="Arabic Typesetting" w:hAnsi="Arabic Typesetting" w:cs="Arabic Typesetting" w:hint="cs"/>
          <w:sz w:val="34"/>
          <w:szCs w:val="34"/>
          <w:rtl/>
        </w:rPr>
        <w:t>ن</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اثنان ل</w:t>
      </w:r>
      <w:r w:rsidRPr="005852E0">
        <w:rPr>
          <w:rFonts w:ascii="Arabic Typesetting" w:hAnsi="Arabic Typesetting" w:cs="Arabic Typesetting"/>
          <w:sz w:val="34"/>
          <w:szCs w:val="34"/>
          <w:rtl/>
        </w:rPr>
        <w:t>تكلفة الوحدة</w:t>
      </w:r>
      <w:r w:rsidRPr="005852E0">
        <w:rPr>
          <w:rFonts w:ascii="Arabic Typesetting" w:hAnsi="Arabic Typesetting" w:cs="Arabic Typesetting" w:hint="cs"/>
          <w:sz w:val="34"/>
          <w:szCs w:val="34"/>
          <w:rtl/>
        </w:rPr>
        <w:t xml:space="preserve"> </w:t>
      </w:r>
      <w:r w:rsidRPr="005852E0">
        <w:rPr>
          <w:rFonts w:ascii="Arabic Typesetting" w:hAnsi="Arabic Typesetting" w:cs="Arabic Typesetting"/>
          <w:sz w:val="34"/>
          <w:szCs w:val="34"/>
          <w:rtl/>
        </w:rPr>
        <w:t>باستخدام وحد</w:t>
      </w:r>
      <w:r w:rsidRPr="005852E0">
        <w:rPr>
          <w:rFonts w:ascii="Arabic Typesetting" w:hAnsi="Arabic Typesetting" w:cs="Arabic Typesetting" w:hint="cs"/>
          <w:sz w:val="34"/>
          <w:szCs w:val="34"/>
          <w:rtl/>
        </w:rPr>
        <w:t xml:space="preserve">تين </w:t>
      </w:r>
      <w:r w:rsidRPr="005852E0">
        <w:rPr>
          <w:rFonts w:ascii="Arabic Typesetting" w:hAnsi="Arabic Typesetting" w:cs="Arabic Typesetting"/>
          <w:sz w:val="34"/>
          <w:szCs w:val="34"/>
          <w:rtl/>
        </w:rPr>
        <w:t>مختلف</w:t>
      </w:r>
      <w:r w:rsidRPr="005852E0">
        <w:rPr>
          <w:rFonts w:ascii="Arabic Typesetting" w:hAnsi="Arabic Typesetting" w:cs="Arabic Typesetting" w:hint="cs"/>
          <w:sz w:val="34"/>
          <w:szCs w:val="34"/>
          <w:rtl/>
        </w:rPr>
        <w:t xml:space="preserve">تين </w:t>
      </w:r>
      <w:r w:rsidRPr="005852E0">
        <w:rPr>
          <w:rFonts w:ascii="Arabic Typesetting" w:hAnsi="Arabic Typesetting" w:cs="Arabic Typesetting"/>
          <w:sz w:val="34"/>
          <w:szCs w:val="34"/>
          <w:rtl/>
        </w:rPr>
        <w:t xml:space="preserve">من </w:t>
      </w:r>
      <w:r w:rsidRPr="005852E0">
        <w:rPr>
          <w:rFonts w:ascii="Arabic Typesetting" w:hAnsi="Arabic Typesetting" w:cs="Arabic Typesetting" w:hint="cs"/>
          <w:sz w:val="34"/>
          <w:szCs w:val="34"/>
          <w:rtl/>
        </w:rPr>
        <w:t>المخرجات.</w:t>
      </w:r>
    </w:p>
    <w:p w:rsidR="005852E0" w:rsidRPr="005852E0" w:rsidRDefault="005852E0" w:rsidP="009A3712">
      <w:pPr>
        <w:numPr>
          <w:ilvl w:val="0"/>
          <w:numId w:val="45"/>
        </w:numPr>
        <w:bidi/>
        <w:spacing w:after="200" w:line="276" w:lineRule="auto"/>
        <w:rPr>
          <w:rFonts w:ascii="Arabic Typesetting" w:hAnsi="Arabic Typesetting" w:cs="Arabic Typesetting"/>
          <w:sz w:val="34"/>
          <w:szCs w:val="34"/>
          <w:rtl/>
        </w:rPr>
      </w:pPr>
      <w:r w:rsidRPr="005852E0">
        <w:rPr>
          <w:rFonts w:ascii="Arabic Typesetting" w:hAnsi="Arabic Typesetting" w:cs="Arabic Typesetting"/>
          <w:sz w:val="34"/>
          <w:szCs w:val="34"/>
          <w:rtl/>
        </w:rPr>
        <w:t>وكجزء من جهود</w:t>
      </w:r>
      <w:r w:rsidRPr="005852E0">
        <w:rPr>
          <w:rFonts w:ascii="Arabic Typesetting" w:hAnsi="Arabic Typesetting" w:cs="Arabic Typesetting"/>
          <w:sz w:val="34"/>
          <w:szCs w:val="34"/>
        </w:rPr>
        <w:t xml:space="preserve"> </w:t>
      </w:r>
      <w:r w:rsidRPr="005852E0">
        <w:rPr>
          <w:rFonts w:ascii="Arabic Typesetting" w:hAnsi="Arabic Typesetting" w:cs="Arabic Typesetting"/>
          <w:sz w:val="34"/>
          <w:szCs w:val="34"/>
          <w:rtl/>
        </w:rPr>
        <w:t>المكتب الدولي</w:t>
      </w:r>
      <w:r w:rsidRPr="005852E0">
        <w:rPr>
          <w:rFonts w:ascii="Arabic Typesetting" w:hAnsi="Arabic Typesetting" w:cs="Arabic Typesetting" w:hint="cs"/>
          <w:sz w:val="34"/>
          <w:szCs w:val="34"/>
          <w:rtl/>
        </w:rPr>
        <w:t xml:space="preserve"> لمواصلة </w:t>
      </w:r>
      <w:r w:rsidRPr="005852E0">
        <w:rPr>
          <w:rFonts w:ascii="Arabic Typesetting" w:hAnsi="Arabic Typesetting" w:cs="Arabic Typesetting"/>
          <w:sz w:val="34"/>
          <w:szCs w:val="34"/>
          <w:rtl/>
        </w:rPr>
        <w:t xml:space="preserve">صقل </w:t>
      </w:r>
      <w:r w:rsidRPr="005852E0">
        <w:rPr>
          <w:rFonts w:ascii="Arabic Typesetting" w:hAnsi="Arabic Typesetting" w:cs="Arabic Typesetting" w:hint="cs"/>
          <w:sz w:val="34"/>
          <w:szCs w:val="34"/>
          <w:rtl/>
        </w:rPr>
        <w:t>مقاربته إزاء</w:t>
      </w:r>
      <w:r w:rsidRPr="005852E0">
        <w:rPr>
          <w:rFonts w:ascii="Arabic Typesetting" w:hAnsi="Arabic Typesetting" w:cs="Arabic Typesetting"/>
          <w:sz w:val="34"/>
          <w:szCs w:val="34"/>
          <w:rtl/>
        </w:rPr>
        <w:t xml:space="preserve"> حساب تكاليف الوحدة، تم تنقيح المنهجية في</w:t>
      </w:r>
      <w:r w:rsidRPr="005852E0">
        <w:rPr>
          <w:rFonts w:ascii="Arabic Typesetting" w:hAnsi="Arabic Typesetting" w:cs="Arabic Typesetting" w:hint="cs"/>
          <w:sz w:val="34"/>
          <w:szCs w:val="34"/>
          <w:rtl/>
        </w:rPr>
        <w:t xml:space="preserve"> وثيقة</w:t>
      </w:r>
      <w:r w:rsidRPr="005852E0">
        <w:rPr>
          <w:rFonts w:ascii="Arabic Typesetting" w:hAnsi="Arabic Typesetting" w:cs="Arabic Typesetting"/>
          <w:sz w:val="34"/>
          <w:szCs w:val="34"/>
          <w:rtl/>
        </w:rPr>
        <w:t xml:space="preserve"> البرنامج والميزانية</w:t>
      </w:r>
      <w:r w:rsidRPr="005852E0">
        <w:rPr>
          <w:rFonts w:ascii="Arabic Typesetting" w:hAnsi="Arabic Typesetting" w:cs="Arabic Typesetting" w:hint="cs"/>
          <w:sz w:val="34"/>
          <w:szCs w:val="34"/>
          <w:rtl/>
        </w:rPr>
        <w:t xml:space="preserve"> للثنائية </w:t>
      </w:r>
      <w:r w:rsidRPr="005852E0">
        <w:rPr>
          <w:rFonts w:ascii="Arabic Typesetting" w:hAnsi="Arabic Typesetting" w:cs="Arabic Typesetting"/>
          <w:sz w:val="34"/>
          <w:szCs w:val="34"/>
          <w:rtl/>
        </w:rPr>
        <w:t>2016/17 ل</w:t>
      </w:r>
      <w:r w:rsidRPr="005852E0">
        <w:rPr>
          <w:rFonts w:ascii="Arabic Typesetting" w:hAnsi="Arabic Typesetting" w:cs="Arabic Typesetting" w:hint="cs"/>
          <w:sz w:val="34"/>
          <w:szCs w:val="34"/>
          <w:rtl/>
        </w:rPr>
        <w:t>ت</w:t>
      </w:r>
      <w:r w:rsidRPr="005852E0">
        <w:rPr>
          <w:rFonts w:ascii="Arabic Typesetting" w:hAnsi="Arabic Typesetting" w:cs="Arabic Typesetting"/>
          <w:sz w:val="34"/>
          <w:szCs w:val="34"/>
          <w:rtl/>
        </w:rPr>
        <w:t>عكس بشكل أدق تكلفة معالجة أعباء</w:t>
      </w:r>
      <w:r w:rsidRPr="005852E0">
        <w:rPr>
          <w:rFonts w:ascii="Arabic Typesetting" w:hAnsi="Arabic Typesetting" w:cs="Arabic Typesetting" w:hint="cs"/>
          <w:sz w:val="34"/>
          <w:szCs w:val="34"/>
          <w:rtl/>
        </w:rPr>
        <w:t xml:space="preserve"> </w:t>
      </w:r>
      <w:r w:rsidRPr="005852E0">
        <w:rPr>
          <w:rFonts w:ascii="Arabic Typesetting" w:hAnsi="Arabic Typesetting" w:cs="Arabic Typesetting"/>
          <w:sz w:val="34"/>
          <w:szCs w:val="34"/>
          <w:rtl/>
        </w:rPr>
        <w:t>عمل مدريد في</w:t>
      </w:r>
      <w:r w:rsidRPr="005852E0">
        <w:rPr>
          <w:rFonts w:ascii="Arabic Typesetting" w:hAnsi="Arabic Typesetting" w:cs="Arabic Typesetting"/>
          <w:sz w:val="34"/>
          <w:szCs w:val="34"/>
        </w:rPr>
        <w:t xml:space="preserve"> </w:t>
      </w:r>
      <w:r w:rsidRPr="005852E0">
        <w:rPr>
          <w:rFonts w:ascii="Arabic Typesetting" w:hAnsi="Arabic Typesetting" w:cs="Arabic Typesetting"/>
          <w:sz w:val="34"/>
          <w:szCs w:val="34"/>
          <w:rtl/>
        </w:rPr>
        <w:t>المكتب الدولي</w:t>
      </w:r>
      <w:r w:rsidRPr="005852E0">
        <w:rPr>
          <w:rFonts w:ascii="Arabic Typesetting" w:hAnsi="Arabic Typesetting" w:cs="Arabic Typesetting"/>
          <w:sz w:val="34"/>
          <w:szCs w:val="34"/>
        </w:rPr>
        <w:t>:</w:t>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تمت مواءمة</w:t>
      </w:r>
      <w:r w:rsidRPr="005852E0">
        <w:rPr>
          <w:rFonts w:ascii="Arabic Typesetting" w:hAnsi="Arabic Typesetting" w:cs="Arabic Typesetting"/>
          <w:sz w:val="34"/>
          <w:szCs w:val="34"/>
          <w:rtl/>
        </w:rPr>
        <w:t xml:space="preserve"> منهجية حساب تكاليف</w:t>
      </w:r>
      <w:r w:rsidRPr="005852E0">
        <w:rPr>
          <w:rFonts w:ascii="Arabic Typesetting" w:hAnsi="Arabic Typesetting" w:cs="Arabic Typesetting" w:hint="cs"/>
          <w:sz w:val="34"/>
          <w:szCs w:val="34"/>
          <w:rtl/>
        </w:rPr>
        <w:t xml:space="preserve"> نظام</w:t>
      </w:r>
      <w:r w:rsidRPr="005852E0">
        <w:rPr>
          <w:rFonts w:ascii="Arabic Typesetting" w:hAnsi="Arabic Typesetting" w:cs="Arabic Typesetting"/>
          <w:sz w:val="34"/>
          <w:szCs w:val="34"/>
          <w:rtl/>
        </w:rPr>
        <w:t xml:space="preserve"> مدريد المباشرة وغير المباشرة مع منهجيات حساب </w:t>
      </w:r>
      <w:r w:rsidRPr="005852E0">
        <w:rPr>
          <w:rFonts w:ascii="Arabic Typesetting" w:hAnsi="Arabic Typesetting" w:cs="Arabic Typesetting" w:hint="cs"/>
          <w:sz w:val="34"/>
          <w:szCs w:val="34"/>
          <w:rtl/>
        </w:rPr>
        <w:t xml:space="preserve">تكاليف الوحدة في نظامي </w:t>
      </w:r>
      <w:r w:rsidRPr="005852E0">
        <w:rPr>
          <w:rFonts w:ascii="Arabic Typesetting" w:hAnsi="Arabic Typesetting" w:cs="Arabic Typesetting"/>
          <w:sz w:val="34"/>
          <w:szCs w:val="34"/>
          <w:rtl/>
        </w:rPr>
        <w:t>معاهدة البراءات ولاهاي</w:t>
      </w:r>
      <w:r w:rsidRPr="005852E0">
        <w:rPr>
          <w:rFonts w:ascii="Arabic Typesetting" w:hAnsi="Arabic Typesetting" w:cs="Arabic Typesetting"/>
          <w:sz w:val="34"/>
          <w:szCs w:val="34"/>
        </w:rPr>
        <w:t>.</w:t>
      </w:r>
    </w:p>
    <w:p w:rsidR="005852E0" w:rsidRPr="005852E0" w:rsidRDefault="005852E0" w:rsidP="009A3712">
      <w:pPr>
        <w:numPr>
          <w:ilvl w:val="0"/>
          <w:numId w:val="31"/>
        </w:numPr>
        <w:bidi/>
        <w:spacing w:after="120" w:line="340" w:lineRule="exact"/>
        <w:rPr>
          <w:rFonts w:ascii="Arabic Typesetting" w:hAnsi="Arabic Typesetting" w:cs="Arabic Typesetting"/>
          <w:sz w:val="34"/>
          <w:szCs w:val="34"/>
          <w:rtl/>
        </w:rPr>
      </w:pPr>
      <w:r w:rsidRPr="005852E0">
        <w:rPr>
          <w:rFonts w:ascii="Arabic Typesetting" w:hAnsi="Arabic Typesetting" w:cs="Arabic Typesetting"/>
          <w:sz w:val="34"/>
          <w:szCs w:val="34"/>
          <w:rtl/>
        </w:rPr>
        <w:t>و</w:t>
      </w:r>
      <w:r w:rsidRPr="005852E0">
        <w:rPr>
          <w:rFonts w:ascii="Arabic Typesetting" w:hAnsi="Arabic Typesetting" w:cs="Arabic Typesetting" w:hint="cs"/>
          <w:sz w:val="34"/>
          <w:szCs w:val="34"/>
          <w:rtl/>
        </w:rPr>
        <w:t>أُ</w:t>
      </w:r>
      <w:r w:rsidRPr="005852E0">
        <w:rPr>
          <w:rFonts w:ascii="Arabic Typesetting" w:hAnsi="Arabic Typesetting" w:cs="Arabic Typesetting"/>
          <w:sz w:val="34"/>
          <w:szCs w:val="34"/>
          <w:rtl/>
        </w:rPr>
        <w:t>دخل نظام مرج</w:t>
      </w:r>
      <w:r w:rsidRPr="005852E0">
        <w:rPr>
          <w:rFonts w:ascii="Arabic Typesetting" w:hAnsi="Arabic Typesetting" w:cs="Arabic Typesetting" w:hint="cs"/>
          <w:sz w:val="34"/>
          <w:szCs w:val="34"/>
          <w:rtl/>
        </w:rPr>
        <w:t>َّ</w:t>
      </w:r>
      <w:r w:rsidRPr="005852E0">
        <w:rPr>
          <w:rFonts w:ascii="Arabic Typesetting" w:hAnsi="Arabic Typesetting" w:cs="Arabic Typesetting"/>
          <w:sz w:val="34"/>
          <w:szCs w:val="34"/>
          <w:rtl/>
        </w:rPr>
        <w:t xml:space="preserve">ح </w:t>
      </w:r>
      <w:r w:rsidRPr="005852E0">
        <w:rPr>
          <w:rFonts w:ascii="Arabic Typesetting" w:hAnsi="Arabic Typesetting" w:cs="Arabic Typesetting" w:hint="cs"/>
          <w:sz w:val="34"/>
          <w:szCs w:val="34"/>
          <w:rtl/>
        </w:rPr>
        <w:t>لتقدير أفضل ل</w:t>
      </w:r>
      <w:r w:rsidRPr="005852E0">
        <w:rPr>
          <w:rFonts w:ascii="Arabic Typesetting" w:hAnsi="Arabic Typesetting" w:cs="Arabic Typesetting"/>
          <w:sz w:val="34"/>
          <w:szCs w:val="34"/>
          <w:rtl/>
        </w:rPr>
        <w:t>لعمل الفعلي المطلوب لمعالجة فئات الوثائق</w:t>
      </w:r>
      <w:r w:rsidRPr="005852E0">
        <w:rPr>
          <w:rFonts w:ascii="Arabic Typesetting" w:hAnsi="Arabic Typesetting" w:cs="Arabic Typesetting" w:hint="cs"/>
          <w:sz w:val="34"/>
          <w:szCs w:val="34"/>
          <w:rtl/>
        </w:rPr>
        <w:t xml:space="preserve"> الست</w:t>
      </w:r>
      <w:r w:rsidRPr="005852E0">
        <w:rPr>
          <w:rFonts w:ascii="Arabic Typesetting" w:hAnsi="Arabic Typesetting" w:cs="Arabic Typesetting"/>
          <w:sz w:val="34"/>
          <w:szCs w:val="34"/>
          <w:rtl/>
        </w:rPr>
        <w:t xml:space="preserve">، مع </w:t>
      </w:r>
      <w:r w:rsidRPr="005852E0">
        <w:rPr>
          <w:rFonts w:ascii="Arabic Typesetting" w:hAnsi="Arabic Typesetting" w:cs="Arabic Typesetting" w:hint="cs"/>
          <w:sz w:val="34"/>
          <w:szCs w:val="34"/>
          <w:rtl/>
        </w:rPr>
        <w:t>مراعاة</w:t>
      </w:r>
      <w:r w:rsidRPr="005852E0">
        <w:rPr>
          <w:rFonts w:ascii="Arabic Typesetting" w:hAnsi="Arabic Typesetting" w:cs="Arabic Typesetting"/>
          <w:sz w:val="34"/>
          <w:szCs w:val="34"/>
          <w:rtl/>
        </w:rPr>
        <w:t xml:space="preserve"> أن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 xml:space="preserve">بعض </w:t>
      </w:r>
      <w:r w:rsidRPr="005852E0">
        <w:rPr>
          <w:rFonts w:ascii="Arabic Typesetting" w:hAnsi="Arabic Typesetting" w:cs="Arabic Typesetting" w:hint="cs"/>
          <w:sz w:val="34"/>
          <w:szCs w:val="34"/>
          <w:rtl/>
        </w:rPr>
        <w:t>من تلك</w:t>
      </w:r>
      <w:r w:rsidRPr="005852E0">
        <w:rPr>
          <w:rFonts w:ascii="Arabic Typesetting" w:hAnsi="Arabic Typesetting" w:cs="Arabic Typesetting"/>
          <w:sz w:val="34"/>
          <w:szCs w:val="34"/>
          <w:rtl/>
        </w:rPr>
        <w:t xml:space="preserve"> الوثائق </w:t>
      </w:r>
      <w:r w:rsidRPr="005852E0">
        <w:rPr>
          <w:rFonts w:ascii="Arabic Typesetting" w:hAnsi="Arabic Typesetting" w:cs="Arabic Typesetting" w:hint="cs"/>
          <w:sz w:val="34"/>
          <w:szCs w:val="34"/>
          <w:rtl/>
        </w:rPr>
        <w:t xml:space="preserve">يتطلب عملا </w:t>
      </w:r>
      <w:r w:rsidRPr="005852E0">
        <w:rPr>
          <w:rFonts w:ascii="Arabic Typesetting" w:hAnsi="Arabic Typesetting" w:cs="Arabic Typesetting"/>
          <w:sz w:val="34"/>
          <w:szCs w:val="34"/>
          <w:rtl/>
        </w:rPr>
        <w:t>أكثر من غيرها</w:t>
      </w:r>
      <w:r w:rsidRPr="005852E0">
        <w:rPr>
          <w:rFonts w:ascii="Arabic Typesetting" w:hAnsi="Arabic Typesetting" w:cs="Arabic Typesetting" w:hint="cs"/>
          <w:sz w:val="34"/>
          <w:szCs w:val="34"/>
          <w:rtl/>
        </w:rPr>
        <w:t>.</w:t>
      </w:r>
      <w:r w:rsidRPr="00F96634">
        <w:rPr>
          <w:rFonts w:ascii="Arabic Typesetting" w:hAnsi="Arabic Typesetting" w:cs="Arabic Typesetting"/>
          <w:sz w:val="28"/>
          <w:szCs w:val="28"/>
          <w:vertAlign w:val="superscript"/>
          <w:rtl/>
        </w:rPr>
        <w:footnoteReference w:id="33"/>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وأ</w:t>
      </w:r>
      <w:r w:rsidRPr="005852E0">
        <w:rPr>
          <w:rFonts w:ascii="Arabic Typesetting" w:hAnsi="Arabic Typesetting" w:cs="Arabic Typesetting"/>
          <w:sz w:val="34"/>
          <w:szCs w:val="34"/>
          <w:rtl/>
        </w:rPr>
        <w:t>ع</w:t>
      </w:r>
      <w:r w:rsidRPr="005852E0">
        <w:rPr>
          <w:rFonts w:ascii="Arabic Typesetting" w:hAnsi="Arabic Typesetting" w:cs="Arabic Typesetting" w:hint="cs"/>
          <w:sz w:val="34"/>
          <w:szCs w:val="34"/>
          <w:rtl/>
        </w:rPr>
        <w:t>ي</w:t>
      </w:r>
      <w:r w:rsidRPr="005852E0">
        <w:rPr>
          <w:rFonts w:ascii="Arabic Typesetting" w:hAnsi="Arabic Typesetting" w:cs="Arabic Typesetting"/>
          <w:sz w:val="34"/>
          <w:szCs w:val="34"/>
          <w:rtl/>
        </w:rPr>
        <w:t>د</w:t>
      </w:r>
      <w:r w:rsidRPr="005852E0">
        <w:rPr>
          <w:rFonts w:ascii="Arabic Typesetting" w:hAnsi="Arabic Typesetting" w:cs="Arabic Typesetting" w:hint="cs"/>
          <w:sz w:val="34"/>
          <w:szCs w:val="34"/>
          <w:rtl/>
        </w:rPr>
        <w:t xml:space="preserve"> تحديد</w:t>
      </w:r>
      <w:r w:rsidRPr="005852E0">
        <w:rPr>
          <w:rFonts w:ascii="Arabic Typesetting" w:hAnsi="Arabic Typesetting" w:cs="Arabic Typesetting"/>
          <w:sz w:val="34"/>
          <w:szCs w:val="34"/>
          <w:rtl/>
        </w:rPr>
        <w:t xml:space="preserve"> تكلفة الوحدة الأولى لتشمل </w:t>
      </w:r>
      <w:r w:rsidRPr="005852E0">
        <w:rPr>
          <w:rFonts w:ascii="Arabic Typesetting" w:hAnsi="Arabic Typesetting" w:cs="Arabic Typesetting" w:hint="cs"/>
          <w:sz w:val="34"/>
          <w:szCs w:val="34"/>
          <w:rtl/>
        </w:rPr>
        <w:t xml:space="preserve">فقط </w:t>
      </w:r>
      <w:r w:rsidRPr="005852E0">
        <w:rPr>
          <w:rFonts w:ascii="Arabic Typesetting" w:hAnsi="Arabic Typesetting" w:cs="Arabic Typesetting"/>
          <w:sz w:val="34"/>
          <w:szCs w:val="34"/>
          <w:rtl/>
        </w:rPr>
        <w:t>التسجيلات و</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تجديد</w:t>
      </w:r>
      <w:r w:rsidRPr="005852E0">
        <w:rPr>
          <w:rFonts w:ascii="Arabic Typesetting" w:hAnsi="Arabic Typesetting" w:cs="Arabic Typesetting" w:hint="cs"/>
          <w:sz w:val="34"/>
          <w:szCs w:val="34"/>
          <w:rtl/>
        </w:rPr>
        <w:t>ات</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 xml:space="preserve">دولية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 xml:space="preserve">جديدة (شملت تكلفة الوحدة في </w:t>
      </w:r>
      <w:r w:rsidRPr="005852E0">
        <w:rPr>
          <w:rFonts w:ascii="Arabic Typesetting" w:hAnsi="Arabic Typesetting" w:cs="Arabic Typesetting" w:hint="cs"/>
          <w:sz w:val="34"/>
          <w:szCs w:val="34"/>
          <w:rtl/>
        </w:rPr>
        <w:t xml:space="preserve">وثيقة </w:t>
      </w:r>
      <w:r w:rsidRPr="005852E0">
        <w:rPr>
          <w:rFonts w:ascii="Arabic Typesetting" w:hAnsi="Arabic Typesetting" w:cs="Arabic Typesetting"/>
          <w:sz w:val="34"/>
          <w:szCs w:val="34"/>
          <w:rtl/>
        </w:rPr>
        <w:t>البرنامج والميزانية</w:t>
      </w:r>
      <w:r w:rsidRPr="005852E0">
        <w:rPr>
          <w:rFonts w:ascii="Arabic Typesetting" w:hAnsi="Arabic Typesetting" w:cs="Arabic Typesetting" w:hint="cs"/>
          <w:sz w:val="34"/>
          <w:szCs w:val="34"/>
          <w:rtl/>
        </w:rPr>
        <w:t xml:space="preserve"> للثنائية </w:t>
      </w:r>
      <w:r w:rsidRPr="005852E0">
        <w:rPr>
          <w:rFonts w:ascii="Arabic Typesetting" w:hAnsi="Arabic Typesetting" w:cs="Arabic Typesetting"/>
          <w:sz w:val="34"/>
          <w:szCs w:val="34"/>
          <w:rtl/>
        </w:rPr>
        <w:t xml:space="preserve">2014/15 </w:t>
      </w:r>
      <w:r w:rsidRPr="005852E0">
        <w:rPr>
          <w:rFonts w:ascii="Arabic Typesetting" w:hAnsi="Arabic Typesetting" w:cs="Arabic Typesetting" w:hint="cs"/>
          <w:sz w:val="34"/>
          <w:szCs w:val="34"/>
          <w:rtl/>
        </w:rPr>
        <w:t>التعيينات</w:t>
      </w:r>
      <w:r w:rsidRPr="005852E0">
        <w:rPr>
          <w:rFonts w:ascii="Arabic Typesetting" w:hAnsi="Arabic Typesetting" w:cs="Arabic Typesetting"/>
          <w:sz w:val="34"/>
          <w:szCs w:val="34"/>
          <w:rtl/>
        </w:rPr>
        <w:t xml:space="preserve"> اللاحقة أيضا). </w:t>
      </w:r>
      <w:r w:rsidRPr="005852E0">
        <w:rPr>
          <w:rFonts w:ascii="Arabic Typesetting" w:hAnsi="Arabic Typesetting" w:cs="Arabic Typesetting" w:hint="cs"/>
          <w:sz w:val="34"/>
          <w:szCs w:val="34"/>
          <w:rtl/>
        </w:rPr>
        <w:t xml:space="preserve">والأساس </w:t>
      </w:r>
      <w:r w:rsidRPr="005852E0">
        <w:rPr>
          <w:rFonts w:ascii="Arabic Typesetting" w:hAnsi="Arabic Typesetting" w:cs="Arabic Typesetting"/>
          <w:sz w:val="34"/>
          <w:szCs w:val="34"/>
          <w:rtl/>
        </w:rPr>
        <w:t>المنطق</w:t>
      </w:r>
      <w:r w:rsidRPr="005852E0">
        <w:rPr>
          <w:rFonts w:ascii="Arabic Typesetting" w:hAnsi="Arabic Typesetting" w:cs="Arabic Typesetting" w:hint="cs"/>
          <w:sz w:val="34"/>
          <w:szCs w:val="34"/>
          <w:rtl/>
        </w:rPr>
        <w:t>ي</w:t>
      </w:r>
      <w:r w:rsidRPr="005852E0">
        <w:rPr>
          <w:rFonts w:ascii="Arabic Typesetting" w:hAnsi="Arabic Typesetting" w:cs="Arabic Typesetting"/>
          <w:sz w:val="34"/>
          <w:szCs w:val="34"/>
          <w:rtl/>
        </w:rPr>
        <w:t xml:space="preserve"> ل</w:t>
      </w:r>
      <w:r w:rsidRPr="005852E0">
        <w:rPr>
          <w:rFonts w:ascii="Arabic Typesetting" w:hAnsi="Arabic Typesetting" w:cs="Arabic Typesetting" w:hint="cs"/>
          <w:sz w:val="34"/>
          <w:szCs w:val="34"/>
          <w:rtl/>
        </w:rPr>
        <w:t>حذف</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التعيينات</w:t>
      </w:r>
      <w:r w:rsidRPr="005852E0">
        <w:rPr>
          <w:rFonts w:ascii="Arabic Typesetting" w:hAnsi="Arabic Typesetting" w:cs="Arabic Typesetting"/>
          <w:sz w:val="34"/>
          <w:szCs w:val="34"/>
          <w:rtl/>
        </w:rPr>
        <w:t xml:space="preserve"> اللاحقة كعنصر من عناصر تكلفة الوحدة هو </w:t>
      </w:r>
      <w:r w:rsidRPr="005852E0">
        <w:rPr>
          <w:rFonts w:ascii="Arabic Typesetting" w:hAnsi="Arabic Typesetting" w:cs="Arabic Typesetting" w:hint="cs"/>
          <w:sz w:val="34"/>
          <w:szCs w:val="34"/>
          <w:rtl/>
        </w:rPr>
        <w:t xml:space="preserve">من أجل </w:t>
      </w:r>
      <w:r w:rsidRPr="005852E0">
        <w:rPr>
          <w:rFonts w:ascii="Arabic Typesetting" w:hAnsi="Arabic Typesetting" w:cs="Arabic Typesetting"/>
          <w:sz w:val="34"/>
          <w:szCs w:val="34"/>
          <w:rtl/>
        </w:rPr>
        <w:t xml:space="preserve">تركيز </w:t>
      </w:r>
      <w:r w:rsidRPr="005852E0">
        <w:rPr>
          <w:rFonts w:ascii="Arabic Typesetting" w:hAnsi="Arabic Typesetting" w:cs="Arabic Typesetting" w:hint="cs"/>
          <w:sz w:val="34"/>
          <w:szCs w:val="34"/>
          <w:rtl/>
        </w:rPr>
        <w:t xml:space="preserve">أكبر </w:t>
      </w:r>
      <w:r w:rsidRPr="005852E0">
        <w:rPr>
          <w:rFonts w:ascii="Arabic Typesetting" w:hAnsi="Arabic Typesetting" w:cs="Arabic Typesetting"/>
          <w:sz w:val="34"/>
          <w:szCs w:val="34"/>
          <w:rtl/>
        </w:rPr>
        <w:t xml:space="preserve">على </w:t>
      </w:r>
      <w:r w:rsidRPr="005852E0">
        <w:rPr>
          <w:rFonts w:ascii="Arabic Typesetting" w:hAnsi="Arabic Typesetting" w:cs="Arabic Typesetting" w:hint="cs"/>
          <w:sz w:val="34"/>
          <w:szCs w:val="34"/>
          <w:rtl/>
        </w:rPr>
        <w:t xml:space="preserve">مخرجات </w:t>
      </w:r>
      <w:r w:rsidRPr="005852E0">
        <w:rPr>
          <w:rFonts w:ascii="Arabic Typesetting" w:hAnsi="Arabic Typesetting" w:cs="Arabic Typesetting"/>
          <w:sz w:val="34"/>
          <w:szCs w:val="34"/>
          <w:rtl/>
        </w:rPr>
        <w:t>مدريد</w:t>
      </w:r>
      <w:r w:rsidRPr="005852E0">
        <w:rPr>
          <w:rFonts w:ascii="Arabic Typesetting" w:hAnsi="Arabic Typesetting" w:cs="Arabic Typesetting" w:hint="cs"/>
          <w:sz w:val="34"/>
          <w:szCs w:val="34"/>
          <w:rtl/>
        </w:rPr>
        <w:t xml:space="preserve"> الرئيسية</w:t>
      </w:r>
      <w:r w:rsidRPr="005852E0">
        <w:rPr>
          <w:rFonts w:ascii="Arabic Typesetting" w:hAnsi="Arabic Typesetting" w:cs="Arabic Typesetting"/>
          <w:sz w:val="34"/>
          <w:szCs w:val="34"/>
          <w:rtl/>
        </w:rPr>
        <w:t xml:space="preserve">، وهي التسجيل الدولي وتجديده. </w:t>
      </w:r>
      <w:r w:rsidRPr="005852E0">
        <w:rPr>
          <w:rFonts w:ascii="Arabic Typesetting" w:hAnsi="Arabic Typesetting" w:cs="Arabic Typesetting" w:hint="cs"/>
          <w:sz w:val="34"/>
          <w:szCs w:val="34"/>
          <w:rtl/>
        </w:rPr>
        <w:t>و</w:t>
      </w:r>
      <w:r w:rsidRPr="005852E0">
        <w:rPr>
          <w:rFonts w:ascii="Arabic Typesetting" w:hAnsi="Arabic Typesetting" w:cs="Arabic Typesetting"/>
          <w:sz w:val="34"/>
          <w:szCs w:val="34"/>
          <w:rtl/>
        </w:rPr>
        <w:t xml:space="preserve">يمكن </w:t>
      </w:r>
      <w:r w:rsidRPr="005852E0">
        <w:rPr>
          <w:rFonts w:ascii="Arabic Typesetting" w:hAnsi="Arabic Typesetting" w:cs="Arabic Typesetting" w:hint="cs"/>
          <w:sz w:val="34"/>
          <w:szCs w:val="34"/>
          <w:rtl/>
        </w:rPr>
        <w:t xml:space="preserve">اعتبرا </w:t>
      </w:r>
      <w:r w:rsidRPr="005852E0">
        <w:rPr>
          <w:rFonts w:ascii="Arabic Typesetting" w:hAnsi="Arabic Typesetting" w:cs="Arabic Typesetting"/>
          <w:sz w:val="34"/>
          <w:szCs w:val="34"/>
          <w:rtl/>
        </w:rPr>
        <w:t xml:space="preserve">جميع </w:t>
      </w:r>
      <w:r w:rsidRPr="005852E0">
        <w:rPr>
          <w:rFonts w:ascii="Arabic Typesetting" w:hAnsi="Arabic Typesetting" w:cs="Arabic Typesetting" w:hint="cs"/>
          <w:sz w:val="34"/>
          <w:szCs w:val="34"/>
          <w:rtl/>
        </w:rPr>
        <w:t>م</w:t>
      </w:r>
      <w:r w:rsidRPr="005852E0">
        <w:rPr>
          <w:rFonts w:ascii="Arabic Typesetting" w:hAnsi="Arabic Typesetting" w:cs="Arabic Typesetting"/>
          <w:sz w:val="34"/>
          <w:szCs w:val="34"/>
          <w:rtl/>
        </w:rPr>
        <w:t>عاملات مدريد الأخرى (</w:t>
      </w:r>
      <w:r w:rsidRPr="005852E0">
        <w:rPr>
          <w:rFonts w:ascii="Arabic Typesetting" w:hAnsi="Arabic Typesetting" w:cs="Arabic Typesetting" w:hint="cs"/>
          <w:sz w:val="34"/>
          <w:szCs w:val="34"/>
          <w:rtl/>
        </w:rPr>
        <w:t>التعيينات</w:t>
      </w:r>
      <w:r w:rsidRPr="005852E0">
        <w:rPr>
          <w:rFonts w:ascii="Arabic Typesetting" w:hAnsi="Arabic Typesetting" w:cs="Arabic Typesetting"/>
          <w:sz w:val="34"/>
          <w:szCs w:val="34"/>
          <w:rtl/>
        </w:rPr>
        <w:t xml:space="preserve"> اللاحقة والتعديلات والقرارات </w:t>
      </w:r>
      <w:r w:rsidRPr="005852E0">
        <w:rPr>
          <w:rFonts w:ascii="Arabic Typesetting" w:hAnsi="Arabic Typesetting" w:cs="Arabic Typesetting" w:hint="cs"/>
          <w:sz w:val="34"/>
          <w:szCs w:val="34"/>
          <w:rtl/>
        </w:rPr>
        <w:t>والتصحيحات</w:t>
      </w:r>
      <w:r w:rsidRPr="005852E0">
        <w:rPr>
          <w:rFonts w:ascii="Arabic Typesetting" w:hAnsi="Arabic Typesetting" w:cs="Arabic Typesetting"/>
          <w:sz w:val="34"/>
          <w:szCs w:val="34"/>
          <w:rtl/>
        </w:rPr>
        <w:t>) ثانوية</w:t>
      </w:r>
      <w:r w:rsidRPr="005852E0">
        <w:rPr>
          <w:rFonts w:ascii="Arabic Typesetting" w:hAnsi="Arabic Typesetting" w:cs="Arabic Typesetting" w:hint="cs"/>
          <w:sz w:val="34"/>
          <w:szCs w:val="34"/>
          <w:rtl/>
        </w:rPr>
        <w:t xml:space="preserve"> مقارنة بتلك</w:t>
      </w:r>
      <w:r w:rsidRPr="005852E0">
        <w:rPr>
          <w:rFonts w:ascii="Arabic Typesetting" w:hAnsi="Arabic Typesetting" w:cs="Arabic Typesetting"/>
          <w:sz w:val="34"/>
          <w:szCs w:val="34"/>
          <w:rtl/>
        </w:rPr>
        <w:t xml:space="preserve"> المعامل</w:t>
      </w:r>
      <w:r w:rsidRPr="005852E0">
        <w:rPr>
          <w:rFonts w:ascii="Arabic Typesetting" w:hAnsi="Arabic Typesetting" w:cs="Arabic Typesetting" w:hint="cs"/>
          <w:sz w:val="34"/>
          <w:szCs w:val="34"/>
          <w:rtl/>
        </w:rPr>
        <w:t>تين</w:t>
      </w:r>
      <w:r w:rsidRPr="005852E0">
        <w:rPr>
          <w:rFonts w:ascii="Arabic Typesetting" w:hAnsi="Arabic Typesetting" w:cs="Arabic Typesetting"/>
          <w:sz w:val="34"/>
          <w:szCs w:val="34"/>
          <w:rtl/>
        </w:rPr>
        <w:t xml:space="preserve"> الأساسيتين. وعلاوة على ذلك، </w:t>
      </w:r>
      <w:r w:rsidRPr="005852E0">
        <w:rPr>
          <w:rFonts w:ascii="Arabic Typesetting" w:hAnsi="Arabic Typesetting" w:cs="Arabic Typesetting" w:hint="cs"/>
          <w:sz w:val="34"/>
          <w:szCs w:val="34"/>
          <w:rtl/>
        </w:rPr>
        <w:t>فإن من الصعب تبرير</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 xml:space="preserve">إدراج معاملة من تلك </w:t>
      </w:r>
      <w:r w:rsidRPr="005852E0">
        <w:rPr>
          <w:rFonts w:ascii="Arabic Typesetting" w:hAnsi="Arabic Typesetting" w:cs="Arabic Typesetting"/>
          <w:sz w:val="34"/>
          <w:szCs w:val="34"/>
          <w:rtl/>
        </w:rPr>
        <w:t xml:space="preserve">المعاملات الثانوية كعنصر من عناصر </w:t>
      </w:r>
      <w:r w:rsidRPr="005852E0">
        <w:rPr>
          <w:rFonts w:ascii="Arabic Typesetting" w:hAnsi="Arabic Typesetting" w:cs="Arabic Typesetting" w:hint="cs"/>
          <w:sz w:val="34"/>
          <w:szCs w:val="34"/>
          <w:rtl/>
        </w:rPr>
        <w:t>تكلفة</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وحدة</w:t>
      </w:r>
      <w:r w:rsidRPr="005852E0">
        <w:rPr>
          <w:rFonts w:ascii="Arabic Typesetting" w:hAnsi="Arabic Typesetting" w:cs="Arabic Typesetting" w:hint="cs"/>
          <w:sz w:val="34"/>
          <w:szCs w:val="34"/>
          <w:rtl/>
        </w:rPr>
        <w:t xml:space="preserve"> الأولى واستبعاد المعاملات الأخرى</w:t>
      </w:r>
      <w:r w:rsidRPr="005852E0">
        <w:rPr>
          <w:rFonts w:ascii="Arabic Typesetting" w:hAnsi="Arabic Typesetting" w:cs="Arabic Typesetting"/>
          <w:sz w:val="34"/>
          <w:szCs w:val="34"/>
        </w:rPr>
        <w:t>.</w:t>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ولا ت</w:t>
      </w:r>
      <w:r w:rsidRPr="005852E0">
        <w:rPr>
          <w:rFonts w:ascii="Arabic Typesetting" w:hAnsi="Arabic Typesetting" w:cs="Arabic Typesetting"/>
          <w:sz w:val="34"/>
          <w:szCs w:val="34"/>
          <w:rtl/>
        </w:rPr>
        <w:t xml:space="preserve">ستند تكلفة الوحدة الثانية </w:t>
      </w:r>
      <w:r w:rsidRPr="005852E0">
        <w:rPr>
          <w:rFonts w:ascii="Arabic Typesetting" w:hAnsi="Arabic Typesetting" w:cs="Arabic Typesetting" w:hint="cs"/>
          <w:sz w:val="34"/>
          <w:szCs w:val="34"/>
          <w:rtl/>
        </w:rPr>
        <w:t>سوى إ</w:t>
      </w:r>
      <w:r w:rsidRPr="005852E0">
        <w:rPr>
          <w:rFonts w:ascii="Arabic Typesetting" w:hAnsi="Arabic Typesetting" w:cs="Arabic Typesetting"/>
          <w:sz w:val="34"/>
          <w:szCs w:val="34"/>
          <w:rtl/>
        </w:rPr>
        <w:t xml:space="preserve">لى عدد الوثائق </w:t>
      </w:r>
      <w:r w:rsidRPr="005852E0">
        <w:rPr>
          <w:rFonts w:ascii="Arabic Typesetting" w:hAnsi="Arabic Typesetting" w:cs="Arabic Typesetting" w:hint="cs"/>
          <w:sz w:val="34"/>
          <w:szCs w:val="34"/>
          <w:rtl/>
        </w:rPr>
        <w:t>المدونة</w:t>
      </w:r>
      <w:r w:rsidRPr="005852E0">
        <w:rPr>
          <w:rFonts w:ascii="Arabic Typesetting" w:hAnsi="Arabic Typesetting" w:cs="Arabic Typesetting"/>
          <w:sz w:val="34"/>
          <w:szCs w:val="34"/>
          <w:rtl/>
        </w:rPr>
        <w:t xml:space="preserve"> في السجل</w:t>
      </w:r>
      <w:r w:rsidRPr="005852E0">
        <w:rPr>
          <w:rFonts w:ascii="Arabic Typesetting" w:hAnsi="Arabic Typesetting" w:cs="Arabic Typesetting" w:hint="cs"/>
          <w:sz w:val="34"/>
          <w:szCs w:val="34"/>
          <w:rtl/>
        </w:rPr>
        <w:t>، أيا كان اختلاف مستويات الموارد اللازمة لمعالجتها</w:t>
      </w:r>
      <w:r w:rsidRPr="005852E0">
        <w:rPr>
          <w:rFonts w:ascii="Arabic Typesetting" w:hAnsi="Arabic Typesetting" w:cs="Arabic Typesetting"/>
          <w:sz w:val="34"/>
          <w:szCs w:val="34"/>
        </w:rPr>
        <w:t>.</w:t>
      </w:r>
    </w:p>
    <w:p w:rsidR="005852E0" w:rsidRPr="005852E0" w:rsidRDefault="005852E0" w:rsidP="009A3712">
      <w:pPr>
        <w:numPr>
          <w:ilvl w:val="0"/>
          <w:numId w:val="45"/>
        </w:numPr>
        <w:bidi/>
        <w:spacing w:after="200" w:line="276" w:lineRule="auto"/>
        <w:rPr>
          <w:rFonts w:ascii="Arabic Typesetting" w:hAnsi="Arabic Typesetting" w:cs="Arabic Typesetting"/>
          <w:sz w:val="34"/>
          <w:szCs w:val="34"/>
          <w:rtl/>
        </w:rPr>
      </w:pPr>
      <w:r w:rsidRPr="005852E0">
        <w:rPr>
          <w:rFonts w:ascii="Arabic Typesetting" w:hAnsi="Arabic Typesetting" w:cs="Arabic Typesetting" w:hint="cs"/>
          <w:sz w:val="34"/>
          <w:szCs w:val="34"/>
          <w:rtl/>
        </w:rPr>
        <w:t xml:space="preserve">وتسهيلا </w:t>
      </w:r>
      <w:r w:rsidRPr="005852E0">
        <w:rPr>
          <w:rFonts w:ascii="Arabic Typesetting" w:hAnsi="Arabic Typesetting" w:cs="Arabic Typesetting"/>
          <w:sz w:val="34"/>
          <w:szCs w:val="34"/>
          <w:rtl/>
        </w:rPr>
        <w:t>لمقارنة</w:t>
      </w:r>
      <w:r w:rsidRPr="005852E0">
        <w:rPr>
          <w:rFonts w:ascii="Arabic Typesetting" w:hAnsi="Arabic Typesetting" w:cs="Arabic Typesetting" w:hint="cs"/>
          <w:sz w:val="34"/>
          <w:szCs w:val="34"/>
          <w:rtl/>
        </w:rPr>
        <w:t xml:space="preserve"> البيانات</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تعرض الأشكال</w:t>
      </w:r>
      <w:r w:rsidRPr="005852E0">
        <w:rPr>
          <w:rFonts w:ascii="Arabic Typesetting" w:hAnsi="Arabic Typesetting" w:cs="Arabic Typesetting"/>
          <w:sz w:val="34"/>
          <w:szCs w:val="34"/>
          <w:rtl/>
        </w:rPr>
        <w:t xml:space="preserve"> البيانية </w:t>
      </w:r>
      <w:r w:rsidR="003B2ED5">
        <w:rPr>
          <w:rFonts w:ascii="Arabic Typesetting" w:hAnsi="Arabic Typesetting" w:cs="Arabic Typesetting" w:hint="cs"/>
          <w:sz w:val="34"/>
          <w:szCs w:val="34"/>
          <w:rtl/>
        </w:rPr>
        <w:t>التالية</w:t>
      </w:r>
      <w:r w:rsidRPr="005852E0">
        <w:rPr>
          <w:rFonts w:ascii="Arabic Typesetting" w:hAnsi="Arabic Typesetting" w:cs="Arabic Typesetting"/>
          <w:sz w:val="34"/>
          <w:szCs w:val="34"/>
          <w:rtl/>
        </w:rPr>
        <w:t xml:space="preserve"> تطور تكاليف وحد</w:t>
      </w:r>
      <w:r w:rsidRPr="005852E0">
        <w:rPr>
          <w:rFonts w:ascii="Arabic Typesetting" w:hAnsi="Arabic Typesetting" w:cs="Arabic Typesetting" w:hint="cs"/>
          <w:sz w:val="34"/>
          <w:szCs w:val="34"/>
          <w:rtl/>
        </w:rPr>
        <w:t xml:space="preserve">تين </w:t>
      </w:r>
      <w:r w:rsidRPr="005852E0">
        <w:rPr>
          <w:rFonts w:ascii="Arabic Typesetting" w:hAnsi="Arabic Typesetting" w:cs="Arabic Typesetting"/>
          <w:sz w:val="34"/>
          <w:szCs w:val="34"/>
          <w:rtl/>
        </w:rPr>
        <w:t>اثن</w:t>
      </w:r>
      <w:r w:rsidRPr="005852E0">
        <w:rPr>
          <w:rFonts w:ascii="Arabic Typesetting" w:hAnsi="Arabic Typesetting" w:cs="Arabic Typesetting" w:hint="cs"/>
          <w:sz w:val="34"/>
          <w:szCs w:val="34"/>
          <w:rtl/>
        </w:rPr>
        <w:t>ت</w:t>
      </w:r>
      <w:r w:rsidRPr="005852E0">
        <w:rPr>
          <w:rFonts w:ascii="Arabic Typesetting" w:hAnsi="Arabic Typesetting" w:cs="Arabic Typesetting"/>
          <w:sz w:val="34"/>
          <w:szCs w:val="34"/>
          <w:rtl/>
        </w:rPr>
        <w:t>ين</w:t>
      </w:r>
      <w:r w:rsidRPr="005852E0">
        <w:rPr>
          <w:rFonts w:ascii="Arabic Typesetting" w:hAnsi="Arabic Typesetting" w:cs="Arabic Typesetting" w:hint="cs"/>
          <w:sz w:val="34"/>
          <w:szCs w:val="34"/>
          <w:rtl/>
        </w:rPr>
        <w:t xml:space="preserve"> من </w:t>
      </w:r>
      <w:r w:rsidRPr="005852E0">
        <w:rPr>
          <w:rFonts w:ascii="Arabic Typesetting" w:hAnsi="Arabic Typesetting" w:cs="Arabic Typesetting"/>
          <w:sz w:val="34"/>
          <w:szCs w:val="34"/>
          <w:rtl/>
        </w:rPr>
        <w:t>2008</w:t>
      </w:r>
      <w:r w:rsidRPr="005852E0">
        <w:rPr>
          <w:rFonts w:ascii="Arabic Typesetting" w:hAnsi="Arabic Typesetting" w:cs="Arabic Typesetting" w:hint="cs"/>
          <w:sz w:val="34"/>
          <w:szCs w:val="34"/>
          <w:rtl/>
        </w:rPr>
        <w:t xml:space="preserve"> إلى </w:t>
      </w:r>
      <w:r w:rsidRPr="005852E0">
        <w:rPr>
          <w:rFonts w:ascii="Arabic Typesetting" w:hAnsi="Arabic Typesetting" w:cs="Arabic Typesetting"/>
          <w:sz w:val="34"/>
          <w:szCs w:val="34"/>
          <w:rtl/>
        </w:rPr>
        <w:t xml:space="preserve">2014 باستخدام المنهجية القديمة </w:t>
      </w:r>
      <w:r w:rsidRPr="005852E0">
        <w:rPr>
          <w:rFonts w:ascii="Arabic Typesetting" w:hAnsi="Arabic Typesetting" w:cs="Arabic Typesetting" w:hint="cs"/>
          <w:sz w:val="34"/>
          <w:szCs w:val="34"/>
          <w:rtl/>
        </w:rPr>
        <w:t>ومن</w:t>
      </w:r>
      <w:r w:rsidRPr="005852E0">
        <w:rPr>
          <w:rFonts w:ascii="Arabic Typesetting" w:hAnsi="Arabic Typesetting" w:cs="Arabic Typesetting" w:hint="eastAsia"/>
          <w:sz w:val="34"/>
          <w:szCs w:val="34"/>
          <w:rtl/>
        </w:rPr>
        <w:t> </w:t>
      </w:r>
      <w:r w:rsidRPr="005852E0">
        <w:rPr>
          <w:rFonts w:ascii="Arabic Typesetting" w:hAnsi="Arabic Typesetting" w:cs="Arabic Typesetting"/>
          <w:sz w:val="34"/>
          <w:szCs w:val="34"/>
          <w:rtl/>
        </w:rPr>
        <w:t>2012</w:t>
      </w:r>
      <w:r w:rsidRPr="005852E0">
        <w:rPr>
          <w:rFonts w:ascii="Arabic Typesetting" w:hAnsi="Arabic Typesetting" w:cs="Arabic Typesetting" w:hint="cs"/>
          <w:sz w:val="34"/>
          <w:szCs w:val="34"/>
          <w:rtl/>
        </w:rPr>
        <w:t xml:space="preserve"> إلى</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w:t>
      </w:r>
      <w:r w:rsidRPr="005852E0">
        <w:rPr>
          <w:rFonts w:ascii="Arabic Typesetting" w:hAnsi="Arabic Typesetting" w:cs="Arabic Typesetting"/>
          <w:sz w:val="34"/>
          <w:szCs w:val="34"/>
          <w:rtl/>
        </w:rPr>
        <w:t xml:space="preserve"> باستخدام المنهجية الجديدة، بما في ذلك </w:t>
      </w:r>
      <w:r w:rsidRPr="005852E0">
        <w:rPr>
          <w:rFonts w:ascii="Arabic Typesetting" w:hAnsi="Arabic Typesetting" w:cs="Arabic Typesetting" w:hint="cs"/>
          <w:sz w:val="34"/>
          <w:szCs w:val="34"/>
          <w:rtl/>
        </w:rPr>
        <w:t xml:space="preserve">تفصيل </w:t>
      </w:r>
      <w:r w:rsidRPr="005852E0">
        <w:rPr>
          <w:rFonts w:ascii="Arabic Typesetting" w:hAnsi="Arabic Typesetting" w:cs="Arabic Typesetting"/>
          <w:sz w:val="34"/>
          <w:szCs w:val="34"/>
          <w:rtl/>
        </w:rPr>
        <w:t>لمساهمة التكاليف المباشرة وغير المباشرة</w:t>
      </w:r>
      <w:r w:rsidRPr="005852E0">
        <w:rPr>
          <w:rFonts w:ascii="Arabic Typesetting" w:hAnsi="Arabic Typesetting" w:cs="Arabic Typesetting"/>
          <w:sz w:val="34"/>
          <w:szCs w:val="34"/>
        </w:rPr>
        <w:t>.</w:t>
      </w:r>
    </w:p>
    <w:p w:rsidR="005852E0" w:rsidRPr="005852E0" w:rsidRDefault="005852E0" w:rsidP="005852E0">
      <w:pPr>
        <w:keepNext/>
        <w:bidi/>
        <w:spacing w:before="120" w:after="120" w:line="340" w:lineRule="exact"/>
        <w:ind w:left="423"/>
        <w:rPr>
          <w:rFonts w:ascii="Arabic Typesetting" w:hAnsi="Arabic Typesetting" w:cs="Arabic Typesetting"/>
          <w:i/>
          <w:iCs/>
          <w:sz w:val="34"/>
          <w:szCs w:val="34"/>
          <w:rtl/>
        </w:rPr>
      </w:pPr>
      <w:r w:rsidRPr="005852E0">
        <w:rPr>
          <w:rFonts w:ascii="Arabic Typesetting" w:hAnsi="Arabic Typesetting" w:cs="Arabic Typesetting"/>
          <w:i/>
          <w:iCs/>
          <w:sz w:val="34"/>
          <w:szCs w:val="34"/>
          <w:rtl/>
        </w:rPr>
        <w:t>تكلفة الوحدة لكل</w:t>
      </w:r>
      <w:r w:rsidRPr="005852E0">
        <w:rPr>
          <w:rFonts w:ascii="Arabic Typesetting" w:hAnsi="Arabic Typesetting" w:cs="Arabic Typesetting" w:hint="cs"/>
          <w:i/>
          <w:iCs/>
          <w:sz w:val="34"/>
          <w:szCs w:val="34"/>
          <w:rtl/>
        </w:rPr>
        <w:t xml:space="preserve"> </w:t>
      </w:r>
      <w:r w:rsidRPr="005852E0">
        <w:rPr>
          <w:rFonts w:ascii="Arabic Typesetting" w:hAnsi="Arabic Typesetting" w:cs="Arabic Typesetting"/>
          <w:i/>
          <w:iCs/>
          <w:sz w:val="34"/>
          <w:szCs w:val="34"/>
          <w:rtl/>
        </w:rPr>
        <w:t>تسجيل دولي جديد/</w:t>
      </w:r>
      <w:r w:rsidRPr="005852E0">
        <w:rPr>
          <w:rFonts w:ascii="Arabic Typesetting" w:hAnsi="Arabic Typesetting" w:cs="Arabic Typesetting" w:hint="cs"/>
          <w:i/>
          <w:iCs/>
          <w:sz w:val="34"/>
          <w:szCs w:val="34"/>
          <w:rtl/>
        </w:rPr>
        <w:t>م</w:t>
      </w:r>
      <w:r w:rsidRPr="005852E0">
        <w:rPr>
          <w:rFonts w:ascii="Arabic Typesetting" w:hAnsi="Arabic Typesetting" w:cs="Arabic Typesetting"/>
          <w:i/>
          <w:iCs/>
          <w:sz w:val="34"/>
          <w:szCs w:val="34"/>
          <w:rtl/>
        </w:rPr>
        <w:t>جد</w:t>
      </w:r>
      <w:r w:rsidRPr="005852E0">
        <w:rPr>
          <w:rFonts w:ascii="Arabic Typesetting" w:hAnsi="Arabic Typesetting" w:cs="Arabic Typesetting" w:hint="cs"/>
          <w:i/>
          <w:iCs/>
          <w:sz w:val="34"/>
          <w:szCs w:val="34"/>
          <w:rtl/>
        </w:rPr>
        <w:t>ّ</w:t>
      </w:r>
      <w:r w:rsidRPr="005852E0">
        <w:rPr>
          <w:rFonts w:ascii="Arabic Typesetting" w:hAnsi="Arabic Typesetting" w:cs="Arabic Typesetting"/>
          <w:i/>
          <w:iCs/>
          <w:sz w:val="34"/>
          <w:szCs w:val="34"/>
          <w:rtl/>
        </w:rPr>
        <w:t>د</w:t>
      </w:r>
    </w:p>
    <w:p w:rsidR="005852E0" w:rsidRPr="005852E0" w:rsidRDefault="005852E0" w:rsidP="009A3712">
      <w:pPr>
        <w:numPr>
          <w:ilvl w:val="0"/>
          <w:numId w:val="45"/>
        </w:numPr>
        <w:bidi/>
        <w:spacing w:after="200" w:line="276" w:lineRule="auto"/>
        <w:rPr>
          <w:rFonts w:ascii="Arabic Typesetting" w:hAnsi="Arabic Typesetting" w:cs="Arabic Typesetting"/>
          <w:sz w:val="34"/>
          <w:szCs w:val="34"/>
          <w:rtl/>
        </w:rPr>
      </w:pPr>
      <w:r w:rsidRPr="005852E0">
        <w:rPr>
          <w:rFonts w:ascii="Arabic Typesetting" w:hAnsi="Arabic Typesetting" w:cs="Arabic Typesetting"/>
          <w:sz w:val="34"/>
          <w:szCs w:val="34"/>
          <w:rtl/>
        </w:rPr>
        <w:t xml:space="preserve">التسجيلات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 xml:space="preserve">دولية </w:t>
      </w:r>
      <w:r w:rsidRPr="005852E0">
        <w:rPr>
          <w:rFonts w:ascii="Arabic Typesetting" w:hAnsi="Arabic Typesetting" w:cs="Arabic Typesetting" w:hint="cs"/>
          <w:sz w:val="34"/>
          <w:szCs w:val="34"/>
          <w:rtl/>
        </w:rPr>
        <w:t>ال</w:t>
      </w:r>
      <w:r w:rsidRPr="005852E0">
        <w:rPr>
          <w:rFonts w:ascii="Arabic Typesetting" w:hAnsi="Arabic Typesetting" w:cs="Arabic Typesetting"/>
          <w:sz w:val="34"/>
          <w:szCs w:val="34"/>
          <w:rtl/>
        </w:rPr>
        <w:t xml:space="preserve">جديدة </w:t>
      </w:r>
      <w:r w:rsidRPr="005852E0">
        <w:rPr>
          <w:rFonts w:ascii="Arabic Typesetting" w:hAnsi="Arabic Typesetting" w:cs="Arabic Typesetting" w:hint="cs"/>
          <w:sz w:val="34"/>
          <w:szCs w:val="34"/>
          <w:rtl/>
        </w:rPr>
        <w:t>هي الطلبات المسجلة</w:t>
      </w:r>
      <w:r w:rsidRPr="005852E0">
        <w:rPr>
          <w:rFonts w:ascii="Arabic Typesetting" w:hAnsi="Arabic Typesetting" w:cs="Arabic Typesetting"/>
          <w:sz w:val="34"/>
          <w:szCs w:val="34"/>
          <w:rtl/>
        </w:rPr>
        <w:t xml:space="preserve"> خلال سنة معينة، </w:t>
      </w:r>
      <w:r w:rsidRPr="005852E0">
        <w:rPr>
          <w:rFonts w:ascii="Arabic Typesetting" w:hAnsi="Arabic Typesetting" w:cs="Arabic Typesetting" w:hint="cs"/>
          <w:sz w:val="34"/>
          <w:szCs w:val="34"/>
          <w:rtl/>
        </w:rPr>
        <w:t>و</w:t>
      </w:r>
      <w:r w:rsidRPr="005852E0">
        <w:rPr>
          <w:rFonts w:ascii="Arabic Typesetting" w:hAnsi="Arabic Typesetting" w:cs="Arabic Typesetting"/>
          <w:sz w:val="34"/>
          <w:szCs w:val="34"/>
          <w:rtl/>
        </w:rPr>
        <w:t xml:space="preserve">التسجيلات الدولية </w:t>
      </w:r>
      <w:r w:rsidRPr="005852E0">
        <w:rPr>
          <w:rFonts w:ascii="Arabic Typesetting" w:hAnsi="Arabic Typesetting" w:cs="Arabic Typesetting" w:hint="cs"/>
          <w:sz w:val="34"/>
          <w:szCs w:val="34"/>
          <w:rtl/>
        </w:rPr>
        <w:t xml:space="preserve">المجدّدة هي </w:t>
      </w:r>
      <w:r w:rsidRPr="005852E0">
        <w:rPr>
          <w:rFonts w:ascii="Arabic Typesetting" w:hAnsi="Arabic Typesetting" w:cs="Arabic Typesetting"/>
          <w:sz w:val="34"/>
          <w:szCs w:val="34"/>
          <w:rtl/>
        </w:rPr>
        <w:t xml:space="preserve">التسجيلات </w:t>
      </w:r>
      <w:r w:rsidRPr="005852E0">
        <w:rPr>
          <w:rFonts w:ascii="Arabic Typesetting" w:hAnsi="Arabic Typesetting" w:cs="Arabic Typesetting" w:hint="cs"/>
          <w:sz w:val="34"/>
          <w:szCs w:val="34"/>
          <w:rtl/>
        </w:rPr>
        <w:t>الموجودة أصلا و</w:t>
      </w:r>
      <w:r w:rsidRPr="005852E0">
        <w:rPr>
          <w:rFonts w:ascii="Arabic Typesetting" w:hAnsi="Arabic Typesetting" w:cs="Arabic Typesetting"/>
          <w:sz w:val="34"/>
          <w:szCs w:val="34"/>
          <w:rtl/>
        </w:rPr>
        <w:t xml:space="preserve">التي يتم تجديدها خلال سنة معينة. </w:t>
      </w:r>
      <w:r w:rsidRPr="005852E0">
        <w:rPr>
          <w:rFonts w:ascii="Arabic Typesetting" w:hAnsi="Arabic Typesetting" w:cs="Arabic Typesetting" w:hint="cs"/>
          <w:sz w:val="34"/>
          <w:szCs w:val="34"/>
          <w:rtl/>
        </w:rPr>
        <w:t>ويعكس</w:t>
      </w:r>
      <w:r w:rsidRPr="005852E0">
        <w:rPr>
          <w:rFonts w:ascii="Arabic Typesetting" w:hAnsi="Arabic Typesetting" w:cs="Arabic Typesetting"/>
          <w:sz w:val="34"/>
          <w:szCs w:val="34"/>
          <w:rtl/>
        </w:rPr>
        <w:t xml:space="preserve"> </w:t>
      </w:r>
      <w:r w:rsidRPr="005852E0">
        <w:rPr>
          <w:rFonts w:ascii="Arabic Typesetting" w:hAnsi="Arabic Typesetting" w:cs="Arabic Typesetting" w:hint="cs"/>
          <w:sz w:val="34"/>
          <w:szCs w:val="34"/>
          <w:rtl/>
        </w:rPr>
        <w:t xml:space="preserve">ذلك النوعان من </w:t>
      </w:r>
      <w:r w:rsidRPr="005852E0">
        <w:rPr>
          <w:rFonts w:ascii="Arabic Typesetting" w:hAnsi="Arabic Typesetting" w:cs="Arabic Typesetting"/>
          <w:sz w:val="34"/>
          <w:szCs w:val="34"/>
          <w:rtl/>
        </w:rPr>
        <w:t xml:space="preserve">المعاملات العمل الأساسي </w:t>
      </w:r>
      <w:r w:rsidRPr="005852E0">
        <w:rPr>
          <w:rFonts w:ascii="Arabic Typesetting" w:hAnsi="Arabic Typesetting" w:cs="Arabic Typesetting" w:hint="cs"/>
          <w:sz w:val="34"/>
          <w:szCs w:val="34"/>
          <w:rtl/>
        </w:rPr>
        <w:t>ل</w:t>
      </w:r>
      <w:r w:rsidRPr="005852E0">
        <w:rPr>
          <w:rFonts w:ascii="Arabic Typesetting" w:hAnsi="Arabic Typesetting" w:cs="Arabic Typesetting"/>
          <w:sz w:val="34"/>
          <w:szCs w:val="34"/>
          <w:rtl/>
        </w:rPr>
        <w:t>لمكتب الدولي</w:t>
      </w:r>
      <w:r w:rsidRPr="005852E0">
        <w:rPr>
          <w:rFonts w:ascii="Arabic Typesetting" w:hAnsi="Arabic Typesetting" w:cs="Arabic Typesetting"/>
          <w:sz w:val="34"/>
          <w:szCs w:val="34"/>
        </w:rPr>
        <w:t>.</w:t>
      </w:r>
    </w:p>
    <w:p w:rsidR="005852E0" w:rsidRPr="00E057AF" w:rsidRDefault="005852E0" w:rsidP="009A3712">
      <w:pPr>
        <w:numPr>
          <w:ilvl w:val="0"/>
          <w:numId w:val="45"/>
        </w:numPr>
        <w:bidi/>
        <w:spacing w:after="120" w:line="340" w:lineRule="exact"/>
        <w:rPr>
          <w:rFonts w:ascii="Arabic Typesetting" w:hAnsi="Arabic Typesetting" w:cs="Arabic Typesetting"/>
          <w:sz w:val="34"/>
          <w:szCs w:val="34"/>
          <w:rtl/>
        </w:rPr>
      </w:pPr>
      <w:r w:rsidRPr="00E057AF">
        <w:rPr>
          <w:rFonts w:ascii="Arabic Typesetting" w:hAnsi="Arabic Typesetting" w:cs="Arabic Typesetting" w:hint="cs"/>
          <w:sz w:val="34"/>
          <w:szCs w:val="34"/>
          <w:rtl/>
        </w:rPr>
        <w:t>وبما أن معالجة ذلك النوعين من المعاملات ل</w:t>
      </w:r>
      <w:r w:rsidRPr="00E057AF">
        <w:rPr>
          <w:rFonts w:ascii="Arabic Typesetting" w:hAnsi="Arabic Typesetting" w:cs="Arabic Typesetting"/>
          <w:sz w:val="34"/>
          <w:szCs w:val="34"/>
          <w:rtl/>
        </w:rPr>
        <w:t xml:space="preserve">ا </w:t>
      </w:r>
      <w:r w:rsidRPr="00E057AF">
        <w:rPr>
          <w:rFonts w:ascii="Arabic Typesetting" w:hAnsi="Arabic Typesetting" w:cs="Arabic Typesetting" w:hint="cs"/>
          <w:sz w:val="34"/>
          <w:szCs w:val="34"/>
          <w:rtl/>
        </w:rPr>
        <w:t>ي</w:t>
      </w:r>
      <w:r w:rsidRPr="00E057AF">
        <w:rPr>
          <w:rFonts w:ascii="Arabic Typesetting" w:hAnsi="Arabic Typesetting" w:cs="Arabic Typesetting"/>
          <w:sz w:val="34"/>
          <w:szCs w:val="34"/>
          <w:rtl/>
        </w:rPr>
        <w:t xml:space="preserve">تطلب موارد متساوية، </w:t>
      </w:r>
      <w:r w:rsidRPr="00E057AF">
        <w:rPr>
          <w:rFonts w:ascii="Arabic Typesetting" w:hAnsi="Arabic Typesetting" w:cs="Arabic Typesetting" w:hint="cs"/>
          <w:sz w:val="34"/>
          <w:szCs w:val="34"/>
          <w:rtl/>
        </w:rPr>
        <w:t>فكل</w:t>
      </w:r>
      <w:r w:rsidRPr="00E057AF">
        <w:rPr>
          <w:rFonts w:ascii="Arabic Typesetting" w:hAnsi="Arabic Typesetting" w:cs="Arabic Typesetting"/>
          <w:sz w:val="34"/>
          <w:szCs w:val="34"/>
          <w:rtl/>
        </w:rPr>
        <w:t xml:space="preserve"> </w:t>
      </w:r>
      <w:r w:rsidRPr="00E057AF">
        <w:rPr>
          <w:rFonts w:ascii="Arabic Typesetting" w:hAnsi="Arabic Typesetting" w:cs="Arabic Typesetting" w:hint="cs"/>
          <w:sz w:val="34"/>
          <w:szCs w:val="34"/>
          <w:rtl/>
        </w:rPr>
        <w:t>نوع</w:t>
      </w:r>
      <w:r w:rsidRPr="00E057AF">
        <w:rPr>
          <w:rFonts w:ascii="Arabic Typesetting" w:hAnsi="Arabic Typesetting" w:cs="Arabic Typesetting"/>
          <w:sz w:val="34"/>
          <w:szCs w:val="34"/>
          <w:rtl/>
        </w:rPr>
        <w:t xml:space="preserve"> </w:t>
      </w:r>
      <w:r w:rsidRPr="00E057AF">
        <w:rPr>
          <w:rFonts w:ascii="Arabic Typesetting" w:hAnsi="Arabic Typesetting" w:cs="Arabic Typesetting" w:hint="cs"/>
          <w:sz w:val="34"/>
          <w:szCs w:val="34"/>
          <w:rtl/>
        </w:rPr>
        <w:t>يُرجّح</w:t>
      </w:r>
      <w:r w:rsidRPr="00E057AF">
        <w:rPr>
          <w:rFonts w:ascii="Arabic Typesetting" w:hAnsi="Arabic Typesetting" w:cs="Arabic Typesetting"/>
          <w:sz w:val="34"/>
          <w:szCs w:val="34"/>
          <w:rtl/>
        </w:rPr>
        <w:t xml:space="preserve"> </w:t>
      </w:r>
      <w:r w:rsidRPr="00E057AF">
        <w:rPr>
          <w:rFonts w:ascii="Arabic Typesetting" w:hAnsi="Arabic Typesetting" w:cs="Arabic Typesetting" w:hint="cs"/>
          <w:sz w:val="34"/>
          <w:szCs w:val="34"/>
          <w:rtl/>
        </w:rPr>
        <w:t>بشكل</w:t>
      </w:r>
      <w:r w:rsidRPr="00E057AF">
        <w:rPr>
          <w:rFonts w:ascii="Arabic Typesetting" w:hAnsi="Arabic Typesetting" w:cs="Arabic Typesetting"/>
          <w:sz w:val="34"/>
          <w:szCs w:val="34"/>
          <w:rtl/>
        </w:rPr>
        <w:t xml:space="preserve"> </w:t>
      </w:r>
      <w:r w:rsidRPr="00E057AF">
        <w:rPr>
          <w:rFonts w:ascii="Arabic Typesetting" w:hAnsi="Arabic Typesetting" w:cs="Arabic Typesetting" w:hint="cs"/>
          <w:sz w:val="34"/>
          <w:szCs w:val="34"/>
          <w:rtl/>
        </w:rPr>
        <w:t>مختلف</w:t>
      </w:r>
      <w:r w:rsidRPr="00F96634">
        <w:rPr>
          <w:rFonts w:ascii="Arabic Typesetting" w:hAnsi="Arabic Typesetting" w:cs="Arabic Typesetting"/>
          <w:sz w:val="28"/>
          <w:szCs w:val="28"/>
          <w:vertAlign w:val="superscript"/>
          <w:rtl/>
        </w:rPr>
        <w:footnoteReference w:id="34"/>
      </w:r>
      <w:r w:rsidRPr="00E057AF">
        <w:rPr>
          <w:rFonts w:ascii="Arabic Typesetting" w:hAnsi="Arabic Typesetting" w:cs="Arabic Typesetting"/>
          <w:sz w:val="34"/>
          <w:szCs w:val="34"/>
          <w:rtl/>
        </w:rPr>
        <w:t xml:space="preserve">. </w:t>
      </w:r>
      <w:r w:rsidRPr="00E057AF">
        <w:rPr>
          <w:rFonts w:ascii="Arabic Typesetting" w:hAnsi="Arabic Typesetting" w:cs="Arabic Typesetting" w:hint="cs"/>
          <w:sz w:val="34"/>
          <w:szCs w:val="34"/>
          <w:rtl/>
        </w:rPr>
        <w:t>وتُ</w:t>
      </w:r>
      <w:r w:rsidRPr="00E057AF">
        <w:rPr>
          <w:rFonts w:ascii="Arabic Typesetting" w:hAnsi="Arabic Typesetting" w:cs="Arabic Typesetting"/>
          <w:sz w:val="34"/>
          <w:szCs w:val="34"/>
          <w:rtl/>
        </w:rPr>
        <w:t xml:space="preserve">حسب تكلفة الوحدة بقسمة </w:t>
      </w:r>
      <w:r w:rsidRPr="00E057AF">
        <w:rPr>
          <w:rFonts w:ascii="Arabic Typesetting" w:hAnsi="Arabic Typesetting" w:cs="Arabic Typesetting" w:hint="cs"/>
          <w:sz w:val="34"/>
          <w:szCs w:val="34"/>
          <w:rtl/>
        </w:rPr>
        <w:t>تكلفة الإنتاج الإجمالية</w:t>
      </w:r>
      <w:r w:rsidRPr="00E057AF">
        <w:rPr>
          <w:rFonts w:ascii="Arabic Typesetting" w:hAnsi="Arabic Typesetting" w:cs="Arabic Typesetting"/>
          <w:sz w:val="34"/>
          <w:szCs w:val="34"/>
          <w:rtl/>
        </w:rPr>
        <w:t xml:space="preserve"> </w:t>
      </w:r>
      <w:r w:rsidRPr="00E057AF">
        <w:rPr>
          <w:rFonts w:ascii="Arabic Typesetting" w:hAnsi="Arabic Typesetting" w:cs="Arabic Typesetting" w:hint="cs"/>
          <w:sz w:val="34"/>
          <w:szCs w:val="34"/>
          <w:rtl/>
        </w:rPr>
        <w:t>على ع</w:t>
      </w:r>
      <w:r w:rsidRPr="00E057AF">
        <w:rPr>
          <w:rFonts w:ascii="Arabic Typesetting" w:hAnsi="Arabic Typesetting" w:cs="Arabic Typesetting"/>
          <w:sz w:val="34"/>
          <w:szCs w:val="34"/>
          <w:rtl/>
        </w:rPr>
        <w:t>دد</w:t>
      </w:r>
      <w:r w:rsidRPr="00E057AF">
        <w:rPr>
          <w:rFonts w:ascii="Arabic Typesetting" w:hAnsi="Arabic Typesetting" w:cs="Arabic Typesetting" w:hint="cs"/>
          <w:sz w:val="34"/>
          <w:szCs w:val="34"/>
          <w:rtl/>
        </w:rPr>
        <w:t xml:space="preserve"> التسجيلات الجديدة</w:t>
      </w:r>
      <w:r w:rsidRPr="00E057AF">
        <w:rPr>
          <w:rFonts w:ascii="Arabic Typesetting" w:hAnsi="Arabic Typesetting" w:cs="Arabic Typesetting"/>
          <w:sz w:val="34"/>
          <w:szCs w:val="34"/>
          <w:rtl/>
        </w:rPr>
        <w:t>/</w:t>
      </w:r>
      <w:r w:rsidRPr="00E057AF">
        <w:rPr>
          <w:rFonts w:ascii="Arabic Typesetting" w:hAnsi="Arabic Typesetting" w:cs="Arabic Typesetting" w:hint="cs"/>
          <w:sz w:val="34"/>
          <w:szCs w:val="34"/>
          <w:rtl/>
        </w:rPr>
        <w:t xml:space="preserve"> المجدَّدة</w:t>
      </w:r>
      <w:r w:rsidRPr="00E057AF">
        <w:rPr>
          <w:rFonts w:ascii="Arabic Typesetting" w:hAnsi="Arabic Typesetting" w:cs="Arabic Typesetting"/>
          <w:sz w:val="34"/>
          <w:szCs w:val="34"/>
          <w:rtl/>
        </w:rPr>
        <w:t>.</w:t>
      </w:r>
    </w:p>
    <w:tbl>
      <w:tblPr>
        <w:bidiVisual/>
        <w:tblW w:w="0" w:type="auto"/>
        <w:tblLook w:val="04A0" w:firstRow="1" w:lastRow="0" w:firstColumn="1" w:lastColumn="0" w:noHBand="0" w:noVBand="1"/>
      </w:tblPr>
      <w:tblGrid>
        <w:gridCol w:w="5067"/>
        <w:gridCol w:w="4504"/>
      </w:tblGrid>
      <w:tr w:rsidR="005852E0" w:rsidRPr="005852E0" w:rsidTr="00D62C15">
        <w:trPr>
          <w:cantSplit/>
        </w:trPr>
        <w:tc>
          <w:tcPr>
            <w:tcW w:w="5067" w:type="dxa"/>
          </w:tcPr>
          <w:p w:rsidR="005852E0" w:rsidRPr="00426BB2" w:rsidRDefault="005852E0" w:rsidP="00426BB2">
            <w:pPr>
              <w:keepNext/>
              <w:bidi/>
              <w:jc w:val="center"/>
              <w:rPr>
                <w:rFonts w:ascii="Arabic Typesetting" w:hAnsi="Arabic Typesetting" w:cs="Arabic Typesetting"/>
                <w:sz w:val="28"/>
                <w:szCs w:val="28"/>
              </w:rPr>
            </w:pPr>
            <w:r w:rsidRPr="00426BB2">
              <w:rPr>
                <w:rFonts w:ascii="Arabic Typesetting" w:hAnsi="Arabic Typesetting" w:cs="Arabic Typesetting" w:hint="cs"/>
                <w:sz w:val="28"/>
                <w:szCs w:val="28"/>
                <w:rtl/>
              </w:rPr>
              <w:lastRenderedPageBreak/>
              <w:t>الطريقة</w:t>
            </w:r>
            <w:r w:rsidRPr="00426BB2">
              <w:rPr>
                <w:rFonts w:ascii="Arabic Typesetting" w:hAnsi="Arabic Typesetting" w:cs="Arabic Typesetting"/>
                <w:sz w:val="28"/>
                <w:szCs w:val="28"/>
                <w:rtl/>
              </w:rPr>
              <w:t xml:space="preserve"> القديمة</w:t>
            </w:r>
          </w:p>
        </w:tc>
        <w:tc>
          <w:tcPr>
            <w:tcW w:w="4504" w:type="dxa"/>
          </w:tcPr>
          <w:p w:rsidR="005852E0" w:rsidRPr="00426BB2" w:rsidRDefault="005852E0" w:rsidP="00426BB2">
            <w:pPr>
              <w:bidi/>
              <w:jc w:val="center"/>
              <w:rPr>
                <w:rFonts w:ascii="Arabic Typesetting" w:hAnsi="Arabic Typesetting" w:cs="Arabic Typesetting"/>
                <w:sz w:val="28"/>
                <w:szCs w:val="28"/>
              </w:rPr>
            </w:pPr>
            <w:r w:rsidRPr="00426BB2">
              <w:rPr>
                <w:rFonts w:ascii="Arabic Typesetting" w:hAnsi="Arabic Typesetting" w:cs="Arabic Typesetting" w:hint="cs"/>
                <w:sz w:val="28"/>
                <w:szCs w:val="28"/>
                <w:rtl/>
              </w:rPr>
              <w:t>الطريقة</w:t>
            </w:r>
            <w:r w:rsidRPr="00426BB2">
              <w:rPr>
                <w:rFonts w:ascii="Arabic Typesetting" w:hAnsi="Arabic Typesetting" w:cs="Arabic Typesetting"/>
                <w:sz w:val="28"/>
                <w:szCs w:val="28"/>
                <w:rtl/>
              </w:rPr>
              <w:t xml:space="preserve"> الجديدة</w:t>
            </w:r>
          </w:p>
        </w:tc>
      </w:tr>
      <w:tr w:rsidR="005852E0" w:rsidRPr="005852E0" w:rsidTr="00D62C15">
        <w:trPr>
          <w:cantSplit/>
        </w:trPr>
        <w:tc>
          <w:tcPr>
            <w:tcW w:w="5067" w:type="dxa"/>
          </w:tcPr>
          <w:p w:rsidR="005852E0" w:rsidRPr="005852E0" w:rsidRDefault="00E057AF" w:rsidP="00426BB2">
            <w:pPr>
              <w:bidi/>
              <w:jc w:val="center"/>
              <w:rPr>
                <w:rFonts w:ascii="Arabic Typesetting" w:hAnsi="Arabic Typesetting" w:cs="Arabic Typesetting"/>
                <w:sz w:val="34"/>
                <w:szCs w:val="34"/>
              </w:rPr>
            </w:pPr>
            <w:r>
              <w:rPr>
                <w:rFonts w:ascii="Arabic Typesetting" w:hAnsi="Arabic Typesetting" w:cs="Arabic Typesetting"/>
                <w:noProof/>
                <w:sz w:val="34"/>
                <w:szCs w:val="34"/>
              </w:rPr>
              <w:drawing>
                <wp:inline distT="0" distB="0" distL="0" distR="0" wp14:anchorId="5FB7C4D3" wp14:editId="2806CBD0">
                  <wp:extent cx="3002870" cy="1930400"/>
                  <wp:effectExtent l="0" t="0" r="762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02870" cy="1930400"/>
                          </a:xfrm>
                          <a:prstGeom prst="rect">
                            <a:avLst/>
                          </a:prstGeom>
                          <a:noFill/>
                        </pic:spPr>
                      </pic:pic>
                    </a:graphicData>
                  </a:graphic>
                </wp:inline>
              </w:drawing>
            </w:r>
          </w:p>
        </w:tc>
        <w:tc>
          <w:tcPr>
            <w:tcW w:w="4504" w:type="dxa"/>
          </w:tcPr>
          <w:p w:rsidR="005852E0" w:rsidRPr="005852E0" w:rsidRDefault="00E057AF" w:rsidP="00426BB2">
            <w:pPr>
              <w:bidi/>
              <w:jc w:val="center"/>
              <w:rPr>
                <w:rFonts w:ascii="Arabic Typesetting" w:hAnsi="Arabic Typesetting" w:cs="Arabic Typesetting"/>
                <w:sz w:val="34"/>
                <w:szCs w:val="34"/>
              </w:rPr>
            </w:pPr>
            <w:r>
              <w:rPr>
                <w:rFonts w:ascii="Arabic Typesetting" w:hAnsi="Arabic Typesetting" w:cs="Arabic Typesetting"/>
                <w:noProof/>
                <w:sz w:val="34"/>
                <w:szCs w:val="34"/>
              </w:rPr>
              <w:drawing>
                <wp:inline distT="0" distB="0" distL="0" distR="0" wp14:anchorId="27C5B964" wp14:editId="6765E819">
                  <wp:extent cx="2596250" cy="1975970"/>
                  <wp:effectExtent l="0" t="0" r="0" b="571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97936" cy="1977253"/>
                          </a:xfrm>
                          <a:prstGeom prst="rect">
                            <a:avLst/>
                          </a:prstGeom>
                          <a:noFill/>
                        </pic:spPr>
                      </pic:pic>
                    </a:graphicData>
                  </a:graphic>
                </wp:inline>
              </w:drawing>
            </w:r>
          </w:p>
        </w:tc>
      </w:tr>
    </w:tbl>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بلغ متوسط تكلفة معالجة تسجيل دولي جديد/مجدَّد 743</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فرنكا سويسريا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أي بانخفاض قدره 11</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وانخفضت تكلفة الوحدة لكل تسجيل دولي جديد/مجدّد في 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2014/15 بنسبة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واحد</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2012/13.</w:t>
      </w:r>
    </w:p>
    <w:p w:rsidR="005852E0" w:rsidRPr="005852E0" w:rsidRDefault="005852E0" w:rsidP="005852E0">
      <w:pPr>
        <w:keepNext/>
        <w:bidi/>
        <w:spacing w:before="120" w:after="120" w:line="340" w:lineRule="exact"/>
        <w:ind w:left="423"/>
        <w:rPr>
          <w:rFonts w:ascii="Arabic Typesetting" w:hAnsi="Arabic Typesetting" w:cs="Arabic Typesetting"/>
          <w:i/>
          <w:iCs/>
          <w:sz w:val="34"/>
          <w:szCs w:val="34"/>
          <w:rtl/>
        </w:rPr>
      </w:pPr>
      <w:r w:rsidRPr="005852E0">
        <w:rPr>
          <w:rFonts w:ascii="Arabic Typesetting" w:hAnsi="Arabic Typesetting" w:cs="Arabic Typesetting" w:hint="cs"/>
          <w:i/>
          <w:iCs/>
          <w:sz w:val="34"/>
          <w:szCs w:val="34"/>
          <w:rtl/>
        </w:rPr>
        <w:t>تكلفة الوحدة لكل وثيقة مدونة في السجل</w:t>
      </w:r>
    </w:p>
    <w:p w:rsidR="005852E0" w:rsidRPr="005852E0" w:rsidRDefault="005852E0" w:rsidP="009A3712">
      <w:pPr>
        <w:keepNext/>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تشكّل الوثائق المسجلة في السجل الحجم الإجمالي لعبء العمل (انظر "عبء العمل الإجمالي" أعلاه).</w:t>
      </w:r>
    </w:p>
    <w:tbl>
      <w:tblPr>
        <w:bidiVisual/>
        <w:tblW w:w="9606" w:type="dxa"/>
        <w:tblLayout w:type="fixed"/>
        <w:tblLook w:val="04A0" w:firstRow="1" w:lastRow="0" w:firstColumn="1" w:lastColumn="0" w:noHBand="0" w:noVBand="1"/>
      </w:tblPr>
      <w:tblGrid>
        <w:gridCol w:w="5177"/>
        <w:gridCol w:w="4429"/>
      </w:tblGrid>
      <w:tr w:rsidR="005852E0" w:rsidRPr="005852E0" w:rsidTr="00D62C15">
        <w:trPr>
          <w:cantSplit/>
          <w:trHeight w:val="273"/>
        </w:trPr>
        <w:tc>
          <w:tcPr>
            <w:tcW w:w="5177" w:type="dxa"/>
          </w:tcPr>
          <w:p w:rsidR="005852E0" w:rsidRPr="005852E0" w:rsidRDefault="005852E0" w:rsidP="005852E0">
            <w:pPr>
              <w:keepNext/>
              <w:bidi/>
              <w:jc w:val="center"/>
            </w:pPr>
            <w:r w:rsidRPr="005852E0">
              <w:rPr>
                <w:rFonts w:ascii="Arabic Typesetting" w:hAnsi="Arabic Typesetting" w:cs="Arabic Typesetting" w:hint="cs"/>
                <w:sz w:val="34"/>
                <w:szCs w:val="34"/>
                <w:rtl/>
              </w:rPr>
              <w:t>الطريقة</w:t>
            </w:r>
            <w:r w:rsidRPr="005852E0">
              <w:rPr>
                <w:rFonts w:ascii="Arabic Typesetting" w:hAnsi="Arabic Typesetting" w:cs="Arabic Typesetting"/>
                <w:sz w:val="34"/>
                <w:szCs w:val="34"/>
                <w:rtl/>
              </w:rPr>
              <w:t xml:space="preserve"> القديمة</w:t>
            </w:r>
          </w:p>
        </w:tc>
        <w:tc>
          <w:tcPr>
            <w:tcW w:w="4429" w:type="dxa"/>
          </w:tcPr>
          <w:p w:rsidR="005852E0" w:rsidRPr="005852E0" w:rsidRDefault="005852E0" w:rsidP="005852E0">
            <w:pPr>
              <w:keepNext/>
              <w:bidi/>
              <w:jc w:val="center"/>
            </w:pPr>
            <w:r w:rsidRPr="005852E0">
              <w:rPr>
                <w:rFonts w:ascii="Arabic Typesetting" w:hAnsi="Arabic Typesetting" w:cs="Arabic Typesetting" w:hint="cs"/>
                <w:sz w:val="34"/>
                <w:szCs w:val="34"/>
                <w:rtl/>
              </w:rPr>
              <w:t>الطريقة</w:t>
            </w:r>
            <w:r w:rsidRPr="005852E0">
              <w:rPr>
                <w:rFonts w:ascii="Arabic Typesetting" w:hAnsi="Arabic Typesetting" w:cs="Arabic Typesetting"/>
                <w:sz w:val="34"/>
                <w:szCs w:val="34"/>
                <w:rtl/>
              </w:rPr>
              <w:t xml:space="preserve"> الجديدة</w:t>
            </w:r>
          </w:p>
        </w:tc>
      </w:tr>
      <w:tr w:rsidR="005852E0" w:rsidRPr="005852E0" w:rsidTr="00D62C15">
        <w:trPr>
          <w:cantSplit/>
          <w:trHeight w:val="3013"/>
        </w:trPr>
        <w:tc>
          <w:tcPr>
            <w:tcW w:w="5177" w:type="dxa"/>
          </w:tcPr>
          <w:p w:rsidR="005852E0" w:rsidRPr="005852E0" w:rsidRDefault="00061233" w:rsidP="005852E0">
            <w:pPr>
              <w:keepNext/>
              <w:keepLines/>
              <w:bidi/>
              <w:jc w:val="center"/>
            </w:pPr>
            <w:r>
              <w:rPr>
                <w:noProof/>
              </w:rPr>
              <w:drawing>
                <wp:inline distT="0" distB="0" distL="0" distR="0" wp14:anchorId="4B85FED1" wp14:editId="6E8D7BCD">
                  <wp:extent cx="2962276" cy="1977894"/>
                  <wp:effectExtent l="0" t="0" r="0" b="381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62276" cy="1977894"/>
                          </a:xfrm>
                          <a:prstGeom prst="rect">
                            <a:avLst/>
                          </a:prstGeom>
                          <a:noFill/>
                        </pic:spPr>
                      </pic:pic>
                    </a:graphicData>
                  </a:graphic>
                </wp:inline>
              </w:drawing>
            </w:r>
          </w:p>
        </w:tc>
        <w:tc>
          <w:tcPr>
            <w:tcW w:w="4429" w:type="dxa"/>
          </w:tcPr>
          <w:p w:rsidR="005852E0" w:rsidRPr="005852E0" w:rsidRDefault="00061233" w:rsidP="005852E0">
            <w:pPr>
              <w:keepNext/>
              <w:keepLines/>
              <w:bidi/>
              <w:jc w:val="center"/>
            </w:pPr>
            <w:r>
              <w:rPr>
                <w:noProof/>
              </w:rPr>
              <w:drawing>
                <wp:inline distT="0" distB="0" distL="0" distR="0" wp14:anchorId="44D36C8C" wp14:editId="7DF8011C">
                  <wp:extent cx="2511498" cy="1963294"/>
                  <wp:effectExtent l="0" t="0" r="317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11498" cy="1963294"/>
                          </a:xfrm>
                          <a:prstGeom prst="rect">
                            <a:avLst/>
                          </a:prstGeom>
                          <a:noFill/>
                        </pic:spPr>
                      </pic:pic>
                    </a:graphicData>
                  </a:graphic>
                </wp:inline>
              </w:drawing>
            </w:r>
          </w:p>
        </w:tc>
      </w:tr>
    </w:tbl>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rPr>
        <w:t>ارتفع متوسط تكلفة تدوين وثيقة في السجل ارتفاعا طفيفا من 320</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فرنكا سويسريا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2012 إلى 323</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فرنكا سويسريا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وارتفعت تكلفة الوحدة لكل وثيقة مدونة في السجل في 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2014/15 بنسبة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واحد</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مقارنة بالثنائية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2012/13.</w:t>
      </w:r>
    </w:p>
    <w:p w:rsidR="005852E0" w:rsidRPr="005852E0" w:rsidRDefault="005852E0" w:rsidP="005852E0">
      <w:pPr>
        <w:keepNext/>
        <w:bidi/>
        <w:spacing w:after="240" w:line="380" w:lineRule="exact"/>
        <w:rPr>
          <w:rFonts w:ascii="Arabic Typesetting" w:hAnsi="Arabic Typesetting" w:cs="Arabic Typesetting"/>
          <w:b/>
          <w:bCs/>
          <w:sz w:val="34"/>
          <w:szCs w:val="34"/>
          <w:rtl/>
          <w:lang w:val="fr-CH"/>
        </w:rPr>
      </w:pPr>
      <w:r w:rsidRPr="005852E0">
        <w:rPr>
          <w:rFonts w:ascii="Arabic Typesetting" w:hAnsi="Arabic Typesetting" w:cs="Arabic Typesetting" w:hint="cs"/>
          <w:b/>
          <w:bCs/>
          <w:sz w:val="34"/>
          <w:szCs w:val="34"/>
          <w:rtl/>
          <w:lang w:val="fr-CH"/>
        </w:rPr>
        <w:lastRenderedPageBreak/>
        <w:t>خامسا.</w:t>
      </w:r>
      <w:r w:rsidRPr="005852E0">
        <w:rPr>
          <w:rFonts w:ascii="Arabic Typesetting" w:hAnsi="Arabic Typesetting" w:cs="Arabic Typesetting" w:hint="cs"/>
          <w:b/>
          <w:bCs/>
          <w:sz w:val="34"/>
          <w:szCs w:val="34"/>
          <w:rtl/>
          <w:lang w:val="fr-CH"/>
        </w:rPr>
        <w:tab/>
      </w:r>
      <w:r w:rsidRPr="005852E0">
        <w:rPr>
          <w:rFonts w:ascii="Arabic Typesetting" w:hAnsi="Arabic Typesetting" w:cs="Arabic Typesetting" w:hint="cs"/>
          <w:b/>
          <w:bCs/>
          <w:sz w:val="34"/>
          <w:szCs w:val="34"/>
          <w:rtl/>
          <w:lang w:val="fr-CH"/>
        </w:rPr>
        <w:tab/>
        <w:t>إنتاجية الفحص</w:t>
      </w:r>
    </w:p>
    <w:p w:rsidR="005852E0" w:rsidRPr="005852E0" w:rsidRDefault="005852E0" w:rsidP="009A3712">
      <w:pPr>
        <w:keepNext/>
        <w:numPr>
          <w:ilvl w:val="0"/>
          <w:numId w:val="45"/>
        </w:numPr>
        <w:bidi/>
        <w:spacing w:after="120" w:line="340" w:lineRule="exact"/>
        <w:rPr>
          <w:rFonts w:ascii="Arabic Typesetting" w:hAnsi="Arabic Typesetting" w:cs="Arabic Typesetting"/>
          <w:sz w:val="34"/>
          <w:szCs w:val="34"/>
          <w:rtl/>
        </w:rPr>
      </w:pPr>
      <w:r w:rsidRPr="005852E0">
        <w:rPr>
          <w:rFonts w:ascii="Arabic Typesetting" w:hAnsi="Arabic Typesetting" w:cs="Arabic Typesetting" w:hint="cs"/>
          <w:sz w:val="34"/>
          <w:szCs w:val="34"/>
          <w:rtl/>
        </w:rPr>
        <w:t>إنتاجية الفحص هي عدد التسجيلات الدولية الجديدة/المجدّدة التي عالجها الفاحصون مقسوم على عدد الموظفين المكلفين بالفحص. ويُحسب في عداد الموظفين الممنوحون والمتدربون والمتعاقدون الخارجيون.</w:t>
      </w:r>
    </w:p>
    <w:p w:rsidR="005852E0" w:rsidRPr="005852E0" w:rsidRDefault="00061233" w:rsidP="00061233">
      <w:pPr>
        <w:bidi/>
        <w:spacing w:after="120"/>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2E4F8F9A" wp14:editId="3D44C729">
            <wp:extent cx="5651500" cy="2738988"/>
            <wp:effectExtent l="0" t="0" r="6350" b="444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54220" cy="2740306"/>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زادت إنتاجية الفحص بنسبة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17% مقارنة بمستوى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وكان المستوى المسجّل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وهو</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1,039</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تسجيلا دوليا جديدا ومجدّدا لكل موظف أعلى مستوى في الفترة بين سنتي</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2008 و2015.</w:t>
      </w:r>
    </w:p>
    <w:p w:rsidR="005852E0" w:rsidRPr="005852E0" w:rsidRDefault="005852E0" w:rsidP="005852E0">
      <w:pPr>
        <w:keepNext/>
        <w:bidi/>
        <w:spacing w:after="240" w:line="380" w:lineRule="exact"/>
        <w:rPr>
          <w:rFonts w:ascii="Arabic Typesetting" w:hAnsi="Arabic Typesetting" w:cs="Arabic Typesetting"/>
          <w:b/>
          <w:bCs/>
          <w:sz w:val="34"/>
          <w:szCs w:val="34"/>
          <w:rtl/>
          <w:lang w:val="fr-CH"/>
        </w:rPr>
      </w:pPr>
      <w:r w:rsidRPr="005852E0">
        <w:rPr>
          <w:rFonts w:ascii="Arabic Typesetting" w:hAnsi="Arabic Typesetting" w:cs="Arabic Typesetting" w:hint="cs"/>
          <w:b/>
          <w:bCs/>
          <w:sz w:val="34"/>
          <w:szCs w:val="34"/>
          <w:rtl/>
          <w:lang w:val="fr-CH"/>
        </w:rPr>
        <w:t>سادسا.</w:t>
      </w:r>
      <w:r w:rsidRPr="005852E0">
        <w:rPr>
          <w:rFonts w:ascii="Arabic Typesetting" w:hAnsi="Arabic Typesetting" w:cs="Arabic Typesetting" w:hint="cs"/>
          <w:b/>
          <w:bCs/>
          <w:sz w:val="34"/>
          <w:szCs w:val="34"/>
          <w:rtl/>
          <w:lang w:val="fr-CH"/>
        </w:rPr>
        <w:tab/>
        <w:t>الموظفون</w:t>
      </w:r>
    </w:p>
    <w:p w:rsidR="005852E0" w:rsidRPr="005852E0" w:rsidRDefault="00061233" w:rsidP="005852E0">
      <w:pPr>
        <w:bidi/>
        <w:spacing w:before="120" w:after="120"/>
        <w:rPr>
          <w:rFonts w:ascii="Arabic Typesetting" w:hAnsi="Arabic Typesetting" w:cs="Arabic Typesetting"/>
          <w:sz w:val="34"/>
          <w:szCs w:val="34"/>
          <w:rtl/>
        </w:rPr>
      </w:pPr>
      <w:r>
        <w:rPr>
          <w:rFonts w:ascii="Arabic Typesetting" w:hAnsi="Arabic Typesetting" w:cs="Arabic Typesetting"/>
          <w:noProof/>
          <w:sz w:val="34"/>
          <w:szCs w:val="34"/>
        </w:rPr>
        <w:drawing>
          <wp:inline distT="0" distB="0" distL="0" distR="0" wp14:anchorId="12993CED" wp14:editId="1BC2F916">
            <wp:extent cx="5194300" cy="2438400"/>
            <wp:effectExtent l="0" t="0" r="635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196841" cy="2439593"/>
                    </a:xfrm>
                    <a:prstGeom prst="rect">
                      <a:avLst/>
                    </a:prstGeom>
                    <a:noFill/>
                  </pic:spPr>
                </pic:pic>
              </a:graphicData>
            </a:graphic>
          </wp:inline>
        </w:drawing>
      </w:r>
    </w:p>
    <w:p w:rsidR="005852E0" w:rsidRPr="005852E0" w:rsidRDefault="005852E0" w:rsidP="005852E0">
      <w:pPr>
        <w:keepNext/>
        <w:bidi/>
        <w:spacing w:after="120" w:line="340" w:lineRule="exact"/>
        <w:jc w:val="both"/>
        <w:rPr>
          <w:rFonts w:ascii="Arabic Typesetting" w:hAnsi="Arabic Typesetting" w:cs="Arabic Typesetting"/>
          <w:sz w:val="28"/>
          <w:szCs w:val="28"/>
          <w:rtl/>
          <w:lang w:bidi="ar-EG"/>
        </w:rPr>
      </w:pPr>
      <w:r w:rsidRPr="005852E0">
        <w:rPr>
          <w:rFonts w:ascii="Arabic Typesetting" w:hAnsi="Arabic Typesetting" w:cs="Arabic Typesetting" w:hint="cs"/>
          <w:sz w:val="28"/>
          <w:szCs w:val="28"/>
          <w:rtl/>
          <w:lang w:bidi="ar-EG"/>
        </w:rPr>
        <w:t>ملاحظة: لم يكن يتسنى تمييز موظفي سجل لشبونة إلا منذ بداية الثنائية</w:t>
      </w:r>
      <w:r w:rsidRPr="005852E0">
        <w:rPr>
          <w:rFonts w:ascii="Arabic Typesetting" w:hAnsi="Arabic Typesetting" w:cs="Arabic Typesetting" w:hint="eastAsia"/>
          <w:sz w:val="28"/>
          <w:szCs w:val="28"/>
          <w:rtl/>
          <w:lang w:bidi="ar-EG"/>
        </w:rPr>
        <w:t> </w:t>
      </w:r>
      <w:r w:rsidRPr="005852E0">
        <w:rPr>
          <w:rFonts w:ascii="Arabic Typesetting" w:hAnsi="Arabic Typesetting" w:cs="Arabic Typesetting" w:hint="cs"/>
          <w:sz w:val="28"/>
          <w:szCs w:val="28"/>
          <w:rtl/>
          <w:lang w:bidi="ar-EG"/>
        </w:rPr>
        <w:t>2014/15. وفيما يخص السنوات السابقة لعام</w:t>
      </w:r>
      <w:r w:rsidRPr="005852E0">
        <w:rPr>
          <w:rFonts w:ascii="Arabic Typesetting" w:hAnsi="Arabic Typesetting" w:cs="Arabic Typesetting" w:hint="eastAsia"/>
          <w:sz w:val="28"/>
          <w:szCs w:val="28"/>
          <w:rtl/>
          <w:lang w:bidi="ar-EG"/>
        </w:rPr>
        <w:t> </w:t>
      </w:r>
      <w:r w:rsidRPr="005852E0">
        <w:rPr>
          <w:rFonts w:ascii="Arabic Typesetting" w:hAnsi="Arabic Typesetting" w:cs="Arabic Typesetting" w:hint="cs"/>
          <w:sz w:val="28"/>
          <w:szCs w:val="28"/>
          <w:rtl/>
          <w:lang w:bidi="ar-EG"/>
        </w:rPr>
        <w:t>2014، فإن موظفي نظام لشبونة مدرجون في العدد الإجمالي لموظفي نظام مدريد.</w:t>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lang w:bidi="ar-EG"/>
        </w:rPr>
        <w:t>في سنة</w:t>
      </w:r>
      <w:r w:rsidRPr="005852E0">
        <w:rPr>
          <w:rFonts w:ascii="Arabic Typesetting" w:hAnsi="Arabic Typesetting" w:cs="Arabic Typesetting" w:hint="eastAsia"/>
          <w:sz w:val="34"/>
          <w:szCs w:val="34"/>
          <w:rtl/>
          <w:lang w:bidi="ar-EG"/>
        </w:rPr>
        <w:t> </w:t>
      </w:r>
      <w:r w:rsidRPr="005852E0">
        <w:rPr>
          <w:rFonts w:ascii="Arabic Typesetting" w:hAnsi="Arabic Typesetting" w:cs="Arabic Typesetting" w:hint="cs"/>
          <w:sz w:val="34"/>
          <w:szCs w:val="34"/>
          <w:rtl/>
          <w:lang w:bidi="ar-EG"/>
        </w:rPr>
        <w:t xml:space="preserve">2015، </w:t>
      </w:r>
      <w:r w:rsidRPr="005852E0">
        <w:rPr>
          <w:rFonts w:ascii="Arabic Typesetting" w:hAnsi="Arabic Typesetting" w:cs="Arabic Typesetting" w:hint="cs"/>
          <w:sz w:val="34"/>
          <w:szCs w:val="34"/>
          <w:rtl/>
        </w:rPr>
        <w:t>بقي عدد الموظفين مستقرا إلى حد كبير 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في حين تضاعف عدد الموارد المرنة، إذ</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ارتفع من 8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إلى 16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w:t>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ولا يشمل هذا المؤشر موظفي الوكالات الخارجية الذين لا يعملون في مباني الويبو.</w:t>
      </w:r>
    </w:p>
    <w:p w:rsidR="005852E0" w:rsidRPr="005852E0" w:rsidRDefault="005852E0" w:rsidP="005852E0">
      <w:pPr>
        <w:keepNext/>
        <w:bidi/>
        <w:spacing w:after="240" w:line="380" w:lineRule="exact"/>
        <w:rPr>
          <w:rFonts w:ascii="Arabic Typesetting" w:hAnsi="Arabic Typesetting" w:cs="Arabic Typesetting"/>
          <w:b/>
          <w:bCs/>
          <w:sz w:val="34"/>
          <w:szCs w:val="34"/>
          <w:rtl/>
          <w:lang w:val="fr-CH"/>
        </w:rPr>
      </w:pPr>
      <w:r w:rsidRPr="005852E0">
        <w:rPr>
          <w:rFonts w:ascii="Arabic Typesetting" w:hAnsi="Arabic Typesetting" w:cs="Arabic Typesetting" w:hint="cs"/>
          <w:b/>
          <w:bCs/>
          <w:sz w:val="34"/>
          <w:szCs w:val="34"/>
          <w:rtl/>
          <w:lang w:val="fr-CH"/>
        </w:rPr>
        <w:lastRenderedPageBreak/>
        <w:t>سابعا.</w:t>
      </w:r>
      <w:r w:rsidRPr="005852E0">
        <w:rPr>
          <w:rFonts w:ascii="Arabic Typesetting" w:hAnsi="Arabic Typesetting" w:cs="Arabic Typesetting" w:hint="cs"/>
          <w:b/>
          <w:bCs/>
          <w:sz w:val="34"/>
          <w:szCs w:val="34"/>
          <w:rtl/>
          <w:lang w:val="fr-CH"/>
        </w:rPr>
        <w:tab/>
        <w:t>مدة المعالجة</w:t>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tl/>
        </w:rPr>
      </w:pPr>
      <w:r w:rsidRPr="005852E0">
        <w:rPr>
          <w:rFonts w:ascii="Arabic Typesetting" w:hAnsi="Arabic Typesetting" w:cs="Arabic Typesetting" w:hint="cs"/>
          <w:sz w:val="34"/>
          <w:szCs w:val="34"/>
          <w:rtl/>
        </w:rPr>
        <w:t xml:space="preserve">تبين الأشكال </w:t>
      </w:r>
      <w:r w:rsidR="003B2ED5">
        <w:rPr>
          <w:rFonts w:ascii="Arabic Typesetting" w:hAnsi="Arabic Typesetting" w:cs="Arabic Typesetting" w:hint="cs"/>
          <w:sz w:val="34"/>
          <w:szCs w:val="34"/>
          <w:rtl/>
        </w:rPr>
        <w:t>التالية</w:t>
      </w:r>
      <w:r w:rsidRPr="005852E0">
        <w:rPr>
          <w:rFonts w:ascii="Arabic Typesetting" w:hAnsi="Arabic Typesetting" w:cs="Arabic Typesetting" w:hint="cs"/>
          <w:sz w:val="34"/>
          <w:szCs w:val="34"/>
          <w:rtl/>
        </w:rPr>
        <w:t xml:space="preserve"> متوسط مدة المعالجة فيما يخص المعاملات الست التي يقوم بها المكتب الدولي. وتُحسب مدة المعالجة اعتبارا من تاريخ </w:t>
      </w:r>
      <w:r w:rsidR="003B2ED5">
        <w:rPr>
          <w:rFonts w:ascii="Arabic Typesetting" w:hAnsi="Arabic Typesetting" w:cs="Arabic Typesetting" w:hint="cs"/>
          <w:sz w:val="34"/>
          <w:szCs w:val="34"/>
          <w:rtl/>
        </w:rPr>
        <w:t>تسلّم</w:t>
      </w:r>
      <w:r w:rsidRPr="005852E0">
        <w:rPr>
          <w:rFonts w:ascii="Arabic Typesetting" w:hAnsi="Arabic Typesetting" w:cs="Arabic Typesetting" w:hint="cs"/>
          <w:sz w:val="34"/>
          <w:szCs w:val="34"/>
          <w:rtl/>
        </w:rPr>
        <w:t xml:space="preserve"> وثيقة ما إلى تاريخ تدوينها.</w:t>
      </w:r>
    </w:p>
    <w:tbl>
      <w:tblPr>
        <w:bidiVisual/>
        <w:tblW w:w="0" w:type="auto"/>
        <w:jc w:val="center"/>
        <w:tblLook w:val="04A0" w:firstRow="1" w:lastRow="0" w:firstColumn="1" w:lastColumn="0" w:noHBand="0" w:noVBand="1"/>
      </w:tblPr>
      <w:tblGrid>
        <w:gridCol w:w="4785"/>
        <w:gridCol w:w="4786"/>
      </w:tblGrid>
      <w:tr w:rsidR="005852E0" w:rsidRPr="005852E0" w:rsidTr="00D62C15">
        <w:trPr>
          <w:trHeight w:val="3680"/>
          <w:jc w:val="center"/>
        </w:trPr>
        <w:tc>
          <w:tcPr>
            <w:tcW w:w="4560" w:type="dxa"/>
          </w:tcPr>
          <w:p w:rsidR="005852E0" w:rsidRPr="005852E0" w:rsidRDefault="00061233" w:rsidP="00426BB2">
            <w:pPr>
              <w:bidi/>
              <w:jc w:val="center"/>
              <w:rPr>
                <w:szCs w:val="22"/>
              </w:rPr>
            </w:pPr>
            <w:r>
              <w:rPr>
                <w:noProof/>
                <w:szCs w:val="22"/>
              </w:rPr>
              <w:drawing>
                <wp:inline distT="0" distB="0" distL="0" distR="0" wp14:anchorId="21DA822F" wp14:editId="56C0F999">
                  <wp:extent cx="2955600" cy="219158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955600" cy="2191585"/>
                          </a:xfrm>
                          <a:prstGeom prst="rect">
                            <a:avLst/>
                          </a:prstGeom>
                          <a:noFill/>
                        </pic:spPr>
                      </pic:pic>
                    </a:graphicData>
                  </a:graphic>
                </wp:inline>
              </w:drawing>
            </w:r>
          </w:p>
        </w:tc>
        <w:tc>
          <w:tcPr>
            <w:tcW w:w="4591" w:type="dxa"/>
          </w:tcPr>
          <w:p w:rsidR="005852E0" w:rsidRPr="005852E0" w:rsidRDefault="00061233" w:rsidP="005852E0">
            <w:pPr>
              <w:jc w:val="both"/>
              <w:rPr>
                <w:szCs w:val="22"/>
              </w:rPr>
            </w:pPr>
            <w:r>
              <w:rPr>
                <w:noProof/>
                <w:szCs w:val="22"/>
              </w:rPr>
              <w:drawing>
                <wp:inline distT="0" distB="0" distL="0" distR="0" wp14:anchorId="44344916" wp14:editId="24E4970D">
                  <wp:extent cx="2955600" cy="2131578"/>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955600" cy="2131578"/>
                          </a:xfrm>
                          <a:prstGeom prst="rect">
                            <a:avLst/>
                          </a:prstGeom>
                          <a:noFill/>
                        </pic:spPr>
                      </pic:pic>
                    </a:graphicData>
                  </a:graphic>
                </wp:inline>
              </w:drawing>
            </w:r>
          </w:p>
        </w:tc>
      </w:tr>
      <w:tr w:rsidR="005852E0" w:rsidRPr="005852E0" w:rsidTr="00D62C15">
        <w:trPr>
          <w:trHeight w:val="3418"/>
          <w:jc w:val="center"/>
        </w:trPr>
        <w:tc>
          <w:tcPr>
            <w:tcW w:w="4560" w:type="dxa"/>
          </w:tcPr>
          <w:p w:rsidR="005852E0" w:rsidRPr="005852E0" w:rsidRDefault="00061233" w:rsidP="005852E0">
            <w:pPr>
              <w:jc w:val="both"/>
              <w:rPr>
                <w:szCs w:val="22"/>
              </w:rPr>
            </w:pPr>
            <w:r>
              <w:rPr>
                <w:noProof/>
                <w:szCs w:val="22"/>
              </w:rPr>
              <w:drawing>
                <wp:inline distT="0" distB="0" distL="0" distR="0" wp14:anchorId="7083A131" wp14:editId="04CBBBFB">
                  <wp:extent cx="2955600" cy="211843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955600" cy="2118435"/>
                          </a:xfrm>
                          <a:prstGeom prst="rect">
                            <a:avLst/>
                          </a:prstGeom>
                          <a:noFill/>
                        </pic:spPr>
                      </pic:pic>
                    </a:graphicData>
                  </a:graphic>
                </wp:inline>
              </w:drawing>
            </w:r>
          </w:p>
        </w:tc>
        <w:tc>
          <w:tcPr>
            <w:tcW w:w="4591" w:type="dxa"/>
          </w:tcPr>
          <w:p w:rsidR="005852E0" w:rsidRPr="005852E0" w:rsidRDefault="00061233" w:rsidP="005852E0">
            <w:pPr>
              <w:jc w:val="both"/>
              <w:rPr>
                <w:szCs w:val="22"/>
              </w:rPr>
            </w:pPr>
            <w:r>
              <w:rPr>
                <w:noProof/>
                <w:szCs w:val="22"/>
              </w:rPr>
              <w:drawing>
                <wp:inline distT="0" distB="0" distL="0" distR="0" wp14:anchorId="16F7444F" wp14:editId="2704400D">
                  <wp:extent cx="2955600" cy="2222528"/>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955600" cy="2222528"/>
                          </a:xfrm>
                          <a:prstGeom prst="rect">
                            <a:avLst/>
                          </a:prstGeom>
                          <a:noFill/>
                        </pic:spPr>
                      </pic:pic>
                    </a:graphicData>
                  </a:graphic>
                </wp:inline>
              </w:drawing>
            </w:r>
          </w:p>
        </w:tc>
      </w:tr>
      <w:tr w:rsidR="005852E0" w:rsidRPr="005852E0" w:rsidTr="00D62C15">
        <w:trPr>
          <w:trHeight w:val="3194"/>
          <w:jc w:val="center"/>
        </w:trPr>
        <w:tc>
          <w:tcPr>
            <w:tcW w:w="4560" w:type="dxa"/>
          </w:tcPr>
          <w:p w:rsidR="005852E0" w:rsidRPr="005852E0" w:rsidRDefault="00061233" w:rsidP="005852E0">
            <w:pPr>
              <w:jc w:val="both"/>
              <w:rPr>
                <w:szCs w:val="22"/>
              </w:rPr>
            </w:pPr>
            <w:r>
              <w:rPr>
                <w:noProof/>
                <w:szCs w:val="22"/>
              </w:rPr>
              <w:drawing>
                <wp:inline distT="0" distB="0" distL="0" distR="0" wp14:anchorId="6919F2C9" wp14:editId="2383EE79">
                  <wp:extent cx="2955600" cy="2142383"/>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55600" cy="2142383"/>
                          </a:xfrm>
                          <a:prstGeom prst="rect">
                            <a:avLst/>
                          </a:prstGeom>
                          <a:noFill/>
                        </pic:spPr>
                      </pic:pic>
                    </a:graphicData>
                  </a:graphic>
                </wp:inline>
              </w:drawing>
            </w:r>
          </w:p>
        </w:tc>
        <w:tc>
          <w:tcPr>
            <w:tcW w:w="4591" w:type="dxa"/>
          </w:tcPr>
          <w:p w:rsidR="005852E0" w:rsidRPr="005852E0" w:rsidRDefault="00061233" w:rsidP="005852E0">
            <w:pPr>
              <w:jc w:val="both"/>
              <w:rPr>
                <w:szCs w:val="22"/>
              </w:rPr>
            </w:pPr>
            <w:r>
              <w:rPr>
                <w:noProof/>
                <w:szCs w:val="22"/>
              </w:rPr>
              <w:drawing>
                <wp:inline distT="0" distB="0" distL="0" distR="0" wp14:anchorId="17606F8D" wp14:editId="69A434A9">
                  <wp:extent cx="2955600" cy="2204292"/>
                  <wp:effectExtent l="0" t="0" r="0" b="571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55600" cy="2204292"/>
                          </a:xfrm>
                          <a:prstGeom prst="rect">
                            <a:avLst/>
                          </a:prstGeom>
                          <a:noFill/>
                        </pic:spPr>
                      </pic:pic>
                    </a:graphicData>
                  </a:graphic>
                </wp:inline>
              </w:drawing>
            </w:r>
          </w:p>
        </w:tc>
      </w:tr>
    </w:tbl>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rPr>
        <w:t>مقارنة بسنة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2014، انخفض متوسط مدة المعالجة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بالنسبة للمعاملات الست التي يقوم بها المكتب الدولي. وسُجلت أكبر انخفاضات في متوسط مدة المعالجة بالنسبة للتصحيحات والتغييرات والتعيينات اللاحقة.</w:t>
      </w:r>
    </w:p>
    <w:p w:rsidR="005852E0" w:rsidRPr="005852E0" w:rsidRDefault="005852E0" w:rsidP="005852E0">
      <w:pPr>
        <w:keepNext/>
        <w:bidi/>
        <w:spacing w:after="240" w:line="380" w:lineRule="exact"/>
        <w:rPr>
          <w:rFonts w:ascii="Arabic Typesetting" w:hAnsi="Arabic Typesetting" w:cs="Arabic Typesetting"/>
          <w:b/>
          <w:bCs/>
          <w:sz w:val="34"/>
          <w:szCs w:val="34"/>
          <w:rtl/>
          <w:lang w:val="fr-CH"/>
        </w:rPr>
      </w:pPr>
      <w:r w:rsidRPr="005852E0">
        <w:rPr>
          <w:rFonts w:ascii="Arabic Typesetting" w:hAnsi="Arabic Typesetting" w:cs="Arabic Typesetting" w:hint="cs"/>
          <w:b/>
          <w:bCs/>
          <w:sz w:val="34"/>
          <w:szCs w:val="34"/>
          <w:rtl/>
          <w:lang w:val="fr-CH"/>
        </w:rPr>
        <w:lastRenderedPageBreak/>
        <w:t>ثامنا.</w:t>
      </w:r>
      <w:r w:rsidRPr="005852E0">
        <w:rPr>
          <w:rFonts w:ascii="Arabic Typesetting" w:hAnsi="Arabic Typesetting" w:cs="Arabic Typesetting" w:hint="cs"/>
          <w:b/>
          <w:bCs/>
          <w:sz w:val="34"/>
          <w:szCs w:val="34"/>
          <w:rtl/>
          <w:lang w:val="fr-CH"/>
        </w:rPr>
        <w:tab/>
        <w:t>جودة الفحص</w:t>
      </w:r>
    </w:p>
    <w:p w:rsidR="005852E0" w:rsidRPr="005852E0" w:rsidRDefault="005852E0" w:rsidP="009A3712">
      <w:pPr>
        <w:numPr>
          <w:ilvl w:val="0"/>
          <w:numId w:val="45"/>
        </w:numPr>
        <w:bidi/>
        <w:spacing w:after="120" w:line="340" w:lineRule="exact"/>
        <w:rPr>
          <w:rFonts w:ascii="Arabic Typesetting" w:hAnsi="Arabic Typesetting" w:cs="Arabic Typesetting"/>
          <w:sz w:val="36"/>
          <w:szCs w:val="36"/>
        </w:rPr>
      </w:pPr>
      <w:r w:rsidRPr="005852E0">
        <w:rPr>
          <w:rFonts w:ascii="Arabic Typesetting" w:hAnsi="Arabic Typesetting" w:cs="Arabic Typesetting" w:hint="cs"/>
          <w:sz w:val="34"/>
          <w:szCs w:val="34"/>
          <w:rtl/>
        </w:rPr>
        <w:t>المؤشرات الرئيسية التالية الخاصة بجودة فحص العلامات التجارية عموما والصادرة عن المكتب الدولي هي نتيجة لعملية مراقبة الجودة التي اضطُلع بها عقب تنفيذ إطار إدارة الجودة ضمن سجل مدريد في سنة 2015، طبقا لتوجيهات المعيار</w:t>
      </w:r>
      <w:r w:rsidRPr="005852E0">
        <w:rPr>
          <w:rFonts w:ascii="Arabic Typesetting" w:hAnsi="Arabic Typesetting" w:cs="Arabic Typesetting" w:hint="eastAsia"/>
          <w:sz w:val="34"/>
          <w:szCs w:val="34"/>
          <w:rtl/>
        </w:rPr>
        <w:t> </w:t>
      </w:r>
      <w:r w:rsidRPr="005852E0">
        <w:rPr>
          <w:rFonts w:ascii="Arabic Typesetting" w:hAnsi="Arabic Typesetting" w:cs="Arabic Typesetting"/>
          <w:sz w:val="34"/>
          <w:szCs w:val="34"/>
        </w:rPr>
        <w:t>ISO 9001:2008</w:t>
      </w:r>
      <w:r w:rsidRPr="005852E0">
        <w:rPr>
          <w:rFonts w:ascii="Arabic Typesetting" w:hAnsi="Arabic Typesetting" w:cs="Arabic Typesetting" w:hint="cs"/>
          <w:sz w:val="34"/>
          <w:szCs w:val="34"/>
          <w:rtl/>
        </w:rPr>
        <w:t>.</w:t>
      </w:r>
      <w:r w:rsidRPr="00F96634">
        <w:rPr>
          <w:rFonts w:ascii="Arabic Typesetting" w:hAnsi="Arabic Typesetting" w:cs="Arabic Typesetting"/>
          <w:sz w:val="28"/>
          <w:szCs w:val="28"/>
          <w:vertAlign w:val="superscript"/>
          <w:rtl/>
        </w:rPr>
        <w:footnoteReference w:id="35"/>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ويُعرض فيما يلي مصدران للمعلومات عن جودة العمل الخاص بالفحص أعدهما المكتب الدولي:</w:t>
      </w:r>
    </w:p>
    <w:p w:rsidR="005852E0" w:rsidRPr="005852E0" w:rsidRDefault="005852E0" w:rsidP="005852E0">
      <w:pPr>
        <w:bidi/>
        <w:spacing w:after="120" w:line="340" w:lineRule="exact"/>
        <w:ind w:left="566"/>
        <w:jc w:val="both"/>
        <w:rPr>
          <w:rFonts w:ascii="Arabic Typesetting" w:hAnsi="Arabic Typesetting" w:cs="Arabic Typesetting"/>
          <w:sz w:val="34"/>
          <w:szCs w:val="34"/>
          <w:rtl/>
          <w:lang w:bidi="ar-EG"/>
        </w:rPr>
      </w:pPr>
      <w:r w:rsidRPr="005852E0">
        <w:rPr>
          <w:rFonts w:ascii="Arabic Typesetting" w:hAnsi="Arabic Typesetting" w:cs="Arabic Typesetting" w:hint="cs"/>
          <w:sz w:val="34"/>
          <w:szCs w:val="34"/>
          <w:rtl/>
          <w:lang w:bidi="ar-EG"/>
        </w:rPr>
        <w:t>(أ)</w:t>
      </w:r>
      <w:r w:rsidRPr="005852E0">
        <w:rPr>
          <w:rFonts w:ascii="Arabic Typesetting" w:hAnsi="Arabic Typesetting" w:cs="Arabic Typesetting"/>
          <w:sz w:val="34"/>
          <w:szCs w:val="34"/>
          <w:rtl/>
          <w:lang w:bidi="ar-EG"/>
        </w:rPr>
        <w:tab/>
      </w:r>
      <w:r w:rsidRPr="005852E0">
        <w:rPr>
          <w:rFonts w:ascii="Arabic Typesetting" w:hAnsi="Arabic Typesetting" w:cs="Arabic Typesetting" w:hint="cs"/>
          <w:sz w:val="34"/>
          <w:szCs w:val="34"/>
          <w:rtl/>
          <w:lang w:bidi="ar-EG"/>
        </w:rPr>
        <w:t>نتائج الاستعراض الداخلي لعيّنات من معاملات الفحص؛</w:t>
      </w:r>
    </w:p>
    <w:p w:rsidR="005852E0" w:rsidRPr="005852E0" w:rsidRDefault="005852E0" w:rsidP="005852E0">
      <w:pPr>
        <w:bidi/>
        <w:spacing w:after="120" w:line="340" w:lineRule="exact"/>
        <w:ind w:left="566"/>
        <w:jc w:val="both"/>
        <w:rPr>
          <w:rFonts w:ascii="Arabic Typesetting" w:hAnsi="Arabic Typesetting" w:cs="Arabic Typesetting"/>
          <w:sz w:val="34"/>
          <w:szCs w:val="34"/>
          <w:rtl/>
          <w:lang w:bidi="ar-EG"/>
        </w:rPr>
      </w:pPr>
      <w:r w:rsidRPr="005852E0">
        <w:rPr>
          <w:rFonts w:ascii="Arabic Typesetting" w:hAnsi="Arabic Typesetting" w:cs="Arabic Typesetting" w:hint="cs"/>
          <w:sz w:val="34"/>
          <w:szCs w:val="34"/>
          <w:rtl/>
          <w:lang w:bidi="ar-EG"/>
        </w:rPr>
        <w:t>(ب)</w:t>
      </w:r>
      <w:r w:rsidRPr="005852E0">
        <w:rPr>
          <w:rFonts w:ascii="Arabic Typesetting" w:hAnsi="Arabic Typesetting" w:cs="Arabic Typesetting"/>
          <w:sz w:val="34"/>
          <w:szCs w:val="34"/>
          <w:rtl/>
          <w:lang w:bidi="ar-EG"/>
        </w:rPr>
        <w:tab/>
      </w:r>
      <w:r w:rsidRPr="005852E0">
        <w:rPr>
          <w:rFonts w:ascii="Arabic Typesetting" w:hAnsi="Arabic Typesetting" w:cs="Arabic Typesetting" w:hint="cs"/>
          <w:sz w:val="34"/>
          <w:szCs w:val="34"/>
          <w:rtl/>
          <w:lang w:bidi="ar-EG"/>
        </w:rPr>
        <w:t xml:space="preserve">وأخطاء ثبت أن المكتب الدولي ارتكبها عقب </w:t>
      </w:r>
      <w:r w:rsidR="003B2ED5">
        <w:rPr>
          <w:rFonts w:ascii="Arabic Typesetting" w:hAnsi="Arabic Typesetting" w:cs="Arabic Typesetting" w:hint="cs"/>
          <w:sz w:val="34"/>
          <w:szCs w:val="34"/>
          <w:rtl/>
          <w:lang w:bidi="ar-EG"/>
        </w:rPr>
        <w:t>تسلّم</w:t>
      </w:r>
      <w:r w:rsidRPr="005852E0">
        <w:rPr>
          <w:rFonts w:ascii="Arabic Typesetting" w:hAnsi="Arabic Typesetting" w:cs="Arabic Typesetting" w:hint="cs"/>
          <w:sz w:val="34"/>
          <w:szCs w:val="34"/>
          <w:rtl/>
          <w:lang w:bidi="ar-EG"/>
        </w:rPr>
        <w:t xml:space="preserve"> </w:t>
      </w:r>
      <w:proofErr w:type="spellStart"/>
      <w:r w:rsidRPr="005852E0">
        <w:rPr>
          <w:rFonts w:ascii="Arabic Typesetting" w:hAnsi="Arabic Typesetting" w:cs="Arabic Typesetting" w:hint="cs"/>
          <w:sz w:val="34"/>
          <w:szCs w:val="34"/>
          <w:rtl/>
          <w:lang w:bidi="ar-EG"/>
        </w:rPr>
        <w:t>التماسات</w:t>
      </w:r>
      <w:proofErr w:type="spellEnd"/>
      <w:r w:rsidRPr="005852E0">
        <w:rPr>
          <w:rFonts w:ascii="Arabic Typesetting" w:hAnsi="Arabic Typesetting" w:cs="Arabic Typesetting" w:hint="cs"/>
          <w:sz w:val="34"/>
          <w:szCs w:val="34"/>
          <w:rtl/>
          <w:lang w:bidi="ar-EG"/>
        </w:rPr>
        <w:t xml:space="preserve"> التصحيح بناء على القاعدة</w:t>
      </w:r>
      <w:r w:rsidRPr="005852E0">
        <w:rPr>
          <w:rFonts w:ascii="Arabic Typesetting" w:hAnsi="Arabic Typesetting" w:cs="Arabic Typesetting" w:hint="eastAsia"/>
          <w:sz w:val="34"/>
          <w:szCs w:val="34"/>
          <w:rtl/>
          <w:lang w:bidi="ar-EG"/>
        </w:rPr>
        <w:t> </w:t>
      </w:r>
      <w:r w:rsidRPr="005852E0">
        <w:rPr>
          <w:rFonts w:ascii="Arabic Typesetting" w:hAnsi="Arabic Typesetting" w:cs="Arabic Typesetting" w:hint="cs"/>
          <w:sz w:val="34"/>
          <w:szCs w:val="34"/>
          <w:rtl/>
          <w:lang w:bidi="ar-EG"/>
        </w:rPr>
        <w:t>28 من اللائحة التنفيذية المشتركة.</w:t>
      </w:r>
    </w:p>
    <w:p w:rsidR="005852E0" w:rsidRPr="005852E0" w:rsidRDefault="005852E0" w:rsidP="005852E0">
      <w:pPr>
        <w:keepNext/>
        <w:bidi/>
        <w:spacing w:before="120" w:after="120" w:line="340" w:lineRule="exact"/>
        <w:ind w:left="423"/>
        <w:rPr>
          <w:rFonts w:ascii="Arabic Typesetting" w:hAnsi="Arabic Typesetting" w:cs="Arabic Typesetting"/>
          <w:i/>
          <w:iCs/>
          <w:sz w:val="34"/>
          <w:szCs w:val="34"/>
          <w:rtl/>
        </w:rPr>
      </w:pPr>
      <w:r w:rsidRPr="005852E0">
        <w:rPr>
          <w:rFonts w:ascii="Arabic Typesetting" w:hAnsi="Arabic Typesetting" w:cs="Arabic Typesetting" w:hint="cs"/>
          <w:i/>
          <w:iCs/>
          <w:sz w:val="34"/>
          <w:szCs w:val="34"/>
          <w:rtl/>
        </w:rPr>
        <w:t>استعراض عيّنات من معاملات الفحص</w:t>
      </w:r>
    </w:p>
    <w:p w:rsidR="005852E0" w:rsidRPr="005852E0" w:rsidRDefault="005852E0" w:rsidP="009A3712">
      <w:pPr>
        <w:numPr>
          <w:ilvl w:val="0"/>
          <w:numId w:val="45"/>
        </w:numPr>
        <w:bidi/>
        <w:spacing w:after="120" w:line="340" w:lineRule="exact"/>
        <w:rPr>
          <w:rFonts w:ascii="Arabic Typesetting" w:hAnsi="Arabic Typesetting" w:cs="Arabic Typesetting"/>
          <w:sz w:val="34"/>
          <w:szCs w:val="34"/>
        </w:rPr>
      </w:pPr>
      <w:r w:rsidRPr="005852E0">
        <w:rPr>
          <w:rFonts w:ascii="Arabic Typesetting" w:hAnsi="Arabic Typesetting" w:cs="Arabic Typesetting" w:hint="cs"/>
          <w:sz w:val="34"/>
          <w:szCs w:val="34"/>
          <w:rtl/>
        </w:rPr>
        <w:t>يُحدَّد مستوى جودة مقبول لكل معاملة وهو المعيار الذي تُقاس على أساسه جودة فحص العلامات التجارية.</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5B851953" wp14:editId="1C296E81">
            <wp:extent cx="5369252" cy="3447414"/>
            <wp:effectExtent l="0" t="0" r="3175" b="127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69252" cy="3447414"/>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كان أداء الجودة العام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أدنى بنقطة مئوية واحدة من مستوى الجودة المقبول.</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lastRenderedPageBreak/>
        <w:drawing>
          <wp:inline distT="0" distB="0" distL="0" distR="0" wp14:anchorId="7C810D2C" wp14:editId="7DE347AB">
            <wp:extent cx="5707912" cy="3670936"/>
            <wp:effectExtent l="0" t="0" r="7620" b="571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07912" cy="3670936"/>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استوفى أداء الجودة العام مستوى الجودة المحدّد لسنة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ولكن سُجّلت مشكلة بالغة الأهمية تتعلق بالتدوين الخاطئ لتفاصيل المودعين ووكلائهم.</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13416089" wp14:editId="4E213386">
            <wp:extent cx="5518150" cy="3543018"/>
            <wp:effectExtent l="0" t="0" r="6350" b="63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518150" cy="3543018"/>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كان أداء الجودة العام فيما يخص معالجة القرارات أعلى بنقطتين مئويتين من الهدف المحدّد لسنة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lastRenderedPageBreak/>
        <w:drawing>
          <wp:inline distT="0" distB="0" distL="0" distR="0" wp14:anchorId="6AC267A8" wp14:editId="3F0F78EA">
            <wp:extent cx="5628370" cy="3613786"/>
            <wp:effectExtent l="0" t="0" r="0" b="571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628370" cy="3613786"/>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Pr>
      </w:pPr>
      <w:r w:rsidRPr="005852E0">
        <w:rPr>
          <w:rFonts w:ascii="Arabic Typesetting" w:hAnsi="Arabic Typesetting" w:cs="Arabic Typesetting" w:hint="cs"/>
          <w:sz w:val="34"/>
          <w:szCs w:val="34"/>
          <w:rtl/>
        </w:rPr>
        <w:t>استوفى أداء الجودة العام مستوى الجودة المحدّد وهو 95%. ولكن لوحظت المشكلة نفسها الملاحظة فيما يخص فحص الإجراءات الشكلية.</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4F9E7D87" wp14:editId="0E4279B0">
            <wp:extent cx="5454650" cy="3502246"/>
            <wp:effectExtent l="0" t="0" r="0" b="317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454650" cy="3502246"/>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كان أداء الجودة العام فيما يخص معالجة التجديدات أدنى بثلاث نقاط مئوية من الهدف المحدّد لسنة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وتكمن المشكلة الرئيسية في حساب الرسوم، وذلك بسبب التدوين الخاطئ لعدد أصناف السلع والخدمات.</w:t>
      </w:r>
    </w:p>
    <w:p w:rsidR="005852E0" w:rsidRPr="005852E0" w:rsidRDefault="005852E0" w:rsidP="00426BB2">
      <w:pPr>
        <w:keepNext/>
        <w:bidi/>
        <w:spacing w:before="120" w:after="120" w:line="340" w:lineRule="exact"/>
        <w:ind w:left="720"/>
        <w:rPr>
          <w:rFonts w:ascii="Arabic Typesetting" w:hAnsi="Arabic Typesetting" w:cs="Arabic Typesetting"/>
          <w:i/>
          <w:iCs/>
          <w:sz w:val="34"/>
          <w:szCs w:val="34"/>
          <w:rtl/>
        </w:rPr>
      </w:pPr>
      <w:r w:rsidRPr="005852E0">
        <w:rPr>
          <w:rFonts w:ascii="Arabic Typesetting" w:hAnsi="Arabic Typesetting" w:cs="Arabic Typesetting" w:hint="cs"/>
          <w:i/>
          <w:iCs/>
          <w:sz w:val="34"/>
          <w:szCs w:val="34"/>
          <w:rtl/>
        </w:rPr>
        <w:lastRenderedPageBreak/>
        <w:t>الأخطاء التي ارتكبها المكتب الدولي</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27432004" wp14:editId="55301371">
            <wp:extent cx="5530850" cy="407687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533237" cy="4078629"/>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مثّلت إساءة التصنيف نحو ثلث مجموع الأخطاء المرتكبة فيما يخص التصنيفات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3066B5A9" wp14:editId="6F53E58A">
            <wp:extent cx="5635146" cy="4157784"/>
            <wp:effectExtent l="0" t="0" r="381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638189" cy="4160029"/>
                    </a:xfrm>
                    <a:prstGeom prst="rect">
                      <a:avLst/>
                    </a:prstGeom>
                    <a:noFill/>
                  </pic:spPr>
                </pic:pic>
              </a:graphicData>
            </a:graphic>
          </wp:inline>
        </w:drawing>
      </w:r>
    </w:p>
    <w:p w:rsidR="005852E0" w:rsidRPr="005852E0" w:rsidRDefault="005852E0" w:rsidP="009A3712">
      <w:pPr>
        <w:numPr>
          <w:ilvl w:val="0"/>
          <w:numId w:val="31"/>
        </w:numPr>
        <w:bidi/>
        <w:spacing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lastRenderedPageBreak/>
        <w:t>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كانت غالبية التصحيحات في الإجراءات الشكلية بسبب أخطاء في تدوين تفاصيل المودعين (45.3</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وتفاصيل الوكلاء (8.3</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0099D47A" wp14:editId="2878EAAB">
            <wp:extent cx="5048250" cy="3726038"/>
            <wp:effectExtent l="0" t="0" r="0" b="825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053087" cy="3729608"/>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يتعلق نحو 83</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من مجموع التصحيحات المرتبطة بالتغييرات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 بأربعة معاملات هي التعيينات اللاحقة (24.8</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والتغييرات في الملكية (21.7</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والتغييرات في اسم و/أو عنوان صاحب التسجيل (19.3</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xml:space="preserve">) </w:t>
      </w:r>
      <w:proofErr w:type="spellStart"/>
      <w:r w:rsidRPr="005852E0">
        <w:rPr>
          <w:rFonts w:ascii="Arabic Typesetting" w:hAnsi="Arabic Typesetting" w:cs="Arabic Typesetting" w:hint="cs"/>
          <w:sz w:val="34"/>
          <w:szCs w:val="34"/>
          <w:rtl/>
        </w:rPr>
        <w:t>والإنقاصات</w:t>
      </w:r>
      <w:proofErr w:type="spellEnd"/>
      <w:r w:rsidRPr="005852E0">
        <w:rPr>
          <w:rFonts w:ascii="Arabic Typesetting" w:hAnsi="Arabic Typesetting" w:cs="Arabic Typesetting" w:hint="cs"/>
          <w:sz w:val="34"/>
          <w:szCs w:val="34"/>
          <w:rtl/>
        </w:rPr>
        <w:t xml:space="preserve"> (16.9</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w:t>
      </w:r>
    </w:p>
    <w:p w:rsidR="005852E0" w:rsidRPr="005852E0" w:rsidRDefault="00B851E2" w:rsidP="005852E0">
      <w:pPr>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41CF6B41" wp14:editId="4D526661">
            <wp:extent cx="4268310" cy="3153434"/>
            <wp:effectExtent l="0" t="0" r="0" b="889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267618" cy="3152922"/>
                    </a:xfrm>
                    <a:prstGeom prst="rect">
                      <a:avLst/>
                    </a:prstGeom>
                    <a:noFill/>
                  </pic:spPr>
                </pic:pic>
              </a:graphicData>
            </a:graphic>
          </wp:inline>
        </w:drawing>
      </w:r>
    </w:p>
    <w:p w:rsidR="005852E0" w:rsidRPr="005852E0" w:rsidRDefault="005852E0" w:rsidP="009A3712">
      <w:pPr>
        <w:numPr>
          <w:ilvl w:val="0"/>
          <w:numId w:val="31"/>
        </w:numPr>
        <w:bidi/>
        <w:spacing w:before="120" w:after="120" w:line="340" w:lineRule="exact"/>
        <w:ind w:left="714" w:hanging="357"/>
        <w:rPr>
          <w:rFonts w:ascii="Arabic Typesetting" w:hAnsi="Arabic Typesetting" w:cs="Arabic Typesetting"/>
          <w:sz w:val="34"/>
          <w:szCs w:val="34"/>
          <w:rtl/>
        </w:rPr>
      </w:pPr>
      <w:r w:rsidRPr="005852E0">
        <w:rPr>
          <w:rFonts w:ascii="Arabic Typesetting" w:hAnsi="Arabic Typesetting" w:cs="Arabic Typesetting" w:hint="cs"/>
          <w:sz w:val="34"/>
          <w:szCs w:val="34"/>
          <w:rtl/>
        </w:rPr>
        <w:t>مثّلت الأخطاء المرتكبة في حساب الرسوم (33.8</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والأخطاء المرتكبة في تدوين التعيينات (32.5</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بال</w:t>
      </w:r>
      <w:r w:rsidR="00925848">
        <w:rPr>
          <w:rFonts w:ascii="Arabic Typesetting" w:hAnsi="Arabic Typesetting" w:cs="Arabic Typesetting" w:hint="cs"/>
          <w:sz w:val="34"/>
          <w:szCs w:val="34"/>
          <w:rtl/>
        </w:rPr>
        <w:t>مئة</w:t>
      </w:r>
      <w:r w:rsidRPr="005852E0">
        <w:rPr>
          <w:rFonts w:ascii="Arabic Typesetting" w:hAnsi="Arabic Typesetting" w:cs="Arabic Typesetting" w:hint="cs"/>
          <w:sz w:val="34"/>
          <w:szCs w:val="34"/>
          <w:rtl/>
        </w:rPr>
        <w:t>)، مجتمعة، ثلثي التصحيحات التي أجريت بخصوص التجديدات في سنة</w:t>
      </w:r>
      <w:r w:rsidRPr="005852E0">
        <w:rPr>
          <w:rFonts w:ascii="Arabic Typesetting" w:hAnsi="Arabic Typesetting" w:cs="Arabic Typesetting" w:hint="eastAsia"/>
          <w:sz w:val="34"/>
          <w:szCs w:val="34"/>
          <w:rtl/>
        </w:rPr>
        <w:t> </w:t>
      </w:r>
      <w:r w:rsidRPr="005852E0">
        <w:rPr>
          <w:rFonts w:ascii="Arabic Typesetting" w:hAnsi="Arabic Typesetting" w:cs="Arabic Typesetting" w:hint="cs"/>
          <w:sz w:val="34"/>
          <w:szCs w:val="34"/>
          <w:rtl/>
        </w:rPr>
        <w:t>2015.</w:t>
      </w:r>
    </w:p>
    <w:p w:rsidR="001919AF" w:rsidRPr="00B31868" w:rsidRDefault="001919AF" w:rsidP="00426BB2">
      <w:pPr>
        <w:pStyle w:val="EndofDocumentAR"/>
        <w:spacing w:before="240"/>
        <w:rPr>
          <w:rtl/>
        </w:rPr>
      </w:pPr>
      <w:r>
        <w:rPr>
          <w:rFonts w:hint="cs"/>
          <w:rtl/>
        </w:rPr>
        <w:t>[نهاية المرفق]</w:t>
      </w:r>
    </w:p>
    <w:p w:rsidR="00B31868" w:rsidRPr="00B31868" w:rsidRDefault="00B31868" w:rsidP="00426BB2">
      <w:pPr>
        <w:pStyle w:val="Heading3AR"/>
        <w:spacing w:after="120"/>
        <w:ind w:left="0" w:firstLine="0"/>
      </w:pPr>
      <w:bookmarkStart w:id="44" w:name="_Toc450635407"/>
      <w:bookmarkStart w:id="45" w:name="_Toc455393373"/>
      <w:r w:rsidRPr="00B31868">
        <w:rPr>
          <w:rtl/>
        </w:rPr>
        <w:lastRenderedPageBreak/>
        <w:t>البرنامج 31</w:t>
      </w:r>
      <w:r w:rsidR="00365D19">
        <w:rPr>
          <w:rFonts w:hint="cs"/>
          <w:rtl/>
        </w:rPr>
        <w:t>:</w:t>
      </w:r>
      <w:r w:rsidRPr="00B31868">
        <w:tab/>
      </w:r>
      <w:r w:rsidRPr="00B31868">
        <w:rPr>
          <w:rtl/>
        </w:rPr>
        <w:t>نظام لاهاي</w:t>
      </w:r>
      <w:bookmarkEnd w:id="44"/>
      <w:bookmarkEnd w:id="45"/>
    </w:p>
    <w:p w:rsidR="00B31868" w:rsidRPr="00086C3F" w:rsidRDefault="00086C3F" w:rsidP="00426BB2">
      <w:pPr>
        <w:keepNext/>
        <w:bidi/>
        <w:spacing w:after="240" w:line="340" w:lineRule="exact"/>
        <w:ind w:left="1984" w:hanging="1984"/>
        <w:rPr>
          <w:rFonts w:ascii="Arabic Typesetting" w:hAnsi="Arabic Typesetting" w:cs="Arabic Typesetting"/>
          <w:b/>
          <w:bCs/>
          <w:sz w:val="36"/>
          <w:szCs w:val="36"/>
          <w:rtl/>
          <w:lang w:val="fr-CH"/>
        </w:rPr>
      </w:pPr>
      <w:r>
        <w:rPr>
          <w:rFonts w:ascii="Arabic Typesetting" w:hAnsi="Arabic Typesetting" w:cs="Arabic Typesetting" w:hint="cs"/>
          <w:b/>
          <w:bCs/>
          <w:sz w:val="36"/>
          <w:szCs w:val="36"/>
          <w:rtl/>
          <w:lang w:val="fr-CH"/>
        </w:rPr>
        <w:t>المسؤول عن</w:t>
      </w:r>
      <w:r w:rsidR="00B31868" w:rsidRPr="00086C3F">
        <w:rPr>
          <w:rFonts w:ascii="Arabic Typesetting" w:hAnsi="Arabic Typesetting" w:cs="Arabic Typesetting"/>
          <w:b/>
          <w:bCs/>
          <w:sz w:val="36"/>
          <w:szCs w:val="36"/>
          <w:rtl/>
          <w:lang w:val="fr-CH"/>
        </w:rPr>
        <w:t xml:space="preserve"> البرنامج</w:t>
      </w:r>
      <w:r>
        <w:rPr>
          <w:rFonts w:ascii="Arabic Typesetting" w:hAnsi="Arabic Typesetting" w:cs="Arabic Typesetting" w:hint="cs"/>
          <w:b/>
          <w:bCs/>
          <w:sz w:val="36"/>
          <w:szCs w:val="36"/>
          <w:rtl/>
          <w:lang w:val="fr-CH"/>
        </w:rPr>
        <w:t>:</w:t>
      </w:r>
      <w:r w:rsidR="00B31868" w:rsidRPr="00086C3F">
        <w:rPr>
          <w:rFonts w:ascii="Arabic Typesetting" w:hAnsi="Arabic Typesetting" w:cs="Arabic Typesetting"/>
          <w:b/>
          <w:bCs/>
          <w:sz w:val="36"/>
          <w:szCs w:val="36"/>
          <w:lang w:val="fr-CH"/>
        </w:rPr>
        <w:tab/>
      </w:r>
      <w:r w:rsidRPr="00B31868">
        <w:rPr>
          <w:rFonts w:ascii="Arabic Typesetting" w:hAnsi="Arabic Typesetting" w:cs="Arabic Typesetting" w:hint="cs"/>
          <w:b/>
          <w:bCs/>
          <w:sz w:val="36"/>
          <w:szCs w:val="36"/>
          <w:rtl/>
          <w:lang w:val="fr-CH"/>
        </w:rPr>
        <w:t xml:space="preserve">السيدة </w:t>
      </w:r>
      <w:proofErr w:type="spellStart"/>
      <w:r w:rsidRPr="00B31868">
        <w:rPr>
          <w:rFonts w:ascii="Arabic Typesetting" w:hAnsi="Arabic Typesetting" w:cs="Arabic Typesetting" w:hint="cs"/>
          <w:b/>
          <w:bCs/>
          <w:sz w:val="36"/>
          <w:szCs w:val="36"/>
          <w:rtl/>
          <w:lang w:val="fr-CH"/>
        </w:rPr>
        <w:t>بينينغ</w:t>
      </w:r>
      <w:proofErr w:type="spellEnd"/>
      <w:r w:rsidRPr="00B31868">
        <w:rPr>
          <w:rFonts w:ascii="Arabic Typesetting" w:hAnsi="Arabic Typesetting" w:cs="Arabic Typesetting" w:hint="cs"/>
          <w:b/>
          <w:bCs/>
          <w:sz w:val="36"/>
          <w:szCs w:val="36"/>
          <w:rtl/>
          <w:lang w:val="fr-CH"/>
        </w:rPr>
        <w:t xml:space="preserve"> وانغ</w:t>
      </w:r>
    </w:p>
    <w:p w:rsidR="00B31868" w:rsidRPr="00086C3F" w:rsidRDefault="004F62C4" w:rsidP="00426BB2">
      <w:pPr>
        <w:keepNext/>
        <w:bidi/>
        <w:spacing w:after="240" w:line="340" w:lineRule="exact"/>
        <w:rPr>
          <w:rFonts w:ascii="Arabic Typesetting" w:hAnsi="Arabic Typesetting" w:cs="Arabic Typesetting"/>
          <w:sz w:val="36"/>
          <w:szCs w:val="36"/>
          <w:rtl/>
          <w:lang w:val="fr-CH"/>
        </w:rPr>
      </w:pPr>
      <w:r w:rsidRPr="00086C3F">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3C7D68" w:rsidRDefault="00732280" w:rsidP="009A3712">
      <w:pPr>
        <w:numPr>
          <w:ilvl w:val="0"/>
          <w:numId w:val="24"/>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شهد نظام لاهاي </w:t>
      </w:r>
      <w:r w:rsidR="00831F56">
        <w:rPr>
          <w:rFonts w:ascii="Arabic Typesetting" w:hAnsi="Arabic Typesetting" w:cs="Arabic Typesetting" w:hint="cs"/>
          <w:sz w:val="34"/>
          <w:szCs w:val="34"/>
          <w:rtl/>
          <w:lang w:bidi="ar-EG"/>
        </w:rPr>
        <w:t>توسعاً</w:t>
      </w:r>
      <w:r>
        <w:rPr>
          <w:rFonts w:ascii="Arabic Typesetting" w:hAnsi="Arabic Typesetting" w:cs="Arabic Typesetting" w:hint="cs"/>
          <w:sz w:val="34"/>
          <w:szCs w:val="34"/>
          <w:rtl/>
          <w:lang w:bidi="ar-EG"/>
        </w:rPr>
        <w:t xml:space="preserve"> جيداً في</w:t>
      </w:r>
      <w:r w:rsidR="00831F56">
        <w:rPr>
          <w:rFonts w:ascii="Arabic Typesetting" w:hAnsi="Arabic Typesetting" w:cs="Arabic Typesetting" w:hint="cs"/>
          <w:sz w:val="34"/>
          <w:szCs w:val="34"/>
          <w:rtl/>
          <w:lang w:bidi="ar-EG"/>
        </w:rPr>
        <w:t xml:space="preserve"> عامي 2014 و2015</w:t>
      </w:r>
      <w:r>
        <w:rPr>
          <w:rFonts w:ascii="Arabic Typesetting" w:hAnsi="Arabic Typesetting" w:cs="Arabic Typesetting" w:hint="cs"/>
          <w:sz w:val="34"/>
          <w:szCs w:val="34"/>
          <w:rtl/>
          <w:lang w:bidi="ar-EG"/>
        </w:rPr>
        <w:t xml:space="preserve">. فقد انضمت جمهورية كوريا في عام 2014 إلى </w:t>
      </w:r>
      <w:r w:rsidRPr="00B31868">
        <w:rPr>
          <w:rFonts w:ascii="Arabic Typesetting" w:hAnsi="Arabic Typesetting" w:cs="Arabic Typesetting"/>
          <w:sz w:val="34"/>
          <w:szCs w:val="34"/>
          <w:rtl/>
          <w:lang w:bidi="ar-EG"/>
        </w:rPr>
        <w:t>وثيقة جنيف (1999) لاتفاق لاهاي بشأن التسجيل الدولي لل</w:t>
      </w:r>
      <w:r w:rsidRPr="00B31868">
        <w:rPr>
          <w:rFonts w:ascii="Arabic Typesetting" w:hAnsi="Arabic Typesetting" w:cs="Arabic Typesetting" w:hint="cs"/>
          <w:sz w:val="34"/>
          <w:szCs w:val="34"/>
          <w:rtl/>
          <w:lang w:bidi="ar-EG"/>
        </w:rPr>
        <w:t>تصميمات</w:t>
      </w:r>
      <w:r w:rsidRPr="00B31868">
        <w:rPr>
          <w:rFonts w:ascii="Arabic Typesetting" w:hAnsi="Arabic Typesetting" w:cs="Arabic Typesetting"/>
          <w:sz w:val="34"/>
          <w:szCs w:val="34"/>
          <w:rtl/>
          <w:lang w:bidi="ar-EG"/>
        </w:rPr>
        <w:t xml:space="preserve"> الصناعية (المشار إليها فيما يلي باسم "وثيقة 1999")</w:t>
      </w:r>
      <w:r>
        <w:rPr>
          <w:rFonts w:ascii="Arabic Typesetting" w:hAnsi="Arabic Typesetting" w:cs="Arabic Typesetting" w:hint="cs"/>
          <w:sz w:val="34"/>
          <w:szCs w:val="34"/>
          <w:rtl/>
          <w:lang w:bidi="ar-EG"/>
        </w:rPr>
        <w:t>، وتبعتها اليابان وتركمانستان والولايات المتحدة الأمريكية في عام 2015. وبذلك، ارتفع عدد الأطراف المتعاقدة في وثيقة 1999 ليبلغ 50 طرفاً متعاقداً. وعلى الرغم من أن هذا العدد أقل من</w:t>
      </w:r>
      <w:r w:rsidR="00831F56">
        <w:rPr>
          <w:rFonts w:ascii="Arabic Typesetting" w:hAnsi="Arabic Typesetting" w:cs="Arabic Typesetting" w:hint="cs"/>
          <w:sz w:val="34"/>
          <w:szCs w:val="34"/>
          <w:rtl/>
          <w:lang w:bidi="ar-EG"/>
        </w:rPr>
        <w:t xml:space="preserve"> العدد المنشود، فقد أدى انضمام جمهورية كوريا والولايات المتحدة الأمريكية واليابان بوجه خاص إلى زيادة جاذبية نظام لاهاي نظراً إلى أن هذه الدول تحتل المرتبة الثالثة والرابعة والخامسة في العالم من حيث إيداعات التصاميم. ومن ثم، ازداد عدد الطلبات الدولية بأكثر من 40 بالمئة في عام 2015 متجاوزاً بذلك الزيادة المتوقعة في عام 2014. ونتيجة لتوسع نظام لاهاي، أعربت أطراف متعاقدة محتملة أخرى،</w:t>
      </w:r>
      <w:r w:rsidR="00831F56" w:rsidRPr="00831F56">
        <w:rPr>
          <w:rFonts w:ascii="Arabic Typesetting" w:hAnsi="Arabic Typesetting" w:cs="Arabic Typesetting" w:hint="cs"/>
          <w:sz w:val="34"/>
          <w:szCs w:val="34"/>
          <w:rtl/>
          <w:lang w:bidi="ar-EG"/>
        </w:rPr>
        <w:t xml:space="preserve"> </w:t>
      </w:r>
      <w:r w:rsidR="00831F56">
        <w:rPr>
          <w:rFonts w:ascii="Arabic Typesetting" w:hAnsi="Arabic Typesetting" w:cs="Arabic Typesetting" w:hint="cs"/>
          <w:sz w:val="34"/>
          <w:szCs w:val="34"/>
          <w:rtl/>
          <w:lang w:bidi="ar-EG"/>
        </w:rPr>
        <w:t>منها بلدان ملتزمة بوثائق أقدم، عن اهتمامها الشديد بالانضمام إلى وثيقة</w:t>
      </w:r>
      <w:r w:rsidR="00831F56">
        <w:rPr>
          <w:rFonts w:ascii="Arabic Typesetting" w:hAnsi="Arabic Typesetting" w:cs="Arabic Typesetting" w:hint="eastAsia"/>
          <w:sz w:val="34"/>
          <w:szCs w:val="34"/>
          <w:rtl/>
          <w:lang w:bidi="ar-EG"/>
        </w:rPr>
        <w:t> </w:t>
      </w:r>
      <w:r w:rsidR="00831F56">
        <w:rPr>
          <w:rFonts w:ascii="Arabic Typesetting" w:hAnsi="Arabic Typesetting" w:cs="Arabic Typesetting" w:hint="cs"/>
          <w:sz w:val="34"/>
          <w:szCs w:val="34"/>
          <w:rtl/>
          <w:lang w:bidi="ar-EG"/>
        </w:rPr>
        <w:t>1999. ولا تزال موافقتان لازمتين لإنهاء وثيقة 1934</w:t>
      </w:r>
      <w:r w:rsidR="005D47F6">
        <w:rPr>
          <w:rFonts w:ascii="Arabic Typesetting" w:hAnsi="Arabic Typesetting" w:cs="Arabic Typesetting" w:hint="cs"/>
          <w:sz w:val="34"/>
          <w:szCs w:val="34"/>
          <w:rtl/>
          <w:lang w:bidi="ar-EG"/>
        </w:rPr>
        <w:t xml:space="preserve"> </w:t>
      </w:r>
      <w:r w:rsidR="00831F56">
        <w:rPr>
          <w:rFonts w:ascii="Arabic Typesetting" w:hAnsi="Arabic Typesetting" w:cs="Arabic Typesetting" w:hint="cs"/>
          <w:sz w:val="34"/>
          <w:szCs w:val="34"/>
          <w:rtl/>
          <w:lang w:bidi="ar-EG"/>
        </w:rPr>
        <w:t>في نهاية عام 2015 ولا تزال أربعة أطراف متعاقدة غير الاتحاد الأوروبي والمنظمة الأفريقية للملكية الفكرية ملزمة بوثيقة 1960 فقط.</w:t>
      </w:r>
    </w:p>
    <w:p w:rsidR="00831F56" w:rsidRDefault="00831F56" w:rsidP="009A3712">
      <w:pPr>
        <w:numPr>
          <w:ilvl w:val="0"/>
          <w:numId w:val="24"/>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ولكن تجدر الإشارة إلى أن تغطية نظام لاهاي للبلدان المذكورة آنفاً أدى إلى تطبيق بعض من أعقد خصائص نظام لاهاي</w:t>
      </w:r>
      <w:r w:rsidR="00C23864">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 ولا سيما تلك المتعلقة بشرط </w:t>
      </w:r>
      <w:r w:rsidR="00C23864">
        <w:rPr>
          <w:rFonts w:ascii="Arabic Typesetting" w:hAnsi="Arabic Typesetting" w:cs="Arabic Typesetting" w:hint="cs"/>
          <w:sz w:val="34"/>
          <w:szCs w:val="34"/>
          <w:rtl/>
          <w:lang w:bidi="ar-EG"/>
        </w:rPr>
        <w:t xml:space="preserve">إعلان المبدع أو تسديد جزأين من الرسم الفردي، وإلى ضرورة استحداث خصائص أخرى مثل تلك المتعلقة بمفهوم التصاميم المترابطة. وتحقيقاً لذلك، </w:t>
      </w:r>
      <w:r w:rsidR="0048191C">
        <w:rPr>
          <w:rFonts w:ascii="Arabic Typesetting" w:hAnsi="Arabic Typesetting" w:cs="Arabic Typesetting" w:hint="cs"/>
          <w:sz w:val="34"/>
          <w:szCs w:val="34"/>
          <w:rtl/>
          <w:lang w:bidi="ar-EG"/>
        </w:rPr>
        <w:t>حدِّث</w:t>
      </w:r>
      <w:r w:rsidR="00C23864">
        <w:rPr>
          <w:rFonts w:ascii="Arabic Typesetting" w:hAnsi="Arabic Typesetting" w:cs="Arabic Typesetting" w:hint="cs"/>
          <w:sz w:val="34"/>
          <w:szCs w:val="34"/>
          <w:rtl/>
          <w:lang w:bidi="ar-EG"/>
        </w:rPr>
        <w:t xml:space="preserve"> نظام الفحص ونظام </w:t>
      </w:r>
      <w:r w:rsidR="0048191C">
        <w:rPr>
          <w:rFonts w:ascii="Arabic Typesetting" w:hAnsi="Arabic Typesetting" w:cs="Arabic Typesetting" w:hint="cs"/>
          <w:sz w:val="34"/>
          <w:szCs w:val="34"/>
          <w:rtl/>
          <w:lang w:bidi="ar-EG"/>
        </w:rPr>
        <w:t>ال</w:t>
      </w:r>
      <w:r w:rsidR="00C23864">
        <w:rPr>
          <w:rFonts w:ascii="Arabic Typesetting" w:hAnsi="Arabic Typesetting" w:cs="Arabic Typesetting" w:hint="cs"/>
          <w:sz w:val="34"/>
          <w:szCs w:val="34"/>
          <w:rtl/>
          <w:lang w:bidi="ar-EG"/>
        </w:rPr>
        <w:t xml:space="preserve">إيداع الإلكتروني والاستمارات </w:t>
      </w:r>
      <w:r w:rsidR="0048191C">
        <w:rPr>
          <w:rFonts w:ascii="Arabic Typesetting" w:hAnsi="Arabic Typesetting" w:cs="Arabic Typesetting" w:hint="cs"/>
          <w:sz w:val="34"/>
          <w:szCs w:val="34"/>
          <w:rtl/>
          <w:lang w:bidi="ar-EG"/>
        </w:rPr>
        <w:t>وزود بالمزيد من الوظائف</w:t>
      </w:r>
      <w:r w:rsidR="00C23864">
        <w:rPr>
          <w:rFonts w:ascii="Arabic Typesetting" w:hAnsi="Arabic Typesetting" w:cs="Arabic Typesetting" w:hint="cs"/>
          <w:sz w:val="34"/>
          <w:szCs w:val="34"/>
          <w:rtl/>
          <w:lang w:bidi="ar-EG"/>
        </w:rPr>
        <w:t xml:space="preserve"> بغية التكيف مع الشروط الجديدة. وفيما يخص المعلومات المقدمة إلى المستخدمين، أُصدرت نسخة محدثة كلياً لقاعدة بيانات لاهاي </w:t>
      </w:r>
      <w:proofErr w:type="spellStart"/>
      <w:r w:rsidR="00C23864">
        <w:rPr>
          <w:rFonts w:ascii="Arabic Typesetting" w:hAnsi="Arabic Typesetting" w:cs="Arabic Typesetting" w:hint="cs"/>
          <w:sz w:val="34"/>
          <w:szCs w:val="34"/>
          <w:rtl/>
          <w:lang w:bidi="ar-EG"/>
        </w:rPr>
        <w:t>إكسيبريس</w:t>
      </w:r>
      <w:proofErr w:type="spellEnd"/>
      <w:r w:rsidR="00C23864">
        <w:rPr>
          <w:rFonts w:ascii="Arabic Typesetting" w:hAnsi="Arabic Typesetting" w:cs="Arabic Typesetting" w:hint="cs"/>
          <w:sz w:val="34"/>
          <w:szCs w:val="34"/>
          <w:rtl/>
          <w:lang w:bidi="ar-EG"/>
        </w:rPr>
        <w:t xml:space="preserve"> و</w:t>
      </w:r>
      <w:r w:rsidR="0048191C">
        <w:rPr>
          <w:rFonts w:ascii="Arabic Typesetting" w:hAnsi="Arabic Typesetting" w:cs="Arabic Typesetting" w:hint="cs"/>
          <w:sz w:val="34"/>
          <w:szCs w:val="34"/>
          <w:rtl/>
          <w:lang w:bidi="ar-EG"/>
        </w:rPr>
        <w:t>أدرجت</w:t>
      </w:r>
      <w:r w:rsidR="00C23864">
        <w:rPr>
          <w:rFonts w:ascii="Arabic Typesetting" w:hAnsi="Arabic Typesetting" w:cs="Arabic Typesetting" w:hint="cs"/>
          <w:sz w:val="34"/>
          <w:szCs w:val="34"/>
          <w:rtl/>
          <w:lang w:bidi="ar-EG"/>
        </w:rPr>
        <w:t xml:space="preserve"> بيانات لاهاي في قاعدة </w:t>
      </w:r>
      <w:r w:rsidR="0048191C">
        <w:rPr>
          <w:rFonts w:ascii="Arabic Typesetting" w:hAnsi="Arabic Typesetting" w:cs="Arabic Typesetting" w:hint="cs"/>
          <w:sz w:val="34"/>
          <w:szCs w:val="34"/>
          <w:rtl/>
          <w:lang w:bidi="ar-EG"/>
        </w:rPr>
        <w:t>ال</w:t>
      </w:r>
      <w:r w:rsidR="00C23864">
        <w:rPr>
          <w:rFonts w:ascii="Arabic Typesetting" w:hAnsi="Arabic Typesetting" w:cs="Arabic Typesetting" w:hint="cs"/>
          <w:sz w:val="34"/>
          <w:szCs w:val="34"/>
          <w:rtl/>
          <w:lang w:bidi="ar-EG"/>
        </w:rPr>
        <w:t xml:space="preserve">بيانات </w:t>
      </w:r>
      <w:r w:rsidR="0048191C">
        <w:rPr>
          <w:rFonts w:ascii="Arabic Typesetting" w:hAnsi="Arabic Typesetting" w:cs="Arabic Typesetting" w:hint="cs"/>
          <w:sz w:val="34"/>
          <w:szCs w:val="34"/>
          <w:rtl/>
          <w:lang w:bidi="ar-EG"/>
        </w:rPr>
        <w:t>العالمية ل</w:t>
      </w:r>
      <w:r w:rsidR="00C23864">
        <w:rPr>
          <w:rFonts w:ascii="Arabic Typesetting" w:hAnsi="Arabic Typesetting" w:cs="Arabic Typesetting" w:hint="cs"/>
          <w:sz w:val="34"/>
          <w:szCs w:val="34"/>
          <w:rtl/>
          <w:lang w:bidi="ar-EG"/>
        </w:rPr>
        <w:t>لتصاميم، ما أتاح الارتقاء بجودة المعلومات المقدمة للمستخدمين النهائيين والمكاتب وغيرهما من الأطراف المعنية. وحو</w:t>
      </w:r>
      <w:r w:rsidR="0048191C">
        <w:rPr>
          <w:rFonts w:ascii="Arabic Typesetting" w:hAnsi="Arabic Typesetting" w:cs="Arabic Typesetting" w:hint="cs"/>
          <w:sz w:val="34"/>
          <w:szCs w:val="34"/>
          <w:rtl/>
          <w:lang w:bidi="ar-EG"/>
        </w:rPr>
        <w:t>ِّ</w:t>
      </w:r>
      <w:r w:rsidR="00C23864">
        <w:rPr>
          <w:rFonts w:ascii="Arabic Typesetting" w:hAnsi="Arabic Typesetting" w:cs="Arabic Typesetting" w:hint="cs"/>
          <w:sz w:val="34"/>
          <w:szCs w:val="34"/>
          <w:rtl/>
          <w:lang w:bidi="ar-EG"/>
        </w:rPr>
        <w:t xml:space="preserve">ل دليل لاهاي إلى نسق شبكي لتيسير النفاذ إليه عن طريق واجهة الإيداع الإلكترونية مباشرةً. وعلى الرغم من الزيادة المفاجئة في عدد الطلبات في عام 2015 وزيادة تعقيدها، استوعبت </w:t>
      </w:r>
      <w:r w:rsidR="00387817">
        <w:rPr>
          <w:rFonts w:ascii="Arabic Typesetting" w:hAnsi="Arabic Typesetting" w:cs="Arabic Typesetting" w:hint="cs"/>
          <w:sz w:val="34"/>
          <w:szCs w:val="34"/>
          <w:rtl/>
          <w:lang w:bidi="ar-EG"/>
        </w:rPr>
        <w:t xml:space="preserve">عمليات لاهاي هذه الزيادة وتمكنت من الحفاظ على </w:t>
      </w:r>
      <w:r w:rsidR="0048191C">
        <w:rPr>
          <w:rFonts w:ascii="Arabic Typesetting" w:hAnsi="Arabic Typesetting" w:cs="Arabic Typesetting" w:hint="cs"/>
          <w:sz w:val="34"/>
          <w:szCs w:val="34"/>
          <w:rtl/>
          <w:lang w:bidi="ar-EG"/>
        </w:rPr>
        <w:t xml:space="preserve">مهل </w:t>
      </w:r>
      <w:r w:rsidR="00387817">
        <w:rPr>
          <w:rFonts w:ascii="Arabic Typesetting" w:hAnsi="Arabic Typesetting" w:cs="Arabic Typesetting" w:hint="cs"/>
          <w:sz w:val="34"/>
          <w:szCs w:val="34"/>
          <w:rtl/>
          <w:lang w:bidi="ar-EG"/>
        </w:rPr>
        <w:t>ملائمة بما يتماشى مع المتوسط المسج</w:t>
      </w:r>
      <w:r w:rsidR="0048191C">
        <w:rPr>
          <w:rFonts w:ascii="Arabic Typesetting" w:hAnsi="Arabic Typesetting" w:cs="Arabic Typesetting" w:hint="cs"/>
          <w:sz w:val="34"/>
          <w:szCs w:val="34"/>
          <w:rtl/>
          <w:lang w:bidi="ar-EG"/>
        </w:rPr>
        <w:t>َّ</w:t>
      </w:r>
      <w:r w:rsidR="00387817">
        <w:rPr>
          <w:rFonts w:ascii="Arabic Typesetting" w:hAnsi="Arabic Typesetting" w:cs="Arabic Typesetting" w:hint="cs"/>
          <w:sz w:val="34"/>
          <w:szCs w:val="34"/>
          <w:rtl/>
          <w:lang w:bidi="ar-EG"/>
        </w:rPr>
        <w:t xml:space="preserve">ل على مدار السنوات الخمس السابقة. وأسفر ذلك عن انخفاض نسبته 8 بالمئة في تكلفة الوحدة لكل تصميم في عام 2015 مقارنة بعام 2014 وانخفاض قدره 22 بالمئة في تكلفة الوحدة لكل وثيقة بين العامين المذكورين. وأُنجزت أتمتة </w:t>
      </w:r>
      <w:r w:rsidR="009A3092">
        <w:rPr>
          <w:rFonts w:ascii="Arabic Typesetting" w:hAnsi="Arabic Typesetting" w:cs="Arabic Typesetting" w:hint="cs"/>
          <w:sz w:val="34"/>
          <w:szCs w:val="34"/>
          <w:rtl/>
          <w:lang w:bidi="ar-EG"/>
        </w:rPr>
        <w:t>إجراءين</w:t>
      </w:r>
      <w:r w:rsidR="00387817">
        <w:rPr>
          <w:rFonts w:ascii="Arabic Typesetting" w:hAnsi="Arabic Typesetting" w:cs="Arabic Typesetting" w:hint="cs"/>
          <w:sz w:val="34"/>
          <w:szCs w:val="34"/>
          <w:rtl/>
          <w:lang w:bidi="ar-EG"/>
        </w:rPr>
        <w:t xml:space="preserve"> هما تسلّم ومعالجة الإيداعات غير المباشرة لمكتب جمهورية كوريا وفحص إعلانات منح الحماية التي يرسلها مكتب مواءمة السوق الداخلية التابع للاتحاد الأوروبي ليبلغ بذلك عدد </w:t>
      </w:r>
      <w:r w:rsidR="009A3092">
        <w:rPr>
          <w:rFonts w:ascii="Arabic Typesetting" w:hAnsi="Arabic Typesetting" w:cs="Arabic Typesetting" w:hint="cs"/>
          <w:sz w:val="34"/>
          <w:szCs w:val="34"/>
          <w:rtl/>
          <w:lang w:bidi="ar-EG"/>
        </w:rPr>
        <w:t xml:space="preserve">الإجراءات </w:t>
      </w:r>
      <w:r w:rsidR="00387817">
        <w:rPr>
          <w:rFonts w:ascii="Arabic Typesetting" w:hAnsi="Arabic Typesetting" w:cs="Arabic Typesetting" w:hint="cs"/>
          <w:sz w:val="34"/>
          <w:szCs w:val="34"/>
          <w:rtl/>
          <w:lang w:bidi="ar-EG"/>
        </w:rPr>
        <w:t xml:space="preserve">المؤتمتة أربعة </w:t>
      </w:r>
      <w:r w:rsidR="009A3092">
        <w:rPr>
          <w:rFonts w:ascii="Arabic Typesetting" w:hAnsi="Arabic Typesetting" w:cs="Arabic Typesetting" w:hint="cs"/>
          <w:sz w:val="34"/>
          <w:szCs w:val="34"/>
          <w:rtl/>
          <w:lang w:bidi="ar-EG"/>
        </w:rPr>
        <w:t>إجراءات</w:t>
      </w:r>
      <w:r w:rsidR="00387817">
        <w:rPr>
          <w:rFonts w:ascii="Arabic Typesetting" w:hAnsi="Arabic Typesetting" w:cs="Arabic Typesetting" w:hint="cs"/>
          <w:sz w:val="34"/>
          <w:szCs w:val="34"/>
          <w:rtl/>
          <w:lang w:bidi="ar-EG"/>
        </w:rPr>
        <w:t>.</w:t>
      </w:r>
    </w:p>
    <w:p w:rsidR="00B31868" w:rsidRPr="00B31868" w:rsidRDefault="00B31868" w:rsidP="009A3712">
      <w:pPr>
        <w:numPr>
          <w:ilvl w:val="0"/>
          <w:numId w:val="24"/>
        </w:numPr>
        <w:bidi/>
        <w:spacing w:after="120" w:line="340" w:lineRule="exact"/>
        <w:ind w:left="0" w:firstLine="0"/>
        <w:jc w:val="both"/>
        <w:rPr>
          <w:rFonts w:ascii="Arabic Typesetting" w:hAnsi="Arabic Typesetting" w:cs="Arabic Typesetting"/>
          <w:sz w:val="34"/>
          <w:szCs w:val="34"/>
          <w:lang w:bidi="ar-EG"/>
        </w:rPr>
      </w:pPr>
      <w:r w:rsidRPr="00387817">
        <w:rPr>
          <w:rFonts w:ascii="Arabic Typesetting" w:hAnsi="Arabic Typesetting" w:cs="Arabic Typesetting"/>
          <w:sz w:val="34"/>
          <w:szCs w:val="34"/>
          <w:rtl/>
          <w:lang w:bidi="ar-EG"/>
        </w:rPr>
        <w:t xml:space="preserve">وأُحرِز تقدمٌ كبيرٌ </w:t>
      </w:r>
      <w:r w:rsidR="00387817" w:rsidRPr="00387817">
        <w:rPr>
          <w:rFonts w:ascii="Arabic Typesetting" w:hAnsi="Arabic Typesetting" w:cs="Arabic Typesetting" w:hint="cs"/>
          <w:sz w:val="34"/>
          <w:szCs w:val="34"/>
          <w:rtl/>
          <w:lang w:bidi="ar-EG"/>
        </w:rPr>
        <w:t>في</w:t>
      </w:r>
      <w:r w:rsidR="00387817" w:rsidRPr="00387817">
        <w:rPr>
          <w:rFonts w:ascii="Arabic Typesetting" w:hAnsi="Arabic Typesetting" w:cs="Arabic Typesetting"/>
          <w:sz w:val="34"/>
          <w:szCs w:val="34"/>
          <w:rtl/>
          <w:lang w:bidi="ar-EG"/>
        </w:rPr>
        <w:t xml:space="preserve"> </w:t>
      </w:r>
      <w:r w:rsidRPr="00387817">
        <w:rPr>
          <w:rFonts w:ascii="Arabic Typesetting" w:hAnsi="Arabic Typesetting" w:cs="Arabic Typesetting"/>
          <w:sz w:val="34"/>
          <w:szCs w:val="34"/>
          <w:rtl/>
          <w:lang w:bidi="ar-EG"/>
        </w:rPr>
        <w:t>تعزيز الإطار القانوني لنظام لاهاي</w:t>
      </w:r>
      <w:r w:rsidR="00387817" w:rsidRPr="00387817">
        <w:rPr>
          <w:rFonts w:ascii="Arabic Typesetting" w:hAnsi="Arabic Typesetting" w:cs="Arabic Typesetting" w:hint="cs"/>
          <w:sz w:val="34"/>
          <w:szCs w:val="34"/>
          <w:rtl/>
          <w:lang w:bidi="ar-EG"/>
        </w:rPr>
        <w:t xml:space="preserve"> خلال الثنائية </w:t>
      </w:r>
      <w:r w:rsidR="00507DE2">
        <w:rPr>
          <w:rFonts w:ascii="Arabic Typesetting" w:hAnsi="Arabic Typesetting" w:cs="Arabic Typesetting" w:hint="cs"/>
          <w:sz w:val="34"/>
          <w:szCs w:val="34"/>
          <w:rtl/>
          <w:lang w:bidi="ar-EG"/>
        </w:rPr>
        <w:t>2014/15</w:t>
      </w:r>
      <w:r w:rsidRPr="00387817">
        <w:rPr>
          <w:rFonts w:ascii="Arabic Typesetting" w:hAnsi="Arabic Typesetting" w:cs="Arabic Typesetting"/>
          <w:sz w:val="34"/>
          <w:szCs w:val="34"/>
          <w:rtl/>
          <w:lang w:bidi="ar-EG"/>
        </w:rPr>
        <w:t xml:space="preserve">. </w:t>
      </w:r>
      <w:r w:rsidR="00387817" w:rsidRPr="00387817">
        <w:rPr>
          <w:rFonts w:ascii="Arabic Typesetting" w:hAnsi="Arabic Typesetting" w:cs="Arabic Typesetting" w:hint="cs"/>
          <w:sz w:val="34"/>
          <w:szCs w:val="34"/>
          <w:rtl/>
          <w:lang w:bidi="ar-EG"/>
        </w:rPr>
        <w:t>إذ</w:t>
      </w:r>
      <w:r w:rsidRPr="00387817">
        <w:rPr>
          <w:rFonts w:ascii="Arabic Typesetting" w:hAnsi="Arabic Typesetting" w:cs="Arabic Typesetting"/>
          <w:sz w:val="34"/>
          <w:szCs w:val="34"/>
          <w:rtl/>
          <w:lang w:bidi="ar-EG"/>
        </w:rPr>
        <w:t xml:space="preserve"> اعتمدت جمعية اتحاد لاهاي أحكام</w:t>
      </w:r>
      <w:r w:rsidRPr="00387817">
        <w:rPr>
          <w:rFonts w:ascii="Arabic Typesetting" w:hAnsi="Arabic Typesetting" w:cs="Arabic Typesetting" w:hint="cs"/>
          <w:sz w:val="34"/>
          <w:szCs w:val="34"/>
          <w:rtl/>
          <w:lang w:bidi="ar-EG"/>
        </w:rPr>
        <w:t>اً</w:t>
      </w:r>
      <w:r w:rsidRPr="00387817">
        <w:rPr>
          <w:rFonts w:ascii="Arabic Typesetting" w:hAnsi="Arabic Typesetting" w:cs="Arabic Typesetting"/>
          <w:sz w:val="34"/>
          <w:szCs w:val="34"/>
          <w:rtl/>
          <w:lang w:bidi="ar-EG"/>
        </w:rPr>
        <w:t xml:space="preserve"> </w:t>
      </w:r>
      <w:r w:rsidR="00387817" w:rsidRPr="00387817">
        <w:rPr>
          <w:rFonts w:ascii="Arabic Typesetting" w:hAnsi="Arabic Typesetting" w:cs="Arabic Typesetting" w:hint="cs"/>
          <w:sz w:val="34"/>
          <w:szCs w:val="34"/>
          <w:rtl/>
          <w:lang w:bidi="ar-EG"/>
        </w:rPr>
        <w:t>دخلت حيز النفاذ في 1 يناير 2015 و</w:t>
      </w:r>
      <w:r w:rsidRPr="00387817">
        <w:rPr>
          <w:rFonts w:ascii="Arabic Typesetting" w:hAnsi="Arabic Typesetting" w:cs="Arabic Typesetting" w:hint="cs"/>
          <w:sz w:val="34"/>
          <w:szCs w:val="34"/>
          <w:rtl/>
          <w:lang w:bidi="ar-EG"/>
        </w:rPr>
        <w:t>أوجدت</w:t>
      </w:r>
      <w:r w:rsidRPr="00387817">
        <w:rPr>
          <w:rFonts w:ascii="Arabic Typesetting" w:hAnsi="Arabic Typesetting" w:cs="Arabic Typesetting"/>
          <w:sz w:val="34"/>
          <w:szCs w:val="34"/>
          <w:rtl/>
          <w:lang w:bidi="ar-EG"/>
        </w:rPr>
        <w:t xml:space="preserve"> "آلية</w:t>
      </w:r>
      <w:r w:rsidRPr="00387817">
        <w:rPr>
          <w:rFonts w:ascii="Arabic Typesetting" w:hAnsi="Arabic Typesetting" w:cs="Arabic Typesetting" w:hint="cs"/>
          <w:sz w:val="34"/>
          <w:szCs w:val="34"/>
          <w:rtl/>
          <w:lang w:bidi="ar-EG"/>
        </w:rPr>
        <w:t>ً</w:t>
      </w:r>
      <w:r w:rsidRPr="00387817">
        <w:rPr>
          <w:rFonts w:ascii="Arabic Typesetting" w:hAnsi="Arabic Typesetting" w:cs="Arabic Typesetting"/>
          <w:sz w:val="34"/>
          <w:szCs w:val="34"/>
          <w:rtl/>
          <w:lang w:bidi="ar-EG"/>
        </w:rPr>
        <w:t xml:space="preserve"> للحصول على الآراء"</w:t>
      </w:r>
      <w:r w:rsidR="00387817" w:rsidRPr="00387817">
        <w:rPr>
          <w:rFonts w:ascii="Arabic Typesetting" w:hAnsi="Arabic Typesetting" w:cs="Arabic Typesetting" w:hint="cs"/>
          <w:sz w:val="34"/>
          <w:szCs w:val="34"/>
          <w:rtl/>
          <w:lang w:bidi="ar-EG"/>
        </w:rPr>
        <w:t xml:space="preserve"> </w:t>
      </w:r>
      <w:r w:rsidR="00387817" w:rsidRPr="00387817">
        <w:rPr>
          <w:rFonts w:ascii="Arabic Typesetting" w:hAnsi="Arabic Typesetting" w:cs="Arabic Typesetting"/>
          <w:sz w:val="34"/>
          <w:szCs w:val="34"/>
          <w:rtl/>
          <w:lang w:bidi="ar-EG"/>
        </w:rPr>
        <w:t>تضمن الإتاحة العلنية للمعلومات المتعلقة بالتعديلات المدخلة على التصميم الصناعي موضوع التسجيل الدولي بعد اتخاذ إجراء لدى مكتب طرف متعاقد معين</w:t>
      </w:r>
      <w:r w:rsidR="00387817" w:rsidRPr="00387817">
        <w:rPr>
          <w:rFonts w:ascii="Arabic Typesetting" w:hAnsi="Arabic Typesetting" w:cs="Arabic Typesetting" w:hint="cs"/>
          <w:sz w:val="34"/>
          <w:szCs w:val="34"/>
          <w:rtl/>
          <w:lang w:bidi="ar-EG"/>
        </w:rPr>
        <w:t xml:space="preserve">، </w:t>
      </w:r>
      <w:r w:rsidRPr="00387817">
        <w:rPr>
          <w:rFonts w:ascii="Arabic Typesetting" w:hAnsi="Arabic Typesetting" w:cs="Arabic Typesetting"/>
          <w:sz w:val="34"/>
          <w:szCs w:val="34"/>
          <w:rtl/>
          <w:lang w:bidi="ar-EG"/>
        </w:rPr>
        <w:t>وذلك في أعقاب الدورة الرابعة للفريق العامل المعني بالتطوير القانوني لنظام لاهاي بشأن التسجيل الدولي للتصاميم الصناعية.</w:t>
      </w:r>
      <w:r w:rsidR="00387817">
        <w:rPr>
          <w:rFonts w:ascii="Arabic Typesetting" w:hAnsi="Arabic Typesetting" w:cs="Arabic Typesetting" w:hint="cs"/>
          <w:sz w:val="34"/>
          <w:szCs w:val="34"/>
          <w:rtl/>
          <w:lang w:bidi="ar-EG"/>
        </w:rPr>
        <w:t xml:space="preserve"> وفضلاً عن ذلك، </w:t>
      </w:r>
      <w:r w:rsidRPr="00B31868">
        <w:rPr>
          <w:rFonts w:ascii="Arabic Typesetting" w:hAnsi="Arabic Typesetting" w:cs="Arabic Typesetting"/>
          <w:sz w:val="34"/>
          <w:szCs w:val="34"/>
          <w:rtl/>
          <w:lang w:bidi="ar-EG"/>
        </w:rPr>
        <w:t xml:space="preserve">أُدخلت تغييرات على </w:t>
      </w:r>
      <w:r w:rsidRPr="00B31868">
        <w:rPr>
          <w:rFonts w:ascii="Arabic Typesetting" w:hAnsi="Arabic Typesetting" w:cs="Arabic Typesetting" w:hint="cs"/>
          <w:sz w:val="34"/>
          <w:szCs w:val="34"/>
          <w:rtl/>
          <w:lang w:bidi="ar-EG"/>
        </w:rPr>
        <w:t>التعليمات</w:t>
      </w:r>
      <w:r w:rsidRPr="00B31868">
        <w:rPr>
          <w:rFonts w:ascii="Arabic Typesetting" w:hAnsi="Arabic Typesetting" w:cs="Arabic Typesetting"/>
          <w:sz w:val="34"/>
          <w:szCs w:val="34"/>
          <w:rtl/>
          <w:lang w:bidi="ar-EG"/>
        </w:rPr>
        <w:t xml:space="preserve"> الإدارية بغية منح المستخدمين مزيداً من المرونة فيما يتعلق بالكشف الرسمي عن تصاميمهم</w:t>
      </w:r>
      <w:r w:rsidR="00EA5CA3">
        <w:rPr>
          <w:rFonts w:ascii="Arabic Typesetting" w:hAnsi="Arabic Typesetting" w:cs="Arabic Typesetting" w:hint="cs"/>
          <w:sz w:val="34"/>
          <w:szCs w:val="34"/>
          <w:rtl/>
          <w:lang w:bidi="ar-EG"/>
        </w:rPr>
        <w:t xml:space="preserve"> الصناعية؛ ودخلت هذه التعديلات حيز النفاذ في 1 يوليو 2014</w:t>
      </w:r>
      <w:r w:rsidRPr="00B31868">
        <w:rPr>
          <w:rFonts w:ascii="Arabic Typesetting" w:hAnsi="Arabic Typesetting" w:cs="Arabic Typesetting"/>
          <w:sz w:val="34"/>
          <w:szCs w:val="34"/>
          <w:rtl/>
          <w:lang w:bidi="ar-EG"/>
        </w:rPr>
        <w:t xml:space="preserve">. وهذان التطوران يوفران الأساس للمضي قدماً في التوسع الذي طال انتظاره في ولايات قضائية يُجرى فيها </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 xml:space="preserve">فحص </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موضوعي. و</w:t>
      </w:r>
      <w:r w:rsidR="0048191C">
        <w:rPr>
          <w:rFonts w:ascii="Arabic Typesetting" w:hAnsi="Arabic Typesetting" w:cs="Arabic Typesetting" w:hint="cs"/>
          <w:sz w:val="34"/>
          <w:szCs w:val="34"/>
          <w:rtl/>
          <w:lang w:bidi="ar-EG"/>
        </w:rPr>
        <w:t xml:space="preserve">إضافة </w:t>
      </w:r>
      <w:r w:rsidRPr="00B31868">
        <w:rPr>
          <w:rFonts w:ascii="Arabic Typesetting" w:hAnsi="Arabic Typesetting" w:cs="Arabic Typesetting"/>
          <w:sz w:val="34"/>
          <w:szCs w:val="34"/>
          <w:rtl/>
          <w:lang w:bidi="ar-EG"/>
        </w:rPr>
        <w:t xml:space="preserve">إلى التغييرات التي أُدخلت على واجهة الإيداع الإلكتروني، </w:t>
      </w:r>
      <w:r w:rsidR="00EA5CA3">
        <w:rPr>
          <w:rFonts w:ascii="Arabic Typesetting" w:hAnsi="Arabic Typesetting" w:cs="Arabic Typesetting" w:hint="cs"/>
          <w:sz w:val="34"/>
          <w:szCs w:val="34"/>
          <w:rtl/>
          <w:lang w:bidi="ar-EG"/>
        </w:rPr>
        <w:t>أصبح نظام لاهاي</w:t>
      </w:r>
      <w:r w:rsidRPr="00B31868">
        <w:rPr>
          <w:rFonts w:ascii="Arabic Typesetting" w:hAnsi="Arabic Typesetting" w:cs="Arabic Typesetting"/>
          <w:sz w:val="34"/>
          <w:szCs w:val="34"/>
          <w:rtl/>
          <w:lang w:bidi="ar-EG"/>
        </w:rPr>
        <w:t xml:space="preserve"> مجهزاً </w:t>
      </w:r>
      <w:r w:rsidR="00EA5CA3">
        <w:rPr>
          <w:rFonts w:ascii="Arabic Typesetting" w:hAnsi="Arabic Typesetting" w:cs="Arabic Typesetting" w:hint="cs"/>
          <w:sz w:val="34"/>
          <w:szCs w:val="34"/>
          <w:rtl/>
          <w:lang w:bidi="ar-EG"/>
        </w:rPr>
        <w:t>تجهيزاً</w:t>
      </w:r>
      <w:r w:rsidR="00EA5CA3"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sz w:val="34"/>
          <w:szCs w:val="34"/>
          <w:rtl/>
          <w:lang w:bidi="ar-EG"/>
        </w:rPr>
        <w:t xml:space="preserve">أفضل للتعامل مع التعقيدات الإضافية الناشئة عن </w:t>
      </w:r>
      <w:r w:rsidR="00EA5CA3">
        <w:rPr>
          <w:rFonts w:ascii="Arabic Typesetting" w:hAnsi="Arabic Typesetting" w:cs="Arabic Typesetting" w:hint="cs"/>
          <w:sz w:val="34"/>
          <w:szCs w:val="34"/>
          <w:rtl/>
          <w:lang w:bidi="ar-EG"/>
        </w:rPr>
        <w:t>انضمام اليابان وجمهورية كوريا والولايات المتحدة الأمريكية</w:t>
      </w:r>
      <w:r w:rsidRPr="00B31868">
        <w:rPr>
          <w:rFonts w:ascii="Arabic Typesetting" w:hAnsi="Arabic Typesetting" w:cs="Arabic Typesetting"/>
          <w:sz w:val="34"/>
          <w:szCs w:val="34"/>
          <w:rtl/>
          <w:lang w:bidi="ar-EG"/>
        </w:rPr>
        <w:t>.</w:t>
      </w:r>
    </w:p>
    <w:p w:rsidR="00B31868" w:rsidRPr="00B31868" w:rsidRDefault="00B31868" w:rsidP="009A3712">
      <w:pPr>
        <w:numPr>
          <w:ilvl w:val="0"/>
          <w:numId w:val="24"/>
        </w:numPr>
        <w:bidi/>
        <w:spacing w:after="120" w:line="340" w:lineRule="exact"/>
        <w:ind w:left="0" w:firstLine="0"/>
        <w:jc w:val="both"/>
        <w:rPr>
          <w:rFonts w:ascii="Arabic Typesetting" w:hAnsi="Arabic Typesetting" w:cs="Arabic Typesetting"/>
          <w:bCs/>
          <w:sz w:val="34"/>
          <w:szCs w:val="34"/>
          <w:lang w:bidi="ar-EG"/>
        </w:rPr>
      </w:pPr>
      <w:r w:rsidRPr="00B31868">
        <w:rPr>
          <w:rFonts w:ascii="Arabic Typesetting" w:hAnsi="Arabic Typesetting" w:cs="Arabic Typesetting"/>
          <w:sz w:val="34"/>
          <w:szCs w:val="34"/>
          <w:rtl/>
          <w:lang w:bidi="ar-EG"/>
        </w:rPr>
        <w:t xml:space="preserve">وكان البرنامج 31 يسترشد في تصميم أنشطته والتخطيط لها وتنفيذها بتوصيات جدول أعمال التنمية </w:t>
      </w:r>
      <w:r w:rsidR="0048191C">
        <w:rPr>
          <w:rFonts w:ascii="Arabic Typesetting" w:hAnsi="Arabic Typesetting" w:cs="Arabic Typesetting" w:hint="cs"/>
          <w:sz w:val="34"/>
          <w:szCs w:val="34"/>
          <w:rtl/>
          <w:lang w:bidi="ar-EG"/>
        </w:rPr>
        <w:t>المعنية</w:t>
      </w:r>
      <w:r w:rsidRPr="00B31868">
        <w:rPr>
          <w:rFonts w:ascii="Arabic Typesetting" w:hAnsi="Arabic Typesetting" w:cs="Arabic Typesetting"/>
          <w:sz w:val="34"/>
          <w:szCs w:val="34"/>
          <w:rtl/>
          <w:lang w:bidi="ar-EG"/>
        </w:rPr>
        <w:t xml:space="preserve"> وخاصةً التوصيتان 1 و6.</w:t>
      </w:r>
    </w:p>
    <w:p w:rsidR="00B31868" w:rsidRPr="00E439F5" w:rsidRDefault="00B31868" w:rsidP="00B32938">
      <w:pPr>
        <w:keepNext/>
        <w:bidi/>
        <w:spacing w:before="120" w:after="120" w:line="340" w:lineRule="exact"/>
        <w:rPr>
          <w:rFonts w:ascii="Arabic Typesetting" w:hAnsi="Arabic Typesetting" w:cs="Arabic Typesetting"/>
          <w:sz w:val="34"/>
          <w:szCs w:val="34"/>
          <w:rtl/>
          <w:lang w:bidi="ar-EG"/>
        </w:rPr>
      </w:pPr>
      <w:r w:rsidRPr="00E439F5">
        <w:rPr>
          <w:rFonts w:ascii="Arabic Typesetting" w:hAnsi="Arabic Typesetting" w:cs="Arabic Typesetting"/>
          <w:sz w:val="34"/>
          <w:szCs w:val="34"/>
          <w:rtl/>
        </w:rPr>
        <w:lastRenderedPageBreak/>
        <w:t>بيانات الأداء</w:t>
      </w:r>
    </w:p>
    <w:tbl>
      <w:tblPr>
        <w:bidiVisual/>
        <w:tblW w:w="4796"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85"/>
        <w:gridCol w:w="7"/>
        <w:gridCol w:w="2249"/>
        <w:gridCol w:w="1541"/>
        <w:gridCol w:w="39"/>
        <w:gridCol w:w="29"/>
        <w:gridCol w:w="2273"/>
        <w:gridCol w:w="958"/>
      </w:tblGrid>
      <w:tr w:rsidR="00B31868" w:rsidRPr="00211D55" w:rsidTr="002830AA">
        <w:trPr>
          <w:cantSplit/>
        </w:trPr>
        <w:tc>
          <w:tcPr>
            <w:tcW w:w="5000" w:type="pct"/>
            <w:gridSpan w:val="8"/>
            <w:tcBorders>
              <w:top w:val="single" w:sz="4" w:space="0" w:color="auto"/>
              <w:bottom w:val="single" w:sz="4" w:space="0" w:color="auto"/>
            </w:tcBorders>
            <w:shd w:val="clear" w:color="auto" w:fill="C6D9F1" w:themeFill="text2" w:themeFillTint="33"/>
            <w:vAlign w:val="center"/>
          </w:tcPr>
          <w:p w:rsidR="00B31868" w:rsidRPr="00211D55" w:rsidRDefault="00B31868" w:rsidP="00426BB2">
            <w:pPr>
              <w:keepNext/>
              <w:bidi/>
              <w:spacing w:after="60" w:line="280" w:lineRule="exact"/>
              <w:ind w:left="1167" w:hanging="1167"/>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shd w:val="clear" w:color="auto" w:fill="C6D9F1" w:themeFill="text2" w:themeFillTint="33"/>
                <w:rtl/>
              </w:rPr>
              <w:t>النتيجة المرتقبة</w:t>
            </w:r>
            <w:r w:rsidRPr="00211D55">
              <w:rPr>
                <w:rFonts w:ascii="Arabic Typesetting" w:hAnsi="Arabic Typesetting" w:cs="Arabic Typesetting" w:hint="cs"/>
                <w:b/>
                <w:bCs/>
                <w:sz w:val="28"/>
                <w:szCs w:val="28"/>
                <w:shd w:val="clear" w:color="auto" w:fill="C6D9F1" w:themeFill="text2" w:themeFillTint="33"/>
                <w:rtl/>
              </w:rPr>
              <w:t>:</w:t>
            </w:r>
            <w:r w:rsidRPr="00211D55">
              <w:rPr>
                <w:rFonts w:ascii="Arabic Typesetting" w:hAnsi="Arabic Typesetting" w:cs="Arabic Typesetting"/>
                <w:b/>
                <w:bCs/>
                <w:sz w:val="28"/>
                <w:szCs w:val="28"/>
                <w:shd w:val="clear" w:color="auto" w:fill="C6D9F1" w:themeFill="text2" w:themeFillTint="33"/>
                <w:rtl/>
              </w:rPr>
              <w:tab/>
            </w:r>
            <w:r w:rsidRPr="00211D55">
              <w:rPr>
                <w:rFonts w:ascii="Arabic Typesetting" w:hAnsi="Arabic Typesetting" w:cs="Arabic Typesetting"/>
                <w:color w:val="000000"/>
                <w:sz w:val="28"/>
                <w:szCs w:val="28"/>
                <w:shd w:val="clear" w:color="auto" w:fill="C6D9F1" w:themeFill="text2" w:themeFillTint="33"/>
                <w:rtl/>
              </w:rPr>
              <w:t xml:space="preserve">ھ4.2 </w:t>
            </w:r>
            <w:r w:rsidR="000E3DA7">
              <w:rPr>
                <w:rFonts w:ascii="Arabic Typesetting" w:hAnsi="Arabic Typesetting" w:cs="Arabic Typesetting"/>
                <w:color w:val="000000"/>
                <w:sz w:val="28"/>
                <w:szCs w:val="28"/>
                <w:shd w:val="clear" w:color="auto" w:fill="C6D9F1" w:themeFill="text2" w:themeFillTint="33"/>
                <w:rtl/>
              </w:rPr>
              <w:t>الانتفاع بنظام لاهاي على نطاق أوسع ونحو أفضل، بما في ذلك من جهة البلدان النامية والبلدان الأقل نموا</w:t>
            </w:r>
          </w:p>
        </w:tc>
      </w:tr>
      <w:tr w:rsidR="00B31868" w:rsidRPr="00211D55" w:rsidTr="002830AA">
        <w:trPr>
          <w:cantSplit/>
        </w:trPr>
        <w:tc>
          <w:tcPr>
            <w:tcW w:w="1135"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مؤشرات الأداء</w:t>
            </w:r>
          </w:p>
        </w:tc>
        <w:tc>
          <w:tcPr>
            <w:tcW w:w="1229" w:type="pct"/>
            <w:gridSpan w:val="2"/>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839"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275" w:type="pct"/>
            <w:gridSpan w:val="3"/>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522"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B31868" w:rsidRPr="00211D55" w:rsidTr="00B6234E">
        <w:trPr>
          <w:cantSplit/>
          <w:trHeight w:val="930"/>
        </w:trPr>
        <w:tc>
          <w:tcPr>
            <w:tcW w:w="1135" w:type="pct"/>
            <w:shd w:val="clear" w:color="auto" w:fill="auto"/>
          </w:tcPr>
          <w:p w:rsidR="00B31868" w:rsidRPr="00211D55" w:rsidRDefault="00B31868" w:rsidP="00086C3F">
            <w:pPr>
              <w:bidi/>
              <w:spacing w:before="60" w:after="60" w:line="280" w:lineRule="exact"/>
              <w:rPr>
                <w:rFonts w:ascii="Arabic Typesetting" w:hAnsi="Arabic Typesetting" w:cs="Arabic Typesetting"/>
                <w:color w:val="000000"/>
                <w:sz w:val="28"/>
                <w:szCs w:val="28"/>
              </w:rPr>
            </w:pPr>
            <w:r w:rsidRPr="00211D55">
              <w:rPr>
                <w:rFonts w:ascii="Arabic Typesetting" w:hAnsi="Arabic Typesetting" w:cs="Arabic Typesetting"/>
                <w:color w:val="000000"/>
                <w:sz w:val="28"/>
                <w:szCs w:val="28"/>
                <w:rtl/>
              </w:rPr>
              <w:t>عضوية وثيقة جنيف (1999)</w:t>
            </w:r>
          </w:p>
        </w:tc>
        <w:tc>
          <w:tcPr>
            <w:tcW w:w="1229" w:type="pct"/>
            <w:gridSpan w:val="2"/>
            <w:shd w:val="clear" w:color="auto" w:fill="auto"/>
          </w:tcPr>
          <w:p w:rsidR="00B31868" w:rsidRPr="00211D55" w:rsidRDefault="00B31868" w:rsidP="00086C3F">
            <w:pPr>
              <w:bidi/>
              <w:spacing w:before="60" w:after="60" w:line="280" w:lineRule="exact"/>
              <w:rPr>
                <w:rFonts w:ascii="Arabic Typesetting"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hint="cs"/>
                <w:iCs/>
                <w:color w:val="002060"/>
                <w:sz w:val="28"/>
                <w:szCs w:val="28"/>
                <w:rtl/>
              </w:rPr>
              <w:t>:</w:t>
            </w:r>
            <w:r w:rsidRPr="00211D55">
              <w:rPr>
                <w:rFonts w:ascii="Arabic Typesetting" w:hAnsi="Arabic Typesetting" w:cs="Arabic Typesetting" w:hint="cs"/>
                <w:i/>
                <w:color w:val="002060"/>
                <w:sz w:val="28"/>
                <w:szCs w:val="28"/>
                <w:rtl/>
              </w:rPr>
              <w:t xml:space="preserve"> 46</w:t>
            </w:r>
            <w:r w:rsidRPr="00211D55">
              <w:rPr>
                <w:rFonts w:ascii="Arabic Typesetting" w:hAnsi="Arabic Typesetting" w:cs="Arabic Typesetting"/>
                <w:i/>
                <w:color w:val="002060"/>
                <w:sz w:val="28"/>
                <w:szCs w:val="28"/>
                <w:rtl/>
              </w:rPr>
              <w:t xml:space="preserve"> طرفاً متعاقداً (نهاية 2013)</w:t>
            </w:r>
          </w:p>
          <w:p w:rsidR="00B31868" w:rsidRPr="00211D55" w:rsidRDefault="00B31868" w:rsidP="00086C3F">
            <w:pPr>
              <w:bidi/>
              <w:spacing w:before="60" w:after="60" w:line="280" w:lineRule="exact"/>
              <w:rPr>
                <w:rFonts w:ascii="Arabic Typesetting" w:hAnsi="Arabic Typesetting" w:cs="Arabic Typesetting"/>
                <w:color w:val="000000"/>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hint="cs"/>
                <w:iCs/>
                <w:sz w:val="28"/>
                <w:szCs w:val="28"/>
                <w:rtl/>
              </w:rPr>
              <w:t>:</w:t>
            </w:r>
            <w:r w:rsidRPr="00211D55">
              <w:rPr>
                <w:rFonts w:ascii="Arabic Typesetting" w:hAnsi="Arabic Typesetting" w:cs="Arabic Typesetting" w:hint="cs"/>
                <w:color w:val="000000"/>
                <w:sz w:val="28"/>
                <w:szCs w:val="28"/>
                <w:rtl/>
              </w:rPr>
              <w:t xml:space="preserve"> 45 </w:t>
            </w:r>
            <w:r w:rsidRPr="00211D55">
              <w:rPr>
                <w:rFonts w:ascii="Arabic Typesetting" w:hAnsi="Arabic Typesetting" w:cs="Arabic Typesetting"/>
                <w:color w:val="000000"/>
                <w:sz w:val="28"/>
                <w:szCs w:val="28"/>
                <w:rtl/>
              </w:rPr>
              <w:t>طرفاً متعاقداً</w:t>
            </w:r>
          </w:p>
        </w:tc>
        <w:tc>
          <w:tcPr>
            <w:tcW w:w="839" w:type="pct"/>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color w:val="000000"/>
                <w:sz w:val="28"/>
                <w:szCs w:val="28"/>
              </w:rPr>
            </w:pPr>
            <w:r w:rsidRPr="00211D55">
              <w:rPr>
                <w:rFonts w:ascii="Arabic Typesetting" w:hAnsi="Arabic Typesetting" w:cs="Arabic Typesetting"/>
                <w:sz w:val="28"/>
                <w:szCs w:val="28"/>
                <w:rtl/>
              </w:rPr>
              <w:t>58 طرفاً متعاقداً</w:t>
            </w:r>
          </w:p>
        </w:tc>
        <w:tc>
          <w:tcPr>
            <w:tcW w:w="1275" w:type="pct"/>
            <w:gridSpan w:val="3"/>
            <w:shd w:val="clear" w:color="auto" w:fill="FFFFFF"/>
            <w:tcMar>
              <w:top w:w="110" w:type="dxa"/>
            </w:tcMar>
          </w:tcPr>
          <w:p w:rsidR="00B31868" w:rsidRPr="00211D55" w:rsidRDefault="00EA5CA3"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hint="cs"/>
                <w:sz w:val="28"/>
                <w:szCs w:val="28"/>
                <w:rtl/>
              </w:rPr>
              <w:t>50</w:t>
            </w:r>
            <w:r w:rsidRPr="00211D55">
              <w:rPr>
                <w:rFonts w:ascii="Arabic Typesetting" w:hAnsi="Arabic Typesetting" w:cs="Arabic Typesetting"/>
                <w:sz w:val="28"/>
                <w:szCs w:val="28"/>
                <w:rtl/>
              </w:rPr>
              <w:t xml:space="preserve"> </w:t>
            </w:r>
            <w:r w:rsidR="00B31868" w:rsidRPr="00211D55">
              <w:rPr>
                <w:rFonts w:ascii="Arabic Typesetting" w:hAnsi="Arabic Typesetting" w:cs="Arabic Typesetting"/>
                <w:sz w:val="28"/>
                <w:szCs w:val="28"/>
                <w:rtl/>
              </w:rPr>
              <w:t xml:space="preserve">طرفاً متعاقداً في وثيقة جنيف (نهاية </w:t>
            </w:r>
            <w:r w:rsidRPr="00211D55">
              <w:rPr>
                <w:rFonts w:ascii="Arabic Typesetting" w:hAnsi="Arabic Typesetting" w:cs="Arabic Typesetting" w:hint="cs"/>
                <w:sz w:val="28"/>
                <w:szCs w:val="28"/>
                <w:rtl/>
              </w:rPr>
              <w:t>2015</w:t>
            </w:r>
            <w:r w:rsidR="00B31868" w:rsidRPr="00211D55">
              <w:rPr>
                <w:rFonts w:ascii="Arabic Typesetting" w:hAnsi="Arabic Typesetting" w:cs="Arabic Typesetting"/>
                <w:sz w:val="28"/>
                <w:szCs w:val="28"/>
                <w:rtl/>
              </w:rPr>
              <w:t>)</w:t>
            </w:r>
          </w:p>
        </w:tc>
        <w:tc>
          <w:tcPr>
            <w:tcW w:w="522" w:type="pct"/>
            <w:shd w:val="clear" w:color="auto" w:fill="auto"/>
            <w:tcMar>
              <w:top w:w="110" w:type="dxa"/>
            </w:tcMar>
          </w:tcPr>
          <w:p w:rsidR="00B31868" w:rsidRPr="00211D55" w:rsidRDefault="00EA5CA3" w:rsidP="007A7336">
            <w:pPr>
              <w:bidi/>
              <w:spacing w:line="280" w:lineRule="exact"/>
              <w:rPr>
                <w:rFonts w:ascii="Arabic Typesetting" w:hAnsi="Arabic Typesetting" w:cs="Arabic Typesetting"/>
                <w:b/>
                <w:bCs/>
                <w:color w:val="808080"/>
                <w:sz w:val="28"/>
                <w:szCs w:val="28"/>
              </w:rPr>
            </w:pPr>
            <w:r w:rsidRPr="00211D55">
              <w:rPr>
                <w:rFonts w:ascii="Arabic Typesetting" w:hAnsi="Arabic Typesetting" w:cs="Arabic Typesetting" w:hint="cs"/>
                <w:b/>
                <w:bCs/>
                <w:color w:val="D56509"/>
                <w:sz w:val="28"/>
                <w:szCs w:val="28"/>
                <w:rtl/>
              </w:rPr>
              <w:t>محقق جزئياً</w:t>
            </w:r>
          </w:p>
        </w:tc>
      </w:tr>
      <w:tr w:rsidR="00B31868" w:rsidRPr="00211D55" w:rsidTr="002830AA">
        <w:trPr>
          <w:cantSplit/>
        </w:trPr>
        <w:tc>
          <w:tcPr>
            <w:tcW w:w="1135" w:type="pct"/>
            <w:tcBorders>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حصة المكاتب المعنية التي تقدم معلومات عن نظام لاهاي</w:t>
            </w:r>
          </w:p>
        </w:tc>
        <w:tc>
          <w:tcPr>
            <w:tcW w:w="1229" w:type="pct"/>
            <w:gridSpan w:val="2"/>
            <w:tcBorders>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i/>
                <w:color w:val="002060"/>
                <w:sz w:val="28"/>
                <w:szCs w:val="28"/>
                <w:rtl/>
              </w:rPr>
              <w:t>أساس المقارنة المُحدَّث في نهاية 2013</w:t>
            </w:r>
            <w:r w:rsidRPr="00211D55">
              <w:rPr>
                <w:rFonts w:ascii="Arabic Typesetting" w:hAnsi="Arabic Typesetting" w:cs="Arabic Typesetting" w:hint="cs"/>
                <w:i/>
                <w:color w:val="002060"/>
                <w:sz w:val="28"/>
                <w:szCs w:val="28"/>
                <w:rtl/>
              </w:rPr>
              <w:t xml:space="preserve">: </w:t>
            </w:r>
            <w:r w:rsidRPr="00211D55">
              <w:rPr>
                <w:rFonts w:ascii="Arabic Typesetting" w:hAnsi="Arabic Typesetting" w:cs="Arabic Typesetting"/>
                <w:i/>
                <w:color w:val="002060"/>
                <w:sz w:val="28"/>
                <w:szCs w:val="28"/>
                <w:rtl/>
              </w:rPr>
              <w:t>كان 42 مكتباً وطنياً أو إقليمياً يقدم معل</w:t>
            </w:r>
            <w:r w:rsidR="0048191C" w:rsidRPr="00211D55">
              <w:rPr>
                <w:rFonts w:ascii="Arabic Typesetting" w:hAnsi="Arabic Typesetting" w:cs="Arabic Typesetting"/>
                <w:i/>
                <w:color w:val="002060"/>
                <w:sz w:val="28"/>
                <w:szCs w:val="28"/>
                <w:rtl/>
              </w:rPr>
              <w:t>ومات كافية عن نظام لاهاي. و</w:t>
            </w:r>
            <w:r w:rsidR="0048191C" w:rsidRPr="00211D55">
              <w:rPr>
                <w:rFonts w:ascii="Arabic Typesetting" w:hAnsi="Arabic Typesetting" w:cs="Arabic Typesetting" w:hint="cs"/>
                <w:i/>
                <w:color w:val="002060"/>
                <w:sz w:val="28"/>
                <w:szCs w:val="28"/>
                <w:rtl/>
              </w:rPr>
              <w:t>لم تمتلك</w:t>
            </w:r>
            <w:r w:rsidRPr="00211D55">
              <w:rPr>
                <w:rFonts w:ascii="Arabic Typesetting" w:hAnsi="Arabic Typesetting" w:cs="Arabic Typesetting"/>
                <w:i/>
                <w:color w:val="002060"/>
                <w:sz w:val="28"/>
                <w:szCs w:val="28"/>
                <w:rtl/>
              </w:rPr>
              <w:t xml:space="preserve"> تسعة مكاتب موقع</w:t>
            </w:r>
            <w:r w:rsidR="0048191C" w:rsidRPr="00211D55">
              <w:rPr>
                <w:rFonts w:ascii="Arabic Typesetting" w:hAnsi="Arabic Typesetting" w:cs="Arabic Typesetting" w:hint="cs"/>
                <w:i/>
                <w:color w:val="002060"/>
                <w:sz w:val="28"/>
                <w:szCs w:val="28"/>
                <w:rtl/>
              </w:rPr>
              <w:t>اً إلكترونياً</w:t>
            </w:r>
          </w:p>
          <w:p w:rsidR="00B31868" w:rsidRPr="00211D55" w:rsidRDefault="00B31868" w:rsidP="00086C3F">
            <w:pPr>
              <w:bidi/>
              <w:spacing w:before="60" w:after="60" w:line="280" w:lineRule="exact"/>
              <w:rPr>
                <w:rFonts w:ascii="Arabic Typesetting" w:hAnsi="Arabic Typesetting" w:cs="Arabic Typesetting"/>
                <w:i/>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hint="cs"/>
                <w:iCs/>
                <w:sz w:val="28"/>
                <w:szCs w:val="28"/>
                <w:rtl/>
              </w:rPr>
              <w:t>:</w:t>
            </w:r>
            <w:r w:rsidRPr="00211D55">
              <w:rPr>
                <w:rFonts w:ascii="Arabic Typesetting" w:hAnsi="Arabic Typesetting" w:cs="Arabic Typesetting" w:hint="cs"/>
                <w:i/>
                <w:sz w:val="28"/>
                <w:szCs w:val="28"/>
                <w:rtl/>
              </w:rPr>
              <w:t xml:space="preserve"> </w:t>
            </w:r>
            <w:r w:rsidRPr="00211D55">
              <w:rPr>
                <w:rFonts w:ascii="Arabic Typesetting" w:hAnsi="Arabic Typesetting" w:cs="Arabic Typesetting"/>
                <w:i/>
                <w:sz w:val="28"/>
                <w:szCs w:val="28"/>
                <w:rtl/>
              </w:rPr>
              <w:t>حصة المكاتب التي تقدم هذه المعلومات</w:t>
            </w:r>
          </w:p>
        </w:tc>
        <w:tc>
          <w:tcPr>
            <w:tcW w:w="839" w:type="pct"/>
            <w:tcBorders>
              <w:bottom w:val="nil"/>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color w:val="993300"/>
                <w:sz w:val="28"/>
                <w:szCs w:val="28"/>
                <w:lang w:bidi="th-TH"/>
              </w:rPr>
            </w:pPr>
            <w:r w:rsidRPr="00211D55">
              <w:rPr>
                <w:rFonts w:ascii="Arabic Typesetting" w:hAnsi="Arabic Typesetting" w:cs="Arabic Typesetting"/>
                <w:sz w:val="28"/>
                <w:szCs w:val="28"/>
                <w:rtl/>
              </w:rPr>
              <w:t>زيادة الحصة</w:t>
            </w:r>
          </w:p>
        </w:tc>
        <w:tc>
          <w:tcPr>
            <w:tcW w:w="1275" w:type="pct"/>
            <w:gridSpan w:val="3"/>
            <w:tcBorders>
              <w:bottom w:val="nil"/>
            </w:tcBorders>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 xml:space="preserve">كان </w:t>
            </w:r>
            <w:r w:rsidR="00EA5CA3" w:rsidRPr="00211D55">
              <w:rPr>
                <w:rFonts w:ascii="Arabic Typesetting" w:hAnsi="Arabic Typesetting" w:cs="Arabic Typesetting" w:hint="cs"/>
                <w:sz w:val="28"/>
                <w:szCs w:val="28"/>
                <w:rtl/>
              </w:rPr>
              <w:t>47</w:t>
            </w:r>
            <w:r w:rsidR="00EA5CA3" w:rsidRPr="00211D55">
              <w:rPr>
                <w:rFonts w:ascii="Arabic Typesetting" w:hAnsi="Arabic Typesetting" w:cs="Arabic Typesetting"/>
                <w:sz w:val="28"/>
                <w:szCs w:val="28"/>
                <w:rtl/>
              </w:rPr>
              <w:t xml:space="preserve"> </w:t>
            </w:r>
            <w:r w:rsidRPr="00211D55">
              <w:rPr>
                <w:rFonts w:ascii="Arabic Typesetting" w:hAnsi="Arabic Typesetting" w:cs="Arabic Typesetting"/>
                <w:sz w:val="28"/>
                <w:szCs w:val="28"/>
                <w:rtl/>
              </w:rPr>
              <w:t xml:space="preserve">مكتباً وطنياً أو إقليمياً يقدم معلومات عن نظام لاهاي في نهاية </w:t>
            </w:r>
            <w:r w:rsidR="00EA5CA3" w:rsidRPr="00211D55">
              <w:rPr>
                <w:rFonts w:ascii="Arabic Typesetting" w:hAnsi="Arabic Typesetting" w:cs="Arabic Typesetting" w:hint="cs"/>
                <w:sz w:val="28"/>
                <w:szCs w:val="28"/>
                <w:rtl/>
              </w:rPr>
              <w:t>2015</w:t>
            </w:r>
            <w:r w:rsidRPr="00211D55">
              <w:rPr>
                <w:rFonts w:ascii="Arabic Typesetting" w:hAnsi="Arabic Typesetting" w:cs="Arabic Typesetting"/>
                <w:sz w:val="28"/>
                <w:szCs w:val="28"/>
                <w:rtl/>
              </w:rPr>
              <w:t xml:space="preserve">. </w:t>
            </w:r>
            <w:r w:rsidR="0048191C" w:rsidRPr="00211D55">
              <w:rPr>
                <w:rFonts w:ascii="Arabic Typesetting" w:hAnsi="Arabic Typesetting" w:cs="Arabic Typesetting"/>
                <w:sz w:val="28"/>
                <w:szCs w:val="28"/>
                <w:rtl/>
              </w:rPr>
              <w:t>و</w:t>
            </w:r>
            <w:r w:rsidR="0048191C" w:rsidRPr="00211D55">
              <w:rPr>
                <w:rFonts w:ascii="Arabic Typesetting" w:hAnsi="Arabic Typesetting" w:cs="Arabic Typesetting" w:hint="cs"/>
                <w:sz w:val="28"/>
                <w:szCs w:val="28"/>
                <w:rtl/>
              </w:rPr>
              <w:t>لم تمتلك</w:t>
            </w:r>
            <w:r w:rsidR="0048191C" w:rsidRPr="00211D55">
              <w:rPr>
                <w:rFonts w:ascii="Arabic Typesetting" w:hAnsi="Arabic Typesetting" w:cs="Arabic Typesetting"/>
                <w:sz w:val="28"/>
                <w:szCs w:val="28"/>
                <w:rtl/>
              </w:rPr>
              <w:t xml:space="preserve"> تسعة مكاتب موقع</w:t>
            </w:r>
            <w:r w:rsidR="0048191C" w:rsidRPr="00211D55">
              <w:rPr>
                <w:rFonts w:ascii="Arabic Typesetting" w:hAnsi="Arabic Typesetting" w:cs="Arabic Typesetting" w:hint="cs"/>
                <w:sz w:val="28"/>
                <w:szCs w:val="28"/>
                <w:rtl/>
              </w:rPr>
              <w:t>اً إلكترونياً.</w:t>
            </w:r>
          </w:p>
        </w:tc>
        <w:tc>
          <w:tcPr>
            <w:tcW w:w="522" w:type="pct"/>
            <w:tcBorders>
              <w:bottom w:val="nil"/>
            </w:tcBorders>
            <w:shd w:val="clear" w:color="auto" w:fill="auto"/>
            <w:tcMar>
              <w:top w:w="110" w:type="dxa"/>
            </w:tcMar>
          </w:tcPr>
          <w:p w:rsidR="00EA5CA3" w:rsidRPr="00211D55" w:rsidRDefault="00EA5CA3" w:rsidP="00086C3F">
            <w:pPr>
              <w:bidi/>
              <w:spacing w:before="60" w:after="60" w:line="280" w:lineRule="exact"/>
              <w:rPr>
                <w:rFonts w:ascii="Arabic Typesetting" w:hAnsi="Arabic Typesetting" w:cs="Arabic Typesetting"/>
                <w:b/>
                <w:bCs/>
                <w:color w:val="00B050"/>
                <w:sz w:val="28"/>
                <w:szCs w:val="28"/>
              </w:rPr>
            </w:pPr>
            <w:r w:rsidRPr="00211D55">
              <w:rPr>
                <w:rFonts w:ascii="Arabic Typesetting" w:hAnsi="Arabic Typesetting" w:cs="Arabic Typesetting" w:hint="cs"/>
                <w:b/>
                <w:bCs/>
                <w:color w:val="00B050"/>
                <w:sz w:val="28"/>
                <w:szCs w:val="28"/>
                <w:rtl/>
              </w:rPr>
              <w:t>محقق كلياً</w:t>
            </w:r>
          </w:p>
        </w:tc>
      </w:tr>
      <w:tr w:rsidR="00B31868" w:rsidRPr="00211D55" w:rsidTr="002830AA">
        <w:trPr>
          <w:cantSplit/>
        </w:trPr>
        <w:tc>
          <w:tcPr>
            <w:tcW w:w="1135" w:type="pct"/>
            <w:tcBorders>
              <w:top w:val="nil"/>
              <w:left w:val="single" w:sz="4" w:space="0" w:color="auto"/>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إيداعات نظام لاهاي وتجديداته</w:t>
            </w:r>
            <w:r w:rsidRPr="00211D55">
              <w:rPr>
                <w:rFonts w:ascii="Arabic Typesetting" w:hAnsi="Arabic Typesetting" w:cs="Arabic Typesetting"/>
                <w:sz w:val="28"/>
                <w:szCs w:val="28"/>
              </w:rPr>
              <w:t xml:space="preserve"> </w:t>
            </w:r>
          </w:p>
        </w:tc>
        <w:tc>
          <w:tcPr>
            <w:tcW w:w="1229" w:type="pct"/>
            <w:gridSpan w:val="2"/>
            <w:tcBorders>
              <w:top w:val="nil"/>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hint="cs"/>
                <w:iCs/>
                <w:color w:val="002060"/>
                <w:sz w:val="28"/>
                <w:szCs w:val="28"/>
                <w:rtl/>
              </w:rPr>
              <w:t>:</w:t>
            </w:r>
            <w:r w:rsidRPr="00211D55">
              <w:rPr>
                <w:rFonts w:ascii="Arabic Typesetting" w:hAnsi="Arabic Typesetting" w:cs="Arabic Typesetting" w:hint="cs"/>
                <w:i/>
                <w:color w:val="002060"/>
                <w:sz w:val="28"/>
                <w:szCs w:val="28"/>
                <w:rtl/>
              </w:rPr>
              <w:t xml:space="preserve"> </w:t>
            </w:r>
            <w:r w:rsidRPr="00211D55">
              <w:rPr>
                <w:rFonts w:ascii="Arabic Typesetting" w:hAnsi="Arabic Typesetting" w:cs="Arabic Typesetting"/>
                <w:i/>
                <w:color w:val="002060"/>
                <w:sz w:val="28"/>
                <w:szCs w:val="28"/>
                <w:rtl/>
              </w:rPr>
              <w:t>الطلبات: 990 2</w:t>
            </w:r>
          </w:p>
          <w:p w:rsidR="00B31868" w:rsidRPr="00211D55" w:rsidRDefault="00B31868" w:rsidP="00086C3F">
            <w:pPr>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i/>
                <w:color w:val="002060"/>
                <w:sz w:val="28"/>
                <w:szCs w:val="28"/>
                <w:rtl/>
              </w:rPr>
              <w:t>التصاميم الواردة: 172 13</w:t>
            </w:r>
          </w:p>
          <w:p w:rsidR="00B31868" w:rsidRPr="00211D55" w:rsidRDefault="00B31868" w:rsidP="00086C3F">
            <w:pPr>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i/>
                <w:color w:val="002060"/>
                <w:sz w:val="28"/>
                <w:szCs w:val="28"/>
                <w:rtl/>
              </w:rPr>
              <w:t>التجديدات: 859 2</w:t>
            </w:r>
          </w:p>
          <w:p w:rsidR="00B31868" w:rsidRPr="00211D55" w:rsidRDefault="00B31868" w:rsidP="00086C3F">
            <w:pPr>
              <w:bidi/>
              <w:spacing w:before="60" w:after="60" w:line="280" w:lineRule="exact"/>
              <w:rPr>
                <w:rFonts w:ascii="Arabic Typesetting" w:hAnsi="Arabic Typesetting" w:cs="Arabic Typesetting"/>
                <w:i/>
                <w:sz w:val="28"/>
                <w:szCs w:val="28"/>
              </w:rPr>
            </w:pPr>
            <w:r w:rsidRPr="00211D55">
              <w:rPr>
                <w:rFonts w:ascii="Arabic Typesetting" w:hAnsi="Arabic Typesetting" w:cs="Arabic Typesetting"/>
                <w:i/>
                <w:color w:val="002060"/>
                <w:sz w:val="28"/>
                <w:szCs w:val="28"/>
                <w:rtl/>
              </w:rPr>
              <w:t>(2013)</w:t>
            </w:r>
          </w:p>
          <w:p w:rsidR="00B31868" w:rsidRPr="00211D55" w:rsidRDefault="00B31868" w:rsidP="00086C3F">
            <w:pPr>
              <w:bidi/>
              <w:spacing w:before="60" w:after="60" w:line="280" w:lineRule="exact"/>
              <w:rPr>
                <w:rFonts w:ascii="Arabic Typesetting" w:hAnsi="Arabic Typesetting" w:cs="Arabic Typesetting"/>
                <w:i/>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hint="cs"/>
                <w:iCs/>
                <w:sz w:val="28"/>
                <w:szCs w:val="28"/>
                <w:rtl/>
              </w:rPr>
              <w:t>:</w:t>
            </w:r>
            <w:r w:rsidRPr="00211D55">
              <w:rPr>
                <w:rFonts w:ascii="Arabic Typesetting" w:hAnsi="Arabic Typesetting" w:cs="Arabic Typesetting" w:hint="cs"/>
                <w:i/>
                <w:sz w:val="28"/>
                <w:szCs w:val="28"/>
                <w:rtl/>
              </w:rPr>
              <w:t xml:space="preserve"> </w:t>
            </w:r>
            <w:r w:rsidRPr="00211D55">
              <w:rPr>
                <w:rFonts w:ascii="Arabic Typesetting" w:hAnsi="Arabic Typesetting" w:cs="Arabic Typesetting"/>
                <w:i/>
                <w:sz w:val="28"/>
                <w:szCs w:val="28"/>
                <w:rtl/>
              </w:rPr>
              <w:t>الطلبات: 604 2</w:t>
            </w:r>
          </w:p>
          <w:p w:rsidR="00B31868" w:rsidRPr="00211D55" w:rsidRDefault="00B31868" w:rsidP="00086C3F">
            <w:pPr>
              <w:bidi/>
              <w:spacing w:before="60" w:after="60" w:line="280" w:lineRule="exact"/>
              <w:rPr>
                <w:rFonts w:ascii="Arabic Typesetting" w:hAnsi="Arabic Typesetting" w:cs="Arabic Typesetting"/>
                <w:i/>
                <w:sz w:val="28"/>
                <w:szCs w:val="28"/>
              </w:rPr>
            </w:pPr>
            <w:r w:rsidRPr="00211D55">
              <w:rPr>
                <w:rFonts w:ascii="Arabic Typesetting" w:hAnsi="Arabic Typesetting" w:cs="Arabic Typesetting"/>
                <w:i/>
                <w:sz w:val="28"/>
                <w:szCs w:val="28"/>
                <w:rtl/>
              </w:rPr>
              <w:t>التصاميم الواردة: 454 12</w:t>
            </w:r>
            <w:r w:rsidRPr="00F96634">
              <w:rPr>
                <w:rFonts w:ascii="Arabic Typesetting" w:hAnsi="Arabic Typesetting" w:cs="Arabic Typesetting"/>
                <w:i/>
                <w:sz w:val="28"/>
                <w:szCs w:val="28"/>
                <w:vertAlign w:val="superscript"/>
              </w:rPr>
              <w:footnoteReference w:id="36"/>
            </w:r>
          </w:p>
          <w:p w:rsidR="00B31868" w:rsidRPr="00211D55" w:rsidRDefault="00B31868" w:rsidP="00086C3F">
            <w:pPr>
              <w:bidi/>
              <w:spacing w:before="60" w:after="60" w:line="280" w:lineRule="exact"/>
              <w:rPr>
                <w:rFonts w:ascii="Arabic Typesetting" w:hAnsi="Arabic Typesetting" w:cs="Arabic Typesetting"/>
                <w:i/>
                <w:sz w:val="28"/>
                <w:szCs w:val="28"/>
              </w:rPr>
            </w:pPr>
            <w:r w:rsidRPr="00211D55">
              <w:rPr>
                <w:rFonts w:ascii="Arabic Typesetting" w:hAnsi="Arabic Typesetting" w:cs="Arabic Typesetting"/>
                <w:i/>
                <w:sz w:val="28"/>
                <w:szCs w:val="28"/>
                <w:rtl/>
              </w:rPr>
              <w:t>التجديدات: 120 3</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
                <w:sz w:val="28"/>
                <w:szCs w:val="28"/>
                <w:rtl/>
              </w:rPr>
              <w:t>(2012)</w:t>
            </w:r>
          </w:p>
        </w:tc>
        <w:tc>
          <w:tcPr>
            <w:tcW w:w="839" w:type="pct"/>
            <w:tcBorders>
              <w:top w:val="nil"/>
              <w:bottom w:val="single" w:sz="4" w:space="0" w:color="auto"/>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2014</w:t>
            </w:r>
            <w:r w:rsidR="002830AA" w:rsidRPr="00F96634">
              <w:rPr>
                <w:rFonts w:ascii="Arabic Typesetting" w:hAnsi="Arabic Typesetting" w:cs="Arabic Typesetting"/>
                <w:sz w:val="28"/>
                <w:szCs w:val="28"/>
                <w:vertAlign w:val="superscript"/>
                <w:rtl/>
              </w:rPr>
              <w:footnoteReference w:id="37"/>
            </w:r>
            <w:r w:rsidRPr="00211D55">
              <w:rPr>
                <w:rFonts w:ascii="Arabic Typesetting" w:hAnsi="Arabic Typesetting" w:cs="Arabic Typesetting"/>
                <w:sz w:val="28"/>
                <w:szCs w:val="28"/>
                <w:rtl/>
              </w:rPr>
              <w:t>:</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الطلبات:</w:t>
            </w:r>
            <w:r w:rsidRPr="00211D55">
              <w:rPr>
                <w:rFonts w:ascii="Arabic Typesetting" w:hAnsi="Arabic Typesetting" w:cs="Arabic Typesetting" w:hint="cs"/>
                <w:sz w:val="28"/>
                <w:szCs w:val="28"/>
                <w:rtl/>
              </w:rPr>
              <w:t xml:space="preserve"> </w:t>
            </w:r>
            <w:r w:rsidRPr="00211D55">
              <w:rPr>
                <w:rFonts w:ascii="Arabic Typesetting" w:hAnsi="Arabic Typesetting" w:cs="Arabic Typesetting"/>
                <w:sz w:val="28"/>
                <w:szCs w:val="28"/>
                <w:rtl/>
              </w:rPr>
              <w:t>زيادة بنسبة 33.9%</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التصاميم الواردة: زيادة بنسبة 33%</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التجديدات: انخفاض بنسبة 2.9%</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2015:</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الطلبات:</w:t>
            </w:r>
            <w:r w:rsidRPr="00211D55">
              <w:rPr>
                <w:rFonts w:ascii="Arabic Typesetting" w:hAnsi="Arabic Typesetting" w:cs="Arabic Typesetting" w:hint="cs"/>
                <w:sz w:val="28"/>
                <w:szCs w:val="28"/>
                <w:rtl/>
              </w:rPr>
              <w:t xml:space="preserve"> </w:t>
            </w:r>
            <w:r w:rsidRPr="00211D55">
              <w:rPr>
                <w:rFonts w:ascii="Arabic Typesetting" w:hAnsi="Arabic Typesetting" w:cs="Arabic Typesetting"/>
                <w:sz w:val="28"/>
                <w:szCs w:val="28"/>
                <w:rtl/>
              </w:rPr>
              <w:t>زيادة بنسبة 23.4%</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التصاميم الواردة:</w:t>
            </w:r>
            <w:r w:rsidRPr="00211D55">
              <w:rPr>
                <w:rFonts w:ascii="Arabic Typesetting" w:hAnsi="Arabic Typesetting" w:cs="Arabic Typesetting" w:hint="cs"/>
                <w:sz w:val="28"/>
                <w:szCs w:val="28"/>
                <w:rtl/>
              </w:rPr>
              <w:t xml:space="preserve"> </w:t>
            </w:r>
            <w:r w:rsidRPr="00211D55">
              <w:rPr>
                <w:rFonts w:ascii="Arabic Typesetting" w:hAnsi="Arabic Typesetting" w:cs="Arabic Typesetting"/>
                <w:sz w:val="28"/>
                <w:szCs w:val="28"/>
                <w:rtl/>
              </w:rPr>
              <w:t>زيادة بنسبة 23.5%</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التجديدات: زيادة بنسبة 5.5%</w:t>
            </w:r>
          </w:p>
        </w:tc>
        <w:tc>
          <w:tcPr>
            <w:tcW w:w="1275" w:type="pct"/>
            <w:gridSpan w:val="3"/>
            <w:tcBorders>
              <w:top w:val="nil"/>
              <w:bottom w:val="single" w:sz="4" w:space="0" w:color="auto"/>
            </w:tcBorders>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2014:</w:t>
            </w:r>
          </w:p>
          <w:p w:rsidR="00B31868" w:rsidRPr="00211D55" w:rsidRDefault="00B31868" w:rsidP="00086C3F">
            <w:pPr>
              <w:bidi/>
              <w:spacing w:before="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الطلبات:</w:t>
            </w:r>
            <w:r w:rsidR="00B6234E" w:rsidRPr="00211D55">
              <w:rPr>
                <w:rFonts w:ascii="Arabic Typesetting" w:hAnsi="Arabic Typesetting" w:cs="Arabic Typesetting" w:hint="cs"/>
                <w:sz w:val="28"/>
                <w:szCs w:val="28"/>
                <w:rtl/>
              </w:rPr>
              <w:t xml:space="preserve"> </w:t>
            </w:r>
            <w:r w:rsidRPr="00211D55">
              <w:rPr>
                <w:rFonts w:ascii="Arabic Typesetting" w:hAnsi="Arabic Typesetting" w:cs="Arabic Typesetting"/>
                <w:sz w:val="28"/>
                <w:szCs w:val="28"/>
                <w:rtl/>
              </w:rPr>
              <w:t>انخفاض بنسبة 2.2% (</w:t>
            </w:r>
            <w:r w:rsidR="002830AA" w:rsidRPr="00211D55">
              <w:rPr>
                <w:rFonts w:ascii="Arabic Typesetting" w:hAnsi="Arabic Typesetting" w:cs="Arabic Typesetting"/>
                <w:sz w:val="28"/>
                <w:szCs w:val="28"/>
                <w:rtl/>
              </w:rPr>
              <w:t>924</w:t>
            </w:r>
            <w:r w:rsidR="002830AA" w:rsidRPr="00211D55">
              <w:rPr>
                <w:rFonts w:ascii="Arabic Typesetting" w:hAnsi="Arabic Typesetting" w:cs="Arabic Typesetting" w:hint="cs"/>
                <w:sz w:val="28"/>
                <w:szCs w:val="28"/>
                <w:rtl/>
              </w:rPr>
              <w:t> </w:t>
            </w:r>
            <w:r w:rsidRPr="00211D55">
              <w:rPr>
                <w:rFonts w:ascii="Arabic Typesetting" w:hAnsi="Arabic Typesetting" w:cs="Arabic Typesetting"/>
                <w:sz w:val="28"/>
                <w:szCs w:val="28"/>
                <w:rtl/>
              </w:rPr>
              <w:t>2)</w:t>
            </w:r>
          </w:p>
          <w:p w:rsidR="00B31868" w:rsidRPr="00211D55" w:rsidRDefault="00B31868" w:rsidP="00086C3F">
            <w:pPr>
              <w:bidi/>
              <w:spacing w:before="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التصاميم الواردة:</w:t>
            </w:r>
            <w:r w:rsidR="00B6234E" w:rsidRPr="00211D55">
              <w:rPr>
                <w:rFonts w:ascii="Arabic Typesetting" w:hAnsi="Arabic Typesetting" w:cs="Arabic Typesetting" w:hint="cs"/>
                <w:sz w:val="28"/>
                <w:szCs w:val="28"/>
                <w:rtl/>
              </w:rPr>
              <w:t xml:space="preserve"> </w:t>
            </w:r>
            <w:r w:rsidRPr="00211D55">
              <w:rPr>
                <w:rFonts w:ascii="Arabic Typesetting" w:hAnsi="Arabic Typesetting" w:cs="Arabic Typesetting"/>
                <w:sz w:val="28"/>
                <w:szCs w:val="28"/>
                <w:rtl/>
              </w:rPr>
              <w:t>زيادة بنسبة 9.6% (</w:t>
            </w:r>
            <w:r w:rsidR="002830AA" w:rsidRPr="00211D55">
              <w:rPr>
                <w:rFonts w:ascii="Arabic Typesetting" w:hAnsi="Arabic Typesetting" w:cs="Arabic Typesetting"/>
                <w:sz w:val="28"/>
                <w:szCs w:val="28"/>
                <w:rtl/>
              </w:rPr>
              <w:t>441</w:t>
            </w:r>
            <w:r w:rsidR="002830AA" w:rsidRPr="00211D55">
              <w:rPr>
                <w:rFonts w:ascii="Arabic Typesetting" w:hAnsi="Arabic Typesetting" w:cs="Arabic Typesetting" w:hint="cs"/>
                <w:sz w:val="28"/>
                <w:szCs w:val="28"/>
                <w:rtl/>
              </w:rPr>
              <w:t> </w:t>
            </w:r>
            <w:r w:rsidRPr="00211D55">
              <w:rPr>
                <w:rFonts w:ascii="Arabic Typesetting" w:hAnsi="Arabic Typesetting" w:cs="Arabic Typesetting"/>
                <w:sz w:val="28"/>
                <w:szCs w:val="28"/>
                <w:rtl/>
              </w:rPr>
              <w:t>14)</w:t>
            </w:r>
          </w:p>
          <w:p w:rsidR="00B31868" w:rsidRPr="00211D55" w:rsidRDefault="00B31868" w:rsidP="00086C3F">
            <w:pPr>
              <w:bidi/>
              <w:spacing w:before="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التجديدات:</w:t>
            </w:r>
            <w:r w:rsidR="00B6234E" w:rsidRPr="00211D55">
              <w:rPr>
                <w:rFonts w:ascii="Arabic Typesetting" w:hAnsi="Arabic Typesetting" w:cs="Arabic Typesetting" w:hint="cs"/>
                <w:sz w:val="28"/>
                <w:szCs w:val="28"/>
                <w:rtl/>
              </w:rPr>
              <w:t xml:space="preserve"> </w:t>
            </w:r>
            <w:r w:rsidRPr="00211D55">
              <w:rPr>
                <w:rFonts w:ascii="Arabic Typesetting" w:hAnsi="Arabic Typesetting" w:cs="Arabic Typesetting"/>
                <w:sz w:val="28"/>
                <w:szCs w:val="28"/>
                <w:rtl/>
              </w:rPr>
              <w:t>انخفاض بنسبة 5.5% (</w:t>
            </w:r>
            <w:r w:rsidR="002830AA" w:rsidRPr="00211D55">
              <w:rPr>
                <w:rFonts w:ascii="Arabic Typesetting" w:hAnsi="Arabic Typesetting" w:cs="Arabic Typesetting"/>
                <w:sz w:val="28"/>
                <w:szCs w:val="28"/>
                <w:rtl/>
              </w:rPr>
              <w:t>703</w:t>
            </w:r>
            <w:r w:rsidR="002830AA" w:rsidRPr="00211D55">
              <w:rPr>
                <w:rFonts w:ascii="Arabic Typesetting" w:hAnsi="Arabic Typesetting" w:cs="Arabic Typesetting" w:hint="cs"/>
                <w:sz w:val="28"/>
                <w:szCs w:val="28"/>
                <w:rtl/>
              </w:rPr>
              <w:t> </w:t>
            </w:r>
            <w:r w:rsidRPr="00211D55">
              <w:rPr>
                <w:rFonts w:ascii="Arabic Typesetting" w:hAnsi="Arabic Typesetting" w:cs="Arabic Typesetting"/>
                <w:sz w:val="28"/>
                <w:szCs w:val="28"/>
                <w:rtl/>
              </w:rPr>
              <w:t>2)</w:t>
            </w:r>
          </w:p>
          <w:p w:rsidR="002830AA" w:rsidRPr="00211D55" w:rsidRDefault="002830AA" w:rsidP="00086C3F">
            <w:pPr>
              <w:bidi/>
              <w:spacing w:before="120" w:after="60" w:line="28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rPr>
              <w:t>2015</w:t>
            </w:r>
            <w:r w:rsidRPr="00F96634">
              <w:rPr>
                <w:rFonts w:ascii="Arabic Typesetting" w:hAnsi="Arabic Typesetting" w:cs="Arabic Typesetting"/>
                <w:sz w:val="28"/>
                <w:szCs w:val="28"/>
                <w:vertAlign w:val="superscript"/>
                <w:rtl/>
              </w:rPr>
              <w:footnoteReference w:id="38"/>
            </w:r>
            <w:r w:rsidRPr="00211D55">
              <w:rPr>
                <w:rFonts w:ascii="Arabic Typesetting" w:hAnsi="Arabic Typesetting" w:cs="Arabic Typesetting" w:hint="cs"/>
                <w:sz w:val="28"/>
                <w:szCs w:val="28"/>
                <w:rtl/>
              </w:rPr>
              <w:t>:</w:t>
            </w:r>
          </w:p>
          <w:p w:rsidR="002830AA" w:rsidRPr="00211D55" w:rsidRDefault="002830AA" w:rsidP="00086C3F">
            <w:pPr>
              <w:bidi/>
              <w:spacing w:before="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الطلبات:</w:t>
            </w:r>
            <w:r w:rsidR="00B6234E" w:rsidRPr="00211D55">
              <w:rPr>
                <w:rFonts w:ascii="Arabic Typesetting" w:hAnsi="Arabic Typesetting" w:cs="Arabic Typesetting" w:hint="cs"/>
                <w:sz w:val="28"/>
                <w:szCs w:val="28"/>
                <w:rtl/>
              </w:rPr>
              <w:t xml:space="preserve"> </w:t>
            </w:r>
            <w:r w:rsidRPr="00211D55">
              <w:rPr>
                <w:rFonts w:ascii="Arabic Typesetting" w:hAnsi="Arabic Typesetting" w:cs="Arabic Typesetting" w:hint="cs"/>
                <w:sz w:val="28"/>
                <w:szCs w:val="28"/>
                <w:rtl/>
              </w:rPr>
              <w:t>زيادة بنسبة 2.7% على هدف عام 2014 (4111)</w:t>
            </w:r>
          </w:p>
          <w:p w:rsidR="002830AA" w:rsidRPr="00211D55" w:rsidRDefault="002830AA" w:rsidP="00086C3F">
            <w:pPr>
              <w:bidi/>
              <w:spacing w:before="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التصاميم الواردة:</w:t>
            </w:r>
            <w:r w:rsidR="00B6234E" w:rsidRPr="00211D55">
              <w:rPr>
                <w:rFonts w:ascii="Arabic Typesetting" w:hAnsi="Arabic Typesetting" w:cs="Arabic Typesetting" w:hint="cs"/>
                <w:sz w:val="28"/>
                <w:szCs w:val="28"/>
                <w:rtl/>
              </w:rPr>
              <w:t xml:space="preserve"> </w:t>
            </w:r>
            <w:r w:rsidRPr="00211D55">
              <w:rPr>
                <w:rFonts w:ascii="Arabic Typesetting" w:hAnsi="Arabic Typesetting" w:cs="Arabic Typesetting" w:hint="cs"/>
                <w:sz w:val="28"/>
                <w:szCs w:val="28"/>
                <w:rtl/>
              </w:rPr>
              <w:t>انخفاض بنسبة 6.2% عن هدف عام 2014 (435 16)</w:t>
            </w:r>
          </w:p>
          <w:p w:rsidR="002830AA" w:rsidRPr="00211D55" w:rsidRDefault="002830AA" w:rsidP="00086C3F">
            <w:pPr>
              <w:bidi/>
              <w:spacing w:before="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التجديدات:</w:t>
            </w:r>
            <w:r w:rsidR="00B6234E" w:rsidRPr="00211D55">
              <w:rPr>
                <w:rFonts w:ascii="Arabic Typesetting" w:hAnsi="Arabic Typesetting" w:cs="Arabic Typesetting" w:hint="cs"/>
                <w:sz w:val="28"/>
                <w:szCs w:val="28"/>
                <w:rtl/>
              </w:rPr>
              <w:t xml:space="preserve"> </w:t>
            </w:r>
            <w:r w:rsidRPr="00211D55">
              <w:rPr>
                <w:rFonts w:ascii="Arabic Typesetting" w:hAnsi="Arabic Typesetting" w:cs="Arabic Typesetting" w:hint="cs"/>
                <w:sz w:val="28"/>
                <w:szCs w:val="28"/>
                <w:rtl/>
              </w:rPr>
              <w:t>زيادة بنسبة 8.57% على هدف 2014 (3194)</w:t>
            </w:r>
          </w:p>
        </w:tc>
        <w:tc>
          <w:tcPr>
            <w:tcW w:w="522" w:type="pct"/>
            <w:tcBorders>
              <w:top w:val="nil"/>
              <w:bottom w:val="single" w:sz="4" w:space="0" w:color="auto"/>
              <w:right w:val="single" w:sz="4" w:space="0" w:color="auto"/>
            </w:tcBorders>
            <w:shd w:val="clear" w:color="auto" w:fill="auto"/>
            <w:tcMar>
              <w:top w:w="110" w:type="dxa"/>
            </w:tcMar>
          </w:tcPr>
          <w:p w:rsidR="00B31868" w:rsidRPr="00211D55" w:rsidRDefault="002830AA" w:rsidP="00086C3F">
            <w:pPr>
              <w:bidi/>
              <w:spacing w:before="400" w:after="60" w:line="280" w:lineRule="exact"/>
              <w:rPr>
                <w:rFonts w:ascii="Arabic Typesetting" w:hAnsi="Arabic Typesetting" w:cs="Arabic Typesetting"/>
                <w:b/>
                <w:bCs/>
                <w:color w:val="FF0000"/>
                <w:sz w:val="28"/>
                <w:szCs w:val="28"/>
                <w:rtl/>
              </w:rPr>
            </w:pPr>
            <w:r w:rsidRPr="00211D55">
              <w:rPr>
                <w:rFonts w:ascii="Arabic Typesetting" w:hAnsi="Arabic Typesetting" w:cs="Arabic Typesetting" w:hint="cs"/>
                <w:b/>
                <w:bCs/>
                <w:color w:val="FF0000"/>
                <w:sz w:val="28"/>
                <w:szCs w:val="28"/>
                <w:rtl/>
              </w:rPr>
              <w:t>غير محقق</w:t>
            </w:r>
          </w:p>
          <w:p w:rsidR="002830AA" w:rsidRPr="00211D55" w:rsidRDefault="002830AA" w:rsidP="00086C3F">
            <w:pPr>
              <w:bidi/>
              <w:spacing w:before="360" w:after="60" w:line="280" w:lineRule="exact"/>
              <w:rPr>
                <w:rFonts w:ascii="Arabic Typesetting" w:hAnsi="Arabic Typesetting" w:cs="Arabic Typesetting"/>
                <w:b/>
                <w:bCs/>
                <w:color w:val="FF0000"/>
                <w:sz w:val="28"/>
                <w:szCs w:val="28"/>
                <w:rtl/>
              </w:rPr>
            </w:pPr>
            <w:r w:rsidRPr="00211D55">
              <w:rPr>
                <w:rFonts w:ascii="Arabic Typesetting" w:hAnsi="Arabic Typesetting" w:cs="Arabic Typesetting" w:hint="cs"/>
                <w:b/>
                <w:bCs/>
                <w:color w:val="FF0000"/>
                <w:sz w:val="28"/>
                <w:szCs w:val="28"/>
                <w:rtl/>
              </w:rPr>
              <w:t>غير محقق</w:t>
            </w:r>
          </w:p>
          <w:p w:rsidR="002830AA" w:rsidRPr="00211D55" w:rsidRDefault="002830AA" w:rsidP="00086C3F">
            <w:pPr>
              <w:bidi/>
              <w:spacing w:before="360" w:after="60" w:line="280" w:lineRule="exact"/>
              <w:rPr>
                <w:rFonts w:ascii="Arabic Typesetting" w:hAnsi="Arabic Typesetting" w:cs="Arabic Typesetting"/>
                <w:b/>
                <w:bCs/>
                <w:color w:val="D56509"/>
                <w:sz w:val="28"/>
                <w:szCs w:val="28"/>
                <w:rtl/>
              </w:rPr>
            </w:pPr>
            <w:r w:rsidRPr="00211D55">
              <w:rPr>
                <w:rFonts w:ascii="Arabic Typesetting" w:hAnsi="Arabic Typesetting" w:cs="Arabic Typesetting" w:hint="cs"/>
                <w:b/>
                <w:bCs/>
                <w:color w:val="D56509"/>
                <w:sz w:val="28"/>
                <w:szCs w:val="28"/>
                <w:rtl/>
              </w:rPr>
              <w:t>محقق جزئياً</w:t>
            </w:r>
          </w:p>
          <w:p w:rsidR="002830AA" w:rsidRPr="00211D55" w:rsidRDefault="002830AA" w:rsidP="00086C3F">
            <w:pPr>
              <w:bidi/>
              <w:spacing w:before="720" w:after="60" w:line="280" w:lineRule="exact"/>
              <w:rPr>
                <w:rFonts w:ascii="Arabic Typesetting" w:hAnsi="Arabic Typesetting" w:cs="Arabic Typesetting"/>
                <w:b/>
                <w:bCs/>
                <w:color w:val="FF0000"/>
                <w:sz w:val="28"/>
                <w:szCs w:val="28"/>
                <w:rtl/>
              </w:rPr>
            </w:pPr>
            <w:r w:rsidRPr="00211D55">
              <w:rPr>
                <w:rFonts w:ascii="Arabic Typesetting" w:hAnsi="Arabic Typesetting" w:cs="Arabic Typesetting" w:hint="cs"/>
                <w:b/>
                <w:bCs/>
                <w:color w:val="FF0000"/>
                <w:sz w:val="28"/>
                <w:szCs w:val="28"/>
                <w:rtl/>
              </w:rPr>
              <w:t>غير محقق</w:t>
            </w:r>
          </w:p>
          <w:p w:rsidR="002830AA" w:rsidRPr="00211D55" w:rsidRDefault="002830AA" w:rsidP="00086C3F">
            <w:pPr>
              <w:bidi/>
              <w:spacing w:before="600" w:after="60" w:line="280" w:lineRule="exact"/>
              <w:rPr>
                <w:rFonts w:ascii="Arabic Typesetting" w:hAnsi="Arabic Typesetting" w:cs="Arabic Typesetting"/>
                <w:b/>
                <w:bCs/>
                <w:color w:val="FF0000"/>
                <w:sz w:val="28"/>
                <w:szCs w:val="28"/>
                <w:rtl/>
              </w:rPr>
            </w:pPr>
            <w:r w:rsidRPr="00211D55">
              <w:rPr>
                <w:rFonts w:ascii="Arabic Typesetting" w:hAnsi="Arabic Typesetting" w:cs="Arabic Typesetting" w:hint="cs"/>
                <w:b/>
                <w:bCs/>
                <w:color w:val="FF0000"/>
                <w:sz w:val="28"/>
                <w:szCs w:val="28"/>
                <w:rtl/>
              </w:rPr>
              <w:t>غير محقق</w:t>
            </w:r>
          </w:p>
          <w:p w:rsidR="002830AA" w:rsidRPr="00211D55" w:rsidRDefault="002830AA" w:rsidP="00086C3F">
            <w:pPr>
              <w:bidi/>
              <w:spacing w:before="660" w:after="60" w:line="280" w:lineRule="exact"/>
              <w:rPr>
                <w:rFonts w:ascii="Arabic Typesetting" w:hAnsi="Arabic Typesetting" w:cs="Arabic Typesetting"/>
                <w:b/>
                <w:bCs/>
                <w:color w:val="808080"/>
                <w:sz w:val="28"/>
                <w:szCs w:val="28"/>
              </w:rPr>
            </w:pPr>
            <w:r w:rsidRPr="00211D55">
              <w:rPr>
                <w:rFonts w:ascii="Arabic Typesetting" w:hAnsi="Arabic Typesetting" w:cs="Arabic Typesetting" w:hint="cs"/>
                <w:b/>
                <w:bCs/>
                <w:color w:val="00B050"/>
                <w:sz w:val="28"/>
                <w:szCs w:val="28"/>
                <w:rtl/>
              </w:rPr>
              <w:t>محقق كلياً</w:t>
            </w:r>
          </w:p>
        </w:tc>
      </w:tr>
      <w:tr w:rsidR="00B31868" w:rsidRPr="00211D55" w:rsidTr="002830AA">
        <w:trPr>
          <w:cantSplit/>
        </w:trPr>
        <w:tc>
          <w:tcPr>
            <w:tcW w:w="5000" w:type="pct"/>
            <w:gridSpan w:val="8"/>
            <w:tcBorders>
              <w:top w:val="single" w:sz="4" w:space="0" w:color="auto"/>
              <w:bottom w:val="single" w:sz="4" w:space="0" w:color="auto"/>
            </w:tcBorders>
            <w:shd w:val="clear" w:color="auto" w:fill="C6D9F1" w:themeFill="text2" w:themeFillTint="33"/>
            <w:vAlign w:val="center"/>
          </w:tcPr>
          <w:p w:rsidR="00B31868" w:rsidRPr="00211D55" w:rsidRDefault="00B31868" w:rsidP="00426BB2">
            <w:pPr>
              <w:keepNext/>
              <w:bidi/>
              <w:spacing w:after="60" w:line="280" w:lineRule="exact"/>
              <w:ind w:left="1167" w:hanging="1167"/>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rPr>
              <w:lastRenderedPageBreak/>
              <w:t>النتيجة المرتقبة</w:t>
            </w:r>
            <w:r w:rsidRPr="00211D55">
              <w:rPr>
                <w:rFonts w:ascii="Arabic Typesetting" w:hAnsi="Arabic Typesetting" w:cs="Arabic Typesetting"/>
                <w:b/>
                <w:bCs/>
                <w:sz w:val="28"/>
                <w:szCs w:val="28"/>
              </w:rPr>
              <w:t>:</w:t>
            </w:r>
            <w:r w:rsidRPr="00211D55">
              <w:rPr>
                <w:rFonts w:ascii="Arabic Typesetting" w:hAnsi="Arabic Typesetting" w:cs="Arabic Typesetting"/>
                <w:b/>
                <w:bCs/>
                <w:sz w:val="28"/>
                <w:szCs w:val="28"/>
              </w:rPr>
              <w:tab/>
            </w:r>
            <w:r w:rsidRPr="00211D55">
              <w:rPr>
                <w:rFonts w:ascii="Arabic Typesetting" w:hAnsi="Arabic Typesetting" w:cs="Arabic Typesetting"/>
                <w:color w:val="000000"/>
                <w:sz w:val="28"/>
                <w:szCs w:val="28"/>
              </w:rPr>
              <w:t xml:space="preserve"> </w:t>
            </w:r>
            <w:r w:rsidRPr="00211D55">
              <w:rPr>
                <w:rFonts w:ascii="Arabic Typesetting" w:hAnsi="Arabic Typesetting" w:cs="Arabic Typesetting"/>
                <w:color w:val="000000"/>
                <w:sz w:val="28"/>
                <w:szCs w:val="28"/>
                <w:rtl/>
              </w:rPr>
              <w:t xml:space="preserve">ھ5.2 </w:t>
            </w:r>
            <w:r w:rsidR="00A0719D">
              <w:rPr>
                <w:rFonts w:ascii="Arabic Typesetting" w:hAnsi="Arabic Typesetting" w:cs="Arabic Typesetting"/>
                <w:color w:val="000000"/>
                <w:sz w:val="28"/>
                <w:szCs w:val="28"/>
                <w:rtl/>
              </w:rPr>
              <w:t>تحسين الإنتاجية وجودة الخدمات في عمليات نظام لاهاي</w:t>
            </w:r>
          </w:p>
        </w:tc>
      </w:tr>
      <w:tr w:rsidR="00B31868" w:rsidRPr="00211D55" w:rsidTr="002830AA">
        <w:trPr>
          <w:cantSplit/>
        </w:trPr>
        <w:tc>
          <w:tcPr>
            <w:tcW w:w="1139" w:type="pct"/>
            <w:gridSpan w:val="2"/>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مؤشرات الأداء</w:t>
            </w:r>
          </w:p>
        </w:tc>
        <w:tc>
          <w:tcPr>
            <w:tcW w:w="1225"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860" w:type="pct"/>
            <w:gridSpan w:val="2"/>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254" w:type="pct"/>
            <w:gridSpan w:val="2"/>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522"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B31868" w:rsidRPr="00211D55" w:rsidTr="004507DB">
        <w:trPr>
          <w:cantSplit/>
          <w:trHeight w:val="3673"/>
        </w:trPr>
        <w:tc>
          <w:tcPr>
            <w:tcW w:w="1139" w:type="pct"/>
            <w:gridSpan w:val="2"/>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هيمنة وثيقة جنيف (1999) في نظام لاهاي</w:t>
            </w:r>
          </w:p>
        </w:tc>
        <w:tc>
          <w:tcPr>
            <w:tcW w:w="1225" w:type="pct"/>
            <w:shd w:val="clear" w:color="auto" w:fill="auto"/>
          </w:tcPr>
          <w:p w:rsidR="00B31868" w:rsidRPr="00211D55" w:rsidRDefault="00B31868" w:rsidP="00086C3F">
            <w:pPr>
              <w:bidi/>
              <w:spacing w:before="60" w:after="60" w:line="280" w:lineRule="exact"/>
              <w:rPr>
                <w:rFonts w:ascii="Arabic Typesetting" w:hAnsi="Arabic Typesetting" w:cs="Arabic Typesetting"/>
                <w:iCs/>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hint="cs"/>
                <w:iCs/>
                <w:color w:val="002060"/>
                <w:sz w:val="28"/>
                <w:szCs w:val="28"/>
                <w:rtl/>
              </w:rPr>
              <w:t xml:space="preserve">: </w:t>
            </w:r>
            <w:r w:rsidRPr="00211D55">
              <w:rPr>
                <w:rFonts w:ascii="Arabic Typesetting" w:hAnsi="Arabic Typesetting" w:cs="Arabic Typesetting"/>
                <w:iCs/>
                <w:color w:val="002060"/>
                <w:sz w:val="28"/>
                <w:szCs w:val="28"/>
                <w:rtl/>
              </w:rPr>
              <w:t>كان لا يزال يلزم وجود ثلاث موافقات لإنهاء وثيقة 1934، وظلت أربعة أطراف متعاقدة من خارج الاتحاد الأوروبي والمنظمة الأفريقية للملكية الفكرية مُلزَمةً بوثيقة 1960.</w:t>
            </w:r>
          </w:p>
          <w:p w:rsidR="00B31868" w:rsidRPr="00211D55" w:rsidRDefault="00B31868" w:rsidP="00086C3F">
            <w:pPr>
              <w:bidi/>
              <w:spacing w:before="60" w:after="60" w:line="280" w:lineRule="exact"/>
              <w:rPr>
                <w:rFonts w:ascii="Arabic Typesetting" w:hAnsi="Arabic Typesetting" w:cs="Arabic Typesetting"/>
                <w:color w:val="000000"/>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hint="cs"/>
                <w:iCs/>
                <w:sz w:val="28"/>
                <w:szCs w:val="28"/>
                <w:rtl/>
              </w:rPr>
              <w:t>:</w:t>
            </w:r>
            <w:r w:rsidRPr="00211D55">
              <w:rPr>
                <w:rFonts w:ascii="Arabic Typesetting" w:hAnsi="Arabic Typesetting" w:cs="Arabic Typesetting" w:hint="cs"/>
                <w:i/>
                <w:sz w:val="28"/>
                <w:szCs w:val="28"/>
                <w:rtl/>
              </w:rPr>
              <w:t xml:space="preserve"> </w:t>
            </w:r>
            <w:r w:rsidRPr="00211D55">
              <w:rPr>
                <w:rFonts w:ascii="Arabic Typesetting" w:hAnsi="Arabic Typesetting" w:cs="Arabic Typesetting"/>
                <w:i/>
                <w:color w:val="000000"/>
                <w:sz w:val="28"/>
                <w:szCs w:val="28"/>
                <w:rtl/>
              </w:rPr>
              <w:t xml:space="preserve">لا يزال يوجد 15 عضواً في وثيقة لاهاي غير ملزمين بوثيقة جنيف (1999)؛ </w:t>
            </w:r>
            <w:r w:rsidRPr="00211D55">
              <w:rPr>
                <w:rFonts w:ascii="Arabic Typesetting" w:hAnsi="Arabic Typesetting" w:cs="Arabic Typesetting" w:hint="cs"/>
                <w:i/>
                <w:color w:val="000000"/>
                <w:sz w:val="28"/>
                <w:szCs w:val="28"/>
                <w:rtl/>
              </w:rPr>
              <w:t xml:space="preserve">ولا تزال خمس </w:t>
            </w:r>
            <w:r w:rsidRPr="00211D55">
              <w:rPr>
                <w:rFonts w:ascii="Arabic Typesetting" w:hAnsi="Arabic Typesetting" w:cs="Arabic Typesetting"/>
                <w:i/>
                <w:color w:val="000000"/>
                <w:sz w:val="28"/>
                <w:szCs w:val="28"/>
                <w:rtl/>
              </w:rPr>
              <w:t>موافقات إنهاء وثيقة 1934</w:t>
            </w:r>
            <w:r w:rsidRPr="00211D55">
              <w:rPr>
                <w:rFonts w:ascii="Arabic Typesetting" w:hAnsi="Arabic Typesetting" w:cs="Arabic Typesetting" w:hint="cs"/>
                <w:i/>
                <w:color w:val="000000"/>
                <w:sz w:val="28"/>
                <w:szCs w:val="28"/>
                <w:rtl/>
              </w:rPr>
              <w:t xml:space="preserve"> معلقة (نهاية 2012)</w:t>
            </w:r>
          </w:p>
        </w:tc>
        <w:tc>
          <w:tcPr>
            <w:tcW w:w="860" w:type="pct"/>
            <w:gridSpan w:val="2"/>
            <w:shd w:val="clear" w:color="auto" w:fill="auto"/>
            <w:tcMar>
              <w:top w:w="110" w:type="dxa"/>
            </w:tcMar>
          </w:tcPr>
          <w:p w:rsidR="00B31868" w:rsidRPr="00211D55" w:rsidRDefault="00B31868" w:rsidP="00FC3B9C">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عد</w:t>
            </w:r>
            <w:r w:rsidRPr="00211D55">
              <w:rPr>
                <w:rFonts w:ascii="Arabic Typesetting" w:hAnsi="Arabic Typesetting" w:cs="Arabic Typesetting" w:hint="cs"/>
                <w:sz w:val="28"/>
                <w:szCs w:val="28"/>
                <w:rtl/>
              </w:rPr>
              <w:t>م</w:t>
            </w:r>
            <w:r w:rsidRPr="00211D55">
              <w:rPr>
                <w:rFonts w:ascii="Arabic Typesetting" w:hAnsi="Arabic Typesetting" w:cs="Arabic Typesetting"/>
                <w:sz w:val="28"/>
                <w:szCs w:val="28"/>
                <w:rtl/>
              </w:rPr>
              <w:t xml:space="preserve"> وجود أي بلدان ملزمة بوثيقة لاهاي (1960) فقط خارج الاتحاد الأوروبي أو المنظمة الأفريقية للملكية الفكرية، </w:t>
            </w:r>
            <w:r w:rsidR="00FC3B9C">
              <w:rPr>
                <w:rFonts w:ascii="Arabic Typesetting" w:hAnsi="Arabic Typesetting" w:cs="Arabic Typesetting" w:hint="cs"/>
                <w:sz w:val="28"/>
                <w:szCs w:val="28"/>
                <w:rtl/>
              </w:rPr>
              <w:t>وتسلم</w:t>
            </w:r>
            <w:r w:rsidRPr="00211D55">
              <w:rPr>
                <w:rFonts w:ascii="Arabic Typesetting" w:hAnsi="Arabic Typesetting" w:cs="Arabic Typesetting"/>
                <w:sz w:val="28"/>
                <w:szCs w:val="28"/>
                <w:rtl/>
              </w:rPr>
              <w:t xml:space="preserve"> جميع الموافقات (الخمسة) المتبقية لإنهاء وثيقة 1934</w:t>
            </w:r>
          </w:p>
        </w:tc>
        <w:tc>
          <w:tcPr>
            <w:tcW w:w="1254" w:type="pct"/>
            <w:gridSpan w:val="2"/>
            <w:shd w:val="clear" w:color="auto" w:fill="FFFFFF"/>
            <w:tcMar>
              <w:top w:w="110" w:type="dxa"/>
            </w:tcMar>
          </w:tcPr>
          <w:p w:rsidR="00B31868" w:rsidRPr="00211D55" w:rsidRDefault="009A3092"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hint="cs"/>
                <w:sz w:val="28"/>
                <w:szCs w:val="28"/>
                <w:rtl/>
              </w:rPr>
              <w:t>وردت موافقة واحدة و</w:t>
            </w:r>
            <w:r w:rsidR="00B31868" w:rsidRPr="00211D55">
              <w:rPr>
                <w:rFonts w:ascii="Arabic Typesetting" w:hAnsi="Arabic Typesetting" w:cs="Arabic Typesetting"/>
                <w:sz w:val="28"/>
                <w:szCs w:val="28"/>
                <w:rtl/>
              </w:rPr>
              <w:t xml:space="preserve">لا يزال يلزم وجود </w:t>
            </w:r>
            <w:r w:rsidR="00B6234E" w:rsidRPr="00211D55">
              <w:rPr>
                <w:rFonts w:ascii="Arabic Typesetting" w:hAnsi="Arabic Typesetting" w:cs="Arabic Typesetting" w:hint="cs"/>
                <w:sz w:val="28"/>
                <w:szCs w:val="28"/>
                <w:rtl/>
              </w:rPr>
              <w:t>موافقتين</w:t>
            </w:r>
            <w:r w:rsidR="00B31868" w:rsidRPr="00211D55">
              <w:rPr>
                <w:rFonts w:ascii="Arabic Typesetting" w:hAnsi="Arabic Typesetting" w:cs="Arabic Typesetting"/>
                <w:sz w:val="28"/>
                <w:szCs w:val="28"/>
                <w:rtl/>
              </w:rPr>
              <w:t xml:space="preserve"> لإنهاء وثيقة 1934، ولا تزال توجد أربعة أطراف متعاقدة من خارج الاتحاد الأوروبي والمنظمة الأفريقية للملكية الفكرية مُلزَمةً بوثيقة 1960 فقط</w:t>
            </w:r>
            <w:r w:rsidR="00B31868" w:rsidRPr="00211D55">
              <w:rPr>
                <w:rFonts w:ascii="Arabic Typesetting" w:hAnsi="Arabic Typesetting" w:cs="Arabic Typesetting" w:hint="cs"/>
                <w:sz w:val="28"/>
                <w:szCs w:val="28"/>
                <w:rtl/>
              </w:rPr>
              <w:t>.</w:t>
            </w:r>
          </w:p>
        </w:tc>
        <w:tc>
          <w:tcPr>
            <w:tcW w:w="522" w:type="pct"/>
            <w:shd w:val="clear" w:color="auto" w:fill="auto"/>
            <w:tcMar>
              <w:top w:w="110" w:type="dxa"/>
            </w:tcMar>
          </w:tcPr>
          <w:p w:rsidR="00B31868" w:rsidRPr="00211D55" w:rsidRDefault="00B31868" w:rsidP="00086C3F">
            <w:pPr>
              <w:bidi/>
              <w:spacing w:before="60" w:after="60" w:line="280" w:lineRule="exact"/>
              <w:jc w:val="center"/>
              <w:rPr>
                <w:rFonts w:ascii="Arabic Typesetting" w:hAnsi="Arabic Typesetting" w:cs="Arabic Typesetting"/>
                <w:b/>
                <w:bCs/>
                <w:color w:val="808080"/>
                <w:sz w:val="28"/>
                <w:szCs w:val="28"/>
              </w:rPr>
            </w:pPr>
            <w:r w:rsidRPr="00211D55">
              <w:rPr>
                <w:rFonts w:ascii="Arabic Typesetting" w:hAnsi="Arabic Typesetting" w:cs="Arabic Typesetting"/>
                <w:b/>
                <w:bCs/>
                <w:color w:val="FF0000"/>
                <w:sz w:val="28"/>
                <w:szCs w:val="28"/>
                <w:rtl/>
              </w:rPr>
              <w:t xml:space="preserve">غير </w:t>
            </w:r>
            <w:r w:rsidR="00B6234E" w:rsidRPr="00211D55">
              <w:rPr>
                <w:rFonts w:ascii="Arabic Typesetting" w:hAnsi="Arabic Typesetting" w:cs="Arabic Typesetting" w:hint="cs"/>
                <w:b/>
                <w:bCs/>
                <w:color w:val="FF0000"/>
                <w:sz w:val="28"/>
                <w:szCs w:val="28"/>
                <w:rtl/>
              </w:rPr>
              <w:t>محقق</w:t>
            </w:r>
          </w:p>
        </w:tc>
      </w:tr>
      <w:tr w:rsidR="00B31868" w:rsidRPr="00211D55" w:rsidTr="002830AA">
        <w:trPr>
          <w:cantSplit/>
        </w:trPr>
        <w:tc>
          <w:tcPr>
            <w:tcW w:w="1139" w:type="pct"/>
            <w:gridSpan w:val="2"/>
            <w:shd w:val="clear" w:color="auto" w:fill="auto"/>
          </w:tcPr>
          <w:p w:rsidR="00B31868" w:rsidRPr="00211D55" w:rsidRDefault="00B31868" w:rsidP="00086C3F">
            <w:pPr>
              <w:bidi/>
              <w:spacing w:before="60" w:after="60" w:line="28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rPr>
              <w:t>التقدم المحرز نحو تعزيز الإطار القانوني</w:t>
            </w:r>
          </w:p>
        </w:tc>
        <w:tc>
          <w:tcPr>
            <w:tcW w:w="1225"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hint="cs"/>
                <w:iCs/>
                <w:sz w:val="28"/>
                <w:szCs w:val="28"/>
                <w:rtl/>
              </w:rPr>
              <w:t>:</w:t>
            </w:r>
            <w:r w:rsidRPr="00211D55">
              <w:rPr>
                <w:rFonts w:ascii="Arabic Typesetting" w:hAnsi="Arabic Typesetting" w:cs="Arabic Typesetting" w:hint="cs"/>
                <w:i/>
                <w:sz w:val="28"/>
                <w:szCs w:val="28"/>
                <w:rtl/>
              </w:rPr>
              <w:t xml:space="preserve"> </w:t>
            </w:r>
            <w:r w:rsidRPr="00211D55">
              <w:rPr>
                <w:rFonts w:ascii="Arabic Typesetting" w:hAnsi="Arabic Typesetting" w:cs="Arabic Typesetting" w:hint="cs"/>
                <w:i/>
                <w:sz w:val="28"/>
                <w:szCs w:val="28"/>
                <w:rtl/>
                <w:lang w:bidi="ar-EG"/>
              </w:rPr>
              <w:t>الإطار القانوني الحالي</w:t>
            </w:r>
          </w:p>
        </w:tc>
        <w:tc>
          <w:tcPr>
            <w:tcW w:w="876" w:type="pct"/>
            <w:gridSpan w:val="3"/>
            <w:shd w:val="clear" w:color="auto" w:fill="auto"/>
            <w:tcMar>
              <w:top w:w="110" w:type="dxa"/>
            </w:tcMar>
          </w:tcPr>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تعديلات على اللائحة التنفيذية والتعليمات الإدارية لنظام لاهاي وكذلك الخصائص الجديدة المقدمة عقب انضمام بعض الأطراف المتعاقدة الجديدة.</w:t>
            </w:r>
          </w:p>
        </w:tc>
        <w:tc>
          <w:tcPr>
            <w:tcW w:w="1238" w:type="pct"/>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اعتمدت جمعية اتحاد لاهاي في عام 2014 إدخال تعديلات على اللائحة التنفيذية المشتركة، من بين أمور أخرى، وإدخال "آلية للحصول على الآراء"، وسيدخل ذلك حيز النفاذ في </w:t>
            </w:r>
            <w:r w:rsidR="004507DB" w:rsidRPr="00211D55">
              <w:rPr>
                <w:rFonts w:ascii="Arabic Typesetting" w:hAnsi="Arabic Typesetting" w:cs="Arabic Typesetting"/>
                <w:sz w:val="28"/>
                <w:szCs w:val="28"/>
                <w:rtl/>
              </w:rPr>
              <w:t>1</w:t>
            </w:r>
            <w:r w:rsidR="004507DB" w:rsidRPr="00211D55">
              <w:rPr>
                <w:rFonts w:ascii="Arabic Typesetting" w:hAnsi="Arabic Typesetting" w:cs="Arabic Typesetting" w:hint="cs"/>
                <w:sz w:val="28"/>
                <w:szCs w:val="28"/>
                <w:rtl/>
              </w:rPr>
              <w:t> </w:t>
            </w:r>
            <w:r w:rsidRPr="00211D55">
              <w:rPr>
                <w:rFonts w:ascii="Arabic Typesetting" w:hAnsi="Arabic Typesetting" w:cs="Arabic Typesetting"/>
                <w:sz w:val="28"/>
                <w:szCs w:val="28"/>
                <w:rtl/>
              </w:rPr>
              <w:t>يناير 2015. ودخلت حيز النفاذ في 1 يوليو 2014 تعديلات على التعليمات الإدارية، من بين أمور أخرى، وهذه التعديلات تخفف بعض المتطلبات المتعلقة بالنسخ والتصوير.</w:t>
            </w:r>
          </w:p>
        </w:tc>
        <w:tc>
          <w:tcPr>
            <w:tcW w:w="522" w:type="pct"/>
            <w:shd w:val="clear" w:color="auto" w:fill="auto"/>
            <w:tcMar>
              <w:top w:w="110" w:type="dxa"/>
            </w:tcMar>
          </w:tcPr>
          <w:p w:rsidR="00B31868" w:rsidRPr="00211D55" w:rsidRDefault="00B6234E" w:rsidP="00086C3F">
            <w:pPr>
              <w:bidi/>
              <w:spacing w:before="60" w:after="60" w:line="280" w:lineRule="exact"/>
              <w:jc w:val="center"/>
              <w:rPr>
                <w:rFonts w:ascii="Arabic Typesetting" w:hAnsi="Arabic Typesetting" w:cs="Arabic Typesetting"/>
                <w:b/>
                <w:bCs/>
                <w:color w:val="808080"/>
                <w:sz w:val="28"/>
                <w:szCs w:val="28"/>
              </w:rPr>
            </w:pPr>
            <w:r w:rsidRPr="00211D55">
              <w:rPr>
                <w:rFonts w:ascii="Arabic Typesetting" w:hAnsi="Arabic Typesetting" w:cs="Arabic Typesetting" w:hint="cs"/>
                <w:b/>
                <w:bCs/>
                <w:color w:val="00B050"/>
                <w:sz w:val="28"/>
                <w:szCs w:val="28"/>
                <w:rtl/>
              </w:rPr>
              <w:t>محقق كلياً</w:t>
            </w:r>
          </w:p>
        </w:tc>
      </w:tr>
      <w:tr w:rsidR="00B31868" w:rsidRPr="00211D55" w:rsidTr="00070FC4">
        <w:trPr>
          <w:cantSplit/>
        </w:trPr>
        <w:tc>
          <w:tcPr>
            <w:tcW w:w="1139" w:type="pct"/>
            <w:gridSpan w:val="2"/>
            <w:tcBorders>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مرونة البيانات المُسجَّلة في السجل الدولي</w:t>
            </w:r>
          </w:p>
        </w:tc>
        <w:tc>
          <w:tcPr>
            <w:tcW w:w="1225" w:type="pct"/>
            <w:tcBorders>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hint="cs"/>
                <w:iCs/>
                <w:sz w:val="28"/>
                <w:szCs w:val="28"/>
                <w:rtl/>
              </w:rPr>
              <w:t>:</w:t>
            </w:r>
            <w:r w:rsidRPr="00211D55">
              <w:rPr>
                <w:rFonts w:ascii="Arabic Typesetting" w:hAnsi="Arabic Typesetting" w:cs="Arabic Typesetting" w:hint="cs"/>
                <w:i/>
                <w:sz w:val="28"/>
                <w:szCs w:val="28"/>
                <w:rtl/>
              </w:rPr>
              <w:t xml:space="preserve"> </w:t>
            </w:r>
            <w:r w:rsidRPr="00211D55">
              <w:rPr>
                <w:rFonts w:ascii="Arabic Typesetting" w:hAnsi="Arabic Typesetting" w:cs="Arabic Typesetting"/>
                <w:i/>
                <w:sz w:val="28"/>
                <w:szCs w:val="28"/>
                <w:rtl/>
              </w:rPr>
              <w:t>عدم القدرة على تسجيل معلومات تفصيلية عن التصاميم</w:t>
            </w:r>
          </w:p>
        </w:tc>
        <w:tc>
          <w:tcPr>
            <w:tcW w:w="876" w:type="pct"/>
            <w:gridSpan w:val="3"/>
            <w:tcBorders>
              <w:bottom w:val="nil"/>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القدرة على تسجيل معلومات تفصيلية عن التصاميم</w:t>
            </w:r>
          </w:p>
        </w:tc>
        <w:tc>
          <w:tcPr>
            <w:tcW w:w="1238" w:type="pct"/>
            <w:tcBorders>
              <w:bottom w:val="nil"/>
            </w:tcBorders>
            <w:shd w:val="clear" w:color="auto" w:fill="FFFFFF"/>
            <w:tcMar>
              <w:top w:w="110" w:type="dxa"/>
            </w:tcMar>
          </w:tcPr>
          <w:p w:rsidR="00B31868" w:rsidRPr="00211D55" w:rsidRDefault="004507DB"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hint="cs"/>
                <w:sz w:val="28"/>
                <w:szCs w:val="28"/>
                <w:rtl/>
              </w:rPr>
              <w:t xml:space="preserve">أحرز تقدم في اختيارات التصميم ولكن كان التنفيذ مزمع </w:t>
            </w:r>
            <w:r w:rsidR="009A3092" w:rsidRPr="00211D55">
              <w:rPr>
                <w:rFonts w:ascii="Arabic Typesetting" w:hAnsi="Arabic Typesetting" w:cs="Arabic Typesetting" w:hint="cs"/>
                <w:sz w:val="28"/>
                <w:szCs w:val="28"/>
                <w:rtl/>
              </w:rPr>
              <w:t>عقب</w:t>
            </w:r>
            <w:r w:rsidRPr="00211D55">
              <w:rPr>
                <w:rFonts w:ascii="Arabic Typesetting" w:hAnsi="Arabic Typesetting" w:cs="Arabic Typesetting" w:hint="cs"/>
                <w:sz w:val="28"/>
                <w:szCs w:val="28"/>
                <w:rtl/>
              </w:rPr>
              <w:t xml:space="preserve"> تحويل النظام المعلوماتي الأساسي </w:t>
            </w:r>
            <w:r w:rsidR="009A3092" w:rsidRPr="00211D55">
              <w:rPr>
                <w:rFonts w:ascii="Arabic Typesetting" w:hAnsi="Arabic Typesetting" w:cs="Arabic Typesetting" w:hint="cs"/>
                <w:sz w:val="28"/>
                <w:szCs w:val="28"/>
                <w:rtl/>
              </w:rPr>
              <w:t>ولكن لم يحدث هذا التحول</w:t>
            </w:r>
            <w:r w:rsidRPr="00211D55">
              <w:rPr>
                <w:rFonts w:ascii="Arabic Typesetting" w:hAnsi="Arabic Typesetting" w:cs="Arabic Typesetting" w:hint="cs"/>
                <w:sz w:val="28"/>
                <w:szCs w:val="28"/>
                <w:rtl/>
              </w:rPr>
              <w:t xml:space="preserve"> خلال الثنائية:</w:t>
            </w:r>
            <w:r w:rsidR="009A3092" w:rsidRPr="00211D55">
              <w:rPr>
                <w:rFonts w:ascii="Arabic Typesetting" w:hAnsi="Arabic Typesetting" w:cs="Arabic Typesetting" w:hint="cs"/>
                <w:sz w:val="28"/>
                <w:szCs w:val="28"/>
                <w:rtl/>
              </w:rPr>
              <w:t xml:space="preserve"> </w:t>
            </w:r>
            <w:r w:rsidRPr="00211D55">
              <w:rPr>
                <w:rFonts w:ascii="Arabic Typesetting" w:hAnsi="Arabic Typesetting" w:cs="Arabic Typesetting" w:hint="cs"/>
                <w:sz w:val="28"/>
                <w:szCs w:val="28"/>
                <w:rtl/>
              </w:rPr>
              <w:t>ن</w:t>
            </w:r>
            <w:r w:rsidRPr="00211D55">
              <w:rPr>
                <w:rFonts w:ascii="Arabic Typesetting" w:hAnsi="Arabic Typesetting" w:cs="Arabic Typesetting"/>
                <w:sz w:val="28"/>
                <w:szCs w:val="28"/>
                <w:rtl/>
              </w:rPr>
              <w:t>ظام معلومات سجلات التصاميم الدولية (</w:t>
            </w:r>
            <w:r w:rsidRPr="00211D55">
              <w:rPr>
                <w:rFonts w:ascii="Arabic Typesetting" w:hAnsi="Arabic Typesetting" w:cs="Arabic Typesetting"/>
                <w:sz w:val="28"/>
                <w:szCs w:val="28"/>
                <w:cs/>
              </w:rPr>
              <w:t>‎</w:t>
            </w:r>
            <w:r w:rsidRPr="00211D55">
              <w:rPr>
                <w:rFonts w:ascii="Arabic Typesetting" w:hAnsi="Arabic Typesetting" w:cs="Arabic Typesetting"/>
                <w:sz w:val="28"/>
                <w:szCs w:val="28"/>
              </w:rPr>
              <w:t>DIRIS</w:t>
            </w:r>
            <w:r w:rsidRPr="00211D55">
              <w:rPr>
                <w:rFonts w:ascii="Arabic Typesetting" w:hAnsi="Arabic Typesetting" w:cs="Arabic Typesetting"/>
                <w:sz w:val="28"/>
                <w:szCs w:val="28"/>
                <w:rtl/>
              </w:rPr>
              <w:t>‏)</w:t>
            </w:r>
          </w:p>
        </w:tc>
        <w:tc>
          <w:tcPr>
            <w:tcW w:w="522" w:type="pct"/>
            <w:tcBorders>
              <w:bottom w:val="nil"/>
            </w:tcBorders>
            <w:shd w:val="clear" w:color="auto" w:fill="auto"/>
            <w:tcMar>
              <w:top w:w="110" w:type="dxa"/>
            </w:tcMar>
          </w:tcPr>
          <w:p w:rsidR="00B31868" w:rsidRPr="00211D55" w:rsidRDefault="00B31868" w:rsidP="00086C3F">
            <w:pPr>
              <w:bidi/>
              <w:spacing w:before="60" w:after="60" w:line="280" w:lineRule="exact"/>
              <w:jc w:val="center"/>
              <w:rPr>
                <w:rFonts w:ascii="Arabic Typesetting" w:hAnsi="Arabic Typesetting" w:cs="Arabic Typesetting"/>
                <w:b/>
                <w:bCs/>
                <w:color w:val="808080"/>
                <w:sz w:val="28"/>
                <w:szCs w:val="28"/>
              </w:rPr>
            </w:pPr>
            <w:r w:rsidRPr="00211D55">
              <w:rPr>
                <w:rFonts w:ascii="Arabic Typesetting" w:hAnsi="Arabic Typesetting" w:cs="Arabic Typesetting"/>
                <w:b/>
                <w:bCs/>
                <w:color w:val="FF0000"/>
                <w:sz w:val="28"/>
                <w:szCs w:val="28"/>
                <w:rtl/>
              </w:rPr>
              <w:t xml:space="preserve">غير </w:t>
            </w:r>
            <w:r w:rsidR="00B6234E" w:rsidRPr="00211D55">
              <w:rPr>
                <w:rFonts w:ascii="Arabic Typesetting" w:hAnsi="Arabic Typesetting" w:cs="Arabic Typesetting" w:hint="cs"/>
                <w:b/>
                <w:bCs/>
                <w:color w:val="FF0000"/>
                <w:sz w:val="28"/>
                <w:szCs w:val="28"/>
                <w:rtl/>
              </w:rPr>
              <w:t>محقق</w:t>
            </w:r>
          </w:p>
        </w:tc>
      </w:tr>
      <w:tr w:rsidR="00B31868" w:rsidRPr="00211D55" w:rsidTr="00070FC4">
        <w:trPr>
          <w:cantSplit/>
        </w:trPr>
        <w:tc>
          <w:tcPr>
            <w:tcW w:w="1139" w:type="pct"/>
            <w:gridSpan w:val="2"/>
            <w:tcBorders>
              <w:top w:val="nil"/>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color w:val="000000"/>
                <w:sz w:val="28"/>
                <w:szCs w:val="28"/>
                <w:rtl/>
              </w:rPr>
              <w:t>عدد الإجراءات المؤتمتة</w:t>
            </w:r>
          </w:p>
        </w:tc>
        <w:tc>
          <w:tcPr>
            <w:tcW w:w="1225" w:type="pct"/>
            <w:tcBorders>
              <w:top w:val="nil"/>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hint="cs"/>
                <w:iCs/>
                <w:color w:val="002060"/>
                <w:sz w:val="28"/>
                <w:szCs w:val="28"/>
                <w:rtl/>
              </w:rPr>
              <w:t>:</w:t>
            </w:r>
            <w:r w:rsidRPr="00211D55">
              <w:rPr>
                <w:rFonts w:ascii="Arabic Typesetting" w:hAnsi="Arabic Typesetting" w:cs="Arabic Typesetting" w:hint="cs"/>
                <w:i/>
                <w:color w:val="002060"/>
                <w:sz w:val="28"/>
                <w:szCs w:val="28"/>
                <w:rtl/>
              </w:rPr>
              <w:t xml:space="preserve"> </w:t>
            </w:r>
            <w:r w:rsidRPr="00211D55">
              <w:rPr>
                <w:rFonts w:ascii="Arabic Typesetting" w:hAnsi="Arabic Typesetting" w:cs="Arabic Typesetting"/>
                <w:i/>
                <w:color w:val="002060"/>
                <w:sz w:val="28"/>
                <w:szCs w:val="28"/>
                <w:rtl/>
              </w:rPr>
              <w:t>اثنان (الإيداع الإلكتروني والتجديد الإلكتروني)</w:t>
            </w:r>
            <w:r w:rsidRPr="00F96634">
              <w:rPr>
                <w:rFonts w:ascii="Arabic Typesetting" w:hAnsi="Arabic Typesetting" w:cs="Arabic Typesetting"/>
                <w:i/>
                <w:color w:val="002060"/>
                <w:sz w:val="28"/>
                <w:szCs w:val="28"/>
                <w:vertAlign w:val="superscript"/>
              </w:rPr>
              <w:footnoteReference w:id="39"/>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hint="cs"/>
                <w:iCs/>
                <w:sz w:val="28"/>
                <w:szCs w:val="28"/>
                <w:rtl/>
              </w:rPr>
              <w:t>:</w:t>
            </w:r>
            <w:r w:rsidRPr="00211D55">
              <w:rPr>
                <w:rFonts w:ascii="Arabic Typesetting" w:hAnsi="Arabic Typesetting" w:cs="Arabic Typesetting" w:hint="cs"/>
                <w:i/>
                <w:sz w:val="28"/>
                <w:szCs w:val="28"/>
                <w:rtl/>
              </w:rPr>
              <w:t xml:space="preserve"> 2</w:t>
            </w:r>
          </w:p>
        </w:tc>
        <w:tc>
          <w:tcPr>
            <w:tcW w:w="876" w:type="pct"/>
            <w:gridSpan w:val="3"/>
            <w:tcBorders>
              <w:top w:val="nil"/>
              <w:bottom w:val="single" w:sz="4" w:space="0" w:color="auto"/>
            </w:tcBorders>
            <w:shd w:val="clear" w:color="auto" w:fill="auto"/>
            <w:tcMar>
              <w:top w:w="110" w:type="dxa"/>
            </w:tcMar>
          </w:tcPr>
          <w:p w:rsidR="00B31868" w:rsidRPr="00211D55" w:rsidRDefault="00B6234E"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rPr>
              <w:t>4</w:t>
            </w:r>
          </w:p>
        </w:tc>
        <w:tc>
          <w:tcPr>
            <w:tcW w:w="1238" w:type="pct"/>
            <w:tcBorders>
              <w:top w:val="nil"/>
              <w:bottom w:val="single" w:sz="4" w:space="0" w:color="auto"/>
            </w:tcBorders>
            <w:shd w:val="clear" w:color="auto" w:fill="FFFFFF"/>
            <w:tcMar>
              <w:top w:w="110" w:type="dxa"/>
            </w:tcMar>
          </w:tcPr>
          <w:p w:rsidR="00B31868" w:rsidRPr="00211D55" w:rsidRDefault="004507DB"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hint="cs"/>
                <w:sz w:val="28"/>
                <w:szCs w:val="28"/>
                <w:rtl/>
              </w:rPr>
              <w:t xml:space="preserve">إجراءان إضافيان مؤتمتان في </w:t>
            </w:r>
            <w:r w:rsidR="00507DE2">
              <w:rPr>
                <w:rFonts w:ascii="Arabic Typesetting" w:hAnsi="Arabic Typesetting" w:cs="Arabic Typesetting" w:hint="cs"/>
                <w:sz w:val="28"/>
                <w:szCs w:val="28"/>
                <w:rtl/>
              </w:rPr>
              <w:t>2014/15</w:t>
            </w:r>
            <w:r w:rsidRPr="00211D55">
              <w:rPr>
                <w:rFonts w:ascii="Arabic Typesetting" w:hAnsi="Arabic Typesetting" w:cs="Arabic Typesetting" w:hint="cs"/>
                <w:sz w:val="28"/>
                <w:szCs w:val="28"/>
                <w:rtl/>
              </w:rPr>
              <w:t xml:space="preserve"> (إعلان بمنح الحماية من مكتب مواءمة السوق الداخلية في 2014 </w:t>
            </w:r>
            <w:proofErr w:type="spellStart"/>
            <w:r w:rsidRPr="00211D55">
              <w:rPr>
                <w:rFonts w:ascii="Arabic Typesetting" w:hAnsi="Arabic Typesetting" w:cs="Arabic Typesetting" w:hint="cs"/>
                <w:sz w:val="28"/>
                <w:szCs w:val="28"/>
                <w:rtl/>
              </w:rPr>
              <w:t>وتلسم</w:t>
            </w:r>
            <w:proofErr w:type="spellEnd"/>
            <w:r w:rsidRPr="00211D55">
              <w:rPr>
                <w:rFonts w:ascii="Arabic Typesetting" w:hAnsi="Arabic Typesetting" w:cs="Arabic Typesetting" w:hint="cs"/>
                <w:sz w:val="28"/>
                <w:szCs w:val="28"/>
                <w:rtl/>
              </w:rPr>
              <w:t xml:space="preserve"> ومعالجة الإيداعات غير المباشرة لمكتب جمهورية كوريا) (التراكمي</w:t>
            </w:r>
            <w:r w:rsidRPr="00211D55">
              <w:rPr>
                <w:rFonts w:ascii="Arabic Typesetting" w:hAnsi="Arabic Typesetting" w:cs="Arabic Typesetting" w:hint="eastAsia"/>
                <w:sz w:val="28"/>
                <w:szCs w:val="28"/>
                <w:rtl/>
              </w:rPr>
              <w:t> </w:t>
            </w:r>
            <w:r w:rsidRPr="00211D55">
              <w:rPr>
                <w:rFonts w:ascii="Arabic Typesetting" w:hAnsi="Arabic Typesetting" w:cs="Arabic Typesetting" w:hint="cs"/>
                <w:sz w:val="28"/>
                <w:szCs w:val="28"/>
                <w:rtl/>
              </w:rPr>
              <w:t>4)</w:t>
            </w:r>
          </w:p>
        </w:tc>
        <w:tc>
          <w:tcPr>
            <w:tcW w:w="522" w:type="pct"/>
            <w:tcBorders>
              <w:top w:val="nil"/>
              <w:bottom w:val="single" w:sz="4" w:space="0" w:color="auto"/>
            </w:tcBorders>
            <w:shd w:val="clear" w:color="auto" w:fill="auto"/>
            <w:tcMar>
              <w:top w:w="110" w:type="dxa"/>
            </w:tcMar>
          </w:tcPr>
          <w:p w:rsidR="00B31868" w:rsidRPr="00211D55" w:rsidRDefault="00B6234E" w:rsidP="00086C3F">
            <w:pPr>
              <w:bidi/>
              <w:spacing w:before="60" w:after="60" w:line="280" w:lineRule="exact"/>
              <w:jc w:val="center"/>
              <w:rPr>
                <w:rFonts w:ascii="Arabic Typesetting" w:hAnsi="Arabic Typesetting" w:cs="Arabic Typesetting"/>
                <w:b/>
                <w:bCs/>
                <w:color w:val="808080"/>
                <w:sz w:val="28"/>
                <w:szCs w:val="28"/>
              </w:rPr>
            </w:pPr>
            <w:r w:rsidRPr="00211D55">
              <w:rPr>
                <w:rFonts w:ascii="Arabic Typesetting" w:hAnsi="Arabic Typesetting" w:cs="Arabic Typesetting" w:hint="cs"/>
                <w:b/>
                <w:bCs/>
                <w:color w:val="00B050"/>
                <w:sz w:val="28"/>
                <w:szCs w:val="28"/>
                <w:rtl/>
              </w:rPr>
              <w:t>محقق كلياً</w:t>
            </w:r>
          </w:p>
        </w:tc>
      </w:tr>
    </w:tbl>
    <w:p w:rsidR="00732280"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732280" w:rsidRPr="00211D55" w:rsidTr="00E4700C">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732280" w:rsidRPr="00211D55" w:rsidRDefault="00732280"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732280" w:rsidRPr="00211D55" w:rsidRDefault="00732280"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732280" w:rsidRPr="00211D55" w:rsidRDefault="00732280"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732280"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4507DB" w:rsidRPr="00211D55" w:rsidTr="00E4700C">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4507DB" w:rsidRPr="00211D55" w:rsidRDefault="004507DB" w:rsidP="007A7336">
            <w:pPr>
              <w:bidi/>
              <w:spacing w:line="280" w:lineRule="exact"/>
              <w:rPr>
                <w:rFonts w:ascii="Arabic Typesetting" w:hAnsi="Arabic Typesetting" w:cs="Arabic Typesetting"/>
                <w:b/>
                <w:sz w:val="28"/>
                <w:szCs w:val="28"/>
                <w:lang w:bidi="ar-EG"/>
              </w:rPr>
            </w:pPr>
            <w:r w:rsidRPr="007A7336">
              <w:rPr>
                <w:rFonts w:ascii="Arabic Typesetting" w:hAnsi="Arabic Typesetting" w:cs="Arabic Typesetting"/>
                <w:b/>
                <w:sz w:val="28"/>
                <w:szCs w:val="28"/>
                <w:rtl/>
                <w:lang w:bidi="ar-EG"/>
              </w:rPr>
              <w:t xml:space="preserve">انخفاض مستوى رضا </w:t>
            </w:r>
            <w:r w:rsidR="009F5F08" w:rsidRPr="007A7336">
              <w:rPr>
                <w:rFonts w:ascii="Arabic Typesetting" w:hAnsi="Arabic Typesetting" w:cs="Arabic Typesetting" w:hint="cs"/>
                <w:b/>
                <w:sz w:val="28"/>
                <w:szCs w:val="28"/>
                <w:rtl/>
                <w:lang w:bidi="ar-EG"/>
              </w:rPr>
              <w:t>الزبائن</w:t>
            </w:r>
            <w:r w:rsidRPr="007A7336">
              <w:rPr>
                <w:rFonts w:ascii="Arabic Typesetting" w:hAnsi="Arabic Typesetting" w:cs="Arabic Typesetting"/>
                <w:b/>
                <w:sz w:val="28"/>
                <w:szCs w:val="28"/>
                <w:rtl/>
                <w:lang w:bidi="ar-EG"/>
              </w:rPr>
              <w:t xml:space="preserve"> بسبب وجود صعوبات في التعامل مع تزايد عدد الإيداعات وطلبات المعلومات وبسبب تزايد تعقُّد النظام نتيجةً لتنفيذ خصائص تدعم فحص الجدة في بعض المكاتب</w:t>
            </w:r>
            <w:r w:rsidRPr="007A7336">
              <w:rPr>
                <w:rFonts w:ascii="Arabic Typesetting" w:hAnsi="Arabic Typesetting" w:cs="Arabic Typesetting" w:hint="cs"/>
                <w:b/>
                <w:sz w:val="28"/>
                <w:szCs w:val="28"/>
                <w:rtl/>
                <w:lang w:bidi="ar-EG"/>
              </w:rPr>
              <w:t> </w:t>
            </w:r>
            <w:r w:rsidRPr="007A7336">
              <w:rPr>
                <w:rFonts w:ascii="Arabic Typesetting" w:hAnsi="Arabic Typesetting" w:cs="Arabic Typesetting"/>
                <w:b/>
                <w:sz w:val="28"/>
                <w:szCs w:val="28"/>
                <w:rtl/>
                <w:lang w:bidi="ar-EG"/>
              </w:rPr>
              <w:t>المعيّنة</w:t>
            </w:r>
          </w:p>
        </w:tc>
        <w:tc>
          <w:tcPr>
            <w:tcW w:w="2200" w:type="dxa"/>
            <w:tcBorders>
              <w:top w:val="single" w:sz="4" w:space="0" w:color="auto"/>
              <w:bottom w:val="single" w:sz="4" w:space="0" w:color="auto"/>
            </w:tcBorders>
            <w:shd w:val="clear" w:color="auto" w:fill="auto"/>
            <w:tcMar>
              <w:top w:w="113" w:type="dxa"/>
              <w:bottom w:w="113" w:type="dxa"/>
            </w:tcMar>
          </w:tcPr>
          <w:p w:rsidR="004507DB" w:rsidRPr="007A7336" w:rsidRDefault="004507DB" w:rsidP="007A7336">
            <w:pPr>
              <w:bidi/>
              <w:spacing w:line="280" w:lineRule="exact"/>
              <w:rPr>
                <w:rFonts w:ascii="Arabic Typesetting" w:hAnsi="Arabic Typesetting" w:cs="Arabic Typesetting"/>
                <w:b/>
                <w:sz w:val="28"/>
                <w:szCs w:val="28"/>
                <w:lang w:bidi="ar-EG"/>
              </w:rPr>
            </w:pPr>
            <w:r w:rsidRPr="007A7336">
              <w:rPr>
                <w:rFonts w:ascii="Arabic Typesetting" w:hAnsi="Arabic Typesetting" w:cs="Arabic Typesetting"/>
                <w:b/>
                <w:sz w:val="28"/>
                <w:szCs w:val="28"/>
                <w:rtl/>
                <w:lang w:bidi="ar-EG"/>
              </w:rPr>
              <w:t>تعزيز الكفاءة والفعالية في جميع جوانب إدارة النظام، وتشجيع أفضل الممارسات والتقارب بين المكاتب المعنية</w:t>
            </w:r>
            <w:r w:rsidRPr="007A7336">
              <w:rPr>
                <w:rFonts w:ascii="Arabic Typesetting" w:hAnsi="Arabic Typesetting" w:cs="Arabic Typesetting" w:hint="cs"/>
                <w:b/>
                <w:sz w:val="28"/>
                <w:szCs w:val="28"/>
                <w:rtl/>
                <w:lang w:bidi="ar-EG"/>
              </w:rPr>
              <w:t>؛</w:t>
            </w:r>
            <w:r w:rsidRPr="007A7336">
              <w:rPr>
                <w:rFonts w:ascii="Arabic Typesetting" w:hAnsi="Arabic Typesetting" w:cs="Arabic Typesetting"/>
                <w:b/>
                <w:sz w:val="28"/>
                <w:szCs w:val="28"/>
                <w:rtl/>
                <w:lang w:bidi="ar-EG"/>
              </w:rPr>
              <w:t xml:space="preserve"> وتطوير حلول تكنولوجيا المعلومات لمساعدة المستخدمين والفاحصين في المكاتب والمكتب</w:t>
            </w:r>
            <w:r w:rsidRPr="007A7336">
              <w:rPr>
                <w:rFonts w:ascii="Arabic Typesetting" w:hAnsi="Arabic Typesetting" w:cs="Arabic Typesetting" w:hint="cs"/>
                <w:b/>
                <w:sz w:val="28"/>
                <w:szCs w:val="28"/>
                <w:rtl/>
                <w:lang w:bidi="ar-EG"/>
              </w:rPr>
              <w:t> </w:t>
            </w:r>
            <w:r w:rsidRPr="007A7336">
              <w:rPr>
                <w:rFonts w:ascii="Arabic Typesetting" w:hAnsi="Arabic Typesetting" w:cs="Arabic Typesetting"/>
                <w:b/>
                <w:sz w:val="28"/>
                <w:szCs w:val="28"/>
                <w:rtl/>
                <w:lang w:bidi="ar-EG"/>
              </w:rPr>
              <w:t>الدولي</w:t>
            </w:r>
          </w:p>
        </w:tc>
        <w:tc>
          <w:tcPr>
            <w:tcW w:w="2310" w:type="dxa"/>
            <w:tcBorders>
              <w:top w:val="single" w:sz="4" w:space="0" w:color="auto"/>
              <w:bottom w:val="single" w:sz="4" w:space="0" w:color="auto"/>
            </w:tcBorders>
          </w:tcPr>
          <w:p w:rsidR="004507DB" w:rsidRPr="00211D55" w:rsidRDefault="004507DB"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هذا الخطر لا يزال قائماً وعززت استراتيجيات الحد من وطأته على مدار الثنائية بفضل أدوات إلكترونية ومواد إعلامية، ما مك</w:t>
            </w:r>
            <w:r w:rsidR="009A3092" w:rsidRPr="00211D55">
              <w:rPr>
                <w:rFonts w:ascii="Arabic Typesetting" w:hAnsi="Arabic Typesetting" w:cs="Arabic Typesetting" w:hint="cs"/>
                <w:b/>
                <w:sz w:val="28"/>
                <w:szCs w:val="28"/>
                <w:rtl/>
                <w:lang w:bidi="ar-EG"/>
              </w:rPr>
              <w:t>َّ</w:t>
            </w:r>
            <w:r w:rsidRPr="00211D55">
              <w:rPr>
                <w:rFonts w:ascii="Arabic Typesetting" w:hAnsi="Arabic Typesetting" w:cs="Arabic Typesetting" w:hint="cs"/>
                <w:b/>
                <w:sz w:val="28"/>
                <w:szCs w:val="28"/>
                <w:rtl/>
                <w:lang w:bidi="ar-EG"/>
              </w:rPr>
              <w:t>ن المكتب الدولي من استيعاب زيادة الإيداعات البالغة 40 بالمئة وساعد في الحد من استفسارات وشكاوى المستخدمين الناشئة عن التعقيد المتزايد للنظام.</w:t>
            </w:r>
          </w:p>
        </w:tc>
        <w:tc>
          <w:tcPr>
            <w:tcW w:w="2306" w:type="dxa"/>
            <w:tcBorders>
              <w:top w:val="single" w:sz="4" w:space="0" w:color="auto"/>
              <w:bottom w:val="single" w:sz="4" w:space="0" w:color="auto"/>
              <w:right w:val="single" w:sz="4" w:space="0" w:color="auto"/>
            </w:tcBorders>
          </w:tcPr>
          <w:p w:rsidR="004507DB" w:rsidRPr="00211D55" w:rsidRDefault="004507DB" w:rsidP="007A7336">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لم يؤثر هذا الخطر </w:t>
            </w:r>
            <w:r w:rsidR="009A3092" w:rsidRPr="00211D55">
              <w:rPr>
                <w:rFonts w:ascii="Arabic Typesetting" w:hAnsi="Arabic Typesetting" w:cs="Arabic Typesetting" w:hint="cs"/>
                <w:b/>
                <w:sz w:val="28"/>
                <w:szCs w:val="28"/>
                <w:rtl/>
                <w:lang w:bidi="ar-EG"/>
              </w:rPr>
              <w:t>في</w:t>
            </w:r>
            <w:r w:rsidRPr="00211D55">
              <w:rPr>
                <w:rFonts w:ascii="Arabic Typesetting" w:hAnsi="Arabic Typesetting" w:cs="Arabic Typesetting" w:hint="cs"/>
                <w:b/>
                <w:sz w:val="28"/>
                <w:szCs w:val="28"/>
                <w:rtl/>
                <w:lang w:bidi="ar-EG"/>
              </w:rPr>
              <w:t xml:space="preserve"> البرنامج نظراً إلى زيادة الإيداعات بين عامي 2014 و2015 التي تجاوزت التوقعات ما أثبت أن النظام قد حافظ على جاذبيته العامة وأن مستويات رضا </w:t>
            </w:r>
            <w:r w:rsidR="009F5F08" w:rsidRPr="00211D55">
              <w:rPr>
                <w:rFonts w:ascii="Arabic Typesetting" w:hAnsi="Arabic Typesetting" w:cs="Arabic Typesetting" w:hint="cs"/>
                <w:b/>
                <w:sz w:val="28"/>
                <w:szCs w:val="28"/>
                <w:rtl/>
                <w:lang w:bidi="ar-EG"/>
              </w:rPr>
              <w:t>الزبائن</w:t>
            </w:r>
            <w:r w:rsidRPr="00211D55">
              <w:rPr>
                <w:rFonts w:ascii="Arabic Typesetting" w:hAnsi="Arabic Typesetting" w:cs="Arabic Typesetting" w:hint="cs"/>
                <w:b/>
                <w:sz w:val="28"/>
                <w:szCs w:val="28"/>
                <w:rtl/>
                <w:lang w:bidi="ar-EG"/>
              </w:rPr>
              <w:t xml:space="preserve"> لم تتأثر سلباً.</w:t>
            </w:r>
          </w:p>
        </w:tc>
      </w:tr>
    </w:tbl>
    <w:p w:rsidR="00B264F9" w:rsidRPr="00141A0B" w:rsidRDefault="00B264F9" w:rsidP="00B264F9">
      <w:pPr>
        <w:bidi/>
        <w:spacing w:before="120" w:after="120" w:line="340" w:lineRule="exact"/>
        <w:rPr>
          <w:rFonts w:ascii="Arabic Typesetting" w:hAnsi="Arabic Typesetting" w:cs="Arabic Typesetting"/>
          <w:bCs/>
          <w:sz w:val="34"/>
          <w:szCs w:val="34"/>
        </w:rPr>
      </w:pPr>
      <w:r w:rsidRPr="00B264F9">
        <w:rPr>
          <w:rFonts w:ascii="Arabic Typesetting" w:hAnsi="Arabic Typesetting" w:cs="Arabic Typesetting"/>
          <w:color w:val="000000"/>
          <w:sz w:val="34"/>
          <w:szCs w:val="34"/>
          <w:rtl/>
        </w:rPr>
        <w:t>استخدام الموارد</w:t>
      </w:r>
    </w:p>
    <w:p w:rsidR="00B31868" w:rsidRPr="00B31868" w:rsidRDefault="00774E37" w:rsidP="00252762">
      <w:pPr>
        <w:keepNext/>
        <w:bidi/>
        <w:spacing w:line="340" w:lineRule="exact"/>
        <w:jc w:val="center"/>
        <w:rPr>
          <w:rFonts w:ascii="Arabic Typesetting" w:hAnsi="Arabic Typesetting" w:cs="Arabic Typesetting"/>
          <w:sz w:val="34"/>
          <w:szCs w:val="34"/>
        </w:rPr>
      </w:pPr>
      <w:r w:rsidRPr="00774E37">
        <w:rPr>
          <w:rFonts w:ascii="Arabic Typesetting" w:hAnsi="Arabic Typesetting" w:cs="Arabic Typesetting"/>
          <w:color w:val="000000"/>
          <w:sz w:val="34"/>
          <w:szCs w:val="34"/>
          <w:rtl/>
        </w:rPr>
        <w:t>الميزانية والنفقات الفعلية (بحسب النتائج)</w:t>
      </w:r>
    </w:p>
    <w:p w:rsidR="00B31868" w:rsidRPr="00B31868" w:rsidRDefault="00B31868" w:rsidP="00086C3F">
      <w:pPr>
        <w:keepNext/>
        <w:bidi/>
        <w:spacing w:after="120" w:line="340" w:lineRule="exact"/>
        <w:jc w:val="center"/>
        <w:rPr>
          <w:rFonts w:ascii="Arabic Typesetting" w:hAnsi="Arabic Typesetting" w:cs="Arabic Typesetting"/>
          <w:i/>
          <w:iCs/>
          <w:color w:val="000000"/>
          <w:sz w:val="34"/>
          <w:szCs w:val="34"/>
          <w:rtl/>
          <w:lang w:bidi="ar-EG"/>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4507DB" w:rsidRPr="00211D55" w:rsidTr="00E4700C">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4507DB" w:rsidRPr="00211D55" w:rsidRDefault="004507DB"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507DB" w:rsidRPr="00211D55" w:rsidRDefault="004507DB"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507DB" w:rsidRPr="00211D55" w:rsidRDefault="004507DB"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4507DB" w:rsidRPr="00211D55" w:rsidRDefault="004507DB"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4507DB" w:rsidRPr="00211D55" w:rsidTr="00E4700C">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4507DB" w:rsidRPr="00211D55" w:rsidRDefault="004507DB"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ھ4.2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507DB" w:rsidRPr="00211D55" w:rsidRDefault="000E3DA7" w:rsidP="00086C3F">
            <w:pPr>
              <w:bidi/>
              <w:rPr>
                <w:rFonts w:ascii="Arabic Typesetting" w:hAnsi="Arabic Typesetting" w:cs="Arabic Typesetting"/>
                <w:sz w:val="28"/>
                <w:szCs w:val="28"/>
              </w:rPr>
            </w:pPr>
            <w:r>
              <w:rPr>
                <w:rFonts w:ascii="Arabic Typesetting" w:hAnsi="Arabic Typesetting" w:cs="Arabic Typesetting"/>
                <w:sz w:val="28"/>
                <w:szCs w:val="28"/>
                <w:rtl/>
              </w:rPr>
              <w:t>الانتفاع بنظام لاهاي على نطاق أوسع ونحو أفضل، بما في ذلك من جهة البلدان النامية والبلدان الأقل نموا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507DB" w:rsidRPr="00211D55" w:rsidRDefault="00E4700C" w:rsidP="00086C3F">
            <w:pPr>
              <w:rPr>
                <w:rFonts w:ascii="Arabic Typesetting" w:hAnsi="Arabic Typesetting" w:cs="Arabic Typesetting"/>
                <w:sz w:val="28"/>
                <w:szCs w:val="28"/>
              </w:rPr>
            </w:pPr>
            <w:r w:rsidRPr="00211D55">
              <w:rPr>
                <w:rFonts w:ascii="Arabic Typesetting" w:hAnsi="Arabic Typesetting" w:cs="Arabic Typesetting"/>
                <w:sz w:val="28"/>
                <w:szCs w:val="28"/>
              </w:rPr>
              <w:t>5,236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507DB" w:rsidRPr="00211D55" w:rsidRDefault="00E4700C" w:rsidP="00086C3F">
            <w:pPr>
              <w:rPr>
                <w:rFonts w:ascii="Arabic Typesetting" w:hAnsi="Arabic Typesetting" w:cs="Arabic Typesetting"/>
                <w:sz w:val="28"/>
                <w:szCs w:val="28"/>
              </w:rPr>
            </w:pPr>
            <w:r w:rsidRPr="00211D55">
              <w:rPr>
                <w:rFonts w:ascii="Arabic Typesetting" w:hAnsi="Arabic Typesetting" w:cs="Arabic Typesetting"/>
                <w:sz w:val="28"/>
                <w:szCs w:val="28"/>
              </w:rPr>
              <w:t>4,903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507DB" w:rsidRPr="00211D55" w:rsidRDefault="00E4700C" w:rsidP="00086C3F">
            <w:pPr>
              <w:rPr>
                <w:rFonts w:ascii="Arabic Typesetting" w:hAnsi="Arabic Typesetting" w:cs="Arabic Typesetting"/>
                <w:sz w:val="28"/>
                <w:szCs w:val="28"/>
              </w:rPr>
            </w:pPr>
            <w:r w:rsidRPr="00211D55">
              <w:rPr>
                <w:rFonts w:ascii="Arabic Typesetting" w:hAnsi="Arabic Typesetting" w:cs="Arabic Typesetting"/>
                <w:sz w:val="28"/>
                <w:szCs w:val="28"/>
              </w:rPr>
              <w:t>4,510</w:t>
            </w:r>
          </w:p>
        </w:tc>
      </w:tr>
      <w:tr w:rsidR="004507DB" w:rsidRPr="00211D55" w:rsidTr="00E4700C">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4507DB" w:rsidRPr="00211D55" w:rsidRDefault="004507DB"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w:t>
            </w:r>
            <w:r w:rsidR="00E4700C" w:rsidRPr="00211D55">
              <w:rPr>
                <w:rFonts w:ascii="Arabic Typesetting" w:hAnsi="Arabic Typesetting" w:cs="Arabic Typesetting"/>
                <w:sz w:val="28"/>
                <w:szCs w:val="28"/>
                <w:rtl/>
              </w:rPr>
              <w:t>5.2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507DB" w:rsidRPr="00211D55" w:rsidRDefault="00A0719D" w:rsidP="00086C3F">
            <w:pPr>
              <w:bidi/>
              <w:rPr>
                <w:rFonts w:ascii="Arabic Typesetting" w:hAnsi="Arabic Typesetting" w:cs="Arabic Typesetting"/>
                <w:sz w:val="28"/>
                <w:szCs w:val="28"/>
              </w:rPr>
            </w:pPr>
            <w:r>
              <w:rPr>
                <w:rFonts w:ascii="Arabic Typesetting" w:hAnsi="Arabic Typesetting" w:cs="Arabic Typesetting"/>
                <w:sz w:val="28"/>
                <w:szCs w:val="28"/>
                <w:rtl/>
              </w:rPr>
              <w:t>تحسين الإنتاجية وجودة الخدمات في عمليات نظام لاهاي</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507DB" w:rsidRPr="00211D55" w:rsidRDefault="00E4700C" w:rsidP="00086C3F">
            <w:pPr>
              <w:rPr>
                <w:rFonts w:ascii="Arabic Typesetting" w:hAnsi="Arabic Typesetting" w:cs="Arabic Typesetting"/>
                <w:sz w:val="28"/>
                <w:szCs w:val="28"/>
              </w:rPr>
            </w:pPr>
            <w:r w:rsidRPr="00211D55">
              <w:rPr>
                <w:rFonts w:ascii="Arabic Typesetting" w:hAnsi="Arabic Typesetting" w:cs="Arabic Typesetting"/>
                <w:sz w:val="28"/>
                <w:szCs w:val="28"/>
              </w:rPr>
              <w:t>2,351</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507DB" w:rsidRPr="00211D55" w:rsidRDefault="00E4700C" w:rsidP="00086C3F">
            <w:pPr>
              <w:rPr>
                <w:rFonts w:ascii="Arabic Typesetting" w:hAnsi="Arabic Typesetting" w:cs="Arabic Typesetting"/>
                <w:sz w:val="28"/>
                <w:szCs w:val="28"/>
              </w:rPr>
            </w:pPr>
            <w:r w:rsidRPr="00211D55">
              <w:rPr>
                <w:rFonts w:ascii="Arabic Typesetting" w:hAnsi="Arabic Typesetting" w:cs="Arabic Typesetting"/>
                <w:sz w:val="28"/>
                <w:szCs w:val="28"/>
              </w:rPr>
              <w:t>2,400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507DB" w:rsidRPr="00211D55" w:rsidRDefault="00E4700C" w:rsidP="00086C3F">
            <w:pPr>
              <w:rPr>
                <w:rFonts w:ascii="Arabic Typesetting" w:hAnsi="Arabic Typesetting" w:cs="Arabic Typesetting"/>
                <w:sz w:val="28"/>
                <w:szCs w:val="28"/>
              </w:rPr>
            </w:pPr>
            <w:r w:rsidRPr="00211D55">
              <w:rPr>
                <w:rFonts w:ascii="Arabic Typesetting" w:hAnsi="Arabic Typesetting" w:cs="Arabic Typesetting"/>
                <w:sz w:val="28"/>
                <w:szCs w:val="28"/>
              </w:rPr>
              <w:t>2,399</w:t>
            </w:r>
          </w:p>
        </w:tc>
      </w:tr>
      <w:tr w:rsidR="004507DB" w:rsidRPr="00211D55" w:rsidTr="00E4700C">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4507DB" w:rsidRPr="00211D55" w:rsidRDefault="004507DB"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4507DB" w:rsidRPr="00211D55" w:rsidRDefault="004507DB"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507DB" w:rsidRPr="00211D55" w:rsidRDefault="00E4700C"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7,587</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507DB" w:rsidRPr="00211D55" w:rsidRDefault="00E4700C"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7,303</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507DB" w:rsidRPr="00211D55" w:rsidRDefault="00E4700C"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6,909</w:t>
            </w:r>
          </w:p>
        </w:tc>
      </w:tr>
    </w:tbl>
    <w:p w:rsidR="00252762" w:rsidRPr="00252762" w:rsidRDefault="00774E37" w:rsidP="009A1FB9">
      <w:pPr>
        <w:keepNext/>
        <w:bidi/>
        <w:spacing w:before="120" w:after="12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B31868" w:rsidRPr="00B31868" w:rsidRDefault="00B31868" w:rsidP="00252762">
      <w:pPr>
        <w:keepNext/>
        <w:bidi/>
        <w:spacing w:after="120" w:line="340" w:lineRule="exact"/>
        <w:jc w:val="center"/>
        <w:rPr>
          <w:rFonts w:ascii="Arabic Typesetting" w:hAnsi="Arabic Typesetting" w:cs="Arabic Typesetting"/>
          <w:i/>
          <w:iCs/>
          <w:color w:val="000000"/>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4507DB" w:rsidRPr="00211D55" w:rsidTr="00E4700C">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4507DB" w:rsidRPr="00211D55" w:rsidRDefault="004507DB"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507DB" w:rsidRPr="00211D55" w:rsidRDefault="004507DB"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507DB" w:rsidRPr="00211D55" w:rsidRDefault="004507DB"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507DB" w:rsidRPr="00211D55" w:rsidRDefault="004507DB"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507DB"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4507DB" w:rsidRPr="00211D55">
              <w:rPr>
                <w:rFonts w:ascii="Arabic Typesetting" w:hAnsi="Arabic Typesetting" w:cs="Arabic Typesetting"/>
                <w:b/>
                <w:bCs/>
                <w:i/>
                <w:iCs/>
                <w:sz w:val="28"/>
                <w:szCs w:val="28"/>
                <w:rtl/>
              </w:rPr>
              <w:t xml:space="preserve"> (%)</w:t>
            </w:r>
          </w:p>
        </w:tc>
      </w:tr>
      <w:tr w:rsidR="004507DB" w:rsidRPr="00211D55" w:rsidTr="00E4700C">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4507DB" w:rsidRPr="00211D55" w:rsidRDefault="004507DB"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507DB" w:rsidRPr="00211D55" w:rsidRDefault="00E4700C"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6,242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507DB" w:rsidRPr="00211D55" w:rsidRDefault="00E4700C"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6,281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507DB" w:rsidRPr="00211D55" w:rsidRDefault="00E4700C"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6,079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507DB" w:rsidRPr="00211D55" w:rsidRDefault="00E4700C"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97%</w:t>
            </w:r>
          </w:p>
        </w:tc>
      </w:tr>
      <w:tr w:rsidR="004507DB" w:rsidRPr="00211D55" w:rsidTr="00E4700C">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4507DB" w:rsidRPr="00211D55" w:rsidRDefault="004507DB"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4507DB" w:rsidRPr="00211D55" w:rsidRDefault="00E4700C"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1,346</w:t>
            </w:r>
          </w:p>
        </w:tc>
        <w:tc>
          <w:tcPr>
            <w:tcW w:w="970" w:type="pct"/>
            <w:tcBorders>
              <w:top w:val="nil"/>
              <w:left w:val="single" w:sz="4" w:space="0" w:color="auto"/>
              <w:bottom w:val="single" w:sz="4" w:space="0" w:color="auto"/>
              <w:right w:val="single" w:sz="4" w:space="0" w:color="auto"/>
            </w:tcBorders>
            <w:shd w:val="clear" w:color="auto" w:fill="auto"/>
            <w:vAlign w:val="center"/>
          </w:tcPr>
          <w:p w:rsidR="004507DB" w:rsidRPr="00211D55" w:rsidRDefault="00E4700C"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1,022</w:t>
            </w:r>
          </w:p>
        </w:tc>
        <w:tc>
          <w:tcPr>
            <w:tcW w:w="970" w:type="pct"/>
            <w:tcBorders>
              <w:top w:val="nil"/>
              <w:left w:val="single" w:sz="4" w:space="0" w:color="auto"/>
              <w:bottom w:val="single" w:sz="4" w:space="0" w:color="auto"/>
              <w:right w:val="single" w:sz="4" w:space="0" w:color="auto"/>
            </w:tcBorders>
            <w:shd w:val="clear" w:color="auto" w:fill="auto"/>
            <w:vAlign w:val="center"/>
          </w:tcPr>
          <w:p w:rsidR="004507DB" w:rsidRPr="00211D55" w:rsidRDefault="00E4700C"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831</w:t>
            </w:r>
          </w:p>
        </w:tc>
        <w:tc>
          <w:tcPr>
            <w:tcW w:w="970" w:type="pct"/>
            <w:tcBorders>
              <w:top w:val="nil"/>
              <w:left w:val="single" w:sz="4" w:space="0" w:color="auto"/>
              <w:bottom w:val="single" w:sz="4" w:space="0" w:color="auto"/>
              <w:right w:val="single" w:sz="4" w:space="0" w:color="auto"/>
            </w:tcBorders>
            <w:shd w:val="clear" w:color="auto" w:fill="auto"/>
            <w:vAlign w:val="center"/>
          </w:tcPr>
          <w:p w:rsidR="004507DB" w:rsidRPr="00211D55" w:rsidRDefault="00E4700C"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81%</w:t>
            </w:r>
          </w:p>
        </w:tc>
      </w:tr>
      <w:tr w:rsidR="00E4700C" w:rsidRPr="00211D55" w:rsidTr="009A3092">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E4700C" w:rsidRPr="00211D55" w:rsidRDefault="00E4700C"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E4700C" w:rsidRPr="00211D55" w:rsidRDefault="00E4700C"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7,587</w:t>
            </w:r>
          </w:p>
        </w:tc>
        <w:tc>
          <w:tcPr>
            <w:tcW w:w="970" w:type="pct"/>
            <w:tcBorders>
              <w:top w:val="nil"/>
              <w:left w:val="single" w:sz="4" w:space="0" w:color="auto"/>
              <w:bottom w:val="single" w:sz="4" w:space="0" w:color="auto"/>
              <w:right w:val="single" w:sz="4" w:space="0" w:color="auto"/>
            </w:tcBorders>
            <w:shd w:val="clear" w:color="auto" w:fill="auto"/>
            <w:vAlign w:val="center"/>
          </w:tcPr>
          <w:p w:rsidR="00E4700C" w:rsidRPr="00211D55" w:rsidRDefault="00E4700C"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7,303</w:t>
            </w:r>
          </w:p>
        </w:tc>
        <w:tc>
          <w:tcPr>
            <w:tcW w:w="970" w:type="pct"/>
            <w:tcBorders>
              <w:top w:val="nil"/>
              <w:left w:val="single" w:sz="4" w:space="0" w:color="auto"/>
              <w:bottom w:val="single" w:sz="4" w:space="0" w:color="auto"/>
              <w:right w:val="single" w:sz="4" w:space="0" w:color="auto"/>
            </w:tcBorders>
            <w:shd w:val="clear" w:color="auto" w:fill="auto"/>
            <w:vAlign w:val="center"/>
          </w:tcPr>
          <w:p w:rsidR="00E4700C" w:rsidRPr="00211D55" w:rsidRDefault="00E4700C"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6,909</w:t>
            </w:r>
          </w:p>
        </w:tc>
        <w:tc>
          <w:tcPr>
            <w:tcW w:w="970" w:type="pct"/>
            <w:tcBorders>
              <w:top w:val="nil"/>
              <w:left w:val="single" w:sz="4" w:space="0" w:color="auto"/>
              <w:bottom w:val="single" w:sz="4" w:space="0" w:color="auto"/>
              <w:right w:val="single" w:sz="4" w:space="0" w:color="auto"/>
            </w:tcBorders>
            <w:shd w:val="clear" w:color="auto" w:fill="auto"/>
            <w:vAlign w:val="center"/>
          </w:tcPr>
          <w:p w:rsidR="00E4700C" w:rsidRPr="00211D55" w:rsidRDefault="00E4700C"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95%</w:t>
            </w:r>
          </w:p>
        </w:tc>
      </w:tr>
    </w:tbl>
    <w:p w:rsidR="00E4700C" w:rsidRPr="00706F20" w:rsidRDefault="00E4700C" w:rsidP="009A1FB9">
      <w:pPr>
        <w:keepNext/>
        <w:bidi/>
        <w:spacing w:before="120" w:after="120" w:line="340" w:lineRule="exact"/>
        <w:rPr>
          <w:rFonts w:ascii="Arabic Typesetting" w:hAnsi="Arabic Typesetting" w:cs="Arabic Typesetting"/>
          <w:sz w:val="34"/>
          <w:szCs w:val="34"/>
          <w:u w:val="single"/>
          <w:rtl/>
          <w:lang w:bidi="ar-EG"/>
        </w:rPr>
      </w:pPr>
      <w:r w:rsidRPr="00706F20">
        <w:rPr>
          <w:rFonts w:ascii="Arabic Typesetting" w:hAnsi="Arabic Typesetting" w:cs="Arabic Typesetting" w:hint="cs"/>
          <w:sz w:val="34"/>
          <w:szCs w:val="34"/>
          <w:rtl/>
          <w:lang w:bidi="ar-EG"/>
        </w:rPr>
        <w:lastRenderedPageBreak/>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B31868" w:rsidRPr="00B31868" w:rsidRDefault="00FF1820" w:rsidP="00A601E3">
      <w:pPr>
        <w:keepNext/>
        <w:numPr>
          <w:ilvl w:val="0"/>
          <w:numId w:val="24"/>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سجلت</w:t>
      </w:r>
      <w:r w:rsidR="00B31868" w:rsidRPr="00B31868">
        <w:rPr>
          <w:rFonts w:ascii="Arabic Typesetting" w:hAnsi="Arabic Typesetting" w:cs="Arabic Typesetting"/>
          <w:sz w:val="34"/>
          <w:szCs w:val="34"/>
          <w:rtl/>
          <w:lang w:bidi="ar-EG"/>
        </w:rPr>
        <w:t xml:space="preserve"> </w:t>
      </w:r>
      <w:r w:rsidR="00E4700C" w:rsidRPr="00E4700C">
        <w:rPr>
          <w:rFonts w:ascii="Arabic Typesetting" w:hAnsi="Arabic Typesetting" w:cs="Arabic Typesetting"/>
          <w:sz w:val="34"/>
          <w:szCs w:val="34"/>
          <w:rtl/>
          <w:lang w:bidi="ar-EG"/>
        </w:rPr>
        <w:t xml:space="preserve">الميزانية النهائية بعد التحويلات </w:t>
      </w:r>
      <w:r w:rsidR="00507DE2">
        <w:rPr>
          <w:rFonts w:ascii="Arabic Typesetting" w:hAnsi="Arabic Typesetting" w:cs="Arabic Typesetting"/>
          <w:sz w:val="34"/>
          <w:szCs w:val="34"/>
          <w:rtl/>
          <w:lang w:bidi="ar-EG"/>
        </w:rPr>
        <w:t>2014/15</w:t>
      </w:r>
      <w:r w:rsidR="00B31868" w:rsidRPr="00B31868">
        <w:rPr>
          <w:rFonts w:ascii="Arabic Typesetting" w:hAnsi="Arabic Typesetting" w:cs="Arabic Typesetting"/>
          <w:sz w:val="34"/>
          <w:szCs w:val="34"/>
          <w:rtl/>
          <w:lang w:bidi="ar-EG"/>
        </w:rPr>
        <w:t xml:space="preserve"> زيادة صافية في موارد الموظفين </w:t>
      </w:r>
      <w:r w:rsidR="000036F7">
        <w:rPr>
          <w:rFonts w:ascii="Arabic Typesetting" w:hAnsi="Arabic Typesetting" w:cs="Arabic Typesetting" w:hint="cs"/>
          <w:sz w:val="34"/>
          <w:szCs w:val="34"/>
          <w:rtl/>
          <w:lang w:bidi="ar-EG"/>
        </w:rPr>
        <w:t>ويعزى</w:t>
      </w:r>
      <w:r w:rsidR="00B31868" w:rsidRPr="00B31868">
        <w:rPr>
          <w:rFonts w:ascii="Arabic Typesetting" w:hAnsi="Arabic Typesetting" w:cs="Arabic Typesetting"/>
          <w:sz w:val="34"/>
          <w:szCs w:val="34"/>
          <w:rtl/>
          <w:lang w:bidi="ar-EG"/>
        </w:rPr>
        <w:t xml:space="preserve"> ذلك </w:t>
      </w:r>
      <w:r w:rsidR="000036F7">
        <w:rPr>
          <w:rFonts w:ascii="Arabic Typesetting" w:hAnsi="Arabic Typesetting" w:cs="Arabic Typesetting" w:hint="cs"/>
          <w:sz w:val="34"/>
          <w:szCs w:val="34"/>
          <w:rtl/>
          <w:lang w:bidi="ar-EG"/>
        </w:rPr>
        <w:t>أساساً</w:t>
      </w:r>
      <w:r w:rsidR="00B31868" w:rsidRPr="00B31868">
        <w:rPr>
          <w:rFonts w:ascii="Arabic Typesetting" w:hAnsi="Arabic Typesetting" w:cs="Arabic Typesetting"/>
          <w:sz w:val="34"/>
          <w:szCs w:val="34"/>
          <w:rtl/>
          <w:lang w:bidi="ar-EG"/>
        </w:rPr>
        <w:t xml:space="preserve"> إلى </w:t>
      </w:r>
      <w:r w:rsidR="00E4700C">
        <w:rPr>
          <w:rFonts w:ascii="Arabic Typesetting" w:hAnsi="Arabic Typesetting" w:cs="Arabic Typesetting" w:hint="cs"/>
          <w:sz w:val="34"/>
          <w:szCs w:val="34"/>
          <w:rtl/>
          <w:lang w:bidi="ar-EG"/>
        </w:rPr>
        <w:t>"1" </w:t>
      </w:r>
      <w:r w:rsidR="00B31868" w:rsidRPr="00B31868">
        <w:rPr>
          <w:rFonts w:ascii="Arabic Typesetting" w:hAnsi="Arabic Typesetting" w:cs="Arabic Typesetting"/>
          <w:sz w:val="34"/>
          <w:szCs w:val="34"/>
          <w:rtl/>
          <w:lang w:bidi="ar-EG"/>
        </w:rPr>
        <w:t xml:space="preserve">النقل المؤقت لأحد الموظفين من البرنامج 10 </w:t>
      </w:r>
      <w:r w:rsidR="00E4700C">
        <w:rPr>
          <w:rFonts w:ascii="Arabic Typesetting" w:hAnsi="Arabic Typesetting" w:cs="Arabic Typesetting" w:hint="cs"/>
          <w:sz w:val="34"/>
          <w:szCs w:val="34"/>
          <w:rtl/>
          <w:lang w:bidi="ar-EG"/>
        </w:rPr>
        <w:t>(</w:t>
      </w:r>
      <w:r w:rsidR="00E4700C" w:rsidRPr="00E4700C">
        <w:rPr>
          <w:rFonts w:ascii="Arabic Typesetting" w:hAnsi="Arabic Typesetting" w:cs="Arabic Typesetting"/>
          <w:sz w:val="34"/>
          <w:szCs w:val="34"/>
          <w:rtl/>
          <w:lang w:bidi="ar-EG"/>
        </w:rPr>
        <w:t>التعاون مع بعض البلدان في أوروبا وآسيا</w:t>
      </w:r>
      <w:r w:rsidR="00E4700C">
        <w:rPr>
          <w:rFonts w:ascii="Arabic Typesetting" w:hAnsi="Arabic Typesetting" w:cs="Arabic Typesetting" w:hint="cs"/>
          <w:sz w:val="34"/>
          <w:szCs w:val="34"/>
          <w:rtl/>
          <w:lang w:bidi="ar-EG"/>
        </w:rPr>
        <w:t>)</w:t>
      </w:r>
      <w:r w:rsidR="00E4700C" w:rsidRPr="00E4700C">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sz w:val="34"/>
          <w:szCs w:val="34"/>
          <w:rtl/>
          <w:lang w:bidi="ar-EG"/>
        </w:rPr>
        <w:t>إلى البرنامج 31 لتقديم دعم إضافي لاجتماعات الفريق العامل وأنشطته الترويجية</w:t>
      </w:r>
      <w:r w:rsidR="00E4700C">
        <w:rPr>
          <w:rFonts w:ascii="Arabic Typesetting" w:hAnsi="Arabic Typesetting" w:cs="Arabic Typesetting" w:hint="cs"/>
          <w:sz w:val="34"/>
          <w:szCs w:val="34"/>
          <w:rtl/>
          <w:lang w:bidi="ar-EG"/>
        </w:rPr>
        <w:t>؛ "2" وتحويل موارد موظفين إضافية منها وظيفتان مؤقتتان من البرنامجين 9 و19 إلى البرنامج 31 لدعم طلبات الفحص الإضافية الناجمة عن انضمام اليابان وجمهورية كوريا والولايات المتحدة الأمريكية.</w:t>
      </w:r>
      <w:r w:rsidR="00E4700C" w:rsidRPr="00B31868">
        <w:rPr>
          <w:rFonts w:ascii="Arabic Typesetting" w:hAnsi="Arabic Typesetting" w:cs="Arabic Typesetting"/>
          <w:sz w:val="34"/>
          <w:szCs w:val="34"/>
          <w:rtl/>
          <w:lang w:bidi="ar-EG"/>
        </w:rPr>
        <w:t xml:space="preserve"> </w:t>
      </w:r>
      <w:r w:rsidR="00E4700C">
        <w:rPr>
          <w:rFonts w:ascii="Arabic Typesetting" w:hAnsi="Arabic Typesetting" w:cs="Arabic Typesetting" w:hint="cs"/>
          <w:sz w:val="34"/>
          <w:szCs w:val="34"/>
          <w:rtl/>
          <w:lang w:bidi="ar-EG"/>
        </w:rPr>
        <w:t>ويتبين ذلك</w:t>
      </w:r>
      <w:r w:rsidR="00B31868" w:rsidRPr="00B31868">
        <w:rPr>
          <w:rFonts w:ascii="Arabic Typesetting" w:hAnsi="Arabic Typesetting" w:cs="Arabic Typesetting"/>
          <w:sz w:val="34"/>
          <w:szCs w:val="34"/>
          <w:rtl/>
          <w:lang w:bidi="ar-EG"/>
        </w:rPr>
        <w:t xml:space="preserve"> في إطار النتيجة ھ5.2 (</w:t>
      </w:r>
      <w:r w:rsidR="00A601E3" w:rsidRPr="00A601E3">
        <w:rPr>
          <w:rFonts w:ascii="Arabic Typesetting" w:hAnsi="Arabic Typesetting" w:cs="Arabic Typesetting"/>
          <w:sz w:val="34"/>
          <w:szCs w:val="34"/>
          <w:rtl/>
          <w:lang w:bidi="ar-EG"/>
        </w:rPr>
        <w:t>تحسين الإنتاجية وجودة الخدمات في عمليات نظام لاهاي</w:t>
      </w:r>
      <w:r w:rsidR="00B31868" w:rsidRPr="00B31868">
        <w:rPr>
          <w:rFonts w:ascii="Arabic Typesetting" w:hAnsi="Arabic Typesetting" w:cs="Arabic Typesetting"/>
          <w:sz w:val="34"/>
          <w:szCs w:val="34"/>
          <w:rtl/>
          <w:lang w:bidi="ar-EG"/>
        </w:rPr>
        <w:t>)</w:t>
      </w:r>
      <w:r w:rsidR="00B31868" w:rsidRPr="00B31868">
        <w:rPr>
          <w:rFonts w:ascii="Arabic Typesetting" w:hAnsi="Arabic Typesetting" w:cs="Arabic Typesetting" w:hint="cs"/>
          <w:sz w:val="34"/>
          <w:szCs w:val="34"/>
          <w:rtl/>
          <w:lang w:bidi="ar-EG"/>
        </w:rPr>
        <w:t>.</w:t>
      </w:r>
    </w:p>
    <w:p w:rsidR="00E4700C" w:rsidRDefault="00B31868" w:rsidP="009A3712">
      <w:pPr>
        <w:numPr>
          <w:ilvl w:val="0"/>
          <w:numId w:val="24"/>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و</w:t>
      </w:r>
      <w:r w:rsidR="00E4700C">
        <w:rPr>
          <w:rFonts w:ascii="Arabic Typesetting" w:hAnsi="Arabic Typesetting" w:cs="Arabic Typesetting" w:hint="cs"/>
          <w:sz w:val="34"/>
          <w:szCs w:val="34"/>
          <w:rtl/>
          <w:lang w:bidi="ar-EG"/>
        </w:rPr>
        <w:t>يعزى</w:t>
      </w:r>
      <w:r w:rsidR="009A3092">
        <w:rPr>
          <w:rFonts w:ascii="Arabic Typesetting" w:hAnsi="Arabic Typesetting" w:cs="Arabic Typesetting" w:hint="cs"/>
          <w:sz w:val="34"/>
          <w:szCs w:val="34"/>
          <w:rtl/>
          <w:lang w:bidi="ar-EG"/>
        </w:rPr>
        <w:t xml:space="preserve"> أساساً</w:t>
      </w:r>
      <w:r w:rsidR="00E4700C">
        <w:rPr>
          <w:rFonts w:ascii="Arabic Typesetting" w:hAnsi="Arabic Typesetting" w:cs="Arabic Typesetting" w:hint="cs"/>
          <w:sz w:val="34"/>
          <w:szCs w:val="34"/>
          <w:rtl/>
          <w:lang w:bidi="ar-EG"/>
        </w:rPr>
        <w:t xml:space="preserve"> </w:t>
      </w:r>
      <w:r w:rsidRPr="00B31868">
        <w:rPr>
          <w:rFonts w:ascii="Arabic Typesetting" w:hAnsi="Arabic Typesetting" w:cs="Arabic Typesetting"/>
          <w:sz w:val="34"/>
          <w:szCs w:val="34"/>
          <w:rtl/>
          <w:lang w:bidi="ar-EG"/>
        </w:rPr>
        <w:t xml:space="preserve">الانخفاض الصافي في </w:t>
      </w:r>
      <w:r w:rsidR="0055755E">
        <w:rPr>
          <w:rFonts w:ascii="Arabic Typesetting" w:hAnsi="Arabic Typesetting" w:cs="Arabic Typesetting" w:hint="cs"/>
          <w:sz w:val="34"/>
          <w:szCs w:val="34"/>
          <w:rtl/>
          <w:lang w:bidi="ar-EG"/>
        </w:rPr>
        <w:t xml:space="preserve">مخصصات </w:t>
      </w:r>
      <w:r w:rsidR="009F5F08">
        <w:rPr>
          <w:rFonts w:ascii="Arabic Typesetting" w:hAnsi="Arabic Typesetting" w:cs="Arabic Typesetting"/>
          <w:sz w:val="34"/>
          <w:szCs w:val="34"/>
          <w:rtl/>
          <w:lang w:bidi="ar-EG"/>
        </w:rPr>
        <w:t>خلاف موارد الموظفين</w:t>
      </w:r>
      <w:r w:rsidRPr="00B31868">
        <w:rPr>
          <w:rFonts w:ascii="Arabic Typesetting" w:hAnsi="Arabic Typesetting" w:cs="Arabic Typesetting"/>
          <w:sz w:val="34"/>
          <w:szCs w:val="34"/>
          <w:rtl/>
          <w:lang w:bidi="ar-EG"/>
        </w:rPr>
        <w:t xml:space="preserve"> </w:t>
      </w:r>
      <w:r w:rsidR="00E4700C">
        <w:rPr>
          <w:rFonts w:ascii="Arabic Typesetting" w:hAnsi="Arabic Typesetting" w:cs="Arabic Typesetting" w:hint="cs"/>
          <w:sz w:val="34"/>
          <w:szCs w:val="34"/>
          <w:rtl/>
          <w:lang w:bidi="ar-EG"/>
        </w:rPr>
        <w:t>في إطار النتيجة 4.2 (</w:t>
      </w:r>
      <w:r w:rsidR="00E4700C" w:rsidRPr="00E4700C">
        <w:rPr>
          <w:rFonts w:ascii="Arabic Typesetting" w:hAnsi="Arabic Typesetting" w:cs="Arabic Typesetting"/>
          <w:sz w:val="34"/>
          <w:szCs w:val="34"/>
          <w:rtl/>
          <w:lang w:bidi="ar-EG"/>
        </w:rPr>
        <w:t>استخدام نظام لاهاي على نطاق أوسع ونحو أفضل</w:t>
      </w:r>
      <w:r w:rsidR="00E4700C" w:rsidRPr="00E4700C">
        <w:rPr>
          <w:rFonts w:ascii="Arabic Typesetting" w:hAnsi="Arabic Typesetting" w:cs="Arabic Typesetting" w:hint="cs"/>
          <w:sz w:val="34"/>
          <w:szCs w:val="34"/>
          <w:rtl/>
          <w:lang w:bidi="ar-EG"/>
        </w:rPr>
        <w:t xml:space="preserve">) إلى </w:t>
      </w:r>
      <w:r w:rsidRPr="00B31868">
        <w:rPr>
          <w:rFonts w:ascii="Arabic Typesetting" w:hAnsi="Arabic Typesetting" w:cs="Arabic Typesetting"/>
          <w:sz w:val="34"/>
          <w:szCs w:val="34"/>
          <w:rtl/>
          <w:lang w:bidi="ar-EG"/>
        </w:rPr>
        <w:t xml:space="preserve">"1" نقل </w:t>
      </w:r>
      <w:r w:rsidR="0055755E">
        <w:rPr>
          <w:rFonts w:ascii="Arabic Typesetting" w:hAnsi="Arabic Typesetting" w:cs="Arabic Typesetting" w:hint="cs"/>
          <w:sz w:val="34"/>
          <w:szCs w:val="34"/>
          <w:rtl/>
          <w:lang w:bidi="ar-EG"/>
        </w:rPr>
        <w:t xml:space="preserve">مخصصات من </w:t>
      </w:r>
      <w:r w:rsidR="009F5F08">
        <w:rPr>
          <w:rFonts w:ascii="Arabic Typesetting" w:hAnsi="Arabic Typesetting" w:cs="Arabic Typesetting"/>
          <w:sz w:val="34"/>
          <w:szCs w:val="34"/>
          <w:rtl/>
          <w:lang w:bidi="ar-EG"/>
        </w:rPr>
        <w:t>خلاف موارد الموظفين</w:t>
      </w:r>
      <w:r w:rsidRPr="00B31868">
        <w:rPr>
          <w:rFonts w:ascii="Arabic Typesetting" w:hAnsi="Arabic Typesetting" w:cs="Arabic Typesetting"/>
          <w:sz w:val="34"/>
          <w:szCs w:val="34"/>
          <w:rtl/>
          <w:lang w:bidi="ar-EG"/>
        </w:rPr>
        <w:t xml:space="preserve"> الخاصة بالتدريب الداخلي (إلى البرنامج 23</w:t>
      </w:r>
      <w:r w:rsidR="00E4700C">
        <w:rPr>
          <w:rFonts w:ascii="Arabic Typesetting" w:hAnsi="Arabic Typesetting" w:cs="Arabic Typesetting" w:hint="cs"/>
          <w:sz w:val="34"/>
          <w:szCs w:val="34"/>
          <w:rtl/>
          <w:lang w:bidi="ar-EG"/>
        </w:rPr>
        <w:t xml:space="preserve"> (الموارد البشرية)</w:t>
      </w:r>
      <w:r w:rsidRPr="00B31868">
        <w:rPr>
          <w:rFonts w:ascii="Arabic Typesetting" w:hAnsi="Arabic Typesetting" w:cs="Arabic Typesetting"/>
          <w:sz w:val="34"/>
          <w:szCs w:val="34"/>
          <w:rtl/>
          <w:lang w:bidi="ar-EG"/>
        </w:rPr>
        <w:t xml:space="preserve"> الذي يدير المتدربين مركزياً) لدعم العمل الخاص بانضمام </w:t>
      </w:r>
      <w:r w:rsidRPr="00B31868">
        <w:rPr>
          <w:rFonts w:ascii="Arabic Typesetting" w:hAnsi="Arabic Typesetting" w:cs="Arabic Typesetting" w:hint="cs"/>
          <w:sz w:val="34"/>
          <w:szCs w:val="34"/>
          <w:rtl/>
          <w:lang w:bidi="ar-EG"/>
        </w:rPr>
        <w:t xml:space="preserve">أطراف </w:t>
      </w:r>
      <w:r w:rsidRPr="00B31868">
        <w:rPr>
          <w:rFonts w:ascii="Arabic Typesetting" w:hAnsi="Arabic Typesetting" w:cs="Arabic Typesetting"/>
          <w:sz w:val="34"/>
          <w:szCs w:val="34"/>
          <w:rtl/>
          <w:lang w:bidi="ar-EG"/>
        </w:rPr>
        <w:t>جديدة</w:t>
      </w:r>
      <w:r w:rsidR="00E4700C">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"2</w:t>
      </w:r>
      <w:r w:rsidR="00E4700C" w:rsidRPr="00B31868">
        <w:rPr>
          <w:rFonts w:ascii="Arabic Typesetting" w:hAnsi="Arabic Typesetting" w:cs="Arabic Typesetting"/>
          <w:sz w:val="34"/>
          <w:szCs w:val="34"/>
          <w:rtl/>
          <w:lang w:bidi="ar-EG"/>
        </w:rPr>
        <w:t>"</w:t>
      </w:r>
      <w:r w:rsidR="00E4700C">
        <w:rPr>
          <w:rFonts w:ascii="Arabic Typesetting" w:hAnsi="Arabic Typesetting" w:cs="Arabic Typesetting" w:hint="cs"/>
          <w:sz w:val="34"/>
          <w:szCs w:val="34"/>
          <w:rtl/>
          <w:lang w:bidi="ar-EG"/>
        </w:rPr>
        <w:t> </w:t>
      </w:r>
      <w:r w:rsidR="009A3092">
        <w:rPr>
          <w:rFonts w:ascii="Arabic Typesetting" w:hAnsi="Arabic Typesetting" w:cs="Arabic Typesetting" w:hint="cs"/>
          <w:sz w:val="34"/>
          <w:szCs w:val="34"/>
          <w:rtl/>
          <w:lang w:bidi="ar-EG"/>
        </w:rPr>
        <w:t>و</w:t>
      </w:r>
      <w:r w:rsidR="00E4700C">
        <w:rPr>
          <w:rFonts w:ascii="Arabic Typesetting" w:hAnsi="Arabic Typesetting" w:cs="Arabic Typesetting" w:hint="cs"/>
          <w:sz w:val="34"/>
          <w:szCs w:val="34"/>
          <w:rtl/>
          <w:lang w:bidi="ar-EG"/>
        </w:rPr>
        <w:t>تحويل أموال إلى البرنامج 6 (نظاما مدريد ولشبونة) لدعم الأعمال المتعلقة بتكنولوجيا المعلومات فضلاً عن تغطية تكاليف إيفاد مندوبين إضافيين إلى جمعيات اتحاد مدريد واتحاد لاهاي واتحاد</w:t>
      </w:r>
      <w:r w:rsidR="008A6D4E">
        <w:rPr>
          <w:rFonts w:ascii="Arabic Typesetting" w:hAnsi="Arabic Typesetting" w:cs="Arabic Typesetting" w:hint="eastAsia"/>
          <w:sz w:val="34"/>
          <w:szCs w:val="34"/>
          <w:rtl/>
          <w:lang w:bidi="ar-EG"/>
        </w:rPr>
        <w:t> </w:t>
      </w:r>
      <w:r w:rsidR="00E4700C">
        <w:rPr>
          <w:rFonts w:ascii="Arabic Typesetting" w:hAnsi="Arabic Typesetting" w:cs="Arabic Typesetting" w:hint="cs"/>
          <w:sz w:val="34"/>
          <w:szCs w:val="34"/>
          <w:rtl/>
          <w:lang w:bidi="ar-EG"/>
        </w:rPr>
        <w:t>لشبونة نتيجة لتوسع تلك الأنظمة.</w:t>
      </w:r>
    </w:p>
    <w:p w:rsidR="00E4700C" w:rsidRPr="00706F20" w:rsidRDefault="00E4700C" w:rsidP="00086C3F">
      <w:pPr>
        <w:keepNext/>
        <w:bidi/>
        <w:spacing w:after="120" w:line="340" w:lineRule="exact"/>
        <w:rPr>
          <w:rFonts w:ascii="Arabic Typesetting" w:hAnsi="Arabic Typesetting" w:cs="Arabic Typesetting"/>
          <w:sz w:val="34"/>
          <w:szCs w:val="34"/>
          <w:rtl/>
          <w:lang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B31868" w:rsidRDefault="00B31868" w:rsidP="009A3712">
      <w:pPr>
        <w:numPr>
          <w:ilvl w:val="0"/>
          <w:numId w:val="24"/>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بلغ</w:t>
      </w:r>
      <w:r w:rsidR="00B61F74">
        <w:rPr>
          <w:rFonts w:ascii="Arabic Typesetting" w:hAnsi="Arabic Typesetting" w:cs="Arabic Typesetting" w:hint="cs"/>
          <w:sz w:val="34"/>
          <w:szCs w:val="34"/>
          <w:rtl/>
        </w:rPr>
        <w:t xml:space="preserve">ت نسبة استخدام مخصصات </w:t>
      </w:r>
      <w:r w:rsidRPr="00B31868">
        <w:rPr>
          <w:rFonts w:ascii="Arabic Typesetting" w:hAnsi="Arabic Typesetting" w:cs="Arabic Typesetting"/>
          <w:sz w:val="34"/>
          <w:szCs w:val="34"/>
          <w:rtl/>
          <w:lang w:bidi="ar-EG"/>
        </w:rPr>
        <w:t xml:space="preserve">خلاف </w:t>
      </w:r>
      <w:r w:rsidR="00B61F74">
        <w:rPr>
          <w:rFonts w:ascii="Arabic Typesetting" w:hAnsi="Arabic Typesetting" w:cs="Arabic Typesetting" w:hint="cs"/>
          <w:sz w:val="34"/>
          <w:szCs w:val="34"/>
          <w:rtl/>
          <w:lang w:bidi="ar-EG"/>
        </w:rPr>
        <w:t xml:space="preserve">موارد </w:t>
      </w:r>
      <w:r w:rsidRPr="00B31868">
        <w:rPr>
          <w:rFonts w:ascii="Arabic Typesetting" w:hAnsi="Arabic Typesetting" w:cs="Arabic Typesetting"/>
          <w:sz w:val="34"/>
          <w:szCs w:val="34"/>
          <w:rtl/>
          <w:lang w:bidi="ar-EG"/>
        </w:rPr>
        <w:t xml:space="preserve">الموظفين </w:t>
      </w:r>
      <w:r w:rsidR="00BB3998">
        <w:rPr>
          <w:rFonts w:ascii="Arabic Typesetting" w:hAnsi="Arabic Typesetting" w:cs="Arabic Typesetting" w:hint="cs"/>
          <w:sz w:val="34"/>
          <w:szCs w:val="34"/>
          <w:rtl/>
          <w:lang w:bidi="ar-EG"/>
        </w:rPr>
        <w:t>81</w:t>
      </w:r>
      <w:r w:rsidRPr="00B31868">
        <w:rPr>
          <w:rFonts w:ascii="Arabic Typesetting" w:hAnsi="Arabic Typesetting" w:cs="Arabic Typesetting"/>
          <w:sz w:val="34"/>
          <w:szCs w:val="34"/>
          <w:rtl/>
          <w:lang w:bidi="ar-EG"/>
        </w:rPr>
        <w:t xml:space="preserve">% من </w:t>
      </w:r>
      <w:r w:rsidR="009B25F8">
        <w:rPr>
          <w:rFonts w:ascii="Arabic Typesetting" w:hAnsi="Arabic Typesetting" w:cs="Arabic Typesetting" w:hint="cs"/>
          <w:sz w:val="34"/>
          <w:szCs w:val="34"/>
          <w:rtl/>
          <w:lang w:bidi="ar-EG"/>
        </w:rPr>
        <w:t>الميزانية النهائية</w:t>
      </w:r>
      <w:r w:rsidRPr="00B31868">
        <w:rPr>
          <w:rFonts w:ascii="Arabic Typesetting" w:hAnsi="Arabic Typesetting" w:cs="Arabic Typesetting"/>
          <w:sz w:val="34"/>
          <w:szCs w:val="34"/>
          <w:rtl/>
          <w:lang w:bidi="ar-EG"/>
        </w:rPr>
        <w:t xml:space="preserve"> بعد التحويلات</w:t>
      </w:r>
      <w:r w:rsidR="009B25F8">
        <w:rPr>
          <w:rFonts w:ascii="Arabic Typesetting" w:hAnsi="Arabic Typesetting" w:cs="Arabic Typesetting" w:hint="cs"/>
          <w:sz w:val="34"/>
          <w:szCs w:val="34"/>
          <w:rtl/>
          <w:lang w:bidi="ar-EG"/>
        </w:rPr>
        <w:t xml:space="preserve"> 2014/15</w:t>
      </w:r>
      <w:r w:rsidRPr="00B31868">
        <w:rPr>
          <w:rFonts w:ascii="Arabic Typesetting" w:hAnsi="Arabic Typesetting" w:cs="Arabic Typesetting"/>
          <w:sz w:val="34"/>
          <w:szCs w:val="34"/>
          <w:rtl/>
          <w:lang w:bidi="ar-EG"/>
        </w:rPr>
        <w:t xml:space="preserve">. </w:t>
      </w:r>
      <w:r w:rsidR="009B25F8" w:rsidRPr="00B31868">
        <w:rPr>
          <w:rFonts w:ascii="Arabic Typesetting" w:hAnsi="Arabic Typesetting" w:cs="Arabic Typesetting"/>
          <w:sz w:val="34"/>
          <w:szCs w:val="34"/>
          <w:rtl/>
          <w:lang w:bidi="ar-EG"/>
        </w:rPr>
        <w:t>و</w:t>
      </w:r>
      <w:r w:rsidR="009B25F8">
        <w:rPr>
          <w:rFonts w:ascii="Arabic Typesetting" w:hAnsi="Arabic Typesetting" w:cs="Arabic Typesetting" w:hint="cs"/>
          <w:sz w:val="34"/>
          <w:szCs w:val="34"/>
          <w:rtl/>
          <w:lang w:bidi="ar-EG"/>
        </w:rPr>
        <w:t>يعزى ذلك أساساً إلى</w:t>
      </w:r>
      <w:r w:rsidRPr="00B31868">
        <w:rPr>
          <w:rFonts w:ascii="Arabic Typesetting" w:hAnsi="Arabic Typesetting" w:cs="Arabic Typesetting"/>
          <w:sz w:val="34"/>
          <w:szCs w:val="34"/>
          <w:rtl/>
          <w:lang w:bidi="ar-EG"/>
        </w:rPr>
        <w:t xml:space="preserve"> حدوث تأخير في العمل المتعلق بتكنولوجيا المعلومات بسبب تأجيل انضمام بعض الأطراف المتعاقدة في إطار النتيجة ھ4.2 (</w:t>
      </w:r>
      <w:r w:rsidR="00B850DD" w:rsidRPr="00E4700C">
        <w:rPr>
          <w:rFonts w:ascii="Arabic Typesetting" w:hAnsi="Arabic Typesetting" w:cs="Arabic Typesetting"/>
          <w:sz w:val="34"/>
          <w:szCs w:val="34"/>
          <w:rtl/>
          <w:lang w:bidi="ar-EG"/>
        </w:rPr>
        <w:t>استخدام نظام لاهاي على نطاق أوسع ونحو أفضل</w:t>
      </w:r>
      <w:r w:rsidRPr="00B31868">
        <w:rPr>
          <w:rFonts w:ascii="Arabic Typesetting" w:hAnsi="Arabic Typesetting" w:cs="Arabic Typesetting"/>
          <w:sz w:val="34"/>
          <w:szCs w:val="34"/>
          <w:rtl/>
          <w:lang w:bidi="ar-EG"/>
        </w:rPr>
        <w:t>).</w:t>
      </w:r>
    </w:p>
    <w:p w:rsidR="00B31868" w:rsidRPr="00365D19" w:rsidRDefault="00B31868" w:rsidP="00086C3F">
      <w:pPr>
        <w:pStyle w:val="Heading4AR"/>
        <w:rPr>
          <w:rtl/>
        </w:rPr>
      </w:pPr>
      <w:bookmarkStart w:id="46" w:name="_Toc450635340"/>
      <w:bookmarkStart w:id="47" w:name="_Toc450635594"/>
      <w:bookmarkStart w:id="48" w:name="_Toc455393374"/>
      <w:r w:rsidRPr="00365D19">
        <w:rPr>
          <w:rFonts w:hint="cs"/>
          <w:rtl/>
        </w:rPr>
        <w:lastRenderedPageBreak/>
        <w:t>مرفق البرنامج 31:</w:t>
      </w:r>
      <w:r w:rsidRPr="00365D19">
        <w:rPr>
          <w:rFonts w:hint="cs"/>
          <w:rtl/>
        </w:rPr>
        <w:tab/>
      </w:r>
      <w:r w:rsidRPr="00365D19">
        <w:rPr>
          <w:rtl/>
        </w:rPr>
        <w:t>مؤشرات عمليات نظام لاهاي</w:t>
      </w:r>
      <w:bookmarkEnd w:id="46"/>
      <w:bookmarkEnd w:id="47"/>
      <w:bookmarkEnd w:id="48"/>
    </w:p>
    <w:p w:rsidR="00E206DD" w:rsidRDefault="00B31868" w:rsidP="00E206DD">
      <w:pPr>
        <w:keepNext/>
        <w:bidi/>
        <w:spacing w:after="120" w:line="380" w:lineRule="exact"/>
        <w:rPr>
          <w:rFonts w:ascii="Arabic Typesetting" w:hAnsi="Arabic Typesetting" w:cs="Arabic Typesetting"/>
          <w:sz w:val="36"/>
          <w:szCs w:val="36"/>
          <w:rtl/>
          <w:lang w:val="fr-CH"/>
        </w:rPr>
      </w:pPr>
      <w:r w:rsidRPr="00FD7897">
        <w:rPr>
          <w:rFonts w:ascii="Arabic Typesetting" w:hAnsi="Arabic Typesetting" w:cs="Arabic Typesetting"/>
          <w:sz w:val="36"/>
          <w:szCs w:val="36"/>
          <w:rtl/>
          <w:lang w:val="fr-CH"/>
        </w:rPr>
        <w:t xml:space="preserve">مؤشرات </w:t>
      </w:r>
      <w:r w:rsidR="00BB3998" w:rsidRPr="00FD7897">
        <w:rPr>
          <w:rFonts w:ascii="Arabic Typesetting" w:hAnsi="Arabic Typesetting" w:cs="Arabic Typesetting" w:hint="cs"/>
          <w:sz w:val="36"/>
          <w:szCs w:val="36"/>
          <w:rtl/>
          <w:lang w:val="fr-CH"/>
        </w:rPr>
        <w:t>الأداء ل</w:t>
      </w:r>
      <w:r w:rsidRPr="00FD7897">
        <w:rPr>
          <w:rFonts w:ascii="Arabic Typesetting" w:hAnsi="Arabic Typesetting" w:cs="Arabic Typesetting" w:hint="cs"/>
          <w:sz w:val="36"/>
          <w:szCs w:val="36"/>
          <w:rtl/>
          <w:lang w:val="fr-CH"/>
        </w:rPr>
        <w:t>لنتيجة المرتقبة</w:t>
      </w:r>
    </w:p>
    <w:p w:rsidR="00B31868" w:rsidRPr="00FD7897" w:rsidRDefault="00B31868" w:rsidP="00E206DD">
      <w:pPr>
        <w:keepNext/>
        <w:bidi/>
        <w:spacing w:after="120" w:line="380" w:lineRule="exact"/>
        <w:rPr>
          <w:rFonts w:ascii="Arabic Typesetting" w:hAnsi="Arabic Typesetting" w:cs="Arabic Typesetting"/>
          <w:sz w:val="36"/>
          <w:szCs w:val="36"/>
          <w:rtl/>
          <w:lang w:val="fr-CH"/>
        </w:rPr>
      </w:pPr>
      <w:r w:rsidRPr="00FD7897">
        <w:rPr>
          <w:rFonts w:ascii="Arabic Typesetting" w:hAnsi="Arabic Typesetting" w:cs="Arabic Typesetting" w:hint="cs"/>
          <w:sz w:val="36"/>
          <w:szCs w:val="36"/>
          <w:rtl/>
          <w:lang w:val="fr-CH"/>
        </w:rPr>
        <w:t>"</w:t>
      </w:r>
      <w:r w:rsidR="00A0719D">
        <w:rPr>
          <w:rFonts w:ascii="Arabic Typesetting" w:hAnsi="Arabic Typesetting" w:cs="Arabic Typesetting"/>
          <w:sz w:val="36"/>
          <w:szCs w:val="36"/>
          <w:rtl/>
          <w:lang w:val="fr-CH"/>
        </w:rPr>
        <w:t>تحسين الإنتاجية وجودة الخدمات في عمليات نظام لاهاي</w:t>
      </w:r>
      <w:r w:rsidRPr="00FD7897">
        <w:rPr>
          <w:rFonts w:ascii="Arabic Typesetting" w:hAnsi="Arabic Typesetting" w:cs="Arabic Typesetting" w:hint="cs"/>
          <w:sz w:val="36"/>
          <w:szCs w:val="36"/>
          <w:rtl/>
          <w:lang w:val="fr-CH"/>
        </w:rPr>
        <w:t>"</w:t>
      </w:r>
    </w:p>
    <w:p w:rsidR="00B31868" w:rsidRPr="008A6D4E" w:rsidRDefault="00B31868" w:rsidP="009A3712">
      <w:pPr>
        <w:numPr>
          <w:ilvl w:val="0"/>
          <w:numId w:val="33"/>
        </w:numPr>
        <w:bidi/>
        <w:spacing w:after="120" w:line="340" w:lineRule="exact"/>
        <w:ind w:left="0" w:firstLine="0"/>
        <w:rPr>
          <w:rFonts w:ascii="Arabic Typesetting" w:hAnsi="Arabic Typesetting" w:cs="Arabic Typesetting"/>
          <w:sz w:val="34"/>
          <w:szCs w:val="34"/>
        </w:rPr>
      </w:pPr>
      <w:r w:rsidRPr="008A6D4E">
        <w:rPr>
          <w:rFonts w:ascii="Arabic Typesetting" w:hAnsi="Arabic Typesetting" w:cs="Arabic Typesetting" w:hint="cs"/>
          <w:sz w:val="34"/>
          <w:szCs w:val="34"/>
          <w:rtl/>
        </w:rPr>
        <w:t xml:space="preserve">من المهم </w:t>
      </w:r>
      <w:r w:rsidRPr="008A6D4E">
        <w:rPr>
          <w:rFonts w:ascii="Arabic Typesetting" w:hAnsi="Arabic Typesetting" w:cs="Arabic Typesetting" w:hint="cs"/>
          <w:sz w:val="34"/>
          <w:szCs w:val="34"/>
          <w:rtl/>
          <w:lang w:val="fr-CH"/>
        </w:rPr>
        <w:t>النظر</w:t>
      </w:r>
      <w:r w:rsidRPr="008A6D4E">
        <w:rPr>
          <w:rFonts w:ascii="Arabic Typesetting" w:hAnsi="Arabic Typesetting" w:cs="Arabic Typesetting" w:hint="cs"/>
          <w:sz w:val="34"/>
          <w:szCs w:val="34"/>
          <w:rtl/>
        </w:rPr>
        <w:t xml:space="preserve"> في تطورات العوامل التالية، كمعلومات أساسية عن مؤشرات الأداء للنتيجة المرتقبة "</w:t>
      </w:r>
      <w:r w:rsidR="00A0719D">
        <w:rPr>
          <w:rFonts w:ascii="Arabic Typesetting" w:hAnsi="Arabic Typesetting" w:cs="Arabic Typesetting"/>
          <w:sz w:val="34"/>
          <w:szCs w:val="34"/>
          <w:rtl/>
        </w:rPr>
        <w:t>تحسين الإنتاجية وجودة الخدمات في عمليات نظام لاهاي</w:t>
      </w:r>
      <w:r w:rsidRPr="008A6D4E">
        <w:rPr>
          <w:rFonts w:ascii="Arabic Typesetting" w:hAnsi="Arabic Typesetting" w:cs="Arabic Typesetting"/>
          <w:sz w:val="34"/>
          <w:szCs w:val="34"/>
          <w:rtl/>
        </w:rPr>
        <w:t>"</w:t>
      </w:r>
      <w:r w:rsidR="00A214AF" w:rsidRPr="008A6D4E">
        <w:rPr>
          <w:rFonts w:ascii="Arabic Typesetting" w:hAnsi="Arabic Typesetting" w:cs="Arabic Typesetting" w:hint="cs"/>
          <w:sz w:val="34"/>
          <w:szCs w:val="34"/>
          <w:rtl/>
        </w:rPr>
        <w:t>:</w:t>
      </w:r>
    </w:p>
    <w:p w:rsidR="00B31868" w:rsidRPr="00CE71B5" w:rsidRDefault="00B31868" w:rsidP="009A3712">
      <w:pPr>
        <w:numPr>
          <w:ilvl w:val="0"/>
          <w:numId w:val="30"/>
        </w:numPr>
        <w:bidi/>
        <w:spacing w:after="120" w:line="340" w:lineRule="exact"/>
        <w:ind w:left="714" w:hanging="357"/>
        <w:rPr>
          <w:rFonts w:ascii="Arabic Typesetting" w:hAnsi="Arabic Typesetting" w:cs="Arabic Typesetting"/>
          <w:sz w:val="34"/>
          <w:szCs w:val="34"/>
        </w:rPr>
      </w:pPr>
      <w:r w:rsidRPr="00CE71B5">
        <w:rPr>
          <w:rFonts w:ascii="Arabic Typesetting" w:hAnsi="Arabic Typesetting" w:cs="Arabic Typesetting" w:hint="cs"/>
          <w:sz w:val="34"/>
          <w:szCs w:val="34"/>
          <w:rtl/>
        </w:rPr>
        <w:t>أعباء عمل نظام لاهاي؛</w:t>
      </w:r>
    </w:p>
    <w:p w:rsidR="00B31868" w:rsidRPr="00CE71B5" w:rsidRDefault="00B31868" w:rsidP="009A3712">
      <w:pPr>
        <w:numPr>
          <w:ilvl w:val="0"/>
          <w:numId w:val="30"/>
        </w:numPr>
        <w:bidi/>
        <w:spacing w:after="120" w:line="340" w:lineRule="exact"/>
        <w:ind w:left="714" w:hanging="357"/>
        <w:rPr>
          <w:rFonts w:ascii="Arabic Typesetting" w:hAnsi="Arabic Typesetting" w:cs="Arabic Typesetting"/>
          <w:sz w:val="34"/>
          <w:szCs w:val="34"/>
        </w:rPr>
      </w:pPr>
      <w:r w:rsidRPr="00CE71B5">
        <w:rPr>
          <w:rFonts w:ascii="Arabic Typesetting" w:hAnsi="Arabic Typesetting" w:cs="Arabic Typesetting" w:hint="cs"/>
          <w:sz w:val="34"/>
          <w:szCs w:val="34"/>
          <w:rtl/>
        </w:rPr>
        <w:t>ومكونات تلك الأعباء؛</w:t>
      </w:r>
    </w:p>
    <w:p w:rsidR="00B31868" w:rsidRPr="00CE71B5" w:rsidRDefault="00B31868" w:rsidP="009A3712">
      <w:pPr>
        <w:numPr>
          <w:ilvl w:val="0"/>
          <w:numId w:val="30"/>
        </w:numPr>
        <w:bidi/>
        <w:spacing w:after="120" w:line="340" w:lineRule="exact"/>
        <w:ind w:left="714" w:hanging="357"/>
        <w:rPr>
          <w:rFonts w:ascii="Arabic Typesetting" w:hAnsi="Arabic Typesetting" w:cs="Arabic Typesetting"/>
          <w:sz w:val="34"/>
          <w:szCs w:val="34"/>
        </w:rPr>
      </w:pPr>
      <w:r w:rsidRPr="00CE71B5">
        <w:rPr>
          <w:rFonts w:ascii="Arabic Typesetting" w:hAnsi="Arabic Typesetting" w:cs="Arabic Typesetting" w:hint="cs"/>
          <w:sz w:val="34"/>
          <w:szCs w:val="34"/>
          <w:rtl/>
        </w:rPr>
        <w:t xml:space="preserve">ومستوى </w:t>
      </w:r>
      <w:proofErr w:type="spellStart"/>
      <w:r w:rsidRPr="00CE71B5">
        <w:rPr>
          <w:rFonts w:ascii="Arabic Typesetting" w:hAnsi="Arabic Typesetting" w:cs="Arabic Typesetting" w:hint="cs"/>
          <w:sz w:val="34"/>
          <w:szCs w:val="34"/>
          <w:rtl/>
        </w:rPr>
        <w:t>الأتمتة</w:t>
      </w:r>
      <w:proofErr w:type="spellEnd"/>
      <w:r w:rsidRPr="00CE71B5">
        <w:rPr>
          <w:rFonts w:ascii="Arabic Typesetting" w:hAnsi="Arabic Typesetting" w:cs="Arabic Typesetting" w:hint="cs"/>
          <w:sz w:val="34"/>
          <w:szCs w:val="34"/>
          <w:rtl/>
        </w:rPr>
        <w:t>؛</w:t>
      </w:r>
    </w:p>
    <w:p w:rsidR="00B31868" w:rsidRPr="00CE71B5" w:rsidRDefault="00B31868" w:rsidP="009A3712">
      <w:pPr>
        <w:numPr>
          <w:ilvl w:val="0"/>
          <w:numId w:val="30"/>
        </w:numPr>
        <w:bidi/>
        <w:spacing w:after="120" w:line="340" w:lineRule="exact"/>
        <w:rPr>
          <w:rFonts w:ascii="Arabic Typesetting" w:hAnsi="Arabic Typesetting" w:cs="Arabic Typesetting"/>
          <w:sz w:val="34"/>
          <w:szCs w:val="34"/>
        </w:rPr>
      </w:pPr>
      <w:r w:rsidRPr="00CE71B5">
        <w:rPr>
          <w:rFonts w:ascii="Arabic Typesetting" w:hAnsi="Arabic Typesetting" w:cs="Arabic Typesetting" w:hint="cs"/>
          <w:sz w:val="34"/>
          <w:szCs w:val="34"/>
          <w:rtl/>
        </w:rPr>
        <w:t>والموارد المخصصة لمواكبة تلك الأعباء.</w:t>
      </w:r>
    </w:p>
    <w:p w:rsidR="00B31868" w:rsidRPr="00CE71B5" w:rsidRDefault="00BB3998" w:rsidP="009A3712">
      <w:pPr>
        <w:numPr>
          <w:ilvl w:val="0"/>
          <w:numId w:val="33"/>
        </w:numPr>
        <w:bidi/>
        <w:spacing w:after="120" w:line="340" w:lineRule="exact"/>
        <w:ind w:left="0" w:firstLine="0"/>
        <w:rPr>
          <w:rFonts w:ascii="Arabic Typesetting" w:hAnsi="Arabic Typesetting" w:cs="Arabic Typesetting"/>
          <w:sz w:val="34"/>
          <w:szCs w:val="34"/>
          <w:lang w:val="fr-CH"/>
        </w:rPr>
      </w:pPr>
      <w:r w:rsidRPr="00CE71B5">
        <w:rPr>
          <w:rFonts w:ascii="Arabic Typesetting" w:hAnsi="Arabic Typesetting" w:cs="Arabic Typesetting" w:hint="cs"/>
          <w:sz w:val="34"/>
          <w:szCs w:val="34"/>
          <w:rtl/>
        </w:rPr>
        <w:t>و</w:t>
      </w:r>
      <w:r w:rsidR="00B31868" w:rsidRPr="00CE71B5">
        <w:rPr>
          <w:rFonts w:ascii="Arabic Typesetting" w:hAnsi="Arabic Typesetting" w:cs="Arabic Typesetting" w:hint="cs"/>
          <w:sz w:val="34"/>
          <w:szCs w:val="34"/>
          <w:rtl/>
          <w:lang w:val="fr-CH"/>
        </w:rPr>
        <w:t>يت</w:t>
      </w:r>
      <w:r w:rsidRPr="00CE71B5">
        <w:rPr>
          <w:rFonts w:ascii="Arabic Typesetting" w:hAnsi="Arabic Typesetting" w:cs="Arabic Typesetting" w:hint="cs"/>
          <w:sz w:val="34"/>
          <w:szCs w:val="34"/>
          <w:rtl/>
          <w:lang w:val="fr-CH"/>
        </w:rPr>
        <w:t>س</w:t>
      </w:r>
      <w:r w:rsidR="00B31868" w:rsidRPr="00CE71B5">
        <w:rPr>
          <w:rFonts w:ascii="Arabic Typesetting" w:hAnsi="Arabic Typesetting" w:cs="Arabic Typesetting" w:hint="cs"/>
          <w:sz w:val="34"/>
          <w:szCs w:val="34"/>
          <w:rtl/>
          <w:lang w:val="fr-CH"/>
        </w:rPr>
        <w:t>ل</w:t>
      </w:r>
      <w:r w:rsidR="008A6D4E">
        <w:rPr>
          <w:rFonts w:ascii="Arabic Typesetting" w:hAnsi="Arabic Typesetting" w:cs="Arabic Typesetting" w:hint="cs"/>
          <w:sz w:val="34"/>
          <w:szCs w:val="34"/>
          <w:rtl/>
          <w:lang w:val="fr-CH"/>
        </w:rPr>
        <w:t>ّ</w:t>
      </w:r>
      <w:r w:rsidR="00B31868" w:rsidRPr="00CE71B5">
        <w:rPr>
          <w:rFonts w:ascii="Arabic Typesetting" w:hAnsi="Arabic Typesetting" w:cs="Arabic Typesetting" w:hint="cs"/>
          <w:sz w:val="34"/>
          <w:szCs w:val="34"/>
          <w:rtl/>
          <w:lang w:val="fr-CH"/>
        </w:rPr>
        <w:t>م</w:t>
      </w:r>
      <w:r w:rsidR="00B31868" w:rsidRPr="00CE71B5">
        <w:rPr>
          <w:rFonts w:ascii="Arabic Typesetting" w:hAnsi="Arabic Typesetting" w:cs="Arabic Typesetting"/>
          <w:sz w:val="34"/>
          <w:szCs w:val="34"/>
          <w:rtl/>
          <w:lang w:val="fr-CH"/>
        </w:rPr>
        <w:t xml:space="preserve"> المكتب الدولي </w:t>
      </w:r>
      <w:r w:rsidR="00B31868" w:rsidRPr="00CE71B5">
        <w:rPr>
          <w:rFonts w:ascii="Arabic Typesetting" w:hAnsi="Arabic Typesetting" w:cs="Arabic Typesetting" w:hint="cs"/>
          <w:sz w:val="34"/>
          <w:szCs w:val="34"/>
          <w:rtl/>
          <w:lang w:val="fr-CH"/>
        </w:rPr>
        <w:t>أربع</w:t>
      </w:r>
      <w:r w:rsidR="00B31868" w:rsidRPr="00CE71B5">
        <w:rPr>
          <w:rFonts w:ascii="Arabic Typesetting" w:hAnsi="Arabic Typesetting" w:cs="Arabic Typesetting"/>
          <w:sz w:val="34"/>
          <w:szCs w:val="34"/>
          <w:rtl/>
          <w:lang w:val="fr-CH"/>
        </w:rPr>
        <w:t xml:space="preserve"> فئات </w:t>
      </w:r>
      <w:r w:rsidR="00B31868" w:rsidRPr="00CE71B5">
        <w:rPr>
          <w:rFonts w:ascii="Arabic Typesetting" w:hAnsi="Arabic Typesetting" w:cs="Arabic Typesetting" w:hint="cs"/>
          <w:sz w:val="34"/>
          <w:szCs w:val="34"/>
          <w:rtl/>
          <w:lang w:val="fr-CH"/>
        </w:rPr>
        <w:t>رئيسية</w:t>
      </w:r>
      <w:r w:rsidR="00B31868" w:rsidRPr="00CE71B5">
        <w:rPr>
          <w:rFonts w:ascii="Arabic Typesetting" w:hAnsi="Arabic Typesetting" w:cs="Arabic Typesetting"/>
          <w:sz w:val="34"/>
          <w:szCs w:val="34"/>
          <w:rtl/>
          <w:lang w:val="fr-CH"/>
        </w:rPr>
        <w:t xml:space="preserve"> من </w:t>
      </w:r>
      <w:r w:rsidR="00B31868" w:rsidRPr="00CE71B5">
        <w:rPr>
          <w:rFonts w:ascii="Arabic Typesetting" w:hAnsi="Arabic Typesetting" w:cs="Arabic Typesetting" w:hint="cs"/>
          <w:sz w:val="34"/>
          <w:szCs w:val="34"/>
          <w:rtl/>
          <w:lang w:val="fr-CH"/>
        </w:rPr>
        <w:t>الوثائق</w:t>
      </w:r>
      <w:r w:rsidR="00B31868" w:rsidRPr="00CE71B5">
        <w:rPr>
          <w:rFonts w:ascii="Arabic Typesetting" w:hAnsi="Arabic Typesetting" w:cs="Arabic Typesetting"/>
          <w:sz w:val="34"/>
          <w:szCs w:val="34"/>
          <w:rtl/>
          <w:lang w:val="fr-CH"/>
        </w:rPr>
        <w:t xml:space="preserve">، وهي الطلبات الدولية والتجديدات </w:t>
      </w:r>
      <w:r w:rsidR="00B31868" w:rsidRPr="00CE71B5">
        <w:rPr>
          <w:rFonts w:ascii="Arabic Typesetting" w:hAnsi="Arabic Typesetting" w:cs="Arabic Typesetting" w:hint="cs"/>
          <w:sz w:val="34"/>
          <w:szCs w:val="34"/>
          <w:rtl/>
          <w:lang w:val="fr-CH"/>
        </w:rPr>
        <w:t>والتغييرات</w:t>
      </w:r>
      <w:r w:rsidR="00B31868" w:rsidRPr="00CE71B5">
        <w:rPr>
          <w:rFonts w:ascii="Arabic Typesetting" w:hAnsi="Arabic Typesetting" w:cs="Arabic Typesetting"/>
          <w:sz w:val="34"/>
          <w:szCs w:val="34"/>
          <w:rtl/>
          <w:lang w:val="fr-CH"/>
        </w:rPr>
        <w:t xml:space="preserve"> والقرارات. وي</w:t>
      </w:r>
      <w:r w:rsidR="00B31868" w:rsidRPr="00CE71B5">
        <w:rPr>
          <w:rFonts w:ascii="Arabic Typesetting" w:hAnsi="Arabic Typesetting" w:cs="Arabic Typesetting" w:hint="cs"/>
          <w:sz w:val="34"/>
          <w:szCs w:val="34"/>
          <w:rtl/>
          <w:lang w:val="fr-CH"/>
        </w:rPr>
        <w:t>ُعرض</w:t>
      </w:r>
      <w:r w:rsidR="00B31868" w:rsidRPr="00CE71B5">
        <w:rPr>
          <w:rFonts w:ascii="Arabic Typesetting" w:hAnsi="Arabic Typesetting" w:cs="Arabic Typesetting"/>
          <w:sz w:val="34"/>
          <w:szCs w:val="34"/>
          <w:rtl/>
          <w:lang w:val="fr-CH"/>
        </w:rPr>
        <w:t xml:space="preserve"> </w:t>
      </w:r>
      <w:r w:rsidR="00FB2BCA">
        <w:rPr>
          <w:rFonts w:ascii="Arabic Typesetting" w:hAnsi="Arabic Typesetting" w:cs="Arabic Typesetting" w:hint="cs"/>
          <w:sz w:val="34"/>
          <w:szCs w:val="34"/>
          <w:rtl/>
          <w:lang w:val="fr-CH"/>
        </w:rPr>
        <w:t>فيما يلي</w:t>
      </w:r>
      <w:r w:rsidR="00B31868" w:rsidRPr="00CE71B5">
        <w:rPr>
          <w:rFonts w:ascii="Arabic Typesetting" w:hAnsi="Arabic Typesetting" w:cs="Arabic Typesetting" w:hint="cs"/>
          <w:sz w:val="34"/>
          <w:szCs w:val="34"/>
          <w:rtl/>
          <w:lang w:val="fr-CH"/>
        </w:rPr>
        <w:t xml:space="preserve"> </w:t>
      </w:r>
      <w:r w:rsidRPr="00CE71B5">
        <w:rPr>
          <w:rFonts w:ascii="Arabic Typesetting" w:hAnsi="Arabic Typesetting" w:cs="Arabic Typesetting" w:hint="cs"/>
          <w:sz w:val="34"/>
          <w:szCs w:val="34"/>
          <w:rtl/>
          <w:lang w:val="fr-CH"/>
        </w:rPr>
        <w:t>أحدث توجه</w:t>
      </w:r>
      <w:r w:rsidR="00B31868" w:rsidRPr="00CE71B5">
        <w:rPr>
          <w:rFonts w:ascii="Arabic Typesetting" w:hAnsi="Arabic Typesetting" w:cs="Arabic Typesetting"/>
          <w:sz w:val="34"/>
          <w:szCs w:val="34"/>
          <w:rtl/>
          <w:lang w:val="fr-CH"/>
        </w:rPr>
        <w:t xml:space="preserve"> لكل </w:t>
      </w:r>
      <w:r w:rsidR="00B31868" w:rsidRPr="008A6D4E">
        <w:rPr>
          <w:rFonts w:ascii="Arabic Typesetting" w:hAnsi="Arabic Typesetting" w:cs="Arabic Typesetting"/>
          <w:sz w:val="34"/>
          <w:szCs w:val="34"/>
          <w:rtl/>
        </w:rPr>
        <w:t>من</w:t>
      </w:r>
      <w:r w:rsidR="00B31868" w:rsidRPr="00CE71B5">
        <w:rPr>
          <w:rFonts w:ascii="Arabic Typesetting" w:hAnsi="Arabic Typesetting" w:cs="Arabic Typesetting"/>
          <w:sz w:val="34"/>
          <w:szCs w:val="34"/>
          <w:rtl/>
          <w:lang w:val="fr-CH"/>
        </w:rPr>
        <w:t xml:space="preserve"> </w:t>
      </w:r>
      <w:r w:rsidR="00B31868" w:rsidRPr="00CE71B5">
        <w:rPr>
          <w:rFonts w:ascii="Arabic Typesetting" w:hAnsi="Arabic Typesetting" w:cs="Arabic Typesetting" w:hint="cs"/>
          <w:sz w:val="34"/>
          <w:szCs w:val="34"/>
          <w:rtl/>
          <w:lang w:val="fr-CH"/>
        </w:rPr>
        <w:t xml:space="preserve">تلك </w:t>
      </w:r>
      <w:r w:rsidR="00B31868" w:rsidRPr="00CE71B5">
        <w:rPr>
          <w:rFonts w:ascii="Arabic Typesetting" w:hAnsi="Arabic Typesetting" w:cs="Arabic Typesetting"/>
          <w:sz w:val="34"/>
          <w:szCs w:val="34"/>
          <w:rtl/>
          <w:lang w:val="fr-CH"/>
        </w:rPr>
        <w:t>الوثائق. و</w:t>
      </w:r>
      <w:r w:rsidR="00B31868" w:rsidRPr="00CE71B5">
        <w:rPr>
          <w:rFonts w:ascii="Arabic Typesetting" w:hAnsi="Arabic Typesetting" w:cs="Arabic Typesetting" w:hint="cs"/>
          <w:sz w:val="34"/>
          <w:szCs w:val="34"/>
          <w:rtl/>
          <w:lang w:val="fr-CH"/>
        </w:rPr>
        <w:t>ترد</w:t>
      </w:r>
      <w:r w:rsidR="00B31868" w:rsidRPr="00CE71B5">
        <w:rPr>
          <w:rFonts w:ascii="Arabic Typesetting" w:hAnsi="Arabic Typesetting" w:cs="Arabic Typesetting"/>
          <w:sz w:val="34"/>
          <w:szCs w:val="34"/>
          <w:rtl/>
          <w:lang w:val="fr-CH"/>
        </w:rPr>
        <w:t xml:space="preserve"> أيضا معلومات إضافية عن </w:t>
      </w:r>
      <w:r w:rsidR="00B31868" w:rsidRPr="00CE71B5">
        <w:rPr>
          <w:rFonts w:ascii="Arabic Typesetting" w:hAnsi="Arabic Typesetting" w:cs="Arabic Typesetting" w:hint="cs"/>
          <w:sz w:val="34"/>
          <w:szCs w:val="34"/>
          <w:rtl/>
          <w:lang w:val="fr-CH"/>
        </w:rPr>
        <w:t xml:space="preserve">الطلبات </w:t>
      </w:r>
      <w:r w:rsidR="000036F7">
        <w:rPr>
          <w:rFonts w:ascii="Arabic Typesetting" w:hAnsi="Arabic Typesetting" w:cs="Arabic Typesetting" w:hint="cs"/>
          <w:sz w:val="34"/>
          <w:szCs w:val="34"/>
          <w:rtl/>
          <w:lang w:val="fr-CH"/>
        </w:rPr>
        <w:t>المتسلَّمة</w:t>
      </w:r>
      <w:r w:rsidR="00B31868" w:rsidRPr="00CE71B5">
        <w:rPr>
          <w:rFonts w:ascii="Arabic Typesetting" w:hAnsi="Arabic Typesetting" w:cs="Arabic Typesetting" w:hint="cs"/>
          <w:sz w:val="34"/>
          <w:szCs w:val="34"/>
          <w:rtl/>
          <w:lang w:val="fr-CH"/>
        </w:rPr>
        <w:t xml:space="preserve"> </w:t>
      </w:r>
      <w:r w:rsidR="00B31868" w:rsidRPr="00CE71B5">
        <w:rPr>
          <w:rFonts w:ascii="Arabic Typesetting" w:hAnsi="Arabic Typesetting" w:cs="Arabic Typesetting"/>
          <w:sz w:val="34"/>
          <w:szCs w:val="34"/>
          <w:rtl/>
          <w:lang w:val="fr-CH"/>
        </w:rPr>
        <w:t>مثل متوسط عدد</w:t>
      </w:r>
      <w:r w:rsidR="00B31868" w:rsidRPr="00CE71B5">
        <w:rPr>
          <w:rFonts w:ascii="Arabic Typesetting" w:hAnsi="Arabic Typesetting" w:cs="Arabic Typesetting" w:hint="cs"/>
          <w:sz w:val="34"/>
          <w:szCs w:val="34"/>
          <w:rtl/>
          <w:lang w:val="fr-CH"/>
        </w:rPr>
        <w:t xml:space="preserve"> التصاميم</w:t>
      </w:r>
      <w:r w:rsidR="00B31868" w:rsidRPr="00CE71B5">
        <w:rPr>
          <w:rFonts w:ascii="Arabic Typesetting" w:hAnsi="Arabic Typesetting" w:cs="Arabic Typesetting"/>
          <w:sz w:val="34"/>
          <w:szCs w:val="34"/>
          <w:rtl/>
          <w:lang w:val="fr-CH"/>
        </w:rPr>
        <w:t xml:space="preserve">. </w:t>
      </w:r>
      <w:r w:rsidR="00B31868" w:rsidRPr="00CE71B5">
        <w:rPr>
          <w:rFonts w:ascii="Arabic Typesetting" w:hAnsi="Arabic Typesetting" w:cs="Arabic Typesetting" w:hint="cs"/>
          <w:sz w:val="34"/>
          <w:szCs w:val="34"/>
          <w:rtl/>
          <w:lang w:val="fr-CH"/>
        </w:rPr>
        <w:t>و</w:t>
      </w:r>
      <w:r w:rsidR="00B31868" w:rsidRPr="00CE71B5">
        <w:rPr>
          <w:rFonts w:ascii="Arabic Typesetting" w:hAnsi="Arabic Typesetting" w:cs="Arabic Typesetting"/>
          <w:sz w:val="34"/>
          <w:szCs w:val="34"/>
          <w:rtl/>
          <w:lang w:val="fr-CH"/>
        </w:rPr>
        <w:t xml:space="preserve">لأسباب </w:t>
      </w:r>
      <w:r w:rsidR="00B31868" w:rsidRPr="00CE71B5">
        <w:rPr>
          <w:rFonts w:ascii="Arabic Typesetting" w:hAnsi="Arabic Typesetting" w:cs="Arabic Typesetting" w:hint="cs"/>
          <w:sz w:val="34"/>
          <w:szCs w:val="34"/>
          <w:rtl/>
          <w:lang w:val="fr-CH"/>
        </w:rPr>
        <w:t>تقنية،</w:t>
      </w:r>
      <w:r w:rsidR="00B31868" w:rsidRPr="00CE71B5">
        <w:rPr>
          <w:rFonts w:ascii="Arabic Typesetting" w:hAnsi="Arabic Typesetting" w:cs="Arabic Typesetting"/>
          <w:sz w:val="34"/>
          <w:szCs w:val="34"/>
          <w:rtl/>
          <w:lang w:val="fr-CH"/>
        </w:rPr>
        <w:t xml:space="preserve"> </w:t>
      </w:r>
      <w:r w:rsidR="00B31868" w:rsidRPr="00CE71B5">
        <w:rPr>
          <w:rFonts w:ascii="Arabic Typesetting" w:hAnsi="Arabic Typesetting" w:cs="Arabic Typesetting" w:hint="cs"/>
          <w:sz w:val="34"/>
          <w:szCs w:val="34"/>
          <w:rtl/>
          <w:lang w:val="fr-CH"/>
        </w:rPr>
        <w:t>يبين مؤشر المخالفات الصادر</w:t>
      </w:r>
      <w:r w:rsidR="00B31868" w:rsidRPr="00CE71B5">
        <w:rPr>
          <w:rFonts w:ascii="Arabic Typesetting" w:hAnsi="Arabic Typesetting" w:cs="Arabic Typesetting"/>
          <w:sz w:val="34"/>
          <w:szCs w:val="34"/>
          <w:rtl/>
          <w:lang w:val="fr-CH"/>
        </w:rPr>
        <w:t xml:space="preserve"> </w:t>
      </w:r>
      <w:r w:rsidR="00B31868" w:rsidRPr="00CE71B5">
        <w:rPr>
          <w:rFonts w:ascii="Arabic Typesetting" w:hAnsi="Arabic Typesetting" w:cs="Arabic Typesetting" w:hint="cs"/>
          <w:sz w:val="34"/>
          <w:szCs w:val="34"/>
          <w:rtl/>
          <w:lang w:val="fr-CH"/>
        </w:rPr>
        <w:t>ال</w:t>
      </w:r>
      <w:r w:rsidR="00B31868" w:rsidRPr="00CE71B5">
        <w:rPr>
          <w:rFonts w:ascii="Arabic Typesetting" w:hAnsi="Arabic Typesetting" w:cs="Arabic Typesetting"/>
          <w:sz w:val="34"/>
          <w:szCs w:val="34"/>
          <w:rtl/>
          <w:lang w:val="fr-CH"/>
        </w:rPr>
        <w:t xml:space="preserve">بيانات بناء على </w:t>
      </w:r>
      <w:r w:rsidR="00B31868" w:rsidRPr="00CE71B5">
        <w:rPr>
          <w:rFonts w:ascii="Arabic Typesetting" w:hAnsi="Arabic Typesetting" w:cs="Arabic Typesetting" w:hint="cs"/>
          <w:sz w:val="34"/>
          <w:szCs w:val="34"/>
          <w:rtl/>
          <w:lang w:val="fr-CH"/>
        </w:rPr>
        <w:t xml:space="preserve">الوثائق المعالجة </w:t>
      </w:r>
      <w:r w:rsidR="008A6D4E">
        <w:rPr>
          <w:rFonts w:ascii="Arabic Typesetting" w:hAnsi="Arabic Typesetting" w:cs="Arabic Typesetting" w:hint="cs"/>
          <w:sz w:val="34"/>
          <w:szCs w:val="34"/>
          <w:rtl/>
          <w:lang w:val="fr-CH"/>
        </w:rPr>
        <w:t>عوضاً عن</w:t>
      </w:r>
      <w:r w:rsidR="00B31868" w:rsidRPr="00CE71B5">
        <w:rPr>
          <w:rFonts w:ascii="Arabic Typesetting" w:hAnsi="Arabic Typesetting" w:cs="Arabic Typesetting"/>
          <w:sz w:val="34"/>
          <w:szCs w:val="34"/>
          <w:rtl/>
          <w:lang w:val="fr-CH"/>
        </w:rPr>
        <w:t xml:space="preserve"> </w:t>
      </w:r>
      <w:r w:rsidR="00B31868" w:rsidRPr="00CE71B5">
        <w:rPr>
          <w:rFonts w:ascii="Arabic Typesetting" w:hAnsi="Arabic Typesetting" w:cs="Arabic Typesetting" w:hint="cs"/>
          <w:sz w:val="34"/>
          <w:szCs w:val="34"/>
          <w:rtl/>
          <w:lang w:val="fr-CH"/>
        </w:rPr>
        <w:t>ال</w:t>
      </w:r>
      <w:r w:rsidR="00B31868" w:rsidRPr="00CE71B5">
        <w:rPr>
          <w:rFonts w:ascii="Arabic Typesetting" w:hAnsi="Arabic Typesetting" w:cs="Arabic Typesetting"/>
          <w:sz w:val="34"/>
          <w:szCs w:val="34"/>
          <w:rtl/>
          <w:lang w:val="fr-CH"/>
        </w:rPr>
        <w:t xml:space="preserve">وثائق </w:t>
      </w:r>
      <w:r w:rsidR="00B31868" w:rsidRPr="00CE71B5">
        <w:rPr>
          <w:rFonts w:ascii="Arabic Typesetting" w:hAnsi="Arabic Typesetting" w:cs="Arabic Typesetting" w:hint="cs"/>
          <w:sz w:val="34"/>
          <w:szCs w:val="34"/>
          <w:rtl/>
          <w:lang w:val="fr-CH"/>
        </w:rPr>
        <w:t>ال</w:t>
      </w:r>
      <w:r w:rsidR="00B31868" w:rsidRPr="00CE71B5">
        <w:rPr>
          <w:rFonts w:ascii="Arabic Typesetting" w:hAnsi="Arabic Typesetting" w:cs="Arabic Typesetting"/>
          <w:sz w:val="34"/>
          <w:szCs w:val="34"/>
          <w:rtl/>
          <w:lang w:val="fr-CH"/>
        </w:rPr>
        <w:t>واردة.</w:t>
      </w:r>
    </w:p>
    <w:p w:rsidR="00B31868" w:rsidRPr="00B31868" w:rsidRDefault="00B31868" w:rsidP="00086C3F">
      <w:pPr>
        <w:keepNext/>
        <w:bidi/>
        <w:spacing w:after="240" w:line="380" w:lineRule="exact"/>
        <w:rPr>
          <w:rFonts w:ascii="Arabic Typesetting" w:hAnsi="Arabic Typesetting" w:cs="Arabic Typesetting"/>
          <w:b/>
          <w:bCs/>
          <w:sz w:val="36"/>
          <w:szCs w:val="36"/>
          <w:lang w:val="fr-CH"/>
        </w:rPr>
      </w:pPr>
      <w:r w:rsidRPr="00B31868">
        <w:rPr>
          <w:rFonts w:ascii="Arabic Typesetting" w:hAnsi="Arabic Typesetting" w:cs="Arabic Typesetting" w:hint="cs"/>
          <w:b/>
          <w:bCs/>
          <w:sz w:val="36"/>
          <w:szCs w:val="36"/>
          <w:rtl/>
          <w:lang w:val="fr-CH"/>
        </w:rPr>
        <w:t>أولا.</w:t>
      </w:r>
      <w:r w:rsidRPr="00B31868">
        <w:rPr>
          <w:rFonts w:ascii="Arabic Typesetting" w:hAnsi="Arabic Typesetting" w:cs="Arabic Typesetting" w:hint="cs"/>
          <w:b/>
          <w:bCs/>
          <w:sz w:val="36"/>
          <w:szCs w:val="36"/>
          <w:rtl/>
          <w:lang w:val="fr-CH"/>
        </w:rPr>
        <w:tab/>
        <w:t>الوثائق الواردة</w:t>
      </w:r>
    </w:p>
    <w:p w:rsidR="00B31868" w:rsidRPr="00141A0B" w:rsidRDefault="00B31868" w:rsidP="00086C3F">
      <w:pPr>
        <w:keepNext/>
        <w:bidi/>
        <w:spacing w:after="120" w:line="340" w:lineRule="exact"/>
        <w:rPr>
          <w:rFonts w:ascii="Arabic Typesetting" w:hAnsi="Arabic Typesetting" w:cs="Arabic Typesetting"/>
          <w:sz w:val="34"/>
          <w:szCs w:val="34"/>
          <w:u w:val="single"/>
          <w:rtl/>
          <w:lang w:val="fr-CH"/>
        </w:rPr>
      </w:pPr>
      <w:r w:rsidRPr="00141A0B">
        <w:rPr>
          <w:rFonts w:ascii="Arabic Typesetting" w:hAnsi="Arabic Typesetting" w:cs="Arabic Typesetting"/>
          <w:sz w:val="34"/>
          <w:szCs w:val="34"/>
          <w:u w:val="single"/>
          <w:rtl/>
          <w:lang w:val="fr-CH"/>
        </w:rPr>
        <w:t xml:space="preserve">الطلبات </w:t>
      </w:r>
      <w:r w:rsidR="008A6D4E" w:rsidRPr="00141A0B">
        <w:rPr>
          <w:rFonts w:ascii="Arabic Typesetting" w:hAnsi="Arabic Typesetting" w:cs="Arabic Typesetting"/>
          <w:sz w:val="34"/>
          <w:szCs w:val="34"/>
          <w:u w:val="single"/>
          <w:rtl/>
          <w:lang w:val="fr-CH"/>
        </w:rPr>
        <w:t>المتسلمة</w:t>
      </w:r>
    </w:p>
    <w:p w:rsidR="00B31868" w:rsidRPr="00B31868" w:rsidRDefault="00211626" w:rsidP="00086C3F">
      <w:pPr>
        <w:bidi/>
        <w:spacing w:after="120"/>
        <w:jc w:val="center"/>
        <w:rPr>
          <w:rFonts w:ascii="Arabic Typesetting" w:hAnsi="Arabic Typesetting" w:cs="Arabic Typesetting"/>
          <w:sz w:val="36"/>
          <w:szCs w:val="36"/>
          <w:u w:val="single"/>
          <w:lang w:val="fr-CH"/>
        </w:rPr>
      </w:pPr>
      <w:r>
        <w:rPr>
          <w:noProof/>
        </w:rPr>
        <w:drawing>
          <wp:inline distT="0" distB="0" distL="0" distR="0" wp14:anchorId="1DD20C63" wp14:editId="1E31F122">
            <wp:extent cx="5011387" cy="3639787"/>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B31868" w:rsidRPr="00B9070A" w:rsidRDefault="00B31868" w:rsidP="009A3712">
      <w:pPr>
        <w:numPr>
          <w:ilvl w:val="0"/>
          <w:numId w:val="31"/>
        </w:numPr>
        <w:bidi/>
        <w:spacing w:after="120" w:line="340" w:lineRule="exact"/>
        <w:ind w:left="1134" w:hanging="567"/>
        <w:rPr>
          <w:rFonts w:ascii="Arabic Typesetting" w:hAnsi="Arabic Typesetting" w:cs="Arabic Typesetting"/>
          <w:sz w:val="34"/>
          <w:szCs w:val="34"/>
        </w:rPr>
      </w:pPr>
      <w:r w:rsidRPr="00B9070A">
        <w:rPr>
          <w:rFonts w:ascii="Arabic Typesetting" w:hAnsi="Arabic Typesetting" w:cs="Arabic Typesetting" w:hint="cs"/>
          <w:sz w:val="34"/>
          <w:szCs w:val="34"/>
          <w:rtl/>
        </w:rPr>
        <w:t xml:space="preserve">في </w:t>
      </w:r>
      <w:r w:rsidR="008A6D4E">
        <w:rPr>
          <w:rFonts w:ascii="Arabic Typesetting" w:hAnsi="Arabic Typesetting" w:cs="Arabic Typesetting" w:hint="cs"/>
          <w:sz w:val="34"/>
          <w:szCs w:val="34"/>
          <w:rtl/>
        </w:rPr>
        <w:t>عام</w:t>
      </w:r>
      <w:r w:rsidRPr="00B9070A">
        <w:rPr>
          <w:rFonts w:ascii="Arabic Typesetting" w:hAnsi="Arabic Typesetting" w:cs="Arabic Typesetting" w:hint="cs"/>
          <w:sz w:val="34"/>
          <w:szCs w:val="34"/>
          <w:rtl/>
        </w:rPr>
        <w:t xml:space="preserve"> </w:t>
      </w:r>
      <w:r w:rsidR="00FE3B98">
        <w:rPr>
          <w:rFonts w:ascii="Arabic Typesetting" w:hAnsi="Arabic Typesetting" w:cs="Arabic Typesetting" w:hint="cs"/>
          <w:sz w:val="34"/>
          <w:szCs w:val="34"/>
          <w:rtl/>
        </w:rPr>
        <w:t xml:space="preserve">2015، </w:t>
      </w:r>
      <w:r w:rsidR="00B9070A" w:rsidRPr="00B9070A">
        <w:rPr>
          <w:rFonts w:ascii="Arabic Typesetting" w:hAnsi="Arabic Typesetting" w:cs="Arabic Typesetting" w:hint="cs"/>
          <w:sz w:val="34"/>
          <w:szCs w:val="34"/>
          <w:rtl/>
        </w:rPr>
        <w:t xml:space="preserve">تسلم </w:t>
      </w:r>
      <w:r w:rsidRPr="00B9070A">
        <w:rPr>
          <w:rFonts w:ascii="Arabic Typesetting" w:hAnsi="Arabic Typesetting" w:cs="Arabic Typesetting" w:hint="cs"/>
          <w:sz w:val="34"/>
          <w:szCs w:val="34"/>
          <w:rtl/>
        </w:rPr>
        <w:t xml:space="preserve">المكتب الدولي </w:t>
      </w:r>
      <w:r w:rsidR="00B9070A" w:rsidRPr="00B9070A">
        <w:rPr>
          <w:rFonts w:ascii="Arabic Typesetting" w:hAnsi="Arabic Typesetting" w:cs="Arabic Typesetting" w:hint="cs"/>
          <w:sz w:val="34"/>
          <w:szCs w:val="34"/>
          <w:rtl/>
        </w:rPr>
        <w:t>4111</w:t>
      </w:r>
      <w:r w:rsidRPr="00B9070A">
        <w:rPr>
          <w:rFonts w:ascii="Arabic Typesetting" w:hAnsi="Arabic Typesetting" w:cs="Arabic Typesetting"/>
          <w:sz w:val="34"/>
          <w:szCs w:val="34"/>
          <w:rtl/>
        </w:rPr>
        <w:t xml:space="preserve"> </w:t>
      </w:r>
      <w:r w:rsidRPr="00B9070A">
        <w:rPr>
          <w:rFonts w:ascii="Arabic Typesetting" w:hAnsi="Arabic Typesetting" w:cs="Arabic Typesetting" w:hint="cs"/>
          <w:sz w:val="34"/>
          <w:szCs w:val="34"/>
          <w:rtl/>
        </w:rPr>
        <w:t xml:space="preserve">طلبا، أي </w:t>
      </w:r>
      <w:r w:rsidR="00B9070A" w:rsidRPr="00B9070A">
        <w:rPr>
          <w:rFonts w:ascii="Arabic Typesetting" w:hAnsi="Arabic Typesetting" w:cs="Arabic Typesetting" w:hint="cs"/>
          <w:sz w:val="34"/>
          <w:szCs w:val="34"/>
          <w:rtl/>
        </w:rPr>
        <w:t xml:space="preserve">بزيادة </w:t>
      </w:r>
      <w:r w:rsidRPr="00B9070A">
        <w:rPr>
          <w:rFonts w:ascii="Arabic Typesetting" w:hAnsi="Arabic Typesetting" w:cs="Arabic Typesetting" w:hint="cs"/>
          <w:sz w:val="34"/>
          <w:szCs w:val="34"/>
          <w:rtl/>
        </w:rPr>
        <w:t xml:space="preserve">بنسبة </w:t>
      </w:r>
      <w:r w:rsidR="00B9070A" w:rsidRPr="00B9070A">
        <w:rPr>
          <w:rFonts w:ascii="Arabic Typesetting" w:hAnsi="Arabic Typesetting" w:cs="Arabic Typesetting" w:hint="cs"/>
          <w:sz w:val="34"/>
          <w:szCs w:val="34"/>
          <w:rtl/>
        </w:rPr>
        <w:t>41</w:t>
      </w:r>
      <w:r w:rsidRPr="00B9070A">
        <w:rPr>
          <w:rFonts w:ascii="Arabic Typesetting" w:hAnsi="Arabic Typesetting" w:cs="Arabic Typesetting"/>
          <w:sz w:val="34"/>
          <w:szCs w:val="34"/>
          <w:rtl/>
        </w:rPr>
        <w:t xml:space="preserve"> </w:t>
      </w:r>
      <w:r w:rsidRPr="00B9070A">
        <w:rPr>
          <w:rFonts w:ascii="Arabic Typesetting" w:hAnsi="Arabic Typesetting" w:cs="Arabic Typesetting" w:hint="cs"/>
          <w:sz w:val="34"/>
          <w:szCs w:val="34"/>
          <w:rtl/>
        </w:rPr>
        <w:t>بالم</w:t>
      </w:r>
      <w:r w:rsidR="008A6D4E">
        <w:rPr>
          <w:rFonts w:ascii="Arabic Typesetting" w:hAnsi="Arabic Typesetting" w:cs="Arabic Typesetting" w:hint="cs"/>
          <w:sz w:val="34"/>
          <w:szCs w:val="34"/>
          <w:rtl/>
        </w:rPr>
        <w:t>ئة مقارنة بعام</w:t>
      </w:r>
      <w:r w:rsidRPr="00B9070A">
        <w:rPr>
          <w:rFonts w:ascii="Arabic Typesetting" w:hAnsi="Arabic Typesetting" w:cs="Arabic Typesetting" w:hint="cs"/>
          <w:sz w:val="34"/>
          <w:szCs w:val="34"/>
          <w:rtl/>
        </w:rPr>
        <w:t xml:space="preserve"> </w:t>
      </w:r>
      <w:r w:rsidR="00B9070A" w:rsidRPr="00B9070A">
        <w:rPr>
          <w:rFonts w:ascii="Arabic Typesetting" w:hAnsi="Arabic Typesetting" w:cs="Arabic Typesetting" w:hint="cs"/>
          <w:sz w:val="34"/>
          <w:szCs w:val="34"/>
          <w:rtl/>
        </w:rPr>
        <w:t>2014</w:t>
      </w:r>
      <w:r w:rsidRPr="00B9070A">
        <w:rPr>
          <w:rFonts w:ascii="Arabic Typesetting" w:hAnsi="Arabic Typesetting" w:cs="Arabic Typesetting" w:hint="cs"/>
          <w:sz w:val="34"/>
          <w:szCs w:val="34"/>
          <w:rtl/>
        </w:rPr>
        <w:t>.</w:t>
      </w:r>
      <w:r w:rsidR="00B9070A" w:rsidRPr="00B9070A">
        <w:rPr>
          <w:rFonts w:ascii="Arabic Typesetting" w:hAnsi="Arabic Typesetting" w:cs="Arabic Typesetting" w:hint="cs"/>
          <w:sz w:val="34"/>
          <w:szCs w:val="34"/>
          <w:rtl/>
        </w:rPr>
        <w:t xml:space="preserve">وإضافة إلى الطلبات الواردة من الاتحاد الأوروبي (+352 طلباً)، أسهمت </w:t>
      </w:r>
      <w:r w:rsidR="00FE3B98" w:rsidRPr="00B9070A">
        <w:rPr>
          <w:rFonts w:ascii="Arabic Typesetting" w:hAnsi="Arabic Typesetting" w:cs="Arabic Typesetting" w:hint="cs"/>
          <w:sz w:val="34"/>
          <w:szCs w:val="34"/>
          <w:rtl/>
        </w:rPr>
        <w:t xml:space="preserve">في هذه الزيادة </w:t>
      </w:r>
      <w:r w:rsidR="00B9070A" w:rsidRPr="00B9070A">
        <w:rPr>
          <w:rFonts w:ascii="Arabic Typesetting" w:hAnsi="Arabic Typesetting" w:cs="Arabic Typesetting" w:hint="cs"/>
          <w:sz w:val="34"/>
          <w:szCs w:val="34"/>
          <w:rtl/>
        </w:rPr>
        <w:t>الطلبات الواردة من جمهورية كوريا (+487 طلباً) والولايات المتحدة الأمريكية (</w:t>
      </w:r>
      <w:r w:rsidR="00FE3B98">
        <w:rPr>
          <w:rFonts w:ascii="Arabic Typesetting" w:hAnsi="Arabic Typesetting" w:cs="Arabic Typesetting" w:hint="cs"/>
          <w:sz w:val="34"/>
          <w:szCs w:val="34"/>
          <w:rtl/>
        </w:rPr>
        <w:t>+</w:t>
      </w:r>
      <w:r w:rsidR="00B9070A" w:rsidRPr="00B9070A">
        <w:rPr>
          <w:rFonts w:ascii="Arabic Typesetting" w:hAnsi="Arabic Typesetting" w:cs="Arabic Typesetting" w:hint="cs"/>
          <w:sz w:val="34"/>
          <w:szCs w:val="34"/>
          <w:rtl/>
        </w:rPr>
        <w:t xml:space="preserve">140 طلباً) واليابان (+128 طلباً) التي انضمت إلى نظام لاهاي في </w:t>
      </w:r>
      <w:r w:rsidR="00507DE2">
        <w:rPr>
          <w:rFonts w:ascii="Arabic Typesetting" w:hAnsi="Arabic Typesetting" w:cs="Arabic Typesetting" w:hint="cs"/>
          <w:sz w:val="34"/>
          <w:szCs w:val="34"/>
          <w:rtl/>
        </w:rPr>
        <w:t>2014/15</w:t>
      </w:r>
      <w:r w:rsidR="00B9070A" w:rsidRPr="00B9070A">
        <w:rPr>
          <w:rFonts w:ascii="Arabic Typesetting" w:hAnsi="Arabic Typesetting" w:cs="Arabic Typesetting" w:hint="cs"/>
          <w:sz w:val="34"/>
          <w:szCs w:val="34"/>
          <w:rtl/>
        </w:rPr>
        <w:t xml:space="preserve">. وازداد إجمالي عدد الطلبات الواردة في </w:t>
      </w:r>
      <w:r w:rsidR="00507DE2">
        <w:rPr>
          <w:rFonts w:ascii="Arabic Typesetting" w:hAnsi="Arabic Typesetting" w:cs="Arabic Typesetting" w:hint="cs"/>
          <w:sz w:val="34"/>
          <w:szCs w:val="34"/>
          <w:rtl/>
        </w:rPr>
        <w:t>2014/15</w:t>
      </w:r>
      <w:r w:rsidR="00B9070A" w:rsidRPr="00B9070A">
        <w:rPr>
          <w:rFonts w:ascii="Arabic Typesetting" w:hAnsi="Arabic Typesetting" w:cs="Arabic Typesetting" w:hint="cs"/>
          <w:sz w:val="34"/>
          <w:szCs w:val="34"/>
          <w:rtl/>
        </w:rPr>
        <w:t xml:space="preserve"> (7035) بنسبة 26 بالمئة مقارنة بالثنائية </w:t>
      </w:r>
      <w:r w:rsidR="00507DE2">
        <w:rPr>
          <w:rFonts w:ascii="Arabic Typesetting" w:hAnsi="Arabic Typesetting" w:cs="Arabic Typesetting" w:hint="cs"/>
          <w:sz w:val="34"/>
          <w:szCs w:val="34"/>
          <w:rtl/>
        </w:rPr>
        <w:t>2012/13</w:t>
      </w:r>
      <w:r w:rsidR="00B9070A" w:rsidRPr="00B9070A">
        <w:rPr>
          <w:rFonts w:ascii="Arabic Typesetting" w:hAnsi="Arabic Typesetting" w:cs="Arabic Typesetting" w:hint="cs"/>
          <w:sz w:val="34"/>
          <w:szCs w:val="34"/>
          <w:rtl/>
        </w:rPr>
        <w:t xml:space="preserve"> (5594).</w:t>
      </w:r>
    </w:p>
    <w:p w:rsidR="00B31868" w:rsidRPr="00017B05" w:rsidRDefault="00B31868" w:rsidP="009A3712">
      <w:pPr>
        <w:numPr>
          <w:ilvl w:val="0"/>
          <w:numId w:val="31"/>
        </w:numPr>
        <w:bidi/>
        <w:spacing w:after="120" w:line="340" w:lineRule="exact"/>
        <w:ind w:left="1134" w:hanging="567"/>
        <w:rPr>
          <w:rFonts w:ascii="Arabic Typesetting" w:hAnsi="Arabic Typesetting" w:cs="Arabic Typesetting"/>
          <w:sz w:val="34"/>
          <w:szCs w:val="34"/>
        </w:rPr>
      </w:pPr>
      <w:r w:rsidRPr="00017B05">
        <w:rPr>
          <w:rFonts w:ascii="Arabic Typesetting" w:hAnsi="Arabic Typesetting" w:cs="Arabic Typesetting" w:hint="cs"/>
          <w:sz w:val="34"/>
          <w:szCs w:val="34"/>
          <w:rtl/>
        </w:rPr>
        <w:lastRenderedPageBreak/>
        <w:t xml:space="preserve">وفي </w:t>
      </w:r>
      <w:r w:rsidR="008A6D4E">
        <w:rPr>
          <w:rFonts w:ascii="Arabic Typesetting" w:hAnsi="Arabic Typesetting" w:cs="Arabic Typesetting" w:hint="cs"/>
          <w:sz w:val="34"/>
          <w:szCs w:val="34"/>
          <w:rtl/>
        </w:rPr>
        <w:t>عام</w:t>
      </w:r>
      <w:r w:rsidRPr="00017B05">
        <w:rPr>
          <w:rFonts w:ascii="Arabic Typesetting" w:hAnsi="Arabic Typesetting" w:cs="Arabic Typesetting" w:hint="cs"/>
          <w:sz w:val="34"/>
          <w:szCs w:val="34"/>
          <w:rtl/>
        </w:rPr>
        <w:t xml:space="preserve"> </w:t>
      </w:r>
      <w:r w:rsidR="00FE3B98">
        <w:rPr>
          <w:rFonts w:ascii="Arabic Typesetting" w:hAnsi="Arabic Typesetting" w:cs="Arabic Typesetting" w:hint="cs"/>
          <w:sz w:val="34"/>
          <w:szCs w:val="34"/>
          <w:rtl/>
        </w:rPr>
        <w:t xml:space="preserve">2015، </w:t>
      </w:r>
      <w:r w:rsidRPr="00017B05">
        <w:rPr>
          <w:rFonts w:ascii="Arabic Typesetting" w:hAnsi="Arabic Typesetting" w:cs="Arabic Typesetting" w:hint="cs"/>
          <w:sz w:val="34"/>
          <w:szCs w:val="34"/>
          <w:rtl/>
        </w:rPr>
        <w:t xml:space="preserve">أودعت نسبة </w:t>
      </w:r>
      <w:r w:rsidR="00B5372F" w:rsidRPr="00017B05">
        <w:rPr>
          <w:rFonts w:ascii="Arabic Typesetting" w:hAnsi="Arabic Typesetting" w:cs="Arabic Typesetting" w:hint="cs"/>
          <w:sz w:val="34"/>
          <w:szCs w:val="34"/>
          <w:rtl/>
        </w:rPr>
        <w:t xml:space="preserve">93 </w:t>
      </w:r>
      <w:r w:rsidRPr="00017B05">
        <w:rPr>
          <w:rFonts w:ascii="Arabic Typesetting" w:hAnsi="Arabic Typesetting" w:cs="Arabic Typesetting" w:hint="cs"/>
          <w:sz w:val="34"/>
          <w:szCs w:val="34"/>
          <w:rtl/>
        </w:rPr>
        <w:t>بالمئة من الطلبات إلكترونيا</w:t>
      </w:r>
      <w:r w:rsidR="00B5372F" w:rsidRPr="00017B05">
        <w:rPr>
          <w:rFonts w:ascii="Arabic Typesetting" w:hAnsi="Arabic Typesetting" w:cs="Arabic Typesetting" w:hint="cs"/>
          <w:sz w:val="34"/>
          <w:szCs w:val="34"/>
          <w:rtl/>
        </w:rPr>
        <w:t xml:space="preserve"> أي بزيادة قدرها 4 بالمئة على </w:t>
      </w:r>
      <w:r w:rsidR="008A6D4E">
        <w:rPr>
          <w:rFonts w:ascii="Arabic Typesetting" w:hAnsi="Arabic Typesetting" w:cs="Arabic Typesetting" w:hint="cs"/>
          <w:sz w:val="34"/>
          <w:szCs w:val="34"/>
          <w:rtl/>
        </w:rPr>
        <w:t>عام</w:t>
      </w:r>
      <w:r w:rsidR="00B5372F" w:rsidRPr="00017B05">
        <w:rPr>
          <w:rFonts w:ascii="Arabic Typesetting" w:hAnsi="Arabic Typesetting" w:cs="Arabic Typesetting" w:hint="eastAsia"/>
          <w:sz w:val="34"/>
          <w:szCs w:val="34"/>
          <w:rtl/>
        </w:rPr>
        <w:t> </w:t>
      </w:r>
      <w:r w:rsidR="00B5372F" w:rsidRPr="00017B05">
        <w:rPr>
          <w:rFonts w:ascii="Arabic Typesetting" w:hAnsi="Arabic Typesetting" w:cs="Arabic Typesetting" w:hint="cs"/>
          <w:sz w:val="34"/>
          <w:szCs w:val="34"/>
          <w:rtl/>
        </w:rPr>
        <w:t>2014</w:t>
      </w:r>
      <w:r w:rsidRPr="00017B05">
        <w:rPr>
          <w:rFonts w:ascii="Arabic Typesetting" w:hAnsi="Arabic Typesetting" w:cs="Arabic Typesetting" w:hint="cs"/>
          <w:sz w:val="34"/>
          <w:szCs w:val="34"/>
          <w:rtl/>
        </w:rPr>
        <w:t xml:space="preserve">. وبذلك زادت حصة الإيداعات الإلكترونية بنسبة </w:t>
      </w:r>
      <w:r w:rsidR="00017B05" w:rsidRPr="00017B05">
        <w:rPr>
          <w:rFonts w:ascii="Arabic Typesetting" w:hAnsi="Arabic Typesetting" w:cs="Arabic Typesetting" w:hint="cs"/>
          <w:sz w:val="34"/>
          <w:szCs w:val="34"/>
          <w:rtl/>
        </w:rPr>
        <w:t>4 نقاط مئوية بين</w:t>
      </w:r>
      <w:r w:rsidR="00FE3B98">
        <w:rPr>
          <w:rFonts w:ascii="Arabic Typesetting" w:hAnsi="Arabic Typesetting" w:cs="Arabic Typesetting" w:hint="cs"/>
          <w:sz w:val="34"/>
          <w:szCs w:val="34"/>
          <w:rtl/>
        </w:rPr>
        <w:t xml:space="preserve"> عامي</w:t>
      </w:r>
      <w:r w:rsidR="00017B05" w:rsidRPr="00017B05">
        <w:rPr>
          <w:rFonts w:ascii="Arabic Typesetting" w:hAnsi="Arabic Typesetting" w:cs="Arabic Typesetting" w:hint="cs"/>
          <w:sz w:val="34"/>
          <w:szCs w:val="34"/>
          <w:rtl/>
        </w:rPr>
        <w:t xml:space="preserve"> 2011 و2015 </w:t>
      </w:r>
      <w:r w:rsidR="00017B05">
        <w:rPr>
          <w:rFonts w:ascii="Arabic Typesetting" w:hAnsi="Arabic Typesetting" w:cs="Arabic Typesetting" w:hint="cs"/>
          <w:sz w:val="34"/>
          <w:szCs w:val="34"/>
          <w:rtl/>
        </w:rPr>
        <w:t>مرتفعةً</w:t>
      </w:r>
      <w:r w:rsidR="00017B05" w:rsidRPr="00017B05">
        <w:rPr>
          <w:rFonts w:ascii="Arabic Typesetting" w:hAnsi="Arabic Typesetting" w:cs="Arabic Typesetting" w:hint="cs"/>
          <w:sz w:val="34"/>
          <w:szCs w:val="34"/>
          <w:rtl/>
        </w:rPr>
        <w:t xml:space="preserve"> من 79 بالمئة في </w:t>
      </w:r>
      <w:r w:rsidR="008A6D4E">
        <w:rPr>
          <w:rFonts w:ascii="Arabic Typesetting" w:hAnsi="Arabic Typesetting" w:cs="Arabic Typesetting" w:hint="cs"/>
          <w:sz w:val="34"/>
          <w:szCs w:val="34"/>
          <w:rtl/>
        </w:rPr>
        <w:t>عام</w:t>
      </w:r>
      <w:r w:rsidR="00017B05" w:rsidRPr="00017B05">
        <w:rPr>
          <w:rFonts w:ascii="Arabic Typesetting" w:hAnsi="Arabic Typesetting" w:cs="Arabic Typesetting" w:hint="cs"/>
          <w:sz w:val="34"/>
          <w:szCs w:val="34"/>
          <w:rtl/>
        </w:rPr>
        <w:t xml:space="preserve"> 2011 إلى 93 بالمئة في </w:t>
      </w:r>
      <w:r w:rsidR="008A6D4E">
        <w:rPr>
          <w:rFonts w:ascii="Arabic Typesetting" w:hAnsi="Arabic Typesetting" w:cs="Arabic Typesetting" w:hint="cs"/>
          <w:sz w:val="34"/>
          <w:szCs w:val="34"/>
          <w:rtl/>
        </w:rPr>
        <w:t>عام</w:t>
      </w:r>
      <w:r w:rsidR="00017B05" w:rsidRPr="00017B05">
        <w:rPr>
          <w:rFonts w:ascii="Arabic Typesetting" w:hAnsi="Arabic Typesetting" w:cs="Arabic Typesetting" w:hint="cs"/>
          <w:sz w:val="34"/>
          <w:szCs w:val="34"/>
          <w:rtl/>
        </w:rPr>
        <w:t xml:space="preserve"> 2015.</w:t>
      </w:r>
    </w:p>
    <w:p w:rsidR="00B31868" w:rsidRPr="00B31868" w:rsidRDefault="00B31868" w:rsidP="00086C3F">
      <w:pPr>
        <w:keepNext/>
        <w:bidi/>
        <w:spacing w:before="120" w:after="120" w:line="340" w:lineRule="exact"/>
        <w:ind w:left="567"/>
        <w:rPr>
          <w:rFonts w:ascii="Arabic Typesetting" w:hAnsi="Arabic Typesetting" w:cs="Arabic Typesetting"/>
          <w:i/>
          <w:iCs/>
          <w:sz w:val="34"/>
          <w:szCs w:val="34"/>
          <w:rtl/>
        </w:rPr>
      </w:pPr>
      <w:r w:rsidRPr="00B31868">
        <w:rPr>
          <w:rFonts w:ascii="Arabic Typesetting" w:hAnsi="Arabic Typesetting" w:cs="Arabic Typesetting" w:hint="cs"/>
          <w:i/>
          <w:iCs/>
          <w:sz w:val="34"/>
          <w:szCs w:val="34"/>
          <w:rtl/>
        </w:rPr>
        <w:t>متوسط عدد التصاميم لكل طلب</w:t>
      </w:r>
    </w:p>
    <w:p w:rsidR="00B31868" w:rsidRPr="00B31868" w:rsidRDefault="00017B05" w:rsidP="00086C3F">
      <w:pPr>
        <w:bidi/>
        <w:spacing w:after="120"/>
        <w:jc w:val="center"/>
        <w:rPr>
          <w:rFonts w:ascii="Arabic Typesetting" w:hAnsi="Arabic Typesetting" w:cs="Arabic Typesetting"/>
          <w:sz w:val="36"/>
          <w:szCs w:val="36"/>
          <w:rtl/>
        </w:rPr>
      </w:pPr>
      <w:r>
        <w:rPr>
          <w:noProof/>
        </w:rPr>
        <w:drawing>
          <wp:inline distT="0" distB="0" distL="0" distR="0" wp14:anchorId="7CFC5D8B" wp14:editId="789DA689">
            <wp:extent cx="4659465" cy="3093057"/>
            <wp:effectExtent l="0" t="0" r="8255"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B31868" w:rsidRPr="00CE71B5" w:rsidRDefault="00B31868" w:rsidP="009A3712">
      <w:pPr>
        <w:numPr>
          <w:ilvl w:val="0"/>
          <w:numId w:val="31"/>
        </w:numPr>
        <w:bidi/>
        <w:spacing w:after="120" w:line="340" w:lineRule="exact"/>
        <w:rPr>
          <w:rFonts w:ascii="Arabic Typesetting" w:hAnsi="Arabic Typesetting" w:cs="Arabic Typesetting"/>
          <w:sz w:val="34"/>
          <w:szCs w:val="34"/>
        </w:rPr>
      </w:pPr>
      <w:r w:rsidRPr="00CE71B5">
        <w:rPr>
          <w:rFonts w:ascii="Arabic Typesetting" w:hAnsi="Arabic Typesetting" w:cs="Arabic Typesetting" w:hint="cs"/>
          <w:sz w:val="34"/>
          <w:szCs w:val="34"/>
          <w:rtl/>
        </w:rPr>
        <w:t xml:space="preserve">في </w:t>
      </w:r>
      <w:r w:rsidR="008A6D4E">
        <w:rPr>
          <w:rFonts w:ascii="Arabic Typesetting" w:hAnsi="Arabic Typesetting" w:cs="Arabic Typesetting" w:hint="cs"/>
          <w:sz w:val="34"/>
          <w:szCs w:val="34"/>
          <w:rtl/>
        </w:rPr>
        <w:t>عام</w:t>
      </w:r>
      <w:r w:rsidRPr="00CE71B5">
        <w:rPr>
          <w:rFonts w:ascii="Arabic Typesetting" w:hAnsi="Arabic Typesetting" w:cs="Arabic Typesetting" w:hint="cs"/>
          <w:sz w:val="34"/>
          <w:szCs w:val="34"/>
          <w:rtl/>
        </w:rPr>
        <w:t xml:space="preserve"> </w:t>
      </w:r>
      <w:r w:rsidR="00017B05" w:rsidRPr="00CE71B5">
        <w:rPr>
          <w:rFonts w:ascii="Arabic Typesetting" w:hAnsi="Arabic Typesetting" w:cs="Arabic Typesetting" w:hint="cs"/>
          <w:sz w:val="34"/>
          <w:szCs w:val="34"/>
          <w:rtl/>
        </w:rPr>
        <w:t>2015</w:t>
      </w:r>
      <w:r w:rsidRPr="00CE71B5">
        <w:rPr>
          <w:rFonts w:ascii="Arabic Typesetting" w:hAnsi="Arabic Typesetting" w:cs="Arabic Typesetting" w:hint="cs"/>
          <w:sz w:val="34"/>
          <w:szCs w:val="34"/>
          <w:rtl/>
        </w:rPr>
        <w:t xml:space="preserve">، احتوى الطلب الدولي في المتوسط على </w:t>
      </w:r>
      <w:r w:rsidR="00CE71B5" w:rsidRPr="00CE71B5">
        <w:rPr>
          <w:rFonts w:ascii="Arabic Typesetting" w:hAnsi="Arabic Typesetting" w:cs="Arabic Typesetting" w:hint="cs"/>
          <w:sz w:val="34"/>
          <w:szCs w:val="34"/>
          <w:rtl/>
        </w:rPr>
        <w:t>أربعة</w:t>
      </w:r>
      <w:r w:rsidRPr="00CE71B5">
        <w:rPr>
          <w:rFonts w:ascii="Arabic Typesetting" w:hAnsi="Arabic Typesetting" w:cs="Arabic Typesetting" w:hint="cs"/>
          <w:sz w:val="34"/>
          <w:szCs w:val="34"/>
          <w:rtl/>
        </w:rPr>
        <w:t xml:space="preserve"> تصاميم</w:t>
      </w:r>
      <w:r w:rsidR="00CE71B5" w:rsidRPr="00CE71B5">
        <w:rPr>
          <w:rFonts w:ascii="Arabic Typesetting" w:hAnsi="Arabic Typesetting" w:cs="Arabic Typesetting" w:hint="cs"/>
          <w:sz w:val="34"/>
          <w:szCs w:val="34"/>
          <w:rtl/>
        </w:rPr>
        <w:t xml:space="preserve"> أي تصميم أقل عن متوسط </w:t>
      </w:r>
      <w:r w:rsidR="008A6D4E">
        <w:rPr>
          <w:rFonts w:ascii="Arabic Typesetting" w:hAnsi="Arabic Typesetting" w:cs="Arabic Typesetting" w:hint="cs"/>
          <w:sz w:val="34"/>
          <w:szCs w:val="34"/>
          <w:rtl/>
        </w:rPr>
        <w:t>عام</w:t>
      </w:r>
      <w:r w:rsidR="00CE71B5" w:rsidRPr="00CE71B5">
        <w:rPr>
          <w:rFonts w:ascii="Arabic Typesetting" w:hAnsi="Arabic Typesetting" w:cs="Arabic Typesetting" w:hint="cs"/>
          <w:sz w:val="34"/>
          <w:szCs w:val="34"/>
          <w:rtl/>
        </w:rPr>
        <w:t xml:space="preserve"> 2014.</w:t>
      </w:r>
      <w:r w:rsidRPr="00CE71B5">
        <w:rPr>
          <w:rFonts w:ascii="Arabic Typesetting" w:hAnsi="Arabic Typesetting" w:cs="Arabic Typesetting" w:hint="cs"/>
          <w:sz w:val="34"/>
          <w:szCs w:val="34"/>
          <w:rtl/>
        </w:rPr>
        <w:t xml:space="preserve"> وبين </w:t>
      </w:r>
      <w:r w:rsidR="008A6D4E">
        <w:rPr>
          <w:rFonts w:ascii="Arabic Typesetting" w:hAnsi="Arabic Typesetting" w:cs="Arabic Typesetting" w:hint="cs"/>
          <w:sz w:val="34"/>
          <w:szCs w:val="34"/>
          <w:rtl/>
        </w:rPr>
        <w:t>عامي</w:t>
      </w:r>
      <w:r w:rsidRPr="00CE71B5">
        <w:rPr>
          <w:rFonts w:ascii="Arabic Typesetting" w:hAnsi="Arabic Typesetting" w:cs="Arabic Typesetting" w:hint="cs"/>
          <w:sz w:val="34"/>
          <w:szCs w:val="34"/>
          <w:rtl/>
        </w:rPr>
        <w:t xml:space="preserve"> 2011 </w:t>
      </w:r>
      <w:r w:rsidR="008A6D4E">
        <w:rPr>
          <w:rFonts w:ascii="Arabic Typesetting" w:hAnsi="Arabic Typesetting" w:cs="Arabic Typesetting" w:hint="cs"/>
          <w:sz w:val="34"/>
          <w:szCs w:val="34"/>
          <w:rtl/>
        </w:rPr>
        <w:t>و</w:t>
      </w:r>
      <w:r w:rsidR="00CE71B5" w:rsidRPr="00CE71B5">
        <w:rPr>
          <w:rFonts w:ascii="Arabic Typesetting" w:hAnsi="Arabic Typesetting" w:cs="Arabic Typesetting" w:hint="cs"/>
          <w:sz w:val="34"/>
          <w:szCs w:val="34"/>
          <w:rtl/>
        </w:rPr>
        <w:t xml:space="preserve">2015 </w:t>
      </w:r>
      <w:r w:rsidRPr="00CE71B5">
        <w:rPr>
          <w:rFonts w:ascii="Arabic Typesetting" w:hAnsi="Arabic Typesetting" w:cs="Arabic Typesetting" w:hint="cs"/>
          <w:sz w:val="34"/>
          <w:szCs w:val="34"/>
          <w:rtl/>
        </w:rPr>
        <w:t>تراوح متوسط عدد التصاميم لكل طلب بين 4 و5 تصاميم.</w:t>
      </w:r>
    </w:p>
    <w:p w:rsidR="00B31868" w:rsidRPr="00B31868" w:rsidRDefault="00B31868" w:rsidP="00086C3F">
      <w:pPr>
        <w:keepNext/>
        <w:bidi/>
        <w:spacing w:before="120" w:after="120" w:line="340" w:lineRule="exact"/>
        <w:ind w:left="567"/>
        <w:rPr>
          <w:rFonts w:ascii="Arabic Typesetting" w:hAnsi="Arabic Typesetting" w:cs="Arabic Typesetting"/>
          <w:i/>
          <w:iCs/>
          <w:sz w:val="34"/>
          <w:szCs w:val="34"/>
          <w:rtl/>
        </w:rPr>
      </w:pPr>
      <w:r w:rsidRPr="00B31868">
        <w:rPr>
          <w:rFonts w:ascii="Arabic Typesetting" w:hAnsi="Arabic Typesetting" w:cs="Arabic Typesetting" w:hint="cs"/>
          <w:i/>
          <w:iCs/>
          <w:sz w:val="34"/>
          <w:szCs w:val="34"/>
          <w:rtl/>
        </w:rPr>
        <w:t>متوسط عدد التعيينات لكل تسجيل</w:t>
      </w:r>
    </w:p>
    <w:p w:rsidR="00B31868" w:rsidRPr="00B31868" w:rsidRDefault="001B1F74" w:rsidP="00086C3F">
      <w:pPr>
        <w:bidi/>
        <w:spacing w:before="120" w:after="120"/>
        <w:jc w:val="center"/>
        <w:rPr>
          <w:rFonts w:ascii="Arabic Typesetting" w:hAnsi="Arabic Typesetting" w:cs="Arabic Typesetting"/>
          <w:i/>
          <w:iCs/>
          <w:sz w:val="34"/>
          <w:szCs w:val="34"/>
          <w:rtl/>
        </w:rPr>
      </w:pPr>
      <w:r>
        <w:rPr>
          <w:noProof/>
        </w:rPr>
        <w:drawing>
          <wp:inline distT="0" distB="0" distL="0" distR="0" wp14:anchorId="530ADE83" wp14:editId="63073475">
            <wp:extent cx="5049672" cy="3473355"/>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B31868" w:rsidRPr="00B31868" w:rsidRDefault="00B31868" w:rsidP="009A3712">
      <w:pPr>
        <w:numPr>
          <w:ilvl w:val="0"/>
          <w:numId w:val="31"/>
        </w:numPr>
        <w:bidi/>
        <w:spacing w:after="120" w:line="340" w:lineRule="exact"/>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في </w:t>
      </w:r>
      <w:r w:rsidR="008A6D4E">
        <w:rPr>
          <w:rFonts w:ascii="Arabic Typesetting" w:hAnsi="Arabic Typesetting" w:cs="Arabic Typesetting" w:hint="cs"/>
          <w:sz w:val="34"/>
          <w:szCs w:val="34"/>
          <w:rtl/>
        </w:rPr>
        <w:t>عام</w:t>
      </w:r>
      <w:r w:rsidRPr="00B31868">
        <w:rPr>
          <w:rFonts w:ascii="Arabic Typesetting" w:hAnsi="Arabic Typesetting" w:cs="Arabic Typesetting" w:hint="cs"/>
          <w:sz w:val="34"/>
          <w:szCs w:val="34"/>
          <w:rtl/>
        </w:rPr>
        <w:t xml:space="preserve"> </w:t>
      </w:r>
      <w:r w:rsidR="00CE71B5">
        <w:rPr>
          <w:rFonts w:ascii="Arabic Typesetting" w:hAnsi="Arabic Typesetting" w:cs="Arabic Typesetting" w:hint="cs"/>
          <w:sz w:val="34"/>
          <w:szCs w:val="34"/>
          <w:rtl/>
        </w:rPr>
        <w:t>2015</w:t>
      </w:r>
      <w:r w:rsidR="00CE71B5"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 xml:space="preserve">احتوى الطلب في المتوسط على </w:t>
      </w:r>
      <w:r w:rsidR="00CE71B5">
        <w:rPr>
          <w:rFonts w:ascii="Arabic Typesetting" w:hAnsi="Arabic Typesetting" w:cs="Arabic Typesetting" w:hint="cs"/>
          <w:sz w:val="34"/>
          <w:szCs w:val="34"/>
          <w:rtl/>
        </w:rPr>
        <w:t>4.5 تصميم مقارنة بمتوسط بلغ نحو خمسة تصاميم في عام 2014 وهو</w:t>
      </w:r>
      <w:r w:rsidR="00CE71B5">
        <w:rPr>
          <w:rFonts w:ascii="Arabic Typesetting" w:hAnsi="Arabic Typesetting" w:cs="Arabic Typesetting" w:hint="eastAsia"/>
          <w:sz w:val="34"/>
          <w:szCs w:val="34"/>
          <w:rtl/>
        </w:rPr>
        <w:t> </w:t>
      </w:r>
      <w:r w:rsidR="00CE71B5">
        <w:rPr>
          <w:rFonts w:ascii="Arabic Typesetting" w:hAnsi="Arabic Typesetting" w:cs="Arabic Typesetting" w:hint="cs"/>
          <w:sz w:val="34"/>
          <w:szCs w:val="34"/>
          <w:rtl/>
        </w:rPr>
        <w:t>أقل متوسط لكل طلب سُجل منذ عام 2011</w:t>
      </w:r>
      <w:r w:rsidRPr="00B31868">
        <w:rPr>
          <w:rFonts w:ascii="Arabic Typesetting" w:hAnsi="Arabic Typesetting" w:cs="Arabic Typesetting" w:hint="cs"/>
          <w:sz w:val="34"/>
          <w:szCs w:val="34"/>
          <w:rtl/>
        </w:rPr>
        <w:t>.</w:t>
      </w:r>
    </w:p>
    <w:p w:rsidR="00B31868" w:rsidRPr="00B31868" w:rsidRDefault="00B31868" w:rsidP="00086C3F">
      <w:pPr>
        <w:keepNext/>
        <w:bidi/>
        <w:spacing w:before="120" w:after="120" w:line="340" w:lineRule="exact"/>
        <w:ind w:left="567"/>
        <w:rPr>
          <w:rFonts w:ascii="Arabic Typesetting" w:hAnsi="Arabic Typesetting" w:cs="Arabic Typesetting"/>
          <w:i/>
          <w:iCs/>
          <w:sz w:val="34"/>
          <w:szCs w:val="34"/>
        </w:rPr>
      </w:pPr>
      <w:r w:rsidRPr="00B31868">
        <w:rPr>
          <w:rFonts w:ascii="Arabic Typesetting" w:hAnsi="Arabic Typesetting" w:cs="Arabic Typesetting" w:hint="cs"/>
          <w:i/>
          <w:iCs/>
          <w:sz w:val="34"/>
          <w:szCs w:val="34"/>
          <w:rtl/>
        </w:rPr>
        <w:lastRenderedPageBreak/>
        <w:t>توجهات المخالفات في الطلبات</w:t>
      </w:r>
    </w:p>
    <w:p w:rsidR="00B31868" w:rsidRPr="00B31868" w:rsidRDefault="00B31868" w:rsidP="009A3712">
      <w:pPr>
        <w:numPr>
          <w:ilvl w:val="0"/>
          <w:numId w:val="33"/>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تنقسم المخالفات في الطلبات إلى عشر فئات مبينة في الشكل </w:t>
      </w:r>
      <w:r w:rsidR="00CE71B5">
        <w:rPr>
          <w:rFonts w:ascii="Arabic Typesetting" w:hAnsi="Arabic Typesetting" w:cs="Arabic Typesetting" w:hint="cs"/>
          <w:sz w:val="34"/>
          <w:szCs w:val="34"/>
          <w:rtl/>
        </w:rPr>
        <w:t>التالي</w:t>
      </w:r>
      <w:r w:rsidRPr="00B31868">
        <w:rPr>
          <w:rFonts w:ascii="Arabic Typesetting" w:hAnsi="Arabic Typesetting" w:cs="Arabic Typesetting" w:hint="cs"/>
          <w:sz w:val="34"/>
          <w:szCs w:val="34"/>
          <w:rtl/>
        </w:rPr>
        <w:t>.</w:t>
      </w:r>
    </w:p>
    <w:p w:rsidR="00B31868" w:rsidRPr="00B31868" w:rsidRDefault="00CE71B5" w:rsidP="00086C3F">
      <w:pPr>
        <w:bidi/>
        <w:spacing w:after="120"/>
        <w:jc w:val="center"/>
        <w:rPr>
          <w:rFonts w:ascii="Arabic Typesetting" w:hAnsi="Arabic Typesetting" w:cs="Arabic Typesetting"/>
          <w:sz w:val="34"/>
          <w:szCs w:val="34"/>
        </w:rPr>
      </w:pPr>
      <w:r>
        <w:rPr>
          <w:noProof/>
        </w:rPr>
        <w:drawing>
          <wp:inline distT="0" distB="0" distL="0" distR="0" wp14:anchorId="267469C9" wp14:editId="5B0B1278">
            <wp:extent cx="5940425" cy="3557274"/>
            <wp:effectExtent l="0" t="0" r="3175" b="508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B31868" w:rsidRPr="00B31868" w:rsidRDefault="00B31868" w:rsidP="009A3712">
      <w:pPr>
        <w:keepNext/>
        <w:numPr>
          <w:ilvl w:val="0"/>
          <w:numId w:val="31"/>
        </w:numPr>
        <w:bidi/>
        <w:spacing w:after="120" w:line="340" w:lineRule="exact"/>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في </w:t>
      </w:r>
      <w:r w:rsidR="008A6D4E">
        <w:rPr>
          <w:rFonts w:ascii="Arabic Typesetting" w:hAnsi="Arabic Typesetting" w:cs="Arabic Typesetting" w:hint="cs"/>
          <w:sz w:val="34"/>
          <w:szCs w:val="34"/>
          <w:rtl/>
        </w:rPr>
        <w:t>عام</w:t>
      </w:r>
      <w:r w:rsidRPr="00B31868">
        <w:rPr>
          <w:rFonts w:ascii="Arabic Typesetting" w:hAnsi="Arabic Typesetting" w:cs="Arabic Typesetting" w:hint="cs"/>
          <w:sz w:val="34"/>
          <w:szCs w:val="34"/>
          <w:rtl/>
        </w:rPr>
        <w:t xml:space="preserve"> </w:t>
      </w:r>
      <w:r w:rsidR="005027A8">
        <w:rPr>
          <w:rFonts w:ascii="Arabic Typesetting" w:hAnsi="Arabic Typesetting" w:cs="Arabic Typesetting" w:hint="cs"/>
          <w:sz w:val="34"/>
          <w:szCs w:val="34"/>
          <w:rtl/>
        </w:rPr>
        <w:t>2015</w:t>
      </w:r>
      <w:r w:rsidRPr="00B31868">
        <w:rPr>
          <w:rFonts w:ascii="Arabic Typesetting" w:hAnsi="Arabic Typesetting" w:cs="Arabic Typesetting" w:hint="cs"/>
          <w:sz w:val="34"/>
          <w:szCs w:val="34"/>
          <w:rtl/>
        </w:rPr>
        <w:t xml:space="preserve">، حدد المكتب الدولي </w:t>
      </w:r>
      <w:r w:rsidR="005027A8">
        <w:rPr>
          <w:rFonts w:ascii="Arabic Typesetting" w:hAnsi="Arabic Typesetting" w:cs="Arabic Typesetting" w:hint="cs"/>
          <w:sz w:val="34"/>
          <w:szCs w:val="34"/>
          <w:rtl/>
        </w:rPr>
        <w:t>2118</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 xml:space="preserve">مخالفة في الطلبات، أي </w:t>
      </w:r>
      <w:r w:rsidR="005027A8">
        <w:rPr>
          <w:rFonts w:ascii="Arabic Typesetting" w:hAnsi="Arabic Typesetting" w:cs="Arabic Typesetting" w:hint="cs"/>
          <w:sz w:val="34"/>
          <w:szCs w:val="34"/>
          <w:rtl/>
        </w:rPr>
        <w:t>بزيادة</w:t>
      </w:r>
      <w:r w:rsidR="005027A8" w:rsidRPr="00B31868">
        <w:rPr>
          <w:rFonts w:ascii="Arabic Typesetting" w:hAnsi="Arabic Typesetting" w:cs="Arabic Typesetting" w:hint="cs"/>
          <w:sz w:val="34"/>
          <w:szCs w:val="34"/>
          <w:rtl/>
        </w:rPr>
        <w:t xml:space="preserve"> </w:t>
      </w:r>
      <w:r w:rsidR="00FE3B98">
        <w:rPr>
          <w:rFonts w:ascii="Arabic Typesetting" w:hAnsi="Arabic Typesetting" w:cs="Arabic Typesetting" w:hint="cs"/>
          <w:sz w:val="34"/>
          <w:szCs w:val="34"/>
          <w:rtl/>
        </w:rPr>
        <w:t>نسبتها</w:t>
      </w:r>
      <w:r w:rsidRPr="00B31868">
        <w:rPr>
          <w:rFonts w:ascii="Arabic Typesetting" w:hAnsi="Arabic Typesetting" w:cs="Arabic Typesetting" w:hint="cs"/>
          <w:sz w:val="34"/>
          <w:szCs w:val="34"/>
          <w:rtl/>
        </w:rPr>
        <w:t xml:space="preserve"> </w:t>
      </w:r>
      <w:r w:rsidR="005027A8">
        <w:rPr>
          <w:rFonts w:ascii="Arabic Typesetting" w:hAnsi="Arabic Typesetting" w:cs="Arabic Typesetting" w:hint="cs"/>
          <w:sz w:val="34"/>
          <w:szCs w:val="34"/>
          <w:rtl/>
        </w:rPr>
        <w:t>36</w:t>
      </w:r>
      <w:r w:rsidR="005027A8"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 xml:space="preserve">بالمئة </w:t>
      </w:r>
      <w:r w:rsidR="005027A8">
        <w:rPr>
          <w:rFonts w:ascii="Arabic Typesetting" w:hAnsi="Arabic Typesetting" w:cs="Arabic Typesetting" w:hint="cs"/>
          <w:sz w:val="34"/>
          <w:szCs w:val="34"/>
          <w:rtl/>
        </w:rPr>
        <w:t>على</w:t>
      </w:r>
      <w:r w:rsidR="005027A8" w:rsidRPr="00B31868">
        <w:rPr>
          <w:rFonts w:ascii="Arabic Typesetting" w:hAnsi="Arabic Typesetting" w:cs="Arabic Typesetting" w:hint="cs"/>
          <w:sz w:val="34"/>
          <w:szCs w:val="34"/>
          <w:rtl/>
        </w:rPr>
        <w:t xml:space="preserve"> </w:t>
      </w:r>
      <w:r w:rsidR="008A6D4E">
        <w:rPr>
          <w:rFonts w:ascii="Arabic Typesetting" w:hAnsi="Arabic Typesetting" w:cs="Arabic Typesetting" w:hint="cs"/>
          <w:sz w:val="34"/>
          <w:szCs w:val="34"/>
          <w:rtl/>
        </w:rPr>
        <w:t>عام</w:t>
      </w:r>
      <w:r w:rsidRPr="00B31868">
        <w:rPr>
          <w:rFonts w:ascii="Arabic Typesetting" w:hAnsi="Arabic Typesetting" w:cs="Arabic Typesetting" w:hint="cs"/>
          <w:sz w:val="34"/>
          <w:szCs w:val="34"/>
          <w:rtl/>
        </w:rPr>
        <w:t xml:space="preserve"> </w:t>
      </w:r>
      <w:r w:rsidR="005027A8">
        <w:rPr>
          <w:rFonts w:ascii="Arabic Typesetting" w:hAnsi="Arabic Typesetting" w:cs="Arabic Typesetting" w:hint="cs"/>
          <w:sz w:val="34"/>
          <w:szCs w:val="34"/>
          <w:rtl/>
        </w:rPr>
        <w:t>2014</w:t>
      </w:r>
      <w:r w:rsidRPr="00B31868">
        <w:rPr>
          <w:rFonts w:ascii="Arabic Typesetting" w:hAnsi="Arabic Typesetting" w:cs="Arabic Typesetting" w:hint="cs"/>
          <w:sz w:val="34"/>
          <w:szCs w:val="34"/>
          <w:rtl/>
        </w:rPr>
        <w:t>.</w:t>
      </w:r>
    </w:p>
    <w:p w:rsidR="005027A8" w:rsidRDefault="00306215" w:rsidP="003C2A9C">
      <w:pPr>
        <w:numPr>
          <w:ilvl w:val="0"/>
          <w:numId w:val="31"/>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وزادت جميع أنواع المخالفات باستثناء مخالفتي التصنيف والتأجيل التي لم تبلغ نسبتها سوى 1.5 بالمئة من إجمالي عدد المخالفات في الطلبات.</w:t>
      </w:r>
      <w:r w:rsidR="00CE4FBD">
        <w:rPr>
          <w:rFonts w:ascii="Arabic Typesetting" w:hAnsi="Arabic Typesetting" w:cs="Arabic Typesetting" w:hint="cs"/>
          <w:sz w:val="34"/>
          <w:szCs w:val="34"/>
          <w:rtl/>
        </w:rPr>
        <w:t xml:space="preserve"> وشهدت المخالفات التالية </w:t>
      </w:r>
      <w:r w:rsidR="00C352F0">
        <w:rPr>
          <w:rFonts w:ascii="Arabic Typesetting" w:hAnsi="Arabic Typesetting" w:cs="Arabic Typesetting" w:hint="cs"/>
          <w:sz w:val="34"/>
          <w:szCs w:val="34"/>
          <w:rtl/>
        </w:rPr>
        <w:t>أكبر زيادة</w:t>
      </w:r>
      <w:r w:rsidR="00CE4FBD">
        <w:rPr>
          <w:rFonts w:ascii="Arabic Typesetting" w:hAnsi="Arabic Typesetting" w:cs="Arabic Typesetting" w:hint="cs"/>
          <w:sz w:val="34"/>
          <w:szCs w:val="34"/>
          <w:rtl/>
        </w:rPr>
        <w:t xml:space="preserve"> في عام 2015: النسخ (+129 مخالفة) وبيان المنتج (+105</w:t>
      </w:r>
      <w:r w:rsidR="00CE4FBD">
        <w:rPr>
          <w:rFonts w:ascii="Arabic Typesetting" w:hAnsi="Arabic Typesetting" w:cs="Arabic Typesetting" w:hint="eastAsia"/>
          <w:sz w:val="34"/>
          <w:szCs w:val="34"/>
          <w:rtl/>
        </w:rPr>
        <w:t> </w:t>
      </w:r>
      <w:r w:rsidR="00CE4FBD">
        <w:rPr>
          <w:rFonts w:ascii="Arabic Typesetting" w:hAnsi="Arabic Typesetting" w:cs="Arabic Typesetting" w:hint="cs"/>
          <w:sz w:val="34"/>
          <w:szCs w:val="34"/>
          <w:rtl/>
        </w:rPr>
        <w:t>مخالف</w:t>
      </w:r>
      <w:r w:rsidR="003C2A9C">
        <w:rPr>
          <w:rFonts w:ascii="Arabic Typesetting" w:hAnsi="Arabic Typesetting" w:cs="Arabic Typesetting" w:hint="cs"/>
          <w:sz w:val="34"/>
          <w:szCs w:val="34"/>
          <w:rtl/>
        </w:rPr>
        <w:t>ات</w:t>
      </w:r>
      <w:r w:rsidR="00CE4FBD">
        <w:rPr>
          <w:rFonts w:ascii="Arabic Typesetting" w:hAnsi="Arabic Typesetting" w:cs="Arabic Typesetting" w:hint="cs"/>
          <w:sz w:val="34"/>
          <w:szCs w:val="34"/>
          <w:rtl/>
        </w:rPr>
        <w:t>) والتوكيل (+99 مخالفة) والدفع (+95 مخالفة).</w:t>
      </w:r>
    </w:p>
    <w:p w:rsidR="00CE4FBD" w:rsidRDefault="00CE4FBD" w:rsidP="009A3712">
      <w:pPr>
        <w:keepNext/>
        <w:numPr>
          <w:ilvl w:val="0"/>
          <w:numId w:val="33"/>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lastRenderedPageBreak/>
        <w:t>ويلي بيان تطور حصة الطلبات التي تنطوي على مخالفات أو ملاحظات موضوعية.</w:t>
      </w:r>
    </w:p>
    <w:p w:rsidR="00CE4FBD" w:rsidRDefault="00CE4FBD" w:rsidP="00086C3F">
      <w:pPr>
        <w:keepNext/>
        <w:bidi/>
        <w:spacing w:after="120"/>
        <w:jc w:val="center"/>
        <w:rPr>
          <w:rFonts w:ascii="Arabic Typesetting" w:hAnsi="Arabic Typesetting" w:cs="Arabic Typesetting"/>
          <w:sz w:val="34"/>
          <w:szCs w:val="34"/>
        </w:rPr>
      </w:pPr>
      <w:r>
        <w:rPr>
          <w:noProof/>
        </w:rPr>
        <w:drawing>
          <wp:inline distT="0" distB="0" distL="0" distR="0" wp14:anchorId="52D06640" wp14:editId="1FEF8B3B">
            <wp:extent cx="4969565" cy="3204375"/>
            <wp:effectExtent l="0" t="0" r="254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CE4FBD" w:rsidRPr="00CE4FBD" w:rsidRDefault="00CE4FBD" w:rsidP="009A3712">
      <w:pPr>
        <w:keepNext/>
        <w:numPr>
          <w:ilvl w:val="0"/>
          <w:numId w:val="31"/>
        </w:numPr>
        <w:bidi/>
        <w:spacing w:after="120" w:line="340" w:lineRule="exact"/>
        <w:rPr>
          <w:rFonts w:ascii="Arabic Typesetting" w:hAnsi="Arabic Typesetting" w:cs="Arabic Typesetting"/>
          <w:sz w:val="34"/>
          <w:szCs w:val="34"/>
          <w:rtl/>
        </w:rPr>
      </w:pPr>
      <w:r>
        <w:rPr>
          <w:rFonts w:ascii="Arabic Typesetting" w:hAnsi="Arabic Typesetting" w:cs="Arabic Typesetting" w:hint="cs"/>
          <w:sz w:val="34"/>
          <w:szCs w:val="34"/>
          <w:rtl/>
        </w:rPr>
        <w:t>في عام 2015، احتوى نحو 63 بالمئة من الطلبات على ما لا يقل عن مخالفة أو ملاحظة موضوعية. و</w:t>
      </w:r>
      <w:r w:rsidR="00F64381">
        <w:rPr>
          <w:rFonts w:ascii="Arabic Typesetting" w:hAnsi="Arabic Typesetting" w:cs="Arabic Typesetting" w:hint="cs"/>
          <w:sz w:val="34"/>
          <w:szCs w:val="34"/>
          <w:rtl/>
        </w:rPr>
        <w:t>يساوى ذلك زيادة نسبتها 3 بالمئة مقارنة بعام 2014.</w:t>
      </w:r>
    </w:p>
    <w:p w:rsidR="00B264F9" w:rsidRPr="00141A0B" w:rsidRDefault="00B31868" w:rsidP="00B264F9">
      <w:pPr>
        <w:keepNext/>
        <w:bidi/>
        <w:spacing w:before="120" w:after="120" w:line="340" w:lineRule="exact"/>
        <w:rPr>
          <w:rFonts w:ascii="Arabic Typesetting" w:hAnsi="Arabic Typesetting" w:cs="Arabic Typesetting"/>
          <w:sz w:val="34"/>
          <w:szCs w:val="34"/>
          <w:u w:val="single"/>
          <w:rtl/>
          <w:lang w:val="fr-CH"/>
        </w:rPr>
      </w:pPr>
      <w:r w:rsidRPr="00141A0B">
        <w:rPr>
          <w:rFonts w:ascii="Arabic Typesetting" w:hAnsi="Arabic Typesetting" w:cs="Arabic Typesetting" w:hint="cs"/>
          <w:sz w:val="34"/>
          <w:szCs w:val="34"/>
          <w:u w:val="single"/>
          <w:rtl/>
          <w:lang w:val="fr-CH"/>
        </w:rPr>
        <w:t>التجديدات</w:t>
      </w:r>
    </w:p>
    <w:p w:rsidR="00B31868" w:rsidRPr="00B31868" w:rsidRDefault="00F64381" w:rsidP="00086C3F">
      <w:pPr>
        <w:bidi/>
        <w:spacing w:after="120"/>
        <w:jc w:val="center"/>
        <w:rPr>
          <w:rFonts w:ascii="Arabic Typesetting" w:hAnsi="Arabic Typesetting" w:cs="Arabic Typesetting"/>
          <w:sz w:val="34"/>
          <w:szCs w:val="34"/>
          <w:rtl/>
        </w:rPr>
      </w:pPr>
      <w:r>
        <w:rPr>
          <w:noProof/>
        </w:rPr>
        <w:drawing>
          <wp:inline distT="0" distB="0" distL="0" distR="0" wp14:anchorId="43BD1214" wp14:editId="476B5338">
            <wp:extent cx="4810539" cy="3315694"/>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F64381" w:rsidRDefault="00F64381" w:rsidP="009A3712">
      <w:pPr>
        <w:numPr>
          <w:ilvl w:val="0"/>
          <w:numId w:val="31"/>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في عام 2015، ازداد عدد التجديدات بنسبة 18 بالمئة مقارنة بعام 2014 ليبلغ 3194 تجديداً.</w:t>
      </w:r>
    </w:p>
    <w:p w:rsidR="00F64381" w:rsidRDefault="00F64381" w:rsidP="009A3712">
      <w:pPr>
        <w:numPr>
          <w:ilvl w:val="0"/>
          <w:numId w:val="31"/>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 xml:space="preserve">ومنذ عام 2012، عولجت غالبية التجديدات إلكترونياً مستأثرة بنسبة 73 بالمئة </w:t>
      </w:r>
      <w:r w:rsidR="00E304C9">
        <w:rPr>
          <w:rFonts w:ascii="Arabic Typesetting" w:hAnsi="Arabic Typesetting" w:cs="Arabic Typesetting" w:hint="cs"/>
          <w:sz w:val="34"/>
          <w:szCs w:val="34"/>
          <w:rtl/>
        </w:rPr>
        <w:t>من إجمالي عدد التجديدات في عام</w:t>
      </w:r>
      <w:r w:rsidR="00E304C9">
        <w:rPr>
          <w:rFonts w:ascii="Arabic Typesetting" w:hAnsi="Arabic Typesetting" w:cs="Arabic Typesetting" w:hint="eastAsia"/>
          <w:sz w:val="34"/>
          <w:szCs w:val="34"/>
          <w:rtl/>
        </w:rPr>
        <w:t> </w:t>
      </w:r>
      <w:r w:rsidR="00E304C9">
        <w:rPr>
          <w:rFonts w:ascii="Arabic Typesetting" w:hAnsi="Arabic Typesetting" w:cs="Arabic Typesetting" w:hint="cs"/>
          <w:sz w:val="34"/>
          <w:szCs w:val="34"/>
          <w:rtl/>
        </w:rPr>
        <w:t>2015 مقارنة بنسبة 69 بالمئة</w:t>
      </w:r>
      <w:r w:rsidR="00E304C9" w:rsidRPr="00F96634">
        <w:rPr>
          <w:rFonts w:ascii="Arabic Typesetting" w:hAnsi="Arabic Typesetting" w:cs="Arabic Typesetting"/>
          <w:sz w:val="28"/>
          <w:szCs w:val="28"/>
          <w:vertAlign w:val="superscript"/>
          <w:rtl/>
        </w:rPr>
        <w:footnoteReference w:id="40"/>
      </w:r>
      <w:r w:rsidR="00E304C9">
        <w:rPr>
          <w:rFonts w:ascii="Arabic Typesetting" w:hAnsi="Arabic Typesetting" w:cs="Arabic Typesetting" w:hint="cs"/>
          <w:sz w:val="34"/>
          <w:szCs w:val="34"/>
          <w:rtl/>
        </w:rPr>
        <w:t xml:space="preserve"> في عام 2014 أي بزيادة قدرها 4 بالمئة.</w:t>
      </w:r>
    </w:p>
    <w:p w:rsidR="00B264F9" w:rsidRPr="00141A0B" w:rsidRDefault="00B31868" w:rsidP="00B264F9">
      <w:pPr>
        <w:keepNext/>
        <w:bidi/>
        <w:spacing w:before="120" w:after="120" w:line="340" w:lineRule="exact"/>
        <w:rPr>
          <w:rFonts w:ascii="Arabic Typesetting" w:hAnsi="Arabic Typesetting" w:cs="Arabic Typesetting"/>
          <w:sz w:val="34"/>
          <w:szCs w:val="34"/>
          <w:u w:val="single"/>
          <w:rtl/>
          <w:lang w:val="fr-CH"/>
        </w:rPr>
      </w:pPr>
      <w:r w:rsidRPr="00141A0B">
        <w:rPr>
          <w:rFonts w:ascii="Arabic Typesetting" w:hAnsi="Arabic Typesetting" w:cs="Arabic Typesetting" w:hint="cs"/>
          <w:sz w:val="34"/>
          <w:szCs w:val="34"/>
          <w:u w:val="single"/>
          <w:rtl/>
          <w:lang w:val="fr-CH"/>
        </w:rPr>
        <w:lastRenderedPageBreak/>
        <w:t>التغييرات</w:t>
      </w:r>
    </w:p>
    <w:p w:rsidR="00B31868" w:rsidRPr="00B31868" w:rsidRDefault="00E304C9" w:rsidP="00086C3F">
      <w:pPr>
        <w:bidi/>
        <w:spacing w:after="120"/>
        <w:jc w:val="center"/>
        <w:rPr>
          <w:rFonts w:ascii="Arabic Typesetting" w:hAnsi="Arabic Typesetting" w:cs="Arabic Typesetting"/>
          <w:sz w:val="36"/>
          <w:szCs w:val="36"/>
          <w:u w:val="single"/>
          <w:rtl/>
          <w:lang w:val="fr-CH"/>
        </w:rPr>
      </w:pPr>
      <w:r>
        <w:rPr>
          <w:noProof/>
        </w:rPr>
        <w:drawing>
          <wp:inline distT="0" distB="0" distL="0" distR="0" wp14:anchorId="7B646FE5" wp14:editId="57259B40">
            <wp:extent cx="4625439" cy="3022270"/>
            <wp:effectExtent l="0" t="0" r="3810" b="698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B31868" w:rsidRPr="00B31868" w:rsidRDefault="00B31868" w:rsidP="009A3712">
      <w:pPr>
        <w:numPr>
          <w:ilvl w:val="0"/>
          <w:numId w:val="31"/>
        </w:numPr>
        <w:bidi/>
        <w:spacing w:after="120" w:line="340" w:lineRule="exact"/>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التمس المودعون إجراء </w:t>
      </w:r>
      <w:r w:rsidR="00E304C9">
        <w:rPr>
          <w:rFonts w:ascii="Arabic Typesetting" w:hAnsi="Arabic Typesetting" w:cs="Arabic Typesetting" w:hint="cs"/>
          <w:sz w:val="34"/>
          <w:szCs w:val="34"/>
          <w:rtl/>
        </w:rPr>
        <w:t>1018</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 xml:space="preserve">تغييرا في التسجيلات الدولية في </w:t>
      </w:r>
      <w:r w:rsidR="008A6D4E">
        <w:rPr>
          <w:rFonts w:ascii="Arabic Typesetting" w:hAnsi="Arabic Typesetting" w:cs="Arabic Typesetting" w:hint="cs"/>
          <w:sz w:val="34"/>
          <w:szCs w:val="34"/>
          <w:rtl/>
        </w:rPr>
        <w:t>عام</w:t>
      </w:r>
      <w:r w:rsidRPr="00B31868">
        <w:rPr>
          <w:rFonts w:ascii="Arabic Typesetting" w:hAnsi="Arabic Typesetting" w:cs="Arabic Typesetting" w:hint="cs"/>
          <w:sz w:val="34"/>
          <w:szCs w:val="34"/>
          <w:rtl/>
        </w:rPr>
        <w:t xml:space="preserve"> </w:t>
      </w:r>
      <w:r w:rsidR="00E304C9">
        <w:rPr>
          <w:rFonts w:ascii="Arabic Typesetting" w:hAnsi="Arabic Typesetting" w:cs="Arabic Typesetting" w:hint="cs"/>
          <w:sz w:val="34"/>
          <w:szCs w:val="34"/>
          <w:rtl/>
        </w:rPr>
        <w:t>2015</w:t>
      </w:r>
      <w:r w:rsidRPr="00B31868">
        <w:rPr>
          <w:rFonts w:ascii="Arabic Typesetting" w:hAnsi="Arabic Typesetting" w:cs="Arabic Typesetting" w:hint="cs"/>
          <w:sz w:val="34"/>
          <w:szCs w:val="34"/>
          <w:rtl/>
        </w:rPr>
        <w:t xml:space="preserve">، أي </w:t>
      </w:r>
      <w:r w:rsidR="00E304C9">
        <w:rPr>
          <w:rFonts w:ascii="Arabic Typesetting" w:hAnsi="Arabic Typesetting" w:cs="Arabic Typesetting" w:hint="cs"/>
          <w:sz w:val="34"/>
          <w:szCs w:val="34"/>
          <w:rtl/>
        </w:rPr>
        <w:t>بانخفاض</w:t>
      </w:r>
      <w:r w:rsidR="00E304C9" w:rsidRPr="00B31868">
        <w:rPr>
          <w:rFonts w:ascii="Arabic Typesetting" w:hAnsi="Arabic Typesetting" w:cs="Arabic Typesetting" w:hint="cs"/>
          <w:sz w:val="34"/>
          <w:szCs w:val="34"/>
          <w:rtl/>
        </w:rPr>
        <w:t xml:space="preserve"> </w:t>
      </w:r>
      <w:r w:rsidR="001B1F74">
        <w:rPr>
          <w:rFonts w:ascii="Arabic Typesetting" w:hAnsi="Arabic Typesetting" w:cs="Arabic Typesetting" w:hint="cs"/>
          <w:sz w:val="34"/>
          <w:szCs w:val="34"/>
          <w:rtl/>
        </w:rPr>
        <w:t>نسبته</w:t>
      </w:r>
      <w:r w:rsidRPr="00B31868">
        <w:rPr>
          <w:rFonts w:ascii="Arabic Typesetting" w:hAnsi="Arabic Typesetting" w:cs="Arabic Typesetting" w:hint="cs"/>
          <w:sz w:val="34"/>
          <w:szCs w:val="34"/>
          <w:rtl/>
        </w:rPr>
        <w:t xml:space="preserve"> </w:t>
      </w:r>
      <w:r w:rsidR="00E304C9">
        <w:rPr>
          <w:rFonts w:ascii="Arabic Typesetting" w:hAnsi="Arabic Typesetting" w:cs="Arabic Typesetting" w:hint="cs"/>
          <w:sz w:val="34"/>
          <w:szCs w:val="34"/>
          <w:rtl/>
        </w:rPr>
        <w:t>4</w:t>
      </w:r>
      <w:r w:rsidR="00E304C9"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 xml:space="preserve">بالمئة عن </w:t>
      </w:r>
      <w:r w:rsidR="008A6D4E">
        <w:rPr>
          <w:rFonts w:ascii="Arabic Typesetting" w:hAnsi="Arabic Typesetting" w:cs="Arabic Typesetting" w:hint="cs"/>
          <w:sz w:val="34"/>
          <w:szCs w:val="34"/>
          <w:rtl/>
        </w:rPr>
        <w:t>عام</w:t>
      </w:r>
      <w:r w:rsidRPr="00B31868">
        <w:rPr>
          <w:rFonts w:ascii="Arabic Typesetting" w:hAnsi="Arabic Typesetting" w:cs="Arabic Typesetting" w:hint="eastAsia"/>
          <w:sz w:val="34"/>
          <w:szCs w:val="34"/>
          <w:rtl/>
        </w:rPr>
        <w:t> </w:t>
      </w:r>
      <w:r w:rsidR="00E304C9">
        <w:rPr>
          <w:rFonts w:ascii="Arabic Typesetting" w:hAnsi="Arabic Typesetting" w:cs="Arabic Typesetting" w:hint="cs"/>
          <w:sz w:val="34"/>
          <w:szCs w:val="34"/>
          <w:rtl/>
        </w:rPr>
        <w:t>2014</w:t>
      </w:r>
      <w:r w:rsidRPr="00B31868">
        <w:rPr>
          <w:rFonts w:ascii="Arabic Typesetting" w:hAnsi="Arabic Typesetting" w:cs="Arabic Typesetting" w:hint="cs"/>
          <w:sz w:val="34"/>
          <w:szCs w:val="34"/>
          <w:rtl/>
        </w:rPr>
        <w:t>.</w:t>
      </w:r>
    </w:p>
    <w:p w:rsidR="00B264F9" w:rsidRPr="00141A0B" w:rsidRDefault="00B31868" w:rsidP="00B264F9">
      <w:pPr>
        <w:keepNext/>
        <w:bidi/>
        <w:spacing w:before="120" w:after="120" w:line="340" w:lineRule="exact"/>
        <w:rPr>
          <w:rFonts w:ascii="Arabic Typesetting" w:hAnsi="Arabic Typesetting" w:cs="Arabic Typesetting"/>
          <w:sz w:val="34"/>
          <w:szCs w:val="34"/>
          <w:u w:val="single"/>
          <w:rtl/>
          <w:lang w:val="fr-CH"/>
        </w:rPr>
      </w:pPr>
      <w:r w:rsidRPr="00141A0B">
        <w:rPr>
          <w:rFonts w:ascii="Arabic Typesetting" w:hAnsi="Arabic Typesetting" w:cs="Arabic Typesetting" w:hint="cs"/>
          <w:sz w:val="34"/>
          <w:szCs w:val="34"/>
          <w:u w:val="single"/>
          <w:rtl/>
          <w:lang w:val="fr-CH"/>
        </w:rPr>
        <w:t>القرارات</w:t>
      </w:r>
    </w:p>
    <w:p w:rsidR="00B31868" w:rsidRPr="00B31868" w:rsidRDefault="008F0EE8" w:rsidP="00086C3F">
      <w:pPr>
        <w:bidi/>
        <w:spacing w:after="120"/>
        <w:jc w:val="center"/>
        <w:rPr>
          <w:rFonts w:ascii="Arabic Typesetting" w:hAnsi="Arabic Typesetting" w:cs="Arabic Typesetting"/>
          <w:sz w:val="36"/>
          <w:szCs w:val="36"/>
          <w:u w:val="single"/>
          <w:rtl/>
          <w:lang w:val="fr-CH"/>
        </w:rPr>
      </w:pPr>
      <w:r w:rsidRPr="008F0EE8">
        <w:rPr>
          <w:noProof/>
        </w:rPr>
        <w:t xml:space="preserve"> </w:t>
      </w:r>
      <w:r>
        <w:rPr>
          <w:noProof/>
        </w:rPr>
        <w:drawing>
          <wp:inline distT="0" distB="0" distL="0" distR="0" wp14:anchorId="58C1D837" wp14:editId="1F909A63">
            <wp:extent cx="4702629" cy="3443845"/>
            <wp:effectExtent l="0" t="0" r="3175" b="4445"/>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B31868" w:rsidRPr="00B31868" w:rsidRDefault="00B31868" w:rsidP="009A3712">
      <w:pPr>
        <w:numPr>
          <w:ilvl w:val="0"/>
          <w:numId w:val="31"/>
        </w:numPr>
        <w:bidi/>
        <w:spacing w:after="120" w:line="340" w:lineRule="exact"/>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زاد عدد القرارات </w:t>
      </w:r>
      <w:r w:rsidR="00C352F0">
        <w:rPr>
          <w:rFonts w:ascii="Arabic Typesetting" w:hAnsi="Arabic Typesetting" w:cs="Arabic Typesetting" w:hint="cs"/>
          <w:sz w:val="34"/>
          <w:szCs w:val="34"/>
          <w:rtl/>
        </w:rPr>
        <w:t>المتسلمة</w:t>
      </w:r>
      <w:r w:rsidRPr="00B31868">
        <w:rPr>
          <w:rFonts w:ascii="Arabic Typesetting" w:hAnsi="Arabic Typesetting" w:cs="Arabic Typesetting" w:hint="cs"/>
          <w:sz w:val="34"/>
          <w:szCs w:val="34"/>
          <w:rtl/>
        </w:rPr>
        <w:t xml:space="preserve"> في </w:t>
      </w:r>
      <w:r w:rsidR="00CA0AFB">
        <w:rPr>
          <w:rFonts w:ascii="Arabic Typesetting" w:hAnsi="Arabic Typesetting" w:cs="Arabic Typesetting" w:hint="cs"/>
          <w:sz w:val="34"/>
          <w:szCs w:val="34"/>
          <w:rtl/>
        </w:rPr>
        <w:t>عام</w:t>
      </w:r>
      <w:r w:rsidR="00CA0AFB" w:rsidRPr="00B31868">
        <w:rPr>
          <w:rFonts w:ascii="Arabic Typesetting" w:hAnsi="Arabic Typesetting" w:cs="Arabic Typesetting" w:hint="cs"/>
          <w:sz w:val="34"/>
          <w:szCs w:val="34"/>
          <w:rtl/>
        </w:rPr>
        <w:t xml:space="preserve"> </w:t>
      </w:r>
      <w:r w:rsidR="00CA0AFB">
        <w:rPr>
          <w:rFonts w:ascii="Arabic Typesetting" w:hAnsi="Arabic Typesetting" w:cs="Arabic Typesetting" w:hint="cs"/>
          <w:sz w:val="34"/>
          <w:szCs w:val="34"/>
          <w:rtl/>
        </w:rPr>
        <w:t>2015</w:t>
      </w:r>
      <w:r w:rsidR="00CA0AFB"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 xml:space="preserve">بنسبة </w:t>
      </w:r>
      <w:r w:rsidR="00CA0AFB">
        <w:rPr>
          <w:rFonts w:ascii="Arabic Typesetting" w:hAnsi="Arabic Typesetting" w:cs="Arabic Typesetting" w:hint="cs"/>
          <w:sz w:val="34"/>
          <w:szCs w:val="34"/>
          <w:rtl/>
        </w:rPr>
        <w:t>25</w:t>
      </w:r>
      <w:r w:rsidR="00CA0AFB"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بالمئة</w:t>
      </w:r>
      <w:r w:rsidR="00CA0AFB">
        <w:rPr>
          <w:rFonts w:ascii="Arabic Typesetting" w:hAnsi="Arabic Typesetting" w:cs="Arabic Typesetting" w:hint="cs"/>
          <w:sz w:val="34"/>
          <w:szCs w:val="34"/>
          <w:rtl/>
        </w:rPr>
        <w:t xml:space="preserve"> مقارنة بعام 2014</w:t>
      </w:r>
      <w:r w:rsidRPr="00B31868">
        <w:rPr>
          <w:rFonts w:ascii="Arabic Typesetting" w:hAnsi="Arabic Typesetting" w:cs="Arabic Typesetting" w:hint="cs"/>
          <w:sz w:val="34"/>
          <w:szCs w:val="34"/>
          <w:rtl/>
        </w:rPr>
        <w:t xml:space="preserve"> </w:t>
      </w:r>
      <w:r w:rsidR="00CA0AFB">
        <w:rPr>
          <w:rFonts w:ascii="Arabic Typesetting" w:hAnsi="Arabic Typesetting" w:cs="Arabic Typesetting" w:hint="cs"/>
          <w:sz w:val="34"/>
          <w:szCs w:val="34"/>
          <w:rtl/>
        </w:rPr>
        <w:t>ارتفاعاً من 3169 إلى 3961 قراراً</w:t>
      </w:r>
      <w:r w:rsidRPr="00B31868">
        <w:rPr>
          <w:rFonts w:ascii="Arabic Typesetting" w:hAnsi="Arabic Typesetting" w:cs="Arabic Typesetting" w:hint="cs"/>
          <w:sz w:val="34"/>
          <w:szCs w:val="34"/>
          <w:rtl/>
        </w:rPr>
        <w:t>.</w:t>
      </w:r>
    </w:p>
    <w:p w:rsidR="00B31868" w:rsidRPr="00B31868" w:rsidRDefault="00C352F0" w:rsidP="009A3712">
      <w:pPr>
        <w:numPr>
          <w:ilvl w:val="0"/>
          <w:numId w:val="31"/>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وعو</w:t>
      </w:r>
      <w:r w:rsidR="00B31868" w:rsidRPr="00B31868">
        <w:rPr>
          <w:rFonts w:ascii="Arabic Typesetting" w:hAnsi="Arabic Typesetting" w:cs="Arabic Typesetting" w:hint="cs"/>
          <w:sz w:val="34"/>
          <w:szCs w:val="34"/>
          <w:rtl/>
        </w:rPr>
        <w:t>لج ما بين 68 بالمئة و72 بالمئة من القرارات إلكترونيا</w:t>
      </w:r>
      <w:r>
        <w:rPr>
          <w:rFonts w:ascii="Arabic Typesetting" w:hAnsi="Arabic Typesetting" w:cs="Arabic Typesetting" w:hint="cs"/>
          <w:sz w:val="34"/>
          <w:szCs w:val="34"/>
          <w:rtl/>
        </w:rPr>
        <w:t>ً</w:t>
      </w:r>
      <w:r w:rsidR="00B31868" w:rsidRPr="00B31868">
        <w:rPr>
          <w:rFonts w:ascii="Arabic Typesetting" w:hAnsi="Arabic Typesetting" w:cs="Arabic Typesetting" w:hint="cs"/>
          <w:sz w:val="34"/>
          <w:szCs w:val="34"/>
          <w:rtl/>
        </w:rPr>
        <w:t xml:space="preserve"> منذ </w:t>
      </w:r>
      <w:r w:rsidR="008A6D4E">
        <w:rPr>
          <w:rFonts w:ascii="Arabic Typesetting" w:hAnsi="Arabic Typesetting" w:cs="Arabic Typesetting" w:hint="cs"/>
          <w:sz w:val="34"/>
          <w:szCs w:val="34"/>
          <w:rtl/>
        </w:rPr>
        <w:t>عام</w:t>
      </w:r>
      <w:r w:rsidR="00B31868" w:rsidRPr="00B31868">
        <w:rPr>
          <w:rFonts w:ascii="Arabic Typesetting" w:hAnsi="Arabic Typesetting" w:cs="Arabic Typesetting" w:hint="cs"/>
          <w:sz w:val="34"/>
          <w:szCs w:val="34"/>
          <w:rtl/>
        </w:rPr>
        <w:t xml:space="preserve"> 2011.</w:t>
      </w:r>
    </w:p>
    <w:p w:rsidR="00B31868" w:rsidRPr="00B31868" w:rsidRDefault="00B31868" w:rsidP="00086C3F">
      <w:pPr>
        <w:keepNext/>
        <w:bidi/>
        <w:spacing w:after="240" w:line="380" w:lineRule="exact"/>
        <w:rPr>
          <w:rFonts w:ascii="Arabic Typesetting" w:hAnsi="Arabic Typesetting" w:cs="Arabic Typesetting"/>
          <w:b/>
          <w:bCs/>
          <w:sz w:val="36"/>
          <w:szCs w:val="36"/>
          <w:rtl/>
          <w:lang w:val="fr-CH"/>
        </w:rPr>
      </w:pPr>
      <w:r w:rsidRPr="00B31868">
        <w:rPr>
          <w:rFonts w:ascii="Arabic Typesetting" w:hAnsi="Arabic Typesetting" w:cs="Arabic Typesetting" w:hint="cs"/>
          <w:b/>
          <w:bCs/>
          <w:sz w:val="36"/>
          <w:szCs w:val="36"/>
          <w:rtl/>
          <w:lang w:val="fr-CH"/>
        </w:rPr>
        <w:t>ثانيا.</w:t>
      </w:r>
      <w:r w:rsidRPr="00B31868">
        <w:rPr>
          <w:rFonts w:ascii="Arabic Typesetting" w:hAnsi="Arabic Typesetting" w:cs="Arabic Typesetting" w:hint="cs"/>
          <w:b/>
          <w:bCs/>
          <w:sz w:val="36"/>
          <w:szCs w:val="36"/>
          <w:rtl/>
          <w:lang w:val="fr-CH"/>
        </w:rPr>
        <w:tab/>
        <w:t>عبء العمل الإجمالي</w:t>
      </w:r>
    </w:p>
    <w:p w:rsidR="00B31868" w:rsidRPr="00B31868" w:rsidRDefault="009F5F08" w:rsidP="009A3712">
      <w:pPr>
        <w:numPr>
          <w:ilvl w:val="0"/>
          <w:numId w:val="33"/>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يساوي</w:t>
      </w:r>
      <w:r w:rsidR="00B31868" w:rsidRPr="00B31868">
        <w:rPr>
          <w:rFonts w:ascii="Arabic Typesetting" w:hAnsi="Arabic Typesetting" w:cs="Arabic Typesetting" w:hint="cs"/>
          <w:sz w:val="34"/>
          <w:szCs w:val="34"/>
          <w:rtl/>
        </w:rPr>
        <w:t xml:space="preserve"> عبء العمل الإجمالي العدد الإجمالي المرجح للوثائق التي يت</w:t>
      </w:r>
      <w:r w:rsidR="00CA0AFB">
        <w:rPr>
          <w:rFonts w:ascii="Arabic Typesetting" w:hAnsi="Arabic Typesetting" w:cs="Arabic Typesetting" w:hint="cs"/>
          <w:sz w:val="34"/>
          <w:szCs w:val="34"/>
          <w:rtl/>
        </w:rPr>
        <w:t>س</w:t>
      </w:r>
      <w:r w:rsidR="00B31868" w:rsidRPr="00B31868">
        <w:rPr>
          <w:rFonts w:ascii="Arabic Typesetting" w:hAnsi="Arabic Typesetting" w:cs="Arabic Typesetting" w:hint="cs"/>
          <w:sz w:val="34"/>
          <w:szCs w:val="34"/>
          <w:rtl/>
        </w:rPr>
        <w:t>لمها المكتب الدولي. ويشمل ذلك جميع فئات الوثائق الأربع (الطلبات والتجديدات والتغييرات والقرارات).</w:t>
      </w:r>
    </w:p>
    <w:p w:rsidR="00CA0AFB" w:rsidRDefault="00B31868" w:rsidP="009A3712">
      <w:pPr>
        <w:numPr>
          <w:ilvl w:val="0"/>
          <w:numId w:val="33"/>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rPr>
        <w:lastRenderedPageBreak/>
        <w:t xml:space="preserve">ولأن معالجة تلك الأنواع من الوثائق لا يتطلب موارد متساوية، فكل نوع يرجح على حدة </w:t>
      </w:r>
      <w:r w:rsidR="00C45BBE">
        <w:rPr>
          <w:rFonts w:ascii="Arabic Typesetting" w:hAnsi="Arabic Typesetting" w:cs="Arabic Typesetting" w:hint="cs"/>
          <w:sz w:val="34"/>
          <w:szCs w:val="34"/>
          <w:rtl/>
        </w:rPr>
        <w:t>بطريقة</w:t>
      </w:r>
      <w:r w:rsidR="00C45BBE"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مختلف</w:t>
      </w:r>
      <w:r w:rsidR="00C45BBE">
        <w:rPr>
          <w:rFonts w:ascii="Arabic Typesetting" w:hAnsi="Arabic Typesetting" w:cs="Arabic Typesetting" w:hint="cs"/>
          <w:sz w:val="34"/>
          <w:szCs w:val="34"/>
          <w:rtl/>
        </w:rPr>
        <w:t>ة</w:t>
      </w:r>
      <w:r w:rsidRPr="00B31868">
        <w:rPr>
          <w:rFonts w:ascii="Arabic Typesetting" w:hAnsi="Arabic Typesetting" w:cs="Arabic Typesetting" w:hint="cs"/>
          <w:sz w:val="34"/>
          <w:szCs w:val="34"/>
          <w:rtl/>
        </w:rPr>
        <w:t>. ووفقا للترجيح</w:t>
      </w:r>
      <w:r w:rsidR="00CA0AFB">
        <w:rPr>
          <w:rFonts w:ascii="Arabic Typesetting" w:hAnsi="Arabic Typesetting" w:cs="Arabic Typesetting" w:hint="cs"/>
          <w:sz w:val="34"/>
          <w:szCs w:val="34"/>
          <w:rtl/>
        </w:rPr>
        <w:t xml:space="preserve"> الحالي</w:t>
      </w:r>
      <w:r w:rsidRPr="00B31868">
        <w:rPr>
          <w:rFonts w:ascii="Arabic Typesetting" w:hAnsi="Arabic Typesetting" w:cs="Arabic Typesetting" w:hint="cs"/>
          <w:sz w:val="34"/>
          <w:szCs w:val="34"/>
          <w:rtl/>
        </w:rPr>
        <w:t>، يمكن لفاحص ما، في الفترة المطلوبة لمعالجة طلب دولي، أن يعالج ثمانية تجديدات أو</w:t>
      </w:r>
      <w:r w:rsidRPr="00B31868">
        <w:rPr>
          <w:rFonts w:ascii="Arabic Typesetting" w:hAnsi="Arabic Typesetting" w:cs="Arabic Typesetting" w:hint="eastAsia"/>
          <w:sz w:val="34"/>
          <w:szCs w:val="34"/>
          <w:rtl/>
        </w:rPr>
        <w:t> </w:t>
      </w:r>
      <w:r w:rsidRPr="00B31868">
        <w:rPr>
          <w:rFonts w:ascii="Arabic Typesetting" w:hAnsi="Arabic Typesetting" w:cs="Arabic Typesetting" w:hint="cs"/>
          <w:sz w:val="34"/>
          <w:szCs w:val="34"/>
          <w:rtl/>
        </w:rPr>
        <w:t>أربعة تغييرات أو أربعة قرارات</w:t>
      </w:r>
      <w:r w:rsidR="00CA0AFB">
        <w:rPr>
          <w:rFonts w:ascii="Arabic Typesetting" w:hAnsi="Arabic Typesetting" w:cs="Arabic Typesetting" w:hint="cs"/>
          <w:sz w:val="34"/>
          <w:szCs w:val="34"/>
          <w:rtl/>
        </w:rPr>
        <w:t xml:space="preserve"> (نسبة</w:t>
      </w:r>
      <w:r w:rsidR="00C352F0">
        <w:rPr>
          <w:rFonts w:ascii="Arabic Typesetting" w:hAnsi="Arabic Typesetting" w:cs="Arabic Typesetting" w:hint="eastAsia"/>
          <w:sz w:val="34"/>
          <w:szCs w:val="34"/>
          <w:rtl/>
        </w:rPr>
        <w:t> </w:t>
      </w:r>
      <w:r w:rsidR="00CA0AFB">
        <w:rPr>
          <w:rFonts w:ascii="Arabic Typesetting" w:hAnsi="Arabic Typesetting" w:cs="Arabic Typesetting" w:hint="cs"/>
          <w:sz w:val="34"/>
          <w:szCs w:val="34"/>
          <w:rtl/>
        </w:rPr>
        <w:t>عبء العمل 4:4:8:1)</w:t>
      </w:r>
      <w:r w:rsidRPr="00B31868">
        <w:rPr>
          <w:rFonts w:ascii="Arabic Typesetting" w:hAnsi="Arabic Typesetting" w:cs="Arabic Typesetting" w:hint="cs"/>
          <w:sz w:val="34"/>
          <w:szCs w:val="34"/>
          <w:rtl/>
        </w:rPr>
        <w:t xml:space="preserve">. </w:t>
      </w:r>
      <w:r w:rsidR="00CA0AFB">
        <w:rPr>
          <w:rFonts w:ascii="Arabic Typesetting" w:hAnsi="Arabic Typesetting" w:cs="Arabic Typesetting" w:hint="cs"/>
          <w:sz w:val="34"/>
          <w:szCs w:val="34"/>
          <w:rtl/>
        </w:rPr>
        <w:t xml:space="preserve">وأدت زيادة تعقيد الوثائق الأخرى خلال الثنائية </w:t>
      </w:r>
      <w:r w:rsidR="00507DE2">
        <w:rPr>
          <w:rFonts w:ascii="Arabic Typesetting" w:hAnsi="Arabic Typesetting" w:cs="Arabic Typesetting" w:hint="cs"/>
          <w:sz w:val="34"/>
          <w:szCs w:val="34"/>
          <w:rtl/>
        </w:rPr>
        <w:t>2014/15</w:t>
      </w:r>
      <w:r w:rsidR="00CA0AFB">
        <w:rPr>
          <w:rFonts w:ascii="Arabic Typesetting" w:hAnsi="Arabic Typesetting" w:cs="Arabic Typesetting" w:hint="cs"/>
          <w:sz w:val="34"/>
          <w:szCs w:val="34"/>
          <w:rtl/>
        </w:rPr>
        <w:t>، وبخاصة قرارات المكاتب، إلى زيادة تعقيد الفحص العام للطلبات الدولية. ومع ذلك ظلت نسبة عبء العمل ذاتها.</w:t>
      </w:r>
    </w:p>
    <w:p w:rsidR="00B31868" w:rsidRPr="00B31868" w:rsidRDefault="00CA0AFB" w:rsidP="00086C3F">
      <w:pPr>
        <w:bidi/>
        <w:spacing w:after="120"/>
        <w:jc w:val="center"/>
        <w:rPr>
          <w:rFonts w:ascii="Arabic Typesetting" w:hAnsi="Arabic Typesetting" w:cs="Arabic Typesetting"/>
          <w:sz w:val="34"/>
          <w:szCs w:val="34"/>
          <w:rtl/>
        </w:rPr>
      </w:pPr>
      <w:r w:rsidRPr="00CA0AFB">
        <w:rPr>
          <w:noProof/>
        </w:rPr>
        <w:t xml:space="preserve"> </w:t>
      </w:r>
      <w:r>
        <w:rPr>
          <w:noProof/>
        </w:rPr>
        <w:drawing>
          <wp:inline distT="0" distB="0" distL="0" distR="0" wp14:anchorId="097F8ABB" wp14:editId="7CF9D556">
            <wp:extent cx="5717969" cy="3325091"/>
            <wp:effectExtent l="0" t="0" r="0" b="889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B31868" w:rsidRDefault="00B31868" w:rsidP="009A3712">
      <w:pPr>
        <w:numPr>
          <w:ilvl w:val="0"/>
          <w:numId w:val="31"/>
        </w:numPr>
        <w:bidi/>
        <w:spacing w:after="120" w:line="340" w:lineRule="exact"/>
        <w:rPr>
          <w:rFonts w:ascii="Arabic Typesetting" w:hAnsi="Arabic Typesetting" w:cs="Arabic Typesetting"/>
          <w:sz w:val="34"/>
          <w:szCs w:val="34"/>
        </w:rPr>
      </w:pPr>
      <w:r w:rsidRPr="00CA0AFB">
        <w:rPr>
          <w:rFonts w:ascii="Arabic Typesetting" w:hAnsi="Arabic Typesetting" w:cs="Arabic Typesetting" w:hint="cs"/>
          <w:sz w:val="34"/>
          <w:szCs w:val="34"/>
          <w:rtl/>
        </w:rPr>
        <w:t xml:space="preserve">في </w:t>
      </w:r>
      <w:r w:rsidR="00CA0AFB" w:rsidRPr="00CA0AFB">
        <w:rPr>
          <w:rFonts w:ascii="Arabic Typesetting" w:hAnsi="Arabic Typesetting" w:cs="Arabic Typesetting" w:hint="cs"/>
          <w:sz w:val="34"/>
          <w:szCs w:val="34"/>
          <w:rtl/>
        </w:rPr>
        <w:t>عام 2015</w:t>
      </w:r>
      <w:r w:rsidRPr="00CA0AFB">
        <w:rPr>
          <w:rFonts w:ascii="Arabic Typesetting" w:hAnsi="Arabic Typesetting" w:cs="Arabic Typesetting" w:hint="cs"/>
          <w:sz w:val="34"/>
          <w:szCs w:val="34"/>
          <w:rtl/>
        </w:rPr>
        <w:t xml:space="preserve">، </w:t>
      </w:r>
      <w:r w:rsidR="00CA0AFB" w:rsidRPr="00CA0AFB">
        <w:rPr>
          <w:rFonts w:ascii="Arabic Typesetting" w:hAnsi="Arabic Typesetting" w:cs="Arabic Typesetting" w:hint="cs"/>
          <w:sz w:val="34"/>
          <w:szCs w:val="34"/>
          <w:rtl/>
        </w:rPr>
        <w:t xml:space="preserve">زاد عبء العمل الإجمالي بنسبة 35 بالمئة مقارنة بعام 2014. وزاد عبء العمل الإجمالي للثنائية بنسبة 22 بالمئة مقارنة بالثنائية </w:t>
      </w:r>
      <w:r w:rsidR="00507DE2">
        <w:rPr>
          <w:rFonts w:ascii="Arabic Typesetting" w:hAnsi="Arabic Typesetting" w:cs="Arabic Typesetting" w:hint="cs"/>
          <w:sz w:val="34"/>
          <w:szCs w:val="34"/>
          <w:rtl/>
        </w:rPr>
        <w:t>2012/13</w:t>
      </w:r>
      <w:r w:rsidR="00CA0AFB" w:rsidRPr="00CA0AFB">
        <w:rPr>
          <w:rFonts w:ascii="Arabic Typesetting" w:hAnsi="Arabic Typesetting" w:cs="Arabic Typesetting" w:hint="cs"/>
          <w:sz w:val="34"/>
          <w:szCs w:val="34"/>
          <w:rtl/>
        </w:rPr>
        <w:t xml:space="preserve">. </w:t>
      </w:r>
      <w:r w:rsidRPr="00CA0AFB">
        <w:rPr>
          <w:rFonts w:ascii="Arabic Typesetting" w:hAnsi="Arabic Typesetting" w:cs="Arabic Typesetting" w:hint="cs"/>
          <w:sz w:val="34"/>
          <w:szCs w:val="34"/>
          <w:rtl/>
        </w:rPr>
        <w:t xml:space="preserve">وبين </w:t>
      </w:r>
      <w:r w:rsidR="00CA0AFB">
        <w:rPr>
          <w:rFonts w:ascii="Arabic Typesetting" w:hAnsi="Arabic Typesetting" w:cs="Arabic Typesetting" w:hint="cs"/>
          <w:sz w:val="34"/>
          <w:szCs w:val="34"/>
          <w:rtl/>
        </w:rPr>
        <w:t>عامي</w:t>
      </w:r>
      <w:r w:rsidR="00CA0AFB" w:rsidRPr="00CA0AFB">
        <w:rPr>
          <w:rFonts w:ascii="Arabic Typesetting" w:hAnsi="Arabic Typesetting" w:cs="Arabic Typesetting" w:hint="cs"/>
          <w:sz w:val="34"/>
          <w:szCs w:val="34"/>
          <w:rtl/>
        </w:rPr>
        <w:t xml:space="preserve"> </w:t>
      </w:r>
      <w:r w:rsidRPr="00CA0AFB">
        <w:rPr>
          <w:rFonts w:ascii="Arabic Typesetting" w:hAnsi="Arabic Typesetting" w:cs="Arabic Typesetting" w:hint="cs"/>
          <w:sz w:val="34"/>
          <w:szCs w:val="34"/>
          <w:rtl/>
        </w:rPr>
        <w:t xml:space="preserve">2011 </w:t>
      </w:r>
      <w:r w:rsidR="00CA0AFB">
        <w:rPr>
          <w:rFonts w:ascii="Arabic Typesetting" w:hAnsi="Arabic Typesetting" w:cs="Arabic Typesetting" w:hint="cs"/>
          <w:sz w:val="34"/>
          <w:szCs w:val="34"/>
          <w:rtl/>
        </w:rPr>
        <w:t>و2015</w:t>
      </w:r>
      <w:r w:rsidRPr="00CA0AFB">
        <w:rPr>
          <w:rFonts w:ascii="Arabic Typesetting" w:hAnsi="Arabic Typesetting" w:cs="Arabic Typesetting" w:hint="cs"/>
          <w:sz w:val="34"/>
          <w:szCs w:val="34"/>
          <w:rtl/>
        </w:rPr>
        <w:t xml:space="preserve">، </w:t>
      </w:r>
      <w:r w:rsidR="000036F7">
        <w:rPr>
          <w:rFonts w:ascii="Arabic Typesetting" w:hAnsi="Arabic Typesetting" w:cs="Arabic Typesetting" w:hint="cs"/>
          <w:sz w:val="34"/>
          <w:szCs w:val="34"/>
          <w:rtl/>
        </w:rPr>
        <w:t>تعزى</w:t>
      </w:r>
      <w:r w:rsidRPr="00CA0AFB">
        <w:rPr>
          <w:rFonts w:ascii="Arabic Typesetting" w:hAnsi="Arabic Typesetting" w:cs="Arabic Typesetting" w:hint="cs"/>
          <w:sz w:val="34"/>
          <w:szCs w:val="34"/>
          <w:rtl/>
        </w:rPr>
        <w:t xml:space="preserve"> زيادة عبء العمل </w:t>
      </w:r>
      <w:r w:rsidR="000036F7">
        <w:rPr>
          <w:rFonts w:ascii="Arabic Typesetting" w:hAnsi="Arabic Typesetting" w:cs="Arabic Typesetting" w:hint="cs"/>
          <w:sz w:val="34"/>
          <w:szCs w:val="34"/>
          <w:rtl/>
        </w:rPr>
        <w:t>أساساً إلى زيادة عدد القرارات الم</w:t>
      </w:r>
      <w:r w:rsidRPr="00CA0AFB">
        <w:rPr>
          <w:rFonts w:ascii="Arabic Typesetting" w:hAnsi="Arabic Typesetting" w:cs="Arabic Typesetting" w:hint="cs"/>
          <w:sz w:val="34"/>
          <w:szCs w:val="34"/>
          <w:rtl/>
        </w:rPr>
        <w:t>ت</w:t>
      </w:r>
      <w:r w:rsidR="000036F7">
        <w:rPr>
          <w:rFonts w:ascii="Arabic Typesetting" w:hAnsi="Arabic Typesetting" w:cs="Arabic Typesetting" w:hint="cs"/>
          <w:sz w:val="34"/>
          <w:szCs w:val="34"/>
          <w:rtl/>
        </w:rPr>
        <w:t>س</w:t>
      </w:r>
      <w:r w:rsidRPr="00CA0AFB">
        <w:rPr>
          <w:rFonts w:ascii="Arabic Typesetting" w:hAnsi="Arabic Typesetting" w:cs="Arabic Typesetting" w:hint="cs"/>
          <w:sz w:val="34"/>
          <w:szCs w:val="34"/>
          <w:rtl/>
        </w:rPr>
        <w:t>لمة.</w:t>
      </w:r>
    </w:p>
    <w:p w:rsidR="00CA0AFB" w:rsidRPr="00CA0AFB" w:rsidRDefault="00CA0AFB" w:rsidP="009A3712">
      <w:pPr>
        <w:numPr>
          <w:ilvl w:val="0"/>
          <w:numId w:val="31"/>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وفي عام 2015، استأثرت الطلبات وحدها بنسبة 79 بالمئة من عبء العمل الإجمالي أي بزيادة نسبتها 3 بالمئة مقارنة بعام 2014.</w:t>
      </w:r>
    </w:p>
    <w:p w:rsidR="00B31868" w:rsidRPr="00B31868" w:rsidRDefault="00B31868" w:rsidP="00086C3F">
      <w:pPr>
        <w:keepNext/>
        <w:bidi/>
        <w:spacing w:after="240" w:line="380" w:lineRule="exact"/>
        <w:rPr>
          <w:rFonts w:ascii="Arabic Typesetting" w:hAnsi="Arabic Typesetting" w:cs="Arabic Typesetting"/>
          <w:b/>
          <w:bCs/>
          <w:sz w:val="36"/>
          <w:szCs w:val="36"/>
          <w:lang w:val="fr-CH"/>
        </w:rPr>
      </w:pPr>
      <w:r w:rsidRPr="00B31868">
        <w:rPr>
          <w:rFonts w:ascii="Arabic Typesetting" w:hAnsi="Arabic Typesetting" w:cs="Arabic Typesetting" w:hint="cs"/>
          <w:b/>
          <w:bCs/>
          <w:sz w:val="36"/>
          <w:szCs w:val="36"/>
          <w:rtl/>
          <w:lang w:val="fr-CH"/>
        </w:rPr>
        <w:t>ثالثا.</w:t>
      </w:r>
      <w:r w:rsidRPr="00B31868">
        <w:rPr>
          <w:rFonts w:ascii="Arabic Typesetting" w:hAnsi="Arabic Typesetting" w:cs="Arabic Typesetting" w:hint="cs"/>
          <w:b/>
          <w:bCs/>
          <w:sz w:val="36"/>
          <w:szCs w:val="36"/>
          <w:rtl/>
          <w:lang w:val="fr-CH"/>
        </w:rPr>
        <w:tab/>
        <w:t>تكلفة المعالجة</w:t>
      </w:r>
    </w:p>
    <w:p w:rsidR="00B264F9" w:rsidRPr="00141A0B" w:rsidRDefault="00B31868" w:rsidP="00B264F9">
      <w:pPr>
        <w:keepNext/>
        <w:bidi/>
        <w:spacing w:before="120" w:after="120" w:line="340" w:lineRule="exact"/>
        <w:rPr>
          <w:rFonts w:ascii="Arabic Typesetting" w:hAnsi="Arabic Typesetting" w:cs="Arabic Typesetting"/>
          <w:sz w:val="34"/>
          <w:szCs w:val="34"/>
          <w:u w:val="single"/>
          <w:rtl/>
          <w:lang w:val="fr-CH"/>
        </w:rPr>
      </w:pPr>
      <w:r w:rsidRPr="00141A0B">
        <w:rPr>
          <w:rFonts w:ascii="Arabic Typesetting" w:hAnsi="Arabic Typesetting" w:cs="Arabic Typesetting"/>
          <w:sz w:val="34"/>
          <w:szCs w:val="34"/>
          <w:u w:val="single"/>
          <w:rtl/>
          <w:lang w:val="fr-CH"/>
        </w:rPr>
        <w:t>تكلفة الإنتاج الإجمالية</w:t>
      </w:r>
    </w:p>
    <w:p w:rsidR="00080E30" w:rsidRDefault="00080E30" w:rsidP="009A3712">
      <w:pPr>
        <w:numPr>
          <w:ilvl w:val="0"/>
          <w:numId w:val="33"/>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تشمل</w:t>
      </w:r>
      <w:r w:rsidRPr="00B31868">
        <w:rPr>
          <w:rFonts w:ascii="Arabic Typesetting" w:hAnsi="Arabic Typesetting" w:cs="Arabic Typesetting" w:hint="cs"/>
          <w:sz w:val="34"/>
          <w:szCs w:val="34"/>
          <w:rtl/>
        </w:rPr>
        <w:t xml:space="preserve"> </w:t>
      </w:r>
      <w:r w:rsidR="00B31868" w:rsidRPr="00B31868">
        <w:rPr>
          <w:rFonts w:ascii="Arabic Typesetting" w:hAnsi="Arabic Typesetting" w:cs="Arabic Typesetting" w:hint="cs"/>
          <w:sz w:val="34"/>
          <w:szCs w:val="34"/>
          <w:rtl/>
        </w:rPr>
        <w:t xml:space="preserve">تكلفة الإنتاج الإجمالية </w:t>
      </w:r>
      <w:r>
        <w:rPr>
          <w:rFonts w:ascii="Arabic Typesetting" w:hAnsi="Arabic Typesetting" w:cs="Arabic Typesetting" w:hint="cs"/>
          <w:sz w:val="34"/>
          <w:szCs w:val="34"/>
          <w:rtl/>
        </w:rPr>
        <w:t>النفقات المتعلقة بنظام لاهاي حصراً فضلاً عن نفقات الأنشطة التي تدعم النظام.</w:t>
      </w:r>
      <w:r w:rsidRPr="00F96634">
        <w:rPr>
          <w:rFonts w:ascii="Arabic Typesetting" w:hAnsi="Arabic Typesetting" w:cs="Arabic Typesetting"/>
          <w:sz w:val="28"/>
          <w:szCs w:val="28"/>
          <w:vertAlign w:val="superscript"/>
          <w:rtl/>
        </w:rPr>
        <w:footnoteReference w:id="41"/>
      </w:r>
    </w:p>
    <w:p w:rsidR="00080E30" w:rsidRDefault="00080E30" w:rsidP="009A3712">
      <w:pPr>
        <w:numPr>
          <w:ilvl w:val="0"/>
          <w:numId w:val="33"/>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 xml:space="preserve">وتشمل النفقات المتعلقة بنظام لاهاي حصراً تلك المتعلقة بالبرنامج 31 (نظام لاهاي) ونحو 7 بالمئة من نفقات مكتب نائب المدير العام لقطاع العلامات والتصاميم (البرنامج 6 </w:t>
      </w:r>
      <w:r>
        <w:rPr>
          <w:rFonts w:ascii="Arabic Typesetting" w:hAnsi="Arabic Typesetting" w:cs="Arabic Typesetting"/>
          <w:sz w:val="34"/>
          <w:szCs w:val="34"/>
          <w:rtl/>
        </w:rPr>
        <w:t>–</w:t>
      </w:r>
      <w:r>
        <w:rPr>
          <w:rFonts w:ascii="Arabic Typesetting" w:hAnsi="Arabic Typesetting" w:cs="Arabic Typesetting" w:hint="cs"/>
          <w:sz w:val="34"/>
          <w:szCs w:val="34"/>
          <w:rtl/>
        </w:rPr>
        <w:t xml:space="preserve"> نظاما مدريد ولشبونة).</w:t>
      </w:r>
      <w:r w:rsidRPr="00F96634">
        <w:rPr>
          <w:rFonts w:ascii="Arabic Typesetting" w:hAnsi="Arabic Typesetting" w:cs="Arabic Typesetting"/>
          <w:sz w:val="28"/>
          <w:szCs w:val="28"/>
          <w:vertAlign w:val="superscript"/>
          <w:rtl/>
        </w:rPr>
        <w:footnoteReference w:id="42"/>
      </w:r>
    </w:p>
    <w:p w:rsidR="00080E30" w:rsidRDefault="00080E30" w:rsidP="009A3712">
      <w:pPr>
        <w:numPr>
          <w:ilvl w:val="0"/>
          <w:numId w:val="33"/>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 xml:space="preserve">وتشمل نفقات أنشطة دعم نظام لاهاي النفقات الخاصة بالخدمات العامة التالية: خدمات المؤتمرات واللغات، وأعمال البناء، والإدارة التنفيذية، والشؤون المالية والميزانية، وخدمات الدعم العامة، وإدارة الموارد البشرية، والإشراف الداخلي، وتكنولوجيا المعلومات، والسلامة والأمن. ويعزى جزء صغير من هذه النفقات (تكاليف استضافة </w:t>
      </w:r>
      <w:proofErr w:type="spellStart"/>
      <w:r>
        <w:rPr>
          <w:rFonts w:ascii="Arabic Typesetting" w:hAnsi="Arabic Typesetting" w:cs="Arabic Typesetting" w:hint="cs"/>
          <w:sz w:val="34"/>
          <w:szCs w:val="34"/>
          <w:rtl/>
        </w:rPr>
        <w:t>الخادوم</w:t>
      </w:r>
      <w:proofErr w:type="spellEnd"/>
      <w:r>
        <w:rPr>
          <w:rFonts w:ascii="Arabic Typesetting" w:hAnsi="Arabic Typesetting" w:cs="Arabic Typesetting" w:hint="cs"/>
          <w:sz w:val="34"/>
          <w:szCs w:val="34"/>
          <w:rtl/>
        </w:rPr>
        <w:t xml:space="preserve"> في وحصة تكاليف قسم الإيرادات </w:t>
      </w:r>
      <w:r>
        <w:rPr>
          <w:rFonts w:ascii="Arabic Typesetting" w:hAnsi="Arabic Typesetting" w:cs="Arabic Typesetting" w:hint="cs"/>
          <w:sz w:val="34"/>
          <w:szCs w:val="34"/>
          <w:rtl/>
        </w:rPr>
        <w:lastRenderedPageBreak/>
        <w:t>التابع لإدارة الشؤون المالية) مباشرة إلى نظام لاهاي في حين أن باقي التكاليف المتعلقة بنظام لاهاي تحسب على أساس عدد الموظفين (ومنهم الموظفون ذوو العقود المحددة المدة، والموظفون المؤقتون</w:t>
      </w:r>
      <w:r w:rsidR="00C352F0">
        <w:rPr>
          <w:rFonts w:ascii="Arabic Typesetting" w:hAnsi="Arabic Typesetting" w:cs="Arabic Typesetting" w:hint="cs"/>
          <w:sz w:val="34"/>
          <w:szCs w:val="34"/>
          <w:rtl/>
        </w:rPr>
        <w:t>،</w:t>
      </w:r>
      <w:r>
        <w:rPr>
          <w:rFonts w:ascii="Arabic Typesetting" w:hAnsi="Arabic Typesetting" w:cs="Arabic Typesetting" w:hint="cs"/>
          <w:sz w:val="34"/>
          <w:szCs w:val="34"/>
          <w:rtl/>
        </w:rPr>
        <w:t xml:space="preserve"> والمنتفعون </w:t>
      </w:r>
      <w:proofErr w:type="spellStart"/>
      <w:r>
        <w:rPr>
          <w:rFonts w:ascii="Arabic Typesetting" w:hAnsi="Arabic Typesetting" w:cs="Arabic Typesetting" w:hint="cs"/>
          <w:sz w:val="34"/>
          <w:szCs w:val="34"/>
          <w:rtl/>
        </w:rPr>
        <w:t>بالزمالات</w:t>
      </w:r>
      <w:proofErr w:type="spellEnd"/>
      <w:r>
        <w:rPr>
          <w:rFonts w:ascii="Arabic Typesetting" w:hAnsi="Arabic Typesetting" w:cs="Arabic Typesetting" w:hint="cs"/>
          <w:sz w:val="34"/>
          <w:szCs w:val="34"/>
          <w:rtl/>
        </w:rPr>
        <w:t>).</w:t>
      </w:r>
    </w:p>
    <w:p w:rsidR="00B31868" w:rsidRPr="00B31868" w:rsidRDefault="001A641A" w:rsidP="00086C3F">
      <w:pPr>
        <w:bidi/>
        <w:spacing w:after="120"/>
        <w:jc w:val="center"/>
        <w:rPr>
          <w:rFonts w:ascii="Arabic Typesetting" w:hAnsi="Arabic Typesetting" w:cs="Arabic Typesetting"/>
          <w:sz w:val="36"/>
          <w:szCs w:val="36"/>
          <w:rtl/>
        </w:rPr>
      </w:pPr>
      <w:r>
        <w:rPr>
          <w:noProof/>
        </w:rPr>
        <w:drawing>
          <wp:inline distT="0" distB="0" distL="0" distR="0" wp14:anchorId="177A474B" wp14:editId="490DD63F">
            <wp:extent cx="5940425" cy="3653742"/>
            <wp:effectExtent l="0" t="0" r="3175" b="4445"/>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B31868" w:rsidRPr="00B264F9" w:rsidRDefault="00B31868" w:rsidP="009A3712">
      <w:pPr>
        <w:numPr>
          <w:ilvl w:val="0"/>
          <w:numId w:val="31"/>
        </w:numPr>
        <w:bidi/>
        <w:spacing w:after="120" w:line="340" w:lineRule="exact"/>
        <w:rPr>
          <w:rFonts w:ascii="Arabic Typesetting" w:hAnsi="Arabic Typesetting" w:cs="Arabic Typesetting"/>
          <w:sz w:val="34"/>
          <w:szCs w:val="34"/>
        </w:rPr>
      </w:pPr>
      <w:r w:rsidRPr="00B264F9">
        <w:rPr>
          <w:rFonts w:ascii="Arabic Typesetting" w:hAnsi="Arabic Typesetting" w:cs="Arabic Typesetting" w:hint="cs"/>
          <w:sz w:val="34"/>
          <w:szCs w:val="34"/>
          <w:rtl/>
        </w:rPr>
        <w:t xml:space="preserve">تقدر النفقات الإجمالية المتعلقة بالمعالجة في نظام لاهاي </w:t>
      </w:r>
      <w:r w:rsidR="001A641A" w:rsidRPr="00B264F9">
        <w:rPr>
          <w:rFonts w:ascii="Arabic Typesetting" w:hAnsi="Arabic Typesetting" w:cs="Arabic Typesetting" w:hint="cs"/>
          <w:sz w:val="34"/>
          <w:szCs w:val="34"/>
          <w:rtl/>
        </w:rPr>
        <w:t>بنحو 6 ملايين</w:t>
      </w:r>
      <w:r w:rsidRPr="00B264F9">
        <w:rPr>
          <w:rFonts w:ascii="Arabic Typesetting" w:hAnsi="Arabic Typesetting" w:cs="Arabic Typesetting" w:hint="cs"/>
          <w:sz w:val="34"/>
          <w:szCs w:val="34"/>
          <w:rtl/>
        </w:rPr>
        <w:t xml:space="preserve"> فرنك سويسري في </w:t>
      </w:r>
      <w:r w:rsidR="008A6D4E" w:rsidRPr="00B264F9">
        <w:rPr>
          <w:rFonts w:ascii="Arabic Typesetting" w:hAnsi="Arabic Typesetting" w:cs="Arabic Typesetting" w:hint="cs"/>
          <w:sz w:val="34"/>
          <w:szCs w:val="34"/>
          <w:rtl/>
        </w:rPr>
        <w:t>عام</w:t>
      </w:r>
      <w:r w:rsidRPr="00B264F9">
        <w:rPr>
          <w:rFonts w:ascii="Arabic Typesetting" w:hAnsi="Arabic Typesetting" w:cs="Arabic Typesetting" w:hint="cs"/>
          <w:sz w:val="34"/>
          <w:szCs w:val="34"/>
          <w:rtl/>
        </w:rPr>
        <w:t xml:space="preserve"> </w:t>
      </w:r>
      <w:r w:rsidR="001A641A" w:rsidRPr="00B264F9">
        <w:rPr>
          <w:rFonts w:ascii="Arabic Typesetting" w:hAnsi="Arabic Typesetting" w:cs="Arabic Typesetting" w:hint="cs"/>
          <w:sz w:val="34"/>
          <w:szCs w:val="34"/>
          <w:rtl/>
        </w:rPr>
        <w:t>2015</w:t>
      </w:r>
      <w:r w:rsidR="00D4049F" w:rsidRPr="00B264F9">
        <w:rPr>
          <w:rFonts w:ascii="Arabic Typesetting" w:hAnsi="Arabic Typesetting" w:cs="Arabic Typesetting" w:hint="cs"/>
          <w:sz w:val="34"/>
          <w:szCs w:val="34"/>
          <w:rtl/>
        </w:rPr>
        <w:t>. ويساوي ذلك</w:t>
      </w:r>
      <w:r w:rsidRPr="00B264F9">
        <w:rPr>
          <w:rFonts w:ascii="Arabic Typesetting" w:hAnsi="Arabic Typesetting" w:cs="Arabic Typesetting" w:hint="cs"/>
          <w:sz w:val="34"/>
          <w:szCs w:val="34"/>
          <w:rtl/>
        </w:rPr>
        <w:t xml:space="preserve"> </w:t>
      </w:r>
      <w:r w:rsidR="001A641A" w:rsidRPr="00B264F9">
        <w:rPr>
          <w:rFonts w:ascii="Arabic Typesetting" w:hAnsi="Arabic Typesetting" w:cs="Arabic Typesetting" w:hint="cs"/>
          <w:sz w:val="34"/>
          <w:szCs w:val="34"/>
          <w:rtl/>
        </w:rPr>
        <w:t xml:space="preserve">زيادة </w:t>
      </w:r>
      <w:r w:rsidRPr="00B264F9">
        <w:rPr>
          <w:rFonts w:ascii="Arabic Typesetting" w:hAnsi="Arabic Typesetting" w:cs="Arabic Typesetting" w:hint="cs"/>
          <w:sz w:val="34"/>
          <w:szCs w:val="34"/>
          <w:rtl/>
        </w:rPr>
        <w:t xml:space="preserve">بنسبة </w:t>
      </w:r>
      <w:r w:rsidR="001A641A" w:rsidRPr="00B264F9">
        <w:rPr>
          <w:rFonts w:ascii="Arabic Typesetting" w:hAnsi="Arabic Typesetting" w:cs="Arabic Typesetting" w:hint="cs"/>
          <w:sz w:val="34"/>
          <w:szCs w:val="34"/>
          <w:rtl/>
        </w:rPr>
        <w:t>5</w:t>
      </w:r>
      <w:r w:rsidRPr="00B264F9">
        <w:rPr>
          <w:rFonts w:ascii="Arabic Typesetting" w:hAnsi="Arabic Typesetting" w:cs="Arabic Typesetting" w:hint="cs"/>
          <w:sz w:val="34"/>
          <w:szCs w:val="34"/>
          <w:rtl/>
        </w:rPr>
        <w:t xml:space="preserve"> بالمئة ع</w:t>
      </w:r>
      <w:r w:rsidR="001A641A" w:rsidRPr="00B264F9">
        <w:rPr>
          <w:rFonts w:ascii="Arabic Typesetting" w:hAnsi="Arabic Typesetting" w:cs="Arabic Typesetting" w:hint="cs"/>
          <w:sz w:val="34"/>
          <w:szCs w:val="34"/>
          <w:rtl/>
        </w:rPr>
        <w:t>لى</w:t>
      </w:r>
      <w:r w:rsidRPr="00B264F9">
        <w:rPr>
          <w:rFonts w:ascii="Arabic Typesetting" w:hAnsi="Arabic Typesetting" w:cs="Arabic Typesetting" w:hint="cs"/>
          <w:sz w:val="34"/>
          <w:szCs w:val="34"/>
          <w:rtl/>
        </w:rPr>
        <w:t xml:space="preserve"> </w:t>
      </w:r>
      <w:r w:rsidR="001A641A" w:rsidRPr="00B264F9">
        <w:rPr>
          <w:rFonts w:ascii="Arabic Typesetting" w:hAnsi="Arabic Typesetting" w:cs="Arabic Typesetting" w:hint="cs"/>
          <w:sz w:val="34"/>
          <w:szCs w:val="34"/>
          <w:rtl/>
        </w:rPr>
        <w:t>عام 2014</w:t>
      </w:r>
      <w:r w:rsidRPr="00B264F9">
        <w:rPr>
          <w:rFonts w:ascii="Arabic Typesetting" w:hAnsi="Arabic Typesetting" w:cs="Arabic Typesetting" w:hint="cs"/>
          <w:sz w:val="34"/>
          <w:szCs w:val="34"/>
          <w:rtl/>
        </w:rPr>
        <w:t xml:space="preserve">. وقد انخفضت التكاليف المباشرة والتكاليف غير المباشرة بنسبة </w:t>
      </w:r>
      <w:r w:rsidR="001A641A" w:rsidRPr="00B264F9">
        <w:rPr>
          <w:rFonts w:ascii="Arabic Typesetting" w:hAnsi="Arabic Typesetting" w:cs="Arabic Typesetting" w:hint="cs"/>
          <w:sz w:val="34"/>
          <w:szCs w:val="34"/>
          <w:rtl/>
        </w:rPr>
        <w:t>6</w:t>
      </w:r>
      <w:r w:rsidRPr="00B264F9">
        <w:rPr>
          <w:rFonts w:ascii="Arabic Typesetting" w:hAnsi="Arabic Typesetting" w:cs="Arabic Typesetting" w:hint="cs"/>
          <w:sz w:val="34"/>
          <w:szCs w:val="34"/>
          <w:rtl/>
        </w:rPr>
        <w:t xml:space="preserve"> </w:t>
      </w:r>
      <w:r w:rsidR="001A641A" w:rsidRPr="00B264F9">
        <w:rPr>
          <w:rFonts w:ascii="Arabic Typesetting" w:hAnsi="Arabic Typesetting" w:cs="Arabic Typesetting" w:hint="cs"/>
          <w:sz w:val="34"/>
          <w:szCs w:val="34"/>
          <w:rtl/>
        </w:rPr>
        <w:t>و3 ب</w:t>
      </w:r>
      <w:r w:rsidRPr="00B264F9">
        <w:rPr>
          <w:rFonts w:ascii="Arabic Typesetting" w:hAnsi="Arabic Typesetting" w:cs="Arabic Typesetting" w:hint="cs"/>
          <w:sz w:val="34"/>
          <w:szCs w:val="34"/>
          <w:rtl/>
        </w:rPr>
        <w:t>المئة على التوالي</w:t>
      </w:r>
      <w:r w:rsidR="001A641A" w:rsidRPr="00B264F9">
        <w:rPr>
          <w:rFonts w:ascii="Arabic Typesetting" w:hAnsi="Arabic Typesetting" w:cs="Arabic Typesetting" w:hint="cs"/>
          <w:sz w:val="34"/>
          <w:szCs w:val="34"/>
          <w:rtl/>
        </w:rPr>
        <w:t xml:space="preserve"> عن عام 2014</w:t>
      </w:r>
      <w:r w:rsidRPr="00B264F9">
        <w:rPr>
          <w:rFonts w:ascii="Arabic Typesetting" w:hAnsi="Arabic Typesetting" w:cs="Arabic Typesetting" w:hint="cs"/>
          <w:sz w:val="34"/>
          <w:szCs w:val="34"/>
          <w:rtl/>
        </w:rPr>
        <w:t>.</w:t>
      </w:r>
      <w:r w:rsidR="001A641A" w:rsidRPr="00B264F9">
        <w:rPr>
          <w:rFonts w:ascii="Arabic Typesetting" w:hAnsi="Arabic Typesetting" w:cs="Arabic Typesetting" w:hint="cs"/>
          <w:sz w:val="34"/>
          <w:szCs w:val="34"/>
          <w:rtl/>
        </w:rPr>
        <w:t xml:space="preserve"> وازدادت تكاليف الإنتاج الإجمالي في </w:t>
      </w:r>
      <w:r w:rsidR="00507DE2">
        <w:rPr>
          <w:rFonts w:ascii="Arabic Typesetting" w:hAnsi="Arabic Typesetting" w:cs="Arabic Typesetting" w:hint="cs"/>
          <w:sz w:val="34"/>
          <w:szCs w:val="34"/>
          <w:rtl/>
        </w:rPr>
        <w:t>2014/15</w:t>
      </w:r>
      <w:r w:rsidR="001A641A" w:rsidRPr="00B264F9">
        <w:rPr>
          <w:rFonts w:ascii="Arabic Typesetting" w:hAnsi="Arabic Typesetting" w:cs="Arabic Typesetting" w:hint="cs"/>
          <w:sz w:val="34"/>
          <w:szCs w:val="34"/>
          <w:rtl/>
        </w:rPr>
        <w:t xml:space="preserve"> بنسبة 3 بالمئة مقارنة بالثنائية </w:t>
      </w:r>
      <w:r w:rsidR="00507DE2">
        <w:rPr>
          <w:rFonts w:ascii="Arabic Typesetting" w:hAnsi="Arabic Typesetting" w:cs="Arabic Typesetting" w:hint="cs"/>
          <w:sz w:val="34"/>
          <w:szCs w:val="34"/>
          <w:rtl/>
        </w:rPr>
        <w:t>2012/13</w:t>
      </w:r>
      <w:r w:rsidR="001A641A" w:rsidRPr="00B264F9">
        <w:rPr>
          <w:rFonts w:ascii="Arabic Typesetting" w:hAnsi="Arabic Typesetting" w:cs="Arabic Typesetting" w:hint="cs"/>
          <w:sz w:val="34"/>
          <w:szCs w:val="34"/>
          <w:rtl/>
        </w:rPr>
        <w:t>.</w:t>
      </w:r>
    </w:p>
    <w:p w:rsidR="00B31868" w:rsidRPr="00B264F9" w:rsidRDefault="00B31868" w:rsidP="009A3712">
      <w:pPr>
        <w:numPr>
          <w:ilvl w:val="0"/>
          <w:numId w:val="31"/>
        </w:numPr>
        <w:bidi/>
        <w:spacing w:after="120" w:line="340" w:lineRule="exact"/>
        <w:rPr>
          <w:rFonts w:ascii="Arabic Typesetting" w:hAnsi="Arabic Typesetting" w:cs="Arabic Typesetting"/>
          <w:sz w:val="34"/>
          <w:szCs w:val="34"/>
          <w:rtl/>
        </w:rPr>
      </w:pPr>
      <w:r w:rsidRPr="00B264F9">
        <w:rPr>
          <w:rFonts w:ascii="Arabic Typesetting" w:hAnsi="Arabic Typesetting" w:cs="Arabic Typesetting" w:hint="cs"/>
          <w:sz w:val="34"/>
          <w:szCs w:val="34"/>
          <w:rtl/>
        </w:rPr>
        <w:t xml:space="preserve">وفي </w:t>
      </w:r>
      <w:r w:rsidR="001A641A" w:rsidRPr="00B264F9">
        <w:rPr>
          <w:rFonts w:ascii="Arabic Typesetting" w:hAnsi="Arabic Typesetting" w:cs="Arabic Typesetting" w:hint="cs"/>
          <w:sz w:val="34"/>
          <w:szCs w:val="34"/>
          <w:rtl/>
        </w:rPr>
        <w:t>عام 2015</w:t>
      </w:r>
      <w:r w:rsidRPr="00B264F9">
        <w:rPr>
          <w:rFonts w:ascii="Arabic Typesetting" w:hAnsi="Arabic Typesetting" w:cs="Arabic Typesetting" w:hint="cs"/>
          <w:sz w:val="34"/>
          <w:szCs w:val="34"/>
          <w:rtl/>
        </w:rPr>
        <w:t xml:space="preserve">، بلغت حصة التكاليف المباشرة </w:t>
      </w:r>
      <w:r w:rsidR="001A641A" w:rsidRPr="00B264F9">
        <w:rPr>
          <w:rFonts w:ascii="Arabic Typesetting" w:hAnsi="Arabic Typesetting" w:cs="Arabic Typesetting" w:hint="cs"/>
          <w:sz w:val="34"/>
          <w:szCs w:val="34"/>
          <w:rtl/>
        </w:rPr>
        <w:t xml:space="preserve">61 </w:t>
      </w:r>
      <w:r w:rsidRPr="00B264F9">
        <w:rPr>
          <w:rFonts w:ascii="Arabic Typesetting" w:hAnsi="Arabic Typesetting" w:cs="Arabic Typesetting" w:hint="cs"/>
          <w:sz w:val="34"/>
          <w:szCs w:val="34"/>
          <w:rtl/>
        </w:rPr>
        <w:t>بالمئة من النفقات الإجمالية.</w:t>
      </w:r>
    </w:p>
    <w:p w:rsidR="00B31868" w:rsidRPr="00141A0B" w:rsidRDefault="00B31868" w:rsidP="00086C3F">
      <w:pPr>
        <w:keepNext/>
        <w:bidi/>
        <w:spacing w:after="120" w:line="340" w:lineRule="exact"/>
        <w:rPr>
          <w:rFonts w:ascii="Arabic Typesetting" w:hAnsi="Arabic Typesetting" w:cs="Arabic Typesetting"/>
          <w:sz w:val="34"/>
          <w:szCs w:val="34"/>
          <w:u w:val="single"/>
          <w:rtl/>
          <w:lang w:val="fr-CH"/>
        </w:rPr>
      </w:pPr>
      <w:r w:rsidRPr="00141A0B">
        <w:rPr>
          <w:rFonts w:ascii="Arabic Typesetting" w:hAnsi="Arabic Typesetting" w:cs="Arabic Typesetting"/>
          <w:sz w:val="34"/>
          <w:szCs w:val="34"/>
          <w:u w:val="single"/>
          <w:rtl/>
          <w:lang w:val="fr-CH"/>
        </w:rPr>
        <w:t>تكلفة الوحدة</w:t>
      </w:r>
    </w:p>
    <w:p w:rsidR="00B31868" w:rsidRPr="00B31868" w:rsidRDefault="00B31868" w:rsidP="009A3712">
      <w:pPr>
        <w:numPr>
          <w:ilvl w:val="0"/>
          <w:numId w:val="33"/>
        </w:numPr>
        <w:bidi/>
        <w:spacing w:after="120" w:line="340" w:lineRule="exact"/>
        <w:ind w:left="0" w:firstLine="0"/>
        <w:rPr>
          <w:rFonts w:ascii="Arabic Typesetting" w:hAnsi="Arabic Typesetting" w:cs="Arabic Typesetting"/>
          <w:sz w:val="34"/>
          <w:szCs w:val="34"/>
          <w:rtl/>
        </w:rPr>
      </w:pPr>
      <w:r w:rsidRPr="00B31868">
        <w:rPr>
          <w:rFonts w:ascii="Arabic Typesetting" w:hAnsi="Arabic Typesetting" w:cs="Arabic Typesetting" w:hint="cs"/>
          <w:sz w:val="34"/>
          <w:szCs w:val="34"/>
          <w:rtl/>
        </w:rPr>
        <w:t xml:space="preserve">يمكن حساب </w:t>
      </w:r>
      <w:r w:rsidRPr="00B31868">
        <w:rPr>
          <w:rFonts w:ascii="Arabic Typesetting" w:hAnsi="Arabic Typesetting" w:cs="Arabic Typesetting"/>
          <w:sz w:val="34"/>
          <w:szCs w:val="34"/>
          <w:rtl/>
        </w:rPr>
        <w:t xml:space="preserve">كفاءة المكتب الدولي في معالجة المعاملات </w:t>
      </w:r>
      <w:r w:rsidRPr="00B31868">
        <w:rPr>
          <w:rFonts w:ascii="Arabic Typesetting" w:hAnsi="Arabic Typesetting" w:cs="Arabic Typesetting" w:hint="cs"/>
          <w:sz w:val="34"/>
          <w:szCs w:val="34"/>
          <w:rtl/>
        </w:rPr>
        <w:t>ب</w:t>
      </w:r>
      <w:r w:rsidRPr="00B31868">
        <w:rPr>
          <w:rFonts w:ascii="Arabic Typesetting" w:hAnsi="Arabic Typesetting" w:cs="Arabic Typesetting"/>
          <w:sz w:val="34"/>
          <w:szCs w:val="34"/>
          <w:rtl/>
        </w:rPr>
        <w:t>تكلفة الوحدة</w:t>
      </w:r>
      <w:r w:rsidRPr="00B31868">
        <w:rPr>
          <w:rFonts w:ascii="Arabic Typesetting" w:hAnsi="Arabic Typesetting" w:cs="Arabic Typesetting" w:hint="cs"/>
          <w:sz w:val="34"/>
          <w:szCs w:val="34"/>
          <w:rtl/>
        </w:rPr>
        <w:t xml:space="preserve"> التي </w:t>
      </w:r>
      <w:r w:rsidR="000C57AE">
        <w:rPr>
          <w:rFonts w:ascii="Arabic Typesetting" w:hAnsi="Arabic Typesetting" w:cs="Arabic Typesetting" w:hint="cs"/>
          <w:sz w:val="34"/>
          <w:szCs w:val="34"/>
          <w:rtl/>
        </w:rPr>
        <w:t>تساوي</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التكلفة</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لإنتاج</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وحدة</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واحدة</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من</w:t>
      </w:r>
      <w:r w:rsidR="001A641A">
        <w:rPr>
          <w:rFonts w:ascii="Arabic Typesetting" w:hAnsi="Arabic Typesetting" w:cs="Arabic Typesetting" w:hint="eastAsia"/>
          <w:sz w:val="34"/>
          <w:szCs w:val="34"/>
          <w:rtl/>
        </w:rPr>
        <w:t> </w:t>
      </w:r>
      <w:r w:rsidRPr="00B31868">
        <w:rPr>
          <w:rFonts w:ascii="Arabic Typesetting" w:hAnsi="Arabic Typesetting" w:cs="Arabic Typesetting" w:hint="cs"/>
          <w:sz w:val="34"/>
          <w:szCs w:val="34"/>
          <w:rtl/>
        </w:rPr>
        <w:t>المخرجات</w:t>
      </w:r>
      <w:r w:rsidRPr="00B31868">
        <w:rPr>
          <w:rFonts w:ascii="Arabic Typesetting" w:hAnsi="Arabic Typesetting" w:cs="Arabic Typesetting"/>
          <w:sz w:val="34"/>
          <w:szCs w:val="34"/>
        </w:rPr>
        <w:t>.</w:t>
      </w:r>
    </w:p>
    <w:p w:rsidR="00B31868" w:rsidRPr="00B31868" w:rsidRDefault="00B31868" w:rsidP="009A3712">
      <w:pPr>
        <w:numPr>
          <w:ilvl w:val="0"/>
          <w:numId w:val="33"/>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وبما أن </w:t>
      </w:r>
      <w:r w:rsidRPr="00B31868">
        <w:rPr>
          <w:rFonts w:ascii="Arabic Typesetting" w:hAnsi="Arabic Typesetting" w:cs="Arabic Typesetting"/>
          <w:sz w:val="34"/>
          <w:szCs w:val="34"/>
          <w:rtl/>
        </w:rPr>
        <w:t xml:space="preserve">المكتب الدولي يسجل </w:t>
      </w:r>
      <w:r w:rsidRPr="00B31868">
        <w:rPr>
          <w:rFonts w:ascii="Arabic Typesetting" w:hAnsi="Arabic Typesetting" w:cs="Arabic Typesetting" w:hint="cs"/>
          <w:sz w:val="34"/>
          <w:szCs w:val="34"/>
          <w:rtl/>
        </w:rPr>
        <w:t xml:space="preserve">طلبات </w:t>
      </w:r>
      <w:r w:rsidRPr="00B31868">
        <w:rPr>
          <w:rFonts w:ascii="Arabic Typesetting" w:hAnsi="Arabic Typesetting" w:cs="Arabic Typesetting"/>
          <w:sz w:val="34"/>
          <w:szCs w:val="34"/>
          <w:rtl/>
        </w:rPr>
        <w:t xml:space="preserve">جديدة ويحفظ التسجيلات </w:t>
      </w:r>
      <w:r w:rsidRPr="00B31868">
        <w:rPr>
          <w:rFonts w:ascii="Arabic Typesetting" w:hAnsi="Arabic Typesetting" w:cs="Arabic Typesetting" w:hint="cs"/>
          <w:sz w:val="34"/>
          <w:szCs w:val="34"/>
          <w:rtl/>
        </w:rPr>
        <w:t>الموجودة</w:t>
      </w:r>
      <w:r w:rsidRPr="00B31868">
        <w:rPr>
          <w:rFonts w:ascii="Arabic Typesetting" w:hAnsi="Arabic Typesetting" w:cs="Arabic Typesetting"/>
          <w:sz w:val="34"/>
          <w:szCs w:val="34"/>
          <w:rtl/>
        </w:rPr>
        <w:t xml:space="preserve">، فمن </w:t>
      </w:r>
      <w:r w:rsidRPr="00B31868">
        <w:rPr>
          <w:rFonts w:ascii="Arabic Typesetting" w:hAnsi="Arabic Typesetting" w:cs="Arabic Typesetting" w:hint="cs"/>
          <w:sz w:val="34"/>
          <w:szCs w:val="34"/>
          <w:rtl/>
        </w:rPr>
        <w:t>الوجيه</w:t>
      </w:r>
      <w:r w:rsidRPr="00B31868">
        <w:rPr>
          <w:rFonts w:ascii="Arabic Typesetting" w:hAnsi="Arabic Typesetting" w:cs="Arabic Typesetting"/>
          <w:sz w:val="34"/>
          <w:szCs w:val="34"/>
          <w:rtl/>
        </w:rPr>
        <w:t xml:space="preserve"> أن </w:t>
      </w:r>
      <w:r w:rsidRPr="00B31868">
        <w:rPr>
          <w:rFonts w:ascii="Arabic Typesetting" w:hAnsi="Arabic Typesetting" w:cs="Arabic Typesetting" w:hint="cs"/>
          <w:sz w:val="34"/>
          <w:szCs w:val="34"/>
          <w:rtl/>
        </w:rPr>
        <w:t>ت</w:t>
      </w:r>
      <w:r w:rsidRPr="00B31868">
        <w:rPr>
          <w:rFonts w:ascii="Arabic Typesetting" w:hAnsi="Arabic Typesetting" w:cs="Arabic Typesetting"/>
          <w:sz w:val="34"/>
          <w:szCs w:val="34"/>
          <w:rtl/>
        </w:rPr>
        <w:t xml:space="preserve">كون </w:t>
      </w:r>
      <w:r w:rsidRPr="00B31868">
        <w:rPr>
          <w:rFonts w:ascii="Arabic Typesetting" w:hAnsi="Arabic Typesetting" w:cs="Arabic Typesetting" w:hint="cs"/>
          <w:sz w:val="34"/>
          <w:szCs w:val="34"/>
          <w:rtl/>
        </w:rPr>
        <w:t>هناك</w:t>
      </w:r>
      <w:r w:rsidRPr="00B31868">
        <w:rPr>
          <w:rFonts w:ascii="Arabic Typesetting" w:hAnsi="Arabic Typesetting" w:cs="Arabic Typesetting"/>
          <w:sz w:val="34"/>
          <w:szCs w:val="34"/>
          <w:rtl/>
        </w:rPr>
        <w:t xml:space="preserve"> وحدة من </w:t>
      </w:r>
      <w:r w:rsidRPr="00B31868">
        <w:rPr>
          <w:rFonts w:ascii="Arabic Typesetting" w:hAnsi="Arabic Typesetting" w:cs="Arabic Typesetting" w:hint="cs"/>
          <w:sz w:val="34"/>
          <w:szCs w:val="34"/>
          <w:rtl/>
        </w:rPr>
        <w:t>المخرجات</w:t>
      </w:r>
      <w:r w:rsidRPr="00B31868">
        <w:rPr>
          <w:rFonts w:ascii="Arabic Typesetting" w:hAnsi="Arabic Typesetting" w:cs="Arabic Typesetting"/>
          <w:sz w:val="34"/>
          <w:szCs w:val="34"/>
          <w:rtl/>
        </w:rPr>
        <w:t xml:space="preserve"> ال</w:t>
      </w:r>
      <w:r w:rsidRPr="00B31868">
        <w:rPr>
          <w:rFonts w:ascii="Arabic Typesetting" w:hAnsi="Arabic Typesetting" w:cs="Arabic Typesetting" w:hint="cs"/>
          <w:sz w:val="34"/>
          <w:szCs w:val="34"/>
          <w:rtl/>
        </w:rPr>
        <w:t>ت</w:t>
      </w:r>
      <w:r w:rsidRPr="00B31868">
        <w:rPr>
          <w:rFonts w:ascii="Arabic Typesetting" w:hAnsi="Arabic Typesetting" w:cs="Arabic Typesetting"/>
          <w:sz w:val="34"/>
          <w:szCs w:val="34"/>
          <w:rtl/>
        </w:rPr>
        <w:t xml:space="preserve">ي </w:t>
      </w:r>
      <w:r w:rsidRPr="00B31868">
        <w:rPr>
          <w:rFonts w:ascii="Arabic Typesetting" w:hAnsi="Arabic Typesetting" w:cs="Arabic Typesetting" w:hint="cs"/>
          <w:sz w:val="34"/>
          <w:szCs w:val="34"/>
          <w:rtl/>
        </w:rPr>
        <w:t>ت</w:t>
      </w:r>
      <w:r w:rsidRPr="00B31868">
        <w:rPr>
          <w:rFonts w:ascii="Arabic Typesetting" w:hAnsi="Arabic Typesetting" w:cs="Arabic Typesetting"/>
          <w:sz w:val="34"/>
          <w:szCs w:val="34"/>
          <w:rtl/>
        </w:rPr>
        <w:t>تضمن مجموعة من المعاملات. و</w:t>
      </w:r>
      <w:r w:rsidRPr="00B31868">
        <w:rPr>
          <w:rFonts w:ascii="Arabic Typesetting" w:hAnsi="Arabic Typesetting" w:cs="Arabic Typesetting" w:hint="cs"/>
          <w:sz w:val="34"/>
          <w:szCs w:val="34"/>
          <w:rtl/>
        </w:rPr>
        <w:t xml:space="preserve">يرد </w:t>
      </w:r>
      <w:r w:rsidR="00FB2BCA">
        <w:rPr>
          <w:rFonts w:ascii="Arabic Typesetting" w:hAnsi="Arabic Typesetting" w:cs="Arabic Typesetting" w:hint="cs"/>
          <w:sz w:val="34"/>
          <w:szCs w:val="34"/>
          <w:rtl/>
        </w:rPr>
        <w:t>فيما يلي</w:t>
      </w:r>
      <w:r w:rsidRPr="00B31868">
        <w:rPr>
          <w:rFonts w:ascii="Arabic Typesetting" w:hAnsi="Arabic Typesetting" w:cs="Arabic Typesetting" w:hint="cs"/>
          <w:sz w:val="34"/>
          <w:szCs w:val="34"/>
          <w:rtl/>
        </w:rPr>
        <w:t xml:space="preserve"> </w:t>
      </w:r>
      <w:r w:rsidRPr="00B31868">
        <w:rPr>
          <w:rFonts w:ascii="Arabic Typesetting" w:hAnsi="Arabic Typesetting" w:cs="Arabic Typesetting"/>
          <w:sz w:val="34"/>
          <w:szCs w:val="34"/>
          <w:rtl/>
        </w:rPr>
        <w:t>مؤشرا</w:t>
      </w:r>
      <w:r w:rsidRPr="00B31868">
        <w:rPr>
          <w:rFonts w:ascii="Arabic Typesetting" w:hAnsi="Arabic Typesetting" w:cs="Arabic Typesetting" w:hint="cs"/>
          <w:sz w:val="34"/>
          <w:szCs w:val="34"/>
          <w:rtl/>
        </w:rPr>
        <w:t>ن</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اثنان ل</w:t>
      </w:r>
      <w:r w:rsidRPr="00B31868">
        <w:rPr>
          <w:rFonts w:ascii="Arabic Typesetting" w:hAnsi="Arabic Typesetting" w:cs="Arabic Typesetting"/>
          <w:sz w:val="34"/>
          <w:szCs w:val="34"/>
          <w:rtl/>
        </w:rPr>
        <w:t>تكلفة الوحدة</w:t>
      </w:r>
      <w:r w:rsidRPr="00B31868">
        <w:rPr>
          <w:rFonts w:ascii="Arabic Typesetting" w:hAnsi="Arabic Typesetting" w:cs="Arabic Typesetting" w:hint="cs"/>
          <w:sz w:val="34"/>
          <w:szCs w:val="34"/>
          <w:rtl/>
        </w:rPr>
        <w:t xml:space="preserve"> </w:t>
      </w:r>
      <w:r w:rsidRPr="00B31868">
        <w:rPr>
          <w:rFonts w:ascii="Arabic Typesetting" w:hAnsi="Arabic Typesetting" w:cs="Arabic Typesetting"/>
          <w:sz w:val="34"/>
          <w:szCs w:val="34"/>
          <w:rtl/>
        </w:rPr>
        <w:t>باستخدام وحد</w:t>
      </w:r>
      <w:r w:rsidRPr="00B31868">
        <w:rPr>
          <w:rFonts w:ascii="Arabic Typesetting" w:hAnsi="Arabic Typesetting" w:cs="Arabic Typesetting" w:hint="cs"/>
          <w:sz w:val="34"/>
          <w:szCs w:val="34"/>
          <w:rtl/>
        </w:rPr>
        <w:t xml:space="preserve">تين </w:t>
      </w:r>
      <w:r w:rsidRPr="00B31868">
        <w:rPr>
          <w:rFonts w:ascii="Arabic Typesetting" w:hAnsi="Arabic Typesetting" w:cs="Arabic Typesetting"/>
          <w:sz w:val="34"/>
          <w:szCs w:val="34"/>
          <w:rtl/>
        </w:rPr>
        <w:t>مختلف</w:t>
      </w:r>
      <w:r w:rsidRPr="00B31868">
        <w:rPr>
          <w:rFonts w:ascii="Arabic Typesetting" w:hAnsi="Arabic Typesetting" w:cs="Arabic Typesetting" w:hint="cs"/>
          <w:sz w:val="34"/>
          <w:szCs w:val="34"/>
          <w:rtl/>
        </w:rPr>
        <w:t xml:space="preserve">تين </w:t>
      </w:r>
      <w:r w:rsidRPr="00B31868">
        <w:rPr>
          <w:rFonts w:ascii="Arabic Typesetting" w:hAnsi="Arabic Typesetting" w:cs="Arabic Typesetting"/>
          <w:sz w:val="34"/>
          <w:szCs w:val="34"/>
          <w:rtl/>
        </w:rPr>
        <w:t xml:space="preserve">من </w:t>
      </w:r>
      <w:r w:rsidRPr="00B31868">
        <w:rPr>
          <w:rFonts w:ascii="Arabic Typesetting" w:hAnsi="Arabic Typesetting" w:cs="Arabic Typesetting" w:hint="cs"/>
          <w:sz w:val="34"/>
          <w:szCs w:val="34"/>
          <w:rtl/>
        </w:rPr>
        <w:t>المخرجات.</w:t>
      </w:r>
    </w:p>
    <w:p w:rsidR="00B31868" w:rsidRPr="00B31868" w:rsidRDefault="00B31868" w:rsidP="009A3712">
      <w:pPr>
        <w:numPr>
          <w:ilvl w:val="0"/>
          <w:numId w:val="33"/>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sz w:val="34"/>
          <w:szCs w:val="34"/>
          <w:rtl/>
        </w:rPr>
        <w:t>وكجزء من جهود</w:t>
      </w:r>
      <w:r w:rsidRPr="00B31868">
        <w:rPr>
          <w:rFonts w:ascii="Arabic Typesetting" w:hAnsi="Arabic Typesetting" w:cs="Arabic Typesetting"/>
          <w:sz w:val="34"/>
          <w:szCs w:val="34"/>
        </w:rPr>
        <w:t xml:space="preserve"> </w:t>
      </w:r>
      <w:r w:rsidRPr="00B31868">
        <w:rPr>
          <w:rFonts w:ascii="Arabic Typesetting" w:hAnsi="Arabic Typesetting" w:cs="Arabic Typesetting"/>
          <w:sz w:val="34"/>
          <w:szCs w:val="34"/>
          <w:rtl/>
        </w:rPr>
        <w:t>المكتب الدولي</w:t>
      </w:r>
      <w:r w:rsidRPr="00B31868">
        <w:rPr>
          <w:rFonts w:ascii="Arabic Typesetting" w:hAnsi="Arabic Typesetting" w:cs="Arabic Typesetting" w:hint="cs"/>
          <w:sz w:val="34"/>
          <w:szCs w:val="34"/>
          <w:rtl/>
        </w:rPr>
        <w:t xml:space="preserve"> لمواصلة </w:t>
      </w:r>
      <w:r w:rsidRPr="00B31868">
        <w:rPr>
          <w:rFonts w:ascii="Arabic Typesetting" w:hAnsi="Arabic Typesetting" w:cs="Arabic Typesetting"/>
          <w:sz w:val="34"/>
          <w:szCs w:val="34"/>
          <w:rtl/>
        </w:rPr>
        <w:t xml:space="preserve">صقل منهجية حساب تكاليف الوحدة، </w:t>
      </w:r>
      <w:r w:rsidR="00FF1820">
        <w:rPr>
          <w:rFonts w:ascii="Arabic Typesetting" w:hAnsi="Arabic Typesetting" w:cs="Arabic Typesetting" w:hint="cs"/>
          <w:sz w:val="34"/>
          <w:szCs w:val="34"/>
          <w:rtl/>
        </w:rPr>
        <w:t>نُقحت</w:t>
      </w:r>
      <w:r w:rsidRPr="00B31868">
        <w:rPr>
          <w:rFonts w:ascii="Arabic Typesetting" w:hAnsi="Arabic Typesetting" w:cs="Arabic Typesetting"/>
          <w:sz w:val="34"/>
          <w:szCs w:val="34"/>
          <w:rtl/>
        </w:rPr>
        <w:t xml:space="preserve"> المنهجية في</w:t>
      </w:r>
      <w:r w:rsidRPr="00B31868">
        <w:rPr>
          <w:rFonts w:ascii="Arabic Typesetting" w:hAnsi="Arabic Typesetting" w:cs="Arabic Typesetting" w:hint="cs"/>
          <w:sz w:val="34"/>
          <w:szCs w:val="34"/>
          <w:rtl/>
        </w:rPr>
        <w:t xml:space="preserve"> وثيقة</w:t>
      </w:r>
      <w:r w:rsidRPr="00B31868">
        <w:rPr>
          <w:rFonts w:ascii="Arabic Typesetting" w:hAnsi="Arabic Typesetting" w:cs="Arabic Typesetting"/>
          <w:sz w:val="34"/>
          <w:szCs w:val="34"/>
          <w:rtl/>
        </w:rPr>
        <w:t xml:space="preserve"> البرنامج والميزانية</w:t>
      </w:r>
      <w:r w:rsidRPr="00B31868">
        <w:rPr>
          <w:rFonts w:ascii="Arabic Typesetting" w:hAnsi="Arabic Typesetting" w:cs="Arabic Typesetting" w:hint="cs"/>
          <w:sz w:val="34"/>
          <w:szCs w:val="34"/>
          <w:rtl/>
        </w:rPr>
        <w:t xml:space="preserve"> </w:t>
      </w:r>
      <w:r w:rsidR="001A641A">
        <w:rPr>
          <w:rFonts w:ascii="Arabic Typesetting" w:hAnsi="Arabic Typesetting" w:cs="Arabic Typesetting" w:hint="cs"/>
          <w:sz w:val="34"/>
          <w:szCs w:val="34"/>
          <w:rtl/>
        </w:rPr>
        <w:t xml:space="preserve">للثنائية </w:t>
      </w:r>
      <w:r w:rsidR="00507DE2">
        <w:rPr>
          <w:rFonts w:ascii="Arabic Typesetting" w:hAnsi="Arabic Typesetting" w:cs="Arabic Typesetting" w:hint="cs"/>
          <w:sz w:val="34"/>
          <w:szCs w:val="34"/>
          <w:rtl/>
        </w:rPr>
        <w:t>2016/17</w:t>
      </w:r>
      <w:r w:rsidR="001A641A">
        <w:rPr>
          <w:rFonts w:ascii="Arabic Typesetting" w:hAnsi="Arabic Typesetting" w:cs="Arabic Typesetting" w:hint="cs"/>
          <w:sz w:val="34"/>
          <w:szCs w:val="34"/>
          <w:rtl/>
        </w:rPr>
        <w:t xml:space="preserve"> </w:t>
      </w:r>
      <w:r w:rsidR="00C45BBE">
        <w:rPr>
          <w:rFonts w:ascii="Arabic Typesetting" w:hAnsi="Arabic Typesetting" w:cs="Arabic Typesetting" w:hint="cs"/>
          <w:sz w:val="34"/>
          <w:szCs w:val="34"/>
          <w:rtl/>
        </w:rPr>
        <w:t>لتحسين الدقة في بيان</w:t>
      </w:r>
      <w:r w:rsidRPr="00B31868">
        <w:rPr>
          <w:rFonts w:ascii="Arabic Typesetting" w:hAnsi="Arabic Typesetting" w:cs="Arabic Typesetting"/>
          <w:sz w:val="34"/>
          <w:szCs w:val="34"/>
          <w:rtl/>
        </w:rPr>
        <w:t xml:space="preserve"> تكلفة معالجة أعباء</w:t>
      </w:r>
      <w:r w:rsidRPr="00B31868">
        <w:rPr>
          <w:rFonts w:ascii="Arabic Typesetting" w:hAnsi="Arabic Typesetting" w:cs="Arabic Typesetting" w:hint="cs"/>
          <w:sz w:val="34"/>
          <w:szCs w:val="34"/>
          <w:rtl/>
        </w:rPr>
        <w:t xml:space="preserve"> </w:t>
      </w:r>
      <w:r w:rsidRPr="00B31868">
        <w:rPr>
          <w:rFonts w:ascii="Arabic Typesetting" w:hAnsi="Arabic Typesetting" w:cs="Arabic Typesetting"/>
          <w:sz w:val="34"/>
          <w:szCs w:val="34"/>
          <w:rtl/>
        </w:rPr>
        <w:t xml:space="preserve">عمل </w:t>
      </w:r>
      <w:r w:rsidRPr="00B31868">
        <w:rPr>
          <w:rFonts w:ascii="Arabic Typesetting" w:hAnsi="Arabic Typesetting" w:cs="Arabic Typesetting" w:hint="cs"/>
          <w:sz w:val="34"/>
          <w:szCs w:val="34"/>
          <w:rtl/>
        </w:rPr>
        <w:t>نظام لاهاي</w:t>
      </w:r>
      <w:r w:rsidRPr="00B31868">
        <w:rPr>
          <w:rFonts w:ascii="Arabic Typesetting" w:hAnsi="Arabic Typesetting" w:cs="Arabic Typesetting"/>
          <w:sz w:val="34"/>
          <w:szCs w:val="34"/>
          <w:rtl/>
        </w:rPr>
        <w:t xml:space="preserve"> في</w:t>
      </w:r>
      <w:r w:rsidRPr="00B31868">
        <w:rPr>
          <w:rFonts w:ascii="Arabic Typesetting" w:hAnsi="Arabic Typesetting" w:cs="Arabic Typesetting"/>
          <w:sz w:val="34"/>
          <w:szCs w:val="34"/>
        </w:rPr>
        <w:t xml:space="preserve"> </w:t>
      </w:r>
      <w:r w:rsidRPr="00B31868">
        <w:rPr>
          <w:rFonts w:ascii="Arabic Typesetting" w:hAnsi="Arabic Typesetting" w:cs="Arabic Typesetting"/>
          <w:sz w:val="34"/>
          <w:szCs w:val="34"/>
          <w:rtl/>
        </w:rPr>
        <w:t>المكتب الدولي</w:t>
      </w:r>
      <w:r w:rsidRPr="00B31868">
        <w:rPr>
          <w:rFonts w:ascii="Arabic Typesetting" w:hAnsi="Arabic Typesetting" w:cs="Arabic Typesetting" w:hint="cs"/>
          <w:sz w:val="34"/>
          <w:szCs w:val="34"/>
          <w:rtl/>
        </w:rPr>
        <w:t>.</w:t>
      </w:r>
      <w:r w:rsidR="001A641A" w:rsidRPr="00F96634">
        <w:rPr>
          <w:rFonts w:ascii="Arabic Typesetting" w:hAnsi="Arabic Typesetting" w:cs="Arabic Typesetting"/>
          <w:sz w:val="28"/>
          <w:szCs w:val="28"/>
          <w:vertAlign w:val="superscript"/>
          <w:rtl/>
        </w:rPr>
        <w:footnoteReference w:id="43"/>
      </w:r>
    </w:p>
    <w:p w:rsidR="00B31868" w:rsidRPr="00B31868" w:rsidRDefault="00B31868" w:rsidP="00086C3F">
      <w:pPr>
        <w:keepNext/>
        <w:bidi/>
        <w:spacing w:before="120" w:after="120" w:line="340" w:lineRule="exact"/>
        <w:ind w:left="-17"/>
        <w:rPr>
          <w:rFonts w:ascii="Arabic Typesetting" w:hAnsi="Arabic Typesetting" w:cs="Arabic Typesetting"/>
          <w:i/>
          <w:iCs/>
          <w:sz w:val="34"/>
          <w:szCs w:val="34"/>
          <w:rtl/>
        </w:rPr>
      </w:pPr>
      <w:r w:rsidRPr="00B31868">
        <w:rPr>
          <w:rFonts w:ascii="Arabic Typesetting" w:hAnsi="Arabic Typesetting" w:cs="Arabic Typesetting"/>
          <w:i/>
          <w:iCs/>
          <w:sz w:val="34"/>
          <w:szCs w:val="34"/>
          <w:rtl/>
        </w:rPr>
        <w:t>تكلفة الوحدة لكل</w:t>
      </w:r>
      <w:r w:rsidRPr="00B31868">
        <w:rPr>
          <w:rFonts w:ascii="Arabic Typesetting" w:hAnsi="Arabic Typesetting" w:cs="Arabic Typesetting" w:hint="cs"/>
          <w:i/>
          <w:iCs/>
          <w:sz w:val="34"/>
          <w:szCs w:val="34"/>
          <w:rtl/>
        </w:rPr>
        <w:t xml:space="preserve"> تصميم</w:t>
      </w:r>
      <w:r w:rsidRPr="00B31868">
        <w:rPr>
          <w:rFonts w:ascii="Arabic Typesetting" w:hAnsi="Arabic Typesetting" w:cs="Arabic Typesetting"/>
          <w:i/>
          <w:iCs/>
          <w:sz w:val="34"/>
          <w:szCs w:val="34"/>
          <w:rtl/>
        </w:rPr>
        <w:t xml:space="preserve"> جديد/</w:t>
      </w:r>
      <w:r w:rsidRPr="00B31868">
        <w:rPr>
          <w:rFonts w:ascii="Arabic Typesetting" w:hAnsi="Arabic Typesetting" w:cs="Arabic Typesetting" w:hint="cs"/>
          <w:i/>
          <w:iCs/>
          <w:sz w:val="34"/>
          <w:szCs w:val="34"/>
          <w:rtl/>
        </w:rPr>
        <w:t>م</w:t>
      </w:r>
      <w:r w:rsidRPr="00B31868">
        <w:rPr>
          <w:rFonts w:ascii="Arabic Typesetting" w:hAnsi="Arabic Typesetting" w:cs="Arabic Typesetting"/>
          <w:i/>
          <w:iCs/>
          <w:sz w:val="34"/>
          <w:szCs w:val="34"/>
          <w:rtl/>
        </w:rPr>
        <w:t>جد</w:t>
      </w:r>
      <w:r w:rsidRPr="00B31868">
        <w:rPr>
          <w:rFonts w:ascii="Arabic Typesetting" w:hAnsi="Arabic Typesetting" w:cs="Arabic Typesetting" w:hint="cs"/>
          <w:i/>
          <w:iCs/>
          <w:sz w:val="34"/>
          <w:szCs w:val="34"/>
          <w:rtl/>
        </w:rPr>
        <w:t>ّ</w:t>
      </w:r>
      <w:r w:rsidRPr="00B31868">
        <w:rPr>
          <w:rFonts w:ascii="Arabic Typesetting" w:hAnsi="Arabic Typesetting" w:cs="Arabic Typesetting"/>
          <w:i/>
          <w:iCs/>
          <w:sz w:val="34"/>
          <w:szCs w:val="34"/>
          <w:rtl/>
        </w:rPr>
        <w:t>د</w:t>
      </w:r>
    </w:p>
    <w:p w:rsidR="00B31868" w:rsidRPr="00B31868" w:rsidRDefault="00B31868" w:rsidP="009A3712">
      <w:pPr>
        <w:numPr>
          <w:ilvl w:val="0"/>
          <w:numId w:val="33"/>
        </w:numPr>
        <w:bidi/>
        <w:spacing w:after="120" w:line="340" w:lineRule="exact"/>
        <w:ind w:left="0" w:firstLine="0"/>
        <w:rPr>
          <w:rFonts w:ascii="Arabic Typesetting" w:hAnsi="Arabic Typesetting" w:cs="Arabic Typesetting"/>
          <w:sz w:val="34"/>
          <w:szCs w:val="34"/>
          <w:rtl/>
        </w:rPr>
      </w:pPr>
      <w:r w:rsidRPr="00B31868">
        <w:rPr>
          <w:rFonts w:ascii="Arabic Typesetting" w:hAnsi="Arabic Typesetting" w:cs="Arabic Typesetting" w:hint="cs"/>
          <w:sz w:val="34"/>
          <w:szCs w:val="34"/>
          <w:rtl/>
        </w:rPr>
        <w:t>تتألف التصاميم الجديدة من التصاميم الواردة في الطلبات</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ال</w:t>
      </w:r>
      <w:r w:rsidRPr="00B31868">
        <w:rPr>
          <w:rFonts w:ascii="Arabic Typesetting" w:hAnsi="Arabic Typesetting" w:cs="Arabic Typesetting"/>
          <w:sz w:val="34"/>
          <w:szCs w:val="34"/>
          <w:rtl/>
        </w:rPr>
        <w:t xml:space="preserve">دولية </w:t>
      </w:r>
      <w:r w:rsidRPr="00B31868">
        <w:rPr>
          <w:rFonts w:ascii="Arabic Typesetting" w:hAnsi="Arabic Typesetting" w:cs="Arabic Typesetting" w:hint="cs"/>
          <w:sz w:val="34"/>
          <w:szCs w:val="34"/>
          <w:rtl/>
        </w:rPr>
        <w:t>المسجلة</w:t>
      </w:r>
      <w:r w:rsidRPr="00B31868">
        <w:rPr>
          <w:rFonts w:ascii="Arabic Typesetting" w:hAnsi="Arabic Typesetting" w:cs="Arabic Typesetting"/>
          <w:sz w:val="34"/>
          <w:szCs w:val="34"/>
          <w:rtl/>
        </w:rPr>
        <w:t xml:space="preserve"> خلال سنة معينة، </w:t>
      </w:r>
      <w:r w:rsidRPr="00B31868">
        <w:rPr>
          <w:rFonts w:ascii="Arabic Typesetting" w:hAnsi="Arabic Typesetting" w:cs="Arabic Typesetting" w:hint="cs"/>
          <w:sz w:val="34"/>
          <w:szCs w:val="34"/>
          <w:rtl/>
        </w:rPr>
        <w:t xml:space="preserve">وتتألف التصاميم المجددة من التصاميم الموجودة في </w:t>
      </w:r>
      <w:r w:rsidRPr="00B31868">
        <w:rPr>
          <w:rFonts w:ascii="Arabic Typesetting" w:hAnsi="Arabic Typesetting" w:cs="Arabic Typesetting"/>
          <w:sz w:val="34"/>
          <w:szCs w:val="34"/>
          <w:rtl/>
        </w:rPr>
        <w:t xml:space="preserve">التسجيلات الدولية التي </w:t>
      </w:r>
      <w:r w:rsidR="00B275A9">
        <w:rPr>
          <w:rFonts w:ascii="Arabic Typesetting" w:hAnsi="Arabic Typesetting" w:cs="Arabic Typesetting" w:hint="cs"/>
          <w:sz w:val="34"/>
          <w:szCs w:val="34"/>
          <w:rtl/>
        </w:rPr>
        <w:t>تجدَّد</w:t>
      </w:r>
      <w:r w:rsidRPr="00B31868">
        <w:rPr>
          <w:rFonts w:ascii="Arabic Typesetting" w:hAnsi="Arabic Typesetting" w:cs="Arabic Typesetting"/>
          <w:sz w:val="34"/>
          <w:szCs w:val="34"/>
          <w:rtl/>
        </w:rPr>
        <w:t xml:space="preserve"> خلال سنة معينة. </w:t>
      </w:r>
      <w:r w:rsidR="00B275A9">
        <w:rPr>
          <w:rFonts w:ascii="Arabic Typesetting" w:hAnsi="Arabic Typesetting" w:cs="Arabic Typesetting" w:hint="cs"/>
          <w:sz w:val="34"/>
          <w:szCs w:val="34"/>
          <w:rtl/>
        </w:rPr>
        <w:t>وتؤلف</w:t>
      </w:r>
      <w:r w:rsidRPr="00B31868">
        <w:rPr>
          <w:rFonts w:ascii="Arabic Typesetting" w:hAnsi="Arabic Typesetting" w:cs="Arabic Typesetting" w:hint="cs"/>
          <w:sz w:val="34"/>
          <w:szCs w:val="34"/>
          <w:rtl/>
        </w:rPr>
        <w:t xml:space="preserve"> التصاميم الواردة في</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 xml:space="preserve">هذين النوعين من </w:t>
      </w:r>
      <w:r w:rsidRPr="00B31868">
        <w:rPr>
          <w:rFonts w:ascii="Arabic Typesetting" w:hAnsi="Arabic Typesetting" w:cs="Arabic Typesetting"/>
          <w:sz w:val="34"/>
          <w:szCs w:val="34"/>
          <w:rtl/>
        </w:rPr>
        <w:t>المعاملات</w:t>
      </w:r>
      <w:r w:rsidRPr="00B31868">
        <w:rPr>
          <w:rFonts w:ascii="Arabic Typesetting" w:hAnsi="Arabic Typesetting" w:cs="Arabic Typesetting" w:hint="cs"/>
          <w:sz w:val="34"/>
          <w:szCs w:val="34"/>
          <w:rtl/>
        </w:rPr>
        <w:t>، مجمّعةً،</w:t>
      </w:r>
      <w:r w:rsidRPr="00B31868">
        <w:rPr>
          <w:rFonts w:ascii="Arabic Typesetting" w:hAnsi="Arabic Typesetting" w:cs="Arabic Typesetting"/>
          <w:sz w:val="34"/>
          <w:szCs w:val="34"/>
          <w:rtl/>
        </w:rPr>
        <w:t xml:space="preserve"> العمل الأساسي </w:t>
      </w:r>
      <w:r w:rsidRPr="00B31868">
        <w:rPr>
          <w:rFonts w:ascii="Arabic Typesetting" w:hAnsi="Arabic Typesetting" w:cs="Arabic Typesetting" w:hint="cs"/>
          <w:sz w:val="34"/>
          <w:szCs w:val="34"/>
          <w:rtl/>
        </w:rPr>
        <w:t>ل</w:t>
      </w:r>
      <w:r w:rsidRPr="00B31868">
        <w:rPr>
          <w:rFonts w:ascii="Arabic Typesetting" w:hAnsi="Arabic Typesetting" w:cs="Arabic Typesetting"/>
          <w:sz w:val="34"/>
          <w:szCs w:val="34"/>
          <w:rtl/>
        </w:rPr>
        <w:t>لمكتب الدولي</w:t>
      </w:r>
      <w:r w:rsidRPr="00B31868">
        <w:rPr>
          <w:rFonts w:ascii="Arabic Typesetting" w:hAnsi="Arabic Typesetting" w:cs="Arabic Typesetting"/>
          <w:sz w:val="34"/>
          <w:szCs w:val="34"/>
        </w:rPr>
        <w:t>.</w:t>
      </w:r>
    </w:p>
    <w:p w:rsidR="00B31868" w:rsidRPr="00B31868" w:rsidRDefault="00B31868" w:rsidP="009A3712">
      <w:pPr>
        <w:numPr>
          <w:ilvl w:val="0"/>
          <w:numId w:val="33"/>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rPr>
        <w:lastRenderedPageBreak/>
        <w:t>وبما أن معالجة التصاميم الواردة في هذين النوعين من الوثائق ل</w:t>
      </w:r>
      <w:r w:rsidRPr="00B31868">
        <w:rPr>
          <w:rFonts w:ascii="Arabic Typesetting" w:hAnsi="Arabic Typesetting" w:cs="Arabic Typesetting"/>
          <w:sz w:val="34"/>
          <w:szCs w:val="34"/>
          <w:rtl/>
        </w:rPr>
        <w:t xml:space="preserve">ا </w:t>
      </w:r>
      <w:r w:rsidRPr="00B31868">
        <w:rPr>
          <w:rFonts w:ascii="Arabic Typesetting" w:hAnsi="Arabic Typesetting" w:cs="Arabic Typesetting" w:hint="cs"/>
          <w:sz w:val="34"/>
          <w:szCs w:val="34"/>
          <w:rtl/>
        </w:rPr>
        <w:t>ي</w:t>
      </w:r>
      <w:r w:rsidRPr="00B31868">
        <w:rPr>
          <w:rFonts w:ascii="Arabic Typesetting" w:hAnsi="Arabic Typesetting" w:cs="Arabic Typesetting"/>
          <w:sz w:val="34"/>
          <w:szCs w:val="34"/>
          <w:rtl/>
        </w:rPr>
        <w:t xml:space="preserve">تطلب موارد متساوية، </w:t>
      </w:r>
      <w:r w:rsidRPr="00B31868">
        <w:rPr>
          <w:rFonts w:ascii="Arabic Typesetting" w:hAnsi="Arabic Typesetting" w:cs="Arabic Typesetting" w:hint="cs"/>
          <w:sz w:val="34"/>
          <w:szCs w:val="34"/>
          <w:rtl/>
        </w:rPr>
        <w:t>فكل</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نوع</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يُرجّح</w:t>
      </w:r>
      <w:r w:rsidRPr="00B31868">
        <w:rPr>
          <w:rFonts w:ascii="Arabic Typesetting" w:hAnsi="Arabic Typesetting" w:cs="Arabic Typesetting"/>
          <w:sz w:val="34"/>
          <w:szCs w:val="34"/>
          <w:rtl/>
        </w:rPr>
        <w:t xml:space="preserve"> </w:t>
      </w:r>
      <w:r w:rsidR="00C45BBE">
        <w:rPr>
          <w:rFonts w:ascii="Arabic Typesetting" w:hAnsi="Arabic Typesetting" w:cs="Arabic Typesetting" w:hint="cs"/>
          <w:sz w:val="34"/>
          <w:szCs w:val="34"/>
          <w:rtl/>
        </w:rPr>
        <w:t>بطريقة</w:t>
      </w:r>
      <w:r w:rsidR="00C45BBE"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مختلف</w:t>
      </w:r>
      <w:r w:rsidR="00C45BBE">
        <w:rPr>
          <w:rFonts w:ascii="Arabic Typesetting" w:hAnsi="Arabic Typesetting" w:cs="Arabic Typesetting" w:hint="cs"/>
          <w:sz w:val="34"/>
          <w:szCs w:val="34"/>
          <w:rtl/>
        </w:rPr>
        <w:t>ة</w:t>
      </w:r>
      <w:r w:rsidRPr="00B31868">
        <w:rPr>
          <w:rFonts w:ascii="Arabic Typesetting" w:hAnsi="Arabic Typesetting" w:cs="Arabic Typesetting"/>
          <w:sz w:val="34"/>
          <w:szCs w:val="34"/>
          <w:rtl/>
        </w:rPr>
        <w:t>.</w:t>
      </w:r>
      <w:r w:rsidRPr="00F96634">
        <w:rPr>
          <w:rFonts w:ascii="Arabic Typesetting" w:hAnsi="Arabic Typesetting" w:cs="Arabic Typesetting"/>
          <w:sz w:val="28"/>
          <w:szCs w:val="28"/>
          <w:vertAlign w:val="superscript"/>
          <w:rtl/>
        </w:rPr>
        <w:footnoteReference w:id="44"/>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وتُ</w:t>
      </w:r>
      <w:r w:rsidRPr="00B31868">
        <w:rPr>
          <w:rFonts w:ascii="Arabic Typesetting" w:hAnsi="Arabic Typesetting" w:cs="Arabic Typesetting"/>
          <w:sz w:val="34"/>
          <w:szCs w:val="34"/>
          <w:rtl/>
        </w:rPr>
        <w:t xml:space="preserve">حسب تكلفة الوحدة بقسمة </w:t>
      </w:r>
      <w:r w:rsidRPr="00B31868">
        <w:rPr>
          <w:rFonts w:ascii="Arabic Typesetting" w:hAnsi="Arabic Typesetting" w:cs="Arabic Typesetting" w:hint="cs"/>
          <w:sz w:val="34"/>
          <w:szCs w:val="34"/>
          <w:rtl/>
        </w:rPr>
        <w:t>تكلفة الإنتاج الإجمالية</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على ع</w:t>
      </w:r>
      <w:r w:rsidRPr="00B31868">
        <w:rPr>
          <w:rFonts w:ascii="Arabic Typesetting" w:hAnsi="Arabic Typesetting" w:cs="Arabic Typesetting"/>
          <w:sz w:val="34"/>
          <w:szCs w:val="34"/>
          <w:rtl/>
        </w:rPr>
        <w:t>دد</w:t>
      </w:r>
      <w:r w:rsidRPr="00B31868">
        <w:rPr>
          <w:rFonts w:ascii="Arabic Typesetting" w:hAnsi="Arabic Typesetting" w:cs="Arabic Typesetting" w:hint="cs"/>
          <w:sz w:val="34"/>
          <w:szCs w:val="34"/>
          <w:rtl/>
        </w:rPr>
        <w:t xml:space="preserve"> التصاميم الجديدة</w:t>
      </w:r>
      <w:r w:rsidRPr="00B31868">
        <w:rPr>
          <w:rFonts w:ascii="Arabic Typesetting" w:hAnsi="Arabic Typesetting" w:cs="Arabic Typesetting"/>
          <w:sz w:val="34"/>
          <w:szCs w:val="34"/>
          <w:rtl/>
        </w:rPr>
        <w:t>/</w:t>
      </w:r>
      <w:r w:rsidRPr="00B31868">
        <w:rPr>
          <w:rFonts w:ascii="Arabic Typesetting" w:hAnsi="Arabic Typesetting" w:cs="Arabic Typesetting" w:hint="cs"/>
          <w:sz w:val="34"/>
          <w:szCs w:val="34"/>
          <w:rtl/>
        </w:rPr>
        <w:t>المجدَّدة</w:t>
      </w:r>
      <w:r w:rsidRPr="00B31868">
        <w:rPr>
          <w:rFonts w:ascii="Arabic Typesetting" w:hAnsi="Arabic Typesetting" w:cs="Arabic Typesetting"/>
          <w:sz w:val="34"/>
          <w:szCs w:val="34"/>
          <w:rtl/>
        </w:rPr>
        <w:t>.</w:t>
      </w:r>
    </w:p>
    <w:tbl>
      <w:tblPr>
        <w:bidiVisual/>
        <w:tblW w:w="5000" w:type="pct"/>
        <w:jc w:val="center"/>
        <w:tblLook w:val="04A0" w:firstRow="1" w:lastRow="0" w:firstColumn="1" w:lastColumn="0" w:noHBand="0" w:noVBand="1"/>
      </w:tblPr>
      <w:tblGrid>
        <w:gridCol w:w="4529"/>
        <w:gridCol w:w="5042"/>
      </w:tblGrid>
      <w:tr w:rsidR="00B31868" w:rsidRPr="00211D55" w:rsidTr="000E2DE3">
        <w:trPr>
          <w:cantSplit/>
          <w:jc w:val="center"/>
        </w:trPr>
        <w:tc>
          <w:tcPr>
            <w:tcW w:w="2366" w:type="pct"/>
          </w:tcPr>
          <w:p w:rsidR="00B31868" w:rsidRPr="00211D55" w:rsidRDefault="00B31868" w:rsidP="00086C3F">
            <w:pPr>
              <w:keepNext/>
              <w:bidi/>
              <w:jc w:val="center"/>
              <w:rPr>
                <w:rFonts w:ascii="Arabic Typesetting" w:hAnsi="Arabic Typesetting" w:cs="Arabic Typesetting"/>
                <w:sz w:val="28"/>
                <w:szCs w:val="28"/>
              </w:rPr>
            </w:pPr>
            <w:r w:rsidRPr="00211D55">
              <w:rPr>
                <w:rFonts w:ascii="Arabic Typesetting" w:hAnsi="Arabic Typesetting" w:cs="Arabic Typesetting" w:hint="cs"/>
                <w:sz w:val="28"/>
                <w:szCs w:val="28"/>
                <w:rtl/>
              </w:rPr>
              <w:t>الطريقة</w:t>
            </w:r>
            <w:r w:rsidRPr="00211D55">
              <w:rPr>
                <w:rFonts w:ascii="Arabic Typesetting" w:hAnsi="Arabic Typesetting" w:cs="Arabic Typesetting"/>
                <w:sz w:val="28"/>
                <w:szCs w:val="28"/>
                <w:rtl/>
              </w:rPr>
              <w:t xml:space="preserve"> القديمة</w:t>
            </w:r>
          </w:p>
        </w:tc>
        <w:tc>
          <w:tcPr>
            <w:tcW w:w="2634" w:type="pct"/>
          </w:tcPr>
          <w:p w:rsidR="00B31868" w:rsidRPr="00211D55" w:rsidRDefault="00B31868" w:rsidP="00086C3F">
            <w:pPr>
              <w:bidi/>
              <w:jc w:val="center"/>
              <w:rPr>
                <w:rFonts w:ascii="Arabic Typesetting" w:hAnsi="Arabic Typesetting" w:cs="Arabic Typesetting"/>
                <w:sz w:val="28"/>
                <w:szCs w:val="28"/>
              </w:rPr>
            </w:pPr>
            <w:r w:rsidRPr="00211D55">
              <w:rPr>
                <w:rFonts w:ascii="Arabic Typesetting" w:hAnsi="Arabic Typesetting" w:cs="Arabic Typesetting" w:hint="cs"/>
                <w:sz w:val="28"/>
                <w:szCs w:val="28"/>
                <w:rtl/>
              </w:rPr>
              <w:t>الطريقة</w:t>
            </w:r>
            <w:r w:rsidRPr="00211D55">
              <w:rPr>
                <w:rFonts w:ascii="Arabic Typesetting" w:hAnsi="Arabic Typesetting" w:cs="Arabic Typesetting"/>
                <w:sz w:val="28"/>
                <w:szCs w:val="28"/>
                <w:rtl/>
              </w:rPr>
              <w:t xml:space="preserve"> الجديدة</w:t>
            </w:r>
          </w:p>
        </w:tc>
      </w:tr>
      <w:tr w:rsidR="00B31868" w:rsidRPr="00211D55" w:rsidTr="000E2DE3">
        <w:trPr>
          <w:cantSplit/>
          <w:jc w:val="center"/>
        </w:trPr>
        <w:tc>
          <w:tcPr>
            <w:tcW w:w="2366" w:type="pct"/>
          </w:tcPr>
          <w:p w:rsidR="00B31868" w:rsidRPr="00211D55" w:rsidRDefault="000E2DE3" w:rsidP="00086C3F">
            <w:pPr>
              <w:bidi/>
              <w:jc w:val="center"/>
              <w:rPr>
                <w:rFonts w:ascii="Arabic Typesetting" w:hAnsi="Arabic Typesetting" w:cs="Arabic Typesetting"/>
                <w:sz w:val="28"/>
                <w:szCs w:val="28"/>
              </w:rPr>
            </w:pPr>
            <w:r>
              <w:rPr>
                <w:rFonts w:ascii="Arabic Typesetting" w:hAnsi="Arabic Typesetting" w:cs="Arabic Typesetting"/>
                <w:noProof/>
                <w:sz w:val="28"/>
                <w:szCs w:val="28"/>
              </w:rPr>
              <w:drawing>
                <wp:inline distT="0" distB="0" distL="0" distR="0" wp14:anchorId="32E10C19" wp14:editId="7E99F36B">
                  <wp:extent cx="2678724" cy="1853976"/>
                  <wp:effectExtent l="0" t="0" r="762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80051" cy="1854894"/>
                          </a:xfrm>
                          <a:prstGeom prst="rect">
                            <a:avLst/>
                          </a:prstGeom>
                          <a:noFill/>
                        </pic:spPr>
                      </pic:pic>
                    </a:graphicData>
                  </a:graphic>
                </wp:inline>
              </w:drawing>
            </w:r>
          </w:p>
        </w:tc>
        <w:tc>
          <w:tcPr>
            <w:tcW w:w="2634" w:type="pct"/>
          </w:tcPr>
          <w:p w:rsidR="00B31868" w:rsidRPr="00211D55" w:rsidRDefault="000E2DE3" w:rsidP="00086C3F">
            <w:pPr>
              <w:bidi/>
              <w:jc w:val="center"/>
              <w:rPr>
                <w:rFonts w:ascii="Arabic Typesetting" w:hAnsi="Arabic Typesetting" w:cs="Arabic Typesetting"/>
                <w:sz w:val="28"/>
                <w:szCs w:val="28"/>
              </w:rPr>
            </w:pPr>
            <w:r>
              <w:rPr>
                <w:rFonts w:ascii="Arabic Typesetting" w:hAnsi="Arabic Typesetting" w:cs="Arabic Typesetting"/>
                <w:noProof/>
                <w:sz w:val="28"/>
                <w:szCs w:val="28"/>
              </w:rPr>
              <w:drawing>
                <wp:inline distT="0" distB="0" distL="0" distR="0" wp14:anchorId="731C55FD" wp14:editId="211BD05C">
                  <wp:extent cx="2842908" cy="1905548"/>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4819" cy="1913532"/>
                          </a:xfrm>
                          <a:prstGeom prst="rect">
                            <a:avLst/>
                          </a:prstGeom>
                          <a:noFill/>
                        </pic:spPr>
                      </pic:pic>
                    </a:graphicData>
                  </a:graphic>
                </wp:inline>
              </w:drawing>
            </w:r>
          </w:p>
        </w:tc>
      </w:tr>
    </w:tbl>
    <w:p w:rsidR="00B31868" w:rsidRDefault="00B31868" w:rsidP="009A3712">
      <w:pPr>
        <w:numPr>
          <w:ilvl w:val="0"/>
          <w:numId w:val="31"/>
        </w:numPr>
        <w:bidi/>
        <w:spacing w:before="120" w:after="120" w:line="340" w:lineRule="exact"/>
        <w:ind w:left="714" w:hanging="357"/>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بلغ متوسط تكلفة معالجة تصميم جديد/مجدَّد </w:t>
      </w:r>
      <w:r w:rsidR="00CC2B61">
        <w:rPr>
          <w:rFonts w:ascii="Arabic Typesetting" w:hAnsi="Arabic Typesetting" w:cs="Arabic Typesetting" w:hint="cs"/>
          <w:sz w:val="34"/>
          <w:szCs w:val="34"/>
          <w:rtl/>
        </w:rPr>
        <w:t>337</w:t>
      </w:r>
      <w:r w:rsidR="00CC2B61"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فرنكا</w:t>
      </w:r>
      <w:r w:rsidR="00B275A9">
        <w:rPr>
          <w:rFonts w:ascii="Arabic Typesetting" w:hAnsi="Arabic Typesetting" w:cs="Arabic Typesetting" w:hint="cs"/>
          <w:sz w:val="34"/>
          <w:szCs w:val="34"/>
          <w:rtl/>
        </w:rPr>
        <w:t>ً</w:t>
      </w:r>
      <w:r w:rsidRPr="00B31868">
        <w:rPr>
          <w:rFonts w:ascii="Arabic Typesetting" w:hAnsi="Arabic Typesetting" w:cs="Arabic Typesetting" w:hint="cs"/>
          <w:sz w:val="34"/>
          <w:szCs w:val="34"/>
          <w:rtl/>
        </w:rPr>
        <w:t xml:space="preserve"> سويسريا</w:t>
      </w:r>
      <w:r w:rsidR="00B275A9">
        <w:rPr>
          <w:rFonts w:ascii="Arabic Typesetting" w:hAnsi="Arabic Typesetting" w:cs="Arabic Typesetting" w:hint="cs"/>
          <w:sz w:val="34"/>
          <w:szCs w:val="34"/>
          <w:rtl/>
        </w:rPr>
        <w:t>ً</w:t>
      </w:r>
      <w:r w:rsidRPr="00B31868">
        <w:rPr>
          <w:rFonts w:ascii="Arabic Typesetting" w:hAnsi="Arabic Typesetting" w:cs="Arabic Typesetting" w:hint="cs"/>
          <w:sz w:val="34"/>
          <w:szCs w:val="34"/>
          <w:rtl/>
        </w:rPr>
        <w:t xml:space="preserve"> في </w:t>
      </w:r>
      <w:r w:rsidR="008A6D4E">
        <w:rPr>
          <w:rFonts w:ascii="Arabic Typesetting" w:hAnsi="Arabic Typesetting" w:cs="Arabic Typesetting" w:hint="cs"/>
          <w:sz w:val="34"/>
          <w:szCs w:val="34"/>
          <w:rtl/>
        </w:rPr>
        <w:t>عام</w:t>
      </w:r>
      <w:r w:rsidRPr="00B31868">
        <w:rPr>
          <w:rFonts w:ascii="Arabic Typesetting" w:hAnsi="Arabic Typesetting" w:cs="Arabic Typesetting" w:hint="cs"/>
          <w:sz w:val="34"/>
          <w:szCs w:val="34"/>
          <w:rtl/>
        </w:rPr>
        <w:t xml:space="preserve"> </w:t>
      </w:r>
      <w:r w:rsidR="00CC2B61">
        <w:rPr>
          <w:rFonts w:ascii="Arabic Typesetting" w:hAnsi="Arabic Typesetting" w:cs="Arabic Typesetting" w:hint="cs"/>
          <w:sz w:val="34"/>
          <w:szCs w:val="34"/>
          <w:rtl/>
        </w:rPr>
        <w:t>2015</w:t>
      </w:r>
      <w:r w:rsidRPr="00B31868">
        <w:rPr>
          <w:rFonts w:ascii="Arabic Typesetting" w:hAnsi="Arabic Typesetting" w:cs="Arabic Typesetting" w:hint="cs"/>
          <w:sz w:val="34"/>
          <w:szCs w:val="34"/>
          <w:rtl/>
        </w:rPr>
        <w:t xml:space="preserve">، أي بانخفاض قدره </w:t>
      </w:r>
      <w:r w:rsidR="00CC2B61">
        <w:rPr>
          <w:rFonts w:ascii="Arabic Typesetting" w:hAnsi="Arabic Typesetting" w:cs="Arabic Typesetting" w:hint="cs"/>
          <w:sz w:val="34"/>
          <w:szCs w:val="34"/>
          <w:rtl/>
        </w:rPr>
        <w:t>8 بالمئة</w:t>
      </w:r>
      <w:r w:rsidRPr="00B31868">
        <w:rPr>
          <w:rFonts w:ascii="Arabic Typesetting" w:hAnsi="Arabic Typesetting" w:cs="Arabic Typesetting" w:hint="cs"/>
          <w:sz w:val="34"/>
          <w:szCs w:val="34"/>
          <w:rtl/>
        </w:rPr>
        <w:t xml:space="preserve"> عن </w:t>
      </w:r>
      <w:r w:rsidR="008A6D4E">
        <w:rPr>
          <w:rFonts w:ascii="Arabic Typesetting" w:hAnsi="Arabic Typesetting" w:cs="Arabic Typesetting" w:hint="cs"/>
          <w:sz w:val="34"/>
          <w:szCs w:val="34"/>
          <w:rtl/>
        </w:rPr>
        <w:t>عام </w:t>
      </w:r>
      <w:r w:rsidR="00CC2B61">
        <w:rPr>
          <w:rFonts w:ascii="Arabic Typesetting" w:hAnsi="Arabic Typesetting" w:cs="Arabic Typesetting" w:hint="cs"/>
          <w:sz w:val="34"/>
          <w:szCs w:val="34"/>
          <w:rtl/>
        </w:rPr>
        <w:t>2014</w:t>
      </w:r>
      <w:r w:rsidRPr="00B31868">
        <w:rPr>
          <w:rFonts w:ascii="Arabic Typesetting" w:hAnsi="Arabic Typesetting" w:cs="Arabic Typesetting" w:hint="cs"/>
          <w:sz w:val="34"/>
          <w:szCs w:val="34"/>
          <w:rtl/>
        </w:rPr>
        <w:t xml:space="preserve">. </w:t>
      </w:r>
      <w:r w:rsidR="000036F7">
        <w:rPr>
          <w:rFonts w:ascii="Arabic Typesetting" w:hAnsi="Arabic Typesetting" w:cs="Arabic Typesetting" w:hint="cs"/>
          <w:sz w:val="34"/>
          <w:szCs w:val="34"/>
          <w:rtl/>
        </w:rPr>
        <w:t>ويعزى</w:t>
      </w:r>
      <w:r w:rsidRPr="00B31868">
        <w:rPr>
          <w:rFonts w:ascii="Arabic Typesetting" w:hAnsi="Arabic Typesetting" w:cs="Arabic Typesetting" w:hint="cs"/>
          <w:sz w:val="34"/>
          <w:szCs w:val="34"/>
          <w:rtl/>
        </w:rPr>
        <w:t xml:space="preserve"> هذا الانخفاض </w:t>
      </w:r>
      <w:r w:rsidR="000036F7">
        <w:rPr>
          <w:rFonts w:ascii="Arabic Typesetting" w:hAnsi="Arabic Typesetting" w:cs="Arabic Typesetting" w:hint="cs"/>
          <w:sz w:val="34"/>
          <w:szCs w:val="34"/>
          <w:rtl/>
        </w:rPr>
        <w:t>أساساً</w:t>
      </w:r>
      <w:r w:rsidRPr="00B31868">
        <w:rPr>
          <w:rFonts w:ascii="Arabic Typesetting" w:hAnsi="Arabic Typesetting" w:cs="Arabic Typesetting" w:hint="cs"/>
          <w:sz w:val="34"/>
          <w:szCs w:val="34"/>
          <w:rtl/>
        </w:rPr>
        <w:t xml:space="preserve"> إلى زيادة عدد التصاميم الجديدة/المجددة</w:t>
      </w:r>
      <w:r w:rsidR="00CC2B61">
        <w:rPr>
          <w:rFonts w:ascii="Arabic Typesetting" w:hAnsi="Arabic Typesetting" w:cs="Arabic Typesetting" w:hint="cs"/>
          <w:sz w:val="34"/>
          <w:szCs w:val="34"/>
          <w:rtl/>
        </w:rPr>
        <w:t xml:space="preserve"> زيادة كبيرة</w:t>
      </w:r>
      <w:r w:rsidRPr="00B31868">
        <w:rPr>
          <w:rFonts w:ascii="Arabic Typesetting" w:hAnsi="Arabic Typesetting" w:cs="Arabic Typesetting" w:hint="cs"/>
          <w:sz w:val="34"/>
          <w:szCs w:val="34"/>
          <w:rtl/>
        </w:rPr>
        <w:t xml:space="preserve"> بنسبة </w:t>
      </w:r>
      <w:r w:rsidR="00CC2B61">
        <w:rPr>
          <w:rFonts w:ascii="Arabic Typesetting" w:hAnsi="Arabic Typesetting" w:cs="Arabic Typesetting" w:hint="cs"/>
          <w:sz w:val="34"/>
          <w:szCs w:val="34"/>
          <w:rtl/>
        </w:rPr>
        <w:t>14 بالمئة من عدد التصاميم الجديدة/المجددة المعالجة بحجم الموارد ذاته المستخدم في عام 2014.</w:t>
      </w:r>
    </w:p>
    <w:p w:rsidR="00CC2B61" w:rsidRPr="00B31868" w:rsidRDefault="00CC2B61" w:rsidP="009A3712">
      <w:pPr>
        <w:numPr>
          <w:ilvl w:val="0"/>
          <w:numId w:val="31"/>
        </w:numPr>
        <w:bidi/>
        <w:spacing w:before="120" w:after="120" w:line="340" w:lineRule="exact"/>
        <w:ind w:left="714" w:hanging="357"/>
        <w:rPr>
          <w:rFonts w:ascii="Arabic Typesetting" w:hAnsi="Arabic Typesetting" w:cs="Arabic Typesetting"/>
          <w:sz w:val="34"/>
          <w:szCs w:val="34"/>
          <w:rtl/>
        </w:rPr>
      </w:pPr>
      <w:r>
        <w:rPr>
          <w:rFonts w:ascii="Arabic Typesetting" w:hAnsi="Arabic Typesetting" w:cs="Arabic Typesetting" w:hint="cs"/>
          <w:sz w:val="34"/>
          <w:szCs w:val="34"/>
          <w:rtl/>
        </w:rPr>
        <w:t xml:space="preserve">وانخفض متوسط تكلفة معالجة تصميم جديد/مجدَّد في الثنائية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(350 فرنكاً سويسرياً) بنسبة 12 بالمئة مقارنة بالثنائية </w:t>
      </w:r>
      <w:r w:rsidR="00507DE2">
        <w:rPr>
          <w:rFonts w:ascii="Arabic Typesetting" w:hAnsi="Arabic Typesetting" w:cs="Arabic Typesetting" w:hint="cs"/>
          <w:sz w:val="34"/>
          <w:szCs w:val="34"/>
          <w:rtl/>
        </w:rPr>
        <w:t>2012/13</w:t>
      </w:r>
      <w:r>
        <w:rPr>
          <w:rFonts w:ascii="Arabic Typesetting" w:hAnsi="Arabic Typesetting" w:cs="Arabic Typesetting" w:hint="cs"/>
          <w:sz w:val="34"/>
          <w:szCs w:val="34"/>
          <w:rtl/>
        </w:rPr>
        <w:t xml:space="preserve"> (400 فرنك سويسري).</w:t>
      </w:r>
    </w:p>
    <w:p w:rsidR="00B31868" w:rsidRPr="00B31868" w:rsidRDefault="00B31868" w:rsidP="00086C3F">
      <w:pPr>
        <w:keepNext/>
        <w:pageBreakBefore/>
        <w:bidi/>
        <w:spacing w:before="120" w:after="120" w:line="340" w:lineRule="exact"/>
        <w:ind w:left="-17"/>
        <w:rPr>
          <w:rFonts w:ascii="Arabic Typesetting" w:hAnsi="Arabic Typesetting" w:cs="Arabic Typesetting"/>
          <w:i/>
          <w:iCs/>
          <w:sz w:val="34"/>
          <w:szCs w:val="34"/>
          <w:rtl/>
        </w:rPr>
      </w:pPr>
      <w:r w:rsidRPr="00B31868">
        <w:rPr>
          <w:rFonts w:ascii="Arabic Typesetting" w:hAnsi="Arabic Typesetting" w:cs="Arabic Typesetting" w:hint="cs"/>
          <w:i/>
          <w:iCs/>
          <w:sz w:val="34"/>
          <w:szCs w:val="34"/>
          <w:rtl/>
        </w:rPr>
        <w:lastRenderedPageBreak/>
        <w:t>تكلفة الوحدة لكل وثيقة مدونة في السجل</w:t>
      </w:r>
    </w:p>
    <w:p w:rsidR="00B31868" w:rsidRPr="00B31868" w:rsidRDefault="00B31868" w:rsidP="009A3712">
      <w:pPr>
        <w:numPr>
          <w:ilvl w:val="0"/>
          <w:numId w:val="33"/>
        </w:numPr>
        <w:bidi/>
        <w:spacing w:after="120"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تشكل الوثائق المدونة في السجل إجمالي عبء العمل (انظر </w:t>
      </w:r>
      <w:r w:rsidR="00B275A9">
        <w:rPr>
          <w:rFonts w:ascii="Arabic Typesetting" w:hAnsi="Arabic Typesetting" w:cs="Arabic Typesetting" w:hint="cs"/>
          <w:sz w:val="34"/>
          <w:szCs w:val="34"/>
          <w:rtl/>
        </w:rPr>
        <w:t xml:space="preserve">الجزء السابق </w:t>
      </w:r>
      <w:r w:rsidRPr="00B31868">
        <w:rPr>
          <w:rFonts w:ascii="Arabic Typesetting" w:hAnsi="Arabic Typesetting" w:cs="Arabic Typesetting" w:hint="cs"/>
          <w:sz w:val="34"/>
          <w:szCs w:val="34"/>
          <w:rtl/>
        </w:rPr>
        <w:t>"عبء العمل الإجمالي").</w:t>
      </w:r>
    </w:p>
    <w:tbl>
      <w:tblPr>
        <w:bidiVisual/>
        <w:tblW w:w="5000" w:type="pct"/>
        <w:tblLook w:val="04A0" w:firstRow="1" w:lastRow="0" w:firstColumn="1" w:lastColumn="0" w:noHBand="0" w:noVBand="1"/>
      </w:tblPr>
      <w:tblGrid>
        <w:gridCol w:w="5109"/>
        <w:gridCol w:w="4462"/>
      </w:tblGrid>
      <w:tr w:rsidR="00B31868" w:rsidRPr="00211D55" w:rsidTr="00B275A9">
        <w:trPr>
          <w:cantSplit/>
        </w:trPr>
        <w:tc>
          <w:tcPr>
            <w:tcW w:w="2669" w:type="pct"/>
          </w:tcPr>
          <w:p w:rsidR="00B31868" w:rsidRPr="00211D55" w:rsidRDefault="00B31868" w:rsidP="00086C3F">
            <w:pPr>
              <w:keepNext/>
              <w:bidi/>
              <w:jc w:val="center"/>
              <w:rPr>
                <w:rFonts w:ascii="Arabic Typesetting" w:hAnsi="Arabic Typesetting" w:cs="Arabic Typesetting"/>
                <w:sz w:val="28"/>
                <w:szCs w:val="28"/>
              </w:rPr>
            </w:pPr>
            <w:r w:rsidRPr="00211D55">
              <w:rPr>
                <w:rFonts w:ascii="Arabic Typesetting" w:hAnsi="Arabic Typesetting" w:cs="Arabic Typesetting" w:hint="cs"/>
                <w:sz w:val="28"/>
                <w:szCs w:val="28"/>
                <w:rtl/>
              </w:rPr>
              <w:t>الطريقة</w:t>
            </w:r>
            <w:r w:rsidRPr="00211D55">
              <w:rPr>
                <w:rFonts w:ascii="Arabic Typesetting" w:hAnsi="Arabic Typesetting" w:cs="Arabic Typesetting"/>
                <w:sz w:val="28"/>
                <w:szCs w:val="28"/>
                <w:rtl/>
              </w:rPr>
              <w:t xml:space="preserve"> القديمة</w:t>
            </w:r>
          </w:p>
        </w:tc>
        <w:tc>
          <w:tcPr>
            <w:tcW w:w="2331" w:type="pct"/>
          </w:tcPr>
          <w:p w:rsidR="00B31868" w:rsidRPr="00211D55" w:rsidRDefault="00B31868" w:rsidP="00086C3F">
            <w:pPr>
              <w:keepNext/>
              <w:bidi/>
              <w:jc w:val="center"/>
              <w:rPr>
                <w:rFonts w:ascii="Arabic Typesetting" w:hAnsi="Arabic Typesetting" w:cs="Arabic Typesetting"/>
                <w:sz w:val="28"/>
                <w:szCs w:val="28"/>
              </w:rPr>
            </w:pPr>
            <w:r w:rsidRPr="00211D55">
              <w:rPr>
                <w:rFonts w:ascii="Arabic Typesetting" w:hAnsi="Arabic Typesetting" w:cs="Arabic Typesetting" w:hint="cs"/>
                <w:sz w:val="28"/>
                <w:szCs w:val="28"/>
                <w:rtl/>
              </w:rPr>
              <w:t>الطريقة</w:t>
            </w:r>
            <w:r w:rsidRPr="00211D55">
              <w:rPr>
                <w:rFonts w:ascii="Arabic Typesetting" w:hAnsi="Arabic Typesetting" w:cs="Arabic Typesetting"/>
                <w:sz w:val="28"/>
                <w:szCs w:val="28"/>
                <w:rtl/>
              </w:rPr>
              <w:t xml:space="preserve"> الجديدة</w:t>
            </w:r>
          </w:p>
        </w:tc>
      </w:tr>
      <w:tr w:rsidR="00B31868" w:rsidRPr="00211D55" w:rsidTr="00B275A9">
        <w:trPr>
          <w:cantSplit/>
        </w:trPr>
        <w:tc>
          <w:tcPr>
            <w:tcW w:w="2669" w:type="pct"/>
          </w:tcPr>
          <w:p w:rsidR="00B31868" w:rsidRPr="00211D55" w:rsidRDefault="000E2DE3" w:rsidP="00086C3F">
            <w:pPr>
              <w:bidi/>
              <w:jc w:val="center"/>
              <w:rPr>
                <w:rFonts w:ascii="Arabic Typesetting" w:hAnsi="Arabic Typesetting" w:cs="Arabic Typesetting"/>
                <w:sz w:val="28"/>
                <w:szCs w:val="28"/>
                <w:rtl/>
              </w:rPr>
            </w:pPr>
            <w:r>
              <w:rPr>
                <w:rFonts w:ascii="Arabic Typesetting" w:hAnsi="Arabic Typesetting" w:cs="Arabic Typesetting"/>
                <w:noProof/>
                <w:sz w:val="28"/>
                <w:szCs w:val="28"/>
              </w:rPr>
              <w:drawing>
                <wp:inline distT="0" distB="0" distL="0" distR="0" wp14:anchorId="4315203B" wp14:editId="1C8243DD">
                  <wp:extent cx="2834730" cy="1676828"/>
                  <wp:effectExtent l="0" t="0" r="381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39999" cy="1679945"/>
                          </a:xfrm>
                          <a:prstGeom prst="rect">
                            <a:avLst/>
                          </a:prstGeom>
                          <a:noFill/>
                        </pic:spPr>
                      </pic:pic>
                    </a:graphicData>
                  </a:graphic>
                </wp:inline>
              </w:drawing>
            </w:r>
          </w:p>
        </w:tc>
        <w:tc>
          <w:tcPr>
            <w:tcW w:w="2331" w:type="pct"/>
          </w:tcPr>
          <w:p w:rsidR="00B31868" w:rsidRPr="00211D55" w:rsidRDefault="000E2DE3" w:rsidP="00086C3F">
            <w:pPr>
              <w:bidi/>
              <w:jc w:val="center"/>
              <w:rPr>
                <w:rFonts w:ascii="Arabic Typesetting" w:hAnsi="Arabic Typesetting" w:cs="Arabic Typesetting"/>
                <w:sz w:val="28"/>
                <w:szCs w:val="28"/>
                <w:rtl/>
              </w:rPr>
            </w:pPr>
            <w:r>
              <w:rPr>
                <w:rFonts w:ascii="Arabic Typesetting" w:hAnsi="Arabic Typesetting" w:cs="Arabic Typesetting"/>
                <w:noProof/>
                <w:sz w:val="28"/>
                <w:szCs w:val="28"/>
              </w:rPr>
              <w:drawing>
                <wp:inline distT="0" distB="0" distL="0" distR="0" wp14:anchorId="4C723340" wp14:editId="54250068">
                  <wp:extent cx="2504364" cy="1713787"/>
                  <wp:effectExtent l="0" t="0" r="0" b="127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512558" cy="1719394"/>
                          </a:xfrm>
                          <a:prstGeom prst="rect">
                            <a:avLst/>
                          </a:prstGeom>
                          <a:noFill/>
                        </pic:spPr>
                      </pic:pic>
                    </a:graphicData>
                  </a:graphic>
                </wp:inline>
              </w:drawing>
            </w:r>
          </w:p>
        </w:tc>
      </w:tr>
    </w:tbl>
    <w:p w:rsidR="00CC2B61" w:rsidRDefault="00B31868" w:rsidP="009A3712">
      <w:pPr>
        <w:numPr>
          <w:ilvl w:val="0"/>
          <w:numId w:val="31"/>
        </w:numPr>
        <w:bidi/>
        <w:spacing w:before="120" w:after="120" w:line="340" w:lineRule="exact"/>
        <w:rPr>
          <w:rFonts w:ascii="Arabic Typesetting" w:hAnsi="Arabic Typesetting" w:cs="Arabic Typesetting"/>
          <w:sz w:val="34"/>
          <w:szCs w:val="34"/>
        </w:rPr>
      </w:pPr>
      <w:r w:rsidRPr="00B31868">
        <w:rPr>
          <w:rFonts w:ascii="Arabic Typesetting" w:hAnsi="Arabic Typesetting" w:cs="Arabic Typesetting" w:hint="cs"/>
          <w:sz w:val="34"/>
          <w:szCs w:val="34"/>
          <w:rtl/>
        </w:rPr>
        <w:t>انخفض متوسط تكلفة تدوين وثيقة في السجل</w:t>
      </w:r>
      <w:r w:rsidR="00CC2B61">
        <w:rPr>
          <w:rFonts w:ascii="Arabic Typesetting" w:hAnsi="Arabic Typesetting" w:cs="Arabic Typesetting" w:hint="cs"/>
          <w:sz w:val="34"/>
          <w:szCs w:val="34"/>
          <w:rtl/>
        </w:rPr>
        <w:t xml:space="preserve"> بنسبة 22 بالمئة أي من 1483</w:t>
      </w:r>
      <w:r w:rsidRPr="00B31868">
        <w:rPr>
          <w:rFonts w:ascii="Arabic Typesetting" w:hAnsi="Arabic Typesetting" w:cs="Arabic Typesetting"/>
          <w:sz w:val="34"/>
          <w:szCs w:val="34"/>
          <w:rtl/>
        </w:rPr>
        <w:t xml:space="preserve"> </w:t>
      </w:r>
      <w:r w:rsidRPr="00B31868">
        <w:rPr>
          <w:rFonts w:ascii="Arabic Typesetting" w:hAnsi="Arabic Typesetting" w:cs="Arabic Typesetting" w:hint="cs"/>
          <w:sz w:val="34"/>
          <w:szCs w:val="34"/>
          <w:rtl/>
        </w:rPr>
        <w:t xml:space="preserve">فرنكا سويسريا في </w:t>
      </w:r>
      <w:r w:rsidR="00CC2B61">
        <w:rPr>
          <w:rFonts w:ascii="Arabic Typesetting" w:hAnsi="Arabic Typesetting" w:cs="Arabic Typesetting" w:hint="cs"/>
          <w:sz w:val="34"/>
          <w:szCs w:val="34"/>
          <w:rtl/>
        </w:rPr>
        <w:t>عام</w:t>
      </w:r>
      <w:r w:rsidR="00CC2B61"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2014</w:t>
      </w:r>
      <w:r w:rsidR="00CC2B61">
        <w:rPr>
          <w:rFonts w:ascii="Arabic Typesetting" w:hAnsi="Arabic Typesetting" w:cs="Arabic Typesetting" w:hint="cs"/>
          <w:sz w:val="34"/>
          <w:szCs w:val="34"/>
          <w:rtl/>
        </w:rPr>
        <w:t xml:space="preserve"> إلى 1153 فرنكاً سويسرياً في عام 2015</w:t>
      </w:r>
      <w:r w:rsidRPr="00B31868">
        <w:rPr>
          <w:rFonts w:ascii="Arabic Typesetting" w:hAnsi="Arabic Typesetting" w:cs="Arabic Typesetting" w:hint="cs"/>
          <w:sz w:val="34"/>
          <w:szCs w:val="34"/>
          <w:rtl/>
        </w:rPr>
        <w:t xml:space="preserve">. ويعزى ذلك إلى </w:t>
      </w:r>
      <w:r w:rsidR="00CC2B61">
        <w:rPr>
          <w:rFonts w:ascii="Arabic Typesetting" w:hAnsi="Arabic Typesetting" w:cs="Arabic Typesetting" w:hint="cs"/>
          <w:sz w:val="34"/>
          <w:szCs w:val="34"/>
          <w:rtl/>
        </w:rPr>
        <w:t>الزيادة الكبيرة البالغة 35 بالمئة في عبء العمل الإجمالي المعالج باستخدام الموارد ذاتها المستخدمة في عام 2014</w:t>
      </w:r>
    </w:p>
    <w:p w:rsidR="00B31868" w:rsidRPr="00B31868" w:rsidRDefault="00CC2B61" w:rsidP="009A3712">
      <w:pPr>
        <w:numPr>
          <w:ilvl w:val="0"/>
          <w:numId w:val="31"/>
        </w:numPr>
        <w:bidi/>
        <w:spacing w:before="120"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 xml:space="preserve">وانخفض متوسط تكلفة تدوين وثيقة في السجل خلال الثنائية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(1294 فرنكاً سويسرياً) بنسبة 15 بالمئة مقارنة بالثنائية </w:t>
      </w:r>
      <w:r w:rsidR="00507DE2">
        <w:rPr>
          <w:rFonts w:ascii="Arabic Typesetting" w:hAnsi="Arabic Typesetting" w:cs="Arabic Typesetting" w:hint="cs"/>
          <w:sz w:val="34"/>
          <w:szCs w:val="34"/>
          <w:rtl/>
        </w:rPr>
        <w:t>2012/13</w:t>
      </w:r>
      <w:r>
        <w:rPr>
          <w:rFonts w:ascii="Arabic Typesetting" w:hAnsi="Arabic Typesetting" w:cs="Arabic Typesetting" w:hint="cs"/>
          <w:sz w:val="34"/>
          <w:szCs w:val="34"/>
          <w:rtl/>
        </w:rPr>
        <w:t xml:space="preserve"> (1528 فرنكاً سويسرياً)</w:t>
      </w:r>
      <w:r w:rsidR="00B31868" w:rsidRPr="00B31868">
        <w:rPr>
          <w:rFonts w:ascii="Arabic Typesetting" w:hAnsi="Arabic Typesetting" w:cs="Arabic Typesetting" w:hint="cs"/>
          <w:sz w:val="34"/>
          <w:szCs w:val="34"/>
          <w:rtl/>
        </w:rPr>
        <w:t>.</w:t>
      </w:r>
    </w:p>
    <w:p w:rsidR="00B31868" w:rsidRPr="00B31868" w:rsidRDefault="00B31868" w:rsidP="00086C3F">
      <w:pPr>
        <w:keepNext/>
        <w:bidi/>
        <w:spacing w:after="240" w:line="380" w:lineRule="exact"/>
        <w:rPr>
          <w:rFonts w:ascii="Arabic Typesetting" w:hAnsi="Arabic Typesetting" w:cs="Arabic Typesetting"/>
          <w:b/>
          <w:bCs/>
          <w:sz w:val="36"/>
          <w:szCs w:val="36"/>
          <w:rtl/>
          <w:lang w:val="fr-CH"/>
        </w:rPr>
      </w:pPr>
      <w:r w:rsidRPr="00B31868">
        <w:rPr>
          <w:rFonts w:ascii="Arabic Typesetting" w:hAnsi="Arabic Typesetting" w:cs="Arabic Typesetting" w:hint="cs"/>
          <w:b/>
          <w:bCs/>
          <w:sz w:val="36"/>
          <w:szCs w:val="36"/>
          <w:rtl/>
          <w:lang w:val="fr-CH"/>
        </w:rPr>
        <w:t>ثالثا.</w:t>
      </w:r>
      <w:r w:rsidRPr="00B31868">
        <w:rPr>
          <w:rFonts w:ascii="Arabic Typesetting" w:hAnsi="Arabic Typesetting" w:cs="Arabic Typesetting" w:hint="cs"/>
          <w:b/>
          <w:bCs/>
          <w:sz w:val="36"/>
          <w:szCs w:val="36"/>
          <w:rtl/>
          <w:lang w:val="fr-CH"/>
        </w:rPr>
        <w:tab/>
        <w:t>توقيت معالجة الطلبات الدولية</w:t>
      </w:r>
    </w:p>
    <w:p w:rsidR="00B31868" w:rsidRPr="00B31868" w:rsidRDefault="00B31868" w:rsidP="009A3712">
      <w:pPr>
        <w:numPr>
          <w:ilvl w:val="0"/>
          <w:numId w:val="33"/>
        </w:numPr>
        <w:bidi/>
        <w:spacing w:line="340" w:lineRule="exact"/>
        <w:ind w:left="0" w:firstLine="0"/>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يبين هذا المؤشر الوقت اللازم للمكتب الدولي كي يعالج الطلبات العادية. وتحدد المدة بحساب الوقت المستغرق من تاريخ </w:t>
      </w:r>
      <w:r w:rsidR="00FC3B9C">
        <w:rPr>
          <w:rFonts w:ascii="Arabic Typesetting" w:hAnsi="Arabic Typesetting" w:cs="Arabic Typesetting" w:hint="cs"/>
          <w:sz w:val="34"/>
          <w:szCs w:val="34"/>
          <w:rtl/>
        </w:rPr>
        <w:t>تسلّم</w:t>
      </w:r>
      <w:r w:rsidRPr="00B31868">
        <w:rPr>
          <w:rFonts w:ascii="Arabic Typesetting" w:hAnsi="Arabic Typesetting" w:cs="Arabic Typesetting" w:hint="cs"/>
          <w:sz w:val="34"/>
          <w:szCs w:val="34"/>
          <w:rtl/>
        </w:rPr>
        <w:t xml:space="preserve"> الطلب إلى تاريخ تسجيله.</w:t>
      </w:r>
    </w:p>
    <w:p w:rsidR="00B31868" w:rsidRPr="00B31868" w:rsidRDefault="00CC2B61" w:rsidP="00086C3F">
      <w:pPr>
        <w:bidi/>
        <w:spacing w:after="120"/>
        <w:jc w:val="center"/>
        <w:rPr>
          <w:rFonts w:ascii="Arabic Typesetting" w:hAnsi="Arabic Typesetting" w:cs="Arabic Typesetting"/>
          <w:sz w:val="34"/>
          <w:szCs w:val="34"/>
          <w:rtl/>
        </w:rPr>
      </w:pPr>
      <w:r>
        <w:rPr>
          <w:noProof/>
        </w:rPr>
        <w:drawing>
          <wp:inline distT="0" distB="0" distL="0" distR="0" wp14:anchorId="2A8D6DAC" wp14:editId="0EB53BCD">
            <wp:extent cx="4206240" cy="2633472"/>
            <wp:effectExtent l="0" t="0" r="381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rsidR="00B31868" w:rsidRDefault="00034586" w:rsidP="009A3712">
      <w:pPr>
        <w:numPr>
          <w:ilvl w:val="0"/>
          <w:numId w:val="31"/>
        </w:numPr>
        <w:bidi/>
        <w:spacing w:after="120" w:line="340" w:lineRule="exact"/>
        <w:ind w:left="714" w:hanging="357"/>
        <w:rPr>
          <w:rFonts w:ascii="Arabic Typesetting" w:hAnsi="Arabic Typesetting" w:cs="Arabic Typesetting"/>
          <w:sz w:val="34"/>
          <w:szCs w:val="34"/>
        </w:rPr>
      </w:pPr>
      <w:r>
        <w:rPr>
          <w:rFonts w:ascii="Arabic Typesetting" w:hAnsi="Arabic Typesetting" w:cs="Arabic Typesetting" w:hint="cs"/>
          <w:sz w:val="34"/>
          <w:szCs w:val="34"/>
          <w:rtl/>
        </w:rPr>
        <w:t>انخفضت</w:t>
      </w:r>
      <w:r w:rsidR="00B31868" w:rsidRPr="00B31868">
        <w:rPr>
          <w:rFonts w:ascii="Arabic Typesetting" w:hAnsi="Arabic Typesetting" w:cs="Arabic Typesetting" w:hint="cs"/>
          <w:sz w:val="34"/>
          <w:szCs w:val="34"/>
          <w:rtl/>
        </w:rPr>
        <w:t xml:space="preserve"> حصة الطلبات المعالجة في أقل من أسبوع </w:t>
      </w:r>
      <w:r>
        <w:rPr>
          <w:rFonts w:ascii="Arabic Typesetting" w:hAnsi="Arabic Typesetting" w:cs="Arabic Typesetting" w:hint="cs"/>
          <w:sz w:val="34"/>
          <w:szCs w:val="34"/>
          <w:rtl/>
        </w:rPr>
        <w:t>إلى 25 بالمئة في عام 2015 مقارنة بنسبة 45 بالمئة في عام</w:t>
      </w:r>
      <w:r>
        <w:rPr>
          <w:rFonts w:ascii="Arabic Typesetting" w:hAnsi="Arabic Typesetting" w:cs="Arabic Typesetting" w:hint="eastAsia"/>
          <w:sz w:val="34"/>
          <w:szCs w:val="34"/>
          <w:rtl/>
        </w:rPr>
        <w:t> </w:t>
      </w:r>
      <w:r>
        <w:rPr>
          <w:rFonts w:ascii="Arabic Typesetting" w:hAnsi="Arabic Typesetting" w:cs="Arabic Typesetting" w:hint="cs"/>
          <w:sz w:val="34"/>
          <w:szCs w:val="34"/>
          <w:rtl/>
        </w:rPr>
        <w:t xml:space="preserve">2014. وبلغت الحصة المتوسطة </w:t>
      </w:r>
      <w:r w:rsidR="001A0F0B">
        <w:rPr>
          <w:rFonts w:ascii="Arabic Typesetting" w:hAnsi="Arabic Typesetting" w:cs="Arabic Typesetting" w:hint="cs"/>
          <w:sz w:val="34"/>
          <w:szCs w:val="34"/>
          <w:rtl/>
        </w:rPr>
        <w:t xml:space="preserve">نسبة 27 بالمئة </w:t>
      </w:r>
      <w:r>
        <w:rPr>
          <w:rFonts w:ascii="Arabic Typesetting" w:hAnsi="Arabic Typesetting" w:cs="Arabic Typesetting" w:hint="cs"/>
          <w:sz w:val="34"/>
          <w:szCs w:val="34"/>
          <w:rtl/>
        </w:rPr>
        <w:t>بين عامي 2011 و2015.</w:t>
      </w:r>
    </w:p>
    <w:p w:rsidR="00B31868" w:rsidRDefault="00B31868" w:rsidP="009A3712">
      <w:pPr>
        <w:numPr>
          <w:ilvl w:val="0"/>
          <w:numId w:val="31"/>
        </w:numPr>
        <w:bidi/>
        <w:spacing w:before="120" w:after="240" w:line="340" w:lineRule="exact"/>
        <w:ind w:left="714" w:hanging="357"/>
        <w:rPr>
          <w:rFonts w:ascii="Arabic Typesetting" w:hAnsi="Arabic Typesetting" w:cs="Arabic Typesetting"/>
          <w:sz w:val="34"/>
          <w:szCs w:val="34"/>
        </w:rPr>
      </w:pPr>
      <w:r w:rsidRPr="00B31868">
        <w:rPr>
          <w:rFonts w:ascii="Arabic Typesetting" w:hAnsi="Arabic Typesetting" w:cs="Arabic Typesetting" w:hint="cs"/>
          <w:sz w:val="34"/>
          <w:szCs w:val="34"/>
          <w:rtl/>
        </w:rPr>
        <w:t xml:space="preserve">وفي </w:t>
      </w:r>
      <w:r w:rsidR="00034586">
        <w:rPr>
          <w:rFonts w:ascii="Arabic Typesetting" w:hAnsi="Arabic Typesetting" w:cs="Arabic Typesetting" w:hint="cs"/>
          <w:sz w:val="34"/>
          <w:szCs w:val="34"/>
          <w:rtl/>
        </w:rPr>
        <w:t>عام</w:t>
      </w:r>
      <w:r w:rsidR="00034586"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2014، ع</w:t>
      </w:r>
      <w:r w:rsidR="00034586">
        <w:rPr>
          <w:rFonts w:ascii="Arabic Typesetting" w:hAnsi="Arabic Typesetting" w:cs="Arabic Typesetting" w:hint="cs"/>
          <w:sz w:val="34"/>
          <w:szCs w:val="34"/>
          <w:rtl/>
        </w:rPr>
        <w:t>و</w:t>
      </w:r>
      <w:r w:rsidRPr="00B31868">
        <w:rPr>
          <w:rFonts w:ascii="Arabic Typesetting" w:hAnsi="Arabic Typesetting" w:cs="Arabic Typesetting" w:hint="cs"/>
          <w:sz w:val="34"/>
          <w:szCs w:val="34"/>
          <w:rtl/>
        </w:rPr>
        <w:t xml:space="preserve">لجت </w:t>
      </w:r>
      <w:r w:rsidR="00034586">
        <w:rPr>
          <w:rFonts w:ascii="Arabic Typesetting" w:hAnsi="Arabic Typesetting" w:cs="Arabic Typesetting" w:hint="cs"/>
          <w:sz w:val="34"/>
          <w:szCs w:val="34"/>
          <w:rtl/>
        </w:rPr>
        <w:t>82</w:t>
      </w:r>
      <w:r w:rsidR="00034586"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بالمئة</w:t>
      </w:r>
      <w:r w:rsidR="00034586" w:rsidRPr="00F96634">
        <w:rPr>
          <w:rFonts w:ascii="Arabic Typesetting" w:hAnsi="Arabic Typesetting" w:cs="Arabic Typesetting"/>
          <w:sz w:val="28"/>
          <w:szCs w:val="28"/>
          <w:vertAlign w:val="superscript"/>
          <w:rtl/>
        </w:rPr>
        <w:footnoteReference w:id="45"/>
      </w:r>
      <w:r w:rsidRPr="00B31868">
        <w:rPr>
          <w:rFonts w:ascii="Arabic Typesetting" w:hAnsi="Arabic Typesetting" w:cs="Arabic Typesetting" w:hint="cs"/>
          <w:sz w:val="34"/>
          <w:szCs w:val="34"/>
          <w:rtl/>
        </w:rPr>
        <w:t xml:space="preserve"> من الطلبات خلال أسبوعين من تاريخ </w:t>
      </w:r>
      <w:r w:rsidR="00034586">
        <w:rPr>
          <w:rFonts w:ascii="Arabic Typesetting" w:hAnsi="Arabic Typesetting" w:cs="Arabic Typesetting" w:hint="cs"/>
          <w:sz w:val="34"/>
          <w:szCs w:val="34"/>
          <w:rtl/>
        </w:rPr>
        <w:t>تسلمها</w:t>
      </w:r>
      <w:r w:rsidR="00034586" w:rsidRPr="00B31868">
        <w:rPr>
          <w:rFonts w:ascii="Arabic Typesetting" w:hAnsi="Arabic Typesetting" w:cs="Arabic Typesetting" w:hint="cs"/>
          <w:sz w:val="34"/>
          <w:szCs w:val="34"/>
          <w:rtl/>
        </w:rPr>
        <w:t xml:space="preserve"> </w:t>
      </w:r>
      <w:r w:rsidRPr="00B31868">
        <w:rPr>
          <w:rFonts w:ascii="Arabic Typesetting" w:hAnsi="Arabic Typesetting" w:cs="Arabic Typesetting" w:hint="cs"/>
          <w:sz w:val="34"/>
          <w:szCs w:val="34"/>
          <w:rtl/>
        </w:rPr>
        <w:t>في المكتب الدولي.</w:t>
      </w:r>
      <w:r w:rsidR="00034586">
        <w:rPr>
          <w:rFonts w:ascii="Arabic Typesetting" w:hAnsi="Arabic Typesetting" w:cs="Arabic Typesetting" w:hint="cs"/>
          <w:sz w:val="34"/>
          <w:szCs w:val="34"/>
          <w:rtl/>
        </w:rPr>
        <w:t xml:space="preserve"> وفي</w:t>
      </w:r>
      <w:r w:rsidR="00034586">
        <w:rPr>
          <w:rFonts w:ascii="Arabic Typesetting" w:hAnsi="Arabic Typesetting" w:cs="Arabic Typesetting" w:hint="eastAsia"/>
          <w:sz w:val="34"/>
          <w:szCs w:val="34"/>
          <w:rtl/>
        </w:rPr>
        <w:t> </w:t>
      </w:r>
      <w:r w:rsidR="00034586">
        <w:rPr>
          <w:rFonts w:ascii="Arabic Typesetting" w:hAnsi="Arabic Typesetting" w:cs="Arabic Typesetting" w:hint="cs"/>
          <w:sz w:val="34"/>
          <w:szCs w:val="34"/>
          <w:rtl/>
        </w:rPr>
        <w:t>عام 2015، عولجت 85 بالمئة من الطلبات خلال ثلاثة أسابيع من تاريخ تسلمها في المكتب الدولي.</w:t>
      </w:r>
    </w:p>
    <w:p w:rsidR="000E2DE3" w:rsidRPr="00B31868" w:rsidRDefault="000E2DE3" w:rsidP="000E2DE3">
      <w:pPr>
        <w:pStyle w:val="EndofDocumentAR"/>
        <w:rPr>
          <w:rtl/>
        </w:rPr>
      </w:pPr>
      <w:r>
        <w:rPr>
          <w:rFonts w:hint="cs"/>
          <w:rtl/>
        </w:rPr>
        <w:t>[نهاية المرفق]</w:t>
      </w:r>
    </w:p>
    <w:p w:rsidR="00B31868" w:rsidRPr="00365D19" w:rsidRDefault="00B31868" w:rsidP="000E2DE3">
      <w:pPr>
        <w:pStyle w:val="Heading3AR"/>
        <w:spacing w:after="120"/>
        <w:rPr>
          <w:rtl/>
        </w:rPr>
      </w:pPr>
      <w:bookmarkStart w:id="49" w:name="_Toc359865188"/>
      <w:bookmarkStart w:id="50" w:name="_Toc393807100"/>
      <w:bookmarkStart w:id="51" w:name="_Toc393807226"/>
      <w:bookmarkStart w:id="52" w:name="_Toc393807975"/>
      <w:bookmarkStart w:id="53" w:name="_Toc393817928"/>
      <w:bookmarkStart w:id="54" w:name="_Toc450635408"/>
      <w:bookmarkStart w:id="55" w:name="_Toc455393375"/>
      <w:r w:rsidRPr="00365D19">
        <w:rPr>
          <w:rtl/>
        </w:rPr>
        <w:lastRenderedPageBreak/>
        <w:t>البرنامج</w:t>
      </w:r>
      <w:r w:rsidRPr="00365D19">
        <w:t xml:space="preserve"> </w:t>
      </w:r>
      <w:r w:rsidRPr="00365D19">
        <w:rPr>
          <w:rFonts w:hint="cs"/>
          <w:rtl/>
        </w:rPr>
        <w:t>7:</w:t>
      </w:r>
      <w:r w:rsidRPr="00365D19">
        <w:rPr>
          <w:rFonts w:hint="cs"/>
          <w:rtl/>
        </w:rPr>
        <w:tab/>
        <w:t>التحكيم والوساطة وأسماء الحقول</w:t>
      </w:r>
      <w:bookmarkEnd w:id="49"/>
      <w:bookmarkEnd w:id="50"/>
      <w:bookmarkEnd w:id="51"/>
      <w:bookmarkEnd w:id="52"/>
      <w:bookmarkEnd w:id="53"/>
      <w:bookmarkEnd w:id="54"/>
      <w:bookmarkEnd w:id="55"/>
    </w:p>
    <w:p w:rsidR="00B31868" w:rsidRPr="00B31868" w:rsidRDefault="00B31868" w:rsidP="000E2DE3">
      <w:pPr>
        <w:keepNext/>
        <w:bidi/>
        <w:spacing w:after="240" w:line="340" w:lineRule="exact"/>
        <w:ind w:left="1984" w:hanging="1984"/>
        <w:rPr>
          <w:rFonts w:ascii="Arabic Typesetting" w:hAnsi="Arabic Typesetting" w:cs="Arabic Typesetting"/>
          <w:b/>
          <w:bCs/>
          <w:sz w:val="36"/>
          <w:szCs w:val="36"/>
          <w:rtl/>
          <w:lang w:val="fr-CH"/>
        </w:rPr>
      </w:pPr>
      <w:r w:rsidRPr="00B31868">
        <w:rPr>
          <w:rFonts w:ascii="Arabic Typesetting" w:hAnsi="Arabic Typesetting" w:cs="Arabic Typesetting"/>
          <w:b/>
          <w:bCs/>
          <w:sz w:val="36"/>
          <w:szCs w:val="36"/>
          <w:rtl/>
          <w:lang w:val="fr-CH"/>
        </w:rPr>
        <w:t>المسؤول عن البرنامج</w:t>
      </w:r>
      <w:r w:rsidRPr="00B31868">
        <w:rPr>
          <w:rFonts w:ascii="Arabic Typesetting" w:hAnsi="Arabic Typesetting" w:cs="Arabic Typesetting" w:hint="cs"/>
          <w:b/>
          <w:bCs/>
          <w:sz w:val="36"/>
          <w:szCs w:val="36"/>
          <w:rtl/>
          <w:lang w:val="fr-CH"/>
        </w:rPr>
        <w:t>:</w:t>
      </w:r>
      <w:r w:rsidR="00A214AF">
        <w:rPr>
          <w:rFonts w:ascii="Arabic Typesetting" w:hAnsi="Arabic Typesetting" w:cs="Arabic Typesetting" w:hint="cs"/>
          <w:b/>
          <w:bCs/>
          <w:sz w:val="36"/>
          <w:szCs w:val="36"/>
          <w:rtl/>
          <w:lang w:val="fr-CH"/>
        </w:rPr>
        <w:tab/>
      </w:r>
      <w:r w:rsidRPr="009A48D1">
        <w:rPr>
          <w:rFonts w:ascii="Arabic Typesetting" w:hAnsi="Arabic Typesetting" w:cs="Arabic Typesetting"/>
          <w:b/>
          <w:bCs/>
          <w:sz w:val="36"/>
          <w:szCs w:val="36"/>
          <w:rtl/>
          <w:lang w:val="fr-CH"/>
        </w:rPr>
        <w:t xml:space="preserve">السيد </w:t>
      </w:r>
      <w:r w:rsidRPr="009A48D1">
        <w:rPr>
          <w:rFonts w:ascii="Arabic Typesetting" w:hAnsi="Arabic Typesetting" w:cs="Arabic Typesetting" w:hint="cs"/>
          <w:b/>
          <w:bCs/>
          <w:sz w:val="36"/>
          <w:szCs w:val="36"/>
          <w:rtl/>
          <w:lang w:val="fr-CH"/>
        </w:rPr>
        <w:t xml:space="preserve">جون </w:t>
      </w:r>
      <w:proofErr w:type="spellStart"/>
      <w:r w:rsidRPr="009A48D1">
        <w:rPr>
          <w:rFonts w:ascii="Arabic Typesetting" w:hAnsi="Arabic Typesetting" w:cs="Arabic Typesetting" w:hint="cs"/>
          <w:b/>
          <w:bCs/>
          <w:sz w:val="36"/>
          <w:szCs w:val="36"/>
          <w:rtl/>
          <w:lang w:val="fr-CH"/>
        </w:rPr>
        <w:t>سانديج</w:t>
      </w:r>
      <w:proofErr w:type="spellEnd"/>
    </w:p>
    <w:p w:rsidR="00B31868" w:rsidRPr="00B31868" w:rsidRDefault="00235159" w:rsidP="000E2DE3">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الإنجازات</w:t>
      </w:r>
      <w:r w:rsidR="00037135">
        <w:rPr>
          <w:rFonts w:ascii="Arabic Typesetting" w:hAnsi="Arabic Typesetting" w:cs="Arabic Typesetting" w:hint="cs"/>
          <w:sz w:val="36"/>
          <w:szCs w:val="36"/>
          <w:rtl/>
          <w:lang w:val="fr-CH"/>
        </w:rPr>
        <w:t xml:space="preserve"> المحققة </w:t>
      </w:r>
      <w:r w:rsidR="00E06F29">
        <w:rPr>
          <w:rFonts w:ascii="Arabic Typesetting" w:hAnsi="Arabic Typesetting" w:cs="Arabic Typesetting" w:hint="cs"/>
          <w:sz w:val="36"/>
          <w:szCs w:val="36"/>
          <w:rtl/>
          <w:lang w:val="fr-CH"/>
        </w:rPr>
        <w:t>خلال</w:t>
      </w:r>
      <w:r w:rsidR="00037135">
        <w:rPr>
          <w:rFonts w:ascii="Arabic Typesetting" w:hAnsi="Arabic Typesetting" w:cs="Arabic Typesetting" w:hint="cs"/>
          <w:sz w:val="36"/>
          <w:szCs w:val="36"/>
          <w:rtl/>
          <w:lang w:val="fr-CH"/>
        </w:rPr>
        <w:t xml:space="preserve"> الثنائية </w:t>
      </w:r>
      <w:r w:rsidR="00507DE2">
        <w:rPr>
          <w:rFonts w:ascii="Arabic Typesetting" w:hAnsi="Arabic Typesetting" w:cs="Arabic Typesetting" w:hint="cs"/>
          <w:sz w:val="36"/>
          <w:szCs w:val="36"/>
          <w:rtl/>
          <w:lang w:val="fr-CH"/>
        </w:rPr>
        <w:t>2014/15</w:t>
      </w:r>
    </w:p>
    <w:p w:rsidR="008518E8" w:rsidRPr="008518E8" w:rsidRDefault="008518E8" w:rsidP="009A3712">
      <w:pPr>
        <w:numPr>
          <w:ilvl w:val="0"/>
          <w:numId w:val="10"/>
        </w:numPr>
        <w:bidi/>
        <w:spacing w:after="120" w:line="340" w:lineRule="exact"/>
        <w:ind w:left="0" w:firstLine="0"/>
        <w:rPr>
          <w:rFonts w:ascii="Arabic Typesetting" w:hAnsi="Arabic Typesetting" w:cs="Arabic Typesetting"/>
          <w:sz w:val="34"/>
          <w:szCs w:val="34"/>
          <w:lang w:val="fr-CH"/>
        </w:rPr>
      </w:pPr>
      <w:r w:rsidRPr="008518E8">
        <w:rPr>
          <w:rFonts w:ascii="Arabic Typesetting" w:hAnsi="Arabic Typesetting" w:cs="Arabic Typesetting" w:hint="cs"/>
          <w:sz w:val="34"/>
          <w:szCs w:val="34"/>
          <w:rtl/>
          <w:lang w:val="fr-CH"/>
        </w:rPr>
        <w:t>أصبح مركز الويبو للتحكيم والوساطة (مركز الويبو) المصدر الدولي الرئيسي للبدائل المناسبة من حيث الوقت والفعالية من حيث التكلفة لتسوية المنازعات المتعلقة بالملكية الفكرية وأسماء الحقول في المحاكم، بوصفه المورّد للخبرات القانونية والتنظيمية والمسؤول عن إدارة القضايا. وتيسر تسوية المنازعات بفعالية توفير الحماية القانونية فضلاً عن الانتفاع المثمر بالملكية الفكرية على الصعيد الدولي.</w:t>
      </w:r>
    </w:p>
    <w:p w:rsidR="008518E8" w:rsidRPr="008518E8" w:rsidRDefault="008518E8" w:rsidP="009A3712">
      <w:pPr>
        <w:numPr>
          <w:ilvl w:val="0"/>
          <w:numId w:val="10"/>
        </w:numPr>
        <w:bidi/>
        <w:spacing w:after="120" w:line="340" w:lineRule="exact"/>
        <w:ind w:left="0" w:firstLine="0"/>
        <w:rPr>
          <w:rFonts w:ascii="Arabic Typesetting" w:hAnsi="Arabic Typesetting" w:cs="Arabic Typesetting"/>
          <w:sz w:val="34"/>
          <w:szCs w:val="34"/>
          <w:lang w:val="fr-CH"/>
        </w:rPr>
      </w:pPr>
      <w:r w:rsidRPr="008518E8">
        <w:rPr>
          <w:rFonts w:ascii="Arabic Typesetting" w:hAnsi="Arabic Typesetting" w:cs="Arabic Typesetting" w:hint="cs"/>
          <w:sz w:val="34"/>
          <w:szCs w:val="34"/>
          <w:rtl/>
          <w:lang w:val="fr-CH"/>
        </w:rPr>
        <w:t xml:space="preserve">وأدار </w:t>
      </w:r>
      <w:r w:rsidRPr="008518E8">
        <w:rPr>
          <w:rFonts w:ascii="Arabic Typesetting" w:hAnsi="Arabic Typesetting" w:cs="Arabic Typesetting"/>
          <w:sz w:val="34"/>
          <w:szCs w:val="34"/>
          <w:rtl/>
          <w:lang w:val="fr-CH"/>
        </w:rPr>
        <w:t>مركز الويبو</w:t>
      </w:r>
      <w:r w:rsidRPr="008518E8">
        <w:rPr>
          <w:rFonts w:ascii="Arabic Typesetting" w:hAnsi="Arabic Typesetting" w:cs="Arabic Typesetting"/>
          <w:sz w:val="34"/>
          <w:szCs w:val="34"/>
          <w:lang w:val="fr-CH"/>
        </w:rPr>
        <w:t xml:space="preserve"> </w:t>
      </w:r>
      <w:r w:rsidRPr="008518E8">
        <w:rPr>
          <w:rFonts w:ascii="Arabic Typesetting" w:hAnsi="Arabic Typesetting" w:cs="Arabic Typesetting"/>
          <w:sz w:val="34"/>
          <w:szCs w:val="34"/>
          <w:rtl/>
          <w:lang w:val="fr-CH"/>
        </w:rPr>
        <w:t xml:space="preserve">بنشاط </w:t>
      </w:r>
      <w:r w:rsidRPr="008518E8">
        <w:rPr>
          <w:rFonts w:ascii="Arabic Typesetting" w:hAnsi="Arabic Typesetting" w:cs="Arabic Typesetting" w:hint="cs"/>
          <w:sz w:val="34"/>
          <w:szCs w:val="34"/>
          <w:rtl/>
          <w:lang w:val="fr-CH"/>
        </w:rPr>
        <w:t>القضايا المعروضة على الويبو</w:t>
      </w:r>
      <w:r w:rsidRPr="008518E8">
        <w:rPr>
          <w:rFonts w:ascii="Arabic Typesetting" w:hAnsi="Arabic Typesetting" w:cs="Arabic Typesetting"/>
          <w:sz w:val="34"/>
          <w:szCs w:val="34"/>
          <w:rtl/>
          <w:lang w:val="fr-CH"/>
        </w:rPr>
        <w:t xml:space="preserve"> في</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rtl/>
          <w:lang w:val="fr-CH"/>
        </w:rPr>
        <w:t>مختلف</w:t>
      </w:r>
      <w:r w:rsidRPr="008518E8">
        <w:rPr>
          <w:rFonts w:ascii="Arabic Typesetting" w:hAnsi="Arabic Typesetting" w:cs="Arabic Typesetting" w:hint="cs"/>
          <w:sz w:val="34"/>
          <w:szCs w:val="34"/>
          <w:rtl/>
          <w:lang w:val="fr-CH"/>
        </w:rPr>
        <w:t xml:space="preserve"> مجالات الملكية الفكرية </w:t>
      </w:r>
      <w:r w:rsidRPr="008518E8">
        <w:rPr>
          <w:rFonts w:ascii="Arabic Typesetting" w:hAnsi="Arabic Typesetting" w:cs="Arabic Typesetting"/>
          <w:sz w:val="34"/>
          <w:szCs w:val="34"/>
          <w:rtl/>
          <w:lang w:val="fr-CH"/>
        </w:rPr>
        <w:t xml:space="preserve">باستخدام </w:t>
      </w:r>
      <w:r w:rsidRPr="008518E8">
        <w:rPr>
          <w:rFonts w:ascii="Arabic Typesetting" w:hAnsi="Arabic Typesetting" w:cs="Arabic Typesetting" w:hint="cs"/>
          <w:sz w:val="34"/>
          <w:szCs w:val="34"/>
          <w:rtl/>
          <w:lang w:val="fr-CH"/>
        </w:rPr>
        <w:t>بنية</w:t>
      </w:r>
      <w:r w:rsidRPr="008518E8">
        <w:rPr>
          <w:rFonts w:ascii="Arabic Typesetting" w:hAnsi="Arabic Typesetting" w:cs="Arabic Typesetting"/>
          <w:sz w:val="34"/>
          <w:szCs w:val="34"/>
          <w:rtl/>
          <w:lang w:val="fr-CH"/>
        </w:rPr>
        <w:t xml:space="preserve"> تحتية</w:t>
      </w:r>
      <w:r w:rsidRPr="008518E8">
        <w:rPr>
          <w:rFonts w:ascii="Arabic Typesetting" w:hAnsi="Arabic Typesetting" w:cs="Arabic Typesetting" w:hint="cs"/>
          <w:sz w:val="34"/>
          <w:szCs w:val="34"/>
          <w:rtl/>
          <w:lang w:val="fr-CH"/>
        </w:rPr>
        <w:t xml:space="preserve"> متطورة ل</w:t>
      </w:r>
      <w:r w:rsidRPr="008518E8">
        <w:rPr>
          <w:rFonts w:ascii="Arabic Typesetting" w:hAnsi="Arabic Typesetting" w:cs="Arabic Typesetting"/>
          <w:sz w:val="34"/>
          <w:szCs w:val="34"/>
          <w:rtl/>
          <w:lang w:val="fr-CH"/>
        </w:rPr>
        <w:t>إدارة القضايا، ولا سيما مرفق الويبو لتسوية القضايا إلكترونيا (</w:t>
      </w:r>
      <w:r w:rsidRPr="008518E8">
        <w:rPr>
          <w:rFonts w:ascii="Arabic Typesetting" w:hAnsi="Arabic Typesetting" w:cs="Arabic Typesetting"/>
          <w:sz w:val="34"/>
          <w:szCs w:val="34"/>
          <w:lang w:val="fr-CH"/>
        </w:rPr>
        <w:t>ECAF</w:t>
      </w:r>
      <w:r w:rsidRPr="008518E8">
        <w:rPr>
          <w:rFonts w:ascii="Arabic Typesetting" w:hAnsi="Arabic Typesetting" w:cs="Arabic Typesetting"/>
          <w:sz w:val="34"/>
          <w:szCs w:val="34"/>
          <w:rtl/>
          <w:lang w:val="fr-CH"/>
        </w:rPr>
        <w:t>)</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rtl/>
          <w:lang w:val="fr-CH"/>
        </w:rPr>
        <w:t xml:space="preserve">وبعد مشاورات دولية، </w:t>
      </w:r>
      <w:r w:rsidRPr="008518E8">
        <w:rPr>
          <w:rFonts w:ascii="Arabic Typesetting" w:hAnsi="Arabic Typesetting" w:cs="Arabic Typesetting" w:hint="cs"/>
          <w:sz w:val="34"/>
          <w:szCs w:val="34"/>
          <w:rtl/>
          <w:lang w:val="fr-CH"/>
        </w:rPr>
        <w:t>وضع</w:t>
      </w:r>
      <w:r w:rsidRPr="008518E8">
        <w:rPr>
          <w:rFonts w:ascii="Arabic Typesetting" w:hAnsi="Arabic Typesetting" w:cs="Arabic Typesetting"/>
          <w:sz w:val="34"/>
          <w:szCs w:val="34"/>
          <w:rtl/>
          <w:lang w:val="fr-CH"/>
        </w:rPr>
        <w:t xml:space="preserve"> مركز الويبو </w:t>
      </w:r>
      <w:r w:rsidRPr="008518E8">
        <w:rPr>
          <w:rFonts w:ascii="Arabic Typesetting" w:hAnsi="Arabic Typesetting" w:cs="Arabic Typesetting" w:hint="cs"/>
          <w:sz w:val="34"/>
          <w:szCs w:val="34"/>
          <w:rtl/>
          <w:lang w:val="fr-CH"/>
        </w:rPr>
        <w:t xml:space="preserve">قواعد </w:t>
      </w:r>
      <w:r w:rsidRPr="008518E8">
        <w:rPr>
          <w:rFonts w:ascii="Arabic Typesetting" w:hAnsi="Arabic Typesetting" w:cs="Arabic Typesetting"/>
          <w:sz w:val="34"/>
          <w:szCs w:val="34"/>
          <w:rtl/>
          <w:lang w:val="fr-CH"/>
        </w:rPr>
        <w:t xml:space="preserve">الويبو </w:t>
      </w:r>
      <w:r w:rsidRPr="008518E8">
        <w:rPr>
          <w:rFonts w:ascii="Arabic Typesetting" w:hAnsi="Arabic Typesetting" w:cs="Arabic Typesetting" w:hint="cs"/>
          <w:sz w:val="34"/>
          <w:szCs w:val="34"/>
          <w:rtl/>
          <w:lang w:val="fr-CH"/>
        </w:rPr>
        <w:t>المراجعة بشأن ا</w:t>
      </w:r>
      <w:r w:rsidRPr="008518E8">
        <w:rPr>
          <w:rFonts w:ascii="Arabic Typesetting" w:hAnsi="Arabic Typesetting" w:cs="Arabic Typesetting"/>
          <w:sz w:val="34"/>
          <w:szCs w:val="34"/>
          <w:rtl/>
          <w:lang w:val="fr-CH"/>
        </w:rPr>
        <w:t>لتحكيم والوساطة</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rtl/>
          <w:lang w:val="fr-CH"/>
        </w:rPr>
        <w:t>ونظام قرارات الخبراء</w:t>
      </w:r>
      <w:r w:rsidRPr="00F96634">
        <w:rPr>
          <w:rFonts w:ascii="Arabic Typesetting" w:hAnsi="Arabic Typesetting" w:cs="Arabic Typesetting"/>
          <w:sz w:val="28"/>
          <w:szCs w:val="28"/>
          <w:vertAlign w:val="superscript"/>
          <w:rtl/>
          <w:lang w:val="fr-CH"/>
        </w:rPr>
        <w:footnoteReference w:id="46"/>
      </w:r>
      <w:r w:rsidRPr="008518E8">
        <w:rPr>
          <w:rFonts w:ascii="Arabic Typesetting" w:hAnsi="Arabic Typesetting" w:cs="Arabic Typesetting" w:hint="cs"/>
          <w:sz w:val="34"/>
          <w:szCs w:val="34"/>
          <w:rtl/>
          <w:lang w:val="fr-CH"/>
        </w:rPr>
        <w:t xml:space="preserve">. وتتضمن هذه القواعد </w:t>
      </w:r>
      <w:r w:rsidRPr="008518E8">
        <w:rPr>
          <w:rFonts w:ascii="Arabic Typesetting" w:hAnsi="Arabic Typesetting" w:cs="Arabic Typesetting"/>
          <w:sz w:val="34"/>
          <w:szCs w:val="34"/>
          <w:rtl/>
          <w:lang w:val="fr-CH"/>
        </w:rPr>
        <w:t xml:space="preserve">التطورات الأخيرة </w:t>
      </w:r>
      <w:r w:rsidRPr="008518E8">
        <w:rPr>
          <w:rFonts w:ascii="Arabic Typesetting" w:hAnsi="Arabic Typesetting" w:cs="Arabic Typesetting" w:hint="cs"/>
          <w:sz w:val="34"/>
          <w:szCs w:val="34"/>
          <w:rtl/>
          <w:lang w:val="fr-CH"/>
        </w:rPr>
        <w:t xml:space="preserve">للحلول </w:t>
      </w:r>
      <w:r w:rsidRPr="008518E8">
        <w:rPr>
          <w:rFonts w:ascii="Arabic Typesetting" w:hAnsi="Arabic Typesetting" w:cs="Arabic Typesetting"/>
          <w:sz w:val="34"/>
          <w:szCs w:val="34"/>
          <w:rtl/>
          <w:lang w:val="fr-CH"/>
        </w:rPr>
        <w:t>البديلة لتسوية المنازعا</w:t>
      </w:r>
      <w:r w:rsidRPr="008518E8">
        <w:rPr>
          <w:rFonts w:ascii="Arabic Typesetting" w:hAnsi="Arabic Typesetting" w:cs="Arabic Typesetting" w:hint="cs"/>
          <w:sz w:val="34"/>
          <w:szCs w:val="34"/>
          <w:rtl/>
          <w:lang w:val="fr-CH"/>
        </w:rPr>
        <w:t>ت، مما ي</w:t>
      </w:r>
      <w:r w:rsidRPr="008518E8">
        <w:rPr>
          <w:rFonts w:ascii="Arabic Typesetting" w:hAnsi="Arabic Typesetting" w:cs="Arabic Typesetting"/>
          <w:sz w:val="34"/>
          <w:szCs w:val="34"/>
          <w:rtl/>
          <w:lang w:val="fr-CH"/>
        </w:rPr>
        <w:t xml:space="preserve">عزز </w:t>
      </w:r>
      <w:r w:rsidRPr="008518E8">
        <w:rPr>
          <w:rFonts w:ascii="Arabic Typesetting" w:hAnsi="Arabic Typesetting" w:cs="Arabic Typesetting" w:hint="cs"/>
          <w:sz w:val="34"/>
          <w:szCs w:val="34"/>
          <w:rtl/>
          <w:lang w:val="fr-CH"/>
        </w:rPr>
        <w:t>ال</w:t>
      </w:r>
      <w:r w:rsidRPr="008518E8">
        <w:rPr>
          <w:rFonts w:ascii="Arabic Typesetting" w:hAnsi="Arabic Typesetting" w:cs="Arabic Typesetting"/>
          <w:sz w:val="34"/>
          <w:szCs w:val="34"/>
          <w:rtl/>
          <w:lang w:val="fr-CH"/>
        </w:rPr>
        <w:t xml:space="preserve">أساس لإجراءات </w:t>
      </w:r>
      <w:r w:rsidRPr="008518E8">
        <w:rPr>
          <w:rFonts w:ascii="Arabic Typesetting" w:hAnsi="Arabic Typesetting" w:cs="Arabic Typesetting" w:hint="cs"/>
          <w:sz w:val="34"/>
          <w:szCs w:val="34"/>
          <w:rtl/>
          <w:lang w:val="fr-CH"/>
        </w:rPr>
        <w:t>فعالة من حيث</w:t>
      </w:r>
      <w:r w:rsidRPr="008518E8">
        <w:rPr>
          <w:rFonts w:ascii="Arabic Typesetting" w:hAnsi="Arabic Typesetting" w:cs="Arabic Typesetting"/>
          <w:sz w:val="34"/>
          <w:szCs w:val="34"/>
          <w:rtl/>
          <w:lang w:val="fr-CH"/>
        </w:rPr>
        <w:t xml:space="preserve"> الوقت ومن حيث التكلفة</w:t>
      </w:r>
      <w:r w:rsidRPr="008518E8">
        <w:rPr>
          <w:rFonts w:ascii="Arabic Typesetting" w:hAnsi="Arabic Typesetting" w:cs="Arabic Typesetting"/>
          <w:sz w:val="34"/>
          <w:szCs w:val="34"/>
          <w:lang w:val="fr-CH"/>
        </w:rPr>
        <w:t>.</w:t>
      </w:r>
      <w:r w:rsidRPr="008518E8">
        <w:rPr>
          <w:rFonts w:ascii="Arabic Typesetting" w:hAnsi="Arabic Typesetting" w:cs="Arabic Typesetting" w:hint="cs"/>
          <w:sz w:val="34"/>
          <w:szCs w:val="34"/>
          <w:rtl/>
          <w:lang w:val="fr-CH"/>
        </w:rPr>
        <w:t xml:space="preserve"> واستند مركز الويبو إلى خبرته في إدارة القضايا لوضع وإطلاق مولد الويبو للبنود</w:t>
      </w:r>
      <w:r w:rsidRPr="00F96634">
        <w:rPr>
          <w:rFonts w:ascii="Arabic Typesetting" w:hAnsi="Arabic Typesetting" w:cs="Arabic Typesetting"/>
          <w:sz w:val="28"/>
          <w:szCs w:val="28"/>
          <w:vertAlign w:val="superscript"/>
          <w:rtl/>
          <w:lang w:val="fr-CH"/>
        </w:rPr>
        <w:footnoteReference w:id="47"/>
      </w:r>
      <w:r w:rsidRPr="008518E8">
        <w:rPr>
          <w:rFonts w:ascii="Arabic Typesetting" w:hAnsi="Arabic Typesetting" w:cs="Arabic Typesetting" w:hint="cs"/>
          <w:sz w:val="34"/>
          <w:szCs w:val="34"/>
          <w:rtl/>
          <w:lang w:val="fr-CH"/>
        </w:rPr>
        <w:t xml:space="preserve"> في عام 2015. ونظم مركز الويبو أيضاً فعاليات مخصصة للتحكيم والوساطة.</w:t>
      </w:r>
    </w:p>
    <w:p w:rsidR="008518E8" w:rsidRPr="008518E8" w:rsidRDefault="008518E8" w:rsidP="009A3712">
      <w:pPr>
        <w:numPr>
          <w:ilvl w:val="0"/>
          <w:numId w:val="10"/>
        </w:numPr>
        <w:bidi/>
        <w:spacing w:after="120" w:line="340" w:lineRule="exact"/>
        <w:ind w:left="0" w:firstLine="0"/>
        <w:rPr>
          <w:rFonts w:ascii="Arabic Typesetting" w:hAnsi="Arabic Typesetting" w:cs="Arabic Typesetting"/>
          <w:sz w:val="34"/>
          <w:szCs w:val="34"/>
          <w:rtl/>
          <w:lang w:val="fr-CH"/>
        </w:rPr>
      </w:pPr>
      <w:r w:rsidRPr="008518E8">
        <w:rPr>
          <w:rFonts w:ascii="Arabic Typesetting" w:hAnsi="Arabic Typesetting" w:cs="Arabic Typesetting" w:hint="cs"/>
          <w:sz w:val="34"/>
          <w:szCs w:val="34"/>
          <w:rtl/>
          <w:lang w:val="fr-CH"/>
        </w:rPr>
        <w:t>وشجعت ا</w:t>
      </w:r>
      <w:r w:rsidRPr="008518E8">
        <w:rPr>
          <w:rFonts w:ascii="Arabic Typesetting" w:hAnsi="Arabic Typesetting" w:cs="Arabic Typesetting"/>
          <w:sz w:val="34"/>
          <w:szCs w:val="34"/>
          <w:rtl/>
          <w:lang w:val="fr-CH"/>
        </w:rPr>
        <w:t xml:space="preserve">لمحاكم الوطنية وسلطات المنافسة في بعض </w:t>
      </w:r>
      <w:r w:rsidRPr="008518E8">
        <w:rPr>
          <w:rFonts w:ascii="Arabic Typesetting" w:hAnsi="Arabic Typesetting" w:cs="Arabic Typesetting" w:hint="cs"/>
          <w:sz w:val="34"/>
          <w:szCs w:val="34"/>
          <w:rtl/>
          <w:lang w:val="fr-CH"/>
        </w:rPr>
        <w:t>الأنظمة</w:t>
      </w:r>
      <w:r w:rsidRPr="008518E8">
        <w:rPr>
          <w:rFonts w:ascii="Arabic Typesetting" w:hAnsi="Arabic Typesetting" w:cs="Arabic Typesetting"/>
          <w:sz w:val="34"/>
          <w:szCs w:val="34"/>
          <w:rtl/>
          <w:lang w:val="fr-CH"/>
        </w:rPr>
        <w:t xml:space="preserve"> القضائية الأطراف </w:t>
      </w:r>
      <w:r w:rsidRPr="008518E8">
        <w:rPr>
          <w:rFonts w:ascii="Arabic Typesetting" w:hAnsi="Arabic Typesetting" w:cs="Arabic Typesetting" w:hint="cs"/>
          <w:sz w:val="34"/>
          <w:szCs w:val="34"/>
          <w:rtl/>
          <w:lang w:val="fr-CH"/>
        </w:rPr>
        <w:t>في</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hint="cs"/>
          <w:sz w:val="34"/>
          <w:szCs w:val="34"/>
          <w:rtl/>
          <w:lang w:val="fr-CH"/>
        </w:rPr>
        <w:t>المنازعات</w:t>
      </w:r>
      <w:r w:rsidRPr="008518E8">
        <w:rPr>
          <w:rFonts w:ascii="Arabic Typesetting" w:hAnsi="Arabic Typesetting" w:cs="Arabic Typesetting"/>
          <w:sz w:val="34"/>
          <w:szCs w:val="34"/>
          <w:rtl/>
          <w:lang w:val="fr-CH"/>
        </w:rPr>
        <w:t xml:space="preserve"> المتعلقة بالمعايير </w:t>
      </w:r>
      <w:r w:rsidRPr="008518E8">
        <w:rPr>
          <w:rFonts w:ascii="Arabic Typesetting" w:hAnsi="Arabic Typesetting" w:cs="Arabic Typesetting" w:hint="cs"/>
          <w:sz w:val="34"/>
          <w:szCs w:val="34"/>
          <w:rtl/>
          <w:lang w:val="fr-CH"/>
        </w:rPr>
        <w:t>والمنطوية على</w:t>
      </w:r>
      <w:r w:rsidRPr="008518E8">
        <w:rPr>
          <w:rFonts w:ascii="Arabic Typesetting" w:hAnsi="Arabic Typesetting" w:cs="Arabic Typesetting"/>
          <w:sz w:val="34"/>
          <w:szCs w:val="34"/>
          <w:rtl/>
          <w:lang w:val="fr-CH"/>
        </w:rPr>
        <w:t xml:space="preserve"> براءات الاتصالات في </w:t>
      </w:r>
      <w:r w:rsidRPr="008518E8">
        <w:rPr>
          <w:rFonts w:ascii="Arabic Typesetting" w:hAnsi="Arabic Typesetting" w:cs="Arabic Typesetting" w:hint="cs"/>
          <w:sz w:val="34"/>
          <w:szCs w:val="34"/>
          <w:rtl/>
          <w:lang w:val="fr-CH"/>
        </w:rPr>
        <w:t>أنظمة</w:t>
      </w:r>
      <w:r w:rsidRPr="008518E8">
        <w:rPr>
          <w:rFonts w:ascii="Arabic Typesetting" w:hAnsi="Arabic Typesetting" w:cs="Arabic Typesetting"/>
          <w:sz w:val="34"/>
          <w:szCs w:val="34"/>
          <w:rtl/>
          <w:lang w:val="fr-CH"/>
        </w:rPr>
        <w:t xml:space="preserve"> قضائية متعددة </w:t>
      </w:r>
      <w:r w:rsidRPr="008518E8">
        <w:rPr>
          <w:rFonts w:ascii="Arabic Typesetting" w:hAnsi="Arabic Typesetting" w:cs="Arabic Typesetting" w:hint="cs"/>
          <w:sz w:val="34"/>
          <w:szCs w:val="34"/>
          <w:rtl/>
          <w:lang w:val="fr-CH"/>
        </w:rPr>
        <w:t xml:space="preserve">على </w:t>
      </w:r>
      <w:r w:rsidRPr="008518E8">
        <w:rPr>
          <w:rFonts w:ascii="Arabic Typesetting" w:hAnsi="Arabic Typesetting" w:cs="Arabic Typesetting"/>
          <w:sz w:val="34"/>
          <w:szCs w:val="34"/>
          <w:rtl/>
          <w:lang w:val="fr-CH"/>
        </w:rPr>
        <w:t xml:space="preserve">حل </w:t>
      </w:r>
      <w:r w:rsidRPr="008518E8">
        <w:rPr>
          <w:rFonts w:ascii="Arabic Typesetting" w:hAnsi="Arabic Typesetting" w:cs="Arabic Typesetting" w:hint="cs"/>
          <w:sz w:val="34"/>
          <w:szCs w:val="34"/>
          <w:rtl/>
          <w:lang w:val="fr-CH"/>
        </w:rPr>
        <w:t>تلك</w:t>
      </w:r>
      <w:r w:rsidRPr="008518E8">
        <w:rPr>
          <w:rFonts w:ascii="Arabic Typesetting" w:hAnsi="Arabic Typesetting" w:cs="Arabic Typesetting"/>
          <w:sz w:val="34"/>
          <w:szCs w:val="34"/>
          <w:rtl/>
          <w:lang w:val="fr-CH"/>
        </w:rPr>
        <w:t xml:space="preserve"> المنازعات عن طريق </w:t>
      </w:r>
      <w:r w:rsidRPr="008518E8">
        <w:rPr>
          <w:rFonts w:ascii="Arabic Typesetting" w:hAnsi="Arabic Typesetting" w:cs="Arabic Typesetting" w:hint="cs"/>
          <w:sz w:val="34"/>
          <w:szCs w:val="34"/>
          <w:rtl/>
          <w:lang w:val="fr-CH"/>
        </w:rPr>
        <w:t>السبل البديلة لتسوية المنازعات</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hint="cs"/>
          <w:sz w:val="34"/>
          <w:szCs w:val="34"/>
          <w:rtl/>
          <w:lang w:val="fr-CH"/>
        </w:rPr>
        <w:t xml:space="preserve">ونتيجة للتعاون مع عدد من المنظمات المعنية بوضع المعايير، ولا سيما </w:t>
      </w:r>
      <w:r w:rsidRPr="008518E8">
        <w:rPr>
          <w:rFonts w:ascii="Arabic Typesetting" w:hAnsi="Arabic Typesetting" w:cs="Arabic Typesetting"/>
          <w:sz w:val="34"/>
          <w:szCs w:val="34"/>
          <w:rtl/>
          <w:lang w:val="fr-CH"/>
        </w:rPr>
        <w:t>المعهد الأوروبي لمعايير الاتصالات السلكية واللاسلكية (</w:t>
      </w:r>
      <w:r w:rsidRPr="008518E8">
        <w:rPr>
          <w:rFonts w:ascii="Arabic Typesetting" w:hAnsi="Arabic Typesetting" w:cs="Arabic Typesetting"/>
          <w:sz w:val="34"/>
          <w:szCs w:val="34"/>
          <w:lang w:val="fr-CH"/>
        </w:rPr>
        <w:t>ETSI</w:t>
      </w:r>
      <w:r w:rsidRPr="008518E8">
        <w:rPr>
          <w:rFonts w:ascii="Arabic Typesetting" w:hAnsi="Arabic Typesetting" w:cs="Arabic Typesetting"/>
          <w:sz w:val="34"/>
          <w:szCs w:val="34"/>
          <w:rtl/>
          <w:lang w:val="fr-CH"/>
        </w:rPr>
        <w:t>)</w:t>
      </w:r>
      <w:r w:rsidRPr="008518E8">
        <w:rPr>
          <w:rFonts w:ascii="Arabic Typesetting" w:hAnsi="Arabic Typesetting" w:cs="Arabic Typesetting" w:hint="cs"/>
          <w:sz w:val="34"/>
          <w:szCs w:val="34"/>
          <w:rtl/>
          <w:lang w:val="fr-CH"/>
        </w:rPr>
        <w:t xml:space="preserve"> و</w:t>
      </w:r>
      <w:r w:rsidRPr="008518E8">
        <w:rPr>
          <w:rFonts w:ascii="Arabic Typesetting" w:hAnsi="Arabic Typesetting" w:cs="Arabic Typesetting"/>
          <w:sz w:val="34"/>
          <w:szCs w:val="34"/>
          <w:rtl/>
          <w:lang w:val="fr-CH"/>
        </w:rPr>
        <w:t>معهد الهندسة الكهربائية والإلكترونيات</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rPr>
        <w:t>IEEE</w:t>
      </w:r>
      <w:r w:rsidRPr="008518E8">
        <w:rPr>
          <w:rFonts w:ascii="Arabic Typesetting" w:hAnsi="Arabic Typesetting" w:cs="Arabic Typesetting" w:hint="cs"/>
          <w:sz w:val="34"/>
          <w:szCs w:val="34"/>
          <w:rtl/>
        </w:rPr>
        <w:t xml:space="preserve">)، شهدت الثنائية </w:t>
      </w:r>
      <w:r w:rsidR="00507DE2">
        <w:rPr>
          <w:rFonts w:ascii="Arabic Typesetting" w:hAnsi="Arabic Typesetting" w:cs="Arabic Typesetting" w:hint="cs"/>
          <w:sz w:val="34"/>
          <w:szCs w:val="34"/>
          <w:rtl/>
        </w:rPr>
        <w:t>2014/15</w:t>
      </w:r>
      <w:r w:rsidRPr="008518E8">
        <w:rPr>
          <w:rFonts w:ascii="Arabic Typesetting" w:hAnsi="Arabic Typesetting" w:cs="Arabic Typesetting" w:hint="cs"/>
          <w:sz w:val="34"/>
          <w:szCs w:val="34"/>
          <w:rtl/>
        </w:rPr>
        <w:t xml:space="preserve"> </w:t>
      </w:r>
      <w:r w:rsidRPr="008518E8">
        <w:rPr>
          <w:rFonts w:ascii="Arabic Typesetting" w:hAnsi="Arabic Typesetting" w:cs="Arabic Typesetting"/>
          <w:sz w:val="34"/>
          <w:szCs w:val="34"/>
          <w:rtl/>
          <w:lang w:val="fr-CH"/>
        </w:rPr>
        <w:t>زيادة في عدد استفسارات ال</w:t>
      </w:r>
      <w:r w:rsidRPr="008518E8">
        <w:rPr>
          <w:rFonts w:ascii="Arabic Typesetting" w:hAnsi="Arabic Typesetting" w:cs="Arabic Typesetting" w:hint="cs"/>
          <w:sz w:val="34"/>
          <w:szCs w:val="34"/>
          <w:rtl/>
          <w:lang w:val="fr-CH"/>
        </w:rPr>
        <w:t>أ</w:t>
      </w:r>
      <w:r w:rsidRPr="008518E8">
        <w:rPr>
          <w:rFonts w:ascii="Arabic Typesetting" w:hAnsi="Arabic Typesetting" w:cs="Arabic Typesetting"/>
          <w:sz w:val="34"/>
          <w:szCs w:val="34"/>
          <w:rtl/>
          <w:lang w:val="fr-CH"/>
        </w:rPr>
        <w:t>طر</w:t>
      </w:r>
      <w:r w:rsidRPr="008518E8">
        <w:rPr>
          <w:rFonts w:ascii="Arabic Typesetting" w:hAnsi="Arabic Typesetting" w:cs="Arabic Typesetting" w:hint="cs"/>
          <w:sz w:val="34"/>
          <w:szCs w:val="34"/>
          <w:rtl/>
          <w:lang w:val="fr-CH"/>
        </w:rPr>
        <w:t>ا</w:t>
      </w:r>
      <w:r w:rsidRPr="008518E8">
        <w:rPr>
          <w:rFonts w:ascii="Arabic Typesetting" w:hAnsi="Arabic Typesetting" w:cs="Arabic Typesetting"/>
          <w:sz w:val="34"/>
          <w:szCs w:val="34"/>
          <w:rtl/>
          <w:lang w:val="fr-CH"/>
        </w:rPr>
        <w:t xml:space="preserve">ف </w:t>
      </w:r>
      <w:r w:rsidRPr="008518E8">
        <w:rPr>
          <w:rFonts w:ascii="Arabic Typesetting" w:hAnsi="Arabic Typesetting" w:cs="Arabic Typesetting" w:hint="cs"/>
          <w:sz w:val="34"/>
          <w:szCs w:val="34"/>
          <w:rtl/>
          <w:lang w:val="fr-CH"/>
        </w:rPr>
        <w:t xml:space="preserve">عن </w:t>
      </w:r>
      <w:r w:rsidRPr="008518E8">
        <w:rPr>
          <w:rFonts w:ascii="Arabic Typesetting" w:hAnsi="Arabic Typesetting" w:cs="Arabic Typesetting"/>
          <w:sz w:val="34"/>
          <w:szCs w:val="34"/>
          <w:rtl/>
          <w:lang w:val="fr-CH"/>
        </w:rPr>
        <w:t xml:space="preserve">استخدام اتفاقات الويبو </w:t>
      </w:r>
      <w:r w:rsidRPr="008518E8">
        <w:rPr>
          <w:rFonts w:ascii="Arabic Typesetting" w:hAnsi="Arabic Typesetting" w:cs="Arabic Typesetting" w:hint="cs"/>
          <w:sz w:val="34"/>
          <w:szCs w:val="34"/>
          <w:rtl/>
          <w:lang w:val="fr-CH"/>
        </w:rPr>
        <w:t xml:space="preserve">المكيفة </w:t>
      </w:r>
      <w:r w:rsidRPr="008518E8">
        <w:rPr>
          <w:rFonts w:ascii="Arabic Typesetting" w:hAnsi="Arabic Typesetting" w:cs="Arabic Typesetting"/>
          <w:sz w:val="34"/>
          <w:szCs w:val="34"/>
          <w:rtl/>
          <w:lang w:val="fr-CH"/>
        </w:rPr>
        <w:t>لإحالة نزاع متعلق بشروط الترخيص العادلة والمعقولة وغير التمييزية (</w:t>
      </w:r>
      <w:r w:rsidRPr="008518E8">
        <w:rPr>
          <w:rFonts w:ascii="Arabic Typesetting" w:hAnsi="Arabic Typesetting" w:cs="Arabic Typesetting"/>
          <w:sz w:val="34"/>
          <w:szCs w:val="34"/>
          <w:lang w:val="fr-CH"/>
        </w:rPr>
        <w:t>FRAND</w:t>
      </w:r>
      <w:r w:rsidRPr="008518E8">
        <w:rPr>
          <w:rFonts w:ascii="Arabic Typesetting" w:hAnsi="Arabic Typesetting" w:cs="Arabic Typesetting"/>
          <w:sz w:val="34"/>
          <w:szCs w:val="34"/>
          <w:rtl/>
          <w:lang w:val="fr-CH"/>
        </w:rPr>
        <w:t xml:space="preserve">) إلى </w:t>
      </w:r>
      <w:r w:rsidRPr="008518E8">
        <w:rPr>
          <w:rFonts w:ascii="Arabic Typesetting" w:hAnsi="Arabic Typesetting" w:cs="Arabic Typesetting" w:hint="cs"/>
          <w:sz w:val="34"/>
          <w:szCs w:val="34"/>
          <w:rtl/>
          <w:lang w:val="fr-CH"/>
        </w:rPr>
        <w:t xml:space="preserve">مركز </w:t>
      </w:r>
      <w:r w:rsidRPr="008518E8">
        <w:rPr>
          <w:rFonts w:ascii="Arabic Typesetting" w:hAnsi="Arabic Typesetting" w:cs="Arabic Typesetting"/>
          <w:sz w:val="34"/>
          <w:szCs w:val="34"/>
          <w:rtl/>
          <w:lang w:val="fr-CH"/>
        </w:rPr>
        <w:t>الويبو</w:t>
      </w:r>
      <w:r w:rsidRPr="008518E8">
        <w:rPr>
          <w:rFonts w:ascii="Arabic Typesetting" w:hAnsi="Arabic Typesetting" w:cs="Arabic Typesetting"/>
          <w:sz w:val="34"/>
          <w:szCs w:val="34"/>
          <w:lang w:val="fr-CH"/>
        </w:rPr>
        <w:t>.</w:t>
      </w:r>
    </w:p>
    <w:p w:rsidR="008518E8" w:rsidRPr="008518E8" w:rsidRDefault="008518E8" w:rsidP="009A3712">
      <w:pPr>
        <w:numPr>
          <w:ilvl w:val="0"/>
          <w:numId w:val="10"/>
        </w:numPr>
        <w:bidi/>
        <w:spacing w:after="120" w:line="340" w:lineRule="exact"/>
        <w:ind w:left="0" w:firstLine="0"/>
        <w:rPr>
          <w:rFonts w:ascii="Arabic Typesetting" w:hAnsi="Arabic Typesetting" w:cs="Arabic Typesetting"/>
          <w:sz w:val="34"/>
          <w:szCs w:val="34"/>
          <w:lang w:val="fr-CH"/>
        </w:rPr>
      </w:pPr>
      <w:r w:rsidRPr="008518E8">
        <w:rPr>
          <w:rFonts w:ascii="Arabic Typesetting" w:hAnsi="Arabic Typesetting" w:cs="Arabic Typesetting" w:hint="cs"/>
          <w:sz w:val="34"/>
          <w:szCs w:val="34"/>
          <w:rtl/>
          <w:lang w:val="fr-CH"/>
        </w:rPr>
        <w:t>وخلال الثنائية</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hint="cs"/>
          <w:sz w:val="34"/>
          <w:szCs w:val="34"/>
          <w:rtl/>
          <w:lang w:val="fr-CH"/>
        </w:rPr>
        <w:t>أبرمت</w:t>
      </w:r>
      <w:r w:rsidRPr="008518E8">
        <w:rPr>
          <w:rFonts w:ascii="Arabic Typesetting" w:hAnsi="Arabic Typesetting" w:cs="Arabic Typesetting"/>
          <w:sz w:val="34"/>
          <w:szCs w:val="34"/>
          <w:rtl/>
          <w:lang w:val="fr-CH"/>
        </w:rPr>
        <w:t xml:space="preserve"> مذكرات تفاهم مع المديرية الوطنية </w:t>
      </w:r>
      <w:r w:rsidRPr="008518E8">
        <w:rPr>
          <w:rFonts w:ascii="Arabic Typesetting" w:hAnsi="Arabic Typesetting" w:cs="Arabic Typesetting" w:hint="cs"/>
          <w:sz w:val="34"/>
          <w:szCs w:val="34"/>
          <w:rtl/>
          <w:lang w:val="fr-CH"/>
        </w:rPr>
        <w:t>لحق المؤلف في</w:t>
      </w:r>
      <w:r w:rsidRPr="008518E8">
        <w:rPr>
          <w:rFonts w:ascii="Arabic Typesetting" w:hAnsi="Arabic Typesetting" w:cs="Arabic Typesetting"/>
          <w:sz w:val="34"/>
          <w:szCs w:val="34"/>
          <w:rtl/>
          <w:lang w:val="fr-CH"/>
        </w:rPr>
        <w:t xml:space="preserve"> كولومبيا</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lang w:val="fr-CH"/>
        </w:rPr>
        <w:t>(DNDA)</w:t>
      </w:r>
      <w:r w:rsidRPr="008518E8">
        <w:rPr>
          <w:rFonts w:ascii="Arabic Typesetting" w:hAnsi="Arabic Typesetting" w:cs="Arabic Typesetting"/>
          <w:sz w:val="34"/>
          <w:szCs w:val="34"/>
          <w:rtl/>
          <w:lang w:val="fr-CH"/>
        </w:rPr>
        <w:t xml:space="preserve">، والمديرية العامة </w:t>
      </w:r>
      <w:r w:rsidRPr="008518E8">
        <w:rPr>
          <w:rFonts w:ascii="Arabic Typesetting" w:hAnsi="Arabic Typesetting" w:cs="Arabic Typesetting" w:hint="cs"/>
          <w:sz w:val="34"/>
          <w:szCs w:val="34"/>
          <w:rtl/>
          <w:lang w:val="fr-CH"/>
        </w:rPr>
        <w:t>ل</w:t>
      </w:r>
      <w:r w:rsidRPr="008518E8">
        <w:rPr>
          <w:rFonts w:ascii="Arabic Typesetting" w:hAnsi="Arabic Typesetting" w:cs="Arabic Typesetting"/>
          <w:sz w:val="34"/>
          <w:szCs w:val="34"/>
          <w:rtl/>
          <w:lang w:val="fr-CH"/>
        </w:rPr>
        <w:t xml:space="preserve">لملكية الفكرية في </w:t>
      </w:r>
      <w:r w:rsidRPr="008518E8">
        <w:rPr>
          <w:rFonts w:ascii="Arabic Typesetting" w:hAnsi="Arabic Typesetting" w:cs="Arabic Typesetting" w:hint="cs"/>
          <w:sz w:val="34"/>
          <w:szCs w:val="34"/>
          <w:rtl/>
          <w:lang w:val="fr-CH"/>
        </w:rPr>
        <w:t>إ</w:t>
      </w:r>
      <w:r w:rsidRPr="008518E8">
        <w:rPr>
          <w:rFonts w:ascii="Arabic Typesetting" w:hAnsi="Arabic Typesetting" w:cs="Arabic Typesetting"/>
          <w:sz w:val="34"/>
          <w:szCs w:val="34"/>
          <w:rtl/>
          <w:lang w:val="fr-CH"/>
        </w:rPr>
        <w:t>ندونيسيا</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lang w:val="fr-CH"/>
        </w:rPr>
        <w:t>(DGIPR)</w:t>
      </w:r>
      <w:r w:rsidRPr="008518E8">
        <w:rPr>
          <w:rFonts w:ascii="Arabic Typesetting" w:hAnsi="Arabic Typesetting" w:cs="Arabic Typesetting"/>
          <w:sz w:val="34"/>
          <w:szCs w:val="34"/>
          <w:rtl/>
          <w:lang w:val="fr-CH"/>
        </w:rPr>
        <w:t xml:space="preserve">، والمعهد المكسيكي </w:t>
      </w:r>
      <w:r w:rsidRPr="008518E8">
        <w:rPr>
          <w:rFonts w:ascii="Arabic Typesetting" w:hAnsi="Arabic Typesetting" w:cs="Arabic Typesetting" w:hint="cs"/>
          <w:sz w:val="34"/>
          <w:szCs w:val="34"/>
          <w:rtl/>
          <w:lang w:val="fr-CH"/>
        </w:rPr>
        <w:t>ل</w:t>
      </w:r>
      <w:r w:rsidRPr="008518E8">
        <w:rPr>
          <w:rFonts w:ascii="Arabic Typesetting" w:hAnsi="Arabic Typesetting" w:cs="Arabic Typesetting"/>
          <w:sz w:val="34"/>
          <w:szCs w:val="34"/>
          <w:rtl/>
          <w:lang w:val="fr-CH"/>
        </w:rPr>
        <w:t>لملكية</w:t>
      </w:r>
      <w:r w:rsidRPr="008518E8">
        <w:rPr>
          <w:rFonts w:ascii="Arabic Typesetting" w:hAnsi="Arabic Typesetting" w:cs="Arabic Typesetting" w:hint="cs"/>
          <w:sz w:val="34"/>
          <w:szCs w:val="34"/>
          <w:rtl/>
          <w:lang w:val="fr-CH"/>
        </w:rPr>
        <w:t xml:space="preserve"> الصناعية </w:t>
      </w:r>
      <w:r w:rsidRPr="008518E8">
        <w:rPr>
          <w:rFonts w:ascii="Arabic Typesetting" w:hAnsi="Arabic Typesetting" w:cs="Arabic Typesetting"/>
          <w:sz w:val="34"/>
          <w:szCs w:val="34"/>
          <w:lang w:val="fr-CH"/>
        </w:rPr>
        <w:t>(IMPI)</w:t>
      </w:r>
      <w:r w:rsidRPr="008518E8">
        <w:rPr>
          <w:rFonts w:ascii="Arabic Typesetting" w:hAnsi="Arabic Typesetting" w:cs="Arabic Typesetting"/>
          <w:sz w:val="34"/>
          <w:szCs w:val="34"/>
          <w:rtl/>
          <w:lang w:val="fr-CH"/>
        </w:rPr>
        <w:t>، ومكتب الملكية الفكرية في الفلبين</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lang w:val="fr-CH"/>
        </w:rPr>
        <w:t>(IPOPHL)</w:t>
      </w:r>
      <w:r w:rsidRPr="008518E8">
        <w:rPr>
          <w:rFonts w:ascii="Arabic Typesetting" w:hAnsi="Arabic Typesetting" w:cs="Arabic Typesetting" w:hint="cs"/>
          <w:sz w:val="34"/>
          <w:szCs w:val="34"/>
          <w:rtl/>
          <w:lang w:val="fr-CH"/>
        </w:rPr>
        <w:t>،</w:t>
      </w:r>
      <w:r w:rsidRPr="008518E8">
        <w:rPr>
          <w:rFonts w:ascii="Arabic Typesetting" w:hAnsi="Arabic Typesetting" w:cs="Arabic Typesetting"/>
          <w:sz w:val="34"/>
          <w:szCs w:val="34"/>
          <w:rtl/>
          <w:lang w:val="fr-CH"/>
        </w:rPr>
        <w:t xml:space="preserve"> إضافة إلى</w:t>
      </w:r>
      <w:r w:rsidRPr="008518E8">
        <w:rPr>
          <w:rFonts w:ascii="Arabic Typesetting" w:hAnsi="Arabic Typesetting" w:cs="Arabic Typesetting" w:hint="cs"/>
          <w:sz w:val="34"/>
          <w:szCs w:val="34"/>
          <w:rtl/>
          <w:lang w:val="fr-CH"/>
        </w:rPr>
        <w:t xml:space="preserve"> علاقات</w:t>
      </w:r>
      <w:r w:rsidRPr="008518E8">
        <w:rPr>
          <w:rFonts w:ascii="Arabic Typesetting" w:hAnsi="Arabic Typesetting" w:cs="Arabic Typesetting"/>
          <w:sz w:val="34"/>
          <w:szCs w:val="34"/>
          <w:rtl/>
          <w:lang w:val="fr-CH"/>
        </w:rPr>
        <w:t xml:space="preserve"> التعاون</w:t>
      </w:r>
      <w:r w:rsidRPr="008518E8">
        <w:rPr>
          <w:rFonts w:ascii="Arabic Typesetting" w:hAnsi="Arabic Typesetting" w:cs="Arabic Typesetting" w:hint="cs"/>
          <w:sz w:val="34"/>
          <w:szCs w:val="34"/>
          <w:rtl/>
          <w:lang w:val="fr-CH"/>
        </w:rPr>
        <w:t xml:space="preserve"> القائمة بين ال</w:t>
      </w:r>
      <w:r w:rsidRPr="008518E8">
        <w:rPr>
          <w:rFonts w:ascii="Arabic Typesetting" w:hAnsi="Arabic Typesetting" w:cs="Arabic Typesetting"/>
          <w:sz w:val="34"/>
          <w:szCs w:val="34"/>
          <w:rtl/>
          <w:lang w:val="fr-CH"/>
        </w:rPr>
        <w:t xml:space="preserve">دول </w:t>
      </w:r>
      <w:r w:rsidRPr="008518E8">
        <w:rPr>
          <w:rFonts w:ascii="Arabic Typesetting" w:hAnsi="Arabic Typesetting" w:cs="Arabic Typesetting" w:hint="cs"/>
          <w:sz w:val="34"/>
          <w:szCs w:val="34"/>
          <w:rtl/>
          <w:lang w:val="fr-CH"/>
        </w:rPr>
        <w:t>الأ</w:t>
      </w:r>
      <w:r w:rsidRPr="008518E8">
        <w:rPr>
          <w:rFonts w:ascii="Arabic Typesetting" w:hAnsi="Arabic Typesetting" w:cs="Arabic Typesetting"/>
          <w:sz w:val="34"/>
          <w:szCs w:val="34"/>
          <w:rtl/>
          <w:lang w:val="fr-CH"/>
        </w:rPr>
        <w:t>عض</w:t>
      </w:r>
      <w:r w:rsidRPr="008518E8">
        <w:rPr>
          <w:rFonts w:ascii="Arabic Typesetting" w:hAnsi="Arabic Typesetting" w:cs="Arabic Typesetting" w:hint="cs"/>
          <w:sz w:val="34"/>
          <w:szCs w:val="34"/>
          <w:rtl/>
          <w:lang w:val="fr-CH"/>
        </w:rPr>
        <w:t>اء</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hint="cs"/>
          <w:sz w:val="34"/>
          <w:szCs w:val="34"/>
          <w:rtl/>
          <w:lang w:val="fr-CH"/>
        </w:rPr>
        <w:t>وترتبط تلك العلاقات</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hint="cs"/>
          <w:sz w:val="34"/>
          <w:szCs w:val="34"/>
          <w:rtl/>
          <w:lang w:val="fr-CH"/>
        </w:rPr>
        <w:t>بوضع</w:t>
      </w:r>
      <w:r w:rsidRPr="008518E8">
        <w:rPr>
          <w:rFonts w:ascii="Arabic Typesetting" w:hAnsi="Arabic Typesetting" w:cs="Arabic Typesetting"/>
          <w:sz w:val="34"/>
          <w:szCs w:val="34"/>
          <w:rtl/>
          <w:lang w:val="fr-CH"/>
        </w:rPr>
        <w:t xml:space="preserve"> أطر</w:t>
      </w:r>
      <w:r w:rsidRPr="008518E8">
        <w:rPr>
          <w:rFonts w:ascii="Arabic Typesetting" w:hAnsi="Arabic Typesetting" w:cs="Arabic Typesetting"/>
          <w:sz w:val="34"/>
          <w:szCs w:val="34"/>
          <w:lang w:val="fr-CH"/>
        </w:rPr>
        <w:t xml:space="preserve"> </w:t>
      </w:r>
      <w:r w:rsidRPr="008518E8">
        <w:rPr>
          <w:rFonts w:ascii="Arabic Typesetting" w:hAnsi="Arabic Typesetting" w:cs="Arabic Typesetting"/>
          <w:sz w:val="34"/>
          <w:szCs w:val="34"/>
          <w:rtl/>
          <w:lang w:val="fr-CH"/>
        </w:rPr>
        <w:t>اختيارية</w:t>
      </w:r>
      <w:r w:rsidRPr="008518E8">
        <w:rPr>
          <w:rFonts w:ascii="Arabic Typesetting" w:hAnsi="Arabic Typesetting" w:cs="Arabic Typesetting" w:hint="cs"/>
          <w:sz w:val="34"/>
          <w:szCs w:val="34"/>
          <w:rtl/>
          <w:lang w:val="fr-CH"/>
        </w:rPr>
        <w:t xml:space="preserve"> بديلة لتسوية المنازعات تتيح</w:t>
      </w:r>
      <w:r w:rsidRPr="008518E8">
        <w:rPr>
          <w:rFonts w:ascii="Arabic Typesetting" w:hAnsi="Arabic Typesetting" w:cs="Arabic Typesetting"/>
          <w:sz w:val="34"/>
          <w:szCs w:val="34"/>
          <w:rtl/>
          <w:lang w:val="fr-CH"/>
        </w:rPr>
        <w:t xml:space="preserve"> خيارات مرنة وفعالة من حيث التكلفة للأ</w:t>
      </w:r>
      <w:r w:rsidRPr="008518E8">
        <w:rPr>
          <w:rFonts w:ascii="Arabic Typesetting" w:hAnsi="Arabic Typesetting" w:cs="Arabic Typesetting" w:hint="cs"/>
          <w:sz w:val="34"/>
          <w:szCs w:val="34"/>
          <w:rtl/>
          <w:lang w:val="fr-CH"/>
        </w:rPr>
        <w:t xml:space="preserve">طراف من أجل </w:t>
      </w:r>
      <w:r w:rsidRPr="008518E8">
        <w:rPr>
          <w:rFonts w:ascii="Arabic Typesetting" w:hAnsi="Arabic Typesetting" w:cs="Arabic Typesetting"/>
          <w:sz w:val="34"/>
          <w:szCs w:val="34"/>
          <w:rtl/>
          <w:lang w:val="fr-CH"/>
        </w:rPr>
        <w:t xml:space="preserve">حل نزاعاتها </w:t>
      </w:r>
      <w:r w:rsidRPr="008518E8">
        <w:rPr>
          <w:rFonts w:ascii="Arabic Typesetting" w:hAnsi="Arabic Typesetting" w:cs="Arabic Typesetting" w:hint="cs"/>
          <w:sz w:val="34"/>
          <w:szCs w:val="34"/>
          <w:rtl/>
          <w:lang w:val="fr-CH"/>
        </w:rPr>
        <w:t xml:space="preserve">لدى تلك </w:t>
      </w:r>
      <w:r w:rsidRPr="008518E8">
        <w:rPr>
          <w:rFonts w:ascii="Arabic Typesetting" w:hAnsi="Arabic Typesetting" w:cs="Arabic Typesetting"/>
          <w:sz w:val="34"/>
          <w:szCs w:val="34"/>
          <w:rtl/>
          <w:lang w:val="fr-CH"/>
        </w:rPr>
        <w:t xml:space="preserve">المكاتب فيما يتعلق </w:t>
      </w:r>
      <w:r w:rsidRPr="008518E8">
        <w:rPr>
          <w:rFonts w:ascii="Arabic Typesetting" w:hAnsi="Arabic Typesetting" w:cs="Arabic Typesetting" w:hint="cs"/>
          <w:sz w:val="34"/>
          <w:szCs w:val="34"/>
          <w:rtl/>
          <w:lang w:val="fr-CH"/>
        </w:rPr>
        <w:t>ب</w:t>
      </w:r>
      <w:r w:rsidRPr="008518E8">
        <w:rPr>
          <w:rFonts w:ascii="Arabic Typesetting" w:hAnsi="Arabic Typesetting" w:cs="Arabic Typesetting"/>
          <w:sz w:val="34"/>
          <w:szCs w:val="34"/>
          <w:rtl/>
          <w:lang w:val="fr-CH"/>
        </w:rPr>
        <w:t>الطلبات المعلقة أو الحقوق الممنوحة</w:t>
      </w:r>
      <w:r w:rsidRPr="008518E8">
        <w:rPr>
          <w:rFonts w:ascii="Arabic Typesetting" w:hAnsi="Arabic Typesetting" w:cs="Arabic Typesetting"/>
          <w:sz w:val="34"/>
          <w:szCs w:val="34"/>
          <w:lang w:val="fr-CH"/>
        </w:rPr>
        <w:t>.</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rtl/>
          <w:lang w:val="fr-CH"/>
        </w:rPr>
        <w:t>‏وفي</w:t>
      </w:r>
      <w:r w:rsidRPr="008518E8">
        <w:rPr>
          <w:rFonts w:ascii="Arabic Typesetting" w:hAnsi="Arabic Typesetting" w:cs="Arabic Typesetting" w:hint="cs"/>
          <w:sz w:val="34"/>
          <w:szCs w:val="34"/>
          <w:rtl/>
          <w:lang w:val="fr-CH"/>
        </w:rPr>
        <w:t xml:space="preserve"> عام</w:t>
      </w:r>
      <w:r w:rsidRPr="008518E8">
        <w:rPr>
          <w:rFonts w:ascii="Arabic Typesetting" w:hAnsi="Arabic Typesetting" w:cs="Arabic Typesetting"/>
          <w:sz w:val="34"/>
          <w:szCs w:val="34"/>
          <w:rtl/>
          <w:lang w:val="fr-CH"/>
        </w:rPr>
        <w:t xml:space="preserve"> 2015، أضاف مكتبُ العلامات والبراءات في الولايات المتحدة مركزَ الويبو على قائمة مقدمي خدمات السبل البديلة لتسوية المنازعات</w:t>
      </w:r>
      <w:r w:rsidRPr="008518E8">
        <w:rPr>
          <w:rFonts w:ascii="Arabic Typesetting" w:hAnsi="Arabic Typesetting" w:cs="Arabic Typesetting" w:hint="cs"/>
          <w:sz w:val="34"/>
          <w:szCs w:val="34"/>
          <w:rtl/>
          <w:lang w:val="fr-CH"/>
        </w:rPr>
        <w:t xml:space="preserve"> بغية إدارة هذا النوع من</w:t>
      </w:r>
      <w:r w:rsidRPr="008518E8">
        <w:rPr>
          <w:rFonts w:ascii="Arabic Typesetting" w:hAnsi="Arabic Typesetting" w:cs="Arabic Typesetting" w:hint="eastAsia"/>
          <w:sz w:val="34"/>
          <w:szCs w:val="34"/>
          <w:rtl/>
          <w:lang w:val="fr-CH"/>
        </w:rPr>
        <w:t> </w:t>
      </w:r>
      <w:r w:rsidRPr="008518E8">
        <w:rPr>
          <w:rFonts w:ascii="Arabic Typesetting" w:hAnsi="Arabic Typesetting" w:cs="Arabic Typesetting" w:hint="cs"/>
          <w:sz w:val="34"/>
          <w:szCs w:val="34"/>
          <w:rtl/>
          <w:lang w:val="fr-CH"/>
        </w:rPr>
        <w:t>المنازعات.</w:t>
      </w:r>
    </w:p>
    <w:p w:rsidR="008518E8" w:rsidRPr="008518E8" w:rsidRDefault="008518E8" w:rsidP="009A3712">
      <w:pPr>
        <w:numPr>
          <w:ilvl w:val="0"/>
          <w:numId w:val="10"/>
        </w:numPr>
        <w:bidi/>
        <w:spacing w:after="120" w:line="340" w:lineRule="exact"/>
        <w:ind w:left="0" w:firstLine="0"/>
        <w:rPr>
          <w:rFonts w:ascii="Arabic Typesetting" w:hAnsi="Arabic Typesetting" w:cs="Arabic Typesetting"/>
          <w:sz w:val="34"/>
          <w:szCs w:val="34"/>
          <w:rtl/>
          <w:lang w:val="fr-CH"/>
        </w:rPr>
      </w:pPr>
      <w:r w:rsidRPr="008518E8">
        <w:rPr>
          <w:rFonts w:ascii="Arabic Typesetting" w:hAnsi="Arabic Typesetting" w:cs="Arabic Typesetting" w:hint="cs"/>
          <w:sz w:val="34"/>
          <w:szCs w:val="34"/>
          <w:rtl/>
          <w:lang w:val="fr-CH"/>
        </w:rPr>
        <w:t>وأقام مركز الويبو علاقة تعاون مع الجمعية البرازيلية للامتياز (</w:t>
      </w:r>
      <w:r w:rsidRPr="008518E8">
        <w:rPr>
          <w:rFonts w:ascii="Arabic Typesetting" w:hAnsi="Arabic Typesetting" w:cs="Arabic Typesetting"/>
          <w:sz w:val="34"/>
          <w:szCs w:val="34"/>
        </w:rPr>
        <w:t>ABF</w:t>
      </w:r>
      <w:r w:rsidRPr="008518E8">
        <w:rPr>
          <w:rFonts w:ascii="Arabic Typesetting" w:hAnsi="Arabic Typesetting" w:cs="Arabic Typesetting" w:hint="cs"/>
          <w:sz w:val="34"/>
          <w:szCs w:val="34"/>
          <w:rtl/>
        </w:rPr>
        <w:t>) و</w:t>
      </w:r>
      <w:r w:rsidRPr="008518E8">
        <w:rPr>
          <w:rFonts w:ascii="Arabic Typesetting" w:hAnsi="Arabic Typesetting" w:cs="Arabic Typesetting"/>
          <w:sz w:val="34"/>
          <w:szCs w:val="34"/>
          <w:rtl/>
          <w:lang w:val="fr-CH"/>
        </w:rPr>
        <w:t xml:space="preserve">الجمعية الإسبانية </w:t>
      </w:r>
      <w:r w:rsidRPr="008518E8">
        <w:rPr>
          <w:rFonts w:ascii="Arabic Typesetting" w:hAnsi="Arabic Typesetting" w:cs="Arabic Typesetting" w:hint="cs"/>
          <w:sz w:val="34"/>
          <w:szCs w:val="34"/>
          <w:rtl/>
          <w:lang w:val="fr-CH"/>
        </w:rPr>
        <w:t>للامتياز</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sz w:val="34"/>
          <w:szCs w:val="34"/>
          <w:cs/>
          <w:lang w:val="fr-CH"/>
        </w:rPr>
        <w:t>‎</w:t>
      </w:r>
      <w:r w:rsidRPr="008518E8">
        <w:rPr>
          <w:rFonts w:ascii="Arabic Typesetting" w:hAnsi="Arabic Typesetting" w:cs="Arabic Typesetting"/>
          <w:sz w:val="34"/>
          <w:szCs w:val="34"/>
          <w:lang w:val="fr-CH"/>
        </w:rPr>
        <w:t>AEF</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hint="cs"/>
          <w:sz w:val="34"/>
          <w:szCs w:val="34"/>
          <w:rtl/>
          <w:lang w:val="fr-CH"/>
        </w:rPr>
        <w:t>و</w:t>
      </w:r>
      <w:r w:rsidRPr="008518E8">
        <w:rPr>
          <w:rFonts w:ascii="Arabic Typesetting" w:hAnsi="Arabic Typesetting" w:cs="Arabic Typesetting"/>
          <w:sz w:val="34"/>
          <w:szCs w:val="34"/>
          <w:rtl/>
          <w:lang w:val="fr-CH"/>
        </w:rPr>
        <w:t>الجمعية</w:t>
      </w:r>
      <w:r w:rsidRPr="008518E8">
        <w:rPr>
          <w:rFonts w:ascii="Arabic Typesetting" w:hAnsi="Arabic Typesetting" w:cs="Arabic Typesetting" w:hint="cs"/>
          <w:sz w:val="34"/>
          <w:szCs w:val="34"/>
          <w:rtl/>
          <w:lang w:val="fr-CH"/>
        </w:rPr>
        <w:t> </w:t>
      </w:r>
      <w:r w:rsidRPr="008518E8">
        <w:rPr>
          <w:rFonts w:ascii="Arabic Typesetting" w:hAnsi="Arabic Typesetting" w:cs="Arabic Typesetting"/>
          <w:sz w:val="34"/>
          <w:szCs w:val="34"/>
          <w:rtl/>
          <w:lang w:val="fr-CH"/>
        </w:rPr>
        <w:t>السويسرية للامتياز (</w:t>
      </w:r>
      <w:r w:rsidRPr="008518E8">
        <w:rPr>
          <w:rFonts w:ascii="Arabic Typesetting" w:hAnsi="Arabic Typesetting" w:cs="Arabic Typesetting"/>
          <w:sz w:val="34"/>
          <w:szCs w:val="34"/>
          <w:cs/>
          <w:lang w:val="fr-CH"/>
        </w:rPr>
        <w:t>‎</w:t>
      </w:r>
      <w:r w:rsidRPr="008518E8">
        <w:rPr>
          <w:rFonts w:ascii="Arabic Typesetting" w:hAnsi="Arabic Typesetting" w:cs="Arabic Typesetting"/>
          <w:sz w:val="34"/>
          <w:szCs w:val="34"/>
          <w:lang w:val="fr-CH"/>
        </w:rPr>
        <w:t>SFA</w:t>
      </w:r>
      <w:r w:rsidRPr="008518E8">
        <w:rPr>
          <w:rFonts w:ascii="Arabic Typesetting" w:hAnsi="Arabic Typesetting" w:cs="Arabic Typesetting"/>
          <w:sz w:val="34"/>
          <w:szCs w:val="34"/>
          <w:rtl/>
          <w:lang w:val="fr-CH"/>
        </w:rPr>
        <w:t>‏)</w:t>
      </w:r>
      <w:r w:rsidRPr="008518E8">
        <w:rPr>
          <w:rFonts w:ascii="Arabic Typesetting" w:hAnsi="Arabic Typesetting" w:cs="Arabic Typesetting" w:hint="cs"/>
          <w:sz w:val="34"/>
          <w:szCs w:val="34"/>
          <w:rtl/>
          <w:lang w:val="fr-CH"/>
        </w:rPr>
        <w:t>، وساعد الوزارة الألمانية للعلوم الاقتصادية والتكنولوجيا والمكتب الإسباني للبراءات والعلامات التجارية على وضع اتفاقات نموذجية للبحث والتطوير تشتمل على بنود بشأن السبل البديلة لتسوية المنازعات. ووضع</w:t>
      </w:r>
      <w:r w:rsidRPr="008518E8">
        <w:rPr>
          <w:rFonts w:ascii="Arabic Typesetting" w:hAnsi="Arabic Typesetting" w:cs="Arabic Typesetting" w:hint="eastAsia"/>
          <w:sz w:val="34"/>
          <w:szCs w:val="34"/>
          <w:rtl/>
          <w:lang w:val="fr-CH"/>
        </w:rPr>
        <w:t> </w:t>
      </w:r>
      <w:r w:rsidRPr="008518E8">
        <w:rPr>
          <w:rFonts w:ascii="Arabic Typesetting" w:hAnsi="Arabic Typesetting" w:cs="Arabic Typesetting" w:hint="cs"/>
          <w:sz w:val="34"/>
          <w:szCs w:val="34"/>
          <w:rtl/>
          <w:lang w:val="fr-CH"/>
        </w:rPr>
        <w:t>مركز الويبو إجراءً معجلاً لتسوية</w:t>
      </w:r>
      <w:r w:rsidRPr="008518E8">
        <w:rPr>
          <w:rFonts w:ascii="Arabic Typesetting" w:hAnsi="Arabic Typesetting" w:cs="Arabic Typesetting"/>
          <w:sz w:val="34"/>
          <w:szCs w:val="34"/>
          <w:rtl/>
          <w:lang w:val="fr-CH"/>
        </w:rPr>
        <w:t xml:space="preserve"> منازعات الملكية الفكرية التي تنشأ في المعارض التجارية</w:t>
      </w:r>
      <w:r w:rsidRPr="008518E8">
        <w:rPr>
          <w:rFonts w:ascii="Arabic Typesetting" w:hAnsi="Arabic Typesetting" w:cs="Arabic Typesetting" w:hint="cs"/>
          <w:sz w:val="34"/>
          <w:szCs w:val="34"/>
          <w:rtl/>
          <w:lang w:val="fr-CH"/>
        </w:rPr>
        <w:t xml:space="preserve"> واستُخدم هذا الإجراء لأول مرة في </w:t>
      </w:r>
      <w:r w:rsidRPr="008518E8">
        <w:rPr>
          <w:rFonts w:ascii="Arabic Typesetting" w:hAnsi="Arabic Typesetting" w:cs="Arabic Typesetting"/>
          <w:sz w:val="34"/>
          <w:szCs w:val="34"/>
          <w:rtl/>
          <w:lang w:val="fr-CH"/>
        </w:rPr>
        <w:t xml:space="preserve">معرض جنيف </w:t>
      </w:r>
      <w:r w:rsidRPr="008518E8">
        <w:rPr>
          <w:rFonts w:ascii="Arabic Typesetting" w:hAnsi="Arabic Typesetting" w:cs="Arabic Typesetting" w:hint="cs"/>
          <w:sz w:val="34"/>
          <w:szCs w:val="34"/>
          <w:rtl/>
          <w:lang w:val="fr-CH"/>
        </w:rPr>
        <w:t>الدولي</w:t>
      </w:r>
      <w:r w:rsidRPr="008518E8">
        <w:rPr>
          <w:rFonts w:ascii="Arabic Typesetting" w:hAnsi="Arabic Typesetting" w:cs="Arabic Typesetting"/>
          <w:sz w:val="34"/>
          <w:szCs w:val="34"/>
          <w:rtl/>
          <w:lang w:val="fr-CH"/>
        </w:rPr>
        <w:t xml:space="preserve"> للسيارات</w:t>
      </w:r>
      <w:r w:rsidRPr="008518E8">
        <w:rPr>
          <w:rFonts w:ascii="Arabic Typesetting" w:hAnsi="Arabic Typesetting" w:cs="Arabic Typesetting" w:hint="cs"/>
          <w:sz w:val="34"/>
          <w:szCs w:val="34"/>
          <w:rtl/>
          <w:lang w:val="fr-CH"/>
        </w:rPr>
        <w:t xml:space="preserve"> في عام 2015.</w:t>
      </w:r>
    </w:p>
    <w:p w:rsidR="008518E8" w:rsidRPr="008518E8" w:rsidRDefault="008518E8" w:rsidP="009A3712">
      <w:pPr>
        <w:numPr>
          <w:ilvl w:val="0"/>
          <w:numId w:val="10"/>
        </w:numPr>
        <w:bidi/>
        <w:spacing w:after="120" w:line="340" w:lineRule="exact"/>
        <w:ind w:left="0" w:firstLine="0"/>
        <w:rPr>
          <w:rFonts w:ascii="Arabic Typesetting" w:hAnsi="Arabic Typesetting" w:cs="Arabic Typesetting"/>
          <w:sz w:val="34"/>
          <w:szCs w:val="34"/>
          <w:rtl/>
          <w:lang w:val="fr-CH"/>
        </w:rPr>
      </w:pPr>
      <w:r w:rsidRPr="008518E8">
        <w:rPr>
          <w:rFonts w:ascii="Arabic Typesetting" w:hAnsi="Arabic Typesetting" w:cs="Arabic Typesetting" w:hint="cs"/>
          <w:sz w:val="34"/>
          <w:szCs w:val="34"/>
          <w:rtl/>
          <w:lang w:val="fr-CH"/>
        </w:rPr>
        <w:t>و</w:t>
      </w:r>
      <w:r w:rsidRPr="008518E8">
        <w:rPr>
          <w:rFonts w:ascii="Arabic Typesetting" w:hAnsi="Arabic Typesetting" w:cs="Arabic Typesetting"/>
          <w:sz w:val="34"/>
          <w:szCs w:val="34"/>
          <w:rtl/>
          <w:lang w:val="fr-CH"/>
        </w:rPr>
        <w:t>واصل مركز الويبو</w:t>
      </w:r>
      <w:r w:rsidRPr="008518E8">
        <w:rPr>
          <w:rFonts w:ascii="Arabic Typesetting" w:hAnsi="Arabic Typesetting" w:cs="Arabic Typesetting" w:hint="cs"/>
          <w:sz w:val="34"/>
          <w:szCs w:val="34"/>
          <w:rtl/>
          <w:lang w:val="fr-CH"/>
        </w:rPr>
        <w:t xml:space="preserve"> سعيه</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hint="cs"/>
          <w:sz w:val="34"/>
          <w:szCs w:val="34"/>
          <w:rtl/>
          <w:lang w:val="fr-CH"/>
        </w:rPr>
        <w:t>لتولي</w:t>
      </w:r>
      <w:r w:rsidRPr="008518E8">
        <w:rPr>
          <w:rFonts w:ascii="Arabic Typesetting" w:hAnsi="Arabic Typesetting" w:cs="Arabic Typesetting"/>
          <w:sz w:val="34"/>
          <w:szCs w:val="34"/>
          <w:rtl/>
          <w:lang w:val="fr-CH"/>
        </w:rPr>
        <w:t xml:space="preserve"> </w:t>
      </w:r>
      <w:r w:rsidRPr="008518E8">
        <w:rPr>
          <w:rFonts w:ascii="Arabic Typesetting" w:hAnsi="Arabic Typesetting" w:cs="Arabic Typesetting" w:hint="cs"/>
          <w:sz w:val="34"/>
          <w:szCs w:val="34"/>
          <w:rtl/>
          <w:lang w:val="fr-CH"/>
        </w:rPr>
        <w:t xml:space="preserve">الريادة </w:t>
      </w:r>
      <w:r w:rsidRPr="008518E8">
        <w:rPr>
          <w:rFonts w:ascii="Arabic Typesetting" w:hAnsi="Arabic Typesetting" w:cs="Arabic Typesetting"/>
          <w:sz w:val="34"/>
          <w:szCs w:val="34"/>
          <w:rtl/>
          <w:lang w:val="fr-CH"/>
        </w:rPr>
        <w:t xml:space="preserve">في </w:t>
      </w:r>
      <w:r w:rsidRPr="008518E8">
        <w:rPr>
          <w:rFonts w:ascii="Arabic Typesetting" w:hAnsi="Arabic Typesetting" w:cs="Arabic Typesetting" w:hint="cs"/>
          <w:sz w:val="34"/>
          <w:szCs w:val="34"/>
          <w:rtl/>
          <w:lang w:val="fr-CH"/>
        </w:rPr>
        <w:t>استحداث</w:t>
      </w:r>
      <w:r w:rsidRPr="008518E8">
        <w:rPr>
          <w:rFonts w:ascii="Arabic Typesetting" w:hAnsi="Arabic Typesetting" w:cs="Arabic Typesetting"/>
          <w:sz w:val="34"/>
          <w:szCs w:val="34"/>
          <w:rtl/>
          <w:lang w:val="fr-CH"/>
        </w:rPr>
        <w:t xml:space="preserve"> حلول</w:t>
      </w:r>
      <w:r w:rsidRPr="008518E8">
        <w:rPr>
          <w:rFonts w:ascii="Arabic Typesetting" w:hAnsi="Arabic Typesetting" w:cs="Arabic Typesetting"/>
          <w:sz w:val="34"/>
          <w:szCs w:val="34"/>
          <w:lang w:val="fr-CH"/>
        </w:rPr>
        <w:t xml:space="preserve"> </w:t>
      </w:r>
      <w:r w:rsidRPr="008518E8">
        <w:rPr>
          <w:rFonts w:ascii="Arabic Typesetting" w:hAnsi="Arabic Typesetting" w:cs="Arabic Typesetting" w:hint="cs"/>
          <w:sz w:val="34"/>
          <w:szCs w:val="34"/>
          <w:rtl/>
          <w:lang w:val="fr-CH"/>
        </w:rPr>
        <w:t>بديلة لتسوية المنازعات</w:t>
      </w:r>
      <w:r w:rsidRPr="008518E8">
        <w:rPr>
          <w:rFonts w:ascii="Arabic Typesetting" w:hAnsi="Arabic Typesetting" w:cs="Arabic Typesetting"/>
          <w:sz w:val="34"/>
          <w:szCs w:val="34"/>
          <w:lang w:val="fr-CH"/>
        </w:rPr>
        <w:t xml:space="preserve"> </w:t>
      </w:r>
      <w:r w:rsidRPr="008518E8">
        <w:rPr>
          <w:rFonts w:ascii="Arabic Typesetting" w:hAnsi="Arabic Typesetting" w:cs="Arabic Typesetting"/>
          <w:sz w:val="34"/>
          <w:szCs w:val="34"/>
          <w:rtl/>
          <w:lang w:val="fr-CH"/>
        </w:rPr>
        <w:t xml:space="preserve">فيما يتعلق </w:t>
      </w:r>
      <w:r w:rsidRPr="008518E8">
        <w:rPr>
          <w:rFonts w:ascii="Arabic Typesetting" w:hAnsi="Arabic Typesetting" w:cs="Arabic Typesetting" w:hint="cs"/>
          <w:sz w:val="34"/>
          <w:szCs w:val="34"/>
          <w:rtl/>
          <w:lang w:val="fr-CH"/>
        </w:rPr>
        <w:t>ب</w:t>
      </w:r>
      <w:r w:rsidRPr="008518E8">
        <w:rPr>
          <w:rFonts w:ascii="Arabic Typesetting" w:hAnsi="Arabic Typesetting" w:cs="Arabic Typesetting"/>
          <w:sz w:val="34"/>
          <w:szCs w:val="34"/>
          <w:rtl/>
          <w:lang w:val="fr-CH"/>
        </w:rPr>
        <w:t xml:space="preserve">الاستخدام غير </w:t>
      </w:r>
      <w:r w:rsidRPr="008518E8">
        <w:rPr>
          <w:rFonts w:ascii="Arabic Typesetting" w:hAnsi="Arabic Typesetting" w:cs="Arabic Typesetting" w:hint="cs"/>
          <w:sz w:val="34"/>
          <w:szCs w:val="34"/>
          <w:rtl/>
          <w:lang w:val="fr-CH"/>
        </w:rPr>
        <w:t>المرخص</w:t>
      </w:r>
      <w:r w:rsidRPr="008518E8">
        <w:rPr>
          <w:rFonts w:ascii="Arabic Typesetting" w:hAnsi="Arabic Typesetting" w:cs="Arabic Typesetting"/>
          <w:sz w:val="34"/>
          <w:szCs w:val="34"/>
          <w:rtl/>
          <w:lang w:val="fr-CH"/>
        </w:rPr>
        <w:t xml:space="preserve"> به للملكية الفكرية على شبكة الإنترنت. </w:t>
      </w:r>
      <w:r w:rsidRPr="008518E8">
        <w:rPr>
          <w:rFonts w:ascii="Arabic Typesetting" w:hAnsi="Arabic Typesetting" w:cs="Arabic Typesetting" w:hint="cs"/>
          <w:sz w:val="34"/>
          <w:szCs w:val="34"/>
          <w:rtl/>
          <w:lang w:val="fr-CH"/>
        </w:rPr>
        <w:t>واستجاب ذلك بخاصة للإطلاق الجاري ل</w:t>
      </w:r>
      <w:r w:rsidRPr="008518E8">
        <w:rPr>
          <w:rFonts w:ascii="Arabic Typesetting" w:hAnsi="Arabic Typesetting" w:cs="Arabic Typesetting"/>
          <w:sz w:val="34"/>
          <w:szCs w:val="34"/>
          <w:rtl/>
        </w:rPr>
        <w:t>هيئة الإنترنت للأسماء والأرقام المخصصة (</w:t>
      </w:r>
      <w:proofErr w:type="spellStart"/>
      <w:r w:rsidRPr="008518E8">
        <w:rPr>
          <w:rFonts w:ascii="Arabic Typesetting" w:hAnsi="Arabic Typesetting" w:cs="Arabic Typesetting"/>
          <w:sz w:val="34"/>
          <w:szCs w:val="34"/>
          <w:rtl/>
          <w:lang w:val="fr-CH"/>
        </w:rPr>
        <w:t>الآيكان</w:t>
      </w:r>
      <w:proofErr w:type="spellEnd"/>
      <w:r w:rsidRPr="008518E8">
        <w:rPr>
          <w:rFonts w:ascii="Arabic Typesetting" w:hAnsi="Arabic Typesetting" w:cs="Arabic Typesetting"/>
          <w:sz w:val="34"/>
          <w:szCs w:val="34"/>
          <w:rtl/>
          <w:lang w:val="fr-CH"/>
        </w:rPr>
        <w:t>)</w:t>
      </w:r>
      <w:r w:rsidRPr="008518E8">
        <w:rPr>
          <w:rFonts w:ascii="Arabic Typesetting" w:hAnsi="Arabic Typesetting" w:cs="Arabic Typesetting" w:hint="cs"/>
          <w:sz w:val="34"/>
          <w:szCs w:val="34"/>
          <w:rtl/>
          <w:lang w:val="fr-CH"/>
        </w:rPr>
        <w:t xml:space="preserve"> لما عدده </w:t>
      </w:r>
      <w:r w:rsidRPr="008518E8">
        <w:rPr>
          <w:rFonts w:ascii="Arabic Typesetting" w:hAnsi="Arabic Typesetting" w:cs="Arabic Typesetting" w:hint="cs"/>
          <w:sz w:val="34"/>
          <w:szCs w:val="34"/>
          <w:rtl/>
        </w:rPr>
        <w:t>1400 حقل من الحقول العليا المكونة من أسماء عامة. و</w:t>
      </w:r>
      <w:r w:rsidRPr="008518E8">
        <w:rPr>
          <w:rFonts w:ascii="Arabic Typesetting" w:hAnsi="Arabic Typesetting" w:cs="Arabic Typesetting"/>
          <w:sz w:val="34"/>
          <w:szCs w:val="34"/>
          <w:rtl/>
          <w:lang w:val="fr-CH"/>
        </w:rPr>
        <w:t>نف</w:t>
      </w:r>
      <w:r w:rsidRPr="008518E8">
        <w:rPr>
          <w:rFonts w:ascii="Arabic Typesetting" w:hAnsi="Arabic Typesetting" w:cs="Arabic Typesetting" w:hint="cs"/>
          <w:sz w:val="34"/>
          <w:szCs w:val="34"/>
          <w:rtl/>
          <w:lang w:val="fr-CH"/>
        </w:rPr>
        <w:t>ّ</w:t>
      </w:r>
      <w:r w:rsidRPr="008518E8">
        <w:rPr>
          <w:rFonts w:ascii="Arabic Typesetting" w:hAnsi="Arabic Typesetting" w:cs="Arabic Typesetting"/>
          <w:sz w:val="34"/>
          <w:szCs w:val="34"/>
          <w:rtl/>
          <w:lang w:val="fr-CH"/>
        </w:rPr>
        <w:t>ذ</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rtl/>
          <w:lang w:val="fr-CH"/>
        </w:rPr>
        <w:t>مركز الويبو</w:t>
      </w:r>
      <w:r w:rsidRPr="008518E8">
        <w:rPr>
          <w:rFonts w:ascii="Arabic Typesetting" w:hAnsi="Arabic Typesetting" w:cs="Arabic Typesetting" w:hint="cs"/>
          <w:sz w:val="34"/>
          <w:szCs w:val="34"/>
          <w:rtl/>
          <w:lang w:val="fr-CH"/>
        </w:rPr>
        <w:t xml:space="preserve"> في عام 2014</w:t>
      </w:r>
      <w:r w:rsidRPr="008518E8">
        <w:rPr>
          <w:rFonts w:ascii="Arabic Typesetting" w:hAnsi="Arabic Typesetting" w:cs="Arabic Typesetting"/>
          <w:sz w:val="34"/>
          <w:szCs w:val="34"/>
          <w:rtl/>
          <w:lang w:val="fr-CH"/>
        </w:rPr>
        <w:t xml:space="preserve"> إجراء </w:t>
      </w:r>
      <w:proofErr w:type="spellStart"/>
      <w:r w:rsidRPr="008518E8">
        <w:rPr>
          <w:rFonts w:ascii="Arabic Typesetting" w:hAnsi="Arabic Typesetting" w:cs="Arabic Typesetting"/>
          <w:sz w:val="34"/>
          <w:szCs w:val="34"/>
          <w:rtl/>
          <w:lang w:val="fr-CH"/>
        </w:rPr>
        <w:t>ال</w:t>
      </w:r>
      <w:r w:rsidRPr="008518E8">
        <w:rPr>
          <w:rFonts w:ascii="Arabic Typesetting" w:hAnsi="Arabic Typesetting" w:cs="Arabic Typesetting" w:hint="cs"/>
          <w:sz w:val="34"/>
          <w:szCs w:val="34"/>
          <w:rtl/>
          <w:lang w:val="fr-CH"/>
        </w:rPr>
        <w:t>آ</w:t>
      </w:r>
      <w:r w:rsidRPr="008518E8">
        <w:rPr>
          <w:rFonts w:ascii="Arabic Typesetting" w:hAnsi="Arabic Typesetting" w:cs="Arabic Typesetting"/>
          <w:sz w:val="34"/>
          <w:szCs w:val="34"/>
          <w:rtl/>
          <w:lang w:val="fr-CH"/>
        </w:rPr>
        <w:t>يكان</w:t>
      </w:r>
      <w:proofErr w:type="spellEnd"/>
      <w:r w:rsidRPr="008518E8">
        <w:rPr>
          <w:rFonts w:ascii="Arabic Typesetting" w:hAnsi="Arabic Typesetting" w:cs="Arabic Typesetting"/>
          <w:sz w:val="34"/>
          <w:szCs w:val="34"/>
          <w:rtl/>
          <w:lang w:val="fr-CH"/>
        </w:rPr>
        <w:t xml:space="preserve"> لتسوية المنازعات بعد المنح، </w:t>
      </w:r>
      <w:r w:rsidRPr="008518E8">
        <w:rPr>
          <w:rFonts w:ascii="Arabic Typesetting" w:hAnsi="Arabic Typesetting" w:cs="Arabic Typesetting" w:hint="cs"/>
          <w:sz w:val="34"/>
          <w:szCs w:val="34"/>
          <w:rtl/>
          <w:lang w:val="fr-CH"/>
        </w:rPr>
        <w:t xml:space="preserve">وهي </w:t>
      </w:r>
      <w:r w:rsidRPr="008518E8">
        <w:rPr>
          <w:rFonts w:ascii="Arabic Typesetting" w:hAnsi="Arabic Typesetting" w:cs="Arabic Typesetting"/>
          <w:sz w:val="34"/>
          <w:szCs w:val="34"/>
          <w:rtl/>
          <w:lang w:val="fr-CH"/>
        </w:rPr>
        <w:t>آلية قائم</w:t>
      </w:r>
      <w:r w:rsidRPr="008518E8">
        <w:rPr>
          <w:rFonts w:ascii="Arabic Typesetting" w:hAnsi="Arabic Typesetting" w:cs="Arabic Typesetting" w:hint="cs"/>
          <w:sz w:val="34"/>
          <w:szCs w:val="34"/>
          <w:rtl/>
          <w:lang w:val="fr-CH"/>
        </w:rPr>
        <w:t>ة</w:t>
      </w:r>
      <w:r w:rsidRPr="008518E8">
        <w:rPr>
          <w:rFonts w:ascii="Arabic Typesetting" w:hAnsi="Arabic Typesetting" w:cs="Arabic Typesetting"/>
          <w:sz w:val="34"/>
          <w:szCs w:val="34"/>
          <w:rtl/>
          <w:lang w:val="fr-CH"/>
        </w:rPr>
        <w:t xml:space="preserve"> على العلامات التجارية</w:t>
      </w:r>
      <w:r w:rsidRPr="008518E8">
        <w:rPr>
          <w:rFonts w:ascii="Arabic Typesetting" w:hAnsi="Arabic Typesetting" w:cs="Arabic Typesetting" w:hint="cs"/>
          <w:sz w:val="34"/>
          <w:szCs w:val="34"/>
          <w:rtl/>
          <w:lang w:val="fr-CH"/>
        </w:rPr>
        <w:t xml:space="preserve"> اعتمدت في عام 2013 و</w:t>
      </w:r>
      <w:r w:rsidRPr="008518E8">
        <w:rPr>
          <w:rFonts w:ascii="Arabic Typesetting" w:hAnsi="Arabic Typesetting" w:cs="Arabic Typesetting"/>
          <w:sz w:val="34"/>
          <w:szCs w:val="34"/>
          <w:rtl/>
          <w:lang w:val="fr-CH"/>
        </w:rPr>
        <w:t>تهدف إلى تشجيع هيئات التسجيل على التحلي بروح المسؤولية بعد تشغيل الحقل</w:t>
      </w:r>
      <w:r w:rsidRPr="008518E8">
        <w:rPr>
          <w:rFonts w:ascii="Arabic Typesetting" w:hAnsi="Arabic Typesetting" w:cs="Arabic Typesetting"/>
          <w:sz w:val="34"/>
          <w:szCs w:val="34"/>
          <w:lang w:val="fr-CH"/>
        </w:rPr>
        <w:t>.</w:t>
      </w:r>
      <w:r w:rsidRPr="008518E8">
        <w:rPr>
          <w:rFonts w:ascii="Arabic Typesetting" w:hAnsi="Arabic Typesetting" w:cs="Arabic Typesetting" w:hint="cs"/>
          <w:sz w:val="34"/>
          <w:szCs w:val="34"/>
          <w:rtl/>
          <w:lang w:val="fr-CH"/>
        </w:rPr>
        <w:t xml:space="preserve"> وأسهم مركز الويبو أيضاً في إدراج أحكام "إغلاق المسجل" الجديدة في السياسة الموحدة الجديدة لتسوية المنازعات المتعلقة بأسماء الحقول.</w:t>
      </w:r>
    </w:p>
    <w:p w:rsidR="008518E8" w:rsidRPr="008518E8" w:rsidRDefault="008A6D4E" w:rsidP="009A3712">
      <w:pPr>
        <w:keepLines/>
        <w:numPr>
          <w:ilvl w:val="0"/>
          <w:numId w:val="10"/>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lastRenderedPageBreak/>
        <w:t>وكان</w:t>
      </w:r>
      <w:r w:rsidR="008518E8" w:rsidRPr="008518E8">
        <w:rPr>
          <w:rFonts w:ascii="Arabic Typesetting" w:hAnsi="Arabic Typesetting" w:cs="Arabic Typesetting" w:hint="cs"/>
          <w:sz w:val="34"/>
          <w:szCs w:val="34"/>
          <w:rtl/>
          <w:lang w:val="fr-CH"/>
        </w:rPr>
        <w:t xml:space="preserve"> </w:t>
      </w:r>
      <w:r>
        <w:rPr>
          <w:rFonts w:ascii="Arabic Typesetting" w:hAnsi="Arabic Typesetting" w:cs="Arabic Typesetting" w:hint="cs"/>
          <w:sz w:val="34"/>
          <w:szCs w:val="34"/>
          <w:rtl/>
          <w:lang w:val="fr-CH"/>
        </w:rPr>
        <w:t>عام</w:t>
      </w:r>
      <w:r w:rsidR="008518E8" w:rsidRPr="008518E8">
        <w:rPr>
          <w:rFonts w:ascii="Arabic Typesetting" w:hAnsi="Arabic Typesetting" w:cs="Arabic Typesetting"/>
          <w:sz w:val="34"/>
          <w:szCs w:val="34"/>
          <w:rtl/>
          <w:lang w:val="fr-CH"/>
        </w:rPr>
        <w:t xml:space="preserve"> 2014 الذكرى السنوية </w:t>
      </w:r>
      <w:r w:rsidR="008518E8" w:rsidRPr="008518E8">
        <w:rPr>
          <w:rFonts w:ascii="Arabic Typesetting" w:hAnsi="Arabic Typesetting" w:cs="Arabic Typesetting" w:hint="cs"/>
          <w:sz w:val="34"/>
          <w:szCs w:val="34"/>
          <w:rtl/>
          <w:lang w:val="fr-CH"/>
        </w:rPr>
        <w:t>الخامسة عشرة</w:t>
      </w:r>
      <w:r w:rsidR="008518E8" w:rsidRPr="008518E8">
        <w:rPr>
          <w:rFonts w:ascii="Arabic Typesetting" w:hAnsi="Arabic Typesetting" w:cs="Arabic Typesetting"/>
          <w:sz w:val="34"/>
          <w:szCs w:val="34"/>
          <w:rtl/>
          <w:lang w:val="fr-CH"/>
        </w:rPr>
        <w:t xml:space="preserve"> لسياسة</w:t>
      </w:r>
      <w:r w:rsidR="008518E8" w:rsidRPr="008518E8">
        <w:rPr>
          <w:rFonts w:ascii="Arabic Typesetting" w:hAnsi="Arabic Typesetting" w:cs="Arabic Typesetting" w:hint="cs"/>
          <w:sz w:val="34"/>
          <w:szCs w:val="34"/>
          <w:rtl/>
          <w:lang w:val="fr-CH"/>
        </w:rPr>
        <w:t xml:space="preserve"> الويبو </w:t>
      </w:r>
      <w:r w:rsidR="008518E8" w:rsidRPr="008518E8">
        <w:rPr>
          <w:rFonts w:ascii="Arabic Typesetting" w:hAnsi="Arabic Typesetting" w:cs="Arabic Typesetting"/>
          <w:sz w:val="34"/>
          <w:szCs w:val="34"/>
          <w:rtl/>
          <w:lang w:val="fr-CH"/>
        </w:rPr>
        <w:t>الموحدة لتسوية المنازعات المتعلقة بأسماء الحقول</w:t>
      </w:r>
      <w:r w:rsidR="008518E8" w:rsidRPr="008518E8">
        <w:rPr>
          <w:rFonts w:ascii="Arabic Typesetting" w:hAnsi="Arabic Typesetting" w:cs="Arabic Typesetting" w:hint="cs"/>
          <w:sz w:val="34"/>
          <w:szCs w:val="34"/>
          <w:rtl/>
          <w:lang w:val="fr-CH"/>
        </w:rPr>
        <w:t xml:space="preserve"> (السياسة الموحدة)</w:t>
      </w:r>
      <w:r w:rsidR="008518E8" w:rsidRPr="008518E8">
        <w:rPr>
          <w:rFonts w:ascii="Arabic Typesetting" w:hAnsi="Arabic Typesetting" w:cs="Arabic Typesetting"/>
          <w:sz w:val="34"/>
          <w:szCs w:val="34"/>
          <w:rtl/>
          <w:lang w:val="fr-CH"/>
        </w:rPr>
        <w:t xml:space="preserve">. </w:t>
      </w:r>
      <w:r w:rsidR="008518E8" w:rsidRPr="008518E8">
        <w:rPr>
          <w:rFonts w:ascii="Arabic Typesetting" w:hAnsi="Arabic Typesetting" w:cs="Arabic Typesetting" w:hint="cs"/>
          <w:sz w:val="34"/>
          <w:szCs w:val="34"/>
          <w:rtl/>
          <w:lang w:val="fr-CH"/>
        </w:rPr>
        <w:t>ومنذ أن أدار</w:t>
      </w:r>
      <w:r w:rsidR="008518E8" w:rsidRPr="008518E8">
        <w:rPr>
          <w:rFonts w:ascii="Arabic Typesetting" w:hAnsi="Arabic Typesetting" w:cs="Arabic Typesetting"/>
          <w:sz w:val="34"/>
          <w:szCs w:val="34"/>
          <w:rtl/>
          <w:lang w:val="fr-CH"/>
        </w:rPr>
        <w:t xml:space="preserve"> مركز</w:t>
      </w:r>
      <w:r w:rsidR="008518E8" w:rsidRPr="008518E8">
        <w:rPr>
          <w:rFonts w:ascii="Arabic Typesetting" w:hAnsi="Arabic Typesetting" w:cs="Arabic Typesetting" w:hint="cs"/>
          <w:sz w:val="34"/>
          <w:szCs w:val="34"/>
          <w:rtl/>
          <w:lang w:val="fr-CH"/>
        </w:rPr>
        <w:t xml:space="preserve"> الويبو</w:t>
      </w:r>
      <w:r w:rsidR="008518E8" w:rsidRPr="008518E8">
        <w:rPr>
          <w:rFonts w:ascii="Arabic Typesetting" w:hAnsi="Arabic Typesetting" w:cs="Arabic Typesetting"/>
          <w:sz w:val="34"/>
          <w:szCs w:val="34"/>
          <w:rtl/>
          <w:lang w:val="fr-CH"/>
        </w:rPr>
        <w:t xml:space="preserve"> أول </w:t>
      </w:r>
      <w:r w:rsidR="008518E8" w:rsidRPr="008518E8">
        <w:rPr>
          <w:rFonts w:ascii="Arabic Typesetting" w:hAnsi="Arabic Typesetting" w:cs="Arabic Typesetting" w:hint="cs"/>
          <w:sz w:val="34"/>
          <w:szCs w:val="34"/>
          <w:rtl/>
          <w:lang w:val="fr-CH"/>
        </w:rPr>
        <w:t>قضية في إطار</w:t>
      </w:r>
      <w:r w:rsidR="008518E8" w:rsidRPr="008518E8">
        <w:rPr>
          <w:rFonts w:ascii="Arabic Typesetting" w:hAnsi="Arabic Typesetting" w:cs="Arabic Typesetting"/>
          <w:sz w:val="34"/>
          <w:szCs w:val="34"/>
          <w:rtl/>
          <w:lang w:val="fr-CH"/>
        </w:rPr>
        <w:t xml:space="preserve"> السياسة الموحدة في</w:t>
      </w:r>
      <w:r w:rsidR="008518E8" w:rsidRPr="008518E8">
        <w:rPr>
          <w:rFonts w:ascii="Arabic Typesetting" w:hAnsi="Arabic Typesetting" w:cs="Arabic Typesetting" w:hint="cs"/>
          <w:sz w:val="34"/>
          <w:szCs w:val="34"/>
          <w:rtl/>
          <w:lang w:val="fr-CH"/>
        </w:rPr>
        <w:t xml:space="preserve"> عام</w:t>
      </w:r>
      <w:r w:rsidR="008518E8" w:rsidRPr="008518E8">
        <w:rPr>
          <w:rFonts w:ascii="Arabic Typesetting" w:hAnsi="Arabic Typesetting" w:cs="Arabic Typesetting"/>
          <w:sz w:val="34"/>
          <w:szCs w:val="34"/>
          <w:rtl/>
          <w:lang w:val="fr-CH"/>
        </w:rPr>
        <w:t xml:space="preserve"> 1999، </w:t>
      </w:r>
      <w:r w:rsidR="008518E8" w:rsidRPr="008518E8">
        <w:rPr>
          <w:rFonts w:ascii="Arabic Typesetting" w:hAnsi="Arabic Typesetting" w:cs="Arabic Typesetting" w:hint="cs"/>
          <w:sz w:val="34"/>
          <w:szCs w:val="34"/>
          <w:rtl/>
          <w:lang w:val="fr-CH"/>
        </w:rPr>
        <w:t xml:space="preserve">تجاوز </w:t>
      </w:r>
      <w:r w:rsidR="008518E8" w:rsidRPr="008518E8">
        <w:rPr>
          <w:rFonts w:ascii="Arabic Typesetting" w:hAnsi="Arabic Typesetting" w:cs="Arabic Typesetting"/>
          <w:sz w:val="34"/>
          <w:szCs w:val="34"/>
          <w:rtl/>
          <w:lang w:val="fr-CH"/>
        </w:rPr>
        <w:t xml:space="preserve">مجموع </w:t>
      </w:r>
      <w:r w:rsidR="008518E8" w:rsidRPr="008518E8">
        <w:rPr>
          <w:rFonts w:ascii="Arabic Typesetting" w:hAnsi="Arabic Typesetting" w:cs="Arabic Typesetting" w:hint="cs"/>
          <w:sz w:val="34"/>
          <w:szCs w:val="34"/>
          <w:rtl/>
          <w:lang w:val="fr-CH"/>
        </w:rPr>
        <w:t xml:space="preserve">القضايا المعروضة على </w:t>
      </w:r>
      <w:r w:rsidR="008518E8" w:rsidRPr="008518E8">
        <w:rPr>
          <w:rFonts w:ascii="Arabic Typesetting" w:hAnsi="Arabic Typesetting" w:cs="Arabic Typesetting"/>
          <w:sz w:val="34"/>
          <w:szCs w:val="34"/>
          <w:rtl/>
          <w:lang w:val="fr-CH"/>
        </w:rPr>
        <w:t>الويبو في</w:t>
      </w:r>
      <w:r w:rsidR="008518E8" w:rsidRPr="008518E8">
        <w:rPr>
          <w:rFonts w:ascii="Arabic Typesetting" w:hAnsi="Arabic Typesetting" w:cs="Arabic Typesetting" w:hint="cs"/>
          <w:sz w:val="34"/>
          <w:szCs w:val="34"/>
          <w:rtl/>
          <w:lang w:val="fr-CH"/>
        </w:rPr>
        <w:t xml:space="preserve"> عام</w:t>
      </w:r>
      <w:r w:rsidR="008518E8" w:rsidRPr="008518E8">
        <w:rPr>
          <w:rFonts w:ascii="Arabic Typesetting" w:hAnsi="Arabic Typesetting" w:cs="Arabic Typesetting"/>
          <w:sz w:val="34"/>
          <w:szCs w:val="34"/>
          <w:rtl/>
          <w:lang w:val="fr-CH"/>
        </w:rPr>
        <w:t xml:space="preserve"> 2014 </w:t>
      </w:r>
      <w:r w:rsidR="008518E8" w:rsidRPr="008518E8">
        <w:rPr>
          <w:rFonts w:ascii="Arabic Typesetting" w:hAnsi="Arabic Typesetting" w:cs="Arabic Typesetting" w:hint="cs"/>
          <w:sz w:val="34"/>
          <w:szCs w:val="34"/>
          <w:rtl/>
          <w:lang w:val="fr-CH"/>
        </w:rPr>
        <w:t>ما عدده 000 30 علامة</w:t>
      </w:r>
      <w:r w:rsidR="008518E8" w:rsidRPr="00F96634">
        <w:rPr>
          <w:rFonts w:ascii="Arabic Typesetting" w:hAnsi="Arabic Typesetting" w:cs="Arabic Typesetting"/>
          <w:sz w:val="28"/>
          <w:szCs w:val="28"/>
          <w:vertAlign w:val="superscript"/>
          <w:rtl/>
          <w:lang w:val="fr-CH"/>
        </w:rPr>
        <w:footnoteReference w:id="48"/>
      </w:r>
      <w:r w:rsidR="008518E8" w:rsidRPr="008518E8">
        <w:rPr>
          <w:rFonts w:ascii="Arabic Typesetting" w:hAnsi="Arabic Typesetting" w:cs="Arabic Typesetting"/>
          <w:sz w:val="34"/>
          <w:szCs w:val="34"/>
          <w:rtl/>
          <w:lang w:val="fr-CH"/>
        </w:rPr>
        <w:t xml:space="preserve"> </w:t>
      </w:r>
      <w:r w:rsidR="008518E8" w:rsidRPr="008518E8">
        <w:rPr>
          <w:rFonts w:ascii="Arabic Typesetting" w:hAnsi="Arabic Typesetting" w:cs="Arabic Typesetting" w:hint="cs"/>
          <w:sz w:val="34"/>
          <w:szCs w:val="34"/>
          <w:rtl/>
          <w:lang w:val="fr-CH"/>
        </w:rPr>
        <w:t xml:space="preserve">بما </w:t>
      </w:r>
      <w:r w:rsidR="008518E8" w:rsidRPr="008518E8">
        <w:rPr>
          <w:rFonts w:ascii="Arabic Typesetting" w:hAnsi="Arabic Typesetting" w:cs="Arabic Typesetting"/>
          <w:sz w:val="34"/>
          <w:szCs w:val="34"/>
          <w:rtl/>
          <w:lang w:val="fr-CH"/>
        </w:rPr>
        <w:t>يشمل</w:t>
      </w:r>
      <w:r w:rsidR="008518E8" w:rsidRPr="008518E8">
        <w:rPr>
          <w:rFonts w:ascii="Arabic Typesetting" w:hAnsi="Arabic Typesetting" w:cs="Arabic Typesetting" w:hint="cs"/>
          <w:sz w:val="34"/>
          <w:szCs w:val="34"/>
          <w:rtl/>
          <w:lang w:val="fr-CH"/>
        </w:rPr>
        <w:t xml:space="preserve"> أكثر من 000 61 حقل</w:t>
      </w:r>
      <w:r w:rsidR="008518E8" w:rsidRPr="008518E8">
        <w:rPr>
          <w:rFonts w:ascii="Arabic Typesetting" w:hAnsi="Arabic Typesetting" w:cs="Arabic Typesetting"/>
          <w:sz w:val="34"/>
          <w:szCs w:val="34"/>
          <w:rtl/>
          <w:lang w:val="fr-CH"/>
        </w:rPr>
        <w:t xml:space="preserve">. </w:t>
      </w:r>
      <w:r w:rsidR="008518E8" w:rsidRPr="008518E8">
        <w:rPr>
          <w:rFonts w:ascii="Arabic Typesetting" w:hAnsi="Arabic Typesetting" w:cs="Arabic Typesetting" w:hint="cs"/>
          <w:sz w:val="34"/>
          <w:szCs w:val="34"/>
          <w:rtl/>
          <w:lang w:val="fr-CH"/>
        </w:rPr>
        <w:t>و</w:t>
      </w:r>
      <w:r w:rsidR="008518E8" w:rsidRPr="008518E8">
        <w:rPr>
          <w:rFonts w:ascii="Arabic Typesetting" w:hAnsi="Arabic Typesetting" w:cs="Arabic Typesetting"/>
          <w:sz w:val="34"/>
          <w:szCs w:val="34"/>
          <w:rtl/>
          <w:lang w:val="fr-CH"/>
        </w:rPr>
        <w:t>في</w:t>
      </w:r>
      <w:r w:rsidR="008518E8" w:rsidRPr="008518E8">
        <w:rPr>
          <w:rFonts w:ascii="Arabic Typesetting" w:hAnsi="Arabic Typesetting" w:cs="Arabic Typesetting" w:hint="cs"/>
          <w:sz w:val="34"/>
          <w:szCs w:val="34"/>
          <w:rtl/>
          <w:lang w:val="fr-CH"/>
        </w:rPr>
        <w:t xml:space="preserve"> عام </w:t>
      </w:r>
      <w:r w:rsidR="008518E8" w:rsidRPr="008518E8">
        <w:rPr>
          <w:rFonts w:ascii="Arabic Typesetting" w:hAnsi="Arabic Typesetting" w:cs="Arabic Typesetting"/>
          <w:sz w:val="34"/>
          <w:szCs w:val="34"/>
          <w:rtl/>
          <w:lang w:val="fr-CH"/>
        </w:rPr>
        <w:t xml:space="preserve">2014، </w:t>
      </w:r>
      <w:r w:rsidR="008518E8" w:rsidRPr="008518E8">
        <w:rPr>
          <w:rFonts w:ascii="Arabic Typesetting" w:hAnsi="Arabic Typesetting" w:cs="Arabic Typesetting" w:hint="cs"/>
          <w:sz w:val="34"/>
          <w:szCs w:val="34"/>
          <w:rtl/>
          <w:lang w:val="fr-CH"/>
        </w:rPr>
        <w:t>ارتفعت قضايا</w:t>
      </w:r>
      <w:r w:rsidR="008518E8" w:rsidRPr="008518E8">
        <w:rPr>
          <w:rFonts w:ascii="Arabic Typesetting" w:hAnsi="Arabic Typesetting" w:cs="Arabic Typesetting"/>
          <w:sz w:val="34"/>
          <w:szCs w:val="34"/>
          <w:rtl/>
          <w:lang w:val="fr-CH"/>
        </w:rPr>
        <w:t xml:space="preserve"> السطو الإلكتروني</w:t>
      </w:r>
      <w:r w:rsidR="008518E8" w:rsidRPr="008518E8">
        <w:rPr>
          <w:rFonts w:ascii="Arabic Typesetting" w:hAnsi="Arabic Typesetting" w:cs="Arabic Typesetting" w:hint="cs"/>
          <w:sz w:val="34"/>
          <w:szCs w:val="34"/>
          <w:rtl/>
          <w:lang w:val="fr-CH"/>
        </w:rPr>
        <w:t>،</w:t>
      </w:r>
      <w:r w:rsidR="008518E8" w:rsidRPr="008518E8">
        <w:rPr>
          <w:rFonts w:ascii="Arabic Typesetting" w:hAnsi="Arabic Typesetting" w:cs="Arabic Typesetting"/>
          <w:sz w:val="34"/>
          <w:szCs w:val="34"/>
          <w:rtl/>
          <w:lang w:val="fr-CH"/>
        </w:rPr>
        <w:t xml:space="preserve"> </w:t>
      </w:r>
      <w:r w:rsidR="008518E8" w:rsidRPr="008518E8">
        <w:rPr>
          <w:rFonts w:ascii="Arabic Typesetting" w:hAnsi="Arabic Typesetting" w:cs="Arabic Typesetting" w:hint="cs"/>
          <w:sz w:val="34"/>
          <w:szCs w:val="34"/>
          <w:rtl/>
          <w:lang w:val="fr-CH"/>
        </w:rPr>
        <w:t>التي يعرضها أصحاب العلامات التجارية على الويبو مدعين انتهاك علاماتهم،</w:t>
      </w:r>
      <w:r w:rsidR="008518E8" w:rsidRPr="008518E8">
        <w:rPr>
          <w:rFonts w:ascii="Arabic Typesetting" w:hAnsi="Arabic Typesetting" w:cs="Arabic Typesetting"/>
          <w:sz w:val="34"/>
          <w:szCs w:val="34"/>
          <w:rtl/>
          <w:lang w:val="fr-CH"/>
        </w:rPr>
        <w:t xml:space="preserve"> بنسبة </w:t>
      </w:r>
      <w:r w:rsidR="008518E8" w:rsidRPr="008518E8">
        <w:rPr>
          <w:rFonts w:ascii="Arabic Typesetting" w:hAnsi="Arabic Typesetting" w:cs="Arabic Typesetting" w:hint="cs"/>
          <w:sz w:val="34"/>
          <w:szCs w:val="34"/>
          <w:rtl/>
          <w:lang w:val="fr-CH"/>
        </w:rPr>
        <w:t>1.9 بالمئة</w:t>
      </w:r>
      <w:r w:rsidR="008518E8" w:rsidRPr="008518E8">
        <w:rPr>
          <w:rFonts w:ascii="Arabic Typesetting" w:hAnsi="Arabic Typesetting" w:cs="Arabic Typesetting"/>
          <w:sz w:val="34"/>
          <w:szCs w:val="34"/>
          <w:rtl/>
          <w:lang w:val="fr-CH"/>
        </w:rPr>
        <w:t xml:space="preserve"> </w:t>
      </w:r>
      <w:r w:rsidR="008518E8" w:rsidRPr="008518E8">
        <w:rPr>
          <w:rFonts w:ascii="Arabic Typesetting" w:hAnsi="Arabic Typesetting" w:cs="Arabic Typesetting" w:hint="cs"/>
          <w:sz w:val="34"/>
          <w:szCs w:val="34"/>
          <w:rtl/>
          <w:lang w:val="fr-CH"/>
        </w:rPr>
        <w:t>مقارنة بعام</w:t>
      </w:r>
      <w:r w:rsidR="008518E8" w:rsidRPr="008518E8">
        <w:rPr>
          <w:rFonts w:ascii="Arabic Typesetting" w:hAnsi="Arabic Typesetting" w:cs="Arabic Typesetting"/>
          <w:sz w:val="34"/>
          <w:szCs w:val="34"/>
          <w:rtl/>
          <w:lang w:val="fr-CH"/>
        </w:rPr>
        <w:t xml:space="preserve"> 2013</w:t>
      </w:r>
      <w:r w:rsidR="008518E8" w:rsidRPr="008518E8">
        <w:rPr>
          <w:rFonts w:ascii="Arabic Typesetting" w:hAnsi="Arabic Typesetting" w:cs="Arabic Typesetting" w:hint="cs"/>
          <w:sz w:val="34"/>
          <w:szCs w:val="34"/>
          <w:rtl/>
          <w:lang w:val="fr-CH"/>
        </w:rPr>
        <w:t xml:space="preserve"> وارتفعت بنسبة 4.6 بالمئة في عام 2015 مقارنة بعام 2014.</w:t>
      </w:r>
      <w:r w:rsidR="008518E8" w:rsidRPr="008518E8">
        <w:rPr>
          <w:rFonts w:ascii="Arabic Typesetting" w:hAnsi="Arabic Typesetting" w:cs="Arabic Typesetting"/>
          <w:sz w:val="34"/>
          <w:szCs w:val="34"/>
          <w:rtl/>
          <w:lang w:val="fr-CH"/>
        </w:rPr>
        <w:t xml:space="preserve"> و</w:t>
      </w:r>
      <w:r w:rsidR="008518E8" w:rsidRPr="008518E8">
        <w:rPr>
          <w:rFonts w:ascii="Arabic Typesetting" w:hAnsi="Arabic Typesetting" w:cs="Arabic Typesetting" w:hint="cs"/>
          <w:sz w:val="34"/>
          <w:szCs w:val="34"/>
          <w:rtl/>
          <w:lang w:val="fr-CH"/>
        </w:rPr>
        <w:t>ت</w:t>
      </w:r>
      <w:r w:rsidR="008518E8" w:rsidRPr="008518E8">
        <w:rPr>
          <w:rFonts w:ascii="Arabic Typesetting" w:hAnsi="Arabic Typesetting" w:cs="Arabic Typesetting"/>
          <w:sz w:val="34"/>
          <w:szCs w:val="34"/>
          <w:rtl/>
          <w:lang w:val="fr-CH"/>
        </w:rPr>
        <w:t xml:space="preserve">شمل </w:t>
      </w:r>
      <w:r w:rsidR="008518E8" w:rsidRPr="008518E8">
        <w:rPr>
          <w:rFonts w:ascii="Arabic Typesetting" w:hAnsi="Arabic Typesetting" w:cs="Arabic Typesetting" w:hint="cs"/>
          <w:sz w:val="34"/>
          <w:szCs w:val="34"/>
          <w:rtl/>
          <w:lang w:val="fr-CH"/>
        </w:rPr>
        <w:t xml:space="preserve">تلك القضايا </w:t>
      </w:r>
      <w:r w:rsidR="008518E8" w:rsidRPr="008518E8">
        <w:rPr>
          <w:rFonts w:ascii="Arabic Typesetting" w:hAnsi="Arabic Typesetting" w:cs="Arabic Typesetting"/>
          <w:sz w:val="34"/>
          <w:szCs w:val="34"/>
          <w:rtl/>
          <w:lang w:val="fr-CH"/>
        </w:rPr>
        <w:t xml:space="preserve">أول </w:t>
      </w:r>
      <w:r w:rsidR="008518E8" w:rsidRPr="008518E8">
        <w:rPr>
          <w:rFonts w:ascii="Arabic Typesetting" w:hAnsi="Arabic Typesetting" w:cs="Arabic Typesetting" w:hint="cs"/>
          <w:sz w:val="34"/>
          <w:szCs w:val="34"/>
          <w:rtl/>
          <w:lang w:val="fr-CH"/>
        </w:rPr>
        <w:t>حالات</w:t>
      </w:r>
      <w:r w:rsidR="008518E8" w:rsidRPr="008518E8">
        <w:rPr>
          <w:rFonts w:ascii="Arabic Typesetting" w:hAnsi="Arabic Typesetting" w:cs="Arabic Typesetting"/>
          <w:sz w:val="34"/>
          <w:szCs w:val="34"/>
          <w:rtl/>
          <w:lang w:val="fr-CH"/>
        </w:rPr>
        <w:t xml:space="preserve"> السياسة الموحدة فيما يتعلق </w:t>
      </w:r>
      <w:r w:rsidR="008518E8" w:rsidRPr="008518E8">
        <w:rPr>
          <w:rFonts w:ascii="Arabic Typesetting" w:hAnsi="Arabic Typesetting" w:cs="Arabic Typesetting" w:hint="cs"/>
          <w:sz w:val="34"/>
          <w:szCs w:val="34"/>
          <w:rtl/>
          <w:lang w:val="fr-CH"/>
        </w:rPr>
        <w:t>ب</w:t>
      </w:r>
      <w:r w:rsidR="008518E8" w:rsidRPr="008518E8">
        <w:rPr>
          <w:rFonts w:ascii="Arabic Typesetting" w:hAnsi="Arabic Typesetting" w:cs="Arabic Typesetting"/>
          <w:sz w:val="34"/>
          <w:szCs w:val="34"/>
          <w:rtl/>
          <w:lang w:val="fr-CH"/>
        </w:rPr>
        <w:t xml:space="preserve">التسجيلات في الحقول </w:t>
      </w:r>
      <w:r w:rsidR="008518E8" w:rsidRPr="008518E8">
        <w:rPr>
          <w:rFonts w:ascii="Arabic Typesetting" w:hAnsi="Arabic Typesetting" w:cs="Arabic Typesetting" w:hint="cs"/>
          <w:sz w:val="34"/>
          <w:szCs w:val="34"/>
          <w:rtl/>
          <w:lang w:val="fr-CH"/>
        </w:rPr>
        <w:t xml:space="preserve">العليا </w:t>
      </w:r>
      <w:r w:rsidR="008518E8" w:rsidRPr="008518E8">
        <w:rPr>
          <w:rFonts w:ascii="Arabic Typesetting" w:hAnsi="Arabic Typesetting" w:cs="Arabic Typesetting"/>
          <w:sz w:val="34"/>
          <w:szCs w:val="34"/>
          <w:rtl/>
          <w:lang w:val="fr-CH"/>
        </w:rPr>
        <w:t>الجديدة</w:t>
      </w:r>
      <w:r w:rsidR="008518E8" w:rsidRPr="008518E8">
        <w:rPr>
          <w:rFonts w:ascii="Arabic Typesetting" w:hAnsi="Arabic Typesetting" w:cs="Arabic Typesetting" w:hint="cs"/>
          <w:sz w:val="34"/>
          <w:szCs w:val="34"/>
          <w:rtl/>
          <w:lang w:val="fr-CH"/>
        </w:rPr>
        <w:t xml:space="preserve"> المكونة من أسماء عامة التي استأثرت بنسبة 6.8 بالمئة من مجموع الحقول المتنازع عليها في الثنائية </w:t>
      </w:r>
      <w:r w:rsidR="00507DE2">
        <w:rPr>
          <w:rFonts w:ascii="Arabic Typesetting" w:hAnsi="Arabic Typesetting" w:cs="Arabic Typesetting" w:hint="cs"/>
          <w:sz w:val="34"/>
          <w:szCs w:val="34"/>
          <w:rtl/>
          <w:lang w:val="fr-CH"/>
        </w:rPr>
        <w:t>2014/15</w:t>
      </w:r>
      <w:r w:rsidR="008518E8" w:rsidRPr="008518E8">
        <w:rPr>
          <w:rFonts w:ascii="Arabic Typesetting" w:hAnsi="Arabic Typesetting" w:cs="Arabic Typesetting"/>
          <w:sz w:val="34"/>
          <w:szCs w:val="34"/>
          <w:rtl/>
          <w:lang w:val="fr-CH"/>
        </w:rPr>
        <w:t>.</w:t>
      </w:r>
    </w:p>
    <w:p w:rsidR="008518E8" w:rsidRPr="008518E8" w:rsidRDefault="008518E8" w:rsidP="009A3712">
      <w:pPr>
        <w:numPr>
          <w:ilvl w:val="0"/>
          <w:numId w:val="10"/>
        </w:numPr>
        <w:bidi/>
        <w:spacing w:after="120" w:line="340" w:lineRule="exact"/>
        <w:ind w:left="0" w:firstLine="0"/>
        <w:rPr>
          <w:rFonts w:ascii="Arabic Typesetting" w:hAnsi="Arabic Typesetting" w:cs="Arabic Typesetting"/>
          <w:sz w:val="34"/>
          <w:szCs w:val="34"/>
          <w:lang w:val="fr-CH"/>
        </w:rPr>
      </w:pPr>
      <w:r w:rsidRPr="008518E8">
        <w:rPr>
          <w:rFonts w:ascii="Arabic Typesetting" w:hAnsi="Arabic Typesetting" w:cs="Arabic Typesetting" w:hint="cs"/>
          <w:sz w:val="34"/>
          <w:szCs w:val="34"/>
          <w:rtl/>
          <w:lang w:val="fr-CH"/>
        </w:rPr>
        <w:t xml:space="preserve">وتواصل المركز خلال الثنائية مع المسؤولين عن إدارة الحقول العليا المكونة من رموز البلدان في مناطق مختلفة بشأن موضوع سياسات تسوية المنازعات. وأضحى مركز الويبو موردا للخدمات للحقلين </w:t>
      </w:r>
      <w:r w:rsidRPr="008518E8">
        <w:rPr>
          <w:rFonts w:ascii="Arabic Typesetting" w:hAnsi="Arabic Typesetting" w:cs="Arabic Typesetting"/>
          <w:sz w:val="34"/>
          <w:szCs w:val="34"/>
          <w:lang w:val="fr-CH"/>
        </w:rPr>
        <w:t>.GQ</w:t>
      </w:r>
      <w:r w:rsidRPr="008518E8">
        <w:rPr>
          <w:rFonts w:ascii="Arabic Typesetting" w:hAnsi="Arabic Typesetting" w:cs="Arabic Typesetting" w:hint="cs"/>
          <w:sz w:val="34"/>
          <w:szCs w:val="34"/>
          <w:rtl/>
          <w:lang w:val="fr-CH"/>
        </w:rPr>
        <w:t xml:space="preserve"> (غينيا الاستوائية) و</w:t>
      </w:r>
      <w:r w:rsidRPr="008518E8">
        <w:rPr>
          <w:rFonts w:ascii="Arabic Typesetting" w:hAnsi="Arabic Typesetting" w:cs="Arabic Typesetting"/>
          <w:sz w:val="34"/>
          <w:szCs w:val="34"/>
          <w:lang w:val="fr-CH"/>
        </w:rPr>
        <w:t>.VG</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rtl/>
          <w:lang w:val="fr-CH"/>
        </w:rPr>
        <w:t>جزر فرجن البريطانية</w:t>
      </w:r>
      <w:r w:rsidRPr="008518E8">
        <w:rPr>
          <w:rFonts w:ascii="Arabic Typesetting" w:hAnsi="Arabic Typesetting" w:cs="Arabic Typesetting" w:hint="cs"/>
          <w:sz w:val="34"/>
          <w:szCs w:val="34"/>
          <w:rtl/>
          <w:lang w:val="fr-CH"/>
        </w:rPr>
        <w:t>)، ليصل بذلك مجموع الحقول العليا المكونة من رموز البلدان التي تقدم لها الويبو هذه الخدمات 71</w:t>
      </w:r>
      <w:r w:rsidRPr="008518E8">
        <w:rPr>
          <w:rFonts w:ascii="Arabic Typesetting" w:hAnsi="Arabic Typesetting" w:cs="Arabic Typesetting" w:hint="eastAsia"/>
          <w:sz w:val="34"/>
          <w:szCs w:val="34"/>
          <w:rtl/>
          <w:lang w:val="fr-CH"/>
        </w:rPr>
        <w:t> </w:t>
      </w:r>
      <w:r w:rsidRPr="008518E8">
        <w:rPr>
          <w:rFonts w:ascii="Arabic Typesetting" w:hAnsi="Arabic Typesetting" w:cs="Arabic Typesetting" w:hint="cs"/>
          <w:sz w:val="34"/>
          <w:szCs w:val="34"/>
          <w:rtl/>
          <w:lang w:val="fr-CH"/>
        </w:rPr>
        <w:t>حقلا.</w:t>
      </w:r>
      <w:r w:rsidRPr="00F96634">
        <w:rPr>
          <w:rFonts w:ascii="Arabic Typesetting" w:hAnsi="Arabic Typesetting" w:cs="Arabic Typesetting"/>
          <w:sz w:val="28"/>
          <w:szCs w:val="28"/>
          <w:vertAlign w:val="superscript"/>
          <w:rtl/>
          <w:lang w:val="fr-CH"/>
        </w:rPr>
        <w:footnoteReference w:id="49"/>
      </w:r>
    </w:p>
    <w:p w:rsidR="008518E8" w:rsidRPr="008518E8" w:rsidRDefault="008518E8" w:rsidP="009A3712">
      <w:pPr>
        <w:numPr>
          <w:ilvl w:val="0"/>
          <w:numId w:val="10"/>
        </w:numPr>
        <w:bidi/>
        <w:spacing w:after="120" w:line="340" w:lineRule="exact"/>
        <w:ind w:left="0" w:firstLine="0"/>
        <w:rPr>
          <w:rFonts w:ascii="Arabic Typesetting" w:hAnsi="Arabic Typesetting" w:cs="Arabic Typesetting"/>
          <w:sz w:val="34"/>
          <w:szCs w:val="34"/>
          <w:rtl/>
          <w:lang w:val="fr-CH"/>
        </w:rPr>
      </w:pPr>
      <w:r w:rsidRPr="008518E8">
        <w:rPr>
          <w:rFonts w:ascii="Arabic Typesetting" w:hAnsi="Arabic Typesetting" w:cs="Arabic Typesetting" w:hint="cs"/>
          <w:sz w:val="34"/>
          <w:szCs w:val="34"/>
          <w:rtl/>
          <w:lang w:val="fr-CH"/>
        </w:rPr>
        <w:t>ووُضعت خطة أنشطة مركز الويبو وصُممت ونُفذت وفقا لإرشادات وتوجيهات التوصيات المعنية في جدول أعمال التنمية، وبخاصة التوصيات 1 و6 و10. وفي هذا الصدد، نظم المركز برامج مخصصة في مجال التحكيم والوساطة لمسؤولي الملكية الفكرية وممارسيها. وإضافة إلى ذلك، ساعد مكاتب الملكية الفكرية على إعداد أطر اختيارية بديلة لتسوية المنازعات المرفوعة إليها، وساعد أيضا الإدارات الوطنية المعنية بأسماء الحقول على وضع قواعد ومعايير للسجل فضلاً عن آليات لتسوية المنازعات حسب أهميتها بالنسبة إلى البلدان النامية والبلدان التي تمر اقتصاداتها بمرحلة انتقالية.</w:t>
      </w:r>
    </w:p>
    <w:p w:rsidR="008518E8" w:rsidRPr="008518E8" w:rsidRDefault="008518E8" w:rsidP="00B32938">
      <w:pPr>
        <w:keepNext/>
        <w:bidi/>
        <w:spacing w:before="120" w:after="120" w:line="340" w:lineRule="exact"/>
        <w:rPr>
          <w:rFonts w:ascii="Arabic Typesetting" w:hAnsi="Arabic Typesetting" w:cs="Arabic Typesetting"/>
          <w:sz w:val="34"/>
          <w:szCs w:val="34"/>
          <w:rtl/>
          <w:lang w:bidi="ar-LB"/>
        </w:rPr>
      </w:pPr>
      <w:r w:rsidRPr="008518E8">
        <w:rPr>
          <w:rFonts w:ascii="Arabic Typesetting" w:hAnsi="Arabic Typesetting" w:cs="Arabic Typesetting" w:hint="cs"/>
          <w:sz w:val="34"/>
          <w:szCs w:val="34"/>
          <w:rtl/>
          <w:lang w:bidi="ar-LB"/>
        </w:rPr>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410"/>
        <w:gridCol w:w="1701"/>
        <w:gridCol w:w="2412"/>
        <w:gridCol w:w="850"/>
      </w:tblGrid>
      <w:tr w:rsidR="008518E8" w:rsidRPr="00211D55" w:rsidTr="008518E8">
        <w:trPr>
          <w:cantSplit/>
        </w:trPr>
        <w:tc>
          <w:tcPr>
            <w:tcW w:w="5000" w:type="pct"/>
            <w:gridSpan w:val="5"/>
            <w:shd w:val="clear" w:color="auto" w:fill="C6D9F1" w:themeFill="text2" w:themeFillTint="33"/>
            <w:vAlign w:val="center"/>
          </w:tcPr>
          <w:p w:rsidR="008518E8" w:rsidRPr="00211D55" w:rsidRDefault="008518E8" w:rsidP="000E2DE3">
            <w:pPr>
              <w:keepNext/>
              <w:bidi/>
              <w:spacing w:after="60" w:line="280" w:lineRule="exact"/>
              <w:ind w:left="1167" w:hanging="1167"/>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lang w:bidi="ar-EG"/>
              </w:rPr>
              <w:t>النتيجة المرتقبة:</w:t>
            </w:r>
            <w:r w:rsidR="006E7FC6" w:rsidRPr="00211D55">
              <w:rPr>
                <w:rFonts w:ascii="Arabic Typesetting" w:hAnsi="Arabic Typesetting" w:cs="Arabic Typesetting"/>
                <w:b/>
                <w:sz w:val="28"/>
                <w:szCs w:val="28"/>
                <w:rtl/>
                <w:lang w:bidi="ar-EG"/>
              </w:rPr>
              <w:tab/>
              <w:t>ه</w:t>
            </w:r>
            <w:r w:rsidRPr="00211D55">
              <w:rPr>
                <w:rFonts w:ascii="Arabic Typesetting" w:hAnsi="Arabic Typesetting" w:cs="Arabic Typesetting"/>
                <w:sz w:val="28"/>
                <w:szCs w:val="28"/>
                <w:rtl/>
                <w:lang w:bidi="ar-EG"/>
              </w:rPr>
              <w:t xml:space="preserve">8.2 </w:t>
            </w:r>
            <w:r w:rsidR="00A0719D">
              <w:rPr>
                <w:rFonts w:ascii="Arabic Typesetting" w:hAnsi="Arabic Typesetting" w:cs="Arabic Typesetting"/>
                <w:sz w:val="28"/>
                <w:szCs w:val="28"/>
                <w:rtl/>
                <w:lang w:bidi="ar-EG"/>
              </w:rPr>
              <w:t>تزايد تفادي نشوء المنازعات المتعلقة بالملكية الفكرية دوليا وداخليا وتسويتها بفضل الوساطة والتحكيم وغيرها من أساليب الويبو البديلة في تسوية المنازعات</w:t>
            </w:r>
          </w:p>
        </w:tc>
      </w:tr>
      <w:tr w:rsidR="008518E8" w:rsidRPr="00211D55" w:rsidTr="008518E8">
        <w:trPr>
          <w:cantSplit/>
        </w:trPr>
        <w:tc>
          <w:tcPr>
            <w:tcW w:w="1060" w:type="pct"/>
            <w:tcBorders>
              <w:bottom w:val="nil"/>
              <w:right w:val="nil"/>
            </w:tcBorders>
            <w:shd w:val="clear" w:color="auto" w:fill="auto"/>
            <w:vAlign w:val="center"/>
          </w:tcPr>
          <w:p w:rsidR="008518E8" w:rsidRPr="00211D55" w:rsidRDefault="008518E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مؤشرات الأداء</w:t>
            </w:r>
          </w:p>
        </w:tc>
        <w:tc>
          <w:tcPr>
            <w:tcW w:w="1288" w:type="pct"/>
            <w:tcBorders>
              <w:left w:val="nil"/>
              <w:bottom w:val="nil"/>
              <w:right w:val="nil"/>
            </w:tcBorders>
            <w:shd w:val="clear" w:color="auto" w:fill="auto"/>
            <w:vAlign w:val="center"/>
          </w:tcPr>
          <w:p w:rsidR="008518E8" w:rsidRPr="00211D55" w:rsidRDefault="008518E8" w:rsidP="00086C3F">
            <w:pPr>
              <w:bidi/>
              <w:spacing w:before="60" w:after="60" w:line="280" w:lineRule="exact"/>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lang w:bidi="ar-EG"/>
              </w:rPr>
              <w:t>أسس المقارنة</w:t>
            </w:r>
          </w:p>
        </w:tc>
        <w:tc>
          <w:tcPr>
            <w:tcW w:w="909" w:type="pct"/>
            <w:tcBorders>
              <w:left w:val="nil"/>
              <w:bottom w:val="nil"/>
              <w:right w:val="nil"/>
            </w:tcBorders>
            <w:shd w:val="clear" w:color="auto" w:fill="auto"/>
            <w:tcMar>
              <w:top w:w="110" w:type="dxa"/>
            </w:tcMar>
            <w:vAlign w:val="center"/>
          </w:tcPr>
          <w:p w:rsidR="008518E8" w:rsidRPr="00211D55" w:rsidRDefault="008518E8" w:rsidP="00086C3F">
            <w:pPr>
              <w:bidi/>
              <w:spacing w:before="60" w:after="60" w:line="280" w:lineRule="exact"/>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الأهداف</w:t>
            </w:r>
          </w:p>
        </w:tc>
        <w:tc>
          <w:tcPr>
            <w:tcW w:w="1289" w:type="pct"/>
            <w:tcBorders>
              <w:left w:val="nil"/>
              <w:bottom w:val="nil"/>
              <w:right w:val="nil"/>
            </w:tcBorders>
            <w:shd w:val="clear" w:color="auto" w:fill="FFFFFF"/>
            <w:tcMar>
              <w:top w:w="110" w:type="dxa"/>
            </w:tcMar>
            <w:vAlign w:val="center"/>
          </w:tcPr>
          <w:p w:rsidR="008518E8" w:rsidRPr="00211D55" w:rsidRDefault="008518E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بيانات الأداء</w:t>
            </w:r>
          </w:p>
        </w:tc>
        <w:tc>
          <w:tcPr>
            <w:tcW w:w="454" w:type="pct"/>
            <w:tcBorders>
              <w:left w:val="nil"/>
              <w:bottom w:val="nil"/>
            </w:tcBorders>
            <w:shd w:val="clear" w:color="auto" w:fill="auto"/>
            <w:tcMar>
              <w:top w:w="110" w:type="dxa"/>
            </w:tcMar>
            <w:vAlign w:val="center"/>
          </w:tcPr>
          <w:p w:rsidR="008518E8" w:rsidRPr="00211D55" w:rsidRDefault="008518E8" w:rsidP="00086C3F">
            <w:pPr>
              <w:keepNext/>
              <w:keepLines/>
              <w:bidi/>
              <w:spacing w:before="60" w:after="60" w:line="280" w:lineRule="exact"/>
              <w:jc w:val="center"/>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lang w:bidi="ar-EG"/>
              </w:rPr>
              <w:t>السير</w:t>
            </w:r>
          </w:p>
        </w:tc>
      </w:tr>
      <w:tr w:rsidR="008518E8" w:rsidRPr="00211D55" w:rsidTr="008518E8">
        <w:trPr>
          <w:cantSplit/>
          <w:trHeight w:val="1275"/>
        </w:trPr>
        <w:tc>
          <w:tcPr>
            <w:tcW w:w="1060" w:type="pct"/>
            <w:vMerge w:val="restart"/>
            <w:tcBorders>
              <w:top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النظر بقدر أكبر في اللجوء إلى خدمات بديلة لتسوية المنازعات في الصفقات المتعلقة بالملكية الفكرية، بما في ذلك عبر استخدام إجراءات الويبو</w:t>
            </w:r>
          </w:p>
        </w:tc>
        <w:tc>
          <w:tcPr>
            <w:tcW w:w="1288" w:type="pct"/>
            <w:tcBorders>
              <w:top w:val="nil"/>
              <w:left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375 منازعة و95 من المساعي الحميدة (التراكمي بنهاية 2013)</w:t>
            </w:r>
          </w:p>
        </w:tc>
        <w:tc>
          <w:tcPr>
            <w:tcW w:w="909" w:type="pct"/>
            <w:tcBorders>
              <w:top w:val="nil"/>
              <w:left w:val="nil"/>
              <w:bottom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
                <w:sz w:val="28"/>
                <w:szCs w:val="28"/>
                <w:rtl/>
              </w:rPr>
              <w:t>40 من المنازعات الإضافية والمساعي الحميدة</w:t>
            </w:r>
          </w:p>
        </w:tc>
        <w:tc>
          <w:tcPr>
            <w:tcW w:w="1289" w:type="pct"/>
            <w:tcBorders>
              <w:top w:val="nil"/>
              <w:left w:val="nil"/>
              <w:bottom w:val="nil"/>
              <w:right w:val="nil"/>
            </w:tcBorders>
            <w:shd w:val="clear" w:color="auto" w:fill="FFFFFF"/>
            <w:tcMar>
              <w:top w:w="110" w:type="dxa"/>
            </w:tcMar>
          </w:tcPr>
          <w:p w:rsidR="008518E8" w:rsidRPr="00211D55" w:rsidRDefault="001919AF" w:rsidP="00086C3F">
            <w:pPr>
              <w:keepNext/>
              <w:keepLines/>
              <w:bidi/>
              <w:adjustRightInd w:val="0"/>
              <w:snapToGrid w:val="0"/>
              <w:spacing w:before="60" w:after="60" w:line="280" w:lineRule="exact"/>
              <w:rPr>
                <w:rFonts w:ascii="Arabic Typesetting" w:hAnsi="Arabic Typesetting" w:cs="Arabic Typesetting"/>
                <w:b/>
                <w:sz w:val="28"/>
                <w:szCs w:val="28"/>
                <w:rtl/>
              </w:rPr>
            </w:pPr>
            <w:r>
              <w:rPr>
                <w:rFonts w:ascii="Arabic Typesetting" w:hAnsi="Arabic Typesetting" w:cs="Arabic Typesetting" w:hint="cs"/>
                <w:b/>
                <w:sz w:val="28"/>
                <w:szCs w:val="28"/>
                <w:rtl/>
              </w:rPr>
              <w:t>153</w:t>
            </w:r>
            <w:r w:rsidR="008518E8" w:rsidRPr="00211D55">
              <w:rPr>
                <w:rFonts w:ascii="Arabic Typesetting" w:hAnsi="Arabic Typesetting" w:cs="Arabic Typesetting"/>
                <w:b/>
                <w:sz w:val="28"/>
                <w:szCs w:val="28"/>
                <w:rtl/>
              </w:rPr>
              <w:t xml:space="preserve"> من المنازعات الإضافية والمساعي الحميدة الإضافية في </w:t>
            </w:r>
            <w:r w:rsidR="00507DE2">
              <w:rPr>
                <w:rFonts w:ascii="Arabic Typesetting" w:hAnsi="Arabic Typesetting" w:cs="Arabic Typesetting"/>
                <w:b/>
                <w:sz w:val="28"/>
                <w:szCs w:val="28"/>
                <w:rtl/>
              </w:rPr>
              <w:t>2014/15</w:t>
            </w:r>
          </w:p>
          <w:p w:rsidR="008518E8" w:rsidRPr="00211D55" w:rsidRDefault="001919AF" w:rsidP="00086C3F">
            <w:pPr>
              <w:keepNext/>
              <w:keepLines/>
              <w:bidi/>
              <w:adjustRightInd w:val="0"/>
              <w:snapToGrid w:val="0"/>
              <w:spacing w:before="60" w:after="60" w:line="280" w:lineRule="exact"/>
              <w:rPr>
                <w:rFonts w:ascii="Arabic Typesetting" w:hAnsi="Arabic Typesetting" w:cs="Arabic Typesetting"/>
                <w:sz w:val="28"/>
                <w:szCs w:val="28"/>
              </w:rPr>
            </w:pPr>
            <w:r>
              <w:rPr>
                <w:rFonts w:ascii="Arabic Typesetting" w:hAnsi="Arabic Typesetting" w:cs="Arabic Typesetting" w:hint="cs"/>
                <w:b/>
                <w:sz w:val="28"/>
                <w:szCs w:val="28"/>
                <w:rtl/>
              </w:rPr>
              <w:t>623</w:t>
            </w:r>
            <w:r w:rsidR="008518E8" w:rsidRPr="00211D55">
              <w:rPr>
                <w:rFonts w:ascii="Arabic Typesetting" w:hAnsi="Arabic Typesetting" w:cs="Arabic Typesetting"/>
                <w:b/>
                <w:sz w:val="28"/>
                <w:szCs w:val="28"/>
                <w:rtl/>
              </w:rPr>
              <w:t xml:space="preserve"> من المنازعات والمساعي الحميدة (التراكمي بنهاية 2015)</w:t>
            </w:r>
          </w:p>
        </w:tc>
        <w:tc>
          <w:tcPr>
            <w:tcW w:w="454" w:type="pct"/>
            <w:tcBorders>
              <w:top w:val="nil"/>
              <w:left w:val="nil"/>
              <w:bottom w:val="nil"/>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8518E8" w:rsidRPr="00211D55" w:rsidTr="008518E8">
        <w:trPr>
          <w:cantSplit/>
          <w:trHeight w:val="1275"/>
        </w:trPr>
        <w:tc>
          <w:tcPr>
            <w:tcW w:w="1060" w:type="pct"/>
            <w:vMerge/>
            <w:tcBorders>
              <w:top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p>
        </w:tc>
        <w:tc>
          <w:tcPr>
            <w:tcW w:w="1288" w:type="pct"/>
            <w:tcBorders>
              <w:top w:val="nil"/>
              <w:left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
                <w:color w:val="002060"/>
                <w:sz w:val="28"/>
                <w:szCs w:val="28"/>
                <w:rtl/>
                <w:lang w:bidi="ar-EG"/>
              </w:rPr>
              <w:t>4000 استفسار وارد (</w:t>
            </w:r>
            <w:r w:rsidR="00507DE2">
              <w:rPr>
                <w:rFonts w:ascii="Arabic Typesetting" w:hAnsi="Arabic Typesetting" w:cs="Arabic Typesetting"/>
                <w:i/>
                <w:color w:val="002060"/>
                <w:sz w:val="28"/>
                <w:szCs w:val="28"/>
                <w:rtl/>
                <w:lang w:bidi="ar-EG"/>
              </w:rPr>
              <w:t>2012/13</w:t>
            </w:r>
            <w:r w:rsidRPr="00211D55">
              <w:rPr>
                <w:rFonts w:ascii="Arabic Typesetting" w:hAnsi="Arabic Typesetting" w:cs="Arabic Typesetting"/>
                <w:i/>
                <w:color w:val="002060"/>
                <w:sz w:val="28"/>
                <w:szCs w:val="28"/>
                <w:rtl/>
                <w:lang w:bidi="ar-EG"/>
              </w:rPr>
              <w:t>)</w:t>
            </w:r>
          </w:p>
        </w:tc>
        <w:tc>
          <w:tcPr>
            <w:tcW w:w="909" w:type="pct"/>
            <w:tcBorders>
              <w:top w:val="nil"/>
              <w:left w:val="nil"/>
              <w:bottom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12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rPr>
              <w:t>4000 استفسار إضافي</w:t>
            </w:r>
          </w:p>
        </w:tc>
        <w:tc>
          <w:tcPr>
            <w:tcW w:w="1289" w:type="pct"/>
            <w:tcBorders>
              <w:top w:val="nil"/>
              <w:left w:val="nil"/>
              <w:bottom w:val="nil"/>
              <w:right w:val="nil"/>
            </w:tcBorders>
            <w:shd w:val="clear" w:color="auto" w:fill="FFFFFF"/>
            <w:tcMar>
              <w:top w:w="110" w:type="dxa"/>
            </w:tcMar>
          </w:tcPr>
          <w:p w:rsidR="008518E8" w:rsidRPr="00211D55" w:rsidRDefault="008518E8" w:rsidP="00086C3F">
            <w:pPr>
              <w:keepNext/>
              <w:keepLines/>
              <w:bidi/>
              <w:adjustRightInd w:val="0"/>
              <w:snapToGrid w:val="0"/>
              <w:spacing w:before="60" w:after="6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rPr>
              <w:t>7500 استفسار إضافي (</w:t>
            </w:r>
            <w:r w:rsidR="00507DE2">
              <w:rPr>
                <w:rFonts w:ascii="Arabic Typesetting" w:hAnsi="Arabic Typesetting" w:cs="Arabic Typesetting"/>
                <w:b/>
                <w:sz w:val="28"/>
                <w:szCs w:val="28"/>
                <w:rtl/>
              </w:rPr>
              <w:t>2014/15</w:t>
            </w:r>
            <w:r w:rsidRPr="00211D55">
              <w:rPr>
                <w:rFonts w:ascii="Arabic Typesetting" w:hAnsi="Arabic Typesetting" w:cs="Arabic Typesetting"/>
                <w:b/>
                <w:sz w:val="28"/>
                <w:szCs w:val="28"/>
                <w:rtl/>
              </w:rPr>
              <w:t>)</w:t>
            </w:r>
          </w:p>
        </w:tc>
        <w:tc>
          <w:tcPr>
            <w:tcW w:w="454" w:type="pct"/>
            <w:tcBorders>
              <w:top w:val="nil"/>
              <w:left w:val="nil"/>
              <w:bottom w:val="nil"/>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tc>
      </w:tr>
      <w:tr w:rsidR="008518E8" w:rsidRPr="00211D55" w:rsidTr="008518E8">
        <w:trPr>
          <w:cantSplit/>
          <w:trHeight w:val="1275"/>
        </w:trPr>
        <w:tc>
          <w:tcPr>
            <w:tcW w:w="1060" w:type="pct"/>
            <w:vMerge/>
            <w:tcBorders>
              <w:top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p>
        </w:tc>
        <w:tc>
          <w:tcPr>
            <w:tcW w:w="1288" w:type="pct"/>
            <w:tcBorders>
              <w:top w:val="nil"/>
              <w:left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
                <w:color w:val="002060"/>
                <w:sz w:val="28"/>
                <w:szCs w:val="28"/>
                <w:rtl/>
                <w:lang w:bidi="ar-EG"/>
              </w:rPr>
              <w:t>3.5 مليون زائر للموقع الإلكتروني (</w:t>
            </w:r>
            <w:r w:rsidR="00507DE2">
              <w:rPr>
                <w:rFonts w:ascii="Arabic Typesetting" w:hAnsi="Arabic Typesetting" w:cs="Arabic Typesetting"/>
                <w:i/>
                <w:color w:val="002060"/>
                <w:sz w:val="28"/>
                <w:szCs w:val="28"/>
                <w:rtl/>
                <w:lang w:bidi="ar-EG"/>
              </w:rPr>
              <w:t>2012/13</w:t>
            </w:r>
            <w:r w:rsidRPr="00211D55">
              <w:rPr>
                <w:rFonts w:ascii="Arabic Typesetting" w:hAnsi="Arabic Typesetting" w:cs="Arabic Typesetting"/>
                <w:i/>
                <w:color w:val="002060"/>
                <w:sz w:val="28"/>
                <w:szCs w:val="28"/>
                <w:rtl/>
                <w:lang w:bidi="ar-EG"/>
              </w:rPr>
              <w:t>)</w:t>
            </w:r>
            <w:r w:rsidRPr="00211D55">
              <w:rPr>
                <w:rFonts w:ascii="Arabic Typesetting" w:hAnsi="Arabic Typesetting" w:cs="Arabic Typesetting"/>
                <w:i/>
                <w:color w:val="002060"/>
                <w:sz w:val="28"/>
                <w:szCs w:val="28"/>
                <w:lang w:bidi="ar-EG"/>
              </w:rPr>
              <w:t xml:space="preserve"> </w:t>
            </w:r>
          </w:p>
        </w:tc>
        <w:tc>
          <w:tcPr>
            <w:tcW w:w="909" w:type="pct"/>
            <w:tcBorders>
              <w:top w:val="nil"/>
              <w:left w:val="nil"/>
              <w:bottom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12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rPr>
              <w:t>3.5 مليون زيارة إضافية</w:t>
            </w:r>
          </w:p>
        </w:tc>
        <w:tc>
          <w:tcPr>
            <w:tcW w:w="1289" w:type="pct"/>
            <w:tcBorders>
              <w:top w:val="nil"/>
              <w:left w:val="nil"/>
              <w:bottom w:val="nil"/>
              <w:right w:val="nil"/>
            </w:tcBorders>
            <w:shd w:val="clear" w:color="auto" w:fill="FFFFFF"/>
            <w:tcMar>
              <w:top w:w="110" w:type="dxa"/>
            </w:tcMar>
          </w:tcPr>
          <w:p w:rsidR="008518E8" w:rsidRPr="00211D55" w:rsidRDefault="008518E8" w:rsidP="00086C3F">
            <w:pPr>
              <w:keepNext/>
              <w:keepLines/>
              <w:bidi/>
              <w:adjustRightInd w:val="0"/>
              <w:snapToGrid w:val="0"/>
              <w:spacing w:before="60" w:after="12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rPr>
              <w:t>3.1 مليون زيارة إضافية (</w:t>
            </w:r>
            <w:r w:rsidR="00507DE2">
              <w:rPr>
                <w:rFonts w:ascii="Arabic Typesetting" w:hAnsi="Arabic Typesetting" w:cs="Arabic Typesetting"/>
                <w:b/>
                <w:sz w:val="28"/>
                <w:szCs w:val="28"/>
                <w:rtl/>
              </w:rPr>
              <w:t>2014/15</w:t>
            </w:r>
            <w:r w:rsidRPr="00211D55">
              <w:rPr>
                <w:rFonts w:ascii="Arabic Typesetting" w:hAnsi="Arabic Typesetting" w:cs="Arabic Typesetting"/>
                <w:b/>
                <w:sz w:val="28"/>
                <w:szCs w:val="28"/>
                <w:rtl/>
              </w:rPr>
              <w:t>)</w:t>
            </w:r>
          </w:p>
        </w:tc>
        <w:tc>
          <w:tcPr>
            <w:tcW w:w="454" w:type="pct"/>
            <w:tcBorders>
              <w:top w:val="nil"/>
              <w:left w:val="nil"/>
              <w:bottom w:val="nil"/>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tc>
      </w:tr>
      <w:tr w:rsidR="008518E8" w:rsidRPr="00211D55" w:rsidTr="008518E8">
        <w:trPr>
          <w:cantSplit/>
          <w:trHeight w:val="1275"/>
        </w:trPr>
        <w:tc>
          <w:tcPr>
            <w:tcW w:w="1060" w:type="pct"/>
            <w:vMerge/>
            <w:tcBorders>
              <w:top w:val="nil"/>
              <w:bottom w:val="single" w:sz="4" w:space="0" w:color="auto"/>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p>
        </w:tc>
        <w:tc>
          <w:tcPr>
            <w:tcW w:w="1288" w:type="pct"/>
            <w:tcBorders>
              <w:top w:val="nil"/>
              <w:left w:val="nil"/>
              <w:bottom w:val="single" w:sz="4" w:space="0" w:color="auto"/>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
                <w:color w:val="002060"/>
                <w:sz w:val="28"/>
                <w:szCs w:val="28"/>
                <w:rtl/>
                <w:lang w:bidi="ar-EG"/>
              </w:rPr>
              <w:t>408 مشاركين في أحداث المركز النمطية (</w:t>
            </w:r>
            <w:r w:rsidR="00507DE2">
              <w:rPr>
                <w:rFonts w:ascii="Arabic Typesetting" w:hAnsi="Arabic Typesetting" w:cs="Arabic Typesetting"/>
                <w:i/>
                <w:color w:val="002060"/>
                <w:sz w:val="28"/>
                <w:szCs w:val="28"/>
                <w:rtl/>
                <w:lang w:bidi="ar-EG"/>
              </w:rPr>
              <w:t>2012/13</w:t>
            </w:r>
            <w:r w:rsidRPr="00211D55">
              <w:rPr>
                <w:rFonts w:ascii="Arabic Typesetting" w:hAnsi="Arabic Typesetting" w:cs="Arabic Typesetting"/>
                <w:i/>
                <w:color w:val="002060"/>
                <w:sz w:val="28"/>
                <w:szCs w:val="28"/>
                <w:rtl/>
                <w:lang w:bidi="ar-EG"/>
              </w:rPr>
              <w:t>)</w:t>
            </w:r>
          </w:p>
        </w:tc>
        <w:tc>
          <w:tcPr>
            <w:tcW w:w="909" w:type="pct"/>
            <w:tcBorders>
              <w:top w:val="nil"/>
              <w:left w:val="nil"/>
              <w:bottom w:val="single" w:sz="4" w:space="0" w:color="auto"/>
              <w:right w:val="nil"/>
            </w:tcBorders>
            <w:shd w:val="clear" w:color="auto" w:fill="auto"/>
            <w:tcMar>
              <w:top w:w="110" w:type="dxa"/>
            </w:tcMar>
          </w:tcPr>
          <w:p w:rsidR="008518E8" w:rsidRPr="00211D55" w:rsidRDefault="008518E8" w:rsidP="00086C3F">
            <w:pPr>
              <w:keepNext/>
              <w:keepLines/>
              <w:bidi/>
              <w:adjustRightInd w:val="0"/>
              <w:snapToGrid w:val="0"/>
              <w:spacing w:before="60" w:after="12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rPr>
              <w:t>250 مشاركاً في أحداث المركز النمطية</w:t>
            </w:r>
          </w:p>
        </w:tc>
        <w:tc>
          <w:tcPr>
            <w:tcW w:w="1289" w:type="pct"/>
            <w:tcBorders>
              <w:top w:val="nil"/>
              <w:left w:val="nil"/>
              <w:bottom w:val="single" w:sz="4" w:space="0" w:color="auto"/>
              <w:right w:val="nil"/>
            </w:tcBorders>
            <w:shd w:val="clear" w:color="auto" w:fill="FFFFFF"/>
            <w:tcMar>
              <w:top w:w="110" w:type="dxa"/>
            </w:tcMar>
          </w:tcPr>
          <w:p w:rsidR="008518E8" w:rsidRPr="00211D55" w:rsidRDefault="008518E8" w:rsidP="00086C3F">
            <w:pPr>
              <w:keepNext/>
              <w:keepLines/>
              <w:bidi/>
              <w:adjustRightInd w:val="0"/>
              <w:snapToGrid w:val="0"/>
              <w:spacing w:before="60" w:after="12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rPr>
              <w:t>262 مشاركاً في أحداث المركز النمطية (</w:t>
            </w:r>
            <w:r w:rsidR="00507DE2">
              <w:rPr>
                <w:rFonts w:ascii="Arabic Typesetting" w:hAnsi="Arabic Typesetting" w:cs="Arabic Typesetting"/>
                <w:b/>
                <w:sz w:val="28"/>
                <w:szCs w:val="28"/>
                <w:rtl/>
              </w:rPr>
              <w:t>2014/15</w:t>
            </w:r>
            <w:r w:rsidRPr="00211D55">
              <w:rPr>
                <w:rFonts w:ascii="Arabic Typesetting" w:hAnsi="Arabic Typesetting" w:cs="Arabic Typesetting"/>
                <w:b/>
                <w:sz w:val="28"/>
                <w:szCs w:val="28"/>
                <w:rtl/>
              </w:rPr>
              <w:t>)</w:t>
            </w:r>
          </w:p>
        </w:tc>
        <w:tc>
          <w:tcPr>
            <w:tcW w:w="454" w:type="pct"/>
            <w:tcBorders>
              <w:top w:val="nil"/>
              <w:left w:val="nil"/>
              <w:bottom w:val="single" w:sz="4" w:space="0" w:color="auto"/>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tc>
      </w:tr>
      <w:tr w:rsidR="008518E8" w:rsidRPr="00211D55" w:rsidTr="008518E8">
        <w:trPr>
          <w:cantSplit/>
          <w:trHeight w:val="485"/>
        </w:trPr>
        <w:tc>
          <w:tcPr>
            <w:tcW w:w="1060" w:type="pct"/>
            <w:vMerge/>
            <w:tcBorders>
              <w:top w:val="single" w:sz="4" w:space="0" w:color="auto"/>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p>
        </w:tc>
        <w:tc>
          <w:tcPr>
            <w:tcW w:w="1288" w:type="pct"/>
            <w:tcBorders>
              <w:top w:val="single" w:sz="4" w:space="0" w:color="auto"/>
              <w:left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
                <w:color w:val="002060"/>
                <w:sz w:val="28"/>
                <w:szCs w:val="28"/>
                <w:rtl/>
                <w:lang w:bidi="ar-EG"/>
              </w:rPr>
              <w:t>4000 مشارك في أحداث المركز الخارجية (</w:t>
            </w:r>
            <w:r w:rsidR="00507DE2">
              <w:rPr>
                <w:rFonts w:ascii="Arabic Typesetting" w:hAnsi="Arabic Typesetting" w:cs="Arabic Typesetting"/>
                <w:i/>
                <w:color w:val="002060"/>
                <w:sz w:val="28"/>
                <w:szCs w:val="28"/>
                <w:rtl/>
                <w:lang w:bidi="ar-EG"/>
              </w:rPr>
              <w:t>2012/13</w:t>
            </w:r>
            <w:r w:rsidRPr="00211D55">
              <w:rPr>
                <w:rFonts w:ascii="Arabic Typesetting" w:hAnsi="Arabic Typesetting" w:cs="Arabic Typesetting"/>
                <w:i/>
                <w:color w:val="002060"/>
                <w:sz w:val="28"/>
                <w:szCs w:val="28"/>
                <w:rtl/>
                <w:lang w:bidi="ar-EG"/>
              </w:rPr>
              <w:t>)</w:t>
            </w:r>
          </w:p>
        </w:tc>
        <w:tc>
          <w:tcPr>
            <w:tcW w:w="909" w:type="pct"/>
            <w:tcBorders>
              <w:top w:val="single" w:sz="4" w:space="0" w:color="auto"/>
              <w:left w:val="nil"/>
              <w:bottom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12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rPr>
              <w:t>6000 مشارك في أحداث المركز الخارجية</w:t>
            </w:r>
          </w:p>
        </w:tc>
        <w:tc>
          <w:tcPr>
            <w:tcW w:w="1289" w:type="pct"/>
            <w:tcBorders>
              <w:top w:val="single" w:sz="4" w:space="0" w:color="auto"/>
              <w:left w:val="nil"/>
              <w:bottom w:val="nil"/>
              <w:right w:val="nil"/>
            </w:tcBorders>
            <w:shd w:val="clear" w:color="auto" w:fill="FFFFFF"/>
            <w:tcMar>
              <w:top w:w="110" w:type="dxa"/>
            </w:tcMar>
          </w:tcPr>
          <w:p w:rsidR="008518E8" w:rsidRPr="00211D55" w:rsidRDefault="008518E8" w:rsidP="00086C3F">
            <w:pPr>
              <w:keepNext/>
              <w:keepLines/>
              <w:bidi/>
              <w:adjustRightInd w:val="0"/>
              <w:snapToGrid w:val="0"/>
              <w:spacing w:before="60" w:after="120" w:line="280" w:lineRule="exact"/>
              <w:rPr>
                <w:rFonts w:ascii="Arabic Typesetting" w:hAnsi="Arabic Typesetting" w:cs="Arabic Typesetting"/>
                <w:b/>
                <w:sz w:val="28"/>
                <w:szCs w:val="28"/>
                <w:rtl/>
              </w:rPr>
            </w:pPr>
            <w:r w:rsidRPr="00211D55">
              <w:rPr>
                <w:rFonts w:ascii="Arabic Typesetting" w:hAnsi="Arabic Typesetting" w:cs="Arabic Typesetting"/>
                <w:b/>
                <w:sz w:val="28"/>
                <w:szCs w:val="28"/>
                <w:rtl/>
              </w:rPr>
              <w:t>9670 مشاركاً في أحداث المركز الخارجية</w:t>
            </w:r>
          </w:p>
        </w:tc>
        <w:tc>
          <w:tcPr>
            <w:tcW w:w="454" w:type="pct"/>
            <w:tcBorders>
              <w:top w:val="single" w:sz="4" w:space="0" w:color="auto"/>
              <w:left w:val="nil"/>
              <w:bottom w:val="nil"/>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tc>
      </w:tr>
      <w:tr w:rsidR="008518E8" w:rsidRPr="00211D55" w:rsidTr="00070FC4">
        <w:trPr>
          <w:cantSplit/>
          <w:trHeight w:val="3615"/>
        </w:trPr>
        <w:tc>
          <w:tcPr>
            <w:tcW w:w="1060" w:type="pct"/>
            <w:vMerge/>
            <w:tcBorders>
              <w:top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p>
        </w:tc>
        <w:tc>
          <w:tcPr>
            <w:tcW w:w="1288" w:type="pct"/>
            <w:tcBorders>
              <w:top w:val="nil"/>
              <w:left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r w:rsidRPr="00211D55">
              <w:rPr>
                <w:rFonts w:ascii="Arabic Typesetting" w:hAnsi="Arabic Typesetting" w:cs="Arabic Typesetting"/>
                <w:sz w:val="28"/>
                <w:szCs w:val="28"/>
                <w:rtl/>
              </w:rPr>
              <w:t xml:space="preserve"> 284 منازعة و79 من المساعي الحميدة (التراكمي بنهاية 2012)؛</w:t>
            </w:r>
          </w:p>
          <w:p w:rsidR="008518E8" w:rsidRPr="00211D55" w:rsidRDefault="008518E8" w:rsidP="00086C3F">
            <w:pPr>
              <w:bidi/>
              <w:adjustRightInd w:val="0"/>
              <w:snapToGrid w:val="0"/>
              <w:spacing w:before="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000 4 استفسار وارد (2010/2011)؛</w:t>
            </w:r>
          </w:p>
          <w:p w:rsidR="00A214AF" w:rsidRPr="00211D55" w:rsidRDefault="008518E8" w:rsidP="00086C3F">
            <w:pPr>
              <w:bidi/>
              <w:adjustRightInd w:val="0"/>
              <w:snapToGrid w:val="0"/>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30 مليون زائر للموقع الإلكتروني (التراكمي بنهاية 2012)</w:t>
            </w:r>
          </w:p>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276 مشاركاً في أحداث المركز النمطية (2010/2011)؛</w:t>
            </w:r>
          </w:p>
          <w:p w:rsidR="008518E8" w:rsidRPr="00211D55" w:rsidRDefault="008518E8" w:rsidP="00086C3F">
            <w:pPr>
              <w:bidi/>
              <w:adjustRightInd w:val="0"/>
              <w:snapToGrid w:val="0"/>
              <w:spacing w:before="60" w:after="60" w:line="280" w:lineRule="exact"/>
              <w:rPr>
                <w:rFonts w:ascii="Arabic Typesetting" w:hAnsi="Arabic Typesetting" w:cs="Arabic Typesetting"/>
                <w:iCs/>
                <w:color w:val="002060"/>
                <w:sz w:val="28"/>
                <w:szCs w:val="28"/>
                <w:rtl/>
                <w:lang w:bidi="ar-EG"/>
              </w:rPr>
            </w:pPr>
            <w:r w:rsidRPr="00211D55">
              <w:rPr>
                <w:rFonts w:ascii="Arabic Typesetting" w:hAnsi="Arabic Typesetting" w:cs="Arabic Typesetting"/>
                <w:sz w:val="28"/>
                <w:szCs w:val="28"/>
                <w:rtl/>
              </w:rPr>
              <w:t>3000 مشارك في أحداث المركز الخارجية (2010/2011)</w:t>
            </w:r>
          </w:p>
        </w:tc>
        <w:tc>
          <w:tcPr>
            <w:tcW w:w="909" w:type="pct"/>
            <w:tcBorders>
              <w:top w:val="nil"/>
              <w:left w:val="nil"/>
              <w:bottom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240" w:line="280" w:lineRule="exact"/>
              <w:rPr>
                <w:rFonts w:ascii="Arabic Typesetting" w:hAnsi="Arabic Typesetting" w:cs="Arabic Typesetting"/>
                <w:b/>
                <w:sz w:val="28"/>
                <w:szCs w:val="28"/>
                <w:rtl/>
              </w:rPr>
            </w:pPr>
          </w:p>
        </w:tc>
        <w:tc>
          <w:tcPr>
            <w:tcW w:w="1289" w:type="pct"/>
            <w:tcBorders>
              <w:top w:val="nil"/>
              <w:left w:val="nil"/>
              <w:bottom w:val="nil"/>
              <w:right w:val="nil"/>
            </w:tcBorders>
            <w:shd w:val="clear" w:color="auto" w:fill="FFFFFF"/>
            <w:tcMar>
              <w:top w:w="110" w:type="dxa"/>
            </w:tcMar>
          </w:tcPr>
          <w:p w:rsidR="008518E8" w:rsidRPr="00211D55" w:rsidRDefault="008518E8" w:rsidP="00086C3F">
            <w:pPr>
              <w:keepNext/>
              <w:keepLines/>
              <w:bidi/>
              <w:adjustRightInd w:val="0"/>
              <w:snapToGrid w:val="0"/>
              <w:spacing w:before="60" w:after="60" w:line="280" w:lineRule="exact"/>
              <w:rPr>
                <w:rFonts w:ascii="Arabic Typesetting" w:hAnsi="Arabic Typesetting" w:cs="Arabic Typesetting"/>
                <w:b/>
                <w:sz w:val="28"/>
                <w:szCs w:val="28"/>
                <w:rtl/>
              </w:rPr>
            </w:pPr>
          </w:p>
        </w:tc>
        <w:tc>
          <w:tcPr>
            <w:tcW w:w="454" w:type="pct"/>
            <w:tcBorders>
              <w:top w:val="nil"/>
              <w:left w:val="nil"/>
              <w:bottom w:val="nil"/>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bCs/>
                <w:color w:val="00B050"/>
                <w:sz w:val="28"/>
                <w:szCs w:val="28"/>
                <w:rtl/>
              </w:rPr>
            </w:pPr>
          </w:p>
        </w:tc>
      </w:tr>
      <w:tr w:rsidR="008518E8" w:rsidRPr="00211D55" w:rsidTr="00070FC4">
        <w:trPr>
          <w:cantSplit/>
        </w:trPr>
        <w:tc>
          <w:tcPr>
            <w:tcW w:w="1060" w:type="pct"/>
            <w:tcBorders>
              <w:top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السياسات البديلة لتسوية المنازعات التي ساهم المركز في وضعها وتنفيذها</w:t>
            </w:r>
          </w:p>
        </w:tc>
        <w:tc>
          <w:tcPr>
            <w:tcW w:w="1288" w:type="pct"/>
            <w:tcBorders>
              <w:top w:val="nil"/>
              <w:left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12 نظاماً معتمداً (جمعية الإدارة الجماعية الدولية للمصنفات السمعية البصرية، وجمعية إدارة حقوق منتجي المصنفات السمعية البصرية، والمعهد الأوروبي لمعايير الاتصالات، والفيلم والإعلام، والمجلس الدولي للمتاحف، والمعهد الوطني للملكية الصناعية- البرازيل ودليل اتفاقات الملكية الفكرية، ومكتب سنغافورة للملكية الفكرية (</w:t>
            </w:r>
            <w:r w:rsidRPr="00211D55">
              <w:rPr>
                <w:rFonts w:ascii="Arabic Typesetting" w:hAnsi="Arabic Typesetting" w:cs="Arabic Typesetting"/>
                <w:i/>
                <w:color w:val="002060"/>
                <w:sz w:val="28"/>
                <w:szCs w:val="28"/>
                <w:lang w:bidi="ar-EG"/>
              </w:rPr>
              <w:t>M</w:t>
            </w:r>
            <w:r w:rsidRPr="00211D55">
              <w:rPr>
                <w:rFonts w:ascii="Arabic Typesetting" w:hAnsi="Arabic Typesetting" w:cs="Arabic Typesetting"/>
                <w:i/>
                <w:color w:val="002060"/>
                <w:sz w:val="28"/>
                <w:szCs w:val="28"/>
                <w:rtl/>
                <w:lang w:bidi="ar-EG"/>
              </w:rPr>
              <w:t>)، ومكتب سنغافورة للملكية الفكرية (</w:t>
            </w:r>
            <w:r w:rsidRPr="00211D55">
              <w:rPr>
                <w:rFonts w:ascii="Arabic Typesetting" w:hAnsi="Arabic Typesetting" w:cs="Arabic Typesetting"/>
                <w:i/>
                <w:color w:val="002060"/>
                <w:sz w:val="28"/>
                <w:szCs w:val="28"/>
                <w:lang w:bidi="ar-EG"/>
              </w:rPr>
              <w:t>ED</w:t>
            </w:r>
            <w:r w:rsidRPr="00211D55">
              <w:rPr>
                <w:rFonts w:ascii="Arabic Typesetting" w:hAnsi="Arabic Typesetting" w:cs="Arabic Typesetting"/>
                <w:i/>
                <w:color w:val="002060"/>
                <w:sz w:val="28"/>
                <w:szCs w:val="28"/>
                <w:rtl/>
                <w:lang w:bidi="ar-EG"/>
              </w:rPr>
              <w:t>)، والمعاهدة الدولية بشأن الموارد الوراثية النباتية للأغذية والزراعة، ولجنة كوريا للاتصالات، والوكالة الكورية للمحتوى الإبداعي) (التراكمي بنهاية 2013)</w:t>
            </w:r>
            <w:r w:rsidRPr="00F96634">
              <w:rPr>
                <w:rFonts w:ascii="Arabic Typesetting" w:hAnsi="Arabic Typesetting" w:cs="Arabic Typesetting"/>
                <w:i/>
                <w:color w:val="002060"/>
                <w:sz w:val="28"/>
                <w:szCs w:val="28"/>
                <w:vertAlign w:val="superscript"/>
                <w:rtl/>
                <w:lang w:bidi="ar-EG"/>
              </w:rPr>
              <w:footnoteReference w:id="50"/>
            </w:r>
          </w:p>
          <w:p w:rsidR="008518E8" w:rsidRPr="00211D55" w:rsidRDefault="008518E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p>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6 أنظمة معتمدة (جمعية الإدارة الجماعية الدولية للمصنفات السمعية البصرية، وجمعية إدارة حقوق منتجي المصنفات السمعية البصرية، والفيلم والإعلام، والمجلس الدولي للمتاحف، ومكتب سنغافورة للملكية الفكرية، والمعاهدة الدولية بشأن الموارد الوراثية النباتية للأغذية والزراعة) (التراكمي بنهاية 2012)</w:t>
            </w:r>
          </w:p>
        </w:tc>
        <w:tc>
          <w:tcPr>
            <w:tcW w:w="909" w:type="pct"/>
            <w:tcBorders>
              <w:top w:val="nil"/>
              <w:left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b/>
                <w:sz w:val="28"/>
                <w:szCs w:val="28"/>
                <w:rtl/>
              </w:rPr>
              <w:t>من نظام واحد إلى ثلاثة أنظمة إضافية</w:t>
            </w:r>
          </w:p>
        </w:tc>
        <w:tc>
          <w:tcPr>
            <w:tcW w:w="1289" w:type="pct"/>
            <w:tcBorders>
              <w:top w:val="nil"/>
              <w:left w:val="nil"/>
              <w:right w:val="nil"/>
            </w:tcBorders>
            <w:shd w:val="clear" w:color="auto" w:fill="FFFFFF"/>
            <w:tcMar>
              <w:top w:w="110" w:type="dxa"/>
            </w:tcMar>
          </w:tcPr>
          <w:p w:rsidR="008518E8" w:rsidRPr="00211D55" w:rsidRDefault="008518E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8 أنظمة إضافية في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xml:space="preserve"> (الجمعية البرازيلية للامتياز (</w:t>
            </w:r>
            <w:r w:rsidRPr="00211D55">
              <w:rPr>
                <w:rFonts w:ascii="Arabic Typesetting" w:hAnsi="Arabic Typesetting" w:cs="Arabic Typesetting"/>
                <w:sz w:val="28"/>
                <w:szCs w:val="28"/>
              </w:rPr>
              <w:t>ABF</w:t>
            </w:r>
            <w:r w:rsidRPr="00211D55">
              <w:rPr>
                <w:rFonts w:ascii="Arabic Typesetting" w:hAnsi="Arabic Typesetting" w:cs="Arabic Typesetting"/>
                <w:sz w:val="28"/>
                <w:szCs w:val="28"/>
                <w:rtl/>
              </w:rPr>
              <w:t>)، والجمعية الإسبانية للامتياز (</w:t>
            </w:r>
            <w:r w:rsidRPr="00211D55">
              <w:rPr>
                <w:rFonts w:ascii="Arabic Typesetting" w:hAnsi="Arabic Typesetting" w:cs="Arabic Typesetting"/>
                <w:sz w:val="28"/>
                <w:szCs w:val="28"/>
              </w:rPr>
              <w:t>AEF</w:t>
            </w:r>
            <w:r w:rsidRPr="00211D55">
              <w:rPr>
                <w:rFonts w:ascii="Arabic Typesetting" w:hAnsi="Arabic Typesetting" w:cs="Arabic Typesetting"/>
                <w:sz w:val="28"/>
                <w:szCs w:val="28"/>
                <w:rtl/>
              </w:rPr>
              <w:t>)، والمديرية العامة للملكية الفكرية في إندونيسيا (</w:t>
            </w:r>
            <w:r w:rsidRPr="00211D55">
              <w:rPr>
                <w:rFonts w:ascii="Arabic Typesetting" w:hAnsi="Arabic Typesetting" w:cs="Arabic Typesetting"/>
                <w:sz w:val="28"/>
                <w:szCs w:val="28"/>
              </w:rPr>
              <w:t>DGIPR</w:t>
            </w:r>
            <w:r w:rsidRPr="00211D55">
              <w:rPr>
                <w:rFonts w:ascii="Arabic Typesetting" w:hAnsi="Arabic Typesetting" w:cs="Arabic Typesetting"/>
                <w:sz w:val="28"/>
                <w:szCs w:val="28"/>
                <w:rtl/>
              </w:rPr>
              <w:t>)، والمديرية الوطنية لحق المؤلف في كولومبيا (</w:t>
            </w:r>
            <w:r w:rsidRPr="00211D55">
              <w:rPr>
                <w:rFonts w:ascii="Arabic Typesetting" w:hAnsi="Arabic Typesetting" w:cs="Arabic Typesetting"/>
                <w:sz w:val="28"/>
                <w:szCs w:val="28"/>
              </w:rPr>
              <w:t>DNDA</w:t>
            </w:r>
            <w:r w:rsidRPr="00211D55">
              <w:rPr>
                <w:rFonts w:ascii="Arabic Typesetting" w:hAnsi="Arabic Typesetting" w:cs="Arabic Typesetting"/>
                <w:sz w:val="28"/>
                <w:szCs w:val="28"/>
                <w:rtl/>
              </w:rPr>
              <w:t>)،</w:t>
            </w:r>
            <w:r w:rsidRPr="00211D55">
              <w:rPr>
                <w:rFonts w:ascii="Arabic Typesetting" w:hAnsi="Arabic Typesetting" w:cs="Arabic Typesetting"/>
                <w:sz w:val="28"/>
                <w:szCs w:val="28"/>
                <w:rtl/>
                <w:lang w:val="fr-CH"/>
              </w:rPr>
              <w:t xml:space="preserve"> ومعهد الهندسة الكهربائية والإلكترونيات (</w:t>
            </w:r>
            <w:r w:rsidRPr="00211D55">
              <w:rPr>
                <w:rFonts w:ascii="Arabic Typesetting" w:hAnsi="Arabic Typesetting" w:cs="Arabic Typesetting"/>
                <w:sz w:val="28"/>
                <w:szCs w:val="28"/>
              </w:rPr>
              <w:t>IEEE</w:t>
            </w:r>
            <w:r w:rsidRPr="00211D55">
              <w:rPr>
                <w:rFonts w:ascii="Arabic Typesetting" w:hAnsi="Arabic Typesetting" w:cs="Arabic Typesetting"/>
                <w:sz w:val="28"/>
                <w:szCs w:val="28"/>
                <w:rtl/>
              </w:rPr>
              <w:t>)، والمعهد المكسيكي للملكية الصناعية (</w:t>
            </w:r>
            <w:r w:rsidRPr="00211D55">
              <w:rPr>
                <w:rFonts w:ascii="Arabic Typesetting" w:hAnsi="Arabic Typesetting" w:cs="Arabic Typesetting"/>
                <w:sz w:val="28"/>
                <w:szCs w:val="28"/>
              </w:rPr>
              <w:t>IMPI</w:t>
            </w:r>
            <w:r w:rsidRPr="00211D55">
              <w:rPr>
                <w:rFonts w:ascii="Arabic Typesetting" w:hAnsi="Arabic Typesetting" w:cs="Arabic Typesetting"/>
                <w:sz w:val="28"/>
                <w:szCs w:val="28"/>
                <w:rtl/>
              </w:rPr>
              <w:t>)، ومكتب الملكية الفكرية في الفلبين (</w:t>
            </w:r>
            <w:r w:rsidRPr="00211D55">
              <w:rPr>
                <w:rFonts w:ascii="Arabic Typesetting" w:hAnsi="Arabic Typesetting" w:cs="Arabic Typesetting"/>
                <w:sz w:val="28"/>
                <w:szCs w:val="28"/>
              </w:rPr>
              <w:t>IPOPHL</w:t>
            </w:r>
            <w:r w:rsidRPr="00211D55">
              <w:rPr>
                <w:rFonts w:ascii="Arabic Typesetting" w:hAnsi="Arabic Typesetting" w:cs="Arabic Typesetting"/>
                <w:sz w:val="28"/>
                <w:szCs w:val="28"/>
                <w:rtl/>
              </w:rPr>
              <w:t>)، والجمعية السويسرية للامتياز (</w:t>
            </w:r>
            <w:r w:rsidRPr="00211D55">
              <w:rPr>
                <w:rFonts w:ascii="Arabic Typesetting" w:hAnsi="Arabic Typesetting" w:cs="Arabic Typesetting"/>
                <w:sz w:val="28"/>
                <w:szCs w:val="28"/>
              </w:rPr>
              <w:t>SFA</w:t>
            </w:r>
            <w:r w:rsidRPr="00211D55">
              <w:rPr>
                <w:rFonts w:ascii="Arabic Typesetting" w:hAnsi="Arabic Typesetting" w:cs="Arabic Typesetting"/>
                <w:sz w:val="28"/>
                <w:szCs w:val="28"/>
                <w:rtl/>
              </w:rPr>
              <w:t>))</w:t>
            </w:r>
          </w:p>
          <w:p w:rsidR="008518E8" w:rsidRPr="00211D55" w:rsidRDefault="008518E8" w:rsidP="00086C3F">
            <w:pPr>
              <w:bidi/>
              <w:spacing w:before="60" w:after="60" w:line="280" w:lineRule="exact"/>
              <w:rPr>
                <w:rFonts w:ascii="Arabic Typesetting" w:hAnsi="Arabic Typesetting" w:cs="Arabic Typesetting"/>
                <w:vanish/>
                <w:sz w:val="28"/>
                <w:szCs w:val="28"/>
              </w:rPr>
            </w:pPr>
            <w:r w:rsidRPr="00211D55">
              <w:rPr>
                <w:rFonts w:ascii="Arabic Typesetting" w:hAnsi="Arabic Typesetting" w:cs="Arabic Typesetting"/>
                <w:sz w:val="28"/>
                <w:szCs w:val="28"/>
                <w:rtl/>
              </w:rPr>
              <w:t>(20 التراكمي بنهاية 2015)</w:t>
            </w:r>
          </w:p>
        </w:tc>
        <w:tc>
          <w:tcPr>
            <w:tcW w:w="454" w:type="pct"/>
            <w:tcBorders>
              <w:top w:val="nil"/>
              <w:left w:val="nil"/>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8518E8" w:rsidRPr="00211D55" w:rsidTr="008518E8">
        <w:trPr>
          <w:cantSplit/>
        </w:trPr>
        <w:tc>
          <w:tcPr>
            <w:tcW w:w="5000" w:type="pct"/>
            <w:gridSpan w:val="5"/>
            <w:tcBorders>
              <w:bottom w:val="single" w:sz="4" w:space="0" w:color="auto"/>
            </w:tcBorders>
            <w:shd w:val="clear" w:color="auto" w:fill="C6D9F1" w:themeFill="text2" w:themeFillTint="33"/>
            <w:vAlign w:val="center"/>
          </w:tcPr>
          <w:p w:rsidR="008518E8" w:rsidRPr="00211D55" w:rsidRDefault="008518E8" w:rsidP="000E2DE3">
            <w:pPr>
              <w:keepNext/>
              <w:bidi/>
              <w:spacing w:after="60" w:line="280" w:lineRule="exact"/>
              <w:ind w:left="1167" w:hanging="1167"/>
              <w:rPr>
                <w:rFonts w:ascii="Arabic Typesetting" w:hAnsi="Arabic Typesetting" w:cs="Arabic Typesetting"/>
                <w:b/>
                <w:sz w:val="28"/>
                <w:szCs w:val="28"/>
                <w:lang w:bidi="ar-EG"/>
              </w:rPr>
            </w:pPr>
            <w:r w:rsidRPr="00211D55">
              <w:rPr>
                <w:rFonts w:ascii="Arabic Typesetting" w:hAnsi="Arabic Typesetting" w:cs="Arabic Typesetting"/>
                <w:bCs/>
                <w:sz w:val="28"/>
                <w:szCs w:val="28"/>
                <w:rtl/>
                <w:lang w:bidi="ar-EG"/>
              </w:rPr>
              <w:lastRenderedPageBreak/>
              <w:t>النتيجة المرتقبة:</w:t>
            </w:r>
            <w:r w:rsidR="006E7FC6" w:rsidRPr="00211D55">
              <w:rPr>
                <w:rFonts w:ascii="Arabic Typesetting" w:hAnsi="Arabic Typesetting" w:cs="Arabic Typesetting"/>
                <w:b/>
                <w:sz w:val="28"/>
                <w:szCs w:val="28"/>
                <w:rtl/>
                <w:lang w:bidi="ar-EG"/>
              </w:rPr>
              <w:tab/>
              <w:t>ه</w:t>
            </w:r>
            <w:r w:rsidRPr="00211D55">
              <w:rPr>
                <w:rFonts w:ascii="Arabic Typesetting" w:hAnsi="Arabic Typesetting" w:cs="Arabic Typesetting"/>
                <w:b/>
                <w:sz w:val="28"/>
                <w:szCs w:val="28"/>
                <w:rtl/>
                <w:lang w:bidi="ar-EG"/>
              </w:rPr>
              <w:t xml:space="preserve">9.2 </w:t>
            </w:r>
            <w:r w:rsidR="00A0719D">
              <w:rPr>
                <w:rFonts w:ascii="Arabic Typesetting" w:hAnsi="Arabic Typesetting" w:cs="Arabic Typesetting"/>
                <w:b/>
                <w:sz w:val="28"/>
                <w:szCs w:val="28"/>
                <w:rtl/>
                <w:lang w:bidi="ar-EG"/>
              </w:rPr>
              <w:t>حماية الملكية الفكرية حمايةً فعالة في الحقول العليا المكونة من أسماء عامة وفي تسجيل الحقول العليا المكونة من رموز البلدان</w:t>
            </w:r>
          </w:p>
        </w:tc>
      </w:tr>
      <w:tr w:rsidR="008518E8" w:rsidRPr="00211D55" w:rsidTr="008518E8">
        <w:trPr>
          <w:cantSplit/>
          <w:trHeight w:val="292"/>
        </w:trPr>
        <w:tc>
          <w:tcPr>
            <w:tcW w:w="1060" w:type="pct"/>
            <w:tcBorders>
              <w:bottom w:val="nil"/>
              <w:right w:val="nil"/>
            </w:tcBorders>
            <w:shd w:val="clear" w:color="auto" w:fill="auto"/>
            <w:vAlign w:val="center"/>
          </w:tcPr>
          <w:p w:rsidR="008518E8" w:rsidRPr="00211D55" w:rsidRDefault="008518E8" w:rsidP="00086C3F">
            <w:pPr>
              <w:keepNext/>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مؤشرات الأداء</w:t>
            </w:r>
          </w:p>
        </w:tc>
        <w:tc>
          <w:tcPr>
            <w:tcW w:w="1288" w:type="pct"/>
            <w:tcBorders>
              <w:left w:val="nil"/>
              <w:bottom w:val="nil"/>
              <w:right w:val="nil"/>
            </w:tcBorders>
            <w:shd w:val="clear" w:color="auto" w:fill="auto"/>
            <w:vAlign w:val="center"/>
          </w:tcPr>
          <w:p w:rsidR="008518E8" w:rsidRPr="00211D55" w:rsidRDefault="008518E8" w:rsidP="00086C3F">
            <w:pPr>
              <w:keepNext/>
              <w:bidi/>
              <w:spacing w:before="60" w:after="60" w:line="280" w:lineRule="exact"/>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lang w:bidi="ar-EG"/>
              </w:rPr>
              <w:t>أسس المقارنة</w:t>
            </w:r>
          </w:p>
        </w:tc>
        <w:tc>
          <w:tcPr>
            <w:tcW w:w="909" w:type="pct"/>
            <w:tcBorders>
              <w:left w:val="nil"/>
              <w:bottom w:val="nil"/>
              <w:right w:val="nil"/>
            </w:tcBorders>
            <w:shd w:val="clear" w:color="auto" w:fill="auto"/>
            <w:tcMar>
              <w:top w:w="110" w:type="dxa"/>
            </w:tcMar>
            <w:vAlign w:val="center"/>
          </w:tcPr>
          <w:p w:rsidR="008518E8" w:rsidRPr="00211D55" w:rsidRDefault="008518E8" w:rsidP="00086C3F">
            <w:pPr>
              <w:keepNext/>
              <w:bidi/>
              <w:spacing w:before="60" w:after="60" w:line="280" w:lineRule="exact"/>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الأهداف</w:t>
            </w:r>
          </w:p>
        </w:tc>
        <w:tc>
          <w:tcPr>
            <w:tcW w:w="1289" w:type="pct"/>
            <w:tcBorders>
              <w:left w:val="nil"/>
              <w:bottom w:val="nil"/>
              <w:right w:val="nil"/>
            </w:tcBorders>
            <w:shd w:val="clear" w:color="auto" w:fill="FFFFFF"/>
            <w:tcMar>
              <w:top w:w="110" w:type="dxa"/>
            </w:tcMar>
            <w:vAlign w:val="center"/>
          </w:tcPr>
          <w:p w:rsidR="008518E8" w:rsidRPr="00211D55" w:rsidRDefault="008518E8" w:rsidP="00086C3F">
            <w:pPr>
              <w:keepNext/>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بيانات الأداء</w:t>
            </w:r>
          </w:p>
        </w:tc>
        <w:tc>
          <w:tcPr>
            <w:tcW w:w="454" w:type="pct"/>
            <w:tcBorders>
              <w:left w:val="nil"/>
              <w:bottom w:val="nil"/>
            </w:tcBorders>
            <w:shd w:val="clear" w:color="auto" w:fill="auto"/>
            <w:tcMar>
              <w:top w:w="110" w:type="dxa"/>
            </w:tcMar>
            <w:vAlign w:val="center"/>
          </w:tcPr>
          <w:p w:rsidR="008518E8" w:rsidRPr="00211D55" w:rsidRDefault="008518E8" w:rsidP="00086C3F">
            <w:pPr>
              <w:keepNext/>
              <w:keepLines/>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السير</w:t>
            </w:r>
          </w:p>
        </w:tc>
      </w:tr>
      <w:tr w:rsidR="008518E8" w:rsidRPr="00211D55" w:rsidTr="008518E8">
        <w:trPr>
          <w:cantSplit/>
        </w:trPr>
        <w:tc>
          <w:tcPr>
            <w:tcW w:w="1060" w:type="pct"/>
            <w:tcBorders>
              <w:top w:val="nil"/>
              <w:bottom w:val="nil"/>
              <w:right w:val="nil"/>
            </w:tcBorders>
            <w:shd w:val="clear" w:color="auto" w:fill="FFFFFF"/>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عدد الحالات المعالجة المتعلقة بالحقول العليا المكونة من أسماء عامة في إطار السياسة الموحدة لتسوية المنازعات المتعلقة بأسماء الحقول</w:t>
            </w:r>
          </w:p>
        </w:tc>
        <w:tc>
          <w:tcPr>
            <w:tcW w:w="1288" w:type="pct"/>
            <w:tcBorders>
              <w:top w:val="nil"/>
              <w:left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معالجة 901 24 حالة متعلقة بالحقول العليا المكونة من أسماء عامة في المركز (التراكمي بنهاية 2013)</w:t>
            </w:r>
          </w:p>
          <w:p w:rsidR="008518E8" w:rsidRPr="00211D55" w:rsidRDefault="008518E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p>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معالجة 644 22 حالة متعلقة بالحقول العليا المكونة من أسماء عامة في المركز (التراكمي بنهاية 2012)</w:t>
            </w:r>
          </w:p>
        </w:tc>
        <w:tc>
          <w:tcPr>
            <w:tcW w:w="909" w:type="pct"/>
            <w:tcBorders>
              <w:top w:val="nil"/>
              <w:left w:val="nil"/>
              <w:bottom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b/>
                <w:sz w:val="28"/>
                <w:szCs w:val="28"/>
                <w:rtl/>
              </w:rPr>
              <w:t>3000 حالة إضافية</w:t>
            </w:r>
          </w:p>
        </w:tc>
        <w:tc>
          <w:tcPr>
            <w:tcW w:w="1289" w:type="pct"/>
            <w:tcBorders>
              <w:top w:val="nil"/>
              <w:left w:val="nil"/>
              <w:bottom w:val="nil"/>
              <w:right w:val="nil"/>
            </w:tcBorders>
            <w:shd w:val="clear" w:color="auto" w:fill="FFFFFF"/>
            <w:tcMar>
              <w:top w:w="110" w:type="dxa"/>
            </w:tcMar>
          </w:tcPr>
          <w:p w:rsidR="008518E8" w:rsidRPr="00211D55" w:rsidRDefault="008518E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4666 حالة إضافية متعلقة بالحقول العليا المكونة من أسماء عامة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w:t>
            </w:r>
          </w:p>
          <w:p w:rsidR="008518E8" w:rsidRPr="00211D55" w:rsidRDefault="008518E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(567 29 حالة متعلقة بالحقول العليا المكونة من أسماء عامة، عدد تراكمي)</w:t>
            </w:r>
          </w:p>
        </w:tc>
        <w:tc>
          <w:tcPr>
            <w:tcW w:w="454" w:type="pct"/>
            <w:tcBorders>
              <w:top w:val="nil"/>
              <w:left w:val="nil"/>
              <w:bottom w:val="nil"/>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8518E8" w:rsidRPr="00211D55" w:rsidTr="008518E8">
        <w:trPr>
          <w:cantSplit/>
        </w:trPr>
        <w:tc>
          <w:tcPr>
            <w:tcW w:w="1060" w:type="pct"/>
            <w:tcBorders>
              <w:top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عدد الحالات المعالجة المتعلقة بتسجيل الحقول العليا المكونة من رموز البلدان في إطار السياسة الموحدة لتسوية المنازعات المتعلقة بأسماء الحقول</w:t>
            </w:r>
          </w:p>
        </w:tc>
        <w:tc>
          <w:tcPr>
            <w:tcW w:w="1288" w:type="pct"/>
            <w:tcBorders>
              <w:top w:val="nil"/>
              <w:left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w:t>
            </w:r>
            <w:r w:rsidRPr="00211D55">
              <w:rPr>
                <w:rFonts w:ascii="Arabic Typesetting" w:hAnsi="Arabic Typesetting" w:cs="Arabic Typesetting"/>
                <w:iCs/>
                <w:color w:val="002060"/>
                <w:sz w:val="28"/>
                <w:szCs w:val="28"/>
                <w:rtl/>
                <w:lang w:bidi="ar-EG"/>
              </w:rPr>
              <w:t>معالجة 2798 حالة تسجيل الحقول العليا المكونة من رموز البلدان في المركز (التراكمي بنهاية 2013)</w:t>
            </w:r>
            <w:r w:rsidRPr="00F96634">
              <w:rPr>
                <w:rFonts w:ascii="Arabic Typesetting" w:hAnsi="Arabic Typesetting" w:cs="Arabic Typesetting"/>
                <w:iCs/>
                <w:color w:val="002060"/>
                <w:sz w:val="28"/>
                <w:szCs w:val="28"/>
                <w:vertAlign w:val="superscript"/>
                <w:rtl/>
                <w:lang w:bidi="ar-EG"/>
              </w:rPr>
              <w:footnoteReference w:id="51"/>
            </w:r>
          </w:p>
          <w:p w:rsidR="008518E8" w:rsidRPr="00211D55" w:rsidRDefault="008518E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p>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معالجة 2470 حالة تسجيل الحقول العليا المكونة من رموز البلدان في المركز (التراكمي بنهاية 2012)</w:t>
            </w:r>
          </w:p>
        </w:tc>
        <w:tc>
          <w:tcPr>
            <w:tcW w:w="909" w:type="pct"/>
            <w:tcBorders>
              <w:top w:val="nil"/>
              <w:left w:val="nil"/>
              <w:bottom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b/>
                <w:sz w:val="28"/>
                <w:szCs w:val="28"/>
                <w:rtl/>
              </w:rPr>
              <w:t>350 حالة إضافية</w:t>
            </w:r>
          </w:p>
        </w:tc>
        <w:tc>
          <w:tcPr>
            <w:tcW w:w="1289" w:type="pct"/>
            <w:tcBorders>
              <w:top w:val="nil"/>
              <w:left w:val="nil"/>
              <w:bottom w:val="nil"/>
              <w:right w:val="nil"/>
            </w:tcBorders>
            <w:shd w:val="clear" w:color="auto" w:fill="FFFFFF"/>
            <w:tcMar>
              <w:top w:w="110" w:type="dxa"/>
            </w:tcMar>
          </w:tcPr>
          <w:p w:rsidR="008518E8" w:rsidRPr="00211D55" w:rsidRDefault="008518E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722 حالة إضافية متعلقة بالحقول العليا المكونة من رموز البلدان فقط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(3520 حالة، عدد تراكمي)</w:t>
            </w:r>
          </w:p>
        </w:tc>
        <w:tc>
          <w:tcPr>
            <w:tcW w:w="454" w:type="pct"/>
            <w:tcBorders>
              <w:top w:val="nil"/>
              <w:left w:val="nil"/>
              <w:bottom w:val="nil"/>
            </w:tcBorders>
            <w:shd w:val="clear" w:color="auto" w:fill="auto"/>
          </w:tcPr>
          <w:p w:rsidR="008518E8" w:rsidRPr="00211D55" w:rsidRDefault="008518E8" w:rsidP="00086C3F">
            <w:pPr>
              <w:keepNext/>
              <w:keepLines/>
              <w:bidi/>
              <w:spacing w:before="60" w:after="60" w:line="280" w:lineRule="exact"/>
              <w:jc w:val="center"/>
              <w:rPr>
                <w:rFonts w:ascii="Arabic Typesetting" w:hAnsi="Arabic Typesetting" w:cs="Arabic Typesetting"/>
                <w:b/>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8518E8" w:rsidRPr="00211D55" w:rsidTr="00C10ACB">
        <w:trPr>
          <w:cantSplit/>
        </w:trPr>
        <w:tc>
          <w:tcPr>
            <w:tcW w:w="1060" w:type="pct"/>
            <w:tcBorders>
              <w:top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سياسات تسوية المنازعات التي ساهم المركز في وضعها وتنفيذها في سياق نظام أسماء الحقول</w:t>
            </w:r>
          </w:p>
        </w:tc>
        <w:tc>
          <w:tcPr>
            <w:tcW w:w="1288" w:type="pct"/>
            <w:tcBorders>
              <w:top w:val="nil"/>
              <w:left w:val="nil"/>
              <w:bottom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iCs/>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 السياسة الموحدة،</w:t>
            </w:r>
            <w:r w:rsidRPr="00211D55">
              <w:rPr>
                <w:rFonts w:ascii="Arabic Typesetting" w:hAnsi="Arabic Typesetting" w:cs="Arabic Typesetting"/>
                <w:sz w:val="28"/>
                <w:szCs w:val="28"/>
                <w:rtl/>
              </w:rPr>
              <w:t xml:space="preserve"> </w:t>
            </w:r>
            <w:r w:rsidRPr="00211D55">
              <w:rPr>
                <w:rFonts w:ascii="Arabic Typesetting" w:hAnsi="Arabic Typesetting" w:cs="Arabic Typesetting"/>
                <w:iCs/>
                <w:color w:val="002060"/>
                <w:sz w:val="28"/>
                <w:szCs w:val="28"/>
                <w:rtl/>
                <w:lang w:bidi="ar-EG"/>
              </w:rPr>
              <w:t>وسياسة تسوية المنازعات قبل المنح، وإجراء تسوية منازعات العلامات التجارية بعد المنح (التراكمي بنهاية 2013)</w:t>
            </w:r>
          </w:p>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p>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السياسة الموحدة، وسياسة تسوية المنازعات قبل المنح (التراكمي بنهاية 2012)</w:t>
            </w:r>
          </w:p>
        </w:tc>
        <w:tc>
          <w:tcPr>
            <w:tcW w:w="909" w:type="pct"/>
            <w:tcBorders>
              <w:top w:val="nil"/>
              <w:left w:val="nil"/>
              <w:bottom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b/>
                <w:sz w:val="28"/>
                <w:szCs w:val="28"/>
                <w:rtl/>
              </w:rPr>
              <w:t>تنفيذ سياسة الويبو والتوصيات المتعلقة بالإجراءات في نظام أسماء الحقول</w:t>
            </w:r>
          </w:p>
        </w:tc>
        <w:tc>
          <w:tcPr>
            <w:tcW w:w="1289" w:type="pct"/>
            <w:tcBorders>
              <w:top w:val="nil"/>
              <w:left w:val="nil"/>
              <w:bottom w:val="nil"/>
              <w:right w:val="nil"/>
            </w:tcBorders>
            <w:shd w:val="clear" w:color="auto" w:fill="FFFFFF"/>
            <w:tcMar>
              <w:top w:w="110" w:type="dxa"/>
            </w:tcMar>
          </w:tcPr>
          <w:p w:rsidR="008518E8" w:rsidRPr="00211D55" w:rsidRDefault="008518E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تحديث قواعد السياسة الموحدة لمراعاة أحكام إغلاق المسجل الجديدة (2015)</w:t>
            </w:r>
          </w:p>
          <w:p w:rsidR="008518E8" w:rsidRPr="00211D55" w:rsidRDefault="008518E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السياسة الموحدة، وسياسة </w:t>
            </w:r>
            <w:proofErr w:type="spellStart"/>
            <w:r w:rsidRPr="00211D55">
              <w:rPr>
                <w:rFonts w:ascii="Arabic Typesetting" w:hAnsi="Arabic Typesetting" w:cs="Arabic Typesetting"/>
                <w:sz w:val="28"/>
                <w:szCs w:val="28"/>
                <w:rtl/>
              </w:rPr>
              <w:t>الآيكان</w:t>
            </w:r>
            <w:proofErr w:type="spellEnd"/>
            <w:r w:rsidRPr="00211D55">
              <w:rPr>
                <w:rFonts w:ascii="Arabic Typesetting" w:hAnsi="Arabic Typesetting" w:cs="Arabic Typesetting"/>
                <w:sz w:val="28"/>
                <w:szCs w:val="28"/>
                <w:rtl/>
              </w:rPr>
              <w:t xml:space="preserve"> لتسوية المنازعات قبل المنح، وإجراء </w:t>
            </w:r>
            <w:proofErr w:type="spellStart"/>
            <w:r w:rsidRPr="00211D55">
              <w:rPr>
                <w:rFonts w:ascii="Arabic Typesetting" w:hAnsi="Arabic Typesetting" w:cs="Arabic Typesetting"/>
                <w:sz w:val="28"/>
                <w:szCs w:val="28"/>
                <w:rtl/>
              </w:rPr>
              <w:t>الآيكان</w:t>
            </w:r>
            <w:proofErr w:type="spellEnd"/>
            <w:r w:rsidRPr="00211D55">
              <w:rPr>
                <w:rFonts w:ascii="Arabic Typesetting" w:hAnsi="Arabic Typesetting" w:cs="Arabic Typesetting"/>
                <w:sz w:val="28"/>
                <w:szCs w:val="28"/>
                <w:rtl/>
              </w:rPr>
              <w:t xml:space="preserve"> لتسوية منازعات العلامات التجارية بعد المنح (التراكمي بنهاية 2015)؛ لا توجد أي سياسات أو توصيات جديدة ينبغي تنفيذها.</w:t>
            </w:r>
          </w:p>
        </w:tc>
        <w:tc>
          <w:tcPr>
            <w:tcW w:w="454" w:type="pct"/>
            <w:tcBorders>
              <w:top w:val="nil"/>
              <w:left w:val="nil"/>
              <w:bottom w:val="nil"/>
            </w:tcBorders>
            <w:shd w:val="clear" w:color="auto" w:fill="auto"/>
            <w:tcMar>
              <w:top w:w="110" w:type="dxa"/>
            </w:tcMar>
          </w:tcPr>
          <w:p w:rsidR="008518E8" w:rsidRPr="00211D55" w:rsidRDefault="008518E8" w:rsidP="00086C3F">
            <w:pPr>
              <w:keepNext/>
              <w:keepLines/>
              <w:bidi/>
              <w:spacing w:before="60" w:after="60" w:line="280" w:lineRule="exact"/>
              <w:jc w:val="center"/>
              <w:rPr>
                <w:rFonts w:ascii="Arabic Typesetting" w:hAnsi="Arabic Typesetting" w:cs="Arabic Typesetting"/>
                <w:b/>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8518E8" w:rsidRPr="00211D55" w:rsidTr="00C10ACB">
        <w:trPr>
          <w:cantSplit/>
        </w:trPr>
        <w:tc>
          <w:tcPr>
            <w:tcW w:w="1060" w:type="pct"/>
            <w:tcBorders>
              <w:top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عدد جهات إدارة تسجيل الحقول العليا المكونة من رموز البلدان بمساعدة تقدمها الويبو لتصميم أو إدارة آليات حماية الملكية الفكرية وفقا للمعايير الدولية</w:t>
            </w:r>
          </w:p>
        </w:tc>
        <w:tc>
          <w:tcPr>
            <w:tcW w:w="1288" w:type="pct"/>
            <w:tcBorders>
              <w:top w:val="nil"/>
              <w:left w:val="nil"/>
              <w:right w:val="nil"/>
            </w:tcBorders>
            <w:shd w:val="clear" w:color="auto" w:fill="auto"/>
          </w:tcPr>
          <w:p w:rsidR="008518E8" w:rsidRPr="00211D55" w:rsidRDefault="008518E8" w:rsidP="00086C3F">
            <w:pPr>
              <w:bidi/>
              <w:adjustRightInd w:val="0"/>
              <w:snapToGrid w:val="0"/>
              <w:spacing w:before="60" w:after="60" w:line="280" w:lineRule="exact"/>
              <w:rPr>
                <w:rFonts w:ascii="Arabic Typesetting" w:hAnsi="Arabic Typesetting" w:cs="Arabic Typesetting"/>
                <w:iCs/>
                <w:color w:val="002060"/>
                <w:sz w:val="28"/>
                <w:szCs w:val="28"/>
                <w:rtl/>
                <w:lang w:bidi="ar-EG"/>
              </w:rPr>
            </w:pPr>
            <w:r w:rsidRPr="00211D55">
              <w:rPr>
                <w:rFonts w:ascii="Arabic Typesetting" w:hAnsi="Arabic Typesetting" w:cs="Arabic Typesetting"/>
                <w:iCs/>
                <w:color w:val="002060"/>
                <w:sz w:val="28"/>
                <w:szCs w:val="28"/>
                <w:rtl/>
                <w:lang w:bidi="ar-EG"/>
              </w:rPr>
              <w:t xml:space="preserve">أسس المقارنة المحدثة في نهاية 2013: </w:t>
            </w:r>
            <w:r w:rsidRPr="00211D55">
              <w:rPr>
                <w:rFonts w:ascii="Arabic Typesetting" w:hAnsi="Arabic Typesetting" w:cs="Arabic Typesetting"/>
                <w:i/>
                <w:color w:val="002060"/>
                <w:sz w:val="28"/>
                <w:szCs w:val="28"/>
                <w:rtl/>
                <w:lang w:bidi="ar-EG"/>
              </w:rPr>
              <w:t>70 جهة من جهات إدارة تسجيل الحقول العليا المكونة من رموز البلدان (التراكمي بنهاية 2013</w:t>
            </w:r>
            <w:r w:rsidRPr="00211D55">
              <w:rPr>
                <w:rFonts w:ascii="Arabic Typesetting" w:hAnsi="Arabic Typesetting" w:cs="Arabic Typesetting"/>
                <w:i/>
                <w:color w:val="002060"/>
                <w:sz w:val="28"/>
                <w:szCs w:val="28"/>
                <w:lang w:bidi="ar-EG"/>
              </w:rPr>
              <w:t>(</w:t>
            </w:r>
          </w:p>
          <w:p w:rsidR="008518E8" w:rsidRPr="00211D55" w:rsidRDefault="008518E8" w:rsidP="00086C3F">
            <w:pPr>
              <w:bidi/>
              <w:adjustRightInd w:val="0"/>
              <w:snapToGrid w:val="0"/>
              <w:spacing w:before="60" w:after="60" w:line="280" w:lineRule="exact"/>
              <w:rPr>
                <w:rFonts w:ascii="Arabic Typesetting" w:hAnsi="Arabic Typesetting" w:cs="Arabic Typesetting"/>
                <w:iCs/>
                <w:sz w:val="28"/>
                <w:szCs w:val="28"/>
                <w:rtl/>
                <w:lang w:bidi="ar-EG"/>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p>
          <w:p w:rsidR="008518E8" w:rsidRPr="00211D55" w:rsidRDefault="008518E8" w:rsidP="00086C3F">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67 جهة من جهات إدارة تسجيل الحقول العليا المكونة من رموز البلدان (التراكمي بنهاية 2012</w:t>
            </w:r>
            <w:r w:rsidRPr="00211D55">
              <w:rPr>
                <w:rFonts w:ascii="Arabic Typesetting" w:hAnsi="Arabic Typesetting" w:cs="Arabic Typesetting"/>
                <w:sz w:val="28"/>
                <w:szCs w:val="28"/>
                <w:lang w:bidi="th-TH"/>
              </w:rPr>
              <w:t>(</w:t>
            </w:r>
          </w:p>
        </w:tc>
        <w:tc>
          <w:tcPr>
            <w:tcW w:w="909" w:type="pct"/>
            <w:tcBorders>
              <w:top w:val="nil"/>
              <w:left w:val="nil"/>
              <w:right w:val="nil"/>
            </w:tcBorders>
            <w:shd w:val="clear" w:color="auto" w:fill="auto"/>
            <w:tcMar>
              <w:top w:w="110" w:type="dxa"/>
            </w:tcMar>
          </w:tcPr>
          <w:p w:rsidR="008518E8" w:rsidRPr="00211D55" w:rsidRDefault="008518E8" w:rsidP="00086C3F">
            <w:pPr>
              <w:keepNext/>
              <w:keepLines/>
              <w:bidi/>
              <w:adjustRightInd w:val="0"/>
              <w:snapToGrid w:val="0"/>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b/>
                <w:sz w:val="28"/>
                <w:szCs w:val="28"/>
                <w:rtl/>
              </w:rPr>
              <w:t>أربع جهات إدارة جديدة</w:t>
            </w:r>
          </w:p>
        </w:tc>
        <w:tc>
          <w:tcPr>
            <w:tcW w:w="1289" w:type="pct"/>
            <w:tcBorders>
              <w:top w:val="nil"/>
              <w:left w:val="nil"/>
              <w:right w:val="nil"/>
            </w:tcBorders>
            <w:shd w:val="clear" w:color="auto" w:fill="FFFFFF"/>
            <w:tcMar>
              <w:top w:w="110" w:type="dxa"/>
            </w:tcMar>
          </w:tcPr>
          <w:p w:rsidR="008518E8" w:rsidRPr="00211D55" w:rsidRDefault="008518E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جهتان جديدتان (</w:t>
            </w:r>
            <w:r w:rsidRPr="00211D55">
              <w:rPr>
                <w:rFonts w:ascii="Arabic Typesetting" w:hAnsi="Arabic Typesetting" w:cs="Arabic Typesetting"/>
                <w:sz w:val="28"/>
                <w:szCs w:val="28"/>
                <w:lang w:val="fr-CH"/>
              </w:rPr>
              <w:t>.</w:t>
            </w:r>
            <w:r w:rsidRPr="00211D55">
              <w:rPr>
                <w:rFonts w:ascii="Arabic Typesetting" w:hAnsi="Arabic Typesetting" w:cs="Arabic Typesetting"/>
                <w:sz w:val="28"/>
                <w:szCs w:val="28"/>
              </w:rPr>
              <w:t>GQ</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.VG</w:t>
            </w:r>
            <w:r w:rsidRPr="00211D55">
              <w:rPr>
                <w:rFonts w:ascii="Arabic Typesetting" w:hAnsi="Arabic Typesetting" w:cs="Arabic Typesetting"/>
                <w:sz w:val="28"/>
                <w:szCs w:val="28"/>
                <w:rtl/>
              </w:rPr>
              <w:t>)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(71، عدد تراكمي بعد وقف جهة إدارة واحدة)</w:t>
            </w:r>
          </w:p>
        </w:tc>
        <w:tc>
          <w:tcPr>
            <w:tcW w:w="454" w:type="pct"/>
            <w:tcBorders>
              <w:top w:val="nil"/>
              <w:left w:val="nil"/>
            </w:tcBorders>
            <w:shd w:val="clear" w:color="auto" w:fill="auto"/>
            <w:tcMar>
              <w:top w:w="110" w:type="dxa"/>
            </w:tcMar>
          </w:tcPr>
          <w:p w:rsidR="008518E8" w:rsidRPr="00211D55" w:rsidRDefault="008518E8" w:rsidP="007A7336">
            <w:pPr>
              <w:keepNext/>
              <w:keepLines/>
              <w:bidi/>
              <w:spacing w:before="60" w:after="60" w:line="280" w:lineRule="exact"/>
              <w:jc w:val="center"/>
              <w:rPr>
                <w:rFonts w:ascii="Arabic Typesetting" w:hAnsi="Arabic Typesetting" w:cs="Arabic Typesetting"/>
                <w:b/>
                <w:bCs/>
                <w:color w:val="D56509"/>
                <w:sz w:val="28"/>
                <w:szCs w:val="28"/>
                <w:rtl/>
              </w:rPr>
            </w:pPr>
            <w:r w:rsidRPr="00211D55">
              <w:rPr>
                <w:rFonts w:ascii="Arabic Typesetting" w:hAnsi="Arabic Typesetting" w:cs="Arabic Typesetting"/>
                <w:b/>
                <w:bCs/>
                <w:color w:val="D56509"/>
                <w:sz w:val="28"/>
                <w:szCs w:val="28"/>
                <w:rtl/>
              </w:rPr>
              <w:t>محقق جزئياً</w:t>
            </w:r>
          </w:p>
        </w:tc>
      </w:tr>
    </w:tbl>
    <w:p w:rsidR="008518E8" w:rsidRPr="00141A0B" w:rsidRDefault="00B264F9" w:rsidP="00E00E9F">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8518E8" w:rsidRPr="00211D55" w:rsidTr="008518E8">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8518E8" w:rsidRPr="00211D55" w:rsidRDefault="008518E8"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8518E8" w:rsidRPr="00211D55" w:rsidRDefault="008518E8"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8518E8" w:rsidRPr="00211D55" w:rsidRDefault="008518E8"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8518E8"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8518E8" w:rsidRPr="00211D55" w:rsidTr="007A7336">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8518E8" w:rsidRPr="007A7336" w:rsidRDefault="008518E8" w:rsidP="007A7336">
            <w:pPr>
              <w:bidi/>
              <w:adjustRightInd w:val="0"/>
              <w:snapToGrid w:val="0"/>
              <w:spacing w:before="60" w:after="60" w:line="280" w:lineRule="exact"/>
              <w:rPr>
                <w:rFonts w:ascii="Arabic Typesetting" w:hAnsi="Arabic Typesetting" w:cs="Arabic Typesetting"/>
                <w:sz w:val="28"/>
                <w:szCs w:val="28"/>
              </w:rPr>
            </w:pPr>
            <w:r w:rsidRPr="007A7336">
              <w:rPr>
                <w:rFonts w:ascii="Arabic Typesetting" w:hAnsi="Arabic Typesetting" w:cs="Arabic Typesetting"/>
                <w:sz w:val="28"/>
                <w:szCs w:val="28"/>
                <w:rtl/>
              </w:rPr>
              <w:t>تغير مقارنة الموارد بالجهات الأخرى المقدمة للخدمات المتعلقة بالأطر البديلة لتسوية المنازعات يؤثر على مكانة خدمات الويبو للتحكيم والوساطة في السوق.</w:t>
            </w:r>
          </w:p>
        </w:tc>
        <w:tc>
          <w:tcPr>
            <w:tcW w:w="2200" w:type="dxa"/>
            <w:tcBorders>
              <w:top w:val="single" w:sz="4" w:space="0" w:color="auto"/>
            </w:tcBorders>
            <w:shd w:val="clear" w:color="auto" w:fill="auto"/>
            <w:tcMar>
              <w:top w:w="113" w:type="dxa"/>
              <w:bottom w:w="113" w:type="dxa"/>
            </w:tcMar>
          </w:tcPr>
          <w:p w:rsidR="008518E8" w:rsidRPr="00211D55" w:rsidRDefault="008518E8" w:rsidP="007A7336">
            <w:pPr>
              <w:bidi/>
              <w:adjustRightInd w:val="0"/>
              <w:snapToGrid w:val="0"/>
              <w:spacing w:before="60" w:after="60" w:line="280" w:lineRule="exact"/>
              <w:rPr>
                <w:rFonts w:ascii="Arabic Typesetting" w:hAnsi="Arabic Typesetting" w:cs="Arabic Typesetting"/>
                <w:sz w:val="28"/>
                <w:szCs w:val="28"/>
              </w:rPr>
            </w:pPr>
            <w:r w:rsidRPr="007A7336">
              <w:rPr>
                <w:rFonts w:ascii="Arabic Typesetting" w:hAnsi="Arabic Typesetting" w:cs="Arabic Typesetting"/>
                <w:sz w:val="28"/>
                <w:szCs w:val="28"/>
                <w:rtl/>
              </w:rPr>
              <w:t>سوف تواصل الويبو الاستفادة من مكانة مركز التحكيم والوساطة باعتباره المختص بالأطر البديلة لتسوية المنازعات بشأن الملكية الفكرية من خلال زيادة التعاون، مثل إقامة المزيد من الشراكات المنتظمة مع جمعيات الملكية الفكرية والجمعيات ذات الصلة، والانتفاع إلى أقصى حد بوجود المركز في سنغافورة من أجل زيادة النشاط الإقليمي، ومن خلال تكثيف التعاون مع إدارات الويبو الأخرى. وإضافة إلى ذلك، يمكن تخفيف الخطر بالمشاركة في الأحداث عن طريق المحايدين التابعين للويبو ومن خلال القيام ببحث جديد عن المستجدات في ممارسات المستخدمين وتوقعاتهم.</w:t>
            </w:r>
          </w:p>
        </w:tc>
        <w:tc>
          <w:tcPr>
            <w:tcW w:w="2310" w:type="dxa"/>
            <w:tcBorders>
              <w:top w:val="single" w:sz="4" w:space="0" w:color="auto"/>
            </w:tcBorders>
          </w:tcPr>
          <w:p w:rsidR="008518E8" w:rsidRPr="007A7336" w:rsidRDefault="008518E8" w:rsidP="007A7336">
            <w:pPr>
              <w:bidi/>
              <w:adjustRightInd w:val="0"/>
              <w:snapToGrid w:val="0"/>
              <w:spacing w:before="60" w:after="60" w:line="280" w:lineRule="exact"/>
              <w:rPr>
                <w:rFonts w:ascii="Arabic Typesetting" w:hAnsi="Arabic Typesetting" w:cs="Arabic Typesetting"/>
                <w:sz w:val="28"/>
                <w:szCs w:val="28"/>
                <w:rtl/>
              </w:rPr>
            </w:pPr>
            <w:r w:rsidRPr="007A7336">
              <w:rPr>
                <w:rFonts w:ascii="Arabic Typesetting" w:hAnsi="Arabic Typesetting" w:cs="Arabic Typesetting" w:hint="cs"/>
                <w:sz w:val="28"/>
                <w:szCs w:val="28"/>
                <w:rtl/>
              </w:rPr>
              <w:t>ظهور مقدمي خدمات السبل البديلة لتسوية المنازعات على الصعيد الدولي وبخاصة في مجال الملكية الفكرية قد فاقم الشواغل بشأن الاعتراف في السوق.</w:t>
            </w:r>
          </w:p>
          <w:p w:rsidR="008518E8" w:rsidRPr="007A7336" w:rsidRDefault="008518E8" w:rsidP="007A7336">
            <w:pPr>
              <w:bidi/>
              <w:adjustRightInd w:val="0"/>
              <w:snapToGrid w:val="0"/>
              <w:spacing w:before="60" w:after="60" w:line="280" w:lineRule="exact"/>
              <w:rPr>
                <w:rFonts w:ascii="Arabic Typesetting" w:hAnsi="Arabic Typesetting" w:cs="Arabic Typesetting"/>
                <w:sz w:val="28"/>
                <w:szCs w:val="28"/>
              </w:rPr>
            </w:pPr>
            <w:r w:rsidRPr="007A7336">
              <w:rPr>
                <w:rFonts w:ascii="Arabic Typesetting" w:hAnsi="Arabic Typesetting" w:cs="Arabic Typesetting" w:hint="cs"/>
                <w:sz w:val="28"/>
                <w:szCs w:val="28"/>
                <w:rtl/>
              </w:rPr>
              <w:t xml:space="preserve">سعت الويبو جاهدة في </w:t>
            </w:r>
            <w:r w:rsidR="00507DE2">
              <w:rPr>
                <w:rFonts w:ascii="Arabic Typesetting" w:hAnsi="Arabic Typesetting" w:cs="Arabic Typesetting" w:hint="cs"/>
                <w:sz w:val="28"/>
                <w:szCs w:val="28"/>
                <w:rtl/>
              </w:rPr>
              <w:t>2014/15</w:t>
            </w:r>
            <w:r w:rsidRPr="007A7336">
              <w:rPr>
                <w:rFonts w:ascii="Arabic Typesetting" w:hAnsi="Arabic Typesetting" w:cs="Arabic Typesetting" w:hint="cs"/>
                <w:sz w:val="28"/>
                <w:szCs w:val="28"/>
                <w:rtl/>
              </w:rPr>
              <w:t xml:space="preserve"> إلى تنفيذ خطط للحد من وطأة هذا الخطر عن طريق مجموعة من المبادرات القانونية والترويجية واستفادت أيضاً من حضور مكاتب الويبو الخارجية فيما يخص السبل البديلة لتسوية منازعات الملكية الفكرية.</w:t>
            </w:r>
          </w:p>
        </w:tc>
        <w:tc>
          <w:tcPr>
            <w:tcW w:w="2306" w:type="dxa"/>
            <w:tcBorders>
              <w:top w:val="single" w:sz="4" w:space="0" w:color="auto"/>
              <w:right w:val="single" w:sz="4" w:space="0" w:color="auto"/>
            </w:tcBorders>
          </w:tcPr>
          <w:p w:rsidR="008518E8" w:rsidRPr="007A7336" w:rsidRDefault="008518E8" w:rsidP="007A7336">
            <w:pPr>
              <w:bidi/>
              <w:snapToGrid w:val="0"/>
              <w:spacing w:before="60" w:after="60" w:line="280" w:lineRule="exact"/>
              <w:rPr>
                <w:rFonts w:ascii="Arabic Typesetting" w:hAnsi="Arabic Typesetting" w:cs="Arabic Typesetting"/>
                <w:sz w:val="28"/>
                <w:szCs w:val="28"/>
              </w:rPr>
            </w:pPr>
            <w:r w:rsidRPr="007A7336">
              <w:rPr>
                <w:rFonts w:ascii="Arabic Typesetting" w:hAnsi="Arabic Typesetting" w:cs="Arabic Typesetting" w:hint="cs"/>
                <w:sz w:val="28"/>
                <w:szCs w:val="28"/>
                <w:rtl/>
              </w:rPr>
              <w:t>يطرح الربط بين المجالات القانونية للملكية الفكرية والسبل البديلة لتسوية المنازعات صعوبات بالنسبة إلى أصحاب المصلحة وممارسات التقاضي. ولكن أسهمت مبادرات الويبو وأنشطتها الرامية إلى الحد من وطأة المخاطر في ضمان تحقيق النتائج المرتقبة للثنائية.</w:t>
            </w:r>
          </w:p>
        </w:tc>
      </w:tr>
      <w:tr w:rsidR="008518E8" w:rsidRPr="00211D55" w:rsidTr="007A7336">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8518E8" w:rsidRPr="007A7336" w:rsidRDefault="008518E8" w:rsidP="007A7336">
            <w:pPr>
              <w:bidi/>
              <w:adjustRightInd w:val="0"/>
              <w:snapToGrid w:val="0"/>
              <w:spacing w:before="60" w:after="60" w:line="280" w:lineRule="exact"/>
              <w:rPr>
                <w:rFonts w:ascii="Arabic Typesetting" w:hAnsi="Arabic Typesetting" w:cs="Arabic Typesetting"/>
                <w:sz w:val="28"/>
                <w:szCs w:val="28"/>
                <w:rtl/>
              </w:rPr>
            </w:pPr>
            <w:r w:rsidRPr="007A7336">
              <w:rPr>
                <w:rFonts w:ascii="Arabic Typesetting" w:hAnsi="Arabic Typesetting" w:cs="Arabic Typesetting"/>
                <w:sz w:val="28"/>
                <w:szCs w:val="28"/>
                <w:rtl/>
              </w:rPr>
              <w:t xml:space="preserve">تجزُّؤ نظام أسماء الحقول والتنافس داخله، وإجراءات وضع سياسات هيئة الإنترنت المعنية بالأسماء والأرقام المعينة، </w:t>
            </w:r>
            <w:r w:rsidRPr="007A7336">
              <w:rPr>
                <w:rFonts w:ascii="Arabic Typesetting" w:hAnsi="Arabic Typesetting" w:cs="Arabic Typesetting" w:hint="cs"/>
                <w:sz w:val="28"/>
                <w:szCs w:val="28"/>
                <w:rtl/>
              </w:rPr>
              <w:t>و</w:t>
            </w:r>
            <w:r w:rsidRPr="007A7336">
              <w:rPr>
                <w:rFonts w:ascii="Arabic Typesetting" w:hAnsi="Arabic Typesetting" w:cs="Arabic Typesetting"/>
                <w:sz w:val="28"/>
                <w:szCs w:val="28"/>
                <w:rtl/>
              </w:rPr>
              <w:t xml:space="preserve">القواعد المركزية الضاغطة (بما في ذلك السياسة الموحدة لتسوية المنازعات المتعلقة بأسماء الحقول) وتفوُّق المركز؛ </w:t>
            </w:r>
            <w:r w:rsidRPr="007A7336">
              <w:rPr>
                <w:rFonts w:ascii="Arabic Typesetting" w:hAnsi="Arabic Typesetting" w:cs="Arabic Typesetting" w:hint="cs"/>
                <w:sz w:val="28"/>
                <w:szCs w:val="28"/>
                <w:rtl/>
              </w:rPr>
              <w:t>و</w:t>
            </w:r>
            <w:r w:rsidRPr="007A7336">
              <w:rPr>
                <w:rFonts w:ascii="Arabic Typesetting" w:hAnsi="Arabic Typesetting" w:cs="Arabic Typesetting"/>
                <w:sz w:val="28"/>
                <w:szCs w:val="28"/>
                <w:rtl/>
              </w:rPr>
              <w:t xml:space="preserve">توسُّع نظام أسماء الحقول وزيادة استخدام الأطر البديلة لتسوية المنازعات في نظام أسماء الحقول </w:t>
            </w:r>
            <w:r w:rsidRPr="007A7336">
              <w:rPr>
                <w:rFonts w:ascii="Arabic Typesetting" w:hAnsi="Arabic Typesetting" w:cs="Arabic Typesetting" w:hint="cs"/>
                <w:sz w:val="28"/>
                <w:szCs w:val="28"/>
                <w:rtl/>
              </w:rPr>
              <w:t xml:space="preserve">اللذان </w:t>
            </w:r>
            <w:r w:rsidR="009F5F08" w:rsidRPr="007A7336">
              <w:rPr>
                <w:rFonts w:ascii="Arabic Typesetting" w:hAnsi="Arabic Typesetting" w:cs="Arabic Typesetting" w:hint="cs"/>
                <w:sz w:val="28"/>
                <w:szCs w:val="28"/>
                <w:rtl/>
              </w:rPr>
              <w:t>يطرحان</w:t>
            </w:r>
            <w:r w:rsidRPr="007A7336">
              <w:rPr>
                <w:rFonts w:ascii="Arabic Typesetting" w:hAnsi="Arabic Typesetting" w:cs="Arabic Typesetting"/>
                <w:sz w:val="28"/>
                <w:szCs w:val="28"/>
                <w:rtl/>
              </w:rPr>
              <w:t xml:space="preserve"> تحدياً لإدارة قضايا المركز وأدوار وضع السياسات.</w:t>
            </w:r>
          </w:p>
        </w:tc>
        <w:tc>
          <w:tcPr>
            <w:tcW w:w="2200" w:type="dxa"/>
            <w:tcBorders>
              <w:bottom w:val="single" w:sz="4" w:space="0" w:color="auto"/>
            </w:tcBorders>
            <w:shd w:val="clear" w:color="auto" w:fill="auto"/>
            <w:tcMar>
              <w:top w:w="113" w:type="dxa"/>
              <w:bottom w:w="113" w:type="dxa"/>
            </w:tcMar>
          </w:tcPr>
          <w:p w:rsidR="008518E8" w:rsidRPr="007A7336" w:rsidRDefault="008518E8" w:rsidP="007A7336">
            <w:pPr>
              <w:bidi/>
              <w:adjustRightInd w:val="0"/>
              <w:snapToGrid w:val="0"/>
              <w:spacing w:before="60" w:after="60" w:line="280" w:lineRule="exact"/>
              <w:rPr>
                <w:rFonts w:ascii="Arabic Typesetting" w:hAnsi="Arabic Typesetting" w:cs="Arabic Typesetting"/>
                <w:sz w:val="28"/>
                <w:szCs w:val="28"/>
                <w:rtl/>
              </w:rPr>
            </w:pPr>
            <w:r w:rsidRPr="007A7336">
              <w:rPr>
                <w:rFonts w:ascii="Arabic Typesetting" w:hAnsi="Arabic Typesetting" w:cs="Arabic Typesetting"/>
                <w:sz w:val="28"/>
                <w:szCs w:val="28"/>
                <w:rtl/>
              </w:rPr>
              <w:t>تحديد أولويات موارد إدارة القضايا ووضع السياسات لإيجاد توازن بين "البقاء في السوق" وإضافة الويبو لقيمة محددة.</w:t>
            </w:r>
          </w:p>
        </w:tc>
        <w:tc>
          <w:tcPr>
            <w:tcW w:w="2310" w:type="dxa"/>
            <w:tcBorders>
              <w:bottom w:val="single" w:sz="4" w:space="0" w:color="auto"/>
            </w:tcBorders>
          </w:tcPr>
          <w:p w:rsidR="008518E8" w:rsidRPr="007A7336" w:rsidRDefault="008518E8" w:rsidP="007A7336">
            <w:pPr>
              <w:bidi/>
              <w:adjustRightInd w:val="0"/>
              <w:snapToGrid w:val="0"/>
              <w:spacing w:before="60" w:after="60" w:line="280" w:lineRule="exact"/>
              <w:rPr>
                <w:rFonts w:ascii="Arabic Typesetting" w:hAnsi="Arabic Typesetting" w:cs="Arabic Typesetting"/>
                <w:sz w:val="28"/>
                <w:szCs w:val="28"/>
              </w:rPr>
            </w:pPr>
            <w:r w:rsidRPr="007A7336">
              <w:rPr>
                <w:rFonts w:ascii="Arabic Typesetting" w:hAnsi="Arabic Typesetting" w:cs="Arabic Typesetting" w:hint="cs"/>
                <w:sz w:val="28"/>
                <w:szCs w:val="28"/>
                <w:rtl/>
              </w:rPr>
              <w:t xml:space="preserve">توسع هذا الخطر وازداد احتمال التعرض له على مدار الثنائية إذ تعتمد </w:t>
            </w:r>
            <w:proofErr w:type="spellStart"/>
            <w:r w:rsidRPr="007A7336">
              <w:rPr>
                <w:rFonts w:ascii="Arabic Typesetting" w:hAnsi="Arabic Typesetting" w:cs="Arabic Typesetting" w:hint="cs"/>
                <w:sz w:val="28"/>
                <w:szCs w:val="28"/>
                <w:rtl/>
              </w:rPr>
              <w:t>الآيكان</w:t>
            </w:r>
            <w:proofErr w:type="spellEnd"/>
            <w:r w:rsidRPr="007A7336">
              <w:rPr>
                <w:rFonts w:ascii="Arabic Typesetting" w:hAnsi="Arabic Typesetting" w:cs="Arabic Typesetting" w:hint="cs"/>
                <w:sz w:val="28"/>
                <w:szCs w:val="28"/>
                <w:rtl/>
              </w:rPr>
              <w:t xml:space="preserve"> المزيد من مزودي خدمات السياسة الموحدة وتوافق على توسيع </w:t>
            </w:r>
            <w:r w:rsidRPr="007A7336">
              <w:rPr>
                <w:rFonts w:ascii="Arabic Typesetting" w:hAnsi="Arabic Typesetting" w:cs="Arabic Typesetting"/>
                <w:sz w:val="28"/>
                <w:szCs w:val="28"/>
                <w:rtl/>
              </w:rPr>
              <w:t>نظام أسماء الحقو</w:t>
            </w:r>
            <w:r w:rsidRPr="007A7336">
              <w:rPr>
                <w:rFonts w:ascii="Arabic Typesetting" w:hAnsi="Arabic Typesetting" w:cs="Arabic Typesetting" w:hint="cs"/>
                <w:sz w:val="28"/>
                <w:szCs w:val="28"/>
                <w:rtl/>
              </w:rPr>
              <w:t xml:space="preserve">ل، ما يؤثر سلباً في التوفير المركزي للسبل البديلة لتسوية المنازعات. وشرعت </w:t>
            </w:r>
            <w:proofErr w:type="spellStart"/>
            <w:r w:rsidRPr="007A7336">
              <w:rPr>
                <w:rFonts w:ascii="Arabic Typesetting" w:hAnsi="Arabic Typesetting" w:cs="Arabic Typesetting" w:hint="cs"/>
                <w:sz w:val="28"/>
                <w:szCs w:val="28"/>
                <w:rtl/>
              </w:rPr>
              <w:t>الآيكان</w:t>
            </w:r>
            <w:proofErr w:type="spellEnd"/>
            <w:r w:rsidRPr="007A7336">
              <w:rPr>
                <w:rFonts w:ascii="Arabic Typesetting" w:hAnsi="Arabic Typesetting" w:cs="Arabic Typesetting" w:hint="cs"/>
                <w:sz w:val="28"/>
                <w:szCs w:val="28"/>
                <w:rtl/>
              </w:rPr>
              <w:t xml:space="preserve"> في استعراض آليات حماية الحقوق في إطار نظام لأسماء الحقول يشمل السياسة الموحدة. وتتابع الويبو عن كثب هذه المسارات بحكم مكانتها كجهة موفرة للسبل البديلة لتسوية المنازعات الناشئة في نظام أسماء الحقوق وتواصل تنفيذ استراتيجيات الحد من وطأة المخاطر بفعالية. وساعد هذه الاستراتيجيات تأخر مسار الاستعراض في </w:t>
            </w:r>
            <w:proofErr w:type="spellStart"/>
            <w:r w:rsidRPr="007A7336">
              <w:rPr>
                <w:rFonts w:ascii="Arabic Typesetting" w:hAnsi="Arabic Typesetting" w:cs="Arabic Typesetting" w:hint="cs"/>
                <w:sz w:val="28"/>
                <w:szCs w:val="28"/>
                <w:rtl/>
              </w:rPr>
              <w:t>الآيكان</w:t>
            </w:r>
            <w:proofErr w:type="spellEnd"/>
            <w:r w:rsidRPr="007A7336">
              <w:rPr>
                <w:rFonts w:ascii="Arabic Typesetting" w:hAnsi="Arabic Typesetting" w:cs="Arabic Typesetting" w:hint="cs"/>
                <w:sz w:val="28"/>
                <w:szCs w:val="28"/>
                <w:rtl/>
              </w:rPr>
              <w:t xml:space="preserve"> فضلاً عن الوقت الذي يحتاجه مشغلو الحقول الجديدة للنظر في وضع آليات خاصة بهم لحماية الحقوق.</w:t>
            </w:r>
          </w:p>
        </w:tc>
        <w:tc>
          <w:tcPr>
            <w:tcW w:w="2306" w:type="dxa"/>
            <w:tcBorders>
              <w:bottom w:val="single" w:sz="4" w:space="0" w:color="auto"/>
              <w:right w:val="single" w:sz="4" w:space="0" w:color="auto"/>
            </w:tcBorders>
          </w:tcPr>
          <w:p w:rsidR="008518E8" w:rsidRPr="007A7336" w:rsidRDefault="008518E8" w:rsidP="007A7336">
            <w:pPr>
              <w:bidi/>
              <w:snapToGrid w:val="0"/>
              <w:spacing w:before="60" w:after="60" w:line="280" w:lineRule="exact"/>
              <w:rPr>
                <w:rFonts w:ascii="Arabic Typesetting" w:hAnsi="Arabic Typesetting" w:cs="Arabic Typesetting"/>
                <w:sz w:val="28"/>
                <w:szCs w:val="28"/>
              </w:rPr>
            </w:pPr>
            <w:r w:rsidRPr="007A7336">
              <w:rPr>
                <w:rFonts w:ascii="Arabic Typesetting" w:hAnsi="Arabic Typesetting" w:cs="Arabic Typesetting" w:hint="cs"/>
                <w:sz w:val="28"/>
                <w:szCs w:val="28"/>
                <w:rtl/>
              </w:rPr>
              <w:t>لم تتأثر النتائج المرتقبة للثنائية سلباً بتطور هذا الخطر. ونتيجة للاستراتيجية الموضوعة، شهد عدد القضايا المعروضة على الويبو في إطار السياسة الموحدة زيادة خلال الثنائية.</w:t>
            </w:r>
          </w:p>
        </w:tc>
      </w:tr>
    </w:tbl>
    <w:p w:rsidR="00B264F9" w:rsidRPr="00B264F9" w:rsidRDefault="00B264F9" w:rsidP="00E00E9F">
      <w:pPr>
        <w:keepNext/>
        <w:bidi/>
        <w:spacing w:before="120" w:after="120" w:line="340" w:lineRule="exact"/>
        <w:rPr>
          <w:rFonts w:ascii="Arabic Typesetting" w:hAnsi="Arabic Typesetting" w:cs="Arabic Typesetting"/>
          <w:sz w:val="34"/>
          <w:szCs w:val="34"/>
          <w:rtl/>
        </w:rPr>
      </w:pPr>
      <w:r w:rsidRPr="00B264F9">
        <w:rPr>
          <w:rFonts w:ascii="Arabic Typesetting" w:hAnsi="Arabic Typesetting" w:cs="Arabic Typesetting" w:hint="cs"/>
          <w:sz w:val="34"/>
          <w:szCs w:val="34"/>
          <w:rtl/>
        </w:rPr>
        <w:lastRenderedPageBreak/>
        <w:t>استخدام الموارد</w:t>
      </w:r>
    </w:p>
    <w:p w:rsidR="008518E8" w:rsidRPr="00252762" w:rsidRDefault="00774E37" w:rsidP="00252762">
      <w:pPr>
        <w:keepNext/>
        <w:bidi/>
        <w:spacing w:line="340" w:lineRule="exact"/>
        <w:jc w:val="center"/>
        <w:rPr>
          <w:rFonts w:ascii="Arabic Typesetting" w:hAnsi="Arabic Typesetting" w:cs="Arabic Typesetting"/>
          <w:i/>
          <w:iCs/>
          <w:sz w:val="34"/>
          <w:szCs w:val="34"/>
          <w:rtl/>
        </w:rPr>
      </w:pPr>
      <w:r w:rsidRPr="00774E37">
        <w:rPr>
          <w:rFonts w:ascii="Arabic Typesetting" w:hAnsi="Arabic Typesetting" w:cs="Arabic Typesetting" w:hint="cs"/>
          <w:sz w:val="34"/>
          <w:szCs w:val="34"/>
          <w:rtl/>
        </w:rPr>
        <w:t>الميزانية والنفقات الفعلية (بحسب النتائج)</w:t>
      </w:r>
    </w:p>
    <w:p w:rsidR="008518E8" w:rsidRPr="008518E8" w:rsidRDefault="008518E8" w:rsidP="00086C3F">
      <w:pPr>
        <w:keepNext/>
        <w:bidi/>
        <w:spacing w:after="120" w:line="340" w:lineRule="exact"/>
        <w:jc w:val="center"/>
        <w:rPr>
          <w:rFonts w:ascii="Arabic Typesetting" w:hAnsi="Arabic Typesetting" w:cs="Arabic Typesetting"/>
          <w:i/>
          <w:iCs/>
          <w:sz w:val="34"/>
          <w:szCs w:val="34"/>
          <w:rtl/>
        </w:rPr>
      </w:pPr>
      <w:r w:rsidRPr="008518E8">
        <w:rPr>
          <w:rFonts w:ascii="Arabic Typesetting" w:hAnsi="Arabic Typesetting" w:cs="Arabic Typesetting" w:hint="cs"/>
          <w:i/>
          <w:iCs/>
          <w:sz w:val="34"/>
          <w:szCs w:val="34"/>
          <w:rtl/>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8518E8" w:rsidRPr="00211D55" w:rsidTr="008518E8">
        <w:trPr>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8518E8" w:rsidRPr="00211D55" w:rsidRDefault="008518E8" w:rsidP="00086C3F">
            <w:pPr>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8518E8" w:rsidRPr="00211D55" w:rsidRDefault="008518E8" w:rsidP="00086C3F">
            <w:pPr>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8518E8" w:rsidRPr="00211D55" w:rsidRDefault="008518E8" w:rsidP="00086C3F">
            <w:pPr>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8518E8" w:rsidRPr="00211D55" w:rsidRDefault="008518E8" w:rsidP="00086C3F">
            <w:pPr>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8518E8" w:rsidRPr="00211D55" w:rsidTr="008518E8">
        <w:trPr>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8518E8" w:rsidRPr="00211D55" w:rsidRDefault="008518E8"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ھ8.2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8518E8" w:rsidRPr="00211D55" w:rsidRDefault="00A0719D" w:rsidP="00086C3F">
            <w:pPr>
              <w:bidi/>
              <w:rPr>
                <w:rFonts w:ascii="Arabic Typesetting" w:hAnsi="Arabic Typesetting" w:cs="Arabic Typesetting"/>
                <w:sz w:val="28"/>
                <w:szCs w:val="28"/>
              </w:rPr>
            </w:pPr>
            <w:r>
              <w:rPr>
                <w:rFonts w:ascii="Arabic Typesetting" w:hAnsi="Arabic Typesetting" w:cs="Arabic Typesetting"/>
                <w:sz w:val="28"/>
                <w:szCs w:val="28"/>
                <w:rtl/>
              </w:rPr>
              <w:t>تزايد تفادي نشوء المنازعات المتعلقة بالملكية الفكرية دوليا وداخليا وتسويتها بفضل الوساطة والتحكيم وغيرها من أساليب الويبو البديلة في تسوية المنازعات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8518E8" w:rsidRPr="00211D55" w:rsidRDefault="008518E8" w:rsidP="00086C3F">
            <w:pPr>
              <w:rPr>
                <w:rFonts w:ascii="Arabic Typesetting" w:hAnsi="Arabic Typesetting" w:cs="Arabic Typesetting"/>
                <w:sz w:val="28"/>
                <w:szCs w:val="28"/>
              </w:rPr>
            </w:pPr>
            <w:r w:rsidRPr="00211D55">
              <w:rPr>
                <w:rFonts w:ascii="Arabic Typesetting" w:hAnsi="Arabic Typesetting" w:cs="Arabic Typesetting"/>
                <w:sz w:val="28"/>
                <w:szCs w:val="28"/>
              </w:rPr>
              <w:t>3,286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8518E8" w:rsidRPr="00211D55" w:rsidRDefault="008518E8" w:rsidP="00086C3F">
            <w:pPr>
              <w:rPr>
                <w:rFonts w:ascii="Arabic Typesetting" w:hAnsi="Arabic Typesetting" w:cs="Arabic Typesetting"/>
                <w:sz w:val="28"/>
                <w:szCs w:val="28"/>
              </w:rPr>
            </w:pPr>
            <w:r w:rsidRPr="00211D55">
              <w:rPr>
                <w:rFonts w:ascii="Arabic Typesetting" w:hAnsi="Arabic Typesetting" w:cs="Arabic Typesetting"/>
                <w:sz w:val="28"/>
                <w:szCs w:val="28"/>
              </w:rPr>
              <w:t>3,510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8518E8" w:rsidRPr="00211D55" w:rsidRDefault="008518E8" w:rsidP="00086C3F">
            <w:pPr>
              <w:rPr>
                <w:rFonts w:ascii="Arabic Typesetting" w:hAnsi="Arabic Typesetting" w:cs="Arabic Typesetting"/>
                <w:sz w:val="28"/>
                <w:szCs w:val="28"/>
              </w:rPr>
            </w:pPr>
            <w:r w:rsidRPr="00211D55">
              <w:rPr>
                <w:rFonts w:ascii="Arabic Typesetting" w:hAnsi="Arabic Typesetting" w:cs="Arabic Typesetting"/>
                <w:sz w:val="28"/>
                <w:szCs w:val="28"/>
              </w:rPr>
              <w:t>3,052</w:t>
            </w:r>
          </w:p>
        </w:tc>
      </w:tr>
      <w:tr w:rsidR="008518E8" w:rsidRPr="00211D55" w:rsidTr="008518E8">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8518E8" w:rsidRPr="00211D55" w:rsidRDefault="008518E8"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ھ9.2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8518E8" w:rsidRPr="00211D55" w:rsidRDefault="00A0719D" w:rsidP="00086C3F">
            <w:pPr>
              <w:bidi/>
              <w:rPr>
                <w:rFonts w:ascii="Arabic Typesetting" w:hAnsi="Arabic Typesetting" w:cs="Arabic Typesetting"/>
                <w:sz w:val="28"/>
                <w:szCs w:val="28"/>
              </w:rPr>
            </w:pPr>
            <w:r>
              <w:rPr>
                <w:rFonts w:ascii="Arabic Typesetting" w:hAnsi="Arabic Typesetting" w:cs="Arabic Typesetting"/>
                <w:sz w:val="28"/>
                <w:szCs w:val="28"/>
                <w:rtl/>
              </w:rPr>
              <w:t>حماية الملكية الفكرية حمايةً فعالة في الحقول العليا المكونة من أسماء عامة وفي تسجيل الحقول العليا المكونة من رموز البلدان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8518E8" w:rsidRPr="00211D55" w:rsidRDefault="008518E8" w:rsidP="00086C3F">
            <w:pPr>
              <w:rPr>
                <w:rFonts w:ascii="Arabic Typesetting" w:hAnsi="Arabic Typesetting" w:cs="Arabic Typesetting"/>
                <w:sz w:val="28"/>
                <w:szCs w:val="28"/>
              </w:rPr>
            </w:pPr>
            <w:r w:rsidRPr="00211D55">
              <w:rPr>
                <w:rFonts w:ascii="Arabic Typesetting" w:hAnsi="Arabic Typesetting" w:cs="Arabic Typesetting"/>
                <w:sz w:val="28"/>
                <w:szCs w:val="28"/>
              </w:rPr>
              <w:t>7,889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8518E8" w:rsidRPr="00211D55" w:rsidRDefault="008518E8" w:rsidP="00086C3F">
            <w:pPr>
              <w:rPr>
                <w:rFonts w:ascii="Arabic Typesetting" w:hAnsi="Arabic Typesetting" w:cs="Arabic Typesetting"/>
                <w:sz w:val="28"/>
                <w:szCs w:val="28"/>
              </w:rPr>
            </w:pPr>
            <w:r w:rsidRPr="00211D55">
              <w:rPr>
                <w:rFonts w:ascii="Arabic Typesetting" w:hAnsi="Arabic Typesetting" w:cs="Arabic Typesetting"/>
                <w:sz w:val="28"/>
                <w:szCs w:val="28"/>
              </w:rPr>
              <w:t>7,437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8518E8" w:rsidRPr="00211D55" w:rsidRDefault="008518E8" w:rsidP="00086C3F">
            <w:pPr>
              <w:rPr>
                <w:rFonts w:ascii="Arabic Typesetting" w:hAnsi="Arabic Typesetting" w:cs="Arabic Typesetting"/>
                <w:sz w:val="28"/>
                <w:szCs w:val="28"/>
              </w:rPr>
            </w:pPr>
            <w:r w:rsidRPr="00211D55">
              <w:rPr>
                <w:rFonts w:ascii="Arabic Typesetting" w:hAnsi="Arabic Typesetting" w:cs="Arabic Typesetting"/>
                <w:sz w:val="28"/>
                <w:szCs w:val="28"/>
              </w:rPr>
              <w:t>6,827</w:t>
            </w:r>
          </w:p>
        </w:tc>
      </w:tr>
      <w:tr w:rsidR="008518E8" w:rsidRPr="00211D55" w:rsidTr="008518E8">
        <w:trPr>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8518E8" w:rsidRPr="00211D55" w:rsidRDefault="008518E8"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8518E8" w:rsidRPr="00211D55" w:rsidRDefault="008518E8"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8518E8" w:rsidRPr="00211D55" w:rsidRDefault="008518E8"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11,175</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8518E8" w:rsidRPr="00211D55" w:rsidRDefault="008518E8"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10,947</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8518E8" w:rsidRPr="00211D55" w:rsidRDefault="008518E8"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9,879</w:t>
            </w:r>
          </w:p>
        </w:tc>
      </w:tr>
    </w:tbl>
    <w:p w:rsidR="008518E8" w:rsidRPr="00252762" w:rsidRDefault="00774E37" w:rsidP="00252762">
      <w:pPr>
        <w:keepNext/>
        <w:bidi/>
        <w:spacing w:before="240" w:line="340" w:lineRule="exact"/>
        <w:jc w:val="center"/>
        <w:rPr>
          <w:rFonts w:ascii="Arabic Typesetting" w:hAnsi="Arabic Typesetting" w:cs="Arabic Typesetting"/>
          <w:i/>
          <w:iCs/>
          <w:sz w:val="34"/>
          <w:szCs w:val="34"/>
          <w:rtl/>
        </w:rPr>
      </w:pPr>
      <w:r w:rsidRPr="00774E37">
        <w:rPr>
          <w:rFonts w:ascii="Arabic Typesetting" w:hAnsi="Arabic Typesetting" w:cs="Arabic Typesetting" w:hint="cs"/>
          <w:sz w:val="34"/>
          <w:szCs w:val="34"/>
          <w:rtl/>
        </w:rPr>
        <w:t>الميزانية والنفقات الفعلية (موارد الموظفين وخلاف موارد الموظفين)</w:t>
      </w:r>
    </w:p>
    <w:p w:rsidR="008518E8" w:rsidRPr="008518E8" w:rsidRDefault="008518E8" w:rsidP="00086C3F">
      <w:pPr>
        <w:keepNext/>
        <w:bidi/>
        <w:spacing w:after="120" w:line="340" w:lineRule="exact"/>
        <w:jc w:val="center"/>
        <w:rPr>
          <w:rFonts w:ascii="Arabic Typesetting" w:hAnsi="Arabic Typesetting" w:cs="Arabic Typesetting"/>
          <w:i/>
          <w:iCs/>
          <w:sz w:val="34"/>
          <w:szCs w:val="34"/>
          <w:rtl/>
        </w:rPr>
      </w:pPr>
      <w:r w:rsidRPr="008518E8">
        <w:rPr>
          <w:rFonts w:ascii="Arabic Typesetting" w:hAnsi="Arabic Typesetting" w:cs="Arabic Typesetting" w:hint="cs"/>
          <w:i/>
          <w:iCs/>
          <w:sz w:val="34"/>
          <w:szCs w:val="34"/>
          <w:rtl/>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8518E8" w:rsidRPr="00211D55" w:rsidTr="008518E8">
        <w:trPr>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8518E8" w:rsidRPr="00211D55" w:rsidRDefault="008518E8" w:rsidP="00211D55">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8518E8" w:rsidRPr="00211D55" w:rsidRDefault="008518E8" w:rsidP="00211D55">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8518E8" w:rsidRPr="00211D55" w:rsidRDefault="008518E8" w:rsidP="00211D55">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8518E8" w:rsidRPr="00211D55" w:rsidRDefault="008518E8" w:rsidP="00211D55">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8518E8" w:rsidRPr="00211D55" w:rsidRDefault="009E57D2" w:rsidP="00211D55">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8518E8" w:rsidRPr="00211D55">
              <w:rPr>
                <w:rFonts w:ascii="Arabic Typesetting" w:hAnsi="Arabic Typesetting" w:cs="Arabic Typesetting"/>
                <w:b/>
                <w:bCs/>
                <w:i/>
                <w:iCs/>
                <w:sz w:val="28"/>
                <w:szCs w:val="28"/>
                <w:rtl/>
              </w:rPr>
              <w:t xml:space="preserve"> (%)</w:t>
            </w:r>
          </w:p>
        </w:tc>
      </w:tr>
      <w:tr w:rsidR="008518E8" w:rsidRPr="00211D55" w:rsidTr="008518E8">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8518E8" w:rsidRPr="00211D55" w:rsidRDefault="008518E8" w:rsidP="00211D55">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8518E8" w:rsidRPr="00211D55" w:rsidRDefault="008518E8" w:rsidP="00211D55">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8,065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8518E8" w:rsidRPr="00211D55" w:rsidRDefault="008518E8" w:rsidP="00211D55">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7,963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8518E8" w:rsidRPr="00211D55" w:rsidRDefault="008518E8" w:rsidP="00211D55">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7,475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8518E8" w:rsidRPr="00211D55" w:rsidRDefault="008518E8" w:rsidP="00211D55">
            <w:pPr>
              <w:keepNext/>
              <w:jc w:val="center"/>
              <w:rPr>
                <w:rFonts w:ascii="Arabic Typesetting" w:hAnsi="Arabic Typesetting" w:cs="Arabic Typesetting"/>
                <w:sz w:val="28"/>
                <w:szCs w:val="28"/>
              </w:rPr>
            </w:pPr>
            <w:r w:rsidRPr="00211D55">
              <w:rPr>
                <w:rFonts w:ascii="Arabic Typesetting" w:hAnsi="Arabic Typesetting" w:cs="Arabic Typesetting"/>
                <w:sz w:val="28"/>
                <w:szCs w:val="28"/>
              </w:rPr>
              <w:t>94%</w:t>
            </w:r>
          </w:p>
        </w:tc>
      </w:tr>
      <w:tr w:rsidR="008518E8" w:rsidRPr="00211D55" w:rsidTr="008518E8">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8518E8" w:rsidRPr="00211D55" w:rsidRDefault="008518E8"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8518E8" w:rsidRPr="00211D55" w:rsidRDefault="008518E8"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3,109</w:t>
            </w:r>
          </w:p>
        </w:tc>
        <w:tc>
          <w:tcPr>
            <w:tcW w:w="970" w:type="pct"/>
            <w:tcBorders>
              <w:top w:val="nil"/>
              <w:left w:val="single" w:sz="4" w:space="0" w:color="auto"/>
              <w:bottom w:val="single" w:sz="4" w:space="0" w:color="auto"/>
              <w:right w:val="single" w:sz="4" w:space="0" w:color="auto"/>
            </w:tcBorders>
            <w:shd w:val="clear" w:color="auto" w:fill="auto"/>
            <w:vAlign w:val="center"/>
          </w:tcPr>
          <w:p w:rsidR="008518E8" w:rsidRPr="00211D55" w:rsidRDefault="008518E8"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2,984</w:t>
            </w:r>
          </w:p>
        </w:tc>
        <w:tc>
          <w:tcPr>
            <w:tcW w:w="970" w:type="pct"/>
            <w:tcBorders>
              <w:top w:val="nil"/>
              <w:left w:val="single" w:sz="4" w:space="0" w:color="auto"/>
              <w:bottom w:val="single" w:sz="4" w:space="0" w:color="auto"/>
              <w:right w:val="single" w:sz="4" w:space="0" w:color="auto"/>
            </w:tcBorders>
            <w:shd w:val="clear" w:color="auto" w:fill="auto"/>
            <w:vAlign w:val="center"/>
          </w:tcPr>
          <w:p w:rsidR="008518E8" w:rsidRPr="00211D55" w:rsidRDefault="008518E8"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2,404</w:t>
            </w:r>
          </w:p>
        </w:tc>
        <w:tc>
          <w:tcPr>
            <w:tcW w:w="970" w:type="pct"/>
            <w:tcBorders>
              <w:top w:val="nil"/>
              <w:left w:val="single" w:sz="4" w:space="0" w:color="auto"/>
              <w:bottom w:val="single" w:sz="4" w:space="0" w:color="auto"/>
              <w:right w:val="single" w:sz="4" w:space="0" w:color="auto"/>
            </w:tcBorders>
            <w:shd w:val="clear" w:color="auto" w:fill="auto"/>
            <w:vAlign w:val="center"/>
          </w:tcPr>
          <w:p w:rsidR="008518E8" w:rsidRPr="00211D55" w:rsidRDefault="008518E8"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81%</w:t>
            </w:r>
          </w:p>
        </w:tc>
      </w:tr>
      <w:tr w:rsidR="008518E8" w:rsidRPr="00211D55" w:rsidTr="008518E8">
        <w:trPr>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8518E8" w:rsidRPr="00211D55" w:rsidRDefault="008518E8"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8518E8" w:rsidRPr="00211D55" w:rsidRDefault="008518E8"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11,175</w:t>
            </w:r>
          </w:p>
        </w:tc>
        <w:tc>
          <w:tcPr>
            <w:tcW w:w="970" w:type="pct"/>
            <w:tcBorders>
              <w:top w:val="nil"/>
              <w:left w:val="single" w:sz="4" w:space="0" w:color="auto"/>
              <w:bottom w:val="single" w:sz="4" w:space="0" w:color="auto"/>
              <w:right w:val="single" w:sz="4" w:space="0" w:color="auto"/>
            </w:tcBorders>
            <w:shd w:val="clear" w:color="auto" w:fill="auto"/>
            <w:vAlign w:val="center"/>
          </w:tcPr>
          <w:p w:rsidR="008518E8" w:rsidRPr="00211D55" w:rsidRDefault="008518E8"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10,947</w:t>
            </w:r>
          </w:p>
        </w:tc>
        <w:tc>
          <w:tcPr>
            <w:tcW w:w="970" w:type="pct"/>
            <w:tcBorders>
              <w:top w:val="nil"/>
              <w:left w:val="single" w:sz="4" w:space="0" w:color="auto"/>
              <w:bottom w:val="single" w:sz="4" w:space="0" w:color="auto"/>
              <w:right w:val="single" w:sz="4" w:space="0" w:color="auto"/>
            </w:tcBorders>
            <w:shd w:val="clear" w:color="auto" w:fill="auto"/>
            <w:vAlign w:val="center"/>
          </w:tcPr>
          <w:p w:rsidR="008518E8" w:rsidRPr="00211D55" w:rsidRDefault="008518E8"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9,879</w:t>
            </w:r>
          </w:p>
        </w:tc>
        <w:tc>
          <w:tcPr>
            <w:tcW w:w="970" w:type="pct"/>
            <w:tcBorders>
              <w:top w:val="nil"/>
              <w:left w:val="single" w:sz="4" w:space="0" w:color="auto"/>
              <w:bottom w:val="single" w:sz="4" w:space="0" w:color="auto"/>
              <w:right w:val="single" w:sz="4" w:space="0" w:color="auto"/>
            </w:tcBorders>
            <w:shd w:val="clear" w:color="auto" w:fill="auto"/>
            <w:vAlign w:val="center"/>
          </w:tcPr>
          <w:p w:rsidR="008518E8" w:rsidRPr="00211D55" w:rsidRDefault="008518E8"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90%</w:t>
            </w:r>
          </w:p>
        </w:tc>
      </w:tr>
    </w:tbl>
    <w:p w:rsidR="008518E8" w:rsidRPr="00706F20" w:rsidRDefault="008518E8" w:rsidP="00086C3F">
      <w:pPr>
        <w:keepNext/>
        <w:bidi/>
        <w:spacing w:before="240" w:after="120" w:line="340" w:lineRule="exact"/>
        <w:rPr>
          <w:rFonts w:ascii="Arabic Typesetting" w:hAnsi="Arabic Typesetting" w:cs="Arabic Typesetting"/>
          <w:sz w:val="34"/>
          <w:szCs w:val="34"/>
          <w:lang w:bidi="ar-EG"/>
        </w:rPr>
      </w:pPr>
      <w:r w:rsidRPr="00706F20">
        <w:rPr>
          <w:rFonts w:ascii="Arabic Typesetting" w:hAnsi="Arabic Typesetting" w:cs="Arabic Typesetting" w:hint="cs"/>
          <w:sz w:val="34"/>
          <w:szCs w:val="34"/>
          <w:rtl/>
          <w:lang w:bidi="ar-EG"/>
        </w:rPr>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8518E8" w:rsidRPr="008518E8" w:rsidRDefault="00FF1820" w:rsidP="009A3712">
      <w:pPr>
        <w:numPr>
          <w:ilvl w:val="0"/>
          <w:numId w:val="10"/>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تعزى</w:t>
      </w:r>
      <w:r w:rsidR="008518E8" w:rsidRPr="008518E8">
        <w:rPr>
          <w:rFonts w:ascii="Arabic Typesetting" w:hAnsi="Arabic Typesetting" w:cs="Arabic Typesetting" w:hint="cs"/>
          <w:sz w:val="34"/>
          <w:szCs w:val="34"/>
          <w:rtl/>
          <w:lang w:val="fr-CH"/>
        </w:rPr>
        <w:t xml:space="preserve"> الزيادة في موارد </w:t>
      </w:r>
      <w:r w:rsidR="008518E8" w:rsidRPr="008518E8">
        <w:rPr>
          <w:rFonts w:ascii="Arabic Typesetting" w:hAnsi="Arabic Typesetting" w:cs="Arabic Typesetting"/>
          <w:sz w:val="34"/>
          <w:szCs w:val="34"/>
          <w:rtl/>
          <w:lang w:val="fr-CH"/>
        </w:rPr>
        <w:t>النتيجة</w:t>
      </w:r>
      <w:r w:rsidR="008518E8" w:rsidRPr="008518E8">
        <w:rPr>
          <w:rFonts w:ascii="Arabic Typesetting" w:hAnsi="Arabic Typesetting" w:cs="Arabic Typesetting" w:hint="cs"/>
          <w:sz w:val="34"/>
          <w:szCs w:val="34"/>
          <w:rtl/>
          <w:lang w:val="fr-CH"/>
        </w:rPr>
        <w:t xml:space="preserve"> المرتقبة</w:t>
      </w:r>
      <w:r w:rsidR="008518E8" w:rsidRPr="008518E8">
        <w:rPr>
          <w:rFonts w:ascii="Arabic Typesetting" w:hAnsi="Arabic Typesetting" w:cs="Arabic Typesetting"/>
          <w:sz w:val="34"/>
          <w:szCs w:val="34"/>
          <w:rtl/>
          <w:lang w:val="fr-CH"/>
        </w:rPr>
        <w:t xml:space="preserve"> ه</w:t>
      </w:r>
      <w:r w:rsidR="008518E8" w:rsidRPr="008518E8">
        <w:rPr>
          <w:rFonts w:ascii="Arabic Typesetting" w:hAnsi="Arabic Typesetting" w:cs="Arabic Typesetting" w:hint="cs"/>
          <w:sz w:val="34"/>
          <w:szCs w:val="34"/>
          <w:rtl/>
          <w:lang w:val="fr-CH"/>
        </w:rPr>
        <w:t>8</w:t>
      </w:r>
      <w:r w:rsidR="008518E8" w:rsidRPr="008518E8">
        <w:rPr>
          <w:rFonts w:ascii="Arabic Typesetting" w:hAnsi="Arabic Typesetting" w:cs="Arabic Typesetting"/>
          <w:sz w:val="34"/>
          <w:szCs w:val="34"/>
          <w:rtl/>
          <w:lang w:val="fr-CH"/>
        </w:rPr>
        <w:t>.2</w:t>
      </w:r>
      <w:r w:rsidR="008518E8" w:rsidRPr="008518E8">
        <w:rPr>
          <w:rFonts w:ascii="Arabic Typesetting" w:hAnsi="Arabic Typesetting" w:cs="Arabic Typesetting" w:hint="cs"/>
          <w:sz w:val="34"/>
          <w:szCs w:val="34"/>
          <w:rtl/>
          <w:lang w:val="fr-CH"/>
        </w:rPr>
        <w:t xml:space="preserve"> (</w:t>
      </w:r>
      <w:r w:rsidR="008518E8" w:rsidRPr="008518E8">
        <w:rPr>
          <w:rFonts w:ascii="Arabic Typesetting" w:hAnsi="Arabic Typesetting" w:cs="Arabic Typesetting"/>
          <w:sz w:val="34"/>
          <w:szCs w:val="34"/>
          <w:rtl/>
          <w:lang w:val="fr-CH"/>
        </w:rPr>
        <w:t>المنازعات المتعلقة بالملكية الفكرية دوليا وداخليا</w:t>
      </w:r>
      <w:r w:rsidR="008518E8" w:rsidRPr="008518E8">
        <w:rPr>
          <w:rFonts w:ascii="Arabic Typesetting" w:hAnsi="Arabic Typesetting" w:cs="Arabic Typesetting" w:hint="cs"/>
          <w:sz w:val="34"/>
          <w:szCs w:val="34"/>
          <w:rtl/>
          <w:lang w:val="fr-CH"/>
        </w:rPr>
        <w:t xml:space="preserve">) </w:t>
      </w:r>
      <w:r>
        <w:rPr>
          <w:rFonts w:ascii="Arabic Typesetting" w:hAnsi="Arabic Typesetting" w:cs="Arabic Typesetting" w:hint="cs"/>
          <w:sz w:val="34"/>
          <w:szCs w:val="34"/>
          <w:rtl/>
          <w:lang w:val="fr-CH"/>
        </w:rPr>
        <w:t xml:space="preserve">إلى </w:t>
      </w:r>
      <w:r w:rsidR="008518E8" w:rsidRPr="008518E8">
        <w:rPr>
          <w:rFonts w:ascii="Arabic Typesetting" w:hAnsi="Arabic Typesetting" w:cs="Arabic Typesetting" w:hint="cs"/>
          <w:sz w:val="34"/>
          <w:szCs w:val="34"/>
          <w:rtl/>
          <w:lang w:val="fr-CH"/>
        </w:rPr>
        <w:t>تحويل في موارد الموظفين للمركز من أجل إدارة أفضل للطلب على خدمات الويبو البديلة لتسوية المنازعات ولا سيما للاستجابة لطلبات الدول الأعضاء.</w:t>
      </w:r>
    </w:p>
    <w:p w:rsidR="008518E8" w:rsidRPr="00706F20" w:rsidRDefault="008518E8" w:rsidP="00086C3F">
      <w:pPr>
        <w:keepNext/>
        <w:bidi/>
        <w:spacing w:after="120" w:line="340" w:lineRule="exact"/>
        <w:rPr>
          <w:rFonts w:ascii="Arabic Typesetting" w:hAnsi="Arabic Typesetting" w:cs="Arabic Typesetting"/>
          <w:sz w:val="34"/>
          <w:szCs w:val="34"/>
          <w:u w:val="single"/>
          <w:rtl/>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8F4359" w:rsidRPr="008518E8" w:rsidRDefault="008518E8" w:rsidP="009A3712">
      <w:pPr>
        <w:numPr>
          <w:ilvl w:val="0"/>
          <w:numId w:val="10"/>
        </w:numPr>
        <w:bidi/>
        <w:spacing w:after="120" w:line="360" w:lineRule="exact"/>
        <w:ind w:left="0" w:firstLine="1"/>
        <w:rPr>
          <w:rFonts w:ascii="Arabic Typesetting" w:hAnsi="Arabic Typesetting" w:cs="Arabic Typesetting"/>
          <w:sz w:val="34"/>
          <w:szCs w:val="34"/>
          <w:lang w:val="fr-CH"/>
        </w:rPr>
      </w:pPr>
      <w:r w:rsidRPr="008518E8">
        <w:rPr>
          <w:rFonts w:ascii="Arabic Typesetting" w:hAnsi="Arabic Typesetting" w:cs="Arabic Typesetting" w:hint="cs"/>
          <w:sz w:val="34"/>
          <w:szCs w:val="34"/>
          <w:rtl/>
          <w:lang w:val="fr-CH"/>
        </w:rPr>
        <w:t>بلغ</w:t>
      </w:r>
      <w:r w:rsidR="009B25F8">
        <w:rPr>
          <w:rFonts w:ascii="Arabic Typesetting" w:hAnsi="Arabic Typesetting" w:cs="Arabic Typesetting" w:hint="cs"/>
          <w:sz w:val="34"/>
          <w:szCs w:val="34"/>
          <w:rtl/>
          <w:lang w:val="fr-CH"/>
        </w:rPr>
        <w:t>ت نسبة</w:t>
      </w:r>
      <w:r w:rsidRPr="008518E8">
        <w:rPr>
          <w:rFonts w:ascii="Arabic Typesetting" w:hAnsi="Arabic Typesetting" w:cs="Arabic Typesetting" w:hint="cs"/>
          <w:sz w:val="34"/>
          <w:szCs w:val="34"/>
          <w:rtl/>
          <w:lang w:val="fr-CH"/>
        </w:rPr>
        <w:t xml:space="preserve"> </w:t>
      </w:r>
      <w:r w:rsidR="009B25F8">
        <w:rPr>
          <w:rFonts w:ascii="Arabic Typesetting" w:hAnsi="Arabic Typesetting" w:cs="Arabic Typesetting" w:hint="cs"/>
          <w:sz w:val="34"/>
          <w:szCs w:val="34"/>
          <w:rtl/>
          <w:lang w:val="fr-CH"/>
        </w:rPr>
        <w:t>استخدام</w:t>
      </w:r>
      <w:r w:rsidR="009B25F8"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hint="cs"/>
          <w:sz w:val="34"/>
          <w:szCs w:val="34"/>
          <w:rtl/>
          <w:lang w:val="fr-CH"/>
        </w:rPr>
        <w:t xml:space="preserve">الميزانية خلال الثنائية 81 بالمئة. ويعزى ذلك أساساً إلى "1" الوفورات المحققة في التكاليف في إطار الميزانية العادية لبعثات الموظفين وأسفار الغير في إطار النتيجة </w:t>
      </w:r>
      <w:proofErr w:type="spellStart"/>
      <w:r w:rsidRPr="008518E8">
        <w:rPr>
          <w:rFonts w:ascii="Arabic Typesetting" w:hAnsi="Arabic Typesetting" w:cs="Arabic Typesetting"/>
          <w:sz w:val="34"/>
          <w:szCs w:val="34"/>
          <w:rtl/>
          <w:lang w:val="fr-CH"/>
        </w:rPr>
        <w:t>النتيجة</w:t>
      </w:r>
      <w:proofErr w:type="spellEnd"/>
      <w:r w:rsidRPr="008518E8">
        <w:rPr>
          <w:rFonts w:ascii="Arabic Typesetting" w:hAnsi="Arabic Typesetting" w:cs="Arabic Typesetting" w:hint="cs"/>
          <w:sz w:val="34"/>
          <w:szCs w:val="34"/>
          <w:rtl/>
          <w:lang w:val="fr-CH"/>
        </w:rPr>
        <w:t xml:space="preserve"> المرتقبة</w:t>
      </w:r>
      <w:r w:rsidRPr="008518E8">
        <w:rPr>
          <w:rFonts w:ascii="Arabic Typesetting" w:hAnsi="Arabic Typesetting" w:cs="Arabic Typesetting"/>
          <w:sz w:val="34"/>
          <w:szCs w:val="34"/>
          <w:rtl/>
          <w:lang w:val="fr-CH"/>
        </w:rPr>
        <w:t xml:space="preserve"> ه</w:t>
      </w:r>
      <w:r w:rsidRPr="008518E8">
        <w:rPr>
          <w:rFonts w:ascii="Arabic Typesetting" w:hAnsi="Arabic Typesetting" w:cs="Arabic Typesetting" w:hint="cs"/>
          <w:sz w:val="34"/>
          <w:szCs w:val="34"/>
          <w:rtl/>
          <w:lang w:val="fr-CH"/>
        </w:rPr>
        <w:t>8</w:t>
      </w:r>
      <w:r w:rsidRPr="008518E8">
        <w:rPr>
          <w:rFonts w:ascii="Arabic Typesetting" w:hAnsi="Arabic Typesetting" w:cs="Arabic Typesetting"/>
          <w:sz w:val="34"/>
          <w:szCs w:val="34"/>
          <w:rtl/>
          <w:lang w:val="fr-CH"/>
        </w:rPr>
        <w:t>.2</w:t>
      </w:r>
      <w:r w:rsidRPr="008518E8">
        <w:rPr>
          <w:rFonts w:ascii="Arabic Typesetting" w:hAnsi="Arabic Typesetting" w:cs="Arabic Typesetting" w:hint="cs"/>
          <w:sz w:val="34"/>
          <w:szCs w:val="34"/>
          <w:rtl/>
          <w:lang w:val="fr-CH"/>
        </w:rPr>
        <w:t xml:space="preserve"> (</w:t>
      </w:r>
      <w:r w:rsidRPr="008518E8">
        <w:rPr>
          <w:rFonts w:ascii="Arabic Typesetting" w:hAnsi="Arabic Typesetting" w:cs="Arabic Typesetting"/>
          <w:sz w:val="34"/>
          <w:szCs w:val="34"/>
          <w:rtl/>
          <w:lang w:val="fr-CH"/>
        </w:rPr>
        <w:t>المنازعات المتعلقة بالملكية الفكرية دوليا وداخليا</w:t>
      </w:r>
      <w:r w:rsidRPr="008518E8">
        <w:rPr>
          <w:rFonts w:ascii="Arabic Typesetting" w:hAnsi="Arabic Typesetting" w:cs="Arabic Typesetting" w:hint="cs"/>
          <w:sz w:val="34"/>
          <w:szCs w:val="34"/>
          <w:rtl/>
          <w:lang w:val="fr-CH"/>
        </w:rPr>
        <w:t xml:space="preserve">) نتيجة لتمويل إضافي من الصندوق </w:t>
      </w:r>
      <w:proofErr w:type="spellStart"/>
      <w:r w:rsidRPr="008518E8">
        <w:rPr>
          <w:rFonts w:ascii="Arabic Typesetting" w:hAnsi="Arabic Typesetting" w:cs="Arabic Typesetting" w:hint="cs"/>
          <w:sz w:val="34"/>
          <w:szCs w:val="34"/>
          <w:rtl/>
          <w:lang w:val="fr-CH"/>
        </w:rPr>
        <w:t>الاستئماني</w:t>
      </w:r>
      <w:proofErr w:type="spellEnd"/>
      <w:r w:rsidRPr="008518E8">
        <w:rPr>
          <w:rFonts w:ascii="Arabic Typesetting" w:hAnsi="Arabic Typesetting" w:cs="Arabic Typesetting" w:hint="cs"/>
          <w:sz w:val="34"/>
          <w:szCs w:val="34"/>
          <w:rtl/>
          <w:lang w:val="fr-CH"/>
        </w:rPr>
        <w:t xml:space="preserve"> الكوري؛ "2" والشواغر في برنامج الزمالة خلال الثنائية ؛ "3" وتقلص الحاجة إلى الاستشاريين والمتعاقدين الخارجيين عقب إعادة هيكلة بعض الوظائف المعلوماتية.</w:t>
      </w:r>
    </w:p>
    <w:p w:rsidR="00B31868" w:rsidRDefault="00B31868" w:rsidP="00086C3F">
      <w:pPr>
        <w:pStyle w:val="Heading2AR"/>
        <w:rPr>
          <w:rtl/>
        </w:rPr>
      </w:pPr>
      <w:bookmarkStart w:id="56" w:name="_Toc450635409"/>
      <w:bookmarkStart w:id="57" w:name="_Toc455393376"/>
      <w:r w:rsidRPr="00F3697D">
        <w:rPr>
          <w:rFonts w:hint="cs"/>
          <w:rtl/>
        </w:rPr>
        <w:lastRenderedPageBreak/>
        <w:t>الهدف الاستراتيجي الثالث</w:t>
      </w:r>
      <w:bookmarkEnd w:id="56"/>
      <w:bookmarkEnd w:id="57"/>
    </w:p>
    <w:p w:rsidR="00486CE1" w:rsidRDefault="00486CE1" w:rsidP="00486CE1">
      <w:pPr>
        <w:pStyle w:val="NormalParaAR"/>
        <w:jc w:val="center"/>
        <w:rPr>
          <w:b/>
          <w:bCs/>
          <w:rtl/>
          <w:lang w:bidi="ar-EG"/>
        </w:rPr>
      </w:pPr>
      <w:r w:rsidRPr="0001169B">
        <w:rPr>
          <w:b/>
          <w:bCs/>
          <w:rtl/>
          <w:lang w:bidi="ar-EG"/>
        </w:rPr>
        <w:t>تسهيل الانتفاع بالملكية الفكرية في سبيل التنمية</w:t>
      </w:r>
    </w:p>
    <w:p w:rsidR="00486CE1" w:rsidRPr="000E3FDE" w:rsidRDefault="00486CE1" w:rsidP="00486CE1">
      <w:pPr>
        <w:pStyle w:val="NormalParaAR"/>
        <w:jc w:val="center"/>
        <w:rPr>
          <w:b/>
          <w:bCs/>
          <w:rtl/>
          <w:lang w:bidi="ar-EG"/>
        </w:rPr>
      </w:pPr>
      <w:r w:rsidRPr="000E3FDE">
        <w:rPr>
          <w:b/>
          <w:bCs/>
          <w:rtl/>
          <w:lang w:bidi="ar-EG"/>
        </w:rPr>
        <w:t>لوحة بيانات أداء الفترة الثنائية</w:t>
      </w:r>
    </w:p>
    <w:p w:rsidR="00486CE1" w:rsidRDefault="00486CE1" w:rsidP="00486CE1">
      <w:pPr>
        <w:pStyle w:val="NormalParaAR"/>
        <w:rPr>
          <w:rtl/>
          <w:lang w:bidi="ar-EG"/>
        </w:rPr>
      </w:pPr>
      <w:r w:rsidRPr="006B32B1">
        <w:rPr>
          <w:rtl/>
          <w:lang w:bidi="ar-EG"/>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6F53B7" w:rsidRPr="006B32B1" w:rsidRDefault="006F53B7" w:rsidP="006F53B7">
      <w:pPr>
        <w:pStyle w:val="NormalParaAR"/>
        <w:spacing w:line="240" w:lineRule="auto"/>
        <w:jc w:val="center"/>
        <w:rPr>
          <w:rtl/>
          <w:lang w:bidi="ar-EG"/>
        </w:rPr>
      </w:pPr>
      <w:r>
        <w:rPr>
          <w:noProof/>
        </w:rPr>
        <w:drawing>
          <wp:inline distT="0" distB="0" distL="0" distR="0" wp14:anchorId="2DA2FCDF">
            <wp:extent cx="5688938" cy="2857500"/>
            <wp:effectExtent l="0" t="0" r="762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02588" cy="2864356"/>
                    </a:xfrm>
                    <a:prstGeom prst="rect">
                      <a:avLst/>
                    </a:prstGeom>
                    <a:noFill/>
                  </pic:spPr>
                </pic:pic>
              </a:graphicData>
            </a:graphic>
          </wp:inline>
        </w:drawing>
      </w:r>
    </w:p>
    <w:tbl>
      <w:tblPr>
        <w:bidiVisual/>
        <w:tblW w:w="5001" w:type="pct"/>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3483"/>
        <w:gridCol w:w="3349"/>
        <w:gridCol w:w="1541"/>
        <w:gridCol w:w="243"/>
        <w:gridCol w:w="957"/>
      </w:tblGrid>
      <w:tr w:rsidR="00486CE1" w:rsidRPr="00FE3908" w:rsidTr="00486CE1">
        <w:trPr>
          <w:cantSplit/>
          <w:tblHeader/>
        </w:trPr>
        <w:tc>
          <w:tcPr>
            <w:tcW w:w="1819" w:type="pct"/>
            <w:tcBorders>
              <w:top w:val="single" w:sz="4" w:space="0" w:color="auto"/>
              <w:bottom w:val="single" w:sz="4" w:space="0" w:color="auto"/>
            </w:tcBorders>
            <w:shd w:val="clear" w:color="auto" w:fill="C6D9F1" w:themeFill="text2" w:themeFillTint="33"/>
            <w:vAlign w:val="center"/>
          </w:tcPr>
          <w:p w:rsidR="00486CE1" w:rsidRPr="00FE3908" w:rsidRDefault="00486CE1"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النتائج المرتقبة</w:t>
            </w:r>
          </w:p>
        </w:tc>
        <w:tc>
          <w:tcPr>
            <w:tcW w:w="1749" w:type="pct"/>
            <w:tcBorders>
              <w:top w:val="single" w:sz="4" w:space="0" w:color="auto"/>
              <w:bottom w:val="single" w:sz="4" w:space="0" w:color="auto"/>
            </w:tcBorders>
            <w:shd w:val="clear" w:color="auto" w:fill="C6D9F1" w:themeFill="text2" w:themeFillTint="33"/>
            <w:vAlign w:val="center"/>
          </w:tcPr>
          <w:p w:rsidR="00486CE1" w:rsidRPr="00FE3908" w:rsidRDefault="00486CE1"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805" w:type="pct"/>
            <w:tcBorders>
              <w:top w:val="single" w:sz="4" w:space="0" w:color="auto"/>
              <w:bottom w:val="single" w:sz="4" w:space="0" w:color="auto"/>
            </w:tcBorders>
            <w:shd w:val="clear" w:color="auto" w:fill="C6D9F1" w:themeFill="text2" w:themeFillTint="33"/>
            <w:vAlign w:val="center"/>
          </w:tcPr>
          <w:p w:rsidR="00486CE1" w:rsidRPr="00FE3908" w:rsidRDefault="00486CE1" w:rsidP="00486CE1">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627" w:type="pct"/>
            <w:gridSpan w:val="2"/>
            <w:tcBorders>
              <w:top w:val="single" w:sz="4" w:space="0" w:color="auto"/>
              <w:bottom w:val="single" w:sz="4" w:space="0" w:color="auto"/>
            </w:tcBorders>
            <w:shd w:val="clear" w:color="auto" w:fill="C6D9F1" w:themeFill="text2" w:themeFillTint="33"/>
            <w:vAlign w:val="center"/>
          </w:tcPr>
          <w:p w:rsidR="00486CE1" w:rsidRPr="00FE3908" w:rsidRDefault="00486CE1"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486CE1" w:rsidRPr="00FE3908" w:rsidTr="00486CE1">
        <w:trPr>
          <w:cantSplit/>
        </w:trPr>
        <w:tc>
          <w:tcPr>
            <w:tcW w:w="1819" w:type="pct"/>
            <w:vMerge w:val="restart"/>
            <w:tcBorders>
              <w:top w:val="single" w:sz="4" w:space="0" w:color="auto"/>
            </w:tcBorders>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03193E">
              <w:rPr>
                <w:rFonts w:ascii="Arabic Typesetting" w:hAnsi="Arabic Typesetting" w:cs="Arabic Typesetting" w:hint="cs"/>
                <w:color w:val="000000"/>
                <w:sz w:val="30"/>
                <w:szCs w:val="30"/>
                <w:rtl/>
                <w:lang w:bidi="ar-EG"/>
              </w:rPr>
              <w:t xml:space="preserve">ه1.3 </w:t>
            </w:r>
            <w:r w:rsidR="000E3DA7">
              <w:rPr>
                <w:rFonts w:ascii="Arabic Typesetting" w:hAnsi="Arabic Typesetting" w:cs="Arabic Typesetting"/>
                <w:color w:val="000000"/>
                <w:sz w:val="30"/>
                <w:szCs w:val="30"/>
                <w:rtl/>
                <w:lang w:bidi="ar-EG"/>
              </w:rPr>
              <w:t>استراتيجيات وخطط إنمائية وطنية بشأن الملكية الفكرية والابتكار تتماشى مع الأهداف الإنمائية الوطنية</w:t>
            </w:r>
          </w:p>
        </w:tc>
        <w:tc>
          <w:tcPr>
            <w:tcW w:w="1749" w:type="pct"/>
            <w:tcBorders>
              <w:top w:val="single" w:sz="4" w:space="0" w:color="auto"/>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rtl/>
                <w:lang w:bidi="ar-EG"/>
              </w:rPr>
            </w:pPr>
            <w:r w:rsidRPr="0003193E">
              <w:rPr>
                <w:rFonts w:ascii="Arabic Typesetting" w:hAnsi="Arabic Typesetting" w:cs="Arabic Typesetting"/>
                <w:b/>
                <w:color w:val="000000"/>
                <w:sz w:val="30"/>
                <w:szCs w:val="30"/>
                <w:rtl/>
                <w:lang w:bidi="ar-EG"/>
              </w:rPr>
              <w:t>عدد البلدان التي تمر بمرحلة صياغة أو اعتماد الاستراتيجيات الوطنية للملكية الفكرية أو خطط التنمية أو كل</w:t>
            </w:r>
            <w:r w:rsidRPr="0003193E">
              <w:rPr>
                <w:rFonts w:ascii="Arabic Typesetting" w:hAnsi="Arabic Typesetting" w:cs="Arabic Typesetting" w:hint="cs"/>
                <w:b/>
                <w:color w:val="000000"/>
                <w:sz w:val="30"/>
                <w:szCs w:val="30"/>
                <w:rtl/>
                <w:lang w:bidi="ar-EG"/>
              </w:rPr>
              <w:t>ت</w:t>
            </w:r>
            <w:r w:rsidRPr="0003193E">
              <w:rPr>
                <w:rFonts w:ascii="Arabic Typesetting" w:hAnsi="Arabic Typesetting" w:cs="Arabic Typesetting"/>
                <w:b/>
                <w:color w:val="000000"/>
                <w:sz w:val="30"/>
                <w:szCs w:val="30"/>
                <w:rtl/>
                <w:lang w:bidi="ar-EG"/>
              </w:rPr>
              <w:t>يهما</w:t>
            </w:r>
          </w:p>
        </w:tc>
        <w:tc>
          <w:tcPr>
            <w:tcW w:w="932" w:type="pct"/>
            <w:gridSpan w:val="2"/>
            <w:tcBorders>
              <w:top w:val="single" w:sz="4" w:space="0" w:color="auto"/>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9</w:t>
            </w:r>
          </w:p>
        </w:tc>
        <w:tc>
          <w:tcPr>
            <w:tcW w:w="500" w:type="pct"/>
            <w:tcBorders>
              <w:top w:val="single" w:sz="4" w:space="0" w:color="auto"/>
            </w:tcBorders>
            <w:shd w:val="clear" w:color="auto" w:fill="auto"/>
            <w:vAlign w:val="center"/>
          </w:tcPr>
          <w:p w:rsidR="00486CE1" w:rsidRPr="00A00956" w:rsidRDefault="00486CE1" w:rsidP="00486CE1">
            <w:pPr>
              <w:bidi/>
              <w:jc w:val="center"/>
              <w:rPr>
                <w:rFonts w:ascii="Wingdings" w:hAnsi="Wingdings" w:cs="Calibri"/>
                <w:color w:val="008000"/>
                <w:szCs w:val="22"/>
                <w:lang w:bidi="ar-EG"/>
              </w:rPr>
            </w:pPr>
            <w:r w:rsidRPr="00A00956">
              <w:rPr>
                <w:rFonts w:ascii="Wingdings" w:hAnsi="Wingdings" w:cs="Calibri"/>
                <w:color w:val="008000"/>
                <w:szCs w:val="22"/>
                <w:lang w:bidi="ar-EG"/>
              </w:rPr>
              <w:t></w:t>
            </w:r>
            <w:r w:rsidRPr="00A00956">
              <w:rPr>
                <w:rFonts w:ascii="Wingdings" w:hAnsi="Wingdings" w:cs="Calibri"/>
                <w:color w:val="008000"/>
                <w:szCs w:val="22"/>
                <w:lang w:bidi="ar-EG"/>
              </w:rPr>
              <w:t></w:t>
            </w:r>
            <w:r w:rsidRPr="008F04A1">
              <w:rPr>
                <w:rFonts w:ascii="Wingdings" w:hAnsi="Wingdings" w:cs="Calibri"/>
                <w:color w:val="FF0000"/>
                <w:szCs w:val="22"/>
                <w:lang w:bidi="ar-EG"/>
              </w:rPr>
              <w:t></w:t>
            </w:r>
            <w:r w:rsidRPr="00A00956">
              <w:rPr>
                <w:rFonts w:ascii="Wingdings" w:hAnsi="Wingdings" w:cs="Calibri"/>
                <w:color w:val="008000"/>
                <w:szCs w:val="22"/>
                <w:lang w:bidi="ar-EG"/>
              </w:rPr>
              <w:t></w:t>
            </w:r>
            <w:r w:rsidRPr="00A00956">
              <w:rPr>
                <w:rFonts w:ascii="Wingdings" w:hAnsi="Wingdings" w:cs="Calibri"/>
                <w:color w:val="008000"/>
                <w:szCs w:val="22"/>
                <w:lang w:bidi="ar-EG"/>
              </w:rPr>
              <w:t></w:t>
            </w:r>
          </w:p>
        </w:tc>
      </w:tr>
      <w:tr w:rsidR="00486CE1" w:rsidRPr="00FE3908" w:rsidTr="00486CE1">
        <w:trPr>
          <w:cantSplit/>
        </w:trPr>
        <w:tc>
          <w:tcPr>
            <w:tcW w:w="1819" w:type="pct"/>
            <w:vMerge/>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03193E">
              <w:rPr>
                <w:rFonts w:ascii="Arabic Typesetting" w:hAnsi="Arabic Typesetting" w:cs="Arabic Typesetting"/>
                <w:color w:val="000000"/>
                <w:sz w:val="30"/>
                <w:szCs w:val="30"/>
                <w:rtl/>
              </w:rPr>
              <w:t>عدد البلدان التي اعتمدت الاستراتيجيات الوطنية للملكية الفكرية أو الخطط الإنمائية أو كلتيهما وتنفذها</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9</w:t>
            </w:r>
          </w:p>
        </w:tc>
        <w:tc>
          <w:tcPr>
            <w:tcW w:w="500" w:type="pct"/>
            <w:shd w:val="clear" w:color="auto" w:fill="auto"/>
            <w:vAlign w:val="center"/>
          </w:tcPr>
          <w:p w:rsidR="00486CE1" w:rsidRPr="00A00956" w:rsidRDefault="00486CE1" w:rsidP="00486CE1">
            <w:pPr>
              <w:bidi/>
              <w:jc w:val="center"/>
              <w:rPr>
                <w:rFonts w:ascii="Wingdings" w:hAnsi="Wingdings" w:cs="Calibri"/>
                <w:color w:val="0070C0"/>
                <w:szCs w:val="22"/>
                <w:lang w:bidi="ar-EG"/>
              </w:rPr>
            </w:pPr>
            <w:r w:rsidRPr="00B7358B">
              <w:rPr>
                <w:rFonts w:ascii="Wingdings" w:hAnsi="Wingdings" w:cs="Calibri"/>
                <w:color w:val="E36C0A" w:themeColor="accent6" w:themeShade="BF"/>
                <w:szCs w:val="22"/>
                <w:lang w:bidi="ar-EG"/>
              </w:rPr>
              <w:t></w:t>
            </w:r>
            <w:r w:rsidRPr="00A00956">
              <w:rPr>
                <w:rFonts w:ascii="Wingdings" w:hAnsi="Wingdings" w:cs="Calibri"/>
                <w:color w:val="008000"/>
                <w:szCs w:val="22"/>
                <w:lang w:bidi="ar-EG"/>
              </w:rPr>
              <w:t></w:t>
            </w:r>
            <w:r w:rsidRPr="00A00956">
              <w:rPr>
                <w:rFonts w:ascii="Wingdings" w:hAnsi="Wingdings" w:cs="Calibri"/>
                <w:color w:val="FF0000"/>
                <w:szCs w:val="22"/>
                <w:lang w:bidi="ar-EG"/>
              </w:rPr>
              <w:t></w:t>
            </w:r>
            <w:r w:rsidRPr="00A00956">
              <w:rPr>
                <w:rFonts w:ascii="Wingdings" w:hAnsi="Wingdings" w:cs="Calibri"/>
                <w:color w:val="008000"/>
                <w:szCs w:val="22"/>
                <w:lang w:bidi="ar-EG"/>
              </w:rPr>
              <w:t></w:t>
            </w:r>
            <w:r w:rsidRPr="00A00956">
              <w:rPr>
                <w:rFonts w:ascii="Wingdings" w:hAnsi="Wingdings" w:cs="Calibri"/>
                <w:color w:val="008000"/>
                <w:szCs w:val="22"/>
                <w:lang w:bidi="ar-EG"/>
              </w:rPr>
              <w:t></w:t>
            </w:r>
          </w:p>
        </w:tc>
      </w:tr>
      <w:tr w:rsidR="00486CE1" w:rsidRPr="00FE3908" w:rsidTr="00486CE1">
        <w:trPr>
          <w:cantSplit/>
        </w:trPr>
        <w:tc>
          <w:tcPr>
            <w:tcW w:w="1819" w:type="pct"/>
            <w:vMerge/>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9817A6" w:rsidRDefault="00486CE1" w:rsidP="00486CE1">
            <w:pPr>
              <w:bidi/>
              <w:spacing w:before="60" w:after="60" w:line="280" w:lineRule="exact"/>
              <w:rPr>
                <w:rFonts w:ascii="Arabic Typesetting" w:hAnsi="Arabic Typesetting" w:cs="Arabic Typesetting"/>
                <w:sz w:val="30"/>
                <w:szCs w:val="30"/>
                <w:lang w:bidi="ar-EG"/>
              </w:rPr>
            </w:pPr>
            <w:r w:rsidRPr="0003193E">
              <w:rPr>
                <w:rFonts w:ascii="Arabic Typesetting" w:hAnsi="Arabic Typesetting" w:cs="Arabic Typesetting"/>
                <w:b/>
                <w:sz w:val="30"/>
                <w:szCs w:val="30"/>
                <w:rtl/>
              </w:rPr>
              <w:t>عدد الجامعات التي وضعت سياسات الملكية الفكرية</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10</w:t>
            </w:r>
          </w:p>
        </w:tc>
        <w:tc>
          <w:tcPr>
            <w:tcW w:w="500" w:type="pct"/>
            <w:shd w:val="clear" w:color="auto" w:fill="auto"/>
            <w:vAlign w:val="center"/>
          </w:tcPr>
          <w:p w:rsidR="00486CE1" w:rsidRPr="00A00956" w:rsidRDefault="00486CE1" w:rsidP="00486CE1">
            <w:pPr>
              <w:bidi/>
              <w:jc w:val="center"/>
              <w:rPr>
                <w:rFonts w:ascii="Wingdings" w:hAnsi="Wingdings" w:cs="Calibri"/>
                <w:color w:val="008000"/>
                <w:szCs w:val="22"/>
                <w:lang w:bidi="ar-EG"/>
              </w:rPr>
            </w:pPr>
            <w:r w:rsidRPr="00A00956">
              <w:rPr>
                <w:rFonts w:ascii="Wingdings" w:hAnsi="Wingdings" w:cs="Calibri"/>
                <w:color w:val="008000"/>
                <w:szCs w:val="22"/>
                <w:lang w:bidi="ar-EG"/>
              </w:rPr>
              <w:t></w:t>
            </w:r>
          </w:p>
        </w:tc>
      </w:tr>
      <w:tr w:rsidR="00486CE1" w:rsidRPr="00FE3908" w:rsidTr="00486CE1">
        <w:trPr>
          <w:cantSplit/>
          <w:trHeight w:val="1036"/>
        </w:trPr>
        <w:tc>
          <w:tcPr>
            <w:tcW w:w="1819" w:type="pct"/>
            <w:vMerge/>
            <w:tcBorders>
              <w:bottom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tcBorders>
              <w:bottom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03193E">
              <w:rPr>
                <w:rFonts w:ascii="Arabic Typesetting" w:hAnsi="Arabic Typesetting" w:cs="Arabic Typesetting"/>
                <w:color w:val="000000"/>
                <w:sz w:val="30"/>
                <w:szCs w:val="30"/>
                <w:rtl/>
              </w:rPr>
              <w:t>عدد البلدان التي وضعت استراتيجيات أو خطط وطنية للملكية الفكرية</w:t>
            </w:r>
          </w:p>
        </w:tc>
        <w:tc>
          <w:tcPr>
            <w:tcW w:w="932" w:type="pct"/>
            <w:gridSpan w:val="2"/>
            <w:tcBorders>
              <w:bottom w:val="nil"/>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10</w:t>
            </w:r>
          </w:p>
        </w:tc>
        <w:tc>
          <w:tcPr>
            <w:tcW w:w="500" w:type="pct"/>
            <w:tcBorders>
              <w:bottom w:val="nil"/>
            </w:tcBorders>
            <w:shd w:val="clear" w:color="auto" w:fill="auto"/>
            <w:vAlign w:val="center"/>
          </w:tcPr>
          <w:p w:rsidR="00486CE1" w:rsidRPr="00A00956" w:rsidRDefault="00486CE1" w:rsidP="00486CE1">
            <w:pPr>
              <w:bidi/>
              <w:jc w:val="center"/>
              <w:rPr>
                <w:rFonts w:ascii="Wingdings" w:hAnsi="Wingdings" w:cs="Calibri"/>
                <w:color w:val="008000"/>
                <w:szCs w:val="22"/>
                <w:lang w:bidi="ar-EG"/>
              </w:rPr>
            </w:pPr>
            <w:r w:rsidRPr="00A00956">
              <w:rPr>
                <w:rFonts w:ascii="Wingdings" w:hAnsi="Wingdings" w:cs="Calibri"/>
                <w:color w:val="008000"/>
                <w:szCs w:val="22"/>
                <w:lang w:bidi="ar-EG"/>
              </w:rPr>
              <w:t></w:t>
            </w:r>
          </w:p>
        </w:tc>
      </w:tr>
      <w:tr w:rsidR="00486CE1" w:rsidRPr="00FE3908" w:rsidTr="00486CE1">
        <w:trPr>
          <w:cantSplit/>
          <w:trHeight w:val="1036"/>
        </w:trPr>
        <w:tc>
          <w:tcPr>
            <w:tcW w:w="1819" w:type="pct"/>
            <w:tcBorders>
              <w:top w:val="nil"/>
              <w:bottom w:val="single" w:sz="4" w:space="0" w:color="auto"/>
            </w:tcBorders>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tcBorders>
              <w:top w:val="nil"/>
              <w:bottom w:val="single" w:sz="4" w:space="0" w:color="auto"/>
            </w:tcBorders>
            <w:shd w:val="clear" w:color="auto" w:fill="auto"/>
          </w:tcPr>
          <w:p w:rsidR="00486CE1" w:rsidRPr="00E06DDA" w:rsidRDefault="00486CE1" w:rsidP="00486CE1">
            <w:pPr>
              <w:bidi/>
              <w:spacing w:before="60" w:after="60" w:line="280" w:lineRule="exact"/>
              <w:rPr>
                <w:rFonts w:ascii="Arabic Typesetting" w:hAnsi="Arabic Typesetting" w:cs="Arabic Typesetting"/>
                <w:b/>
                <w:color w:val="000000"/>
                <w:sz w:val="30"/>
                <w:szCs w:val="30"/>
                <w:rtl/>
                <w:lang w:bidi="ar-EG"/>
              </w:rPr>
            </w:pPr>
            <w:r w:rsidRPr="00163A23">
              <w:rPr>
                <w:rFonts w:ascii="Arabic Typesetting" w:hAnsi="Arabic Typesetting" w:cs="Arabic Typesetting"/>
                <w:b/>
                <w:color w:val="000000"/>
                <w:sz w:val="30"/>
                <w:szCs w:val="30"/>
                <w:rtl/>
                <w:lang w:bidi="ar-EG"/>
              </w:rPr>
              <w:t>عدد البلدان ذات استراتيجيات الابتكار الوطنية التي استُهلّت أو جارية أو اعتُمدت</w:t>
            </w:r>
          </w:p>
        </w:tc>
        <w:tc>
          <w:tcPr>
            <w:tcW w:w="932" w:type="pct"/>
            <w:gridSpan w:val="2"/>
            <w:tcBorders>
              <w:top w:val="nil"/>
              <w:bottom w:val="single" w:sz="4" w:space="0" w:color="auto"/>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0" w:type="pct"/>
            <w:tcBorders>
              <w:top w:val="nil"/>
              <w:bottom w:val="single" w:sz="4" w:space="0" w:color="auto"/>
            </w:tcBorders>
            <w:shd w:val="clear" w:color="auto" w:fill="auto"/>
            <w:vAlign w:val="center"/>
          </w:tcPr>
          <w:p w:rsidR="00486CE1" w:rsidRPr="00A00956" w:rsidRDefault="00486CE1" w:rsidP="00486CE1">
            <w:pPr>
              <w:bidi/>
              <w:jc w:val="center"/>
              <w:rPr>
                <w:rFonts w:ascii="Wingdings" w:hAnsi="Wingdings" w:cs="Calibri"/>
                <w:color w:val="008000"/>
                <w:szCs w:val="22"/>
                <w:lang w:bidi="ar-EG"/>
              </w:rPr>
            </w:pPr>
            <w:r w:rsidRPr="00A00956">
              <w:rPr>
                <w:rFonts w:ascii="Wingdings" w:hAnsi="Wingdings" w:cs="Calibri"/>
                <w:color w:val="008000"/>
                <w:szCs w:val="22"/>
                <w:lang w:bidi="ar-EG"/>
              </w:rPr>
              <w:t></w:t>
            </w:r>
          </w:p>
        </w:tc>
      </w:tr>
      <w:tr w:rsidR="00486CE1" w:rsidRPr="00FE3908" w:rsidTr="00486CE1">
        <w:trPr>
          <w:cantSplit/>
        </w:trPr>
        <w:tc>
          <w:tcPr>
            <w:tcW w:w="1819" w:type="pct"/>
            <w:tcBorders>
              <w:top w:val="single" w:sz="4" w:space="0" w:color="auto"/>
              <w:bottom w:val="nil"/>
            </w:tcBorders>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163A23">
              <w:rPr>
                <w:rFonts w:ascii="Arabic Typesetting" w:hAnsi="Arabic Typesetting" w:cs="Arabic Typesetting" w:hint="cs"/>
                <w:b/>
                <w:color w:val="000000"/>
                <w:sz w:val="30"/>
                <w:szCs w:val="30"/>
                <w:rtl/>
                <w:lang w:bidi="ar-EG"/>
              </w:rPr>
              <w:lastRenderedPageBreak/>
              <w:t xml:space="preserve">ه2.3 </w:t>
            </w:r>
            <w:r w:rsidRPr="00D619C5">
              <w:rPr>
                <w:rFonts w:ascii="Arabic Typesetting" w:hAnsi="Arabic Typesetting" w:cs="Arabic Typesetting"/>
                <w:b/>
                <w:color w:val="000000"/>
                <w:sz w:val="30"/>
                <w:szCs w:val="30"/>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1749" w:type="pct"/>
            <w:tcBorders>
              <w:top w:val="single" w:sz="4" w:space="0" w:color="auto"/>
              <w:bottom w:val="nil"/>
            </w:tcBorders>
            <w:shd w:val="clear" w:color="auto" w:fill="auto"/>
          </w:tcPr>
          <w:p w:rsidR="00486CE1" w:rsidRPr="009817A6" w:rsidRDefault="00486CE1" w:rsidP="00486CE1">
            <w:pPr>
              <w:bidi/>
              <w:spacing w:before="60" w:after="60" w:line="280" w:lineRule="exact"/>
              <w:rPr>
                <w:rFonts w:ascii="Arabic Typesetting" w:hAnsi="Arabic Typesetting" w:cs="Arabic Typesetting"/>
                <w:sz w:val="30"/>
                <w:szCs w:val="30"/>
                <w:lang w:bidi="ar-EG"/>
              </w:rPr>
            </w:pPr>
            <w:r w:rsidRPr="00163A23">
              <w:rPr>
                <w:rFonts w:ascii="Arabic Typesetting" w:hAnsi="Arabic Typesetting" w:cs="Arabic Typesetting" w:hint="cs"/>
                <w:b/>
                <w:sz w:val="30"/>
                <w:szCs w:val="30"/>
                <w:rtl/>
                <w:lang w:bidi="ar-EG"/>
              </w:rPr>
              <w:t>عدد الحكومات ومنظمات الإدارة الجماعية الموقعة لاتفاق مع الويبو لوضع معيار جديد للشفافية والمساءلة وضمان جودة الحوكمة</w:t>
            </w:r>
          </w:p>
        </w:tc>
        <w:tc>
          <w:tcPr>
            <w:tcW w:w="932" w:type="pct"/>
            <w:gridSpan w:val="2"/>
            <w:tcBorders>
              <w:top w:val="single" w:sz="4" w:space="0" w:color="auto"/>
              <w:bottom w:val="nil"/>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500" w:type="pct"/>
            <w:tcBorders>
              <w:top w:val="single" w:sz="4" w:space="0" w:color="auto"/>
              <w:bottom w:val="nil"/>
            </w:tcBorders>
            <w:shd w:val="clear" w:color="auto" w:fill="auto"/>
            <w:vAlign w:val="center"/>
          </w:tcPr>
          <w:p w:rsidR="00486CE1" w:rsidRPr="00A00956" w:rsidRDefault="00486CE1" w:rsidP="00486CE1">
            <w:pPr>
              <w:bidi/>
              <w:jc w:val="center"/>
              <w:rPr>
                <w:rFonts w:ascii="Wingdings" w:hAnsi="Wingdings" w:cs="Calibri"/>
                <w:color w:val="008000"/>
                <w:szCs w:val="22"/>
                <w:rtl/>
                <w:lang w:bidi="ar-EG"/>
              </w:rPr>
            </w:pPr>
            <w:r w:rsidRPr="00A00956">
              <w:rPr>
                <w:rFonts w:ascii="Wingdings" w:hAnsi="Wingdings" w:cs="Calibri"/>
                <w:color w:val="008000"/>
                <w:szCs w:val="22"/>
                <w:lang w:bidi="ar-EG"/>
              </w:rPr>
              <w:t></w:t>
            </w:r>
          </w:p>
        </w:tc>
      </w:tr>
      <w:tr w:rsidR="00486CE1" w:rsidRPr="00FE3908" w:rsidTr="00486CE1">
        <w:trPr>
          <w:cantSplit/>
        </w:trPr>
        <w:tc>
          <w:tcPr>
            <w:tcW w:w="1819" w:type="pct"/>
            <w:tcBorders>
              <w:top w:val="nil"/>
              <w:bottom w:val="nil"/>
            </w:tcBorders>
            <w:shd w:val="clear" w:color="auto" w:fill="auto"/>
          </w:tcPr>
          <w:p w:rsidR="00486CE1" w:rsidRPr="00FE3908" w:rsidRDefault="00486CE1" w:rsidP="00486CE1">
            <w:pPr>
              <w:keepNext/>
              <w:bidi/>
              <w:spacing w:before="60" w:after="60" w:line="280" w:lineRule="exact"/>
              <w:rPr>
                <w:rFonts w:ascii="Arabic Typesetting" w:hAnsi="Arabic Typesetting" w:cs="Arabic Typesetting"/>
                <w:color w:val="000000"/>
                <w:sz w:val="30"/>
                <w:szCs w:val="30"/>
                <w:lang w:bidi="ar-EG"/>
              </w:rPr>
            </w:pPr>
          </w:p>
        </w:tc>
        <w:tc>
          <w:tcPr>
            <w:tcW w:w="1749" w:type="pct"/>
            <w:tcBorders>
              <w:top w:val="nil"/>
              <w:bottom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163A23">
              <w:rPr>
                <w:rFonts w:ascii="Arabic Typesetting" w:hAnsi="Arabic Typesetting" w:cs="Arabic Typesetting" w:hint="cs"/>
                <w:b/>
                <w:color w:val="000000"/>
                <w:sz w:val="30"/>
                <w:szCs w:val="30"/>
                <w:rtl/>
                <w:lang w:bidi="ar-EG"/>
              </w:rPr>
              <w:t>النسبة المئوية للمبدعين الراضين عن التدريب المقدم على استخدام بيانات ومعلومات حق المؤلف من أجل تحقيق الكفاءة في إدارة حق المؤلف الخاص بهم</w:t>
            </w:r>
          </w:p>
        </w:tc>
        <w:tc>
          <w:tcPr>
            <w:tcW w:w="932" w:type="pct"/>
            <w:gridSpan w:val="2"/>
            <w:tcBorders>
              <w:top w:val="nil"/>
              <w:bottom w:val="nil"/>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500" w:type="pct"/>
            <w:tcBorders>
              <w:top w:val="nil"/>
              <w:bottom w:val="nil"/>
            </w:tcBorders>
            <w:shd w:val="clear" w:color="auto" w:fill="auto"/>
            <w:vAlign w:val="center"/>
          </w:tcPr>
          <w:p w:rsidR="00486CE1" w:rsidRPr="00A00956" w:rsidRDefault="00486CE1" w:rsidP="00486CE1">
            <w:pPr>
              <w:bidi/>
              <w:jc w:val="center"/>
              <w:rPr>
                <w:rFonts w:ascii="Wingdings" w:hAnsi="Wingdings" w:cs="Calibri"/>
                <w:color w:val="008000"/>
                <w:szCs w:val="22"/>
                <w:lang w:bidi="ar-EG"/>
              </w:rPr>
            </w:pPr>
            <w:r w:rsidRPr="00A00956">
              <w:rPr>
                <w:rFonts w:ascii="Wingdings" w:hAnsi="Wingdings" w:cs="Calibri"/>
                <w:color w:val="008000"/>
                <w:szCs w:val="22"/>
                <w:lang w:bidi="ar-EG"/>
              </w:rPr>
              <w:t></w:t>
            </w:r>
          </w:p>
        </w:tc>
      </w:tr>
      <w:tr w:rsidR="00486CE1" w:rsidRPr="00FE3908" w:rsidTr="00486CE1">
        <w:trPr>
          <w:cantSplit/>
        </w:trPr>
        <w:tc>
          <w:tcPr>
            <w:tcW w:w="1819" w:type="pct"/>
            <w:vMerge w:val="restart"/>
            <w:tcBorders>
              <w:top w:val="nil"/>
              <w:bottom w:val="nil"/>
            </w:tcBorders>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tcBorders>
              <w:top w:val="nil"/>
              <w:bottom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C059D4">
              <w:rPr>
                <w:rFonts w:ascii="Arabic Typesetting" w:hAnsi="Arabic Typesetting" w:cs="Arabic Typesetting" w:hint="cs"/>
                <w:b/>
                <w:color w:val="000000"/>
                <w:sz w:val="30"/>
                <w:szCs w:val="30"/>
                <w:rtl/>
                <w:lang w:bidi="ar-EG"/>
              </w:rPr>
              <w:t>النسبة المئوية لتقييم المشاركين الإيجابي لمدى نفع اجتماعات وحلقات عمل بناء القدرات المتصلة بحق المؤلف</w:t>
            </w:r>
          </w:p>
        </w:tc>
        <w:tc>
          <w:tcPr>
            <w:tcW w:w="932" w:type="pct"/>
            <w:gridSpan w:val="2"/>
            <w:tcBorders>
              <w:top w:val="nil"/>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500" w:type="pct"/>
            <w:tcBorders>
              <w:top w:val="nil"/>
            </w:tcBorders>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vMerge/>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C059D4">
              <w:rPr>
                <w:rFonts w:ascii="Arabic Typesetting" w:hAnsi="Arabic Typesetting" w:cs="Arabic Typesetting" w:hint="cs"/>
                <w:b/>
                <w:color w:val="000000"/>
                <w:sz w:val="30"/>
                <w:szCs w:val="30"/>
                <w:rtl/>
                <w:lang w:bidi="ar-EG"/>
              </w:rPr>
              <w:t>عدد الدول الأعضاء التي تبادر بتحسين استخدامها لنظام حق المؤلف والحقوق المجاورة من أجل الانتفاع بالطاقات الاقتصادية الكامنة لمصنفاتها ومنتجاتها الثقافية</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tcBorders>
              <w:top w:val="nil"/>
            </w:tcBorders>
            <w:shd w:val="clear" w:color="auto" w:fill="auto"/>
            <w:vAlign w:val="center"/>
          </w:tcPr>
          <w:p w:rsidR="00486CE1" w:rsidRPr="00012439" w:rsidRDefault="00486CE1" w:rsidP="00486CE1">
            <w:pPr>
              <w:bidi/>
              <w:spacing w:before="60" w:after="60" w:line="280" w:lineRule="exact"/>
              <w:rPr>
                <w:rFonts w:ascii="Arabic Typesetting" w:hAnsi="Arabic Typesetting" w:cs="Arabic Typesetting"/>
                <w:b/>
                <w:color w:val="000000"/>
                <w:sz w:val="30"/>
                <w:szCs w:val="30"/>
                <w:rtl/>
                <w:lang w:bidi="ar-EG"/>
              </w:rPr>
            </w:pPr>
            <w:r w:rsidRPr="00C059D4">
              <w:rPr>
                <w:rFonts w:ascii="Arabic Typesetting" w:hAnsi="Arabic Typesetting" w:cs="Arabic Typesetting" w:hint="cs"/>
                <w:b/>
                <w:color w:val="000000"/>
                <w:sz w:val="30"/>
                <w:szCs w:val="30"/>
                <w:rtl/>
                <w:lang w:bidi="ar-EG"/>
              </w:rPr>
              <w:t>نسبة المشاركين في أنشطة الويبو التي تسفر عن تقارير حول كفاءات معززة لفهم مبادئ وأنظمة وأدوات الملكية الفكرية والانتفاع بها من أجل حماية المعارف التقليدية وأشكال التعبير الثقافي التقليدي وإدارة</w:t>
            </w:r>
            <w:r w:rsidRPr="00C059D4">
              <w:rPr>
                <w:rFonts w:ascii="Arabic Typesetting" w:hAnsi="Arabic Typesetting" w:cs="Arabic Typesetting"/>
                <w:b/>
                <w:color w:val="000000"/>
                <w:sz w:val="30"/>
                <w:szCs w:val="30"/>
                <w:rtl/>
                <w:lang w:bidi="ar-EG"/>
              </w:rPr>
              <w:t xml:space="preserve"> العلاقة بين الملكية الفكرية والموارد الوراثية</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4</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tcBorders>
              <w:top w:val="nil"/>
            </w:tcBorders>
            <w:shd w:val="clear" w:color="auto" w:fill="auto"/>
            <w:vAlign w:val="center"/>
          </w:tcPr>
          <w:p w:rsidR="00486CE1" w:rsidRPr="00FD3497" w:rsidRDefault="00486CE1" w:rsidP="00486CE1">
            <w:pPr>
              <w:bidi/>
              <w:spacing w:before="60" w:after="60" w:line="280" w:lineRule="exact"/>
              <w:rPr>
                <w:rFonts w:ascii="Arabic Typesetting" w:hAnsi="Arabic Typesetting" w:cs="Arabic Typesetting"/>
                <w:b/>
                <w:color w:val="000000"/>
                <w:sz w:val="30"/>
                <w:szCs w:val="30"/>
                <w:rtl/>
              </w:rPr>
            </w:pPr>
            <w:r w:rsidRPr="0022537A">
              <w:rPr>
                <w:rFonts w:ascii="Arabic Typesetting" w:hAnsi="Arabic Typesetting" w:cs="Arabic Typesetting"/>
                <w:b/>
                <w:color w:val="000000"/>
                <w:sz w:val="30"/>
                <w:szCs w:val="30"/>
                <w:rtl/>
                <w:lang w:bidi="ar-EG"/>
              </w:rPr>
              <w:t>النسبة المئوية للمشاركين في أحداث الويبو الذين يعربون عن رضاهم عن المحتوى وعن تنظيم هذه الأحداث</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A00956">
              <w:rPr>
                <w:rFonts w:ascii="Wingdings" w:hAnsi="Wingdings" w:cs="Calibri"/>
                <w:color w:val="10862C"/>
                <w:szCs w:val="22"/>
                <w:lang w:bidi="ar-EG"/>
              </w:rPr>
              <w:t></w:t>
            </w:r>
          </w:p>
        </w:tc>
      </w:tr>
      <w:tr w:rsidR="00486CE1" w:rsidRPr="00FE3908" w:rsidTr="00486CE1">
        <w:trPr>
          <w:cantSplit/>
        </w:trPr>
        <w:tc>
          <w:tcPr>
            <w:tcW w:w="1819"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tcBorders>
              <w:top w:val="nil"/>
            </w:tcBorders>
            <w:shd w:val="clear" w:color="auto" w:fill="auto"/>
            <w:vAlign w:val="center"/>
          </w:tcPr>
          <w:p w:rsidR="00486CE1" w:rsidRPr="00FD3497" w:rsidRDefault="00486CE1" w:rsidP="00486CE1">
            <w:pPr>
              <w:bidi/>
              <w:spacing w:before="60" w:after="60" w:line="280" w:lineRule="exact"/>
              <w:rPr>
                <w:rFonts w:ascii="Arabic Typesetting" w:hAnsi="Arabic Typesetting" w:cs="Arabic Typesetting"/>
                <w:b/>
                <w:color w:val="000000"/>
                <w:sz w:val="30"/>
                <w:szCs w:val="30"/>
                <w:rtl/>
              </w:rPr>
            </w:pPr>
            <w:r w:rsidRPr="0022537A">
              <w:rPr>
                <w:rFonts w:ascii="Arabic Typesetting" w:hAnsi="Arabic Typesetting" w:cs="Arabic Typesetting"/>
                <w:b/>
                <w:color w:val="000000"/>
                <w:sz w:val="30"/>
                <w:szCs w:val="30"/>
                <w:rtl/>
                <w:lang w:bidi="ar-EG"/>
              </w:rPr>
              <w:t>النسبة المئوية للمشاركين في حلقات عمل الويبو الذين يطبّقون المهارات المكتسبة في عملهم أو مؤسساتهم</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B7358B">
              <w:rPr>
                <w:rFonts w:ascii="Wingdings" w:hAnsi="Wingdings" w:cs="Calibri"/>
                <w:color w:val="A6A6A6" w:themeColor="background1" w:themeShade="A6"/>
                <w:szCs w:val="22"/>
                <w:lang w:bidi="ar-EG"/>
              </w:rPr>
              <w:t></w:t>
            </w:r>
            <w:r w:rsidRPr="004B0BC7">
              <w:rPr>
                <w:rFonts w:ascii="Wingdings" w:hAnsi="Wingdings" w:cs="Calibri"/>
                <w:color w:val="10862C"/>
                <w:szCs w:val="22"/>
                <w:lang w:bidi="ar-EG"/>
              </w:rPr>
              <w:t></w:t>
            </w:r>
            <w:r w:rsidRPr="00A00956">
              <w:rPr>
                <w:rFonts w:ascii="Wingdings" w:hAnsi="Wingdings" w:cs="Calibri"/>
                <w:color w:val="10862C"/>
                <w:szCs w:val="22"/>
                <w:lang w:bidi="ar-EG"/>
              </w:rPr>
              <w:t></w:t>
            </w:r>
          </w:p>
        </w:tc>
      </w:tr>
      <w:tr w:rsidR="00486CE1" w:rsidRPr="00FE3908" w:rsidTr="00486CE1">
        <w:trPr>
          <w:cantSplit/>
        </w:trPr>
        <w:tc>
          <w:tcPr>
            <w:tcW w:w="1819"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tcBorders>
              <w:top w:val="nil"/>
            </w:tcBorders>
            <w:shd w:val="clear" w:color="auto" w:fill="auto"/>
            <w:vAlign w:val="center"/>
          </w:tcPr>
          <w:p w:rsidR="00486CE1" w:rsidRPr="00FD3497" w:rsidRDefault="00486CE1" w:rsidP="00486CE1">
            <w:pPr>
              <w:bidi/>
              <w:spacing w:before="60" w:after="60" w:line="280" w:lineRule="exact"/>
              <w:rPr>
                <w:rFonts w:ascii="Arabic Typesetting" w:hAnsi="Arabic Typesetting" w:cs="Arabic Typesetting"/>
                <w:b/>
                <w:color w:val="000000"/>
                <w:sz w:val="30"/>
                <w:szCs w:val="30"/>
                <w:rtl/>
              </w:rPr>
            </w:pPr>
            <w:r w:rsidRPr="0022537A">
              <w:rPr>
                <w:rFonts w:ascii="Arabic Typesetting" w:hAnsi="Arabic Typesetting" w:cs="Arabic Typesetting"/>
                <w:b/>
                <w:color w:val="000000"/>
                <w:sz w:val="30"/>
                <w:szCs w:val="30"/>
                <w:rtl/>
                <w:lang w:bidi="ar-EG"/>
              </w:rPr>
              <w:t>النسبة المئوية لخبراء الملكية الفكرية الوطنيين أو الإقليميين الذي يُستعان بهم باعتبارهم خبراء في أحداث الويبو</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008000"/>
                <w:szCs w:val="22"/>
                <w:lang w:bidi="ar-EG"/>
              </w:rPr>
              <w:t></w:t>
            </w:r>
            <w:r w:rsidRPr="00A00956">
              <w:rPr>
                <w:rFonts w:ascii="Wingdings" w:hAnsi="Wingdings" w:cs="Calibri"/>
                <w:color w:val="008000"/>
                <w:szCs w:val="22"/>
                <w:lang w:bidi="ar-EG"/>
              </w:rPr>
              <w:t></w:t>
            </w:r>
            <w:r w:rsidRPr="00B7358B">
              <w:rPr>
                <w:rFonts w:ascii="Wingdings" w:hAnsi="Wingdings" w:cs="Calibri"/>
                <w:color w:val="E36C0A" w:themeColor="accent6" w:themeShade="BF"/>
                <w:szCs w:val="22"/>
                <w:lang w:bidi="ar-EG"/>
              </w:rPr>
              <w:t></w:t>
            </w:r>
            <w:r w:rsidRPr="00A00956">
              <w:rPr>
                <w:rFonts w:ascii="Wingdings" w:hAnsi="Wingdings" w:cs="Calibri"/>
                <w:color w:val="008000"/>
                <w:szCs w:val="22"/>
                <w:lang w:bidi="ar-EG"/>
              </w:rPr>
              <w:t></w:t>
            </w:r>
            <w:r w:rsidRPr="00A00956">
              <w:rPr>
                <w:rFonts w:ascii="Wingdings" w:hAnsi="Wingdings" w:cs="Calibri"/>
                <w:color w:val="008000"/>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22537A">
              <w:rPr>
                <w:rFonts w:ascii="Arabic Typesetting" w:hAnsi="Arabic Typesetting" w:cs="Arabic Typesetting"/>
                <w:color w:val="000000"/>
                <w:sz w:val="30"/>
                <w:szCs w:val="30"/>
                <w:rtl/>
              </w:rPr>
              <w:t>عدد البلدان المنتقلة إلى نظام الاقتصاد الحر التي وضعت برامج تدريبية سنوية في مجال الملكية الفكرية و/أو دورات للمهنيين المتخصصين في الملكية الفكرية</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22537A">
              <w:rPr>
                <w:rFonts w:ascii="Arabic Typesetting" w:hAnsi="Arabic Typesetting" w:cs="Arabic Typesetting"/>
                <w:color w:val="000000"/>
                <w:sz w:val="30"/>
                <w:szCs w:val="30"/>
                <w:rtl/>
              </w:rPr>
              <w:t>النسبة المئوية للمهنيين المُدرَّبين المتخصصين في مجال الملكية الفكرية ومديري مكاتب الملكية الفكرية المُدرَّبين الذين يستخدمون مهارات محسنة في عملهم</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8A2B1D" w:rsidRDefault="00486CE1" w:rsidP="00486CE1">
            <w:pPr>
              <w:bidi/>
              <w:spacing w:before="60" w:after="60" w:line="280" w:lineRule="exact"/>
              <w:rPr>
                <w:rFonts w:ascii="Arabic Typesetting" w:hAnsi="Arabic Typesetting" w:cs="Arabic Typesetting"/>
                <w:b/>
                <w:color w:val="000000"/>
                <w:sz w:val="30"/>
                <w:szCs w:val="30"/>
                <w:rtl/>
                <w:lang w:bidi="ar-EG"/>
              </w:rPr>
            </w:pPr>
            <w:r w:rsidRPr="0022537A">
              <w:rPr>
                <w:rFonts w:ascii="Arabic Typesetting" w:hAnsi="Arabic Typesetting" w:cs="Arabic Typesetting"/>
                <w:b/>
                <w:color w:val="000000"/>
                <w:sz w:val="30"/>
                <w:szCs w:val="30"/>
                <w:rtl/>
                <w:lang w:bidi="ar-EG"/>
              </w:rPr>
              <w:t xml:space="preserve">المحفظة المُنقَّحة للدورات التدريبية المتعلقة بالملكية الفكرية المقدمة للبلدان النامية والبلدان الأقل نمواً والبلدان المنتقلة إلى نظام الاقتصاد الحر / ومدى </w:t>
            </w:r>
            <w:r w:rsidRPr="0022537A">
              <w:rPr>
                <w:rFonts w:ascii="Arabic Typesetting" w:hAnsi="Arabic Typesetting" w:cs="Arabic Typesetting" w:hint="cs"/>
                <w:b/>
                <w:color w:val="000000"/>
                <w:sz w:val="30"/>
                <w:szCs w:val="30"/>
                <w:rtl/>
                <w:lang w:bidi="ar-EG"/>
              </w:rPr>
              <w:t>ملاءمة</w:t>
            </w:r>
            <w:r w:rsidRPr="0022537A">
              <w:rPr>
                <w:rFonts w:ascii="Arabic Typesetting" w:hAnsi="Arabic Typesetting" w:cs="Arabic Typesetting"/>
                <w:b/>
                <w:color w:val="000000"/>
                <w:sz w:val="30"/>
                <w:szCs w:val="30"/>
                <w:rtl/>
                <w:lang w:bidi="ar-EG"/>
              </w:rPr>
              <w:t xml:space="preserve"> محتوى الدورات التدريبية لمتطلبات تكوين الكفاءات في البلدان النامية والبلدان الأقل نمواً والبلدان المنتقلة إلى نظام الاقتصاد الحر</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11</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535A17">
              <w:rPr>
                <w:rFonts w:ascii="Arabic Typesetting" w:hAnsi="Arabic Typesetting" w:cs="Arabic Typesetting"/>
                <w:color w:val="000000"/>
                <w:sz w:val="30"/>
                <w:szCs w:val="30"/>
                <w:rtl/>
                <w:lang w:bidi="ar-EG"/>
              </w:rPr>
              <w:t xml:space="preserve">النفاذ المُحسَّن والمتعدد اللغات إلى التعلم الإلكتروني فيما يتعلق بالجوانب المختلفة للملكية الفكرية للبلدان النامية والبلدان الأقل نمواً والبلدان المنتقلة إلى نظام الاقتصاد الحر / ومدى </w:t>
            </w:r>
            <w:r w:rsidRPr="00535A17">
              <w:rPr>
                <w:rFonts w:ascii="Arabic Typesetting" w:hAnsi="Arabic Typesetting" w:cs="Arabic Typesetting" w:hint="cs"/>
                <w:color w:val="000000"/>
                <w:sz w:val="30"/>
                <w:szCs w:val="30"/>
                <w:rtl/>
                <w:lang w:bidi="ar-EG"/>
              </w:rPr>
              <w:t>ملاءمة</w:t>
            </w:r>
            <w:r w:rsidRPr="00535A17">
              <w:rPr>
                <w:rFonts w:ascii="Arabic Typesetting" w:hAnsi="Arabic Typesetting" w:cs="Arabic Typesetting"/>
                <w:color w:val="000000"/>
                <w:sz w:val="30"/>
                <w:szCs w:val="30"/>
                <w:rtl/>
                <w:lang w:bidi="ar-EG"/>
              </w:rPr>
              <w:t xml:space="preserve"> محتوى محفظة دورات التعلم الإلكتروني لمتطلبات تكوين الكفاءات في البلدان النامية والبلدان الأقل نمواً والبلدان المنتقلة إلى نظام الاقتصاد الحر</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11</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535A17">
              <w:rPr>
                <w:rFonts w:ascii="Arabic Typesetting" w:hAnsi="Arabic Typesetting" w:cs="Arabic Typesetting"/>
                <w:color w:val="000000"/>
                <w:sz w:val="30"/>
                <w:szCs w:val="30"/>
                <w:rtl/>
                <w:lang w:bidi="ar-EG"/>
              </w:rPr>
              <w:t>تحسن فرص البلدان النامية والبلدان الأقل نمواً والبلدان المنتقلة إلى نظام الاقتصاد الحر في الالتحاق بالتعليم العالي في مجال الملكية الفكرية / وعدد الجامعات التي تقدم برامج تعليمية جديدة في مجال الملكية الفكرية في البلدان النامية والبلدان الأقل نمواً والبلدان المنتقلة إلى نظام الاقتصاد الحر</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11</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7E6592">
              <w:rPr>
                <w:rFonts w:ascii="Wingdings" w:hAnsi="Wingdings" w:cs="Calibri"/>
                <w:color w:val="F79646" w:themeColor="accent6"/>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8A2B1D" w:rsidRDefault="00486CE1" w:rsidP="00486CE1">
            <w:pPr>
              <w:bidi/>
              <w:spacing w:before="60" w:after="60" w:line="280" w:lineRule="exact"/>
              <w:rPr>
                <w:rFonts w:ascii="Arabic Typesetting" w:hAnsi="Arabic Typesetting" w:cs="Arabic Typesetting"/>
                <w:b/>
                <w:color w:val="000000"/>
                <w:sz w:val="30"/>
                <w:szCs w:val="30"/>
                <w:rtl/>
                <w:lang w:bidi="ar-EG"/>
              </w:rPr>
            </w:pPr>
            <w:r w:rsidRPr="00535A17">
              <w:rPr>
                <w:rFonts w:ascii="Arabic Typesetting" w:hAnsi="Arabic Typesetting" w:cs="Arabic Typesetting"/>
                <w:b/>
                <w:color w:val="000000"/>
                <w:sz w:val="30"/>
                <w:szCs w:val="30"/>
                <w:rtl/>
                <w:lang w:bidi="ar-EG"/>
              </w:rPr>
              <w:t>الإنشاء التدريجي لشبكة من خبراء الملكية الفكرية في البلدان النامية والبلدان الأقل نمواً والبلدان المنتقلة إلى نظام الاقتصاد الحر</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11</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535A17">
              <w:rPr>
                <w:rFonts w:ascii="Arabic Typesetting" w:hAnsi="Arabic Typesetting" w:cs="Arabic Typesetting" w:hint="cs"/>
                <w:color w:val="000000"/>
                <w:sz w:val="30"/>
                <w:szCs w:val="30"/>
                <w:rtl/>
                <w:lang w:bidi="ar-EG"/>
              </w:rPr>
              <w:t>عدد مشروعات الأكاديميات الناشئة الجديدة التي استُهلت بعد استكمال المرحلة التجريبية</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11</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4B0BC7">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E35319" w:rsidRDefault="00486CE1" w:rsidP="00486CE1">
            <w:pPr>
              <w:bidi/>
              <w:spacing w:before="60" w:after="60" w:line="280" w:lineRule="exact"/>
              <w:rPr>
                <w:rFonts w:ascii="Arabic Typesetting" w:hAnsi="Arabic Typesetting" w:cs="Arabic Typesetting"/>
                <w:color w:val="000000"/>
                <w:sz w:val="30"/>
                <w:szCs w:val="30"/>
                <w:rtl/>
              </w:rPr>
            </w:pPr>
            <w:r w:rsidRPr="00535A17">
              <w:rPr>
                <w:rFonts w:ascii="Arabic Typesetting" w:hAnsi="Arabic Typesetting" w:cs="Arabic Typesetting"/>
                <w:color w:val="000000"/>
                <w:sz w:val="30"/>
                <w:szCs w:val="30"/>
                <w:rtl/>
                <w:lang w:bidi="ar-EG"/>
              </w:rPr>
              <w:t>النسبة المئوية من المشاركين المتدربين الراضين عن جدوى التدريب المقدم وأهميته في الحياة المهنية</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17</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24626B" w:rsidRDefault="00486CE1" w:rsidP="00486CE1">
            <w:pPr>
              <w:bidi/>
              <w:spacing w:before="60" w:after="60" w:line="280" w:lineRule="exact"/>
              <w:rPr>
                <w:rFonts w:ascii="Arabic Typesetting" w:hAnsi="Arabic Typesetting" w:cs="Arabic Typesetting"/>
                <w:b/>
                <w:color w:val="000000"/>
                <w:sz w:val="30"/>
                <w:szCs w:val="30"/>
                <w:rtl/>
                <w:lang w:bidi="ar-EG"/>
              </w:rPr>
            </w:pPr>
            <w:r w:rsidRPr="00535A17">
              <w:rPr>
                <w:rFonts w:ascii="Arabic Typesetting" w:hAnsi="Arabic Typesetting" w:cs="Arabic Typesetting"/>
                <w:b/>
                <w:color w:val="000000"/>
                <w:sz w:val="30"/>
                <w:szCs w:val="30"/>
                <w:rtl/>
                <w:lang w:bidi="ar-EG"/>
              </w:rPr>
              <w:t>النسبة المئوية للجمهور المستهدف الذي أظهر معرفة أساسية بنظام الملكية الفكرية المتوازن إضافة إلى أنشطة الويبو</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17</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24626B" w:rsidRDefault="00486CE1" w:rsidP="00486CE1">
            <w:pPr>
              <w:bidi/>
              <w:spacing w:before="60" w:after="60" w:line="280" w:lineRule="exact"/>
              <w:rPr>
                <w:rFonts w:ascii="Arabic Typesetting" w:hAnsi="Arabic Typesetting" w:cs="Arabic Typesetting"/>
                <w:b/>
                <w:color w:val="000000"/>
                <w:sz w:val="30"/>
                <w:szCs w:val="30"/>
                <w:rtl/>
                <w:lang w:bidi="ar-EG"/>
              </w:rPr>
            </w:pPr>
            <w:r w:rsidRPr="00535A17">
              <w:rPr>
                <w:rFonts w:ascii="Arabic Typesetting" w:hAnsi="Arabic Typesetting" w:cs="Arabic Typesetting"/>
                <w:b/>
                <w:color w:val="000000"/>
                <w:sz w:val="30"/>
                <w:szCs w:val="30"/>
                <w:rtl/>
                <w:lang w:bidi="ar-EG"/>
              </w:rPr>
              <w:t xml:space="preserve">عدد البلدان المشاركة في برنامج </w:t>
            </w:r>
            <w:r w:rsidRPr="00535A17">
              <w:rPr>
                <w:rFonts w:ascii="Arabic Typesetting" w:hAnsi="Arabic Typesetting" w:cs="Arabic Typesetting" w:hint="cs"/>
                <w:b/>
                <w:color w:val="000000"/>
                <w:sz w:val="30"/>
                <w:szCs w:val="30"/>
                <w:rtl/>
                <w:lang w:bidi="ar-EG"/>
              </w:rPr>
              <w:t>جوائز</w:t>
            </w:r>
            <w:r w:rsidRPr="00535A17">
              <w:rPr>
                <w:rFonts w:ascii="Arabic Typesetting" w:hAnsi="Arabic Typesetting" w:cs="Arabic Typesetting"/>
                <w:b/>
                <w:color w:val="000000"/>
                <w:sz w:val="30"/>
                <w:szCs w:val="30"/>
                <w:rtl/>
                <w:lang w:bidi="ar-EG"/>
              </w:rPr>
              <w:t xml:space="preserve"> الويبو</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17</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24626B" w:rsidRDefault="00486CE1" w:rsidP="00486CE1">
            <w:pPr>
              <w:bidi/>
              <w:spacing w:before="60" w:after="60" w:line="280" w:lineRule="exact"/>
              <w:rPr>
                <w:rFonts w:ascii="Arabic Typesetting" w:hAnsi="Arabic Typesetting" w:cs="Arabic Typesetting"/>
                <w:b/>
                <w:color w:val="000000"/>
                <w:sz w:val="30"/>
                <w:szCs w:val="30"/>
                <w:rtl/>
              </w:rPr>
            </w:pPr>
            <w:r w:rsidRPr="00ED0EB0">
              <w:rPr>
                <w:rFonts w:ascii="Arabic Typesetting" w:hAnsi="Arabic Typesetting" w:cs="Arabic Typesetting" w:hint="cs"/>
                <w:b/>
                <w:color w:val="000000"/>
                <w:sz w:val="30"/>
                <w:szCs w:val="30"/>
                <w:rtl/>
              </w:rPr>
              <w:t>عدد ترتيبات استقبال علماء من البلدان النامية</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00" w:type="pct"/>
            <w:shd w:val="clear" w:color="auto" w:fill="auto"/>
            <w:vAlign w:val="center"/>
          </w:tcPr>
          <w:p w:rsidR="00486CE1" w:rsidRPr="00A00956" w:rsidRDefault="00486CE1" w:rsidP="00486CE1">
            <w:pPr>
              <w:bidi/>
              <w:jc w:val="center"/>
              <w:rPr>
                <w:rFonts w:ascii="Wingdings" w:hAnsi="Wingdings" w:cs="Calibri"/>
                <w:color w:val="FF0000"/>
                <w:szCs w:val="22"/>
                <w:lang w:bidi="ar-EG"/>
              </w:rPr>
            </w:pPr>
            <w:r w:rsidRPr="00A00956">
              <w:rPr>
                <w:rFonts w:ascii="Wingdings" w:hAnsi="Wingdings" w:cs="Calibri"/>
                <w:color w:val="FF0000"/>
                <w:szCs w:val="22"/>
                <w:lang w:bidi="ar-EG"/>
              </w:rPr>
              <w:t></w:t>
            </w:r>
          </w:p>
        </w:tc>
      </w:tr>
      <w:tr w:rsidR="00486CE1" w:rsidRPr="00FE3908" w:rsidTr="00486CE1">
        <w:trPr>
          <w:cantSplit/>
        </w:trPr>
        <w:tc>
          <w:tcPr>
            <w:tcW w:w="1819"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4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b/>
                <w:color w:val="000000"/>
                <w:sz w:val="30"/>
                <w:szCs w:val="30"/>
                <w:rtl/>
                <w:lang w:bidi="ar-EG"/>
              </w:rPr>
            </w:pPr>
            <w:r w:rsidRPr="00ED0EB0">
              <w:rPr>
                <w:rFonts w:ascii="Arabic Typesetting" w:hAnsi="Arabic Typesetting" w:cs="Arabic Typesetting"/>
                <w:b/>
                <w:color w:val="000000"/>
                <w:sz w:val="30"/>
                <w:szCs w:val="30"/>
                <w:rtl/>
                <w:lang w:bidi="ar-EG"/>
              </w:rPr>
              <w:t>النسبة المئوية لواضعي السياسات والمسؤولين الحكوميين والعاملين في مجال الملكية الفكرية والمشاركين في حلقات العمل المستهدفة ممن لديهم فهم معمّق لمنظمات الإدارة الجماعية ولكيفية استخدام الملكية الفكرية لأغراض التنمية استخداماً فعالاً</w:t>
            </w:r>
          </w:p>
        </w:tc>
        <w:tc>
          <w:tcPr>
            <w:tcW w:w="932" w:type="pct"/>
            <w:gridSpan w:val="2"/>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4B0BC7">
              <w:rPr>
                <w:rFonts w:ascii="Wingdings" w:hAnsi="Wingdings" w:cs="Calibri"/>
                <w:color w:val="10862C"/>
                <w:szCs w:val="22"/>
                <w:lang w:bidi="ar-EG"/>
              </w:rPr>
              <w:t></w:t>
            </w:r>
            <w:r w:rsidRPr="004B0BC7">
              <w:rPr>
                <w:rFonts w:ascii="Wingdings" w:hAnsi="Wingdings" w:cs="Calibri"/>
                <w:color w:val="10862C"/>
                <w:szCs w:val="22"/>
                <w:lang w:bidi="ar-EG"/>
              </w:rPr>
              <w:t></w:t>
            </w: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b/>
                <w:color w:val="000000"/>
                <w:sz w:val="30"/>
                <w:szCs w:val="30"/>
                <w:rtl/>
                <w:lang w:bidi="ar-EG"/>
              </w:rPr>
            </w:pPr>
            <w:r w:rsidRPr="0004045F">
              <w:rPr>
                <w:rFonts w:ascii="Arabic Typesetting" w:hAnsi="Arabic Typesetting" w:cs="Arabic Typesetting"/>
                <w:b/>
                <w:color w:val="000000"/>
                <w:sz w:val="30"/>
                <w:szCs w:val="30"/>
                <w:rtl/>
              </w:rPr>
              <w:t>النسبة المئوية للمهنيين المُدرَّبين المتخصصين في مجال الملكية الفكرية الذين يستخدمون مهارات محسنة في عملهم</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rPr>
              <w:lastRenderedPageBreak/>
              <w:t>ه</w:t>
            </w:r>
            <w:r w:rsidRPr="00A95C7D">
              <w:rPr>
                <w:rFonts w:ascii="Arabic Typesetting" w:hAnsi="Arabic Typesetting" w:cs="Arabic Typesetting"/>
                <w:color w:val="000000"/>
                <w:sz w:val="30"/>
                <w:szCs w:val="30"/>
                <w:rtl/>
              </w:rPr>
              <w:t xml:space="preserve">3.3 </w:t>
            </w:r>
            <w:r w:rsidRPr="00D619C5">
              <w:rPr>
                <w:rFonts w:ascii="Arabic Typesetting" w:hAnsi="Arabic Typesetting" w:cs="Arabic Typesetting"/>
                <w:color w:val="000000"/>
                <w:sz w:val="30"/>
                <w:szCs w:val="30"/>
                <w:rtl/>
              </w:rPr>
              <w:t>تعميم توصيات جدول أعمال التنمية على عمل الويبو</w:t>
            </w:r>
          </w:p>
        </w:tc>
        <w:tc>
          <w:tcPr>
            <w:tcW w:w="1749" w:type="pct"/>
            <w:shd w:val="clear" w:color="auto" w:fill="auto"/>
            <w:vAlign w:val="center"/>
          </w:tcPr>
          <w:p w:rsidR="00486CE1" w:rsidRPr="00DC1275" w:rsidRDefault="00486CE1" w:rsidP="00486CE1">
            <w:pPr>
              <w:bidi/>
              <w:spacing w:before="60" w:after="60" w:line="280" w:lineRule="exact"/>
              <w:rPr>
                <w:rFonts w:ascii="Arabic Typesetting" w:hAnsi="Arabic Typesetting" w:cs="Arabic Typesetting"/>
                <w:b/>
                <w:color w:val="000000"/>
                <w:sz w:val="30"/>
                <w:szCs w:val="30"/>
                <w:rtl/>
              </w:rPr>
            </w:pPr>
            <w:r w:rsidRPr="00A95C7D">
              <w:rPr>
                <w:rFonts w:ascii="Arabic Typesetting" w:hAnsi="Arabic Typesetting" w:cs="Arabic Typesetting"/>
                <w:b/>
                <w:color w:val="000000"/>
                <w:sz w:val="30"/>
                <w:szCs w:val="30"/>
                <w:rtl/>
              </w:rPr>
              <w:t>عدد توصيات جدول أعمال التنمية التي تناولتها اللجنة من خلال المشروعات والأنشطة والدراسات</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DC1275" w:rsidRDefault="00486CE1" w:rsidP="00486CE1">
            <w:pPr>
              <w:bidi/>
              <w:spacing w:before="60" w:after="60" w:line="280" w:lineRule="exact"/>
              <w:rPr>
                <w:rFonts w:ascii="Arabic Typesetting" w:hAnsi="Arabic Typesetting" w:cs="Arabic Typesetting"/>
                <w:b/>
                <w:color w:val="000000"/>
                <w:sz w:val="30"/>
                <w:szCs w:val="30"/>
                <w:rtl/>
              </w:rPr>
            </w:pPr>
            <w:r w:rsidRPr="00A95C7D">
              <w:rPr>
                <w:rFonts w:ascii="Arabic Typesetting" w:hAnsi="Arabic Typesetting" w:cs="Arabic Typesetting"/>
                <w:b/>
                <w:color w:val="000000"/>
                <w:sz w:val="30"/>
                <w:szCs w:val="30"/>
                <w:rtl/>
              </w:rPr>
              <w:t>نسبة رضا الدول الأعضاء عن نتائج المشروعات والأنشطة والدراسات</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0070C0"/>
                <w:szCs w:val="22"/>
                <w:lang w:bidi="ar-EG"/>
              </w:rPr>
            </w:pPr>
            <w:r w:rsidRPr="004B0BC7">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DC1275" w:rsidRDefault="00486CE1" w:rsidP="00486CE1">
            <w:pPr>
              <w:bidi/>
              <w:spacing w:before="60" w:after="60" w:line="280" w:lineRule="exact"/>
              <w:rPr>
                <w:rFonts w:ascii="Arabic Typesetting" w:hAnsi="Arabic Typesetting" w:cs="Arabic Typesetting"/>
                <w:b/>
                <w:color w:val="000000"/>
                <w:sz w:val="30"/>
                <w:szCs w:val="30"/>
                <w:rtl/>
              </w:rPr>
            </w:pPr>
            <w:r w:rsidRPr="00A95C7D">
              <w:rPr>
                <w:rFonts w:ascii="Arabic Typesetting" w:hAnsi="Arabic Typesetting" w:cs="Arabic Typesetting"/>
                <w:b/>
                <w:color w:val="000000"/>
                <w:sz w:val="30"/>
                <w:szCs w:val="30"/>
                <w:rtl/>
              </w:rPr>
              <w:t xml:space="preserve">تنفيذ آلية التنسيق على النحو الذي </w:t>
            </w:r>
            <w:r w:rsidRPr="00A95C7D">
              <w:rPr>
                <w:rFonts w:ascii="Arabic Typesetting" w:hAnsi="Arabic Typesetting" w:cs="Arabic Typesetting" w:hint="cs"/>
                <w:b/>
                <w:color w:val="000000"/>
                <w:sz w:val="30"/>
                <w:szCs w:val="30"/>
                <w:rtl/>
              </w:rPr>
              <w:t xml:space="preserve">اعتمدته </w:t>
            </w:r>
            <w:r w:rsidRPr="00A95C7D">
              <w:rPr>
                <w:rFonts w:ascii="Arabic Typesetting" w:hAnsi="Arabic Typesetting" w:cs="Arabic Typesetting"/>
                <w:b/>
                <w:color w:val="000000"/>
                <w:sz w:val="30"/>
                <w:szCs w:val="30"/>
                <w:rtl/>
              </w:rPr>
              <w:t>الدول الأعضاء</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DC1275" w:rsidRDefault="00486CE1" w:rsidP="00486CE1">
            <w:pPr>
              <w:bidi/>
              <w:spacing w:before="60" w:after="60" w:line="280" w:lineRule="exact"/>
              <w:rPr>
                <w:rFonts w:ascii="Arabic Typesetting" w:hAnsi="Arabic Typesetting" w:cs="Arabic Typesetting"/>
                <w:b/>
                <w:color w:val="000000"/>
                <w:sz w:val="30"/>
                <w:szCs w:val="30"/>
                <w:rtl/>
              </w:rPr>
            </w:pPr>
            <w:r w:rsidRPr="00A95C7D">
              <w:rPr>
                <w:rFonts w:ascii="Arabic Typesetting" w:hAnsi="Arabic Typesetting" w:cs="Arabic Typesetting"/>
                <w:b/>
                <w:color w:val="000000"/>
                <w:sz w:val="30"/>
                <w:szCs w:val="30"/>
                <w:rtl/>
              </w:rPr>
              <w:t>عدد البرامج التي تُعمّم فيها توصيات جدول أعمال التنمية على عمل الويبو العادي</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C10FED" w:rsidRDefault="00486CE1" w:rsidP="00486CE1">
            <w:pPr>
              <w:bidi/>
              <w:spacing w:before="60" w:after="60" w:line="280" w:lineRule="exact"/>
              <w:rPr>
                <w:rFonts w:ascii="Arabic Typesetting" w:hAnsi="Arabic Typesetting" w:cs="Arabic Typesetting"/>
                <w:b/>
                <w:color w:val="000000"/>
                <w:sz w:val="30"/>
                <w:szCs w:val="30"/>
                <w:rtl/>
              </w:rPr>
            </w:pPr>
            <w:r w:rsidRPr="00A95C7D">
              <w:rPr>
                <w:rFonts w:ascii="Arabic Typesetting" w:hAnsi="Arabic Typesetting" w:cs="Arabic Typesetting"/>
                <w:b/>
                <w:color w:val="000000"/>
                <w:sz w:val="30"/>
                <w:szCs w:val="30"/>
                <w:rtl/>
              </w:rPr>
              <w:t>عدد مشروعات جدول أعمال التنمية التي عُمّمت على عمل الويبو العادي (وضع القواعد والمعايير، والمساعدة التقنية، وتقديم الخدمات) والطريقة التي عُمّمت بها</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C10FED" w:rsidRDefault="00486CE1" w:rsidP="00486CE1">
            <w:pPr>
              <w:bidi/>
              <w:spacing w:before="60" w:after="60" w:line="280" w:lineRule="exact"/>
              <w:rPr>
                <w:rFonts w:ascii="Arabic Typesetting" w:hAnsi="Arabic Typesetting" w:cs="Arabic Typesetting"/>
                <w:b/>
                <w:color w:val="000000"/>
                <w:sz w:val="30"/>
                <w:szCs w:val="30"/>
                <w:rtl/>
              </w:rPr>
            </w:pPr>
            <w:r w:rsidRPr="00A95C7D">
              <w:rPr>
                <w:rFonts w:ascii="Arabic Typesetting" w:hAnsi="Arabic Typesetting" w:cs="Arabic Typesetting"/>
                <w:b/>
                <w:color w:val="000000"/>
                <w:sz w:val="30"/>
                <w:szCs w:val="30"/>
                <w:rtl/>
              </w:rPr>
              <w:t>وجود نظام فعال لتخطيط تنفيذ توصيات جدول أعمال التنمية ورصد ذلك التنفيذ وتقييمه</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C10FED" w:rsidRDefault="00486CE1" w:rsidP="00486CE1">
            <w:pPr>
              <w:bidi/>
              <w:spacing w:before="60" w:after="60" w:line="280" w:lineRule="exact"/>
              <w:rPr>
                <w:rFonts w:ascii="Arabic Typesetting" w:hAnsi="Arabic Typesetting" w:cs="Arabic Typesetting"/>
                <w:b/>
                <w:color w:val="000000"/>
                <w:sz w:val="30"/>
                <w:szCs w:val="30"/>
                <w:rtl/>
                <w:lang w:bidi="ar-EG"/>
              </w:rPr>
            </w:pPr>
            <w:r w:rsidRPr="00A95C7D">
              <w:rPr>
                <w:rFonts w:ascii="Arabic Typesetting" w:hAnsi="Arabic Typesetting" w:cs="Arabic Typesetting"/>
                <w:b/>
                <w:color w:val="000000"/>
                <w:sz w:val="30"/>
                <w:szCs w:val="30"/>
                <w:rtl/>
              </w:rPr>
              <w:t>النسبة المئوية لمشروعات جدول أعمال التنمية التي خضعت لتقييم مستقل</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r w:rsidRPr="00A95C7D">
              <w:rPr>
                <w:rFonts w:ascii="Arabic Typesetting" w:hAnsi="Arabic Typesetting" w:cs="Arabic Typesetting" w:hint="cs"/>
                <w:color w:val="000000"/>
                <w:sz w:val="30"/>
                <w:szCs w:val="30"/>
                <w:rtl/>
                <w:lang w:bidi="ar-EG"/>
              </w:rPr>
              <w:t xml:space="preserve">ه4.3 </w:t>
            </w:r>
            <w:r w:rsidRPr="00D619C5">
              <w:rPr>
                <w:rFonts w:ascii="Arabic Typesetting" w:hAnsi="Arabic Typesetting" w:cs="Arabic Typesetting"/>
                <w:color w:val="000000"/>
                <w:sz w:val="30"/>
                <w:szCs w:val="30"/>
                <w:rtl/>
                <w:lang w:bidi="ar-EG"/>
              </w:rPr>
              <w:t>آليات وبرامج تعاونية معزّزة ومكيّفة حسب احتياجات البلدان النامية والبلدان الأقل نموا</w:t>
            </w:r>
          </w:p>
        </w:tc>
        <w:tc>
          <w:tcPr>
            <w:tcW w:w="1749" w:type="pct"/>
            <w:shd w:val="clear" w:color="auto" w:fill="auto"/>
            <w:vAlign w:val="center"/>
          </w:tcPr>
          <w:p w:rsidR="00486CE1" w:rsidRPr="00A25996" w:rsidRDefault="00486CE1" w:rsidP="00486CE1">
            <w:pPr>
              <w:bidi/>
              <w:spacing w:before="60" w:after="60" w:line="280" w:lineRule="exact"/>
              <w:rPr>
                <w:rFonts w:ascii="Arabic Typesetting" w:hAnsi="Arabic Typesetting" w:cs="Arabic Typesetting"/>
                <w:b/>
                <w:color w:val="000000"/>
                <w:sz w:val="30"/>
                <w:szCs w:val="30"/>
                <w:rtl/>
              </w:rPr>
            </w:pPr>
            <w:r w:rsidRPr="00A95C7D">
              <w:rPr>
                <w:rFonts w:ascii="Arabic Typesetting" w:hAnsi="Arabic Typesetting" w:cs="Arabic Typesetting"/>
                <w:b/>
                <w:color w:val="000000"/>
                <w:sz w:val="30"/>
                <w:szCs w:val="30"/>
                <w:rtl/>
                <w:lang w:bidi="ar-EG"/>
              </w:rPr>
              <w:t>عدد آليات أو برامج أو شراكات التعاون الجديدة أو المعززة التي دُعِّمت لتشجيع أو تعزيز التعاون دون الإقليمي أو الإقليمي في مجال الملكية الفكرية</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r w:rsidRPr="007E6592">
              <w:rPr>
                <w:rFonts w:ascii="Wingdings" w:hAnsi="Wingdings" w:cs="Calibri"/>
                <w:color w:val="FF0000"/>
                <w:szCs w:val="22"/>
                <w:lang w:bidi="ar-EG"/>
              </w:rPr>
              <w:t></w:t>
            </w:r>
            <w:r w:rsidRPr="00A00956">
              <w:rPr>
                <w:rFonts w:ascii="Wingdings" w:hAnsi="Wingdings" w:cs="Calibri"/>
                <w:color w:val="10862C"/>
                <w:szCs w:val="22"/>
                <w:lang w:bidi="ar-EG"/>
              </w:rPr>
              <w:t></w:t>
            </w:r>
            <w:r w:rsidRPr="00A00956">
              <w:rPr>
                <w:rFonts w:ascii="Wingdings" w:hAnsi="Wingdings" w:cs="Calibri"/>
                <w:color w:val="10862C"/>
                <w:szCs w:val="22"/>
                <w:lang w:bidi="ar-EG"/>
              </w:rPr>
              <w:t></w:t>
            </w:r>
            <w:r w:rsidRPr="00A00956">
              <w:rPr>
                <w:rFonts w:ascii="Wingdings" w:hAnsi="Wingdings" w:cs="Calibri"/>
                <w:color w:val="10862C"/>
                <w:szCs w:val="22"/>
                <w:lang w:bidi="ar-EG"/>
              </w:rPr>
              <w:t></w:t>
            </w: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A25996" w:rsidRDefault="00486CE1" w:rsidP="00486CE1">
            <w:pPr>
              <w:bidi/>
              <w:spacing w:before="60" w:after="60" w:line="280" w:lineRule="exact"/>
              <w:rPr>
                <w:rFonts w:ascii="Arabic Typesetting" w:hAnsi="Arabic Typesetting" w:cs="Arabic Typesetting"/>
                <w:b/>
                <w:color w:val="000000"/>
                <w:sz w:val="30"/>
                <w:szCs w:val="30"/>
                <w:rtl/>
                <w:lang w:bidi="ar-EG"/>
              </w:rPr>
            </w:pPr>
            <w:r w:rsidRPr="00A67CF1">
              <w:rPr>
                <w:rFonts w:ascii="Arabic Typesetting" w:hAnsi="Arabic Typesetting" w:cs="Arabic Typesetting"/>
                <w:b/>
                <w:color w:val="000000"/>
                <w:sz w:val="30"/>
                <w:szCs w:val="30"/>
                <w:rtl/>
              </w:rPr>
              <w:t>عدد الشراكات القائمة التي يكون فيها الطرف المُقدِّم للمساعدة من بلد متقدم</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FF0000"/>
                <w:szCs w:val="22"/>
                <w:lang w:bidi="ar-EG"/>
              </w:rPr>
              <w:t></w:t>
            </w: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r w:rsidRPr="00A95C7D">
              <w:rPr>
                <w:rFonts w:ascii="Arabic Typesetting" w:hAnsi="Arabic Typesetting" w:cs="Arabic Typesetting" w:hint="cs"/>
                <w:color w:val="000000"/>
                <w:sz w:val="30"/>
                <w:szCs w:val="30"/>
                <w:rtl/>
                <w:lang w:bidi="ar-EG"/>
              </w:rPr>
              <w:t>ه</w:t>
            </w:r>
            <w:r w:rsidRPr="00A67CF1">
              <w:rPr>
                <w:rFonts w:ascii="Arabic Typesetting" w:hAnsi="Arabic Typesetting" w:cs="Arabic Typesetting"/>
                <w:color w:val="000000"/>
                <w:sz w:val="30"/>
                <w:szCs w:val="30"/>
                <w:rtl/>
              </w:rPr>
              <w:t xml:space="preserve">5.3 </w:t>
            </w:r>
            <w:r w:rsidRPr="00D619C5">
              <w:rPr>
                <w:rFonts w:ascii="Arabic Typesetting" w:hAnsi="Arabic Typesetting" w:cs="Arabic Typesetting"/>
                <w:color w:val="000000"/>
                <w:sz w:val="30"/>
                <w:szCs w:val="30"/>
                <w:rtl/>
              </w:rPr>
              <w:t>فهم معمّق لجدول أعمال التنمية لدى الدول الأعضاء والمنظمات الحكومية الدولية والمجتمع المدني وأصحاب المصالح الآخرين</w:t>
            </w:r>
          </w:p>
        </w:tc>
        <w:tc>
          <w:tcPr>
            <w:tcW w:w="1749" w:type="pct"/>
            <w:shd w:val="clear" w:color="auto" w:fill="auto"/>
            <w:vAlign w:val="center"/>
          </w:tcPr>
          <w:p w:rsidR="00486CE1" w:rsidRPr="00A25996" w:rsidRDefault="00486CE1" w:rsidP="00486CE1">
            <w:pPr>
              <w:bidi/>
              <w:spacing w:before="60" w:after="60" w:line="280" w:lineRule="exact"/>
              <w:rPr>
                <w:rFonts w:ascii="Arabic Typesetting" w:hAnsi="Arabic Typesetting" w:cs="Arabic Typesetting"/>
                <w:b/>
                <w:color w:val="000000"/>
                <w:sz w:val="30"/>
                <w:szCs w:val="30"/>
                <w:rtl/>
                <w:lang w:bidi="ar-EG"/>
              </w:rPr>
            </w:pPr>
            <w:r w:rsidRPr="00A67CF1">
              <w:rPr>
                <w:rFonts w:ascii="Arabic Typesetting" w:hAnsi="Arabic Typesetting" w:cs="Arabic Typesetting"/>
                <w:b/>
                <w:color w:val="000000"/>
                <w:sz w:val="30"/>
                <w:szCs w:val="30"/>
                <w:rtl/>
              </w:rPr>
              <w:t>عدد البلدان التي تطلب المساعدة التقنية من خلال مشروعات جدول أعمال التنمية وتبدي اهتماما</w:t>
            </w:r>
            <w:r w:rsidRPr="00A67CF1">
              <w:rPr>
                <w:rFonts w:ascii="Arabic Typesetting" w:hAnsi="Arabic Typesetting" w:cs="Arabic Typesetting" w:hint="cs"/>
                <w:b/>
                <w:color w:val="000000"/>
                <w:sz w:val="30"/>
                <w:szCs w:val="30"/>
                <w:rtl/>
              </w:rPr>
              <w:t>ً</w:t>
            </w:r>
            <w:r w:rsidRPr="00A67CF1">
              <w:rPr>
                <w:rFonts w:ascii="Arabic Typesetting" w:hAnsi="Arabic Typesetting" w:cs="Arabic Typesetting"/>
                <w:b/>
                <w:color w:val="000000"/>
                <w:sz w:val="30"/>
                <w:szCs w:val="30"/>
                <w:rtl/>
              </w:rPr>
              <w:t xml:space="preserve"> بالأنشطة المتعلقة بجدول أعمال التنمية</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A25996" w:rsidRDefault="00486CE1" w:rsidP="00486CE1">
            <w:pPr>
              <w:bidi/>
              <w:spacing w:before="60" w:after="60" w:line="280" w:lineRule="exact"/>
              <w:rPr>
                <w:rFonts w:ascii="Arabic Typesetting" w:hAnsi="Arabic Typesetting" w:cs="Arabic Typesetting"/>
                <w:b/>
                <w:color w:val="000000"/>
                <w:sz w:val="30"/>
                <w:szCs w:val="30"/>
                <w:rtl/>
                <w:lang w:bidi="ar-EG"/>
              </w:rPr>
            </w:pPr>
            <w:r w:rsidRPr="00A67CF1">
              <w:rPr>
                <w:rFonts w:ascii="Arabic Typesetting" w:hAnsi="Arabic Typesetting" w:cs="Arabic Typesetting"/>
                <w:b/>
                <w:color w:val="000000"/>
                <w:sz w:val="30"/>
                <w:szCs w:val="30"/>
                <w:rtl/>
              </w:rPr>
              <w:t>النسبة المئوية للمشاركين في اجتماعات الويبو (الدول الأعضاء والمنظمات الحكومية الدولية والمجتمع المدني وأصحاب المصلحة الآخرين) الراضين عن المعلومات التي تلقوها بشأن توصيات جدول أعمال التنمية</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8</w:t>
            </w:r>
          </w:p>
        </w:tc>
        <w:tc>
          <w:tcPr>
            <w:tcW w:w="500" w:type="pct"/>
            <w:shd w:val="clear" w:color="auto" w:fill="auto"/>
            <w:vAlign w:val="center"/>
          </w:tcPr>
          <w:p w:rsidR="00486CE1" w:rsidRPr="00A00956" w:rsidRDefault="00486CE1" w:rsidP="00486CE1">
            <w:pPr>
              <w:bidi/>
              <w:jc w:val="center"/>
              <w:rPr>
                <w:rFonts w:ascii="Wingdings" w:hAnsi="Wingdings" w:cs="Calibri"/>
                <w:color w:val="0070C0"/>
                <w:szCs w:val="22"/>
                <w:lang w:bidi="ar-EG"/>
              </w:rPr>
            </w:pPr>
            <w:r w:rsidRPr="004B0BC7">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r w:rsidRPr="00A67CF1">
              <w:rPr>
                <w:rFonts w:ascii="Arabic Typesetting" w:hAnsi="Arabic Typesetting" w:cs="Arabic Typesetting"/>
                <w:b/>
                <w:color w:val="000000"/>
                <w:sz w:val="30"/>
                <w:szCs w:val="30"/>
                <w:rtl/>
                <w:lang w:bidi="ar-EG"/>
              </w:rPr>
              <w:t xml:space="preserve">ه6.3 </w:t>
            </w:r>
            <w:r>
              <w:rPr>
                <w:rFonts w:ascii="Arabic Typesetting" w:hAnsi="Arabic Typesetting" w:cs="Arabic Typesetting"/>
                <w:b/>
                <w:color w:val="000000"/>
                <w:sz w:val="30"/>
                <w:szCs w:val="30"/>
                <w:rtl/>
                <w:lang w:bidi="ar-EG"/>
              </w:rPr>
              <w:t>قدرة معزّزة لدى الشركات الصغيرة والمتوسطة على استخدام الملكية الفكرية بنجاح لدعم الابتكار</w:t>
            </w:r>
          </w:p>
        </w:tc>
        <w:tc>
          <w:tcPr>
            <w:tcW w:w="1749" w:type="pct"/>
            <w:shd w:val="clear" w:color="auto" w:fill="auto"/>
            <w:vAlign w:val="center"/>
          </w:tcPr>
          <w:p w:rsidR="00486CE1" w:rsidRPr="00A25996" w:rsidRDefault="00486CE1" w:rsidP="00486CE1">
            <w:pPr>
              <w:bidi/>
              <w:spacing w:before="60" w:after="60" w:line="280" w:lineRule="exact"/>
              <w:rPr>
                <w:rFonts w:ascii="Arabic Typesetting" w:hAnsi="Arabic Typesetting" w:cs="Arabic Typesetting"/>
                <w:b/>
                <w:color w:val="000000"/>
                <w:sz w:val="30"/>
                <w:szCs w:val="30"/>
                <w:rtl/>
                <w:lang w:bidi="ar-EG"/>
              </w:rPr>
            </w:pPr>
            <w:r w:rsidRPr="00A67CF1">
              <w:rPr>
                <w:rFonts w:ascii="Arabic Typesetting" w:hAnsi="Arabic Typesetting" w:cs="Arabic Typesetting"/>
                <w:b/>
                <w:color w:val="000000"/>
                <w:sz w:val="30"/>
                <w:szCs w:val="30"/>
                <w:rtl/>
              </w:rPr>
              <w:t>النسبة المئوية للمشاركين في برامج تدريبية تستهدف المؤسسات الداعمة للشركات الصغيرة والمتوسطة ممّن أبدوا رضاهم عن محتوى تلك البرامج وطريقة تنظيمها</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A67CF1"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1749" w:type="pct"/>
            <w:shd w:val="clear" w:color="auto" w:fill="auto"/>
            <w:vAlign w:val="center"/>
          </w:tcPr>
          <w:p w:rsidR="00486CE1" w:rsidRPr="00A67CF1" w:rsidRDefault="00486CE1" w:rsidP="00486CE1">
            <w:pPr>
              <w:bidi/>
              <w:spacing w:before="60" w:after="60" w:line="280" w:lineRule="exact"/>
              <w:rPr>
                <w:rFonts w:ascii="Arabic Typesetting" w:hAnsi="Arabic Typesetting" w:cs="Arabic Typesetting"/>
                <w:b/>
                <w:color w:val="000000"/>
                <w:sz w:val="30"/>
                <w:szCs w:val="30"/>
                <w:rtl/>
              </w:rPr>
            </w:pP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lang w:bidi="ar-EG"/>
              </w:rPr>
            </w:pPr>
            <w:r w:rsidRPr="00A67CF1">
              <w:rPr>
                <w:rFonts w:ascii="Arabic Typesetting" w:hAnsi="Arabic Typesetting" w:cs="Arabic Typesetting" w:hint="cs"/>
                <w:b/>
                <w:color w:val="000000"/>
                <w:sz w:val="30"/>
                <w:szCs w:val="30"/>
                <w:rtl/>
              </w:rPr>
              <w:t>ال</w:t>
            </w:r>
            <w:r w:rsidRPr="00A67CF1">
              <w:rPr>
                <w:rFonts w:ascii="Arabic Typesetting" w:hAnsi="Arabic Typesetting" w:cs="Arabic Typesetting"/>
                <w:b/>
                <w:color w:val="000000"/>
                <w:sz w:val="30"/>
                <w:szCs w:val="30"/>
                <w:rtl/>
              </w:rPr>
              <w:t>نسبة المئوية للمؤسسات الداعمة للشركات الصغيرة والمتوسطة ممّن حصلت على التدريب وتوفر المعلومات وخدمات الدعم والاستشارة في مجال إدارة أصول الملكية الفكرية</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49" w:type="pct"/>
            <w:shd w:val="clear" w:color="auto" w:fill="auto"/>
            <w:vAlign w:val="center"/>
          </w:tcPr>
          <w:p w:rsidR="00486CE1" w:rsidRPr="00A67CF1" w:rsidRDefault="00486CE1" w:rsidP="00486CE1">
            <w:pPr>
              <w:bidi/>
              <w:spacing w:before="60" w:after="60" w:line="280" w:lineRule="exact"/>
              <w:rPr>
                <w:rFonts w:ascii="Arabic Typesetting" w:hAnsi="Arabic Typesetting" w:cs="Arabic Typesetting"/>
                <w:b/>
                <w:color w:val="000000"/>
                <w:sz w:val="30"/>
                <w:szCs w:val="30"/>
                <w:rtl/>
              </w:rPr>
            </w:pP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A00956">
              <w:rPr>
                <w:rFonts w:ascii="Wingdings" w:hAnsi="Wingdings" w:cs="Calibri"/>
                <w:color w:val="10862C"/>
                <w:szCs w:val="22"/>
                <w:lang w:bidi="ar-EG"/>
              </w:rPr>
              <w:t></w:t>
            </w:r>
          </w:p>
        </w:tc>
      </w:tr>
      <w:tr w:rsidR="00486CE1" w:rsidRPr="00FE3908" w:rsidTr="00486CE1">
        <w:trPr>
          <w:cantSplit/>
        </w:trPr>
        <w:tc>
          <w:tcPr>
            <w:tcW w:w="181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1749" w:type="pct"/>
            <w:shd w:val="clear" w:color="auto" w:fill="auto"/>
            <w:vAlign w:val="center"/>
          </w:tcPr>
          <w:p w:rsidR="00486CE1" w:rsidRDefault="00486CE1" w:rsidP="00486CE1">
            <w:pPr>
              <w:bidi/>
              <w:spacing w:before="60" w:after="60" w:line="280" w:lineRule="exact"/>
              <w:rPr>
                <w:rFonts w:ascii="Arabic Typesetting" w:hAnsi="Arabic Typesetting" w:cs="Arabic Typesetting"/>
                <w:b/>
                <w:color w:val="000000"/>
                <w:sz w:val="30"/>
                <w:szCs w:val="30"/>
                <w:rtl/>
              </w:rPr>
            </w:pPr>
            <w:r w:rsidRPr="00A67CF1">
              <w:rPr>
                <w:rFonts w:ascii="Arabic Typesetting" w:hAnsi="Arabic Typesetting" w:cs="Arabic Typesetting"/>
                <w:b/>
                <w:color w:val="000000"/>
                <w:sz w:val="30"/>
                <w:szCs w:val="30"/>
                <w:rtl/>
              </w:rPr>
              <w:t>عدد البلدان التي وضعت برامج تدريبية في مجال الملكية الفكرية لفائدة الشركات الصغيرة والمتوسطة</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1146BF">
              <w:rPr>
                <w:rFonts w:ascii="Wingdings" w:hAnsi="Wingdings" w:cs="Calibri"/>
                <w:color w:val="A6A6A6" w:themeColor="background1" w:themeShade="A6"/>
                <w:szCs w:val="22"/>
                <w:lang w:bidi="ar-EG"/>
              </w:rPr>
              <w:t></w:t>
            </w:r>
          </w:p>
        </w:tc>
      </w:tr>
      <w:tr w:rsidR="00486CE1" w:rsidRPr="00FE3908" w:rsidTr="00486CE1">
        <w:trPr>
          <w:cantSplit/>
        </w:trPr>
        <w:tc>
          <w:tcPr>
            <w:tcW w:w="181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1749" w:type="pct"/>
            <w:shd w:val="clear" w:color="auto" w:fill="auto"/>
            <w:vAlign w:val="center"/>
          </w:tcPr>
          <w:p w:rsidR="00486CE1" w:rsidRPr="00A67CF1" w:rsidRDefault="00486CE1" w:rsidP="00486CE1">
            <w:pPr>
              <w:bidi/>
              <w:spacing w:before="60" w:after="60" w:line="280" w:lineRule="exact"/>
              <w:rPr>
                <w:rFonts w:ascii="Arabic Typesetting" w:hAnsi="Arabic Typesetting" w:cs="Arabic Typesetting"/>
                <w:b/>
                <w:color w:val="000000"/>
                <w:sz w:val="30"/>
                <w:szCs w:val="30"/>
                <w:rtl/>
              </w:rPr>
            </w:pP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1146BF">
              <w:rPr>
                <w:rFonts w:ascii="Wingdings" w:hAnsi="Wingdings" w:cs="Calibri"/>
                <w:color w:val="A6A6A6" w:themeColor="background1" w:themeShade="A6"/>
                <w:szCs w:val="22"/>
                <w:lang w:bidi="ar-EG"/>
              </w:rPr>
              <w:t></w:t>
            </w:r>
          </w:p>
        </w:tc>
      </w:tr>
      <w:tr w:rsidR="00486CE1" w:rsidRPr="00FE3908" w:rsidTr="00486CE1">
        <w:trPr>
          <w:cantSplit/>
        </w:trPr>
        <w:tc>
          <w:tcPr>
            <w:tcW w:w="181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174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rPr>
            </w:pPr>
            <w:r w:rsidRPr="000A7BBA">
              <w:rPr>
                <w:rFonts w:ascii="Arabic Typesetting" w:hAnsi="Arabic Typesetting" w:cs="Arabic Typesetting" w:hint="cs"/>
                <w:b/>
                <w:color w:val="000000"/>
                <w:sz w:val="30"/>
                <w:szCs w:val="30"/>
                <w:rtl/>
                <w:lang w:bidi="ar-EG"/>
              </w:rPr>
              <w:t>عدد الاشتراكات في نشرة الأخبار الخاصة بالشركات الصغيرة والمتوسطة</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0" w:type="pct"/>
            <w:shd w:val="clear" w:color="auto" w:fill="auto"/>
            <w:vAlign w:val="center"/>
          </w:tcPr>
          <w:p w:rsidR="00486CE1" w:rsidRPr="00A00956" w:rsidRDefault="00486CE1" w:rsidP="00486CE1">
            <w:pPr>
              <w:bidi/>
              <w:jc w:val="center"/>
              <w:rPr>
                <w:rFonts w:ascii="Wingdings" w:hAnsi="Wingdings" w:cs="Calibri"/>
                <w:color w:val="10862C"/>
                <w:szCs w:val="22"/>
                <w:lang w:bidi="ar-EG"/>
              </w:rPr>
            </w:pPr>
            <w:r w:rsidRPr="001146BF">
              <w:rPr>
                <w:rFonts w:ascii="Wingdings" w:hAnsi="Wingdings" w:cs="Calibri"/>
                <w:color w:val="A6A6A6" w:themeColor="background1" w:themeShade="A6"/>
                <w:szCs w:val="22"/>
                <w:lang w:bidi="ar-EG"/>
              </w:rPr>
              <w:t></w:t>
            </w:r>
          </w:p>
        </w:tc>
      </w:tr>
      <w:tr w:rsidR="00486CE1" w:rsidRPr="00FE3908" w:rsidTr="00486CE1">
        <w:trPr>
          <w:cantSplit/>
        </w:trPr>
        <w:tc>
          <w:tcPr>
            <w:tcW w:w="181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174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rPr>
            </w:pPr>
            <w:r w:rsidRPr="000A7BBA">
              <w:rPr>
                <w:rFonts w:ascii="Arabic Typesetting" w:hAnsi="Arabic Typesetting" w:cs="Arabic Typesetting" w:hint="cs"/>
                <w:b/>
                <w:color w:val="000000"/>
                <w:sz w:val="30"/>
                <w:szCs w:val="30"/>
                <w:rtl/>
                <w:lang w:bidi="ar-EG"/>
              </w:rPr>
              <w:t>عدد مرات تحميل المواد والمبادئ التوجيهية الخاصة بالشركات الصغيرة والمتوسطة</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0" w:type="pct"/>
            <w:shd w:val="clear" w:color="auto" w:fill="auto"/>
            <w:vAlign w:val="center"/>
          </w:tcPr>
          <w:p w:rsidR="00486CE1" w:rsidRPr="00A00956" w:rsidRDefault="00486CE1" w:rsidP="00486CE1">
            <w:pPr>
              <w:bidi/>
              <w:jc w:val="center"/>
              <w:rPr>
                <w:rFonts w:ascii="Wingdings" w:hAnsi="Wingdings" w:cs="Calibri"/>
                <w:color w:val="A6A6A6"/>
                <w:szCs w:val="22"/>
                <w:lang w:bidi="ar-EG"/>
              </w:rPr>
            </w:pPr>
            <w:r w:rsidRPr="00A00956">
              <w:rPr>
                <w:rFonts w:ascii="Wingdings" w:hAnsi="Wingdings" w:cs="Calibri"/>
                <w:color w:val="A6A6A6"/>
                <w:szCs w:val="22"/>
                <w:lang w:bidi="ar-EG"/>
              </w:rPr>
              <w:t></w:t>
            </w:r>
          </w:p>
        </w:tc>
      </w:tr>
      <w:tr w:rsidR="00486CE1" w:rsidRPr="00FE3908" w:rsidTr="00486CE1">
        <w:trPr>
          <w:cantSplit/>
        </w:trPr>
        <w:tc>
          <w:tcPr>
            <w:tcW w:w="181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1749" w:type="pct"/>
            <w:shd w:val="clear" w:color="auto" w:fill="auto"/>
            <w:vAlign w:val="center"/>
          </w:tcPr>
          <w:p w:rsidR="00486CE1" w:rsidRPr="00075276" w:rsidRDefault="00486CE1" w:rsidP="00486CE1">
            <w:pPr>
              <w:bidi/>
              <w:spacing w:before="60" w:after="60" w:line="280" w:lineRule="exact"/>
              <w:rPr>
                <w:rFonts w:ascii="Arabic Typesetting" w:hAnsi="Arabic Typesetting" w:cs="Arabic Typesetting"/>
                <w:b/>
                <w:color w:val="000000"/>
                <w:sz w:val="30"/>
                <w:szCs w:val="30"/>
                <w:rtl/>
              </w:rPr>
            </w:pPr>
            <w:r w:rsidRPr="00223F34">
              <w:rPr>
                <w:rFonts w:ascii="Arabic Typesetting" w:hAnsi="Arabic Typesetting" w:cs="Arabic Typesetting" w:hint="cs"/>
                <w:b/>
                <w:color w:val="000000"/>
                <w:sz w:val="30"/>
                <w:szCs w:val="30"/>
                <w:rtl/>
                <w:lang w:bidi="ar-EG"/>
              </w:rPr>
              <w:t xml:space="preserve">عدد </w:t>
            </w:r>
            <w:r w:rsidRPr="00223F34">
              <w:rPr>
                <w:rFonts w:ascii="Arabic Typesetting" w:hAnsi="Arabic Typesetting" w:cs="Arabic Typesetting" w:hint="cs"/>
                <w:color w:val="000000"/>
                <w:sz w:val="30"/>
                <w:szCs w:val="30"/>
                <w:rtl/>
                <w:lang w:bidi="ar-EG"/>
              </w:rPr>
              <w:t xml:space="preserve">الدراسات الإفرادية المتعلقة بالشركات الصغيرة والمتوسطة التي تم النفاذ إليها من خلال قاعدة البيانات </w:t>
            </w:r>
            <w:proofErr w:type="spellStart"/>
            <w:r w:rsidRPr="00223F34">
              <w:rPr>
                <w:rFonts w:ascii="Arabic Typesetting" w:hAnsi="Arabic Typesetting" w:cs="Arabic Typesetting"/>
                <w:color w:val="000000"/>
                <w:sz w:val="30"/>
                <w:szCs w:val="30"/>
              </w:rPr>
              <w:t>IpAdvantage</w:t>
            </w:r>
            <w:proofErr w:type="spellEnd"/>
            <w:r w:rsidRPr="00223F34">
              <w:rPr>
                <w:rFonts w:ascii="Arabic Typesetting" w:hAnsi="Arabic Typesetting" w:cs="Arabic Typesetting" w:hint="cs"/>
                <w:color w:val="000000"/>
                <w:sz w:val="30"/>
                <w:szCs w:val="30"/>
                <w:rtl/>
                <w:lang w:bidi="ar-EG"/>
              </w:rPr>
              <w:t xml:space="preserve"> و/أو غيرها من قواعد البيانات الوجيهة</w:t>
            </w:r>
          </w:p>
        </w:tc>
        <w:tc>
          <w:tcPr>
            <w:tcW w:w="932" w:type="pct"/>
            <w:gridSpan w:val="2"/>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0" w:type="pct"/>
            <w:shd w:val="clear" w:color="auto" w:fill="auto"/>
            <w:vAlign w:val="center"/>
          </w:tcPr>
          <w:p w:rsidR="00486CE1" w:rsidRPr="00A00956" w:rsidRDefault="00486CE1" w:rsidP="00486CE1">
            <w:pPr>
              <w:bidi/>
              <w:jc w:val="center"/>
              <w:rPr>
                <w:rFonts w:ascii="Wingdings" w:hAnsi="Wingdings" w:cs="Calibri"/>
                <w:color w:val="A6A6A6"/>
                <w:szCs w:val="22"/>
                <w:lang w:bidi="ar-EG"/>
              </w:rPr>
            </w:pPr>
            <w:r w:rsidRPr="00A00956">
              <w:rPr>
                <w:rFonts w:ascii="Wingdings" w:hAnsi="Wingdings" w:cs="Calibri"/>
                <w:color w:val="A6A6A6"/>
                <w:szCs w:val="22"/>
                <w:lang w:bidi="ar-EG"/>
              </w:rPr>
              <w:t></w:t>
            </w:r>
          </w:p>
        </w:tc>
      </w:tr>
    </w:tbl>
    <w:p w:rsidR="00B31868" w:rsidRPr="00365D19" w:rsidRDefault="00B31868" w:rsidP="00E00E9F">
      <w:pPr>
        <w:pStyle w:val="Heading3AR"/>
        <w:spacing w:after="120"/>
        <w:rPr>
          <w:rtl/>
        </w:rPr>
      </w:pPr>
      <w:bookmarkStart w:id="58" w:name="_Toc450635410"/>
      <w:bookmarkStart w:id="59" w:name="_Toc455393377"/>
      <w:r w:rsidRPr="00365D19">
        <w:rPr>
          <w:rtl/>
        </w:rPr>
        <w:lastRenderedPageBreak/>
        <w:t>البرنامج 8</w:t>
      </w:r>
      <w:r w:rsidR="00365D19" w:rsidRPr="00365D19">
        <w:rPr>
          <w:rFonts w:hint="cs"/>
          <w:rtl/>
        </w:rPr>
        <w:t>:</w:t>
      </w:r>
      <w:r w:rsidRPr="00365D19">
        <w:rPr>
          <w:rtl/>
        </w:rPr>
        <w:tab/>
        <w:t>تنسيق جدول أعمال التنمية</w:t>
      </w:r>
      <w:bookmarkEnd w:id="58"/>
      <w:bookmarkEnd w:id="59"/>
    </w:p>
    <w:p w:rsidR="00B31868" w:rsidRDefault="00086C3F" w:rsidP="00E00E9F">
      <w:pPr>
        <w:keepNext/>
        <w:bidi/>
        <w:spacing w:after="240" w:line="340" w:lineRule="exact"/>
        <w:ind w:left="1984" w:hanging="1984"/>
        <w:rPr>
          <w:rFonts w:ascii="Arabic Typesetting" w:hAnsi="Arabic Typesetting" w:cs="Arabic Typesetting"/>
          <w:b/>
          <w:bCs/>
          <w:sz w:val="36"/>
          <w:szCs w:val="36"/>
          <w:rtl/>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lang w:val="fr-CH"/>
        </w:rPr>
        <w:tab/>
      </w:r>
      <w:r w:rsidRPr="00086C3F">
        <w:rPr>
          <w:rFonts w:ascii="Arabic Typesetting" w:hAnsi="Arabic Typesetting" w:cs="Arabic Typesetting" w:hint="cs"/>
          <w:b/>
          <w:bCs/>
          <w:sz w:val="36"/>
          <w:szCs w:val="36"/>
          <w:rtl/>
          <w:lang w:val="fr-CH"/>
        </w:rPr>
        <w:t xml:space="preserve">السيد ماريو </w:t>
      </w:r>
      <w:proofErr w:type="spellStart"/>
      <w:r w:rsidRPr="00086C3F">
        <w:rPr>
          <w:rFonts w:ascii="Arabic Typesetting" w:hAnsi="Arabic Typesetting" w:cs="Arabic Typesetting" w:hint="cs"/>
          <w:b/>
          <w:bCs/>
          <w:sz w:val="36"/>
          <w:szCs w:val="36"/>
          <w:rtl/>
          <w:lang w:val="fr-CH"/>
        </w:rPr>
        <w:t>ماتوس</w:t>
      </w:r>
      <w:proofErr w:type="spellEnd"/>
    </w:p>
    <w:p w:rsidR="00086C3F" w:rsidRDefault="00086C3F" w:rsidP="00E00E9F">
      <w:pPr>
        <w:keepNext/>
        <w:bidi/>
        <w:spacing w:before="120"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3C151C" w:rsidRPr="003C151C" w:rsidRDefault="003C151C" w:rsidP="009A3712">
      <w:pPr>
        <w:numPr>
          <w:ilvl w:val="0"/>
          <w:numId w:val="14"/>
        </w:numPr>
        <w:bidi/>
        <w:spacing w:after="120" w:line="340" w:lineRule="exact"/>
        <w:ind w:left="0" w:firstLine="0"/>
        <w:jc w:val="both"/>
        <w:rPr>
          <w:rFonts w:ascii="Arabic Typesetting" w:hAnsi="Arabic Typesetting" w:cs="Arabic Typesetting"/>
          <w:sz w:val="34"/>
          <w:szCs w:val="34"/>
          <w:lang w:bidi="ar-EG"/>
        </w:rPr>
      </w:pPr>
      <w:r w:rsidRPr="003C151C">
        <w:rPr>
          <w:rFonts w:ascii="Arabic Typesetting" w:hAnsi="Arabic Typesetting" w:cs="Arabic Typesetting"/>
          <w:sz w:val="34"/>
          <w:szCs w:val="34"/>
          <w:rtl/>
          <w:lang w:bidi="ar-EG"/>
        </w:rPr>
        <w:t xml:space="preserve">واصل البرنامج </w:t>
      </w:r>
      <w:r>
        <w:rPr>
          <w:rFonts w:ascii="Arabic Typesetting" w:hAnsi="Arabic Typesetting" w:cs="Arabic Typesetting" w:hint="cs"/>
          <w:sz w:val="34"/>
          <w:szCs w:val="34"/>
          <w:rtl/>
          <w:lang w:bidi="ar-EG"/>
        </w:rPr>
        <w:t xml:space="preserve">خلال الثنائية </w:t>
      </w:r>
      <w:r w:rsidR="00507DE2">
        <w:rPr>
          <w:rFonts w:ascii="Arabic Typesetting" w:hAnsi="Arabic Typesetting" w:cs="Arabic Typesetting" w:hint="cs"/>
          <w:sz w:val="34"/>
          <w:szCs w:val="34"/>
          <w:rtl/>
          <w:lang w:bidi="ar-EG"/>
        </w:rPr>
        <w:t>2014/15</w:t>
      </w:r>
      <w:r w:rsidRPr="003C151C">
        <w:rPr>
          <w:rFonts w:ascii="Arabic Typesetting" w:hAnsi="Arabic Typesetting" w:cs="Arabic Typesetting"/>
          <w:sz w:val="34"/>
          <w:szCs w:val="34"/>
          <w:rtl/>
          <w:lang w:bidi="ar-EG"/>
        </w:rPr>
        <w:t xml:space="preserve"> تنسيق تنفيذ جدول أعمال الويبو </w:t>
      </w:r>
      <w:r>
        <w:rPr>
          <w:rFonts w:ascii="Arabic Typesetting" w:hAnsi="Arabic Typesetting" w:cs="Arabic Typesetting"/>
          <w:sz w:val="34"/>
          <w:szCs w:val="34"/>
          <w:rtl/>
          <w:lang w:bidi="ar-EG"/>
        </w:rPr>
        <w:t xml:space="preserve">بشأن التنمية لا سيما </w:t>
      </w:r>
      <w:r>
        <w:rPr>
          <w:rFonts w:ascii="Arabic Typesetting" w:hAnsi="Arabic Typesetting" w:cs="Arabic Typesetting" w:hint="cs"/>
          <w:sz w:val="34"/>
          <w:szCs w:val="34"/>
          <w:rtl/>
          <w:lang w:bidi="ar-EG"/>
        </w:rPr>
        <w:t>عن طريق تيسير</w:t>
      </w:r>
      <w:r w:rsidRPr="003C151C">
        <w:rPr>
          <w:rFonts w:ascii="Arabic Typesetting" w:hAnsi="Arabic Typesetting" w:cs="Arabic Typesetting"/>
          <w:sz w:val="34"/>
          <w:szCs w:val="34"/>
          <w:rtl/>
          <w:lang w:bidi="ar-EG"/>
        </w:rPr>
        <w:t xml:space="preserve"> عمل اللجنة المعنية بالتنمية والملكية الفكرية (اللجنة) في الدورتين الثالثة عشرة والرابعة عشرة للجنة اللتين عُقدتا في عام 2014</w:t>
      </w:r>
      <w:r>
        <w:rPr>
          <w:rFonts w:ascii="Arabic Typesetting" w:hAnsi="Arabic Typesetting" w:cs="Arabic Typesetting" w:hint="cs"/>
          <w:sz w:val="34"/>
          <w:szCs w:val="34"/>
          <w:rtl/>
          <w:lang w:bidi="ar-EG"/>
        </w:rPr>
        <w:t xml:space="preserve"> والدورتين الخامسة عشرة والسادسة عشرة اللتين عُقدتا في عام 2015؛</w:t>
      </w:r>
      <w:r w:rsidRPr="003C151C">
        <w:rPr>
          <w:rFonts w:ascii="Arabic Typesetting" w:hAnsi="Arabic Typesetting" w:cs="Arabic Typesetting"/>
          <w:sz w:val="34"/>
          <w:szCs w:val="34"/>
          <w:rtl/>
          <w:lang w:bidi="ar-EG"/>
        </w:rPr>
        <w:t xml:space="preserve"> وتنفيذ توصيات جدول أعمال التنمية بالاستناد إلى المشروعات</w:t>
      </w:r>
      <w:r>
        <w:rPr>
          <w:rFonts w:ascii="Arabic Typesetting" w:hAnsi="Arabic Typesetting" w:cs="Arabic Typesetting" w:hint="cs"/>
          <w:sz w:val="34"/>
          <w:szCs w:val="34"/>
          <w:rtl/>
          <w:lang w:bidi="ar-EG"/>
        </w:rPr>
        <w:t>؛</w:t>
      </w:r>
      <w:r w:rsidRPr="003C151C">
        <w:rPr>
          <w:rFonts w:ascii="Arabic Typesetting" w:hAnsi="Arabic Typesetting" w:cs="Arabic Typesetting"/>
          <w:sz w:val="34"/>
          <w:szCs w:val="34"/>
          <w:rtl/>
          <w:lang w:bidi="ar-EG"/>
        </w:rPr>
        <w:t xml:space="preserve"> والتعميم الفعال لمبادئ جدول أعمال التنمية على عمل المنظمة</w:t>
      </w:r>
      <w:r>
        <w:rPr>
          <w:rFonts w:ascii="Arabic Typesetting" w:hAnsi="Arabic Typesetting" w:cs="Arabic Typesetting" w:hint="cs"/>
          <w:sz w:val="34"/>
          <w:szCs w:val="34"/>
          <w:rtl/>
          <w:lang w:bidi="ar-EG"/>
        </w:rPr>
        <w:t>؛</w:t>
      </w:r>
      <w:r w:rsidRPr="003C151C">
        <w:rPr>
          <w:rFonts w:ascii="Arabic Typesetting" w:hAnsi="Arabic Typesetting" w:cs="Arabic Typesetting"/>
          <w:sz w:val="34"/>
          <w:szCs w:val="34"/>
          <w:rtl/>
          <w:lang w:bidi="ar-EG"/>
        </w:rPr>
        <w:t xml:space="preserve"> وعدد من الأنشطة الرامية إلى دعم الدول الأعضاء في </w:t>
      </w:r>
      <w:r w:rsidR="006C1221">
        <w:rPr>
          <w:rFonts w:ascii="Arabic Typesetting" w:hAnsi="Arabic Typesetting" w:cs="Arabic Typesetting" w:hint="cs"/>
          <w:sz w:val="34"/>
          <w:szCs w:val="34"/>
          <w:rtl/>
          <w:lang w:bidi="ar-EG"/>
        </w:rPr>
        <w:t>الاستفادة</w:t>
      </w:r>
      <w:r w:rsidRPr="003C151C">
        <w:rPr>
          <w:rFonts w:ascii="Arabic Typesetting" w:hAnsi="Arabic Typesetting" w:cs="Arabic Typesetting"/>
          <w:sz w:val="34"/>
          <w:szCs w:val="34"/>
          <w:rtl/>
          <w:lang w:bidi="ar-EG"/>
        </w:rPr>
        <w:t xml:space="preserve"> من تنفيذ جدول أعمال التنمية.</w:t>
      </w:r>
    </w:p>
    <w:p w:rsidR="003C151C" w:rsidRPr="004D299A" w:rsidRDefault="003C151C" w:rsidP="009A3712">
      <w:pPr>
        <w:numPr>
          <w:ilvl w:val="0"/>
          <w:numId w:val="14"/>
        </w:numPr>
        <w:bidi/>
        <w:spacing w:after="120" w:line="340" w:lineRule="exact"/>
        <w:ind w:left="0" w:firstLine="0"/>
        <w:jc w:val="both"/>
        <w:rPr>
          <w:rFonts w:ascii="Arabic Typesetting" w:hAnsi="Arabic Typesetting" w:cs="Arabic Typesetting"/>
          <w:sz w:val="34"/>
          <w:szCs w:val="34"/>
          <w:lang w:bidi="ar-EG"/>
        </w:rPr>
      </w:pPr>
      <w:r w:rsidRPr="004D299A">
        <w:rPr>
          <w:rFonts w:ascii="Arabic Typesetting" w:hAnsi="Arabic Typesetting" w:cs="Arabic Typesetting"/>
          <w:sz w:val="34"/>
          <w:szCs w:val="34"/>
          <w:rtl/>
          <w:lang w:bidi="ar-EG"/>
        </w:rPr>
        <w:t xml:space="preserve">وفي </w:t>
      </w:r>
      <w:r w:rsidRPr="004D299A">
        <w:rPr>
          <w:rFonts w:ascii="Arabic Typesetting" w:hAnsi="Arabic Typesetting" w:cs="Arabic Typesetting" w:hint="cs"/>
          <w:sz w:val="34"/>
          <w:szCs w:val="34"/>
          <w:rtl/>
          <w:lang w:bidi="ar-EG"/>
        </w:rPr>
        <w:t xml:space="preserve">عامي </w:t>
      </w:r>
      <w:r w:rsidR="00507DE2">
        <w:rPr>
          <w:rFonts w:ascii="Arabic Typesetting" w:hAnsi="Arabic Typesetting" w:cs="Arabic Typesetting" w:hint="cs"/>
          <w:sz w:val="34"/>
          <w:szCs w:val="34"/>
          <w:rtl/>
          <w:lang w:bidi="ar-EG"/>
        </w:rPr>
        <w:t>2014/15</w:t>
      </w:r>
      <w:r w:rsidRPr="004D299A">
        <w:rPr>
          <w:rFonts w:ascii="Arabic Typesetting" w:hAnsi="Arabic Typesetting" w:cs="Arabic Typesetting"/>
          <w:sz w:val="34"/>
          <w:szCs w:val="34"/>
          <w:rtl/>
          <w:lang w:bidi="ar-EG"/>
        </w:rPr>
        <w:t>، نظرت اللجنة في</w:t>
      </w:r>
      <w:r w:rsidRPr="004D299A">
        <w:rPr>
          <w:rFonts w:ascii="Arabic Typesetting" w:hAnsi="Arabic Typesetting" w:cs="Arabic Typesetting" w:hint="cs"/>
          <w:sz w:val="34"/>
          <w:szCs w:val="34"/>
          <w:rtl/>
          <w:lang w:bidi="ar-EG"/>
        </w:rPr>
        <w:t xml:space="preserve"> </w:t>
      </w:r>
      <w:r w:rsidRPr="004D299A">
        <w:rPr>
          <w:rFonts w:ascii="Arabic Typesetting" w:hAnsi="Arabic Typesetting" w:cs="Arabic Typesetting"/>
          <w:sz w:val="34"/>
          <w:szCs w:val="34"/>
          <w:rtl/>
          <w:lang w:bidi="ar-EG"/>
        </w:rPr>
        <w:t>ما يلي: "1" تقرير</w:t>
      </w:r>
      <w:r w:rsidRPr="004D299A">
        <w:rPr>
          <w:rFonts w:ascii="Arabic Typesetting" w:hAnsi="Arabic Typesetting" w:cs="Arabic Typesetting" w:hint="cs"/>
          <w:sz w:val="34"/>
          <w:szCs w:val="34"/>
          <w:rtl/>
          <w:lang w:bidi="ar-EG"/>
        </w:rPr>
        <w:t>ان من تقارير</w:t>
      </w:r>
      <w:r w:rsidRPr="004D299A">
        <w:rPr>
          <w:rFonts w:ascii="Arabic Typesetting" w:hAnsi="Arabic Typesetting" w:cs="Arabic Typesetting"/>
          <w:sz w:val="34"/>
          <w:szCs w:val="34"/>
          <w:rtl/>
          <w:lang w:bidi="ar-EG"/>
        </w:rPr>
        <w:t xml:space="preserve"> </w:t>
      </w:r>
      <w:r w:rsidRPr="004D299A">
        <w:rPr>
          <w:rFonts w:ascii="Arabic Typesetting" w:hAnsi="Arabic Typesetting" w:cs="Arabic Typesetting" w:hint="cs"/>
          <w:sz w:val="34"/>
          <w:szCs w:val="34"/>
          <w:rtl/>
          <w:lang w:bidi="ar-EG"/>
        </w:rPr>
        <w:t>ا</w:t>
      </w:r>
      <w:r w:rsidRPr="004D299A">
        <w:rPr>
          <w:rFonts w:ascii="Arabic Typesetting" w:hAnsi="Arabic Typesetting" w:cs="Arabic Typesetting"/>
          <w:sz w:val="34"/>
          <w:szCs w:val="34"/>
          <w:rtl/>
          <w:lang w:bidi="ar-EG"/>
        </w:rPr>
        <w:t>لمدير العام السنوي</w:t>
      </w:r>
      <w:r w:rsidRPr="004D299A">
        <w:rPr>
          <w:rFonts w:ascii="Arabic Typesetting" w:hAnsi="Arabic Typesetting" w:cs="Arabic Typesetting" w:hint="cs"/>
          <w:sz w:val="34"/>
          <w:szCs w:val="34"/>
          <w:rtl/>
          <w:lang w:bidi="ar-EG"/>
        </w:rPr>
        <w:t>ة</w:t>
      </w:r>
      <w:r w:rsidRPr="004D299A">
        <w:rPr>
          <w:rFonts w:ascii="Arabic Typesetting" w:hAnsi="Arabic Typesetting" w:cs="Arabic Typesetting"/>
          <w:sz w:val="34"/>
          <w:szCs w:val="34"/>
          <w:rtl/>
          <w:lang w:bidi="ar-EG"/>
        </w:rPr>
        <w:t xml:space="preserve"> بشأن تنفيذ جدول أعمال التنمية، "2" وتقرير</w:t>
      </w:r>
      <w:r w:rsidRPr="004D299A">
        <w:rPr>
          <w:rFonts w:ascii="Arabic Typesetting" w:hAnsi="Arabic Typesetting" w:cs="Arabic Typesetting" w:hint="cs"/>
          <w:sz w:val="34"/>
          <w:szCs w:val="34"/>
          <w:rtl/>
          <w:lang w:bidi="ar-EG"/>
        </w:rPr>
        <w:t>ان من التقارير</w:t>
      </w:r>
      <w:r w:rsidRPr="004D299A">
        <w:rPr>
          <w:rFonts w:ascii="Arabic Typesetting" w:hAnsi="Arabic Typesetting" w:cs="Arabic Typesetting"/>
          <w:sz w:val="34"/>
          <w:szCs w:val="34"/>
          <w:rtl/>
          <w:lang w:bidi="ar-EG"/>
        </w:rPr>
        <w:t xml:space="preserve"> </w:t>
      </w:r>
      <w:r w:rsidRPr="004D299A">
        <w:rPr>
          <w:rFonts w:ascii="Arabic Typesetting" w:hAnsi="Arabic Typesetting" w:cs="Arabic Typesetting" w:hint="cs"/>
          <w:sz w:val="34"/>
          <w:szCs w:val="34"/>
          <w:rtl/>
          <w:lang w:bidi="ar-EG"/>
        </w:rPr>
        <w:t>ال</w:t>
      </w:r>
      <w:r w:rsidRPr="004D299A">
        <w:rPr>
          <w:rFonts w:ascii="Arabic Typesetting" w:hAnsi="Arabic Typesetting" w:cs="Arabic Typesetting"/>
          <w:sz w:val="34"/>
          <w:szCs w:val="34"/>
          <w:rtl/>
          <w:lang w:bidi="ar-EG"/>
        </w:rPr>
        <w:t>مرحلي</w:t>
      </w:r>
      <w:r w:rsidRPr="004D299A">
        <w:rPr>
          <w:rFonts w:ascii="Arabic Typesetting" w:hAnsi="Arabic Typesetting" w:cs="Arabic Typesetting" w:hint="cs"/>
          <w:sz w:val="34"/>
          <w:szCs w:val="34"/>
          <w:rtl/>
          <w:lang w:bidi="ar-EG"/>
        </w:rPr>
        <w:t>ة</w:t>
      </w:r>
      <w:r w:rsidRPr="004D299A">
        <w:rPr>
          <w:rFonts w:ascii="Arabic Typesetting" w:hAnsi="Arabic Typesetting" w:cs="Arabic Typesetting"/>
          <w:sz w:val="34"/>
          <w:szCs w:val="34"/>
          <w:rtl/>
          <w:lang w:bidi="ar-EG"/>
        </w:rPr>
        <w:t xml:space="preserve"> عن تنفيذ التوصيات الفورية التنفيذ ومشروعات جدول أعمال التنمية، "3" </w:t>
      </w:r>
      <w:r w:rsidRPr="004D299A">
        <w:rPr>
          <w:rFonts w:ascii="Arabic Typesetting" w:hAnsi="Arabic Typesetting" w:cs="Arabic Typesetting" w:hint="cs"/>
          <w:sz w:val="34"/>
          <w:szCs w:val="34"/>
          <w:rtl/>
          <w:lang w:bidi="ar-EG"/>
        </w:rPr>
        <w:t>وأحد عشر تقريراً مستقلاً</w:t>
      </w:r>
      <w:r w:rsidRPr="004D299A">
        <w:rPr>
          <w:rFonts w:ascii="Arabic Typesetting" w:hAnsi="Arabic Typesetting" w:cs="Arabic Typesetting"/>
          <w:sz w:val="34"/>
          <w:szCs w:val="34"/>
          <w:rtl/>
          <w:lang w:bidi="ar-EG"/>
        </w:rPr>
        <w:t xml:space="preserve"> وتقرير تقييم ذاتي واحد لمشروعات جدول أعمال التنمية، "4" ووثيقة عن قرار الجمعية العامة للويبو بشأن المسائل المتعلقة باللجنة المعنية بالتنمية والملكية الفكرية. وإضافةً إلى ذلك، </w:t>
      </w:r>
      <w:r w:rsidR="00C4041C" w:rsidRPr="004D299A">
        <w:rPr>
          <w:rFonts w:ascii="Arabic Typesetting" w:hAnsi="Arabic Typesetting" w:cs="Arabic Typesetting" w:hint="cs"/>
          <w:sz w:val="34"/>
          <w:szCs w:val="34"/>
          <w:rtl/>
          <w:lang w:bidi="ar-EG"/>
        </w:rPr>
        <w:t>وافقت</w:t>
      </w:r>
      <w:r w:rsidRPr="004D299A">
        <w:rPr>
          <w:rFonts w:ascii="Arabic Typesetting" w:hAnsi="Arabic Typesetting" w:cs="Arabic Typesetting"/>
          <w:sz w:val="34"/>
          <w:szCs w:val="34"/>
          <w:rtl/>
          <w:lang w:bidi="ar-EG"/>
        </w:rPr>
        <w:t xml:space="preserve"> اللجنةُ</w:t>
      </w:r>
      <w:r w:rsidR="00C4041C" w:rsidRPr="004D299A">
        <w:rPr>
          <w:rFonts w:ascii="Arabic Typesetting" w:hAnsi="Arabic Typesetting" w:cs="Arabic Typesetting" w:hint="cs"/>
          <w:sz w:val="34"/>
          <w:szCs w:val="34"/>
          <w:rtl/>
          <w:lang w:bidi="ar-EG"/>
        </w:rPr>
        <w:t xml:space="preserve"> على ما يلي:</w:t>
      </w:r>
      <w:r w:rsidRPr="004D299A">
        <w:rPr>
          <w:rFonts w:ascii="Arabic Typesetting" w:hAnsi="Arabic Typesetting" w:cs="Arabic Typesetting"/>
          <w:sz w:val="34"/>
          <w:szCs w:val="34"/>
          <w:rtl/>
          <w:lang w:bidi="ar-EG"/>
        </w:rPr>
        <w:t xml:space="preserve"> </w:t>
      </w:r>
      <w:r w:rsidR="00C4041C" w:rsidRPr="004D299A">
        <w:rPr>
          <w:rFonts w:ascii="Arabic Typesetting" w:hAnsi="Arabic Typesetting" w:cs="Arabic Typesetting" w:hint="cs"/>
          <w:sz w:val="34"/>
          <w:szCs w:val="34"/>
          <w:rtl/>
          <w:lang w:bidi="ar-EG"/>
        </w:rPr>
        <w:t xml:space="preserve">"1" اقتراحات بشأن </w:t>
      </w:r>
      <w:r w:rsidRPr="004D299A">
        <w:rPr>
          <w:rFonts w:ascii="Arabic Typesetting" w:hAnsi="Arabic Typesetting" w:cs="Arabic Typesetting"/>
          <w:sz w:val="34"/>
          <w:szCs w:val="34"/>
          <w:rtl/>
          <w:lang w:bidi="ar-EG"/>
        </w:rPr>
        <w:t xml:space="preserve">المرحلة الثانية لمشروعين </w:t>
      </w:r>
      <w:r w:rsidR="00C4041C" w:rsidRPr="004D299A">
        <w:rPr>
          <w:rFonts w:ascii="Arabic Typesetting" w:hAnsi="Arabic Typesetting" w:cs="Arabic Typesetting" w:hint="cs"/>
          <w:sz w:val="34"/>
          <w:szCs w:val="34"/>
          <w:rtl/>
          <w:lang w:bidi="ar-EG"/>
        </w:rPr>
        <w:t>أنجزا وقيِّما؛ "2" وثلاثة مشروعات جديدة مقترحة منها مشروع اقترحته جمهورية مصر العربية بشأن الملكية الفكرية والسياحة؛ "3" و</w:t>
      </w:r>
      <w:r w:rsidR="00915D49">
        <w:rPr>
          <w:rFonts w:ascii="Arabic Typesetting" w:hAnsi="Arabic Typesetting" w:cs="Arabic Typesetting"/>
          <w:sz w:val="34"/>
          <w:szCs w:val="34"/>
          <w:rtl/>
          <w:lang w:bidi="ar-EG"/>
        </w:rPr>
        <w:t>أنشطة جديدة</w:t>
      </w:r>
      <w:r w:rsidRPr="004D299A">
        <w:rPr>
          <w:rFonts w:ascii="Arabic Typesetting" w:hAnsi="Arabic Typesetting" w:cs="Arabic Typesetting"/>
          <w:sz w:val="34"/>
          <w:szCs w:val="34"/>
          <w:rtl/>
          <w:lang w:bidi="ar-EG"/>
        </w:rPr>
        <w:t xml:space="preserve"> تتعلق بالانتفاع بحق المؤلف للنهوض بالنفاذ إلى المعلومات والمواد الإبداعية</w:t>
      </w:r>
      <w:r w:rsidR="00C4041C" w:rsidRPr="004D299A">
        <w:rPr>
          <w:rFonts w:ascii="Arabic Typesetting" w:hAnsi="Arabic Typesetting" w:cs="Arabic Typesetting" w:hint="cs"/>
          <w:sz w:val="34"/>
          <w:szCs w:val="34"/>
          <w:rtl/>
          <w:lang w:bidi="ar-EG"/>
        </w:rPr>
        <w:t xml:space="preserve">. </w:t>
      </w:r>
      <w:r w:rsidRPr="004D299A">
        <w:rPr>
          <w:rFonts w:ascii="Arabic Typesetting" w:hAnsi="Arabic Typesetting" w:cs="Arabic Typesetting"/>
          <w:sz w:val="34"/>
          <w:szCs w:val="34"/>
          <w:rtl/>
          <w:lang w:bidi="ar-EG"/>
        </w:rPr>
        <w:t>وناقشت اللجنةُ "1"</w:t>
      </w:r>
      <w:r w:rsidR="008A766B" w:rsidRPr="004D299A">
        <w:rPr>
          <w:rFonts w:ascii="Arabic Typesetting" w:hAnsi="Arabic Typesetting" w:cs="Arabic Typesetting" w:hint="cs"/>
          <w:sz w:val="34"/>
          <w:szCs w:val="34"/>
          <w:rtl/>
          <w:lang w:bidi="ar-EG"/>
        </w:rPr>
        <w:t> </w:t>
      </w:r>
      <w:r w:rsidRPr="004D299A">
        <w:rPr>
          <w:rFonts w:ascii="Arabic Typesetting" w:hAnsi="Arabic Typesetting" w:cs="Arabic Typesetting"/>
          <w:sz w:val="34"/>
          <w:szCs w:val="34"/>
          <w:rtl/>
          <w:lang w:bidi="ar-EG"/>
        </w:rPr>
        <w:t>وثيقةً أحالتها الجمعية العامة بشأن وصف مساهمة مختلف هيئات الويبو في تنفيذ ما يعنيها من توصيات جدول أعمال التنمية، "2"</w:t>
      </w:r>
      <w:r w:rsidR="008A766B" w:rsidRPr="004D299A">
        <w:rPr>
          <w:rFonts w:ascii="Arabic Typesetting" w:hAnsi="Arabic Typesetting" w:cs="Arabic Typesetting" w:hint="cs"/>
          <w:sz w:val="34"/>
          <w:szCs w:val="34"/>
          <w:rtl/>
          <w:lang w:bidi="ar-EG"/>
        </w:rPr>
        <w:t> </w:t>
      </w:r>
      <w:r w:rsidRPr="004D299A">
        <w:rPr>
          <w:rFonts w:ascii="Arabic Typesetting" w:hAnsi="Arabic Typesetting" w:cs="Arabic Typesetting"/>
          <w:sz w:val="34"/>
          <w:szCs w:val="34"/>
          <w:rtl/>
          <w:lang w:bidi="ar-EG"/>
        </w:rPr>
        <w:t>وتقريراً مُراجَعاً بشأن قياس تنفيذ الأهداف الإنمائية للألفية في وكالات الأمم المتحدة ووكالتها المتخصصة الأخرى وبشأن إس</w:t>
      </w:r>
      <w:r w:rsidR="008A766B" w:rsidRPr="004D299A">
        <w:rPr>
          <w:rFonts w:ascii="Arabic Typesetting" w:hAnsi="Arabic Typesetting" w:cs="Arabic Typesetting"/>
          <w:sz w:val="34"/>
          <w:szCs w:val="34"/>
          <w:rtl/>
          <w:lang w:bidi="ar-EG"/>
        </w:rPr>
        <w:t>هام الويبو في تحقيق تلك الأهداف</w:t>
      </w:r>
      <w:r w:rsidR="008A766B" w:rsidRPr="004D299A">
        <w:rPr>
          <w:rFonts w:ascii="Arabic Typesetting" w:hAnsi="Arabic Typesetting" w:cs="Arabic Typesetting" w:hint="cs"/>
          <w:sz w:val="34"/>
          <w:szCs w:val="34"/>
          <w:rtl/>
          <w:lang w:bidi="ar-EG"/>
        </w:rPr>
        <w:t>؛ "3" ووثيقة عن الويبو وخطة التنمية لما بعد عام 2015؛ "4" </w:t>
      </w:r>
      <w:proofErr w:type="spellStart"/>
      <w:r w:rsidR="008A766B" w:rsidRPr="004D299A">
        <w:rPr>
          <w:rFonts w:ascii="Arabic Typesetting" w:hAnsi="Arabic Typesetting" w:cs="Arabic Typesetting" w:hint="cs"/>
          <w:sz w:val="34"/>
          <w:szCs w:val="34"/>
          <w:rtl/>
          <w:lang w:bidi="ar-EG"/>
        </w:rPr>
        <w:t>و</w:t>
      </w:r>
      <w:r w:rsidR="008A766B" w:rsidRPr="004D299A">
        <w:rPr>
          <w:rFonts w:ascii="Arabic Typesetting" w:hAnsi="Arabic Typesetting" w:cs="Arabic Typesetting"/>
          <w:sz w:val="34"/>
          <w:szCs w:val="34"/>
          <w:rtl/>
          <w:lang w:bidi="ar-EG"/>
        </w:rPr>
        <w:t>‏تقرير</w:t>
      </w:r>
      <w:r w:rsidR="008A766B" w:rsidRPr="004D299A">
        <w:rPr>
          <w:rFonts w:ascii="Arabic Typesetting" w:hAnsi="Arabic Typesetting" w:cs="Arabic Typesetting" w:hint="cs"/>
          <w:sz w:val="34"/>
          <w:szCs w:val="34"/>
          <w:rtl/>
          <w:lang w:bidi="ar-EG"/>
        </w:rPr>
        <w:t>اً</w:t>
      </w:r>
      <w:proofErr w:type="spellEnd"/>
      <w:r w:rsidR="008A766B" w:rsidRPr="004D299A">
        <w:rPr>
          <w:rFonts w:ascii="Arabic Typesetting" w:hAnsi="Arabic Typesetting" w:cs="Arabic Typesetting"/>
          <w:sz w:val="34"/>
          <w:szCs w:val="34"/>
          <w:rtl/>
          <w:lang w:bidi="ar-EG"/>
        </w:rPr>
        <w:t xml:space="preserve"> عن منتدى خبراء الويبو بشأن نقل التكنولوجيا على الصعيد الدولي</w:t>
      </w:r>
      <w:r w:rsidR="008A766B" w:rsidRPr="004D299A">
        <w:rPr>
          <w:rFonts w:ascii="Arabic Typesetting" w:hAnsi="Arabic Typesetting" w:cs="Arabic Typesetting" w:hint="cs"/>
          <w:sz w:val="34"/>
          <w:szCs w:val="34"/>
          <w:rtl/>
          <w:lang w:bidi="ar-EG"/>
        </w:rPr>
        <w:t>. وناقشت اللجنة أيضاً ال</w:t>
      </w:r>
      <w:r w:rsidR="008A766B" w:rsidRPr="004D299A">
        <w:rPr>
          <w:rFonts w:ascii="Arabic Typesetting" w:hAnsi="Arabic Typesetting" w:cs="Arabic Typesetting"/>
          <w:sz w:val="34"/>
          <w:szCs w:val="34"/>
          <w:rtl/>
          <w:lang w:bidi="ar-EG"/>
        </w:rPr>
        <w:t xml:space="preserve">وثيقة </w:t>
      </w:r>
      <w:r w:rsidR="008A766B" w:rsidRPr="004D299A">
        <w:rPr>
          <w:rFonts w:ascii="Arabic Typesetting" w:hAnsi="Arabic Typesetting" w:cs="Arabic Typesetting" w:hint="cs"/>
          <w:sz w:val="34"/>
          <w:szCs w:val="34"/>
          <w:rtl/>
          <w:lang w:bidi="ar-EG"/>
        </w:rPr>
        <w:t>الخامسة بشأن</w:t>
      </w:r>
      <w:r w:rsidR="008A766B" w:rsidRPr="004D299A">
        <w:rPr>
          <w:rFonts w:ascii="Arabic Typesetting" w:hAnsi="Arabic Typesetting" w:cs="Arabic Typesetting"/>
          <w:sz w:val="34"/>
          <w:szCs w:val="34"/>
          <w:rtl/>
          <w:lang w:bidi="ar-EG"/>
        </w:rPr>
        <w:t xml:space="preserve"> مواطن المرونة المتعلقة بالبراءات في الإطار القانوني المتعدد الأطراف وتنفيذها التشريعي على الصعيدين الوطني والإقليمي</w:t>
      </w:r>
      <w:r w:rsidR="008A766B" w:rsidRPr="004D299A">
        <w:rPr>
          <w:rFonts w:ascii="Arabic Typesetting" w:hAnsi="Arabic Typesetting" w:cs="Arabic Typesetting" w:hint="cs"/>
          <w:sz w:val="34"/>
          <w:szCs w:val="34"/>
          <w:rtl/>
          <w:lang w:bidi="ar-EG"/>
        </w:rPr>
        <w:t>،</w:t>
      </w:r>
      <w:r w:rsidR="008A766B" w:rsidRPr="004D299A">
        <w:rPr>
          <w:rFonts w:ascii="Arabic Typesetting" w:hAnsi="Arabic Typesetting" w:cs="Arabic Typesetting"/>
          <w:sz w:val="34"/>
          <w:szCs w:val="34"/>
          <w:rtl/>
          <w:lang w:bidi="ar-EG"/>
        </w:rPr>
        <w:t xml:space="preserve"> </w:t>
      </w:r>
      <w:r w:rsidR="008A766B" w:rsidRPr="004D299A">
        <w:rPr>
          <w:rFonts w:ascii="Arabic Typesetting" w:hAnsi="Arabic Typesetting" w:cs="Arabic Typesetting" w:hint="cs"/>
          <w:sz w:val="34"/>
          <w:szCs w:val="34"/>
          <w:rtl/>
          <w:lang w:bidi="ar-EG"/>
        </w:rPr>
        <w:t>و</w:t>
      </w:r>
      <w:r w:rsidR="008A766B" w:rsidRPr="004D299A">
        <w:rPr>
          <w:rFonts w:ascii="Arabic Typesetting" w:hAnsi="Arabic Typesetting" w:cs="Arabic Typesetting"/>
          <w:sz w:val="34"/>
          <w:szCs w:val="34"/>
          <w:rtl/>
          <w:lang w:bidi="ar-EG"/>
        </w:rPr>
        <w:t>تقريراً عن تحديث قاعدة البيانات بشأن المرونة</w:t>
      </w:r>
      <w:r w:rsidR="008A766B" w:rsidRPr="004D299A">
        <w:rPr>
          <w:rFonts w:ascii="Arabic Typesetting" w:hAnsi="Arabic Typesetting" w:cs="Arabic Typesetting" w:hint="cs"/>
          <w:sz w:val="34"/>
          <w:szCs w:val="34"/>
          <w:rtl/>
          <w:lang w:bidi="ar-EG"/>
        </w:rPr>
        <w:t>.</w:t>
      </w:r>
      <w:r w:rsidRPr="004D299A">
        <w:rPr>
          <w:rFonts w:ascii="Arabic Typesetting" w:hAnsi="Arabic Typesetting" w:cs="Arabic Typesetting"/>
          <w:sz w:val="34"/>
          <w:szCs w:val="34"/>
          <w:rtl/>
          <w:lang w:bidi="ar-EG"/>
        </w:rPr>
        <w:t xml:space="preserve"> وواصلت مناقشاتها</w:t>
      </w:r>
      <w:r w:rsidR="008A766B" w:rsidRPr="004D299A">
        <w:rPr>
          <w:rFonts w:ascii="Arabic Typesetting" w:hAnsi="Arabic Typesetting" w:cs="Arabic Typesetting" w:hint="cs"/>
          <w:sz w:val="34"/>
          <w:szCs w:val="34"/>
          <w:rtl/>
          <w:lang w:bidi="ar-EG"/>
        </w:rPr>
        <w:t xml:space="preserve"> خلال الثنائية</w:t>
      </w:r>
      <w:r w:rsidRPr="004D299A">
        <w:rPr>
          <w:rFonts w:ascii="Arabic Typesetting" w:hAnsi="Arabic Typesetting" w:cs="Arabic Typesetting"/>
          <w:sz w:val="34"/>
          <w:szCs w:val="34"/>
          <w:rtl/>
          <w:lang w:bidi="ar-EG"/>
        </w:rPr>
        <w:t xml:space="preserve"> بشأن المراجعة الخارجية للمساعدة التقنية التي تُقدمها الويبو في مجال التعاون لأغراض التنمية، </w:t>
      </w:r>
      <w:r w:rsidR="008A766B" w:rsidRPr="004D299A">
        <w:rPr>
          <w:rFonts w:ascii="Arabic Typesetting" w:hAnsi="Arabic Typesetting" w:cs="Arabic Typesetting" w:hint="cs"/>
          <w:sz w:val="34"/>
          <w:szCs w:val="34"/>
          <w:rtl/>
          <w:lang w:bidi="ar-EG"/>
        </w:rPr>
        <w:t>وقدِّم</w:t>
      </w:r>
      <w:r w:rsidRPr="004D299A">
        <w:rPr>
          <w:rFonts w:ascii="Arabic Typesetting" w:hAnsi="Arabic Typesetting" w:cs="Arabic Typesetting"/>
          <w:sz w:val="34"/>
          <w:szCs w:val="34"/>
          <w:rtl/>
          <w:lang w:bidi="ar-EG"/>
        </w:rPr>
        <w:t xml:space="preserve"> </w:t>
      </w:r>
      <w:r w:rsidR="008A766B" w:rsidRPr="004D299A">
        <w:rPr>
          <w:rFonts w:ascii="Arabic Typesetting" w:hAnsi="Arabic Typesetting" w:cs="Arabic Typesetting" w:hint="cs"/>
          <w:sz w:val="34"/>
          <w:szCs w:val="34"/>
          <w:rtl/>
          <w:lang w:bidi="ar-EG"/>
        </w:rPr>
        <w:t>تحديث ل</w:t>
      </w:r>
      <w:r w:rsidRPr="004D299A">
        <w:rPr>
          <w:rFonts w:ascii="Arabic Typesetting" w:hAnsi="Arabic Typesetting" w:cs="Arabic Typesetting"/>
          <w:sz w:val="34"/>
          <w:szCs w:val="34"/>
          <w:rtl/>
          <w:lang w:bidi="ar-EG"/>
        </w:rPr>
        <w:t xml:space="preserve">ردّ الإدارة </w:t>
      </w:r>
      <w:r w:rsidR="008A766B" w:rsidRPr="004D299A">
        <w:rPr>
          <w:rFonts w:ascii="Arabic Typesetting" w:hAnsi="Arabic Typesetting" w:cs="Arabic Typesetting" w:hint="cs"/>
          <w:sz w:val="34"/>
          <w:szCs w:val="34"/>
          <w:rtl/>
          <w:lang w:bidi="ar-EG"/>
        </w:rPr>
        <w:t xml:space="preserve">على تقرير المراجعة الخارجية. وفضلاً عن ذلك، </w:t>
      </w:r>
      <w:r w:rsidRPr="004D299A">
        <w:rPr>
          <w:rFonts w:ascii="Arabic Typesetting" w:hAnsi="Arabic Typesetting" w:cs="Arabic Typesetting"/>
          <w:sz w:val="34"/>
          <w:szCs w:val="34"/>
          <w:rtl/>
          <w:lang w:bidi="ar-EG"/>
        </w:rPr>
        <w:t>اعتمدت اللجنةُ مواصفات الاستعراض المستقل لتنفيذ توصيات جدول أعمال التنمية</w:t>
      </w:r>
      <w:r w:rsidR="008A766B" w:rsidRPr="004D299A">
        <w:rPr>
          <w:rFonts w:ascii="Arabic Typesetting" w:hAnsi="Arabic Typesetting" w:cs="Arabic Typesetting" w:hint="cs"/>
          <w:sz w:val="34"/>
          <w:szCs w:val="34"/>
          <w:rtl/>
          <w:lang w:bidi="ar-EG"/>
        </w:rPr>
        <w:t xml:space="preserve"> واتخذت قراراً في عقد</w:t>
      </w:r>
      <w:r w:rsidRPr="004D299A">
        <w:rPr>
          <w:rFonts w:ascii="Arabic Typesetting" w:hAnsi="Arabic Typesetting" w:cs="Arabic Typesetting"/>
          <w:sz w:val="34"/>
          <w:szCs w:val="34"/>
          <w:rtl/>
          <w:lang w:bidi="ar-EG"/>
        </w:rPr>
        <w:t xml:space="preserve"> المؤتمر الدولي بشأن الملكية الفكرية والتنمية. وإضافةً إلى ذلك، ناقشت اللجنةُ "1" </w:t>
      </w:r>
      <w:r w:rsidR="004D299A" w:rsidRPr="004D299A">
        <w:rPr>
          <w:rFonts w:ascii="Arabic Typesetting" w:hAnsi="Arabic Typesetting" w:cs="Arabic Typesetting" w:hint="cs"/>
          <w:sz w:val="34"/>
          <w:szCs w:val="34"/>
          <w:rtl/>
          <w:lang w:bidi="ar-EG"/>
        </w:rPr>
        <w:t>ثماني</w:t>
      </w:r>
      <w:r w:rsidRPr="004D299A">
        <w:rPr>
          <w:rFonts w:ascii="Arabic Typesetting" w:hAnsi="Arabic Typesetting" w:cs="Arabic Typesetting"/>
          <w:sz w:val="34"/>
          <w:szCs w:val="34"/>
          <w:rtl/>
          <w:lang w:bidi="ar-EG"/>
        </w:rPr>
        <w:t xml:space="preserve"> دراسات أُجريت في سياق مشروع الملكية الفكرية والتنمية الاجتماعية والاقتصادية</w:t>
      </w:r>
      <w:r w:rsidR="004D299A" w:rsidRPr="004D299A">
        <w:rPr>
          <w:rFonts w:ascii="Arabic Typesetting" w:hAnsi="Arabic Typesetting" w:cs="Arabic Typesetting" w:hint="cs"/>
          <w:sz w:val="34"/>
          <w:szCs w:val="34"/>
          <w:rtl/>
          <w:lang w:bidi="ar-EG"/>
        </w:rPr>
        <w:t>؛</w:t>
      </w:r>
      <w:r w:rsidRPr="004D299A">
        <w:rPr>
          <w:rFonts w:ascii="Arabic Typesetting" w:hAnsi="Arabic Typesetting" w:cs="Arabic Typesetting"/>
          <w:sz w:val="34"/>
          <w:szCs w:val="34"/>
          <w:rtl/>
          <w:lang w:bidi="ar-EG"/>
        </w:rPr>
        <w:t xml:space="preserve"> "2"</w:t>
      </w:r>
      <w:r w:rsidR="004D299A" w:rsidRPr="004D299A">
        <w:rPr>
          <w:rFonts w:ascii="Arabic Typesetting" w:hAnsi="Arabic Typesetting" w:cs="Arabic Typesetting" w:hint="cs"/>
          <w:sz w:val="34"/>
          <w:szCs w:val="34"/>
          <w:rtl/>
          <w:lang w:bidi="ar-EG"/>
        </w:rPr>
        <w:t> </w:t>
      </w:r>
      <w:r w:rsidRPr="004D299A">
        <w:rPr>
          <w:rFonts w:ascii="Arabic Typesetting" w:hAnsi="Arabic Typesetting" w:cs="Arabic Typesetting"/>
          <w:sz w:val="34"/>
          <w:szCs w:val="34"/>
          <w:rtl/>
          <w:lang w:bidi="ar-EG"/>
        </w:rPr>
        <w:t>وست دراسات أُجريت في إطار مشروع الملكية الفكرية ونقل التكنولوجيا: التحديات المشتركة وبناء الحلول</w:t>
      </w:r>
      <w:r w:rsidR="004D299A" w:rsidRPr="004D299A">
        <w:rPr>
          <w:rFonts w:ascii="Arabic Typesetting" w:hAnsi="Arabic Typesetting" w:cs="Arabic Typesetting" w:hint="cs"/>
          <w:sz w:val="34"/>
          <w:szCs w:val="34"/>
          <w:rtl/>
          <w:lang w:bidi="ar-EG"/>
        </w:rPr>
        <w:t>؛</w:t>
      </w:r>
      <w:r w:rsidRPr="004D299A">
        <w:rPr>
          <w:rFonts w:ascii="Arabic Typesetting" w:hAnsi="Arabic Typesetting" w:cs="Arabic Typesetting"/>
          <w:sz w:val="34"/>
          <w:szCs w:val="34"/>
          <w:rtl/>
          <w:lang w:bidi="ar-EG"/>
        </w:rPr>
        <w:t xml:space="preserve"> "3"</w:t>
      </w:r>
      <w:r w:rsidR="004D299A" w:rsidRPr="004D299A">
        <w:rPr>
          <w:rFonts w:ascii="Arabic Typesetting" w:hAnsi="Arabic Typesetting" w:cs="Arabic Typesetting" w:hint="cs"/>
          <w:sz w:val="34"/>
          <w:szCs w:val="34"/>
          <w:rtl/>
          <w:lang w:bidi="ar-EG"/>
        </w:rPr>
        <w:t> </w:t>
      </w:r>
      <w:r w:rsidRPr="004D299A">
        <w:rPr>
          <w:rFonts w:ascii="Arabic Typesetting" w:hAnsi="Arabic Typesetting" w:cs="Arabic Typesetting"/>
          <w:sz w:val="34"/>
          <w:szCs w:val="34"/>
          <w:rtl/>
          <w:lang w:bidi="ar-EG"/>
        </w:rPr>
        <w:t>ودراستين أُجريتا في إطار المشروع الخاص بالمشروعات التعاونية المفتوحة والنماذج القائمة على الملكية الفكرية</w:t>
      </w:r>
      <w:r w:rsidR="004D299A" w:rsidRPr="004D299A">
        <w:rPr>
          <w:rFonts w:ascii="Arabic Typesetting" w:hAnsi="Arabic Typesetting" w:cs="Arabic Typesetting" w:hint="cs"/>
          <w:sz w:val="34"/>
          <w:szCs w:val="34"/>
          <w:rtl/>
          <w:lang w:bidi="ar-EG"/>
        </w:rPr>
        <w:t>؛</w:t>
      </w:r>
      <w:r w:rsidRPr="004D299A">
        <w:rPr>
          <w:rFonts w:ascii="Arabic Typesetting" w:hAnsi="Arabic Typesetting" w:cs="Arabic Typesetting"/>
          <w:sz w:val="34"/>
          <w:szCs w:val="34"/>
          <w:rtl/>
          <w:lang w:bidi="ar-EG"/>
        </w:rPr>
        <w:t xml:space="preserve"> "4"</w:t>
      </w:r>
      <w:r w:rsidR="004D299A" w:rsidRPr="004D299A">
        <w:rPr>
          <w:rFonts w:ascii="Arabic Typesetting" w:hAnsi="Arabic Typesetting" w:cs="Arabic Typesetting" w:hint="cs"/>
          <w:sz w:val="34"/>
          <w:szCs w:val="34"/>
          <w:rtl/>
          <w:lang w:bidi="ar-EG"/>
        </w:rPr>
        <w:t> </w:t>
      </w:r>
      <w:r w:rsidRPr="004D299A">
        <w:rPr>
          <w:rFonts w:ascii="Arabic Typesetting" w:hAnsi="Arabic Typesetting" w:cs="Arabic Typesetting"/>
          <w:sz w:val="34"/>
          <w:szCs w:val="34"/>
          <w:rtl/>
          <w:lang w:bidi="ar-EG"/>
        </w:rPr>
        <w:t>وأربع دراسات في إطار مشروع الملكية الفكرية والاقتصاد غير الرسمي</w:t>
      </w:r>
      <w:r w:rsidR="004D299A" w:rsidRPr="004D299A">
        <w:rPr>
          <w:rFonts w:ascii="Arabic Typesetting" w:hAnsi="Arabic Typesetting" w:cs="Arabic Typesetting" w:hint="cs"/>
          <w:sz w:val="34"/>
          <w:szCs w:val="34"/>
          <w:rtl/>
          <w:lang w:bidi="ar-EG"/>
        </w:rPr>
        <w:t>؛</w:t>
      </w:r>
      <w:r w:rsidRPr="004D299A">
        <w:rPr>
          <w:rFonts w:ascii="Arabic Typesetting" w:hAnsi="Arabic Typesetting" w:cs="Arabic Typesetting"/>
          <w:sz w:val="34"/>
          <w:szCs w:val="34"/>
          <w:rtl/>
          <w:lang w:bidi="ar-EG"/>
        </w:rPr>
        <w:t xml:space="preserve"> "5"</w:t>
      </w:r>
      <w:r w:rsidR="004D299A" w:rsidRPr="004D299A">
        <w:rPr>
          <w:rFonts w:ascii="Arabic Typesetting" w:hAnsi="Arabic Typesetting" w:cs="Arabic Typesetting" w:hint="cs"/>
          <w:sz w:val="34"/>
          <w:szCs w:val="34"/>
          <w:rtl/>
          <w:lang w:bidi="ar-EG"/>
        </w:rPr>
        <w:t> </w:t>
      </w:r>
      <w:r w:rsidRPr="004D299A">
        <w:rPr>
          <w:rFonts w:ascii="Arabic Typesetting" w:hAnsi="Arabic Typesetting" w:cs="Arabic Typesetting"/>
          <w:sz w:val="34"/>
          <w:szCs w:val="34"/>
          <w:rtl/>
          <w:lang w:bidi="ar-EG"/>
        </w:rPr>
        <w:t>ودراسة واحدة أُجريت في إطار مشروع تعزيز القطاع السمعي البصري وتطويره في بوركينا فا</w:t>
      </w:r>
      <w:r w:rsidR="004D299A" w:rsidRPr="004D299A">
        <w:rPr>
          <w:rFonts w:ascii="Arabic Typesetting" w:hAnsi="Arabic Typesetting" w:cs="Arabic Typesetting" w:hint="cs"/>
          <w:sz w:val="34"/>
          <w:szCs w:val="34"/>
          <w:rtl/>
          <w:lang w:bidi="ar-EG"/>
        </w:rPr>
        <w:t>س</w:t>
      </w:r>
      <w:r w:rsidRPr="004D299A">
        <w:rPr>
          <w:rFonts w:ascii="Arabic Typesetting" w:hAnsi="Arabic Typesetting" w:cs="Arabic Typesetting"/>
          <w:sz w:val="34"/>
          <w:szCs w:val="34"/>
          <w:rtl/>
          <w:lang w:bidi="ar-EG"/>
        </w:rPr>
        <w:t>و وبعض البلدان الأفريقية</w:t>
      </w:r>
      <w:r w:rsidR="004D299A" w:rsidRPr="004D299A">
        <w:rPr>
          <w:rFonts w:ascii="Arabic Typesetting" w:hAnsi="Arabic Typesetting" w:cs="Arabic Typesetting" w:hint="cs"/>
          <w:sz w:val="34"/>
          <w:szCs w:val="34"/>
          <w:rtl/>
          <w:lang w:bidi="ar-EG"/>
        </w:rPr>
        <w:t xml:space="preserve">؛ "6" وثلاث دراسات أجريت في إطار مشروع </w:t>
      </w:r>
      <w:r w:rsidR="004D299A" w:rsidRPr="004D299A">
        <w:rPr>
          <w:rFonts w:ascii="Arabic Typesetting" w:hAnsi="Arabic Typesetting" w:cs="Arabic Typesetting"/>
          <w:sz w:val="34"/>
          <w:szCs w:val="34"/>
          <w:rtl/>
          <w:lang w:bidi="ar-EG"/>
        </w:rPr>
        <w:t>بنية دعم الابتكار ونقل التكنولوجيا لفائدة المؤسسات الوطنية</w:t>
      </w:r>
      <w:r w:rsidR="004D299A" w:rsidRPr="004D299A">
        <w:rPr>
          <w:rFonts w:ascii="Arabic Typesetting" w:hAnsi="Arabic Typesetting" w:cs="Arabic Typesetting" w:hint="cs"/>
          <w:sz w:val="34"/>
          <w:szCs w:val="34"/>
          <w:rtl/>
          <w:lang w:bidi="ar-EG"/>
        </w:rPr>
        <w:t xml:space="preserve">. </w:t>
      </w:r>
      <w:r w:rsidRPr="004D299A">
        <w:rPr>
          <w:rFonts w:ascii="Arabic Typesetting" w:hAnsi="Arabic Typesetting" w:cs="Arabic Typesetting"/>
          <w:sz w:val="34"/>
          <w:szCs w:val="34"/>
          <w:rtl/>
          <w:lang w:bidi="ar-EG"/>
        </w:rPr>
        <w:t xml:space="preserve">وواصلت اللجنةُ الاستفادة من المشاركة المتزايدة للمنظمات الحكومية الدولية والمنظمات غير الحكومية. وقد شارك تسعة وخمسون مراقباً في عمل اللجنة بحلول نهاية عام </w:t>
      </w:r>
      <w:r w:rsidR="004D299A">
        <w:rPr>
          <w:rFonts w:ascii="Arabic Typesetting" w:hAnsi="Arabic Typesetting" w:cs="Arabic Typesetting" w:hint="cs"/>
          <w:sz w:val="34"/>
          <w:szCs w:val="34"/>
          <w:rtl/>
          <w:lang w:bidi="ar-EG"/>
        </w:rPr>
        <w:t>2015</w:t>
      </w:r>
      <w:r w:rsidRPr="004D299A">
        <w:rPr>
          <w:rFonts w:ascii="Arabic Typesetting" w:hAnsi="Arabic Typesetting" w:cs="Arabic Typesetting"/>
          <w:sz w:val="34"/>
          <w:szCs w:val="34"/>
          <w:rtl/>
          <w:lang w:bidi="ar-EG"/>
        </w:rPr>
        <w:t>.</w:t>
      </w:r>
    </w:p>
    <w:p w:rsidR="003C151C" w:rsidRPr="003C151C" w:rsidRDefault="004D299A" w:rsidP="009A3712">
      <w:pPr>
        <w:numPr>
          <w:ilvl w:val="0"/>
          <w:numId w:val="14"/>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وواصل البرنامج توفير الدعم للجنة، واستهل </w:t>
      </w:r>
      <w:r w:rsidR="00353C91">
        <w:rPr>
          <w:rFonts w:ascii="Arabic Typesetting" w:hAnsi="Arabic Typesetting" w:cs="Arabic Typesetting" w:hint="cs"/>
          <w:sz w:val="34"/>
          <w:szCs w:val="34"/>
          <w:rtl/>
          <w:lang w:bidi="ar-EG"/>
        </w:rPr>
        <w:t xml:space="preserve">التدابير اللازمة لعقد المؤتمر الدولي بشأن الملكية الفكرية والتنمية المزمع عقده في عام 2016، وتولى تنسيق أنشطة المراجعة المستقلة لتنفيذ توصيات جدول أعمال التنمية، ويسَّر تنفيذ أنشطة جدول أعمال التنمية في الدول الأعضاء. واستمر البرنامج في جهوده الرامية إلى </w:t>
      </w:r>
      <w:r w:rsidR="00353C91" w:rsidRPr="003C151C">
        <w:rPr>
          <w:rFonts w:ascii="Arabic Typesetting" w:hAnsi="Arabic Typesetting" w:cs="Arabic Typesetting"/>
          <w:sz w:val="34"/>
          <w:szCs w:val="34"/>
          <w:rtl/>
          <w:lang w:bidi="ar-EG"/>
        </w:rPr>
        <w:t>ضمان</w:t>
      </w:r>
      <w:r w:rsidR="00353C91">
        <w:rPr>
          <w:rFonts w:ascii="Arabic Typesetting" w:hAnsi="Arabic Typesetting" w:cs="Arabic Typesetting" w:hint="cs"/>
          <w:sz w:val="34"/>
          <w:szCs w:val="34"/>
          <w:rtl/>
          <w:lang w:bidi="ar-EG"/>
        </w:rPr>
        <w:t xml:space="preserve"> الفعالية في</w:t>
      </w:r>
      <w:r w:rsidR="00353C91" w:rsidRPr="003C151C">
        <w:rPr>
          <w:rFonts w:ascii="Arabic Typesetting" w:hAnsi="Arabic Typesetting" w:cs="Arabic Typesetting"/>
          <w:sz w:val="34"/>
          <w:szCs w:val="34"/>
          <w:rtl/>
          <w:lang w:bidi="ar-EG"/>
        </w:rPr>
        <w:t xml:space="preserve"> تنفيذ 19 </w:t>
      </w:r>
      <w:r w:rsidR="00353C91">
        <w:rPr>
          <w:rFonts w:ascii="Arabic Typesetting" w:hAnsi="Arabic Typesetting" w:cs="Arabic Typesetting"/>
          <w:sz w:val="34"/>
          <w:szCs w:val="34"/>
          <w:rtl/>
          <w:lang w:bidi="ar-EG"/>
        </w:rPr>
        <w:t>توصية فورية التنفيذ</w:t>
      </w:r>
      <w:r w:rsidR="00353C91">
        <w:rPr>
          <w:rFonts w:ascii="Arabic Typesetting" w:hAnsi="Arabic Typesetting" w:cs="Arabic Typesetting" w:hint="cs"/>
          <w:sz w:val="34"/>
          <w:szCs w:val="34"/>
          <w:rtl/>
          <w:lang w:bidi="ar-EG"/>
        </w:rPr>
        <w:t>؛ و</w:t>
      </w:r>
      <w:r w:rsidR="003C151C" w:rsidRPr="003C151C">
        <w:rPr>
          <w:rFonts w:ascii="Arabic Typesetting" w:hAnsi="Arabic Typesetting" w:cs="Arabic Typesetting"/>
          <w:sz w:val="34"/>
          <w:szCs w:val="34"/>
          <w:rtl/>
          <w:lang w:bidi="ar-EG"/>
        </w:rPr>
        <w:t>التنسيق من أجل رصد تنفيذ المشروعات التي اعتمدتها اللجنة وتقييم هذا التنفيذ وإعداد تقارير عنه</w:t>
      </w:r>
      <w:r w:rsidR="00353C91">
        <w:rPr>
          <w:rFonts w:ascii="Arabic Typesetting" w:hAnsi="Arabic Typesetting" w:cs="Arabic Typesetting" w:hint="cs"/>
          <w:sz w:val="34"/>
          <w:szCs w:val="34"/>
          <w:rtl/>
          <w:lang w:bidi="ar-EG"/>
        </w:rPr>
        <w:t>؛</w:t>
      </w:r>
      <w:r w:rsidR="003C151C" w:rsidRPr="003C151C">
        <w:rPr>
          <w:rFonts w:ascii="Arabic Typesetting" w:hAnsi="Arabic Typesetting" w:cs="Arabic Typesetting"/>
          <w:sz w:val="34"/>
          <w:szCs w:val="34"/>
          <w:rtl/>
          <w:lang w:bidi="ar-EG"/>
        </w:rPr>
        <w:t xml:space="preserve"> </w:t>
      </w:r>
      <w:r w:rsidR="00310A31">
        <w:rPr>
          <w:rFonts w:ascii="Arabic Typesetting" w:hAnsi="Arabic Typesetting" w:cs="Arabic Typesetting" w:hint="cs"/>
          <w:sz w:val="34"/>
          <w:szCs w:val="34"/>
          <w:rtl/>
          <w:lang w:bidi="ar-EG"/>
        </w:rPr>
        <w:t>و</w:t>
      </w:r>
      <w:r w:rsidR="003C151C" w:rsidRPr="003C151C">
        <w:rPr>
          <w:rFonts w:ascii="Arabic Typesetting" w:hAnsi="Arabic Typesetting" w:cs="Arabic Typesetting"/>
          <w:sz w:val="34"/>
          <w:szCs w:val="34"/>
          <w:rtl/>
          <w:lang w:bidi="ar-EG"/>
        </w:rPr>
        <w:t>تنسيق تنفيذ جميع التوصيات الخمسة والأربعين لجدول أعمال الويبو بشأن التنمية.</w:t>
      </w:r>
    </w:p>
    <w:p w:rsidR="003C151C" w:rsidRPr="009951F7" w:rsidRDefault="003C151C" w:rsidP="00B32938">
      <w:pPr>
        <w:keepNext/>
        <w:autoSpaceDE w:val="0"/>
        <w:autoSpaceDN w:val="0"/>
        <w:bidi/>
        <w:adjustRightInd w:val="0"/>
        <w:spacing w:before="120" w:after="120" w:line="340" w:lineRule="exact"/>
        <w:jc w:val="both"/>
        <w:rPr>
          <w:rFonts w:ascii="Arabic Typesetting" w:hAnsi="Arabic Typesetting" w:cs="Arabic Typesetting"/>
          <w:sz w:val="34"/>
          <w:szCs w:val="34"/>
          <w:lang w:bidi="ar-EG"/>
        </w:rPr>
      </w:pPr>
      <w:r w:rsidRPr="009951F7">
        <w:rPr>
          <w:rFonts w:ascii="Arabic Typesetting" w:hAnsi="Arabic Typesetting" w:cs="Arabic Typesetting"/>
          <w:sz w:val="34"/>
          <w:szCs w:val="34"/>
          <w:rtl/>
        </w:rPr>
        <w:lastRenderedPageBreak/>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32"/>
        <w:gridCol w:w="137"/>
        <w:gridCol w:w="1989"/>
        <w:gridCol w:w="561"/>
        <w:gridCol w:w="1422"/>
        <w:gridCol w:w="2205"/>
        <w:gridCol w:w="60"/>
        <w:gridCol w:w="851"/>
      </w:tblGrid>
      <w:tr w:rsidR="003C151C" w:rsidRPr="00211D55" w:rsidTr="00310A31">
        <w:trPr>
          <w:cantSplit/>
        </w:trPr>
        <w:tc>
          <w:tcPr>
            <w:tcW w:w="5000" w:type="pct"/>
            <w:gridSpan w:val="8"/>
            <w:tcBorders>
              <w:top w:val="single" w:sz="4" w:space="0" w:color="auto"/>
              <w:bottom w:val="single" w:sz="4" w:space="0" w:color="auto"/>
            </w:tcBorders>
            <w:shd w:val="clear" w:color="auto" w:fill="C6D9F1" w:themeFill="text2" w:themeFillTint="33"/>
            <w:vAlign w:val="center"/>
          </w:tcPr>
          <w:p w:rsidR="003C151C" w:rsidRPr="00211D55" w:rsidRDefault="003C151C" w:rsidP="00E00E9F">
            <w:pPr>
              <w:keepNext/>
              <w:bidi/>
              <w:spacing w:after="60" w:line="280" w:lineRule="exact"/>
              <w:ind w:left="1167" w:hanging="1167"/>
              <w:rPr>
                <w:rFonts w:ascii="Arabic Typesetting" w:hAnsi="Arabic Typesetting" w:cs="Arabic Typesetting"/>
                <w:b/>
                <w:bCs/>
                <w:sz w:val="28"/>
                <w:szCs w:val="28"/>
              </w:rPr>
            </w:pPr>
            <w:r w:rsidRPr="00211D55">
              <w:rPr>
                <w:rFonts w:ascii="Arabic Typesetting" w:hAnsi="Arabic Typesetting" w:cs="Arabic Typesetting"/>
                <w:b/>
                <w:bCs/>
                <w:sz w:val="28"/>
                <w:szCs w:val="28"/>
                <w:shd w:val="clear" w:color="auto" w:fill="C6D9F1" w:themeFill="text2" w:themeFillTint="33"/>
                <w:rtl/>
              </w:rPr>
              <w:t>النتيجة المرتقبة:</w:t>
            </w:r>
            <w:r w:rsidRPr="00211D55">
              <w:rPr>
                <w:rFonts w:ascii="Arabic Typesetting" w:hAnsi="Arabic Typesetting" w:cs="Arabic Typesetting"/>
                <w:b/>
                <w:bCs/>
                <w:sz w:val="28"/>
                <w:szCs w:val="28"/>
                <w:rtl/>
              </w:rPr>
              <w:tab/>
            </w:r>
            <w:r w:rsidRPr="00211D55">
              <w:rPr>
                <w:rFonts w:ascii="Arabic Typesetting" w:hAnsi="Arabic Typesetting" w:cs="Arabic Typesetting"/>
                <w:sz w:val="28"/>
                <w:szCs w:val="28"/>
                <w:rtl/>
              </w:rPr>
              <w:t xml:space="preserve">ھ3.3 </w:t>
            </w:r>
            <w:r w:rsidR="0009764C">
              <w:rPr>
                <w:rFonts w:ascii="Arabic Typesetting" w:hAnsi="Arabic Typesetting" w:cs="Arabic Typesetting"/>
                <w:sz w:val="28"/>
                <w:szCs w:val="28"/>
                <w:rtl/>
              </w:rPr>
              <w:t xml:space="preserve">تعميم </w:t>
            </w:r>
            <w:r w:rsidR="0009764C">
              <w:rPr>
                <w:rFonts w:ascii="Arabic Typesetting" w:hAnsi="Arabic Typesetting" w:cs="Arabic Typesetting"/>
                <w:sz w:val="28"/>
                <w:szCs w:val="28"/>
                <w:rtl/>
                <w:lang w:bidi="ar-EG"/>
              </w:rPr>
              <w:t>توصيات</w:t>
            </w:r>
            <w:r w:rsidR="0009764C">
              <w:rPr>
                <w:rFonts w:ascii="Arabic Typesetting" w:hAnsi="Arabic Typesetting" w:cs="Arabic Typesetting"/>
                <w:sz w:val="28"/>
                <w:szCs w:val="28"/>
                <w:rtl/>
              </w:rPr>
              <w:t xml:space="preserve"> جدول أعمال التنمية على عمل الويبو</w:t>
            </w:r>
          </w:p>
        </w:tc>
      </w:tr>
      <w:tr w:rsidR="003C151C" w:rsidRPr="00211D55" w:rsidTr="00310A31">
        <w:trPr>
          <w:cantSplit/>
        </w:trPr>
        <w:tc>
          <w:tcPr>
            <w:tcW w:w="1212" w:type="pct"/>
            <w:gridSpan w:val="2"/>
            <w:tcBorders>
              <w:top w:val="single" w:sz="4" w:space="0" w:color="auto"/>
              <w:left w:val="single" w:sz="4" w:space="0" w:color="auto"/>
              <w:bottom w:val="nil"/>
            </w:tcBorders>
            <w:shd w:val="clear" w:color="auto" w:fill="auto"/>
            <w:vAlign w:val="center"/>
          </w:tcPr>
          <w:p w:rsidR="003C151C" w:rsidRPr="00211D55" w:rsidRDefault="003C151C" w:rsidP="00310A31">
            <w:pPr>
              <w:keepNext/>
              <w:bidi/>
              <w:spacing w:before="60" w:after="60" w:line="280" w:lineRule="exact"/>
              <w:jc w:val="both"/>
              <w:rPr>
                <w:rFonts w:ascii="Arabic Typesetting" w:hAnsi="Arabic Typesetting" w:cs="Arabic Typesetting"/>
                <w:sz w:val="28"/>
                <w:szCs w:val="28"/>
              </w:rPr>
            </w:pPr>
            <w:r w:rsidRPr="00211D55">
              <w:rPr>
                <w:rFonts w:ascii="Arabic Typesetting" w:hAnsi="Arabic Typesetting" w:cs="Arabic Typesetting"/>
                <w:b/>
                <w:bCs/>
                <w:sz w:val="28"/>
                <w:szCs w:val="28"/>
                <w:rtl/>
              </w:rPr>
              <w:t>مؤشرات الأداء</w:t>
            </w:r>
          </w:p>
        </w:tc>
        <w:tc>
          <w:tcPr>
            <w:tcW w:w="1363" w:type="pct"/>
            <w:gridSpan w:val="2"/>
            <w:tcBorders>
              <w:top w:val="single" w:sz="4" w:space="0" w:color="auto"/>
              <w:bottom w:val="nil"/>
            </w:tcBorders>
            <w:shd w:val="clear" w:color="auto" w:fill="auto"/>
            <w:vAlign w:val="center"/>
          </w:tcPr>
          <w:p w:rsidR="003C151C" w:rsidRPr="00211D55" w:rsidRDefault="003C151C" w:rsidP="00310A31">
            <w:pPr>
              <w:keepNext/>
              <w:bidi/>
              <w:spacing w:before="60" w:after="60" w:line="280" w:lineRule="exact"/>
              <w:jc w:val="both"/>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760" w:type="pct"/>
            <w:tcBorders>
              <w:top w:val="single" w:sz="4" w:space="0" w:color="auto"/>
              <w:bottom w:val="nil"/>
            </w:tcBorders>
            <w:shd w:val="clear" w:color="auto" w:fill="auto"/>
            <w:tcMar>
              <w:top w:w="110" w:type="dxa"/>
            </w:tcMar>
            <w:vAlign w:val="center"/>
          </w:tcPr>
          <w:p w:rsidR="003C151C" w:rsidRPr="00211D55" w:rsidRDefault="003C151C" w:rsidP="00310A31">
            <w:pPr>
              <w:keepNext/>
              <w:bidi/>
              <w:spacing w:before="60" w:after="60" w:line="280" w:lineRule="exact"/>
              <w:jc w:val="both"/>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210" w:type="pct"/>
            <w:gridSpan w:val="2"/>
            <w:tcBorders>
              <w:top w:val="single" w:sz="4" w:space="0" w:color="auto"/>
              <w:bottom w:val="nil"/>
            </w:tcBorders>
            <w:shd w:val="clear" w:color="auto" w:fill="FFFFFF"/>
            <w:tcMar>
              <w:top w:w="110" w:type="dxa"/>
            </w:tcMar>
            <w:vAlign w:val="center"/>
          </w:tcPr>
          <w:p w:rsidR="003C151C" w:rsidRPr="00211D55" w:rsidRDefault="003C151C" w:rsidP="00310A31">
            <w:pPr>
              <w:keepNext/>
              <w:bidi/>
              <w:spacing w:before="60" w:after="60" w:line="280" w:lineRule="exact"/>
              <w:jc w:val="both"/>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455" w:type="pct"/>
            <w:tcBorders>
              <w:top w:val="single" w:sz="4" w:space="0" w:color="auto"/>
              <w:bottom w:val="nil"/>
              <w:right w:val="single" w:sz="4" w:space="0" w:color="auto"/>
            </w:tcBorders>
            <w:shd w:val="clear" w:color="auto" w:fill="auto"/>
            <w:tcMar>
              <w:top w:w="110" w:type="dxa"/>
            </w:tcMar>
            <w:vAlign w:val="center"/>
          </w:tcPr>
          <w:p w:rsidR="003C151C" w:rsidRPr="00211D55" w:rsidRDefault="003C151C" w:rsidP="00310A31">
            <w:pPr>
              <w:keepNext/>
              <w:keepLines/>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3C151C" w:rsidRPr="00211D55" w:rsidTr="009951F7">
        <w:trPr>
          <w:cantSplit/>
          <w:trHeight w:val="1356"/>
        </w:trPr>
        <w:tc>
          <w:tcPr>
            <w:tcW w:w="1212" w:type="pct"/>
            <w:gridSpan w:val="2"/>
            <w:tcBorders>
              <w:top w:val="nil"/>
              <w:left w:val="single" w:sz="4" w:space="0" w:color="auto"/>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عدد توصيات جدول أعمال التنمية التي تناولتها اللجنة من خلال المشروعات والأنشطة والدراسات</w:t>
            </w:r>
          </w:p>
        </w:tc>
        <w:tc>
          <w:tcPr>
            <w:tcW w:w="1363" w:type="pct"/>
            <w:gridSpan w:val="2"/>
            <w:tcBorders>
              <w:top w:val="nil"/>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sz w:val="28"/>
                <w:szCs w:val="28"/>
                <w:rtl/>
                <w:lang w:bidi="ar-EG"/>
              </w:rPr>
              <w:t xml:space="preserve">45 </w:t>
            </w:r>
            <w:r w:rsidRPr="00211D55">
              <w:rPr>
                <w:rFonts w:ascii="Arabic Typesetting" w:hAnsi="Arabic Typesetting" w:cs="Arabic Typesetting"/>
                <w:sz w:val="28"/>
                <w:szCs w:val="28"/>
                <w:rtl/>
              </w:rPr>
              <w:t>توصية من توصيات جدول أعمال التنمية</w:t>
            </w:r>
          </w:p>
          <w:p w:rsidR="003C151C" w:rsidRPr="00211D55" w:rsidRDefault="003C151C" w:rsidP="003C151C">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sz w:val="28"/>
                <w:szCs w:val="28"/>
                <w:rtl/>
              </w:rPr>
              <w:t xml:space="preserve"> 42 توصية تناولتها اللجنة في ديسمبر 2011</w:t>
            </w:r>
          </w:p>
        </w:tc>
        <w:tc>
          <w:tcPr>
            <w:tcW w:w="760" w:type="pct"/>
            <w:tcBorders>
              <w:top w:val="nil"/>
              <w:bottom w:val="nil"/>
            </w:tcBorders>
            <w:shd w:val="clear" w:color="auto" w:fill="auto"/>
            <w:tcMar>
              <w:top w:w="110" w:type="dxa"/>
            </w:tcMar>
          </w:tcPr>
          <w:p w:rsidR="003C151C" w:rsidRPr="00211D55" w:rsidRDefault="003C151C" w:rsidP="003C151C">
            <w:pPr>
              <w:bidi/>
              <w:spacing w:before="60" w:after="60" w:line="280" w:lineRule="exact"/>
              <w:rPr>
                <w:rFonts w:ascii="Arabic Typesetting" w:hAnsi="Arabic Typesetting" w:cs="Arabic Typesetting"/>
                <w:sz w:val="28"/>
                <w:szCs w:val="28"/>
                <w:cs/>
                <w:lang w:bidi="th-TH"/>
              </w:rPr>
            </w:pPr>
            <w:r w:rsidRPr="00211D55">
              <w:rPr>
                <w:rFonts w:ascii="Arabic Typesetting" w:hAnsi="Arabic Typesetting" w:cs="Arabic Typesetting"/>
                <w:sz w:val="28"/>
                <w:szCs w:val="28"/>
                <w:rtl/>
              </w:rPr>
              <w:t>أن تتناول اللجنةُ 45 توصيةً</w:t>
            </w:r>
          </w:p>
        </w:tc>
        <w:tc>
          <w:tcPr>
            <w:tcW w:w="1210" w:type="pct"/>
            <w:gridSpan w:val="2"/>
            <w:tcBorders>
              <w:top w:val="nil"/>
              <w:bottom w:val="nil"/>
            </w:tcBorders>
            <w:shd w:val="clear" w:color="auto" w:fill="FFFFFF"/>
            <w:tcMar>
              <w:top w:w="110" w:type="dxa"/>
            </w:tcMar>
          </w:tcPr>
          <w:p w:rsidR="003C151C" w:rsidRPr="00211D55" w:rsidRDefault="002D23CC" w:rsidP="003C151C">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تناولت اللجنة</w:t>
            </w:r>
            <w:r w:rsidR="003C151C" w:rsidRPr="00211D55">
              <w:rPr>
                <w:rFonts w:ascii="Arabic Typesetting" w:hAnsi="Arabic Typesetting" w:cs="Arabic Typesetting"/>
                <w:sz w:val="28"/>
                <w:szCs w:val="28"/>
                <w:rtl/>
              </w:rPr>
              <w:t xml:space="preserve"> 45 توصية من توصيات جدول أعمال التنمية وفقاً للتقرير المرحلي</w:t>
            </w:r>
            <w:r w:rsidR="003C151C" w:rsidRPr="00211D55">
              <w:rPr>
                <w:rFonts w:ascii="Arabic Typesetting" w:hAnsi="Arabic Typesetting" w:cs="Arabic Typesetting"/>
                <w:sz w:val="28"/>
                <w:szCs w:val="28"/>
                <w:rtl/>
                <w:lang w:bidi="ar-EG"/>
              </w:rPr>
              <w:t xml:space="preserve"> </w:t>
            </w:r>
            <w:r w:rsidR="003C151C" w:rsidRPr="00211D55">
              <w:rPr>
                <w:rFonts w:ascii="Arabic Typesetting" w:hAnsi="Arabic Typesetting" w:cs="Arabic Typesetting"/>
                <w:sz w:val="28"/>
                <w:szCs w:val="28"/>
                <w:lang w:bidi="th-TH"/>
              </w:rPr>
              <w:t>(CDIP/14/2)</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CDIP/16/2</w:t>
            </w:r>
            <w:r w:rsidRPr="00211D55">
              <w:rPr>
                <w:rFonts w:ascii="Arabic Typesetting" w:hAnsi="Arabic Typesetting" w:cs="Arabic Typesetting"/>
                <w:sz w:val="28"/>
                <w:szCs w:val="28"/>
                <w:rtl/>
              </w:rPr>
              <w:t>)</w:t>
            </w:r>
          </w:p>
        </w:tc>
        <w:tc>
          <w:tcPr>
            <w:tcW w:w="455" w:type="pct"/>
            <w:tcBorders>
              <w:top w:val="nil"/>
              <w:bottom w:val="nil"/>
              <w:right w:val="single" w:sz="4" w:space="0" w:color="auto"/>
            </w:tcBorders>
            <w:shd w:val="clear" w:color="auto" w:fill="auto"/>
            <w:tcMar>
              <w:top w:w="110" w:type="dxa"/>
            </w:tcMar>
          </w:tcPr>
          <w:p w:rsidR="003C151C" w:rsidRPr="00211D55" w:rsidRDefault="002D23CC" w:rsidP="003C151C">
            <w:pPr>
              <w:keepNext/>
              <w:keepLines/>
              <w:bidi/>
              <w:spacing w:before="60" w:after="60" w:line="28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r w:rsidR="005A7D53" w:rsidRPr="00211D55" w:rsidTr="00310A31">
        <w:trPr>
          <w:cantSplit/>
        </w:trPr>
        <w:tc>
          <w:tcPr>
            <w:tcW w:w="1212" w:type="pct"/>
            <w:gridSpan w:val="2"/>
            <w:tcBorders>
              <w:top w:val="nil"/>
              <w:left w:val="single" w:sz="4" w:space="0" w:color="auto"/>
              <w:bottom w:val="nil"/>
            </w:tcBorders>
            <w:shd w:val="clear" w:color="auto" w:fill="auto"/>
          </w:tcPr>
          <w:p w:rsidR="005A7D53" w:rsidRPr="00211D55" w:rsidRDefault="005A7D53" w:rsidP="003C151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نسبة رضا الدول الأعضاء عن نتائج المشروعات والأنشطة والدراسات</w:t>
            </w:r>
          </w:p>
        </w:tc>
        <w:tc>
          <w:tcPr>
            <w:tcW w:w="1363" w:type="pct"/>
            <w:gridSpan w:val="2"/>
            <w:tcBorders>
              <w:top w:val="nil"/>
              <w:bottom w:val="nil"/>
            </w:tcBorders>
            <w:shd w:val="clear" w:color="auto" w:fill="auto"/>
          </w:tcPr>
          <w:p w:rsidR="005A7D53" w:rsidRPr="00211D55" w:rsidRDefault="005A7D53" w:rsidP="00310A31">
            <w:pPr>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sz w:val="28"/>
                <w:szCs w:val="28"/>
                <w:rtl/>
              </w:rPr>
              <w:t>80%</w:t>
            </w:r>
          </w:p>
        </w:tc>
        <w:tc>
          <w:tcPr>
            <w:tcW w:w="760" w:type="pct"/>
            <w:tcBorders>
              <w:top w:val="nil"/>
              <w:bottom w:val="nil"/>
            </w:tcBorders>
            <w:shd w:val="clear" w:color="auto" w:fill="auto"/>
            <w:tcMar>
              <w:top w:w="110" w:type="dxa"/>
            </w:tcMar>
          </w:tcPr>
          <w:p w:rsidR="005A7D53" w:rsidRPr="00211D55" w:rsidRDefault="005A7D53" w:rsidP="003C151C">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80%</w:t>
            </w:r>
          </w:p>
        </w:tc>
        <w:tc>
          <w:tcPr>
            <w:tcW w:w="1210" w:type="pct"/>
            <w:gridSpan w:val="2"/>
            <w:tcBorders>
              <w:top w:val="nil"/>
              <w:bottom w:val="nil"/>
            </w:tcBorders>
            <w:shd w:val="clear" w:color="auto" w:fill="FFFFFF"/>
            <w:tcMar>
              <w:top w:w="110" w:type="dxa"/>
            </w:tcMar>
          </w:tcPr>
          <w:p w:rsidR="005A7D53" w:rsidRPr="00211D55" w:rsidRDefault="005A7D53" w:rsidP="005A7D53">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استناداً إلى مناقشات اللجنة المعنية بالتنمية والملكية الفكرية بشأن "1" تقريرين من تقارير المدير العام السنوية بشأن تنفيذ جدول أعمال التنمية، "2" وتقريرين من التقارير المرحلية عن تنفيذ التوصيات الفورية التنفيذ ومشروعات جدول أعمال التنمية، "3" وأحد عشر تقريراً مستقلاً وتقرير تقييم ذاتي واحد لمشروعات جدول أعمال التنمية، أعربت الدول </w:t>
            </w:r>
            <w:proofErr w:type="spellStart"/>
            <w:r w:rsidRPr="00211D55">
              <w:rPr>
                <w:rFonts w:ascii="Arabic Typesetting" w:hAnsi="Arabic Typesetting" w:cs="Arabic Typesetting"/>
                <w:sz w:val="28"/>
                <w:szCs w:val="28"/>
                <w:rtl/>
              </w:rPr>
              <w:t>الأعضاءعن</w:t>
            </w:r>
            <w:proofErr w:type="spellEnd"/>
            <w:r w:rsidRPr="00211D55">
              <w:rPr>
                <w:rFonts w:ascii="Arabic Typesetting" w:hAnsi="Arabic Typesetting" w:cs="Arabic Typesetting"/>
                <w:sz w:val="28"/>
                <w:szCs w:val="28"/>
                <w:rtl/>
              </w:rPr>
              <w:t xml:space="preserve"> رضاها عن نتائج ال</w:t>
            </w:r>
            <w:r w:rsidR="00FB2BCA">
              <w:rPr>
                <w:rFonts w:ascii="Arabic Typesetting" w:hAnsi="Arabic Typesetting" w:cs="Arabic Typesetting"/>
                <w:sz w:val="28"/>
                <w:szCs w:val="28"/>
                <w:rtl/>
              </w:rPr>
              <w:t>مشروعات</w:t>
            </w:r>
            <w:r w:rsidRPr="00211D55">
              <w:rPr>
                <w:rFonts w:ascii="Arabic Typesetting" w:hAnsi="Arabic Typesetting" w:cs="Arabic Typesetting"/>
                <w:sz w:val="28"/>
                <w:szCs w:val="28"/>
                <w:rtl/>
              </w:rPr>
              <w:t xml:space="preserve"> والأنشطة والدراسات في 83% من الحالات.</w:t>
            </w:r>
          </w:p>
        </w:tc>
        <w:tc>
          <w:tcPr>
            <w:tcW w:w="455" w:type="pct"/>
            <w:tcBorders>
              <w:top w:val="nil"/>
              <w:bottom w:val="nil"/>
              <w:right w:val="single" w:sz="4" w:space="0" w:color="auto"/>
            </w:tcBorders>
            <w:shd w:val="clear" w:color="auto" w:fill="auto"/>
            <w:tcMar>
              <w:top w:w="110" w:type="dxa"/>
            </w:tcMar>
          </w:tcPr>
          <w:p w:rsidR="005A7D53" w:rsidRPr="00211D55" w:rsidRDefault="005A7D53" w:rsidP="00DE6751">
            <w:pPr>
              <w:keepNext/>
              <w:keepLines/>
              <w:bidi/>
              <w:spacing w:before="60" w:after="60" w:line="28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r w:rsidR="003C151C" w:rsidRPr="00211D55" w:rsidTr="00E00E9F">
        <w:trPr>
          <w:cantSplit/>
        </w:trPr>
        <w:tc>
          <w:tcPr>
            <w:tcW w:w="1212" w:type="pct"/>
            <w:gridSpan w:val="2"/>
            <w:tcBorders>
              <w:top w:val="nil"/>
              <w:left w:val="single" w:sz="4" w:space="0" w:color="auto"/>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تنفيذ آلية التنسيق على النحو الذي اعتمدته الدول الأعضاء</w:t>
            </w:r>
          </w:p>
        </w:tc>
        <w:tc>
          <w:tcPr>
            <w:tcW w:w="1363" w:type="pct"/>
            <w:gridSpan w:val="2"/>
            <w:tcBorders>
              <w:top w:val="nil"/>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color w:val="002060"/>
                <w:sz w:val="28"/>
                <w:szCs w:val="28"/>
                <w:lang w:bidi="th-TH"/>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sz w:val="28"/>
                <w:szCs w:val="28"/>
                <w:rtl/>
              </w:rPr>
              <w:t xml:space="preserve">تقريران سنويان مُقدَّمان إلى الجمعيات بشأن وصف مساهمة هيئات الويبو في تنفيذ ما يعنيها من توصيات جدول أعمال التنمية، ناقشتهما اللجنة المعنية بالتنمية والملكية الفكرية </w:t>
            </w:r>
            <w:r w:rsidRPr="00211D55">
              <w:rPr>
                <w:rFonts w:ascii="Arabic Typesetting" w:hAnsi="Arabic Typesetting" w:cs="Arabic Typesetting"/>
                <w:sz w:val="28"/>
                <w:szCs w:val="28"/>
              </w:rPr>
              <w:t>(WO/GA/41/12</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WO/GA/43/10</w:t>
            </w:r>
            <w:r w:rsidRPr="00211D55">
              <w:rPr>
                <w:rFonts w:ascii="Arabic Typesetting" w:hAnsi="Arabic Typesetting" w:cs="Arabic Typesetting"/>
                <w:sz w:val="28"/>
                <w:szCs w:val="28"/>
                <w:rtl/>
              </w:rPr>
              <w:t>).</w:t>
            </w:r>
            <w:r w:rsidRPr="00F96634">
              <w:rPr>
                <w:rFonts w:ascii="Arabic Typesetting" w:hAnsi="Arabic Typesetting" w:cs="Arabic Typesetting"/>
                <w:sz w:val="28"/>
                <w:szCs w:val="28"/>
                <w:vertAlign w:val="superscript"/>
                <w:lang w:bidi="th-TH"/>
              </w:rPr>
              <w:footnoteReference w:id="52"/>
            </w:r>
          </w:p>
          <w:p w:rsidR="003C151C" w:rsidRPr="00211D55" w:rsidRDefault="003C151C" w:rsidP="003C151C">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sz w:val="28"/>
                <w:szCs w:val="28"/>
                <w:rtl/>
              </w:rPr>
              <w:t xml:space="preserve"> آليات التنسيق وإجراءات الرصد والتقييم وإعداد التقارير التي وافقت عليها اللجنة في أبريل 2010</w:t>
            </w:r>
          </w:p>
        </w:tc>
        <w:tc>
          <w:tcPr>
            <w:tcW w:w="760" w:type="pct"/>
            <w:tcBorders>
              <w:top w:val="nil"/>
              <w:bottom w:val="nil"/>
            </w:tcBorders>
            <w:shd w:val="clear" w:color="auto" w:fill="auto"/>
            <w:tcMar>
              <w:top w:w="110" w:type="dxa"/>
            </w:tcMar>
          </w:tcPr>
          <w:p w:rsidR="003C151C" w:rsidRPr="00211D55" w:rsidRDefault="003C151C" w:rsidP="003C151C">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تنفيذ آليات التنسيق وفقاً لقرار الدول الأعضاء</w:t>
            </w:r>
          </w:p>
        </w:tc>
        <w:tc>
          <w:tcPr>
            <w:tcW w:w="1210" w:type="pct"/>
            <w:gridSpan w:val="2"/>
            <w:tcBorders>
              <w:top w:val="nil"/>
              <w:bottom w:val="nil"/>
            </w:tcBorders>
            <w:shd w:val="clear" w:color="auto" w:fill="FFFFFF"/>
            <w:tcMar>
              <w:top w:w="110" w:type="dxa"/>
            </w:tcMar>
          </w:tcPr>
          <w:p w:rsidR="003C151C" w:rsidRPr="00211D55" w:rsidRDefault="003C151C" w:rsidP="00F60B87">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آليات التنسيق المُنفَّذة وفقاً لقرار الدول الأعضاء على النحو المُفصَّل في تقرير المدير العام بشأن تنفيذ جدول أعمال التنمية</w:t>
            </w:r>
            <w:r w:rsidR="00F60B87">
              <w:rPr>
                <w:rFonts w:ascii="Arabic Typesetting" w:hAnsi="Arabic Typesetting" w:cs="Arabic Typesetting" w:hint="cs"/>
                <w:sz w:val="28"/>
                <w:szCs w:val="28"/>
                <w:rtl/>
              </w:rPr>
              <w:t xml:space="preserve"> </w:t>
            </w:r>
            <w:r w:rsidR="00F60B87" w:rsidRPr="00211D55">
              <w:rPr>
                <w:rFonts w:ascii="Arabic Typesetting" w:hAnsi="Arabic Typesetting" w:cs="Arabic Typesetting"/>
                <w:sz w:val="28"/>
                <w:szCs w:val="28"/>
                <w:lang w:bidi="th-TH"/>
              </w:rPr>
              <w:t>(CDIP/15/2)</w:t>
            </w:r>
            <w:r w:rsidR="00F60B87">
              <w:rPr>
                <w:rFonts w:ascii="Arabic Typesetting" w:hAnsi="Arabic Typesetting" w:cs="Arabic Typesetting" w:hint="cs"/>
                <w:sz w:val="28"/>
                <w:szCs w:val="28"/>
                <w:rtl/>
              </w:rPr>
              <w:t xml:space="preserve"> </w:t>
            </w:r>
            <w:r w:rsidR="005A7D53" w:rsidRPr="00211D55">
              <w:rPr>
                <w:rFonts w:ascii="Arabic Typesetting" w:hAnsi="Arabic Typesetting" w:cs="Arabic Typesetting"/>
                <w:sz w:val="28"/>
                <w:szCs w:val="28"/>
                <w:rtl/>
              </w:rPr>
              <w:t>و(</w:t>
            </w:r>
            <w:r w:rsidR="005A7D53" w:rsidRPr="00211D55">
              <w:rPr>
                <w:rFonts w:ascii="Arabic Typesetting" w:hAnsi="Arabic Typesetting" w:cs="Arabic Typesetting"/>
                <w:sz w:val="28"/>
                <w:szCs w:val="28"/>
              </w:rPr>
              <w:t>CDIP/17/2</w:t>
            </w:r>
            <w:r w:rsidR="005A7D53" w:rsidRPr="00211D55">
              <w:rPr>
                <w:rFonts w:ascii="Arabic Typesetting" w:hAnsi="Arabic Typesetting" w:cs="Arabic Typesetting"/>
                <w:sz w:val="28"/>
                <w:szCs w:val="28"/>
                <w:rtl/>
              </w:rPr>
              <w:t>).</w:t>
            </w:r>
          </w:p>
        </w:tc>
        <w:tc>
          <w:tcPr>
            <w:tcW w:w="455" w:type="pct"/>
            <w:tcBorders>
              <w:top w:val="nil"/>
              <w:bottom w:val="nil"/>
              <w:right w:val="single" w:sz="4" w:space="0" w:color="auto"/>
            </w:tcBorders>
            <w:shd w:val="clear" w:color="auto" w:fill="auto"/>
            <w:tcMar>
              <w:top w:w="110" w:type="dxa"/>
            </w:tcMar>
          </w:tcPr>
          <w:p w:rsidR="003C151C" w:rsidRPr="00211D55" w:rsidRDefault="005A7D53" w:rsidP="003C151C">
            <w:pPr>
              <w:keepNext/>
              <w:keepLines/>
              <w:bidi/>
              <w:spacing w:before="60" w:after="60" w:line="280" w:lineRule="exact"/>
              <w:jc w:val="center"/>
              <w:rPr>
                <w:rFonts w:ascii="Arabic Typesetting" w:hAnsi="Arabic Typesetting" w:cs="Arabic Typesetting"/>
                <w:bCs/>
                <w:sz w:val="28"/>
                <w:szCs w:val="28"/>
              </w:rPr>
            </w:pPr>
            <w:r w:rsidRPr="00211D55">
              <w:rPr>
                <w:rFonts w:ascii="Arabic Typesetting" w:hAnsi="Arabic Typesetting" w:cs="Arabic Typesetting"/>
                <w:b/>
                <w:bCs/>
                <w:color w:val="00B050"/>
                <w:sz w:val="28"/>
                <w:szCs w:val="28"/>
                <w:rtl/>
              </w:rPr>
              <w:t>محقق كلياً</w:t>
            </w:r>
          </w:p>
        </w:tc>
      </w:tr>
      <w:tr w:rsidR="003C151C" w:rsidRPr="00211D55" w:rsidTr="00E00E9F">
        <w:trPr>
          <w:cantSplit/>
          <w:trHeight w:val="1184"/>
        </w:trPr>
        <w:tc>
          <w:tcPr>
            <w:tcW w:w="1212" w:type="pct"/>
            <w:gridSpan w:val="2"/>
            <w:tcBorders>
              <w:top w:val="nil"/>
              <w:left w:val="single" w:sz="4" w:space="0" w:color="auto"/>
              <w:bottom w:val="single" w:sz="4" w:space="0" w:color="auto"/>
            </w:tcBorders>
            <w:shd w:val="clear" w:color="auto" w:fill="auto"/>
          </w:tcPr>
          <w:p w:rsidR="003C151C" w:rsidRPr="00211D55" w:rsidRDefault="003C151C" w:rsidP="003C151C">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عدد البرامج التي تُعمّم فيها توصيات جدول أعمال التنمية على عمل الويبو العادي</w:t>
            </w:r>
          </w:p>
        </w:tc>
        <w:tc>
          <w:tcPr>
            <w:tcW w:w="1363" w:type="pct"/>
            <w:gridSpan w:val="2"/>
            <w:tcBorders>
              <w:top w:val="nil"/>
              <w:bottom w:val="single" w:sz="4" w:space="0" w:color="auto"/>
            </w:tcBorders>
            <w:shd w:val="clear" w:color="auto" w:fill="auto"/>
          </w:tcPr>
          <w:p w:rsidR="003C151C" w:rsidRPr="00211D55" w:rsidRDefault="003C151C" w:rsidP="003C151C">
            <w:pPr>
              <w:bidi/>
              <w:spacing w:before="60" w:after="60" w:line="280" w:lineRule="exact"/>
              <w:rPr>
                <w:rFonts w:ascii="Arabic Typesetting" w:hAnsi="Arabic Typesetting" w:cs="Arabic Typesetting"/>
                <w:color w:val="002060"/>
                <w:sz w:val="28"/>
                <w:szCs w:val="28"/>
                <w:lang w:bidi="th-TH"/>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color w:val="002060"/>
                <w:sz w:val="28"/>
                <w:szCs w:val="28"/>
                <w:rtl/>
                <w:lang w:bidi="ar-EG"/>
              </w:rPr>
              <w:t xml:space="preserve"> يشتمل 23 </w:t>
            </w:r>
            <w:r w:rsidRPr="00211D55">
              <w:rPr>
                <w:rFonts w:ascii="Arabic Typesetting" w:hAnsi="Arabic Typesetting" w:cs="Arabic Typesetting"/>
                <w:color w:val="002060"/>
                <w:sz w:val="28"/>
                <w:szCs w:val="28"/>
                <w:rtl/>
              </w:rPr>
              <w:t>برنامجاً على أنشطة تتعلق بجدول أعمال التنمية (كلياً أو جزئياً)</w:t>
            </w:r>
          </w:p>
          <w:p w:rsidR="003C151C" w:rsidRPr="00211D55" w:rsidRDefault="003C151C" w:rsidP="003C151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sz w:val="28"/>
                <w:szCs w:val="28"/>
                <w:rtl/>
              </w:rPr>
              <w:t xml:space="preserve"> يُحدَّد لاحقاً</w:t>
            </w:r>
          </w:p>
        </w:tc>
        <w:tc>
          <w:tcPr>
            <w:tcW w:w="760" w:type="pct"/>
            <w:tcBorders>
              <w:top w:val="nil"/>
              <w:bottom w:val="single" w:sz="4" w:space="0" w:color="auto"/>
            </w:tcBorders>
            <w:shd w:val="clear" w:color="auto" w:fill="auto"/>
            <w:tcMar>
              <w:top w:w="110" w:type="dxa"/>
            </w:tcMar>
          </w:tcPr>
          <w:p w:rsidR="003C151C" w:rsidRPr="00211D55" w:rsidRDefault="003C151C" w:rsidP="003C151C">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20</w:t>
            </w:r>
          </w:p>
        </w:tc>
        <w:tc>
          <w:tcPr>
            <w:tcW w:w="1210" w:type="pct"/>
            <w:gridSpan w:val="2"/>
            <w:tcBorders>
              <w:top w:val="nil"/>
              <w:bottom w:val="single" w:sz="4" w:space="0" w:color="auto"/>
            </w:tcBorders>
            <w:shd w:val="clear" w:color="auto" w:fill="FFFFFF"/>
            <w:tcMar>
              <w:top w:w="110" w:type="dxa"/>
            </w:tcMar>
          </w:tcPr>
          <w:p w:rsidR="003C151C" w:rsidRPr="00211D55" w:rsidRDefault="003C151C" w:rsidP="0010646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تحتوي وثيقة البرنامج والميزانية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xml:space="preserve"> على 23 برنامجاً </w:t>
            </w:r>
            <w:proofErr w:type="spellStart"/>
            <w:r w:rsidR="0010646F" w:rsidRPr="00211D55">
              <w:rPr>
                <w:rFonts w:ascii="Arabic Typesetting" w:hAnsi="Arabic Typesetting" w:cs="Arabic Typesetting"/>
                <w:sz w:val="28"/>
                <w:szCs w:val="28"/>
                <w:rtl/>
              </w:rPr>
              <w:t>يتجلي</w:t>
            </w:r>
            <w:proofErr w:type="spellEnd"/>
            <w:r w:rsidR="0010646F" w:rsidRPr="00211D55">
              <w:rPr>
                <w:rFonts w:ascii="Arabic Typesetting" w:hAnsi="Arabic Typesetting" w:cs="Arabic Typesetting"/>
                <w:sz w:val="28"/>
                <w:szCs w:val="28"/>
                <w:rtl/>
              </w:rPr>
              <w:t xml:space="preserve"> فيه</w:t>
            </w:r>
            <w:r w:rsidRPr="00211D55">
              <w:rPr>
                <w:rFonts w:ascii="Arabic Typesetting" w:hAnsi="Arabic Typesetting" w:cs="Arabic Typesetting"/>
                <w:sz w:val="28"/>
                <w:szCs w:val="28"/>
                <w:rtl/>
              </w:rPr>
              <w:t xml:space="preserve"> تعميم أنشطة جدول أعمال التنمية</w:t>
            </w:r>
          </w:p>
        </w:tc>
        <w:tc>
          <w:tcPr>
            <w:tcW w:w="455" w:type="pct"/>
            <w:tcBorders>
              <w:top w:val="nil"/>
              <w:bottom w:val="single" w:sz="4" w:space="0" w:color="auto"/>
              <w:right w:val="single" w:sz="4" w:space="0" w:color="auto"/>
            </w:tcBorders>
            <w:shd w:val="clear" w:color="auto" w:fill="auto"/>
            <w:tcMar>
              <w:top w:w="110" w:type="dxa"/>
            </w:tcMar>
          </w:tcPr>
          <w:p w:rsidR="003C151C" w:rsidRPr="00211D55" w:rsidRDefault="0010646F" w:rsidP="003C151C">
            <w:pPr>
              <w:keepNext/>
              <w:keepLines/>
              <w:bidi/>
              <w:spacing w:before="60" w:after="60" w:line="280" w:lineRule="exact"/>
              <w:jc w:val="center"/>
              <w:rPr>
                <w:rFonts w:ascii="Arabic Typesetting" w:hAnsi="Arabic Typesetting" w:cs="Arabic Typesetting"/>
                <w:bCs/>
                <w:sz w:val="28"/>
                <w:szCs w:val="28"/>
              </w:rPr>
            </w:pPr>
            <w:r w:rsidRPr="00211D55">
              <w:rPr>
                <w:rFonts w:ascii="Arabic Typesetting" w:hAnsi="Arabic Typesetting" w:cs="Arabic Typesetting"/>
                <w:b/>
                <w:bCs/>
                <w:color w:val="00B050"/>
                <w:sz w:val="28"/>
                <w:szCs w:val="28"/>
                <w:rtl/>
              </w:rPr>
              <w:t>محقق كلياً</w:t>
            </w:r>
          </w:p>
        </w:tc>
      </w:tr>
      <w:tr w:rsidR="003C151C" w:rsidRPr="00211D55" w:rsidTr="00E00E9F">
        <w:trPr>
          <w:cantSplit/>
        </w:trPr>
        <w:tc>
          <w:tcPr>
            <w:tcW w:w="1212" w:type="pct"/>
            <w:gridSpan w:val="2"/>
            <w:tcBorders>
              <w:top w:val="single" w:sz="4" w:space="0" w:color="auto"/>
              <w:left w:val="single" w:sz="4" w:space="0" w:color="auto"/>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lastRenderedPageBreak/>
              <w:t>عدد مشروعات جدول أعمال التنمية التي عُمّمت على عمل الويبو العادي (وضع القواعد والمعايير، والمساعدة التقنية، وتقديم الخدمات) والطريقة التي عُمّمت بها</w:t>
            </w:r>
          </w:p>
        </w:tc>
        <w:tc>
          <w:tcPr>
            <w:tcW w:w="1363" w:type="pct"/>
            <w:gridSpan w:val="2"/>
            <w:tcBorders>
              <w:top w:val="single" w:sz="4" w:space="0" w:color="auto"/>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color w:val="002060"/>
                <w:sz w:val="28"/>
                <w:szCs w:val="28"/>
                <w:lang w:bidi="ar-EG"/>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color w:val="002060"/>
                <w:sz w:val="28"/>
                <w:szCs w:val="28"/>
                <w:rtl/>
                <w:lang w:bidi="ar-EG"/>
              </w:rPr>
              <w:t xml:space="preserve"> 6 </w:t>
            </w:r>
            <w:r w:rsidRPr="00211D55">
              <w:rPr>
                <w:rFonts w:ascii="Arabic Typesetting" w:hAnsi="Arabic Typesetting" w:cs="Arabic Typesetting"/>
                <w:color w:val="002060"/>
                <w:sz w:val="28"/>
                <w:szCs w:val="28"/>
                <w:rtl/>
              </w:rPr>
              <w:t>مشروعات من مشروعات جدول أعمال التنمية عُمّمت على عمل الويبو العادي</w:t>
            </w:r>
          </w:p>
          <w:p w:rsidR="003C151C" w:rsidRPr="00211D55" w:rsidRDefault="003C151C" w:rsidP="0010646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sz w:val="28"/>
                <w:szCs w:val="28"/>
                <w:rtl/>
              </w:rPr>
              <w:t xml:space="preserve"> يُحدَّد لاحقاً</w:t>
            </w:r>
          </w:p>
        </w:tc>
        <w:tc>
          <w:tcPr>
            <w:tcW w:w="760" w:type="pct"/>
            <w:tcBorders>
              <w:top w:val="single" w:sz="4" w:space="0" w:color="auto"/>
              <w:bottom w:val="nil"/>
            </w:tcBorders>
            <w:shd w:val="clear" w:color="auto" w:fill="auto"/>
            <w:tcMar>
              <w:top w:w="110" w:type="dxa"/>
            </w:tcMar>
          </w:tcPr>
          <w:p w:rsidR="003C151C" w:rsidRPr="00211D55" w:rsidRDefault="003C151C" w:rsidP="003C151C">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12</w:t>
            </w:r>
            <w:r w:rsidR="0010646F" w:rsidRPr="00211D55">
              <w:rPr>
                <w:rFonts w:ascii="Arabic Typesetting" w:hAnsi="Arabic Typesetting" w:cs="Arabic Typesetting"/>
                <w:sz w:val="28"/>
                <w:szCs w:val="28"/>
                <w:rtl/>
              </w:rPr>
              <w:t xml:space="preserve"> التراكمي</w:t>
            </w:r>
          </w:p>
        </w:tc>
        <w:tc>
          <w:tcPr>
            <w:tcW w:w="1210" w:type="pct"/>
            <w:gridSpan w:val="2"/>
            <w:tcBorders>
              <w:top w:val="single" w:sz="4" w:space="0" w:color="auto"/>
              <w:bottom w:val="nil"/>
            </w:tcBorders>
            <w:shd w:val="clear" w:color="auto" w:fill="FFFFFF"/>
            <w:tcMar>
              <w:top w:w="110" w:type="dxa"/>
            </w:tcMar>
          </w:tcPr>
          <w:p w:rsidR="003C151C" w:rsidRPr="00211D55" w:rsidRDefault="007642ED" w:rsidP="002F204A">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rPr>
              <w:t>عُممت</w:t>
            </w:r>
            <w:r w:rsidR="003C151C" w:rsidRPr="00211D55">
              <w:rPr>
                <w:rFonts w:ascii="Arabic Typesetting" w:hAnsi="Arabic Typesetting" w:cs="Arabic Typesetting"/>
                <w:sz w:val="28"/>
                <w:szCs w:val="28"/>
                <w:rtl/>
              </w:rPr>
              <w:t xml:space="preserve"> أربعة مشروعات إضافية من مشروعات جدول أعمال التنمية في </w:t>
            </w:r>
            <w:r w:rsidR="00507DE2">
              <w:rPr>
                <w:rFonts w:ascii="Arabic Typesetting" w:hAnsi="Arabic Typesetting" w:cs="Arabic Typesetting"/>
                <w:sz w:val="28"/>
                <w:szCs w:val="28"/>
                <w:rtl/>
              </w:rPr>
              <w:t>2014/15</w:t>
            </w:r>
            <w:r w:rsidR="003C151C" w:rsidRPr="00211D55">
              <w:rPr>
                <w:rFonts w:ascii="Arabic Typesetting" w:hAnsi="Arabic Typesetting" w:cs="Arabic Typesetting"/>
                <w:sz w:val="28"/>
                <w:szCs w:val="28"/>
                <w:rtl/>
              </w:rPr>
              <w:t>. (</w:t>
            </w:r>
            <w:r w:rsidR="002F204A">
              <w:rPr>
                <w:rFonts w:ascii="Arabic Typesetting" w:hAnsi="Arabic Typesetting" w:cs="Arabic Typesetting" w:hint="cs"/>
                <w:sz w:val="28"/>
                <w:szCs w:val="28"/>
                <w:rtl/>
              </w:rPr>
              <w:t>10 التراكمي</w:t>
            </w:r>
            <w:r w:rsidR="003C151C" w:rsidRPr="00211D55">
              <w:rPr>
                <w:rFonts w:ascii="Arabic Typesetting" w:hAnsi="Arabic Typesetting" w:cs="Arabic Typesetting"/>
                <w:sz w:val="28"/>
                <w:szCs w:val="28"/>
                <w:rtl/>
              </w:rPr>
              <w:t>)</w:t>
            </w:r>
          </w:p>
          <w:p w:rsidR="003C151C" w:rsidRPr="00211D55" w:rsidRDefault="003C151C" w:rsidP="009A3712">
            <w:pPr>
              <w:numPr>
                <w:ilvl w:val="0"/>
                <w:numId w:val="13"/>
              </w:numPr>
              <w:bidi/>
              <w:spacing w:before="60" w:after="60" w:line="280" w:lineRule="exact"/>
              <w:ind w:left="0" w:firstLine="0"/>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الأكاديميات الوطنية الناشئة في البرنامج 11 (المساعدة التقنية)</w:t>
            </w:r>
          </w:p>
        </w:tc>
        <w:tc>
          <w:tcPr>
            <w:tcW w:w="455" w:type="pct"/>
            <w:tcBorders>
              <w:top w:val="single" w:sz="4" w:space="0" w:color="auto"/>
              <w:bottom w:val="nil"/>
              <w:right w:val="single" w:sz="4" w:space="0" w:color="auto"/>
            </w:tcBorders>
            <w:shd w:val="clear" w:color="auto" w:fill="auto"/>
            <w:tcMar>
              <w:top w:w="110" w:type="dxa"/>
            </w:tcMar>
          </w:tcPr>
          <w:p w:rsidR="003C151C" w:rsidRPr="00211D55" w:rsidRDefault="0010646F" w:rsidP="003C151C">
            <w:pPr>
              <w:keepNext/>
              <w:keepLines/>
              <w:bidi/>
              <w:spacing w:before="60" w:after="60" w:line="280" w:lineRule="exact"/>
              <w:jc w:val="center"/>
              <w:rPr>
                <w:rFonts w:ascii="Arabic Typesetting" w:hAnsi="Arabic Typesetting" w:cs="Arabic Typesetting"/>
                <w:bCs/>
                <w:sz w:val="28"/>
                <w:szCs w:val="28"/>
              </w:rPr>
            </w:pPr>
            <w:r w:rsidRPr="00211D55">
              <w:rPr>
                <w:rFonts w:ascii="Arabic Typesetting" w:hAnsi="Arabic Typesetting" w:cs="Arabic Typesetting"/>
                <w:b/>
                <w:bCs/>
                <w:color w:val="00B050"/>
                <w:sz w:val="28"/>
                <w:szCs w:val="28"/>
                <w:rtl/>
              </w:rPr>
              <w:t>محقق كلياً</w:t>
            </w:r>
          </w:p>
        </w:tc>
      </w:tr>
      <w:tr w:rsidR="003C151C" w:rsidRPr="00211D55" w:rsidTr="0010646F">
        <w:trPr>
          <w:cantSplit/>
        </w:trPr>
        <w:tc>
          <w:tcPr>
            <w:tcW w:w="1212" w:type="pct"/>
            <w:gridSpan w:val="2"/>
            <w:tcBorders>
              <w:top w:val="nil"/>
              <w:left w:val="single" w:sz="4" w:space="0" w:color="auto"/>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sz w:val="28"/>
                <w:szCs w:val="28"/>
                <w:rtl/>
              </w:rPr>
            </w:pPr>
          </w:p>
        </w:tc>
        <w:tc>
          <w:tcPr>
            <w:tcW w:w="1363" w:type="pct"/>
            <w:gridSpan w:val="2"/>
            <w:tcBorders>
              <w:top w:val="nil"/>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color w:val="002060"/>
                <w:sz w:val="28"/>
                <w:szCs w:val="28"/>
                <w:rtl/>
              </w:rPr>
            </w:pPr>
          </w:p>
        </w:tc>
        <w:tc>
          <w:tcPr>
            <w:tcW w:w="760" w:type="pct"/>
            <w:tcBorders>
              <w:top w:val="nil"/>
              <w:bottom w:val="nil"/>
            </w:tcBorders>
            <w:shd w:val="clear" w:color="auto" w:fill="auto"/>
            <w:tcMar>
              <w:top w:w="110" w:type="dxa"/>
            </w:tcMar>
          </w:tcPr>
          <w:p w:rsidR="003C151C" w:rsidRPr="00211D55" w:rsidRDefault="003C151C" w:rsidP="003C151C">
            <w:pPr>
              <w:autoSpaceDE w:val="0"/>
              <w:autoSpaceDN w:val="0"/>
              <w:bidi/>
              <w:adjustRightInd w:val="0"/>
              <w:spacing w:before="60" w:after="60" w:line="280" w:lineRule="exact"/>
              <w:rPr>
                <w:rFonts w:ascii="Arabic Typesetting" w:hAnsi="Arabic Typesetting" w:cs="Arabic Typesetting"/>
                <w:sz w:val="28"/>
                <w:szCs w:val="28"/>
                <w:rtl/>
              </w:rPr>
            </w:pPr>
          </w:p>
        </w:tc>
        <w:tc>
          <w:tcPr>
            <w:tcW w:w="1210" w:type="pct"/>
            <w:gridSpan w:val="2"/>
            <w:tcBorders>
              <w:top w:val="nil"/>
              <w:bottom w:val="nil"/>
            </w:tcBorders>
            <w:shd w:val="clear" w:color="auto" w:fill="FFFFFF"/>
            <w:tcMar>
              <w:top w:w="110" w:type="dxa"/>
            </w:tcMar>
          </w:tcPr>
          <w:p w:rsidR="003C151C" w:rsidRPr="00211D55" w:rsidRDefault="003C151C" w:rsidP="009A3712">
            <w:pPr>
              <w:numPr>
                <w:ilvl w:val="0"/>
                <w:numId w:val="13"/>
              </w:numPr>
              <w:bidi/>
              <w:spacing w:before="60" w:after="60" w:line="280" w:lineRule="exact"/>
              <w:ind w:left="0" w:firstLine="0"/>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النفاذ إلى قواعد البيانات المتخصصة ودعمها في البرنامج 14 (المساعدة التقنية)</w:t>
            </w:r>
          </w:p>
          <w:p w:rsidR="003C151C" w:rsidRPr="00211D55" w:rsidRDefault="003C151C" w:rsidP="009A3712">
            <w:pPr>
              <w:numPr>
                <w:ilvl w:val="0"/>
                <w:numId w:val="13"/>
              </w:numPr>
              <w:bidi/>
              <w:spacing w:before="60" w:after="60" w:line="280" w:lineRule="exact"/>
              <w:ind w:left="0" w:firstLine="0"/>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إعداد أدوات للنفاذ إلى معلومات البراءات في البرنامج</w:t>
            </w:r>
            <w:r w:rsidR="0010646F" w:rsidRPr="00211D55">
              <w:rPr>
                <w:rFonts w:ascii="Arabic Typesetting" w:hAnsi="Arabic Typesetting" w:cs="Arabic Typesetting"/>
                <w:sz w:val="28"/>
                <w:szCs w:val="28"/>
                <w:rtl/>
                <w:lang w:bidi="ar-EG"/>
              </w:rPr>
              <w:t> </w:t>
            </w:r>
            <w:r w:rsidRPr="00211D55">
              <w:rPr>
                <w:rFonts w:ascii="Arabic Typesetting" w:hAnsi="Arabic Typesetting" w:cs="Arabic Typesetting"/>
                <w:sz w:val="28"/>
                <w:szCs w:val="28"/>
                <w:rtl/>
                <w:lang w:bidi="ar-EG"/>
              </w:rPr>
              <w:t>14 (النفاذ إلى المعرفة)</w:t>
            </w:r>
          </w:p>
          <w:p w:rsidR="003C151C" w:rsidRPr="00211D55" w:rsidRDefault="003C151C" w:rsidP="003C151C">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الملكية الفكرية وتوسيم المنتجات في البرنامج 9 (المساعدة التقنية وتكوين الكفاءات)</w:t>
            </w:r>
          </w:p>
        </w:tc>
        <w:tc>
          <w:tcPr>
            <w:tcW w:w="455" w:type="pct"/>
            <w:tcBorders>
              <w:top w:val="nil"/>
              <w:bottom w:val="nil"/>
              <w:right w:val="single" w:sz="4" w:space="0" w:color="auto"/>
            </w:tcBorders>
            <w:shd w:val="clear" w:color="auto" w:fill="auto"/>
            <w:tcMar>
              <w:top w:w="110" w:type="dxa"/>
            </w:tcMar>
          </w:tcPr>
          <w:p w:rsidR="003C151C" w:rsidRPr="00211D55" w:rsidRDefault="003C151C" w:rsidP="003C151C">
            <w:pPr>
              <w:keepNext/>
              <w:keepLines/>
              <w:bidi/>
              <w:spacing w:before="60" w:after="60" w:line="280" w:lineRule="exact"/>
              <w:jc w:val="center"/>
              <w:rPr>
                <w:rFonts w:ascii="Arabic Typesetting" w:hAnsi="Arabic Typesetting" w:cs="Arabic Typesetting"/>
                <w:b/>
                <w:bCs/>
                <w:color w:val="00B050"/>
                <w:sz w:val="28"/>
                <w:szCs w:val="28"/>
                <w:rtl/>
              </w:rPr>
            </w:pPr>
          </w:p>
        </w:tc>
      </w:tr>
      <w:tr w:rsidR="003C151C" w:rsidRPr="00211D55" w:rsidTr="0010646F">
        <w:trPr>
          <w:cantSplit/>
        </w:trPr>
        <w:tc>
          <w:tcPr>
            <w:tcW w:w="1212" w:type="pct"/>
            <w:gridSpan w:val="2"/>
            <w:tcBorders>
              <w:top w:val="nil"/>
              <w:left w:val="single" w:sz="4" w:space="0" w:color="auto"/>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وجود نظام فعال لتخطيط تنفيذ توصيات جدول أعمال التنمية ورصد ذلك التنفيذ وتقييمه</w:t>
            </w:r>
          </w:p>
        </w:tc>
        <w:tc>
          <w:tcPr>
            <w:tcW w:w="1363" w:type="pct"/>
            <w:gridSpan w:val="2"/>
            <w:tcBorders>
              <w:top w:val="nil"/>
              <w:bottom w:val="nil"/>
            </w:tcBorders>
            <w:shd w:val="clear" w:color="auto" w:fill="auto"/>
          </w:tcPr>
          <w:p w:rsidR="003C151C" w:rsidRPr="00211D55" w:rsidRDefault="003C151C" w:rsidP="003C151C">
            <w:pPr>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نظام مركزي فعال لتخطيط تنفيذ توصية جدول أعمال التنمية ورصد ذلك التنفيذ وتقييمه</w:t>
            </w:r>
          </w:p>
          <w:p w:rsidR="003C151C" w:rsidRPr="00211D55" w:rsidRDefault="003C151C" w:rsidP="003C151C">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sz w:val="28"/>
                <w:szCs w:val="28"/>
                <w:rtl/>
              </w:rPr>
              <w:t xml:space="preserve"> </w:t>
            </w:r>
            <w:r w:rsidRPr="00211D55">
              <w:rPr>
                <w:rFonts w:ascii="Arabic Typesetting" w:hAnsi="Arabic Typesetting" w:cs="Arabic Typesetting"/>
                <w:sz w:val="28"/>
                <w:szCs w:val="28"/>
                <w:rtl/>
                <w:lang w:bidi="ar-EG"/>
              </w:rPr>
              <w:t>يُحدَّد لاحقاً</w:t>
            </w:r>
          </w:p>
        </w:tc>
        <w:tc>
          <w:tcPr>
            <w:tcW w:w="760" w:type="pct"/>
            <w:tcBorders>
              <w:top w:val="nil"/>
              <w:bottom w:val="nil"/>
            </w:tcBorders>
            <w:shd w:val="clear" w:color="auto" w:fill="auto"/>
            <w:tcMar>
              <w:top w:w="110" w:type="dxa"/>
            </w:tcMar>
          </w:tcPr>
          <w:p w:rsidR="003C151C" w:rsidRPr="00211D55" w:rsidRDefault="003C151C" w:rsidP="003C151C">
            <w:pPr>
              <w:autoSpaceDE w:val="0"/>
              <w:autoSpaceDN w:val="0"/>
              <w:bidi/>
              <w:adjustRightInd w:val="0"/>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تشتمل جميع البرامج على نظام فعال لتخطيط تنفيذ توصيات جدول أعمال التنمية ورصد ذلك التنفيذ وتقييمه</w:t>
            </w:r>
            <w:r w:rsidR="002F204A">
              <w:rPr>
                <w:rFonts w:ascii="Arabic Typesetting" w:hAnsi="Arabic Typesetting" w:cs="Arabic Typesetting" w:hint="cs"/>
                <w:sz w:val="28"/>
                <w:szCs w:val="28"/>
                <w:rtl/>
              </w:rPr>
              <w:t>.</w:t>
            </w:r>
          </w:p>
        </w:tc>
        <w:tc>
          <w:tcPr>
            <w:tcW w:w="1210" w:type="pct"/>
            <w:gridSpan w:val="2"/>
            <w:tcBorders>
              <w:top w:val="nil"/>
              <w:bottom w:val="nil"/>
            </w:tcBorders>
            <w:shd w:val="clear" w:color="auto" w:fill="FFFFFF"/>
            <w:tcMar>
              <w:top w:w="110" w:type="dxa"/>
            </w:tcMar>
          </w:tcPr>
          <w:p w:rsidR="003C151C" w:rsidRPr="00211D55" w:rsidRDefault="003C151C" w:rsidP="002F204A">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تشتمل جميع البرامج </w:t>
            </w:r>
            <w:r w:rsidR="002F204A">
              <w:rPr>
                <w:rFonts w:ascii="Arabic Typesetting" w:hAnsi="Arabic Typesetting" w:cs="Arabic Typesetting" w:hint="cs"/>
                <w:sz w:val="28"/>
                <w:szCs w:val="28"/>
                <w:rtl/>
              </w:rPr>
              <w:t>المعنية</w:t>
            </w:r>
            <w:r w:rsidRPr="00211D55">
              <w:rPr>
                <w:rFonts w:ascii="Arabic Typesetting" w:hAnsi="Arabic Typesetting" w:cs="Arabic Typesetting"/>
                <w:sz w:val="28"/>
                <w:szCs w:val="28"/>
                <w:rtl/>
              </w:rPr>
              <w:t xml:space="preserve"> على نظام فعال لتخطيط تنفيذ توصيات جدول أعمال التنمية ورصد ذلك التنفيذ وتقييمه</w:t>
            </w:r>
            <w:r w:rsidR="002F204A">
              <w:rPr>
                <w:rFonts w:ascii="Arabic Typesetting" w:hAnsi="Arabic Typesetting" w:cs="Arabic Typesetting" w:hint="cs"/>
                <w:sz w:val="28"/>
                <w:szCs w:val="28"/>
                <w:rtl/>
              </w:rPr>
              <w:t>.</w:t>
            </w:r>
          </w:p>
        </w:tc>
        <w:tc>
          <w:tcPr>
            <w:tcW w:w="455" w:type="pct"/>
            <w:tcBorders>
              <w:top w:val="nil"/>
              <w:bottom w:val="nil"/>
              <w:right w:val="single" w:sz="4" w:space="0" w:color="auto"/>
            </w:tcBorders>
            <w:shd w:val="clear" w:color="auto" w:fill="auto"/>
            <w:tcMar>
              <w:top w:w="110" w:type="dxa"/>
            </w:tcMar>
          </w:tcPr>
          <w:p w:rsidR="003C151C" w:rsidRPr="00211D55" w:rsidRDefault="0010646F" w:rsidP="003C151C">
            <w:pPr>
              <w:keepNext/>
              <w:keepLines/>
              <w:bidi/>
              <w:spacing w:before="60" w:after="60" w:line="280" w:lineRule="exact"/>
              <w:jc w:val="center"/>
              <w:rPr>
                <w:rFonts w:ascii="Arabic Typesetting" w:hAnsi="Arabic Typesetting" w:cs="Arabic Typesetting"/>
                <w:bCs/>
                <w:sz w:val="28"/>
                <w:szCs w:val="28"/>
              </w:rPr>
            </w:pPr>
            <w:r w:rsidRPr="00211D55">
              <w:rPr>
                <w:rFonts w:ascii="Arabic Typesetting" w:hAnsi="Arabic Typesetting" w:cs="Arabic Typesetting"/>
                <w:b/>
                <w:bCs/>
                <w:color w:val="00B050"/>
                <w:sz w:val="28"/>
                <w:szCs w:val="28"/>
                <w:rtl/>
              </w:rPr>
              <w:t>محقق كلياً</w:t>
            </w:r>
          </w:p>
        </w:tc>
      </w:tr>
      <w:tr w:rsidR="003C151C" w:rsidRPr="00211D55" w:rsidTr="0010646F">
        <w:trPr>
          <w:cantSplit/>
        </w:trPr>
        <w:tc>
          <w:tcPr>
            <w:tcW w:w="1212" w:type="pct"/>
            <w:gridSpan w:val="2"/>
            <w:tcBorders>
              <w:top w:val="nil"/>
              <w:left w:val="single" w:sz="4" w:space="0" w:color="auto"/>
              <w:bottom w:val="single" w:sz="4" w:space="0" w:color="auto"/>
            </w:tcBorders>
            <w:shd w:val="clear" w:color="auto" w:fill="auto"/>
          </w:tcPr>
          <w:p w:rsidR="003C151C" w:rsidRPr="00211D55" w:rsidRDefault="003C151C" w:rsidP="003C151C">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النسبة المئوية لمشروعات جدول أعمال التنمية التي خضعت لتقييم مستقل</w:t>
            </w:r>
          </w:p>
        </w:tc>
        <w:tc>
          <w:tcPr>
            <w:tcW w:w="1363" w:type="pct"/>
            <w:gridSpan w:val="2"/>
            <w:tcBorders>
              <w:top w:val="nil"/>
              <w:bottom w:val="single" w:sz="4" w:space="0" w:color="auto"/>
            </w:tcBorders>
            <w:shd w:val="clear" w:color="auto" w:fill="auto"/>
          </w:tcPr>
          <w:p w:rsidR="003C151C" w:rsidRPr="00211D55" w:rsidRDefault="003C151C" w:rsidP="0010646F">
            <w:pPr>
              <w:bidi/>
              <w:spacing w:before="60" w:after="60" w:line="280" w:lineRule="exact"/>
              <w:rPr>
                <w:rFonts w:ascii="Arabic Typesetting" w:hAnsi="Arabic Typesetting" w:cs="Arabic Typesetting"/>
                <w:color w:val="002060"/>
                <w:sz w:val="28"/>
                <w:szCs w:val="28"/>
                <w:lang w:bidi="ar-EG"/>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Pr>
              <w:t xml:space="preserve"> </w:t>
            </w:r>
            <w:r w:rsidRPr="00211D55">
              <w:rPr>
                <w:rFonts w:ascii="Arabic Typesetting" w:hAnsi="Arabic Typesetting" w:cs="Arabic Typesetting"/>
                <w:sz w:val="28"/>
                <w:szCs w:val="28"/>
                <w:rtl/>
                <w:lang w:bidi="ar-EG"/>
              </w:rPr>
              <w:t>100%،</w:t>
            </w:r>
            <w:r w:rsidRPr="00211D55">
              <w:rPr>
                <w:rFonts w:ascii="Arabic Typesetting" w:hAnsi="Arabic Typesetting" w:cs="Arabic Typesetting"/>
                <w:sz w:val="28"/>
                <w:szCs w:val="28"/>
                <w:rtl/>
              </w:rPr>
              <w:t xml:space="preserve"> 14 تقرير تقييم ناقشته اللجنة. (جرى التقييم خلال الثنائية </w:t>
            </w:r>
            <w:r w:rsidR="00507DE2">
              <w:rPr>
                <w:rFonts w:ascii="Arabic Typesetting" w:hAnsi="Arabic Typesetting" w:cs="Arabic Typesetting"/>
                <w:sz w:val="28"/>
                <w:szCs w:val="28"/>
                <w:rtl/>
              </w:rPr>
              <w:t>2012/13</w:t>
            </w:r>
            <w:r w:rsidRPr="00211D55">
              <w:rPr>
                <w:rFonts w:ascii="Arabic Typesetting" w:hAnsi="Arabic Typesetting" w:cs="Arabic Typesetting"/>
                <w:sz w:val="28"/>
                <w:szCs w:val="28"/>
                <w:rtl/>
              </w:rPr>
              <w:t>)</w:t>
            </w:r>
          </w:p>
          <w:p w:rsidR="003C151C" w:rsidRPr="00211D55" w:rsidRDefault="003C151C" w:rsidP="003C151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sz w:val="28"/>
                <w:szCs w:val="28"/>
                <w:rtl/>
              </w:rPr>
              <w:t xml:space="preserve"> 100%</w:t>
            </w:r>
          </w:p>
        </w:tc>
        <w:tc>
          <w:tcPr>
            <w:tcW w:w="760" w:type="pct"/>
            <w:tcBorders>
              <w:top w:val="nil"/>
              <w:bottom w:val="single" w:sz="4" w:space="0" w:color="auto"/>
            </w:tcBorders>
            <w:shd w:val="clear" w:color="auto" w:fill="auto"/>
            <w:tcMar>
              <w:top w:w="110" w:type="dxa"/>
            </w:tcMar>
          </w:tcPr>
          <w:p w:rsidR="003C151C" w:rsidRPr="00211D55" w:rsidRDefault="003C151C" w:rsidP="003C151C">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100%</w:t>
            </w:r>
          </w:p>
        </w:tc>
        <w:tc>
          <w:tcPr>
            <w:tcW w:w="1210" w:type="pct"/>
            <w:gridSpan w:val="2"/>
            <w:tcBorders>
              <w:top w:val="nil"/>
              <w:bottom w:val="single" w:sz="4" w:space="0" w:color="auto"/>
            </w:tcBorders>
            <w:shd w:val="clear" w:color="auto" w:fill="FFFFFF"/>
            <w:tcMar>
              <w:top w:w="110" w:type="dxa"/>
            </w:tcMar>
          </w:tcPr>
          <w:p w:rsidR="003C151C" w:rsidRPr="00211D55" w:rsidRDefault="003C151C" w:rsidP="0010646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100%، قيّمت اللجنةُ </w:t>
            </w:r>
            <w:r w:rsidR="0010646F" w:rsidRPr="00211D55">
              <w:rPr>
                <w:rFonts w:ascii="Arabic Typesetting" w:hAnsi="Arabic Typesetting" w:cs="Arabic Typesetting"/>
                <w:sz w:val="28"/>
                <w:szCs w:val="28"/>
                <w:rtl/>
              </w:rPr>
              <w:t>أحد عشر</w:t>
            </w:r>
            <w:r w:rsidRPr="00211D55">
              <w:rPr>
                <w:rFonts w:ascii="Arabic Typesetting" w:hAnsi="Arabic Typesetting" w:cs="Arabic Typesetting"/>
                <w:sz w:val="28"/>
                <w:szCs w:val="28"/>
                <w:rtl/>
              </w:rPr>
              <w:t xml:space="preserve"> مشروعا مُنجَزة تقييماً مستقلاً وناقشتها في </w:t>
            </w:r>
            <w:r w:rsidR="00507DE2">
              <w:rPr>
                <w:rFonts w:ascii="Arabic Typesetting" w:hAnsi="Arabic Typesetting" w:cs="Arabic Typesetting"/>
                <w:sz w:val="28"/>
                <w:szCs w:val="28"/>
                <w:rtl/>
              </w:rPr>
              <w:t>2014/15</w:t>
            </w:r>
            <w:r w:rsidR="0049749E" w:rsidRPr="00211D55">
              <w:rPr>
                <w:rFonts w:ascii="Arabic Typesetting" w:hAnsi="Arabic Typesetting" w:cs="Arabic Typesetting"/>
                <w:sz w:val="28"/>
                <w:szCs w:val="28"/>
                <w:rtl/>
              </w:rPr>
              <w:t>:</w:t>
            </w:r>
          </w:p>
          <w:p w:rsidR="0049749E" w:rsidRPr="00211D55" w:rsidRDefault="0049749E" w:rsidP="009A3712">
            <w:pPr>
              <w:numPr>
                <w:ilvl w:val="0"/>
                <w:numId w:val="2"/>
              </w:numPr>
              <w:bidi/>
              <w:spacing w:before="60" w:after="60" w:line="280" w:lineRule="exact"/>
              <w:ind w:left="284" w:hanging="284"/>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8 في عام 2014</w:t>
            </w:r>
          </w:p>
          <w:p w:rsidR="0049749E" w:rsidRPr="00211D55" w:rsidRDefault="0049749E" w:rsidP="009A3712">
            <w:pPr>
              <w:numPr>
                <w:ilvl w:val="0"/>
                <w:numId w:val="2"/>
              </w:numPr>
              <w:bidi/>
              <w:spacing w:before="60" w:after="6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3 في عام 2015</w:t>
            </w:r>
          </w:p>
        </w:tc>
        <w:tc>
          <w:tcPr>
            <w:tcW w:w="455" w:type="pct"/>
            <w:tcBorders>
              <w:top w:val="nil"/>
              <w:bottom w:val="single" w:sz="4" w:space="0" w:color="auto"/>
              <w:right w:val="single" w:sz="4" w:space="0" w:color="auto"/>
            </w:tcBorders>
            <w:shd w:val="clear" w:color="auto" w:fill="auto"/>
            <w:tcMar>
              <w:top w:w="110" w:type="dxa"/>
            </w:tcMar>
          </w:tcPr>
          <w:p w:rsidR="003C151C" w:rsidRPr="00211D55" w:rsidRDefault="0010646F" w:rsidP="003C151C">
            <w:pPr>
              <w:keepNext/>
              <w:keepLines/>
              <w:bidi/>
              <w:spacing w:before="60" w:after="60" w:line="28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r w:rsidR="003C151C" w:rsidRPr="00211D55" w:rsidTr="0010646F">
        <w:trPr>
          <w:cantSplit/>
        </w:trPr>
        <w:tc>
          <w:tcPr>
            <w:tcW w:w="5000" w:type="pct"/>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3C151C" w:rsidRPr="00211D55" w:rsidRDefault="003C151C" w:rsidP="009951F7">
            <w:pPr>
              <w:keepNext/>
              <w:keepLines/>
              <w:bidi/>
              <w:spacing w:before="60" w:after="60" w:line="280" w:lineRule="exact"/>
              <w:rPr>
                <w:rFonts w:ascii="Arabic Typesetting" w:hAnsi="Arabic Typesetting" w:cs="Arabic Typesetting"/>
                <w:b/>
                <w:bCs/>
                <w:sz w:val="28"/>
                <w:szCs w:val="28"/>
                <w:rtl/>
              </w:rPr>
            </w:pPr>
            <w:r w:rsidRPr="00211D55">
              <w:rPr>
                <w:rFonts w:ascii="Arabic Typesetting" w:hAnsi="Arabic Typesetting" w:cs="Arabic Typesetting"/>
                <w:b/>
                <w:bCs/>
                <w:sz w:val="28"/>
                <w:szCs w:val="28"/>
                <w:rtl/>
              </w:rPr>
              <w:lastRenderedPageBreak/>
              <w:t>النتيجة المرتقبة:</w:t>
            </w:r>
            <w:r w:rsidRPr="00211D55">
              <w:rPr>
                <w:rFonts w:ascii="Arabic Typesetting" w:hAnsi="Arabic Typesetting" w:cs="Arabic Typesetting"/>
                <w:b/>
                <w:bCs/>
                <w:sz w:val="28"/>
                <w:szCs w:val="28"/>
                <w:rtl/>
              </w:rPr>
              <w:tab/>
            </w:r>
            <w:r w:rsidRPr="00211D55">
              <w:rPr>
                <w:rFonts w:ascii="Arabic Typesetting" w:hAnsi="Arabic Typesetting" w:cs="Arabic Typesetting"/>
                <w:sz w:val="28"/>
                <w:szCs w:val="28"/>
                <w:rtl/>
              </w:rPr>
              <w:t xml:space="preserve">ھ5.3 </w:t>
            </w:r>
            <w:r w:rsidR="00A0719D">
              <w:rPr>
                <w:rFonts w:ascii="Arabic Typesetting" w:hAnsi="Arabic Typesetting" w:cs="Arabic Typesetting"/>
                <w:sz w:val="28"/>
                <w:szCs w:val="28"/>
                <w:rtl/>
              </w:rPr>
              <w:t>فهم معمّق لجدول أعمال التنمية لدى الدول الأعضاء والمنظمات الحكومية الدولية والمجتمع المدني وأصحاب المصالح الآخرين</w:t>
            </w:r>
          </w:p>
        </w:tc>
      </w:tr>
      <w:tr w:rsidR="003C151C" w:rsidRPr="00211D55" w:rsidTr="00310A31">
        <w:trPr>
          <w:cantSplit/>
        </w:trPr>
        <w:tc>
          <w:tcPr>
            <w:tcW w:w="1139" w:type="pct"/>
            <w:tcBorders>
              <w:top w:val="single" w:sz="4" w:space="0" w:color="auto"/>
              <w:left w:val="single" w:sz="4" w:space="0" w:color="auto"/>
              <w:bottom w:val="nil"/>
            </w:tcBorders>
            <w:shd w:val="clear" w:color="auto" w:fill="auto"/>
            <w:vAlign w:val="center"/>
          </w:tcPr>
          <w:p w:rsidR="003C151C" w:rsidRPr="00211D55" w:rsidRDefault="003C151C" w:rsidP="003C151C">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مؤشرات الأداء</w:t>
            </w:r>
          </w:p>
        </w:tc>
        <w:tc>
          <w:tcPr>
            <w:tcW w:w="1136" w:type="pct"/>
            <w:gridSpan w:val="2"/>
            <w:tcBorders>
              <w:top w:val="single" w:sz="4" w:space="0" w:color="auto"/>
              <w:bottom w:val="nil"/>
            </w:tcBorders>
            <w:shd w:val="clear" w:color="auto" w:fill="auto"/>
            <w:vAlign w:val="center"/>
          </w:tcPr>
          <w:p w:rsidR="003C151C" w:rsidRPr="00211D55" w:rsidRDefault="003C151C" w:rsidP="003C151C">
            <w:pPr>
              <w:keepNext/>
              <w:bidi/>
              <w:spacing w:before="60" w:after="60" w:line="28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1060" w:type="pct"/>
            <w:gridSpan w:val="2"/>
            <w:tcBorders>
              <w:top w:val="single" w:sz="4" w:space="0" w:color="auto"/>
              <w:bottom w:val="nil"/>
            </w:tcBorders>
            <w:shd w:val="clear" w:color="auto" w:fill="auto"/>
            <w:tcMar>
              <w:top w:w="110" w:type="dxa"/>
            </w:tcMar>
            <w:vAlign w:val="center"/>
          </w:tcPr>
          <w:p w:rsidR="003C151C" w:rsidRPr="00211D55" w:rsidRDefault="003C151C" w:rsidP="003C151C">
            <w:pPr>
              <w:keepNext/>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178" w:type="pct"/>
            <w:tcBorders>
              <w:top w:val="single" w:sz="4" w:space="0" w:color="auto"/>
              <w:bottom w:val="nil"/>
            </w:tcBorders>
            <w:shd w:val="clear" w:color="auto" w:fill="FFFFFF"/>
            <w:tcMar>
              <w:top w:w="110" w:type="dxa"/>
            </w:tcMar>
            <w:vAlign w:val="center"/>
          </w:tcPr>
          <w:p w:rsidR="003C151C" w:rsidRPr="00211D55" w:rsidRDefault="003C151C" w:rsidP="003C151C">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487" w:type="pct"/>
            <w:gridSpan w:val="2"/>
            <w:tcBorders>
              <w:top w:val="single" w:sz="4" w:space="0" w:color="auto"/>
              <w:bottom w:val="nil"/>
              <w:right w:val="single" w:sz="4" w:space="0" w:color="auto"/>
            </w:tcBorders>
            <w:shd w:val="clear" w:color="auto" w:fill="auto"/>
            <w:tcMar>
              <w:top w:w="110" w:type="dxa"/>
            </w:tcMar>
            <w:vAlign w:val="center"/>
          </w:tcPr>
          <w:p w:rsidR="003C151C" w:rsidRPr="00211D55" w:rsidRDefault="003C151C" w:rsidP="003C151C">
            <w:pPr>
              <w:keepNext/>
              <w:keepLines/>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9951F7" w:rsidRPr="00211D55" w:rsidTr="00E00E9F">
        <w:trPr>
          <w:cantSplit/>
        </w:trPr>
        <w:tc>
          <w:tcPr>
            <w:tcW w:w="1139" w:type="pct"/>
            <w:tcBorders>
              <w:top w:val="nil"/>
              <w:left w:val="single" w:sz="4" w:space="0" w:color="auto"/>
              <w:bottom w:val="nil"/>
            </w:tcBorders>
            <w:shd w:val="clear" w:color="auto" w:fill="FFFFFF"/>
          </w:tcPr>
          <w:p w:rsidR="009951F7" w:rsidRPr="00211D55" w:rsidRDefault="009951F7" w:rsidP="00E00E9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عدد البلدان التي تطلب المساعدة التقنية من خلال مشروعات جدول أعمال التنمية وتبدي اهتماماً بالأنشطة المتعلقة بجدول أعمال التنمية</w:t>
            </w:r>
          </w:p>
        </w:tc>
        <w:tc>
          <w:tcPr>
            <w:tcW w:w="1136" w:type="pct"/>
            <w:gridSpan w:val="2"/>
            <w:tcBorders>
              <w:top w:val="nil"/>
              <w:bottom w:val="nil"/>
            </w:tcBorders>
            <w:shd w:val="clear" w:color="auto" w:fill="auto"/>
          </w:tcPr>
          <w:p w:rsidR="009951F7" w:rsidRPr="00211D55" w:rsidRDefault="009951F7" w:rsidP="00E00E9F">
            <w:pPr>
              <w:keepNext/>
              <w:bidi/>
              <w:spacing w:before="60" w:after="60" w:line="280" w:lineRule="exact"/>
              <w:rPr>
                <w:rFonts w:ascii="Arabic Typesetting" w:hAnsi="Arabic Typesetting" w:cs="Arabic Typesetting"/>
                <w:iCs/>
                <w:color w:val="002060"/>
                <w:sz w:val="28"/>
                <w:szCs w:val="28"/>
              </w:rPr>
            </w:pPr>
            <w:r w:rsidRPr="00211D55">
              <w:rPr>
                <w:rFonts w:ascii="Arabic Typesetting" w:hAnsi="Arabic Typesetting" w:cs="Arabic Typesetting"/>
                <w:iCs/>
                <w:color w:val="002060"/>
                <w:sz w:val="28"/>
                <w:szCs w:val="28"/>
                <w:rtl/>
              </w:rPr>
              <w:t>أساس المقارنة المُحدَّث في نهاية 2013: مشروعات وأنشطة مرتبطة بجدول أعمال التنمية في 50 بلداً</w:t>
            </w:r>
          </w:p>
          <w:p w:rsidR="009951F7" w:rsidRPr="00211D55" w:rsidRDefault="009951F7" w:rsidP="00E00E9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sz w:val="28"/>
                <w:szCs w:val="28"/>
                <w:rtl/>
              </w:rPr>
              <w:t xml:space="preserve"> مشروعات وأنشطة مرتبطة بجدول أعمال التنمية في 43 بلداً (أبريل 2013)</w:t>
            </w:r>
          </w:p>
        </w:tc>
        <w:tc>
          <w:tcPr>
            <w:tcW w:w="1060" w:type="pct"/>
            <w:gridSpan w:val="2"/>
            <w:tcBorders>
              <w:top w:val="nil"/>
              <w:bottom w:val="nil"/>
            </w:tcBorders>
            <w:shd w:val="clear" w:color="auto" w:fill="auto"/>
            <w:tcMar>
              <w:top w:w="110" w:type="dxa"/>
            </w:tcMar>
          </w:tcPr>
          <w:p w:rsidR="009951F7" w:rsidRPr="00211D55" w:rsidRDefault="009951F7" w:rsidP="00E00E9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مشروعات وأنشطة مرتبطة بجدول أعمال التنمية في 50 بلداً</w:t>
            </w:r>
          </w:p>
        </w:tc>
        <w:tc>
          <w:tcPr>
            <w:tcW w:w="1178" w:type="pct"/>
            <w:tcBorders>
              <w:top w:val="nil"/>
              <w:bottom w:val="nil"/>
            </w:tcBorders>
            <w:shd w:val="clear" w:color="auto" w:fill="FFFFFF"/>
            <w:tcMar>
              <w:top w:w="110" w:type="dxa"/>
            </w:tcMar>
          </w:tcPr>
          <w:p w:rsidR="009951F7" w:rsidRPr="00211D55" w:rsidRDefault="009951F7" w:rsidP="00E00E9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شارك 53 بلداً نامياً في مشروعات جدول أعمال التنمية.</w:t>
            </w:r>
          </w:p>
        </w:tc>
        <w:tc>
          <w:tcPr>
            <w:tcW w:w="487" w:type="pct"/>
            <w:gridSpan w:val="2"/>
            <w:tcBorders>
              <w:top w:val="nil"/>
              <w:bottom w:val="nil"/>
              <w:right w:val="single" w:sz="4" w:space="0" w:color="auto"/>
            </w:tcBorders>
            <w:shd w:val="clear" w:color="auto" w:fill="auto"/>
            <w:tcMar>
              <w:top w:w="110" w:type="dxa"/>
            </w:tcMar>
          </w:tcPr>
          <w:p w:rsidR="009951F7" w:rsidRPr="00211D55" w:rsidRDefault="009951F7" w:rsidP="00E00E9F">
            <w:pPr>
              <w:keepNext/>
              <w:keepLines/>
              <w:bidi/>
              <w:spacing w:before="60" w:after="60" w:line="28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r w:rsidR="009951F7" w:rsidRPr="00211D55" w:rsidTr="00E00E9F">
        <w:trPr>
          <w:cantSplit/>
        </w:trPr>
        <w:tc>
          <w:tcPr>
            <w:tcW w:w="1139" w:type="pct"/>
            <w:tcBorders>
              <w:top w:val="nil"/>
              <w:left w:val="single" w:sz="4" w:space="0" w:color="auto"/>
              <w:bottom w:val="single" w:sz="4" w:space="0" w:color="auto"/>
            </w:tcBorders>
            <w:shd w:val="clear" w:color="auto" w:fill="auto"/>
          </w:tcPr>
          <w:p w:rsidR="009951F7" w:rsidRPr="00211D55" w:rsidRDefault="009951F7" w:rsidP="003C151C">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النسبة المئوية للمشاركين في اجتماعات الويبو (الدول الأعضاء والمنظمات الحكومية الدولية والمجتمع المدني وأصحاب المصلحة الآخرين) الراضين عن المعلومات التي تلقوها بشأن توصيات جدول أعمال التنمية</w:t>
            </w:r>
          </w:p>
        </w:tc>
        <w:tc>
          <w:tcPr>
            <w:tcW w:w="1136" w:type="pct"/>
            <w:gridSpan w:val="2"/>
            <w:tcBorders>
              <w:top w:val="nil"/>
              <w:bottom w:val="single" w:sz="4" w:space="0" w:color="auto"/>
            </w:tcBorders>
            <w:shd w:val="clear" w:color="auto" w:fill="auto"/>
          </w:tcPr>
          <w:p w:rsidR="009951F7" w:rsidRPr="00211D55" w:rsidRDefault="009951F7" w:rsidP="003C151C">
            <w:pPr>
              <w:bidi/>
              <w:spacing w:before="60" w:after="60" w:line="280" w:lineRule="exact"/>
              <w:rPr>
                <w:rFonts w:ascii="Arabic Typesetting" w:hAnsi="Arabic Typesetting" w:cs="Arabic Typesetting"/>
                <w:i/>
                <w:sz w:val="28"/>
                <w:szCs w:val="28"/>
                <w:rtl/>
                <w:lang w:val="fr-CH" w:bidi="ar-EG"/>
              </w:rPr>
            </w:pPr>
            <w:r w:rsidRPr="00211D55">
              <w:rPr>
                <w:rFonts w:ascii="Arabic Typesetting" w:hAnsi="Arabic Typesetting" w:cs="Arabic Typesetting"/>
                <w:i/>
                <w:sz w:val="28"/>
                <w:szCs w:val="28"/>
                <w:rtl/>
                <w:lang w:val="fr-CH"/>
              </w:rPr>
              <w:t>لا ينطبق</w:t>
            </w:r>
          </w:p>
        </w:tc>
        <w:tc>
          <w:tcPr>
            <w:tcW w:w="1060" w:type="pct"/>
            <w:gridSpan w:val="2"/>
            <w:tcBorders>
              <w:top w:val="nil"/>
              <w:bottom w:val="single" w:sz="4" w:space="0" w:color="auto"/>
            </w:tcBorders>
            <w:shd w:val="clear" w:color="auto" w:fill="auto"/>
            <w:tcMar>
              <w:top w:w="110" w:type="dxa"/>
            </w:tcMar>
          </w:tcPr>
          <w:p w:rsidR="009951F7" w:rsidRPr="00211D55" w:rsidRDefault="009951F7" w:rsidP="003C151C">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80%</w:t>
            </w:r>
          </w:p>
        </w:tc>
        <w:tc>
          <w:tcPr>
            <w:tcW w:w="1178" w:type="pct"/>
            <w:tcBorders>
              <w:top w:val="nil"/>
              <w:bottom w:val="single" w:sz="4" w:space="0" w:color="auto"/>
            </w:tcBorders>
            <w:shd w:val="clear" w:color="auto" w:fill="FFFFFF"/>
            <w:tcMar>
              <w:top w:w="110" w:type="dxa"/>
            </w:tcMar>
          </w:tcPr>
          <w:p w:rsidR="009951F7" w:rsidRPr="00211D55" w:rsidRDefault="009951F7" w:rsidP="003C151C">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78.57%</w:t>
            </w:r>
          </w:p>
        </w:tc>
        <w:tc>
          <w:tcPr>
            <w:tcW w:w="487" w:type="pct"/>
            <w:gridSpan w:val="2"/>
            <w:tcBorders>
              <w:top w:val="nil"/>
              <w:bottom w:val="single" w:sz="4" w:space="0" w:color="auto"/>
              <w:right w:val="single" w:sz="4" w:space="0" w:color="auto"/>
            </w:tcBorders>
            <w:shd w:val="clear" w:color="auto" w:fill="auto"/>
          </w:tcPr>
          <w:p w:rsidR="009951F7" w:rsidRPr="00211D55" w:rsidRDefault="009951F7" w:rsidP="00DE6751">
            <w:pPr>
              <w:keepNext/>
              <w:keepLines/>
              <w:bidi/>
              <w:spacing w:before="60" w:after="60" w:line="28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bl>
    <w:p w:rsidR="009951F7" w:rsidRPr="009951F7" w:rsidRDefault="009951F7" w:rsidP="002F204A">
      <w:pPr>
        <w:keepNext/>
        <w:bidi/>
        <w:spacing w:before="120" w:after="120" w:line="340" w:lineRule="exact"/>
        <w:rPr>
          <w:rFonts w:ascii="Arabic Typesetting" w:hAnsi="Arabic Typesetting" w:cs="Arabic Typesetting"/>
          <w:sz w:val="34"/>
          <w:szCs w:val="34"/>
          <w:rtl/>
          <w:lang w:bidi="ar-EG"/>
        </w:rPr>
      </w:pPr>
      <w:r w:rsidRPr="009951F7">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9951F7" w:rsidRPr="00211D55" w:rsidTr="00DE6751">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9951F7" w:rsidRPr="00211D55" w:rsidRDefault="009951F7" w:rsidP="00DE6751">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9951F7" w:rsidRPr="00211D55" w:rsidRDefault="009951F7" w:rsidP="00DE6751">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9951F7" w:rsidRPr="00211D55" w:rsidRDefault="009951F7" w:rsidP="00DE6751">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9951F7" w:rsidRPr="00211D55" w:rsidRDefault="009951F7" w:rsidP="002F204A">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 xml:space="preserve">التأثير </w:t>
            </w:r>
            <w:r w:rsidR="002F204A">
              <w:rPr>
                <w:rFonts w:ascii="Arabic Typesetting" w:hAnsi="Arabic Typesetting" w:cs="Arabic Typesetting" w:hint="cs"/>
                <w:bCs/>
                <w:sz w:val="28"/>
                <w:szCs w:val="28"/>
                <w:rtl/>
                <w:lang w:bidi="ar-EG"/>
              </w:rPr>
              <w:t>في</w:t>
            </w:r>
            <w:r w:rsidRPr="00211D55">
              <w:rPr>
                <w:rFonts w:ascii="Arabic Typesetting" w:hAnsi="Arabic Typesetting" w:cs="Arabic Typesetting" w:hint="cs"/>
                <w:bCs/>
                <w:sz w:val="28"/>
                <w:szCs w:val="28"/>
                <w:rtl/>
                <w:lang w:bidi="ar-EG"/>
              </w:rPr>
              <w:t xml:space="preserve"> أداء البرنامج</w:t>
            </w:r>
          </w:p>
        </w:tc>
      </w:tr>
      <w:tr w:rsidR="009951F7" w:rsidRPr="00211D55" w:rsidTr="00DE6751">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9951F7" w:rsidRPr="00211D55" w:rsidRDefault="009951F7" w:rsidP="007A7336">
            <w:pPr>
              <w:bidi/>
              <w:adjustRightInd w:val="0"/>
              <w:snapToGri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خضعت جميع </w:t>
            </w:r>
            <w:r w:rsidR="00FB2BCA">
              <w:rPr>
                <w:rFonts w:ascii="Arabic Typesetting" w:hAnsi="Arabic Typesetting" w:cs="Arabic Typesetting"/>
                <w:sz w:val="28"/>
                <w:szCs w:val="28"/>
                <w:rtl/>
              </w:rPr>
              <w:t>مشروعات</w:t>
            </w:r>
            <w:r w:rsidRPr="00211D55">
              <w:rPr>
                <w:rFonts w:ascii="Arabic Typesetting" w:hAnsi="Arabic Typesetting" w:cs="Arabic Typesetting"/>
                <w:sz w:val="28"/>
                <w:szCs w:val="28"/>
                <w:rtl/>
              </w:rPr>
              <w:t xml:space="preserve"> جدول أعمال التنمية المكتملة لتقييم مستقل؛ عدم المتابعة المنهجية للتوصيات والتنفيذ يمكن أن يؤدي إلى ضياع الفرص والتركيز غير الكافي على "الدروس المستفادة".</w:t>
            </w:r>
          </w:p>
        </w:tc>
        <w:tc>
          <w:tcPr>
            <w:tcW w:w="2200" w:type="dxa"/>
            <w:tcBorders>
              <w:top w:val="single" w:sz="4" w:space="0" w:color="auto"/>
              <w:bottom w:val="single" w:sz="4" w:space="0" w:color="auto"/>
            </w:tcBorders>
            <w:shd w:val="clear" w:color="auto" w:fill="auto"/>
            <w:tcMar>
              <w:top w:w="113" w:type="dxa"/>
              <w:bottom w:w="113" w:type="dxa"/>
            </w:tcMar>
          </w:tcPr>
          <w:p w:rsidR="009951F7" w:rsidRPr="00211D55" w:rsidRDefault="009951F7" w:rsidP="007A7336">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متابعة معززة وصارمة </w:t>
            </w:r>
            <w:r w:rsidR="002F204A">
              <w:rPr>
                <w:rFonts w:ascii="Arabic Typesetting" w:hAnsi="Arabic Typesetting" w:cs="Arabic Typesetting" w:hint="cs"/>
                <w:sz w:val="28"/>
                <w:szCs w:val="28"/>
                <w:rtl/>
              </w:rPr>
              <w:t>في إطار</w:t>
            </w:r>
            <w:r w:rsidRPr="00211D55">
              <w:rPr>
                <w:rFonts w:ascii="Arabic Typesetting" w:hAnsi="Arabic Typesetting" w:cs="Arabic Typesetting"/>
                <w:sz w:val="28"/>
                <w:szCs w:val="28"/>
                <w:rtl/>
              </w:rPr>
              <w:t xml:space="preserve"> شعبة تنسيق جدول أعمال التنمية </w:t>
            </w:r>
            <w:r w:rsidR="002F204A">
              <w:rPr>
                <w:rFonts w:ascii="Arabic Typesetting" w:hAnsi="Arabic Typesetting" w:cs="Arabic Typesetting" w:hint="cs"/>
                <w:sz w:val="28"/>
                <w:szCs w:val="28"/>
                <w:rtl/>
              </w:rPr>
              <w:t>ل</w:t>
            </w:r>
            <w:r w:rsidRPr="00211D55">
              <w:rPr>
                <w:rFonts w:ascii="Arabic Typesetting" w:hAnsi="Arabic Typesetting" w:cs="Arabic Typesetting"/>
                <w:sz w:val="28"/>
                <w:szCs w:val="28"/>
                <w:rtl/>
              </w:rPr>
              <w:t>تنفيذ التوصيات</w:t>
            </w:r>
            <w:r w:rsidRPr="00211D55">
              <w:rPr>
                <w:rFonts w:ascii="Arabic Typesetting" w:hAnsi="Arabic Typesetting" w:cs="Arabic Typesetting"/>
                <w:sz w:val="28"/>
                <w:szCs w:val="28"/>
              </w:rPr>
              <w:t>.</w:t>
            </w:r>
          </w:p>
        </w:tc>
        <w:tc>
          <w:tcPr>
            <w:tcW w:w="2310" w:type="dxa"/>
            <w:tcBorders>
              <w:top w:val="single" w:sz="4" w:space="0" w:color="auto"/>
              <w:bottom w:val="single" w:sz="4" w:space="0" w:color="auto"/>
            </w:tcBorders>
          </w:tcPr>
          <w:p w:rsidR="009951F7" w:rsidRPr="007A7336" w:rsidRDefault="009951F7" w:rsidP="007A7336">
            <w:pPr>
              <w:bidi/>
              <w:adjustRightInd w:val="0"/>
              <w:spacing w:before="60" w:after="60" w:line="280" w:lineRule="exact"/>
              <w:jc w:val="both"/>
              <w:rPr>
                <w:rFonts w:ascii="Arabic Typesetting" w:hAnsi="Arabic Typesetting" w:cs="Arabic Typesetting"/>
                <w:sz w:val="28"/>
                <w:szCs w:val="28"/>
              </w:rPr>
            </w:pPr>
            <w:r w:rsidRPr="007A7336">
              <w:rPr>
                <w:rFonts w:ascii="Arabic Typesetting" w:hAnsi="Arabic Typesetting" w:cs="Arabic Typesetting" w:hint="cs"/>
                <w:sz w:val="28"/>
                <w:szCs w:val="28"/>
                <w:rtl/>
              </w:rPr>
              <w:t>نفِّذت استراتيجيات الحد من وطأة المخاطر بالكامل ما ضمن عدم التعرض لهذا الخطر.</w:t>
            </w:r>
          </w:p>
        </w:tc>
        <w:tc>
          <w:tcPr>
            <w:tcW w:w="2306" w:type="dxa"/>
            <w:tcBorders>
              <w:top w:val="single" w:sz="4" w:space="0" w:color="auto"/>
              <w:bottom w:val="single" w:sz="4" w:space="0" w:color="auto"/>
              <w:right w:val="single" w:sz="4" w:space="0" w:color="auto"/>
            </w:tcBorders>
          </w:tcPr>
          <w:p w:rsidR="009951F7" w:rsidRPr="007A7336" w:rsidRDefault="002F200B" w:rsidP="007A7336">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hint="cs"/>
                <w:b/>
                <w:sz w:val="28"/>
                <w:szCs w:val="28"/>
                <w:rtl/>
                <w:lang w:bidi="ar-EG"/>
              </w:rPr>
              <w:t xml:space="preserve">لم يؤثر هذا الخطر ولا تطوره </w:t>
            </w:r>
            <w:r>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في أداء البرنامج للفترة </w:t>
            </w:r>
            <w:r>
              <w:rPr>
                <w:rFonts w:ascii="Arabic Typesetting" w:hAnsi="Arabic Typesetting" w:cs="Arabic Typesetting" w:hint="cs"/>
                <w:b/>
                <w:sz w:val="28"/>
                <w:szCs w:val="28"/>
                <w:rtl/>
                <w:lang w:bidi="ar-EG"/>
              </w:rPr>
              <w:t>2014/15</w:t>
            </w:r>
            <w:r w:rsidRPr="00211D55">
              <w:rPr>
                <w:rFonts w:ascii="Arabic Typesetting" w:hAnsi="Arabic Typesetting" w:cs="Arabic Typesetting" w:hint="cs"/>
                <w:b/>
                <w:sz w:val="28"/>
                <w:szCs w:val="28"/>
                <w:rtl/>
                <w:lang w:bidi="ar-EG"/>
              </w:rPr>
              <w:t>.</w:t>
            </w:r>
          </w:p>
        </w:tc>
      </w:tr>
    </w:tbl>
    <w:p w:rsidR="00B264F9" w:rsidRPr="00B264F9" w:rsidRDefault="00B264F9" w:rsidP="00774E37">
      <w:pPr>
        <w:keepNext/>
        <w:bidi/>
        <w:spacing w:before="120" w:after="120" w:line="340" w:lineRule="exact"/>
        <w:jc w:val="both"/>
        <w:rPr>
          <w:rFonts w:ascii="Arabic Typesetting" w:hAnsi="Arabic Typesetting" w:cs="Arabic Typesetting"/>
          <w:b/>
          <w:sz w:val="34"/>
          <w:szCs w:val="34"/>
        </w:rPr>
      </w:pPr>
      <w:r w:rsidRPr="00B264F9">
        <w:rPr>
          <w:rFonts w:ascii="Arabic Typesetting" w:hAnsi="Arabic Typesetting" w:cs="Arabic Typesetting"/>
          <w:color w:val="000000"/>
          <w:sz w:val="34"/>
          <w:szCs w:val="34"/>
          <w:rtl/>
        </w:rPr>
        <w:t>استخدام الموارد</w:t>
      </w:r>
    </w:p>
    <w:p w:rsidR="009951F7" w:rsidRPr="00FE3908" w:rsidRDefault="00774E37" w:rsidP="009951F7">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9951F7" w:rsidRDefault="009951F7" w:rsidP="009951F7">
      <w:pPr>
        <w:keepNext/>
        <w:bidi/>
        <w:spacing w:after="120" w:line="340" w:lineRule="exact"/>
        <w:jc w:val="center"/>
        <w:rPr>
          <w:rFonts w:ascii="Arabic Typesetting" w:hAnsi="Arabic Typesetting" w:cs="Arabic Typesetting"/>
          <w:i/>
          <w:iCs/>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9951F7" w:rsidRPr="00211D55" w:rsidTr="009951F7">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9951F7" w:rsidRPr="00211D55" w:rsidRDefault="009951F7" w:rsidP="00DE6751">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9951F7" w:rsidRPr="00211D55" w:rsidRDefault="009951F7" w:rsidP="00DE6751">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9951F7" w:rsidRPr="00211D55" w:rsidRDefault="009951F7" w:rsidP="00DE6751">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9951F7" w:rsidRPr="00211D55" w:rsidRDefault="009951F7" w:rsidP="00DE6751">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9951F7" w:rsidRPr="00211D55" w:rsidTr="00DE6751">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9951F7" w:rsidRPr="00211D55" w:rsidRDefault="009951F7">
            <w:pPr>
              <w:bidi/>
              <w:rPr>
                <w:rFonts w:ascii="Arabic Typesetting" w:hAnsi="Arabic Typesetting" w:cs="Arabic Typesetting"/>
                <w:sz w:val="28"/>
                <w:szCs w:val="28"/>
              </w:rPr>
            </w:pPr>
            <w:r w:rsidRPr="00211D55">
              <w:rPr>
                <w:rFonts w:ascii="Arabic Typesetting" w:hAnsi="Arabic Typesetting" w:cs="Arabic Typesetting"/>
                <w:sz w:val="28"/>
                <w:szCs w:val="28"/>
                <w:rtl/>
              </w:rPr>
              <w:t>ھ3.3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9951F7" w:rsidRPr="00211D55" w:rsidRDefault="0009764C">
            <w:pPr>
              <w:bidi/>
              <w:rPr>
                <w:rFonts w:ascii="Arabic Typesetting" w:hAnsi="Arabic Typesetting" w:cs="Arabic Typesetting"/>
                <w:sz w:val="28"/>
                <w:szCs w:val="28"/>
              </w:rPr>
            </w:pPr>
            <w:r>
              <w:rPr>
                <w:rFonts w:ascii="Arabic Typesetting" w:hAnsi="Arabic Typesetting" w:cs="Arabic Typesetting"/>
                <w:sz w:val="28"/>
                <w:szCs w:val="28"/>
                <w:rtl/>
              </w:rPr>
              <w:t>تعميم توصيات جدول أعمال التنمية على عمل الويبو</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951F7" w:rsidRPr="00211D55" w:rsidRDefault="009951F7" w:rsidP="00DE6751">
            <w:pPr>
              <w:rPr>
                <w:rFonts w:ascii="Arabic Typesetting" w:hAnsi="Arabic Typesetting" w:cs="Arabic Typesetting"/>
                <w:sz w:val="28"/>
                <w:szCs w:val="28"/>
              </w:rPr>
            </w:pPr>
            <w:r w:rsidRPr="00211D55">
              <w:rPr>
                <w:rFonts w:ascii="Arabic Typesetting" w:hAnsi="Arabic Typesetting" w:cs="Arabic Typesetting"/>
                <w:sz w:val="28"/>
                <w:szCs w:val="28"/>
              </w:rPr>
              <w:t>3,832</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951F7" w:rsidRPr="00211D55" w:rsidRDefault="009951F7" w:rsidP="00DE6751">
            <w:pPr>
              <w:rPr>
                <w:rFonts w:ascii="Arabic Typesetting" w:hAnsi="Arabic Typesetting" w:cs="Arabic Typesetting"/>
                <w:sz w:val="28"/>
                <w:szCs w:val="28"/>
              </w:rPr>
            </w:pPr>
            <w:r w:rsidRPr="00211D55">
              <w:rPr>
                <w:rFonts w:ascii="Arabic Typesetting" w:hAnsi="Arabic Typesetting" w:cs="Arabic Typesetting"/>
                <w:sz w:val="28"/>
                <w:szCs w:val="28"/>
              </w:rPr>
              <w:t>3,069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9951F7" w:rsidRPr="00211D55" w:rsidRDefault="009951F7" w:rsidP="00DE6751">
            <w:pPr>
              <w:rPr>
                <w:rFonts w:ascii="Arabic Typesetting" w:hAnsi="Arabic Typesetting" w:cs="Arabic Typesetting"/>
                <w:sz w:val="28"/>
                <w:szCs w:val="28"/>
              </w:rPr>
            </w:pPr>
            <w:r w:rsidRPr="00211D55">
              <w:rPr>
                <w:rFonts w:ascii="Arabic Typesetting" w:hAnsi="Arabic Typesetting" w:cs="Arabic Typesetting"/>
                <w:sz w:val="28"/>
                <w:szCs w:val="28"/>
              </w:rPr>
              <w:t>2,731</w:t>
            </w:r>
          </w:p>
        </w:tc>
      </w:tr>
      <w:tr w:rsidR="009951F7" w:rsidRPr="00211D55" w:rsidTr="00DE6751">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9951F7" w:rsidRPr="00211D55" w:rsidRDefault="009951F7">
            <w:pPr>
              <w:bidi/>
              <w:rPr>
                <w:rFonts w:ascii="Arabic Typesetting" w:hAnsi="Arabic Typesetting" w:cs="Arabic Typesetting"/>
                <w:sz w:val="28"/>
                <w:szCs w:val="28"/>
              </w:rPr>
            </w:pPr>
            <w:r w:rsidRPr="00211D55">
              <w:rPr>
                <w:rFonts w:ascii="Arabic Typesetting" w:hAnsi="Arabic Typesetting" w:cs="Arabic Typesetting"/>
                <w:sz w:val="28"/>
                <w:szCs w:val="28"/>
                <w:rtl/>
              </w:rPr>
              <w:t>ھ5.3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9951F7" w:rsidRPr="00211D55" w:rsidRDefault="00A0719D">
            <w:pPr>
              <w:bidi/>
              <w:rPr>
                <w:rFonts w:ascii="Arabic Typesetting" w:hAnsi="Arabic Typesetting" w:cs="Arabic Typesetting"/>
                <w:sz w:val="28"/>
                <w:szCs w:val="28"/>
              </w:rPr>
            </w:pPr>
            <w:r>
              <w:rPr>
                <w:rFonts w:ascii="Arabic Typesetting" w:hAnsi="Arabic Typesetting" w:cs="Arabic Typesetting"/>
                <w:sz w:val="28"/>
                <w:szCs w:val="28"/>
                <w:rtl/>
              </w:rPr>
              <w:t>فهم معمّق لجدول أعمال التنمية لدى الدول الأعضاء والمنظمات الحكومية الدولية والمجتمع المدني وأصحاب المصالح الآخرين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951F7" w:rsidRPr="00211D55" w:rsidRDefault="009951F7" w:rsidP="00DE6751">
            <w:pPr>
              <w:rPr>
                <w:rFonts w:ascii="Arabic Typesetting" w:hAnsi="Arabic Typesetting" w:cs="Arabic Typesetting"/>
                <w:sz w:val="28"/>
                <w:szCs w:val="28"/>
              </w:rPr>
            </w:pPr>
            <w:r w:rsidRPr="00211D55">
              <w:rPr>
                <w:rFonts w:ascii="Arabic Typesetting" w:hAnsi="Arabic Typesetting" w:cs="Arabic Typesetting"/>
                <w:sz w:val="28"/>
                <w:szCs w:val="28"/>
              </w:rPr>
              <w:t>509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951F7" w:rsidRPr="00211D55" w:rsidRDefault="009951F7" w:rsidP="00DE6751">
            <w:pPr>
              <w:rPr>
                <w:rFonts w:ascii="Arabic Typesetting" w:hAnsi="Arabic Typesetting" w:cs="Arabic Typesetting"/>
                <w:sz w:val="28"/>
                <w:szCs w:val="28"/>
              </w:rPr>
            </w:pPr>
            <w:r w:rsidRPr="00211D55">
              <w:rPr>
                <w:rFonts w:ascii="Arabic Typesetting" w:hAnsi="Arabic Typesetting" w:cs="Arabic Typesetting"/>
                <w:sz w:val="28"/>
                <w:szCs w:val="28"/>
              </w:rPr>
              <w:t>450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9951F7" w:rsidRPr="00211D55" w:rsidRDefault="009951F7" w:rsidP="00DE6751">
            <w:pPr>
              <w:rPr>
                <w:rFonts w:ascii="Arabic Typesetting" w:hAnsi="Arabic Typesetting" w:cs="Arabic Typesetting"/>
                <w:sz w:val="28"/>
                <w:szCs w:val="28"/>
              </w:rPr>
            </w:pPr>
            <w:r w:rsidRPr="00211D55">
              <w:rPr>
                <w:rFonts w:ascii="Arabic Typesetting" w:hAnsi="Arabic Typesetting" w:cs="Arabic Typesetting"/>
                <w:sz w:val="28"/>
                <w:szCs w:val="28"/>
              </w:rPr>
              <w:t>408</w:t>
            </w:r>
          </w:p>
        </w:tc>
      </w:tr>
      <w:tr w:rsidR="009951F7" w:rsidRPr="00211D55" w:rsidTr="00DE6751">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9951F7" w:rsidRPr="00211D55" w:rsidRDefault="009951F7" w:rsidP="00DE6751">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9951F7" w:rsidRPr="00211D55" w:rsidRDefault="009951F7" w:rsidP="00DE6751">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9951F7" w:rsidRPr="00211D55" w:rsidRDefault="009951F7" w:rsidP="00DE6751">
            <w:pPr>
              <w:rPr>
                <w:rFonts w:ascii="Arabic Typesetting" w:hAnsi="Arabic Typesetting" w:cs="Arabic Typesetting"/>
                <w:b/>
                <w:bCs/>
                <w:sz w:val="28"/>
                <w:szCs w:val="28"/>
              </w:rPr>
            </w:pPr>
            <w:r w:rsidRPr="00211D55">
              <w:rPr>
                <w:rFonts w:ascii="Arabic Typesetting" w:hAnsi="Arabic Typesetting" w:cs="Arabic Typesetting"/>
                <w:b/>
                <w:bCs/>
                <w:sz w:val="28"/>
                <w:szCs w:val="28"/>
              </w:rPr>
              <w:t>4,341</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9951F7" w:rsidRPr="00211D55" w:rsidRDefault="009951F7" w:rsidP="00DE6751">
            <w:pPr>
              <w:rPr>
                <w:rFonts w:ascii="Arabic Typesetting" w:hAnsi="Arabic Typesetting" w:cs="Arabic Typesetting"/>
                <w:b/>
                <w:bCs/>
                <w:sz w:val="28"/>
                <w:szCs w:val="28"/>
              </w:rPr>
            </w:pPr>
            <w:r w:rsidRPr="00211D55">
              <w:rPr>
                <w:rFonts w:ascii="Arabic Typesetting" w:hAnsi="Arabic Typesetting" w:cs="Arabic Typesetting"/>
                <w:b/>
                <w:bCs/>
                <w:sz w:val="28"/>
                <w:szCs w:val="28"/>
              </w:rPr>
              <w:t>3,519</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9951F7" w:rsidRPr="00211D55" w:rsidRDefault="009951F7" w:rsidP="00DE6751">
            <w:pPr>
              <w:rPr>
                <w:rFonts w:ascii="Arabic Typesetting" w:hAnsi="Arabic Typesetting" w:cs="Arabic Typesetting"/>
                <w:b/>
                <w:bCs/>
                <w:sz w:val="28"/>
                <w:szCs w:val="28"/>
              </w:rPr>
            </w:pPr>
            <w:r w:rsidRPr="00211D55">
              <w:rPr>
                <w:rFonts w:ascii="Arabic Typesetting" w:hAnsi="Arabic Typesetting" w:cs="Arabic Typesetting"/>
                <w:b/>
                <w:bCs/>
                <w:sz w:val="28"/>
                <w:szCs w:val="28"/>
              </w:rPr>
              <w:t>3,138</w:t>
            </w:r>
          </w:p>
        </w:tc>
      </w:tr>
    </w:tbl>
    <w:p w:rsidR="009951F7" w:rsidRPr="00252762" w:rsidRDefault="00774E37" w:rsidP="009951F7">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lastRenderedPageBreak/>
        <w:t>الميزانية والنفقات الفعلية (موارد الموظفين وخلاف موارد الموظفين)</w:t>
      </w:r>
    </w:p>
    <w:p w:rsidR="009951F7" w:rsidRPr="00DF1D8A" w:rsidRDefault="009951F7" w:rsidP="009951F7">
      <w:pPr>
        <w:keepNext/>
        <w:bidi/>
        <w:spacing w:after="120"/>
        <w:jc w:val="center"/>
        <w:rPr>
          <w:rFonts w:ascii="Arabic Typesetting" w:hAnsi="Arabic Typesetting" w:cs="Arabic Typesetting"/>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9951F7" w:rsidRPr="00211D55" w:rsidTr="009951F7">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9951F7" w:rsidRPr="00211D55" w:rsidRDefault="009951F7" w:rsidP="00DE6751">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951F7" w:rsidRPr="00211D55" w:rsidRDefault="009951F7" w:rsidP="00DE6751">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951F7" w:rsidRPr="00211D55" w:rsidRDefault="009951F7" w:rsidP="00DE6751">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951F7" w:rsidRPr="00211D55" w:rsidRDefault="009951F7" w:rsidP="00DE6751">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951F7" w:rsidRPr="00211D55" w:rsidRDefault="009E57D2" w:rsidP="00DE6751">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9951F7" w:rsidRPr="00211D55">
              <w:rPr>
                <w:rFonts w:ascii="Arabic Typesetting" w:hAnsi="Arabic Typesetting" w:cs="Arabic Typesetting"/>
                <w:b/>
                <w:bCs/>
                <w:i/>
                <w:iCs/>
                <w:sz w:val="28"/>
                <w:szCs w:val="28"/>
                <w:rtl/>
              </w:rPr>
              <w:t xml:space="preserve"> (%)</w:t>
            </w:r>
          </w:p>
        </w:tc>
      </w:tr>
      <w:tr w:rsidR="009951F7" w:rsidRPr="00211D55" w:rsidTr="009951F7">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951F7" w:rsidRPr="00211D55" w:rsidRDefault="009951F7" w:rsidP="00DE6751">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sz w:val="28"/>
                <w:szCs w:val="28"/>
              </w:rPr>
            </w:pPr>
            <w:r w:rsidRPr="00211D55">
              <w:rPr>
                <w:rFonts w:ascii="Arabic Typesetting" w:hAnsi="Arabic Typesetting" w:cs="Arabic Typesetting"/>
                <w:sz w:val="28"/>
                <w:szCs w:val="28"/>
              </w:rPr>
              <w:t>3,093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sz w:val="28"/>
                <w:szCs w:val="28"/>
              </w:rPr>
            </w:pPr>
            <w:r w:rsidRPr="00211D55">
              <w:rPr>
                <w:rFonts w:ascii="Arabic Typesetting" w:hAnsi="Arabic Typesetting" w:cs="Arabic Typesetting"/>
                <w:sz w:val="28"/>
                <w:szCs w:val="28"/>
              </w:rPr>
              <w:t>2,312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sz w:val="28"/>
                <w:szCs w:val="28"/>
              </w:rPr>
            </w:pPr>
            <w:r w:rsidRPr="00211D55">
              <w:rPr>
                <w:rFonts w:ascii="Arabic Typesetting" w:hAnsi="Arabic Typesetting" w:cs="Arabic Typesetting"/>
                <w:sz w:val="28"/>
                <w:szCs w:val="28"/>
              </w:rPr>
              <w:t>2,093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sz w:val="28"/>
                <w:szCs w:val="28"/>
              </w:rPr>
            </w:pPr>
            <w:r w:rsidRPr="00211D55">
              <w:rPr>
                <w:rFonts w:ascii="Arabic Typesetting" w:hAnsi="Arabic Typesetting" w:cs="Arabic Typesetting"/>
                <w:sz w:val="28"/>
                <w:szCs w:val="28"/>
              </w:rPr>
              <w:t>91%</w:t>
            </w:r>
          </w:p>
        </w:tc>
      </w:tr>
      <w:tr w:rsidR="009951F7" w:rsidRPr="00211D55" w:rsidTr="009951F7">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951F7" w:rsidRPr="00211D55" w:rsidRDefault="009951F7" w:rsidP="00DE6751">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sz w:val="28"/>
                <w:szCs w:val="28"/>
              </w:rPr>
            </w:pPr>
            <w:r w:rsidRPr="00211D55">
              <w:rPr>
                <w:rFonts w:ascii="Arabic Typesetting" w:hAnsi="Arabic Typesetting" w:cs="Arabic Typesetting"/>
                <w:sz w:val="28"/>
                <w:szCs w:val="28"/>
              </w:rPr>
              <w:t>1,248</w:t>
            </w:r>
          </w:p>
        </w:tc>
        <w:tc>
          <w:tcPr>
            <w:tcW w:w="970" w:type="pct"/>
            <w:tcBorders>
              <w:top w:val="nil"/>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sz w:val="28"/>
                <w:szCs w:val="28"/>
              </w:rPr>
            </w:pPr>
            <w:r w:rsidRPr="00211D55">
              <w:rPr>
                <w:rFonts w:ascii="Arabic Typesetting" w:hAnsi="Arabic Typesetting" w:cs="Arabic Typesetting"/>
                <w:sz w:val="28"/>
                <w:szCs w:val="28"/>
              </w:rPr>
              <w:t>1,207</w:t>
            </w:r>
          </w:p>
        </w:tc>
        <w:tc>
          <w:tcPr>
            <w:tcW w:w="970" w:type="pct"/>
            <w:tcBorders>
              <w:top w:val="nil"/>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sz w:val="28"/>
                <w:szCs w:val="28"/>
              </w:rPr>
            </w:pPr>
            <w:r w:rsidRPr="00211D55">
              <w:rPr>
                <w:rFonts w:ascii="Arabic Typesetting" w:hAnsi="Arabic Typesetting" w:cs="Arabic Typesetting"/>
                <w:sz w:val="28"/>
                <w:szCs w:val="28"/>
              </w:rPr>
              <w:t>1,046</w:t>
            </w:r>
          </w:p>
        </w:tc>
        <w:tc>
          <w:tcPr>
            <w:tcW w:w="970" w:type="pct"/>
            <w:tcBorders>
              <w:top w:val="nil"/>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sz w:val="28"/>
                <w:szCs w:val="28"/>
              </w:rPr>
            </w:pPr>
            <w:r w:rsidRPr="00211D55">
              <w:rPr>
                <w:rFonts w:ascii="Arabic Typesetting" w:hAnsi="Arabic Typesetting" w:cs="Arabic Typesetting"/>
                <w:sz w:val="28"/>
                <w:szCs w:val="28"/>
              </w:rPr>
              <w:t>87%</w:t>
            </w:r>
          </w:p>
        </w:tc>
      </w:tr>
      <w:tr w:rsidR="009951F7" w:rsidRPr="00211D55" w:rsidTr="009951F7">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951F7" w:rsidRPr="00211D55" w:rsidRDefault="009951F7" w:rsidP="00DE6751">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4,341</w:t>
            </w:r>
          </w:p>
        </w:tc>
        <w:tc>
          <w:tcPr>
            <w:tcW w:w="970" w:type="pct"/>
            <w:tcBorders>
              <w:top w:val="nil"/>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3,519</w:t>
            </w:r>
          </w:p>
        </w:tc>
        <w:tc>
          <w:tcPr>
            <w:tcW w:w="970" w:type="pct"/>
            <w:tcBorders>
              <w:top w:val="nil"/>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3,138</w:t>
            </w:r>
          </w:p>
        </w:tc>
        <w:tc>
          <w:tcPr>
            <w:tcW w:w="970" w:type="pct"/>
            <w:tcBorders>
              <w:top w:val="nil"/>
              <w:left w:val="single" w:sz="4" w:space="0" w:color="auto"/>
              <w:bottom w:val="single" w:sz="4" w:space="0" w:color="auto"/>
              <w:right w:val="single" w:sz="4" w:space="0" w:color="auto"/>
            </w:tcBorders>
            <w:shd w:val="clear" w:color="auto" w:fill="auto"/>
            <w:vAlign w:val="center"/>
          </w:tcPr>
          <w:p w:rsidR="009951F7" w:rsidRPr="00211D55" w:rsidRDefault="009951F7" w:rsidP="00DE6751">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89%</w:t>
            </w:r>
          </w:p>
        </w:tc>
      </w:tr>
    </w:tbl>
    <w:p w:rsidR="009951F7" w:rsidRPr="009951F7" w:rsidRDefault="009951F7" w:rsidP="009951F7">
      <w:pPr>
        <w:keepNext/>
        <w:bidi/>
        <w:spacing w:before="240" w:after="120" w:line="340" w:lineRule="exact"/>
        <w:rPr>
          <w:rFonts w:ascii="Arabic Typesetting" w:hAnsi="Arabic Typesetting" w:cs="Arabic Typesetting"/>
          <w:sz w:val="34"/>
          <w:szCs w:val="34"/>
          <w:lang w:bidi="ar-EG"/>
        </w:rPr>
      </w:pPr>
      <w:r w:rsidRPr="009951F7">
        <w:rPr>
          <w:rFonts w:ascii="Arabic Typesetting" w:hAnsi="Arabic Typesetting" w:cs="Arabic Typesetting" w:hint="cs"/>
          <w:sz w:val="34"/>
          <w:szCs w:val="34"/>
          <w:rtl/>
          <w:lang w:bidi="ar-EG"/>
        </w:rPr>
        <w:t>ألف</w:t>
      </w:r>
      <w:r w:rsidRPr="009951F7">
        <w:rPr>
          <w:rFonts w:ascii="Arabic Typesetting" w:hAnsi="Arabic Typesetting" w:cs="Arabic Typesetting"/>
          <w:sz w:val="34"/>
          <w:szCs w:val="34"/>
          <w:lang w:bidi="ar-EG"/>
        </w:rPr>
        <w:t>.</w:t>
      </w:r>
      <w:r w:rsidRPr="009951F7">
        <w:rPr>
          <w:rFonts w:ascii="Arabic Typesetting" w:hAnsi="Arabic Typesetting" w:cs="Arabic Typesetting" w:hint="cs"/>
          <w:sz w:val="34"/>
          <w:szCs w:val="34"/>
          <w:rtl/>
          <w:lang w:bidi="ar-EG"/>
        </w:rPr>
        <w:tab/>
      </w:r>
      <w:r w:rsidRPr="009951F7">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3C151C" w:rsidRPr="006638C7" w:rsidRDefault="006638C7" w:rsidP="009A3712">
      <w:pPr>
        <w:numPr>
          <w:ilvl w:val="0"/>
          <w:numId w:val="14"/>
        </w:numPr>
        <w:bidi/>
        <w:spacing w:after="120" w:line="340" w:lineRule="exact"/>
        <w:ind w:left="0" w:firstLine="0"/>
        <w:rPr>
          <w:rFonts w:ascii="Arabic Typesetting" w:hAnsi="Arabic Typesetting" w:cs="Arabic Typesetting"/>
          <w:sz w:val="34"/>
          <w:szCs w:val="34"/>
          <w:lang w:eastAsia="ko-KR" w:bidi="ar-EG"/>
        </w:rPr>
      </w:pPr>
      <w:r w:rsidRPr="006638C7">
        <w:rPr>
          <w:rFonts w:ascii="Arabic Typesetting" w:hAnsi="Arabic Typesetting" w:cs="Arabic Typesetting" w:hint="cs"/>
          <w:sz w:val="34"/>
          <w:szCs w:val="34"/>
          <w:rtl/>
          <w:lang w:eastAsia="ko-KR"/>
        </w:rPr>
        <w:t xml:space="preserve">يعزى أساساً انخفاض </w:t>
      </w:r>
      <w:r w:rsidRPr="006638C7">
        <w:rPr>
          <w:rFonts w:ascii="Arabic Typesetting" w:hAnsi="Arabic Typesetting" w:cs="Arabic Typesetting"/>
          <w:sz w:val="34"/>
          <w:szCs w:val="34"/>
          <w:rtl/>
          <w:lang w:eastAsia="ko-KR"/>
        </w:rPr>
        <w:t xml:space="preserve">الميزانية النهائية بعد التحويلات </w:t>
      </w:r>
      <w:r w:rsidR="00507DE2">
        <w:rPr>
          <w:rFonts w:ascii="Arabic Typesetting" w:hAnsi="Arabic Typesetting" w:cs="Arabic Typesetting"/>
          <w:sz w:val="34"/>
          <w:szCs w:val="34"/>
          <w:rtl/>
          <w:lang w:eastAsia="ko-KR"/>
        </w:rPr>
        <w:t>2014/15</w:t>
      </w:r>
      <w:r w:rsidRPr="006638C7">
        <w:rPr>
          <w:rFonts w:ascii="Arabic Typesetting" w:hAnsi="Arabic Typesetting" w:cs="Arabic Typesetting" w:hint="cs"/>
          <w:sz w:val="34"/>
          <w:szCs w:val="34"/>
          <w:rtl/>
          <w:lang w:eastAsia="ko-KR"/>
        </w:rPr>
        <w:t xml:space="preserve"> إلى </w:t>
      </w:r>
      <w:r w:rsidR="003C151C" w:rsidRPr="006638C7">
        <w:rPr>
          <w:rFonts w:ascii="Arabic Typesetting" w:hAnsi="Arabic Typesetting" w:cs="Arabic Typesetting"/>
          <w:sz w:val="34"/>
          <w:szCs w:val="34"/>
          <w:rtl/>
          <w:lang w:eastAsia="ko-KR" w:bidi="ar-EG"/>
        </w:rPr>
        <w:t>إعادة توزيع موارد الموظفين (وظيفة واحدة) خارج</w:t>
      </w:r>
      <w:r>
        <w:rPr>
          <w:rFonts w:ascii="Arabic Typesetting" w:hAnsi="Arabic Typesetting" w:cs="Arabic Typesetting" w:hint="cs"/>
          <w:sz w:val="34"/>
          <w:szCs w:val="34"/>
          <w:rtl/>
          <w:lang w:eastAsia="ko-KR" w:bidi="ar-EG"/>
        </w:rPr>
        <w:t> </w:t>
      </w:r>
      <w:r w:rsidR="003C151C" w:rsidRPr="006638C7">
        <w:rPr>
          <w:rFonts w:ascii="Arabic Typesetting" w:hAnsi="Arabic Typesetting" w:cs="Arabic Typesetting"/>
          <w:sz w:val="34"/>
          <w:szCs w:val="34"/>
          <w:rtl/>
          <w:lang w:eastAsia="ko-KR" w:bidi="ar-EG"/>
        </w:rPr>
        <w:t>البرنامج.</w:t>
      </w:r>
    </w:p>
    <w:p w:rsidR="009951F7" w:rsidRPr="009951F7" w:rsidRDefault="009951F7" w:rsidP="009951F7">
      <w:pPr>
        <w:keepNext/>
        <w:bidi/>
        <w:spacing w:after="120" w:line="340" w:lineRule="exact"/>
        <w:rPr>
          <w:rFonts w:ascii="Arabic Typesetting" w:hAnsi="Arabic Typesetting" w:cs="Arabic Typesetting"/>
          <w:sz w:val="34"/>
          <w:szCs w:val="34"/>
          <w:rtl/>
          <w:lang w:bidi="ar-EG"/>
        </w:rPr>
      </w:pPr>
      <w:r w:rsidRPr="009951F7">
        <w:rPr>
          <w:rFonts w:ascii="Arabic Typesetting" w:hAnsi="Arabic Typesetting" w:cs="Arabic Typesetting" w:hint="cs"/>
          <w:sz w:val="34"/>
          <w:szCs w:val="34"/>
          <w:rtl/>
          <w:lang w:bidi="ar-EG"/>
        </w:rPr>
        <w:t>باء</w:t>
      </w:r>
      <w:r w:rsidRPr="009951F7">
        <w:rPr>
          <w:rFonts w:ascii="Arabic Typesetting" w:hAnsi="Arabic Typesetting" w:cs="Arabic Typesetting"/>
          <w:sz w:val="34"/>
          <w:szCs w:val="34"/>
          <w:lang w:bidi="ar-EG"/>
        </w:rPr>
        <w:t>.</w:t>
      </w:r>
      <w:r w:rsidRPr="009951F7">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086C3F" w:rsidRPr="00B264F9" w:rsidRDefault="006638C7" w:rsidP="009A3712">
      <w:pPr>
        <w:numPr>
          <w:ilvl w:val="0"/>
          <w:numId w:val="14"/>
        </w:numPr>
        <w:bidi/>
        <w:spacing w:after="120" w:line="340" w:lineRule="exact"/>
        <w:ind w:left="0" w:firstLine="0"/>
        <w:rPr>
          <w:rFonts w:ascii="Arabic Typesetting" w:hAnsi="Arabic Typesetting" w:cs="Arabic Typesetting"/>
          <w:sz w:val="34"/>
          <w:szCs w:val="34"/>
          <w:rtl/>
        </w:rPr>
      </w:pPr>
      <w:r w:rsidRPr="006638C7">
        <w:rPr>
          <w:rFonts w:ascii="Arabic Typesetting" w:hAnsi="Arabic Typesetting" w:cs="Arabic Typesetting" w:hint="cs"/>
          <w:sz w:val="34"/>
          <w:szCs w:val="34"/>
          <w:rtl/>
          <w:lang w:eastAsia="ko-KR" w:bidi="ar-EG"/>
        </w:rPr>
        <w:t xml:space="preserve">يعزى </w:t>
      </w:r>
      <w:r w:rsidR="009B25F8">
        <w:rPr>
          <w:rFonts w:ascii="Arabic Typesetting" w:hAnsi="Arabic Typesetting" w:cs="Arabic Typesetting" w:hint="cs"/>
          <w:sz w:val="34"/>
          <w:szCs w:val="34"/>
          <w:rtl/>
          <w:lang w:eastAsia="ko-KR" w:bidi="ar-EG"/>
        </w:rPr>
        <w:t>ال</w:t>
      </w:r>
      <w:r w:rsidRPr="006638C7">
        <w:rPr>
          <w:rFonts w:ascii="Arabic Typesetting" w:hAnsi="Arabic Typesetting" w:cs="Arabic Typesetting" w:hint="cs"/>
          <w:sz w:val="34"/>
          <w:szCs w:val="34"/>
          <w:rtl/>
          <w:lang w:eastAsia="ko-KR" w:bidi="ar-EG"/>
        </w:rPr>
        <w:t xml:space="preserve">انخفاض </w:t>
      </w:r>
      <w:r w:rsidR="009B25F8">
        <w:rPr>
          <w:rFonts w:ascii="Arabic Typesetting" w:hAnsi="Arabic Typesetting" w:cs="Arabic Typesetting" w:hint="cs"/>
          <w:sz w:val="34"/>
          <w:szCs w:val="34"/>
          <w:rtl/>
          <w:lang w:eastAsia="ko-KR" w:bidi="ar-EG"/>
        </w:rPr>
        <w:t xml:space="preserve">في </w:t>
      </w:r>
      <w:r w:rsidR="009B25F8">
        <w:rPr>
          <w:rFonts w:ascii="Arabic Typesetting" w:hAnsi="Arabic Typesetting" w:cs="Arabic Typesetting" w:hint="cs"/>
          <w:sz w:val="34"/>
          <w:szCs w:val="34"/>
          <w:rtl/>
          <w:lang w:eastAsia="ko-KR"/>
        </w:rPr>
        <w:t>إنفاق</w:t>
      </w:r>
      <w:r w:rsidR="009B25F8" w:rsidRPr="006638C7">
        <w:rPr>
          <w:rFonts w:ascii="Arabic Typesetting" w:hAnsi="Arabic Typesetting" w:cs="Arabic Typesetting" w:hint="cs"/>
          <w:sz w:val="34"/>
          <w:szCs w:val="34"/>
          <w:rtl/>
          <w:lang w:eastAsia="ko-KR" w:bidi="ar-EG"/>
        </w:rPr>
        <w:t xml:space="preserve"> </w:t>
      </w:r>
      <w:r w:rsidRPr="006638C7">
        <w:rPr>
          <w:rFonts w:ascii="Arabic Typesetting" w:hAnsi="Arabic Typesetting" w:cs="Arabic Typesetting" w:hint="cs"/>
          <w:sz w:val="34"/>
          <w:szCs w:val="34"/>
          <w:rtl/>
          <w:lang w:eastAsia="ko-KR" w:bidi="ar-EG"/>
        </w:rPr>
        <w:t xml:space="preserve">موارد الموظفين إلى وظيفة شاغرة. ويعزى </w:t>
      </w:r>
      <w:r w:rsidR="0055755E">
        <w:rPr>
          <w:rFonts w:ascii="Arabic Typesetting" w:hAnsi="Arabic Typesetting" w:cs="Arabic Typesetting" w:hint="cs"/>
          <w:sz w:val="34"/>
          <w:szCs w:val="34"/>
          <w:rtl/>
          <w:lang w:eastAsia="ko-KR" w:bidi="ar-EG"/>
        </w:rPr>
        <w:t>ال</w:t>
      </w:r>
      <w:r w:rsidRPr="006638C7">
        <w:rPr>
          <w:rFonts w:ascii="Arabic Typesetting" w:hAnsi="Arabic Typesetting" w:cs="Arabic Typesetting" w:hint="cs"/>
          <w:sz w:val="34"/>
          <w:szCs w:val="34"/>
          <w:rtl/>
          <w:lang w:eastAsia="ko-KR" w:bidi="ar-EG"/>
        </w:rPr>
        <w:t xml:space="preserve">انخفاض </w:t>
      </w:r>
      <w:r w:rsidR="0055755E">
        <w:rPr>
          <w:rFonts w:ascii="Arabic Typesetting" w:hAnsi="Arabic Typesetting" w:cs="Arabic Typesetting" w:hint="cs"/>
          <w:sz w:val="34"/>
          <w:szCs w:val="34"/>
          <w:rtl/>
          <w:lang w:eastAsia="ko-KR" w:bidi="ar-EG"/>
        </w:rPr>
        <w:t>في إنفاق مخصصات</w:t>
      </w:r>
      <w:r w:rsidRPr="006638C7">
        <w:rPr>
          <w:rFonts w:ascii="Arabic Typesetting" w:hAnsi="Arabic Typesetting" w:cs="Arabic Typesetting" w:hint="cs"/>
          <w:sz w:val="34"/>
          <w:szCs w:val="34"/>
          <w:rtl/>
          <w:lang w:eastAsia="ko-KR" w:bidi="ar-EG"/>
        </w:rPr>
        <w:t xml:space="preserve"> خلاف موارد الموظفين إلى التأخر في </w:t>
      </w:r>
      <w:r w:rsidRPr="006638C7">
        <w:rPr>
          <w:rFonts w:ascii="Arabic Typesetting" w:hAnsi="Arabic Typesetting" w:cs="Arabic Typesetting"/>
          <w:sz w:val="34"/>
          <w:szCs w:val="34"/>
          <w:rtl/>
          <w:lang w:eastAsia="ko-KR" w:bidi="ar-EG"/>
        </w:rPr>
        <w:t>الاستعراض المستقل لتنفيذ توصيات جدول أعمال التنمية</w:t>
      </w:r>
      <w:r w:rsidR="002F204A">
        <w:rPr>
          <w:rFonts w:ascii="Arabic Typesetting" w:hAnsi="Arabic Typesetting" w:cs="Arabic Typesetting" w:hint="cs"/>
          <w:sz w:val="34"/>
          <w:szCs w:val="34"/>
          <w:rtl/>
          <w:lang w:eastAsia="ko-KR" w:bidi="ar-EG"/>
        </w:rPr>
        <w:t>؛ وكان التأخير</w:t>
      </w:r>
      <w:r>
        <w:rPr>
          <w:rFonts w:ascii="Arabic Typesetting" w:hAnsi="Arabic Typesetting" w:cs="Arabic Typesetting" w:hint="cs"/>
          <w:sz w:val="34"/>
          <w:szCs w:val="34"/>
          <w:rtl/>
          <w:lang w:eastAsia="ko-KR" w:bidi="ar-EG"/>
        </w:rPr>
        <w:t xml:space="preserve"> </w:t>
      </w:r>
      <w:r w:rsidR="002F204A">
        <w:rPr>
          <w:rFonts w:ascii="Arabic Typesetting" w:hAnsi="Arabic Typesetting" w:cs="Arabic Typesetting" w:hint="cs"/>
          <w:sz w:val="34"/>
          <w:szCs w:val="34"/>
          <w:rtl/>
          <w:lang w:eastAsia="ko-KR" w:bidi="ar-EG"/>
        </w:rPr>
        <w:t>ب</w:t>
      </w:r>
      <w:r>
        <w:rPr>
          <w:rFonts w:ascii="Arabic Typesetting" w:hAnsi="Arabic Typesetting" w:cs="Arabic Typesetting" w:hint="cs"/>
          <w:sz w:val="34"/>
          <w:szCs w:val="34"/>
          <w:rtl/>
          <w:lang w:eastAsia="ko-KR" w:bidi="ar-EG"/>
        </w:rPr>
        <w:t>موافقة الدول الأعضاء</w:t>
      </w:r>
      <w:r w:rsidRPr="006638C7">
        <w:rPr>
          <w:rFonts w:ascii="Arabic Typesetting" w:hAnsi="Arabic Typesetting" w:cs="Arabic Typesetting"/>
          <w:sz w:val="34"/>
          <w:szCs w:val="34"/>
          <w:rtl/>
          <w:lang w:eastAsia="ko-KR" w:bidi="ar-EG"/>
        </w:rPr>
        <w:t>.</w:t>
      </w:r>
    </w:p>
    <w:p w:rsidR="00B31868" w:rsidRPr="00365D19" w:rsidRDefault="00B31868" w:rsidP="00E00E9F">
      <w:pPr>
        <w:pStyle w:val="Heading3AR"/>
        <w:spacing w:after="120"/>
        <w:rPr>
          <w:rtl/>
        </w:rPr>
      </w:pPr>
      <w:bookmarkStart w:id="60" w:name="_Toc450635411"/>
      <w:bookmarkStart w:id="61" w:name="_Toc455393378"/>
      <w:r w:rsidRPr="00365D19">
        <w:rPr>
          <w:rtl/>
        </w:rPr>
        <w:lastRenderedPageBreak/>
        <w:t xml:space="preserve">البرنامج </w:t>
      </w:r>
      <w:r w:rsidR="00365D19">
        <w:rPr>
          <w:rFonts w:hint="cs"/>
          <w:rtl/>
        </w:rPr>
        <w:t>9</w:t>
      </w:r>
      <w:r w:rsidRPr="00365D19">
        <w:rPr>
          <w:rtl/>
        </w:rPr>
        <w:t>:</w:t>
      </w:r>
      <w:r w:rsidRPr="00365D19">
        <w:rPr>
          <w:rtl/>
        </w:rPr>
        <w:tab/>
        <w:t xml:space="preserve">البلدان الأفريقية والعربية وبلدان آسيا والمحيط الهادئ وأمريكا اللاتينية والكاريبي </w:t>
      </w:r>
      <w:bookmarkEnd w:id="60"/>
      <w:r w:rsidR="00CE7D75">
        <w:rPr>
          <w:rFonts w:hint="cs"/>
          <w:rtl/>
        </w:rPr>
        <w:t>والبلدان الأقل نموا</w:t>
      </w:r>
      <w:bookmarkEnd w:id="61"/>
    </w:p>
    <w:p w:rsidR="00B31868" w:rsidRDefault="00B31868" w:rsidP="00E00E9F">
      <w:pPr>
        <w:keepNext/>
        <w:bidi/>
        <w:spacing w:after="240" w:line="340" w:lineRule="exact"/>
        <w:ind w:left="1984" w:hanging="1984"/>
        <w:rPr>
          <w:rFonts w:ascii="Arabic Typesetting" w:hAnsi="Arabic Typesetting" w:cs="Arabic Typesetting"/>
          <w:b/>
          <w:bCs/>
          <w:sz w:val="36"/>
          <w:szCs w:val="36"/>
          <w:rtl/>
          <w:lang w:val="fr-CH"/>
        </w:rPr>
      </w:pPr>
      <w:r w:rsidRPr="00B31868">
        <w:rPr>
          <w:rFonts w:ascii="Arabic Typesetting" w:hAnsi="Arabic Typesetting" w:cs="Arabic Typesetting"/>
          <w:b/>
          <w:bCs/>
          <w:sz w:val="36"/>
          <w:szCs w:val="36"/>
          <w:rtl/>
          <w:lang w:val="fr-CH"/>
        </w:rPr>
        <w:t>المسؤول عن البرنامج</w:t>
      </w:r>
      <w:r w:rsidRPr="00B31868">
        <w:rPr>
          <w:rFonts w:ascii="Arabic Typesetting" w:hAnsi="Arabic Typesetting" w:cs="Arabic Typesetting" w:hint="cs"/>
          <w:b/>
          <w:bCs/>
          <w:sz w:val="36"/>
          <w:szCs w:val="36"/>
          <w:rtl/>
          <w:lang w:val="fr-CH"/>
        </w:rPr>
        <w:t>:</w:t>
      </w:r>
      <w:r w:rsidRPr="00B31868">
        <w:rPr>
          <w:rFonts w:ascii="Arabic Typesetting" w:hAnsi="Arabic Typesetting" w:cs="Arabic Typesetting" w:hint="cs"/>
          <w:b/>
          <w:bCs/>
          <w:sz w:val="36"/>
          <w:szCs w:val="36"/>
          <w:rtl/>
          <w:lang w:val="fr-CH"/>
        </w:rPr>
        <w:tab/>
      </w:r>
      <w:r w:rsidR="00086C3F" w:rsidRPr="00086C3F">
        <w:rPr>
          <w:rFonts w:ascii="Arabic Typesetting" w:hAnsi="Arabic Typesetting" w:cs="Arabic Typesetting" w:hint="cs"/>
          <w:b/>
          <w:bCs/>
          <w:sz w:val="36"/>
          <w:szCs w:val="36"/>
          <w:rtl/>
          <w:lang w:val="fr-CH"/>
        </w:rPr>
        <w:t xml:space="preserve">السيد ماريو </w:t>
      </w:r>
      <w:proofErr w:type="spellStart"/>
      <w:r w:rsidR="00086C3F" w:rsidRPr="00086C3F">
        <w:rPr>
          <w:rFonts w:ascii="Arabic Typesetting" w:hAnsi="Arabic Typesetting" w:cs="Arabic Typesetting" w:hint="cs"/>
          <w:b/>
          <w:bCs/>
          <w:sz w:val="36"/>
          <w:szCs w:val="36"/>
          <w:rtl/>
          <w:lang w:val="fr-CH"/>
        </w:rPr>
        <w:t>ماتوس</w:t>
      </w:r>
      <w:proofErr w:type="spellEnd"/>
    </w:p>
    <w:p w:rsidR="009A48D1" w:rsidRDefault="009A48D1" w:rsidP="00E00E9F">
      <w:pPr>
        <w:keepNext/>
        <w:bidi/>
        <w:spacing w:before="120"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الإنجازات المحققة خلال</w:t>
      </w:r>
      <w:r w:rsidRPr="00FE3908">
        <w:rPr>
          <w:rFonts w:ascii="Arabic Typesetting" w:hAnsi="Arabic Typesetting" w:cs="Arabic Typesetting" w:hint="cs"/>
          <w:sz w:val="36"/>
          <w:szCs w:val="36"/>
          <w:rtl/>
          <w:lang w:val="fr-CH"/>
        </w:rPr>
        <w:t xml:space="preserve"> </w:t>
      </w:r>
      <w:r>
        <w:rPr>
          <w:rFonts w:ascii="Arabic Typesetting" w:hAnsi="Arabic Typesetting" w:cs="Arabic Typesetting" w:hint="cs"/>
          <w:sz w:val="36"/>
          <w:szCs w:val="36"/>
          <w:rtl/>
          <w:lang w:val="fr-CH"/>
        </w:rPr>
        <w:t xml:space="preserve">الثنائية </w:t>
      </w:r>
      <w:r w:rsidR="00507DE2">
        <w:rPr>
          <w:rFonts w:ascii="Arabic Typesetting" w:hAnsi="Arabic Typesetting" w:cs="Arabic Typesetting" w:hint="cs"/>
          <w:sz w:val="36"/>
          <w:szCs w:val="36"/>
          <w:rtl/>
          <w:lang w:val="fr-CH"/>
        </w:rPr>
        <w:t>2014/15</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استمر الهدف الاستراتيجي الثالث، خلال الثنائية، في دفع أنشطة المساعدة التقنية والدعم التي يقدمها البرنامج إلى الدول الأعضاء على أساس الاحتياجات الخاصة بكل بلد. واستمر البرنامج</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 xml:space="preserve">9، باعتباره واجهة تفاعل أساسية بين الدول الأعضاء المستفيدة ومختلف برامج الويبو، في ضمان </w:t>
      </w:r>
      <w:r w:rsidRPr="00BE2585">
        <w:rPr>
          <w:rFonts w:ascii="Arabic Typesetting" w:hAnsi="Arabic Typesetting" w:cs="Arabic Typesetting" w:hint="cs"/>
          <w:sz w:val="34"/>
          <w:szCs w:val="34"/>
          <w:rtl/>
          <w:lang w:val="fr-CH" w:bidi="ar-EG"/>
        </w:rPr>
        <w:t xml:space="preserve">تقديم المساعدة التقنية على أساس الاحتياجات الخاصة بكل بلد وبطريقة متماسكة ومنسقة تنسيقا جيدا. وبشكل عام، استفادت عمليات تصميم أنشطة التعاون التقني وتخطيطها وتنفيذها من ترشيد وتوجيه توصيات جدول أعمال التنمية المعنية، وبخاصة التوصيات المندرجة في الفئة ألف بشأن الأنشطة التي تقوم بها الويبو في مجالي المساعدة التقنية وتكوين الكفاءات. وتماشيا مع توصيات جدول أعمال التنمية، تواصل تعميم تنفيذ الأنشطة الإنمائية المنحى لفائدة البلدان النامية والبلدان الأقل نموا في مختلف برامج المنظمة المتخصصة في الثنائية 2014/15 من أجل </w:t>
      </w:r>
      <w:r w:rsidR="00CE7D75">
        <w:rPr>
          <w:rFonts w:ascii="Arabic Typesetting" w:hAnsi="Arabic Typesetting" w:cs="Arabic Typesetting" w:hint="cs"/>
          <w:sz w:val="34"/>
          <w:szCs w:val="34"/>
          <w:rtl/>
          <w:lang w:val="fr-CH" w:bidi="ar-EG"/>
        </w:rPr>
        <w:t>مواصلة</w:t>
      </w:r>
      <w:r w:rsidR="00CE7D75" w:rsidRPr="00BE2585">
        <w:rPr>
          <w:rFonts w:ascii="Arabic Typesetting" w:hAnsi="Arabic Typesetting" w:cs="Arabic Typesetting" w:hint="cs"/>
          <w:sz w:val="34"/>
          <w:szCs w:val="34"/>
          <w:rtl/>
          <w:lang w:val="fr-CH" w:bidi="ar-EG"/>
        </w:rPr>
        <w:t xml:space="preserve"> </w:t>
      </w:r>
      <w:r w:rsidRPr="00BE2585">
        <w:rPr>
          <w:rFonts w:ascii="Arabic Typesetting" w:hAnsi="Arabic Typesetting" w:cs="Arabic Typesetting" w:hint="cs"/>
          <w:sz w:val="34"/>
          <w:szCs w:val="34"/>
          <w:rtl/>
          <w:lang w:val="fr-CH" w:bidi="ar-EG"/>
        </w:rPr>
        <w:t>تعزيز التعاون التقني الذي تقيمه الويبو مع البلدان.</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وواصلت الويبو مساعدة البلدان النامية والبلدان الأقل نموا على تصميم</w:t>
      </w:r>
      <w:r w:rsidRPr="00BE2585">
        <w:rPr>
          <w:rFonts w:ascii="Arabic Typesetting" w:hAnsi="Arabic Typesetting" w:cs="Arabic Typesetting"/>
          <w:sz w:val="34"/>
          <w:szCs w:val="34"/>
          <w:rtl/>
          <w:lang w:val="fr-CH"/>
        </w:rPr>
        <w:t xml:space="preserve"> استراتيجيات وطنية للملكية الفكرية وتطوير</w:t>
      </w:r>
      <w:r w:rsidRPr="00BE2585">
        <w:rPr>
          <w:rFonts w:ascii="Arabic Typesetting" w:hAnsi="Arabic Typesetting" w:cs="Arabic Typesetting" w:hint="cs"/>
          <w:sz w:val="34"/>
          <w:szCs w:val="34"/>
          <w:rtl/>
          <w:lang w:val="fr-CH"/>
        </w:rPr>
        <w:t>ها</w:t>
      </w:r>
      <w:r w:rsidRPr="00BE2585">
        <w:rPr>
          <w:rFonts w:ascii="Arabic Typesetting" w:hAnsi="Arabic Typesetting" w:cs="Arabic Typesetting"/>
          <w:sz w:val="34"/>
          <w:szCs w:val="34"/>
          <w:rtl/>
          <w:lang w:val="fr-CH"/>
        </w:rPr>
        <w:t xml:space="preserve"> وتنفيذ</w:t>
      </w:r>
      <w:r w:rsidRPr="00BE2585">
        <w:rPr>
          <w:rFonts w:ascii="Arabic Typesetting" w:hAnsi="Arabic Typesetting" w:cs="Arabic Typesetting" w:hint="cs"/>
          <w:sz w:val="34"/>
          <w:szCs w:val="34"/>
          <w:rtl/>
          <w:lang w:val="fr-CH"/>
        </w:rPr>
        <w:t>ها، بحيث تكون تلك الاستراتيجيات متسقة مع</w:t>
      </w:r>
      <w:r w:rsidRPr="00BE2585">
        <w:rPr>
          <w:rFonts w:ascii="Arabic Typesetting" w:hAnsi="Arabic Typesetting" w:cs="Arabic Typesetting"/>
          <w:sz w:val="34"/>
          <w:szCs w:val="34"/>
          <w:rtl/>
          <w:lang w:val="fr-CH"/>
        </w:rPr>
        <w:t xml:space="preserve"> خطط</w:t>
      </w:r>
      <w:r w:rsidRPr="00BE2585">
        <w:rPr>
          <w:rFonts w:ascii="Arabic Typesetting" w:hAnsi="Arabic Typesetting" w:cs="Arabic Typesetting" w:hint="cs"/>
          <w:sz w:val="34"/>
          <w:szCs w:val="34"/>
          <w:rtl/>
          <w:lang w:val="fr-CH"/>
        </w:rPr>
        <w:t>ها</w:t>
      </w:r>
      <w:r w:rsidRPr="00BE2585">
        <w:rPr>
          <w:rFonts w:ascii="Arabic Typesetting" w:hAnsi="Arabic Typesetting" w:cs="Arabic Typesetting"/>
          <w:sz w:val="34"/>
          <w:szCs w:val="34"/>
          <w:rtl/>
          <w:lang w:val="fr-CH"/>
        </w:rPr>
        <w:t xml:space="preserve"> </w:t>
      </w:r>
      <w:r w:rsidRPr="00BE2585">
        <w:rPr>
          <w:rFonts w:ascii="Arabic Typesetting" w:hAnsi="Arabic Typesetting" w:cs="Arabic Typesetting" w:hint="cs"/>
          <w:sz w:val="34"/>
          <w:szCs w:val="34"/>
          <w:rtl/>
          <w:lang w:val="fr-CH"/>
        </w:rPr>
        <w:t>الإنمائية</w:t>
      </w:r>
      <w:r w:rsidRPr="00BE2585">
        <w:rPr>
          <w:rFonts w:ascii="Arabic Typesetting" w:hAnsi="Arabic Typesetting" w:cs="Arabic Typesetting"/>
          <w:sz w:val="34"/>
          <w:szCs w:val="34"/>
          <w:rtl/>
          <w:lang w:val="fr-CH"/>
        </w:rPr>
        <w:t xml:space="preserve"> العامة وقادرة على تشجيع الابتكار والإبداع</w:t>
      </w:r>
      <w:r w:rsidRPr="00BE2585">
        <w:rPr>
          <w:rFonts w:ascii="Arabic Typesetting" w:hAnsi="Arabic Typesetting" w:cs="Arabic Typesetting" w:hint="cs"/>
          <w:sz w:val="34"/>
          <w:szCs w:val="34"/>
          <w:rtl/>
          <w:lang w:val="fr-CH"/>
        </w:rPr>
        <w:t xml:space="preserve">. وظلّت تلك العملية تستهدي بمنهجية موحدة ومرنة في آن واحد ومجموعة من الأدوات العملية لصياغة </w:t>
      </w:r>
      <w:r w:rsidRPr="00BE2585">
        <w:rPr>
          <w:rFonts w:ascii="Arabic Typesetting" w:hAnsi="Arabic Typesetting" w:cs="Arabic Typesetting"/>
          <w:sz w:val="34"/>
          <w:szCs w:val="34"/>
          <w:rtl/>
          <w:lang w:val="fr-CH"/>
        </w:rPr>
        <w:t>استراتيجيات</w:t>
      </w:r>
      <w:r w:rsidRPr="00BE2585">
        <w:rPr>
          <w:rFonts w:ascii="Arabic Typesetting" w:hAnsi="Arabic Typesetting" w:cs="Arabic Typesetting" w:hint="cs"/>
          <w:sz w:val="34"/>
          <w:szCs w:val="34"/>
          <w:rtl/>
          <w:lang w:val="fr-CH"/>
        </w:rPr>
        <w:t xml:space="preserve"> وخطط</w:t>
      </w:r>
      <w:r w:rsidRPr="00BE2585">
        <w:rPr>
          <w:rFonts w:ascii="Arabic Typesetting" w:hAnsi="Arabic Typesetting" w:cs="Arabic Typesetting"/>
          <w:sz w:val="34"/>
          <w:szCs w:val="34"/>
          <w:rtl/>
          <w:lang w:val="fr-CH"/>
        </w:rPr>
        <w:t xml:space="preserve"> وطنية للملكية الفكرية</w:t>
      </w:r>
      <w:r w:rsidRPr="00BE2585">
        <w:rPr>
          <w:rFonts w:ascii="Arabic Typesetting" w:hAnsi="Arabic Typesetting" w:cs="Arabic Typesetting" w:hint="cs"/>
          <w:sz w:val="34"/>
          <w:szCs w:val="34"/>
          <w:rtl/>
          <w:lang w:val="fr-CH"/>
        </w:rPr>
        <w:t>، وُضعت في عام 2012 في إطار مشروع جدول أعمال التنمية الخاص ب</w:t>
      </w:r>
      <w:r w:rsidRPr="00BE2585">
        <w:rPr>
          <w:rFonts w:ascii="Arabic Typesetting" w:hAnsi="Arabic Typesetting" w:cs="Arabic Typesetting"/>
          <w:sz w:val="34"/>
          <w:szCs w:val="34"/>
          <w:rtl/>
          <w:lang w:val="fr-CH"/>
        </w:rPr>
        <w:t>تعزيز قدرات المؤسسات والمستخدمين في مجال الملكية الفكرية على كل من الصعيد الوطني ودون الإقليمي والإقليمي</w:t>
      </w:r>
      <w:r w:rsidRPr="00BE2585">
        <w:rPr>
          <w:rFonts w:ascii="Arabic Typesetting" w:hAnsi="Arabic Typesetting" w:cs="Arabic Typesetting" w:hint="cs"/>
          <w:sz w:val="34"/>
          <w:szCs w:val="34"/>
          <w:rtl/>
          <w:lang w:val="fr-CH"/>
        </w:rPr>
        <w:t>. ونتيجة لذلك، كان 15</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بلدا (ستة بلدان في أفريقيا وخمسة بلدان في آسيا والمحيط الهادئ وأربعة بلدان في أمريكا اللاتينية والكاريبي) قد شرع في عملية صياغة استراتيجيات وطنية للملكية الفكرية/خطط وطنية لتطوير الملكية الفكرية؛ وكان 13</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بلدا (أربعة بلدان في أفريقيا وبلدان في المنطقة العربية وثلاثة بلدان في آسيا والمحيط الهادئ وأربعة بلدان في أمريكا اللاتينية والكاريبي) لا يزال في مرحلة الصياغة و/أو الاعتماد في نهاية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 وفي أواخر الثنائية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2014/15، كانت استراتيجيات وطنية للملكية الفكرية/خطط وطنية لتطوير الملكية الفكرية قد اعتُمدت و/أو قيد التنفيذ في 44</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بلدا إجمالا (26</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بلدا في أفريقيا وبلدان في المنطقة العربية وثمانية بلدان في آسيا والمحيط الهادئ وثمانية بلدان في أمريكا اللاتينية والكاريبي)، منها 19</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بلدا من البلدان الأقل نموا.</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ولأول مرّة شاركت الويبو بشكل واسع في مساعدة مجموعة إقليمية على صياغة إطار إقليمي للملكية الفكرية. وفي</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أكتوبر</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 شارك منسق من كل بلد من بلدان رابطة أمم جنوب شرق آسيا في حلقة عمل لاستثارة الأفكار بغرض وضع خطة الرابطة الاستراتيجية في مجال حقوق الملكية الفكرية للفترة 2016-2025، طبقا لاستراتيجية الجماعة الاقتصادية للرابطة 2016-2025.</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وظلّ تعزيز قدرات الموارد البشرية لتمكينها من معالجة الطائفة الواسعة من متطلبات الانتفاع الفعال بالملكية الفكرية لأغراض التنمية وتشجيع الابتكار والإبداع من الأولويات طوال الثنائية. ونُفذت برامج تركّز على تكوين الكفاءات وتطوير المهارات لفائدة مجموعات مستهدفة محدّدة، مثل المسؤولين الحكوميين وواضعي السياسات والمتخصصين في مجال الملكية الفكرية والمسؤولين عن إنفاذ القوانين والباحثين والأكاديميين والمقاولين والمصنعين، فضلا عن الشركات الصغيرة والمتوسطة، على كل من الصعيد الوطني ودون الإقليمي والإقليمي.</w:t>
      </w:r>
    </w:p>
    <w:p w:rsidR="00BE2585" w:rsidRPr="00BE2585" w:rsidRDefault="00BE2585" w:rsidP="00E14A59">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وفي الثنائية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2014/15، واصلت الويبو تعزيز المساعدة التقنية التي تقدمها إلى مكاتب الملكية الفكرية في البلدان النامية والبلدان الأقل نموا لتمكينها من تزويد شركائها من أصحاب المصلح</w:t>
      </w:r>
      <w:r w:rsidR="00BA1E55">
        <w:rPr>
          <w:rFonts w:ascii="Arabic Typesetting" w:hAnsi="Arabic Typesetting" w:cs="Arabic Typesetting" w:hint="cs"/>
          <w:sz w:val="34"/>
          <w:szCs w:val="34"/>
          <w:rtl/>
          <w:lang w:val="fr-CH"/>
        </w:rPr>
        <w:t>ة</w:t>
      </w:r>
      <w:r w:rsidRPr="00BE2585">
        <w:rPr>
          <w:rFonts w:ascii="Arabic Typesetting" w:hAnsi="Arabic Typesetting" w:cs="Arabic Typesetting" w:hint="cs"/>
          <w:sz w:val="34"/>
          <w:szCs w:val="34"/>
          <w:rtl/>
          <w:lang w:val="fr-CH"/>
        </w:rPr>
        <w:t xml:space="preserve"> بخدمات عالية الجودة وفعالة من حيث التكلفة في مجالي تحديث الملكية الفكرية وتحسين البنية التقنية التحتية، بما يمكّن من تهيئة بيئة تساعد بشكل أفضل على الانتفاع الفعال بالمعلومات الخاصة بالملكية الفكرية، لا</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 xml:space="preserve">سيما </w:t>
      </w:r>
      <w:r w:rsidR="00E14A59">
        <w:rPr>
          <w:rFonts w:ascii="Arabic Typesetting" w:hAnsi="Arabic Typesetting" w:cs="Arabic Typesetting" w:hint="cs"/>
          <w:sz w:val="34"/>
          <w:szCs w:val="34"/>
          <w:rtl/>
          <w:lang w:val="fr-CH"/>
        </w:rPr>
        <w:t>في</w:t>
      </w:r>
      <w:r w:rsidRPr="00BE2585">
        <w:rPr>
          <w:rFonts w:ascii="Arabic Typesetting" w:hAnsi="Arabic Typesetting" w:cs="Arabic Typesetting" w:hint="cs"/>
          <w:sz w:val="34"/>
          <w:szCs w:val="34"/>
          <w:rtl/>
          <w:lang w:val="fr-CH"/>
        </w:rPr>
        <w:t xml:space="preserve"> المؤسسات المسؤولة عن إدارة حقوق الملكية الفكرية ونظام الابتكار الوطني وقطاع الإنتاج. وبحلول نهاية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2015، كان 70</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 xml:space="preserve">مكتبا يستخدم الأنظمة التي </w:t>
      </w:r>
      <w:proofErr w:type="spellStart"/>
      <w:r w:rsidRPr="00BE2585">
        <w:rPr>
          <w:rFonts w:ascii="Arabic Typesetting" w:hAnsi="Arabic Typesetting" w:cs="Arabic Typesetting" w:hint="cs"/>
          <w:sz w:val="34"/>
          <w:szCs w:val="34"/>
          <w:rtl/>
          <w:lang w:val="fr-CH"/>
        </w:rPr>
        <w:t>تتيحها</w:t>
      </w:r>
      <w:proofErr w:type="spellEnd"/>
      <w:r w:rsidRPr="00BE2585">
        <w:rPr>
          <w:rFonts w:ascii="Arabic Typesetting" w:hAnsi="Arabic Typesetting" w:cs="Arabic Typesetting" w:hint="cs"/>
          <w:sz w:val="34"/>
          <w:szCs w:val="34"/>
          <w:rtl/>
          <w:lang w:val="fr-CH"/>
        </w:rPr>
        <w:t xml:space="preserve"> الويبو لمكاتب الملكية الفكرية في مختلف المناطق: 24</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مكتبا في أفريقيا، و14</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مكتبا في المنطقة العربية، و13</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مكتبا في آسيا والمحيط الهادئ، و19</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مكتبا في أمريكا اللاتينية والكاريبي (لمزيد من التفاصيل، انظر البرنامج</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15).</w:t>
      </w:r>
    </w:p>
    <w:p w:rsidR="00BE2585" w:rsidRPr="00BE2585" w:rsidRDefault="00BA356F" w:rsidP="009A3712">
      <w:pPr>
        <w:numPr>
          <w:ilvl w:val="0"/>
          <w:numId w:val="46"/>
        </w:numPr>
        <w:bidi/>
        <w:spacing w:after="120" w:line="340" w:lineRule="exact"/>
        <w:ind w:left="-2" w:firstLine="1"/>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lastRenderedPageBreak/>
        <w:t>وفضلاً عن ذلك،</w:t>
      </w:r>
      <w:r w:rsidR="00BE2585" w:rsidRPr="00BE2585">
        <w:rPr>
          <w:rFonts w:ascii="Arabic Typesetting" w:hAnsi="Arabic Typesetting" w:cs="Arabic Typesetting" w:hint="cs"/>
          <w:sz w:val="34"/>
          <w:szCs w:val="34"/>
          <w:rtl/>
          <w:lang w:val="fr-CH"/>
        </w:rPr>
        <w:t xml:space="preserve"> ظلّ تيسير النفاذ إلى قواعد البيانات العالمية الخاصة بالمعلومات التكنولوجية من أولى الأولويات. فقد زاد، خلال الثنائية، التركيز على تعزيز ما يوجد من مراكز دعم التكنولوجيا والابتكار (</w:t>
      </w:r>
      <w:r w:rsidR="00BE2585" w:rsidRPr="00BE2585">
        <w:rPr>
          <w:rFonts w:ascii="Arabic Typesetting" w:hAnsi="Arabic Typesetting" w:cs="Arabic Typesetting"/>
          <w:bCs/>
          <w:sz w:val="34"/>
          <w:szCs w:val="34"/>
        </w:rPr>
        <w:t>TISCs</w:t>
      </w:r>
      <w:r w:rsidR="00BE2585" w:rsidRPr="00BE2585">
        <w:rPr>
          <w:rFonts w:ascii="Arabic Typesetting" w:hAnsi="Arabic Typesetting" w:cs="Arabic Typesetting" w:hint="cs"/>
          <w:sz w:val="34"/>
          <w:szCs w:val="34"/>
          <w:rtl/>
          <w:lang w:val="fr-CH"/>
        </w:rPr>
        <w:t>) من أجل ضمان استدامتها على المدى البعيد. ومن أصل مجموع تلك المراكز القائمة في مختلف المناطق والبالغ عددها 49</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مركزا، اعتُبر نحو 24</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مركزا قابلا للاستدامة بحلول أواخر عام</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2015: 10</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مراكز في أفريقيا (منها ثمانية مراكز في البلدان الأقل نموا)؛ وثلاثة مراكز في المنطقة العربية؛ وأربعة مراكز في آسيا والمحيط الهادئ (منها مركز واحد في بلد من البلدان الأقل نموا)؛ وسبعة مراكز في أمريكا اللاتينية والكاريبي (لمزيد من التفاصيل، انظر البرنامج</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14).</w:t>
      </w:r>
    </w:p>
    <w:p w:rsidR="00BE2585" w:rsidRPr="00BE2585" w:rsidRDefault="00BA1E55" w:rsidP="009A3712">
      <w:pPr>
        <w:numPr>
          <w:ilvl w:val="0"/>
          <w:numId w:val="46"/>
        </w:numPr>
        <w:bidi/>
        <w:spacing w:after="120" w:line="340" w:lineRule="exact"/>
        <w:ind w:left="-2" w:firstLine="1"/>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w:t>
      </w:r>
      <w:r w:rsidR="00BE2585" w:rsidRPr="00BE2585">
        <w:rPr>
          <w:rFonts w:ascii="Arabic Typesetting" w:hAnsi="Arabic Typesetting" w:cs="Arabic Typesetting" w:hint="cs"/>
          <w:sz w:val="34"/>
          <w:szCs w:val="34"/>
          <w:rtl/>
          <w:lang w:val="fr-CH"/>
        </w:rPr>
        <w:t xml:space="preserve">عزّزت الويبو تعاونها مع البلدان الأقل نموا من أجل وضع إطار للسياسات الوطنية الخاصة بالابتكار؛ وتقييم الاحتياجات من المهارات التقنية؛ وتيسير النفاذ إلى منصات المعلومات العلمية والتكنولوجية العالمية؛ وإنشاء بنية تحتية داعمة للابتكار؛ ودعم عمليات الجرد وتكوين الكفاءات في مجال المعارف التقليدية. وفي إطار المرحلة الثانية من مشروع جدول أعمال التنمية بشأن </w:t>
      </w:r>
      <w:r w:rsidR="00BE2585" w:rsidRPr="00BE2585">
        <w:rPr>
          <w:rFonts w:ascii="Arabic Typesetting" w:hAnsi="Arabic Typesetting" w:cs="Arabic Typesetting"/>
          <w:sz w:val="34"/>
          <w:szCs w:val="34"/>
          <w:rtl/>
          <w:lang w:val="fr-CH"/>
        </w:rPr>
        <w:t>تكوين الكفاءات في استخدام المعلومات التقنية والعلمية الملائمة من الناحية التكنولوجية كحل لتحديات إنمائية محد</w:t>
      </w:r>
      <w:r w:rsidR="00BE2585" w:rsidRPr="00BE2585">
        <w:rPr>
          <w:rFonts w:ascii="Arabic Typesetting" w:hAnsi="Arabic Typesetting" w:cs="Arabic Typesetting" w:hint="cs"/>
          <w:sz w:val="34"/>
          <w:szCs w:val="34"/>
          <w:rtl/>
          <w:lang w:val="fr-CH"/>
        </w:rPr>
        <w:t>ّ</w:t>
      </w:r>
      <w:r w:rsidR="00BE2585" w:rsidRPr="00BE2585">
        <w:rPr>
          <w:rFonts w:ascii="Arabic Typesetting" w:hAnsi="Arabic Typesetting" w:cs="Arabic Typesetting"/>
          <w:sz w:val="34"/>
          <w:szCs w:val="34"/>
          <w:rtl/>
          <w:lang w:val="fr-CH"/>
        </w:rPr>
        <w:t>دة</w:t>
      </w:r>
      <w:r w:rsidR="00BE2585" w:rsidRPr="00BE2585">
        <w:rPr>
          <w:rFonts w:ascii="Arabic Typesetting" w:hAnsi="Arabic Typesetting" w:cs="Arabic Typesetting" w:hint="cs"/>
          <w:sz w:val="34"/>
          <w:szCs w:val="34"/>
          <w:rtl/>
          <w:lang w:val="fr-CH"/>
        </w:rPr>
        <w:t>، وُقِّع</w:t>
      </w:r>
      <w:r>
        <w:rPr>
          <w:rFonts w:ascii="Arabic Typesetting" w:hAnsi="Arabic Typesetting" w:cs="Arabic Typesetting" w:hint="cs"/>
          <w:sz w:val="34"/>
          <w:szCs w:val="34"/>
          <w:rtl/>
          <w:lang w:val="fr-CH"/>
        </w:rPr>
        <w:t>ت</w:t>
      </w:r>
      <w:r w:rsidR="00BE2585" w:rsidRPr="00BE2585">
        <w:rPr>
          <w:rFonts w:ascii="Arabic Typesetting" w:hAnsi="Arabic Typesetting" w:cs="Arabic Typesetting" w:hint="cs"/>
          <w:sz w:val="34"/>
          <w:szCs w:val="34"/>
          <w:rtl/>
          <w:lang w:val="fr-CH"/>
        </w:rPr>
        <w:t xml:space="preserve"> مذكرات تفاهم مع أربعة من البلدان الأقل نموا (إثيوبيا ورواندا وجمهورية تنزانيا المتحدة وأوغندا) وبحلول أواخر عام</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2015، كان تنفيذ المشروع قد استُهل في ثلاثة من تلك البلدان (إثيوبيا ورواندا وجمهورية تنزانيا المتحدة).</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 xml:space="preserve">وعلى المنوال نفسه عملت الويبو بشكل وثيق مع مكتب ممثل الأمم المتحدة السامي </w:t>
      </w:r>
      <w:r w:rsidR="003B2ED5">
        <w:rPr>
          <w:rFonts w:ascii="Arabic Typesetting" w:hAnsi="Arabic Typesetting" w:cs="Arabic Typesetting" w:hint="cs"/>
          <w:sz w:val="34"/>
          <w:szCs w:val="34"/>
          <w:rtl/>
          <w:lang w:val="fr-CH"/>
        </w:rPr>
        <w:t>للبلدان الأقل نمواً</w:t>
      </w:r>
      <w:r w:rsidRPr="00BE2585">
        <w:rPr>
          <w:rFonts w:ascii="Arabic Typesetting" w:hAnsi="Arabic Typesetting" w:cs="Arabic Typesetting" w:hint="cs"/>
          <w:sz w:val="34"/>
          <w:szCs w:val="34"/>
          <w:rtl/>
          <w:lang w:val="fr-CH"/>
        </w:rPr>
        <w:t xml:space="preserve"> والبلدان النامية غير الساحلية والدول الجزرية الصغيرة النامية في سياق تنفيذ برنامج عمل </w:t>
      </w:r>
      <w:proofErr w:type="spellStart"/>
      <w:r w:rsidRPr="00BE2585">
        <w:rPr>
          <w:rFonts w:ascii="Arabic Typesetting" w:hAnsi="Arabic Typesetting" w:cs="Arabic Typesetting" w:hint="cs"/>
          <w:sz w:val="34"/>
          <w:szCs w:val="34"/>
          <w:rtl/>
          <w:lang w:val="fr-CH"/>
        </w:rPr>
        <w:t>اسطنبول</w:t>
      </w:r>
      <w:proofErr w:type="spellEnd"/>
      <w:r w:rsidRPr="00BE2585">
        <w:rPr>
          <w:rFonts w:ascii="Arabic Typesetting" w:hAnsi="Arabic Typesetting" w:cs="Arabic Typesetting" w:hint="cs"/>
          <w:sz w:val="34"/>
          <w:szCs w:val="34"/>
          <w:rtl/>
          <w:lang w:val="fr-CH"/>
        </w:rPr>
        <w:t>. وفي عام 2014 وبمناسبة المؤتمر الوزاري للبلدان الأقل نموا المعقود في بنن، نفذت الويبو برنامج شراكة أقاليمي بالتعاون مع الاتحاد الدولي للاتصالات وصندوق الأمم المتحدة للمشاريع التجارية ومنظمة الأمم المتحدة للتنمية الصناعية. وفي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2015، أنشئت شراكتان تعاونيتان إضافيتان مع اللجنة الاقتصادية والاجتماعية لآسيا والمحيط الهادئ واللحنة الاقتصادية لأفريقيا. وأسفرت الشراكة مع اللجنة الاقتصادية والاجتماعية لآسيا والمحيط الهادئ عن اقتراح بالتوقيع على مذكرة تفاهم مع المنظمتين. وكان التركيز منصبا على تكوين الكفاءات وتعزيز مؤسسات البلدان الأقل نموا من بلدان أفريقيا وآسيا.</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وبالتعاون مع حكومة السويد (المكتب السويدي للبراءات والتسجيل)، واصلت الويبو برنامج التدريب الدولي السنوي في مجال الملكية الفكرية في الاقتصاد العالمي لتمكين البلدان الأقل نموا من استخدام الملكية الفكرية في سبيل التنمية، وهو برنامج استُهل أصلا 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2004. ولقياس وجاهة البرنامج وفعاليته وكفاءته واستدامته وأثره على مدى السنوات العشر الماضية، اضطلعت الوكالة السويدية للتعاون الإنمائي الدولي بتقييم مستقل</w:t>
      </w:r>
      <w:r w:rsidRPr="00F96634">
        <w:rPr>
          <w:rFonts w:ascii="Arabic Typesetting" w:hAnsi="Arabic Typesetting" w:cs="Arabic Typesetting"/>
          <w:sz w:val="28"/>
          <w:szCs w:val="28"/>
          <w:vertAlign w:val="superscript"/>
          <w:rtl/>
          <w:lang w:val="fr-CH"/>
        </w:rPr>
        <w:footnoteReference w:id="53"/>
      </w:r>
      <w:r w:rsidRPr="00BE2585">
        <w:rPr>
          <w:rFonts w:ascii="Arabic Typesetting" w:hAnsi="Arabic Typesetting" w:cs="Arabic Typesetting" w:hint="cs"/>
          <w:sz w:val="34"/>
          <w:szCs w:val="34"/>
          <w:rtl/>
          <w:lang w:val="fr-CH"/>
        </w:rPr>
        <w:t xml:space="preserve"> للبرنامج في الفترة من فبراير</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 إلى فبراير</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2015. وبالنظر إلى النتائج، التي كانت جد إيجابية إجمالا، سيُضطلع بالبرنامج مرّتين في السنة اعتبارا من بداية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2016.</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 xml:space="preserve">ومُدِّد مشروع </w:t>
      </w:r>
      <w:r w:rsidRPr="00BE2585">
        <w:rPr>
          <w:rFonts w:ascii="Arabic Typesetting" w:hAnsi="Arabic Typesetting" w:cs="Arabic Typesetting"/>
          <w:sz w:val="34"/>
          <w:szCs w:val="34"/>
          <w:rtl/>
          <w:lang w:val="fr-CH"/>
        </w:rPr>
        <w:t>تعزيز التعاون حول الملكية الفكرية والتنمية فيما بين بلدان الجنوب من بلدان نامية وبلدان أقل نموا</w:t>
      </w:r>
      <w:r w:rsidRPr="00BE2585">
        <w:rPr>
          <w:rFonts w:ascii="Arabic Typesetting" w:hAnsi="Arabic Typesetting" w:cs="Arabic Typesetting" w:hint="cs"/>
          <w:sz w:val="34"/>
          <w:szCs w:val="34"/>
          <w:rtl/>
          <w:lang w:val="fr-CH"/>
        </w:rPr>
        <w:t>، الذي استُكمل وقُيّم 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 حتى يونيو</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2015. وبناء عليه أنشئ منسق يُعنى بالتعاون فيما بين بلدان الجنوب ضمن قطاع التنمية. وفي</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مايو 2014، أطلقت رسميا صفحة إلكترونية تتناول تحديدا أنشطة التعاون فيما بين بلدان الجنوب</w:t>
      </w:r>
      <w:r w:rsidRPr="00F96634">
        <w:rPr>
          <w:rFonts w:ascii="Arabic Typesetting" w:hAnsi="Arabic Typesetting" w:cs="Arabic Typesetting"/>
          <w:sz w:val="28"/>
          <w:szCs w:val="28"/>
          <w:vertAlign w:val="superscript"/>
          <w:rtl/>
          <w:lang w:val="fr-CH"/>
        </w:rPr>
        <w:footnoteReference w:id="54"/>
      </w:r>
      <w:r w:rsidRPr="00BE2585">
        <w:rPr>
          <w:rFonts w:ascii="Arabic Typesetting" w:hAnsi="Arabic Typesetting" w:cs="Arabic Typesetting" w:hint="cs"/>
          <w:sz w:val="34"/>
          <w:szCs w:val="34"/>
          <w:rtl/>
          <w:lang w:val="fr-CH"/>
        </w:rPr>
        <w:t xml:space="preserve"> وتعرض منصتين إلكترونيتين مُعدتين لأغراض التعاون فيما بين بلدان الجنوب، وهما قاعدة بيانات المساعدة التقنية فيما بين بلدان الجنوب في مجال الملكية الفكرية (</w:t>
      </w:r>
      <w:r w:rsidRPr="00BE2585">
        <w:rPr>
          <w:rFonts w:ascii="Arabic Typesetting" w:hAnsi="Arabic Typesetting" w:cs="Arabic Typesetting"/>
          <w:bCs/>
          <w:sz w:val="34"/>
          <w:szCs w:val="34"/>
        </w:rPr>
        <w:t>South-South IP-TAD</w:t>
      </w:r>
      <w:r w:rsidRPr="00BE2585">
        <w:rPr>
          <w:rFonts w:ascii="Arabic Typesetting" w:hAnsi="Arabic Typesetting" w:cs="Arabic Typesetting" w:hint="cs"/>
          <w:sz w:val="34"/>
          <w:szCs w:val="34"/>
          <w:rtl/>
          <w:lang w:val="fr-CH"/>
        </w:rPr>
        <w:t>)، و</w:t>
      </w:r>
      <w:r w:rsidRPr="00BE2585">
        <w:rPr>
          <w:rtl/>
        </w:rPr>
        <w:t xml:space="preserve"> </w:t>
      </w:r>
      <w:r w:rsidRPr="00BE2585">
        <w:rPr>
          <w:rFonts w:ascii="Arabic Typesetting" w:hAnsi="Arabic Typesetting" w:cs="Arabic Typesetting"/>
          <w:sz w:val="34"/>
          <w:szCs w:val="34"/>
          <w:rtl/>
          <w:lang w:val="fr-CH"/>
        </w:rPr>
        <w:t>قائمة الخبراء الاستشاريين في مجال الملكية الفكرية</w:t>
      </w:r>
      <w:r w:rsidRPr="00BE2585">
        <w:rPr>
          <w:rFonts w:ascii="Arabic Typesetting" w:hAnsi="Arabic Typesetting" w:cs="Arabic Typesetting" w:hint="cs"/>
          <w:sz w:val="34"/>
          <w:szCs w:val="34"/>
          <w:rtl/>
          <w:lang w:val="fr-CH"/>
        </w:rPr>
        <w:t xml:space="preserve"> (</w:t>
      </w:r>
      <w:r w:rsidRPr="00BE2585">
        <w:rPr>
          <w:rFonts w:ascii="Arabic Typesetting" w:hAnsi="Arabic Typesetting" w:cs="Arabic Typesetting"/>
          <w:bCs/>
          <w:sz w:val="34"/>
          <w:szCs w:val="34"/>
        </w:rPr>
        <w:t>South</w:t>
      </w:r>
      <w:r w:rsidR="00EE484E">
        <w:rPr>
          <w:rFonts w:ascii="Arabic Typesetting" w:hAnsi="Arabic Typesetting" w:cs="Arabic Typesetting"/>
          <w:bCs/>
          <w:sz w:val="34"/>
          <w:szCs w:val="34"/>
        </w:rPr>
        <w:noBreakHyphen/>
      </w:r>
      <w:r w:rsidRPr="00BE2585">
        <w:rPr>
          <w:rFonts w:ascii="Arabic Typesetting" w:hAnsi="Arabic Typesetting" w:cs="Arabic Typesetting"/>
          <w:bCs/>
          <w:sz w:val="34"/>
          <w:szCs w:val="34"/>
        </w:rPr>
        <w:t>South IP</w:t>
      </w:r>
      <w:r w:rsidR="00EE484E">
        <w:rPr>
          <w:rFonts w:ascii="Arabic Typesetting" w:hAnsi="Arabic Typesetting" w:cs="Arabic Typesetting"/>
          <w:bCs/>
          <w:sz w:val="34"/>
          <w:szCs w:val="34"/>
        </w:rPr>
        <w:noBreakHyphen/>
      </w:r>
      <w:r w:rsidRPr="00BE2585">
        <w:rPr>
          <w:rFonts w:ascii="Arabic Typesetting" w:hAnsi="Arabic Typesetting" w:cs="Arabic Typesetting"/>
          <w:bCs/>
          <w:sz w:val="34"/>
          <w:szCs w:val="34"/>
        </w:rPr>
        <w:t>ROC</w:t>
      </w:r>
      <w:r w:rsidRPr="00BE2585">
        <w:rPr>
          <w:rFonts w:ascii="Arabic Typesetting" w:hAnsi="Arabic Typesetting" w:cs="Arabic Typesetting" w:hint="cs"/>
          <w:sz w:val="34"/>
          <w:szCs w:val="34"/>
          <w:rtl/>
          <w:lang w:val="fr-CH"/>
        </w:rPr>
        <w:t>). وأجري، على وجه الخصوص، تحليل للمعايير التي ستُعرّف على أساسها أنشطة الويبو في مجال التعاون فيما بين بلدان الجنوب في ضوء التعاريف ذات الصلة المستخدمة على نطاق الأمم المتحدة، وفي ضوء ولاية الويبو. ونتيجة لذلك، أجري جرد لما اضطُلع به من تلك الأنشطة في الثنائية 2014/15، باستخدام قاعدة بيانات</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bCs/>
          <w:sz w:val="34"/>
          <w:szCs w:val="34"/>
        </w:rPr>
        <w:t>IP-TAD</w:t>
      </w:r>
      <w:r w:rsidRPr="00BE2585">
        <w:rPr>
          <w:rFonts w:ascii="Arabic Typesetting" w:hAnsi="Arabic Typesetting" w:cs="Arabic Typesetting" w:hint="cs"/>
          <w:sz w:val="34"/>
          <w:szCs w:val="34"/>
          <w:rtl/>
          <w:lang w:val="fr-CH"/>
        </w:rPr>
        <w:t>.</w:t>
      </w:r>
      <w:r w:rsidRPr="00F96634">
        <w:rPr>
          <w:rFonts w:ascii="Arabic Typesetting" w:hAnsi="Arabic Typesetting" w:cs="Arabic Typesetting"/>
          <w:sz w:val="28"/>
          <w:szCs w:val="28"/>
          <w:vertAlign w:val="superscript"/>
          <w:rtl/>
          <w:lang w:val="fr-CH"/>
        </w:rPr>
        <w:footnoteReference w:id="55"/>
      </w:r>
    </w:p>
    <w:p w:rsidR="00BE2585" w:rsidRPr="00BE2585" w:rsidRDefault="00EE484E" w:rsidP="009A3712">
      <w:pPr>
        <w:keepLines/>
        <w:numPr>
          <w:ilvl w:val="0"/>
          <w:numId w:val="46"/>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lastRenderedPageBreak/>
        <w:t xml:space="preserve">وفضلاً عن ذلك، </w:t>
      </w:r>
      <w:r w:rsidR="00BE2585" w:rsidRPr="00BE2585">
        <w:rPr>
          <w:rFonts w:ascii="Arabic Typesetting" w:hAnsi="Arabic Typesetting" w:cs="Arabic Typesetting" w:hint="cs"/>
          <w:sz w:val="34"/>
          <w:szCs w:val="34"/>
          <w:rtl/>
          <w:lang w:val="fr-CH"/>
        </w:rPr>
        <w:t>واصل البرنامج دعم عدد من طلبات المساعدة الخاصة بحماية وتوسيم المنتجات المصنفة على أساس المنشأ، وبخاصة من خلال تنظيم دورات تدريبية متخصصة وإطلاق مبادرات مع شركاء دوليين وإقليميين متعدّدين، لا</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سيما في منطقة الكاريبي وكمبوديا وجمهورية تنزانيا المتحدة، بغ</w:t>
      </w:r>
      <w:r>
        <w:rPr>
          <w:rFonts w:ascii="Arabic Typesetting" w:hAnsi="Arabic Typesetting" w:cs="Arabic Typesetting" w:hint="cs"/>
          <w:sz w:val="34"/>
          <w:szCs w:val="34"/>
          <w:rtl/>
          <w:lang w:val="fr-CH"/>
        </w:rPr>
        <w:t>ية</w:t>
      </w:r>
      <w:r w:rsidR="00BE2585" w:rsidRPr="00BE2585">
        <w:rPr>
          <w:rFonts w:ascii="Arabic Typesetting" w:hAnsi="Arabic Typesetting" w:cs="Arabic Typesetting" w:hint="cs"/>
          <w:sz w:val="34"/>
          <w:szCs w:val="34"/>
          <w:rtl/>
          <w:lang w:val="fr-CH"/>
        </w:rPr>
        <w:t xml:space="preserve"> تعزيز قدرات أصحاب المصلح</w:t>
      </w:r>
      <w:r>
        <w:rPr>
          <w:rFonts w:ascii="Arabic Typesetting" w:hAnsi="Arabic Typesetting" w:cs="Arabic Typesetting" w:hint="cs"/>
          <w:sz w:val="34"/>
          <w:szCs w:val="34"/>
          <w:rtl/>
          <w:lang w:val="fr-CH"/>
        </w:rPr>
        <w:t>ة</w:t>
      </w:r>
      <w:r w:rsidR="00BE2585" w:rsidRPr="00BE2585">
        <w:rPr>
          <w:rFonts w:ascii="Arabic Typesetting" w:hAnsi="Arabic Typesetting" w:cs="Arabic Typesetting" w:hint="cs"/>
          <w:sz w:val="34"/>
          <w:szCs w:val="34"/>
          <w:rtl/>
          <w:lang w:val="fr-CH"/>
        </w:rPr>
        <w:t xml:space="preserve">. وإضافة إلى ذلك، صدر تقرير حول </w:t>
      </w:r>
      <w:r w:rsidR="00BE2585" w:rsidRPr="00BE2585">
        <w:rPr>
          <w:rFonts w:ascii="Arabic Typesetting" w:hAnsi="Arabic Typesetting" w:cs="Arabic Typesetting" w:hint="cs"/>
          <w:i/>
          <w:iCs/>
          <w:sz w:val="34"/>
          <w:szCs w:val="34"/>
          <w:rtl/>
          <w:lang w:val="fr-CH"/>
        </w:rPr>
        <w:t>قطاع تصميم الأزياء الأفريقي: جلب القيمة من خلال الملكية الفكرية</w:t>
      </w:r>
      <w:r w:rsidR="00BE2585" w:rsidRPr="00F96634">
        <w:rPr>
          <w:rFonts w:ascii="Arabic Typesetting" w:hAnsi="Arabic Typesetting" w:cs="Arabic Typesetting"/>
          <w:i/>
          <w:iCs/>
          <w:sz w:val="28"/>
          <w:szCs w:val="28"/>
          <w:vertAlign w:val="superscript"/>
          <w:rtl/>
          <w:lang w:val="fr-CH"/>
        </w:rPr>
        <w:footnoteReference w:id="56"/>
      </w:r>
      <w:r w:rsidR="00BE2585" w:rsidRPr="00BE2585">
        <w:rPr>
          <w:rFonts w:ascii="Arabic Typesetting" w:hAnsi="Arabic Typesetting" w:cs="Arabic Typesetting" w:hint="cs"/>
          <w:sz w:val="34"/>
          <w:szCs w:val="34"/>
          <w:rtl/>
          <w:lang w:val="fr-CH"/>
        </w:rPr>
        <w:t>، أعِد في سبعة بلدان أفريقية (الكاميرون وإثيوبيا وغانا ونيجيريا والسنغال وجنوب أفريقيا وزمبابوي)، لأغراض المؤتمر الوزاري الأفريقي: الملكية الفكرية في خدمة أفريقيا الناشئة، الذي عُقد في داكار بالسنغال في الفترة من 3</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إلى 5</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نوفمبر</w:t>
      </w:r>
      <w:r w:rsidR="00BE2585" w:rsidRPr="00BE2585">
        <w:rPr>
          <w:rFonts w:ascii="Arabic Typesetting" w:hAnsi="Arabic Typesetting" w:cs="Arabic Typesetting" w:hint="eastAsia"/>
          <w:sz w:val="34"/>
          <w:szCs w:val="34"/>
          <w:rtl/>
          <w:lang w:val="fr-CH"/>
        </w:rPr>
        <w:t> </w:t>
      </w:r>
      <w:r w:rsidR="00BE2585" w:rsidRPr="00BE2585">
        <w:rPr>
          <w:rFonts w:ascii="Arabic Typesetting" w:hAnsi="Arabic Typesetting" w:cs="Arabic Typesetting" w:hint="cs"/>
          <w:sz w:val="34"/>
          <w:szCs w:val="34"/>
          <w:rtl/>
          <w:lang w:val="fr-CH"/>
        </w:rPr>
        <w:t xml:space="preserve">2015، بالتعاون مع الاتحاد الأفريقي وحكومة السنغال ومكتب اليابان للبراءات في إطار صندوق اليابان </w:t>
      </w:r>
      <w:proofErr w:type="spellStart"/>
      <w:r w:rsidR="00BE2585" w:rsidRPr="00BE2585">
        <w:rPr>
          <w:rFonts w:ascii="Arabic Typesetting" w:hAnsi="Arabic Typesetting" w:cs="Arabic Typesetting" w:hint="cs"/>
          <w:sz w:val="34"/>
          <w:szCs w:val="34"/>
          <w:rtl/>
          <w:lang w:val="fr-CH"/>
        </w:rPr>
        <w:t>الاستئماني</w:t>
      </w:r>
      <w:proofErr w:type="spellEnd"/>
      <w:r w:rsidR="00BE2585" w:rsidRPr="00BE2585">
        <w:rPr>
          <w:rFonts w:ascii="Arabic Typesetting" w:hAnsi="Arabic Typesetting" w:cs="Arabic Typesetting" w:hint="cs"/>
          <w:sz w:val="34"/>
          <w:szCs w:val="34"/>
          <w:rtl/>
          <w:lang w:val="fr-CH"/>
        </w:rPr>
        <w:t>.</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 xml:space="preserve">واعتُمد </w:t>
      </w:r>
      <w:r w:rsidRPr="00BE2585">
        <w:rPr>
          <w:rFonts w:ascii="Arabic Typesetting" w:hAnsi="Arabic Typesetting" w:cs="Arabic Typesetting" w:hint="cs"/>
          <w:i/>
          <w:iCs/>
          <w:sz w:val="34"/>
          <w:szCs w:val="34"/>
          <w:rtl/>
          <w:lang w:val="fr-CH"/>
        </w:rPr>
        <w:t>إعلان</w:t>
      </w:r>
      <w:r w:rsidRPr="00BE2585">
        <w:rPr>
          <w:rFonts w:ascii="Arabic Typesetting" w:hAnsi="Arabic Typesetting" w:cs="Arabic Typesetting" w:hint="eastAsia"/>
          <w:i/>
          <w:iCs/>
          <w:sz w:val="34"/>
          <w:szCs w:val="34"/>
          <w:rtl/>
          <w:lang w:val="fr-CH"/>
        </w:rPr>
        <w:t> </w:t>
      </w:r>
      <w:r w:rsidRPr="00BE2585">
        <w:rPr>
          <w:rFonts w:ascii="Arabic Typesetting" w:hAnsi="Arabic Typesetting" w:cs="Arabic Typesetting" w:hint="cs"/>
          <w:i/>
          <w:iCs/>
          <w:sz w:val="34"/>
          <w:szCs w:val="34"/>
          <w:rtl/>
          <w:lang w:val="fr-CH"/>
        </w:rPr>
        <w:t>داكار بشأن الملكية الفكرية في خدمة أفريقيا</w:t>
      </w:r>
      <w:r w:rsidR="00EE484E" w:rsidRPr="000471B4">
        <w:rPr>
          <w:rFonts w:ascii="Arabic Typesetting" w:hAnsi="Arabic Typesetting" w:cs="Arabic Typesetting"/>
          <w:sz w:val="34"/>
          <w:szCs w:val="34"/>
          <w:rtl/>
          <w:lang w:val="fr-CH"/>
        </w:rPr>
        <w:t xml:space="preserve"> خلال هذا المؤتمر</w:t>
      </w:r>
      <w:r w:rsidRPr="00BE2585">
        <w:rPr>
          <w:rFonts w:ascii="Arabic Typesetting" w:hAnsi="Arabic Typesetting" w:cs="Arabic Typesetting" w:hint="cs"/>
          <w:sz w:val="34"/>
          <w:szCs w:val="34"/>
          <w:rtl/>
          <w:lang w:val="fr-CH"/>
        </w:rPr>
        <w:t xml:space="preserve">، ما </w:t>
      </w:r>
      <w:r w:rsidR="00EE484E">
        <w:rPr>
          <w:rFonts w:ascii="Arabic Typesetting" w:hAnsi="Arabic Typesetting" w:cs="Arabic Typesetting" w:hint="cs"/>
          <w:sz w:val="34"/>
          <w:szCs w:val="34"/>
          <w:rtl/>
          <w:lang w:val="fr-CH"/>
        </w:rPr>
        <w:t>أ</w:t>
      </w:r>
      <w:r w:rsidRPr="00BE2585">
        <w:rPr>
          <w:rFonts w:ascii="Arabic Typesetting" w:hAnsi="Arabic Typesetting" w:cs="Arabic Typesetting" w:hint="cs"/>
          <w:sz w:val="34"/>
          <w:szCs w:val="34"/>
          <w:rtl/>
          <w:lang w:val="fr-CH"/>
        </w:rPr>
        <w:t>ت</w:t>
      </w:r>
      <w:r w:rsidR="00EE484E">
        <w:rPr>
          <w:rFonts w:ascii="Arabic Typesetting" w:hAnsi="Arabic Typesetting" w:cs="Arabic Typesetting" w:hint="cs"/>
          <w:sz w:val="34"/>
          <w:szCs w:val="34"/>
          <w:rtl/>
          <w:lang w:val="fr-CH"/>
        </w:rPr>
        <w:t>ا</w:t>
      </w:r>
      <w:r w:rsidRPr="00BE2585">
        <w:rPr>
          <w:rFonts w:ascii="Arabic Typesetting" w:hAnsi="Arabic Typesetting" w:cs="Arabic Typesetting" w:hint="cs"/>
          <w:sz w:val="34"/>
          <w:szCs w:val="34"/>
          <w:rtl/>
          <w:lang w:val="fr-CH"/>
        </w:rPr>
        <w:t>ح إطارا للتعاون بين الويبو والاتحاد الأفريقي على تنفيذ الأنشطة المتعلقة بالملكية الفكرية في القارة. وإضافة إلى ذلك، تواصل تعزيز أنشطة التعاون مع المنظمتين الإقليميتين الأفريقيتين للملكية الفكرية (المنظمة الإقليمية الأفريقية للملكية الفكرية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w:t>
      </w:r>
      <w:r w:rsidRPr="00BE2585">
        <w:rPr>
          <w:rFonts w:ascii="Arabic Typesetting" w:hAnsi="Arabic Typesetting" w:cs="Arabic Typesetting"/>
          <w:sz w:val="34"/>
          <w:szCs w:val="34"/>
          <w:lang w:val="fr-CH"/>
        </w:rPr>
        <w:t>ARIPO</w:t>
      </w:r>
      <w:r w:rsidRPr="00BE2585">
        <w:rPr>
          <w:rFonts w:ascii="Arabic Typesetting" w:hAnsi="Arabic Typesetting" w:cs="Arabic Typesetting" w:hint="cs"/>
          <w:sz w:val="34"/>
          <w:szCs w:val="34"/>
          <w:rtl/>
          <w:lang w:val="fr-CH"/>
        </w:rPr>
        <w:t>) والمنظمة الأفريقية للملكية الفكرية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w:t>
      </w:r>
      <w:r w:rsidRPr="00BE2585">
        <w:rPr>
          <w:rFonts w:ascii="Arabic Typesetting" w:hAnsi="Arabic Typesetting" w:cs="Arabic Typesetting"/>
          <w:sz w:val="34"/>
          <w:szCs w:val="34"/>
        </w:rPr>
        <w:t>OAPI</w:t>
      </w:r>
      <w:r w:rsidRPr="00BE2585">
        <w:rPr>
          <w:rFonts w:ascii="Arabic Typesetting" w:hAnsi="Arabic Typesetting" w:cs="Arabic Typesetting" w:hint="cs"/>
          <w:sz w:val="34"/>
          <w:szCs w:val="34"/>
          <w:rtl/>
          <w:lang w:val="fr-CH"/>
        </w:rPr>
        <w:t>)).</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ونظّمت الويبو الاجتماع التنسيقي الإقليمي السابع لرؤساء المكاتب العربية للملكية الفكرية في عام 2015 واجتماعين رفيعي المستوى في منطقة أمريكا اللاتينية الوسطى لمديري ورؤساء الملكية الفكرية بالمؤسسات العلمية والتكنولوجية الموجودة في المنطقة. وفي آسيا، أنشئ مؤتمر رؤساء الملكية الفكرية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w:t>
      </w:r>
      <w:r w:rsidRPr="00BE2585">
        <w:rPr>
          <w:rFonts w:ascii="Arabic Typesetting" w:hAnsi="Arabic Typesetting" w:cs="Arabic Typesetting"/>
          <w:sz w:val="34"/>
          <w:szCs w:val="34"/>
          <w:lang w:val="fr-CH"/>
        </w:rPr>
        <w:t>HIPOC</w:t>
      </w:r>
      <w:r w:rsidRPr="00BE2585">
        <w:rPr>
          <w:rFonts w:ascii="Arabic Typesetting" w:hAnsi="Arabic Typesetting" w:cs="Arabic Typesetting" w:hint="cs"/>
          <w:sz w:val="34"/>
          <w:szCs w:val="34"/>
          <w:rtl/>
          <w:lang w:val="fr-CH"/>
        </w:rPr>
        <w:t>) باعتباره منصة جديدة لتقاسم الأفكار والتجارب. وتمخضت الشراكة القائمة مع مصرف التنمية للبلدان الأمريكية عن إقامة مشروع المراكز الإقليمية لتسويق أصول المقاولة لفائدة الكاريبي. ويرمي المشروع إلى تيسير إدارة الأصول غير الملموسة بطريقة فعالة من خلال إنشاء ثلاثة مراكز داعمة في ثلاثة مجالات أعمال محدّدة: إدارة التكنولوجيا، والصناعات الإبداعية، وتوسيم المنتجات.</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وخلال الثنائية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2014/15، يسَّر البرنامج ونسّق داخليا انضمام عدة بلدان ومجموعات إقليمية إلى معاهدات واتفاقيات تديرها الويبو: اثنان في أفريقيا (المنظمة الأفريقية للملكية الفكرية وزمبابوي) وثلاثة في المنطقة العربية (الجزائر والكويت والإمارات العربية المتحدة).</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وواصل البرنامج تنسيق وتيسير المساعدة التقنية التي تُقدم إلى البلدان النامية والبلدان الأقل</w:t>
      </w:r>
      <w:r w:rsidR="00EE484E">
        <w:rPr>
          <w:rFonts w:ascii="Arabic Typesetting" w:hAnsi="Arabic Typesetting" w:cs="Arabic Typesetting" w:hint="cs"/>
          <w:sz w:val="34"/>
          <w:szCs w:val="34"/>
          <w:rtl/>
          <w:lang w:val="fr-CH"/>
        </w:rPr>
        <w:t xml:space="preserve"> نموا</w:t>
      </w:r>
      <w:r w:rsidRPr="00BE2585">
        <w:rPr>
          <w:rFonts w:ascii="Arabic Typesetting" w:hAnsi="Arabic Typesetting" w:cs="Arabic Typesetting" w:hint="cs"/>
          <w:sz w:val="34"/>
          <w:szCs w:val="34"/>
          <w:rtl/>
          <w:lang w:val="fr-CH"/>
        </w:rPr>
        <w:t xml:space="preserve"> في صياغة وتحديث التشريعات في مجال الملكية الفكرية، مع مراعاة المتطلبات الوطنية وأوجه المرونة الدولية.</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 xml:space="preserve">ولتمكين الدول الأعضاء من اعتماد خيارات ترتكز </w:t>
      </w:r>
      <w:r w:rsidR="00BA6861">
        <w:rPr>
          <w:rFonts w:ascii="Arabic Typesetting" w:hAnsi="Arabic Typesetting" w:cs="Arabic Typesetting" w:hint="cs"/>
          <w:sz w:val="34"/>
          <w:szCs w:val="34"/>
          <w:rtl/>
          <w:lang w:val="fr-CH"/>
        </w:rPr>
        <w:t>على</w:t>
      </w:r>
      <w:r w:rsidR="00BA6861" w:rsidRPr="00BE2585">
        <w:rPr>
          <w:rFonts w:ascii="Arabic Typesetting" w:hAnsi="Arabic Typesetting" w:cs="Arabic Typesetting" w:hint="cs"/>
          <w:sz w:val="34"/>
          <w:szCs w:val="34"/>
          <w:rtl/>
          <w:lang w:val="fr-CH"/>
        </w:rPr>
        <w:t xml:space="preserve"> </w:t>
      </w:r>
      <w:r w:rsidRPr="00BE2585">
        <w:rPr>
          <w:rFonts w:ascii="Arabic Typesetting" w:hAnsi="Arabic Typesetting" w:cs="Arabic Typesetting" w:hint="cs"/>
          <w:sz w:val="34"/>
          <w:szCs w:val="34"/>
          <w:rtl/>
          <w:lang w:val="fr-CH"/>
        </w:rPr>
        <w:t xml:space="preserve">معلومات أوضح عن مجالات الأولوية بالنسبة إلى الويبو، نُشر </w:t>
      </w:r>
      <w:r w:rsidRPr="00BE2585">
        <w:rPr>
          <w:rFonts w:ascii="Arabic Typesetting" w:hAnsi="Arabic Typesetting" w:cs="Arabic Typesetting" w:hint="cs"/>
          <w:i/>
          <w:iCs/>
          <w:sz w:val="34"/>
          <w:szCs w:val="34"/>
          <w:rtl/>
          <w:lang w:val="fr-CH"/>
        </w:rPr>
        <w:t>دليل المساعدة التقنية التي تقدمها الويبو</w:t>
      </w:r>
      <w:r w:rsidRPr="00BE2585">
        <w:rPr>
          <w:rFonts w:ascii="Arabic Typesetting" w:hAnsi="Arabic Typesetting" w:cs="Arabic Typesetting" w:hint="cs"/>
          <w:sz w:val="34"/>
          <w:szCs w:val="34"/>
          <w:rtl/>
          <w:lang w:val="fr-CH"/>
        </w:rPr>
        <w:t xml:space="preserve"> (الذي استُكمل 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2013) بكل لغات الأمم المتحدة الرسمية الست 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 وأتيح على الإنترنت</w:t>
      </w:r>
      <w:r w:rsidRPr="00F96634">
        <w:rPr>
          <w:rFonts w:ascii="Arabic Typesetting" w:hAnsi="Arabic Typesetting" w:cs="Arabic Typesetting"/>
          <w:sz w:val="28"/>
          <w:szCs w:val="28"/>
          <w:vertAlign w:val="superscript"/>
          <w:rtl/>
          <w:lang w:val="fr-CH"/>
        </w:rPr>
        <w:footnoteReference w:id="57"/>
      </w:r>
      <w:r w:rsidRPr="00BE2585">
        <w:rPr>
          <w:rFonts w:ascii="Arabic Typesetting" w:hAnsi="Arabic Typesetting" w:cs="Arabic Typesetting" w:hint="cs"/>
          <w:sz w:val="34"/>
          <w:szCs w:val="34"/>
          <w:rtl/>
          <w:lang w:val="fr-CH"/>
        </w:rPr>
        <w:t xml:space="preserve"> (لمزيد من التفاصيل، انظر البرامج</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1 و2 و3 و4). وإضافة إلى ذلك، اعتمدت بلدان أمريكا الوسطى والجمهورية</w:t>
      </w:r>
      <w:r w:rsidRPr="00BE2585">
        <w:rPr>
          <w:rFonts w:ascii="Arabic Typesetting" w:hAnsi="Arabic Typesetting" w:cs="Arabic Typesetting" w:hint="eastAsia"/>
          <w:sz w:val="34"/>
          <w:szCs w:val="34"/>
          <w:rtl/>
          <w:lang w:val="fr-CH"/>
        </w:rPr>
        <w:t> </w:t>
      </w:r>
      <w:proofErr w:type="spellStart"/>
      <w:r w:rsidRPr="00BE2585">
        <w:rPr>
          <w:rFonts w:ascii="Arabic Typesetting" w:hAnsi="Arabic Typesetting" w:cs="Arabic Typesetting" w:hint="cs"/>
          <w:sz w:val="34"/>
          <w:szCs w:val="34"/>
          <w:rtl/>
          <w:lang w:val="fr-CH"/>
        </w:rPr>
        <w:t>الدومينيكية</w:t>
      </w:r>
      <w:proofErr w:type="spellEnd"/>
      <w:r w:rsidRPr="00BE2585">
        <w:rPr>
          <w:rFonts w:ascii="Arabic Typesetting" w:hAnsi="Arabic Typesetting" w:cs="Arabic Typesetting" w:hint="cs"/>
          <w:sz w:val="34"/>
          <w:szCs w:val="34"/>
          <w:rtl/>
          <w:lang w:val="fr-CH"/>
        </w:rPr>
        <w:t>، 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 xml:space="preserve">2014، </w:t>
      </w:r>
      <w:r w:rsidRPr="00BE2585">
        <w:rPr>
          <w:rFonts w:ascii="Arabic Typesetting" w:hAnsi="Arabic Typesetting" w:cs="Arabic Typesetting" w:hint="cs"/>
          <w:i/>
          <w:iCs/>
          <w:sz w:val="34"/>
          <w:szCs w:val="34"/>
          <w:rtl/>
          <w:lang w:val="fr-CH"/>
        </w:rPr>
        <w:t>الدليل الموحّد بشأن فحص العلامات التجارية</w:t>
      </w:r>
      <w:r w:rsidRPr="00BE2585">
        <w:rPr>
          <w:rFonts w:ascii="Arabic Typesetting" w:hAnsi="Arabic Typesetting" w:cs="Arabic Typesetting" w:hint="cs"/>
          <w:sz w:val="34"/>
          <w:szCs w:val="34"/>
          <w:rtl/>
          <w:lang w:val="fr-CH"/>
        </w:rPr>
        <w:t xml:space="preserve">، وهو أداة تسهم في جودة العمل ومواءمة الممارسات في مكاتب الملكية الفكرية المعنية الموجودة في تلك المنطقة، والكتيب المعنون </w:t>
      </w:r>
      <w:r w:rsidRPr="00BE2585">
        <w:rPr>
          <w:rFonts w:ascii="Arabic Typesetting" w:hAnsi="Arabic Typesetting" w:cs="Arabic Typesetting" w:hint="cs"/>
          <w:i/>
          <w:iCs/>
          <w:sz w:val="34"/>
          <w:szCs w:val="34"/>
          <w:rtl/>
          <w:lang w:val="fr-CH"/>
        </w:rPr>
        <w:t>الأدوات والخدمات الإنمائية للويبو</w:t>
      </w:r>
      <w:r w:rsidRPr="00BE2585">
        <w:rPr>
          <w:rFonts w:ascii="Arabic Typesetting" w:hAnsi="Arabic Typesetting" w:cs="Arabic Typesetting" w:hint="cs"/>
          <w:sz w:val="34"/>
          <w:szCs w:val="34"/>
          <w:rtl/>
          <w:lang w:val="fr-CH"/>
        </w:rPr>
        <w:t>، الذي نُشر 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2007 وحُدِّث 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2015 وتُرجم إلى الفرنسية والإسبانية. وتمكّن تلك الأدوات الدول الأعضاء من اعتماد خيارات ترتكز إلى معلومات أوضح عن مجالات الأولوية بالنسبة إلى الويبو.</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lang w:val="fr-CH"/>
        </w:rPr>
      </w:pPr>
      <w:r w:rsidRPr="00BE2585">
        <w:rPr>
          <w:rFonts w:ascii="Arabic Typesetting" w:hAnsi="Arabic Typesetting" w:cs="Arabic Typesetting" w:hint="cs"/>
          <w:sz w:val="34"/>
          <w:szCs w:val="34"/>
          <w:rtl/>
          <w:lang w:val="fr-CH"/>
        </w:rPr>
        <w:t>وتواصل استخدام قواعد البيانات المتخصصة لدعم تقديم المساعدة التقنية، لا</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سيما قاعدتي البيانات بشأن المساعدة التقنية في مجال الملكية الفكرية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w:t>
      </w:r>
      <w:r w:rsidRPr="00BE2585">
        <w:rPr>
          <w:rFonts w:ascii="Arabic Typesetting" w:hAnsi="Arabic Typesetting" w:cs="Arabic Typesetting"/>
          <w:sz w:val="34"/>
          <w:szCs w:val="34"/>
          <w:lang w:val="fr-CH"/>
        </w:rPr>
        <w:t>IP-TAD</w:t>
      </w:r>
      <w:r w:rsidRPr="00BE2585">
        <w:rPr>
          <w:rFonts w:ascii="Arabic Typesetting" w:hAnsi="Arabic Typesetting" w:cs="Arabic Typesetting" w:hint="cs"/>
          <w:sz w:val="34"/>
          <w:szCs w:val="34"/>
          <w:rtl/>
          <w:lang w:val="fr-CH"/>
        </w:rPr>
        <w:t>) وقائمة الخبراء الاستشاريين في مجال الملكية الفكرية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w:t>
      </w:r>
      <w:r w:rsidRPr="00BE2585">
        <w:rPr>
          <w:rFonts w:ascii="Arabic Typesetting" w:hAnsi="Arabic Typesetting" w:cs="Arabic Typesetting"/>
          <w:sz w:val="34"/>
          <w:szCs w:val="34"/>
          <w:lang w:val="fr-CH"/>
        </w:rPr>
        <w:t>IP-ROC</w:t>
      </w:r>
      <w:r w:rsidRPr="00BE2585">
        <w:rPr>
          <w:rFonts w:ascii="Arabic Typesetting" w:hAnsi="Arabic Typesetting" w:cs="Arabic Typesetting" w:hint="cs"/>
          <w:sz w:val="34"/>
          <w:szCs w:val="34"/>
          <w:rtl/>
          <w:lang w:val="fr-CH"/>
        </w:rPr>
        <w:t>)، بما في ذلك الواجهات الخاصة بتخزين المعلومات عن التعاون فيما بين بلدان الجنوب، و</w:t>
      </w:r>
      <w:r w:rsidRPr="00BE2585">
        <w:rPr>
          <w:rFonts w:ascii="Arabic Typesetting" w:hAnsi="Arabic Typesetting" w:cs="Arabic Typesetting"/>
          <w:sz w:val="34"/>
          <w:szCs w:val="34"/>
          <w:rtl/>
          <w:lang w:val="fr-CH"/>
        </w:rPr>
        <w:t>قاعدة البيانات الخاصة ب</w:t>
      </w:r>
      <w:r w:rsidRPr="00BE2585">
        <w:rPr>
          <w:rFonts w:ascii="Arabic Typesetting" w:hAnsi="Arabic Typesetting" w:cs="Arabic Typesetting" w:hint="cs"/>
          <w:sz w:val="34"/>
          <w:szCs w:val="34"/>
          <w:rtl/>
          <w:lang w:val="fr-CH"/>
        </w:rPr>
        <w:t>مطابقة الاحتياجات الإنمائية في مجال الملكية الفكرية </w:t>
      </w:r>
      <w:r w:rsidRPr="00BE2585">
        <w:rPr>
          <w:rFonts w:ascii="Arabic Typesetting" w:hAnsi="Arabic Typesetting" w:cs="Arabic Typesetting"/>
          <w:sz w:val="34"/>
          <w:szCs w:val="34"/>
          <w:rtl/>
          <w:lang w:val="fr-CH"/>
        </w:rPr>
        <w:t>(</w:t>
      </w:r>
      <w:r w:rsidRPr="00BE2585">
        <w:rPr>
          <w:rFonts w:ascii="Arabic Typesetting" w:hAnsi="Arabic Typesetting" w:cs="Arabic Typesetting"/>
          <w:sz w:val="34"/>
          <w:szCs w:val="34"/>
          <w:cs/>
          <w:lang w:val="fr-CH"/>
        </w:rPr>
        <w:t>‎</w:t>
      </w:r>
      <w:r w:rsidRPr="00BE2585">
        <w:rPr>
          <w:rFonts w:ascii="Arabic Typesetting" w:hAnsi="Arabic Typesetting" w:cs="Arabic Typesetting"/>
          <w:sz w:val="34"/>
          <w:szCs w:val="34"/>
          <w:lang w:val="fr-CH"/>
        </w:rPr>
        <w:t>IP-DMD</w:t>
      </w:r>
      <w:r w:rsidRPr="00BE2585">
        <w:rPr>
          <w:rFonts w:ascii="Arabic Typesetting" w:hAnsi="Arabic Typesetting" w:cs="Arabic Typesetting"/>
          <w:sz w:val="34"/>
          <w:szCs w:val="34"/>
          <w:rtl/>
          <w:lang w:val="fr-CH"/>
        </w:rPr>
        <w:t>‏)</w:t>
      </w:r>
      <w:r w:rsidRPr="00BE2585">
        <w:rPr>
          <w:rFonts w:ascii="Arabic Typesetting" w:hAnsi="Arabic Typesetting" w:cs="Arabic Typesetting" w:hint="cs"/>
          <w:sz w:val="34"/>
          <w:szCs w:val="34"/>
          <w:rtl/>
          <w:lang w:val="fr-CH"/>
        </w:rPr>
        <w:t xml:space="preserve">. </w:t>
      </w:r>
      <w:r w:rsidR="00BA356F">
        <w:rPr>
          <w:rFonts w:ascii="Arabic Typesetting" w:hAnsi="Arabic Typesetting" w:cs="Arabic Typesetting" w:hint="cs"/>
          <w:sz w:val="34"/>
          <w:szCs w:val="34"/>
          <w:rtl/>
          <w:lang w:val="fr-CH"/>
        </w:rPr>
        <w:t>و</w:t>
      </w:r>
      <w:r w:rsidRPr="00BE2585">
        <w:rPr>
          <w:rFonts w:ascii="Arabic Typesetting" w:hAnsi="Arabic Typesetting" w:cs="Arabic Typesetting" w:hint="cs"/>
          <w:sz w:val="34"/>
          <w:szCs w:val="34"/>
          <w:rtl/>
          <w:lang w:val="fr-CH"/>
        </w:rPr>
        <w:t>شهد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 نشر قاعدة البيانات المتخصصة بشأن الاستراتيجيات الوطنية للملكية الفكرية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w:t>
      </w:r>
      <w:r w:rsidRPr="00BE2585">
        <w:rPr>
          <w:rFonts w:ascii="Arabic Typesetting" w:hAnsi="Arabic Typesetting" w:cs="Arabic Typesetting"/>
          <w:bCs/>
          <w:sz w:val="34"/>
          <w:szCs w:val="34"/>
        </w:rPr>
        <w:t>NIPS-D</w:t>
      </w:r>
      <w:r w:rsidRPr="00BE2585">
        <w:rPr>
          <w:rFonts w:ascii="Arabic Typesetting" w:hAnsi="Arabic Typesetting" w:cs="Arabic Typesetting" w:hint="cs"/>
          <w:sz w:val="34"/>
          <w:szCs w:val="34"/>
          <w:rtl/>
          <w:lang w:val="fr-CH"/>
        </w:rPr>
        <w:t>)، التي استُحدثت في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 xml:space="preserve">2013 بغرض التقاط البيانات الوجيهة لمرحلة تقييم مؤشرات الأداء الخاصة بوضع استراتيجيات وطنية في مجال الملكية الفكرية، حسبما </w:t>
      </w:r>
      <w:proofErr w:type="spellStart"/>
      <w:r w:rsidRPr="00BE2585">
        <w:rPr>
          <w:rFonts w:ascii="Arabic Typesetting" w:hAnsi="Arabic Typesetting" w:cs="Arabic Typesetting" w:hint="cs"/>
          <w:sz w:val="34"/>
          <w:szCs w:val="34"/>
          <w:rtl/>
          <w:lang w:val="fr-CH"/>
        </w:rPr>
        <w:t>يقتضيه</w:t>
      </w:r>
      <w:proofErr w:type="spellEnd"/>
      <w:r w:rsidRPr="00BE2585">
        <w:rPr>
          <w:rFonts w:ascii="Arabic Typesetting" w:hAnsi="Arabic Typesetting" w:cs="Arabic Typesetting" w:hint="cs"/>
          <w:sz w:val="34"/>
          <w:szCs w:val="34"/>
          <w:rtl/>
          <w:lang w:val="fr-CH"/>
        </w:rPr>
        <w:t xml:space="preserve"> العدد المتزايد للبلدان التي تستعمل منهجية الويبو لوضع استراتيجيات الملكية الفكرية. وفي سبيل تعزيز إمكانات قواعد البيانات المذكورة بأكبر قدر ممكن، خضع استخدامها لرصد دقيق والتُمست تعليقات مستخدميها طوال الثنائية للاسترشاد بها في زيادة تحسين الأنظمة بغرض زيادة سهولة استخدامها، وتحديد نه</w:t>
      </w:r>
      <w:r w:rsidR="00CE2695">
        <w:rPr>
          <w:rFonts w:ascii="Arabic Typesetting" w:hAnsi="Arabic Typesetting" w:cs="Arabic Typesetting" w:hint="cs"/>
          <w:sz w:val="34"/>
          <w:szCs w:val="34"/>
          <w:rtl/>
          <w:lang w:val="fr-CH"/>
        </w:rPr>
        <w:t>و</w:t>
      </w:r>
      <w:r w:rsidRPr="00BE2585">
        <w:rPr>
          <w:rFonts w:ascii="Arabic Typesetting" w:hAnsi="Arabic Typesetting" w:cs="Arabic Typesetting" w:hint="cs"/>
          <w:sz w:val="34"/>
          <w:szCs w:val="34"/>
          <w:rtl/>
          <w:lang w:val="fr-CH"/>
        </w:rPr>
        <w:t xml:space="preserve">ج أكثر استراتيجية لتشجيع </w:t>
      </w:r>
      <w:r w:rsidR="003B2ED5">
        <w:rPr>
          <w:rFonts w:ascii="Arabic Typesetting" w:hAnsi="Arabic Typesetting" w:cs="Arabic Typesetting" w:hint="cs"/>
          <w:sz w:val="34"/>
          <w:szCs w:val="34"/>
          <w:rtl/>
          <w:lang w:val="fr-CH"/>
        </w:rPr>
        <w:t>استخدامها</w:t>
      </w:r>
      <w:r w:rsidRPr="00BE2585">
        <w:rPr>
          <w:rFonts w:ascii="Arabic Typesetting" w:hAnsi="Arabic Typesetting" w:cs="Arabic Typesetting" w:hint="cs"/>
          <w:sz w:val="34"/>
          <w:szCs w:val="34"/>
          <w:rtl/>
          <w:lang w:val="fr-CH"/>
        </w:rPr>
        <w:t xml:space="preserve"> </w:t>
      </w:r>
      <w:r w:rsidRPr="00BE2585">
        <w:rPr>
          <w:rFonts w:ascii="Arabic Typesetting" w:hAnsi="Arabic Typesetting" w:cs="Arabic Typesetting" w:hint="cs"/>
          <w:sz w:val="34"/>
          <w:szCs w:val="34"/>
          <w:rtl/>
          <w:lang w:val="fr-CH"/>
        </w:rPr>
        <w:lastRenderedPageBreak/>
        <w:t>في بلدان مختلفة. ولكن شهد عدد البلدان التي تستخدم قاعدتي البيانات</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sz w:val="34"/>
          <w:szCs w:val="34"/>
          <w:lang w:val="fr-CH"/>
        </w:rPr>
        <w:t>IP-TAD</w:t>
      </w:r>
      <w:r w:rsidRPr="00BE2585">
        <w:rPr>
          <w:rFonts w:ascii="Arabic Typesetting" w:hAnsi="Arabic Typesetting" w:cs="Arabic Typesetting" w:hint="cs"/>
          <w:sz w:val="34"/>
          <w:szCs w:val="34"/>
          <w:rtl/>
          <w:lang w:val="fr-CH"/>
        </w:rPr>
        <w:t xml:space="preserve"> و</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sz w:val="34"/>
          <w:szCs w:val="34"/>
          <w:lang w:val="fr-CH"/>
        </w:rPr>
        <w:t>IP-ROC</w:t>
      </w:r>
      <w:r w:rsidRPr="00BE2585">
        <w:rPr>
          <w:rFonts w:ascii="Arabic Typesetting" w:hAnsi="Arabic Typesetting" w:cs="Arabic Typesetting" w:hint="cs"/>
          <w:sz w:val="34"/>
          <w:szCs w:val="34"/>
          <w:rtl/>
          <w:lang w:val="fr-CH"/>
        </w:rPr>
        <w:t xml:space="preserve"> انخفاضا في كل من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 (انخفاض بنسبة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10</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بال</w:t>
      </w:r>
      <w:r w:rsidR="00925848">
        <w:rPr>
          <w:rFonts w:ascii="Arabic Typesetting" w:hAnsi="Arabic Typesetting" w:cs="Arabic Typesetting" w:hint="cs"/>
          <w:sz w:val="34"/>
          <w:szCs w:val="34"/>
          <w:rtl/>
          <w:lang w:val="fr-CH"/>
        </w:rPr>
        <w:t>مئة</w:t>
      </w:r>
      <w:r w:rsidRPr="00BE2585">
        <w:rPr>
          <w:rFonts w:ascii="Arabic Typesetting" w:hAnsi="Arabic Typesetting" w:cs="Arabic Typesetting" w:hint="cs"/>
          <w:sz w:val="34"/>
          <w:szCs w:val="34"/>
          <w:rtl/>
          <w:lang w:val="fr-CH"/>
        </w:rPr>
        <w:t xml:space="preserve"> مقارنة بعام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2013) وعام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2015 (انخفاض بنسبة</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28</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بال</w:t>
      </w:r>
      <w:r w:rsidR="00925848">
        <w:rPr>
          <w:rFonts w:ascii="Arabic Typesetting" w:hAnsi="Arabic Typesetting" w:cs="Arabic Typesetting" w:hint="cs"/>
          <w:sz w:val="34"/>
          <w:szCs w:val="34"/>
          <w:rtl/>
          <w:lang w:val="fr-CH"/>
        </w:rPr>
        <w:t>مئة</w:t>
      </w:r>
      <w:r w:rsidRPr="00BE2585">
        <w:rPr>
          <w:rFonts w:ascii="Arabic Typesetting" w:hAnsi="Arabic Typesetting" w:cs="Arabic Typesetting" w:hint="cs"/>
          <w:sz w:val="34"/>
          <w:szCs w:val="34"/>
          <w:rtl/>
          <w:lang w:val="fr-CH"/>
        </w:rPr>
        <w:t xml:space="preserve"> مقارنة بعام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2014)؛ ولم يُسجّل حفز أية مطابقات في قاعدة البيانات</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sz w:val="34"/>
          <w:szCs w:val="34"/>
          <w:lang w:val="fr-CH"/>
        </w:rPr>
        <w:t>IP-DMD</w:t>
      </w:r>
      <w:r w:rsidRPr="00BE2585">
        <w:rPr>
          <w:rFonts w:ascii="Arabic Typesetting" w:hAnsi="Arabic Typesetting" w:cs="Arabic Typesetting" w:hint="cs"/>
          <w:sz w:val="34"/>
          <w:szCs w:val="34"/>
          <w:rtl/>
          <w:lang w:val="fr-CH"/>
        </w:rPr>
        <w:t xml:space="preserve"> بحلول أواخر عام</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hint="cs"/>
          <w:sz w:val="34"/>
          <w:szCs w:val="34"/>
          <w:rtl/>
          <w:lang w:val="fr-CH"/>
        </w:rPr>
        <w:t>2015؛ وتبيّن من النتائج الأولية عن استخدام قاعدة البيانات</w:t>
      </w:r>
      <w:r w:rsidRPr="00BE2585">
        <w:rPr>
          <w:rFonts w:ascii="Arabic Typesetting" w:hAnsi="Arabic Typesetting" w:cs="Arabic Typesetting" w:hint="eastAsia"/>
          <w:sz w:val="34"/>
          <w:szCs w:val="34"/>
          <w:rtl/>
          <w:lang w:val="fr-CH"/>
        </w:rPr>
        <w:t> </w:t>
      </w:r>
      <w:r w:rsidRPr="00BE2585">
        <w:rPr>
          <w:rFonts w:ascii="Arabic Typesetting" w:hAnsi="Arabic Typesetting" w:cs="Arabic Typesetting"/>
          <w:bCs/>
          <w:sz w:val="34"/>
          <w:szCs w:val="34"/>
        </w:rPr>
        <w:t>NIPS-D</w:t>
      </w:r>
      <w:r w:rsidRPr="00BE2585">
        <w:rPr>
          <w:rFonts w:ascii="Arabic Typesetting" w:hAnsi="Arabic Typesetting" w:cs="Arabic Typesetting" w:hint="cs"/>
          <w:sz w:val="34"/>
          <w:szCs w:val="34"/>
          <w:rtl/>
          <w:lang w:val="fr-CH"/>
        </w:rPr>
        <w:t xml:space="preserve"> أنها لا تُستعمل بطريقة فعالة.</w:t>
      </w:r>
    </w:p>
    <w:p w:rsidR="00BE2585" w:rsidRPr="00BE2585" w:rsidRDefault="00BE2585" w:rsidP="00BE2585">
      <w:pPr>
        <w:keepNext/>
        <w:bidi/>
        <w:spacing w:after="120" w:line="340" w:lineRule="exact"/>
        <w:ind w:left="-1"/>
        <w:rPr>
          <w:rFonts w:ascii="Arabic Typesetting" w:hAnsi="Arabic Typesetting" w:cs="Arabic Typesetting"/>
          <w:sz w:val="34"/>
          <w:szCs w:val="34"/>
          <w:rtl/>
          <w:lang w:val="fr-CH"/>
        </w:rPr>
      </w:pPr>
      <w:r w:rsidRPr="00BE2585">
        <w:rPr>
          <w:rFonts w:ascii="Arabic Typesetting" w:hAnsi="Arabic Typesetting" w:cs="Arabic Typesetting"/>
          <w:sz w:val="34"/>
          <w:szCs w:val="34"/>
          <w:rtl/>
          <w:lang w:val="fr-CH"/>
        </w:rPr>
        <w:t>بيانات الأداء</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4"/>
        <w:gridCol w:w="1984"/>
        <w:gridCol w:w="1985"/>
        <w:gridCol w:w="2835"/>
        <w:gridCol w:w="810"/>
      </w:tblGrid>
      <w:tr w:rsidR="00BE2585" w:rsidRPr="00BE2585" w:rsidTr="00E00E9F">
        <w:trPr>
          <w:cantSplit/>
          <w:trHeight w:val="186"/>
          <w:jc w:val="center"/>
        </w:trPr>
        <w:tc>
          <w:tcPr>
            <w:tcW w:w="9558" w:type="dxa"/>
            <w:gridSpan w:val="5"/>
            <w:tcBorders>
              <w:bottom w:val="single" w:sz="4" w:space="0" w:color="auto"/>
            </w:tcBorders>
            <w:shd w:val="clear" w:color="auto" w:fill="C6D9F1" w:themeFill="text2" w:themeFillTint="33"/>
            <w:vAlign w:val="center"/>
          </w:tcPr>
          <w:p w:rsidR="00BE2585" w:rsidRPr="00BE2585" w:rsidRDefault="00BE2585" w:rsidP="00CE2695">
            <w:pPr>
              <w:bidi/>
              <w:spacing w:before="60" w:after="60" w:line="280" w:lineRule="exact"/>
              <w:ind w:left="1167" w:hanging="1167"/>
              <w:rPr>
                <w:rFonts w:ascii="Arabic Typesetting" w:hAnsi="Arabic Typesetting" w:cs="Arabic Typesetting"/>
                <w:sz w:val="28"/>
                <w:szCs w:val="28"/>
                <w:rtl/>
                <w:lang w:bidi="ar-EG"/>
              </w:rPr>
            </w:pPr>
            <w:r w:rsidRPr="00BE2585">
              <w:rPr>
                <w:rFonts w:ascii="Arabic Typesetting" w:hAnsi="Arabic Typesetting" w:cs="Arabic Typesetting"/>
                <w:bCs/>
                <w:sz w:val="28"/>
                <w:szCs w:val="28"/>
                <w:rtl/>
                <w:lang w:bidi="ar-EG"/>
              </w:rPr>
              <w:t xml:space="preserve">النتيجة المرتقبة: </w:t>
            </w:r>
            <w:r w:rsidRPr="00BE2585">
              <w:rPr>
                <w:rFonts w:ascii="Arabic Typesetting" w:hAnsi="Arabic Typesetting" w:cs="Arabic Typesetting" w:hint="cs"/>
                <w:bCs/>
                <w:sz w:val="28"/>
                <w:szCs w:val="28"/>
                <w:rtl/>
                <w:lang w:bidi="ar-EG"/>
              </w:rPr>
              <w:tab/>
            </w:r>
            <w:r w:rsidRPr="00BE2585">
              <w:rPr>
                <w:rFonts w:ascii="Arabic Typesetting" w:hAnsi="Arabic Typesetting" w:cs="Arabic Typesetting" w:hint="cs"/>
                <w:sz w:val="28"/>
                <w:szCs w:val="28"/>
                <w:rtl/>
                <w:lang w:bidi="ar-EG"/>
              </w:rPr>
              <w:t xml:space="preserve">ه2.1 </w:t>
            </w:r>
            <w:r w:rsidRPr="00BE2585">
              <w:rPr>
                <w:rFonts w:ascii="Arabic Typesetting" w:hAnsi="Arabic Typesetting" w:cs="Arabic Typesetting"/>
                <w:sz w:val="28"/>
                <w:szCs w:val="28"/>
                <w:rtl/>
                <w:lang w:bidi="ar-EG"/>
              </w:rPr>
              <w:t>أطر تشريعية وتنظيمية وسياسية مناسبة ومتوازنة للملكية الفكرية</w:t>
            </w:r>
          </w:p>
        </w:tc>
      </w:tr>
      <w:tr w:rsidR="00BE2585" w:rsidRPr="00BE2585" w:rsidTr="00E00E9F">
        <w:trPr>
          <w:cantSplit/>
          <w:trHeight w:val="186"/>
          <w:jc w:val="center"/>
        </w:trPr>
        <w:tc>
          <w:tcPr>
            <w:tcW w:w="1944" w:type="dxa"/>
            <w:tcBorders>
              <w:top w:val="single" w:sz="4" w:space="0" w:color="auto"/>
              <w:left w:val="single" w:sz="4" w:space="0" w:color="auto"/>
              <w:bottom w:val="nil"/>
              <w:right w:val="nil"/>
            </w:tcBorders>
            <w:vAlign w:val="center"/>
          </w:tcPr>
          <w:p w:rsidR="00BE2585" w:rsidRPr="00BE2585" w:rsidRDefault="00BE2585" w:rsidP="00BE2585">
            <w:pPr>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مؤشرات الأداء</w:t>
            </w:r>
          </w:p>
        </w:tc>
        <w:tc>
          <w:tcPr>
            <w:tcW w:w="1984" w:type="dxa"/>
            <w:tcBorders>
              <w:top w:val="single" w:sz="4" w:space="0" w:color="auto"/>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أسس المقارنة</w:t>
            </w:r>
          </w:p>
        </w:tc>
        <w:tc>
          <w:tcPr>
            <w:tcW w:w="1985" w:type="dxa"/>
            <w:tcBorders>
              <w:top w:val="single" w:sz="4" w:space="0" w:color="auto"/>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الأهداف</w:t>
            </w:r>
          </w:p>
        </w:tc>
        <w:tc>
          <w:tcPr>
            <w:tcW w:w="2835" w:type="dxa"/>
            <w:tcBorders>
              <w:top w:val="single" w:sz="4" w:space="0" w:color="auto"/>
              <w:left w:val="nil"/>
              <w:bottom w:val="nil"/>
              <w:right w:val="nil"/>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بيانات الأداء</w:t>
            </w:r>
          </w:p>
        </w:tc>
        <w:tc>
          <w:tcPr>
            <w:tcW w:w="810" w:type="dxa"/>
            <w:tcBorders>
              <w:top w:val="single" w:sz="4" w:space="0" w:color="auto"/>
              <w:left w:val="nil"/>
              <w:bottom w:val="nil"/>
              <w:right w:val="single" w:sz="4" w:space="0" w:color="auto"/>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السير</w:t>
            </w:r>
          </w:p>
        </w:tc>
      </w:tr>
      <w:tr w:rsidR="00BE2585" w:rsidRPr="00BE2585" w:rsidTr="00E00E9F">
        <w:trPr>
          <w:cantSplit/>
          <w:trHeight w:val="18"/>
          <w:jc w:val="center"/>
        </w:trPr>
        <w:tc>
          <w:tcPr>
            <w:tcW w:w="1944" w:type="dxa"/>
            <w:tcBorders>
              <w:top w:val="nil"/>
              <w:left w:val="single" w:sz="4" w:space="0" w:color="auto"/>
              <w:bottom w:val="nil"/>
              <w:right w:val="nil"/>
            </w:tcBorders>
          </w:tcPr>
          <w:p w:rsidR="00BE2585" w:rsidRPr="00BE2585" w:rsidRDefault="00BE2585" w:rsidP="00BE2585">
            <w:pPr>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 xml:space="preserve">عدد الدول الأعضاء التي شعرت بالرضا إزاء مستوى جودة المشورة القانونية فيما يخص البراءات ونماذج المنفعة والأسرار التجارية والدوائر </w:t>
            </w:r>
            <w:r w:rsidRPr="00BE2585">
              <w:rPr>
                <w:rFonts w:ascii="Arabic Typesetting" w:hAnsi="Arabic Typesetting" w:cs="Arabic Typesetting"/>
                <w:sz w:val="28"/>
                <w:szCs w:val="28"/>
                <w:rtl/>
                <w:lang w:bidi="ar-EG"/>
              </w:rPr>
              <w:t>المتكاملة</w:t>
            </w:r>
            <w:r w:rsidRPr="00BE2585">
              <w:rPr>
                <w:rFonts w:ascii="Arabic Typesetting" w:hAnsi="Arabic Typesetting" w:cs="Arabic Typesetting" w:hint="cs"/>
                <w:sz w:val="28"/>
                <w:szCs w:val="28"/>
                <w:rtl/>
                <w:lang w:bidi="ar-EG"/>
              </w:rPr>
              <w:t>، والنسبة المئوية لهذه الدول</w:t>
            </w:r>
          </w:p>
        </w:tc>
        <w:tc>
          <w:tcPr>
            <w:tcW w:w="1984" w:type="dxa"/>
            <w:tcBorders>
              <w:top w:val="nil"/>
              <w:left w:val="nil"/>
              <w:bottom w:val="nil"/>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r w:rsidRPr="00BE2585">
              <w:rPr>
                <w:rFonts w:ascii="Arabic Typesetting" w:hAnsi="Arabic Typesetting" w:cs="Arabic Typesetting"/>
                <w:color w:val="002060"/>
                <w:sz w:val="28"/>
                <w:szCs w:val="28"/>
                <w:rtl/>
                <w:lang w:bidi="ar-EG"/>
              </w:rPr>
              <w:t xml:space="preserve"> </w:t>
            </w:r>
            <w:r w:rsidRPr="00BE2585">
              <w:rPr>
                <w:rFonts w:ascii="Arabic Typesetting" w:hAnsi="Arabic Typesetting" w:cs="Arabic Typesetting" w:hint="cs"/>
                <w:color w:val="002060"/>
                <w:sz w:val="28"/>
                <w:szCs w:val="28"/>
                <w:rtl/>
                <w:lang w:bidi="ar-EG"/>
              </w:rPr>
              <w:t>9 دول أعضاء (90%)، استنادا إلى استقصاء أجرته شعبة الرقابة الداخلية في 2013.</w:t>
            </w:r>
          </w:p>
          <w:p w:rsidR="00BE2585" w:rsidRPr="00BE2585" w:rsidRDefault="00BE2585" w:rsidP="00BE2585">
            <w:pPr>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sz w:val="28"/>
                <w:szCs w:val="28"/>
                <w:rtl/>
                <w:lang w:bidi="ar-EG"/>
              </w:rPr>
              <w:t xml:space="preserve"> </w:t>
            </w:r>
            <w:proofErr w:type="spellStart"/>
            <w:r w:rsidRPr="00BE2585">
              <w:rPr>
                <w:rFonts w:ascii="Arabic Typesetting" w:hAnsi="Arabic Typesetting" w:cs="Arabic Typesetting" w:hint="cs"/>
                <w:sz w:val="28"/>
                <w:szCs w:val="28"/>
                <w:rtl/>
                <w:lang w:bidi="ar-EG"/>
              </w:rPr>
              <w:t>استقصاءات</w:t>
            </w:r>
            <w:proofErr w:type="spellEnd"/>
            <w:r w:rsidRPr="00BE2585">
              <w:rPr>
                <w:rFonts w:ascii="Arabic Typesetting" w:hAnsi="Arabic Typesetting" w:cs="Arabic Typesetting" w:hint="cs"/>
                <w:sz w:val="28"/>
                <w:szCs w:val="28"/>
                <w:rtl/>
                <w:lang w:bidi="ar-EG"/>
              </w:rPr>
              <w:t xml:space="preserve"> 2012</w:t>
            </w:r>
          </w:p>
        </w:tc>
        <w:tc>
          <w:tcPr>
            <w:tcW w:w="1985" w:type="dxa"/>
            <w:tcBorders>
              <w:top w:val="nil"/>
              <w:left w:val="nil"/>
              <w:bottom w:val="nil"/>
              <w:right w:val="nil"/>
            </w:tcBorders>
          </w:tcPr>
          <w:p w:rsidR="00BE2585" w:rsidRPr="00BE2585" w:rsidRDefault="00BE2585" w:rsidP="00BE2585">
            <w:pPr>
              <w:keepNext/>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90%</w:t>
            </w:r>
          </w:p>
        </w:tc>
        <w:tc>
          <w:tcPr>
            <w:tcW w:w="2835" w:type="dxa"/>
            <w:tcBorders>
              <w:top w:val="nil"/>
              <w:left w:val="nil"/>
              <w:bottom w:val="nil"/>
              <w:right w:val="nil"/>
            </w:tcBorders>
            <w:tcMar>
              <w:top w:w="110" w:type="dxa"/>
            </w:tcMar>
          </w:tcPr>
          <w:p w:rsidR="00BE2585" w:rsidRPr="00BE2585" w:rsidRDefault="00BE2585" w:rsidP="00BE2585">
            <w:pPr>
              <w:keepNext/>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في الثنائية</w:t>
            </w:r>
            <w:r w:rsidRPr="00BE2585">
              <w:rPr>
                <w:rFonts w:ascii="Arabic Typesetting" w:hAnsi="Arabic Typesetting" w:cs="Arabic Typesetting" w:hint="eastAsia"/>
                <w:sz w:val="28"/>
                <w:szCs w:val="28"/>
                <w:rtl/>
                <w:lang w:bidi="ar-EG"/>
              </w:rPr>
              <w:t> </w:t>
            </w:r>
            <w:r w:rsidRPr="00BE2585">
              <w:rPr>
                <w:rFonts w:ascii="Arabic Typesetting" w:hAnsi="Arabic Typesetting" w:cs="Arabic Typesetting" w:hint="cs"/>
                <w:sz w:val="28"/>
                <w:szCs w:val="28"/>
                <w:rtl/>
                <w:lang w:bidi="ar-EG"/>
              </w:rPr>
              <w:t>2014/15، أبلغت 7 دول مجيبة، في المتوسط، عن معدل رضا يساوي 94% (أفريقيا-3؛ المنطقة العربية-1؛ آسيا والمحيط الهادئ-2؛ أمريكا اللاتينية والكاريبي-1).</w:t>
            </w:r>
            <w:r w:rsidRPr="00F96634">
              <w:rPr>
                <w:rFonts w:ascii="Arabic Typesetting" w:hAnsi="Arabic Typesetting" w:cs="Arabic Typesetting"/>
                <w:sz w:val="28"/>
                <w:szCs w:val="28"/>
                <w:vertAlign w:val="superscript"/>
                <w:rtl/>
                <w:lang w:bidi="ar-EG"/>
              </w:rPr>
              <w:footnoteReference w:id="58"/>
            </w:r>
          </w:p>
        </w:tc>
        <w:tc>
          <w:tcPr>
            <w:tcW w:w="810" w:type="dxa"/>
            <w:tcBorders>
              <w:top w:val="nil"/>
              <w:left w:val="nil"/>
              <w:bottom w:val="nil"/>
              <w:right w:val="single" w:sz="4" w:space="0" w:color="auto"/>
            </w:tcBorders>
            <w:tcMar>
              <w:top w:w="110" w:type="dxa"/>
            </w:tcMar>
          </w:tcPr>
          <w:p w:rsidR="00BE2585" w:rsidRPr="00BE2585" w:rsidRDefault="00BE2585" w:rsidP="00BE2585">
            <w:pPr>
              <w:bidi/>
              <w:spacing w:before="60" w:after="60" w:line="280" w:lineRule="exact"/>
              <w:rPr>
                <w:rFonts w:ascii="Arabic Typesetting" w:hAnsi="Arabic Typesetting" w:cs="Arabic Typesetting"/>
                <w:b/>
                <w:bCs/>
                <w:color w:val="00B050"/>
                <w:sz w:val="30"/>
                <w:szCs w:val="30"/>
              </w:rPr>
            </w:pPr>
            <w:r w:rsidRPr="00BE2585">
              <w:rPr>
                <w:rFonts w:ascii="Arabic Typesetting" w:hAnsi="Arabic Typesetting" w:cs="Arabic Typesetting" w:hint="cs"/>
                <w:b/>
                <w:bCs/>
                <w:color w:val="00B050"/>
                <w:sz w:val="30"/>
                <w:szCs w:val="30"/>
                <w:rtl/>
              </w:rPr>
              <w:t>محقق كلياً</w:t>
            </w:r>
          </w:p>
        </w:tc>
      </w:tr>
      <w:tr w:rsidR="00BE2585" w:rsidRPr="00BE2585" w:rsidTr="00E00E9F">
        <w:trPr>
          <w:cantSplit/>
          <w:trHeight w:val="18"/>
          <w:jc w:val="center"/>
        </w:trPr>
        <w:tc>
          <w:tcPr>
            <w:tcW w:w="1944" w:type="dxa"/>
            <w:tcBorders>
              <w:top w:val="nil"/>
              <w:left w:val="single" w:sz="4" w:space="0" w:color="auto"/>
              <w:bottom w:val="nil"/>
              <w:right w:val="nil"/>
            </w:tcBorders>
          </w:tcPr>
          <w:p w:rsidR="00BE2585" w:rsidRPr="00BE2585" w:rsidRDefault="00BE2585" w:rsidP="00BE2585">
            <w:pPr>
              <w:bidi/>
              <w:spacing w:before="60" w:after="60" w:line="280" w:lineRule="exact"/>
              <w:rPr>
                <w:rFonts w:ascii="Arabic Typesetting" w:hAnsi="Arabic Typesetting" w:cs="Arabic Typesetting"/>
                <w:sz w:val="28"/>
                <w:szCs w:val="28"/>
                <w:highlight w:val="green"/>
              </w:rPr>
            </w:pPr>
            <w:r w:rsidRPr="00BE2585">
              <w:rPr>
                <w:rFonts w:ascii="Arabic Typesetting" w:hAnsi="Arabic Typesetting" w:cs="Arabic Typesetting" w:hint="cs"/>
                <w:sz w:val="28"/>
                <w:szCs w:val="28"/>
                <w:rtl/>
                <w:lang w:bidi="ar-EG"/>
              </w:rPr>
              <w:t>عدد الدول الأعضاء/المنظمات الإقليمية التي قدمت تعليقات إيجابية على المشورة التشريعية المقدمة في مجال العلامات التجارية والتصاميم الصناعية والمؤشرات الجغرافية، والنسبة المئوية لهذه الدول والمنظمات</w:t>
            </w:r>
          </w:p>
        </w:tc>
        <w:tc>
          <w:tcPr>
            <w:tcW w:w="1984" w:type="dxa"/>
            <w:tcBorders>
              <w:top w:val="nil"/>
              <w:left w:val="nil"/>
              <w:bottom w:val="nil"/>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r w:rsidRPr="00BE2585">
              <w:rPr>
                <w:rFonts w:ascii="Arabic Typesetting" w:hAnsi="Arabic Typesetting" w:cs="Arabic Typesetting"/>
                <w:color w:val="002060"/>
                <w:sz w:val="28"/>
                <w:szCs w:val="28"/>
                <w:rtl/>
                <w:lang w:bidi="ar-EG"/>
              </w:rPr>
              <w:t xml:space="preserve"> </w:t>
            </w:r>
            <w:r w:rsidR="003B2ED5">
              <w:rPr>
                <w:rFonts w:ascii="Arabic Typesetting" w:hAnsi="Arabic Typesetting" w:cs="Arabic Typesetting" w:hint="cs"/>
                <w:color w:val="002060"/>
                <w:sz w:val="28"/>
                <w:szCs w:val="28"/>
                <w:rtl/>
                <w:lang w:bidi="ar-EG"/>
              </w:rPr>
              <w:t>تسلّم</w:t>
            </w:r>
            <w:r w:rsidRPr="00BE2585">
              <w:rPr>
                <w:rFonts w:ascii="Arabic Typesetting" w:hAnsi="Arabic Typesetting" w:cs="Arabic Typesetting" w:hint="cs"/>
                <w:color w:val="002060"/>
                <w:sz w:val="28"/>
                <w:szCs w:val="28"/>
                <w:rtl/>
                <w:lang w:bidi="ar-EG"/>
              </w:rPr>
              <w:t xml:space="preserve"> تعليقات إيجابية من 9 بلدان من أصل 13 بلدا.</w:t>
            </w:r>
            <w:r w:rsidRPr="00BE2585">
              <w:rPr>
                <w:rFonts w:ascii="Arabic Typesetting" w:hAnsi="Arabic Typesetting" w:cs="Arabic Typesetting"/>
                <w:color w:val="002060"/>
                <w:sz w:val="28"/>
                <w:szCs w:val="28"/>
                <w:rtl/>
                <w:lang w:bidi="ar-EG"/>
              </w:rPr>
              <w:br/>
            </w:r>
            <w:r w:rsidRPr="00BE2585">
              <w:rPr>
                <w:rFonts w:ascii="Arabic Typesetting" w:hAnsi="Arabic Typesetting" w:cs="Arabic Typesetting" w:hint="cs"/>
                <w:color w:val="002060"/>
                <w:sz w:val="28"/>
                <w:szCs w:val="28"/>
                <w:rtl/>
                <w:lang w:bidi="ar-EG"/>
              </w:rPr>
              <w:t>لم تقدم أربعة بلدان ردودا.</w:t>
            </w:r>
          </w:p>
          <w:p w:rsidR="00BE2585" w:rsidRPr="00BE2585" w:rsidRDefault="00BE2585" w:rsidP="00BE2585">
            <w:pPr>
              <w:bidi/>
              <w:spacing w:before="60" w:after="60" w:line="280" w:lineRule="exact"/>
              <w:rPr>
                <w:rFonts w:ascii="Arabic Typesetting" w:hAnsi="Arabic Typesetting" w:cs="Arabic Typesetting"/>
                <w:sz w:val="28"/>
                <w:szCs w:val="28"/>
                <w:highlight w:val="green"/>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sz w:val="28"/>
                <w:szCs w:val="28"/>
                <w:rtl/>
                <w:lang w:bidi="ar-EG"/>
              </w:rPr>
              <w:t xml:space="preserve"> تقديم ثلاثة دول أعضاء/منظمات إقليمية تعليقات إيجابية عن المشورة التشريعية </w:t>
            </w:r>
            <w:proofErr w:type="spellStart"/>
            <w:r w:rsidRPr="00BE2585">
              <w:rPr>
                <w:rFonts w:ascii="Arabic Typesetting" w:hAnsi="Arabic Typesetting" w:cs="Arabic Typesetting" w:hint="cs"/>
                <w:sz w:val="28"/>
                <w:szCs w:val="28"/>
                <w:rtl/>
                <w:lang w:bidi="ar-EG"/>
              </w:rPr>
              <w:t>المتلقاة</w:t>
            </w:r>
            <w:proofErr w:type="spellEnd"/>
            <w:r w:rsidRPr="00BE2585">
              <w:rPr>
                <w:rFonts w:ascii="Arabic Typesetting" w:hAnsi="Arabic Typesetting" w:cs="Arabic Typesetting" w:hint="cs"/>
                <w:sz w:val="28"/>
                <w:szCs w:val="28"/>
                <w:rtl/>
                <w:lang w:bidi="ar-EG"/>
              </w:rPr>
              <w:t xml:space="preserve"> في عام 2012</w:t>
            </w:r>
          </w:p>
        </w:tc>
        <w:tc>
          <w:tcPr>
            <w:tcW w:w="1985" w:type="dxa"/>
            <w:tcBorders>
              <w:top w:val="nil"/>
              <w:left w:val="nil"/>
              <w:bottom w:val="nil"/>
              <w:right w:val="nil"/>
            </w:tcBorders>
          </w:tcPr>
          <w:p w:rsidR="00BE2585" w:rsidRPr="00BE2585" w:rsidRDefault="003B2ED5" w:rsidP="00BE2585">
            <w:pPr>
              <w:keepNext/>
              <w:bidi/>
              <w:spacing w:before="60" w:after="60" w:line="280" w:lineRule="exact"/>
              <w:rPr>
                <w:rFonts w:ascii="Arabic Typesetting" w:hAnsi="Arabic Typesetting" w:cs="Arabic Typesetting"/>
                <w:sz w:val="28"/>
                <w:szCs w:val="28"/>
                <w:highlight w:val="green"/>
                <w:lang w:bidi="ar-EG"/>
              </w:rPr>
            </w:pPr>
            <w:r>
              <w:rPr>
                <w:rFonts w:ascii="Arabic Typesetting" w:hAnsi="Arabic Typesetting" w:cs="Arabic Typesetting" w:hint="cs"/>
                <w:sz w:val="28"/>
                <w:szCs w:val="28"/>
                <w:rtl/>
                <w:lang w:bidi="ar-EG"/>
              </w:rPr>
              <w:t>تسلّم</w:t>
            </w:r>
            <w:r w:rsidR="00BE2585" w:rsidRPr="00BE2585">
              <w:rPr>
                <w:rFonts w:ascii="Arabic Typesetting" w:hAnsi="Arabic Typesetting" w:cs="Arabic Typesetting" w:hint="cs"/>
                <w:sz w:val="28"/>
                <w:szCs w:val="28"/>
                <w:rtl/>
                <w:lang w:bidi="ar-EG"/>
              </w:rPr>
              <w:t xml:space="preserve"> تعليقات إيجابية من 10 دول أعضاء/منظمات إقليمية (التوزيع الإقليمي)</w:t>
            </w:r>
          </w:p>
        </w:tc>
        <w:tc>
          <w:tcPr>
            <w:tcW w:w="2835" w:type="dxa"/>
            <w:tcBorders>
              <w:top w:val="nil"/>
              <w:left w:val="nil"/>
              <w:bottom w:val="nil"/>
              <w:right w:val="nil"/>
            </w:tcBorders>
            <w:tcMar>
              <w:top w:w="110" w:type="dxa"/>
            </w:tcMar>
          </w:tcPr>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قُدمت المشورة التشريعية إلى 30 دولة عضوا/منظمة إقليمية (أفريقيا-8؛ المنطقة العربية-1؛ آسيا والمحيط الهادئ-14؛ أمريكا اللاتينية والكاريبي-6)</w:t>
            </w:r>
          </w:p>
          <w:p w:rsidR="00BE2585" w:rsidRPr="00BE2585" w:rsidRDefault="003B2ED5" w:rsidP="00BE2585">
            <w:pPr>
              <w:keepNext/>
              <w:bidi/>
              <w:spacing w:before="60" w:after="60" w:line="280" w:lineRule="exact"/>
              <w:rPr>
                <w:rFonts w:ascii="Arabic Typesetting" w:hAnsi="Arabic Typesetting" w:cs="Arabic Typesetting"/>
                <w:sz w:val="28"/>
                <w:szCs w:val="28"/>
                <w:highlight w:val="green"/>
                <w:lang w:bidi="ar-EG"/>
              </w:rPr>
            </w:pPr>
            <w:r>
              <w:rPr>
                <w:rFonts w:ascii="Arabic Typesetting" w:hAnsi="Arabic Typesetting" w:cs="Arabic Typesetting" w:hint="cs"/>
                <w:sz w:val="28"/>
                <w:szCs w:val="28"/>
                <w:rtl/>
                <w:lang w:bidi="ar-EG"/>
              </w:rPr>
              <w:t>وردت</w:t>
            </w:r>
            <w:r w:rsidR="00BE2585" w:rsidRPr="00BE2585">
              <w:rPr>
                <w:rFonts w:ascii="Arabic Typesetting" w:hAnsi="Arabic Typesetting" w:cs="Arabic Typesetting" w:hint="cs"/>
                <w:sz w:val="28"/>
                <w:szCs w:val="28"/>
                <w:rtl/>
                <w:lang w:bidi="ar-EG"/>
              </w:rPr>
              <w:t xml:space="preserve"> تعليقات من 10 دول/منظمات مجيبة أبدت جميعا (100%) رضاها عن المشورة المقدمة.</w:t>
            </w:r>
          </w:p>
        </w:tc>
        <w:tc>
          <w:tcPr>
            <w:tcW w:w="810" w:type="dxa"/>
            <w:tcBorders>
              <w:top w:val="nil"/>
              <w:left w:val="nil"/>
              <w:bottom w:val="nil"/>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Pr>
            </w:pPr>
            <w:r w:rsidRPr="00BE2585">
              <w:rPr>
                <w:rFonts w:ascii="Arabic Typesetting" w:hAnsi="Arabic Typesetting" w:cs="Arabic Typesetting" w:hint="cs"/>
                <w:b/>
                <w:bCs/>
                <w:color w:val="00B050"/>
                <w:sz w:val="30"/>
                <w:szCs w:val="30"/>
                <w:rtl/>
              </w:rPr>
              <w:t>محقق كلياً</w:t>
            </w:r>
          </w:p>
        </w:tc>
      </w:tr>
      <w:tr w:rsidR="00BE2585" w:rsidRPr="00BE2585" w:rsidTr="00E00E9F">
        <w:trPr>
          <w:cantSplit/>
          <w:trHeight w:val="18"/>
          <w:jc w:val="center"/>
        </w:trPr>
        <w:tc>
          <w:tcPr>
            <w:tcW w:w="1944" w:type="dxa"/>
            <w:tcBorders>
              <w:top w:val="nil"/>
              <w:left w:val="single" w:sz="4" w:space="0" w:color="auto"/>
              <w:bottom w:val="single" w:sz="4" w:space="0" w:color="auto"/>
              <w:right w:val="nil"/>
            </w:tcBorders>
          </w:tcPr>
          <w:p w:rsidR="00BE2585" w:rsidRPr="00BE2585" w:rsidRDefault="00BE2585" w:rsidP="00BE2585">
            <w:pPr>
              <w:bidi/>
              <w:spacing w:before="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عدد البلدان التي قدمت تعليقات إيجابية على مشورة الويبو التشريعية، والنسبة المئوية لهذه البلدان</w:t>
            </w:r>
          </w:p>
        </w:tc>
        <w:tc>
          <w:tcPr>
            <w:tcW w:w="1984" w:type="dxa"/>
            <w:tcBorders>
              <w:top w:val="nil"/>
              <w:left w:val="nil"/>
              <w:bottom w:val="single" w:sz="4" w:space="0" w:color="auto"/>
              <w:right w:val="nil"/>
            </w:tcBorders>
          </w:tcPr>
          <w:p w:rsidR="00BE2585" w:rsidRPr="00BE2585" w:rsidRDefault="00BE2585" w:rsidP="00BE2585">
            <w:pPr>
              <w:keepNext/>
              <w:bidi/>
              <w:spacing w:before="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لم تُجمع بعد معلومات عن التعليقات</w:t>
            </w:r>
          </w:p>
        </w:tc>
        <w:tc>
          <w:tcPr>
            <w:tcW w:w="1985" w:type="dxa"/>
            <w:tcBorders>
              <w:top w:val="nil"/>
              <w:left w:val="nil"/>
              <w:bottom w:val="single" w:sz="4" w:space="0" w:color="auto"/>
              <w:right w:val="nil"/>
            </w:tcBorders>
          </w:tcPr>
          <w:p w:rsidR="00BE2585" w:rsidRPr="00BE2585" w:rsidRDefault="00BE2585" w:rsidP="00BE2585">
            <w:pPr>
              <w:keepNext/>
              <w:bidi/>
              <w:spacing w:before="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15 بلدا (التوزيع الجغرافي)</w:t>
            </w:r>
          </w:p>
        </w:tc>
        <w:tc>
          <w:tcPr>
            <w:tcW w:w="2835" w:type="dxa"/>
            <w:tcBorders>
              <w:top w:val="nil"/>
              <w:left w:val="nil"/>
              <w:bottom w:val="single" w:sz="4" w:space="0" w:color="auto"/>
              <w:right w:val="nil"/>
            </w:tcBorders>
            <w:tcMar>
              <w:top w:w="110" w:type="dxa"/>
            </w:tcMar>
          </w:tcPr>
          <w:p w:rsidR="00BE2585" w:rsidRPr="00BE2585" w:rsidRDefault="00BE2585" w:rsidP="00BE2585">
            <w:pPr>
              <w:keepNext/>
              <w:bidi/>
              <w:spacing w:before="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تلقى 23 بلدا مشورة تشريعية في الثنائية</w:t>
            </w:r>
            <w:r w:rsidRPr="00BE2585">
              <w:rPr>
                <w:rFonts w:ascii="Arabic Typesetting" w:hAnsi="Arabic Typesetting" w:cs="Arabic Typesetting" w:hint="eastAsia"/>
                <w:sz w:val="28"/>
                <w:szCs w:val="28"/>
                <w:rtl/>
                <w:lang w:bidi="ar-EG"/>
              </w:rPr>
              <w:t> </w:t>
            </w:r>
            <w:r w:rsidRPr="00BE2585">
              <w:rPr>
                <w:rFonts w:ascii="Arabic Typesetting" w:hAnsi="Arabic Typesetting" w:cs="Arabic Typesetting" w:hint="cs"/>
                <w:sz w:val="28"/>
                <w:szCs w:val="28"/>
                <w:rtl/>
                <w:lang w:bidi="ar-EG"/>
              </w:rPr>
              <w:t>2014/15 (أفريقيا-9؛ المنطقة العربية-3؛ آسيا والمحيط الهادئ-5؛ أمريكا اللاتينية والكاريبي-6؛).</w:t>
            </w:r>
          </w:p>
          <w:p w:rsidR="00BE2585" w:rsidRPr="00BE2585" w:rsidRDefault="00BE2585" w:rsidP="00BE2585">
            <w:pPr>
              <w:keepNext/>
              <w:bidi/>
              <w:spacing w:before="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أوردت جميع الردود الصالحة (100%) على الاستقصاء تعليقات إيجابية (5 أو 6 في مقياس من 1 إلى 6) على خدمة المشورة التشريعية التي تقدمها الويبو في مجال حق المؤلف.</w:t>
            </w:r>
          </w:p>
        </w:tc>
        <w:tc>
          <w:tcPr>
            <w:tcW w:w="810" w:type="dxa"/>
            <w:tcBorders>
              <w:top w:val="nil"/>
              <w:left w:val="nil"/>
              <w:bottom w:val="single" w:sz="4" w:space="0" w:color="auto"/>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Pr>
            </w:pPr>
            <w:r w:rsidRPr="00BE2585">
              <w:rPr>
                <w:rFonts w:ascii="Arabic Typesetting" w:hAnsi="Arabic Typesetting" w:cs="Arabic Typesetting" w:hint="cs"/>
                <w:b/>
                <w:bCs/>
                <w:color w:val="00B050"/>
                <w:sz w:val="30"/>
                <w:szCs w:val="30"/>
                <w:rtl/>
              </w:rPr>
              <w:t>محقق كلياً</w:t>
            </w:r>
          </w:p>
        </w:tc>
      </w:tr>
      <w:tr w:rsidR="00BE2585" w:rsidRPr="00BE2585" w:rsidTr="00E00E9F">
        <w:trPr>
          <w:cantSplit/>
          <w:trHeight w:val="186"/>
          <w:jc w:val="center"/>
        </w:trPr>
        <w:tc>
          <w:tcPr>
            <w:tcW w:w="9558" w:type="dxa"/>
            <w:gridSpan w:val="5"/>
            <w:tcBorders>
              <w:top w:val="single" w:sz="4" w:space="0" w:color="auto"/>
              <w:bottom w:val="single" w:sz="4" w:space="0" w:color="auto"/>
            </w:tcBorders>
            <w:shd w:val="clear" w:color="auto" w:fill="C6D9F1" w:themeFill="text2" w:themeFillTint="33"/>
            <w:vAlign w:val="center"/>
          </w:tcPr>
          <w:p w:rsidR="00BE2585" w:rsidRPr="00BE2585" w:rsidRDefault="00BE2585" w:rsidP="00CE2695">
            <w:pPr>
              <w:keepNext/>
              <w:bidi/>
              <w:spacing w:before="60" w:after="60" w:line="280" w:lineRule="exact"/>
              <w:ind w:left="1167" w:hanging="1167"/>
              <w:rPr>
                <w:rFonts w:ascii="Arabic Typesetting" w:hAnsi="Arabic Typesetting" w:cs="Arabic Typesetting"/>
                <w:sz w:val="28"/>
                <w:szCs w:val="28"/>
                <w:rtl/>
                <w:lang w:bidi="ar-EG"/>
              </w:rPr>
            </w:pPr>
            <w:r w:rsidRPr="00BE2585">
              <w:rPr>
                <w:rFonts w:ascii="Arabic Typesetting" w:hAnsi="Arabic Typesetting" w:cs="Arabic Typesetting"/>
                <w:bCs/>
                <w:sz w:val="28"/>
                <w:szCs w:val="28"/>
                <w:rtl/>
                <w:lang w:bidi="ar-EG"/>
              </w:rPr>
              <w:lastRenderedPageBreak/>
              <w:t xml:space="preserve">النتيجة المرتقبة: </w:t>
            </w:r>
            <w:r w:rsidRPr="00BE2585">
              <w:rPr>
                <w:rFonts w:ascii="Arabic Typesetting" w:hAnsi="Arabic Typesetting" w:cs="Arabic Typesetting" w:hint="cs"/>
                <w:bCs/>
                <w:sz w:val="28"/>
                <w:szCs w:val="28"/>
                <w:rtl/>
                <w:lang w:bidi="ar-EG"/>
              </w:rPr>
              <w:tab/>
            </w:r>
            <w:r w:rsidRPr="00BE2585">
              <w:rPr>
                <w:rFonts w:ascii="Arabic Typesetting" w:hAnsi="Arabic Typesetting" w:cs="Arabic Typesetting" w:hint="cs"/>
                <w:sz w:val="28"/>
                <w:szCs w:val="28"/>
                <w:rtl/>
                <w:lang w:bidi="ar-EG"/>
              </w:rPr>
              <w:t xml:space="preserve">ه1.3 </w:t>
            </w:r>
            <w:r w:rsidR="000E3DA7">
              <w:rPr>
                <w:rFonts w:ascii="Arabic Typesetting" w:hAnsi="Arabic Typesetting" w:cs="Arabic Typesetting"/>
                <w:sz w:val="28"/>
                <w:szCs w:val="28"/>
                <w:rtl/>
                <w:lang w:bidi="ar-EG"/>
              </w:rPr>
              <w:t>استراتيجيات وخطط إنمائية وطنية بشأن الملكية الفكرية والابتكار تتماشى مع الأهداف الإنمائية الوطنية</w:t>
            </w:r>
          </w:p>
        </w:tc>
      </w:tr>
      <w:tr w:rsidR="00BE2585" w:rsidRPr="00BE2585" w:rsidTr="00E00E9F">
        <w:trPr>
          <w:cantSplit/>
          <w:trHeight w:val="186"/>
          <w:jc w:val="center"/>
        </w:trPr>
        <w:tc>
          <w:tcPr>
            <w:tcW w:w="1944" w:type="dxa"/>
            <w:tcBorders>
              <w:top w:val="single" w:sz="4" w:space="0" w:color="auto"/>
              <w:left w:val="single" w:sz="4" w:space="0" w:color="auto"/>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مؤشرات الأداء</w:t>
            </w:r>
          </w:p>
        </w:tc>
        <w:tc>
          <w:tcPr>
            <w:tcW w:w="1984" w:type="dxa"/>
            <w:tcBorders>
              <w:top w:val="single" w:sz="4" w:space="0" w:color="auto"/>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أسس المقارنة</w:t>
            </w:r>
          </w:p>
        </w:tc>
        <w:tc>
          <w:tcPr>
            <w:tcW w:w="1985" w:type="dxa"/>
            <w:tcBorders>
              <w:top w:val="single" w:sz="4" w:space="0" w:color="auto"/>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الأهداف</w:t>
            </w:r>
          </w:p>
        </w:tc>
        <w:tc>
          <w:tcPr>
            <w:tcW w:w="2835" w:type="dxa"/>
            <w:tcBorders>
              <w:top w:val="single" w:sz="4" w:space="0" w:color="auto"/>
              <w:left w:val="nil"/>
              <w:bottom w:val="nil"/>
              <w:right w:val="nil"/>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بيانات الأداء</w:t>
            </w:r>
          </w:p>
        </w:tc>
        <w:tc>
          <w:tcPr>
            <w:tcW w:w="810" w:type="dxa"/>
            <w:tcBorders>
              <w:top w:val="single" w:sz="4" w:space="0" w:color="auto"/>
              <w:left w:val="nil"/>
              <w:bottom w:val="nil"/>
              <w:right w:val="single" w:sz="4" w:space="0" w:color="auto"/>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السير</w:t>
            </w:r>
          </w:p>
        </w:tc>
      </w:tr>
      <w:tr w:rsidR="00BE2585" w:rsidRPr="00BE2585" w:rsidTr="00E00E9F">
        <w:trPr>
          <w:cantSplit/>
          <w:trHeight w:val="537"/>
          <w:jc w:val="center"/>
        </w:trPr>
        <w:tc>
          <w:tcPr>
            <w:tcW w:w="1944" w:type="dxa"/>
            <w:tcBorders>
              <w:top w:val="nil"/>
              <w:left w:val="single" w:sz="4" w:space="0" w:color="auto"/>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sz w:val="28"/>
                <w:szCs w:val="28"/>
                <w:rtl/>
                <w:lang w:bidi="ar-EG"/>
              </w:rPr>
              <w:t>عدد البلدان التي تمر بمرحلة صياغة أو اعتماد الاستراتيجيات الوطنية للملكية الفكرية أو خطط التنمية أو كل</w:t>
            </w:r>
            <w:r w:rsidRPr="00BE2585">
              <w:rPr>
                <w:rFonts w:ascii="Arabic Typesetting" w:hAnsi="Arabic Typesetting" w:cs="Arabic Typesetting" w:hint="cs"/>
                <w:sz w:val="28"/>
                <w:szCs w:val="28"/>
                <w:rtl/>
                <w:lang w:bidi="ar-EG"/>
              </w:rPr>
              <w:t>ت</w:t>
            </w:r>
            <w:r w:rsidRPr="00BE2585">
              <w:rPr>
                <w:rFonts w:ascii="Arabic Typesetting" w:hAnsi="Arabic Typesetting" w:cs="Arabic Typesetting"/>
                <w:sz w:val="28"/>
                <w:szCs w:val="28"/>
                <w:rtl/>
                <w:lang w:bidi="ar-EG"/>
              </w:rPr>
              <w:t>يهما</w:t>
            </w:r>
          </w:p>
        </w:tc>
        <w:tc>
          <w:tcPr>
            <w:tcW w:w="1984" w:type="dxa"/>
            <w:tcBorders>
              <w:top w:val="nil"/>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أفريقيا: 18 تراكميا (</w:t>
            </w:r>
            <w:r w:rsidRPr="00BE2585">
              <w:rPr>
                <w:rFonts w:ascii="Arabic Typesetting" w:hAnsi="Arabic Typesetting" w:cs="Arabic Typesetting"/>
                <w:color w:val="002060"/>
                <w:sz w:val="28"/>
                <w:szCs w:val="28"/>
                <w:rtl/>
                <w:lang w:bidi="ar-EG"/>
              </w:rPr>
              <w:t xml:space="preserve">بوتسوانا وبوروندي والكاميرون وجمهورية أفريقيا الوسطى وتشاد والكونغو وغينيا الاستوائية وإثيوبيا </w:t>
            </w:r>
            <w:r w:rsidRPr="00F96634">
              <w:rPr>
                <w:rFonts w:ascii="Arabic Typesetting" w:hAnsi="Arabic Typesetting" w:cs="Arabic Typesetting"/>
                <w:color w:val="002060"/>
                <w:sz w:val="28"/>
                <w:szCs w:val="28"/>
                <w:vertAlign w:val="superscript"/>
                <w:rtl/>
                <w:lang w:bidi="ar-EG"/>
              </w:rPr>
              <w:footnoteReference w:id="59"/>
            </w:r>
            <w:r w:rsidRPr="00BE2585">
              <w:rPr>
                <w:rFonts w:ascii="Arabic Typesetting" w:hAnsi="Arabic Typesetting" w:cs="Arabic Typesetting"/>
                <w:color w:val="002060"/>
                <w:sz w:val="28"/>
                <w:szCs w:val="28"/>
                <w:rtl/>
                <w:lang w:bidi="ar-EG"/>
              </w:rPr>
              <w:t>وغامبيا وكينيا وليسوتو وملاوي ومالي وموريشيوس وسيشيل وسيراليون وتوغو وجمهورية تنزانيا المتحدة</w:t>
            </w:r>
            <w:r w:rsidRPr="00BE2585">
              <w:rPr>
                <w:rFonts w:ascii="Arabic Typesetting" w:hAnsi="Arabic Typesetting" w:cs="Arabic Typesetting" w:hint="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المنطقة العربية: 6 تراكميا</w:t>
            </w:r>
            <w:r w:rsidRPr="00F96634">
              <w:rPr>
                <w:rFonts w:ascii="Arabic Typesetting" w:hAnsi="Arabic Typesetting" w:cs="Arabic Typesetting"/>
                <w:color w:val="002060"/>
                <w:sz w:val="28"/>
                <w:szCs w:val="28"/>
                <w:vertAlign w:val="superscript"/>
                <w:rtl/>
                <w:lang w:bidi="ar-EG"/>
              </w:rPr>
              <w:footnoteReference w:id="60"/>
            </w:r>
            <w:r w:rsidRPr="00BE2585">
              <w:rPr>
                <w:rFonts w:ascii="Arabic Typesetting" w:hAnsi="Arabic Typesetting" w:cs="Arabic Typesetting" w:hint="cs"/>
                <w:color w:val="002060"/>
                <w:sz w:val="28"/>
                <w:szCs w:val="28"/>
                <w:rtl/>
                <w:lang w:bidi="ar-EG"/>
              </w:rPr>
              <w:t xml:space="preserve"> (الجزائر</w:t>
            </w:r>
            <w:r w:rsidRPr="00F96634">
              <w:rPr>
                <w:rFonts w:ascii="Arabic Typesetting" w:hAnsi="Arabic Typesetting" w:cs="Arabic Typesetting"/>
                <w:color w:val="002060"/>
                <w:sz w:val="28"/>
                <w:szCs w:val="28"/>
                <w:vertAlign w:val="superscript"/>
                <w:rtl/>
                <w:lang w:bidi="ar-EG"/>
              </w:rPr>
              <w:footnoteReference w:id="61"/>
            </w:r>
            <w:r w:rsidRPr="00BE2585">
              <w:rPr>
                <w:rFonts w:ascii="Arabic Typesetting" w:hAnsi="Arabic Typesetting" w:cs="Arabic Typesetting" w:hint="cs"/>
                <w:color w:val="002060"/>
                <w:sz w:val="28"/>
                <w:szCs w:val="28"/>
                <w:rtl/>
                <w:lang w:bidi="ar-EG"/>
              </w:rPr>
              <w:t xml:space="preserve"> وعُمان وقطر</w:t>
            </w:r>
            <w:r w:rsidRPr="00F96634">
              <w:rPr>
                <w:rFonts w:ascii="Arabic Typesetting" w:hAnsi="Arabic Typesetting" w:cs="Arabic Typesetting"/>
                <w:color w:val="002060"/>
                <w:sz w:val="28"/>
                <w:szCs w:val="28"/>
                <w:vertAlign w:val="superscript"/>
                <w:rtl/>
                <w:lang w:bidi="ar-EG"/>
              </w:rPr>
              <w:footnoteReference w:id="62"/>
            </w:r>
            <w:r w:rsidRPr="00BE2585">
              <w:rPr>
                <w:rFonts w:ascii="Arabic Typesetting" w:hAnsi="Arabic Typesetting" w:cs="Arabic Typesetting" w:hint="cs"/>
                <w:color w:val="002060"/>
                <w:sz w:val="28"/>
                <w:szCs w:val="28"/>
                <w:rtl/>
                <w:lang w:bidi="ar-EG"/>
              </w:rPr>
              <w:t xml:space="preserve"> والسودان والإمارات العربية المتحدة واليمن)</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آسيا والمحيط الهادئ: 12 تراكميا (</w:t>
            </w:r>
            <w:r w:rsidRPr="00BE2585">
              <w:rPr>
                <w:rFonts w:ascii="Arabic Typesetting" w:hAnsi="Arabic Typesetting" w:cs="Arabic Typesetting"/>
                <w:color w:val="002060"/>
                <w:sz w:val="28"/>
                <w:szCs w:val="28"/>
                <w:rtl/>
                <w:lang w:bidi="ar-EG"/>
              </w:rPr>
              <w:t xml:space="preserve">بنغلاديش وبوتان وكمبوديا وفيجي ومنغوليا وبابوا غينيا الجديدة وساموا وجزر سليمان وسري </w:t>
            </w:r>
            <w:proofErr w:type="spellStart"/>
            <w:r w:rsidRPr="00BE2585">
              <w:rPr>
                <w:rFonts w:ascii="Arabic Typesetting" w:hAnsi="Arabic Typesetting" w:cs="Arabic Typesetting"/>
                <w:color w:val="002060"/>
                <w:sz w:val="28"/>
                <w:szCs w:val="28"/>
                <w:rtl/>
                <w:lang w:bidi="ar-EG"/>
              </w:rPr>
              <w:t>لانكا</w:t>
            </w:r>
            <w:proofErr w:type="spellEnd"/>
            <w:r w:rsidRPr="00BE2585">
              <w:rPr>
                <w:rFonts w:ascii="Arabic Typesetting" w:hAnsi="Arabic Typesetting" w:cs="Arabic Typesetting"/>
                <w:color w:val="002060"/>
                <w:sz w:val="28"/>
                <w:szCs w:val="28"/>
                <w:rtl/>
                <w:lang w:bidi="ar-EG"/>
              </w:rPr>
              <w:t xml:space="preserve"> وتونغا وفانواتو </w:t>
            </w:r>
            <w:proofErr w:type="spellStart"/>
            <w:r w:rsidRPr="00BE2585">
              <w:rPr>
                <w:rFonts w:ascii="Arabic Typesetting" w:hAnsi="Arabic Typesetting" w:cs="Arabic Typesetting"/>
                <w:color w:val="002060"/>
                <w:sz w:val="28"/>
                <w:szCs w:val="28"/>
                <w:rtl/>
                <w:lang w:bidi="ar-EG"/>
              </w:rPr>
              <w:t>وفييت</w:t>
            </w:r>
            <w:proofErr w:type="spellEnd"/>
            <w:r w:rsidRPr="00BE2585">
              <w:rPr>
                <w:rFonts w:ascii="Arabic Typesetting" w:hAnsi="Arabic Typesetting" w:cs="Arabic Typesetting"/>
                <w:color w:val="002060"/>
                <w:sz w:val="28"/>
                <w:szCs w:val="28"/>
                <w:rtl/>
                <w:lang w:bidi="ar-EG"/>
              </w:rPr>
              <w:t xml:space="preserve"> نام</w:t>
            </w:r>
            <w:r w:rsidRPr="00BE2585">
              <w:rPr>
                <w:rFonts w:ascii="Arabic Typesetting" w:hAnsi="Arabic Typesetting" w:cs="Arabic Typesetting" w:hint="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أمريكا اللاتينية والكاريبي: 11 تراكميا (</w:t>
            </w:r>
            <w:r w:rsidRPr="00BE2585">
              <w:rPr>
                <w:rFonts w:ascii="Arabic Typesetting" w:hAnsi="Arabic Typesetting" w:cs="Arabic Typesetting"/>
                <w:color w:val="002060"/>
                <w:sz w:val="28"/>
                <w:szCs w:val="28"/>
                <w:rtl/>
                <w:lang w:bidi="ar-EG"/>
              </w:rPr>
              <w:t xml:space="preserve">بربادوس وكوستاريكا والجمهورية </w:t>
            </w:r>
            <w:proofErr w:type="spellStart"/>
            <w:r w:rsidRPr="00BE2585">
              <w:rPr>
                <w:rFonts w:ascii="Arabic Typesetting" w:hAnsi="Arabic Typesetting" w:cs="Arabic Typesetting"/>
                <w:color w:val="002060"/>
                <w:sz w:val="28"/>
                <w:szCs w:val="28"/>
                <w:rtl/>
                <w:lang w:bidi="ar-EG"/>
              </w:rPr>
              <w:t>الدومينيكية</w:t>
            </w:r>
            <w:proofErr w:type="spellEnd"/>
            <w:r w:rsidRPr="00BE2585">
              <w:rPr>
                <w:rFonts w:ascii="Arabic Typesetting" w:hAnsi="Arabic Typesetting" w:cs="Arabic Typesetting"/>
                <w:color w:val="002060"/>
                <w:sz w:val="28"/>
                <w:szCs w:val="28"/>
                <w:rtl/>
                <w:lang w:bidi="ar-EG"/>
              </w:rPr>
              <w:t xml:space="preserve"> وإكوادور والسلفادور وغواتيمالا وهندوراس ونيكاراغوا وبنما وسانت كيتس ونيفس وترينيداد وتوباغو</w:t>
            </w:r>
            <w:r w:rsidRPr="00BE2585">
              <w:rPr>
                <w:rFonts w:ascii="Arabic Typesetting" w:hAnsi="Arabic Typesetting" w:cs="Arabic Typesetting" w:hint="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19 بلدا من البلدان الأقل نموا مشمولا في التوزيع الإقليمي الوارد أعلاه</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sz w:val="28"/>
                <w:szCs w:val="28"/>
                <w:rtl/>
                <w:lang w:bidi="ar-EG"/>
              </w:rPr>
              <w:t xml:space="preserve"> أفريقيا (12 تراكميا)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(4)</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(8)</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(9)</w:t>
            </w:r>
          </w:p>
          <w:p w:rsidR="00BE2585" w:rsidRPr="00BE2585" w:rsidRDefault="00BE2585" w:rsidP="00BE2585">
            <w:pPr>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5 بلدان من البلدان الأقل نموا مشمولة في التوزيع اِلإقليمي الوارد أعلاه</w:t>
            </w:r>
          </w:p>
        </w:tc>
        <w:tc>
          <w:tcPr>
            <w:tcW w:w="1985" w:type="dxa"/>
            <w:tcBorders>
              <w:top w:val="nil"/>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(18 تراكميا)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(7 تراكميا)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(13 تراكميا)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(13 تراكميا)</w:t>
            </w:r>
          </w:p>
          <w:p w:rsidR="00BE2585" w:rsidRPr="00BE2585" w:rsidRDefault="00BE2585" w:rsidP="00BE2585">
            <w:pPr>
              <w:bidi/>
              <w:spacing w:before="60" w:after="60" w:line="280" w:lineRule="exact"/>
              <w:rPr>
                <w:rFonts w:ascii="Arabic Typesetting" w:hAnsi="Arabic Typesetting" w:cs="Arabic Typesetting"/>
                <w:sz w:val="28"/>
                <w:szCs w:val="28"/>
              </w:rPr>
            </w:pPr>
            <w:r w:rsidRPr="00BE2585">
              <w:rPr>
                <w:rFonts w:ascii="Arabic Typesetting" w:hAnsi="Arabic Typesetting" w:cs="Arabic Typesetting" w:hint="cs"/>
                <w:sz w:val="28"/>
                <w:szCs w:val="28"/>
                <w:rtl/>
                <w:lang w:bidi="ar-EG"/>
              </w:rPr>
              <w:t>10 بلدان من البلدان الأقل نموا مشمولة في التوزيع اِلإقليمي الوارد أعلاه</w:t>
            </w:r>
          </w:p>
        </w:tc>
        <w:tc>
          <w:tcPr>
            <w:tcW w:w="2835" w:type="dxa"/>
            <w:tcBorders>
              <w:top w:val="nil"/>
              <w:left w:val="nil"/>
              <w:bottom w:val="single" w:sz="4" w:space="0" w:color="auto"/>
              <w:right w:val="nil"/>
            </w:tcBorders>
            <w:tcMar>
              <w:top w:w="110" w:type="dxa"/>
            </w:tcMar>
          </w:tcPr>
          <w:p w:rsidR="00BE2585" w:rsidRPr="00BE2585" w:rsidRDefault="00BE2585" w:rsidP="00D62C1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 xml:space="preserve">أفريقيا (6 بلدان إضافية): </w:t>
            </w:r>
            <w:r w:rsidRPr="00BE2585">
              <w:rPr>
                <w:rFonts w:ascii="Arabic Typesetting" w:hAnsi="Arabic Typesetting" w:cs="Arabic Typesetting"/>
                <w:sz w:val="28"/>
                <w:szCs w:val="28"/>
                <w:rtl/>
              </w:rPr>
              <w:t>بنن وجمهورية الكونغو الديمقراطية</w:t>
            </w:r>
            <w:r w:rsidR="00D62C15">
              <w:rPr>
                <w:rFonts w:ascii="Arabic Typesetting" w:hAnsi="Arabic Typesetting" w:cs="Arabic Typesetting" w:hint="cs"/>
                <w:sz w:val="28"/>
                <w:szCs w:val="28"/>
                <w:rtl/>
              </w:rPr>
              <w:t xml:space="preserve"> </w:t>
            </w:r>
            <w:r w:rsidR="00D62C15" w:rsidRPr="00F96634">
              <w:rPr>
                <w:rFonts w:ascii="Arabic Typesetting" w:hAnsi="Arabic Typesetting" w:cs="Arabic Typesetting"/>
                <w:sz w:val="28"/>
                <w:szCs w:val="28"/>
                <w:vertAlign w:val="superscript"/>
                <w:rtl/>
              </w:rPr>
              <w:footnoteReference w:id="63"/>
            </w:r>
            <w:r w:rsidRPr="00BE2585">
              <w:rPr>
                <w:rFonts w:ascii="Arabic Typesetting" w:hAnsi="Arabic Typesetting" w:cs="Arabic Typesetting"/>
                <w:sz w:val="28"/>
                <w:szCs w:val="28"/>
                <w:rtl/>
              </w:rPr>
              <w:t>ومدغشقر والنيجر وسوازيلند وأوغندا</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(24 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المنطقة العربية (لا توجد بلدان إضافية)؛</w:t>
            </w:r>
          </w:p>
          <w:p w:rsidR="00BE2585" w:rsidRPr="00BE2585" w:rsidRDefault="00BE2585" w:rsidP="009A3712">
            <w:pPr>
              <w:keepNext/>
              <w:numPr>
                <w:ilvl w:val="0"/>
                <w:numId w:val="15"/>
              </w:numPr>
              <w:bidi/>
              <w:spacing w:before="60" w:after="60" w:line="280" w:lineRule="exact"/>
              <w:contextualSpacing/>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الإمارات العربية المتحدة (لا يوجد تقدم إضافي)؛</w:t>
            </w:r>
          </w:p>
          <w:p w:rsidR="00BE2585" w:rsidRPr="00BE2585" w:rsidRDefault="00BE2585" w:rsidP="009A3712">
            <w:pPr>
              <w:keepNext/>
              <w:numPr>
                <w:ilvl w:val="0"/>
                <w:numId w:val="15"/>
              </w:numPr>
              <w:bidi/>
              <w:spacing w:before="60" w:after="60" w:line="280" w:lineRule="exact"/>
              <w:contextualSpacing/>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اليمن (أرجئت العملية بسبب الوضع السياسي)</w:t>
            </w:r>
          </w:p>
          <w:p w:rsidR="00BE2585" w:rsidRPr="00BE2585" w:rsidRDefault="00BE2585" w:rsidP="00BE2585">
            <w:pPr>
              <w:keepNext/>
              <w:bidi/>
              <w:spacing w:before="60" w:after="60" w:line="280" w:lineRule="exact"/>
              <w:rPr>
                <w:rFonts w:ascii="Arabic Typesetting" w:hAnsi="Arabic Typesetting" w:cs="Arabic Typesetting"/>
                <w:sz w:val="28"/>
                <w:szCs w:val="28"/>
              </w:rPr>
            </w:pPr>
            <w:r w:rsidRPr="00BE2585">
              <w:rPr>
                <w:rFonts w:ascii="Arabic Typesetting" w:hAnsi="Arabic Typesetting" w:cs="Arabic Typesetting" w:hint="cs"/>
                <w:sz w:val="28"/>
                <w:szCs w:val="28"/>
                <w:rtl/>
              </w:rPr>
              <w:t>(6 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آسيا والمحيط الهادئ (5 بلدان إضافية): بروني دار السلام وجزر كوك وجمهورية</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كوريا الشعبية الديمقراطية وميانمار (17 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أمريكا اللاتينية والكاريبي (4 بلدان إضافية): شيلي وغرينادا وباراغواي وبيرو (15</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تراكميا)</w:t>
            </w:r>
          </w:p>
          <w:p w:rsidR="00BE2585" w:rsidRPr="00BE2585" w:rsidRDefault="00BE2585" w:rsidP="00BE2585">
            <w:pPr>
              <w:keepNext/>
              <w:bidi/>
              <w:spacing w:before="60" w:after="60" w:line="280" w:lineRule="exact"/>
              <w:rPr>
                <w:rFonts w:ascii="Arabic Typesetting" w:hAnsi="Arabic Typesetting" w:cs="Arabic Typesetting"/>
                <w:sz w:val="28"/>
                <w:szCs w:val="28"/>
              </w:rPr>
            </w:pPr>
            <w:r w:rsidRPr="00BE2585">
              <w:rPr>
                <w:rFonts w:ascii="Arabic Typesetting" w:hAnsi="Arabic Typesetting" w:cs="Arabic Typesetting" w:hint="cs"/>
                <w:sz w:val="28"/>
                <w:szCs w:val="28"/>
                <w:rtl/>
              </w:rPr>
              <w:t>24 بلدا من البلدان الأقل نموا مشمولا في التصنيف الإقليمي الوارد أعلاه</w:t>
            </w:r>
          </w:p>
        </w:tc>
        <w:tc>
          <w:tcPr>
            <w:tcW w:w="810" w:type="dxa"/>
            <w:tcBorders>
              <w:top w:val="nil"/>
              <w:left w:val="nil"/>
              <w:bottom w:val="single" w:sz="4" w:space="0" w:color="auto"/>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bidi/>
              <w:rPr>
                <w:rFonts w:ascii="Arabic Typesetting" w:hAnsi="Arabic Typesetting" w:cs="Arabic Typesetting"/>
                <w:b/>
                <w:bCs/>
                <w:color w:val="FF0000"/>
                <w:sz w:val="30"/>
                <w:szCs w:val="30"/>
                <w:rtl/>
              </w:rPr>
            </w:pPr>
            <w:r w:rsidRPr="00BE2585">
              <w:rPr>
                <w:rFonts w:ascii="Arabic Typesetting" w:hAnsi="Arabic Typesetting" w:cs="Arabic Typesetting"/>
                <w:b/>
                <w:bCs/>
                <w:color w:val="FF0000"/>
                <w:sz w:val="30"/>
                <w:szCs w:val="30"/>
                <w:rtl/>
              </w:rPr>
              <w:t xml:space="preserve">غير </w:t>
            </w:r>
            <w:r w:rsidRPr="00BE2585">
              <w:rPr>
                <w:rFonts w:ascii="Arabic Typesetting" w:hAnsi="Arabic Typesetting" w:cs="Arabic Typesetting" w:hint="cs"/>
                <w:b/>
                <w:bCs/>
                <w:color w:val="FF0000"/>
                <w:sz w:val="30"/>
                <w:szCs w:val="30"/>
                <w:rtl/>
              </w:rPr>
              <w:t>محقق</w:t>
            </w: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tl/>
              </w:rPr>
            </w:pPr>
          </w:p>
          <w:p w:rsidR="00BE2585" w:rsidRPr="00BE2585" w:rsidRDefault="00BE2585" w:rsidP="00BE2585">
            <w:pPr>
              <w:keepNext/>
              <w:bidi/>
              <w:spacing w:before="60" w:after="60" w:line="280" w:lineRule="exact"/>
              <w:jc w:val="center"/>
              <w:rPr>
                <w:rFonts w:ascii="Arabic Typesetting" w:hAnsi="Arabic Typesetting" w:cs="Arabic Typesetting"/>
                <w:b/>
                <w:bCs/>
                <w:color w:val="00B050"/>
                <w:sz w:val="30"/>
                <w:szCs w:val="30"/>
              </w:rPr>
            </w:pPr>
            <w:r w:rsidRPr="00BE2585">
              <w:rPr>
                <w:rFonts w:ascii="Arabic Typesetting" w:hAnsi="Arabic Typesetting" w:cs="Arabic Typesetting" w:hint="cs"/>
                <w:b/>
                <w:bCs/>
                <w:color w:val="00B050"/>
                <w:sz w:val="30"/>
                <w:szCs w:val="30"/>
                <w:rtl/>
              </w:rPr>
              <w:t>محقق كليا</w:t>
            </w:r>
          </w:p>
        </w:tc>
      </w:tr>
      <w:tr w:rsidR="00BE2585" w:rsidRPr="00BE2585" w:rsidTr="00E00E9F">
        <w:trPr>
          <w:cantSplit/>
          <w:trHeight w:val="537"/>
          <w:jc w:val="center"/>
        </w:trPr>
        <w:tc>
          <w:tcPr>
            <w:tcW w:w="1944" w:type="dxa"/>
            <w:tcBorders>
              <w:top w:val="single" w:sz="4" w:space="0" w:color="auto"/>
              <w:left w:val="single" w:sz="4" w:space="0" w:color="auto"/>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rtl/>
              </w:rPr>
              <w:lastRenderedPageBreak/>
              <w:t>عدد البلدان التي اعتمدت الاستراتيجيات الوطنية للملكية الفكرية أو الخطط الإنمائية أو كلتيهما وتنفذها</w:t>
            </w:r>
          </w:p>
        </w:tc>
        <w:tc>
          <w:tcPr>
            <w:tcW w:w="1984" w:type="dxa"/>
            <w:tcBorders>
              <w:top w:val="single" w:sz="4" w:space="0" w:color="auto"/>
              <w:left w:val="nil"/>
              <w:bottom w:val="single" w:sz="4" w:space="0" w:color="auto"/>
              <w:right w:val="nil"/>
            </w:tcBorders>
          </w:tcPr>
          <w:p w:rsidR="00BE2585" w:rsidRPr="00BE2585" w:rsidRDefault="00BE2585" w:rsidP="00BE2585">
            <w:pPr>
              <w:keepNext/>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p>
          <w:p w:rsidR="00BE2585" w:rsidRPr="00BE2585" w:rsidRDefault="00BE2585" w:rsidP="00BE2585">
            <w:pPr>
              <w:keepNext/>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أفريقيا (9</w:t>
            </w:r>
            <w:r w:rsidRPr="00BE2585">
              <w:rPr>
                <w:rFonts w:ascii="Arabic Typesetting" w:hAnsi="Arabic Typesetting" w:cs="Arabic Typesetting" w:hint="eastAsia"/>
                <w:color w:val="002060"/>
                <w:sz w:val="28"/>
                <w:szCs w:val="28"/>
                <w:rtl/>
                <w:lang w:bidi="ar-EG"/>
              </w:rPr>
              <w:t> </w:t>
            </w:r>
            <w:r w:rsidRPr="00BE2585">
              <w:rPr>
                <w:rFonts w:ascii="Arabic Typesetting" w:hAnsi="Arabic Typesetting" w:cs="Arabic Typesetting" w:hint="cs"/>
                <w:color w:val="002060"/>
                <w:sz w:val="28"/>
                <w:szCs w:val="28"/>
                <w:rtl/>
                <w:lang w:bidi="ar-EG"/>
              </w:rPr>
              <w:t xml:space="preserve">تراكميا): </w:t>
            </w:r>
            <w:r w:rsidRPr="00BE2585">
              <w:rPr>
                <w:rFonts w:ascii="Arabic Typesetting" w:hAnsi="Arabic Typesetting" w:cs="Arabic Typesetting"/>
                <w:color w:val="002060"/>
                <w:sz w:val="28"/>
                <w:szCs w:val="28"/>
                <w:rtl/>
                <w:lang w:bidi="ar-EG"/>
              </w:rPr>
              <w:t>جزر القمر وغانا وكينيا وليبريا وموريشيوس وموزامبيق والسنغال وسيشيل وزامبيا</w:t>
            </w:r>
          </w:p>
          <w:p w:rsidR="00BE2585" w:rsidRPr="00BE2585" w:rsidRDefault="00BE2585" w:rsidP="00BE2585">
            <w:pPr>
              <w:keepNext/>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المنطقة العربية: (2</w:t>
            </w:r>
            <w:r w:rsidRPr="00BE2585">
              <w:rPr>
                <w:rFonts w:ascii="Arabic Typesetting" w:hAnsi="Arabic Typesetting" w:cs="Arabic Typesetting" w:hint="eastAsia"/>
                <w:color w:val="002060"/>
                <w:sz w:val="28"/>
                <w:szCs w:val="28"/>
                <w:rtl/>
                <w:lang w:bidi="ar-EG"/>
              </w:rPr>
              <w:t> </w:t>
            </w:r>
            <w:r w:rsidRPr="00BE2585">
              <w:rPr>
                <w:rFonts w:ascii="Arabic Typesetting" w:hAnsi="Arabic Typesetting" w:cs="Arabic Typesetting" w:hint="cs"/>
                <w:color w:val="002060"/>
                <w:sz w:val="28"/>
                <w:szCs w:val="28"/>
                <w:rtl/>
                <w:lang w:bidi="ar-EG"/>
              </w:rPr>
              <w:t>تراكميا): عُمان والسودان</w:t>
            </w:r>
          </w:p>
          <w:p w:rsidR="00BE2585" w:rsidRPr="00BE2585" w:rsidRDefault="00BE2585" w:rsidP="00BE2585">
            <w:pPr>
              <w:keepNext/>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آسيا والمحيط الهادئ (3</w:t>
            </w:r>
            <w:r w:rsidRPr="00BE2585">
              <w:rPr>
                <w:rFonts w:ascii="Arabic Typesetting" w:hAnsi="Arabic Typesetting" w:cs="Arabic Typesetting" w:hint="eastAsia"/>
                <w:color w:val="002060"/>
                <w:sz w:val="28"/>
                <w:szCs w:val="28"/>
                <w:rtl/>
                <w:lang w:bidi="ar-EG"/>
              </w:rPr>
              <w:t> </w:t>
            </w:r>
            <w:r w:rsidRPr="00BE2585">
              <w:rPr>
                <w:rFonts w:ascii="Arabic Typesetting" w:hAnsi="Arabic Typesetting" w:cs="Arabic Typesetting" w:hint="cs"/>
                <w:color w:val="002060"/>
                <w:sz w:val="28"/>
                <w:szCs w:val="28"/>
                <w:rtl/>
                <w:lang w:bidi="ar-EG"/>
              </w:rPr>
              <w:t>تراكميا</w:t>
            </w:r>
            <w:r w:rsidRPr="00F96634">
              <w:rPr>
                <w:rFonts w:ascii="Arabic Typesetting" w:hAnsi="Arabic Typesetting" w:cs="Arabic Typesetting"/>
                <w:color w:val="002060"/>
                <w:sz w:val="28"/>
                <w:szCs w:val="28"/>
                <w:vertAlign w:val="superscript"/>
                <w:rtl/>
                <w:lang w:bidi="ar-EG"/>
              </w:rPr>
              <w:footnoteReference w:id="64"/>
            </w:r>
            <w:r w:rsidRPr="00BE2585">
              <w:rPr>
                <w:rFonts w:ascii="Arabic Typesetting" w:hAnsi="Arabic Typesetting" w:cs="Arabic Typesetting" w:hint="cs"/>
                <w:color w:val="002060"/>
                <w:sz w:val="28"/>
                <w:szCs w:val="28"/>
                <w:rtl/>
                <w:lang w:bidi="ar-EG"/>
              </w:rPr>
              <w:t xml:space="preserve">): </w:t>
            </w:r>
            <w:r w:rsidRPr="00BE2585">
              <w:rPr>
                <w:rFonts w:ascii="Arabic Typesetting" w:hAnsi="Arabic Typesetting" w:cs="Arabic Typesetting"/>
                <w:color w:val="002060"/>
                <w:sz w:val="28"/>
                <w:szCs w:val="28"/>
                <w:rtl/>
                <w:lang w:bidi="ar-EG"/>
              </w:rPr>
              <w:t>فيجي وبابوا غينيا الجديدة وساموا</w:t>
            </w:r>
          </w:p>
          <w:p w:rsidR="00BE2585" w:rsidRPr="00BE2585" w:rsidRDefault="00BE2585" w:rsidP="00BE2585">
            <w:pPr>
              <w:keepNext/>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أمريكا اللاتينية والكاريبي (3</w:t>
            </w:r>
            <w:r w:rsidRPr="00BE2585">
              <w:rPr>
                <w:rFonts w:ascii="Arabic Typesetting" w:hAnsi="Arabic Typesetting" w:cs="Arabic Typesetting" w:hint="eastAsia"/>
                <w:color w:val="002060"/>
                <w:sz w:val="28"/>
                <w:szCs w:val="28"/>
                <w:rtl/>
                <w:lang w:bidi="ar-EG"/>
              </w:rPr>
              <w:t> </w:t>
            </w:r>
            <w:r w:rsidRPr="00BE2585">
              <w:rPr>
                <w:rFonts w:ascii="Arabic Typesetting" w:hAnsi="Arabic Typesetting" w:cs="Arabic Typesetting" w:hint="cs"/>
                <w:color w:val="002060"/>
                <w:sz w:val="28"/>
                <w:szCs w:val="28"/>
                <w:rtl/>
                <w:lang w:bidi="ar-EG"/>
              </w:rPr>
              <w:t xml:space="preserve">تراكميا): </w:t>
            </w:r>
            <w:r w:rsidRPr="00BE2585">
              <w:rPr>
                <w:rFonts w:ascii="Arabic Typesetting" w:hAnsi="Arabic Typesetting" w:cs="Arabic Typesetting"/>
                <w:color w:val="002060"/>
                <w:sz w:val="28"/>
                <w:szCs w:val="28"/>
                <w:rtl/>
                <w:lang w:bidi="ar-EG"/>
              </w:rPr>
              <w:t xml:space="preserve">كوستاريكا والجمهورية </w:t>
            </w:r>
            <w:proofErr w:type="spellStart"/>
            <w:r w:rsidRPr="00BE2585">
              <w:rPr>
                <w:rFonts w:ascii="Arabic Typesetting" w:hAnsi="Arabic Typesetting" w:cs="Arabic Typesetting"/>
                <w:color w:val="002060"/>
                <w:sz w:val="28"/>
                <w:szCs w:val="28"/>
                <w:rtl/>
                <w:lang w:bidi="ar-EG"/>
              </w:rPr>
              <w:t>الدومينيكية</w:t>
            </w:r>
            <w:proofErr w:type="spellEnd"/>
            <w:r w:rsidRPr="00BE2585">
              <w:rPr>
                <w:rFonts w:ascii="Arabic Typesetting" w:hAnsi="Arabic Typesetting" w:cs="Arabic Typesetting"/>
                <w:color w:val="002060"/>
                <w:sz w:val="28"/>
                <w:szCs w:val="28"/>
                <w:rtl/>
                <w:lang w:bidi="ar-EG"/>
              </w:rPr>
              <w:t xml:space="preserve"> وهندوراس</w:t>
            </w:r>
          </w:p>
          <w:p w:rsidR="00BE2585" w:rsidRPr="00BE2585" w:rsidRDefault="00BE2585" w:rsidP="00BE2585">
            <w:pPr>
              <w:keepNext/>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7</w:t>
            </w:r>
            <w:r w:rsidRPr="00BE2585">
              <w:rPr>
                <w:rFonts w:ascii="Arabic Typesetting" w:hAnsi="Arabic Typesetting" w:cs="Arabic Typesetting" w:hint="eastAsia"/>
                <w:color w:val="002060"/>
                <w:sz w:val="28"/>
                <w:szCs w:val="28"/>
                <w:rtl/>
                <w:lang w:bidi="ar-EG"/>
              </w:rPr>
              <w:t> </w:t>
            </w:r>
            <w:r w:rsidRPr="00BE2585">
              <w:rPr>
                <w:rFonts w:ascii="Arabic Typesetting" w:hAnsi="Arabic Typesetting" w:cs="Arabic Typesetting" w:hint="cs"/>
                <w:color w:val="002060"/>
                <w:sz w:val="28"/>
                <w:szCs w:val="28"/>
                <w:rtl/>
                <w:lang w:bidi="ar-EG"/>
              </w:rPr>
              <w:t>بلدان من البلدان الأقل نموا مشمولة في التوزيع الإقليمي الوارد أعلاه</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(4)</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(3)</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(3)</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(4)</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5 بلدان من البلدان الأقل نموا مشمولة في التوزيع اِلإقليمي الوارد أعلاه</w:t>
            </w:r>
          </w:p>
        </w:tc>
        <w:tc>
          <w:tcPr>
            <w:tcW w:w="1985" w:type="dxa"/>
            <w:tcBorders>
              <w:top w:val="single" w:sz="4" w:space="0" w:color="auto"/>
              <w:left w:val="nil"/>
              <w:bottom w:val="single" w:sz="4" w:space="0" w:color="auto"/>
              <w:right w:val="nil"/>
            </w:tcBorders>
          </w:tcPr>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(6</w:t>
            </w:r>
            <w:r w:rsidRPr="00BE2585">
              <w:rPr>
                <w:rFonts w:ascii="Arabic Typesetting" w:hAnsi="Arabic Typesetting" w:cs="Arabic Typesetting" w:hint="eastAsia"/>
                <w:sz w:val="28"/>
                <w:szCs w:val="28"/>
                <w:rtl/>
                <w:lang w:bidi="ar-EG"/>
              </w:rPr>
              <w:t> </w:t>
            </w:r>
            <w:r w:rsidRPr="00BE2585">
              <w:rPr>
                <w:rFonts w:ascii="Arabic Typesetting" w:hAnsi="Arabic Typesetting" w:cs="Arabic Typesetting" w:hint="cs"/>
                <w:sz w:val="28"/>
                <w:szCs w:val="28"/>
                <w:rtl/>
                <w:lang w:bidi="ar-EG"/>
              </w:rPr>
              <w:t>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(6</w:t>
            </w:r>
            <w:r w:rsidRPr="00BE2585">
              <w:rPr>
                <w:rFonts w:ascii="Arabic Typesetting" w:hAnsi="Arabic Typesetting" w:cs="Arabic Typesetting" w:hint="eastAsia"/>
                <w:sz w:val="28"/>
                <w:szCs w:val="28"/>
                <w:rtl/>
                <w:lang w:bidi="ar-EG"/>
              </w:rPr>
              <w:t> </w:t>
            </w:r>
            <w:r w:rsidRPr="00BE2585">
              <w:rPr>
                <w:rFonts w:ascii="Arabic Typesetting" w:hAnsi="Arabic Typesetting" w:cs="Arabic Typesetting" w:hint="cs"/>
                <w:sz w:val="28"/>
                <w:szCs w:val="28"/>
                <w:rtl/>
                <w:lang w:bidi="ar-EG"/>
              </w:rPr>
              <w:t>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(7</w:t>
            </w:r>
            <w:r w:rsidRPr="00BE2585">
              <w:rPr>
                <w:rFonts w:ascii="Arabic Typesetting" w:hAnsi="Arabic Typesetting" w:cs="Arabic Typesetting" w:hint="eastAsia"/>
                <w:sz w:val="28"/>
                <w:szCs w:val="28"/>
                <w:rtl/>
                <w:lang w:bidi="ar-EG"/>
              </w:rPr>
              <w:t> </w:t>
            </w:r>
            <w:r w:rsidRPr="00BE2585">
              <w:rPr>
                <w:rFonts w:ascii="Arabic Typesetting" w:hAnsi="Arabic Typesetting" w:cs="Arabic Typesetting" w:hint="cs"/>
                <w:sz w:val="28"/>
                <w:szCs w:val="28"/>
                <w:rtl/>
                <w:lang w:bidi="ar-EG"/>
              </w:rPr>
              <w:t>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(12)</w:t>
            </w:r>
          </w:p>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11</w:t>
            </w:r>
            <w:r w:rsidRPr="00BE2585">
              <w:rPr>
                <w:rFonts w:ascii="Arabic Typesetting" w:hAnsi="Arabic Typesetting" w:cs="Arabic Typesetting" w:hint="eastAsia"/>
                <w:sz w:val="28"/>
                <w:szCs w:val="28"/>
                <w:rtl/>
                <w:lang w:bidi="ar-EG"/>
              </w:rPr>
              <w:t> </w:t>
            </w:r>
            <w:r w:rsidRPr="00BE2585">
              <w:rPr>
                <w:rFonts w:ascii="Arabic Typesetting" w:hAnsi="Arabic Typesetting" w:cs="Arabic Typesetting" w:hint="cs"/>
                <w:sz w:val="28"/>
                <w:szCs w:val="28"/>
                <w:rtl/>
                <w:lang w:bidi="ar-EG"/>
              </w:rPr>
              <w:t>بلدا من البلدان الأقل نموا مشمولا في التوزيع اِلإقليمي الوارد أعلاه</w:t>
            </w:r>
          </w:p>
        </w:tc>
        <w:tc>
          <w:tcPr>
            <w:tcW w:w="2835" w:type="dxa"/>
            <w:tcBorders>
              <w:top w:val="single" w:sz="4" w:space="0" w:color="auto"/>
              <w:left w:val="nil"/>
              <w:bottom w:val="single" w:sz="4" w:space="0" w:color="auto"/>
              <w:right w:val="nil"/>
            </w:tcBorders>
            <w:tcMar>
              <w:top w:w="110" w:type="dxa"/>
            </w:tcMar>
          </w:tcPr>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أفريقيا (17</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بلدا إضافيا في الثنائية</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 xml:space="preserve">2014/15): </w:t>
            </w:r>
            <w:r w:rsidRPr="00BE2585">
              <w:rPr>
                <w:rFonts w:ascii="Arabic Typesetting" w:hAnsi="Arabic Typesetting" w:cs="Arabic Typesetting"/>
                <w:sz w:val="28"/>
                <w:szCs w:val="28"/>
                <w:rtl/>
              </w:rPr>
              <w:t xml:space="preserve">بوتسوانا وبوروندي والكاميرون وتشاد والكونغو وكوت ديفوار </w:t>
            </w:r>
            <w:r w:rsidRPr="00BE2585">
              <w:rPr>
                <w:rFonts w:ascii="Arabic Typesetting" w:hAnsi="Arabic Typesetting" w:cs="Arabic Typesetting" w:hint="cs"/>
                <w:sz w:val="28"/>
                <w:szCs w:val="28"/>
                <w:rtl/>
              </w:rPr>
              <w:t xml:space="preserve">وجمهورية الكونغو الديمقراطية </w:t>
            </w:r>
            <w:r w:rsidRPr="00BE2585">
              <w:rPr>
                <w:rFonts w:ascii="Arabic Typesetting" w:hAnsi="Arabic Typesetting" w:cs="Arabic Typesetting"/>
                <w:sz w:val="28"/>
                <w:szCs w:val="28"/>
                <w:rtl/>
              </w:rPr>
              <w:t>وإثيوبيا وليسوتو وملاوي ومالي ورواندا وسان تومي وبرينسيبي وسوازيلند وتوغو وجمهورية تنزانيا المتحدة وزمبابوي</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 xml:space="preserve"> (26 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المنطقة العربية (لا توجد بلدان إضافية في الثنائية</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2014/15)</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(2</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آسيا والمحيط الهادئ (5</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بلدان إضافية في الثنائية</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 xml:space="preserve">2014/15): </w:t>
            </w:r>
            <w:r w:rsidRPr="00BE2585">
              <w:rPr>
                <w:rFonts w:ascii="Arabic Typesetting" w:hAnsi="Arabic Typesetting" w:cs="Arabic Typesetting"/>
                <w:sz w:val="28"/>
                <w:szCs w:val="28"/>
                <w:rtl/>
              </w:rPr>
              <w:t xml:space="preserve">كمبوديا </w:t>
            </w:r>
            <w:r w:rsidRPr="00BE2585">
              <w:rPr>
                <w:rFonts w:ascii="Arabic Typesetting" w:hAnsi="Arabic Typesetting" w:cs="Arabic Typesetting" w:hint="cs"/>
                <w:sz w:val="28"/>
                <w:szCs w:val="28"/>
                <w:rtl/>
              </w:rPr>
              <w:t xml:space="preserve">ومنغوليا </w:t>
            </w:r>
            <w:r w:rsidRPr="00BE2585">
              <w:rPr>
                <w:rFonts w:ascii="Arabic Typesetting" w:hAnsi="Arabic Typesetting" w:cs="Arabic Typesetting"/>
                <w:sz w:val="28"/>
                <w:szCs w:val="28"/>
                <w:rtl/>
              </w:rPr>
              <w:t xml:space="preserve">وسري </w:t>
            </w:r>
            <w:proofErr w:type="spellStart"/>
            <w:r w:rsidRPr="00BE2585">
              <w:rPr>
                <w:rFonts w:ascii="Arabic Typesetting" w:hAnsi="Arabic Typesetting" w:cs="Arabic Typesetting"/>
                <w:sz w:val="28"/>
                <w:szCs w:val="28"/>
                <w:rtl/>
              </w:rPr>
              <w:t>لانكا</w:t>
            </w:r>
            <w:proofErr w:type="spellEnd"/>
            <w:r w:rsidRPr="00BE2585">
              <w:rPr>
                <w:rFonts w:ascii="Arabic Typesetting" w:hAnsi="Arabic Typesetting" w:cs="Arabic Typesetting"/>
                <w:sz w:val="28"/>
                <w:szCs w:val="28"/>
                <w:rtl/>
              </w:rPr>
              <w:t xml:space="preserve"> وتونغا وفانواتو</w:t>
            </w:r>
            <w:r w:rsidRPr="00BE2585">
              <w:rPr>
                <w:rFonts w:ascii="Arabic Typesetting" w:hAnsi="Arabic Typesetting" w:cs="Arabic Typesetting" w:hint="cs"/>
                <w:sz w:val="28"/>
                <w:szCs w:val="28"/>
                <w:rtl/>
              </w:rPr>
              <w:t xml:space="preserve"> (8</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أمريكا اللاتينية والكاريبي (4</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بلدان إضافية في الثنائية</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 xml:space="preserve">2014/15): </w:t>
            </w:r>
            <w:r w:rsidRPr="00BE2585">
              <w:rPr>
                <w:rFonts w:ascii="Arabic Typesetting" w:hAnsi="Arabic Typesetting" w:cs="Arabic Typesetting"/>
                <w:sz w:val="28"/>
                <w:szCs w:val="28"/>
                <w:rtl/>
              </w:rPr>
              <w:t xml:space="preserve">بربادوس والسلفادور </w:t>
            </w:r>
            <w:r w:rsidRPr="00BE2585">
              <w:rPr>
                <w:rFonts w:ascii="Arabic Typesetting" w:hAnsi="Arabic Typesetting" w:cs="Arabic Typesetting" w:hint="cs"/>
                <w:sz w:val="28"/>
                <w:szCs w:val="28"/>
                <w:rtl/>
              </w:rPr>
              <w:t xml:space="preserve">وغواتيمالا </w:t>
            </w:r>
            <w:r w:rsidRPr="00BE2585">
              <w:rPr>
                <w:rFonts w:ascii="Arabic Typesetting" w:hAnsi="Arabic Typesetting" w:cs="Arabic Typesetting"/>
                <w:sz w:val="28"/>
                <w:szCs w:val="28"/>
                <w:rtl/>
              </w:rPr>
              <w:t>وسانت كيتس ونيفس</w:t>
            </w:r>
            <w:r w:rsidRPr="00BE2585">
              <w:rPr>
                <w:rFonts w:ascii="Arabic Typesetting" w:hAnsi="Arabic Typesetting" w:cs="Arabic Typesetting" w:hint="cs"/>
                <w:sz w:val="28"/>
                <w:szCs w:val="28"/>
                <w:rtl/>
              </w:rPr>
              <w:t xml:space="preserve"> (8</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تراكميا)</w:t>
            </w: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19</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بلدا من البلدان الأقل نموا مشمولا في التصنيف الإقليمي الوارد أعلاه</w:t>
            </w:r>
          </w:p>
        </w:tc>
        <w:tc>
          <w:tcPr>
            <w:tcW w:w="810" w:type="dxa"/>
            <w:tcBorders>
              <w:top w:val="single" w:sz="4" w:space="0" w:color="auto"/>
              <w:left w:val="nil"/>
              <w:bottom w:val="single" w:sz="4" w:space="0" w:color="auto"/>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
                <w:bCs/>
                <w:color w:val="FF0000"/>
                <w:sz w:val="30"/>
                <w:szCs w:val="30"/>
                <w:rtl/>
              </w:rPr>
            </w:pPr>
            <w:r w:rsidRPr="00BE2585">
              <w:rPr>
                <w:rFonts w:ascii="Arabic Typesetting" w:hAnsi="Arabic Typesetting" w:cs="Arabic Typesetting"/>
                <w:b/>
                <w:bCs/>
                <w:color w:val="FF0000"/>
                <w:sz w:val="30"/>
                <w:szCs w:val="30"/>
                <w:rtl/>
              </w:rPr>
              <w:t xml:space="preserve">غير </w:t>
            </w:r>
            <w:r w:rsidRPr="00BE2585">
              <w:rPr>
                <w:rFonts w:ascii="Arabic Typesetting" w:hAnsi="Arabic Typesetting" w:cs="Arabic Typesetting" w:hint="cs"/>
                <w:b/>
                <w:bCs/>
                <w:color w:val="FF0000"/>
                <w:sz w:val="30"/>
                <w:szCs w:val="30"/>
                <w:rtl/>
              </w:rPr>
              <w:t>محقق</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bidi/>
              <w:rPr>
                <w:rFonts w:ascii="Arabic Typesetting" w:hAnsi="Arabic Typesetting" w:cs="Arabic Typesetting"/>
                <w:b/>
                <w:bCs/>
                <w:color w:val="D56509"/>
                <w:sz w:val="30"/>
                <w:szCs w:val="30"/>
                <w:rtl/>
              </w:rPr>
            </w:pPr>
            <w:r w:rsidRPr="00BE2585">
              <w:rPr>
                <w:rFonts w:ascii="Arabic Typesetting" w:hAnsi="Arabic Typesetting" w:cs="Arabic Typesetting" w:hint="cs"/>
                <w:b/>
                <w:bCs/>
                <w:color w:val="D56509"/>
                <w:sz w:val="30"/>
                <w:szCs w:val="30"/>
                <w:rtl/>
              </w:rPr>
              <w:t>محقق جزئياً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tc>
      </w:tr>
      <w:tr w:rsidR="00BE2585" w:rsidRPr="00BE2585" w:rsidTr="00E00E9F">
        <w:trPr>
          <w:cantSplit/>
          <w:trHeight w:val="186"/>
          <w:jc w:val="center"/>
        </w:trPr>
        <w:tc>
          <w:tcPr>
            <w:tcW w:w="9558" w:type="dxa"/>
            <w:gridSpan w:val="5"/>
            <w:tcBorders>
              <w:top w:val="single" w:sz="4" w:space="0" w:color="auto"/>
              <w:bottom w:val="single" w:sz="4" w:space="0" w:color="auto"/>
            </w:tcBorders>
            <w:shd w:val="clear" w:color="auto" w:fill="C6D9F1" w:themeFill="text2" w:themeFillTint="33"/>
            <w:vAlign w:val="center"/>
          </w:tcPr>
          <w:p w:rsidR="00BE2585" w:rsidRPr="00BE2585" w:rsidRDefault="00BE2585" w:rsidP="00CE2695">
            <w:pPr>
              <w:keepNext/>
              <w:bidi/>
              <w:spacing w:before="60" w:after="60" w:line="280" w:lineRule="exact"/>
              <w:ind w:left="1167" w:hanging="1167"/>
              <w:rPr>
                <w:rFonts w:ascii="Arabic Typesetting" w:hAnsi="Arabic Typesetting" w:cs="Arabic Typesetting"/>
                <w:sz w:val="28"/>
                <w:szCs w:val="28"/>
                <w:rtl/>
                <w:lang w:bidi="ar-EG"/>
              </w:rPr>
            </w:pPr>
            <w:r w:rsidRPr="00BE2585">
              <w:rPr>
                <w:rFonts w:ascii="Arabic Typesetting" w:hAnsi="Arabic Typesetting" w:cs="Arabic Typesetting"/>
                <w:bCs/>
                <w:sz w:val="28"/>
                <w:szCs w:val="28"/>
                <w:rtl/>
                <w:lang w:bidi="ar-EG"/>
              </w:rPr>
              <w:lastRenderedPageBreak/>
              <w:t xml:space="preserve">النتيجة المرتقبة: </w:t>
            </w:r>
            <w:r w:rsidRPr="00BE2585">
              <w:rPr>
                <w:rFonts w:ascii="Arabic Typesetting" w:hAnsi="Arabic Typesetting" w:cs="Arabic Typesetting" w:hint="cs"/>
                <w:bCs/>
                <w:sz w:val="28"/>
                <w:szCs w:val="28"/>
                <w:rtl/>
                <w:lang w:bidi="ar-EG"/>
              </w:rPr>
              <w:tab/>
            </w:r>
            <w:r w:rsidRPr="00BE2585">
              <w:rPr>
                <w:rFonts w:ascii="Arabic Typesetting" w:hAnsi="Arabic Typesetting" w:cs="Arabic Typesetting" w:hint="cs"/>
                <w:sz w:val="28"/>
                <w:szCs w:val="28"/>
                <w:rtl/>
                <w:lang w:bidi="ar-EG"/>
              </w:rPr>
              <w:t xml:space="preserve">ه2.3 </w:t>
            </w:r>
            <w:r w:rsidRPr="00BE2585">
              <w:rPr>
                <w:rFonts w:ascii="Arabic Typesetting" w:hAnsi="Arabic Typesetting" w:cs="Arabic Typesetting"/>
                <w:sz w:val="28"/>
                <w:szCs w:val="28"/>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BE2585" w:rsidRPr="00BE2585" w:rsidTr="00E00E9F">
        <w:trPr>
          <w:cantSplit/>
          <w:trHeight w:val="186"/>
          <w:jc w:val="center"/>
        </w:trPr>
        <w:tc>
          <w:tcPr>
            <w:tcW w:w="1944" w:type="dxa"/>
            <w:tcBorders>
              <w:top w:val="single" w:sz="4" w:space="0" w:color="auto"/>
              <w:left w:val="single" w:sz="4" w:space="0" w:color="auto"/>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مؤشرات الأداء</w:t>
            </w:r>
          </w:p>
        </w:tc>
        <w:tc>
          <w:tcPr>
            <w:tcW w:w="1984" w:type="dxa"/>
            <w:tcBorders>
              <w:top w:val="single" w:sz="4" w:space="0" w:color="auto"/>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أسس المقارنة</w:t>
            </w:r>
          </w:p>
        </w:tc>
        <w:tc>
          <w:tcPr>
            <w:tcW w:w="1985" w:type="dxa"/>
            <w:tcBorders>
              <w:top w:val="single" w:sz="4" w:space="0" w:color="auto"/>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الأهداف</w:t>
            </w:r>
          </w:p>
        </w:tc>
        <w:tc>
          <w:tcPr>
            <w:tcW w:w="2835" w:type="dxa"/>
            <w:tcBorders>
              <w:top w:val="single" w:sz="4" w:space="0" w:color="auto"/>
              <w:left w:val="nil"/>
              <w:bottom w:val="nil"/>
              <w:right w:val="nil"/>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بيانات الأداء</w:t>
            </w:r>
          </w:p>
        </w:tc>
        <w:tc>
          <w:tcPr>
            <w:tcW w:w="810" w:type="dxa"/>
            <w:tcBorders>
              <w:top w:val="single" w:sz="4" w:space="0" w:color="auto"/>
              <w:left w:val="nil"/>
              <w:bottom w:val="nil"/>
              <w:right w:val="single" w:sz="4" w:space="0" w:color="auto"/>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السير</w:t>
            </w:r>
          </w:p>
        </w:tc>
      </w:tr>
      <w:tr w:rsidR="00BE2585" w:rsidRPr="00BE2585" w:rsidTr="00E00E9F">
        <w:trPr>
          <w:cantSplit/>
          <w:trHeight w:val="537"/>
          <w:jc w:val="center"/>
        </w:trPr>
        <w:tc>
          <w:tcPr>
            <w:tcW w:w="1944" w:type="dxa"/>
            <w:tcBorders>
              <w:top w:val="nil"/>
              <w:left w:val="single" w:sz="4" w:space="0" w:color="auto"/>
              <w:bottom w:val="nil"/>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t>النسبة المئوية للمشاركين في أحداث الويبو الذين يعربون عن رضاهم عن المحتوى وعن تنظيم هذه الأحداث</w:t>
            </w:r>
          </w:p>
        </w:tc>
        <w:tc>
          <w:tcPr>
            <w:tcW w:w="1984" w:type="dxa"/>
            <w:tcBorders>
              <w:top w:val="nil"/>
              <w:left w:val="nil"/>
              <w:bottom w:val="nil"/>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آسيا والمحيط الهادئ (65%)؛ البلدان الأقل نموا (60%)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sz w:val="28"/>
                <w:szCs w:val="28"/>
                <w:rtl/>
                <w:lang w:bidi="ar-EG"/>
              </w:rPr>
              <w:t xml:space="preserve"> لا توجد بيانات متاحة</w:t>
            </w:r>
          </w:p>
        </w:tc>
        <w:tc>
          <w:tcPr>
            <w:tcW w:w="1985" w:type="dxa"/>
            <w:tcBorders>
              <w:top w:val="nil"/>
              <w:left w:val="nil"/>
              <w:bottom w:val="nil"/>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(70%)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(80%)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(65%)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(80%)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البلدان الأقل نموا (80%)</w:t>
            </w:r>
          </w:p>
        </w:tc>
        <w:tc>
          <w:tcPr>
            <w:tcW w:w="2835" w:type="dxa"/>
            <w:tcBorders>
              <w:top w:val="nil"/>
              <w:left w:val="nil"/>
              <w:bottom w:val="nil"/>
              <w:right w:val="nil"/>
            </w:tcBorders>
            <w:tcMar>
              <w:top w:w="110" w:type="dxa"/>
            </w:tcMar>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(75%)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(90%)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(95%)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(80%)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lang w:bidi="ar-EG"/>
              </w:rPr>
              <w:t>البلدان الأقل نموا (85%)</w:t>
            </w:r>
          </w:p>
        </w:tc>
        <w:tc>
          <w:tcPr>
            <w:tcW w:w="810" w:type="dxa"/>
            <w:tcBorders>
              <w:top w:val="nil"/>
              <w:left w:val="nil"/>
              <w:bottom w:val="nil"/>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tc>
      </w:tr>
      <w:tr w:rsidR="00BE2585" w:rsidRPr="00BE2585" w:rsidTr="00E00E9F">
        <w:trPr>
          <w:cantSplit/>
          <w:trHeight w:val="537"/>
          <w:jc w:val="center"/>
        </w:trPr>
        <w:tc>
          <w:tcPr>
            <w:tcW w:w="1944" w:type="dxa"/>
            <w:tcBorders>
              <w:top w:val="nil"/>
              <w:left w:val="single" w:sz="4" w:space="0" w:color="auto"/>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t xml:space="preserve">النسبة المئوية للمشاركين في حلقات عمل الويبو الذين يطبّقون المهارات </w:t>
            </w:r>
            <w:r w:rsidRPr="00BE2585">
              <w:rPr>
                <w:rFonts w:ascii="Arabic Typesetting" w:hAnsi="Arabic Typesetting" w:cs="Arabic Typesetting" w:hint="cs"/>
                <w:sz w:val="28"/>
                <w:szCs w:val="28"/>
                <w:rtl/>
                <w:lang w:bidi="ar-EG"/>
              </w:rPr>
              <w:t xml:space="preserve">والمعارف </w:t>
            </w:r>
            <w:r w:rsidRPr="00BE2585">
              <w:rPr>
                <w:rFonts w:ascii="Arabic Typesetting" w:hAnsi="Arabic Typesetting" w:cs="Arabic Typesetting"/>
                <w:sz w:val="28"/>
                <w:szCs w:val="28"/>
                <w:rtl/>
                <w:lang w:bidi="ar-EG"/>
              </w:rPr>
              <w:t>المكتسبة في عملهم أو مؤسساتهم</w:t>
            </w:r>
          </w:p>
        </w:tc>
        <w:tc>
          <w:tcPr>
            <w:tcW w:w="1984" w:type="dxa"/>
            <w:tcBorders>
              <w:top w:val="nil"/>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أفريقيا: لا توجد معلومات متاحة</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المنطقة العربية: لا توجد معلومات متاحة</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آسيا والمحيط الهادئ: 65%</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أمريكا اللاتينية والكاريبي: لا توجد معلومات متاحة</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البلدان الأقل نموا: لا توجد معلومات متاحة</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لا توجد معلومات متاحة</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لا توجد معلومات متاحة</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65%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لا توجد معلومات متاحة</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البلدان الأقل نموا: لا توجد معلومات متاحة</w:t>
            </w:r>
          </w:p>
        </w:tc>
        <w:tc>
          <w:tcPr>
            <w:tcW w:w="1985" w:type="dxa"/>
            <w:tcBorders>
              <w:top w:val="nil"/>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(70%)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(70%)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(65%)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(30%)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البلدان الأقل نموا (80%)</w:t>
            </w:r>
          </w:p>
        </w:tc>
        <w:tc>
          <w:tcPr>
            <w:tcW w:w="2835" w:type="dxa"/>
            <w:tcBorders>
              <w:top w:val="nil"/>
              <w:left w:val="nil"/>
              <w:bottom w:val="single" w:sz="4" w:space="0" w:color="auto"/>
              <w:right w:val="nil"/>
            </w:tcBorders>
            <w:tcMar>
              <w:top w:w="110" w:type="dxa"/>
            </w:tcMar>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(70%)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(غير متاحة</w:t>
            </w:r>
            <w:r w:rsidRPr="00F96634">
              <w:rPr>
                <w:rFonts w:ascii="Arabic Typesetting" w:hAnsi="Arabic Typesetting" w:cs="Arabic Typesetting"/>
                <w:sz w:val="28"/>
                <w:szCs w:val="28"/>
                <w:vertAlign w:val="superscript"/>
                <w:rtl/>
                <w:lang w:bidi="ar-EG"/>
              </w:rPr>
              <w:footnoteReference w:id="65"/>
            </w:r>
            <w:r w:rsidRPr="00BE2585">
              <w:rPr>
                <w:rFonts w:ascii="Arabic Typesetting" w:hAnsi="Arabic Typesetting" w:cs="Arabic Typesetting" w:hint="cs"/>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(91%)</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(40%)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keepNext/>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lang w:bidi="ar-EG"/>
              </w:rPr>
              <w:t>البلدان الأقل نموا (90%)</w:t>
            </w:r>
          </w:p>
        </w:tc>
        <w:tc>
          <w:tcPr>
            <w:tcW w:w="810" w:type="dxa"/>
            <w:tcBorders>
              <w:top w:val="nil"/>
              <w:left w:val="nil"/>
              <w:bottom w:val="single" w:sz="4" w:space="0" w:color="auto"/>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bidi/>
              <w:spacing w:before="60" w:after="60" w:line="280" w:lineRule="exact"/>
              <w:rPr>
                <w:rFonts w:ascii="Arabic Typesetting" w:hAnsi="Arabic Typesetting" w:cs="Arabic Typesetting"/>
                <w:b/>
                <w:bCs/>
                <w:color w:val="808080"/>
                <w:sz w:val="30"/>
                <w:szCs w:val="30"/>
              </w:rPr>
            </w:pPr>
            <w:r w:rsidRPr="00BE2585">
              <w:rPr>
                <w:rFonts w:ascii="Arabic Typesetting" w:hAnsi="Arabic Typesetting" w:cs="Arabic Typesetting" w:hint="cs"/>
                <w:b/>
                <w:bCs/>
                <w:color w:val="808080"/>
                <w:sz w:val="30"/>
                <w:szCs w:val="30"/>
                <w:rtl/>
              </w:rPr>
              <w:t>غير قابل للقياس</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tc>
      </w:tr>
      <w:tr w:rsidR="00BE2585" w:rsidRPr="00BE2585" w:rsidTr="00E00E9F">
        <w:trPr>
          <w:cantSplit/>
          <w:trHeight w:val="537"/>
          <w:jc w:val="center"/>
        </w:trPr>
        <w:tc>
          <w:tcPr>
            <w:tcW w:w="1944" w:type="dxa"/>
            <w:tcBorders>
              <w:top w:val="single" w:sz="4" w:space="0" w:color="auto"/>
              <w:left w:val="single" w:sz="4" w:space="0" w:color="auto"/>
              <w:bottom w:val="single" w:sz="4" w:space="0" w:color="auto"/>
              <w:right w:val="nil"/>
            </w:tcBorders>
          </w:tcPr>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lastRenderedPageBreak/>
              <w:t>النسبة المئوية لخبراء الملكية الفكرية الوطنيين أو الإقليميين الذي يُستعان بهم باعتبارهم خبراء في أحداث الويبو</w:t>
            </w:r>
          </w:p>
        </w:tc>
        <w:tc>
          <w:tcPr>
            <w:tcW w:w="1984" w:type="dxa"/>
            <w:tcBorders>
              <w:top w:val="single" w:sz="4" w:space="0" w:color="auto"/>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أفريقيا: (70%)</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المنطقة العربية: (50%)</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آسيا والمحيط الهادئ: لا توجد بيانات متاحة</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أمريكا اللاتينية والكاريبي: (70%)</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البلدان الأقل نموا: (60%)</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(65%)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(70%)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لا توجد بيانات متاحة</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(70%)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البلدان الأقل نموا: (70%)</w:t>
            </w:r>
          </w:p>
        </w:tc>
        <w:tc>
          <w:tcPr>
            <w:tcW w:w="1985" w:type="dxa"/>
            <w:tcBorders>
              <w:top w:val="single" w:sz="4" w:space="0" w:color="auto"/>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(75%)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(80%)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(55%)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(80%)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البلدان الأقل نموا (80%)</w:t>
            </w:r>
          </w:p>
        </w:tc>
        <w:tc>
          <w:tcPr>
            <w:tcW w:w="2835" w:type="dxa"/>
            <w:tcBorders>
              <w:top w:val="single" w:sz="4" w:space="0" w:color="auto"/>
              <w:left w:val="nil"/>
              <w:bottom w:val="single" w:sz="4" w:space="0" w:color="auto"/>
              <w:right w:val="nil"/>
            </w:tcBorders>
            <w:tcMar>
              <w:top w:w="110" w:type="dxa"/>
            </w:tcMar>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(75%)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(55%)</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(66%)</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(80%)</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البلدان الأقل نموا (85%)</w:t>
            </w:r>
          </w:p>
        </w:tc>
        <w:tc>
          <w:tcPr>
            <w:tcW w:w="810" w:type="dxa"/>
            <w:tcBorders>
              <w:top w:val="single" w:sz="4" w:space="0" w:color="auto"/>
              <w:left w:val="nil"/>
              <w:bottom w:val="single" w:sz="4" w:space="0" w:color="auto"/>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E00E9F">
            <w:pPr>
              <w:bidi/>
              <w:jc w:val="center"/>
              <w:rPr>
                <w:rFonts w:ascii="Arabic Typesetting" w:hAnsi="Arabic Typesetting" w:cs="Arabic Typesetting"/>
                <w:b/>
                <w:bCs/>
                <w:color w:val="D56509"/>
                <w:sz w:val="30"/>
                <w:szCs w:val="30"/>
                <w:rtl/>
              </w:rPr>
            </w:pPr>
            <w:r w:rsidRPr="00BE2585">
              <w:rPr>
                <w:rFonts w:ascii="Arabic Typesetting" w:hAnsi="Arabic Typesetting" w:cs="Arabic Typesetting" w:hint="cs"/>
                <w:b/>
                <w:bCs/>
                <w:color w:val="D56509"/>
                <w:sz w:val="30"/>
                <w:szCs w:val="30"/>
                <w:rtl/>
              </w:rPr>
              <w:t>محقق جزئياً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CE269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tc>
      </w:tr>
      <w:tr w:rsidR="00BE2585" w:rsidRPr="00BE2585" w:rsidTr="00E00E9F">
        <w:trPr>
          <w:cantSplit/>
          <w:trHeight w:val="186"/>
          <w:jc w:val="center"/>
        </w:trPr>
        <w:tc>
          <w:tcPr>
            <w:tcW w:w="9558" w:type="dxa"/>
            <w:gridSpan w:val="5"/>
            <w:tcBorders>
              <w:bottom w:val="single" w:sz="4" w:space="0" w:color="auto"/>
            </w:tcBorders>
            <w:shd w:val="clear" w:color="auto" w:fill="C6D9F1" w:themeFill="text2" w:themeFillTint="33"/>
            <w:vAlign w:val="center"/>
          </w:tcPr>
          <w:p w:rsidR="00BE2585" w:rsidRPr="00BE2585" w:rsidRDefault="00BE2585" w:rsidP="00CE2695">
            <w:pPr>
              <w:keepNext/>
              <w:bidi/>
              <w:spacing w:before="60" w:after="60" w:line="280" w:lineRule="exact"/>
              <w:ind w:left="1167" w:hanging="1167"/>
              <w:rPr>
                <w:rFonts w:ascii="Arabic Typesetting" w:hAnsi="Arabic Typesetting" w:cs="Arabic Typesetting"/>
                <w:sz w:val="28"/>
                <w:szCs w:val="28"/>
                <w:rtl/>
                <w:lang w:bidi="ar-EG"/>
              </w:rPr>
            </w:pPr>
            <w:r w:rsidRPr="00BE2585">
              <w:rPr>
                <w:rFonts w:ascii="Arabic Typesetting" w:hAnsi="Arabic Typesetting" w:cs="Arabic Typesetting"/>
                <w:bCs/>
                <w:sz w:val="28"/>
                <w:szCs w:val="28"/>
                <w:rtl/>
                <w:lang w:bidi="ar-EG"/>
              </w:rPr>
              <w:t xml:space="preserve">النتيجة المرتقبة: </w:t>
            </w:r>
            <w:r w:rsidRPr="00BE2585">
              <w:rPr>
                <w:rFonts w:ascii="Arabic Typesetting" w:hAnsi="Arabic Typesetting" w:cs="Arabic Typesetting" w:hint="cs"/>
                <w:bCs/>
                <w:sz w:val="28"/>
                <w:szCs w:val="28"/>
                <w:rtl/>
                <w:lang w:bidi="ar-EG"/>
              </w:rPr>
              <w:tab/>
            </w:r>
            <w:r w:rsidRPr="00BE2585">
              <w:rPr>
                <w:rFonts w:ascii="Arabic Typesetting" w:hAnsi="Arabic Typesetting" w:cs="Arabic Typesetting" w:hint="cs"/>
                <w:sz w:val="28"/>
                <w:szCs w:val="28"/>
                <w:rtl/>
                <w:lang w:bidi="ar-EG"/>
              </w:rPr>
              <w:t xml:space="preserve">ه4.3 </w:t>
            </w:r>
            <w:r w:rsidR="000432CA">
              <w:rPr>
                <w:rFonts w:ascii="Arabic Typesetting" w:hAnsi="Arabic Typesetting" w:cs="Arabic Typesetting"/>
                <w:sz w:val="28"/>
                <w:szCs w:val="28"/>
                <w:rtl/>
                <w:lang w:bidi="ar-EG"/>
              </w:rPr>
              <w:t>آليات وبرامج تعاونية معزّزة ومكيّفة حسب احتياجات البلدان النامية والبلدان الأقل نموا</w:t>
            </w:r>
          </w:p>
        </w:tc>
      </w:tr>
      <w:tr w:rsidR="00BE2585" w:rsidRPr="00BE2585" w:rsidTr="00E00E9F">
        <w:trPr>
          <w:cantSplit/>
          <w:trHeight w:val="23"/>
          <w:jc w:val="center"/>
        </w:trPr>
        <w:tc>
          <w:tcPr>
            <w:tcW w:w="1944" w:type="dxa"/>
            <w:tcBorders>
              <w:top w:val="nil"/>
              <w:left w:val="single" w:sz="4" w:space="0" w:color="auto"/>
              <w:bottom w:val="nil"/>
              <w:right w:val="nil"/>
            </w:tcBorders>
            <w:vAlign w:val="center"/>
          </w:tcPr>
          <w:p w:rsidR="00BE2585" w:rsidRPr="00BE2585" w:rsidRDefault="00BE2585" w:rsidP="00E00E9F">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مؤشرات الأداء</w:t>
            </w:r>
          </w:p>
        </w:tc>
        <w:tc>
          <w:tcPr>
            <w:tcW w:w="1984" w:type="dxa"/>
            <w:tcBorders>
              <w:top w:val="nil"/>
              <w:left w:val="nil"/>
              <w:bottom w:val="nil"/>
              <w:right w:val="nil"/>
            </w:tcBorders>
            <w:vAlign w:val="center"/>
          </w:tcPr>
          <w:p w:rsidR="00BE2585" w:rsidRPr="00BE2585" w:rsidRDefault="00BE2585" w:rsidP="00CE269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أسس المقارنة</w:t>
            </w:r>
          </w:p>
        </w:tc>
        <w:tc>
          <w:tcPr>
            <w:tcW w:w="1985" w:type="dxa"/>
            <w:tcBorders>
              <w:top w:val="nil"/>
              <w:left w:val="nil"/>
              <w:bottom w:val="nil"/>
              <w:right w:val="nil"/>
            </w:tcBorders>
            <w:vAlign w:val="center"/>
          </w:tcPr>
          <w:p w:rsidR="00BE2585" w:rsidRPr="00BE2585" w:rsidRDefault="00BE2585" w:rsidP="00CE269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الأهداف</w:t>
            </w:r>
          </w:p>
        </w:tc>
        <w:tc>
          <w:tcPr>
            <w:tcW w:w="2835" w:type="dxa"/>
            <w:tcBorders>
              <w:top w:val="nil"/>
              <w:left w:val="nil"/>
              <w:bottom w:val="nil"/>
              <w:right w:val="nil"/>
            </w:tcBorders>
            <w:tcMar>
              <w:top w:w="110" w:type="dxa"/>
            </w:tcMar>
            <w:vAlign w:val="center"/>
          </w:tcPr>
          <w:p w:rsidR="00BE2585" w:rsidRPr="00BE2585" w:rsidRDefault="00BE2585" w:rsidP="00CE269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بيانات الأداء</w:t>
            </w:r>
          </w:p>
        </w:tc>
        <w:tc>
          <w:tcPr>
            <w:tcW w:w="810" w:type="dxa"/>
            <w:tcBorders>
              <w:top w:val="nil"/>
              <w:left w:val="nil"/>
              <w:bottom w:val="nil"/>
              <w:right w:val="single" w:sz="4" w:space="0" w:color="auto"/>
            </w:tcBorders>
            <w:tcMar>
              <w:top w:w="110" w:type="dxa"/>
            </w:tcMar>
            <w:vAlign w:val="center"/>
          </w:tcPr>
          <w:p w:rsidR="00BE2585" w:rsidRPr="00BE2585" w:rsidRDefault="00BE2585" w:rsidP="00CE269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السير</w:t>
            </w:r>
          </w:p>
        </w:tc>
      </w:tr>
      <w:tr w:rsidR="00BE2585" w:rsidRPr="00BE2585" w:rsidTr="00E00E9F">
        <w:trPr>
          <w:cantSplit/>
          <w:trHeight w:val="537"/>
          <w:jc w:val="center"/>
        </w:trPr>
        <w:tc>
          <w:tcPr>
            <w:tcW w:w="1944" w:type="dxa"/>
            <w:tcBorders>
              <w:top w:val="nil"/>
              <w:left w:val="single" w:sz="4" w:space="0" w:color="auto"/>
              <w:bottom w:val="single" w:sz="4" w:space="0" w:color="auto"/>
              <w:right w:val="nil"/>
            </w:tcBorders>
          </w:tcPr>
          <w:p w:rsidR="00BE2585" w:rsidRPr="00CE2695" w:rsidRDefault="00BE2585" w:rsidP="00BE258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sz w:val="28"/>
                <w:szCs w:val="28"/>
                <w:rtl/>
                <w:lang w:bidi="ar-EG"/>
              </w:rPr>
              <w:t>عدد آليات أو برامج أو شراكات التعاون الجديدة أو المعززة التي دُعِّمت لتشجيع أو تعزيز التعاون دون الإقليمي أو الإقليمي في مجال الملكية الفكرية</w:t>
            </w:r>
          </w:p>
        </w:tc>
        <w:tc>
          <w:tcPr>
            <w:tcW w:w="1984" w:type="dxa"/>
            <w:tcBorders>
              <w:top w:val="nil"/>
              <w:left w:val="nil"/>
              <w:bottom w:val="single" w:sz="4" w:space="0" w:color="auto"/>
              <w:right w:val="nil"/>
            </w:tcBorders>
          </w:tcPr>
          <w:p w:rsidR="00BE2585" w:rsidRPr="00CE2695" w:rsidRDefault="00BE2585" w:rsidP="00BE258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أفريقيا</w:t>
            </w:r>
            <w:r w:rsidRPr="00CE2695">
              <w:rPr>
                <w:rFonts w:ascii="Arabic Typesetting" w:hAnsi="Arabic Typesetting" w:cs="Arabic Typesetting"/>
                <w:sz w:val="28"/>
                <w:szCs w:val="28"/>
                <w:rtl/>
                <w:lang w:bidi="ar-EG"/>
              </w:rPr>
              <w:t xml:space="preserve"> (3)</w:t>
            </w:r>
          </w:p>
          <w:p w:rsidR="00BE2585" w:rsidRPr="00CE2695" w:rsidRDefault="00BE2585" w:rsidP="00BE258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المنطقة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العربية</w:t>
            </w:r>
            <w:r w:rsidRPr="00CE2695">
              <w:rPr>
                <w:rFonts w:ascii="Arabic Typesetting" w:hAnsi="Arabic Typesetting" w:cs="Arabic Typesetting"/>
                <w:sz w:val="28"/>
                <w:szCs w:val="28"/>
                <w:rtl/>
                <w:lang w:bidi="ar-EG"/>
              </w:rPr>
              <w:t xml:space="preserve"> (2)</w:t>
            </w:r>
          </w:p>
          <w:p w:rsidR="00BE2585" w:rsidRPr="00CE2695" w:rsidRDefault="00BE2585" w:rsidP="00BE258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آسيا</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والمحيط</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الهادئ</w:t>
            </w:r>
            <w:r w:rsidRPr="00CE2695">
              <w:rPr>
                <w:rFonts w:ascii="Arabic Typesetting" w:hAnsi="Arabic Typesetting" w:cs="Arabic Typesetting"/>
                <w:sz w:val="28"/>
                <w:szCs w:val="28"/>
                <w:rtl/>
                <w:lang w:bidi="ar-EG"/>
              </w:rPr>
              <w:t xml:space="preserve"> (4)</w:t>
            </w:r>
          </w:p>
          <w:p w:rsidR="00BE2585" w:rsidRPr="00CE2695" w:rsidRDefault="00BE2585" w:rsidP="00BE258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أمريكا</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اللاتينية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والكاريبي</w:t>
            </w:r>
            <w:r w:rsidRPr="00CE2695">
              <w:rPr>
                <w:rFonts w:ascii="Arabic Typesetting" w:hAnsi="Arabic Typesetting" w:cs="Arabic Typesetting"/>
                <w:sz w:val="28"/>
                <w:szCs w:val="28"/>
                <w:rtl/>
                <w:lang w:bidi="ar-EG"/>
              </w:rPr>
              <w:t xml:space="preserve"> (3)</w:t>
            </w:r>
          </w:p>
          <w:p w:rsidR="00BE2585" w:rsidRPr="00CE2695" w:rsidRDefault="00BE2585" w:rsidP="00BE258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يندرج</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ضمن</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التفصيل</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الإقليمي</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أعلاه</w:t>
            </w:r>
            <w:r w:rsidRPr="00CE2695">
              <w:rPr>
                <w:rFonts w:ascii="Arabic Typesetting" w:hAnsi="Arabic Typesetting" w:cs="Arabic Typesetting"/>
                <w:sz w:val="28"/>
                <w:szCs w:val="28"/>
                <w:rtl/>
                <w:lang w:bidi="ar-EG"/>
              </w:rPr>
              <w:t xml:space="preserve"> 2 </w:t>
            </w:r>
            <w:r w:rsidRPr="00CE2695">
              <w:rPr>
                <w:rFonts w:ascii="Arabic Typesetting" w:hAnsi="Arabic Typesetting" w:cs="Arabic Typesetting" w:hint="eastAsia"/>
                <w:sz w:val="28"/>
                <w:szCs w:val="28"/>
                <w:rtl/>
                <w:lang w:bidi="ar-EG"/>
              </w:rPr>
              <w:t>من</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البلدان</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الأقل</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نموا</w:t>
            </w:r>
          </w:p>
          <w:p w:rsidR="00BE2585" w:rsidRPr="00CE2695" w:rsidRDefault="003B2ED5" w:rsidP="00BE2585">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مشروعات</w:t>
            </w:r>
            <w:r w:rsidR="00BE2585" w:rsidRPr="00CE2695">
              <w:rPr>
                <w:rFonts w:ascii="Arabic Typesetting" w:hAnsi="Arabic Typesetting" w:cs="Arabic Typesetting"/>
                <w:sz w:val="28"/>
                <w:szCs w:val="28"/>
                <w:rtl/>
                <w:lang w:bidi="ar-EG"/>
              </w:rPr>
              <w:t xml:space="preserve"> التكنولوجيا الملائمة في ثلاثة من البلدان الأقل نموا</w:t>
            </w:r>
          </w:p>
        </w:tc>
        <w:tc>
          <w:tcPr>
            <w:tcW w:w="1985" w:type="dxa"/>
            <w:tcBorders>
              <w:top w:val="nil"/>
              <w:left w:val="nil"/>
              <w:bottom w:val="single" w:sz="4" w:space="0" w:color="auto"/>
              <w:right w:val="nil"/>
            </w:tcBorders>
          </w:tcPr>
          <w:p w:rsidR="00BE2585" w:rsidRPr="00CE2695" w:rsidRDefault="00BE2585" w:rsidP="00BE258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أفريقيا</w:t>
            </w:r>
            <w:r w:rsidRPr="00CE2695">
              <w:rPr>
                <w:rFonts w:ascii="Arabic Typesetting" w:hAnsi="Arabic Typesetting" w:cs="Arabic Typesetting"/>
                <w:sz w:val="28"/>
                <w:szCs w:val="28"/>
                <w:rtl/>
                <w:lang w:bidi="ar-EG"/>
              </w:rPr>
              <w:t xml:space="preserve"> (2)</w:t>
            </w:r>
          </w:p>
          <w:p w:rsidR="00BE2585" w:rsidRPr="00CE2695" w:rsidRDefault="00BE2585" w:rsidP="00BE2585">
            <w:pPr>
              <w:bidi/>
              <w:spacing w:before="60" w:after="60" w:line="280" w:lineRule="exact"/>
              <w:rPr>
                <w:rFonts w:ascii="Arabic Typesetting" w:hAnsi="Arabic Typesetting" w:cs="Arabic Typesetting"/>
                <w:sz w:val="28"/>
                <w:szCs w:val="28"/>
                <w:rtl/>
                <w:lang w:bidi="ar-EG"/>
              </w:rPr>
            </w:pPr>
          </w:p>
          <w:p w:rsidR="00BE2585" w:rsidRPr="00CE2695" w:rsidRDefault="00BE2585" w:rsidP="00BE2585">
            <w:pPr>
              <w:bidi/>
              <w:spacing w:before="60" w:after="60" w:line="280" w:lineRule="exact"/>
              <w:rPr>
                <w:rFonts w:ascii="Arabic Typesetting" w:hAnsi="Arabic Typesetting" w:cs="Arabic Typesetting"/>
                <w:sz w:val="28"/>
                <w:szCs w:val="28"/>
                <w:rtl/>
                <w:lang w:bidi="ar-EG"/>
              </w:rPr>
            </w:pPr>
          </w:p>
          <w:p w:rsidR="00BE2585" w:rsidRPr="00CE2695" w:rsidRDefault="00BE2585" w:rsidP="00BE2585">
            <w:pPr>
              <w:bidi/>
              <w:spacing w:before="60" w:after="60" w:line="280" w:lineRule="exact"/>
              <w:rPr>
                <w:rFonts w:ascii="Arabic Typesetting" w:hAnsi="Arabic Typesetting" w:cs="Arabic Typesetting"/>
                <w:sz w:val="28"/>
                <w:szCs w:val="28"/>
                <w:rtl/>
                <w:lang w:bidi="ar-EG"/>
              </w:rPr>
            </w:pPr>
          </w:p>
          <w:p w:rsidR="00CE2695" w:rsidRPr="00CE2695" w:rsidRDefault="00CE2695" w:rsidP="00E00E9F">
            <w:pPr>
              <w:bidi/>
              <w:spacing w:before="60" w:after="240" w:line="280" w:lineRule="exact"/>
              <w:rPr>
                <w:rFonts w:ascii="Arabic Typesetting" w:hAnsi="Arabic Typesetting" w:cs="Arabic Typesetting"/>
                <w:sz w:val="28"/>
                <w:szCs w:val="28"/>
                <w:rtl/>
                <w:lang w:bidi="ar-EG"/>
              </w:rPr>
            </w:pPr>
          </w:p>
          <w:p w:rsidR="00CE2695" w:rsidRDefault="00BE2585" w:rsidP="00CE269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المنطقة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العربية</w:t>
            </w:r>
            <w:r w:rsidRPr="00CE2695">
              <w:rPr>
                <w:rFonts w:ascii="Arabic Typesetting" w:hAnsi="Arabic Typesetting" w:cs="Arabic Typesetting"/>
                <w:sz w:val="28"/>
                <w:szCs w:val="28"/>
                <w:rtl/>
                <w:lang w:bidi="ar-EG"/>
              </w:rPr>
              <w:t xml:space="preserve"> (1)</w:t>
            </w:r>
          </w:p>
          <w:p w:rsidR="00CE2695" w:rsidRDefault="00CE2695" w:rsidP="00CE2695">
            <w:pPr>
              <w:bidi/>
              <w:spacing w:before="60" w:after="60" w:line="280" w:lineRule="exact"/>
              <w:rPr>
                <w:rFonts w:ascii="Arabic Typesetting" w:hAnsi="Arabic Typesetting" w:cs="Arabic Typesetting"/>
                <w:sz w:val="28"/>
                <w:szCs w:val="28"/>
                <w:rtl/>
                <w:lang w:bidi="ar-EG"/>
              </w:rPr>
            </w:pPr>
          </w:p>
          <w:p w:rsidR="00CE2695" w:rsidRDefault="00CE2695" w:rsidP="00CE2695">
            <w:pPr>
              <w:bidi/>
              <w:spacing w:before="60" w:after="60" w:line="280" w:lineRule="exact"/>
              <w:rPr>
                <w:rFonts w:ascii="Arabic Typesetting" w:hAnsi="Arabic Typesetting" w:cs="Arabic Typesetting"/>
                <w:sz w:val="28"/>
                <w:szCs w:val="28"/>
                <w:rtl/>
                <w:lang w:bidi="ar-EG"/>
              </w:rPr>
            </w:pPr>
          </w:p>
          <w:p w:rsidR="00CE2695" w:rsidRDefault="00CE2695" w:rsidP="00CE2695">
            <w:pPr>
              <w:bidi/>
              <w:spacing w:before="60" w:after="60" w:line="280" w:lineRule="exact"/>
              <w:rPr>
                <w:rFonts w:ascii="Arabic Typesetting" w:hAnsi="Arabic Typesetting" w:cs="Arabic Typesetting"/>
                <w:sz w:val="28"/>
                <w:szCs w:val="28"/>
                <w:rtl/>
                <w:lang w:bidi="ar-EG"/>
              </w:rPr>
            </w:pPr>
          </w:p>
          <w:p w:rsidR="00CE2695" w:rsidRDefault="00CE2695" w:rsidP="00CE2695">
            <w:pPr>
              <w:bidi/>
              <w:spacing w:before="60" w:after="60" w:line="280" w:lineRule="exact"/>
              <w:rPr>
                <w:rFonts w:ascii="Arabic Typesetting" w:hAnsi="Arabic Typesetting" w:cs="Arabic Typesetting"/>
                <w:sz w:val="28"/>
                <w:szCs w:val="28"/>
                <w:rtl/>
                <w:lang w:bidi="ar-EG"/>
              </w:rPr>
            </w:pPr>
          </w:p>
          <w:p w:rsidR="00BE2585" w:rsidRPr="00CE2695" w:rsidRDefault="00CE2695" w:rsidP="00BE2585">
            <w:pPr>
              <w:bidi/>
              <w:spacing w:before="60" w:after="60" w:line="280" w:lineRule="exact"/>
              <w:rPr>
                <w:rFonts w:ascii="Arabic Typesetting" w:hAnsi="Arabic Typesetting" w:cs="Arabic Typesetting"/>
                <w:sz w:val="28"/>
                <w:szCs w:val="28"/>
                <w:rtl/>
                <w:lang w:bidi="ar-EG"/>
              </w:rPr>
            </w:pPr>
            <w:r w:rsidRPr="00850062">
              <w:rPr>
                <w:rFonts w:ascii="Arabic Typesetting" w:hAnsi="Arabic Typesetting" w:cs="Arabic Typesetting"/>
                <w:sz w:val="28"/>
                <w:szCs w:val="28"/>
                <w:rtl/>
                <w:lang w:bidi="ar-EG"/>
              </w:rPr>
              <w:t>آسيا والمحيط الهادئ (4)</w:t>
            </w:r>
          </w:p>
        </w:tc>
        <w:tc>
          <w:tcPr>
            <w:tcW w:w="2835" w:type="dxa"/>
            <w:tcBorders>
              <w:top w:val="nil"/>
              <w:left w:val="nil"/>
              <w:bottom w:val="single" w:sz="4" w:space="0" w:color="auto"/>
              <w:right w:val="nil"/>
            </w:tcBorders>
            <w:tcMar>
              <w:top w:w="110" w:type="dxa"/>
            </w:tcMar>
          </w:tcPr>
          <w:p w:rsidR="00BE2585" w:rsidRPr="00CE2695" w:rsidRDefault="00BE2585" w:rsidP="00BE258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أفريقيا</w:t>
            </w:r>
            <w:r w:rsidRPr="00CE2695">
              <w:rPr>
                <w:rFonts w:ascii="Arabic Typesetting" w:hAnsi="Arabic Typesetting" w:cs="Arabic Typesetting"/>
                <w:sz w:val="28"/>
                <w:szCs w:val="28"/>
                <w:rtl/>
                <w:lang w:bidi="ar-EG"/>
              </w:rPr>
              <w:t xml:space="preserve"> (2): التوقيع على مذكرة تفاهم مع المنظمة الدولية للفرنكوفونية في مايو 2014؛ إقامة تعاون بين الاتحاد الأفريقي والويبو بموجب </w:t>
            </w:r>
            <w:r w:rsidRPr="00CE2695">
              <w:rPr>
                <w:rFonts w:ascii="Arabic Typesetting" w:hAnsi="Arabic Typesetting" w:cs="Arabic Typesetting" w:hint="eastAsia"/>
                <w:i/>
                <w:iCs/>
                <w:sz w:val="28"/>
                <w:szCs w:val="28"/>
                <w:rtl/>
                <w:lang w:bidi="ar-EG"/>
              </w:rPr>
              <w:t>إعلان</w:t>
            </w:r>
            <w:r w:rsidRPr="00CE2695">
              <w:rPr>
                <w:rFonts w:ascii="Arabic Typesetting" w:hAnsi="Arabic Typesetting" w:cs="Arabic Typesetting"/>
                <w:i/>
                <w:iCs/>
                <w:sz w:val="28"/>
                <w:szCs w:val="28"/>
                <w:rtl/>
                <w:lang w:bidi="ar-EG"/>
              </w:rPr>
              <w:t xml:space="preserve"> </w:t>
            </w:r>
            <w:r w:rsidRPr="00CE2695">
              <w:rPr>
                <w:rFonts w:ascii="Arabic Typesetting" w:hAnsi="Arabic Typesetting" w:cs="Arabic Typesetting" w:hint="eastAsia"/>
                <w:i/>
                <w:iCs/>
                <w:sz w:val="28"/>
                <w:szCs w:val="28"/>
                <w:rtl/>
                <w:lang w:bidi="ar-EG"/>
              </w:rPr>
              <w:t>داكار</w:t>
            </w:r>
            <w:r w:rsidRPr="00CE2695">
              <w:rPr>
                <w:rFonts w:ascii="Arabic Typesetting" w:hAnsi="Arabic Typesetting" w:cs="Arabic Typesetting"/>
                <w:i/>
                <w:iCs/>
                <w:sz w:val="28"/>
                <w:szCs w:val="28"/>
                <w:rtl/>
                <w:lang w:bidi="ar-EG"/>
              </w:rPr>
              <w:t xml:space="preserve"> </w:t>
            </w:r>
            <w:r w:rsidRPr="00CE2695">
              <w:rPr>
                <w:rFonts w:ascii="Arabic Typesetting" w:hAnsi="Arabic Typesetting" w:cs="Arabic Typesetting" w:hint="eastAsia"/>
                <w:i/>
                <w:iCs/>
                <w:sz w:val="28"/>
                <w:szCs w:val="28"/>
                <w:rtl/>
                <w:lang w:bidi="ar-EG"/>
              </w:rPr>
              <w:t>بشأن</w:t>
            </w:r>
            <w:r w:rsidRPr="00CE2695">
              <w:rPr>
                <w:rFonts w:ascii="Arabic Typesetting" w:hAnsi="Arabic Typesetting" w:cs="Arabic Typesetting"/>
                <w:i/>
                <w:iCs/>
                <w:sz w:val="28"/>
                <w:szCs w:val="28"/>
                <w:rtl/>
                <w:lang w:bidi="ar-EG"/>
              </w:rPr>
              <w:t xml:space="preserve"> </w:t>
            </w:r>
            <w:r w:rsidRPr="00CE2695">
              <w:rPr>
                <w:rFonts w:ascii="Arabic Typesetting" w:hAnsi="Arabic Typesetting" w:cs="Arabic Typesetting" w:hint="eastAsia"/>
                <w:i/>
                <w:iCs/>
                <w:sz w:val="28"/>
                <w:szCs w:val="28"/>
                <w:rtl/>
                <w:lang w:bidi="ar-EG"/>
              </w:rPr>
              <w:t>الملكية</w:t>
            </w:r>
            <w:r w:rsidRPr="00CE2695">
              <w:rPr>
                <w:rFonts w:ascii="Arabic Typesetting" w:hAnsi="Arabic Typesetting" w:cs="Arabic Typesetting"/>
                <w:i/>
                <w:iCs/>
                <w:sz w:val="28"/>
                <w:szCs w:val="28"/>
                <w:rtl/>
                <w:lang w:bidi="ar-EG"/>
              </w:rPr>
              <w:t xml:space="preserve"> </w:t>
            </w:r>
            <w:r w:rsidRPr="00CE2695">
              <w:rPr>
                <w:rFonts w:ascii="Arabic Typesetting" w:hAnsi="Arabic Typesetting" w:cs="Arabic Typesetting" w:hint="eastAsia"/>
                <w:i/>
                <w:iCs/>
                <w:sz w:val="28"/>
                <w:szCs w:val="28"/>
                <w:rtl/>
                <w:lang w:bidi="ar-EG"/>
              </w:rPr>
              <w:t>الفكرية</w:t>
            </w:r>
            <w:r w:rsidRPr="00CE2695">
              <w:rPr>
                <w:rFonts w:ascii="Arabic Typesetting" w:hAnsi="Arabic Typesetting" w:cs="Arabic Typesetting"/>
                <w:i/>
                <w:iCs/>
                <w:sz w:val="28"/>
                <w:szCs w:val="28"/>
                <w:rtl/>
                <w:lang w:bidi="ar-EG"/>
              </w:rPr>
              <w:t xml:space="preserve"> </w:t>
            </w:r>
            <w:r w:rsidRPr="00CE2695">
              <w:rPr>
                <w:rFonts w:ascii="Arabic Typesetting" w:hAnsi="Arabic Typesetting" w:cs="Arabic Typesetting" w:hint="eastAsia"/>
                <w:i/>
                <w:iCs/>
                <w:sz w:val="28"/>
                <w:szCs w:val="28"/>
                <w:rtl/>
                <w:lang w:bidi="ar-EG"/>
              </w:rPr>
              <w:t>في</w:t>
            </w:r>
            <w:r w:rsidRPr="00CE2695">
              <w:rPr>
                <w:rFonts w:ascii="Arabic Typesetting" w:hAnsi="Arabic Typesetting" w:cs="Arabic Typesetting"/>
                <w:i/>
                <w:iCs/>
                <w:sz w:val="28"/>
                <w:szCs w:val="28"/>
                <w:rtl/>
                <w:lang w:bidi="ar-EG"/>
              </w:rPr>
              <w:t xml:space="preserve"> </w:t>
            </w:r>
            <w:r w:rsidRPr="00CE2695">
              <w:rPr>
                <w:rFonts w:ascii="Arabic Typesetting" w:hAnsi="Arabic Typesetting" w:cs="Arabic Typesetting" w:hint="eastAsia"/>
                <w:i/>
                <w:iCs/>
                <w:sz w:val="28"/>
                <w:szCs w:val="28"/>
                <w:rtl/>
                <w:lang w:bidi="ar-EG"/>
              </w:rPr>
              <w:t>خدمة</w:t>
            </w:r>
            <w:r w:rsidRPr="00CE2695">
              <w:rPr>
                <w:rFonts w:ascii="Arabic Typesetting" w:hAnsi="Arabic Typesetting" w:cs="Arabic Typesetting"/>
                <w:i/>
                <w:iCs/>
                <w:sz w:val="28"/>
                <w:szCs w:val="28"/>
                <w:rtl/>
                <w:lang w:bidi="ar-EG"/>
              </w:rPr>
              <w:t xml:space="preserve"> </w:t>
            </w:r>
            <w:r w:rsidRPr="00CE2695">
              <w:rPr>
                <w:rFonts w:ascii="Arabic Typesetting" w:hAnsi="Arabic Typesetting" w:cs="Arabic Typesetting" w:hint="eastAsia"/>
                <w:i/>
                <w:iCs/>
                <w:sz w:val="28"/>
                <w:szCs w:val="28"/>
                <w:rtl/>
                <w:lang w:bidi="ar-EG"/>
              </w:rPr>
              <w:t>أفريقيا</w:t>
            </w:r>
            <w:r w:rsidRPr="00F96634">
              <w:rPr>
                <w:rFonts w:ascii="Arabic Typesetting" w:hAnsi="Arabic Typesetting" w:cs="Arabic Typesetting"/>
                <w:i/>
                <w:iCs/>
                <w:sz w:val="28"/>
                <w:szCs w:val="28"/>
                <w:vertAlign w:val="superscript"/>
                <w:rtl/>
                <w:lang w:bidi="ar-EG"/>
              </w:rPr>
              <w:footnoteReference w:id="66"/>
            </w:r>
          </w:p>
          <w:p w:rsidR="00BE2585" w:rsidRPr="00CE2695" w:rsidRDefault="00BE2585" w:rsidP="00BE2585">
            <w:pPr>
              <w:bidi/>
              <w:spacing w:before="60" w:after="60" w:line="280" w:lineRule="exact"/>
              <w:rPr>
                <w:rFonts w:ascii="Arabic Typesetting" w:hAnsi="Arabic Typesetting" w:cs="Arabic Typesetting"/>
                <w:sz w:val="28"/>
                <w:szCs w:val="28"/>
                <w:rtl/>
                <w:lang w:bidi="ar-EG"/>
              </w:rPr>
            </w:pPr>
          </w:p>
          <w:p w:rsidR="00CE2695" w:rsidRDefault="00BE2585" w:rsidP="00CE269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hint="eastAsia"/>
                <w:sz w:val="28"/>
                <w:szCs w:val="28"/>
                <w:rtl/>
                <w:lang w:bidi="ar-EG"/>
              </w:rPr>
              <w:t>المنطقة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العربية</w:t>
            </w:r>
            <w:r w:rsidRPr="00CE2695">
              <w:rPr>
                <w:rFonts w:ascii="Arabic Typesetting" w:hAnsi="Arabic Typesetting" w:cs="Arabic Typesetting"/>
                <w:sz w:val="28"/>
                <w:szCs w:val="28"/>
                <w:rtl/>
                <w:lang w:bidi="ar-EG"/>
              </w:rPr>
              <w:t xml:space="preserve"> (1): </w:t>
            </w:r>
            <w:r w:rsidRPr="00CE2695">
              <w:rPr>
                <w:rFonts w:ascii="Arabic Typesetting" w:hAnsi="Arabic Typesetting" w:cs="Arabic Typesetting" w:hint="eastAsia"/>
                <w:sz w:val="28"/>
                <w:szCs w:val="28"/>
                <w:rtl/>
                <w:lang w:bidi="ar-EG"/>
              </w:rPr>
              <w:t>التوقيع</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على</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مذكرة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تفاهم</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مع</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جمعية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الإمارات</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للملكية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الفكرية،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الإمارات</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العربية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المتحدة،</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في</w:t>
            </w:r>
            <w:r w:rsidRPr="00CE2695">
              <w:rPr>
                <w:rFonts w:ascii="Arabic Typesetting" w:hAnsi="Arabic Typesetting" w:cs="Arabic Typesetting"/>
                <w:sz w:val="28"/>
                <w:szCs w:val="28"/>
                <w:rtl/>
                <w:lang w:bidi="ar-EG"/>
              </w:rPr>
              <w:t xml:space="preserve"> </w:t>
            </w:r>
            <w:r w:rsidRPr="00CE2695">
              <w:rPr>
                <w:rFonts w:ascii="Arabic Typesetting" w:hAnsi="Arabic Typesetting" w:cs="Arabic Typesetting" w:hint="eastAsia"/>
                <w:sz w:val="28"/>
                <w:szCs w:val="28"/>
                <w:rtl/>
                <w:lang w:bidi="ar-EG"/>
              </w:rPr>
              <w:t>أكتوبر </w:t>
            </w:r>
            <w:r w:rsidRPr="00CE2695">
              <w:rPr>
                <w:rFonts w:ascii="Arabic Typesetting" w:hAnsi="Arabic Typesetting" w:cs="Arabic Typesetting"/>
                <w:sz w:val="28"/>
                <w:szCs w:val="28"/>
                <w:rtl/>
                <w:lang w:bidi="ar-EG"/>
              </w:rPr>
              <w:t>2015.</w:t>
            </w:r>
            <w:r w:rsidRPr="00F96634">
              <w:rPr>
                <w:rFonts w:ascii="Arabic Typesetting" w:hAnsi="Arabic Typesetting" w:cs="Arabic Typesetting"/>
                <w:sz w:val="28"/>
                <w:szCs w:val="28"/>
                <w:vertAlign w:val="superscript"/>
                <w:rtl/>
                <w:lang w:bidi="ar-EG"/>
              </w:rPr>
              <w:footnoteReference w:id="67"/>
            </w:r>
          </w:p>
          <w:p w:rsidR="00CE2695" w:rsidRDefault="00CE2695" w:rsidP="00CE2695">
            <w:pPr>
              <w:bidi/>
              <w:spacing w:before="60" w:after="60" w:line="280" w:lineRule="exact"/>
              <w:rPr>
                <w:rFonts w:ascii="Arabic Typesetting" w:hAnsi="Arabic Typesetting" w:cs="Arabic Typesetting"/>
                <w:sz w:val="28"/>
                <w:szCs w:val="28"/>
                <w:rtl/>
                <w:lang w:bidi="ar-EG"/>
              </w:rPr>
            </w:pPr>
          </w:p>
          <w:p w:rsidR="00BE2585" w:rsidRPr="00CE2695" w:rsidRDefault="00CE2695" w:rsidP="00CE2695">
            <w:pPr>
              <w:bidi/>
              <w:spacing w:before="60" w:after="60" w:line="280" w:lineRule="exact"/>
              <w:rPr>
                <w:rFonts w:ascii="Arabic Typesetting" w:hAnsi="Arabic Typesetting" w:cs="Arabic Typesetting"/>
                <w:sz w:val="28"/>
                <w:szCs w:val="28"/>
                <w:rtl/>
                <w:lang w:bidi="ar-EG"/>
              </w:rPr>
            </w:pPr>
            <w:r w:rsidRPr="00850062">
              <w:rPr>
                <w:rFonts w:ascii="Arabic Typesetting" w:hAnsi="Arabic Typesetting" w:cs="Arabic Typesetting"/>
                <w:sz w:val="28"/>
                <w:szCs w:val="28"/>
                <w:rtl/>
                <w:lang w:bidi="ar-EG"/>
              </w:rPr>
              <w:t>آسيا والمحيط الهادئ (1): "1" رابطة أمم جنوب شرق آسيا</w:t>
            </w:r>
            <w:r w:rsidRPr="00F96634">
              <w:rPr>
                <w:rFonts w:ascii="Arabic Typesetting" w:hAnsi="Arabic Typesetting" w:cs="Arabic Typesetting"/>
                <w:sz w:val="28"/>
                <w:szCs w:val="28"/>
                <w:vertAlign w:val="superscript"/>
                <w:rtl/>
                <w:lang w:bidi="ar-EG"/>
              </w:rPr>
              <w:footnoteReference w:id="68"/>
            </w:r>
          </w:p>
        </w:tc>
        <w:tc>
          <w:tcPr>
            <w:tcW w:w="810" w:type="dxa"/>
            <w:tcBorders>
              <w:top w:val="nil"/>
              <w:left w:val="nil"/>
              <w:bottom w:val="single" w:sz="4" w:space="0" w:color="auto"/>
              <w:right w:val="single" w:sz="4" w:space="0" w:color="auto"/>
            </w:tcBorders>
            <w:tcMar>
              <w:top w:w="110" w:type="dxa"/>
            </w:tcMar>
          </w:tcPr>
          <w:p w:rsidR="00BE2585" w:rsidRPr="00CE269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E00E9F">
              <w:rPr>
                <w:rFonts w:ascii="Arabic Typesetting" w:hAnsi="Arabic Typesetting" w:cs="Arabic Typesetting" w:hint="eastAsia"/>
                <w:b/>
                <w:bCs/>
                <w:color w:val="00B050"/>
                <w:sz w:val="28"/>
                <w:szCs w:val="28"/>
                <w:rtl/>
              </w:rPr>
              <w:t>محقق</w:t>
            </w:r>
            <w:r w:rsidRPr="00E00E9F">
              <w:rPr>
                <w:rFonts w:ascii="Arabic Typesetting" w:hAnsi="Arabic Typesetting" w:cs="Arabic Typesetting"/>
                <w:b/>
                <w:bCs/>
                <w:color w:val="00B050"/>
                <w:sz w:val="28"/>
                <w:szCs w:val="28"/>
                <w:rtl/>
              </w:rPr>
              <w:t xml:space="preserve"> </w:t>
            </w:r>
            <w:r w:rsidRPr="00E00E9F">
              <w:rPr>
                <w:rFonts w:ascii="Arabic Typesetting" w:hAnsi="Arabic Typesetting" w:cs="Arabic Typesetting" w:hint="eastAsia"/>
                <w:b/>
                <w:bCs/>
                <w:color w:val="00B050"/>
                <w:sz w:val="28"/>
                <w:szCs w:val="28"/>
                <w:rtl/>
              </w:rPr>
              <w:t>كليا</w:t>
            </w:r>
          </w:p>
          <w:p w:rsidR="00BE2585" w:rsidRPr="00CE269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CE269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CE2695" w:rsidRPr="00CE2695" w:rsidRDefault="00CE2695" w:rsidP="00CE269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Default="00BE2585" w:rsidP="00CE2695">
            <w:pPr>
              <w:keepNext/>
              <w:bidi/>
              <w:spacing w:before="60" w:after="60" w:line="280" w:lineRule="exact"/>
              <w:jc w:val="center"/>
              <w:rPr>
                <w:rFonts w:ascii="Arabic Typesetting" w:hAnsi="Arabic Typesetting" w:cs="Arabic Typesetting"/>
                <w:bCs/>
                <w:color w:val="008000"/>
                <w:sz w:val="28"/>
                <w:szCs w:val="28"/>
                <w:rtl/>
                <w:lang w:bidi="ar-EG"/>
              </w:rPr>
            </w:pPr>
            <w:r w:rsidRPr="00E00E9F">
              <w:rPr>
                <w:rFonts w:ascii="Arabic Typesetting" w:hAnsi="Arabic Typesetting" w:cs="Arabic Typesetting" w:hint="eastAsia"/>
                <w:b/>
                <w:bCs/>
                <w:color w:val="00B050"/>
                <w:sz w:val="28"/>
                <w:szCs w:val="28"/>
                <w:rtl/>
              </w:rPr>
              <w:t>محقق</w:t>
            </w:r>
            <w:r w:rsidRPr="00E00E9F">
              <w:rPr>
                <w:rFonts w:ascii="Arabic Typesetting" w:hAnsi="Arabic Typesetting" w:cs="Arabic Typesetting"/>
                <w:b/>
                <w:bCs/>
                <w:color w:val="00B050"/>
                <w:sz w:val="28"/>
                <w:szCs w:val="28"/>
                <w:rtl/>
              </w:rPr>
              <w:t xml:space="preserve"> </w:t>
            </w:r>
            <w:r w:rsidRPr="00E00E9F">
              <w:rPr>
                <w:rFonts w:ascii="Arabic Typesetting" w:hAnsi="Arabic Typesetting" w:cs="Arabic Typesetting" w:hint="eastAsia"/>
                <w:b/>
                <w:bCs/>
                <w:color w:val="00B050"/>
                <w:sz w:val="28"/>
                <w:szCs w:val="28"/>
                <w:rtl/>
              </w:rPr>
              <w:t>كليا</w:t>
            </w:r>
          </w:p>
          <w:p w:rsidR="00CE2695" w:rsidRDefault="00CE2695" w:rsidP="00CE2695">
            <w:pPr>
              <w:keepNext/>
              <w:bidi/>
              <w:spacing w:before="60" w:after="60" w:line="280" w:lineRule="exact"/>
              <w:jc w:val="center"/>
              <w:rPr>
                <w:rFonts w:ascii="Arabic Typesetting" w:hAnsi="Arabic Typesetting" w:cs="Arabic Typesetting"/>
                <w:bCs/>
                <w:color w:val="008000"/>
                <w:sz w:val="28"/>
                <w:szCs w:val="28"/>
                <w:rtl/>
                <w:lang w:bidi="ar-EG"/>
              </w:rPr>
            </w:pPr>
          </w:p>
          <w:p w:rsidR="00CE2695" w:rsidRDefault="00CE2695" w:rsidP="00CE2695">
            <w:pPr>
              <w:keepNext/>
              <w:bidi/>
              <w:spacing w:before="60" w:after="60" w:line="280" w:lineRule="exact"/>
              <w:jc w:val="center"/>
              <w:rPr>
                <w:rFonts w:ascii="Arabic Typesetting" w:hAnsi="Arabic Typesetting" w:cs="Arabic Typesetting"/>
                <w:bCs/>
                <w:color w:val="008000"/>
                <w:sz w:val="28"/>
                <w:szCs w:val="28"/>
                <w:rtl/>
                <w:lang w:bidi="ar-EG"/>
              </w:rPr>
            </w:pPr>
          </w:p>
          <w:p w:rsidR="00CE2695" w:rsidRDefault="00CE2695" w:rsidP="00E00E9F">
            <w:pPr>
              <w:bidi/>
              <w:jc w:val="center"/>
              <w:rPr>
                <w:rFonts w:ascii="Arabic Typesetting" w:hAnsi="Arabic Typesetting" w:cs="Arabic Typesetting"/>
                <w:b/>
                <w:bCs/>
                <w:color w:val="FF0000"/>
                <w:sz w:val="28"/>
                <w:szCs w:val="28"/>
                <w:rtl/>
              </w:rPr>
            </w:pPr>
          </w:p>
          <w:p w:rsidR="00CE2695" w:rsidRDefault="00CE2695" w:rsidP="00E00E9F">
            <w:pPr>
              <w:bidi/>
              <w:jc w:val="center"/>
              <w:rPr>
                <w:rFonts w:ascii="Arabic Typesetting" w:hAnsi="Arabic Typesetting" w:cs="Arabic Typesetting"/>
                <w:b/>
                <w:bCs/>
                <w:color w:val="FF0000"/>
                <w:sz w:val="28"/>
                <w:szCs w:val="28"/>
                <w:rtl/>
              </w:rPr>
            </w:pPr>
          </w:p>
          <w:p w:rsidR="00CE2695" w:rsidRPr="00E00E9F" w:rsidRDefault="00CE2695" w:rsidP="00E00E9F">
            <w:pPr>
              <w:bidi/>
              <w:rPr>
                <w:rFonts w:ascii="Arabic Typesetting" w:hAnsi="Arabic Typesetting" w:cs="Arabic Typesetting"/>
                <w:b/>
                <w:bCs/>
                <w:color w:val="FF0000"/>
                <w:sz w:val="28"/>
                <w:szCs w:val="28"/>
                <w:rtl/>
              </w:rPr>
            </w:pPr>
            <w:r w:rsidRPr="00850062">
              <w:rPr>
                <w:rFonts w:ascii="Arabic Typesetting" w:hAnsi="Arabic Typesetting" w:cs="Arabic Typesetting"/>
                <w:b/>
                <w:bCs/>
                <w:color w:val="FF0000"/>
                <w:sz w:val="28"/>
                <w:szCs w:val="28"/>
                <w:rtl/>
              </w:rPr>
              <w:t>غير محقق</w:t>
            </w:r>
          </w:p>
        </w:tc>
      </w:tr>
      <w:tr w:rsidR="00CE2695" w:rsidRPr="00BE2585" w:rsidTr="00E00E9F">
        <w:trPr>
          <w:cantSplit/>
          <w:trHeight w:val="537"/>
          <w:jc w:val="center"/>
        </w:trPr>
        <w:tc>
          <w:tcPr>
            <w:tcW w:w="1944" w:type="dxa"/>
            <w:tcBorders>
              <w:top w:val="single" w:sz="4" w:space="0" w:color="auto"/>
              <w:left w:val="single" w:sz="4" w:space="0" w:color="auto"/>
              <w:bottom w:val="single" w:sz="4" w:space="0" w:color="auto"/>
              <w:right w:val="nil"/>
            </w:tcBorders>
          </w:tcPr>
          <w:p w:rsidR="00CE2695" w:rsidRPr="00CE2695" w:rsidRDefault="00CE2695" w:rsidP="00BE2585">
            <w:pPr>
              <w:bidi/>
              <w:spacing w:before="60" w:after="60" w:line="280" w:lineRule="exact"/>
              <w:rPr>
                <w:rFonts w:ascii="Arabic Typesetting" w:hAnsi="Arabic Typesetting" w:cs="Arabic Typesetting"/>
                <w:sz w:val="28"/>
                <w:szCs w:val="28"/>
                <w:rtl/>
                <w:lang w:bidi="ar-EG"/>
              </w:rPr>
            </w:pPr>
          </w:p>
        </w:tc>
        <w:tc>
          <w:tcPr>
            <w:tcW w:w="1984" w:type="dxa"/>
            <w:tcBorders>
              <w:top w:val="single" w:sz="4" w:space="0" w:color="auto"/>
              <w:left w:val="nil"/>
              <w:bottom w:val="single" w:sz="4" w:space="0" w:color="auto"/>
              <w:right w:val="nil"/>
            </w:tcBorders>
          </w:tcPr>
          <w:p w:rsidR="00CE2695" w:rsidRPr="00CE2695" w:rsidRDefault="00CE2695" w:rsidP="00BE2585">
            <w:pPr>
              <w:bidi/>
              <w:spacing w:before="60" w:after="60" w:line="280" w:lineRule="exact"/>
              <w:rPr>
                <w:rFonts w:ascii="Arabic Typesetting" w:hAnsi="Arabic Typesetting" w:cs="Arabic Typesetting"/>
                <w:sz w:val="28"/>
                <w:szCs w:val="28"/>
                <w:rtl/>
                <w:lang w:bidi="ar-EG"/>
              </w:rPr>
            </w:pPr>
          </w:p>
        </w:tc>
        <w:tc>
          <w:tcPr>
            <w:tcW w:w="1985" w:type="dxa"/>
            <w:tcBorders>
              <w:top w:val="single" w:sz="4" w:space="0" w:color="auto"/>
              <w:left w:val="nil"/>
              <w:bottom w:val="single" w:sz="4" w:space="0" w:color="auto"/>
              <w:right w:val="nil"/>
            </w:tcBorders>
          </w:tcPr>
          <w:p w:rsidR="00CE2695" w:rsidRPr="00CE2695" w:rsidRDefault="00CE2695" w:rsidP="00CE2695">
            <w:pPr>
              <w:bidi/>
              <w:spacing w:before="60" w:after="60" w:line="280" w:lineRule="exact"/>
              <w:rPr>
                <w:rFonts w:ascii="Arabic Typesetting" w:hAnsi="Arabic Typesetting" w:cs="Arabic Typesetting"/>
                <w:sz w:val="28"/>
                <w:szCs w:val="28"/>
                <w:rtl/>
                <w:lang w:bidi="ar-EG"/>
              </w:rPr>
            </w:pPr>
            <w:r w:rsidRPr="00850062">
              <w:rPr>
                <w:rFonts w:ascii="Arabic Typesetting" w:hAnsi="Arabic Typesetting" w:cs="Arabic Typesetting"/>
                <w:sz w:val="28"/>
                <w:szCs w:val="28"/>
                <w:rtl/>
                <w:lang w:bidi="ar-EG"/>
              </w:rPr>
              <w:t>أمريكا اللاتينية والكاريبي (7)</w:t>
            </w: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r w:rsidRPr="00850062">
              <w:rPr>
                <w:rFonts w:ascii="Arabic Typesetting" w:hAnsi="Arabic Typesetting" w:cs="Arabic Typesetting"/>
                <w:sz w:val="28"/>
                <w:szCs w:val="28"/>
                <w:rtl/>
                <w:lang w:bidi="ar-EG"/>
              </w:rPr>
              <w:t>يندرج ضمن التفصيل الإقليمي أعلاه 4 من البلدان الأقل نموا</w:t>
            </w: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p>
          <w:p w:rsidR="00CE2695" w:rsidRPr="00CE2695" w:rsidRDefault="00CE2695" w:rsidP="003B2ED5">
            <w:pPr>
              <w:bidi/>
              <w:spacing w:before="60" w:after="60" w:line="280" w:lineRule="exact"/>
              <w:rPr>
                <w:rFonts w:ascii="Arabic Typesetting" w:hAnsi="Arabic Typesetting" w:cs="Arabic Typesetting"/>
                <w:sz w:val="28"/>
                <w:szCs w:val="28"/>
                <w:rtl/>
                <w:lang w:bidi="ar-EG"/>
              </w:rPr>
            </w:pPr>
            <w:r w:rsidRPr="00CE2695">
              <w:rPr>
                <w:rFonts w:ascii="Arabic Typesetting" w:hAnsi="Arabic Typesetting" w:cs="Arabic Typesetting"/>
                <w:sz w:val="28"/>
                <w:szCs w:val="28"/>
                <w:rtl/>
                <w:lang w:bidi="ar-EG"/>
              </w:rPr>
              <w:t xml:space="preserve">مزيد من </w:t>
            </w:r>
            <w:r w:rsidR="003B2ED5">
              <w:rPr>
                <w:rFonts w:ascii="Arabic Typesetting" w:hAnsi="Arabic Typesetting" w:cs="Arabic Typesetting" w:hint="cs"/>
                <w:sz w:val="28"/>
                <w:szCs w:val="28"/>
                <w:rtl/>
                <w:lang w:bidi="ar-EG"/>
              </w:rPr>
              <w:t>مشروعات</w:t>
            </w:r>
            <w:r w:rsidRPr="00CE2695">
              <w:rPr>
                <w:rFonts w:ascii="Arabic Typesetting" w:hAnsi="Arabic Typesetting" w:cs="Arabic Typesetting"/>
                <w:sz w:val="28"/>
                <w:szCs w:val="28"/>
                <w:rtl/>
                <w:lang w:bidi="ar-EG"/>
              </w:rPr>
              <w:t xml:space="preserve"> التكنولوجيا الملائمة في أربعة من البلدان الأقل نموا على الأقل</w:t>
            </w:r>
          </w:p>
        </w:tc>
        <w:tc>
          <w:tcPr>
            <w:tcW w:w="2835" w:type="dxa"/>
            <w:tcBorders>
              <w:top w:val="single" w:sz="4" w:space="0" w:color="auto"/>
              <w:left w:val="nil"/>
              <w:bottom w:val="single" w:sz="4" w:space="0" w:color="auto"/>
              <w:right w:val="nil"/>
            </w:tcBorders>
            <w:tcMar>
              <w:top w:w="110" w:type="dxa"/>
            </w:tcMar>
          </w:tcPr>
          <w:p w:rsidR="00CE2695" w:rsidRPr="00CE2695" w:rsidRDefault="00CE2695" w:rsidP="003B2ED5">
            <w:pPr>
              <w:bidi/>
              <w:spacing w:before="60" w:after="60" w:line="280" w:lineRule="exact"/>
              <w:rPr>
                <w:rFonts w:ascii="Arabic Typesetting" w:hAnsi="Arabic Typesetting" w:cs="Arabic Typesetting"/>
                <w:sz w:val="28"/>
                <w:szCs w:val="28"/>
                <w:rtl/>
                <w:lang w:bidi="ar-EG"/>
              </w:rPr>
            </w:pPr>
            <w:r w:rsidRPr="00850062">
              <w:rPr>
                <w:rFonts w:ascii="Arabic Typesetting" w:hAnsi="Arabic Typesetting" w:cs="Arabic Typesetting"/>
                <w:sz w:val="28"/>
                <w:szCs w:val="28"/>
                <w:rtl/>
                <w:lang w:bidi="ar-EG"/>
              </w:rPr>
              <w:t>أمريكا اللاتينية والكاريبي: 6</w:t>
            </w:r>
            <w:r w:rsidR="003B2ED5">
              <w:rPr>
                <w:rFonts w:ascii="Arabic Typesetting" w:hAnsi="Arabic Typesetting" w:cs="Arabic Typesetting" w:hint="cs"/>
                <w:sz w:val="28"/>
                <w:szCs w:val="28"/>
                <w:rtl/>
                <w:lang w:bidi="ar-EG"/>
              </w:rPr>
              <w:t> مشروعات </w:t>
            </w:r>
            <w:r w:rsidRPr="00850062">
              <w:rPr>
                <w:rFonts w:ascii="Arabic Typesetting" w:hAnsi="Arabic Typesetting" w:cs="Arabic Typesetting"/>
                <w:sz w:val="28"/>
                <w:szCs w:val="28"/>
                <w:rtl/>
                <w:lang w:bidi="ar-EG"/>
              </w:rPr>
              <w:t>جارية</w:t>
            </w:r>
            <w:r w:rsidRPr="00F96634">
              <w:rPr>
                <w:rFonts w:ascii="Arabic Typesetting" w:hAnsi="Arabic Typesetting" w:cs="Arabic Typesetting"/>
                <w:sz w:val="28"/>
                <w:szCs w:val="28"/>
                <w:vertAlign w:val="superscript"/>
                <w:rtl/>
                <w:lang w:bidi="ar-EG"/>
              </w:rPr>
              <w:footnoteReference w:id="69"/>
            </w: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r w:rsidRPr="00850062">
              <w:rPr>
                <w:rFonts w:ascii="Arabic Typesetting" w:hAnsi="Arabic Typesetting" w:cs="Arabic Typesetting"/>
                <w:sz w:val="28"/>
                <w:szCs w:val="28"/>
                <w:rtl/>
                <w:lang w:bidi="ar-EG"/>
              </w:rPr>
              <w:t>ضمن التفصيل الإقليمي أعلاه تشمل 4 منظمات بلدانا من البلدان الأقل نموا</w:t>
            </w: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p>
          <w:p w:rsidR="00CE2695" w:rsidRPr="00CE2695" w:rsidRDefault="00CE2695" w:rsidP="00CE2695">
            <w:pPr>
              <w:bidi/>
              <w:spacing w:before="60" w:after="60" w:line="280" w:lineRule="exact"/>
              <w:rPr>
                <w:rFonts w:ascii="Arabic Typesetting" w:hAnsi="Arabic Typesetting" w:cs="Arabic Typesetting"/>
                <w:sz w:val="28"/>
                <w:szCs w:val="28"/>
                <w:rtl/>
                <w:lang w:bidi="ar-EG"/>
              </w:rPr>
            </w:pPr>
            <w:r w:rsidRPr="00850062">
              <w:rPr>
                <w:rFonts w:ascii="Arabic Typesetting" w:hAnsi="Arabic Typesetting" w:cs="Arabic Typesetting"/>
                <w:sz w:val="28"/>
                <w:szCs w:val="28"/>
                <w:rtl/>
                <w:lang w:bidi="ar-EG"/>
              </w:rPr>
              <w:t xml:space="preserve">في إطار المرحلة الثانية من </w:t>
            </w:r>
            <w:r w:rsidRPr="00CE2695">
              <w:rPr>
                <w:rFonts w:ascii="Arabic Typesetting" w:hAnsi="Arabic Typesetting" w:cs="Arabic Typesetting"/>
                <w:sz w:val="28"/>
                <w:szCs w:val="28"/>
                <w:rtl/>
                <w:lang w:bidi="ar-EG"/>
              </w:rPr>
              <w:t>مشروع جدول أعمال التنمية بشأن تكوين الكفاءات في استخدام المعلومات التقنية والعلمية الملائمة من الناحية التكنولوجية كحل لتحديات إنمائية محددة</w:t>
            </w:r>
            <w:r w:rsidRPr="00850062">
              <w:rPr>
                <w:rFonts w:ascii="Arabic Typesetting" w:hAnsi="Arabic Typesetting" w:cs="Arabic Typesetting"/>
                <w:sz w:val="28"/>
                <w:szCs w:val="28"/>
                <w:rtl/>
                <w:lang w:bidi="ar-EG"/>
              </w:rPr>
              <w:t>، تم التوقيع على مذكرات تفاهم مع أربع بلدان من البلدان الأقل نموا (إثيوبيا ورواندا وجمهورية تنزانيا المتحدة وأوغندا)، وبحلول أواخر عام 2015، كان تنفيذ المشروع قد استُهل في ثلاثة من تلك البلدان (إثيوبيا ورواندا وجمهورية تنزانيا المتحدة)</w:t>
            </w:r>
          </w:p>
        </w:tc>
        <w:tc>
          <w:tcPr>
            <w:tcW w:w="810" w:type="dxa"/>
            <w:tcBorders>
              <w:top w:val="single" w:sz="4" w:space="0" w:color="auto"/>
              <w:left w:val="nil"/>
              <w:bottom w:val="single" w:sz="4" w:space="0" w:color="auto"/>
              <w:right w:val="single" w:sz="4" w:space="0" w:color="auto"/>
            </w:tcBorders>
            <w:tcMar>
              <w:top w:w="110" w:type="dxa"/>
            </w:tcMar>
          </w:tcPr>
          <w:p w:rsidR="00CE2695" w:rsidRPr="00CE2695" w:rsidRDefault="00CE2695" w:rsidP="00CE2695">
            <w:pPr>
              <w:keepNext/>
              <w:bidi/>
              <w:spacing w:before="60" w:after="60" w:line="280" w:lineRule="exact"/>
              <w:jc w:val="center"/>
              <w:rPr>
                <w:rFonts w:ascii="Arabic Typesetting" w:hAnsi="Arabic Typesetting" w:cs="Arabic Typesetting"/>
                <w:bCs/>
                <w:color w:val="008000"/>
                <w:sz w:val="28"/>
                <w:szCs w:val="28"/>
                <w:rtl/>
                <w:lang w:bidi="ar-EG"/>
              </w:rPr>
            </w:pPr>
            <w:r w:rsidRPr="00850062">
              <w:rPr>
                <w:rFonts w:ascii="Arabic Typesetting" w:hAnsi="Arabic Typesetting" w:cs="Arabic Typesetting"/>
                <w:b/>
                <w:bCs/>
                <w:color w:val="00B050"/>
                <w:sz w:val="28"/>
                <w:szCs w:val="28"/>
                <w:rtl/>
              </w:rPr>
              <w:t>محقق كليا</w:t>
            </w:r>
          </w:p>
          <w:p w:rsidR="00CE2695" w:rsidRPr="00CE2695" w:rsidRDefault="00CE2695" w:rsidP="00CE2695">
            <w:pPr>
              <w:keepNext/>
              <w:bidi/>
              <w:spacing w:before="60" w:after="60" w:line="280" w:lineRule="exact"/>
              <w:jc w:val="center"/>
              <w:rPr>
                <w:rFonts w:ascii="Arabic Typesetting" w:hAnsi="Arabic Typesetting" w:cs="Arabic Typesetting"/>
                <w:bCs/>
                <w:color w:val="008000"/>
                <w:sz w:val="28"/>
                <w:szCs w:val="28"/>
                <w:rtl/>
                <w:lang w:bidi="ar-EG"/>
              </w:rPr>
            </w:pPr>
          </w:p>
          <w:p w:rsidR="00CE2695" w:rsidRPr="00CE2695" w:rsidRDefault="00CE2695" w:rsidP="00CE2695">
            <w:pPr>
              <w:keepNext/>
              <w:bidi/>
              <w:spacing w:before="60" w:after="60" w:line="280" w:lineRule="exact"/>
              <w:jc w:val="center"/>
              <w:rPr>
                <w:rFonts w:ascii="Arabic Typesetting" w:hAnsi="Arabic Typesetting" w:cs="Arabic Typesetting"/>
                <w:bCs/>
                <w:color w:val="008000"/>
                <w:sz w:val="28"/>
                <w:szCs w:val="28"/>
                <w:rtl/>
                <w:lang w:bidi="ar-EG"/>
              </w:rPr>
            </w:pPr>
            <w:r w:rsidRPr="00850062">
              <w:rPr>
                <w:rFonts w:ascii="Arabic Typesetting" w:hAnsi="Arabic Typesetting" w:cs="Arabic Typesetting"/>
                <w:b/>
                <w:bCs/>
                <w:color w:val="00B050"/>
                <w:sz w:val="28"/>
                <w:szCs w:val="28"/>
                <w:rtl/>
              </w:rPr>
              <w:t>محقق كليا</w:t>
            </w:r>
          </w:p>
          <w:p w:rsidR="00CE2695" w:rsidRPr="00CE2695" w:rsidRDefault="00CE2695" w:rsidP="00CE2695">
            <w:pPr>
              <w:keepNext/>
              <w:bidi/>
              <w:spacing w:before="60" w:after="60" w:line="280" w:lineRule="exact"/>
              <w:jc w:val="center"/>
              <w:rPr>
                <w:rFonts w:ascii="Arabic Typesetting" w:hAnsi="Arabic Typesetting" w:cs="Arabic Typesetting"/>
                <w:bCs/>
                <w:color w:val="008000"/>
                <w:sz w:val="28"/>
                <w:szCs w:val="28"/>
                <w:rtl/>
                <w:lang w:bidi="ar-EG"/>
              </w:rPr>
            </w:pPr>
          </w:p>
          <w:p w:rsidR="00CE2695" w:rsidRPr="00CE2695" w:rsidRDefault="00CE2695" w:rsidP="00CE2695">
            <w:pPr>
              <w:keepNext/>
              <w:bidi/>
              <w:spacing w:before="60" w:after="60" w:line="280" w:lineRule="exact"/>
              <w:jc w:val="center"/>
              <w:rPr>
                <w:rFonts w:ascii="Arabic Typesetting" w:hAnsi="Arabic Typesetting" w:cs="Arabic Typesetting"/>
                <w:bCs/>
                <w:color w:val="008000"/>
                <w:sz w:val="28"/>
                <w:szCs w:val="28"/>
                <w:rtl/>
                <w:lang w:bidi="ar-EG"/>
              </w:rPr>
            </w:pPr>
          </w:p>
          <w:p w:rsidR="00CE2695" w:rsidRDefault="00CE2695" w:rsidP="00CE2695">
            <w:pPr>
              <w:keepNext/>
              <w:bidi/>
              <w:spacing w:before="60" w:after="60" w:line="280" w:lineRule="exact"/>
              <w:jc w:val="center"/>
              <w:rPr>
                <w:rFonts w:ascii="Arabic Typesetting" w:hAnsi="Arabic Typesetting" w:cs="Arabic Typesetting"/>
                <w:b/>
                <w:bCs/>
                <w:color w:val="00B050"/>
                <w:sz w:val="28"/>
                <w:szCs w:val="28"/>
                <w:rtl/>
              </w:rPr>
            </w:pPr>
          </w:p>
          <w:p w:rsidR="00CE2695" w:rsidRDefault="00CE2695" w:rsidP="00CE2695">
            <w:pPr>
              <w:keepNext/>
              <w:bidi/>
              <w:spacing w:before="60" w:after="60" w:line="280" w:lineRule="exact"/>
              <w:jc w:val="center"/>
              <w:rPr>
                <w:rFonts w:ascii="Arabic Typesetting" w:hAnsi="Arabic Typesetting" w:cs="Arabic Typesetting"/>
                <w:b/>
                <w:bCs/>
                <w:color w:val="00B050"/>
                <w:sz w:val="28"/>
                <w:szCs w:val="28"/>
                <w:rtl/>
              </w:rPr>
            </w:pPr>
          </w:p>
          <w:p w:rsidR="00CE2695" w:rsidRPr="00E00E9F" w:rsidRDefault="00CE2695" w:rsidP="00CE2695">
            <w:pPr>
              <w:keepNext/>
              <w:bidi/>
              <w:spacing w:before="60" w:after="60" w:line="280" w:lineRule="exact"/>
              <w:jc w:val="center"/>
              <w:rPr>
                <w:rFonts w:ascii="Arabic Typesetting" w:hAnsi="Arabic Typesetting" w:cs="Arabic Typesetting"/>
                <w:b/>
                <w:bCs/>
                <w:color w:val="00B050"/>
                <w:sz w:val="28"/>
                <w:szCs w:val="28"/>
                <w:rtl/>
              </w:rPr>
            </w:pPr>
            <w:r w:rsidRPr="00850062">
              <w:rPr>
                <w:rFonts w:ascii="Arabic Typesetting" w:hAnsi="Arabic Typesetting" w:cs="Arabic Typesetting"/>
                <w:b/>
                <w:bCs/>
                <w:color w:val="00B050"/>
                <w:sz w:val="28"/>
                <w:szCs w:val="28"/>
                <w:rtl/>
              </w:rPr>
              <w:t>محقق كليا</w:t>
            </w:r>
          </w:p>
          <w:p w:rsidR="00CE2695" w:rsidRPr="00CE2695" w:rsidRDefault="00CE2695" w:rsidP="00BE2585">
            <w:pPr>
              <w:keepNext/>
              <w:bidi/>
              <w:spacing w:before="60" w:after="60" w:line="280" w:lineRule="exact"/>
              <w:jc w:val="center"/>
              <w:rPr>
                <w:rFonts w:ascii="Arabic Typesetting" w:hAnsi="Arabic Typesetting" w:cs="Arabic Typesetting"/>
                <w:b/>
                <w:bCs/>
                <w:color w:val="00B050"/>
                <w:sz w:val="28"/>
                <w:szCs w:val="28"/>
                <w:rtl/>
              </w:rPr>
            </w:pPr>
          </w:p>
        </w:tc>
      </w:tr>
      <w:tr w:rsidR="00BE2585" w:rsidRPr="00BE2585" w:rsidTr="00E00E9F">
        <w:trPr>
          <w:cantSplit/>
          <w:trHeight w:val="186"/>
          <w:jc w:val="center"/>
        </w:trPr>
        <w:tc>
          <w:tcPr>
            <w:tcW w:w="9558" w:type="dxa"/>
            <w:gridSpan w:val="5"/>
            <w:tcBorders>
              <w:top w:val="single" w:sz="4" w:space="0" w:color="auto"/>
              <w:bottom w:val="single" w:sz="4" w:space="0" w:color="auto"/>
            </w:tcBorders>
            <w:shd w:val="clear" w:color="auto" w:fill="C6D9F1" w:themeFill="text2" w:themeFillTint="33"/>
            <w:vAlign w:val="center"/>
          </w:tcPr>
          <w:p w:rsidR="00BE2585" w:rsidRPr="00BE2585" w:rsidRDefault="00BE2585" w:rsidP="00DA44C1">
            <w:pPr>
              <w:keepNext/>
              <w:bidi/>
              <w:spacing w:before="60" w:after="60" w:line="280" w:lineRule="exact"/>
              <w:ind w:left="1167" w:hanging="1167"/>
              <w:rPr>
                <w:rFonts w:ascii="Arabic Typesetting" w:hAnsi="Arabic Typesetting" w:cs="Arabic Typesetting"/>
                <w:sz w:val="28"/>
                <w:szCs w:val="28"/>
                <w:rtl/>
                <w:lang w:bidi="ar-EG"/>
              </w:rPr>
            </w:pPr>
            <w:r w:rsidRPr="00BE2585">
              <w:rPr>
                <w:rFonts w:ascii="Arabic Typesetting" w:hAnsi="Arabic Typesetting" w:cs="Arabic Typesetting"/>
                <w:bCs/>
                <w:sz w:val="28"/>
                <w:szCs w:val="28"/>
                <w:rtl/>
                <w:lang w:bidi="ar-EG"/>
              </w:rPr>
              <w:lastRenderedPageBreak/>
              <w:t xml:space="preserve">النتيجة المرتقبة: </w:t>
            </w:r>
            <w:r w:rsidRPr="00BE2585">
              <w:rPr>
                <w:rFonts w:ascii="Arabic Typesetting" w:hAnsi="Arabic Typesetting" w:cs="Arabic Typesetting" w:hint="cs"/>
                <w:bCs/>
                <w:sz w:val="28"/>
                <w:szCs w:val="28"/>
                <w:rtl/>
                <w:lang w:bidi="ar-EG"/>
              </w:rPr>
              <w:tab/>
            </w:r>
            <w:r w:rsidRPr="00BE2585">
              <w:rPr>
                <w:rFonts w:ascii="Arabic Typesetting" w:hAnsi="Arabic Typesetting" w:cs="Arabic Typesetting" w:hint="cs"/>
                <w:sz w:val="28"/>
                <w:szCs w:val="28"/>
                <w:rtl/>
                <w:lang w:bidi="ar-EG"/>
              </w:rPr>
              <w:t xml:space="preserve">ه2.4 </w:t>
            </w:r>
            <w:r w:rsidRPr="00BE2585">
              <w:rPr>
                <w:rFonts w:ascii="Arabic Typesetting" w:hAnsi="Arabic Typesetting" w:cs="Arabic Typesetting"/>
                <w:sz w:val="28"/>
                <w:szCs w:val="28"/>
                <w:rtl/>
                <w:lang w:bidi="ar-EG"/>
              </w:rPr>
              <w:t>تحسين النفاذ إلى المعلومات المتعلقة بالملكية الفكرية واستخدامها من قبل مؤسسات الملكية الفكرية والجمهور لتشجيع الابتكار</w:t>
            </w:r>
            <w:r w:rsidR="00DA44C1">
              <w:rPr>
                <w:rFonts w:ascii="Arabic Typesetting" w:hAnsi="Arabic Typesetting" w:cs="Arabic Typesetting" w:hint="cs"/>
                <w:sz w:val="28"/>
                <w:szCs w:val="28"/>
                <w:rtl/>
                <w:lang w:bidi="ar-EG"/>
              </w:rPr>
              <w:t> </w:t>
            </w:r>
            <w:r w:rsidRPr="00BE2585">
              <w:rPr>
                <w:rFonts w:ascii="Arabic Typesetting" w:hAnsi="Arabic Typesetting" w:cs="Arabic Typesetting"/>
                <w:sz w:val="28"/>
                <w:szCs w:val="28"/>
                <w:rtl/>
                <w:lang w:bidi="ar-EG"/>
              </w:rPr>
              <w:t>والإبداع</w:t>
            </w:r>
          </w:p>
        </w:tc>
      </w:tr>
      <w:tr w:rsidR="00BE2585" w:rsidRPr="00BE2585" w:rsidTr="00E00E9F">
        <w:trPr>
          <w:cantSplit/>
          <w:trHeight w:val="537"/>
          <w:jc w:val="center"/>
        </w:trPr>
        <w:tc>
          <w:tcPr>
            <w:tcW w:w="1944" w:type="dxa"/>
            <w:tcBorders>
              <w:top w:val="nil"/>
              <w:left w:val="single" w:sz="4" w:space="0" w:color="auto"/>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مؤشرات الأداء</w:t>
            </w:r>
          </w:p>
        </w:tc>
        <w:tc>
          <w:tcPr>
            <w:tcW w:w="1984" w:type="dxa"/>
            <w:tcBorders>
              <w:top w:val="nil"/>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أسس المقارنة</w:t>
            </w:r>
          </w:p>
        </w:tc>
        <w:tc>
          <w:tcPr>
            <w:tcW w:w="1985" w:type="dxa"/>
            <w:tcBorders>
              <w:top w:val="nil"/>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الأهداف</w:t>
            </w:r>
          </w:p>
        </w:tc>
        <w:tc>
          <w:tcPr>
            <w:tcW w:w="2835" w:type="dxa"/>
            <w:tcBorders>
              <w:top w:val="nil"/>
              <w:left w:val="nil"/>
              <w:bottom w:val="nil"/>
              <w:right w:val="nil"/>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بيانات الأداء</w:t>
            </w:r>
          </w:p>
        </w:tc>
        <w:tc>
          <w:tcPr>
            <w:tcW w:w="810" w:type="dxa"/>
            <w:tcBorders>
              <w:top w:val="nil"/>
              <w:left w:val="nil"/>
              <w:bottom w:val="nil"/>
              <w:right w:val="single" w:sz="4" w:space="0" w:color="auto"/>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السير</w:t>
            </w:r>
          </w:p>
        </w:tc>
      </w:tr>
      <w:tr w:rsidR="00BE2585" w:rsidRPr="00BE2585" w:rsidTr="00E00E9F">
        <w:trPr>
          <w:cantSplit/>
          <w:trHeight w:val="537"/>
          <w:jc w:val="center"/>
        </w:trPr>
        <w:tc>
          <w:tcPr>
            <w:tcW w:w="1944" w:type="dxa"/>
            <w:tcBorders>
              <w:top w:val="nil"/>
              <w:left w:val="single" w:sz="4" w:space="0" w:color="auto"/>
              <w:bottom w:val="nil"/>
              <w:right w:val="nil"/>
            </w:tcBorders>
          </w:tcPr>
          <w:p w:rsidR="00BE2585" w:rsidRPr="00BE2585" w:rsidRDefault="00BE2585" w:rsidP="00BE2585">
            <w:pPr>
              <w:keepNext/>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t>عدد شبكات مراكز دعم التكنولوجيا والابتكار الوطنية المستدامة</w:t>
            </w:r>
          </w:p>
        </w:tc>
        <w:tc>
          <w:tcPr>
            <w:tcW w:w="1984" w:type="dxa"/>
            <w:tcBorders>
              <w:top w:val="nil"/>
              <w:left w:val="nil"/>
              <w:bottom w:val="nil"/>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14 شبكة مراكز مستدامة (من أصل 36 شبكة مراكز قائمة)</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color w:val="002060"/>
                <w:sz w:val="28"/>
                <w:szCs w:val="28"/>
                <w:rtl/>
                <w:lang w:bidi="ar-EG"/>
              </w:rPr>
              <w:t xml:space="preserve"> 14 شبكة من المراكز الوطنية</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(6)</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(2)</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(2)</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(4)</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6 بلدان من البلدان الأقل نموا مشمولة في التوزيع الإقليمي الوارد أعلاه</w:t>
            </w:r>
          </w:p>
        </w:tc>
        <w:tc>
          <w:tcPr>
            <w:tcW w:w="1985" w:type="dxa"/>
            <w:tcBorders>
              <w:top w:val="nil"/>
              <w:left w:val="nil"/>
              <w:bottom w:val="nil"/>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23 شبكة من المراكز الوطنية (تراكميا):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أفريقيا (10 منها 8 في البلدان الأقل نموا)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المنطقة العربية (3)</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آسيا والمحيط الهادئ (4 منها 2 في البلدان الأقل نموا)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أمريكا اللاتينية والكاريبي (6)</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tc>
        <w:tc>
          <w:tcPr>
            <w:tcW w:w="2835" w:type="dxa"/>
            <w:tcBorders>
              <w:top w:val="nil"/>
              <w:left w:val="nil"/>
              <w:bottom w:val="nil"/>
              <w:right w:val="nil"/>
            </w:tcBorders>
            <w:tcMar>
              <w:top w:w="110" w:type="dxa"/>
            </w:tcMar>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24 شبكة مراكز وطنية مستدامة من أصل 49 شبكة مراكز قائمة رسميا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(تراكميا):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Pr>
            </w:pPr>
            <w:r w:rsidRPr="00BE2585">
              <w:rPr>
                <w:rFonts w:ascii="Arabic Typesetting" w:hAnsi="Arabic Typesetting" w:cs="Arabic Typesetting" w:hint="cs"/>
                <w:sz w:val="28"/>
                <w:szCs w:val="28"/>
                <w:rtl/>
              </w:rPr>
              <w:t>أفريقيا (10 شبكات منها 8</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شبكات في البلدان الأقل نموا)</w:t>
            </w:r>
          </w:p>
          <w:p w:rsidR="00BE2585" w:rsidRPr="00BE2585" w:rsidRDefault="00BE2585" w:rsidP="00BE2585">
            <w:pPr>
              <w:bidi/>
              <w:spacing w:before="60" w:after="60" w:line="280" w:lineRule="exact"/>
              <w:rPr>
                <w:rFonts w:ascii="Arabic Typesetting" w:hAnsi="Arabic Typesetting" w:cs="Arabic Typesetting"/>
                <w:sz w:val="28"/>
                <w:szCs w:val="28"/>
              </w:rPr>
            </w:pPr>
          </w:p>
          <w:p w:rsidR="00BE2585" w:rsidRPr="00BE2585" w:rsidRDefault="00BE2585" w:rsidP="00BE2585">
            <w:pPr>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المنطقة العربية (3)</w:t>
            </w:r>
          </w:p>
          <w:p w:rsidR="00BE2585" w:rsidRPr="00BE2585" w:rsidRDefault="00BE2585" w:rsidP="00BE2585">
            <w:pPr>
              <w:bidi/>
              <w:spacing w:before="60" w:after="60" w:line="280" w:lineRule="exact"/>
              <w:rPr>
                <w:rFonts w:ascii="Arabic Typesetting" w:hAnsi="Arabic Typesetting" w:cs="Arabic Typesetting"/>
                <w:sz w:val="28"/>
                <w:szCs w:val="28"/>
              </w:rPr>
            </w:pPr>
          </w:p>
          <w:p w:rsidR="00BE2585" w:rsidRPr="00BE2585" w:rsidRDefault="00BE2585" w:rsidP="00BE2585">
            <w:pPr>
              <w:bidi/>
              <w:spacing w:before="60" w:after="60" w:line="280" w:lineRule="exact"/>
              <w:rPr>
                <w:rFonts w:ascii="Arabic Typesetting" w:hAnsi="Arabic Typesetting" w:cs="Arabic Typesetting"/>
                <w:sz w:val="28"/>
                <w:szCs w:val="28"/>
              </w:rPr>
            </w:pPr>
            <w:r w:rsidRPr="00BE2585">
              <w:rPr>
                <w:rFonts w:ascii="Arabic Typesetting" w:hAnsi="Arabic Typesetting" w:cs="Arabic Typesetting" w:hint="cs"/>
                <w:sz w:val="28"/>
                <w:szCs w:val="28"/>
                <w:rtl/>
              </w:rPr>
              <w:t>آسيا والمحيط الهادئ (4</w:t>
            </w:r>
            <w:r w:rsidRPr="00BE2585">
              <w:rPr>
                <w:rFonts w:ascii="Arabic Typesetting" w:hAnsi="Arabic Typesetting" w:cs="Arabic Typesetting" w:hint="eastAsia"/>
                <w:sz w:val="28"/>
                <w:szCs w:val="28"/>
                <w:rtl/>
              </w:rPr>
              <w:t> </w:t>
            </w:r>
            <w:r w:rsidRPr="00BE2585">
              <w:rPr>
                <w:rFonts w:ascii="Arabic Typesetting" w:hAnsi="Arabic Typesetting" w:cs="Arabic Typesetting" w:hint="cs"/>
                <w:sz w:val="28"/>
                <w:szCs w:val="28"/>
                <w:rtl/>
              </w:rPr>
              <w:t>شبكات منها شبكة واحدة في بلد من البلدان الأقل نموا)</w:t>
            </w:r>
          </w:p>
          <w:p w:rsidR="00BE2585" w:rsidRPr="00BE2585" w:rsidRDefault="00BE2585" w:rsidP="00BE2585">
            <w:pPr>
              <w:bidi/>
              <w:spacing w:before="60" w:after="60" w:line="280" w:lineRule="exact"/>
              <w:rPr>
                <w:rFonts w:ascii="Arabic Typesetting" w:hAnsi="Arabic Typesetting" w:cs="Arabic Typesetting"/>
                <w:sz w:val="28"/>
                <w:szCs w:val="28"/>
                <w:rtl/>
              </w:rPr>
            </w:pPr>
          </w:p>
          <w:p w:rsidR="00BE2585" w:rsidRPr="00BE2585" w:rsidRDefault="00BE2585" w:rsidP="00BE2585">
            <w:pPr>
              <w:bidi/>
              <w:spacing w:before="60" w:after="60" w:line="280" w:lineRule="exact"/>
              <w:rPr>
                <w:rFonts w:ascii="Arabic Typesetting" w:hAnsi="Arabic Typesetting" w:cs="Arabic Typesetting"/>
                <w:sz w:val="28"/>
                <w:szCs w:val="28"/>
              </w:rPr>
            </w:pPr>
            <w:r w:rsidRPr="00BE2585">
              <w:rPr>
                <w:rFonts w:ascii="Arabic Typesetting" w:hAnsi="Arabic Typesetting" w:cs="Arabic Typesetting" w:hint="cs"/>
                <w:sz w:val="28"/>
                <w:szCs w:val="28"/>
                <w:rtl/>
              </w:rPr>
              <w:t>أمريكا اللاتينية والكاريبي (7)</w:t>
            </w:r>
          </w:p>
          <w:p w:rsidR="00BE2585" w:rsidRPr="00BE2585" w:rsidRDefault="00BE2585" w:rsidP="00BE2585">
            <w:pPr>
              <w:bidi/>
              <w:spacing w:before="60" w:after="60" w:line="280" w:lineRule="exact"/>
              <w:ind w:left="720"/>
              <w:contextualSpacing/>
              <w:rPr>
                <w:rFonts w:ascii="Arabic Typesetting" w:hAnsi="Arabic Typesetting" w:cs="Arabic Typesetting"/>
                <w:sz w:val="28"/>
                <w:szCs w:val="28"/>
                <w:rtl/>
                <w:lang w:bidi="ar-EG"/>
              </w:rPr>
            </w:pPr>
          </w:p>
          <w:p w:rsidR="00BE2585" w:rsidRPr="00BE2585" w:rsidRDefault="00BE2585" w:rsidP="00BE2585">
            <w:pPr>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lang w:bidi="ar-EG"/>
              </w:rPr>
              <w:t>9 بلدان من البلدان الأقل نموا مشمولة في التوزيع الإقليمي الوارد أعلاه</w:t>
            </w:r>
          </w:p>
        </w:tc>
        <w:tc>
          <w:tcPr>
            <w:tcW w:w="810" w:type="dxa"/>
            <w:tcBorders>
              <w:top w:val="nil"/>
              <w:left w:val="nil"/>
              <w:bottom w:val="nil"/>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p>
        </w:tc>
      </w:tr>
      <w:tr w:rsidR="00BE2585" w:rsidRPr="00BE2585" w:rsidTr="00E00E9F">
        <w:trPr>
          <w:cantSplit/>
          <w:trHeight w:val="537"/>
          <w:jc w:val="center"/>
        </w:trPr>
        <w:tc>
          <w:tcPr>
            <w:tcW w:w="1944" w:type="dxa"/>
            <w:tcBorders>
              <w:top w:val="nil"/>
              <w:left w:val="single" w:sz="4" w:space="0" w:color="auto"/>
              <w:bottom w:val="nil"/>
              <w:right w:val="nil"/>
            </w:tcBorders>
          </w:tcPr>
          <w:p w:rsidR="00BE2585" w:rsidRPr="00BE2585" w:rsidRDefault="00BE2585" w:rsidP="00BE2585">
            <w:pPr>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sz w:val="28"/>
                <w:szCs w:val="28"/>
                <w:rtl/>
                <w:lang w:bidi="ar-EG"/>
              </w:rPr>
              <w:t>متوسط عدد المستخدمين المستفيدين من مراكز دعم التكنولوجيا والابتكار لكل ربع سنة وبحسب الدولة</w:t>
            </w:r>
          </w:p>
        </w:tc>
        <w:tc>
          <w:tcPr>
            <w:tcW w:w="1984" w:type="dxa"/>
            <w:tcBorders>
              <w:top w:val="nil"/>
              <w:left w:val="nil"/>
              <w:bottom w:val="nil"/>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hint="cs"/>
                <w:color w:val="002060"/>
                <w:sz w:val="28"/>
                <w:szCs w:val="28"/>
                <w:rtl/>
                <w:lang w:bidi="ar-EG"/>
              </w:rPr>
              <w:t>متوسط يتراوح بين 532</w:t>
            </w:r>
            <w:r w:rsidRPr="00BE2585">
              <w:rPr>
                <w:rFonts w:ascii="Arabic Typesetting" w:hAnsi="Arabic Typesetting" w:cs="Arabic Typesetting"/>
                <w:color w:val="002060"/>
                <w:sz w:val="28"/>
                <w:szCs w:val="28"/>
                <w:rtl/>
                <w:lang w:bidi="ar-EG"/>
              </w:rPr>
              <w:t xml:space="preserve"> (كحد أدنى)</w:t>
            </w:r>
            <w:r w:rsidRPr="00BE2585">
              <w:rPr>
                <w:rFonts w:ascii="Arabic Typesetting" w:hAnsi="Arabic Typesetting" w:cs="Arabic Typesetting" w:hint="cs"/>
                <w:color w:val="002060"/>
                <w:sz w:val="28"/>
                <w:szCs w:val="28"/>
                <w:rtl/>
                <w:lang w:bidi="ar-EG"/>
              </w:rPr>
              <w:t xml:space="preserve"> و1370</w:t>
            </w:r>
            <w:r w:rsidRPr="00BE2585">
              <w:rPr>
                <w:rFonts w:ascii="Arabic Typesetting" w:hAnsi="Arabic Typesetting" w:cs="Arabic Typesetting"/>
                <w:color w:val="002060"/>
                <w:sz w:val="28"/>
                <w:szCs w:val="28"/>
                <w:rtl/>
                <w:lang w:bidi="ar-EG"/>
              </w:rPr>
              <w:t xml:space="preserve"> (كحد أقصى)</w:t>
            </w:r>
            <w:r w:rsidRPr="00BE2585">
              <w:rPr>
                <w:rFonts w:ascii="Arabic Typesetting" w:hAnsi="Arabic Typesetting" w:cs="Arabic Typesetting" w:hint="cs"/>
                <w:color w:val="002060"/>
                <w:sz w:val="28"/>
                <w:szCs w:val="28"/>
                <w:rtl/>
                <w:lang w:bidi="ar-EG"/>
              </w:rPr>
              <w:t xml:space="preserve"> من المستخدمين المستفيدين من مراكز دعم التكنولوجيا والابتكار في كل يوم خلال عام</w:t>
            </w:r>
            <w:r w:rsidRPr="00BE2585">
              <w:rPr>
                <w:rFonts w:ascii="Arabic Typesetting" w:hAnsi="Arabic Typesetting" w:cs="Arabic Typesetting" w:hint="eastAsia"/>
                <w:color w:val="002060"/>
                <w:sz w:val="28"/>
                <w:szCs w:val="28"/>
                <w:rtl/>
                <w:lang w:bidi="ar-EG"/>
              </w:rPr>
              <w:t> </w:t>
            </w:r>
            <w:r w:rsidRPr="00BE2585">
              <w:rPr>
                <w:rFonts w:ascii="Arabic Typesetting" w:hAnsi="Arabic Typesetting" w:cs="Arabic Typesetting" w:hint="cs"/>
                <w:color w:val="002060"/>
                <w:sz w:val="28"/>
                <w:szCs w:val="28"/>
                <w:rtl/>
                <w:lang w:bidi="ar-EG"/>
              </w:rPr>
              <w:t>2013</w:t>
            </w:r>
          </w:p>
          <w:p w:rsidR="00BE2585" w:rsidRPr="00BE2585" w:rsidRDefault="00BE2585" w:rsidP="00BE2585">
            <w:pPr>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color w:val="002060"/>
                <w:sz w:val="28"/>
                <w:szCs w:val="28"/>
                <w:rtl/>
                <w:lang w:bidi="ar-EG"/>
              </w:rPr>
              <w:t xml:space="preserve"> </w:t>
            </w:r>
            <w:r w:rsidRPr="00BE2585">
              <w:rPr>
                <w:rFonts w:ascii="Arabic Typesetting" w:hAnsi="Arabic Typesetting" w:cs="Arabic Typesetting"/>
                <w:sz w:val="28"/>
                <w:szCs w:val="28"/>
                <w:rtl/>
                <w:lang w:bidi="ar-EG"/>
              </w:rPr>
              <w:t>200 (كحد أدنى) – 630 (كحد أقصى)</w:t>
            </w:r>
          </w:p>
        </w:tc>
        <w:tc>
          <w:tcPr>
            <w:tcW w:w="1985" w:type="dxa"/>
            <w:tcBorders>
              <w:top w:val="nil"/>
              <w:left w:val="nil"/>
              <w:bottom w:val="nil"/>
              <w:right w:val="nil"/>
            </w:tcBorders>
          </w:tcPr>
          <w:p w:rsidR="00BE2585" w:rsidRPr="00BE2585" w:rsidRDefault="00BE2585" w:rsidP="00BE2585">
            <w:pPr>
              <w:bidi/>
              <w:spacing w:before="60" w:after="60" w:line="280" w:lineRule="exact"/>
              <w:rPr>
                <w:rFonts w:ascii="Arabic Typesetting" w:hAnsi="Arabic Typesetting" w:cs="Arabic Typesetting"/>
                <w:sz w:val="28"/>
                <w:szCs w:val="28"/>
              </w:rPr>
            </w:pPr>
            <w:r w:rsidRPr="00BE2585">
              <w:rPr>
                <w:rFonts w:ascii="Arabic Typesetting" w:hAnsi="Arabic Typesetting" w:cs="Arabic Typesetting"/>
                <w:sz w:val="28"/>
                <w:szCs w:val="28"/>
                <w:rtl/>
              </w:rPr>
              <w:t>300 (كحد أدنى) – 750 (كحد أقصى)</w:t>
            </w:r>
          </w:p>
        </w:tc>
        <w:tc>
          <w:tcPr>
            <w:tcW w:w="2835" w:type="dxa"/>
            <w:tcBorders>
              <w:top w:val="nil"/>
              <w:left w:val="nil"/>
              <w:bottom w:val="nil"/>
              <w:right w:val="nil"/>
            </w:tcBorders>
            <w:tcMar>
              <w:top w:w="110" w:type="dxa"/>
            </w:tcMar>
          </w:tcPr>
          <w:p w:rsidR="00BE2585" w:rsidRPr="00BE2585" w:rsidRDefault="00BE2585" w:rsidP="00BE2585">
            <w:pPr>
              <w:bidi/>
              <w:spacing w:before="60" w:after="60" w:line="280" w:lineRule="exact"/>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874</w:t>
            </w:r>
            <w:r w:rsidRPr="00BE2585">
              <w:rPr>
                <w:rFonts w:ascii="Arabic Typesetting" w:hAnsi="Arabic Typesetting" w:cs="Arabic Typesetting"/>
                <w:sz w:val="28"/>
                <w:szCs w:val="28"/>
                <w:rtl/>
                <w:lang w:bidi="ar-EG"/>
              </w:rPr>
              <w:t xml:space="preserve"> (كحد أدنى) و</w:t>
            </w:r>
            <w:r w:rsidRPr="00BE2585">
              <w:rPr>
                <w:rFonts w:ascii="Arabic Typesetting" w:hAnsi="Arabic Typesetting" w:cs="Arabic Typesetting" w:hint="cs"/>
                <w:sz w:val="28"/>
                <w:szCs w:val="28"/>
                <w:rtl/>
                <w:lang w:bidi="ar-EG"/>
              </w:rPr>
              <w:t>2,631</w:t>
            </w:r>
            <w:r w:rsidRPr="00BE2585">
              <w:rPr>
                <w:rFonts w:ascii="Arabic Typesetting" w:hAnsi="Arabic Typesetting" w:cs="Arabic Typesetting"/>
                <w:sz w:val="28"/>
                <w:szCs w:val="28"/>
                <w:rtl/>
                <w:lang w:bidi="ar-EG"/>
              </w:rPr>
              <w:t xml:space="preserve"> (كحد أقصى)</w:t>
            </w:r>
          </w:p>
        </w:tc>
        <w:tc>
          <w:tcPr>
            <w:tcW w:w="810" w:type="dxa"/>
            <w:tcBorders>
              <w:top w:val="nil"/>
              <w:left w:val="nil"/>
              <w:bottom w:val="nil"/>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lang w:bidi="ar-EG"/>
              </w:rPr>
            </w:pPr>
            <w:r w:rsidRPr="00BE2585">
              <w:rPr>
                <w:rFonts w:ascii="Arabic Typesetting" w:hAnsi="Arabic Typesetting" w:cs="Arabic Typesetting" w:hint="cs"/>
                <w:b/>
                <w:bCs/>
                <w:color w:val="00B050"/>
                <w:sz w:val="30"/>
                <w:szCs w:val="30"/>
                <w:rtl/>
              </w:rPr>
              <w:t>محقق كليا</w:t>
            </w:r>
          </w:p>
        </w:tc>
      </w:tr>
      <w:tr w:rsidR="00BE2585" w:rsidRPr="00BE2585" w:rsidTr="00E00E9F">
        <w:trPr>
          <w:cantSplit/>
          <w:trHeight w:val="537"/>
          <w:jc w:val="center"/>
        </w:trPr>
        <w:tc>
          <w:tcPr>
            <w:tcW w:w="1944" w:type="dxa"/>
            <w:tcBorders>
              <w:top w:val="nil"/>
              <w:left w:val="single" w:sz="4" w:space="0" w:color="auto"/>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t>عدد البلدان التي تستخدم قاعدة بيانات المساعدة التقنية في مجال الملكية الفكرية</w:t>
            </w:r>
            <w:r w:rsidRPr="00BE2585">
              <w:rPr>
                <w:rFonts w:ascii="Arabic Typesetting" w:hAnsi="Arabic Typesetting" w:cs="Arabic Typesetting" w:hint="cs"/>
                <w:sz w:val="28"/>
                <w:szCs w:val="28"/>
                <w:rtl/>
                <w:lang w:bidi="ar-EG"/>
              </w:rPr>
              <w:t xml:space="preserve"> </w:t>
            </w:r>
            <w:r w:rsidRPr="00BE2585">
              <w:rPr>
                <w:rFonts w:ascii="Arabic Typesetting" w:hAnsi="Arabic Typesetting" w:cs="Arabic Typesetting"/>
                <w:sz w:val="28"/>
                <w:szCs w:val="28"/>
                <w:lang w:bidi="ar-EG"/>
              </w:rPr>
              <w:t>(IP TAD)</w:t>
            </w:r>
            <w:r w:rsidRPr="00BE2585">
              <w:rPr>
                <w:rFonts w:ascii="Arabic Typesetting" w:hAnsi="Arabic Typesetting" w:cs="Arabic Typesetting"/>
                <w:sz w:val="28"/>
                <w:szCs w:val="28"/>
                <w:rtl/>
                <w:lang w:bidi="ar-EG"/>
              </w:rPr>
              <w:t xml:space="preserve">، وقائمة الخبراء الاستشاريين في مجال الملكية الفكرية </w:t>
            </w:r>
            <w:r w:rsidRPr="00BE2585">
              <w:rPr>
                <w:rFonts w:ascii="Arabic Typesetting" w:hAnsi="Arabic Typesetting" w:cs="Arabic Typesetting"/>
                <w:sz w:val="28"/>
                <w:szCs w:val="28"/>
                <w:lang w:bidi="ar-EG"/>
              </w:rPr>
              <w:t>(IP-ROC)</w:t>
            </w:r>
          </w:p>
        </w:tc>
        <w:tc>
          <w:tcPr>
            <w:tcW w:w="1984" w:type="dxa"/>
            <w:tcBorders>
              <w:top w:val="nil"/>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color w:val="002060"/>
                <w:sz w:val="28"/>
                <w:szCs w:val="28"/>
                <w:lang w:bidi="ar-EG"/>
              </w:rPr>
              <w:t>IP-TAD</w:t>
            </w:r>
            <w:r w:rsidRPr="00BE2585">
              <w:rPr>
                <w:rFonts w:ascii="Arabic Typesetting" w:hAnsi="Arabic Typesetting" w:cs="Arabic Typesetting" w:hint="cs"/>
                <w:color w:val="002060"/>
                <w:sz w:val="28"/>
                <w:szCs w:val="28"/>
                <w:rtl/>
                <w:lang w:bidi="ar-EG"/>
              </w:rPr>
              <w:t>: 43 بلدا</w:t>
            </w:r>
          </w:p>
          <w:p w:rsidR="00BE2585" w:rsidRPr="00BE2585" w:rsidRDefault="00BE2585" w:rsidP="00BE2585">
            <w:pPr>
              <w:bidi/>
              <w:spacing w:before="60" w:after="60" w:line="280" w:lineRule="exact"/>
              <w:rPr>
                <w:rFonts w:ascii="Arabic Typesetting" w:hAnsi="Arabic Typesetting" w:cs="Arabic Typesetting"/>
                <w:color w:val="002060"/>
                <w:sz w:val="28"/>
                <w:szCs w:val="28"/>
                <w:rtl/>
              </w:rPr>
            </w:pPr>
            <w:r w:rsidRPr="00BE2585">
              <w:rPr>
                <w:rFonts w:ascii="Arabic Typesetting" w:hAnsi="Arabic Typesetting" w:cs="Arabic Typesetting"/>
                <w:color w:val="002060"/>
                <w:sz w:val="28"/>
                <w:szCs w:val="28"/>
                <w:lang w:bidi="ar-EG"/>
              </w:rPr>
              <w:t>IP-ROC</w:t>
            </w:r>
            <w:r w:rsidRPr="00BE2585">
              <w:rPr>
                <w:rFonts w:ascii="Arabic Typesetting" w:hAnsi="Arabic Typesetting" w:cs="Arabic Typesetting" w:hint="cs"/>
                <w:color w:val="002060"/>
                <w:sz w:val="28"/>
                <w:szCs w:val="28"/>
                <w:rtl/>
                <w:lang w:bidi="ar-EG"/>
              </w:rPr>
              <w:t>: 8 بلدان</w:t>
            </w:r>
            <w:r w:rsidRPr="00BE2585">
              <w:rPr>
                <w:rFonts w:ascii="Arabic Typesetting" w:hAnsi="Arabic Typesetting" w:cs="Arabic Typesetting" w:hint="cs"/>
                <w:color w:val="002060"/>
                <w:sz w:val="28"/>
                <w:szCs w:val="28"/>
                <w:rtl/>
              </w:rPr>
              <w:t xml:space="preserve"> (في 2013)</w:t>
            </w:r>
          </w:p>
          <w:p w:rsidR="00BE2585" w:rsidRPr="00BE2585" w:rsidRDefault="00BE2585" w:rsidP="00BE2585">
            <w:pPr>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color w:val="002060"/>
                <w:sz w:val="28"/>
                <w:szCs w:val="28"/>
                <w:rtl/>
                <w:lang w:bidi="ar-EG"/>
              </w:rPr>
              <w:t xml:space="preserve"> </w:t>
            </w:r>
            <w:r w:rsidRPr="00BE2585">
              <w:rPr>
                <w:rFonts w:ascii="Arabic Typesetting" w:hAnsi="Arabic Typesetting" w:cs="Arabic Typesetting"/>
                <w:sz w:val="28"/>
                <w:szCs w:val="28"/>
                <w:rtl/>
                <w:lang w:bidi="ar-EG"/>
              </w:rPr>
              <w:t>60 (اعتبارا من 1/3/2013)</w:t>
            </w:r>
          </w:p>
        </w:tc>
        <w:tc>
          <w:tcPr>
            <w:tcW w:w="1985" w:type="dxa"/>
            <w:tcBorders>
              <w:top w:val="nil"/>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hint="cs"/>
                <w:sz w:val="28"/>
                <w:szCs w:val="28"/>
                <w:rtl/>
              </w:rPr>
              <w:t>70</w:t>
            </w:r>
          </w:p>
        </w:tc>
        <w:tc>
          <w:tcPr>
            <w:tcW w:w="2835" w:type="dxa"/>
            <w:tcBorders>
              <w:top w:val="nil"/>
              <w:left w:val="nil"/>
              <w:bottom w:val="single" w:sz="4" w:space="0" w:color="auto"/>
              <w:right w:val="nil"/>
            </w:tcBorders>
            <w:tcMar>
              <w:top w:w="110" w:type="dxa"/>
            </w:tcMar>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2014: 46 بلدا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lang w:bidi="ar-EG"/>
              </w:rPr>
              <w:t>IP-TAD</w:t>
            </w:r>
            <w:r w:rsidRPr="00BE2585">
              <w:rPr>
                <w:rFonts w:ascii="Arabic Typesetting" w:hAnsi="Arabic Typesetting" w:cs="Arabic Typesetting" w:hint="cs"/>
                <w:sz w:val="28"/>
                <w:szCs w:val="28"/>
                <w:rtl/>
                <w:lang w:bidi="ar-EG"/>
              </w:rPr>
              <w:t>: 37 بلدا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lang w:bidi="ar-EG"/>
              </w:rPr>
              <w:t>IP_ROC</w:t>
            </w:r>
            <w:r w:rsidRPr="00BE2585">
              <w:rPr>
                <w:rFonts w:ascii="Arabic Typesetting" w:hAnsi="Arabic Typesetting" w:cs="Arabic Typesetting" w:hint="cs"/>
                <w:sz w:val="28"/>
                <w:szCs w:val="28"/>
                <w:rtl/>
                <w:lang w:bidi="ar-EG"/>
              </w:rPr>
              <w:t>: 9 بلدان</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(-10% مقارنة بعام 2013)</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2015: 33 بلدا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lang w:bidi="ar-EG"/>
              </w:rPr>
              <w:t>IP-TAD</w:t>
            </w:r>
            <w:r w:rsidRPr="00BE2585">
              <w:rPr>
                <w:rFonts w:ascii="Arabic Typesetting" w:hAnsi="Arabic Typesetting" w:cs="Arabic Typesetting" w:hint="cs"/>
                <w:sz w:val="28"/>
                <w:szCs w:val="28"/>
                <w:rtl/>
                <w:lang w:bidi="ar-EG"/>
              </w:rPr>
              <w:t>: 29 بلدا</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lang w:bidi="ar-EG"/>
              </w:rPr>
              <w:t>IP_ROC</w:t>
            </w:r>
            <w:r w:rsidRPr="00BE2585">
              <w:rPr>
                <w:rFonts w:ascii="Arabic Typesetting" w:hAnsi="Arabic Typesetting" w:cs="Arabic Typesetting" w:hint="cs"/>
                <w:sz w:val="28"/>
                <w:szCs w:val="28"/>
                <w:rtl/>
                <w:lang w:bidi="ar-EG"/>
              </w:rPr>
              <w:t>: 4 بلدان</w:t>
            </w:r>
          </w:p>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(-28% مقارنة بعام 2014)</w:t>
            </w:r>
          </w:p>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p>
        </w:tc>
        <w:tc>
          <w:tcPr>
            <w:tcW w:w="810" w:type="dxa"/>
            <w:tcBorders>
              <w:top w:val="nil"/>
              <w:left w:val="nil"/>
              <w:bottom w:val="single" w:sz="4" w:space="0" w:color="auto"/>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
                <w:bCs/>
                <w:color w:val="FF0000"/>
                <w:sz w:val="30"/>
                <w:szCs w:val="30"/>
                <w:rtl/>
              </w:rPr>
            </w:pPr>
            <w:r w:rsidRPr="00BE2585">
              <w:rPr>
                <w:rFonts w:ascii="Arabic Typesetting" w:hAnsi="Arabic Typesetting" w:cs="Arabic Typesetting"/>
                <w:b/>
                <w:bCs/>
                <w:color w:val="FF0000"/>
                <w:sz w:val="30"/>
                <w:szCs w:val="30"/>
                <w:rtl/>
              </w:rPr>
              <w:t xml:space="preserve">غير </w:t>
            </w:r>
            <w:r w:rsidRPr="00BE2585">
              <w:rPr>
                <w:rFonts w:ascii="Arabic Typesetting" w:hAnsi="Arabic Typesetting" w:cs="Arabic Typesetting" w:hint="cs"/>
                <w:b/>
                <w:bCs/>
                <w:color w:val="FF0000"/>
                <w:sz w:val="30"/>
                <w:szCs w:val="30"/>
                <w:rtl/>
              </w:rPr>
              <w:t>محقق</w:t>
            </w:r>
          </w:p>
        </w:tc>
      </w:tr>
      <w:tr w:rsidR="00BE2585" w:rsidRPr="00BE2585" w:rsidTr="00E00E9F">
        <w:trPr>
          <w:cantSplit/>
          <w:trHeight w:val="186"/>
          <w:jc w:val="center"/>
        </w:trPr>
        <w:tc>
          <w:tcPr>
            <w:tcW w:w="9558" w:type="dxa"/>
            <w:gridSpan w:val="5"/>
            <w:tcBorders>
              <w:bottom w:val="nil"/>
            </w:tcBorders>
            <w:shd w:val="clear" w:color="auto" w:fill="C6D9F1" w:themeFill="text2" w:themeFillTint="33"/>
            <w:vAlign w:val="center"/>
          </w:tcPr>
          <w:p w:rsidR="00BE2585" w:rsidRPr="00BE2585" w:rsidRDefault="00BE2585" w:rsidP="00CE2695">
            <w:pPr>
              <w:keepNext/>
              <w:bidi/>
              <w:spacing w:before="60" w:after="60" w:line="280" w:lineRule="exact"/>
              <w:ind w:left="1167" w:hanging="1167"/>
              <w:rPr>
                <w:rFonts w:ascii="Arabic Typesetting" w:hAnsi="Arabic Typesetting" w:cs="Arabic Typesetting"/>
                <w:sz w:val="28"/>
                <w:szCs w:val="28"/>
                <w:rtl/>
                <w:lang w:bidi="ar-EG"/>
              </w:rPr>
            </w:pPr>
            <w:r w:rsidRPr="00BE2585">
              <w:rPr>
                <w:rFonts w:ascii="Arabic Typesetting" w:hAnsi="Arabic Typesetting" w:cs="Arabic Typesetting"/>
                <w:bCs/>
                <w:sz w:val="28"/>
                <w:szCs w:val="28"/>
                <w:rtl/>
                <w:lang w:bidi="ar-EG"/>
              </w:rPr>
              <w:lastRenderedPageBreak/>
              <w:t xml:space="preserve">النتيجة المرتقبة: </w:t>
            </w:r>
            <w:r w:rsidRPr="00BE2585">
              <w:rPr>
                <w:rFonts w:ascii="Arabic Typesetting" w:hAnsi="Arabic Typesetting" w:cs="Arabic Typesetting" w:hint="cs"/>
                <w:bCs/>
                <w:sz w:val="28"/>
                <w:szCs w:val="28"/>
                <w:rtl/>
                <w:lang w:bidi="ar-EG"/>
              </w:rPr>
              <w:tab/>
            </w:r>
            <w:r w:rsidRPr="00BE2585">
              <w:rPr>
                <w:rFonts w:ascii="Arabic Typesetting" w:hAnsi="Arabic Typesetting" w:cs="Arabic Typesetting" w:hint="cs"/>
                <w:sz w:val="28"/>
                <w:szCs w:val="28"/>
                <w:rtl/>
                <w:lang w:bidi="ar-EG"/>
              </w:rPr>
              <w:t xml:space="preserve">ه4.4 </w:t>
            </w:r>
            <w:r w:rsidR="000432CA">
              <w:rPr>
                <w:rFonts w:ascii="Arabic Typesetting" w:hAnsi="Arabic Typesetting" w:cs="Arabic Typesetting"/>
                <w:sz w:val="28"/>
                <w:szCs w:val="28"/>
                <w:rtl/>
                <w:lang w:bidi="ar-EG"/>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BE2585" w:rsidRPr="00BE2585" w:rsidTr="00E00E9F">
        <w:trPr>
          <w:cantSplit/>
          <w:trHeight w:val="537"/>
          <w:jc w:val="center"/>
        </w:trPr>
        <w:tc>
          <w:tcPr>
            <w:tcW w:w="1944" w:type="dxa"/>
            <w:tcBorders>
              <w:top w:val="nil"/>
              <w:left w:val="single" w:sz="4" w:space="0" w:color="auto"/>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مؤشرات الأداء</w:t>
            </w:r>
          </w:p>
        </w:tc>
        <w:tc>
          <w:tcPr>
            <w:tcW w:w="1984" w:type="dxa"/>
            <w:tcBorders>
              <w:top w:val="nil"/>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أسس المقارنة</w:t>
            </w:r>
          </w:p>
        </w:tc>
        <w:tc>
          <w:tcPr>
            <w:tcW w:w="1985" w:type="dxa"/>
            <w:tcBorders>
              <w:top w:val="nil"/>
              <w:left w:val="nil"/>
              <w:bottom w:val="nil"/>
              <w:right w:val="nil"/>
            </w:tcBorders>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الأهداف</w:t>
            </w:r>
          </w:p>
        </w:tc>
        <w:tc>
          <w:tcPr>
            <w:tcW w:w="2835" w:type="dxa"/>
            <w:tcBorders>
              <w:top w:val="nil"/>
              <w:left w:val="nil"/>
              <w:bottom w:val="nil"/>
              <w:right w:val="nil"/>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بيانات الأداء</w:t>
            </w:r>
          </w:p>
        </w:tc>
        <w:tc>
          <w:tcPr>
            <w:tcW w:w="810" w:type="dxa"/>
            <w:tcBorders>
              <w:top w:val="nil"/>
              <w:left w:val="nil"/>
              <w:bottom w:val="nil"/>
              <w:right w:val="single" w:sz="4" w:space="0" w:color="auto"/>
            </w:tcBorders>
            <w:tcMar>
              <w:top w:w="110" w:type="dxa"/>
            </w:tcMar>
            <w:vAlign w:val="center"/>
          </w:tcPr>
          <w:p w:rsidR="00BE2585" w:rsidRPr="00BE2585" w:rsidRDefault="00BE2585" w:rsidP="00BE2585">
            <w:pPr>
              <w:keepNext/>
              <w:bidi/>
              <w:spacing w:before="60" w:after="60" w:line="280" w:lineRule="exact"/>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السير</w:t>
            </w:r>
          </w:p>
        </w:tc>
      </w:tr>
      <w:tr w:rsidR="00BE2585" w:rsidRPr="00BE2585" w:rsidTr="00E00E9F">
        <w:trPr>
          <w:cantSplit/>
          <w:trHeight w:val="537"/>
          <w:jc w:val="center"/>
        </w:trPr>
        <w:tc>
          <w:tcPr>
            <w:tcW w:w="1944" w:type="dxa"/>
            <w:tcBorders>
              <w:top w:val="nil"/>
              <w:left w:val="single" w:sz="4" w:space="0" w:color="auto"/>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t xml:space="preserve">متوسط </w:t>
            </w:r>
            <w:r w:rsidRPr="00BE2585">
              <w:rPr>
                <w:rFonts w:ascii="Arabic Typesetting" w:hAnsi="Arabic Typesetting" w:cs="Arabic Typesetting" w:hint="cs"/>
                <w:sz w:val="28"/>
                <w:szCs w:val="28"/>
                <w:rtl/>
                <w:lang w:bidi="ar-EG"/>
              </w:rPr>
              <w:t>مستوى</w:t>
            </w:r>
            <w:r w:rsidRPr="00BE2585">
              <w:rPr>
                <w:rFonts w:ascii="Arabic Typesetting" w:hAnsi="Arabic Typesetting" w:cs="Arabic Typesetting"/>
                <w:sz w:val="28"/>
                <w:szCs w:val="28"/>
                <w:rtl/>
                <w:lang w:bidi="ar-EG"/>
              </w:rPr>
              <w:t xml:space="preserve"> </w:t>
            </w:r>
            <w:r w:rsidRPr="00BE2585">
              <w:rPr>
                <w:rFonts w:ascii="Arabic Typesetting" w:hAnsi="Arabic Typesetting" w:cs="Arabic Typesetting" w:hint="cs"/>
                <w:sz w:val="28"/>
                <w:szCs w:val="28"/>
                <w:rtl/>
                <w:lang w:bidi="ar-EG"/>
              </w:rPr>
              <w:t>الخدمة</w:t>
            </w:r>
            <w:r w:rsidRPr="00BE2585">
              <w:rPr>
                <w:rFonts w:ascii="Arabic Typesetting" w:hAnsi="Arabic Typesetting" w:cs="Arabic Typesetting"/>
                <w:sz w:val="28"/>
                <w:szCs w:val="28"/>
                <w:rtl/>
                <w:lang w:bidi="ar-EG"/>
              </w:rPr>
              <w:t xml:space="preserve"> </w:t>
            </w:r>
            <w:r w:rsidRPr="00BE2585">
              <w:rPr>
                <w:rFonts w:ascii="Arabic Typesetting" w:hAnsi="Arabic Typesetting" w:cs="Arabic Typesetting" w:hint="cs"/>
                <w:sz w:val="28"/>
                <w:szCs w:val="28"/>
                <w:rtl/>
                <w:lang w:bidi="ar-EG"/>
              </w:rPr>
              <w:t>في</w:t>
            </w:r>
            <w:r w:rsidRPr="00BE2585">
              <w:rPr>
                <w:rFonts w:ascii="Arabic Typesetting" w:hAnsi="Arabic Typesetting" w:cs="Arabic Typesetting"/>
                <w:sz w:val="28"/>
                <w:szCs w:val="28"/>
                <w:rtl/>
                <w:lang w:bidi="ar-EG"/>
              </w:rPr>
              <w:t xml:space="preserve"> </w:t>
            </w:r>
            <w:r w:rsidRPr="00BE2585">
              <w:rPr>
                <w:rFonts w:ascii="Arabic Typesetting" w:hAnsi="Arabic Typesetting" w:cs="Arabic Typesetting" w:hint="cs"/>
                <w:sz w:val="28"/>
                <w:szCs w:val="28"/>
                <w:rtl/>
                <w:lang w:bidi="ar-EG"/>
              </w:rPr>
              <w:t>مكاتب</w:t>
            </w:r>
            <w:r w:rsidRPr="00BE2585">
              <w:rPr>
                <w:rFonts w:ascii="Arabic Typesetting" w:hAnsi="Arabic Typesetting" w:cs="Arabic Typesetting"/>
                <w:sz w:val="28"/>
                <w:szCs w:val="28"/>
                <w:rtl/>
                <w:lang w:bidi="ar-EG"/>
              </w:rPr>
              <w:t xml:space="preserve"> </w:t>
            </w:r>
            <w:r w:rsidRPr="00BE2585">
              <w:rPr>
                <w:rFonts w:ascii="Arabic Typesetting" w:hAnsi="Arabic Typesetting" w:cs="Arabic Typesetting" w:hint="cs"/>
                <w:sz w:val="28"/>
                <w:szCs w:val="28"/>
                <w:rtl/>
                <w:lang w:bidi="ar-EG"/>
              </w:rPr>
              <w:t>الملكية</w:t>
            </w:r>
            <w:r w:rsidRPr="00BE2585">
              <w:rPr>
                <w:rFonts w:ascii="Arabic Typesetting" w:hAnsi="Arabic Typesetting" w:cs="Arabic Typesetting"/>
                <w:sz w:val="28"/>
                <w:szCs w:val="28"/>
                <w:rtl/>
                <w:lang w:bidi="ar-EG"/>
              </w:rPr>
              <w:t xml:space="preserve"> </w:t>
            </w:r>
            <w:r w:rsidRPr="00BE2585">
              <w:rPr>
                <w:rFonts w:ascii="Arabic Typesetting" w:hAnsi="Arabic Typesetting" w:cs="Arabic Typesetting" w:hint="cs"/>
                <w:sz w:val="28"/>
                <w:szCs w:val="28"/>
                <w:rtl/>
                <w:lang w:bidi="ar-EG"/>
              </w:rPr>
              <w:t>الفكرية</w:t>
            </w:r>
            <w:r w:rsidRPr="00BE2585">
              <w:rPr>
                <w:rFonts w:ascii="Arabic Typesetting" w:hAnsi="Arabic Typesetting" w:cs="Arabic Typesetting"/>
                <w:sz w:val="28"/>
                <w:szCs w:val="28"/>
                <w:rtl/>
                <w:lang w:bidi="ar-EG"/>
              </w:rPr>
              <w:t xml:space="preserve"> التي تلقت مساعدة (يتراوح من 1 إلى 5)</w:t>
            </w:r>
          </w:p>
        </w:tc>
        <w:tc>
          <w:tcPr>
            <w:tcW w:w="1984" w:type="dxa"/>
            <w:tcBorders>
              <w:top w:val="nil"/>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color w:val="002060"/>
                <w:sz w:val="28"/>
                <w:szCs w:val="28"/>
                <w:rtl/>
                <w:lang w:bidi="ar-EG"/>
              </w:rPr>
            </w:pPr>
            <w:r w:rsidRPr="00BE2585">
              <w:rPr>
                <w:rFonts w:ascii="Arabic Typesetting" w:hAnsi="Arabic Typesetting" w:cs="Arabic Typesetting"/>
                <w:iCs/>
                <w:color w:val="002060"/>
                <w:sz w:val="28"/>
                <w:szCs w:val="28"/>
                <w:rtl/>
                <w:lang w:bidi="ar-EG"/>
              </w:rPr>
              <w:t>أسس المقارنة المحدّثة</w:t>
            </w:r>
            <w:r w:rsidRPr="00BE2585">
              <w:rPr>
                <w:rFonts w:ascii="Arabic Typesetting" w:hAnsi="Arabic Typesetting" w:cs="Arabic Typesetting" w:hint="cs"/>
                <w:iCs/>
                <w:color w:val="002060"/>
                <w:sz w:val="28"/>
                <w:szCs w:val="28"/>
                <w:rtl/>
                <w:lang w:bidi="ar-EG"/>
              </w:rPr>
              <w:t xml:space="preserve"> في </w:t>
            </w:r>
            <w:r w:rsidRPr="00BE2585">
              <w:rPr>
                <w:rFonts w:ascii="Arabic Typesetting" w:hAnsi="Arabic Typesetting" w:cs="Arabic Typesetting"/>
                <w:iCs/>
                <w:color w:val="002060"/>
                <w:sz w:val="28"/>
                <w:szCs w:val="28"/>
                <w:rtl/>
                <w:lang w:bidi="ar-EG"/>
              </w:rPr>
              <w:t xml:space="preserve">نهاية </w:t>
            </w:r>
            <w:r w:rsidRPr="00BE2585">
              <w:rPr>
                <w:rFonts w:ascii="Arabic Typesetting" w:hAnsi="Arabic Typesetting" w:cs="Arabic Typesetting" w:hint="cs"/>
                <w:iCs/>
                <w:color w:val="002060"/>
                <w:sz w:val="28"/>
                <w:szCs w:val="28"/>
                <w:rtl/>
                <w:lang w:bidi="ar-EG"/>
              </w:rPr>
              <w:t>2013</w:t>
            </w:r>
            <w:r w:rsidRPr="00BE2585">
              <w:rPr>
                <w:rFonts w:ascii="Arabic Typesetting" w:hAnsi="Arabic Typesetting" w:cs="Arabic Typesetting"/>
                <w:iCs/>
                <w:color w:val="002060"/>
                <w:sz w:val="28"/>
                <w:szCs w:val="28"/>
                <w:rtl/>
                <w:lang w:bidi="ar-EG"/>
              </w:rPr>
              <w:t>:</w:t>
            </w:r>
            <w:r w:rsidRPr="00BE2585">
              <w:rPr>
                <w:rFonts w:ascii="Arabic Typesetting" w:hAnsi="Arabic Typesetting" w:cs="Arabic Typesetting" w:hint="cs"/>
                <w:color w:val="002060"/>
                <w:sz w:val="28"/>
                <w:szCs w:val="28"/>
                <w:rtl/>
                <w:lang w:bidi="ar-EG"/>
              </w:rPr>
              <w:t xml:space="preserve"> 2.8</w:t>
            </w:r>
          </w:p>
          <w:p w:rsidR="00BE2585" w:rsidRPr="00BE2585" w:rsidRDefault="00BE2585" w:rsidP="00BE2585">
            <w:pPr>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color w:val="002060"/>
                <w:sz w:val="28"/>
                <w:szCs w:val="28"/>
                <w:rtl/>
                <w:lang w:bidi="ar-EG"/>
              </w:rPr>
              <w:t xml:space="preserve"> </w:t>
            </w:r>
            <w:r w:rsidRPr="00BE2585">
              <w:rPr>
                <w:rFonts w:ascii="Arabic Typesetting" w:hAnsi="Arabic Typesetting" w:cs="Arabic Typesetting" w:hint="cs"/>
                <w:sz w:val="28"/>
                <w:szCs w:val="28"/>
                <w:rtl/>
                <w:lang w:bidi="ar-EG"/>
              </w:rPr>
              <w:t>يحدد لاحقا</w:t>
            </w:r>
          </w:p>
        </w:tc>
        <w:tc>
          <w:tcPr>
            <w:tcW w:w="1985" w:type="dxa"/>
            <w:tcBorders>
              <w:top w:val="nil"/>
              <w:left w:val="nil"/>
              <w:bottom w:val="single" w:sz="4" w:space="0" w:color="auto"/>
              <w:right w:val="nil"/>
            </w:tcBorders>
          </w:tcPr>
          <w:p w:rsidR="00BE2585" w:rsidRPr="00BE2585" w:rsidRDefault="00BE2585" w:rsidP="00BE2585">
            <w:pPr>
              <w:bidi/>
              <w:spacing w:before="60" w:after="60" w:line="280" w:lineRule="exact"/>
              <w:rPr>
                <w:rFonts w:ascii="Arabic Typesetting" w:hAnsi="Arabic Typesetting" w:cs="Arabic Typesetting"/>
                <w:iCs/>
                <w:sz w:val="28"/>
                <w:szCs w:val="28"/>
                <w:rtl/>
                <w:lang w:bidi="ar-EG"/>
              </w:rPr>
            </w:pPr>
            <w:r w:rsidRPr="00BE2585">
              <w:rPr>
                <w:rFonts w:ascii="Arabic Typesetting" w:hAnsi="Arabic Typesetting" w:cs="Arabic Typesetting" w:hint="cs"/>
                <w:iCs/>
                <w:sz w:val="28"/>
                <w:szCs w:val="28"/>
                <w:rtl/>
                <w:lang w:bidi="ar-EG"/>
              </w:rPr>
              <w:t>الهدف المحدّد: 3</w:t>
            </w:r>
          </w:p>
          <w:p w:rsidR="00BE2585" w:rsidRPr="00BE2585" w:rsidRDefault="00BE2585" w:rsidP="00BE2585">
            <w:pPr>
              <w:bidi/>
              <w:spacing w:before="60" w:after="60" w:line="280" w:lineRule="exact"/>
              <w:rPr>
                <w:rFonts w:ascii="Arabic Typesetting" w:hAnsi="Arabic Typesetting" w:cs="Arabic Typesetting"/>
                <w:sz w:val="28"/>
                <w:szCs w:val="28"/>
                <w:rtl/>
              </w:rPr>
            </w:pPr>
            <w:r w:rsidRPr="00BE2585">
              <w:rPr>
                <w:rFonts w:ascii="Arabic Typesetting" w:hAnsi="Arabic Typesetting" w:cs="Arabic Typesetting"/>
                <w:iCs/>
                <w:sz w:val="28"/>
                <w:szCs w:val="28"/>
                <w:rtl/>
                <w:lang w:bidi="ar-EG"/>
              </w:rPr>
              <w:t>أسس المقارنة الأصلية: برنامج وميزانية</w:t>
            </w:r>
            <w:r w:rsidRPr="00BE2585">
              <w:rPr>
                <w:rFonts w:ascii="Arabic Typesetting" w:hAnsi="Arabic Typesetting" w:cs="Arabic Typesetting" w:hint="cs"/>
                <w:iCs/>
                <w:sz w:val="28"/>
                <w:szCs w:val="28"/>
                <w:rtl/>
                <w:lang w:bidi="ar-EG"/>
              </w:rPr>
              <w:t xml:space="preserve"> 2014/15:</w:t>
            </w:r>
            <w:r w:rsidRPr="00BE2585">
              <w:rPr>
                <w:rFonts w:ascii="Arabic Typesetting" w:hAnsi="Arabic Typesetting" w:cs="Arabic Typesetting" w:hint="cs"/>
                <w:color w:val="002060"/>
                <w:sz w:val="28"/>
                <w:szCs w:val="28"/>
                <w:rtl/>
                <w:lang w:bidi="ar-EG"/>
              </w:rPr>
              <w:t xml:space="preserve"> </w:t>
            </w:r>
            <w:r w:rsidRPr="00BE2585">
              <w:rPr>
                <w:rFonts w:ascii="Arabic Typesetting" w:hAnsi="Arabic Typesetting" w:cs="Arabic Typesetting" w:hint="cs"/>
                <w:sz w:val="28"/>
                <w:szCs w:val="28"/>
                <w:rtl/>
                <w:lang w:bidi="ar-EG"/>
              </w:rPr>
              <w:t>يحدد لاحقا</w:t>
            </w:r>
          </w:p>
        </w:tc>
        <w:tc>
          <w:tcPr>
            <w:tcW w:w="2835" w:type="dxa"/>
            <w:tcBorders>
              <w:top w:val="nil"/>
              <w:left w:val="nil"/>
              <w:bottom w:val="single" w:sz="4" w:space="0" w:color="auto"/>
              <w:right w:val="nil"/>
            </w:tcBorders>
            <w:tcMar>
              <w:top w:w="110" w:type="dxa"/>
            </w:tcMar>
          </w:tcPr>
          <w:p w:rsidR="00BE2585" w:rsidRPr="00BE2585" w:rsidRDefault="00BE2585" w:rsidP="00BE2585">
            <w:pPr>
              <w:bidi/>
              <w:spacing w:before="60" w:after="60" w:line="280" w:lineRule="exact"/>
              <w:rPr>
                <w:rFonts w:ascii="Arabic Typesetting" w:hAnsi="Arabic Typesetting" w:cs="Arabic Typesetting"/>
                <w:sz w:val="28"/>
                <w:szCs w:val="28"/>
                <w:rtl/>
                <w:lang w:bidi="ar-EG"/>
              </w:rPr>
            </w:pPr>
            <w:r w:rsidRPr="00BE2585">
              <w:rPr>
                <w:rFonts w:ascii="Arabic Typesetting" w:hAnsi="Arabic Typesetting" w:cs="Arabic Typesetting" w:hint="cs"/>
                <w:sz w:val="28"/>
                <w:szCs w:val="28"/>
                <w:rtl/>
                <w:lang w:bidi="ar-EG"/>
              </w:rPr>
              <w:t>المتوسط الإجمالي: 2.9</w:t>
            </w:r>
          </w:p>
          <w:p w:rsidR="00BE2585" w:rsidRPr="00BE2585" w:rsidRDefault="00BE2585" w:rsidP="009A3712">
            <w:pPr>
              <w:numPr>
                <w:ilvl w:val="0"/>
                <w:numId w:val="15"/>
              </w:numPr>
              <w:bidi/>
              <w:spacing w:before="60" w:after="60" w:line="280" w:lineRule="exact"/>
              <w:contextualSpacing/>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أفريقيا: 2.9</w:t>
            </w:r>
          </w:p>
          <w:p w:rsidR="00BE2585" w:rsidRPr="00BE2585" w:rsidRDefault="00BE2585" w:rsidP="009A3712">
            <w:pPr>
              <w:numPr>
                <w:ilvl w:val="0"/>
                <w:numId w:val="15"/>
              </w:numPr>
              <w:bidi/>
              <w:spacing w:before="60" w:after="60" w:line="280" w:lineRule="exact"/>
              <w:contextualSpacing/>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المنطقة العربية: 2.8</w:t>
            </w:r>
          </w:p>
          <w:p w:rsidR="00BE2585" w:rsidRPr="00BE2585" w:rsidRDefault="00BE2585" w:rsidP="009A3712">
            <w:pPr>
              <w:numPr>
                <w:ilvl w:val="0"/>
                <w:numId w:val="15"/>
              </w:numPr>
              <w:bidi/>
              <w:spacing w:before="60" w:after="60" w:line="280" w:lineRule="exact"/>
              <w:contextualSpacing/>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آسيا والمحيط الهادئ: 2.7</w:t>
            </w:r>
          </w:p>
          <w:p w:rsidR="00BE2585" w:rsidRPr="00BE2585" w:rsidRDefault="00BE2585" w:rsidP="009A3712">
            <w:pPr>
              <w:numPr>
                <w:ilvl w:val="0"/>
                <w:numId w:val="15"/>
              </w:numPr>
              <w:bidi/>
              <w:spacing w:before="60" w:after="60" w:line="280" w:lineRule="exact"/>
              <w:contextualSpacing/>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أمريكا اللاتينية والكاريبي: 3</w:t>
            </w:r>
          </w:p>
        </w:tc>
        <w:tc>
          <w:tcPr>
            <w:tcW w:w="810" w:type="dxa"/>
            <w:tcBorders>
              <w:top w:val="nil"/>
              <w:left w:val="nil"/>
              <w:bottom w:val="single" w:sz="4" w:space="0" w:color="auto"/>
              <w:right w:val="single" w:sz="4" w:space="0" w:color="auto"/>
            </w:tcBorders>
            <w:tcMar>
              <w:top w:w="110" w:type="dxa"/>
            </w:tcMar>
          </w:tcPr>
          <w:p w:rsidR="00BE2585" w:rsidRPr="00BE2585" w:rsidRDefault="00BE2585" w:rsidP="00BE2585">
            <w:pPr>
              <w:keepNext/>
              <w:bidi/>
              <w:spacing w:before="60" w:after="60" w:line="280" w:lineRule="exact"/>
              <w:jc w:val="center"/>
              <w:rPr>
                <w:rFonts w:ascii="Arabic Typesetting" w:hAnsi="Arabic Typesetting" w:cs="Arabic Typesetting"/>
                <w:bCs/>
                <w:color w:val="008000"/>
                <w:sz w:val="28"/>
                <w:szCs w:val="28"/>
                <w:rtl/>
                <w:lang w:bidi="ar-EG"/>
              </w:rPr>
            </w:pPr>
            <w:r w:rsidRPr="00BE2585">
              <w:rPr>
                <w:rFonts w:ascii="Arabic Typesetting" w:hAnsi="Arabic Typesetting" w:cs="Arabic Typesetting" w:hint="cs"/>
                <w:b/>
                <w:bCs/>
                <w:color w:val="00B050"/>
                <w:sz w:val="30"/>
                <w:szCs w:val="30"/>
                <w:rtl/>
              </w:rPr>
              <w:t>محقق كليا</w:t>
            </w:r>
          </w:p>
        </w:tc>
      </w:tr>
    </w:tbl>
    <w:p w:rsidR="00BE2585" w:rsidRPr="00BE2585" w:rsidRDefault="00BE2585" w:rsidP="00BE2585">
      <w:pPr>
        <w:keepNext/>
        <w:bidi/>
        <w:spacing w:before="120" w:after="120" w:line="340" w:lineRule="exact"/>
        <w:rPr>
          <w:rFonts w:ascii="Arabic Typesetting" w:hAnsi="Arabic Typesetting" w:cs="Arabic Typesetting"/>
          <w:sz w:val="34"/>
          <w:szCs w:val="34"/>
          <w:rtl/>
          <w:lang w:val="fr-CH"/>
        </w:rPr>
      </w:pPr>
      <w:r w:rsidRPr="00BE2585">
        <w:rPr>
          <w:rFonts w:ascii="Arabic Typesetting" w:hAnsi="Arabic Typesetting" w:cs="Arabic Typesetting" w:hint="cs"/>
          <w:sz w:val="34"/>
          <w:szCs w:val="34"/>
          <w:rtl/>
          <w:lang w:val="fr-CH"/>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BE2585" w:rsidRPr="00BE2585" w:rsidTr="00D62C15">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BE2585" w:rsidRPr="00BE2585" w:rsidRDefault="00BE2585" w:rsidP="00BE2585">
            <w:pPr>
              <w:keepNext/>
              <w:bidi/>
              <w:spacing w:before="60" w:after="60" w:line="280" w:lineRule="exact"/>
              <w:jc w:val="center"/>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BE2585" w:rsidRPr="00BE2585" w:rsidRDefault="00BE2585" w:rsidP="00BE2585">
            <w:pPr>
              <w:keepNext/>
              <w:bidi/>
              <w:spacing w:before="60" w:after="60" w:line="280" w:lineRule="exact"/>
              <w:jc w:val="center"/>
              <w:rPr>
                <w:rFonts w:ascii="Arabic Typesetting" w:hAnsi="Arabic Typesetting" w:cs="Arabic Typesetting"/>
                <w:bCs/>
                <w:sz w:val="28"/>
                <w:szCs w:val="28"/>
                <w:lang w:bidi="ar-EG"/>
              </w:rPr>
            </w:pPr>
            <w:r w:rsidRPr="00BE258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BE2585" w:rsidRPr="00BE2585" w:rsidRDefault="00BE2585" w:rsidP="00BE2585">
            <w:pPr>
              <w:keepNext/>
              <w:bidi/>
              <w:spacing w:before="60" w:after="60" w:line="280" w:lineRule="exact"/>
              <w:jc w:val="center"/>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BE2585" w:rsidRPr="00BE2585" w:rsidRDefault="00BE2585" w:rsidP="00BE2585">
            <w:pPr>
              <w:keepNext/>
              <w:bidi/>
              <w:spacing w:before="60" w:after="60" w:line="280" w:lineRule="exact"/>
              <w:jc w:val="center"/>
              <w:rPr>
                <w:rFonts w:ascii="Arabic Typesetting" w:hAnsi="Arabic Typesetting" w:cs="Arabic Typesetting"/>
                <w:bCs/>
                <w:sz w:val="28"/>
                <w:szCs w:val="28"/>
                <w:lang w:bidi="ar-EG"/>
              </w:rPr>
            </w:pPr>
            <w:r w:rsidRPr="00BE2585">
              <w:rPr>
                <w:rFonts w:ascii="Arabic Typesetting" w:hAnsi="Arabic Typesetting" w:cs="Arabic Typesetting" w:hint="cs"/>
                <w:bCs/>
                <w:sz w:val="28"/>
                <w:szCs w:val="28"/>
                <w:rtl/>
                <w:lang w:bidi="ar-EG"/>
              </w:rPr>
              <w:t>التأثير في أداء البرنامج</w:t>
            </w:r>
          </w:p>
        </w:tc>
      </w:tr>
      <w:tr w:rsidR="00BE2585" w:rsidRPr="00BE2585" w:rsidTr="00D62C15">
        <w:trPr>
          <w:trHeight w:val="1332"/>
        </w:trPr>
        <w:tc>
          <w:tcPr>
            <w:tcW w:w="2420" w:type="dxa"/>
            <w:tcBorders>
              <w:top w:val="single" w:sz="4" w:space="0" w:color="auto"/>
              <w:left w:val="single" w:sz="4" w:space="0" w:color="auto"/>
            </w:tcBorders>
            <w:shd w:val="clear" w:color="auto" w:fill="auto"/>
            <w:tcMar>
              <w:top w:w="113" w:type="dxa"/>
              <w:bottom w:w="113" w:type="dxa"/>
            </w:tcMar>
          </w:tcPr>
          <w:p w:rsidR="00BE2585" w:rsidRPr="00BE2585" w:rsidRDefault="00BE2585" w:rsidP="00BE2585">
            <w:pPr>
              <w:autoSpaceDE w:val="0"/>
              <w:autoSpaceDN w:val="0"/>
              <w:bidi/>
              <w:adjustRightInd w:val="0"/>
              <w:rPr>
                <w:rFonts w:ascii="Arabic Typesetting" w:hAnsi="Arabic Typesetting" w:cs="Arabic Typesetting"/>
                <w:sz w:val="28"/>
                <w:szCs w:val="28"/>
                <w:lang w:bidi="ar-EG"/>
              </w:rPr>
            </w:pPr>
            <w:r w:rsidRPr="00BE2585">
              <w:rPr>
                <w:rFonts w:ascii="Arabic Typesetting" w:hAnsi="Arabic Typesetting" w:cs="Arabic Typesetting"/>
                <w:sz w:val="28"/>
                <w:szCs w:val="28"/>
                <w:rtl/>
                <w:lang w:bidi="ar-EG"/>
              </w:rPr>
              <w:t>خطر عدم الاستقرار السياسي في الدول الأعضاء مع وجود مخاطر أمنية شديدة وتدنّي مستوى الأمن مما قد يتسبب في إلغاء الأنشطة أو تأخر تقديم المساعدة التقنية، ومن ثمَّ تقليل قدرة البرنامج</w:t>
            </w:r>
            <w:r w:rsidRPr="00BE2585">
              <w:rPr>
                <w:rFonts w:ascii="Arabic Typesetting" w:hAnsi="Arabic Typesetting" w:cs="Arabic Typesetting" w:hint="cs"/>
                <w:sz w:val="28"/>
                <w:szCs w:val="28"/>
                <w:rtl/>
                <w:lang w:bidi="ar-EG"/>
              </w:rPr>
              <w:t> </w:t>
            </w:r>
            <w:r w:rsidRPr="00BE2585">
              <w:rPr>
                <w:rFonts w:ascii="Arabic Typesetting" w:hAnsi="Arabic Typesetting" w:cs="Arabic Typesetting"/>
                <w:sz w:val="28"/>
                <w:szCs w:val="28"/>
                <w:rtl/>
                <w:lang w:bidi="ar-EG"/>
              </w:rPr>
              <w:t>9 على تحقيق جميع نتائجه المرتقبة</w:t>
            </w:r>
          </w:p>
        </w:tc>
        <w:tc>
          <w:tcPr>
            <w:tcW w:w="2200" w:type="dxa"/>
            <w:tcBorders>
              <w:top w:val="single" w:sz="4" w:space="0" w:color="auto"/>
            </w:tcBorders>
            <w:shd w:val="clear" w:color="auto" w:fill="auto"/>
            <w:tcMar>
              <w:top w:w="113" w:type="dxa"/>
              <w:bottom w:w="113" w:type="dxa"/>
            </w:tcMar>
          </w:tcPr>
          <w:p w:rsidR="00BE2585" w:rsidRPr="00BE2585" w:rsidRDefault="00BE2585" w:rsidP="00BE2585">
            <w:pPr>
              <w:autoSpaceDE w:val="0"/>
              <w:autoSpaceDN w:val="0"/>
              <w:bidi/>
              <w:adjustRightInd w:val="0"/>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t>"1" إجراء تقييم للمخاطر حسب الاقتضاء، وصياغة خطط قطرية/أنشطة سنوية مع مراعاة هذا التقييم</w:t>
            </w:r>
          </w:p>
          <w:p w:rsidR="00660F20" w:rsidRDefault="00660F20" w:rsidP="00BE2585">
            <w:pPr>
              <w:autoSpaceDE w:val="0"/>
              <w:autoSpaceDN w:val="0"/>
              <w:bidi/>
              <w:adjustRightInd w:val="0"/>
              <w:rPr>
                <w:rFonts w:ascii="Arabic Typesetting" w:hAnsi="Arabic Typesetting" w:cs="Arabic Typesetting"/>
                <w:sz w:val="28"/>
                <w:szCs w:val="28"/>
                <w:rtl/>
                <w:lang w:bidi="ar-EG"/>
              </w:rPr>
            </w:pPr>
          </w:p>
          <w:p w:rsidR="00BE2585" w:rsidRPr="00BE2585" w:rsidRDefault="00BE2585" w:rsidP="00660F20">
            <w:pPr>
              <w:autoSpaceDE w:val="0"/>
              <w:autoSpaceDN w:val="0"/>
              <w:bidi/>
              <w:adjustRightInd w:val="0"/>
              <w:rPr>
                <w:rFonts w:ascii="Arabic Typesetting" w:hAnsi="Arabic Typesetting" w:cs="Arabic Typesetting"/>
                <w:sz w:val="28"/>
                <w:szCs w:val="28"/>
                <w:lang w:bidi="ar-EG"/>
              </w:rPr>
            </w:pPr>
            <w:r w:rsidRPr="00BE2585">
              <w:rPr>
                <w:rFonts w:ascii="Arabic Typesetting" w:hAnsi="Arabic Typesetting" w:cs="Arabic Typesetting"/>
                <w:sz w:val="28"/>
                <w:szCs w:val="28"/>
                <w:rtl/>
                <w:lang w:bidi="ar-EG"/>
              </w:rPr>
              <w:t>"2" الرصد المستمر مع مكتب الملكية الفكرية وأصحاب المصلحة لوضع خطط بديلة</w:t>
            </w:r>
          </w:p>
        </w:tc>
        <w:tc>
          <w:tcPr>
            <w:tcW w:w="2310" w:type="dxa"/>
            <w:tcBorders>
              <w:top w:val="single" w:sz="4" w:space="0" w:color="auto"/>
            </w:tcBorders>
          </w:tcPr>
          <w:p w:rsidR="00BE2585" w:rsidRPr="00BE2585" w:rsidRDefault="00BE2585" w:rsidP="00BE2585">
            <w:pPr>
              <w:autoSpaceDE w:val="0"/>
              <w:autoSpaceDN w:val="0"/>
              <w:bidi/>
              <w:adjustRightInd w:val="0"/>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تجسّد الخطر بسبب صعوبة الأوضاع الوطنية واستمرار التغييرات الهيكلية في مؤسسات الملكية الفكرية في بعض البلدان العربية. وكانت تدابير الحد من وطأة المخاطر ناجحة إلى حد ما في توفير خيارات بديلة لتقديم المساعدة التقنية بالتشاور مع السلطات المعنية.</w:t>
            </w:r>
          </w:p>
        </w:tc>
        <w:tc>
          <w:tcPr>
            <w:tcW w:w="2306" w:type="dxa"/>
            <w:tcBorders>
              <w:top w:val="single" w:sz="4" w:space="0" w:color="auto"/>
              <w:right w:val="single" w:sz="4" w:space="0" w:color="auto"/>
            </w:tcBorders>
          </w:tcPr>
          <w:p w:rsidR="00BE2585" w:rsidRPr="00BE2585" w:rsidRDefault="00BE2585" w:rsidP="00BE2585">
            <w:pPr>
              <w:bidi/>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لم تتمكّن إجراءات الحد من وطأة المخاطر من التصدي بشكل كامل لآثار الخطر، مما أدى إلى عدم تحقيق بعض الأهداف أو تحقيقها جزئيا، وإلى إرجاء و/أو إعادة تصميم مبادرات المساعدة التقنية.</w:t>
            </w:r>
          </w:p>
        </w:tc>
      </w:tr>
      <w:tr w:rsidR="00BE2585" w:rsidRPr="00BE2585" w:rsidTr="00D62C15">
        <w:trPr>
          <w:trHeight w:val="1332"/>
        </w:trPr>
        <w:tc>
          <w:tcPr>
            <w:tcW w:w="2420" w:type="dxa"/>
            <w:tcBorders>
              <w:left w:val="single" w:sz="4" w:space="0" w:color="auto"/>
              <w:bottom w:val="single" w:sz="4" w:space="0" w:color="auto"/>
            </w:tcBorders>
            <w:shd w:val="clear" w:color="auto" w:fill="auto"/>
            <w:tcMar>
              <w:top w:w="113" w:type="dxa"/>
              <w:bottom w:w="113" w:type="dxa"/>
            </w:tcMar>
          </w:tcPr>
          <w:p w:rsidR="00BE2585" w:rsidRPr="00BE2585" w:rsidRDefault="00BE2585" w:rsidP="00660F20">
            <w:pPr>
              <w:autoSpaceDE w:val="0"/>
              <w:autoSpaceDN w:val="0"/>
              <w:bidi/>
              <w:adjustRightInd w:val="0"/>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t xml:space="preserve">التغير السياسي الذي يؤدي إلى تغير سياسة الملكية الفكرية في البلد وفي الحكومات أو في الإدارة العليا لمكاتب الملكية الفكرية مما قد يتسبب في مراجعة خطط عمل البلدان المتأثرة، والحدّ من تقديم الخدمات أو تأخيرها، ومن ثمَّ التأثير </w:t>
            </w:r>
            <w:r w:rsidR="00660F20">
              <w:rPr>
                <w:rFonts w:ascii="Arabic Typesetting" w:hAnsi="Arabic Typesetting" w:cs="Arabic Typesetting" w:hint="cs"/>
                <w:sz w:val="28"/>
                <w:szCs w:val="28"/>
                <w:rtl/>
                <w:lang w:bidi="ar-EG"/>
              </w:rPr>
              <w:t>في</w:t>
            </w:r>
            <w:r w:rsidR="00660F20" w:rsidRPr="00BE2585">
              <w:rPr>
                <w:rFonts w:ascii="Arabic Typesetting" w:hAnsi="Arabic Typesetting" w:cs="Arabic Typesetting"/>
                <w:sz w:val="28"/>
                <w:szCs w:val="28"/>
                <w:rtl/>
                <w:lang w:bidi="ar-EG"/>
              </w:rPr>
              <w:t xml:space="preserve"> </w:t>
            </w:r>
            <w:r w:rsidRPr="00BE2585">
              <w:rPr>
                <w:rFonts w:ascii="Arabic Typesetting" w:hAnsi="Arabic Typesetting" w:cs="Arabic Typesetting"/>
                <w:sz w:val="28"/>
                <w:szCs w:val="28"/>
                <w:rtl/>
                <w:lang w:bidi="ar-EG"/>
              </w:rPr>
              <w:t>تحقيق النتائج المرتقبة</w:t>
            </w:r>
          </w:p>
        </w:tc>
        <w:tc>
          <w:tcPr>
            <w:tcW w:w="2200" w:type="dxa"/>
            <w:tcBorders>
              <w:bottom w:val="single" w:sz="4" w:space="0" w:color="auto"/>
            </w:tcBorders>
            <w:shd w:val="clear" w:color="auto" w:fill="auto"/>
            <w:tcMar>
              <w:top w:w="113" w:type="dxa"/>
              <w:bottom w:w="113" w:type="dxa"/>
            </w:tcMar>
          </w:tcPr>
          <w:p w:rsidR="00BE2585" w:rsidRPr="00BE2585" w:rsidRDefault="00BE2585" w:rsidP="00BE2585">
            <w:pPr>
              <w:autoSpaceDE w:val="0"/>
              <w:autoSpaceDN w:val="0"/>
              <w:bidi/>
              <w:adjustRightInd w:val="0"/>
              <w:rPr>
                <w:rFonts w:ascii="Arabic Typesetting" w:hAnsi="Arabic Typesetting" w:cs="Arabic Typesetting"/>
                <w:sz w:val="28"/>
                <w:szCs w:val="28"/>
                <w:rtl/>
                <w:lang w:bidi="ar-EG"/>
              </w:rPr>
            </w:pPr>
            <w:r w:rsidRPr="00BE2585">
              <w:rPr>
                <w:rFonts w:ascii="Arabic Typesetting" w:hAnsi="Arabic Typesetting" w:cs="Arabic Typesetting"/>
                <w:sz w:val="28"/>
                <w:szCs w:val="28"/>
                <w:rtl/>
                <w:lang w:bidi="ar-EG"/>
              </w:rPr>
              <w:t>"1" توخّي المرونة في إجراء تعديلات عرضية في خطط العمل لكل بلد على حدة</w:t>
            </w:r>
          </w:p>
          <w:p w:rsidR="00660F20" w:rsidRDefault="00660F20" w:rsidP="00BE2585">
            <w:pPr>
              <w:autoSpaceDE w:val="0"/>
              <w:autoSpaceDN w:val="0"/>
              <w:bidi/>
              <w:adjustRightInd w:val="0"/>
              <w:rPr>
                <w:rFonts w:ascii="Arabic Typesetting" w:hAnsi="Arabic Typesetting" w:cs="Arabic Typesetting"/>
                <w:sz w:val="28"/>
                <w:szCs w:val="28"/>
                <w:rtl/>
                <w:lang w:bidi="ar-EG"/>
              </w:rPr>
            </w:pPr>
          </w:p>
          <w:p w:rsidR="00BE2585" w:rsidRPr="00BE2585" w:rsidRDefault="00BE2585" w:rsidP="00660F20">
            <w:pPr>
              <w:autoSpaceDE w:val="0"/>
              <w:autoSpaceDN w:val="0"/>
              <w:bidi/>
              <w:adjustRightInd w:val="0"/>
              <w:rPr>
                <w:rFonts w:ascii="Arabic Typesetting" w:hAnsi="Arabic Typesetting" w:cs="Arabic Typesetting"/>
                <w:sz w:val="28"/>
                <w:szCs w:val="28"/>
                <w:lang w:bidi="ar-EG"/>
              </w:rPr>
            </w:pPr>
            <w:r w:rsidRPr="00BE2585">
              <w:rPr>
                <w:rFonts w:ascii="Arabic Typesetting" w:hAnsi="Arabic Typesetting" w:cs="Arabic Typesetting"/>
                <w:sz w:val="28"/>
                <w:szCs w:val="28"/>
                <w:rtl/>
                <w:lang w:bidi="ar-EG"/>
              </w:rPr>
              <w:t>"2" التشجيع على تحقيق توافق في الآراء بشأن خطط العمل واستراتيجيات الملكية الفكرية الوطنية وتسهيل ذلك</w:t>
            </w:r>
          </w:p>
        </w:tc>
        <w:tc>
          <w:tcPr>
            <w:tcW w:w="2310" w:type="dxa"/>
            <w:tcBorders>
              <w:bottom w:val="single" w:sz="4" w:space="0" w:color="auto"/>
            </w:tcBorders>
          </w:tcPr>
          <w:p w:rsidR="00BE2585" w:rsidRPr="00BE2585" w:rsidRDefault="00BE2585" w:rsidP="00BE2585">
            <w:pPr>
              <w:autoSpaceDE w:val="0"/>
              <w:autoSpaceDN w:val="0"/>
              <w:bidi/>
              <w:adjustRightInd w:val="0"/>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تجسّد الخطر في بعض البلدان. وتصدت تدابير الحد من وطأة المخاطر، بقدر كبير، للآثار السلبية المرتبطة بتلك المرونة ومكّنت زيادة الحوار مع المسؤولين المعيّنين حديثا من تسهيل التسويات اللازم إدخالها على الاستراتيجيات وخطط العمل الوطنية الخاصة بالملكية الفكرية.</w:t>
            </w:r>
          </w:p>
        </w:tc>
        <w:tc>
          <w:tcPr>
            <w:tcW w:w="2306" w:type="dxa"/>
            <w:tcBorders>
              <w:bottom w:val="single" w:sz="4" w:space="0" w:color="auto"/>
              <w:right w:val="single" w:sz="4" w:space="0" w:color="auto"/>
            </w:tcBorders>
          </w:tcPr>
          <w:p w:rsidR="00BE2585" w:rsidRPr="00BE2585" w:rsidRDefault="00BE2585" w:rsidP="00BE2585">
            <w:pPr>
              <w:bidi/>
              <w:rPr>
                <w:rFonts w:ascii="Arabic Typesetting" w:hAnsi="Arabic Typesetting" w:cs="Arabic Typesetting"/>
                <w:sz w:val="28"/>
                <w:szCs w:val="28"/>
                <w:lang w:bidi="ar-EG"/>
              </w:rPr>
            </w:pPr>
            <w:r w:rsidRPr="00BE2585">
              <w:rPr>
                <w:rFonts w:ascii="Arabic Typesetting" w:hAnsi="Arabic Typesetting" w:cs="Arabic Typesetting" w:hint="cs"/>
                <w:sz w:val="28"/>
                <w:szCs w:val="28"/>
                <w:rtl/>
                <w:lang w:bidi="ar-EG"/>
              </w:rPr>
              <w:t>تصدت إجراءات الحد من وطأة المخاطر، بقدر كبير، للأثر الواقع على أداء البرنامج.</w:t>
            </w:r>
          </w:p>
        </w:tc>
      </w:tr>
    </w:tbl>
    <w:p w:rsidR="00BE2585" w:rsidRPr="00BE2585" w:rsidRDefault="00BE2585" w:rsidP="00BE2585">
      <w:pPr>
        <w:keepNext/>
        <w:bidi/>
        <w:spacing w:before="120" w:after="120" w:line="340" w:lineRule="exact"/>
        <w:rPr>
          <w:rFonts w:ascii="Arabic Typesetting" w:hAnsi="Arabic Typesetting" w:cs="Arabic Typesetting"/>
          <w:sz w:val="34"/>
          <w:szCs w:val="34"/>
          <w:rtl/>
          <w:lang w:val="fr-CH"/>
        </w:rPr>
      </w:pPr>
      <w:r w:rsidRPr="00BE2585">
        <w:rPr>
          <w:rFonts w:ascii="Arabic Typesetting" w:hAnsi="Arabic Typesetting" w:cs="Arabic Typesetting" w:hint="cs"/>
          <w:sz w:val="34"/>
          <w:szCs w:val="34"/>
          <w:rtl/>
          <w:lang w:val="fr-CH"/>
        </w:rPr>
        <w:lastRenderedPageBreak/>
        <w:t>استخدام الموارد</w:t>
      </w:r>
    </w:p>
    <w:p w:rsidR="00BE2585" w:rsidRPr="00BE2585" w:rsidRDefault="00BE2585" w:rsidP="00E00E9F">
      <w:pPr>
        <w:keepNext/>
        <w:bidi/>
        <w:spacing w:line="340" w:lineRule="exact"/>
        <w:jc w:val="center"/>
        <w:rPr>
          <w:rFonts w:ascii="Arabic Typesetting" w:hAnsi="Arabic Typesetting" w:cs="Arabic Typesetting"/>
          <w:sz w:val="34"/>
          <w:szCs w:val="34"/>
          <w:rtl/>
          <w:lang w:bidi="ar-EG"/>
        </w:rPr>
      </w:pPr>
      <w:r w:rsidRPr="00BE2585">
        <w:rPr>
          <w:rFonts w:ascii="Arabic Typesetting" w:hAnsi="Arabic Typesetting" w:cs="Arabic Typesetting"/>
          <w:sz w:val="34"/>
          <w:szCs w:val="34"/>
          <w:rtl/>
          <w:lang w:bidi="ar-EG"/>
        </w:rPr>
        <w:t>الميزانية والنفقات الفعلية (بحسب النتائج)</w:t>
      </w:r>
    </w:p>
    <w:p w:rsidR="00BE2585" w:rsidRPr="00BE2585" w:rsidRDefault="00BE2585" w:rsidP="00E00E9F">
      <w:pPr>
        <w:keepNext/>
        <w:bidi/>
        <w:spacing w:after="120" w:line="340" w:lineRule="exact"/>
        <w:jc w:val="center"/>
        <w:rPr>
          <w:rFonts w:ascii="Arabic Typesetting" w:hAnsi="Arabic Typesetting" w:cs="Arabic Typesetting"/>
          <w:i/>
          <w:iCs/>
          <w:sz w:val="34"/>
          <w:szCs w:val="34"/>
          <w:rtl/>
          <w:lang w:bidi="ar-EG"/>
        </w:rPr>
      </w:pPr>
      <w:r w:rsidRPr="00BE2585">
        <w:rPr>
          <w:rFonts w:ascii="Arabic Typesetting" w:hAnsi="Arabic Typesetting" w:cs="Arabic Typesetting"/>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BE2585" w:rsidRPr="00BE2585" w:rsidTr="00D62C15">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BE2585" w:rsidRPr="00BE2585" w:rsidRDefault="00BE2585" w:rsidP="00660F20">
            <w:pPr>
              <w:keepNext/>
              <w:bidi/>
              <w:jc w:val="center"/>
              <w:rPr>
                <w:rFonts w:ascii="Arabic Typesetting" w:hAnsi="Arabic Typesetting" w:cs="Arabic Typesetting"/>
                <w:i/>
                <w:iCs/>
                <w:sz w:val="28"/>
                <w:szCs w:val="28"/>
              </w:rPr>
            </w:pPr>
            <w:r w:rsidRPr="00BE258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BE2585" w:rsidRPr="00BE2585" w:rsidRDefault="00BE2585" w:rsidP="00660F20">
            <w:pPr>
              <w:keepNext/>
              <w:bidi/>
              <w:jc w:val="center"/>
              <w:rPr>
                <w:rFonts w:ascii="Arabic Typesetting" w:hAnsi="Arabic Typesetting" w:cs="Arabic Typesetting"/>
                <w:i/>
                <w:iCs/>
                <w:sz w:val="28"/>
                <w:szCs w:val="28"/>
              </w:rPr>
            </w:pPr>
            <w:r w:rsidRPr="00BE2585">
              <w:rPr>
                <w:rFonts w:ascii="Arabic Typesetting" w:hAnsi="Arabic Typesetting" w:cs="Arabic Typesetting"/>
                <w:i/>
                <w:iCs/>
                <w:sz w:val="28"/>
                <w:szCs w:val="28"/>
                <w:rtl/>
              </w:rPr>
              <w:t xml:space="preserve">الميزانية المعتمدة </w:t>
            </w:r>
            <w:r w:rsidRPr="00BE2585">
              <w:rPr>
                <w:rFonts w:ascii="Arabic Typesetting" w:hAnsi="Arabic Typesetting" w:cs="Arabic Typesetting" w:hint="cs"/>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BE2585" w:rsidRPr="00BE2585" w:rsidRDefault="00BE2585" w:rsidP="00660F20">
            <w:pPr>
              <w:keepNext/>
              <w:bidi/>
              <w:jc w:val="center"/>
              <w:rPr>
                <w:rFonts w:ascii="Arabic Typesetting" w:hAnsi="Arabic Typesetting" w:cs="Arabic Typesetting"/>
                <w:i/>
                <w:iCs/>
                <w:sz w:val="28"/>
                <w:szCs w:val="28"/>
              </w:rPr>
            </w:pPr>
            <w:r w:rsidRPr="00BE2585">
              <w:rPr>
                <w:rFonts w:ascii="Arabic Typesetting" w:hAnsi="Arabic Typesetting" w:cs="Arabic Typesetting" w:hint="cs"/>
                <w:i/>
                <w:iCs/>
                <w:sz w:val="28"/>
                <w:szCs w:val="28"/>
                <w:rtl/>
              </w:rPr>
              <w:t>الميزانية النهائية</w:t>
            </w:r>
            <w:r w:rsidRPr="00BE2585">
              <w:rPr>
                <w:rFonts w:ascii="Arabic Typesetting" w:hAnsi="Arabic Typesetting" w:cs="Arabic Typesetting"/>
                <w:i/>
                <w:iCs/>
                <w:sz w:val="28"/>
                <w:szCs w:val="28"/>
                <w:rtl/>
              </w:rPr>
              <w:t xml:space="preserve"> بعد التحويلات</w:t>
            </w:r>
            <w:r w:rsidRPr="00BE2585">
              <w:rPr>
                <w:rFonts w:ascii="Arabic Typesetting" w:hAnsi="Arabic Typesetting" w:cs="Arabic Typesetting" w:hint="cs"/>
                <w:i/>
                <w:iCs/>
                <w:sz w:val="28"/>
                <w:szCs w:val="28"/>
                <w:rtl/>
              </w:rPr>
              <w:t xml:space="preserve"> 2014</w:t>
            </w:r>
            <w:r w:rsidRPr="00BE2585">
              <w:rPr>
                <w:rFonts w:ascii="Arabic Typesetting" w:hAnsi="Arabic Typesetting" w:cs="Arabic Typesetting"/>
                <w:i/>
                <w:iCs/>
                <w:sz w:val="28"/>
                <w:szCs w:val="28"/>
                <w:rtl/>
              </w:rPr>
              <w:t>/</w:t>
            </w:r>
            <w:r w:rsidRPr="00BE2585">
              <w:rPr>
                <w:rFonts w:ascii="Arabic Typesetting" w:hAnsi="Arabic Typesetting" w:cs="Arabic Typesetting" w:hint="cs"/>
                <w:i/>
                <w:iCs/>
                <w:sz w:val="28"/>
                <w:szCs w:val="28"/>
                <w:rtl/>
              </w:rPr>
              <w:t>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BE2585" w:rsidRPr="00BE2585" w:rsidRDefault="00BE2585" w:rsidP="00660F20">
            <w:pPr>
              <w:keepNext/>
              <w:bidi/>
              <w:jc w:val="center"/>
              <w:rPr>
                <w:rFonts w:ascii="Arabic Typesetting" w:hAnsi="Arabic Typesetting" w:cs="Arabic Typesetting"/>
                <w:i/>
                <w:iCs/>
                <w:sz w:val="28"/>
                <w:szCs w:val="28"/>
              </w:rPr>
            </w:pPr>
            <w:r w:rsidRPr="00BE2585">
              <w:rPr>
                <w:rFonts w:ascii="Arabic Typesetting" w:hAnsi="Arabic Typesetting" w:cs="Arabic Typesetting"/>
                <w:i/>
                <w:iCs/>
                <w:sz w:val="28"/>
                <w:szCs w:val="28"/>
                <w:rtl/>
              </w:rPr>
              <w:t xml:space="preserve">نفقات </w:t>
            </w:r>
            <w:r w:rsidRPr="00BE2585">
              <w:rPr>
                <w:rFonts w:ascii="Arabic Typesetting" w:hAnsi="Arabic Typesetting" w:cs="Arabic Typesetting" w:hint="cs"/>
                <w:i/>
                <w:iCs/>
                <w:sz w:val="28"/>
                <w:szCs w:val="28"/>
                <w:rtl/>
              </w:rPr>
              <w:t>2014</w:t>
            </w:r>
            <w:r w:rsidRPr="00BE2585">
              <w:rPr>
                <w:rFonts w:ascii="Arabic Typesetting" w:hAnsi="Arabic Typesetting" w:cs="Arabic Typesetting"/>
                <w:i/>
                <w:iCs/>
                <w:sz w:val="28"/>
                <w:szCs w:val="28"/>
                <w:rtl/>
              </w:rPr>
              <w:t>/</w:t>
            </w:r>
            <w:r w:rsidRPr="00BE2585">
              <w:rPr>
                <w:rFonts w:ascii="Arabic Typesetting" w:hAnsi="Arabic Typesetting" w:cs="Arabic Typesetting" w:hint="cs"/>
                <w:i/>
                <w:iCs/>
                <w:sz w:val="28"/>
                <w:szCs w:val="28"/>
                <w:rtl/>
              </w:rPr>
              <w:t>15</w:t>
            </w:r>
          </w:p>
        </w:tc>
      </w:tr>
      <w:tr w:rsidR="00BE2585" w:rsidRPr="00BE2585" w:rsidTr="00E00E9F">
        <w:trPr>
          <w:cantSplit/>
          <w:trHeight w:val="456"/>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E2585" w:rsidRPr="00BE2585" w:rsidRDefault="00BE2585" w:rsidP="00E00E9F">
            <w:pPr>
              <w:keepNext/>
              <w:bidi/>
              <w:spacing w:before="120"/>
              <w:rPr>
                <w:rFonts w:ascii="Arabic Typesetting" w:hAnsi="Arabic Typesetting" w:cs="Arabic Typesetting"/>
                <w:sz w:val="28"/>
                <w:szCs w:val="28"/>
                <w:rtl/>
              </w:rPr>
            </w:pPr>
            <w:r w:rsidRPr="00BE2585">
              <w:rPr>
                <w:rFonts w:ascii="Arabic Typesetting" w:hAnsi="Arabic Typesetting" w:cs="Arabic Typesetting"/>
                <w:sz w:val="28"/>
                <w:szCs w:val="28"/>
                <w:rtl/>
              </w:rPr>
              <w:t>ھ</w:t>
            </w:r>
            <w:r w:rsidRPr="00BE2585">
              <w:rPr>
                <w:rFonts w:ascii="Arabic Typesetting" w:hAnsi="Arabic Typesetting" w:cs="Arabic Typesetting" w:hint="cs"/>
                <w:sz w:val="28"/>
                <w:szCs w:val="28"/>
                <w:rtl/>
              </w:rPr>
              <w:t>2</w:t>
            </w:r>
            <w:r w:rsidRPr="00BE2585">
              <w:rPr>
                <w:rFonts w:ascii="Arabic Typesetting" w:hAnsi="Arabic Typesetting" w:cs="Arabic Typesetting"/>
                <w:sz w:val="28"/>
                <w:szCs w:val="28"/>
                <w:rtl/>
              </w:rPr>
              <w:t>.1</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keepNext/>
              <w:bidi/>
              <w:spacing w:before="120" w:after="120"/>
              <w:rPr>
                <w:rFonts w:ascii="Arabic Typesetting" w:hAnsi="Arabic Typesetting" w:cs="Arabic Typesetting"/>
                <w:sz w:val="28"/>
                <w:szCs w:val="28"/>
                <w:rtl/>
              </w:rPr>
            </w:pPr>
            <w:r w:rsidRPr="00BE2585">
              <w:rPr>
                <w:rFonts w:ascii="Arabic Typesetting" w:hAnsi="Arabic Typesetting" w:cs="Arabic Typesetting"/>
                <w:sz w:val="28"/>
                <w:szCs w:val="28"/>
                <w:rtl/>
              </w:rPr>
              <w:t>أطر تشريعية وتنظيمية وسياسية مناسبة ومتوازنة للملكية الفكرية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keepNext/>
              <w:bidi/>
              <w:spacing w:before="120" w:after="120"/>
              <w:jc w:val="right"/>
              <w:rPr>
                <w:rFonts w:ascii="Arabic Typesetting" w:hAnsi="Arabic Typesetting" w:cs="Arabic Typesetting"/>
                <w:sz w:val="28"/>
                <w:szCs w:val="28"/>
                <w:rtl/>
              </w:rPr>
            </w:pPr>
            <w:r w:rsidRPr="00BE2585">
              <w:rPr>
                <w:rFonts w:ascii="Arabic Typesetting" w:hAnsi="Arabic Typesetting" w:cs="Arabic Typesetting" w:hint="cs"/>
                <w:sz w:val="28"/>
                <w:szCs w:val="28"/>
                <w:rtl/>
              </w:rPr>
              <w:t>1,079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keepNext/>
              <w:bidi/>
              <w:spacing w:before="120" w:after="120"/>
              <w:jc w:val="right"/>
              <w:rPr>
                <w:rFonts w:ascii="Arabic Typesetting" w:hAnsi="Arabic Typesetting" w:cs="Arabic Typesetting"/>
                <w:sz w:val="28"/>
                <w:szCs w:val="28"/>
                <w:rtl/>
              </w:rPr>
            </w:pPr>
            <w:r w:rsidRPr="00BE2585">
              <w:rPr>
                <w:rFonts w:ascii="Arabic Typesetting" w:hAnsi="Arabic Typesetting" w:cs="Arabic Typesetting" w:hint="cs"/>
                <w:sz w:val="28"/>
                <w:szCs w:val="28"/>
                <w:rtl/>
              </w:rPr>
              <w:t>3,139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E2585" w:rsidRPr="00BE2585" w:rsidRDefault="00BE2585" w:rsidP="00E00E9F">
            <w:pPr>
              <w:keepNext/>
              <w:bidi/>
              <w:spacing w:before="120" w:after="120"/>
              <w:jc w:val="right"/>
              <w:rPr>
                <w:rFonts w:ascii="Arabic Typesetting" w:hAnsi="Arabic Typesetting" w:cs="Arabic Typesetting"/>
                <w:sz w:val="28"/>
                <w:szCs w:val="28"/>
                <w:rtl/>
              </w:rPr>
            </w:pPr>
            <w:r w:rsidRPr="00BE2585">
              <w:rPr>
                <w:rFonts w:ascii="Arabic Typesetting" w:hAnsi="Arabic Typesetting" w:cs="Arabic Typesetting" w:hint="cs"/>
                <w:sz w:val="28"/>
                <w:szCs w:val="28"/>
                <w:rtl/>
              </w:rPr>
              <w:t>2,626</w:t>
            </w:r>
          </w:p>
        </w:tc>
      </w:tr>
      <w:tr w:rsidR="00BE2585" w:rsidRPr="00BE2585" w:rsidTr="00E00E9F">
        <w:trPr>
          <w:cantSplit/>
          <w:trHeight w:val="59"/>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E2585" w:rsidRPr="00BE2585" w:rsidRDefault="00BE2585" w:rsidP="00E00E9F">
            <w:pPr>
              <w:keepNext/>
              <w:bidi/>
              <w:rPr>
                <w:rFonts w:ascii="Arabic Typesetting" w:hAnsi="Arabic Typesetting" w:cs="Arabic Typesetting"/>
                <w:sz w:val="28"/>
                <w:szCs w:val="28"/>
              </w:rPr>
            </w:pPr>
            <w:r w:rsidRPr="00BE2585">
              <w:rPr>
                <w:rFonts w:ascii="Arabic Typesetting" w:hAnsi="Arabic Typesetting" w:cs="Arabic Typesetting"/>
                <w:sz w:val="28"/>
                <w:szCs w:val="28"/>
                <w:rtl/>
              </w:rPr>
              <w:t>ھ</w:t>
            </w:r>
            <w:r w:rsidRPr="00BE2585">
              <w:rPr>
                <w:rFonts w:ascii="Arabic Typesetting" w:hAnsi="Arabic Typesetting" w:cs="Arabic Typesetting" w:hint="cs"/>
                <w:sz w:val="28"/>
                <w:szCs w:val="28"/>
                <w:rtl/>
              </w:rPr>
              <w:t>1</w:t>
            </w:r>
            <w:r w:rsidRPr="00BE2585">
              <w:rPr>
                <w:rFonts w:ascii="Arabic Typesetting" w:hAnsi="Arabic Typesetting" w:cs="Arabic Typesetting"/>
                <w:sz w:val="28"/>
                <w:szCs w:val="28"/>
                <w:rtl/>
              </w:rPr>
              <w:t>.</w:t>
            </w:r>
            <w:r w:rsidRPr="00BE2585">
              <w:rPr>
                <w:rFonts w:ascii="Arabic Typesetting" w:hAnsi="Arabic Typesetting" w:cs="Arabic Typesetting" w:hint="cs"/>
                <w:sz w:val="28"/>
                <w:szCs w:val="28"/>
                <w:rtl/>
              </w:rPr>
              <w:t>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0E3DA7" w:rsidP="00E00E9F">
            <w:pPr>
              <w:keepNext/>
              <w:bidi/>
              <w:spacing w:after="120"/>
              <w:rPr>
                <w:rFonts w:ascii="Arabic Typesetting" w:hAnsi="Arabic Typesetting" w:cs="Arabic Typesetting"/>
                <w:sz w:val="28"/>
                <w:szCs w:val="28"/>
              </w:rPr>
            </w:pPr>
            <w:r>
              <w:rPr>
                <w:rFonts w:ascii="Arabic Typesetting" w:hAnsi="Arabic Typesetting" w:cs="Arabic Typesetting"/>
                <w:sz w:val="28"/>
                <w:szCs w:val="28"/>
                <w:rtl/>
              </w:rPr>
              <w:t>استراتيجيات وخطط إنمائية وطنية بشأن الملكية الفكرية والابتكار تتماشى مع الأهداف الإنمائية الوطنية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keepNext/>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10,782</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keepNext/>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7,811</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E2585" w:rsidRPr="00BE2585" w:rsidRDefault="00BE2585" w:rsidP="00E00E9F">
            <w:pPr>
              <w:keepNext/>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6,902</w:t>
            </w:r>
          </w:p>
        </w:tc>
      </w:tr>
      <w:tr w:rsidR="00BE2585" w:rsidRPr="00BE2585" w:rsidTr="00E00E9F">
        <w:trPr>
          <w:cantSplit/>
          <w:trHeight w:val="59"/>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E2585" w:rsidRPr="00BE2585" w:rsidRDefault="00BE2585" w:rsidP="00BE2585">
            <w:pPr>
              <w:bidi/>
              <w:rPr>
                <w:rFonts w:ascii="Arabic Typesetting" w:hAnsi="Arabic Typesetting" w:cs="Arabic Typesetting"/>
                <w:sz w:val="28"/>
                <w:szCs w:val="28"/>
                <w:rtl/>
              </w:rPr>
            </w:pPr>
            <w:r w:rsidRPr="00BE2585">
              <w:rPr>
                <w:rFonts w:ascii="Arabic Typesetting" w:hAnsi="Arabic Typesetting" w:cs="Arabic Typesetting"/>
                <w:sz w:val="28"/>
                <w:szCs w:val="28"/>
                <w:rtl/>
              </w:rPr>
              <w:t>ھ</w:t>
            </w:r>
            <w:r w:rsidRPr="00BE2585">
              <w:rPr>
                <w:rFonts w:ascii="Arabic Typesetting" w:hAnsi="Arabic Typesetting" w:cs="Arabic Typesetting" w:hint="cs"/>
                <w:sz w:val="28"/>
                <w:szCs w:val="28"/>
                <w:rtl/>
              </w:rPr>
              <w:t>2</w:t>
            </w:r>
            <w:r w:rsidRPr="00BE2585">
              <w:rPr>
                <w:rFonts w:ascii="Arabic Typesetting" w:hAnsi="Arabic Typesetting" w:cs="Arabic Typesetting"/>
                <w:sz w:val="28"/>
                <w:szCs w:val="28"/>
                <w:rtl/>
              </w:rPr>
              <w:t>.</w:t>
            </w:r>
            <w:r w:rsidRPr="00BE2585">
              <w:rPr>
                <w:rFonts w:ascii="Arabic Typesetting" w:hAnsi="Arabic Typesetting" w:cs="Arabic Typesetting" w:hint="cs"/>
                <w:sz w:val="28"/>
                <w:szCs w:val="28"/>
                <w:rtl/>
              </w:rPr>
              <w:t>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rPr>
                <w:rFonts w:ascii="Arabic Typesetting" w:hAnsi="Arabic Typesetting" w:cs="Arabic Typesetting"/>
                <w:sz w:val="28"/>
                <w:szCs w:val="28"/>
              </w:rPr>
            </w:pPr>
            <w:r w:rsidRPr="00BE2585">
              <w:rPr>
                <w:rFonts w:ascii="Arabic Typesetting" w:hAnsi="Arabic Typesetting" w:cs="Arabic Typesetting"/>
                <w:sz w:val="28"/>
                <w:szCs w:val="28"/>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12,084</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9,643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9,063</w:t>
            </w:r>
          </w:p>
        </w:tc>
      </w:tr>
      <w:tr w:rsidR="00BE2585" w:rsidRPr="00BE2585" w:rsidTr="00E00E9F">
        <w:trPr>
          <w:cantSplit/>
          <w:trHeight w:val="59"/>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E2585" w:rsidRPr="00BE2585" w:rsidRDefault="00BE2585" w:rsidP="00BE2585">
            <w:pPr>
              <w:bidi/>
              <w:rPr>
                <w:rFonts w:ascii="Arabic Typesetting" w:hAnsi="Arabic Typesetting" w:cs="Arabic Typesetting"/>
                <w:sz w:val="28"/>
                <w:szCs w:val="28"/>
                <w:rtl/>
              </w:rPr>
            </w:pPr>
            <w:r w:rsidRPr="00BE2585">
              <w:rPr>
                <w:rFonts w:ascii="Arabic Typesetting" w:hAnsi="Arabic Typesetting" w:cs="Arabic Typesetting"/>
                <w:sz w:val="28"/>
                <w:szCs w:val="28"/>
                <w:rtl/>
              </w:rPr>
              <w:t>ھ</w:t>
            </w:r>
            <w:r w:rsidRPr="00BE2585">
              <w:rPr>
                <w:rFonts w:ascii="Arabic Typesetting" w:hAnsi="Arabic Typesetting" w:cs="Arabic Typesetting" w:hint="cs"/>
                <w:sz w:val="28"/>
                <w:szCs w:val="28"/>
                <w:rtl/>
              </w:rPr>
              <w:t>3</w:t>
            </w:r>
            <w:r w:rsidRPr="00BE2585">
              <w:rPr>
                <w:rFonts w:ascii="Arabic Typesetting" w:hAnsi="Arabic Typesetting" w:cs="Arabic Typesetting"/>
                <w:sz w:val="28"/>
                <w:szCs w:val="28"/>
                <w:rtl/>
              </w:rPr>
              <w:t>.3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rPr>
                <w:rFonts w:ascii="Arabic Typesetting" w:hAnsi="Arabic Typesetting" w:cs="Arabic Typesetting"/>
                <w:sz w:val="28"/>
                <w:szCs w:val="28"/>
              </w:rPr>
            </w:pPr>
            <w:r w:rsidRPr="00BE2585">
              <w:rPr>
                <w:rFonts w:ascii="Arabic Typesetting" w:hAnsi="Arabic Typesetting" w:cs="Arabic Typesetting"/>
                <w:sz w:val="28"/>
                <w:szCs w:val="28"/>
                <w:rtl/>
              </w:rPr>
              <w:t>تعميم توصيات جدول أعمال التنمية على عمل الويبو</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367</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312</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241</w:t>
            </w:r>
          </w:p>
        </w:tc>
      </w:tr>
      <w:tr w:rsidR="00BE2585" w:rsidRPr="00BE2585" w:rsidTr="00E00E9F">
        <w:trPr>
          <w:cantSplit/>
          <w:trHeight w:val="59"/>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E2585" w:rsidRPr="00BE2585" w:rsidRDefault="00BE2585" w:rsidP="00BE2585">
            <w:pPr>
              <w:bidi/>
              <w:rPr>
                <w:rFonts w:ascii="Arabic Typesetting" w:hAnsi="Arabic Typesetting" w:cs="Arabic Typesetting"/>
                <w:sz w:val="28"/>
                <w:szCs w:val="28"/>
              </w:rPr>
            </w:pPr>
            <w:r w:rsidRPr="00BE2585">
              <w:rPr>
                <w:rFonts w:ascii="Arabic Typesetting" w:hAnsi="Arabic Typesetting" w:cs="Arabic Typesetting"/>
                <w:sz w:val="28"/>
                <w:szCs w:val="28"/>
                <w:rtl/>
              </w:rPr>
              <w:t>ھ</w:t>
            </w:r>
            <w:r w:rsidRPr="00BE2585">
              <w:rPr>
                <w:rFonts w:ascii="Arabic Typesetting" w:hAnsi="Arabic Typesetting" w:cs="Arabic Typesetting" w:hint="cs"/>
                <w:sz w:val="28"/>
                <w:szCs w:val="28"/>
                <w:rtl/>
              </w:rPr>
              <w:t>4</w:t>
            </w:r>
            <w:r w:rsidRPr="00BE2585">
              <w:rPr>
                <w:rFonts w:ascii="Arabic Typesetting" w:hAnsi="Arabic Typesetting" w:cs="Arabic Typesetting"/>
                <w:sz w:val="28"/>
                <w:szCs w:val="28"/>
                <w:rtl/>
              </w:rPr>
              <w:t>.</w:t>
            </w:r>
            <w:r w:rsidRPr="00BE2585">
              <w:rPr>
                <w:rFonts w:ascii="Arabic Typesetting" w:hAnsi="Arabic Typesetting" w:cs="Arabic Typesetting" w:hint="cs"/>
                <w:sz w:val="28"/>
                <w:szCs w:val="28"/>
                <w:rtl/>
              </w:rPr>
              <w:t>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0432CA" w:rsidP="00E00E9F">
            <w:pPr>
              <w:bidi/>
              <w:spacing w:after="120"/>
              <w:rPr>
                <w:rFonts w:ascii="Arabic Typesetting" w:hAnsi="Arabic Typesetting" w:cs="Arabic Typesetting"/>
                <w:sz w:val="28"/>
                <w:szCs w:val="28"/>
              </w:rPr>
            </w:pPr>
            <w:r>
              <w:rPr>
                <w:rFonts w:ascii="Arabic Typesetting" w:hAnsi="Arabic Typesetting" w:cs="Arabic Typesetting"/>
                <w:sz w:val="28"/>
                <w:szCs w:val="28"/>
                <w:rtl/>
              </w:rPr>
              <w:t>آليات وبرامج تعاونية معزّزة ومكيّفة حسب احتياجات البلدان النامية والبلدان الأقل نموا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4,655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4,293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4,366</w:t>
            </w:r>
          </w:p>
        </w:tc>
      </w:tr>
      <w:tr w:rsidR="00BE2585" w:rsidRPr="00BE2585" w:rsidTr="00E00E9F">
        <w:trPr>
          <w:cantSplit/>
          <w:trHeight w:val="59"/>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E2585" w:rsidRPr="00BE2585" w:rsidRDefault="00BE2585" w:rsidP="00BE2585">
            <w:pPr>
              <w:bidi/>
              <w:rPr>
                <w:rFonts w:ascii="Arabic Typesetting" w:hAnsi="Arabic Typesetting" w:cs="Arabic Typesetting"/>
                <w:sz w:val="28"/>
                <w:szCs w:val="28"/>
                <w:rtl/>
              </w:rPr>
            </w:pPr>
            <w:r w:rsidRPr="00BE2585">
              <w:rPr>
                <w:rFonts w:ascii="Arabic Typesetting" w:hAnsi="Arabic Typesetting" w:cs="Arabic Typesetting"/>
                <w:sz w:val="28"/>
                <w:szCs w:val="28"/>
                <w:rtl/>
              </w:rPr>
              <w:t>ھ</w:t>
            </w:r>
            <w:r w:rsidRPr="00BE2585">
              <w:rPr>
                <w:rFonts w:ascii="Arabic Typesetting" w:hAnsi="Arabic Typesetting" w:cs="Arabic Typesetting" w:hint="cs"/>
                <w:sz w:val="28"/>
                <w:szCs w:val="28"/>
                <w:rtl/>
              </w:rPr>
              <w:t>2</w:t>
            </w:r>
            <w:r w:rsidRPr="00BE2585">
              <w:rPr>
                <w:rFonts w:ascii="Arabic Typesetting" w:hAnsi="Arabic Typesetting" w:cs="Arabic Typesetting"/>
                <w:sz w:val="28"/>
                <w:szCs w:val="28"/>
                <w:rtl/>
              </w:rPr>
              <w:t>.</w:t>
            </w:r>
            <w:r w:rsidRPr="00BE2585">
              <w:rPr>
                <w:rFonts w:ascii="Arabic Typesetting" w:hAnsi="Arabic Typesetting" w:cs="Arabic Typesetting" w:hint="cs"/>
                <w:sz w:val="28"/>
                <w:szCs w:val="28"/>
                <w:rtl/>
              </w:rPr>
              <w:t>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rPr>
                <w:rFonts w:ascii="Arabic Typesetting" w:hAnsi="Arabic Typesetting" w:cs="Arabic Typesetting"/>
                <w:sz w:val="28"/>
                <w:szCs w:val="28"/>
                <w:rtl/>
              </w:rPr>
            </w:pPr>
            <w:r w:rsidRPr="00BE2585">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965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2,309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2,280</w:t>
            </w:r>
          </w:p>
        </w:tc>
      </w:tr>
      <w:tr w:rsidR="00BE2585" w:rsidRPr="00BE2585" w:rsidTr="00E00E9F">
        <w:trPr>
          <w:cantSplit/>
          <w:trHeight w:val="59"/>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E2585" w:rsidRPr="00BE2585" w:rsidRDefault="00BE2585" w:rsidP="00BE2585">
            <w:pPr>
              <w:bidi/>
              <w:rPr>
                <w:rFonts w:ascii="Arabic Typesetting" w:hAnsi="Arabic Typesetting" w:cs="Arabic Typesetting"/>
                <w:sz w:val="28"/>
                <w:szCs w:val="28"/>
                <w:rtl/>
              </w:rPr>
            </w:pPr>
            <w:r w:rsidRPr="00BE2585">
              <w:rPr>
                <w:rFonts w:ascii="Arabic Typesetting" w:hAnsi="Arabic Typesetting" w:cs="Arabic Typesetting"/>
                <w:sz w:val="28"/>
                <w:szCs w:val="28"/>
                <w:rtl/>
              </w:rPr>
              <w:t>ھ</w:t>
            </w:r>
            <w:r w:rsidRPr="00BE2585">
              <w:rPr>
                <w:rFonts w:ascii="Arabic Typesetting" w:hAnsi="Arabic Typesetting" w:cs="Arabic Typesetting" w:hint="cs"/>
                <w:sz w:val="28"/>
                <w:szCs w:val="28"/>
                <w:rtl/>
              </w:rPr>
              <w:t>4</w:t>
            </w:r>
            <w:r w:rsidRPr="00BE2585">
              <w:rPr>
                <w:rFonts w:ascii="Arabic Typesetting" w:hAnsi="Arabic Typesetting" w:cs="Arabic Typesetting"/>
                <w:sz w:val="28"/>
                <w:szCs w:val="28"/>
                <w:rtl/>
              </w:rPr>
              <w:t>.</w:t>
            </w:r>
            <w:r w:rsidRPr="00BE2585">
              <w:rPr>
                <w:rFonts w:ascii="Arabic Typesetting" w:hAnsi="Arabic Typesetting" w:cs="Arabic Typesetting" w:hint="cs"/>
                <w:sz w:val="28"/>
                <w:szCs w:val="28"/>
                <w:rtl/>
              </w:rPr>
              <w:t>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0432CA" w:rsidP="00E00E9F">
            <w:pPr>
              <w:bidi/>
              <w:spacing w:after="120"/>
              <w:rPr>
                <w:rFonts w:ascii="Arabic Typesetting" w:hAnsi="Arabic Typesetting" w:cs="Arabic Typesetting"/>
                <w:sz w:val="28"/>
                <w:szCs w:val="28"/>
                <w:rtl/>
              </w:rPr>
            </w:pPr>
            <w:r>
              <w:rPr>
                <w:rFonts w:ascii="Arabic Typesetting" w:hAnsi="Arabic Typesetting" w:cs="Arabic Typesetting"/>
                <w:sz w:val="28"/>
                <w:szCs w:val="28"/>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2,393</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3,411</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3,127</w:t>
            </w:r>
          </w:p>
        </w:tc>
      </w:tr>
      <w:tr w:rsidR="00BE2585" w:rsidRPr="00BE2585" w:rsidTr="00D62C15">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E2585" w:rsidRPr="00BE2585" w:rsidRDefault="00BE2585" w:rsidP="00BE2585">
            <w:pPr>
              <w:bidi/>
              <w:rPr>
                <w:rFonts w:ascii="Arabic Typesetting" w:hAnsi="Arabic Typesetting" w:cs="Arabic Typesetting"/>
                <w:sz w:val="28"/>
                <w:szCs w:val="28"/>
                <w:rtl/>
              </w:rPr>
            </w:pPr>
            <w:r w:rsidRPr="00BE2585">
              <w:rPr>
                <w:rFonts w:ascii="Arabic Typesetting" w:hAnsi="Arabic Typesetting" w:cs="Arabic Typesetting"/>
                <w:sz w:val="28"/>
                <w:szCs w:val="28"/>
                <w:rtl/>
              </w:rPr>
              <w:t>ھ</w:t>
            </w:r>
            <w:r w:rsidRPr="00BE2585">
              <w:rPr>
                <w:rFonts w:ascii="Arabic Typesetting" w:hAnsi="Arabic Typesetting" w:cs="Arabic Typesetting" w:hint="cs"/>
                <w:sz w:val="28"/>
                <w:szCs w:val="28"/>
                <w:rtl/>
              </w:rPr>
              <w:t>5</w:t>
            </w:r>
            <w:r w:rsidRPr="00BE2585">
              <w:rPr>
                <w:rFonts w:ascii="Arabic Typesetting" w:hAnsi="Arabic Typesetting" w:cs="Arabic Typesetting"/>
                <w:sz w:val="28"/>
                <w:szCs w:val="28"/>
                <w:rtl/>
              </w:rPr>
              <w:t>.</w:t>
            </w:r>
            <w:r w:rsidRPr="00BE2585">
              <w:rPr>
                <w:rFonts w:ascii="Arabic Typesetting" w:hAnsi="Arabic Typesetting" w:cs="Arabic Typesetting" w:hint="cs"/>
                <w:sz w:val="28"/>
                <w:szCs w:val="28"/>
                <w:rtl/>
              </w:rPr>
              <w:t>8</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E2585" w:rsidRPr="00AD0EB5" w:rsidRDefault="00AD0EB5" w:rsidP="00E00E9F">
            <w:pPr>
              <w:bidi/>
              <w:spacing w:after="120"/>
              <w:rPr>
                <w:rFonts w:ascii="Arabic Typesetting" w:hAnsi="Arabic Typesetting" w:cs="Arabic Typesetting"/>
                <w:sz w:val="28"/>
                <w:szCs w:val="28"/>
                <w:rtl/>
              </w:rPr>
            </w:pPr>
            <w:r>
              <w:rPr>
                <w:rFonts w:ascii="Arabic Typesetting" w:hAnsi="Arabic Typesetting" w:cs="Arabic Typesetting"/>
                <w:sz w:val="28"/>
                <w:szCs w:val="28"/>
                <w:rtl/>
              </w:rPr>
              <w:t>تفاعل الويبو وتشاركها بفعالية مع مسارات ومفاوضات الأمم المتحدة وسائر المنظمات الحكومية الدولية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566</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E2585" w:rsidRPr="00BE2585" w:rsidRDefault="00BE2585" w:rsidP="00E00E9F">
            <w:pPr>
              <w:bidi/>
              <w:spacing w:after="120"/>
              <w:jc w:val="right"/>
              <w:rPr>
                <w:rFonts w:ascii="Arabic Typesetting" w:hAnsi="Arabic Typesetting" w:cs="Arabic Typesetting"/>
                <w:sz w:val="28"/>
                <w:szCs w:val="28"/>
              </w:rPr>
            </w:pPr>
            <w:r w:rsidRPr="00BE2585">
              <w:rPr>
                <w:rFonts w:ascii="Arabic Typesetting" w:hAnsi="Arabic Typesetting" w:cs="Arabic Typesetting" w:hint="cs"/>
                <w:sz w:val="28"/>
                <w:szCs w:val="28"/>
                <w:rtl/>
              </w:rPr>
              <w:t>463</w:t>
            </w:r>
          </w:p>
        </w:tc>
      </w:tr>
      <w:tr w:rsidR="00BE2585" w:rsidRPr="00BE2585" w:rsidTr="00D62C15">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BE2585" w:rsidRPr="00BE2585" w:rsidRDefault="00BE2585" w:rsidP="00BE2585">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BE2585" w:rsidRPr="00BE2585" w:rsidRDefault="00BE2585" w:rsidP="00BE2585">
            <w:pPr>
              <w:bidi/>
              <w:rPr>
                <w:rFonts w:ascii="Arabic Typesetting" w:hAnsi="Arabic Typesetting" w:cs="Arabic Typesetting"/>
                <w:b/>
                <w:bCs/>
                <w:sz w:val="28"/>
                <w:szCs w:val="28"/>
              </w:rPr>
            </w:pPr>
            <w:r w:rsidRPr="00BE258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BE2585" w:rsidRPr="00BE2585" w:rsidRDefault="00BE2585" w:rsidP="00BE2585">
            <w:pPr>
              <w:rPr>
                <w:rFonts w:ascii="Arabic Typesetting" w:hAnsi="Arabic Typesetting" w:cs="Arabic Typesetting"/>
                <w:b/>
                <w:bCs/>
                <w:sz w:val="28"/>
                <w:szCs w:val="28"/>
              </w:rPr>
            </w:pPr>
            <w:r w:rsidRPr="00BE2585">
              <w:rPr>
                <w:rFonts w:ascii="Arabic Typesetting" w:hAnsi="Arabic Typesetting" w:cs="Arabic Typesetting" w:hint="cs"/>
                <w:b/>
                <w:bCs/>
                <w:sz w:val="28"/>
                <w:szCs w:val="28"/>
                <w:rtl/>
              </w:rPr>
              <w:t>32,325</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BE2585" w:rsidRPr="00BE2585" w:rsidRDefault="00BE2585" w:rsidP="00BE2585">
            <w:pPr>
              <w:rPr>
                <w:rFonts w:ascii="Arabic Typesetting" w:hAnsi="Arabic Typesetting" w:cs="Arabic Typesetting"/>
                <w:b/>
                <w:bCs/>
                <w:sz w:val="28"/>
                <w:szCs w:val="28"/>
              </w:rPr>
            </w:pPr>
            <w:r w:rsidRPr="00BE2585">
              <w:rPr>
                <w:rFonts w:ascii="Arabic Typesetting" w:hAnsi="Arabic Typesetting" w:cs="Arabic Typesetting" w:hint="cs"/>
                <w:b/>
                <w:bCs/>
                <w:sz w:val="28"/>
                <w:szCs w:val="28"/>
                <w:rtl/>
              </w:rPr>
              <w:t>31,485</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BE2585" w:rsidRPr="00BE2585" w:rsidRDefault="00BE2585" w:rsidP="00BE2585">
            <w:pPr>
              <w:rPr>
                <w:rFonts w:ascii="Arabic Typesetting" w:hAnsi="Arabic Typesetting" w:cs="Arabic Typesetting"/>
                <w:b/>
                <w:bCs/>
                <w:sz w:val="28"/>
                <w:szCs w:val="28"/>
              </w:rPr>
            </w:pPr>
            <w:r w:rsidRPr="00BE2585">
              <w:rPr>
                <w:rFonts w:ascii="Arabic Typesetting" w:hAnsi="Arabic Typesetting" w:cs="Arabic Typesetting" w:hint="cs"/>
                <w:b/>
                <w:bCs/>
                <w:sz w:val="28"/>
                <w:szCs w:val="28"/>
                <w:rtl/>
              </w:rPr>
              <w:t>29,067</w:t>
            </w:r>
          </w:p>
        </w:tc>
      </w:tr>
    </w:tbl>
    <w:p w:rsidR="00BE2585" w:rsidRPr="00BE2585" w:rsidRDefault="00BE2585" w:rsidP="00BE2585">
      <w:pPr>
        <w:keepNext/>
        <w:bidi/>
        <w:spacing w:before="240" w:line="340" w:lineRule="exact"/>
        <w:jc w:val="center"/>
        <w:rPr>
          <w:rFonts w:ascii="Arabic Typesetting" w:hAnsi="Arabic Typesetting" w:cs="Arabic Typesetting"/>
          <w:sz w:val="34"/>
          <w:szCs w:val="34"/>
          <w:rtl/>
          <w:lang w:bidi="ar-EG"/>
        </w:rPr>
      </w:pPr>
      <w:r w:rsidRPr="00BE2585">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BE2585" w:rsidRPr="00BE2585" w:rsidRDefault="00BE2585" w:rsidP="00BE2585">
      <w:pPr>
        <w:keepNext/>
        <w:bidi/>
        <w:spacing w:after="120"/>
        <w:jc w:val="center"/>
        <w:rPr>
          <w:rFonts w:ascii="Arabic Typesetting" w:hAnsi="Arabic Typesetting" w:cs="Arabic Typesetting"/>
          <w:sz w:val="34"/>
          <w:szCs w:val="34"/>
          <w:rtl/>
          <w:lang w:bidi="ar-EG"/>
        </w:rPr>
      </w:pPr>
      <w:r w:rsidRPr="00BE2585">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BE2585" w:rsidRPr="00BE2585" w:rsidTr="00D62C15">
        <w:trPr>
          <w:cantSplit/>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BE2585" w:rsidRPr="00BE2585" w:rsidRDefault="00BE2585" w:rsidP="00BE2585">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BE2585" w:rsidRPr="00BE2585" w:rsidRDefault="00BE2585" w:rsidP="00BE2585">
            <w:pPr>
              <w:keepNext/>
              <w:bidi/>
              <w:jc w:val="center"/>
              <w:rPr>
                <w:rFonts w:ascii="Arabic Typesetting" w:hAnsi="Arabic Typesetting" w:cs="Arabic Typesetting"/>
                <w:b/>
                <w:bCs/>
                <w:i/>
                <w:iCs/>
                <w:sz w:val="28"/>
                <w:szCs w:val="28"/>
              </w:rPr>
            </w:pPr>
            <w:r w:rsidRPr="00BE2585">
              <w:rPr>
                <w:rFonts w:ascii="Arabic Typesetting" w:hAnsi="Arabic Typesetting" w:cs="Arabic Typesetting"/>
                <w:b/>
                <w:bCs/>
                <w:i/>
                <w:iCs/>
                <w:sz w:val="28"/>
                <w:szCs w:val="28"/>
                <w:rtl/>
              </w:rPr>
              <w:t xml:space="preserve">الميزانية المعتمدة </w:t>
            </w:r>
            <w:r w:rsidRPr="00BE2585">
              <w:rPr>
                <w:rFonts w:ascii="Arabic Typesetting" w:hAnsi="Arabic Typesetting" w:cs="Arabic Typesetting" w:hint="cs"/>
                <w:b/>
                <w:bCs/>
                <w:i/>
                <w:iCs/>
                <w:sz w:val="28"/>
                <w:szCs w:val="28"/>
                <w:rtl/>
              </w:rPr>
              <w:t>2014</w:t>
            </w:r>
            <w:r w:rsidRPr="00BE2585">
              <w:rPr>
                <w:rFonts w:ascii="Arabic Typesetting" w:hAnsi="Arabic Typesetting" w:cs="Arabic Typesetting"/>
                <w:b/>
                <w:bCs/>
                <w:i/>
                <w:iCs/>
                <w:sz w:val="28"/>
                <w:szCs w:val="28"/>
                <w:rtl/>
              </w:rPr>
              <w:t>/</w:t>
            </w:r>
            <w:r w:rsidRPr="00BE2585">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BE2585" w:rsidRPr="00BE2585" w:rsidRDefault="00BE2585" w:rsidP="00BE2585">
            <w:pPr>
              <w:keepNext/>
              <w:bidi/>
              <w:jc w:val="center"/>
              <w:rPr>
                <w:rFonts w:ascii="Arabic Typesetting" w:hAnsi="Arabic Typesetting" w:cs="Arabic Typesetting"/>
                <w:b/>
                <w:bCs/>
                <w:i/>
                <w:iCs/>
                <w:sz w:val="28"/>
                <w:szCs w:val="28"/>
              </w:rPr>
            </w:pPr>
            <w:r w:rsidRPr="00BE2585">
              <w:rPr>
                <w:rFonts w:ascii="Arabic Typesetting" w:hAnsi="Arabic Typesetting" w:cs="Arabic Typesetting" w:hint="cs"/>
                <w:b/>
                <w:bCs/>
                <w:i/>
                <w:iCs/>
                <w:sz w:val="28"/>
                <w:szCs w:val="28"/>
                <w:rtl/>
              </w:rPr>
              <w:t>الميزانية النهائية</w:t>
            </w:r>
            <w:r w:rsidRPr="00BE2585">
              <w:rPr>
                <w:rFonts w:ascii="Arabic Typesetting" w:hAnsi="Arabic Typesetting" w:cs="Arabic Typesetting"/>
                <w:b/>
                <w:bCs/>
                <w:i/>
                <w:iCs/>
                <w:sz w:val="28"/>
                <w:szCs w:val="28"/>
                <w:rtl/>
              </w:rPr>
              <w:t xml:space="preserve"> بعد التحويلات</w:t>
            </w:r>
            <w:r w:rsidRPr="00BE2585">
              <w:rPr>
                <w:rFonts w:ascii="Arabic Typesetting" w:hAnsi="Arabic Typesetting" w:cs="Arabic Typesetting" w:hint="cs"/>
                <w:b/>
                <w:bCs/>
                <w:i/>
                <w:iCs/>
                <w:sz w:val="28"/>
                <w:szCs w:val="28"/>
                <w:rtl/>
              </w:rPr>
              <w:t xml:space="preserve"> 2014</w:t>
            </w:r>
            <w:r w:rsidRPr="00BE2585">
              <w:rPr>
                <w:rFonts w:ascii="Arabic Typesetting" w:hAnsi="Arabic Typesetting" w:cs="Arabic Typesetting"/>
                <w:b/>
                <w:bCs/>
                <w:i/>
                <w:iCs/>
                <w:sz w:val="28"/>
                <w:szCs w:val="28"/>
                <w:rtl/>
              </w:rPr>
              <w:t>/</w:t>
            </w:r>
            <w:r w:rsidRPr="00BE2585">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BE2585" w:rsidRPr="00BE2585" w:rsidRDefault="00BE2585" w:rsidP="00BE2585">
            <w:pPr>
              <w:keepNext/>
              <w:bidi/>
              <w:jc w:val="center"/>
              <w:rPr>
                <w:rFonts w:ascii="Arabic Typesetting" w:hAnsi="Arabic Typesetting" w:cs="Arabic Typesetting"/>
                <w:b/>
                <w:bCs/>
                <w:i/>
                <w:iCs/>
                <w:sz w:val="28"/>
                <w:szCs w:val="28"/>
              </w:rPr>
            </w:pPr>
            <w:r w:rsidRPr="00BE2585">
              <w:rPr>
                <w:rFonts w:ascii="Arabic Typesetting" w:hAnsi="Arabic Typesetting" w:cs="Arabic Typesetting"/>
                <w:b/>
                <w:bCs/>
                <w:i/>
                <w:iCs/>
                <w:sz w:val="28"/>
                <w:szCs w:val="28"/>
                <w:rtl/>
              </w:rPr>
              <w:t xml:space="preserve">نفقات </w:t>
            </w:r>
            <w:r w:rsidRPr="00BE2585">
              <w:rPr>
                <w:rFonts w:ascii="Arabic Typesetting" w:hAnsi="Arabic Typesetting" w:cs="Arabic Typesetting" w:hint="cs"/>
                <w:b/>
                <w:bCs/>
                <w:i/>
                <w:iCs/>
                <w:sz w:val="28"/>
                <w:szCs w:val="28"/>
                <w:rtl/>
              </w:rPr>
              <w:t>2014</w:t>
            </w:r>
            <w:r w:rsidRPr="00BE2585">
              <w:rPr>
                <w:rFonts w:ascii="Arabic Typesetting" w:hAnsi="Arabic Typesetting" w:cs="Arabic Typesetting"/>
                <w:b/>
                <w:bCs/>
                <w:i/>
                <w:iCs/>
                <w:sz w:val="28"/>
                <w:szCs w:val="28"/>
                <w:rtl/>
              </w:rPr>
              <w:t>/</w:t>
            </w:r>
            <w:r w:rsidRPr="00BE2585">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BE2585" w:rsidRPr="00BE2585" w:rsidRDefault="00BE2585" w:rsidP="00BE2585">
            <w:pPr>
              <w:keepNext/>
              <w:bidi/>
              <w:jc w:val="center"/>
              <w:rPr>
                <w:rFonts w:ascii="Arabic Typesetting" w:hAnsi="Arabic Typesetting" w:cs="Arabic Typesetting"/>
                <w:b/>
                <w:bCs/>
                <w:i/>
                <w:iCs/>
                <w:sz w:val="28"/>
                <w:szCs w:val="28"/>
              </w:rPr>
            </w:pPr>
            <w:r w:rsidRPr="00BE2585">
              <w:rPr>
                <w:rFonts w:ascii="Arabic Typesetting" w:hAnsi="Arabic Typesetting" w:cs="Arabic Typesetting"/>
                <w:b/>
                <w:bCs/>
                <w:i/>
                <w:iCs/>
                <w:sz w:val="28"/>
                <w:szCs w:val="28"/>
                <w:rtl/>
              </w:rPr>
              <w:t xml:space="preserve">نسبة </w:t>
            </w:r>
            <w:r w:rsidRPr="00BE2585">
              <w:rPr>
                <w:rFonts w:ascii="Arabic Typesetting" w:hAnsi="Arabic Typesetting" w:cs="Arabic Typesetting" w:hint="cs"/>
                <w:b/>
                <w:bCs/>
                <w:i/>
                <w:iCs/>
                <w:sz w:val="28"/>
                <w:szCs w:val="28"/>
                <w:rtl/>
              </w:rPr>
              <w:t>الاستخدام</w:t>
            </w:r>
            <w:r w:rsidRPr="00BE2585">
              <w:rPr>
                <w:rFonts w:ascii="Arabic Typesetting" w:hAnsi="Arabic Typesetting" w:cs="Arabic Typesetting"/>
                <w:b/>
                <w:bCs/>
                <w:i/>
                <w:iCs/>
                <w:sz w:val="28"/>
                <w:szCs w:val="28"/>
                <w:rtl/>
              </w:rPr>
              <w:t xml:space="preserve"> (%)</w:t>
            </w:r>
          </w:p>
        </w:tc>
      </w:tr>
      <w:tr w:rsidR="00BE2585" w:rsidRPr="00BE2585" w:rsidTr="00D62C1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BE2585" w:rsidRPr="00BE2585" w:rsidRDefault="00BE2585" w:rsidP="00BE2585">
            <w:pPr>
              <w:bidi/>
              <w:rPr>
                <w:rFonts w:ascii="Arabic Typesetting" w:hAnsi="Arabic Typesetting" w:cs="Arabic Typesetting"/>
                <w:sz w:val="28"/>
                <w:szCs w:val="28"/>
              </w:rPr>
            </w:pPr>
            <w:r w:rsidRPr="00BE258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sz w:val="28"/>
                <w:szCs w:val="28"/>
              </w:rPr>
            </w:pPr>
            <w:r w:rsidRPr="00BE2585">
              <w:rPr>
                <w:rFonts w:ascii="Arabic Typesetting" w:hAnsi="Arabic Typesetting" w:cs="Arabic Typesetting" w:hint="cs"/>
                <w:sz w:val="28"/>
                <w:szCs w:val="28"/>
                <w:rtl/>
              </w:rPr>
              <w:t>23,563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sz w:val="28"/>
                <w:szCs w:val="28"/>
              </w:rPr>
            </w:pPr>
            <w:r w:rsidRPr="00BE2585">
              <w:rPr>
                <w:rFonts w:ascii="Arabic Typesetting" w:hAnsi="Arabic Typesetting" w:cs="Arabic Typesetting" w:hint="cs"/>
                <w:sz w:val="28"/>
                <w:szCs w:val="28"/>
                <w:rtl/>
              </w:rPr>
              <w:t>23,030</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sz w:val="28"/>
                <w:szCs w:val="28"/>
              </w:rPr>
            </w:pPr>
            <w:r w:rsidRPr="00BE2585">
              <w:rPr>
                <w:rFonts w:ascii="Arabic Typesetting" w:hAnsi="Arabic Typesetting" w:cs="Arabic Typesetting" w:hint="cs"/>
                <w:sz w:val="28"/>
                <w:szCs w:val="28"/>
                <w:rtl/>
              </w:rPr>
              <w:t>22,459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sz w:val="28"/>
                <w:szCs w:val="28"/>
              </w:rPr>
            </w:pPr>
            <w:r w:rsidRPr="00BE2585">
              <w:rPr>
                <w:rFonts w:ascii="Arabic Typesetting" w:hAnsi="Arabic Typesetting" w:cs="Arabic Typesetting" w:hint="cs"/>
                <w:sz w:val="28"/>
                <w:szCs w:val="28"/>
                <w:rtl/>
              </w:rPr>
              <w:t>98%</w:t>
            </w:r>
          </w:p>
        </w:tc>
      </w:tr>
      <w:tr w:rsidR="00BE2585" w:rsidRPr="00BE2585" w:rsidTr="00D62C1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BE2585" w:rsidRPr="00BE2585" w:rsidRDefault="00BE2585" w:rsidP="00BE2585">
            <w:pPr>
              <w:bidi/>
              <w:rPr>
                <w:rFonts w:ascii="Arabic Typesetting" w:hAnsi="Arabic Typesetting" w:cs="Arabic Typesetting"/>
                <w:sz w:val="28"/>
                <w:szCs w:val="28"/>
              </w:rPr>
            </w:pPr>
            <w:r w:rsidRPr="00BE258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sz w:val="28"/>
                <w:szCs w:val="28"/>
              </w:rPr>
            </w:pPr>
            <w:r w:rsidRPr="00BE2585">
              <w:rPr>
                <w:rFonts w:ascii="Arabic Typesetting" w:hAnsi="Arabic Typesetting" w:cs="Arabic Typesetting" w:hint="cs"/>
                <w:sz w:val="28"/>
                <w:szCs w:val="28"/>
                <w:rtl/>
              </w:rPr>
              <w:t>8,762</w:t>
            </w:r>
          </w:p>
        </w:tc>
        <w:tc>
          <w:tcPr>
            <w:tcW w:w="970" w:type="pct"/>
            <w:tcBorders>
              <w:top w:val="nil"/>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sz w:val="28"/>
                <w:szCs w:val="28"/>
              </w:rPr>
            </w:pPr>
            <w:r w:rsidRPr="00BE2585">
              <w:rPr>
                <w:rFonts w:ascii="Arabic Typesetting" w:hAnsi="Arabic Typesetting" w:cs="Arabic Typesetting" w:hint="cs"/>
                <w:sz w:val="28"/>
                <w:szCs w:val="28"/>
                <w:rtl/>
              </w:rPr>
              <w:t>8,454</w:t>
            </w:r>
          </w:p>
        </w:tc>
        <w:tc>
          <w:tcPr>
            <w:tcW w:w="970" w:type="pct"/>
            <w:tcBorders>
              <w:top w:val="nil"/>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sz w:val="28"/>
                <w:szCs w:val="28"/>
              </w:rPr>
            </w:pPr>
            <w:r w:rsidRPr="00BE2585">
              <w:rPr>
                <w:rFonts w:ascii="Arabic Typesetting" w:hAnsi="Arabic Typesetting" w:cs="Arabic Typesetting" w:hint="cs"/>
                <w:sz w:val="28"/>
                <w:szCs w:val="28"/>
                <w:rtl/>
              </w:rPr>
              <w:t>6,608</w:t>
            </w:r>
          </w:p>
        </w:tc>
        <w:tc>
          <w:tcPr>
            <w:tcW w:w="970" w:type="pct"/>
            <w:tcBorders>
              <w:top w:val="nil"/>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sz w:val="28"/>
                <w:szCs w:val="28"/>
              </w:rPr>
            </w:pPr>
            <w:r w:rsidRPr="00BE2585">
              <w:rPr>
                <w:rFonts w:ascii="Arabic Typesetting" w:hAnsi="Arabic Typesetting" w:cs="Arabic Typesetting" w:hint="cs"/>
                <w:sz w:val="28"/>
                <w:szCs w:val="28"/>
                <w:rtl/>
              </w:rPr>
              <w:t>78%</w:t>
            </w:r>
          </w:p>
        </w:tc>
      </w:tr>
      <w:tr w:rsidR="00BE2585" w:rsidRPr="00BE2585" w:rsidTr="00D62C1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BE2585" w:rsidRPr="00BE2585" w:rsidRDefault="00BE2585" w:rsidP="00BE2585">
            <w:pPr>
              <w:bidi/>
              <w:jc w:val="right"/>
              <w:rPr>
                <w:rFonts w:ascii="Arabic Typesetting" w:hAnsi="Arabic Typesetting" w:cs="Arabic Typesetting"/>
                <w:b/>
                <w:bCs/>
                <w:sz w:val="28"/>
                <w:szCs w:val="28"/>
              </w:rPr>
            </w:pPr>
            <w:r w:rsidRPr="00BE258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b/>
                <w:bCs/>
                <w:sz w:val="28"/>
                <w:szCs w:val="28"/>
              </w:rPr>
            </w:pPr>
            <w:r w:rsidRPr="00BE2585">
              <w:rPr>
                <w:rFonts w:ascii="Arabic Typesetting" w:hAnsi="Arabic Typesetting" w:cs="Arabic Typesetting" w:hint="cs"/>
                <w:b/>
                <w:bCs/>
                <w:sz w:val="28"/>
                <w:szCs w:val="28"/>
                <w:rtl/>
              </w:rPr>
              <w:t>32,325</w:t>
            </w:r>
          </w:p>
        </w:tc>
        <w:tc>
          <w:tcPr>
            <w:tcW w:w="970" w:type="pct"/>
            <w:tcBorders>
              <w:top w:val="nil"/>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b/>
                <w:bCs/>
                <w:sz w:val="28"/>
                <w:szCs w:val="28"/>
              </w:rPr>
            </w:pPr>
            <w:r w:rsidRPr="00BE2585">
              <w:rPr>
                <w:rFonts w:ascii="Arabic Typesetting" w:hAnsi="Arabic Typesetting" w:cs="Arabic Typesetting" w:hint="cs"/>
                <w:b/>
                <w:bCs/>
                <w:sz w:val="28"/>
                <w:szCs w:val="28"/>
                <w:rtl/>
              </w:rPr>
              <w:t>31,485</w:t>
            </w:r>
          </w:p>
        </w:tc>
        <w:tc>
          <w:tcPr>
            <w:tcW w:w="970" w:type="pct"/>
            <w:tcBorders>
              <w:top w:val="nil"/>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b/>
                <w:bCs/>
                <w:sz w:val="28"/>
                <w:szCs w:val="28"/>
              </w:rPr>
            </w:pPr>
            <w:r w:rsidRPr="00BE2585">
              <w:rPr>
                <w:rFonts w:ascii="Arabic Typesetting" w:hAnsi="Arabic Typesetting" w:cs="Arabic Typesetting" w:hint="cs"/>
                <w:b/>
                <w:bCs/>
                <w:sz w:val="28"/>
                <w:szCs w:val="28"/>
                <w:rtl/>
              </w:rPr>
              <w:t>29,067</w:t>
            </w:r>
          </w:p>
        </w:tc>
        <w:tc>
          <w:tcPr>
            <w:tcW w:w="970" w:type="pct"/>
            <w:tcBorders>
              <w:top w:val="nil"/>
              <w:left w:val="single" w:sz="4" w:space="0" w:color="auto"/>
              <w:bottom w:val="single" w:sz="4" w:space="0" w:color="auto"/>
              <w:right w:val="single" w:sz="4" w:space="0" w:color="auto"/>
            </w:tcBorders>
            <w:shd w:val="clear" w:color="auto" w:fill="auto"/>
            <w:vAlign w:val="center"/>
          </w:tcPr>
          <w:p w:rsidR="00BE2585" w:rsidRPr="00BE2585" w:rsidRDefault="00BE2585" w:rsidP="00BE2585">
            <w:pPr>
              <w:bidi/>
              <w:jc w:val="center"/>
              <w:rPr>
                <w:rFonts w:ascii="Arabic Typesetting" w:hAnsi="Arabic Typesetting" w:cs="Arabic Typesetting"/>
                <w:b/>
                <w:bCs/>
                <w:sz w:val="28"/>
                <w:szCs w:val="28"/>
              </w:rPr>
            </w:pPr>
            <w:r w:rsidRPr="00BE2585">
              <w:rPr>
                <w:rFonts w:ascii="Arabic Typesetting" w:hAnsi="Arabic Typesetting" w:cs="Arabic Typesetting" w:hint="cs"/>
                <w:b/>
                <w:bCs/>
                <w:sz w:val="28"/>
                <w:szCs w:val="28"/>
                <w:rtl/>
              </w:rPr>
              <w:t>92%</w:t>
            </w:r>
          </w:p>
        </w:tc>
      </w:tr>
    </w:tbl>
    <w:p w:rsidR="00BE2585" w:rsidRPr="00BE2585" w:rsidRDefault="00BE2585" w:rsidP="00BE2585">
      <w:pPr>
        <w:keepNext/>
        <w:bidi/>
        <w:spacing w:before="240" w:after="120" w:line="340" w:lineRule="exact"/>
        <w:rPr>
          <w:rFonts w:ascii="Arabic Typesetting" w:hAnsi="Arabic Typesetting" w:cs="Arabic Typesetting"/>
          <w:sz w:val="34"/>
          <w:szCs w:val="34"/>
          <w:u w:val="single"/>
          <w:rtl/>
          <w:lang w:bidi="ar-EG"/>
        </w:rPr>
      </w:pPr>
      <w:r w:rsidRPr="00BE2585">
        <w:rPr>
          <w:rFonts w:ascii="Arabic Typesetting" w:hAnsi="Arabic Typesetting" w:cs="Arabic Typesetting" w:hint="cs"/>
          <w:sz w:val="34"/>
          <w:szCs w:val="34"/>
          <w:u w:val="single"/>
          <w:rtl/>
          <w:lang w:bidi="ar-EG"/>
        </w:rPr>
        <w:lastRenderedPageBreak/>
        <w:t>ألف</w:t>
      </w:r>
      <w:r w:rsidRPr="00BE2585">
        <w:rPr>
          <w:rFonts w:ascii="Arabic Typesetting" w:hAnsi="Arabic Typesetting" w:cs="Arabic Typesetting"/>
          <w:sz w:val="34"/>
          <w:szCs w:val="34"/>
          <w:u w:val="single"/>
          <w:lang w:bidi="ar-EG"/>
        </w:rPr>
        <w:t>.</w:t>
      </w:r>
      <w:r w:rsidRPr="00BE2585">
        <w:rPr>
          <w:rFonts w:ascii="Arabic Typesetting" w:hAnsi="Arabic Typesetting" w:cs="Arabic Typesetting" w:hint="cs"/>
          <w:sz w:val="34"/>
          <w:szCs w:val="34"/>
          <w:u w:val="single"/>
          <w:rtl/>
          <w:lang w:bidi="ar-EG"/>
        </w:rPr>
        <w:tab/>
        <w:t>الميزانية النهائية بعد التحويلات 2014/15</w:t>
      </w:r>
    </w:p>
    <w:p w:rsidR="00BE2585" w:rsidRPr="00BE2585" w:rsidRDefault="00BE2585" w:rsidP="009A3712">
      <w:pPr>
        <w:keepLines/>
        <w:numPr>
          <w:ilvl w:val="0"/>
          <w:numId w:val="46"/>
        </w:numPr>
        <w:bidi/>
        <w:spacing w:after="120" w:line="340" w:lineRule="exact"/>
        <w:ind w:left="0" w:firstLine="0"/>
        <w:rPr>
          <w:rFonts w:ascii="Arabic Typesetting" w:hAnsi="Arabic Typesetting" w:cs="Arabic Typesetting"/>
          <w:sz w:val="34"/>
          <w:szCs w:val="34"/>
          <w:lang w:bidi="ar-EG"/>
        </w:rPr>
      </w:pPr>
      <w:r w:rsidRPr="00BE2585">
        <w:rPr>
          <w:rFonts w:ascii="Arabic Typesetting" w:hAnsi="Arabic Typesetting" w:cs="Arabic Typesetting" w:hint="cs"/>
          <w:sz w:val="34"/>
          <w:szCs w:val="34"/>
          <w:rtl/>
          <w:lang w:bidi="ar-EG"/>
        </w:rPr>
        <w:t>يبيّن تحويل الموارد بين عدة نتائج مرتقبة زيادة التركيز على تيسير وتنسيق ما يلي: "1"</w:t>
      </w:r>
      <w:r w:rsidRPr="00BE2585">
        <w:rPr>
          <w:rFonts w:ascii="Arabic Typesetting" w:hAnsi="Arabic Typesetting" w:cs="Arabic Typesetting" w:hint="eastAsia"/>
          <w:sz w:val="34"/>
          <w:szCs w:val="34"/>
          <w:rtl/>
          <w:lang w:bidi="ar-EG"/>
        </w:rPr>
        <w:t> </w:t>
      </w:r>
      <w:r w:rsidRPr="00BE2585">
        <w:rPr>
          <w:rFonts w:ascii="Arabic Typesetting" w:hAnsi="Arabic Typesetting" w:cs="Arabic Typesetting" w:hint="cs"/>
          <w:sz w:val="34"/>
          <w:szCs w:val="34"/>
          <w:rtl/>
          <w:lang w:bidi="ar-EG"/>
        </w:rPr>
        <w:t>أنشطة المشورة التشريعية التي تقوم بها الويبو في مجالات البراءات والعلامات التجارية والتصاميم الصناعية وحق المؤلف (النتيجة المرتقبة ه2.1 - المشورة التشريعية)؛ "2"</w:t>
      </w:r>
      <w:r w:rsidRPr="00BE2585">
        <w:rPr>
          <w:rFonts w:ascii="Arabic Typesetting" w:hAnsi="Arabic Typesetting" w:cs="Arabic Typesetting" w:hint="eastAsia"/>
          <w:sz w:val="34"/>
          <w:szCs w:val="34"/>
          <w:rtl/>
          <w:lang w:bidi="ar-EG"/>
        </w:rPr>
        <w:t> </w:t>
      </w:r>
      <w:r w:rsidRPr="00BE2585">
        <w:rPr>
          <w:rFonts w:ascii="Arabic Typesetting" w:hAnsi="Arabic Typesetting" w:cs="Arabic Typesetting" w:hint="cs"/>
          <w:sz w:val="34"/>
          <w:szCs w:val="34"/>
          <w:rtl/>
          <w:lang w:bidi="ar-EG"/>
        </w:rPr>
        <w:t>وأنشطة الويبو المتعلقة بالنفاذ إلى المعلومات الخاصة بالملكية الفكرية واستخدامها من خلال العدد المتزايد من الشبكات الوطنية المستدامة لمراكز دعم التكنولوجيا والابتكار (النتيجة المرتقبة ه2.4)؛ "3"</w:t>
      </w:r>
      <w:r w:rsidRPr="00BE2585">
        <w:rPr>
          <w:rFonts w:ascii="Arabic Typesetting" w:hAnsi="Arabic Typesetting" w:cs="Arabic Typesetting" w:hint="eastAsia"/>
          <w:sz w:val="34"/>
          <w:szCs w:val="34"/>
          <w:rtl/>
          <w:lang w:bidi="ar-EG"/>
        </w:rPr>
        <w:t> </w:t>
      </w:r>
      <w:r w:rsidRPr="00BE2585">
        <w:rPr>
          <w:rFonts w:ascii="Arabic Typesetting" w:hAnsi="Arabic Typesetting" w:cs="Arabic Typesetting" w:hint="cs"/>
          <w:sz w:val="34"/>
          <w:szCs w:val="34"/>
          <w:rtl/>
          <w:lang w:bidi="ar-EG"/>
        </w:rPr>
        <w:t xml:space="preserve">والجهود الرامية إلى مساعدة مكاتب الملكية الفكرية وغيرها من مؤسسات الملكية الفكرية على تطوير بنيتها التحتية التقنية والمعرفية (النتيجة المرتقبة ه4.4 - </w:t>
      </w:r>
      <w:r w:rsidR="00D55B28" w:rsidRPr="00D55B28">
        <w:rPr>
          <w:rFonts w:ascii="Arabic Typesetting" w:hAnsi="Arabic Typesetting" w:cs="Arabic Typesetting"/>
          <w:sz w:val="34"/>
          <w:szCs w:val="34"/>
          <w:rtl/>
        </w:rPr>
        <w:t xml:space="preserve">تعزيز </w:t>
      </w:r>
      <w:r w:rsidR="00D55B28" w:rsidRPr="00D55B28">
        <w:rPr>
          <w:rFonts w:ascii="Arabic Typesetting" w:hAnsi="Arabic Typesetting" w:cs="Arabic Typesetting"/>
          <w:sz w:val="34"/>
          <w:szCs w:val="34"/>
          <w:rtl/>
          <w:lang w:bidi="ar-EG"/>
        </w:rPr>
        <w:t>البنية</w:t>
      </w:r>
      <w:r w:rsidR="00D55B28" w:rsidRPr="00D55B28">
        <w:rPr>
          <w:rFonts w:ascii="Arabic Typesetting" w:hAnsi="Arabic Typesetting" w:cs="Arabic Typesetting"/>
          <w:sz w:val="34"/>
          <w:szCs w:val="34"/>
          <w:rtl/>
        </w:rPr>
        <w:t xml:space="preserve"> التحتية التقنية والمعرفية</w:t>
      </w:r>
      <w:r w:rsidRPr="00BE2585">
        <w:rPr>
          <w:rFonts w:ascii="Arabic Typesetting" w:hAnsi="Arabic Typesetting" w:cs="Arabic Typesetting" w:hint="cs"/>
          <w:sz w:val="34"/>
          <w:szCs w:val="34"/>
          <w:rtl/>
          <w:lang w:bidi="ar-EG"/>
        </w:rPr>
        <w:t>).</w:t>
      </w:r>
    </w:p>
    <w:p w:rsidR="00BE2585" w:rsidRPr="00BE2585" w:rsidRDefault="00BE2585" w:rsidP="00BE2585">
      <w:pPr>
        <w:keepNext/>
        <w:bidi/>
        <w:spacing w:before="240" w:after="120" w:line="340" w:lineRule="exact"/>
        <w:rPr>
          <w:rFonts w:ascii="Arabic Typesetting" w:hAnsi="Arabic Typesetting" w:cs="Arabic Typesetting"/>
          <w:sz w:val="34"/>
          <w:szCs w:val="34"/>
          <w:u w:val="single"/>
          <w:rtl/>
          <w:lang w:bidi="ar-EG"/>
        </w:rPr>
      </w:pPr>
      <w:r w:rsidRPr="00BE2585">
        <w:rPr>
          <w:rFonts w:ascii="Arabic Typesetting" w:hAnsi="Arabic Typesetting" w:cs="Arabic Typesetting" w:hint="cs"/>
          <w:sz w:val="34"/>
          <w:szCs w:val="34"/>
          <w:u w:val="single"/>
          <w:rtl/>
          <w:lang w:bidi="ar-EG"/>
        </w:rPr>
        <w:t>باء</w:t>
      </w:r>
      <w:r w:rsidRPr="00BE2585">
        <w:rPr>
          <w:rFonts w:ascii="Arabic Typesetting" w:hAnsi="Arabic Typesetting" w:cs="Arabic Typesetting"/>
          <w:sz w:val="34"/>
          <w:szCs w:val="34"/>
          <w:u w:val="single"/>
          <w:lang w:bidi="ar-EG"/>
        </w:rPr>
        <w:t>.</w:t>
      </w:r>
      <w:r w:rsidRPr="00BE2585">
        <w:rPr>
          <w:rFonts w:ascii="Arabic Typesetting" w:hAnsi="Arabic Typesetting" w:cs="Arabic Typesetting"/>
          <w:sz w:val="34"/>
          <w:szCs w:val="34"/>
          <w:u w:val="single"/>
          <w:rtl/>
          <w:lang w:bidi="ar-EG"/>
        </w:rPr>
        <w:tab/>
      </w:r>
      <w:r w:rsidRPr="00BE2585">
        <w:rPr>
          <w:rFonts w:ascii="Arabic Typesetting" w:hAnsi="Arabic Typesetting" w:cs="Arabic Typesetting" w:hint="cs"/>
          <w:sz w:val="34"/>
          <w:szCs w:val="34"/>
          <w:u w:val="single"/>
          <w:rtl/>
          <w:lang w:bidi="ar-EG"/>
        </w:rPr>
        <w:t>استخدام ميزانية</w:t>
      </w:r>
      <w:r w:rsidRPr="00BE2585">
        <w:rPr>
          <w:rFonts w:ascii="Arabic Typesetting" w:hAnsi="Arabic Typesetting" w:cs="Arabic Typesetting" w:hint="eastAsia"/>
          <w:sz w:val="34"/>
          <w:szCs w:val="34"/>
          <w:u w:val="single"/>
          <w:rtl/>
          <w:lang w:bidi="ar-EG"/>
        </w:rPr>
        <w:t> </w:t>
      </w:r>
      <w:r w:rsidRPr="00BE2585">
        <w:rPr>
          <w:rFonts w:ascii="Arabic Typesetting" w:hAnsi="Arabic Typesetting" w:cs="Arabic Typesetting" w:hint="cs"/>
          <w:sz w:val="34"/>
          <w:szCs w:val="34"/>
          <w:u w:val="single"/>
          <w:rtl/>
          <w:lang w:bidi="ar-EG"/>
        </w:rPr>
        <w:t>2014/15</w:t>
      </w:r>
    </w:p>
    <w:p w:rsidR="00BE2585" w:rsidRPr="00BE2585" w:rsidRDefault="00BE2585" w:rsidP="009A3712">
      <w:pPr>
        <w:numPr>
          <w:ilvl w:val="0"/>
          <w:numId w:val="46"/>
        </w:numPr>
        <w:bidi/>
        <w:spacing w:after="120" w:line="340" w:lineRule="exact"/>
        <w:ind w:left="-2" w:firstLine="1"/>
        <w:rPr>
          <w:rFonts w:ascii="Arabic Typesetting" w:hAnsi="Arabic Typesetting" w:cs="Arabic Typesetting"/>
          <w:sz w:val="34"/>
          <w:szCs w:val="34"/>
          <w:rtl/>
          <w:lang w:bidi="ar-EG"/>
        </w:rPr>
      </w:pPr>
      <w:r w:rsidRPr="00BE2585">
        <w:rPr>
          <w:rFonts w:ascii="Arabic Typesetting" w:hAnsi="Arabic Typesetting" w:cs="Arabic Typesetting" w:hint="cs"/>
          <w:sz w:val="34"/>
          <w:szCs w:val="34"/>
          <w:rtl/>
          <w:lang w:bidi="ar-EG"/>
        </w:rPr>
        <w:t>يُعزى</w:t>
      </w:r>
      <w:r w:rsidR="00660F20">
        <w:rPr>
          <w:rFonts w:ascii="Arabic Typesetting" w:hAnsi="Arabic Typesetting" w:cs="Arabic Typesetting" w:hint="cs"/>
          <w:sz w:val="34"/>
          <w:szCs w:val="34"/>
          <w:rtl/>
          <w:lang w:bidi="ar-EG"/>
        </w:rPr>
        <w:t xml:space="preserve"> أساساً</w:t>
      </w:r>
      <w:r w:rsidRPr="00BE2585">
        <w:rPr>
          <w:rFonts w:ascii="Arabic Typesetting" w:hAnsi="Arabic Typesetting" w:cs="Arabic Typesetting" w:hint="cs"/>
          <w:sz w:val="34"/>
          <w:szCs w:val="34"/>
          <w:rtl/>
          <w:lang w:bidi="ar-EG"/>
        </w:rPr>
        <w:t xml:space="preserve"> انخفاض نسبة استخدام </w:t>
      </w:r>
      <w:r w:rsidR="003B2ED5">
        <w:rPr>
          <w:rFonts w:ascii="Arabic Typesetting" w:hAnsi="Arabic Typesetting" w:cs="Arabic Typesetting" w:hint="cs"/>
          <w:sz w:val="34"/>
          <w:szCs w:val="34"/>
          <w:rtl/>
          <w:lang w:bidi="ar-EG"/>
        </w:rPr>
        <w:t>مخصصات خلاف موارد</w:t>
      </w:r>
      <w:r w:rsidRPr="00BE2585">
        <w:rPr>
          <w:rFonts w:ascii="Arabic Typesetting" w:hAnsi="Arabic Typesetting" w:cs="Arabic Typesetting" w:hint="cs"/>
          <w:sz w:val="34"/>
          <w:szCs w:val="34"/>
          <w:rtl/>
          <w:lang w:bidi="ar-EG"/>
        </w:rPr>
        <w:t xml:space="preserve"> الموظفين مقارنة بالنسبة المتوقعة إلى إرجاء أو إلغاء بعض التظاهرات/الأنشطة المخطّطة وذلك بناء على طلب بعض الدول الأعضاء أو امتثالا لمبادئ الأمم المتحدة التوجيهية الخاصة بالأمن. </w:t>
      </w:r>
      <w:r w:rsidR="00660F20">
        <w:rPr>
          <w:rFonts w:ascii="Arabic Typesetting" w:hAnsi="Arabic Typesetting" w:cs="Arabic Typesetting" w:hint="cs"/>
          <w:sz w:val="34"/>
          <w:szCs w:val="34"/>
          <w:rtl/>
          <w:lang w:bidi="ar-EG"/>
        </w:rPr>
        <w:t xml:space="preserve">وإضافة إلى ذلك، </w:t>
      </w:r>
      <w:r w:rsidRPr="00BE2585">
        <w:rPr>
          <w:rFonts w:ascii="Arabic Typesetting" w:hAnsi="Arabic Typesetting" w:cs="Arabic Typesetting" w:hint="cs"/>
          <w:sz w:val="34"/>
          <w:szCs w:val="34"/>
          <w:rtl/>
          <w:lang w:bidi="ar-EG"/>
        </w:rPr>
        <w:t xml:space="preserve">أدت المخاطر الصحية وما ارتبط بها من قيود فُرضت على السفر من جرّاء أزمة </w:t>
      </w:r>
      <w:proofErr w:type="spellStart"/>
      <w:r w:rsidRPr="00BE2585">
        <w:rPr>
          <w:rFonts w:ascii="Arabic Typesetting" w:hAnsi="Arabic Typesetting" w:cs="Arabic Typesetting" w:hint="cs"/>
          <w:sz w:val="34"/>
          <w:szCs w:val="34"/>
          <w:rtl/>
          <w:lang w:bidi="ar-EG"/>
        </w:rPr>
        <w:t>الإيبولا</w:t>
      </w:r>
      <w:proofErr w:type="spellEnd"/>
      <w:r w:rsidRPr="00BE2585">
        <w:rPr>
          <w:rFonts w:ascii="Arabic Typesetting" w:hAnsi="Arabic Typesetting" w:cs="Arabic Typesetting" w:hint="cs"/>
          <w:sz w:val="34"/>
          <w:szCs w:val="34"/>
          <w:rtl/>
          <w:lang w:bidi="ar-EG"/>
        </w:rPr>
        <w:t xml:space="preserve"> إلى إلغاء بعض الأنشطة المخطّطة. </w:t>
      </w:r>
      <w:r w:rsidR="00660F20">
        <w:rPr>
          <w:rFonts w:ascii="Arabic Typesetting" w:hAnsi="Arabic Typesetting" w:cs="Arabic Typesetting" w:hint="cs"/>
          <w:sz w:val="34"/>
          <w:szCs w:val="34"/>
          <w:rtl/>
          <w:lang w:bidi="ar-EG"/>
        </w:rPr>
        <w:t>وفضلاً عن ذلك، حُققت</w:t>
      </w:r>
      <w:r w:rsidRPr="00BE2585">
        <w:rPr>
          <w:rFonts w:ascii="Arabic Typesetting" w:hAnsi="Arabic Typesetting" w:cs="Arabic Typesetting" w:hint="cs"/>
          <w:sz w:val="34"/>
          <w:szCs w:val="34"/>
          <w:rtl/>
          <w:lang w:bidi="ar-EG"/>
        </w:rPr>
        <w:t xml:space="preserve"> تخفيضات في تكاليف السفر والتكاليف ذات الصلة من خلال تنظيم عدد متزايد من التظاهرات بطريقة مجمّعة أو متتالية.</w:t>
      </w:r>
    </w:p>
    <w:p w:rsidR="00DE6751" w:rsidRPr="00365D19" w:rsidRDefault="00DE6751" w:rsidP="000471B4">
      <w:pPr>
        <w:pStyle w:val="Heading3AR"/>
        <w:spacing w:after="120"/>
        <w:rPr>
          <w:rtl/>
        </w:rPr>
      </w:pPr>
      <w:bookmarkStart w:id="62" w:name="_Toc455393379"/>
      <w:r w:rsidRPr="00365D19">
        <w:rPr>
          <w:rtl/>
        </w:rPr>
        <w:lastRenderedPageBreak/>
        <w:t xml:space="preserve">البرنامج </w:t>
      </w:r>
      <w:r>
        <w:rPr>
          <w:rFonts w:hint="cs"/>
          <w:rtl/>
        </w:rPr>
        <w:t>10</w:t>
      </w:r>
      <w:r w:rsidRPr="00365D19">
        <w:rPr>
          <w:rtl/>
        </w:rPr>
        <w:t>:</w:t>
      </w:r>
      <w:r w:rsidRPr="00365D19">
        <w:rPr>
          <w:rtl/>
        </w:rPr>
        <w:tab/>
      </w:r>
      <w:r w:rsidRPr="00DE6751">
        <w:rPr>
          <w:rtl/>
        </w:rPr>
        <w:t>التعاون مع بلدان معينة في أور</w:t>
      </w:r>
      <w:r w:rsidR="004548B8">
        <w:rPr>
          <w:rFonts w:hint="cs"/>
          <w:rtl/>
        </w:rPr>
        <w:t>و</w:t>
      </w:r>
      <w:r w:rsidRPr="00DE6751">
        <w:rPr>
          <w:rtl/>
        </w:rPr>
        <w:t>با وآسيا</w:t>
      </w:r>
      <w:bookmarkEnd w:id="62"/>
    </w:p>
    <w:p w:rsidR="00DE6751" w:rsidRDefault="00DE6751" w:rsidP="000471B4">
      <w:pPr>
        <w:keepNext/>
        <w:bidi/>
        <w:spacing w:after="240" w:line="340" w:lineRule="exact"/>
        <w:ind w:left="1984" w:hanging="1984"/>
        <w:rPr>
          <w:rFonts w:ascii="Arabic Typesetting" w:hAnsi="Arabic Typesetting" w:cs="Arabic Typesetting"/>
          <w:b/>
          <w:bCs/>
          <w:sz w:val="36"/>
          <w:szCs w:val="36"/>
          <w:rtl/>
          <w:lang w:val="fr-CH"/>
        </w:rPr>
      </w:pPr>
      <w:r w:rsidRPr="00B31868">
        <w:rPr>
          <w:rFonts w:ascii="Arabic Typesetting" w:hAnsi="Arabic Typesetting" w:cs="Arabic Typesetting"/>
          <w:b/>
          <w:bCs/>
          <w:sz w:val="36"/>
          <w:szCs w:val="36"/>
          <w:rtl/>
          <w:lang w:val="fr-CH"/>
        </w:rPr>
        <w:t>المسؤول عن البرنامج</w:t>
      </w:r>
      <w:r w:rsidRPr="00B31868">
        <w:rPr>
          <w:rFonts w:ascii="Arabic Typesetting" w:hAnsi="Arabic Typesetting" w:cs="Arabic Typesetting" w:hint="cs"/>
          <w:b/>
          <w:bCs/>
          <w:sz w:val="36"/>
          <w:szCs w:val="36"/>
          <w:rtl/>
          <w:lang w:val="fr-CH"/>
        </w:rPr>
        <w:t>:</w:t>
      </w:r>
      <w:r w:rsidRPr="00B31868">
        <w:rPr>
          <w:rFonts w:ascii="Arabic Typesetting" w:hAnsi="Arabic Typesetting" w:cs="Arabic Typesetting" w:hint="cs"/>
          <w:b/>
          <w:bCs/>
          <w:sz w:val="36"/>
          <w:szCs w:val="36"/>
          <w:rtl/>
          <w:lang w:val="fr-CH"/>
        </w:rPr>
        <w:tab/>
      </w:r>
      <w:r w:rsidRPr="00DE6751">
        <w:rPr>
          <w:rFonts w:ascii="Arabic Typesetting" w:hAnsi="Arabic Typesetting" w:cs="Arabic Typesetting"/>
          <w:b/>
          <w:bCs/>
          <w:sz w:val="36"/>
          <w:szCs w:val="36"/>
          <w:rtl/>
          <w:lang w:val="fr-CH"/>
        </w:rPr>
        <w:t>المدير العام</w:t>
      </w:r>
    </w:p>
    <w:p w:rsidR="00DE6751" w:rsidRPr="00FE3908" w:rsidRDefault="00DE6751" w:rsidP="000471B4">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الإنجازات المحققة خلال</w:t>
      </w:r>
      <w:r w:rsidRPr="00FE3908">
        <w:rPr>
          <w:rFonts w:ascii="Arabic Typesetting" w:hAnsi="Arabic Typesetting" w:cs="Arabic Typesetting" w:hint="cs"/>
          <w:sz w:val="36"/>
          <w:szCs w:val="36"/>
          <w:rtl/>
          <w:lang w:val="fr-CH"/>
        </w:rPr>
        <w:t xml:space="preserve"> </w:t>
      </w:r>
      <w:r>
        <w:rPr>
          <w:rFonts w:ascii="Arabic Typesetting" w:hAnsi="Arabic Typesetting" w:cs="Arabic Typesetting" w:hint="cs"/>
          <w:sz w:val="36"/>
          <w:szCs w:val="36"/>
          <w:rtl/>
          <w:lang w:val="fr-CH"/>
        </w:rPr>
        <w:t xml:space="preserve">الثنائية </w:t>
      </w:r>
      <w:r w:rsidR="00507DE2">
        <w:rPr>
          <w:rFonts w:ascii="Arabic Typesetting" w:hAnsi="Arabic Typesetting" w:cs="Arabic Typesetting" w:hint="cs"/>
          <w:sz w:val="36"/>
          <w:szCs w:val="36"/>
          <w:rtl/>
          <w:lang w:val="fr-CH"/>
        </w:rPr>
        <w:t>2014/15</w:t>
      </w:r>
    </w:p>
    <w:p w:rsidR="004548B8" w:rsidRPr="004548B8" w:rsidRDefault="004548B8" w:rsidP="009A3712">
      <w:pPr>
        <w:numPr>
          <w:ilvl w:val="0"/>
          <w:numId w:val="35"/>
        </w:numPr>
        <w:bidi/>
        <w:spacing w:after="120" w:line="340" w:lineRule="exact"/>
        <w:ind w:left="0" w:firstLine="0"/>
        <w:rPr>
          <w:rFonts w:ascii="Arabic Typesetting" w:hAnsi="Arabic Typesetting" w:cs="Arabic Typesetting"/>
          <w:sz w:val="34"/>
          <w:szCs w:val="34"/>
          <w:rtl/>
          <w:lang w:val="fr-CH"/>
        </w:rPr>
      </w:pPr>
      <w:r w:rsidRPr="004548B8">
        <w:rPr>
          <w:rFonts w:ascii="Arabic Typesetting" w:hAnsi="Arabic Typesetting" w:cs="Arabic Typesetting"/>
          <w:sz w:val="34"/>
          <w:szCs w:val="34"/>
          <w:rtl/>
          <w:lang w:val="fr-CH"/>
        </w:rPr>
        <w:t>واصل البرنامج 10</w:t>
      </w:r>
      <w:r w:rsidR="00757F16">
        <w:rPr>
          <w:rFonts w:ascii="Arabic Typesetting" w:hAnsi="Arabic Typesetting" w:cs="Arabic Typesetting" w:hint="cs"/>
          <w:sz w:val="34"/>
          <w:szCs w:val="34"/>
          <w:rtl/>
          <w:lang w:val="fr-CH"/>
        </w:rPr>
        <w:t xml:space="preserve">، خلال الثنائية </w:t>
      </w:r>
      <w:r w:rsidR="00507DE2">
        <w:rPr>
          <w:rFonts w:ascii="Arabic Typesetting" w:hAnsi="Arabic Typesetting" w:cs="Arabic Typesetting" w:hint="cs"/>
          <w:sz w:val="34"/>
          <w:szCs w:val="34"/>
          <w:rtl/>
          <w:lang w:val="fr-CH"/>
        </w:rPr>
        <w:t>2014/15</w:t>
      </w:r>
      <w:r w:rsidR="00757F16">
        <w:rPr>
          <w:rFonts w:ascii="Arabic Typesetting" w:hAnsi="Arabic Typesetting" w:cs="Arabic Typesetting" w:hint="cs"/>
          <w:sz w:val="34"/>
          <w:szCs w:val="34"/>
          <w:rtl/>
          <w:lang w:val="fr-CH"/>
        </w:rPr>
        <w:t>،</w:t>
      </w:r>
      <w:r w:rsidRPr="004548B8">
        <w:rPr>
          <w:rFonts w:ascii="Arabic Typesetting" w:hAnsi="Arabic Typesetting" w:cs="Arabic Typesetting"/>
          <w:sz w:val="34"/>
          <w:szCs w:val="34"/>
          <w:rtl/>
          <w:lang w:val="fr-CH"/>
        </w:rPr>
        <w:t xml:space="preserve"> </w:t>
      </w:r>
      <w:r w:rsidR="00757F16">
        <w:rPr>
          <w:rFonts w:ascii="Arabic Typesetting" w:hAnsi="Arabic Typesetting" w:cs="Arabic Typesetting" w:hint="cs"/>
          <w:sz w:val="34"/>
          <w:szCs w:val="34"/>
          <w:rtl/>
          <w:lang w:val="fr-CH"/>
        </w:rPr>
        <w:t xml:space="preserve">وضع </w:t>
      </w:r>
      <w:r w:rsidRPr="004548B8">
        <w:rPr>
          <w:rFonts w:ascii="Arabic Typesetting" w:hAnsi="Arabic Typesetting" w:cs="Arabic Typesetting"/>
          <w:sz w:val="34"/>
          <w:szCs w:val="34"/>
          <w:rtl/>
          <w:lang w:val="fr-CH"/>
        </w:rPr>
        <w:t xml:space="preserve">أنشطة قطرية </w:t>
      </w:r>
      <w:r w:rsidR="00757F16">
        <w:rPr>
          <w:rFonts w:ascii="Arabic Typesetting" w:hAnsi="Arabic Typesetting" w:cs="Arabic Typesetting" w:hint="cs"/>
          <w:sz w:val="34"/>
          <w:szCs w:val="34"/>
          <w:rtl/>
          <w:lang w:val="fr-CH"/>
        </w:rPr>
        <w:t>وطويلة الأجل وقائمة على النتائج لتحقيق ا</w:t>
      </w:r>
      <w:r w:rsidRPr="004548B8">
        <w:rPr>
          <w:rFonts w:ascii="Arabic Typesetting" w:hAnsi="Arabic Typesetting" w:cs="Arabic Typesetting"/>
          <w:sz w:val="34"/>
          <w:szCs w:val="34"/>
          <w:rtl/>
          <w:lang w:val="fr-CH"/>
        </w:rPr>
        <w:t xml:space="preserve">لتعاون في </w:t>
      </w:r>
      <w:r w:rsidRPr="004548B8">
        <w:rPr>
          <w:rFonts w:ascii="Arabic Typesetting" w:hAnsi="Arabic Typesetting" w:cs="Arabic Typesetting" w:hint="cs"/>
          <w:sz w:val="34"/>
          <w:szCs w:val="34"/>
          <w:rtl/>
          <w:lang w:val="fr-CH"/>
        </w:rPr>
        <w:t>البلدان المنتقلة إلى نظام الاقتصاد الحر</w:t>
      </w:r>
      <w:r w:rsidR="00757F16">
        <w:rPr>
          <w:rFonts w:ascii="Arabic Typesetting" w:hAnsi="Arabic Typesetting" w:cs="Arabic Typesetting" w:hint="cs"/>
          <w:sz w:val="34"/>
          <w:szCs w:val="34"/>
          <w:rtl/>
          <w:lang w:val="fr-CH"/>
        </w:rPr>
        <w:t>، واستمر في تنسيق هذه الأنشطة بالتعاون مع كل القطاعات المعنية</w:t>
      </w:r>
      <w:r w:rsidRPr="004548B8">
        <w:rPr>
          <w:rFonts w:ascii="Arabic Typesetting" w:hAnsi="Arabic Typesetting" w:cs="Arabic Typesetting" w:hint="cs"/>
          <w:sz w:val="34"/>
          <w:szCs w:val="34"/>
          <w:rtl/>
          <w:lang w:val="fr-CH"/>
        </w:rPr>
        <w:t xml:space="preserve">. </w:t>
      </w:r>
      <w:r w:rsidR="00757F16">
        <w:rPr>
          <w:rFonts w:ascii="Arabic Typesetting" w:hAnsi="Arabic Typesetting" w:cs="Arabic Typesetting" w:hint="cs"/>
          <w:sz w:val="34"/>
          <w:szCs w:val="34"/>
          <w:rtl/>
          <w:lang w:val="fr-CH"/>
        </w:rPr>
        <w:t>لذ</w:t>
      </w:r>
      <w:r w:rsidR="008F622F">
        <w:rPr>
          <w:rFonts w:ascii="Arabic Typesetting" w:hAnsi="Arabic Typesetting" w:cs="Arabic Typesetting" w:hint="cs"/>
          <w:sz w:val="34"/>
          <w:szCs w:val="34"/>
          <w:rtl/>
          <w:lang w:val="fr-CH"/>
        </w:rPr>
        <w:t xml:space="preserve">ا </w:t>
      </w:r>
      <w:r w:rsidRPr="004548B8">
        <w:rPr>
          <w:rFonts w:ascii="Arabic Typesetting" w:hAnsi="Arabic Typesetting" w:cs="Arabic Typesetting" w:hint="cs"/>
          <w:sz w:val="34"/>
          <w:szCs w:val="34"/>
          <w:rtl/>
          <w:lang w:val="fr-CH"/>
        </w:rPr>
        <w:t xml:space="preserve">ركزت الجهود المبذولة </w:t>
      </w:r>
      <w:r w:rsidR="00757F16">
        <w:rPr>
          <w:rFonts w:ascii="Arabic Typesetting" w:hAnsi="Arabic Typesetting" w:cs="Arabic Typesetting" w:hint="cs"/>
          <w:sz w:val="34"/>
          <w:szCs w:val="34"/>
          <w:rtl/>
          <w:lang w:val="fr-CH"/>
        </w:rPr>
        <w:t>خلال الثنائية</w:t>
      </w:r>
      <w:r w:rsidRPr="004548B8">
        <w:rPr>
          <w:rFonts w:ascii="Arabic Typesetting" w:hAnsi="Arabic Typesetting" w:cs="Arabic Typesetting" w:hint="cs"/>
          <w:sz w:val="34"/>
          <w:szCs w:val="34"/>
          <w:rtl/>
          <w:lang w:val="fr-CH"/>
        </w:rPr>
        <w:t xml:space="preserve"> على </w:t>
      </w:r>
      <w:r w:rsidR="00757F16">
        <w:rPr>
          <w:rFonts w:ascii="Arabic Typesetting" w:hAnsi="Arabic Typesetting" w:cs="Arabic Typesetting" w:hint="cs"/>
          <w:sz w:val="34"/>
          <w:szCs w:val="34"/>
          <w:rtl/>
          <w:lang w:val="fr-CH"/>
        </w:rPr>
        <w:t>نهج</w:t>
      </w:r>
      <w:r w:rsidRPr="004548B8">
        <w:rPr>
          <w:rFonts w:ascii="Arabic Typesetting" w:hAnsi="Arabic Typesetting" w:cs="Arabic Typesetting" w:hint="cs"/>
          <w:sz w:val="34"/>
          <w:szCs w:val="34"/>
          <w:rtl/>
          <w:lang w:val="fr-CH"/>
        </w:rPr>
        <w:t xml:space="preserve"> التخطيط الاستراتيجي لعدة سنوات لتعزيز استخدام نظام الملكية الفكرية في تحفيز الابتكار </w:t>
      </w:r>
      <w:r w:rsidR="00757F16">
        <w:rPr>
          <w:rFonts w:ascii="Arabic Typesetting" w:hAnsi="Arabic Typesetting" w:cs="Arabic Typesetting" w:hint="cs"/>
          <w:sz w:val="34"/>
          <w:szCs w:val="34"/>
          <w:rtl/>
          <w:lang w:val="fr-CH"/>
        </w:rPr>
        <w:t>و</w:t>
      </w:r>
      <w:r w:rsidRPr="004548B8">
        <w:rPr>
          <w:rFonts w:ascii="Arabic Typesetting" w:hAnsi="Arabic Typesetting" w:cs="Arabic Typesetting" w:hint="cs"/>
          <w:sz w:val="34"/>
          <w:szCs w:val="34"/>
          <w:rtl/>
          <w:lang w:val="fr-CH"/>
        </w:rPr>
        <w:t>الإبداع لتحقيق التنمية الاقتصادية والاجتماعية والثقافية.</w:t>
      </w:r>
    </w:p>
    <w:p w:rsidR="004548B8" w:rsidRPr="004548B8" w:rsidRDefault="004548B8" w:rsidP="009A3712">
      <w:pPr>
        <w:numPr>
          <w:ilvl w:val="0"/>
          <w:numId w:val="35"/>
        </w:numPr>
        <w:bidi/>
        <w:spacing w:after="120" w:line="340" w:lineRule="exact"/>
        <w:ind w:left="0" w:firstLine="0"/>
        <w:rPr>
          <w:rFonts w:ascii="Arabic Typesetting" w:hAnsi="Arabic Typesetting" w:cs="Arabic Typesetting"/>
          <w:sz w:val="34"/>
          <w:szCs w:val="34"/>
          <w:rtl/>
          <w:lang w:bidi="ar-EG"/>
        </w:rPr>
      </w:pPr>
      <w:r w:rsidRPr="004548B8">
        <w:rPr>
          <w:rFonts w:ascii="Arabic Typesetting" w:hAnsi="Arabic Typesetting" w:cs="Arabic Typesetting"/>
          <w:sz w:val="34"/>
          <w:szCs w:val="34"/>
          <w:rtl/>
          <w:lang w:val="fr-CH"/>
        </w:rPr>
        <w:t>و</w:t>
      </w:r>
      <w:r w:rsidRPr="004548B8">
        <w:rPr>
          <w:rFonts w:ascii="Arabic Typesetting" w:hAnsi="Arabic Typesetting" w:cs="Arabic Typesetting" w:hint="cs"/>
          <w:sz w:val="34"/>
          <w:szCs w:val="34"/>
          <w:rtl/>
          <w:lang w:val="fr-CH"/>
        </w:rPr>
        <w:t xml:space="preserve">ظلت الأولوية في </w:t>
      </w:r>
      <w:r w:rsidR="00507DE2">
        <w:rPr>
          <w:rFonts w:ascii="Arabic Typesetting" w:hAnsi="Arabic Typesetting" w:cs="Arabic Typesetting" w:hint="cs"/>
          <w:sz w:val="34"/>
          <w:szCs w:val="34"/>
          <w:rtl/>
          <w:lang w:val="fr-CH"/>
        </w:rPr>
        <w:t>2014/15</w:t>
      </w:r>
      <w:r w:rsidRPr="004548B8">
        <w:rPr>
          <w:rFonts w:ascii="Arabic Typesetting" w:hAnsi="Arabic Typesetting" w:cs="Arabic Typesetting" w:hint="cs"/>
          <w:sz w:val="34"/>
          <w:szCs w:val="34"/>
          <w:rtl/>
          <w:lang w:val="fr-CH"/>
        </w:rPr>
        <w:t xml:space="preserve"> هي الترويج لأهمية التنمية وتنفيذ الاستراتيجيات الوطنية للملكية الفكرية الطويلة الأجل والشاملة و/أو المساعدة على تنفيذها لتلبية احتياجات الدول الأعضاء. واعتمدت </w:t>
      </w:r>
      <w:r w:rsidR="00757F16">
        <w:rPr>
          <w:rFonts w:ascii="Arabic Typesetting" w:hAnsi="Arabic Typesetting" w:cs="Arabic Typesetting" w:hint="cs"/>
          <w:sz w:val="34"/>
          <w:szCs w:val="34"/>
          <w:rtl/>
          <w:lang w:val="fr-CH"/>
        </w:rPr>
        <w:t>ستة</w:t>
      </w:r>
      <w:r w:rsidRPr="004548B8">
        <w:rPr>
          <w:rFonts w:ascii="Arabic Typesetting" w:hAnsi="Arabic Typesetting" w:cs="Arabic Typesetting" w:hint="cs"/>
          <w:sz w:val="34"/>
          <w:szCs w:val="34"/>
          <w:rtl/>
          <w:lang w:val="fr-CH"/>
        </w:rPr>
        <w:t xml:space="preserve"> بلدان (</w:t>
      </w:r>
      <w:r w:rsidR="00757F16">
        <w:rPr>
          <w:rFonts w:ascii="Arabic Typesetting" w:hAnsi="Arabic Typesetting" w:cs="Arabic Typesetting" w:hint="cs"/>
          <w:sz w:val="34"/>
          <w:szCs w:val="34"/>
          <w:rtl/>
          <w:lang w:val="fr-CH"/>
        </w:rPr>
        <w:t>بلغاريا و</w:t>
      </w:r>
      <w:r w:rsidRPr="004548B8">
        <w:rPr>
          <w:rFonts w:ascii="Arabic Typesetting" w:hAnsi="Arabic Typesetting" w:cs="Arabic Typesetting" w:hint="cs"/>
          <w:sz w:val="34"/>
          <w:szCs w:val="34"/>
          <w:rtl/>
          <w:lang w:val="fr-CH"/>
        </w:rPr>
        <w:t>سلوفينيا وطاجيكستان وتركيا</w:t>
      </w:r>
      <w:r w:rsidR="00757F16">
        <w:rPr>
          <w:rFonts w:ascii="Arabic Typesetting" w:hAnsi="Arabic Typesetting" w:cs="Arabic Typesetting" w:hint="cs"/>
          <w:sz w:val="34"/>
          <w:szCs w:val="34"/>
          <w:rtl/>
          <w:lang w:val="fr-CH"/>
        </w:rPr>
        <w:t xml:space="preserve"> وتركمانستان وأوكرانيا</w:t>
      </w:r>
      <w:r w:rsidRPr="004548B8">
        <w:rPr>
          <w:rFonts w:ascii="Arabic Typesetting" w:hAnsi="Arabic Typesetting" w:cs="Arabic Typesetting" w:hint="cs"/>
          <w:sz w:val="34"/>
          <w:szCs w:val="34"/>
          <w:rtl/>
          <w:lang w:val="fr-CH"/>
        </w:rPr>
        <w:t>) استراتيجيات وطنية تتعلق بالملكية الفكرية، واستهلت أربعة بلدان (</w:t>
      </w:r>
      <w:r w:rsidR="00757F16">
        <w:rPr>
          <w:rFonts w:ascii="Arabic Typesetting" w:hAnsi="Arabic Typesetting" w:cs="Arabic Typesetting" w:hint="cs"/>
          <w:sz w:val="34"/>
          <w:szCs w:val="34"/>
          <w:rtl/>
          <w:lang w:val="fr-CH"/>
        </w:rPr>
        <w:t>ألبانيا وجورجيا ولاتفيا وبولندا)</w:t>
      </w:r>
      <w:r w:rsidRPr="004548B8">
        <w:rPr>
          <w:rFonts w:ascii="Arabic Typesetting" w:hAnsi="Arabic Typesetting" w:cs="Arabic Typesetting" w:hint="cs"/>
          <w:sz w:val="34"/>
          <w:szCs w:val="34"/>
          <w:rtl/>
          <w:lang w:val="fr-CH"/>
        </w:rPr>
        <w:t xml:space="preserve"> </w:t>
      </w:r>
      <w:r w:rsidR="00757F16">
        <w:rPr>
          <w:rFonts w:ascii="Arabic Typesetting" w:hAnsi="Arabic Typesetting" w:cs="Arabic Typesetting" w:hint="cs"/>
          <w:sz w:val="34"/>
          <w:szCs w:val="34"/>
          <w:rtl/>
          <w:lang w:val="fr-CH"/>
        </w:rPr>
        <w:t>وضع</w:t>
      </w:r>
      <w:r w:rsidR="008F622F">
        <w:rPr>
          <w:rFonts w:ascii="Arabic Typesetting" w:hAnsi="Arabic Typesetting" w:cs="Arabic Typesetting" w:hint="cs"/>
          <w:sz w:val="34"/>
          <w:szCs w:val="34"/>
          <w:rtl/>
          <w:lang w:val="fr-CH"/>
        </w:rPr>
        <w:t xml:space="preserve"> استراتيجية جديدة في</w:t>
      </w:r>
      <w:r w:rsidRPr="004548B8">
        <w:rPr>
          <w:rFonts w:ascii="Arabic Typesetting" w:hAnsi="Arabic Typesetting" w:cs="Arabic Typesetting" w:hint="cs"/>
          <w:sz w:val="34"/>
          <w:szCs w:val="34"/>
          <w:rtl/>
          <w:lang w:val="fr-CH"/>
        </w:rPr>
        <w:t xml:space="preserve"> هذا الصدد. وفضلا</w:t>
      </w:r>
      <w:r w:rsidR="00757F16">
        <w:rPr>
          <w:rFonts w:ascii="Arabic Typesetting" w:hAnsi="Arabic Typesetting" w:cs="Arabic Typesetting" w:hint="cs"/>
          <w:sz w:val="34"/>
          <w:szCs w:val="34"/>
          <w:rtl/>
          <w:lang w:val="fr-CH"/>
        </w:rPr>
        <w:t>ً</w:t>
      </w:r>
      <w:r w:rsidRPr="004548B8">
        <w:rPr>
          <w:rFonts w:ascii="Arabic Typesetting" w:hAnsi="Arabic Typesetting" w:cs="Arabic Typesetting" w:hint="cs"/>
          <w:sz w:val="34"/>
          <w:szCs w:val="34"/>
          <w:rtl/>
          <w:lang w:val="fr-CH"/>
        </w:rPr>
        <w:t xml:space="preserve"> عن ذلك أجرى البرنامج تقييما</w:t>
      </w:r>
      <w:r w:rsidR="008F622F">
        <w:rPr>
          <w:rFonts w:ascii="Arabic Typesetting" w:hAnsi="Arabic Typesetting" w:cs="Arabic Typesetting" w:hint="cs"/>
          <w:sz w:val="34"/>
          <w:szCs w:val="34"/>
          <w:rtl/>
          <w:lang w:val="fr-CH"/>
        </w:rPr>
        <w:t>ً</w:t>
      </w:r>
      <w:r w:rsidRPr="004548B8">
        <w:rPr>
          <w:rFonts w:ascii="Arabic Typesetting" w:hAnsi="Arabic Typesetting" w:cs="Arabic Typesetting" w:hint="cs"/>
          <w:sz w:val="34"/>
          <w:szCs w:val="34"/>
          <w:rtl/>
          <w:lang w:val="fr-CH"/>
        </w:rPr>
        <w:t xml:space="preserve"> عقب التنفيذ في ثلاثة بلدان (بيلاروس وجمهورية مولدوفا وصربيا) لتقدير حصائل تنفيذ استراتيجيات الملكية الفكرية والوقوف على العبر المستخلصة.</w:t>
      </w:r>
    </w:p>
    <w:p w:rsidR="0007678E" w:rsidRDefault="004548B8" w:rsidP="009A3712">
      <w:pPr>
        <w:numPr>
          <w:ilvl w:val="0"/>
          <w:numId w:val="35"/>
        </w:numPr>
        <w:bidi/>
        <w:spacing w:after="120" w:line="340" w:lineRule="exact"/>
        <w:ind w:left="0" w:firstLine="0"/>
        <w:rPr>
          <w:rFonts w:ascii="Arabic Typesetting" w:hAnsi="Arabic Typesetting" w:cs="Arabic Typesetting"/>
          <w:sz w:val="34"/>
          <w:szCs w:val="34"/>
          <w:lang w:bidi="ar-EG"/>
        </w:rPr>
      </w:pPr>
      <w:r w:rsidRPr="004548B8">
        <w:rPr>
          <w:rFonts w:ascii="Arabic Typesetting" w:hAnsi="Arabic Typesetting" w:cs="Arabic Typesetting" w:hint="cs"/>
          <w:sz w:val="34"/>
          <w:szCs w:val="34"/>
          <w:rtl/>
          <w:lang w:bidi="ar-EG"/>
        </w:rPr>
        <w:t>وتماشيا</w:t>
      </w:r>
      <w:r w:rsidR="0007678E">
        <w:rPr>
          <w:rFonts w:ascii="Arabic Typesetting" w:hAnsi="Arabic Typesetting" w:cs="Arabic Typesetting" w:hint="cs"/>
          <w:sz w:val="34"/>
          <w:szCs w:val="34"/>
          <w:rtl/>
          <w:lang w:bidi="ar-EG"/>
        </w:rPr>
        <w:t>ً</w:t>
      </w:r>
      <w:r w:rsidRPr="004548B8">
        <w:rPr>
          <w:rFonts w:ascii="Arabic Typesetting" w:hAnsi="Arabic Typesetting" w:cs="Arabic Typesetting" w:hint="cs"/>
          <w:sz w:val="34"/>
          <w:szCs w:val="34"/>
          <w:rtl/>
          <w:lang w:bidi="ar-EG"/>
        </w:rPr>
        <w:t xml:space="preserve"> مع خطط التعاون والاستراتيجيات الوطنية في مجال الملكية الفكرية، وعقب الحصول على المساعدة من الويبو، بما في ذلك الأنشطة الترويجية، عدّلت </w:t>
      </w:r>
      <w:r w:rsidR="0007678E">
        <w:rPr>
          <w:rFonts w:ascii="Arabic Typesetting" w:hAnsi="Arabic Typesetting" w:cs="Arabic Typesetting" w:hint="cs"/>
          <w:sz w:val="34"/>
          <w:szCs w:val="34"/>
          <w:rtl/>
          <w:lang w:bidi="ar-EG"/>
        </w:rPr>
        <w:t>تسعة</w:t>
      </w:r>
      <w:r w:rsidRPr="004548B8">
        <w:rPr>
          <w:rFonts w:ascii="Arabic Typesetting" w:hAnsi="Arabic Typesetting" w:cs="Arabic Typesetting" w:hint="cs"/>
          <w:sz w:val="34"/>
          <w:szCs w:val="34"/>
          <w:rtl/>
          <w:lang w:bidi="ar-EG"/>
        </w:rPr>
        <w:t xml:space="preserve"> بلدان (كازاخستان </w:t>
      </w:r>
      <w:r w:rsidR="0007678E">
        <w:rPr>
          <w:rFonts w:ascii="Arabic Typesetting" w:hAnsi="Arabic Typesetting" w:cs="Arabic Typesetting" w:hint="cs"/>
          <w:sz w:val="34"/>
          <w:szCs w:val="34"/>
          <w:rtl/>
          <w:lang w:bidi="ar-EG"/>
        </w:rPr>
        <w:t>و</w:t>
      </w:r>
      <w:r w:rsidR="0007678E" w:rsidRPr="0007678E">
        <w:rPr>
          <w:rFonts w:ascii="Arabic Typesetting" w:hAnsi="Arabic Typesetting" w:cs="Arabic Typesetting"/>
          <w:sz w:val="34"/>
          <w:szCs w:val="34"/>
          <w:rtl/>
          <w:lang w:bidi="ar-EG"/>
        </w:rPr>
        <w:t>قيرغيزستان</w:t>
      </w:r>
      <w:r w:rsidR="0007678E">
        <w:rPr>
          <w:rFonts w:ascii="Arabic Typesetting" w:hAnsi="Arabic Typesetting" w:cs="Arabic Typesetting" w:hint="cs"/>
          <w:sz w:val="34"/>
          <w:szCs w:val="34"/>
          <w:rtl/>
          <w:lang w:bidi="ar-EG"/>
        </w:rPr>
        <w:t xml:space="preserve"> ولاتفيا وليتوانيا والجبل الأسود وجمهورية مولدوفا والاتحاد الروسي وطاجيكستان وتركمانستان) </w:t>
      </w:r>
      <w:r w:rsidRPr="004548B8">
        <w:rPr>
          <w:rFonts w:ascii="Arabic Typesetting" w:hAnsi="Arabic Typesetting" w:cs="Arabic Typesetting" w:hint="cs"/>
          <w:sz w:val="34"/>
          <w:szCs w:val="34"/>
          <w:rtl/>
          <w:lang w:bidi="ar-EG"/>
        </w:rPr>
        <w:t>تشريعاتها الوطنية في مجال الملكية الفكرية</w:t>
      </w:r>
      <w:r w:rsidR="0007678E">
        <w:rPr>
          <w:rFonts w:ascii="Arabic Typesetting" w:hAnsi="Arabic Typesetting" w:cs="Arabic Typesetting" w:hint="cs"/>
          <w:sz w:val="34"/>
          <w:szCs w:val="34"/>
          <w:rtl/>
          <w:lang w:bidi="ar-EG"/>
        </w:rPr>
        <w:t xml:space="preserve"> و/أو انضمت إلى معاهدات تديرها الويبو.</w:t>
      </w:r>
    </w:p>
    <w:p w:rsidR="004548B8" w:rsidRPr="004548B8" w:rsidRDefault="0007678E" w:rsidP="009A3712">
      <w:pPr>
        <w:numPr>
          <w:ilvl w:val="0"/>
          <w:numId w:val="35"/>
        </w:numPr>
        <w:bidi/>
        <w:spacing w:after="120" w:line="340" w:lineRule="exact"/>
        <w:ind w:left="0" w:firstLine="0"/>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t>و</w:t>
      </w:r>
      <w:r w:rsidR="004548B8" w:rsidRPr="004548B8">
        <w:rPr>
          <w:rFonts w:ascii="Arabic Typesetting" w:hAnsi="Arabic Typesetting" w:cs="Arabic Typesetting" w:hint="cs"/>
          <w:sz w:val="34"/>
          <w:szCs w:val="34"/>
          <w:rtl/>
          <w:lang w:bidi="ar-EG"/>
        </w:rPr>
        <w:t>نُفّذت مشروعات وأنشطة في إستونيا وليتوانيا وبولندا والاتحاد</w:t>
      </w:r>
      <w:r>
        <w:rPr>
          <w:rFonts w:ascii="Arabic Typesetting" w:hAnsi="Arabic Typesetting" w:cs="Arabic Typesetting" w:hint="eastAsia"/>
          <w:sz w:val="34"/>
          <w:szCs w:val="34"/>
          <w:rtl/>
          <w:lang w:bidi="ar-EG"/>
        </w:rPr>
        <w:t> </w:t>
      </w:r>
      <w:r w:rsidR="004548B8" w:rsidRPr="004548B8">
        <w:rPr>
          <w:rFonts w:ascii="Arabic Typesetting" w:hAnsi="Arabic Typesetting" w:cs="Arabic Typesetting" w:hint="cs"/>
          <w:sz w:val="34"/>
          <w:szCs w:val="34"/>
          <w:rtl/>
          <w:lang w:bidi="ar-EG"/>
        </w:rPr>
        <w:t>الروسي وسلوفاكيا وأوزبكستان</w:t>
      </w:r>
      <w:r w:rsidRPr="0007678E">
        <w:rPr>
          <w:rFonts w:ascii="Arabic Typesetting" w:hAnsi="Arabic Typesetting" w:cs="Arabic Typesetting" w:hint="cs"/>
          <w:sz w:val="34"/>
          <w:szCs w:val="34"/>
          <w:rtl/>
          <w:lang w:bidi="ar-EG"/>
        </w:rPr>
        <w:t xml:space="preserve"> </w:t>
      </w:r>
      <w:r w:rsidR="008F622F">
        <w:rPr>
          <w:rFonts w:ascii="Arabic Typesetting" w:hAnsi="Arabic Typesetting" w:cs="Arabic Typesetting" w:hint="cs"/>
          <w:sz w:val="34"/>
          <w:szCs w:val="34"/>
          <w:rtl/>
          <w:lang w:bidi="ar-EG"/>
        </w:rPr>
        <w:t>دعماً ل</w:t>
      </w:r>
      <w:r>
        <w:rPr>
          <w:rFonts w:ascii="Arabic Typesetting" w:hAnsi="Arabic Typesetting" w:cs="Arabic Typesetting" w:hint="cs"/>
          <w:sz w:val="34"/>
          <w:szCs w:val="34"/>
          <w:rtl/>
          <w:lang w:bidi="ar-EG"/>
        </w:rPr>
        <w:t>رسم</w:t>
      </w:r>
      <w:r w:rsidRPr="004548B8">
        <w:rPr>
          <w:rFonts w:ascii="Arabic Typesetting" w:hAnsi="Arabic Typesetting" w:cs="Arabic Typesetting" w:hint="cs"/>
          <w:sz w:val="34"/>
          <w:szCs w:val="34"/>
          <w:rtl/>
          <w:lang w:bidi="ar-EG"/>
        </w:rPr>
        <w:t xml:space="preserve"> سياسات الملكية الفكرية في </w:t>
      </w:r>
      <w:r>
        <w:rPr>
          <w:rFonts w:ascii="Arabic Typesetting" w:hAnsi="Arabic Typesetting" w:cs="Arabic Typesetting" w:hint="cs"/>
          <w:sz w:val="34"/>
          <w:szCs w:val="34"/>
          <w:rtl/>
          <w:lang w:bidi="ar-EG"/>
        </w:rPr>
        <w:t>الجامعات</w:t>
      </w:r>
      <w:r w:rsidR="004548B8" w:rsidRPr="004548B8">
        <w:rPr>
          <w:rFonts w:ascii="Arabic Typesetting" w:hAnsi="Arabic Typesetting" w:cs="Arabic Typesetting" w:hint="cs"/>
          <w:sz w:val="34"/>
          <w:szCs w:val="34"/>
          <w:rtl/>
          <w:lang w:bidi="ar-EG"/>
        </w:rPr>
        <w:t>. وبمساعدة من الويبو</w:t>
      </w:r>
      <w:r>
        <w:rPr>
          <w:rFonts w:ascii="Arabic Typesetting" w:hAnsi="Arabic Typesetting" w:cs="Arabic Typesetting" w:hint="cs"/>
          <w:sz w:val="34"/>
          <w:szCs w:val="34"/>
          <w:rtl/>
          <w:lang w:bidi="ar-EG"/>
        </w:rPr>
        <w:t>،</w:t>
      </w:r>
      <w:r w:rsidR="004548B8" w:rsidRPr="004548B8">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وضعت</w:t>
      </w:r>
      <w:r w:rsidR="004548B8" w:rsidRPr="004548B8">
        <w:rPr>
          <w:rFonts w:ascii="Arabic Typesetting" w:hAnsi="Arabic Typesetting" w:cs="Arabic Typesetting" w:hint="cs"/>
          <w:sz w:val="34"/>
          <w:szCs w:val="34"/>
          <w:rtl/>
          <w:lang w:bidi="ar-EG"/>
        </w:rPr>
        <w:t xml:space="preserve"> جامعة في الاتحاد الروسي وجامعة في أوزبكستان سياسات في مجال الملكية الفكرية في عام 2014</w:t>
      </w:r>
      <w:r>
        <w:rPr>
          <w:rFonts w:ascii="Arabic Typesetting" w:hAnsi="Arabic Typesetting" w:cs="Arabic Typesetting" w:hint="cs"/>
          <w:sz w:val="34"/>
          <w:szCs w:val="34"/>
          <w:rtl/>
          <w:lang w:bidi="ar-EG"/>
        </w:rPr>
        <w:t>.</w:t>
      </w:r>
      <w:r w:rsidR="004548B8" w:rsidRPr="004548B8">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وفضلاً عن</w:t>
      </w:r>
      <w:r w:rsidR="004548B8" w:rsidRPr="004548B8">
        <w:rPr>
          <w:rFonts w:ascii="Arabic Typesetting" w:hAnsi="Arabic Typesetting" w:cs="Arabic Typesetting" w:hint="cs"/>
          <w:sz w:val="34"/>
          <w:szCs w:val="34"/>
          <w:rtl/>
          <w:lang w:bidi="ar-EG"/>
        </w:rPr>
        <w:t xml:space="preserve"> ذلك</w:t>
      </w:r>
      <w:r>
        <w:rPr>
          <w:rFonts w:ascii="Arabic Typesetting" w:hAnsi="Arabic Typesetting" w:cs="Arabic Typesetting" w:hint="cs"/>
          <w:sz w:val="34"/>
          <w:szCs w:val="34"/>
          <w:rtl/>
          <w:lang w:bidi="ar-EG"/>
        </w:rPr>
        <w:t>،</w:t>
      </w:r>
      <w:r w:rsidR="004548B8" w:rsidRPr="004548B8">
        <w:rPr>
          <w:rFonts w:ascii="Arabic Typesetting" w:hAnsi="Arabic Typesetting" w:cs="Arabic Typesetting" w:hint="cs"/>
          <w:sz w:val="34"/>
          <w:szCs w:val="34"/>
          <w:rtl/>
          <w:lang w:bidi="ar-EG"/>
        </w:rPr>
        <w:t xml:space="preserve"> اعتمدت بولندا في 1 أكتوبر 2014 قانون التعليم العالي الذي يلزم جميع مؤسسات التعليم العالي (</w:t>
      </w:r>
      <w:r>
        <w:rPr>
          <w:rFonts w:ascii="Arabic Typesetting" w:hAnsi="Arabic Typesetting" w:cs="Arabic Typesetting" w:hint="cs"/>
          <w:sz w:val="34"/>
          <w:szCs w:val="34"/>
          <w:rtl/>
          <w:lang w:bidi="ar-EG"/>
        </w:rPr>
        <w:t>132</w:t>
      </w:r>
      <w:r w:rsidR="004548B8" w:rsidRPr="004548B8">
        <w:rPr>
          <w:rFonts w:ascii="Arabic Typesetting" w:hAnsi="Arabic Typesetting" w:cs="Arabic Typesetting" w:hint="cs"/>
          <w:sz w:val="34"/>
          <w:szCs w:val="34"/>
          <w:rtl/>
          <w:lang w:bidi="ar-EG"/>
        </w:rPr>
        <w:t xml:space="preserve"> مؤسسة عامة </w:t>
      </w:r>
      <w:r>
        <w:rPr>
          <w:rFonts w:ascii="Arabic Typesetting" w:hAnsi="Arabic Typesetting" w:cs="Arabic Typesetting" w:hint="cs"/>
          <w:sz w:val="34"/>
          <w:szCs w:val="34"/>
          <w:rtl/>
          <w:lang w:bidi="ar-EG"/>
        </w:rPr>
        <w:t>و302</w:t>
      </w:r>
      <w:r w:rsidR="004548B8" w:rsidRPr="004548B8">
        <w:rPr>
          <w:rFonts w:ascii="Arabic Typesetting" w:hAnsi="Arabic Typesetting" w:cs="Arabic Typesetting" w:hint="cs"/>
          <w:sz w:val="34"/>
          <w:szCs w:val="34"/>
          <w:rtl/>
          <w:lang w:bidi="ar-EG"/>
        </w:rPr>
        <w:t xml:space="preserve"> مؤسسة خاصة) بوضع سياسة محدّثة في مجال الملكية الفكرية في موعد </w:t>
      </w:r>
      <w:r>
        <w:rPr>
          <w:rFonts w:ascii="Arabic Typesetting" w:hAnsi="Arabic Typesetting" w:cs="Arabic Typesetting" w:hint="cs"/>
          <w:sz w:val="34"/>
          <w:szCs w:val="34"/>
          <w:rtl/>
          <w:lang w:bidi="ar-EG"/>
        </w:rPr>
        <w:t xml:space="preserve">أقصاه 31 مارس 2015. وفي نهاية الثنائية، </w:t>
      </w:r>
      <w:r w:rsidR="004548B8" w:rsidRPr="004548B8">
        <w:rPr>
          <w:rFonts w:ascii="Arabic Typesetting" w:hAnsi="Arabic Typesetting" w:cs="Arabic Typesetting" w:hint="cs"/>
          <w:sz w:val="34"/>
          <w:szCs w:val="34"/>
          <w:rtl/>
          <w:lang w:bidi="ar-EG"/>
        </w:rPr>
        <w:t xml:space="preserve">كانت </w:t>
      </w:r>
      <w:r>
        <w:rPr>
          <w:rFonts w:ascii="Arabic Typesetting" w:hAnsi="Arabic Typesetting" w:cs="Arabic Typesetting" w:hint="cs"/>
          <w:sz w:val="34"/>
          <w:szCs w:val="34"/>
          <w:rtl/>
          <w:lang w:bidi="ar-EG"/>
        </w:rPr>
        <w:t>434</w:t>
      </w:r>
      <w:r w:rsidR="004548B8" w:rsidRPr="004548B8">
        <w:rPr>
          <w:rFonts w:ascii="Arabic Typesetting" w:hAnsi="Arabic Typesetting" w:cs="Arabic Typesetting" w:hint="cs"/>
          <w:sz w:val="34"/>
          <w:szCs w:val="34"/>
          <w:rtl/>
          <w:lang w:bidi="ar-EG"/>
        </w:rPr>
        <w:t xml:space="preserve"> جامعة</w:t>
      </w:r>
      <w:r>
        <w:rPr>
          <w:rFonts w:ascii="Arabic Typesetting" w:hAnsi="Arabic Typesetting" w:cs="Arabic Typesetting" w:hint="cs"/>
          <w:sz w:val="34"/>
          <w:szCs w:val="34"/>
          <w:rtl/>
          <w:lang w:bidi="ar-EG"/>
        </w:rPr>
        <w:t>/مؤسسة تعليم عالٍ</w:t>
      </w:r>
      <w:r w:rsidR="004548B8" w:rsidRPr="004548B8">
        <w:rPr>
          <w:rFonts w:ascii="Arabic Typesetting" w:hAnsi="Arabic Typesetting" w:cs="Arabic Typesetting" w:hint="cs"/>
          <w:sz w:val="34"/>
          <w:szCs w:val="34"/>
          <w:rtl/>
          <w:lang w:bidi="ar-EG"/>
        </w:rPr>
        <w:t xml:space="preserve"> </w:t>
      </w:r>
      <w:r w:rsidR="006255EA">
        <w:rPr>
          <w:rFonts w:ascii="Arabic Typesetting" w:hAnsi="Arabic Typesetting" w:cs="Arabic Typesetting" w:hint="cs"/>
          <w:sz w:val="34"/>
          <w:szCs w:val="34"/>
          <w:rtl/>
          <w:lang w:bidi="ar-EG"/>
        </w:rPr>
        <w:t xml:space="preserve">في بولدنا </w:t>
      </w:r>
      <w:r w:rsidR="004548B8" w:rsidRPr="004548B8">
        <w:rPr>
          <w:rFonts w:ascii="Arabic Typesetting" w:hAnsi="Arabic Typesetting" w:cs="Arabic Typesetting" w:hint="cs"/>
          <w:sz w:val="34"/>
          <w:szCs w:val="34"/>
          <w:rtl/>
          <w:lang w:bidi="ar-EG"/>
        </w:rPr>
        <w:t xml:space="preserve">قد </w:t>
      </w:r>
      <w:r>
        <w:rPr>
          <w:rFonts w:ascii="Arabic Typesetting" w:hAnsi="Arabic Typesetting" w:cs="Arabic Typesetting" w:hint="cs"/>
          <w:sz w:val="34"/>
          <w:szCs w:val="34"/>
          <w:rtl/>
          <w:lang w:bidi="ar-EG"/>
        </w:rPr>
        <w:t>استحدثت</w:t>
      </w:r>
      <w:r w:rsidR="004548B8" w:rsidRPr="004548B8">
        <w:rPr>
          <w:rFonts w:ascii="Arabic Typesetting" w:hAnsi="Arabic Typesetting" w:cs="Arabic Typesetting" w:hint="cs"/>
          <w:sz w:val="34"/>
          <w:szCs w:val="34"/>
          <w:rtl/>
          <w:lang w:bidi="ar-EG"/>
        </w:rPr>
        <w:t xml:space="preserve"> سياسات</w:t>
      </w:r>
      <w:r>
        <w:rPr>
          <w:rFonts w:ascii="Arabic Typesetting" w:hAnsi="Arabic Typesetting" w:cs="Arabic Typesetting" w:hint="cs"/>
          <w:sz w:val="34"/>
          <w:szCs w:val="34"/>
          <w:rtl/>
          <w:lang w:bidi="ar-EG"/>
        </w:rPr>
        <w:t xml:space="preserve"> </w:t>
      </w:r>
      <w:r w:rsidR="004548B8" w:rsidRPr="004548B8">
        <w:rPr>
          <w:rFonts w:ascii="Arabic Typesetting" w:hAnsi="Arabic Typesetting" w:cs="Arabic Typesetting" w:hint="cs"/>
          <w:sz w:val="34"/>
          <w:szCs w:val="34"/>
          <w:rtl/>
          <w:lang w:bidi="ar-EG"/>
        </w:rPr>
        <w:t>في مجال الملكية</w:t>
      </w:r>
      <w:r w:rsidR="006255EA">
        <w:rPr>
          <w:rFonts w:ascii="Arabic Typesetting" w:hAnsi="Arabic Typesetting" w:cs="Arabic Typesetting" w:hint="eastAsia"/>
          <w:sz w:val="34"/>
          <w:szCs w:val="34"/>
          <w:rtl/>
          <w:lang w:bidi="ar-EG"/>
        </w:rPr>
        <w:t> </w:t>
      </w:r>
      <w:r w:rsidR="004548B8" w:rsidRPr="004548B8">
        <w:rPr>
          <w:rFonts w:ascii="Arabic Typesetting" w:hAnsi="Arabic Typesetting" w:cs="Arabic Typesetting" w:hint="cs"/>
          <w:sz w:val="34"/>
          <w:szCs w:val="34"/>
          <w:rtl/>
          <w:lang w:bidi="ar-EG"/>
        </w:rPr>
        <w:t>الفكرية.</w:t>
      </w:r>
    </w:p>
    <w:p w:rsidR="006255EA" w:rsidRDefault="006255EA" w:rsidP="009A3712">
      <w:pPr>
        <w:numPr>
          <w:ilvl w:val="0"/>
          <w:numId w:val="35"/>
        </w:numPr>
        <w:bidi/>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val="fr-CH"/>
        </w:rPr>
        <w:t>و</w:t>
      </w:r>
      <w:r w:rsidR="004548B8" w:rsidRPr="004548B8">
        <w:rPr>
          <w:rFonts w:ascii="Arabic Typesetting" w:hAnsi="Arabic Typesetting" w:cs="Arabic Typesetting"/>
          <w:sz w:val="34"/>
          <w:szCs w:val="34"/>
          <w:rtl/>
          <w:lang w:val="fr-CH"/>
        </w:rPr>
        <w:t>واصل</w:t>
      </w:r>
      <w:r w:rsidR="004548B8" w:rsidRPr="004548B8">
        <w:rPr>
          <w:rFonts w:ascii="Arabic Typesetting" w:hAnsi="Arabic Typesetting" w:cs="Arabic Typesetting"/>
          <w:sz w:val="34"/>
          <w:szCs w:val="34"/>
          <w:rtl/>
          <w:lang w:bidi="ar-EG"/>
        </w:rPr>
        <w:t xml:space="preserve"> البرنامج دعم </w:t>
      </w:r>
      <w:r w:rsidR="004548B8" w:rsidRPr="004548B8">
        <w:rPr>
          <w:rFonts w:ascii="Arabic Typesetting" w:hAnsi="Arabic Typesetting" w:cs="Arabic Typesetting" w:hint="cs"/>
          <w:sz w:val="34"/>
          <w:szCs w:val="34"/>
          <w:rtl/>
          <w:lang w:bidi="ar-EG"/>
        </w:rPr>
        <w:t xml:space="preserve">البلدان </w:t>
      </w:r>
      <w:r w:rsidR="004548B8" w:rsidRPr="004548B8">
        <w:rPr>
          <w:rFonts w:ascii="Arabic Typesetting" w:hAnsi="Arabic Typesetting" w:cs="Arabic Typesetting"/>
          <w:sz w:val="34"/>
          <w:szCs w:val="34"/>
          <w:rtl/>
          <w:lang w:bidi="ar-EG"/>
        </w:rPr>
        <w:t xml:space="preserve">في </w:t>
      </w:r>
      <w:r w:rsidR="004548B8" w:rsidRPr="004548B8">
        <w:rPr>
          <w:rFonts w:ascii="Arabic Typesetting" w:hAnsi="Arabic Typesetting" w:cs="Arabic Typesetting" w:hint="cs"/>
          <w:sz w:val="34"/>
          <w:szCs w:val="34"/>
          <w:rtl/>
          <w:lang w:bidi="ar-EG"/>
        </w:rPr>
        <w:t>تكوين كفاءات مواردها</w:t>
      </w:r>
      <w:r w:rsidR="004548B8" w:rsidRPr="004548B8">
        <w:rPr>
          <w:rFonts w:ascii="Arabic Typesetting" w:hAnsi="Arabic Typesetting" w:cs="Arabic Typesetting"/>
          <w:sz w:val="34"/>
          <w:szCs w:val="34"/>
          <w:rtl/>
          <w:lang w:bidi="ar-EG"/>
        </w:rPr>
        <w:t xml:space="preserve"> البشرية </w:t>
      </w:r>
      <w:r w:rsidR="004548B8" w:rsidRPr="004548B8">
        <w:rPr>
          <w:rFonts w:ascii="Arabic Typesetting" w:hAnsi="Arabic Typesetting" w:cs="Arabic Typesetting" w:hint="cs"/>
          <w:sz w:val="34"/>
          <w:szCs w:val="34"/>
          <w:rtl/>
          <w:lang w:bidi="ar-EG"/>
        </w:rPr>
        <w:t xml:space="preserve">الوطنية </w:t>
      </w:r>
      <w:r>
        <w:rPr>
          <w:rFonts w:ascii="Arabic Typesetting" w:hAnsi="Arabic Typesetting" w:cs="Arabic Typesetting" w:hint="cs"/>
          <w:sz w:val="34"/>
          <w:szCs w:val="34"/>
          <w:rtl/>
          <w:lang w:bidi="ar-EG"/>
        </w:rPr>
        <w:t>وتوعيتها</w:t>
      </w:r>
      <w:r w:rsidR="004548B8" w:rsidRPr="004548B8">
        <w:rPr>
          <w:rFonts w:ascii="Arabic Typesetting" w:hAnsi="Arabic Typesetting" w:cs="Arabic Typesetting" w:hint="cs"/>
          <w:sz w:val="34"/>
          <w:szCs w:val="34"/>
          <w:rtl/>
          <w:lang w:bidi="ar-EG"/>
        </w:rPr>
        <w:t xml:space="preserve"> و</w:t>
      </w:r>
      <w:r>
        <w:rPr>
          <w:rFonts w:ascii="Arabic Typesetting" w:hAnsi="Arabic Typesetting" w:cs="Arabic Typesetting" w:hint="cs"/>
          <w:sz w:val="34"/>
          <w:szCs w:val="34"/>
          <w:rtl/>
          <w:lang w:bidi="ar-EG"/>
        </w:rPr>
        <w:t xml:space="preserve">تعزيز </w:t>
      </w:r>
      <w:r w:rsidR="004548B8" w:rsidRPr="004548B8">
        <w:rPr>
          <w:rFonts w:ascii="Arabic Typesetting" w:hAnsi="Arabic Typesetting" w:cs="Arabic Typesetting" w:hint="cs"/>
          <w:sz w:val="34"/>
          <w:szCs w:val="34"/>
          <w:rtl/>
          <w:lang w:bidi="ar-EG"/>
        </w:rPr>
        <w:t>أسسها المعرفية</w:t>
      </w:r>
      <w:r w:rsidR="004548B8" w:rsidRPr="004548B8">
        <w:rPr>
          <w:rFonts w:ascii="Arabic Typesetting" w:hAnsi="Arabic Typesetting" w:cs="Arabic Typesetting"/>
          <w:sz w:val="34"/>
          <w:szCs w:val="34"/>
          <w:rtl/>
          <w:lang w:bidi="ar-EG"/>
        </w:rPr>
        <w:t xml:space="preserve"> </w:t>
      </w:r>
      <w:r w:rsidR="004548B8" w:rsidRPr="004548B8">
        <w:rPr>
          <w:rFonts w:ascii="Arabic Typesetting" w:hAnsi="Arabic Typesetting" w:cs="Arabic Typesetting" w:hint="cs"/>
          <w:sz w:val="34"/>
          <w:szCs w:val="34"/>
          <w:rtl/>
          <w:lang w:bidi="ar-EG"/>
        </w:rPr>
        <w:t>لاستخدام</w:t>
      </w:r>
      <w:r w:rsidR="004548B8" w:rsidRPr="004548B8">
        <w:rPr>
          <w:rFonts w:ascii="Arabic Typesetting" w:hAnsi="Arabic Typesetting" w:cs="Arabic Typesetting"/>
          <w:sz w:val="34"/>
          <w:szCs w:val="34"/>
          <w:rtl/>
          <w:lang w:bidi="ar-EG"/>
        </w:rPr>
        <w:t xml:space="preserve"> </w:t>
      </w:r>
      <w:r w:rsidR="004548B8" w:rsidRPr="004548B8">
        <w:rPr>
          <w:rFonts w:ascii="Arabic Typesetting" w:hAnsi="Arabic Typesetting" w:cs="Arabic Typesetting" w:hint="cs"/>
          <w:sz w:val="34"/>
          <w:szCs w:val="34"/>
          <w:rtl/>
          <w:lang w:bidi="ar-EG"/>
        </w:rPr>
        <w:t>ا</w:t>
      </w:r>
      <w:r w:rsidR="004548B8" w:rsidRPr="004548B8">
        <w:rPr>
          <w:rFonts w:ascii="Arabic Typesetting" w:hAnsi="Arabic Typesetting" w:cs="Arabic Typesetting"/>
          <w:sz w:val="34"/>
          <w:szCs w:val="34"/>
          <w:rtl/>
          <w:lang w:bidi="ar-EG"/>
        </w:rPr>
        <w:t xml:space="preserve">لملكية الفكرية </w:t>
      </w:r>
      <w:r w:rsidR="004548B8" w:rsidRPr="004548B8">
        <w:rPr>
          <w:rFonts w:ascii="Arabic Typesetting" w:hAnsi="Arabic Typesetting" w:cs="Arabic Typesetting" w:hint="cs"/>
          <w:sz w:val="34"/>
          <w:szCs w:val="34"/>
          <w:rtl/>
          <w:lang w:bidi="ar-EG"/>
        </w:rPr>
        <w:t>استخداما</w:t>
      </w:r>
      <w:r w:rsidR="00FF1783">
        <w:rPr>
          <w:rFonts w:ascii="Arabic Typesetting" w:hAnsi="Arabic Typesetting" w:cs="Arabic Typesetting" w:hint="cs"/>
          <w:sz w:val="34"/>
          <w:szCs w:val="34"/>
          <w:rtl/>
          <w:lang w:bidi="ar-EG"/>
        </w:rPr>
        <w:t>ً</w:t>
      </w:r>
      <w:r w:rsidR="004548B8" w:rsidRPr="004548B8">
        <w:rPr>
          <w:rFonts w:ascii="Arabic Typesetting" w:hAnsi="Arabic Typesetting" w:cs="Arabic Typesetting" w:hint="cs"/>
          <w:sz w:val="34"/>
          <w:szCs w:val="34"/>
          <w:rtl/>
          <w:lang w:bidi="ar-EG"/>
        </w:rPr>
        <w:t xml:space="preserve"> فعالا</w:t>
      </w:r>
      <w:r w:rsidR="00FF1783">
        <w:rPr>
          <w:rFonts w:ascii="Arabic Typesetting" w:hAnsi="Arabic Typesetting" w:cs="Arabic Typesetting" w:hint="cs"/>
          <w:sz w:val="34"/>
          <w:szCs w:val="34"/>
          <w:rtl/>
          <w:lang w:bidi="ar-EG"/>
        </w:rPr>
        <w:t>ً</w:t>
      </w:r>
      <w:r w:rsidR="004548B8" w:rsidRPr="004548B8">
        <w:rPr>
          <w:rFonts w:ascii="Arabic Typesetting" w:hAnsi="Arabic Typesetting" w:cs="Arabic Typesetting" w:hint="cs"/>
          <w:sz w:val="34"/>
          <w:szCs w:val="34"/>
          <w:rtl/>
          <w:lang w:bidi="ar-EG"/>
        </w:rPr>
        <w:t xml:space="preserve"> في سبيل تحقيق</w:t>
      </w:r>
      <w:r w:rsidR="004548B8" w:rsidRPr="004548B8">
        <w:rPr>
          <w:rFonts w:ascii="Arabic Typesetting" w:hAnsi="Arabic Typesetting" w:cs="Arabic Typesetting"/>
          <w:sz w:val="34"/>
          <w:szCs w:val="34"/>
          <w:rtl/>
          <w:lang w:bidi="ar-EG"/>
        </w:rPr>
        <w:t xml:space="preserve"> التنمية الاقتصادية والاجتماعية والثقافية. </w:t>
      </w:r>
      <w:r>
        <w:rPr>
          <w:rFonts w:ascii="Arabic Typesetting" w:hAnsi="Arabic Typesetting" w:cs="Arabic Typesetting" w:hint="cs"/>
          <w:sz w:val="34"/>
          <w:szCs w:val="34"/>
          <w:rtl/>
          <w:lang w:bidi="ar-EG"/>
        </w:rPr>
        <w:t xml:space="preserve">وشهدت الثنائية </w:t>
      </w:r>
      <w:r w:rsidR="00507DE2">
        <w:rPr>
          <w:rFonts w:ascii="Arabic Typesetting" w:hAnsi="Arabic Typesetting" w:cs="Arabic Typesetting" w:hint="cs"/>
          <w:sz w:val="34"/>
          <w:szCs w:val="34"/>
          <w:rtl/>
          <w:lang w:bidi="ar-EG"/>
        </w:rPr>
        <w:t>2014/15</w:t>
      </w:r>
      <w:r w:rsidR="004548B8" w:rsidRPr="004548B8">
        <w:rPr>
          <w:rFonts w:ascii="Arabic Typesetting" w:hAnsi="Arabic Typesetting" w:cs="Arabic Typesetting"/>
          <w:sz w:val="34"/>
          <w:szCs w:val="34"/>
          <w:rtl/>
          <w:lang w:bidi="ar-EG"/>
        </w:rPr>
        <w:t xml:space="preserve"> تدريب </w:t>
      </w:r>
      <w:r>
        <w:rPr>
          <w:rFonts w:ascii="Arabic Typesetting" w:hAnsi="Arabic Typesetting" w:cs="Arabic Typesetting" w:hint="cs"/>
          <w:sz w:val="34"/>
          <w:szCs w:val="34"/>
          <w:rtl/>
          <w:lang w:bidi="ar-EG"/>
        </w:rPr>
        <w:t>أكثر من</w:t>
      </w:r>
      <w:r w:rsidR="004548B8" w:rsidRPr="004548B8">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6000</w:t>
      </w:r>
      <w:r w:rsidR="004548B8" w:rsidRPr="004548B8">
        <w:rPr>
          <w:rFonts w:ascii="Arabic Typesetting" w:hAnsi="Arabic Typesetting" w:cs="Arabic Typesetting"/>
          <w:sz w:val="34"/>
          <w:szCs w:val="34"/>
          <w:rtl/>
          <w:lang w:bidi="ar-EG"/>
        </w:rPr>
        <w:t xml:space="preserve"> أخصائي وخبير </w:t>
      </w:r>
      <w:r>
        <w:rPr>
          <w:rFonts w:ascii="Arabic Typesetting" w:hAnsi="Arabic Typesetting" w:cs="Arabic Typesetting" w:hint="cs"/>
          <w:sz w:val="34"/>
          <w:szCs w:val="34"/>
          <w:rtl/>
          <w:lang w:bidi="ar-EG"/>
        </w:rPr>
        <w:t>من عدة جهات، منها مكاتب وطنية للملكية الفكرية ووكالات حكومية أخرى وشركات صغيرة ومتوسطة وجامعات ومؤسسات بحث عام</w:t>
      </w:r>
      <w:r w:rsidR="00FF1783">
        <w:rPr>
          <w:rFonts w:ascii="Arabic Typesetting" w:hAnsi="Arabic Typesetting" w:cs="Arabic Typesetting" w:hint="cs"/>
          <w:sz w:val="34"/>
          <w:szCs w:val="34"/>
          <w:rtl/>
          <w:lang w:bidi="ar-EG"/>
        </w:rPr>
        <w:t>ة</w:t>
      </w:r>
      <w:r>
        <w:rPr>
          <w:rFonts w:ascii="Arabic Typesetting" w:hAnsi="Arabic Typesetting" w:cs="Arabic Typesetting" w:hint="cs"/>
          <w:sz w:val="34"/>
          <w:szCs w:val="34"/>
          <w:rtl/>
          <w:lang w:bidi="ar-EG"/>
        </w:rPr>
        <w:t>، عن طريق برامج مخصصة للملكية الفكرية تشمل مسائل إدارة الملكية الفكرية ونقل التكنولوجيا، والشركات الصغيرة والمتوسطة، والإنفاذ، وحق المؤلف، وتعليم أصول الملكية الفكرية، وخدمات الويبو. وأدلى المشاركون في هذه</w:t>
      </w:r>
      <w:r w:rsidR="00FF1783">
        <w:rPr>
          <w:rFonts w:ascii="Arabic Typesetting" w:hAnsi="Arabic Typesetting" w:cs="Arabic Typesetting" w:hint="eastAsia"/>
          <w:sz w:val="34"/>
          <w:szCs w:val="34"/>
          <w:rtl/>
          <w:lang w:bidi="ar-EG"/>
        </w:rPr>
        <w:t> </w:t>
      </w:r>
      <w:r>
        <w:rPr>
          <w:rFonts w:ascii="Arabic Typesetting" w:hAnsi="Arabic Typesetting" w:cs="Arabic Typesetting" w:hint="cs"/>
          <w:sz w:val="34"/>
          <w:szCs w:val="34"/>
          <w:rtl/>
          <w:lang w:bidi="ar-EG"/>
        </w:rPr>
        <w:t xml:space="preserve">البرامج بتعليقات إيجابية في عدد من الاستبيانات الموزعة عقب البرنامج: إذ </w:t>
      </w:r>
      <w:r w:rsidR="00FF1783">
        <w:rPr>
          <w:rFonts w:ascii="Arabic Typesetting" w:hAnsi="Arabic Typesetting" w:cs="Arabic Typesetting" w:hint="cs"/>
          <w:sz w:val="34"/>
          <w:szCs w:val="34"/>
          <w:rtl/>
          <w:lang w:bidi="ar-EG"/>
        </w:rPr>
        <w:t>أبدى</w:t>
      </w:r>
      <w:r>
        <w:rPr>
          <w:rFonts w:ascii="Arabic Typesetting" w:hAnsi="Arabic Typesetting" w:cs="Arabic Typesetting" w:hint="cs"/>
          <w:sz w:val="34"/>
          <w:szCs w:val="34"/>
          <w:rtl/>
          <w:lang w:bidi="ar-EG"/>
        </w:rPr>
        <w:t xml:space="preserve"> 95.8 بالمئة من المجيبين رضاهم عن هذه البرامج وأكد 82.7 منهم أن هذه البرامج قد مكنتهم من تحسين مهاراتهم المهنية.</w:t>
      </w:r>
    </w:p>
    <w:p w:rsidR="004548B8" w:rsidRDefault="006255EA" w:rsidP="009A3712">
      <w:pPr>
        <w:numPr>
          <w:ilvl w:val="0"/>
          <w:numId w:val="35"/>
        </w:numPr>
        <w:bidi/>
        <w:spacing w:after="120" w:line="340" w:lineRule="exact"/>
        <w:ind w:left="0" w:firstLine="0"/>
        <w:rPr>
          <w:rFonts w:ascii="Arabic Typesetting" w:hAnsi="Arabic Typesetting" w:cs="Arabic Typesetting"/>
          <w:sz w:val="34"/>
          <w:szCs w:val="34"/>
          <w:lang w:bidi="ar-EG"/>
        </w:rPr>
      </w:pPr>
      <w:r w:rsidRPr="006255EA">
        <w:rPr>
          <w:rFonts w:ascii="Arabic Typesetting" w:hAnsi="Arabic Typesetting" w:cs="Arabic Typesetting" w:hint="cs"/>
          <w:sz w:val="34"/>
          <w:szCs w:val="34"/>
          <w:rtl/>
          <w:lang w:bidi="ar-EG"/>
        </w:rPr>
        <w:t>ونظمت</w:t>
      </w:r>
      <w:r w:rsidR="004548B8" w:rsidRPr="006255EA">
        <w:rPr>
          <w:rFonts w:ascii="Arabic Typesetting" w:hAnsi="Arabic Typesetting" w:cs="Arabic Typesetting"/>
          <w:sz w:val="34"/>
          <w:szCs w:val="34"/>
          <w:rtl/>
          <w:lang w:bidi="ar-EG"/>
        </w:rPr>
        <w:t xml:space="preserve"> مدارس الويبو الص</w:t>
      </w:r>
      <w:r>
        <w:rPr>
          <w:rFonts w:ascii="Arabic Typesetting" w:hAnsi="Arabic Typesetting" w:cs="Arabic Typesetting"/>
          <w:sz w:val="34"/>
          <w:szCs w:val="34"/>
          <w:rtl/>
          <w:lang w:bidi="ar-EG"/>
        </w:rPr>
        <w:t>يفية في كرواتيا والاتحاد الروسي</w:t>
      </w:r>
      <w:r>
        <w:rPr>
          <w:rFonts w:ascii="Arabic Typesetting" w:hAnsi="Arabic Typesetting" w:cs="Arabic Typesetting" w:hint="cs"/>
          <w:sz w:val="34"/>
          <w:szCs w:val="34"/>
          <w:rtl/>
          <w:lang w:bidi="ar-EG"/>
        </w:rPr>
        <w:t xml:space="preserve"> خلال الثنائية </w:t>
      </w:r>
      <w:r w:rsidR="00507DE2">
        <w:rPr>
          <w:rFonts w:ascii="Arabic Typesetting" w:hAnsi="Arabic Typesetting" w:cs="Arabic Typesetting" w:hint="cs"/>
          <w:sz w:val="34"/>
          <w:szCs w:val="34"/>
          <w:rtl/>
          <w:lang w:bidi="ar-EG"/>
        </w:rPr>
        <w:t>2014/15</w:t>
      </w:r>
      <w:r>
        <w:rPr>
          <w:rFonts w:ascii="Arabic Typesetting" w:hAnsi="Arabic Typesetting" w:cs="Arabic Typesetting" w:hint="cs"/>
          <w:sz w:val="34"/>
          <w:szCs w:val="34"/>
          <w:rtl/>
          <w:lang w:bidi="ar-EG"/>
        </w:rPr>
        <w:t>.</w:t>
      </w:r>
    </w:p>
    <w:p w:rsidR="006255EA" w:rsidRDefault="006255EA" w:rsidP="009A3712">
      <w:pPr>
        <w:numPr>
          <w:ilvl w:val="0"/>
          <w:numId w:val="35"/>
        </w:numPr>
        <w:bidi/>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وتواصل خلال الثنائية دعم البلدان التي تمر بمرحلة انتقالية في وضع مناهج لتعليم أصول الملكية الفكرية ووضع برامج أو دورات تدريب</w:t>
      </w:r>
      <w:r w:rsidR="001408CA">
        <w:rPr>
          <w:rFonts w:ascii="Arabic Typesetting" w:hAnsi="Arabic Typesetting" w:cs="Arabic Typesetting" w:hint="cs"/>
          <w:sz w:val="34"/>
          <w:szCs w:val="34"/>
          <w:rtl/>
          <w:lang w:bidi="ar-EG"/>
        </w:rPr>
        <w:t>ية</w:t>
      </w:r>
      <w:r>
        <w:rPr>
          <w:rFonts w:ascii="Arabic Typesetting" w:hAnsi="Arabic Typesetting" w:cs="Arabic Typesetting" w:hint="cs"/>
          <w:sz w:val="34"/>
          <w:szCs w:val="34"/>
          <w:rtl/>
          <w:lang w:bidi="ar-EG"/>
        </w:rPr>
        <w:t xml:space="preserve"> سنوية في مجال الملكية الفكرية لفائدة المهنيين العاملين في هذا المجال.</w:t>
      </w:r>
      <w:r w:rsidR="000E593C">
        <w:rPr>
          <w:rFonts w:ascii="Arabic Typesetting" w:hAnsi="Arabic Typesetting" w:cs="Arabic Typesetting" w:hint="cs"/>
          <w:sz w:val="34"/>
          <w:szCs w:val="34"/>
          <w:rtl/>
          <w:lang w:bidi="ar-EG"/>
        </w:rPr>
        <w:t xml:space="preserve"> فقدِّم الدعم إلى حكومة رومانيا </w:t>
      </w:r>
      <w:r w:rsidR="00FF1783">
        <w:rPr>
          <w:rFonts w:ascii="Arabic Typesetting" w:hAnsi="Arabic Typesetting" w:cs="Arabic Typesetting" w:hint="cs"/>
          <w:sz w:val="34"/>
          <w:szCs w:val="34"/>
          <w:rtl/>
          <w:lang w:bidi="ar-EG"/>
        </w:rPr>
        <w:t>ل</w:t>
      </w:r>
      <w:r w:rsidR="000E593C">
        <w:rPr>
          <w:rFonts w:ascii="Arabic Typesetting" w:hAnsi="Arabic Typesetting" w:cs="Arabic Typesetting" w:hint="cs"/>
          <w:sz w:val="34"/>
          <w:szCs w:val="34"/>
          <w:rtl/>
          <w:lang w:bidi="ar-EG"/>
        </w:rPr>
        <w:t>إدراج دورة اختيارية عن الملكية الفكرية في كل المدارس الثانوية</w:t>
      </w:r>
      <w:r w:rsidR="00FF1783">
        <w:rPr>
          <w:rFonts w:ascii="Arabic Typesetting" w:hAnsi="Arabic Typesetting" w:cs="Arabic Typesetting" w:hint="cs"/>
          <w:sz w:val="34"/>
          <w:szCs w:val="34"/>
          <w:rtl/>
          <w:lang w:bidi="ar-EG"/>
        </w:rPr>
        <w:t xml:space="preserve"> </w:t>
      </w:r>
      <w:r w:rsidR="00FF1783">
        <w:rPr>
          <w:rFonts w:ascii="Arabic Typesetting" w:hAnsi="Arabic Typesetting" w:cs="Arabic Typesetting"/>
          <w:sz w:val="34"/>
          <w:szCs w:val="34"/>
          <w:rtl/>
          <w:lang w:bidi="ar-EG"/>
        </w:rPr>
        <w:t>–</w:t>
      </w:r>
      <w:r w:rsidR="000E593C">
        <w:rPr>
          <w:rFonts w:ascii="Arabic Typesetting" w:hAnsi="Arabic Typesetting" w:cs="Arabic Typesetting" w:hint="cs"/>
          <w:sz w:val="34"/>
          <w:szCs w:val="34"/>
          <w:rtl/>
          <w:lang w:bidi="ar-EG"/>
        </w:rPr>
        <w:t xml:space="preserve"> وهو البرنامج المدرسي لدورة التعليم الاختيارية</w:t>
      </w:r>
      <w:r w:rsidR="00FF1783">
        <w:rPr>
          <w:rFonts w:ascii="Arabic Typesetting" w:hAnsi="Arabic Typesetting" w:cs="Arabic Typesetting" w:hint="cs"/>
          <w:sz w:val="34"/>
          <w:szCs w:val="34"/>
          <w:rtl/>
          <w:lang w:bidi="ar-EG"/>
        </w:rPr>
        <w:t xml:space="preserve"> بشأن حقوق الملكية الفكرية (يرجع</w:t>
      </w:r>
      <w:r w:rsidR="00FF1783">
        <w:rPr>
          <w:rFonts w:ascii="Arabic Typesetting" w:hAnsi="Arabic Typesetting" w:cs="Arabic Typesetting" w:hint="eastAsia"/>
          <w:sz w:val="34"/>
          <w:szCs w:val="34"/>
          <w:rtl/>
          <w:lang w:bidi="ar-EG"/>
        </w:rPr>
        <w:t> </w:t>
      </w:r>
      <w:r w:rsidR="00FF1783">
        <w:rPr>
          <w:rFonts w:ascii="Arabic Typesetting" w:hAnsi="Arabic Typesetting" w:cs="Arabic Typesetting" w:hint="cs"/>
          <w:sz w:val="34"/>
          <w:szCs w:val="34"/>
          <w:rtl/>
          <w:lang w:bidi="ar-EG"/>
        </w:rPr>
        <w:t xml:space="preserve">اختيار </w:t>
      </w:r>
      <w:r w:rsidR="000E593C">
        <w:rPr>
          <w:rFonts w:ascii="Arabic Typesetting" w:hAnsi="Arabic Typesetting" w:cs="Arabic Typesetting" w:hint="cs"/>
          <w:sz w:val="34"/>
          <w:szCs w:val="34"/>
          <w:rtl/>
          <w:lang w:bidi="ar-EG"/>
        </w:rPr>
        <w:t xml:space="preserve">المنهج </w:t>
      </w:r>
      <w:r w:rsidR="00FF1783">
        <w:rPr>
          <w:rFonts w:ascii="Arabic Typesetting" w:hAnsi="Arabic Typesetting" w:cs="Arabic Typesetting" w:hint="cs"/>
          <w:sz w:val="34"/>
          <w:szCs w:val="34"/>
          <w:rtl/>
          <w:lang w:bidi="ar-EG"/>
        </w:rPr>
        <w:t>إلى</w:t>
      </w:r>
      <w:r w:rsidR="000E593C">
        <w:rPr>
          <w:rFonts w:ascii="Arabic Typesetting" w:hAnsi="Arabic Typesetting" w:cs="Arabic Typesetting" w:hint="cs"/>
          <w:sz w:val="34"/>
          <w:szCs w:val="34"/>
          <w:rtl/>
          <w:lang w:bidi="ar-EG"/>
        </w:rPr>
        <w:t xml:space="preserve"> المدرسة الثانوية) الذي اعتُمد وأدرج رسمياً في المناهج اعتباراً من 27 مارس 2015.</w:t>
      </w:r>
    </w:p>
    <w:p w:rsidR="004548B8" w:rsidRDefault="004548B8" w:rsidP="009A3712">
      <w:pPr>
        <w:numPr>
          <w:ilvl w:val="0"/>
          <w:numId w:val="35"/>
        </w:numPr>
        <w:bidi/>
        <w:spacing w:after="120" w:line="340" w:lineRule="exact"/>
        <w:ind w:left="0" w:firstLine="0"/>
        <w:rPr>
          <w:rFonts w:ascii="Arabic Typesetting" w:hAnsi="Arabic Typesetting" w:cs="Arabic Typesetting"/>
          <w:sz w:val="34"/>
          <w:szCs w:val="34"/>
          <w:lang w:bidi="ar-EG"/>
        </w:rPr>
      </w:pPr>
      <w:r w:rsidRPr="004548B8">
        <w:rPr>
          <w:rFonts w:ascii="Arabic Typesetting" w:hAnsi="Arabic Typesetting" w:cs="Arabic Typesetting" w:hint="cs"/>
          <w:sz w:val="34"/>
          <w:szCs w:val="34"/>
          <w:rtl/>
          <w:lang w:bidi="ar-EG"/>
        </w:rPr>
        <w:t>وواصل البرنامج تعزيز الجهود المبذولة لتحسين تنسيق خدمات الويبو والترويج لها وتقديمها، بهدف زيادة استخدامها ف</w:t>
      </w:r>
      <w:r w:rsidR="000E593C">
        <w:rPr>
          <w:rFonts w:ascii="Arabic Typesetting" w:hAnsi="Arabic Typesetting" w:cs="Arabic Typesetting" w:hint="cs"/>
          <w:sz w:val="34"/>
          <w:szCs w:val="34"/>
          <w:rtl/>
          <w:lang w:bidi="ar-EG"/>
        </w:rPr>
        <w:t xml:space="preserve">ي </w:t>
      </w:r>
      <w:r w:rsidRPr="004548B8">
        <w:rPr>
          <w:rFonts w:ascii="Arabic Typesetting" w:hAnsi="Arabic Typesetting" w:cs="Arabic Typesetting" w:hint="cs"/>
          <w:sz w:val="34"/>
          <w:szCs w:val="34"/>
          <w:rtl/>
          <w:lang w:bidi="ar-EG"/>
        </w:rPr>
        <w:t>البلدان المنتقلة إلى نظام الاقتصاد الحر والبلدان المتقدمة.</w:t>
      </w:r>
    </w:p>
    <w:p w:rsidR="00B23315" w:rsidRDefault="000E593C" w:rsidP="009A3712">
      <w:pPr>
        <w:keepLines/>
        <w:numPr>
          <w:ilvl w:val="0"/>
          <w:numId w:val="35"/>
        </w:numPr>
        <w:bidi/>
        <w:spacing w:after="120" w:line="340" w:lineRule="exact"/>
        <w:ind w:left="0" w:firstLine="0"/>
        <w:rPr>
          <w:rFonts w:ascii="Arabic Typesetting" w:hAnsi="Arabic Typesetting" w:cs="Arabic Typesetting"/>
          <w:sz w:val="34"/>
          <w:szCs w:val="34"/>
          <w:lang w:bidi="ar-EG"/>
        </w:rPr>
      </w:pPr>
      <w:r w:rsidRPr="00B23315">
        <w:rPr>
          <w:rFonts w:ascii="Arabic Typesetting" w:hAnsi="Arabic Typesetting" w:cs="Arabic Typesetting" w:hint="cs"/>
          <w:sz w:val="34"/>
          <w:szCs w:val="34"/>
          <w:rtl/>
          <w:lang w:bidi="ar-EG"/>
        </w:rPr>
        <w:lastRenderedPageBreak/>
        <w:t xml:space="preserve">وفي الثنائية </w:t>
      </w:r>
      <w:r w:rsidR="00507DE2">
        <w:rPr>
          <w:rFonts w:ascii="Arabic Typesetting" w:hAnsi="Arabic Typesetting" w:cs="Arabic Typesetting" w:hint="cs"/>
          <w:sz w:val="34"/>
          <w:szCs w:val="34"/>
          <w:rtl/>
          <w:lang w:bidi="ar-EG"/>
        </w:rPr>
        <w:t>2014/15</w:t>
      </w:r>
      <w:r w:rsidRPr="00B23315">
        <w:rPr>
          <w:rFonts w:ascii="Arabic Typesetting" w:hAnsi="Arabic Typesetting" w:cs="Arabic Typesetting" w:hint="cs"/>
          <w:sz w:val="34"/>
          <w:szCs w:val="34"/>
          <w:rtl/>
          <w:lang w:bidi="ar-EG"/>
        </w:rPr>
        <w:t xml:space="preserve">، حضر نحو 3000 مهني من 18 بلداً (أستراليا والنمسا وبلجيكا وفنلندا وفرنسا وألمانيا </w:t>
      </w:r>
      <w:proofErr w:type="spellStart"/>
      <w:r w:rsidRPr="00B23315">
        <w:rPr>
          <w:rFonts w:ascii="Arabic Typesetting" w:hAnsi="Arabic Typesetting" w:cs="Arabic Typesetting" w:hint="cs"/>
          <w:sz w:val="34"/>
          <w:szCs w:val="34"/>
          <w:rtl/>
          <w:lang w:bidi="ar-EG"/>
        </w:rPr>
        <w:t>وآيرلندا</w:t>
      </w:r>
      <w:proofErr w:type="spellEnd"/>
      <w:r w:rsidRPr="00B23315">
        <w:rPr>
          <w:rFonts w:ascii="Arabic Typesetting" w:hAnsi="Arabic Typesetting" w:cs="Arabic Typesetting" w:hint="cs"/>
          <w:sz w:val="34"/>
          <w:szCs w:val="34"/>
          <w:rtl/>
          <w:lang w:bidi="ar-EG"/>
        </w:rPr>
        <w:t xml:space="preserve"> وإسرائيل وإيطاليا واليابان ولكسمبرغ وهولندا ونيوزيلندا والبرتغال وإسبانيا والسويد والمملكة المتحدة والولايات المتحدة الأمريكية) 36 ندوة متنقلة عن خدمات الويبو ومبادراتها. </w:t>
      </w:r>
      <w:r w:rsidR="00B23315">
        <w:rPr>
          <w:rFonts w:ascii="Arabic Typesetting" w:hAnsi="Arabic Typesetting" w:cs="Arabic Typesetting" w:hint="cs"/>
          <w:sz w:val="34"/>
          <w:szCs w:val="34"/>
          <w:rtl/>
          <w:lang w:bidi="ar-EG"/>
        </w:rPr>
        <w:t xml:space="preserve">وقد ورد عن أكثر من 90 بالمئة من المجيبين إما الموافقة أو الموافقة بشدة على أن الندوة ستدفعهم </w:t>
      </w:r>
      <w:r w:rsidR="00FF1783">
        <w:rPr>
          <w:rFonts w:ascii="Arabic Typesetting" w:hAnsi="Arabic Typesetting" w:cs="Arabic Typesetting" w:hint="cs"/>
          <w:sz w:val="34"/>
          <w:szCs w:val="34"/>
          <w:rtl/>
          <w:lang w:bidi="ar-EG"/>
        </w:rPr>
        <w:t>ل</w:t>
      </w:r>
      <w:r w:rsidR="00B23315">
        <w:rPr>
          <w:rFonts w:ascii="Arabic Typesetting" w:hAnsi="Arabic Typesetting" w:cs="Arabic Typesetting" w:hint="cs"/>
          <w:sz w:val="34"/>
          <w:szCs w:val="34"/>
          <w:rtl/>
          <w:lang w:bidi="ar-EG"/>
        </w:rPr>
        <w:t xml:space="preserve">استخدام خدمات الويبو في مجال الملكية الفكرية أو </w:t>
      </w:r>
      <w:proofErr w:type="spellStart"/>
      <w:r w:rsidR="00B23315">
        <w:rPr>
          <w:rFonts w:ascii="Arabic Typesetting" w:hAnsi="Arabic Typesetting" w:cs="Arabic Typesetting" w:hint="cs"/>
          <w:sz w:val="34"/>
          <w:szCs w:val="34"/>
          <w:rtl/>
          <w:lang w:bidi="ar-EG"/>
        </w:rPr>
        <w:t>الإيصاء</w:t>
      </w:r>
      <w:proofErr w:type="spellEnd"/>
      <w:r w:rsidR="00B23315">
        <w:rPr>
          <w:rFonts w:ascii="Arabic Typesetting" w:hAnsi="Arabic Typesetting" w:cs="Arabic Typesetting" w:hint="cs"/>
          <w:sz w:val="34"/>
          <w:szCs w:val="34"/>
          <w:rtl/>
          <w:lang w:bidi="ar-EG"/>
        </w:rPr>
        <w:t xml:space="preserve"> باستخدامها. وفضلاً عن ذلك، ورد عن 98 بالمئة من المجيبين عن استبيانات متابعة الندوة إما الموافقة أو الموافقة بشدة على أن الندوة قد عزز</w:t>
      </w:r>
      <w:r w:rsidR="00FF1783">
        <w:rPr>
          <w:rFonts w:ascii="Arabic Typesetting" w:hAnsi="Arabic Typesetting" w:cs="Arabic Typesetting" w:hint="cs"/>
          <w:sz w:val="34"/>
          <w:szCs w:val="34"/>
          <w:rtl/>
          <w:lang w:bidi="ar-EG"/>
        </w:rPr>
        <w:t>ت</w:t>
      </w:r>
      <w:r w:rsidR="00B23315">
        <w:rPr>
          <w:rFonts w:ascii="Arabic Typesetting" w:hAnsi="Arabic Typesetting" w:cs="Arabic Typesetting" w:hint="cs"/>
          <w:sz w:val="34"/>
          <w:szCs w:val="34"/>
          <w:rtl/>
          <w:lang w:bidi="ar-EG"/>
        </w:rPr>
        <w:t xml:space="preserve"> فهمهم لخدمات الويبو وأعرب 35</w:t>
      </w:r>
      <w:r w:rsidR="00FF1783">
        <w:rPr>
          <w:rFonts w:ascii="Arabic Typesetting" w:hAnsi="Arabic Typesetting" w:cs="Arabic Typesetting" w:hint="eastAsia"/>
          <w:sz w:val="34"/>
          <w:szCs w:val="34"/>
          <w:rtl/>
          <w:lang w:bidi="ar-EG"/>
        </w:rPr>
        <w:t> </w:t>
      </w:r>
      <w:r w:rsidR="00B23315">
        <w:rPr>
          <w:rFonts w:ascii="Arabic Typesetting" w:hAnsi="Arabic Typesetting" w:cs="Arabic Typesetting" w:hint="cs"/>
          <w:sz w:val="34"/>
          <w:szCs w:val="34"/>
          <w:rtl/>
          <w:lang w:bidi="ar-EG"/>
        </w:rPr>
        <w:t>بالمئة منهم عن موافقتهم أو موافقتهم بشدة على أن استخدام منظمتهم لخدمات الويبو قد ازداد عقب هذه الندوة.</w:t>
      </w:r>
    </w:p>
    <w:p w:rsidR="004548B8" w:rsidRDefault="004548B8" w:rsidP="009A3712">
      <w:pPr>
        <w:numPr>
          <w:ilvl w:val="0"/>
          <w:numId w:val="35"/>
        </w:numPr>
        <w:bidi/>
        <w:spacing w:after="120" w:line="340" w:lineRule="exact"/>
        <w:ind w:left="0" w:firstLine="0"/>
        <w:rPr>
          <w:rFonts w:ascii="Arabic Typesetting" w:hAnsi="Arabic Typesetting" w:cs="Arabic Typesetting"/>
          <w:sz w:val="34"/>
          <w:szCs w:val="34"/>
          <w:lang w:bidi="ar-EG"/>
        </w:rPr>
      </w:pPr>
      <w:r w:rsidRPr="004548B8">
        <w:rPr>
          <w:rFonts w:ascii="Arabic Typesetting" w:hAnsi="Arabic Typesetting" w:cs="Arabic Typesetting" w:hint="cs"/>
          <w:sz w:val="34"/>
          <w:szCs w:val="34"/>
          <w:rtl/>
          <w:lang w:bidi="ar-EG"/>
        </w:rPr>
        <w:t>وب</w:t>
      </w:r>
      <w:r w:rsidR="001408CA">
        <w:rPr>
          <w:rFonts w:ascii="Arabic Typesetting" w:hAnsi="Arabic Typesetting" w:cs="Arabic Typesetting" w:hint="cs"/>
          <w:sz w:val="34"/>
          <w:szCs w:val="34"/>
          <w:rtl/>
          <w:lang w:bidi="ar-EG"/>
        </w:rPr>
        <w:t>ُ</w:t>
      </w:r>
      <w:r w:rsidRPr="004548B8">
        <w:rPr>
          <w:rFonts w:ascii="Arabic Typesetting" w:hAnsi="Arabic Typesetting" w:cs="Arabic Typesetting" w:hint="cs"/>
          <w:sz w:val="34"/>
          <w:szCs w:val="34"/>
          <w:rtl/>
          <w:lang w:bidi="ar-EG"/>
        </w:rPr>
        <w:t>ذل المزيد من الجهود</w:t>
      </w:r>
      <w:r w:rsidR="00B449D6">
        <w:rPr>
          <w:rFonts w:ascii="Arabic Typesetting" w:hAnsi="Arabic Typesetting" w:cs="Arabic Typesetting" w:hint="cs"/>
          <w:sz w:val="34"/>
          <w:szCs w:val="34"/>
          <w:rtl/>
          <w:lang w:bidi="ar-EG"/>
        </w:rPr>
        <w:t xml:space="preserve"> في </w:t>
      </w:r>
      <w:r w:rsidR="00507DE2">
        <w:rPr>
          <w:rFonts w:ascii="Arabic Typesetting" w:hAnsi="Arabic Typesetting" w:cs="Arabic Typesetting" w:hint="cs"/>
          <w:sz w:val="34"/>
          <w:szCs w:val="34"/>
          <w:rtl/>
          <w:lang w:bidi="ar-EG"/>
        </w:rPr>
        <w:t>2014/15</w:t>
      </w:r>
      <w:r w:rsidRPr="004548B8">
        <w:rPr>
          <w:rFonts w:ascii="Arabic Typesetting" w:hAnsi="Arabic Typesetting" w:cs="Arabic Typesetting" w:hint="cs"/>
          <w:sz w:val="34"/>
          <w:szCs w:val="34"/>
          <w:rtl/>
          <w:lang w:bidi="ar-EG"/>
        </w:rPr>
        <w:t xml:space="preserve"> لتوثيق عرى الصلات المؤسسية والنهوض بالشراكات مع أصحاب المصالح في البلدان المنتقلة إلى نظام الاقتصاد الحر والبلدان المتقدمة، بما في ذلك المنظمات الإقليمية ومكاتب الملكية الفكرية والمنظمات غير الحكومية والجمعيات التجارية التي تمثل مستخدمي خدمات الويبو. ولهذا الغرض، استقبل البرنامج العديد من زيارات أصحاب المصلحة من البلدان المعنية وسهّل لقاءات إعلامية للويبو حول القضايا ذات الاهتمام. ونظمت العديد من بعثات تحديد النطاق بغية تحسين تقيمي الاحتياجات والطلبات لدى البلدان المعنية واتّفق على </w:t>
      </w:r>
      <w:r w:rsidR="00B449D6">
        <w:rPr>
          <w:rFonts w:ascii="Arabic Typesetting" w:hAnsi="Arabic Typesetting" w:cs="Arabic Typesetting" w:hint="cs"/>
          <w:sz w:val="34"/>
          <w:szCs w:val="34"/>
          <w:rtl/>
          <w:lang w:bidi="ar-EG"/>
        </w:rPr>
        <w:t>خمس</w:t>
      </w:r>
      <w:r w:rsidRPr="004548B8">
        <w:rPr>
          <w:rFonts w:ascii="Arabic Typesetting" w:hAnsi="Arabic Typesetting" w:cs="Arabic Typesetting" w:hint="cs"/>
          <w:sz w:val="34"/>
          <w:szCs w:val="34"/>
          <w:rtl/>
          <w:lang w:bidi="ar-EG"/>
        </w:rPr>
        <w:t xml:space="preserve"> مذكرات تفاهم جديدة في </w:t>
      </w:r>
      <w:r w:rsidR="00507DE2">
        <w:rPr>
          <w:rFonts w:ascii="Arabic Typesetting" w:hAnsi="Arabic Typesetting" w:cs="Arabic Typesetting" w:hint="cs"/>
          <w:sz w:val="34"/>
          <w:szCs w:val="34"/>
          <w:rtl/>
          <w:lang w:bidi="ar-EG"/>
        </w:rPr>
        <w:t>2014/15</w:t>
      </w:r>
      <w:r w:rsidRPr="004548B8">
        <w:rPr>
          <w:rFonts w:ascii="Arabic Typesetting" w:hAnsi="Arabic Typesetting" w:cs="Arabic Typesetting" w:hint="cs"/>
          <w:sz w:val="34"/>
          <w:szCs w:val="34"/>
          <w:rtl/>
          <w:lang w:bidi="ar-EG"/>
        </w:rPr>
        <w:t xml:space="preserve"> مع أصحاب المصلحة من الدانمرك </w:t>
      </w:r>
      <w:r w:rsidR="00B449D6">
        <w:rPr>
          <w:rFonts w:ascii="Arabic Typesetting" w:hAnsi="Arabic Typesetting" w:cs="Arabic Typesetting" w:hint="cs"/>
          <w:sz w:val="34"/>
          <w:szCs w:val="34"/>
          <w:rtl/>
          <w:lang w:bidi="ar-EG"/>
        </w:rPr>
        <w:t xml:space="preserve">وفرنسا </w:t>
      </w:r>
      <w:r w:rsidRPr="004548B8">
        <w:rPr>
          <w:rFonts w:ascii="Arabic Typesetting" w:hAnsi="Arabic Typesetting" w:cs="Arabic Typesetting" w:hint="cs"/>
          <w:sz w:val="34"/>
          <w:szCs w:val="34"/>
          <w:rtl/>
          <w:lang w:bidi="ar-EG"/>
        </w:rPr>
        <w:t>وألمانيا وإسرائيل وإسبانيا.</w:t>
      </w:r>
    </w:p>
    <w:p w:rsidR="00B449D6" w:rsidRPr="00B449D6" w:rsidRDefault="00B449D6" w:rsidP="009A3712">
      <w:pPr>
        <w:numPr>
          <w:ilvl w:val="0"/>
          <w:numId w:val="35"/>
        </w:numPr>
        <w:bidi/>
        <w:spacing w:after="120" w:line="340" w:lineRule="exact"/>
        <w:ind w:left="0" w:firstLine="0"/>
        <w:rPr>
          <w:rFonts w:ascii="Arabic Typesetting" w:hAnsi="Arabic Typesetting" w:cs="Arabic Typesetting"/>
          <w:sz w:val="34"/>
          <w:szCs w:val="34"/>
          <w:rtl/>
          <w:lang w:bidi="ar-EG"/>
        </w:rPr>
      </w:pPr>
      <w:r w:rsidRPr="00B449D6">
        <w:rPr>
          <w:rFonts w:ascii="Arabic Typesetting" w:hAnsi="Arabic Typesetting" w:cs="Arabic Typesetting"/>
          <w:sz w:val="34"/>
          <w:szCs w:val="34"/>
          <w:rtl/>
          <w:lang w:bidi="ar-EG"/>
        </w:rPr>
        <w:t>‏وسعيا</w:t>
      </w:r>
      <w:r w:rsidR="001408CA">
        <w:rPr>
          <w:rFonts w:ascii="Arabic Typesetting" w:hAnsi="Arabic Typesetting" w:cs="Arabic Typesetting" w:hint="cs"/>
          <w:sz w:val="34"/>
          <w:szCs w:val="34"/>
          <w:rtl/>
          <w:lang w:bidi="ar-EG"/>
        </w:rPr>
        <w:t>ً</w:t>
      </w:r>
      <w:r w:rsidRPr="00B449D6">
        <w:rPr>
          <w:rFonts w:ascii="Arabic Typesetting" w:hAnsi="Arabic Typesetting" w:cs="Arabic Typesetting"/>
          <w:sz w:val="34"/>
          <w:szCs w:val="34"/>
          <w:rtl/>
          <w:lang w:bidi="ar-EG"/>
        </w:rPr>
        <w:t xml:space="preserve"> إلى تعميم </w:t>
      </w:r>
      <w:r w:rsidRPr="00B449D6">
        <w:rPr>
          <w:rFonts w:ascii="Arabic Typesetting" w:hAnsi="Arabic Typesetting" w:cs="Arabic Typesetting" w:hint="cs"/>
          <w:sz w:val="34"/>
          <w:szCs w:val="34"/>
          <w:rtl/>
          <w:lang w:bidi="ar-EG"/>
        </w:rPr>
        <w:t>المنظور الجنساني</w:t>
      </w:r>
      <w:r w:rsidRPr="00B449D6">
        <w:rPr>
          <w:rFonts w:ascii="Arabic Typesetting" w:hAnsi="Arabic Typesetting" w:cs="Arabic Typesetting"/>
          <w:sz w:val="34"/>
          <w:szCs w:val="34"/>
          <w:rtl/>
          <w:lang w:bidi="ar-EG"/>
        </w:rPr>
        <w:t xml:space="preserve"> في أعمال البرنامج، استمر التعاون مع جمعية النساء المخترعات والمقاولات في العالم </w:t>
      </w:r>
      <w:r w:rsidRPr="00B449D6">
        <w:rPr>
          <w:rFonts w:ascii="Arabic Typesetting" w:hAnsi="Arabic Typesetting" w:cs="Arabic Typesetting" w:hint="cs"/>
          <w:sz w:val="34"/>
          <w:szCs w:val="34"/>
          <w:rtl/>
          <w:lang w:bidi="ar-EG"/>
        </w:rPr>
        <w:t>على مدار الثنائية</w:t>
      </w:r>
      <w:r w:rsidRPr="00B449D6">
        <w:rPr>
          <w:rFonts w:ascii="Arabic Typesetting" w:hAnsi="Arabic Typesetting" w:cs="Arabic Typesetting"/>
          <w:sz w:val="34"/>
          <w:szCs w:val="34"/>
          <w:rtl/>
          <w:lang w:bidi="ar-EG"/>
        </w:rPr>
        <w:t>، ما أدى إلى تنظيم برنامج مشترك للتعليم العالمي في نوفمبر حول الأفكار والاختراع والابتكار والملكية الفكرية – بذرة مشروع لعام 2014، وهو برنامج تدريبي فعال للنساء في آسيا الوسطى. وفضلا</w:t>
      </w:r>
      <w:r w:rsidRPr="00B449D6">
        <w:rPr>
          <w:rFonts w:ascii="Arabic Typesetting" w:hAnsi="Arabic Typesetting" w:cs="Arabic Typesetting" w:hint="cs"/>
          <w:sz w:val="34"/>
          <w:szCs w:val="34"/>
          <w:rtl/>
          <w:lang w:bidi="ar-EG"/>
        </w:rPr>
        <w:t>ً</w:t>
      </w:r>
      <w:r w:rsidRPr="00B449D6">
        <w:rPr>
          <w:rFonts w:ascii="Arabic Typesetting" w:hAnsi="Arabic Typesetting" w:cs="Arabic Typesetting"/>
          <w:sz w:val="34"/>
          <w:szCs w:val="34"/>
          <w:rtl/>
          <w:lang w:bidi="ar-EG"/>
        </w:rPr>
        <w:t xml:space="preserve"> عن ذلك</w:t>
      </w:r>
      <w:r w:rsidRPr="00B449D6">
        <w:rPr>
          <w:rFonts w:ascii="Arabic Typesetting" w:hAnsi="Arabic Typesetting" w:cs="Arabic Typesetting" w:hint="cs"/>
          <w:sz w:val="34"/>
          <w:szCs w:val="34"/>
          <w:rtl/>
          <w:lang w:bidi="ar-EG"/>
        </w:rPr>
        <w:t>،</w:t>
      </w:r>
      <w:r w:rsidRPr="00B449D6">
        <w:rPr>
          <w:rFonts w:ascii="Arabic Typesetting" w:hAnsi="Arabic Typesetting" w:cs="Arabic Typesetting"/>
          <w:sz w:val="34"/>
          <w:szCs w:val="34"/>
          <w:rtl/>
          <w:lang w:bidi="ar-EG"/>
        </w:rPr>
        <w:t xml:space="preserve"> </w:t>
      </w:r>
      <w:r w:rsidRPr="00B449D6">
        <w:rPr>
          <w:rFonts w:ascii="Arabic Typesetting" w:hAnsi="Arabic Typesetting" w:cs="Arabic Typesetting" w:hint="cs"/>
          <w:sz w:val="34"/>
          <w:szCs w:val="34"/>
          <w:rtl/>
          <w:lang w:bidi="ar-EG"/>
        </w:rPr>
        <w:t>نظمت عدة برامج تعليمية دولية للنساء من أرمينيا وأذربيجان وبيلاروس وكرواتيا وجورجيا وكازاخستان وجمهورية مولدوفا والاتحاد الروسي وصربيا وأوكرانيا. وكان</w:t>
      </w:r>
      <w:r w:rsidR="001408CA">
        <w:rPr>
          <w:rFonts w:ascii="Arabic Typesetting" w:hAnsi="Arabic Typesetting" w:cs="Arabic Typesetting" w:hint="eastAsia"/>
          <w:sz w:val="34"/>
          <w:szCs w:val="34"/>
          <w:rtl/>
          <w:lang w:bidi="ar-EG"/>
        </w:rPr>
        <w:t> </w:t>
      </w:r>
      <w:r w:rsidRPr="00B449D6">
        <w:rPr>
          <w:rFonts w:ascii="Arabic Typesetting" w:hAnsi="Arabic Typesetting" w:cs="Arabic Typesetting" w:hint="cs"/>
          <w:sz w:val="34"/>
          <w:szCs w:val="34"/>
          <w:rtl/>
          <w:lang w:bidi="ar-EG"/>
        </w:rPr>
        <w:t>الغرض من هذه البرامج التدريبية هو تعزيز معرفة المشاركين بمسائل الإبداع والابتكار وحماية الاختراعات وإدارة حقوق الملكية الفكرية فضلاً عن نقل أساليب التعليم بغية تمكين المشاركين من نشر معارفهم ومهاراتهم الجديدة على الصعيد الوطني. وإضافة</w:t>
      </w:r>
      <w:r w:rsidR="001408CA">
        <w:rPr>
          <w:rFonts w:ascii="Arabic Typesetting" w:hAnsi="Arabic Typesetting" w:cs="Arabic Typesetting" w:hint="eastAsia"/>
          <w:sz w:val="34"/>
          <w:szCs w:val="34"/>
          <w:rtl/>
          <w:lang w:bidi="ar-EG"/>
        </w:rPr>
        <w:t> </w:t>
      </w:r>
      <w:r w:rsidRPr="00B449D6">
        <w:rPr>
          <w:rFonts w:ascii="Arabic Typesetting" w:hAnsi="Arabic Typesetting" w:cs="Arabic Typesetting" w:hint="cs"/>
          <w:sz w:val="34"/>
          <w:szCs w:val="34"/>
          <w:rtl/>
          <w:lang w:bidi="ar-EG"/>
        </w:rPr>
        <w:t xml:space="preserve">إلى ذلك، </w:t>
      </w:r>
      <w:r w:rsidRPr="00B449D6">
        <w:rPr>
          <w:rFonts w:ascii="Arabic Typesetting" w:hAnsi="Arabic Typesetting" w:cs="Arabic Typesetting"/>
          <w:sz w:val="34"/>
          <w:szCs w:val="34"/>
          <w:rtl/>
          <w:lang w:bidi="ar-EG"/>
        </w:rPr>
        <w:t>نظم</w:t>
      </w:r>
      <w:r>
        <w:rPr>
          <w:rFonts w:ascii="Arabic Typesetting" w:hAnsi="Arabic Typesetting" w:cs="Arabic Typesetting" w:hint="cs"/>
          <w:sz w:val="34"/>
          <w:szCs w:val="34"/>
          <w:rtl/>
          <w:lang w:bidi="ar-EG"/>
        </w:rPr>
        <w:t>ت</w:t>
      </w:r>
      <w:r w:rsidRPr="00B449D6">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الدورة السابعة والثامنة من</w:t>
      </w:r>
      <w:r w:rsidR="001408CA">
        <w:rPr>
          <w:rFonts w:ascii="Arabic Typesetting" w:hAnsi="Arabic Typesetting" w:cs="Arabic Typesetting" w:hint="cs"/>
          <w:sz w:val="34"/>
          <w:szCs w:val="34"/>
          <w:rtl/>
          <w:lang w:bidi="ar-EG"/>
        </w:rPr>
        <w:t xml:space="preserve"> </w:t>
      </w:r>
      <w:r w:rsidRPr="00B449D6">
        <w:rPr>
          <w:rFonts w:ascii="Arabic Typesetting" w:hAnsi="Arabic Typesetting" w:cs="Arabic Typesetting"/>
          <w:sz w:val="34"/>
          <w:szCs w:val="34"/>
          <w:rtl/>
          <w:lang w:bidi="ar-EG"/>
        </w:rPr>
        <w:t>المؤتمر الدولي للابتكار والإبداع لدى النساء في وارسو ببولندا في مارس</w:t>
      </w:r>
      <w:r w:rsidR="001408CA">
        <w:rPr>
          <w:rFonts w:ascii="Arabic Typesetting" w:hAnsi="Arabic Typesetting" w:cs="Arabic Typesetting" w:hint="cs"/>
          <w:sz w:val="34"/>
          <w:szCs w:val="34"/>
          <w:rtl/>
          <w:lang w:bidi="ar-EG"/>
        </w:rPr>
        <w:t> </w:t>
      </w:r>
      <w:r>
        <w:rPr>
          <w:rFonts w:ascii="Arabic Typesetting" w:hAnsi="Arabic Typesetting" w:cs="Arabic Typesetting" w:hint="cs"/>
          <w:sz w:val="34"/>
          <w:szCs w:val="34"/>
          <w:rtl/>
          <w:lang w:bidi="ar-EG"/>
        </w:rPr>
        <w:t>2014 و2015</w:t>
      </w:r>
      <w:r w:rsidRPr="00B449D6">
        <w:rPr>
          <w:rFonts w:ascii="Arabic Typesetting" w:hAnsi="Arabic Typesetting" w:cs="Arabic Typesetting"/>
          <w:sz w:val="34"/>
          <w:szCs w:val="34"/>
          <w:rtl/>
          <w:lang w:bidi="ar-EG"/>
        </w:rPr>
        <w:t>، وحضر</w:t>
      </w:r>
      <w:r>
        <w:rPr>
          <w:rFonts w:ascii="Arabic Typesetting" w:hAnsi="Arabic Typesetting" w:cs="Arabic Typesetting" w:hint="cs"/>
          <w:sz w:val="34"/>
          <w:szCs w:val="34"/>
          <w:rtl/>
          <w:lang w:bidi="ar-EG"/>
        </w:rPr>
        <w:t>هما</w:t>
      </w:r>
      <w:r w:rsidRPr="00B449D6">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نحو 300 مشارك من أكثر من 20 بلداً.</w:t>
      </w:r>
    </w:p>
    <w:p w:rsidR="004548B8" w:rsidRPr="004548B8" w:rsidRDefault="004548B8" w:rsidP="009A3712">
      <w:pPr>
        <w:numPr>
          <w:ilvl w:val="0"/>
          <w:numId w:val="35"/>
        </w:numPr>
        <w:bidi/>
        <w:spacing w:after="120" w:line="340" w:lineRule="exact"/>
        <w:ind w:left="0" w:firstLine="0"/>
        <w:rPr>
          <w:rFonts w:ascii="Arabic Typesetting" w:hAnsi="Arabic Typesetting" w:cs="Arabic Typesetting"/>
          <w:sz w:val="34"/>
          <w:szCs w:val="34"/>
          <w:rtl/>
          <w:lang w:bidi="ar-EG"/>
        </w:rPr>
      </w:pPr>
      <w:r w:rsidRPr="004548B8">
        <w:rPr>
          <w:rFonts w:ascii="Arabic Typesetting" w:hAnsi="Arabic Typesetting" w:cs="Arabic Typesetting" w:hint="cs"/>
          <w:sz w:val="34"/>
          <w:szCs w:val="34"/>
          <w:rtl/>
          <w:lang w:bidi="ar-EG"/>
        </w:rPr>
        <w:t>وواصل</w:t>
      </w:r>
      <w:r w:rsidRPr="004548B8">
        <w:rPr>
          <w:rFonts w:ascii="Arabic Typesetting" w:hAnsi="Arabic Typesetting" w:cs="Arabic Typesetting"/>
          <w:sz w:val="34"/>
          <w:szCs w:val="34"/>
          <w:rtl/>
          <w:lang w:bidi="ar-EG"/>
        </w:rPr>
        <w:t xml:space="preserve"> البرنامج 10 القيام بدور رئيسي في تنفيذ جدول أعمال الويبو </w:t>
      </w:r>
      <w:r w:rsidRPr="004548B8">
        <w:rPr>
          <w:rFonts w:ascii="Arabic Typesetting" w:hAnsi="Arabic Typesetting" w:cs="Arabic Typesetting" w:hint="cs"/>
          <w:sz w:val="34"/>
          <w:szCs w:val="34"/>
          <w:rtl/>
          <w:lang w:bidi="ar-EG"/>
        </w:rPr>
        <w:t>بشأن ا</w:t>
      </w:r>
      <w:r w:rsidRPr="004548B8">
        <w:rPr>
          <w:rFonts w:ascii="Arabic Typesetting" w:hAnsi="Arabic Typesetting" w:cs="Arabic Typesetting"/>
          <w:sz w:val="34"/>
          <w:szCs w:val="34"/>
          <w:rtl/>
          <w:lang w:bidi="ar-EG"/>
        </w:rPr>
        <w:t xml:space="preserve">لتنمية في تعاونه </w:t>
      </w:r>
      <w:r w:rsidR="00B449D6">
        <w:rPr>
          <w:rFonts w:ascii="Arabic Typesetting" w:hAnsi="Arabic Typesetting" w:cs="Arabic Typesetting"/>
          <w:sz w:val="34"/>
          <w:szCs w:val="34"/>
          <w:rtl/>
          <w:lang w:bidi="ar-EG"/>
        </w:rPr>
        <w:t>مع بلدان معينة في أوروبا وآسيا</w:t>
      </w:r>
      <w:r w:rsidR="001408CA">
        <w:rPr>
          <w:rFonts w:ascii="Arabic Typesetting" w:hAnsi="Arabic Typesetting" w:cs="Arabic Typesetting" w:hint="cs"/>
          <w:sz w:val="34"/>
          <w:szCs w:val="34"/>
          <w:rtl/>
          <w:lang w:bidi="ar-EG"/>
        </w:rPr>
        <w:t xml:space="preserve">، </w:t>
      </w:r>
      <w:r w:rsidR="00B449D6">
        <w:rPr>
          <w:rFonts w:ascii="Arabic Typesetting" w:hAnsi="Arabic Typesetting" w:cs="Arabic Typesetting" w:hint="cs"/>
          <w:sz w:val="34"/>
          <w:szCs w:val="34"/>
          <w:rtl/>
          <w:lang w:bidi="ar-EG"/>
        </w:rPr>
        <w:t>مسترشداً في ذلك ب</w:t>
      </w:r>
      <w:r w:rsidRPr="004548B8">
        <w:rPr>
          <w:rFonts w:ascii="Arabic Typesetting" w:hAnsi="Arabic Typesetting" w:cs="Arabic Typesetting"/>
          <w:sz w:val="34"/>
          <w:szCs w:val="34"/>
          <w:rtl/>
          <w:lang w:bidi="ar-EG"/>
        </w:rPr>
        <w:t xml:space="preserve">توصيات جدول أعمال التنمية المتعلقة بأنشطة مساعدة الويبو التقنية </w:t>
      </w:r>
      <w:r w:rsidRPr="004548B8">
        <w:rPr>
          <w:rFonts w:ascii="Arabic Typesetting" w:hAnsi="Arabic Typesetting" w:cs="Arabic Typesetting" w:hint="cs"/>
          <w:sz w:val="34"/>
          <w:szCs w:val="34"/>
          <w:rtl/>
          <w:lang w:bidi="ar-EG"/>
        </w:rPr>
        <w:t>وتكوين الكفاءات</w:t>
      </w:r>
      <w:r w:rsidR="00B449D6">
        <w:rPr>
          <w:rFonts w:ascii="Arabic Typesetting" w:hAnsi="Arabic Typesetting" w:cs="Arabic Typesetting" w:hint="cs"/>
          <w:sz w:val="34"/>
          <w:szCs w:val="34"/>
          <w:rtl/>
          <w:lang w:bidi="ar-EG"/>
        </w:rPr>
        <w:t xml:space="preserve"> ولا سيما التوصيات 1 و6 و12</w:t>
      </w:r>
      <w:r w:rsidR="001408CA">
        <w:rPr>
          <w:rFonts w:ascii="Arabic Typesetting" w:hAnsi="Arabic Typesetting" w:cs="Arabic Typesetting" w:hint="cs"/>
          <w:sz w:val="34"/>
          <w:szCs w:val="34"/>
          <w:rtl/>
          <w:lang w:bidi="ar-EG"/>
        </w:rPr>
        <w:t xml:space="preserve"> و13 و14</w:t>
      </w:r>
      <w:r w:rsidR="00B449D6">
        <w:rPr>
          <w:rFonts w:ascii="Arabic Typesetting" w:hAnsi="Arabic Typesetting" w:cs="Arabic Typesetting" w:hint="cs"/>
          <w:sz w:val="34"/>
          <w:szCs w:val="34"/>
          <w:rtl/>
          <w:lang w:bidi="ar-EG"/>
        </w:rPr>
        <w:t>.</w:t>
      </w:r>
    </w:p>
    <w:p w:rsidR="004548B8" w:rsidRPr="004548B8" w:rsidRDefault="004548B8" w:rsidP="004548B8">
      <w:pPr>
        <w:keepNext/>
        <w:bidi/>
        <w:spacing w:before="120" w:after="120" w:line="340" w:lineRule="exact"/>
        <w:rPr>
          <w:rFonts w:ascii="Arabic Typesetting" w:hAnsi="Arabic Typesetting" w:cs="Arabic Typesetting"/>
          <w:sz w:val="36"/>
          <w:szCs w:val="36"/>
          <w:rtl/>
          <w:lang w:val="fr-CH"/>
        </w:rPr>
      </w:pPr>
      <w:r w:rsidRPr="004548B8">
        <w:rPr>
          <w:rFonts w:ascii="Arabic Typesetting" w:hAnsi="Arabic Typesetting" w:cs="Arabic Typesetting"/>
          <w:sz w:val="36"/>
          <w:szCs w:val="36"/>
          <w:rtl/>
          <w:lang w:val="fr-CH"/>
        </w:rPr>
        <w:t>بيانات الأداء</w:t>
      </w:r>
    </w:p>
    <w:tbl>
      <w:tblPr>
        <w:bidiVisual/>
        <w:tblW w:w="0" w:type="auto"/>
        <w:tblLook w:val="04A0" w:firstRow="1" w:lastRow="0" w:firstColumn="1" w:lastColumn="0" w:noHBand="0" w:noVBand="1"/>
      </w:tblPr>
      <w:tblGrid>
        <w:gridCol w:w="2348"/>
        <w:gridCol w:w="2280"/>
        <w:gridCol w:w="13"/>
        <w:gridCol w:w="1561"/>
        <w:gridCol w:w="2551"/>
        <w:gridCol w:w="818"/>
      </w:tblGrid>
      <w:tr w:rsidR="00B449D6"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B449D6" w:rsidRPr="00FC7CCF" w:rsidRDefault="00B449D6"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t>النتيجة المرتقبة:</w:t>
            </w:r>
            <w:r w:rsidRPr="00FC7CCF">
              <w:rPr>
                <w:rFonts w:ascii="Arabic Typesetting" w:hAnsi="Arabic Typesetting" w:cs="Arabic Typesetting"/>
                <w:b/>
                <w:bCs/>
                <w:sz w:val="28"/>
                <w:szCs w:val="28"/>
                <w:rtl/>
                <w:lang w:bidi="ar-EG"/>
              </w:rPr>
              <w:tab/>
            </w:r>
            <w:r w:rsidR="000432CA">
              <w:rPr>
                <w:rFonts w:ascii="Arabic Typesetting" w:hAnsi="Arabic Typesetting" w:cs="Arabic Typesetting"/>
                <w:sz w:val="28"/>
                <w:szCs w:val="28"/>
                <w:rtl/>
                <w:lang w:bidi="ar-EG"/>
              </w:rPr>
              <w:t>ه2.1 أطر تشريعية وتنظيمية وسياسية مناسبة ومتوازنة للملكية الفكرية</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5C6BEE" w:rsidP="00E00E9F">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مؤشرات الأداء</w:t>
            </w:r>
          </w:p>
        </w:tc>
        <w:tc>
          <w:tcPr>
            <w:tcW w:w="2280" w:type="dxa"/>
            <w:tcBorders>
              <w:top w:val="single" w:sz="4" w:space="0" w:color="auto"/>
              <w:left w:val="nil"/>
              <w:bottom w:val="nil"/>
              <w:right w:val="nil"/>
            </w:tcBorders>
          </w:tcPr>
          <w:p w:rsidR="004548B8" w:rsidRPr="00FC7CCF" w:rsidRDefault="004548B8" w:rsidP="00E00E9F">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أسس المقارنة</w:t>
            </w:r>
          </w:p>
        </w:tc>
        <w:tc>
          <w:tcPr>
            <w:tcW w:w="1574" w:type="dxa"/>
            <w:gridSpan w:val="2"/>
            <w:tcBorders>
              <w:top w:val="single" w:sz="4" w:space="0" w:color="auto"/>
              <w:left w:val="nil"/>
              <w:bottom w:val="nil"/>
              <w:right w:val="nil"/>
            </w:tcBorders>
          </w:tcPr>
          <w:p w:rsidR="004548B8" w:rsidRPr="00FC7CCF" w:rsidRDefault="004548B8" w:rsidP="00E00E9F">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4548B8" w:rsidP="00E00E9F">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rPr>
              <w:t>عدد البلدان التي لديها قوانين أو لوائح محدثة أو كلاهما</w:t>
            </w:r>
          </w:p>
        </w:tc>
        <w:tc>
          <w:tcPr>
            <w:tcW w:w="2280"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i/>
                <w:iCs/>
                <w:color w:val="002060"/>
                <w:sz w:val="28"/>
                <w:szCs w:val="28"/>
                <w:rtl/>
                <w:lang w:bidi="ar-EG"/>
              </w:rPr>
              <w:t xml:space="preserve">أسس المقارنة المحدّثة في نهاية 2013: 18 تراكميا: </w:t>
            </w:r>
            <w:r w:rsidRPr="00FC7CCF">
              <w:rPr>
                <w:rFonts w:ascii="Arabic Typesetting" w:hAnsi="Arabic Typesetting" w:cs="Arabic Typesetting"/>
                <w:b/>
                <w:color w:val="002060"/>
                <w:sz w:val="28"/>
                <w:szCs w:val="28"/>
                <w:rtl/>
                <w:lang w:bidi="ar-EG"/>
              </w:rPr>
              <w:t xml:space="preserve">حدّثت ألبانيا وأرمينيا وبيلاروس والبوسنة والهرسك وبولندا ورومانيا وسلوفينيا وطاجيكستان تشريعاتها الوطنية للملكية الفكرية في الثنائية </w:t>
            </w:r>
            <w:r w:rsidR="00507DE2">
              <w:rPr>
                <w:rFonts w:ascii="Arabic Typesetting" w:hAnsi="Arabic Typesetting" w:cs="Arabic Typesetting"/>
                <w:b/>
                <w:color w:val="002060"/>
                <w:sz w:val="28"/>
                <w:szCs w:val="28"/>
                <w:rtl/>
                <w:lang w:bidi="ar-EG"/>
              </w:rPr>
              <w:t>2012/13</w:t>
            </w:r>
          </w:p>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color w:val="002060"/>
                <w:sz w:val="28"/>
                <w:szCs w:val="28"/>
                <w:rtl/>
                <w:lang w:bidi="ar-EG"/>
              </w:rPr>
              <w:t>واستهلت كازاخستان والاتحاد الروسي تعديل تشريعاتهما</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18 بحلول نهاية 2013</w:t>
            </w:r>
          </w:p>
        </w:tc>
        <w:tc>
          <w:tcPr>
            <w:tcW w:w="1574"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4</w:t>
            </w:r>
            <w:r w:rsidR="00B449D6" w:rsidRPr="00FC7CCF">
              <w:rPr>
                <w:rFonts w:ascii="Arabic Typesetting" w:hAnsi="Arabic Typesetting" w:cs="Arabic Typesetting"/>
                <w:sz w:val="28"/>
                <w:szCs w:val="28"/>
                <w:rtl/>
                <w:lang w:bidi="ar-EG"/>
              </w:rPr>
              <w:t xml:space="preserve"> بلدان إضافية</w:t>
            </w:r>
          </w:p>
        </w:tc>
        <w:tc>
          <w:tcPr>
            <w:tcW w:w="2551" w:type="dxa"/>
            <w:tcBorders>
              <w:top w:val="nil"/>
              <w:left w:val="nil"/>
              <w:bottom w:val="single" w:sz="4" w:space="0" w:color="auto"/>
              <w:right w:val="nil"/>
            </w:tcBorders>
          </w:tcPr>
          <w:p w:rsidR="004548B8" w:rsidRPr="00FC7CCF" w:rsidRDefault="00B449D6"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9</w:t>
            </w:r>
            <w:r w:rsidR="004548B8" w:rsidRPr="00FC7CCF">
              <w:rPr>
                <w:rFonts w:ascii="Arabic Typesetting" w:hAnsi="Arabic Typesetting" w:cs="Arabic Typesetting"/>
                <w:sz w:val="28"/>
                <w:szCs w:val="28"/>
                <w:rtl/>
                <w:lang w:bidi="ar-EG"/>
              </w:rPr>
              <w:t xml:space="preserve"> بلدان </w:t>
            </w:r>
            <w:r w:rsidRPr="00FC7CCF">
              <w:rPr>
                <w:rFonts w:ascii="Arabic Typesetting" w:hAnsi="Arabic Typesetting" w:cs="Arabic Typesetting"/>
                <w:sz w:val="28"/>
                <w:szCs w:val="28"/>
                <w:rtl/>
                <w:lang w:bidi="ar-EG"/>
              </w:rPr>
              <w:t>(كازاخستان وقيرغيزستان ولاتفيا وليتوانيا والجبل الأسود وجمهورية مولدوفا والاتحاد الروسي وطاجيكستان وتركمانستان)</w:t>
            </w:r>
          </w:p>
        </w:tc>
        <w:tc>
          <w:tcPr>
            <w:tcW w:w="818" w:type="dxa"/>
            <w:tcBorders>
              <w:top w:val="nil"/>
              <w:left w:val="nil"/>
              <w:bottom w:val="single" w:sz="4" w:space="0" w:color="auto"/>
              <w:right w:val="single" w:sz="4" w:space="0" w:color="auto"/>
            </w:tcBorders>
          </w:tcPr>
          <w:p w:rsidR="004548B8" w:rsidRPr="00FC7CCF" w:rsidRDefault="00B449D6" w:rsidP="000471B4">
            <w:pPr>
              <w:keepNext/>
              <w:bidi/>
              <w:spacing w:before="60" w:after="60" w:line="280" w:lineRule="exact"/>
              <w:jc w:val="center"/>
              <w:rPr>
                <w:rFonts w:ascii="Arabic Typesetting" w:hAnsi="Arabic Typesetting" w:cs="Arabic Typesetting"/>
                <w:sz w:val="28"/>
                <w:szCs w:val="28"/>
                <w:lang w:bidi="ar-EG"/>
              </w:rPr>
            </w:pPr>
            <w:r w:rsidRPr="00FC7CCF">
              <w:rPr>
                <w:rFonts w:ascii="Arabic Typesetting" w:hAnsi="Arabic Typesetting" w:cs="Arabic Typesetting"/>
                <w:b/>
                <w:bCs/>
                <w:color w:val="008000"/>
                <w:sz w:val="28"/>
                <w:szCs w:val="28"/>
                <w:rtl/>
                <w:lang w:bidi="ar-EG"/>
              </w:rPr>
              <w:t>محقق كلياً</w:t>
            </w:r>
          </w:p>
        </w:tc>
      </w:tr>
      <w:tr w:rsidR="00B449D6"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B449D6" w:rsidRPr="00FC7CCF" w:rsidRDefault="00B449D6"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lastRenderedPageBreak/>
              <w:t>النتيجة المرتقبة:</w:t>
            </w:r>
            <w:r w:rsidRPr="00FC7CCF">
              <w:rPr>
                <w:rFonts w:ascii="Arabic Typesetting" w:hAnsi="Arabic Typesetting" w:cs="Arabic Typesetting"/>
                <w:b/>
                <w:bCs/>
                <w:sz w:val="28"/>
                <w:szCs w:val="28"/>
                <w:rtl/>
                <w:lang w:bidi="ar-EG"/>
              </w:rPr>
              <w:tab/>
            </w:r>
            <w:r w:rsidRPr="00FC7CCF">
              <w:rPr>
                <w:rFonts w:ascii="Arabic Typesetting" w:hAnsi="Arabic Typesetting" w:cs="Arabic Typesetting"/>
                <w:b/>
                <w:sz w:val="28"/>
                <w:szCs w:val="28"/>
                <w:rtl/>
                <w:lang w:bidi="ar-EG"/>
              </w:rPr>
              <w:t xml:space="preserve">ه1.2 </w:t>
            </w:r>
            <w:r w:rsidR="00A0719D">
              <w:rPr>
                <w:rFonts w:ascii="Arabic Typesetting" w:hAnsi="Arabic Typesetting" w:cs="Arabic Typesetting"/>
                <w:sz w:val="28"/>
                <w:szCs w:val="28"/>
                <w:rtl/>
                <w:lang w:bidi="ar-EG"/>
              </w:rPr>
              <w:t>انتفاع متزايد بنظام معاهدة التعاون بشأن البراءات كسبيل للإيداع الدولي لطلبات البراءات</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مؤشرات الأداء</w:t>
            </w:r>
          </w:p>
        </w:tc>
        <w:tc>
          <w:tcPr>
            <w:tcW w:w="2280" w:type="dxa"/>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أسس المقارنة</w:t>
            </w:r>
          </w:p>
        </w:tc>
        <w:tc>
          <w:tcPr>
            <w:tcW w:w="1574" w:type="dxa"/>
            <w:gridSpan w:val="2"/>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sz w:val="28"/>
                <w:szCs w:val="28"/>
                <w:rtl/>
              </w:rPr>
              <w:t>عدد الطلبات المودعة بناء على معاهدة التعاون بشأن البراءات والصادرة من البلدان المنتقلة إلى نظام الاقتصاد الحر والبلدان المتقدمة</w:t>
            </w:r>
          </w:p>
        </w:tc>
        <w:tc>
          <w:tcPr>
            <w:tcW w:w="2280" w:type="dxa"/>
            <w:tcBorders>
              <w:top w:val="nil"/>
              <w:left w:val="nil"/>
              <w:bottom w:val="single" w:sz="4" w:space="0" w:color="auto"/>
              <w:right w:val="nil"/>
            </w:tcBorders>
          </w:tcPr>
          <w:p w:rsidR="004548B8" w:rsidRPr="00FC7CCF" w:rsidRDefault="001408CA" w:rsidP="000471B4">
            <w:pPr>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i/>
                <w:iCs/>
                <w:color w:val="002060"/>
                <w:sz w:val="28"/>
                <w:szCs w:val="28"/>
                <w:rtl/>
                <w:lang w:bidi="ar-EG"/>
              </w:rPr>
              <w:t>أسس المقارنة المحدّثة في نهاية 2013</w:t>
            </w:r>
            <w:r>
              <w:rPr>
                <w:rFonts w:ascii="Arabic Typesetting" w:hAnsi="Arabic Typesetting" w:cs="Arabic Typesetting" w:hint="cs"/>
                <w:b/>
                <w:i/>
                <w:iCs/>
                <w:color w:val="002060"/>
                <w:sz w:val="28"/>
                <w:szCs w:val="28"/>
                <w:rtl/>
                <w:lang w:bidi="ar-EG"/>
              </w:rPr>
              <w:t>:</w:t>
            </w:r>
            <w:r w:rsidRPr="00FC7CCF">
              <w:rPr>
                <w:rFonts w:ascii="Arabic Typesetting" w:hAnsi="Arabic Typesetting" w:cs="Arabic Typesetting"/>
                <w:b/>
                <w:i/>
                <w:iCs/>
                <w:color w:val="002060"/>
                <w:sz w:val="28"/>
                <w:szCs w:val="28"/>
                <w:rtl/>
                <w:lang w:bidi="ar-EG"/>
              </w:rPr>
              <w:br/>
            </w:r>
            <w:r w:rsidR="004548B8" w:rsidRPr="00FC7CCF">
              <w:rPr>
                <w:rFonts w:ascii="Arabic Typesetting" w:hAnsi="Arabic Typesetting" w:cs="Arabic Typesetting"/>
                <w:b/>
                <w:color w:val="002060"/>
                <w:sz w:val="28"/>
                <w:szCs w:val="28"/>
                <w:rtl/>
                <w:lang w:bidi="ar-EG"/>
              </w:rPr>
              <w:t>517 166 (2013)</w:t>
            </w:r>
          </w:p>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color w:val="002060"/>
                <w:sz w:val="28"/>
                <w:szCs w:val="28"/>
                <w:rtl/>
                <w:lang w:bidi="ar-EG"/>
              </w:rPr>
              <w:t>309 160 (2012)</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يحدد لاحقا</w:t>
            </w:r>
          </w:p>
        </w:tc>
        <w:tc>
          <w:tcPr>
            <w:tcW w:w="1574"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 xml:space="preserve">زيادة </w:t>
            </w:r>
            <w:r w:rsidR="00B449D6" w:rsidRPr="00FC7CCF">
              <w:rPr>
                <w:rFonts w:ascii="Arabic Typesetting" w:hAnsi="Arabic Typesetting" w:cs="Arabic Typesetting"/>
                <w:sz w:val="28"/>
                <w:szCs w:val="28"/>
                <w:rtl/>
                <w:lang w:bidi="ar-EG"/>
              </w:rPr>
              <w:t>بنسبة</w:t>
            </w:r>
            <w:r w:rsidRPr="00FC7CCF">
              <w:rPr>
                <w:rFonts w:ascii="Arabic Typesetting" w:hAnsi="Arabic Typesetting" w:cs="Arabic Typesetting"/>
                <w:sz w:val="28"/>
                <w:szCs w:val="28"/>
                <w:rtl/>
                <w:lang w:bidi="ar-EG"/>
              </w:rPr>
              <w:t xml:space="preserve"> 2%</w:t>
            </w:r>
          </w:p>
        </w:tc>
        <w:tc>
          <w:tcPr>
            <w:tcW w:w="2551" w:type="dxa"/>
            <w:tcBorders>
              <w:top w:val="nil"/>
              <w:left w:val="nil"/>
              <w:bottom w:val="single" w:sz="4" w:space="0" w:color="auto"/>
              <w:right w:val="nil"/>
            </w:tcBorders>
          </w:tcPr>
          <w:p w:rsidR="004548B8" w:rsidRPr="00FC7CCF" w:rsidRDefault="00B449D6"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177 170 (2014)</w:t>
            </w:r>
          </w:p>
          <w:p w:rsidR="00B449D6" w:rsidRPr="00FC7CCF" w:rsidRDefault="00B449D6"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207 168 (2015)</w:t>
            </w:r>
          </w:p>
          <w:p w:rsidR="00B449D6" w:rsidRPr="00FC7CCF" w:rsidRDefault="00B449D6"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+3.5%</w:t>
            </w:r>
          </w:p>
        </w:tc>
        <w:tc>
          <w:tcPr>
            <w:tcW w:w="818" w:type="dxa"/>
            <w:tcBorders>
              <w:top w:val="nil"/>
              <w:left w:val="nil"/>
              <w:bottom w:val="single" w:sz="4" w:space="0" w:color="auto"/>
              <w:right w:val="single" w:sz="4" w:space="0" w:color="auto"/>
            </w:tcBorders>
          </w:tcPr>
          <w:p w:rsidR="004548B8" w:rsidRPr="00FC7CCF" w:rsidRDefault="00B449D6" w:rsidP="000471B4">
            <w:pPr>
              <w:keepNext/>
              <w:bidi/>
              <w:spacing w:before="60" w:after="60" w:line="280" w:lineRule="exact"/>
              <w:jc w:val="center"/>
              <w:rPr>
                <w:rFonts w:ascii="Arabic Typesetting" w:hAnsi="Arabic Typesetting" w:cs="Arabic Typesetting"/>
                <w:sz w:val="28"/>
                <w:szCs w:val="28"/>
                <w:lang w:bidi="ar-EG"/>
              </w:rPr>
            </w:pPr>
            <w:r w:rsidRPr="00FC7CCF">
              <w:rPr>
                <w:rFonts w:ascii="Arabic Typesetting" w:hAnsi="Arabic Typesetting" w:cs="Arabic Typesetting"/>
                <w:b/>
                <w:bCs/>
                <w:color w:val="008000"/>
                <w:sz w:val="28"/>
                <w:szCs w:val="28"/>
                <w:rtl/>
                <w:lang w:bidi="ar-EG"/>
              </w:rPr>
              <w:t>محقق كلياً</w:t>
            </w:r>
          </w:p>
        </w:tc>
      </w:tr>
      <w:tr w:rsidR="00B449D6"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B449D6" w:rsidRPr="00FC7CCF" w:rsidRDefault="00B449D6"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t>النتيجة المرتقبة:</w:t>
            </w:r>
            <w:r w:rsidRPr="00FC7CCF">
              <w:rPr>
                <w:rFonts w:ascii="Arabic Typesetting" w:hAnsi="Arabic Typesetting" w:cs="Arabic Typesetting"/>
                <w:b/>
                <w:bCs/>
                <w:sz w:val="28"/>
                <w:szCs w:val="28"/>
                <w:rtl/>
                <w:lang w:bidi="ar-EG"/>
              </w:rPr>
              <w:tab/>
            </w:r>
            <w:r w:rsidRPr="00FC7CCF">
              <w:rPr>
                <w:rFonts w:ascii="Arabic Typesetting" w:hAnsi="Arabic Typesetting" w:cs="Arabic Typesetting"/>
                <w:b/>
                <w:sz w:val="28"/>
                <w:szCs w:val="28"/>
                <w:rtl/>
                <w:lang w:bidi="ar-EG"/>
              </w:rPr>
              <w:t xml:space="preserve">ه4.2 </w:t>
            </w:r>
            <w:r w:rsidR="000E3DA7">
              <w:rPr>
                <w:rFonts w:ascii="Arabic Typesetting" w:hAnsi="Arabic Typesetting" w:cs="Arabic Typesetting"/>
                <w:sz w:val="28"/>
                <w:szCs w:val="28"/>
                <w:rtl/>
                <w:lang w:bidi="ar-EG"/>
              </w:rPr>
              <w:t>الانتفاع بنظام لاهاي على نطاق أوسع ونحو أفضل، بما في ذلك من جهة البلدان النامية والبلدان الأقل نموا</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مؤشرات الأداء</w:t>
            </w:r>
          </w:p>
        </w:tc>
        <w:tc>
          <w:tcPr>
            <w:tcW w:w="2280" w:type="dxa"/>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أسس المقارنة</w:t>
            </w:r>
          </w:p>
        </w:tc>
        <w:tc>
          <w:tcPr>
            <w:tcW w:w="1574" w:type="dxa"/>
            <w:gridSpan w:val="2"/>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4548B8" w:rsidP="000471B4">
            <w:pPr>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Pr>
        <w:tc>
          <w:tcPr>
            <w:tcW w:w="2348" w:type="dxa"/>
            <w:tcBorders>
              <w:top w:val="nil"/>
              <w:left w:val="single" w:sz="4" w:space="0" w:color="auto"/>
              <w:bottom w:val="single" w:sz="4" w:space="0" w:color="auto"/>
              <w:right w:val="nil"/>
            </w:tcBorders>
          </w:tcPr>
          <w:p w:rsidR="004548B8" w:rsidRPr="00FC7CCF" w:rsidRDefault="004548B8" w:rsidP="000471B4">
            <w:pPr>
              <w:keepNext/>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عدد الطلبات المودعة بناء على نظام لاهاي والصادرة من البلدان المنتقلة إلى نظام الاقتصاد الحر والبلدان المتقدمة</w:t>
            </w:r>
          </w:p>
        </w:tc>
        <w:tc>
          <w:tcPr>
            <w:tcW w:w="2280"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i/>
                <w:iCs/>
                <w:color w:val="002060"/>
                <w:sz w:val="28"/>
                <w:szCs w:val="28"/>
                <w:rtl/>
                <w:lang w:bidi="ar-EG"/>
              </w:rPr>
              <w:t>أسس المقارنة المحدّثة في نهاية 2013</w:t>
            </w:r>
            <w:r w:rsidR="001408CA">
              <w:rPr>
                <w:rFonts w:ascii="Arabic Typesetting" w:hAnsi="Arabic Typesetting" w:cs="Arabic Typesetting" w:hint="cs"/>
                <w:b/>
                <w:i/>
                <w:iCs/>
                <w:color w:val="002060"/>
                <w:sz w:val="28"/>
                <w:szCs w:val="28"/>
                <w:rtl/>
                <w:lang w:bidi="ar-EG"/>
              </w:rPr>
              <w:t>:</w:t>
            </w:r>
            <w:r w:rsidRPr="00FC7CCF">
              <w:rPr>
                <w:rFonts w:ascii="Arabic Typesetting" w:hAnsi="Arabic Typesetting" w:cs="Arabic Typesetting"/>
                <w:b/>
                <w:i/>
                <w:iCs/>
                <w:color w:val="002060"/>
                <w:sz w:val="28"/>
                <w:szCs w:val="28"/>
                <w:rtl/>
                <w:lang w:bidi="ar-EG"/>
              </w:rPr>
              <w:br/>
            </w:r>
            <w:r w:rsidRPr="00FC7CCF">
              <w:rPr>
                <w:rFonts w:ascii="Arabic Typesetting" w:hAnsi="Arabic Typesetting" w:cs="Arabic Typesetting"/>
                <w:b/>
                <w:color w:val="002060"/>
                <w:sz w:val="28"/>
                <w:szCs w:val="28"/>
                <w:rtl/>
                <w:lang w:bidi="ar-EG"/>
              </w:rPr>
              <w:t>927 2 (2013)</w:t>
            </w:r>
          </w:p>
          <w:p w:rsidR="004548B8" w:rsidRPr="00FC7CCF" w:rsidRDefault="004548B8" w:rsidP="000471B4">
            <w:pPr>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color w:val="002060"/>
                <w:sz w:val="28"/>
                <w:szCs w:val="28"/>
                <w:rtl/>
                <w:lang w:bidi="ar-EG"/>
              </w:rPr>
              <w:t>553 2 (2012)</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يحدد لاحقا</w:t>
            </w:r>
          </w:p>
        </w:tc>
        <w:tc>
          <w:tcPr>
            <w:tcW w:w="1574"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 xml:space="preserve">زيادة </w:t>
            </w:r>
            <w:r w:rsidR="00B449D6" w:rsidRPr="00FC7CCF">
              <w:rPr>
                <w:rFonts w:ascii="Arabic Typesetting" w:hAnsi="Arabic Typesetting" w:cs="Arabic Typesetting"/>
                <w:sz w:val="28"/>
                <w:szCs w:val="28"/>
                <w:rtl/>
                <w:lang w:bidi="ar-EG"/>
              </w:rPr>
              <w:t>بنسبة</w:t>
            </w:r>
            <w:r w:rsidRPr="00FC7CCF">
              <w:rPr>
                <w:rFonts w:ascii="Arabic Typesetting" w:hAnsi="Arabic Typesetting" w:cs="Arabic Typesetting"/>
                <w:sz w:val="28"/>
                <w:szCs w:val="28"/>
                <w:rtl/>
                <w:lang w:bidi="ar-EG"/>
              </w:rPr>
              <w:t xml:space="preserve"> 2%</w:t>
            </w:r>
          </w:p>
        </w:tc>
        <w:tc>
          <w:tcPr>
            <w:tcW w:w="2551" w:type="dxa"/>
            <w:tcBorders>
              <w:top w:val="nil"/>
              <w:left w:val="nil"/>
              <w:bottom w:val="single" w:sz="4" w:space="0" w:color="auto"/>
              <w:right w:val="nil"/>
            </w:tcBorders>
          </w:tcPr>
          <w:p w:rsidR="004548B8" w:rsidRPr="00FC7CCF" w:rsidRDefault="00B449D6"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2776 (2014)</w:t>
            </w:r>
          </w:p>
          <w:p w:rsidR="00B449D6" w:rsidRPr="00FC7CCF" w:rsidRDefault="00B449D6"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3448 (2015)</w:t>
            </w:r>
          </w:p>
          <w:p w:rsidR="00B449D6" w:rsidRPr="00FC7CCF" w:rsidRDefault="00B449D6"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+13.6%</w:t>
            </w:r>
          </w:p>
        </w:tc>
        <w:tc>
          <w:tcPr>
            <w:tcW w:w="818" w:type="dxa"/>
            <w:tcBorders>
              <w:top w:val="nil"/>
              <w:left w:val="nil"/>
              <w:bottom w:val="single" w:sz="4" w:space="0" w:color="auto"/>
              <w:right w:val="single" w:sz="4" w:space="0" w:color="auto"/>
            </w:tcBorders>
          </w:tcPr>
          <w:p w:rsidR="004548B8" w:rsidRPr="00FC7CCF" w:rsidRDefault="00B449D6" w:rsidP="000471B4">
            <w:pPr>
              <w:keepNext/>
              <w:bidi/>
              <w:spacing w:before="60" w:after="60" w:line="280" w:lineRule="exact"/>
              <w:jc w:val="center"/>
              <w:rPr>
                <w:rFonts w:ascii="Arabic Typesetting" w:hAnsi="Arabic Typesetting" w:cs="Arabic Typesetting"/>
                <w:b/>
                <w:bCs/>
                <w:color w:val="008000"/>
                <w:sz w:val="28"/>
                <w:szCs w:val="28"/>
                <w:lang w:bidi="ar-EG"/>
              </w:rPr>
            </w:pPr>
            <w:r w:rsidRPr="00FC7CCF">
              <w:rPr>
                <w:rFonts w:ascii="Arabic Typesetting" w:hAnsi="Arabic Typesetting" w:cs="Arabic Typesetting"/>
                <w:b/>
                <w:bCs/>
                <w:color w:val="008000"/>
                <w:sz w:val="28"/>
                <w:szCs w:val="28"/>
                <w:rtl/>
                <w:lang w:bidi="ar-EG"/>
              </w:rPr>
              <w:t>محقق كلياً</w:t>
            </w:r>
          </w:p>
        </w:tc>
      </w:tr>
      <w:tr w:rsidR="005C6BEE"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5C6BEE" w:rsidRPr="00FC7CCF" w:rsidRDefault="005C6BEE"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t>النتيجة المرتقبة:</w:t>
            </w:r>
            <w:r w:rsidRPr="00FC7CCF">
              <w:rPr>
                <w:rFonts w:ascii="Arabic Typesetting" w:hAnsi="Arabic Typesetting" w:cs="Arabic Typesetting"/>
                <w:b/>
                <w:bCs/>
                <w:sz w:val="28"/>
                <w:szCs w:val="28"/>
                <w:rtl/>
                <w:lang w:bidi="ar-EG"/>
              </w:rPr>
              <w:tab/>
            </w:r>
            <w:r w:rsidRPr="00FC7CCF">
              <w:rPr>
                <w:rFonts w:ascii="Arabic Typesetting" w:hAnsi="Arabic Typesetting" w:cs="Arabic Typesetting"/>
                <w:b/>
                <w:sz w:val="28"/>
                <w:szCs w:val="28"/>
                <w:rtl/>
                <w:lang w:bidi="ar-EG"/>
              </w:rPr>
              <w:t xml:space="preserve">ه6.2 </w:t>
            </w:r>
            <w:r w:rsidR="00A0719D">
              <w:rPr>
                <w:rFonts w:ascii="Arabic Typesetting" w:hAnsi="Arabic Typesetting" w:cs="Arabic Typesetting"/>
                <w:sz w:val="28"/>
                <w:szCs w:val="28"/>
                <w:rtl/>
                <w:lang w:bidi="ar-EG"/>
              </w:rPr>
              <w:t>الانتفاع بنظامي مدريد ولشبونة على نطاق أوسع ونحو أفضل، بما في ذلك من جهة البلدان الأقل نموا</w:t>
            </w:r>
          </w:p>
        </w:tc>
      </w:tr>
      <w:tr w:rsidR="004548B8" w:rsidRPr="00FC7CCF" w:rsidTr="005C6BEE">
        <w:trPr>
          <w:cantSplit/>
        </w:trPr>
        <w:tc>
          <w:tcPr>
            <w:tcW w:w="2348" w:type="dxa"/>
            <w:tcBorders>
              <w:top w:val="single" w:sz="4" w:space="0" w:color="auto"/>
              <w:left w:val="single" w:sz="4" w:space="0" w:color="auto"/>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مؤشرات الأداء</w:t>
            </w:r>
          </w:p>
        </w:tc>
        <w:tc>
          <w:tcPr>
            <w:tcW w:w="2280" w:type="dxa"/>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 xml:space="preserve">أسس المقارنة </w:t>
            </w:r>
          </w:p>
        </w:tc>
        <w:tc>
          <w:tcPr>
            <w:tcW w:w="1574" w:type="dxa"/>
            <w:gridSpan w:val="2"/>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Height w:val="2731"/>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sz w:val="28"/>
                <w:szCs w:val="28"/>
                <w:rtl/>
              </w:rPr>
              <w:t>عدد الطلبات المودعة بناء على نظامي مدريد ولشبونة والصادرة من البلدان المنتقلة إلى نظام الاقتصاد الحر والبلدان المتقدمة</w:t>
            </w:r>
          </w:p>
        </w:tc>
        <w:tc>
          <w:tcPr>
            <w:tcW w:w="2280"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i/>
                <w:iCs/>
                <w:color w:val="002060"/>
                <w:sz w:val="28"/>
                <w:szCs w:val="28"/>
                <w:rtl/>
                <w:lang w:bidi="ar-EG"/>
              </w:rPr>
              <w:t>أسس المقارنة المحدّثة في نهاية 2013:</w:t>
            </w:r>
          </w:p>
          <w:p w:rsidR="005C6BEE" w:rsidRPr="00FC7CCF" w:rsidRDefault="004548B8" w:rsidP="000471B4">
            <w:pPr>
              <w:tabs>
                <w:tab w:val="left" w:pos="766"/>
              </w:tabs>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color w:val="002060"/>
                <w:sz w:val="28"/>
                <w:szCs w:val="28"/>
                <w:rtl/>
                <w:lang w:bidi="ar-EG"/>
              </w:rPr>
              <w:t>مدريد</w:t>
            </w:r>
          </w:p>
          <w:p w:rsidR="004548B8" w:rsidRPr="00FC7CCF" w:rsidRDefault="004548B8" w:rsidP="000471B4">
            <w:pPr>
              <w:tabs>
                <w:tab w:val="left" w:pos="766"/>
              </w:tabs>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color w:val="002060"/>
                <w:sz w:val="28"/>
                <w:szCs w:val="28"/>
                <w:rtl/>
                <w:lang w:bidi="ar-EG"/>
              </w:rPr>
              <w:t>149 43 (2013)</w:t>
            </w:r>
          </w:p>
          <w:p w:rsidR="004548B8" w:rsidRPr="00FC7CCF" w:rsidRDefault="004548B8" w:rsidP="000471B4">
            <w:pPr>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color w:val="002060"/>
                <w:sz w:val="28"/>
                <w:szCs w:val="28"/>
                <w:rtl/>
                <w:lang w:bidi="ar-EG"/>
              </w:rPr>
              <w:t>640 40 (2012)</w:t>
            </w:r>
          </w:p>
          <w:p w:rsidR="005C6BEE" w:rsidRPr="00FC7CCF" w:rsidRDefault="004548B8" w:rsidP="000471B4">
            <w:pPr>
              <w:tabs>
                <w:tab w:val="left" w:pos="1066"/>
              </w:tabs>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color w:val="002060"/>
                <w:sz w:val="28"/>
                <w:szCs w:val="28"/>
                <w:rtl/>
                <w:lang w:bidi="ar-EG"/>
              </w:rPr>
              <w:t>لشبونة:</w:t>
            </w:r>
          </w:p>
          <w:p w:rsidR="004548B8" w:rsidRPr="00FC7CCF" w:rsidRDefault="004548B8" w:rsidP="000471B4">
            <w:pPr>
              <w:tabs>
                <w:tab w:val="left" w:pos="1066"/>
              </w:tabs>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color w:val="002060"/>
                <w:sz w:val="28"/>
                <w:szCs w:val="28"/>
                <w:rtl/>
                <w:lang w:bidi="ar-EG"/>
              </w:rPr>
              <w:t>749 تسجيلا من أصل 816 تسجيلا ساريا</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يحدد لاحقا</w:t>
            </w:r>
          </w:p>
        </w:tc>
        <w:tc>
          <w:tcPr>
            <w:tcW w:w="1574"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 xml:space="preserve">زيادة </w:t>
            </w:r>
            <w:r w:rsidR="00B449D6" w:rsidRPr="00FC7CCF">
              <w:rPr>
                <w:rFonts w:ascii="Arabic Typesetting" w:hAnsi="Arabic Typesetting" w:cs="Arabic Typesetting"/>
                <w:sz w:val="28"/>
                <w:szCs w:val="28"/>
                <w:rtl/>
                <w:lang w:bidi="ar-EG"/>
              </w:rPr>
              <w:t>بنسبة</w:t>
            </w:r>
            <w:r w:rsidRPr="00FC7CCF">
              <w:rPr>
                <w:rFonts w:ascii="Arabic Typesetting" w:hAnsi="Arabic Typesetting" w:cs="Arabic Typesetting"/>
                <w:sz w:val="28"/>
                <w:szCs w:val="28"/>
                <w:rtl/>
                <w:lang w:bidi="ar-EG"/>
              </w:rPr>
              <w:t xml:space="preserve"> 2%</w:t>
            </w:r>
          </w:p>
        </w:tc>
        <w:tc>
          <w:tcPr>
            <w:tcW w:w="2551" w:type="dxa"/>
            <w:tcBorders>
              <w:top w:val="nil"/>
              <w:left w:val="nil"/>
              <w:bottom w:val="single" w:sz="4" w:space="0" w:color="auto"/>
              <w:right w:val="nil"/>
            </w:tcBorders>
          </w:tcPr>
          <w:p w:rsidR="005C6BEE"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مدريد:</w:t>
            </w:r>
          </w:p>
          <w:p w:rsidR="004548B8"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748 43 (2014)</w:t>
            </w:r>
          </w:p>
          <w:p w:rsidR="005C6BEE"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570 44 (2015)</w:t>
            </w:r>
          </w:p>
          <w:p w:rsidR="005C6BEE"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+5.4%</w:t>
            </w:r>
          </w:p>
          <w:p w:rsidR="005C6BEE" w:rsidRPr="00FC7CCF" w:rsidRDefault="005C6BEE" w:rsidP="000471B4">
            <w:pPr>
              <w:bidi/>
              <w:spacing w:before="60" w:after="60" w:line="280" w:lineRule="exact"/>
              <w:rPr>
                <w:rFonts w:ascii="Arabic Typesetting" w:hAnsi="Arabic Typesetting" w:cs="Arabic Typesetting"/>
                <w:sz w:val="28"/>
                <w:szCs w:val="28"/>
                <w:rtl/>
                <w:lang w:bidi="ar-EG"/>
              </w:rPr>
            </w:pPr>
          </w:p>
          <w:p w:rsidR="005C6BEE"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لشبونة:</w:t>
            </w:r>
          </w:p>
          <w:p w:rsidR="005C6BEE"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836 تسجيلا من أصل 931 تسجيلا ساريا من بلدان تمر بمرحلة انتقالية وبلدان نامية</w:t>
            </w:r>
          </w:p>
          <w:p w:rsidR="005C6BEE"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+11.6%</w:t>
            </w:r>
          </w:p>
        </w:tc>
        <w:tc>
          <w:tcPr>
            <w:tcW w:w="818" w:type="dxa"/>
            <w:tcBorders>
              <w:top w:val="nil"/>
              <w:left w:val="nil"/>
              <w:bottom w:val="single" w:sz="4" w:space="0" w:color="auto"/>
              <w:right w:val="single" w:sz="4" w:space="0" w:color="auto"/>
            </w:tcBorders>
          </w:tcPr>
          <w:p w:rsidR="004548B8" w:rsidRPr="00FC7CCF" w:rsidRDefault="005C6BEE" w:rsidP="000471B4">
            <w:pPr>
              <w:keepNext/>
              <w:bidi/>
              <w:spacing w:before="60" w:after="60" w:line="280" w:lineRule="exact"/>
              <w:jc w:val="center"/>
              <w:rPr>
                <w:rFonts w:ascii="Arabic Typesetting" w:hAnsi="Arabic Typesetting" w:cs="Arabic Typesetting"/>
                <w:b/>
                <w:bCs/>
                <w:color w:val="008000"/>
                <w:sz w:val="28"/>
                <w:szCs w:val="28"/>
                <w:rtl/>
                <w:lang w:bidi="ar-EG"/>
              </w:rPr>
            </w:pPr>
            <w:r w:rsidRPr="00FC7CCF">
              <w:rPr>
                <w:rFonts w:ascii="Arabic Typesetting" w:hAnsi="Arabic Typesetting" w:cs="Arabic Typesetting"/>
                <w:b/>
                <w:bCs/>
                <w:color w:val="008000"/>
                <w:sz w:val="28"/>
                <w:szCs w:val="28"/>
                <w:rtl/>
                <w:lang w:bidi="ar-EG"/>
              </w:rPr>
              <w:t>محقق كلياً</w:t>
            </w:r>
          </w:p>
          <w:p w:rsidR="005C6BEE" w:rsidRPr="00FC7CCF" w:rsidRDefault="005C6BEE" w:rsidP="000471B4">
            <w:pPr>
              <w:keepNext/>
              <w:bidi/>
              <w:spacing w:before="60" w:after="60" w:line="280" w:lineRule="exact"/>
              <w:jc w:val="center"/>
              <w:rPr>
                <w:rFonts w:ascii="Arabic Typesetting" w:hAnsi="Arabic Typesetting" w:cs="Arabic Typesetting"/>
                <w:b/>
                <w:bCs/>
                <w:color w:val="008000"/>
                <w:sz w:val="28"/>
                <w:szCs w:val="28"/>
                <w:rtl/>
                <w:lang w:bidi="ar-EG"/>
              </w:rPr>
            </w:pPr>
          </w:p>
          <w:p w:rsidR="005C6BEE" w:rsidRPr="00FC7CCF" w:rsidRDefault="005C6BEE" w:rsidP="000471B4">
            <w:pPr>
              <w:keepNext/>
              <w:bidi/>
              <w:spacing w:before="60" w:after="60" w:line="280" w:lineRule="exact"/>
              <w:jc w:val="center"/>
              <w:rPr>
                <w:rFonts w:ascii="Arabic Typesetting" w:hAnsi="Arabic Typesetting" w:cs="Arabic Typesetting"/>
                <w:b/>
                <w:bCs/>
                <w:color w:val="008000"/>
                <w:sz w:val="28"/>
                <w:szCs w:val="28"/>
                <w:rtl/>
                <w:lang w:bidi="ar-EG"/>
              </w:rPr>
            </w:pPr>
          </w:p>
          <w:p w:rsidR="005C6BEE" w:rsidRPr="00FC7CCF" w:rsidRDefault="005C6BEE" w:rsidP="000471B4">
            <w:pPr>
              <w:keepNext/>
              <w:bidi/>
              <w:spacing w:before="60" w:after="60" w:line="280" w:lineRule="exact"/>
              <w:jc w:val="center"/>
              <w:rPr>
                <w:rFonts w:ascii="Arabic Typesetting" w:hAnsi="Arabic Typesetting" w:cs="Arabic Typesetting"/>
                <w:b/>
                <w:bCs/>
                <w:color w:val="008000"/>
                <w:sz w:val="28"/>
                <w:szCs w:val="28"/>
                <w:rtl/>
                <w:lang w:bidi="ar-EG"/>
              </w:rPr>
            </w:pPr>
          </w:p>
          <w:p w:rsidR="005C6BEE" w:rsidRPr="00FC7CCF" w:rsidRDefault="005C6BEE" w:rsidP="000471B4">
            <w:pPr>
              <w:keepNext/>
              <w:bidi/>
              <w:spacing w:before="60" w:after="60" w:line="280" w:lineRule="exact"/>
              <w:jc w:val="center"/>
              <w:rPr>
                <w:rFonts w:ascii="Arabic Typesetting" w:hAnsi="Arabic Typesetting" w:cs="Arabic Typesetting"/>
                <w:b/>
                <w:bCs/>
                <w:color w:val="008000"/>
                <w:sz w:val="28"/>
                <w:szCs w:val="28"/>
                <w:rtl/>
                <w:lang w:bidi="ar-EG"/>
              </w:rPr>
            </w:pPr>
          </w:p>
          <w:p w:rsidR="005C6BEE" w:rsidRPr="00FC7CCF" w:rsidRDefault="005C6BEE" w:rsidP="000471B4">
            <w:pPr>
              <w:keepNext/>
              <w:bidi/>
              <w:spacing w:before="60" w:after="60" w:line="280" w:lineRule="exact"/>
              <w:jc w:val="center"/>
              <w:rPr>
                <w:rFonts w:ascii="Arabic Typesetting" w:hAnsi="Arabic Typesetting" w:cs="Arabic Typesetting"/>
                <w:b/>
                <w:bCs/>
                <w:color w:val="008000"/>
                <w:sz w:val="28"/>
                <w:szCs w:val="28"/>
                <w:lang w:bidi="ar-EG"/>
              </w:rPr>
            </w:pPr>
            <w:r w:rsidRPr="00FC7CCF">
              <w:rPr>
                <w:rFonts w:ascii="Arabic Typesetting" w:hAnsi="Arabic Typesetting" w:cs="Arabic Typesetting"/>
                <w:b/>
                <w:bCs/>
                <w:color w:val="008000"/>
                <w:sz w:val="28"/>
                <w:szCs w:val="28"/>
                <w:rtl/>
                <w:lang w:bidi="ar-EG"/>
              </w:rPr>
              <w:t>محقق كلياً</w:t>
            </w:r>
          </w:p>
        </w:tc>
      </w:tr>
      <w:tr w:rsidR="005C6BEE"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5C6BEE" w:rsidRPr="00FC7CCF" w:rsidRDefault="005C6BEE"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t>النتيجة المرتقبة:</w:t>
            </w:r>
            <w:r w:rsidRPr="00FC7CCF">
              <w:rPr>
                <w:rFonts w:ascii="Arabic Typesetting" w:hAnsi="Arabic Typesetting" w:cs="Arabic Typesetting"/>
                <w:b/>
                <w:bCs/>
                <w:sz w:val="28"/>
                <w:szCs w:val="28"/>
                <w:rtl/>
                <w:lang w:bidi="ar-EG"/>
              </w:rPr>
              <w:tab/>
            </w:r>
            <w:r w:rsidRPr="00FC7CCF">
              <w:rPr>
                <w:rFonts w:ascii="Arabic Typesetting" w:hAnsi="Arabic Typesetting" w:cs="Arabic Typesetting"/>
                <w:b/>
                <w:sz w:val="28"/>
                <w:szCs w:val="28"/>
                <w:rtl/>
                <w:lang w:bidi="ar-EG"/>
              </w:rPr>
              <w:t xml:space="preserve">ه8.2 </w:t>
            </w:r>
            <w:r w:rsidR="00A0719D">
              <w:rPr>
                <w:rFonts w:ascii="Arabic Typesetting" w:hAnsi="Arabic Typesetting" w:cs="Arabic Typesetting"/>
                <w:b/>
                <w:sz w:val="28"/>
                <w:szCs w:val="28"/>
                <w:rtl/>
                <w:lang w:bidi="ar-EG"/>
              </w:rPr>
              <w:t>تزايد تفادي نشوء المنازعات المتعلقة بالملكية الفكرية دوليا وداخليا وتسويتها بفضل الوساطة والتحكيم وغيرها من أساليب الويبو البديلة في تسوية المنازعات</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مؤشرات الأداء</w:t>
            </w:r>
          </w:p>
        </w:tc>
        <w:tc>
          <w:tcPr>
            <w:tcW w:w="2280" w:type="dxa"/>
            <w:tcBorders>
              <w:top w:val="single" w:sz="4" w:space="0" w:color="auto"/>
              <w:left w:val="nil"/>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أسس المقارنة</w:t>
            </w:r>
          </w:p>
        </w:tc>
        <w:tc>
          <w:tcPr>
            <w:tcW w:w="1574" w:type="dxa"/>
            <w:gridSpan w:val="2"/>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Height w:val="2310"/>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rPr>
              <w:t>عدد المستخدمين في البلدان المنتقلة إلى نظام الاقتصاد الحر والبلدان المتقدمة التي تنتفع بخدمات مركز التحكيم والوساطة</w:t>
            </w:r>
          </w:p>
        </w:tc>
        <w:tc>
          <w:tcPr>
            <w:tcW w:w="2280"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i/>
                <w:iCs/>
                <w:color w:val="002060"/>
                <w:sz w:val="28"/>
                <w:szCs w:val="28"/>
                <w:rtl/>
                <w:lang w:bidi="ar-EG"/>
              </w:rPr>
              <w:t xml:space="preserve">أسس المقارنة المحدّثة في نهاية 2013: </w:t>
            </w:r>
            <w:r w:rsidRPr="00FC7CCF">
              <w:rPr>
                <w:rFonts w:ascii="Arabic Typesetting" w:hAnsi="Arabic Typesetting" w:cs="Arabic Typesetting"/>
                <w:b/>
                <w:color w:val="002060"/>
                <w:sz w:val="28"/>
                <w:szCs w:val="28"/>
                <w:rtl/>
                <w:lang w:bidi="ar-EG"/>
              </w:rPr>
              <w:t>359 منازعة و51 مسعى من المساعي الحميدة أطرافها من البلدان المنتقلة إلى نظام الاقتصاد الحر والبلدان المتقدمة (العدد التراكمي في نهاية 2013)</w:t>
            </w:r>
          </w:p>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يحدد لاحقا</w:t>
            </w:r>
          </w:p>
        </w:tc>
        <w:tc>
          <w:tcPr>
            <w:tcW w:w="1574"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 xml:space="preserve">زيادة </w:t>
            </w:r>
            <w:r w:rsidR="00B449D6" w:rsidRPr="00FC7CCF">
              <w:rPr>
                <w:rFonts w:ascii="Arabic Typesetting" w:hAnsi="Arabic Typesetting" w:cs="Arabic Typesetting"/>
                <w:sz w:val="28"/>
                <w:szCs w:val="28"/>
                <w:rtl/>
                <w:lang w:bidi="ar-EG"/>
              </w:rPr>
              <w:t>بنسبة</w:t>
            </w:r>
            <w:r w:rsidRPr="00FC7CCF">
              <w:rPr>
                <w:rFonts w:ascii="Arabic Typesetting" w:hAnsi="Arabic Typesetting" w:cs="Arabic Typesetting"/>
                <w:sz w:val="28"/>
                <w:szCs w:val="28"/>
                <w:rtl/>
                <w:lang w:bidi="ar-EG"/>
              </w:rPr>
              <w:t xml:space="preserve"> 2%</w:t>
            </w:r>
          </w:p>
        </w:tc>
        <w:tc>
          <w:tcPr>
            <w:tcW w:w="2551" w:type="dxa"/>
            <w:tcBorders>
              <w:top w:val="nil"/>
              <w:left w:val="nil"/>
              <w:bottom w:val="single" w:sz="4" w:space="0" w:color="auto"/>
              <w:right w:val="nil"/>
            </w:tcBorders>
          </w:tcPr>
          <w:p w:rsidR="004548B8"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102</w:t>
            </w:r>
            <w:r w:rsidR="004548B8" w:rsidRPr="00FC7CCF">
              <w:rPr>
                <w:rFonts w:ascii="Arabic Typesetting" w:hAnsi="Arabic Typesetting" w:cs="Arabic Typesetting"/>
                <w:sz w:val="28"/>
                <w:szCs w:val="28"/>
                <w:rtl/>
                <w:lang w:bidi="ar-EG"/>
              </w:rPr>
              <w:t xml:space="preserve"> منازعة إضافية </w:t>
            </w:r>
            <w:r w:rsidRPr="00FC7CCF">
              <w:rPr>
                <w:rFonts w:ascii="Arabic Typesetting" w:hAnsi="Arabic Typesetting" w:cs="Arabic Typesetting"/>
                <w:sz w:val="28"/>
                <w:szCs w:val="28"/>
                <w:rtl/>
                <w:lang w:bidi="ar-EG"/>
              </w:rPr>
              <w:t>و</w:t>
            </w:r>
            <w:r w:rsidR="004548B8" w:rsidRPr="00FC7CCF">
              <w:rPr>
                <w:rFonts w:ascii="Arabic Typesetting" w:hAnsi="Arabic Typesetting" w:cs="Arabic Typesetting"/>
                <w:sz w:val="28"/>
                <w:szCs w:val="28"/>
                <w:rtl/>
                <w:lang w:bidi="ar-EG"/>
              </w:rPr>
              <w:t xml:space="preserve">مسعى من المساعي الحميدة أطرافها من البلدان المنتقلة إلى نظام الاقتصاد الحر والبلدان المتقدمة </w:t>
            </w:r>
            <w:r w:rsidRPr="00FC7CCF">
              <w:rPr>
                <w:rFonts w:ascii="Arabic Typesetting" w:hAnsi="Arabic Typesetting" w:cs="Arabic Typesetting"/>
                <w:sz w:val="28"/>
                <w:szCs w:val="28"/>
                <w:rtl/>
                <w:lang w:bidi="ar-EG"/>
              </w:rPr>
              <w:t xml:space="preserve">في </w:t>
            </w:r>
            <w:r w:rsidR="00507DE2">
              <w:rPr>
                <w:rFonts w:ascii="Arabic Typesetting" w:hAnsi="Arabic Typesetting" w:cs="Arabic Typesetting"/>
                <w:sz w:val="28"/>
                <w:szCs w:val="28"/>
                <w:rtl/>
                <w:lang w:bidi="ar-EG"/>
              </w:rPr>
              <w:t>2014/15</w:t>
            </w:r>
          </w:p>
          <w:p w:rsidR="005C6BEE"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+24.8%</w:t>
            </w:r>
          </w:p>
          <w:p w:rsidR="005C6BEE" w:rsidRPr="00FC7CCF" w:rsidRDefault="005C6BEE" w:rsidP="000471B4">
            <w:pPr>
              <w:bidi/>
              <w:spacing w:before="24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461 منازعة ومسعى من المساعي الحميدة أطرافها من البلدان المنتقلة إلى نظام الاقتصاد الحر والبلدان المتقدمة (التراكمي حتى نهاية 2015)</w:t>
            </w:r>
          </w:p>
        </w:tc>
        <w:tc>
          <w:tcPr>
            <w:tcW w:w="818" w:type="dxa"/>
            <w:tcBorders>
              <w:top w:val="nil"/>
              <w:left w:val="nil"/>
              <w:bottom w:val="single" w:sz="4" w:space="0" w:color="auto"/>
              <w:right w:val="single" w:sz="4" w:space="0" w:color="auto"/>
            </w:tcBorders>
          </w:tcPr>
          <w:p w:rsidR="004548B8" w:rsidRPr="00FC7CCF" w:rsidRDefault="005C6BEE" w:rsidP="000471B4">
            <w:pPr>
              <w:keepNext/>
              <w:bidi/>
              <w:spacing w:before="60" w:after="60" w:line="280" w:lineRule="exact"/>
              <w:jc w:val="center"/>
              <w:rPr>
                <w:rFonts w:ascii="Arabic Typesetting" w:hAnsi="Arabic Typesetting" w:cs="Arabic Typesetting"/>
                <w:b/>
                <w:bCs/>
                <w:color w:val="008000"/>
                <w:sz w:val="28"/>
                <w:szCs w:val="28"/>
                <w:rtl/>
                <w:lang w:bidi="ar-EG"/>
              </w:rPr>
            </w:pPr>
            <w:r w:rsidRPr="00FC7CCF">
              <w:rPr>
                <w:rFonts w:ascii="Arabic Typesetting" w:hAnsi="Arabic Typesetting" w:cs="Arabic Typesetting"/>
                <w:b/>
                <w:bCs/>
                <w:color w:val="008000"/>
                <w:sz w:val="28"/>
                <w:szCs w:val="28"/>
                <w:rtl/>
                <w:lang w:bidi="ar-EG"/>
              </w:rPr>
              <w:t>محقق كلياً</w:t>
            </w:r>
          </w:p>
        </w:tc>
      </w:tr>
      <w:tr w:rsidR="005C6BEE"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5C6BEE" w:rsidRPr="00FC7CCF" w:rsidRDefault="005C6BEE"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lastRenderedPageBreak/>
              <w:t>النتيجة المرتقبة:</w:t>
            </w:r>
            <w:r w:rsidRPr="00FC7CCF">
              <w:rPr>
                <w:rFonts w:ascii="Arabic Typesetting" w:hAnsi="Arabic Typesetting" w:cs="Arabic Typesetting"/>
                <w:b/>
                <w:bCs/>
                <w:sz w:val="28"/>
                <w:szCs w:val="28"/>
                <w:rtl/>
                <w:lang w:bidi="ar-EG"/>
              </w:rPr>
              <w:tab/>
            </w:r>
            <w:r w:rsidRPr="00FC7CCF">
              <w:rPr>
                <w:rFonts w:ascii="Arabic Typesetting" w:hAnsi="Arabic Typesetting" w:cs="Arabic Typesetting"/>
                <w:b/>
                <w:sz w:val="28"/>
                <w:szCs w:val="28"/>
                <w:rtl/>
                <w:lang w:bidi="ar-EG"/>
              </w:rPr>
              <w:t xml:space="preserve">ه1.3 </w:t>
            </w:r>
            <w:r w:rsidR="0009764C">
              <w:rPr>
                <w:rFonts w:ascii="Arabic Typesetting" w:hAnsi="Arabic Typesetting" w:cs="Arabic Typesetting"/>
                <w:b/>
                <w:sz w:val="28"/>
                <w:szCs w:val="28"/>
                <w:rtl/>
                <w:lang w:bidi="ar-EG"/>
              </w:rPr>
              <w:t>استراتيجيات وخطط وطنية في مجالي الابتكار والملكية الفكرية تتماشى مع الأهداف الإنمائية الوطنية</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مؤشرات</w:t>
            </w:r>
            <w:r w:rsidR="005C6BEE" w:rsidRPr="00FC7CCF">
              <w:rPr>
                <w:rFonts w:ascii="Arabic Typesetting" w:hAnsi="Arabic Typesetting" w:cs="Arabic Typesetting"/>
                <w:b/>
                <w:bCs/>
                <w:sz w:val="28"/>
                <w:szCs w:val="28"/>
                <w:rtl/>
                <w:lang w:bidi="ar-EG"/>
              </w:rPr>
              <w:t xml:space="preserve"> الأداء</w:t>
            </w:r>
          </w:p>
        </w:tc>
        <w:tc>
          <w:tcPr>
            <w:tcW w:w="2280" w:type="dxa"/>
            <w:tcBorders>
              <w:top w:val="single" w:sz="4" w:space="0" w:color="auto"/>
              <w:left w:val="nil"/>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أسس المقارنة</w:t>
            </w:r>
          </w:p>
        </w:tc>
        <w:tc>
          <w:tcPr>
            <w:tcW w:w="1574" w:type="dxa"/>
            <w:gridSpan w:val="2"/>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5C6BEE"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Height w:val="2310"/>
        </w:trPr>
        <w:tc>
          <w:tcPr>
            <w:tcW w:w="2348" w:type="dxa"/>
            <w:tcBorders>
              <w:top w:val="nil"/>
              <w:left w:val="single" w:sz="4" w:space="0" w:color="auto"/>
              <w:bottom w:val="nil"/>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rPr>
              <w:t>عدد الجامعات التي وضعت سياسات الملكية الفكرية</w:t>
            </w:r>
          </w:p>
        </w:tc>
        <w:tc>
          <w:tcPr>
            <w:tcW w:w="2280" w:type="dxa"/>
            <w:tcBorders>
              <w:top w:val="nil"/>
              <w:left w:val="nil"/>
              <w:bottom w:val="nil"/>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تحدد لاحقا</w:t>
            </w:r>
          </w:p>
        </w:tc>
        <w:tc>
          <w:tcPr>
            <w:tcW w:w="1574" w:type="dxa"/>
            <w:gridSpan w:val="2"/>
            <w:tcBorders>
              <w:top w:val="nil"/>
              <w:left w:val="nil"/>
              <w:bottom w:val="nil"/>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30 جامعة إضافية</w:t>
            </w:r>
          </w:p>
        </w:tc>
        <w:tc>
          <w:tcPr>
            <w:tcW w:w="2551" w:type="dxa"/>
            <w:tcBorders>
              <w:top w:val="nil"/>
              <w:left w:val="nil"/>
              <w:bottom w:val="nil"/>
              <w:right w:val="nil"/>
            </w:tcBorders>
          </w:tcPr>
          <w:p w:rsidR="005C6BEE"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436 (بولندا 434؛ الاتحاد</w:t>
            </w:r>
            <w:r w:rsidR="00431E7B">
              <w:rPr>
                <w:rFonts w:ascii="Arabic Typesetting" w:hAnsi="Arabic Typesetting" w:cs="Arabic Typesetting" w:hint="cs"/>
                <w:sz w:val="28"/>
                <w:szCs w:val="28"/>
                <w:rtl/>
                <w:lang w:bidi="ar-EG"/>
              </w:rPr>
              <w:t> </w:t>
            </w:r>
            <w:r w:rsidRPr="00FC7CCF">
              <w:rPr>
                <w:rFonts w:ascii="Arabic Typesetting" w:hAnsi="Arabic Typesetting" w:cs="Arabic Typesetting"/>
                <w:sz w:val="28"/>
                <w:szCs w:val="28"/>
                <w:rtl/>
                <w:lang w:bidi="ar-EG"/>
              </w:rPr>
              <w:t>الروسي</w:t>
            </w:r>
            <w:r w:rsidR="00431E7B">
              <w:rPr>
                <w:rFonts w:ascii="Arabic Typesetting" w:hAnsi="Arabic Typesetting" w:cs="Arabic Typesetting" w:hint="cs"/>
                <w:sz w:val="28"/>
                <w:szCs w:val="28"/>
                <w:rtl/>
                <w:lang w:bidi="ar-EG"/>
              </w:rPr>
              <w:t> </w:t>
            </w:r>
            <w:r w:rsidRPr="00FC7CCF">
              <w:rPr>
                <w:rFonts w:ascii="Arabic Typesetting" w:hAnsi="Arabic Typesetting" w:cs="Arabic Typesetting"/>
                <w:sz w:val="28"/>
                <w:szCs w:val="28"/>
                <w:rtl/>
                <w:lang w:bidi="ar-EG"/>
              </w:rPr>
              <w:t>1؛ أوزبكستان 1)</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وفي 1 أكتوبر 2014 اعتمدت بولندا قانون التعليم العالي الذي يلزم جميع مؤسسات التعليم العالي</w:t>
            </w:r>
            <w:r w:rsidR="005C6BEE" w:rsidRPr="00FC7CCF">
              <w:rPr>
                <w:rFonts w:ascii="Arabic Typesetting" w:hAnsi="Arabic Typesetting" w:cs="Arabic Typesetting"/>
                <w:sz w:val="28"/>
                <w:szCs w:val="28"/>
                <w:rtl/>
                <w:lang w:bidi="ar-EG"/>
              </w:rPr>
              <w:t xml:space="preserve"> </w:t>
            </w:r>
            <w:r w:rsidRPr="00FC7CCF">
              <w:rPr>
                <w:rFonts w:ascii="Arabic Typesetting" w:hAnsi="Arabic Typesetting" w:cs="Arabic Typesetting"/>
                <w:sz w:val="28"/>
                <w:szCs w:val="28"/>
                <w:rtl/>
                <w:lang w:bidi="ar-EG"/>
              </w:rPr>
              <w:t>بوضع سياسة محدّثة في مجال الملكية الفكرية في موعد أقصاه 31 مارس 2015</w:t>
            </w:r>
            <w:r w:rsidR="00431E7B">
              <w:rPr>
                <w:rFonts w:ascii="Arabic Typesetting" w:hAnsi="Arabic Typesetting" w:cs="Arabic Typesetting" w:hint="cs"/>
                <w:sz w:val="28"/>
                <w:szCs w:val="28"/>
                <w:rtl/>
                <w:lang w:bidi="ar-EG"/>
              </w:rPr>
              <w:t>.</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 xml:space="preserve">وكانت جامعات من إستونيا وليتوانيا وسلوفاكيا تقوم بوضع سياسات في مجال الملكية الفكرية في </w:t>
            </w:r>
            <w:r w:rsidR="00507DE2">
              <w:rPr>
                <w:rFonts w:ascii="Arabic Typesetting" w:hAnsi="Arabic Typesetting" w:cs="Arabic Typesetting"/>
                <w:sz w:val="28"/>
                <w:szCs w:val="28"/>
                <w:rtl/>
                <w:lang w:bidi="ar-EG"/>
              </w:rPr>
              <w:t>2014/15</w:t>
            </w:r>
            <w:r w:rsidRPr="00FC7CCF">
              <w:rPr>
                <w:rFonts w:ascii="Arabic Typesetting" w:hAnsi="Arabic Typesetting" w:cs="Arabic Typesetting"/>
                <w:sz w:val="28"/>
                <w:szCs w:val="28"/>
                <w:rtl/>
                <w:lang w:bidi="ar-EG"/>
              </w:rPr>
              <w:t>.</w:t>
            </w:r>
          </w:p>
        </w:tc>
        <w:tc>
          <w:tcPr>
            <w:tcW w:w="818" w:type="dxa"/>
            <w:tcBorders>
              <w:top w:val="nil"/>
              <w:left w:val="nil"/>
              <w:bottom w:val="nil"/>
              <w:right w:val="single" w:sz="4" w:space="0" w:color="auto"/>
            </w:tcBorders>
          </w:tcPr>
          <w:p w:rsidR="004548B8" w:rsidRPr="00FC7CCF" w:rsidRDefault="005C6BEE" w:rsidP="000471B4">
            <w:pPr>
              <w:keepNext/>
              <w:bidi/>
              <w:spacing w:before="60" w:after="60" w:line="280" w:lineRule="exact"/>
              <w:jc w:val="center"/>
              <w:rPr>
                <w:rFonts w:ascii="Arabic Typesetting" w:hAnsi="Arabic Typesetting" w:cs="Arabic Typesetting"/>
                <w:b/>
                <w:bCs/>
                <w:color w:val="008000"/>
                <w:sz w:val="28"/>
                <w:szCs w:val="28"/>
                <w:rtl/>
                <w:lang w:bidi="ar-EG"/>
              </w:rPr>
            </w:pPr>
            <w:r w:rsidRPr="00FC7CCF">
              <w:rPr>
                <w:rFonts w:ascii="Arabic Typesetting" w:hAnsi="Arabic Typesetting" w:cs="Arabic Typesetting"/>
                <w:b/>
                <w:bCs/>
                <w:color w:val="008000"/>
                <w:sz w:val="28"/>
                <w:szCs w:val="28"/>
                <w:rtl/>
                <w:lang w:bidi="ar-EG"/>
              </w:rPr>
              <w:t>محقق كلياً</w:t>
            </w:r>
          </w:p>
        </w:tc>
      </w:tr>
      <w:tr w:rsidR="004548B8" w:rsidRPr="00FC7CCF" w:rsidTr="000471B4">
        <w:trPr>
          <w:cantSplit/>
          <w:trHeight w:val="2310"/>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rPr>
            </w:pPr>
            <w:r w:rsidRPr="00FC7CCF">
              <w:rPr>
                <w:rFonts w:ascii="Arabic Typesetting" w:hAnsi="Arabic Typesetting" w:cs="Arabic Typesetting"/>
                <w:sz w:val="28"/>
                <w:szCs w:val="28"/>
                <w:rtl/>
              </w:rPr>
              <w:t>عدد البلدان التي وضعت استراتيجيات أو خطط وطنية للملكية الفكرية</w:t>
            </w:r>
          </w:p>
        </w:tc>
        <w:tc>
          <w:tcPr>
            <w:tcW w:w="2280"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14 (التراكمي في نهاية 2013)</w:t>
            </w:r>
          </w:p>
        </w:tc>
        <w:tc>
          <w:tcPr>
            <w:tcW w:w="1574" w:type="dxa"/>
            <w:gridSpan w:val="2"/>
            <w:tcBorders>
              <w:top w:val="nil"/>
              <w:left w:val="nil"/>
              <w:bottom w:val="single" w:sz="4" w:space="0" w:color="auto"/>
              <w:right w:val="nil"/>
            </w:tcBorders>
          </w:tcPr>
          <w:p w:rsidR="004548B8" w:rsidRPr="00FC7CCF" w:rsidRDefault="00FC7CCF"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6 بلدان إضافية</w:t>
            </w:r>
          </w:p>
        </w:tc>
        <w:tc>
          <w:tcPr>
            <w:tcW w:w="2551" w:type="dxa"/>
            <w:tcBorders>
              <w:top w:val="nil"/>
              <w:left w:val="nil"/>
              <w:bottom w:val="single" w:sz="4" w:space="0" w:color="auto"/>
              <w:right w:val="nil"/>
            </w:tcBorders>
          </w:tcPr>
          <w:p w:rsidR="004548B8" w:rsidRPr="00FC7CCF" w:rsidRDefault="005C6BEE"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6</w:t>
            </w:r>
            <w:r w:rsidR="004548B8" w:rsidRPr="00FC7CCF">
              <w:rPr>
                <w:rFonts w:ascii="Arabic Typesetting" w:hAnsi="Arabic Typesetting" w:cs="Arabic Typesetting"/>
                <w:sz w:val="28"/>
                <w:szCs w:val="28"/>
                <w:rtl/>
                <w:lang w:bidi="ar-EG"/>
              </w:rPr>
              <w:t xml:space="preserve"> </w:t>
            </w:r>
            <w:r w:rsidR="00FC7CCF" w:rsidRPr="00FC7CCF">
              <w:rPr>
                <w:rFonts w:ascii="Arabic Typesetting" w:hAnsi="Arabic Typesetting" w:cs="Arabic Typesetting"/>
                <w:sz w:val="28"/>
                <w:szCs w:val="28"/>
                <w:rtl/>
                <w:lang w:bidi="ar-EG"/>
              </w:rPr>
              <w:t>(بلغاريا وسلوفينيا وطاجيكستان وتركيا وتركمانستان وأوكرانيا)</w:t>
            </w:r>
          </w:p>
          <w:p w:rsidR="004548B8" w:rsidRPr="00FC7CCF" w:rsidRDefault="00FC7CCF"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hint="cs"/>
                <w:sz w:val="28"/>
                <w:szCs w:val="28"/>
                <w:rtl/>
                <w:lang w:bidi="ar-EG"/>
              </w:rPr>
              <w:t>4 بلدان (ألبانيا وجورجيا ولاتفيا وبولندا)</w:t>
            </w:r>
            <w:r>
              <w:rPr>
                <w:rFonts w:ascii="Arabic Typesetting" w:hAnsi="Arabic Typesetting" w:cs="Arabic Typesetting" w:hint="cs"/>
                <w:sz w:val="28"/>
                <w:szCs w:val="28"/>
                <w:rtl/>
                <w:lang w:bidi="ar-EG"/>
              </w:rPr>
              <w:t xml:space="preserve"> استهلت</w:t>
            </w:r>
            <w:r w:rsidRPr="00FC7CCF">
              <w:rPr>
                <w:rFonts w:ascii="Arabic Typesetting" w:hAnsi="Arabic Typesetting" w:cs="Arabic Typesetting" w:hint="cs"/>
                <w:sz w:val="28"/>
                <w:szCs w:val="28"/>
                <w:rtl/>
                <w:lang w:bidi="ar-EG"/>
              </w:rPr>
              <w:t xml:space="preserve"> وضع استراتيجية جديدة في هذا الصدد</w:t>
            </w:r>
            <w:r w:rsidR="00431E7B">
              <w:rPr>
                <w:rFonts w:ascii="Arabic Typesetting" w:hAnsi="Arabic Typesetting" w:cs="Arabic Typesetting" w:hint="cs"/>
                <w:sz w:val="28"/>
                <w:szCs w:val="28"/>
                <w:rtl/>
                <w:lang w:bidi="ar-EG"/>
              </w:rPr>
              <w:t>.</w:t>
            </w:r>
          </w:p>
        </w:tc>
        <w:tc>
          <w:tcPr>
            <w:tcW w:w="818" w:type="dxa"/>
            <w:tcBorders>
              <w:top w:val="nil"/>
              <w:left w:val="nil"/>
              <w:bottom w:val="single" w:sz="4" w:space="0" w:color="auto"/>
              <w:right w:val="single" w:sz="4" w:space="0" w:color="auto"/>
            </w:tcBorders>
          </w:tcPr>
          <w:p w:rsidR="004548B8" w:rsidRPr="00FC7CCF" w:rsidRDefault="005C6BEE" w:rsidP="000471B4">
            <w:pPr>
              <w:keepNext/>
              <w:bidi/>
              <w:spacing w:before="60" w:after="60" w:line="280" w:lineRule="exact"/>
              <w:jc w:val="center"/>
              <w:rPr>
                <w:rFonts w:ascii="Arabic Typesetting" w:hAnsi="Arabic Typesetting" w:cs="Arabic Typesetting"/>
                <w:b/>
                <w:bCs/>
                <w:color w:val="008000"/>
                <w:sz w:val="28"/>
                <w:szCs w:val="28"/>
                <w:rtl/>
                <w:lang w:bidi="ar-EG"/>
              </w:rPr>
            </w:pPr>
            <w:r w:rsidRPr="00FC7CCF">
              <w:rPr>
                <w:rFonts w:ascii="Arabic Typesetting" w:hAnsi="Arabic Typesetting" w:cs="Arabic Typesetting"/>
                <w:b/>
                <w:bCs/>
                <w:color w:val="008000"/>
                <w:sz w:val="28"/>
                <w:szCs w:val="28"/>
                <w:rtl/>
                <w:lang w:bidi="ar-EG"/>
              </w:rPr>
              <w:t>محقق كلياً</w:t>
            </w:r>
          </w:p>
        </w:tc>
      </w:tr>
      <w:tr w:rsidR="00FC7CCF"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FC7CCF" w:rsidRPr="00FC7CCF" w:rsidRDefault="00FC7CCF"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t>النتيجة المرتقبة:</w:t>
            </w:r>
            <w:r>
              <w:rPr>
                <w:rFonts w:ascii="Arabic Typesetting" w:hAnsi="Arabic Typesetting" w:cs="Arabic Typesetting" w:hint="cs"/>
                <w:b/>
                <w:bCs/>
                <w:sz w:val="28"/>
                <w:szCs w:val="28"/>
                <w:rtl/>
                <w:lang w:bidi="ar-EG"/>
              </w:rPr>
              <w:tab/>
            </w:r>
            <w:r w:rsidRPr="00FC7CCF">
              <w:rPr>
                <w:rFonts w:ascii="Arabic Typesetting" w:hAnsi="Arabic Typesetting" w:cs="Arabic Typesetting"/>
                <w:b/>
                <w:sz w:val="28"/>
                <w:szCs w:val="28"/>
                <w:rtl/>
                <w:lang w:bidi="ar-EG"/>
              </w:rPr>
              <w:t xml:space="preserve">ه2.3 كفاءات معززة للموارد البشرية القادرة على تناول طائفة واسعة من المتطلبات من أجل الانتفاع الفعال بالملكية الفكرية لأغراض التنمية في البلدان النامية </w:t>
            </w:r>
            <w:r w:rsidRPr="000471B4">
              <w:rPr>
                <w:rFonts w:ascii="Arabic Typesetting" w:hAnsi="Arabic Typesetting" w:cs="Arabic Typesetting"/>
                <w:sz w:val="28"/>
                <w:szCs w:val="28"/>
                <w:rtl/>
                <w:lang w:bidi="ar-EG"/>
              </w:rPr>
              <w:t>والبلدان</w:t>
            </w:r>
            <w:r w:rsidRPr="00FC7CCF">
              <w:rPr>
                <w:rFonts w:ascii="Arabic Typesetting" w:hAnsi="Arabic Typesetting" w:cs="Arabic Typesetting"/>
                <w:b/>
                <w:sz w:val="28"/>
                <w:szCs w:val="28"/>
                <w:rtl/>
                <w:lang w:bidi="ar-EG"/>
              </w:rPr>
              <w:t xml:space="preserve"> الأقل نمواً والبلدان المنتقلة إلى نظام الاقتصاد الحر</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مؤشرات الأداء</w:t>
            </w:r>
          </w:p>
        </w:tc>
        <w:tc>
          <w:tcPr>
            <w:tcW w:w="2280" w:type="dxa"/>
            <w:tcBorders>
              <w:top w:val="single" w:sz="4" w:space="0" w:color="auto"/>
              <w:left w:val="nil"/>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أسس المقارنة</w:t>
            </w:r>
          </w:p>
        </w:tc>
        <w:tc>
          <w:tcPr>
            <w:tcW w:w="1574" w:type="dxa"/>
            <w:gridSpan w:val="2"/>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Height w:val="2310"/>
        </w:trPr>
        <w:tc>
          <w:tcPr>
            <w:tcW w:w="2348" w:type="dxa"/>
            <w:tcBorders>
              <w:top w:val="nil"/>
              <w:left w:val="single" w:sz="4" w:space="0" w:color="auto"/>
              <w:bottom w:val="nil"/>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rPr>
              <w:t>عدد البلدان المنتقلة إلى نظام الاقتصاد الحر التي وضعت برامج تدريبية سنوية في مجال الملكية الفكرية و/أو دورات للمهنيين المتخصصين في الملكية الفكرية</w:t>
            </w:r>
          </w:p>
        </w:tc>
        <w:tc>
          <w:tcPr>
            <w:tcW w:w="2280" w:type="dxa"/>
            <w:tcBorders>
              <w:top w:val="nil"/>
              <w:left w:val="nil"/>
              <w:bottom w:val="nil"/>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تحدد لاحقا</w:t>
            </w:r>
          </w:p>
        </w:tc>
        <w:tc>
          <w:tcPr>
            <w:tcW w:w="1574" w:type="dxa"/>
            <w:gridSpan w:val="2"/>
            <w:tcBorders>
              <w:top w:val="nil"/>
              <w:left w:val="nil"/>
              <w:bottom w:val="nil"/>
              <w:right w:val="nil"/>
            </w:tcBorders>
          </w:tcPr>
          <w:p w:rsidR="004548B8" w:rsidRPr="00FC7CCF" w:rsidRDefault="00FC7CCF"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10</w:t>
            </w:r>
          </w:p>
        </w:tc>
        <w:tc>
          <w:tcPr>
            <w:tcW w:w="2551" w:type="dxa"/>
            <w:tcBorders>
              <w:top w:val="nil"/>
              <w:left w:val="nil"/>
              <w:bottom w:val="nil"/>
              <w:right w:val="nil"/>
            </w:tcBorders>
          </w:tcPr>
          <w:p w:rsidR="004548B8" w:rsidRDefault="00FC7CCF"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9</w:t>
            </w:r>
            <w:r w:rsidR="004548B8" w:rsidRPr="00FC7CCF">
              <w:rPr>
                <w:rFonts w:ascii="Arabic Typesetting" w:hAnsi="Arabic Typesetting" w:cs="Arabic Typesetting"/>
                <w:sz w:val="28"/>
                <w:szCs w:val="28"/>
                <w:rtl/>
                <w:lang w:bidi="ar-EG"/>
              </w:rPr>
              <w:t xml:space="preserve"> (بلغاريا وكرواتيا والجمهورية التشيكية </w:t>
            </w:r>
            <w:r>
              <w:rPr>
                <w:rFonts w:ascii="Arabic Typesetting" w:hAnsi="Arabic Typesetting" w:cs="Arabic Typesetting" w:hint="cs"/>
                <w:sz w:val="28"/>
                <w:szCs w:val="28"/>
                <w:rtl/>
                <w:lang w:bidi="ar-EG"/>
              </w:rPr>
              <w:t xml:space="preserve">وجورجيا </w:t>
            </w:r>
            <w:r w:rsidR="004548B8" w:rsidRPr="00FC7CCF">
              <w:rPr>
                <w:rFonts w:ascii="Arabic Typesetting" w:hAnsi="Arabic Typesetting" w:cs="Arabic Typesetting"/>
                <w:sz w:val="28"/>
                <w:szCs w:val="28"/>
                <w:rtl/>
                <w:lang w:bidi="ar-EG"/>
              </w:rPr>
              <w:t xml:space="preserve">وكازاخستان وبولندا </w:t>
            </w:r>
            <w:r>
              <w:rPr>
                <w:rFonts w:ascii="Arabic Typesetting" w:hAnsi="Arabic Typesetting" w:cs="Arabic Typesetting" w:hint="cs"/>
                <w:sz w:val="28"/>
                <w:szCs w:val="28"/>
                <w:rtl/>
                <w:lang w:bidi="ar-EG"/>
              </w:rPr>
              <w:t xml:space="preserve">ورومانيا وسلوفاكيا </w:t>
            </w:r>
            <w:r w:rsidR="004548B8" w:rsidRPr="00FC7CCF">
              <w:rPr>
                <w:rFonts w:ascii="Arabic Typesetting" w:hAnsi="Arabic Typesetting" w:cs="Arabic Typesetting"/>
                <w:sz w:val="28"/>
                <w:szCs w:val="28"/>
                <w:rtl/>
                <w:lang w:bidi="ar-EG"/>
              </w:rPr>
              <w:t>وتركيا)</w:t>
            </w:r>
          </w:p>
          <w:p w:rsidR="00FC7CCF" w:rsidRPr="00FC7CCF" w:rsidRDefault="00FC7CCF"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 xml:space="preserve">وافقت حكومة رومانيا على </w:t>
            </w:r>
            <w:r w:rsidRPr="00FC7CCF">
              <w:rPr>
                <w:rFonts w:ascii="Arabic Typesetting" w:hAnsi="Arabic Typesetting" w:cs="Arabic Typesetting" w:hint="cs"/>
                <w:sz w:val="28"/>
                <w:szCs w:val="28"/>
                <w:rtl/>
                <w:lang w:bidi="ar-EG"/>
              </w:rPr>
              <w:t>البرنامج المدرسي لدورة التعليم الاختيارية بشأن حقوق الملكية الفكرية (</w:t>
            </w:r>
            <w:r w:rsidR="00431E7B">
              <w:rPr>
                <w:rFonts w:ascii="Arabic Typesetting" w:hAnsi="Arabic Typesetting" w:cs="Arabic Typesetting" w:hint="cs"/>
                <w:sz w:val="28"/>
                <w:szCs w:val="28"/>
                <w:rtl/>
                <w:lang w:bidi="ar-EG"/>
              </w:rPr>
              <w:t>يرجع اختيار</w:t>
            </w:r>
            <w:r w:rsidRPr="00FC7CCF">
              <w:rPr>
                <w:rFonts w:ascii="Arabic Typesetting" w:hAnsi="Arabic Typesetting" w:cs="Arabic Typesetting" w:hint="eastAsia"/>
                <w:sz w:val="28"/>
                <w:szCs w:val="28"/>
                <w:rtl/>
                <w:lang w:bidi="ar-EG"/>
              </w:rPr>
              <w:t> </w:t>
            </w:r>
            <w:r w:rsidRPr="00FC7CCF">
              <w:rPr>
                <w:rFonts w:ascii="Arabic Typesetting" w:hAnsi="Arabic Typesetting" w:cs="Arabic Typesetting" w:hint="cs"/>
                <w:sz w:val="28"/>
                <w:szCs w:val="28"/>
                <w:rtl/>
                <w:lang w:bidi="ar-EG"/>
              </w:rPr>
              <w:t xml:space="preserve">المنهج </w:t>
            </w:r>
            <w:r w:rsidR="00431E7B">
              <w:rPr>
                <w:rFonts w:ascii="Arabic Typesetting" w:hAnsi="Arabic Typesetting" w:cs="Arabic Typesetting" w:hint="cs"/>
                <w:sz w:val="28"/>
                <w:szCs w:val="28"/>
                <w:rtl/>
                <w:lang w:bidi="ar-EG"/>
              </w:rPr>
              <w:t>إلى</w:t>
            </w:r>
            <w:r w:rsidRPr="00FC7CCF">
              <w:rPr>
                <w:rFonts w:ascii="Arabic Typesetting" w:hAnsi="Arabic Typesetting" w:cs="Arabic Typesetting" w:hint="cs"/>
                <w:sz w:val="28"/>
                <w:szCs w:val="28"/>
                <w:rtl/>
                <w:lang w:bidi="ar-EG"/>
              </w:rPr>
              <w:t xml:space="preserve"> المدرسة الثانوية)</w:t>
            </w:r>
            <w:r>
              <w:rPr>
                <w:rFonts w:ascii="Arabic Typesetting" w:hAnsi="Arabic Typesetting" w:cs="Arabic Typesetting" w:hint="cs"/>
                <w:sz w:val="28"/>
                <w:szCs w:val="28"/>
                <w:rtl/>
                <w:lang w:bidi="ar-EG"/>
              </w:rPr>
              <w:t xml:space="preserve"> في 27</w:t>
            </w:r>
            <w:r>
              <w:rPr>
                <w:rFonts w:ascii="Arabic Typesetting" w:hAnsi="Arabic Typesetting" w:cs="Arabic Typesetting" w:hint="eastAsia"/>
                <w:sz w:val="28"/>
                <w:szCs w:val="28"/>
                <w:rtl/>
                <w:lang w:bidi="ar-EG"/>
              </w:rPr>
              <w:t> </w:t>
            </w:r>
            <w:r>
              <w:rPr>
                <w:rFonts w:ascii="Arabic Typesetting" w:hAnsi="Arabic Typesetting" w:cs="Arabic Typesetting" w:hint="cs"/>
                <w:sz w:val="28"/>
                <w:szCs w:val="28"/>
                <w:rtl/>
                <w:lang w:bidi="ar-EG"/>
              </w:rPr>
              <w:t>مارس</w:t>
            </w:r>
            <w:r>
              <w:rPr>
                <w:rFonts w:ascii="Arabic Typesetting" w:hAnsi="Arabic Typesetting" w:cs="Arabic Typesetting" w:hint="eastAsia"/>
                <w:sz w:val="28"/>
                <w:szCs w:val="28"/>
                <w:rtl/>
                <w:lang w:bidi="ar-EG"/>
              </w:rPr>
              <w:t> </w:t>
            </w:r>
            <w:r>
              <w:rPr>
                <w:rFonts w:ascii="Arabic Typesetting" w:hAnsi="Arabic Typesetting" w:cs="Arabic Typesetting" w:hint="cs"/>
                <w:sz w:val="28"/>
                <w:szCs w:val="28"/>
                <w:rtl/>
                <w:lang w:bidi="ar-EG"/>
              </w:rPr>
              <w:t>2015</w:t>
            </w:r>
          </w:p>
        </w:tc>
        <w:tc>
          <w:tcPr>
            <w:tcW w:w="818" w:type="dxa"/>
            <w:tcBorders>
              <w:top w:val="nil"/>
              <w:left w:val="nil"/>
              <w:bottom w:val="nil"/>
              <w:right w:val="single" w:sz="4" w:space="0" w:color="auto"/>
            </w:tcBorders>
          </w:tcPr>
          <w:p w:rsidR="004548B8" w:rsidRPr="00FC7CCF" w:rsidRDefault="00FC7CCF" w:rsidP="000471B4">
            <w:pPr>
              <w:keepNext/>
              <w:bidi/>
              <w:spacing w:before="60" w:after="60"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hint="cs"/>
                <w:b/>
                <w:bCs/>
                <w:color w:val="008000"/>
                <w:sz w:val="28"/>
                <w:szCs w:val="28"/>
                <w:rtl/>
                <w:lang w:bidi="ar-EG"/>
              </w:rPr>
              <w:t>محقق كلياً</w:t>
            </w:r>
          </w:p>
        </w:tc>
      </w:tr>
      <w:tr w:rsidR="004548B8" w:rsidRPr="00FC7CCF" w:rsidTr="000471B4">
        <w:trPr>
          <w:cantSplit/>
          <w:trHeight w:val="2310"/>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rPr>
            </w:pPr>
            <w:r w:rsidRPr="00FC7CCF">
              <w:rPr>
                <w:rFonts w:ascii="Arabic Typesetting" w:hAnsi="Arabic Typesetting" w:cs="Arabic Typesetting"/>
                <w:sz w:val="28"/>
                <w:szCs w:val="28"/>
                <w:rtl/>
              </w:rPr>
              <w:t>النسبة المئوية للمهنيين المُدرَّبين المتخصصين في مجال الملكية الفكرية ومديري مكاتب الملكية الفكرية المُدرَّبين الذين يستخدمون مهارات محسنة في عملهم</w:t>
            </w:r>
          </w:p>
        </w:tc>
        <w:tc>
          <w:tcPr>
            <w:tcW w:w="2280"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color w:val="002060"/>
                <w:sz w:val="28"/>
                <w:szCs w:val="28"/>
                <w:rtl/>
                <w:lang w:bidi="ar-EG"/>
              </w:rPr>
            </w:pPr>
            <w:r w:rsidRPr="00FC7CCF">
              <w:rPr>
                <w:rFonts w:ascii="Arabic Typesetting" w:hAnsi="Arabic Typesetting" w:cs="Arabic Typesetting"/>
                <w:b/>
                <w:i/>
                <w:iCs/>
                <w:color w:val="002060"/>
                <w:sz w:val="28"/>
                <w:szCs w:val="28"/>
                <w:rtl/>
                <w:lang w:bidi="ar-EG"/>
              </w:rPr>
              <w:t>أسس المقارنة المحدّثة في نهاية 2013: 69</w:t>
            </w:r>
            <w:r w:rsidRPr="00FC7CCF">
              <w:rPr>
                <w:rFonts w:ascii="Arabic Typesetting" w:hAnsi="Arabic Typesetting" w:cs="Arabic Typesetting"/>
                <w:b/>
                <w:color w:val="002060"/>
                <w:sz w:val="28"/>
                <w:szCs w:val="28"/>
                <w:rtl/>
                <w:lang w:bidi="ar-EG"/>
              </w:rPr>
              <w:t>% من مديري مكاتب الملكية الفكرية المُدرَّبين يستخدمون مهارات محسنة في</w:t>
            </w:r>
            <w:r w:rsidR="00431E7B">
              <w:rPr>
                <w:rFonts w:ascii="Arabic Typesetting" w:hAnsi="Arabic Typesetting" w:cs="Arabic Typesetting" w:hint="cs"/>
                <w:b/>
                <w:color w:val="002060"/>
                <w:sz w:val="28"/>
                <w:szCs w:val="28"/>
                <w:rtl/>
                <w:lang w:bidi="ar-EG"/>
              </w:rPr>
              <w:t> </w:t>
            </w:r>
            <w:r w:rsidRPr="00FC7CCF">
              <w:rPr>
                <w:rFonts w:ascii="Arabic Typesetting" w:hAnsi="Arabic Typesetting" w:cs="Arabic Typesetting"/>
                <w:b/>
                <w:color w:val="002060"/>
                <w:sz w:val="28"/>
                <w:szCs w:val="28"/>
                <w:rtl/>
                <w:lang w:bidi="ar-EG"/>
              </w:rPr>
              <w:t>عملهم</w:t>
            </w:r>
          </w:p>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40%</w:t>
            </w:r>
          </w:p>
        </w:tc>
        <w:tc>
          <w:tcPr>
            <w:tcW w:w="1574"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50%</w:t>
            </w:r>
          </w:p>
        </w:tc>
        <w:tc>
          <w:tcPr>
            <w:tcW w:w="2551" w:type="dxa"/>
            <w:tcBorders>
              <w:top w:val="nil"/>
              <w:left w:val="nil"/>
              <w:bottom w:val="single" w:sz="4" w:space="0" w:color="auto"/>
              <w:right w:val="nil"/>
            </w:tcBorders>
          </w:tcPr>
          <w:p w:rsidR="004548B8" w:rsidRPr="00FC7CCF" w:rsidRDefault="00FC7CCF"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82.7</w:t>
            </w:r>
            <w:r w:rsidR="004548B8" w:rsidRPr="00FC7CCF">
              <w:rPr>
                <w:rFonts w:ascii="Arabic Typesetting" w:hAnsi="Arabic Typesetting" w:cs="Arabic Typesetting"/>
                <w:sz w:val="28"/>
                <w:szCs w:val="28"/>
                <w:rtl/>
                <w:lang w:bidi="ar-EG"/>
              </w:rPr>
              <w:t>% من المهنيين المُدرَّبين المتخصصين في مجال الملكية الفكرية ومديري مكاتب الملكية الفكرية المُدرَّبين يستخدمون مهارات محسنة في عملهم</w:t>
            </w:r>
            <w:r>
              <w:rPr>
                <w:rFonts w:ascii="Arabic Typesetting" w:hAnsi="Arabic Typesetting" w:cs="Arabic Typesetting" w:hint="cs"/>
                <w:sz w:val="28"/>
                <w:szCs w:val="28"/>
                <w:rtl/>
                <w:lang w:bidi="ar-EG"/>
              </w:rPr>
              <w:t xml:space="preserve"> خلال الثنائية </w:t>
            </w:r>
            <w:r w:rsidR="00507DE2">
              <w:rPr>
                <w:rFonts w:ascii="Arabic Typesetting" w:hAnsi="Arabic Typesetting" w:cs="Arabic Typesetting" w:hint="cs"/>
                <w:sz w:val="28"/>
                <w:szCs w:val="28"/>
                <w:rtl/>
                <w:lang w:bidi="ar-EG"/>
              </w:rPr>
              <w:t>2014/15</w:t>
            </w:r>
          </w:p>
        </w:tc>
        <w:tc>
          <w:tcPr>
            <w:tcW w:w="818" w:type="dxa"/>
            <w:tcBorders>
              <w:top w:val="nil"/>
              <w:left w:val="nil"/>
              <w:bottom w:val="single" w:sz="4" w:space="0" w:color="auto"/>
              <w:right w:val="single" w:sz="4" w:space="0" w:color="auto"/>
            </w:tcBorders>
          </w:tcPr>
          <w:p w:rsidR="004548B8" w:rsidRPr="00FC7CCF" w:rsidRDefault="00FC7CCF" w:rsidP="000471B4">
            <w:pPr>
              <w:keepNext/>
              <w:bidi/>
              <w:spacing w:before="60" w:after="60"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hint="cs"/>
                <w:b/>
                <w:bCs/>
                <w:color w:val="008000"/>
                <w:sz w:val="28"/>
                <w:szCs w:val="28"/>
                <w:rtl/>
                <w:lang w:bidi="ar-EG"/>
              </w:rPr>
              <w:t>محقق كلياً</w:t>
            </w:r>
          </w:p>
        </w:tc>
      </w:tr>
      <w:tr w:rsidR="00FC7CCF"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FC7CCF" w:rsidRPr="00FC7CCF" w:rsidRDefault="00FC7CCF"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lastRenderedPageBreak/>
              <w:t>النتيجة المرتقبة:</w:t>
            </w:r>
            <w:r>
              <w:rPr>
                <w:rFonts w:ascii="Arabic Typesetting" w:hAnsi="Arabic Typesetting" w:cs="Arabic Typesetting" w:hint="cs"/>
                <w:b/>
                <w:bCs/>
                <w:sz w:val="28"/>
                <w:szCs w:val="28"/>
                <w:rtl/>
                <w:lang w:bidi="ar-EG"/>
              </w:rPr>
              <w:tab/>
            </w:r>
            <w:r w:rsidRPr="00FC7CCF">
              <w:rPr>
                <w:rFonts w:ascii="Arabic Typesetting" w:hAnsi="Arabic Typesetting" w:cs="Arabic Typesetting"/>
                <w:b/>
                <w:sz w:val="28"/>
                <w:szCs w:val="28"/>
                <w:rtl/>
                <w:lang w:bidi="ar-EG"/>
              </w:rPr>
              <w:t xml:space="preserve">ه4.3 </w:t>
            </w:r>
            <w:r w:rsidR="000432CA">
              <w:rPr>
                <w:rFonts w:ascii="Arabic Typesetting" w:hAnsi="Arabic Typesetting" w:cs="Arabic Typesetting"/>
                <w:b/>
                <w:sz w:val="28"/>
                <w:szCs w:val="28"/>
                <w:rtl/>
                <w:lang w:bidi="ar-EG"/>
              </w:rPr>
              <w:t>آليات وبرامج تعاونية معزّزة ومكيّفة حسب احتياجات البلدان النامية والبلدان الأقل نموا</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مؤشرات الأداء</w:t>
            </w:r>
          </w:p>
        </w:tc>
        <w:tc>
          <w:tcPr>
            <w:tcW w:w="2280" w:type="dxa"/>
            <w:tcBorders>
              <w:top w:val="single" w:sz="4" w:space="0" w:color="auto"/>
              <w:left w:val="nil"/>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أسس المقارنة</w:t>
            </w:r>
          </w:p>
        </w:tc>
        <w:tc>
          <w:tcPr>
            <w:tcW w:w="1574" w:type="dxa"/>
            <w:gridSpan w:val="2"/>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Height w:val="2310"/>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rPr>
              <w:t>عدد الشراكات القائمة التي يكون فيها الطرف المُقدِّم للمساعدة من بلد</w:t>
            </w:r>
            <w:r w:rsidR="00431E7B">
              <w:rPr>
                <w:rFonts w:ascii="Arabic Typesetting" w:hAnsi="Arabic Typesetting" w:cs="Arabic Typesetting" w:hint="cs"/>
                <w:sz w:val="28"/>
                <w:szCs w:val="28"/>
                <w:rtl/>
              </w:rPr>
              <w:t> </w:t>
            </w:r>
            <w:r w:rsidRPr="00FC7CCF">
              <w:rPr>
                <w:rFonts w:ascii="Arabic Typesetting" w:hAnsi="Arabic Typesetting" w:cs="Arabic Typesetting"/>
                <w:sz w:val="28"/>
                <w:szCs w:val="28"/>
                <w:rtl/>
              </w:rPr>
              <w:t>متقدم</w:t>
            </w:r>
          </w:p>
        </w:tc>
        <w:tc>
          <w:tcPr>
            <w:tcW w:w="2280"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تحدد لاحقا</w:t>
            </w:r>
          </w:p>
        </w:tc>
        <w:tc>
          <w:tcPr>
            <w:tcW w:w="1574"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4 مذكرات تفاهم إضافية؛ و10 تطابقات إضافية في قاعدة بيانات المطابقة</w:t>
            </w:r>
          </w:p>
        </w:tc>
        <w:tc>
          <w:tcPr>
            <w:tcW w:w="2551" w:type="dxa"/>
            <w:tcBorders>
              <w:top w:val="nil"/>
              <w:left w:val="nil"/>
              <w:bottom w:val="single" w:sz="4" w:space="0" w:color="auto"/>
              <w:right w:val="nil"/>
            </w:tcBorders>
          </w:tcPr>
          <w:p w:rsidR="004548B8" w:rsidRPr="00FC7CCF" w:rsidRDefault="00FC7CCF"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5</w:t>
            </w:r>
            <w:r w:rsidR="004548B8" w:rsidRPr="00FC7CCF">
              <w:rPr>
                <w:rFonts w:ascii="Arabic Typesetting" w:hAnsi="Arabic Typesetting" w:cs="Arabic Typesetting"/>
                <w:sz w:val="28"/>
                <w:szCs w:val="28"/>
                <w:rtl/>
                <w:lang w:bidi="ar-EG"/>
              </w:rPr>
              <w:t xml:space="preserve"> مذكرات تفاهم جديدة (الدانمرك </w:t>
            </w:r>
            <w:r>
              <w:rPr>
                <w:rFonts w:ascii="Arabic Typesetting" w:hAnsi="Arabic Typesetting" w:cs="Arabic Typesetting" w:hint="cs"/>
                <w:sz w:val="28"/>
                <w:szCs w:val="28"/>
                <w:rtl/>
                <w:lang w:bidi="ar-EG"/>
              </w:rPr>
              <w:t xml:space="preserve">وفرنسا </w:t>
            </w:r>
            <w:r w:rsidR="004548B8" w:rsidRPr="00FC7CCF">
              <w:rPr>
                <w:rFonts w:ascii="Arabic Typesetting" w:hAnsi="Arabic Typesetting" w:cs="Arabic Typesetting"/>
                <w:sz w:val="28"/>
                <w:szCs w:val="28"/>
                <w:rtl/>
                <w:lang w:bidi="ar-EG"/>
              </w:rPr>
              <w:t>وألمانيا وإسرائيل وإسبانيا)</w:t>
            </w:r>
          </w:p>
          <w:p w:rsidR="004548B8" w:rsidRDefault="004548B8" w:rsidP="000471B4">
            <w:pPr>
              <w:bidi/>
              <w:spacing w:before="60" w:after="60" w:line="280" w:lineRule="exact"/>
              <w:rPr>
                <w:rFonts w:ascii="Arabic Typesetting" w:hAnsi="Arabic Typesetting" w:cs="Arabic Typesetting"/>
                <w:sz w:val="28"/>
                <w:szCs w:val="28"/>
                <w:rtl/>
                <w:lang w:bidi="ar-EG"/>
              </w:rPr>
            </w:pPr>
          </w:p>
          <w:p w:rsidR="004548B8" w:rsidRPr="00FC7CCF" w:rsidRDefault="00D60E58"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 xml:space="preserve">كانت خطة تواصل هادفة لتحسين </w:t>
            </w:r>
            <w:r w:rsidR="00B1424D">
              <w:rPr>
                <w:rFonts w:ascii="Arabic Typesetting" w:hAnsi="Arabic Typesetting" w:cs="Arabic Typesetting" w:hint="cs"/>
                <w:sz w:val="28"/>
                <w:szCs w:val="28"/>
                <w:rtl/>
                <w:lang w:bidi="ar-EG"/>
              </w:rPr>
              <w:t>التنزيل</w:t>
            </w:r>
            <w:r>
              <w:rPr>
                <w:rFonts w:ascii="Arabic Typesetting" w:hAnsi="Arabic Typesetting" w:cs="Arabic Typesetting" w:hint="cs"/>
                <w:sz w:val="28"/>
                <w:szCs w:val="28"/>
                <w:rtl/>
                <w:lang w:bidi="ar-EG"/>
              </w:rPr>
              <w:t xml:space="preserve"> وتعزيز التطابقات قيد الإعداد ولكن لم تتضح نتائجها في نهاية الثنائية.</w:t>
            </w:r>
          </w:p>
        </w:tc>
        <w:tc>
          <w:tcPr>
            <w:tcW w:w="818" w:type="dxa"/>
            <w:tcBorders>
              <w:top w:val="nil"/>
              <w:left w:val="nil"/>
              <w:bottom w:val="single" w:sz="4" w:space="0" w:color="auto"/>
              <w:right w:val="single" w:sz="4" w:space="0" w:color="auto"/>
            </w:tcBorders>
          </w:tcPr>
          <w:p w:rsidR="004548B8" w:rsidRPr="00FC7CCF" w:rsidRDefault="00FC7CCF" w:rsidP="000471B4">
            <w:pPr>
              <w:keepNext/>
              <w:bidi/>
              <w:spacing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hint="cs"/>
                <w:b/>
                <w:bCs/>
                <w:color w:val="008000"/>
                <w:sz w:val="28"/>
                <w:szCs w:val="28"/>
                <w:rtl/>
                <w:lang w:bidi="ar-EG"/>
              </w:rPr>
              <w:t>محقق كلياً</w:t>
            </w:r>
          </w:p>
          <w:p w:rsidR="004548B8" w:rsidRPr="00FC7CCF" w:rsidRDefault="004548B8" w:rsidP="000471B4">
            <w:pPr>
              <w:keepNext/>
              <w:bidi/>
              <w:spacing w:after="60" w:line="280" w:lineRule="exact"/>
              <w:jc w:val="center"/>
              <w:rPr>
                <w:rFonts w:ascii="Arabic Typesetting" w:hAnsi="Arabic Typesetting" w:cs="Arabic Typesetting"/>
                <w:b/>
                <w:bCs/>
                <w:color w:val="008000"/>
                <w:sz w:val="28"/>
                <w:szCs w:val="28"/>
                <w:rtl/>
                <w:lang w:bidi="ar-EG"/>
              </w:rPr>
            </w:pPr>
          </w:p>
          <w:p w:rsidR="004548B8" w:rsidRPr="00FC7CCF" w:rsidRDefault="004548B8" w:rsidP="000471B4">
            <w:pPr>
              <w:keepNext/>
              <w:bidi/>
              <w:spacing w:after="60" w:line="280" w:lineRule="exact"/>
              <w:jc w:val="center"/>
              <w:rPr>
                <w:rFonts w:ascii="Arabic Typesetting" w:hAnsi="Arabic Typesetting" w:cs="Arabic Typesetting"/>
                <w:b/>
                <w:bCs/>
                <w:color w:val="008000"/>
                <w:sz w:val="28"/>
                <w:szCs w:val="28"/>
                <w:rtl/>
                <w:lang w:bidi="ar-EG"/>
              </w:rPr>
            </w:pPr>
          </w:p>
          <w:p w:rsidR="004548B8" w:rsidRPr="00FC7CCF" w:rsidRDefault="00D60E58" w:rsidP="000471B4">
            <w:pPr>
              <w:keepNext/>
              <w:bidi/>
              <w:spacing w:after="60"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hint="cs"/>
                <w:b/>
                <w:bCs/>
                <w:color w:val="FF0000"/>
                <w:sz w:val="28"/>
                <w:szCs w:val="28"/>
                <w:rtl/>
                <w:lang w:bidi="ar-EG"/>
              </w:rPr>
              <w:t>غير محقق</w:t>
            </w:r>
          </w:p>
        </w:tc>
      </w:tr>
      <w:tr w:rsidR="00D60E58"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D60E58" w:rsidRPr="00FC7CCF" w:rsidRDefault="00D60E58"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t>النتيجة المرتقبة:</w:t>
            </w:r>
            <w:r>
              <w:rPr>
                <w:rFonts w:ascii="Arabic Typesetting" w:hAnsi="Arabic Typesetting" w:cs="Arabic Typesetting" w:hint="cs"/>
                <w:b/>
                <w:bCs/>
                <w:sz w:val="28"/>
                <w:szCs w:val="28"/>
                <w:rtl/>
                <w:lang w:bidi="ar-EG"/>
              </w:rPr>
              <w:tab/>
            </w:r>
            <w:r w:rsidRPr="00FC7CCF">
              <w:rPr>
                <w:rFonts w:ascii="Arabic Typesetting" w:hAnsi="Arabic Typesetting" w:cs="Arabic Typesetting"/>
                <w:b/>
                <w:sz w:val="28"/>
                <w:szCs w:val="28"/>
                <w:rtl/>
                <w:lang w:bidi="ar-EG"/>
              </w:rPr>
              <w:t xml:space="preserve">ه6.3 </w:t>
            </w:r>
            <w:r w:rsidR="009947B0">
              <w:rPr>
                <w:rFonts w:ascii="Arabic Typesetting" w:hAnsi="Arabic Typesetting" w:cs="Arabic Typesetting"/>
                <w:b/>
                <w:sz w:val="28"/>
                <w:szCs w:val="28"/>
                <w:rtl/>
                <w:lang w:bidi="ar-EG"/>
              </w:rPr>
              <w:t xml:space="preserve">قدرة معزّزة لدى الشركات الصغيرة </w:t>
            </w:r>
            <w:proofErr w:type="spellStart"/>
            <w:r w:rsidR="009947B0">
              <w:rPr>
                <w:rFonts w:ascii="Arabic Typesetting" w:hAnsi="Arabic Typesetting" w:cs="Arabic Typesetting"/>
                <w:b/>
                <w:sz w:val="28"/>
                <w:szCs w:val="28"/>
                <w:rtl/>
                <w:lang w:bidi="ar-EG"/>
              </w:rPr>
              <w:t>والمستوطة</w:t>
            </w:r>
            <w:proofErr w:type="spellEnd"/>
            <w:r w:rsidR="009947B0">
              <w:rPr>
                <w:rFonts w:ascii="Arabic Typesetting" w:hAnsi="Arabic Typesetting" w:cs="Arabic Typesetting"/>
                <w:b/>
                <w:sz w:val="28"/>
                <w:szCs w:val="28"/>
                <w:rtl/>
                <w:lang w:bidi="ar-EG"/>
              </w:rPr>
              <w:t xml:space="preserve"> على استخدام الملكية الفكرية بنجاح لدعم الابتكار</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مؤشرات الأداء</w:t>
            </w:r>
          </w:p>
        </w:tc>
        <w:tc>
          <w:tcPr>
            <w:tcW w:w="2293" w:type="dxa"/>
            <w:gridSpan w:val="2"/>
            <w:tcBorders>
              <w:top w:val="single" w:sz="4" w:space="0" w:color="auto"/>
              <w:left w:val="nil"/>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أسس المقارنة</w:t>
            </w:r>
          </w:p>
        </w:tc>
        <w:tc>
          <w:tcPr>
            <w:tcW w:w="1561" w:type="dxa"/>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ب</w:t>
            </w:r>
            <w:r w:rsidR="00D60E58">
              <w:rPr>
                <w:rFonts w:ascii="Arabic Typesetting" w:hAnsi="Arabic Typesetting" w:cs="Arabic Typesetting"/>
                <w:b/>
                <w:bCs/>
                <w:sz w:val="28"/>
                <w:szCs w:val="28"/>
                <w:rtl/>
                <w:lang w:bidi="ar-EG"/>
              </w:rPr>
              <w:t>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Height w:val="2310"/>
        </w:trPr>
        <w:tc>
          <w:tcPr>
            <w:tcW w:w="2348" w:type="dxa"/>
            <w:tcBorders>
              <w:top w:val="nil"/>
              <w:left w:val="single" w:sz="4" w:space="0" w:color="auto"/>
              <w:bottom w:val="nil"/>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rPr>
              <w:t>النسبة المئوية للمشاركين في برامج تدريبية تستهدف المؤسسات الداعمة للشركات الصغيرة والمتوسطة ممّن أبدوا رضاهم عن محتوى تلك البرامج وطريقة تنظيمها</w:t>
            </w:r>
          </w:p>
        </w:tc>
        <w:tc>
          <w:tcPr>
            <w:tcW w:w="2293" w:type="dxa"/>
            <w:gridSpan w:val="2"/>
            <w:tcBorders>
              <w:top w:val="nil"/>
              <w:left w:val="nil"/>
              <w:bottom w:val="nil"/>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تحدد لاحقا</w:t>
            </w:r>
          </w:p>
        </w:tc>
        <w:tc>
          <w:tcPr>
            <w:tcW w:w="1561" w:type="dxa"/>
            <w:tcBorders>
              <w:top w:val="nil"/>
              <w:left w:val="nil"/>
              <w:bottom w:val="nil"/>
              <w:right w:val="nil"/>
            </w:tcBorders>
          </w:tcPr>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i/>
                <w:iCs/>
                <w:color w:val="002060"/>
                <w:sz w:val="28"/>
                <w:szCs w:val="28"/>
                <w:rtl/>
                <w:lang w:bidi="ar-EG"/>
              </w:rPr>
              <w:t>الهدف المحدد: 75%</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الهدف الأصلي: برنامج وميزانية 2014/15: تحدد لاحقا</w:t>
            </w:r>
          </w:p>
        </w:tc>
        <w:tc>
          <w:tcPr>
            <w:tcW w:w="2551" w:type="dxa"/>
            <w:tcBorders>
              <w:top w:val="nil"/>
              <w:left w:val="nil"/>
              <w:bottom w:val="nil"/>
              <w:right w:val="nil"/>
            </w:tcBorders>
          </w:tcPr>
          <w:p w:rsidR="004548B8" w:rsidRPr="00FC7CCF" w:rsidRDefault="00D60E58"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97.2</w:t>
            </w:r>
            <w:r w:rsidR="004548B8" w:rsidRPr="00FC7CCF">
              <w:rPr>
                <w:rFonts w:ascii="Arabic Typesetting" w:hAnsi="Arabic Typesetting" w:cs="Arabic Typesetting"/>
                <w:sz w:val="28"/>
                <w:szCs w:val="28"/>
                <w:rtl/>
                <w:lang w:bidi="ar-EG"/>
              </w:rPr>
              <w:t>%</w:t>
            </w:r>
          </w:p>
        </w:tc>
        <w:tc>
          <w:tcPr>
            <w:tcW w:w="818" w:type="dxa"/>
            <w:tcBorders>
              <w:top w:val="nil"/>
              <w:left w:val="nil"/>
              <w:bottom w:val="nil"/>
              <w:right w:val="single" w:sz="4" w:space="0" w:color="auto"/>
            </w:tcBorders>
          </w:tcPr>
          <w:p w:rsidR="004548B8" w:rsidRPr="00FC7CCF" w:rsidRDefault="00D60E58" w:rsidP="000471B4">
            <w:pPr>
              <w:keepNext/>
              <w:bidi/>
              <w:spacing w:before="60" w:after="60"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hint="cs"/>
                <w:b/>
                <w:bCs/>
                <w:color w:val="008000"/>
                <w:sz w:val="28"/>
                <w:szCs w:val="28"/>
                <w:rtl/>
                <w:lang w:bidi="ar-EG"/>
              </w:rPr>
              <w:t>محقق كلياً</w:t>
            </w:r>
          </w:p>
        </w:tc>
      </w:tr>
      <w:tr w:rsidR="004548B8" w:rsidRPr="00FC7CCF" w:rsidTr="00431E7B">
        <w:trPr>
          <w:cantSplit/>
          <w:trHeight w:val="1563"/>
        </w:trPr>
        <w:tc>
          <w:tcPr>
            <w:tcW w:w="2348" w:type="dxa"/>
            <w:tcBorders>
              <w:top w:val="nil"/>
              <w:left w:val="single" w:sz="4" w:space="0" w:color="auto"/>
              <w:bottom w:val="nil"/>
              <w:right w:val="nil"/>
            </w:tcBorders>
          </w:tcPr>
          <w:p w:rsidR="004548B8" w:rsidRPr="00FC7CCF" w:rsidRDefault="004548B8" w:rsidP="000471B4">
            <w:pPr>
              <w:bidi/>
              <w:spacing w:line="280" w:lineRule="exact"/>
              <w:rPr>
                <w:rFonts w:ascii="Arabic Typesetting" w:hAnsi="Arabic Typesetting" w:cs="Arabic Typesetting"/>
                <w:sz w:val="28"/>
                <w:szCs w:val="28"/>
                <w:rtl/>
              </w:rPr>
            </w:pPr>
            <w:r w:rsidRPr="00FC7CCF">
              <w:rPr>
                <w:rFonts w:ascii="Arabic Typesetting" w:hAnsi="Arabic Typesetting" w:cs="Arabic Typesetting"/>
                <w:sz w:val="28"/>
                <w:szCs w:val="28"/>
                <w:rtl/>
              </w:rPr>
              <w:t>النسبة المئوية للمؤسسات الداعمة للشركات الصغيرة والمتوسطة ممّن حصلت على التدريب وتوفر المعلومات وخدمات الدعم والاستشارة في مجال إدارة أصول الملكية الفكرية</w:t>
            </w:r>
          </w:p>
        </w:tc>
        <w:tc>
          <w:tcPr>
            <w:tcW w:w="2293" w:type="dxa"/>
            <w:gridSpan w:val="2"/>
            <w:tcBorders>
              <w:top w:val="nil"/>
              <w:left w:val="nil"/>
              <w:bottom w:val="nil"/>
              <w:right w:val="nil"/>
            </w:tcBorders>
          </w:tcPr>
          <w:p w:rsidR="004548B8" w:rsidRPr="00FC7CCF" w:rsidRDefault="004548B8" w:rsidP="000471B4">
            <w:pPr>
              <w:bidi/>
              <w:spacing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تحدد لاحقا</w:t>
            </w:r>
          </w:p>
        </w:tc>
        <w:tc>
          <w:tcPr>
            <w:tcW w:w="1561" w:type="dxa"/>
            <w:tcBorders>
              <w:top w:val="nil"/>
              <w:left w:val="nil"/>
              <w:bottom w:val="nil"/>
              <w:right w:val="nil"/>
            </w:tcBorders>
          </w:tcPr>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i/>
                <w:iCs/>
                <w:color w:val="002060"/>
                <w:sz w:val="28"/>
                <w:szCs w:val="28"/>
                <w:rtl/>
                <w:lang w:bidi="ar-EG"/>
              </w:rPr>
              <w:t>الهدف المحدد: 90% (18 مؤسسة دعم)</w:t>
            </w:r>
          </w:p>
          <w:p w:rsidR="004548B8" w:rsidRPr="00FC7CCF" w:rsidRDefault="004548B8" w:rsidP="000471B4">
            <w:pPr>
              <w:bidi/>
              <w:spacing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الهدف الأصلي: برنامج وميزانية 2014/15: تحدد لاحقا</w:t>
            </w:r>
          </w:p>
        </w:tc>
        <w:tc>
          <w:tcPr>
            <w:tcW w:w="2551" w:type="dxa"/>
            <w:tcBorders>
              <w:top w:val="nil"/>
              <w:left w:val="nil"/>
              <w:bottom w:val="nil"/>
              <w:right w:val="nil"/>
            </w:tcBorders>
          </w:tcPr>
          <w:p w:rsidR="004548B8" w:rsidRDefault="004548B8" w:rsidP="000471B4">
            <w:pPr>
              <w:bidi/>
              <w:spacing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90%</w:t>
            </w:r>
            <w:r w:rsidR="00D60E58">
              <w:rPr>
                <w:rFonts w:ascii="Arabic Typesetting" w:hAnsi="Arabic Typesetting" w:cs="Arabic Typesetting" w:hint="cs"/>
                <w:sz w:val="28"/>
                <w:szCs w:val="28"/>
                <w:rtl/>
                <w:lang w:bidi="ar-EG"/>
              </w:rPr>
              <w:t xml:space="preserve"> (2014)</w:t>
            </w:r>
          </w:p>
          <w:p w:rsidR="00D60E58" w:rsidRPr="00FC7CCF" w:rsidRDefault="00D60E58" w:rsidP="000471B4">
            <w:pPr>
              <w:bidi/>
              <w:spacing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100% (2015)</w:t>
            </w:r>
          </w:p>
        </w:tc>
        <w:tc>
          <w:tcPr>
            <w:tcW w:w="818" w:type="dxa"/>
            <w:tcBorders>
              <w:top w:val="nil"/>
              <w:left w:val="nil"/>
              <w:bottom w:val="nil"/>
              <w:right w:val="single" w:sz="4" w:space="0" w:color="auto"/>
            </w:tcBorders>
          </w:tcPr>
          <w:p w:rsidR="004548B8" w:rsidRPr="00FC7CCF" w:rsidRDefault="00D60E58" w:rsidP="000471B4">
            <w:pPr>
              <w:keepNext/>
              <w:bidi/>
              <w:spacing w:before="60" w:after="60"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hint="cs"/>
                <w:b/>
                <w:bCs/>
                <w:color w:val="008000"/>
                <w:sz w:val="28"/>
                <w:szCs w:val="28"/>
                <w:rtl/>
                <w:lang w:bidi="ar-EG"/>
              </w:rPr>
              <w:t>محقق كلياً</w:t>
            </w:r>
          </w:p>
        </w:tc>
      </w:tr>
      <w:tr w:rsidR="004548B8" w:rsidRPr="00FC7CCF" w:rsidTr="000471B4">
        <w:trPr>
          <w:cantSplit/>
        </w:trPr>
        <w:tc>
          <w:tcPr>
            <w:tcW w:w="2348" w:type="dxa"/>
            <w:tcBorders>
              <w:top w:val="nil"/>
              <w:left w:val="single" w:sz="4" w:space="0" w:color="auto"/>
              <w:bottom w:val="single" w:sz="4" w:space="0" w:color="auto"/>
              <w:right w:val="nil"/>
            </w:tcBorders>
          </w:tcPr>
          <w:p w:rsidR="004548B8" w:rsidRPr="00D60E58" w:rsidRDefault="004548B8" w:rsidP="000471B4">
            <w:pPr>
              <w:bidi/>
              <w:spacing w:after="120" w:line="280" w:lineRule="exact"/>
              <w:rPr>
                <w:rFonts w:ascii="Arabic Typesetting" w:hAnsi="Arabic Typesetting" w:cs="Arabic Typesetting"/>
                <w:sz w:val="28"/>
                <w:szCs w:val="28"/>
                <w:rtl/>
                <w:lang w:bidi="ar-EG"/>
              </w:rPr>
            </w:pPr>
            <w:r w:rsidRPr="00D60E58">
              <w:rPr>
                <w:rFonts w:ascii="Arabic Typesetting" w:hAnsi="Arabic Typesetting" w:cs="Arabic Typesetting"/>
                <w:sz w:val="28"/>
                <w:szCs w:val="28"/>
                <w:rtl/>
              </w:rPr>
              <w:t>عدد البلدان التي وضعت برامج تدريبية في مجال الملكية الفكرية لفائدة الشركات الصغيرة والمتوسطة</w:t>
            </w:r>
          </w:p>
        </w:tc>
        <w:tc>
          <w:tcPr>
            <w:tcW w:w="2293" w:type="dxa"/>
            <w:gridSpan w:val="2"/>
            <w:tcBorders>
              <w:top w:val="nil"/>
              <w:left w:val="nil"/>
              <w:bottom w:val="single" w:sz="4" w:space="0" w:color="auto"/>
              <w:right w:val="nil"/>
            </w:tcBorders>
          </w:tcPr>
          <w:p w:rsidR="004548B8" w:rsidRPr="00D60E58" w:rsidRDefault="004548B8" w:rsidP="000471B4">
            <w:pPr>
              <w:bidi/>
              <w:spacing w:after="120" w:line="280" w:lineRule="exact"/>
              <w:rPr>
                <w:rFonts w:ascii="Arabic Typesetting" w:hAnsi="Arabic Typesetting" w:cs="Arabic Typesetting"/>
                <w:sz w:val="28"/>
                <w:szCs w:val="28"/>
                <w:rtl/>
                <w:lang w:bidi="ar-EG"/>
              </w:rPr>
            </w:pPr>
            <w:r w:rsidRPr="00D60E58">
              <w:rPr>
                <w:rFonts w:ascii="Arabic Typesetting" w:hAnsi="Arabic Typesetting" w:cs="Arabic Typesetting"/>
                <w:sz w:val="28"/>
                <w:szCs w:val="28"/>
                <w:rtl/>
                <w:lang w:bidi="ar-EG"/>
              </w:rPr>
              <w:t>تحدد لاحقا</w:t>
            </w:r>
          </w:p>
        </w:tc>
        <w:tc>
          <w:tcPr>
            <w:tcW w:w="1561" w:type="dxa"/>
            <w:tcBorders>
              <w:top w:val="nil"/>
              <w:left w:val="nil"/>
              <w:bottom w:val="single" w:sz="4" w:space="0" w:color="auto"/>
              <w:right w:val="nil"/>
            </w:tcBorders>
          </w:tcPr>
          <w:p w:rsidR="004548B8" w:rsidRPr="00D60E58" w:rsidRDefault="004548B8" w:rsidP="000471B4">
            <w:pPr>
              <w:bidi/>
              <w:spacing w:after="120" w:line="280" w:lineRule="exact"/>
              <w:rPr>
                <w:rFonts w:ascii="Arabic Typesetting" w:hAnsi="Arabic Typesetting" w:cs="Arabic Typesetting"/>
                <w:sz w:val="28"/>
                <w:szCs w:val="28"/>
                <w:rtl/>
                <w:lang w:bidi="ar-EG"/>
              </w:rPr>
            </w:pPr>
            <w:r w:rsidRPr="00D60E58">
              <w:rPr>
                <w:rFonts w:ascii="Arabic Typesetting" w:hAnsi="Arabic Typesetting" w:cs="Arabic Typesetting"/>
                <w:sz w:val="28"/>
                <w:szCs w:val="28"/>
                <w:rtl/>
                <w:lang w:bidi="ar-EG"/>
              </w:rPr>
              <w:t>تحدّد لاحقا</w:t>
            </w:r>
          </w:p>
        </w:tc>
        <w:tc>
          <w:tcPr>
            <w:tcW w:w="2551" w:type="dxa"/>
            <w:tcBorders>
              <w:top w:val="nil"/>
              <w:left w:val="nil"/>
              <w:bottom w:val="single" w:sz="4" w:space="0" w:color="auto"/>
              <w:right w:val="nil"/>
            </w:tcBorders>
          </w:tcPr>
          <w:p w:rsidR="004548B8" w:rsidRPr="00D60E58" w:rsidRDefault="004548B8" w:rsidP="000471B4">
            <w:pPr>
              <w:bidi/>
              <w:spacing w:after="120" w:line="280" w:lineRule="exact"/>
              <w:rPr>
                <w:rFonts w:ascii="Arabic Typesetting" w:hAnsi="Arabic Typesetting" w:cs="Arabic Typesetting"/>
                <w:sz w:val="28"/>
                <w:szCs w:val="28"/>
                <w:rtl/>
                <w:lang w:bidi="ar-EG"/>
              </w:rPr>
            </w:pPr>
            <w:r w:rsidRPr="00D60E58">
              <w:rPr>
                <w:rFonts w:ascii="Arabic Typesetting" w:hAnsi="Arabic Typesetting" w:cs="Arabic Typesetting"/>
                <w:sz w:val="28"/>
                <w:szCs w:val="28"/>
                <w:rtl/>
                <w:lang w:bidi="ar-EG"/>
              </w:rPr>
              <w:t>4 (أرمينيا وبيلاروس وجورجيا وكازاخستان)</w:t>
            </w:r>
          </w:p>
        </w:tc>
        <w:tc>
          <w:tcPr>
            <w:tcW w:w="818" w:type="dxa"/>
            <w:tcBorders>
              <w:top w:val="nil"/>
              <w:left w:val="nil"/>
              <w:bottom w:val="single" w:sz="4" w:space="0" w:color="auto"/>
              <w:right w:val="single" w:sz="4" w:space="0" w:color="auto"/>
            </w:tcBorders>
          </w:tcPr>
          <w:p w:rsidR="004548B8" w:rsidRPr="00D60E58" w:rsidRDefault="00D60E58" w:rsidP="000471B4">
            <w:pPr>
              <w:bidi/>
              <w:spacing w:before="60" w:after="60" w:line="280" w:lineRule="exact"/>
              <w:jc w:val="center"/>
              <w:rPr>
                <w:rFonts w:ascii="Arabic Typesetting" w:hAnsi="Arabic Typesetting" w:cs="Arabic Typesetting"/>
                <w:b/>
                <w:bCs/>
                <w:color w:val="008000"/>
                <w:sz w:val="28"/>
                <w:szCs w:val="28"/>
                <w:rtl/>
                <w:lang w:bidi="ar-EG"/>
              </w:rPr>
            </w:pPr>
            <w:r w:rsidRPr="00D60E58">
              <w:rPr>
                <w:rFonts w:ascii="Arabic Typesetting" w:hAnsi="Arabic Typesetting" w:cs="Arabic Typesetting" w:hint="cs"/>
                <w:b/>
                <w:bCs/>
                <w:color w:val="808080"/>
                <w:sz w:val="28"/>
                <w:szCs w:val="28"/>
                <w:rtl/>
              </w:rPr>
              <w:t>غير قابل للقياس</w:t>
            </w:r>
          </w:p>
        </w:tc>
      </w:tr>
      <w:tr w:rsidR="00D60E58"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D60E58" w:rsidRPr="00FC7CCF" w:rsidRDefault="00D60E58" w:rsidP="00DA44C1">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t>النتيجة المرتقبة:</w:t>
            </w:r>
            <w:r>
              <w:rPr>
                <w:rFonts w:ascii="Arabic Typesetting" w:hAnsi="Arabic Typesetting" w:cs="Arabic Typesetting" w:hint="cs"/>
                <w:b/>
                <w:bCs/>
                <w:sz w:val="28"/>
                <w:szCs w:val="28"/>
                <w:rtl/>
                <w:lang w:bidi="ar-EG"/>
              </w:rPr>
              <w:tab/>
            </w:r>
            <w:r w:rsidRPr="00FC7CCF">
              <w:rPr>
                <w:rFonts w:ascii="Arabic Typesetting" w:hAnsi="Arabic Typesetting" w:cs="Arabic Typesetting"/>
                <w:b/>
                <w:sz w:val="28"/>
                <w:szCs w:val="28"/>
                <w:rtl/>
                <w:lang w:bidi="ar-EG"/>
              </w:rPr>
              <w:t xml:space="preserve">ه2.4 </w:t>
            </w:r>
            <w:r w:rsidR="000432CA">
              <w:rPr>
                <w:rFonts w:ascii="Arabic Typesetting" w:hAnsi="Arabic Typesetting" w:cs="Arabic Typesetting"/>
                <w:b/>
                <w:sz w:val="28"/>
                <w:szCs w:val="28"/>
                <w:rtl/>
                <w:lang w:bidi="ar-EG"/>
              </w:rPr>
              <w:t>تحسين النفاذ إلى المعلومات المتعلقة بالملكية الفكرية واستخدامها من قبل مؤسسات الملكية الفكرية والجمهور لتشجيع الابتكار</w:t>
            </w:r>
            <w:r w:rsidR="00DA44C1">
              <w:rPr>
                <w:rFonts w:ascii="Arabic Typesetting" w:hAnsi="Arabic Typesetting" w:cs="Arabic Typesetting" w:hint="cs"/>
                <w:b/>
                <w:sz w:val="28"/>
                <w:szCs w:val="28"/>
                <w:rtl/>
                <w:lang w:bidi="ar-EG"/>
              </w:rPr>
              <w:t> </w:t>
            </w:r>
            <w:r w:rsidR="000432CA">
              <w:rPr>
                <w:rFonts w:ascii="Arabic Typesetting" w:hAnsi="Arabic Typesetting" w:cs="Arabic Typesetting"/>
                <w:b/>
                <w:sz w:val="28"/>
                <w:szCs w:val="28"/>
                <w:rtl/>
                <w:lang w:bidi="ar-EG"/>
              </w:rPr>
              <w:t>والإبداع</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مؤشرات الأداء</w:t>
            </w:r>
          </w:p>
        </w:tc>
        <w:tc>
          <w:tcPr>
            <w:tcW w:w="2293" w:type="dxa"/>
            <w:gridSpan w:val="2"/>
            <w:tcBorders>
              <w:top w:val="single" w:sz="4" w:space="0" w:color="auto"/>
              <w:left w:val="nil"/>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أسس المقارنة</w:t>
            </w:r>
          </w:p>
        </w:tc>
        <w:tc>
          <w:tcPr>
            <w:tcW w:w="1561" w:type="dxa"/>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Height w:val="2310"/>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rPr>
              <w:t>عدد مكاتب نقل التكنولوجيا و/أو مراكز الإعلام في مجال الملكية الفكرية التي أنشئت</w:t>
            </w:r>
          </w:p>
        </w:tc>
        <w:tc>
          <w:tcPr>
            <w:tcW w:w="2293"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rPr>
            </w:pPr>
            <w:r w:rsidRPr="00FC7CCF">
              <w:rPr>
                <w:rFonts w:ascii="Arabic Typesetting" w:hAnsi="Arabic Typesetting" w:cs="Arabic Typesetting"/>
                <w:b/>
                <w:i/>
                <w:iCs/>
                <w:color w:val="002060"/>
                <w:sz w:val="28"/>
                <w:szCs w:val="28"/>
                <w:rtl/>
                <w:lang w:bidi="ar-EG"/>
              </w:rPr>
              <w:t xml:space="preserve">أسس المقارنة المحدّثة في نهاية 2013: </w:t>
            </w:r>
            <w:r w:rsidRPr="00FC7CCF">
              <w:rPr>
                <w:rFonts w:ascii="Arabic Typesetting" w:hAnsi="Arabic Typesetting" w:cs="Arabic Typesetting"/>
                <w:b/>
                <w:color w:val="002060"/>
                <w:sz w:val="28"/>
                <w:szCs w:val="28"/>
                <w:rtl/>
                <w:lang w:bidi="ar-EG"/>
              </w:rPr>
              <w:t xml:space="preserve">جامعتان/مؤسستان في جورجيا حصلت على المساعدة مباشرة على تطوير أنظمتها الإيكولوجية لنقل المعارف، وسياساتها وبنيتها التحتية في منطقة </w:t>
            </w:r>
            <w:r w:rsidRPr="00FC7CCF">
              <w:rPr>
                <w:rFonts w:ascii="Arabic Typesetting" w:hAnsi="Arabic Typesetting" w:cs="Arabic Typesetting"/>
                <w:bCs/>
                <w:color w:val="002060"/>
                <w:sz w:val="28"/>
                <w:szCs w:val="28"/>
                <w:lang w:bidi="ar-EG"/>
              </w:rPr>
              <w:t>CCEA</w:t>
            </w:r>
            <w:r w:rsidRPr="00FC7CCF">
              <w:rPr>
                <w:rFonts w:ascii="Arabic Typesetting" w:hAnsi="Arabic Typesetting" w:cs="Arabic Typesetting"/>
                <w:b/>
                <w:color w:val="002060"/>
                <w:sz w:val="28"/>
                <w:szCs w:val="28"/>
                <w:rtl/>
              </w:rPr>
              <w:t xml:space="preserve">: جامعة إيفان </w:t>
            </w:r>
            <w:proofErr w:type="spellStart"/>
            <w:r w:rsidRPr="00FC7CCF">
              <w:rPr>
                <w:rFonts w:ascii="Arabic Typesetting" w:hAnsi="Arabic Typesetting" w:cs="Arabic Typesetting"/>
                <w:b/>
                <w:color w:val="002060"/>
                <w:sz w:val="28"/>
                <w:szCs w:val="28"/>
                <w:rtl/>
              </w:rPr>
              <w:t>جافاخيشفيلي</w:t>
            </w:r>
            <w:proofErr w:type="spellEnd"/>
            <w:r w:rsidRPr="00FC7CCF">
              <w:rPr>
                <w:rFonts w:ascii="Arabic Typesetting" w:hAnsi="Arabic Typesetting" w:cs="Arabic Typesetting"/>
                <w:b/>
                <w:color w:val="002060"/>
                <w:sz w:val="28"/>
                <w:szCs w:val="28"/>
                <w:rtl/>
              </w:rPr>
              <w:t xml:space="preserve"> الحكومية ومركز جورجيا لنقل التكنولوجيا وأعقبت ذلك خطة عمل</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يحدد لاحقا</w:t>
            </w:r>
          </w:p>
        </w:tc>
        <w:tc>
          <w:tcPr>
            <w:tcW w:w="1561"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6 مكاتب لنقل التكنولوجيا/مراكز إعلام في مجال الملكية الفكرية إضافية</w:t>
            </w:r>
          </w:p>
        </w:tc>
        <w:tc>
          <w:tcPr>
            <w:tcW w:w="2551" w:type="dxa"/>
            <w:tcBorders>
              <w:top w:val="nil"/>
              <w:left w:val="nil"/>
              <w:bottom w:val="single" w:sz="4" w:space="0" w:color="auto"/>
              <w:right w:val="nil"/>
            </w:tcBorders>
          </w:tcPr>
          <w:p w:rsidR="004548B8" w:rsidRPr="00FC7CCF" w:rsidRDefault="00D60E58"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51 مركزا جديدا</w:t>
            </w:r>
            <w:r w:rsidR="004548B8" w:rsidRPr="00FC7CCF">
              <w:rPr>
                <w:rFonts w:ascii="Arabic Typesetting" w:hAnsi="Arabic Typesetting" w:cs="Arabic Typesetting"/>
                <w:sz w:val="28"/>
                <w:szCs w:val="28"/>
                <w:rtl/>
                <w:lang w:bidi="ar-EG"/>
              </w:rPr>
              <w:t xml:space="preserve"> </w:t>
            </w:r>
            <w:r>
              <w:rPr>
                <w:rFonts w:ascii="Arabic Typesetting" w:hAnsi="Arabic Typesetting" w:cs="Arabic Typesetting"/>
                <w:sz w:val="28"/>
                <w:szCs w:val="28"/>
                <w:rtl/>
                <w:lang w:bidi="ar-EG"/>
              </w:rPr>
              <w:t>لدعم التكنولوجيا والابتكار أنشئ</w:t>
            </w:r>
            <w:r w:rsidR="004548B8" w:rsidRPr="00FC7CCF">
              <w:rPr>
                <w:rFonts w:ascii="Arabic Typesetting" w:hAnsi="Arabic Typesetting" w:cs="Arabic Typesetting"/>
                <w:sz w:val="28"/>
                <w:szCs w:val="28"/>
                <w:rtl/>
                <w:lang w:bidi="ar-EG"/>
              </w:rPr>
              <w:t xml:space="preserve"> في الاتحاد الروسي</w:t>
            </w:r>
          </w:p>
        </w:tc>
        <w:tc>
          <w:tcPr>
            <w:tcW w:w="818" w:type="dxa"/>
            <w:tcBorders>
              <w:top w:val="nil"/>
              <w:left w:val="nil"/>
              <w:bottom w:val="single" w:sz="4" w:space="0" w:color="auto"/>
              <w:right w:val="single" w:sz="4" w:space="0" w:color="auto"/>
            </w:tcBorders>
          </w:tcPr>
          <w:p w:rsidR="004548B8" w:rsidRPr="00FC7CCF" w:rsidRDefault="00D60E58" w:rsidP="000471B4">
            <w:pPr>
              <w:keepNext/>
              <w:bidi/>
              <w:spacing w:before="60" w:after="60"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hint="cs"/>
                <w:b/>
                <w:bCs/>
                <w:color w:val="008000"/>
                <w:sz w:val="28"/>
                <w:szCs w:val="28"/>
                <w:rtl/>
                <w:lang w:bidi="ar-EG"/>
              </w:rPr>
              <w:t>محقق كلياً</w:t>
            </w:r>
          </w:p>
        </w:tc>
      </w:tr>
      <w:tr w:rsidR="004548B8" w:rsidRPr="00FC7CCF" w:rsidTr="000471B4">
        <w:trPr>
          <w:cantSplit/>
          <w:trHeight w:val="2310"/>
        </w:trPr>
        <w:tc>
          <w:tcPr>
            <w:tcW w:w="2348" w:type="dxa"/>
            <w:tcBorders>
              <w:top w:val="single" w:sz="4" w:space="0" w:color="auto"/>
              <w:left w:val="single" w:sz="4" w:space="0" w:color="auto"/>
              <w:bottom w:val="nil"/>
              <w:right w:val="nil"/>
            </w:tcBorders>
          </w:tcPr>
          <w:p w:rsidR="004548B8" w:rsidRPr="00D60E58" w:rsidRDefault="004548B8" w:rsidP="00AD17C3">
            <w:pPr>
              <w:bidi/>
              <w:spacing w:before="60" w:after="60" w:line="280" w:lineRule="exact"/>
              <w:rPr>
                <w:rFonts w:ascii="Arabic Typesetting" w:hAnsi="Arabic Typesetting" w:cs="Arabic Typesetting"/>
                <w:sz w:val="28"/>
                <w:szCs w:val="28"/>
                <w:rtl/>
              </w:rPr>
            </w:pPr>
            <w:r w:rsidRPr="00D60E58">
              <w:rPr>
                <w:rFonts w:ascii="Arabic Typesetting" w:hAnsi="Arabic Typesetting" w:cs="Arabic Typesetting"/>
                <w:sz w:val="28"/>
                <w:szCs w:val="28"/>
                <w:rtl/>
              </w:rPr>
              <w:lastRenderedPageBreak/>
              <w:t>عدد الشبكات الوطنية المستدامة لمراكز دعم التكنولوجيا والابتكار</w:t>
            </w:r>
          </w:p>
        </w:tc>
        <w:tc>
          <w:tcPr>
            <w:tcW w:w="2293" w:type="dxa"/>
            <w:gridSpan w:val="2"/>
            <w:tcBorders>
              <w:top w:val="single" w:sz="4" w:space="0" w:color="auto"/>
              <w:left w:val="nil"/>
              <w:bottom w:val="nil"/>
              <w:right w:val="nil"/>
            </w:tcBorders>
          </w:tcPr>
          <w:p w:rsidR="004548B8" w:rsidRPr="00D60E58" w:rsidRDefault="004548B8" w:rsidP="000471B4">
            <w:pPr>
              <w:bidi/>
              <w:spacing w:before="60" w:after="60" w:line="280" w:lineRule="exact"/>
              <w:rPr>
                <w:rFonts w:ascii="Arabic Typesetting" w:hAnsi="Arabic Typesetting" w:cs="Arabic Typesetting"/>
                <w:b/>
                <w:i/>
                <w:iCs/>
                <w:color w:val="002060"/>
                <w:sz w:val="28"/>
                <w:szCs w:val="28"/>
                <w:rtl/>
              </w:rPr>
            </w:pPr>
            <w:r w:rsidRPr="00D60E58">
              <w:rPr>
                <w:rFonts w:ascii="Arabic Typesetting" w:hAnsi="Arabic Typesetting" w:cs="Arabic Typesetting"/>
                <w:b/>
                <w:i/>
                <w:iCs/>
                <w:color w:val="002060"/>
                <w:sz w:val="28"/>
                <w:szCs w:val="28"/>
                <w:rtl/>
                <w:lang w:bidi="ar-EG"/>
              </w:rPr>
              <w:t xml:space="preserve">أسس المقارنة المحدّثة في نهاية 2013: </w:t>
            </w:r>
            <w:r w:rsidRPr="00D60E58">
              <w:rPr>
                <w:rFonts w:ascii="Arabic Typesetting" w:hAnsi="Arabic Typesetting" w:cs="Arabic Typesetting"/>
                <w:b/>
                <w:color w:val="002060"/>
                <w:sz w:val="28"/>
                <w:szCs w:val="28"/>
                <w:rtl/>
                <w:lang w:bidi="ar-EG"/>
              </w:rPr>
              <w:t>شبكة واحدة مستدامة لمراكز دعم التكنولوجيا والابتكار (من أصل 3 شبكات أنشئت)</w:t>
            </w:r>
          </w:p>
          <w:p w:rsidR="004548B8" w:rsidRPr="00D60E58" w:rsidRDefault="004548B8" w:rsidP="000471B4">
            <w:pPr>
              <w:bidi/>
              <w:spacing w:before="60" w:after="60" w:line="280" w:lineRule="exact"/>
              <w:rPr>
                <w:rFonts w:ascii="Arabic Typesetting" w:hAnsi="Arabic Typesetting" w:cs="Arabic Typesetting"/>
                <w:sz w:val="28"/>
                <w:szCs w:val="28"/>
                <w:rtl/>
                <w:lang w:bidi="ar-EG"/>
              </w:rPr>
            </w:pPr>
            <w:r w:rsidRPr="00D60E58">
              <w:rPr>
                <w:rFonts w:ascii="Arabic Typesetting" w:hAnsi="Arabic Typesetting" w:cs="Arabic Typesetting"/>
                <w:b/>
                <w:i/>
                <w:iCs/>
                <w:sz w:val="28"/>
                <w:szCs w:val="28"/>
                <w:rtl/>
                <w:lang w:bidi="ar-EG"/>
              </w:rPr>
              <w:t xml:space="preserve">أسس المقارنة الأصلية: برنامج وميزانية 2014/15: </w:t>
            </w:r>
            <w:r w:rsidRPr="00D60E58">
              <w:rPr>
                <w:rFonts w:ascii="Arabic Typesetting" w:hAnsi="Arabic Typesetting" w:cs="Arabic Typesetting"/>
                <w:b/>
                <w:sz w:val="28"/>
                <w:szCs w:val="28"/>
                <w:rtl/>
                <w:lang w:bidi="ar-EG"/>
              </w:rPr>
              <w:t>شبكة وطنية واحدة: (إجمالا في نهاية الربع الأول من عام 2013): بعض البلدان في أوروبا وآسيا (1)</w:t>
            </w:r>
          </w:p>
        </w:tc>
        <w:tc>
          <w:tcPr>
            <w:tcW w:w="1561" w:type="dxa"/>
            <w:tcBorders>
              <w:top w:val="single" w:sz="4" w:space="0" w:color="auto"/>
              <w:left w:val="nil"/>
              <w:bottom w:val="nil"/>
              <w:right w:val="nil"/>
            </w:tcBorders>
          </w:tcPr>
          <w:p w:rsidR="004548B8" w:rsidRPr="00D60E58" w:rsidRDefault="004548B8" w:rsidP="000471B4">
            <w:pPr>
              <w:bidi/>
              <w:spacing w:before="60" w:after="60" w:line="280" w:lineRule="exact"/>
              <w:rPr>
                <w:rFonts w:ascii="Arabic Typesetting" w:hAnsi="Arabic Typesetting" w:cs="Arabic Typesetting"/>
                <w:sz w:val="28"/>
                <w:szCs w:val="28"/>
                <w:rtl/>
                <w:lang w:bidi="ar-EG"/>
              </w:rPr>
            </w:pPr>
            <w:r w:rsidRPr="00D60E58">
              <w:rPr>
                <w:rFonts w:ascii="Arabic Typesetting" w:hAnsi="Arabic Typesetting" w:cs="Arabic Typesetting"/>
                <w:sz w:val="28"/>
                <w:szCs w:val="28"/>
                <w:rtl/>
                <w:lang w:bidi="ar-EG"/>
              </w:rPr>
              <w:t>شبكتان وطنيتان لمراكز دعم التكنولوجيا والابتكار (التراكمي): بعض البلدان في أوروبا وآسيا (2)</w:t>
            </w:r>
          </w:p>
        </w:tc>
        <w:tc>
          <w:tcPr>
            <w:tcW w:w="2551" w:type="dxa"/>
            <w:tcBorders>
              <w:top w:val="single" w:sz="4" w:space="0" w:color="auto"/>
              <w:left w:val="nil"/>
              <w:bottom w:val="nil"/>
              <w:right w:val="nil"/>
            </w:tcBorders>
          </w:tcPr>
          <w:p w:rsidR="004548B8" w:rsidRPr="00D60E58" w:rsidRDefault="004548B8" w:rsidP="000471B4">
            <w:pPr>
              <w:bidi/>
              <w:spacing w:before="60" w:after="60" w:line="280" w:lineRule="exact"/>
              <w:rPr>
                <w:rFonts w:ascii="Arabic Typesetting" w:hAnsi="Arabic Typesetting" w:cs="Arabic Typesetting"/>
                <w:sz w:val="28"/>
                <w:szCs w:val="28"/>
                <w:rtl/>
                <w:lang w:bidi="ar-EG"/>
              </w:rPr>
            </w:pPr>
            <w:r w:rsidRPr="00D60E58">
              <w:rPr>
                <w:rFonts w:ascii="Arabic Typesetting" w:hAnsi="Arabic Typesetting" w:cs="Arabic Typesetting"/>
                <w:sz w:val="28"/>
                <w:szCs w:val="28"/>
                <w:rtl/>
                <w:lang w:bidi="ar-EG"/>
              </w:rPr>
              <w:t>بعض البلدان في أوروبا وآسيا (1)</w:t>
            </w:r>
          </w:p>
        </w:tc>
        <w:tc>
          <w:tcPr>
            <w:tcW w:w="818" w:type="dxa"/>
            <w:tcBorders>
              <w:top w:val="single" w:sz="4" w:space="0" w:color="auto"/>
              <w:left w:val="nil"/>
              <w:bottom w:val="nil"/>
              <w:right w:val="single" w:sz="4" w:space="0" w:color="auto"/>
            </w:tcBorders>
          </w:tcPr>
          <w:p w:rsidR="004548B8" w:rsidRPr="00D60E58" w:rsidRDefault="00D60E58" w:rsidP="000471B4">
            <w:pPr>
              <w:bidi/>
              <w:jc w:val="center"/>
              <w:rPr>
                <w:rFonts w:ascii="Arabic Typesetting" w:hAnsi="Arabic Typesetting" w:cs="Arabic Typesetting"/>
                <w:b/>
                <w:bCs/>
                <w:color w:val="008000"/>
                <w:sz w:val="28"/>
                <w:szCs w:val="28"/>
                <w:rtl/>
                <w:lang w:bidi="ar-EG"/>
              </w:rPr>
            </w:pPr>
            <w:r w:rsidRPr="00D60E58">
              <w:rPr>
                <w:rFonts w:ascii="Arabic Typesetting" w:hAnsi="Arabic Typesetting" w:cs="Arabic Typesetting" w:hint="cs"/>
                <w:b/>
                <w:bCs/>
                <w:color w:val="D56509"/>
                <w:sz w:val="28"/>
                <w:szCs w:val="28"/>
                <w:rtl/>
              </w:rPr>
              <w:t>محقق جزئياً</w:t>
            </w:r>
          </w:p>
        </w:tc>
      </w:tr>
      <w:tr w:rsidR="004548B8" w:rsidRPr="00FC7CCF" w:rsidTr="000471B4">
        <w:trPr>
          <w:cantSplit/>
          <w:trHeight w:val="2310"/>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rPr>
            </w:pPr>
            <w:r w:rsidRPr="00FC7CCF">
              <w:rPr>
                <w:rFonts w:ascii="Arabic Typesetting" w:hAnsi="Arabic Typesetting" w:cs="Arabic Typesetting"/>
                <w:sz w:val="28"/>
                <w:szCs w:val="28"/>
                <w:rtl/>
              </w:rPr>
              <w:t>متوسط عدد المستخدمين المستفيدين من مراكز دعم التكنولوجيا والابتكار لكل ربع سنة وبحسب الدولة</w:t>
            </w:r>
          </w:p>
        </w:tc>
        <w:tc>
          <w:tcPr>
            <w:tcW w:w="2293"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rPr>
            </w:pPr>
            <w:r w:rsidRPr="00FC7CCF">
              <w:rPr>
                <w:rFonts w:ascii="Arabic Typesetting" w:hAnsi="Arabic Typesetting" w:cs="Arabic Typesetting"/>
                <w:b/>
                <w:i/>
                <w:iCs/>
                <w:color w:val="002060"/>
                <w:sz w:val="28"/>
                <w:szCs w:val="28"/>
                <w:rtl/>
                <w:lang w:bidi="ar-EG"/>
              </w:rPr>
              <w:t xml:space="preserve">أسس المقارنة المحدّثة في نهاية 2013: </w:t>
            </w:r>
            <w:r w:rsidRPr="00FC7CCF">
              <w:rPr>
                <w:rFonts w:ascii="Arabic Typesetting" w:hAnsi="Arabic Typesetting" w:cs="Arabic Typesetting"/>
                <w:b/>
                <w:color w:val="002060"/>
                <w:sz w:val="28"/>
                <w:szCs w:val="28"/>
                <w:rtl/>
                <w:lang w:bidi="ar-EG"/>
              </w:rPr>
              <w:t>متوسط عدد المستخدمين الذين يحصلون على الخدمات من مراكز دعم التكنولوجيا والابتكار في اليوم الواحد في عام 2013 من 532 (كحد أدنى) إلى 370 1 (كحد أقصى)</w:t>
            </w:r>
            <w:r w:rsidRPr="00FC7CCF">
              <w:rPr>
                <w:rFonts w:ascii="Arabic Typesetting" w:hAnsi="Arabic Typesetting" w:cs="Arabic Typesetting"/>
                <w:b/>
                <w:i/>
                <w:iCs/>
                <w:color w:val="002060"/>
                <w:sz w:val="28"/>
                <w:szCs w:val="28"/>
                <w:rtl/>
                <w:lang w:bidi="ar-EG"/>
              </w:rPr>
              <w:t xml:space="preserve"> </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200 (كحد أدنى) – 630 (كحد أقصى)</w:t>
            </w:r>
          </w:p>
        </w:tc>
        <w:tc>
          <w:tcPr>
            <w:tcW w:w="1561"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300 (كحد أدنى) – 750 (كحد أقصى)</w:t>
            </w:r>
          </w:p>
        </w:tc>
        <w:tc>
          <w:tcPr>
            <w:tcW w:w="2551" w:type="dxa"/>
            <w:tcBorders>
              <w:top w:val="nil"/>
              <w:left w:val="nil"/>
              <w:bottom w:val="single" w:sz="4" w:space="0" w:color="auto"/>
              <w:right w:val="nil"/>
            </w:tcBorders>
          </w:tcPr>
          <w:p w:rsidR="004548B8" w:rsidRPr="00FC7CCF" w:rsidRDefault="00D60E58" w:rsidP="000471B4">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874</w:t>
            </w:r>
            <w:r w:rsidRPr="00FC7CCF">
              <w:rPr>
                <w:rFonts w:ascii="Arabic Typesetting" w:hAnsi="Arabic Typesetting" w:cs="Arabic Typesetting"/>
                <w:sz w:val="28"/>
                <w:szCs w:val="28"/>
                <w:rtl/>
                <w:lang w:bidi="ar-EG"/>
              </w:rPr>
              <w:t xml:space="preserve"> (كحد أدنى) – </w:t>
            </w:r>
            <w:r>
              <w:rPr>
                <w:rFonts w:ascii="Arabic Typesetting" w:hAnsi="Arabic Typesetting" w:cs="Arabic Typesetting" w:hint="cs"/>
                <w:sz w:val="28"/>
                <w:szCs w:val="28"/>
                <w:rtl/>
                <w:lang w:bidi="ar-EG"/>
              </w:rPr>
              <w:t>2631 </w:t>
            </w:r>
            <w:r w:rsidRPr="00FC7CCF">
              <w:rPr>
                <w:rFonts w:ascii="Arabic Typesetting" w:hAnsi="Arabic Typesetting" w:cs="Arabic Typesetting"/>
                <w:sz w:val="28"/>
                <w:szCs w:val="28"/>
                <w:rtl/>
                <w:lang w:bidi="ar-EG"/>
              </w:rPr>
              <w:t>(كحد</w:t>
            </w:r>
            <w:r>
              <w:rPr>
                <w:rFonts w:ascii="Arabic Typesetting" w:hAnsi="Arabic Typesetting" w:cs="Arabic Typesetting" w:hint="cs"/>
                <w:sz w:val="28"/>
                <w:szCs w:val="28"/>
                <w:rtl/>
                <w:lang w:bidi="ar-EG"/>
              </w:rPr>
              <w:t> </w:t>
            </w:r>
            <w:r w:rsidRPr="00FC7CCF">
              <w:rPr>
                <w:rFonts w:ascii="Arabic Typesetting" w:hAnsi="Arabic Typesetting" w:cs="Arabic Typesetting"/>
                <w:sz w:val="28"/>
                <w:szCs w:val="28"/>
                <w:rtl/>
                <w:lang w:bidi="ar-EG"/>
              </w:rPr>
              <w:t>أقصى)</w:t>
            </w:r>
          </w:p>
        </w:tc>
        <w:tc>
          <w:tcPr>
            <w:tcW w:w="818" w:type="dxa"/>
            <w:tcBorders>
              <w:top w:val="nil"/>
              <w:left w:val="nil"/>
              <w:bottom w:val="single" w:sz="4" w:space="0" w:color="auto"/>
              <w:right w:val="single" w:sz="4" w:space="0" w:color="auto"/>
            </w:tcBorders>
          </w:tcPr>
          <w:p w:rsidR="004548B8" w:rsidRPr="00FC7CCF" w:rsidRDefault="00D60E58" w:rsidP="000471B4">
            <w:pPr>
              <w:keepNext/>
              <w:bidi/>
              <w:spacing w:before="60" w:after="60"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hint="cs"/>
                <w:b/>
                <w:bCs/>
                <w:color w:val="008000"/>
                <w:sz w:val="28"/>
                <w:szCs w:val="28"/>
                <w:rtl/>
                <w:lang w:bidi="ar-EG"/>
              </w:rPr>
              <w:t>محقق كلياً</w:t>
            </w:r>
          </w:p>
        </w:tc>
      </w:tr>
      <w:tr w:rsidR="00D60E58" w:rsidRPr="00FC7CCF" w:rsidTr="000471B4">
        <w:trPr>
          <w:cantSplit/>
        </w:trPr>
        <w:tc>
          <w:tcPr>
            <w:tcW w:w="9571"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tcPr>
          <w:p w:rsidR="00D60E58" w:rsidRPr="00FC7CCF" w:rsidRDefault="00D60E58" w:rsidP="000471B4">
            <w:pPr>
              <w:keepNext/>
              <w:bidi/>
              <w:spacing w:after="60" w:line="280" w:lineRule="exact"/>
              <w:ind w:left="1167" w:hanging="1167"/>
              <w:rPr>
                <w:rFonts w:ascii="Arabic Typesetting" w:hAnsi="Arabic Typesetting" w:cs="Arabic Typesetting"/>
                <w:sz w:val="28"/>
                <w:szCs w:val="28"/>
                <w:rtl/>
                <w:lang w:bidi="ar-EG"/>
              </w:rPr>
            </w:pPr>
            <w:r w:rsidRPr="00FC7CCF">
              <w:rPr>
                <w:rFonts w:ascii="Arabic Typesetting" w:hAnsi="Arabic Typesetting" w:cs="Arabic Typesetting"/>
                <w:b/>
                <w:bCs/>
                <w:sz w:val="28"/>
                <w:szCs w:val="28"/>
                <w:rtl/>
                <w:lang w:bidi="ar-EG"/>
              </w:rPr>
              <w:t>النتيجة المرتقبة:</w:t>
            </w:r>
            <w:r>
              <w:rPr>
                <w:rFonts w:ascii="Arabic Typesetting" w:hAnsi="Arabic Typesetting" w:cs="Arabic Typesetting" w:hint="cs"/>
                <w:b/>
                <w:bCs/>
                <w:sz w:val="28"/>
                <w:szCs w:val="28"/>
                <w:rtl/>
                <w:lang w:bidi="ar-EG"/>
              </w:rPr>
              <w:tab/>
            </w:r>
            <w:r w:rsidRPr="00FC7CCF">
              <w:rPr>
                <w:rFonts w:ascii="Arabic Typesetting" w:hAnsi="Arabic Typesetting" w:cs="Arabic Typesetting"/>
                <w:b/>
                <w:sz w:val="28"/>
                <w:szCs w:val="28"/>
                <w:rtl/>
                <w:lang w:bidi="ar-EG"/>
              </w:rPr>
              <w:t xml:space="preserve">ه4.4 </w:t>
            </w:r>
            <w:r w:rsidR="000432CA">
              <w:rPr>
                <w:rFonts w:ascii="Arabic Typesetting" w:hAnsi="Arabic Typesetting" w:cs="Arabic Typesetting"/>
                <w:b/>
                <w:sz w:val="28"/>
                <w:szCs w:val="28"/>
                <w:rtl/>
                <w:lang w:bidi="ar-EG"/>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4548B8" w:rsidRPr="00FC7CCF" w:rsidTr="000471B4">
        <w:trPr>
          <w:cantSplit/>
        </w:trPr>
        <w:tc>
          <w:tcPr>
            <w:tcW w:w="2348" w:type="dxa"/>
            <w:tcBorders>
              <w:top w:val="single" w:sz="4" w:space="0" w:color="auto"/>
              <w:left w:val="single" w:sz="4" w:space="0" w:color="auto"/>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مؤشرات الأداء</w:t>
            </w:r>
          </w:p>
        </w:tc>
        <w:tc>
          <w:tcPr>
            <w:tcW w:w="2293" w:type="dxa"/>
            <w:gridSpan w:val="2"/>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 xml:space="preserve">أسس المقارنة </w:t>
            </w:r>
          </w:p>
        </w:tc>
        <w:tc>
          <w:tcPr>
            <w:tcW w:w="1561" w:type="dxa"/>
            <w:tcBorders>
              <w:top w:val="single" w:sz="4" w:space="0" w:color="auto"/>
              <w:left w:val="nil"/>
              <w:bottom w:val="nil"/>
              <w:right w:val="nil"/>
            </w:tcBorders>
          </w:tcPr>
          <w:p w:rsidR="004548B8" w:rsidRPr="00FC7CCF" w:rsidRDefault="004548B8" w:rsidP="000471B4">
            <w:pPr>
              <w:keepNext/>
              <w:bidi/>
              <w:spacing w:before="60" w:after="60" w:line="280" w:lineRule="exact"/>
              <w:rPr>
                <w:rFonts w:ascii="Arabic Typesetting" w:hAnsi="Arabic Typesetting" w:cs="Arabic Typesetting"/>
                <w:b/>
                <w:bCs/>
                <w:sz w:val="28"/>
                <w:szCs w:val="28"/>
                <w:rtl/>
                <w:lang w:bidi="ar-EG"/>
              </w:rPr>
            </w:pPr>
            <w:r w:rsidRPr="00FC7CCF">
              <w:rPr>
                <w:rFonts w:ascii="Arabic Typesetting" w:hAnsi="Arabic Typesetting" w:cs="Arabic Typesetting"/>
                <w:b/>
                <w:bCs/>
                <w:sz w:val="28"/>
                <w:szCs w:val="28"/>
                <w:rtl/>
                <w:lang w:bidi="ar-EG"/>
              </w:rPr>
              <w:t>الأهداف</w:t>
            </w:r>
          </w:p>
        </w:tc>
        <w:tc>
          <w:tcPr>
            <w:tcW w:w="2551" w:type="dxa"/>
            <w:tcBorders>
              <w:top w:val="single" w:sz="4" w:space="0" w:color="auto"/>
              <w:left w:val="nil"/>
              <w:bottom w:val="nil"/>
              <w:right w:val="nil"/>
            </w:tcBorders>
          </w:tcPr>
          <w:p w:rsidR="004548B8" w:rsidRPr="00FC7CCF" w:rsidRDefault="00D60E58" w:rsidP="000471B4">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بيانات الأداء</w:t>
            </w:r>
          </w:p>
        </w:tc>
        <w:tc>
          <w:tcPr>
            <w:tcW w:w="818" w:type="dxa"/>
            <w:tcBorders>
              <w:top w:val="single" w:sz="4" w:space="0" w:color="auto"/>
              <w:left w:val="nil"/>
              <w:bottom w:val="nil"/>
              <w:right w:val="single" w:sz="4" w:space="0" w:color="auto"/>
            </w:tcBorders>
          </w:tcPr>
          <w:p w:rsidR="004548B8" w:rsidRPr="00FC7CCF" w:rsidRDefault="004548B8" w:rsidP="000471B4">
            <w:pPr>
              <w:keepNext/>
              <w:bidi/>
              <w:spacing w:before="60" w:after="60" w:line="280" w:lineRule="exact"/>
              <w:jc w:val="center"/>
              <w:rPr>
                <w:rFonts w:ascii="Arabic Typesetting" w:hAnsi="Arabic Typesetting" w:cs="Arabic Typesetting"/>
                <w:b/>
                <w:bCs/>
                <w:sz w:val="28"/>
                <w:szCs w:val="28"/>
                <w:lang w:bidi="ar-EG"/>
              </w:rPr>
            </w:pPr>
            <w:r w:rsidRPr="00FC7CCF">
              <w:rPr>
                <w:rFonts w:ascii="Arabic Typesetting" w:hAnsi="Arabic Typesetting" w:cs="Arabic Typesetting"/>
                <w:b/>
                <w:bCs/>
                <w:sz w:val="28"/>
                <w:szCs w:val="28"/>
                <w:rtl/>
                <w:lang w:bidi="ar-EG"/>
              </w:rPr>
              <w:t>السير</w:t>
            </w:r>
          </w:p>
        </w:tc>
      </w:tr>
      <w:tr w:rsidR="004548B8" w:rsidRPr="00FC7CCF" w:rsidTr="000471B4">
        <w:trPr>
          <w:cantSplit/>
        </w:trPr>
        <w:tc>
          <w:tcPr>
            <w:tcW w:w="2348" w:type="dxa"/>
            <w:tcBorders>
              <w:top w:val="nil"/>
              <w:left w:val="single" w:sz="4" w:space="0" w:color="auto"/>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rPr>
              <w:t>متوسط مستوى الخدمة في مكاتب الملكية الفكرية التي تلقت مساعدة (يتراوح من 1 إلى 5)</w:t>
            </w:r>
          </w:p>
        </w:tc>
        <w:tc>
          <w:tcPr>
            <w:tcW w:w="2293" w:type="dxa"/>
            <w:gridSpan w:val="2"/>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rPr>
            </w:pPr>
            <w:r w:rsidRPr="00FC7CCF">
              <w:rPr>
                <w:rFonts w:ascii="Arabic Typesetting" w:hAnsi="Arabic Typesetting" w:cs="Arabic Typesetting"/>
                <w:b/>
                <w:i/>
                <w:iCs/>
                <w:color w:val="002060"/>
                <w:sz w:val="28"/>
                <w:szCs w:val="28"/>
                <w:rtl/>
                <w:lang w:bidi="ar-EG"/>
              </w:rPr>
              <w:t xml:space="preserve">أسس المقارنة المحدّثة في نهاية 2013: </w:t>
            </w:r>
            <w:r w:rsidRPr="00FC7CCF">
              <w:rPr>
                <w:rFonts w:ascii="Arabic Typesetting" w:hAnsi="Arabic Typesetting" w:cs="Arabic Typesetting"/>
                <w:b/>
                <w:color w:val="002060"/>
                <w:sz w:val="28"/>
                <w:szCs w:val="28"/>
                <w:rtl/>
                <w:lang w:bidi="ar-EG"/>
              </w:rPr>
              <w:t>3</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 xml:space="preserve">أسس المقارنة الأصلية: برنامج وميزانية 2014/15: </w:t>
            </w:r>
            <w:r w:rsidRPr="00FC7CCF">
              <w:rPr>
                <w:rFonts w:ascii="Arabic Typesetting" w:hAnsi="Arabic Typesetting" w:cs="Arabic Typesetting"/>
                <w:b/>
                <w:sz w:val="28"/>
                <w:szCs w:val="28"/>
                <w:rtl/>
                <w:lang w:bidi="ar-EG"/>
              </w:rPr>
              <w:t>يحدد لاحقا</w:t>
            </w:r>
          </w:p>
        </w:tc>
        <w:tc>
          <w:tcPr>
            <w:tcW w:w="1561"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b/>
                <w:i/>
                <w:iCs/>
                <w:color w:val="002060"/>
                <w:sz w:val="28"/>
                <w:szCs w:val="28"/>
                <w:rtl/>
                <w:lang w:bidi="ar-EG"/>
              </w:rPr>
            </w:pPr>
            <w:r w:rsidRPr="00FC7CCF">
              <w:rPr>
                <w:rFonts w:ascii="Arabic Typesetting" w:hAnsi="Arabic Typesetting" w:cs="Arabic Typesetting"/>
                <w:b/>
                <w:i/>
                <w:iCs/>
                <w:color w:val="002060"/>
                <w:sz w:val="28"/>
                <w:szCs w:val="28"/>
                <w:rtl/>
                <w:lang w:bidi="ar-EG"/>
              </w:rPr>
              <w:t>الهدف المحدد: 3</w:t>
            </w:r>
          </w:p>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b/>
                <w:i/>
                <w:iCs/>
                <w:sz w:val="28"/>
                <w:szCs w:val="28"/>
                <w:rtl/>
                <w:lang w:bidi="ar-EG"/>
              </w:rPr>
              <w:t>الهدف الأصلي: برنامج وميزانية 2014/15: يحدد لاحقا</w:t>
            </w:r>
          </w:p>
        </w:tc>
        <w:tc>
          <w:tcPr>
            <w:tcW w:w="2551" w:type="dxa"/>
            <w:tcBorders>
              <w:top w:val="nil"/>
              <w:left w:val="nil"/>
              <w:bottom w:val="single" w:sz="4" w:space="0" w:color="auto"/>
              <w:right w:val="nil"/>
            </w:tcBorders>
          </w:tcPr>
          <w:p w:rsidR="004548B8" w:rsidRPr="00FC7CCF" w:rsidRDefault="004548B8" w:rsidP="000471B4">
            <w:pPr>
              <w:bidi/>
              <w:spacing w:before="60" w:after="60" w:line="280" w:lineRule="exact"/>
              <w:rPr>
                <w:rFonts w:ascii="Arabic Typesetting" w:hAnsi="Arabic Typesetting" w:cs="Arabic Typesetting"/>
                <w:sz w:val="28"/>
                <w:szCs w:val="28"/>
                <w:rtl/>
                <w:lang w:bidi="ar-EG"/>
              </w:rPr>
            </w:pPr>
            <w:r w:rsidRPr="00FC7CCF">
              <w:rPr>
                <w:rFonts w:ascii="Arabic Typesetting" w:hAnsi="Arabic Typesetting" w:cs="Arabic Typesetting"/>
                <w:sz w:val="28"/>
                <w:szCs w:val="28"/>
                <w:rtl/>
                <w:lang w:bidi="ar-EG"/>
              </w:rPr>
              <w:t>بعض البلدان في أوروبا وآسيا: 3.</w:t>
            </w:r>
            <w:r w:rsidR="00D60E58">
              <w:rPr>
                <w:rFonts w:ascii="Arabic Typesetting" w:hAnsi="Arabic Typesetting" w:cs="Arabic Typesetting" w:hint="cs"/>
                <w:sz w:val="28"/>
                <w:szCs w:val="28"/>
                <w:rtl/>
                <w:lang w:bidi="ar-EG"/>
              </w:rPr>
              <w:t>3</w:t>
            </w:r>
          </w:p>
        </w:tc>
        <w:tc>
          <w:tcPr>
            <w:tcW w:w="818" w:type="dxa"/>
            <w:tcBorders>
              <w:top w:val="nil"/>
              <w:left w:val="nil"/>
              <w:bottom w:val="single" w:sz="4" w:space="0" w:color="auto"/>
              <w:right w:val="single" w:sz="4" w:space="0" w:color="auto"/>
            </w:tcBorders>
          </w:tcPr>
          <w:p w:rsidR="004548B8" w:rsidRPr="00FC7CCF" w:rsidRDefault="00D60E58" w:rsidP="000471B4">
            <w:pPr>
              <w:keepNext/>
              <w:bidi/>
              <w:spacing w:before="60" w:after="60" w:line="280" w:lineRule="exact"/>
              <w:jc w:val="center"/>
              <w:rPr>
                <w:rFonts w:ascii="Arabic Typesetting" w:hAnsi="Arabic Typesetting" w:cs="Arabic Typesetting"/>
                <w:color w:val="008000"/>
                <w:sz w:val="28"/>
                <w:szCs w:val="28"/>
                <w:lang w:bidi="ar-EG"/>
              </w:rPr>
            </w:pPr>
            <w:r>
              <w:rPr>
                <w:rFonts w:ascii="Arabic Typesetting" w:hAnsi="Arabic Typesetting" w:cs="Arabic Typesetting" w:hint="cs"/>
                <w:b/>
                <w:bCs/>
                <w:color w:val="008000"/>
                <w:sz w:val="28"/>
                <w:szCs w:val="28"/>
                <w:rtl/>
                <w:lang w:bidi="ar-EG"/>
              </w:rPr>
              <w:t>محقق كلياً</w:t>
            </w:r>
          </w:p>
        </w:tc>
      </w:tr>
    </w:tbl>
    <w:p w:rsidR="00C32BE9" w:rsidRPr="00C32BE9" w:rsidRDefault="00C32BE9" w:rsidP="00C32BE9">
      <w:pPr>
        <w:keepNext/>
        <w:bidi/>
        <w:spacing w:before="120" w:after="120" w:line="340" w:lineRule="exact"/>
        <w:rPr>
          <w:rFonts w:ascii="Arabic Typesetting" w:hAnsi="Arabic Typesetting" w:cs="Arabic Typesetting"/>
          <w:sz w:val="34"/>
          <w:szCs w:val="34"/>
          <w:rtl/>
          <w:lang w:bidi="ar-EG"/>
        </w:rPr>
      </w:pPr>
      <w:r w:rsidRPr="00C32BE9">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C32BE9" w:rsidRPr="00C32BE9" w:rsidTr="00C32BE9">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C32BE9" w:rsidRPr="00C32BE9" w:rsidRDefault="00C32BE9" w:rsidP="00C32BE9">
            <w:pPr>
              <w:keepNext/>
              <w:bidi/>
              <w:spacing w:before="60" w:after="60" w:line="280" w:lineRule="exact"/>
              <w:jc w:val="center"/>
              <w:rPr>
                <w:rFonts w:ascii="Arabic Typesetting" w:hAnsi="Arabic Typesetting" w:cs="Arabic Typesetting"/>
                <w:bCs/>
                <w:sz w:val="28"/>
                <w:szCs w:val="28"/>
                <w:lang w:bidi="ar-EG"/>
              </w:rPr>
            </w:pPr>
            <w:r w:rsidRPr="00C32BE9">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C32BE9" w:rsidRPr="00C32BE9" w:rsidRDefault="00C32BE9" w:rsidP="00C32BE9">
            <w:pPr>
              <w:keepNext/>
              <w:bidi/>
              <w:spacing w:before="60" w:after="60" w:line="280" w:lineRule="exact"/>
              <w:jc w:val="center"/>
              <w:rPr>
                <w:rFonts w:ascii="Arabic Typesetting" w:hAnsi="Arabic Typesetting" w:cs="Arabic Typesetting"/>
                <w:bCs/>
                <w:sz w:val="28"/>
                <w:szCs w:val="28"/>
                <w:lang w:bidi="ar-EG"/>
              </w:rPr>
            </w:pPr>
            <w:r w:rsidRPr="00C32BE9">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C32BE9" w:rsidRPr="00C32BE9" w:rsidRDefault="00C32BE9" w:rsidP="00C32BE9">
            <w:pPr>
              <w:keepNext/>
              <w:bidi/>
              <w:spacing w:before="60" w:after="60" w:line="280" w:lineRule="exact"/>
              <w:jc w:val="center"/>
              <w:rPr>
                <w:rFonts w:ascii="Arabic Typesetting" w:hAnsi="Arabic Typesetting" w:cs="Arabic Typesetting"/>
                <w:bCs/>
                <w:sz w:val="28"/>
                <w:szCs w:val="28"/>
                <w:lang w:bidi="ar-EG"/>
              </w:rPr>
            </w:pPr>
            <w:r w:rsidRPr="00C32BE9">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C32BE9" w:rsidRPr="00C32BE9" w:rsidRDefault="00C32BE9" w:rsidP="00C32BE9">
            <w:pPr>
              <w:keepNext/>
              <w:bidi/>
              <w:spacing w:before="60" w:after="60" w:line="280" w:lineRule="exact"/>
              <w:jc w:val="center"/>
              <w:rPr>
                <w:rFonts w:ascii="Arabic Typesetting" w:hAnsi="Arabic Typesetting" w:cs="Arabic Typesetting"/>
                <w:bCs/>
                <w:sz w:val="28"/>
                <w:szCs w:val="28"/>
                <w:lang w:bidi="ar-EG"/>
              </w:rPr>
            </w:pPr>
            <w:r w:rsidRPr="00C32BE9">
              <w:rPr>
                <w:rFonts w:ascii="Arabic Typesetting" w:hAnsi="Arabic Typesetting" w:cs="Arabic Typesetting" w:hint="cs"/>
                <w:bCs/>
                <w:sz w:val="28"/>
                <w:szCs w:val="28"/>
                <w:rtl/>
                <w:lang w:bidi="ar-EG"/>
              </w:rPr>
              <w:t>التأثير في أداء البرنامج</w:t>
            </w:r>
          </w:p>
        </w:tc>
      </w:tr>
      <w:tr w:rsidR="00C32BE9" w:rsidRPr="00C32BE9" w:rsidTr="00C32BE9">
        <w:trPr>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C32BE9" w:rsidRPr="00C32BE9" w:rsidRDefault="00C32BE9" w:rsidP="00431E7B">
            <w:pPr>
              <w:autoSpaceDE w:val="0"/>
              <w:autoSpaceDN w:val="0"/>
              <w:bidi/>
              <w:adjustRightInd w:val="0"/>
              <w:snapToGrid w:val="0"/>
              <w:spacing w:before="60" w:after="60" w:line="300" w:lineRule="exact"/>
              <w:rPr>
                <w:rFonts w:ascii="Arabic Typesetting" w:hAnsi="Arabic Typesetting" w:cs="Arabic Typesetting"/>
                <w:sz w:val="28"/>
                <w:szCs w:val="28"/>
                <w:lang w:bidi="ar-EG"/>
              </w:rPr>
            </w:pPr>
            <w:r w:rsidRPr="00C32BE9">
              <w:rPr>
                <w:rFonts w:ascii="Arabic Typesetting" w:hAnsi="Arabic Typesetting" w:cs="Arabic Typesetting"/>
                <w:sz w:val="28"/>
                <w:szCs w:val="28"/>
                <w:rtl/>
              </w:rPr>
              <w:t>التغيرات الاقتصادية والسياسية قد</w:t>
            </w:r>
            <w:r w:rsidR="00431E7B">
              <w:rPr>
                <w:rFonts w:ascii="Arabic Typesetting" w:hAnsi="Arabic Typesetting" w:cs="Arabic Typesetting" w:hint="cs"/>
                <w:sz w:val="28"/>
                <w:szCs w:val="28"/>
                <w:rtl/>
              </w:rPr>
              <w:t> </w:t>
            </w:r>
            <w:r w:rsidRPr="00C32BE9">
              <w:rPr>
                <w:rFonts w:ascii="Arabic Typesetting" w:hAnsi="Arabic Typesetting" w:cs="Arabic Typesetting"/>
                <w:sz w:val="28"/>
                <w:szCs w:val="28"/>
                <w:rtl/>
              </w:rPr>
              <w:t>تعرقل تنفيذ الاستراتيجيات الوطنية للملكية الفكرية أو تتسبب في إبطاء تنفيذها</w:t>
            </w:r>
            <w:r w:rsidRPr="00C32BE9">
              <w:rPr>
                <w:rFonts w:ascii="Arabic Typesetting" w:hAnsi="Arabic Typesetting" w:cs="Arabic Typesetting"/>
                <w:sz w:val="28"/>
                <w:szCs w:val="28"/>
              </w:rPr>
              <w:t>.</w:t>
            </w:r>
          </w:p>
        </w:tc>
        <w:tc>
          <w:tcPr>
            <w:tcW w:w="2200" w:type="dxa"/>
            <w:tcBorders>
              <w:top w:val="single" w:sz="4" w:space="0" w:color="auto"/>
              <w:bottom w:val="single" w:sz="4" w:space="0" w:color="auto"/>
            </w:tcBorders>
            <w:shd w:val="clear" w:color="auto" w:fill="auto"/>
            <w:tcMar>
              <w:top w:w="113" w:type="dxa"/>
              <w:bottom w:w="113" w:type="dxa"/>
            </w:tcMar>
          </w:tcPr>
          <w:p w:rsidR="00C32BE9" w:rsidRPr="00C32BE9" w:rsidRDefault="00C32BE9" w:rsidP="00C32BE9">
            <w:pPr>
              <w:autoSpaceDE w:val="0"/>
              <w:autoSpaceDN w:val="0"/>
              <w:bidi/>
              <w:adjustRightInd w:val="0"/>
              <w:snapToGrid w:val="0"/>
              <w:spacing w:before="60" w:after="60" w:line="300" w:lineRule="exact"/>
              <w:rPr>
                <w:rFonts w:ascii="Arabic Typesetting" w:hAnsi="Arabic Typesetting" w:cs="Arabic Typesetting"/>
                <w:sz w:val="28"/>
                <w:szCs w:val="28"/>
                <w:lang w:bidi="ar-EG"/>
              </w:rPr>
            </w:pPr>
            <w:r w:rsidRPr="00C32BE9">
              <w:rPr>
                <w:rFonts w:ascii="Arabic Typesetting" w:hAnsi="Arabic Typesetting" w:cs="Arabic Typesetting"/>
                <w:sz w:val="28"/>
                <w:szCs w:val="28"/>
                <w:rtl/>
              </w:rPr>
              <w:t>الاستمرار في إقامة علاقات مع جميع أصحاب المصلحة في البلدان، والتخطيط المتقدم على جميع المستويات. وتوفير المرونة في خطط التعاون</w:t>
            </w:r>
            <w:r w:rsidRPr="00C32BE9">
              <w:rPr>
                <w:rFonts w:ascii="Arabic Typesetting" w:hAnsi="Arabic Typesetting" w:cs="Arabic Typesetting"/>
                <w:sz w:val="28"/>
                <w:szCs w:val="28"/>
              </w:rPr>
              <w:t>.</w:t>
            </w:r>
          </w:p>
        </w:tc>
        <w:tc>
          <w:tcPr>
            <w:tcW w:w="2310" w:type="dxa"/>
            <w:tcBorders>
              <w:top w:val="single" w:sz="4" w:space="0" w:color="auto"/>
              <w:bottom w:val="single" w:sz="4" w:space="0" w:color="auto"/>
            </w:tcBorders>
          </w:tcPr>
          <w:p w:rsidR="00C32BE9" w:rsidRPr="00C32BE9" w:rsidRDefault="00C32BE9" w:rsidP="00431E7B">
            <w:pPr>
              <w:bidi/>
              <w:spacing w:before="60" w:after="60" w:line="280" w:lineRule="exact"/>
              <w:rPr>
                <w:rFonts w:ascii="Arabic Typesetting" w:hAnsi="Arabic Typesetting" w:cs="Arabic Typesetting"/>
                <w:b/>
                <w:sz w:val="28"/>
                <w:szCs w:val="28"/>
                <w:lang w:bidi="ar-EG"/>
              </w:rPr>
            </w:pPr>
            <w:r>
              <w:rPr>
                <w:rFonts w:ascii="Arabic Typesetting" w:hAnsi="Arabic Typesetting" w:cs="Arabic Typesetting" w:hint="cs"/>
                <w:b/>
                <w:sz w:val="28"/>
                <w:szCs w:val="28"/>
                <w:rtl/>
                <w:lang w:bidi="ar-EG"/>
              </w:rPr>
              <w:t xml:space="preserve">هذا الخطر متواصل وأثر سلباً في تخطيط بعض الأنشطة. </w:t>
            </w:r>
            <w:r w:rsidRPr="00C32BE9">
              <w:rPr>
                <w:rFonts w:ascii="Arabic Typesetting" w:hAnsi="Arabic Typesetting" w:cs="Arabic Typesetting"/>
                <w:b/>
                <w:sz w:val="28"/>
                <w:szCs w:val="28"/>
                <w:rtl/>
                <w:lang w:bidi="ar-EG"/>
              </w:rPr>
              <w:t>و</w:t>
            </w:r>
            <w:r>
              <w:rPr>
                <w:rFonts w:ascii="Arabic Typesetting" w:hAnsi="Arabic Typesetting" w:cs="Arabic Typesetting" w:hint="cs"/>
                <w:b/>
                <w:sz w:val="28"/>
                <w:szCs w:val="28"/>
                <w:rtl/>
                <w:lang w:bidi="ar-EG"/>
              </w:rPr>
              <w:t xml:space="preserve">لكن </w:t>
            </w:r>
            <w:r w:rsidRPr="00C32BE9">
              <w:rPr>
                <w:rFonts w:ascii="Arabic Typesetting" w:hAnsi="Arabic Typesetting" w:cs="Arabic Typesetting"/>
                <w:b/>
                <w:sz w:val="28"/>
                <w:szCs w:val="28"/>
                <w:rtl/>
                <w:lang w:bidi="ar-EG"/>
              </w:rPr>
              <w:t xml:space="preserve">تماشيا مع خطة البرنامج </w:t>
            </w:r>
            <w:r w:rsidR="00431E7B">
              <w:rPr>
                <w:rFonts w:ascii="Arabic Typesetting" w:hAnsi="Arabic Typesetting" w:cs="Arabic Typesetting" w:hint="cs"/>
                <w:b/>
                <w:sz w:val="28"/>
                <w:szCs w:val="28"/>
                <w:rtl/>
                <w:lang w:bidi="ar-EG"/>
              </w:rPr>
              <w:t>للحد من وطأة</w:t>
            </w:r>
            <w:r w:rsidRPr="00C32BE9">
              <w:rPr>
                <w:rFonts w:ascii="Arabic Typesetting" w:hAnsi="Arabic Typesetting" w:cs="Arabic Typesetting"/>
                <w:b/>
                <w:sz w:val="28"/>
                <w:szCs w:val="28"/>
                <w:rtl/>
                <w:lang w:bidi="ar-EG"/>
              </w:rPr>
              <w:t xml:space="preserve"> المخاطر، استمر التعاون الوثيق مع أصحاب </w:t>
            </w:r>
            <w:r w:rsidR="00431E7B">
              <w:rPr>
                <w:rFonts w:ascii="Arabic Typesetting" w:hAnsi="Arabic Typesetting" w:cs="Arabic Typesetting" w:hint="cs"/>
                <w:b/>
                <w:sz w:val="28"/>
                <w:szCs w:val="28"/>
                <w:rtl/>
                <w:lang w:bidi="ar-EG"/>
              </w:rPr>
              <w:t>المصلحة</w:t>
            </w:r>
            <w:r w:rsidRPr="00C32BE9">
              <w:rPr>
                <w:rFonts w:ascii="Arabic Typesetting" w:hAnsi="Arabic Typesetting" w:cs="Arabic Typesetting"/>
                <w:b/>
                <w:sz w:val="28"/>
                <w:szCs w:val="28"/>
                <w:rtl/>
                <w:lang w:bidi="ar-EG"/>
              </w:rPr>
              <w:t xml:space="preserve"> المعنيين</w:t>
            </w:r>
            <w:r>
              <w:rPr>
                <w:rFonts w:ascii="Arabic Typesetting" w:hAnsi="Arabic Typesetting" w:cs="Arabic Typesetting" w:hint="cs"/>
                <w:b/>
                <w:sz w:val="28"/>
                <w:szCs w:val="28"/>
                <w:rtl/>
                <w:lang w:bidi="ar-EG"/>
              </w:rPr>
              <w:t>. وفضلاً عن ذلك،</w:t>
            </w:r>
            <w:r w:rsidRPr="00C32BE9">
              <w:rPr>
                <w:rFonts w:ascii="Arabic Typesetting" w:hAnsi="Arabic Typesetting" w:cs="Arabic Typesetting"/>
                <w:b/>
                <w:sz w:val="28"/>
                <w:szCs w:val="28"/>
                <w:rtl/>
                <w:lang w:bidi="ar-EG"/>
              </w:rPr>
              <w:t xml:space="preserve"> </w:t>
            </w:r>
            <w:r>
              <w:rPr>
                <w:rFonts w:ascii="Arabic Typesetting" w:hAnsi="Arabic Typesetting" w:cs="Arabic Typesetting" w:hint="cs"/>
                <w:b/>
                <w:sz w:val="28"/>
                <w:szCs w:val="28"/>
                <w:rtl/>
                <w:lang w:bidi="ar-EG"/>
              </w:rPr>
              <w:t>ساعد</w:t>
            </w:r>
            <w:r w:rsidRPr="00C32BE9">
              <w:rPr>
                <w:rFonts w:ascii="Arabic Typesetting" w:hAnsi="Arabic Typesetting" w:cs="Arabic Typesetting"/>
                <w:b/>
                <w:sz w:val="28"/>
                <w:szCs w:val="28"/>
                <w:rtl/>
                <w:lang w:bidi="ar-EG"/>
              </w:rPr>
              <w:t xml:space="preserve"> اتباع </w:t>
            </w:r>
            <w:r>
              <w:rPr>
                <w:rFonts w:ascii="Arabic Typesetting" w:hAnsi="Arabic Typesetting" w:cs="Arabic Typesetting" w:hint="cs"/>
                <w:b/>
                <w:sz w:val="28"/>
                <w:szCs w:val="28"/>
                <w:rtl/>
                <w:lang w:bidi="ar-EG"/>
              </w:rPr>
              <w:t>نهج</w:t>
            </w:r>
            <w:r w:rsidRPr="00C32BE9">
              <w:rPr>
                <w:rFonts w:ascii="Arabic Typesetting" w:hAnsi="Arabic Typesetting" w:cs="Arabic Typesetting"/>
                <w:b/>
                <w:sz w:val="28"/>
                <w:szCs w:val="28"/>
                <w:rtl/>
                <w:lang w:bidi="ar-EG"/>
              </w:rPr>
              <w:t xml:space="preserve"> مرن في </w:t>
            </w:r>
            <w:r>
              <w:rPr>
                <w:rFonts w:ascii="Arabic Typesetting" w:hAnsi="Arabic Typesetting" w:cs="Arabic Typesetting" w:hint="cs"/>
                <w:b/>
                <w:sz w:val="28"/>
                <w:szCs w:val="28"/>
                <w:rtl/>
                <w:lang w:bidi="ar-EG"/>
              </w:rPr>
              <w:t>رسم</w:t>
            </w:r>
            <w:r w:rsidRPr="00C32BE9">
              <w:rPr>
                <w:rFonts w:ascii="Arabic Typesetting" w:hAnsi="Arabic Typesetting" w:cs="Arabic Typesetting"/>
                <w:b/>
                <w:sz w:val="28"/>
                <w:szCs w:val="28"/>
                <w:rtl/>
                <w:lang w:bidi="ar-EG"/>
              </w:rPr>
              <w:t xml:space="preserve"> خطط التعاون وتنفيذها ورصد</w:t>
            </w:r>
            <w:r>
              <w:rPr>
                <w:rFonts w:ascii="Arabic Typesetting" w:hAnsi="Arabic Typesetting" w:cs="Arabic Typesetting" w:hint="cs"/>
                <w:b/>
                <w:sz w:val="28"/>
                <w:szCs w:val="28"/>
                <w:rtl/>
                <w:lang w:bidi="ar-EG"/>
              </w:rPr>
              <w:t>ها عن كثب على الحد من هذا التأثير السلبي.</w:t>
            </w:r>
          </w:p>
        </w:tc>
        <w:tc>
          <w:tcPr>
            <w:tcW w:w="2306" w:type="dxa"/>
            <w:tcBorders>
              <w:top w:val="single" w:sz="4" w:space="0" w:color="auto"/>
              <w:bottom w:val="single" w:sz="4" w:space="0" w:color="auto"/>
              <w:right w:val="single" w:sz="4" w:space="0" w:color="auto"/>
            </w:tcBorders>
          </w:tcPr>
          <w:p w:rsidR="00C32BE9" w:rsidRPr="00C32BE9" w:rsidRDefault="002F200B" w:rsidP="002F200B">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لم يؤثر هذا الخطر ولا تطوره </w:t>
            </w:r>
            <w:r>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في أداء البرنامج للفترة </w:t>
            </w:r>
            <w:r>
              <w:rPr>
                <w:rFonts w:ascii="Arabic Typesetting" w:hAnsi="Arabic Typesetting" w:cs="Arabic Typesetting" w:hint="cs"/>
                <w:b/>
                <w:sz w:val="28"/>
                <w:szCs w:val="28"/>
                <w:rtl/>
                <w:lang w:bidi="ar-EG"/>
              </w:rPr>
              <w:t xml:space="preserve">2014/15 </w:t>
            </w:r>
            <w:r w:rsidR="00C32BE9">
              <w:rPr>
                <w:rFonts w:ascii="Arabic Typesetting" w:hAnsi="Arabic Typesetting" w:cs="Arabic Typesetting" w:hint="cs"/>
                <w:b/>
                <w:sz w:val="28"/>
                <w:szCs w:val="28"/>
                <w:rtl/>
                <w:lang w:bidi="ar-EG"/>
              </w:rPr>
              <w:t>نظراً إلى التدابير الفعالة المتخذة للحد من وطأته.</w:t>
            </w:r>
          </w:p>
        </w:tc>
      </w:tr>
    </w:tbl>
    <w:p w:rsidR="00C32BE9" w:rsidRPr="00C32BE9" w:rsidRDefault="00C32BE9" w:rsidP="00C32BE9">
      <w:pPr>
        <w:keepNext/>
        <w:bidi/>
        <w:spacing w:before="120" w:after="120" w:line="340" w:lineRule="exact"/>
        <w:rPr>
          <w:rFonts w:ascii="Arabic Typesetting" w:hAnsi="Arabic Typesetting" w:cs="Arabic Typesetting"/>
          <w:sz w:val="34"/>
          <w:szCs w:val="34"/>
          <w:rtl/>
          <w:lang w:bidi="ar-EG"/>
        </w:rPr>
      </w:pPr>
      <w:r w:rsidRPr="00C32BE9">
        <w:rPr>
          <w:rFonts w:ascii="Arabic Typesetting" w:hAnsi="Arabic Typesetting" w:cs="Arabic Typesetting" w:hint="cs"/>
          <w:sz w:val="34"/>
          <w:szCs w:val="34"/>
          <w:rtl/>
          <w:lang w:bidi="ar-EG"/>
        </w:rPr>
        <w:lastRenderedPageBreak/>
        <w:t>استخدام الموارد</w:t>
      </w:r>
    </w:p>
    <w:p w:rsidR="00C32BE9" w:rsidRPr="00C32BE9" w:rsidRDefault="00774E37" w:rsidP="00C32BE9">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C32BE9" w:rsidRPr="00C32BE9" w:rsidRDefault="00C32BE9" w:rsidP="00C32BE9">
      <w:pPr>
        <w:keepNext/>
        <w:bidi/>
        <w:spacing w:after="120" w:line="340" w:lineRule="exact"/>
        <w:jc w:val="center"/>
        <w:rPr>
          <w:rFonts w:ascii="Arabic Typesetting" w:hAnsi="Arabic Typesetting" w:cs="Arabic Typesetting"/>
          <w:i/>
          <w:iCs/>
          <w:sz w:val="34"/>
          <w:szCs w:val="34"/>
          <w:rtl/>
          <w:lang w:bidi="ar-EG"/>
        </w:rPr>
      </w:pPr>
      <w:r w:rsidRPr="00C32BE9">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C32BE9" w:rsidRPr="00C32BE9" w:rsidTr="00C32BE9">
        <w:trPr>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C32BE9" w:rsidRPr="00C32BE9" w:rsidRDefault="00C32BE9" w:rsidP="00C32BE9">
            <w:pPr>
              <w:bidi/>
              <w:jc w:val="center"/>
              <w:rPr>
                <w:rFonts w:ascii="Arabic Typesetting" w:hAnsi="Arabic Typesetting" w:cs="Arabic Typesetting"/>
                <w:i/>
                <w:iCs/>
                <w:sz w:val="28"/>
                <w:szCs w:val="28"/>
              </w:rPr>
            </w:pPr>
            <w:r w:rsidRPr="00C32BE9">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C32BE9" w:rsidRPr="00C32BE9" w:rsidRDefault="00C32BE9" w:rsidP="00C32BE9">
            <w:pPr>
              <w:bidi/>
              <w:jc w:val="center"/>
              <w:rPr>
                <w:rFonts w:ascii="Arabic Typesetting" w:hAnsi="Arabic Typesetting" w:cs="Arabic Typesetting"/>
                <w:i/>
                <w:iCs/>
                <w:sz w:val="28"/>
                <w:szCs w:val="28"/>
              </w:rPr>
            </w:pPr>
            <w:r w:rsidRPr="00C32BE9">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C32BE9" w:rsidRPr="00C32BE9" w:rsidRDefault="00C32BE9" w:rsidP="00C32BE9">
            <w:pPr>
              <w:bidi/>
              <w:jc w:val="center"/>
              <w:rPr>
                <w:rFonts w:ascii="Arabic Typesetting" w:hAnsi="Arabic Typesetting" w:cs="Arabic Typesetting"/>
                <w:i/>
                <w:iCs/>
                <w:sz w:val="28"/>
                <w:szCs w:val="28"/>
              </w:rPr>
            </w:pPr>
            <w:r w:rsidRPr="00C32BE9">
              <w:rPr>
                <w:rFonts w:ascii="Arabic Typesetting" w:hAnsi="Arabic Typesetting" w:cs="Arabic Typesetting" w:hint="cs"/>
                <w:i/>
                <w:iCs/>
                <w:sz w:val="28"/>
                <w:szCs w:val="28"/>
                <w:rtl/>
              </w:rPr>
              <w:t>الميزانية النهائية</w:t>
            </w:r>
            <w:r w:rsidRPr="00C32BE9">
              <w:rPr>
                <w:rFonts w:ascii="Arabic Typesetting" w:hAnsi="Arabic Typesetting" w:cs="Arabic Typesetting"/>
                <w:i/>
                <w:iCs/>
                <w:sz w:val="28"/>
                <w:szCs w:val="28"/>
                <w:rtl/>
              </w:rPr>
              <w:t xml:space="preserve"> بعد التحويلات</w:t>
            </w:r>
            <w:r w:rsidRPr="00C32BE9">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C32BE9" w:rsidRPr="00C32BE9" w:rsidRDefault="00C32BE9" w:rsidP="00C32BE9">
            <w:pPr>
              <w:bidi/>
              <w:jc w:val="center"/>
              <w:rPr>
                <w:rFonts w:ascii="Arabic Typesetting" w:hAnsi="Arabic Typesetting" w:cs="Arabic Typesetting"/>
                <w:i/>
                <w:iCs/>
                <w:sz w:val="28"/>
                <w:szCs w:val="28"/>
              </w:rPr>
            </w:pPr>
            <w:r w:rsidRPr="00C32BE9">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C32BE9" w:rsidRPr="00C32BE9" w:rsidTr="00C32BE9">
        <w:trPr>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ھ2.1</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0432CA">
            <w:pPr>
              <w:bidi/>
              <w:rPr>
                <w:rFonts w:ascii="Arabic Typesetting" w:hAnsi="Arabic Typesetting" w:cs="Arabic Typesetting"/>
                <w:sz w:val="28"/>
                <w:szCs w:val="28"/>
              </w:rPr>
            </w:pPr>
            <w:r>
              <w:rPr>
                <w:rFonts w:ascii="Arabic Typesetting" w:hAnsi="Arabic Typesetting" w:cs="Arabic Typesetting"/>
                <w:sz w:val="28"/>
                <w:szCs w:val="28"/>
                <w:rtl/>
              </w:rPr>
              <w:t>أطر تشريعية وتنظيمية وسياسية مناسبة ومتوازنة للملكية الفكرية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755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831</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742</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ھ1.2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A0719D">
            <w:pPr>
              <w:bidi/>
              <w:rPr>
                <w:rFonts w:ascii="Arabic Typesetting" w:hAnsi="Arabic Typesetting" w:cs="Arabic Typesetting"/>
                <w:sz w:val="28"/>
                <w:szCs w:val="28"/>
              </w:rPr>
            </w:pPr>
            <w:r>
              <w:rPr>
                <w:rFonts w:ascii="Arabic Typesetting" w:hAnsi="Arabic Typesetting" w:cs="Arabic Typesetting"/>
                <w:sz w:val="28"/>
                <w:szCs w:val="28"/>
                <w:rtl/>
              </w:rPr>
              <w:t>انتفاع متزايد بنظام معاهدة التعاون بشأن البراءات كسبيل للإيداع الدولي لطلبات البراءات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1</w:t>
            </w:r>
            <w:r w:rsidRPr="00C32BE9">
              <w:rPr>
                <w:rFonts w:ascii="Arabic Typesetting" w:hAnsi="Arabic Typesetting" w:cs="Arabic Typesetting"/>
                <w:sz w:val="28"/>
                <w:szCs w:val="28"/>
              </w:rPr>
              <w:t>,</w:t>
            </w:r>
            <w:r>
              <w:rPr>
                <w:rFonts w:ascii="Arabic Typesetting" w:hAnsi="Arabic Typesetting" w:cs="Arabic Typesetting"/>
                <w:sz w:val="28"/>
                <w:szCs w:val="28"/>
              </w:rPr>
              <w:t>157</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996</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867</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ھ4.2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0E3DA7">
            <w:pPr>
              <w:bidi/>
              <w:rPr>
                <w:rFonts w:ascii="Arabic Typesetting" w:hAnsi="Arabic Typesetting" w:cs="Arabic Typesetting"/>
                <w:sz w:val="28"/>
                <w:szCs w:val="28"/>
              </w:rPr>
            </w:pPr>
            <w:r>
              <w:rPr>
                <w:rFonts w:ascii="Arabic Typesetting" w:hAnsi="Arabic Typesetting" w:cs="Arabic Typesetting"/>
                <w:sz w:val="28"/>
                <w:szCs w:val="28"/>
                <w:rtl/>
              </w:rPr>
              <w:t>الانتفاع بنظام لاهاي على نطاق أوسع ونحو أفضل، بما في ذلك من جهة البلدان النامية والبلدان الأقل نموا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231</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567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519</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ھ6.2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A0719D">
            <w:pPr>
              <w:bidi/>
              <w:rPr>
                <w:rFonts w:ascii="Arabic Typesetting" w:hAnsi="Arabic Typesetting" w:cs="Arabic Typesetting"/>
                <w:sz w:val="28"/>
                <w:szCs w:val="28"/>
              </w:rPr>
            </w:pPr>
            <w:r>
              <w:rPr>
                <w:rFonts w:ascii="Arabic Typesetting" w:hAnsi="Arabic Typesetting" w:cs="Arabic Typesetting"/>
                <w:sz w:val="28"/>
                <w:szCs w:val="28"/>
                <w:rtl/>
              </w:rPr>
              <w:t>الانتفاع بنظامي مدريد ولشبونة على نطاق أوسع ونحو أفضل، بما في ذلك من جهة البلدان الأقل نموا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231</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463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432</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ھ8.2</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A0719D">
            <w:pPr>
              <w:bidi/>
              <w:rPr>
                <w:rFonts w:ascii="Arabic Typesetting" w:hAnsi="Arabic Typesetting" w:cs="Arabic Typesetting"/>
                <w:sz w:val="28"/>
                <w:szCs w:val="28"/>
              </w:rPr>
            </w:pPr>
            <w:r>
              <w:rPr>
                <w:rFonts w:ascii="Arabic Typesetting" w:hAnsi="Arabic Typesetting" w:cs="Arabic Typesetting"/>
                <w:sz w:val="28"/>
                <w:szCs w:val="28"/>
                <w:rtl/>
              </w:rPr>
              <w:t>تزايد تفادي نشوء المنازعات المتعلقة بالملكية الفكرية دوليا وداخليا وتسويتها بفضل الوساطة والتحكيم وغيرها من أساليب الويبو البديلة في تسوية المنازعات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149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420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389</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ھ1.3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استراتيجيات وخطط وطنية في مجالي الابتكار والملكية الفكرية تتماشى مع الأهداف الإنمائية الوطنية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2</w:t>
            </w:r>
            <w:r w:rsidRPr="00C32BE9">
              <w:rPr>
                <w:rFonts w:ascii="Arabic Typesetting" w:hAnsi="Arabic Typesetting" w:cs="Arabic Typesetting"/>
                <w:sz w:val="28"/>
                <w:szCs w:val="28"/>
              </w:rPr>
              <w:t>,</w:t>
            </w:r>
            <w:r>
              <w:rPr>
                <w:rFonts w:ascii="Arabic Typesetting" w:hAnsi="Arabic Typesetting" w:cs="Arabic Typesetting"/>
                <w:sz w:val="28"/>
                <w:szCs w:val="28"/>
              </w:rPr>
              <w:t>584</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1</w:t>
            </w:r>
            <w:r w:rsidRPr="00C32BE9">
              <w:rPr>
                <w:rFonts w:ascii="Arabic Typesetting" w:hAnsi="Arabic Typesetting" w:cs="Arabic Typesetting"/>
                <w:sz w:val="28"/>
                <w:szCs w:val="28"/>
              </w:rPr>
              <w:t>,</w:t>
            </w:r>
            <w:r>
              <w:rPr>
                <w:rFonts w:ascii="Arabic Typesetting" w:hAnsi="Arabic Typesetting" w:cs="Arabic Typesetting"/>
                <w:sz w:val="28"/>
                <w:szCs w:val="28"/>
              </w:rPr>
              <w:t>920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1</w:t>
            </w:r>
            <w:r w:rsidRPr="00C32BE9">
              <w:rPr>
                <w:rFonts w:ascii="Arabic Typesetting" w:hAnsi="Arabic Typesetting" w:cs="Arabic Typesetting"/>
                <w:sz w:val="28"/>
                <w:szCs w:val="28"/>
              </w:rPr>
              <w:t>,</w:t>
            </w:r>
            <w:r>
              <w:rPr>
                <w:rFonts w:ascii="Arabic Typesetting" w:hAnsi="Arabic Typesetting" w:cs="Arabic Typesetting"/>
                <w:sz w:val="28"/>
                <w:szCs w:val="28"/>
              </w:rPr>
              <w:t>806</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ھ2.3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0432CA">
            <w:pPr>
              <w:bidi/>
              <w:rPr>
                <w:rFonts w:ascii="Arabic Typesetting" w:hAnsi="Arabic Typesetting" w:cs="Arabic Typesetting"/>
                <w:sz w:val="28"/>
                <w:szCs w:val="28"/>
              </w:rPr>
            </w:pPr>
            <w:r>
              <w:rPr>
                <w:rFonts w:ascii="Arabic Typesetting" w:hAnsi="Arabic Typesetting" w:cs="Arabic Typesetting"/>
                <w:sz w:val="28"/>
                <w:szCs w:val="28"/>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1</w:t>
            </w:r>
            <w:r w:rsidRPr="00C32BE9">
              <w:rPr>
                <w:rFonts w:ascii="Arabic Typesetting" w:hAnsi="Arabic Typesetting" w:cs="Arabic Typesetting"/>
                <w:sz w:val="28"/>
                <w:szCs w:val="28"/>
              </w:rPr>
              <w:t>,</w:t>
            </w:r>
            <w:r>
              <w:rPr>
                <w:rFonts w:ascii="Arabic Typesetting" w:hAnsi="Arabic Typesetting" w:cs="Arabic Typesetting"/>
                <w:sz w:val="28"/>
                <w:szCs w:val="28"/>
              </w:rPr>
              <w:t>455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947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871</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ھ4.3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0432CA">
            <w:pPr>
              <w:bidi/>
              <w:rPr>
                <w:rFonts w:ascii="Arabic Typesetting" w:hAnsi="Arabic Typesetting" w:cs="Arabic Typesetting"/>
                <w:sz w:val="28"/>
                <w:szCs w:val="28"/>
              </w:rPr>
            </w:pPr>
            <w:r>
              <w:rPr>
                <w:rFonts w:ascii="Arabic Typesetting" w:hAnsi="Arabic Typesetting" w:cs="Arabic Typesetting"/>
                <w:sz w:val="28"/>
                <w:szCs w:val="28"/>
                <w:rtl/>
              </w:rPr>
              <w:t>آليات وبرامج تعاونية معزّزة ومكيّفة حسب احتياجات البلدان النامية والبلدان الأقل نموا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256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364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338</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ھ6.3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9947B0">
            <w:pPr>
              <w:bidi/>
              <w:rPr>
                <w:rFonts w:ascii="Arabic Typesetting" w:hAnsi="Arabic Typesetting" w:cs="Arabic Typesetting"/>
                <w:sz w:val="28"/>
                <w:szCs w:val="28"/>
              </w:rPr>
            </w:pPr>
            <w:r>
              <w:rPr>
                <w:rFonts w:ascii="Arabic Typesetting" w:hAnsi="Arabic Typesetting" w:cs="Arabic Typesetting"/>
                <w:sz w:val="28"/>
                <w:szCs w:val="28"/>
                <w:rtl/>
              </w:rPr>
              <w:t xml:space="preserve">قدرة معزّزة لدى الشركات الصغيرة </w:t>
            </w:r>
            <w:proofErr w:type="spellStart"/>
            <w:r>
              <w:rPr>
                <w:rFonts w:ascii="Arabic Typesetting" w:hAnsi="Arabic Typesetting" w:cs="Arabic Typesetting"/>
                <w:sz w:val="28"/>
                <w:szCs w:val="28"/>
                <w:rtl/>
              </w:rPr>
              <w:t>والمستوطة</w:t>
            </w:r>
            <w:proofErr w:type="spellEnd"/>
            <w:r>
              <w:rPr>
                <w:rFonts w:ascii="Arabic Typesetting" w:hAnsi="Arabic Typesetting" w:cs="Arabic Typesetting"/>
                <w:sz w:val="28"/>
                <w:szCs w:val="28"/>
                <w:rtl/>
              </w:rPr>
              <w:t xml:space="preserve"> على استخدام الملكية الفكرية بنجاح لدعم الابتكار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578</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772</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696</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ھ2.4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0432CA">
            <w:pPr>
              <w:bidi/>
              <w:rPr>
                <w:rFonts w:ascii="Arabic Typesetting" w:hAnsi="Arabic Typesetting" w:cs="Arabic Typesetting"/>
                <w:sz w:val="28"/>
                <w:szCs w:val="28"/>
              </w:rPr>
            </w:pPr>
            <w:r>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666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816</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757</w:t>
            </w:r>
          </w:p>
        </w:tc>
      </w:tr>
      <w:tr w:rsidR="00C32BE9" w:rsidRPr="00C32BE9" w:rsidTr="00C32BE9">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BE9" w:rsidRPr="00C32BE9" w:rsidRDefault="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ھ4.4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0432CA">
            <w:pPr>
              <w:bidi/>
              <w:rPr>
                <w:rFonts w:ascii="Arabic Typesetting" w:hAnsi="Arabic Typesetting" w:cs="Arabic Typesetting"/>
                <w:sz w:val="28"/>
                <w:szCs w:val="28"/>
              </w:rPr>
            </w:pPr>
            <w:r>
              <w:rPr>
                <w:rFonts w:ascii="Arabic Typesetting" w:hAnsi="Arabic Typesetting" w:cs="Arabic Typesetting"/>
                <w:sz w:val="28"/>
                <w:szCs w:val="28"/>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380</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243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BE9" w:rsidRPr="00C32BE9" w:rsidRDefault="00C32BE9" w:rsidP="00C32BE9">
            <w:pPr>
              <w:rPr>
                <w:rFonts w:ascii="Arabic Typesetting" w:hAnsi="Arabic Typesetting" w:cs="Arabic Typesetting"/>
                <w:sz w:val="28"/>
                <w:szCs w:val="28"/>
              </w:rPr>
            </w:pPr>
            <w:r>
              <w:rPr>
                <w:rFonts w:ascii="Arabic Typesetting" w:hAnsi="Arabic Typesetting" w:cs="Arabic Typesetting"/>
                <w:sz w:val="28"/>
                <w:szCs w:val="28"/>
              </w:rPr>
              <w:t>227</w:t>
            </w:r>
          </w:p>
        </w:tc>
      </w:tr>
      <w:tr w:rsidR="00C32BE9" w:rsidRPr="00C32BE9" w:rsidTr="00C32BE9">
        <w:trPr>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C32BE9" w:rsidRPr="00C32BE9" w:rsidRDefault="00C32BE9" w:rsidP="00C32BE9">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C32BE9" w:rsidRPr="00C32BE9" w:rsidRDefault="00C32BE9" w:rsidP="00C32BE9">
            <w:pPr>
              <w:bidi/>
              <w:rPr>
                <w:rFonts w:ascii="Arabic Typesetting" w:hAnsi="Arabic Typesetting" w:cs="Arabic Typesetting"/>
                <w:b/>
                <w:bCs/>
                <w:sz w:val="28"/>
                <w:szCs w:val="28"/>
              </w:rPr>
            </w:pPr>
            <w:r w:rsidRPr="00C32BE9">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C32BE9" w:rsidRPr="00C32BE9" w:rsidRDefault="00C32BE9" w:rsidP="00C32BE9">
            <w:pPr>
              <w:rPr>
                <w:rFonts w:ascii="Arabic Typesetting" w:hAnsi="Arabic Typesetting" w:cs="Arabic Typesetting"/>
                <w:b/>
                <w:bCs/>
                <w:sz w:val="28"/>
                <w:szCs w:val="28"/>
              </w:rPr>
            </w:pPr>
            <w:r w:rsidRPr="00C32BE9">
              <w:rPr>
                <w:rFonts w:ascii="Arabic Typesetting" w:hAnsi="Arabic Typesetting" w:cs="Arabic Typesetting"/>
                <w:b/>
                <w:bCs/>
                <w:sz w:val="28"/>
                <w:szCs w:val="28"/>
              </w:rPr>
              <w:t>8,443</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C32BE9" w:rsidRPr="00C32BE9" w:rsidRDefault="00C32BE9" w:rsidP="00C32BE9">
            <w:pPr>
              <w:rPr>
                <w:rFonts w:ascii="Arabic Typesetting" w:hAnsi="Arabic Typesetting" w:cs="Arabic Typesetting"/>
                <w:b/>
                <w:bCs/>
                <w:sz w:val="28"/>
                <w:szCs w:val="28"/>
              </w:rPr>
            </w:pPr>
            <w:r w:rsidRPr="00C32BE9">
              <w:rPr>
                <w:rFonts w:ascii="Arabic Typesetting" w:hAnsi="Arabic Typesetting" w:cs="Arabic Typesetting"/>
                <w:b/>
                <w:bCs/>
                <w:sz w:val="28"/>
                <w:szCs w:val="28"/>
              </w:rPr>
              <w:t>8,338</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C32BE9" w:rsidRPr="00C32BE9" w:rsidRDefault="00C32BE9" w:rsidP="00C32BE9">
            <w:pPr>
              <w:rPr>
                <w:rFonts w:ascii="Arabic Typesetting" w:hAnsi="Arabic Typesetting" w:cs="Arabic Typesetting"/>
                <w:b/>
                <w:bCs/>
                <w:sz w:val="28"/>
                <w:szCs w:val="28"/>
              </w:rPr>
            </w:pPr>
            <w:r w:rsidRPr="00C32BE9">
              <w:rPr>
                <w:rFonts w:ascii="Arabic Typesetting" w:hAnsi="Arabic Typesetting" w:cs="Arabic Typesetting"/>
                <w:b/>
                <w:bCs/>
                <w:sz w:val="28"/>
                <w:szCs w:val="28"/>
              </w:rPr>
              <w:t>7,644</w:t>
            </w:r>
          </w:p>
        </w:tc>
      </w:tr>
    </w:tbl>
    <w:p w:rsidR="00C32BE9" w:rsidRPr="00C32BE9" w:rsidRDefault="00774E37" w:rsidP="00C32BE9">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lastRenderedPageBreak/>
        <w:t>الميزانية والنفقات الفعلية (موارد الموظفين وخلاف موارد الموظفين)</w:t>
      </w:r>
    </w:p>
    <w:p w:rsidR="00C32BE9" w:rsidRPr="00C32BE9" w:rsidRDefault="00C32BE9" w:rsidP="00C32BE9">
      <w:pPr>
        <w:keepNext/>
        <w:bidi/>
        <w:spacing w:after="120"/>
        <w:jc w:val="center"/>
        <w:rPr>
          <w:rFonts w:ascii="Arabic Typesetting" w:hAnsi="Arabic Typesetting" w:cs="Arabic Typesetting"/>
          <w:sz w:val="34"/>
          <w:szCs w:val="34"/>
          <w:rtl/>
          <w:lang w:bidi="ar-EG"/>
        </w:rPr>
      </w:pPr>
      <w:r w:rsidRPr="00C32BE9">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C32BE9" w:rsidRPr="00C32BE9" w:rsidTr="00C32BE9">
        <w:trPr>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C32BE9" w:rsidRPr="00C32BE9" w:rsidRDefault="00C32BE9" w:rsidP="00C32BE9">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32BE9" w:rsidRPr="00C32BE9" w:rsidRDefault="00C32BE9" w:rsidP="00C32BE9">
            <w:pPr>
              <w:keepNext/>
              <w:bidi/>
              <w:jc w:val="center"/>
              <w:rPr>
                <w:rFonts w:ascii="Arabic Typesetting" w:hAnsi="Arabic Typesetting" w:cs="Arabic Typesetting"/>
                <w:b/>
                <w:bCs/>
                <w:i/>
                <w:iCs/>
                <w:sz w:val="28"/>
                <w:szCs w:val="28"/>
              </w:rPr>
            </w:pPr>
            <w:r w:rsidRPr="00C32BE9">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32BE9" w:rsidRPr="00C32BE9" w:rsidRDefault="00C32BE9" w:rsidP="00C32BE9">
            <w:pPr>
              <w:keepNext/>
              <w:bidi/>
              <w:jc w:val="center"/>
              <w:rPr>
                <w:rFonts w:ascii="Arabic Typesetting" w:hAnsi="Arabic Typesetting" w:cs="Arabic Typesetting"/>
                <w:b/>
                <w:bCs/>
                <w:i/>
                <w:iCs/>
                <w:sz w:val="28"/>
                <w:szCs w:val="28"/>
              </w:rPr>
            </w:pPr>
            <w:r w:rsidRPr="00C32BE9">
              <w:rPr>
                <w:rFonts w:ascii="Arabic Typesetting" w:hAnsi="Arabic Typesetting" w:cs="Arabic Typesetting" w:hint="cs"/>
                <w:b/>
                <w:bCs/>
                <w:i/>
                <w:iCs/>
                <w:sz w:val="28"/>
                <w:szCs w:val="28"/>
                <w:rtl/>
              </w:rPr>
              <w:t>الميزانية النهائية</w:t>
            </w:r>
            <w:r w:rsidRPr="00C32BE9">
              <w:rPr>
                <w:rFonts w:ascii="Arabic Typesetting" w:hAnsi="Arabic Typesetting" w:cs="Arabic Typesetting"/>
                <w:b/>
                <w:bCs/>
                <w:i/>
                <w:iCs/>
                <w:sz w:val="28"/>
                <w:szCs w:val="28"/>
                <w:rtl/>
              </w:rPr>
              <w:t xml:space="preserve"> بعد التحويلات</w:t>
            </w:r>
            <w:r w:rsidRPr="00C32BE9">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32BE9" w:rsidRPr="00C32BE9" w:rsidRDefault="00C32BE9" w:rsidP="00C32BE9">
            <w:pPr>
              <w:keepNext/>
              <w:bidi/>
              <w:jc w:val="center"/>
              <w:rPr>
                <w:rFonts w:ascii="Arabic Typesetting" w:hAnsi="Arabic Typesetting" w:cs="Arabic Typesetting"/>
                <w:b/>
                <w:bCs/>
                <w:i/>
                <w:iCs/>
                <w:sz w:val="28"/>
                <w:szCs w:val="28"/>
              </w:rPr>
            </w:pPr>
            <w:r w:rsidRPr="00C32BE9">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32BE9" w:rsidRPr="00C32BE9" w:rsidRDefault="009E57D2" w:rsidP="00C32BE9">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C32BE9" w:rsidRPr="00C32BE9">
              <w:rPr>
                <w:rFonts w:ascii="Arabic Typesetting" w:hAnsi="Arabic Typesetting" w:cs="Arabic Typesetting"/>
                <w:b/>
                <w:bCs/>
                <w:i/>
                <w:iCs/>
                <w:sz w:val="28"/>
                <w:szCs w:val="28"/>
                <w:rtl/>
              </w:rPr>
              <w:t xml:space="preserve"> (%)</w:t>
            </w:r>
          </w:p>
        </w:tc>
      </w:tr>
      <w:tr w:rsidR="00C32BE9" w:rsidRPr="00C32BE9" w:rsidTr="00C32BE9">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32BE9" w:rsidRPr="00C32BE9" w:rsidRDefault="00C32BE9" w:rsidP="00C32BE9">
            <w:pPr>
              <w:keepNext/>
              <w:bidi/>
              <w:rPr>
                <w:rFonts w:ascii="Arabic Typesetting" w:hAnsi="Arabic Typesetting" w:cs="Arabic Typesetting"/>
                <w:sz w:val="28"/>
                <w:szCs w:val="28"/>
              </w:rPr>
            </w:pPr>
            <w:r w:rsidRPr="00C32BE9">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32BE9" w:rsidRPr="00C32BE9" w:rsidRDefault="00C32BE9" w:rsidP="00C32BE9">
            <w:pPr>
              <w:keepNext/>
              <w:jc w:val="center"/>
              <w:rPr>
                <w:rFonts w:ascii="Arabic Typesetting" w:hAnsi="Arabic Typesetting" w:cs="Arabic Typesetting"/>
                <w:sz w:val="28"/>
                <w:szCs w:val="28"/>
              </w:rPr>
            </w:pPr>
            <w:r>
              <w:rPr>
                <w:rFonts w:ascii="Arabic Typesetting" w:hAnsi="Arabic Typesetting" w:cs="Arabic Typesetting"/>
                <w:sz w:val="28"/>
                <w:szCs w:val="28"/>
              </w:rPr>
              <w:t>6</w:t>
            </w:r>
            <w:r w:rsidRPr="00C32BE9">
              <w:rPr>
                <w:rFonts w:ascii="Arabic Typesetting" w:hAnsi="Arabic Typesetting" w:cs="Arabic Typesetting"/>
                <w:sz w:val="28"/>
                <w:szCs w:val="28"/>
              </w:rPr>
              <w:t>,</w:t>
            </w:r>
            <w:r>
              <w:rPr>
                <w:rFonts w:ascii="Arabic Typesetting" w:hAnsi="Arabic Typesetting" w:cs="Arabic Typesetting"/>
                <w:sz w:val="28"/>
                <w:szCs w:val="28"/>
              </w:rPr>
              <w:t>405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32BE9" w:rsidRPr="00C32BE9" w:rsidRDefault="00C32BE9" w:rsidP="00C32BE9">
            <w:pPr>
              <w:keepNext/>
              <w:jc w:val="center"/>
              <w:rPr>
                <w:rFonts w:ascii="Arabic Typesetting" w:hAnsi="Arabic Typesetting" w:cs="Arabic Typesetting"/>
                <w:sz w:val="28"/>
                <w:szCs w:val="28"/>
              </w:rPr>
            </w:pPr>
            <w:r>
              <w:rPr>
                <w:rFonts w:ascii="Arabic Typesetting" w:hAnsi="Arabic Typesetting" w:cs="Arabic Typesetting"/>
                <w:sz w:val="28"/>
                <w:szCs w:val="28"/>
              </w:rPr>
              <w:t>6</w:t>
            </w:r>
            <w:r w:rsidRPr="00C32BE9">
              <w:rPr>
                <w:rFonts w:ascii="Arabic Typesetting" w:hAnsi="Arabic Typesetting" w:cs="Arabic Typesetting"/>
                <w:sz w:val="28"/>
                <w:szCs w:val="28"/>
              </w:rPr>
              <w:t>,</w:t>
            </w:r>
            <w:r>
              <w:rPr>
                <w:rFonts w:ascii="Arabic Typesetting" w:hAnsi="Arabic Typesetting" w:cs="Arabic Typesetting"/>
                <w:sz w:val="28"/>
                <w:szCs w:val="28"/>
              </w:rPr>
              <w:t>351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32BE9" w:rsidRPr="00C32BE9" w:rsidRDefault="00C32BE9" w:rsidP="00C32BE9">
            <w:pPr>
              <w:keepNext/>
              <w:jc w:val="center"/>
              <w:rPr>
                <w:rFonts w:ascii="Arabic Typesetting" w:hAnsi="Arabic Typesetting" w:cs="Arabic Typesetting"/>
                <w:sz w:val="28"/>
                <w:szCs w:val="28"/>
              </w:rPr>
            </w:pPr>
            <w:r>
              <w:rPr>
                <w:rFonts w:ascii="Arabic Typesetting" w:hAnsi="Arabic Typesetting" w:cs="Arabic Typesetting"/>
                <w:sz w:val="28"/>
                <w:szCs w:val="28"/>
              </w:rPr>
              <w:t>5</w:t>
            </w:r>
            <w:r w:rsidRPr="00C32BE9">
              <w:rPr>
                <w:rFonts w:ascii="Arabic Typesetting" w:hAnsi="Arabic Typesetting" w:cs="Arabic Typesetting"/>
                <w:sz w:val="28"/>
                <w:szCs w:val="28"/>
              </w:rPr>
              <w:t>,</w:t>
            </w:r>
            <w:r>
              <w:rPr>
                <w:rFonts w:ascii="Arabic Typesetting" w:hAnsi="Arabic Typesetting" w:cs="Arabic Typesetting"/>
                <w:sz w:val="28"/>
                <w:szCs w:val="28"/>
              </w:rPr>
              <w:t>908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32BE9" w:rsidRPr="00C32BE9" w:rsidRDefault="00C32BE9" w:rsidP="00C32BE9">
            <w:pPr>
              <w:keepNext/>
              <w:jc w:val="center"/>
              <w:rPr>
                <w:rFonts w:ascii="Arabic Typesetting" w:hAnsi="Arabic Typesetting" w:cs="Arabic Typesetting"/>
                <w:sz w:val="28"/>
                <w:szCs w:val="28"/>
              </w:rPr>
            </w:pPr>
            <w:r>
              <w:rPr>
                <w:rFonts w:ascii="Arabic Typesetting" w:hAnsi="Arabic Typesetting" w:cs="Arabic Typesetting"/>
                <w:sz w:val="28"/>
                <w:szCs w:val="28"/>
              </w:rPr>
              <w:t>93%</w:t>
            </w:r>
          </w:p>
        </w:tc>
      </w:tr>
      <w:tr w:rsidR="00C32BE9" w:rsidRPr="00C32BE9" w:rsidTr="00C32BE9">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32BE9" w:rsidRPr="00C32BE9" w:rsidRDefault="00C32BE9" w:rsidP="00C32BE9">
            <w:pPr>
              <w:bidi/>
              <w:rPr>
                <w:rFonts w:ascii="Arabic Typesetting" w:hAnsi="Arabic Typesetting" w:cs="Arabic Typesetting"/>
                <w:sz w:val="28"/>
                <w:szCs w:val="28"/>
              </w:rPr>
            </w:pPr>
            <w:r w:rsidRPr="00C32BE9">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C32BE9" w:rsidRPr="00C32BE9" w:rsidRDefault="00C32BE9" w:rsidP="00C32BE9">
            <w:pPr>
              <w:jc w:val="center"/>
              <w:rPr>
                <w:rFonts w:ascii="Arabic Typesetting" w:hAnsi="Arabic Typesetting" w:cs="Arabic Typesetting"/>
                <w:sz w:val="28"/>
                <w:szCs w:val="28"/>
              </w:rPr>
            </w:pPr>
            <w:r>
              <w:rPr>
                <w:rFonts w:ascii="Arabic Typesetting" w:hAnsi="Arabic Typesetting" w:cs="Arabic Typesetting"/>
                <w:sz w:val="28"/>
                <w:szCs w:val="28"/>
              </w:rPr>
              <w:t>2</w:t>
            </w:r>
            <w:r w:rsidRPr="00C32BE9">
              <w:rPr>
                <w:rFonts w:ascii="Arabic Typesetting" w:hAnsi="Arabic Typesetting" w:cs="Arabic Typesetting"/>
                <w:sz w:val="28"/>
                <w:szCs w:val="28"/>
              </w:rPr>
              <w:t>,</w:t>
            </w:r>
            <w:r>
              <w:rPr>
                <w:rFonts w:ascii="Arabic Typesetting" w:hAnsi="Arabic Typesetting" w:cs="Arabic Typesetting"/>
                <w:sz w:val="28"/>
                <w:szCs w:val="28"/>
              </w:rPr>
              <w:t>039</w:t>
            </w:r>
          </w:p>
        </w:tc>
        <w:tc>
          <w:tcPr>
            <w:tcW w:w="970" w:type="pct"/>
            <w:tcBorders>
              <w:top w:val="nil"/>
              <w:left w:val="single" w:sz="4" w:space="0" w:color="auto"/>
              <w:bottom w:val="single" w:sz="4" w:space="0" w:color="auto"/>
              <w:right w:val="single" w:sz="4" w:space="0" w:color="auto"/>
            </w:tcBorders>
            <w:shd w:val="clear" w:color="auto" w:fill="auto"/>
            <w:vAlign w:val="center"/>
          </w:tcPr>
          <w:p w:rsidR="00C32BE9" w:rsidRPr="00C32BE9" w:rsidRDefault="00C32BE9" w:rsidP="00C32BE9">
            <w:pPr>
              <w:jc w:val="center"/>
              <w:rPr>
                <w:rFonts w:ascii="Arabic Typesetting" w:hAnsi="Arabic Typesetting" w:cs="Arabic Typesetting"/>
                <w:sz w:val="28"/>
                <w:szCs w:val="28"/>
              </w:rPr>
            </w:pPr>
            <w:r>
              <w:rPr>
                <w:rFonts w:ascii="Arabic Typesetting" w:hAnsi="Arabic Typesetting" w:cs="Arabic Typesetting"/>
                <w:sz w:val="28"/>
                <w:szCs w:val="28"/>
              </w:rPr>
              <w:t>1</w:t>
            </w:r>
            <w:r w:rsidRPr="00C32BE9">
              <w:rPr>
                <w:rFonts w:ascii="Arabic Typesetting" w:hAnsi="Arabic Typesetting" w:cs="Arabic Typesetting"/>
                <w:sz w:val="28"/>
                <w:szCs w:val="28"/>
              </w:rPr>
              <w:t>,</w:t>
            </w:r>
            <w:r>
              <w:rPr>
                <w:rFonts w:ascii="Arabic Typesetting" w:hAnsi="Arabic Typesetting" w:cs="Arabic Typesetting"/>
                <w:sz w:val="28"/>
                <w:szCs w:val="28"/>
              </w:rPr>
              <w:t>987</w:t>
            </w:r>
          </w:p>
        </w:tc>
        <w:tc>
          <w:tcPr>
            <w:tcW w:w="970" w:type="pct"/>
            <w:tcBorders>
              <w:top w:val="nil"/>
              <w:left w:val="single" w:sz="4" w:space="0" w:color="auto"/>
              <w:bottom w:val="single" w:sz="4" w:space="0" w:color="auto"/>
              <w:right w:val="single" w:sz="4" w:space="0" w:color="auto"/>
            </w:tcBorders>
            <w:shd w:val="clear" w:color="auto" w:fill="auto"/>
            <w:vAlign w:val="center"/>
          </w:tcPr>
          <w:p w:rsidR="00C32BE9" w:rsidRPr="00C32BE9" w:rsidRDefault="00C32BE9" w:rsidP="00C32BE9">
            <w:pPr>
              <w:jc w:val="center"/>
              <w:rPr>
                <w:rFonts w:ascii="Arabic Typesetting" w:hAnsi="Arabic Typesetting" w:cs="Arabic Typesetting"/>
                <w:sz w:val="28"/>
                <w:szCs w:val="28"/>
              </w:rPr>
            </w:pPr>
            <w:r>
              <w:rPr>
                <w:rFonts w:ascii="Arabic Typesetting" w:hAnsi="Arabic Typesetting" w:cs="Arabic Typesetting"/>
                <w:sz w:val="28"/>
                <w:szCs w:val="28"/>
              </w:rPr>
              <w:t>1</w:t>
            </w:r>
            <w:r w:rsidRPr="00C32BE9">
              <w:rPr>
                <w:rFonts w:ascii="Arabic Typesetting" w:hAnsi="Arabic Typesetting" w:cs="Arabic Typesetting"/>
                <w:sz w:val="28"/>
                <w:szCs w:val="28"/>
              </w:rPr>
              <w:t>,</w:t>
            </w:r>
            <w:r>
              <w:rPr>
                <w:rFonts w:ascii="Arabic Typesetting" w:hAnsi="Arabic Typesetting" w:cs="Arabic Typesetting"/>
                <w:sz w:val="28"/>
                <w:szCs w:val="28"/>
              </w:rPr>
              <w:t>736</w:t>
            </w:r>
          </w:p>
        </w:tc>
        <w:tc>
          <w:tcPr>
            <w:tcW w:w="970" w:type="pct"/>
            <w:tcBorders>
              <w:top w:val="nil"/>
              <w:left w:val="single" w:sz="4" w:space="0" w:color="auto"/>
              <w:bottom w:val="single" w:sz="4" w:space="0" w:color="auto"/>
              <w:right w:val="single" w:sz="4" w:space="0" w:color="auto"/>
            </w:tcBorders>
            <w:shd w:val="clear" w:color="auto" w:fill="auto"/>
            <w:vAlign w:val="center"/>
          </w:tcPr>
          <w:p w:rsidR="00C32BE9" w:rsidRPr="00C32BE9" w:rsidRDefault="00C32BE9" w:rsidP="00C32BE9">
            <w:pPr>
              <w:jc w:val="center"/>
              <w:rPr>
                <w:rFonts w:ascii="Arabic Typesetting" w:hAnsi="Arabic Typesetting" w:cs="Arabic Typesetting"/>
                <w:sz w:val="28"/>
                <w:szCs w:val="28"/>
              </w:rPr>
            </w:pPr>
            <w:r>
              <w:rPr>
                <w:rFonts w:ascii="Arabic Typesetting" w:hAnsi="Arabic Typesetting" w:cs="Arabic Typesetting"/>
                <w:sz w:val="28"/>
                <w:szCs w:val="28"/>
              </w:rPr>
              <w:t>87%</w:t>
            </w:r>
          </w:p>
        </w:tc>
      </w:tr>
      <w:tr w:rsidR="00C32BE9" w:rsidRPr="00C32BE9" w:rsidTr="00C32BE9">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32BE9" w:rsidRPr="00C32BE9" w:rsidRDefault="00C32BE9" w:rsidP="00C32BE9">
            <w:pPr>
              <w:bidi/>
              <w:jc w:val="right"/>
              <w:rPr>
                <w:rFonts w:ascii="Arabic Typesetting" w:hAnsi="Arabic Typesetting" w:cs="Arabic Typesetting"/>
                <w:b/>
                <w:bCs/>
                <w:sz w:val="28"/>
                <w:szCs w:val="28"/>
              </w:rPr>
            </w:pPr>
            <w:r w:rsidRPr="00C32BE9">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C32BE9" w:rsidRPr="00C32BE9" w:rsidRDefault="00C32BE9" w:rsidP="00C32BE9">
            <w:pPr>
              <w:jc w:val="center"/>
              <w:rPr>
                <w:rFonts w:ascii="Arabic Typesetting" w:hAnsi="Arabic Typesetting" w:cs="Arabic Typesetting"/>
                <w:b/>
                <w:bCs/>
                <w:sz w:val="28"/>
                <w:szCs w:val="28"/>
              </w:rPr>
            </w:pPr>
            <w:r w:rsidRPr="00C32BE9">
              <w:rPr>
                <w:rFonts w:ascii="Arabic Typesetting" w:hAnsi="Arabic Typesetting" w:cs="Arabic Typesetting"/>
                <w:b/>
                <w:bCs/>
                <w:sz w:val="28"/>
                <w:szCs w:val="28"/>
              </w:rPr>
              <w:t>8,443</w:t>
            </w:r>
          </w:p>
        </w:tc>
        <w:tc>
          <w:tcPr>
            <w:tcW w:w="970" w:type="pct"/>
            <w:tcBorders>
              <w:top w:val="nil"/>
              <w:left w:val="single" w:sz="4" w:space="0" w:color="auto"/>
              <w:bottom w:val="single" w:sz="4" w:space="0" w:color="auto"/>
              <w:right w:val="single" w:sz="4" w:space="0" w:color="auto"/>
            </w:tcBorders>
            <w:shd w:val="clear" w:color="auto" w:fill="auto"/>
            <w:vAlign w:val="center"/>
          </w:tcPr>
          <w:p w:rsidR="00C32BE9" w:rsidRPr="00C32BE9" w:rsidRDefault="00C32BE9" w:rsidP="00C32BE9">
            <w:pPr>
              <w:jc w:val="center"/>
              <w:rPr>
                <w:rFonts w:ascii="Arabic Typesetting" w:hAnsi="Arabic Typesetting" w:cs="Arabic Typesetting"/>
                <w:b/>
                <w:bCs/>
                <w:sz w:val="28"/>
                <w:szCs w:val="28"/>
              </w:rPr>
            </w:pPr>
            <w:r w:rsidRPr="00C32BE9">
              <w:rPr>
                <w:rFonts w:ascii="Arabic Typesetting" w:hAnsi="Arabic Typesetting" w:cs="Arabic Typesetting"/>
                <w:b/>
                <w:bCs/>
                <w:sz w:val="28"/>
                <w:szCs w:val="28"/>
              </w:rPr>
              <w:t>8,338</w:t>
            </w:r>
          </w:p>
        </w:tc>
        <w:tc>
          <w:tcPr>
            <w:tcW w:w="970" w:type="pct"/>
            <w:tcBorders>
              <w:top w:val="nil"/>
              <w:left w:val="single" w:sz="4" w:space="0" w:color="auto"/>
              <w:bottom w:val="single" w:sz="4" w:space="0" w:color="auto"/>
              <w:right w:val="single" w:sz="4" w:space="0" w:color="auto"/>
            </w:tcBorders>
            <w:shd w:val="clear" w:color="auto" w:fill="auto"/>
            <w:vAlign w:val="center"/>
          </w:tcPr>
          <w:p w:rsidR="00C32BE9" w:rsidRPr="00C32BE9" w:rsidRDefault="00C32BE9" w:rsidP="00C32BE9">
            <w:pPr>
              <w:jc w:val="center"/>
              <w:rPr>
                <w:rFonts w:ascii="Arabic Typesetting" w:hAnsi="Arabic Typesetting" w:cs="Arabic Typesetting"/>
                <w:b/>
                <w:bCs/>
                <w:sz w:val="28"/>
                <w:szCs w:val="28"/>
              </w:rPr>
            </w:pPr>
            <w:r w:rsidRPr="00C32BE9">
              <w:rPr>
                <w:rFonts w:ascii="Arabic Typesetting" w:hAnsi="Arabic Typesetting" w:cs="Arabic Typesetting"/>
                <w:b/>
                <w:bCs/>
                <w:sz w:val="28"/>
                <w:szCs w:val="28"/>
              </w:rPr>
              <w:t>7,644</w:t>
            </w:r>
          </w:p>
        </w:tc>
        <w:tc>
          <w:tcPr>
            <w:tcW w:w="970" w:type="pct"/>
            <w:tcBorders>
              <w:top w:val="nil"/>
              <w:left w:val="single" w:sz="4" w:space="0" w:color="auto"/>
              <w:bottom w:val="single" w:sz="4" w:space="0" w:color="auto"/>
              <w:right w:val="single" w:sz="4" w:space="0" w:color="auto"/>
            </w:tcBorders>
            <w:shd w:val="clear" w:color="auto" w:fill="auto"/>
            <w:vAlign w:val="center"/>
          </w:tcPr>
          <w:p w:rsidR="00C32BE9" w:rsidRPr="00C32BE9" w:rsidRDefault="00C32BE9" w:rsidP="00C32BE9">
            <w:pPr>
              <w:jc w:val="center"/>
              <w:rPr>
                <w:rFonts w:ascii="Arabic Typesetting" w:hAnsi="Arabic Typesetting" w:cs="Arabic Typesetting"/>
                <w:b/>
                <w:bCs/>
                <w:sz w:val="28"/>
                <w:szCs w:val="28"/>
              </w:rPr>
            </w:pPr>
            <w:r w:rsidRPr="00C32BE9">
              <w:rPr>
                <w:rFonts w:ascii="Arabic Typesetting" w:hAnsi="Arabic Typesetting" w:cs="Arabic Typesetting"/>
                <w:b/>
                <w:bCs/>
                <w:sz w:val="28"/>
                <w:szCs w:val="28"/>
              </w:rPr>
              <w:t>92%</w:t>
            </w:r>
          </w:p>
        </w:tc>
      </w:tr>
    </w:tbl>
    <w:p w:rsidR="00C32BE9" w:rsidRPr="00C32BE9" w:rsidRDefault="00C32BE9" w:rsidP="00C32BE9">
      <w:pPr>
        <w:keepNext/>
        <w:bidi/>
        <w:spacing w:before="240" w:after="120" w:line="340" w:lineRule="exact"/>
        <w:rPr>
          <w:rFonts w:ascii="Arabic Typesetting" w:hAnsi="Arabic Typesetting" w:cs="Arabic Typesetting"/>
          <w:sz w:val="34"/>
          <w:szCs w:val="34"/>
          <w:lang w:bidi="ar-EG"/>
        </w:rPr>
      </w:pPr>
      <w:r w:rsidRPr="00C32BE9">
        <w:rPr>
          <w:rFonts w:ascii="Arabic Typesetting" w:hAnsi="Arabic Typesetting" w:cs="Arabic Typesetting" w:hint="cs"/>
          <w:sz w:val="34"/>
          <w:szCs w:val="34"/>
          <w:rtl/>
          <w:lang w:bidi="ar-EG"/>
        </w:rPr>
        <w:t>ألف</w:t>
      </w:r>
      <w:r w:rsidRPr="00C32BE9">
        <w:rPr>
          <w:rFonts w:ascii="Arabic Typesetting" w:hAnsi="Arabic Typesetting" w:cs="Arabic Typesetting"/>
          <w:sz w:val="34"/>
          <w:szCs w:val="34"/>
          <w:lang w:bidi="ar-EG"/>
        </w:rPr>
        <w:t>.</w:t>
      </w:r>
      <w:r w:rsidRPr="00C32BE9">
        <w:rPr>
          <w:rFonts w:ascii="Arabic Typesetting" w:hAnsi="Arabic Typesetting" w:cs="Arabic Typesetting" w:hint="cs"/>
          <w:sz w:val="34"/>
          <w:szCs w:val="34"/>
          <w:rtl/>
          <w:lang w:bidi="ar-EG"/>
        </w:rPr>
        <w:tab/>
      </w:r>
      <w:r w:rsidRPr="00C32BE9">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C32BE9" w:rsidRPr="002A614F" w:rsidRDefault="00C32BE9" w:rsidP="009A3712">
      <w:pPr>
        <w:numPr>
          <w:ilvl w:val="0"/>
          <w:numId w:val="35"/>
        </w:numPr>
        <w:bidi/>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rPr>
        <w:t xml:space="preserve">استندت التسويات في نتائج الميزانية النهائية بعد التحويلات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إلى المنهجية الجديدة والأدق </w:t>
      </w:r>
      <w:r w:rsidRPr="004548B8">
        <w:rPr>
          <w:rFonts w:ascii="Arabic Typesetting" w:hAnsi="Arabic Typesetting" w:cs="Arabic Typesetting" w:hint="cs"/>
          <w:sz w:val="34"/>
          <w:szCs w:val="34"/>
          <w:rtl/>
          <w:lang w:val="fr-CH"/>
        </w:rPr>
        <w:t>المتبعة في تخصيص موارد الموظفين</w:t>
      </w:r>
      <w:r w:rsidR="002A614F">
        <w:rPr>
          <w:rFonts w:ascii="Arabic Typesetting" w:hAnsi="Arabic Typesetting" w:cs="Arabic Typesetting" w:hint="cs"/>
          <w:sz w:val="34"/>
          <w:szCs w:val="34"/>
          <w:rtl/>
          <w:lang w:val="fr-CH"/>
        </w:rPr>
        <w:t xml:space="preserve"> </w:t>
      </w:r>
      <w:r w:rsidR="00322324">
        <w:rPr>
          <w:rFonts w:ascii="Arabic Typesetting" w:hAnsi="Arabic Typesetting" w:cs="Arabic Typesetting"/>
          <w:sz w:val="34"/>
          <w:szCs w:val="34"/>
          <w:rtl/>
          <w:lang w:val="fr-CH"/>
        </w:rPr>
        <w:t>والناجمة عن التحسينات المدخلة على نظام التخطيط لإدارة الأداء المؤسسي أثناء التخطيط للعمل السنوي لعامي</w:t>
      </w:r>
      <w:r w:rsidR="002A614F">
        <w:rPr>
          <w:rFonts w:ascii="Arabic Typesetting" w:hAnsi="Arabic Typesetting" w:cs="Arabic Typesetting" w:hint="eastAsia"/>
          <w:sz w:val="34"/>
          <w:szCs w:val="34"/>
          <w:rtl/>
          <w:lang w:val="fr-CH"/>
        </w:rPr>
        <w:t> </w:t>
      </w:r>
      <w:r w:rsidR="002A614F">
        <w:rPr>
          <w:rFonts w:ascii="Arabic Typesetting" w:hAnsi="Arabic Typesetting" w:cs="Arabic Typesetting" w:hint="cs"/>
          <w:sz w:val="34"/>
          <w:szCs w:val="34"/>
          <w:rtl/>
          <w:lang w:val="fr-CH"/>
        </w:rPr>
        <w:t>2014 و2015.</w:t>
      </w:r>
    </w:p>
    <w:p w:rsidR="002A614F" w:rsidRPr="00C32BE9" w:rsidRDefault="002A614F" w:rsidP="009A3712">
      <w:pPr>
        <w:numPr>
          <w:ilvl w:val="0"/>
          <w:numId w:val="35"/>
        </w:numPr>
        <w:bidi/>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val="fr-CH"/>
        </w:rPr>
        <w:t>ويعزى أساساً الانخفاض الصاف</w:t>
      </w:r>
      <w:r w:rsidR="00F01B80">
        <w:rPr>
          <w:rFonts w:ascii="Arabic Typesetting" w:hAnsi="Arabic Typesetting" w:cs="Arabic Typesetting" w:hint="cs"/>
          <w:sz w:val="34"/>
          <w:szCs w:val="34"/>
          <w:rtl/>
          <w:lang w:val="fr-CH"/>
        </w:rPr>
        <w:t>ي</w:t>
      </w:r>
      <w:r>
        <w:rPr>
          <w:rFonts w:ascii="Arabic Typesetting" w:hAnsi="Arabic Typesetting" w:cs="Arabic Typesetting" w:hint="cs"/>
          <w:sz w:val="34"/>
          <w:szCs w:val="34"/>
          <w:rtl/>
          <w:lang w:val="fr-CH"/>
        </w:rPr>
        <w:t xml:space="preserve"> في موارد الموظفين في الميزانية النهائية بعد التحويلات إلى النقل المؤقت لموظف مؤقت إلى البرنامج 31 (نظام لاهاي) للمساعدة في عمليات الانضمام الجديدة.</w:t>
      </w:r>
    </w:p>
    <w:p w:rsidR="00C32BE9" w:rsidRPr="00C32BE9" w:rsidRDefault="00C32BE9" w:rsidP="00C32BE9">
      <w:pPr>
        <w:keepNext/>
        <w:bidi/>
        <w:spacing w:after="120" w:line="340" w:lineRule="exact"/>
        <w:rPr>
          <w:rFonts w:ascii="Arabic Typesetting" w:hAnsi="Arabic Typesetting" w:cs="Arabic Typesetting"/>
          <w:sz w:val="34"/>
          <w:szCs w:val="34"/>
          <w:rtl/>
          <w:lang w:bidi="ar-EG"/>
        </w:rPr>
      </w:pPr>
      <w:r w:rsidRPr="00C32BE9">
        <w:rPr>
          <w:rFonts w:ascii="Arabic Typesetting" w:hAnsi="Arabic Typesetting" w:cs="Arabic Typesetting" w:hint="cs"/>
          <w:sz w:val="34"/>
          <w:szCs w:val="34"/>
          <w:rtl/>
          <w:lang w:bidi="ar-EG"/>
        </w:rPr>
        <w:t>باء</w:t>
      </w:r>
      <w:r w:rsidRPr="00C32BE9">
        <w:rPr>
          <w:rFonts w:ascii="Arabic Typesetting" w:hAnsi="Arabic Typesetting" w:cs="Arabic Typesetting"/>
          <w:sz w:val="34"/>
          <w:szCs w:val="34"/>
          <w:lang w:bidi="ar-EG"/>
        </w:rPr>
        <w:t>.</w:t>
      </w:r>
      <w:r w:rsidRPr="00C32BE9">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086C3F" w:rsidRPr="002A614F" w:rsidRDefault="002A614F" w:rsidP="009A3712">
      <w:pPr>
        <w:numPr>
          <w:ilvl w:val="0"/>
          <w:numId w:val="35"/>
        </w:numPr>
        <w:bidi/>
        <w:spacing w:after="120" w:line="340" w:lineRule="exact"/>
        <w:ind w:left="0" w:firstLine="0"/>
        <w:rPr>
          <w:rFonts w:ascii="Arabic Typesetting" w:hAnsi="Arabic Typesetting" w:cs="Arabic Typesetting"/>
          <w:sz w:val="34"/>
          <w:szCs w:val="34"/>
          <w:rtl/>
          <w:lang w:val="fr-CH"/>
        </w:rPr>
      </w:pPr>
      <w:r w:rsidRPr="002A614F">
        <w:rPr>
          <w:rFonts w:ascii="Arabic Typesetting" w:hAnsi="Arabic Typesetting" w:cs="Arabic Typesetting" w:hint="cs"/>
          <w:sz w:val="34"/>
          <w:szCs w:val="34"/>
          <w:rtl/>
          <w:lang w:bidi="ar-EG"/>
        </w:rPr>
        <w:t xml:space="preserve">لم </w:t>
      </w:r>
      <w:r w:rsidRPr="00B011A1">
        <w:rPr>
          <w:rFonts w:ascii="Arabic Typesetting" w:hAnsi="Arabic Typesetting" w:cs="Arabic Typesetting" w:hint="cs"/>
          <w:sz w:val="34"/>
          <w:szCs w:val="34"/>
          <w:rtl/>
          <w:lang w:val="fr-CH"/>
        </w:rPr>
        <w:t>يتجاوز</w:t>
      </w:r>
      <w:r w:rsidRPr="002A614F">
        <w:rPr>
          <w:rFonts w:ascii="Arabic Typesetting" w:hAnsi="Arabic Typesetting" w:cs="Arabic Typesetting" w:hint="cs"/>
          <w:sz w:val="34"/>
          <w:szCs w:val="34"/>
          <w:rtl/>
          <w:lang w:bidi="ar-EG"/>
        </w:rPr>
        <w:t xml:space="preserve"> </w:t>
      </w:r>
      <w:r w:rsidR="009B25F8">
        <w:rPr>
          <w:rFonts w:ascii="Arabic Typesetting" w:hAnsi="Arabic Typesetting" w:cs="Arabic Typesetting" w:hint="cs"/>
          <w:sz w:val="34"/>
          <w:szCs w:val="34"/>
          <w:rtl/>
          <w:lang w:bidi="ar-EG"/>
        </w:rPr>
        <w:t>استخدام</w:t>
      </w:r>
      <w:r w:rsidR="009B25F8" w:rsidRPr="002A614F">
        <w:rPr>
          <w:rFonts w:ascii="Arabic Typesetting" w:hAnsi="Arabic Typesetting" w:cs="Arabic Typesetting" w:hint="cs"/>
          <w:sz w:val="34"/>
          <w:szCs w:val="34"/>
          <w:rtl/>
          <w:lang w:bidi="ar-EG"/>
        </w:rPr>
        <w:t xml:space="preserve"> </w:t>
      </w:r>
      <w:r w:rsidRPr="002A614F">
        <w:rPr>
          <w:rFonts w:ascii="Arabic Typesetting" w:hAnsi="Arabic Typesetting" w:cs="Arabic Typesetting" w:hint="cs"/>
          <w:sz w:val="34"/>
          <w:szCs w:val="34"/>
          <w:rtl/>
          <w:lang w:val="fr-CH"/>
        </w:rPr>
        <w:t>الميزانية</w:t>
      </w:r>
      <w:r w:rsidRPr="002A614F">
        <w:rPr>
          <w:rFonts w:ascii="Arabic Typesetting" w:hAnsi="Arabic Typesetting" w:cs="Arabic Typesetting" w:hint="cs"/>
          <w:sz w:val="34"/>
          <w:szCs w:val="34"/>
          <w:rtl/>
          <w:lang w:bidi="ar-EG"/>
        </w:rPr>
        <w:t xml:space="preserve"> النسبة المتوقعة للثنائي</w:t>
      </w:r>
      <w:r w:rsidR="00F01B80">
        <w:rPr>
          <w:rFonts w:ascii="Arabic Typesetting" w:hAnsi="Arabic Typesetting" w:cs="Arabic Typesetting" w:hint="cs"/>
          <w:sz w:val="34"/>
          <w:szCs w:val="34"/>
          <w:rtl/>
          <w:lang w:bidi="ar-EG"/>
        </w:rPr>
        <w:t xml:space="preserve">ة. ويعزى أساساً تدني </w:t>
      </w:r>
      <w:r w:rsidR="009B25F8">
        <w:rPr>
          <w:rFonts w:ascii="Arabic Typesetting" w:hAnsi="Arabic Typesetting" w:cs="Arabic Typesetting" w:hint="cs"/>
          <w:sz w:val="34"/>
          <w:szCs w:val="34"/>
          <w:rtl/>
          <w:lang w:bidi="ar-EG"/>
        </w:rPr>
        <w:t>استخدام مخصصات</w:t>
      </w:r>
      <w:r w:rsidR="00F01B80">
        <w:rPr>
          <w:rFonts w:ascii="Arabic Typesetting" w:hAnsi="Arabic Typesetting" w:cs="Arabic Typesetting" w:hint="cs"/>
          <w:sz w:val="34"/>
          <w:szCs w:val="34"/>
          <w:rtl/>
          <w:lang w:bidi="ar-EG"/>
        </w:rPr>
        <w:t xml:space="preserve"> </w:t>
      </w:r>
      <w:r w:rsidRPr="002A614F">
        <w:rPr>
          <w:rFonts w:ascii="Arabic Typesetting" w:hAnsi="Arabic Typesetting" w:cs="Arabic Typesetting" w:hint="cs"/>
          <w:sz w:val="34"/>
          <w:szCs w:val="34"/>
          <w:rtl/>
          <w:lang w:bidi="ar-EG"/>
        </w:rPr>
        <w:t xml:space="preserve">خلاف موارد الموظفين إلى تنفيذ تدابير فعالة من حيث التكلفة فيما يخص بعثات الموظفين </w:t>
      </w:r>
      <w:r w:rsidRPr="002A614F">
        <w:rPr>
          <w:rFonts w:ascii="Arabic Typesetting" w:hAnsi="Arabic Typesetting" w:cs="Arabic Typesetting" w:hint="cs"/>
          <w:sz w:val="34"/>
          <w:szCs w:val="34"/>
          <w:rtl/>
          <w:lang w:val="fr-CH"/>
        </w:rPr>
        <w:t>وتنظيم الفعاليات.</w:t>
      </w:r>
    </w:p>
    <w:p w:rsidR="00B31868" w:rsidRPr="00365D19" w:rsidRDefault="00B31868" w:rsidP="00086C3F">
      <w:pPr>
        <w:pStyle w:val="Heading3AR"/>
        <w:rPr>
          <w:rtl/>
        </w:rPr>
      </w:pPr>
      <w:bookmarkStart w:id="63" w:name="_Toc450635412"/>
      <w:bookmarkStart w:id="64" w:name="_Toc455393380"/>
      <w:r w:rsidRPr="00365D19">
        <w:rPr>
          <w:rtl/>
        </w:rPr>
        <w:lastRenderedPageBreak/>
        <w:t>البرنامج 1</w:t>
      </w:r>
      <w:r w:rsidRPr="00365D19">
        <w:rPr>
          <w:rFonts w:hint="cs"/>
          <w:rtl/>
        </w:rPr>
        <w:t>1</w:t>
      </w:r>
      <w:r w:rsidR="00365D19">
        <w:rPr>
          <w:rFonts w:hint="cs"/>
          <w:rtl/>
        </w:rPr>
        <w:t>:</w:t>
      </w:r>
      <w:r w:rsidRPr="00365D19">
        <w:rPr>
          <w:rtl/>
        </w:rPr>
        <w:tab/>
      </w:r>
      <w:r w:rsidRPr="00365D19">
        <w:rPr>
          <w:rFonts w:hint="cs"/>
          <w:rtl/>
        </w:rPr>
        <w:t>أكاديمية الويبو</w:t>
      </w:r>
      <w:bookmarkEnd w:id="63"/>
      <w:bookmarkEnd w:id="64"/>
    </w:p>
    <w:p w:rsidR="00B31868" w:rsidRDefault="00086C3F" w:rsidP="00086C3F">
      <w:pPr>
        <w:keepNext/>
        <w:bidi/>
        <w:spacing w:after="120" w:line="340" w:lineRule="exact"/>
        <w:ind w:left="1984" w:hanging="1984"/>
        <w:rPr>
          <w:rFonts w:ascii="Arabic Typesetting" w:hAnsi="Arabic Typesetting" w:cs="Arabic Typesetting"/>
          <w:b/>
          <w:bCs/>
          <w:sz w:val="36"/>
          <w:szCs w:val="36"/>
          <w:rtl/>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rtl/>
          <w:lang w:val="fr-CH"/>
        </w:rPr>
        <w:tab/>
      </w:r>
      <w:r w:rsidR="00B31868" w:rsidRPr="00086C3F">
        <w:rPr>
          <w:rFonts w:ascii="Arabic Typesetting" w:hAnsi="Arabic Typesetting" w:cs="Arabic Typesetting" w:hint="cs"/>
          <w:b/>
          <w:bCs/>
          <w:sz w:val="36"/>
          <w:szCs w:val="36"/>
          <w:rtl/>
          <w:lang w:val="fr-CH"/>
        </w:rPr>
        <w:t xml:space="preserve">السيد ماريو </w:t>
      </w:r>
      <w:proofErr w:type="spellStart"/>
      <w:r w:rsidR="00B31868" w:rsidRPr="00086C3F">
        <w:rPr>
          <w:rFonts w:ascii="Arabic Typesetting" w:hAnsi="Arabic Typesetting" w:cs="Arabic Typesetting" w:hint="cs"/>
          <w:b/>
          <w:bCs/>
          <w:sz w:val="36"/>
          <w:szCs w:val="36"/>
          <w:rtl/>
          <w:lang w:val="fr-CH"/>
        </w:rPr>
        <w:t>ماتوس</w:t>
      </w:r>
      <w:proofErr w:type="spellEnd"/>
    </w:p>
    <w:p w:rsidR="00086C3F" w:rsidRDefault="00086C3F" w:rsidP="00086C3F">
      <w:pPr>
        <w:keepNext/>
        <w:bidi/>
        <w:spacing w:before="120" w:after="12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8B0D7B" w:rsidRPr="008B0D7B" w:rsidRDefault="008B0D7B" w:rsidP="009A3712">
      <w:pPr>
        <w:numPr>
          <w:ilvl w:val="0"/>
          <w:numId w:val="43"/>
        </w:numPr>
        <w:bidi/>
        <w:spacing w:after="120" w:line="340" w:lineRule="exact"/>
        <w:ind w:left="0" w:firstLine="0"/>
        <w:rPr>
          <w:rFonts w:ascii="Arabic Typesetting" w:hAnsi="Arabic Typesetting" w:cs="Arabic Typesetting"/>
          <w:sz w:val="34"/>
          <w:szCs w:val="34"/>
          <w:lang w:val="fr-CH"/>
        </w:rPr>
      </w:pPr>
      <w:r w:rsidRPr="008B0D7B">
        <w:rPr>
          <w:rFonts w:ascii="Arabic Typesetting" w:hAnsi="Arabic Typesetting" w:cs="Arabic Typesetting" w:hint="cs"/>
          <w:sz w:val="34"/>
          <w:szCs w:val="34"/>
          <w:rtl/>
          <w:lang w:val="fr-CH"/>
        </w:rPr>
        <w:t xml:space="preserve">استهلت </w:t>
      </w:r>
      <w:r w:rsidRPr="008B0D7B">
        <w:rPr>
          <w:rFonts w:ascii="Arabic Typesetting" w:hAnsi="Arabic Typesetting" w:cs="Arabic Typesetting"/>
          <w:sz w:val="34"/>
          <w:szCs w:val="34"/>
          <w:rtl/>
          <w:lang w:val="fr-CH"/>
        </w:rPr>
        <w:t>أكاديمية الويبو</w:t>
      </w:r>
      <w:r w:rsidRPr="008B0D7B">
        <w:rPr>
          <w:rFonts w:ascii="Arabic Typesetting" w:hAnsi="Arabic Typesetting" w:cs="Arabic Typesetting" w:hint="cs"/>
          <w:sz w:val="34"/>
          <w:szCs w:val="34"/>
          <w:rtl/>
          <w:lang w:val="fr-CH"/>
        </w:rPr>
        <w:t xml:space="preserve">، في </w:t>
      </w:r>
      <w:r w:rsidR="00146AD9">
        <w:rPr>
          <w:rFonts w:ascii="Arabic Typesetting" w:hAnsi="Arabic Typesetting" w:cs="Arabic Typesetting" w:hint="cs"/>
          <w:sz w:val="34"/>
          <w:szCs w:val="34"/>
          <w:rtl/>
          <w:lang w:val="fr-CH"/>
        </w:rPr>
        <w:t>الثنائية 2014/15</w:t>
      </w:r>
      <w:r w:rsidRPr="008B0D7B">
        <w:rPr>
          <w:rFonts w:ascii="Arabic Typesetting" w:hAnsi="Arabic Typesetting" w:cs="Arabic Typesetting" w:hint="cs"/>
          <w:sz w:val="34"/>
          <w:szCs w:val="34"/>
          <w:rtl/>
          <w:lang w:val="fr-CH"/>
        </w:rPr>
        <w:t>،</w:t>
      </w:r>
      <w:r w:rsidRPr="008B0D7B">
        <w:rPr>
          <w:rFonts w:ascii="Arabic Typesetting" w:hAnsi="Arabic Typesetting" w:cs="Arabic Typesetting"/>
          <w:sz w:val="34"/>
          <w:szCs w:val="34"/>
          <w:rtl/>
          <w:lang w:val="fr-CH"/>
        </w:rPr>
        <w:t xml:space="preserve"> عملية إصلاح</w:t>
      </w:r>
      <w:r w:rsidRPr="008B0D7B">
        <w:rPr>
          <w:rFonts w:ascii="Arabic Typesetting" w:hAnsi="Arabic Typesetting" w:cs="Arabic Typesetting" w:hint="cs"/>
          <w:sz w:val="34"/>
          <w:szCs w:val="34"/>
          <w:rtl/>
          <w:lang w:val="fr-CH"/>
        </w:rPr>
        <w:t xml:space="preserve">ية لتصبح الجهة الرئيسية المسؤولة </w:t>
      </w:r>
      <w:r w:rsidR="00146AD9">
        <w:rPr>
          <w:rFonts w:ascii="Arabic Typesetting" w:hAnsi="Arabic Typesetting" w:cs="Arabic Typesetting" w:hint="cs"/>
          <w:sz w:val="34"/>
          <w:szCs w:val="34"/>
          <w:rtl/>
          <w:lang w:val="fr-CH"/>
        </w:rPr>
        <w:t xml:space="preserve">في الويبو </w:t>
      </w:r>
      <w:r w:rsidRPr="008B0D7B">
        <w:rPr>
          <w:rFonts w:ascii="Arabic Typesetting" w:hAnsi="Arabic Typesetting" w:cs="Arabic Typesetting" w:hint="cs"/>
          <w:sz w:val="34"/>
          <w:szCs w:val="34"/>
          <w:rtl/>
          <w:lang w:val="fr-CH"/>
        </w:rPr>
        <w:t>عن أنشطة تدريب المسؤولين الحكوميين وغيرهم من الأطراف المعنية و</w:t>
      </w:r>
      <w:r w:rsidR="00146AD9">
        <w:rPr>
          <w:rFonts w:ascii="Arabic Typesetting" w:hAnsi="Arabic Typesetting" w:cs="Arabic Typesetting" w:hint="cs"/>
          <w:sz w:val="34"/>
          <w:szCs w:val="34"/>
          <w:rtl/>
          <w:lang w:val="fr-CH"/>
        </w:rPr>
        <w:t>تثقيفهم و</w:t>
      </w:r>
      <w:r w:rsidRPr="008B0D7B">
        <w:rPr>
          <w:rFonts w:ascii="Arabic Typesetting" w:hAnsi="Arabic Typesetting" w:cs="Arabic Typesetting" w:hint="cs"/>
          <w:sz w:val="34"/>
          <w:szCs w:val="34"/>
          <w:rtl/>
          <w:lang w:val="fr-CH"/>
        </w:rPr>
        <w:t>بناء قدراتهم في مجال الملكية الفكرية. وسعت الأكاديمية، خلال هذا الإصلاح، إلى الحفاظ على كمية البرامج التدريبية المقدمة</w:t>
      </w:r>
      <w:r w:rsidR="000471B4">
        <w:rPr>
          <w:rFonts w:ascii="Arabic Typesetting" w:hAnsi="Arabic Typesetting" w:cs="Arabic Typesetting" w:hint="cs"/>
          <w:sz w:val="34"/>
          <w:szCs w:val="34"/>
          <w:rtl/>
          <w:lang w:val="fr-CH"/>
        </w:rPr>
        <w:t xml:space="preserve"> ونوعيتها ووتيرتها</w:t>
      </w:r>
      <w:r w:rsidRPr="008B0D7B">
        <w:rPr>
          <w:rFonts w:ascii="Arabic Typesetting" w:hAnsi="Arabic Typesetting" w:cs="Arabic Typesetting" w:hint="cs"/>
          <w:sz w:val="34"/>
          <w:szCs w:val="34"/>
          <w:rtl/>
          <w:lang w:val="fr-CH"/>
        </w:rPr>
        <w:t xml:space="preserve"> للوفاء بالتزامات التدريب الجارية المبرمة مع الشركاء؛ وإلى تلبية الطلبات الجديدة والملحة التي تقدمها الدول الأعضاء وغيرها من الأطراف المعنية للحصول على التدريب؛ والحفاظ على استمرارية التدريب المقدَّم.</w:t>
      </w:r>
      <w:r w:rsidR="00146AD9">
        <w:rPr>
          <w:rFonts w:ascii="Arabic Typesetting" w:hAnsi="Arabic Typesetting" w:cs="Arabic Typesetting" w:hint="cs"/>
          <w:sz w:val="34"/>
          <w:szCs w:val="34"/>
          <w:rtl/>
          <w:lang w:val="fr-CH"/>
        </w:rPr>
        <w:t xml:space="preserve"> واستفاد نحو 000 80 شخص من هذه البرامج والأنشطة على مدار الثنائية.</w:t>
      </w:r>
    </w:p>
    <w:p w:rsidR="00146AD9" w:rsidRPr="008B0D7B" w:rsidRDefault="00146AD9" w:rsidP="009A3712">
      <w:pPr>
        <w:numPr>
          <w:ilvl w:val="0"/>
          <w:numId w:val="43"/>
        </w:numPr>
        <w:bidi/>
        <w:spacing w:after="120" w:line="340" w:lineRule="exact"/>
        <w:ind w:left="0" w:firstLine="0"/>
        <w:rPr>
          <w:rFonts w:ascii="Arabic Typesetting" w:hAnsi="Arabic Typesetting" w:cs="Arabic Typesetting"/>
          <w:sz w:val="34"/>
          <w:szCs w:val="34"/>
          <w:lang w:val="fr-CH"/>
        </w:rPr>
      </w:pPr>
      <w:r w:rsidRPr="008B0D7B">
        <w:rPr>
          <w:rFonts w:ascii="Arabic Typesetting" w:hAnsi="Arabic Typesetting" w:cs="Arabic Typesetting" w:hint="cs"/>
          <w:sz w:val="34"/>
          <w:szCs w:val="34"/>
          <w:rtl/>
          <w:lang w:val="fr-CH"/>
        </w:rPr>
        <w:t>وظل</w:t>
      </w:r>
      <w:r>
        <w:rPr>
          <w:rFonts w:ascii="Arabic Typesetting" w:hAnsi="Arabic Typesetting" w:cs="Arabic Typesetting"/>
          <w:sz w:val="34"/>
          <w:szCs w:val="34"/>
          <w:rtl/>
          <w:lang w:val="fr-CH"/>
        </w:rPr>
        <w:t xml:space="preserve"> تصميم </w:t>
      </w:r>
      <w:r w:rsidRPr="008B0D7B">
        <w:rPr>
          <w:rFonts w:ascii="Arabic Typesetting" w:hAnsi="Arabic Typesetting" w:cs="Arabic Typesetting"/>
          <w:sz w:val="34"/>
          <w:szCs w:val="34"/>
          <w:rtl/>
          <w:lang w:val="fr-CH"/>
        </w:rPr>
        <w:t>أنشطة البرنامج</w:t>
      </w:r>
      <w:r w:rsidRPr="008B0D7B">
        <w:rPr>
          <w:rFonts w:ascii="Arabic Typesetting" w:hAnsi="Arabic Typesetting" w:cs="Arabic Typesetting" w:hint="cs"/>
          <w:sz w:val="34"/>
          <w:szCs w:val="34"/>
          <w:rtl/>
          <w:lang w:val="fr-CH"/>
        </w:rPr>
        <w:t> </w:t>
      </w:r>
      <w:r w:rsidRPr="008B0D7B">
        <w:rPr>
          <w:rFonts w:ascii="Arabic Typesetting" w:hAnsi="Arabic Typesetting" w:cs="Arabic Typesetting"/>
          <w:sz w:val="34"/>
          <w:szCs w:val="34"/>
          <w:rtl/>
          <w:lang w:val="fr-CH"/>
        </w:rPr>
        <w:t xml:space="preserve">11 وتخطيطها وتنفيذها </w:t>
      </w:r>
      <w:r w:rsidRPr="008B0D7B">
        <w:rPr>
          <w:rFonts w:ascii="Arabic Typesetting" w:hAnsi="Arabic Typesetting" w:cs="Arabic Typesetting" w:hint="cs"/>
          <w:sz w:val="34"/>
          <w:szCs w:val="34"/>
          <w:rtl/>
          <w:lang w:val="fr-CH"/>
        </w:rPr>
        <w:t xml:space="preserve">مسترشداً </w:t>
      </w:r>
      <w:r w:rsidRPr="008B0D7B">
        <w:rPr>
          <w:rFonts w:ascii="Arabic Typesetting" w:hAnsi="Arabic Typesetting" w:cs="Arabic Typesetting"/>
          <w:sz w:val="34"/>
          <w:szCs w:val="34"/>
          <w:rtl/>
          <w:lang w:val="fr-CH"/>
        </w:rPr>
        <w:t xml:space="preserve">بتوصيات جدول أعمال </w:t>
      </w:r>
      <w:r w:rsidRPr="008B0D7B">
        <w:rPr>
          <w:rFonts w:ascii="Arabic Typesetting" w:hAnsi="Arabic Typesetting" w:cs="Arabic Typesetting" w:hint="cs"/>
          <w:sz w:val="34"/>
          <w:szCs w:val="34"/>
          <w:rtl/>
          <w:lang w:val="fr-CH"/>
        </w:rPr>
        <w:t xml:space="preserve">التنمية </w:t>
      </w:r>
      <w:r>
        <w:rPr>
          <w:rFonts w:ascii="Arabic Typesetting" w:hAnsi="Arabic Typesetting" w:cs="Arabic Typesetting" w:hint="cs"/>
          <w:sz w:val="34"/>
          <w:szCs w:val="34"/>
          <w:rtl/>
          <w:lang w:val="fr-CH"/>
        </w:rPr>
        <w:t>المعنية</w:t>
      </w:r>
      <w:r w:rsidRPr="008B0D7B">
        <w:rPr>
          <w:rFonts w:ascii="Arabic Typesetting" w:hAnsi="Arabic Typesetting" w:cs="Arabic Typesetting" w:hint="cs"/>
          <w:sz w:val="34"/>
          <w:szCs w:val="34"/>
          <w:rtl/>
          <w:lang w:val="fr-CH"/>
        </w:rPr>
        <w:t xml:space="preserve"> في </w:t>
      </w:r>
      <w:r>
        <w:rPr>
          <w:rFonts w:ascii="Arabic Typesetting" w:hAnsi="Arabic Typesetting" w:cs="Arabic Typesetting" w:hint="cs"/>
          <w:sz w:val="34"/>
          <w:szCs w:val="34"/>
          <w:rtl/>
          <w:lang w:val="fr-CH"/>
        </w:rPr>
        <w:t>2014/15</w:t>
      </w:r>
      <w:r w:rsidRPr="008B0D7B">
        <w:rPr>
          <w:rFonts w:ascii="Arabic Typesetting" w:hAnsi="Arabic Typesetting" w:cs="Arabic Typesetting"/>
          <w:sz w:val="34"/>
          <w:szCs w:val="34"/>
          <w:rtl/>
          <w:lang w:val="fr-CH"/>
        </w:rPr>
        <w:t>.</w:t>
      </w:r>
      <w:r w:rsidRPr="008B0D7B">
        <w:rPr>
          <w:rFonts w:ascii="Arabic Typesetting" w:hAnsi="Arabic Typesetting" w:cs="Arabic Typesetting" w:hint="cs"/>
          <w:sz w:val="34"/>
          <w:szCs w:val="34"/>
          <w:rtl/>
          <w:lang w:val="fr-CH"/>
        </w:rPr>
        <w:t xml:space="preserve"> </w:t>
      </w:r>
      <w:r w:rsidRPr="008B0D7B">
        <w:rPr>
          <w:rFonts w:ascii="Arabic Typesetting" w:hAnsi="Arabic Typesetting" w:cs="Arabic Typesetting"/>
          <w:sz w:val="34"/>
          <w:szCs w:val="34"/>
          <w:rtl/>
          <w:lang w:val="fr-CH"/>
        </w:rPr>
        <w:t>وكانت برامج الأكاديمية موجهة نحو التنمية ومتجاوبة مع مطالب أصحاب المصلحة (التوصية</w:t>
      </w:r>
      <w:r w:rsidRPr="008B0D7B">
        <w:rPr>
          <w:rFonts w:ascii="Arabic Typesetting" w:hAnsi="Arabic Typesetting" w:cs="Arabic Typesetting" w:hint="cs"/>
          <w:sz w:val="34"/>
          <w:szCs w:val="34"/>
          <w:rtl/>
          <w:lang w:val="fr-CH"/>
        </w:rPr>
        <w:t> </w:t>
      </w:r>
      <w:r w:rsidRPr="008B0D7B">
        <w:rPr>
          <w:rFonts w:ascii="Arabic Typesetting" w:hAnsi="Arabic Typesetting" w:cs="Arabic Typesetting"/>
          <w:sz w:val="34"/>
          <w:szCs w:val="34"/>
          <w:rtl/>
          <w:lang w:val="fr-CH"/>
        </w:rPr>
        <w:t xml:space="preserve">1) وسعت إلى إدخال الملكية الفكرية على مختلف المستويات الأكاديمية بغية </w:t>
      </w:r>
      <w:r w:rsidR="00EA27CA">
        <w:rPr>
          <w:rFonts w:ascii="Arabic Typesetting" w:hAnsi="Arabic Typesetting" w:cs="Arabic Typesetting" w:hint="cs"/>
          <w:sz w:val="34"/>
          <w:szCs w:val="34"/>
          <w:rtl/>
          <w:lang w:val="fr-CH"/>
        </w:rPr>
        <w:t>حفز اهتمام الجمهور</w:t>
      </w:r>
      <w:r w:rsidRPr="008B0D7B">
        <w:rPr>
          <w:rFonts w:ascii="Arabic Typesetting" w:hAnsi="Arabic Typesetting" w:cs="Arabic Typesetting"/>
          <w:sz w:val="34"/>
          <w:szCs w:val="34"/>
          <w:rtl/>
          <w:lang w:val="fr-CH"/>
        </w:rPr>
        <w:t xml:space="preserve"> </w:t>
      </w:r>
      <w:r w:rsidR="00EA27CA">
        <w:rPr>
          <w:rFonts w:ascii="Arabic Typesetting" w:hAnsi="Arabic Typesetting" w:cs="Arabic Typesetting" w:hint="cs"/>
          <w:sz w:val="34"/>
          <w:szCs w:val="34"/>
          <w:rtl/>
          <w:lang w:val="fr-CH"/>
        </w:rPr>
        <w:t>ب</w:t>
      </w:r>
      <w:r w:rsidRPr="008B0D7B">
        <w:rPr>
          <w:rFonts w:ascii="Arabic Typesetting" w:hAnsi="Arabic Typesetting" w:cs="Arabic Typesetting"/>
          <w:sz w:val="34"/>
          <w:szCs w:val="34"/>
          <w:rtl/>
          <w:lang w:val="fr-CH"/>
        </w:rPr>
        <w:t>الملكية الفكرية (التوصية</w:t>
      </w:r>
      <w:r w:rsidRPr="008B0D7B">
        <w:rPr>
          <w:rFonts w:ascii="Arabic Typesetting" w:hAnsi="Arabic Typesetting" w:cs="Arabic Typesetting" w:hint="cs"/>
          <w:sz w:val="34"/>
          <w:szCs w:val="34"/>
          <w:rtl/>
          <w:lang w:val="fr-CH"/>
        </w:rPr>
        <w:t> </w:t>
      </w:r>
      <w:r w:rsidRPr="008B0D7B">
        <w:rPr>
          <w:rFonts w:ascii="Arabic Typesetting" w:hAnsi="Arabic Typesetting" w:cs="Arabic Typesetting"/>
          <w:sz w:val="34"/>
          <w:szCs w:val="34"/>
          <w:rtl/>
          <w:lang w:val="fr-CH"/>
        </w:rPr>
        <w:t>3).</w:t>
      </w:r>
    </w:p>
    <w:p w:rsidR="00EA27CA" w:rsidRDefault="008B0D7B" w:rsidP="009A3712">
      <w:pPr>
        <w:numPr>
          <w:ilvl w:val="0"/>
          <w:numId w:val="43"/>
        </w:numPr>
        <w:bidi/>
        <w:spacing w:after="120" w:line="340" w:lineRule="exact"/>
        <w:ind w:left="0" w:firstLine="0"/>
        <w:rPr>
          <w:rFonts w:ascii="Arabic Typesetting" w:hAnsi="Arabic Typesetting" w:cs="Arabic Typesetting"/>
          <w:sz w:val="34"/>
          <w:szCs w:val="34"/>
          <w:lang w:val="fr-CH"/>
        </w:rPr>
      </w:pPr>
      <w:r w:rsidRPr="008B0D7B">
        <w:rPr>
          <w:rFonts w:ascii="Arabic Typesetting" w:hAnsi="Arabic Typesetting" w:cs="Arabic Typesetting" w:hint="cs"/>
          <w:sz w:val="34"/>
          <w:szCs w:val="34"/>
          <w:rtl/>
          <w:lang w:val="fr-CH"/>
        </w:rPr>
        <w:t xml:space="preserve">وفيما يخص برنامج التنمية المهنية، نظَّمت الأكاديمية في </w:t>
      </w:r>
      <w:r w:rsidR="00EA27CA" w:rsidRPr="00EA27CA">
        <w:rPr>
          <w:rFonts w:ascii="Arabic Typesetting" w:hAnsi="Arabic Typesetting" w:cs="Arabic Typesetting" w:hint="cs"/>
          <w:sz w:val="34"/>
          <w:szCs w:val="34"/>
          <w:rtl/>
          <w:lang w:val="fr-CH"/>
        </w:rPr>
        <w:t>2014/15</w:t>
      </w:r>
      <w:r w:rsidRPr="008B0D7B">
        <w:rPr>
          <w:rFonts w:ascii="Arabic Typesetting" w:hAnsi="Arabic Typesetting" w:cs="Arabic Typesetting" w:hint="cs"/>
          <w:sz w:val="34"/>
          <w:szCs w:val="34"/>
          <w:rtl/>
          <w:lang w:val="fr-CH"/>
        </w:rPr>
        <w:t xml:space="preserve"> </w:t>
      </w:r>
      <w:r w:rsidR="00EA27CA" w:rsidRPr="00EA27CA">
        <w:rPr>
          <w:rFonts w:ascii="Arabic Typesetting" w:hAnsi="Arabic Typesetting" w:cs="Arabic Typesetting" w:hint="cs"/>
          <w:sz w:val="34"/>
          <w:szCs w:val="34"/>
          <w:rtl/>
          <w:lang w:val="fr-CH"/>
        </w:rPr>
        <w:t>35</w:t>
      </w:r>
      <w:r w:rsidRPr="008B0D7B">
        <w:rPr>
          <w:rFonts w:ascii="Arabic Typesetting" w:hAnsi="Arabic Typesetting" w:cs="Arabic Typesetting" w:hint="cs"/>
          <w:sz w:val="34"/>
          <w:szCs w:val="34"/>
          <w:rtl/>
          <w:lang w:val="fr-CH"/>
        </w:rPr>
        <w:t xml:space="preserve"> دورة تدريبية بالتعاون مع</w:t>
      </w:r>
      <w:r w:rsidR="00EA27CA" w:rsidRPr="00EA27CA">
        <w:rPr>
          <w:rFonts w:ascii="Arabic Typesetting" w:hAnsi="Arabic Typesetting" w:cs="Arabic Typesetting" w:hint="cs"/>
          <w:sz w:val="34"/>
          <w:szCs w:val="34"/>
          <w:rtl/>
          <w:lang w:val="fr-CH"/>
        </w:rPr>
        <w:t xml:space="preserve"> 22 مؤسسة شريكة في ا</w:t>
      </w:r>
      <w:r w:rsidRPr="008B0D7B">
        <w:rPr>
          <w:rFonts w:ascii="Arabic Typesetting" w:hAnsi="Arabic Typesetting" w:cs="Arabic Typesetting" w:hint="cs"/>
          <w:sz w:val="34"/>
          <w:szCs w:val="34"/>
          <w:rtl/>
          <w:lang w:val="fr-CH"/>
        </w:rPr>
        <w:t xml:space="preserve">لجزائر والنمسا </w:t>
      </w:r>
      <w:r w:rsidR="00EA27CA" w:rsidRPr="00EA27CA">
        <w:rPr>
          <w:rFonts w:ascii="Arabic Typesetting" w:hAnsi="Arabic Typesetting" w:cs="Arabic Typesetting" w:hint="cs"/>
          <w:sz w:val="34"/>
          <w:szCs w:val="34"/>
          <w:rtl/>
          <w:lang w:val="fr-CH"/>
        </w:rPr>
        <w:t xml:space="preserve">والبرازيل والكاميرون وكندا </w:t>
      </w:r>
      <w:r w:rsidRPr="008B0D7B">
        <w:rPr>
          <w:rFonts w:ascii="Arabic Typesetting" w:hAnsi="Arabic Typesetting" w:cs="Arabic Typesetting" w:hint="cs"/>
          <w:sz w:val="34"/>
          <w:szCs w:val="34"/>
          <w:rtl/>
          <w:lang w:val="fr-CH"/>
        </w:rPr>
        <w:t>وكوستاريكا وفنلندا وفرنسا وألمانيا</w:t>
      </w:r>
      <w:r w:rsidR="00EA27CA" w:rsidRPr="00EA27CA">
        <w:rPr>
          <w:rFonts w:ascii="Arabic Typesetting" w:hAnsi="Arabic Typesetting" w:cs="Arabic Typesetting" w:hint="cs"/>
          <w:sz w:val="34"/>
          <w:szCs w:val="34"/>
          <w:rtl/>
          <w:lang w:val="fr-CH"/>
        </w:rPr>
        <w:t xml:space="preserve"> وإندونيسيا</w:t>
      </w:r>
      <w:r w:rsidRPr="008B0D7B">
        <w:rPr>
          <w:rFonts w:ascii="Arabic Typesetting" w:hAnsi="Arabic Typesetting" w:cs="Arabic Typesetting" w:hint="cs"/>
          <w:sz w:val="34"/>
          <w:szCs w:val="34"/>
          <w:rtl/>
          <w:lang w:val="fr-CH"/>
        </w:rPr>
        <w:t xml:space="preserve"> وإسرائيل </w:t>
      </w:r>
      <w:r w:rsidR="00EA27CA" w:rsidRPr="00EA27CA">
        <w:rPr>
          <w:rFonts w:ascii="Arabic Typesetting" w:hAnsi="Arabic Typesetting" w:cs="Arabic Typesetting" w:hint="cs"/>
          <w:sz w:val="34"/>
          <w:szCs w:val="34"/>
          <w:rtl/>
          <w:lang w:val="fr-CH"/>
        </w:rPr>
        <w:t xml:space="preserve">وماليزيا </w:t>
      </w:r>
      <w:r w:rsidRPr="008B0D7B">
        <w:rPr>
          <w:rFonts w:ascii="Arabic Typesetting" w:hAnsi="Arabic Typesetting" w:cs="Arabic Typesetting" w:hint="cs"/>
          <w:sz w:val="34"/>
          <w:szCs w:val="34"/>
          <w:rtl/>
          <w:lang w:val="fr-CH"/>
        </w:rPr>
        <w:t>والمكسيك والمغرب والنرويج وباراغواي وبيرو وإسبانيا وسويسرا والمملكة المتحدة فضلاً عن منظمة التجارة العالمية و</w:t>
      </w:r>
      <w:r w:rsidRPr="008B0D7B">
        <w:rPr>
          <w:rFonts w:ascii="Arabic Typesetting" w:hAnsi="Arabic Typesetting" w:cs="Arabic Typesetting"/>
          <w:sz w:val="34"/>
          <w:szCs w:val="34"/>
          <w:rtl/>
          <w:lang w:val="fr-CH"/>
        </w:rPr>
        <w:t xml:space="preserve">مركز الدراسات الدولية للملكية </w:t>
      </w:r>
      <w:r w:rsidR="00EA27CA" w:rsidRPr="00EA27CA">
        <w:rPr>
          <w:rFonts w:ascii="Arabic Typesetting" w:hAnsi="Arabic Typesetting" w:cs="Arabic Typesetting" w:hint="cs"/>
          <w:sz w:val="34"/>
          <w:szCs w:val="34"/>
          <w:rtl/>
          <w:lang w:val="fr-CH"/>
        </w:rPr>
        <w:t>الفكرية</w:t>
      </w:r>
      <w:r w:rsidRPr="008B0D7B">
        <w:rPr>
          <w:rFonts w:ascii="Arabic Typesetting" w:hAnsi="Arabic Typesetting" w:cs="Arabic Typesetting" w:hint="cs"/>
          <w:sz w:val="34"/>
          <w:szCs w:val="34"/>
          <w:rtl/>
          <w:lang w:val="fr-CH"/>
        </w:rPr>
        <w:t xml:space="preserve"> الواقع في مدينة ستراسبورغ بفرنسا. وشملت الدورات التدريبية المذكورة </w:t>
      </w:r>
      <w:r w:rsidR="00EA27CA">
        <w:rPr>
          <w:rFonts w:ascii="Arabic Typesetting" w:hAnsi="Arabic Typesetting" w:cs="Arabic Typesetting" w:hint="cs"/>
          <w:sz w:val="34"/>
          <w:szCs w:val="34"/>
          <w:rtl/>
          <w:lang w:val="fr-CH"/>
        </w:rPr>
        <w:t>عدة موضوعات منها</w:t>
      </w:r>
      <w:r w:rsidRPr="008B0D7B">
        <w:rPr>
          <w:rFonts w:ascii="Arabic Typesetting" w:hAnsi="Arabic Typesetting" w:cs="Arabic Typesetting" w:hint="cs"/>
          <w:sz w:val="34"/>
          <w:szCs w:val="34"/>
          <w:rtl/>
          <w:lang w:val="fr-CH"/>
        </w:rPr>
        <w:t xml:space="preserve"> البراءات، والعلامات التجارية، وحق المؤلف والحقوق المجاورة، والإدارة الجماعية لحق المؤلف والحقوق المجاورة، و</w:t>
      </w:r>
      <w:r w:rsidRPr="008B0D7B">
        <w:rPr>
          <w:rFonts w:ascii="Arabic Typesetting" w:hAnsi="Arabic Typesetting" w:cs="Arabic Typesetting"/>
          <w:sz w:val="34"/>
          <w:szCs w:val="34"/>
          <w:rtl/>
          <w:lang w:val="fr-CH"/>
        </w:rPr>
        <w:t>الملكية الفكرية لواضعي السياسات</w:t>
      </w:r>
      <w:r w:rsidR="00EA27CA">
        <w:rPr>
          <w:rFonts w:ascii="Arabic Typesetting" w:hAnsi="Arabic Typesetting" w:cs="Arabic Typesetting" w:hint="cs"/>
          <w:sz w:val="34"/>
          <w:szCs w:val="34"/>
          <w:rtl/>
          <w:lang w:val="fr-CH"/>
        </w:rPr>
        <w:t xml:space="preserve">، </w:t>
      </w:r>
      <w:r w:rsidRPr="008B0D7B">
        <w:rPr>
          <w:rFonts w:ascii="Arabic Typesetting" w:hAnsi="Arabic Typesetting" w:cs="Arabic Typesetting" w:hint="cs"/>
          <w:sz w:val="34"/>
          <w:szCs w:val="34"/>
          <w:rtl/>
          <w:lang w:val="fr-CH"/>
        </w:rPr>
        <w:t>ونقل</w:t>
      </w:r>
      <w:r w:rsidR="00EA27CA">
        <w:rPr>
          <w:rFonts w:ascii="Arabic Typesetting" w:hAnsi="Arabic Typesetting" w:cs="Arabic Typesetting" w:hint="eastAsia"/>
          <w:sz w:val="34"/>
          <w:szCs w:val="34"/>
          <w:rtl/>
          <w:lang w:val="fr-CH"/>
        </w:rPr>
        <w:t> </w:t>
      </w:r>
      <w:r w:rsidRPr="008B0D7B">
        <w:rPr>
          <w:rFonts w:ascii="Arabic Typesetting" w:hAnsi="Arabic Typesetting" w:cs="Arabic Typesetting" w:hint="cs"/>
          <w:sz w:val="34"/>
          <w:szCs w:val="34"/>
          <w:rtl/>
          <w:lang w:val="fr-CH"/>
        </w:rPr>
        <w:t xml:space="preserve">التكنولوجيا والتراخيص. </w:t>
      </w:r>
      <w:r w:rsidR="00EA27CA">
        <w:rPr>
          <w:rFonts w:ascii="Arabic Typesetting" w:hAnsi="Arabic Typesetting" w:cs="Arabic Typesetting" w:hint="cs"/>
          <w:sz w:val="34"/>
          <w:szCs w:val="34"/>
          <w:rtl/>
          <w:lang w:val="fr-CH"/>
        </w:rPr>
        <w:t xml:space="preserve">وبناء على طلب الدول الأعضاء، ما فتئت الأكاديمية تسعى منذ سنة 2012 إلى توفير تدريب في مجالات محددة أكثر منها فحص البراءات في مجالي المستحضرات الصيدلانية </w:t>
      </w:r>
      <w:proofErr w:type="spellStart"/>
      <w:r w:rsidR="00EA27CA">
        <w:rPr>
          <w:rFonts w:ascii="Arabic Typesetting" w:hAnsi="Arabic Typesetting" w:cs="Arabic Typesetting" w:hint="cs"/>
          <w:sz w:val="34"/>
          <w:szCs w:val="34"/>
          <w:rtl/>
          <w:lang w:val="fr-CH"/>
        </w:rPr>
        <w:t>والبيوتكنولوجيا</w:t>
      </w:r>
      <w:proofErr w:type="spellEnd"/>
      <w:r w:rsidR="00EA27CA">
        <w:rPr>
          <w:rFonts w:ascii="Arabic Typesetting" w:hAnsi="Arabic Typesetting" w:cs="Arabic Typesetting" w:hint="cs"/>
          <w:sz w:val="34"/>
          <w:szCs w:val="34"/>
          <w:rtl/>
          <w:lang w:val="fr-CH"/>
        </w:rPr>
        <w:t>.</w:t>
      </w:r>
    </w:p>
    <w:p w:rsidR="00EA27CA" w:rsidRDefault="00EA27CA" w:rsidP="009A3712">
      <w:pPr>
        <w:numPr>
          <w:ilvl w:val="0"/>
          <w:numId w:val="43"/>
        </w:numPr>
        <w:bidi/>
        <w:spacing w:after="24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واستفاد 462</w:t>
      </w:r>
      <w:r w:rsidR="008E0975" w:rsidRPr="00F96634">
        <w:rPr>
          <w:rFonts w:ascii="Arabic Typesetting" w:hAnsi="Arabic Typesetting" w:cs="Arabic Typesetting"/>
          <w:sz w:val="28"/>
          <w:szCs w:val="28"/>
          <w:vertAlign w:val="superscript"/>
          <w:rtl/>
          <w:lang w:val="fr-CH"/>
        </w:rPr>
        <w:footnoteReference w:id="70"/>
      </w:r>
      <w:r>
        <w:rPr>
          <w:rFonts w:ascii="Arabic Typesetting" w:hAnsi="Arabic Typesetting" w:cs="Arabic Typesetting" w:hint="cs"/>
          <w:sz w:val="34"/>
          <w:szCs w:val="34"/>
          <w:rtl/>
          <w:lang w:val="fr-CH"/>
        </w:rPr>
        <w:t xml:space="preserve"> مسؤولاً حكومياً من بلدان نامية و</w:t>
      </w:r>
      <w:r w:rsidR="003B2ED5">
        <w:rPr>
          <w:rFonts w:ascii="Arabic Typesetting" w:hAnsi="Arabic Typesetting" w:cs="Arabic Typesetting" w:hint="cs"/>
          <w:sz w:val="34"/>
          <w:szCs w:val="34"/>
          <w:rtl/>
          <w:lang w:val="fr-CH"/>
        </w:rPr>
        <w:t xml:space="preserve">البلدان الأقل نمواً </w:t>
      </w:r>
      <w:r>
        <w:rPr>
          <w:rFonts w:ascii="Arabic Typesetting" w:hAnsi="Arabic Typesetting" w:cs="Arabic Typesetting" w:hint="cs"/>
          <w:sz w:val="34"/>
          <w:szCs w:val="34"/>
          <w:rtl/>
          <w:lang w:val="fr-CH"/>
        </w:rPr>
        <w:t>وبلدان تمر بمرحلة انتقالية من هذه الدورات التدريبية كان 52 بالمئة منهم نساءً و48 بالمئة رجالاً.</w:t>
      </w:r>
    </w:p>
    <w:tbl>
      <w:tblPr>
        <w:bidiVisual/>
        <w:tblW w:w="0" w:type="auto"/>
        <w:tblInd w:w="-1" w:type="dxa"/>
        <w:tblLook w:val="04A0" w:firstRow="1" w:lastRow="0" w:firstColumn="1" w:lastColumn="0" w:noHBand="0" w:noVBand="1"/>
      </w:tblPr>
      <w:tblGrid>
        <w:gridCol w:w="4785"/>
        <w:gridCol w:w="4786"/>
      </w:tblGrid>
      <w:tr w:rsidR="00EA27CA" w:rsidTr="00E939CF">
        <w:tc>
          <w:tcPr>
            <w:tcW w:w="4785" w:type="dxa"/>
          </w:tcPr>
          <w:p w:rsidR="00EA27CA" w:rsidRPr="00A809CF" w:rsidRDefault="00DC3C7B" w:rsidP="008B0D7B">
            <w:pPr>
              <w:bidi/>
              <w:spacing w:after="120"/>
              <w:jc w:val="center"/>
              <w:rPr>
                <w:rFonts w:ascii="Arabic Typesetting" w:hAnsi="Arabic Typesetting" w:cs="Arabic Typesetting"/>
                <w:sz w:val="28"/>
                <w:szCs w:val="28"/>
                <w:rtl/>
                <w:lang w:val="fr-CH"/>
              </w:rPr>
            </w:pPr>
            <w:r w:rsidRPr="008E0975">
              <w:rPr>
                <w:rFonts w:ascii="Arabic Typesetting" w:hAnsi="Arabic Typesetting" w:cs="Arabic Typesetting" w:hint="cs"/>
                <w:i/>
                <w:iCs/>
                <w:sz w:val="28"/>
                <w:szCs w:val="28"/>
                <w:rtl/>
                <w:lang w:val="fr-CH"/>
              </w:rPr>
              <w:t>توزيع المشاركين في برنامج التنمية المهنية بحسب الجنس</w:t>
            </w:r>
            <w:r w:rsidR="000471B4">
              <w:rPr>
                <w:rFonts w:ascii="Arabic Typesetting" w:hAnsi="Arabic Typesetting" w:cs="Arabic Typesetting" w:hint="cs"/>
                <w:i/>
                <w:iCs/>
                <w:sz w:val="28"/>
                <w:szCs w:val="28"/>
                <w:rtl/>
                <w:lang w:val="fr-CH"/>
              </w:rPr>
              <w:t xml:space="preserve"> (2014/15)</w:t>
            </w:r>
          </w:p>
        </w:tc>
        <w:tc>
          <w:tcPr>
            <w:tcW w:w="4786" w:type="dxa"/>
          </w:tcPr>
          <w:p w:rsidR="00EA27CA" w:rsidRPr="008E0975" w:rsidRDefault="00DC3C7B" w:rsidP="000471B4">
            <w:pPr>
              <w:bidi/>
              <w:spacing w:after="120"/>
              <w:jc w:val="center"/>
              <w:rPr>
                <w:rFonts w:ascii="Arabic Typesetting" w:hAnsi="Arabic Typesetting" w:cs="Arabic Typesetting"/>
                <w:i/>
                <w:iCs/>
                <w:sz w:val="28"/>
                <w:szCs w:val="28"/>
                <w:rtl/>
                <w:lang w:val="fr-CH"/>
              </w:rPr>
            </w:pPr>
            <w:r w:rsidRPr="008B0D7B">
              <w:rPr>
                <w:rFonts w:ascii="Arabic Typesetting" w:hAnsi="Arabic Typesetting" w:cs="Arabic Typesetting"/>
                <w:i/>
                <w:iCs/>
                <w:sz w:val="28"/>
                <w:szCs w:val="28"/>
                <w:rtl/>
                <w:lang w:bidi="ar-EG"/>
              </w:rPr>
              <w:t xml:space="preserve">التوزيع الجغرافي للمشاركين في برنامج التنمية المهنية </w:t>
            </w:r>
            <w:r w:rsidR="000471B4">
              <w:rPr>
                <w:rFonts w:ascii="Arabic Typesetting" w:hAnsi="Arabic Typesetting" w:cs="Arabic Typesetting" w:hint="cs"/>
                <w:i/>
                <w:iCs/>
                <w:sz w:val="28"/>
                <w:szCs w:val="28"/>
                <w:rtl/>
                <w:lang w:bidi="ar-EG"/>
              </w:rPr>
              <w:t>(2014/15)</w:t>
            </w:r>
          </w:p>
        </w:tc>
      </w:tr>
      <w:tr w:rsidR="00E939CF" w:rsidTr="00E939CF">
        <w:tc>
          <w:tcPr>
            <w:tcW w:w="4785" w:type="dxa"/>
          </w:tcPr>
          <w:p w:rsidR="00E939CF" w:rsidRPr="008B0D7B" w:rsidRDefault="00E939CF" w:rsidP="008B0D7B">
            <w:pPr>
              <w:bidi/>
              <w:spacing w:after="120"/>
              <w:jc w:val="center"/>
              <w:rPr>
                <w:rFonts w:ascii="Arabic Typesetting" w:hAnsi="Arabic Typesetting" w:cs="Arabic Typesetting"/>
                <w:i/>
                <w:iCs/>
                <w:sz w:val="34"/>
                <w:szCs w:val="34"/>
                <w:rtl/>
                <w:lang w:bidi="ar-EG"/>
              </w:rPr>
            </w:pPr>
            <w:r>
              <w:rPr>
                <w:rFonts w:ascii="Arabic Typesetting" w:hAnsi="Arabic Typesetting" w:cs="Arabic Typesetting"/>
                <w:i/>
                <w:iCs/>
                <w:noProof/>
                <w:sz w:val="34"/>
                <w:szCs w:val="34"/>
              </w:rPr>
              <w:drawing>
                <wp:inline distT="0" distB="0" distL="0" distR="0" wp14:anchorId="15AD9DFB" wp14:editId="4092729C">
                  <wp:extent cx="2463774" cy="2184326"/>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469121" cy="2189066"/>
                          </a:xfrm>
                          <a:prstGeom prst="rect">
                            <a:avLst/>
                          </a:prstGeom>
                          <a:noFill/>
                        </pic:spPr>
                      </pic:pic>
                    </a:graphicData>
                  </a:graphic>
                </wp:inline>
              </w:drawing>
            </w:r>
          </w:p>
        </w:tc>
        <w:tc>
          <w:tcPr>
            <w:tcW w:w="4786" w:type="dxa"/>
          </w:tcPr>
          <w:p w:rsidR="00E939CF" w:rsidRDefault="00E939CF" w:rsidP="008B0D7B">
            <w:pPr>
              <w:bidi/>
              <w:spacing w:after="120"/>
              <w:jc w:val="center"/>
              <w:rPr>
                <w:rFonts w:ascii="Arabic Typesetting" w:hAnsi="Arabic Typesetting" w:cs="Arabic Typesetting"/>
                <w:sz w:val="34"/>
                <w:szCs w:val="34"/>
                <w:rtl/>
                <w:lang w:val="fr-CH"/>
              </w:rPr>
            </w:pPr>
            <w:r>
              <w:rPr>
                <w:rFonts w:ascii="Arabic Typesetting" w:hAnsi="Arabic Typesetting" w:cs="Arabic Typesetting"/>
                <w:noProof/>
                <w:sz w:val="34"/>
                <w:szCs w:val="34"/>
              </w:rPr>
              <w:drawing>
                <wp:inline distT="0" distB="0" distL="0" distR="0" wp14:anchorId="4D43AF00" wp14:editId="389D7528">
                  <wp:extent cx="2857500" cy="2030754"/>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67085" cy="2037566"/>
                          </a:xfrm>
                          <a:prstGeom prst="rect">
                            <a:avLst/>
                          </a:prstGeom>
                          <a:noFill/>
                        </pic:spPr>
                      </pic:pic>
                    </a:graphicData>
                  </a:graphic>
                </wp:inline>
              </w:drawing>
            </w:r>
          </w:p>
        </w:tc>
      </w:tr>
    </w:tbl>
    <w:p w:rsidR="00A809CF" w:rsidRDefault="00A809CF" w:rsidP="009A3712">
      <w:pPr>
        <w:numPr>
          <w:ilvl w:val="0"/>
          <w:numId w:val="43"/>
        </w:numPr>
        <w:bidi/>
        <w:spacing w:before="240"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 xml:space="preserve">ووزعت أكاديمية الويبو </w:t>
      </w:r>
      <w:r w:rsidRPr="00A809CF">
        <w:rPr>
          <w:rFonts w:ascii="Arabic Typesetting" w:hAnsi="Arabic Typesetting" w:cs="Arabic Typesetting"/>
          <w:sz w:val="34"/>
          <w:szCs w:val="34"/>
          <w:rtl/>
          <w:lang w:val="fr-CH"/>
        </w:rPr>
        <w:t>‏استبيان</w:t>
      </w:r>
      <w:r>
        <w:rPr>
          <w:rFonts w:ascii="Arabic Typesetting" w:hAnsi="Arabic Typesetting" w:cs="Arabic Typesetting" w:hint="cs"/>
          <w:sz w:val="34"/>
          <w:szCs w:val="34"/>
          <w:rtl/>
          <w:lang w:val="fr-CH"/>
        </w:rPr>
        <w:t>اً</w:t>
      </w:r>
      <w:r w:rsidRPr="00A809CF">
        <w:rPr>
          <w:rFonts w:ascii="Arabic Typesetting" w:hAnsi="Arabic Typesetting" w:cs="Arabic Typesetting"/>
          <w:sz w:val="34"/>
          <w:szCs w:val="34"/>
          <w:rtl/>
          <w:lang w:val="fr-CH"/>
        </w:rPr>
        <w:t xml:space="preserve"> لتقييم الاحتياجات إلى التدريب</w:t>
      </w:r>
      <w:r>
        <w:rPr>
          <w:rFonts w:ascii="Arabic Typesetting" w:hAnsi="Arabic Typesetting" w:cs="Arabic Typesetting" w:hint="cs"/>
          <w:sz w:val="34"/>
          <w:szCs w:val="34"/>
          <w:rtl/>
          <w:lang w:val="fr-CH"/>
        </w:rPr>
        <w:t xml:space="preserve"> في عام 2015. وتلقت نحو 329 رداً من </w:t>
      </w:r>
      <w:r w:rsidR="00DC3C7B">
        <w:rPr>
          <w:rFonts w:ascii="Arabic Typesetting" w:hAnsi="Arabic Typesetting" w:cs="Arabic Typesetting" w:hint="cs"/>
          <w:sz w:val="34"/>
          <w:szCs w:val="34"/>
          <w:rtl/>
          <w:lang w:val="fr-CH"/>
        </w:rPr>
        <w:t>جهات</w:t>
      </w:r>
      <w:r>
        <w:rPr>
          <w:rFonts w:ascii="Arabic Typesetting" w:hAnsi="Arabic Typesetting" w:cs="Arabic Typesetting" w:hint="cs"/>
          <w:sz w:val="34"/>
          <w:szCs w:val="34"/>
          <w:rtl/>
          <w:lang w:val="fr-CH"/>
        </w:rPr>
        <w:t xml:space="preserve"> عامة وخاصة وأصحاب مصلحة من نحو 100 دولة عضو. </w:t>
      </w:r>
      <w:r w:rsidR="008E0975">
        <w:rPr>
          <w:rFonts w:ascii="Arabic Typesetting" w:hAnsi="Arabic Typesetting" w:cs="Arabic Typesetting" w:hint="cs"/>
          <w:sz w:val="34"/>
          <w:szCs w:val="34"/>
          <w:rtl/>
          <w:lang w:val="fr-CH"/>
        </w:rPr>
        <w:t xml:space="preserve">ومن النتائج الرئيسية لهذا الاستبيان أن 74.8 بالمئة من المجيبين أشاروا إلى غياب أي هيئة في كياناتهم الوطنية توفر تدريباً في مجال الملكية الفكرية، وأنهم يعتمدون على الويبو </w:t>
      </w:r>
      <w:r w:rsidR="00DC3C7B">
        <w:rPr>
          <w:rFonts w:ascii="Arabic Typesetting" w:hAnsi="Arabic Typesetting" w:cs="Arabic Typesetting" w:hint="cs"/>
          <w:sz w:val="34"/>
          <w:szCs w:val="34"/>
          <w:rtl/>
          <w:lang w:val="fr-CH"/>
        </w:rPr>
        <w:t>لتنظم وتوفر</w:t>
      </w:r>
      <w:r w:rsidR="008E0975">
        <w:rPr>
          <w:rFonts w:ascii="Arabic Typesetting" w:hAnsi="Arabic Typesetting" w:cs="Arabic Typesetting" w:hint="cs"/>
          <w:sz w:val="34"/>
          <w:szCs w:val="34"/>
          <w:rtl/>
          <w:lang w:val="fr-CH"/>
        </w:rPr>
        <w:t xml:space="preserve"> أنشطة التدريب المهني </w:t>
      </w:r>
      <w:r w:rsidR="00DC3C7B">
        <w:rPr>
          <w:rFonts w:ascii="Arabic Typesetting" w:hAnsi="Arabic Typesetting" w:cs="Arabic Typesetting" w:hint="cs"/>
          <w:sz w:val="34"/>
          <w:szCs w:val="34"/>
          <w:rtl/>
          <w:lang w:val="fr-CH"/>
        </w:rPr>
        <w:t>وتكوين الكفاءات</w:t>
      </w:r>
      <w:r w:rsidR="008E0975">
        <w:rPr>
          <w:rFonts w:ascii="Arabic Typesetting" w:hAnsi="Arabic Typesetting" w:cs="Arabic Typesetting" w:hint="cs"/>
          <w:sz w:val="34"/>
          <w:szCs w:val="34"/>
          <w:rtl/>
          <w:lang w:val="fr-CH"/>
        </w:rPr>
        <w:t xml:space="preserve"> في مجال الملكية الفكرية. ومن ثم، يتزايد دور أكاديمية الويبو في تحديد الاحتياجات والمتطلبات التدريبية في الدول الأعضاء والاستجابة لها.</w:t>
      </w:r>
    </w:p>
    <w:p w:rsidR="00960F81" w:rsidRDefault="00960F81" w:rsidP="009A3712">
      <w:pPr>
        <w:numPr>
          <w:ilvl w:val="0"/>
          <w:numId w:val="43"/>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lastRenderedPageBreak/>
        <w:t>وعدلت مجموعة الدورات المتاحة على هذا الأساس بغية التكيف مع احتياجات الدول الأعضاء وأولوياتها ووسع نطاقها لتشمل الموضوعات الجديدة التالية: إدارة مكاتب الملكية الفكرية، وإدارة الملكية الفكرية وتسويقها، والملكية الفكرية والعلامات، ونقل</w:t>
      </w:r>
      <w:r w:rsidR="00DC3C7B">
        <w:rPr>
          <w:rFonts w:ascii="Arabic Typesetting" w:hAnsi="Arabic Typesetting" w:cs="Arabic Typesetting" w:hint="eastAsia"/>
          <w:sz w:val="34"/>
          <w:szCs w:val="34"/>
          <w:rtl/>
          <w:lang w:val="fr-CH"/>
        </w:rPr>
        <w:t> </w:t>
      </w:r>
      <w:r>
        <w:rPr>
          <w:rFonts w:ascii="Arabic Typesetting" w:hAnsi="Arabic Typesetting" w:cs="Arabic Typesetting" w:hint="cs"/>
          <w:sz w:val="34"/>
          <w:szCs w:val="34"/>
          <w:rtl/>
          <w:lang w:val="fr-CH"/>
        </w:rPr>
        <w:t>التكنولوجيا والترخيص. وفضلاً عن ذلك، است</w:t>
      </w:r>
      <w:r w:rsidR="00DC3C7B">
        <w:rPr>
          <w:rFonts w:ascii="Arabic Typesetting" w:hAnsi="Arabic Typesetting" w:cs="Arabic Typesetting" w:hint="cs"/>
          <w:sz w:val="34"/>
          <w:szCs w:val="34"/>
          <w:rtl/>
          <w:lang w:val="fr-CH"/>
        </w:rPr>
        <w:t>ُ</w:t>
      </w:r>
      <w:r>
        <w:rPr>
          <w:rFonts w:ascii="Arabic Typesetting" w:hAnsi="Arabic Typesetting" w:cs="Arabic Typesetting" w:hint="cs"/>
          <w:sz w:val="34"/>
          <w:szCs w:val="34"/>
          <w:rtl/>
          <w:lang w:val="fr-CH"/>
        </w:rPr>
        <w:t>هلت دورتان جديدتان لتلبية احتياجات إقليمية محددة وت</w:t>
      </w:r>
      <w:r w:rsidR="00DC3C7B">
        <w:rPr>
          <w:rFonts w:ascii="Arabic Typesetting" w:hAnsi="Arabic Typesetting" w:cs="Arabic Typesetting" w:hint="cs"/>
          <w:sz w:val="34"/>
          <w:szCs w:val="34"/>
          <w:rtl/>
          <w:lang w:val="fr-CH"/>
        </w:rPr>
        <w:t>خص إحداهما البلدان الأقل نمواً وث</w:t>
      </w:r>
      <w:r>
        <w:rPr>
          <w:rFonts w:ascii="Arabic Typesetting" w:hAnsi="Arabic Typesetting" w:cs="Arabic Typesetting" w:hint="cs"/>
          <w:sz w:val="34"/>
          <w:szCs w:val="34"/>
          <w:rtl/>
          <w:lang w:val="fr-CH"/>
        </w:rPr>
        <w:t>ا</w:t>
      </w:r>
      <w:r w:rsidR="00DC3C7B">
        <w:rPr>
          <w:rFonts w:ascii="Arabic Typesetting" w:hAnsi="Arabic Typesetting" w:cs="Arabic Typesetting" w:hint="cs"/>
          <w:sz w:val="34"/>
          <w:szCs w:val="34"/>
          <w:rtl/>
          <w:lang w:val="fr-CH"/>
        </w:rPr>
        <w:t>ن</w:t>
      </w:r>
      <w:r>
        <w:rPr>
          <w:rFonts w:ascii="Arabic Typesetting" w:hAnsi="Arabic Typesetting" w:cs="Arabic Typesetting" w:hint="cs"/>
          <w:sz w:val="34"/>
          <w:szCs w:val="34"/>
          <w:rtl/>
          <w:lang w:val="fr-CH"/>
        </w:rPr>
        <w:t>يهما بلدان الكاريبي.</w:t>
      </w:r>
    </w:p>
    <w:p w:rsidR="00960F81" w:rsidRDefault="00960F81" w:rsidP="009A3712">
      <w:pPr>
        <w:numPr>
          <w:ilvl w:val="0"/>
          <w:numId w:val="43"/>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w:t>
      </w:r>
      <w:r w:rsidR="004335C7">
        <w:rPr>
          <w:rFonts w:ascii="Arabic Typesetting" w:hAnsi="Arabic Typesetting" w:cs="Arabic Typesetting" w:hint="cs"/>
          <w:sz w:val="34"/>
          <w:szCs w:val="34"/>
          <w:rtl/>
          <w:lang w:val="fr-CH"/>
        </w:rPr>
        <w:t>كجز</w:t>
      </w:r>
      <w:r w:rsidR="00B20160">
        <w:rPr>
          <w:rFonts w:ascii="Arabic Typesetting" w:hAnsi="Arabic Typesetting" w:cs="Arabic Typesetting" w:hint="cs"/>
          <w:sz w:val="34"/>
          <w:szCs w:val="34"/>
          <w:rtl/>
          <w:lang w:val="fr-CH"/>
        </w:rPr>
        <w:t>ء</w:t>
      </w:r>
      <w:r w:rsidR="004335C7">
        <w:rPr>
          <w:rFonts w:ascii="Arabic Typesetting" w:hAnsi="Arabic Typesetting" w:cs="Arabic Typesetting" w:hint="cs"/>
          <w:sz w:val="34"/>
          <w:szCs w:val="34"/>
          <w:rtl/>
          <w:lang w:val="fr-CH"/>
        </w:rPr>
        <w:t xml:space="preserve"> من عملية الإصلاح، </w:t>
      </w:r>
      <w:r>
        <w:rPr>
          <w:rFonts w:ascii="Arabic Typesetting" w:hAnsi="Arabic Typesetting" w:cs="Arabic Typesetting" w:hint="cs"/>
          <w:sz w:val="34"/>
          <w:szCs w:val="34"/>
          <w:rtl/>
          <w:lang w:val="fr-CH"/>
        </w:rPr>
        <w:t xml:space="preserve">أصبح الالتحاق بعدد من الدورات المتقدمة للتعلّم عن بعد شرطاً مسبقاً للمشاركة في كل </w:t>
      </w:r>
      <w:r w:rsidR="004335C7">
        <w:rPr>
          <w:rFonts w:ascii="Arabic Typesetting" w:hAnsi="Arabic Typesetting" w:cs="Arabic Typesetting" w:hint="cs"/>
          <w:sz w:val="34"/>
          <w:szCs w:val="34"/>
          <w:rtl/>
          <w:lang w:val="fr-CH"/>
        </w:rPr>
        <w:t>دورات التنمية المهنية المتخصصة لأول مرة على النحو المبيَّن في قائمة الدورات.</w:t>
      </w:r>
    </w:p>
    <w:p w:rsidR="004335C7" w:rsidRDefault="00FE0236" w:rsidP="009A3712">
      <w:pPr>
        <w:numPr>
          <w:ilvl w:val="0"/>
          <w:numId w:val="43"/>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واستمر</w:t>
      </w:r>
      <w:r w:rsidR="008B0D7B" w:rsidRPr="008B0D7B">
        <w:rPr>
          <w:rFonts w:ascii="Arabic Typesetting" w:hAnsi="Arabic Typesetting" w:cs="Arabic Typesetting"/>
          <w:sz w:val="34"/>
          <w:szCs w:val="34"/>
          <w:rtl/>
          <w:lang w:val="fr-CH"/>
        </w:rPr>
        <w:t xml:space="preserve"> برنامج التعلم عن بعد </w:t>
      </w:r>
      <w:r>
        <w:rPr>
          <w:rFonts w:ascii="Arabic Typesetting" w:hAnsi="Arabic Typesetting" w:cs="Arabic Typesetting" w:hint="cs"/>
          <w:sz w:val="34"/>
          <w:szCs w:val="34"/>
          <w:rtl/>
          <w:lang w:val="fr-CH"/>
        </w:rPr>
        <w:t xml:space="preserve">في </w:t>
      </w:r>
      <w:r w:rsidR="008B0D7B" w:rsidRPr="008B0D7B">
        <w:rPr>
          <w:rFonts w:ascii="Arabic Typesetting" w:hAnsi="Arabic Typesetting" w:cs="Arabic Typesetting"/>
          <w:sz w:val="34"/>
          <w:szCs w:val="34"/>
          <w:rtl/>
          <w:lang w:val="fr-CH"/>
        </w:rPr>
        <w:t>جذب المشاركين</w:t>
      </w:r>
      <w:r w:rsidR="004335C7">
        <w:rPr>
          <w:rFonts w:ascii="Arabic Typesetting" w:hAnsi="Arabic Typesetting" w:cs="Arabic Typesetting" w:hint="cs"/>
          <w:sz w:val="34"/>
          <w:szCs w:val="34"/>
          <w:rtl/>
          <w:lang w:val="fr-CH"/>
        </w:rPr>
        <w:t xml:space="preserve"> من مجموعة واسعة من الأطراف المعنية. </w:t>
      </w:r>
      <w:r w:rsidR="00326D25">
        <w:rPr>
          <w:rFonts w:ascii="Arabic Typesetting" w:hAnsi="Arabic Typesetting" w:cs="Arabic Typesetting" w:hint="cs"/>
          <w:sz w:val="34"/>
          <w:szCs w:val="34"/>
          <w:rtl/>
          <w:lang w:val="fr-CH"/>
        </w:rPr>
        <w:t>واستفاد</w:t>
      </w:r>
      <w:r w:rsidR="004335C7">
        <w:rPr>
          <w:rFonts w:ascii="Arabic Typesetting" w:hAnsi="Arabic Typesetting" w:cs="Arabic Typesetting" w:hint="cs"/>
          <w:sz w:val="34"/>
          <w:szCs w:val="34"/>
          <w:rtl/>
          <w:lang w:val="fr-CH"/>
        </w:rPr>
        <w:t xml:space="preserve"> نحو 551 78 من 193 بلداً </w:t>
      </w:r>
      <w:r w:rsidR="00326D25">
        <w:rPr>
          <w:rFonts w:ascii="Arabic Typesetting" w:hAnsi="Arabic Typesetting" w:cs="Arabic Typesetting" w:hint="cs"/>
          <w:sz w:val="34"/>
          <w:szCs w:val="34"/>
          <w:rtl/>
          <w:lang w:val="fr-CH"/>
        </w:rPr>
        <w:t xml:space="preserve">(809 67 مشاركين من الدورات العامة و742 10 مشاركاً من الدورات المتقدمة) من </w:t>
      </w:r>
      <w:r w:rsidR="00326D25" w:rsidRPr="00326D25">
        <w:rPr>
          <w:rFonts w:ascii="Arabic Typesetting" w:hAnsi="Arabic Typesetting" w:cs="Arabic Typesetting"/>
          <w:sz w:val="34"/>
          <w:szCs w:val="34"/>
          <w:rtl/>
          <w:lang w:val="fr-CH"/>
        </w:rPr>
        <w:t>منصة مركز التعلم الإلكتروني المعزز</w:t>
      </w:r>
      <w:r w:rsidR="00326D25">
        <w:rPr>
          <w:rFonts w:ascii="Arabic Typesetting" w:hAnsi="Arabic Typesetting" w:cs="Arabic Typesetting" w:hint="cs"/>
          <w:sz w:val="34"/>
          <w:szCs w:val="34"/>
          <w:rtl/>
          <w:lang w:val="fr-CH"/>
        </w:rPr>
        <w:t xml:space="preserve"> خلال الثنائية 2014/15 أي بانخفاض نسبته 3.6 بالمئة عن الثنائية 2012/13. وشارك </w:t>
      </w:r>
      <w:r w:rsidR="00DC3C7B">
        <w:rPr>
          <w:rFonts w:ascii="Arabic Typesetting" w:hAnsi="Arabic Typesetting" w:cs="Arabic Typesetting" w:hint="cs"/>
          <w:sz w:val="34"/>
          <w:szCs w:val="34"/>
          <w:rtl/>
          <w:lang w:val="fr-CH"/>
        </w:rPr>
        <w:t>60</w:t>
      </w:r>
      <w:r w:rsidR="00326D25">
        <w:rPr>
          <w:rFonts w:ascii="Arabic Typesetting" w:hAnsi="Arabic Typesetting" w:cs="Arabic Typesetting" w:hint="cs"/>
          <w:sz w:val="34"/>
          <w:szCs w:val="34"/>
          <w:rtl/>
          <w:lang w:val="fr-CH"/>
        </w:rPr>
        <w:t xml:space="preserve"> بالمئة من المشاركين في دورات الملكية الفكرية التي تشمل موضوعات البراءات والعلامات التجارية والملكية الصناعية والمؤشرات الجغرافية؛ و25 بالمئة في دورات عن مجالات متعددة التخصصات مثل إدارة الملكية الفكرية والمعارف التقليدية؛ و15 بالمئة في دورات عن حق المؤلف. </w:t>
      </w:r>
      <w:r w:rsidR="00DC3C7B">
        <w:rPr>
          <w:rFonts w:ascii="Arabic Typesetting" w:hAnsi="Arabic Typesetting" w:cs="Arabic Typesetting" w:hint="cs"/>
          <w:sz w:val="34"/>
          <w:szCs w:val="34"/>
          <w:rtl/>
          <w:lang w:val="fr-CH"/>
        </w:rPr>
        <w:t>وقدِّمت</w:t>
      </w:r>
      <w:r w:rsidR="00326D25">
        <w:rPr>
          <w:rFonts w:ascii="Arabic Typesetting" w:hAnsi="Arabic Typesetting" w:cs="Arabic Typesetting" w:hint="cs"/>
          <w:sz w:val="34"/>
          <w:szCs w:val="34"/>
          <w:rtl/>
          <w:lang w:val="fr-CH"/>
        </w:rPr>
        <w:t xml:space="preserve"> 92 بالمئة</w:t>
      </w:r>
      <w:r w:rsidR="00326D25" w:rsidRPr="00F96634">
        <w:rPr>
          <w:rFonts w:ascii="Arabic Typesetting" w:hAnsi="Arabic Typesetting" w:cs="Arabic Typesetting"/>
          <w:sz w:val="28"/>
          <w:szCs w:val="28"/>
          <w:vertAlign w:val="superscript"/>
          <w:rtl/>
          <w:lang w:val="fr-CH"/>
        </w:rPr>
        <w:footnoteReference w:id="71"/>
      </w:r>
      <w:r w:rsidR="00326D25">
        <w:rPr>
          <w:rFonts w:ascii="Arabic Typesetting" w:hAnsi="Arabic Typesetting" w:cs="Arabic Typesetting" w:hint="cs"/>
          <w:sz w:val="34"/>
          <w:szCs w:val="34"/>
          <w:rtl/>
          <w:lang w:val="fr-CH"/>
        </w:rPr>
        <w:t xml:space="preserve"> من الدورات المتاحة في الثنائية 2014/15 باللغات الست للأمم المتحدة إضافة إلى البرتغالية. وكان 50 بالمئة من المستفيدين نساءً. وتجدر الإشارة إلى أن الطلب على الدورات المتقدمة من مكاتب الملكية الفكرية والهيئات الحكومية والأكاديميات الناشئة ومراكز التكنولوجيا والابتكار والعلوم في البلدان النامية </w:t>
      </w:r>
      <w:r w:rsidR="00DC3C7B">
        <w:rPr>
          <w:rFonts w:ascii="Arabic Typesetting" w:hAnsi="Arabic Typesetting" w:cs="Arabic Typesetting" w:hint="cs"/>
          <w:sz w:val="34"/>
          <w:szCs w:val="34"/>
          <w:rtl/>
          <w:lang w:val="fr-CH"/>
        </w:rPr>
        <w:t>و</w:t>
      </w:r>
      <w:r w:rsidR="00326D25">
        <w:rPr>
          <w:rFonts w:ascii="Arabic Typesetting" w:hAnsi="Arabic Typesetting" w:cs="Arabic Typesetting" w:hint="cs"/>
          <w:sz w:val="34"/>
          <w:szCs w:val="34"/>
          <w:rtl/>
          <w:lang w:val="fr-CH"/>
        </w:rPr>
        <w:t xml:space="preserve">البلدان </w:t>
      </w:r>
      <w:r w:rsidR="00DC3C7B">
        <w:rPr>
          <w:rFonts w:ascii="Arabic Typesetting" w:hAnsi="Arabic Typesetting" w:cs="Arabic Typesetting" w:hint="cs"/>
          <w:sz w:val="34"/>
          <w:szCs w:val="34"/>
          <w:rtl/>
          <w:lang w:val="fr-CH"/>
        </w:rPr>
        <w:t xml:space="preserve">الأقل </w:t>
      </w:r>
      <w:r w:rsidR="00326D25">
        <w:rPr>
          <w:rFonts w:ascii="Arabic Typesetting" w:hAnsi="Arabic Typesetting" w:cs="Arabic Typesetting" w:hint="cs"/>
          <w:sz w:val="34"/>
          <w:szCs w:val="34"/>
          <w:rtl/>
          <w:lang w:val="fr-CH"/>
        </w:rPr>
        <w:t>نموا قد ازداد بنسبة 138 بالمئة</w:t>
      </w:r>
      <w:r w:rsidR="00326D25" w:rsidRPr="00F96634">
        <w:rPr>
          <w:rFonts w:ascii="Arabic Typesetting" w:hAnsi="Arabic Typesetting" w:cs="Arabic Typesetting"/>
          <w:sz w:val="28"/>
          <w:szCs w:val="28"/>
          <w:vertAlign w:val="superscript"/>
          <w:rtl/>
          <w:lang w:val="fr-CH"/>
        </w:rPr>
        <w:footnoteReference w:id="72"/>
      </w:r>
      <w:r w:rsidR="00326D25">
        <w:rPr>
          <w:rFonts w:ascii="Arabic Typesetting" w:hAnsi="Arabic Typesetting" w:cs="Arabic Typesetting" w:hint="cs"/>
          <w:sz w:val="34"/>
          <w:szCs w:val="34"/>
          <w:rtl/>
          <w:lang w:val="fr-CH"/>
        </w:rPr>
        <w:t xml:space="preserve"> ليصل إلى 6926 طلباً مقارنة بالثنائية السابقة التي سجلت 2907 طلبات.</w:t>
      </w:r>
      <w:r w:rsidR="000656B7">
        <w:rPr>
          <w:rFonts w:ascii="Arabic Typesetting" w:hAnsi="Arabic Typesetting" w:cs="Arabic Typesetting" w:hint="cs"/>
          <w:sz w:val="34"/>
          <w:szCs w:val="34"/>
          <w:rtl/>
          <w:lang w:val="fr-CH"/>
        </w:rPr>
        <w:t xml:space="preserve"> ويبين الشكل التالي التوزيع الجغرافي للمشاركين في دورات التعلّم عن بعد من 2012 إلى 2015.</w:t>
      </w:r>
    </w:p>
    <w:p w:rsidR="000656B7" w:rsidRPr="000656B7" w:rsidRDefault="000656B7" w:rsidP="000656B7">
      <w:pPr>
        <w:keepNext/>
        <w:tabs>
          <w:tab w:val="left" w:pos="720"/>
        </w:tabs>
        <w:bidi/>
        <w:spacing w:after="120" w:line="340" w:lineRule="exact"/>
        <w:jc w:val="center"/>
        <w:rPr>
          <w:rFonts w:ascii="Arabic Typesetting" w:hAnsi="Arabic Typesetting" w:cs="Arabic Typesetting"/>
          <w:i/>
          <w:iCs/>
          <w:sz w:val="28"/>
          <w:szCs w:val="28"/>
          <w:rtl/>
          <w:lang w:val="fr-CH"/>
        </w:rPr>
      </w:pPr>
      <w:r w:rsidRPr="000656B7">
        <w:rPr>
          <w:rFonts w:ascii="Arabic Typesetting" w:hAnsi="Arabic Typesetting" w:cs="Arabic Typesetting" w:hint="cs"/>
          <w:i/>
          <w:iCs/>
          <w:sz w:val="28"/>
          <w:szCs w:val="28"/>
          <w:rtl/>
          <w:lang w:val="fr-CH"/>
        </w:rPr>
        <w:t>التوزيع الجغرافي للمشاركين في دورات التعلّم عن بعد من 2012 إلى 2015</w:t>
      </w:r>
      <w:r w:rsidRPr="00F96634">
        <w:rPr>
          <w:rFonts w:ascii="Arabic Typesetting" w:hAnsi="Arabic Typesetting" w:cs="Arabic Typesetting"/>
          <w:i/>
          <w:iCs/>
          <w:sz w:val="28"/>
          <w:szCs w:val="28"/>
          <w:vertAlign w:val="superscript"/>
          <w:rtl/>
          <w:lang w:val="fr-CH"/>
        </w:rPr>
        <w:footnoteReference w:id="73"/>
      </w:r>
    </w:p>
    <w:p w:rsidR="004335C7" w:rsidRDefault="002330E3" w:rsidP="002330E3">
      <w:pPr>
        <w:tabs>
          <w:tab w:val="left" w:pos="720"/>
        </w:tabs>
        <w:bidi/>
        <w:spacing w:after="120"/>
        <w:jc w:val="center"/>
        <w:rPr>
          <w:rFonts w:ascii="Arabic Typesetting" w:hAnsi="Arabic Typesetting" w:cs="Arabic Typesetting"/>
          <w:sz w:val="34"/>
          <w:szCs w:val="34"/>
          <w:lang w:val="fr-CH"/>
        </w:rPr>
      </w:pPr>
      <w:r>
        <w:rPr>
          <w:rFonts w:ascii="Arabic Typesetting" w:hAnsi="Arabic Typesetting" w:cs="Arabic Typesetting"/>
          <w:noProof/>
          <w:sz w:val="34"/>
          <w:szCs w:val="34"/>
        </w:rPr>
        <w:drawing>
          <wp:inline distT="0" distB="0" distL="0" distR="0" wp14:anchorId="0CAEB71C" wp14:editId="25B35C01">
            <wp:extent cx="4778734" cy="3002788"/>
            <wp:effectExtent l="0" t="0" r="3175"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776394" cy="3001318"/>
                    </a:xfrm>
                    <a:prstGeom prst="rect">
                      <a:avLst/>
                    </a:prstGeom>
                    <a:noFill/>
                  </pic:spPr>
                </pic:pic>
              </a:graphicData>
            </a:graphic>
          </wp:inline>
        </w:drawing>
      </w:r>
    </w:p>
    <w:p w:rsidR="002330E3" w:rsidRDefault="002330E3" w:rsidP="009A3712">
      <w:pPr>
        <w:keepLines/>
        <w:numPr>
          <w:ilvl w:val="0"/>
          <w:numId w:val="43"/>
        </w:numPr>
        <w:bidi/>
        <w:spacing w:after="120" w:line="340" w:lineRule="exact"/>
        <w:ind w:left="0" w:firstLine="0"/>
        <w:rPr>
          <w:rFonts w:ascii="Arabic Typesetting" w:hAnsi="Arabic Typesetting" w:cs="Arabic Typesetting"/>
          <w:sz w:val="34"/>
          <w:szCs w:val="34"/>
          <w:lang w:val="fr-CH"/>
        </w:rPr>
      </w:pPr>
      <w:r w:rsidRPr="00766F0B">
        <w:rPr>
          <w:rFonts w:ascii="Arabic Typesetting" w:hAnsi="Arabic Typesetting" w:cs="Arabic Typesetting"/>
          <w:sz w:val="34"/>
          <w:szCs w:val="34"/>
          <w:rtl/>
          <w:lang w:val="fr-CH"/>
        </w:rPr>
        <w:lastRenderedPageBreak/>
        <w:t xml:space="preserve">وإضافة إلى ذلك، </w:t>
      </w:r>
      <w:r w:rsidR="000F1270">
        <w:rPr>
          <w:rFonts w:ascii="Arabic Typesetting" w:hAnsi="Arabic Typesetting" w:cs="Arabic Typesetting" w:hint="cs"/>
          <w:sz w:val="34"/>
          <w:szCs w:val="34"/>
          <w:rtl/>
          <w:lang w:val="fr-CH"/>
        </w:rPr>
        <w:t>بدأ</w:t>
      </w:r>
      <w:r w:rsidRPr="00766F0B">
        <w:rPr>
          <w:rFonts w:ascii="Arabic Typesetting" w:hAnsi="Arabic Typesetting" w:cs="Arabic Typesetting"/>
          <w:sz w:val="34"/>
          <w:szCs w:val="34"/>
          <w:rtl/>
          <w:lang w:val="fr-CH"/>
        </w:rPr>
        <w:t xml:space="preserve"> تحسين البرامج بالتعاون مع مكتبي كمبوديا </w:t>
      </w:r>
      <w:proofErr w:type="spellStart"/>
      <w:r w:rsidRPr="00766F0B">
        <w:rPr>
          <w:rFonts w:ascii="Arabic Typesetting" w:hAnsi="Arabic Typesetting" w:cs="Arabic Typesetting"/>
          <w:sz w:val="34"/>
          <w:szCs w:val="34"/>
          <w:rtl/>
          <w:lang w:val="fr-CH"/>
        </w:rPr>
        <w:t>وفييت</w:t>
      </w:r>
      <w:proofErr w:type="spellEnd"/>
      <w:r w:rsidRPr="00766F0B">
        <w:rPr>
          <w:rFonts w:ascii="Arabic Typesetting" w:hAnsi="Arabic Typesetting" w:cs="Arabic Typesetting"/>
          <w:sz w:val="34"/>
          <w:szCs w:val="34"/>
          <w:rtl/>
          <w:lang w:val="fr-CH"/>
        </w:rPr>
        <w:t xml:space="preserve"> نام للملكية الفكرية من خلال زيادة عدد لغات الدورات العامة من </w:t>
      </w:r>
      <w:r w:rsidRPr="00766F0B">
        <w:rPr>
          <w:rFonts w:ascii="Arabic Typesetting" w:hAnsi="Arabic Typesetting" w:cs="Arabic Typesetting" w:hint="cs"/>
          <w:sz w:val="34"/>
          <w:szCs w:val="34"/>
          <w:rtl/>
          <w:lang w:val="fr-CH"/>
        </w:rPr>
        <w:t>13</w:t>
      </w:r>
      <w:r w:rsidRPr="00766F0B">
        <w:rPr>
          <w:rFonts w:ascii="Arabic Typesetting" w:hAnsi="Arabic Typesetting" w:cs="Arabic Typesetting"/>
          <w:sz w:val="34"/>
          <w:szCs w:val="34"/>
          <w:rtl/>
          <w:lang w:val="fr-CH"/>
        </w:rPr>
        <w:t xml:space="preserve"> لغة</w:t>
      </w:r>
      <w:r w:rsidRPr="00F96634">
        <w:rPr>
          <w:rFonts w:ascii="Arabic Typesetting" w:hAnsi="Arabic Typesetting" w:cs="Arabic Typesetting"/>
          <w:sz w:val="28"/>
          <w:szCs w:val="28"/>
          <w:vertAlign w:val="superscript"/>
          <w:rtl/>
        </w:rPr>
        <w:footnoteReference w:id="74"/>
      </w:r>
      <w:r w:rsidRPr="00766F0B">
        <w:rPr>
          <w:rFonts w:ascii="Arabic Typesetting" w:hAnsi="Arabic Typesetting" w:cs="Arabic Typesetting"/>
          <w:sz w:val="34"/>
          <w:szCs w:val="34"/>
          <w:rtl/>
          <w:lang w:val="fr-CH"/>
        </w:rPr>
        <w:t xml:space="preserve"> في عام 2013 إلى </w:t>
      </w:r>
      <w:r w:rsidRPr="00766F0B">
        <w:rPr>
          <w:rFonts w:ascii="Arabic Typesetting" w:hAnsi="Arabic Typesetting" w:cs="Arabic Typesetting" w:hint="cs"/>
          <w:sz w:val="34"/>
          <w:szCs w:val="34"/>
          <w:rtl/>
          <w:lang w:val="fr-CH"/>
        </w:rPr>
        <w:t>15</w:t>
      </w:r>
      <w:r w:rsidRPr="00766F0B">
        <w:rPr>
          <w:rFonts w:ascii="Arabic Typesetting" w:hAnsi="Arabic Typesetting" w:cs="Arabic Typesetting"/>
          <w:sz w:val="34"/>
          <w:szCs w:val="34"/>
          <w:rtl/>
          <w:lang w:val="fr-CH"/>
        </w:rPr>
        <w:t xml:space="preserve"> لغة (العربية والكمبودية والصينية والكرواتية </w:t>
      </w:r>
      <w:r w:rsidR="00603093" w:rsidRPr="00766F0B">
        <w:rPr>
          <w:rFonts w:ascii="Arabic Typesetting" w:hAnsi="Arabic Typesetting" w:cs="Arabic Typesetting" w:hint="cs"/>
          <w:sz w:val="34"/>
          <w:szCs w:val="34"/>
          <w:rtl/>
          <w:lang w:val="fr-CH"/>
        </w:rPr>
        <w:t xml:space="preserve">والإنكليزية </w:t>
      </w:r>
      <w:r w:rsidRPr="00766F0B">
        <w:rPr>
          <w:rFonts w:ascii="Arabic Typesetting" w:hAnsi="Arabic Typesetting" w:cs="Arabic Typesetting"/>
          <w:sz w:val="34"/>
          <w:szCs w:val="34"/>
          <w:rtl/>
          <w:lang w:val="fr-CH"/>
        </w:rPr>
        <w:t xml:space="preserve">والفرنسية والألمانية واليابانية والكورية والبرتغالية والروسية والإسبانية والتايلاندية والأوكرانية والفيتنامية) في </w:t>
      </w:r>
      <w:r w:rsidRPr="00766F0B">
        <w:rPr>
          <w:rFonts w:ascii="Arabic Typesetting" w:hAnsi="Arabic Typesetting" w:cs="Arabic Typesetting" w:hint="cs"/>
          <w:sz w:val="34"/>
          <w:szCs w:val="34"/>
          <w:rtl/>
          <w:lang w:val="fr-CH"/>
        </w:rPr>
        <w:t>2014/15</w:t>
      </w:r>
      <w:r w:rsidRPr="00766F0B">
        <w:rPr>
          <w:rFonts w:ascii="Arabic Typesetting" w:hAnsi="Arabic Typesetting" w:cs="Arabic Typesetting"/>
          <w:sz w:val="34"/>
          <w:szCs w:val="34"/>
          <w:rtl/>
          <w:lang w:val="fr-CH"/>
        </w:rPr>
        <w:t>. وأطلقت دورتان تجريبيتان للتعلم عن بعد في عام 2014 بشأن "1" الملكية الفكرية والمعارف التقليدية وأشكال التعبير الثقافي التقليدي (</w:t>
      </w:r>
      <w:r w:rsidRPr="00766F0B">
        <w:rPr>
          <w:rFonts w:ascii="Arabic Typesetting" w:hAnsi="Arabic Typesetting" w:cs="Arabic Typesetting"/>
          <w:sz w:val="34"/>
          <w:szCs w:val="34"/>
          <w:lang w:val="fr-CH"/>
        </w:rPr>
        <w:t>DL</w:t>
      </w:r>
      <w:r w:rsidR="00603093" w:rsidRPr="00766F0B">
        <w:rPr>
          <w:rFonts w:ascii="Arabic Typesetting" w:hAnsi="Arabic Typesetting" w:cs="Arabic Typesetting"/>
          <w:sz w:val="34"/>
          <w:szCs w:val="34"/>
          <w:lang w:val="fr-CH"/>
        </w:rPr>
        <w:noBreakHyphen/>
      </w:r>
      <w:r w:rsidRPr="00766F0B">
        <w:rPr>
          <w:rFonts w:ascii="Arabic Typesetting" w:hAnsi="Arabic Typesetting" w:cs="Arabic Typesetting"/>
          <w:sz w:val="34"/>
          <w:szCs w:val="34"/>
          <w:lang w:val="fr-CH"/>
        </w:rPr>
        <w:t>203</w:t>
      </w:r>
      <w:r w:rsidRPr="00766F0B">
        <w:rPr>
          <w:rFonts w:ascii="Arabic Typesetting" w:hAnsi="Arabic Typesetting" w:cs="Arabic Typesetting"/>
          <w:sz w:val="34"/>
          <w:szCs w:val="34"/>
          <w:rtl/>
          <w:lang w:val="fr-CH"/>
        </w:rPr>
        <w:t>)؛ "2"</w:t>
      </w:r>
      <w:r w:rsidR="000F1270">
        <w:rPr>
          <w:rFonts w:ascii="Arabic Typesetting" w:hAnsi="Arabic Typesetting" w:cs="Arabic Typesetting" w:hint="cs"/>
          <w:sz w:val="34"/>
          <w:szCs w:val="34"/>
          <w:rtl/>
          <w:lang w:val="fr-CH"/>
        </w:rPr>
        <w:t> </w:t>
      </w:r>
      <w:r w:rsidRPr="00766F0B">
        <w:rPr>
          <w:rFonts w:ascii="Arabic Typesetting" w:hAnsi="Arabic Typesetting" w:cs="Arabic Typesetting"/>
          <w:sz w:val="34"/>
          <w:szCs w:val="34"/>
          <w:rtl/>
          <w:lang w:val="fr-CH"/>
        </w:rPr>
        <w:t>الإدارة الجماعية لحق المؤلف والحقوق المجاورة (</w:t>
      </w:r>
      <w:r w:rsidRPr="00766F0B">
        <w:rPr>
          <w:rFonts w:ascii="Arabic Typesetting" w:hAnsi="Arabic Typesetting" w:cs="Arabic Typesetting"/>
          <w:sz w:val="34"/>
          <w:szCs w:val="34"/>
          <w:lang w:val="fr-CH"/>
        </w:rPr>
        <w:t>DL</w:t>
      </w:r>
      <w:r w:rsidR="00603093" w:rsidRPr="00766F0B">
        <w:rPr>
          <w:rFonts w:ascii="Arabic Typesetting" w:hAnsi="Arabic Typesetting" w:cs="Arabic Typesetting"/>
          <w:sz w:val="34"/>
          <w:szCs w:val="34"/>
          <w:lang w:val="fr-CH"/>
        </w:rPr>
        <w:noBreakHyphen/>
      </w:r>
      <w:r w:rsidRPr="00766F0B">
        <w:rPr>
          <w:rFonts w:ascii="Arabic Typesetting" w:hAnsi="Arabic Typesetting" w:cs="Arabic Typesetting"/>
          <w:sz w:val="34"/>
          <w:szCs w:val="34"/>
          <w:lang w:val="fr-CH"/>
        </w:rPr>
        <w:t>501</w:t>
      </w:r>
      <w:r w:rsidRPr="00766F0B">
        <w:rPr>
          <w:rFonts w:ascii="Arabic Typesetting" w:hAnsi="Arabic Typesetting" w:cs="Arabic Typesetting"/>
          <w:sz w:val="34"/>
          <w:szCs w:val="34"/>
          <w:rtl/>
          <w:lang w:val="fr-CH"/>
        </w:rPr>
        <w:t xml:space="preserve">). </w:t>
      </w:r>
      <w:r w:rsidR="000F1270">
        <w:rPr>
          <w:rFonts w:ascii="Arabic Typesetting" w:hAnsi="Arabic Typesetting" w:cs="Arabic Typesetting" w:hint="cs"/>
          <w:sz w:val="34"/>
          <w:szCs w:val="34"/>
          <w:rtl/>
          <w:lang w:val="fr-CH"/>
        </w:rPr>
        <w:t>و</w:t>
      </w:r>
      <w:r w:rsidR="00603093" w:rsidRPr="00766F0B">
        <w:rPr>
          <w:rFonts w:ascii="Arabic Typesetting" w:hAnsi="Arabic Typesetting" w:cs="Arabic Typesetting" w:hint="cs"/>
          <w:sz w:val="34"/>
          <w:szCs w:val="34"/>
          <w:rtl/>
          <w:lang w:val="fr-CH"/>
        </w:rPr>
        <w:t>تواصل استحداث دورة التعليم عن بعد بشأن الملكية الفكرية والنفاذ إلى التكنولوجيات الطبية في عام 2015، ويتوقع إطلاق الدورة التجريبية في 2016/17. وبدأ العمل على استحداث عدة وحدات جديدة تشمل ما يلي: "1" ترخيص حق المؤلف بما في ذلك المصدر المفتوح؛ "2" </w:t>
      </w:r>
      <w:r w:rsidR="00E840AD" w:rsidRPr="00766F0B">
        <w:rPr>
          <w:rFonts w:ascii="Arabic Typesetting" w:hAnsi="Arabic Typesetting" w:cs="Arabic Typesetting" w:hint="cs"/>
          <w:sz w:val="34"/>
          <w:szCs w:val="34"/>
          <w:rtl/>
          <w:lang w:val="fr-CH"/>
        </w:rPr>
        <w:t xml:space="preserve">وإدارة حق المؤلف في صناعة الأفلام في أفريقيا. ونظمت دورات تدريبية مخصصة بشأن الملكية الفكرية بالتعاون مع شركاء من مكاتب الملكية الفكرية والجامعات في الأرجنتين وبلغاريا والبرازيل وكمبوديا والصين وكرواتيا ومصر والأردن وجمهورية كوريا والمكسيك والاتحاد الروسي وتونس وتركيا وأوروغواي </w:t>
      </w:r>
      <w:proofErr w:type="spellStart"/>
      <w:r w:rsidR="00E840AD" w:rsidRPr="00766F0B">
        <w:rPr>
          <w:rFonts w:ascii="Arabic Typesetting" w:hAnsi="Arabic Typesetting" w:cs="Arabic Typesetting" w:hint="cs"/>
          <w:sz w:val="34"/>
          <w:szCs w:val="34"/>
          <w:rtl/>
          <w:lang w:val="fr-CH"/>
        </w:rPr>
        <w:t>وفييت</w:t>
      </w:r>
      <w:proofErr w:type="spellEnd"/>
      <w:r w:rsidR="00E840AD" w:rsidRPr="00766F0B">
        <w:rPr>
          <w:rFonts w:ascii="Arabic Typesetting" w:hAnsi="Arabic Typesetting" w:cs="Arabic Typesetting" w:hint="cs"/>
          <w:sz w:val="34"/>
          <w:szCs w:val="34"/>
          <w:rtl/>
          <w:lang w:val="fr-CH"/>
        </w:rPr>
        <w:t xml:space="preserve"> نام وزامبيا وزمبابوي والمنظمة الإقليمية الأفريقية للملكية الفكرية والمنظمة الأفريقية للملكية</w:t>
      </w:r>
      <w:r w:rsidR="00E840AD" w:rsidRPr="00766F0B">
        <w:rPr>
          <w:rFonts w:ascii="Arabic Typesetting" w:hAnsi="Arabic Typesetting" w:cs="Arabic Typesetting" w:hint="eastAsia"/>
          <w:sz w:val="34"/>
          <w:szCs w:val="34"/>
          <w:rtl/>
          <w:lang w:val="fr-CH"/>
        </w:rPr>
        <w:t> </w:t>
      </w:r>
      <w:r w:rsidR="00E840AD" w:rsidRPr="00766F0B">
        <w:rPr>
          <w:rFonts w:ascii="Arabic Typesetting" w:hAnsi="Arabic Typesetting" w:cs="Arabic Typesetting" w:hint="cs"/>
          <w:sz w:val="34"/>
          <w:szCs w:val="34"/>
          <w:rtl/>
          <w:lang w:val="fr-CH"/>
        </w:rPr>
        <w:t xml:space="preserve">الفكرية. </w:t>
      </w:r>
      <w:r w:rsidR="00766F0B" w:rsidRPr="00766F0B">
        <w:rPr>
          <w:rFonts w:ascii="Arabic Typesetting" w:hAnsi="Arabic Typesetting" w:cs="Arabic Typesetting" w:hint="cs"/>
          <w:sz w:val="34"/>
          <w:szCs w:val="34"/>
          <w:rtl/>
          <w:lang w:val="fr-CH"/>
        </w:rPr>
        <w:t xml:space="preserve">وشملت التحسينات الأخرى المدخلة على برنامج التعليم عن بعد في 2014/15 ما يلي: "1" مواصلة تنفيذ توصيات جدول أعمال التنمية عن طريق إضافة وحدات تعليمية عن </w:t>
      </w:r>
      <w:proofErr w:type="spellStart"/>
      <w:r w:rsidR="00766F0B" w:rsidRPr="00766F0B">
        <w:rPr>
          <w:rFonts w:ascii="Arabic Typesetting" w:hAnsi="Arabic Typesetting" w:cs="Arabic Typesetting" w:hint="cs"/>
          <w:sz w:val="34"/>
          <w:szCs w:val="34"/>
          <w:rtl/>
          <w:lang w:val="fr-CH"/>
        </w:rPr>
        <w:t>المرونات</w:t>
      </w:r>
      <w:proofErr w:type="spellEnd"/>
      <w:r w:rsidR="00766F0B" w:rsidRPr="00766F0B">
        <w:rPr>
          <w:rFonts w:ascii="Arabic Typesetting" w:hAnsi="Arabic Typesetting" w:cs="Arabic Typesetting" w:hint="cs"/>
          <w:sz w:val="34"/>
          <w:szCs w:val="34"/>
          <w:rtl/>
          <w:lang w:val="fr-CH"/>
        </w:rPr>
        <w:t xml:space="preserve"> والملك العام في الدورات المتقدمة؛ "2" وتطبيق نهج </w:t>
      </w:r>
      <w:r w:rsidR="00766F0B" w:rsidRPr="00766F0B">
        <w:rPr>
          <w:rFonts w:ascii="Arabic Typesetting" w:hAnsi="Arabic Typesetting" w:cs="Arabic Typesetting"/>
          <w:sz w:val="34"/>
          <w:szCs w:val="34"/>
          <w:rtl/>
          <w:lang w:val="fr-CH"/>
        </w:rPr>
        <w:t>أكثر انتظاماً في عملية الاستعراض السنوية</w:t>
      </w:r>
      <w:r w:rsidR="00766F0B">
        <w:rPr>
          <w:rFonts w:ascii="Arabic Typesetting" w:hAnsi="Arabic Typesetting" w:cs="Arabic Typesetting" w:hint="cs"/>
          <w:sz w:val="34"/>
          <w:szCs w:val="34"/>
          <w:rtl/>
          <w:lang w:val="fr-CH"/>
        </w:rPr>
        <w:t>.</w:t>
      </w:r>
      <w:r w:rsidR="00766F0B" w:rsidRPr="00766F0B">
        <w:rPr>
          <w:rFonts w:ascii="Arabic Typesetting" w:hAnsi="Arabic Typesetting" w:cs="Arabic Typesetting" w:hint="cs"/>
          <w:sz w:val="34"/>
          <w:szCs w:val="34"/>
          <w:rtl/>
          <w:lang w:val="fr-CH"/>
        </w:rPr>
        <w:t xml:space="preserve"> </w:t>
      </w:r>
      <w:r w:rsidRPr="00766F0B">
        <w:rPr>
          <w:rFonts w:ascii="Arabic Typesetting" w:hAnsi="Arabic Typesetting" w:cs="Arabic Typesetting"/>
          <w:sz w:val="34"/>
          <w:szCs w:val="34"/>
          <w:rtl/>
          <w:lang w:val="fr-CH"/>
        </w:rPr>
        <w:t>وخضع مضمون دورة التعلم عن بعد لاستعراض مستفيض (المرحلة الأولى) على أن تنفَّذ نتائجه في عام 2015 (المرحلة</w:t>
      </w:r>
      <w:r w:rsidR="000F1270">
        <w:rPr>
          <w:rFonts w:ascii="Arabic Typesetting" w:hAnsi="Arabic Typesetting" w:cs="Arabic Typesetting" w:hint="cs"/>
          <w:sz w:val="34"/>
          <w:szCs w:val="34"/>
          <w:rtl/>
          <w:lang w:val="fr-CH"/>
        </w:rPr>
        <w:t> </w:t>
      </w:r>
      <w:r w:rsidRPr="00766F0B">
        <w:rPr>
          <w:rFonts w:ascii="Arabic Typesetting" w:hAnsi="Arabic Typesetting" w:cs="Arabic Typesetting"/>
          <w:sz w:val="34"/>
          <w:szCs w:val="34"/>
          <w:rtl/>
          <w:lang w:val="fr-CH"/>
        </w:rPr>
        <w:t>الثانية).</w:t>
      </w:r>
    </w:p>
    <w:p w:rsidR="00766F0B" w:rsidRDefault="008A2DBA" w:rsidP="009A3712">
      <w:pPr>
        <w:numPr>
          <w:ilvl w:val="0"/>
          <w:numId w:val="43"/>
        </w:numPr>
        <w:bidi/>
        <w:spacing w:after="120" w:line="340" w:lineRule="exact"/>
        <w:ind w:left="0" w:firstLine="0"/>
        <w:rPr>
          <w:rFonts w:ascii="Arabic Typesetting" w:hAnsi="Arabic Typesetting" w:cs="Arabic Typesetting"/>
          <w:sz w:val="34"/>
          <w:szCs w:val="34"/>
          <w:lang w:val="fr-CH"/>
        </w:rPr>
      </w:pPr>
      <w:r w:rsidRPr="008A2DBA">
        <w:rPr>
          <w:rFonts w:ascii="Arabic Typesetting" w:hAnsi="Arabic Typesetting" w:cs="Arabic Typesetting"/>
          <w:sz w:val="34"/>
          <w:szCs w:val="34"/>
          <w:rtl/>
          <w:lang w:val="fr-CH"/>
        </w:rPr>
        <w:t>وواصل برنامج المؤسسات الأكاديمية تقديم دورات مشتركة للحصول على درجة ماجستير في قانون الملكية الفكرية لصالح رعايا البلدان النامية والبلدان التي تمر بمرحلة انتقال</w:t>
      </w:r>
      <w:r>
        <w:rPr>
          <w:rFonts w:ascii="Arabic Typesetting" w:hAnsi="Arabic Typesetting" w:cs="Arabic Typesetting" w:hint="cs"/>
          <w:sz w:val="34"/>
          <w:szCs w:val="34"/>
          <w:rtl/>
          <w:lang w:val="fr-CH"/>
        </w:rPr>
        <w:t>ية</w:t>
      </w:r>
      <w:r w:rsidRPr="008A2DBA">
        <w:rPr>
          <w:rFonts w:ascii="Arabic Typesetting" w:hAnsi="Arabic Typesetting" w:cs="Arabic Typesetting"/>
          <w:sz w:val="34"/>
          <w:szCs w:val="34"/>
          <w:rtl/>
          <w:lang w:val="fr-CH"/>
        </w:rPr>
        <w:t xml:space="preserve"> بالتعاون مع عدد من الجامعات وبمساعدة مالية قدمتها حكومتا اليابان وجمهورية كوريا لأربعة برامج.</w:t>
      </w:r>
      <w:r>
        <w:rPr>
          <w:rFonts w:ascii="Arabic Typesetting" w:hAnsi="Arabic Typesetting" w:cs="Arabic Typesetting" w:hint="cs"/>
          <w:sz w:val="34"/>
          <w:szCs w:val="34"/>
          <w:rtl/>
          <w:lang w:val="fr-CH"/>
        </w:rPr>
        <w:t xml:space="preserve"> وفي 2014/15، تخرج ما مجموعه 340 شخصاً من </w:t>
      </w:r>
      <w:r w:rsidRPr="008A2DBA">
        <w:rPr>
          <w:rFonts w:ascii="Arabic Typesetting" w:hAnsi="Arabic Typesetting" w:cs="Arabic Typesetting"/>
          <w:sz w:val="34"/>
          <w:szCs w:val="34"/>
          <w:rtl/>
          <w:lang w:val="fr-CH"/>
        </w:rPr>
        <w:t>البرامج السبعة للحصول على ماجستير قانون الملكية الفكرية</w:t>
      </w:r>
      <w:r>
        <w:rPr>
          <w:rFonts w:ascii="Arabic Typesetting" w:hAnsi="Arabic Typesetting" w:cs="Arabic Typesetting" w:hint="cs"/>
          <w:sz w:val="34"/>
          <w:szCs w:val="34"/>
          <w:rtl/>
          <w:lang w:val="fr-CH"/>
        </w:rPr>
        <w:t xml:space="preserve"> منهم 178 طالباً من 75 بلداً حصلوا على منح دراسية. والتحق 364</w:t>
      </w:r>
      <w:r w:rsidRPr="00F96634">
        <w:rPr>
          <w:rFonts w:ascii="Arabic Typesetting" w:hAnsi="Arabic Typesetting" w:cs="Arabic Typesetting"/>
          <w:sz w:val="28"/>
          <w:szCs w:val="28"/>
          <w:vertAlign w:val="superscript"/>
          <w:rtl/>
          <w:lang w:val="fr-CH"/>
        </w:rPr>
        <w:footnoteReference w:id="75"/>
      </w:r>
      <w:r>
        <w:rPr>
          <w:rFonts w:ascii="Arabic Typesetting" w:hAnsi="Arabic Typesetting" w:cs="Arabic Typesetting" w:hint="cs"/>
          <w:sz w:val="34"/>
          <w:szCs w:val="34"/>
          <w:rtl/>
          <w:lang w:val="fr-CH"/>
        </w:rPr>
        <w:t xml:space="preserve"> طالباً جديداً بأحد هذه البرامج في الثنائية ذاتها.</w:t>
      </w:r>
      <w:r w:rsidRPr="00F96634">
        <w:rPr>
          <w:rFonts w:ascii="Arabic Typesetting" w:hAnsi="Arabic Typesetting" w:cs="Arabic Typesetting"/>
          <w:sz w:val="28"/>
          <w:szCs w:val="28"/>
          <w:vertAlign w:val="superscript"/>
          <w:rtl/>
          <w:lang w:val="fr-CH"/>
        </w:rPr>
        <w:footnoteReference w:id="76"/>
      </w:r>
      <w:r>
        <w:rPr>
          <w:rFonts w:ascii="Arabic Typesetting" w:hAnsi="Arabic Typesetting" w:cs="Arabic Typesetting" w:hint="cs"/>
          <w:sz w:val="34"/>
          <w:szCs w:val="34"/>
          <w:rtl/>
          <w:lang w:val="fr-CH"/>
        </w:rPr>
        <w:t xml:space="preserve"> ووصل معدل النجاح الإجمالي في السنة الأكاديمية 2014/15 إلى 85 بالمئة.</w:t>
      </w:r>
    </w:p>
    <w:p w:rsidR="008A2DBA" w:rsidRDefault="008A2DBA" w:rsidP="009A3712">
      <w:pPr>
        <w:numPr>
          <w:ilvl w:val="0"/>
          <w:numId w:val="43"/>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وق</w:t>
      </w:r>
      <w:r w:rsidR="000F1270">
        <w:rPr>
          <w:rFonts w:ascii="Arabic Typesetting" w:hAnsi="Arabic Typesetting" w:cs="Arabic Typesetting" w:hint="cs"/>
          <w:sz w:val="34"/>
          <w:szCs w:val="34"/>
          <w:rtl/>
          <w:lang w:val="fr-CH"/>
        </w:rPr>
        <w:t>ُ</w:t>
      </w:r>
      <w:r>
        <w:rPr>
          <w:rFonts w:ascii="Arabic Typesetting" w:hAnsi="Arabic Typesetting" w:cs="Arabic Typesetting" w:hint="cs"/>
          <w:sz w:val="34"/>
          <w:szCs w:val="34"/>
          <w:rtl/>
          <w:lang w:val="fr-CH"/>
        </w:rPr>
        <w:t xml:space="preserve">دمت </w:t>
      </w:r>
      <w:r w:rsidRPr="008B0D7B">
        <w:rPr>
          <w:rFonts w:ascii="Arabic Typesetting" w:hAnsi="Arabic Typesetting" w:cs="Arabic Typesetting" w:hint="cs"/>
          <w:sz w:val="34"/>
          <w:szCs w:val="34"/>
          <w:rtl/>
          <w:lang w:val="fr-CH"/>
        </w:rPr>
        <w:t xml:space="preserve">برامج </w:t>
      </w:r>
      <w:r>
        <w:rPr>
          <w:rFonts w:ascii="Arabic Typesetting" w:hAnsi="Arabic Typesetting" w:cs="Arabic Typesetting" w:hint="cs"/>
          <w:sz w:val="34"/>
          <w:szCs w:val="34"/>
          <w:rtl/>
          <w:lang w:val="fr-CH"/>
        </w:rPr>
        <w:t>ا</w:t>
      </w:r>
      <w:r w:rsidRPr="008B0D7B">
        <w:rPr>
          <w:rFonts w:ascii="Arabic Typesetting" w:hAnsi="Arabic Typesetting" w:cs="Arabic Typesetting"/>
          <w:sz w:val="34"/>
          <w:szCs w:val="34"/>
          <w:rtl/>
          <w:lang w:val="fr-CH"/>
        </w:rPr>
        <w:t xml:space="preserve">لحصول على </w:t>
      </w:r>
      <w:r>
        <w:rPr>
          <w:rFonts w:ascii="Arabic Typesetting" w:hAnsi="Arabic Typesetting" w:cs="Arabic Typesetting" w:hint="cs"/>
          <w:sz w:val="34"/>
          <w:szCs w:val="34"/>
          <w:rtl/>
          <w:lang w:val="fr-CH"/>
        </w:rPr>
        <w:t>ال</w:t>
      </w:r>
      <w:r w:rsidRPr="008B0D7B">
        <w:rPr>
          <w:rFonts w:ascii="Arabic Typesetting" w:hAnsi="Arabic Typesetting" w:cs="Arabic Typesetting"/>
          <w:sz w:val="34"/>
          <w:szCs w:val="34"/>
          <w:rtl/>
          <w:lang w:val="fr-CH"/>
        </w:rPr>
        <w:t>ماجستير</w:t>
      </w:r>
      <w:r>
        <w:rPr>
          <w:rFonts w:ascii="Arabic Typesetting" w:hAnsi="Arabic Typesetting" w:cs="Arabic Typesetting" w:hint="cs"/>
          <w:sz w:val="34"/>
          <w:szCs w:val="34"/>
          <w:rtl/>
          <w:lang w:val="fr-CH"/>
        </w:rPr>
        <w:t xml:space="preserve"> بالاشتراك بين</w:t>
      </w:r>
      <w:r w:rsidRPr="008B0D7B">
        <w:rPr>
          <w:rFonts w:ascii="Arabic Typesetting" w:hAnsi="Arabic Typesetting" w:cs="Arabic Typesetting"/>
          <w:sz w:val="34"/>
          <w:szCs w:val="34"/>
          <w:rtl/>
          <w:lang w:val="fr-CH"/>
        </w:rPr>
        <w:t xml:space="preserve"> أكاديمية الويبو </w:t>
      </w:r>
      <w:r>
        <w:rPr>
          <w:rFonts w:ascii="Arabic Typesetting" w:hAnsi="Arabic Typesetting" w:cs="Arabic Typesetting" w:hint="cs"/>
          <w:sz w:val="34"/>
          <w:szCs w:val="34"/>
          <w:rtl/>
          <w:lang w:val="fr-CH"/>
        </w:rPr>
        <w:t>والجامعات والمؤسسات الشريكة التالية</w:t>
      </w:r>
      <w:r w:rsidRPr="008B0D7B">
        <w:rPr>
          <w:rFonts w:ascii="Arabic Typesetting" w:hAnsi="Arabic Typesetting" w:cs="Arabic Typesetting" w:hint="cs"/>
          <w:sz w:val="34"/>
          <w:szCs w:val="34"/>
          <w:rtl/>
          <w:lang w:val="fr-CH"/>
        </w:rPr>
        <w:t>:</w:t>
      </w:r>
      <w:r w:rsidRPr="008B0D7B">
        <w:rPr>
          <w:rFonts w:ascii="Arabic Typesetting" w:hAnsi="Arabic Typesetting" w:cs="Arabic Typesetting"/>
          <w:sz w:val="34"/>
          <w:szCs w:val="34"/>
          <w:rtl/>
          <w:lang w:val="fr-CH"/>
        </w:rPr>
        <w:t xml:space="preserve"> </w:t>
      </w:r>
      <w:r>
        <w:rPr>
          <w:rFonts w:ascii="Arabic Typesetting" w:hAnsi="Arabic Typesetting" w:cs="Arabic Typesetting" w:hint="cs"/>
          <w:sz w:val="34"/>
          <w:szCs w:val="34"/>
          <w:rtl/>
          <w:lang w:val="fr-CH"/>
        </w:rPr>
        <w:t>"1" </w:t>
      </w:r>
      <w:r w:rsidRPr="008B0D7B">
        <w:rPr>
          <w:rFonts w:ascii="Arabic Typesetting" w:hAnsi="Arabic Typesetting" w:cs="Arabic Typesetting"/>
          <w:sz w:val="34"/>
          <w:szCs w:val="34"/>
          <w:rtl/>
          <w:lang w:val="fr-CH"/>
        </w:rPr>
        <w:t xml:space="preserve">جامعة أفريقيا (الاتحاد الأفريقي) </w:t>
      </w:r>
      <w:r w:rsidRPr="008B0D7B">
        <w:rPr>
          <w:rFonts w:ascii="Arabic Typesetting" w:hAnsi="Arabic Typesetting" w:cs="Arabic Typesetting" w:hint="cs"/>
          <w:sz w:val="34"/>
          <w:szCs w:val="34"/>
          <w:rtl/>
          <w:lang w:val="fr-CH"/>
        </w:rPr>
        <w:t>و</w:t>
      </w:r>
      <w:r w:rsidRPr="008B0D7B">
        <w:rPr>
          <w:rFonts w:ascii="Arabic Typesetting" w:hAnsi="Arabic Typesetting" w:cs="Arabic Typesetting"/>
          <w:sz w:val="34"/>
          <w:szCs w:val="34"/>
          <w:rtl/>
          <w:lang w:val="fr-CH"/>
        </w:rPr>
        <w:t>المنظمة الإقليمية الأفريقية للملكية الفكرية</w:t>
      </w:r>
      <w:r w:rsidRPr="008B0D7B">
        <w:rPr>
          <w:rFonts w:ascii="Arabic Typesetting" w:hAnsi="Arabic Typesetting" w:cs="Arabic Typesetting" w:hint="cs"/>
          <w:sz w:val="34"/>
          <w:szCs w:val="34"/>
          <w:rtl/>
          <w:lang w:val="fr-CH"/>
        </w:rPr>
        <w:t xml:space="preserve"> (زمبابوي)</w:t>
      </w:r>
      <w:r>
        <w:rPr>
          <w:rFonts w:ascii="Arabic Typesetting" w:hAnsi="Arabic Typesetting" w:cs="Arabic Typesetting" w:hint="cs"/>
          <w:sz w:val="34"/>
          <w:szCs w:val="34"/>
          <w:rtl/>
          <w:lang w:val="fr-CH"/>
        </w:rPr>
        <w:t>؛ "2" </w:t>
      </w:r>
      <w:r w:rsidRPr="008B0D7B">
        <w:rPr>
          <w:rFonts w:ascii="Arabic Typesetting" w:hAnsi="Arabic Typesetting" w:cs="Arabic Typesetting"/>
          <w:sz w:val="34"/>
          <w:szCs w:val="34"/>
          <w:rtl/>
          <w:lang w:val="fr-CH"/>
        </w:rPr>
        <w:t xml:space="preserve">وجامعة </w:t>
      </w:r>
      <w:proofErr w:type="spellStart"/>
      <w:r w:rsidRPr="008B0D7B">
        <w:rPr>
          <w:rFonts w:ascii="Arabic Typesetting" w:hAnsi="Arabic Typesetting" w:cs="Arabic Typesetting"/>
          <w:sz w:val="34"/>
          <w:szCs w:val="34"/>
          <w:rtl/>
          <w:lang w:val="fr-CH"/>
        </w:rPr>
        <w:t>أوسترال</w:t>
      </w:r>
      <w:proofErr w:type="spellEnd"/>
      <w:r w:rsidRPr="008B0D7B">
        <w:rPr>
          <w:rFonts w:ascii="Arabic Typesetting" w:hAnsi="Arabic Typesetting" w:cs="Arabic Typesetting"/>
          <w:sz w:val="34"/>
          <w:szCs w:val="34"/>
          <w:rtl/>
          <w:lang w:val="fr-CH"/>
        </w:rPr>
        <w:t xml:space="preserve"> ومؤسسة الأرجنتين الوطنية للملكية الفكرية (الأرجنتين)</w:t>
      </w:r>
      <w:r>
        <w:rPr>
          <w:rFonts w:ascii="Arabic Typesetting" w:hAnsi="Arabic Typesetting" w:cs="Arabic Typesetting" w:hint="cs"/>
          <w:sz w:val="34"/>
          <w:szCs w:val="34"/>
          <w:rtl/>
          <w:lang w:val="fr-CH"/>
        </w:rPr>
        <w:t>؛</w:t>
      </w:r>
      <w:r w:rsidRPr="008B0D7B">
        <w:rPr>
          <w:rFonts w:ascii="Arabic Typesetting" w:hAnsi="Arabic Typesetting" w:cs="Arabic Typesetting"/>
          <w:sz w:val="34"/>
          <w:szCs w:val="34"/>
          <w:rtl/>
          <w:lang w:val="fr-CH"/>
        </w:rPr>
        <w:t xml:space="preserve"> </w:t>
      </w:r>
      <w:r>
        <w:rPr>
          <w:rFonts w:ascii="Arabic Typesetting" w:hAnsi="Arabic Typesetting" w:cs="Arabic Typesetting" w:hint="cs"/>
          <w:sz w:val="34"/>
          <w:szCs w:val="34"/>
          <w:rtl/>
          <w:lang w:val="fr-CH"/>
        </w:rPr>
        <w:t>"3" </w:t>
      </w:r>
      <w:r w:rsidRPr="008B0D7B">
        <w:rPr>
          <w:rFonts w:ascii="Arabic Typesetting" w:hAnsi="Arabic Typesetting" w:cs="Arabic Typesetting"/>
          <w:sz w:val="34"/>
          <w:szCs w:val="34"/>
          <w:rtl/>
          <w:lang w:val="fr-CH"/>
        </w:rPr>
        <w:t xml:space="preserve">وجامعة </w:t>
      </w:r>
      <w:proofErr w:type="spellStart"/>
      <w:r w:rsidRPr="008B0D7B">
        <w:rPr>
          <w:rFonts w:ascii="Arabic Typesetting" w:hAnsi="Arabic Typesetting" w:cs="Arabic Typesetting"/>
          <w:sz w:val="34"/>
          <w:szCs w:val="34"/>
          <w:rtl/>
          <w:lang w:val="fr-CH"/>
        </w:rPr>
        <w:t>كوينسلند</w:t>
      </w:r>
      <w:proofErr w:type="spellEnd"/>
      <w:r w:rsidRPr="008B0D7B">
        <w:rPr>
          <w:rFonts w:ascii="Arabic Typesetting" w:hAnsi="Arabic Typesetting" w:cs="Arabic Typesetting"/>
          <w:sz w:val="34"/>
          <w:szCs w:val="34"/>
          <w:rtl/>
          <w:lang w:val="fr-CH"/>
        </w:rPr>
        <w:t xml:space="preserve"> للتكنولوجيا (</w:t>
      </w:r>
      <w:r w:rsidRPr="008B0D7B">
        <w:rPr>
          <w:rFonts w:ascii="Arabic Typesetting" w:hAnsi="Arabic Typesetting" w:cs="Arabic Typesetting" w:hint="cs"/>
          <w:sz w:val="34"/>
          <w:szCs w:val="34"/>
          <w:rtl/>
          <w:lang w:val="fr-CH"/>
        </w:rPr>
        <w:t>أ</w:t>
      </w:r>
      <w:r w:rsidRPr="008B0D7B">
        <w:rPr>
          <w:rFonts w:ascii="Arabic Typesetting" w:hAnsi="Arabic Typesetting" w:cs="Arabic Typesetting"/>
          <w:sz w:val="34"/>
          <w:szCs w:val="34"/>
          <w:rtl/>
          <w:lang w:val="fr-CH"/>
        </w:rPr>
        <w:t>ستراليا)</w:t>
      </w:r>
      <w:r>
        <w:rPr>
          <w:rFonts w:ascii="Arabic Typesetting" w:hAnsi="Arabic Typesetting" w:cs="Arabic Typesetting" w:hint="cs"/>
          <w:sz w:val="34"/>
          <w:szCs w:val="34"/>
          <w:rtl/>
          <w:lang w:val="fr-CH"/>
        </w:rPr>
        <w:t>؛</w:t>
      </w:r>
      <w:r w:rsidRPr="008B0D7B">
        <w:rPr>
          <w:rFonts w:ascii="Arabic Typesetting" w:hAnsi="Arabic Typesetting" w:cs="Arabic Typesetting" w:hint="cs"/>
          <w:sz w:val="34"/>
          <w:szCs w:val="34"/>
          <w:rtl/>
          <w:lang w:val="fr-CH"/>
        </w:rPr>
        <w:t xml:space="preserve"> </w:t>
      </w:r>
      <w:r>
        <w:rPr>
          <w:rFonts w:ascii="Arabic Typesetting" w:hAnsi="Arabic Typesetting" w:cs="Arabic Typesetting" w:hint="cs"/>
          <w:sz w:val="34"/>
          <w:szCs w:val="34"/>
          <w:rtl/>
          <w:lang w:val="fr-CH"/>
        </w:rPr>
        <w:t>"4" </w:t>
      </w:r>
      <w:r w:rsidRPr="008B0D7B">
        <w:rPr>
          <w:rFonts w:ascii="Arabic Typesetting" w:hAnsi="Arabic Typesetting" w:cs="Arabic Typesetting"/>
          <w:sz w:val="34"/>
          <w:szCs w:val="34"/>
          <w:rtl/>
          <w:lang w:val="fr-CH"/>
        </w:rPr>
        <w:t>وجامعة سيول الوطنية والمكتب الكوري للملكية الفكرية</w:t>
      </w:r>
      <w:r>
        <w:rPr>
          <w:rFonts w:ascii="Arabic Typesetting" w:hAnsi="Arabic Typesetting" w:cs="Arabic Typesetting" w:hint="cs"/>
          <w:sz w:val="34"/>
          <w:szCs w:val="34"/>
          <w:rtl/>
          <w:lang w:val="fr-CH"/>
        </w:rPr>
        <w:t xml:space="preserve"> </w:t>
      </w:r>
      <w:r w:rsidRPr="008B0D7B">
        <w:rPr>
          <w:rFonts w:ascii="Arabic Typesetting" w:hAnsi="Arabic Typesetting" w:cs="Arabic Typesetting"/>
          <w:sz w:val="34"/>
          <w:szCs w:val="34"/>
          <w:rtl/>
          <w:lang w:val="fr-CH"/>
        </w:rPr>
        <w:t>(جمهورية كوريا)</w:t>
      </w:r>
      <w:r>
        <w:rPr>
          <w:rFonts w:ascii="Arabic Typesetting" w:hAnsi="Arabic Typesetting" w:cs="Arabic Typesetting" w:hint="cs"/>
          <w:sz w:val="34"/>
          <w:szCs w:val="34"/>
          <w:rtl/>
          <w:lang w:val="fr-CH"/>
        </w:rPr>
        <w:t>؛ "5"</w:t>
      </w:r>
      <w:r>
        <w:rPr>
          <w:rFonts w:ascii="Arabic Typesetting" w:hAnsi="Arabic Typesetting" w:cs="Arabic Typesetting" w:hint="eastAsia"/>
          <w:sz w:val="34"/>
          <w:szCs w:val="34"/>
          <w:rtl/>
          <w:lang w:val="fr-CH"/>
        </w:rPr>
        <w:t> </w:t>
      </w:r>
      <w:r w:rsidRPr="008B0D7B">
        <w:rPr>
          <w:rFonts w:ascii="Arabic Typesetting" w:hAnsi="Arabic Typesetting" w:cs="Arabic Typesetting" w:hint="cs"/>
          <w:sz w:val="34"/>
          <w:szCs w:val="34"/>
          <w:rtl/>
          <w:lang w:val="fr-CH"/>
        </w:rPr>
        <w:t>و</w:t>
      </w:r>
      <w:r w:rsidRPr="008B0D7B">
        <w:rPr>
          <w:rFonts w:ascii="Arabic Typesetting" w:hAnsi="Arabic Typesetting" w:cs="Arabic Typesetting"/>
          <w:sz w:val="34"/>
          <w:szCs w:val="34"/>
          <w:rtl/>
          <w:lang w:val="fr-CH"/>
        </w:rPr>
        <w:t>جامعة تورين</w:t>
      </w:r>
      <w:r w:rsidRPr="008B0D7B">
        <w:rPr>
          <w:rFonts w:ascii="Arabic Typesetting" w:hAnsi="Arabic Typesetting" w:cs="Arabic Typesetting" w:hint="cs"/>
          <w:sz w:val="34"/>
          <w:szCs w:val="34"/>
          <w:rtl/>
          <w:lang w:val="fr-CH"/>
        </w:rPr>
        <w:t xml:space="preserve"> و</w:t>
      </w:r>
      <w:r w:rsidRPr="008B0D7B">
        <w:rPr>
          <w:rFonts w:ascii="Arabic Typesetting" w:hAnsi="Arabic Typesetting" w:cs="Arabic Typesetting"/>
          <w:sz w:val="34"/>
          <w:szCs w:val="34"/>
          <w:rtl/>
          <w:lang w:val="fr-CH"/>
        </w:rPr>
        <w:t>مركز التدريب الدولي التابع لمنظمة العمل الدولية</w:t>
      </w:r>
      <w:r w:rsidR="00CA2CFF" w:rsidRPr="008B0D7B">
        <w:rPr>
          <w:rFonts w:ascii="Arabic Typesetting" w:hAnsi="Arabic Typesetting" w:cs="Arabic Typesetting"/>
          <w:sz w:val="34"/>
          <w:szCs w:val="34"/>
          <w:rtl/>
          <w:lang w:val="fr-CH"/>
        </w:rPr>
        <w:t xml:space="preserve"> (إيطاليا)</w:t>
      </w:r>
      <w:r w:rsidR="00CA2CFF">
        <w:rPr>
          <w:rFonts w:ascii="Arabic Typesetting" w:hAnsi="Arabic Typesetting" w:cs="Arabic Typesetting" w:hint="cs"/>
          <w:sz w:val="34"/>
          <w:szCs w:val="34"/>
          <w:rtl/>
          <w:lang w:val="fr-CH"/>
        </w:rPr>
        <w:t>؛ "6"</w:t>
      </w:r>
      <w:r w:rsidR="00CA2CFF">
        <w:rPr>
          <w:rFonts w:ascii="Arabic Typesetting" w:hAnsi="Arabic Typesetting" w:cs="Arabic Typesetting" w:hint="eastAsia"/>
          <w:sz w:val="34"/>
          <w:szCs w:val="34"/>
          <w:rtl/>
          <w:lang w:val="fr-CH"/>
        </w:rPr>
        <w:t> </w:t>
      </w:r>
      <w:r w:rsidRPr="008B0D7B">
        <w:rPr>
          <w:rFonts w:ascii="Arabic Typesetting" w:hAnsi="Arabic Typesetting" w:cs="Arabic Typesetting"/>
          <w:sz w:val="34"/>
          <w:szCs w:val="34"/>
          <w:rtl/>
          <w:lang w:val="fr-CH"/>
        </w:rPr>
        <w:t>وج</w:t>
      </w:r>
      <w:r w:rsidR="00CA2CFF">
        <w:rPr>
          <w:rFonts w:ascii="Arabic Typesetting" w:hAnsi="Arabic Typesetting" w:cs="Arabic Typesetting"/>
          <w:sz w:val="34"/>
          <w:szCs w:val="34"/>
          <w:rtl/>
          <w:lang w:val="fr-CH"/>
        </w:rPr>
        <w:t>امعة ياوندي الثانية والمنظمة ال</w:t>
      </w:r>
      <w:r w:rsidR="00CA2CFF">
        <w:rPr>
          <w:rFonts w:ascii="Arabic Typesetting" w:hAnsi="Arabic Typesetting" w:cs="Arabic Typesetting" w:hint="cs"/>
          <w:sz w:val="34"/>
          <w:szCs w:val="34"/>
          <w:rtl/>
          <w:lang w:val="fr-CH"/>
        </w:rPr>
        <w:t>أ</w:t>
      </w:r>
      <w:r w:rsidRPr="008B0D7B">
        <w:rPr>
          <w:rFonts w:ascii="Arabic Typesetting" w:hAnsi="Arabic Typesetting" w:cs="Arabic Typesetting"/>
          <w:sz w:val="34"/>
          <w:szCs w:val="34"/>
          <w:rtl/>
          <w:lang w:val="fr-CH"/>
        </w:rPr>
        <w:t>فريقية للملكية الفكرية</w:t>
      </w:r>
      <w:r w:rsidRPr="008B0D7B">
        <w:rPr>
          <w:rFonts w:ascii="Arabic Typesetting" w:hAnsi="Arabic Typesetting" w:cs="Arabic Typesetting" w:hint="cs"/>
          <w:sz w:val="34"/>
          <w:szCs w:val="34"/>
          <w:rtl/>
          <w:lang w:val="fr-CH"/>
        </w:rPr>
        <w:t xml:space="preserve"> (الكاميرون)</w:t>
      </w:r>
      <w:r w:rsidR="00CA2CFF">
        <w:rPr>
          <w:rFonts w:ascii="Arabic Typesetting" w:hAnsi="Arabic Typesetting" w:cs="Arabic Typesetting" w:hint="cs"/>
          <w:sz w:val="34"/>
          <w:szCs w:val="34"/>
          <w:rtl/>
          <w:lang w:val="fr-CH"/>
        </w:rPr>
        <w:t>؛</w:t>
      </w:r>
      <w:r w:rsidRPr="008A2DBA">
        <w:rPr>
          <w:rFonts w:ascii="Arabic Typesetting" w:hAnsi="Arabic Typesetting" w:cs="Arabic Typesetting" w:hint="cs"/>
          <w:sz w:val="34"/>
          <w:szCs w:val="34"/>
          <w:rtl/>
          <w:lang w:val="fr-CH"/>
        </w:rPr>
        <w:t xml:space="preserve"> </w:t>
      </w:r>
      <w:r>
        <w:rPr>
          <w:rFonts w:ascii="Arabic Typesetting" w:hAnsi="Arabic Typesetting" w:cs="Arabic Typesetting" w:hint="cs"/>
          <w:sz w:val="34"/>
          <w:szCs w:val="34"/>
          <w:rtl/>
          <w:lang w:val="fr-CH"/>
        </w:rPr>
        <w:t>"7" </w:t>
      </w:r>
      <w:r w:rsidRPr="008B0D7B">
        <w:rPr>
          <w:rFonts w:ascii="Arabic Typesetting" w:hAnsi="Arabic Typesetting" w:cs="Arabic Typesetting"/>
          <w:sz w:val="34"/>
          <w:szCs w:val="34"/>
          <w:rtl/>
          <w:lang w:val="fr-CH"/>
        </w:rPr>
        <w:t>وجامعة حيفا (إسرائيل)</w:t>
      </w:r>
      <w:r w:rsidR="00CA2CFF">
        <w:rPr>
          <w:rFonts w:ascii="Arabic Typesetting" w:hAnsi="Arabic Typesetting" w:cs="Arabic Typesetting" w:hint="cs"/>
          <w:sz w:val="34"/>
          <w:szCs w:val="34"/>
          <w:rtl/>
          <w:lang w:val="fr-CH"/>
        </w:rPr>
        <w:t>.</w:t>
      </w:r>
    </w:p>
    <w:tbl>
      <w:tblPr>
        <w:bidiVisual/>
        <w:tblW w:w="0" w:type="auto"/>
        <w:tblLook w:val="04A0" w:firstRow="1" w:lastRow="0" w:firstColumn="1" w:lastColumn="0" w:noHBand="0" w:noVBand="1"/>
      </w:tblPr>
      <w:tblGrid>
        <w:gridCol w:w="4753"/>
        <w:gridCol w:w="4818"/>
      </w:tblGrid>
      <w:tr w:rsidR="00CA2CFF" w:rsidTr="00CA2CFF">
        <w:tc>
          <w:tcPr>
            <w:tcW w:w="4726" w:type="dxa"/>
          </w:tcPr>
          <w:p w:rsidR="00CA2CFF" w:rsidRPr="00CA2CFF" w:rsidRDefault="00CA2CFF" w:rsidP="00CA2CFF">
            <w:pPr>
              <w:tabs>
                <w:tab w:val="left" w:pos="720"/>
              </w:tabs>
              <w:bidi/>
              <w:spacing w:after="120" w:line="340" w:lineRule="exact"/>
              <w:jc w:val="center"/>
              <w:rPr>
                <w:rFonts w:ascii="Arabic Typesetting" w:hAnsi="Arabic Typesetting" w:cs="Arabic Typesetting"/>
                <w:i/>
                <w:iCs/>
                <w:sz w:val="28"/>
                <w:szCs w:val="28"/>
                <w:rtl/>
                <w:lang w:val="fr-CH"/>
              </w:rPr>
            </w:pPr>
            <w:r w:rsidRPr="00CA2CFF">
              <w:rPr>
                <w:rFonts w:ascii="Arabic Typesetting" w:hAnsi="Arabic Typesetting" w:cs="Arabic Typesetting" w:hint="cs"/>
                <w:i/>
                <w:iCs/>
                <w:sz w:val="28"/>
                <w:szCs w:val="28"/>
                <w:rtl/>
                <w:lang w:val="fr-CH"/>
              </w:rPr>
              <w:t>المشاركون في برامج الماجستير المشتركة في 2014/15 (بحسب الجنس)</w:t>
            </w:r>
          </w:p>
        </w:tc>
        <w:tc>
          <w:tcPr>
            <w:tcW w:w="4845" w:type="dxa"/>
          </w:tcPr>
          <w:p w:rsidR="00CA2CFF" w:rsidRPr="00CA2CFF" w:rsidRDefault="00CA2CFF" w:rsidP="00CA2CFF">
            <w:pPr>
              <w:tabs>
                <w:tab w:val="left" w:pos="720"/>
              </w:tabs>
              <w:bidi/>
              <w:spacing w:after="120" w:line="340" w:lineRule="exact"/>
              <w:jc w:val="center"/>
              <w:rPr>
                <w:rFonts w:ascii="Arabic Typesetting" w:hAnsi="Arabic Typesetting" w:cs="Arabic Typesetting"/>
                <w:i/>
                <w:iCs/>
                <w:sz w:val="28"/>
                <w:szCs w:val="28"/>
                <w:rtl/>
                <w:lang w:val="fr-CH"/>
              </w:rPr>
            </w:pPr>
            <w:r w:rsidRPr="00CA2CFF">
              <w:rPr>
                <w:rFonts w:ascii="Arabic Typesetting" w:hAnsi="Arabic Typesetting" w:cs="Arabic Typesetting" w:hint="cs"/>
                <w:i/>
                <w:iCs/>
                <w:sz w:val="28"/>
                <w:szCs w:val="28"/>
                <w:rtl/>
                <w:lang w:val="fr-CH"/>
              </w:rPr>
              <w:t>مجموع الطلاب الجدد في البرنامج والمتخرجين منه في 2014/15</w:t>
            </w:r>
          </w:p>
        </w:tc>
      </w:tr>
      <w:tr w:rsidR="00CA2CFF" w:rsidTr="00CA2CFF">
        <w:tc>
          <w:tcPr>
            <w:tcW w:w="4726" w:type="dxa"/>
          </w:tcPr>
          <w:p w:rsidR="00CA2CFF" w:rsidRDefault="00FE0236" w:rsidP="00CA2CFF">
            <w:pPr>
              <w:tabs>
                <w:tab w:val="left" w:pos="720"/>
              </w:tabs>
              <w:bidi/>
              <w:spacing w:after="120"/>
              <w:rPr>
                <w:rFonts w:ascii="Arabic Typesetting" w:hAnsi="Arabic Typesetting" w:cs="Arabic Typesetting"/>
                <w:sz w:val="34"/>
                <w:szCs w:val="34"/>
                <w:rtl/>
                <w:lang w:val="fr-CH"/>
              </w:rPr>
            </w:pPr>
            <w:r>
              <w:rPr>
                <w:rFonts w:ascii="Arabic Typesetting" w:hAnsi="Arabic Typesetting" w:cs="Arabic Typesetting"/>
                <w:noProof/>
                <w:sz w:val="34"/>
                <w:szCs w:val="34"/>
              </w:rPr>
              <w:drawing>
                <wp:inline distT="0" distB="0" distL="0" distR="0" wp14:anchorId="6CDD59FE" wp14:editId="02D257FE">
                  <wp:extent cx="2913796" cy="1774604"/>
                  <wp:effectExtent l="0" t="0" r="127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919044" cy="1777800"/>
                          </a:xfrm>
                          <a:prstGeom prst="rect">
                            <a:avLst/>
                          </a:prstGeom>
                          <a:noFill/>
                        </pic:spPr>
                      </pic:pic>
                    </a:graphicData>
                  </a:graphic>
                </wp:inline>
              </w:drawing>
            </w:r>
          </w:p>
        </w:tc>
        <w:tc>
          <w:tcPr>
            <w:tcW w:w="4845" w:type="dxa"/>
          </w:tcPr>
          <w:p w:rsidR="00CA2CFF" w:rsidRDefault="00CA2CFF" w:rsidP="00CA2CFF">
            <w:pPr>
              <w:tabs>
                <w:tab w:val="left" w:pos="720"/>
              </w:tabs>
              <w:bidi/>
              <w:spacing w:after="120"/>
              <w:rPr>
                <w:rFonts w:ascii="Arabic Typesetting" w:hAnsi="Arabic Typesetting" w:cs="Arabic Typesetting"/>
                <w:sz w:val="34"/>
                <w:szCs w:val="34"/>
                <w:rtl/>
                <w:lang w:val="fr-CH"/>
              </w:rPr>
            </w:pPr>
            <w:r>
              <w:rPr>
                <w:rFonts w:ascii="Arabic Typesetting" w:hAnsi="Arabic Typesetting" w:cs="Arabic Typesetting"/>
                <w:noProof/>
                <w:sz w:val="34"/>
                <w:szCs w:val="34"/>
              </w:rPr>
              <w:drawing>
                <wp:inline distT="0" distB="0" distL="0" distR="0" wp14:anchorId="5A866258" wp14:editId="7077B737">
                  <wp:extent cx="2956720" cy="17917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967504" cy="1798235"/>
                          </a:xfrm>
                          <a:prstGeom prst="rect">
                            <a:avLst/>
                          </a:prstGeom>
                          <a:noFill/>
                        </pic:spPr>
                      </pic:pic>
                    </a:graphicData>
                  </a:graphic>
                </wp:inline>
              </w:drawing>
            </w:r>
          </w:p>
        </w:tc>
      </w:tr>
    </w:tbl>
    <w:p w:rsidR="00CA2CFF" w:rsidRDefault="00CA2CFF" w:rsidP="009A3712">
      <w:pPr>
        <w:numPr>
          <w:ilvl w:val="0"/>
          <w:numId w:val="43"/>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lastRenderedPageBreak/>
        <w:t>و</w:t>
      </w:r>
      <w:r w:rsidRPr="00CA2CFF">
        <w:rPr>
          <w:rFonts w:ascii="Arabic Typesetting" w:hAnsi="Arabic Typesetting" w:cs="Arabic Typesetting"/>
          <w:sz w:val="34"/>
          <w:szCs w:val="34"/>
          <w:rtl/>
          <w:lang w:val="fr-CH"/>
        </w:rPr>
        <w:t xml:space="preserve">عقدت ندوتان لمدرسي الملكية الفكرية بالاشتراك مع منظمة التجارة العالمية </w:t>
      </w:r>
      <w:r>
        <w:rPr>
          <w:rFonts w:ascii="Arabic Typesetting" w:hAnsi="Arabic Typesetting" w:cs="Arabic Typesetting" w:hint="cs"/>
          <w:sz w:val="34"/>
          <w:szCs w:val="34"/>
          <w:rtl/>
          <w:lang w:val="fr-CH"/>
        </w:rPr>
        <w:t xml:space="preserve">في عامي 2014 و2015 </w:t>
      </w:r>
      <w:r w:rsidRPr="00CA2CFF">
        <w:rPr>
          <w:rFonts w:ascii="Arabic Typesetting" w:hAnsi="Arabic Typesetting" w:cs="Arabic Typesetting"/>
          <w:sz w:val="34"/>
          <w:szCs w:val="34"/>
          <w:rtl/>
          <w:lang w:val="fr-CH"/>
        </w:rPr>
        <w:t xml:space="preserve">وشارك فيهما </w:t>
      </w:r>
      <w:r>
        <w:rPr>
          <w:rFonts w:ascii="Arabic Typesetting" w:hAnsi="Arabic Typesetting" w:cs="Arabic Typesetting" w:hint="cs"/>
          <w:sz w:val="34"/>
          <w:szCs w:val="34"/>
          <w:rtl/>
          <w:lang w:val="fr-CH"/>
        </w:rPr>
        <w:t>53</w:t>
      </w:r>
      <w:r w:rsidRPr="00CA2CFF">
        <w:rPr>
          <w:rFonts w:ascii="Arabic Typesetting" w:hAnsi="Arabic Typesetting" w:cs="Arabic Typesetting"/>
          <w:sz w:val="34"/>
          <w:szCs w:val="34"/>
          <w:rtl/>
          <w:lang w:val="fr-CH"/>
        </w:rPr>
        <w:t xml:space="preserve"> مدرسا</w:t>
      </w:r>
      <w:r>
        <w:rPr>
          <w:rFonts w:ascii="Arabic Typesetting" w:hAnsi="Arabic Typesetting" w:cs="Arabic Typesetting" w:hint="cs"/>
          <w:sz w:val="34"/>
          <w:szCs w:val="34"/>
          <w:rtl/>
          <w:lang w:val="fr-CH"/>
        </w:rPr>
        <w:t xml:space="preserve"> (27 في عام 2014</w:t>
      </w:r>
      <w:r w:rsidR="00F265C9" w:rsidRPr="00F96634">
        <w:rPr>
          <w:rFonts w:ascii="Arabic Typesetting" w:hAnsi="Arabic Typesetting" w:cs="Arabic Typesetting"/>
          <w:sz w:val="28"/>
          <w:szCs w:val="28"/>
          <w:vertAlign w:val="superscript"/>
          <w:rtl/>
          <w:lang w:val="fr-CH"/>
        </w:rPr>
        <w:footnoteReference w:id="77"/>
      </w:r>
      <w:r>
        <w:rPr>
          <w:rFonts w:ascii="Arabic Typesetting" w:hAnsi="Arabic Typesetting" w:cs="Arabic Typesetting" w:hint="cs"/>
          <w:sz w:val="34"/>
          <w:szCs w:val="34"/>
          <w:rtl/>
          <w:lang w:val="fr-CH"/>
        </w:rPr>
        <w:t xml:space="preserve"> و26 في عام 2015)</w:t>
      </w:r>
      <w:r w:rsidRPr="00CA2CFF">
        <w:rPr>
          <w:rFonts w:ascii="Arabic Typesetting" w:hAnsi="Arabic Typesetting" w:cs="Arabic Typesetting"/>
          <w:sz w:val="34"/>
          <w:szCs w:val="34"/>
          <w:rtl/>
          <w:lang w:val="fr-CH"/>
        </w:rPr>
        <w:t>.</w:t>
      </w:r>
      <w:r w:rsidR="00F265C9">
        <w:rPr>
          <w:rFonts w:ascii="Arabic Typesetting" w:hAnsi="Arabic Typesetting" w:cs="Arabic Typesetting" w:hint="cs"/>
          <w:sz w:val="34"/>
          <w:szCs w:val="34"/>
          <w:rtl/>
          <w:lang w:val="fr-CH"/>
        </w:rPr>
        <w:t xml:space="preserve"> </w:t>
      </w:r>
      <w:r w:rsidR="00F265C9" w:rsidRPr="00F265C9">
        <w:rPr>
          <w:rFonts w:ascii="Arabic Typesetting" w:hAnsi="Arabic Typesetting" w:cs="Arabic Typesetting"/>
          <w:sz w:val="34"/>
          <w:szCs w:val="34"/>
          <w:rtl/>
          <w:lang w:val="fr-CH"/>
        </w:rPr>
        <w:t>واستمرت الندوة في توفير منتدى للحوار والمناقشة بشأن التطورات الحديثة في مجالات الملكية الفكرية الأساسية وقضايا التعليم والتربية.</w:t>
      </w:r>
      <w:r w:rsidR="00FB0873">
        <w:rPr>
          <w:rFonts w:ascii="Arabic Typesetting" w:hAnsi="Arabic Typesetting" w:cs="Arabic Typesetting" w:hint="cs"/>
          <w:sz w:val="34"/>
          <w:szCs w:val="34"/>
          <w:rtl/>
          <w:lang w:val="fr-CH"/>
        </w:rPr>
        <w:t xml:space="preserve"> ونُشرت أبرز بحوث من 12 مشاركاً في ندوة 2014 (يمثلون أفريقيا وآسيا وأوروبا الشرقية وأمريكا اللاتينية) في عام 2015. </w:t>
      </w:r>
      <w:r w:rsidR="00FB0873" w:rsidRPr="00FB0873">
        <w:rPr>
          <w:rFonts w:ascii="Arabic Typesetting" w:hAnsi="Arabic Typesetting" w:cs="Arabic Typesetting"/>
          <w:sz w:val="34"/>
          <w:szCs w:val="34"/>
          <w:rtl/>
          <w:lang w:val="fr-CH"/>
        </w:rPr>
        <w:t xml:space="preserve">وحصل </w:t>
      </w:r>
      <w:r w:rsidR="00FB0873">
        <w:rPr>
          <w:rFonts w:ascii="Arabic Typesetting" w:hAnsi="Arabic Typesetting" w:cs="Arabic Typesetting" w:hint="cs"/>
          <w:sz w:val="34"/>
          <w:szCs w:val="34"/>
          <w:rtl/>
          <w:lang w:val="fr-CH"/>
        </w:rPr>
        <w:t>تسعة</w:t>
      </w:r>
      <w:r w:rsidR="00FB0873" w:rsidRPr="00FB0873">
        <w:rPr>
          <w:rFonts w:ascii="Arabic Typesetting" w:hAnsi="Arabic Typesetting" w:cs="Arabic Typesetting"/>
          <w:sz w:val="34"/>
          <w:szCs w:val="34"/>
          <w:rtl/>
          <w:lang w:val="fr-CH"/>
        </w:rPr>
        <w:t xml:space="preserve"> أشخاص على منح من الويبو للمشاركة في المؤتمر السنوي للجمعية الدولية لدعم التدريس والبحث في مجال الملكية الفكرية.</w:t>
      </w:r>
    </w:p>
    <w:p w:rsidR="00FB0873" w:rsidRDefault="00FB0873" w:rsidP="009A3712">
      <w:pPr>
        <w:numPr>
          <w:ilvl w:val="0"/>
          <w:numId w:val="43"/>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w:t>
      </w:r>
      <w:r w:rsidR="000F1270">
        <w:rPr>
          <w:rFonts w:ascii="Arabic Typesetting" w:hAnsi="Arabic Typesetting" w:cs="Arabic Typesetting" w:hint="cs"/>
          <w:sz w:val="34"/>
          <w:szCs w:val="34"/>
          <w:rtl/>
          <w:lang w:val="fr-CH"/>
        </w:rPr>
        <w:t xml:space="preserve">بمساعدة الويبو، </w:t>
      </w:r>
      <w:r>
        <w:rPr>
          <w:rFonts w:ascii="Arabic Typesetting" w:hAnsi="Arabic Typesetting" w:cs="Arabic Typesetting" w:hint="cs"/>
          <w:sz w:val="34"/>
          <w:szCs w:val="34"/>
          <w:rtl/>
          <w:lang w:val="fr-CH"/>
        </w:rPr>
        <w:t>أتيحت البرامج التعليمية الجديدة</w:t>
      </w:r>
      <w:r w:rsidR="000F1270">
        <w:rPr>
          <w:rFonts w:ascii="Arabic Typesetting" w:hAnsi="Arabic Typesetting" w:cs="Arabic Typesetting" w:hint="cs"/>
          <w:sz w:val="34"/>
          <w:szCs w:val="34"/>
          <w:rtl/>
          <w:lang w:val="fr-CH"/>
        </w:rPr>
        <w:t xml:space="preserve"> التالية</w:t>
      </w:r>
      <w:r>
        <w:rPr>
          <w:rFonts w:ascii="Arabic Typesetting" w:hAnsi="Arabic Typesetting" w:cs="Arabic Typesetting" w:hint="cs"/>
          <w:sz w:val="34"/>
          <w:szCs w:val="34"/>
          <w:rtl/>
          <w:lang w:val="fr-CH"/>
        </w:rPr>
        <w:t xml:space="preserve"> في مجال الملكية الفكرية في 2014/15: "1" برنامج</w:t>
      </w:r>
      <w:r w:rsidR="000F1270">
        <w:rPr>
          <w:rFonts w:ascii="Arabic Typesetting" w:hAnsi="Arabic Typesetting" w:cs="Arabic Typesetting" w:hint="eastAsia"/>
          <w:sz w:val="34"/>
          <w:szCs w:val="34"/>
          <w:rtl/>
          <w:lang w:val="fr-CH"/>
        </w:rPr>
        <w:t> </w:t>
      </w:r>
      <w:r>
        <w:rPr>
          <w:rFonts w:ascii="Arabic Typesetting" w:hAnsi="Arabic Typesetting" w:cs="Arabic Typesetting" w:hint="cs"/>
          <w:sz w:val="34"/>
          <w:szCs w:val="34"/>
          <w:rtl/>
          <w:lang w:val="fr-CH"/>
        </w:rPr>
        <w:t xml:space="preserve">الملكية الفكرية لمعهد بنغلاديش للإدارة؛ "2" ودورتان جديدتان في مجال الملكية الفكرية في جامعة أفريقيا. وقدِّم الدعم في 2014/15 لتوفير دورتين جديدتين في مجال الملكية الفكرية في عام 2016 </w:t>
      </w:r>
      <w:r w:rsidR="000F1270">
        <w:rPr>
          <w:rFonts w:ascii="Arabic Typesetting" w:hAnsi="Arabic Typesetting" w:cs="Arabic Typesetting" w:hint="cs"/>
          <w:sz w:val="34"/>
          <w:szCs w:val="34"/>
          <w:rtl/>
          <w:lang w:val="fr-CH"/>
        </w:rPr>
        <w:t>لدى</w:t>
      </w:r>
      <w:r>
        <w:rPr>
          <w:rFonts w:ascii="Arabic Typesetting" w:hAnsi="Arabic Typesetting" w:cs="Arabic Typesetting" w:hint="cs"/>
          <w:sz w:val="34"/>
          <w:szCs w:val="34"/>
          <w:rtl/>
          <w:lang w:val="fr-CH"/>
        </w:rPr>
        <w:t xml:space="preserve"> الحرم الجامعي مونا لجامعة وست إنديز (جامايكا) الذي استكمل ماجستير قانون الملكية الفكرية في الصناعات الإبداعية والثقافية يُزمع إطلاقه في عام 2016؛ "2" وجامعة بوتسوانا التي استكملت دورة جديدة في مجال قانون الملكية الفكرية والبحوث المزمع إطلاقه في 2016؛ وعززت دورتا قانون الملكية الفكرية الأولى والثانية. وفضلاً عن ذلك، عززت خمس جامعات البرامج التعليمية القائمة في مجال الملكية الفكرية: "1" جامعة </w:t>
      </w:r>
      <w:proofErr w:type="spellStart"/>
      <w:r>
        <w:rPr>
          <w:rFonts w:ascii="Arabic Typesetting" w:hAnsi="Arabic Typesetting" w:cs="Arabic Typesetting" w:hint="cs"/>
          <w:sz w:val="34"/>
          <w:szCs w:val="34"/>
          <w:rtl/>
          <w:lang w:val="fr-CH"/>
        </w:rPr>
        <w:t>بوينوس</w:t>
      </w:r>
      <w:proofErr w:type="spellEnd"/>
      <w:r>
        <w:rPr>
          <w:rFonts w:ascii="Arabic Typesetting" w:hAnsi="Arabic Typesetting" w:cs="Arabic Typesetting" w:hint="cs"/>
          <w:sz w:val="34"/>
          <w:szCs w:val="34"/>
          <w:rtl/>
          <w:lang w:val="fr-CH"/>
        </w:rPr>
        <w:t xml:space="preserve"> </w:t>
      </w:r>
      <w:proofErr w:type="spellStart"/>
      <w:r>
        <w:rPr>
          <w:rFonts w:ascii="Arabic Typesetting" w:hAnsi="Arabic Typesetting" w:cs="Arabic Typesetting" w:hint="cs"/>
          <w:sz w:val="34"/>
          <w:szCs w:val="34"/>
          <w:rtl/>
          <w:lang w:val="fr-CH"/>
        </w:rPr>
        <w:t>آيريس</w:t>
      </w:r>
      <w:proofErr w:type="spellEnd"/>
      <w:r>
        <w:rPr>
          <w:rFonts w:ascii="Arabic Typesetting" w:hAnsi="Arabic Typesetting" w:cs="Arabic Typesetting" w:hint="cs"/>
          <w:sz w:val="34"/>
          <w:szCs w:val="34"/>
          <w:rtl/>
          <w:lang w:val="fr-CH"/>
        </w:rPr>
        <w:t xml:space="preserve"> (</w:t>
      </w:r>
      <w:proofErr w:type="spellStart"/>
      <w:r>
        <w:rPr>
          <w:rFonts w:ascii="Arabic Typesetting" w:hAnsi="Arabic Typesetting" w:cs="Arabic Typesetting" w:hint="cs"/>
          <w:sz w:val="34"/>
          <w:szCs w:val="34"/>
          <w:rtl/>
          <w:lang w:val="fr-CH"/>
        </w:rPr>
        <w:t>الأجرنتين</w:t>
      </w:r>
      <w:proofErr w:type="spellEnd"/>
      <w:r>
        <w:rPr>
          <w:rFonts w:ascii="Arabic Typesetting" w:hAnsi="Arabic Typesetting" w:cs="Arabic Typesetting" w:hint="cs"/>
          <w:sz w:val="34"/>
          <w:szCs w:val="34"/>
          <w:rtl/>
          <w:lang w:val="fr-CH"/>
        </w:rPr>
        <w:t xml:space="preserve">)؛ "2" وجامعة فنزويلا المركزية؛ "3" وجامعة </w:t>
      </w:r>
      <w:proofErr w:type="spellStart"/>
      <w:r>
        <w:rPr>
          <w:rFonts w:ascii="Arabic Typesetting" w:hAnsi="Arabic Typesetting" w:cs="Arabic Typesetting" w:hint="cs"/>
          <w:sz w:val="34"/>
          <w:szCs w:val="34"/>
          <w:rtl/>
          <w:lang w:val="fr-CH"/>
        </w:rPr>
        <w:t>أليكانتي</w:t>
      </w:r>
      <w:proofErr w:type="spellEnd"/>
      <w:r>
        <w:rPr>
          <w:rFonts w:ascii="Arabic Typesetting" w:hAnsi="Arabic Typesetting" w:cs="Arabic Typesetting" w:hint="cs"/>
          <w:sz w:val="34"/>
          <w:szCs w:val="34"/>
          <w:rtl/>
          <w:lang w:val="fr-CH"/>
        </w:rPr>
        <w:t xml:space="preserve"> (إسبانيا)؛ "4" وجامعة</w:t>
      </w:r>
      <w:r w:rsidR="000F1270">
        <w:rPr>
          <w:rFonts w:ascii="Arabic Typesetting" w:hAnsi="Arabic Typesetting" w:cs="Arabic Typesetting" w:hint="eastAsia"/>
          <w:sz w:val="34"/>
          <w:szCs w:val="34"/>
          <w:rtl/>
          <w:lang w:val="fr-CH"/>
        </w:rPr>
        <w:t> </w:t>
      </w:r>
      <w:proofErr w:type="spellStart"/>
      <w:r>
        <w:rPr>
          <w:rFonts w:ascii="Arabic Typesetting" w:hAnsi="Arabic Typesetting" w:cs="Arabic Typesetting" w:hint="cs"/>
          <w:sz w:val="34"/>
          <w:szCs w:val="34"/>
          <w:rtl/>
          <w:lang w:val="fr-CH"/>
        </w:rPr>
        <w:t>بادجادجاران</w:t>
      </w:r>
      <w:proofErr w:type="spellEnd"/>
      <w:r>
        <w:rPr>
          <w:rFonts w:ascii="Arabic Typesetting" w:hAnsi="Arabic Typesetting" w:cs="Arabic Typesetting" w:hint="cs"/>
          <w:sz w:val="34"/>
          <w:szCs w:val="34"/>
          <w:rtl/>
          <w:lang w:val="fr-CH"/>
        </w:rPr>
        <w:t xml:space="preserve"> (إندونيسيا)؛ "5" وجامعة إندونيسيا. وإضافة إلى ذلك، نظمت</w:t>
      </w:r>
      <w:r w:rsidR="00A710AF">
        <w:rPr>
          <w:rFonts w:ascii="Arabic Typesetting" w:hAnsi="Arabic Typesetting" w:cs="Arabic Typesetting" w:hint="cs"/>
          <w:sz w:val="34"/>
          <w:szCs w:val="34"/>
          <w:rtl/>
          <w:lang w:val="fr-CH"/>
        </w:rPr>
        <w:t xml:space="preserve"> بالتعاون مع حكومات مضيفة</w:t>
      </w:r>
      <w:r>
        <w:rPr>
          <w:rFonts w:ascii="Arabic Typesetting" w:hAnsi="Arabic Typesetting" w:cs="Arabic Typesetting" w:hint="cs"/>
          <w:sz w:val="34"/>
          <w:szCs w:val="34"/>
          <w:rtl/>
          <w:lang w:val="fr-CH"/>
        </w:rPr>
        <w:t xml:space="preserve"> 13 ندوة في مجال الملكية الفكرية لفائدة 309 طلاب متخرجين ومسؤولين حكوميين ونواب في مقر الويبو. وأخيراً، نظمت ندوتان وطنيتان عن</w:t>
      </w:r>
      <w:r w:rsidR="00A710AF">
        <w:rPr>
          <w:rFonts w:ascii="Arabic Typesetting" w:hAnsi="Arabic Typesetting" w:cs="Arabic Typesetting" w:hint="cs"/>
          <w:sz w:val="34"/>
          <w:szCs w:val="34"/>
          <w:rtl/>
          <w:lang w:val="fr-CH"/>
        </w:rPr>
        <w:t xml:space="preserve"> تعليم الملكية الفكرية (بوتسوانا والصين) ومائدة مستديرة دون إقليمية عن التعليم والتدريب والبحث في مجال الملكية الفكرية لفائدة منطقة الكاريبي.</w:t>
      </w:r>
      <w:r>
        <w:rPr>
          <w:rFonts w:ascii="Arabic Typesetting" w:hAnsi="Arabic Typesetting" w:cs="Arabic Typesetting" w:hint="cs"/>
          <w:sz w:val="34"/>
          <w:szCs w:val="34"/>
          <w:rtl/>
          <w:lang w:val="fr-CH"/>
        </w:rPr>
        <w:t xml:space="preserve"> </w:t>
      </w:r>
      <w:r w:rsidR="00A710AF" w:rsidRPr="00A710AF">
        <w:rPr>
          <w:rFonts w:ascii="Arabic Typesetting" w:hAnsi="Arabic Typesetting" w:cs="Arabic Typesetting"/>
          <w:sz w:val="34"/>
          <w:szCs w:val="34"/>
          <w:rtl/>
          <w:lang w:val="fr-CH"/>
        </w:rPr>
        <w:t xml:space="preserve">وفي </w:t>
      </w:r>
      <w:r w:rsidR="00A710AF">
        <w:rPr>
          <w:rFonts w:ascii="Arabic Typesetting" w:hAnsi="Arabic Typesetting" w:cs="Arabic Typesetting" w:hint="cs"/>
          <w:sz w:val="34"/>
          <w:szCs w:val="34"/>
          <w:rtl/>
          <w:lang w:val="fr-CH"/>
        </w:rPr>
        <w:t>2014/15</w:t>
      </w:r>
      <w:r w:rsidR="00A710AF" w:rsidRPr="00A710AF">
        <w:rPr>
          <w:rFonts w:ascii="Arabic Typesetting" w:hAnsi="Arabic Typesetting" w:cs="Arabic Typesetting"/>
          <w:sz w:val="34"/>
          <w:szCs w:val="34"/>
          <w:rtl/>
          <w:lang w:val="fr-CH"/>
        </w:rPr>
        <w:t>، تلقت الأكاديمية طلبات شراكة جديدة فُحصت وفقاً للسياسة الجديدة المعتمدة في هذا</w:t>
      </w:r>
      <w:r w:rsidR="000F1270">
        <w:rPr>
          <w:rFonts w:ascii="Arabic Typesetting" w:hAnsi="Arabic Typesetting" w:cs="Arabic Typesetting" w:hint="cs"/>
          <w:sz w:val="34"/>
          <w:szCs w:val="34"/>
          <w:rtl/>
          <w:lang w:val="fr-CH"/>
        </w:rPr>
        <w:t> </w:t>
      </w:r>
      <w:r w:rsidR="00A710AF" w:rsidRPr="00A710AF">
        <w:rPr>
          <w:rFonts w:ascii="Arabic Typesetting" w:hAnsi="Arabic Typesetting" w:cs="Arabic Typesetting"/>
          <w:sz w:val="34"/>
          <w:szCs w:val="34"/>
          <w:rtl/>
          <w:lang w:val="fr-CH"/>
        </w:rPr>
        <w:t>الصدد.</w:t>
      </w:r>
    </w:p>
    <w:p w:rsidR="00A710AF" w:rsidRPr="00A710AF" w:rsidRDefault="00A710AF" w:rsidP="009A3712">
      <w:pPr>
        <w:numPr>
          <w:ilvl w:val="0"/>
          <w:numId w:val="43"/>
        </w:numPr>
        <w:bidi/>
        <w:spacing w:after="120" w:line="340" w:lineRule="exact"/>
        <w:ind w:left="0" w:firstLine="0"/>
        <w:rPr>
          <w:rFonts w:ascii="Arabic Typesetting" w:hAnsi="Arabic Typesetting" w:cs="Arabic Typesetting"/>
          <w:sz w:val="34"/>
          <w:szCs w:val="34"/>
          <w:lang w:val="fr-CH"/>
        </w:rPr>
      </w:pPr>
      <w:r w:rsidRPr="00A710AF">
        <w:rPr>
          <w:rFonts w:ascii="Arabic Typesetting" w:hAnsi="Arabic Typesetting" w:cs="Arabic Typesetting"/>
          <w:sz w:val="34"/>
          <w:szCs w:val="34"/>
          <w:rtl/>
          <w:lang w:val="fr-CH"/>
        </w:rPr>
        <w:t>و</w:t>
      </w:r>
      <w:r w:rsidRPr="00A710AF">
        <w:rPr>
          <w:rFonts w:ascii="Arabic Typesetting" w:hAnsi="Arabic Typesetting" w:cs="Arabic Typesetting" w:hint="cs"/>
          <w:sz w:val="34"/>
          <w:szCs w:val="34"/>
          <w:rtl/>
          <w:lang w:val="fr-CH"/>
        </w:rPr>
        <w:t xml:space="preserve">في 2014/15، </w:t>
      </w:r>
      <w:r w:rsidRPr="00A710AF">
        <w:rPr>
          <w:rFonts w:ascii="Arabic Typesetting" w:hAnsi="Arabic Typesetting" w:cs="Arabic Typesetting"/>
          <w:sz w:val="34"/>
          <w:szCs w:val="34"/>
          <w:rtl/>
          <w:lang w:val="fr-CH"/>
        </w:rPr>
        <w:t xml:space="preserve">نظَّمت الأكاديمية </w:t>
      </w:r>
      <w:r w:rsidRPr="00A710AF">
        <w:rPr>
          <w:rFonts w:ascii="Arabic Typesetting" w:hAnsi="Arabic Typesetting" w:cs="Arabic Typesetting" w:hint="cs"/>
          <w:sz w:val="34"/>
          <w:szCs w:val="34"/>
          <w:rtl/>
          <w:lang w:val="fr-CH"/>
        </w:rPr>
        <w:t>19</w:t>
      </w:r>
      <w:r w:rsidRPr="00A710AF">
        <w:rPr>
          <w:rFonts w:ascii="Arabic Typesetting" w:hAnsi="Arabic Typesetting" w:cs="Arabic Typesetting"/>
          <w:sz w:val="34"/>
          <w:szCs w:val="34"/>
          <w:rtl/>
          <w:lang w:val="fr-CH"/>
        </w:rPr>
        <w:t xml:space="preserve"> دور</w:t>
      </w:r>
      <w:r w:rsidRPr="00A710AF">
        <w:rPr>
          <w:rFonts w:ascii="Arabic Typesetting" w:hAnsi="Arabic Typesetting" w:cs="Arabic Typesetting" w:hint="cs"/>
          <w:sz w:val="34"/>
          <w:szCs w:val="34"/>
          <w:rtl/>
          <w:lang w:val="fr-CH"/>
        </w:rPr>
        <w:t xml:space="preserve">ة </w:t>
      </w:r>
      <w:r w:rsidRPr="00A710AF">
        <w:rPr>
          <w:rFonts w:ascii="Arabic Typesetting" w:hAnsi="Arabic Typesetting" w:cs="Arabic Typesetting"/>
          <w:sz w:val="34"/>
          <w:szCs w:val="34"/>
          <w:rtl/>
          <w:lang w:val="fr-CH"/>
        </w:rPr>
        <w:t xml:space="preserve">لبرنامج المدرسة الصيفية للويبو بثلاث لغات (الإنكليزية والروسية والإسبانية) بالتعاون مع </w:t>
      </w:r>
      <w:r w:rsidRPr="00A710AF">
        <w:rPr>
          <w:rFonts w:ascii="Arabic Typesetting" w:hAnsi="Arabic Typesetting" w:cs="Arabic Typesetting" w:hint="cs"/>
          <w:sz w:val="34"/>
          <w:szCs w:val="34"/>
          <w:rtl/>
          <w:lang w:val="fr-CH"/>
        </w:rPr>
        <w:t>12</w:t>
      </w:r>
      <w:r w:rsidRPr="00A710AF">
        <w:rPr>
          <w:rFonts w:ascii="Arabic Typesetting" w:hAnsi="Arabic Typesetting" w:cs="Arabic Typesetting"/>
          <w:sz w:val="34"/>
          <w:szCs w:val="34"/>
          <w:rtl/>
          <w:lang w:val="fr-CH"/>
        </w:rPr>
        <w:t xml:space="preserve"> مؤسس</w:t>
      </w:r>
      <w:r w:rsidRPr="00A710AF">
        <w:rPr>
          <w:rFonts w:ascii="Arabic Typesetting" w:hAnsi="Arabic Typesetting" w:cs="Arabic Typesetting" w:hint="cs"/>
          <w:sz w:val="34"/>
          <w:szCs w:val="34"/>
          <w:rtl/>
          <w:lang w:val="fr-CH"/>
        </w:rPr>
        <w:t>ة</w:t>
      </w:r>
      <w:r w:rsidRPr="00A710AF">
        <w:rPr>
          <w:rFonts w:ascii="Arabic Typesetting" w:hAnsi="Arabic Typesetting" w:cs="Arabic Typesetting"/>
          <w:sz w:val="34"/>
          <w:szCs w:val="34"/>
          <w:rtl/>
          <w:lang w:val="fr-CH"/>
        </w:rPr>
        <w:t xml:space="preserve"> وطنية في شيلي</w:t>
      </w:r>
      <w:r w:rsidRPr="00A710AF">
        <w:rPr>
          <w:rFonts w:ascii="Arabic Typesetting" w:hAnsi="Arabic Typesetting" w:cs="Arabic Typesetting" w:hint="cs"/>
          <w:sz w:val="34"/>
          <w:szCs w:val="34"/>
          <w:rtl/>
          <w:lang w:val="fr-CH"/>
        </w:rPr>
        <w:t xml:space="preserve"> والصين</w:t>
      </w:r>
      <w:r w:rsidRPr="00A710AF">
        <w:rPr>
          <w:rFonts w:ascii="Arabic Typesetting" w:hAnsi="Arabic Typesetting" w:cs="Arabic Typesetting"/>
          <w:sz w:val="34"/>
          <w:szCs w:val="34"/>
          <w:rtl/>
          <w:lang w:val="fr-CH"/>
        </w:rPr>
        <w:t xml:space="preserve"> وكرواتيا </w:t>
      </w:r>
      <w:r w:rsidRPr="00A710AF">
        <w:rPr>
          <w:rFonts w:ascii="Arabic Typesetting" w:hAnsi="Arabic Typesetting" w:cs="Arabic Typesetting" w:hint="cs"/>
          <w:sz w:val="34"/>
          <w:szCs w:val="34"/>
          <w:rtl/>
          <w:lang w:val="fr-CH"/>
        </w:rPr>
        <w:t xml:space="preserve">والهند </w:t>
      </w:r>
      <w:r w:rsidRPr="00A710AF">
        <w:rPr>
          <w:rFonts w:ascii="Arabic Typesetting" w:hAnsi="Arabic Typesetting" w:cs="Arabic Typesetting"/>
          <w:sz w:val="34"/>
          <w:szCs w:val="34"/>
          <w:rtl/>
          <w:lang w:val="fr-CH"/>
        </w:rPr>
        <w:t>وجامايكا والمكسيك وجمهورية كوريا والاتحاد</w:t>
      </w:r>
      <w:r w:rsidRPr="00A710AF">
        <w:rPr>
          <w:rFonts w:ascii="Arabic Typesetting" w:hAnsi="Arabic Typesetting" w:cs="Arabic Typesetting" w:hint="cs"/>
          <w:sz w:val="34"/>
          <w:szCs w:val="34"/>
          <w:rtl/>
          <w:lang w:val="fr-CH"/>
        </w:rPr>
        <w:t> </w:t>
      </w:r>
      <w:r w:rsidRPr="00A710AF">
        <w:rPr>
          <w:rFonts w:ascii="Arabic Typesetting" w:hAnsi="Arabic Typesetting" w:cs="Arabic Typesetting"/>
          <w:sz w:val="34"/>
          <w:szCs w:val="34"/>
          <w:rtl/>
          <w:lang w:val="fr-CH"/>
        </w:rPr>
        <w:t>الروسي وسنغافورة وجنوب أفريقيا وسويسرا</w:t>
      </w:r>
      <w:r w:rsidRPr="00A710AF">
        <w:rPr>
          <w:rFonts w:ascii="Arabic Typesetting" w:hAnsi="Arabic Typesetting" w:cs="Arabic Typesetting" w:hint="cs"/>
          <w:sz w:val="34"/>
          <w:szCs w:val="34"/>
          <w:rtl/>
          <w:lang w:val="fr-CH"/>
        </w:rPr>
        <w:t xml:space="preserve"> والولايات المتحدة الأمريكية</w:t>
      </w:r>
      <w:r w:rsidRPr="00A710AF">
        <w:rPr>
          <w:rFonts w:ascii="Arabic Typesetting" w:hAnsi="Arabic Typesetting" w:cs="Arabic Typesetting"/>
          <w:sz w:val="34"/>
          <w:szCs w:val="34"/>
          <w:rtl/>
          <w:lang w:val="fr-CH"/>
        </w:rPr>
        <w:t xml:space="preserve">. </w:t>
      </w:r>
      <w:r w:rsidRPr="00A710AF">
        <w:rPr>
          <w:rFonts w:ascii="Arabic Typesetting" w:hAnsi="Arabic Typesetting" w:cs="Arabic Typesetting" w:hint="cs"/>
          <w:sz w:val="34"/>
          <w:szCs w:val="34"/>
          <w:rtl/>
          <w:lang w:val="fr-CH"/>
        </w:rPr>
        <w:t xml:space="preserve">والتحق نحو 689 مشاركاً من 80 بلداً </w:t>
      </w:r>
      <w:r w:rsidRPr="00A710AF">
        <w:rPr>
          <w:rFonts w:ascii="Arabic Typesetting" w:hAnsi="Arabic Typesetting" w:cs="Arabic Typesetting"/>
          <w:sz w:val="34"/>
          <w:szCs w:val="34"/>
          <w:rtl/>
          <w:lang w:val="fr-CH"/>
        </w:rPr>
        <w:t>بهذا</w:t>
      </w:r>
      <w:r w:rsidRPr="00A710AF">
        <w:rPr>
          <w:rFonts w:ascii="Arabic Typesetting" w:hAnsi="Arabic Typesetting" w:cs="Arabic Typesetting" w:hint="cs"/>
          <w:sz w:val="34"/>
          <w:szCs w:val="34"/>
          <w:rtl/>
          <w:lang w:val="fr-CH"/>
        </w:rPr>
        <w:t> </w:t>
      </w:r>
      <w:r w:rsidRPr="00A710AF">
        <w:rPr>
          <w:rFonts w:ascii="Arabic Typesetting" w:hAnsi="Arabic Typesetting" w:cs="Arabic Typesetting"/>
          <w:sz w:val="34"/>
          <w:szCs w:val="34"/>
          <w:rtl/>
          <w:lang w:val="fr-CH"/>
        </w:rPr>
        <w:t>البرنامج تنتمي غالبيتهم إلى أمريكا اللاتينية والكاريبي</w:t>
      </w:r>
      <w:r w:rsidRPr="00A710AF">
        <w:rPr>
          <w:rFonts w:ascii="Arabic Typesetting" w:hAnsi="Arabic Typesetting" w:cs="Arabic Typesetting" w:hint="cs"/>
          <w:sz w:val="34"/>
          <w:szCs w:val="34"/>
          <w:rtl/>
          <w:lang w:val="fr-CH"/>
        </w:rPr>
        <w:t xml:space="preserve"> (300 مشاركاً أو 43 بالمئة) وتبعهم مشاركون من منطقة آسيا والمحيط الهادئ (190 مشاركاً أو 28 بالمئة). وشارك 20 بالمئة من أوروبا و9 بالمئة من أفريقيا. ومن أصل المشاركين في 2014/15 البالغ عددهم 689 مش</w:t>
      </w:r>
      <w:r w:rsidR="000F1270">
        <w:rPr>
          <w:rFonts w:ascii="Arabic Typesetting" w:hAnsi="Arabic Typesetting" w:cs="Arabic Typesetting" w:hint="cs"/>
          <w:sz w:val="34"/>
          <w:szCs w:val="34"/>
          <w:rtl/>
          <w:lang w:val="fr-CH"/>
        </w:rPr>
        <w:t xml:space="preserve">اركاً، كان 390 منهم </w:t>
      </w:r>
      <w:r w:rsidR="000F1270" w:rsidRPr="00A710AF">
        <w:rPr>
          <w:rFonts w:ascii="Arabic Typesetting" w:hAnsi="Arabic Typesetting" w:cs="Arabic Typesetting" w:hint="cs"/>
          <w:sz w:val="34"/>
          <w:szCs w:val="34"/>
          <w:rtl/>
          <w:lang w:val="fr-CH"/>
        </w:rPr>
        <w:t>نساء</w:t>
      </w:r>
      <w:r w:rsidR="000F1270">
        <w:rPr>
          <w:rFonts w:ascii="Arabic Typesetting" w:hAnsi="Arabic Typesetting" w:cs="Arabic Typesetting" w:hint="cs"/>
          <w:sz w:val="34"/>
          <w:szCs w:val="34"/>
          <w:rtl/>
          <w:lang w:val="fr-CH"/>
        </w:rPr>
        <w:t xml:space="preserve"> (57 بالمئة) </w:t>
      </w:r>
      <w:r w:rsidRPr="00A710AF">
        <w:rPr>
          <w:rFonts w:ascii="Arabic Typesetting" w:hAnsi="Arabic Typesetting" w:cs="Arabic Typesetting" w:hint="cs"/>
          <w:sz w:val="34"/>
          <w:szCs w:val="34"/>
          <w:rtl/>
          <w:lang w:val="fr-CH"/>
        </w:rPr>
        <w:t>و299 رجالاً (43 بالمئة). ومولت حكومة اليابان مشاركة 20</w:t>
      </w:r>
      <w:r w:rsidRPr="00A710AF">
        <w:rPr>
          <w:rFonts w:ascii="Arabic Typesetting" w:hAnsi="Arabic Typesetting" w:cs="Arabic Typesetting" w:hint="eastAsia"/>
          <w:sz w:val="34"/>
          <w:szCs w:val="34"/>
          <w:rtl/>
          <w:lang w:val="fr-CH"/>
        </w:rPr>
        <w:t> </w:t>
      </w:r>
      <w:r w:rsidRPr="00A710AF">
        <w:rPr>
          <w:rFonts w:ascii="Arabic Typesetting" w:hAnsi="Arabic Typesetting" w:cs="Arabic Typesetting" w:hint="cs"/>
          <w:sz w:val="34"/>
          <w:szCs w:val="34"/>
          <w:rtl/>
          <w:lang w:val="fr-CH"/>
        </w:rPr>
        <w:t xml:space="preserve">شخصاً في الدورات في جنوب أفريقيا، في حين مولت جمهورية كوريا مشاركة 16 شخصاً في الدورات في جمهورية كوريا. </w:t>
      </w:r>
      <w:r w:rsidRPr="00A710AF">
        <w:rPr>
          <w:rFonts w:ascii="Arabic Typesetting" w:hAnsi="Arabic Typesetting" w:cs="Arabic Typesetting"/>
          <w:sz w:val="34"/>
          <w:szCs w:val="34"/>
          <w:rtl/>
          <w:lang w:val="fr-CH"/>
        </w:rPr>
        <w:t>وتواصل تحسين دورات المدرسة الصيفية بالتناوب مع مراعاة التوازن الجغرافي.</w:t>
      </w:r>
    </w:p>
    <w:p w:rsidR="00A710AF" w:rsidRPr="00A710AF" w:rsidRDefault="00A710AF" w:rsidP="00A710AF">
      <w:pPr>
        <w:keepNext/>
        <w:tabs>
          <w:tab w:val="left" w:pos="720"/>
        </w:tabs>
        <w:bidi/>
        <w:spacing w:after="120" w:line="340" w:lineRule="exact"/>
        <w:jc w:val="center"/>
        <w:rPr>
          <w:rFonts w:ascii="Arabic Typesetting" w:hAnsi="Arabic Typesetting" w:cs="Arabic Typesetting"/>
          <w:i/>
          <w:iCs/>
          <w:sz w:val="28"/>
          <w:szCs w:val="28"/>
          <w:rtl/>
          <w:lang w:val="fr-CH"/>
        </w:rPr>
      </w:pPr>
      <w:r w:rsidRPr="00A710AF">
        <w:rPr>
          <w:rFonts w:ascii="Arabic Typesetting" w:hAnsi="Arabic Typesetting" w:cs="Arabic Typesetting" w:hint="cs"/>
          <w:i/>
          <w:iCs/>
          <w:sz w:val="28"/>
          <w:szCs w:val="28"/>
          <w:rtl/>
          <w:lang w:val="fr-CH"/>
        </w:rPr>
        <w:lastRenderedPageBreak/>
        <w:t>المشاركون في برامج مدرسة الويبو الصيفية في 2014 و2015 (بحسب الجنس)</w:t>
      </w:r>
    </w:p>
    <w:p w:rsidR="004335C7" w:rsidRPr="00622DB7" w:rsidRDefault="00622DB7" w:rsidP="00622DB7">
      <w:pPr>
        <w:tabs>
          <w:tab w:val="left" w:pos="720"/>
        </w:tabs>
        <w:bidi/>
        <w:spacing w:after="120"/>
        <w:jc w:val="center"/>
        <w:rPr>
          <w:rFonts w:ascii="Arabic Typesetting" w:hAnsi="Arabic Typesetting" w:cs="Arabic Typesetting"/>
          <w:sz w:val="34"/>
          <w:szCs w:val="34"/>
          <w:lang w:val="fr-CH"/>
        </w:rPr>
      </w:pPr>
      <w:r>
        <w:rPr>
          <w:rFonts w:ascii="Arabic Typesetting" w:hAnsi="Arabic Typesetting" w:cs="Arabic Typesetting"/>
          <w:noProof/>
          <w:sz w:val="34"/>
          <w:szCs w:val="34"/>
        </w:rPr>
        <w:drawing>
          <wp:inline distT="0" distB="0" distL="0" distR="0" wp14:anchorId="3BBCA361" wp14:editId="4ED49761">
            <wp:extent cx="5091198" cy="3002478"/>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102501" cy="3009144"/>
                    </a:xfrm>
                    <a:prstGeom prst="rect">
                      <a:avLst/>
                    </a:prstGeom>
                    <a:noFill/>
                  </pic:spPr>
                </pic:pic>
              </a:graphicData>
            </a:graphic>
          </wp:inline>
        </w:drawing>
      </w:r>
    </w:p>
    <w:p w:rsidR="004335C7" w:rsidRPr="00622DB7" w:rsidRDefault="0024250D" w:rsidP="009A3712">
      <w:pPr>
        <w:numPr>
          <w:ilvl w:val="0"/>
          <w:numId w:val="43"/>
        </w:numPr>
        <w:bidi/>
        <w:spacing w:after="120" w:line="340" w:lineRule="exact"/>
        <w:ind w:left="0" w:firstLine="0"/>
        <w:rPr>
          <w:rFonts w:ascii="Arabic Typesetting" w:hAnsi="Arabic Typesetting" w:cs="Arabic Typesetting"/>
          <w:sz w:val="34"/>
          <w:szCs w:val="34"/>
          <w:lang w:val="fr-CH"/>
        </w:rPr>
      </w:pPr>
      <w:r w:rsidRPr="0024250D">
        <w:rPr>
          <w:rFonts w:ascii="Arabic Typesetting" w:hAnsi="Arabic Typesetting" w:cs="Arabic Typesetting"/>
          <w:sz w:val="34"/>
          <w:szCs w:val="34"/>
          <w:rtl/>
          <w:lang w:val="fr-CH"/>
        </w:rPr>
        <w:t>وفي عام 2014، عُمم مشروع الأكاديميات الناشئة في الميزانية العادية للأكاديمية</w:t>
      </w:r>
      <w:r>
        <w:rPr>
          <w:rFonts w:ascii="Arabic Typesetting" w:hAnsi="Arabic Typesetting" w:cs="Arabic Typesetting" w:hint="cs"/>
          <w:sz w:val="34"/>
          <w:szCs w:val="34"/>
          <w:rtl/>
          <w:lang w:val="fr-CH"/>
        </w:rPr>
        <w:t xml:space="preserve"> عقب موافقة اللجنة المعنية بالتنمية والملكية الفكرية على تقييم مستقل للمشروع في دورتها الرابعة عشرة. وخلال الثنائية، تواصل التعاون مع الأكاديميات الناشئة الست التي وُضعت خلال مرحلة مشروع اللجنة المعنية بالتنمية والملكية الفكرية (كولومبيا والجمهورية </w:t>
      </w:r>
      <w:proofErr w:type="spellStart"/>
      <w:r>
        <w:rPr>
          <w:rFonts w:ascii="Arabic Typesetting" w:hAnsi="Arabic Typesetting" w:cs="Arabic Typesetting" w:hint="cs"/>
          <w:sz w:val="34"/>
          <w:szCs w:val="34"/>
          <w:rtl/>
          <w:lang w:val="fr-CH"/>
        </w:rPr>
        <w:t>الدومينيكية</w:t>
      </w:r>
      <w:proofErr w:type="spellEnd"/>
      <w:r>
        <w:rPr>
          <w:rFonts w:ascii="Arabic Typesetting" w:hAnsi="Arabic Typesetting" w:cs="Arabic Typesetting" w:hint="cs"/>
          <w:sz w:val="34"/>
          <w:szCs w:val="34"/>
          <w:rtl/>
          <w:lang w:val="fr-CH"/>
        </w:rPr>
        <w:t xml:space="preserve"> ومصر وإثيوبيا وبيرو وتونس). ووقعت اتفاقات جديدة لإنشاء مراكز وطنية للتدريب في مجال الملكية الفكرية (أكاديميات ناشئة) مع حكومات أذربيجان وكمبوديا وكوستاريكا وإكوادور والسلفادور وجورجيا وتركيا. ووردت طلبات </w:t>
      </w:r>
      <w:r w:rsidR="000D2765">
        <w:rPr>
          <w:rFonts w:ascii="Arabic Typesetting" w:hAnsi="Arabic Typesetting" w:cs="Arabic Typesetting" w:hint="cs"/>
          <w:sz w:val="34"/>
          <w:szCs w:val="34"/>
          <w:rtl/>
          <w:lang w:val="fr-CH"/>
        </w:rPr>
        <w:t>من دول أعضاء تلتمس المساعدة في وضع مراكز وطنية للتدريب على الملكية الفكرية في 2014/15 وستتناول في 2016/17.</w:t>
      </w:r>
    </w:p>
    <w:p w:rsidR="008B0D7B" w:rsidRPr="008B0D7B" w:rsidRDefault="008B0D7B" w:rsidP="008B0D7B">
      <w:pPr>
        <w:keepNext/>
        <w:tabs>
          <w:tab w:val="left" w:pos="720"/>
        </w:tabs>
        <w:bidi/>
        <w:spacing w:after="240" w:line="360" w:lineRule="exact"/>
        <w:ind w:left="360" w:hanging="360"/>
        <w:rPr>
          <w:rFonts w:ascii="Arabic Typesetting" w:hAnsi="Arabic Typesetting" w:cs="Arabic Typesetting"/>
          <w:b/>
          <w:bCs/>
          <w:sz w:val="36"/>
          <w:szCs w:val="36"/>
          <w:rtl/>
          <w:lang w:bidi="ar-EG"/>
        </w:rPr>
      </w:pPr>
      <w:r w:rsidRPr="008B0D7B">
        <w:rPr>
          <w:rFonts w:ascii="Arabic Typesetting" w:hAnsi="Arabic Typesetting" w:cs="Arabic Typesetting"/>
          <w:b/>
          <w:bCs/>
          <w:sz w:val="36"/>
          <w:szCs w:val="36"/>
          <w:rtl/>
          <w:lang w:bidi="ar-EG"/>
        </w:rPr>
        <w:lastRenderedPageBreak/>
        <w:t>بيانات الأداء</w:t>
      </w:r>
    </w:p>
    <w:tbl>
      <w:tblPr>
        <w:bidiVisual/>
        <w:tblW w:w="0" w:type="auto"/>
        <w:tblInd w:w="10" w:type="dxa"/>
        <w:tblLook w:val="04A0" w:firstRow="1" w:lastRow="0" w:firstColumn="1" w:lastColumn="0" w:noHBand="0" w:noVBand="1"/>
      </w:tblPr>
      <w:tblGrid>
        <w:gridCol w:w="2082"/>
        <w:gridCol w:w="1985"/>
        <w:gridCol w:w="1538"/>
        <w:gridCol w:w="2998"/>
        <w:gridCol w:w="742"/>
      </w:tblGrid>
      <w:tr w:rsidR="00706246" w:rsidRPr="00B20160" w:rsidTr="00FE0236">
        <w:trPr>
          <w:cantSplit/>
        </w:trPr>
        <w:tc>
          <w:tcPr>
            <w:tcW w:w="9345"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tcPr>
          <w:p w:rsidR="00706246" w:rsidRPr="00B20160" w:rsidRDefault="00706246" w:rsidP="00FE0236">
            <w:pPr>
              <w:keepNext/>
              <w:bidi/>
              <w:spacing w:after="60" w:line="280" w:lineRule="exact"/>
              <w:ind w:left="1167" w:hanging="1167"/>
              <w:rPr>
                <w:rFonts w:ascii="Arabic Typesetting" w:hAnsi="Arabic Typesetting" w:cs="Arabic Typesetting"/>
                <w:sz w:val="28"/>
                <w:szCs w:val="28"/>
                <w:rtl/>
                <w:lang w:bidi="ar-EG"/>
              </w:rPr>
            </w:pPr>
            <w:r w:rsidRPr="00B20160">
              <w:rPr>
                <w:rFonts w:ascii="Arabic Typesetting" w:hAnsi="Arabic Typesetting" w:cs="Arabic Typesetting"/>
                <w:b/>
                <w:bCs/>
                <w:sz w:val="28"/>
                <w:szCs w:val="28"/>
                <w:rtl/>
                <w:lang w:bidi="ar-EG"/>
              </w:rPr>
              <w:t>النتيجة المرتقبة:</w:t>
            </w:r>
            <w:r w:rsidRPr="00B20160">
              <w:rPr>
                <w:rFonts w:ascii="Arabic Typesetting" w:hAnsi="Arabic Typesetting" w:cs="Arabic Typesetting"/>
                <w:b/>
                <w:bCs/>
                <w:sz w:val="28"/>
                <w:szCs w:val="28"/>
                <w:rtl/>
              </w:rPr>
              <w:tab/>
            </w:r>
            <w:r w:rsidRPr="00B20160">
              <w:rPr>
                <w:rFonts w:ascii="Arabic Typesetting" w:hAnsi="Arabic Typesetting" w:cs="Arabic Typesetting"/>
                <w:sz w:val="28"/>
                <w:szCs w:val="28"/>
                <w:rtl/>
              </w:rPr>
              <w:t>ه</w:t>
            </w:r>
            <w:r w:rsidRPr="00B20160">
              <w:rPr>
                <w:rFonts w:ascii="Arabic Typesetting" w:hAnsi="Arabic Typesetting" w:cs="Arabic Typesetting"/>
                <w:sz w:val="28"/>
                <w:szCs w:val="28"/>
                <w:rtl/>
                <w:lang w:bidi="ar-EG"/>
              </w:rPr>
              <w:t xml:space="preserve">2.3 </w:t>
            </w:r>
            <w:r w:rsidR="000432CA">
              <w:rPr>
                <w:rFonts w:ascii="Arabic Typesetting" w:hAnsi="Arabic Typesetting" w:cs="Arabic Typesetting"/>
                <w:sz w:val="28"/>
                <w:szCs w:val="28"/>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8B0D7B" w:rsidRPr="00B20160" w:rsidTr="00FE0236">
        <w:trPr>
          <w:cantSplit/>
        </w:trPr>
        <w:tc>
          <w:tcPr>
            <w:tcW w:w="2082" w:type="dxa"/>
            <w:tcBorders>
              <w:top w:val="single" w:sz="4" w:space="0" w:color="auto"/>
              <w:left w:val="single" w:sz="4" w:space="0" w:color="auto"/>
              <w:bottom w:val="nil"/>
              <w:right w:val="nil"/>
            </w:tcBorders>
          </w:tcPr>
          <w:p w:rsidR="008B0D7B" w:rsidRPr="00B20160" w:rsidRDefault="00706246" w:rsidP="00FE0236">
            <w:pPr>
              <w:keepNext/>
              <w:bidi/>
              <w:spacing w:before="60" w:after="60" w:line="280" w:lineRule="exact"/>
              <w:rPr>
                <w:rFonts w:ascii="Arabic Typesetting" w:hAnsi="Arabic Typesetting" w:cs="Arabic Typesetting"/>
                <w:b/>
                <w:bCs/>
                <w:sz w:val="28"/>
                <w:szCs w:val="28"/>
                <w:rtl/>
                <w:lang w:bidi="ar-EG"/>
              </w:rPr>
            </w:pPr>
            <w:r w:rsidRPr="00B20160">
              <w:rPr>
                <w:rFonts w:ascii="Arabic Typesetting" w:hAnsi="Arabic Typesetting" w:cs="Arabic Typesetting"/>
                <w:b/>
                <w:bCs/>
                <w:sz w:val="28"/>
                <w:szCs w:val="28"/>
                <w:rtl/>
                <w:lang w:bidi="ar-EG"/>
              </w:rPr>
              <w:t>مؤشرات الأداء</w:t>
            </w:r>
          </w:p>
        </w:tc>
        <w:tc>
          <w:tcPr>
            <w:tcW w:w="1985" w:type="dxa"/>
            <w:tcBorders>
              <w:top w:val="single" w:sz="4" w:space="0" w:color="auto"/>
              <w:left w:val="nil"/>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b/>
                <w:bCs/>
                <w:sz w:val="28"/>
                <w:szCs w:val="28"/>
                <w:rtl/>
                <w:lang w:bidi="ar-EG"/>
              </w:rPr>
            </w:pPr>
            <w:r w:rsidRPr="00B20160">
              <w:rPr>
                <w:rFonts w:ascii="Arabic Typesetting" w:hAnsi="Arabic Typesetting" w:cs="Arabic Typesetting"/>
                <w:b/>
                <w:bCs/>
                <w:sz w:val="28"/>
                <w:szCs w:val="28"/>
                <w:rtl/>
                <w:lang w:bidi="ar-EG"/>
              </w:rPr>
              <w:t>أسس المقارنة</w:t>
            </w:r>
          </w:p>
        </w:tc>
        <w:tc>
          <w:tcPr>
            <w:tcW w:w="1538" w:type="dxa"/>
            <w:tcBorders>
              <w:top w:val="single" w:sz="4" w:space="0" w:color="auto"/>
              <w:left w:val="nil"/>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b/>
                <w:bCs/>
                <w:sz w:val="28"/>
                <w:szCs w:val="28"/>
                <w:rtl/>
                <w:lang w:bidi="ar-EG"/>
              </w:rPr>
            </w:pPr>
            <w:r w:rsidRPr="00B20160">
              <w:rPr>
                <w:rFonts w:ascii="Arabic Typesetting" w:hAnsi="Arabic Typesetting" w:cs="Arabic Typesetting"/>
                <w:b/>
                <w:bCs/>
                <w:sz w:val="28"/>
                <w:szCs w:val="28"/>
                <w:rtl/>
                <w:lang w:bidi="ar-EG"/>
              </w:rPr>
              <w:t>الأهداف</w:t>
            </w:r>
          </w:p>
        </w:tc>
        <w:tc>
          <w:tcPr>
            <w:tcW w:w="2998" w:type="dxa"/>
            <w:tcBorders>
              <w:top w:val="single" w:sz="4" w:space="0" w:color="auto"/>
              <w:left w:val="nil"/>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b/>
                <w:bCs/>
                <w:sz w:val="28"/>
                <w:szCs w:val="28"/>
                <w:rtl/>
                <w:lang w:bidi="ar-EG"/>
              </w:rPr>
            </w:pPr>
            <w:r w:rsidRPr="00B20160">
              <w:rPr>
                <w:rFonts w:ascii="Arabic Typesetting" w:hAnsi="Arabic Typesetting" w:cs="Arabic Typesetting"/>
                <w:b/>
                <w:bCs/>
                <w:sz w:val="28"/>
                <w:szCs w:val="28"/>
                <w:rtl/>
                <w:lang w:bidi="ar-EG"/>
              </w:rPr>
              <w:t>بيانات الأداء</w:t>
            </w:r>
          </w:p>
        </w:tc>
        <w:tc>
          <w:tcPr>
            <w:tcW w:w="742" w:type="dxa"/>
            <w:tcBorders>
              <w:top w:val="single" w:sz="4" w:space="0" w:color="auto"/>
              <w:left w:val="nil"/>
              <w:bottom w:val="nil"/>
              <w:right w:val="single" w:sz="4" w:space="0" w:color="auto"/>
            </w:tcBorders>
          </w:tcPr>
          <w:p w:rsidR="008B0D7B" w:rsidRPr="00B20160" w:rsidRDefault="008B0D7B" w:rsidP="00FE0236">
            <w:pPr>
              <w:keepNext/>
              <w:bidi/>
              <w:spacing w:before="60" w:after="60" w:line="280" w:lineRule="exact"/>
              <w:jc w:val="center"/>
              <w:rPr>
                <w:rFonts w:ascii="Arabic Typesetting" w:hAnsi="Arabic Typesetting" w:cs="Arabic Typesetting"/>
                <w:b/>
                <w:bCs/>
                <w:sz w:val="28"/>
                <w:szCs w:val="28"/>
                <w:lang w:bidi="ar-EG"/>
              </w:rPr>
            </w:pPr>
            <w:r w:rsidRPr="00B20160">
              <w:rPr>
                <w:rFonts w:ascii="Arabic Typesetting" w:hAnsi="Arabic Typesetting" w:cs="Arabic Typesetting"/>
                <w:b/>
                <w:bCs/>
                <w:sz w:val="28"/>
                <w:szCs w:val="28"/>
                <w:rtl/>
                <w:lang w:bidi="ar-EG"/>
              </w:rPr>
              <w:t>السير</w:t>
            </w:r>
          </w:p>
        </w:tc>
      </w:tr>
      <w:tr w:rsidR="008B0D7B" w:rsidRPr="00B20160" w:rsidTr="00FE0236">
        <w:trPr>
          <w:cantSplit/>
        </w:trPr>
        <w:tc>
          <w:tcPr>
            <w:tcW w:w="2082" w:type="dxa"/>
            <w:tcBorders>
              <w:top w:val="nil"/>
              <w:left w:val="single" w:sz="4" w:space="0" w:color="auto"/>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rPr>
              <w:t>المحفظة المُنقَّحة للدورات التدريبية المتعلقة بالملكية الفكرية المقدمة للبلدان النامية والبلدان الأقل نمواً والبلدان التي تمر بمرحلة انتقال</w:t>
            </w:r>
            <w:r w:rsidR="00D12423" w:rsidRPr="00B20160">
              <w:rPr>
                <w:rFonts w:ascii="Arabic Typesetting" w:hAnsi="Arabic Typesetting" w:cs="Arabic Typesetting"/>
                <w:sz w:val="28"/>
                <w:szCs w:val="28"/>
                <w:rtl/>
              </w:rPr>
              <w:t xml:space="preserve">ية </w:t>
            </w:r>
            <w:r w:rsidRPr="00B20160">
              <w:rPr>
                <w:rFonts w:ascii="Arabic Typesetting" w:hAnsi="Arabic Typesetting" w:cs="Arabic Typesetting"/>
                <w:sz w:val="28"/>
                <w:szCs w:val="28"/>
                <w:rtl/>
              </w:rPr>
              <w:t>/</w:t>
            </w:r>
            <w:r w:rsidR="00D12423" w:rsidRPr="00B20160">
              <w:rPr>
                <w:rFonts w:ascii="Arabic Typesetting" w:hAnsi="Arabic Typesetting" w:cs="Arabic Typesetting"/>
                <w:sz w:val="28"/>
                <w:szCs w:val="28"/>
                <w:rtl/>
              </w:rPr>
              <w:t xml:space="preserve"> </w:t>
            </w:r>
            <w:r w:rsidRPr="00B20160">
              <w:rPr>
                <w:rFonts w:ascii="Arabic Typesetting" w:hAnsi="Arabic Typesetting" w:cs="Arabic Typesetting"/>
                <w:sz w:val="28"/>
                <w:szCs w:val="28"/>
                <w:rtl/>
              </w:rPr>
              <w:t>ومدى ملاءمة محتوى الدورات التدريبية لمتطلبات تكوين الكفاءات في البلدان النامية والبلدان الأقل نمواً والبلدان التي تمر بمرحلة انتقال</w:t>
            </w:r>
            <w:r w:rsidR="00D12423" w:rsidRPr="00B20160">
              <w:rPr>
                <w:rFonts w:ascii="Arabic Typesetting" w:hAnsi="Arabic Typesetting" w:cs="Arabic Typesetting"/>
                <w:sz w:val="28"/>
                <w:szCs w:val="28"/>
                <w:rtl/>
              </w:rPr>
              <w:t>ية</w:t>
            </w:r>
          </w:p>
        </w:tc>
        <w:tc>
          <w:tcPr>
            <w:tcW w:w="1985" w:type="dxa"/>
            <w:tcBorders>
              <w:top w:val="nil"/>
              <w:left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لم تُنقح المحفظة على نطاق عالمي منذ إنشاء أكاديمية</w:t>
            </w:r>
          </w:p>
        </w:tc>
        <w:tc>
          <w:tcPr>
            <w:tcW w:w="1538" w:type="dxa"/>
            <w:tcBorders>
              <w:top w:val="nil"/>
              <w:left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توفُّر المحفظة المُنقَّحة بحلول نهاية الثنائية</w:t>
            </w:r>
          </w:p>
        </w:tc>
        <w:tc>
          <w:tcPr>
            <w:tcW w:w="2998" w:type="dxa"/>
            <w:tcBorders>
              <w:top w:val="nil"/>
              <w:left w:val="nil"/>
              <w:right w:val="nil"/>
            </w:tcBorders>
          </w:tcPr>
          <w:p w:rsidR="008B0D7B" w:rsidRPr="00B20160" w:rsidRDefault="00D12423"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أُنجز تنقيح محفظة الدورات التدريبية في 2015. ونُقحت محفظة الدورات التدريبية استناداً إلى نتائج استبيان تقييم الاحتياجات التدريبية الذي وزع في عام 2015.</w:t>
            </w:r>
          </w:p>
        </w:tc>
        <w:tc>
          <w:tcPr>
            <w:tcW w:w="742" w:type="dxa"/>
            <w:tcBorders>
              <w:top w:val="nil"/>
              <w:left w:val="nil"/>
              <w:right w:val="single" w:sz="4" w:space="0" w:color="auto"/>
            </w:tcBorders>
          </w:tcPr>
          <w:p w:rsidR="008B0D7B" w:rsidRPr="00B20160" w:rsidRDefault="00706246" w:rsidP="00FE0236">
            <w:pPr>
              <w:keepNext/>
              <w:bidi/>
              <w:spacing w:before="60" w:after="60" w:line="280" w:lineRule="exact"/>
              <w:jc w:val="center"/>
              <w:rPr>
                <w:rFonts w:ascii="Arabic Typesetting" w:hAnsi="Arabic Typesetting" w:cs="Arabic Typesetting"/>
                <w:sz w:val="28"/>
                <w:szCs w:val="28"/>
                <w:lang w:bidi="ar-EG"/>
              </w:rPr>
            </w:pPr>
            <w:r w:rsidRPr="00B20160">
              <w:rPr>
                <w:rFonts w:ascii="Arabic Typesetting" w:hAnsi="Arabic Typesetting" w:cs="Arabic Typesetting"/>
                <w:b/>
                <w:bCs/>
                <w:color w:val="008000"/>
                <w:sz w:val="28"/>
                <w:szCs w:val="28"/>
                <w:rtl/>
                <w:lang w:bidi="ar-EG"/>
              </w:rPr>
              <w:t>محقق كلياً</w:t>
            </w:r>
          </w:p>
        </w:tc>
      </w:tr>
      <w:tr w:rsidR="008B0D7B" w:rsidRPr="00B20160" w:rsidTr="00FE0236">
        <w:trPr>
          <w:cantSplit/>
        </w:trPr>
        <w:tc>
          <w:tcPr>
            <w:tcW w:w="2082" w:type="dxa"/>
            <w:tcBorders>
              <w:left w:val="single" w:sz="4" w:space="0" w:color="auto"/>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rPr>
            </w:pPr>
            <w:r w:rsidRPr="00B20160">
              <w:rPr>
                <w:rFonts w:ascii="Arabic Typesetting" w:hAnsi="Arabic Typesetting" w:cs="Arabic Typesetting"/>
                <w:sz w:val="28"/>
                <w:szCs w:val="28"/>
                <w:rtl/>
              </w:rPr>
              <w:t>النفاذ المُحسَّن والمتعدد اللغات إلى التعلم الإلكتروني فيما يتعلق بالجوانب المختلفة للملكية الفكرية للبلدان النامية والبلدان الأقل نمواً والبلدان التي تمر بمرحلة انتقال / ومدى ملاءمة محتوى محفظة دورات التعلم الإلكتروني لمتطلبات تكوين الكفاءات في البلدان النامية والبلدان الأقل نمواً والبلدان التي تمر بمرحلة انتقال</w:t>
            </w:r>
          </w:p>
        </w:tc>
        <w:tc>
          <w:tcPr>
            <w:tcW w:w="1985" w:type="dxa"/>
            <w:tcBorders>
              <w:left w:val="nil"/>
              <w:right w:val="nil"/>
            </w:tcBorders>
          </w:tcPr>
          <w:p w:rsidR="008B0D7B" w:rsidRPr="00B20160" w:rsidRDefault="008B0D7B" w:rsidP="00FE0236">
            <w:pPr>
              <w:bidi/>
              <w:spacing w:before="60" w:after="60" w:line="280" w:lineRule="exact"/>
              <w:rPr>
                <w:rFonts w:ascii="Arabic Typesetting" w:hAnsi="Arabic Typesetting" w:cs="Arabic Typesetting"/>
                <w:b/>
                <w:i/>
                <w:iCs/>
                <w:color w:val="002060"/>
                <w:sz w:val="28"/>
                <w:szCs w:val="28"/>
                <w:lang w:bidi="ar-EG"/>
              </w:rPr>
            </w:pPr>
            <w:r w:rsidRPr="00B20160">
              <w:rPr>
                <w:rFonts w:ascii="Arabic Typesetting" w:hAnsi="Arabic Typesetting" w:cs="Arabic Typesetting"/>
                <w:b/>
                <w:i/>
                <w:iCs/>
                <w:color w:val="002060"/>
                <w:sz w:val="28"/>
                <w:szCs w:val="28"/>
                <w:rtl/>
                <w:lang w:bidi="ar-EG"/>
              </w:rPr>
              <w:t>أسس المقارنة المحدّثة في نهاية 2013:</w:t>
            </w:r>
          </w:p>
          <w:p w:rsidR="008B0D7B" w:rsidRPr="00B20160" w:rsidRDefault="008B0D7B" w:rsidP="00FE0236">
            <w:pPr>
              <w:bidi/>
              <w:spacing w:before="60" w:after="60" w:line="280" w:lineRule="exact"/>
              <w:ind w:left="288" w:hanging="288"/>
              <w:rPr>
                <w:rFonts w:ascii="Arabic Typesetting" w:hAnsi="Arabic Typesetting" w:cs="Arabic Typesetting"/>
                <w:b/>
                <w:color w:val="002060"/>
                <w:sz w:val="28"/>
                <w:szCs w:val="28"/>
                <w:lang w:bidi="ar-EG"/>
              </w:rPr>
            </w:pPr>
            <w:r w:rsidRPr="00B20160">
              <w:rPr>
                <w:rFonts w:ascii="Arabic Typesetting" w:hAnsi="Arabic Typesetting" w:cs="Arabic Typesetting"/>
                <w:b/>
                <w:color w:val="002060"/>
                <w:sz w:val="28"/>
                <w:szCs w:val="28"/>
                <w:rtl/>
                <w:lang w:bidi="ar-EG"/>
              </w:rPr>
              <w:t>-</w:t>
            </w:r>
            <w:r w:rsidRPr="00B20160">
              <w:rPr>
                <w:rFonts w:ascii="Arabic Typesetting" w:hAnsi="Arabic Typesetting" w:cs="Arabic Typesetting"/>
                <w:b/>
                <w:color w:val="002060"/>
                <w:sz w:val="28"/>
                <w:szCs w:val="28"/>
                <w:rtl/>
                <w:lang w:bidi="ar-EG"/>
              </w:rPr>
              <w:tab/>
              <w:t>توفر 5 دورات تعلم عن بعد بلغات الأمم المتحدة الست إضافة إلى البرتغالية؛</w:t>
            </w:r>
          </w:p>
          <w:p w:rsidR="008B0D7B" w:rsidRPr="00B20160" w:rsidRDefault="008B0D7B" w:rsidP="00FE0236">
            <w:pPr>
              <w:bidi/>
              <w:spacing w:before="60" w:after="60" w:line="280" w:lineRule="exact"/>
              <w:ind w:left="288" w:hanging="288"/>
              <w:rPr>
                <w:rFonts w:ascii="Arabic Typesetting" w:hAnsi="Arabic Typesetting" w:cs="Arabic Typesetting"/>
                <w:b/>
                <w:color w:val="002060"/>
                <w:sz w:val="28"/>
                <w:szCs w:val="28"/>
                <w:lang w:bidi="ar-EG"/>
              </w:rPr>
            </w:pPr>
            <w:r w:rsidRPr="00B20160">
              <w:rPr>
                <w:rFonts w:ascii="Arabic Typesetting" w:hAnsi="Arabic Typesetting" w:cs="Arabic Typesetting"/>
                <w:b/>
                <w:color w:val="002060"/>
                <w:sz w:val="28"/>
                <w:szCs w:val="28"/>
                <w:rtl/>
                <w:lang w:bidi="ar-EG"/>
              </w:rPr>
              <w:t>-</w:t>
            </w:r>
            <w:r w:rsidRPr="00B20160">
              <w:rPr>
                <w:rFonts w:ascii="Arabic Typesetting" w:hAnsi="Arabic Typesetting" w:cs="Arabic Typesetting"/>
                <w:b/>
                <w:color w:val="002060"/>
                <w:sz w:val="28"/>
                <w:szCs w:val="28"/>
                <w:rtl/>
                <w:lang w:bidi="ar-EG"/>
              </w:rPr>
              <w:tab/>
              <w:t>توفر دورتا تعلم عن بعد بخمس من لغات الأمم المتحدة إضافة إلى البرتغالية؛</w:t>
            </w:r>
          </w:p>
          <w:p w:rsidR="008B0D7B" w:rsidRPr="00B20160" w:rsidRDefault="008B0D7B" w:rsidP="00FE0236">
            <w:pPr>
              <w:bidi/>
              <w:spacing w:before="60" w:after="60" w:line="280" w:lineRule="exact"/>
              <w:ind w:left="288" w:hanging="288"/>
              <w:rPr>
                <w:rFonts w:ascii="Arabic Typesetting" w:hAnsi="Arabic Typesetting" w:cs="Arabic Typesetting"/>
                <w:b/>
                <w:color w:val="002060"/>
                <w:sz w:val="28"/>
                <w:szCs w:val="28"/>
                <w:lang w:bidi="ar-EG"/>
              </w:rPr>
            </w:pPr>
            <w:r w:rsidRPr="00B20160">
              <w:rPr>
                <w:rFonts w:ascii="Arabic Typesetting" w:hAnsi="Arabic Typesetting" w:cs="Arabic Typesetting"/>
                <w:b/>
                <w:color w:val="002060"/>
                <w:sz w:val="28"/>
                <w:szCs w:val="28"/>
                <w:rtl/>
                <w:lang w:bidi="ar-EG"/>
              </w:rPr>
              <w:t>-</w:t>
            </w:r>
            <w:r w:rsidRPr="00B20160">
              <w:rPr>
                <w:rFonts w:ascii="Arabic Typesetting" w:hAnsi="Arabic Typesetting" w:cs="Arabic Typesetting"/>
                <w:b/>
                <w:color w:val="002060"/>
                <w:sz w:val="28"/>
                <w:szCs w:val="28"/>
                <w:rtl/>
                <w:lang w:bidi="ar-EG"/>
              </w:rPr>
              <w:tab/>
              <w:t>توفر دورة واحدة بأربع من لغات الأمم المتحدة إضافة إلى البرتغالية؛</w:t>
            </w:r>
          </w:p>
          <w:p w:rsidR="008B0D7B" w:rsidRPr="00B20160" w:rsidRDefault="008B0D7B" w:rsidP="00FE0236">
            <w:pPr>
              <w:bidi/>
              <w:spacing w:before="60" w:after="60" w:line="280" w:lineRule="exact"/>
              <w:ind w:left="288" w:hanging="288"/>
              <w:rPr>
                <w:rFonts w:ascii="Arabic Typesetting" w:hAnsi="Arabic Typesetting" w:cs="Arabic Typesetting"/>
                <w:sz w:val="28"/>
                <w:szCs w:val="28"/>
                <w:rtl/>
                <w:lang w:bidi="ar-EG"/>
              </w:rPr>
            </w:pPr>
            <w:r w:rsidRPr="00B20160">
              <w:rPr>
                <w:rFonts w:ascii="Arabic Typesetting" w:hAnsi="Arabic Typesetting" w:cs="Arabic Typesetting"/>
                <w:b/>
                <w:color w:val="002060"/>
                <w:sz w:val="28"/>
                <w:szCs w:val="28"/>
                <w:rtl/>
                <w:lang w:bidi="ar-EG"/>
              </w:rPr>
              <w:t>-</w:t>
            </w:r>
            <w:r w:rsidRPr="00B20160">
              <w:rPr>
                <w:rFonts w:ascii="Arabic Typesetting" w:hAnsi="Arabic Typesetting" w:cs="Arabic Typesetting"/>
                <w:b/>
                <w:color w:val="002060"/>
                <w:sz w:val="28"/>
                <w:szCs w:val="28"/>
                <w:rtl/>
                <w:lang w:bidi="ar-EG"/>
              </w:rPr>
              <w:tab/>
              <w:t>توفر 4 دورات تعلم عن بعد باللغة الإنكليزية فقط</w:t>
            </w:r>
          </w:p>
        </w:tc>
        <w:tc>
          <w:tcPr>
            <w:tcW w:w="1538" w:type="dxa"/>
            <w:tcBorders>
              <w:left w:val="nil"/>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توفُّر جميع الدورات بجميع لغات الأمم المتحدة</w:t>
            </w:r>
          </w:p>
        </w:tc>
        <w:tc>
          <w:tcPr>
            <w:tcW w:w="2998" w:type="dxa"/>
            <w:tcBorders>
              <w:left w:val="nil"/>
              <w:right w:val="nil"/>
            </w:tcBorders>
          </w:tcPr>
          <w:p w:rsidR="008B0D7B" w:rsidRPr="00B20160" w:rsidRDefault="008B0D7B" w:rsidP="00FE0236">
            <w:pPr>
              <w:bidi/>
              <w:spacing w:before="60" w:after="60" w:line="280" w:lineRule="exact"/>
              <w:rPr>
                <w:rFonts w:ascii="Arabic Typesetting" w:hAnsi="Arabic Typesetting" w:cs="Arabic Typesetting"/>
                <w:sz w:val="28"/>
                <w:szCs w:val="28"/>
                <w:lang w:bidi="ar-EG"/>
              </w:rPr>
            </w:pPr>
            <w:r w:rsidRPr="00B20160">
              <w:rPr>
                <w:rFonts w:ascii="Arabic Typesetting" w:hAnsi="Arabic Typesetting" w:cs="Arabic Typesetting"/>
                <w:sz w:val="28"/>
                <w:szCs w:val="28"/>
                <w:rtl/>
                <w:lang w:bidi="ar-EG"/>
              </w:rPr>
              <w:t xml:space="preserve">في </w:t>
            </w:r>
            <w:r w:rsidR="00D12423" w:rsidRPr="00B20160">
              <w:rPr>
                <w:rFonts w:ascii="Arabic Typesetting" w:hAnsi="Arabic Typesetting" w:cs="Arabic Typesetting"/>
                <w:sz w:val="28"/>
                <w:szCs w:val="28"/>
                <w:rtl/>
                <w:lang w:bidi="ar-EG"/>
              </w:rPr>
              <w:t>2014/15</w:t>
            </w:r>
            <w:r w:rsidRPr="00B20160">
              <w:rPr>
                <w:rFonts w:ascii="Arabic Typesetting" w:hAnsi="Arabic Typesetting" w:cs="Arabic Typesetting"/>
                <w:sz w:val="28"/>
                <w:szCs w:val="28"/>
                <w:rtl/>
                <w:lang w:bidi="ar-EG"/>
              </w:rPr>
              <w:t>:</w:t>
            </w:r>
          </w:p>
          <w:p w:rsidR="008B0D7B" w:rsidRPr="00B20160" w:rsidRDefault="008B0D7B" w:rsidP="00FE0236">
            <w:pPr>
              <w:bidi/>
              <w:spacing w:before="60" w:after="60" w:line="280" w:lineRule="exact"/>
              <w:ind w:left="284" w:hanging="284"/>
              <w:rPr>
                <w:rFonts w:ascii="Arabic Typesetting" w:hAnsi="Arabic Typesetting" w:cs="Arabic Typesetting"/>
                <w:sz w:val="28"/>
                <w:szCs w:val="28"/>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 xml:space="preserve">توفر </w:t>
            </w:r>
            <w:r w:rsidR="00D12423" w:rsidRPr="00B20160">
              <w:rPr>
                <w:rFonts w:ascii="Arabic Typesetting" w:hAnsi="Arabic Typesetting" w:cs="Arabic Typesetting"/>
                <w:sz w:val="28"/>
                <w:szCs w:val="28"/>
                <w:rtl/>
                <w:lang w:bidi="ar-EG"/>
              </w:rPr>
              <w:t>11 دورة</w:t>
            </w:r>
            <w:r w:rsidRPr="00B20160">
              <w:rPr>
                <w:rFonts w:ascii="Arabic Typesetting" w:hAnsi="Arabic Typesetting" w:cs="Arabic Typesetting"/>
                <w:sz w:val="28"/>
                <w:szCs w:val="28"/>
                <w:rtl/>
                <w:lang w:bidi="ar-EG"/>
              </w:rPr>
              <w:t xml:space="preserve"> تعلم عن بعد بلغات الأمم المتحدة الست إضافة إلى البرتغالية؛</w:t>
            </w:r>
          </w:p>
          <w:p w:rsidR="008B0D7B" w:rsidRPr="00B20160" w:rsidRDefault="008B0D7B" w:rsidP="00FE0236">
            <w:pPr>
              <w:bidi/>
              <w:spacing w:before="60" w:after="60" w:line="280" w:lineRule="exact"/>
              <w:ind w:left="284" w:hanging="284"/>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توفر دورة وا</w:t>
            </w:r>
            <w:r w:rsidR="00D12423" w:rsidRPr="00B20160">
              <w:rPr>
                <w:rFonts w:ascii="Arabic Typesetting" w:hAnsi="Arabic Typesetting" w:cs="Arabic Typesetting"/>
                <w:sz w:val="28"/>
                <w:szCs w:val="28"/>
                <w:rtl/>
                <w:lang w:bidi="ar-EG"/>
              </w:rPr>
              <w:t>حدة بثلاث من لغات الأمم المتحدة</w:t>
            </w:r>
            <w:r w:rsidRPr="00F96634">
              <w:rPr>
                <w:rFonts w:ascii="Arabic Typesetting" w:hAnsi="Arabic Typesetting" w:cs="Arabic Typesetting"/>
                <w:sz w:val="28"/>
                <w:szCs w:val="28"/>
                <w:vertAlign w:val="superscript"/>
                <w:rtl/>
                <w:lang w:bidi="ar-EG"/>
              </w:rPr>
              <w:footnoteReference w:id="78"/>
            </w:r>
          </w:p>
        </w:tc>
        <w:tc>
          <w:tcPr>
            <w:tcW w:w="742" w:type="dxa"/>
            <w:tcBorders>
              <w:left w:val="nil"/>
              <w:right w:val="single" w:sz="4" w:space="0" w:color="auto"/>
            </w:tcBorders>
          </w:tcPr>
          <w:p w:rsidR="008B0D7B" w:rsidRPr="00B20160" w:rsidRDefault="00D12423"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B20160">
              <w:rPr>
                <w:rFonts w:ascii="Arabic Typesetting" w:hAnsi="Arabic Typesetting" w:cs="Arabic Typesetting"/>
                <w:b/>
                <w:bCs/>
                <w:color w:val="008000"/>
                <w:sz w:val="28"/>
                <w:szCs w:val="28"/>
                <w:rtl/>
                <w:lang w:bidi="ar-EG"/>
              </w:rPr>
              <w:t>محقق كلياً</w:t>
            </w:r>
          </w:p>
        </w:tc>
      </w:tr>
      <w:tr w:rsidR="008B0D7B" w:rsidRPr="00B20160" w:rsidTr="00FE0236">
        <w:trPr>
          <w:cantSplit/>
        </w:trPr>
        <w:tc>
          <w:tcPr>
            <w:tcW w:w="2082" w:type="dxa"/>
            <w:tcBorders>
              <w:left w:val="single" w:sz="4" w:space="0" w:color="auto"/>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rPr>
            </w:pPr>
          </w:p>
        </w:tc>
        <w:tc>
          <w:tcPr>
            <w:tcW w:w="1985" w:type="dxa"/>
            <w:tcBorders>
              <w:left w:val="nil"/>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ذكر 70% من المشاركين في الدورات المتقدمة أن أداءهم المهني و/أو الأكاديمي قد تحسن نتيجة مشاركتهم في دورة التعليم عن بعد.</w:t>
            </w:r>
          </w:p>
        </w:tc>
        <w:tc>
          <w:tcPr>
            <w:tcW w:w="1538" w:type="dxa"/>
            <w:tcBorders>
              <w:left w:val="nil"/>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p>
        </w:tc>
        <w:tc>
          <w:tcPr>
            <w:tcW w:w="2998" w:type="dxa"/>
            <w:tcBorders>
              <w:left w:val="nil"/>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 xml:space="preserve">ذكر </w:t>
            </w:r>
            <w:r w:rsidR="00D12423" w:rsidRPr="00B20160">
              <w:rPr>
                <w:rFonts w:ascii="Arabic Typesetting" w:hAnsi="Arabic Typesetting" w:cs="Arabic Typesetting"/>
                <w:sz w:val="28"/>
                <w:szCs w:val="28"/>
                <w:rtl/>
                <w:lang w:bidi="ar-EG"/>
              </w:rPr>
              <w:t>79</w:t>
            </w:r>
            <w:r w:rsidRPr="00B20160">
              <w:rPr>
                <w:rFonts w:ascii="Arabic Typesetting" w:hAnsi="Arabic Typesetting" w:cs="Arabic Typesetting"/>
                <w:sz w:val="28"/>
                <w:szCs w:val="28"/>
                <w:rtl/>
                <w:lang w:bidi="ar-EG"/>
              </w:rPr>
              <w:t>% من المشاركين في الدورات المتقدمة أن أداءهم المهني و/أو الأكاديمي قد تحسن نتيجة مشاركتهم في دورة التعليم عن بعد.</w:t>
            </w:r>
          </w:p>
          <w:p w:rsidR="00D12423" w:rsidRPr="00B20160" w:rsidRDefault="00D12423"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78% (2014)</w:t>
            </w:r>
          </w:p>
          <w:p w:rsidR="00D12423" w:rsidRPr="00B20160" w:rsidRDefault="00D12423"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81% (2015)</w:t>
            </w:r>
          </w:p>
        </w:tc>
        <w:tc>
          <w:tcPr>
            <w:tcW w:w="742" w:type="dxa"/>
            <w:tcBorders>
              <w:left w:val="nil"/>
              <w:bottom w:val="nil"/>
              <w:right w:val="single" w:sz="4" w:space="0" w:color="auto"/>
            </w:tcBorders>
          </w:tcPr>
          <w:p w:rsidR="008B0D7B" w:rsidRPr="00B20160" w:rsidRDefault="008B0D7B" w:rsidP="00FE0236">
            <w:pPr>
              <w:keepNext/>
              <w:bidi/>
              <w:spacing w:before="60" w:after="60" w:line="280" w:lineRule="exact"/>
              <w:jc w:val="center"/>
              <w:rPr>
                <w:rFonts w:ascii="Arabic Typesetting" w:hAnsi="Arabic Typesetting" w:cs="Arabic Typesetting"/>
                <w:b/>
                <w:bCs/>
                <w:color w:val="008000"/>
                <w:sz w:val="28"/>
                <w:szCs w:val="28"/>
                <w:rtl/>
                <w:lang w:bidi="ar-EG"/>
              </w:rPr>
            </w:pPr>
          </w:p>
        </w:tc>
      </w:tr>
      <w:tr w:rsidR="008B0D7B" w:rsidRPr="00B20160" w:rsidTr="00FE0236">
        <w:trPr>
          <w:cantSplit/>
        </w:trPr>
        <w:tc>
          <w:tcPr>
            <w:tcW w:w="2082" w:type="dxa"/>
            <w:tcBorders>
              <w:top w:val="nil"/>
              <w:left w:val="single" w:sz="4" w:space="0" w:color="auto"/>
              <w:bottom w:val="single" w:sz="4" w:space="0" w:color="auto"/>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rPr>
            </w:pPr>
          </w:p>
        </w:tc>
        <w:tc>
          <w:tcPr>
            <w:tcW w:w="1985" w:type="dxa"/>
            <w:tcBorders>
              <w:top w:val="nil"/>
              <w:left w:val="nil"/>
              <w:bottom w:val="single" w:sz="4" w:space="0" w:color="auto"/>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i/>
                <w:iCs/>
                <w:sz w:val="28"/>
                <w:szCs w:val="28"/>
                <w:rtl/>
                <w:lang w:bidi="ar-EG"/>
              </w:rPr>
              <w:t xml:space="preserve">أسس المقارنة الأصلية: برنامج وميزانية </w:t>
            </w:r>
            <w:r w:rsidR="003B2ED5">
              <w:rPr>
                <w:rFonts w:ascii="Arabic Typesetting" w:hAnsi="Arabic Typesetting" w:cs="Arabic Typesetting"/>
                <w:i/>
                <w:iCs/>
                <w:sz w:val="28"/>
                <w:szCs w:val="28"/>
                <w:rtl/>
                <w:lang w:bidi="ar-EG"/>
              </w:rPr>
              <w:t>2014/15</w:t>
            </w:r>
            <w:r w:rsidRPr="00B20160">
              <w:rPr>
                <w:rFonts w:ascii="Arabic Typesetting" w:hAnsi="Arabic Typesetting" w:cs="Arabic Typesetting"/>
                <w:i/>
                <w:iCs/>
                <w:sz w:val="28"/>
                <w:szCs w:val="28"/>
                <w:rtl/>
                <w:lang w:bidi="ar-EG"/>
              </w:rPr>
              <w:t>:</w:t>
            </w:r>
            <w:r w:rsidRPr="00B20160">
              <w:rPr>
                <w:rFonts w:ascii="Arabic Typesetting" w:hAnsi="Arabic Typesetting" w:cs="Arabic Typesetting"/>
                <w:sz w:val="28"/>
                <w:szCs w:val="28"/>
                <w:rtl/>
                <w:lang w:bidi="ar-EG"/>
              </w:rPr>
              <w:t xml:space="preserve"> ليست كل الدورات متوفرة بجميع اللغات؛ لا يقوم بتنقيح محتوى الدورات حالياً سوى هيئة الأكاديمية ولتلبية احتياجات مخصصة</w:t>
            </w:r>
          </w:p>
        </w:tc>
        <w:tc>
          <w:tcPr>
            <w:tcW w:w="1538" w:type="dxa"/>
            <w:tcBorders>
              <w:top w:val="nil"/>
              <w:left w:val="nil"/>
              <w:bottom w:val="single" w:sz="4" w:space="0" w:color="auto"/>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p>
        </w:tc>
        <w:tc>
          <w:tcPr>
            <w:tcW w:w="2998" w:type="dxa"/>
            <w:tcBorders>
              <w:top w:val="nil"/>
              <w:left w:val="nil"/>
              <w:bottom w:val="single" w:sz="4" w:space="0" w:color="auto"/>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p>
        </w:tc>
        <w:tc>
          <w:tcPr>
            <w:tcW w:w="742" w:type="dxa"/>
            <w:tcBorders>
              <w:top w:val="nil"/>
              <w:left w:val="nil"/>
              <w:bottom w:val="single" w:sz="4" w:space="0" w:color="auto"/>
              <w:right w:val="single" w:sz="4" w:space="0" w:color="auto"/>
            </w:tcBorders>
          </w:tcPr>
          <w:p w:rsidR="008B0D7B" w:rsidRPr="00B20160" w:rsidRDefault="008B0D7B" w:rsidP="00FE0236">
            <w:pPr>
              <w:keepNext/>
              <w:bidi/>
              <w:spacing w:before="60" w:after="60" w:line="280" w:lineRule="exact"/>
              <w:jc w:val="center"/>
              <w:rPr>
                <w:rFonts w:ascii="Arabic Typesetting" w:hAnsi="Arabic Typesetting" w:cs="Arabic Typesetting"/>
                <w:b/>
                <w:bCs/>
                <w:color w:val="008000"/>
                <w:sz w:val="28"/>
                <w:szCs w:val="28"/>
                <w:rtl/>
                <w:lang w:bidi="ar-EG"/>
              </w:rPr>
            </w:pPr>
          </w:p>
        </w:tc>
      </w:tr>
      <w:tr w:rsidR="008B0D7B" w:rsidRPr="00B20160" w:rsidTr="00FE0236">
        <w:trPr>
          <w:cantSplit/>
        </w:trPr>
        <w:tc>
          <w:tcPr>
            <w:tcW w:w="2082" w:type="dxa"/>
            <w:tcBorders>
              <w:top w:val="single" w:sz="4" w:space="0" w:color="auto"/>
              <w:left w:val="single" w:sz="4" w:space="0" w:color="auto"/>
              <w:bottom w:val="nil"/>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rPr>
            </w:pPr>
            <w:r w:rsidRPr="00B20160">
              <w:rPr>
                <w:rFonts w:ascii="Arabic Typesetting" w:hAnsi="Arabic Typesetting" w:cs="Arabic Typesetting"/>
                <w:sz w:val="28"/>
                <w:szCs w:val="28"/>
                <w:rtl/>
              </w:rPr>
              <w:lastRenderedPageBreak/>
              <w:t>تحسن فرص البلدان النامية والبلدان الأقل نمواً والبلدان التي تمر بمرحلة انتقال</w:t>
            </w:r>
            <w:r w:rsidR="00D12423" w:rsidRPr="00B20160">
              <w:rPr>
                <w:rFonts w:ascii="Arabic Typesetting" w:hAnsi="Arabic Typesetting" w:cs="Arabic Typesetting"/>
                <w:sz w:val="28"/>
                <w:szCs w:val="28"/>
                <w:rtl/>
              </w:rPr>
              <w:t>ية</w:t>
            </w:r>
            <w:r w:rsidRPr="00B20160">
              <w:rPr>
                <w:rFonts w:ascii="Arabic Typesetting" w:hAnsi="Arabic Typesetting" w:cs="Arabic Typesetting"/>
                <w:sz w:val="28"/>
                <w:szCs w:val="28"/>
                <w:rtl/>
              </w:rPr>
              <w:t xml:space="preserve"> في الالتحاق بالتعليم العالي في مجال الملكية الفكرية / وعدد الجامعات التي تقدم برامج تعليمية جديدة في مجال الملكية الفكرية في البلدان النامية والبلدان الأقل نمواً والبلدان التي تمر بمرحلة انتقال</w:t>
            </w:r>
            <w:r w:rsidR="00D12423" w:rsidRPr="00B20160">
              <w:rPr>
                <w:rFonts w:ascii="Arabic Typesetting" w:hAnsi="Arabic Typesetting" w:cs="Arabic Typesetting"/>
                <w:sz w:val="28"/>
                <w:szCs w:val="28"/>
                <w:rtl/>
              </w:rPr>
              <w:t>ية</w:t>
            </w:r>
          </w:p>
        </w:tc>
        <w:tc>
          <w:tcPr>
            <w:tcW w:w="1985" w:type="dxa"/>
            <w:tcBorders>
              <w:top w:val="single" w:sz="4" w:space="0" w:color="auto"/>
              <w:left w:val="nil"/>
              <w:bottom w:val="nil"/>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تدريس الملكية الفكرية في المستوى الجامعي غير متوفر حالياً سوى في عدد محدود من البلدان النامية والبلدان الأقل نمواً والبلدان التي تمر بمرحلة انتقال</w:t>
            </w:r>
            <w:r w:rsidR="00D12423" w:rsidRPr="00B20160">
              <w:rPr>
                <w:rFonts w:ascii="Arabic Typesetting" w:hAnsi="Arabic Typesetting" w:cs="Arabic Typesetting"/>
                <w:sz w:val="28"/>
                <w:szCs w:val="28"/>
                <w:rtl/>
                <w:lang w:bidi="ar-EG"/>
              </w:rPr>
              <w:t>ية</w:t>
            </w:r>
            <w:r w:rsidRPr="00B20160">
              <w:rPr>
                <w:rFonts w:ascii="Arabic Typesetting" w:hAnsi="Arabic Typesetting" w:cs="Arabic Typesetting"/>
                <w:sz w:val="28"/>
                <w:szCs w:val="28"/>
                <w:rtl/>
                <w:lang w:bidi="ar-EG"/>
              </w:rPr>
              <w:t>؛ وتقدم الويبو برنامج ماجستير مشترك في مجال الملكية الفكرية مع سبع جامعات اثنتان منها في أفريقيا وواحدة في أمريكا اللاتينية</w:t>
            </w:r>
          </w:p>
        </w:tc>
        <w:tc>
          <w:tcPr>
            <w:tcW w:w="1538" w:type="dxa"/>
            <w:tcBorders>
              <w:top w:val="single" w:sz="4" w:space="0" w:color="auto"/>
              <w:left w:val="nil"/>
              <w:bottom w:val="nil"/>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خمس جامعات في البلدان النامية والبلدان الأقل نمواً والبلدان التي تمر بمرحلة انتقال</w:t>
            </w:r>
            <w:r w:rsidR="00D12423" w:rsidRPr="00B20160">
              <w:rPr>
                <w:rFonts w:ascii="Arabic Typesetting" w:hAnsi="Arabic Typesetting" w:cs="Arabic Typesetting"/>
                <w:sz w:val="28"/>
                <w:szCs w:val="28"/>
                <w:rtl/>
                <w:lang w:bidi="ar-EG"/>
              </w:rPr>
              <w:t>ية</w:t>
            </w:r>
            <w:r w:rsidRPr="00B20160">
              <w:rPr>
                <w:rFonts w:ascii="Arabic Typesetting" w:hAnsi="Arabic Typesetting" w:cs="Arabic Typesetting"/>
                <w:sz w:val="28"/>
                <w:szCs w:val="28"/>
                <w:rtl/>
                <w:lang w:bidi="ar-EG"/>
              </w:rPr>
              <w:t xml:space="preserve"> سوف تقدم برامج تعليمية جديدة في مجال الملكية الفكرية بحلول نهاية الثنائية</w:t>
            </w:r>
          </w:p>
        </w:tc>
        <w:tc>
          <w:tcPr>
            <w:tcW w:w="2998" w:type="dxa"/>
            <w:tcBorders>
              <w:top w:val="single" w:sz="4" w:space="0" w:color="auto"/>
              <w:left w:val="nil"/>
              <w:bottom w:val="nil"/>
              <w:right w:val="nil"/>
            </w:tcBorders>
          </w:tcPr>
          <w:p w:rsidR="00D12423" w:rsidRPr="00B20160" w:rsidRDefault="00D12423" w:rsidP="00FE0236">
            <w:pPr>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بحلول نهاية الثنائية، وفرت ثلاثة برامج تدريب جديدة: برنامج واحد في معهد بنغلاديش للإدارة واثنان في جامعة أفريقيا.</w:t>
            </w:r>
          </w:p>
          <w:p w:rsidR="00D12423" w:rsidRPr="00B20160" w:rsidRDefault="00D12423" w:rsidP="00FE0236">
            <w:pPr>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وعززت خمس جامعات برامجها الخاصة بالملكية الفكرية:</w:t>
            </w:r>
          </w:p>
          <w:p w:rsidR="00D12423" w:rsidRPr="00B20160" w:rsidRDefault="00D12423" w:rsidP="00FE0236">
            <w:pPr>
              <w:bidi/>
              <w:spacing w:before="60" w:after="60" w:line="280" w:lineRule="exact"/>
              <w:ind w:left="284" w:hanging="284"/>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 xml:space="preserve">جامعة </w:t>
            </w:r>
            <w:proofErr w:type="spellStart"/>
            <w:r w:rsidRPr="00B20160">
              <w:rPr>
                <w:rFonts w:ascii="Arabic Typesetting" w:hAnsi="Arabic Typesetting" w:cs="Arabic Typesetting"/>
                <w:sz w:val="28"/>
                <w:szCs w:val="28"/>
                <w:rtl/>
                <w:lang w:bidi="ar-EG"/>
              </w:rPr>
              <w:t>بوينوس</w:t>
            </w:r>
            <w:proofErr w:type="spellEnd"/>
            <w:r w:rsidRPr="00B20160">
              <w:rPr>
                <w:rFonts w:ascii="Arabic Typesetting" w:hAnsi="Arabic Typesetting" w:cs="Arabic Typesetting"/>
                <w:sz w:val="28"/>
                <w:szCs w:val="28"/>
                <w:rtl/>
                <w:lang w:bidi="ar-EG"/>
              </w:rPr>
              <w:t xml:space="preserve"> </w:t>
            </w:r>
            <w:proofErr w:type="spellStart"/>
            <w:r w:rsidRPr="00B20160">
              <w:rPr>
                <w:rFonts w:ascii="Arabic Typesetting" w:hAnsi="Arabic Typesetting" w:cs="Arabic Typesetting"/>
                <w:sz w:val="28"/>
                <w:szCs w:val="28"/>
                <w:rtl/>
                <w:lang w:bidi="ar-EG"/>
              </w:rPr>
              <w:t>آيريس</w:t>
            </w:r>
            <w:proofErr w:type="spellEnd"/>
            <w:r w:rsidRPr="00B20160">
              <w:rPr>
                <w:rFonts w:ascii="Arabic Typesetting" w:hAnsi="Arabic Typesetting" w:cs="Arabic Typesetting"/>
                <w:sz w:val="28"/>
                <w:szCs w:val="28"/>
                <w:rtl/>
                <w:lang w:bidi="ar-EG"/>
              </w:rPr>
              <w:t xml:space="preserve"> في الأرجنتين</w:t>
            </w:r>
          </w:p>
          <w:p w:rsidR="00D12423" w:rsidRPr="00B20160" w:rsidRDefault="00D12423" w:rsidP="00FE0236">
            <w:pPr>
              <w:bidi/>
              <w:spacing w:before="60" w:after="60" w:line="280" w:lineRule="exact"/>
              <w:ind w:left="284" w:hanging="284"/>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جامعة فنزويلا المركزية</w:t>
            </w:r>
          </w:p>
          <w:p w:rsidR="00D12423" w:rsidRPr="00B20160" w:rsidRDefault="00D12423" w:rsidP="00FE0236">
            <w:pPr>
              <w:bidi/>
              <w:spacing w:before="60" w:after="60" w:line="280" w:lineRule="exact"/>
              <w:ind w:left="284" w:hanging="284"/>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 xml:space="preserve">جامعة </w:t>
            </w:r>
            <w:proofErr w:type="spellStart"/>
            <w:r w:rsidRPr="00B20160">
              <w:rPr>
                <w:rFonts w:ascii="Arabic Typesetting" w:hAnsi="Arabic Typesetting" w:cs="Arabic Typesetting"/>
                <w:sz w:val="28"/>
                <w:szCs w:val="28"/>
                <w:rtl/>
                <w:lang w:bidi="ar-EG"/>
              </w:rPr>
              <w:t>أليكانتي</w:t>
            </w:r>
            <w:proofErr w:type="spellEnd"/>
            <w:r w:rsidRPr="00B20160">
              <w:rPr>
                <w:rFonts w:ascii="Arabic Typesetting" w:hAnsi="Arabic Typesetting" w:cs="Arabic Typesetting"/>
                <w:sz w:val="28"/>
                <w:szCs w:val="28"/>
                <w:rtl/>
                <w:lang w:bidi="ar-EG"/>
              </w:rPr>
              <w:t xml:space="preserve"> في إسبانيا</w:t>
            </w:r>
          </w:p>
          <w:p w:rsidR="00D12423" w:rsidRPr="00B20160" w:rsidRDefault="00D12423" w:rsidP="00FE0236">
            <w:pPr>
              <w:bidi/>
              <w:spacing w:before="60" w:after="60" w:line="280" w:lineRule="exact"/>
              <w:ind w:left="284" w:hanging="284"/>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 xml:space="preserve">جامعتان في </w:t>
            </w:r>
            <w:proofErr w:type="spellStart"/>
            <w:r w:rsidRPr="00B20160">
              <w:rPr>
                <w:rFonts w:ascii="Arabic Typesetting" w:hAnsi="Arabic Typesetting" w:cs="Arabic Typesetting"/>
                <w:sz w:val="28"/>
                <w:szCs w:val="28"/>
                <w:rtl/>
                <w:lang w:bidi="ar-EG"/>
              </w:rPr>
              <w:t>إندونيسا</w:t>
            </w:r>
            <w:proofErr w:type="spellEnd"/>
            <w:r w:rsidRPr="00B20160">
              <w:rPr>
                <w:rFonts w:ascii="Arabic Typesetting" w:hAnsi="Arabic Typesetting" w:cs="Arabic Typesetting"/>
                <w:sz w:val="28"/>
                <w:szCs w:val="28"/>
                <w:rtl/>
                <w:lang w:bidi="ar-EG"/>
              </w:rPr>
              <w:t xml:space="preserve"> (جامعة </w:t>
            </w:r>
            <w:proofErr w:type="spellStart"/>
            <w:r w:rsidRPr="00B20160">
              <w:rPr>
                <w:rFonts w:ascii="Arabic Typesetting" w:hAnsi="Arabic Typesetting" w:cs="Arabic Typesetting"/>
                <w:sz w:val="28"/>
                <w:szCs w:val="28"/>
                <w:rtl/>
                <w:lang w:bidi="ar-EG"/>
              </w:rPr>
              <w:t>بادجادجاران</w:t>
            </w:r>
            <w:proofErr w:type="spellEnd"/>
            <w:r w:rsidRPr="00B20160">
              <w:rPr>
                <w:rFonts w:ascii="Arabic Typesetting" w:hAnsi="Arabic Typesetting" w:cs="Arabic Typesetting"/>
                <w:sz w:val="28"/>
                <w:szCs w:val="28"/>
                <w:rtl/>
                <w:lang w:bidi="ar-EG"/>
              </w:rPr>
              <w:t xml:space="preserve"> وجامعة </w:t>
            </w:r>
            <w:proofErr w:type="spellStart"/>
            <w:r w:rsidRPr="00B20160">
              <w:rPr>
                <w:rFonts w:ascii="Arabic Typesetting" w:hAnsi="Arabic Typesetting" w:cs="Arabic Typesetting"/>
                <w:sz w:val="28"/>
                <w:szCs w:val="28"/>
                <w:rtl/>
                <w:lang w:bidi="ar-EG"/>
              </w:rPr>
              <w:t>إندونيسا</w:t>
            </w:r>
            <w:proofErr w:type="spellEnd"/>
            <w:r w:rsidRPr="00B20160">
              <w:rPr>
                <w:rFonts w:ascii="Arabic Typesetting" w:hAnsi="Arabic Typesetting" w:cs="Arabic Typesetting"/>
                <w:sz w:val="28"/>
                <w:szCs w:val="28"/>
                <w:rtl/>
                <w:lang w:bidi="ar-EG"/>
              </w:rPr>
              <w:t>)</w:t>
            </w:r>
          </w:p>
          <w:p w:rsidR="00D12423" w:rsidRPr="00B20160" w:rsidRDefault="00B20160" w:rsidP="00FE0236">
            <w:pPr>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جامعتان عززتا أو استكملتا دورات أو برامج جديدة ستوفر في 2016:</w:t>
            </w:r>
          </w:p>
          <w:p w:rsidR="00B20160" w:rsidRPr="00B20160" w:rsidRDefault="00B20160" w:rsidP="00FE0236">
            <w:pPr>
              <w:bidi/>
              <w:spacing w:before="60" w:after="60" w:line="280" w:lineRule="exact"/>
              <w:ind w:left="284" w:hanging="284"/>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t xml:space="preserve">جامعة </w:t>
            </w:r>
            <w:proofErr w:type="spellStart"/>
            <w:r w:rsidRPr="00B20160">
              <w:rPr>
                <w:rFonts w:ascii="Arabic Typesetting" w:hAnsi="Arabic Typesetting" w:cs="Arabic Typesetting"/>
                <w:sz w:val="28"/>
                <w:szCs w:val="28"/>
                <w:rtl/>
                <w:lang w:bidi="ar-EG"/>
              </w:rPr>
              <w:t>ويست</w:t>
            </w:r>
            <w:proofErr w:type="spellEnd"/>
            <w:r w:rsidRPr="00B20160">
              <w:rPr>
                <w:rFonts w:ascii="Arabic Typesetting" w:hAnsi="Arabic Typesetting" w:cs="Arabic Typesetting"/>
                <w:sz w:val="28"/>
                <w:szCs w:val="28"/>
                <w:rtl/>
                <w:lang w:bidi="ar-EG"/>
              </w:rPr>
              <w:t xml:space="preserve"> إنديز، الحرم الجامعي مونا، جامايكا (ماجستير قانون الملكية الفكرية في الصناعات الإبداعية والثقافية)</w:t>
            </w:r>
          </w:p>
          <w:p w:rsidR="008B0D7B" w:rsidRPr="00B20160" w:rsidRDefault="00B20160" w:rsidP="00FE0236">
            <w:pPr>
              <w:bidi/>
              <w:spacing w:before="60" w:after="60" w:line="280" w:lineRule="exact"/>
              <w:ind w:left="284" w:hanging="284"/>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w:t>
            </w:r>
            <w:r w:rsidRPr="00B20160">
              <w:rPr>
                <w:rFonts w:ascii="Arabic Typesetting" w:hAnsi="Arabic Typesetting" w:cs="Arabic Typesetting"/>
                <w:sz w:val="28"/>
                <w:szCs w:val="28"/>
                <w:rtl/>
                <w:lang w:bidi="ar-EG"/>
              </w:rPr>
              <w:tab/>
            </w:r>
            <w:r w:rsidRPr="00B20160">
              <w:rPr>
                <w:rFonts w:ascii="Arabic Typesetting" w:hAnsi="Arabic Typesetting" w:cs="Arabic Typesetting"/>
                <w:sz w:val="28"/>
                <w:szCs w:val="28"/>
                <w:rtl/>
                <w:lang w:val="fr-CH"/>
              </w:rPr>
              <w:t xml:space="preserve">جامعة بوتسوانا (دورة جديدة في </w:t>
            </w:r>
            <w:r w:rsidRPr="00B20160">
              <w:rPr>
                <w:rFonts w:ascii="Arabic Typesetting" w:hAnsi="Arabic Typesetting" w:cs="Arabic Typesetting"/>
                <w:sz w:val="28"/>
                <w:szCs w:val="28"/>
                <w:rtl/>
                <w:lang w:bidi="ar-EG"/>
              </w:rPr>
              <w:t>مجال</w:t>
            </w:r>
            <w:r w:rsidRPr="00B20160">
              <w:rPr>
                <w:rFonts w:ascii="Arabic Typesetting" w:hAnsi="Arabic Typesetting" w:cs="Arabic Typesetting"/>
                <w:sz w:val="28"/>
                <w:szCs w:val="28"/>
                <w:rtl/>
                <w:lang w:val="fr-CH"/>
              </w:rPr>
              <w:t xml:space="preserve"> </w:t>
            </w:r>
            <w:r w:rsidRPr="00B20160">
              <w:rPr>
                <w:rFonts w:ascii="Arabic Typesetting" w:hAnsi="Arabic Typesetting" w:cs="Arabic Typesetting"/>
                <w:sz w:val="28"/>
                <w:szCs w:val="28"/>
                <w:rtl/>
                <w:lang w:bidi="ar-EG"/>
              </w:rPr>
              <w:t>قانون</w:t>
            </w:r>
            <w:r w:rsidRPr="00B20160">
              <w:rPr>
                <w:rFonts w:ascii="Arabic Typesetting" w:hAnsi="Arabic Typesetting" w:cs="Arabic Typesetting"/>
                <w:sz w:val="28"/>
                <w:szCs w:val="28"/>
                <w:rtl/>
                <w:lang w:val="fr-CH"/>
              </w:rPr>
              <w:t xml:space="preserve"> الملكية الفكرية </w:t>
            </w:r>
            <w:r w:rsidRPr="00B20160">
              <w:rPr>
                <w:rFonts w:ascii="Arabic Typesetting" w:hAnsi="Arabic Typesetting" w:cs="Arabic Typesetting"/>
                <w:sz w:val="28"/>
                <w:szCs w:val="28"/>
                <w:rtl/>
                <w:lang w:bidi="ar-EG"/>
              </w:rPr>
              <w:t>والبحوث</w:t>
            </w:r>
            <w:r w:rsidRPr="00B20160">
              <w:rPr>
                <w:rFonts w:ascii="Arabic Typesetting" w:hAnsi="Arabic Typesetting" w:cs="Arabic Typesetting"/>
                <w:sz w:val="28"/>
                <w:szCs w:val="28"/>
                <w:rtl/>
                <w:lang w:val="fr-CH"/>
              </w:rPr>
              <w:t>؛ وتعزيز دورتي قانون الملكية الفكرية الأولى والثانية)</w:t>
            </w:r>
          </w:p>
        </w:tc>
        <w:tc>
          <w:tcPr>
            <w:tcW w:w="742" w:type="dxa"/>
            <w:tcBorders>
              <w:top w:val="single" w:sz="4" w:space="0" w:color="auto"/>
              <w:left w:val="nil"/>
              <w:bottom w:val="nil"/>
              <w:right w:val="single" w:sz="4" w:space="0" w:color="auto"/>
            </w:tcBorders>
          </w:tcPr>
          <w:p w:rsidR="008B0D7B" w:rsidRPr="00B20160" w:rsidRDefault="00D12423" w:rsidP="00FE0236">
            <w:pPr>
              <w:bidi/>
              <w:jc w:val="center"/>
              <w:rPr>
                <w:rFonts w:ascii="Arabic Typesetting" w:hAnsi="Arabic Typesetting" w:cs="Arabic Typesetting"/>
                <w:b/>
                <w:bCs/>
                <w:color w:val="008000"/>
                <w:sz w:val="28"/>
                <w:szCs w:val="28"/>
                <w:rtl/>
                <w:lang w:bidi="ar-EG"/>
              </w:rPr>
            </w:pPr>
            <w:r w:rsidRPr="00B20160">
              <w:rPr>
                <w:rFonts w:ascii="Arabic Typesetting" w:hAnsi="Arabic Typesetting" w:cs="Arabic Typesetting"/>
                <w:b/>
                <w:bCs/>
                <w:color w:val="D56509"/>
                <w:sz w:val="28"/>
                <w:szCs w:val="28"/>
                <w:rtl/>
              </w:rPr>
              <w:t>محقق جزئياً</w:t>
            </w:r>
          </w:p>
        </w:tc>
      </w:tr>
      <w:tr w:rsidR="008B0D7B" w:rsidRPr="00B20160" w:rsidTr="00FE0236">
        <w:trPr>
          <w:cantSplit/>
        </w:trPr>
        <w:tc>
          <w:tcPr>
            <w:tcW w:w="2082" w:type="dxa"/>
            <w:tcBorders>
              <w:top w:val="nil"/>
              <w:left w:val="single" w:sz="4" w:space="0" w:color="auto"/>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rPr>
            </w:pPr>
            <w:r w:rsidRPr="00B20160">
              <w:rPr>
                <w:rFonts w:ascii="Arabic Typesetting" w:hAnsi="Arabic Typesetting" w:cs="Arabic Typesetting"/>
                <w:sz w:val="28"/>
                <w:szCs w:val="28"/>
                <w:rtl/>
              </w:rPr>
              <w:t>الإنشاء التدريجي لشبكة من خبراء الملكية الفكرية في البلدان النامية والبلدان الأقل نمواً والبلدان التي تمر بمرحلة انتقال</w:t>
            </w:r>
          </w:p>
        </w:tc>
        <w:tc>
          <w:tcPr>
            <w:tcW w:w="1985" w:type="dxa"/>
            <w:tcBorders>
              <w:top w:val="nil"/>
              <w:left w:val="nil"/>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b/>
                <w:i/>
                <w:iCs/>
                <w:color w:val="002060"/>
                <w:sz w:val="28"/>
                <w:szCs w:val="28"/>
                <w:rtl/>
                <w:lang w:bidi="ar-EG"/>
              </w:rPr>
              <w:t>أسس المقارنة المحدّثة في نهاية 2013:</w:t>
            </w:r>
            <w:r w:rsidRPr="00B20160">
              <w:rPr>
                <w:rFonts w:ascii="Arabic Typesetting" w:hAnsi="Arabic Typesetting" w:cs="Arabic Typesetting"/>
                <w:b/>
                <w:color w:val="002060"/>
                <w:sz w:val="28"/>
                <w:szCs w:val="28"/>
                <w:rtl/>
                <w:lang w:bidi="ar-EG"/>
              </w:rPr>
              <w:t xml:space="preserve"> 326 أكاديمياً من البلدان النامية والبلدان الأقل نمواً والبلدان التي تمر بمرحلة انتقال وأعضاء الجمعية الدولية لدعم التدريس والبحث في مجال الملكية الفكرية</w:t>
            </w:r>
          </w:p>
        </w:tc>
        <w:tc>
          <w:tcPr>
            <w:tcW w:w="1538" w:type="dxa"/>
            <w:tcBorders>
              <w:top w:val="nil"/>
              <w:left w:val="nil"/>
              <w:bottom w:val="nil"/>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زيادة على أساس المقارنة قدرها 15%</w:t>
            </w:r>
          </w:p>
        </w:tc>
        <w:tc>
          <w:tcPr>
            <w:tcW w:w="2998" w:type="dxa"/>
            <w:tcBorders>
              <w:top w:val="nil"/>
              <w:left w:val="nil"/>
              <w:bottom w:val="nil"/>
              <w:right w:val="nil"/>
            </w:tcBorders>
          </w:tcPr>
          <w:p w:rsidR="008B0D7B" w:rsidRPr="00B20160" w:rsidRDefault="00B20160"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397</w:t>
            </w:r>
            <w:r w:rsidR="008B0D7B" w:rsidRPr="00B20160">
              <w:rPr>
                <w:rFonts w:ascii="Arabic Typesetting" w:hAnsi="Arabic Typesetting" w:cs="Arabic Typesetting"/>
                <w:sz w:val="28"/>
                <w:szCs w:val="28"/>
                <w:rtl/>
                <w:lang w:bidi="ar-EG"/>
              </w:rPr>
              <w:t xml:space="preserve"> أكاديمياً من البلدان النامية والبلدان الأقل نمواً والبلدان التي تمر بمرحلة انتقال، وفقاً لما ورد عن الجمعية الدولية لدعم التدريس والبحث في مجال الملكية الفكرية (+ </w:t>
            </w:r>
            <w:r w:rsidRPr="00B20160">
              <w:rPr>
                <w:rFonts w:ascii="Arabic Typesetting" w:hAnsi="Arabic Typesetting" w:cs="Arabic Typesetting"/>
                <w:sz w:val="28"/>
                <w:szCs w:val="28"/>
                <w:rtl/>
                <w:lang w:bidi="ar-EG"/>
              </w:rPr>
              <w:t>22% على الثنائية 2012/13)</w:t>
            </w:r>
          </w:p>
        </w:tc>
        <w:tc>
          <w:tcPr>
            <w:tcW w:w="742" w:type="dxa"/>
            <w:tcBorders>
              <w:top w:val="nil"/>
              <w:left w:val="nil"/>
              <w:bottom w:val="nil"/>
              <w:right w:val="single" w:sz="4" w:space="0" w:color="auto"/>
            </w:tcBorders>
          </w:tcPr>
          <w:p w:rsidR="008B0D7B" w:rsidRPr="00B20160" w:rsidRDefault="00D12423"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B20160">
              <w:rPr>
                <w:rFonts w:ascii="Arabic Typesetting" w:hAnsi="Arabic Typesetting" w:cs="Arabic Typesetting"/>
                <w:b/>
                <w:bCs/>
                <w:color w:val="008000"/>
                <w:sz w:val="28"/>
                <w:szCs w:val="28"/>
                <w:rtl/>
                <w:lang w:bidi="ar-EG"/>
              </w:rPr>
              <w:t>محقق كلياً</w:t>
            </w:r>
          </w:p>
        </w:tc>
      </w:tr>
      <w:tr w:rsidR="008B0D7B" w:rsidRPr="00B20160" w:rsidTr="00FE0236">
        <w:trPr>
          <w:cantSplit/>
        </w:trPr>
        <w:tc>
          <w:tcPr>
            <w:tcW w:w="2082" w:type="dxa"/>
            <w:tcBorders>
              <w:top w:val="nil"/>
              <w:left w:val="single" w:sz="4" w:space="0" w:color="auto"/>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rPr>
            </w:pPr>
          </w:p>
        </w:tc>
        <w:tc>
          <w:tcPr>
            <w:tcW w:w="1985" w:type="dxa"/>
            <w:tcBorders>
              <w:top w:val="nil"/>
              <w:left w:val="nil"/>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i/>
                <w:iCs/>
                <w:sz w:val="28"/>
                <w:szCs w:val="28"/>
                <w:rtl/>
                <w:lang w:bidi="ar-EG"/>
              </w:rPr>
              <w:t xml:space="preserve">أسس المقارنة الأصلية: برنامج وميزانية </w:t>
            </w:r>
            <w:r w:rsidR="003B2ED5">
              <w:rPr>
                <w:rFonts w:ascii="Arabic Typesetting" w:hAnsi="Arabic Typesetting" w:cs="Arabic Typesetting"/>
                <w:i/>
                <w:iCs/>
                <w:sz w:val="28"/>
                <w:szCs w:val="28"/>
                <w:rtl/>
                <w:lang w:bidi="ar-EG"/>
              </w:rPr>
              <w:t>2014/15</w:t>
            </w:r>
            <w:r w:rsidRPr="00B20160">
              <w:rPr>
                <w:rFonts w:ascii="Arabic Typesetting" w:hAnsi="Arabic Typesetting" w:cs="Arabic Typesetting"/>
                <w:i/>
                <w:iCs/>
                <w:sz w:val="28"/>
                <w:szCs w:val="28"/>
                <w:rtl/>
                <w:lang w:bidi="ar-EG"/>
              </w:rPr>
              <w:t>:</w:t>
            </w:r>
            <w:r w:rsidRPr="00B20160">
              <w:rPr>
                <w:rFonts w:ascii="Arabic Typesetting" w:hAnsi="Arabic Typesetting" w:cs="Arabic Typesetting"/>
                <w:sz w:val="28"/>
                <w:szCs w:val="28"/>
                <w:rtl/>
                <w:lang w:bidi="ar-EG"/>
              </w:rPr>
              <w:t xml:space="preserve"> عدد الأكاديميين من البلدان النامية والأقل نمواً والبلدان التي تمر بمرحلة انتقال</w:t>
            </w:r>
            <w:r w:rsidR="00B20160" w:rsidRPr="00B20160">
              <w:rPr>
                <w:rFonts w:ascii="Arabic Typesetting" w:hAnsi="Arabic Typesetting" w:cs="Arabic Typesetting"/>
                <w:sz w:val="28"/>
                <w:szCs w:val="28"/>
                <w:rtl/>
                <w:lang w:bidi="ar-EG"/>
              </w:rPr>
              <w:t>ية</w:t>
            </w:r>
            <w:r w:rsidRPr="00B20160">
              <w:rPr>
                <w:rFonts w:ascii="Arabic Typesetting" w:hAnsi="Arabic Typesetting" w:cs="Arabic Typesetting"/>
                <w:sz w:val="28"/>
                <w:szCs w:val="28"/>
                <w:rtl/>
                <w:lang w:bidi="ar-EG"/>
              </w:rPr>
              <w:t xml:space="preserve"> وأعضاء الجمعية الدولية لدعم التدريس والبحث في مجال الملكية الفكرية</w:t>
            </w:r>
          </w:p>
        </w:tc>
        <w:tc>
          <w:tcPr>
            <w:tcW w:w="1538" w:type="dxa"/>
            <w:tcBorders>
              <w:top w:val="nil"/>
              <w:left w:val="nil"/>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p>
        </w:tc>
        <w:tc>
          <w:tcPr>
            <w:tcW w:w="2998" w:type="dxa"/>
            <w:tcBorders>
              <w:top w:val="nil"/>
              <w:left w:val="nil"/>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lang w:bidi="ar-EG"/>
              </w:rPr>
            </w:pPr>
          </w:p>
        </w:tc>
        <w:tc>
          <w:tcPr>
            <w:tcW w:w="742" w:type="dxa"/>
            <w:tcBorders>
              <w:top w:val="nil"/>
              <w:left w:val="nil"/>
              <w:right w:val="single" w:sz="4" w:space="0" w:color="auto"/>
            </w:tcBorders>
          </w:tcPr>
          <w:p w:rsidR="008B0D7B" w:rsidRPr="00B20160" w:rsidRDefault="008B0D7B" w:rsidP="00FE0236">
            <w:pPr>
              <w:keepNext/>
              <w:bidi/>
              <w:spacing w:before="60" w:after="60" w:line="280" w:lineRule="exact"/>
              <w:jc w:val="center"/>
              <w:rPr>
                <w:rFonts w:ascii="Arabic Typesetting" w:hAnsi="Arabic Typesetting" w:cs="Arabic Typesetting"/>
                <w:b/>
                <w:bCs/>
                <w:color w:val="008000"/>
                <w:sz w:val="28"/>
                <w:szCs w:val="28"/>
                <w:rtl/>
                <w:lang w:bidi="ar-EG"/>
              </w:rPr>
            </w:pPr>
          </w:p>
        </w:tc>
      </w:tr>
      <w:tr w:rsidR="008B0D7B" w:rsidRPr="00B20160" w:rsidTr="00FE0236">
        <w:trPr>
          <w:cantSplit/>
        </w:trPr>
        <w:tc>
          <w:tcPr>
            <w:tcW w:w="2082" w:type="dxa"/>
            <w:tcBorders>
              <w:left w:val="single" w:sz="4" w:space="0" w:color="auto"/>
              <w:bottom w:val="single" w:sz="4" w:space="0" w:color="auto"/>
              <w:right w:val="nil"/>
            </w:tcBorders>
          </w:tcPr>
          <w:p w:rsidR="008B0D7B" w:rsidRPr="00B20160" w:rsidRDefault="008B0D7B" w:rsidP="00FE0236">
            <w:pPr>
              <w:bidi/>
              <w:spacing w:before="60" w:after="60" w:line="280" w:lineRule="exact"/>
              <w:rPr>
                <w:rFonts w:ascii="Arabic Typesetting" w:hAnsi="Arabic Typesetting" w:cs="Arabic Typesetting"/>
                <w:sz w:val="28"/>
                <w:szCs w:val="28"/>
                <w:rtl/>
              </w:rPr>
            </w:pPr>
            <w:r w:rsidRPr="00B20160">
              <w:rPr>
                <w:rFonts w:ascii="Arabic Typesetting" w:hAnsi="Arabic Typesetting" w:cs="Arabic Typesetting"/>
                <w:sz w:val="28"/>
                <w:szCs w:val="28"/>
                <w:rtl/>
              </w:rPr>
              <w:t>عدد مشروعات الأكاديميات الناشئة الجديدة التي استُهلت بعد استكمال المرحلة التجريبية</w:t>
            </w:r>
          </w:p>
        </w:tc>
        <w:tc>
          <w:tcPr>
            <w:tcW w:w="1985" w:type="dxa"/>
            <w:tcBorders>
              <w:left w:val="nil"/>
              <w:bottom w:val="single" w:sz="4" w:space="0" w:color="auto"/>
              <w:right w:val="nil"/>
            </w:tcBorders>
          </w:tcPr>
          <w:p w:rsidR="008B0D7B" w:rsidRDefault="008B0D7B" w:rsidP="00FE0236">
            <w:pPr>
              <w:keepNext/>
              <w:bidi/>
              <w:spacing w:before="60" w:after="60" w:line="280" w:lineRule="exact"/>
              <w:rPr>
                <w:rFonts w:ascii="Arabic Typesetting" w:hAnsi="Arabic Typesetting" w:cs="Arabic Typesetting"/>
                <w:b/>
                <w:color w:val="002060"/>
                <w:sz w:val="28"/>
                <w:szCs w:val="28"/>
                <w:lang w:bidi="ar-EG"/>
              </w:rPr>
            </w:pPr>
            <w:r w:rsidRPr="00B20160">
              <w:rPr>
                <w:rFonts w:ascii="Arabic Typesetting" w:hAnsi="Arabic Typesetting" w:cs="Arabic Typesetting"/>
                <w:b/>
                <w:i/>
                <w:iCs/>
                <w:color w:val="002060"/>
                <w:sz w:val="28"/>
                <w:szCs w:val="28"/>
                <w:rtl/>
                <w:lang w:bidi="ar-EG"/>
              </w:rPr>
              <w:t>أسس المقارنة المحدّثة في نهاية 2013:</w:t>
            </w:r>
            <w:r w:rsidRPr="00B20160">
              <w:rPr>
                <w:rFonts w:ascii="Arabic Typesetting" w:hAnsi="Arabic Typesetting" w:cs="Arabic Typesetting"/>
                <w:b/>
                <w:color w:val="002060"/>
                <w:sz w:val="28"/>
                <w:szCs w:val="28"/>
                <w:rtl/>
                <w:lang w:bidi="ar-EG"/>
              </w:rPr>
              <w:t xml:space="preserve"> لم تُستكمل المرحلة الثانية من المرحلة التجريبية للمشروع في نهاية عام 2013.</w:t>
            </w:r>
          </w:p>
          <w:p w:rsidR="00B20160" w:rsidRPr="00B20160" w:rsidRDefault="00B20160"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i/>
                <w:iCs/>
                <w:sz w:val="28"/>
                <w:szCs w:val="28"/>
                <w:rtl/>
                <w:lang w:bidi="ar-EG"/>
              </w:rPr>
              <w:t xml:space="preserve">أسس المقارنة الأصلية: برنامج وميزانية </w:t>
            </w:r>
            <w:r w:rsidR="003B2ED5">
              <w:rPr>
                <w:rFonts w:ascii="Arabic Typesetting" w:hAnsi="Arabic Typesetting" w:cs="Arabic Typesetting"/>
                <w:i/>
                <w:iCs/>
                <w:sz w:val="28"/>
                <w:szCs w:val="28"/>
                <w:rtl/>
                <w:lang w:bidi="ar-EG"/>
              </w:rPr>
              <w:t>2014/15</w:t>
            </w:r>
            <w:r w:rsidRPr="00B20160">
              <w:rPr>
                <w:rFonts w:ascii="Arabic Typesetting" w:hAnsi="Arabic Typesetting" w:cs="Arabic Typesetting"/>
                <w:i/>
                <w:iCs/>
                <w:sz w:val="28"/>
                <w:szCs w:val="28"/>
                <w:rtl/>
                <w:lang w:bidi="ar-EG"/>
              </w:rPr>
              <w:t>:</w:t>
            </w:r>
            <w:r w:rsidRPr="00B20160">
              <w:rPr>
                <w:rFonts w:ascii="Arabic Typesetting" w:hAnsi="Arabic Typesetting" w:cs="Arabic Typesetting"/>
                <w:sz w:val="28"/>
                <w:szCs w:val="28"/>
                <w:rtl/>
                <w:lang w:bidi="ar-EG"/>
              </w:rPr>
              <w:t xml:space="preserve"> صفر</w:t>
            </w:r>
          </w:p>
        </w:tc>
        <w:tc>
          <w:tcPr>
            <w:tcW w:w="1538" w:type="dxa"/>
            <w:tcBorders>
              <w:left w:val="nil"/>
              <w:bottom w:val="single" w:sz="4" w:space="0" w:color="auto"/>
              <w:right w:val="nil"/>
            </w:tcBorders>
          </w:tcPr>
          <w:p w:rsidR="008B0D7B" w:rsidRPr="00B20160" w:rsidRDefault="008B0D7B"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bidi="ar-EG"/>
              </w:rPr>
              <w:t>4</w:t>
            </w:r>
          </w:p>
        </w:tc>
        <w:tc>
          <w:tcPr>
            <w:tcW w:w="2998" w:type="dxa"/>
            <w:tcBorders>
              <w:left w:val="nil"/>
              <w:bottom w:val="single" w:sz="4" w:space="0" w:color="auto"/>
              <w:right w:val="nil"/>
            </w:tcBorders>
          </w:tcPr>
          <w:p w:rsidR="008B0D7B" w:rsidRPr="00B20160" w:rsidRDefault="00B20160" w:rsidP="00FE0236">
            <w:pPr>
              <w:keepNext/>
              <w:bidi/>
              <w:spacing w:before="60" w:after="60" w:line="280" w:lineRule="exact"/>
              <w:rPr>
                <w:rFonts w:ascii="Arabic Typesetting" w:hAnsi="Arabic Typesetting" w:cs="Arabic Typesetting"/>
                <w:sz w:val="28"/>
                <w:szCs w:val="28"/>
                <w:rtl/>
                <w:lang w:bidi="ar-EG"/>
              </w:rPr>
            </w:pPr>
            <w:r w:rsidRPr="00B20160">
              <w:rPr>
                <w:rFonts w:ascii="Arabic Typesetting" w:hAnsi="Arabic Typesetting" w:cs="Arabic Typesetting"/>
                <w:sz w:val="28"/>
                <w:szCs w:val="28"/>
                <w:rtl/>
                <w:lang w:val="fr-CH"/>
              </w:rPr>
              <w:t>وقعت سبعة اتفاقات جديدة (أذربيجان وكمبوديا وكوستاريكا وإكوادور والسلفادور وجورجيا وتركيا)</w:t>
            </w:r>
          </w:p>
        </w:tc>
        <w:tc>
          <w:tcPr>
            <w:tcW w:w="742" w:type="dxa"/>
            <w:tcBorders>
              <w:left w:val="nil"/>
              <w:bottom w:val="single" w:sz="4" w:space="0" w:color="auto"/>
              <w:right w:val="single" w:sz="4" w:space="0" w:color="auto"/>
            </w:tcBorders>
          </w:tcPr>
          <w:p w:rsidR="008B0D7B" w:rsidRPr="00B20160" w:rsidRDefault="00D12423"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B20160">
              <w:rPr>
                <w:rFonts w:ascii="Arabic Typesetting" w:hAnsi="Arabic Typesetting" w:cs="Arabic Typesetting"/>
                <w:b/>
                <w:bCs/>
                <w:color w:val="008000"/>
                <w:sz w:val="28"/>
                <w:szCs w:val="28"/>
                <w:rtl/>
                <w:lang w:bidi="ar-EG"/>
              </w:rPr>
              <w:t>محقق كلياً</w:t>
            </w:r>
          </w:p>
        </w:tc>
      </w:tr>
    </w:tbl>
    <w:p w:rsidR="00B20160" w:rsidRPr="00C32BE9" w:rsidRDefault="00B20160" w:rsidP="00B20160">
      <w:pPr>
        <w:keepNext/>
        <w:bidi/>
        <w:spacing w:before="120" w:after="120" w:line="340" w:lineRule="exact"/>
        <w:rPr>
          <w:rFonts w:ascii="Arabic Typesetting" w:hAnsi="Arabic Typesetting" w:cs="Arabic Typesetting"/>
          <w:sz w:val="34"/>
          <w:szCs w:val="34"/>
          <w:rtl/>
          <w:lang w:bidi="ar-EG"/>
        </w:rPr>
      </w:pPr>
      <w:r w:rsidRPr="00C32BE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B20160" w:rsidRPr="00CC1D6E" w:rsidTr="00D62C15">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B20160" w:rsidRPr="00CC1D6E" w:rsidRDefault="00B20160" w:rsidP="00D62C15">
            <w:pPr>
              <w:keepNext/>
              <w:bidi/>
              <w:spacing w:before="60" w:after="60" w:line="280" w:lineRule="exact"/>
              <w:jc w:val="center"/>
              <w:rPr>
                <w:rFonts w:ascii="Arabic Typesetting" w:hAnsi="Arabic Typesetting" w:cs="Arabic Typesetting"/>
                <w:bCs/>
                <w:sz w:val="28"/>
                <w:szCs w:val="28"/>
                <w:lang w:bidi="ar-EG"/>
              </w:rPr>
            </w:pPr>
            <w:r w:rsidRPr="00CC1D6E">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B20160" w:rsidRPr="00CC1D6E" w:rsidRDefault="00B20160" w:rsidP="00D62C15">
            <w:pPr>
              <w:keepNext/>
              <w:bidi/>
              <w:spacing w:before="60" w:after="60" w:line="280" w:lineRule="exact"/>
              <w:jc w:val="center"/>
              <w:rPr>
                <w:rFonts w:ascii="Arabic Typesetting" w:hAnsi="Arabic Typesetting" w:cs="Arabic Typesetting"/>
                <w:bCs/>
                <w:sz w:val="28"/>
                <w:szCs w:val="28"/>
                <w:lang w:bidi="ar-EG"/>
              </w:rPr>
            </w:pPr>
            <w:r w:rsidRPr="00CC1D6E">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B20160" w:rsidRPr="00CC1D6E" w:rsidRDefault="00B20160" w:rsidP="00D62C15">
            <w:pPr>
              <w:keepNext/>
              <w:bidi/>
              <w:spacing w:before="60" w:after="60" w:line="280" w:lineRule="exact"/>
              <w:jc w:val="center"/>
              <w:rPr>
                <w:rFonts w:ascii="Arabic Typesetting" w:hAnsi="Arabic Typesetting" w:cs="Arabic Typesetting"/>
                <w:bCs/>
                <w:sz w:val="28"/>
                <w:szCs w:val="28"/>
                <w:lang w:bidi="ar-EG"/>
              </w:rPr>
            </w:pPr>
            <w:r w:rsidRPr="00CC1D6E">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B20160" w:rsidRPr="00CC1D6E" w:rsidRDefault="00B20160" w:rsidP="00D62C15">
            <w:pPr>
              <w:keepNext/>
              <w:bidi/>
              <w:spacing w:before="60" w:after="60" w:line="280" w:lineRule="exact"/>
              <w:jc w:val="center"/>
              <w:rPr>
                <w:rFonts w:ascii="Arabic Typesetting" w:hAnsi="Arabic Typesetting" w:cs="Arabic Typesetting"/>
                <w:bCs/>
                <w:sz w:val="28"/>
                <w:szCs w:val="28"/>
                <w:lang w:bidi="ar-EG"/>
              </w:rPr>
            </w:pPr>
            <w:r w:rsidRPr="00CC1D6E">
              <w:rPr>
                <w:rFonts w:ascii="Arabic Typesetting" w:hAnsi="Arabic Typesetting" w:cs="Arabic Typesetting" w:hint="cs"/>
                <w:bCs/>
                <w:sz w:val="28"/>
                <w:szCs w:val="28"/>
                <w:rtl/>
                <w:lang w:bidi="ar-EG"/>
              </w:rPr>
              <w:t>التأثير في أداء البرنامج</w:t>
            </w:r>
          </w:p>
        </w:tc>
      </w:tr>
      <w:tr w:rsidR="00CC1D6E" w:rsidRPr="00CC1D6E" w:rsidTr="00D62C15">
        <w:trPr>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CC1D6E" w:rsidRPr="00CB6184" w:rsidRDefault="00CC1D6E" w:rsidP="00CC1D6E">
            <w:pPr>
              <w:tabs>
                <w:tab w:val="left" w:pos="1170"/>
              </w:tabs>
              <w:bidi/>
              <w:adjustRightInd w:val="0"/>
              <w:snapToGrid w:val="0"/>
              <w:spacing w:before="60" w:after="60" w:line="300" w:lineRule="exact"/>
              <w:rPr>
                <w:rFonts w:ascii="Arabic Typesetting" w:hAnsi="Arabic Typesetting" w:cs="Arabic Typesetting"/>
                <w:sz w:val="28"/>
                <w:szCs w:val="28"/>
                <w:rtl/>
              </w:rPr>
            </w:pPr>
            <w:r w:rsidRPr="00CB6184">
              <w:rPr>
                <w:rFonts w:ascii="Arabic Typesetting" w:hAnsi="Arabic Typesetting" w:cs="Arabic Typesetting"/>
                <w:sz w:val="28"/>
                <w:szCs w:val="28"/>
                <w:rtl/>
              </w:rPr>
              <w:t>في مجال التكنولوجيا والملكية الفكرية الذي يتسم بالتغير السريع، تتطور أيضاً توقعات المستخدمين وتفضيلاتهم بسرعة. فواجهة منصة دورات التعليم عن بعد والرسومات وتكنولوجيا المعلومات يمكن أن تصبح قديمة ويعفو عليها الزمن، ومحتوى الملكية الفكرية للبرامج التدريبية المختلفة في الأكاديمية يمكن أن يصبح أيضاً غير مناسب من حيث التحديات والتطورات العالمية الناشئة</w:t>
            </w:r>
            <w:r w:rsidRPr="00CB6184">
              <w:rPr>
                <w:rFonts w:ascii="Arabic Typesetting" w:hAnsi="Arabic Typesetting" w:cs="Arabic Typesetting"/>
                <w:sz w:val="28"/>
                <w:szCs w:val="28"/>
              </w:rPr>
              <w:t>.</w:t>
            </w:r>
          </w:p>
        </w:tc>
        <w:tc>
          <w:tcPr>
            <w:tcW w:w="2200" w:type="dxa"/>
            <w:tcBorders>
              <w:top w:val="single" w:sz="4" w:space="0" w:color="auto"/>
              <w:bottom w:val="single" w:sz="4" w:space="0" w:color="auto"/>
            </w:tcBorders>
            <w:shd w:val="clear" w:color="auto" w:fill="auto"/>
            <w:tcMar>
              <w:top w:w="113" w:type="dxa"/>
              <w:bottom w:w="113" w:type="dxa"/>
            </w:tcMar>
          </w:tcPr>
          <w:p w:rsidR="00CC1D6E" w:rsidRPr="00CB6184" w:rsidRDefault="00CC1D6E" w:rsidP="00CC1D6E">
            <w:pPr>
              <w:autoSpaceDE w:val="0"/>
              <w:autoSpaceDN w:val="0"/>
              <w:bidi/>
              <w:adjustRightInd w:val="0"/>
              <w:snapToGrid w:val="0"/>
              <w:spacing w:before="60" w:after="60" w:line="300" w:lineRule="exact"/>
              <w:rPr>
                <w:rFonts w:ascii="Arabic Typesetting" w:hAnsi="Arabic Typesetting" w:cs="Arabic Typesetting"/>
                <w:sz w:val="28"/>
                <w:szCs w:val="28"/>
              </w:rPr>
            </w:pPr>
            <w:r w:rsidRPr="00CB6184">
              <w:rPr>
                <w:rFonts w:ascii="Arabic Typesetting" w:hAnsi="Arabic Typesetting" w:cs="Arabic Typesetting"/>
                <w:sz w:val="28"/>
                <w:szCs w:val="28"/>
                <w:rtl/>
              </w:rPr>
              <w:t>سوف يستمر استطلاع آراء طلاب التعلم عن بعد والمدرسين، وبعد الحصول على مشورة فنية من خبراء الملكية الفكرية، سوف تُجرى تحديثات على المنصات المعتمدة أو محتوى الملكية الفكرية أو كليهما.</w:t>
            </w:r>
          </w:p>
        </w:tc>
        <w:tc>
          <w:tcPr>
            <w:tcW w:w="2310" w:type="dxa"/>
            <w:tcBorders>
              <w:top w:val="single" w:sz="4" w:space="0" w:color="auto"/>
              <w:bottom w:val="single" w:sz="4" w:space="0" w:color="auto"/>
            </w:tcBorders>
          </w:tcPr>
          <w:p w:rsidR="00CC1D6E" w:rsidRPr="00CB6184" w:rsidRDefault="00CC1D6E" w:rsidP="00CC1D6E">
            <w:pPr>
              <w:bidi/>
              <w:spacing w:before="60" w:after="60" w:line="280" w:lineRule="exact"/>
              <w:rPr>
                <w:rFonts w:ascii="Arabic Typesetting" w:hAnsi="Arabic Typesetting" w:cs="Arabic Typesetting"/>
                <w:sz w:val="28"/>
                <w:szCs w:val="28"/>
                <w:rtl/>
              </w:rPr>
            </w:pPr>
            <w:r w:rsidRPr="00CB6184">
              <w:rPr>
                <w:rFonts w:ascii="Arabic Typesetting" w:hAnsi="Arabic Typesetting" w:cs="Arabic Typesetting" w:hint="cs"/>
                <w:sz w:val="28"/>
                <w:szCs w:val="28"/>
                <w:rtl/>
                <w:lang w:bidi="ar-EG"/>
              </w:rPr>
              <w:t>حدِّث مركز أكاديمية الويبو للتعليم الإلكتروني (</w:t>
            </w:r>
            <w:proofErr w:type="spellStart"/>
            <w:r w:rsidRPr="00CB6184">
              <w:rPr>
                <w:rFonts w:ascii="Arabic Typesetting" w:hAnsi="Arabic Typesetting" w:cs="Arabic Typesetting"/>
                <w:sz w:val="28"/>
                <w:szCs w:val="28"/>
                <w:lang w:bidi="ar-EG"/>
              </w:rPr>
              <w:t>WeLC</w:t>
            </w:r>
            <w:proofErr w:type="spellEnd"/>
            <w:r w:rsidRPr="00CB6184">
              <w:rPr>
                <w:rFonts w:ascii="Arabic Typesetting" w:hAnsi="Arabic Typesetting" w:cs="Arabic Typesetting" w:hint="cs"/>
                <w:sz w:val="28"/>
                <w:szCs w:val="28"/>
                <w:rtl/>
              </w:rPr>
              <w:t>) في 2015.</w:t>
            </w:r>
          </w:p>
          <w:p w:rsidR="00CC1D6E" w:rsidRPr="00CB6184" w:rsidRDefault="00CC1D6E" w:rsidP="00CB6184">
            <w:pPr>
              <w:bidi/>
              <w:spacing w:before="60" w:after="60" w:line="280" w:lineRule="exact"/>
              <w:rPr>
                <w:rFonts w:ascii="Arabic Typesetting" w:hAnsi="Arabic Typesetting" w:cs="Arabic Typesetting"/>
                <w:sz w:val="28"/>
                <w:szCs w:val="28"/>
                <w:rtl/>
              </w:rPr>
            </w:pPr>
            <w:r w:rsidRPr="00CB6184">
              <w:rPr>
                <w:rFonts w:ascii="Arabic Typesetting" w:hAnsi="Arabic Typesetting" w:cs="Arabic Typesetting" w:hint="cs"/>
                <w:sz w:val="28"/>
                <w:szCs w:val="28"/>
                <w:rtl/>
              </w:rPr>
              <w:t xml:space="preserve">ويعتزم اتباع نهج أكثر انتظاماً في عملية الاستعراض السنوي للدورات </w:t>
            </w:r>
            <w:r w:rsidR="00CB6184">
              <w:rPr>
                <w:rFonts w:ascii="Arabic Typesetting" w:hAnsi="Arabic Typesetting" w:cs="Arabic Typesetting" w:hint="cs"/>
                <w:sz w:val="28"/>
                <w:szCs w:val="28"/>
                <w:rtl/>
              </w:rPr>
              <w:t>لتظل دورات التعلم عن بعد وجيهة وحديثة</w:t>
            </w:r>
            <w:r w:rsidRPr="00CB6184">
              <w:rPr>
                <w:rFonts w:ascii="Arabic Typesetting" w:hAnsi="Arabic Typesetting" w:cs="Arabic Typesetting" w:hint="cs"/>
                <w:sz w:val="28"/>
                <w:szCs w:val="28"/>
                <w:rtl/>
              </w:rPr>
              <w:t>.</w:t>
            </w:r>
          </w:p>
        </w:tc>
        <w:tc>
          <w:tcPr>
            <w:tcW w:w="2306" w:type="dxa"/>
            <w:tcBorders>
              <w:top w:val="single" w:sz="4" w:space="0" w:color="auto"/>
              <w:bottom w:val="single" w:sz="4" w:space="0" w:color="auto"/>
              <w:right w:val="single" w:sz="4" w:space="0" w:color="auto"/>
            </w:tcBorders>
          </w:tcPr>
          <w:p w:rsidR="00CC1D6E" w:rsidRPr="00CB6184" w:rsidRDefault="002F200B" w:rsidP="00CC1D6E">
            <w:pPr>
              <w:bidi/>
              <w:spacing w:line="280" w:lineRule="exact"/>
              <w:rPr>
                <w:rFonts w:ascii="Arabic Typesetting" w:hAnsi="Arabic Typesetting" w:cs="Arabic Typesetting"/>
                <w:sz w:val="28"/>
                <w:szCs w:val="28"/>
                <w:lang w:bidi="ar-EG"/>
              </w:rPr>
            </w:pPr>
            <w:r w:rsidRPr="00211D55">
              <w:rPr>
                <w:rFonts w:ascii="Arabic Typesetting" w:hAnsi="Arabic Typesetting" w:cs="Arabic Typesetting" w:hint="cs"/>
                <w:b/>
                <w:sz w:val="28"/>
                <w:szCs w:val="28"/>
                <w:rtl/>
                <w:lang w:bidi="ar-EG"/>
              </w:rPr>
              <w:t xml:space="preserve">لم يؤثر هذا الخطر ولا تطوره </w:t>
            </w:r>
            <w:r>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في أداء البرنامج للفترة </w:t>
            </w:r>
            <w:r>
              <w:rPr>
                <w:rFonts w:ascii="Arabic Typesetting" w:hAnsi="Arabic Typesetting" w:cs="Arabic Typesetting" w:hint="cs"/>
                <w:b/>
                <w:sz w:val="28"/>
                <w:szCs w:val="28"/>
                <w:rtl/>
                <w:lang w:bidi="ar-EG"/>
              </w:rPr>
              <w:t>2014/15</w:t>
            </w:r>
            <w:r w:rsidRPr="00211D55">
              <w:rPr>
                <w:rFonts w:ascii="Arabic Typesetting" w:hAnsi="Arabic Typesetting" w:cs="Arabic Typesetting" w:hint="cs"/>
                <w:b/>
                <w:sz w:val="28"/>
                <w:szCs w:val="28"/>
                <w:rtl/>
                <w:lang w:bidi="ar-EG"/>
              </w:rPr>
              <w:t>.</w:t>
            </w:r>
          </w:p>
        </w:tc>
      </w:tr>
    </w:tbl>
    <w:p w:rsidR="00B20160" w:rsidRPr="00C32BE9" w:rsidRDefault="00B20160" w:rsidP="00B20160">
      <w:pPr>
        <w:keepNext/>
        <w:bidi/>
        <w:spacing w:before="120" w:after="120" w:line="340" w:lineRule="exact"/>
        <w:rPr>
          <w:rFonts w:ascii="Arabic Typesetting" w:hAnsi="Arabic Typesetting" w:cs="Arabic Typesetting"/>
          <w:sz w:val="34"/>
          <w:szCs w:val="34"/>
          <w:rtl/>
          <w:lang w:bidi="ar-EG"/>
        </w:rPr>
      </w:pPr>
      <w:r w:rsidRPr="00C32BE9">
        <w:rPr>
          <w:rFonts w:ascii="Arabic Typesetting" w:hAnsi="Arabic Typesetting" w:cs="Arabic Typesetting" w:hint="cs"/>
          <w:sz w:val="34"/>
          <w:szCs w:val="34"/>
          <w:rtl/>
          <w:lang w:bidi="ar-EG"/>
        </w:rPr>
        <w:t>استخدام الموارد</w:t>
      </w:r>
    </w:p>
    <w:p w:rsidR="00B20160" w:rsidRPr="00C32BE9" w:rsidRDefault="00B20160" w:rsidP="00B20160">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B20160" w:rsidRPr="00C32BE9" w:rsidRDefault="00B20160" w:rsidP="00B20160">
      <w:pPr>
        <w:keepNext/>
        <w:bidi/>
        <w:spacing w:after="120" w:line="340" w:lineRule="exact"/>
        <w:jc w:val="center"/>
        <w:rPr>
          <w:rFonts w:ascii="Arabic Typesetting" w:hAnsi="Arabic Typesetting" w:cs="Arabic Typesetting"/>
          <w:i/>
          <w:iCs/>
          <w:sz w:val="34"/>
          <w:szCs w:val="34"/>
          <w:rtl/>
          <w:lang w:bidi="ar-EG"/>
        </w:rPr>
      </w:pPr>
      <w:r w:rsidRPr="00C32BE9">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B20160" w:rsidRPr="00C32BE9" w:rsidTr="00CC1D6E">
        <w:trPr>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B20160" w:rsidRPr="00C32BE9" w:rsidRDefault="00B20160" w:rsidP="00D62C15">
            <w:pPr>
              <w:bidi/>
              <w:jc w:val="center"/>
              <w:rPr>
                <w:rFonts w:ascii="Arabic Typesetting" w:hAnsi="Arabic Typesetting" w:cs="Arabic Typesetting"/>
                <w:i/>
                <w:iCs/>
                <w:sz w:val="28"/>
                <w:szCs w:val="28"/>
              </w:rPr>
            </w:pPr>
            <w:r w:rsidRPr="00C32BE9">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B20160" w:rsidRPr="00C32BE9" w:rsidRDefault="00B20160" w:rsidP="00D62C15">
            <w:pPr>
              <w:bidi/>
              <w:jc w:val="center"/>
              <w:rPr>
                <w:rFonts w:ascii="Arabic Typesetting" w:hAnsi="Arabic Typesetting" w:cs="Arabic Typesetting"/>
                <w:i/>
                <w:iCs/>
                <w:sz w:val="28"/>
                <w:szCs w:val="28"/>
              </w:rPr>
            </w:pPr>
            <w:r w:rsidRPr="00C32BE9">
              <w:rPr>
                <w:rFonts w:ascii="Arabic Typesetting" w:hAnsi="Arabic Typesetting" w:cs="Arabic Typesetting"/>
                <w:i/>
                <w:iCs/>
                <w:sz w:val="28"/>
                <w:szCs w:val="28"/>
                <w:rtl/>
              </w:rPr>
              <w:t xml:space="preserve">الميزانية المعتمدة </w:t>
            </w:r>
            <w:r>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B20160" w:rsidRPr="00C32BE9" w:rsidRDefault="00B20160" w:rsidP="00D62C15">
            <w:pPr>
              <w:bidi/>
              <w:jc w:val="center"/>
              <w:rPr>
                <w:rFonts w:ascii="Arabic Typesetting" w:hAnsi="Arabic Typesetting" w:cs="Arabic Typesetting"/>
                <w:i/>
                <w:iCs/>
                <w:sz w:val="28"/>
                <w:szCs w:val="28"/>
              </w:rPr>
            </w:pPr>
            <w:r w:rsidRPr="00C32BE9">
              <w:rPr>
                <w:rFonts w:ascii="Arabic Typesetting" w:hAnsi="Arabic Typesetting" w:cs="Arabic Typesetting" w:hint="cs"/>
                <w:i/>
                <w:iCs/>
                <w:sz w:val="28"/>
                <w:szCs w:val="28"/>
                <w:rtl/>
              </w:rPr>
              <w:t>الميزانية النهائية</w:t>
            </w:r>
            <w:r w:rsidRPr="00C32BE9">
              <w:rPr>
                <w:rFonts w:ascii="Arabic Typesetting" w:hAnsi="Arabic Typesetting" w:cs="Arabic Typesetting"/>
                <w:i/>
                <w:iCs/>
                <w:sz w:val="28"/>
                <w:szCs w:val="28"/>
                <w:rtl/>
              </w:rPr>
              <w:t xml:space="preserve"> بعد التحويلات</w:t>
            </w:r>
            <w:r w:rsidRPr="00C32BE9">
              <w:rPr>
                <w:rFonts w:ascii="Arabic Typesetting" w:hAnsi="Arabic Typesetting" w:cs="Arabic Typesetting" w:hint="cs"/>
                <w:i/>
                <w:iCs/>
                <w:sz w:val="28"/>
                <w:szCs w:val="28"/>
                <w:rtl/>
              </w:rPr>
              <w:t xml:space="preserve"> </w:t>
            </w:r>
            <w:r>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B20160" w:rsidRPr="00C32BE9" w:rsidRDefault="00B20160" w:rsidP="00D62C15">
            <w:pPr>
              <w:bidi/>
              <w:jc w:val="center"/>
              <w:rPr>
                <w:rFonts w:ascii="Arabic Typesetting" w:hAnsi="Arabic Typesetting" w:cs="Arabic Typesetting"/>
                <w:i/>
                <w:iCs/>
                <w:sz w:val="28"/>
                <w:szCs w:val="28"/>
              </w:rPr>
            </w:pPr>
            <w:r w:rsidRPr="00C32BE9">
              <w:rPr>
                <w:rFonts w:ascii="Arabic Typesetting" w:hAnsi="Arabic Typesetting" w:cs="Arabic Typesetting"/>
                <w:i/>
                <w:iCs/>
                <w:sz w:val="28"/>
                <w:szCs w:val="28"/>
                <w:rtl/>
              </w:rPr>
              <w:t xml:space="preserve">نفقات </w:t>
            </w:r>
            <w:r>
              <w:rPr>
                <w:rFonts w:ascii="Arabic Typesetting" w:hAnsi="Arabic Typesetting" w:cs="Arabic Typesetting"/>
                <w:i/>
                <w:iCs/>
                <w:sz w:val="28"/>
                <w:szCs w:val="28"/>
                <w:rtl/>
              </w:rPr>
              <w:t>2014/15</w:t>
            </w:r>
          </w:p>
        </w:tc>
      </w:tr>
      <w:tr w:rsidR="00B20160" w:rsidRPr="00C32BE9" w:rsidTr="00D62C15">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B20160" w:rsidRPr="00C32BE9" w:rsidRDefault="00CC1D6E" w:rsidP="00D62C15">
            <w:pPr>
              <w:bidi/>
              <w:rPr>
                <w:rFonts w:ascii="Arabic Typesetting" w:hAnsi="Arabic Typesetting" w:cs="Arabic Typesetting"/>
                <w:sz w:val="28"/>
                <w:szCs w:val="28"/>
              </w:rPr>
            </w:pPr>
            <w:r w:rsidRPr="00B20160">
              <w:rPr>
                <w:rFonts w:ascii="Arabic Typesetting" w:hAnsi="Arabic Typesetting" w:cs="Arabic Typesetting"/>
                <w:sz w:val="28"/>
                <w:szCs w:val="28"/>
                <w:rtl/>
              </w:rPr>
              <w:t>ه</w:t>
            </w:r>
            <w:r w:rsidRPr="00B20160">
              <w:rPr>
                <w:rFonts w:ascii="Arabic Typesetting" w:hAnsi="Arabic Typesetting" w:cs="Arabic Typesetting"/>
                <w:sz w:val="28"/>
                <w:szCs w:val="28"/>
                <w:rtl/>
                <w:lang w:bidi="ar-EG"/>
              </w:rPr>
              <w:t>2.3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B20160" w:rsidRPr="00C32BE9" w:rsidRDefault="000432CA" w:rsidP="00D62C15">
            <w:pPr>
              <w:bidi/>
              <w:rPr>
                <w:rFonts w:ascii="Arabic Typesetting" w:hAnsi="Arabic Typesetting" w:cs="Arabic Typesetting"/>
                <w:sz w:val="28"/>
                <w:szCs w:val="28"/>
              </w:rPr>
            </w:pPr>
            <w:r>
              <w:rPr>
                <w:rFonts w:ascii="Arabic Typesetting" w:hAnsi="Arabic Typesetting" w:cs="Arabic Typesetting"/>
                <w:sz w:val="28"/>
                <w:szCs w:val="28"/>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20160" w:rsidRPr="00C32BE9" w:rsidRDefault="00CC1D6E" w:rsidP="00D62C15">
            <w:pPr>
              <w:rPr>
                <w:rFonts w:ascii="Arabic Typesetting" w:hAnsi="Arabic Typesetting" w:cs="Arabic Typesetting"/>
                <w:sz w:val="28"/>
                <w:szCs w:val="28"/>
              </w:rPr>
            </w:pPr>
            <w:r>
              <w:rPr>
                <w:rFonts w:ascii="Arabic Typesetting" w:hAnsi="Arabic Typesetting" w:cs="Arabic Typesetting"/>
                <w:sz w:val="28"/>
                <w:szCs w:val="28"/>
              </w:rPr>
              <w:t>11</w:t>
            </w:r>
            <w:r w:rsidRPr="00C32BE9">
              <w:rPr>
                <w:rFonts w:ascii="Arabic Typesetting" w:hAnsi="Arabic Typesetting" w:cs="Arabic Typesetting"/>
                <w:sz w:val="28"/>
                <w:szCs w:val="28"/>
              </w:rPr>
              <w:t>,</w:t>
            </w:r>
            <w:r>
              <w:rPr>
                <w:rFonts w:ascii="Arabic Typesetting" w:hAnsi="Arabic Typesetting" w:cs="Arabic Typesetting"/>
                <w:sz w:val="28"/>
                <w:szCs w:val="28"/>
              </w:rPr>
              <w:t>883</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B20160" w:rsidRPr="00C32BE9" w:rsidRDefault="00CC1D6E" w:rsidP="00D62C15">
            <w:pPr>
              <w:rPr>
                <w:rFonts w:ascii="Arabic Typesetting" w:hAnsi="Arabic Typesetting" w:cs="Arabic Typesetting"/>
                <w:sz w:val="28"/>
                <w:szCs w:val="28"/>
              </w:rPr>
            </w:pPr>
            <w:r>
              <w:rPr>
                <w:rFonts w:ascii="Arabic Typesetting" w:hAnsi="Arabic Typesetting" w:cs="Arabic Typesetting"/>
                <w:sz w:val="28"/>
                <w:szCs w:val="28"/>
              </w:rPr>
              <w:t>11</w:t>
            </w:r>
            <w:r w:rsidRPr="00C32BE9">
              <w:rPr>
                <w:rFonts w:ascii="Arabic Typesetting" w:hAnsi="Arabic Typesetting" w:cs="Arabic Typesetting"/>
                <w:sz w:val="28"/>
                <w:szCs w:val="28"/>
              </w:rPr>
              <w:t>,</w:t>
            </w:r>
            <w:r>
              <w:rPr>
                <w:rFonts w:ascii="Arabic Typesetting" w:hAnsi="Arabic Typesetting" w:cs="Arabic Typesetting"/>
                <w:sz w:val="28"/>
                <w:szCs w:val="28"/>
              </w:rPr>
              <w:t>714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B20160" w:rsidRPr="00C32BE9" w:rsidRDefault="00CC1D6E" w:rsidP="00D62C15">
            <w:pPr>
              <w:rPr>
                <w:rFonts w:ascii="Arabic Typesetting" w:hAnsi="Arabic Typesetting" w:cs="Arabic Typesetting"/>
                <w:sz w:val="28"/>
                <w:szCs w:val="28"/>
              </w:rPr>
            </w:pPr>
            <w:r>
              <w:rPr>
                <w:rFonts w:ascii="Arabic Typesetting" w:hAnsi="Arabic Typesetting" w:cs="Arabic Typesetting"/>
                <w:sz w:val="28"/>
                <w:szCs w:val="28"/>
              </w:rPr>
              <w:t>11</w:t>
            </w:r>
            <w:r w:rsidRPr="00C32BE9">
              <w:rPr>
                <w:rFonts w:ascii="Arabic Typesetting" w:hAnsi="Arabic Typesetting" w:cs="Arabic Typesetting"/>
                <w:sz w:val="28"/>
                <w:szCs w:val="28"/>
              </w:rPr>
              <w:t>,</w:t>
            </w:r>
            <w:r>
              <w:rPr>
                <w:rFonts w:ascii="Arabic Typesetting" w:hAnsi="Arabic Typesetting" w:cs="Arabic Typesetting"/>
                <w:sz w:val="28"/>
                <w:szCs w:val="28"/>
              </w:rPr>
              <w:t>845</w:t>
            </w:r>
          </w:p>
        </w:tc>
      </w:tr>
      <w:tr w:rsidR="00B20160" w:rsidRPr="00C32BE9" w:rsidTr="00D62C15">
        <w:trPr>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B20160" w:rsidRPr="00C32BE9" w:rsidRDefault="00B20160" w:rsidP="00D62C15">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B20160" w:rsidRPr="00C32BE9" w:rsidRDefault="00B20160" w:rsidP="00D62C15">
            <w:pPr>
              <w:bidi/>
              <w:rPr>
                <w:rFonts w:ascii="Arabic Typesetting" w:hAnsi="Arabic Typesetting" w:cs="Arabic Typesetting"/>
                <w:b/>
                <w:bCs/>
                <w:sz w:val="28"/>
                <w:szCs w:val="28"/>
              </w:rPr>
            </w:pPr>
            <w:r w:rsidRPr="00C32BE9">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B20160" w:rsidRPr="00636040" w:rsidRDefault="00CC1D6E" w:rsidP="00D62C15">
            <w:pPr>
              <w:rPr>
                <w:rFonts w:ascii="Arabic Typesetting" w:hAnsi="Arabic Typesetting" w:cs="Arabic Typesetting"/>
                <w:b/>
                <w:bCs/>
                <w:sz w:val="28"/>
                <w:szCs w:val="28"/>
              </w:rPr>
            </w:pPr>
            <w:r>
              <w:rPr>
                <w:rFonts w:ascii="Arabic Typesetting" w:hAnsi="Arabic Typesetting" w:cs="Arabic Typesetting"/>
                <w:b/>
                <w:bCs/>
                <w:sz w:val="28"/>
                <w:szCs w:val="28"/>
              </w:rPr>
              <w:t>11</w:t>
            </w:r>
            <w:r w:rsidRPr="00636040">
              <w:rPr>
                <w:rFonts w:ascii="Arabic Typesetting" w:hAnsi="Arabic Typesetting" w:cs="Arabic Typesetting"/>
                <w:b/>
                <w:bCs/>
                <w:sz w:val="28"/>
                <w:szCs w:val="28"/>
              </w:rPr>
              <w:t>,</w:t>
            </w:r>
            <w:r>
              <w:rPr>
                <w:rFonts w:ascii="Arabic Typesetting" w:hAnsi="Arabic Typesetting" w:cs="Arabic Typesetting"/>
                <w:b/>
                <w:bCs/>
                <w:sz w:val="28"/>
                <w:szCs w:val="28"/>
              </w:rPr>
              <w:t>883</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B20160" w:rsidRPr="00636040" w:rsidRDefault="00CC1D6E" w:rsidP="00D62C15">
            <w:pPr>
              <w:rPr>
                <w:rFonts w:ascii="Arabic Typesetting" w:hAnsi="Arabic Typesetting" w:cs="Arabic Typesetting"/>
                <w:b/>
                <w:bCs/>
                <w:sz w:val="28"/>
                <w:szCs w:val="28"/>
              </w:rPr>
            </w:pPr>
            <w:r>
              <w:rPr>
                <w:rFonts w:ascii="Arabic Typesetting" w:hAnsi="Arabic Typesetting" w:cs="Arabic Typesetting"/>
                <w:b/>
                <w:bCs/>
                <w:sz w:val="28"/>
                <w:szCs w:val="28"/>
              </w:rPr>
              <w:t>11</w:t>
            </w:r>
            <w:r w:rsidRPr="00636040">
              <w:rPr>
                <w:rFonts w:ascii="Arabic Typesetting" w:hAnsi="Arabic Typesetting" w:cs="Arabic Typesetting"/>
                <w:b/>
                <w:bCs/>
                <w:sz w:val="28"/>
                <w:szCs w:val="28"/>
              </w:rPr>
              <w:t>,</w:t>
            </w:r>
            <w:r>
              <w:rPr>
                <w:rFonts w:ascii="Arabic Typesetting" w:hAnsi="Arabic Typesetting" w:cs="Arabic Typesetting"/>
                <w:b/>
                <w:bCs/>
                <w:sz w:val="28"/>
                <w:szCs w:val="28"/>
              </w:rPr>
              <w:t>714</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B20160" w:rsidRPr="00636040" w:rsidRDefault="00CC1D6E" w:rsidP="00D62C15">
            <w:pPr>
              <w:rPr>
                <w:rFonts w:ascii="Arabic Typesetting" w:hAnsi="Arabic Typesetting" w:cs="Arabic Typesetting"/>
                <w:b/>
                <w:bCs/>
                <w:sz w:val="28"/>
                <w:szCs w:val="28"/>
              </w:rPr>
            </w:pPr>
            <w:r>
              <w:rPr>
                <w:rFonts w:ascii="Arabic Typesetting" w:hAnsi="Arabic Typesetting" w:cs="Arabic Typesetting"/>
                <w:b/>
                <w:bCs/>
                <w:sz w:val="28"/>
                <w:szCs w:val="28"/>
              </w:rPr>
              <w:t>11</w:t>
            </w:r>
            <w:r w:rsidRPr="00636040">
              <w:rPr>
                <w:rFonts w:ascii="Arabic Typesetting" w:hAnsi="Arabic Typesetting" w:cs="Arabic Typesetting"/>
                <w:b/>
                <w:bCs/>
                <w:sz w:val="28"/>
                <w:szCs w:val="28"/>
              </w:rPr>
              <w:t>,</w:t>
            </w:r>
            <w:r>
              <w:rPr>
                <w:rFonts w:ascii="Arabic Typesetting" w:hAnsi="Arabic Typesetting" w:cs="Arabic Typesetting"/>
                <w:b/>
                <w:bCs/>
                <w:sz w:val="28"/>
                <w:szCs w:val="28"/>
              </w:rPr>
              <w:t>845</w:t>
            </w:r>
          </w:p>
        </w:tc>
      </w:tr>
    </w:tbl>
    <w:p w:rsidR="00B20160" w:rsidRPr="00C32BE9" w:rsidRDefault="00B20160" w:rsidP="00B20160">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B20160" w:rsidRPr="00C32BE9" w:rsidRDefault="00B20160" w:rsidP="00B20160">
      <w:pPr>
        <w:keepNext/>
        <w:bidi/>
        <w:spacing w:after="120"/>
        <w:jc w:val="center"/>
        <w:rPr>
          <w:rFonts w:ascii="Arabic Typesetting" w:hAnsi="Arabic Typesetting" w:cs="Arabic Typesetting"/>
          <w:sz w:val="34"/>
          <w:szCs w:val="34"/>
          <w:rtl/>
          <w:lang w:bidi="ar-EG"/>
        </w:rPr>
      </w:pPr>
      <w:r w:rsidRPr="00C32BE9">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B20160" w:rsidRPr="00C32BE9" w:rsidTr="00CC1D6E">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B20160" w:rsidRPr="00C32BE9" w:rsidRDefault="00B20160" w:rsidP="00CC1D6E">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B20160" w:rsidRPr="00C32BE9" w:rsidRDefault="00B20160" w:rsidP="00CC1D6E">
            <w:pPr>
              <w:keepNext/>
              <w:bidi/>
              <w:jc w:val="center"/>
              <w:rPr>
                <w:rFonts w:ascii="Arabic Typesetting" w:hAnsi="Arabic Typesetting" w:cs="Arabic Typesetting"/>
                <w:b/>
                <w:bCs/>
                <w:i/>
                <w:iCs/>
                <w:sz w:val="28"/>
                <w:szCs w:val="28"/>
              </w:rPr>
            </w:pPr>
            <w:r w:rsidRPr="00C32BE9">
              <w:rPr>
                <w:rFonts w:ascii="Arabic Typesetting" w:hAnsi="Arabic Typesetting" w:cs="Arabic Typesetting"/>
                <w:b/>
                <w:bCs/>
                <w:i/>
                <w:iCs/>
                <w:sz w:val="28"/>
                <w:szCs w:val="28"/>
                <w:rtl/>
              </w:rPr>
              <w:t xml:space="preserve">الميزانية المعتمدة </w:t>
            </w:r>
            <w:r>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B20160" w:rsidRPr="00C32BE9" w:rsidRDefault="00B20160" w:rsidP="00CC1D6E">
            <w:pPr>
              <w:keepNext/>
              <w:bidi/>
              <w:jc w:val="center"/>
              <w:rPr>
                <w:rFonts w:ascii="Arabic Typesetting" w:hAnsi="Arabic Typesetting" w:cs="Arabic Typesetting"/>
                <w:b/>
                <w:bCs/>
                <w:i/>
                <w:iCs/>
                <w:sz w:val="28"/>
                <w:szCs w:val="28"/>
              </w:rPr>
            </w:pPr>
            <w:r w:rsidRPr="00C32BE9">
              <w:rPr>
                <w:rFonts w:ascii="Arabic Typesetting" w:hAnsi="Arabic Typesetting" w:cs="Arabic Typesetting" w:hint="cs"/>
                <w:b/>
                <w:bCs/>
                <w:i/>
                <w:iCs/>
                <w:sz w:val="28"/>
                <w:szCs w:val="28"/>
                <w:rtl/>
              </w:rPr>
              <w:t>الميزانية النهائية</w:t>
            </w:r>
            <w:r w:rsidRPr="00C32BE9">
              <w:rPr>
                <w:rFonts w:ascii="Arabic Typesetting" w:hAnsi="Arabic Typesetting" w:cs="Arabic Typesetting"/>
                <w:b/>
                <w:bCs/>
                <w:i/>
                <w:iCs/>
                <w:sz w:val="28"/>
                <w:szCs w:val="28"/>
                <w:rtl/>
              </w:rPr>
              <w:t xml:space="preserve"> بعد التحويلات</w:t>
            </w:r>
            <w:r w:rsidRPr="00C32BE9">
              <w:rPr>
                <w:rFonts w:ascii="Arabic Typesetting" w:hAnsi="Arabic Typesetting" w:cs="Arabic Typesetting" w:hint="cs"/>
                <w:b/>
                <w:bCs/>
                <w:i/>
                <w:iCs/>
                <w:sz w:val="28"/>
                <w:szCs w:val="28"/>
                <w:rtl/>
              </w:rPr>
              <w:t xml:space="preserve"> </w:t>
            </w:r>
            <w:r>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B20160" w:rsidRPr="00C32BE9" w:rsidRDefault="00B20160" w:rsidP="00CC1D6E">
            <w:pPr>
              <w:keepNext/>
              <w:bidi/>
              <w:jc w:val="center"/>
              <w:rPr>
                <w:rFonts w:ascii="Arabic Typesetting" w:hAnsi="Arabic Typesetting" w:cs="Arabic Typesetting"/>
                <w:b/>
                <w:bCs/>
                <w:i/>
                <w:iCs/>
                <w:sz w:val="28"/>
                <w:szCs w:val="28"/>
              </w:rPr>
            </w:pPr>
            <w:r w:rsidRPr="00C32BE9">
              <w:rPr>
                <w:rFonts w:ascii="Arabic Typesetting" w:hAnsi="Arabic Typesetting" w:cs="Arabic Typesetting"/>
                <w:b/>
                <w:bCs/>
                <w:i/>
                <w:iCs/>
                <w:sz w:val="28"/>
                <w:szCs w:val="28"/>
                <w:rtl/>
              </w:rPr>
              <w:t xml:space="preserve">نفقات </w:t>
            </w:r>
            <w:r>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B20160" w:rsidRPr="00C32BE9" w:rsidRDefault="00B20160" w:rsidP="00CC1D6E">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Pr="00C32BE9">
              <w:rPr>
                <w:rFonts w:ascii="Arabic Typesetting" w:hAnsi="Arabic Typesetting" w:cs="Arabic Typesetting"/>
                <w:b/>
                <w:bCs/>
                <w:i/>
                <w:iCs/>
                <w:sz w:val="28"/>
                <w:szCs w:val="28"/>
                <w:rtl/>
              </w:rPr>
              <w:t xml:space="preserve"> (%)</w:t>
            </w:r>
          </w:p>
        </w:tc>
      </w:tr>
      <w:tr w:rsidR="00B20160" w:rsidRPr="00C32BE9" w:rsidTr="00CC1D6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B20160" w:rsidRPr="00C32BE9" w:rsidRDefault="00B20160" w:rsidP="00CC1D6E">
            <w:pPr>
              <w:keepNext/>
              <w:bidi/>
              <w:rPr>
                <w:rFonts w:ascii="Arabic Typesetting" w:hAnsi="Arabic Typesetting" w:cs="Arabic Typesetting"/>
                <w:sz w:val="28"/>
                <w:szCs w:val="28"/>
              </w:rPr>
            </w:pPr>
            <w:r w:rsidRPr="00C32BE9">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B20160" w:rsidRPr="00C32BE9" w:rsidRDefault="00CC1D6E" w:rsidP="00CC1D6E">
            <w:pPr>
              <w:keepNext/>
              <w:jc w:val="center"/>
              <w:rPr>
                <w:rFonts w:ascii="Arabic Typesetting" w:hAnsi="Arabic Typesetting" w:cs="Arabic Typesetting"/>
                <w:sz w:val="28"/>
                <w:szCs w:val="28"/>
              </w:rPr>
            </w:pPr>
            <w:r>
              <w:rPr>
                <w:rFonts w:ascii="Arabic Typesetting" w:hAnsi="Arabic Typesetting" w:cs="Arabic Typesetting"/>
                <w:sz w:val="28"/>
                <w:szCs w:val="28"/>
              </w:rPr>
              <w:t>6</w:t>
            </w:r>
            <w:r w:rsidRPr="00C32BE9">
              <w:rPr>
                <w:rFonts w:ascii="Arabic Typesetting" w:hAnsi="Arabic Typesetting" w:cs="Arabic Typesetting"/>
                <w:sz w:val="28"/>
                <w:szCs w:val="28"/>
              </w:rPr>
              <w:t>,</w:t>
            </w:r>
            <w:r>
              <w:rPr>
                <w:rFonts w:ascii="Arabic Typesetting" w:hAnsi="Arabic Typesetting" w:cs="Arabic Typesetting"/>
                <w:sz w:val="28"/>
                <w:szCs w:val="28"/>
              </w:rPr>
              <w:t>978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B20160" w:rsidRPr="00C32BE9" w:rsidRDefault="00CC1D6E" w:rsidP="00CC1D6E">
            <w:pPr>
              <w:keepNext/>
              <w:jc w:val="center"/>
              <w:rPr>
                <w:rFonts w:ascii="Arabic Typesetting" w:hAnsi="Arabic Typesetting" w:cs="Arabic Typesetting"/>
                <w:sz w:val="28"/>
                <w:szCs w:val="28"/>
              </w:rPr>
            </w:pPr>
            <w:r>
              <w:rPr>
                <w:rFonts w:ascii="Arabic Typesetting" w:hAnsi="Arabic Typesetting" w:cs="Arabic Typesetting"/>
                <w:sz w:val="28"/>
                <w:szCs w:val="28"/>
              </w:rPr>
              <w:t>6</w:t>
            </w:r>
            <w:r w:rsidRPr="00C32BE9">
              <w:rPr>
                <w:rFonts w:ascii="Arabic Typesetting" w:hAnsi="Arabic Typesetting" w:cs="Arabic Typesetting"/>
                <w:sz w:val="28"/>
                <w:szCs w:val="28"/>
              </w:rPr>
              <w:t>,</w:t>
            </w:r>
            <w:r>
              <w:rPr>
                <w:rFonts w:ascii="Arabic Typesetting" w:hAnsi="Arabic Typesetting" w:cs="Arabic Typesetting"/>
                <w:sz w:val="28"/>
                <w:szCs w:val="28"/>
              </w:rPr>
              <w:t>917</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B20160" w:rsidRPr="00C32BE9" w:rsidRDefault="00CC1D6E" w:rsidP="00CC1D6E">
            <w:pPr>
              <w:keepNext/>
              <w:jc w:val="center"/>
              <w:rPr>
                <w:rFonts w:ascii="Arabic Typesetting" w:hAnsi="Arabic Typesetting" w:cs="Arabic Typesetting"/>
                <w:sz w:val="28"/>
                <w:szCs w:val="28"/>
              </w:rPr>
            </w:pPr>
            <w:r>
              <w:rPr>
                <w:rFonts w:ascii="Arabic Typesetting" w:hAnsi="Arabic Typesetting" w:cs="Arabic Typesetting"/>
                <w:sz w:val="28"/>
                <w:szCs w:val="28"/>
              </w:rPr>
              <w:t>7</w:t>
            </w:r>
            <w:r w:rsidRPr="00C32BE9">
              <w:rPr>
                <w:rFonts w:ascii="Arabic Typesetting" w:hAnsi="Arabic Typesetting" w:cs="Arabic Typesetting"/>
                <w:sz w:val="28"/>
                <w:szCs w:val="28"/>
              </w:rPr>
              <w:t>,</w:t>
            </w:r>
            <w:r>
              <w:rPr>
                <w:rFonts w:ascii="Arabic Typesetting" w:hAnsi="Arabic Typesetting" w:cs="Arabic Typesetting"/>
                <w:sz w:val="28"/>
                <w:szCs w:val="28"/>
              </w:rPr>
              <w:t>438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B20160" w:rsidRPr="00C32BE9" w:rsidRDefault="00CC1D6E" w:rsidP="00CC1D6E">
            <w:pPr>
              <w:keepNext/>
              <w:jc w:val="center"/>
              <w:rPr>
                <w:rFonts w:ascii="Arabic Typesetting" w:hAnsi="Arabic Typesetting" w:cs="Arabic Typesetting"/>
                <w:sz w:val="28"/>
                <w:szCs w:val="28"/>
              </w:rPr>
            </w:pPr>
            <w:r>
              <w:rPr>
                <w:rFonts w:ascii="Arabic Typesetting" w:hAnsi="Arabic Typesetting" w:cs="Arabic Typesetting"/>
                <w:sz w:val="28"/>
                <w:szCs w:val="28"/>
              </w:rPr>
              <w:t>108%</w:t>
            </w:r>
          </w:p>
        </w:tc>
      </w:tr>
      <w:tr w:rsidR="00B20160" w:rsidRPr="00C32BE9" w:rsidTr="00CC1D6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B20160" w:rsidRPr="00C32BE9" w:rsidRDefault="00B20160" w:rsidP="00CC1D6E">
            <w:pPr>
              <w:keepNext/>
              <w:bidi/>
              <w:rPr>
                <w:rFonts w:ascii="Arabic Typesetting" w:hAnsi="Arabic Typesetting" w:cs="Arabic Typesetting"/>
                <w:sz w:val="28"/>
                <w:szCs w:val="28"/>
              </w:rPr>
            </w:pPr>
            <w:r w:rsidRPr="00C32BE9">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B20160" w:rsidRPr="00C32BE9" w:rsidRDefault="00CC1D6E" w:rsidP="00CC1D6E">
            <w:pPr>
              <w:keepNext/>
              <w:jc w:val="center"/>
              <w:rPr>
                <w:rFonts w:ascii="Arabic Typesetting" w:hAnsi="Arabic Typesetting" w:cs="Arabic Typesetting"/>
                <w:sz w:val="28"/>
                <w:szCs w:val="28"/>
              </w:rPr>
            </w:pPr>
            <w:r>
              <w:rPr>
                <w:rFonts w:ascii="Arabic Typesetting" w:hAnsi="Arabic Typesetting" w:cs="Arabic Typesetting"/>
                <w:sz w:val="28"/>
                <w:szCs w:val="28"/>
              </w:rPr>
              <w:t>4</w:t>
            </w:r>
            <w:r w:rsidRPr="00C32BE9">
              <w:rPr>
                <w:rFonts w:ascii="Arabic Typesetting" w:hAnsi="Arabic Typesetting" w:cs="Arabic Typesetting"/>
                <w:sz w:val="28"/>
                <w:szCs w:val="28"/>
              </w:rPr>
              <w:t>,</w:t>
            </w:r>
            <w:r>
              <w:rPr>
                <w:rFonts w:ascii="Arabic Typesetting" w:hAnsi="Arabic Typesetting" w:cs="Arabic Typesetting"/>
                <w:sz w:val="28"/>
                <w:szCs w:val="28"/>
              </w:rPr>
              <w:t>905</w:t>
            </w:r>
          </w:p>
        </w:tc>
        <w:tc>
          <w:tcPr>
            <w:tcW w:w="970" w:type="pct"/>
            <w:tcBorders>
              <w:top w:val="nil"/>
              <w:left w:val="single" w:sz="4" w:space="0" w:color="auto"/>
              <w:bottom w:val="single" w:sz="4" w:space="0" w:color="auto"/>
              <w:right w:val="single" w:sz="4" w:space="0" w:color="auto"/>
            </w:tcBorders>
            <w:shd w:val="clear" w:color="auto" w:fill="auto"/>
            <w:vAlign w:val="center"/>
          </w:tcPr>
          <w:p w:rsidR="00B20160" w:rsidRPr="00C32BE9" w:rsidRDefault="00CC1D6E" w:rsidP="00CC1D6E">
            <w:pPr>
              <w:keepNext/>
              <w:jc w:val="center"/>
              <w:rPr>
                <w:rFonts w:ascii="Arabic Typesetting" w:hAnsi="Arabic Typesetting" w:cs="Arabic Typesetting"/>
                <w:sz w:val="28"/>
                <w:szCs w:val="28"/>
              </w:rPr>
            </w:pPr>
            <w:r>
              <w:rPr>
                <w:rFonts w:ascii="Arabic Typesetting" w:hAnsi="Arabic Typesetting" w:cs="Arabic Typesetting"/>
                <w:sz w:val="28"/>
                <w:szCs w:val="28"/>
              </w:rPr>
              <w:t>4</w:t>
            </w:r>
            <w:r w:rsidRPr="00C32BE9">
              <w:rPr>
                <w:rFonts w:ascii="Arabic Typesetting" w:hAnsi="Arabic Typesetting" w:cs="Arabic Typesetting"/>
                <w:sz w:val="28"/>
                <w:szCs w:val="28"/>
              </w:rPr>
              <w:t>,</w:t>
            </w:r>
            <w:r>
              <w:rPr>
                <w:rFonts w:ascii="Arabic Typesetting" w:hAnsi="Arabic Typesetting" w:cs="Arabic Typesetting"/>
                <w:sz w:val="28"/>
                <w:szCs w:val="28"/>
              </w:rPr>
              <w:t>798</w:t>
            </w:r>
          </w:p>
        </w:tc>
        <w:tc>
          <w:tcPr>
            <w:tcW w:w="970" w:type="pct"/>
            <w:tcBorders>
              <w:top w:val="nil"/>
              <w:left w:val="single" w:sz="4" w:space="0" w:color="auto"/>
              <w:bottom w:val="single" w:sz="4" w:space="0" w:color="auto"/>
              <w:right w:val="single" w:sz="4" w:space="0" w:color="auto"/>
            </w:tcBorders>
            <w:shd w:val="clear" w:color="auto" w:fill="auto"/>
            <w:vAlign w:val="center"/>
          </w:tcPr>
          <w:p w:rsidR="00B20160" w:rsidRPr="00C32BE9" w:rsidRDefault="00CC1D6E" w:rsidP="00CC1D6E">
            <w:pPr>
              <w:keepNext/>
              <w:jc w:val="center"/>
              <w:rPr>
                <w:rFonts w:ascii="Arabic Typesetting" w:hAnsi="Arabic Typesetting" w:cs="Arabic Typesetting"/>
                <w:sz w:val="28"/>
                <w:szCs w:val="28"/>
              </w:rPr>
            </w:pPr>
            <w:r>
              <w:rPr>
                <w:rFonts w:ascii="Arabic Typesetting" w:hAnsi="Arabic Typesetting" w:cs="Arabic Typesetting"/>
                <w:sz w:val="28"/>
                <w:szCs w:val="28"/>
              </w:rPr>
              <w:t>4</w:t>
            </w:r>
            <w:r w:rsidRPr="00C32BE9">
              <w:rPr>
                <w:rFonts w:ascii="Arabic Typesetting" w:hAnsi="Arabic Typesetting" w:cs="Arabic Typesetting"/>
                <w:sz w:val="28"/>
                <w:szCs w:val="28"/>
              </w:rPr>
              <w:t>,</w:t>
            </w:r>
            <w:r>
              <w:rPr>
                <w:rFonts w:ascii="Arabic Typesetting" w:hAnsi="Arabic Typesetting" w:cs="Arabic Typesetting"/>
                <w:sz w:val="28"/>
                <w:szCs w:val="28"/>
              </w:rPr>
              <w:t>407</w:t>
            </w:r>
          </w:p>
        </w:tc>
        <w:tc>
          <w:tcPr>
            <w:tcW w:w="970" w:type="pct"/>
            <w:tcBorders>
              <w:top w:val="nil"/>
              <w:left w:val="single" w:sz="4" w:space="0" w:color="auto"/>
              <w:bottom w:val="single" w:sz="4" w:space="0" w:color="auto"/>
              <w:right w:val="single" w:sz="4" w:space="0" w:color="auto"/>
            </w:tcBorders>
            <w:shd w:val="clear" w:color="auto" w:fill="auto"/>
            <w:vAlign w:val="center"/>
          </w:tcPr>
          <w:p w:rsidR="00B20160" w:rsidRPr="00C32BE9" w:rsidRDefault="00CC1D6E" w:rsidP="00CC1D6E">
            <w:pPr>
              <w:keepNext/>
              <w:jc w:val="center"/>
              <w:rPr>
                <w:rFonts w:ascii="Arabic Typesetting" w:hAnsi="Arabic Typesetting" w:cs="Arabic Typesetting"/>
                <w:sz w:val="28"/>
                <w:szCs w:val="28"/>
              </w:rPr>
            </w:pPr>
            <w:r>
              <w:rPr>
                <w:rFonts w:ascii="Arabic Typesetting" w:hAnsi="Arabic Typesetting" w:cs="Arabic Typesetting"/>
                <w:sz w:val="28"/>
                <w:szCs w:val="28"/>
              </w:rPr>
              <w:t>92%</w:t>
            </w:r>
          </w:p>
        </w:tc>
      </w:tr>
      <w:tr w:rsidR="00CC1D6E" w:rsidRPr="00C32BE9" w:rsidTr="00CC1D6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C1D6E" w:rsidRPr="00C32BE9" w:rsidRDefault="00CC1D6E" w:rsidP="00CB6184">
            <w:pPr>
              <w:bidi/>
              <w:jc w:val="right"/>
              <w:rPr>
                <w:rFonts w:ascii="Arabic Typesetting" w:hAnsi="Arabic Typesetting" w:cs="Arabic Typesetting"/>
                <w:b/>
                <w:bCs/>
                <w:sz w:val="28"/>
                <w:szCs w:val="28"/>
              </w:rPr>
            </w:pPr>
            <w:r w:rsidRPr="00C32BE9">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CC1D6E" w:rsidRPr="00636040" w:rsidRDefault="00CC1D6E" w:rsidP="00CB6184">
            <w:pPr>
              <w:jc w:val="center"/>
              <w:rPr>
                <w:rFonts w:ascii="Arabic Typesetting" w:hAnsi="Arabic Typesetting" w:cs="Arabic Typesetting"/>
                <w:b/>
                <w:bCs/>
                <w:sz w:val="28"/>
                <w:szCs w:val="28"/>
              </w:rPr>
            </w:pPr>
            <w:r>
              <w:rPr>
                <w:rFonts w:ascii="Arabic Typesetting" w:hAnsi="Arabic Typesetting" w:cs="Arabic Typesetting"/>
                <w:b/>
                <w:bCs/>
                <w:sz w:val="28"/>
                <w:szCs w:val="28"/>
              </w:rPr>
              <w:t>11</w:t>
            </w:r>
            <w:r w:rsidRPr="00636040">
              <w:rPr>
                <w:rFonts w:ascii="Arabic Typesetting" w:hAnsi="Arabic Typesetting" w:cs="Arabic Typesetting"/>
                <w:b/>
                <w:bCs/>
                <w:sz w:val="28"/>
                <w:szCs w:val="28"/>
              </w:rPr>
              <w:t>,</w:t>
            </w:r>
            <w:r>
              <w:rPr>
                <w:rFonts w:ascii="Arabic Typesetting" w:hAnsi="Arabic Typesetting" w:cs="Arabic Typesetting"/>
                <w:b/>
                <w:bCs/>
                <w:sz w:val="28"/>
                <w:szCs w:val="28"/>
              </w:rPr>
              <w:t>883</w:t>
            </w:r>
          </w:p>
        </w:tc>
        <w:tc>
          <w:tcPr>
            <w:tcW w:w="970" w:type="pct"/>
            <w:tcBorders>
              <w:top w:val="nil"/>
              <w:left w:val="single" w:sz="4" w:space="0" w:color="auto"/>
              <w:bottom w:val="single" w:sz="4" w:space="0" w:color="auto"/>
              <w:right w:val="single" w:sz="4" w:space="0" w:color="auto"/>
            </w:tcBorders>
            <w:shd w:val="clear" w:color="auto" w:fill="auto"/>
            <w:vAlign w:val="center"/>
          </w:tcPr>
          <w:p w:rsidR="00CC1D6E" w:rsidRPr="00636040" w:rsidRDefault="00CC1D6E" w:rsidP="00CB6184">
            <w:pPr>
              <w:jc w:val="center"/>
              <w:rPr>
                <w:rFonts w:ascii="Arabic Typesetting" w:hAnsi="Arabic Typesetting" w:cs="Arabic Typesetting"/>
                <w:b/>
                <w:bCs/>
                <w:sz w:val="28"/>
                <w:szCs w:val="28"/>
              </w:rPr>
            </w:pPr>
            <w:r>
              <w:rPr>
                <w:rFonts w:ascii="Arabic Typesetting" w:hAnsi="Arabic Typesetting" w:cs="Arabic Typesetting"/>
                <w:b/>
                <w:bCs/>
                <w:sz w:val="28"/>
                <w:szCs w:val="28"/>
              </w:rPr>
              <w:t>11</w:t>
            </w:r>
            <w:r w:rsidRPr="00636040">
              <w:rPr>
                <w:rFonts w:ascii="Arabic Typesetting" w:hAnsi="Arabic Typesetting" w:cs="Arabic Typesetting"/>
                <w:b/>
                <w:bCs/>
                <w:sz w:val="28"/>
                <w:szCs w:val="28"/>
              </w:rPr>
              <w:t>,</w:t>
            </w:r>
            <w:r>
              <w:rPr>
                <w:rFonts w:ascii="Arabic Typesetting" w:hAnsi="Arabic Typesetting" w:cs="Arabic Typesetting"/>
                <w:b/>
                <w:bCs/>
                <w:sz w:val="28"/>
                <w:szCs w:val="28"/>
              </w:rPr>
              <w:t>714</w:t>
            </w:r>
          </w:p>
        </w:tc>
        <w:tc>
          <w:tcPr>
            <w:tcW w:w="970" w:type="pct"/>
            <w:tcBorders>
              <w:top w:val="nil"/>
              <w:left w:val="single" w:sz="4" w:space="0" w:color="auto"/>
              <w:bottom w:val="single" w:sz="4" w:space="0" w:color="auto"/>
              <w:right w:val="single" w:sz="4" w:space="0" w:color="auto"/>
            </w:tcBorders>
            <w:shd w:val="clear" w:color="auto" w:fill="auto"/>
            <w:vAlign w:val="center"/>
          </w:tcPr>
          <w:p w:rsidR="00CC1D6E" w:rsidRPr="00636040" w:rsidRDefault="00CC1D6E" w:rsidP="00CB6184">
            <w:pPr>
              <w:jc w:val="center"/>
              <w:rPr>
                <w:rFonts w:ascii="Arabic Typesetting" w:hAnsi="Arabic Typesetting" w:cs="Arabic Typesetting"/>
                <w:b/>
                <w:bCs/>
                <w:sz w:val="28"/>
                <w:szCs w:val="28"/>
              </w:rPr>
            </w:pPr>
            <w:r>
              <w:rPr>
                <w:rFonts w:ascii="Arabic Typesetting" w:hAnsi="Arabic Typesetting" w:cs="Arabic Typesetting"/>
                <w:b/>
                <w:bCs/>
                <w:sz w:val="28"/>
                <w:szCs w:val="28"/>
              </w:rPr>
              <w:t>11</w:t>
            </w:r>
            <w:r w:rsidRPr="00636040">
              <w:rPr>
                <w:rFonts w:ascii="Arabic Typesetting" w:hAnsi="Arabic Typesetting" w:cs="Arabic Typesetting"/>
                <w:b/>
                <w:bCs/>
                <w:sz w:val="28"/>
                <w:szCs w:val="28"/>
              </w:rPr>
              <w:t>,</w:t>
            </w:r>
            <w:r>
              <w:rPr>
                <w:rFonts w:ascii="Arabic Typesetting" w:hAnsi="Arabic Typesetting" w:cs="Arabic Typesetting"/>
                <w:b/>
                <w:bCs/>
                <w:sz w:val="28"/>
                <w:szCs w:val="28"/>
              </w:rPr>
              <w:t>845</w:t>
            </w:r>
          </w:p>
        </w:tc>
        <w:tc>
          <w:tcPr>
            <w:tcW w:w="970" w:type="pct"/>
            <w:tcBorders>
              <w:top w:val="nil"/>
              <w:left w:val="single" w:sz="4" w:space="0" w:color="auto"/>
              <w:bottom w:val="single" w:sz="4" w:space="0" w:color="auto"/>
              <w:right w:val="single" w:sz="4" w:space="0" w:color="auto"/>
            </w:tcBorders>
            <w:shd w:val="clear" w:color="auto" w:fill="auto"/>
            <w:vAlign w:val="center"/>
          </w:tcPr>
          <w:p w:rsidR="00CC1D6E" w:rsidRPr="00636040" w:rsidRDefault="00CC1D6E" w:rsidP="00CB6184">
            <w:pPr>
              <w:jc w:val="center"/>
              <w:rPr>
                <w:rFonts w:ascii="Arabic Typesetting" w:hAnsi="Arabic Typesetting" w:cs="Arabic Typesetting"/>
                <w:b/>
                <w:bCs/>
                <w:sz w:val="28"/>
                <w:szCs w:val="28"/>
              </w:rPr>
            </w:pPr>
            <w:r>
              <w:rPr>
                <w:rFonts w:ascii="Arabic Typesetting" w:hAnsi="Arabic Typesetting" w:cs="Arabic Typesetting"/>
                <w:b/>
                <w:bCs/>
                <w:sz w:val="28"/>
                <w:szCs w:val="28"/>
              </w:rPr>
              <w:t>101%</w:t>
            </w:r>
          </w:p>
        </w:tc>
      </w:tr>
    </w:tbl>
    <w:p w:rsidR="00B20160" w:rsidRPr="00C32BE9" w:rsidRDefault="00B20160" w:rsidP="00FE0236">
      <w:pPr>
        <w:keepNext/>
        <w:bidi/>
        <w:spacing w:before="120" w:after="120" w:line="340" w:lineRule="exact"/>
        <w:rPr>
          <w:rFonts w:ascii="Arabic Typesetting" w:hAnsi="Arabic Typesetting" w:cs="Arabic Typesetting"/>
          <w:sz w:val="34"/>
          <w:szCs w:val="34"/>
          <w:lang w:bidi="ar-EG"/>
        </w:rPr>
      </w:pPr>
      <w:r w:rsidRPr="00C32BE9">
        <w:rPr>
          <w:rFonts w:ascii="Arabic Typesetting" w:hAnsi="Arabic Typesetting" w:cs="Arabic Typesetting" w:hint="cs"/>
          <w:sz w:val="34"/>
          <w:szCs w:val="34"/>
          <w:rtl/>
          <w:lang w:bidi="ar-EG"/>
        </w:rPr>
        <w:lastRenderedPageBreak/>
        <w:t>ألف</w:t>
      </w:r>
      <w:r w:rsidRPr="00C32BE9">
        <w:rPr>
          <w:rFonts w:ascii="Arabic Typesetting" w:hAnsi="Arabic Typesetting" w:cs="Arabic Typesetting"/>
          <w:sz w:val="34"/>
          <w:szCs w:val="34"/>
          <w:lang w:bidi="ar-EG"/>
        </w:rPr>
        <w:t>.</w:t>
      </w:r>
      <w:r w:rsidRPr="00C32BE9">
        <w:rPr>
          <w:rFonts w:ascii="Arabic Typesetting" w:hAnsi="Arabic Typesetting" w:cs="Arabic Typesetting" w:hint="cs"/>
          <w:sz w:val="34"/>
          <w:szCs w:val="34"/>
          <w:rtl/>
          <w:lang w:bidi="ar-EG"/>
        </w:rPr>
        <w:tab/>
      </w:r>
      <w:r w:rsidRPr="00C32BE9">
        <w:rPr>
          <w:rFonts w:ascii="Arabic Typesetting" w:hAnsi="Arabic Typesetting" w:cs="Arabic Typesetting" w:hint="cs"/>
          <w:sz w:val="34"/>
          <w:szCs w:val="34"/>
          <w:u w:val="single"/>
          <w:rtl/>
          <w:lang w:bidi="ar-EG"/>
        </w:rPr>
        <w:t xml:space="preserve">الميزانية النهائية بعد التحويلات </w:t>
      </w:r>
      <w:r>
        <w:rPr>
          <w:rFonts w:ascii="Arabic Typesetting" w:hAnsi="Arabic Typesetting" w:cs="Arabic Typesetting" w:hint="cs"/>
          <w:sz w:val="34"/>
          <w:szCs w:val="34"/>
          <w:u w:val="single"/>
          <w:rtl/>
          <w:lang w:bidi="ar-EG"/>
        </w:rPr>
        <w:t>2014/15</w:t>
      </w:r>
    </w:p>
    <w:p w:rsidR="00B20160" w:rsidRPr="008B0D7B" w:rsidRDefault="00CC1D6E" w:rsidP="009A3712">
      <w:pPr>
        <w:keepNext/>
        <w:numPr>
          <w:ilvl w:val="0"/>
          <w:numId w:val="43"/>
        </w:numPr>
        <w:bidi/>
        <w:spacing w:after="120" w:line="340" w:lineRule="exact"/>
        <w:ind w:left="0" w:firstLine="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 xml:space="preserve">ظلت الموارد المتاحة لهذا البرنامج مستقرة على مدار الثنائية. وعوِّض </w:t>
      </w:r>
      <w:r w:rsidR="00B20160" w:rsidRPr="008B0D7B">
        <w:rPr>
          <w:rFonts w:ascii="Arabic Typesetting" w:hAnsi="Arabic Typesetting" w:cs="Arabic Typesetting" w:hint="cs"/>
          <w:sz w:val="34"/>
          <w:szCs w:val="34"/>
          <w:rtl/>
          <w:lang w:val="fr-CH"/>
        </w:rPr>
        <w:t>نقل موارد الموظفين من البرنامج لتلبية احتياجات منصات الويبو وتطبيقاتها التكنولوجيا في قطاع التنمية</w:t>
      </w:r>
      <w:r>
        <w:rPr>
          <w:rFonts w:ascii="Arabic Typesetting" w:hAnsi="Arabic Typesetting" w:cs="Arabic Typesetting" w:hint="cs"/>
          <w:sz w:val="34"/>
          <w:szCs w:val="34"/>
          <w:rtl/>
          <w:lang w:val="fr-CH"/>
        </w:rPr>
        <w:t xml:space="preserve"> (البرامج 8 و9 و11)</w:t>
      </w:r>
      <w:r w:rsidR="00B20160" w:rsidRPr="008B0D7B">
        <w:rPr>
          <w:rFonts w:ascii="Arabic Typesetting" w:hAnsi="Arabic Typesetting" w:cs="Arabic Typesetting" w:hint="cs"/>
          <w:sz w:val="34"/>
          <w:szCs w:val="34"/>
          <w:rtl/>
          <w:lang w:val="fr-CH"/>
        </w:rPr>
        <w:t xml:space="preserve"> من خلال نقل موارد الموظفين إلى البرنامج بعد الانتقال إلى إدارة الأكاديمية في نهاية عام</w:t>
      </w:r>
      <w:r w:rsidR="00B20160" w:rsidRPr="008B0D7B">
        <w:rPr>
          <w:rFonts w:ascii="Arabic Typesetting" w:hAnsi="Arabic Typesetting" w:cs="Arabic Typesetting"/>
          <w:sz w:val="34"/>
          <w:szCs w:val="34"/>
          <w:rtl/>
          <w:lang w:val="fr-CH"/>
        </w:rPr>
        <w:t> </w:t>
      </w:r>
      <w:r w:rsidR="00B20160" w:rsidRPr="008B0D7B">
        <w:rPr>
          <w:rFonts w:ascii="Arabic Typesetting" w:hAnsi="Arabic Typesetting" w:cs="Arabic Typesetting" w:hint="cs"/>
          <w:sz w:val="34"/>
          <w:szCs w:val="34"/>
          <w:rtl/>
          <w:lang w:val="fr-CH"/>
        </w:rPr>
        <w:t>2014.</w:t>
      </w:r>
    </w:p>
    <w:p w:rsidR="00B20160" w:rsidRPr="00C32BE9" w:rsidRDefault="00B20160" w:rsidP="00B20160">
      <w:pPr>
        <w:keepNext/>
        <w:bidi/>
        <w:spacing w:after="120" w:line="340" w:lineRule="exact"/>
        <w:rPr>
          <w:rFonts w:ascii="Arabic Typesetting" w:hAnsi="Arabic Typesetting" w:cs="Arabic Typesetting"/>
          <w:sz w:val="34"/>
          <w:szCs w:val="34"/>
          <w:rtl/>
          <w:lang w:bidi="ar-EG"/>
        </w:rPr>
      </w:pPr>
      <w:r w:rsidRPr="00C32BE9">
        <w:rPr>
          <w:rFonts w:ascii="Arabic Typesetting" w:hAnsi="Arabic Typesetting" w:cs="Arabic Typesetting" w:hint="cs"/>
          <w:sz w:val="34"/>
          <w:szCs w:val="34"/>
          <w:rtl/>
          <w:lang w:bidi="ar-EG"/>
        </w:rPr>
        <w:t>باء</w:t>
      </w:r>
      <w:r w:rsidRPr="00C32BE9">
        <w:rPr>
          <w:rFonts w:ascii="Arabic Typesetting" w:hAnsi="Arabic Typesetting" w:cs="Arabic Typesetting"/>
          <w:sz w:val="34"/>
          <w:szCs w:val="34"/>
          <w:lang w:bidi="ar-EG"/>
        </w:rPr>
        <w:t>.</w:t>
      </w:r>
      <w:r w:rsidRPr="00C32BE9">
        <w:rPr>
          <w:rFonts w:ascii="Arabic Typesetting" w:hAnsi="Arabic Typesetting" w:cs="Arabic Typesetting" w:hint="cs"/>
          <w:sz w:val="34"/>
          <w:szCs w:val="34"/>
          <w:rtl/>
          <w:lang w:bidi="ar-EG"/>
        </w:rPr>
        <w:tab/>
      </w:r>
      <w:r>
        <w:rPr>
          <w:rFonts w:ascii="Arabic Typesetting" w:hAnsi="Arabic Typesetting" w:cs="Arabic Typesetting" w:hint="cs"/>
          <w:sz w:val="34"/>
          <w:szCs w:val="34"/>
          <w:u w:val="single"/>
          <w:rtl/>
          <w:lang w:bidi="ar-EG"/>
        </w:rPr>
        <w:t>استخدام ميزانية 2014/15</w:t>
      </w:r>
    </w:p>
    <w:p w:rsidR="00B20160" w:rsidRPr="00CC1D6E" w:rsidRDefault="00CC1D6E" w:rsidP="009A3712">
      <w:pPr>
        <w:numPr>
          <w:ilvl w:val="0"/>
          <w:numId w:val="43"/>
        </w:numPr>
        <w:bidi/>
        <w:spacing w:after="120" w:line="340" w:lineRule="exact"/>
        <w:ind w:left="0" w:firstLine="0"/>
        <w:rPr>
          <w:rFonts w:ascii="Arabic Typesetting" w:hAnsi="Arabic Typesetting" w:cs="Arabic Typesetting"/>
          <w:sz w:val="34"/>
          <w:szCs w:val="34"/>
          <w:rtl/>
        </w:rPr>
      </w:pPr>
      <w:r w:rsidRPr="003A0D0B">
        <w:rPr>
          <w:rFonts w:ascii="Arabic Typesetting" w:hAnsi="Arabic Typesetting" w:cs="Arabic Typesetting" w:hint="cs"/>
          <w:sz w:val="34"/>
          <w:szCs w:val="34"/>
          <w:rtl/>
          <w:lang w:val="fr-CH"/>
        </w:rPr>
        <w:t xml:space="preserve">لم </w:t>
      </w:r>
      <w:r w:rsidRPr="003A0D0B">
        <w:rPr>
          <w:rFonts w:ascii="Arabic Typesetting" w:hAnsi="Arabic Typesetting" w:cs="Arabic Typesetting" w:hint="cs"/>
          <w:sz w:val="34"/>
          <w:szCs w:val="34"/>
          <w:rtl/>
          <w:lang w:bidi="ar-EG"/>
        </w:rPr>
        <w:t>يتجاوز</w:t>
      </w:r>
      <w:r w:rsidRPr="003A0D0B">
        <w:rPr>
          <w:rFonts w:ascii="Arabic Typesetting" w:hAnsi="Arabic Typesetting" w:cs="Arabic Typesetting" w:hint="cs"/>
          <w:sz w:val="34"/>
          <w:szCs w:val="34"/>
          <w:rtl/>
          <w:lang w:val="fr-CH"/>
        </w:rPr>
        <w:t xml:space="preserve"> </w:t>
      </w:r>
      <w:r>
        <w:rPr>
          <w:rFonts w:ascii="Arabic Typesetting" w:hAnsi="Arabic Typesetting" w:cs="Arabic Typesetting" w:hint="cs"/>
          <w:sz w:val="34"/>
          <w:szCs w:val="34"/>
          <w:rtl/>
          <w:lang w:val="fr-CH"/>
        </w:rPr>
        <w:t>استخدام</w:t>
      </w:r>
      <w:r w:rsidRPr="003A0D0B">
        <w:rPr>
          <w:rFonts w:ascii="Arabic Typesetting" w:hAnsi="Arabic Typesetting" w:cs="Arabic Typesetting" w:hint="cs"/>
          <w:sz w:val="34"/>
          <w:szCs w:val="34"/>
          <w:rtl/>
          <w:lang w:val="fr-CH"/>
        </w:rPr>
        <w:t xml:space="preserve"> الميزانية النسبة المتوقعة للثنائية.</w:t>
      </w:r>
    </w:p>
    <w:p w:rsidR="00B31868" w:rsidRPr="00C25C25" w:rsidRDefault="00B31868" w:rsidP="00FE0236">
      <w:pPr>
        <w:pStyle w:val="Heading3AR"/>
        <w:spacing w:after="120"/>
        <w:rPr>
          <w:rtl/>
        </w:rPr>
      </w:pPr>
      <w:bookmarkStart w:id="65" w:name="_Toc450635342"/>
      <w:bookmarkStart w:id="66" w:name="_Toc450635596"/>
      <w:bookmarkStart w:id="67" w:name="_Toc455393381"/>
      <w:r w:rsidRPr="00C25C25">
        <w:rPr>
          <w:rtl/>
        </w:rPr>
        <w:lastRenderedPageBreak/>
        <w:t xml:space="preserve">البرنامج </w:t>
      </w:r>
      <w:r w:rsidRPr="00C25C25">
        <w:rPr>
          <w:rFonts w:hint="cs"/>
          <w:rtl/>
        </w:rPr>
        <w:t>30</w:t>
      </w:r>
      <w:r w:rsidR="00365D19" w:rsidRPr="00C25C25">
        <w:rPr>
          <w:rFonts w:hint="cs"/>
          <w:rtl/>
        </w:rPr>
        <w:t>:</w:t>
      </w:r>
      <w:r w:rsidRPr="00C25C25">
        <w:rPr>
          <w:rtl/>
        </w:rPr>
        <w:tab/>
        <w:t>الشركات الصغيرة والمتوسطة والابتكار</w:t>
      </w:r>
      <w:bookmarkEnd w:id="65"/>
      <w:bookmarkEnd w:id="66"/>
      <w:bookmarkEnd w:id="67"/>
    </w:p>
    <w:p w:rsidR="00B31868" w:rsidRPr="00086C3F" w:rsidRDefault="00086C3F" w:rsidP="00FE0236">
      <w:pPr>
        <w:keepNext/>
        <w:bidi/>
        <w:spacing w:after="240" w:line="340" w:lineRule="exact"/>
        <w:ind w:left="1984" w:hanging="1984"/>
        <w:rPr>
          <w:rFonts w:ascii="Arabic Typesetting" w:hAnsi="Arabic Typesetting" w:cs="Arabic Typesetting"/>
          <w:b/>
          <w:bCs/>
          <w:sz w:val="36"/>
          <w:szCs w:val="36"/>
          <w:rtl/>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rtl/>
          <w:lang w:val="fr-CH"/>
        </w:rPr>
        <w:tab/>
      </w:r>
      <w:r w:rsidR="00B31868" w:rsidRPr="00086C3F">
        <w:rPr>
          <w:rFonts w:ascii="Arabic Typesetting" w:hAnsi="Arabic Typesetting" w:cs="Arabic Typesetting" w:hint="cs"/>
          <w:b/>
          <w:bCs/>
          <w:sz w:val="36"/>
          <w:szCs w:val="36"/>
          <w:rtl/>
          <w:lang w:val="fr-CH"/>
        </w:rPr>
        <w:t>المدير العام</w:t>
      </w:r>
    </w:p>
    <w:p w:rsidR="00086C3F" w:rsidRDefault="00086C3F" w:rsidP="00FE0236">
      <w:pPr>
        <w:keepNext/>
        <w:bidi/>
        <w:spacing w:before="120"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2A614F" w:rsidRPr="00285760" w:rsidRDefault="002A614F" w:rsidP="002A614F">
      <w:pPr>
        <w:keepNext/>
        <w:bidi/>
        <w:spacing w:after="120" w:line="360" w:lineRule="exact"/>
        <w:rPr>
          <w:rFonts w:ascii="Arabic Typesetting" w:hAnsi="Arabic Typesetting" w:cs="Arabic Typesetting"/>
          <w:sz w:val="34"/>
          <w:szCs w:val="34"/>
          <w:rtl/>
          <w:lang w:bidi="ar-EG"/>
        </w:rPr>
      </w:pPr>
      <w:r w:rsidRPr="00285760">
        <w:rPr>
          <w:rFonts w:ascii="Arabic Typesetting" w:hAnsi="Arabic Typesetting" w:cs="Arabic Typesetting" w:hint="cs"/>
          <w:sz w:val="34"/>
          <w:szCs w:val="34"/>
          <w:rtl/>
          <w:lang w:val="fr-CH"/>
        </w:rPr>
        <w:t>الشركات</w:t>
      </w:r>
      <w:r w:rsidRPr="00285760">
        <w:rPr>
          <w:rFonts w:ascii="Arabic Typesetting" w:hAnsi="Arabic Typesetting" w:cs="Arabic Typesetting"/>
          <w:sz w:val="34"/>
          <w:szCs w:val="34"/>
          <w:rtl/>
          <w:lang w:bidi="ar-EG"/>
        </w:rPr>
        <w:t xml:space="preserve"> الصغيرة والمتوسطة</w:t>
      </w:r>
    </w:p>
    <w:p w:rsidR="002A614F" w:rsidRPr="002A614F" w:rsidRDefault="002A614F" w:rsidP="009A3712">
      <w:pPr>
        <w:numPr>
          <w:ilvl w:val="0"/>
          <w:numId w:val="36"/>
        </w:numPr>
        <w:bidi/>
        <w:spacing w:after="120" w:line="340" w:lineRule="exact"/>
        <w:ind w:left="0" w:firstLine="0"/>
        <w:rPr>
          <w:rFonts w:ascii="Arabic Typesetting" w:hAnsi="Arabic Typesetting" w:cs="Arabic Typesetting"/>
          <w:sz w:val="34"/>
          <w:szCs w:val="34"/>
          <w:lang w:val="fr-CH"/>
        </w:rPr>
      </w:pPr>
      <w:r w:rsidRPr="002A614F">
        <w:rPr>
          <w:rFonts w:ascii="Arabic Typesetting" w:hAnsi="Arabic Typesetting" w:cs="Arabic Typesetting"/>
          <w:sz w:val="34"/>
          <w:szCs w:val="34"/>
          <w:rtl/>
          <w:lang w:val="fr-CH"/>
        </w:rPr>
        <w:t>استمر العمل مع مكاتب الملكية الفكرية الوطنية والإقليمية وغيرها من المؤسسات لمساعدة منظمي المشروعات والشركات الصغيرة والمتوسطة باستخدام نظام الملكية الفكرية من خلال (أ)</w:t>
      </w:r>
      <w:r w:rsidRPr="002A614F">
        <w:rPr>
          <w:rFonts w:ascii="Arabic Typesetting" w:hAnsi="Arabic Typesetting" w:cs="Arabic Typesetting" w:hint="cs"/>
          <w:sz w:val="34"/>
          <w:szCs w:val="34"/>
          <w:rtl/>
          <w:lang w:val="fr-CH"/>
        </w:rPr>
        <w:t> </w:t>
      </w:r>
      <w:r w:rsidRPr="002A614F">
        <w:rPr>
          <w:rFonts w:ascii="Arabic Typesetting" w:hAnsi="Arabic Typesetting" w:cs="Arabic Typesetting"/>
          <w:sz w:val="34"/>
          <w:szCs w:val="34"/>
          <w:rtl/>
          <w:lang w:val="fr-CH"/>
        </w:rPr>
        <w:t xml:space="preserve">تطويع و/أو ترجمة المضمون المعني بالملكية الفكرية من أجل مشروعات الأعمال بما </w:t>
      </w:r>
      <w:r w:rsidRPr="002A614F">
        <w:rPr>
          <w:rFonts w:ascii="Arabic Typesetting" w:hAnsi="Arabic Typesetting" w:cs="Arabic Typesetting"/>
          <w:sz w:val="34"/>
          <w:szCs w:val="34"/>
          <w:rtl/>
          <w:lang w:val="fr-CH" w:bidi="ar-EG"/>
        </w:rPr>
        <w:t>يتفق</w:t>
      </w:r>
      <w:r w:rsidRPr="002A614F">
        <w:rPr>
          <w:rFonts w:ascii="Arabic Typesetting" w:hAnsi="Arabic Typesetting" w:cs="Arabic Typesetting"/>
          <w:sz w:val="34"/>
          <w:szCs w:val="34"/>
          <w:rtl/>
          <w:lang w:val="fr-CH"/>
        </w:rPr>
        <w:t xml:space="preserve"> مع السياق المحلي، (ب)</w:t>
      </w:r>
      <w:r w:rsidRPr="002A614F">
        <w:rPr>
          <w:rFonts w:ascii="Arabic Typesetting" w:hAnsi="Arabic Typesetting" w:cs="Arabic Typesetting" w:hint="cs"/>
          <w:sz w:val="34"/>
          <w:szCs w:val="34"/>
          <w:rtl/>
          <w:lang w:val="fr-CH"/>
        </w:rPr>
        <w:t> و</w:t>
      </w:r>
      <w:r w:rsidRPr="002A614F">
        <w:rPr>
          <w:rFonts w:ascii="Arabic Typesetting" w:hAnsi="Arabic Typesetting" w:cs="Arabic Typesetting"/>
          <w:sz w:val="34"/>
          <w:szCs w:val="34"/>
          <w:rtl/>
          <w:lang w:val="fr-CH"/>
        </w:rPr>
        <w:t xml:space="preserve">برامج تدريب المدربين. ونُظِّم في هذا الصدد </w:t>
      </w:r>
      <w:r w:rsidR="00B53E1E">
        <w:rPr>
          <w:rFonts w:ascii="Arabic Typesetting" w:hAnsi="Arabic Typesetting" w:cs="Arabic Typesetting" w:hint="cs"/>
          <w:sz w:val="34"/>
          <w:szCs w:val="34"/>
          <w:rtl/>
          <w:lang w:val="fr-CH"/>
        </w:rPr>
        <w:t>33</w:t>
      </w:r>
      <w:r w:rsidRPr="002A614F">
        <w:rPr>
          <w:rFonts w:ascii="Arabic Typesetting" w:hAnsi="Arabic Typesetting" w:cs="Arabic Typesetting" w:hint="cs"/>
          <w:sz w:val="34"/>
          <w:szCs w:val="34"/>
          <w:rtl/>
          <w:lang w:val="fr-CH"/>
        </w:rPr>
        <w:t> </w:t>
      </w:r>
      <w:r w:rsidRPr="002A614F">
        <w:rPr>
          <w:rFonts w:ascii="Arabic Typesetting" w:hAnsi="Arabic Typesetting" w:cs="Arabic Typesetting"/>
          <w:sz w:val="34"/>
          <w:szCs w:val="34"/>
          <w:rtl/>
          <w:lang w:val="fr-CH"/>
        </w:rPr>
        <w:t xml:space="preserve">برنامجاً عن إدارة الشركات الصغيرة والمتوسطة لأصول الملكية الفكرية </w:t>
      </w:r>
      <w:r w:rsidR="00502127">
        <w:rPr>
          <w:rFonts w:ascii="Arabic Typesetting" w:hAnsi="Arabic Typesetting" w:cs="Arabic Typesetting" w:hint="cs"/>
          <w:sz w:val="34"/>
          <w:szCs w:val="34"/>
          <w:rtl/>
          <w:lang w:val="fr-CH"/>
        </w:rPr>
        <w:t>إدارةً</w:t>
      </w:r>
      <w:r w:rsidRPr="002A614F">
        <w:rPr>
          <w:rFonts w:ascii="Arabic Typesetting" w:hAnsi="Arabic Typesetting" w:cs="Arabic Typesetting"/>
          <w:sz w:val="34"/>
          <w:szCs w:val="34"/>
          <w:rtl/>
          <w:lang w:val="fr-CH"/>
        </w:rPr>
        <w:t xml:space="preserve"> فعالة، ما أفاد</w:t>
      </w:r>
      <w:r w:rsidRPr="002A614F">
        <w:rPr>
          <w:rFonts w:ascii="Arabic Typesetting" w:hAnsi="Arabic Typesetting" w:cs="Arabic Typesetting" w:hint="cs"/>
          <w:sz w:val="34"/>
          <w:szCs w:val="34"/>
          <w:rtl/>
          <w:lang w:val="fr-CH"/>
        </w:rPr>
        <w:t> </w:t>
      </w:r>
      <w:r w:rsidR="00B53E1E">
        <w:rPr>
          <w:rFonts w:ascii="Arabic Typesetting" w:hAnsi="Arabic Typesetting" w:cs="Arabic Typesetting" w:hint="cs"/>
          <w:sz w:val="34"/>
          <w:szCs w:val="34"/>
          <w:rtl/>
          <w:lang w:val="fr-CH"/>
        </w:rPr>
        <w:t>700</w:t>
      </w:r>
      <w:r w:rsidRPr="002A614F">
        <w:rPr>
          <w:rFonts w:ascii="Arabic Typesetting" w:hAnsi="Arabic Typesetting" w:cs="Arabic Typesetting" w:hint="cs"/>
          <w:sz w:val="34"/>
          <w:szCs w:val="34"/>
          <w:rtl/>
          <w:lang w:val="fr-CH"/>
        </w:rPr>
        <w:t> </w:t>
      </w:r>
      <w:r w:rsidR="00B53E1E">
        <w:rPr>
          <w:rFonts w:ascii="Arabic Typesetting" w:hAnsi="Arabic Typesetting" w:cs="Arabic Typesetting"/>
          <w:sz w:val="34"/>
          <w:szCs w:val="34"/>
          <w:rtl/>
          <w:lang w:val="fr-CH"/>
        </w:rPr>
        <w:t>مشترك</w:t>
      </w:r>
      <w:r w:rsidR="00B53E1E">
        <w:rPr>
          <w:rFonts w:ascii="Arabic Typesetting" w:hAnsi="Arabic Typesetting" w:cs="Arabic Typesetting" w:hint="cs"/>
          <w:sz w:val="34"/>
          <w:szCs w:val="34"/>
          <w:rtl/>
          <w:lang w:val="fr-CH"/>
        </w:rPr>
        <w:t>،</w:t>
      </w:r>
      <w:r w:rsidRPr="002A614F">
        <w:rPr>
          <w:rFonts w:ascii="Arabic Typesetting" w:hAnsi="Arabic Typesetting" w:cs="Arabic Typesetting" w:hint="cs"/>
          <w:sz w:val="34"/>
          <w:szCs w:val="34"/>
          <w:rtl/>
          <w:lang w:val="fr-CH"/>
        </w:rPr>
        <w:t xml:space="preserve"> بهدف إيجاد مجموعة </w:t>
      </w:r>
      <w:r w:rsidR="00502127">
        <w:rPr>
          <w:rFonts w:ascii="Arabic Typesetting" w:hAnsi="Arabic Typesetting" w:cs="Arabic Typesetting" w:hint="cs"/>
          <w:sz w:val="34"/>
          <w:szCs w:val="34"/>
          <w:rtl/>
          <w:lang w:val="fr-CH"/>
        </w:rPr>
        <w:t>كبيرة</w:t>
      </w:r>
      <w:r w:rsidRPr="002A614F">
        <w:rPr>
          <w:rFonts w:ascii="Arabic Typesetting" w:hAnsi="Arabic Typesetting" w:cs="Arabic Typesetting" w:hint="cs"/>
          <w:sz w:val="34"/>
          <w:szCs w:val="34"/>
          <w:rtl/>
          <w:lang w:val="fr-CH"/>
        </w:rPr>
        <w:t xml:space="preserve"> من المدرِّبين في بلدان معينة يمتلكون المعارف والمهارات والخبرات اللازمة لتوفير المساعدات الأساسية للشركات الصغيرة والمتوسطة </w:t>
      </w:r>
      <w:r w:rsidR="002F2D82">
        <w:rPr>
          <w:rFonts w:ascii="Arabic Typesetting" w:hAnsi="Arabic Typesetting" w:cs="Arabic Typesetting" w:hint="cs"/>
          <w:sz w:val="34"/>
          <w:szCs w:val="34"/>
          <w:rtl/>
          <w:lang w:val="fr-CH"/>
        </w:rPr>
        <w:t>في مجال إدارة أصول</w:t>
      </w:r>
      <w:r w:rsidRPr="002A614F">
        <w:rPr>
          <w:rFonts w:ascii="Arabic Typesetting" w:hAnsi="Arabic Typesetting" w:cs="Arabic Typesetting" w:hint="cs"/>
          <w:sz w:val="34"/>
          <w:szCs w:val="34"/>
          <w:rtl/>
          <w:lang w:val="fr-CH"/>
        </w:rPr>
        <w:t xml:space="preserve"> الملكية الفكرية. </w:t>
      </w:r>
      <w:r w:rsidR="002F2D82">
        <w:rPr>
          <w:rFonts w:ascii="Arabic Typesetting" w:hAnsi="Arabic Typesetting" w:cs="Arabic Typesetting" w:hint="cs"/>
          <w:sz w:val="34"/>
          <w:szCs w:val="34"/>
          <w:rtl/>
          <w:lang w:val="fr-CH"/>
        </w:rPr>
        <w:t>و</w:t>
      </w:r>
      <w:r w:rsidRPr="002A614F">
        <w:rPr>
          <w:rFonts w:ascii="Arabic Typesetting" w:hAnsi="Arabic Typesetting" w:cs="Arabic Typesetting" w:hint="cs"/>
          <w:sz w:val="34"/>
          <w:szCs w:val="34"/>
          <w:rtl/>
          <w:lang w:val="fr-CH"/>
        </w:rPr>
        <w:t xml:space="preserve">أسهم البرنامج في النهوض بتمكين المرأة في مجال الملكية الفكرية. وتحقيقاً لذلك، نُظِّمت </w:t>
      </w:r>
      <w:r w:rsidR="002F2D82">
        <w:rPr>
          <w:rFonts w:ascii="Arabic Typesetting" w:hAnsi="Arabic Typesetting" w:cs="Arabic Typesetting" w:hint="cs"/>
          <w:sz w:val="34"/>
          <w:szCs w:val="34"/>
          <w:rtl/>
          <w:lang w:val="fr-CH"/>
        </w:rPr>
        <w:t>حلقتا</w:t>
      </w:r>
      <w:r w:rsidRPr="002A614F">
        <w:rPr>
          <w:rFonts w:ascii="Arabic Typesetting" w:hAnsi="Arabic Typesetting" w:cs="Arabic Typesetting"/>
          <w:sz w:val="34"/>
          <w:szCs w:val="34"/>
          <w:rtl/>
          <w:lang w:val="fr-CH"/>
        </w:rPr>
        <w:t xml:space="preserve"> عمل </w:t>
      </w:r>
      <w:proofErr w:type="spellStart"/>
      <w:r w:rsidR="002F2D82">
        <w:rPr>
          <w:rFonts w:ascii="Arabic Typesetting" w:hAnsi="Arabic Typesetting" w:cs="Arabic Typesetting" w:hint="cs"/>
          <w:sz w:val="34"/>
          <w:szCs w:val="34"/>
          <w:rtl/>
          <w:lang w:val="fr-CH"/>
        </w:rPr>
        <w:t>دولتيان</w:t>
      </w:r>
      <w:proofErr w:type="spellEnd"/>
      <w:r w:rsidRPr="002A614F">
        <w:rPr>
          <w:rFonts w:ascii="Arabic Typesetting" w:hAnsi="Arabic Typesetting" w:cs="Arabic Typesetting"/>
          <w:sz w:val="34"/>
          <w:szCs w:val="34"/>
          <w:rtl/>
          <w:lang w:val="fr-CH"/>
        </w:rPr>
        <w:t xml:space="preserve"> للم</w:t>
      </w:r>
      <w:r w:rsidRPr="002A614F">
        <w:rPr>
          <w:rFonts w:ascii="Arabic Typesetting" w:hAnsi="Arabic Typesetting" w:cs="Arabic Typesetting" w:hint="cs"/>
          <w:sz w:val="34"/>
          <w:szCs w:val="34"/>
          <w:rtl/>
          <w:lang w:val="fr-CH"/>
        </w:rPr>
        <w:t>خترعات ونساء</w:t>
      </w:r>
      <w:r w:rsidRPr="002A614F">
        <w:rPr>
          <w:rFonts w:ascii="Arabic Typesetting" w:hAnsi="Arabic Typesetting" w:cs="Arabic Typesetting"/>
          <w:sz w:val="34"/>
          <w:szCs w:val="34"/>
          <w:rtl/>
          <w:lang w:val="fr-CH"/>
        </w:rPr>
        <w:t xml:space="preserve"> الأعمال</w:t>
      </w:r>
      <w:r w:rsidRPr="002A614F">
        <w:rPr>
          <w:rFonts w:ascii="Arabic Typesetting" w:hAnsi="Arabic Typesetting" w:cs="Arabic Typesetting" w:hint="cs"/>
          <w:sz w:val="34"/>
          <w:szCs w:val="34"/>
          <w:rtl/>
          <w:lang w:val="fr-CH"/>
        </w:rPr>
        <w:t xml:space="preserve"> بالتعاون بين الويبو والمكتب الكوري للملكية الفكرية وا</w:t>
      </w:r>
      <w:r w:rsidRPr="002A614F">
        <w:rPr>
          <w:rFonts w:ascii="Arabic Typesetting" w:hAnsi="Arabic Typesetting" w:cs="Arabic Typesetting"/>
          <w:sz w:val="34"/>
          <w:szCs w:val="34"/>
          <w:rtl/>
          <w:lang w:val="fr-CH"/>
        </w:rPr>
        <w:t>لجمعية الكورية للنساء المخترعات</w:t>
      </w:r>
      <w:r w:rsidRPr="002A614F">
        <w:rPr>
          <w:rFonts w:ascii="Arabic Typesetting" w:hAnsi="Arabic Typesetting" w:cs="Arabic Typesetting" w:hint="cs"/>
          <w:sz w:val="34"/>
          <w:szCs w:val="34"/>
          <w:rtl/>
          <w:lang w:val="fr-CH"/>
        </w:rPr>
        <w:t xml:space="preserve">، وشاركت فيها </w:t>
      </w:r>
      <w:r w:rsidR="002F2D82">
        <w:rPr>
          <w:rFonts w:ascii="Arabic Typesetting" w:hAnsi="Arabic Typesetting" w:cs="Arabic Typesetting" w:hint="cs"/>
          <w:sz w:val="34"/>
          <w:szCs w:val="34"/>
          <w:rtl/>
          <w:lang w:val="fr-CH"/>
        </w:rPr>
        <w:t>236</w:t>
      </w:r>
      <w:r w:rsidRPr="002A614F">
        <w:rPr>
          <w:rFonts w:ascii="Arabic Typesetting" w:hAnsi="Arabic Typesetting" w:cs="Arabic Typesetting" w:hint="eastAsia"/>
          <w:sz w:val="34"/>
          <w:szCs w:val="34"/>
          <w:rtl/>
          <w:lang w:val="fr-CH"/>
        </w:rPr>
        <w:t> </w:t>
      </w:r>
      <w:r w:rsidRPr="002A614F">
        <w:rPr>
          <w:rFonts w:ascii="Arabic Typesetting" w:hAnsi="Arabic Typesetting" w:cs="Arabic Typesetting" w:hint="cs"/>
          <w:sz w:val="34"/>
          <w:szCs w:val="34"/>
          <w:rtl/>
          <w:lang w:val="fr-CH"/>
        </w:rPr>
        <w:t xml:space="preserve">مخترعة وامرأة أعمال من </w:t>
      </w:r>
      <w:r w:rsidR="002F2D82">
        <w:rPr>
          <w:rFonts w:ascii="Arabic Typesetting" w:hAnsi="Arabic Typesetting" w:cs="Arabic Typesetting" w:hint="cs"/>
          <w:sz w:val="34"/>
          <w:szCs w:val="34"/>
          <w:rtl/>
          <w:lang w:val="fr-CH"/>
        </w:rPr>
        <w:t>25</w:t>
      </w:r>
      <w:r w:rsidRPr="002A614F">
        <w:rPr>
          <w:rFonts w:ascii="Arabic Typesetting" w:hAnsi="Arabic Typesetting" w:cs="Arabic Typesetting" w:hint="eastAsia"/>
          <w:sz w:val="34"/>
          <w:szCs w:val="34"/>
          <w:rtl/>
          <w:lang w:val="fr-CH"/>
        </w:rPr>
        <w:t> </w:t>
      </w:r>
      <w:r w:rsidRPr="002A614F">
        <w:rPr>
          <w:rFonts w:ascii="Arabic Typesetting" w:hAnsi="Arabic Typesetting" w:cs="Arabic Typesetting" w:hint="cs"/>
          <w:sz w:val="34"/>
          <w:szCs w:val="34"/>
          <w:rtl/>
          <w:lang w:val="fr-CH"/>
        </w:rPr>
        <w:t>بلداً.</w:t>
      </w:r>
    </w:p>
    <w:p w:rsidR="002F2D82" w:rsidRDefault="002A614F" w:rsidP="009A3712">
      <w:pPr>
        <w:numPr>
          <w:ilvl w:val="0"/>
          <w:numId w:val="36"/>
        </w:numPr>
        <w:bidi/>
        <w:spacing w:after="120" w:line="340" w:lineRule="exact"/>
        <w:ind w:left="0" w:firstLine="0"/>
        <w:rPr>
          <w:rFonts w:ascii="Arabic Typesetting" w:hAnsi="Arabic Typesetting" w:cs="Arabic Typesetting"/>
          <w:sz w:val="34"/>
          <w:szCs w:val="34"/>
          <w:lang w:val="fr-CH"/>
        </w:rPr>
      </w:pPr>
      <w:r w:rsidRPr="002A614F">
        <w:rPr>
          <w:rFonts w:ascii="Arabic Typesetting" w:hAnsi="Arabic Typesetting" w:cs="Arabic Typesetting" w:hint="cs"/>
          <w:sz w:val="34"/>
          <w:szCs w:val="34"/>
          <w:rtl/>
          <w:lang w:val="fr-CH"/>
        </w:rPr>
        <w:t>و</w:t>
      </w:r>
      <w:r w:rsidRPr="002A614F">
        <w:rPr>
          <w:rFonts w:ascii="Arabic Typesetting" w:hAnsi="Arabic Typesetting" w:cs="Arabic Typesetting" w:hint="cs"/>
          <w:sz w:val="34"/>
          <w:szCs w:val="34"/>
          <w:rtl/>
          <w:lang w:val="fr-CH" w:bidi="ar-EG"/>
        </w:rPr>
        <w:t xml:space="preserve">نُشر </w:t>
      </w:r>
      <w:r w:rsidRPr="002A614F">
        <w:rPr>
          <w:rFonts w:ascii="Arabic Typesetting" w:hAnsi="Arabic Typesetting" w:cs="Arabic Typesetting" w:hint="cs"/>
          <w:sz w:val="34"/>
          <w:szCs w:val="34"/>
          <w:rtl/>
          <w:lang w:val="fr-CH"/>
        </w:rPr>
        <w:t>كتاب</w:t>
      </w:r>
      <w:r w:rsidRPr="002A614F">
        <w:rPr>
          <w:rFonts w:ascii="Arabic Typesetting" w:hAnsi="Arabic Typesetting" w:cs="Arabic Typesetting" w:hint="cs"/>
          <w:sz w:val="34"/>
          <w:szCs w:val="34"/>
          <w:rtl/>
          <w:lang w:val="fr-CH" w:bidi="ar-EG"/>
        </w:rPr>
        <w:t xml:space="preserve"> جديد في </w:t>
      </w:r>
      <w:r w:rsidR="00507DE2">
        <w:rPr>
          <w:rFonts w:ascii="Arabic Typesetting" w:hAnsi="Arabic Typesetting" w:cs="Arabic Typesetting" w:hint="cs"/>
          <w:sz w:val="34"/>
          <w:szCs w:val="34"/>
          <w:rtl/>
          <w:lang w:val="fr-CH" w:bidi="ar-EG"/>
        </w:rPr>
        <w:t>2014/15</w:t>
      </w:r>
      <w:r w:rsidRPr="002A614F">
        <w:rPr>
          <w:rFonts w:ascii="Arabic Typesetting" w:hAnsi="Arabic Typesetting" w:cs="Arabic Typesetting" w:hint="cs"/>
          <w:sz w:val="34"/>
          <w:szCs w:val="34"/>
          <w:rtl/>
          <w:lang w:val="fr-CH" w:bidi="ar-EG"/>
        </w:rPr>
        <w:t xml:space="preserve"> عنوانه </w:t>
      </w:r>
      <w:r w:rsidRPr="002A614F">
        <w:rPr>
          <w:rFonts w:ascii="Arabic Typesetting" w:hAnsi="Arabic Typesetting" w:cs="Arabic Typesetting" w:hint="cs"/>
          <w:i/>
          <w:iCs/>
          <w:sz w:val="34"/>
          <w:szCs w:val="34"/>
          <w:rtl/>
          <w:lang w:val="fr-CH" w:bidi="ar-EG"/>
        </w:rPr>
        <w:t xml:space="preserve">"الثقة </w:t>
      </w:r>
      <w:r w:rsidRPr="002A614F">
        <w:rPr>
          <w:rFonts w:ascii="Arabic Typesetting" w:hAnsi="Arabic Typesetting" w:cs="Arabic Typesetting"/>
          <w:i/>
          <w:iCs/>
          <w:sz w:val="34"/>
          <w:szCs w:val="34"/>
          <w:rtl/>
          <w:lang w:val="fr-CH" w:bidi="ar-EG"/>
        </w:rPr>
        <w:t>–</w:t>
      </w:r>
      <w:r w:rsidRPr="002A614F">
        <w:rPr>
          <w:rFonts w:ascii="Arabic Typesetting" w:hAnsi="Arabic Typesetting" w:cs="Arabic Typesetting" w:hint="cs"/>
          <w:i/>
          <w:iCs/>
          <w:sz w:val="34"/>
          <w:szCs w:val="34"/>
          <w:rtl/>
          <w:lang w:val="fr-CH" w:bidi="ar-EG"/>
        </w:rPr>
        <w:t xml:space="preserve"> مدخل إلى الأسرار التجارية للشركات الصغيرة والمتوسطة"</w:t>
      </w:r>
      <w:r w:rsidRPr="002A614F">
        <w:rPr>
          <w:rFonts w:ascii="Arabic Typesetting" w:hAnsi="Arabic Typesetting" w:cs="Arabic Typesetting" w:hint="cs"/>
          <w:sz w:val="34"/>
          <w:szCs w:val="34"/>
          <w:rtl/>
          <w:lang w:val="fr-CH" w:bidi="ar-EG"/>
        </w:rPr>
        <w:t>.</w:t>
      </w:r>
      <w:r w:rsidR="002F2D82" w:rsidRPr="002F2D82">
        <w:rPr>
          <w:rFonts w:ascii="Arabic Typesetting" w:hAnsi="Arabic Typesetting" w:cs="Arabic Typesetting" w:hint="cs"/>
          <w:sz w:val="34"/>
          <w:szCs w:val="34"/>
          <w:rtl/>
          <w:lang w:bidi="ar-EG"/>
        </w:rPr>
        <w:t xml:space="preserve"> </w:t>
      </w:r>
      <w:r w:rsidR="002F2D82">
        <w:rPr>
          <w:rFonts w:ascii="Arabic Typesetting" w:hAnsi="Arabic Typesetting" w:cs="Arabic Typesetting" w:hint="cs"/>
          <w:sz w:val="34"/>
          <w:szCs w:val="34"/>
          <w:rtl/>
          <w:lang w:bidi="ar-EG"/>
        </w:rPr>
        <w:t>و</w:t>
      </w:r>
      <w:r w:rsidR="002F2D82" w:rsidRPr="002A614F">
        <w:rPr>
          <w:rFonts w:ascii="Arabic Typesetting" w:hAnsi="Arabic Typesetting" w:cs="Arabic Typesetting" w:hint="cs"/>
          <w:sz w:val="34"/>
          <w:szCs w:val="34"/>
          <w:rtl/>
          <w:lang w:bidi="ar-EG"/>
        </w:rPr>
        <w:t xml:space="preserve">أسهمت الويبو في إعداد مشروع أولي لكتاب عنوانه </w:t>
      </w:r>
      <w:r w:rsidR="002F2D82" w:rsidRPr="002A614F">
        <w:rPr>
          <w:rFonts w:ascii="Arabic Typesetting" w:hAnsi="Arabic Typesetting" w:cs="Arabic Typesetting" w:hint="cs"/>
          <w:i/>
          <w:iCs/>
          <w:sz w:val="34"/>
          <w:szCs w:val="34"/>
          <w:rtl/>
          <w:lang w:bidi="ar-EG"/>
        </w:rPr>
        <w:t>"الاستفادة من الملكية الفكرية كأصل تجاري استراتيجي (الإدارة الاستراتيجية للملكية</w:t>
      </w:r>
      <w:r w:rsidR="00045C1C">
        <w:rPr>
          <w:rFonts w:ascii="Arabic Typesetting" w:hAnsi="Arabic Typesetting" w:cs="Arabic Typesetting" w:hint="eastAsia"/>
          <w:i/>
          <w:iCs/>
          <w:sz w:val="34"/>
          <w:szCs w:val="34"/>
          <w:rtl/>
          <w:lang w:bidi="ar-EG"/>
        </w:rPr>
        <w:t> </w:t>
      </w:r>
      <w:r w:rsidR="002F2D82" w:rsidRPr="002A614F">
        <w:rPr>
          <w:rFonts w:ascii="Arabic Typesetting" w:hAnsi="Arabic Typesetting" w:cs="Arabic Typesetting" w:hint="cs"/>
          <w:i/>
          <w:iCs/>
          <w:sz w:val="34"/>
          <w:szCs w:val="34"/>
          <w:rtl/>
          <w:lang w:bidi="ar-EG"/>
        </w:rPr>
        <w:t>الفكرية</w:t>
      </w:r>
      <w:r w:rsidR="002F2D82">
        <w:rPr>
          <w:rFonts w:ascii="Arabic Typesetting" w:hAnsi="Arabic Typesetting" w:cs="Arabic Typesetting" w:hint="cs"/>
          <w:i/>
          <w:iCs/>
          <w:sz w:val="34"/>
          <w:szCs w:val="34"/>
          <w:rtl/>
          <w:lang w:bidi="ar-EG"/>
        </w:rPr>
        <w:t>)</w:t>
      </w:r>
      <w:r w:rsidR="002F2D82" w:rsidRPr="002F2D82">
        <w:rPr>
          <w:rFonts w:ascii="Arabic Typesetting" w:hAnsi="Arabic Typesetting" w:cs="Arabic Typesetting" w:hint="cs"/>
          <w:sz w:val="34"/>
          <w:szCs w:val="34"/>
          <w:rtl/>
          <w:lang w:val="fr-CH"/>
        </w:rPr>
        <w:t>.</w:t>
      </w:r>
      <w:r w:rsidR="002F2D82" w:rsidRPr="00F96634">
        <w:rPr>
          <w:rFonts w:ascii="Arabic Typesetting" w:hAnsi="Arabic Typesetting" w:cs="Arabic Typesetting"/>
          <w:i/>
          <w:iCs/>
          <w:sz w:val="28"/>
          <w:szCs w:val="28"/>
          <w:vertAlign w:val="superscript"/>
          <w:rtl/>
          <w:lang w:bidi="ar-EG"/>
        </w:rPr>
        <w:footnoteReference w:id="79"/>
      </w:r>
    </w:p>
    <w:p w:rsidR="002A614F" w:rsidRPr="002A614F" w:rsidRDefault="00502127"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Pr>
          <w:rFonts w:ascii="Arabic Typesetting" w:hAnsi="Arabic Typesetting" w:cs="Arabic Typesetting" w:hint="cs"/>
          <w:sz w:val="34"/>
          <w:szCs w:val="34"/>
          <w:rtl/>
          <w:lang w:bidi="ar-EG"/>
        </w:rPr>
        <w:t>والتحق</w:t>
      </w:r>
      <w:r w:rsidR="002A614F" w:rsidRPr="002A614F">
        <w:rPr>
          <w:rFonts w:ascii="Arabic Typesetting" w:hAnsi="Arabic Typesetting" w:cs="Arabic Typesetting"/>
          <w:sz w:val="34"/>
          <w:szCs w:val="34"/>
          <w:rtl/>
          <w:lang w:bidi="ar-EG"/>
        </w:rPr>
        <w:t xml:space="preserve"> </w:t>
      </w:r>
      <w:r w:rsidR="00F0601A" w:rsidRPr="00F0601A">
        <w:rPr>
          <w:rFonts w:ascii="Arabic Typesetting" w:hAnsi="Arabic Typesetting" w:cs="Arabic Typesetting" w:hint="cs"/>
          <w:sz w:val="34"/>
          <w:szCs w:val="34"/>
          <w:rtl/>
          <w:lang w:bidi="ar-EG"/>
        </w:rPr>
        <w:t>1350</w:t>
      </w:r>
      <w:r w:rsidR="002A614F" w:rsidRPr="002A614F">
        <w:rPr>
          <w:rFonts w:ascii="Arabic Typesetting" w:hAnsi="Arabic Typesetting" w:cs="Arabic Typesetting" w:hint="cs"/>
          <w:sz w:val="34"/>
          <w:szCs w:val="34"/>
          <w:rtl/>
          <w:lang w:bidi="ar-EG"/>
        </w:rPr>
        <w:t xml:space="preserve"> </w:t>
      </w:r>
      <w:r w:rsidR="00F0601A" w:rsidRPr="00F0601A">
        <w:rPr>
          <w:rFonts w:ascii="Arabic Typesetting" w:hAnsi="Arabic Typesetting" w:cs="Arabic Typesetting" w:hint="cs"/>
          <w:sz w:val="34"/>
          <w:szCs w:val="34"/>
          <w:rtl/>
          <w:lang w:bidi="ar-EG"/>
        </w:rPr>
        <w:t>طالباً</w:t>
      </w:r>
      <w:r w:rsidR="002A614F" w:rsidRPr="002A614F">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ب</w:t>
      </w:r>
      <w:r w:rsidR="002A614F" w:rsidRPr="002A614F">
        <w:rPr>
          <w:rFonts w:ascii="Arabic Typesetting" w:hAnsi="Arabic Typesetting" w:cs="Arabic Typesetting"/>
          <w:sz w:val="34"/>
          <w:szCs w:val="34"/>
          <w:rtl/>
          <w:lang w:bidi="ar-EG"/>
        </w:rPr>
        <w:t>دور</w:t>
      </w:r>
      <w:r w:rsidR="00F0601A" w:rsidRPr="00F0601A">
        <w:rPr>
          <w:rFonts w:ascii="Arabic Typesetting" w:hAnsi="Arabic Typesetting" w:cs="Arabic Typesetting" w:hint="cs"/>
          <w:sz w:val="34"/>
          <w:szCs w:val="34"/>
          <w:rtl/>
          <w:lang w:bidi="ar-EG"/>
        </w:rPr>
        <w:t>تين</w:t>
      </w:r>
      <w:r w:rsidR="002A614F" w:rsidRPr="002A614F">
        <w:rPr>
          <w:rFonts w:ascii="Arabic Typesetting" w:hAnsi="Arabic Typesetting" w:cs="Arabic Typesetting"/>
          <w:sz w:val="34"/>
          <w:szCs w:val="34"/>
          <w:rtl/>
          <w:lang w:bidi="ar-EG"/>
        </w:rPr>
        <w:t xml:space="preserve"> </w:t>
      </w:r>
      <w:r w:rsidR="002A614F" w:rsidRPr="002A614F">
        <w:rPr>
          <w:rFonts w:ascii="Arabic Typesetting" w:hAnsi="Arabic Typesetting" w:cs="Arabic Typesetting" w:hint="cs"/>
          <w:sz w:val="34"/>
          <w:szCs w:val="34"/>
          <w:rtl/>
          <w:lang w:bidi="ar-EG"/>
        </w:rPr>
        <w:t>شبك</w:t>
      </w:r>
      <w:r w:rsidR="00F0601A" w:rsidRPr="00F0601A">
        <w:rPr>
          <w:rFonts w:ascii="Arabic Typesetting" w:hAnsi="Arabic Typesetting" w:cs="Arabic Typesetting" w:hint="cs"/>
          <w:sz w:val="34"/>
          <w:szCs w:val="34"/>
          <w:rtl/>
          <w:lang w:bidi="ar-EG"/>
        </w:rPr>
        <w:t>تين باللغة الإنكليزية (709 طلاب في 2014 و641 طالباً في 2015)</w:t>
      </w:r>
      <w:r w:rsidR="002A614F" w:rsidRPr="002A614F">
        <w:rPr>
          <w:rFonts w:ascii="Arabic Typesetting" w:hAnsi="Arabic Typesetting" w:cs="Arabic Typesetting"/>
          <w:sz w:val="34"/>
          <w:szCs w:val="34"/>
          <w:rtl/>
          <w:lang w:bidi="ar-EG"/>
        </w:rPr>
        <w:t xml:space="preserve"> للحصول على شهادة دولية عن إدارة أصول الملكية الفكرية من أجل نجاح المشروعات استنادا إلى </w:t>
      </w:r>
      <w:r w:rsidR="002A614F" w:rsidRPr="002A614F">
        <w:rPr>
          <w:rFonts w:ascii="Arabic Typesetting" w:hAnsi="Arabic Typesetting" w:cs="Arabic Typesetting"/>
          <w:sz w:val="34"/>
          <w:szCs w:val="34"/>
          <w:lang w:bidi="ar-EG"/>
        </w:rPr>
        <w:t>IP PANORAMA</w:t>
      </w:r>
      <w:r w:rsidR="002A614F" w:rsidRPr="002A614F">
        <w:rPr>
          <w:rFonts w:ascii="Arabic Typesetting" w:hAnsi="Arabic Typesetting" w:cs="Arabic Typesetting"/>
          <w:sz w:val="34"/>
          <w:szCs w:val="34"/>
          <w:vertAlign w:val="superscript"/>
          <w:lang w:bidi="ar-EG"/>
        </w:rPr>
        <w:t>TM</w:t>
      </w:r>
      <w:r w:rsidR="002A614F" w:rsidRPr="002A614F">
        <w:rPr>
          <w:rFonts w:ascii="Arabic Typesetting" w:hAnsi="Arabic Typesetting" w:cs="Arabic Typesetting"/>
          <w:sz w:val="34"/>
          <w:szCs w:val="34"/>
          <w:rtl/>
          <w:lang w:bidi="ar-EG"/>
        </w:rPr>
        <w:t xml:space="preserve">، وشارك </w:t>
      </w:r>
      <w:r w:rsidR="00F0601A">
        <w:rPr>
          <w:rFonts w:ascii="Arabic Typesetting" w:hAnsi="Arabic Typesetting" w:cs="Arabic Typesetting" w:hint="cs"/>
          <w:sz w:val="34"/>
          <w:szCs w:val="34"/>
          <w:rtl/>
          <w:lang w:bidi="ar-EG"/>
        </w:rPr>
        <w:t>70</w:t>
      </w:r>
      <w:r w:rsidR="002A614F" w:rsidRPr="002A614F">
        <w:rPr>
          <w:rFonts w:ascii="Arabic Typesetting" w:hAnsi="Arabic Typesetting" w:cs="Arabic Typesetting" w:hint="cs"/>
          <w:sz w:val="34"/>
          <w:szCs w:val="34"/>
          <w:rtl/>
          <w:lang w:bidi="ar-EG"/>
        </w:rPr>
        <w:t xml:space="preserve"> </w:t>
      </w:r>
      <w:r w:rsidR="002A614F" w:rsidRPr="002A614F">
        <w:rPr>
          <w:rFonts w:ascii="Arabic Typesetting" w:hAnsi="Arabic Typesetting" w:cs="Arabic Typesetting"/>
          <w:sz w:val="34"/>
          <w:szCs w:val="34"/>
          <w:rtl/>
          <w:lang w:bidi="ar-EG"/>
        </w:rPr>
        <w:t>طالبا</w:t>
      </w:r>
      <w:r w:rsidR="002A614F" w:rsidRPr="002A614F">
        <w:rPr>
          <w:rFonts w:ascii="Arabic Typesetting" w:hAnsi="Arabic Typesetting" w:cs="Arabic Typesetting" w:hint="cs"/>
          <w:sz w:val="34"/>
          <w:szCs w:val="34"/>
          <w:rtl/>
          <w:lang w:bidi="ar-EG"/>
        </w:rPr>
        <w:t>ً</w:t>
      </w:r>
      <w:r w:rsidR="002A614F" w:rsidRPr="002A614F">
        <w:rPr>
          <w:rFonts w:ascii="Arabic Typesetting" w:hAnsi="Arabic Typesetting" w:cs="Arabic Typesetting"/>
          <w:sz w:val="34"/>
          <w:szCs w:val="34"/>
          <w:rtl/>
          <w:lang w:bidi="ar-EG"/>
        </w:rPr>
        <w:t xml:space="preserve"> بعد</w:t>
      </w:r>
      <w:r w:rsidR="002A614F" w:rsidRPr="002A614F">
        <w:rPr>
          <w:rFonts w:ascii="Arabic Typesetting" w:hAnsi="Arabic Typesetting" w:cs="Arabic Typesetting" w:hint="cs"/>
          <w:sz w:val="34"/>
          <w:szCs w:val="34"/>
          <w:rtl/>
          <w:lang w:bidi="ar-EG"/>
        </w:rPr>
        <w:t>ئذ</w:t>
      </w:r>
      <w:r w:rsidR="002A614F" w:rsidRPr="002A614F">
        <w:rPr>
          <w:rFonts w:ascii="Arabic Typesetting" w:hAnsi="Arabic Typesetting" w:cs="Arabic Typesetting"/>
          <w:sz w:val="34"/>
          <w:szCs w:val="34"/>
          <w:rtl/>
          <w:lang w:bidi="ar-EG"/>
        </w:rPr>
        <w:t xml:space="preserve"> في برنامج </w:t>
      </w:r>
      <w:r w:rsidR="002A614F" w:rsidRPr="002A614F">
        <w:rPr>
          <w:rFonts w:ascii="Arabic Typesetting" w:hAnsi="Arabic Typesetting" w:cs="Arabic Typesetting" w:hint="cs"/>
          <w:sz w:val="34"/>
          <w:szCs w:val="34"/>
          <w:rtl/>
          <w:lang w:bidi="ar-EG"/>
        </w:rPr>
        <w:t>غير شبكي و</w:t>
      </w:r>
      <w:r w:rsidR="002A614F" w:rsidRPr="002A614F">
        <w:rPr>
          <w:rFonts w:ascii="Arabic Typesetting" w:hAnsi="Arabic Typesetting" w:cs="Arabic Typesetting"/>
          <w:sz w:val="34"/>
          <w:szCs w:val="34"/>
          <w:rtl/>
          <w:lang w:bidi="ar-EG"/>
        </w:rPr>
        <w:t>منفصل حول إدارة أصول الملكية الفكرية</w:t>
      </w:r>
      <w:r w:rsidR="002A614F" w:rsidRPr="002A614F">
        <w:rPr>
          <w:rFonts w:ascii="Arabic Typesetting" w:hAnsi="Arabic Typesetting" w:cs="Arabic Typesetting" w:hint="cs"/>
          <w:sz w:val="34"/>
          <w:szCs w:val="34"/>
          <w:rtl/>
          <w:lang w:bidi="ar-EG"/>
        </w:rPr>
        <w:t xml:space="preserve"> عُقد في سيول بجمهورية كوريا وأعدته الويبو </w:t>
      </w:r>
      <w:r w:rsidR="00F0601A">
        <w:rPr>
          <w:rFonts w:ascii="Arabic Typesetting" w:hAnsi="Arabic Typesetting" w:cs="Arabic Typesetting" w:hint="cs"/>
          <w:sz w:val="34"/>
          <w:szCs w:val="34"/>
          <w:rtl/>
          <w:lang w:bidi="ar-EG"/>
        </w:rPr>
        <w:t>و</w:t>
      </w:r>
      <w:r w:rsidR="002A614F" w:rsidRPr="002A614F">
        <w:rPr>
          <w:rFonts w:ascii="Arabic Typesetting" w:hAnsi="Arabic Typesetting" w:cs="Arabic Typesetting" w:hint="cs"/>
          <w:sz w:val="34"/>
          <w:szCs w:val="34"/>
          <w:rtl/>
          <w:lang w:bidi="ar-EG"/>
        </w:rPr>
        <w:t xml:space="preserve">نفذته بالتنسيق مع </w:t>
      </w:r>
      <w:r w:rsidR="002A614F" w:rsidRPr="002A614F">
        <w:rPr>
          <w:rFonts w:ascii="Arabic Typesetting" w:hAnsi="Arabic Typesetting" w:cs="Arabic Typesetting"/>
          <w:sz w:val="34"/>
          <w:szCs w:val="34"/>
          <w:rtl/>
          <w:lang w:val="fr-CH"/>
        </w:rPr>
        <w:t xml:space="preserve">مكتب كوريا للملكية الفكرية </w:t>
      </w:r>
      <w:r w:rsidR="00F0601A" w:rsidRPr="002A614F">
        <w:rPr>
          <w:rFonts w:ascii="Arabic Typesetting" w:hAnsi="Arabic Typesetting" w:cs="Arabic Typesetting"/>
          <w:sz w:val="34"/>
          <w:szCs w:val="34"/>
          <w:rtl/>
          <w:lang w:val="fr-CH"/>
        </w:rPr>
        <w:t xml:space="preserve">وجمعية كوريا للنهوض بالاختراع </w:t>
      </w:r>
      <w:r w:rsidR="002A614F" w:rsidRPr="002A614F">
        <w:rPr>
          <w:rFonts w:ascii="Arabic Typesetting" w:hAnsi="Arabic Typesetting" w:cs="Arabic Typesetting"/>
          <w:sz w:val="34"/>
          <w:szCs w:val="34"/>
          <w:rtl/>
          <w:lang w:val="fr-CH"/>
        </w:rPr>
        <w:t>والمعهد الكوري المتقدم للعلوم والتكنولوجيا</w:t>
      </w:r>
      <w:r w:rsidR="002A614F" w:rsidRPr="002A614F">
        <w:rPr>
          <w:rFonts w:ascii="Arabic Typesetting" w:hAnsi="Arabic Typesetting" w:cs="Arabic Typesetting" w:hint="cs"/>
          <w:sz w:val="34"/>
          <w:szCs w:val="34"/>
          <w:rtl/>
          <w:lang w:val="fr-CH" w:bidi="ar-EG"/>
        </w:rPr>
        <w:t>.</w:t>
      </w:r>
      <w:r w:rsidR="00F0601A">
        <w:rPr>
          <w:rFonts w:ascii="Arabic Typesetting" w:hAnsi="Arabic Typesetting" w:cs="Arabic Typesetting" w:hint="cs"/>
          <w:sz w:val="34"/>
          <w:szCs w:val="34"/>
          <w:rtl/>
          <w:lang w:val="fr-CH" w:bidi="ar-EG"/>
        </w:rPr>
        <w:t xml:space="preserve"> وبدأ</w:t>
      </w:r>
      <w:r>
        <w:rPr>
          <w:rFonts w:ascii="Arabic Typesetting" w:hAnsi="Arabic Typesetting" w:cs="Arabic Typesetting" w:hint="eastAsia"/>
          <w:sz w:val="34"/>
          <w:szCs w:val="34"/>
          <w:rtl/>
          <w:lang w:val="fr-CH" w:bidi="ar-EG"/>
        </w:rPr>
        <w:t> </w:t>
      </w:r>
      <w:r w:rsidR="00F0601A">
        <w:rPr>
          <w:rFonts w:ascii="Arabic Typesetting" w:hAnsi="Arabic Typesetting" w:cs="Arabic Typesetting" w:hint="cs"/>
          <w:sz w:val="34"/>
          <w:szCs w:val="34"/>
          <w:rtl/>
          <w:lang w:val="fr-CH" w:bidi="ar-EG"/>
        </w:rPr>
        <w:t xml:space="preserve">التحضير خلال الثنائية </w:t>
      </w:r>
      <w:r w:rsidR="00507DE2">
        <w:rPr>
          <w:rFonts w:ascii="Arabic Typesetting" w:hAnsi="Arabic Typesetting" w:cs="Arabic Typesetting" w:hint="cs"/>
          <w:sz w:val="34"/>
          <w:szCs w:val="34"/>
          <w:rtl/>
          <w:lang w:val="fr-CH" w:bidi="ar-EG"/>
        </w:rPr>
        <w:t>2016/17</w:t>
      </w:r>
      <w:r w:rsidR="00F0601A">
        <w:rPr>
          <w:rFonts w:ascii="Arabic Typesetting" w:hAnsi="Arabic Typesetting" w:cs="Arabic Typesetting" w:hint="cs"/>
          <w:sz w:val="34"/>
          <w:szCs w:val="34"/>
          <w:rtl/>
          <w:lang w:val="fr-CH" w:bidi="ar-EG"/>
        </w:rPr>
        <w:t xml:space="preserve"> لإطلاق نسخ من الدورة المذكورة باللغات العربية والفرنسية والروسية والإسبانية.</w:t>
      </w:r>
    </w:p>
    <w:p w:rsidR="002A614F" w:rsidRPr="002A614F" w:rsidRDefault="002A614F"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sidRPr="002A614F">
        <w:rPr>
          <w:rFonts w:ascii="Arabic Typesetting" w:hAnsi="Arabic Typesetting" w:cs="Arabic Typesetting"/>
          <w:sz w:val="34"/>
          <w:szCs w:val="34"/>
          <w:rtl/>
          <w:lang w:val="fr-CH" w:bidi="ar-EG"/>
        </w:rPr>
        <w:t>واستمرت الجهود المبذولة لل</w:t>
      </w:r>
      <w:r w:rsidR="00502127">
        <w:rPr>
          <w:rFonts w:ascii="Arabic Typesetting" w:hAnsi="Arabic Typesetting" w:cs="Arabic Typesetting" w:hint="cs"/>
          <w:sz w:val="34"/>
          <w:szCs w:val="34"/>
          <w:rtl/>
          <w:lang w:val="fr-CH" w:bidi="ar-EG"/>
        </w:rPr>
        <w:t>ت</w:t>
      </w:r>
      <w:r w:rsidRPr="002A614F">
        <w:rPr>
          <w:rFonts w:ascii="Arabic Typesetting" w:hAnsi="Arabic Typesetting" w:cs="Arabic Typesetting"/>
          <w:sz w:val="34"/>
          <w:szCs w:val="34"/>
          <w:rtl/>
          <w:lang w:val="fr-CH" w:bidi="ar-EG"/>
        </w:rPr>
        <w:t>و</w:t>
      </w:r>
      <w:r w:rsidR="00502127">
        <w:rPr>
          <w:rFonts w:ascii="Arabic Typesetting" w:hAnsi="Arabic Typesetting" w:cs="Arabic Typesetting" w:hint="cs"/>
          <w:sz w:val="34"/>
          <w:szCs w:val="34"/>
          <w:rtl/>
          <w:lang w:val="fr-CH" w:bidi="ar-EG"/>
        </w:rPr>
        <w:t>ا</w:t>
      </w:r>
      <w:r w:rsidRPr="002A614F">
        <w:rPr>
          <w:rFonts w:ascii="Arabic Typesetting" w:hAnsi="Arabic Typesetting" w:cs="Arabic Typesetting"/>
          <w:sz w:val="34"/>
          <w:szCs w:val="34"/>
          <w:rtl/>
          <w:lang w:val="fr-CH" w:bidi="ar-EG"/>
        </w:rPr>
        <w:t xml:space="preserve">صل مباشرة </w:t>
      </w:r>
      <w:r w:rsidR="00502127">
        <w:rPr>
          <w:rFonts w:ascii="Arabic Typesetting" w:hAnsi="Arabic Typesetting" w:cs="Arabic Typesetting" w:hint="cs"/>
          <w:sz w:val="34"/>
          <w:szCs w:val="34"/>
          <w:rtl/>
          <w:lang w:val="fr-CH" w:bidi="ar-EG"/>
        </w:rPr>
        <w:t>مع ا</w:t>
      </w:r>
      <w:r w:rsidRPr="002A614F">
        <w:rPr>
          <w:rFonts w:ascii="Arabic Typesetting" w:hAnsi="Arabic Typesetting" w:cs="Arabic Typesetting"/>
          <w:sz w:val="34"/>
          <w:szCs w:val="34"/>
          <w:rtl/>
          <w:lang w:val="fr-CH" w:bidi="ar-EG"/>
        </w:rPr>
        <w:t xml:space="preserve">لمشروعات الصغيرة والمتوسطة من خلال موقع الشركات </w:t>
      </w:r>
      <w:r w:rsidRPr="002A614F">
        <w:rPr>
          <w:rFonts w:ascii="Arabic Typesetting" w:hAnsi="Arabic Typesetting" w:cs="Arabic Typesetting"/>
          <w:sz w:val="34"/>
          <w:szCs w:val="34"/>
          <w:rtl/>
          <w:lang w:val="fr-CH"/>
        </w:rPr>
        <w:t>الصغيرة</w:t>
      </w:r>
      <w:r w:rsidRPr="002A614F">
        <w:rPr>
          <w:rFonts w:ascii="Arabic Typesetting" w:hAnsi="Arabic Typesetting" w:cs="Arabic Typesetting"/>
          <w:sz w:val="34"/>
          <w:szCs w:val="34"/>
          <w:rtl/>
          <w:lang w:val="fr-CH" w:bidi="ar-EG"/>
        </w:rPr>
        <w:t xml:space="preserve"> والمتوسطة على الإنترنت بلغات الأمم المتحدة</w:t>
      </w:r>
      <w:r w:rsidRPr="002A614F">
        <w:rPr>
          <w:rFonts w:ascii="Arabic Typesetting" w:hAnsi="Arabic Typesetting" w:cs="Arabic Typesetting" w:hint="cs"/>
          <w:sz w:val="34"/>
          <w:szCs w:val="34"/>
          <w:rtl/>
          <w:lang w:val="fr-CH" w:bidi="ar-EG"/>
        </w:rPr>
        <w:t xml:space="preserve"> الست</w:t>
      </w:r>
      <w:r w:rsidRPr="002A614F">
        <w:rPr>
          <w:rFonts w:ascii="Arabic Typesetting" w:hAnsi="Arabic Typesetting" w:cs="Arabic Typesetting"/>
          <w:sz w:val="34"/>
          <w:szCs w:val="34"/>
          <w:rtl/>
          <w:lang w:val="fr-CH" w:bidi="ar-EG"/>
        </w:rPr>
        <w:t xml:space="preserve"> </w:t>
      </w:r>
      <w:r w:rsidR="00502127">
        <w:rPr>
          <w:rFonts w:ascii="Arabic Typesetting" w:hAnsi="Arabic Typesetting" w:cs="Arabic Typesetting" w:hint="cs"/>
          <w:sz w:val="34"/>
          <w:szCs w:val="34"/>
          <w:rtl/>
          <w:lang w:val="fr-CH" w:bidi="ar-EG"/>
        </w:rPr>
        <w:t xml:space="preserve">فضلاً عن </w:t>
      </w:r>
      <w:r w:rsidRPr="002A614F">
        <w:rPr>
          <w:rFonts w:ascii="Arabic Typesetting" w:hAnsi="Arabic Typesetting" w:cs="Arabic Typesetting"/>
          <w:sz w:val="34"/>
          <w:szCs w:val="34"/>
          <w:rtl/>
          <w:lang w:val="fr-CH" w:bidi="ar-EG"/>
        </w:rPr>
        <w:t>الرسال</w:t>
      </w:r>
      <w:r w:rsidR="00F0601A">
        <w:rPr>
          <w:rFonts w:ascii="Arabic Typesetting" w:hAnsi="Arabic Typesetting" w:cs="Arabic Typesetting"/>
          <w:sz w:val="34"/>
          <w:szCs w:val="34"/>
          <w:rtl/>
          <w:lang w:val="fr-CH" w:bidi="ar-EG"/>
        </w:rPr>
        <w:t>ة الإخبارية الإلكترونية الشهرية</w:t>
      </w:r>
      <w:r w:rsidR="00F0601A">
        <w:rPr>
          <w:rFonts w:ascii="Arabic Typesetting" w:hAnsi="Arabic Typesetting" w:cs="Arabic Typesetting" w:hint="cs"/>
          <w:sz w:val="34"/>
          <w:szCs w:val="34"/>
          <w:rtl/>
          <w:lang w:val="fr-CH" w:bidi="ar-EG"/>
        </w:rPr>
        <w:t>. وغيِّرت شروط الاشتراك في النشرة الإخبارية في عام</w:t>
      </w:r>
      <w:r w:rsidR="00F0601A">
        <w:rPr>
          <w:rFonts w:ascii="Arabic Typesetting" w:hAnsi="Arabic Typesetting" w:cs="Arabic Typesetting" w:hint="eastAsia"/>
          <w:sz w:val="34"/>
          <w:szCs w:val="34"/>
          <w:rtl/>
          <w:lang w:val="fr-CH" w:bidi="ar-EG"/>
        </w:rPr>
        <w:t> </w:t>
      </w:r>
      <w:r w:rsidR="00F0601A">
        <w:rPr>
          <w:rFonts w:ascii="Arabic Typesetting" w:hAnsi="Arabic Typesetting" w:cs="Arabic Typesetting" w:hint="cs"/>
          <w:sz w:val="34"/>
          <w:szCs w:val="34"/>
          <w:rtl/>
          <w:lang w:val="fr-CH" w:bidi="ar-EG"/>
        </w:rPr>
        <w:t xml:space="preserve">2015 بغية </w:t>
      </w:r>
      <w:r w:rsidR="00E0023B">
        <w:rPr>
          <w:rFonts w:ascii="Arabic Typesetting" w:hAnsi="Arabic Typesetting" w:cs="Arabic Typesetting" w:hint="cs"/>
          <w:sz w:val="34"/>
          <w:szCs w:val="34"/>
          <w:rtl/>
          <w:lang w:val="fr-CH" w:bidi="ar-EG"/>
        </w:rPr>
        <w:t>استقطاب</w:t>
      </w:r>
      <w:r w:rsidR="00F0601A">
        <w:rPr>
          <w:rFonts w:ascii="Arabic Typesetting" w:hAnsi="Arabic Typesetting" w:cs="Arabic Typesetting" w:hint="cs"/>
          <w:sz w:val="34"/>
          <w:szCs w:val="34"/>
          <w:rtl/>
          <w:lang w:val="fr-CH" w:bidi="ar-EG"/>
        </w:rPr>
        <w:t xml:space="preserve"> قاعدة </w:t>
      </w:r>
      <w:r w:rsidR="00E0023B">
        <w:rPr>
          <w:rFonts w:ascii="Arabic Typesetting" w:hAnsi="Arabic Typesetting" w:cs="Arabic Typesetting" w:hint="cs"/>
          <w:sz w:val="34"/>
          <w:szCs w:val="34"/>
          <w:rtl/>
          <w:lang w:val="fr-CH" w:bidi="ar-EG"/>
        </w:rPr>
        <w:t>المستخدمين المستهدفين،</w:t>
      </w:r>
      <w:r w:rsidR="00F0601A">
        <w:rPr>
          <w:rFonts w:ascii="Arabic Typesetting" w:hAnsi="Arabic Typesetting" w:cs="Arabic Typesetting" w:hint="cs"/>
          <w:sz w:val="34"/>
          <w:szCs w:val="34"/>
          <w:rtl/>
          <w:lang w:val="fr-CH" w:bidi="ar-EG"/>
        </w:rPr>
        <w:t xml:space="preserve"> </w:t>
      </w:r>
      <w:r w:rsidR="00E0023B">
        <w:rPr>
          <w:rFonts w:ascii="Arabic Typesetting" w:hAnsi="Arabic Typesetting" w:cs="Arabic Typesetting" w:hint="cs"/>
          <w:sz w:val="34"/>
          <w:szCs w:val="34"/>
          <w:rtl/>
          <w:lang w:val="fr-CH" w:bidi="ar-EG"/>
        </w:rPr>
        <w:t>ومن ثم اضطر</w:t>
      </w:r>
      <w:r w:rsidR="00F0601A">
        <w:rPr>
          <w:rFonts w:ascii="Arabic Typesetting" w:hAnsi="Arabic Typesetting" w:cs="Arabic Typesetting" w:hint="cs"/>
          <w:sz w:val="34"/>
          <w:szCs w:val="34"/>
          <w:rtl/>
          <w:lang w:val="fr-CH" w:bidi="ar-EG"/>
        </w:rPr>
        <w:t xml:space="preserve"> المشتركين السابقين </w:t>
      </w:r>
      <w:r w:rsidR="00E0023B">
        <w:rPr>
          <w:rFonts w:ascii="Arabic Typesetting" w:hAnsi="Arabic Typesetting" w:cs="Arabic Typesetting" w:hint="cs"/>
          <w:sz w:val="34"/>
          <w:szCs w:val="34"/>
          <w:rtl/>
          <w:lang w:val="fr-CH" w:bidi="ar-EG"/>
        </w:rPr>
        <w:t>ل</w:t>
      </w:r>
      <w:r w:rsidR="00F0601A">
        <w:rPr>
          <w:rFonts w:ascii="Arabic Typesetting" w:hAnsi="Arabic Typesetting" w:cs="Arabic Typesetting" w:hint="cs"/>
          <w:sz w:val="34"/>
          <w:szCs w:val="34"/>
          <w:rtl/>
          <w:lang w:val="fr-CH" w:bidi="ar-EG"/>
        </w:rPr>
        <w:t>لاشتراك مجدداً.</w:t>
      </w:r>
      <w:r w:rsidR="00E0023B">
        <w:rPr>
          <w:rFonts w:ascii="Arabic Typesetting" w:hAnsi="Arabic Typesetting" w:cs="Arabic Typesetting" w:hint="cs"/>
          <w:sz w:val="34"/>
          <w:szCs w:val="34"/>
          <w:rtl/>
          <w:lang w:val="fr-CH" w:bidi="ar-EG"/>
        </w:rPr>
        <w:t xml:space="preserve"> وأدى</w:t>
      </w:r>
      <w:r w:rsidR="00502127">
        <w:rPr>
          <w:rFonts w:ascii="Arabic Typesetting" w:hAnsi="Arabic Typesetting" w:cs="Arabic Typesetting" w:hint="eastAsia"/>
          <w:sz w:val="34"/>
          <w:szCs w:val="34"/>
          <w:rtl/>
          <w:lang w:val="fr-CH" w:bidi="ar-EG"/>
        </w:rPr>
        <w:t> </w:t>
      </w:r>
      <w:r w:rsidR="00E0023B">
        <w:rPr>
          <w:rFonts w:ascii="Arabic Typesetting" w:hAnsi="Arabic Typesetting" w:cs="Arabic Typesetting" w:hint="cs"/>
          <w:sz w:val="34"/>
          <w:szCs w:val="34"/>
          <w:rtl/>
          <w:lang w:val="fr-CH" w:bidi="ar-EG"/>
        </w:rPr>
        <w:t>ذلك إلى حذف عدد كبير من المشتركين غير النشطتين من قائمة توزيع النشرة الإخبارية ما تمخض عن قاعدة مستخدمين أصغر حجماً ولكن أكثر تركيزاً.</w:t>
      </w:r>
      <w:r w:rsidRPr="002A614F">
        <w:rPr>
          <w:rFonts w:ascii="Arabic Typesetting" w:hAnsi="Arabic Typesetting" w:cs="Arabic Typesetting" w:hint="cs"/>
          <w:sz w:val="34"/>
          <w:szCs w:val="34"/>
          <w:rtl/>
          <w:lang w:val="fr-CH" w:bidi="ar-EG"/>
        </w:rPr>
        <w:t xml:space="preserve"> وأُعدت خمس دراسات إفرادية جديدة عن الملكية الفكرية للشركات الصغيرة والمتوسطة تتناول الموضوعات التالية: "1" </w:t>
      </w:r>
      <w:r w:rsidRPr="002A614F">
        <w:rPr>
          <w:rFonts w:ascii="Arabic Typesetting" w:hAnsi="Arabic Typesetting" w:cs="Arabic Typesetting"/>
          <w:sz w:val="34"/>
          <w:szCs w:val="34"/>
          <w:lang w:bidi="ar-EG"/>
        </w:rPr>
        <w:t>Ezequiel </w:t>
      </w:r>
      <w:proofErr w:type="spellStart"/>
      <w:r w:rsidRPr="002A614F">
        <w:rPr>
          <w:rFonts w:ascii="Arabic Typesetting" w:hAnsi="Arabic Typesetting" w:cs="Arabic Typesetting"/>
          <w:sz w:val="34"/>
          <w:szCs w:val="34"/>
          <w:lang w:bidi="ar-EG"/>
        </w:rPr>
        <w:t>Farca</w:t>
      </w:r>
      <w:proofErr w:type="spellEnd"/>
      <w:r w:rsidRPr="002A614F">
        <w:rPr>
          <w:rFonts w:ascii="Arabic Typesetting" w:hAnsi="Arabic Typesetting" w:cs="Arabic Typesetting" w:hint="cs"/>
          <w:sz w:val="34"/>
          <w:szCs w:val="34"/>
          <w:rtl/>
          <w:lang w:bidi="ar-EG"/>
        </w:rPr>
        <w:t xml:space="preserve"> (المكسيك)؛ "2" </w:t>
      </w:r>
      <w:proofErr w:type="spellStart"/>
      <w:r w:rsidRPr="002A614F">
        <w:rPr>
          <w:rFonts w:ascii="Arabic Typesetting" w:hAnsi="Arabic Typesetting" w:cs="Arabic Typesetting"/>
          <w:sz w:val="34"/>
          <w:szCs w:val="34"/>
          <w:lang w:bidi="ar-EG"/>
        </w:rPr>
        <w:t>Haldiram</w:t>
      </w:r>
      <w:proofErr w:type="spellEnd"/>
      <w:r w:rsidRPr="002A614F">
        <w:rPr>
          <w:rFonts w:ascii="Arabic Typesetting" w:hAnsi="Arabic Typesetting" w:cs="Arabic Typesetting" w:hint="cs"/>
          <w:sz w:val="34"/>
          <w:szCs w:val="34"/>
          <w:rtl/>
          <w:lang w:bidi="ar-EG"/>
        </w:rPr>
        <w:t xml:space="preserve"> (الهند)؛ "3" </w:t>
      </w:r>
      <w:proofErr w:type="spellStart"/>
      <w:r w:rsidRPr="002A614F">
        <w:rPr>
          <w:rFonts w:ascii="Arabic Typesetting" w:hAnsi="Arabic Typesetting" w:cs="Arabic Typesetting"/>
          <w:sz w:val="34"/>
          <w:szCs w:val="34"/>
          <w:lang w:bidi="ar-EG"/>
        </w:rPr>
        <w:t>WonderEight</w:t>
      </w:r>
      <w:proofErr w:type="spellEnd"/>
      <w:r w:rsidRPr="002A614F">
        <w:rPr>
          <w:rFonts w:ascii="Arabic Typesetting" w:hAnsi="Arabic Typesetting" w:cs="Arabic Typesetting" w:hint="cs"/>
          <w:sz w:val="34"/>
          <w:szCs w:val="34"/>
          <w:rtl/>
          <w:lang w:bidi="ar-EG"/>
        </w:rPr>
        <w:t xml:space="preserve"> (لبنان)؛ "4" توفير برمجيات ميسورة التكلفة للمشروعات الصغيرة: </w:t>
      </w:r>
      <w:r w:rsidRPr="002A614F">
        <w:rPr>
          <w:rFonts w:ascii="Arabic Typesetting" w:hAnsi="Arabic Typesetting" w:cs="Arabic Typesetting"/>
          <w:sz w:val="34"/>
          <w:szCs w:val="34"/>
          <w:lang w:bidi="ar-EG"/>
        </w:rPr>
        <w:t>HSCO LLP</w:t>
      </w:r>
      <w:r w:rsidRPr="002A614F">
        <w:rPr>
          <w:rFonts w:ascii="Arabic Typesetting" w:hAnsi="Arabic Typesetting" w:cs="Arabic Typesetting" w:hint="cs"/>
          <w:sz w:val="34"/>
          <w:szCs w:val="34"/>
          <w:rtl/>
          <w:lang w:bidi="ar-EG"/>
        </w:rPr>
        <w:t xml:space="preserve"> (المملكة المتحدة/الأردن)؛ "5" ضمان التدفق الآمن للطاقة </w:t>
      </w:r>
      <w:r w:rsidRPr="002A614F">
        <w:rPr>
          <w:rFonts w:ascii="Arabic Typesetting" w:hAnsi="Arabic Typesetting" w:cs="Arabic Typesetting"/>
          <w:sz w:val="34"/>
          <w:szCs w:val="34"/>
          <w:rtl/>
          <w:lang w:bidi="ar-EG"/>
        </w:rPr>
        <w:t>–</w:t>
      </w:r>
      <w:r w:rsidRPr="002A614F">
        <w:rPr>
          <w:rFonts w:ascii="Arabic Typesetting" w:hAnsi="Arabic Typesetting" w:cs="Arabic Typesetting" w:hint="cs"/>
          <w:sz w:val="34"/>
          <w:szCs w:val="34"/>
          <w:rtl/>
          <w:lang w:bidi="ar-EG"/>
        </w:rPr>
        <w:t xml:space="preserve"> </w:t>
      </w:r>
      <w:proofErr w:type="spellStart"/>
      <w:r w:rsidRPr="002A614F">
        <w:rPr>
          <w:rFonts w:ascii="Arabic Typesetting" w:hAnsi="Arabic Typesetting" w:cs="Arabic Typesetting"/>
          <w:sz w:val="34"/>
          <w:szCs w:val="34"/>
          <w:lang w:bidi="ar-EG"/>
        </w:rPr>
        <w:t>PipeWay</w:t>
      </w:r>
      <w:proofErr w:type="spellEnd"/>
      <w:r w:rsidRPr="002A614F">
        <w:rPr>
          <w:rFonts w:ascii="Arabic Typesetting" w:hAnsi="Arabic Typesetting" w:cs="Arabic Typesetting"/>
          <w:sz w:val="34"/>
          <w:szCs w:val="34"/>
          <w:lang w:bidi="ar-EG"/>
        </w:rPr>
        <w:t> </w:t>
      </w:r>
      <w:proofErr w:type="spellStart"/>
      <w:r w:rsidRPr="002A614F">
        <w:rPr>
          <w:rFonts w:ascii="Arabic Typesetting" w:hAnsi="Arabic Typesetting" w:cs="Arabic Typesetting"/>
          <w:sz w:val="34"/>
          <w:szCs w:val="34"/>
          <w:lang w:bidi="ar-EG"/>
        </w:rPr>
        <w:t>Engenharia</w:t>
      </w:r>
      <w:proofErr w:type="spellEnd"/>
      <w:r w:rsidRPr="002A614F">
        <w:rPr>
          <w:rFonts w:ascii="Arabic Typesetting" w:hAnsi="Arabic Typesetting" w:cs="Arabic Typesetting" w:hint="cs"/>
          <w:sz w:val="34"/>
          <w:szCs w:val="34"/>
          <w:rtl/>
          <w:lang w:bidi="ar-EG"/>
        </w:rPr>
        <w:t xml:space="preserve"> (البرازيل)، ونشرت الدراستان "4 و5" على قاعدة البيانات </w:t>
      </w:r>
      <w:r w:rsidRPr="002A614F">
        <w:rPr>
          <w:rFonts w:ascii="Arabic Typesetting" w:hAnsi="Arabic Typesetting" w:cs="Arabic Typesetting"/>
          <w:sz w:val="34"/>
          <w:szCs w:val="34"/>
          <w:lang w:bidi="ar-EG"/>
        </w:rPr>
        <w:t>IP Advantage</w:t>
      </w:r>
      <w:r w:rsidRPr="002A614F">
        <w:rPr>
          <w:rFonts w:ascii="Arabic Typesetting" w:hAnsi="Arabic Typesetting" w:cs="Arabic Typesetting" w:hint="cs"/>
          <w:sz w:val="34"/>
          <w:szCs w:val="34"/>
          <w:rtl/>
          <w:lang w:bidi="ar-EG"/>
        </w:rPr>
        <w:t>.</w:t>
      </w:r>
    </w:p>
    <w:p w:rsidR="002A614F" w:rsidRPr="002A614F" w:rsidRDefault="002A614F" w:rsidP="009A3712">
      <w:pPr>
        <w:keepLines/>
        <w:numPr>
          <w:ilvl w:val="0"/>
          <w:numId w:val="36"/>
        </w:numPr>
        <w:bidi/>
        <w:spacing w:after="120" w:line="340" w:lineRule="exact"/>
        <w:ind w:left="0" w:firstLine="0"/>
        <w:rPr>
          <w:rFonts w:ascii="Arabic Typesetting" w:hAnsi="Arabic Typesetting" w:cs="Arabic Typesetting"/>
          <w:sz w:val="34"/>
          <w:szCs w:val="34"/>
          <w:lang w:val="fr-CH" w:bidi="ar-EG"/>
        </w:rPr>
      </w:pPr>
      <w:r w:rsidRPr="002A614F">
        <w:rPr>
          <w:rFonts w:ascii="Arabic Typesetting" w:hAnsi="Arabic Typesetting" w:cs="Arabic Typesetting" w:hint="cs"/>
          <w:sz w:val="34"/>
          <w:szCs w:val="34"/>
          <w:rtl/>
          <w:lang w:val="fr-CH" w:bidi="ar-EG"/>
        </w:rPr>
        <w:lastRenderedPageBreak/>
        <w:t xml:space="preserve">وتماشياً مع توصيات جدول أعمال التنمية 1 و4 و10 و11، نظَّم البرنامج </w:t>
      </w:r>
      <w:r w:rsidR="00E0023B" w:rsidRPr="00B011A1">
        <w:rPr>
          <w:rFonts w:ascii="Arabic Typesetting" w:hAnsi="Arabic Typesetting" w:cs="Arabic Typesetting" w:hint="cs"/>
          <w:sz w:val="34"/>
          <w:szCs w:val="34"/>
          <w:rtl/>
          <w:lang w:val="fr-CH" w:bidi="ar-EG"/>
        </w:rPr>
        <w:t>40</w:t>
      </w:r>
      <w:r w:rsidRPr="002A614F">
        <w:rPr>
          <w:rFonts w:ascii="Arabic Typesetting" w:hAnsi="Arabic Typesetting" w:cs="Arabic Typesetting" w:hint="cs"/>
          <w:sz w:val="34"/>
          <w:szCs w:val="34"/>
          <w:rtl/>
          <w:lang w:val="fr-CH" w:bidi="ar-EG"/>
        </w:rPr>
        <w:t xml:space="preserve"> ندوة أو حلقة عمل أو برنامج تدريب للمدربين</w:t>
      </w:r>
      <w:r w:rsidR="00D90D65">
        <w:rPr>
          <w:rFonts w:ascii="Arabic Typesetting" w:hAnsi="Arabic Typesetting" w:cs="Arabic Typesetting" w:hint="cs"/>
          <w:sz w:val="34"/>
          <w:szCs w:val="34"/>
          <w:rtl/>
          <w:lang w:val="fr-CH" w:bidi="ar-EG"/>
        </w:rPr>
        <w:t xml:space="preserve"> أو شارك فيها؛ وتناولت هذه الدورات </w:t>
      </w:r>
      <w:r w:rsidRPr="002A614F">
        <w:rPr>
          <w:rFonts w:ascii="Arabic Typesetting" w:hAnsi="Arabic Typesetting" w:cs="Arabic Typesetting" w:hint="cs"/>
          <w:sz w:val="34"/>
          <w:szCs w:val="34"/>
          <w:rtl/>
          <w:lang w:val="fr-CH" w:bidi="ar-EG"/>
        </w:rPr>
        <w:t xml:space="preserve">إدارة الملكية الفكرية في الشركات الصغيرة والمتوسطة في </w:t>
      </w:r>
      <w:r w:rsidR="00E0023B" w:rsidRPr="00B011A1">
        <w:rPr>
          <w:rFonts w:ascii="Arabic Typesetting" w:hAnsi="Arabic Typesetting" w:cs="Arabic Typesetting" w:hint="cs"/>
          <w:sz w:val="34"/>
          <w:szCs w:val="34"/>
          <w:rtl/>
          <w:lang w:val="fr-CH" w:bidi="ar-EG"/>
        </w:rPr>
        <w:t>30</w:t>
      </w:r>
      <w:r w:rsidRPr="002A614F">
        <w:rPr>
          <w:rFonts w:ascii="Arabic Typesetting" w:hAnsi="Arabic Typesetting" w:cs="Arabic Typesetting" w:hint="cs"/>
          <w:sz w:val="34"/>
          <w:szCs w:val="34"/>
          <w:rtl/>
          <w:lang w:val="fr-CH" w:bidi="ar-EG"/>
        </w:rPr>
        <w:t xml:space="preserve"> بلداً تنتمي غالبيتها إلى البلدان النامية والبلدان الأقل نمواً في أفريقيا والمنطقة العربية وآسيا والمحيط الهادئ وأمريكا اللاتينية والكاري</w:t>
      </w:r>
      <w:r w:rsidR="00502127">
        <w:rPr>
          <w:rFonts w:ascii="Arabic Typesetting" w:hAnsi="Arabic Typesetting" w:cs="Arabic Typesetting" w:hint="cs"/>
          <w:sz w:val="34"/>
          <w:szCs w:val="34"/>
          <w:rtl/>
          <w:lang w:val="fr-CH" w:bidi="ar-EG"/>
        </w:rPr>
        <w:t>بي</w:t>
      </w:r>
      <w:r w:rsidR="00B011A1" w:rsidRPr="00B011A1">
        <w:rPr>
          <w:rFonts w:ascii="Arabic Typesetting" w:hAnsi="Arabic Typesetting" w:cs="Arabic Typesetting" w:hint="cs"/>
          <w:sz w:val="34"/>
          <w:szCs w:val="34"/>
          <w:rtl/>
          <w:lang w:val="fr-CH" w:bidi="ar-EG"/>
        </w:rPr>
        <w:t xml:space="preserve"> والبلدان التي تمر اقتصاداتها بمرحلة انتقالية</w:t>
      </w:r>
      <w:r w:rsidRPr="002A614F">
        <w:rPr>
          <w:rFonts w:ascii="Arabic Typesetting" w:hAnsi="Arabic Typesetting" w:cs="Arabic Typesetting" w:hint="cs"/>
          <w:sz w:val="34"/>
          <w:szCs w:val="34"/>
          <w:rtl/>
          <w:lang w:val="fr-CH" w:bidi="ar-EG"/>
        </w:rPr>
        <w:t xml:space="preserve">. </w:t>
      </w:r>
      <w:r w:rsidR="00B011A1" w:rsidRPr="00B011A1">
        <w:rPr>
          <w:rFonts w:ascii="Arabic Typesetting" w:hAnsi="Arabic Typesetting" w:cs="Arabic Typesetting" w:hint="cs"/>
          <w:sz w:val="34"/>
          <w:szCs w:val="34"/>
          <w:rtl/>
          <w:lang w:val="fr-CH" w:bidi="ar-EG"/>
        </w:rPr>
        <w:t>وقدَّم</w:t>
      </w:r>
      <w:r w:rsidRPr="002A614F">
        <w:rPr>
          <w:rFonts w:ascii="Arabic Typesetting" w:hAnsi="Arabic Typesetting" w:cs="Arabic Typesetting" w:hint="cs"/>
          <w:sz w:val="34"/>
          <w:szCs w:val="34"/>
          <w:rtl/>
          <w:lang w:val="fr-CH" w:bidi="ar-EG"/>
        </w:rPr>
        <w:t xml:space="preserve"> هذه البرام</w:t>
      </w:r>
      <w:r w:rsidR="00B011A1" w:rsidRPr="00B011A1">
        <w:rPr>
          <w:rFonts w:ascii="Arabic Typesetting" w:hAnsi="Arabic Typesetting" w:cs="Arabic Typesetting" w:hint="cs"/>
          <w:sz w:val="34"/>
          <w:szCs w:val="34"/>
          <w:rtl/>
          <w:lang w:val="fr-CH" w:bidi="ar-EG"/>
        </w:rPr>
        <w:t xml:space="preserve">ج 29 خبيراً ومتحدثاً من 13 بلداً نامياً و4 من البلدان التي تمر اقتصاداتها بمرحلة انتقالية و12 بلداً متقدماً، لفائدة نحو 2000 ممثل من الشركات الصغيرة والمتوسطة والمؤسسات الداعمة لها في 93 بلداً منها 21 بلداً من البلدان الأقل نمواً و56 من البلدان النامية و16 من البلدان التي تمر اقتصاداتها بمرحلة انتقالية. </w:t>
      </w:r>
      <w:r w:rsidR="00B011A1">
        <w:rPr>
          <w:rFonts w:ascii="Arabic Typesetting" w:hAnsi="Arabic Typesetting" w:cs="Arabic Typesetting" w:hint="cs"/>
          <w:sz w:val="34"/>
          <w:szCs w:val="34"/>
          <w:rtl/>
          <w:lang w:val="fr-CH" w:bidi="ar-EG"/>
        </w:rPr>
        <w:t xml:space="preserve">وباتت </w:t>
      </w:r>
      <w:r w:rsidRPr="002A614F">
        <w:rPr>
          <w:rFonts w:ascii="Arabic Typesetting" w:hAnsi="Arabic Typesetting" w:cs="Arabic Typesetting"/>
          <w:sz w:val="34"/>
          <w:szCs w:val="34"/>
          <w:rtl/>
          <w:lang w:val="fr-CH" w:bidi="ar-EG"/>
        </w:rPr>
        <w:t>مكاتب الملكية الفكرية و/أو الغرف التجارية للدول الأعضاء المعنية</w:t>
      </w:r>
      <w:r w:rsidRPr="002A614F">
        <w:rPr>
          <w:rFonts w:ascii="Arabic Typesetting" w:hAnsi="Arabic Typesetting" w:cs="Arabic Typesetting" w:hint="cs"/>
          <w:sz w:val="34"/>
          <w:szCs w:val="34"/>
          <w:rtl/>
          <w:lang w:val="fr-CH" w:bidi="ar-EG"/>
        </w:rPr>
        <w:t xml:space="preserve"> </w:t>
      </w:r>
      <w:r w:rsidR="00B011A1">
        <w:rPr>
          <w:rFonts w:ascii="Arabic Typesetting" w:hAnsi="Arabic Typesetting" w:cs="Arabic Typesetting" w:hint="cs"/>
          <w:sz w:val="34"/>
          <w:szCs w:val="34"/>
          <w:rtl/>
          <w:lang w:val="fr-CH" w:bidi="ar-EG"/>
        </w:rPr>
        <w:t xml:space="preserve">تؤدي دوراً أكبر </w:t>
      </w:r>
      <w:r w:rsidRPr="002A614F">
        <w:rPr>
          <w:rFonts w:ascii="Arabic Typesetting" w:hAnsi="Arabic Typesetting" w:cs="Arabic Typesetting" w:hint="cs"/>
          <w:sz w:val="34"/>
          <w:szCs w:val="34"/>
          <w:rtl/>
          <w:lang w:val="fr-CH" w:bidi="ar-EG"/>
        </w:rPr>
        <w:t>في هذا الصدد إذ أصبحت تشارك</w:t>
      </w:r>
      <w:r w:rsidRPr="002A614F">
        <w:rPr>
          <w:rFonts w:ascii="Arabic Typesetting" w:hAnsi="Arabic Typesetting" w:cs="Arabic Typesetting"/>
          <w:sz w:val="34"/>
          <w:szCs w:val="34"/>
          <w:rtl/>
          <w:lang w:val="fr-CH" w:bidi="ar-EG"/>
        </w:rPr>
        <w:t xml:space="preserve"> مشاركة وثيقة في مرحلة التخطيط و</w:t>
      </w:r>
      <w:r w:rsidRPr="002A614F">
        <w:rPr>
          <w:rFonts w:ascii="Arabic Typesetting" w:hAnsi="Arabic Typesetting" w:cs="Arabic Typesetting" w:hint="cs"/>
          <w:sz w:val="34"/>
          <w:szCs w:val="34"/>
          <w:rtl/>
          <w:lang w:val="fr-CH" w:bidi="ar-EG"/>
        </w:rPr>
        <w:t xml:space="preserve">أسهمت إسهاماً جليلاً في </w:t>
      </w:r>
      <w:r w:rsidR="00B011A1">
        <w:rPr>
          <w:rFonts w:ascii="Arabic Typesetting" w:hAnsi="Arabic Typesetting" w:cs="Arabic Typesetting" w:hint="cs"/>
          <w:sz w:val="34"/>
          <w:szCs w:val="34"/>
          <w:rtl/>
          <w:lang w:val="fr-CH" w:bidi="ar-EG"/>
        </w:rPr>
        <w:t>مراحل وضع</w:t>
      </w:r>
      <w:r w:rsidRPr="002A614F">
        <w:rPr>
          <w:rFonts w:ascii="Arabic Typesetting" w:hAnsi="Arabic Typesetting" w:cs="Arabic Typesetting"/>
          <w:sz w:val="34"/>
          <w:szCs w:val="34"/>
          <w:rtl/>
          <w:lang w:val="fr-CH" w:bidi="ar-EG"/>
        </w:rPr>
        <w:t xml:space="preserve"> البرامج وتنفيذها، بما في ذلك اختيار المتحدثين وموضوعات البرامج.</w:t>
      </w:r>
      <w:r w:rsidRPr="002A614F">
        <w:rPr>
          <w:rFonts w:ascii="Arabic Typesetting" w:hAnsi="Arabic Typesetting" w:cs="Arabic Typesetting" w:hint="cs"/>
          <w:sz w:val="34"/>
          <w:szCs w:val="34"/>
          <w:rtl/>
          <w:lang w:val="fr-CH" w:bidi="ar-EG"/>
        </w:rPr>
        <w:t xml:space="preserve"> </w:t>
      </w:r>
      <w:r w:rsidR="00B011A1">
        <w:rPr>
          <w:rFonts w:ascii="Arabic Typesetting" w:hAnsi="Arabic Typesetting" w:cs="Arabic Typesetting" w:hint="cs"/>
          <w:sz w:val="34"/>
          <w:szCs w:val="34"/>
          <w:rtl/>
          <w:lang w:val="fr-CH" w:bidi="ar-EG"/>
        </w:rPr>
        <w:t>وتماشياً مع</w:t>
      </w:r>
      <w:r w:rsidRPr="002A614F">
        <w:rPr>
          <w:rFonts w:ascii="Arabic Typesetting" w:hAnsi="Arabic Typesetting" w:cs="Arabic Typesetting"/>
          <w:sz w:val="34"/>
          <w:szCs w:val="34"/>
          <w:rtl/>
          <w:lang w:val="fr-CH" w:bidi="ar-EG"/>
        </w:rPr>
        <w:t xml:space="preserve"> </w:t>
      </w:r>
      <w:r w:rsidR="00B011A1">
        <w:rPr>
          <w:rFonts w:ascii="Arabic Typesetting" w:hAnsi="Arabic Typesetting" w:cs="Arabic Typesetting" w:hint="cs"/>
          <w:sz w:val="34"/>
          <w:szCs w:val="34"/>
          <w:rtl/>
          <w:lang w:val="fr-CH" w:bidi="ar-EG"/>
        </w:rPr>
        <w:t>ا</w:t>
      </w:r>
      <w:r w:rsidRPr="002A614F">
        <w:rPr>
          <w:rFonts w:ascii="Arabic Typesetting" w:hAnsi="Arabic Typesetting" w:cs="Arabic Typesetting"/>
          <w:sz w:val="34"/>
          <w:szCs w:val="34"/>
          <w:rtl/>
          <w:lang w:val="fr-CH" w:bidi="ar-EG"/>
        </w:rPr>
        <w:t xml:space="preserve">لتوصية 4، شمل برنامج تدريب المدربين تنظيم </w:t>
      </w:r>
      <w:r w:rsidR="00D90D65">
        <w:rPr>
          <w:rFonts w:ascii="Arabic Typesetting" w:hAnsi="Arabic Typesetting" w:cs="Arabic Typesetting" w:hint="cs"/>
          <w:sz w:val="34"/>
          <w:szCs w:val="34"/>
          <w:rtl/>
          <w:lang w:val="fr-CH" w:bidi="ar-EG"/>
        </w:rPr>
        <w:t>مناقشة</w:t>
      </w:r>
      <w:r w:rsidRPr="002A614F">
        <w:rPr>
          <w:rFonts w:ascii="Arabic Typesetting" w:hAnsi="Arabic Typesetting" w:cs="Arabic Typesetting"/>
          <w:sz w:val="34"/>
          <w:szCs w:val="34"/>
          <w:rtl/>
          <w:lang w:val="fr-CH" w:bidi="ar-EG"/>
        </w:rPr>
        <w:t xml:space="preserve"> </w:t>
      </w:r>
      <w:r w:rsidR="00B011A1">
        <w:rPr>
          <w:rFonts w:ascii="Arabic Typesetting" w:hAnsi="Arabic Typesetting" w:cs="Arabic Typesetting" w:hint="cs"/>
          <w:sz w:val="34"/>
          <w:szCs w:val="34"/>
          <w:rtl/>
          <w:lang w:val="fr-CH" w:bidi="ar-EG"/>
        </w:rPr>
        <w:t>عن إزكاء الوعي بالملكية الفكرية واستخدامها في الشركات الصغيرة والمتوسطة</w:t>
      </w:r>
      <w:r w:rsidR="00D90D65">
        <w:rPr>
          <w:rFonts w:ascii="Arabic Typesetting" w:hAnsi="Arabic Typesetting" w:cs="Arabic Typesetting" w:hint="cs"/>
          <w:sz w:val="34"/>
          <w:szCs w:val="34"/>
          <w:rtl/>
          <w:lang w:val="fr-CH" w:bidi="ar-EG"/>
        </w:rPr>
        <w:t>؛</w:t>
      </w:r>
      <w:r w:rsidR="00B011A1">
        <w:rPr>
          <w:rFonts w:ascii="Arabic Typesetting" w:hAnsi="Arabic Typesetting" w:cs="Arabic Typesetting" w:hint="cs"/>
          <w:sz w:val="34"/>
          <w:szCs w:val="34"/>
          <w:rtl/>
          <w:lang w:val="fr-CH" w:bidi="ar-EG"/>
        </w:rPr>
        <w:t xml:space="preserve"> </w:t>
      </w:r>
      <w:r w:rsidR="00D90D65">
        <w:rPr>
          <w:rFonts w:ascii="Arabic Typesetting" w:hAnsi="Arabic Typesetting" w:cs="Arabic Typesetting" w:hint="cs"/>
          <w:sz w:val="34"/>
          <w:szCs w:val="34"/>
          <w:rtl/>
          <w:lang w:val="fr-CH" w:bidi="ar-EG"/>
        </w:rPr>
        <w:t>و</w:t>
      </w:r>
      <w:r w:rsidR="00B011A1">
        <w:rPr>
          <w:rFonts w:ascii="Arabic Typesetting" w:hAnsi="Arabic Typesetting" w:cs="Arabic Typesetting" w:hint="cs"/>
          <w:sz w:val="34"/>
          <w:szCs w:val="34"/>
          <w:rtl/>
          <w:lang w:val="fr-CH" w:bidi="ar-EG"/>
        </w:rPr>
        <w:t>حُددت</w:t>
      </w:r>
      <w:r w:rsidRPr="002A614F">
        <w:rPr>
          <w:rFonts w:ascii="Arabic Typesetting" w:hAnsi="Arabic Typesetting" w:cs="Arabic Typesetting"/>
          <w:sz w:val="34"/>
          <w:szCs w:val="34"/>
          <w:rtl/>
          <w:lang w:val="fr-CH" w:bidi="ar-EG"/>
        </w:rPr>
        <w:t xml:space="preserve"> </w:t>
      </w:r>
      <w:r w:rsidR="00D90D65">
        <w:rPr>
          <w:rFonts w:ascii="Arabic Typesetting" w:hAnsi="Arabic Typesetting" w:cs="Arabic Typesetting" w:hint="cs"/>
          <w:sz w:val="34"/>
          <w:szCs w:val="34"/>
          <w:rtl/>
          <w:lang w:val="fr-CH" w:bidi="ar-EG"/>
        </w:rPr>
        <w:t xml:space="preserve">في هذا الإطار </w:t>
      </w:r>
      <w:r w:rsidRPr="002A614F">
        <w:rPr>
          <w:rFonts w:ascii="Arabic Typesetting" w:hAnsi="Arabic Typesetting" w:cs="Arabic Typesetting"/>
          <w:sz w:val="34"/>
          <w:szCs w:val="34"/>
          <w:rtl/>
          <w:lang w:val="fr-CH" w:bidi="ar-EG"/>
        </w:rPr>
        <w:t>التحديات التي تواجه الشركات الصغيرة والمتوسطة واقتُرحت فيها خ</w:t>
      </w:r>
      <w:r w:rsidR="00B011A1">
        <w:rPr>
          <w:rFonts w:ascii="Arabic Typesetting" w:hAnsi="Arabic Typesetting" w:cs="Arabic Typesetting" w:hint="cs"/>
          <w:sz w:val="34"/>
          <w:szCs w:val="34"/>
          <w:rtl/>
          <w:lang w:val="fr-CH" w:bidi="ar-EG"/>
        </w:rPr>
        <w:t>ا</w:t>
      </w:r>
      <w:r w:rsidRPr="002A614F">
        <w:rPr>
          <w:rFonts w:ascii="Arabic Typesetting" w:hAnsi="Arabic Typesetting" w:cs="Arabic Typesetting"/>
          <w:sz w:val="34"/>
          <w:szCs w:val="34"/>
          <w:rtl/>
          <w:lang w:val="fr-CH" w:bidi="ar-EG"/>
        </w:rPr>
        <w:t xml:space="preserve">رطة طريق </w:t>
      </w:r>
      <w:r w:rsidR="00B011A1">
        <w:rPr>
          <w:rFonts w:ascii="Arabic Typesetting" w:hAnsi="Arabic Typesetting" w:cs="Arabic Typesetting" w:hint="cs"/>
          <w:sz w:val="34"/>
          <w:szCs w:val="34"/>
          <w:rtl/>
          <w:lang w:val="fr-CH" w:bidi="ar-EG"/>
        </w:rPr>
        <w:t>لمواجهة</w:t>
      </w:r>
      <w:r w:rsidRPr="002A614F">
        <w:rPr>
          <w:rFonts w:ascii="Arabic Typesetting" w:hAnsi="Arabic Typesetting" w:cs="Arabic Typesetting"/>
          <w:sz w:val="34"/>
          <w:szCs w:val="34"/>
          <w:rtl/>
          <w:lang w:val="fr-CH" w:bidi="ar-EG"/>
        </w:rPr>
        <w:t xml:space="preserve"> تلك التحديات.</w:t>
      </w:r>
    </w:p>
    <w:p w:rsidR="002A614F" w:rsidRPr="002A614F" w:rsidRDefault="002A614F" w:rsidP="002A614F">
      <w:pPr>
        <w:keepNext/>
        <w:bidi/>
        <w:spacing w:after="120" w:line="360" w:lineRule="exact"/>
        <w:rPr>
          <w:rFonts w:ascii="Arabic Typesetting" w:hAnsi="Arabic Typesetting" w:cs="Arabic Typesetting"/>
          <w:sz w:val="34"/>
          <w:szCs w:val="34"/>
          <w:rtl/>
          <w:lang w:val="fr-CH" w:bidi="ar-EG"/>
        </w:rPr>
      </w:pPr>
      <w:r w:rsidRPr="002A614F">
        <w:rPr>
          <w:rFonts w:ascii="Arabic Typesetting" w:hAnsi="Arabic Typesetting" w:cs="Arabic Typesetting" w:hint="cs"/>
          <w:sz w:val="34"/>
          <w:szCs w:val="34"/>
          <w:rtl/>
          <w:lang w:val="fr-CH" w:bidi="ar-EG"/>
        </w:rPr>
        <w:t>سياسة الابتكار</w:t>
      </w:r>
    </w:p>
    <w:p w:rsidR="002A614F" w:rsidRDefault="002A614F"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sidRPr="002A614F">
        <w:rPr>
          <w:rFonts w:ascii="Arabic Typesetting" w:hAnsi="Arabic Typesetting" w:cs="Arabic Typesetting" w:hint="cs"/>
          <w:sz w:val="34"/>
          <w:szCs w:val="34"/>
          <w:rtl/>
          <w:lang w:val="fr-CH" w:bidi="ar-EG"/>
        </w:rPr>
        <w:t xml:space="preserve">استمر العمل، </w:t>
      </w:r>
      <w:r w:rsidR="009E7C4C" w:rsidRPr="009E7C4C">
        <w:rPr>
          <w:rFonts w:ascii="Arabic Typesetting" w:hAnsi="Arabic Typesetting" w:cs="Arabic Typesetting" w:hint="cs"/>
          <w:sz w:val="34"/>
          <w:szCs w:val="34"/>
          <w:rtl/>
          <w:lang w:val="fr-CH" w:bidi="ar-EG"/>
        </w:rPr>
        <w:t xml:space="preserve">خلال الثنائية، على </w:t>
      </w:r>
      <w:r w:rsidRPr="002A614F">
        <w:rPr>
          <w:rFonts w:ascii="Arabic Typesetting" w:hAnsi="Arabic Typesetting" w:cs="Arabic Typesetting" w:hint="cs"/>
          <w:sz w:val="34"/>
          <w:szCs w:val="34"/>
          <w:rtl/>
          <w:lang w:val="fr-CH" w:bidi="ar-EG"/>
        </w:rPr>
        <w:t xml:space="preserve">تحديد المجالات التي </w:t>
      </w:r>
      <w:r w:rsidR="00754DA1">
        <w:rPr>
          <w:rFonts w:ascii="Arabic Typesetting" w:hAnsi="Arabic Typesetting" w:cs="Arabic Typesetting" w:hint="cs"/>
          <w:sz w:val="34"/>
          <w:szCs w:val="34"/>
          <w:rtl/>
          <w:lang w:val="fr-CH" w:bidi="ar-EG"/>
        </w:rPr>
        <w:t xml:space="preserve">تشهد تأثيراً متبادلاً بين </w:t>
      </w:r>
      <w:r w:rsidRPr="002A614F">
        <w:rPr>
          <w:rFonts w:ascii="Arabic Typesetting" w:hAnsi="Arabic Typesetting" w:cs="Arabic Typesetting" w:hint="cs"/>
          <w:sz w:val="34"/>
          <w:szCs w:val="34"/>
          <w:rtl/>
          <w:lang w:val="fr-CH" w:bidi="ar-EG"/>
        </w:rPr>
        <w:t xml:space="preserve">سياسات الابتكار </w:t>
      </w:r>
      <w:r w:rsidR="00754DA1">
        <w:rPr>
          <w:rFonts w:ascii="Arabic Typesetting" w:hAnsi="Arabic Typesetting" w:cs="Arabic Typesetting" w:hint="cs"/>
          <w:sz w:val="34"/>
          <w:szCs w:val="34"/>
          <w:rtl/>
          <w:lang w:val="fr-CH" w:bidi="ar-EG"/>
        </w:rPr>
        <w:t>و</w:t>
      </w:r>
      <w:r w:rsidRPr="002A614F">
        <w:rPr>
          <w:rFonts w:ascii="Arabic Typesetting" w:hAnsi="Arabic Typesetting" w:cs="Arabic Typesetting" w:hint="cs"/>
          <w:sz w:val="34"/>
          <w:szCs w:val="34"/>
          <w:rtl/>
          <w:lang w:val="fr-CH" w:bidi="ar-EG"/>
        </w:rPr>
        <w:t>الملكية الفكرية. وبعد</w:t>
      </w:r>
      <w:r w:rsidR="00754DA1">
        <w:rPr>
          <w:rFonts w:ascii="Arabic Typesetting" w:hAnsi="Arabic Typesetting" w:cs="Arabic Typesetting" w:hint="eastAsia"/>
          <w:sz w:val="34"/>
          <w:szCs w:val="34"/>
          <w:rtl/>
          <w:lang w:val="fr-CH" w:bidi="ar-EG"/>
        </w:rPr>
        <w:t> </w:t>
      </w:r>
      <w:r w:rsidRPr="002A614F">
        <w:rPr>
          <w:rFonts w:ascii="Arabic Typesetting" w:hAnsi="Arabic Typesetting" w:cs="Arabic Typesetting" w:hint="cs"/>
          <w:sz w:val="34"/>
          <w:szCs w:val="34"/>
          <w:rtl/>
          <w:lang w:val="fr-CH" w:bidi="ar-EG"/>
        </w:rPr>
        <w:t xml:space="preserve">النجاح في تنفيذ المشروع التجريبي الرامي إلى إدماج الملكية الفكرية في وضع سياسات الابتكار والذي نُفِّذ في صربيا خلال الثنائية </w:t>
      </w:r>
      <w:r w:rsidR="009E7C4C" w:rsidRPr="009E7C4C">
        <w:rPr>
          <w:rFonts w:ascii="Arabic Typesetting" w:hAnsi="Arabic Typesetting" w:cs="Arabic Typesetting" w:hint="cs"/>
          <w:sz w:val="34"/>
          <w:szCs w:val="34"/>
          <w:rtl/>
          <w:lang w:val="fr-CH" w:bidi="ar-EG"/>
        </w:rPr>
        <w:t>السابقة</w:t>
      </w:r>
      <w:r w:rsidRPr="002A614F">
        <w:rPr>
          <w:rFonts w:ascii="Arabic Typesetting" w:hAnsi="Arabic Typesetting" w:cs="Arabic Typesetting" w:hint="cs"/>
          <w:sz w:val="34"/>
          <w:szCs w:val="34"/>
          <w:rtl/>
          <w:lang w:val="fr-CH" w:bidi="ar-EG"/>
        </w:rPr>
        <w:t xml:space="preserve">، أطلقت مشروعات وطنية في الكاميرون </w:t>
      </w:r>
      <w:r w:rsidR="009E7C4C" w:rsidRPr="009E7C4C">
        <w:rPr>
          <w:rFonts w:ascii="Arabic Typesetting" w:hAnsi="Arabic Typesetting" w:cs="Arabic Typesetting" w:hint="cs"/>
          <w:sz w:val="34"/>
          <w:szCs w:val="34"/>
          <w:rtl/>
          <w:lang w:val="fr-CH" w:bidi="ar-EG"/>
        </w:rPr>
        <w:t xml:space="preserve">وجامايكا </w:t>
      </w:r>
      <w:r w:rsidRPr="002A614F">
        <w:rPr>
          <w:rFonts w:ascii="Arabic Typesetting" w:hAnsi="Arabic Typesetting" w:cs="Arabic Typesetting" w:hint="cs"/>
          <w:sz w:val="34"/>
          <w:szCs w:val="34"/>
          <w:rtl/>
          <w:lang w:val="fr-CH" w:bidi="ar-EG"/>
        </w:rPr>
        <w:t xml:space="preserve">ورواندا وسري </w:t>
      </w:r>
      <w:proofErr w:type="spellStart"/>
      <w:r w:rsidRPr="002A614F">
        <w:rPr>
          <w:rFonts w:ascii="Arabic Typesetting" w:hAnsi="Arabic Typesetting" w:cs="Arabic Typesetting" w:hint="cs"/>
          <w:sz w:val="34"/>
          <w:szCs w:val="34"/>
          <w:rtl/>
          <w:lang w:val="fr-CH" w:bidi="ar-EG"/>
        </w:rPr>
        <w:t>لانكا</w:t>
      </w:r>
      <w:proofErr w:type="spellEnd"/>
      <w:r w:rsidRPr="002A614F">
        <w:rPr>
          <w:rFonts w:ascii="Arabic Typesetting" w:hAnsi="Arabic Typesetting" w:cs="Arabic Typesetting" w:hint="cs"/>
          <w:sz w:val="34"/>
          <w:szCs w:val="34"/>
          <w:rtl/>
          <w:lang w:val="fr-CH" w:bidi="ar-EG"/>
        </w:rPr>
        <w:t xml:space="preserve"> وترينيداد وتوباغو. وتسعى هذه </w:t>
      </w:r>
      <w:r w:rsidR="009E7C4C">
        <w:rPr>
          <w:rFonts w:ascii="Arabic Typesetting" w:hAnsi="Arabic Typesetting" w:cs="Arabic Typesetting" w:hint="cs"/>
          <w:sz w:val="34"/>
          <w:szCs w:val="34"/>
          <w:rtl/>
          <w:lang w:val="fr-CH" w:bidi="ar-EG"/>
        </w:rPr>
        <w:t>المشروعات</w:t>
      </w:r>
      <w:r w:rsidRPr="002A614F">
        <w:rPr>
          <w:rFonts w:ascii="Arabic Typesetting" w:hAnsi="Arabic Typesetting" w:cs="Arabic Typesetting" w:hint="cs"/>
          <w:sz w:val="34"/>
          <w:szCs w:val="34"/>
          <w:rtl/>
          <w:lang w:val="fr-CH" w:bidi="ar-EG"/>
        </w:rPr>
        <w:t xml:space="preserve"> إلى رصد نظام الابتكار في البلدان المختارة وتحديد الجهات الفاعلة الرئيسية في هذا المجال ومشاركتهم في نظام الابتكار وإدراكهم لنظام الملكية الفكرية واعتمادهم عليه والفجوات والاحتياجات التي تواجه نظام الابتكار من حيث الملكية الفكرية</w:t>
      </w:r>
      <w:r w:rsidR="009E7C4C">
        <w:rPr>
          <w:rFonts w:ascii="Arabic Typesetting" w:hAnsi="Arabic Typesetting" w:cs="Arabic Typesetting" w:hint="cs"/>
          <w:sz w:val="34"/>
          <w:szCs w:val="34"/>
          <w:rtl/>
          <w:lang w:val="fr-CH" w:bidi="ar-EG"/>
        </w:rPr>
        <w:t>. وكان الهدف هو</w:t>
      </w:r>
      <w:r w:rsidRPr="002A614F">
        <w:rPr>
          <w:rFonts w:ascii="Arabic Typesetting" w:hAnsi="Arabic Typesetting" w:cs="Arabic Typesetting" w:hint="cs"/>
          <w:sz w:val="34"/>
          <w:szCs w:val="34"/>
          <w:rtl/>
          <w:lang w:val="fr-CH" w:bidi="ar-EG"/>
        </w:rPr>
        <w:t xml:space="preserve"> </w:t>
      </w:r>
      <w:r w:rsidR="00754DA1">
        <w:rPr>
          <w:rFonts w:ascii="Arabic Typesetting" w:hAnsi="Arabic Typesetting" w:cs="Arabic Typesetting" w:hint="cs"/>
          <w:sz w:val="34"/>
          <w:szCs w:val="34"/>
          <w:rtl/>
          <w:lang w:val="fr-CH" w:bidi="ar-EG"/>
        </w:rPr>
        <w:t>اكتساب</w:t>
      </w:r>
      <w:r w:rsidRPr="002A614F">
        <w:rPr>
          <w:rFonts w:ascii="Arabic Typesetting" w:hAnsi="Arabic Typesetting" w:cs="Arabic Typesetting" w:hint="cs"/>
          <w:sz w:val="34"/>
          <w:szCs w:val="34"/>
          <w:rtl/>
          <w:lang w:val="fr-CH" w:bidi="ar-EG"/>
        </w:rPr>
        <w:t xml:space="preserve"> المزيد من الخبرة </w:t>
      </w:r>
      <w:r w:rsidR="00754DA1">
        <w:rPr>
          <w:rFonts w:ascii="Arabic Typesetting" w:hAnsi="Arabic Typesetting" w:cs="Arabic Typesetting" w:hint="cs"/>
          <w:sz w:val="34"/>
          <w:szCs w:val="34"/>
          <w:rtl/>
          <w:lang w:val="fr-CH" w:bidi="ar-EG"/>
        </w:rPr>
        <w:t xml:space="preserve">في </w:t>
      </w:r>
      <w:r w:rsidRPr="002A614F">
        <w:rPr>
          <w:rFonts w:ascii="Arabic Typesetting" w:hAnsi="Arabic Typesetting" w:cs="Arabic Typesetting" w:hint="cs"/>
          <w:sz w:val="34"/>
          <w:szCs w:val="34"/>
          <w:rtl/>
          <w:lang w:val="fr-CH" w:bidi="ar-EG"/>
        </w:rPr>
        <w:t xml:space="preserve">وضع استراتيجيات وطنية أكثر فعالية في مجال الملكية الفكرية فضلاً عن الإسهام في </w:t>
      </w:r>
      <w:r w:rsidR="00754DA1">
        <w:rPr>
          <w:rFonts w:ascii="Arabic Typesetting" w:hAnsi="Arabic Typesetting" w:cs="Arabic Typesetting" w:hint="cs"/>
          <w:sz w:val="34"/>
          <w:szCs w:val="34"/>
          <w:rtl/>
          <w:lang w:val="fr-CH" w:bidi="ar-EG"/>
        </w:rPr>
        <w:t>استحداث</w:t>
      </w:r>
      <w:r w:rsidRPr="002A614F">
        <w:rPr>
          <w:rFonts w:ascii="Arabic Typesetting" w:hAnsi="Arabic Typesetting" w:cs="Arabic Typesetting" w:hint="cs"/>
          <w:sz w:val="34"/>
          <w:szCs w:val="34"/>
          <w:rtl/>
          <w:lang w:val="fr-CH" w:bidi="ar-EG"/>
        </w:rPr>
        <w:t xml:space="preserve"> خدمات دعم أكثر ملاءمة توفرها الويبو. وأسفرت هذه المشروعات عن جملة نتائج منها التعاون مع مشروع أكبر حجماً اسمه "</w:t>
      </w:r>
      <w:r w:rsidRPr="002A614F">
        <w:rPr>
          <w:rFonts w:ascii="Arabic Typesetting" w:hAnsi="Arabic Typesetting" w:cs="Arabic Typesetting"/>
          <w:sz w:val="34"/>
          <w:szCs w:val="34"/>
          <w:lang w:val="fr-CH" w:bidi="ar-EG"/>
        </w:rPr>
        <w:t>IPICA</w:t>
      </w:r>
      <w:r w:rsidRPr="002A614F">
        <w:rPr>
          <w:rFonts w:ascii="Arabic Typesetting" w:hAnsi="Arabic Typesetting" w:cs="Arabic Typesetting" w:hint="cs"/>
          <w:sz w:val="34"/>
          <w:szCs w:val="34"/>
          <w:rtl/>
          <w:lang w:val="fr-CH" w:bidi="ar-EG"/>
        </w:rPr>
        <w:t xml:space="preserve"> </w:t>
      </w:r>
      <w:r w:rsidRPr="002A614F">
        <w:rPr>
          <w:rFonts w:ascii="Arabic Typesetting" w:hAnsi="Arabic Typesetting" w:cs="Arabic Typesetting"/>
          <w:sz w:val="34"/>
          <w:szCs w:val="34"/>
          <w:rtl/>
          <w:lang w:val="fr-CH" w:bidi="ar-EG"/>
        </w:rPr>
        <w:t>–</w:t>
      </w:r>
      <w:r w:rsidRPr="002A614F">
        <w:rPr>
          <w:rFonts w:ascii="Arabic Typesetting" w:hAnsi="Arabic Typesetting" w:cs="Arabic Typesetting" w:hint="cs"/>
          <w:sz w:val="34"/>
          <w:szCs w:val="34"/>
          <w:rtl/>
          <w:lang w:val="fr-CH" w:bidi="ar-EG"/>
        </w:rPr>
        <w:t xml:space="preserve"> تعزيز نقل المعارف في منطقة البحر الكاريبي من خلال أنظمة فعالة لحماية حقوق الملكية الفكرية ونقل المعارف" </w:t>
      </w:r>
      <w:r w:rsidR="009E7C4C">
        <w:rPr>
          <w:rFonts w:ascii="Arabic Typesetting" w:hAnsi="Arabic Typesetting" w:cs="Arabic Typesetting" w:hint="cs"/>
          <w:sz w:val="34"/>
          <w:szCs w:val="34"/>
          <w:rtl/>
          <w:lang w:val="fr-CH" w:bidi="ar-EG"/>
        </w:rPr>
        <w:t>و</w:t>
      </w:r>
      <w:r w:rsidRPr="002A614F">
        <w:rPr>
          <w:rFonts w:ascii="Arabic Typesetting" w:hAnsi="Arabic Typesetting" w:cs="Arabic Typesetting" w:hint="cs"/>
          <w:sz w:val="34"/>
          <w:szCs w:val="34"/>
          <w:rtl/>
          <w:lang w:val="fr-CH" w:bidi="ar-EG"/>
        </w:rPr>
        <w:t xml:space="preserve">يموله الاتحاد الأوروبي في منطقة البحر الكاريبي وتنسقه جامعة </w:t>
      </w:r>
      <w:proofErr w:type="spellStart"/>
      <w:r w:rsidRPr="002A614F">
        <w:rPr>
          <w:rFonts w:ascii="Arabic Typesetting" w:hAnsi="Arabic Typesetting" w:cs="Arabic Typesetting" w:hint="cs"/>
          <w:sz w:val="34"/>
          <w:szCs w:val="34"/>
          <w:rtl/>
          <w:lang w:val="fr-CH" w:bidi="ar-EG"/>
        </w:rPr>
        <w:t>أليكانتي</w:t>
      </w:r>
      <w:proofErr w:type="spellEnd"/>
      <w:r w:rsidRPr="002A614F">
        <w:rPr>
          <w:rFonts w:ascii="Arabic Typesetting" w:hAnsi="Arabic Typesetting" w:cs="Arabic Typesetting" w:hint="cs"/>
          <w:sz w:val="34"/>
          <w:szCs w:val="34"/>
          <w:rtl/>
          <w:lang w:val="fr-CH" w:bidi="ar-EG"/>
        </w:rPr>
        <w:t>.</w:t>
      </w:r>
      <w:r w:rsidR="009E7C4C">
        <w:rPr>
          <w:rFonts w:ascii="Arabic Typesetting" w:hAnsi="Arabic Typesetting" w:cs="Arabic Typesetting" w:hint="cs"/>
          <w:sz w:val="34"/>
          <w:szCs w:val="34"/>
          <w:rtl/>
          <w:lang w:val="fr-CH" w:bidi="ar-EG"/>
        </w:rPr>
        <w:t xml:space="preserve"> وإضافة إلى ذلك، أطلقت حكومة سري </w:t>
      </w:r>
      <w:proofErr w:type="spellStart"/>
      <w:r w:rsidR="009E7C4C">
        <w:rPr>
          <w:rFonts w:ascii="Arabic Typesetting" w:hAnsi="Arabic Typesetting" w:cs="Arabic Typesetting" w:hint="cs"/>
          <w:sz w:val="34"/>
          <w:szCs w:val="34"/>
          <w:rtl/>
          <w:lang w:val="fr-CH" w:bidi="ar-EG"/>
        </w:rPr>
        <w:t>لانكا</w:t>
      </w:r>
      <w:proofErr w:type="spellEnd"/>
      <w:r w:rsidR="009E7C4C">
        <w:rPr>
          <w:rFonts w:ascii="Arabic Typesetting" w:hAnsi="Arabic Typesetting" w:cs="Arabic Typesetting" w:hint="cs"/>
          <w:sz w:val="34"/>
          <w:szCs w:val="34"/>
          <w:rtl/>
          <w:lang w:val="fr-CH" w:bidi="ar-EG"/>
        </w:rPr>
        <w:t xml:space="preserve"> مشروع</w:t>
      </w:r>
      <w:r w:rsidR="00754DA1">
        <w:rPr>
          <w:rFonts w:ascii="Arabic Typesetting" w:hAnsi="Arabic Typesetting" w:cs="Arabic Typesetting" w:hint="cs"/>
          <w:sz w:val="34"/>
          <w:szCs w:val="34"/>
          <w:rtl/>
          <w:lang w:val="fr-CH" w:bidi="ar-EG"/>
        </w:rPr>
        <w:t>اً</w:t>
      </w:r>
      <w:r w:rsidR="009E7C4C">
        <w:rPr>
          <w:rFonts w:ascii="Arabic Typesetting" w:hAnsi="Arabic Typesetting" w:cs="Arabic Typesetting" w:hint="cs"/>
          <w:sz w:val="34"/>
          <w:szCs w:val="34"/>
          <w:rtl/>
          <w:lang w:val="fr-CH" w:bidi="ar-EG"/>
        </w:rPr>
        <w:t xml:space="preserve"> بشأن الإدارة الفعالة لنواتج البحوث في الجامعات استجابة</w:t>
      </w:r>
      <w:r w:rsidR="00754DA1">
        <w:rPr>
          <w:rFonts w:ascii="Arabic Typesetting" w:hAnsi="Arabic Typesetting" w:cs="Arabic Typesetting" w:hint="cs"/>
          <w:sz w:val="34"/>
          <w:szCs w:val="34"/>
          <w:rtl/>
          <w:lang w:val="fr-CH" w:bidi="ar-EG"/>
        </w:rPr>
        <w:t>ً</w:t>
      </w:r>
      <w:r w:rsidR="009E7C4C">
        <w:rPr>
          <w:rFonts w:ascii="Arabic Typesetting" w:hAnsi="Arabic Typesetting" w:cs="Arabic Typesetting" w:hint="cs"/>
          <w:sz w:val="34"/>
          <w:szCs w:val="34"/>
          <w:rtl/>
          <w:lang w:val="fr-CH" w:bidi="ar-EG"/>
        </w:rPr>
        <w:t xml:space="preserve"> للتوصيات</w:t>
      </w:r>
      <w:r w:rsidR="00754DA1">
        <w:rPr>
          <w:rFonts w:ascii="Arabic Typesetting" w:hAnsi="Arabic Typesetting" w:cs="Arabic Typesetting" w:hint="cs"/>
          <w:sz w:val="34"/>
          <w:szCs w:val="34"/>
          <w:rtl/>
          <w:lang w:val="fr-CH" w:bidi="ar-EG"/>
        </w:rPr>
        <w:t xml:space="preserve"> المنبثقة عن الأعمال المذكورة آنفاً.</w:t>
      </w:r>
    </w:p>
    <w:p w:rsidR="00EE0207" w:rsidRPr="002A614F" w:rsidRDefault="00EE0207" w:rsidP="009A3712">
      <w:pPr>
        <w:numPr>
          <w:ilvl w:val="0"/>
          <w:numId w:val="36"/>
        </w:numPr>
        <w:bidi/>
        <w:spacing w:after="120" w:line="340" w:lineRule="exact"/>
        <w:ind w:left="0" w:firstLine="0"/>
        <w:rPr>
          <w:rFonts w:ascii="Arabic Typesetting" w:hAnsi="Arabic Typesetting" w:cs="Arabic Typesetting"/>
          <w:sz w:val="34"/>
          <w:szCs w:val="34"/>
          <w:rtl/>
          <w:lang w:val="fr-CH" w:bidi="ar-EG"/>
        </w:rPr>
      </w:pPr>
      <w:r>
        <w:rPr>
          <w:rFonts w:ascii="Arabic Typesetting" w:hAnsi="Arabic Typesetting" w:cs="Arabic Typesetting" w:hint="cs"/>
          <w:sz w:val="34"/>
          <w:szCs w:val="34"/>
          <w:rtl/>
          <w:lang w:val="fr-CH" w:bidi="ar-EG"/>
        </w:rPr>
        <w:t xml:space="preserve">وحرصاً على مواصلة العمل في مجال إدماج الملكية الفكرية في وضع سياسات الابتكار، استُكمل استعراض للكتابات </w:t>
      </w:r>
      <w:r w:rsidR="00754DA1">
        <w:rPr>
          <w:rFonts w:ascii="Arabic Typesetting" w:hAnsi="Arabic Typesetting" w:cs="Arabic Typesetting" w:hint="cs"/>
          <w:sz w:val="34"/>
          <w:szCs w:val="34"/>
          <w:rtl/>
          <w:lang w:val="fr-CH" w:bidi="ar-EG"/>
        </w:rPr>
        <w:t>التي تتناول</w:t>
      </w:r>
      <w:r>
        <w:rPr>
          <w:rFonts w:ascii="Arabic Typesetting" w:hAnsi="Arabic Typesetting" w:cs="Arabic Typesetting" w:hint="cs"/>
          <w:sz w:val="34"/>
          <w:szCs w:val="34"/>
          <w:rtl/>
          <w:lang w:val="fr-CH" w:bidi="ar-EG"/>
        </w:rPr>
        <w:t xml:space="preserve"> </w:t>
      </w:r>
      <w:r w:rsidR="00754DA1">
        <w:rPr>
          <w:rFonts w:ascii="Arabic Typesetting" w:hAnsi="Arabic Typesetting" w:cs="Arabic Typesetting" w:hint="cs"/>
          <w:sz w:val="34"/>
          <w:szCs w:val="34"/>
          <w:rtl/>
          <w:lang w:val="fr-CH" w:bidi="ar-EG"/>
        </w:rPr>
        <w:t>التأثير المتبادل</w:t>
      </w:r>
      <w:r>
        <w:rPr>
          <w:rFonts w:ascii="Arabic Typesetting" w:hAnsi="Arabic Typesetting" w:cs="Arabic Typesetting" w:hint="cs"/>
          <w:sz w:val="34"/>
          <w:szCs w:val="34"/>
          <w:rtl/>
          <w:lang w:val="fr-CH" w:bidi="ar-EG"/>
        </w:rPr>
        <w:t xml:space="preserve"> بين الملكية الفكرية ووضع سياسات الابتكار</w:t>
      </w:r>
      <w:r w:rsidR="00754DA1">
        <w:rPr>
          <w:rFonts w:ascii="Arabic Typesetting" w:hAnsi="Arabic Typesetting" w:cs="Arabic Typesetting" w:hint="cs"/>
          <w:sz w:val="34"/>
          <w:szCs w:val="34"/>
          <w:rtl/>
          <w:lang w:val="fr-CH" w:bidi="ar-EG"/>
        </w:rPr>
        <w:t>،</w:t>
      </w:r>
      <w:r>
        <w:rPr>
          <w:rFonts w:ascii="Arabic Typesetting" w:hAnsi="Arabic Typesetting" w:cs="Arabic Typesetting" w:hint="cs"/>
          <w:sz w:val="34"/>
          <w:szCs w:val="34"/>
          <w:rtl/>
          <w:lang w:val="fr-CH" w:bidi="ar-EG"/>
        </w:rPr>
        <w:t xml:space="preserve"> بمساعدة معهد </w:t>
      </w:r>
      <w:proofErr w:type="spellStart"/>
      <w:r>
        <w:rPr>
          <w:rFonts w:ascii="Arabic Typesetting" w:hAnsi="Arabic Typesetting" w:cs="Arabic Typesetting" w:hint="cs"/>
          <w:sz w:val="34"/>
          <w:szCs w:val="34"/>
          <w:rtl/>
          <w:lang w:val="fr-CH" w:bidi="ar-EG"/>
        </w:rPr>
        <w:t>مانشتسر</w:t>
      </w:r>
      <w:proofErr w:type="spellEnd"/>
      <w:r>
        <w:rPr>
          <w:rFonts w:ascii="Arabic Typesetting" w:hAnsi="Arabic Typesetting" w:cs="Arabic Typesetting" w:hint="cs"/>
          <w:sz w:val="34"/>
          <w:szCs w:val="34"/>
          <w:rtl/>
          <w:lang w:val="fr-CH" w:bidi="ar-EG"/>
        </w:rPr>
        <w:t xml:space="preserve"> للابتكار في البحوث. وكشف هذا الاستعراض عن نهوج التفكير والنقاش والمناقشة في الأعمال المنشورة </w:t>
      </w:r>
      <w:r w:rsidR="00754DA1">
        <w:rPr>
          <w:rFonts w:ascii="Arabic Typesetting" w:hAnsi="Arabic Typesetting" w:cs="Arabic Typesetting" w:hint="cs"/>
          <w:sz w:val="34"/>
          <w:szCs w:val="34"/>
          <w:rtl/>
          <w:lang w:val="fr-CH" w:bidi="ar-EG"/>
        </w:rPr>
        <w:t>عن هذا الموضوع</w:t>
      </w:r>
      <w:r>
        <w:rPr>
          <w:rFonts w:ascii="Arabic Typesetting" w:hAnsi="Arabic Typesetting" w:cs="Arabic Typesetting" w:hint="cs"/>
          <w:sz w:val="34"/>
          <w:szCs w:val="34"/>
          <w:rtl/>
          <w:lang w:val="fr-CH" w:bidi="ar-EG"/>
        </w:rPr>
        <w:t>.</w:t>
      </w:r>
    </w:p>
    <w:p w:rsidR="002A614F" w:rsidRPr="002A614F" w:rsidRDefault="002A614F" w:rsidP="002A614F">
      <w:pPr>
        <w:keepNext/>
        <w:bidi/>
        <w:spacing w:after="120" w:line="360" w:lineRule="exact"/>
        <w:rPr>
          <w:rFonts w:ascii="Arabic Typesetting" w:hAnsi="Arabic Typesetting" w:cs="Arabic Typesetting"/>
          <w:sz w:val="34"/>
          <w:szCs w:val="34"/>
          <w:rtl/>
          <w:lang w:val="fr-CH" w:bidi="ar-EG"/>
        </w:rPr>
      </w:pPr>
      <w:r w:rsidRPr="002A614F">
        <w:rPr>
          <w:rFonts w:ascii="Arabic Typesetting" w:hAnsi="Arabic Typesetting" w:cs="Arabic Typesetting" w:hint="cs"/>
          <w:sz w:val="34"/>
          <w:szCs w:val="34"/>
          <w:rtl/>
          <w:lang w:val="fr-CH" w:bidi="ar-EG"/>
        </w:rPr>
        <w:t>هياكل الابتكار</w:t>
      </w:r>
    </w:p>
    <w:p w:rsidR="0036559F" w:rsidRDefault="00754DA1"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Pr>
          <w:rFonts w:ascii="Arabic Typesetting" w:hAnsi="Arabic Typesetting" w:cs="Arabic Typesetting" w:hint="cs"/>
          <w:sz w:val="34"/>
          <w:szCs w:val="34"/>
          <w:rtl/>
          <w:lang w:val="fr-CH" w:bidi="ar-EG"/>
        </w:rPr>
        <w:t>نفَّذ البرنامج</w:t>
      </w:r>
      <w:r w:rsidR="002A614F" w:rsidRPr="002A614F">
        <w:rPr>
          <w:rFonts w:ascii="Arabic Typesetting" w:hAnsi="Arabic Typesetting" w:cs="Arabic Typesetting" w:hint="cs"/>
          <w:sz w:val="34"/>
          <w:szCs w:val="34"/>
          <w:rtl/>
          <w:lang w:val="fr-CH" w:bidi="ar-EG"/>
        </w:rPr>
        <w:t xml:space="preserve"> </w:t>
      </w:r>
      <w:r w:rsidR="003B2ED5">
        <w:rPr>
          <w:rFonts w:ascii="Arabic Typesetting" w:hAnsi="Arabic Typesetting" w:cs="Arabic Typesetting" w:hint="cs"/>
          <w:sz w:val="34"/>
          <w:szCs w:val="34"/>
          <w:rtl/>
          <w:lang w:val="fr-CH" w:bidi="ar-EG"/>
        </w:rPr>
        <w:t>مشروعات</w:t>
      </w:r>
      <w:r w:rsidR="002A614F" w:rsidRPr="002A614F">
        <w:rPr>
          <w:rFonts w:ascii="Arabic Typesetting" w:hAnsi="Arabic Typesetting" w:cs="Arabic Typesetting" w:hint="cs"/>
          <w:sz w:val="34"/>
          <w:szCs w:val="34"/>
          <w:rtl/>
          <w:lang w:val="fr-CH" w:bidi="ar-EG"/>
        </w:rPr>
        <w:t xml:space="preserve"> تسويق مخصصة للملكية الفكرية وبرامج </w:t>
      </w:r>
      <w:r>
        <w:rPr>
          <w:rFonts w:ascii="Arabic Typesetting" w:hAnsi="Arabic Typesetting" w:cs="Arabic Typesetting" w:hint="cs"/>
          <w:sz w:val="34"/>
          <w:szCs w:val="34"/>
          <w:rtl/>
          <w:lang w:val="fr-CH" w:bidi="ar-EG"/>
        </w:rPr>
        <w:t>تكوين للكفاءات</w:t>
      </w:r>
      <w:r w:rsidR="002A614F" w:rsidRPr="002A614F">
        <w:rPr>
          <w:rFonts w:ascii="Arabic Typesetting" w:hAnsi="Arabic Typesetting" w:cs="Arabic Typesetting" w:hint="cs"/>
          <w:sz w:val="34"/>
          <w:szCs w:val="34"/>
          <w:rtl/>
          <w:lang w:val="fr-CH" w:bidi="ar-EG"/>
        </w:rPr>
        <w:t xml:space="preserve"> و</w:t>
      </w:r>
      <w:r>
        <w:rPr>
          <w:rFonts w:ascii="Arabic Typesetting" w:hAnsi="Arabic Typesetting" w:cs="Arabic Typesetting" w:hint="cs"/>
          <w:sz w:val="34"/>
          <w:szCs w:val="34"/>
          <w:rtl/>
          <w:lang w:val="fr-CH" w:bidi="ar-EG"/>
        </w:rPr>
        <w:t xml:space="preserve">قدَّم </w:t>
      </w:r>
      <w:r w:rsidR="002A614F" w:rsidRPr="002A614F">
        <w:rPr>
          <w:rFonts w:ascii="Arabic Typesetting" w:hAnsi="Arabic Typesetting" w:cs="Arabic Typesetting" w:hint="cs"/>
          <w:sz w:val="34"/>
          <w:szCs w:val="34"/>
          <w:rtl/>
          <w:lang w:val="fr-CH" w:bidi="ar-EG"/>
        </w:rPr>
        <w:t xml:space="preserve">خدمات استشارية إلى الدول الأعضاء في الويبو، </w:t>
      </w:r>
      <w:r>
        <w:rPr>
          <w:rFonts w:ascii="Arabic Typesetting" w:hAnsi="Arabic Typesetting" w:cs="Arabic Typesetting" w:hint="cs"/>
          <w:sz w:val="34"/>
          <w:szCs w:val="34"/>
          <w:rtl/>
          <w:lang w:val="fr-CH" w:bidi="ar-EG"/>
        </w:rPr>
        <w:t>ما يسَّر</w:t>
      </w:r>
      <w:r w:rsidR="002A614F" w:rsidRPr="002A614F">
        <w:rPr>
          <w:rFonts w:ascii="Arabic Typesetting" w:hAnsi="Arabic Typesetting" w:cs="Arabic Typesetting" w:hint="cs"/>
          <w:sz w:val="34"/>
          <w:szCs w:val="34"/>
          <w:rtl/>
          <w:lang w:val="fr-CH" w:bidi="ar-EG"/>
        </w:rPr>
        <w:t xml:space="preserve"> إرساء البنية التحتية القانونية والتنظيمية الملائمة فضلاً عن حشد الموارد البشرية اللازمة لتعزيز الابتكار و</w:t>
      </w:r>
      <w:r w:rsidR="002A614F" w:rsidRPr="002A614F">
        <w:rPr>
          <w:rFonts w:ascii="Arabic Typesetting" w:hAnsi="Arabic Typesetting" w:cs="Arabic Typesetting"/>
          <w:sz w:val="34"/>
          <w:szCs w:val="34"/>
          <w:rtl/>
          <w:lang w:val="fr-CH" w:bidi="ar-EG"/>
        </w:rPr>
        <w:t>الإدارة الاستراتيجية لحقوق الملكية الفكرية</w:t>
      </w:r>
      <w:r w:rsidR="0036559F">
        <w:rPr>
          <w:rFonts w:ascii="Arabic Typesetting" w:hAnsi="Arabic Typesetting" w:cs="Arabic Typesetting" w:hint="cs"/>
          <w:sz w:val="34"/>
          <w:szCs w:val="34"/>
          <w:rtl/>
          <w:lang w:val="fr-CH" w:bidi="ar-EG"/>
        </w:rPr>
        <w:t xml:space="preserve"> من حيث ا</w:t>
      </w:r>
      <w:r w:rsidR="002A614F" w:rsidRPr="002A614F">
        <w:rPr>
          <w:rFonts w:ascii="Arabic Typesetting" w:hAnsi="Arabic Typesetting" w:cs="Arabic Typesetting"/>
          <w:sz w:val="34"/>
          <w:szCs w:val="34"/>
          <w:rtl/>
          <w:lang w:val="fr-CH" w:bidi="ar-EG"/>
        </w:rPr>
        <w:t>لمعارف ونتائج البحوث من مرحلة مبكرة حتى أسواق التكنولوجيا</w:t>
      </w:r>
      <w:r w:rsidR="002A614F" w:rsidRPr="002A614F">
        <w:rPr>
          <w:rFonts w:ascii="Arabic Typesetting" w:hAnsi="Arabic Typesetting" w:cs="Arabic Typesetting" w:hint="cs"/>
          <w:sz w:val="34"/>
          <w:szCs w:val="34"/>
          <w:rtl/>
          <w:lang w:val="fr-CH" w:bidi="ar-EG"/>
        </w:rPr>
        <w:t xml:space="preserve"> باستخدام نظام الملكية الفكرية والأدوات والمسارات التسويقية المناسبة.</w:t>
      </w:r>
      <w:r w:rsidR="0036559F">
        <w:rPr>
          <w:rFonts w:ascii="Arabic Typesetting" w:hAnsi="Arabic Typesetting" w:cs="Arabic Typesetting" w:hint="cs"/>
          <w:sz w:val="34"/>
          <w:szCs w:val="34"/>
          <w:rtl/>
          <w:lang w:val="fr-CH" w:bidi="ar-EG"/>
        </w:rPr>
        <w:t xml:space="preserve"> وبفضل استخدام نهوج تدريب مخصصة، درِّب نحو 2200 مهني (من</w:t>
      </w:r>
      <w:r w:rsidR="00270EA2">
        <w:rPr>
          <w:rFonts w:ascii="Arabic Typesetting" w:hAnsi="Arabic Typesetting" w:cs="Arabic Typesetting" w:hint="eastAsia"/>
          <w:sz w:val="34"/>
          <w:szCs w:val="34"/>
          <w:rtl/>
          <w:lang w:val="fr-CH" w:bidi="ar-EG"/>
        </w:rPr>
        <w:t> </w:t>
      </w:r>
      <w:r w:rsidR="0036559F">
        <w:rPr>
          <w:rFonts w:ascii="Arabic Typesetting" w:hAnsi="Arabic Typesetting" w:cs="Arabic Typesetting" w:hint="cs"/>
          <w:sz w:val="34"/>
          <w:szCs w:val="34"/>
          <w:rtl/>
          <w:lang w:val="fr-CH" w:bidi="ar-EG"/>
        </w:rPr>
        <w:t xml:space="preserve">المسؤولين الحكوميين ومديري التكنولوجيا والعلماء ووكلاء البراءات) </w:t>
      </w:r>
      <w:r w:rsidR="00270EA2">
        <w:rPr>
          <w:rFonts w:ascii="Arabic Typesetting" w:hAnsi="Arabic Typesetting" w:cs="Arabic Typesetting" w:hint="cs"/>
          <w:sz w:val="34"/>
          <w:szCs w:val="34"/>
          <w:rtl/>
          <w:lang w:val="fr-CH" w:bidi="ar-EG"/>
        </w:rPr>
        <w:t>في إطار</w:t>
      </w:r>
      <w:r w:rsidR="0036559F">
        <w:rPr>
          <w:rFonts w:ascii="Arabic Typesetting" w:hAnsi="Arabic Typesetting" w:cs="Arabic Typesetting" w:hint="cs"/>
          <w:sz w:val="34"/>
          <w:szCs w:val="34"/>
          <w:rtl/>
          <w:lang w:val="fr-CH" w:bidi="ar-EG"/>
        </w:rPr>
        <w:t xml:space="preserve"> فعاليات ميدانية، ودرِّب 100</w:t>
      </w:r>
      <w:r w:rsidR="0036559F">
        <w:rPr>
          <w:rFonts w:ascii="Arabic Typesetting" w:hAnsi="Arabic Typesetting" w:cs="Arabic Typesetting" w:hint="eastAsia"/>
          <w:sz w:val="34"/>
          <w:szCs w:val="34"/>
          <w:rtl/>
          <w:lang w:val="fr-CH" w:bidi="ar-EG"/>
        </w:rPr>
        <w:t> </w:t>
      </w:r>
      <w:r w:rsidR="0036559F">
        <w:rPr>
          <w:rFonts w:ascii="Arabic Typesetting" w:hAnsi="Arabic Typesetting" w:cs="Arabic Typesetting" w:hint="cs"/>
          <w:sz w:val="34"/>
          <w:szCs w:val="34"/>
          <w:rtl/>
          <w:lang w:val="fr-CH" w:bidi="ar-EG"/>
        </w:rPr>
        <w:t>طرف إضافي معني بالابتكار، منهم نساء أعمال في أفريقيا، عن طريق أكثر من 123 وحدة تعلّم عن بعد ومؤتمر عبر الفيديو.</w:t>
      </w:r>
    </w:p>
    <w:p w:rsidR="002669EC" w:rsidRDefault="0036559F"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sidRPr="002669EC">
        <w:rPr>
          <w:rFonts w:ascii="Arabic Typesetting" w:hAnsi="Arabic Typesetting" w:cs="Arabic Typesetting" w:hint="cs"/>
          <w:sz w:val="34"/>
          <w:szCs w:val="34"/>
          <w:rtl/>
          <w:lang w:val="fr-CH" w:bidi="ar-EG"/>
        </w:rPr>
        <w:t xml:space="preserve">ووسِّع النطاق الجغرافي لمشروع </w:t>
      </w:r>
      <w:r w:rsidR="002A614F" w:rsidRPr="002A614F">
        <w:rPr>
          <w:rFonts w:ascii="Arabic Typesetting" w:hAnsi="Arabic Typesetting" w:cs="Arabic Typesetting" w:hint="cs"/>
          <w:sz w:val="34"/>
          <w:szCs w:val="34"/>
          <w:rtl/>
          <w:lang w:val="fr-CH" w:bidi="ar-EG"/>
        </w:rPr>
        <w:t xml:space="preserve">"إنشاء مكاتب لنقل التكنولوجيا في المنطقة العربية" في عام 2014 </w:t>
      </w:r>
      <w:r w:rsidRPr="002669EC">
        <w:rPr>
          <w:rFonts w:ascii="Arabic Typesetting" w:hAnsi="Arabic Typesetting" w:cs="Arabic Typesetting" w:hint="cs"/>
          <w:sz w:val="34"/>
          <w:szCs w:val="34"/>
          <w:rtl/>
          <w:lang w:val="fr-CH" w:bidi="ar-EG"/>
        </w:rPr>
        <w:t>استجابةً</w:t>
      </w:r>
      <w:r w:rsidR="002A614F" w:rsidRPr="002A614F">
        <w:rPr>
          <w:rFonts w:ascii="Arabic Typesetting" w:hAnsi="Arabic Typesetting" w:cs="Arabic Typesetting" w:hint="cs"/>
          <w:sz w:val="34"/>
          <w:szCs w:val="34"/>
          <w:rtl/>
          <w:lang w:val="fr-CH" w:bidi="ar-EG"/>
        </w:rPr>
        <w:t xml:space="preserve"> لطلبات الدول الأعضاء. وفي هذا السياق، بدأ التركيز في تنفيذ خطة عمل تونس على البنية المؤسسية القانونية التي تتمتع بها المؤسسات المستفيدة في تونس. </w:t>
      </w:r>
      <w:r w:rsidR="002669EC" w:rsidRPr="002669EC">
        <w:rPr>
          <w:rFonts w:ascii="Arabic Typesetting" w:hAnsi="Arabic Typesetting" w:cs="Arabic Typesetting" w:hint="cs"/>
          <w:sz w:val="34"/>
          <w:szCs w:val="34"/>
          <w:rtl/>
          <w:lang w:val="fr-CH" w:bidi="ar-EG"/>
        </w:rPr>
        <w:t xml:space="preserve">وتواصل التقدم المحرز </w:t>
      </w:r>
      <w:r w:rsidR="002A614F" w:rsidRPr="002A614F">
        <w:rPr>
          <w:rFonts w:ascii="Arabic Typesetting" w:hAnsi="Arabic Typesetting" w:cs="Arabic Typesetting" w:hint="cs"/>
          <w:sz w:val="34"/>
          <w:szCs w:val="34"/>
          <w:rtl/>
          <w:lang w:val="fr-CH" w:bidi="ar-EG"/>
        </w:rPr>
        <w:t>في تعزيز أربعة مكاتب لنقل التكنولوجيا في تونس كي تصبح مستدامة ومستقلة تشغيلياً.</w:t>
      </w:r>
      <w:r w:rsidRPr="002669EC">
        <w:rPr>
          <w:rFonts w:ascii="Arabic Typesetting" w:hAnsi="Arabic Typesetting" w:cs="Arabic Typesetting" w:hint="cs"/>
          <w:sz w:val="34"/>
          <w:szCs w:val="34"/>
          <w:rtl/>
          <w:lang w:val="fr-CH" w:bidi="ar-EG"/>
        </w:rPr>
        <w:t xml:space="preserve"> </w:t>
      </w:r>
      <w:r w:rsidR="002669EC" w:rsidRPr="002669EC">
        <w:rPr>
          <w:rFonts w:ascii="Arabic Typesetting" w:hAnsi="Arabic Typesetting" w:cs="Arabic Typesetting" w:hint="cs"/>
          <w:sz w:val="34"/>
          <w:szCs w:val="34"/>
          <w:rtl/>
          <w:lang w:val="fr-CH" w:bidi="ar-EG"/>
        </w:rPr>
        <w:t>إذ</w:t>
      </w:r>
      <w:r w:rsidR="00270EA2">
        <w:rPr>
          <w:rFonts w:ascii="Arabic Typesetting" w:hAnsi="Arabic Typesetting" w:cs="Arabic Typesetting" w:hint="eastAsia"/>
          <w:sz w:val="34"/>
          <w:szCs w:val="34"/>
          <w:rtl/>
          <w:lang w:val="fr-CH" w:bidi="ar-EG"/>
        </w:rPr>
        <w:t> </w:t>
      </w:r>
      <w:r w:rsidR="002669EC" w:rsidRPr="002669EC">
        <w:rPr>
          <w:rFonts w:ascii="Arabic Typesetting" w:hAnsi="Arabic Typesetting" w:cs="Arabic Typesetting" w:hint="cs"/>
          <w:sz w:val="34"/>
          <w:szCs w:val="34"/>
          <w:rtl/>
          <w:lang w:val="fr-CH" w:bidi="ar-EG"/>
        </w:rPr>
        <w:t>ساهمت مساعدة الويبو في استكمال السياسات المؤسسية الخاصة بالملكية الفكرية في المركز التقني للكيمياء، و</w:t>
      </w:r>
      <w:r w:rsidR="002669EC" w:rsidRPr="002669EC">
        <w:rPr>
          <w:rFonts w:ascii="Arabic Typesetting" w:hAnsi="Arabic Typesetting" w:cs="Arabic Typesetting"/>
          <w:sz w:val="34"/>
          <w:szCs w:val="34"/>
          <w:rtl/>
          <w:lang w:val="fr-CH" w:bidi="ar-EG"/>
        </w:rPr>
        <w:t>قطب الغزالة لتكنولوجيات الاتصال</w:t>
      </w:r>
      <w:r w:rsidR="002669EC" w:rsidRPr="002669EC">
        <w:rPr>
          <w:rFonts w:ascii="Arabic Typesetting" w:hAnsi="Arabic Typesetting" w:cs="Arabic Typesetting" w:hint="cs"/>
          <w:sz w:val="34"/>
          <w:szCs w:val="34"/>
          <w:rtl/>
          <w:lang w:val="fr-CH" w:bidi="ar-EG"/>
        </w:rPr>
        <w:t>، و</w:t>
      </w:r>
      <w:r w:rsidR="002669EC" w:rsidRPr="002669EC">
        <w:rPr>
          <w:rFonts w:ascii="Arabic Typesetting" w:hAnsi="Arabic Typesetting" w:cs="Arabic Typesetting"/>
          <w:sz w:val="34"/>
          <w:szCs w:val="34"/>
          <w:rtl/>
          <w:lang w:val="fr-CH" w:bidi="ar-EG"/>
        </w:rPr>
        <w:t>المركز الفني للتعبئة والتغليف (</w:t>
      </w:r>
      <w:proofErr w:type="spellStart"/>
      <w:r w:rsidR="002669EC" w:rsidRPr="002669EC">
        <w:rPr>
          <w:rFonts w:ascii="Arabic Typesetting" w:hAnsi="Arabic Typesetting" w:cs="Arabic Typesetting"/>
          <w:sz w:val="34"/>
          <w:szCs w:val="34"/>
          <w:lang w:val="fr-CH" w:bidi="ar-EG"/>
        </w:rPr>
        <w:t>Packtec</w:t>
      </w:r>
      <w:proofErr w:type="spellEnd"/>
      <w:r w:rsidR="002669EC" w:rsidRPr="002669EC">
        <w:rPr>
          <w:rFonts w:ascii="Arabic Typesetting" w:hAnsi="Arabic Typesetting" w:cs="Arabic Typesetting"/>
          <w:sz w:val="34"/>
          <w:szCs w:val="34"/>
          <w:rtl/>
          <w:lang w:val="fr-CH" w:bidi="ar-EG"/>
        </w:rPr>
        <w:t>)</w:t>
      </w:r>
      <w:r w:rsidR="002669EC" w:rsidRPr="002669EC">
        <w:rPr>
          <w:rFonts w:ascii="Arabic Typesetting" w:hAnsi="Arabic Typesetting" w:cs="Arabic Typesetting" w:hint="cs"/>
          <w:sz w:val="34"/>
          <w:szCs w:val="34"/>
          <w:rtl/>
          <w:lang w:val="fr-CH" w:bidi="ar-EG"/>
        </w:rPr>
        <w:t>، و</w:t>
      </w:r>
      <w:r w:rsidR="002669EC" w:rsidRPr="002669EC">
        <w:rPr>
          <w:rFonts w:ascii="Arabic Typesetting" w:hAnsi="Arabic Typesetting" w:cs="Arabic Typesetting"/>
          <w:sz w:val="34"/>
          <w:szCs w:val="34"/>
          <w:rtl/>
          <w:lang w:val="fr-CH" w:bidi="ar-EG"/>
        </w:rPr>
        <w:t>القطب</w:t>
      </w:r>
      <w:r w:rsidR="002669EC">
        <w:rPr>
          <w:rFonts w:ascii="Arabic Typesetting" w:hAnsi="Arabic Typesetting" w:cs="Arabic Typesetting" w:hint="cs"/>
          <w:sz w:val="34"/>
          <w:szCs w:val="34"/>
          <w:rtl/>
          <w:lang w:val="fr-CH" w:bidi="ar-EG"/>
        </w:rPr>
        <w:t> </w:t>
      </w:r>
      <w:proofErr w:type="spellStart"/>
      <w:r w:rsidR="002669EC" w:rsidRPr="002669EC">
        <w:rPr>
          <w:rFonts w:ascii="Arabic Typesetting" w:hAnsi="Arabic Typesetting" w:cs="Arabic Typesetting"/>
          <w:sz w:val="34"/>
          <w:szCs w:val="34"/>
          <w:rtl/>
          <w:lang w:val="fr-CH" w:bidi="ar-EG"/>
        </w:rPr>
        <w:t>ال</w:t>
      </w:r>
      <w:r w:rsidR="002669EC">
        <w:rPr>
          <w:rFonts w:ascii="Arabic Typesetting" w:hAnsi="Arabic Typesetting" w:cs="Arabic Typesetting" w:hint="cs"/>
          <w:sz w:val="34"/>
          <w:szCs w:val="34"/>
          <w:rtl/>
          <w:lang w:val="fr-CH" w:bidi="ar-EG"/>
        </w:rPr>
        <w:t>بيو</w:t>
      </w:r>
      <w:r w:rsidR="002669EC" w:rsidRPr="002669EC">
        <w:rPr>
          <w:rFonts w:ascii="Arabic Typesetting" w:hAnsi="Arabic Typesetting" w:cs="Arabic Typesetting"/>
          <w:sz w:val="34"/>
          <w:szCs w:val="34"/>
          <w:rtl/>
          <w:lang w:val="fr-CH" w:bidi="ar-EG"/>
        </w:rPr>
        <w:t>تكنولوجي</w:t>
      </w:r>
      <w:proofErr w:type="spellEnd"/>
      <w:r w:rsidR="002669EC" w:rsidRPr="002669EC">
        <w:rPr>
          <w:rFonts w:ascii="Arabic Typesetting" w:hAnsi="Arabic Typesetting" w:cs="Arabic Typesetting"/>
          <w:sz w:val="34"/>
          <w:szCs w:val="34"/>
          <w:rtl/>
          <w:lang w:val="fr-CH" w:bidi="ar-EG"/>
        </w:rPr>
        <w:t xml:space="preserve"> سيدي ثابت</w:t>
      </w:r>
      <w:r w:rsidR="002669EC">
        <w:rPr>
          <w:rFonts w:ascii="Arabic Typesetting" w:hAnsi="Arabic Typesetting" w:cs="Arabic Typesetting" w:hint="cs"/>
          <w:sz w:val="34"/>
          <w:szCs w:val="34"/>
          <w:rtl/>
          <w:lang w:val="fr-CH" w:bidi="ar-EG"/>
        </w:rPr>
        <w:t>.</w:t>
      </w:r>
    </w:p>
    <w:p w:rsidR="002669EC" w:rsidRDefault="002669EC" w:rsidP="009A3712">
      <w:pPr>
        <w:keepLines/>
        <w:numPr>
          <w:ilvl w:val="0"/>
          <w:numId w:val="36"/>
        </w:numPr>
        <w:bidi/>
        <w:spacing w:after="120" w:line="340" w:lineRule="exact"/>
        <w:ind w:left="0" w:firstLine="0"/>
        <w:rPr>
          <w:rFonts w:ascii="Arabic Typesetting" w:hAnsi="Arabic Typesetting" w:cs="Arabic Typesetting"/>
          <w:sz w:val="34"/>
          <w:szCs w:val="34"/>
          <w:lang w:val="fr-CH" w:bidi="ar-EG"/>
        </w:rPr>
      </w:pPr>
      <w:r>
        <w:rPr>
          <w:rFonts w:ascii="Arabic Typesetting" w:hAnsi="Arabic Typesetting" w:cs="Arabic Typesetting" w:hint="cs"/>
          <w:sz w:val="34"/>
          <w:szCs w:val="34"/>
          <w:rtl/>
          <w:lang w:val="fr-CH" w:bidi="ar-EG"/>
        </w:rPr>
        <w:lastRenderedPageBreak/>
        <w:t xml:space="preserve">ونظِّم 42 برنامجاً تدريبياً بالتعاون مع شركاء داخليين وخارجيين بشأن الموضوعات التالية: 11 برنامجاً عن صياغة البراءات، و16 برنامجاً عن إدارة حقوق الملكية الفكرية في الجامعات ومؤسسات البحث والتطوير، و12 برنامجاً عن الترخيص الناجح للتكنولوجيات، و3 برامج عن تقييم الملكية الفكرية وتسويقها. وشملت الموضوعات الجديدة خلال الثنائية </w:t>
      </w:r>
      <w:r w:rsidR="00507DE2">
        <w:rPr>
          <w:rFonts w:ascii="Arabic Typesetting" w:hAnsi="Arabic Typesetting" w:cs="Arabic Typesetting" w:hint="cs"/>
          <w:sz w:val="34"/>
          <w:szCs w:val="34"/>
          <w:rtl/>
          <w:lang w:val="fr-CH" w:bidi="ar-EG"/>
        </w:rPr>
        <w:t>2014/15</w:t>
      </w:r>
      <w:r>
        <w:rPr>
          <w:rFonts w:ascii="Arabic Typesetting" w:hAnsi="Arabic Typesetting" w:cs="Arabic Typesetting" w:hint="cs"/>
          <w:sz w:val="34"/>
          <w:szCs w:val="34"/>
          <w:rtl/>
          <w:lang w:val="fr-CH" w:bidi="ar-EG"/>
        </w:rPr>
        <w:t xml:space="preserve"> ما يلي: "1" حماية الملكية الفكرية؛ "2" واستراتيجيات تسويق نتائج بحوث الجامعات ومؤسسات البحث والتطوير</w:t>
      </w:r>
      <w:r w:rsidR="00945B27">
        <w:rPr>
          <w:rFonts w:ascii="Arabic Typesetting" w:hAnsi="Arabic Typesetting" w:cs="Arabic Typesetting" w:hint="cs"/>
          <w:sz w:val="34"/>
          <w:szCs w:val="34"/>
          <w:rtl/>
          <w:lang w:val="fr-CH" w:bidi="ar-EG"/>
        </w:rPr>
        <w:t>،</w:t>
      </w:r>
      <w:r>
        <w:rPr>
          <w:rFonts w:ascii="Arabic Typesetting" w:hAnsi="Arabic Typesetting" w:cs="Arabic Typesetting" w:hint="cs"/>
          <w:sz w:val="34"/>
          <w:szCs w:val="34"/>
          <w:rtl/>
          <w:lang w:val="fr-CH" w:bidi="ar-EG"/>
        </w:rPr>
        <w:t xml:space="preserve"> وتفسير </w:t>
      </w:r>
      <w:r w:rsidR="007B3486">
        <w:rPr>
          <w:rFonts w:ascii="Arabic Typesetting" w:hAnsi="Arabic Typesetting" w:cs="Arabic Typesetting" w:hint="cs"/>
          <w:sz w:val="34"/>
          <w:szCs w:val="34"/>
          <w:rtl/>
          <w:lang w:val="fr-CH" w:bidi="ar-EG"/>
        </w:rPr>
        <w:t>مستندات</w:t>
      </w:r>
      <w:r>
        <w:rPr>
          <w:rFonts w:ascii="Arabic Typesetting" w:hAnsi="Arabic Typesetting" w:cs="Arabic Typesetting" w:hint="cs"/>
          <w:sz w:val="34"/>
          <w:szCs w:val="34"/>
          <w:rtl/>
          <w:lang w:val="fr-CH" w:bidi="ar-EG"/>
        </w:rPr>
        <w:t xml:space="preserve"> البراءات </w:t>
      </w:r>
      <w:r w:rsidR="00B1424D">
        <w:rPr>
          <w:rFonts w:ascii="Arabic Typesetting" w:hAnsi="Arabic Typesetting" w:cs="Arabic Typesetting" w:hint="cs"/>
          <w:sz w:val="34"/>
          <w:szCs w:val="34"/>
          <w:rtl/>
          <w:lang w:val="fr-CH" w:bidi="ar-EG"/>
        </w:rPr>
        <w:t>للقضاء</w:t>
      </w:r>
      <w:r>
        <w:rPr>
          <w:rFonts w:ascii="Arabic Typesetting" w:hAnsi="Arabic Typesetting" w:cs="Arabic Typesetting" w:hint="cs"/>
          <w:sz w:val="34"/>
          <w:szCs w:val="34"/>
          <w:rtl/>
          <w:lang w:val="fr-CH" w:bidi="ar-EG"/>
        </w:rPr>
        <w:t xml:space="preserve">؛ "3" وتسويق الملكية الفكرية </w:t>
      </w:r>
      <w:r w:rsidR="007B3486">
        <w:rPr>
          <w:rFonts w:ascii="Arabic Typesetting" w:hAnsi="Arabic Typesetting" w:cs="Arabic Typesetting" w:hint="cs"/>
          <w:sz w:val="34"/>
          <w:szCs w:val="34"/>
          <w:rtl/>
          <w:lang w:val="fr-CH" w:bidi="ar-EG"/>
        </w:rPr>
        <w:t>ل</w:t>
      </w:r>
      <w:r>
        <w:rPr>
          <w:rFonts w:ascii="Arabic Typesetting" w:hAnsi="Arabic Typesetting" w:cs="Arabic Typesetting" w:hint="cs"/>
          <w:sz w:val="34"/>
          <w:szCs w:val="34"/>
          <w:rtl/>
          <w:lang w:val="fr-CH" w:bidi="ar-EG"/>
        </w:rPr>
        <w:t>لجامعات.</w:t>
      </w:r>
    </w:p>
    <w:p w:rsidR="007B3486" w:rsidRPr="002A614F" w:rsidRDefault="007B3486"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Pr>
          <w:rFonts w:ascii="Arabic Typesetting" w:hAnsi="Arabic Typesetting" w:cs="Arabic Typesetting" w:hint="cs"/>
          <w:sz w:val="34"/>
          <w:szCs w:val="34"/>
          <w:rtl/>
          <w:lang w:val="fr-CH" w:bidi="ar-EG"/>
        </w:rPr>
        <w:t>واست</w:t>
      </w:r>
      <w:r w:rsidR="00B1424D">
        <w:rPr>
          <w:rFonts w:ascii="Arabic Typesetting" w:hAnsi="Arabic Typesetting" w:cs="Arabic Typesetting" w:hint="cs"/>
          <w:sz w:val="34"/>
          <w:szCs w:val="34"/>
          <w:rtl/>
          <w:lang w:val="fr-CH" w:bidi="ar-EG"/>
        </w:rPr>
        <w:t>ُ</w:t>
      </w:r>
      <w:r>
        <w:rPr>
          <w:rFonts w:ascii="Arabic Typesetting" w:hAnsi="Arabic Typesetting" w:cs="Arabic Typesetting" w:hint="cs"/>
          <w:sz w:val="34"/>
          <w:szCs w:val="34"/>
          <w:rtl/>
          <w:lang w:val="fr-CH" w:bidi="ar-EG"/>
        </w:rPr>
        <w:t xml:space="preserve">عرض برنامج المبادرة الجامعية خلال الثنائية </w:t>
      </w:r>
      <w:r w:rsidR="00507DE2">
        <w:rPr>
          <w:rFonts w:ascii="Arabic Typesetting" w:hAnsi="Arabic Typesetting" w:cs="Arabic Typesetting" w:hint="cs"/>
          <w:sz w:val="34"/>
          <w:szCs w:val="34"/>
          <w:rtl/>
          <w:lang w:val="fr-CH" w:bidi="ar-EG"/>
        </w:rPr>
        <w:t>2014/15</w:t>
      </w:r>
      <w:r>
        <w:rPr>
          <w:rFonts w:ascii="Arabic Typesetting" w:hAnsi="Arabic Typesetting" w:cs="Arabic Typesetting" w:hint="cs"/>
          <w:sz w:val="34"/>
          <w:szCs w:val="34"/>
          <w:rtl/>
          <w:lang w:val="fr-CH" w:bidi="ar-EG"/>
        </w:rPr>
        <w:t xml:space="preserve"> </w:t>
      </w:r>
      <w:r w:rsidRPr="007B3486">
        <w:rPr>
          <w:rFonts w:ascii="Arabic Typesetting" w:hAnsi="Arabic Typesetting" w:cs="Arabic Typesetting"/>
          <w:sz w:val="34"/>
          <w:szCs w:val="34"/>
          <w:rtl/>
          <w:lang w:val="fr-CH" w:bidi="ar-EG"/>
        </w:rPr>
        <w:t xml:space="preserve">لتكييفه مع الاحتياجات المتغيرة للجامعات ومؤسسات البحث والتطوير في الدول الأعضاء في الويبو </w:t>
      </w:r>
      <w:r>
        <w:rPr>
          <w:rFonts w:ascii="Arabic Typesetting" w:hAnsi="Arabic Typesetting" w:cs="Arabic Typesetting" w:hint="cs"/>
          <w:sz w:val="34"/>
          <w:szCs w:val="34"/>
          <w:rtl/>
          <w:lang w:val="fr-CH" w:bidi="ar-EG"/>
        </w:rPr>
        <w:t>النامية منها والمتقدمة</w:t>
      </w:r>
      <w:r w:rsidRPr="007B3486">
        <w:rPr>
          <w:rFonts w:ascii="Arabic Typesetting" w:hAnsi="Arabic Typesetting" w:cs="Arabic Typesetting"/>
          <w:sz w:val="34"/>
          <w:szCs w:val="34"/>
          <w:rtl/>
          <w:lang w:val="fr-CH" w:bidi="ar-EG"/>
        </w:rPr>
        <w:t>.</w:t>
      </w:r>
      <w:r>
        <w:rPr>
          <w:rFonts w:ascii="Arabic Typesetting" w:hAnsi="Arabic Typesetting" w:cs="Arabic Typesetting" w:hint="cs"/>
          <w:sz w:val="34"/>
          <w:szCs w:val="34"/>
          <w:rtl/>
          <w:lang w:val="fr-CH" w:bidi="ar-EG"/>
        </w:rPr>
        <w:t xml:space="preserve"> ونفِّذ بعدئذ نهج ذو هدفين هما "1" تشجيع</w:t>
      </w:r>
      <w:r w:rsidR="00B1424D">
        <w:rPr>
          <w:rFonts w:ascii="Arabic Typesetting" w:hAnsi="Arabic Typesetting" w:cs="Arabic Typesetting" w:hint="cs"/>
          <w:sz w:val="34"/>
          <w:szCs w:val="34"/>
          <w:rtl/>
          <w:lang w:val="fr-CH" w:bidi="ar-EG"/>
        </w:rPr>
        <w:t xml:space="preserve"> ال</w:t>
      </w:r>
      <w:r>
        <w:rPr>
          <w:rFonts w:ascii="Arabic Typesetting" w:hAnsi="Arabic Typesetting" w:cs="Arabic Typesetting" w:hint="cs"/>
          <w:sz w:val="34"/>
          <w:szCs w:val="34"/>
          <w:rtl/>
          <w:lang w:val="fr-CH" w:bidi="ar-EG"/>
        </w:rPr>
        <w:t xml:space="preserve">دول الأعضاء على إرساء إطار تنظيمي وطني واضح بشأن ملكية حقوق الملكية الفكرية </w:t>
      </w:r>
      <w:r w:rsidR="00B1424D">
        <w:rPr>
          <w:rFonts w:ascii="Arabic Typesetting" w:hAnsi="Arabic Typesetting" w:cs="Arabic Typesetting" w:hint="cs"/>
          <w:sz w:val="34"/>
          <w:szCs w:val="34"/>
          <w:rtl/>
          <w:lang w:val="fr-CH" w:bidi="ar-EG"/>
        </w:rPr>
        <w:t>المولدة</w:t>
      </w:r>
      <w:r>
        <w:rPr>
          <w:rFonts w:ascii="Arabic Typesetting" w:hAnsi="Arabic Typesetting" w:cs="Arabic Typesetting" w:hint="cs"/>
          <w:sz w:val="34"/>
          <w:szCs w:val="34"/>
          <w:rtl/>
          <w:lang w:val="fr-CH" w:bidi="ar-EG"/>
        </w:rPr>
        <w:t xml:space="preserve"> في الجامعات أو مؤسسات البحث العامة؛ "2" ومساعدة الدول الأعضاء على وضع سياسات مؤسسية وخدمات دعم في مجال الملكية الفكرية تحقيقاً للتو</w:t>
      </w:r>
      <w:r w:rsidR="00B1424D">
        <w:rPr>
          <w:rFonts w:ascii="Arabic Typesetting" w:hAnsi="Arabic Typesetting" w:cs="Arabic Typesetting" w:hint="cs"/>
          <w:sz w:val="34"/>
          <w:szCs w:val="34"/>
          <w:rtl/>
          <w:lang w:val="fr-CH" w:bidi="ar-EG"/>
        </w:rPr>
        <w:t>ا</w:t>
      </w:r>
      <w:r>
        <w:rPr>
          <w:rFonts w:ascii="Arabic Typesetting" w:hAnsi="Arabic Typesetting" w:cs="Arabic Typesetting" w:hint="cs"/>
          <w:sz w:val="34"/>
          <w:szCs w:val="34"/>
          <w:rtl/>
          <w:lang w:val="fr-CH" w:bidi="ar-EG"/>
        </w:rPr>
        <w:t>زن المناسب بين حماية الملكية الفكرية والنفاذ إلى المعرفة. وأُطلق مشروع في بوتسوانا في عام 2015 يرمي إلى رسم سياسة مؤسسية نموذجية وطنية في مجال الملكية الفكرية بغية تيسير الجهود التي تبذلها الجامعات ومؤسسات البحث العامة في وضع سياساتها الداخلية.</w:t>
      </w:r>
    </w:p>
    <w:p w:rsidR="002A614F" w:rsidRPr="002A614F" w:rsidRDefault="002A614F"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sidRPr="002A614F">
        <w:rPr>
          <w:rFonts w:ascii="Arabic Typesetting" w:hAnsi="Arabic Typesetting" w:cs="Arabic Typesetting" w:hint="cs"/>
          <w:sz w:val="34"/>
          <w:szCs w:val="34"/>
          <w:rtl/>
          <w:lang w:val="fr-CH" w:bidi="ar-EG"/>
        </w:rPr>
        <w:t xml:space="preserve">وطبقاً لتوصيات جدول أعمال التنمية 19 و25 و26 و28 وفي </w:t>
      </w:r>
      <w:r w:rsidRPr="002A614F">
        <w:rPr>
          <w:rFonts w:ascii="Arabic Typesetting" w:hAnsi="Arabic Typesetting" w:cs="Arabic Typesetting"/>
          <w:sz w:val="34"/>
          <w:szCs w:val="34"/>
          <w:rtl/>
          <w:lang w:val="fr-CH" w:bidi="ar-EG"/>
        </w:rPr>
        <w:t>سياق المشروع الخاص بالملكية الفكرية ونقل التكنولوجيا: التحديات المشترك</w:t>
      </w:r>
      <w:r w:rsidRPr="002A614F">
        <w:rPr>
          <w:rFonts w:ascii="Arabic Typesetting" w:hAnsi="Arabic Typesetting" w:cs="Arabic Typesetting" w:hint="cs"/>
          <w:sz w:val="34"/>
          <w:szCs w:val="34"/>
          <w:rtl/>
          <w:lang w:val="fr-CH" w:bidi="ar-EG"/>
        </w:rPr>
        <w:t>ة و</w:t>
      </w:r>
      <w:r w:rsidRPr="002A614F">
        <w:rPr>
          <w:rFonts w:ascii="Arabic Typesetting" w:hAnsi="Arabic Typesetting" w:cs="Arabic Typesetting"/>
          <w:sz w:val="34"/>
          <w:szCs w:val="34"/>
          <w:rtl/>
          <w:lang w:val="fr-CH" w:bidi="ar-EG"/>
        </w:rPr>
        <w:t>بناء</w:t>
      </w:r>
      <w:r w:rsidRPr="002A614F">
        <w:rPr>
          <w:rFonts w:ascii="Arabic Typesetting" w:hAnsi="Arabic Typesetting" w:cs="Arabic Typesetting" w:hint="cs"/>
          <w:sz w:val="34"/>
          <w:szCs w:val="34"/>
          <w:rtl/>
          <w:lang w:val="fr-CH" w:bidi="ar-EG"/>
        </w:rPr>
        <w:t xml:space="preserve"> </w:t>
      </w:r>
      <w:r w:rsidRPr="002A614F">
        <w:rPr>
          <w:rFonts w:ascii="Arabic Typesetting" w:hAnsi="Arabic Typesetting" w:cs="Arabic Typesetting"/>
          <w:sz w:val="34"/>
          <w:szCs w:val="34"/>
          <w:rtl/>
          <w:lang w:val="fr-CH" w:bidi="ar-EG"/>
        </w:rPr>
        <w:t>الحلول</w:t>
      </w:r>
      <w:r w:rsidRPr="002A614F">
        <w:rPr>
          <w:rFonts w:ascii="Arabic Typesetting" w:hAnsi="Arabic Typesetting" w:cs="Arabic Typesetting" w:hint="cs"/>
          <w:sz w:val="34"/>
          <w:szCs w:val="34"/>
          <w:rtl/>
          <w:lang w:val="fr-CH" w:bidi="ar-EG"/>
        </w:rPr>
        <w:t>، خضعت الدراسات الست المتعلقة بجوانب نقل التكنولوجيا لاستعراض الأقران من الخبراء الدوليين، وقُدمت إلى اللجنة المعنية بالتنمية والملكية الفكرية في دورتها الرابعة عشرة التي عُقدت في نوفمبر 2014. وبعد</w:t>
      </w:r>
      <w:r w:rsidR="007B3486">
        <w:rPr>
          <w:rFonts w:ascii="Arabic Typesetting" w:hAnsi="Arabic Typesetting" w:cs="Arabic Typesetting" w:hint="eastAsia"/>
          <w:sz w:val="34"/>
          <w:szCs w:val="34"/>
          <w:rtl/>
          <w:lang w:val="fr-CH" w:bidi="ar-EG"/>
        </w:rPr>
        <w:t> </w:t>
      </w:r>
      <w:r w:rsidRPr="002A614F">
        <w:rPr>
          <w:rFonts w:ascii="Arabic Typesetting" w:hAnsi="Arabic Typesetting" w:cs="Arabic Typesetting" w:hint="cs"/>
          <w:sz w:val="34"/>
          <w:szCs w:val="34"/>
          <w:rtl/>
          <w:lang w:val="fr-CH" w:bidi="ar-EG"/>
        </w:rPr>
        <w:t xml:space="preserve">استكمال الدراسات ووفقاً لما ورد في وثيقة المشروع المعتمدة، أُعدت </w:t>
      </w:r>
      <w:r w:rsidR="00B1424D">
        <w:rPr>
          <w:rFonts w:ascii="Arabic Typesetting" w:hAnsi="Arabic Typesetting" w:cs="Arabic Typesetting" w:hint="cs"/>
          <w:sz w:val="34"/>
          <w:szCs w:val="34"/>
          <w:rtl/>
          <w:lang w:val="fr-CH" w:bidi="ar-EG"/>
        </w:rPr>
        <w:t>وثيقة تنظيرية</w:t>
      </w:r>
      <w:r w:rsidRPr="002A614F">
        <w:rPr>
          <w:rFonts w:ascii="Arabic Typesetting" w:hAnsi="Arabic Typesetting" w:cs="Arabic Typesetting" w:hint="cs"/>
          <w:sz w:val="34"/>
          <w:szCs w:val="34"/>
          <w:rtl/>
          <w:lang w:val="fr-CH" w:bidi="ar-EG"/>
        </w:rPr>
        <w:t xml:space="preserve"> </w:t>
      </w:r>
      <w:r w:rsidR="00B1424D">
        <w:rPr>
          <w:rFonts w:ascii="Arabic Typesetting" w:hAnsi="Arabic Typesetting" w:cs="Arabic Typesetting" w:hint="cs"/>
          <w:sz w:val="34"/>
          <w:szCs w:val="34"/>
          <w:rtl/>
          <w:lang w:val="fr-CH" w:bidi="ar-EG"/>
        </w:rPr>
        <w:t xml:space="preserve">عن </w:t>
      </w:r>
      <w:r w:rsidRPr="002A614F">
        <w:rPr>
          <w:rFonts w:ascii="Arabic Typesetting" w:hAnsi="Arabic Typesetting" w:cs="Arabic Typesetting" w:hint="cs"/>
          <w:sz w:val="34"/>
          <w:szCs w:val="34"/>
          <w:rtl/>
          <w:lang w:val="fr-CH" w:bidi="ar-EG"/>
        </w:rPr>
        <w:t xml:space="preserve">إيجاد الحلول </w:t>
      </w:r>
      <w:r w:rsidR="007B3486">
        <w:rPr>
          <w:rFonts w:ascii="Arabic Typesetting" w:hAnsi="Arabic Typesetting" w:cs="Arabic Typesetting" w:hint="cs"/>
          <w:sz w:val="34"/>
          <w:szCs w:val="34"/>
          <w:rtl/>
          <w:lang w:val="fr-CH" w:bidi="ar-EG"/>
        </w:rPr>
        <w:t>ونوقشت</w:t>
      </w:r>
      <w:r w:rsidRPr="002A614F">
        <w:rPr>
          <w:rFonts w:ascii="Arabic Typesetting" w:hAnsi="Arabic Typesetting" w:cs="Arabic Typesetting" w:hint="cs"/>
          <w:sz w:val="34"/>
          <w:szCs w:val="34"/>
          <w:rtl/>
          <w:lang w:val="fr-CH" w:bidi="ar-EG"/>
        </w:rPr>
        <w:t xml:space="preserve"> خلال </w:t>
      </w:r>
      <w:r w:rsidRPr="002A614F">
        <w:rPr>
          <w:rFonts w:ascii="Arabic Typesetting" w:hAnsi="Arabic Typesetting" w:cs="Arabic Typesetting"/>
          <w:sz w:val="34"/>
          <w:szCs w:val="34"/>
          <w:rtl/>
          <w:lang w:val="fr-CH" w:bidi="ar-EG"/>
        </w:rPr>
        <w:t xml:space="preserve">المنتدى </w:t>
      </w:r>
      <w:r w:rsidRPr="002A614F">
        <w:rPr>
          <w:rFonts w:ascii="Arabic Typesetting" w:hAnsi="Arabic Typesetting" w:cs="Arabic Typesetting" w:hint="cs"/>
          <w:sz w:val="34"/>
          <w:szCs w:val="34"/>
          <w:rtl/>
          <w:lang w:val="fr-CH" w:bidi="ar-EG"/>
        </w:rPr>
        <w:t>ال</w:t>
      </w:r>
      <w:r w:rsidRPr="002A614F">
        <w:rPr>
          <w:rFonts w:ascii="Arabic Typesetting" w:hAnsi="Arabic Typesetting" w:cs="Arabic Typesetting"/>
          <w:sz w:val="34"/>
          <w:szCs w:val="34"/>
          <w:rtl/>
          <w:lang w:val="fr-CH" w:bidi="ar-EG"/>
        </w:rPr>
        <w:t>رفيع المستوى للخبراء الدوليين</w:t>
      </w:r>
      <w:r w:rsidRPr="002A614F">
        <w:rPr>
          <w:rFonts w:ascii="Arabic Typesetting" w:hAnsi="Arabic Typesetting" w:cs="Arabic Typesetting" w:hint="cs"/>
          <w:sz w:val="34"/>
          <w:szCs w:val="34"/>
          <w:rtl/>
          <w:lang w:val="fr-CH" w:bidi="ar-EG"/>
        </w:rPr>
        <w:t xml:space="preserve"> </w:t>
      </w:r>
      <w:r w:rsidR="007B3486">
        <w:rPr>
          <w:rFonts w:ascii="Arabic Typesetting" w:hAnsi="Arabic Typesetting" w:cs="Arabic Typesetting" w:hint="cs"/>
          <w:sz w:val="34"/>
          <w:szCs w:val="34"/>
          <w:rtl/>
          <w:lang w:val="fr-CH" w:bidi="ar-EG"/>
        </w:rPr>
        <w:t>الذي عُقد</w:t>
      </w:r>
      <w:r w:rsidRPr="002A614F">
        <w:rPr>
          <w:rFonts w:ascii="Arabic Typesetting" w:hAnsi="Arabic Typesetting" w:cs="Arabic Typesetting" w:hint="cs"/>
          <w:sz w:val="34"/>
          <w:szCs w:val="34"/>
          <w:rtl/>
          <w:lang w:val="fr-CH" w:bidi="ar-EG"/>
        </w:rPr>
        <w:t xml:space="preserve"> في جنيف في </w:t>
      </w:r>
      <w:r w:rsidR="007B3486">
        <w:rPr>
          <w:rFonts w:ascii="Arabic Typesetting" w:hAnsi="Arabic Typesetting" w:cs="Arabic Typesetting" w:hint="cs"/>
          <w:sz w:val="34"/>
          <w:szCs w:val="34"/>
          <w:rtl/>
          <w:lang w:val="fr-CH" w:bidi="ar-EG"/>
        </w:rPr>
        <w:t xml:space="preserve">الفترة الممتدة من 16 إلى 18 فبراير 2015. وقدِّم تقرير </w:t>
      </w:r>
      <w:r w:rsidR="007B3486" w:rsidRPr="007B3486">
        <w:rPr>
          <w:rFonts w:ascii="Arabic Typesetting" w:hAnsi="Arabic Typesetting" w:cs="Arabic Typesetting"/>
          <w:sz w:val="34"/>
          <w:szCs w:val="34"/>
          <w:rtl/>
          <w:lang w:val="fr-CH" w:bidi="ar-EG"/>
        </w:rPr>
        <w:t>عن منتدى خبراء الويبو بشأن نقل التكنولوجيا على الصعيد الدولي</w:t>
      </w:r>
      <w:r w:rsidR="007B3486">
        <w:rPr>
          <w:rFonts w:ascii="Arabic Typesetting" w:hAnsi="Arabic Typesetting" w:cs="Arabic Typesetting" w:hint="cs"/>
          <w:sz w:val="34"/>
          <w:szCs w:val="34"/>
          <w:rtl/>
          <w:lang w:val="fr-CH" w:bidi="ar-EG"/>
        </w:rPr>
        <w:t xml:space="preserve"> إلى اللجنة المذكورة في دورتها الخامسة عشرة وناقشته اللجنة مشفوعاً بتقرير تقييم المشروع خلال دورتها السادسة عشرة.</w:t>
      </w:r>
    </w:p>
    <w:p w:rsidR="002A614F" w:rsidRPr="002A614F" w:rsidRDefault="002A614F"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sidRPr="002A614F">
        <w:rPr>
          <w:rFonts w:ascii="Arabic Typesetting" w:hAnsi="Arabic Typesetting" w:cs="Arabic Typesetting" w:hint="cs"/>
          <w:sz w:val="34"/>
          <w:szCs w:val="34"/>
          <w:rtl/>
          <w:lang w:val="fr-CH" w:bidi="ar-EG"/>
        </w:rPr>
        <w:t>وفيما يخص التوصية 36 من جدول أعمال التنمية و</w:t>
      </w:r>
      <w:r w:rsidRPr="002A614F">
        <w:rPr>
          <w:rFonts w:ascii="Arabic Typesetting" w:hAnsi="Arabic Typesetting" w:cs="Arabic Typesetting"/>
          <w:sz w:val="34"/>
          <w:szCs w:val="34"/>
          <w:rtl/>
          <w:lang w:val="fr-CH" w:bidi="ar-EG"/>
        </w:rPr>
        <w:t>في إطار مشروع المشروعات التعاونية المفتوحة والنماذج القائمة على الملكية الفكرية، نُظّم اجتماع خبراء في مقر الويبو</w:t>
      </w:r>
      <w:r w:rsidRPr="002A614F">
        <w:rPr>
          <w:rFonts w:ascii="Arabic Typesetting" w:hAnsi="Arabic Typesetting" w:cs="Arabic Typesetting" w:hint="cs"/>
          <w:sz w:val="34"/>
          <w:szCs w:val="34"/>
          <w:rtl/>
          <w:lang w:val="fr-CH" w:bidi="ar-EG"/>
        </w:rPr>
        <w:t xml:space="preserve"> من خلال</w:t>
      </w:r>
      <w:r w:rsidRPr="002A614F">
        <w:rPr>
          <w:rFonts w:ascii="Arabic Typesetting" w:hAnsi="Arabic Typesetting" w:cs="Arabic Typesetting"/>
          <w:sz w:val="34"/>
          <w:szCs w:val="34"/>
          <w:rtl/>
          <w:lang w:val="fr-CH" w:bidi="ar-EG"/>
        </w:rPr>
        <w:t xml:space="preserve"> مؤتمر الويبو بشأن الابتكار المفتوح: المشروعات التعاونية ومستقبل المعرفة، الذي عُقد في يناي</w:t>
      </w:r>
      <w:r w:rsidRPr="002A614F">
        <w:rPr>
          <w:rFonts w:ascii="Arabic Typesetting" w:hAnsi="Arabic Typesetting" w:cs="Arabic Typesetting" w:hint="cs"/>
          <w:sz w:val="34"/>
          <w:szCs w:val="34"/>
          <w:rtl/>
          <w:lang w:val="fr-CH" w:bidi="ar-EG"/>
        </w:rPr>
        <w:t xml:space="preserve">ر 2014. وإضافة إلى ذلك، </w:t>
      </w:r>
      <w:r w:rsidRPr="002A614F">
        <w:rPr>
          <w:rFonts w:ascii="Arabic Typesetting" w:hAnsi="Arabic Typesetting" w:cs="Arabic Typesetting"/>
          <w:sz w:val="34"/>
          <w:szCs w:val="34"/>
          <w:rtl/>
          <w:lang w:val="fr-CH" w:bidi="ar-EG"/>
        </w:rPr>
        <w:t xml:space="preserve">عُرضت على </w:t>
      </w:r>
      <w:r w:rsidRPr="002A614F">
        <w:rPr>
          <w:rFonts w:ascii="Arabic Typesetting" w:hAnsi="Arabic Typesetting" w:cs="Arabic Typesetting" w:hint="cs"/>
          <w:sz w:val="34"/>
          <w:szCs w:val="34"/>
          <w:rtl/>
          <w:lang w:val="fr-CH" w:bidi="ar-EG"/>
        </w:rPr>
        <w:t>ال</w:t>
      </w:r>
      <w:r w:rsidRPr="002A614F">
        <w:rPr>
          <w:rFonts w:ascii="Arabic Typesetting" w:hAnsi="Arabic Typesetting" w:cs="Arabic Typesetting"/>
          <w:sz w:val="34"/>
          <w:szCs w:val="34"/>
          <w:rtl/>
          <w:lang w:val="fr-CH" w:bidi="ar-EG"/>
        </w:rPr>
        <w:t xml:space="preserve">لجنة </w:t>
      </w:r>
      <w:r w:rsidRPr="002A614F">
        <w:rPr>
          <w:rFonts w:ascii="Arabic Typesetting" w:hAnsi="Arabic Typesetting" w:cs="Arabic Typesetting" w:hint="cs"/>
          <w:sz w:val="34"/>
          <w:szCs w:val="34"/>
          <w:rtl/>
          <w:lang w:val="fr-CH" w:bidi="ar-EG"/>
        </w:rPr>
        <w:t>المعنية ب</w:t>
      </w:r>
      <w:r w:rsidRPr="002A614F">
        <w:rPr>
          <w:rFonts w:ascii="Arabic Typesetting" w:hAnsi="Arabic Typesetting" w:cs="Arabic Typesetting"/>
          <w:sz w:val="34"/>
          <w:szCs w:val="34"/>
          <w:rtl/>
          <w:lang w:val="fr-CH" w:bidi="ar-EG"/>
        </w:rPr>
        <w:t>التنمية</w:t>
      </w:r>
      <w:r w:rsidRPr="002A614F">
        <w:rPr>
          <w:rFonts w:ascii="Arabic Typesetting" w:hAnsi="Arabic Typesetting" w:cs="Arabic Typesetting" w:hint="cs"/>
          <w:sz w:val="34"/>
          <w:szCs w:val="34"/>
          <w:rtl/>
          <w:lang w:val="fr-CH" w:bidi="ar-EG"/>
        </w:rPr>
        <w:t xml:space="preserve"> والملكية الفكرية</w:t>
      </w:r>
      <w:r w:rsidRPr="002A614F">
        <w:rPr>
          <w:rFonts w:ascii="Arabic Typesetting" w:hAnsi="Arabic Typesetting" w:cs="Arabic Typesetting"/>
          <w:sz w:val="34"/>
          <w:szCs w:val="34"/>
          <w:rtl/>
          <w:lang w:val="fr-CH" w:bidi="ar-EG"/>
        </w:rPr>
        <w:t xml:space="preserve"> في دورتها الرابعة عشرة دراسة تقييمية معمّقة ودراسة عن التدفقات المعرفية العالمية لإدراجهما في المنصة التفاعلية المزمع إنشاؤها.</w:t>
      </w:r>
      <w:r w:rsidR="007B3486">
        <w:rPr>
          <w:rFonts w:ascii="Arabic Typesetting" w:hAnsi="Arabic Typesetting" w:cs="Arabic Typesetting" w:hint="cs"/>
          <w:sz w:val="34"/>
          <w:szCs w:val="34"/>
          <w:rtl/>
          <w:lang w:val="fr-CH" w:bidi="ar-EG"/>
        </w:rPr>
        <w:t xml:space="preserve"> وناقشت اللجنة تقرير</w:t>
      </w:r>
      <w:r w:rsidR="00B1424D">
        <w:rPr>
          <w:rFonts w:ascii="Arabic Typesetting" w:hAnsi="Arabic Typesetting" w:cs="Arabic Typesetting" w:hint="cs"/>
          <w:sz w:val="34"/>
          <w:szCs w:val="34"/>
          <w:rtl/>
          <w:lang w:val="fr-CH" w:bidi="ar-EG"/>
        </w:rPr>
        <w:t>اً</w:t>
      </w:r>
      <w:r w:rsidR="007B3486">
        <w:rPr>
          <w:rFonts w:ascii="Arabic Typesetting" w:hAnsi="Arabic Typesetting" w:cs="Arabic Typesetting" w:hint="cs"/>
          <w:sz w:val="34"/>
          <w:szCs w:val="34"/>
          <w:rtl/>
          <w:lang w:val="fr-CH" w:bidi="ar-EG"/>
        </w:rPr>
        <w:t xml:space="preserve"> تقي</w:t>
      </w:r>
      <w:r w:rsidR="00B1424D">
        <w:rPr>
          <w:rFonts w:ascii="Arabic Typesetting" w:hAnsi="Arabic Typesetting" w:cs="Arabic Typesetting" w:hint="cs"/>
          <w:sz w:val="34"/>
          <w:szCs w:val="34"/>
          <w:rtl/>
          <w:lang w:val="fr-CH" w:bidi="ar-EG"/>
        </w:rPr>
        <w:t>يمياً</w:t>
      </w:r>
      <w:r w:rsidR="007B3486">
        <w:rPr>
          <w:rFonts w:ascii="Arabic Typesetting" w:hAnsi="Arabic Typesetting" w:cs="Arabic Typesetting" w:hint="cs"/>
          <w:sz w:val="34"/>
          <w:szCs w:val="34"/>
          <w:rtl/>
          <w:lang w:val="fr-CH" w:bidi="ar-EG"/>
        </w:rPr>
        <w:t xml:space="preserve"> للمشروع في دورتها الخامسة عشرة.</w:t>
      </w:r>
    </w:p>
    <w:p w:rsidR="002A614F" w:rsidRPr="002A614F" w:rsidRDefault="002A614F" w:rsidP="00B011A1">
      <w:pPr>
        <w:keepNext/>
        <w:bidi/>
        <w:spacing w:before="120" w:after="120" w:line="360" w:lineRule="exact"/>
        <w:rPr>
          <w:rFonts w:ascii="Arabic Typesetting" w:hAnsi="Arabic Typesetting" w:cs="Arabic Typesetting"/>
          <w:sz w:val="34"/>
          <w:szCs w:val="34"/>
          <w:rtl/>
          <w:lang w:bidi="ar-EG"/>
        </w:rPr>
      </w:pPr>
      <w:r w:rsidRPr="002A614F">
        <w:rPr>
          <w:rFonts w:ascii="Arabic Typesetting" w:hAnsi="Arabic Typesetting" w:cs="Arabic Typesetting"/>
          <w:sz w:val="34"/>
          <w:szCs w:val="34"/>
          <w:rtl/>
          <w:lang w:bidi="ar-EG"/>
        </w:rPr>
        <w:t>بيانات الأداء</w:t>
      </w:r>
    </w:p>
    <w:tbl>
      <w:tblPr>
        <w:bidiVisual/>
        <w:tblW w:w="0" w:type="auto"/>
        <w:tblInd w:w="114" w:type="dxa"/>
        <w:tblLook w:val="04A0" w:firstRow="1" w:lastRow="0" w:firstColumn="1" w:lastColumn="0" w:noHBand="0" w:noVBand="1"/>
      </w:tblPr>
      <w:tblGrid>
        <w:gridCol w:w="2261"/>
        <w:gridCol w:w="1843"/>
        <w:gridCol w:w="1502"/>
        <w:gridCol w:w="2893"/>
        <w:gridCol w:w="847"/>
      </w:tblGrid>
      <w:tr w:rsidR="007B3486" w:rsidRPr="00756EA1" w:rsidTr="00FE0236">
        <w:trPr>
          <w:cantSplit/>
        </w:trPr>
        <w:tc>
          <w:tcPr>
            <w:tcW w:w="9346"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tcPr>
          <w:p w:rsidR="007B3486" w:rsidRPr="00756EA1" w:rsidRDefault="007B3486" w:rsidP="00FE0236">
            <w:pPr>
              <w:keepNext/>
              <w:bidi/>
              <w:spacing w:after="60" w:line="280" w:lineRule="exact"/>
              <w:ind w:left="1167" w:hanging="1167"/>
              <w:rPr>
                <w:rFonts w:ascii="Arabic Typesetting" w:hAnsi="Arabic Typesetting" w:cs="Arabic Typesetting"/>
                <w:sz w:val="28"/>
                <w:szCs w:val="28"/>
                <w:rtl/>
                <w:lang w:bidi="ar-EG"/>
              </w:rPr>
            </w:pPr>
            <w:r w:rsidRPr="00756EA1">
              <w:rPr>
                <w:rFonts w:ascii="Arabic Typesetting" w:hAnsi="Arabic Typesetting" w:cs="Arabic Typesetting"/>
                <w:b/>
                <w:bCs/>
                <w:sz w:val="28"/>
                <w:szCs w:val="28"/>
                <w:rtl/>
                <w:lang w:bidi="ar-EG"/>
              </w:rPr>
              <w:t>النتيجة المرتقبة:</w:t>
            </w:r>
            <w:r w:rsidRPr="00756EA1">
              <w:rPr>
                <w:rFonts w:ascii="Arabic Typesetting" w:hAnsi="Arabic Typesetting" w:cs="Arabic Typesetting"/>
                <w:b/>
                <w:bCs/>
                <w:sz w:val="28"/>
                <w:szCs w:val="28"/>
                <w:rtl/>
                <w:lang w:bidi="ar-EG"/>
              </w:rPr>
              <w:tab/>
            </w:r>
            <w:r w:rsidRPr="00756EA1">
              <w:rPr>
                <w:rFonts w:ascii="Arabic Typesetting" w:hAnsi="Arabic Typesetting" w:cs="Arabic Typesetting"/>
                <w:sz w:val="28"/>
                <w:szCs w:val="28"/>
                <w:rtl/>
                <w:lang w:bidi="ar-EG"/>
              </w:rPr>
              <w:t>ه1.3</w:t>
            </w:r>
            <w:r w:rsidR="00F94059" w:rsidRPr="00756EA1">
              <w:rPr>
                <w:rFonts w:ascii="Arabic Typesetting" w:hAnsi="Arabic Typesetting" w:cs="Arabic Typesetting"/>
                <w:sz w:val="28"/>
                <w:szCs w:val="28"/>
                <w:rtl/>
              </w:rPr>
              <w:t xml:space="preserve"> </w:t>
            </w:r>
            <w:r w:rsidRPr="00756EA1">
              <w:rPr>
                <w:rFonts w:ascii="Arabic Typesetting" w:hAnsi="Arabic Typesetting" w:cs="Arabic Typesetting"/>
                <w:sz w:val="28"/>
                <w:szCs w:val="28"/>
                <w:rtl/>
                <w:lang w:bidi="ar-EG"/>
              </w:rPr>
              <w:t>استراتيجيات وخطط وطنية في مجالي الابتكار والملكية الفكرية تتماشى مع الأهداف الإنمائية الوطنية</w:t>
            </w:r>
          </w:p>
        </w:tc>
      </w:tr>
      <w:tr w:rsidR="002A614F" w:rsidRPr="00756EA1" w:rsidTr="00FE0236">
        <w:trPr>
          <w:cantSplit/>
        </w:trPr>
        <w:tc>
          <w:tcPr>
            <w:tcW w:w="2261" w:type="dxa"/>
            <w:tcBorders>
              <w:top w:val="single" w:sz="4" w:space="0" w:color="auto"/>
              <w:left w:val="single" w:sz="4" w:space="0" w:color="auto"/>
              <w:bottom w:val="nil"/>
              <w:right w:val="nil"/>
            </w:tcBorders>
          </w:tcPr>
          <w:p w:rsidR="002A614F" w:rsidRPr="00756EA1" w:rsidRDefault="007B3486"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مؤشرات الأداء</w:t>
            </w:r>
          </w:p>
        </w:tc>
        <w:tc>
          <w:tcPr>
            <w:tcW w:w="1843"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أسس المقارنة</w:t>
            </w:r>
          </w:p>
        </w:tc>
        <w:tc>
          <w:tcPr>
            <w:tcW w:w="1502"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الأهداف</w:t>
            </w:r>
          </w:p>
        </w:tc>
        <w:tc>
          <w:tcPr>
            <w:tcW w:w="2893"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بيانات الأداء</w:t>
            </w:r>
          </w:p>
        </w:tc>
        <w:tc>
          <w:tcPr>
            <w:tcW w:w="847" w:type="dxa"/>
            <w:tcBorders>
              <w:top w:val="single" w:sz="4" w:space="0" w:color="auto"/>
              <w:left w:val="nil"/>
              <w:bottom w:val="nil"/>
              <w:right w:val="single" w:sz="4" w:space="0" w:color="auto"/>
            </w:tcBorders>
          </w:tcPr>
          <w:p w:rsidR="002A614F" w:rsidRPr="00756EA1" w:rsidRDefault="002A614F" w:rsidP="00FE0236">
            <w:pPr>
              <w:keepNext/>
              <w:bidi/>
              <w:spacing w:before="60" w:after="60" w:line="280" w:lineRule="exact"/>
              <w:jc w:val="center"/>
              <w:rPr>
                <w:rFonts w:ascii="Arabic Typesetting" w:hAnsi="Arabic Typesetting" w:cs="Arabic Typesetting"/>
                <w:b/>
                <w:bCs/>
                <w:sz w:val="28"/>
                <w:szCs w:val="28"/>
                <w:lang w:bidi="ar-EG"/>
              </w:rPr>
            </w:pPr>
            <w:r w:rsidRPr="00756EA1">
              <w:rPr>
                <w:rFonts w:ascii="Arabic Typesetting" w:hAnsi="Arabic Typesetting" w:cs="Arabic Typesetting"/>
                <w:b/>
                <w:bCs/>
                <w:sz w:val="28"/>
                <w:szCs w:val="28"/>
                <w:rtl/>
                <w:lang w:bidi="ar-EG"/>
              </w:rPr>
              <w:t>السير</w:t>
            </w:r>
          </w:p>
        </w:tc>
      </w:tr>
      <w:tr w:rsidR="002A614F" w:rsidRPr="00756EA1" w:rsidTr="00FE0236">
        <w:trPr>
          <w:cantSplit/>
        </w:trPr>
        <w:tc>
          <w:tcPr>
            <w:tcW w:w="2261" w:type="dxa"/>
            <w:tcBorders>
              <w:top w:val="nil"/>
              <w:left w:val="single" w:sz="4" w:space="0" w:color="auto"/>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عدد البلدان التي استهلت أو اعتمدت أو تطبق سياسة وطنية في مجال الابتكار</w:t>
            </w:r>
          </w:p>
        </w:tc>
        <w:tc>
          <w:tcPr>
            <w:tcW w:w="184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b/>
                <w:color w:val="002060"/>
                <w:sz w:val="28"/>
                <w:szCs w:val="28"/>
                <w:lang w:bidi="ar-EG"/>
              </w:rPr>
            </w:pPr>
            <w:r w:rsidRPr="00756EA1">
              <w:rPr>
                <w:rFonts w:ascii="Arabic Typesetting" w:hAnsi="Arabic Typesetting" w:cs="Arabic Typesetting"/>
                <w:b/>
                <w:i/>
                <w:iCs/>
                <w:color w:val="002060"/>
                <w:sz w:val="28"/>
                <w:szCs w:val="28"/>
                <w:rtl/>
                <w:lang w:bidi="ar-EG"/>
              </w:rPr>
              <w:t xml:space="preserve">أسس المقارنة المحدّثة في نهاية 2013: </w:t>
            </w:r>
            <w:r w:rsidRPr="00756EA1">
              <w:rPr>
                <w:rFonts w:ascii="Arabic Typesetting" w:hAnsi="Arabic Typesetting" w:cs="Arabic Typesetting"/>
                <w:b/>
                <w:color w:val="002060"/>
                <w:sz w:val="28"/>
                <w:szCs w:val="28"/>
                <w:rtl/>
                <w:lang w:bidi="ar-EG"/>
              </w:rPr>
              <w:t>بلد واحد</w:t>
            </w:r>
          </w:p>
          <w:p w:rsidR="002A614F" w:rsidRPr="00756EA1" w:rsidRDefault="002A614F" w:rsidP="00FE0236">
            <w:pPr>
              <w:bidi/>
              <w:spacing w:before="60" w:after="60" w:line="280" w:lineRule="exact"/>
              <w:rPr>
                <w:rFonts w:ascii="Arabic Typesetting" w:hAnsi="Arabic Typesetting" w:cs="Arabic Typesetting"/>
                <w:i/>
                <w:iCs/>
                <w:sz w:val="28"/>
                <w:szCs w:val="28"/>
                <w:rtl/>
                <w:lang w:bidi="ar-EG"/>
              </w:rPr>
            </w:pPr>
            <w:r w:rsidRPr="00756EA1">
              <w:rPr>
                <w:rFonts w:ascii="Arabic Typesetting" w:hAnsi="Arabic Typesetting" w:cs="Arabic Typesetting"/>
                <w:i/>
                <w:iCs/>
                <w:sz w:val="28"/>
                <w:szCs w:val="28"/>
                <w:rtl/>
                <w:lang w:bidi="ar-EG"/>
              </w:rPr>
              <w:t xml:space="preserve">أسس المقارنة الأصلية: برنامج وميزانية </w:t>
            </w:r>
            <w:r w:rsidR="00507DE2">
              <w:rPr>
                <w:rFonts w:ascii="Arabic Typesetting" w:hAnsi="Arabic Typesetting" w:cs="Arabic Typesetting"/>
                <w:i/>
                <w:iCs/>
                <w:sz w:val="28"/>
                <w:szCs w:val="28"/>
                <w:rtl/>
                <w:lang w:bidi="ar-EG"/>
              </w:rPr>
              <w:t>2014/15</w:t>
            </w:r>
            <w:r w:rsidRPr="00756EA1">
              <w:rPr>
                <w:rFonts w:ascii="Arabic Typesetting" w:hAnsi="Arabic Typesetting" w:cs="Arabic Typesetting"/>
                <w:i/>
                <w:iCs/>
                <w:sz w:val="28"/>
                <w:szCs w:val="28"/>
                <w:rtl/>
                <w:lang w:bidi="ar-EG"/>
              </w:rPr>
              <w:t>:</w:t>
            </w:r>
          </w:p>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1502"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5 بلدان</w:t>
            </w:r>
          </w:p>
        </w:tc>
        <w:tc>
          <w:tcPr>
            <w:tcW w:w="289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 xml:space="preserve">استُهلت سياسات وطنية للابتكار في البلدان </w:t>
            </w:r>
            <w:r w:rsidR="00F94059" w:rsidRPr="00756EA1">
              <w:rPr>
                <w:rFonts w:ascii="Arabic Typesetting" w:hAnsi="Arabic Typesetting" w:cs="Arabic Typesetting"/>
                <w:sz w:val="28"/>
                <w:szCs w:val="28"/>
                <w:rtl/>
                <w:lang w:bidi="ar-EG"/>
              </w:rPr>
              <w:t>الخمسة</w:t>
            </w:r>
            <w:r w:rsidRPr="00756EA1">
              <w:rPr>
                <w:rFonts w:ascii="Arabic Typesetting" w:hAnsi="Arabic Typesetting" w:cs="Arabic Typesetting"/>
                <w:sz w:val="28"/>
                <w:szCs w:val="28"/>
                <w:rtl/>
                <w:lang w:bidi="ar-EG"/>
              </w:rPr>
              <w:t xml:space="preserve"> التالية: الكاميرون</w:t>
            </w:r>
            <w:r w:rsidR="00F94059" w:rsidRPr="00756EA1">
              <w:rPr>
                <w:rFonts w:ascii="Arabic Typesetting" w:hAnsi="Arabic Typesetting" w:cs="Arabic Typesetting"/>
                <w:sz w:val="28"/>
                <w:szCs w:val="28"/>
                <w:rtl/>
                <w:lang w:bidi="ar-EG"/>
              </w:rPr>
              <w:t xml:space="preserve"> وجامايكا</w:t>
            </w:r>
            <w:r w:rsidRPr="00756EA1">
              <w:rPr>
                <w:rFonts w:ascii="Arabic Typesetting" w:hAnsi="Arabic Typesetting" w:cs="Arabic Typesetting"/>
                <w:sz w:val="28"/>
                <w:szCs w:val="28"/>
                <w:rtl/>
                <w:lang w:bidi="ar-EG"/>
              </w:rPr>
              <w:t xml:space="preserve"> ورواندا </w:t>
            </w:r>
            <w:r w:rsidR="00F94059" w:rsidRPr="00756EA1">
              <w:rPr>
                <w:rFonts w:ascii="Arabic Typesetting" w:hAnsi="Arabic Typesetting" w:cs="Arabic Typesetting"/>
                <w:sz w:val="28"/>
                <w:szCs w:val="28"/>
                <w:rtl/>
                <w:lang w:bidi="ar-EG"/>
              </w:rPr>
              <w:t xml:space="preserve">وسري </w:t>
            </w:r>
            <w:proofErr w:type="spellStart"/>
            <w:r w:rsidR="00F94059" w:rsidRPr="00756EA1">
              <w:rPr>
                <w:rFonts w:ascii="Arabic Typesetting" w:hAnsi="Arabic Typesetting" w:cs="Arabic Typesetting"/>
                <w:sz w:val="28"/>
                <w:szCs w:val="28"/>
                <w:rtl/>
                <w:lang w:bidi="ar-EG"/>
              </w:rPr>
              <w:t>لانكا</w:t>
            </w:r>
            <w:proofErr w:type="spellEnd"/>
            <w:r w:rsidR="00F94059" w:rsidRPr="00756EA1">
              <w:rPr>
                <w:rFonts w:ascii="Arabic Typesetting" w:hAnsi="Arabic Typesetting" w:cs="Arabic Typesetting"/>
                <w:sz w:val="28"/>
                <w:szCs w:val="28"/>
                <w:rtl/>
                <w:lang w:bidi="ar-EG"/>
              </w:rPr>
              <w:t xml:space="preserve"> </w:t>
            </w:r>
            <w:proofErr w:type="spellStart"/>
            <w:r w:rsidR="00F94059" w:rsidRPr="00756EA1">
              <w:rPr>
                <w:rFonts w:ascii="Arabic Typesetting" w:hAnsi="Arabic Typesetting" w:cs="Arabic Typesetting"/>
                <w:sz w:val="28"/>
                <w:szCs w:val="28"/>
                <w:rtl/>
                <w:lang w:bidi="ar-EG"/>
              </w:rPr>
              <w:t>وترينيدا</w:t>
            </w:r>
            <w:proofErr w:type="spellEnd"/>
            <w:r w:rsidR="00F94059" w:rsidRPr="00756EA1">
              <w:rPr>
                <w:rFonts w:ascii="Arabic Typesetting" w:hAnsi="Arabic Typesetting" w:cs="Arabic Typesetting"/>
                <w:sz w:val="28"/>
                <w:szCs w:val="28"/>
                <w:rtl/>
                <w:lang w:bidi="ar-EG"/>
              </w:rPr>
              <w:t xml:space="preserve"> وتوباغو</w:t>
            </w:r>
            <w:r w:rsidRPr="00756EA1">
              <w:rPr>
                <w:rFonts w:ascii="Arabic Typesetting" w:hAnsi="Arabic Typesetting" w:cs="Arabic Typesetting"/>
                <w:sz w:val="28"/>
                <w:szCs w:val="28"/>
                <w:rtl/>
                <w:lang w:bidi="ar-EG"/>
              </w:rPr>
              <w:t>.</w:t>
            </w:r>
          </w:p>
        </w:tc>
        <w:tc>
          <w:tcPr>
            <w:tcW w:w="847" w:type="dxa"/>
            <w:tcBorders>
              <w:top w:val="nil"/>
              <w:left w:val="nil"/>
              <w:bottom w:val="single" w:sz="4" w:space="0" w:color="auto"/>
              <w:right w:val="single" w:sz="4" w:space="0" w:color="auto"/>
            </w:tcBorders>
          </w:tcPr>
          <w:p w:rsidR="002A614F" w:rsidRPr="00756EA1" w:rsidRDefault="00F94059" w:rsidP="00FE0236">
            <w:pPr>
              <w:keepNext/>
              <w:bidi/>
              <w:spacing w:before="60" w:after="60" w:line="280" w:lineRule="exact"/>
              <w:jc w:val="center"/>
              <w:rPr>
                <w:rFonts w:ascii="Arabic Typesetting" w:hAnsi="Arabic Typesetting" w:cs="Arabic Typesetting"/>
                <w:sz w:val="28"/>
                <w:szCs w:val="28"/>
                <w:lang w:bidi="ar-EG"/>
              </w:rPr>
            </w:pPr>
            <w:r w:rsidRPr="00756EA1">
              <w:rPr>
                <w:rFonts w:ascii="Arabic Typesetting" w:hAnsi="Arabic Typesetting" w:cs="Arabic Typesetting"/>
                <w:b/>
                <w:bCs/>
                <w:color w:val="008000"/>
                <w:sz w:val="28"/>
                <w:szCs w:val="28"/>
                <w:rtl/>
                <w:lang w:bidi="ar-EG"/>
              </w:rPr>
              <w:t>محقق كلياً</w:t>
            </w:r>
          </w:p>
        </w:tc>
      </w:tr>
      <w:tr w:rsidR="00F94059" w:rsidRPr="00756EA1" w:rsidTr="00FE0236">
        <w:trPr>
          <w:cantSplit/>
        </w:trPr>
        <w:tc>
          <w:tcPr>
            <w:tcW w:w="9346" w:type="dxa"/>
            <w:gridSpan w:val="5"/>
            <w:tcBorders>
              <w:left w:val="single" w:sz="4" w:space="0" w:color="auto"/>
              <w:bottom w:val="single" w:sz="4" w:space="0" w:color="auto"/>
              <w:right w:val="single" w:sz="4" w:space="0" w:color="auto"/>
            </w:tcBorders>
            <w:shd w:val="clear" w:color="auto" w:fill="C6D9F1" w:themeFill="text2" w:themeFillTint="33"/>
          </w:tcPr>
          <w:p w:rsidR="00F94059" w:rsidRPr="00756EA1" w:rsidRDefault="00F94059" w:rsidP="00FE0236">
            <w:pPr>
              <w:keepNext/>
              <w:bidi/>
              <w:spacing w:after="60" w:line="280" w:lineRule="exact"/>
              <w:ind w:left="1167" w:hanging="1167"/>
              <w:rPr>
                <w:rFonts w:ascii="Arabic Typesetting" w:hAnsi="Arabic Typesetting" w:cs="Arabic Typesetting"/>
                <w:sz w:val="28"/>
                <w:szCs w:val="28"/>
                <w:rtl/>
                <w:lang w:bidi="ar-EG"/>
              </w:rPr>
            </w:pPr>
            <w:r w:rsidRPr="00756EA1">
              <w:rPr>
                <w:rFonts w:ascii="Arabic Typesetting" w:hAnsi="Arabic Typesetting" w:cs="Arabic Typesetting"/>
                <w:b/>
                <w:bCs/>
                <w:sz w:val="28"/>
                <w:szCs w:val="28"/>
                <w:rtl/>
                <w:lang w:bidi="ar-EG"/>
              </w:rPr>
              <w:t>النتيجة المرتقبة:</w:t>
            </w:r>
            <w:r w:rsidRPr="00756EA1">
              <w:rPr>
                <w:rFonts w:ascii="Arabic Typesetting" w:hAnsi="Arabic Typesetting" w:cs="Arabic Typesetting"/>
                <w:b/>
                <w:bCs/>
                <w:sz w:val="28"/>
                <w:szCs w:val="28"/>
                <w:rtl/>
                <w:lang w:bidi="ar-EG"/>
              </w:rPr>
              <w:tab/>
            </w:r>
            <w:r w:rsidRPr="00756EA1">
              <w:rPr>
                <w:rFonts w:ascii="Arabic Typesetting" w:hAnsi="Arabic Typesetting" w:cs="Arabic Typesetting"/>
                <w:sz w:val="28"/>
                <w:szCs w:val="28"/>
                <w:rtl/>
                <w:lang w:bidi="ar-EG"/>
              </w:rPr>
              <w:t xml:space="preserve">ه2.3 </w:t>
            </w:r>
            <w:r w:rsidR="000432CA">
              <w:rPr>
                <w:rFonts w:ascii="Arabic Typesetting" w:hAnsi="Arabic Typesetting" w:cs="Arabic Typesetting"/>
                <w:sz w:val="28"/>
                <w:szCs w:val="28"/>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2A614F" w:rsidRPr="00756EA1" w:rsidTr="00FE0236">
        <w:trPr>
          <w:cantSplit/>
        </w:trPr>
        <w:tc>
          <w:tcPr>
            <w:tcW w:w="2261" w:type="dxa"/>
            <w:tcBorders>
              <w:left w:val="single" w:sz="4" w:space="0" w:color="auto"/>
              <w:bottom w:val="nil"/>
              <w:right w:val="nil"/>
            </w:tcBorders>
          </w:tcPr>
          <w:p w:rsidR="002A614F" w:rsidRPr="00756EA1" w:rsidRDefault="00F94059"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مؤشرات الأداء</w:t>
            </w:r>
          </w:p>
        </w:tc>
        <w:tc>
          <w:tcPr>
            <w:tcW w:w="1843" w:type="dxa"/>
            <w:tcBorders>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أسس المقارنة</w:t>
            </w:r>
          </w:p>
        </w:tc>
        <w:tc>
          <w:tcPr>
            <w:tcW w:w="1502" w:type="dxa"/>
            <w:tcBorders>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الأهداف</w:t>
            </w:r>
          </w:p>
        </w:tc>
        <w:tc>
          <w:tcPr>
            <w:tcW w:w="2893" w:type="dxa"/>
            <w:tcBorders>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بيانات الأداء</w:t>
            </w:r>
          </w:p>
        </w:tc>
        <w:tc>
          <w:tcPr>
            <w:tcW w:w="847" w:type="dxa"/>
            <w:tcBorders>
              <w:left w:val="nil"/>
              <w:bottom w:val="nil"/>
              <w:right w:val="single" w:sz="4" w:space="0" w:color="auto"/>
            </w:tcBorders>
          </w:tcPr>
          <w:p w:rsidR="002A614F" w:rsidRPr="00756EA1" w:rsidRDefault="002A614F" w:rsidP="00FE0236">
            <w:pPr>
              <w:keepNext/>
              <w:bidi/>
              <w:spacing w:before="60" w:after="60" w:line="280" w:lineRule="exact"/>
              <w:jc w:val="center"/>
              <w:rPr>
                <w:rFonts w:ascii="Arabic Typesetting" w:hAnsi="Arabic Typesetting" w:cs="Arabic Typesetting"/>
                <w:b/>
                <w:bCs/>
                <w:sz w:val="28"/>
                <w:szCs w:val="28"/>
                <w:lang w:bidi="ar-EG"/>
              </w:rPr>
            </w:pPr>
            <w:r w:rsidRPr="00756EA1">
              <w:rPr>
                <w:rFonts w:ascii="Arabic Typesetting" w:hAnsi="Arabic Typesetting" w:cs="Arabic Typesetting"/>
                <w:b/>
                <w:bCs/>
                <w:sz w:val="28"/>
                <w:szCs w:val="28"/>
                <w:rtl/>
                <w:lang w:bidi="ar-EG"/>
              </w:rPr>
              <w:t>السير</w:t>
            </w:r>
          </w:p>
        </w:tc>
      </w:tr>
      <w:tr w:rsidR="002A614F" w:rsidRPr="00756EA1" w:rsidTr="00FE0236">
        <w:trPr>
          <w:cantSplit/>
        </w:trPr>
        <w:tc>
          <w:tcPr>
            <w:tcW w:w="2261" w:type="dxa"/>
            <w:tcBorders>
              <w:top w:val="nil"/>
              <w:left w:val="single" w:sz="4" w:space="0" w:color="auto"/>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t>النسبة المئوية للمهنيين المُدرَّبين المتخصصين في الملكية الفكرية ومسؤولي الملكية الفكرية المُدرَّبين الذين يستخدمون مهارات محسنة في عملهم.</w:t>
            </w:r>
          </w:p>
        </w:tc>
        <w:tc>
          <w:tcPr>
            <w:tcW w:w="184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b/>
                <w:i/>
                <w:iCs/>
                <w:color w:val="002060"/>
                <w:sz w:val="28"/>
                <w:szCs w:val="28"/>
                <w:lang w:bidi="ar-EG"/>
              </w:rPr>
            </w:pPr>
            <w:r w:rsidRPr="00756EA1">
              <w:rPr>
                <w:rFonts w:ascii="Arabic Typesetting" w:hAnsi="Arabic Typesetting" w:cs="Arabic Typesetting"/>
                <w:b/>
                <w:i/>
                <w:iCs/>
                <w:color w:val="002060"/>
                <w:sz w:val="28"/>
                <w:szCs w:val="28"/>
                <w:rtl/>
                <w:lang w:bidi="ar-EG"/>
              </w:rPr>
              <w:t xml:space="preserve">أسس المقارنة المحدّثة في نهاية 2013: </w:t>
            </w:r>
            <w:r w:rsidRPr="00756EA1">
              <w:rPr>
                <w:rFonts w:ascii="Arabic Typesetting" w:hAnsi="Arabic Typesetting" w:cs="Arabic Typesetting"/>
                <w:b/>
                <w:color w:val="002060"/>
                <w:sz w:val="28"/>
                <w:szCs w:val="28"/>
                <w:rtl/>
                <w:lang w:bidi="ar-EG"/>
              </w:rPr>
              <w:t>غير متاحة</w:t>
            </w:r>
          </w:p>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i/>
                <w:iCs/>
                <w:sz w:val="28"/>
                <w:szCs w:val="28"/>
                <w:rtl/>
                <w:lang w:bidi="ar-EG"/>
              </w:rPr>
              <w:t xml:space="preserve">أسس المقارنة الأصلية: برنامج وميزانية </w:t>
            </w:r>
            <w:r w:rsidR="00507DE2">
              <w:rPr>
                <w:rFonts w:ascii="Arabic Typesetting" w:hAnsi="Arabic Typesetting" w:cs="Arabic Typesetting"/>
                <w:i/>
                <w:iCs/>
                <w:sz w:val="28"/>
                <w:szCs w:val="28"/>
                <w:rtl/>
                <w:lang w:bidi="ar-EG"/>
              </w:rPr>
              <w:t>2014/15</w:t>
            </w:r>
            <w:r w:rsidRPr="00756EA1">
              <w:rPr>
                <w:rFonts w:ascii="Arabic Typesetting" w:hAnsi="Arabic Typesetting" w:cs="Arabic Typesetting"/>
                <w:i/>
                <w:iCs/>
                <w:sz w:val="28"/>
                <w:szCs w:val="28"/>
                <w:rtl/>
                <w:lang w:bidi="ar-EG"/>
              </w:rPr>
              <w:t xml:space="preserve">: </w:t>
            </w:r>
            <w:r w:rsidRPr="00756EA1">
              <w:rPr>
                <w:rFonts w:ascii="Arabic Typesetting" w:hAnsi="Arabic Typesetting" w:cs="Arabic Typesetting"/>
                <w:sz w:val="28"/>
                <w:szCs w:val="28"/>
                <w:rtl/>
                <w:lang w:bidi="ar-EG"/>
              </w:rPr>
              <w:t>تُحدد لاحقاً</w:t>
            </w:r>
          </w:p>
        </w:tc>
        <w:tc>
          <w:tcPr>
            <w:tcW w:w="1502"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50%</w:t>
            </w:r>
          </w:p>
        </w:tc>
        <w:tc>
          <w:tcPr>
            <w:tcW w:w="2893" w:type="dxa"/>
            <w:tcBorders>
              <w:top w:val="nil"/>
              <w:left w:val="nil"/>
              <w:bottom w:val="single" w:sz="4" w:space="0" w:color="auto"/>
              <w:right w:val="nil"/>
            </w:tcBorders>
          </w:tcPr>
          <w:p w:rsidR="002A614F" w:rsidRPr="00756EA1" w:rsidRDefault="00F94059"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77%</w:t>
            </w:r>
          </w:p>
        </w:tc>
        <w:tc>
          <w:tcPr>
            <w:tcW w:w="847" w:type="dxa"/>
            <w:tcBorders>
              <w:top w:val="nil"/>
              <w:left w:val="nil"/>
              <w:bottom w:val="single" w:sz="4" w:space="0" w:color="auto"/>
              <w:right w:val="single" w:sz="4" w:space="0" w:color="auto"/>
            </w:tcBorders>
          </w:tcPr>
          <w:p w:rsidR="002A614F" w:rsidRPr="00756EA1" w:rsidRDefault="00F94059"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756EA1">
              <w:rPr>
                <w:rFonts w:ascii="Arabic Typesetting" w:hAnsi="Arabic Typesetting" w:cs="Arabic Typesetting"/>
                <w:b/>
                <w:bCs/>
                <w:color w:val="008000"/>
                <w:sz w:val="28"/>
                <w:szCs w:val="28"/>
                <w:rtl/>
                <w:lang w:bidi="ar-EG"/>
              </w:rPr>
              <w:t>محقق كلياً</w:t>
            </w:r>
          </w:p>
        </w:tc>
      </w:tr>
      <w:tr w:rsidR="00F94059" w:rsidRPr="00756EA1" w:rsidTr="00FE0236">
        <w:trPr>
          <w:cantSplit/>
        </w:trPr>
        <w:tc>
          <w:tcPr>
            <w:tcW w:w="9346"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tcPr>
          <w:p w:rsidR="00F94059" w:rsidRPr="00756EA1" w:rsidRDefault="00F94059" w:rsidP="00FE0236">
            <w:pPr>
              <w:keepNext/>
              <w:bidi/>
              <w:spacing w:after="60" w:line="280" w:lineRule="exact"/>
              <w:ind w:left="1167" w:hanging="1167"/>
              <w:rPr>
                <w:rFonts w:ascii="Arabic Typesetting" w:hAnsi="Arabic Typesetting" w:cs="Arabic Typesetting"/>
                <w:sz w:val="28"/>
                <w:szCs w:val="28"/>
                <w:rtl/>
                <w:lang w:bidi="ar-EG"/>
              </w:rPr>
            </w:pPr>
            <w:r w:rsidRPr="00756EA1">
              <w:rPr>
                <w:rFonts w:ascii="Arabic Typesetting" w:hAnsi="Arabic Typesetting" w:cs="Arabic Typesetting"/>
                <w:b/>
                <w:bCs/>
                <w:sz w:val="28"/>
                <w:szCs w:val="28"/>
                <w:rtl/>
                <w:lang w:bidi="ar-EG"/>
              </w:rPr>
              <w:lastRenderedPageBreak/>
              <w:t>النتيجة المرتقبة:</w:t>
            </w:r>
            <w:r w:rsidRPr="00756EA1">
              <w:rPr>
                <w:rFonts w:ascii="Arabic Typesetting" w:hAnsi="Arabic Typesetting" w:cs="Arabic Typesetting"/>
                <w:b/>
                <w:bCs/>
                <w:sz w:val="28"/>
                <w:szCs w:val="28"/>
                <w:rtl/>
                <w:lang w:bidi="ar-EG"/>
              </w:rPr>
              <w:tab/>
            </w:r>
            <w:r w:rsidRPr="00756EA1">
              <w:rPr>
                <w:rFonts w:ascii="Arabic Typesetting" w:hAnsi="Arabic Typesetting" w:cs="Arabic Typesetting"/>
                <w:sz w:val="28"/>
                <w:szCs w:val="28"/>
                <w:rtl/>
                <w:lang w:bidi="ar-EG"/>
              </w:rPr>
              <w:t xml:space="preserve">ه6.3 </w:t>
            </w:r>
            <w:r w:rsidR="009947B0">
              <w:rPr>
                <w:rFonts w:ascii="Arabic Typesetting" w:hAnsi="Arabic Typesetting" w:cs="Arabic Typesetting"/>
                <w:sz w:val="28"/>
                <w:szCs w:val="28"/>
                <w:rtl/>
                <w:lang w:bidi="ar-EG"/>
              </w:rPr>
              <w:t xml:space="preserve">قدرة معزّزة لدى الشركات الصغيرة </w:t>
            </w:r>
            <w:proofErr w:type="spellStart"/>
            <w:r w:rsidR="009947B0">
              <w:rPr>
                <w:rFonts w:ascii="Arabic Typesetting" w:hAnsi="Arabic Typesetting" w:cs="Arabic Typesetting"/>
                <w:sz w:val="28"/>
                <w:szCs w:val="28"/>
                <w:rtl/>
                <w:lang w:bidi="ar-EG"/>
              </w:rPr>
              <w:t>والمستوطة</w:t>
            </w:r>
            <w:proofErr w:type="spellEnd"/>
            <w:r w:rsidR="009947B0">
              <w:rPr>
                <w:rFonts w:ascii="Arabic Typesetting" w:hAnsi="Arabic Typesetting" w:cs="Arabic Typesetting"/>
                <w:sz w:val="28"/>
                <w:szCs w:val="28"/>
                <w:rtl/>
                <w:lang w:bidi="ar-EG"/>
              </w:rPr>
              <w:t xml:space="preserve"> على استخدام الملكية الفكرية بنجاح لدعم الابتكار</w:t>
            </w:r>
          </w:p>
        </w:tc>
      </w:tr>
      <w:tr w:rsidR="002A614F" w:rsidRPr="00756EA1" w:rsidTr="00FE0236">
        <w:trPr>
          <w:cantSplit/>
        </w:trPr>
        <w:tc>
          <w:tcPr>
            <w:tcW w:w="2261" w:type="dxa"/>
            <w:tcBorders>
              <w:top w:val="single" w:sz="4" w:space="0" w:color="auto"/>
              <w:left w:val="single" w:sz="4" w:space="0" w:color="auto"/>
              <w:bottom w:val="nil"/>
              <w:right w:val="nil"/>
            </w:tcBorders>
          </w:tcPr>
          <w:p w:rsidR="002A614F" w:rsidRPr="00756EA1" w:rsidRDefault="009A5E7C"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مؤشرات الأداء</w:t>
            </w:r>
          </w:p>
        </w:tc>
        <w:tc>
          <w:tcPr>
            <w:tcW w:w="1843"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أسس المقارنة</w:t>
            </w:r>
          </w:p>
        </w:tc>
        <w:tc>
          <w:tcPr>
            <w:tcW w:w="1502"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الأهداف</w:t>
            </w:r>
          </w:p>
        </w:tc>
        <w:tc>
          <w:tcPr>
            <w:tcW w:w="2893"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بيانات الأداء</w:t>
            </w:r>
          </w:p>
        </w:tc>
        <w:tc>
          <w:tcPr>
            <w:tcW w:w="847" w:type="dxa"/>
            <w:tcBorders>
              <w:top w:val="single" w:sz="4" w:space="0" w:color="auto"/>
              <w:left w:val="nil"/>
              <w:bottom w:val="nil"/>
              <w:right w:val="single" w:sz="4" w:space="0" w:color="auto"/>
            </w:tcBorders>
          </w:tcPr>
          <w:p w:rsidR="002A614F" w:rsidRPr="00756EA1" w:rsidRDefault="002A614F" w:rsidP="00FE0236">
            <w:pPr>
              <w:keepNext/>
              <w:bidi/>
              <w:spacing w:before="60" w:after="60" w:line="280" w:lineRule="exact"/>
              <w:jc w:val="center"/>
              <w:rPr>
                <w:rFonts w:ascii="Arabic Typesetting" w:hAnsi="Arabic Typesetting" w:cs="Arabic Typesetting"/>
                <w:b/>
                <w:bCs/>
                <w:sz w:val="28"/>
                <w:szCs w:val="28"/>
                <w:lang w:bidi="ar-EG"/>
              </w:rPr>
            </w:pPr>
            <w:r w:rsidRPr="00756EA1">
              <w:rPr>
                <w:rFonts w:ascii="Arabic Typesetting" w:hAnsi="Arabic Typesetting" w:cs="Arabic Typesetting"/>
                <w:b/>
                <w:bCs/>
                <w:sz w:val="28"/>
                <w:szCs w:val="28"/>
                <w:rtl/>
                <w:lang w:bidi="ar-EG"/>
              </w:rPr>
              <w:t>السير</w:t>
            </w:r>
          </w:p>
        </w:tc>
      </w:tr>
      <w:tr w:rsidR="002A614F" w:rsidRPr="00756EA1" w:rsidTr="00FE0236">
        <w:trPr>
          <w:cantSplit/>
        </w:trPr>
        <w:tc>
          <w:tcPr>
            <w:tcW w:w="2261" w:type="dxa"/>
            <w:tcBorders>
              <w:top w:val="nil"/>
              <w:left w:val="single" w:sz="4" w:space="0" w:color="auto"/>
              <w:bottom w:val="nil"/>
              <w:right w:val="nil"/>
            </w:tcBorders>
          </w:tcPr>
          <w:p w:rsidR="002A614F" w:rsidRPr="00756EA1" w:rsidRDefault="002A614F" w:rsidP="00FE0236">
            <w:pPr>
              <w:bidi/>
              <w:adjustRightInd w:val="0"/>
              <w:snapToGrid w:val="0"/>
              <w:spacing w:before="2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t>عدد الاشتراكات في نشرة الأخبار الخاصة بالشركات الصغيرة والمتوسطة</w:t>
            </w:r>
          </w:p>
        </w:tc>
        <w:tc>
          <w:tcPr>
            <w:tcW w:w="1843" w:type="dxa"/>
            <w:tcBorders>
              <w:top w:val="nil"/>
              <w:left w:val="nil"/>
              <w:bottom w:val="nil"/>
              <w:right w:val="nil"/>
            </w:tcBorders>
          </w:tcPr>
          <w:p w:rsidR="002A614F" w:rsidRPr="00756EA1" w:rsidRDefault="002A614F" w:rsidP="00FE0236">
            <w:pPr>
              <w:bidi/>
              <w:spacing w:before="60" w:after="60" w:line="260" w:lineRule="exact"/>
              <w:rPr>
                <w:rFonts w:ascii="Arabic Typesetting" w:hAnsi="Arabic Typesetting" w:cs="Arabic Typesetting"/>
                <w:b/>
                <w:i/>
                <w:iCs/>
                <w:color w:val="002060"/>
                <w:sz w:val="28"/>
                <w:szCs w:val="28"/>
                <w:rtl/>
                <w:lang w:bidi="ar-EG"/>
              </w:rPr>
            </w:pPr>
            <w:r w:rsidRPr="00756EA1">
              <w:rPr>
                <w:rFonts w:ascii="Arabic Typesetting" w:hAnsi="Arabic Typesetting" w:cs="Arabic Typesetting"/>
                <w:b/>
                <w:i/>
                <w:iCs/>
                <w:color w:val="002060"/>
                <w:sz w:val="28"/>
                <w:szCs w:val="28"/>
                <w:rtl/>
                <w:lang w:bidi="ar-EG"/>
              </w:rPr>
              <w:t xml:space="preserve">أسس المقارنة المحدّثة في نهاية 2013: </w:t>
            </w:r>
            <w:r w:rsidRPr="00756EA1">
              <w:rPr>
                <w:rFonts w:ascii="Arabic Typesetting" w:hAnsi="Arabic Typesetting" w:cs="Arabic Typesetting"/>
                <w:b/>
                <w:color w:val="002060"/>
                <w:sz w:val="28"/>
                <w:szCs w:val="28"/>
                <w:rtl/>
                <w:lang w:bidi="ar-EG"/>
              </w:rPr>
              <w:t>101 41</w:t>
            </w:r>
          </w:p>
          <w:p w:rsidR="002A614F" w:rsidRPr="00756EA1" w:rsidRDefault="002A614F" w:rsidP="00FE0236">
            <w:pPr>
              <w:bidi/>
              <w:spacing w:before="60" w:after="60" w:line="260" w:lineRule="exact"/>
              <w:rPr>
                <w:rFonts w:ascii="Arabic Typesetting" w:hAnsi="Arabic Typesetting" w:cs="Arabic Typesetting"/>
                <w:sz w:val="28"/>
                <w:szCs w:val="28"/>
                <w:rtl/>
                <w:lang w:bidi="ar-EG"/>
              </w:rPr>
            </w:pPr>
            <w:r w:rsidRPr="00756EA1">
              <w:rPr>
                <w:rFonts w:ascii="Arabic Typesetting" w:hAnsi="Arabic Typesetting" w:cs="Arabic Typesetting"/>
                <w:i/>
                <w:iCs/>
                <w:sz w:val="28"/>
                <w:szCs w:val="28"/>
                <w:rtl/>
                <w:lang w:bidi="ar-EG"/>
              </w:rPr>
              <w:t xml:space="preserve">أسس المقارنة الأصلية: برنامج وميزانية </w:t>
            </w:r>
            <w:r w:rsidR="00507DE2">
              <w:rPr>
                <w:rFonts w:ascii="Arabic Typesetting" w:hAnsi="Arabic Typesetting" w:cs="Arabic Typesetting"/>
                <w:i/>
                <w:iCs/>
                <w:sz w:val="28"/>
                <w:szCs w:val="28"/>
                <w:rtl/>
                <w:lang w:bidi="ar-EG"/>
              </w:rPr>
              <w:t>2014/15</w:t>
            </w:r>
            <w:r w:rsidRPr="00756EA1">
              <w:rPr>
                <w:rFonts w:ascii="Arabic Typesetting" w:hAnsi="Arabic Typesetting" w:cs="Arabic Typesetting"/>
                <w:i/>
                <w:iCs/>
                <w:sz w:val="28"/>
                <w:szCs w:val="28"/>
                <w:rtl/>
                <w:lang w:bidi="ar-EG"/>
              </w:rPr>
              <w:t xml:space="preserve">: </w:t>
            </w:r>
            <w:r w:rsidRPr="00756EA1">
              <w:rPr>
                <w:rFonts w:ascii="Arabic Typesetting" w:hAnsi="Arabic Typesetting" w:cs="Arabic Typesetting"/>
                <w:sz w:val="28"/>
                <w:szCs w:val="28"/>
                <w:rtl/>
                <w:lang w:bidi="ar-EG"/>
              </w:rPr>
              <w:t>تُحدد لاحقاً</w:t>
            </w:r>
          </w:p>
        </w:tc>
        <w:tc>
          <w:tcPr>
            <w:tcW w:w="1502" w:type="dxa"/>
            <w:tcBorders>
              <w:top w:val="nil"/>
              <w:left w:val="nil"/>
              <w:bottom w:val="nil"/>
              <w:right w:val="nil"/>
            </w:tcBorders>
          </w:tcPr>
          <w:p w:rsidR="002A614F" w:rsidRPr="00756EA1" w:rsidRDefault="002A614F" w:rsidP="00FE0236">
            <w:pPr>
              <w:bidi/>
              <w:spacing w:before="60" w:after="60" w:line="260" w:lineRule="exact"/>
              <w:rPr>
                <w:rFonts w:ascii="Arabic Typesetting" w:hAnsi="Arabic Typesetting" w:cs="Arabic Typesetting"/>
                <w:sz w:val="28"/>
                <w:szCs w:val="28"/>
                <w:rtl/>
                <w:lang w:bidi="ar-EG"/>
              </w:rPr>
            </w:pPr>
            <w:r w:rsidRPr="00756EA1">
              <w:rPr>
                <w:rFonts w:ascii="Arabic Typesetting" w:hAnsi="Arabic Typesetting" w:cs="Arabic Typesetting"/>
                <w:b/>
                <w:i/>
                <w:iCs/>
                <w:color w:val="002060"/>
                <w:sz w:val="28"/>
                <w:szCs w:val="28"/>
                <w:rtl/>
                <w:lang w:bidi="ar-EG"/>
              </w:rPr>
              <w:t>الهدف المحدد:</w:t>
            </w:r>
            <w:r w:rsidRPr="00756EA1">
              <w:rPr>
                <w:rFonts w:ascii="Arabic Typesetting" w:hAnsi="Arabic Typesetting" w:cs="Arabic Typesetting"/>
                <w:sz w:val="28"/>
                <w:szCs w:val="28"/>
                <w:rtl/>
                <w:lang w:bidi="ar-EG"/>
              </w:rPr>
              <w:t xml:space="preserve"> </w:t>
            </w:r>
            <w:r w:rsidRPr="00756EA1">
              <w:rPr>
                <w:rFonts w:ascii="Arabic Typesetting" w:hAnsi="Arabic Typesetting" w:cs="Arabic Typesetting"/>
                <w:b/>
                <w:color w:val="002060"/>
                <w:sz w:val="28"/>
                <w:szCs w:val="28"/>
                <w:rtl/>
                <w:lang w:bidi="ar-EG"/>
              </w:rPr>
              <w:t>000 40</w:t>
            </w:r>
          </w:p>
          <w:p w:rsidR="002A614F" w:rsidRPr="00756EA1" w:rsidRDefault="002A614F" w:rsidP="00FE0236">
            <w:pPr>
              <w:bidi/>
              <w:spacing w:before="60" w:after="60" w:line="26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 xml:space="preserve">الهدف الأصلي: برنامج وميزانية </w:t>
            </w:r>
            <w:r w:rsidR="00507DE2">
              <w:rPr>
                <w:rFonts w:ascii="Arabic Typesetting" w:hAnsi="Arabic Typesetting" w:cs="Arabic Typesetting"/>
                <w:sz w:val="28"/>
                <w:szCs w:val="28"/>
                <w:rtl/>
                <w:lang w:bidi="ar-EG"/>
              </w:rPr>
              <w:t>2014/15</w:t>
            </w:r>
            <w:r w:rsidRPr="00756EA1">
              <w:rPr>
                <w:rFonts w:ascii="Arabic Typesetting" w:hAnsi="Arabic Typesetting" w:cs="Arabic Typesetting"/>
                <w:sz w:val="28"/>
                <w:szCs w:val="28"/>
                <w:rtl/>
                <w:lang w:bidi="ar-EG"/>
              </w:rPr>
              <w:t>: يُحدد لاحقاً</w:t>
            </w:r>
          </w:p>
        </w:tc>
        <w:tc>
          <w:tcPr>
            <w:tcW w:w="2893"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 xml:space="preserve">510 40 اشتراكات في </w:t>
            </w:r>
            <w:r w:rsidR="00F94059" w:rsidRPr="00756EA1">
              <w:rPr>
                <w:rFonts w:ascii="Arabic Typesetting" w:hAnsi="Arabic Typesetting" w:cs="Arabic Typesetting"/>
                <w:sz w:val="28"/>
                <w:szCs w:val="28"/>
                <w:rtl/>
                <w:lang w:bidi="ar-EG"/>
              </w:rPr>
              <w:t>النشرة الإخبارية</w:t>
            </w:r>
            <w:r w:rsidRPr="00756EA1">
              <w:rPr>
                <w:rFonts w:ascii="Arabic Typesetting" w:hAnsi="Arabic Typesetting" w:cs="Arabic Typesetting"/>
                <w:sz w:val="28"/>
                <w:szCs w:val="28"/>
                <w:rtl/>
                <w:lang w:bidi="ar-EG"/>
              </w:rPr>
              <w:t xml:space="preserve"> الخاصة بالشركات الصغيرة والمتوسطة في</w:t>
            </w:r>
            <w:r w:rsidR="00F94059" w:rsidRPr="00756EA1">
              <w:rPr>
                <w:rFonts w:ascii="Arabic Typesetting" w:hAnsi="Arabic Typesetting" w:cs="Arabic Typesetting" w:hint="cs"/>
                <w:sz w:val="28"/>
                <w:szCs w:val="28"/>
                <w:rtl/>
                <w:lang w:bidi="ar-EG"/>
              </w:rPr>
              <w:t> </w:t>
            </w:r>
            <w:r w:rsidR="00F94059" w:rsidRPr="00756EA1">
              <w:rPr>
                <w:rFonts w:ascii="Arabic Typesetting" w:hAnsi="Arabic Typesetting" w:cs="Arabic Typesetting"/>
                <w:sz w:val="28"/>
                <w:szCs w:val="28"/>
                <w:rtl/>
                <w:lang w:bidi="ar-EG"/>
              </w:rPr>
              <w:t>2014</w:t>
            </w:r>
          </w:p>
          <w:p w:rsidR="00F94059" w:rsidRPr="00756EA1" w:rsidRDefault="00F94059"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hint="cs"/>
                <w:sz w:val="28"/>
                <w:szCs w:val="28"/>
                <w:rtl/>
                <w:lang w:bidi="ar-EG"/>
              </w:rPr>
              <w:t>6657 اشتراكاً في النشرة الإخبارية الخاصة بالشركات الصغيرة والمتوسطة في 2015</w:t>
            </w:r>
          </w:p>
          <w:p w:rsidR="00F94059" w:rsidRPr="00756EA1" w:rsidRDefault="00F94059"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hint="cs"/>
                <w:sz w:val="28"/>
                <w:szCs w:val="28"/>
                <w:rtl/>
                <w:lang w:bidi="ar-EG"/>
              </w:rPr>
              <w:t>انظر الفقرة 4.30 للمزيد من المعلومات.</w:t>
            </w:r>
          </w:p>
        </w:tc>
        <w:tc>
          <w:tcPr>
            <w:tcW w:w="847" w:type="dxa"/>
            <w:tcBorders>
              <w:top w:val="nil"/>
              <w:left w:val="nil"/>
              <w:bottom w:val="nil"/>
              <w:right w:val="single" w:sz="4" w:space="0" w:color="auto"/>
            </w:tcBorders>
          </w:tcPr>
          <w:p w:rsidR="002A614F" w:rsidRPr="00756EA1" w:rsidRDefault="00F94059"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756EA1">
              <w:rPr>
                <w:rFonts w:ascii="Arabic Typesetting" w:hAnsi="Arabic Typesetting" w:cs="Arabic Typesetting"/>
                <w:b/>
                <w:bCs/>
                <w:color w:val="808080" w:themeColor="background1" w:themeShade="80"/>
                <w:sz w:val="28"/>
                <w:szCs w:val="28"/>
                <w:rtl/>
                <w:lang w:bidi="ar-EG"/>
              </w:rPr>
              <w:t>غير قابل للقياس</w:t>
            </w:r>
          </w:p>
        </w:tc>
      </w:tr>
      <w:tr w:rsidR="002A614F" w:rsidRPr="00756EA1" w:rsidTr="00FE0236">
        <w:trPr>
          <w:cantSplit/>
        </w:trPr>
        <w:tc>
          <w:tcPr>
            <w:tcW w:w="2261" w:type="dxa"/>
            <w:tcBorders>
              <w:top w:val="nil"/>
              <w:left w:val="single" w:sz="4" w:space="0" w:color="auto"/>
              <w:bottom w:val="nil"/>
              <w:right w:val="nil"/>
            </w:tcBorders>
          </w:tcPr>
          <w:p w:rsidR="002A614F" w:rsidRPr="00756EA1" w:rsidRDefault="002A614F" w:rsidP="00FE0236">
            <w:pPr>
              <w:bidi/>
              <w:adjustRightInd w:val="0"/>
              <w:snapToGrid w:val="0"/>
              <w:spacing w:before="2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t xml:space="preserve">عدد مرات </w:t>
            </w:r>
            <w:r w:rsidR="00B1424D">
              <w:rPr>
                <w:rFonts w:ascii="Arabic Typesetting" w:hAnsi="Arabic Typesetting" w:cs="Arabic Typesetting" w:hint="cs"/>
                <w:sz w:val="28"/>
                <w:szCs w:val="28"/>
                <w:rtl/>
              </w:rPr>
              <w:t>تنزيل</w:t>
            </w:r>
            <w:r w:rsidRPr="00756EA1">
              <w:rPr>
                <w:rFonts w:ascii="Arabic Typesetting" w:hAnsi="Arabic Typesetting" w:cs="Arabic Typesetting"/>
                <w:sz w:val="28"/>
                <w:szCs w:val="28"/>
                <w:rtl/>
              </w:rPr>
              <w:t xml:space="preserve"> المواد والمبادئ التوجيهية الخاصة بالشركات الصغيرة والمتوسطة</w:t>
            </w:r>
          </w:p>
        </w:tc>
        <w:tc>
          <w:tcPr>
            <w:tcW w:w="1843" w:type="dxa"/>
            <w:tcBorders>
              <w:top w:val="nil"/>
              <w:left w:val="nil"/>
              <w:bottom w:val="nil"/>
              <w:right w:val="nil"/>
            </w:tcBorders>
          </w:tcPr>
          <w:p w:rsidR="002A614F" w:rsidRPr="00756EA1" w:rsidRDefault="002A614F" w:rsidP="00FE0236">
            <w:pPr>
              <w:bidi/>
              <w:spacing w:before="60" w:after="60" w:line="260" w:lineRule="exact"/>
              <w:rPr>
                <w:rFonts w:ascii="Arabic Typesetting" w:hAnsi="Arabic Typesetting" w:cs="Arabic Typesetting"/>
                <w:b/>
                <w:i/>
                <w:iCs/>
                <w:color w:val="002060"/>
                <w:sz w:val="28"/>
                <w:szCs w:val="28"/>
                <w:rtl/>
                <w:lang w:bidi="ar-EG"/>
              </w:rPr>
            </w:pPr>
            <w:r w:rsidRPr="00756EA1">
              <w:rPr>
                <w:rFonts w:ascii="Arabic Typesetting" w:hAnsi="Arabic Typesetting" w:cs="Arabic Typesetting"/>
                <w:b/>
                <w:i/>
                <w:iCs/>
                <w:color w:val="002060"/>
                <w:sz w:val="28"/>
                <w:szCs w:val="28"/>
                <w:rtl/>
                <w:lang w:bidi="ar-EG"/>
              </w:rPr>
              <w:t>أسس المقارنة المحدّثة في نهاية 2013:</w:t>
            </w:r>
          </w:p>
          <w:p w:rsidR="002A614F" w:rsidRPr="00756EA1" w:rsidRDefault="002A614F" w:rsidP="00FE0236">
            <w:pPr>
              <w:bidi/>
              <w:spacing w:before="60" w:after="60" w:line="260" w:lineRule="exact"/>
              <w:rPr>
                <w:rFonts w:ascii="Arabic Typesetting" w:hAnsi="Arabic Typesetting" w:cs="Arabic Typesetting"/>
                <w:b/>
                <w:color w:val="002060"/>
                <w:sz w:val="28"/>
                <w:szCs w:val="28"/>
                <w:rtl/>
                <w:lang w:bidi="ar-EG"/>
              </w:rPr>
            </w:pPr>
            <w:r w:rsidRPr="00756EA1">
              <w:rPr>
                <w:rFonts w:ascii="Arabic Typesetting" w:hAnsi="Arabic Typesetting" w:cs="Arabic Typesetting"/>
                <w:b/>
                <w:color w:val="002060"/>
                <w:sz w:val="28"/>
                <w:szCs w:val="28"/>
                <w:rtl/>
                <w:lang w:bidi="ar-EG"/>
              </w:rPr>
              <w:t>عدد مرات ال</w:t>
            </w:r>
            <w:r w:rsidR="00B1424D">
              <w:rPr>
                <w:rFonts w:ascii="Arabic Typesetting" w:hAnsi="Arabic Typesetting" w:cs="Arabic Typesetting"/>
                <w:b/>
                <w:color w:val="002060"/>
                <w:sz w:val="28"/>
                <w:szCs w:val="28"/>
                <w:rtl/>
                <w:lang w:bidi="ar-EG"/>
              </w:rPr>
              <w:t>تنزيل</w:t>
            </w:r>
            <w:r w:rsidRPr="00756EA1">
              <w:rPr>
                <w:rFonts w:ascii="Arabic Typesetting" w:hAnsi="Arabic Typesetting" w:cs="Arabic Typesetting"/>
                <w:b/>
                <w:color w:val="002060"/>
                <w:sz w:val="28"/>
                <w:szCs w:val="28"/>
                <w:rtl/>
                <w:lang w:bidi="ar-EG"/>
              </w:rPr>
              <w:t>: 617 77 (2013)</w:t>
            </w:r>
          </w:p>
          <w:p w:rsidR="002A614F" w:rsidRPr="00756EA1" w:rsidRDefault="002A614F" w:rsidP="00FE0236">
            <w:pPr>
              <w:bidi/>
              <w:spacing w:before="60" w:after="60" w:line="260" w:lineRule="exact"/>
              <w:rPr>
                <w:rFonts w:ascii="Arabic Typesetting" w:hAnsi="Arabic Typesetting" w:cs="Arabic Typesetting"/>
                <w:sz w:val="28"/>
                <w:szCs w:val="28"/>
                <w:lang w:bidi="ar-EG"/>
              </w:rPr>
            </w:pPr>
            <w:r w:rsidRPr="00756EA1">
              <w:rPr>
                <w:rFonts w:ascii="Arabic Typesetting" w:hAnsi="Arabic Typesetting" w:cs="Arabic Typesetting"/>
                <w:b/>
                <w:color w:val="002060"/>
                <w:sz w:val="28"/>
                <w:szCs w:val="28"/>
                <w:rtl/>
                <w:lang w:bidi="ar-EG"/>
              </w:rPr>
              <w:t>عدد زيارة الصفحات: 803 210 1 (2013)</w:t>
            </w:r>
          </w:p>
          <w:p w:rsidR="002A614F" w:rsidRPr="00756EA1" w:rsidRDefault="002A614F" w:rsidP="00FE0236">
            <w:pPr>
              <w:bidi/>
              <w:spacing w:before="60" w:after="60" w:line="260" w:lineRule="exact"/>
              <w:rPr>
                <w:rFonts w:ascii="Arabic Typesetting" w:hAnsi="Arabic Typesetting" w:cs="Arabic Typesetting"/>
                <w:sz w:val="28"/>
                <w:szCs w:val="28"/>
                <w:rtl/>
                <w:lang w:bidi="ar-EG"/>
              </w:rPr>
            </w:pPr>
            <w:r w:rsidRPr="00756EA1">
              <w:rPr>
                <w:rFonts w:ascii="Arabic Typesetting" w:hAnsi="Arabic Typesetting" w:cs="Arabic Typesetting"/>
                <w:i/>
                <w:iCs/>
                <w:sz w:val="28"/>
                <w:szCs w:val="28"/>
                <w:rtl/>
                <w:lang w:bidi="ar-EG"/>
              </w:rPr>
              <w:t xml:space="preserve">أسس المقارنة الأصلية: برنامج وميزانية </w:t>
            </w:r>
            <w:r w:rsidR="00507DE2">
              <w:rPr>
                <w:rFonts w:ascii="Arabic Typesetting" w:hAnsi="Arabic Typesetting" w:cs="Arabic Typesetting"/>
                <w:i/>
                <w:iCs/>
                <w:sz w:val="28"/>
                <w:szCs w:val="28"/>
                <w:rtl/>
                <w:lang w:bidi="ar-EG"/>
              </w:rPr>
              <w:t>2014/15</w:t>
            </w:r>
            <w:r w:rsidRPr="00756EA1">
              <w:rPr>
                <w:rFonts w:ascii="Arabic Typesetting" w:hAnsi="Arabic Typesetting" w:cs="Arabic Typesetting"/>
                <w:i/>
                <w:iCs/>
                <w:sz w:val="28"/>
                <w:szCs w:val="28"/>
                <w:rtl/>
                <w:lang w:bidi="ar-EG"/>
              </w:rPr>
              <w:t xml:space="preserve">: </w:t>
            </w:r>
            <w:r w:rsidRPr="00756EA1">
              <w:rPr>
                <w:rFonts w:ascii="Arabic Typesetting" w:hAnsi="Arabic Typesetting" w:cs="Arabic Typesetting"/>
                <w:sz w:val="28"/>
                <w:szCs w:val="28"/>
                <w:rtl/>
                <w:lang w:bidi="ar-EG"/>
              </w:rPr>
              <w:t>تُحدد لاحقاً</w:t>
            </w:r>
          </w:p>
        </w:tc>
        <w:tc>
          <w:tcPr>
            <w:tcW w:w="1502" w:type="dxa"/>
            <w:tcBorders>
              <w:top w:val="nil"/>
              <w:left w:val="nil"/>
              <w:bottom w:val="nil"/>
              <w:right w:val="nil"/>
            </w:tcBorders>
          </w:tcPr>
          <w:p w:rsidR="002A614F" w:rsidRPr="00756EA1" w:rsidRDefault="002A614F" w:rsidP="00FE0236">
            <w:pPr>
              <w:bidi/>
              <w:spacing w:before="60" w:after="60" w:line="26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2893"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2014:</w:t>
            </w:r>
          </w:p>
          <w:p w:rsidR="009A5E7C"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عدد مرات ال</w:t>
            </w:r>
            <w:r w:rsidR="00B1424D">
              <w:rPr>
                <w:rFonts w:ascii="Arabic Typesetting" w:hAnsi="Arabic Typesetting" w:cs="Arabic Typesetting"/>
                <w:sz w:val="28"/>
                <w:szCs w:val="28"/>
                <w:rtl/>
                <w:lang w:bidi="ar-EG"/>
              </w:rPr>
              <w:t>تنزيل</w:t>
            </w:r>
            <w:r w:rsidRPr="00756EA1">
              <w:rPr>
                <w:rFonts w:ascii="Arabic Typesetting" w:hAnsi="Arabic Typesetting" w:cs="Arabic Typesetting"/>
                <w:sz w:val="28"/>
                <w:szCs w:val="28"/>
                <w:rtl/>
                <w:lang w:bidi="ar-EG"/>
              </w:rPr>
              <w:t>: 559 70</w:t>
            </w:r>
            <w:r w:rsidR="009A5E7C" w:rsidRPr="00756EA1">
              <w:rPr>
                <w:rFonts w:ascii="Arabic Typesetting" w:hAnsi="Arabic Typesetting" w:cs="Arabic Typesetting"/>
                <w:sz w:val="28"/>
                <w:szCs w:val="28"/>
                <w:rtl/>
                <w:lang w:bidi="ar-EG"/>
              </w:rPr>
              <w:br/>
            </w:r>
            <w:r w:rsidR="009A5E7C" w:rsidRPr="00756EA1">
              <w:rPr>
                <w:rFonts w:ascii="Arabic Typesetting" w:hAnsi="Arabic Typesetting" w:cs="Arabic Typesetting" w:hint="cs"/>
                <w:sz w:val="28"/>
                <w:szCs w:val="28"/>
                <w:rtl/>
                <w:lang w:bidi="ar-EG"/>
              </w:rPr>
              <w:t>(-9%</w:t>
            </w:r>
            <w:r w:rsidR="009A5E7C" w:rsidRPr="00756EA1">
              <w:rPr>
                <w:rFonts w:ascii="Arabic Typesetting" w:hAnsi="Arabic Typesetting" w:cs="Arabic Typesetting" w:hint="eastAsia"/>
                <w:sz w:val="28"/>
                <w:szCs w:val="28"/>
                <w:rtl/>
                <w:lang w:bidi="ar-EG"/>
              </w:rPr>
              <w:t> </w:t>
            </w:r>
            <w:r w:rsidR="009A5E7C" w:rsidRPr="00756EA1">
              <w:rPr>
                <w:rFonts w:ascii="Arabic Typesetting" w:hAnsi="Arabic Typesetting" w:cs="Arabic Typesetting" w:hint="cs"/>
                <w:sz w:val="28"/>
                <w:szCs w:val="28"/>
                <w:rtl/>
                <w:lang w:bidi="ar-EG"/>
              </w:rPr>
              <w:t>مقارنة بعام 2013)</w:t>
            </w:r>
          </w:p>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عدد زيارات صفحة الشركات الصغيرة والمتوسطة: 150 821</w:t>
            </w:r>
            <w:r w:rsidR="009A5E7C" w:rsidRPr="00756EA1">
              <w:rPr>
                <w:rFonts w:ascii="Arabic Typesetting" w:hAnsi="Arabic Typesetting" w:cs="Arabic Typesetting"/>
                <w:sz w:val="28"/>
                <w:szCs w:val="28"/>
                <w:rtl/>
                <w:lang w:bidi="ar-EG"/>
              </w:rPr>
              <w:br/>
            </w:r>
            <w:r w:rsidR="009A5E7C" w:rsidRPr="00756EA1">
              <w:rPr>
                <w:rFonts w:ascii="Arabic Typesetting" w:hAnsi="Arabic Typesetting" w:cs="Arabic Typesetting" w:hint="cs"/>
                <w:sz w:val="28"/>
                <w:szCs w:val="28"/>
                <w:rtl/>
                <w:lang w:bidi="ar-EG"/>
              </w:rPr>
              <w:t>(-32% مقارنة بعام</w:t>
            </w:r>
            <w:r w:rsidR="009A5E7C" w:rsidRPr="00756EA1">
              <w:rPr>
                <w:rFonts w:ascii="Arabic Typesetting" w:hAnsi="Arabic Typesetting" w:cs="Arabic Typesetting" w:hint="eastAsia"/>
                <w:sz w:val="28"/>
                <w:szCs w:val="28"/>
                <w:rtl/>
                <w:lang w:bidi="ar-EG"/>
              </w:rPr>
              <w:t> </w:t>
            </w:r>
            <w:r w:rsidR="009A5E7C" w:rsidRPr="00756EA1">
              <w:rPr>
                <w:rFonts w:ascii="Arabic Typesetting" w:hAnsi="Arabic Typesetting" w:cs="Arabic Typesetting" w:hint="cs"/>
                <w:sz w:val="28"/>
                <w:szCs w:val="28"/>
                <w:rtl/>
                <w:lang w:bidi="ar-EG"/>
              </w:rPr>
              <w:t>2013)</w:t>
            </w:r>
          </w:p>
          <w:p w:rsidR="009A5E7C" w:rsidRPr="00756EA1" w:rsidRDefault="009A5E7C" w:rsidP="00FE0236">
            <w:pPr>
              <w:bidi/>
              <w:spacing w:before="12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hint="cs"/>
                <w:sz w:val="28"/>
                <w:szCs w:val="28"/>
                <w:rtl/>
                <w:lang w:bidi="ar-EG"/>
              </w:rPr>
              <w:t>2015:</w:t>
            </w:r>
          </w:p>
          <w:p w:rsidR="009A5E7C" w:rsidRPr="00756EA1" w:rsidRDefault="009A5E7C"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عدد مرات ال</w:t>
            </w:r>
            <w:r w:rsidR="00B1424D">
              <w:rPr>
                <w:rFonts w:ascii="Arabic Typesetting" w:hAnsi="Arabic Typesetting" w:cs="Arabic Typesetting"/>
                <w:sz w:val="28"/>
                <w:szCs w:val="28"/>
                <w:rtl/>
                <w:lang w:bidi="ar-EG"/>
              </w:rPr>
              <w:t>تنزيل</w:t>
            </w:r>
            <w:r w:rsidRPr="00756EA1">
              <w:rPr>
                <w:rFonts w:ascii="Arabic Typesetting" w:hAnsi="Arabic Typesetting" w:cs="Arabic Typesetting"/>
                <w:sz w:val="28"/>
                <w:szCs w:val="28"/>
                <w:rtl/>
                <w:lang w:bidi="ar-EG"/>
              </w:rPr>
              <w:t xml:space="preserve">: </w:t>
            </w:r>
            <w:r w:rsidRPr="00756EA1">
              <w:rPr>
                <w:rFonts w:ascii="Arabic Typesetting" w:hAnsi="Arabic Typesetting" w:cs="Arabic Typesetting" w:hint="cs"/>
                <w:sz w:val="28"/>
                <w:szCs w:val="28"/>
                <w:rtl/>
                <w:lang w:bidi="ar-EG"/>
              </w:rPr>
              <w:t>867</w:t>
            </w:r>
            <w:r w:rsidRPr="00756EA1">
              <w:rPr>
                <w:rFonts w:ascii="Arabic Typesetting" w:hAnsi="Arabic Typesetting" w:cs="Arabic Typesetting"/>
                <w:sz w:val="28"/>
                <w:szCs w:val="28"/>
                <w:rtl/>
                <w:lang w:bidi="ar-EG"/>
              </w:rPr>
              <w:t> </w:t>
            </w:r>
            <w:r w:rsidRPr="00756EA1">
              <w:rPr>
                <w:rFonts w:ascii="Arabic Typesetting" w:hAnsi="Arabic Typesetting" w:cs="Arabic Typesetting" w:hint="cs"/>
                <w:sz w:val="28"/>
                <w:szCs w:val="28"/>
                <w:rtl/>
                <w:lang w:bidi="ar-EG"/>
              </w:rPr>
              <w:t>71</w:t>
            </w:r>
            <w:r w:rsidRPr="00756EA1">
              <w:rPr>
                <w:rFonts w:ascii="Arabic Typesetting" w:hAnsi="Arabic Typesetting" w:cs="Arabic Typesetting"/>
                <w:sz w:val="28"/>
                <w:szCs w:val="28"/>
                <w:rtl/>
                <w:lang w:bidi="ar-EG"/>
              </w:rPr>
              <w:br/>
            </w:r>
            <w:r w:rsidRPr="00756EA1">
              <w:rPr>
                <w:rFonts w:ascii="Arabic Typesetting" w:hAnsi="Arabic Typesetting" w:cs="Arabic Typesetting" w:hint="cs"/>
                <w:sz w:val="28"/>
                <w:szCs w:val="28"/>
                <w:rtl/>
                <w:lang w:bidi="ar-EG"/>
              </w:rPr>
              <w:t>(+2% مقارنة بعام 2014)</w:t>
            </w:r>
          </w:p>
          <w:p w:rsidR="009A5E7C" w:rsidRPr="00756EA1" w:rsidRDefault="009A5E7C"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 xml:space="preserve">عدد زيارات صفحة الشركات الصغيرة والمتوسطة: </w:t>
            </w:r>
            <w:r w:rsidRPr="00756EA1">
              <w:rPr>
                <w:rFonts w:ascii="Arabic Typesetting" w:hAnsi="Arabic Typesetting" w:cs="Arabic Typesetting" w:hint="cs"/>
                <w:sz w:val="28"/>
                <w:szCs w:val="28"/>
                <w:rtl/>
                <w:lang w:bidi="ar-EG"/>
              </w:rPr>
              <w:t>196</w:t>
            </w:r>
            <w:r w:rsidRPr="00756EA1">
              <w:rPr>
                <w:rFonts w:ascii="Arabic Typesetting" w:hAnsi="Arabic Typesetting" w:cs="Arabic Typesetting"/>
                <w:sz w:val="28"/>
                <w:szCs w:val="28"/>
                <w:rtl/>
                <w:lang w:bidi="ar-EG"/>
              </w:rPr>
              <w:t> </w:t>
            </w:r>
            <w:r w:rsidRPr="00756EA1">
              <w:rPr>
                <w:rFonts w:ascii="Arabic Typesetting" w:hAnsi="Arabic Typesetting" w:cs="Arabic Typesetting" w:hint="cs"/>
                <w:sz w:val="28"/>
                <w:szCs w:val="28"/>
                <w:rtl/>
                <w:lang w:bidi="ar-EG"/>
              </w:rPr>
              <w:t>960</w:t>
            </w:r>
            <w:r w:rsidRPr="00756EA1">
              <w:rPr>
                <w:rFonts w:ascii="Arabic Typesetting" w:hAnsi="Arabic Typesetting" w:cs="Arabic Typesetting"/>
                <w:sz w:val="28"/>
                <w:szCs w:val="28"/>
                <w:rtl/>
                <w:lang w:bidi="ar-EG"/>
              </w:rPr>
              <w:br/>
            </w:r>
            <w:r w:rsidRPr="00756EA1">
              <w:rPr>
                <w:rFonts w:ascii="Arabic Typesetting" w:hAnsi="Arabic Typesetting" w:cs="Arabic Typesetting" w:hint="cs"/>
                <w:sz w:val="28"/>
                <w:szCs w:val="28"/>
                <w:rtl/>
                <w:lang w:bidi="ar-EG"/>
              </w:rPr>
              <w:t>(+17% مقارنة بعام</w:t>
            </w:r>
            <w:r w:rsidRPr="00756EA1">
              <w:rPr>
                <w:rFonts w:ascii="Arabic Typesetting" w:hAnsi="Arabic Typesetting" w:cs="Arabic Typesetting" w:hint="eastAsia"/>
                <w:sz w:val="28"/>
                <w:szCs w:val="28"/>
                <w:rtl/>
                <w:lang w:bidi="ar-EG"/>
              </w:rPr>
              <w:t> </w:t>
            </w:r>
            <w:r w:rsidRPr="00756EA1">
              <w:rPr>
                <w:rFonts w:ascii="Arabic Typesetting" w:hAnsi="Arabic Typesetting" w:cs="Arabic Typesetting" w:hint="cs"/>
                <w:sz w:val="28"/>
                <w:szCs w:val="28"/>
                <w:rtl/>
                <w:lang w:bidi="ar-EG"/>
              </w:rPr>
              <w:t>2014)</w:t>
            </w:r>
          </w:p>
        </w:tc>
        <w:tc>
          <w:tcPr>
            <w:tcW w:w="847" w:type="dxa"/>
            <w:tcBorders>
              <w:top w:val="nil"/>
              <w:left w:val="nil"/>
              <w:bottom w:val="nil"/>
              <w:right w:val="single" w:sz="4" w:space="0" w:color="auto"/>
            </w:tcBorders>
          </w:tcPr>
          <w:p w:rsidR="002A614F" w:rsidRPr="00756EA1" w:rsidRDefault="00F94059" w:rsidP="00FE0236">
            <w:pPr>
              <w:keepNext/>
              <w:bidi/>
              <w:spacing w:before="60" w:after="60" w:line="280" w:lineRule="exact"/>
              <w:jc w:val="center"/>
              <w:rPr>
                <w:rFonts w:ascii="Arabic Typesetting" w:hAnsi="Arabic Typesetting" w:cs="Arabic Typesetting"/>
                <w:b/>
                <w:bCs/>
                <w:color w:val="808080" w:themeColor="background1" w:themeShade="80"/>
                <w:sz w:val="28"/>
                <w:szCs w:val="28"/>
                <w:rtl/>
                <w:lang w:bidi="ar-EG"/>
              </w:rPr>
            </w:pPr>
            <w:r w:rsidRPr="00756EA1">
              <w:rPr>
                <w:rFonts w:ascii="Arabic Typesetting" w:hAnsi="Arabic Typesetting" w:cs="Arabic Typesetting"/>
                <w:b/>
                <w:bCs/>
                <w:color w:val="808080" w:themeColor="background1" w:themeShade="80"/>
                <w:sz w:val="28"/>
                <w:szCs w:val="28"/>
                <w:rtl/>
                <w:lang w:bidi="ar-EG"/>
              </w:rPr>
              <w:t>غير قابل للقياس</w:t>
            </w:r>
          </w:p>
        </w:tc>
      </w:tr>
      <w:tr w:rsidR="002A614F" w:rsidRPr="00756EA1" w:rsidTr="00FE0236">
        <w:trPr>
          <w:cantSplit/>
        </w:trPr>
        <w:tc>
          <w:tcPr>
            <w:tcW w:w="2261" w:type="dxa"/>
            <w:tcBorders>
              <w:top w:val="nil"/>
              <w:left w:val="single" w:sz="4" w:space="0" w:color="auto"/>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t xml:space="preserve">عدد الدراسات الإفرادية المتعلقة </w:t>
            </w:r>
            <w:r w:rsidRPr="00756EA1">
              <w:rPr>
                <w:rFonts w:ascii="Arabic Typesetting" w:hAnsi="Arabic Typesetting" w:cs="Arabic Typesetting"/>
                <w:sz w:val="28"/>
                <w:szCs w:val="28"/>
                <w:rtl/>
                <w:lang w:bidi="ar-EG"/>
              </w:rPr>
              <w:t>بالشركات</w:t>
            </w:r>
            <w:r w:rsidRPr="00756EA1">
              <w:rPr>
                <w:rFonts w:ascii="Arabic Typesetting" w:hAnsi="Arabic Typesetting" w:cs="Arabic Typesetting"/>
                <w:sz w:val="28"/>
                <w:szCs w:val="28"/>
                <w:rtl/>
              </w:rPr>
              <w:t xml:space="preserve"> الصغيرة والمتوسطة التي تم النفاذ إليها من خلال قاعدة البيانات </w:t>
            </w:r>
            <w:r w:rsidR="006117F4" w:rsidRPr="00756EA1">
              <w:rPr>
                <w:rFonts w:ascii="Arabic Typesetting" w:hAnsi="Arabic Typesetting" w:cs="Arabic Typesetting"/>
                <w:sz w:val="28"/>
                <w:szCs w:val="28"/>
              </w:rPr>
              <w:t>I</w:t>
            </w:r>
            <w:r w:rsidR="006117F4">
              <w:rPr>
                <w:rFonts w:ascii="Arabic Typesetting" w:hAnsi="Arabic Typesetting" w:cs="Arabic Typesetting"/>
                <w:sz w:val="28"/>
                <w:szCs w:val="28"/>
              </w:rPr>
              <w:t>P </w:t>
            </w:r>
            <w:r w:rsidR="006117F4" w:rsidRPr="00756EA1">
              <w:rPr>
                <w:rFonts w:ascii="Arabic Typesetting" w:hAnsi="Arabic Typesetting" w:cs="Arabic Typesetting"/>
                <w:sz w:val="28"/>
                <w:szCs w:val="28"/>
              </w:rPr>
              <w:t>Advantage</w:t>
            </w:r>
            <w:r w:rsidR="006117F4" w:rsidRPr="00756EA1">
              <w:rPr>
                <w:rFonts w:ascii="Arabic Typesetting" w:hAnsi="Arabic Typesetting" w:cs="Arabic Typesetting"/>
                <w:sz w:val="28"/>
                <w:szCs w:val="28"/>
                <w:rtl/>
              </w:rPr>
              <w:t xml:space="preserve"> </w:t>
            </w:r>
            <w:r w:rsidRPr="00756EA1">
              <w:rPr>
                <w:rFonts w:ascii="Arabic Typesetting" w:hAnsi="Arabic Typesetting" w:cs="Arabic Typesetting"/>
                <w:sz w:val="28"/>
                <w:szCs w:val="28"/>
                <w:rtl/>
              </w:rPr>
              <w:t>و/أو غيرها من قواعد البيانات الوجيهة</w:t>
            </w:r>
          </w:p>
        </w:tc>
        <w:tc>
          <w:tcPr>
            <w:tcW w:w="1843"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1502"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2893" w:type="dxa"/>
            <w:tcBorders>
              <w:top w:val="nil"/>
              <w:left w:val="nil"/>
              <w:bottom w:val="nil"/>
              <w:right w:val="nil"/>
            </w:tcBorders>
          </w:tcPr>
          <w:p w:rsidR="002A614F" w:rsidRPr="00756EA1" w:rsidRDefault="009A5E7C"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hint="cs"/>
                <w:sz w:val="28"/>
                <w:szCs w:val="28"/>
                <w:rtl/>
                <w:lang w:bidi="ar-EG"/>
              </w:rPr>
              <w:t>خلال الثنائية</w:t>
            </w:r>
            <w:r w:rsidR="002A614F" w:rsidRPr="00756EA1">
              <w:rPr>
                <w:rFonts w:ascii="Arabic Typesetting" w:hAnsi="Arabic Typesetting" w:cs="Arabic Typesetting"/>
                <w:sz w:val="28"/>
                <w:szCs w:val="28"/>
                <w:rtl/>
                <w:lang w:bidi="ar-EG"/>
              </w:rPr>
              <w:t xml:space="preserve">، نُشر ما مجموعه 19 دراسة إفرادية جديدة تخص الشركات الصغيرة والمتوسطة في قاعدة البيانات </w:t>
            </w:r>
            <w:r w:rsidR="002A614F" w:rsidRPr="00756EA1">
              <w:rPr>
                <w:rFonts w:ascii="Arabic Typesetting" w:hAnsi="Arabic Typesetting" w:cs="Arabic Typesetting"/>
                <w:sz w:val="28"/>
                <w:szCs w:val="28"/>
                <w:lang w:bidi="ar-EG"/>
              </w:rPr>
              <w:t>IP Advantage</w:t>
            </w:r>
            <w:r w:rsidR="002A614F" w:rsidRPr="00756EA1">
              <w:rPr>
                <w:rFonts w:ascii="Arabic Typesetting" w:hAnsi="Arabic Typesetting" w:cs="Arabic Typesetting"/>
                <w:sz w:val="28"/>
                <w:szCs w:val="28"/>
                <w:rtl/>
                <w:lang w:bidi="ar-EG"/>
              </w:rPr>
              <w:t xml:space="preserve"> ما أدى إلى بلوغ إجمالي عدد الدراسات الإفرادية المتاحة المتعلقة بالشركات الصغيرة والمتوسطة 206 دراسات. وسجلت قاعدة البيانات </w:t>
            </w:r>
            <w:r w:rsidR="002A614F" w:rsidRPr="00756EA1">
              <w:rPr>
                <w:rFonts w:ascii="Arabic Typesetting" w:hAnsi="Arabic Typesetting" w:cs="Arabic Typesetting"/>
                <w:sz w:val="28"/>
                <w:szCs w:val="28"/>
                <w:lang w:bidi="ar-EG"/>
              </w:rPr>
              <w:t>IP Advantage</w:t>
            </w:r>
            <w:r w:rsidR="002A614F" w:rsidRPr="00756EA1">
              <w:rPr>
                <w:rFonts w:ascii="Arabic Typesetting" w:hAnsi="Arabic Typesetting" w:cs="Arabic Typesetting"/>
                <w:sz w:val="28"/>
                <w:szCs w:val="28"/>
                <w:rtl/>
                <w:lang w:bidi="ar-EG"/>
              </w:rPr>
              <w:t xml:space="preserve"> 700 199 زيارة في </w:t>
            </w:r>
            <w:r w:rsidR="00507DE2">
              <w:rPr>
                <w:rFonts w:ascii="Arabic Typesetting" w:hAnsi="Arabic Typesetting" w:cs="Arabic Typesetting" w:hint="cs"/>
                <w:sz w:val="28"/>
                <w:szCs w:val="28"/>
                <w:rtl/>
                <w:lang w:bidi="ar-EG"/>
              </w:rPr>
              <w:t>2014/15</w:t>
            </w:r>
            <w:r w:rsidR="002A614F" w:rsidRPr="00756EA1">
              <w:rPr>
                <w:rFonts w:ascii="Arabic Typesetting" w:hAnsi="Arabic Typesetting" w:cs="Arabic Typesetting"/>
                <w:sz w:val="28"/>
                <w:szCs w:val="28"/>
                <w:rtl/>
                <w:lang w:bidi="ar-EG"/>
              </w:rPr>
              <w:t>؛ ولكن</w:t>
            </w:r>
            <w:r w:rsidRPr="00756EA1">
              <w:rPr>
                <w:rFonts w:ascii="Arabic Typesetting" w:hAnsi="Arabic Typesetting" w:cs="Arabic Typesetting" w:hint="cs"/>
                <w:sz w:val="28"/>
                <w:szCs w:val="28"/>
                <w:rtl/>
                <w:lang w:bidi="ar-EG"/>
              </w:rPr>
              <w:t> </w:t>
            </w:r>
            <w:r w:rsidR="002A614F" w:rsidRPr="00756EA1">
              <w:rPr>
                <w:rFonts w:ascii="Arabic Typesetting" w:hAnsi="Arabic Typesetting" w:cs="Arabic Typesetting"/>
                <w:sz w:val="28"/>
                <w:szCs w:val="28"/>
                <w:rtl/>
                <w:lang w:bidi="ar-EG"/>
              </w:rPr>
              <w:t>لا</w:t>
            </w:r>
            <w:r w:rsidRPr="00756EA1">
              <w:rPr>
                <w:rFonts w:ascii="Arabic Typesetting" w:hAnsi="Arabic Typesetting" w:cs="Arabic Typesetting" w:hint="cs"/>
                <w:sz w:val="28"/>
                <w:szCs w:val="28"/>
                <w:rtl/>
                <w:lang w:bidi="ar-EG"/>
              </w:rPr>
              <w:t> </w:t>
            </w:r>
            <w:r w:rsidR="002A614F" w:rsidRPr="00756EA1">
              <w:rPr>
                <w:rFonts w:ascii="Arabic Typesetting" w:hAnsi="Arabic Typesetting" w:cs="Arabic Typesetting"/>
                <w:sz w:val="28"/>
                <w:szCs w:val="28"/>
                <w:rtl/>
                <w:lang w:bidi="ar-EG"/>
              </w:rPr>
              <w:t>يمكن تحديد عدد المرات التي اطلع فيها على الدراسات الإفرادية المتعلقة بالشركات الصغيرة والمتوسطة.</w:t>
            </w:r>
          </w:p>
        </w:tc>
        <w:tc>
          <w:tcPr>
            <w:tcW w:w="847" w:type="dxa"/>
            <w:tcBorders>
              <w:top w:val="nil"/>
              <w:left w:val="nil"/>
              <w:bottom w:val="nil"/>
              <w:right w:val="single" w:sz="4" w:space="0" w:color="auto"/>
            </w:tcBorders>
          </w:tcPr>
          <w:p w:rsidR="002A614F" w:rsidRPr="00756EA1" w:rsidRDefault="00F94059" w:rsidP="00FE0236">
            <w:pPr>
              <w:keepNext/>
              <w:bidi/>
              <w:spacing w:before="60" w:after="60" w:line="280" w:lineRule="exact"/>
              <w:jc w:val="center"/>
              <w:rPr>
                <w:rFonts w:ascii="Arabic Typesetting" w:hAnsi="Arabic Typesetting" w:cs="Arabic Typesetting"/>
                <w:b/>
                <w:bCs/>
                <w:color w:val="808080" w:themeColor="background1" w:themeShade="80"/>
                <w:sz w:val="28"/>
                <w:szCs w:val="28"/>
                <w:rtl/>
                <w:lang w:bidi="ar-EG"/>
              </w:rPr>
            </w:pPr>
            <w:r w:rsidRPr="00756EA1">
              <w:rPr>
                <w:rFonts w:ascii="Arabic Typesetting" w:hAnsi="Arabic Typesetting" w:cs="Arabic Typesetting"/>
                <w:b/>
                <w:bCs/>
                <w:color w:val="808080" w:themeColor="background1" w:themeShade="80"/>
                <w:sz w:val="28"/>
                <w:szCs w:val="28"/>
                <w:rtl/>
                <w:lang w:bidi="ar-EG"/>
              </w:rPr>
              <w:t>غير قابل للقياس</w:t>
            </w:r>
          </w:p>
        </w:tc>
      </w:tr>
      <w:tr w:rsidR="002A614F" w:rsidRPr="00756EA1" w:rsidTr="00FE0236">
        <w:trPr>
          <w:cantSplit/>
        </w:trPr>
        <w:tc>
          <w:tcPr>
            <w:tcW w:w="2261" w:type="dxa"/>
            <w:tcBorders>
              <w:top w:val="nil"/>
              <w:left w:val="single" w:sz="4" w:space="0" w:color="auto"/>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t xml:space="preserve">النسبة المئوية للمشاركين في برامج </w:t>
            </w:r>
            <w:r w:rsidRPr="00756EA1">
              <w:rPr>
                <w:rFonts w:ascii="Arabic Typesetting" w:hAnsi="Arabic Typesetting" w:cs="Arabic Typesetting"/>
                <w:sz w:val="28"/>
                <w:szCs w:val="28"/>
                <w:rtl/>
                <w:lang w:bidi="ar-EG"/>
              </w:rPr>
              <w:t>تدريبية</w:t>
            </w:r>
            <w:r w:rsidRPr="00756EA1">
              <w:rPr>
                <w:rFonts w:ascii="Arabic Typesetting" w:hAnsi="Arabic Typesetting" w:cs="Arabic Typesetting"/>
                <w:sz w:val="28"/>
                <w:szCs w:val="28"/>
                <w:rtl/>
              </w:rPr>
              <w:t xml:space="preserve"> تستهدف المؤسسات الداعمة للشركات الصغيرة والمتوسطة ممّن أبدوا رضاهم عن محتوى تلك البرامج وطريقة تنظيمها</w:t>
            </w:r>
          </w:p>
        </w:tc>
        <w:tc>
          <w:tcPr>
            <w:tcW w:w="184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b/>
                <w:color w:val="002060"/>
                <w:sz w:val="28"/>
                <w:szCs w:val="28"/>
                <w:rtl/>
                <w:lang w:bidi="ar-EG"/>
              </w:rPr>
            </w:pPr>
            <w:r w:rsidRPr="00756EA1">
              <w:rPr>
                <w:rFonts w:ascii="Arabic Typesetting" w:hAnsi="Arabic Typesetting" w:cs="Arabic Typesetting"/>
                <w:b/>
                <w:i/>
                <w:iCs/>
                <w:color w:val="002060"/>
                <w:sz w:val="28"/>
                <w:szCs w:val="28"/>
                <w:rtl/>
                <w:lang w:bidi="ar-EG"/>
              </w:rPr>
              <w:t xml:space="preserve">أسس المقارنة المحدّثة في نهاية 2013: </w:t>
            </w:r>
            <w:r w:rsidRPr="00756EA1">
              <w:rPr>
                <w:rFonts w:ascii="Arabic Typesetting" w:hAnsi="Arabic Typesetting" w:cs="Arabic Typesetting"/>
                <w:b/>
                <w:color w:val="002060"/>
                <w:sz w:val="28"/>
                <w:szCs w:val="28"/>
                <w:rtl/>
                <w:lang w:bidi="ar-EG"/>
              </w:rPr>
              <w:t>90%</w:t>
            </w:r>
          </w:p>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i/>
                <w:iCs/>
                <w:sz w:val="28"/>
                <w:szCs w:val="28"/>
                <w:rtl/>
                <w:lang w:bidi="ar-EG"/>
              </w:rPr>
              <w:t xml:space="preserve">أسس المقارنة الأصلية: برنامج وميزانية </w:t>
            </w:r>
            <w:r w:rsidR="00507DE2">
              <w:rPr>
                <w:rFonts w:ascii="Arabic Typesetting" w:hAnsi="Arabic Typesetting" w:cs="Arabic Typesetting"/>
                <w:i/>
                <w:iCs/>
                <w:sz w:val="28"/>
                <w:szCs w:val="28"/>
                <w:rtl/>
                <w:lang w:bidi="ar-EG"/>
              </w:rPr>
              <w:t>2014/15</w:t>
            </w:r>
            <w:r w:rsidRPr="00756EA1">
              <w:rPr>
                <w:rFonts w:ascii="Arabic Typesetting" w:hAnsi="Arabic Typesetting" w:cs="Arabic Typesetting"/>
                <w:i/>
                <w:iCs/>
                <w:sz w:val="28"/>
                <w:szCs w:val="28"/>
                <w:rtl/>
                <w:lang w:bidi="ar-EG"/>
              </w:rPr>
              <w:t>:</w:t>
            </w:r>
            <w:r w:rsidRPr="00756EA1">
              <w:rPr>
                <w:rFonts w:ascii="Arabic Typesetting" w:hAnsi="Arabic Typesetting" w:cs="Arabic Typesetting"/>
                <w:sz w:val="28"/>
                <w:szCs w:val="28"/>
                <w:rtl/>
                <w:lang w:bidi="ar-EG"/>
              </w:rPr>
              <w:t xml:space="preserve"> تُحدد لاحقاً</w:t>
            </w:r>
          </w:p>
        </w:tc>
        <w:tc>
          <w:tcPr>
            <w:tcW w:w="1502"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289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إبداء 100% من المشاركين رضاهم عن محتوى البرامج التدريبية وطريقة تنظيمها</w:t>
            </w:r>
            <w:r w:rsidR="009A5E7C" w:rsidRPr="00756EA1">
              <w:rPr>
                <w:rFonts w:ascii="Arabic Typesetting" w:hAnsi="Arabic Typesetting" w:cs="Arabic Typesetting" w:hint="cs"/>
                <w:sz w:val="28"/>
                <w:szCs w:val="28"/>
                <w:rtl/>
                <w:lang w:bidi="ar-EG"/>
              </w:rPr>
              <w:t xml:space="preserve"> (46% راضون للغاية و54 راضون)</w:t>
            </w:r>
          </w:p>
        </w:tc>
        <w:tc>
          <w:tcPr>
            <w:tcW w:w="847" w:type="dxa"/>
            <w:tcBorders>
              <w:top w:val="nil"/>
              <w:left w:val="nil"/>
              <w:bottom w:val="single" w:sz="4" w:space="0" w:color="auto"/>
              <w:right w:val="single" w:sz="4" w:space="0" w:color="auto"/>
            </w:tcBorders>
          </w:tcPr>
          <w:p w:rsidR="002A614F" w:rsidRPr="00756EA1" w:rsidRDefault="009A5E7C"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756EA1">
              <w:rPr>
                <w:rFonts w:ascii="Arabic Typesetting" w:hAnsi="Arabic Typesetting" w:cs="Arabic Typesetting" w:hint="cs"/>
                <w:b/>
                <w:bCs/>
                <w:color w:val="008000"/>
                <w:sz w:val="28"/>
                <w:szCs w:val="28"/>
                <w:rtl/>
                <w:lang w:bidi="ar-EG"/>
              </w:rPr>
              <w:t>محقق كلياً</w:t>
            </w:r>
          </w:p>
        </w:tc>
      </w:tr>
      <w:tr w:rsidR="002A614F" w:rsidRPr="00756EA1" w:rsidTr="00FE0236">
        <w:trPr>
          <w:cantSplit/>
        </w:trPr>
        <w:tc>
          <w:tcPr>
            <w:tcW w:w="2261" w:type="dxa"/>
            <w:tcBorders>
              <w:top w:val="single" w:sz="4" w:space="0" w:color="auto"/>
              <w:left w:val="single" w:sz="4" w:space="0" w:color="auto"/>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lastRenderedPageBreak/>
              <w:t>النسبة المئوية للمؤسسات الداعمة للشركات الصغيرة والمتوسطة التي حصلت على التدريب وتوفر المعلومات وخدمات الدعم والاستشارة في مجال إدارة أصول الملكية الفكرية</w:t>
            </w:r>
          </w:p>
        </w:tc>
        <w:tc>
          <w:tcPr>
            <w:tcW w:w="1843"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color w:val="002060"/>
                <w:sz w:val="28"/>
                <w:szCs w:val="28"/>
                <w:rtl/>
                <w:lang w:bidi="ar-EG"/>
              </w:rPr>
            </w:pPr>
            <w:r w:rsidRPr="00756EA1">
              <w:rPr>
                <w:rFonts w:ascii="Arabic Typesetting" w:hAnsi="Arabic Typesetting" w:cs="Arabic Typesetting"/>
                <w:b/>
                <w:i/>
                <w:iCs/>
                <w:color w:val="002060"/>
                <w:sz w:val="28"/>
                <w:szCs w:val="28"/>
                <w:rtl/>
                <w:lang w:bidi="ar-EG"/>
              </w:rPr>
              <w:t xml:space="preserve">أسس المقارنة المحدّثة في نهاية 2013: </w:t>
            </w:r>
            <w:r w:rsidRPr="00756EA1">
              <w:rPr>
                <w:rFonts w:ascii="Arabic Typesetting" w:hAnsi="Arabic Typesetting" w:cs="Arabic Typesetting"/>
                <w:b/>
                <w:color w:val="002060"/>
                <w:sz w:val="28"/>
                <w:szCs w:val="28"/>
                <w:rtl/>
                <w:lang w:bidi="ar-EG"/>
              </w:rPr>
              <w:t>100% من المؤسسات الداعمة للشركات الصغيرة والمتوسطة التي حصلت على التدريب توفر المعلومات وخدمات الدعم والاستشارة في مجال إدارة أصول الملكية الفكرية</w:t>
            </w:r>
          </w:p>
          <w:p w:rsidR="002A614F" w:rsidRPr="00756EA1" w:rsidRDefault="002A614F" w:rsidP="00FE0236">
            <w:pPr>
              <w:keepNext/>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i/>
                <w:iCs/>
                <w:sz w:val="28"/>
                <w:szCs w:val="28"/>
                <w:rtl/>
                <w:lang w:bidi="ar-EG"/>
              </w:rPr>
              <w:t xml:space="preserve">أسس المقارنة الأصلية: برنامج وميزانية </w:t>
            </w:r>
            <w:r w:rsidR="00507DE2">
              <w:rPr>
                <w:rFonts w:ascii="Arabic Typesetting" w:hAnsi="Arabic Typesetting" w:cs="Arabic Typesetting"/>
                <w:i/>
                <w:iCs/>
                <w:sz w:val="28"/>
                <w:szCs w:val="28"/>
                <w:rtl/>
                <w:lang w:bidi="ar-EG"/>
              </w:rPr>
              <w:t>2014/15</w:t>
            </w:r>
            <w:r w:rsidRPr="00756EA1">
              <w:rPr>
                <w:rFonts w:ascii="Arabic Typesetting" w:hAnsi="Arabic Typesetting" w:cs="Arabic Typesetting"/>
                <w:i/>
                <w:iCs/>
                <w:sz w:val="28"/>
                <w:szCs w:val="28"/>
                <w:rtl/>
                <w:lang w:bidi="ar-EG"/>
              </w:rPr>
              <w:t>:</w:t>
            </w:r>
            <w:r w:rsidRPr="00756EA1">
              <w:rPr>
                <w:rFonts w:ascii="Arabic Typesetting" w:hAnsi="Arabic Typesetting" w:cs="Arabic Typesetting"/>
                <w:sz w:val="28"/>
                <w:szCs w:val="28"/>
                <w:rtl/>
                <w:lang w:bidi="ar-EG"/>
              </w:rPr>
              <w:t xml:space="preserve"> تُحدد لاحقاً</w:t>
            </w:r>
          </w:p>
        </w:tc>
        <w:tc>
          <w:tcPr>
            <w:tcW w:w="1502" w:type="dxa"/>
            <w:tcBorders>
              <w:top w:val="single" w:sz="4" w:space="0" w:color="auto"/>
              <w:left w:val="nil"/>
              <w:bottom w:val="nil"/>
              <w:right w:val="nil"/>
            </w:tcBorders>
          </w:tcPr>
          <w:p w:rsidR="002A614F" w:rsidRPr="008A6325" w:rsidRDefault="002A614F" w:rsidP="00FE0236">
            <w:pPr>
              <w:keepNext/>
              <w:bidi/>
              <w:spacing w:before="60" w:after="60" w:line="280" w:lineRule="exact"/>
              <w:rPr>
                <w:rFonts w:ascii="Arabic Typesetting" w:hAnsi="Arabic Typesetting" w:cs="Arabic Typesetting"/>
                <w:b/>
                <w:i/>
                <w:iCs/>
                <w:color w:val="002060"/>
                <w:sz w:val="28"/>
                <w:szCs w:val="28"/>
                <w:rtl/>
                <w:lang w:bidi="ar-EG"/>
              </w:rPr>
            </w:pPr>
            <w:r w:rsidRPr="008A6325">
              <w:rPr>
                <w:rFonts w:ascii="Arabic Typesetting" w:hAnsi="Arabic Typesetting" w:cs="Arabic Typesetting"/>
                <w:b/>
                <w:i/>
                <w:iCs/>
                <w:color w:val="002060"/>
                <w:sz w:val="28"/>
                <w:szCs w:val="28"/>
                <w:rtl/>
                <w:lang w:bidi="ar-EG"/>
              </w:rPr>
              <w:t>الهدف المحدد: 80%</w:t>
            </w:r>
          </w:p>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i/>
                <w:iCs/>
                <w:sz w:val="28"/>
                <w:szCs w:val="28"/>
                <w:rtl/>
                <w:lang w:bidi="ar-EG"/>
              </w:rPr>
              <w:t xml:space="preserve">برنامج وميزانية </w:t>
            </w:r>
            <w:r w:rsidR="00507DE2">
              <w:rPr>
                <w:rFonts w:ascii="Arabic Typesetting" w:hAnsi="Arabic Typesetting" w:cs="Arabic Typesetting"/>
                <w:i/>
                <w:iCs/>
                <w:sz w:val="28"/>
                <w:szCs w:val="28"/>
                <w:rtl/>
                <w:lang w:bidi="ar-EG"/>
              </w:rPr>
              <w:t>2014/15</w:t>
            </w:r>
            <w:r w:rsidRPr="00756EA1">
              <w:rPr>
                <w:rFonts w:ascii="Arabic Typesetting" w:hAnsi="Arabic Typesetting" w:cs="Arabic Typesetting"/>
                <w:i/>
                <w:iCs/>
                <w:sz w:val="28"/>
                <w:szCs w:val="28"/>
                <w:rtl/>
                <w:lang w:bidi="ar-EG"/>
              </w:rPr>
              <w:t>:</w:t>
            </w:r>
            <w:r w:rsidRPr="00756EA1">
              <w:rPr>
                <w:rFonts w:ascii="Arabic Typesetting" w:hAnsi="Arabic Typesetting" w:cs="Arabic Typesetting"/>
                <w:sz w:val="28"/>
                <w:szCs w:val="28"/>
                <w:rtl/>
                <w:lang w:bidi="ar-EG"/>
              </w:rPr>
              <w:t xml:space="preserve"> تُحدد لاحقاً</w:t>
            </w:r>
          </w:p>
        </w:tc>
        <w:tc>
          <w:tcPr>
            <w:tcW w:w="2893"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قدم 100% من المؤسسات الداعمة للشركات الصغيرة والمتوسطة التي حصلت على التدريب توفر المعلومات وخدمات الدعم والاستشارة في مجال إدارة أصول الملكية الفكرية</w:t>
            </w:r>
            <w:r w:rsidR="009A5E7C" w:rsidRPr="00756EA1">
              <w:rPr>
                <w:rFonts w:ascii="Arabic Typesetting" w:hAnsi="Arabic Typesetting" w:cs="Arabic Typesetting" w:hint="cs"/>
                <w:sz w:val="28"/>
                <w:szCs w:val="28"/>
                <w:rtl/>
                <w:lang w:bidi="ar-EG"/>
              </w:rPr>
              <w:t xml:space="preserve"> (كثيراً (48%)؛ غالباً (32%)؛ أحياناً (20%))</w:t>
            </w:r>
          </w:p>
        </w:tc>
        <w:tc>
          <w:tcPr>
            <w:tcW w:w="847" w:type="dxa"/>
            <w:tcBorders>
              <w:top w:val="single" w:sz="4" w:space="0" w:color="auto"/>
              <w:left w:val="nil"/>
              <w:bottom w:val="nil"/>
              <w:right w:val="single" w:sz="4" w:space="0" w:color="auto"/>
            </w:tcBorders>
          </w:tcPr>
          <w:p w:rsidR="002A614F" w:rsidRPr="00756EA1" w:rsidRDefault="009A5E7C"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756EA1">
              <w:rPr>
                <w:rFonts w:ascii="Arabic Typesetting" w:hAnsi="Arabic Typesetting" w:cs="Arabic Typesetting" w:hint="cs"/>
                <w:b/>
                <w:bCs/>
                <w:color w:val="008000"/>
                <w:sz w:val="28"/>
                <w:szCs w:val="28"/>
                <w:rtl/>
                <w:lang w:bidi="ar-EG"/>
              </w:rPr>
              <w:t>محقق كلياً</w:t>
            </w:r>
          </w:p>
        </w:tc>
      </w:tr>
      <w:tr w:rsidR="002A614F" w:rsidRPr="00756EA1" w:rsidTr="00FE0236">
        <w:trPr>
          <w:cantSplit/>
        </w:trPr>
        <w:tc>
          <w:tcPr>
            <w:tcW w:w="2261" w:type="dxa"/>
            <w:tcBorders>
              <w:top w:val="nil"/>
              <w:left w:val="single" w:sz="4" w:space="0" w:color="auto"/>
              <w:bottom w:val="single" w:sz="4" w:space="0" w:color="auto"/>
              <w:right w:val="nil"/>
            </w:tcBorders>
          </w:tcPr>
          <w:p w:rsidR="002A614F" w:rsidRPr="00756EA1" w:rsidRDefault="002A614F" w:rsidP="00FE0236">
            <w:pPr>
              <w:bidi/>
              <w:adjustRightInd w:val="0"/>
              <w:snapToGrid w:val="0"/>
              <w:spacing w:before="2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t>عدد البلدان التي وضعت برامج تدر</w:t>
            </w:r>
            <w:r w:rsidRPr="00756EA1">
              <w:rPr>
                <w:rFonts w:ascii="Arabic Typesetting" w:hAnsi="Arabic Typesetting" w:cs="Arabic Typesetting"/>
                <w:sz w:val="28"/>
                <w:szCs w:val="28"/>
                <w:rtl/>
                <w:lang w:bidi="ar-EG"/>
              </w:rPr>
              <w:t>ي</w:t>
            </w:r>
            <w:proofErr w:type="spellStart"/>
            <w:r w:rsidRPr="00756EA1">
              <w:rPr>
                <w:rFonts w:ascii="Arabic Typesetting" w:hAnsi="Arabic Typesetting" w:cs="Arabic Typesetting"/>
                <w:sz w:val="28"/>
                <w:szCs w:val="28"/>
                <w:rtl/>
              </w:rPr>
              <w:t>بية</w:t>
            </w:r>
            <w:proofErr w:type="spellEnd"/>
            <w:r w:rsidRPr="00756EA1">
              <w:rPr>
                <w:rFonts w:ascii="Arabic Typesetting" w:hAnsi="Arabic Typesetting" w:cs="Arabic Typesetting"/>
                <w:sz w:val="28"/>
                <w:szCs w:val="28"/>
                <w:rtl/>
              </w:rPr>
              <w:t xml:space="preserve"> في مجال الملكية الفكرية لفائدة الشركات الصغيرة والمتوسطة</w:t>
            </w:r>
          </w:p>
        </w:tc>
        <w:tc>
          <w:tcPr>
            <w:tcW w:w="184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1502"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289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 xml:space="preserve">أبلغت البلدان والمنظمات الإقليمية </w:t>
            </w:r>
            <w:r w:rsidR="009A5E7C" w:rsidRPr="00756EA1">
              <w:rPr>
                <w:rFonts w:ascii="Arabic Typesetting" w:hAnsi="Arabic Typesetting" w:cs="Arabic Typesetting" w:hint="cs"/>
                <w:sz w:val="28"/>
                <w:szCs w:val="28"/>
                <w:rtl/>
                <w:lang w:bidi="ar-EG"/>
              </w:rPr>
              <w:t>الثماني</w:t>
            </w:r>
            <w:r w:rsidRPr="00756EA1">
              <w:rPr>
                <w:rFonts w:ascii="Arabic Typesetting" w:hAnsi="Arabic Typesetting" w:cs="Arabic Typesetting"/>
                <w:sz w:val="28"/>
                <w:szCs w:val="28"/>
                <w:rtl/>
                <w:lang w:bidi="ar-EG"/>
              </w:rPr>
              <w:t xml:space="preserve"> عشرة التالية وضع برامج تدريبية في مجال الملكية الفكرية لفائدة الشركات الصغيرة والمتوسطة: المنظمة الإقليمية الأفريقية للملكية الفكرية، أرمينيا، الأرجنتين، بيلاروس، كولومبيا، جورجيا،</w:t>
            </w:r>
            <w:r w:rsidR="005D0838" w:rsidRPr="00756EA1">
              <w:rPr>
                <w:rFonts w:ascii="Arabic Typesetting" w:hAnsi="Arabic Typesetting" w:cs="Arabic Typesetting" w:hint="cs"/>
                <w:sz w:val="28"/>
                <w:szCs w:val="28"/>
                <w:rtl/>
                <w:lang w:bidi="ar-EG"/>
              </w:rPr>
              <w:t xml:space="preserve"> جمهورية إيران الإسلامية،</w:t>
            </w:r>
            <w:r w:rsidRPr="00756EA1">
              <w:rPr>
                <w:rFonts w:ascii="Arabic Typesetting" w:hAnsi="Arabic Typesetting" w:cs="Arabic Typesetting"/>
                <w:sz w:val="28"/>
                <w:szCs w:val="28"/>
                <w:rtl/>
                <w:lang w:bidi="ar-EG"/>
              </w:rPr>
              <w:t xml:space="preserve"> الأردن، كازاخستان،</w:t>
            </w:r>
            <w:r w:rsidR="005D0838" w:rsidRPr="00756EA1">
              <w:rPr>
                <w:rFonts w:ascii="Arabic Typesetting" w:hAnsi="Arabic Typesetting" w:cs="Arabic Typesetting" w:hint="cs"/>
                <w:sz w:val="28"/>
                <w:szCs w:val="28"/>
                <w:rtl/>
                <w:lang w:bidi="ar-EG"/>
              </w:rPr>
              <w:t xml:space="preserve"> </w:t>
            </w:r>
            <w:r w:rsidR="005D0838" w:rsidRPr="00756EA1">
              <w:rPr>
                <w:rFonts w:ascii="Arabic Typesetting" w:hAnsi="Arabic Typesetting" w:cs="Arabic Typesetting"/>
                <w:sz w:val="28"/>
                <w:szCs w:val="28"/>
                <w:rtl/>
                <w:lang w:bidi="ar-EG"/>
              </w:rPr>
              <w:t>جمهورية لاو الديمقراطية الشعبية</w:t>
            </w:r>
            <w:r w:rsidR="005D0838" w:rsidRPr="00756EA1">
              <w:rPr>
                <w:rFonts w:ascii="Arabic Typesetting" w:hAnsi="Arabic Typesetting" w:cs="Arabic Typesetting" w:hint="cs"/>
                <w:sz w:val="28"/>
                <w:szCs w:val="28"/>
                <w:rtl/>
                <w:lang w:bidi="ar-EG"/>
              </w:rPr>
              <w:t xml:space="preserve">، لبنان، عُمان، </w:t>
            </w:r>
            <w:r w:rsidRPr="00756EA1">
              <w:rPr>
                <w:rFonts w:ascii="Arabic Typesetting" w:hAnsi="Arabic Typesetting" w:cs="Arabic Typesetting"/>
                <w:sz w:val="28"/>
                <w:szCs w:val="28"/>
                <w:rtl/>
                <w:lang w:bidi="ar-EG"/>
              </w:rPr>
              <w:t xml:space="preserve">بابوا غينيا الجديدة، </w:t>
            </w:r>
            <w:r w:rsidR="005D0838" w:rsidRPr="00756EA1">
              <w:rPr>
                <w:rFonts w:ascii="Arabic Typesetting" w:hAnsi="Arabic Typesetting" w:cs="Arabic Typesetting" w:hint="cs"/>
                <w:sz w:val="28"/>
                <w:szCs w:val="28"/>
                <w:rtl/>
                <w:lang w:bidi="ar-EG"/>
              </w:rPr>
              <w:t xml:space="preserve">المملكة العربية السعودية، ترينيداد وتوباغو، </w:t>
            </w:r>
            <w:r w:rsidRPr="00756EA1">
              <w:rPr>
                <w:rFonts w:ascii="Arabic Typesetting" w:hAnsi="Arabic Typesetting" w:cs="Arabic Typesetting"/>
                <w:sz w:val="28"/>
                <w:szCs w:val="28"/>
                <w:rtl/>
                <w:lang w:bidi="ar-EG"/>
              </w:rPr>
              <w:t>أوغندا، الإمارات العربية المتحدة، جمهورية</w:t>
            </w:r>
            <w:r w:rsidR="005D0838" w:rsidRPr="00756EA1">
              <w:rPr>
                <w:rFonts w:ascii="Arabic Typesetting" w:hAnsi="Arabic Typesetting" w:cs="Arabic Typesetting"/>
                <w:sz w:val="28"/>
                <w:szCs w:val="28"/>
                <w:rtl/>
                <w:lang w:bidi="ar-EG"/>
              </w:rPr>
              <w:t xml:space="preserve"> تنزانيا المتحدة</w:t>
            </w:r>
            <w:r w:rsidR="005D0838" w:rsidRPr="00756EA1">
              <w:rPr>
                <w:rFonts w:ascii="Arabic Typesetting" w:hAnsi="Arabic Typesetting" w:cs="Arabic Typesetting" w:hint="cs"/>
                <w:sz w:val="28"/>
                <w:szCs w:val="28"/>
                <w:rtl/>
                <w:lang w:bidi="ar-EG"/>
              </w:rPr>
              <w:t>.</w:t>
            </w:r>
          </w:p>
        </w:tc>
        <w:tc>
          <w:tcPr>
            <w:tcW w:w="847" w:type="dxa"/>
            <w:tcBorders>
              <w:top w:val="nil"/>
              <w:left w:val="nil"/>
              <w:bottom w:val="single" w:sz="4" w:space="0" w:color="auto"/>
              <w:right w:val="single" w:sz="4" w:space="0" w:color="auto"/>
            </w:tcBorders>
          </w:tcPr>
          <w:p w:rsidR="002A614F" w:rsidRPr="00756EA1" w:rsidRDefault="00F94059"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756EA1">
              <w:rPr>
                <w:rFonts w:ascii="Arabic Typesetting" w:hAnsi="Arabic Typesetting" w:cs="Arabic Typesetting"/>
                <w:b/>
                <w:bCs/>
                <w:color w:val="808080" w:themeColor="background1" w:themeShade="80"/>
                <w:sz w:val="28"/>
                <w:szCs w:val="28"/>
                <w:rtl/>
                <w:lang w:bidi="ar-EG"/>
              </w:rPr>
              <w:t>غير قابل للقياس</w:t>
            </w:r>
          </w:p>
        </w:tc>
      </w:tr>
      <w:tr w:rsidR="005D0838" w:rsidRPr="00756EA1" w:rsidTr="00FE0236">
        <w:trPr>
          <w:cantSplit/>
        </w:trPr>
        <w:tc>
          <w:tcPr>
            <w:tcW w:w="9346"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tcPr>
          <w:p w:rsidR="005D0838" w:rsidRPr="00756EA1" w:rsidRDefault="005D0838" w:rsidP="00FE0236">
            <w:pPr>
              <w:keepNext/>
              <w:bidi/>
              <w:spacing w:after="60" w:line="280" w:lineRule="exact"/>
              <w:ind w:left="1167" w:hanging="1167"/>
              <w:rPr>
                <w:rFonts w:ascii="Arabic Typesetting" w:hAnsi="Arabic Typesetting" w:cs="Arabic Typesetting"/>
                <w:sz w:val="28"/>
                <w:szCs w:val="28"/>
                <w:rtl/>
                <w:lang w:bidi="ar-EG"/>
              </w:rPr>
            </w:pPr>
            <w:r w:rsidRPr="00756EA1">
              <w:rPr>
                <w:rFonts w:ascii="Arabic Typesetting" w:hAnsi="Arabic Typesetting" w:cs="Arabic Typesetting"/>
                <w:b/>
                <w:bCs/>
                <w:sz w:val="28"/>
                <w:szCs w:val="28"/>
                <w:rtl/>
                <w:lang w:bidi="ar-EG"/>
              </w:rPr>
              <w:lastRenderedPageBreak/>
              <w:t>النتيجة المرتقبة:</w:t>
            </w:r>
            <w:r w:rsidRPr="00756EA1">
              <w:rPr>
                <w:rFonts w:ascii="Arabic Typesetting" w:hAnsi="Arabic Typesetting" w:cs="Arabic Typesetting" w:hint="cs"/>
                <w:b/>
                <w:bCs/>
                <w:sz w:val="28"/>
                <w:szCs w:val="28"/>
                <w:rtl/>
                <w:lang w:bidi="ar-EG"/>
              </w:rPr>
              <w:tab/>
            </w:r>
            <w:r w:rsidRPr="00756EA1">
              <w:rPr>
                <w:rFonts w:ascii="Arabic Typesetting" w:hAnsi="Arabic Typesetting" w:cs="Arabic Typesetting" w:hint="cs"/>
                <w:sz w:val="28"/>
                <w:szCs w:val="28"/>
                <w:rtl/>
                <w:lang w:bidi="ar-EG"/>
              </w:rPr>
              <w:t>ه</w:t>
            </w:r>
            <w:r w:rsidRPr="00756EA1">
              <w:rPr>
                <w:rFonts w:ascii="Arabic Typesetting" w:hAnsi="Arabic Typesetting" w:cs="Arabic Typesetting"/>
                <w:sz w:val="28"/>
                <w:szCs w:val="28"/>
                <w:rtl/>
                <w:lang w:bidi="ar-EG"/>
              </w:rPr>
              <w:t>2.4</w:t>
            </w:r>
            <w:r w:rsidRPr="00756EA1">
              <w:rPr>
                <w:rFonts w:ascii="Arabic Typesetting" w:hAnsi="Arabic Typesetting" w:cs="Arabic Typesetting" w:hint="cs"/>
                <w:sz w:val="28"/>
                <w:szCs w:val="28"/>
                <w:rtl/>
                <w:lang w:bidi="ar-EG"/>
              </w:rPr>
              <w:t xml:space="preserve"> </w:t>
            </w:r>
            <w:r w:rsidR="000432CA">
              <w:rPr>
                <w:rFonts w:ascii="Arabic Typesetting" w:hAnsi="Arabic Typesetting" w:cs="Arabic Typesetting"/>
                <w:sz w:val="28"/>
                <w:szCs w:val="28"/>
                <w:rtl/>
                <w:lang w:bidi="ar-EG"/>
              </w:rPr>
              <w:t>تحسين النفاذ إلى المعلومات المتعلقة بالملكية الفكرية واستخدامها من قبل مؤسسات الملكية الفكرية والجمهور لتشجيع الابتكار والإبداع</w:t>
            </w:r>
          </w:p>
        </w:tc>
      </w:tr>
      <w:tr w:rsidR="002A614F" w:rsidRPr="00756EA1" w:rsidTr="00FE0236">
        <w:trPr>
          <w:cantSplit/>
        </w:trPr>
        <w:tc>
          <w:tcPr>
            <w:tcW w:w="2261" w:type="dxa"/>
            <w:tcBorders>
              <w:top w:val="single" w:sz="4" w:space="0" w:color="auto"/>
              <w:left w:val="single" w:sz="4" w:space="0" w:color="auto"/>
              <w:bottom w:val="nil"/>
              <w:right w:val="nil"/>
            </w:tcBorders>
          </w:tcPr>
          <w:p w:rsidR="002A614F" w:rsidRPr="00756EA1" w:rsidRDefault="005D0838"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مؤشرات الأداء</w:t>
            </w:r>
          </w:p>
        </w:tc>
        <w:tc>
          <w:tcPr>
            <w:tcW w:w="1843"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أسس المقارنة</w:t>
            </w:r>
          </w:p>
        </w:tc>
        <w:tc>
          <w:tcPr>
            <w:tcW w:w="1502"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الأهداف</w:t>
            </w:r>
          </w:p>
        </w:tc>
        <w:tc>
          <w:tcPr>
            <w:tcW w:w="2893" w:type="dxa"/>
            <w:tcBorders>
              <w:top w:val="single" w:sz="4" w:space="0" w:color="auto"/>
              <w:left w:val="nil"/>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b/>
                <w:bCs/>
                <w:sz w:val="28"/>
                <w:szCs w:val="28"/>
                <w:rtl/>
                <w:lang w:bidi="ar-EG"/>
              </w:rPr>
            </w:pPr>
            <w:r w:rsidRPr="00756EA1">
              <w:rPr>
                <w:rFonts w:ascii="Arabic Typesetting" w:hAnsi="Arabic Typesetting" w:cs="Arabic Typesetting"/>
                <w:b/>
                <w:bCs/>
                <w:sz w:val="28"/>
                <w:szCs w:val="28"/>
                <w:rtl/>
                <w:lang w:bidi="ar-EG"/>
              </w:rPr>
              <w:t>بيانات الأداء</w:t>
            </w:r>
          </w:p>
        </w:tc>
        <w:tc>
          <w:tcPr>
            <w:tcW w:w="847" w:type="dxa"/>
            <w:tcBorders>
              <w:top w:val="single" w:sz="4" w:space="0" w:color="auto"/>
              <w:left w:val="nil"/>
              <w:bottom w:val="nil"/>
              <w:right w:val="single" w:sz="4" w:space="0" w:color="auto"/>
            </w:tcBorders>
          </w:tcPr>
          <w:p w:rsidR="002A614F" w:rsidRPr="00756EA1" w:rsidRDefault="002A614F" w:rsidP="00FE0236">
            <w:pPr>
              <w:keepNext/>
              <w:bidi/>
              <w:spacing w:before="60" w:after="60" w:line="280" w:lineRule="exact"/>
              <w:jc w:val="center"/>
              <w:rPr>
                <w:rFonts w:ascii="Arabic Typesetting" w:hAnsi="Arabic Typesetting" w:cs="Arabic Typesetting"/>
                <w:b/>
                <w:bCs/>
                <w:sz w:val="28"/>
                <w:szCs w:val="28"/>
                <w:lang w:bidi="ar-EG"/>
              </w:rPr>
            </w:pPr>
            <w:r w:rsidRPr="00756EA1">
              <w:rPr>
                <w:rFonts w:ascii="Arabic Typesetting" w:hAnsi="Arabic Typesetting" w:cs="Arabic Typesetting"/>
                <w:b/>
                <w:bCs/>
                <w:sz w:val="28"/>
                <w:szCs w:val="28"/>
                <w:rtl/>
                <w:lang w:bidi="ar-EG"/>
              </w:rPr>
              <w:t>السير</w:t>
            </w:r>
          </w:p>
        </w:tc>
      </w:tr>
      <w:tr w:rsidR="002A614F" w:rsidRPr="00756EA1" w:rsidTr="00FE0236">
        <w:trPr>
          <w:cantSplit/>
        </w:trPr>
        <w:tc>
          <w:tcPr>
            <w:tcW w:w="2261" w:type="dxa"/>
            <w:tcBorders>
              <w:top w:val="nil"/>
              <w:left w:val="single" w:sz="4" w:space="0" w:color="auto"/>
              <w:bottom w:val="nil"/>
              <w:right w:val="nil"/>
            </w:tcBorders>
          </w:tcPr>
          <w:p w:rsidR="002A614F" w:rsidRPr="00756EA1" w:rsidRDefault="002A614F" w:rsidP="00FE0236">
            <w:pPr>
              <w:keepNext/>
              <w:bidi/>
              <w:spacing w:before="6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t>عدد مكاتب نقل التكنولوجيا المستدامة التي أنشئت و/أو عُزّزت في الجامعات أو مؤسسات البحث والتطوير</w:t>
            </w:r>
          </w:p>
        </w:tc>
        <w:tc>
          <w:tcPr>
            <w:tcW w:w="1843"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1502"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إقامة 5 مكاتب لنقل التكنولوجيا في المنطقة</w:t>
            </w:r>
            <w:r w:rsidR="008A6325">
              <w:rPr>
                <w:rFonts w:ascii="Arabic Typesetting" w:hAnsi="Arabic Typesetting" w:cs="Arabic Typesetting" w:hint="cs"/>
                <w:sz w:val="28"/>
                <w:szCs w:val="28"/>
                <w:rtl/>
                <w:lang w:bidi="ar-EG"/>
              </w:rPr>
              <w:t> </w:t>
            </w:r>
            <w:r w:rsidRPr="00756EA1">
              <w:rPr>
                <w:rFonts w:ascii="Arabic Typesetting" w:hAnsi="Arabic Typesetting" w:cs="Arabic Typesetting"/>
                <w:sz w:val="28"/>
                <w:szCs w:val="28"/>
                <w:rtl/>
                <w:lang w:bidi="ar-EG"/>
              </w:rPr>
              <w:t>العربية</w:t>
            </w:r>
          </w:p>
        </w:tc>
        <w:tc>
          <w:tcPr>
            <w:tcW w:w="2893" w:type="dxa"/>
            <w:tcBorders>
              <w:top w:val="nil"/>
              <w:left w:val="nil"/>
              <w:bottom w:val="nil"/>
              <w:right w:val="nil"/>
            </w:tcBorders>
          </w:tcPr>
          <w:p w:rsidR="002A614F" w:rsidRPr="00756EA1" w:rsidRDefault="005D0838"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وسِّع النطاق الجغرافي لمشروع "إنشاء مكاتب لنقل التكنولوجيا في المنطقة العربية" في عام</w:t>
            </w:r>
            <w:r w:rsidR="008A6325">
              <w:rPr>
                <w:rFonts w:ascii="Arabic Typesetting" w:hAnsi="Arabic Typesetting" w:cs="Arabic Typesetting" w:hint="cs"/>
                <w:sz w:val="28"/>
                <w:szCs w:val="28"/>
                <w:rtl/>
                <w:lang w:bidi="ar-EG"/>
              </w:rPr>
              <w:t> </w:t>
            </w:r>
            <w:r w:rsidRPr="00756EA1">
              <w:rPr>
                <w:rFonts w:ascii="Arabic Typesetting" w:hAnsi="Arabic Typesetting" w:cs="Arabic Typesetting"/>
                <w:sz w:val="28"/>
                <w:szCs w:val="28"/>
                <w:rtl/>
                <w:lang w:bidi="ar-EG"/>
              </w:rPr>
              <w:t>2014 استجابةً لطلبات الدول الأعضاء. وتواصل التقدم المحرز في تعزيز أربعة مكاتب لنقل التكنولوجيا في تونس كي تصبح مستدامة ومستقلة تشغيلياً</w:t>
            </w:r>
            <w:r w:rsidRPr="00756EA1">
              <w:rPr>
                <w:rFonts w:ascii="Arabic Typesetting" w:hAnsi="Arabic Typesetting" w:cs="Arabic Typesetting" w:hint="cs"/>
                <w:sz w:val="28"/>
                <w:szCs w:val="28"/>
                <w:rtl/>
                <w:lang w:bidi="ar-EG"/>
              </w:rPr>
              <w:t xml:space="preserve"> ولا سيما عن طريق</w:t>
            </w:r>
            <w:r w:rsidRPr="00756EA1">
              <w:rPr>
                <w:rFonts w:ascii="Arabic Typesetting" w:hAnsi="Arabic Typesetting" w:cs="Arabic Typesetting"/>
                <w:sz w:val="28"/>
                <w:szCs w:val="28"/>
                <w:rtl/>
                <w:lang w:bidi="ar-EG"/>
              </w:rPr>
              <w:t xml:space="preserve"> استكمال السياسات المؤسسية الخاصة بالملكية الفكرية</w:t>
            </w:r>
            <w:r w:rsidRPr="00756EA1">
              <w:rPr>
                <w:rFonts w:ascii="Arabic Typesetting" w:hAnsi="Arabic Typesetting" w:cs="Arabic Typesetting" w:hint="cs"/>
                <w:sz w:val="28"/>
                <w:szCs w:val="28"/>
                <w:rtl/>
                <w:lang w:bidi="ar-EG"/>
              </w:rPr>
              <w:t xml:space="preserve"> فيها:</w:t>
            </w:r>
          </w:p>
          <w:p w:rsidR="002A614F" w:rsidRPr="00756EA1" w:rsidRDefault="002A614F" w:rsidP="00FE0236">
            <w:pPr>
              <w:bidi/>
              <w:spacing w:before="60" w:after="60" w:line="280" w:lineRule="exact"/>
              <w:ind w:left="288" w:hanging="288"/>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w:t>
            </w:r>
            <w:r w:rsidRPr="00756EA1">
              <w:rPr>
                <w:rFonts w:ascii="Arabic Typesetting" w:hAnsi="Arabic Typesetting" w:cs="Arabic Typesetting"/>
                <w:sz w:val="28"/>
                <w:szCs w:val="28"/>
                <w:rtl/>
                <w:lang w:bidi="ar-EG"/>
              </w:rPr>
              <w:tab/>
              <w:t>المركز التقني للكيمياء</w:t>
            </w:r>
          </w:p>
          <w:p w:rsidR="002A614F" w:rsidRPr="00756EA1" w:rsidRDefault="002A614F" w:rsidP="00FE0236">
            <w:pPr>
              <w:bidi/>
              <w:spacing w:before="60" w:after="60" w:line="280" w:lineRule="exact"/>
              <w:ind w:left="288" w:hanging="288"/>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w:t>
            </w:r>
            <w:r w:rsidRPr="00756EA1">
              <w:rPr>
                <w:rFonts w:ascii="Arabic Typesetting" w:hAnsi="Arabic Typesetting" w:cs="Arabic Typesetting"/>
                <w:sz w:val="28"/>
                <w:szCs w:val="28"/>
                <w:rtl/>
                <w:lang w:bidi="ar-EG"/>
              </w:rPr>
              <w:tab/>
              <w:t>قطب الغزالة لتكنولوجيات الاتصال</w:t>
            </w:r>
          </w:p>
          <w:p w:rsidR="002A614F" w:rsidRPr="00756EA1" w:rsidRDefault="002A614F" w:rsidP="00FE0236">
            <w:pPr>
              <w:bidi/>
              <w:spacing w:before="60" w:after="60" w:line="280" w:lineRule="exact"/>
              <w:ind w:left="288" w:hanging="288"/>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w:t>
            </w:r>
            <w:r w:rsidRPr="00756EA1">
              <w:rPr>
                <w:rFonts w:ascii="Arabic Typesetting" w:hAnsi="Arabic Typesetting" w:cs="Arabic Typesetting"/>
                <w:sz w:val="28"/>
                <w:szCs w:val="28"/>
                <w:rtl/>
                <w:lang w:bidi="ar-EG"/>
              </w:rPr>
              <w:tab/>
              <w:t>المركز الفني للتعبئة والتغليف (</w:t>
            </w:r>
            <w:proofErr w:type="spellStart"/>
            <w:r w:rsidRPr="00756EA1">
              <w:rPr>
                <w:rFonts w:ascii="Arabic Typesetting" w:hAnsi="Arabic Typesetting" w:cs="Arabic Typesetting"/>
                <w:sz w:val="28"/>
                <w:szCs w:val="28"/>
                <w:lang w:bidi="ar-EG"/>
              </w:rPr>
              <w:t>Packtec</w:t>
            </w:r>
            <w:proofErr w:type="spellEnd"/>
            <w:r w:rsidRPr="00756EA1">
              <w:rPr>
                <w:rFonts w:ascii="Arabic Typesetting" w:hAnsi="Arabic Typesetting" w:cs="Arabic Typesetting"/>
                <w:sz w:val="28"/>
                <w:szCs w:val="28"/>
                <w:rtl/>
                <w:lang w:bidi="ar-EG"/>
              </w:rPr>
              <w:t>)</w:t>
            </w:r>
          </w:p>
          <w:p w:rsidR="002A614F" w:rsidRPr="00756EA1" w:rsidRDefault="002A614F" w:rsidP="00FE0236">
            <w:pPr>
              <w:bidi/>
              <w:spacing w:before="60" w:after="120" w:line="280" w:lineRule="exact"/>
              <w:ind w:left="288" w:hanging="288"/>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w:t>
            </w:r>
            <w:r w:rsidRPr="00756EA1">
              <w:rPr>
                <w:rFonts w:ascii="Arabic Typesetting" w:hAnsi="Arabic Typesetting" w:cs="Arabic Typesetting"/>
                <w:sz w:val="28"/>
                <w:szCs w:val="28"/>
                <w:rtl/>
                <w:lang w:bidi="ar-EG"/>
              </w:rPr>
              <w:tab/>
              <w:t xml:space="preserve">القطب </w:t>
            </w:r>
            <w:proofErr w:type="spellStart"/>
            <w:r w:rsidRPr="00756EA1">
              <w:rPr>
                <w:rFonts w:ascii="Arabic Typesetting" w:hAnsi="Arabic Typesetting" w:cs="Arabic Typesetting"/>
                <w:sz w:val="28"/>
                <w:szCs w:val="28"/>
                <w:rtl/>
                <w:lang w:bidi="ar-EG"/>
              </w:rPr>
              <w:t>ال</w:t>
            </w:r>
            <w:r w:rsidR="005D0838" w:rsidRPr="00756EA1">
              <w:rPr>
                <w:rFonts w:ascii="Arabic Typesetting" w:hAnsi="Arabic Typesetting" w:cs="Arabic Typesetting" w:hint="cs"/>
                <w:sz w:val="28"/>
                <w:szCs w:val="28"/>
                <w:rtl/>
                <w:lang w:bidi="ar-EG"/>
              </w:rPr>
              <w:t>بيو</w:t>
            </w:r>
            <w:r w:rsidRPr="00756EA1">
              <w:rPr>
                <w:rFonts w:ascii="Arabic Typesetting" w:hAnsi="Arabic Typesetting" w:cs="Arabic Typesetting"/>
                <w:sz w:val="28"/>
                <w:szCs w:val="28"/>
                <w:rtl/>
                <w:lang w:bidi="ar-EG"/>
              </w:rPr>
              <w:t>تكنولوجي</w:t>
            </w:r>
            <w:proofErr w:type="spellEnd"/>
            <w:r w:rsidRPr="00756EA1">
              <w:rPr>
                <w:rFonts w:ascii="Arabic Typesetting" w:hAnsi="Arabic Typesetting" w:cs="Arabic Typesetting"/>
                <w:sz w:val="28"/>
                <w:szCs w:val="28"/>
                <w:rtl/>
                <w:lang w:bidi="ar-EG"/>
              </w:rPr>
              <w:t xml:space="preserve"> سيدي ثابت</w:t>
            </w:r>
          </w:p>
        </w:tc>
        <w:tc>
          <w:tcPr>
            <w:tcW w:w="847" w:type="dxa"/>
            <w:tcBorders>
              <w:top w:val="nil"/>
              <w:left w:val="nil"/>
              <w:bottom w:val="nil"/>
              <w:right w:val="single" w:sz="4" w:space="0" w:color="auto"/>
            </w:tcBorders>
          </w:tcPr>
          <w:p w:rsidR="002A614F" w:rsidRPr="00756EA1" w:rsidRDefault="002A614F"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756EA1">
              <w:rPr>
                <w:rFonts w:ascii="Arabic Typesetting" w:hAnsi="Arabic Typesetting" w:cs="Arabic Typesetting"/>
                <w:b/>
                <w:bCs/>
                <w:color w:val="FF0000"/>
                <w:sz w:val="28"/>
                <w:szCs w:val="28"/>
                <w:rtl/>
                <w:lang w:bidi="ar-EG"/>
              </w:rPr>
              <w:t xml:space="preserve">غير </w:t>
            </w:r>
            <w:r w:rsidR="005D0838" w:rsidRPr="00756EA1">
              <w:rPr>
                <w:rFonts w:ascii="Arabic Typesetting" w:hAnsi="Arabic Typesetting" w:cs="Arabic Typesetting" w:hint="cs"/>
                <w:b/>
                <w:bCs/>
                <w:color w:val="FF0000"/>
                <w:sz w:val="28"/>
                <w:szCs w:val="28"/>
                <w:rtl/>
                <w:lang w:bidi="ar-EG"/>
              </w:rPr>
              <w:t>محقق</w:t>
            </w:r>
          </w:p>
        </w:tc>
      </w:tr>
      <w:tr w:rsidR="002A614F" w:rsidRPr="00756EA1" w:rsidTr="00FE0236">
        <w:trPr>
          <w:cantSplit/>
        </w:trPr>
        <w:tc>
          <w:tcPr>
            <w:tcW w:w="2261" w:type="dxa"/>
            <w:tcBorders>
              <w:top w:val="nil"/>
              <w:left w:val="single" w:sz="4" w:space="0" w:color="auto"/>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rPr>
            </w:pPr>
          </w:p>
        </w:tc>
        <w:tc>
          <w:tcPr>
            <w:tcW w:w="1843"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p>
        </w:tc>
        <w:tc>
          <w:tcPr>
            <w:tcW w:w="1502"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p>
        </w:tc>
        <w:tc>
          <w:tcPr>
            <w:tcW w:w="2893" w:type="dxa"/>
            <w:tcBorders>
              <w:top w:val="nil"/>
              <w:left w:val="nil"/>
              <w:bottom w:val="nil"/>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استناداً إلى ردود على دراسة استقصائية، أفادت الجامعات التالية في الفلبين بأن إرشاد الويبو وتدريبه كان "مفيداً" أو "مفيداً للغاية" في تعزيز مكاتب نقل التكنولوجيا فيها:</w:t>
            </w:r>
            <w:r w:rsidR="005D0838" w:rsidRPr="00756EA1">
              <w:rPr>
                <w:rFonts w:ascii="Arabic Typesetting" w:hAnsi="Arabic Typesetting" w:cs="Arabic Typesetting" w:hint="cs"/>
                <w:sz w:val="28"/>
                <w:szCs w:val="28"/>
                <w:rtl/>
                <w:lang w:bidi="ar-EG"/>
              </w:rPr>
              <w:t xml:space="preserve"> </w:t>
            </w:r>
            <w:r w:rsidRPr="00756EA1">
              <w:rPr>
                <w:rFonts w:ascii="Arabic Typesetting" w:hAnsi="Arabic Typesetting" w:cs="Arabic Typesetting"/>
                <w:sz w:val="28"/>
                <w:szCs w:val="28"/>
                <w:rtl/>
                <w:lang w:bidi="ar-EG"/>
              </w:rPr>
              <w:t>"1"</w:t>
            </w:r>
            <w:r w:rsidR="005D0838" w:rsidRPr="00756EA1">
              <w:rPr>
                <w:rFonts w:ascii="Arabic Typesetting" w:hAnsi="Arabic Typesetting" w:cs="Arabic Typesetting" w:hint="cs"/>
                <w:sz w:val="28"/>
                <w:szCs w:val="28"/>
                <w:rtl/>
                <w:lang w:bidi="ar-EG"/>
              </w:rPr>
              <w:t> </w:t>
            </w:r>
            <w:r w:rsidR="005D0838" w:rsidRPr="00756EA1">
              <w:rPr>
                <w:rFonts w:ascii="Arabic Typesetting" w:hAnsi="Arabic Typesetting" w:cs="Arabic Typesetting"/>
                <w:sz w:val="28"/>
                <w:szCs w:val="28"/>
                <w:rtl/>
                <w:lang w:bidi="ar-EG"/>
              </w:rPr>
              <w:t>جامعة الفلبين للفنون التطبيقية</w:t>
            </w:r>
            <w:r w:rsidR="005D0838" w:rsidRPr="00756EA1">
              <w:rPr>
                <w:rFonts w:ascii="Arabic Typesetting" w:hAnsi="Arabic Typesetting" w:cs="Arabic Typesetting" w:hint="cs"/>
                <w:sz w:val="28"/>
                <w:szCs w:val="28"/>
                <w:rtl/>
                <w:lang w:bidi="ar-EG"/>
              </w:rPr>
              <w:t xml:space="preserve">؛ </w:t>
            </w:r>
            <w:r w:rsidRPr="00756EA1">
              <w:rPr>
                <w:rFonts w:ascii="Arabic Typesetting" w:hAnsi="Arabic Typesetting" w:cs="Arabic Typesetting"/>
                <w:sz w:val="28"/>
                <w:szCs w:val="28"/>
                <w:rtl/>
                <w:lang w:bidi="ar-EG"/>
              </w:rPr>
              <w:t>"2"</w:t>
            </w:r>
            <w:r w:rsidR="005D0838" w:rsidRPr="00756EA1">
              <w:rPr>
                <w:rFonts w:ascii="Arabic Typesetting" w:hAnsi="Arabic Typesetting" w:cs="Arabic Typesetting" w:hint="cs"/>
                <w:sz w:val="28"/>
                <w:szCs w:val="28"/>
                <w:rtl/>
                <w:lang w:bidi="ar-EG"/>
              </w:rPr>
              <w:t> </w:t>
            </w:r>
            <w:r w:rsidRPr="00756EA1">
              <w:rPr>
                <w:rFonts w:ascii="Arabic Typesetting" w:hAnsi="Arabic Typesetting" w:cs="Arabic Typesetting"/>
                <w:sz w:val="28"/>
                <w:szCs w:val="28"/>
                <w:rtl/>
                <w:lang w:bidi="ar-EG"/>
              </w:rPr>
              <w:t>مكتب البحوث بجامعة ولاية سمر؛</w:t>
            </w:r>
            <w:r w:rsidR="005D0838" w:rsidRPr="00756EA1">
              <w:rPr>
                <w:rFonts w:ascii="Arabic Typesetting" w:hAnsi="Arabic Typesetting" w:cs="Arabic Typesetting" w:hint="cs"/>
                <w:sz w:val="28"/>
                <w:szCs w:val="28"/>
                <w:rtl/>
                <w:lang w:bidi="ar-EG"/>
              </w:rPr>
              <w:t xml:space="preserve"> "3"</w:t>
            </w:r>
            <w:r w:rsidR="005D0838" w:rsidRPr="00756EA1">
              <w:rPr>
                <w:rFonts w:ascii="Arabic Typesetting" w:hAnsi="Arabic Typesetting" w:cs="Arabic Typesetting" w:hint="eastAsia"/>
                <w:sz w:val="28"/>
                <w:szCs w:val="28"/>
                <w:rtl/>
                <w:lang w:bidi="ar-EG"/>
              </w:rPr>
              <w:t> </w:t>
            </w:r>
            <w:r w:rsidR="005D0838" w:rsidRPr="00756EA1">
              <w:rPr>
                <w:rFonts w:ascii="Arabic Typesetting" w:hAnsi="Arabic Typesetting" w:cs="Arabic Typesetting"/>
                <w:sz w:val="28"/>
                <w:szCs w:val="28"/>
                <w:rtl/>
                <w:lang w:bidi="ar-EG"/>
              </w:rPr>
              <w:t>كلية الهندسة</w:t>
            </w:r>
            <w:r w:rsidR="005D0838" w:rsidRPr="00756EA1">
              <w:rPr>
                <w:rFonts w:ascii="Arabic Typesetting" w:hAnsi="Arabic Typesetting" w:cs="Arabic Typesetting" w:hint="cs"/>
                <w:sz w:val="28"/>
                <w:szCs w:val="28"/>
                <w:rtl/>
                <w:lang w:bidi="ar-EG"/>
              </w:rPr>
              <w:t xml:space="preserve"> في </w:t>
            </w:r>
            <w:r w:rsidRPr="00756EA1">
              <w:rPr>
                <w:rFonts w:ascii="Arabic Typesetting" w:hAnsi="Arabic Typesetting" w:cs="Arabic Typesetting"/>
                <w:sz w:val="28"/>
                <w:szCs w:val="28"/>
                <w:rtl/>
                <w:lang w:bidi="ar-EG"/>
              </w:rPr>
              <w:t>جامعة غرب الفلبين الحكومية؛</w:t>
            </w:r>
            <w:r w:rsidR="005D0838" w:rsidRPr="00756EA1">
              <w:rPr>
                <w:rFonts w:ascii="Arabic Typesetting" w:hAnsi="Arabic Typesetting" w:cs="Arabic Typesetting" w:hint="cs"/>
                <w:sz w:val="28"/>
                <w:szCs w:val="28"/>
                <w:rtl/>
                <w:lang w:bidi="ar-EG"/>
              </w:rPr>
              <w:t xml:space="preserve"> </w:t>
            </w:r>
            <w:r w:rsidRPr="00756EA1">
              <w:rPr>
                <w:rFonts w:ascii="Arabic Typesetting" w:hAnsi="Arabic Typesetting" w:cs="Arabic Typesetting"/>
                <w:sz w:val="28"/>
                <w:szCs w:val="28"/>
                <w:rtl/>
                <w:lang w:bidi="ar-EG"/>
              </w:rPr>
              <w:t>"</w:t>
            </w:r>
            <w:r w:rsidR="005D0838" w:rsidRPr="00756EA1">
              <w:rPr>
                <w:rFonts w:ascii="Arabic Typesetting" w:hAnsi="Arabic Typesetting" w:cs="Arabic Typesetting" w:hint="cs"/>
                <w:sz w:val="28"/>
                <w:szCs w:val="28"/>
                <w:rtl/>
                <w:lang w:bidi="ar-EG"/>
              </w:rPr>
              <w:t>4</w:t>
            </w:r>
            <w:r w:rsidRPr="00756EA1">
              <w:rPr>
                <w:rFonts w:ascii="Arabic Typesetting" w:hAnsi="Arabic Typesetting" w:cs="Arabic Typesetting"/>
                <w:sz w:val="28"/>
                <w:szCs w:val="28"/>
                <w:rtl/>
                <w:lang w:bidi="ar-EG"/>
              </w:rPr>
              <w:t>"</w:t>
            </w:r>
            <w:r w:rsidR="005D0838" w:rsidRPr="00756EA1">
              <w:rPr>
                <w:rFonts w:ascii="Arabic Typesetting" w:hAnsi="Arabic Typesetting" w:cs="Arabic Typesetting" w:hint="cs"/>
                <w:sz w:val="28"/>
                <w:szCs w:val="28"/>
                <w:rtl/>
                <w:lang w:bidi="ar-EG"/>
              </w:rPr>
              <w:t> </w:t>
            </w:r>
            <w:r w:rsidRPr="00756EA1">
              <w:rPr>
                <w:rFonts w:ascii="Arabic Typesetting" w:hAnsi="Arabic Typesetting" w:cs="Arabic Typesetting"/>
                <w:sz w:val="28"/>
                <w:szCs w:val="28"/>
                <w:rtl/>
                <w:lang w:bidi="ar-EG"/>
              </w:rPr>
              <w:t>جامعة الفلبين للتكنولوجيا؛</w:t>
            </w:r>
            <w:r w:rsidR="005D0838" w:rsidRPr="00756EA1">
              <w:rPr>
                <w:rFonts w:ascii="Arabic Typesetting" w:hAnsi="Arabic Typesetting" w:cs="Arabic Typesetting" w:hint="cs"/>
                <w:sz w:val="28"/>
                <w:szCs w:val="28"/>
                <w:rtl/>
                <w:lang w:bidi="ar-EG"/>
              </w:rPr>
              <w:t xml:space="preserve"> </w:t>
            </w:r>
            <w:r w:rsidRPr="00756EA1">
              <w:rPr>
                <w:rFonts w:ascii="Arabic Typesetting" w:hAnsi="Arabic Typesetting" w:cs="Arabic Typesetting"/>
                <w:sz w:val="28"/>
                <w:szCs w:val="28"/>
                <w:rtl/>
                <w:lang w:bidi="ar-EG"/>
              </w:rPr>
              <w:t>"</w:t>
            </w:r>
            <w:r w:rsidR="005D0838" w:rsidRPr="00756EA1">
              <w:rPr>
                <w:rFonts w:ascii="Arabic Typesetting" w:hAnsi="Arabic Typesetting" w:cs="Arabic Typesetting" w:hint="cs"/>
                <w:sz w:val="28"/>
                <w:szCs w:val="28"/>
                <w:rtl/>
                <w:lang w:bidi="ar-EG"/>
              </w:rPr>
              <w:t>5</w:t>
            </w:r>
            <w:r w:rsidRPr="00756EA1">
              <w:rPr>
                <w:rFonts w:ascii="Arabic Typesetting" w:hAnsi="Arabic Typesetting" w:cs="Arabic Typesetting"/>
                <w:sz w:val="28"/>
                <w:szCs w:val="28"/>
                <w:rtl/>
                <w:lang w:bidi="ar-EG"/>
              </w:rPr>
              <w:t>"</w:t>
            </w:r>
            <w:r w:rsidR="005D0838" w:rsidRPr="00756EA1">
              <w:rPr>
                <w:rFonts w:ascii="Arabic Typesetting" w:hAnsi="Arabic Typesetting" w:cs="Arabic Typesetting" w:hint="cs"/>
                <w:sz w:val="28"/>
                <w:szCs w:val="28"/>
                <w:rtl/>
                <w:lang w:bidi="ar-EG"/>
              </w:rPr>
              <w:t> </w:t>
            </w:r>
            <w:r w:rsidRPr="00756EA1">
              <w:rPr>
                <w:rFonts w:ascii="Arabic Typesetting" w:hAnsi="Arabic Typesetting" w:cs="Arabic Typesetting"/>
                <w:sz w:val="28"/>
                <w:szCs w:val="28"/>
                <w:rtl/>
                <w:lang w:bidi="ar-EG"/>
              </w:rPr>
              <w:t>جامعة سانت تو</w:t>
            </w:r>
            <w:r w:rsidR="005D0838" w:rsidRPr="00756EA1">
              <w:rPr>
                <w:rFonts w:ascii="Arabic Typesetting" w:hAnsi="Arabic Typesetting" w:cs="Arabic Typesetting" w:hint="cs"/>
                <w:sz w:val="28"/>
                <w:szCs w:val="28"/>
                <w:rtl/>
                <w:lang w:bidi="ar-EG"/>
              </w:rPr>
              <w:t>م</w:t>
            </w:r>
            <w:r w:rsidRPr="00756EA1">
              <w:rPr>
                <w:rFonts w:ascii="Arabic Typesetting" w:hAnsi="Arabic Typesetting" w:cs="Arabic Typesetting"/>
                <w:sz w:val="28"/>
                <w:szCs w:val="28"/>
                <w:rtl/>
                <w:lang w:bidi="ar-EG"/>
              </w:rPr>
              <w:t>اس؛</w:t>
            </w:r>
            <w:r w:rsidR="005D0838" w:rsidRPr="00756EA1">
              <w:rPr>
                <w:rFonts w:ascii="Arabic Typesetting" w:hAnsi="Arabic Typesetting" w:cs="Arabic Typesetting" w:hint="cs"/>
                <w:sz w:val="28"/>
                <w:szCs w:val="28"/>
                <w:rtl/>
                <w:lang w:bidi="ar-EG"/>
              </w:rPr>
              <w:t xml:space="preserve"> </w:t>
            </w:r>
            <w:r w:rsidRPr="00756EA1">
              <w:rPr>
                <w:rFonts w:ascii="Arabic Typesetting" w:hAnsi="Arabic Typesetting" w:cs="Arabic Typesetting"/>
                <w:sz w:val="28"/>
                <w:szCs w:val="28"/>
                <w:rtl/>
                <w:lang w:bidi="ar-EG"/>
              </w:rPr>
              <w:t>"</w:t>
            </w:r>
            <w:r w:rsidR="005D0838" w:rsidRPr="00756EA1">
              <w:rPr>
                <w:rFonts w:ascii="Arabic Typesetting" w:hAnsi="Arabic Typesetting" w:cs="Arabic Typesetting" w:hint="cs"/>
                <w:sz w:val="28"/>
                <w:szCs w:val="28"/>
                <w:rtl/>
                <w:lang w:bidi="ar-EG"/>
              </w:rPr>
              <w:t>6</w:t>
            </w:r>
            <w:r w:rsidRPr="00756EA1">
              <w:rPr>
                <w:rFonts w:ascii="Arabic Typesetting" w:hAnsi="Arabic Typesetting" w:cs="Arabic Typesetting"/>
                <w:sz w:val="28"/>
                <w:szCs w:val="28"/>
                <w:rtl/>
                <w:lang w:bidi="ar-EG"/>
              </w:rPr>
              <w:t>"</w:t>
            </w:r>
            <w:r w:rsidR="005D0838" w:rsidRPr="00756EA1">
              <w:rPr>
                <w:rFonts w:ascii="Arabic Typesetting" w:hAnsi="Arabic Typesetting" w:cs="Arabic Typesetting" w:hint="cs"/>
                <w:sz w:val="28"/>
                <w:szCs w:val="28"/>
                <w:rtl/>
                <w:lang w:bidi="ar-EG"/>
              </w:rPr>
              <w:t> </w:t>
            </w:r>
            <w:r w:rsidRPr="00756EA1">
              <w:rPr>
                <w:rFonts w:ascii="Arabic Typesetting" w:hAnsi="Arabic Typesetting" w:cs="Arabic Typesetting"/>
                <w:sz w:val="28"/>
                <w:szCs w:val="28"/>
                <w:rtl/>
                <w:lang w:bidi="ar-EG"/>
              </w:rPr>
              <w:t>جامعة</w:t>
            </w:r>
            <w:r w:rsidR="005D0838" w:rsidRPr="00756EA1">
              <w:rPr>
                <w:rFonts w:ascii="Arabic Typesetting" w:hAnsi="Arabic Typesetting" w:cs="Arabic Typesetting" w:hint="cs"/>
                <w:sz w:val="28"/>
                <w:szCs w:val="28"/>
                <w:rtl/>
                <w:lang w:bidi="ar-EG"/>
              </w:rPr>
              <w:t> </w:t>
            </w:r>
            <w:r w:rsidRPr="00756EA1">
              <w:rPr>
                <w:rFonts w:ascii="Arabic Typesetting" w:hAnsi="Arabic Typesetting" w:cs="Arabic Typesetting"/>
                <w:sz w:val="28"/>
                <w:szCs w:val="28"/>
                <w:rtl/>
                <w:lang w:bidi="ar-EG"/>
              </w:rPr>
              <w:t>جنوب شرقي الفلبين</w:t>
            </w:r>
            <w:r w:rsidR="005D0838" w:rsidRPr="00756EA1">
              <w:rPr>
                <w:rFonts w:ascii="Arabic Typesetting" w:hAnsi="Arabic Typesetting" w:cs="Arabic Typesetting" w:hint="cs"/>
                <w:sz w:val="28"/>
                <w:szCs w:val="28"/>
                <w:rtl/>
                <w:lang w:bidi="ar-EG"/>
              </w:rPr>
              <w:t>.</w:t>
            </w:r>
          </w:p>
        </w:tc>
        <w:tc>
          <w:tcPr>
            <w:tcW w:w="847" w:type="dxa"/>
            <w:tcBorders>
              <w:top w:val="nil"/>
              <w:left w:val="nil"/>
              <w:bottom w:val="nil"/>
              <w:right w:val="single" w:sz="4" w:space="0" w:color="auto"/>
            </w:tcBorders>
          </w:tcPr>
          <w:p w:rsidR="002A614F" w:rsidRPr="00756EA1" w:rsidRDefault="002A614F" w:rsidP="00FE0236">
            <w:pPr>
              <w:keepNext/>
              <w:bidi/>
              <w:spacing w:before="60" w:after="60" w:line="280" w:lineRule="exact"/>
              <w:jc w:val="center"/>
              <w:rPr>
                <w:rFonts w:ascii="Arabic Typesetting" w:hAnsi="Arabic Typesetting" w:cs="Arabic Typesetting"/>
                <w:b/>
                <w:bCs/>
                <w:color w:val="FF0000"/>
                <w:sz w:val="28"/>
                <w:szCs w:val="28"/>
                <w:rtl/>
                <w:lang w:bidi="ar-EG"/>
              </w:rPr>
            </w:pPr>
          </w:p>
        </w:tc>
      </w:tr>
      <w:tr w:rsidR="002A614F" w:rsidRPr="00756EA1" w:rsidTr="00FE0236">
        <w:trPr>
          <w:cantSplit/>
        </w:trPr>
        <w:tc>
          <w:tcPr>
            <w:tcW w:w="2261" w:type="dxa"/>
            <w:tcBorders>
              <w:top w:val="nil"/>
              <w:left w:val="single" w:sz="4" w:space="0" w:color="auto"/>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rPr>
            </w:pPr>
            <w:r w:rsidRPr="00756EA1">
              <w:rPr>
                <w:rFonts w:ascii="Arabic Typesetting" w:hAnsi="Arabic Typesetting" w:cs="Arabic Typesetting"/>
                <w:sz w:val="28"/>
                <w:szCs w:val="28"/>
                <w:rtl/>
              </w:rPr>
              <w:t xml:space="preserve">عدد الجامعات و/أو </w:t>
            </w:r>
            <w:r w:rsidRPr="00756EA1">
              <w:rPr>
                <w:rFonts w:ascii="Arabic Typesetting" w:hAnsi="Arabic Typesetting" w:cs="Arabic Typesetting"/>
                <w:sz w:val="28"/>
                <w:szCs w:val="28"/>
                <w:rtl/>
                <w:lang w:bidi="ar-EG"/>
              </w:rPr>
              <w:t>مؤسسات</w:t>
            </w:r>
            <w:r w:rsidRPr="00756EA1">
              <w:rPr>
                <w:rFonts w:ascii="Arabic Typesetting" w:hAnsi="Arabic Typesetting" w:cs="Arabic Typesetting"/>
                <w:sz w:val="28"/>
                <w:szCs w:val="28"/>
                <w:rtl/>
              </w:rPr>
              <w:t xml:space="preserve"> البحث التي وضعت سياسات للملكية الفكرية</w:t>
            </w:r>
          </w:p>
        </w:tc>
        <w:tc>
          <w:tcPr>
            <w:tcW w:w="184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تُحدد لاحقاً</w:t>
            </w:r>
          </w:p>
        </w:tc>
        <w:tc>
          <w:tcPr>
            <w:tcW w:w="1502"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20 جامعة إضافية</w:t>
            </w:r>
          </w:p>
        </w:tc>
        <w:tc>
          <w:tcPr>
            <w:tcW w:w="2893" w:type="dxa"/>
            <w:tcBorders>
              <w:top w:val="nil"/>
              <w:left w:val="nil"/>
              <w:bottom w:val="single" w:sz="4" w:space="0" w:color="auto"/>
              <w:right w:val="nil"/>
            </w:tcBorders>
          </w:tcPr>
          <w:p w:rsidR="002A614F" w:rsidRPr="00756EA1" w:rsidRDefault="002A614F" w:rsidP="00FE0236">
            <w:pPr>
              <w:bidi/>
              <w:spacing w:before="60" w:after="60" w:line="280" w:lineRule="exact"/>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 xml:space="preserve">وُضعت سياسات للملكية الفكرية في </w:t>
            </w:r>
            <w:r w:rsidR="005D0838" w:rsidRPr="00756EA1">
              <w:rPr>
                <w:rFonts w:ascii="Arabic Typesetting" w:hAnsi="Arabic Typesetting" w:cs="Arabic Typesetting" w:hint="cs"/>
                <w:sz w:val="28"/>
                <w:szCs w:val="28"/>
                <w:rtl/>
                <w:lang w:bidi="ar-EG"/>
              </w:rPr>
              <w:t>436</w:t>
            </w:r>
            <w:r w:rsidRPr="00756EA1">
              <w:rPr>
                <w:rFonts w:ascii="Arabic Typesetting" w:hAnsi="Arabic Typesetting" w:cs="Arabic Typesetting"/>
                <w:sz w:val="28"/>
                <w:szCs w:val="28"/>
                <w:rtl/>
                <w:lang w:bidi="ar-EG"/>
              </w:rPr>
              <w:t xml:space="preserve"> جامعة على النحو التالي:</w:t>
            </w:r>
          </w:p>
          <w:p w:rsidR="002A614F" w:rsidRPr="00756EA1" w:rsidRDefault="002A614F" w:rsidP="00FE0236">
            <w:pPr>
              <w:bidi/>
              <w:spacing w:before="60" w:after="60" w:line="280" w:lineRule="exact"/>
              <w:ind w:left="288" w:hanging="288"/>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w:t>
            </w:r>
            <w:r w:rsidRPr="00756EA1">
              <w:rPr>
                <w:rFonts w:ascii="Arabic Typesetting" w:hAnsi="Arabic Typesetting" w:cs="Arabic Typesetting"/>
                <w:sz w:val="28"/>
                <w:szCs w:val="28"/>
                <w:rtl/>
                <w:lang w:bidi="ar-EG"/>
              </w:rPr>
              <w:tab/>
              <w:t>بولندا (</w:t>
            </w:r>
            <w:r w:rsidR="005D0838" w:rsidRPr="00756EA1">
              <w:rPr>
                <w:rFonts w:ascii="Arabic Typesetting" w:hAnsi="Arabic Typesetting" w:cs="Arabic Typesetting" w:hint="cs"/>
                <w:sz w:val="28"/>
                <w:szCs w:val="28"/>
                <w:rtl/>
                <w:lang w:bidi="ar-EG"/>
              </w:rPr>
              <w:t>434</w:t>
            </w:r>
            <w:r w:rsidRPr="00756EA1">
              <w:rPr>
                <w:rFonts w:ascii="Arabic Typesetting" w:hAnsi="Arabic Typesetting" w:cs="Arabic Typesetting"/>
                <w:sz w:val="28"/>
                <w:szCs w:val="28"/>
                <w:rtl/>
                <w:lang w:bidi="ar-EG"/>
              </w:rPr>
              <w:t>) (نتيجة تغيير في القانون في أكتوبر 2014)؛</w:t>
            </w:r>
          </w:p>
          <w:p w:rsidR="002A614F" w:rsidRPr="00756EA1" w:rsidRDefault="002A614F" w:rsidP="00FE0236">
            <w:pPr>
              <w:bidi/>
              <w:spacing w:before="60" w:after="60" w:line="280" w:lineRule="exact"/>
              <w:ind w:left="288" w:hanging="288"/>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w:t>
            </w:r>
            <w:r w:rsidRPr="00756EA1">
              <w:rPr>
                <w:rFonts w:ascii="Arabic Typesetting" w:hAnsi="Arabic Typesetting" w:cs="Arabic Typesetting"/>
                <w:sz w:val="28"/>
                <w:szCs w:val="28"/>
                <w:rtl/>
                <w:lang w:bidi="ar-EG"/>
              </w:rPr>
              <w:tab/>
              <w:t>الاتحاد الروسي (1)؛</w:t>
            </w:r>
          </w:p>
          <w:p w:rsidR="002A614F" w:rsidRPr="00756EA1" w:rsidRDefault="002A614F" w:rsidP="00FE0236">
            <w:pPr>
              <w:bidi/>
              <w:spacing w:before="60" w:after="60" w:line="280" w:lineRule="exact"/>
              <w:ind w:left="288" w:hanging="288"/>
              <w:rPr>
                <w:rFonts w:ascii="Arabic Typesetting" w:hAnsi="Arabic Typesetting" w:cs="Arabic Typesetting"/>
                <w:sz w:val="28"/>
                <w:szCs w:val="28"/>
                <w:rtl/>
                <w:lang w:bidi="ar-EG"/>
              </w:rPr>
            </w:pPr>
            <w:r w:rsidRPr="00756EA1">
              <w:rPr>
                <w:rFonts w:ascii="Arabic Typesetting" w:hAnsi="Arabic Typesetting" w:cs="Arabic Typesetting"/>
                <w:sz w:val="28"/>
                <w:szCs w:val="28"/>
                <w:rtl/>
                <w:lang w:bidi="ar-EG"/>
              </w:rPr>
              <w:t>-</w:t>
            </w:r>
            <w:r w:rsidRPr="00756EA1">
              <w:rPr>
                <w:rFonts w:ascii="Arabic Typesetting" w:hAnsi="Arabic Typesetting" w:cs="Arabic Typesetting"/>
                <w:sz w:val="28"/>
                <w:szCs w:val="28"/>
                <w:rtl/>
                <w:lang w:bidi="ar-EG"/>
              </w:rPr>
              <w:tab/>
              <w:t>أوزبكستان (1)</w:t>
            </w:r>
            <w:r w:rsidRPr="00F96634">
              <w:rPr>
                <w:rFonts w:ascii="Arabic Typesetting" w:hAnsi="Arabic Typesetting" w:cs="Arabic Typesetting"/>
                <w:sz w:val="28"/>
                <w:szCs w:val="28"/>
                <w:vertAlign w:val="superscript"/>
                <w:rtl/>
                <w:lang w:bidi="ar-EG"/>
              </w:rPr>
              <w:footnoteReference w:id="80"/>
            </w:r>
          </w:p>
        </w:tc>
        <w:tc>
          <w:tcPr>
            <w:tcW w:w="847" w:type="dxa"/>
            <w:tcBorders>
              <w:top w:val="nil"/>
              <w:left w:val="nil"/>
              <w:bottom w:val="single" w:sz="4" w:space="0" w:color="auto"/>
              <w:right w:val="single" w:sz="4" w:space="0" w:color="auto"/>
            </w:tcBorders>
          </w:tcPr>
          <w:p w:rsidR="002A614F" w:rsidRPr="00756EA1" w:rsidRDefault="005D0838" w:rsidP="00FE0236">
            <w:pPr>
              <w:keepNext/>
              <w:bidi/>
              <w:spacing w:before="60" w:after="60" w:line="280" w:lineRule="exact"/>
              <w:jc w:val="center"/>
              <w:rPr>
                <w:rFonts w:ascii="Arabic Typesetting" w:hAnsi="Arabic Typesetting" w:cs="Arabic Typesetting"/>
                <w:b/>
                <w:bCs/>
                <w:color w:val="008000"/>
                <w:sz w:val="28"/>
                <w:szCs w:val="28"/>
                <w:rtl/>
                <w:lang w:bidi="ar-EG"/>
              </w:rPr>
            </w:pPr>
            <w:r w:rsidRPr="00756EA1">
              <w:rPr>
                <w:rFonts w:ascii="Arabic Typesetting" w:hAnsi="Arabic Typesetting" w:cs="Arabic Typesetting" w:hint="cs"/>
                <w:b/>
                <w:bCs/>
                <w:color w:val="008000"/>
                <w:sz w:val="28"/>
                <w:szCs w:val="28"/>
                <w:rtl/>
                <w:lang w:bidi="ar-EG"/>
              </w:rPr>
              <w:t>محقق كلياً</w:t>
            </w:r>
          </w:p>
        </w:tc>
      </w:tr>
    </w:tbl>
    <w:p w:rsidR="005D0838" w:rsidRPr="005D0838" w:rsidRDefault="005D0838" w:rsidP="005D0838">
      <w:pPr>
        <w:keepNext/>
        <w:bidi/>
        <w:spacing w:before="120" w:after="120" w:line="340" w:lineRule="exact"/>
        <w:rPr>
          <w:rFonts w:ascii="Arabic Typesetting" w:hAnsi="Arabic Typesetting" w:cs="Arabic Typesetting"/>
          <w:sz w:val="34"/>
          <w:szCs w:val="34"/>
          <w:rtl/>
          <w:lang w:bidi="ar-EG"/>
        </w:rPr>
      </w:pPr>
      <w:r w:rsidRPr="005D0838">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5D0838" w:rsidRPr="00756EA1" w:rsidTr="008A6325">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5D0838" w:rsidRPr="00756EA1" w:rsidRDefault="005D0838" w:rsidP="005D0838">
            <w:pPr>
              <w:keepNext/>
              <w:bidi/>
              <w:spacing w:before="60" w:after="60" w:line="280" w:lineRule="exact"/>
              <w:jc w:val="center"/>
              <w:rPr>
                <w:rFonts w:ascii="Arabic Typesetting" w:hAnsi="Arabic Typesetting" w:cs="Arabic Typesetting"/>
                <w:bCs/>
                <w:sz w:val="28"/>
                <w:szCs w:val="28"/>
                <w:lang w:bidi="ar-EG"/>
              </w:rPr>
            </w:pPr>
            <w:r w:rsidRPr="00756EA1">
              <w:rPr>
                <w:rFonts w:ascii="Arabic Typesetting" w:hAnsi="Arabic Typesetting" w:cs="Arabic Typesetting"/>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5D0838" w:rsidRPr="00756EA1" w:rsidRDefault="005D0838" w:rsidP="005D0838">
            <w:pPr>
              <w:keepNext/>
              <w:bidi/>
              <w:spacing w:before="60" w:after="60" w:line="280" w:lineRule="exact"/>
              <w:jc w:val="center"/>
              <w:rPr>
                <w:rFonts w:ascii="Arabic Typesetting" w:hAnsi="Arabic Typesetting" w:cs="Arabic Typesetting"/>
                <w:bCs/>
                <w:sz w:val="28"/>
                <w:szCs w:val="28"/>
                <w:lang w:bidi="ar-EG"/>
              </w:rPr>
            </w:pPr>
            <w:r w:rsidRPr="00756EA1">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5D0838" w:rsidRPr="00756EA1" w:rsidRDefault="005D0838" w:rsidP="005D0838">
            <w:pPr>
              <w:keepNext/>
              <w:bidi/>
              <w:spacing w:before="60" w:after="60" w:line="280" w:lineRule="exact"/>
              <w:jc w:val="center"/>
              <w:rPr>
                <w:rFonts w:ascii="Arabic Typesetting" w:hAnsi="Arabic Typesetting" w:cs="Arabic Typesetting"/>
                <w:bCs/>
                <w:sz w:val="28"/>
                <w:szCs w:val="28"/>
                <w:lang w:bidi="ar-EG"/>
              </w:rPr>
            </w:pPr>
            <w:r w:rsidRPr="00756EA1">
              <w:rPr>
                <w:rFonts w:ascii="Arabic Typesetting" w:hAnsi="Arabic Typesetting" w:cs="Arabic Typesetting"/>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5D0838" w:rsidRPr="00756EA1" w:rsidRDefault="005D0838" w:rsidP="005D0838">
            <w:pPr>
              <w:keepNext/>
              <w:bidi/>
              <w:spacing w:before="60" w:after="60" w:line="280" w:lineRule="exact"/>
              <w:jc w:val="center"/>
              <w:rPr>
                <w:rFonts w:ascii="Arabic Typesetting" w:hAnsi="Arabic Typesetting" w:cs="Arabic Typesetting"/>
                <w:bCs/>
                <w:sz w:val="28"/>
                <w:szCs w:val="28"/>
                <w:lang w:bidi="ar-EG"/>
              </w:rPr>
            </w:pPr>
            <w:r w:rsidRPr="00756EA1">
              <w:rPr>
                <w:rFonts w:ascii="Arabic Typesetting" w:hAnsi="Arabic Typesetting" w:cs="Arabic Typesetting"/>
                <w:bCs/>
                <w:sz w:val="28"/>
                <w:szCs w:val="28"/>
                <w:rtl/>
                <w:lang w:bidi="ar-EG"/>
              </w:rPr>
              <w:t>التأثير في أداء البرنامج</w:t>
            </w:r>
          </w:p>
        </w:tc>
      </w:tr>
      <w:tr w:rsidR="00756EA1" w:rsidRPr="00756EA1" w:rsidTr="008A6325">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756EA1" w:rsidRPr="00756EA1" w:rsidRDefault="00756EA1" w:rsidP="008A6325">
            <w:pPr>
              <w:tabs>
                <w:tab w:val="left" w:pos="1170"/>
              </w:tabs>
              <w:bidi/>
              <w:adjustRightInd w:val="0"/>
              <w:snapToGrid w:val="0"/>
              <w:spacing w:before="60" w:after="60" w:line="300" w:lineRule="exact"/>
              <w:rPr>
                <w:rFonts w:ascii="Arabic Typesetting" w:hAnsi="Arabic Typesetting" w:cs="Arabic Typesetting"/>
                <w:sz w:val="28"/>
                <w:szCs w:val="28"/>
                <w:lang w:bidi="ar-EG"/>
              </w:rPr>
            </w:pPr>
            <w:r w:rsidRPr="00756EA1">
              <w:rPr>
                <w:rFonts w:ascii="Arabic Typesetting" w:hAnsi="Arabic Typesetting" w:cs="Arabic Typesetting"/>
                <w:sz w:val="28"/>
                <w:szCs w:val="28"/>
                <w:rtl/>
              </w:rPr>
              <w:t>من المخاطر المطروحة على المدى البعيد احتمال تغيّر احتياجات الشركات الصغيرة والمتوسطة في الأقاليم النامية والناشئة، وذلك مع اكتساب الأنظمة الوطنية للملكية الفكرية مزيدا من النضج. وسيؤدي عدم التكيّف في استحداث المحتويات مع ذلك التغيير إلى نقص المنافع المتاحة للمستفيدين من أنشطة تكوين الكفاءات.</w:t>
            </w:r>
          </w:p>
        </w:tc>
        <w:tc>
          <w:tcPr>
            <w:tcW w:w="2200" w:type="dxa"/>
            <w:tcBorders>
              <w:top w:val="single" w:sz="4" w:space="0" w:color="auto"/>
            </w:tcBorders>
            <w:shd w:val="clear" w:color="auto" w:fill="auto"/>
            <w:tcMar>
              <w:top w:w="113" w:type="dxa"/>
              <w:bottom w:w="113" w:type="dxa"/>
            </w:tcMar>
          </w:tcPr>
          <w:p w:rsidR="00756EA1" w:rsidRPr="00756EA1" w:rsidRDefault="00756EA1" w:rsidP="008A6325">
            <w:pPr>
              <w:autoSpaceDE w:val="0"/>
              <w:autoSpaceDN w:val="0"/>
              <w:bidi/>
              <w:adjustRightInd w:val="0"/>
              <w:snapToGrid w:val="0"/>
              <w:spacing w:before="60" w:after="60" w:line="300" w:lineRule="exact"/>
              <w:rPr>
                <w:rFonts w:ascii="Arabic Typesetting" w:hAnsi="Arabic Typesetting" w:cs="Arabic Typesetting"/>
                <w:sz w:val="28"/>
                <w:szCs w:val="28"/>
              </w:rPr>
            </w:pPr>
            <w:r w:rsidRPr="00756EA1">
              <w:rPr>
                <w:rFonts w:ascii="Arabic Typesetting" w:hAnsi="Arabic Typesetting" w:cs="Arabic Typesetting"/>
                <w:sz w:val="28"/>
                <w:szCs w:val="28"/>
                <w:rtl/>
              </w:rPr>
              <w:t>التعاون الوثيق مع البرامج، ولا</w:t>
            </w:r>
            <w:r>
              <w:rPr>
                <w:rFonts w:ascii="Arabic Typesetting" w:hAnsi="Arabic Typesetting" w:cs="Arabic Typesetting" w:hint="cs"/>
                <w:sz w:val="28"/>
                <w:szCs w:val="28"/>
                <w:rtl/>
              </w:rPr>
              <w:t> </w:t>
            </w:r>
            <w:r w:rsidRPr="00756EA1">
              <w:rPr>
                <w:rFonts w:ascii="Arabic Typesetting" w:hAnsi="Arabic Typesetting" w:cs="Arabic Typesetting"/>
                <w:sz w:val="28"/>
                <w:szCs w:val="28"/>
                <w:rtl/>
              </w:rPr>
              <w:t>سيما البرنامجين 9 و10، التي تعرف خصائص الأقاليم، وذلك لضمان أن يبقى المحتوى الذي سيُستحدث مناسبا للاحتياجات الإقليمية الخاصة.</w:t>
            </w:r>
          </w:p>
        </w:tc>
        <w:tc>
          <w:tcPr>
            <w:tcW w:w="2310" w:type="dxa"/>
            <w:tcBorders>
              <w:top w:val="single" w:sz="4" w:space="0" w:color="auto"/>
            </w:tcBorders>
          </w:tcPr>
          <w:p w:rsidR="00756EA1" w:rsidRPr="00756EA1" w:rsidRDefault="00756EA1" w:rsidP="008A6325">
            <w:pPr>
              <w:bidi/>
              <w:spacing w:before="60" w:after="60" w:line="280" w:lineRule="exact"/>
              <w:rPr>
                <w:rFonts w:ascii="Arabic Typesetting" w:hAnsi="Arabic Typesetting" w:cs="Arabic Typesetting"/>
                <w:sz w:val="28"/>
                <w:szCs w:val="28"/>
              </w:rPr>
            </w:pPr>
            <w:r w:rsidRPr="00756EA1">
              <w:rPr>
                <w:rFonts w:ascii="Arabic Typesetting" w:hAnsi="Arabic Typesetting" w:cs="Arabic Typesetting" w:hint="cs"/>
                <w:sz w:val="28"/>
                <w:szCs w:val="28"/>
                <w:rtl/>
              </w:rPr>
              <w:t>توطيد التعاون الداخلي ولاسيما مع البرنامجين 9 و10 فضلاً عن توثيق التعاون مع الدول الأعضاء والمنظمات الدولية الأخرى قد أسهما في ضمان أن المحتوى مخصص ومناسب لاحتياجات أصحاب المصلحة</w:t>
            </w:r>
            <w:r>
              <w:rPr>
                <w:rFonts w:ascii="Arabic Typesetting" w:hAnsi="Arabic Typesetting" w:cs="Arabic Typesetting" w:hint="cs"/>
                <w:sz w:val="28"/>
                <w:szCs w:val="28"/>
                <w:rtl/>
              </w:rPr>
              <w:t>.</w:t>
            </w:r>
          </w:p>
        </w:tc>
        <w:tc>
          <w:tcPr>
            <w:tcW w:w="2306" w:type="dxa"/>
            <w:tcBorders>
              <w:top w:val="single" w:sz="4" w:space="0" w:color="auto"/>
              <w:right w:val="single" w:sz="4" w:space="0" w:color="auto"/>
            </w:tcBorders>
          </w:tcPr>
          <w:p w:rsidR="00756EA1" w:rsidRPr="00756EA1" w:rsidRDefault="002F200B" w:rsidP="002F200B">
            <w:pPr>
              <w:bidi/>
              <w:spacing w:line="280" w:lineRule="exact"/>
              <w:rPr>
                <w:rFonts w:ascii="Arabic Typesetting" w:hAnsi="Arabic Typesetting" w:cs="Arabic Typesetting"/>
                <w:sz w:val="28"/>
                <w:szCs w:val="28"/>
              </w:rPr>
            </w:pPr>
            <w:r w:rsidRPr="00211D55">
              <w:rPr>
                <w:rFonts w:ascii="Arabic Typesetting" w:hAnsi="Arabic Typesetting" w:cs="Arabic Typesetting" w:hint="cs"/>
                <w:b/>
                <w:sz w:val="28"/>
                <w:szCs w:val="28"/>
                <w:rtl/>
                <w:lang w:bidi="ar-EG"/>
              </w:rPr>
              <w:t xml:space="preserve">لم يؤثر هذا الخطر </w:t>
            </w:r>
            <w:r>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في أداء البرنامج</w:t>
            </w:r>
            <w:r w:rsidR="00756EA1">
              <w:rPr>
                <w:rFonts w:ascii="Arabic Typesetting" w:hAnsi="Arabic Typesetting" w:cs="Arabic Typesetting" w:hint="cs"/>
                <w:sz w:val="28"/>
                <w:szCs w:val="28"/>
                <w:rtl/>
              </w:rPr>
              <w:t>.</w:t>
            </w:r>
          </w:p>
        </w:tc>
      </w:tr>
      <w:tr w:rsidR="00756EA1" w:rsidRPr="00756EA1" w:rsidTr="008A6325">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756EA1" w:rsidRPr="00756EA1" w:rsidRDefault="00756EA1" w:rsidP="00756EA1">
            <w:pPr>
              <w:autoSpaceDE w:val="0"/>
              <w:autoSpaceDN w:val="0"/>
              <w:bidi/>
              <w:adjustRightInd w:val="0"/>
              <w:snapToGrid w:val="0"/>
              <w:spacing w:before="60" w:after="60" w:line="300" w:lineRule="exact"/>
              <w:rPr>
                <w:rFonts w:ascii="Arabic Typesetting" w:hAnsi="Arabic Typesetting" w:cs="Arabic Typesetting"/>
                <w:sz w:val="28"/>
                <w:szCs w:val="28"/>
              </w:rPr>
            </w:pPr>
            <w:r w:rsidRPr="00756EA1">
              <w:rPr>
                <w:rFonts w:ascii="Arabic Typesetting" w:hAnsi="Arabic Typesetting" w:cs="Arabic Typesetting"/>
                <w:sz w:val="28"/>
                <w:szCs w:val="28"/>
                <w:rtl/>
              </w:rPr>
              <w:t>قد تظلّ الشركات الصغيرة والمتوسطة في بعض البلدان جاهلة لمنافع استخدام نظام الملكية الفكرية، ممّا يؤدي إلى تضييعها لفرص تعزيز قدرتها التنافسية وفرص إدرار الدخل.</w:t>
            </w:r>
          </w:p>
        </w:tc>
        <w:tc>
          <w:tcPr>
            <w:tcW w:w="2200" w:type="dxa"/>
            <w:tcBorders>
              <w:bottom w:val="single" w:sz="4" w:space="0" w:color="auto"/>
            </w:tcBorders>
            <w:shd w:val="clear" w:color="auto" w:fill="auto"/>
            <w:tcMar>
              <w:top w:w="113" w:type="dxa"/>
              <w:bottom w:w="113" w:type="dxa"/>
            </w:tcMar>
          </w:tcPr>
          <w:p w:rsidR="00756EA1" w:rsidRPr="00756EA1" w:rsidRDefault="00756EA1" w:rsidP="002C7177">
            <w:pPr>
              <w:autoSpaceDE w:val="0"/>
              <w:autoSpaceDN w:val="0"/>
              <w:bidi/>
              <w:adjustRightInd w:val="0"/>
              <w:snapToGrid w:val="0"/>
              <w:spacing w:before="60" w:after="60" w:line="300" w:lineRule="exact"/>
              <w:rPr>
                <w:rFonts w:ascii="Arabic Typesetting" w:hAnsi="Arabic Typesetting" w:cs="Arabic Typesetting"/>
                <w:sz w:val="28"/>
                <w:szCs w:val="28"/>
              </w:rPr>
            </w:pPr>
            <w:r w:rsidRPr="00756EA1">
              <w:rPr>
                <w:rFonts w:ascii="Arabic Typesetting" w:hAnsi="Arabic Typesetting" w:cs="Arabic Typesetting"/>
                <w:sz w:val="28"/>
                <w:szCs w:val="28"/>
                <w:rtl/>
              </w:rPr>
              <w:t>اتباع مسارات عمل متوازية</w:t>
            </w:r>
            <w:r w:rsidR="002C7177">
              <w:rPr>
                <w:rFonts w:ascii="Arabic Typesetting" w:hAnsi="Arabic Typesetting" w:cs="Arabic Typesetting" w:hint="cs"/>
                <w:sz w:val="28"/>
                <w:szCs w:val="28"/>
                <w:rtl/>
              </w:rPr>
              <w:t>:</w:t>
            </w:r>
            <w:r w:rsidRPr="00756EA1">
              <w:rPr>
                <w:rFonts w:ascii="Arabic Typesetting" w:hAnsi="Arabic Typesetting" w:cs="Arabic Typesetting"/>
                <w:sz w:val="28"/>
                <w:szCs w:val="28"/>
                <w:rtl/>
              </w:rPr>
              <w:t xml:space="preserve"> أوّلا، التركيز على </w:t>
            </w:r>
            <w:r w:rsidR="002C7177">
              <w:rPr>
                <w:rFonts w:ascii="Arabic Typesetting" w:hAnsi="Arabic Typesetting" w:cs="Arabic Typesetting" w:hint="cs"/>
                <w:sz w:val="28"/>
                <w:szCs w:val="28"/>
                <w:rtl/>
              </w:rPr>
              <w:t>توعية</w:t>
            </w:r>
            <w:r w:rsidRPr="00756EA1">
              <w:rPr>
                <w:rFonts w:ascii="Arabic Typesetting" w:hAnsi="Arabic Typesetting" w:cs="Arabic Typesetting"/>
                <w:sz w:val="28"/>
                <w:szCs w:val="28"/>
                <w:rtl/>
              </w:rPr>
              <w:t xml:space="preserve"> الشركات الصغيرة والمتوسطة بمنافع استخدام نظام الملكية الفكرية من أجل تعزيز المنافع الاقتصادية من خلال تحسين القدرة التنافسية. وثانيا، تشجيع الحكومات الوطنية على استحداث هياكل دعم الشركات الصغيرة والمتوسطة</w:t>
            </w:r>
            <w:r w:rsidR="002C7177">
              <w:rPr>
                <w:rFonts w:ascii="Arabic Typesetting" w:hAnsi="Arabic Typesetting" w:cs="Arabic Typesetting" w:hint="cs"/>
                <w:sz w:val="28"/>
                <w:szCs w:val="28"/>
                <w:rtl/>
              </w:rPr>
              <w:t xml:space="preserve"> أو تحسينها</w:t>
            </w:r>
            <w:r w:rsidRPr="00756EA1">
              <w:rPr>
                <w:rFonts w:ascii="Arabic Typesetting" w:hAnsi="Arabic Typesetting" w:cs="Arabic Typesetting"/>
                <w:sz w:val="28"/>
                <w:szCs w:val="28"/>
                <w:rtl/>
              </w:rPr>
              <w:t>.</w:t>
            </w:r>
          </w:p>
        </w:tc>
        <w:tc>
          <w:tcPr>
            <w:tcW w:w="2310" w:type="dxa"/>
            <w:tcBorders>
              <w:bottom w:val="single" w:sz="4" w:space="0" w:color="auto"/>
            </w:tcBorders>
          </w:tcPr>
          <w:p w:rsidR="00756EA1" w:rsidRPr="00756EA1" w:rsidRDefault="00756EA1" w:rsidP="00756EA1">
            <w:pPr>
              <w:autoSpaceDE w:val="0"/>
              <w:autoSpaceDN w:val="0"/>
              <w:bidi/>
              <w:adjustRightInd w:val="0"/>
              <w:snapToGrid w:val="0"/>
              <w:spacing w:before="60" w:after="60" w:line="300" w:lineRule="exact"/>
              <w:rPr>
                <w:rFonts w:ascii="Arabic Typesetting" w:hAnsi="Arabic Typesetting" w:cs="Arabic Typesetting"/>
                <w:sz w:val="28"/>
                <w:szCs w:val="28"/>
              </w:rPr>
            </w:pPr>
            <w:r>
              <w:rPr>
                <w:rFonts w:ascii="Arabic Typesetting" w:hAnsi="Arabic Typesetting" w:cs="Arabic Typesetting" w:hint="cs"/>
                <w:sz w:val="28"/>
                <w:szCs w:val="28"/>
                <w:rtl/>
              </w:rPr>
              <w:t>هذا الخطر متواصل. وأدت أنشطة الحد من وطأته إلى زيادة اهتمام الحكومات المحلية ومشاركتها في وضع برامج تدريب على الملكية الفكرية وأنشطة توعية للشركات الصغيرة والمتوسطة.</w:t>
            </w:r>
          </w:p>
        </w:tc>
        <w:tc>
          <w:tcPr>
            <w:tcW w:w="2306" w:type="dxa"/>
            <w:tcBorders>
              <w:bottom w:val="single" w:sz="4" w:space="0" w:color="auto"/>
              <w:right w:val="single" w:sz="4" w:space="0" w:color="auto"/>
            </w:tcBorders>
          </w:tcPr>
          <w:p w:rsidR="00756EA1" w:rsidRPr="00756EA1" w:rsidRDefault="002F200B" w:rsidP="00756EA1">
            <w:pPr>
              <w:autoSpaceDE w:val="0"/>
              <w:autoSpaceDN w:val="0"/>
              <w:bidi/>
              <w:adjustRightInd w:val="0"/>
              <w:snapToGrid w:val="0"/>
              <w:spacing w:line="300" w:lineRule="exact"/>
              <w:rPr>
                <w:rFonts w:ascii="Arabic Typesetting" w:hAnsi="Arabic Typesetting" w:cs="Arabic Typesetting"/>
                <w:sz w:val="28"/>
                <w:szCs w:val="28"/>
              </w:rPr>
            </w:pPr>
            <w:r w:rsidRPr="00211D55">
              <w:rPr>
                <w:rFonts w:ascii="Arabic Typesetting" w:hAnsi="Arabic Typesetting" w:cs="Arabic Typesetting" w:hint="cs"/>
                <w:b/>
                <w:sz w:val="28"/>
                <w:szCs w:val="28"/>
                <w:rtl/>
                <w:lang w:bidi="ar-EG"/>
              </w:rPr>
              <w:t xml:space="preserve">لم يؤثر هذا الخطر </w:t>
            </w:r>
            <w:r>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في أداء البرنامج</w:t>
            </w:r>
            <w:r>
              <w:rPr>
                <w:rFonts w:ascii="Arabic Typesetting" w:hAnsi="Arabic Typesetting" w:cs="Arabic Typesetting" w:hint="cs"/>
                <w:sz w:val="28"/>
                <w:szCs w:val="28"/>
                <w:rtl/>
              </w:rPr>
              <w:t>.</w:t>
            </w:r>
          </w:p>
        </w:tc>
      </w:tr>
    </w:tbl>
    <w:p w:rsidR="005D0838" w:rsidRPr="005D0838" w:rsidRDefault="005D0838" w:rsidP="005D0838">
      <w:pPr>
        <w:keepNext/>
        <w:bidi/>
        <w:spacing w:before="120" w:after="120" w:line="340" w:lineRule="exact"/>
        <w:rPr>
          <w:rFonts w:ascii="Arabic Typesetting" w:hAnsi="Arabic Typesetting" w:cs="Arabic Typesetting"/>
          <w:sz w:val="34"/>
          <w:szCs w:val="34"/>
          <w:rtl/>
          <w:lang w:bidi="ar-EG"/>
        </w:rPr>
      </w:pPr>
      <w:r w:rsidRPr="005D0838">
        <w:rPr>
          <w:rFonts w:ascii="Arabic Typesetting" w:hAnsi="Arabic Typesetting" w:cs="Arabic Typesetting" w:hint="cs"/>
          <w:sz w:val="34"/>
          <w:szCs w:val="34"/>
          <w:rtl/>
          <w:lang w:bidi="ar-EG"/>
        </w:rPr>
        <w:t>استخدام الموارد</w:t>
      </w:r>
    </w:p>
    <w:p w:rsidR="005D0838" w:rsidRPr="005D0838" w:rsidRDefault="00774E37" w:rsidP="005D0838">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5D0838" w:rsidRPr="005D0838" w:rsidRDefault="005D0838" w:rsidP="005D0838">
      <w:pPr>
        <w:keepNext/>
        <w:bidi/>
        <w:spacing w:after="120" w:line="340" w:lineRule="exact"/>
        <w:jc w:val="center"/>
        <w:rPr>
          <w:rFonts w:ascii="Arabic Typesetting" w:hAnsi="Arabic Typesetting" w:cs="Arabic Typesetting"/>
          <w:i/>
          <w:iCs/>
          <w:sz w:val="34"/>
          <w:szCs w:val="34"/>
          <w:rtl/>
          <w:lang w:bidi="ar-EG"/>
        </w:rPr>
      </w:pPr>
      <w:r w:rsidRPr="005D083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5D0838" w:rsidRPr="00756EA1" w:rsidTr="005D0838">
        <w:trPr>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5D0838" w:rsidRPr="00756EA1" w:rsidRDefault="005D0838" w:rsidP="005D0838">
            <w:pPr>
              <w:bidi/>
              <w:jc w:val="center"/>
              <w:rPr>
                <w:rFonts w:ascii="Arabic Typesetting" w:hAnsi="Arabic Typesetting" w:cs="Arabic Typesetting"/>
                <w:i/>
                <w:iCs/>
                <w:sz w:val="28"/>
                <w:szCs w:val="28"/>
              </w:rPr>
            </w:pPr>
            <w:r w:rsidRPr="00756EA1">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5D0838" w:rsidRPr="00756EA1" w:rsidRDefault="005D0838" w:rsidP="005D0838">
            <w:pPr>
              <w:bidi/>
              <w:jc w:val="center"/>
              <w:rPr>
                <w:rFonts w:ascii="Arabic Typesetting" w:hAnsi="Arabic Typesetting" w:cs="Arabic Typesetting"/>
                <w:i/>
                <w:iCs/>
                <w:sz w:val="28"/>
                <w:szCs w:val="28"/>
              </w:rPr>
            </w:pPr>
            <w:r w:rsidRPr="00756EA1">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5D0838" w:rsidRPr="00756EA1" w:rsidRDefault="005D0838" w:rsidP="005D0838">
            <w:pPr>
              <w:bidi/>
              <w:jc w:val="center"/>
              <w:rPr>
                <w:rFonts w:ascii="Arabic Typesetting" w:hAnsi="Arabic Typesetting" w:cs="Arabic Typesetting"/>
                <w:i/>
                <w:iCs/>
                <w:sz w:val="28"/>
                <w:szCs w:val="28"/>
              </w:rPr>
            </w:pPr>
            <w:r w:rsidRPr="00756EA1">
              <w:rPr>
                <w:rFonts w:ascii="Arabic Typesetting" w:hAnsi="Arabic Typesetting" w:cs="Arabic Typesetting"/>
                <w:i/>
                <w:iCs/>
                <w:sz w:val="28"/>
                <w:szCs w:val="28"/>
                <w:rtl/>
              </w:rPr>
              <w:t xml:space="preserve">الميزانية النهائية بعد التحويلات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5D0838" w:rsidRPr="00756EA1" w:rsidRDefault="005D0838" w:rsidP="005D0838">
            <w:pPr>
              <w:bidi/>
              <w:jc w:val="center"/>
              <w:rPr>
                <w:rFonts w:ascii="Arabic Typesetting" w:hAnsi="Arabic Typesetting" w:cs="Arabic Typesetting"/>
                <w:i/>
                <w:iCs/>
                <w:sz w:val="28"/>
                <w:szCs w:val="28"/>
              </w:rPr>
            </w:pPr>
            <w:r w:rsidRPr="00756EA1">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756EA1" w:rsidRPr="00756EA1" w:rsidTr="005D0838">
        <w:trPr>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756EA1" w:rsidRPr="00756EA1" w:rsidRDefault="00756EA1">
            <w:pPr>
              <w:bidi/>
              <w:rPr>
                <w:rFonts w:ascii="Arabic Typesetting" w:hAnsi="Arabic Typesetting" w:cs="Arabic Typesetting"/>
                <w:sz w:val="28"/>
                <w:szCs w:val="28"/>
              </w:rPr>
            </w:pPr>
            <w:r w:rsidRPr="00756EA1">
              <w:rPr>
                <w:rFonts w:ascii="Arabic Typesetting" w:hAnsi="Arabic Typesetting" w:cs="Arabic Typesetting"/>
                <w:sz w:val="28"/>
                <w:szCs w:val="28"/>
                <w:rtl/>
              </w:rPr>
              <w:t>ھ1.3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pPr>
              <w:bidi/>
              <w:rPr>
                <w:rFonts w:ascii="Arabic Typesetting" w:hAnsi="Arabic Typesetting" w:cs="Arabic Typesetting"/>
                <w:sz w:val="28"/>
                <w:szCs w:val="28"/>
              </w:rPr>
            </w:pPr>
            <w:r w:rsidRPr="00756EA1">
              <w:rPr>
                <w:rFonts w:ascii="Arabic Typesetting" w:hAnsi="Arabic Typesetting" w:cs="Arabic Typesetting"/>
                <w:sz w:val="28"/>
                <w:szCs w:val="28"/>
                <w:rtl/>
              </w:rPr>
              <w:t>استراتيجيات وخطط وطنية في مجالي الابتكار والملكية الفكرية تتماشى مع الأهداف الإنمائية الوطنية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250</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790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779</w:t>
            </w:r>
          </w:p>
        </w:tc>
      </w:tr>
      <w:tr w:rsidR="00756EA1" w:rsidRPr="00756EA1" w:rsidTr="005D0838">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756EA1" w:rsidRPr="00756EA1" w:rsidRDefault="00756EA1">
            <w:pPr>
              <w:bidi/>
              <w:rPr>
                <w:rFonts w:ascii="Arabic Typesetting" w:hAnsi="Arabic Typesetting" w:cs="Arabic Typesetting"/>
                <w:sz w:val="28"/>
                <w:szCs w:val="28"/>
              </w:rPr>
            </w:pPr>
            <w:r w:rsidRPr="00756EA1">
              <w:rPr>
                <w:rFonts w:ascii="Arabic Typesetting" w:hAnsi="Arabic Typesetting" w:cs="Arabic Typesetting"/>
                <w:sz w:val="28"/>
                <w:szCs w:val="28"/>
                <w:rtl/>
              </w:rPr>
              <w:t>ھ2.3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0432CA">
            <w:pPr>
              <w:bidi/>
              <w:rPr>
                <w:rFonts w:ascii="Arabic Typesetting" w:hAnsi="Arabic Typesetting" w:cs="Arabic Typesetting"/>
                <w:sz w:val="28"/>
                <w:szCs w:val="28"/>
              </w:rPr>
            </w:pPr>
            <w:r>
              <w:rPr>
                <w:rFonts w:ascii="Arabic Typesetting" w:hAnsi="Arabic Typesetting" w:cs="Arabic Typesetting"/>
                <w:sz w:val="28"/>
                <w:szCs w:val="28"/>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1</w:t>
            </w:r>
            <w:r w:rsidRPr="00756EA1">
              <w:rPr>
                <w:rFonts w:ascii="Arabic Typesetting" w:hAnsi="Arabic Typesetting" w:cs="Arabic Typesetting"/>
                <w:sz w:val="28"/>
                <w:szCs w:val="28"/>
              </w:rPr>
              <w:t>,</w:t>
            </w:r>
            <w:r>
              <w:rPr>
                <w:rFonts w:ascii="Arabic Typesetting" w:hAnsi="Arabic Typesetting" w:cs="Arabic Typesetting"/>
                <w:sz w:val="28"/>
                <w:szCs w:val="28"/>
              </w:rPr>
              <w:t>163</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665</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653</w:t>
            </w:r>
          </w:p>
        </w:tc>
      </w:tr>
      <w:tr w:rsidR="00756EA1" w:rsidRPr="00756EA1" w:rsidTr="005D0838">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756EA1" w:rsidRPr="00756EA1" w:rsidRDefault="00756EA1">
            <w:pPr>
              <w:bidi/>
              <w:rPr>
                <w:rFonts w:ascii="Arabic Typesetting" w:hAnsi="Arabic Typesetting" w:cs="Arabic Typesetting"/>
                <w:sz w:val="28"/>
                <w:szCs w:val="28"/>
              </w:rPr>
            </w:pPr>
            <w:r w:rsidRPr="00756EA1">
              <w:rPr>
                <w:rFonts w:ascii="Arabic Typesetting" w:hAnsi="Arabic Typesetting" w:cs="Arabic Typesetting"/>
                <w:sz w:val="28"/>
                <w:szCs w:val="28"/>
                <w:rtl/>
              </w:rPr>
              <w:t>ھ6.3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9947B0">
            <w:pPr>
              <w:bidi/>
              <w:rPr>
                <w:rFonts w:ascii="Arabic Typesetting" w:hAnsi="Arabic Typesetting" w:cs="Arabic Typesetting"/>
                <w:sz w:val="28"/>
                <w:szCs w:val="28"/>
              </w:rPr>
            </w:pPr>
            <w:r>
              <w:rPr>
                <w:rFonts w:ascii="Arabic Typesetting" w:hAnsi="Arabic Typesetting" w:cs="Arabic Typesetting"/>
                <w:sz w:val="28"/>
                <w:szCs w:val="28"/>
                <w:rtl/>
              </w:rPr>
              <w:t xml:space="preserve">قدرة معزّزة لدى الشركات الصغيرة </w:t>
            </w:r>
            <w:proofErr w:type="spellStart"/>
            <w:r>
              <w:rPr>
                <w:rFonts w:ascii="Arabic Typesetting" w:hAnsi="Arabic Typesetting" w:cs="Arabic Typesetting"/>
                <w:sz w:val="28"/>
                <w:szCs w:val="28"/>
                <w:rtl/>
              </w:rPr>
              <w:t>والمستوطة</w:t>
            </w:r>
            <w:proofErr w:type="spellEnd"/>
            <w:r>
              <w:rPr>
                <w:rFonts w:ascii="Arabic Typesetting" w:hAnsi="Arabic Typesetting" w:cs="Arabic Typesetting"/>
                <w:sz w:val="28"/>
                <w:szCs w:val="28"/>
                <w:rtl/>
              </w:rPr>
              <w:t xml:space="preserve"> على استخدام الملكية الفكرية بنجاح لدعم الابتكار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3</w:t>
            </w:r>
            <w:r w:rsidRPr="00756EA1">
              <w:rPr>
                <w:rFonts w:ascii="Arabic Typesetting" w:hAnsi="Arabic Typesetting" w:cs="Arabic Typesetting"/>
                <w:sz w:val="28"/>
                <w:szCs w:val="28"/>
              </w:rPr>
              <w:t>,</w:t>
            </w:r>
            <w:r>
              <w:rPr>
                <w:rFonts w:ascii="Arabic Typesetting" w:hAnsi="Arabic Typesetting" w:cs="Arabic Typesetting"/>
                <w:sz w:val="28"/>
                <w:szCs w:val="28"/>
              </w:rPr>
              <w:t>841</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3</w:t>
            </w:r>
            <w:r w:rsidRPr="00756EA1">
              <w:rPr>
                <w:rFonts w:ascii="Arabic Typesetting" w:hAnsi="Arabic Typesetting" w:cs="Arabic Typesetting"/>
                <w:sz w:val="28"/>
                <w:szCs w:val="28"/>
              </w:rPr>
              <w:t>,</w:t>
            </w:r>
            <w:r>
              <w:rPr>
                <w:rFonts w:ascii="Arabic Typesetting" w:hAnsi="Arabic Typesetting" w:cs="Arabic Typesetting"/>
                <w:sz w:val="28"/>
                <w:szCs w:val="28"/>
              </w:rPr>
              <w:t>294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3</w:t>
            </w:r>
            <w:r w:rsidRPr="00756EA1">
              <w:rPr>
                <w:rFonts w:ascii="Arabic Typesetting" w:hAnsi="Arabic Typesetting" w:cs="Arabic Typesetting"/>
                <w:sz w:val="28"/>
                <w:szCs w:val="28"/>
              </w:rPr>
              <w:t>,</w:t>
            </w:r>
            <w:r>
              <w:rPr>
                <w:rFonts w:ascii="Arabic Typesetting" w:hAnsi="Arabic Typesetting" w:cs="Arabic Typesetting"/>
                <w:sz w:val="28"/>
                <w:szCs w:val="28"/>
              </w:rPr>
              <w:t>368</w:t>
            </w:r>
          </w:p>
        </w:tc>
      </w:tr>
      <w:tr w:rsidR="00756EA1" w:rsidRPr="00756EA1" w:rsidTr="005D0838">
        <w:trPr>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756EA1" w:rsidRPr="00756EA1" w:rsidRDefault="00756EA1">
            <w:pPr>
              <w:bidi/>
              <w:rPr>
                <w:rFonts w:ascii="Arabic Typesetting" w:hAnsi="Arabic Typesetting" w:cs="Arabic Typesetting"/>
                <w:sz w:val="28"/>
                <w:szCs w:val="28"/>
              </w:rPr>
            </w:pPr>
            <w:r w:rsidRPr="00756EA1">
              <w:rPr>
                <w:rFonts w:ascii="Arabic Typesetting" w:hAnsi="Arabic Typesetting" w:cs="Arabic Typesetting"/>
                <w:sz w:val="28"/>
                <w:szCs w:val="28"/>
                <w:rtl/>
              </w:rPr>
              <w:t>ھ2.4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0432CA">
            <w:pPr>
              <w:bidi/>
              <w:rPr>
                <w:rFonts w:ascii="Arabic Typesetting" w:hAnsi="Arabic Typesetting" w:cs="Arabic Typesetting"/>
                <w:sz w:val="28"/>
                <w:szCs w:val="28"/>
              </w:rPr>
            </w:pPr>
            <w:r>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1</w:t>
            </w:r>
            <w:r w:rsidRPr="00756EA1">
              <w:rPr>
                <w:rFonts w:ascii="Arabic Typesetting" w:hAnsi="Arabic Typesetting" w:cs="Arabic Typesetting"/>
                <w:sz w:val="28"/>
                <w:szCs w:val="28"/>
              </w:rPr>
              <w:t>,</w:t>
            </w:r>
            <w:r>
              <w:rPr>
                <w:rFonts w:ascii="Arabic Typesetting" w:hAnsi="Arabic Typesetting" w:cs="Arabic Typesetting"/>
                <w:sz w:val="28"/>
                <w:szCs w:val="28"/>
              </w:rPr>
              <w:t>442</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758</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756EA1" w:rsidRPr="00756EA1" w:rsidRDefault="00756EA1" w:rsidP="005D0838">
            <w:pPr>
              <w:rPr>
                <w:rFonts w:ascii="Arabic Typesetting" w:hAnsi="Arabic Typesetting" w:cs="Arabic Typesetting"/>
                <w:sz w:val="28"/>
                <w:szCs w:val="28"/>
              </w:rPr>
            </w:pPr>
            <w:r>
              <w:rPr>
                <w:rFonts w:ascii="Arabic Typesetting" w:hAnsi="Arabic Typesetting" w:cs="Arabic Typesetting"/>
                <w:sz w:val="28"/>
                <w:szCs w:val="28"/>
              </w:rPr>
              <w:t>703</w:t>
            </w:r>
          </w:p>
        </w:tc>
      </w:tr>
      <w:tr w:rsidR="005D0838" w:rsidRPr="00756EA1" w:rsidTr="005D0838">
        <w:trPr>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5D0838" w:rsidRPr="00756EA1" w:rsidRDefault="005D0838" w:rsidP="005D0838">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5D0838" w:rsidRPr="00756EA1" w:rsidRDefault="005D0838" w:rsidP="005D0838">
            <w:pPr>
              <w:bidi/>
              <w:rPr>
                <w:rFonts w:ascii="Arabic Typesetting" w:hAnsi="Arabic Typesetting" w:cs="Arabic Typesetting"/>
                <w:b/>
                <w:bCs/>
                <w:sz w:val="28"/>
                <w:szCs w:val="28"/>
              </w:rPr>
            </w:pPr>
            <w:r w:rsidRPr="00756EA1">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5D0838" w:rsidRPr="00756EA1" w:rsidRDefault="00756EA1" w:rsidP="005D0838">
            <w:pPr>
              <w:rPr>
                <w:rFonts w:ascii="Arabic Typesetting" w:hAnsi="Arabic Typesetting" w:cs="Arabic Typesetting"/>
                <w:b/>
                <w:bCs/>
                <w:sz w:val="28"/>
                <w:szCs w:val="28"/>
              </w:rPr>
            </w:pPr>
            <w:r w:rsidRPr="00756EA1">
              <w:rPr>
                <w:rFonts w:ascii="Arabic Typesetting" w:hAnsi="Arabic Typesetting" w:cs="Arabic Typesetting"/>
                <w:b/>
                <w:bCs/>
                <w:sz w:val="28"/>
                <w:szCs w:val="28"/>
              </w:rPr>
              <w:t>6,696</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5D0838" w:rsidRPr="00756EA1" w:rsidRDefault="00756EA1" w:rsidP="005D0838">
            <w:pPr>
              <w:rPr>
                <w:rFonts w:ascii="Arabic Typesetting" w:hAnsi="Arabic Typesetting" w:cs="Arabic Typesetting"/>
                <w:b/>
                <w:bCs/>
                <w:sz w:val="28"/>
                <w:szCs w:val="28"/>
              </w:rPr>
            </w:pPr>
            <w:r w:rsidRPr="00756EA1">
              <w:rPr>
                <w:rFonts w:ascii="Arabic Typesetting" w:hAnsi="Arabic Typesetting" w:cs="Arabic Typesetting"/>
                <w:b/>
                <w:bCs/>
                <w:sz w:val="28"/>
                <w:szCs w:val="28"/>
              </w:rPr>
              <w:t>5,508</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5D0838" w:rsidRPr="00756EA1" w:rsidRDefault="00756EA1" w:rsidP="005D0838">
            <w:pPr>
              <w:rPr>
                <w:rFonts w:ascii="Arabic Typesetting" w:hAnsi="Arabic Typesetting" w:cs="Arabic Typesetting"/>
                <w:b/>
                <w:bCs/>
                <w:sz w:val="28"/>
                <w:szCs w:val="28"/>
              </w:rPr>
            </w:pPr>
            <w:r w:rsidRPr="00756EA1">
              <w:rPr>
                <w:rFonts w:ascii="Arabic Typesetting" w:hAnsi="Arabic Typesetting" w:cs="Arabic Typesetting"/>
                <w:b/>
                <w:bCs/>
                <w:sz w:val="28"/>
                <w:szCs w:val="28"/>
              </w:rPr>
              <w:t>5,503</w:t>
            </w:r>
          </w:p>
        </w:tc>
      </w:tr>
    </w:tbl>
    <w:p w:rsidR="005D0838" w:rsidRPr="005D0838" w:rsidRDefault="00774E37" w:rsidP="005D0838">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lastRenderedPageBreak/>
        <w:t>الميزانية والنفقات الفعلية (موارد الموظفين وخلاف موارد الموظفين)</w:t>
      </w:r>
    </w:p>
    <w:p w:rsidR="005D0838" w:rsidRPr="005D0838" w:rsidRDefault="005D0838" w:rsidP="005D0838">
      <w:pPr>
        <w:keepNext/>
        <w:bidi/>
        <w:spacing w:after="120"/>
        <w:jc w:val="center"/>
        <w:rPr>
          <w:rFonts w:ascii="Arabic Typesetting" w:hAnsi="Arabic Typesetting" w:cs="Arabic Typesetting"/>
          <w:sz w:val="34"/>
          <w:szCs w:val="34"/>
          <w:rtl/>
          <w:lang w:bidi="ar-EG"/>
        </w:rPr>
      </w:pPr>
      <w:r w:rsidRPr="005D083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5D0838" w:rsidRPr="005D0838" w:rsidTr="005D0838">
        <w:trPr>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5D0838" w:rsidRPr="005D0838" w:rsidRDefault="005D0838" w:rsidP="005D0838">
            <w:pPr>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5D0838" w:rsidRPr="005D0838" w:rsidRDefault="005D0838" w:rsidP="005D0838">
            <w:pPr>
              <w:bidi/>
              <w:jc w:val="center"/>
              <w:rPr>
                <w:rFonts w:ascii="Arabic Typesetting" w:hAnsi="Arabic Typesetting" w:cs="Arabic Typesetting"/>
                <w:b/>
                <w:bCs/>
                <w:i/>
                <w:iCs/>
                <w:sz w:val="28"/>
                <w:szCs w:val="28"/>
              </w:rPr>
            </w:pPr>
            <w:r w:rsidRPr="005D0838">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5D0838" w:rsidRPr="005D0838" w:rsidRDefault="005D0838" w:rsidP="005D0838">
            <w:pPr>
              <w:bidi/>
              <w:jc w:val="center"/>
              <w:rPr>
                <w:rFonts w:ascii="Arabic Typesetting" w:hAnsi="Arabic Typesetting" w:cs="Arabic Typesetting"/>
                <w:b/>
                <w:bCs/>
                <w:i/>
                <w:iCs/>
                <w:sz w:val="28"/>
                <w:szCs w:val="28"/>
              </w:rPr>
            </w:pPr>
            <w:r w:rsidRPr="005D0838">
              <w:rPr>
                <w:rFonts w:ascii="Arabic Typesetting" w:hAnsi="Arabic Typesetting" w:cs="Arabic Typesetting" w:hint="cs"/>
                <w:b/>
                <w:bCs/>
                <w:i/>
                <w:iCs/>
                <w:sz w:val="28"/>
                <w:szCs w:val="28"/>
                <w:rtl/>
              </w:rPr>
              <w:t>الميزانية النهائية</w:t>
            </w:r>
            <w:r w:rsidRPr="005D0838">
              <w:rPr>
                <w:rFonts w:ascii="Arabic Typesetting" w:hAnsi="Arabic Typesetting" w:cs="Arabic Typesetting"/>
                <w:b/>
                <w:bCs/>
                <w:i/>
                <w:iCs/>
                <w:sz w:val="28"/>
                <w:szCs w:val="28"/>
                <w:rtl/>
              </w:rPr>
              <w:t xml:space="preserve"> بعد التحويلات</w:t>
            </w:r>
            <w:r w:rsidRPr="005D0838">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5D0838" w:rsidRPr="005D0838" w:rsidRDefault="005D0838" w:rsidP="005D0838">
            <w:pPr>
              <w:bidi/>
              <w:jc w:val="center"/>
              <w:rPr>
                <w:rFonts w:ascii="Arabic Typesetting" w:hAnsi="Arabic Typesetting" w:cs="Arabic Typesetting"/>
                <w:b/>
                <w:bCs/>
                <w:i/>
                <w:iCs/>
                <w:sz w:val="28"/>
                <w:szCs w:val="28"/>
              </w:rPr>
            </w:pPr>
            <w:r w:rsidRPr="005D0838">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5D0838" w:rsidRPr="005D0838" w:rsidRDefault="009E57D2" w:rsidP="005D0838">
            <w:pPr>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5D0838" w:rsidRPr="005D0838">
              <w:rPr>
                <w:rFonts w:ascii="Arabic Typesetting" w:hAnsi="Arabic Typesetting" w:cs="Arabic Typesetting"/>
                <w:b/>
                <w:bCs/>
                <w:i/>
                <w:iCs/>
                <w:sz w:val="28"/>
                <w:szCs w:val="28"/>
                <w:rtl/>
              </w:rPr>
              <w:t xml:space="preserve"> (%)</w:t>
            </w:r>
          </w:p>
        </w:tc>
      </w:tr>
      <w:tr w:rsidR="005D0838" w:rsidRPr="005D0838" w:rsidTr="005D0838">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5D0838" w:rsidRPr="005D0838" w:rsidRDefault="005D0838" w:rsidP="005D0838">
            <w:pPr>
              <w:bidi/>
              <w:rPr>
                <w:rFonts w:ascii="Arabic Typesetting" w:hAnsi="Arabic Typesetting" w:cs="Arabic Typesetting"/>
                <w:sz w:val="28"/>
                <w:szCs w:val="28"/>
              </w:rPr>
            </w:pPr>
            <w:r w:rsidRPr="005D0838">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5D0838" w:rsidRPr="005D0838" w:rsidRDefault="00756EA1" w:rsidP="005D0838">
            <w:pPr>
              <w:jc w:val="center"/>
              <w:rPr>
                <w:rFonts w:ascii="Arabic Typesetting" w:hAnsi="Arabic Typesetting" w:cs="Arabic Typesetting"/>
                <w:sz w:val="28"/>
                <w:szCs w:val="28"/>
              </w:rPr>
            </w:pPr>
            <w:r>
              <w:rPr>
                <w:rFonts w:ascii="Arabic Typesetting" w:hAnsi="Arabic Typesetting" w:cs="Arabic Typesetting"/>
                <w:sz w:val="28"/>
                <w:szCs w:val="28"/>
              </w:rPr>
              <w:t>5</w:t>
            </w:r>
            <w:r w:rsidRPr="005D0838">
              <w:rPr>
                <w:rFonts w:ascii="Arabic Typesetting" w:hAnsi="Arabic Typesetting" w:cs="Arabic Typesetting"/>
                <w:sz w:val="28"/>
                <w:szCs w:val="28"/>
              </w:rPr>
              <w:t>,</w:t>
            </w:r>
            <w:r>
              <w:rPr>
                <w:rFonts w:ascii="Arabic Typesetting" w:hAnsi="Arabic Typesetting" w:cs="Arabic Typesetting"/>
                <w:sz w:val="28"/>
                <w:szCs w:val="28"/>
              </w:rPr>
              <w:t>086</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5D0838" w:rsidRPr="005D0838" w:rsidRDefault="00756EA1" w:rsidP="005D0838">
            <w:pPr>
              <w:jc w:val="center"/>
              <w:rPr>
                <w:rFonts w:ascii="Arabic Typesetting" w:hAnsi="Arabic Typesetting" w:cs="Arabic Typesetting"/>
                <w:sz w:val="28"/>
                <w:szCs w:val="28"/>
              </w:rPr>
            </w:pPr>
            <w:r>
              <w:rPr>
                <w:rFonts w:ascii="Arabic Typesetting" w:hAnsi="Arabic Typesetting" w:cs="Arabic Typesetting"/>
                <w:sz w:val="28"/>
                <w:szCs w:val="28"/>
              </w:rPr>
              <w:t>4</w:t>
            </w:r>
            <w:r w:rsidRPr="005D0838">
              <w:rPr>
                <w:rFonts w:ascii="Arabic Typesetting" w:hAnsi="Arabic Typesetting" w:cs="Arabic Typesetting"/>
                <w:sz w:val="28"/>
                <w:szCs w:val="28"/>
              </w:rPr>
              <w:t>,</w:t>
            </w:r>
            <w:r>
              <w:rPr>
                <w:rFonts w:ascii="Arabic Typesetting" w:hAnsi="Arabic Typesetting" w:cs="Arabic Typesetting"/>
                <w:sz w:val="28"/>
                <w:szCs w:val="28"/>
              </w:rPr>
              <w:t>190</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5D0838" w:rsidRPr="005D0838" w:rsidRDefault="00756EA1" w:rsidP="005D0838">
            <w:pPr>
              <w:jc w:val="center"/>
              <w:rPr>
                <w:rFonts w:ascii="Arabic Typesetting" w:hAnsi="Arabic Typesetting" w:cs="Arabic Typesetting"/>
                <w:sz w:val="28"/>
                <w:szCs w:val="28"/>
              </w:rPr>
            </w:pPr>
            <w:r>
              <w:rPr>
                <w:rFonts w:ascii="Arabic Typesetting" w:hAnsi="Arabic Typesetting" w:cs="Arabic Typesetting"/>
                <w:sz w:val="28"/>
                <w:szCs w:val="28"/>
              </w:rPr>
              <w:t>4</w:t>
            </w:r>
            <w:r w:rsidRPr="005D0838">
              <w:rPr>
                <w:rFonts w:ascii="Arabic Typesetting" w:hAnsi="Arabic Typesetting" w:cs="Arabic Typesetting"/>
                <w:sz w:val="28"/>
                <w:szCs w:val="28"/>
              </w:rPr>
              <w:t>,</w:t>
            </w:r>
            <w:r>
              <w:rPr>
                <w:rFonts w:ascii="Arabic Typesetting" w:hAnsi="Arabic Typesetting" w:cs="Arabic Typesetting"/>
                <w:sz w:val="28"/>
                <w:szCs w:val="28"/>
              </w:rPr>
              <w:t>422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5D0838" w:rsidRPr="005D0838" w:rsidRDefault="00756EA1" w:rsidP="005D0838">
            <w:pPr>
              <w:jc w:val="center"/>
              <w:rPr>
                <w:rFonts w:ascii="Arabic Typesetting" w:hAnsi="Arabic Typesetting" w:cs="Arabic Typesetting"/>
                <w:sz w:val="28"/>
                <w:szCs w:val="28"/>
              </w:rPr>
            </w:pPr>
            <w:r>
              <w:rPr>
                <w:rFonts w:ascii="Arabic Typesetting" w:hAnsi="Arabic Typesetting" w:cs="Arabic Typesetting"/>
                <w:sz w:val="28"/>
                <w:szCs w:val="28"/>
              </w:rPr>
              <w:t>106%</w:t>
            </w:r>
          </w:p>
        </w:tc>
      </w:tr>
      <w:tr w:rsidR="005D0838" w:rsidRPr="005D0838" w:rsidTr="005D0838">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5D0838" w:rsidRPr="005D0838" w:rsidRDefault="005D0838" w:rsidP="005D0838">
            <w:pPr>
              <w:bidi/>
              <w:rPr>
                <w:rFonts w:ascii="Arabic Typesetting" w:hAnsi="Arabic Typesetting" w:cs="Arabic Typesetting"/>
                <w:sz w:val="28"/>
                <w:szCs w:val="28"/>
              </w:rPr>
            </w:pPr>
            <w:r w:rsidRPr="005D0838">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5D0838" w:rsidRPr="005D0838" w:rsidRDefault="00756EA1" w:rsidP="005D0838">
            <w:pPr>
              <w:jc w:val="center"/>
              <w:rPr>
                <w:rFonts w:ascii="Arabic Typesetting" w:hAnsi="Arabic Typesetting" w:cs="Arabic Typesetting"/>
                <w:sz w:val="28"/>
                <w:szCs w:val="28"/>
              </w:rPr>
            </w:pPr>
            <w:r>
              <w:rPr>
                <w:rFonts w:ascii="Arabic Typesetting" w:hAnsi="Arabic Typesetting" w:cs="Arabic Typesetting"/>
                <w:sz w:val="28"/>
                <w:szCs w:val="28"/>
              </w:rPr>
              <w:t>1</w:t>
            </w:r>
            <w:r w:rsidRPr="005D0838">
              <w:rPr>
                <w:rFonts w:ascii="Arabic Typesetting" w:hAnsi="Arabic Typesetting" w:cs="Arabic Typesetting"/>
                <w:sz w:val="28"/>
                <w:szCs w:val="28"/>
              </w:rPr>
              <w:t>,</w:t>
            </w:r>
            <w:r>
              <w:rPr>
                <w:rFonts w:ascii="Arabic Typesetting" w:hAnsi="Arabic Typesetting" w:cs="Arabic Typesetting"/>
                <w:sz w:val="28"/>
                <w:szCs w:val="28"/>
              </w:rPr>
              <w:t>610</w:t>
            </w:r>
          </w:p>
        </w:tc>
        <w:tc>
          <w:tcPr>
            <w:tcW w:w="970" w:type="pct"/>
            <w:tcBorders>
              <w:top w:val="nil"/>
              <w:left w:val="single" w:sz="4" w:space="0" w:color="auto"/>
              <w:bottom w:val="single" w:sz="4" w:space="0" w:color="auto"/>
              <w:right w:val="single" w:sz="4" w:space="0" w:color="auto"/>
            </w:tcBorders>
            <w:shd w:val="clear" w:color="auto" w:fill="auto"/>
            <w:vAlign w:val="center"/>
          </w:tcPr>
          <w:p w:rsidR="005D0838" w:rsidRPr="005D0838" w:rsidRDefault="00756EA1" w:rsidP="005D0838">
            <w:pPr>
              <w:jc w:val="center"/>
              <w:rPr>
                <w:rFonts w:ascii="Arabic Typesetting" w:hAnsi="Arabic Typesetting" w:cs="Arabic Typesetting"/>
                <w:sz w:val="28"/>
                <w:szCs w:val="28"/>
              </w:rPr>
            </w:pPr>
            <w:r>
              <w:rPr>
                <w:rFonts w:ascii="Arabic Typesetting" w:hAnsi="Arabic Typesetting" w:cs="Arabic Typesetting"/>
                <w:sz w:val="28"/>
                <w:szCs w:val="28"/>
              </w:rPr>
              <w:t>1</w:t>
            </w:r>
            <w:r w:rsidRPr="005D0838">
              <w:rPr>
                <w:rFonts w:ascii="Arabic Typesetting" w:hAnsi="Arabic Typesetting" w:cs="Arabic Typesetting"/>
                <w:sz w:val="28"/>
                <w:szCs w:val="28"/>
              </w:rPr>
              <w:t>,</w:t>
            </w:r>
            <w:r>
              <w:rPr>
                <w:rFonts w:ascii="Arabic Typesetting" w:hAnsi="Arabic Typesetting" w:cs="Arabic Typesetting"/>
                <w:sz w:val="28"/>
                <w:szCs w:val="28"/>
              </w:rPr>
              <w:t>318</w:t>
            </w:r>
          </w:p>
        </w:tc>
        <w:tc>
          <w:tcPr>
            <w:tcW w:w="970" w:type="pct"/>
            <w:tcBorders>
              <w:top w:val="nil"/>
              <w:left w:val="single" w:sz="4" w:space="0" w:color="auto"/>
              <w:bottom w:val="single" w:sz="4" w:space="0" w:color="auto"/>
              <w:right w:val="single" w:sz="4" w:space="0" w:color="auto"/>
            </w:tcBorders>
            <w:shd w:val="clear" w:color="auto" w:fill="auto"/>
            <w:vAlign w:val="center"/>
          </w:tcPr>
          <w:p w:rsidR="005D0838" w:rsidRPr="005D0838" w:rsidRDefault="00756EA1" w:rsidP="005D0838">
            <w:pPr>
              <w:jc w:val="center"/>
              <w:rPr>
                <w:rFonts w:ascii="Arabic Typesetting" w:hAnsi="Arabic Typesetting" w:cs="Arabic Typesetting"/>
                <w:sz w:val="28"/>
                <w:szCs w:val="28"/>
              </w:rPr>
            </w:pPr>
            <w:r>
              <w:rPr>
                <w:rFonts w:ascii="Arabic Typesetting" w:hAnsi="Arabic Typesetting" w:cs="Arabic Typesetting"/>
                <w:sz w:val="28"/>
                <w:szCs w:val="28"/>
              </w:rPr>
              <w:t>1</w:t>
            </w:r>
            <w:r w:rsidRPr="005D0838">
              <w:rPr>
                <w:rFonts w:ascii="Arabic Typesetting" w:hAnsi="Arabic Typesetting" w:cs="Arabic Typesetting"/>
                <w:sz w:val="28"/>
                <w:szCs w:val="28"/>
              </w:rPr>
              <w:t>,</w:t>
            </w:r>
            <w:r>
              <w:rPr>
                <w:rFonts w:ascii="Arabic Typesetting" w:hAnsi="Arabic Typesetting" w:cs="Arabic Typesetting"/>
                <w:sz w:val="28"/>
                <w:szCs w:val="28"/>
              </w:rPr>
              <w:t>081</w:t>
            </w:r>
          </w:p>
        </w:tc>
        <w:tc>
          <w:tcPr>
            <w:tcW w:w="970" w:type="pct"/>
            <w:tcBorders>
              <w:top w:val="nil"/>
              <w:left w:val="single" w:sz="4" w:space="0" w:color="auto"/>
              <w:bottom w:val="single" w:sz="4" w:space="0" w:color="auto"/>
              <w:right w:val="single" w:sz="4" w:space="0" w:color="auto"/>
            </w:tcBorders>
            <w:shd w:val="clear" w:color="auto" w:fill="auto"/>
            <w:vAlign w:val="center"/>
          </w:tcPr>
          <w:p w:rsidR="005D0838" w:rsidRPr="005D0838" w:rsidRDefault="00756EA1" w:rsidP="005D0838">
            <w:pPr>
              <w:jc w:val="center"/>
              <w:rPr>
                <w:rFonts w:ascii="Arabic Typesetting" w:hAnsi="Arabic Typesetting" w:cs="Arabic Typesetting"/>
                <w:sz w:val="28"/>
                <w:szCs w:val="28"/>
              </w:rPr>
            </w:pPr>
            <w:r>
              <w:rPr>
                <w:rFonts w:ascii="Arabic Typesetting" w:hAnsi="Arabic Typesetting" w:cs="Arabic Typesetting"/>
                <w:sz w:val="28"/>
                <w:szCs w:val="28"/>
              </w:rPr>
              <w:t>82%</w:t>
            </w:r>
          </w:p>
        </w:tc>
      </w:tr>
      <w:tr w:rsidR="00756EA1" w:rsidRPr="005D0838" w:rsidTr="00756EA1">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756EA1" w:rsidRPr="005D0838" w:rsidRDefault="00756EA1" w:rsidP="005D0838">
            <w:pPr>
              <w:bidi/>
              <w:jc w:val="right"/>
              <w:rPr>
                <w:rFonts w:ascii="Arabic Typesetting" w:hAnsi="Arabic Typesetting" w:cs="Arabic Typesetting"/>
                <w:b/>
                <w:bCs/>
                <w:sz w:val="28"/>
                <w:szCs w:val="28"/>
              </w:rPr>
            </w:pPr>
            <w:r w:rsidRPr="005D0838">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756EA1" w:rsidRPr="00756EA1" w:rsidRDefault="00756EA1" w:rsidP="00756EA1">
            <w:pPr>
              <w:jc w:val="center"/>
              <w:rPr>
                <w:rFonts w:ascii="Arabic Typesetting" w:hAnsi="Arabic Typesetting" w:cs="Arabic Typesetting"/>
                <w:b/>
                <w:bCs/>
                <w:sz w:val="28"/>
                <w:szCs w:val="28"/>
              </w:rPr>
            </w:pPr>
            <w:r w:rsidRPr="00756EA1">
              <w:rPr>
                <w:rFonts w:ascii="Arabic Typesetting" w:hAnsi="Arabic Typesetting" w:cs="Arabic Typesetting"/>
                <w:b/>
                <w:bCs/>
                <w:sz w:val="28"/>
                <w:szCs w:val="28"/>
              </w:rPr>
              <w:t>6,696</w:t>
            </w:r>
          </w:p>
        </w:tc>
        <w:tc>
          <w:tcPr>
            <w:tcW w:w="970" w:type="pct"/>
            <w:tcBorders>
              <w:top w:val="nil"/>
              <w:left w:val="single" w:sz="4" w:space="0" w:color="auto"/>
              <w:bottom w:val="single" w:sz="4" w:space="0" w:color="auto"/>
              <w:right w:val="single" w:sz="4" w:space="0" w:color="auto"/>
            </w:tcBorders>
            <w:shd w:val="clear" w:color="auto" w:fill="auto"/>
            <w:vAlign w:val="center"/>
          </w:tcPr>
          <w:p w:rsidR="00756EA1" w:rsidRPr="00756EA1" w:rsidRDefault="00756EA1" w:rsidP="00756EA1">
            <w:pPr>
              <w:jc w:val="center"/>
              <w:rPr>
                <w:rFonts w:ascii="Arabic Typesetting" w:hAnsi="Arabic Typesetting" w:cs="Arabic Typesetting"/>
                <w:b/>
                <w:bCs/>
                <w:sz w:val="28"/>
                <w:szCs w:val="28"/>
              </w:rPr>
            </w:pPr>
            <w:r w:rsidRPr="00756EA1">
              <w:rPr>
                <w:rFonts w:ascii="Arabic Typesetting" w:hAnsi="Arabic Typesetting" w:cs="Arabic Typesetting"/>
                <w:b/>
                <w:bCs/>
                <w:sz w:val="28"/>
                <w:szCs w:val="28"/>
              </w:rPr>
              <w:t>5,508</w:t>
            </w:r>
          </w:p>
        </w:tc>
        <w:tc>
          <w:tcPr>
            <w:tcW w:w="970" w:type="pct"/>
            <w:tcBorders>
              <w:top w:val="nil"/>
              <w:left w:val="single" w:sz="4" w:space="0" w:color="auto"/>
              <w:bottom w:val="single" w:sz="4" w:space="0" w:color="auto"/>
              <w:right w:val="single" w:sz="4" w:space="0" w:color="auto"/>
            </w:tcBorders>
            <w:shd w:val="clear" w:color="auto" w:fill="auto"/>
            <w:vAlign w:val="center"/>
          </w:tcPr>
          <w:p w:rsidR="00756EA1" w:rsidRPr="00756EA1" w:rsidRDefault="00756EA1" w:rsidP="00756EA1">
            <w:pPr>
              <w:jc w:val="center"/>
              <w:rPr>
                <w:rFonts w:ascii="Arabic Typesetting" w:hAnsi="Arabic Typesetting" w:cs="Arabic Typesetting"/>
                <w:b/>
                <w:bCs/>
                <w:sz w:val="28"/>
                <w:szCs w:val="28"/>
              </w:rPr>
            </w:pPr>
            <w:r w:rsidRPr="00756EA1">
              <w:rPr>
                <w:rFonts w:ascii="Arabic Typesetting" w:hAnsi="Arabic Typesetting" w:cs="Arabic Typesetting"/>
                <w:b/>
                <w:bCs/>
                <w:sz w:val="28"/>
                <w:szCs w:val="28"/>
              </w:rPr>
              <w:t>5,503</w:t>
            </w:r>
          </w:p>
        </w:tc>
        <w:tc>
          <w:tcPr>
            <w:tcW w:w="970" w:type="pct"/>
            <w:tcBorders>
              <w:top w:val="nil"/>
              <w:left w:val="single" w:sz="4" w:space="0" w:color="auto"/>
              <w:bottom w:val="single" w:sz="4" w:space="0" w:color="auto"/>
              <w:right w:val="single" w:sz="4" w:space="0" w:color="auto"/>
            </w:tcBorders>
            <w:shd w:val="clear" w:color="auto" w:fill="auto"/>
            <w:vAlign w:val="center"/>
          </w:tcPr>
          <w:p w:rsidR="00756EA1" w:rsidRPr="005D0838" w:rsidRDefault="00756EA1" w:rsidP="005D0838">
            <w:pPr>
              <w:jc w:val="center"/>
              <w:rPr>
                <w:rFonts w:ascii="Arabic Typesetting" w:hAnsi="Arabic Typesetting" w:cs="Arabic Typesetting"/>
                <w:b/>
                <w:bCs/>
                <w:sz w:val="28"/>
                <w:szCs w:val="28"/>
              </w:rPr>
            </w:pPr>
            <w:r>
              <w:rPr>
                <w:rFonts w:ascii="Arabic Typesetting" w:hAnsi="Arabic Typesetting" w:cs="Arabic Typesetting"/>
                <w:b/>
                <w:bCs/>
                <w:sz w:val="28"/>
                <w:szCs w:val="28"/>
              </w:rPr>
              <w:t>100%</w:t>
            </w:r>
          </w:p>
        </w:tc>
      </w:tr>
    </w:tbl>
    <w:p w:rsidR="005D0838" w:rsidRPr="005D0838" w:rsidRDefault="005D0838" w:rsidP="005D0838">
      <w:pPr>
        <w:keepNext/>
        <w:bidi/>
        <w:spacing w:before="240" w:after="120" w:line="340" w:lineRule="exact"/>
        <w:rPr>
          <w:rFonts w:ascii="Arabic Typesetting" w:hAnsi="Arabic Typesetting" w:cs="Arabic Typesetting"/>
          <w:sz w:val="34"/>
          <w:szCs w:val="34"/>
          <w:lang w:bidi="ar-EG"/>
        </w:rPr>
      </w:pPr>
      <w:r w:rsidRPr="005D0838">
        <w:rPr>
          <w:rFonts w:ascii="Arabic Typesetting" w:hAnsi="Arabic Typesetting" w:cs="Arabic Typesetting" w:hint="cs"/>
          <w:sz w:val="34"/>
          <w:szCs w:val="34"/>
          <w:rtl/>
          <w:lang w:bidi="ar-EG"/>
        </w:rPr>
        <w:t>ألف</w:t>
      </w:r>
      <w:r w:rsidRPr="005D0838">
        <w:rPr>
          <w:rFonts w:ascii="Arabic Typesetting" w:hAnsi="Arabic Typesetting" w:cs="Arabic Typesetting"/>
          <w:sz w:val="34"/>
          <w:szCs w:val="34"/>
          <w:lang w:bidi="ar-EG"/>
        </w:rPr>
        <w:t>.</w:t>
      </w:r>
      <w:r w:rsidRPr="005D0838">
        <w:rPr>
          <w:rFonts w:ascii="Arabic Typesetting" w:hAnsi="Arabic Typesetting" w:cs="Arabic Typesetting" w:hint="cs"/>
          <w:sz w:val="34"/>
          <w:szCs w:val="34"/>
          <w:rtl/>
          <w:lang w:bidi="ar-EG"/>
        </w:rPr>
        <w:tab/>
      </w:r>
      <w:r w:rsidRPr="005D0838">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5D0838" w:rsidRDefault="00756EA1"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sidRPr="00756EA1">
        <w:rPr>
          <w:rFonts w:ascii="Arabic Typesetting" w:hAnsi="Arabic Typesetting" w:cs="Arabic Typesetting"/>
          <w:sz w:val="34"/>
          <w:szCs w:val="34"/>
          <w:rtl/>
          <w:lang w:val="fr-CH" w:bidi="ar-EG"/>
        </w:rPr>
        <w:t xml:space="preserve">يعزى الانخفاض المُسجل في موارد الموظفين في الميزانية النهائية بعد التحويلات </w:t>
      </w:r>
      <w:r w:rsidR="00507DE2">
        <w:rPr>
          <w:rFonts w:ascii="Arabic Typesetting" w:hAnsi="Arabic Typesetting" w:cs="Arabic Typesetting"/>
          <w:sz w:val="34"/>
          <w:szCs w:val="34"/>
          <w:rtl/>
          <w:lang w:val="fr-CH" w:bidi="ar-EG"/>
        </w:rPr>
        <w:t>2014/15</w:t>
      </w:r>
      <w:r w:rsidRPr="00756EA1">
        <w:rPr>
          <w:rFonts w:ascii="Arabic Typesetting" w:hAnsi="Arabic Typesetting" w:cs="Arabic Typesetting"/>
          <w:sz w:val="34"/>
          <w:szCs w:val="34"/>
          <w:rtl/>
          <w:lang w:val="fr-CH" w:bidi="ar-EG"/>
        </w:rPr>
        <w:t xml:space="preserve"> مقارنة بالميزانية المعتمدة </w:t>
      </w:r>
      <w:r w:rsidR="00507DE2">
        <w:rPr>
          <w:rFonts w:ascii="Arabic Typesetting" w:hAnsi="Arabic Typesetting" w:cs="Arabic Typesetting"/>
          <w:sz w:val="34"/>
          <w:szCs w:val="34"/>
          <w:rtl/>
          <w:lang w:val="fr-CH" w:bidi="ar-EG"/>
        </w:rPr>
        <w:t>2014/15</w:t>
      </w:r>
      <w:r w:rsidRPr="00756EA1">
        <w:rPr>
          <w:rFonts w:ascii="Arabic Typesetting" w:hAnsi="Arabic Typesetting" w:cs="Arabic Typesetting"/>
          <w:sz w:val="34"/>
          <w:szCs w:val="34"/>
          <w:rtl/>
          <w:lang w:val="fr-CH" w:bidi="ar-EG"/>
        </w:rPr>
        <w:t xml:space="preserve"> إلى ما يلي: "1" نقل مسؤوليات تنفيذ مشروعي جدول أعمال التنمية المتعلقين بالنماذج التعاونية المفتوحة ونقل التكنولوجيا إلى البرنامج 5 (نظام معاهدة التعاون بشأن البراءات)، "2" والتأخر في تحديد المهارات والكفاءات المناسبة الداعمة لأنشطة البرنامج لغرض تعويض موظف نُقل خارج البرنامج.</w:t>
      </w:r>
    </w:p>
    <w:p w:rsidR="00756EA1" w:rsidRDefault="00756EA1"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Pr>
          <w:rFonts w:ascii="Arabic Typesetting" w:hAnsi="Arabic Typesetting" w:cs="Arabic Typesetting" w:hint="cs"/>
          <w:sz w:val="34"/>
          <w:szCs w:val="34"/>
          <w:rtl/>
          <w:lang w:val="fr-CH" w:bidi="ar-EG"/>
        </w:rPr>
        <w:t xml:space="preserve">ويعزى أساساً صافي الانخفاض في </w:t>
      </w:r>
      <w:r w:rsidR="002C7177">
        <w:rPr>
          <w:rFonts w:ascii="Arabic Typesetting" w:hAnsi="Arabic Typesetting" w:cs="Arabic Typesetting" w:hint="cs"/>
          <w:sz w:val="34"/>
          <w:szCs w:val="34"/>
          <w:rtl/>
          <w:lang w:val="fr-CH" w:bidi="ar-EG"/>
        </w:rPr>
        <w:t xml:space="preserve">بند </w:t>
      </w:r>
      <w:r>
        <w:rPr>
          <w:rFonts w:ascii="Arabic Typesetting" w:hAnsi="Arabic Typesetting" w:cs="Arabic Typesetting" w:hint="cs"/>
          <w:sz w:val="34"/>
          <w:szCs w:val="34"/>
          <w:rtl/>
          <w:lang w:val="fr-CH" w:bidi="ar-EG"/>
        </w:rPr>
        <w:t xml:space="preserve">خلاف موارد الموظفين إلى ما يلي: "1" تسوية </w:t>
      </w:r>
      <w:proofErr w:type="spellStart"/>
      <w:r>
        <w:rPr>
          <w:rFonts w:ascii="Arabic Typesetting" w:hAnsi="Arabic Typesetting" w:cs="Arabic Typesetting" w:hint="cs"/>
          <w:sz w:val="34"/>
          <w:szCs w:val="34"/>
          <w:rtl/>
          <w:lang w:val="fr-CH" w:bidi="ar-EG"/>
        </w:rPr>
        <w:t>تخفيضية</w:t>
      </w:r>
      <w:proofErr w:type="spellEnd"/>
      <w:r>
        <w:rPr>
          <w:rFonts w:ascii="Arabic Typesetting" w:hAnsi="Arabic Typesetting" w:cs="Arabic Typesetting" w:hint="cs"/>
          <w:sz w:val="34"/>
          <w:szCs w:val="34"/>
          <w:rtl/>
          <w:lang w:val="fr-CH" w:bidi="ar-EG"/>
        </w:rPr>
        <w:t xml:space="preserve"> بسبب نقل مسؤولية التدريب على صياغة البراءات إلى البرنامج 1؛ "2" ونقل مخصصات من</w:t>
      </w:r>
      <w:r w:rsidR="002C7177">
        <w:rPr>
          <w:rFonts w:ascii="Arabic Typesetting" w:hAnsi="Arabic Typesetting" w:cs="Arabic Typesetting" w:hint="cs"/>
          <w:sz w:val="34"/>
          <w:szCs w:val="34"/>
          <w:rtl/>
          <w:lang w:val="fr-CH" w:bidi="ar-EG"/>
        </w:rPr>
        <w:t xml:space="preserve"> بند</w:t>
      </w:r>
      <w:r>
        <w:rPr>
          <w:rFonts w:ascii="Arabic Typesetting" w:hAnsi="Arabic Typesetting" w:cs="Arabic Typesetting" w:hint="cs"/>
          <w:sz w:val="34"/>
          <w:szCs w:val="34"/>
          <w:rtl/>
          <w:lang w:val="fr-CH" w:bidi="ar-EG"/>
        </w:rPr>
        <w:t xml:space="preserve"> خلاف موارد الموظفين تتعلق</w:t>
      </w:r>
      <w:r w:rsidRPr="00756EA1">
        <w:rPr>
          <w:rFonts w:ascii="Arabic Typesetting" w:hAnsi="Arabic Typesetting" w:cs="Arabic Typesetting"/>
          <w:sz w:val="34"/>
          <w:szCs w:val="34"/>
          <w:rtl/>
          <w:lang w:val="fr-CH" w:bidi="ar-EG"/>
        </w:rPr>
        <w:t xml:space="preserve"> بالتدريب الداخلي (إلى</w:t>
      </w:r>
      <w:r>
        <w:rPr>
          <w:rFonts w:ascii="Arabic Typesetting" w:hAnsi="Arabic Typesetting" w:cs="Arabic Typesetting" w:hint="cs"/>
          <w:sz w:val="34"/>
          <w:szCs w:val="34"/>
          <w:rtl/>
          <w:lang w:val="fr-CH" w:bidi="ar-EG"/>
        </w:rPr>
        <w:t> </w:t>
      </w:r>
      <w:r w:rsidRPr="00756EA1">
        <w:rPr>
          <w:rFonts w:ascii="Arabic Typesetting" w:hAnsi="Arabic Typesetting" w:cs="Arabic Typesetting"/>
          <w:sz w:val="34"/>
          <w:szCs w:val="34"/>
          <w:rtl/>
          <w:lang w:val="fr-CH" w:bidi="ar-EG"/>
        </w:rPr>
        <w:t>البرنامج 23 الذي يُدير المتدربين مركزياً)</w:t>
      </w:r>
      <w:r w:rsidR="00950478">
        <w:rPr>
          <w:rFonts w:ascii="Arabic Typesetting" w:hAnsi="Arabic Typesetting" w:cs="Arabic Typesetting" w:hint="cs"/>
          <w:sz w:val="34"/>
          <w:szCs w:val="34"/>
          <w:rtl/>
          <w:lang w:val="fr-CH" w:bidi="ar-EG"/>
        </w:rPr>
        <w:t>.</w:t>
      </w:r>
    </w:p>
    <w:p w:rsidR="00756EA1" w:rsidRPr="00756EA1" w:rsidRDefault="002C7177" w:rsidP="009A3712">
      <w:pPr>
        <w:numPr>
          <w:ilvl w:val="0"/>
          <w:numId w:val="36"/>
        </w:numPr>
        <w:bidi/>
        <w:spacing w:after="120" w:line="340" w:lineRule="exact"/>
        <w:ind w:left="0" w:firstLine="0"/>
        <w:rPr>
          <w:rFonts w:ascii="Arabic Typesetting" w:hAnsi="Arabic Typesetting" w:cs="Arabic Typesetting"/>
          <w:sz w:val="34"/>
          <w:szCs w:val="34"/>
          <w:lang w:val="fr-CH" w:bidi="ar-EG"/>
        </w:rPr>
      </w:pPr>
      <w:r>
        <w:rPr>
          <w:rFonts w:ascii="Arabic Typesetting" w:hAnsi="Arabic Typesetting" w:cs="Arabic Typesetting" w:hint="cs"/>
          <w:sz w:val="34"/>
          <w:szCs w:val="34"/>
          <w:rtl/>
          <w:lang w:val="fr-CH" w:bidi="ar-EG"/>
        </w:rPr>
        <w:t>و</w:t>
      </w:r>
      <w:r w:rsidR="00756EA1" w:rsidRPr="00756EA1">
        <w:rPr>
          <w:rFonts w:ascii="Arabic Typesetting" w:hAnsi="Arabic Typesetting" w:cs="Arabic Typesetting"/>
          <w:sz w:val="34"/>
          <w:szCs w:val="34"/>
          <w:rtl/>
          <w:lang w:val="fr-CH" w:bidi="ar-EG"/>
        </w:rPr>
        <w:t xml:space="preserve">استندت التسويات في نتائج الميزانية النهائية بعد التحويلات </w:t>
      </w:r>
      <w:r w:rsidR="00507DE2">
        <w:rPr>
          <w:rFonts w:ascii="Arabic Typesetting" w:hAnsi="Arabic Typesetting" w:cs="Arabic Typesetting"/>
          <w:sz w:val="34"/>
          <w:szCs w:val="34"/>
          <w:rtl/>
          <w:lang w:val="fr-CH" w:bidi="ar-EG"/>
        </w:rPr>
        <w:t>2014/15</w:t>
      </w:r>
      <w:r w:rsidR="00756EA1" w:rsidRPr="00756EA1">
        <w:rPr>
          <w:rFonts w:ascii="Arabic Typesetting" w:hAnsi="Arabic Typesetting" w:cs="Arabic Typesetting"/>
          <w:sz w:val="34"/>
          <w:szCs w:val="34"/>
          <w:rtl/>
          <w:lang w:val="fr-CH" w:bidi="ar-EG"/>
        </w:rPr>
        <w:t xml:space="preserve"> إلى المنهجية الجديدة والأدق المتبعة في تخصيص موارد الموظفين </w:t>
      </w:r>
      <w:r w:rsidR="00322324">
        <w:rPr>
          <w:rFonts w:ascii="Arabic Typesetting" w:hAnsi="Arabic Typesetting" w:cs="Arabic Typesetting"/>
          <w:sz w:val="34"/>
          <w:szCs w:val="34"/>
          <w:rtl/>
          <w:lang w:val="fr-CH"/>
        </w:rPr>
        <w:t>والناجمة عن التحسينات المدخلة على نظام التخطيط لإدارة الأداء المؤسسي أثناء التخطيط للعمل السنوي لعامي</w:t>
      </w:r>
      <w:r w:rsidR="00322324">
        <w:rPr>
          <w:rFonts w:ascii="Arabic Typesetting" w:hAnsi="Arabic Typesetting" w:cs="Arabic Typesetting" w:hint="cs"/>
          <w:sz w:val="34"/>
          <w:szCs w:val="34"/>
          <w:rtl/>
          <w:lang w:val="fr-CH"/>
        </w:rPr>
        <w:t> </w:t>
      </w:r>
      <w:r w:rsidR="00756EA1">
        <w:rPr>
          <w:rFonts w:ascii="Arabic Typesetting" w:hAnsi="Arabic Typesetting" w:cs="Arabic Typesetting"/>
          <w:sz w:val="34"/>
          <w:szCs w:val="34"/>
          <w:rtl/>
          <w:lang w:val="fr-CH" w:bidi="ar-EG"/>
        </w:rPr>
        <w:t>2014 و2015</w:t>
      </w:r>
      <w:r w:rsidR="002D299D">
        <w:rPr>
          <w:rFonts w:ascii="Arabic Typesetting" w:hAnsi="Arabic Typesetting" w:cs="Arabic Typesetting" w:hint="cs"/>
          <w:sz w:val="34"/>
          <w:szCs w:val="34"/>
          <w:rtl/>
          <w:lang w:val="fr-CH" w:bidi="ar-EG"/>
        </w:rPr>
        <w:t>، وعن إعادة تنظيم داخلي للبرنامج.</w:t>
      </w:r>
    </w:p>
    <w:p w:rsidR="005D0838" w:rsidRPr="005D0838" w:rsidRDefault="005D0838" w:rsidP="005D0838">
      <w:pPr>
        <w:keepNext/>
        <w:bidi/>
        <w:spacing w:after="120" w:line="340" w:lineRule="exact"/>
        <w:rPr>
          <w:rFonts w:ascii="Arabic Typesetting" w:hAnsi="Arabic Typesetting" w:cs="Arabic Typesetting"/>
          <w:sz w:val="34"/>
          <w:szCs w:val="34"/>
          <w:rtl/>
          <w:lang w:bidi="ar-EG"/>
        </w:rPr>
      </w:pPr>
      <w:r w:rsidRPr="005D0838">
        <w:rPr>
          <w:rFonts w:ascii="Arabic Typesetting" w:hAnsi="Arabic Typesetting" w:cs="Arabic Typesetting" w:hint="cs"/>
          <w:sz w:val="34"/>
          <w:szCs w:val="34"/>
          <w:rtl/>
          <w:lang w:bidi="ar-EG"/>
        </w:rPr>
        <w:t>باء</w:t>
      </w:r>
      <w:r w:rsidRPr="005D0838">
        <w:rPr>
          <w:rFonts w:ascii="Arabic Typesetting" w:hAnsi="Arabic Typesetting" w:cs="Arabic Typesetting"/>
          <w:sz w:val="34"/>
          <w:szCs w:val="34"/>
          <w:lang w:bidi="ar-EG"/>
        </w:rPr>
        <w:t>.</w:t>
      </w:r>
      <w:r w:rsidRPr="005D0838">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086C3F" w:rsidRPr="002D299D" w:rsidRDefault="002D299D" w:rsidP="009A3712">
      <w:pPr>
        <w:numPr>
          <w:ilvl w:val="0"/>
          <w:numId w:val="36"/>
        </w:numPr>
        <w:bidi/>
        <w:spacing w:after="120" w:line="340" w:lineRule="exact"/>
        <w:ind w:left="0" w:firstLine="0"/>
        <w:rPr>
          <w:rFonts w:ascii="Arabic Typesetting" w:hAnsi="Arabic Typesetting" w:cs="Arabic Typesetting"/>
          <w:sz w:val="34"/>
          <w:szCs w:val="34"/>
          <w:rtl/>
          <w:lang w:val="fr-CH" w:bidi="ar-EG"/>
        </w:rPr>
      </w:pPr>
      <w:r w:rsidRPr="002D299D">
        <w:rPr>
          <w:rFonts w:ascii="Arabic Typesetting" w:hAnsi="Arabic Typesetting" w:cs="Arabic Typesetting" w:hint="cs"/>
          <w:sz w:val="34"/>
          <w:szCs w:val="34"/>
          <w:rtl/>
          <w:lang w:val="fr-CH" w:bidi="ar-EG"/>
        </w:rPr>
        <w:t>يعزى أساساً</w:t>
      </w:r>
      <w:r w:rsidR="002A614F" w:rsidRPr="002D299D">
        <w:rPr>
          <w:rFonts w:ascii="Arabic Typesetting" w:hAnsi="Arabic Typesetting" w:cs="Arabic Typesetting" w:hint="cs"/>
          <w:sz w:val="34"/>
          <w:szCs w:val="34"/>
          <w:rtl/>
          <w:lang w:val="fr-CH" w:bidi="ar-EG"/>
        </w:rPr>
        <w:t xml:space="preserve"> </w:t>
      </w:r>
      <w:r w:rsidRPr="002D299D">
        <w:rPr>
          <w:rFonts w:ascii="Arabic Typesetting" w:hAnsi="Arabic Typesetting" w:cs="Arabic Typesetting" w:hint="cs"/>
          <w:sz w:val="34"/>
          <w:szCs w:val="34"/>
          <w:rtl/>
          <w:lang w:val="fr-CH" w:bidi="ar-EG"/>
        </w:rPr>
        <w:t xml:space="preserve">الانخفاض الطفيف في </w:t>
      </w:r>
      <w:r w:rsidR="009B25F8">
        <w:rPr>
          <w:rFonts w:ascii="Arabic Typesetting" w:hAnsi="Arabic Typesetting" w:cs="Arabic Typesetting" w:hint="cs"/>
          <w:sz w:val="34"/>
          <w:szCs w:val="34"/>
          <w:rtl/>
          <w:lang w:val="fr-CH" w:bidi="ar-EG"/>
        </w:rPr>
        <w:t>استخدام</w:t>
      </w:r>
      <w:r w:rsidR="009B25F8" w:rsidRPr="002D299D">
        <w:rPr>
          <w:rFonts w:ascii="Arabic Typesetting" w:hAnsi="Arabic Typesetting" w:cs="Arabic Typesetting" w:hint="cs"/>
          <w:sz w:val="34"/>
          <w:szCs w:val="34"/>
          <w:rtl/>
          <w:lang w:val="fr-CH" w:bidi="ar-EG"/>
        </w:rPr>
        <w:t xml:space="preserve"> </w:t>
      </w:r>
      <w:r w:rsidRPr="002D299D">
        <w:rPr>
          <w:rFonts w:ascii="Arabic Typesetting" w:hAnsi="Arabic Typesetting" w:cs="Arabic Typesetting" w:hint="cs"/>
          <w:sz w:val="34"/>
          <w:szCs w:val="34"/>
          <w:rtl/>
          <w:lang w:val="fr-CH" w:bidi="ar-EG"/>
        </w:rPr>
        <w:t>مخصصات</w:t>
      </w:r>
      <w:r w:rsidR="002A614F" w:rsidRPr="002D299D">
        <w:rPr>
          <w:rFonts w:ascii="Arabic Typesetting" w:hAnsi="Arabic Typesetting" w:cs="Arabic Typesetting" w:hint="cs"/>
          <w:sz w:val="34"/>
          <w:szCs w:val="34"/>
          <w:rtl/>
          <w:lang w:val="fr-CH" w:bidi="ar-EG"/>
        </w:rPr>
        <w:t xml:space="preserve"> خلاف</w:t>
      </w:r>
      <w:r w:rsidR="003B2ED5">
        <w:rPr>
          <w:rFonts w:ascii="Arabic Typesetting" w:hAnsi="Arabic Typesetting" w:cs="Arabic Typesetting" w:hint="cs"/>
          <w:sz w:val="34"/>
          <w:szCs w:val="34"/>
          <w:rtl/>
          <w:lang w:val="fr-CH" w:bidi="ar-EG"/>
        </w:rPr>
        <w:t xml:space="preserve"> موارد</w:t>
      </w:r>
      <w:r w:rsidR="002A614F" w:rsidRPr="002D299D">
        <w:rPr>
          <w:rFonts w:ascii="Arabic Typesetting" w:hAnsi="Arabic Typesetting" w:cs="Arabic Typesetting" w:hint="cs"/>
          <w:sz w:val="34"/>
          <w:szCs w:val="34"/>
          <w:rtl/>
          <w:lang w:val="fr-CH" w:bidi="ar-EG"/>
        </w:rPr>
        <w:t xml:space="preserve"> الموظفين </w:t>
      </w:r>
      <w:r w:rsidRPr="002D299D">
        <w:rPr>
          <w:rFonts w:ascii="Arabic Typesetting" w:hAnsi="Arabic Typesetting" w:cs="Arabic Typesetting" w:hint="cs"/>
          <w:sz w:val="34"/>
          <w:szCs w:val="34"/>
          <w:rtl/>
          <w:lang w:val="fr-CH" w:bidi="ar-EG"/>
        </w:rPr>
        <w:t>إلى ما يلي: "1" </w:t>
      </w:r>
      <w:r w:rsidR="002A614F" w:rsidRPr="002D299D">
        <w:rPr>
          <w:rFonts w:ascii="Arabic Typesetting" w:hAnsi="Arabic Typesetting" w:cs="Arabic Typesetting" w:hint="cs"/>
          <w:sz w:val="34"/>
          <w:szCs w:val="34"/>
          <w:rtl/>
          <w:lang w:val="fr-CH" w:bidi="ar-EG"/>
        </w:rPr>
        <w:t xml:space="preserve">وتيرة تنفيذ الأنشطة التي كانت أبطأ مما كان متوقعاً وبخاصة أنشطة </w:t>
      </w:r>
      <w:r w:rsidRPr="002D299D">
        <w:rPr>
          <w:rFonts w:ascii="Arabic Typesetting" w:hAnsi="Arabic Typesetting" w:cs="Arabic Typesetting" w:hint="cs"/>
          <w:sz w:val="34"/>
          <w:szCs w:val="34"/>
          <w:rtl/>
          <w:lang w:val="fr-CH" w:bidi="ar-EG"/>
        </w:rPr>
        <w:t>النت</w:t>
      </w:r>
      <w:r w:rsidR="002C7177">
        <w:rPr>
          <w:rFonts w:ascii="Arabic Typesetting" w:hAnsi="Arabic Typesetting" w:cs="Arabic Typesetting" w:hint="cs"/>
          <w:sz w:val="34"/>
          <w:szCs w:val="34"/>
          <w:rtl/>
          <w:lang w:val="fr-CH" w:bidi="ar-EG"/>
        </w:rPr>
        <w:t>ي</w:t>
      </w:r>
      <w:r w:rsidRPr="002D299D">
        <w:rPr>
          <w:rFonts w:ascii="Arabic Typesetting" w:hAnsi="Arabic Typesetting" w:cs="Arabic Typesetting" w:hint="cs"/>
          <w:sz w:val="34"/>
          <w:szCs w:val="34"/>
          <w:rtl/>
          <w:lang w:val="fr-CH" w:bidi="ar-EG"/>
        </w:rPr>
        <w:t>جتين</w:t>
      </w:r>
      <w:r w:rsidR="002A614F" w:rsidRPr="002D299D">
        <w:rPr>
          <w:rFonts w:ascii="Arabic Typesetting" w:hAnsi="Arabic Typesetting" w:cs="Arabic Typesetting" w:hint="cs"/>
          <w:sz w:val="34"/>
          <w:szCs w:val="34"/>
          <w:rtl/>
          <w:lang w:val="fr-CH" w:bidi="ar-EG"/>
        </w:rPr>
        <w:t xml:space="preserve"> المرتقب</w:t>
      </w:r>
      <w:r w:rsidRPr="002D299D">
        <w:rPr>
          <w:rFonts w:ascii="Arabic Typesetting" w:hAnsi="Arabic Typesetting" w:cs="Arabic Typesetting" w:hint="cs"/>
          <w:sz w:val="34"/>
          <w:szCs w:val="34"/>
          <w:rtl/>
          <w:lang w:val="fr-CH" w:bidi="ar-EG"/>
        </w:rPr>
        <w:t>تين 6.3 (</w:t>
      </w:r>
      <w:r w:rsidRPr="002D299D">
        <w:rPr>
          <w:rFonts w:ascii="Arabic Typesetting" w:hAnsi="Arabic Typesetting" w:cs="Arabic Typesetting"/>
          <w:sz w:val="34"/>
          <w:szCs w:val="34"/>
          <w:rtl/>
          <w:lang w:val="fr-CH" w:bidi="ar-EG"/>
        </w:rPr>
        <w:t>قدرات معزّزة للشركات الصغيرة والمتوسطة</w:t>
      </w:r>
      <w:r w:rsidRPr="002D299D">
        <w:rPr>
          <w:rFonts w:ascii="Arabic Typesetting" w:hAnsi="Arabic Typesetting" w:cs="Arabic Typesetting" w:hint="cs"/>
          <w:sz w:val="34"/>
          <w:szCs w:val="34"/>
          <w:rtl/>
          <w:lang w:val="fr-CH" w:bidi="ar-EG"/>
        </w:rPr>
        <w:t>) و</w:t>
      </w:r>
      <w:r w:rsidR="002A614F" w:rsidRPr="002D299D">
        <w:rPr>
          <w:rFonts w:ascii="Arabic Typesetting" w:hAnsi="Arabic Typesetting" w:cs="Arabic Typesetting" w:hint="cs"/>
          <w:sz w:val="34"/>
          <w:szCs w:val="34"/>
          <w:rtl/>
          <w:lang w:val="fr-CH" w:bidi="ar-EG"/>
        </w:rPr>
        <w:t>2.4</w:t>
      </w:r>
      <w:r>
        <w:rPr>
          <w:rFonts w:ascii="Arabic Typesetting" w:hAnsi="Arabic Typesetting" w:cs="Arabic Typesetting" w:hint="eastAsia"/>
          <w:sz w:val="34"/>
          <w:szCs w:val="34"/>
          <w:rtl/>
          <w:lang w:val="fr-CH" w:bidi="ar-EG"/>
        </w:rPr>
        <w:t> </w:t>
      </w:r>
      <w:r w:rsidR="002A614F" w:rsidRPr="002D299D">
        <w:rPr>
          <w:rFonts w:ascii="Arabic Typesetting" w:hAnsi="Arabic Typesetting" w:cs="Arabic Typesetting" w:hint="cs"/>
          <w:sz w:val="34"/>
          <w:szCs w:val="34"/>
          <w:rtl/>
          <w:lang w:val="fr-CH" w:bidi="ar-EG"/>
        </w:rPr>
        <w:t>(</w:t>
      </w:r>
      <w:r w:rsidR="002A614F" w:rsidRPr="002D299D">
        <w:rPr>
          <w:rFonts w:ascii="Arabic Typesetting" w:hAnsi="Arabic Typesetting" w:cs="Arabic Typesetting"/>
          <w:sz w:val="34"/>
          <w:szCs w:val="34"/>
          <w:rtl/>
          <w:lang w:val="fr-CH" w:bidi="ar-EG"/>
        </w:rPr>
        <w:t>نفاذ محسّن إلى المعلومات المتعلقة بالملكية الفكرية واستخدامه</w:t>
      </w:r>
      <w:r>
        <w:rPr>
          <w:rFonts w:ascii="Arabic Typesetting" w:hAnsi="Arabic Typesetting" w:cs="Arabic Typesetting" w:hint="cs"/>
          <w:sz w:val="34"/>
          <w:szCs w:val="34"/>
          <w:rtl/>
          <w:lang w:val="fr-CH" w:bidi="ar-EG"/>
        </w:rPr>
        <w:t>ا)؛ "2" وإرجاء أو إلغاء بعض الأنشطة بناء على طلب المؤسسات المنظمة الشريكة أو الدول الأعضاء في إطار النتائج المرتقبة 1.3 (</w:t>
      </w:r>
      <w:r w:rsidRPr="002D299D">
        <w:rPr>
          <w:rFonts w:ascii="Arabic Typesetting" w:hAnsi="Arabic Typesetting" w:cs="Arabic Typesetting"/>
          <w:sz w:val="34"/>
          <w:szCs w:val="34"/>
          <w:rtl/>
          <w:lang w:val="fr-CH" w:bidi="ar-EG"/>
        </w:rPr>
        <w:t>استراتيجيات وخطط وطنية في مجالي الابتكار والملكية الفكرية</w:t>
      </w:r>
      <w:r>
        <w:rPr>
          <w:rFonts w:ascii="Arabic Typesetting" w:hAnsi="Arabic Typesetting" w:cs="Arabic Typesetting" w:hint="cs"/>
          <w:sz w:val="34"/>
          <w:szCs w:val="34"/>
          <w:rtl/>
          <w:lang w:val="fr-CH" w:bidi="ar-EG"/>
        </w:rPr>
        <w:t>) و6.3 (</w:t>
      </w:r>
      <w:r w:rsidRPr="002D299D">
        <w:rPr>
          <w:rFonts w:ascii="Arabic Typesetting" w:hAnsi="Arabic Typesetting" w:cs="Arabic Typesetting"/>
          <w:sz w:val="34"/>
          <w:szCs w:val="34"/>
          <w:rtl/>
          <w:lang w:val="fr-CH" w:bidi="ar-EG"/>
        </w:rPr>
        <w:t>قدرات معزّزة للشركات الصغيرة والمتوسطة</w:t>
      </w:r>
      <w:r>
        <w:rPr>
          <w:rFonts w:ascii="Arabic Typesetting" w:hAnsi="Arabic Typesetting" w:cs="Arabic Typesetting" w:hint="cs"/>
          <w:sz w:val="34"/>
          <w:szCs w:val="34"/>
          <w:rtl/>
          <w:lang w:val="fr-CH" w:bidi="ar-EG"/>
        </w:rPr>
        <w:t>) و2.4 (</w:t>
      </w:r>
      <w:r w:rsidRPr="002D299D">
        <w:rPr>
          <w:rFonts w:ascii="Arabic Typesetting" w:hAnsi="Arabic Typesetting" w:cs="Arabic Typesetting"/>
          <w:sz w:val="34"/>
          <w:szCs w:val="34"/>
          <w:rtl/>
          <w:lang w:val="fr-CH" w:bidi="ar-EG"/>
        </w:rPr>
        <w:t>نفاذ محسّن إلى المعلومات المتعلقة بالملكية الفكرية</w:t>
      </w:r>
      <w:r>
        <w:rPr>
          <w:rFonts w:ascii="Arabic Typesetting" w:hAnsi="Arabic Typesetting" w:cs="Arabic Typesetting" w:hint="cs"/>
          <w:sz w:val="34"/>
          <w:szCs w:val="34"/>
          <w:rtl/>
          <w:lang w:val="fr-CH" w:bidi="ar-EG"/>
        </w:rPr>
        <w:t> </w:t>
      </w:r>
      <w:r w:rsidRPr="002D299D">
        <w:rPr>
          <w:rFonts w:ascii="Arabic Typesetting" w:hAnsi="Arabic Typesetting" w:cs="Arabic Typesetting"/>
          <w:sz w:val="34"/>
          <w:szCs w:val="34"/>
          <w:rtl/>
          <w:lang w:val="fr-CH" w:bidi="ar-EG"/>
        </w:rPr>
        <w:t>واستخدامها</w:t>
      </w:r>
      <w:r>
        <w:rPr>
          <w:rFonts w:ascii="Arabic Typesetting" w:hAnsi="Arabic Typesetting" w:cs="Arabic Typesetting" w:hint="cs"/>
          <w:sz w:val="34"/>
          <w:szCs w:val="34"/>
          <w:rtl/>
          <w:lang w:val="fr-CH" w:bidi="ar-EG"/>
        </w:rPr>
        <w:t>).</w:t>
      </w:r>
    </w:p>
    <w:p w:rsidR="00B31868" w:rsidRDefault="00B31868" w:rsidP="00086C3F">
      <w:pPr>
        <w:pStyle w:val="Heading2AR"/>
        <w:rPr>
          <w:rtl/>
        </w:rPr>
      </w:pPr>
      <w:bookmarkStart w:id="68" w:name="_Toc450635413"/>
      <w:bookmarkStart w:id="69" w:name="_Toc455393382"/>
      <w:r w:rsidRPr="00B31868">
        <w:rPr>
          <w:rFonts w:hint="cs"/>
          <w:rtl/>
        </w:rPr>
        <w:lastRenderedPageBreak/>
        <w:t>الهدف الاستراتيجي الرابع</w:t>
      </w:r>
      <w:bookmarkEnd w:id="68"/>
      <w:bookmarkEnd w:id="69"/>
    </w:p>
    <w:p w:rsidR="00486CE1" w:rsidRDefault="00486CE1" w:rsidP="00486CE1">
      <w:pPr>
        <w:pStyle w:val="NormalParaAR"/>
        <w:jc w:val="center"/>
        <w:rPr>
          <w:b/>
          <w:bCs/>
          <w:rtl/>
          <w:lang w:val="fr-FR" w:bidi="ar-EG"/>
        </w:rPr>
      </w:pPr>
      <w:r w:rsidRPr="007153C6">
        <w:rPr>
          <w:b/>
          <w:bCs/>
          <w:rtl/>
          <w:lang w:val="fr-FR" w:bidi="ar-EG"/>
        </w:rPr>
        <w:t>تنسيق البنية التحتية العالمية للملكية الفكرية وتطويرها</w:t>
      </w:r>
    </w:p>
    <w:p w:rsidR="00486CE1" w:rsidRPr="002C1F06" w:rsidRDefault="00486CE1" w:rsidP="00486CE1">
      <w:pPr>
        <w:keepNext/>
        <w:tabs>
          <w:tab w:val="left" w:pos="1132"/>
        </w:tabs>
        <w:bidi/>
        <w:spacing w:after="240" w:line="360" w:lineRule="exact"/>
        <w:jc w:val="center"/>
        <w:rPr>
          <w:rFonts w:ascii="Arabic Typesetting" w:hAnsi="Arabic Typesetting" w:cs="Arabic Typesetting"/>
          <w:b/>
          <w:bCs/>
          <w:sz w:val="36"/>
          <w:szCs w:val="36"/>
          <w:rtl/>
        </w:rPr>
      </w:pPr>
      <w:r w:rsidRPr="002C1F06">
        <w:rPr>
          <w:rFonts w:ascii="Arabic Typesetting" w:hAnsi="Arabic Typesetting" w:cs="Arabic Typesetting" w:hint="cs"/>
          <w:b/>
          <w:bCs/>
          <w:sz w:val="36"/>
          <w:szCs w:val="36"/>
          <w:rtl/>
        </w:rPr>
        <w:t>لوحة بيانات أداء الفترة الثنائية</w:t>
      </w:r>
    </w:p>
    <w:p w:rsidR="00486CE1" w:rsidRPr="00BC57BC" w:rsidRDefault="00486CE1" w:rsidP="00486CE1">
      <w:pPr>
        <w:tabs>
          <w:tab w:val="left" w:pos="1132"/>
        </w:tabs>
        <w:bidi/>
        <w:spacing w:after="120" w:line="340" w:lineRule="exact"/>
        <w:rPr>
          <w:rFonts w:ascii="Arabic Typesetting" w:hAnsi="Arabic Typesetting" w:cs="Arabic Typesetting"/>
          <w:sz w:val="34"/>
          <w:szCs w:val="34"/>
          <w:rtl/>
          <w:lang w:bidi="ar-EG"/>
        </w:rPr>
      </w:pPr>
      <w:r w:rsidRPr="00BC57BC">
        <w:rPr>
          <w:rFonts w:ascii="Arabic Typesetting" w:hAnsi="Arabic Typesetting" w:cs="Arabic Typesetting" w:hint="cs"/>
          <w:sz w:val="34"/>
          <w:szCs w:val="34"/>
          <w:rtl/>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486CE1" w:rsidRDefault="006F53B7" w:rsidP="00486CE1">
      <w:pPr>
        <w:pStyle w:val="NormalParaAR"/>
        <w:spacing w:line="240" w:lineRule="auto"/>
        <w:jc w:val="center"/>
        <w:rPr>
          <w:noProof/>
          <w:rtl/>
        </w:rPr>
      </w:pPr>
      <w:r>
        <w:rPr>
          <w:noProof/>
        </w:rPr>
        <w:drawing>
          <wp:inline distT="0" distB="0" distL="0" distR="0" wp14:anchorId="34F12807">
            <wp:extent cx="5814552" cy="3199390"/>
            <wp:effectExtent l="0" t="0" r="0" b="127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33292" cy="3209702"/>
                    </a:xfrm>
                    <a:prstGeom prst="rect">
                      <a:avLst/>
                    </a:prstGeom>
                    <a:noFill/>
                  </pic:spPr>
                </pic:pic>
              </a:graphicData>
            </a:graphic>
          </wp:inline>
        </w:drawing>
      </w:r>
    </w:p>
    <w:tbl>
      <w:tblPr>
        <w:bidiVisual/>
        <w:tblW w:w="5000" w:type="pct"/>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3429"/>
        <w:gridCol w:w="3292"/>
        <w:gridCol w:w="1891"/>
        <w:gridCol w:w="959"/>
      </w:tblGrid>
      <w:tr w:rsidR="00486CE1" w:rsidRPr="00FE3908" w:rsidTr="00486CE1">
        <w:trPr>
          <w:cantSplit/>
          <w:tblHeader/>
        </w:trPr>
        <w:tc>
          <w:tcPr>
            <w:tcW w:w="1791" w:type="pct"/>
            <w:tcBorders>
              <w:top w:val="single" w:sz="4" w:space="0" w:color="auto"/>
              <w:bottom w:val="single" w:sz="4" w:space="0" w:color="auto"/>
            </w:tcBorders>
            <w:shd w:val="clear" w:color="auto" w:fill="C6D9F1" w:themeFill="text2" w:themeFillTint="33"/>
            <w:vAlign w:val="center"/>
          </w:tcPr>
          <w:p w:rsidR="00486CE1" w:rsidRPr="00FE3908" w:rsidRDefault="00486CE1"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النتائج المرتقبة</w:t>
            </w:r>
          </w:p>
        </w:tc>
        <w:tc>
          <w:tcPr>
            <w:tcW w:w="1720" w:type="pct"/>
            <w:tcBorders>
              <w:top w:val="single" w:sz="4" w:space="0" w:color="auto"/>
              <w:bottom w:val="single" w:sz="4" w:space="0" w:color="auto"/>
            </w:tcBorders>
            <w:shd w:val="clear" w:color="auto" w:fill="C6D9F1" w:themeFill="text2" w:themeFillTint="33"/>
            <w:vAlign w:val="center"/>
          </w:tcPr>
          <w:p w:rsidR="00486CE1" w:rsidRPr="00FE3908" w:rsidRDefault="00486CE1"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988" w:type="pct"/>
            <w:tcBorders>
              <w:top w:val="single" w:sz="4" w:space="0" w:color="auto"/>
              <w:bottom w:val="single" w:sz="4" w:space="0" w:color="auto"/>
            </w:tcBorders>
            <w:shd w:val="clear" w:color="auto" w:fill="C6D9F1" w:themeFill="text2" w:themeFillTint="33"/>
            <w:vAlign w:val="center"/>
          </w:tcPr>
          <w:p w:rsidR="00486CE1" w:rsidRPr="00FE3908" w:rsidRDefault="00486CE1" w:rsidP="00486CE1">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501" w:type="pct"/>
            <w:tcBorders>
              <w:top w:val="single" w:sz="4" w:space="0" w:color="auto"/>
              <w:bottom w:val="single" w:sz="4" w:space="0" w:color="auto"/>
            </w:tcBorders>
            <w:shd w:val="clear" w:color="auto" w:fill="C6D9F1" w:themeFill="text2" w:themeFillTint="33"/>
            <w:vAlign w:val="center"/>
          </w:tcPr>
          <w:p w:rsidR="00486CE1" w:rsidRPr="00FE3908" w:rsidRDefault="00486CE1" w:rsidP="00486CE1">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486CE1" w:rsidRPr="00FE3908" w:rsidTr="00486CE1">
        <w:trPr>
          <w:cantSplit/>
        </w:trPr>
        <w:tc>
          <w:tcPr>
            <w:tcW w:w="1791" w:type="pct"/>
            <w:vMerge w:val="restart"/>
            <w:tcBorders>
              <w:top w:val="single" w:sz="4" w:space="0" w:color="auto"/>
            </w:tcBorders>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CD3A4A">
              <w:rPr>
                <w:rFonts w:ascii="Arabic Typesetting" w:hAnsi="Arabic Typesetting" w:cs="Arabic Typesetting"/>
                <w:color w:val="000000"/>
                <w:sz w:val="30"/>
                <w:szCs w:val="30"/>
                <w:rtl/>
                <w:lang w:bidi="ar-EG"/>
              </w:rPr>
              <w:t xml:space="preserve">ه1.4 </w:t>
            </w:r>
            <w:r w:rsidRPr="00D619C5">
              <w:rPr>
                <w:rFonts w:ascii="Arabic Typesetting" w:hAnsi="Arabic Typesetting" w:cs="Arabic Typesetting"/>
                <w:color w:val="000000"/>
                <w:sz w:val="30"/>
                <w:szCs w:val="30"/>
                <w:rtl/>
                <w:lang w:bidi="ar-EG"/>
              </w:rPr>
              <w:t>نظام مستحدث ومقبول عالميا للتصنيفات الدولية ومعايير الويبو بهدف تيسير النفاذ إلى معلومات الملكية الفكرية والانتفاع بها ونشرها في صفوف أصحاب المصلحة في أنحاء العالم</w:t>
            </w:r>
          </w:p>
        </w:tc>
        <w:tc>
          <w:tcPr>
            <w:tcW w:w="1720" w:type="pct"/>
            <w:tcBorders>
              <w:top w:val="single" w:sz="4" w:space="0" w:color="auto"/>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rtl/>
                <w:lang w:bidi="ar-EG"/>
              </w:rPr>
            </w:pPr>
            <w:r w:rsidRPr="00CD3A4A">
              <w:rPr>
                <w:rFonts w:ascii="Arabic Typesetting" w:hAnsi="Arabic Typesetting" w:cs="Arabic Typesetting"/>
                <w:color w:val="000000"/>
                <w:sz w:val="30"/>
                <w:szCs w:val="30"/>
                <w:rtl/>
                <w:lang w:bidi="ar-EG"/>
              </w:rPr>
              <w:t>عدد التعديلات وملفات المعلومات التي تم إدراجها في تصنيف نيس</w:t>
            </w:r>
          </w:p>
        </w:tc>
        <w:tc>
          <w:tcPr>
            <w:tcW w:w="988" w:type="pct"/>
            <w:tcBorders>
              <w:top w:val="single" w:sz="4" w:space="0" w:color="auto"/>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12</w:t>
            </w:r>
          </w:p>
        </w:tc>
        <w:tc>
          <w:tcPr>
            <w:tcW w:w="501" w:type="pct"/>
            <w:tcBorders>
              <w:top w:val="single" w:sz="4" w:space="0" w:color="auto"/>
            </w:tcBorders>
            <w:shd w:val="clear" w:color="auto" w:fill="auto"/>
            <w:vAlign w:val="center"/>
          </w:tcPr>
          <w:p w:rsidR="00486CE1" w:rsidRPr="008A6954" w:rsidRDefault="00486CE1" w:rsidP="00486CE1">
            <w:pPr>
              <w:bidi/>
              <w:jc w:val="center"/>
              <w:rPr>
                <w:rFonts w:ascii="Wingdings" w:hAnsi="Wingdings" w:cs="Calibri"/>
                <w:color w:val="008000"/>
                <w:szCs w:val="22"/>
                <w:lang w:bidi="ar-EG"/>
              </w:rPr>
            </w:pPr>
            <w:r w:rsidRPr="008A6954">
              <w:rPr>
                <w:rFonts w:ascii="Wingdings" w:hAnsi="Wingdings" w:cs="Calibri"/>
                <w:color w:val="008000"/>
                <w:szCs w:val="22"/>
                <w:lang w:bidi="ar-EG"/>
              </w:rPr>
              <w:t></w:t>
            </w:r>
            <w:r w:rsidRPr="004B0BC7">
              <w:rPr>
                <w:rFonts w:ascii="Wingdings" w:hAnsi="Wingdings" w:cs="Calibri"/>
                <w:color w:val="10862C"/>
                <w:szCs w:val="22"/>
                <w:lang w:bidi="ar-EG"/>
              </w:rPr>
              <w:t></w:t>
            </w:r>
            <w:r w:rsidRPr="004B0BC7">
              <w:rPr>
                <w:rFonts w:ascii="Wingdings" w:hAnsi="Wingdings" w:cs="Calibri"/>
                <w:color w:val="10862C"/>
                <w:szCs w:val="22"/>
                <w:lang w:bidi="ar-EG"/>
              </w:rPr>
              <w:t></w:t>
            </w:r>
          </w:p>
        </w:tc>
      </w:tr>
      <w:tr w:rsidR="00486CE1" w:rsidRPr="00FE3908" w:rsidTr="00486CE1">
        <w:trPr>
          <w:cantSplit/>
        </w:trPr>
        <w:tc>
          <w:tcPr>
            <w:tcW w:w="1791" w:type="pct"/>
            <w:vMerge/>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CD3A4A">
              <w:rPr>
                <w:rFonts w:ascii="Arabic Typesetting" w:hAnsi="Arabic Typesetting" w:cs="Arabic Typesetting"/>
                <w:color w:val="000000"/>
                <w:sz w:val="30"/>
                <w:szCs w:val="30"/>
                <w:rtl/>
                <w:lang w:bidi="ar-EG"/>
              </w:rPr>
              <w:t>عدد التقسيمات الفرعية الجديدة التي أُدخلت في التصنيف الدولي للبراءات سنويا</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12</w:t>
            </w:r>
          </w:p>
        </w:tc>
        <w:tc>
          <w:tcPr>
            <w:tcW w:w="501" w:type="pct"/>
            <w:shd w:val="clear" w:color="auto" w:fill="auto"/>
            <w:vAlign w:val="center"/>
          </w:tcPr>
          <w:p w:rsidR="00486CE1" w:rsidRPr="008A6954" w:rsidRDefault="00486CE1" w:rsidP="00486CE1">
            <w:pPr>
              <w:bidi/>
              <w:jc w:val="center"/>
              <w:rPr>
                <w:rFonts w:ascii="Wingdings" w:hAnsi="Wingdings" w:cs="Calibri"/>
                <w:color w:val="FF0000"/>
                <w:szCs w:val="22"/>
                <w:lang w:bidi="ar-EG"/>
              </w:rPr>
            </w:pPr>
            <w:r w:rsidRPr="004B0BC7">
              <w:rPr>
                <w:rFonts w:ascii="Wingdings" w:hAnsi="Wingdings" w:cs="Calibri"/>
                <w:color w:val="10862C"/>
                <w:szCs w:val="22"/>
                <w:lang w:bidi="ar-EG"/>
              </w:rPr>
              <w:t></w:t>
            </w:r>
            <w:r w:rsidRPr="008F1638">
              <w:rPr>
                <w:rFonts w:ascii="Wingdings" w:hAnsi="Wingdings" w:cs="Calibri"/>
                <w:color w:val="E36C0A" w:themeColor="accent6" w:themeShade="BF"/>
                <w:szCs w:val="22"/>
                <w:lang w:bidi="ar-EG"/>
              </w:rPr>
              <w:t></w:t>
            </w:r>
          </w:p>
        </w:tc>
      </w:tr>
      <w:tr w:rsidR="00486CE1" w:rsidRPr="00FE3908" w:rsidTr="00486CE1">
        <w:trPr>
          <w:cantSplit/>
        </w:trPr>
        <w:tc>
          <w:tcPr>
            <w:tcW w:w="1791" w:type="pct"/>
            <w:vMerge/>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9817A6" w:rsidRDefault="00486CE1" w:rsidP="00486CE1">
            <w:pPr>
              <w:bidi/>
              <w:spacing w:before="60" w:after="60" w:line="280" w:lineRule="exact"/>
              <w:rPr>
                <w:rFonts w:ascii="Arabic Typesetting" w:hAnsi="Arabic Typesetting" w:cs="Arabic Typesetting"/>
                <w:sz w:val="30"/>
                <w:szCs w:val="30"/>
                <w:lang w:bidi="ar-EG"/>
              </w:rPr>
            </w:pPr>
            <w:r w:rsidRPr="00CD3A4A">
              <w:rPr>
                <w:rFonts w:ascii="Arabic Typesetting" w:hAnsi="Arabic Typesetting" w:cs="Arabic Typesetting"/>
                <w:sz w:val="30"/>
                <w:szCs w:val="30"/>
                <w:rtl/>
                <w:lang w:bidi="ar-EG"/>
              </w:rPr>
              <w:t>عدد المعايير التي تم تعديلها وعدد المعايير الجديدة التي تم اعتمادها</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12</w:t>
            </w:r>
          </w:p>
        </w:tc>
        <w:tc>
          <w:tcPr>
            <w:tcW w:w="501" w:type="pct"/>
            <w:shd w:val="clear" w:color="auto" w:fill="auto"/>
            <w:vAlign w:val="center"/>
          </w:tcPr>
          <w:p w:rsidR="00486CE1" w:rsidRPr="008A6954" w:rsidRDefault="00486CE1" w:rsidP="00486CE1">
            <w:pPr>
              <w:bidi/>
              <w:jc w:val="center"/>
              <w:rPr>
                <w:rFonts w:ascii="Wingdings" w:hAnsi="Wingdings" w:cs="Calibri"/>
                <w:color w:val="FF0000"/>
                <w:szCs w:val="22"/>
                <w:lang w:bidi="ar-EG"/>
              </w:rPr>
            </w:pPr>
            <w:r w:rsidRPr="008F1638">
              <w:rPr>
                <w:rFonts w:ascii="Wingdings" w:hAnsi="Wingdings" w:cs="Calibri"/>
                <w:color w:val="E36C0A" w:themeColor="accent6" w:themeShade="BF"/>
                <w:szCs w:val="22"/>
                <w:lang w:bidi="ar-EG"/>
              </w:rPr>
              <w:t></w:t>
            </w:r>
          </w:p>
        </w:tc>
      </w:tr>
      <w:tr w:rsidR="00486CE1" w:rsidRPr="00FE3908" w:rsidTr="00486CE1">
        <w:trPr>
          <w:cantSplit/>
          <w:trHeight w:val="1036"/>
        </w:trPr>
        <w:tc>
          <w:tcPr>
            <w:tcW w:w="1791" w:type="pct"/>
            <w:vMerge/>
            <w:tcBorders>
              <w:bottom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bottom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CD3A4A">
              <w:rPr>
                <w:rFonts w:ascii="Arabic Typesetting" w:hAnsi="Arabic Typesetting" w:cs="Arabic Typesetting"/>
                <w:color w:val="000000"/>
                <w:sz w:val="30"/>
                <w:szCs w:val="30"/>
                <w:rtl/>
                <w:lang w:bidi="ar-EG"/>
              </w:rPr>
              <w:t>عدد المستخدمين القادرين على النفاذ إلى منشورات الإنترنت للتصنيفات والمعايير الدولية، ولا سيما من البلدان النامية</w:t>
            </w:r>
          </w:p>
        </w:tc>
        <w:tc>
          <w:tcPr>
            <w:tcW w:w="988" w:type="pct"/>
            <w:tcBorders>
              <w:bottom w:val="nil"/>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12</w:t>
            </w:r>
          </w:p>
        </w:tc>
        <w:tc>
          <w:tcPr>
            <w:tcW w:w="501" w:type="pct"/>
            <w:tcBorders>
              <w:bottom w:val="nil"/>
            </w:tcBorders>
            <w:shd w:val="clear" w:color="auto" w:fill="auto"/>
            <w:vAlign w:val="center"/>
          </w:tcPr>
          <w:p w:rsidR="00486CE1" w:rsidRPr="008A6954" w:rsidRDefault="00486CE1" w:rsidP="00486CE1">
            <w:pPr>
              <w:bidi/>
              <w:jc w:val="center"/>
              <w:rPr>
                <w:rFonts w:ascii="Wingdings" w:hAnsi="Wingdings" w:cs="Calibri"/>
                <w:color w:val="008000"/>
                <w:szCs w:val="22"/>
                <w:lang w:bidi="ar-EG"/>
              </w:rPr>
            </w:pPr>
            <w:r w:rsidRPr="004B0BC7">
              <w:rPr>
                <w:rFonts w:ascii="Wingdings" w:hAnsi="Wingdings" w:cs="Calibri"/>
                <w:color w:val="10862C"/>
                <w:szCs w:val="22"/>
                <w:lang w:bidi="ar-EG"/>
              </w:rPr>
              <w:t></w:t>
            </w:r>
            <w:r w:rsidRPr="008F1638">
              <w:rPr>
                <w:rFonts w:ascii="Wingdings" w:hAnsi="Wingdings" w:cs="Calibri"/>
                <w:color w:val="E36C0A" w:themeColor="accent6" w:themeShade="BF"/>
                <w:szCs w:val="22"/>
                <w:lang w:bidi="ar-EG"/>
              </w:rPr>
              <w:t></w:t>
            </w:r>
            <w:r w:rsidRPr="004B0BC7">
              <w:rPr>
                <w:rFonts w:ascii="Wingdings" w:hAnsi="Wingdings" w:cs="Calibri"/>
                <w:color w:val="10862C"/>
                <w:szCs w:val="22"/>
                <w:lang w:bidi="ar-EG"/>
              </w:rPr>
              <w:t></w:t>
            </w:r>
            <w:r w:rsidRPr="008A6954">
              <w:rPr>
                <w:rFonts w:ascii="Wingdings" w:hAnsi="Wingdings" w:cs="Calibri"/>
                <w:color w:val="FF0000"/>
                <w:szCs w:val="22"/>
                <w:lang w:bidi="ar-EG"/>
              </w:rPr>
              <w:t></w:t>
            </w:r>
            <w:r w:rsidRPr="008F1638">
              <w:rPr>
                <w:rFonts w:ascii="Wingdings" w:hAnsi="Wingdings" w:cs="Calibri"/>
                <w:color w:val="FF0000"/>
                <w:szCs w:val="22"/>
                <w:lang w:bidi="ar-EG"/>
              </w:rPr>
              <w:t></w:t>
            </w:r>
            <w:r w:rsidRPr="004B0BC7">
              <w:rPr>
                <w:rFonts w:ascii="Wingdings" w:hAnsi="Wingdings" w:cs="Calibri"/>
                <w:color w:val="10862C"/>
                <w:szCs w:val="22"/>
                <w:lang w:bidi="ar-EG"/>
              </w:rPr>
              <w:t></w:t>
            </w:r>
            <w:r w:rsidRPr="004B0BC7">
              <w:rPr>
                <w:rFonts w:ascii="Wingdings" w:hAnsi="Wingdings" w:cs="Calibri"/>
                <w:color w:val="10862C"/>
                <w:szCs w:val="22"/>
                <w:lang w:bidi="ar-EG"/>
              </w:rPr>
              <w:t></w:t>
            </w:r>
          </w:p>
        </w:tc>
      </w:tr>
      <w:tr w:rsidR="00486CE1" w:rsidRPr="00FE3908" w:rsidTr="00486CE1">
        <w:trPr>
          <w:cantSplit/>
        </w:trPr>
        <w:tc>
          <w:tcPr>
            <w:tcW w:w="1791" w:type="pct"/>
            <w:tcBorders>
              <w:top w:val="nil"/>
              <w:bottom w:val="single" w:sz="4" w:space="0" w:color="auto"/>
            </w:tcBorders>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CD3A4A">
              <w:rPr>
                <w:rFonts w:ascii="Arabic Typesetting" w:hAnsi="Arabic Typesetting" w:cs="Arabic Typesetting" w:hint="cs"/>
                <w:b/>
                <w:color w:val="000000"/>
                <w:sz w:val="30"/>
                <w:szCs w:val="30"/>
                <w:rtl/>
                <w:lang w:bidi="ar-EG"/>
              </w:rPr>
              <w:t xml:space="preserve">ه2.4 </w:t>
            </w:r>
            <w:r w:rsidRPr="00D619C5">
              <w:rPr>
                <w:rFonts w:ascii="Arabic Typesetting" w:hAnsi="Arabic Typesetting" w:cs="Arabic Typesetting"/>
                <w:b/>
                <w:color w:val="000000"/>
                <w:sz w:val="30"/>
                <w:szCs w:val="30"/>
                <w:rtl/>
                <w:lang w:bidi="ar-EG"/>
              </w:rPr>
              <w:t>تحسين النفاذ إلى المعلومات المتعلقة بالملكية الفكرية واستخدامها من قبل مؤسسات الملكية الفكرية والجمهور لتشجيع الابتكار والإبداع</w:t>
            </w:r>
          </w:p>
        </w:tc>
        <w:tc>
          <w:tcPr>
            <w:tcW w:w="1720" w:type="pct"/>
            <w:tcBorders>
              <w:top w:val="nil"/>
              <w:bottom w:val="single" w:sz="4" w:space="0" w:color="auto"/>
            </w:tcBorders>
            <w:shd w:val="clear" w:color="auto" w:fill="auto"/>
          </w:tcPr>
          <w:p w:rsidR="00486CE1" w:rsidRPr="009817A6" w:rsidRDefault="00486CE1" w:rsidP="00486CE1">
            <w:pPr>
              <w:bidi/>
              <w:spacing w:before="60" w:after="60" w:line="280" w:lineRule="exact"/>
              <w:rPr>
                <w:rFonts w:ascii="Arabic Typesetting" w:hAnsi="Arabic Typesetting" w:cs="Arabic Typesetting"/>
                <w:sz w:val="30"/>
                <w:szCs w:val="30"/>
                <w:lang w:bidi="ar-EG"/>
              </w:rPr>
            </w:pPr>
            <w:r w:rsidRPr="00CD3A4A">
              <w:rPr>
                <w:rFonts w:ascii="Arabic Typesetting" w:hAnsi="Arabic Typesetting" w:cs="Arabic Typesetting" w:hint="cs"/>
                <w:b/>
                <w:sz w:val="30"/>
                <w:szCs w:val="30"/>
                <w:rtl/>
                <w:lang w:bidi="ar-EG"/>
              </w:rPr>
              <w:t xml:space="preserve">عدد الوسطاء الموثوقين وأصحاب الحقوق الذين انضموا إلى شبكة نظام </w:t>
            </w:r>
            <w:r w:rsidRPr="00CD3A4A">
              <w:rPr>
                <w:rFonts w:ascii="Arabic Typesetting" w:hAnsi="Arabic Typesetting" w:cs="Arabic Typesetting"/>
                <w:b/>
                <w:sz w:val="30"/>
                <w:szCs w:val="30"/>
                <w:rtl/>
                <w:lang w:bidi="ar-EG"/>
              </w:rPr>
              <w:t>الوسطاء الموثوقين للموارد المتاحة عالمي</w:t>
            </w:r>
            <w:r w:rsidRPr="00CD3A4A">
              <w:rPr>
                <w:rFonts w:ascii="Arabic Typesetting" w:hAnsi="Arabic Typesetting" w:cs="Arabic Typesetting" w:hint="cs"/>
                <w:b/>
                <w:sz w:val="30"/>
                <w:szCs w:val="30"/>
                <w:rtl/>
                <w:lang w:bidi="ar-EG"/>
              </w:rPr>
              <w:t>ا، بما في ذلك البلدان النامية والبلدان الأقل نموا</w:t>
            </w:r>
          </w:p>
        </w:tc>
        <w:tc>
          <w:tcPr>
            <w:tcW w:w="988" w:type="pct"/>
            <w:tcBorders>
              <w:top w:val="nil"/>
              <w:bottom w:val="single" w:sz="4" w:space="0" w:color="auto"/>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501" w:type="pct"/>
            <w:tcBorders>
              <w:top w:val="nil"/>
              <w:bottom w:val="single" w:sz="4" w:space="0" w:color="auto"/>
            </w:tcBorders>
            <w:shd w:val="clear" w:color="auto" w:fill="auto"/>
            <w:vAlign w:val="center"/>
          </w:tcPr>
          <w:p w:rsidR="00486CE1" w:rsidRPr="008A6954" w:rsidRDefault="00486CE1" w:rsidP="00486CE1">
            <w:pPr>
              <w:bidi/>
              <w:jc w:val="center"/>
              <w:rPr>
                <w:rFonts w:ascii="Wingdings" w:hAnsi="Wingdings" w:cs="Calibri"/>
                <w:szCs w:val="22"/>
                <w:rtl/>
                <w:lang w:bidi="ar-EG"/>
              </w:rPr>
            </w:pPr>
            <w:r w:rsidRPr="008A6954">
              <w:rPr>
                <w:rFonts w:ascii="Wingdings" w:hAnsi="Wingdings" w:cs="Calibri"/>
                <w:szCs w:val="22"/>
                <w:lang w:bidi="ar-EG"/>
              </w:rPr>
              <w:t></w:t>
            </w:r>
          </w:p>
        </w:tc>
      </w:tr>
      <w:tr w:rsidR="00486CE1" w:rsidRPr="00FE3908" w:rsidTr="00486CE1">
        <w:trPr>
          <w:cantSplit/>
        </w:trPr>
        <w:tc>
          <w:tcPr>
            <w:tcW w:w="1791" w:type="pct"/>
            <w:tcBorders>
              <w:top w:val="single" w:sz="4" w:space="0" w:color="auto"/>
              <w:bottom w:val="nil"/>
            </w:tcBorders>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single" w:sz="4" w:space="0" w:color="auto"/>
              <w:bottom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CD3A4A">
              <w:rPr>
                <w:rFonts w:ascii="Arabic Typesetting" w:hAnsi="Arabic Typesetting" w:cs="Arabic Typesetting"/>
                <w:b/>
                <w:color w:val="000000"/>
                <w:sz w:val="30"/>
                <w:szCs w:val="30"/>
                <w:rtl/>
                <w:lang w:bidi="ar-EG"/>
              </w:rPr>
              <w:t>عدد المصنفات المحمية بحق المؤلف التي وزعت على الوسطاء الموثوقين وأتيح النفاذ إليها للأشخاص معاقي البصر عبر الحدود من خلال شبكة نظام الوسطاء الموثوقين للموارد المتاحة عالميا</w:t>
            </w:r>
          </w:p>
        </w:tc>
        <w:tc>
          <w:tcPr>
            <w:tcW w:w="988" w:type="pct"/>
            <w:tcBorders>
              <w:top w:val="single" w:sz="4" w:space="0" w:color="auto"/>
              <w:bottom w:val="nil"/>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501" w:type="pct"/>
            <w:tcBorders>
              <w:top w:val="single" w:sz="4" w:space="0" w:color="auto"/>
              <w:bottom w:val="nil"/>
            </w:tcBorders>
            <w:shd w:val="clear" w:color="auto" w:fill="auto"/>
            <w:vAlign w:val="center"/>
          </w:tcPr>
          <w:p w:rsidR="00486CE1" w:rsidRPr="008A6954" w:rsidRDefault="00486CE1" w:rsidP="00486CE1">
            <w:pPr>
              <w:bidi/>
              <w:jc w:val="center"/>
              <w:rPr>
                <w:rFonts w:ascii="Wingdings" w:hAnsi="Wingdings" w:cs="Calibri"/>
                <w:color w:val="008000"/>
                <w:szCs w:val="22"/>
                <w:lang w:bidi="ar-EG"/>
              </w:rPr>
            </w:pPr>
            <w:r w:rsidRPr="008A6954">
              <w:rPr>
                <w:rFonts w:ascii="Wingdings" w:hAnsi="Wingdings" w:cs="Calibri"/>
                <w:color w:val="008000"/>
                <w:szCs w:val="22"/>
                <w:lang w:bidi="ar-EG"/>
              </w:rPr>
              <w:t></w:t>
            </w:r>
          </w:p>
        </w:tc>
      </w:tr>
      <w:tr w:rsidR="00486CE1" w:rsidRPr="00FE3908" w:rsidTr="00486CE1">
        <w:trPr>
          <w:cantSplit/>
        </w:trPr>
        <w:tc>
          <w:tcPr>
            <w:tcW w:w="1791" w:type="pct"/>
            <w:vMerge w:val="restart"/>
            <w:tcBorders>
              <w:top w:val="nil"/>
              <w:bottom w:val="nil"/>
            </w:tcBorders>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bottom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691309">
              <w:rPr>
                <w:rFonts w:ascii="Arabic Typesetting" w:hAnsi="Arabic Typesetting" w:cs="Arabic Typesetting" w:hint="cs"/>
                <w:b/>
                <w:color w:val="000000"/>
                <w:sz w:val="30"/>
                <w:szCs w:val="30"/>
                <w:rtl/>
              </w:rPr>
              <w:t>النسبة المئوية للأفراد الراضين عن دعم بناء القدرات في مجال البنية التحتية لحق المؤلف</w:t>
            </w:r>
          </w:p>
        </w:tc>
        <w:tc>
          <w:tcPr>
            <w:tcW w:w="988" w:type="pct"/>
            <w:tcBorders>
              <w:top w:val="nil"/>
              <w:bottom w:val="nil"/>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501" w:type="pct"/>
            <w:tcBorders>
              <w:top w:val="nil"/>
              <w:bottom w:val="nil"/>
            </w:tcBorders>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vMerge/>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691309">
              <w:rPr>
                <w:rFonts w:ascii="Arabic Typesetting" w:hAnsi="Arabic Typesetting" w:cs="Arabic Typesetting" w:hint="cs"/>
                <w:b/>
                <w:color w:val="000000"/>
                <w:sz w:val="30"/>
                <w:szCs w:val="30"/>
                <w:rtl/>
                <w:lang w:bidi="ar-EG"/>
              </w:rPr>
              <w:t xml:space="preserve">عدد المؤسسات التي تستخدم البرنامج الحاسوبي </w:t>
            </w:r>
            <w:r w:rsidRPr="00691309">
              <w:rPr>
                <w:rFonts w:ascii="Arabic Typesetting" w:hAnsi="Arabic Typesetting" w:cs="Arabic Typesetting"/>
                <w:color w:val="000000"/>
                <w:sz w:val="30"/>
                <w:szCs w:val="30"/>
                <w:lang w:bidi="ar-EG"/>
              </w:rPr>
              <w:t>GDA</w:t>
            </w:r>
          </w:p>
        </w:tc>
        <w:tc>
          <w:tcPr>
            <w:tcW w:w="988" w:type="pct"/>
            <w:tcBorders>
              <w:top w:val="nil"/>
            </w:tcBorders>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501" w:type="pct"/>
            <w:tcBorders>
              <w:top w:val="nil"/>
            </w:tcBorders>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F1638">
              <w:rPr>
                <w:rFonts w:ascii="Wingdings" w:hAnsi="Wingdings" w:cs="Calibri"/>
                <w:szCs w:val="22"/>
                <w:lang w:bidi="ar-EG"/>
              </w:rPr>
              <w:t></w:t>
            </w:r>
          </w:p>
        </w:tc>
      </w:tr>
      <w:tr w:rsidR="00486CE1" w:rsidRPr="00FE3908" w:rsidTr="00486CE1">
        <w:trPr>
          <w:cantSplit/>
        </w:trPr>
        <w:tc>
          <w:tcPr>
            <w:tcW w:w="1791"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012439" w:rsidRDefault="00486CE1" w:rsidP="00486CE1">
            <w:pPr>
              <w:bidi/>
              <w:spacing w:before="60" w:after="60" w:line="280" w:lineRule="exact"/>
              <w:rPr>
                <w:rFonts w:ascii="Arabic Typesetting" w:hAnsi="Arabic Typesetting" w:cs="Arabic Typesetting"/>
                <w:b/>
                <w:color w:val="000000"/>
                <w:sz w:val="30"/>
                <w:szCs w:val="30"/>
                <w:rtl/>
                <w:lang w:bidi="ar-EG"/>
              </w:rPr>
            </w:pPr>
            <w:r w:rsidRPr="00691309">
              <w:rPr>
                <w:rFonts w:ascii="Arabic Typesetting" w:hAnsi="Arabic Typesetting" w:cs="Arabic Typesetting" w:hint="cs"/>
                <w:b/>
                <w:color w:val="000000"/>
                <w:sz w:val="30"/>
                <w:szCs w:val="30"/>
                <w:rtl/>
                <w:lang w:bidi="ar-EG"/>
              </w:rPr>
              <w:t>استخدام قاعدة بيانات مراجع إدارة الويبو الجماعية</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FD3497" w:rsidRDefault="00486CE1" w:rsidP="00486CE1">
            <w:pPr>
              <w:bidi/>
              <w:spacing w:before="60" w:after="60" w:line="280" w:lineRule="exact"/>
              <w:rPr>
                <w:rFonts w:ascii="Arabic Typesetting" w:hAnsi="Arabic Typesetting" w:cs="Arabic Typesetting"/>
                <w:b/>
                <w:color w:val="000000"/>
                <w:sz w:val="30"/>
                <w:szCs w:val="30"/>
                <w:rtl/>
              </w:rPr>
            </w:pPr>
            <w:r w:rsidRPr="00691309">
              <w:rPr>
                <w:rFonts w:ascii="Arabic Typesetting" w:hAnsi="Arabic Typesetting" w:cs="Arabic Typesetting" w:hint="cs"/>
                <w:b/>
                <w:color w:val="000000"/>
                <w:sz w:val="30"/>
                <w:szCs w:val="30"/>
                <w:rtl/>
                <w:lang w:bidi="ar-EG"/>
              </w:rPr>
              <w:t>عدد الصكوك القانونية والمبادئ التوجيهية والإعلانات عن مبادئ بخلاف المعاهدات التي وافق عليها، أو صدق عليها، أصحاب المصالح المعنيين في مجالات كالملكية الفكرية والرياضة وحق المؤلف في البيئة الرقمية</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FD3497" w:rsidRDefault="00486CE1" w:rsidP="00486CE1">
            <w:pPr>
              <w:bidi/>
              <w:spacing w:before="60" w:after="60" w:line="280" w:lineRule="exact"/>
              <w:rPr>
                <w:rFonts w:ascii="Arabic Typesetting" w:hAnsi="Arabic Typesetting" w:cs="Arabic Typesetting"/>
                <w:b/>
                <w:color w:val="000000"/>
                <w:sz w:val="30"/>
                <w:szCs w:val="30"/>
                <w:rtl/>
              </w:rPr>
            </w:pPr>
            <w:r w:rsidRPr="00B344D6">
              <w:rPr>
                <w:rFonts w:ascii="Arabic Typesetting" w:hAnsi="Arabic Typesetting" w:cs="Arabic Typesetting"/>
                <w:b/>
                <w:color w:val="000000"/>
                <w:sz w:val="30"/>
                <w:szCs w:val="30"/>
                <w:rtl/>
                <w:lang w:bidi="ar-EG"/>
              </w:rPr>
              <w:t>متوسط عدد المستخدمين المستفيدين من مراكز دعم التكنولوجيا والابتكار لكل ربع سنة وبحسب الدولة</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B344D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B344D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14</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FD3497" w:rsidRDefault="00486CE1" w:rsidP="00486CE1">
            <w:pPr>
              <w:bidi/>
              <w:spacing w:before="60" w:after="60" w:line="280" w:lineRule="exact"/>
              <w:rPr>
                <w:rFonts w:ascii="Arabic Typesetting" w:hAnsi="Arabic Typesetting" w:cs="Arabic Typesetting"/>
                <w:b/>
                <w:color w:val="000000"/>
                <w:sz w:val="30"/>
                <w:szCs w:val="30"/>
                <w:rtl/>
              </w:rPr>
            </w:pPr>
            <w:r w:rsidRPr="00B344D6">
              <w:rPr>
                <w:rFonts w:ascii="Arabic Typesetting" w:hAnsi="Arabic Typesetting" w:cs="Arabic Typesetting"/>
                <w:b/>
                <w:color w:val="000000"/>
                <w:sz w:val="30"/>
                <w:szCs w:val="30"/>
                <w:rtl/>
                <w:lang w:bidi="ar-EG"/>
              </w:rPr>
              <w:t>عدد شبكات مراكز دعم التكنولوجيا والابتكار الوطنية المستدامة</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r w:rsidRPr="008A6954">
              <w:rPr>
                <w:rFonts w:ascii="Wingdings" w:hAnsi="Wingdings" w:cs="Calibri"/>
                <w:color w:val="008000"/>
                <w:szCs w:val="22"/>
                <w:lang w:bidi="ar-EG"/>
              </w:rPr>
              <w:t></w:t>
            </w:r>
          </w:p>
        </w:tc>
      </w:tr>
      <w:tr w:rsidR="00486CE1" w:rsidRPr="00FE3908" w:rsidTr="00486CE1">
        <w:trPr>
          <w:cantSplit/>
        </w:trPr>
        <w:tc>
          <w:tcPr>
            <w:tcW w:w="1791"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B344D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01" w:type="pct"/>
            <w:shd w:val="clear" w:color="auto" w:fill="auto"/>
            <w:vAlign w:val="center"/>
          </w:tcPr>
          <w:p w:rsidR="00486CE1" w:rsidRPr="008A6954" w:rsidRDefault="00486CE1" w:rsidP="00486CE1">
            <w:pPr>
              <w:bidi/>
              <w:jc w:val="center"/>
              <w:rPr>
                <w:rFonts w:ascii="Wingdings" w:hAnsi="Wingdings" w:cs="Calibri"/>
                <w:color w:val="008000"/>
                <w:szCs w:val="22"/>
                <w:lang w:bidi="ar-EG"/>
              </w:rPr>
            </w:pPr>
            <w:r w:rsidRPr="008F1638">
              <w:rPr>
                <w:rFonts w:ascii="Wingdings" w:hAnsi="Wingdings" w:cs="Calibri"/>
                <w:color w:val="E36C0A" w:themeColor="accent6" w:themeShade="BF"/>
                <w:szCs w:val="22"/>
                <w:lang w:bidi="ar-EG"/>
              </w:rPr>
              <w:t></w:t>
            </w:r>
          </w:p>
        </w:tc>
      </w:tr>
      <w:tr w:rsidR="00486CE1" w:rsidRPr="00FE3908" w:rsidTr="00486CE1">
        <w:trPr>
          <w:cantSplit/>
        </w:trPr>
        <w:tc>
          <w:tcPr>
            <w:tcW w:w="1791" w:type="pct"/>
            <w:tcBorders>
              <w:top w:val="nil"/>
            </w:tcBorders>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tcBorders>
              <w:top w:val="nil"/>
            </w:tcBorders>
            <w:shd w:val="clear" w:color="auto" w:fill="auto"/>
            <w:vAlign w:val="center"/>
          </w:tcPr>
          <w:p w:rsidR="00486CE1" w:rsidRPr="00B344D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14</w:t>
            </w:r>
          </w:p>
        </w:tc>
        <w:tc>
          <w:tcPr>
            <w:tcW w:w="501" w:type="pct"/>
            <w:shd w:val="clear" w:color="auto" w:fill="auto"/>
            <w:vAlign w:val="center"/>
          </w:tcPr>
          <w:p w:rsidR="00486CE1" w:rsidRPr="008A6954" w:rsidRDefault="00486CE1" w:rsidP="00486CE1">
            <w:pPr>
              <w:bidi/>
              <w:jc w:val="center"/>
              <w:rPr>
                <w:rFonts w:ascii="Wingdings" w:hAnsi="Wingdings" w:cs="Calibri"/>
                <w:color w:val="008000"/>
                <w:szCs w:val="22"/>
                <w:lang w:bidi="ar-EG"/>
              </w:rPr>
            </w:pPr>
            <w:r w:rsidRPr="008A6954">
              <w:rPr>
                <w:rFonts w:ascii="Wingdings" w:hAnsi="Wingdings" w:cs="Calibri"/>
                <w:color w:val="008000"/>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B344D6">
              <w:rPr>
                <w:rFonts w:ascii="Arabic Typesetting" w:hAnsi="Arabic Typesetting" w:cs="Arabic Typesetting"/>
                <w:color w:val="000000"/>
                <w:sz w:val="30"/>
                <w:szCs w:val="30"/>
                <w:rtl/>
                <w:lang w:bidi="ar-EG"/>
              </w:rPr>
              <w:t xml:space="preserve">عدد البلدان التي تستخدم قاعدة بيانات المساعدة التقنية في مجال الملكية الفكرية </w:t>
            </w:r>
            <w:r w:rsidRPr="00B344D6">
              <w:rPr>
                <w:rFonts w:ascii="Arabic Typesetting" w:hAnsi="Arabic Typesetting" w:cs="Arabic Typesetting"/>
                <w:color w:val="000000"/>
                <w:sz w:val="30"/>
                <w:szCs w:val="30"/>
                <w:lang w:bidi="ar-EG"/>
              </w:rPr>
              <w:t>(IP-TAD)</w:t>
            </w:r>
            <w:r w:rsidRPr="00B344D6">
              <w:rPr>
                <w:rFonts w:ascii="Arabic Typesetting" w:hAnsi="Arabic Typesetting" w:cs="Arabic Typesetting"/>
                <w:color w:val="000000"/>
                <w:sz w:val="30"/>
                <w:szCs w:val="30"/>
                <w:rtl/>
                <w:lang w:bidi="ar-EG"/>
              </w:rPr>
              <w:t xml:space="preserve">، وقائمة الخبراء الاستشاريين في مجال الملكية الفكرية </w:t>
            </w:r>
            <w:r w:rsidRPr="00B344D6">
              <w:rPr>
                <w:rFonts w:ascii="Arabic Typesetting" w:hAnsi="Arabic Typesetting" w:cs="Arabic Typesetting"/>
                <w:color w:val="000000"/>
                <w:sz w:val="30"/>
                <w:szCs w:val="30"/>
                <w:lang w:bidi="ar-EG"/>
              </w:rPr>
              <w:t>(IP_ROC)</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9</w:t>
            </w:r>
          </w:p>
        </w:tc>
        <w:tc>
          <w:tcPr>
            <w:tcW w:w="501" w:type="pct"/>
            <w:shd w:val="clear" w:color="auto" w:fill="auto"/>
            <w:vAlign w:val="center"/>
          </w:tcPr>
          <w:p w:rsidR="00486CE1" w:rsidRPr="008A6954" w:rsidRDefault="00486CE1" w:rsidP="00486CE1">
            <w:pPr>
              <w:bidi/>
              <w:jc w:val="center"/>
              <w:rPr>
                <w:rFonts w:ascii="Wingdings" w:hAnsi="Wingdings" w:cs="Calibri"/>
                <w:color w:val="FF0000"/>
                <w:szCs w:val="22"/>
                <w:lang w:bidi="ar-EG"/>
              </w:rPr>
            </w:pPr>
            <w:r w:rsidRPr="008A6954">
              <w:rPr>
                <w:rFonts w:ascii="Wingdings" w:hAnsi="Wingdings" w:cs="Calibri"/>
                <w:color w:val="FF0000"/>
                <w:szCs w:val="22"/>
                <w:lang w:bidi="ar-EG"/>
              </w:rPr>
              <w:t></w:t>
            </w:r>
          </w:p>
        </w:tc>
      </w:tr>
      <w:tr w:rsidR="00486CE1" w:rsidRPr="00FE3908" w:rsidTr="00486CE1">
        <w:trPr>
          <w:cantSplit/>
        </w:trPr>
        <w:tc>
          <w:tcPr>
            <w:tcW w:w="1791" w:type="pct"/>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B344D6">
              <w:rPr>
                <w:rFonts w:ascii="Arabic Typesetting" w:hAnsi="Arabic Typesetting" w:cs="Arabic Typesetting"/>
                <w:color w:val="000000"/>
                <w:sz w:val="30"/>
                <w:szCs w:val="30"/>
                <w:rtl/>
              </w:rPr>
              <w:t>عدد مكاتب نقل التكنولوجيا و/أو مراكز الإعلام في مجال الملكية الفكرية التي أنشئت</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10</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514CA7">
              <w:rPr>
                <w:rFonts w:ascii="Arabic Typesetting" w:hAnsi="Arabic Typesetting" w:cs="Arabic Typesetting"/>
                <w:color w:val="000000"/>
                <w:sz w:val="30"/>
                <w:szCs w:val="30"/>
                <w:rtl/>
                <w:lang w:bidi="ar-EG"/>
              </w:rPr>
              <w:t>أعداد المستخدمين المختلفة لكل فترة ربع سنوية على صعيد كافة الأنظمة</w:t>
            </w:r>
            <w:r w:rsidRPr="00514CA7">
              <w:rPr>
                <w:rFonts w:ascii="Arabic Typesetting" w:hAnsi="Arabic Typesetting" w:cs="Arabic Typesetting" w:hint="cs"/>
                <w:color w:val="000000"/>
                <w:sz w:val="30"/>
                <w:szCs w:val="30"/>
                <w:rtl/>
                <w:lang w:bidi="ar-EG"/>
              </w:rPr>
              <w:t xml:space="preserve"> </w:t>
            </w:r>
            <w:r w:rsidRPr="00514CA7">
              <w:rPr>
                <w:rFonts w:ascii="Arabic Typesetting" w:hAnsi="Arabic Typesetting" w:cs="Arabic Typesetting"/>
                <w:color w:val="000000"/>
                <w:sz w:val="30"/>
                <w:szCs w:val="30"/>
                <w:rtl/>
                <w:lang w:bidi="ar-EG"/>
              </w:rPr>
              <w:t>(ركن البراءات/ قاعدة البيانات العالمية ل</w:t>
            </w:r>
            <w:r w:rsidRPr="00514CA7">
              <w:rPr>
                <w:rFonts w:ascii="Arabic Typesetting" w:hAnsi="Arabic Typesetting" w:cs="Arabic Typesetting" w:hint="cs"/>
                <w:color w:val="000000"/>
                <w:sz w:val="30"/>
                <w:szCs w:val="30"/>
                <w:rtl/>
                <w:lang w:bidi="ar-EG"/>
              </w:rPr>
              <w:t>أدوات التوسيم</w:t>
            </w:r>
            <w:r w:rsidRPr="00514CA7">
              <w:rPr>
                <w:rFonts w:ascii="Arabic Typesetting" w:hAnsi="Arabic Typesetting" w:cs="Arabic Typesetting"/>
                <w:color w:val="000000"/>
                <w:sz w:val="30"/>
                <w:szCs w:val="30"/>
                <w:rtl/>
                <w:lang w:bidi="ar-EG"/>
              </w:rPr>
              <w:t>)</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F1638">
              <w:rPr>
                <w:rFonts w:ascii="Wingdings" w:hAnsi="Wingdings" w:cs="Calibri"/>
                <w:color w:val="A6A6A6" w:themeColor="background1" w:themeShade="A6"/>
                <w:szCs w:val="22"/>
                <w:lang w:bidi="ar-EG"/>
              </w:rPr>
              <w:t></w:t>
            </w:r>
            <w:r w:rsidRPr="008A6954">
              <w:rPr>
                <w:rFonts w:ascii="Wingdings" w:hAnsi="Wingdings" w:cs="Calibri"/>
                <w:color w:val="10862C"/>
                <w:szCs w:val="22"/>
                <w:lang w:bidi="ar-EG"/>
              </w:rPr>
              <w:t></w:t>
            </w:r>
            <w:r w:rsidRPr="008F1638">
              <w:rPr>
                <w:rFonts w:ascii="Wingdings" w:hAnsi="Wingdings" w:cs="Calibri"/>
                <w:color w:val="E36C0A" w:themeColor="accent6" w:themeShade="BF"/>
                <w:szCs w:val="22"/>
                <w:lang w:bidi="ar-EG"/>
              </w:rPr>
              <w:t></w:t>
            </w:r>
          </w:p>
        </w:tc>
      </w:tr>
      <w:tr w:rsidR="00486CE1" w:rsidRPr="00FE3908" w:rsidTr="00486CE1">
        <w:trPr>
          <w:cantSplit/>
        </w:trPr>
        <w:tc>
          <w:tcPr>
            <w:tcW w:w="1791" w:type="pct"/>
            <w:shd w:val="clear" w:color="auto" w:fill="auto"/>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8A2B1D" w:rsidRDefault="00486CE1" w:rsidP="00486CE1">
            <w:pPr>
              <w:bidi/>
              <w:spacing w:before="60" w:after="60" w:line="280" w:lineRule="exact"/>
              <w:rPr>
                <w:rFonts w:ascii="Arabic Typesetting" w:hAnsi="Arabic Typesetting" w:cs="Arabic Typesetting"/>
                <w:b/>
                <w:color w:val="000000"/>
                <w:sz w:val="30"/>
                <w:szCs w:val="30"/>
                <w:rtl/>
                <w:lang w:bidi="ar-EG"/>
              </w:rPr>
            </w:pPr>
            <w:r w:rsidRPr="00514CA7">
              <w:rPr>
                <w:rFonts w:ascii="Arabic Typesetting" w:hAnsi="Arabic Typesetting" w:cs="Arabic Typesetting"/>
                <w:b/>
                <w:color w:val="000000"/>
                <w:sz w:val="30"/>
                <w:szCs w:val="30"/>
                <w:rtl/>
                <w:lang w:bidi="ar-EG"/>
              </w:rPr>
              <w:t>عدد اللغات المتاح بها البحث عبر لغات مختلفة</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514CA7">
              <w:rPr>
                <w:rFonts w:ascii="Arabic Typesetting" w:hAnsi="Arabic Typesetting" w:cs="Arabic Typesetting"/>
                <w:color w:val="000000"/>
                <w:sz w:val="30"/>
                <w:szCs w:val="30"/>
                <w:rtl/>
                <w:lang w:bidi="ar-EG"/>
              </w:rPr>
              <w:t>عدد أزواج اللغات المتاحة للترجمة الآلية لعناوين البراءات وملخصاتها</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316D25">
              <w:rPr>
                <w:rFonts w:ascii="Arabic Typesetting" w:hAnsi="Arabic Typesetting" w:cs="Arabic Typesetting"/>
                <w:color w:val="000000"/>
                <w:sz w:val="30"/>
                <w:szCs w:val="30"/>
                <w:rtl/>
                <w:lang w:bidi="ar-EG"/>
              </w:rPr>
              <w:t xml:space="preserve">عدد مستخدمي </w:t>
            </w:r>
            <w:r w:rsidRPr="00316D25">
              <w:rPr>
                <w:rFonts w:ascii="Arabic Typesetting" w:hAnsi="Arabic Typesetting" w:cs="Arabic Typesetting" w:hint="cs"/>
                <w:color w:val="000000"/>
                <w:sz w:val="30"/>
                <w:szCs w:val="30"/>
                <w:rtl/>
                <w:lang w:bidi="ar-EG"/>
              </w:rPr>
              <w:t>برنامجي</w:t>
            </w:r>
            <w:r w:rsidRPr="00316D25">
              <w:rPr>
                <w:rFonts w:ascii="Arabic Typesetting" w:hAnsi="Arabic Typesetting" w:cs="Arabic Typesetting"/>
                <w:color w:val="000000"/>
                <w:sz w:val="30"/>
                <w:szCs w:val="30"/>
                <w:rtl/>
                <w:lang w:bidi="ar-EG"/>
              </w:rPr>
              <w:t xml:space="preserve"> </w:t>
            </w:r>
            <w:r w:rsidRPr="00316D25">
              <w:rPr>
                <w:rFonts w:ascii="Arabic Typesetting" w:hAnsi="Arabic Typesetting" w:cs="Arabic Typesetting"/>
                <w:color w:val="000000"/>
                <w:sz w:val="30"/>
                <w:szCs w:val="30"/>
                <w:lang w:bidi="ar-EG"/>
              </w:rPr>
              <w:t>ARDI</w:t>
            </w:r>
            <w:r w:rsidRPr="00316D25">
              <w:rPr>
                <w:rFonts w:ascii="Arabic Typesetting" w:hAnsi="Arabic Typesetting" w:cs="Arabic Typesetting"/>
                <w:color w:val="000000"/>
                <w:sz w:val="30"/>
                <w:szCs w:val="30"/>
                <w:rtl/>
                <w:lang w:bidi="ar-EG"/>
              </w:rPr>
              <w:t xml:space="preserve"> و</w:t>
            </w:r>
            <w:r w:rsidRPr="00316D25">
              <w:rPr>
                <w:rFonts w:ascii="Arabic Typesetting" w:hAnsi="Arabic Typesetting" w:cs="Arabic Typesetting"/>
                <w:color w:val="000000"/>
                <w:sz w:val="30"/>
                <w:szCs w:val="30"/>
                <w:lang w:bidi="ar-EG"/>
              </w:rPr>
              <w:t>ASPI</w:t>
            </w:r>
            <w:r w:rsidRPr="00316D25">
              <w:rPr>
                <w:rFonts w:ascii="Arabic Typesetting" w:hAnsi="Arabic Typesetting" w:cs="Arabic Typesetting"/>
                <w:color w:val="000000"/>
                <w:sz w:val="30"/>
                <w:szCs w:val="30"/>
                <w:rtl/>
                <w:lang w:bidi="ar-EG"/>
              </w:rPr>
              <w:t xml:space="preserve"> المسجلين النشطاء</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14</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316D25" w:rsidRDefault="00486CE1" w:rsidP="00486CE1">
            <w:pPr>
              <w:bidi/>
              <w:spacing w:before="60" w:after="60" w:line="280" w:lineRule="exact"/>
              <w:rPr>
                <w:rFonts w:ascii="Arabic Typesetting" w:hAnsi="Arabic Typesetting" w:cs="Arabic Typesetting"/>
                <w:color w:val="000000"/>
                <w:sz w:val="30"/>
                <w:szCs w:val="30"/>
                <w:rtl/>
                <w:lang w:bidi="ar-EG"/>
              </w:rPr>
            </w:pPr>
            <w:r w:rsidRPr="00B72644">
              <w:rPr>
                <w:rFonts w:ascii="Arabic Typesetting" w:hAnsi="Arabic Typesetting" w:cs="Arabic Typesetting"/>
                <w:color w:val="000000"/>
                <w:sz w:val="30"/>
                <w:szCs w:val="30"/>
                <w:rtl/>
                <w:lang w:bidi="ar-EG"/>
              </w:rPr>
              <w:t xml:space="preserve">النسبة المئوية للمستخدمين الراضين عن مستوى تقديم خدمات المعلومات المرتبطة بالبراءات ذات القيمة المضافة (برنامج خدمات الويبو الإعلامية </w:t>
            </w:r>
            <w:r w:rsidRPr="00B72644">
              <w:rPr>
                <w:rFonts w:ascii="Arabic Typesetting" w:hAnsi="Arabic Typesetting" w:cs="Arabic Typesetting"/>
                <w:color w:val="000000"/>
                <w:sz w:val="30"/>
                <w:szCs w:val="30"/>
              </w:rPr>
              <w:t>WPIS</w:t>
            </w:r>
            <w:r w:rsidRPr="00B72644">
              <w:rPr>
                <w:rFonts w:ascii="Arabic Typesetting" w:hAnsi="Arabic Typesetting" w:cs="Arabic Typesetting"/>
                <w:color w:val="000000"/>
                <w:sz w:val="30"/>
                <w:szCs w:val="30"/>
                <w:rtl/>
                <w:lang w:bidi="ar-EG"/>
              </w:rPr>
              <w:t xml:space="preserve">، قاموس العناصر الدولية المشتركة </w:t>
            </w:r>
            <w:r w:rsidRPr="00B72644">
              <w:rPr>
                <w:rFonts w:ascii="Arabic Typesetting" w:hAnsi="Arabic Typesetting" w:cs="Arabic Typesetting"/>
                <w:color w:val="000000"/>
                <w:sz w:val="30"/>
                <w:szCs w:val="30"/>
              </w:rPr>
              <w:t>ICE</w:t>
            </w:r>
            <w:r w:rsidRPr="00B72644">
              <w:rPr>
                <w:rFonts w:ascii="Arabic Typesetting" w:hAnsi="Arabic Typesetting" w:cs="Arabic Typesetting"/>
                <w:color w:val="000000"/>
                <w:sz w:val="30"/>
                <w:szCs w:val="30"/>
                <w:rtl/>
                <w:lang w:bidi="ar-EG"/>
              </w:rPr>
              <w:t>، خدمة الاستفسار عن أسرة البراءات والوضع القانوني)</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14</w:t>
            </w:r>
          </w:p>
        </w:tc>
        <w:tc>
          <w:tcPr>
            <w:tcW w:w="501" w:type="pct"/>
            <w:shd w:val="clear" w:color="auto" w:fill="auto"/>
            <w:vAlign w:val="center"/>
          </w:tcPr>
          <w:p w:rsidR="00486CE1" w:rsidRPr="008A6954" w:rsidRDefault="00486CE1" w:rsidP="00486CE1">
            <w:pPr>
              <w:bidi/>
              <w:jc w:val="center"/>
              <w:rPr>
                <w:rFonts w:ascii="Wingdings" w:hAnsi="Wingdings" w:cs="Calibri"/>
                <w:color w:val="0070C0"/>
                <w:szCs w:val="22"/>
                <w:lang w:bidi="ar-EG"/>
              </w:rPr>
            </w:pPr>
            <w:r w:rsidRPr="008F1638">
              <w:rPr>
                <w:rFonts w:ascii="Wingdings" w:hAnsi="Wingdings" w:cs="Calibri"/>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r w:rsidRPr="00D3321B">
              <w:rPr>
                <w:rFonts w:ascii="Arabic Typesetting" w:hAnsi="Arabic Typesetting" w:cs="Arabic Typesetting"/>
                <w:color w:val="000000"/>
                <w:sz w:val="30"/>
                <w:szCs w:val="30"/>
                <w:rtl/>
                <w:lang w:bidi="ar-EG"/>
              </w:rPr>
              <w:t xml:space="preserve">النسبة المئوية للمستخدمين الراضين عن تقارير واقع البراءات </w:t>
            </w:r>
            <w:r w:rsidRPr="00D3321B">
              <w:rPr>
                <w:rFonts w:ascii="Arabic Typesetting" w:hAnsi="Arabic Typesetting" w:cs="Arabic Typesetting"/>
                <w:color w:val="000000"/>
                <w:sz w:val="30"/>
                <w:szCs w:val="30"/>
                <w:lang w:bidi="ar-EG"/>
              </w:rPr>
              <w:t>PLRs</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14</w:t>
            </w:r>
          </w:p>
        </w:tc>
        <w:tc>
          <w:tcPr>
            <w:tcW w:w="501" w:type="pct"/>
            <w:shd w:val="clear" w:color="auto" w:fill="auto"/>
            <w:vAlign w:val="center"/>
          </w:tcPr>
          <w:p w:rsidR="00486CE1" w:rsidRPr="008A6954" w:rsidRDefault="00486CE1" w:rsidP="00486CE1">
            <w:pPr>
              <w:bidi/>
              <w:jc w:val="center"/>
              <w:rPr>
                <w:rFonts w:ascii="Wingdings" w:hAnsi="Wingdings" w:cs="Calibri"/>
                <w:color w:val="0070C0"/>
                <w:szCs w:val="22"/>
                <w:lang w:bidi="ar-EG"/>
              </w:rPr>
            </w:pPr>
            <w:r w:rsidRPr="006A4AA4">
              <w:rPr>
                <w:rFonts w:ascii="Wingdings" w:hAnsi="Wingdings" w:cs="Calibri"/>
                <w:color w:val="A6A6A6" w:themeColor="background1" w:themeShade="A6"/>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E35319" w:rsidRDefault="00486CE1" w:rsidP="00486CE1">
            <w:pPr>
              <w:bidi/>
              <w:spacing w:before="60" w:after="60" w:line="280" w:lineRule="exact"/>
              <w:rPr>
                <w:rFonts w:ascii="Arabic Typesetting" w:hAnsi="Arabic Typesetting" w:cs="Arabic Typesetting"/>
                <w:color w:val="000000"/>
                <w:sz w:val="30"/>
                <w:szCs w:val="30"/>
                <w:rtl/>
              </w:rPr>
            </w:pPr>
            <w:r w:rsidRPr="00D3321B">
              <w:rPr>
                <w:rFonts w:ascii="Arabic Typesetting" w:hAnsi="Arabic Typesetting" w:cs="Arabic Typesetting"/>
                <w:color w:val="000000"/>
                <w:sz w:val="30"/>
                <w:szCs w:val="30"/>
                <w:rtl/>
                <w:lang w:bidi="ar-EG"/>
              </w:rPr>
              <w:t xml:space="preserve">عدد البلدان التي دققت في البيانات والتي أدرجت الأدوية الأساسية الوطنية في </w:t>
            </w:r>
            <w:r w:rsidRPr="00D3321B">
              <w:rPr>
                <w:rFonts w:ascii="Arabic Typesetting" w:hAnsi="Arabic Typesetting" w:cs="Arabic Typesetting"/>
                <w:color w:val="000000"/>
                <w:sz w:val="30"/>
                <w:szCs w:val="30"/>
                <w:lang w:bidi="ar-EG"/>
              </w:rPr>
              <w:t>WIPO Essential</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01" w:type="pct"/>
            <w:shd w:val="clear" w:color="auto" w:fill="auto"/>
            <w:vAlign w:val="center"/>
          </w:tcPr>
          <w:p w:rsidR="00486CE1" w:rsidRPr="008A6954" w:rsidRDefault="00486CE1" w:rsidP="00486CE1">
            <w:pPr>
              <w:bidi/>
              <w:jc w:val="center"/>
              <w:rPr>
                <w:rFonts w:ascii="Wingdings" w:hAnsi="Wingdings" w:cs="Calibri"/>
                <w:szCs w:val="22"/>
                <w:lang w:bidi="ar-EG"/>
              </w:rPr>
            </w:pPr>
            <w:r w:rsidRPr="008A6954">
              <w:rPr>
                <w:rFonts w:ascii="Wingdings" w:hAnsi="Wingdings" w:cs="Calibri"/>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797BB5" w:rsidRDefault="00486CE1" w:rsidP="00486CE1">
            <w:pPr>
              <w:bidi/>
              <w:spacing w:before="60" w:after="60" w:line="280" w:lineRule="exact"/>
              <w:rPr>
                <w:rFonts w:ascii="Arabic Typesetting" w:hAnsi="Arabic Typesetting" w:cs="Arabic Typesetting"/>
                <w:color w:val="000000"/>
                <w:sz w:val="30"/>
                <w:szCs w:val="30"/>
                <w:rtl/>
              </w:rPr>
            </w:pPr>
            <w:r w:rsidRPr="00797BB5">
              <w:rPr>
                <w:rFonts w:ascii="Arabic Typesetting" w:hAnsi="Arabic Typesetting" w:cs="Arabic Typesetting"/>
                <w:color w:val="000000"/>
                <w:sz w:val="30"/>
                <w:szCs w:val="30"/>
                <w:rtl/>
              </w:rPr>
              <w:t>عدد مستخدمي قواعد بيانات الويبو العالمية:</w:t>
            </w:r>
          </w:p>
          <w:p w:rsidR="00486CE1" w:rsidRPr="0024626B" w:rsidRDefault="00486CE1" w:rsidP="00486CE1">
            <w:pPr>
              <w:bidi/>
              <w:spacing w:before="60" w:after="60" w:line="280" w:lineRule="exact"/>
              <w:rPr>
                <w:rFonts w:ascii="Arabic Typesetting" w:hAnsi="Arabic Typesetting" w:cs="Arabic Typesetting"/>
                <w:b/>
                <w:color w:val="000000"/>
                <w:sz w:val="30"/>
                <w:szCs w:val="30"/>
                <w:rtl/>
                <w:lang w:bidi="ar-EG"/>
              </w:rPr>
            </w:pPr>
            <w:r w:rsidRPr="00797BB5">
              <w:rPr>
                <w:rFonts w:ascii="Arabic Typesetting" w:hAnsi="Arabic Typesetting" w:cs="Arabic Typesetting"/>
                <w:color w:val="000000"/>
                <w:sz w:val="30"/>
                <w:szCs w:val="30"/>
                <w:rtl/>
              </w:rPr>
              <w:t xml:space="preserve">ركن البراءات </w:t>
            </w:r>
            <w:r w:rsidRPr="00797BB5">
              <w:rPr>
                <w:rFonts w:ascii="Arabic Typesetting" w:hAnsi="Arabic Typesetting" w:cs="Arabic Typesetting"/>
                <w:color w:val="000000"/>
                <w:sz w:val="30"/>
                <w:szCs w:val="30"/>
                <w:rtl/>
                <w:lang w:bidi="ar-EG"/>
              </w:rPr>
              <w:t>وقاعدة بيانات ا</w:t>
            </w:r>
            <w:r>
              <w:rPr>
                <w:rFonts w:ascii="Arabic Typesetting" w:hAnsi="Arabic Typesetting" w:cs="Arabic Typesetting"/>
                <w:color w:val="000000"/>
                <w:sz w:val="30"/>
                <w:szCs w:val="30"/>
                <w:rtl/>
                <w:lang w:bidi="ar-EG"/>
              </w:rPr>
              <w:t>لويبو العالمية ل</w:t>
            </w:r>
            <w:r>
              <w:rPr>
                <w:rFonts w:ascii="Arabic Typesetting" w:hAnsi="Arabic Typesetting" w:cs="Arabic Typesetting" w:hint="cs"/>
                <w:color w:val="000000"/>
                <w:sz w:val="30"/>
                <w:szCs w:val="30"/>
                <w:rtl/>
                <w:lang w:bidi="ar-EG"/>
              </w:rPr>
              <w:t>أدوات التوسيم</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01" w:type="pct"/>
            <w:shd w:val="clear" w:color="auto" w:fill="auto"/>
            <w:vAlign w:val="center"/>
          </w:tcPr>
          <w:p w:rsidR="00486CE1" w:rsidRDefault="00486CE1" w:rsidP="00486CE1">
            <w:pPr>
              <w:bidi/>
              <w:jc w:val="center"/>
              <w:rPr>
                <w:rFonts w:ascii="Wingdings" w:hAnsi="Wingdings" w:cs="Calibri"/>
                <w:color w:val="10862C"/>
                <w:szCs w:val="22"/>
                <w:rtl/>
                <w:lang w:bidi="ar-EG"/>
              </w:rPr>
            </w:pPr>
            <w:r w:rsidRPr="004B0BC7">
              <w:rPr>
                <w:rFonts w:ascii="Wingdings" w:hAnsi="Wingdings" w:cs="Calibri"/>
                <w:color w:val="10862C"/>
                <w:szCs w:val="22"/>
                <w:lang w:bidi="ar-EG"/>
              </w:rPr>
              <w:t></w:t>
            </w:r>
            <w:r w:rsidRPr="006A4AA4">
              <w:rPr>
                <w:rFonts w:ascii="Wingdings" w:hAnsi="Wingdings" w:cs="Calibri"/>
                <w:color w:val="FF0000"/>
                <w:szCs w:val="22"/>
                <w:lang w:bidi="ar-EG"/>
              </w:rPr>
              <w:t></w:t>
            </w:r>
            <w:r w:rsidRPr="008A6954">
              <w:rPr>
                <w:rFonts w:ascii="Wingdings" w:hAnsi="Wingdings" w:cs="Calibri"/>
                <w:color w:val="10862C"/>
                <w:szCs w:val="22"/>
                <w:lang w:bidi="ar-EG"/>
              </w:rPr>
              <w:t></w:t>
            </w:r>
          </w:p>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r w:rsidRPr="004B0BC7">
              <w:rPr>
                <w:rFonts w:ascii="Wingdings" w:hAnsi="Wingdings" w:cs="Calibri"/>
                <w:color w:val="10862C"/>
                <w:szCs w:val="22"/>
                <w:lang w:bidi="ar-EG"/>
              </w:rPr>
              <w:t></w:t>
            </w: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797BB5" w:rsidRDefault="00486CE1" w:rsidP="00486CE1">
            <w:pPr>
              <w:bidi/>
              <w:spacing w:before="60" w:after="60" w:line="280" w:lineRule="exact"/>
              <w:rPr>
                <w:rFonts w:ascii="Arabic Typesetting" w:hAnsi="Arabic Typesetting" w:cs="Arabic Typesetting"/>
                <w:color w:val="000000"/>
                <w:sz w:val="30"/>
                <w:szCs w:val="30"/>
                <w:rtl/>
                <w:lang w:bidi="ar-EG"/>
              </w:rPr>
            </w:pPr>
            <w:r w:rsidRPr="00797BB5">
              <w:rPr>
                <w:rFonts w:ascii="Arabic Typesetting" w:hAnsi="Arabic Typesetting" w:cs="Arabic Typesetting"/>
                <w:color w:val="000000"/>
                <w:sz w:val="30"/>
                <w:szCs w:val="30"/>
                <w:rtl/>
              </w:rPr>
              <w:t>زيادة عدد مستخدمي قاعدة بيانات</w:t>
            </w:r>
            <w:r w:rsidRPr="00797BB5">
              <w:rPr>
                <w:rFonts w:ascii="Arabic Typesetting" w:hAnsi="Arabic Typesetting" w:cs="Arabic Typesetting"/>
                <w:color w:val="000000"/>
                <w:sz w:val="30"/>
                <w:szCs w:val="30"/>
                <w:lang w:bidi="ar-EG"/>
              </w:rPr>
              <w:t xml:space="preserve"> WIPO</w:t>
            </w:r>
            <w:r>
              <w:rPr>
                <w:rFonts w:ascii="Arabic Typesetting" w:hAnsi="Arabic Typesetting" w:cs="Arabic Typesetting"/>
                <w:color w:val="000000"/>
                <w:sz w:val="30"/>
                <w:szCs w:val="30"/>
                <w:lang w:bidi="ar-EG"/>
              </w:rPr>
              <w:t> </w:t>
            </w:r>
            <w:r w:rsidRPr="00797BB5">
              <w:rPr>
                <w:rFonts w:ascii="Arabic Typesetting" w:hAnsi="Arabic Typesetting" w:cs="Arabic Typesetting"/>
                <w:color w:val="000000"/>
                <w:sz w:val="30"/>
                <w:szCs w:val="30"/>
                <w:lang w:bidi="ar-EG"/>
              </w:rPr>
              <w:t>Lex</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24626B" w:rsidRDefault="00486CE1" w:rsidP="00486CE1">
            <w:pPr>
              <w:bidi/>
              <w:spacing w:before="60" w:after="60" w:line="280" w:lineRule="exact"/>
              <w:rPr>
                <w:rFonts w:ascii="Arabic Typesetting" w:hAnsi="Arabic Typesetting" w:cs="Arabic Typesetting"/>
                <w:b/>
                <w:color w:val="000000"/>
                <w:sz w:val="30"/>
                <w:szCs w:val="30"/>
                <w:rtl/>
              </w:rPr>
            </w:pPr>
            <w:r w:rsidRPr="00797BB5">
              <w:rPr>
                <w:rFonts w:ascii="Arabic Typesetting" w:hAnsi="Arabic Typesetting" w:cs="Arabic Typesetting"/>
                <w:b/>
                <w:color w:val="000000"/>
                <w:sz w:val="30"/>
                <w:szCs w:val="30"/>
                <w:rtl/>
              </w:rPr>
              <w:t>عدد مكاتب نقل التكنولوجيا المستدامة التي أنشئت و/أو عُزّزت في الجامعات أو مؤسسات البحث والتطوير</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30</w:t>
            </w:r>
          </w:p>
        </w:tc>
        <w:tc>
          <w:tcPr>
            <w:tcW w:w="501" w:type="pct"/>
            <w:shd w:val="clear" w:color="auto" w:fill="auto"/>
            <w:vAlign w:val="center"/>
          </w:tcPr>
          <w:p w:rsidR="00486CE1" w:rsidRPr="008A6954" w:rsidRDefault="00486CE1" w:rsidP="00486CE1">
            <w:pPr>
              <w:bidi/>
              <w:jc w:val="center"/>
              <w:rPr>
                <w:rFonts w:ascii="Wingdings" w:hAnsi="Wingdings" w:cs="Calibri"/>
                <w:color w:val="FF0000"/>
                <w:szCs w:val="22"/>
                <w:lang w:bidi="ar-EG"/>
              </w:rPr>
            </w:pPr>
            <w:r w:rsidRPr="008A6954">
              <w:rPr>
                <w:rFonts w:ascii="Wingdings" w:hAnsi="Wingdings" w:cs="Calibri"/>
                <w:color w:val="FF0000"/>
                <w:szCs w:val="22"/>
                <w:lang w:bidi="ar-EG"/>
              </w:rPr>
              <w:t></w:t>
            </w:r>
          </w:p>
        </w:tc>
      </w:tr>
      <w:tr w:rsidR="00486CE1" w:rsidRPr="00FE3908" w:rsidTr="00486CE1">
        <w:trPr>
          <w:cantSplit/>
        </w:trPr>
        <w:tc>
          <w:tcPr>
            <w:tcW w:w="1791" w:type="pct"/>
            <w:shd w:val="clear" w:color="auto" w:fill="auto"/>
            <w:vAlign w:val="center"/>
          </w:tcPr>
          <w:p w:rsidR="00486CE1" w:rsidRPr="00FE3908" w:rsidRDefault="00486CE1" w:rsidP="00486CE1">
            <w:pPr>
              <w:bidi/>
              <w:spacing w:before="60" w:after="60" w:line="280" w:lineRule="exact"/>
              <w:rPr>
                <w:rFonts w:ascii="Arabic Typesetting" w:hAnsi="Arabic Typesetting" w:cs="Arabic Typesetting"/>
                <w:color w:val="000000"/>
                <w:sz w:val="30"/>
                <w:szCs w:val="30"/>
                <w:lang w:bidi="ar-EG"/>
              </w:rPr>
            </w:pPr>
          </w:p>
        </w:tc>
        <w:tc>
          <w:tcPr>
            <w:tcW w:w="1720"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b/>
                <w:color w:val="000000"/>
                <w:sz w:val="30"/>
                <w:szCs w:val="30"/>
                <w:rtl/>
                <w:lang w:bidi="ar-EG"/>
              </w:rPr>
            </w:pPr>
            <w:r w:rsidRPr="00797BB5">
              <w:rPr>
                <w:rFonts w:ascii="Arabic Typesetting" w:hAnsi="Arabic Typesetting" w:cs="Arabic Typesetting"/>
                <w:b/>
                <w:color w:val="000000"/>
                <w:sz w:val="30"/>
                <w:szCs w:val="30"/>
                <w:rtl/>
                <w:lang w:bidi="ar-EG"/>
              </w:rPr>
              <w:t>عدد الجامعات و/أو مؤسسات البحث التي وضعت سياسات للملكية الفكرية</w:t>
            </w:r>
          </w:p>
        </w:tc>
        <w:tc>
          <w:tcPr>
            <w:tcW w:w="988" w:type="pct"/>
            <w:shd w:val="clear" w:color="auto" w:fill="auto"/>
            <w:vAlign w:val="center"/>
          </w:tcPr>
          <w:p w:rsidR="00486CE1" w:rsidRPr="00FE3908"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30</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r w:rsidRPr="00797BB5">
              <w:rPr>
                <w:rFonts w:ascii="Arabic Typesetting" w:hAnsi="Arabic Typesetting" w:cs="Arabic Typesetting"/>
                <w:color w:val="000000"/>
                <w:sz w:val="30"/>
                <w:szCs w:val="30"/>
                <w:rtl/>
                <w:lang w:bidi="ar-EG"/>
              </w:rPr>
              <w:t xml:space="preserve">ه3.4 </w:t>
            </w:r>
            <w:r w:rsidRPr="00D619C5">
              <w:rPr>
                <w:rFonts w:ascii="Arabic Typesetting" w:hAnsi="Arabic Typesetting" w:cs="Arabic Typesetting"/>
                <w:color w:val="000000"/>
                <w:sz w:val="30"/>
                <w:szCs w:val="30"/>
                <w:rtl/>
                <w:lang w:bidi="ar-EG"/>
              </w:rPr>
              <w:t>تغطية جغرافية واسعة لمحتوى قواعد بيانات الويبو العالمية بشأن الملكية الفكرية واستخدامها</w:t>
            </w:r>
          </w:p>
        </w:tc>
        <w:tc>
          <w:tcPr>
            <w:tcW w:w="1720"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b/>
                <w:color w:val="000000"/>
                <w:sz w:val="30"/>
                <w:szCs w:val="30"/>
                <w:rtl/>
                <w:lang w:bidi="ar-EG"/>
              </w:rPr>
            </w:pPr>
            <w:r w:rsidRPr="00797BB5">
              <w:rPr>
                <w:rFonts w:ascii="Arabic Typesetting" w:hAnsi="Arabic Typesetting" w:cs="Arabic Typesetting"/>
                <w:b/>
                <w:color w:val="000000"/>
                <w:sz w:val="30"/>
                <w:szCs w:val="30"/>
                <w:rtl/>
                <w:lang w:bidi="ar-EG"/>
              </w:rPr>
              <w:t>عدد السجلات المدرجة في ركن البراءات</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DC1275" w:rsidRDefault="00486CE1" w:rsidP="00486CE1">
            <w:pPr>
              <w:bidi/>
              <w:spacing w:before="60" w:after="60" w:line="280" w:lineRule="exact"/>
              <w:rPr>
                <w:rFonts w:ascii="Arabic Typesetting" w:hAnsi="Arabic Typesetting" w:cs="Arabic Typesetting"/>
                <w:b/>
                <w:color w:val="000000"/>
                <w:sz w:val="30"/>
                <w:szCs w:val="30"/>
                <w:rtl/>
              </w:rPr>
            </w:pPr>
            <w:r w:rsidRPr="00C2340E">
              <w:rPr>
                <w:rFonts w:ascii="Arabic Typesetting" w:hAnsi="Arabic Typesetting" w:cs="Arabic Typesetting"/>
                <w:b/>
                <w:color w:val="000000"/>
                <w:sz w:val="30"/>
                <w:szCs w:val="30"/>
                <w:rtl/>
                <w:lang w:bidi="ar-EG"/>
              </w:rPr>
              <w:t>عدد السجلات المدرجة في قواعد البيانات العالمية ل</w:t>
            </w:r>
            <w:r w:rsidRPr="00C2340E">
              <w:rPr>
                <w:rFonts w:ascii="Arabic Typesetting" w:hAnsi="Arabic Typesetting" w:cs="Arabic Typesetting" w:hint="cs"/>
                <w:b/>
                <w:color w:val="000000"/>
                <w:sz w:val="30"/>
                <w:szCs w:val="30"/>
                <w:rtl/>
                <w:lang w:bidi="ar-EG"/>
              </w:rPr>
              <w:t>أدوات التوسيم</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DC1275" w:rsidRDefault="00486CE1" w:rsidP="00486CE1">
            <w:pPr>
              <w:bidi/>
              <w:spacing w:before="60" w:after="60" w:line="280" w:lineRule="exact"/>
              <w:rPr>
                <w:rFonts w:ascii="Arabic Typesetting" w:hAnsi="Arabic Typesetting" w:cs="Arabic Typesetting"/>
                <w:b/>
                <w:color w:val="000000"/>
                <w:sz w:val="30"/>
                <w:szCs w:val="30"/>
                <w:rtl/>
              </w:rPr>
            </w:pPr>
            <w:r w:rsidRPr="00C2340E">
              <w:rPr>
                <w:rFonts w:ascii="Arabic Typesetting" w:hAnsi="Arabic Typesetting" w:cs="Arabic Typesetting"/>
                <w:b/>
                <w:color w:val="000000"/>
                <w:sz w:val="30"/>
                <w:szCs w:val="30"/>
                <w:rtl/>
                <w:lang w:bidi="ar-EG"/>
              </w:rPr>
              <w:t>عدد المجموعات الوطنية في ركن البراءات</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DC1275" w:rsidRDefault="00486CE1" w:rsidP="00486CE1">
            <w:pPr>
              <w:bidi/>
              <w:spacing w:before="60" w:after="60" w:line="280" w:lineRule="exact"/>
              <w:rPr>
                <w:rFonts w:ascii="Arabic Typesetting" w:hAnsi="Arabic Typesetting" w:cs="Arabic Typesetting"/>
                <w:b/>
                <w:color w:val="000000"/>
                <w:sz w:val="30"/>
                <w:szCs w:val="30"/>
                <w:rtl/>
              </w:rPr>
            </w:pPr>
            <w:r w:rsidRPr="00C2340E">
              <w:rPr>
                <w:rFonts w:ascii="Arabic Typesetting" w:hAnsi="Arabic Typesetting" w:cs="Arabic Typesetting"/>
                <w:b/>
                <w:color w:val="000000"/>
                <w:sz w:val="30"/>
                <w:szCs w:val="30"/>
                <w:rtl/>
                <w:lang w:bidi="ar-EG"/>
              </w:rPr>
              <w:t>عدد المجموعات الوطنية في قواعد البيانات العالمية ل</w:t>
            </w:r>
            <w:r w:rsidRPr="00C2340E">
              <w:rPr>
                <w:rFonts w:ascii="Arabic Typesetting" w:hAnsi="Arabic Typesetting" w:cs="Arabic Typesetting" w:hint="cs"/>
                <w:b/>
                <w:color w:val="000000"/>
                <w:sz w:val="30"/>
                <w:szCs w:val="30"/>
                <w:rtl/>
                <w:lang w:bidi="ar-EG"/>
              </w:rPr>
              <w:t>أدوات التوسيم</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r w:rsidRPr="000728D1">
              <w:rPr>
                <w:rFonts w:ascii="Arabic Typesetting" w:hAnsi="Arabic Typesetting" w:cs="Arabic Typesetting" w:hint="cs"/>
                <w:color w:val="000000"/>
                <w:sz w:val="30"/>
                <w:szCs w:val="30"/>
                <w:rtl/>
                <w:lang w:bidi="ar-EG"/>
              </w:rPr>
              <w:t xml:space="preserve">ه4.4 </w:t>
            </w:r>
            <w:r w:rsidRPr="00D619C5">
              <w:rPr>
                <w:rFonts w:ascii="Arabic Typesetting" w:hAnsi="Arabic Typesetting" w:cs="Arabic Typesetting"/>
                <w:b/>
                <w:color w:val="000000"/>
                <w:sz w:val="30"/>
                <w:szCs w:val="30"/>
                <w:rtl/>
                <w:lang w:bidi="ar-EG"/>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c>
          <w:tcPr>
            <w:tcW w:w="1720" w:type="pct"/>
            <w:shd w:val="clear" w:color="auto" w:fill="auto"/>
            <w:vAlign w:val="center"/>
          </w:tcPr>
          <w:p w:rsidR="00486CE1" w:rsidRPr="000728D1" w:rsidRDefault="00486CE1" w:rsidP="00486CE1">
            <w:pPr>
              <w:bidi/>
              <w:spacing w:before="60" w:after="60" w:line="280" w:lineRule="exact"/>
              <w:rPr>
                <w:rFonts w:ascii="Arabic Typesetting" w:hAnsi="Arabic Typesetting" w:cs="Arabic Typesetting"/>
                <w:color w:val="000000"/>
                <w:sz w:val="30"/>
                <w:szCs w:val="30"/>
                <w:rtl/>
              </w:rPr>
            </w:pPr>
            <w:r w:rsidRPr="000728D1">
              <w:rPr>
                <w:rFonts w:ascii="Arabic Typesetting" w:hAnsi="Arabic Typesetting" w:cs="Arabic Typesetting"/>
                <w:color w:val="000000"/>
                <w:sz w:val="30"/>
                <w:szCs w:val="30"/>
                <w:rtl/>
                <w:lang w:bidi="ar-EG"/>
              </w:rPr>
              <w:t>عدد الحكومات ومنظمات الإدارة الجماعية الموقعة على اتفاقية مع الويبو بشأن إعادة هندسة البرنامج الحاسوبي (</w:t>
            </w:r>
            <w:r w:rsidRPr="000728D1">
              <w:rPr>
                <w:rFonts w:ascii="Arabic Typesetting" w:hAnsi="Arabic Typesetting" w:cs="Arabic Typesetting"/>
                <w:color w:val="000000"/>
                <w:sz w:val="30"/>
                <w:szCs w:val="30"/>
              </w:rPr>
              <w:t>WIPOCOS</w:t>
            </w:r>
            <w:r w:rsidRPr="000728D1">
              <w:rPr>
                <w:rFonts w:ascii="Arabic Typesetting" w:hAnsi="Arabic Typesetting" w:cs="Arabic Typesetting"/>
                <w:color w:val="000000"/>
                <w:sz w:val="30"/>
                <w:szCs w:val="30"/>
                <w:rtl/>
                <w:lang w:bidi="ar-EG"/>
              </w:rPr>
              <w:t>)</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C10FED" w:rsidRDefault="00486CE1" w:rsidP="00486CE1">
            <w:pPr>
              <w:bidi/>
              <w:spacing w:before="60" w:after="60" w:line="280" w:lineRule="exact"/>
              <w:rPr>
                <w:rFonts w:ascii="Arabic Typesetting" w:hAnsi="Arabic Typesetting" w:cs="Arabic Typesetting"/>
                <w:b/>
                <w:color w:val="000000"/>
                <w:sz w:val="30"/>
                <w:szCs w:val="30"/>
                <w:rtl/>
              </w:rPr>
            </w:pPr>
            <w:r w:rsidRPr="00ED66E6">
              <w:rPr>
                <w:rFonts w:ascii="Arabic Typesetting" w:hAnsi="Arabic Typesetting" w:cs="Arabic Typesetting"/>
                <w:b/>
                <w:color w:val="000000"/>
                <w:sz w:val="30"/>
                <w:szCs w:val="30"/>
                <w:rtl/>
                <w:lang w:bidi="ar-EG"/>
              </w:rPr>
              <w:t>عدد منظمات الإدارة الجماعية في البلدان النامية والبلدان الأقل نمواً المشاركة في الشبكات الإقليمية والعالمية التي تقوم الويبو بتسهيل عملها</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ED66E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15</w:t>
            </w:r>
          </w:p>
        </w:tc>
        <w:tc>
          <w:tcPr>
            <w:tcW w:w="501" w:type="pct"/>
            <w:shd w:val="clear" w:color="auto" w:fill="auto"/>
            <w:vAlign w:val="center"/>
          </w:tcPr>
          <w:p w:rsidR="00486CE1" w:rsidRPr="008A6954" w:rsidRDefault="00486CE1" w:rsidP="00486CE1">
            <w:pPr>
              <w:bidi/>
              <w:jc w:val="center"/>
              <w:rPr>
                <w:rFonts w:ascii="Wingdings" w:hAnsi="Wingdings" w:cs="Calibri"/>
                <w:color w:val="0070C0"/>
                <w:szCs w:val="22"/>
                <w:lang w:bidi="ar-EG"/>
              </w:rPr>
            </w:pPr>
            <w:r w:rsidRPr="006A4AA4">
              <w:rPr>
                <w:rFonts w:ascii="Wingdings" w:hAnsi="Wingdings" w:cs="Calibri"/>
                <w:color w:val="FF0000"/>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C10FED" w:rsidRDefault="00486CE1" w:rsidP="00486CE1">
            <w:pPr>
              <w:bidi/>
              <w:spacing w:before="60" w:after="60" w:line="280" w:lineRule="exact"/>
              <w:rPr>
                <w:rFonts w:ascii="Arabic Typesetting" w:hAnsi="Arabic Typesetting" w:cs="Arabic Typesetting"/>
                <w:b/>
                <w:color w:val="000000"/>
                <w:sz w:val="30"/>
                <w:szCs w:val="30"/>
                <w:rtl/>
              </w:rPr>
            </w:pPr>
            <w:r w:rsidRPr="00ED66E6">
              <w:rPr>
                <w:rFonts w:ascii="Arabic Typesetting" w:hAnsi="Arabic Typesetting" w:cs="Arabic Typesetting" w:hint="cs"/>
                <w:b/>
                <w:color w:val="000000"/>
                <w:sz w:val="30"/>
                <w:szCs w:val="30"/>
                <w:rtl/>
                <w:lang w:bidi="ar-EG"/>
              </w:rPr>
              <w:t>النسبة المئوية للحكومات التي تقدم تقارير إيجابية عن تعزيز فعالية (</w:t>
            </w:r>
            <w:proofErr w:type="spellStart"/>
            <w:r w:rsidRPr="00ED66E6">
              <w:rPr>
                <w:rFonts w:ascii="Arabic Typesetting" w:hAnsi="Arabic Typesetting" w:cs="Arabic Typesetting" w:hint="cs"/>
                <w:b/>
                <w:color w:val="000000"/>
                <w:sz w:val="30"/>
                <w:szCs w:val="30"/>
                <w:rtl/>
                <w:lang w:bidi="ar-EG"/>
              </w:rPr>
              <w:t>وحوكمة</w:t>
            </w:r>
            <w:proofErr w:type="spellEnd"/>
            <w:r w:rsidRPr="00ED66E6">
              <w:rPr>
                <w:rFonts w:ascii="Arabic Typesetting" w:hAnsi="Arabic Typesetting" w:cs="Arabic Typesetting" w:hint="cs"/>
                <w:b/>
                <w:color w:val="000000"/>
                <w:sz w:val="30"/>
                <w:szCs w:val="30"/>
                <w:rtl/>
                <w:lang w:bidi="ar-EG"/>
              </w:rPr>
              <w:t>) مكاتب حق المؤلف وغيرها من مؤسسات حق المؤلف في البلد</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3</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C10FED" w:rsidRDefault="00486CE1" w:rsidP="00486CE1">
            <w:pPr>
              <w:bidi/>
              <w:spacing w:before="60" w:after="60" w:line="280" w:lineRule="exact"/>
              <w:rPr>
                <w:rFonts w:ascii="Arabic Typesetting" w:hAnsi="Arabic Typesetting" w:cs="Arabic Typesetting"/>
                <w:b/>
                <w:color w:val="000000"/>
                <w:sz w:val="30"/>
                <w:szCs w:val="30"/>
                <w:rtl/>
                <w:lang w:bidi="ar-EG"/>
              </w:rPr>
            </w:pPr>
            <w:r w:rsidRPr="00ED66E6">
              <w:rPr>
                <w:rFonts w:ascii="Arabic Typesetting" w:hAnsi="Arabic Typesetting" w:cs="Arabic Typesetting"/>
                <w:b/>
                <w:color w:val="000000"/>
                <w:sz w:val="30"/>
                <w:szCs w:val="30"/>
                <w:rtl/>
                <w:lang w:bidi="ar-EG"/>
              </w:rPr>
              <w:t>عدد المكاتب التي تستخدم منصات الويبو للبنية التحتية</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15</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A25996" w:rsidRDefault="00486CE1" w:rsidP="00486CE1">
            <w:pPr>
              <w:bidi/>
              <w:spacing w:before="60" w:after="60" w:line="280" w:lineRule="exact"/>
              <w:rPr>
                <w:rFonts w:ascii="Arabic Typesetting" w:hAnsi="Arabic Typesetting" w:cs="Arabic Typesetting"/>
                <w:b/>
                <w:color w:val="000000"/>
                <w:sz w:val="30"/>
                <w:szCs w:val="30"/>
                <w:rtl/>
              </w:rPr>
            </w:pPr>
            <w:r w:rsidRPr="00ED66E6">
              <w:rPr>
                <w:rFonts w:ascii="Arabic Typesetting" w:hAnsi="Arabic Typesetting" w:cs="Arabic Typesetting"/>
                <w:b/>
                <w:color w:val="000000"/>
                <w:sz w:val="30"/>
                <w:szCs w:val="30"/>
                <w:rtl/>
                <w:lang w:bidi="ar-EG"/>
              </w:rPr>
              <w:t xml:space="preserve">متوسط </w:t>
            </w:r>
            <w:r w:rsidRPr="00ED66E6">
              <w:rPr>
                <w:rFonts w:ascii="Arabic Typesetting" w:hAnsi="Arabic Typesetting" w:cs="Arabic Typesetting" w:hint="cs"/>
                <w:b/>
                <w:color w:val="000000"/>
                <w:sz w:val="30"/>
                <w:szCs w:val="30"/>
                <w:rtl/>
                <w:lang w:bidi="ar-EG"/>
              </w:rPr>
              <w:t>مستوى</w:t>
            </w:r>
            <w:r w:rsidRPr="00ED66E6">
              <w:rPr>
                <w:rFonts w:ascii="Arabic Typesetting" w:hAnsi="Arabic Typesetting" w:cs="Arabic Typesetting"/>
                <w:b/>
                <w:color w:val="000000"/>
                <w:sz w:val="30"/>
                <w:szCs w:val="30"/>
                <w:rtl/>
                <w:lang w:bidi="ar-EG"/>
              </w:rPr>
              <w:t xml:space="preserve"> </w:t>
            </w:r>
            <w:r w:rsidRPr="00ED66E6">
              <w:rPr>
                <w:rFonts w:ascii="Arabic Typesetting" w:hAnsi="Arabic Typesetting" w:cs="Arabic Typesetting" w:hint="cs"/>
                <w:b/>
                <w:color w:val="000000"/>
                <w:sz w:val="30"/>
                <w:szCs w:val="30"/>
                <w:rtl/>
                <w:lang w:bidi="ar-EG"/>
              </w:rPr>
              <w:t>الخدمة</w:t>
            </w:r>
            <w:r w:rsidRPr="00ED66E6">
              <w:rPr>
                <w:rFonts w:ascii="Arabic Typesetting" w:hAnsi="Arabic Typesetting" w:cs="Arabic Typesetting"/>
                <w:b/>
                <w:color w:val="000000"/>
                <w:sz w:val="30"/>
                <w:szCs w:val="30"/>
                <w:rtl/>
                <w:lang w:bidi="ar-EG"/>
              </w:rPr>
              <w:t xml:space="preserve"> </w:t>
            </w:r>
            <w:r w:rsidRPr="00ED66E6">
              <w:rPr>
                <w:rFonts w:ascii="Arabic Typesetting" w:hAnsi="Arabic Typesetting" w:cs="Arabic Typesetting" w:hint="cs"/>
                <w:b/>
                <w:color w:val="000000"/>
                <w:sz w:val="30"/>
                <w:szCs w:val="30"/>
                <w:rtl/>
                <w:lang w:bidi="ar-EG"/>
              </w:rPr>
              <w:t>في</w:t>
            </w:r>
            <w:r w:rsidRPr="00ED66E6">
              <w:rPr>
                <w:rFonts w:ascii="Arabic Typesetting" w:hAnsi="Arabic Typesetting" w:cs="Arabic Typesetting"/>
                <w:b/>
                <w:color w:val="000000"/>
                <w:sz w:val="30"/>
                <w:szCs w:val="30"/>
                <w:rtl/>
                <w:lang w:bidi="ar-EG"/>
              </w:rPr>
              <w:t xml:space="preserve"> </w:t>
            </w:r>
            <w:r w:rsidRPr="00ED66E6">
              <w:rPr>
                <w:rFonts w:ascii="Arabic Typesetting" w:hAnsi="Arabic Typesetting" w:cs="Arabic Typesetting" w:hint="cs"/>
                <w:b/>
                <w:color w:val="000000"/>
                <w:sz w:val="30"/>
                <w:szCs w:val="30"/>
                <w:rtl/>
                <w:lang w:bidi="ar-EG"/>
              </w:rPr>
              <w:t>مكاتب</w:t>
            </w:r>
            <w:r w:rsidRPr="00ED66E6">
              <w:rPr>
                <w:rFonts w:ascii="Arabic Typesetting" w:hAnsi="Arabic Typesetting" w:cs="Arabic Typesetting"/>
                <w:b/>
                <w:color w:val="000000"/>
                <w:sz w:val="30"/>
                <w:szCs w:val="30"/>
                <w:rtl/>
                <w:lang w:bidi="ar-EG"/>
              </w:rPr>
              <w:t xml:space="preserve"> </w:t>
            </w:r>
            <w:r w:rsidRPr="00ED66E6">
              <w:rPr>
                <w:rFonts w:ascii="Arabic Typesetting" w:hAnsi="Arabic Typesetting" w:cs="Arabic Typesetting" w:hint="cs"/>
                <w:b/>
                <w:color w:val="000000"/>
                <w:sz w:val="30"/>
                <w:szCs w:val="30"/>
                <w:rtl/>
                <w:lang w:bidi="ar-EG"/>
              </w:rPr>
              <w:t>الملكية</w:t>
            </w:r>
            <w:r w:rsidRPr="00ED66E6">
              <w:rPr>
                <w:rFonts w:ascii="Arabic Typesetting" w:hAnsi="Arabic Typesetting" w:cs="Arabic Typesetting"/>
                <w:b/>
                <w:color w:val="000000"/>
                <w:sz w:val="30"/>
                <w:szCs w:val="30"/>
                <w:rtl/>
                <w:lang w:bidi="ar-EG"/>
              </w:rPr>
              <w:t xml:space="preserve"> </w:t>
            </w:r>
            <w:r w:rsidRPr="00ED66E6">
              <w:rPr>
                <w:rFonts w:ascii="Arabic Typesetting" w:hAnsi="Arabic Typesetting" w:cs="Arabic Typesetting" w:hint="cs"/>
                <w:b/>
                <w:color w:val="000000"/>
                <w:sz w:val="30"/>
                <w:szCs w:val="30"/>
                <w:rtl/>
                <w:lang w:bidi="ar-EG"/>
              </w:rPr>
              <w:t>الفكرية</w:t>
            </w:r>
            <w:r w:rsidRPr="00ED66E6">
              <w:rPr>
                <w:rFonts w:ascii="Arabic Typesetting" w:hAnsi="Arabic Typesetting" w:cs="Arabic Typesetting"/>
                <w:b/>
                <w:color w:val="000000"/>
                <w:sz w:val="30"/>
                <w:szCs w:val="30"/>
                <w:rtl/>
                <w:lang w:bidi="ar-EG"/>
              </w:rPr>
              <w:t xml:space="preserve"> التي تلقت مساعدة (يتراوح من 1 إلى 5)</w:t>
            </w: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9</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ED66E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10</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r w:rsidR="00486CE1" w:rsidRPr="00FE3908" w:rsidTr="00486CE1">
        <w:trPr>
          <w:cantSplit/>
        </w:trPr>
        <w:tc>
          <w:tcPr>
            <w:tcW w:w="1791" w:type="pct"/>
            <w:shd w:val="clear" w:color="auto" w:fill="auto"/>
            <w:vAlign w:val="center"/>
          </w:tcPr>
          <w:p w:rsidR="00486CE1" w:rsidRPr="006D6E09" w:rsidRDefault="00486CE1" w:rsidP="00486CE1">
            <w:pPr>
              <w:bidi/>
              <w:spacing w:before="60" w:after="60" w:line="280" w:lineRule="exact"/>
              <w:rPr>
                <w:rFonts w:ascii="Arabic Typesetting" w:hAnsi="Arabic Typesetting" w:cs="Arabic Typesetting"/>
                <w:color w:val="000000"/>
                <w:sz w:val="30"/>
                <w:szCs w:val="30"/>
                <w:rtl/>
                <w:lang w:bidi="ar-EG"/>
              </w:rPr>
            </w:pPr>
          </w:p>
        </w:tc>
        <w:tc>
          <w:tcPr>
            <w:tcW w:w="1720" w:type="pct"/>
            <w:shd w:val="clear" w:color="auto" w:fill="auto"/>
            <w:vAlign w:val="center"/>
          </w:tcPr>
          <w:p w:rsidR="00486CE1" w:rsidRPr="00ED66E6" w:rsidRDefault="00486CE1" w:rsidP="00486CE1">
            <w:pPr>
              <w:bidi/>
              <w:spacing w:before="60" w:after="60" w:line="280" w:lineRule="exact"/>
              <w:rPr>
                <w:rFonts w:ascii="Arabic Typesetting" w:hAnsi="Arabic Typesetting" w:cs="Arabic Typesetting"/>
                <w:b/>
                <w:color w:val="000000"/>
                <w:sz w:val="30"/>
                <w:szCs w:val="30"/>
                <w:rtl/>
                <w:lang w:bidi="ar-EG"/>
              </w:rPr>
            </w:pPr>
          </w:p>
        </w:tc>
        <w:tc>
          <w:tcPr>
            <w:tcW w:w="988" w:type="pct"/>
            <w:shd w:val="clear" w:color="auto" w:fill="auto"/>
            <w:vAlign w:val="center"/>
          </w:tcPr>
          <w:p w:rsidR="00486CE1" w:rsidRDefault="00486CE1" w:rsidP="00486CE1">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15</w:t>
            </w:r>
          </w:p>
        </w:tc>
        <w:tc>
          <w:tcPr>
            <w:tcW w:w="501" w:type="pct"/>
            <w:shd w:val="clear" w:color="auto" w:fill="auto"/>
            <w:vAlign w:val="center"/>
          </w:tcPr>
          <w:p w:rsidR="00486CE1" w:rsidRPr="008A6954" w:rsidRDefault="00486CE1" w:rsidP="00486CE1">
            <w:pPr>
              <w:bidi/>
              <w:jc w:val="center"/>
              <w:rPr>
                <w:rFonts w:ascii="Wingdings" w:hAnsi="Wingdings" w:cs="Calibri"/>
                <w:color w:val="10862C"/>
                <w:szCs w:val="22"/>
                <w:lang w:bidi="ar-EG"/>
              </w:rPr>
            </w:pPr>
            <w:r w:rsidRPr="008A6954">
              <w:rPr>
                <w:rFonts w:ascii="Wingdings" w:hAnsi="Wingdings" w:cs="Calibri"/>
                <w:color w:val="10862C"/>
                <w:szCs w:val="22"/>
                <w:lang w:bidi="ar-EG"/>
              </w:rPr>
              <w:t></w:t>
            </w:r>
          </w:p>
        </w:tc>
      </w:tr>
    </w:tbl>
    <w:p w:rsidR="00B31868" w:rsidRPr="00B31868" w:rsidRDefault="00B31868" w:rsidP="00FE0236">
      <w:pPr>
        <w:pStyle w:val="Heading3AR"/>
        <w:spacing w:after="120"/>
        <w:ind w:left="0" w:firstLine="0"/>
        <w:rPr>
          <w:rtl/>
        </w:rPr>
      </w:pPr>
      <w:bookmarkStart w:id="70" w:name="_Toc359865194"/>
      <w:bookmarkStart w:id="71" w:name="_Toc393807103"/>
      <w:bookmarkStart w:id="72" w:name="_Toc393807229"/>
      <w:bookmarkStart w:id="73" w:name="_Toc393807978"/>
      <w:bookmarkStart w:id="74" w:name="_Toc393817938"/>
      <w:bookmarkStart w:id="75" w:name="_Toc450635414"/>
      <w:bookmarkStart w:id="76" w:name="_Toc455393383"/>
      <w:r w:rsidRPr="00B31868">
        <w:rPr>
          <w:rtl/>
        </w:rPr>
        <w:lastRenderedPageBreak/>
        <w:t>البرنامج 12:</w:t>
      </w:r>
      <w:r w:rsidRPr="00B31868">
        <w:rPr>
          <w:rtl/>
        </w:rPr>
        <w:tab/>
        <w:t>التصنيفات والمعايير الدولية</w:t>
      </w:r>
      <w:bookmarkEnd w:id="70"/>
      <w:bookmarkEnd w:id="71"/>
      <w:bookmarkEnd w:id="72"/>
      <w:bookmarkEnd w:id="73"/>
      <w:bookmarkEnd w:id="74"/>
      <w:bookmarkEnd w:id="75"/>
      <w:bookmarkEnd w:id="76"/>
    </w:p>
    <w:p w:rsidR="00B31868" w:rsidRPr="009A48D1" w:rsidRDefault="00B31868" w:rsidP="00FE0236">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b/>
          <w:bCs/>
          <w:sz w:val="36"/>
          <w:szCs w:val="36"/>
          <w:lang w:val="fr-CH"/>
        </w:rPr>
        <w:tab/>
      </w:r>
      <w:r w:rsidRPr="009A48D1">
        <w:rPr>
          <w:rFonts w:ascii="Arabic Typesetting" w:hAnsi="Arabic Typesetting" w:cs="Arabic Typesetting"/>
          <w:b/>
          <w:bCs/>
          <w:sz w:val="36"/>
          <w:szCs w:val="36"/>
          <w:rtl/>
          <w:lang w:val="fr-CH"/>
        </w:rPr>
        <w:t xml:space="preserve">السيد </w:t>
      </w:r>
      <w:proofErr w:type="spellStart"/>
      <w:r w:rsidRPr="009A48D1">
        <w:rPr>
          <w:rFonts w:ascii="Arabic Typesetting" w:hAnsi="Arabic Typesetting" w:cs="Arabic Typesetting"/>
          <w:b/>
          <w:bCs/>
          <w:sz w:val="36"/>
          <w:szCs w:val="36"/>
          <w:rtl/>
          <w:lang w:val="fr-CH"/>
        </w:rPr>
        <w:t>يوشيوكي</w:t>
      </w:r>
      <w:proofErr w:type="spellEnd"/>
      <w:r w:rsidRPr="009A48D1">
        <w:rPr>
          <w:rFonts w:ascii="Arabic Typesetting" w:hAnsi="Arabic Typesetting" w:cs="Arabic Typesetting"/>
          <w:b/>
          <w:bCs/>
          <w:sz w:val="36"/>
          <w:szCs w:val="36"/>
          <w:rtl/>
          <w:lang w:val="fr-CH"/>
        </w:rPr>
        <w:t xml:space="preserve"> </w:t>
      </w:r>
      <w:proofErr w:type="spellStart"/>
      <w:r w:rsidRPr="009A48D1">
        <w:rPr>
          <w:rFonts w:ascii="Arabic Typesetting" w:hAnsi="Arabic Typesetting" w:cs="Arabic Typesetting"/>
          <w:b/>
          <w:bCs/>
          <w:sz w:val="36"/>
          <w:szCs w:val="36"/>
          <w:rtl/>
          <w:lang w:val="fr-CH"/>
        </w:rPr>
        <w:t>تاكاغي</w:t>
      </w:r>
      <w:proofErr w:type="spellEnd"/>
    </w:p>
    <w:p w:rsidR="00B31868" w:rsidRPr="00B31868" w:rsidRDefault="00633634" w:rsidP="00FE0236">
      <w:pPr>
        <w:keepNext/>
        <w:bidi/>
        <w:spacing w:before="120" w:after="240" w:line="340" w:lineRule="exact"/>
        <w:rPr>
          <w:rFonts w:ascii="Arabic Typesetting" w:hAnsi="Arabic Typesetting" w:cs="Arabic Typesetting"/>
          <w:sz w:val="36"/>
          <w:szCs w:val="36"/>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B31868" w:rsidRDefault="00633634" w:rsidP="009A3712">
      <w:pPr>
        <w:numPr>
          <w:ilvl w:val="0"/>
          <w:numId w:val="16"/>
        </w:numPr>
        <w:autoSpaceDE w:val="0"/>
        <w:autoSpaceDN w:val="0"/>
        <w:bidi/>
        <w:adjustRightInd w:val="0"/>
        <w:spacing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على الرغم من التقدم غير المستقر المحرز </w:t>
      </w:r>
      <w:r w:rsidR="00B31868" w:rsidRPr="00B31868">
        <w:rPr>
          <w:rFonts w:ascii="Arabic Typesetting" w:hAnsi="Arabic Typesetting" w:cs="Arabic Typesetting" w:hint="cs"/>
          <w:sz w:val="34"/>
          <w:szCs w:val="34"/>
          <w:rtl/>
          <w:lang w:bidi="ar-EG"/>
        </w:rPr>
        <w:t>في عام 2014</w:t>
      </w:r>
      <w:r>
        <w:rPr>
          <w:rFonts w:ascii="Arabic Typesetting" w:hAnsi="Arabic Typesetting" w:cs="Arabic Typesetting" w:hint="cs"/>
          <w:sz w:val="34"/>
          <w:szCs w:val="34"/>
          <w:rtl/>
          <w:lang w:bidi="ar-EG"/>
        </w:rPr>
        <w:t>، شهد الوضع</w:t>
      </w:r>
      <w:r w:rsidR="00B31868" w:rsidRPr="00B31868">
        <w:rPr>
          <w:rFonts w:ascii="Arabic Typesetting" w:hAnsi="Arabic Typesetting" w:cs="Arabic Typesetting"/>
          <w:sz w:val="34"/>
          <w:szCs w:val="34"/>
          <w:rtl/>
          <w:lang w:bidi="ar-EG"/>
        </w:rPr>
        <w:t xml:space="preserve"> فيما يخص التصنيفات الدولية ومعايير الويبو بشأن الملكية الفكرية</w:t>
      </w:r>
      <w:r>
        <w:rPr>
          <w:rFonts w:ascii="Arabic Typesetting" w:hAnsi="Arabic Typesetting" w:cs="Arabic Typesetting" w:hint="cs"/>
          <w:sz w:val="34"/>
          <w:szCs w:val="34"/>
          <w:rtl/>
          <w:lang w:bidi="ar-EG"/>
        </w:rPr>
        <w:t xml:space="preserve"> تحسناً كبيراً في عام 2015 إذ</w:t>
      </w:r>
      <w:r w:rsidR="00B31868" w:rsidRPr="00B31868">
        <w:rPr>
          <w:rFonts w:ascii="Arabic Typesetting" w:hAnsi="Arabic Typesetting" w:cs="Arabic Typesetting" w:hint="cs"/>
          <w:sz w:val="34"/>
          <w:szCs w:val="34"/>
          <w:rtl/>
          <w:lang w:bidi="ar-EG"/>
        </w:rPr>
        <w:t xml:space="preserve"> تجاوز التوقعات في بعض المجالات </w:t>
      </w:r>
      <w:r>
        <w:rPr>
          <w:rFonts w:ascii="Arabic Typesetting" w:hAnsi="Arabic Typesetting" w:cs="Arabic Typesetting" w:hint="cs"/>
          <w:sz w:val="34"/>
          <w:szCs w:val="34"/>
          <w:rtl/>
          <w:lang w:bidi="ar-EG"/>
        </w:rPr>
        <w:t>و</w:t>
      </w:r>
      <w:r w:rsidR="00B31868" w:rsidRPr="00B31868">
        <w:rPr>
          <w:rFonts w:ascii="Arabic Typesetting" w:hAnsi="Arabic Typesetting" w:cs="Arabic Typesetting" w:hint="cs"/>
          <w:sz w:val="34"/>
          <w:szCs w:val="34"/>
          <w:rtl/>
          <w:lang w:bidi="ar-EG"/>
        </w:rPr>
        <w:t>لكنه لم يلبها في مجالات أخرى.</w:t>
      </w:r>
    </w:p>
    <w:p w:rsidR="00B31868" w:rsidRPr="00B31868" w:rsidRDefault="00B31868" w:rsidP="009A3712">
      <w:pPr>
        <w:numPr>
          <w:ilvl w:val="0"/>
          <w:numId w:val="16"/>
        </w:numPr>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 xml:space="preserve">وفيما يتعلق بتصنيف نيس، أدرج ما مجموعه </w:t>
      </w:r>
      <w:r w:rsidR="00ED3FA6">
        <w:rPr>
          <w:rFonts w:ascii="Arabic Typesetting" w:hAnsi="Arabic Typesetting" w:cs="Arabic Typesetting" w:hint="cs"/>
          <w:sz w:val="34"/>
          <w:szCs w:val="34"/>
          <w:rtl/>
          <w:lang w:bidi="ar-EG"/>
        </w:rPr>
        <w:t>1480</w:t>
      </w:r>
      <w:r w:rsidR="00ED3FA6"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hint="cs"/>
          <w:sz w:val="34"/>
          <w:szCs w:val="34"/>
          <w:rtl/>
          <w:lang w:bidi="ar-EG"/>
        </w:rPr>
        <w:t xml:space="preserve">تعديلا جديدا </w:t>
      </w:r>
      <w:r w:rsidR="00ED3FA6" w:rsidRPr="00B31868">
        <w:rPr>
          <w:rFonts w:ascii="Arabic Typesetting" w:hAnsi="Arabic Typesetting" w:cs="Arabic Typesetting" w:hint="cs"/>
          <w:sz w:val="34"/>
          <w:szCs w:val="34"/>
          <w:rtl/>
          <w:lang w:bidi="ar-EG"/>
        </w:rPr>
        <w:t>و</w:t>
      </w:r>
      <w:r w:rsidR="00AC4867">
        <w:rPr>
          <w:rFonts w:ascii="Arabic Typesetting" w:hAnsi="Arabic Typesetting" w:cs="Arabic Typesetting" w:hint="cs"/>
          <w:sz w:val="34"/>
          <w:szCs w:val="34"/>
          <w:rtl/>
          <w:lang w:bidi="ar-EG"/>
        </w:rPr>
        <w:t>25</w:t>
      </w:r>
      <w:r w:rsidR="00ED3FA6"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hint="cs"/>
          <w:sz w:val="34"/>
          <w:szCs w:val="34"/>
          <w:rtl/>
          <w:lang w:bidi="ar-EG"/>
        </w:rPr>
        <w:t xml:space="preserve">ملف معلومات جديد </w:t>
      </w:r>
      <w:r w:rsidR="00ED3FA6">
        <w:rPr>
          <w:rFonts w:ascii="Arabic Typesetting" w:hAnsi="Arabic Typesetting" w:cs="Arabic Typesetting" w:hint="cs"/>
          <w:sz w:val="34"/>
          <w:szCs w:val="34"/>
          <w:rtl/>
          <w:lang w:bidi="ar-EG"/>
        </w:rPr>
        <w:t>خلال الثنائية</w:t>
      </w:r>
      <w:r w:rsidRPr="00B31868">
        <w:rPr>
          <w:rFonts w:ascii="Arabic Typesetting" w:hAnsi="Arabic Typesetting" w:cs="Arabic Typesetting" w:hint="cs"/>
          <w:sz w:val="34"/>
          <w:szCs w:val="34"/>
          <w:rtl/>
          <w:lang w:bidi="ar-EG"/>
        </w:rPr>
        <w:t xml:space="preserve">. </w:t>
      </w:r>
      <w:r w:rsidR="00ED3FA6" w:rsidRPr="00B31868">
        <w:rPr>
          <w:rFonts w:ascii="Arabic Typesetting" w:hAnsi="Arabic Typesetting" w:cs="Arabic Typesetting" w:hint="cs"/>
          <w:sz w:val="34"/>
          <w:szCs w:val="34"/>
          <w:rtl/>
          <w:lang w:bidi="ar-EG"/>
        </w:rPr>
        <w:t>و</w:t>
      </w:r>
      <w:r w:rsidR="00ED3FA6">
        <w:rPr>
          <w:rFonts w:ascii="Arabic Typesetting" w:hAnsi="Arabic Typesetting" w:cs="Arabic Typesetting" w:hint="cs"/>
          <w:sz w:val="34"/>
          <w:szCs w:val="34"/>
          <w:rtl/>
          <w:lang w:bidi="ar-EG"/>
        </w:rPr>
        <w:t>شهد</w:t>
      </w:r>
      <w:r w:rsidR="00ED3FA6"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hint="cs"/>
          <w:sz w:val="34"/>
          <w:szCs w:val="34"/>
          <w:rtl/>
          <w:lang w:bidi="ar-EG"/>
        </w:rPr>
        <w:t xml:space="preserve">عدد هذه التعديلات زيادة بنسبة 32 </w:t>
      </w:r>
      <w:r w:rsidR="00ED3FA6">
        <w:rPr>
          <w:rFonts w:ascii="Arabic Typesetting" w:hAnsi="Arabic Typesetting" w:cs="Arabic Typesetting" w:hint="cs"/>
          <w:sz w:val="34"/>
          <w:szCs w:val="34"/>
          <w:rtl/>
          <w:lang w:bidi="ar-EG"/>
        </w:rPr>
        <w:t>بالمئة</w:t>
      </w:r>
      <w:r w:rsidRPr="00B31868">
        <w:rPr>
          <w:rFonts w:ascii="Arabic Typesetting" w:hAnsi="Arabic Typesetting" w:cs="Arabic Typesetting" w:hint="cs"/>
          <w:sz w:val="34"/>
          <w:szCs w:val="34"/>
          <w:rtl/>
          <w:lang w:bidi="ar-EG"/>
        </w:rPr>
        <w:t xml:space="preserve"> </w:t>
      </w:r>
      <w:r w:rsidR="00ED3FA6">
        <w:rPr>
          <w:rFonts w:ascii="Arabic Typesetting" w:hAnsi="Arabic Typesetting" w:cs="Arabic Typesetting" w:hint="cs"/>
          <w:sz w:val="34"/>
          <w:szCs w:val="34"/>
          <w:rtl/>
          <w:lang w:bidi="ar-EG"/>
        </w:rPr>
        <w:t xml:space="preserve">مقارنة بالثنائية </w:t>
      </w:r>
      <w:r w:rsidR="00507DE2">
        <w:rPr>
          <w:rFonts w:ascii="Arabic Typesetting" w:hAnsi="Arabic Typesetting" w:cs="Arabic Typesetting" w:hint="cs"/>
          <w:sz w:val="34"/>
          <w:szCs w:val="34"/>
          <w:rtl/>
          <w:lang w:bidi="ar-EG"/>
        </w:rPr>
        <w:t>2012/13</w:t>
      </w:r>
      <w:r w:rsidRPr="00B31868">
        <w:rPr>
          <w:rFonts w:ascii="Arabic Typesetting" w:hAnsi="Arabic Typesetting" w:cs="Arabic Typesetting" w:hint="cs"/>
          <w:sz w:val="34"/>
          <w:szCs w:val="34"/>
          <w:rtl/>
          <w:lang w:bidi="ar-EG"/>
        </w:rPr>
        <w:t>. وفضلا عن ذلك أتيحت النسخة الإسبانية الرسمية العاشرة من تصنيف نيس (</w:t>
      </w:r>
      <w:r w:rsidRPr="00B31868">
        <w:rPr>
          <w:rFonts w:ascii="Arabic Typesetting" w:hAnsi="Arabic Typesetting" w:cs="Arabic Typesetting"/>
          <w:sz w:val="34"/>
          <w:szCs w:val="34"/>
          <w:lang w:bidi="ar-EG"/>
        </w:rPr>
        <w:t>NCL 10-</w:t>
      </w:r>
      <w:r w:rsidR="00ED3FA6" w:rsidRPr="00B31868">
        <w:rPr>
          <w:rFonts w:ascii="Arabic Typesetting" w:hAnsi="Arabic Typesetting" w:cs="Arabic Typesetting"/>
          <w:sz w:val="34"/>
          <w:szCs w:val="34"/>
          <w:lang w:bidi="ar-EG"/>
        </w:rPr>
        <w:t>201</w:t>
      </w:r>
      <w:r w:rsidR="00ED3FA6">
        <w:rPr>
          <w:rFonts w:ascii="Arabic Typesetting" w:hAnsi="Arabic Typesetting" w:cs="Arabic Typesetting"/>
          <w:sz w:val="34"/>
          <w:szCs w:val="34"/>
          <w:lang w:bidi="ar-EG"/>
        </w:rPr>
        <w:t>6</w:t>
      </w:r>
      <w:r w:rsidRPr="00B31868">
        <w:rPr>
          <w:rFonts w:ascii="Arabic Typesetting" w:hAnsi="Arabic Typesetting" w:cs="Arabic Typesetting" w:hint="cs"/>
          <w:sz w:val="34"/>
          <w:szCs w:val="34"/>
          <w:rtl/>
          <w:lang w:bidi="ar-EG"/>
        </w:rPr>
        <w:t>)</w:t>
      </w:r>
      <w:r w:rsidR="00ED3FA6">
        <w:rPr>
          <w:rFonts w:ascii="Arabic Typesetting" w:hAnsi="Arabic Typesetting" w:cs="Arabic Typesetting" w:hint="cs"/>
          <w:sz w:val="34"/>
          <w:szCs w:val="34"/>
          <w:rtl/>
          <w:lang w:bidi="ar-EG"/>
        </w:rPr>
        <w:t xml:space="preserve"> بالنسق نفسه المستخدمة في النسختين الفرنسية والإنكليزية الأصليتين.</w:t>
      </w:r>
      <w:r w:rsidRPr="00B31868">
        <w:rPr>
          <w:rFonts w:ascii="Arabic Typesetting" w:hAnsi="Arabic Typesetting" w:cs="Arabic Typesetting" w:hint="cs"/>
          <w:sz w:val="34"/>
          <w:szCs w:val="34"/>
          <w:rtl/>
          <w:lang w:bidi="ar-EG"/>
        </w:rPr>
        <w:t xml:space="preserve"> </w:t>
      </w:r>
      <w:proofErr w:type="spellStart"/>
      <w:r w:rsidR="00ED3FA6">
        <w:rPr>
          <w:rFonts w:ascii="Arabic Typesetting" w:hAnsi="Arabic Typesetting" w:cs="Arabic Typesetting" w:hint="cs"/>
          <w:sz w:val="34"/>
          <w:szCs w:val="34"/>
          <w:rtl/>
          <w:lang w:bidi="ar-EG"/>
        </w:rPr>
        <w:t>وأتيحت</w:t>
      </w:r>
      <w:proofErr w:type="spellEnd"/>
      <w:r w:rsidR="00ED3FA6">
        <w:rPr>
          <w:rFonts w:ascii="Arabic Typesetting" w:hAnsi="Arabic Typesetting" w:cs="Arabic Typesetting" w:hint="cs"/>
          <w:sz w:val="34"/>
          <w:szCs w:val="34"/>
          <w:rtl/>
          <w:lang w:bidi="ar-EG"/>
        </w:rPr>
        <w:t xml:space="preserve"> أيضاً كل النسخ السابقة (من الأولى إلى العاشرة) بالنسق الجديد.</w:t>
      </w:r>
    </w:p>
    <w:p w:rsidR="00B31868" w:rsidRPr="00B31868" w:rsidRDefault="00B31868" w:rsidP="009A3712">
      <w:pPr>
        <w:numPr>
          <w:ilvl w:val="0"/>
          <w:numId w:val="16"/>
        </w:numPr>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وفيما يخص التصنيف الدولي للبراءات، دُشّنت واجهة النشر المعَدَّلة في أبريل 2014، بما في ذلك أداة بحث وأداة استعراض بالتوازي للتصنيف الدولي للبراءات و</w:t>
      </w:r>
      <w:r w:rsidRPr="00B31868">
        <w:rPr>
          <w:rFonts w:ascii="Arabic Typesetting" w:hAnsi="Arabic Typesetting" w:cs="Arabic Typesetting"/>
          <w:sz w:val="34"/>
          <w:szCs w:val="34"/>
          <w:rtl/>
          <w:lang w:bidi="ar-EG"/>
        </w:rPr>
        <w:t>تصنيف البراءات التعاوني</w:t>
      </w:r>
      <w:r w:rsidRPr="00B31868">
        <w:rPr>
          <w:rFonts w:ascii="Arabic Typesetting" w:hAnsi="Arabic Typesetting" w:cs="Arabic Typesetting" w:hint="cs"/>
          <w:sz w:val="34"/>
          <w:szCs w:val="34"/>
          <w:rtl/>
          <w:lang w:bidi="ar-EG"/>
        </w:rPr>
        <w:t xml:space="preserve"> ومؤشر الإيداع (</w:t>
      </w:r>
      <w:r w:rsidRPr="00B31868">
        <w:rPr>
          <w:rFonts w:ascii="Arabic Typesetting" w:hAnsi="Arabic Typesetting" w:cs="Arabic Typesetting"/>
          <w:sz w:val="34"/>
          <w:szCs w:val="34"/>
          <w:lang w:bidi="ar-EG"/>
        </w:rPr>
        <w:t>IPC/CPC/FI parallel viewer</w:t>
      </w:r>
      <w:r w:rsidRPr="00B31868">
        <w:rPr>
          <w:rFonts w:ascii="Arabic Typesetting" w:hAnsi="Arabic Typesetting" w:cs="Arabic Typesetting" w:hint="cs"/>
          <w:sz w:val="34"/>
          <w:szCs w:val="34"/>
          <w:rtl/>
          <w:lang w:bidi="ar-EG"/>
        </w:rPr>
        <w:t xml:space="preserve">)، لتيسير استخدام النظام. ونظرا </w:t>
      </w:r>
      <w:r w:rsidR="00ED3FA6">
        <w:rPr>
          <w:rFonts w:ascii="Arabic Typesetting" w:hAnsi="Arabic Typesetting" w:cs="Arabic Typesetting" w:hint="cs"/>
          <w:sz w:val="34"/>
          <w:szCs w:val="34"/>
          <w:rtl/>
          <w:lang w:bidi="ar-EG"/>
        </w:rPr>
        <w:t>إلى زيادة</w:t>
      </w:r>
      <w:r w:rsidR="00ED3FA6"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hint="cs"/>
          <w:sz w:val="34"/>
          <w:szCs w:val="34"/>
          <w:rtl/>
          <w:lang w:bidi="ar-EG"/>
        </w:rPr>
        <w:t xml:space="preserve">عدد مشروعات المراجعة </w:t>
      </w:r>
      <w:r w:rsidR="00DE63AA">
        <w:rPr>
          <w:rFonts w:ascii="Arabic Typesetting" w:hAnsi="Arabic Typesetting" w:cs="Arabic Typesetting" w:hint="cs"/>
          <w:sz w:val="34"/>
          <w:szCs w:val="34"/>
          <w:rtl/>
          <w:lang w:bidi="ar-EG"/>
        </w:rPr>
        <w:t xml:space="preserve">الجديدة التي تنفذها المكاتب الخمسة الكبرى للملكية الفكرية ومجتمع التصنيف الدولي للبراءات، تجاوز </w:t>
      </w:r>
      <w:r w:rsidRPr="00B31868">
        <w:rPr>
          <w:rFonts w:ascii="Arabic Typesetting" w:hAnsi="Arabic Typesetting" w:cs="Arabic Typesetting" w:hint="cs"/>
          <w:sz w:val="34"/>
          <w:szCs w:val="34"/>
          <w:rtl/>
          <w:lang w:bidi="ar-EG"/>
        </w:rPr>
        <w:t xml:space="preserve">عدد التقسيمات الفرعية المدرج في عام </w:t>
      </w:r>
      <w:r w:rsidR="00DE63AA">
        <w:rPr>
          <w:rFonts w:ascii="Arabic Typesetting" w:hAnsi="Arabic Typesetting" w:cs="Arabic Typesetting" w:hint="cs"/>
          <w:sz w:val="34"/>
          <w:szCs w:val="34"/>
          <w:rtl/>
          <w:lang w:bidi="ar-EG"/>
        </w:rPr>
        <w:t>2015</w:t>
      </w:r>
      <w:r w:rsidR="00DE63AA"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hint="cs"/>
          <w:sz w:val="34"/>
          <w:szCs w:val="34"/>
          <w:rtl/>
          <w:lang w:bidi="ar-EG"/>
        </w:rPr>
        <w:t>(</w:t>
      </w:r>
      <w:r w:rsidR="00DE63AA">
        <w:rPr>
          <w:rFonts w:ascii="Arabic Typesetting" w:hAnsi="Arabic Typesetting" w:cs="Arabic Typesetting" w:hint="cs"/>
          <w:sz w:val="34"/>
          <w:szCs w:val="34"/>
          <w:rtl/>
          <w:lang w:bidi="ar-EG"/>
        </w:rPr>
        <w:t>1031</w:t>
      </w:r>
      <w:r w:rsidRPr="00B31868">
        <w:rPr>
          <w:rFonts w:ascii="Arabic Typesetting" w:hAnsi="Arabic Typesetting" w:cs="Arabic Typesetting" w:hint="cs"/>
          <w:sz w:val="34"/>
          <w:szCs w:val="34"/>
          <w:rtl/>
          <w:lang w:bidi="ar-EG"/>
        </w:rPr>
        <w:t>)</w:t>
      </w:r>
      <w:r w:rsidR="00DE63AA">
        <w:rPr>
          <w:rFonts w:ascii="Arabic Typesetting" w:hAnsi="Arabic Typesetting" w:cs="Arabic Typesetting" w:hint="cs"/>
          <w:sz w:val="34"/>
          <w:szCs w:val="34"/>
          <w:rtl/>
          <w:lang w:bidi="ar-EG"/>
        </w:rPr>
        <w:t xml:space="preserve"> الهدف المتوقع بنسبة 28 بالمئة معوضاً بذلك النتيجة غير المحققة في عام 2014</w:t>
      </w:r>
      <w:r w:rsidRPr="00B31868">
        <w:rPr>
          <w:rFonts w:ascii="Arabic Typesetting" w:hAnsi="Arabic Typesetting" w:cs="Arabic Typesetting" w:hint="cs"/>
          <w:sz w:val="34"/>
          <w:szCs w:val="34"/>
          <w:rtl/>
          <w:lang w:bidi="ar-EG"/>
        </w:rPr>
        <w:t>.</w:t>
      </w:r>
    </w:p>
    <w:p w:rsidR="00B31868" w:rsidRPr="00B31868" w:rsidRDefault="00B31868" w:rsidP="009A3712">
      <w:pPr>
        <w:numPr>
          <w:ilvl w:val="0"/>
          <w:numId w:val="16"/>
        </w:numPr>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ولم تتمكن</w:t>
      </w:r>
      <w:r w:rsidRPr="00B31868">
        <w:rPr>
          <w:rFonts w:ascii="Arabic Typesetting" w:hAnsi="Arabic Typesetting" w:cs="Arabic Typesetting"/>
          <w:sz w:val="34"/>
          <w:szCs w:val="34"/>
          <w:rtl/>
          <w:lang w:bidi="ar-EG"/>
        </w:rPr>
        <w:t xml:space="preserve"> اللجنة المعنية بمعايير الويبو</w:t>
      </w:r>
      <w:r w:rsidRPr="00B31868">
        <w:rPr>
          <w:rFonts w:ascii="Arabic Typesetting" w:hAnsi="Arabic Typesetting" w:cs="Arabic Typesetting" w:hint="cs"/>
          <w:sz w:val="34"/>
          <w:szCs w:val="34"/>
          <w:rtl/>
          <w:lang w:bidi="ar-EG"/>
        </w:rPr>
        <w:t xml:space="preserve"> من أن تعتمد في دورتها الرابعة جدول الأعمال، ما أدى إلى عدم إضفاء الطابع الرسمي على القرارات غير الرسمية. وعلى الرغم من هذا التراجع اعتمد معيار واحد وروجع معيار آخر على نحو غير رسمي في عام 2014.</w:t>
      </w:r>
      <w:r w:rsidR="00DE63AA">
        <w:rPr>
          <w:rFonts w:ascii="Arabic Typesetting" w:hAnsi="Arabic Typesetting" w:cs="Arabic Typesetting" w:hint="cs"/>
          <w:sz w:val="34"/>
          <w:szCs w:val="34"/>
          <w:rtl/>
          <w:lang w:bidi="ar-EG"/>
        </w:rPr>
        <w:t xml:space="preserve"> واستمر هذا الوضع في عام 2015 ما أدى إلى عدم الموافقة الرسمية على المعايير الجديدة. ومع ذلك، تواصل العمل غير الرسمي في إطار الأفرقة المخصصة المؤلفة من خبراء عينهم أعضاء اللجنة المعنية بمعايير الويبو والهيئات المراقبة لتولي مهام مخصصة. ويتوقع اعتماد عدة معايير في دورة اللجنة المعنية بمعايير الويبو المقبلة في عام 2016.</w:t>
      </w:r>
    </w:p>
    <w:p w:rsidR="00B31868" w:rsidRPr="00B83920" w:rsidRDefault="00B31868" w:rsidP="009A3712">
      <w:pPr>
        <w:numPr>
          <w:ilvl w:val="0"/>
          <w:numId w:val="16"/>
        </w:numPr>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B83920">
        <w:rPr>
          <w:rFonts w:ascii="Arabic Typesetting" w:hAnsi="Arabic Typesetting" w:cs="Arabic Typesetting" w:hint="cs"/>
          <w:sz w:val="34"/>
          <w:szCs w:val="34"/>
          <w:rtl/>
          <w:lang w:bidi="ar-EG"/>
        </w:rPr>
        <w:t xml:space="preserve">وشهد استخدام الأدوات المتاحة على الإنترنت للنفاذ إلى التصنيفات ومنشورات المعايير نموا ثابتا بحيث ارتفع عدد زيارات منشورات التصنيف الدولي للبراءات ارتفاعا كبيرا (زيادة بنسبة </w:t>
      </w:r>
      <w:r w:rsidR="00DE63AA" w:rsidRPr="00B83920">
        <w:rPr>
          <w:rFonts w:ascii="Arabic Typesetting" w:hAnsi="Arabic Typesetting" w:cs="Arabic Typesetting" w:hint="cs"/>
          <w:sz w:val="34"/>
          <w:szCs w:val="34"/>
          <w:rtl/>
          <w:lang w:bidi="ar-EG"/>
        </w:rPr>
        <w:t>107 بالمئة</w:t>
      </w:r>
      <w:r w:rsidRPr="00B83920">
        <w:rPr>
          <w:rFonts w:ascii="Arabic Typesetting" w:hAnsi="Arabic Typesetting" w:cs="Arabic Typesetting" w:hint="cs"/>
          <w:sz w:val="34"/>
          <w:szCs w:val="34"/>
          <w:rtl/>
          <w:lang w:bidi="ar-EG"/>
        </w:rPr>
        <w:t xml:space="preserve"> </w:t>
      </w:r>
      <w:r w:rsidR="00DE63AA" w:rsidRPr="00B83920">
        <w:rPr>
          <w:rFonts w:ascii="Arabic Typesetting" w:hAnsi="Arabic Typesetting" w:cs="Arabic Typesetting" w:hint="cs"/>
          <w:sz w:val="34"/>
          <w:szCs w:val="34"/>
          <w:rtl/>
          <w:lang w:bidi="ar-EG"/>
        </w:rPr>
        <w:t>مقارنة ب</w:t>
      </w:r>
      <w:r w:rsidRPr="00B83920">
        <w:rPr>
          <w:rFonts w:ascii="Arabic Typesetting" w:hAnsi="Arabic Typesetting" w:cs="Arabic Typesetting" w:hint="cs"/>
          <w:sz w:val="34"/>
          <w:szCs w:val="34"/>
          <w:rtl/>
          <w:lang w:bidi="ar-EG"/>
        </w:rPr>
        <w:t xml:space="preserve">عام 2013)، وذلك بفضل إدراج تصنيفات منقحة وأدوات جديدة. وزاد أيضا عدد زيارات منشور نيس والصفحة الرئيسية لتصنيف </w:t>
      </w:r>
      <w:proofErr w:type="spellStart"/>
      <w:r w:rsidRPr="00B83920">
        <w:rPr>
          <w:rFonts w:ascii="Arabic Typesetting" w:hAnsi="Arabic Typesetting" w:cs="Arabic Typesetting" w:hint="cs"/>
          <w:sz w:val="34"/>
          <w:szCs w:val="34"/>
          <w:rtl/>
          <w:lang w:bidi="ar-EG"/>
        </w:rPr>
        <w:t>لوكارنو</w:t>
      </w:r>
      <w:proofErr w:type="spellEnd"/>
      <w:r w:rsidR="00DE63AA" w:rsidRPr="00B83920">
        <w:rPr>
          <w:rFonts w:ascii="Arabic Typesetting" w:hAnsi="Arabic Typesetting" w:cs="Arabic Typesetting" w:hint="cs"/>
          <w:sz w:val="34"/>
          <w:szCs w:val="34"/>
          <w:rtl/>
          <w:lang w:bidi="ar-EG"/>
        </w:rPr>
        <w:t xml:space="preserve"> والصفحة الرئيسية ل</w:t>
      </w:r>
      <w:r w:rsidR="00B83920" w:rsidRPr="00B83920">
        <w:rPr>
          <w:rFonts w:ascii="Arabic Typesetting" w:hAnsi="Arabic Typesetting" w:cs="Arabic Typesetting" w:hint="cs"/>
          <w:sz w:val="34"/>
          <w:szCs w:val="34"/>
          <w:rtl/>
          <w:lang w:bidi="ar-EG"/>
        </w:rPr>
        <w:t>تصنيف</w:t>
      </w:r>
      <w:r w:rsidR="00DE63AA" w:rsidRPr="00B83920">
        <w:rPr>
          <w:rFonts w:ascii="Arabic Typesetting" w:hAnsi="Arabic Typesetting" w:cs="Arabic Typesetting" w:hint="cs"/>
          <w:sz w:val="34"/>
          <w:szCs w:val="34"/>
          <w:rtl/>
          <w:lang w:bidi="ar-EG"/>
        </w:rPr>
        <w:t xml:space="preserve"> فيينا</w:t>
      </w:r>
      <w:r w:rsidRPr="00B83920">
        <w:rPr>
          <w:rFonts w:ascii="Arabic Typesetting" w:hAnsi="Arabic Typesetting" w:cs="Arabic Typesetting" w:hint="cs"/>
          <w:sz w:val="34"/>
          <w:szCs w:val="34"/>
          <w:rtl/>
          <w:lang w:bidi="ar-EG"/>
        </w:rPr>
        <w:t xml:space="preserve"> </w:t>
      </w:r>
      <w:r w:rsidR="00B83920" w:rsidRPr="00B83920">
        <w:rPr>
          <w:rFonts w:ascii="Arabic Typesetting" w:hAnsi="Arabic Typesetting" w:cs="Arabic Typesetting" w:hint="cs"/>
          <w:sz w:val="34"/>
          <w:szCs w:val="34"/>
          <w:rtl/>
          <w:lang w:bidi="ar-EG"/>
        </w:rPr>
        <w:t>بنسبة 14 بالمئة و39.1 بالمئة و7.4 بالمئة على التوالي</w:t>
      </w:r>
      <w:r w:rsidRPr="00B83920">
        <w:rPr>
          <w:rFonts w:ascii="Arabic Typesetting" w:hAnsi="Arabic Typesetting" w:cs="Arabic Typesetting" w:hint="cs"/>
          <w:sz w:val="34"/>
          <w:szCs w:val="34"/>
          <w:rtl/>
          <w:lang w:bidi="ar-EG"/>
        </w:rPr>
        <w:t xml:space="preserve">. </w:t>
      </w:r>
      <w:r w:rsidR="00B83920" w:rsidRPr="00B83920">
        <w:rPr>
          <w:rFonts w:ascii="Arabic Typesetting" w:hAnsi="Arabic Typesetting" w:cs="Arabic Typesetting" w:hint="cs"/>
          <w:sz w:val="34"/>
          <w:szCs w:val="34"/>
          <w:rtl/>
          <w:lang w:bidi="ar-EG"/>
        </w:rPr>
        <w:t xml:space="preserve">وظل عدد زيارات الصفحة الرئيسية لتصنيف نيس مستقراً في حين انخفض عدد زيارات الصفحة الرئيسية للتصنيف الدولي للبراءات بنسبة 6.6 بالمئة. </w:t>
      </w:r>
      <w:r w:rsidRPr="00B83920">
        <w:rPr>
          <w:rFonts w:ascii="Arabic Typesetting" w:hAnsi="Arabic Typesetting" w:cs="Arabic Typesetting" w:hint="cs"/>
          <w:sz w:val="34"/>
          <w:szCs w:val="34"/>
          <w:rtl/>
          <w:lang w:bidi="ar-EG"/>
        </w:rPr>
        <w:t xml:space="preserve">وانخفض عدد زيارات كتيب معايير الويبو </w:t>
      </w:r>
      <w:r w:rsidR="00B83920">
        <w:rPr>
          <w:rFonts w:ascii="Arabic Typesetting" w:hAnsi="Arabic Typesetting" w:cs="Arabic Typesetting" w:hint="cs"/>
          <w:sz w:val="34"/>
          <w:szCs w:val="34"/>
          <w:rtl/>
          <w:lang w:bidi="ar-EG"/>
        </w:rPr>
        <w:t>بنسبة 26.7 بالمئة</w:t>
      </w:r>
      <w:r w:rsidRPr="00B83920">
        <w:rPr>
          <w:rFonts w:ascii="Arabic Typesetting" w:hAnsi="Arabic Typesetting" w:cs="Arabic Typesetting" w:hint="cs"/>
          <w:sz w:val="34"/>
          <w:szCs w:val="34"/>
          <w:rtl/>
          <w:lang w:bidi="ar-EG"/>
        </w:rPr>
        <w:t xml:space="preserve"> عن عام 2013، وذلك ربما بسبب التحديات المؤسسية التي تواجهها اللجنة المعنية بمعايير الويبو.</w:t>
      </w:r>
      <w:r w:rsidR="00B83920">
        <w:rPr>
          <w:rFonts w:ascii="Arabic Typesetting" w:hAnsi="Arabic Typesetting" w:cs="Arabic Typesetting" w:hint="cs"/>
          <w:sz w:val="34"/>
          <w:szCs w:val="34"/>
          <w:rtl/>
          <w:lang w:bidi="ar-EG"/>
        </w:rPr>
        <w:t xml:space="preserve"> وسجل العام الثاني من الثنائية نتائج أفضل من العام الأول بوجه عام.</w:t>
      </w:r>
    </w:p>
    <w:p w:rsidR="00B31868" w:rsidRPr="00B31868" w:rsidRDefault="00B31868" w:rsidP="009A3712">
      <w:pPr>
        <w:numPr>
          <w:ilvl w:val="0"/>
          <w:numId w:val="16"/>
        </w:numPr>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ولا يزال</w:t>
      </w:r>
      <w:r w:rsidRPr="00B31868">
        <w:rPr>
          <w:rFonts w:ascii="Arabic Typesetting" w:hAnsi="Arabic Typesetting" w:cs="Arabic Typesetting"/>
          <w:sz w:val="34"/>
          <w:szCs w:val="34"/>
          <w:rtl/>
          <w:lang w:bidi="ar-EG"/>
        </w:rPr>
        <w:t xml:space="preserve"> عمل البرنامج 12 </w:t>
      </w:r>
      <w:r w:rsidRPr="00B31868">
        <w:rPr>
          <w:rFonts w:ascii="Arabic Typesetting" w:hAnsi="Arabic Typesetting" w:cs="Arabic Typesetting" w:hint="cs"/>
          <w:sz w:val="34"/>
          <w:szCs w:val="34"/>
          <w:rtl/>
          <w:lang w:bidi="ar-EG"/>
        </w:rPr>
        <w:t>يدعم تنفيذ التوصيات 8 و30 و31</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من</w:t>
      </w:r>
      <w:r w:rsidRPr="00B31868">
        <w:rPr>
          <w:rFonts w:ascii="Arabic Typesetting" w:hAnsi="Arabic Typesetting" w:cs="Arabic Typesetting"/>
          <w:sz w:val="34"/>
          <w:szCs w:val="34"/>
          <w:rtl/>
          <w:lang w:bidi="ar-EG"/>
        </w:rPr>
        <w:t xml:space="preserve"> جدول أعمال التنمية عن طريق تيسير نفاذ البلدان النامية إلى المعلومات المتاحة </w:t>
      </w:r>
      <w:r w:rsidRPr="00B31868">
        <w:rPr>
          <w:rFonts w:ascii="Arabic Typesetting" w:hAnsi="Arabic Typesetting" w:cs="Arabic Typesetting" w:hint="cs"/>
          <w:sz w:val="34"/>
          <w:szCs w:val="34"/>
          <w:rtl/>
          <w:lang w:bidi="ar-EG"/>
        </w:rPr>
        <w:t>للجمهور</w:t>
      </w:r>
      <w:r w:rsidRPr="00B31868">
        <w:rPr>
          <w:rFonts w:ascii="Arabic Typesetting" w:hAnsi="Arabic Typesetting" w:cs="Arabic Typesetting"/>
          <w:sz w:val="34"/>
          <w:szCs w:val="34"/>
          <w:rtl/>
          <w:lang w:bidi="ar-EG"/>
        </w:rPr>
        <w:t xml:space="preserve"> بشأن البراءات. ومن ثم فهو يسهم أيضا في الجهود المتعلقة بنقل التكنولوجيا.</w:t>
      </w:r>
      <w:r w:rsidR="00B83920">
        <w:rPr>
          <w:rFonts w:ascii="Arabic Typesetting" w:hAnsi="Arabic Typesetting" w:cs="Arabic Typesetting" w:hint="cs"/>
          <w:sz w:val="34"/>
          <w:szCs w:val="34"/>
          <w:rtl/>
          <w:lang w:bidi="ar-EG"/>
        </w:rPr>
        <w:t xml:space="preserve"> وخلال عامي 2014 و2015، شهدت زيارات البلدان النامية إلى الصفحة الرئيسية للتصنيف الدولي للبراءات والصفحة الرئيسية لتصنيف نيس ومنشور نيس وكتيب معايير الويبو زيادة كبيرة بلغت 9.1 بالمئة و36 بالمئة و11.7 بالمئة و15.7 بالمئة على التوالي في حين شهد عدد زيارات الصفحة الرئيسية لتصنيف </w:t>
      </w:r>
      <w:proofErr w:type="spellStart"/>
      <w:r w:rsidR="00B83920">
        <w:rPr>
          <w:rFonts w:ascii="Arabic Typesetting" w:hAnsi="Arabic Typesetting" w:cs="Arabic Typesetting" w:hint="cs"/>
          <w:sz w:val="34"/>
          <w:szCs w:val="34"/>
          <w:rtl/>
          <w:lang w:bidi="ar-EG"/>
        </w:rPr>
        <w:t>لوكارنو</w:t>
      </w:r>
      <w:proofErr w:type="spellEnd"/>
      <w:r w:rsidR="00B83920">
        <w:rPr>
          <w:rFonts w:ascii="Arabic Typesetting" w:hAnsi="Arabic Typesetting" w:cs="Arabic Typesetting" w:hint="cs"/>
          <w:sz w:val="34"/>
          <w:szCs w:val="34"/>
          <w:rtl/>
          <w:lang w:bidi="ar-EG"/>
        </w:rPr>
        <w:t xml:space="preserve"> والصفحة الرئيسية لتصنيف فيينا انخفاضاً نسبته 12.8 بالمئة و31.1 بالمئة على التوالي.</w:t>
      </w:r>
    </w:p>
    <w:p w:rsidR="00B31868" w:rsidRPr="00E439F5" w:rsidRDefault="00B31868" w:rsidP="00086C3F">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sz w:val="34"/>
          <w:szCs w:val="34"/>
          <w:rtl/>
          <w:lang w:val="fr-CH"/>
        </w:rPr>
        <w:lastRenderedPageBreak/>
        <w:t>بيانات الأداء</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2"/>
        <w:gridCol w:w="2410"/>
        <w:gridCol w:w="1701"/>
        <w:gridCol w:w="2551"/>
        <w:gridCol w:w="817"/>
      </w:tblGrid>
      <w:tr w:rsidR="00B83920" w:rsidRPr="00211D55" w:rsidTr="00B83920">
        <w:trPr>
          <w:cantSplit/>
        </w:trPr>
        <w:tc>
          <w:tcPr>
            <w:tcW w:w="9571" w:type="dxa"/>
            <w:gridSpan w:val="5"/>
            <w:shd w:val="clear" w:color="auto" w:fill="C6D9F1" w:themeFill="text2" w:themeFillTint="33"/>
            <w:vAlign w:val="center"/>
          </w:tcPr>
          <w:p w:rsidR="00B83920" w:rsidRPr="00211D55" w:rsidRDefault="00B83920" w:rsidP="00660F20">
            <w:pPr>
              <w:keepNext/>
              <w:keepLines/>
              <w:bidi/>
              <w:spacing w:beforeLines="60" w:before="144" w:afterLines="60" w:after="144" w:line="280" w:lineRule="exact"/>
              <w:ind w:left="1133" w:hanging="1133"/>
              <w:rPr>
                <w:rFonts w:ascii="Arabic Typesetting" w:hAnsi="Arabic Typesetting" w:cs="Arabic Typesetting"/>
                <w:sz w:val="28"/>
                <w:szCs w:val="28"/>
                <w:rtl/>
                <w:lang w:bidi="ar-EG"/>
              </w:rPr>
            </w:pPr>
            <w:r w:rsidRPr="00211D55">
              <w:rPr>
                <w:rFonts w:ascii="Arabic Typesetting" w:hAnsi="Arabic Typesetting" w:cs="Arabic Typesetting"/>
                <w:b/>
                <w:bCs/>
                <w:sz w:val="28"/>
                <w:szCs w:val="28"/>
                <w:rtl/>
                <w:lang w:bidi="ar-EG"/>
              </w:rPr>
              <w:t>النتيجة المرتقبة:</w:t>
            </w:r>
            <w:r w:rsidRPr="00211D55">
              <w:rPr>
                <w:rFonts w:ascii="Arabic Typesetting" w:hAnsi="Arabic Typesetting" w:cs="Arabic Typesetting"/>
                <w:sz w:val="28"/>
                <w:szCs w:val="28"/>
                <w:lang w:bidi="ar-EG"/>
              </w:rPr>
              <w:tab/>
            </w:r>
            <w:r w:rsidRPr="00211D55">
              <w:rPr>
                <w:rFonts w:ascii="Arabic Typesetting" w:hAnsi="Arabic Typesetting" w:cs="Arabic Typesetting"/>
                <w:sz w:val="28"/>
                <w:szCs w:val="28"/>
                <w:rtl/>
                <w:lang w:bidi="ar-EG"/>
              </w:rPr>
              <w:t xml:space="preserve">ه1.4 </w:t>
            </w:r>
            <w:r w:rsidR="009947B0">
              <w:rPr>
                <w:rFonts w:ascii="Arabic Typesetting" w:hAnsi="Arabic Typesetting" w:cs="Arabic Typesetting"/>
                <w:sz w:val="28"/>
                <w:szCs w:val="28"/>
                <w:rtl/>
                <w:lang w:bidi="ar-EG"/>
              </w:rPr>
              <w:t>نظام مستحدث ومقبول عالميا للتصنيفات الدولية ومعايير الويبو بهدف تيسير النفاذ إلى معلومات الملكية الفكرية والانتفاع بها ونشرها في صفوف أصحاب المصلحة في أنحاء العالم</w:t>
            </w:r>
          </w:p>
        </w:tc>
      </w:tr>
      <w:tr w:rsidR="00B31868" w:rsidRPr="00211D55" w:rsidTr="00B83920">
        <w:trPr>
          <w:cantSplit/>
        </w:trPr>
        <w:tc>
          <w:tcPr>
            <w:tcW w:w="2092" w:type="dxa"/>
            <w:tcBorders>
              <w:bottom w:val="nil"/>
              <w:right w:val="nil"/>
            </w:tcBorders>
            <w:vAlign w:val="center"/>
          </w:tcPr>
          <w:p w:rsidR="00B31868" w:rsidRPr="00211D55" w:rsidRDefault="00B31868" w:rsidP="00660F20">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2410" w:type="dxa"/>
            <w:tcBorders>
              <w:left w:val="nil"/>
              <w:bottom w:val="nil"/>
              <w:right w:val="nil"/>
            </w:tcBorders>
          </w:tcPr>
          <w:p w:rsidR="00B31868" w:rsidRPr="00211D55" w:rsidRDefault="00B31868" w:rsidP="00660F20">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 xml:space="preserve">أسس المقارنة </w:t>
            </w:r>
          </w:p>
        </w:tc>
        <w:tc>
          <w:tcPr>
            <w:tcW w:w="1701" w:type="dxa"/>
            <w:tcBorders>
              <w:left w:val="nil"/>
              <w:bottom w:val="nil"/>
              <w:right w:val="nil"/>
            </w:tcBorders>
            <w:vAlign w:val="center"/>
          </w:tcPr>
          <w:p w:rsidR="00B31868" w:rsidRPr="00211D55" w:rsidRDefault="00B31868" w:rsidP="00660F20">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 xml:space="preserve">الأهداف </w:t>
            </w:r>
          </w:p>
        </w:tc>
        <w:tc>
          <w:tcPr>
            <w:tcW w:w="2551" w:type="dxa"/>
            <w:tcBorders>
              <w:left w:val="nil"/>
              <w:bottom w:val="nil"/>
              <w:right w:val="nil"/>
            </w:tcBorders>
            <w:vAlign w:val="center"/>
          </w:tcPr>
          <w:p w:rsidR="00B31868" w:rsidRPr="00211D55" w:rsidRDefault="00B31868" w:rsidP="00660F20">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817" w:type="dxa"/>
            <w:tcBorders>
              <w:left w:val="nil"/>
              <w:bottom w:val="nil"/>
            </w:tcBorders>
            <w:vAlign w:val="center"/>
          </w:tcPr>
          <w:p w:rsidR="00B31868" w:rsidRPr="00211D55" w:rsidRDefault="00B31868" w:rsidP="00660F20">
            <w:pPr>
              <w:keepNext/>
              <w:keepLines/>
              <w:bidi/>
              <w:spacing w:before="60" w:after="60" w:line="280" w:lineRule="exact"/>
              <w:jc w:val="center"/>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F417DC">
        <w:trPr>
          <w:cantSplit/>
        </w:trPr>
        <w:tc>
          <w:tcPr>
            <w:tcW w:w="2092" w:type="dxa"/>
            <w:tcBorders>
              <w:top w:val="nil"/>
              <w:bottom w:val="nil"/>
              <w:right w:val="nil"/>
            </w:tcBorders>
          </w:tcPr>
          <w:p w:rsidR="00B31868" w:rsidRPr="00211D55" w:rsidRDefault="00B31868" w:rsidP="00660F20">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color w:val="000000"/>
                <w:sz w:val="28"/>
                <w:szCs w:val="28"/>
                <w:rtl/>
                <w:lang w:bidi="ar-EG"/>
              </w:rPr>
              <w:t xml:space="preserve">عدد التعديلات وملفات المعلومات التي </w:t>
            </w:r>
            <w:r w:rsidR="00B83920" w:rsidRPr="00211D55">
              <w:rPr>
                <w:rFonts w:ascii="Arabic Typesetting" w:hAnsi="Arabic Typesetting" w:cs="Arabic Typesetting"/>
                <w:color w:val="000000"/>
                <w:sz w:val="28"/>
                <w:szCs w:val="28"/>
                <w:rtl/>
                <w:lang w:bidi="ar-EG"/>
              </w:rPr>
              <w:t>أُدرجت</w:t>
            </w:r>
            <w:r w:rsidRPr="00211D55">
              <w:rPr>
                <w:rFonts w:ascii="Arabic Typesetting" w:hAnsi="Arabic Typesetting" w:cs="Arabic Typesetting"/>
                <w:color w:val="000000"/>
                <w:sz w:val="28"/>
                <w:szCs w:val="28"/>
                <w:rtl/>
                <w:lang w:bidi="ar-EG"/>
              </w:rPr>
              <w:t xml:space="preserve"> في تصنيف نيس</w:t>
            </w:r>
          </w:p>
        </w:tc>
        <w:tc>
          <w:tcPr>
            <w:tcW w:w="2410" w:type="dxa"/>
            <w:tcBorders>
              <w:top w:val="nil"/>
              <w:left w:val="nil"/>
              <w:bottom w:val="nil"/>
              <w:right w:val="nil"/>
            </w:tcBorders>
          </w:tcPr>
          <w:p w:rsidR="00A214AF" w:rsidRPr="00211D55" w:rsidRDefault="00B31868" w:rsidP="00660F20">
            <w:pPr>
              <w:bidi/>
              <w:spacing w:before="60" w:after="60" w:line="28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p>
          <w:p w:rsidR="00B31868" w:rsidRPr="00211D55" w:rsidRDefault="00B83920" w:rsidP="00660F20">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color w:val="002060"/>
                <w:sz w:val="28"/>
                <w:szCs w:val="28"/>
                <w:rtl/>
                <w:lang w:bidi="ar-EG"/>
              </w:rPr>
              <w:t xml:space="preserve">423 </w:t>
            </w:r>
            <w:r w:rsidR="00B31868" w:rsidRPr="00211D55">
              <w:rPr>
                <w:rFonts w:ascii="Arabic Typesetting" w:hAnsi="Arabic Typesetting" w:cs="Arabic Typesetting"/>
                <w:b/>
                <w:color w:val="002060"/>
                <w:sz w:val="28"/>
                <w:szCs w:val="28"/>
                <w:rtl/>
                <w:lang w:bidi="ar-EG"/>
              </w:rPr>
              <w:t>تعديلا في 2013</w:t>
            </w:r>
            <w:r w:rsidRPr="00F96634">
              <w:rPr>
                <w:rFonts w:ascii="Arabic Typesetting" w:hAnsi="Arabic Typesetting" w:cs="Arabic Typesetting"/>
                <w:b/>
                <w:color w:val="002060"/>
                <w:sz w:val="28"/>
                <w:szCs w:val="28"/>
                <w:vertAlign w:val="superscript"/>
                <w:rtl/>
                <w:lang w:bidi="ar-EG"/>
              </w:rPr>
              <w:footnoteReference w:id="81"/>
            </w:r>
          </w:p>
          <w:p w:rsidR="00B31868" w:rsidRPr="00211D55" w:rsidRDefault="00B31868" w:rsidP="00660F20">
            <w:pPr>
              <w:bidi/>
              <w:spacing w:before="60" w:after="60" w:line="280" w:lineRule="exact"/>
              <w:rPr>
                <w:rFonts w:ascii="Arabic Typesetting" w:hAnsi="Arabic Typesetting" w:cs="Arabic Typesetting"/>
                <w:b/>
                <w:color w:val="002060"/>
                <w:sz w:val="28"/>
                <w:szCs w:val="28"/>
              </w:rPr>
            </w:pPr>
            <w:r w:rsidRPr="00211D55">
              <w:rPr>
                <w:rFonts w:ascii="Arabic Typesetting" w:hAnsi="Arabic Typesetting" w:cs="Arabic Typesetting"/>
                <w:b/>
                <w:color w:val="002060"/>
                <w:sz w:val="28"/>
                <w:szCs w:val="28"/>
                <w:rtl/>
                <w:lang w:bidi="ar-EG"/>
              </w:rPr>
              <w:t>339 تعديلا في 2012</w:t>
            </w:r>
          </w:p>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9 ملفات معلومات منقحة و17 ملف معلومات جديد مودع</w:t>
            </w:r>
          </w:p>
          <w:p w:rsidR="00B31868" w:rsidRPr="00211D55" w:rsidRDefault="00B31868"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عدد التعديلات وملفات المعلومات التي أُدرجت خلال عام 2013.</w:t>
            </w:r>
          </w:p>
        </w:tc>
        <w:tc>
          <w:tcPr>
            <w:tcW w:w="1701" w:type="dxa"/>
            <w:tcBorders>
              <w:top w:val="nil"/>
              <w:left w:val="nil"/>
              <w:bottom w:val="nil"/>
              <w:right w:val="nil"/>
            </w:tcBorders>
          </w:tcPr>
          <w:p w:rsidR="00B31868" w:rsidRPr="00211D55" w:rsidRDefault="00B31868" w:rsidP="00660F20">
            <w:pPr>
              <w:bidi/>
              <w:spacing w:before="60" w:after="60"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bidi="ar-EG"/>
              </w:rPr>
              <w:t xml:space="preserve">مقارنة الزيادة مع أساس المقارنة </w:t>
            </w:r>
          </w:p>
        </w:tc>
        <w:tc>
          <w:tcPr>
            <w:tcW w:w="2551" w:type="dxa"/>
            <w:tcBorders>
              <w:top w:val="nil"/>
              <w:left w:val="nil"/>
              <w:bottom w:val="nil"/>
              <w:right w:val="nil"/>
            </w:tcBorders>
          </w:tcPr>
          <w:p w:rsidR="00F417DC" w:rsidRPr="00211D55" w:rsidRDefault="00F417DC"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1480 تعديلاً خلال الثنائية:</w:t>
            </w:r>
          </w:p>
          <w:p w:rsidR="00F417DC" w:rsidRPr="00211D55" w:rsidRDefault="00F417DC"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560 تعديلاً في عام 2014</w:t>
            </w:r>
            <w:r w:rsidRPr="00F96634">
              <w:rPr>
                <w:rFonts w:ascii="Arabic Typesetting" w:hAnsi="Arabic Typesetting" w:cs="Arabic Typesetting"/>
                <w:sz w:val="28"/>
                <w:szCs w:val="28"/>
                <w:vertAlign w:val="superscript"/>
                <w:rtl/>
                <w:lang w:bidi="ar-EG"/>
              </w:rPr>
              <w:footnoteReference w:id="82"/>
            </w:r>
          </w:p>
          <w:p w:rsidR="00B31868" w:rsidRPr="00211D55" w:rsidRDefault="00F417DC" w:rsidP="009A3712">
            <w:pPr>
              <w:numPr>
                <w:ilvl w:val="0"/>
                <w:numId w:val="15"/>
              </w:numPr>
              <w:bidi/>
              <w:spacing w:before="60" w:after="6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274 </w:t>
            </w:r>
            <w:r w:rsidR="00B31868" w:rsidRPr="00211D55">
              <w:rPr>
                <w:rFonts w:ascii="Arabic Typesetting" w:hAnsi="Arabic Typesetting" w:cs="Arabic Typesetting"/>
                <w:sz w:val="28"/>
                <w:szCs w:val="28"/>
                <w:rtl/>
                <w:lang w:bidi="ar-EG"/>
              </w:rPr>
              <w:t>بالإنكليزية</w:t>
            </w:r>
          </w:p>
          <w:p w:rsidR="00B31868" w:rsidRPr="00211D55" w:rsidRDefault="00F417DC" w:rsidP="009A3712">
            <w:pPr>
              <w:numPr>
                <w:ilvl w:val="0"/>
                <w:numId w:val="15"/>
              </w:numPr>
              <w:bidi/>
              <w:spacing w:before="60" w:after="6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286 </w:t>
            </w:r>
            <w:r w:rsidR="00B31868" w:rsidRPr="00211D55">
              <w:rPr>
                <w:rFonts w:ascii="Arabic Typesetting" w:hAnsi="Arabic Typesetting" w:cs="Arabic Typesetting"/>
                <w:sz w:val="28"/>
                <w:szCs w:val="28"/>
                <w:rtl/>
                <w:lang w:bidi="ar-EG"/>
              </w:rPr>
              <w:t>بالفرنسية</w:t>
            </w:r>
          </w:p>
          <w:p w:rsidR="00B31868" w:rsidRPr="00211D55" w:rsidRDefault="00F417DC"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920 تعديلا في عام 2015</w:t>
            </w:r>
          </w:p>
          <w:p w:rsidR="00F417DC" w:rsidRPr="00211D55" w:rsidRDefault="00F417DC" w:rsidP="009A3712">
            <w:pPr>
              <w:numPr>
                <w:ilvl w:val="0"/>
                <w:numId w:val="15"/>
              </w:numPr>
              <w:bidi/>
              <w:spacing w:before="60" w:after="60" w:line="280" w:lineRule="exact"/>
              <w:ind w:left="284" w:hanging="284"/>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496 بالإنكليزية</w:t>
            </w:r>
          </w:p>
          <w:p w:rsidR="00F417DC" w:rsidRPr="00211D55" w:rsidRDefault="00F417DC" w:rsidP="009A3712">
            <w:pPr>
              <w:numPr>
                <w:ilvl w:val="0"/>
                <w:numId w:val="15"/>
              </w:numPr>
              <w:bidi/>
              <w:spacing w:before="60" w:after="6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424 بالفرنسية</w:t>
            </w:r>
          </w:p>
          <w:p w:rsidR="00B31868" w:rsidRPr="00211D55" w:rsidRDefault="00F417DC"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43 ملف معلومات منقح</w:t>
            </w:r>
          </w:p>
          <w:p w:rsidR="00F417DC" w:rsidRPr="00211D55" w:rsidRDefault="00F417DC" w:rsidP="009A3712">
            <w:pPr>
              <w:numPr>
                <w:ilvl w:val="0"/>
                <w:numId w:val="15"/>
              </w:numPr>
              <w:bidi/>
              <w:spacing w:before="60" w:after="6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39 (2014)</w:t>
            </w:r>
          </w:p>
          <w:p w:rsidR="00F417DC" w:rsidRPr="00211D55" w:rsidRDefault="00F417DC" w:rsidP="009A3712">
            <w:pPr>
              <w:numPr>
                <w:ilvl w:val="0"/>
                <w:numId w:val="15"/>
              </w:numPr>
              <w:bidi/>
              <w:spacing w:before="60" w:after="6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4 (2015)</w:t>
            </w:r>
          </w:p>
          <w:p w:rsidR="00F417DC" w:rsidRPr="00211D55" w:rsidRDefault="00F417DC"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إدراج 25 ملف معلومات جديد</w:t>
            </w:r>
          </w:p>
          <w:p w:rsidR="00F417DC" w:rsidRPr="00211D55" w:rsidRDefault="00F417DC" w:rsidP="009A3712">
            <w:pPr>
              <w:numPr>
                <w:ilvl w:val="0"/>
                <w:numId w:val="15"/>
              </w:numPr>
              <w:bidi/>
              <w:spacing w:before="60" w:after="6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20 (2014)</w:t>
            </w:r>
          </w:p>
          <w:p w:rsidR="00B31868" w:rsidRPr="00211D55" w:rsidRDefault="00F417DC" w:rsidP="009A3712">
            <w:pPr>
              <w:numPr>
                <w:ilvl w:val="0"/>
                <w:numId w:val="15"/>
              </w:numPr>
              <w:bidi/>
              <w:spacing w:before="60" w:after="60" w:line="280" w:lineRule="exact"/>
              <w:ind w:left="284" w:hanging="284"/>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5 (2015)</w:t>
            </w:r>
          </w:p>
        </w:tc>
        <w:tc>
          <w:tcPr>
            <w:tcW w:w="817" w:type="dxa"/>
            <w:tcBorders>
              <w:top w:val="nil"/>
              <w:left w:val="nil"/>
              <w:bottom w:val="nil"/>
            </w:tcBorders>
          </w:tcPr>
          <w:p w:rsidR="00B31868" w:rsidRPr="00211D55" w:rsidRDefault="00F417DC" w:rsidP="00660F20">
            <w:pPr>
              <w:keepNext/>
              <w:bidi/>
              <w:spacing w:before="60" w:after="2000" w:line="280" w:lineRule="exact"/>
              <w:jc w:val="center"/>
              <w:rPr>
                <w:rFonts w:ascii="Arabic Typesetting" w:hAnsi="Arabic Typesetting" w:cs="Arabic Typesetting"/>
                <w:b/>
                <w:bCs/>
                <w:color w:val="008000"/>
                <w:sz w:val="28"/>
                <w:szCs w:val="28"/>
                <w:rtl/>
              </w:rPr>
            </w:pPr>
            <w:r w:rsidRPr="00211D55">
              <w:rPr>
                <w:rFonts w:ascii="Arabic Typesetting" w:hAnsi="Arabic Typesetting" w:cs="Arabic Typesetting"/>
                <w:b/>
                <w:bCs/>
                <w:color w:val="008000"/>
                <w:sz w:val="28"/>
                <w:szCs w:val="28"/>
                <w:rtl/>
                <w:lang w:bidi="ar-EG"/>
              </w:rPr>
              <w:t>محقق كلياً</w:t>
            </w:r>
          </w:p>
          <w:p w:rsidR="00F417DC" w:rsidRPr="00211D55" w:rsidRDefault="00F417DC" w:rsidP="00660F20">
            <w:pPr>
              <w:keepNext/>
              <w:bidi/>
              <w:spacing w:before="60" w:after="660" w:line="280" w:lineRule="exact"/>
              <w:jc w:val="center"/>
              <w:rPr>
                <w:rFonts w:ascii="Arabic Typesetting" w:hAnsi="Arabic Typesetting" w:cs="Arabic Typesetting"/>
                <w:bCs/>
                <w:sz w:val="28"/>
                <w:szCs w:val="28"/>
              </w:rPr>
            </w:pPr>
            <w:r w:rsidRPr="00211D55">
              <w:rPr>
                <w:rFonts w:ascii="Arabic Typesetting" w:hAnsi="Arabic Typesetting" w:cs="Arabic Typesetting"/>
                <w:b/>
                <w:bCs/>
                <w:color w:val="008000"/>
                <w:sz w:val="28"/>
                <w:szCs w:val="28"/>
                <w:rtl/>
                <w:lang w:bidi="ar-EG"/>
              </w:rPr>
              <w:t>محقق كلياً</w:t>
            </w:r>
          </w:p>
          <w:p w:rsidR="00B31868" w:rsidRPr="00211D55" w:rsidRDefault="00F417DC" w:rsidP="00660F20">
            <w:pPr>
              <w:keepNext/>
              <w:bidi/>
              <w:spacing w:before="60" w:after="60" w:line="280" w:lineRule="exact"/>
              <w:jc w:val="center"/>
              <w:rPr>
                <w:rFonts w:ascii="Arabic Typesetting" w:hAnsi="Arabic Typesetting" w:cs="Arabic Typesetting"/>
                <w:b/>
                <w:bCs/>
                <w:color w:val="808080"/>
                <w:sz w:val="28"/>
                <w:szCs w:val="28"/>
                <w:rtl/>
              </w:rPr>
            </w:pPr>
            <w:r w:rsidRPr="00211D55">
              <w:rPr>
                <w:rFonts w:ascii="Arabic Typesetting" w:hAnsi="Arabic Typesetting" w:cs="Arabic Typesetting"/>
                <w:b/>
                <w:bCs/>
                <w:color w:val="008000"/>
                <w:sz w:val="28"/>
                <w:szCs w:val="28"/>
                <w:rtl/>
                <w:lang w:bidi="ar-EG"/>
              </w:rPr>
              <w:t>محقق كلياً</w:t>
            </w:r>
          </w:p>
        </w:tc>
      </w:tr>
      <w:tr w:rsidR="00B31868" w:rsidRPr="00211D55" w:rsidTr="00F417DC">
        <w:trPr>
          <w:cantSplit/>
        </w:trPr>
        <w:tc>
          <w:tcPr>
            <w:tcW w:w="2092" w:type="dxa"/>
            <w:tcBorders>
              <w:top w:val="nil"/>
              <w:bottom w:val="nil"/>
              <w:right w:val="nil"/>
            </w:tcBorders>
          </w:tcPr>
          <w:p w:rsidR="00B31868" w:rsidRPr="00211D55" w:rsidRDefault="00B31868" w:rsidP="00660F20">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color w:val="000000"/>
                <w:sz w:val="28"/>
                <w:szCs w:val="28"/>
                <w:rtl/>
                <w:lang w:bidi="ar-EG"/>
              </w:rPr>
              <w:t>عدد التقسيمات الفرعية الجديدة التي أُدخلت في التصنيف الدولي للبراءات سنويا</w:t>
            </w:r>
          </w:p>
        </w:tc>
        <w:tc>
          <w:tcPr>
            <w:tcW w:w="2410" w:type="dxa"/>
            <w:tcBorders>
              <w:top w:val="nil"/>
              <w:left w:val="nil"/>
              <w:bottom w:val="nil"/>
              <w:right w:val="nil"/>
            </w:tcBorders>
          </w:tcPr>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617</w:t>
            </w:r>
          </w:p>
          <w:p w:rsidR="00B31868" w:rsidRPr="00211D55" w:rsidRDefault="00B31868"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500 مجموعة جديدة (بلغ متوسط عام 2009- 13 مجموعة)</w:t>
            </w:r>
          </w:p>
        </w:tc>
        <w:tc>
          <w:tcPr>
            <w:tcW w:w="1701" w:type="dxa"/>
            <w:tcBorders>
              <w:top w:val="nil"/>
              <w:left w:val="nil"/>
              <w:bottom w:val="nil"/>
              <w:right w:val="nil"/>
            </w:tcBorders>
          </w:tcPr>
          <w:p w:rsidR="00B31868" w:rsidRPr="00211D55" w:rsidRDefault="00B31868" w:rsidP="00660F20">
            <w:pPr>
              <w:bidi/>
              <w:spacing w:before="60" w:after="60"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bidi="ar-EG"/>
              </w:rPr>
              <w:t xml:space="preserve">800 مجموعة جديدة سنويا </w:t>
            </w:r>
          </w:p>
        </w:tc>
        <w:tc>
          <w:tcPr>
            <w:tcW w:w="2551" w:type="dxa"/>
            <w:tcBorders>
              <w:top w:val="nil"/>
              <w:left w:val="nil"/>
              <w:bottom w:val="nil"/>
              <w:right w:val="nil"/>
            </w:tcBorders>
          </w:tcPr>
          <w:p w:rsidR="00B31868" w:rsidRPr="00211D55" w:rsidRDefault="00F417DC"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2014: </w:t>
            </w:r>
            <w:r w:rsidR="00B31868" w:rsidRPr="00211D55">
              <w:rPr>
                <w:rFonts w:ascii="Arabic Typesetting" w:hAnsi="Arabic Typesetting" w:cs="Arabic Typesetting"/>
                <w:sz w:val="28"/>
                <w:szCs w:val="28"/>
                <w:rtl/>
                <w:lang w:bidi="ar-EG"/>
              </w:rPr>
              <w:t>337 مجموعة جديدة أدرجت في النسخة الأولى من التصنيف الدولي للبراءات لعام 2015</w:t>
            </w:r>
          </w:p>
          <w:p w:rsidR="00F417DC" w:rsidRPr="00211D55" w:rsidRDefault="00F417DC"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2015: 1031 مجموعة جديدة أدرجت في النسخة الأولى من التصنيف الدولي للبراءات لعام 2016</w:t>
            </w:r>
          </w:p>
        </w:tc>
        <w:tc>
          <w:tcPr>
            <w:tcW w:w="817" w:type="dxa"/>
            <w:tcBorders>
              <w:top w:val="nil"/>
              <w:left w:val="nil"/>
              <w:bottom w:val="nil"/>
            </w:tcBorders>
          </w:tcPr>
          <w:p w:rsidR="00B31868" w:rsidRPr="00211D55" w:rsidRDefault="00F417DC" w:rsidP="00660F20">
            <w:pPr>
              <w:keepNext/>
              <w:bidi/>
              <w:spacing w:before="60" w:after="600" w:line="280" w:lineRule="exact"/>
              <w:jc w:val="center"/>
              <w:rPr>
                <w:rFonts w:ascii="Arabic Typesetting" w:hAnsi="Arabic Typesetting" w:cs="Arabic Typesetting"/>
                <w:bCs/>
                <w:color w:val="FF0000"/>
                <w:sz w:val="28"/>
                <w:szCs w:val="28"/>
                <w:rtl/>
                <w:lang w:bidi="ar-EG"/>
              </w:rPr>
            </w:pPr>
            <w:r w:rsidRPr="00211D55">
              <w:rPr>
                <w:rFonts w:ascii="Arabic Typesetting" w:hAnsi="Arabic Typesetting" w:cs="Arabic Typesetting"/>
                <w:b/>
                <w:bCs/>
                <w:color w:val="E26B0A"/>
                <w:sz w:val="28"/>
                <w:szCs w:val="28"/>
                <w:rtl/>
              </w:rPr>
              <w:t>محقق جزئياً</w:t>
            </w:r>
          </w:p>
          <w:p w:rsidR="00F417DC" w:rsidRPr="00211D55" w:rsidRDefault="00F417DC" w:rsidP="00660F20">
            <w:pPr>
              <w:keepNext/>
              <w:bidi/>
              <w:spacing w:before="60" w:after="60" w:line="280" w:lineRule="exact"/>
              <w:jc w:val="center"/>
              <w:rPr>
                <w:rFonts w:ascii="Arabic Typesetting" w:hAnsi="Arabic Typesetting" w:cs="Arabic Typesetting"/>
                <w:bCs/>
                <w:color w:val="FF0000"/>
                <w:sz w:val="28"/>
                <w:szCs w:val="28"/>
              </w:rPr>
            </w:pPr>
            <w:r w:rsidRPr="00211D55">
              <w:rPr>
                <w:rFonts w:ascii="Arabic Typesetting" w:hAnsi="Arabic Typesetting" w:cs="Arabic Typesetting"/>
                <w:b/>
                <w:bCs/>
                <w:color w:val="008000"/>
                <w:sz w:val="28"/>
                <w:szCs w:val="28"/>
                <w:rtl/>
                <w:lang w:bidi="ar-EG"/>
              </w:rPr>
              <w:t>محقق كلياً</w:t>
            </w:r>
          </w:p>
        </w:tc>
      </w:tr>
      <w:tr w:rsidR="00B31868" w:rsidRPr="00211D55" w:rsidTr="00F417DC">
        <w:trPr>
          <w:cantSplit/>
        </w:trPr>
        <w:tc>
          <w:tcPr>
            <w:tcW w:w="2092" w:type="dxa"/>
            <w:tcBorders>
              <w:top w:val="nil"/>
              <w:bottom w:val="single" w:sz="4" w:space="0" w:color="auto"/>
              <w:right w:val="nil"/>
            </w:tcBorders>
          </w:tcPr>
          <w:p w:rsidR="00B31868" w:rsidRPr="00211D55" w:rsidRDefault="00B31868"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عدد المعايير </w:t>
            </w:r>
            <w:r w:rsidR="00F417DC" w:rsidRPr="00211D55">
              <w:rPr>
                <w:rFonts w:ascii="Arabic Typesetting" w:hAnsi="Arabic Typesetting" w:cs="Arabic Typesetting"/>
                <w:sz w:val="28"/>
                <w:szCs w:val="28"/>
                <w:rtl/>
                <w:lang w:bidi="ar-EG"/>
              </w:rPr>
              <w:t xml:space="preserve">المعدلة </w:t>
            </w:r>
            <w:r w:rsidRPr="00211D55">
              <w:rPr>
                <w:rFonts w:ascii="Arabic Typesetting" w:hAnsi="Arabic Typesetting" w:cs="Arabic Typesetting"/>
                <w:sz w:val="28"/>
                <w:szCs w:val="28"/>
                <w:rtl/>
                <w:lang w:bidi="ar-EG"/>
              </w:rPr>
              <w:t>وعدد المعايير الجديدة</w:t>
            </w:r>
            <w:r w:rsidR="00F417DC" w:rsidRPr="00211D55">
              <w:rPr>
                <w:rFonts w:ascii="Arabic Typesetting" w:hAnsi="Arabic Typesetting" w:cs="Arabic Typesetting"/>
                <w:sz w:val="28"/>
                <w:szCs w:val="28"/>
                <w:rtl/>
                <w:lang w:bidi="ar-EG"/>
              </w:rPr>
              <w:t xml:space="preserve"> المعتمدة</w:t>
            </w:r>
          </w:p>
        </w:tc>
        <w:tc>
          <w:tcPr>
            <w:tcW w:w="2410" w:type="dxa"/>
            <w:tcBorders>
              <w:top w:val="nil"/>
              <w:left w:val="nil"/>
              <w:bottom w:val="single" w:sz="4" w:space="0" w:color="auto"/>
              <w:right w:val="nil"/>
            </w:tcBorders>
          </w:tcPr>
          <w:p w:rsidR="00A214AF" w:rsidRPr="00211D55" w:rsidRDefault="00B31868" w:rsidP="00660F20">
            <w:pPr>
              <w:bidi/>
              <w:spacing w:before="60" w:after="60" w:line="28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p>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اعتمد معيار واحد وعُدّل معياران في 2012</w:t>
            </w:r>
          </w:p>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عُدّل معيار واحد إضافة إلى المسرد في 2013</w:t>
            </w:r>
          </w:p>
          <w:p w:rsidR="00B31868" w:rsidRPr="00211D55" w:rsidRDefault="00B31868"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 xml:space="preserve">سيحدد متوسط الفترة </w:t>
            </w:r>
            <w:r w:rsidR="00507DE2">
              <w:rPr>
                <w:rFonts w:ascii="Arabic Typesetting" w:hAnsi="Arabic Typesetting" w:cs="Arabic Typesetting"/>
                <w:b/>
                <w:sz w:val="28"/>
                <w:szCs w:val="28"/>
                <w:rtl/>
                <w:lang w:bidi="ar-EG"/>
              </w:rPr>
              <w:t>2012/13</w:t>
            </w:r>
            <w:r w:rsidRPr="00211D55">
              <w:rPr>
                <w:rFonts w:ascii="Arabic Typesetting" w:hAnsi="Arabic Typesetting" w:cs="Arabic Typesetting"/>
                <w:b/>
                <w:sz w:val="28"/>
                <w:szCs w:val="28"/>
                <w:rtl/>
                <w:lang w:bidi="ar-EG"/>
              </w:rPr>
              <w:t xml:space="preserve"> فيما بعد</w:t>
            </w:r>
          </w:p>
        </w:tc>
        <w:tc>
          <w:tcPr>
            <w:tcW w:w="1701" w:type="dxa"/>
            <w:tcBorders>
              <w:top w:val="nil"/>
              <w:left w:val="nil"/>
              <w:bottom w:val="single" w:sz="4" w:space="0" w:color="auto"/>
              <w:right w:val="nil"/>
            </w:tcBorders>
          </w:tcPr>
          <w:p w:rsidR="00B31868" w:rsidRPr="00211D55" w:rsidRDefault="00B31868" w:rsidP="00660F20">
            <w:pPr>
              <w:bidi/>
              <w:spacing w:before="60" w:after="60" w:line="280" w:lineRule="exact"/>
              <w:rPr>
                <w:rFonts w:ascii="Arabic Typesetting" w:hAnsi="Arabic Typesetting" w:cs="Arabic Typesetting"/>
                <w:sz w:val="28"/>
                <w:szCs w:val="28"/>
                <w:rtl/>
                <w:lang w:val="fr-CH" w:bidi="ar-EG"/>
              </w:rPr>
            </w:pPr>
            <w:r w:rsidRPr="00211D55">
              <w:rPr>
                <w:rFonts w:ascii="Arabic Typesetting" w:hAnsi="Arabic Typesetting" w:cs="Arabic Typesetting"/>
                <w:sz w:val="28"/>
                <w:szCs w:val="28"/>
                <w:rtl/>
                <w:lang w:bidi="ar-EG"/>
              </w:rPr>
              <w:t xml:space="preserve">مقارنة الزيادة مع أساس المقارنة </w:t>
            </w:r>
          </w:p>
        </w:tc>
        <w:tc>
          <w:tcPr>
            <w:tcW w:w="2551" w:type="dxa"/>
            <w:tcBorders>
              <w:top w:val="nil"/>
              <w:left w:val="nil"/>
              <w:bottom w:val="single" w:sz="4" w:space="0" w:color="auto"/>
              <w:right w:val="nil"/>
            </w:tcBorders>
          </w:tcPr>
          <w:p w:rsidR="00B31868" w:rsidRPr="00211D55" w:rsidRDefault="00B31868" w:rsidP="00660F20">
            <w:pPr>
              <w:bidi/>
              <w:spacing w:before="60" w:after="12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اعتماد معاير واحد جديد ومراجعة آخر على نحو غير رسمي (2014)</w:t>
            </w:r>
          </w:p>
          <w:p w:rsidR="00F417DC" w:rsidRPr="00211D55" w:rsidRDefault="00F417DC" w:rsidP="00660F20">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عدم اعتماد أي معايير جديدة رسمياً. مراجعة معيارين (2015)</w:t>
            </w:r>
          </w:p>
        </w:tc>
        <w:tc>
          <w:tcPr>
            <w:tcW w:w="817" w:type="dxa"/>
            <w:tcBorders>
              <w:top w:val="nil"/>
              <w:left w:val="nil"/>
              <w:bottom w:val="single" w:sz="4" w:space="0" w:color="auto"/>
            </w:tcBorders>
          </w:tcPr>
          <w:p w:rsidR="00B31868" w:rsidRPr="00211D55" w:rsidRDefault="00F417DC" w:rsidP="00660F20">
            <w:pPr>
              <w:keepNext/>
              <w:bidi/>
              <w:spacing w:before="60" w:after="60" w:line="280" w:lineRule="exact"/>
              <w:jc w:val="center"/>
              <w:rPr>
                <w:rFonts w:ascii="Arabic Typesetting" w:hAnsi="Arabic Typesetting" w:cs="Arabic Typesetting"/>
                <w:bCs/>
                <w:color w:val="FF0000"/>
                <w:sz w:val="28"/>
                <w:szCs w:val="28"/>
              </w:rPr>
            </w:pPr>
            <w:r w:rsidRPr="00211D55">
              <w:rPr>
                <w:rFonts w:ascii="Arabic Typesetting" w:hAnsi="Arabic Typesetting" w:cs="Arabic Typesetting"/>
                <w:b/>
                <w:bCs/>
                <w:color w:val="E26B0A"/>
                <w:sz w:val="28"/>
                <w:szCs w:val="28"/>
                <w:rtl/>
              </w:rPr>
              <w:t>محقق جزئياً</w:t>
            </w:r>
          </w:p>
        </w:tc>
      </w:tr>
      <w:tr w:rsidR="00B31868" w:rsidRPr="00211D55" w:rsidTr="00F417DC">
        <w:trPr>
          <w:cantSplit/>
        </w:trPr>
        <w:tc>
          <w:tcPr>
            <w:tcW w:w="2092" w:type="dxa"/>
            <w:tcBorders>
              <w:top w:val="single" w:sz="4" w:space="0" w:color="auto"/>
              <w:left w:val="single" w:sz="4" w:space="0" w:color="auto"/>
              <w:bottom w:val="single" w:sz="4" w:space="0" w:color="auto"/>
              <w:right w:val="nil"/>
            </w:tcBorders>
          </w:tcPr>
          <w:p w:rsidR="00B31868" w:rsidRPr="00211D55" w:rsidRDefault="00B31868"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color w:val="000000"/>
                <w:sz w:val="28"/>
                <w:szCs w:val="28"/>
                <w:rtl/>
                <w:lang w:bidi="ar-EG"/>
              </w:rPr>
              <w:lastRenderedPageBreak/>
              <w:t>عدد المستخدمين القادرين على النفاذ إلى منشورات الإنترنت للتصنيفات والمعايير الدولية، ولا سيما من البلدان النامية</w:t>
            </w:r>
          </w:p>
        </w:tc>
        <w:tc>
          <w:tcPr>
            <w:tcW w:w="2410" w:type="dxa"/>
            <w:tcBorders>
              <w:top w:val="single" w:sz="4" w:space="0" w:color="auto"/>
              <w:left w:val="nil"/>
              <w:bottom w:val="single" w:sz="4" w:space="0" w:color="auto"/>
              <w:right w:val="nil"/>
            </w:tcBorders>
          </w:tcPr>
          <w:p w:rsidR="00A214AF" w:rsidRPr="00211D55" w:rsidRDefault="00B31868" w:rsidP="00660F20">
            <w:pPr>
              <w:bidi/>
              <w:spacing w:before="60" w:after="60" w:line="28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p>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صفحة التصنيف الدولي للبراءات: 093 387</w:t>
            </w:r>
          </w:p>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منشور التصنيف الدولي للبراءات: 032 670 (بإسقاط من بيانات يناير – مايو 2013 وتسوية بنفس طريقة القياس المستعملة في بيانات 2014)</w:t>
            </w:r>
          </w:p>
          <w:p w:rsidR="00B31868" w:rsidRPr="00211D55" w:rsidRDefault="00B31868" w:rsidP="00660F20">
            <w:pPr>
              <w:bidi/>
              <w:spacing w:before="12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صفحة نيس: 846 533</w:t>
            </w:r>
          </w:p>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منشور نيس: 409 386 2</w:t>
            </w:r>
          </w:p>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 xml:space="preserve">صفحة </w:t>
            </w:r>
            <w:proofErr w:type="spellStart"/>
            <w:r w:rsidRPr="00211D55">
              <w:rPr>
                <w:rFonts w:ascii="Arabic Typesetting" w:hAnsi="Arabic Typesetting" w:cs="Arabic Typesetting"/>
                <w:b/>
                <w:color w:val="002060"/>
                <w:sz w:val="28"/>
                <w:szCs w:val="28"/>
                <w:rtl/>
              </w:rPr>
              <w:t>لوكارنو</w:t>
            </w:r>
            <w:proofErr w:type="spellEnd"/>
            <w:r w:rsidRPr="00211D55">
              <w:rPr>
                <w:rFonts w:ascii="Arabic Typesetting" w:hAnsi="Arabic Typesetting" w:cs="Arabic Typesetting"/>
                <w:b/>
                <w:color w:val="002060"/>
                <w:sz w:val="28"/>
                <w:szCs w:val="28"/>
                <w:rtl/>
              </w:rPr>
              <w:t>: 727 36</w:t>
            </w:r>
          </w:p>
          <w:p w:rsidR="009E60C0" w:rsidRPr="00211D55" w:rsidRDefault="009E60C0"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صفحة فيينا: 416 32</w:t>
            </w:r>
          </w:p>
          <w:p w:rsidR="00B31868" w:rsidRPr="00211D55" w:rsidRDefault="00B31868" w:rsidP="00660F20">
            <w:pPr>
              <w:bidi/>
              <w:spacing w:before="60" w:after="60" w:line="280" w:lineRule="exact"/>
              <w:rPr>
                <w:rFonts w:ascii="Arabic Typesetting" w:hAnsi="Arabic Typesetting" w:cs="Arabic Typesetting"/>
                <w:b/>
                <w:color w:val="002060"/>
                <w:sz w:val="28"/>
                <w:szCs w:val="28"/>
                <w:rtl/>
              </w:rPr>
            </w:pPr>
            <w:r w:rsidRPr="00211D55">
              <w:rPr>
                <w:rFonts w:ascii="Arabic Typesetting" w:hAnsi="Arabic Typesetting" w:cs="Arabic Typesetting"/>
                <w:b/>
                <w:color w:val="002060"/>
                <w:sz w:val="28"/>
                <w:szCs w:val="28"/>
                <w:rtl/>
              </w:rPr>
              <w:t>معايير الويبو (كُتيّب): 463 94</w:t>
            </w:r>
          </w:p>
          <w:p w:rsidR="00B31868" w:rsidRPr="00211D55" w:rsidRDefault="00B31868" w:rsidP="00660F20">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سيحدد في نهاية عام 2013</w:t>
            </w:r>
          </w:p>
        </w:tc>
        <w:tc>
          <w:tcPr>
            <w:tcW w:w="1701" w:type="dxa"/>
            <w:tcBorders>
              <w:top w:val="single" w:sz="4" w:space="0" w:color="auto"/>
              <w:left w:val="nil"/>
              <w:bottom w:val="single" w:sz="4" w:space="0" w:color="auto"/>
              <w:right w:val="nil"/>
            </w:tcBorders>
          </w:tcPr>
          <w:p w:rsidR="00B31868" w:rsidRPr="00211D55" w:rsidRDefault="00B31868" w:rsidP="00660F20">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5% زيادة بالمقارنة مع أساس المقارنة </w:t>
            </w:r>
          </w:p>
        </w:tc>
        <w:tc>
          <w:tcPr>
            <w:tcW w:w="2551" w:type="dxa"/>
            <w:tcBorders>
              <w:top w:val="single" w:sz="4" w:space="0" w:color="auto"/>
              <w:left w:val="nil"/>
              <w:bottom w:val="single" w:sz="4" w:space="0" w:color="auto"/>
              <w:right w:val="nil"/>
            </w:tcBorders>
          </w:tcPr>
          <w:p w:rsidR="00B31868" w:rsidRPr="00211D55" w:rsidRDefault="00B31868" w:rsidP="00660F20">
            <w:pPr>
              <w:keepNext/>
              <w:bidi/>
              <w:spacing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 xml:space="preserve">صفحة التصنيف الدولي للبراءات: </w:t>
            </w:r>
            <w:r w:rsidR="00F417DC" w:rsidRPr="00211D55">
              <w:rPr>
                <w:rFonts w:ascii="Arabic Typesetting" w:hAnsi="Arabic Typesetting" w:cs="Arabic Typesetting"/>
                <w:sz w:val="28"/>
                <w:szCs w:val="28"/>
                <w:rtl/>
                <w:lang w:val="fr-CH"/>
              </w:rPr>
              <w:t>378 361</w:t>
            </w:r>
            <w:r w:rsidRPr="00211D55">
              <w:rPr>
                <w:rFonts w:ascii="Arabic Typesetting" w:hAnsi="Arabic Typesetting" w:cs="Arabic Typesetting"/>
                <w:sz w:val="28"/>
                <w:szCs w:val="28"/>
                <w:rtl/>
                <w:lang w:val="fr-CH"/>
              </w:rPr>
              <w:t xml:space="preserve"> (انخفاض بنسبة </w:t>
            </w:r>
            <w:r w:rsidR="00F417DC" w:rsidRPr="00211D55">
              <w:rPr>
                <w:rFonts w:ascii="Arabic Typesetting" w:hAnsi="Arabic Typesetting" w:cs="Arabic Typesetting"/>
                <w:sz w:val="28"/>
                <w:szCs w:val="28"/>
                <w:rtl/>
                <w:lang w:val="fr-CH"/>
              </w:rPr>
              <w:t>6.6</w:t>
            </w:r>
            <w:r w:rsidRPr="00211D55">
              <w:rPr>
                <w:rFonts w:ascii="Arabic Typesetting" w:hAnsi="Arabic Typesetting" w:cs="Arabic Typesetting"/>
                <w:sz w:val="28"/>
                <w:szCs w:val="28"/>
                <w:rtl/>
                <w:lang w:val="fr-CH"/>
              </w:rPr>
              <w:t>%) (</w:t>
            </w:r>
            <w:r w:rsidR="00F417DC" w:rsidRPr="00211D55">
              <w:rPr>
                <w:rFonts w:ascii="Arabic Typesetting" w:hAnsi="Arabic Typesetting" w:cs="Arabic Typesetting"/>
                <w:sz w:val="28"/>
                <w:szCs w:val="28"/>
                <w:rtl/>
                <w:lang w:val="fr-CH"/>
              </w:rPr>
              <w:t>48.1</w:t>
            </w:r>
            <w:r w:rsidRPr="00211D55">
              <w:rPr>
                <w:rFonts w:ascii="Arabic Typesetting" w:hAnsi="Arabic Typesetting" w:cs="Arabic Typesetting"/>
                <w:sz w:val="28"/>
                <w:szCs w:val="28"/>
                <w:rtl/>
                <w:lang w:val="fr-CH"/>
              </w:rPr>
              <w:t>% من الزيارات من البلدان النامية)</w:t>
            </w:r>
          </w:p>
          <w:p w:rsidR="00B31868" w:rsidRPr="00211D55" w:rsidRDefault="00B31868" w:rsidP="00660F20">
            <w:pPr>
              <w:keepNext/>
              <w:bidi/>
              <w:spacing w:line="280" w:lineRule="exact"/>
              <w:rPr>
                <w:rFonts w:ascii="Arabic Typesetting" w:hAnsi="Arabic Typesetting" w:cs="Arabic Typesetting"/>
                <w:sz w:val="28"/>
                <w:szCs w:val="28"/>
                <w:rtl/>
                <w:lang w:val="fr-CH"/>
              </w:rPr>
            </w:pPr>
          </w:p>
          <w:p w:rsidR="00B31868" w:rsidRPr="00211D55" w:rsidRDefault="00B31868" w:rsidP="00660F20">
            <w:pPr>
              <w:keepNext/>
              <w:bidi/>
              <w:spacing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 xml:space="preserve">منشور التصنيف الدولي للبراءات: </w:t>
            </w:r>
            <w:r w:rsidR="00F417DC" w:rsidRPr="00211D55">
              <w:rPr>
                <w:rFonts w:ascii="Arabic Typesetting" w:hAnsi="Arabic Typesetting" w:cs="Arabic Typesetting"/>
                <w:sz w:val="28"/>
                <w:szCs w:val="28"/>
                <w:rtl/>
                <w:lang w:val="fr-CH"/>
              </w:rPr>
              <w:t>644 389 </w:t>
            </w:r>
            <w:r w:rsidRPr="00211D55">
              <w:rPr>
                <w:rFonts w:ascii="Arabic Typesetting" w:hAnsi="Arabic Typesetting" w:cs="Arabic Typesetting"/>
                <w:sz w:val="28"/>
                <w:szCs w:val="28"/>
                <w:rtl/>
                <w:lang w:val="fr-CH"/>
              </w:rPr>
              <w:t xml:space="preserve">1 (زيادة بنسبة </w:t>
            </w:r>
            <w:r w:rsidR="00F417DC" w:rsidRPr="00211D55">
              <w:rPr>
                <w:rFonts w:ascii="Arabic Typesetting" w:hAnsi="Arabic Typesetting" w:cs="Arabic Typesetting"/>
                <w:sz w:val="28"/>
                <w:szCs w:val="28"/>
                <w:rtl/>
                <w:lang w:val="fr-CH"/>
              </w:rPr>
              <w:t>107.4</w:t>
            </w:r>
            <w:r w:rsidRPr="00211D55">
              <w:rPr>
                <w:rFonts w:ascii="Arabic Typesetting" w:hAnsi="Arabic Typesetting" w:cs="Arabic Typesetting"/>
                <w:sz w:val="28"/>
                <w:szCs w:val="28"/>
                <w:rtl/>
                <w:lang w:val="fr-CH"/>
              </w:rPr>
              <w:t>%) (</w:t>
            </w:r>
            <w:r w:rsidR="009E60C0" w:rsidRPr="00211D55">
              <w:rPr>
                <w:rFonts w:ascii="Arabic Typesetting" w:hAnsi="Arabic Typesetting" w:cs="Arabic Typesetting"/>
                <w:sz w:val="28"/>
                <w:szCs w:val="28"/>
                <w:rtl/>
                <w:lang w:val="fr-CH"/>
              </w:rPr>
              <w:t>36.3% من الزيارات من البلدان النامية</w:t>
            </w:r>
            <w:r w:rsidRPr="00211D55">
              <w:rPr>
                <w:rFonts w:ascii="Arabic Typesetting" w:hAnsi="Arabic Typesetting" w:cs="Arabic Typesetting"/>
                <w:sz w:val="28"/>
                <w:szCs w:val="28"/>
                <w:rtl/>
                <w:lang w:val="fr-CH"/>
              </w:rPr>
              <w:t>)</w:t>
            </w:r>
          </w:p>
          <w:p w:rsidR="00B31868" w:rsidRPr="00211D55" w:rsidRDefault="00B31868" w:rsidP="00660F20">
            <w:pPr>
              <w:keepNext/>
              <w:bidi/>
              <w:spacing w:line="280" w:lineRule="exact"/>
              <w:rPr>
                <w:rFonts w:ascii="Arabic Typesetting" w:hAnsi="Arabic Typesetting" w:cs="Arabic Typesetting"/>
                <w:sz w:val="28"/>
                <w:szCs w:val="28"/>
                <w:rtl/>
                <w:lang w:val="fr-CH"/>
              </w:rPr>
            </w:pPr>
          </w:p>
          <w:p w:rsidR="00B31868" w:rsidRPr="00211D55" w:rsidRDefault="00B31868" w:rsidP="00660F20">
            <w:pPr>
              <w:keepNext/>
              <w:bidi/>
              <w:spacing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 xml:space="preserve">صفحة نيس: </w:t>
            </w:r>
            <w:r w:rsidR="009E60C0" w:rsidRPr="00211D55">
              <w:rPr>
                <w:rFonts w:ascii="Arabic Typesetting" w:hAnsi="Arabic Typesetting" w:cs="Arabic Typesetting"/>
                <w:sz w:val="28"/>
                <w:szCs w:val="28"/>
                <w:rtl/>
                <w:lang w:val="fr-CH"/>
              </w:rPr>
              <w:t>493 532</w:t>
            </w:r>
            <w:r w:rsidRPr="00211D55">
              <w:rPr>
                <w:rFonts w:ascii="Arabic Typesetting" w:hAnsi="Arabic Typesetting" w:cs="Arabic Typesetting"/>
                <w:sz w:val="28"/>
                <w:szCs w:val="28"/>
                <w:rtl/>
                <w:lang w:val="fr-CH"/>
              </w:rPr>
              <w:t xml:space="preserve"> (</w:t>
            </w:r>
            <w:r w:rsidR="009E60C0" w:rsidRPr="00211D55">
              <w:rPr>
                <w:rFonts w:ascii="Arabic Typesetting" w:hAnsi="Arabic Typesetting" w:cs="Arabic Typesetting"/>
                <w:sz w:val="28"/>
                <w:szCs w:val="28"/>
                <w:rtl/>
                <w:lang w:val="fr-CH"/>
              </w:rPr>
              <w:t>مستقر</w:t>
            </w:r>
            <w:r w:rsidRPr="00211D55">
              <w:rPr>
                <w:rFonts w:ascii="Arabic Typesetting" w:hAnsi="Arabic Typesetting" w:cs="Arabic Typesetting"/>
                <w:sz w:val="28"/>
                <w:szCs w:val="28"/>
                <w:rtl/>
                <w:lang w:val="fr-CH"/>
              </w:rPr>
              <w:t>) (</w:t>
            </w:r>
            <w:r w:rsidR="009E60C0" w:rsidRPr="00211D55">
              <w:rPr>
                <w:rFonts w:ascii="Arabic Typesetting" w:hAnsi="Arabic Typesetting" w:cs="Arabic Typesetting"/>
                <w:sz w:val="28"/>
                <w:szCs w:val="28"/>
                <w:rtl/>
                <w:lang w:val="fr-CH"/>
              </w:rPr>
              <w:t>47.8</w:t>
            </w:r>
            <w:r w:rsidRPr="00211D55">
              <w:rPr>
                <w:rFonts w:ascii="Arabic Typesetting" w:hAnsi="Arabic Typesetting" w:cs="Arabic Typesetting"/>
                <w:sz w:val="28"/>
                <w:szCs w:val="28"/>
                <w:rtl/>
                <w:lang w:val="fr-CH"/>
              </w:rPr>
              <w:t>% من الزيارات من البلدان النامية)</w:t>
            </w:r>
          </w:p>
          <w:p w:rsidR="00B31868" w:rsidRPr="00211D55" w:rsidRDefault="00B31868" w:rsidP="00660F20">
            <w:pPr>
              <w:keepNext/>
              <w:bidi/>
              <w:spacing w:line="280" w:lineRule="exact"/>
              <w:rPr>
                <w:rFonts w:ascii="Arabic Typesetting" w:hAnsi="Arabic Typesetting" w:cs="Arabic Typesetting"/>
                <w:sz w:val="28"/>
                <w:szCs w:val="28"/>
                <w:rtl/>
                <w:lang w:val="fr-CH"/>
              </w:rPr>
            </w:pPr>
          </w:p>
          <w:p w:rsidR="00B31868" w:rsidRPr="00211D55" w:rsidRDefault="00B31868" w:rsidP="00660F20">
            <w:pPr>
              <w:keepNext/>
              <w:bidi/>
              <w:spacing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 xml:space="preserve">منشور نيس: </w:t>
            </w:r>
            <w:r w:rsidR="009E60C0" w:rsidRPr="00211D55">
              <w:rPr>
                <w:rFonts w:ascii="Arabic Typesetting" w:hAnsi="Arabic Typesetting" w:cs="Arabic Typesetting"/>
                <w:sz w:val="28"/>
                <w:szCs w:val="28"/>
                <w:rtl/>
                <w:lang w:val="fr-CH"/>
              </w:rPr>
              <w:t>537 721 </w:t>
            </w:r>
            <w:r w:rsidRPr="00211D55">
              <w:rPr>
                <w:rFonts w:ascii="Arabic Typesetting" w:hAnsi="Arabic Typesetting" w:cs="Arabic Typesetting"/>
                <w:sz w:val="28"/>
                <w:szCs w:val="28"/>
                <w:rtl/>
                <w:lang w:val="fr-CH"/>
              </w:rPr>
              <w:t xml:space="preserve">2 (زيادة بنسبة </w:t>
            </w:r>
            <w:r w:rsidR="009E60C0" w:rsidRPr="00211D55">
              <w:rPr>
                <w:rFonts w:ascii="Arabic Typesetting" w:hAnsi="Arabic Typesetting" w:cs="Arabic Typesetting"/>
                <w:sz w:val="28"/>
                <w:szCs w:val="28"/>
                <w:rtl/>
                <w:lang w:val="fr-CH"/>
              </w:rPr>
              <w:t>14</w:t>
            </w:r>
            <w:r w:rsidRPr="00211D55">
              <w:rPr>
                <w:rFonts w:ascii="Arabic Typesetting" w:hAnsi="Arabic Typesetting" w:cs="Arabic Typesetting"/>
                <w:sz w:val="28"/>
                <w:szCs w:val="28"/>
                <w:rtl/>
                <w:lang w:val="fr-CH"/>
              </w:rPr>
              <w:t>%) (</w:t>
            </w:r>
            <w:r w:rsidR="009E60C0" w:rsidRPr="00211D55">
              <w:rPr>
                <w:rFonts w:ascii="Arabic Typesetting" w:hAnsi="Arabic Typesetting" w:cs="Arabic Typesetting"/>
                <w:sz w:val="28"/>
                <w:szCs w:val="28"/>
                <w:rtl/>
                <w:lang w:val="fr-CH"/>
              </w:rPr>
              <w:t>49.1</w:t>
            </w:r>
            <w:r w:rsidRPr="00211D55">
              <w:rPr>
                <w:rFonts w:ascii="Arabic Typesetting" w:hAnsi="Arabic Typesetting" w:cs="Arabic Typesetting"/>
                <w:sz w:val="28"/>
                <w:szCs w:val="28"/>
                <w:rtl/>
                <w:lang w:val="fr-CH"/>
              </w:rPr>
              <w:t>% من الزيارات من البلدان النامية)</w:t>
            </w:r>
          </w:p>
          <w:p w:rsidR="00B31868" w:rsidRPr="00211D55" w:rsidRDefault="00B31868" w:rsidP="00660F20">
            <w:pPr>
              <w:keepNext/>
              <w:bidi/>
              <w:spacing w:line="280" w:lineRule="exact"/>
              <w:rPr>
                <w:rFonts w:ascii="Arabic Typesetting" w:hAnsi="Arabic Typesetting" w:cs="Arabic Typesetting"/>
                <w:sz w:val="28"/>
                <w:szCs w:val="28"/>
                <w:rtl/>
                <w:lang w:val="fr-CH"/>
              </w:rPr>
            </w:pPr>
          </w:p>
          <w:p w:rsidR="00B31868" w:rsidRPr="00211D55" w:rsidRDefault="00B31868" w:rsidP="00660F20">
            <w:pPr>
              <w:keepNext/>
              <w:bidi/>
              <w:spacing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 xml:space="preserve">صفحة </w:t>
            </w:r>
            <w:proofErr w:type="spellStart"/>
            <w:r w:rsidRPr="00211D55">
              <w:rPr>
                <w:rFonts w:ascii="Arabic Typesetting" w:hAnsi="Arabic Typesetting" w:cs="Arabic Typesetting"/>
                <w:sz w:val="28"/>
                <w:szCs w:val="28"/>
                <w:rtl/>
                <w:lang w:val="fr-CH"/>
              </w:rPr>
              <w:t>لوكارنو</w:t>
            </w:r>
            <w:proofErr w:type="spellEnd"/>
            <w:r w:rsidRPr="00211D55">
              <w:rPr>
                <w:rFonts w:ascii="Arabic Typesetting" w:hAnsi="Arabic Typesetting" w:cs="Arabic Typesetting"/>
                <w:sz w:val="28"/>
                <w:szCs w:val="28"/>
                <w:rtl/>
                <w:lang w:val="fr-CH"/>
              </w:rPr>
              <w:t xml:space="preserve">: </w:t>
            </w:r>
            <w:r w:rsidR="009E60C0" w:rsidRPr="00211D55">
              <w:rPr>
                <w:rFonts w:ascii="Arabic Typesetting" w:hAnsi="Arabic Typesetting" w:cs="Arabic Typesetting"/>
                <w:sz w:val="28"/>
                <w:szCs w:val="28"/>
                <w:rtl/>
                <w:lang w:val="fr-CH"/>
              </w:rPr>
              <w:t xml:space="preserve">075 51 </w:t>
            </w:r>
            <w:r w:rsidRPr="00211D55">
              <w:rPr>
                <w:rFonts w:ascii="Arabic Typesetting" w:hAnsi="Arabic Typesetting" w:cs="Arabic Typesetting"/>
                <w:sz w:val="28"/>
                <w:szCs w:val="28"/>
                <w:rtl/>
                <w:lang w:val="fr-CH"/>
              </w:rPr>
              <w:t xml:space="preserve">(زيادة بنسبة </w:t>
            </w:r>
            <w:r w:rsidR="009E60C0" w:rsidRPr="00211D55">
              <w:rPr>
                <w:rFonts w:ascii="Arabic Typesetting" w:hAnsi="Arabic Typesetting" w:cs="Arabic Typesetting"/>
                <w:sz w:val="28"/>
                <w:szCs w:val="28"/>
                <w:rtl/>
                <w:lang w:val="fr-CH"/>
              </w:rPr>
              <w:t>39.1</w:t>
            </w:r>
            <w:r w:rsidRPr="00211D55">
              <w:rPr>
                <w:rFonts w:ascii="Arabic Typesetting" w:hAnsi="Arabic Typesetting" w:cs="Arabic Typesetting"/>
                <w:sz w:val="28"/>
                <w:szCs w:val="28"/>
                <w:rtl/>
                <w:lang w:val="fr-CH"/>
              </w:rPr>
              <w:t>%) (</w:t>
            </w:r>
            <w:r w:rsidR="009E60C0" w:rsidRPr="00211D55">
              <w:rPr>
                <w:rFonts w:ascii="Arabic Typesetting" w:hAnsi="Arabic Typesetting" w:cs="Arabic Typesetting"/>
                <w:sz w:val="28"/>
                <w:szCs w:val="28"/>
                <w:rtl/>
                <w:lang w:val="fr-CH"/>
              </w:rPr>
              <w:t>33.5</w:t>
            </w:r>
            <w:r w:rsidRPr="00211D55">
              <w:rPr>
                <w:rFonts w:ascii="Arabic Typesetting" w:hAnsi="Arabic Typesetting" w:cs="Arabic Typesetting"/>
                <w:sz w:val="28"/>
                <w:szCs w:val="28"/>
                <w:rtl/>
                <w:lang w:val="fr-CH"/>
              </w:rPr>
              <w:t>% من الزيارات من البلدان النامية)</w:t>
            </w:r>
          </w:p>
          <w:p w:rsidR="00B31868" w:rsidRPr="00211D55" w:rsidRDefault="00B31868" w:rsidP="00660F20">
            <w:pPr>
              <w:keepNext/>
              <w:bidi/>
              <w:spacing w:line="280" w:lineRule="exact"/>
              <w:rPr>
                <w:rFonts w:ascii="Arabic Typesetting" w:hAnsi="Arabic Typesetting" w:cs="Arabic Typesetting"/>
                <w:sz w:val="28"/>
                <w:szCs w:val="28"/>
                <w:rtl/>
                <w:lang w:val="fr-CH"/>
              </w:rPr>
            </w:pPr>
          </w:p>
          <w:p w:rsidR="00B31868" w:rsidRPr="00211D55" w:rsidRDefault="00B31868" w:rsidP="00660F20">
            <w:pPr>
              <w:keepNext/>
              <w:bidi/>
              <w:spacing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 xml:space="preserve">صفحة فيينا: </w:t>
            </w:r>
            <w:r w:rsidR="009E60C0" w:rsidRPr="00211D55">
              <w:rPr>
                <w:rFonts w:ascii="Arabic Typesetting" w:hAnsi="Arabic Typesetting" w:cs="Arabic Typesetting"/>
                <w:sz w:val="28"/>
                <w:szCs w:val="28"/>
                <w:rtl/>
                <w:lang w:val="fr-CH"/>
              </w:rPr>
              <w:t xml:space="preserve">830 34 </w:t>
            </w:r>
            <w:r w:rsidRPr="00211D55">
              <w:rPr>
                <w:rFonts w:ascii="Arabic Typesetting" w:hAnsi="Arabic Typesetting" w:cs="Arabic Typesetting"/>
                <w:sz w:val="28"/>
                <w:szCs w:val="28"/>
                <w:rtl/>
                <w:lang w:val="fr-CH"/>
              </w:rPr>
              <w:t>(</w:t>
            </w:r>
            <w:r w:rsidR="009E60C0" w:rsidRPr="00211D55">
              <w:rPr>
                <w:rFonts w:ascii="Arabic Typesetting" w:hAnsi="Arabic Typesetting" w:cs="Arabic Typesetting"/>
                <w:sz w:val="28"/>
                <w:szCs w:val="28"/>
                <w:rtl/>
                <w:lang w:val="fr-CH"/>
              </w:rPr>
              <w:t xml:space="preserve">زيادة </w:t>
            </w:r>
            <w:r w:rsidRPr="00211D55">
              <w:rPr>
                <w:rFonts w:ascii="Arabic Typesetting" w:hAnsi="Arabic Typesetting" w:cs="Arabic Typesetting"/>
                <w:sz w:val="28"/>
                <w:szCs w:val="28"/>
                <w:rtl/>
                <w:lang w:val="fr-CH"/>
              </w:rPr>
              <w:t xml:space="preserve">بنسبة </w:t>
            </w:r>
            <w:r w:rsidR="009E60C0" w:rsidRPr="00211D55">
              <w:rPr>
                <w:rFonts w:ascii="Arabic Typesetting" w:hAnsi="Arabic Typesetting" w:cs="Arabic Typesetting"/>
                <w:sz w:val="28"/>
                <w:szCs w:val="28"/>
                <w:rtl/>
                <w:lang w:val="fr-CH"/>
              </w:rPr>
              <w:t>7.4</w:t>
            </w:r>
            <w:r w:rsidRPr="00211D55">
              <w:rPr>
                <w:rFonts w:ascii="Arabic Typesetting" w:hAnsi="Arabic Typesetting" w:cs="Arabic Typesetting"/>
                <w:sz w:val="28"/>
                <w:szCs w:val="28"/>
                <w:rtl/>
                <w:lang w:val="fr-CH"/>
              </w:rPr>
              <w:t>%) (</w:t>
            </w:r>
            <w:r w:rsidR="009E60C0" w:rsidRPr="00211D55">
              <w:rPr>
                <w:rFonts w:ascii="Arabic Typesetting" w:hAnsi="Arabic Typesetting" w:cs="Arabic Typesetting"/>
                <w:sz w:val="28"/>
                <w:szCs w:val="28"/>
                <w:rtl/>
                <w:lang w:val="fr-CH"/>
              </w:rPr>
              <w:t>38.8</w:t>
            </w:r>
            <w:r w:rsidRPr="00211D55">
              <w:rPr>
                <w:rFonts w:ascii="Arabic Typesetting" w:hAnsi="Arabic Typesetting" w:cs="Arabic Typesetting"/>
                <w:sz w:val="28"/>
                <w:szCs w:val="28"/>
                <w:rtl/>
                <w:lang w:val="fr-CH"/>
              </w:rPr>
              <w:t>% من الزيارات من البلدان النامية)</w:t>
            </w:r>
          </w:p>
          <w:p w:rsidR="00B31868" w:rsidRPr="00211D55" w:rsidRDefault="00B31868" w:rsidP="00660F20">
            <w:pPr>
              <w:keepNext/>
              <w:bidi/>
              <w:spacing w:line="280" w:lineRule="exact"/>
              <w:rPr>
                <w:rFonts w:ascii="Arabic Typesetting" w:hAnsi="Arabic Typesetting" w:cs="Arabic Typesetting"/>
                <w:sz w:val="28"/>
                <w:szCs w:val="28"/>
                <w:rtl/>
                <w:lang w:val="fr-CH"/>
              </w:rPr>
            </w:pPr>
          </w:p>
          <w:p w:rsidR="00B31868" w:rsidRPr="00211D55" w:rsidRDefault="00B31868" w:rsidP="00660F20">
            <w:pPr>
              <w:keepNext/>
              <w:bidi/>
              <w:spacing w:line="28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 xml:space="preserve">معايير الويبو (كُتيّب): </w:t>
            </w:r>
            <w:r w:rsidR="009E60C0" w:rsidRPr="00211D55">
              <w:rPr>
                <w:rFonts w:ascii="Arabic Typesetting" w:hAnsi="Arabic Typesetting" w:cs="Arabic Typesetting"/>
                <w:sz w:val="28"/>
                <w:szCs w:val="28"/>
                <w:rtl/>
                <w:lang w:val="fr-CH"/>
              </w:rPr>
              <w:t xml:space="preserve">288 69 </w:t>
            </w:r>
            <w:r w:rsidRPr="00211D55">
              <w:rPr>
                <w:rFonts w:ascii="Arabic Typesetting" w:hAnsi="Arabic Typesetting" w:cs="Arabic Typesetting"/>
                <w:sz w:val="28"/>
                <w:szCs w:val="28"/>
                <w:rtl/>
                <w:lang w:val="fr-CH"/>
              </w:rPr>
              <w:t xml:space="preserve">(انخفاض بنسبة </w:t>
            </w:r>
            <w:r w:rsidR="009E60C0" w:rsidRPr="00211D55">
              <w:rPr>
                <w:rFonts w:ascii="Arabic Typesetting" w:hAnsi="Arabic Typesetting" w:cs="Arabic Typesetting"/>
                <w:sz w:val="28"/>
                <w:szCs w:val="28"/>
                <w:rtl/>
                <w:lang w:val="fr-CH"/>
              </w:rPr>
              <w:t>26.7</w:t>
            </w:r>
            <w:r w:rsidRPr="00211D55">
              <w:rPr>
                <w:rFonts w:ascii="Arabic Typesetting" w:hAnsi="Arabic Typesetting" w:cs="Arabic Typesetting"/>
                <w:sz w:val="28"/>
                <w:szCs w:val="28"/>
                <w:rtl/>
                <w:lang w:val="fr-CH"/>
              </w:rPr>
              <w:t>%) (</w:t>
            </w:r>
            <w:r w:rsidR="009E60C0" w:rsidRPr="00211D55">
              <w:rPr>
                <w:rFonts w:ascii="Arabic Typesetting" w:hAnsi="Arabic Typesetting" w:cs="Arabic Typesetting"/>
                <w:sz w:val="28"/>
                <w:szCs w:val="28"/>
                <w:rtl/>
                <w:lang w:val="fr-CH"/>
              </w:rPr>
              <w:t>33.6</w:t>
            </w:r>
            <w:r w:rsidRPr="00211D55">
              <w:rPr>
                <w:rFonts w:ascii="Arabic Typesetting" w:hAnsi="Arabic Typesetting" w:cs="Arabic Typesetting"/>
                <w:sz w:val="28"/>
                <w:szCs w:val="28"/>
                <w:rtl/>
                <w:lang w:val="fr-CH"/>
              </w:rPr>
              <w:t>% من الزيارات من البلدان النامية)</w:t>
            </w:r>
          </w:p>
        </w:tc>
        <w:tc>
          <w:tcPr>
            <w:tcW w:w="817" w:type="dxa"/>
            <w:tcBorders>
              <w:top w:val="single" w:sz="4" w:space="0" w:color="auto"/>
              <w:left w:val="nil"/>
              <w:bottom w:val="single" w:sz="4" w:space="0" w:color="auto"/>
              <w:right w:val="single" w:sz="4" w:space="0" w:color="auto"/>
            </w:tcBorders>
          </w:tcPr>
          <w:p w:rsidR="00B31868" w:rsidRPr="00211D55" w:rsidRDefault="00F417DC" w:rsidP="00660F20">
            <w:pPr>
              <w:keepNext/>
              <w:bidi/>
              <w:spacing w:before="60" w:after="60" w:line="280" w:lineRule="exact"/>
              <w:jc w:val="center"/>
              <w:rPr>
                <w:rFonts w:ascii="Arabic Typesetting" w:hAnsi="Arabic Typesetting" w:cs="Arabic Typesetting"/>
                <w:bCs/>
                <w:color w:val="FF0000"/>
                <w:sz w:val="28"/>
                <w:szCs w:val="28"/>
                <w:rtl/>
                <w:lang w:bidi="ar-EG"/>
              </w:rPr>
            </w:pPr>
            <w:r w:rsidRPr="00211D55">
              <w:rPr>
                <w:rFonts w:ascii="Arabic Typesetting" w:hAnsi="Arabic Typesetting" w:cs="Arabic Typesetting"/>
                <w:bCs/>
                <w:color w:val="FF0000"/>
                <w:sz w:val="28"/>
                <w:szCs w:val="28"/>
                <w:rtl/>
                <w:lang w:bidi="ar-EG"/>
              </w:rPr>
              <w:t>غير محقق</w:t>
            </w:r>
          </w:p>
          <w:p w:rsidR="00B31868" w:rsidRPr="00211D55" w:rsidRDefault="00B31868" w:rsidP="00660F20">
            <w:pPr>
              <w:keepNext/>
              <w:bidi/>
              <w:spacing w:before="60" w:after="60" w:line="280" w:lineRule="exact"/>
              <w:jc w:val="center"/>
              <w:rPr>
                <w:rFonts w:ascii="Arabic Typesetting" w:hAnsi="Arabic Typesetting" w:cs="Arabic Typesetting"/>
                <w:bCs/>
                <w:color w:val="FF0000"/>
                <w:sz w:val="28"/>
                <w:szCs w:val="28"/>
                <w:rtl/>
                <w:lang w:bidi="ar-EG"/>
              </w:rPr>
            </w:pPr>
          </w:p>
          <w:p w:rsidR="00B31868" w:rsidRPr="00211D55" w:rsidRDefault="00B31868" w:rsidP="00660F20">
            <w:pPr>
              <w:keepNext/>
              <w:bidi/>
              <w:spacing w:before="60" w:after="60" w:line="280" w:lineRule="exact"/>
              <w:jc w:val="center"/>
              <w:rPr>
                <w:rFonts w:ascii="Arabic Typesetting" w:hAnsi="Arabic Typesetting" w:cs="Arabic Typesetting"/>
                <w:bCs/>
                <w:color w:val="FF0000"/>
                <w:sz w:val="28"/>
                <w:szCs w:val="28"/>
                <w:rtl/>
                <w:lang w:bidi="ar-EG"/>
              </w:rPr>
            </w:pPr>
          </w:p>
          <w:p w:rsidR="00B31868" w:rsidRPr="00211D55" w:rsidRDefault="00B31868" w:rsidP="00660F20">
            <w:pPr>
              <w:keepNext/>
              <w:bidi/>
              <w:spacing w:before="60" w:after="60" w:line="280" w:lineRule="exact"/>
              <w:jc w:val="center"/>
              <w:rPr>
                <w:rFonts w:ascii="Arabic Typesetting" w:hAnsi="Arabic Typesetting" w:cs="Arabic Typesetting"/>
                <w:bCs/>
                <w:color w:val="FF0000"/>
                <w:sz w:val="28"/>
                <w:szCs w:val="28"/>
                <w:rtl/>
                <w:lang w:bidi="ar-EG"/>
              </w:rPr>
            </w:pPr>
          </w:p>
          <w:p w:rsidR="00B31868" w:rsidRPr="00211D55" w:rsidRDefault="009E60C0" w:rsidP="00660F20">
            <w:pPr>
              <w:keepNext/>
              <w:bidi/>
              <w:spacing w:before="60" w:after="60" w:line="28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p w:rsidR="00B31868" w:rsidRPr="00211D55" w:rsidRDefault="00B31868" w:rsidP="00660F20">
            <w:pPr>
              <w:keepNext/>
              <w:bidi/>
              <w:spacing w:before="60" w:after="60" w:line="280" w:lineRule="exact"/>
              <w:jc w:val="center"/>
              <w:rPr>
                <w:rFonts w:ascii="Arabic Typesetting" w:hAnsi="Arabic Typesetting" w:cs="Arabic Typesetting"/>
                <w:bCs/>
                <w:color w:val="FF0000"/>
                <w:sz w:val="28"/>
                <w:szCs w:val="28"/>
                <w:rtl/>
                <w:lang w:bidi="ar-EG"/>
              </w:rPr>
            </w:pPr>
          </w:p>
          <w:p w:rsidR="00B31868" w:rsidRPr="00211D55" w:rsidRDefault="00B31868" w:rsidP="00660F20">
            <w:pPr>
              <w:keepNext/>
              <w:bidi/>
              <w:spacing w:before="120" w:after="120" w:line="280" w:lineRule="exact"/>
              <w:jc w:val="center"/>
              <w:rPr>
                <w:rFonts w:ascii="Arabic Typesetting" w:hAnsi="Arabic Typesetting" w:cs="Arabic Typesetting"/>
                <w:bCs/>
                <w:color w:val="FF0000"/>
                <w:sz w:val="28"/>
                <w:szCs w:val="28"/>
                <w:rtl/>
                <w:lang w:bidi="ar-EG"/>
              </w:rPr>
            </w:pPr>
          </w:p>
          <w:p w:rsidR="00B31868" w:rsidRPr="00211D55" w:rsidRDefault="00B31868" w:rsidP="00660F20">
            <w:pPr>
              <w:keepNext/>
              <w:bidi/>
              <w:spacing w:before="60" w:after="60" w:line="280" w:lineRule="exact"/>
              <w:jc w:val="center"/>
              <w:rPr>
                <w:rFonts w:ascii="Arabic Typesetting" w:hAnsi="Arabic Typesetting" w:cs="Arabic Typesetting"/>
                <w:bCs/>
                <w:color w:val="FF0000"/>
                <w:sz w:val="28"/>
                <w:szCs w:val="28"/>
                <w:rtl/>
                <w:lang w:bidi="ar-EG"/>
              </w:rPr>
            </w:pPr>
          </w:p>
          <w:p w:rsidR="00B31868" w:rsidRPr="00211D55" w:rsidRDefault="009E60C0" w:rsidP="00660F20">
            <w:pPr>
              <w:keepNext/>
              <w:bidi/>
              <w:spacing w:before="60" w:after="60" w:line="280" w:lineRule="exact"/>
              <w:jc w:val="center"/>
              <w:rPr>
                <w:rFonts w:ascii="Arabic Typesetting" w:hAnsi="Arabic Typesetting" w:cs="Arabic Typesetting"/>
                <w:b/>
                <w:bCs/>
                <w:color w:val="E26B0A"/>
                <w:sz w:val="28"/>
                <w:szCs w:val="28"/>
                <w:rtl/>
              </w:rPr>
            </w:pPr>
            <w:r w:rsidRPr="00211D55">
              <w:rPr>
                <w:rFonts w:ascii="Arabic Typesetting" w:hAnsi="Arabic Typesetting" w:cs="Arabic Typesetting"/>
                <w:b/>
                <w:bCs/>
                <w:color w:val="E26B0A"/>
                <w:sz w:val="28"/>
                <w:szCs w:val="28"/>
                <w:rtl/>
              </w:rPr>
              <w:t>محقق جزئياً</w:t>
            </w:r>
          </w:p>
          <w:p w:rsidR="00B31868" w:rsidRPr="00211D55" w:rsidRDefault="00B31868" w:rsidP="00660F20">
            <w:pPr>
              <w:keepNext/>
              <w:bidi/>
              <w:spacing w:before="120" w:after="120" w:line="280" w:lineRule="exact"/>
              <w:jc w:val="center"/>
              <w:rPr>
                <w:rFonts w:ascii="Arabic Typesetting" w:hAnsi="Arabic Typesetting" w:cs="Arabic Typesetting"/>
                <w:b/>
                <w:bCs/>
                <w:color w:val="008000"/>
                <w:sz w:val="28"/>
                <w:szCs w:val="28"/>
                <w:rtl/>
                <w:lang w:bidi="ar-EG"/>
              </w:rPr>
            </w:pPr>
          </w:p>
          <w:p w:rsidR="00B31868" w:rsidRPr="00211D55" w:rsidRDefault="00B31868" w:rsidP="00660F20">
            <w:pPr>
              <w:keepNext/>
              <w:bidi/>
              <w:spacing w:before="60" w:after="60" w:line="280" w:lineRule="exact"/>
              <w:jc w:val="center"/>
              <w:rPr>
                <w:rFonts w:ascii="Arabic Typesetting" w:hAnsi="Arabic Typesetting" w:cs="Arabic Typesetting"/>
                <w:b/>
                <w:bCs/>
                <w:color w:val="008000"/>
                <w:sz w:val="28"/>
                <w:szCs w:val="28"/>
                <w:rtl/>
                <w:lang w:bidi="ar-EG"/>
              </w:rPr>
            </w:pPr>
          </w:p>
          <w:p w:rsidR="00B31868" w:rsidRPr="00211D55" w:rsidRDefault="009E60C0" w:rsidP="00660F20">
            <w:pPr>
              <w:keepNext/>
              <w:bidi/>
              <w:spacing w:after="60" w:line="28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p w:rsidR="00B31868" w:rsidRPr="00211D55" w:rsidRDefault="00B31868" w:rsidP="00660F20">
            <w:pPr>
              <w:keepNext/>
              <w:bidi/>
              <w:spacing w:before="60" w:after="60" w:line="280" w:lineRule="exact"/>
              <w:jc w:val="center"/>
              <w:rPr>
                <w:rFonts w:ascii="Arabic Typesetting" w:hAnsi="Arabic Typesetting" w:cs="Arabic Typesetting"/>
                <w:b/>
                <w:bCs/>
                <w:color w:val="008000"/>
                <w:sz w:val="28"/>
                <w:szCs w:val="28"/>
                <w:rtl/>
                <w:lang w:bidi="ar-EG"/>
              </w:rPr>
            </w:pPr>
          </w:p>
          <w:p w:rsidR="00B31868" w:rsidRPr="00211D55" w:rsidRDefault="00B31868" w:rsidP="00660F20">
            <w:pPr>
              <w:keepNext/>
              <w:bidi/>
              <w:spacing w:after="160" w:line="280" w:lineRule="exact"/>
              <w:jc w:val="center"/>
              <w:rPr>
                <w:rFonts w:ascii="Arabic Typesetting" w:hAnsi="Arabic Typesetting" w:cs="Arabic Typesetting"/>
                <w:b/>
                <w:bCs/>
                <w:color w:val="008000"/>
                <w:sz w:val="28"/>
                <w:szCs w:val="28"/>
                <w:rtl/>
                <w:lang w:bidi="ar-EG"/>
              </w:rPr>
            </w:pPr>
          </w:p>
          <w:p w:rsidR="00B31868" w:rsidRPr="00211D55" w:rsidRDefault="009E60C0" w:rsidP="00660F20">
            <w:pPr>
              <w:keepNext/>
              <w:bidi/>
              <w:spacing w:after="60" w:line="28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p w:rsidR="00B31868" w:rsidRPr="00211D55" w:rsidRDefault="00B31868" w:rsidP="00660F20">
            <w:pPr>
              <w:keepNext/>
              <w:bidi/>
              <w:spacing w:before="60" w:after="120" w:line="280" w:lineRule="exact"/>
              <w:jc w:val="center"/>
              <w:rPr>
                <w:rFonts w:ascii="Arabic Typesetting" w:hAnsi="Arabic Typesetting" w:cs="Arabic Typesetting"/>
                <w:b/>
                <w:bCs/>
                <w:color w:val="008000"/>
                <w:sz w:val="28"/>
                <w:szCs w:val="28"/>
                <w:rtl/>
                <w:lang w:bidi="ar-EG"/>
              </w:rPr>
            </w:pPr>
          </w:p>
          <w:p w:rsidR="00B31868" w:rsidRPr="00211D55" w:rsidRDefault="00B31868" w:rsidP="00660F20">
            <w:pPr>
              <w:keepNext/>
              <w:bidi/>
              <w:spacing w:before="60" w:after="120" w:line="280" w:lineRule="exact"/>
              <w:jc w:val="center"/>
              <w:rPr>
                <w:rFonts w:ascii="Arabic Typesetting" w:hAnsi="Arabic Typesetting" w:cs="Arabic Typesetting"/>
                <w:b/>
                <w:bCs/>
                <w:color w:val="008000"/>
                <w:sz w:val="28"/>
                <w:szCs w:val="28"/>
                <w:rtl/>
                <w:lang w:bidi="ar-EG"/>
              </w:rPr>
            </w:pPr>
          </w:p>
          <w:p w:rsidR="009E60C0" w:rsidRPr="00211D55" w:rsidRDefault="009E60C0" w:rsidP="00660F20">
            <w:pPr>
              <w:keepNext/>
              <w:bidi/>
              <w:spacing w:after="60" w:line="28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p w:rsidR="00B31868" w:rsidRPr="00211D55" w:rsidRDefault="00B31868" w:rsidP="00660F20">
            <w:pPr>
              <w:keepNext/>
              <w:bidi/>
              <w:spacing w:before="60" w:after="60" w:line="280" w:lineRule="exact"/>
              <w:jc w:val="center"/>
              <w:rPr>
                <w:rFonts w:ascii="Arabic Typesetting" w:hAnsi="Arabic Typesetting" w:cs="Arabic Typesetting"/>
                <w:bCs/>
                <w:color w:val="FF0000"/>
                <w:sz w:val="28"/>
                <w:szCs w:val="28"/>
                <w:rtl/>
                <w:lang w:bidi="ar-EG"/>
              </w:rPr>
            </w:pPr>
          </w:p>
          <w:p w:rsidR="00B31868" w:rsidRPr="00211D55" w:rsidRDefault="00B31868" w:rsidP="00660F20">
            <w:pPr>
              <w:keepNext/>
              <w:bidi/>
              <w:spacing w:before="60" w:after="60" w:line="280" w:lineRule="exact"/>
              <w:jc w:val="center"/>
              <w:rPr>
                <w:rFonts w:ascii="Arabic Typesetting" w:hAnsi="Arabic Typesetting" w:cs="Arabic Typesetting"/>
                <w:bCs/>
                <w:color w:val="FF0000"/>
                <w:sz w:val="28"/>
                <w:szCs w:val="28"/>
                <w:rtl/>
                <w:lang w:bidi="ar-EG"/>
              </w:rPr>
            </w:pPr>
          </w:p>
          <w:p w:rsidR="00B31868" w:rsidRPr="00211D55" w:rsidRDefault="00B31868" w:rsidP="00660F20">
            <w:pPr>
              <w:keepNext/>
              <w:bidi/>
              <w:spacing w:before="60" w:after="60" w:line="280" w:lineRule="exact"/>
              <w:jc w:val="center"/>
              <w:rPr>
                <w:rFonts w:ascii="Arabic Typesetting" w:hAnsi="Arabic Typesetting" w:cs="Arabic Typesetting"/>
                <w:bCs/>
                <w:color w:val="FF0000"/>
                <w:sz w:val="28"/>
                <w:szCs w:val="28"/>
                <w:rtl/>
                <w:lang w:bidi="ar-EG"/>
              </w:rPr>
            </w:pPr>
          </w:p>
          <w:p w:rsidR="00B31868" w:rsidRPr="00211D55" w:rsidRDefault="00B31868" w:rsidP="00660F20">
            <w:pPr>
              <w:keepNext/>
              <w:bidi/>
              <w:spacing w:before="60" w:after="60" w:line="280" w:lineRule="exact"/>
              <w:jc w:val="center"/>
              <w:rPr>
                <w:rFonts w:ascii="Arabic Typesetting" w:hAnsi="Arabic Typesetting" w:cs="Arabic Typesetting"/>
                <w:b/>
                <w:bCs/>
                <w:color w:val="808080"/>
                <w:sz w:val="28"/>
                <w:szCs w:val="28"/>
                <w:rtl/>
              </w:rPr>
            </w:pPr>
            <w:r w:rsidRPr="00211D55">
              <w:rPr>
                <w:rFonts w:ascii="Arabic Typesetting" w:hAnsi="Arabic Typesetting" w:cs="Arabic Typesetting"/>
                <w:bCs/>
                <w:color w:val="FF0000"/>
                <w:sz w:val="28"/>
                <w:szCs w:val="28"/>
                <w:rtl/>
                <w:lang w:bidi="ar-EG"/>
              </w:rPr>
              <w:t xml:space="preserve">غير </w:t>
            </w:r>
            <w:r w:rsidR="009E60C0" w:rsidRPr="00211D55">
              <w:rPr>
                <w:rFonts w:ascii="Arabic Typesetting" w:hAnsi="Arabic Typesetting" w:cs="Arabic Typesetting"/>
                <w:bCs/>
                <w:color w:val="FF0000"/>
                <w:sz w:val="28"/>
                <w:szCs w:val="28"/>
                <w:rtl/>
                <w:lang w:bidi="ar-EG"/>
              </w:rPr>
              <w:t>محقق</w:t>
            </w:r>
          </w:p>
        </w:tc>
      </w:tr>
    </w:tbl>
    <w:p w:rsidR="009E60C0"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9E60C0" w:rsidRPr="00211D55" w:rsidTr="009E60C0">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9E60C0" w:rsidRPr="00211D55" w:rsidRDefault="009E60C0"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9E60C0" w:rsidRPr="00211D55" w:rsidRDefault="009E60C0"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9E60C0" w:rsidRPr="00211D55" w:rsidRDefault="009E60C0"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9E60C0"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9E60C0" w:rsidRPr="00211D55" w:rsidTr="009E60C0">
        <w:trPr>
          <w:cantSplit/>
          <w:trHeight w:val="1181"/>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9E60C0" w:rsidRPr="007A7336" w:rsidRDefault="009E60C0" w:rsidP="007A7336">
            <w:pPr>
              <w:bidi/>
              <w:spacing w:before="60" w:after="60" w:line="280" w:lineRule="exact"/>
              <w:rPr>
                <w:rFonts w:ascii="Arabic Typesetting" w:hAnsi="Arabic Typesetting" w:cs="Arabic Typesetting"/>
                <w:color w:val="000000"/>
                <w:sz w:val="28"/>
                <w:szCs w:val="28"/>
                <w:lang w:bidi="ar-EG"/>
              </w:rPr>
            </w:pPr>
            <w:r w:rsidRPr="00211D55">
              <w:rPr>
                <w:rFonts w:ascii="Arabic Typesetting" w:hAnsi="Arabic Typesetting" w:cs="Arabic Typesetting"/>
                <w:color w:val="000000"/>
                <w:sz w:val="28"/>
                <w:szCs w:val="28"/>
                <w:rtl/>
                <w:lang w:bidi="ar-EG"/>
              </w:rPr>
              <w:t>الخلافات بين مجموعات البلدان تؤدي إلى الحد من التطور التقني للمعايير</w:t>
            </w:r>
            <w:r w:rsidRPr="007A7336">
              <w:rPr>
                <w:rFonts w:ascii="Arabic Typesetting" w:hAnsi="Arabic Typesetting" w:cs="Arabic Typesetting"/>
                <w:color w:val="000000"/>
                <w:sz w:val="28"/>
                <w:szCs w:val="28"/>
                <w:rtl/>
                <w:lang w:bidi="ar-EG"/>
              </w:rPr>
              <w:t xml:space="preserve"> والتصنيفات.</w:t>
            </w:r>
          </w:p>
        </w:tc>
        <w:tc>
          <w:tcPr>
            <w:tcW w:w="2200" w:type="dxa"/>
            <w:tcBorders>
              <w:top w:val="single" w:sz="4" w:space="0" w:color="auto"/>
              <w:bottom w:val="single" w:sz="4" w:space="0" w:color="auto"/>
            </w:tcBorders>
            <w:shd w:val="clear" w:color="auto" w:fill="auto"/>
            <w:tcMar>
              <w:top w:w="113" w:type="dxa"/>
              <w:bottom w:w="113" w:type="dxa"/>
            </w:tcMar>
          </w:tcPr>
          <w:p w:rsidR="009E60C0" w:rsidRPr="007A7336" w:rsidRDefault="009E60C0" w:rsidP="007A7336">
            <w:pPr>
              <w:bidi/>
              <w:spacing w:before="60" w:after="60" w:line="280" w:lineRule="exact"/>
              <w:rPr>
                <w:rFonts w:ascii="Arabic Typesetting" w:hAnsi="Arabic Typesetting" w:cs="Arabic Typesetting"/>
                <w:color w:val="000000"/>
                <w:sz w:val="28"/>
                <w:szCs w:val="28"/>
                <w:lang w:bidi="ar-EG"/>
              </w:rPr>
            </w:pPr>
            <w:r w:rsidRPr="007A7336">
              <w:rPr>
                <w:rFonts w:ascii="Arabic Typesetting" w:hAnsi="Arabic Typesetting" w:cs="Arabic Typesetting"/>
                <w:color w:val="000000"/>
                <w:sz w:val="28"/>
                <w:szCs w:val="28"/>
                <w:rtl/>
                <w:lang w:bidi="ar-EG"/>
              </w:rPr>
              <w:t xml:space="preserve">مناقشة </w:t>
            </w:r>
            <w:r w:rsidRPr="00211D55">
              <w:rPr>
                <w:rFonts w:ascii="Arabic Typesetting" w:hAnsi="Arabic Typesetting" w:cs="Arabic Typesetting"/>
                <w:color w:val="000000"/>
                <w:sz w:val="28"/>
                <w:szCs w:val="28"/>
                <w:rtl/>
                <w:lang w:bidi="ar-EG"/>
              </w:rPr>
              <w:t xml:space="preserve">القضايا ومحاولة حلها خارج اللجان وتعزيز المناقشات التقنية داخل اللجان. ومتابعة تنفيذ الخطط </w:t>
            </w:r>
            <w:r w:rsidR="003A0D0B" w:rsidRPr="00211D55">
              <w:rPr>
                <w:rFonts w:ascii="Arabic Typesetting" w:hAnsi="Arabic Typesetting" w:cs="Arabic Typesetting" w:hint="cs"/>
                <w:color w:val="000000"/>
                <w:sz w:val="28"/>
                <w:szCs w:val="28"/>
                <w:rtl/>
                <w:lang w:bidi="ar-EG"/>
              </w:rPr>
              <w:t>ال</w:t>
            </w:r>
            <w:r w:rsidRPr="00211D55">
              <w:rPr>
                <w:rFonts w:ascii="Arabic Typesetting" w:hAnsi="Arabic Typesetting" w:cs="Arabic Typesetting"/>
                <w:color w:val="000000"/>
                <w:sz w:val="28"/>
                <w:szCs w:val="28"/>
                <w:rtl/>
                <w:lang w:bidi="ar-EG"/>
              </w:rPr>
              <w:t>طويلة</w:t>
            </w:r>
            <w:r w:rsidRPr="007A7336">
              <w:rPr>
                <w:rFonts w:ascii="Arabic Typesetting" w:hAnsi="Arabic Typesetting" w:cs="Arabic Typesetting"/>
                <w:color w:val="000000"/>
                <w:sz w:val="28"/>
                <w:szCs w:val="28"/>
                <w:rtl/>
                <w:lang w:bidi="ar-EG"/>
              </w:rPr>
              <w:t xml:space="preserve"> الأجل.</w:t>
            </w:r>
          </w:p>
        </w:tc>
        <w:tc>
          <w:tcPr>
            <w:tcW w:w="2310" w:type="dxa"/>
            <w:tcBorders>
              <w:top w:val="single" w:sz="4" w:space="0" w:color="auto"/>
              <w:bottom w:val="single" w:sz="4" w:space="0" w:color="auto"/>
            </w:tcBorders>
          </w:tcPr>
          <w:p w:rsidR="009E60C0" w:rsidRPr="007A7336" w:rsidRDefault="003A0D0B" w:rsidP="007A7336">
            <w:pPr>
              <w:bidi/>
              <w:spacing w:before="60" w:after="60" w:line="280" w:lineRule="exact"/>
              <w:rPr>
                <w:rFonts w:ascii="Arabic Typesetting" w:hAnsi="Arabic Typesetting" w:cs="Arabic Typesetting"/>
                <w:color w:val="000000"/>
                <w:sz w:val="28"/>
                <w:szCs w:val="28"/>
                <w:lang w:bidi="ar-EG"/>
              </w:rPr>
            </w:pPr>
            <w:r w:rsidRPr="007A7336">
              <w:rPr>
                <w:rFonts w:ascii="Arabic Typesetting" w:hAnsi="Arabic Typesetting" w:cs="Arabic Typesetting" w:hint="cs"/>
                <w:color w:val="000000"/>
                <w:sz w:val="28"/>
                <w:szCs w:val="28"/>
                <w:rtl/>
                <w:lang w:bidi="ar-EG"/>
              </w:rPr>
              <w:t>ظلت مشكلة دورة اللجنة المعنية بمعايير الويبو مطروحة على الرغم من عدة اجتماعات غير رسمية عقدت في عامي 2014 و2015.</w:t>
            </w:r>
          </w:p>
        </w:tc>
        <w:tc>
          <w:tcPr>
            <w:tcW w:w="2306" w:type="dxa"/>
            <w:tcBorders>
              <w:top w:val="single" w:sz="4" w:space="0" w:color="auto"/>
              <w:bottom w:val="single" w:sz="4" w:space="0" w:color="auto"/>
              <w:right w:val="single" w:sz="4" w:space="0" w:color="auto"/>
            </w:tcBorders>
          </w:tcPr>
          <w:p w:rsidR="009E60C0" w:rsidRPr="007A7336" w:rsidRDefault="003A0D0B" w:rsidP="007A7336">
            <w:pPr>
              <w:bidi/>
              <w:spacing w:before="60" w:after="60" w:line="280" w:lineRule="exact"/>
              <w:rPr>
                <w:rFonts w:ascii="Arabic Typesetting" w:hAnsi="Arabic Typesetting" w:cs="Arabic Typesetting"/>
                <w:color w:val="000000"/>
                <w:sz w:val="28"/>
                <w:szCs w:val="28"/>
                <w:lang w:bidi="ar-EG"/>
              </w:rPr>
            </w:pPr>
            <w:r w:rsidRPr="007A7336">
              <w:rPr>
                <w:rFonts w:ascii="Arabic Typesetting" w:hAnsi="Arabic Typesetting" w:cs="Arabic Typesetting" w:hint="cs"/>
                <w:color w:val="000000"/>
                <w:sz w:val="28"/>
                <w:szCs w:val="28"/>
                <w:rtl/>
                <w:lang w:bidi="ar-EG"/>
              </w:rPr>
              <w:t xml:space="preserve">لم تتمكن اللجنة المعنية بمعايير الويبو من اعتماد عدة معايير جديدة رسمياً. ولكن استمر العمل غير الرسمي ويتوقع اعتماد عدة معايير في </w:t>
            </w:r>
            <w:r w:rsidR="007A7336">
              <w:rPr>
                <w:rFonts w:ascii="Arabic Typesetting" w:hAnsi="Arabic Typesetting" w:cs="Arabic Typesetting" w:hint="cs"/>
                <w:color w:val="000000"/>
                <w:sz w:val="28"/>
                <w:szCs w:val="28"/>
                <w:rtl/>
                <w:lang w:bidi="ar-EG"/>
              </w:rPr>
              <w:t>عام </w:t>
            </w:r>
            <w:r w:rsidRPr="007A7336">
              <w:rPr>
                <w:rFonts w:ascii="Arabic Typesetting" w:hAnsi="Arabic Typesetting" w:cs="Arabic Typesetting" w:hint="cs"/>
                <w:color w:val="000000"/>
                <w:sz w:val="28"/>
                <w:szCs w:val="28"/>
                <w:rtl/>
                <w:lang w:bidi="ar-EG"/>
              </w:rPr>
              <w:t>2016.</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استخدام الموارد</w:t>
      </w:r>
    </w:p>
    <w:p w:rsidR="00B31868" w:rsidRPr="00252762" w:rsidRDefault="00774E37" w:rsidP="00252762">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sz w:val="34"/>
          <w:szCs w:val="34"/>
          <w:rtl/>
          <w:lang w:bidi="ar-EG"/>
        </w:rPr>
        <w:t>الميزانية والنفقات الفعلية (بحسب النتائج)</w:t>
      </w:r>
    </w:p>
    <w:p w:rsidR="00B31868" w:rsidRPr="00B31868" w:rsidRDefault="00B31868" w:rsidP="00086C3F">
      <w:pPr>
        <w:keepNext/>
        <w:bidi/>
        <w:spacing w:after="120" w:line="340" w:lineRule="exact"/>
        <w:jc w:val="center"/>
        <w:rPr>
          <w:rFonts w:ascii="Arabic Typesetting" w:hAnsi="Arabic Typesetting" w:cs="Arabic Typesetting"/>
          <w:i/>
          <w:iCs/>
          <w:sz w:val="34"/>
          <w:szCs w:val="34"/>
          <w:rtl/>
          <w:lang w:bidi="ar-EG"/>
        </w:rPr>
      </w:pPr>
      <w:r w:rsidRPr="00B31868">
        <w:rPr>
          <w:rFonts w:ascii="Arabic Typesetting" w:hAnsi="Arabic Typesetting" w:cs="Arabic Typesetting"/>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3A0D0B" w:rsidRPr="00211D55" w:rsidTr="00C31BC1">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3A0D0B" w:rsidRPr="00211D55" w:rsidRDefault="003A0D0B"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3A0D0B" w:rsidRPr="00211D55" w:rsidRDefault="003A0D0B"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3A0D0B" w:rsidRPr="00211D55" w:rsidRDefault="003A0D0B"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3A0D0B" w:rsidRPr="00211D55" w:rsidRDefault="003A0D0B"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3A0D0B" w:rsidRPr="00211D55" w:rsidTr="00C31BC1">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3A0D0B" w:rsidRPr="00211D55" w:rsidRDefault="003A0D0B"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ھ1.4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A0D0B" w:rsidRPr="00211D55" w:rsidRDefault="009947B0" w:rsidP="00086C3F">
            <w:pPr>
              <w:bidi/>
              <w:rPr>
                <w:rFonts w:ascii="Arabic Typesetting" w:hAnsi="Arabic Typesetting" w:cs="Arabic Typesetting"/>
                <w:sz w:val="28"/>
                <w:szCs w:val="28"/>
              </w:rPr>
            </w:pPr>
            <w:r>
              <w:rPr>
                <w:rFonts w:ascii="Arabic Typesetting" w:hAnsi="Arabic Typesetting" w:cs="Arabic Typesetting"/>
                <w:sz w:val="28"/>
                <w:szCs w:val="28"/>
                <w:rtl/>
              </w:rPr>
              <w:t>نظام مستحدث ومقبول عالميا للتصنيفات الدولية ومعايير الويبو بهدف تيسير النفاذ إلى معلومات الملكية الفكرية والانتفاع بها ونشرها في صفوف أصحاب المصلحة في أنحاء العالم</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A0D0B" w:rsidRPr="00211D55" w:rsidRDefault="003A0D0B" w:rsidP="00086C3F">
            <w:pPr>
              <w:rPr>
                <w:rFonts w:ascii="Arabic Typesetting" w:hAnsi="Arabic Typesetting" w:cs="Arabic Typesetting"/>
                <w:sz w:val="28"/>
                <w:szCs w:val="28"/>
              </w:rPr>
            </w:pPr>
            <w:r w:rsidRPr="00211D55">
              <w:rPr>
                <w:rFonts w:ascii="Arabic Typesetting" w:hAnsi="Arabic Typesetting" w:cs="Arabic Typesetting"/>
                <w:sz w:val="28"/>
                <w:szCs w:val="28"/>
              </w:rPr>
              <w:t>7,317</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A0D0B" w:rsidRPr="00211D55" w:rsidRDefault="003A0D0B" w:rsidP="00086C3F">
            <w:pPr>
              <w:rPr>
                <w:rFonts w:ascii="Arabic Typesetting" w:hAnsi="Arabic Typesetting" w:cs="Arabic Typesetting"/>
                <w:sz w:val="28"/>
                <w:szCs w:val="28"/>
              </w:rPr>
            </w:pPr>
            <w:r w:rsidRPr="00211D55">
              <w:rPr>
                <w:rFonts w:ascii="Arabic Typesetting" w:hAnsi="Arabic Typesetting" w:cs="Arabic Typesetting"/>
                <w:sz w:val="28"/>
                <w:szCs w:val="28"/>
              </w:rPr>
              <w:t>7,298</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A0D0B" w:rsidRPr="00211D55" w:rsidRDefault="003A0D0B" w:rsidP="00086C3F">
            <w:pPr>
              <w:rPr>
                <w:rFonts w:ascii="Arabic Typesetting" w:hAnsi="Arabic Typesetting" w:cs="Arabic Typesetting"/>
                <w:sz w:val="28"/>
                <w:szCs w:val="28"/>
              </w:rPr>
            </w:pPr>
            <w:r w:rsidRPr="00211D55">
              <w:rPr>
                <w:rFonts w:ascii="Arabic Typesetting" w:hAnsi="Arabic Typesetting" w:cs="Arabic Typesetting"/>
                <w:sz w:val="28"/>
                <w:szCs w:val="28"/>
              </w:rPr>
              <w:t>7,507</w:t>
            </w:r>
          </w:p>
        </w:tc>
      </w:tr>
      <w:tr w:rsidR="003A0D0B" w:rsidRPr="00211D55" w:rsidTr="00B101A6">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3A0D0B" w:rsidRPr="00211D55" w:rsidRDefault="003A0D0B"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3A0D0B" w:rsidRPr="00211D55" w:rsidRDefault="003A0D0B"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3A0D0B" w:rsidRPr="00211D55" w:rsidRDefault="003A0D0B"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7,317</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3A0D0B" w:rsidRPr="00211D55" w:rsidRDefault="003A0D0B"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7,298</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3A0D0B" w:rsidRPr="00211D55" w:rsidRDefault="003A0D0B"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7,507</w:t>
            </w:r>
          </w:p>
        </w:tc>
      </w:tr>
    </w:tbl>
    <w:p w:rsidR="00252762" w:rsidRPr="00252762" w:rsidRDefault="00774E37" w:rsidP="00252762">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B31868" w:rsidRPr="00B31868" w:rsidRDefault="00B31868" w:rsidP="00252762">
      <w:pPr>
        <w:keepNext/>
        <w:bidi/>
        <w:spacing w:after="120" w:line="340" w:lineRule="exact"/>
        <w:jc w:val="center"/>
        <w:rPr>
          <w:rFonts w:ascii="Arabic Typesetting" w:hAnsi="Arabic Typesetting" w:cs="Arabic Typesetting"/>
          <w:i/>
          <w:iCs/>
          <w:sz w:val="34"/>
          <w:szCs w:val="34"/>
          <w:rtl/>
          <w:lang w:bidi="ar-EG"/>
        </w:rPr>
      </w:pPr>
      <w:r w:rsidRPr="00B31868">
        <w:rPr>
          <w:rFonts w:ascii="Arabic Typesetting" w:hAnsi="Arabic Typesetting" w:cs="Arabic Typesetting"/>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3A0D0B" w:rsidRPr="00211D55" w:rsidTr="003A0D0B">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3A0D0B" w:rsidRPr="00211D55" w:rsidRDefault="003A0D0B"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A0D0B" w:rsidRPr="00211D55" w:rsidRDefault="003A0D0B"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A0D0B" w:rsidRPr="00211D55" w:rsidRDefault="003A0D0B"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A0D0B" w:rsidRPr="00211D55" w:rsidRDefault="003A0D0B"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A0D0B"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3A0D0B" w:rsidRPr="00211D55">
              <w:rPr>
                <w:rFonts w:ascii="Arabic Typesetting" w:hAnsi="Arabic Typesetting" w:cs="Arabic Typesetting"/>
                <w:b/>
                <w:bCs/>
                <w:i/>
                <w:iCs/>
                <w:sz w:val="28"/>
                <w:szCs w:val="28"/>
                <w:rtl/>
              </w:rPr>
              <w:t xml:space="preserve"> (%)</w:t>
            </w:r>
          </w:p>
        </w:tc>
      </w:tr>
      <w:tr w:rsidR="003A0D0B" w:rsidRPr="00211D55" w:rsidTr="003A0D0B">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3A0D0B" w:rsidRPr="00211D55" w:rsidRDefault="003A0D0B"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5,879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5,808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6,050</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104%</w:t>
            </w:r>
          </w:p>
        </w:tc>
      </w:tr>
      <w:tr w:rsidR="003A0D0B" w:rsidRPr="00211D55" w:rsidTr="003A0D0B">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3A0D0B" w:rsidRPr="00211D55" w:rsidRDefault="003A0D0B"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1,438</w:t>
            </w:r>
          </w:p>
        </w:tc>
        <w:tc>
          <w:tcPr>
            <w:tcW w:w="970" w:type="pct"/>
            <w:tcBorders>
              <w:top w:val="nil"/>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1,490</w:t>
            </w:r>
          </w:p>
        </w:tc>
        <w:tc>
          <w:tcPr>
            <w:tcW w:w="970" w:type="pct"/>
            <w:tcBorders>
              <w:top w:val="nil"/>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1,457</w:t>
            </w:r>
          </w:p>
        </w:tc>
        <w:tc>
          <w:tcPr>
            <w:tcW w:w="970" w:type="pct"/>
            <w:tcBorders>
              <w:top w:val="nil"/>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98%</w:t>
            </w:r>
          </w:p>
        </w:tc>
      </w:tr>
      <w:tr w:rsidR="003A0D0B" w:rsidRPr="00211D55" w:rsidTr="003A0D0B">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3A0D0B" w:rsidRPr="00211D55" w:rsidRDefault="003A0D0B"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7,317</w:t>
            </w:r>
          </w:p>
        </w:tc>
        <w:tc>
          <w:tcPr>
            <w:tcW w:w="970" w:type="pct"/>
            <w:tcBorders>
              <w:top w:val="nil"/>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7,298</w:t>
            </w:r>
          </w:p>
        </w:tc>
        <w:tc>
          <w:tcPr>
            <w:tcW w:w="970" w:type="pct"/>
            <w:tcBorders>
              <w:top w:val="nil"/>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7,507</w:t>
            </w:r>
          </w:p>
        </w:tc>
        <w:tc>
          <w:tcPr>
            <w:tcW w:w="970" w:type="pct"/>
            <w:tcBorders>
              <w:top w:val="nil"/>
              <w:left w:val="single" w:sz="4" w:space="0" w:color="auto"/>
              <w:bottom w:val="single" w:sz="4" w:space="0" w:color="auto"/>
              <w:right w:val="single" w:sz="4" w:space="0" w:color="auto"/>
            </w:tcBorders>
            <w:shd w:val="clear" w:color="auto" w:fill="auto"/>
            <w:vAlign w:val="center"/>
          </w:tcPr>
          <w:p w:rsidR="003A0D0B" w:rsidRPr="00211D55" w:rsidRDefault="003A0D0B"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103%</w:t>
            </w:r>
          </w:p>
        </w:tc>
      </w:tr>
    </w:tbl>
    <w:p w:rsidR="00B31868" w:rsidRPr="00706F20" w:rsidRDefault="003A0D0B" w:rsidP="00086C3F">
      <w:pPr>
        <w:keepNext/>
        <w:bidi/>
        <w:spacing w:before="240" w:after="120" w:line="340" w:lineRule="exact"/>
        <w:rPr>
          <w:rFonts w:ascii="Arabic Typesetting" w:hAnsi="Arabic Typesetting" w:cs="Arabic Typesetting"/>
          <w:sz w:val="34"/>
          <w:szCs w:val="34"/>
          <w:lang w:bidi="ar-EG"/>
        </w:rPr>
      </w:pPr>
      <w:r w:rsidRPr="00706F20">
        <w:rPr>
          <w:rFonts w:ascii="Arabic Typesetting" w:hAnsi="Arabic Typesetting" w:cs="Arabic Typesetting" w:hint="cs"/>
          <w:sz w:val="34"/>
          <w:szCs w:val="34"/>
          <w:rtl/>
          <w:lang w:bidi="ar-EG"/>
        </w:rPr>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3A0D0B" w:rsidRDefault="00FF1820" w:rsidP="009A3712">
      <w:pPr>
        <w:numPr>
          <w:ilvl w:val="0"/>
          <w:numId w:val="16"/>
        </w:numPr>
        <w:bidi/>
        <w:spacing w:before="120" w:after="120" w:line="340" w:lineRule="exact"/>
        <w:ind w:left="0"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يعزى</w:t>
      </w:r>
      <w:r w:rsidR="00B31868" w:rsidRPr="00B31868">
        <w:rPr>
          <w:rFonts w:ascii="Arabic Typesetting" w:hAnsi="Arabic Typesetting" w:cs="Arabic Typesetting" w:hint="cs"/>
          <w:sz w:val="34"/>
          <w:szCs w:val="34"/>
          <w:rtl/>
          <w:lang w:bidi="ar-EG"/>
        </w:rPr>
        <w:t xml:space="preserve"> الانخفاض الطفيف في </w:t>
      </w:r>
      <w:r w:rsidR="003A0D0B" w:rsidRPr="003A0D0B">
        <w:rPr>
          <w:rFonts w:ascii="Arabic Typesetting" w:hAnsi="Arabic Typesetting" w:cs="Arabic Typesetting"/>
          <w:sz w:val="34"/>
          <w:szCs w:val="34"/>
          <w:rtl/>
          <w:lang w:bidi="ar-EG"/>
        </w:rPr>
        <w:t xml:space="preserve">الميزانية النهائية بعد التحويلات </w:t>
      </w:r>
      <w:r w:rsidR="00507DE2">
        <w:rPr>
          <w:rFonts w:ascii="Arabic Typesetting" w:hAnsi="Arabic Typesetting" w:cs="Arabic Typesetting"/>
          <w:sz w:val="34"/>
          <w:szCs w:val="34"/>
          <w:rtl/>
          <w:lang w:bidi="ar-EG"/>
        </w:rPr>
        <w:t>2014/15</w:t>
      </w:r>
      <w:r w:rsidR="00B31868" w:rsidRPr="00B31868">
        <w:rPr>
          <w:rFonts w:ascii="Arabic Typesetting" w:hAnsi="Arabic Typesetting" w:cs="Arabic Typesetting" w:hint="cs"/>
          <w:sz w:val="34"/>
          <w:szCs w:val="34"/>
          <w:rtl/>
          <w:lang w:bidi="ar-EG"/>
        </w:rPr>
        <w:t xml:space="preserve"> (موارد الموظفين) </w:t>
      </w:r>
      <w:r>
        <w:rPr>
          <w:rFonts w:ascii="Arabic Typesetting" w:hAnsi="Arabic Typesetting" w:cs="Arabic Typesetting" w:hint="cs"/>
          <w:sz w:val="34"/>
          <w:szCs w:val="34"/>
          <w:rtl/>
          <w:lang w:bidi="ar-EG"/>
        </w:rPr>
        <w:t xml:space="preserve">إلى </w:t>
      </w:r>
      <w:r w:rsidR="00B101A6">
        <w:rPr>
          <w:rFonts w:ascii="Arabic Typesetting" w:hAnsi="Arabic Typesetting" w:cs="Arabic Typesetting" w:hint="cs"/>
          <w:sz w:val="34"/>
          <w:szCs w:val="34"/>
          <w:rtl/>
          <w:lang w:bidi="ar-EG"/>
        </w:rPr>
        <w:t>النتيجة الصافية لإعادة تصنيف الوظائف</w:t>
      </w:r>
      <w:r w:rsidR="003A0D0B">
        <w:rPr>
          <w:rFonts w:ascii="Arabic Typesetting" w:hAnsi="Arabic Typesetting" w:cs="Arabic Typesetting" w:hint="cs"/>
          <w:sz w:val="34"/>
          <w:szCs w:val="34"/>
          <w:rtl/>
          <w:lang w:bidi="ar-EG"/>
        </w:rPr>
        <w:t>.</w:t>
      </w:r>
    </w:p>
    <w:p w:rsidR="00B31868" w:rsidRPr="00B31868" w:rsidRDefault="003A0D0B" w:rsidP="009A3712">
      <w:pPr>
        <w:numPr>
          <w:ilvl w:val="0"/>
          <w:numId w:val="16"/>
        </w:numPr>
        <w:bidi/>
        <w:spacing w:before="120" w:after="120" w:line="340" w:lineRule="exact"/>
        <w:ind w:left="0" w:firstLine="0"/>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t xml:space="preserve">وتعزى </w:t>
      </w:r>
      <w:r w:rsidR="0055755E">
        <w:rPr>
          <w:rFonts w:ascii="Arabic Typesetting" w:hAnsi="Arabic Typesetting" w:cs="Arabic Typesetting" w:hint="cs"/>
          <w:sz w:val="34"/>
          <w:szCs w:val="34"/>
          <w:rtl/>
          <w:lang w:bidi="ar-EG"/>
        </w:rPr>
        <w:t>ال</w:t>
      </w:r>
      <w:r>
        <w:rPr>
          <w:rFonts w:ascii="Arabic Typesetting" w:hAnsi="Arabic Typesetting" w:cs="Arabic Typesetting" w:hint="cs"/>
          <w:sz w:val="34"/>
          <w:szCs w:val="34"/>
          <w:rtl/>
          <w:lang w:bidi="ar-EG"/>
        </w:rPr>
        <w:t>زيادة</w:t>
      </w:r>
      <w:r w:rsidR="0055755E">
        <w:rPr>
          <w:rFonts w:ascii="Arabic Typesetting" w:hAnsi="Arabic Typesetting" w:cs="Arabic Typesetting" w:hint="cs"/>
          <w:sz w:val="34"/>
          <w:szCs w:val="34"/>
          <w:rtl/>
          <w:lang w:bidi="ar-EG"/>
        </w:rPr>
        <w:t xml:space="preserve"> في</w:t>
      </w:r>
      <w:r>
        <w:rPr>
          <w:rFonts w:ascii="Arabic Typesetting" w:hAnsi="Arabic Typesetting" w:cs="Arabic Typesetting" w:hint="cs"/>
          <w:sz w:val="34"/>
          <w:szCs w:val="34"/>
          <w:rtl/>
          <w:lang w:bidi="ar-EG"/>
        </w:rPr>
        <w:t xml:space="preserve"> </w:t>
      </w:r>
      <w:r w:rsidR="0023721A">
        <w:rPr>
          <w:rFonts w:ascii="Arabic Typesetting" w:hAnsi="Arabic Typesetting" w:cs="Arabic Typesetting" w:hint="cs"/>
          <w:sz w:val="34"/>
          <w:szCs w:val="34"/>
          <w:rtl/>
          <w:lang w:bidi="ar-EG"/>
        </w:rPr>
        <w:t xml:space="preserve">مخصصات </w:t>
      </w:r>
      <w:r w:rsidR="009F5F08">
        <w:rPr>
          <w:rFonts w:ascii="Arabic Typesetting" w:hAnsi="Arabic Typesetting" w:cs="Arabic Typesetting" w:hint="cs"/>
          <w:sz w:val="34"/>
          <w:szCs w:val="34"/>
          <w:rtl/>
          <w:lang w:bidi="ar-EG"/>
        </w:rPr>
        <w:t>خلاف موارد الموظفين</w:t>
      </w:r>
      <w:r>
        <w:rPr>
          <w:rFonts w:ascii="Arabic Typesetting" w:hAnsi="Arabic Typesetting" w:cs="Arabic Typesetting" w:hint="cs"/>
          <w:sz w:val="34"/>
          <w:szCs w:val="34"/>
          <w:rtl/>
          <w:lang w:bidi="ar-EG"/>
        </w:rPr>
        <w:t xml:space="preserve"> أساساً إلى تكاليف تطوير واستضافة برمجية إعادة تصنيف التصنيف الدولي للبراءات التي كانت أعلى من المتوقع ورسوم الترجمة الفورية المرتفعة المقدمة خلال الفعاليات المنظمة بشأن إدارة اتحاد التصنيف الدولي</w:t>
      </w:r>
      <w:r>
        <w:rPr>
          <w:rFonts w:ascii="Arabic Typesetting" w:hAnsi="Arabic Typesetting" w:cs="Arabic Typesetting" w:hint="eastAsia"/>
          <w:sz w:val="34"/>
          <w:szCs w:val="34"/>
          <w:rtl/>
          <w:lang w:bidi="ar-EG"/>
        </w:rPr>
        <w:t> </w:t>
      </w:r>
      <w:r>
        <w:rPr>
          <w:rFonts w:ascii="Arabic Typesetting" w:hAnsi="Arabic Typesetting" w:cs="Arabic Typesetting" w:hint="cs"/>
          <w:sz w:val="34"/>
          <w:szCs w:val="34"/>
          <w:rtl/>
          <w:lang w:bidi="ar-EG"/>
        </w:rPr>
        <w:t>للبراءات.</w:t>
      </w:r>
    </w:p>
    <w:p w:rsidR="00B31868" w:rsidRPr="00706F20" w:rsidRDefault="003A0D0B" w:rsidP="00086C3F">
      <w:pPr>
        <w:keepNext/>
        <w:bidi/>
        <w:spacing w:before="120" w:after="120" w:line="340" w:lineRule="exact"/>
        <w:rPr>
          <w:rFonts w:ascii="Arabic Typesetting" w:hAnsi="Arabic Typesetting" w:cs="Arabic Typesetting"/>
          <w:sz w:val="34"/>
          <w:szCs w:val="34"/>
          <w:u w:val="single"/>
          <w:lang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264F9" w:rsidRPr="00B264F9" w:rsidRDefault="003A0D0B" w:rsidP="009A3712">
      <w:pPr>
        <w:numPr>
          <w:ilvl w:val="0"/>
          <w:numId w:val="16"/>
        </w:numPr>
        <w:bidi/>
        <w:spacing w:before="120" w:after="120" w:line="360" w:lineRule="exact"/>
        <w:ind w:left="0" w:firstLine="0"/>
        <w:contextualSpacing/>
        <w:rPr>
          <w:rFonts w:ascii="Arabic Typesetting" w:hAnsi="Arabic Typesetting" w:cs="Arabic Typesetting"/>
          <w:sz w:val="34"/>
          <w:szCs w:val="34"/>
          <w:rtl/>
        </w:rPr>
      </w:pPr>
      <w:r w:rsidRPr="003A0D0B">
        <w:rPr>
          <w:rFonts w:ascii="Arabic Typesetting" w:hAnsi="Arabic Typesetting" w:cs="Arabic Typesetting" w:hint="cs"/>
          <w:sz w:val="34"/>
          <w:szCs w:val="34"/>
          <w:rtl/>
          <w:lang w:val="fr-CH"/>
        </w:rPr>
        <w:t xml:space="preserve">لم </w:t>
      </w:r>
      <w:r w:rsidRPr="003A0D0B">
        <w:rPr>
          <w:rFonts w:ascii="Arabic Typesetting" w:hAnsi="Arabic Typesetting" w:cs="Arabic Typesetting" w:hint="cs"/>
          <w:sz w:val="34"/>
          <w:szCs w:val="34"/>
          <w:rtl/>
          <w:lang w:bidi="ar-EG"/>
        </w:rPr>
        <w:t>يتجاوز</w:t>
      </w:r>
      <w:r w:rsidRPr="003A0D0B">
        <w:rPr>
          <w:rFonts w:ascii="Arabic Typesetting" w:hAnsi="Arabic Typesetting" w:cs="Arabic Typesetting" w:hint="cs"/>
          <w:sz w:val="34"/>
          <w:szCs w:val="34"/>
          <w:rtl/>
          <w:lang w:val="fr-CH"/>
        </w:rPr>
        <w:t xml:space="preserve"> </w:t>
      </w:r>
      <w:r w:rsidR="009B25F8">
        <w:rPr>
          <w:rFonts w:ascii="Arabic Typesetting" w:hAnsi="Arabic Typesetting" w:cs="Arabic Typesetting" w:hint="cs"/>
          <w:sz w:val="34"/>
          <w:szCs w:val="34"/>
          <w:rtl/>
          <w:lang w:val="fr-CH"/>
        </w:rPr>
        <w:t>استخدام</w:t>
      </w:r>
      <w:r w:rsidR="009B25F8" w:rsidRPr="003A0D0B">
        <w:rPr>
          <w:rFonts w:ascii="Arabic Typesetting" w:hAnsi="Arabic Typesetting" w:cs="Arabic Typesetting" w:hint="cs"/>
          <w:sz w:val="34"/>
          <w:szCs w:val="34"/>
          <w:rtl/>
          <w:lang w:val="fr-CH"/>
        </w:rPr>
        <w:t xml:space="preserve"> </w:t>
      </w:r>
      <w:r w:rsidRPr="003A0D0B">
        <w:rPr>
          <w:rFonts w:ascii="Arabic Typesetting" w:hAnsi="Arabic Typesetting" w:cs="Arabic Typesetting" w:hint="cs"/>
          <w:sz w:val="34"/>
          <w:szCs w:val="34"/>
          <w:rtl/>
          <w:lang w:val="fr-CH"/>
        </w:rPr>
        <w:t>الميزانية النسبة المتوقعة للثنائية.</w:t>
      </w:r>
    </w:p>
    <w:p w:rsidR="00B31868" w:rsidRPr="00F3697D" w:rsidRDefault="00B31868" w:rsidP="00FE0236">
      <w:pPr>
        <w:pStyle w:val="Heading3AR"/>
        <w:spacing w:after="120"/>
        <w:rPr>
          <w:rtl/>
        </w:rPr>
      </w:pPr>
      <w:bookmarkStart w:id="77" w:name="_Toc359865195"/>
      <w:bookmarkStart w:id="78" w:name="_Toc393807104"/>
      <w:bookmarkStart w:id="79" w:name="_Toc393807230"/>
      <w:bookmarkStart w:id="80" w:name="_Toc393807979"/>
      <w:bookmarkStart w:id="81" w:name="_Toc393817939"/>
      <w:bookmarkStart w:id="82" w:name="_Toc450635415"/>
      <w:bookmarkStart w:id="83" w:name="_Toc455393384"/>
      <w:r w:rsidRPr="00F3697D">
        <w:rPr>
          <w:rtl/>
        </w:rPr>
        <w:lastRenderedPageBreak/>
        <w:t>البرنامج 13:</w:t>
      </w:r>
      <w:r w:rsidRPr="00F3697D">
        <w:rPr>
          <w:rtl/>
        </w:rPr>
        <w:tab/>
        <w:t>قواعد البيانات العالمية</w:t>
      </w:r>
      <w:bookmarkEnd w:id="77"/>
      <w:bookmarkEnd w:id="78"/>
      <w:bookmarkEnd w:id="79"/>
      <w:bookmarkEnd w:id="80"/>
      <w:bookmarkEnd w:id="81"/>
      <w:bookmarkEnd w:id="82"/>
      <w:bookmarkEnd w:id="83"/>
    </w:p>
    <w:p w:rsidR="00B31868" w:rsidRPr="009A48D1" w:rsidRDefault="00B31868" w:rsidP="00FE0236">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b/>
          <w:bCs/>
          <w:sz w:val="36"/>
          <w:szCs w:val="36"/>
          <w:lang w:val="fr-CH"/>
        </w:rPr>
        <w:tab/>
      </w:r>
      <w:r w:rsidRPr="009A48D1">
        <w:rPr>
          <w:rFonts w:ascii="Arabic Typesetting" w:hAnsi="Arabic Typesetting" w:cs="Arabic Typesetting"/>
          <w:b/>
          <w:bCs/>
          <w:sz w:val="36"/>
          <w:szCs w:val="36"/>
          <w:rtl/>
          <w:lang w:val="fr-CH"/>
        </w:rPr>
        <w:t xml:space="preserve">السيد </w:t>
      </w:r>
      <w:proofErr w:type="spellStart"/>
      <w:r w:rsidRPr="009A48D1">
        <w:rPr>
          <w:rFonts w:ascii="Arabic Typesetting" w:hAnsi="Arabic Typesetting" w:cs="Arabic Typesetting"/>
          <w:b/>
          <w:bCs/>
          <w:sz w:val="36"/>
          <w:szCs w:val="36"/>
          <w:rtl/>
          <w:lang w:val="fr-CH"/>
        </w:rPr>
        <w:t>يوشيوكي</w:t>
      </w:r>
      <w:proofErr w:type="spellEnd"/>
      <w:r w:rsidRPr="009A48D1">
        <w:rPr>
          <w:rFonts w:ascii="Arabic Typesetting" w:hAnsi="Arabic Typesetting" w:cs="Arabic Typesetting"/>
          <w:b/>
          <w:bCs/>
          <w:sz w:val="36"/>
          <w:szCs w:val="36"/>
          <w:rtl/>
          <w:lang w:val="fr-CH"/>
        </w:rPr>
        <w:t xml:space="preserve"> </w:t>
      </w:r>
      <w:proofErr w:type="spellStart"/>
      <w:r w:rsidRPr="009A48D1">
        <w:rPr>
          <w:rFonts w:ascii="Arabic Typesetting" w:hAnsi="Arabic Typesetting" w:cs="Arabic Typesetting"/>
          <w:b/>
          <w:bCs/>
          <w:sz w:val="36"/>
          <w:szCs w:val="36"/>
          <w:rtl/>
          <w:lang w:val="fr-CH"/>
        </w:rPr>
        <w:t>تاكاغي</w:t>
      </w:r>
      <w:proofErr w:type="spellEnd"/>
    </w:p>
    <w:p w:rsidR="00B31868" w:rsidRPr="00086C3F" w:rsidRDefault="001207D7" w:rsidP="00FE0236">
      <w:pPr>
        <w:keepNext/>
        <w:bidi/>
        <w:spacing w:before="120" w:after="240" w:line="340" w:lineRule="exact"/>
        <w:rPr>
          <w:rFonts w:ascii="Arabic Typesetting" w:hAnsi="Arabic Typesetting" w:cs="Arabic Typesetting"/>
          <w:sz w:val="36"/>
          <w:szCs w:val="36"/>
          <w:rtl/>
          <w:lang w:val="fr-CH"/>
        </w:rPr>
      </w:pPr>
      <w:r w:rsidRPr="00086C3F">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E16D63" w:rsidRDefault="00B31868" w:rsidP="009A3712">
      <w:pPr>
        <w:numPr>
          <w:ilvl w:val="0"/>
          <w:numId w:val="32"/>
        </w:numPr>
        <w:autoSpaceDE w:val="0"/>
        <w:autoSpaceDN w:val="0"/>
        <w:bidi/>
        <w:adjustRightInd w:val="0"/>
        <w:spacing w:after="120" w:line="340" w:lineRule="exact"/>
        <w:ind w:left="0" w:firstLine="0"/>
        <w:jc w:val="both"/>
        <w:rPr>
          <w:rFonts w:ascii="Arabic Typesetting" w:hAnsi="Arabic Typesetting" w:cs="Arabic Typesetting"/>
          <w:sz w:val="34"/>
          <w:szCs w:val="34"/>
          <w:rtl/>
          <w:lang w:bidi="ar-EG"/>
        </w:rPr>
      </w:pPr>
      <w:r w:rsidRPr="00E16D63">
        <w:rPr>
          <w:rFonts w:ascii="Arabic Typesetting" w:hAnsi="Arabic Typesetting" w:cs="Arabic Typesetting" w:hint="cs"/>
          <w:sz w:val="34"/>
          <w:szCs w:val="34"/>
          <w:rtl/>
          <w:lang w:bidi="ar-EG"/>
        </w:rPr>
        <w:t xml:space="preserve">تواصل تعزيز </w:t>
      </w:r>
      <w:r w:rsidRPr="00E16D63">
        <w:rPr>
          <w:rFonts w:ascii="Arabic Typesetting" w:hAnsi="Arabic Typesetting" w:cs="Arabic Typesetting"/>
          <w:sz w:val="34"/>
          <w:szCs w:val="34"/>
          <w:rtl/>
          <w:lang w:bidi="ar-EG"/>
        </w:rPr>
        <w:t>نظام ركن البراءات (</w:t>
      </w:r>
      <w:r w:rsidRPr="00E16D63">
        <w:rPr>
          <w:rFonts w:ascii="Arabic Typesetting" w:hAnsi="Arabic Typesetting" w:cs="Arabic Typesetting"/>
          <w:sz w:val="34"/>
          <w:szCs w:val="34"/>
          <w:lang w:bidi="ar-EG"/>
        </w:rPr>
        <w:t>PATENTSCOPE</w:t>
      </w:r>
      <w:r w:rsidRPr="00E16D63">
        <w:rPr>
          <w:rFonts w:ascii="Arabic Typesetting" w:hAnsi="Arabic Typesetting" w:cs="Arabic Typesetting"/>
          <w:sz w:val="34"/>
          <w:szCs w:val="34"/>
          <w:rtl/>
          <w:lang w:bidi="ar-EG"/>
        </w:rPr>
        <w:t>)</w:t>
      </w:r>
      <w:r w:rsidRPr="00E16D63">
        <w:rPr>
          <w:rFonts w:ascii="Arabic Typesetting" w:hAnsi="Arabic Typesetting" w:cs="Arabic Typesetting" w:hint="cs"/>
          <w:sz w:val="34"/>
          <w:szCs w:val="34"/>
          <w:rtl/>
          <w:lang w:bidi="ar-EG"/>
        </w:rPr>
        <w:t xml:space="preserve"> </w:t>
      </w:r>
      <w:r w:rsidR="001207D7" w:rsidRPr="00E16D63">
        <w:rPr>
          <w:rFonts w:ascii="Arabic Typesetting" w:hAnsi="Arabic Typesetting" w:cs="Arabic Typesetting" w:hint="cs"/>
          <w:sz w:val="34"/>
          <w:szCs w:val="34"/>
          <w:rtl/>
          <w:lang w:bidi="ar-EG"/>
        </w:rPr>
        <w:t xml:space="preserve">خلال الثنائية </w:t>
      </w:r>
      <w:r w:rsidR="00507DE2" w:rsidRPr="00E16D63">
        <w:rPr>
          <w:rFonts w:ascii="Arabic Typesetting" w:hAnsi="Arabic Typesetting" w:cs="Arabic Typesetting" w:hint="cs"/>
          <w:sz w:val="34"/>
          <w:szCs w:val="34"/>
          <w:rtl/>
          <w:lang w:bidi="ar-EG"/>
        </w:rPr>
        <w:t>2014/15</w:t>
      </w:r>
      <w:r w:rsidRPr="00E16D63">
        <w:rPr>
          <w:rFonts w:ascii="Arabic Typesetting" w:hAnsi="Arabic Typesetting" w:cs="Arabic Typesetting" w:hint="cs"/>
          <w:sz w:val="34"/>
          <w:szCs w:val="34"/>
          <w:rtl/>
          <w:lang w:bidi="ar-EG"/>
        </w:rPr>
        <w:t xml:space="preserve">، مع التركيز كثيرا على تحسين النفاذ إلى النظام في الأقاليم التي تشهد فترات انتظار طويلة. </w:t>
      </w:r>
      <w:r w:rsidR="001207D7" w:rsidRPr="00E16D63">
        <w:rPr>
          <w:rFonts w:ascii="Arabic Typesetting" w:hAnsi="Arabic Typesetting" w:cs="Arabic Typesetting" w:hint="cs"/>
          <w:sz w:val="34"/>
          <w:szCs w:val="34"/>
          <w:rtl/>
          <w:lang w:bidi="ar-EG"/>
        </w:rPr>
        <w:t xml:space="preserve">وأدخلت تحسينات كبيرة لفائدة المستخدمين في آسيا. وأدرجت </w:t>
      </w:r>
      <w:r w:rsidRPr="00E16D63">
        <w:rPr>
          <w:rFonts w:ascii="Arabic Typesetting" w:hAnsi="Arabic Typesetting" w:cs="Arabic Typesetting" w:hint="cs"/>
          <w:sz w:val="34"/>
          <w:szCs w:val="34"/>
          <w:rtl/>
          <w:lang w:bidi="ar-EG"/>
        </w:rPr>
        <w:t>لغتان</w:t>
      </w:r>
      <w:r w:rsidR="001207D7" w:rsidRPr="00E16D63">
        <w:rPr>
          <w:rFonts w:ascii="Arabic Typesetting" w:hAnsi="Arabic Typesetting" w:cs="Arabic Typesetting" w:hint="cs"/>
          <w:sz w:val="34"/>
          <w:szCs w:val="34"/>
          <w:rtl/>
          <w:lang w:bidi="ar-EG"/>
        </w:rPr>
        <w:t xml:space="preserve"> (</w:t>
      </w:r>
      <w:r w:rsidR="001207D7" w:rsidRPr="00E16D63">
        <w:rPr>
          <w:rFonts w:ascii="Arabic Typesetting" w:hAnsi="Arabic Typesetting" w:cs="Arabic Typesetting"/>
          <w:sz w:val="34"/>
          <w:szCs w:val="34"/>
          <w:rtl/>
          <w:lang w:bidi="ar-EG"/>
        </w:rPr>
        <w:t>الدانماركية والبولندية</w:t>
      </w:r>
      <w:r w:rsidR="001207D7" w:rsidRPr="00E16D63">
        <w:rPr>
          <w:rFonts w:ascii="Arabic Typesetting" w:hAnsi="Arabic Typesetting" w:cs="Arabic Typesetting" w:hint="cs"/>
          <w:sz w:val="34"/>
          <w:szCs w:val="34"/>
          <w:rtl/>
          <w:lang w:bidi="ar-EG"/>
        </w:rPr>
        <w:t>)</w:t>
      </w:r>
      <w:r w:rsidRPr="00E16D63">
        <w:rPr>
          <w:rFonts w:ascii="Arabic Typesetting" w:hAnsi="Arabic Typesetting" w:cs="Arabic Typesetting" w:hint="cs"/>
          <w:sz w:val="34"/>
          <w:szCs w:val="34"/>
          <w:rtl/>
          <w:lang w:bidi="ar-EG"/>
        </w:rPr>
        <w:t xml:space="preserve"> في </w:t>
      </w:r>
      <w:r w:rsidRPr="00E16D63">
        <w:rPr>
          <w:rFonts w:ascii="Arabic Typesetting" w:hAnsi="Arabic Typesetting" w:cs="Arabic Typesetting"/>
          <w:sz w:val="34"/>
          <w:szCs w:val="34"/>
          <w:rtl/>
          <w:lang w:bidi="ar-EG"/>
        </w:rPr>
        <w:t xml:space="preserve">نظام البحث </w:t>
      </w:r>
      <w:r w:rsidR="00A2730A" w:rsidRPr="00E16D63">
        <w:rPr>
          <w:rFonts w:ascii="Arabic Typesetting" w:hAnsi="Arabic Typesetting" w:cs="Arabic Typesetting" w:hint="cs"/>
          <w:sz w:val="34"/>
          <w:szCs w:val="34"/>
          <w:rtl/>
          <w:lang w:bidi="ar-EG"/>
        </w:rPr>
        <w:t>ال</w:t>
      </w:r>
      <w:r w:rsidRPr="00E16D63">
        <w:rPr>
          <w:rFonts w:ascii="Arabic Typesetting" w:hAnsi="Arabic Typesetting" w:cs="Arabic Typesetting"/>
          <w:sz w:val="34"/>
          <w:szCs w:val="34"/>
          <w:rtl/>
          <w:lang w:bidi="ar-EG"/>
        </w:rPr>
        <w:t>متعدد اللغات لاسترجاع المعلومات</w:t>
      </w:r>
      <w:r w:rsidRPr="00E16D63">
        <w:rPr>
          <w:rFonts w:ascii="Arabic Typesetting" w:hAnsi="Arabic Typesetting" w:cs="Arabic Typesetting" w:hint="cs"/>
          <w:sz w:val="34"/>
          <w:szCs w:val="34"/>
          <w:rtl/>
          <w:lang w:bidi="ar-EG"/>
        </w:rPr>
        <w:t xml:space="preserve">، </w:t>
      </w:r>
      <w:r w:rsidR="00A2730A" w:rsidRPr="00E16D63">
        <w:rPr>
          <w:rFonts w:ascii="Arabic Typesetting" w:hAnsi="Arabic Typesetting" w:cs="Arabic Typesetting" w:hint="cs"/>
          <w:sz w:val="34"/>
          <w:szCs w:val="34"/>
          <w:rtl/>
          <w:lang w:bidi="ar-EG"/>
        </w:rPr>
        <w:t xml:space="preserve">وبلغ بذلك عدد </w:t>
      </w:r>
      <w:r w:rsidRPr="00E16D63">
        <w:rPr>
          <w:rFonts w:ascii="Arabic Typesetting" w:hAnsi="Arabic Typesetting" w:cs="Arabic Typesetting" w:hint="cs"/>
          <w:sz w:val="34"/>
          <w:szCs w:val="34"/>
          <w:rtl/>
          <w:lang w:bidi="ar-EG"/>
        </w:rPr>
        <w:t xml:space="preserve">اللغات المستخدمة </w:t>
      </w:r>
      <w:r w:rsidR="00A2730A" w:rsidRPr="00E16D63">
        <w:rPr>
          <w:rFonts w:ascii="Arabic Typesetting" w:hAnsi="Arabic Typesetting" w:cs="Arabic Typesetting" w:hint="cs"/>
          <w:sz w:val="34"/>
          <w:szCs w:val="34"/>
          <w:rtl/>
          <w:lang w:bidi="ar-EG"/>
        </w:rPr>
        <w:t>14</w:t>
      </w:r>
      <w:r w:rsidRPr="00E16D63">
        <w:rPr>
          <w:rFonts w:ascii="Arabic Typesetting" w:hAnsi="Arabic Typesetting" w:cs="Arabic Typesetting" w:hint="cs"/>
          <w:sz w:val="34"/>
          <w:szCs w:val="34"/>
          <w:rtl/>
          <w:lang w:bidi="ar-EG"/>
        </w:rPr>
        <w:t xml:space="preserve"> لغة</w:t>
      </w:r>
      <w:r w:rsidR="00A2730A" w:rsidRPr="00E16D63">
        <w:rPr>
          <w:rFonts w:ascii="Arabic Typesetting" w:hAnsi="Arabic Typesetting" w:cs="Arabic Typesetting" w:hint="cs"/>
          <w:sz w:val="34"/>
          <w:szCs w:val="34"/>
          <w:rtl/>
          <w:lang w:bidi="ar-EG"/>
        </w:rPr>
        <w:t xml:space="preserve"> بحلول نهاية الثنائية.</w:t>
      </w:r>
      <w:r w:rsidRPr="00E16D63">
        <w:rPr>
          <w:rFonts w:ascii="Arabic Typesetting" w:hAnsi="Arabic Typesetting" w:cs="Arabic Typesetting" w:hint="cs"/>
          <w:sz w:val="34"/>
          <w:szCs w:val="34"/>
          <w:rtl/>
          <w:lang w:bidi="ar-EG"/>
        </w:rPr>
        <w:t xml:space="preserve"> ووسع نطاق </w:t>
      </w:r>
      <w:r w:rsidR="007739FE" w:rsidRPr="00E16D63">
        <w:rPr>
          <w:rFonts w:ascii="Arabic Typesetting" w:hAnsi="Arabic Typesetting" w:cs="Arabic Typesetting" w:hint="cs"/>
          <w:sz w:val="34"/>
          <w:szCs w:val="34"/>
          <w:rtl/>
          <w:lang w:bidi="ar-EG"/>
        </w:rPr>
        <w:t>أداة الويبو للترجمة الآلية (</w:t>
      </w:r>
      <w:r w:rsidR="007739FE" w:rsidRPr="00E16D63">
        <w:rPr>
          <w:rFonts w:ascii="Arabic Typesetting" w:hAnsi="Arabic Typesetting" w:cs="Arabic Typesetting"/>
          <w:sz w:val="34"/>
          <w:szCs w:val="34"/>
          <w:lang w:bidi="ar-EG"/>
        </w:rPr>
        <w:t>WIPO Translate</w:t>
      </w:r>
      <w:r w:rsidR="007739FE" w:rsidRPr="00E16D63">
        <w:rPr>
          <w:rFonts w:ascii="Arabic Typesetting" w:hAnsi="Arabic Typesetting" w:cs="Arabic Typesetting" w:hint="cs"/>
          <w:sz w:val="34"/>
          <w:szCs w:val="34"/>
          <w:rtl/>
        </w:rPr>
        <w:t>)</w:t>
      </w:r>
      <w:r w:rsidRPr="00F96634">
        <w:rPr>
          <w:rFonts w:ascii="Arabic Typesetting" w:hAnsi="Arabic Typesetting" w:cs="Arabic Typesetting"/>
          <w:sz w:val="28"/>
          <w:szCs w:val="28"/>
          <w:vertAlign w:val="superscript"/>
          <w:rtl/>
          <w:lang w:bidi="ar-EG"/>
        </w:rPr>
        <w:footnoteReference w:id="83"/>
      </w:r>
      <w:r w:rsidRPr="00E16D63">
        <w:rPr>
          <w:rFonts w:ascii="Arabic Typesetting" w:hAnsi="Arabic Typesetting" w:cs="Arabic Typesetting" w:hint="cs"/>
          <w:sz w:val="34"/>
          <w:szCs w:val="34"/>
          <w:rtl/>
          <w:lang w:bidi="ar-EG"/>
        </w:rPr>
        <w:t xml:space="preserve">، وهي عبارة عن نظام ترجمة آلية إحصائي أعد داخليا، لكي تشمل </w:t>
      </w:r>
      <w:r w:rsidR="007739FE" w:rsidRPr="00E16D63">
        <w:rPr>
          <w:rFonts w:ascii="Arabic Typesetting" w:hAnsi="Arabic Typesetting" w:cs="Arabic Typesetting" w:hint="cs"/>
          <w:sz w:val="34"/>
          <w:szCs w:val="34"/>
          <w:rtl/>
          <w:lang w:bidi="ar-EG"/>
        </w:rPr>
        <w:t>ثلاثة أزواج لغوية إضافية وصعبة بحلول نهاية الثنائية هي الإنكليزية والكورية، والإنكليزية والروسية</w:t>
      </w:r>
      <w:r w:rsidR="00AC4867">
        <w:rPr>
          <w:rFonts w:ascii="Arabic Typesetting" w:hAnsi="Arabic Typesetting" w:cs="Arabic Typesetting" w:hint="cs"/>
          <w:sz w:val="34"/>
          <w:szCs w:val="34"/>
          <w:rtl/>
          <w:lang w:bidi="ar-EG"/>
        </w:rPr>
        <w:t>، و</w:t>
      </w:r>
      <w:r w:rsidR="00AC4867" w:rsidRPr="00E16D63">
        <w:rPr>
          <w:rFonts w:ascii="Arabic Typesetting" w:hAnsi="Arabic Typesetting" w:cs="Arabic Typesetting" w:hint="cs"/>
          <w:sz w:val="34"/>
          <w:szCs w:val="34"/>
          <w:rtl/>
          <w:lang w:bidi="ar-EG"/>
        </w:rPr>
        <w:t xml:space="preserve">الإنكليزية </w:t>
      </w:r>
      <w:r w:rsidR="00AC4867">
        <w:rPr>
          <w:rFonts w:ascii="Arabic Typesetting" w:hAnsi="Arabic Typesetting" w:cs="Arabic Typesetting" w:hint="cs"/>
          <w:sz w:val="34"/>
          <w:szCs w:val="34"/>
          <w:rtl/>
          <w:lang w:bidi="ar-EG"/>
        </w:rPr>
        <w:t>والإسبانية</w:t>
      </w:r>
      <w:r w:rsidR="00AC4867" w:rsidRPr="00E16D63">
        <w:rPr>
          <w:rFonts w:ascii="Arabic Typesetting" w:hAnsi="Arabic Typesetting" w:cs="Arabic Typesetting" w:hint="cs"/>
          <w:sz w:val="34"/>
          <w:szCs w:val="34"/>
          <w:rtl/>
          <w:lang w:bidi="ar-EG"/>
        </w:rPr>
        <w:t>،</w:t>
      </w:r>
      <w:r w:rsidR="007739FE" w:rsidRPr="00E16D63">
        <w:rPr>
          <w:rFonts w:ascii="Arabic Typesetting" w:hAnsi="Arabic Typesetting" w:cs="Arabic Typesetting" w:hint="cs"/>
          <w:sz w:val="34"/>
          <w:szCs w:val="34"/>
          <w:rtl/>
          <w:lang w:bidi="ar-EG"/>
        </w:rPr>
        <w:t xml:space="preserve"> ليبلغ بذلك العدد الإجمالي سبعة أزواج</w:t>
      </w:r>
      <w:r w:rsidR="00AC4867">
        <w:rPr>
          <w:rFonts w:ascii="Arabic Typesetting" w:hAnsi="Arabic Typesetting" w:cs="Arabic Typesetting" w:hint="cs"/>
          <w:sz w:val="34"/>
          <w:szCs w:val="34"/>
          <w:rtl/>
          <w:lang w:bidi="ar-EG"/>
        </w:rPr>
        <w:t>، ووسع نطاق استخدام الزوج اللغوي للإنكليزية والصينية ليشمل الأوصاف والمطالبات</w:t>
      </w:r>
      <w:r w:rsidRPr="00E16D63">
        <w:rPr>
          <w:rFonts w:ascii="Arabic Typesetting" w:hAnsi="Arabic Typesetting" w:cs="Arabic Typesetting" w:hint="cs"/>
          <w:sz w:val="34"/>
          <w:szCs w:val="34"/>
          <w:rtl/>
          <w:lang w:bidi="ar-EG"/>
        </w:rPr>
        <w:t>.</w:t>
      </w:r>
      <w:r w:rsidR="007739FE" w:rsidRPr="00E16D63">
        <w:rPr>
          <w:rFonts w:ascii="Arabic Typesetting" w:hAnsi="Arabic Typesetting" w:cs="Arabic Typesetting" w:hint="cs"/>
          <w:sz w:val="34"/>
          <w:szCs w:val="34"/>
          <w:rtl/>
          <w:lang w:bidi="ar-EG"/>
        </w:rPr>
        <w:t xml:space="preserve"> وشهدت الثنائية أيضاً إدخال ترجمة الأوصاف والمطالبات الخاصة بالبراءات الكاملة بين الإنكليزية والصينية.</w:t>
      </w:r>
      <w:r w:rsidRPr="00E16D63">
        <w:rPr>
          <w:rFonts w:ascii="Arabic Typesetting" w:hAnsi="Arabic Typesetting" w:cs="Arabic Typesetting" w:hint="cs"/>
          <w:sz w:val="34"/>
          <w:szCs w:val="34"/>
          <w:rtl/>
          <w:lang w:bidi="ar-EG"/>
        </w:rPr>
        <w:t xml:space="preserve"> واستمر البحث في وظائف إضافية للترجمة الآلية في </w:t>
      </w:r>
      <w:r w:rsidR="007739FE" w:rsidRPr="00E16D63">
        <w:rPr>
          <w:rFonts w:ascii="Arabic Typesetting" w:hAnsi="Arabic Typesetting" w:cs="Arabic Typesetting" w:hint="cs"/>
          <w:sz w:val="34"/>
          <w:szCs w:val="34"/>
          <w:rtl/>
          <w:lang w:bidi="ar-EG"/>
        </w:rPr>
        <w:t xml:space="preserve">الثنائية </w:t>
      </w:r>
      <w:r w:rsidR="00507DE2" w:rsidRPr="00E16D63">
        <w:rPr>
          <w:rFonts w:ascii="Arabic Typesetting" w:hAnsi="Arabic Typesetting" w:cs="Arabic Typesetting" w:hint="cs"/>
          <w:sz w:val="34"/>
          <w:szCs w:val="34"/>
          <w:rtl/>
          <w:lang w:bidi="ar-EG"/>
        </w:rPr>
        <w:t>2014/15</w:t>
      </w:r>
      <w:r w:rsidR="007739FE" w:rsidRPr="00E16D63">
        <w:rPr>
          <w:rFonts w:ascii="Arabic Typesetting" w:hAnsi="Arabic Typesetting" w:cs="Arabic Typesetting" w:hint="cs"/>
          <w:sz w:val="34"/>
          <w:szCs w:val="34"/>
          <w:rtl/>
          <w:lang w:bidi="ar-EG"/>
        </w:rPr>
        <w:t xml:space="preserve">. </w:t>
      </w:r>
      <w:r w:rsidRPr="00E16D63">
        <w:rPr>
          <w:rFonts w:ascii="Arabic Typesetting" w:hAnsi="Arabic Typesetting" w:cs="Arabic Typesetting" w:hint="cs"/>
          <w:sz w:val="34"/>
          <w:szCs w:val="34"/>
          <w:rtl/>
          <w:lang w:bidi="ar-EG"/>
        </w:rPr>
        <w:t xml:space="preserve">واستمر </w:t>
      </w:r>
      <w:r w:rsidR="007739FE" w:rsidRPr="00E16D63">
        <w:rPr>
          <w:rFonts w:ascii="Arabic Typesetting" w:hAnsi="Arabic Typesetting" w:cs="Arabic Typesetting" w:hint="cs"/>
          <w:sz w:val="34"/>
          <w:szCs w:val="34"/>
          <w:rtl/>
          <w:lang w:bidi="ar-EG"/>
        </w:rPr>
        <w:t xml:space="preserve">استخدام أداة الترجمة الآلية </w:t>
      </w:r>
      <w:r w:rsidRPr="00E16D63">
        <w:rPr>
          <w:rFonts w:ascii="Arabic Typesetting" w:hAnsi="Arabic Typesetting" w:cs="Arabic Typesetting" w:hint="cs"/>
          <w:sz w:val="34"/>
          <w:szCs w:val="34"/>
          <w:rtl/>
          <w:lang w:bidi="ar-EG"/>
        </w:rPr>
        <w:t>في</w:t>
      </w:r>
      <w:r w:rsidR="007739FE" w:rsidRPr="00E16D63">
        <w:rPr>
          <w:rFonts w:ascii="Arabic Typesetting" w:hAnsi="Arabic Typesetting" w:cs="Arabic Typesetting" w:hint="cs"/>
          <w:sz w:val="34"/>
          <w:szCs w:val="34"/>
          <w:rtl/>
          <w:lang w:bidi="ar-EG"/>
        </w:rPr>
        <w:t xml:space="preserve"> منظمات أخرى تابعة للأمم المتحدة </w:t>
      </w:r>
      <w:r w:rsidR="00B603AE" w:rsidRPr="00E16D63">
        <w:rPr>
          <w:rFonts w:ascii="Arabic Typesetting" w:hAnsi="Arabic Typesetting" w:cs="Arabic Typesetting" w:hint="cs"/>
          <w:sz w:val="34"/>
          <w:szCs w:val="34"/>
          <w:rtl/>
          <w:lang w:bidi="ar-EG"/>
        </w:rPr>
        <w:t>ولقيت</w:t>
      </w:r>
      <w:r w:rsidR="007739FE" w:rsidRPr="00E16D63">
        <w:rPr>
          <w:rFonts w:ascii="Arabic Typesetting" w:hAnsi="Arabic Typesetting" w:cs="Arabic Typesetting" w:hint="cs"/>
          <w:sz w:val="34"/>
          <w:szCs w:val="34"/>
          <w:rtl/>
          <w:lang w:bidi="ar-EG"/>
        </w:rPr>
        <w:t xml:space="preserve"> صدى إيجابياً بين النظراء وتفوقت بانتظام على أدوات الترجمة الآلية الأخرى مثل </w:t>
      </w:r>
      <w:r w:rsidR="007739FE" w:rsidRPr="00E16D63">
        <w:rPr>
          <w:rFonts w:ascii="Arabic Typesetting" w:hAnsi="Arabic Typesetting" w:cs="Arabic Typesetting"/>
          <w:sz w:val="34"/>
          <w:szCs w:val="34"/>
          <w:lang w:bidi="ar-EG"/>
        </w:rPr>
        <w:t>Google Translate</w:t>
      </w:r>
      <w:r w:rsidR="007739FE" w:rsidRPr="00E16D63">
        <w:rPr>
          <w:rFonts w:ascii="Arabic Typesetting" w:hAnsi="Arabic Typesetting" w:cs="Arabic Typesetting" w:hint="cs"/>
          <w:sz w:val="34"/>
          <w:szCs w:val="34"/>
          <w:rtl/>
        </w:rPr>
        <w:t>.</w:t>
      </w:r>
    </w:p>
    <w:p w:rsidR="007739FE" w:rsidRPr="00E16D63" w:rsidRDefault="007739FE" w:rsidP="009A3712">
      <w:pPr>
        <w:numPr>
          <w:ilvl w:val="0"/>
          <w:numId w:val="32"/>
        </w:numPr>
        <w:autoSpaceDE w:val="0"/>
        <w:autoSpaceDN w:val="0"/>
        <w:bidi/>
        <w:adjustRightInd w:val="0"/>
        <w:spacing w:after="120" w:line="340" w:lineRule="exact"/>
        <w:ind w:left="0" w:firstLine="0"/>
        <w:jc w:val="both"/>
        <w:rPr>
          <w:rFonts w:ascii="Arabic Typesetting" w:hAnsi="Arabic Typesetting" w:cs="Arabic Typesetting"/>
          <w:sz w:val="34"/>
          <w:szCs w:val="34"/>
          <w:rtl/>
          <w:lang w:bidi="ar-EG"/>
        </w:rPr>
      </w:pPr>
      <w:r w:rsidRPr="00E16D63">
        <w:rPr>
          <w:rFonts w:ascii="Arabic Typesetting" w:hAnsi="Arabic Typesetting" w:cs="Arabic Typesetting" w:hint="cs"/>
          <w:sz w:val="34"/>
          <w:szCs w:val="34"/>
          <w:rtl/>
          <w:lang w:bidi="ar-EG"/>
        </w:rPr>
        <w:t xml:space="preserve">وشهدت الثنائية زيادة كبيرة في تغطية البيانات ومستويات استخدام قواعد بيانات الويبو للملكية الفكرية. ومن الجدير بالذكر أن الثنائية شهدت إطلاق خدمة جديدة خاصة بالتصميمات الصناعية هي "قاعدة البيانات العالمية للتصاميم" في يناير 2015. وسجلت قاعدة البيانات بحلول نهاية عام 2015 أي بعد عام من إطلاقها ما </w:t>
      </w:r>
      <w:proofErr w:type="spellStart"/>
      <w:r w:rsidRPr="00E16D63">
        <w:rPr>
          <w:rFonts w:ascii="Arabic Typesetting" w:hAnsi="Arabic Typesetting" w:cs="Arabic Typesetting" w:hint="cs"/>
          <w:sz w:val="34"/>
          <w:szCs w:val="34"/>
          <w:rtl/>
          <w:lang w:bidi="ar-EG"/>
        </w:rPr>
        <w:t>متوسطه</w:t>
      </w:r>
      <w:proofErr w:type="spellEnd"/>
      <w:r w:rsidRPr="00E16D63">
        <w:rPr>
          <w:rFonts w:ascii="Arabic Typesetting" w:hAnsi="Arabic Typesetting" w:cs="Arabic Typesetting" w:hint="cs"/>
          <w:sz w:val="34"/>
          <w:szCs w:val="34"/>
          <w:rtl/>
          <w:lang w:bidi="ar-EG"/>
        </w:rPr>
        <w:t xml:space="preserve"> 1400 زائر </w:t>
      </w:r>
      <w:r w:rsidR="00FB2BCA" w:rsidRPr="00E16D63">
        <w:rPr>
          <w:rFonts w:ascii="Arabic Typesetting" w:hAnsi="Arabic Typesetting" w:cs="Arabic Typesetting" w:hint="cs"/>
          <w:sz w:val="34"/>
          <w:szCs w:val="34"/>
          <w:rtl/>
          <w:lang w:bidi="ar-EG"/>
        </w:rPr>
        <w:t>متفرد</w:t>
      </w:r>
      <w:r w:rsidRPr="00E16D63">
        <w:rPr>
          <w:rFonts w:ascii="Arabic Typesetting" w:hAnsi="Arabic Typesetting" w:cs="Arabic Typesetting" w:hint="cs"/>
          <w:sz w:val="34"/>
          <w:szCs w:val="34"/>
          <w:rtl/>
          <w:lang w:bidi="ar-EG"/>
        </w:rPr>
        <w:t xml:space="preserve"> في الفصل. وفضلاً عن ذلك، </w:t>
      </w:r>
      <w:r w:rsidR="00441388" w:rsidRPr="00E16D63">
        <w:rPr>
          <w:rFonts w:ascii="Arabic Typesetting" w:hAnsi="Arabic Typesetting" w:cs="Arabic Typesetting" w:hint="cs"/>
          <w:sz w:val="34"/>
          <w:szCs w:val="34"/>
          <w:rtl/>
          <w:lang w:bidi="ar-EG"/>
        </w:rPr>
        <w:t>بلغ عدد المجموعات الوطنية (المشار إليها في الرسم البياني التالي باسم "</w:t>
      </w:r>
      <w:r w:rsidR="00211626" w:rsidRPr="00E16D63">
        <w:rPr>
          <w:rFonts w:ascii="Arabic Typesetting" w:hAnsi="Arabic Typesetting" w:cs="Arabic Typesetting" w:hint="cs"/>
          <w:sz w:val="34"/>
          <w:szCs w:val="34"/>
          <w:rtl/>
          <w:lang w:bidi="ar-EG"/>
        </w:rPr>
        <w:t>خلاف لاهاي</w:t>
      </w:r>
      <w:r w:rsidR="00441388" w:rsidRPr="00E16D63">
        <w:rPr>
          <w:rFonts w:ascii="Arabic Typesetting" w:hAnsi="Arabic Typesetting" w:cs="Arabic Typesetting" w:hint="cs"/>
          <w:sz w:val="34"/>
          <w:szCs w:val="34"/>
          <w:rtl/>
          <w:lang w:bidi="ar-EG"/>
        </w:rPr>
        <w:t>") خمس مجموعات تحتوي على أكثر من 1.5 مليون وثيقة تصاميم.</w:t>
      </w:r>
    </w:p>
    <w:p w:rsidR="00441388" w:rsidRDefault="00441388" w:rsidP="00086C3F">
      <w:pPr>
        <w:keepNext/>
        <w:keepLines/>
        <w:bidi/>
        <w:spacing w:after="120" w:line="340" w:lineRule="exact"/>
        <w:jc w:val="center"/>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t xml:space="preserve">سجلات قاعدة البيانات العالمية للتصاميم </w:t>
      </w:r>
      <w:r>
        <w:rPr>
          <w:rFonts w:ascii="Arabic Typesetting" w:hAnsi="Arabic Typesetting" w:cs="Arabic Typesetting"/>
          <w:sz w:val="34"/>
          <w:szCs w:val="34"/>
          <w:rtl/>
          <w:lang w:bidi="ar-EG"/>
        </w:rPr>
        <w:t>–</w:t>
      </w:r>
      <w:r>
        <w:rPr>
          <w:rFonts w:ascii="Arabic Typesetting" w:hAnsi="Arabic Typesetting" w:cs="Arabic Typesetting" w:hint="cs"/>
          <w:sz w:val="34"/>
          <w:szCs w:val="34"/>
          <w:rtl/>
          <w:lang w:bidi="ar-EG"/>
        </w:rPr>
        <w:t xml:space="preserve"> 2015</w:t>
      </w:r>
    </w:p>
    <w:p w:rsidR="00441388" w:rsidRDefault="00211626" w:rsidP="00086C3F">
      <w:pPr>
        <w:autoSpaceDE w:val="0"/>
        <w:autoSpaceDN w:val="0"/>
        <w:bidi/>
        <w:adjustRightInd w:val="0"/>
        <w:spacing w:after="120"/>
        <w:jc w:val="center"/>
        <w:rPr>
          <w:rFonts w:ascii="Arabic Typesetting" w:hAnsi="Arabic Typesetting" w:cs="Arabic Typesetting"/>
          <w:sz w:val="34"/>
          <w:szCs w:val="34"/>
          <w:rtl/>
          <w:lang w:bidi="ar-EG"/>
        </w:rPr>
      </w:pPr>
      <w:r>
        <w:rPr>
          <w:noProof/>
        </w:rPr>
        <w:drawing>
          <wp:inline distT="0" distB="0" distL="0" distR="0" wp14:anchorId="227BB8E5" wp14:editId="7F70F9E3">
            <wp:extent cx="3738068" cy="3262579"/>
            <wp:effectExtent l="0" t="0" r="15240" b="1460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B31868" w:rsidRPr="00B31868" w:rsidRDefault="00B31868" w:rsidP="009A3712">
      <w:pPr>
        <w:keepLines/>
        <w:numPr>
          <w:ilvl w:val="0"/>
          <w:numId w:val="32"/>
        </w:numPr>
        <w:autoSpaceDE w:val="0"/>
        <w:autoSpaceDN w:val="0"/>
        <w:bidi/>
        <w:adjustRightInd w:val="0"/>
        <w:spacing w:after="120" w:line="340" w:lineRule="exact"/>
        <w:ind w:left="0" w:firstLine="0"/>
        <w:jc w:val="both"/>
        <w:rPr>
          <w:rFonts w:ascii="Arabic Typesetting" w:hAnsi="Arabic Typesetting" w:cs="Arabic Typesetting"/>
          <w:sz w:val="34"/>
          <w:szCs w:val="34"/>
          <w:rtl/>
          <w:lang w:bidi="ar-EG"/>
        </w:rPr>
      </w:pPr>
      <w:r w:rsidRPr="00B31868">
        <w:rPr>
          <w:rFonts w:ascii="Arabic Typesetting" w:hAnsi="Arabic Typesetting" w:cs="Arabic Typesetting" w:hint="cs"/>
          <w:sz w:val="34"/>
          <w:szCs w:val="34"/>
          <w:rtl/>
          <w:lang w:bidi="ar-EG"/>
        </w:rPr>
        <w:lastRenderedPageBreak/>
        <w:t>وبإدراج وظيفة البحث عن التشابه بين الصور، وهي وظيفة قوية</w:t>
      </w:r>
      <w:r w:rsidR="00441388">
        <w:rPr>
          <w:rFonts w:ascii="Arabic Typesetting" w:hAnsi="Arabic Typesetting" w:cs="Arabic Typesetting" w:hint="cs"/>
          <w:sz w:val="34"/>
          <w:szCs w:val="34"/>
          <w:rtl/>
          <w:lang w:bidi="ar-EG"/>
        </w:rPr>
        <w:t xml:space="preserve"> والأولى من نوعها في نظام بحث عام للملكية الفكرية</w:t>
      </w:r>
      <w:r w:rsidRPr="00B31868">
        <w:rPr>
          <w:rFonts w:ascii="Arabic Typesetting" w:hAnsi="Arabic Typesetting" w:cs="Arabic Typesetting" w:hint="cs"/>
          <w:sz w:val="34"/>
          <w:szCs w:val="34"/>
          <w:rtl/>
          <w:lang w:bidi="ar-EG"/>
        </w:rPr>
        <w:t xml:space="preserve">، تجاوز استخدام </w:t>
      </w:r>
      <w:r w:rsidRPr="00B31868">
        <w:rPr>
          <w:rFonts w:ascii="Arabic Typesetting" w:hAnsi="Arabic Typesetting" w:cs="Arabic Typesetting"/>
          <w:sz w:val="34"/>
          <w:szCs w:val="34"/>
          <w:rtl/>
          <w:lang w:bidi="ar-EG"/>
        </w:rPr>
        <w:t>قاعدة البيانات العالمية للعلامات التجارية</w:t>
      </w:r>
      <w:r w:rsidRPr="00B31868">
        <w:rPr>
          <w:rFonts w:ascii="Arabic Typesetting" w:hAnsi="Arabic Typesetting" w:cs="Arabic Typesetting" w:hint="cs"/>
          <w:sz w:val="34"/>
          <w:szCs w:val="34"/>
          <w:rtl/>
          <w:lang w:bidi="ar-EG"/>
        </w:rPr>
        <w:t xml:space="preserve"> التوقعات في </w:t>
      </w:r>
      <w:r w:rsidR="00441388">
        <w:rPr>
          <w:rFonts w:ascii="Arabic Typesetting" w:hAnsi="Arabic Typesetting" w:cs="Arabic Typesetting" w:hint="cs"/>
          <w:sz w:val="34"/>
          <w:szCs w:val="34"/>
          <w:rtl/>
          <w:lang w:bidi="ar-EG"/>
        </w:rPr>
        <w:t xml:space="preserve">عامي </w:t>
      </w:r>
      <w:r w:rsidR="00507DE2">
        <w:rPr>
          <w:rFonts w:ascii="Arabic Typesetting" w:hAnsi="Arabic Typesetting" w:cs="Arabic Typesetting" w:hint="cs"/>
          <w:sz w:val="34"/>
          <w:szCs w:val="34"/>
          <w:rtl/>
          <w:lang w:bidi="ar-EG"/>
        </w:rPr>
        <w:t>2014/15</w:t>
      </w:r>
      <w:r w:rsidRPr="00B31868">
        <w:rPr>
          <w:rFonts w:ascii="Arabic Typesetting" w:hAnsi="Arabic Typesetting" w:cs="Arabic Typesetting" w:hint="cs"/>
          <w:sz w:val="34"/>
          <w:szCs w:val="34"/>
          <w:rtl/>
          <w:lang w:bidi="ar-EG"/>
        </w:rPr>
        <w:t xml:space="preserve">، فزاد عدد المستخدمين </w:t>
      </w:r>
      <w:r w:rsidR="00441388">
        <w:rPr>
          <w:rFonts w:ascii="Arabic Typesetting" w:hAnsi="Arabic Typesetting" w:cs="Arabic Typesetting" w:hint="cs"/>
          <w:sz w:val="34"/>
          <w:szCs w:val="34"/>
          <w:rtl/>
          <w:lang w:bidi="ar-EG"/>
        </w:rPr>
        <w:t xml:space="preserve">المختلفين </w:t>
      </w:r>
      <w:r w:rsidRPr="00B31868">
        <w:rPr>
          <w:rFonts w:ascii="Arabic Typesetting" w:hAnsi="Arabic Typesetting" w:cs="Arabic Typesetting" w:hint="cs"/>
          <w:sz w:val="34"/>
          <w:szCs w:val="34"/>
          <w:rtl/>
          <w:lang w:bidi="ar-EG"/>
        </w:rPr>
        <w:t xml:space="preserve">بأكثر من </w:t>
      </w:r>
      <w:r w:rsidR="00441388">
        <w:rPr>
          <w:rFonts w:ascii="Arabic Typesetting" w:hAnsi="Arabic Typesetting" w:cs="Arabic Typesetting" w:hint="cs"/>
          <w:sz w:val="34"/>
          <w:szCs w:val="34"/>
          <w:rtl/>
          <w:lang w:bidi="ar-EG"/>
        </w:rPr>
        <w:t xml:space="preserve">أربعة أضعاف </w:t>
      </w:r>
      <w:r w:rsidRPr="00B31868">
        <w:rPr>
          <w:rFonts w:ascii="Arabic Typesetting" w:hAnsi="Arabic Typesetting" w:cs="Arabic Typesetting" w:hint="cs"/>
          <w:sz w:val="34"/>
          <w:szCs w:val="34"/>
          <w:rtl/>
          <w:lang w:bidi="ar-EG"/>
        </w:rPr>
        <w:t>في الفصل الواحد مرتفعا</w:t>
      </w:r>
      <w:r w:rsidR="00BA5025">
        <w:rPr>
          <w:rFonts w:ascii="Arabic Typesetting" w:hAnsi="Arabic Typesetting" w:cs="Arabic Typesetting" w:hint="cs"/>
          <w:sz w:val="34"/>
          <w:szCs w:val="34"/>
          <w:rtl/>
          <w:lang w:bidi="ar-EG"/>
        </w:rPr>
        <w:t>ً</w:t>
      </w:r>
      <w:r w:rsidRPr="00B31868">
        <w:rPr>
          <w:rFonts w:ascii="Arabic Typesetting" w:hAnsi="Arabic Typesetting" w:cs="Arabic Typesetting" w:hint="cs"/>
          <w:sz w:val="34"/>
          <w:szCs w:val="34"/>
          <w:rtl/>
          <w:lang w:bidi="ar-EG"/>
        </w:rPr>
        <w:t xml:space="preserve"> من 000 23 مستخدم في </w:t>
      </w:r>
      <w:r w:rsidR="00441388">
        <w:rPr>
          <w:rFonts w:ascii="Arabic Typesetting" w:hAnsi="Arabic Typesetting" w:cs="Arabic Typesetting" w:hint="cs"/>
          <w:sz w:val="34"/>
          <w:szCs w:val="34"/>
          <w:rtl/>
          <w:lang w:bidi="ar-EG"/>
        </w:rPr>
        <w:t xml:space="preserve">نهاية </w:t>
      </w:r>
      <w:r w:rsidRPr="00B31868">
        <w:rPr>
          <w:rFonts w:ascii="Arabic Typesetting" w:hAnsi="Arabic Typesetting" w:cs="Arabic Typesetting" w:hint="cs"/>
          <w:sz w:val="34"/>
          <w:szCs w:val="34"/>
          <w:rtl/>
          <w:lang w:bidi="ar-EG"/>
        </w:rPr>
        <w:t>عام</w:t>
      </w:r>
      <w:r w:rsidRPr="00B31868">
        <w:rPr>
          <w:rFonts w:ascii="Arabic Typesetting" w:hAnsi="Arabic Typesetting" w:cs="Arabic Typesetting" w:hint="eastAsia"/>
          <w:sz w:val="34"/>
          <w:szCs w:val="34"/>
          <w:rtl/>
          <w:lang w:bidi="ar-EG"/>
        </w:rPr>
        <w:t> </w:t>
      </w:r>
      <w:r w:rsidRPr="00B31868">
        <w:rPr>
          <w:rFonts w:ascii="Arabic Typesetting" w:hAnsi="Arabic Typesetting" w:cs="Arabic Typesetting" w:hint="cs"/>
          <w:sz w:val="34"/>
          <w:szCs w:val="34"/>
          <w:rtl/>
          <w:lang w:bidi="ar-EG"/>
        </w:rPr>
        <w:t>2013 إلى</w:t>
      </w:r>
      <w:r w:rsidR="00441388">
        <w:rPr>
          <w:rFonts w:ascii="Arabic Typesetting" w:hAnsi="Arabic Typesetting" w:cs="Arabic Typesetting" w:hint="cs"/>
          <w:sz w:val="34"/>
          <w:szCs w:val="34"/>
          <w:rtl/>
          <w:lang w:bidi="ar-EG"/>
        </w:rPr>
        <w:t xml:space="preserve"> أكثر من 000 80</w:t>
      </w:r>
      <w:r w:rsidRPr="00B31868">
        <w:rPr>
          <w:rFonts w:ascii="Arabic Typesetting" w:hAnsi="Arabic Typesetting" w:cs="Arabic Typesetting" w:hint="cs"/>
          <w:sz w:val="34"/>
          <w:szCs w:val="34"/>
          <w:rtl/>
          <w:lang w:bidi="ar-EG"/>
        </w:rPr>
        <w:t xml:space="preserve"> مستخدم. وزاد عدد المجموعات الوطنية (</w:t>
      </w:r>
      <w:r w:rsidRPr="00B31868">
        <w:rPr>
          <w:rFonts w:ascii="Arabic Typesetting" w:hAnsi="Arabic Typesetting" w:cs="Arabic Typesetting"/>
          <w:sz w:val="34"/>
          <w:szCs w:val="34"/>
          <w:rtl/>
          <w:lang w:bidi="ar-EG"/>
        </w:rPr>
        <w:t>المشار إليها باسم "</w:t>
      </w:r>
      <w:r w:rsidR="00211626">
        <w:rPr>
          <w:rFonts w:ascii="Arabic Typesetting" w:hAnsi="Arabic Typesetting" w:cs="Arabic Typesetting" w:hint="cs"/>
          <w:sz w:val="34"/>
          <w:szCs w:val="34"/>
          <w:rtl/>
          <w:lang w:bidi="ar-EG"/>
        </w:rPr>
        <w:t>خلاف مدريد</w:t>
      </w:r>
      <w:r w:rsidRPr="00B31868">
        <w:rPr>
          <w:rFonts w:ascii="Arabic Typesetting" w:hAnsi="Arabic Typesetting" w:cs="Arabic Typesetting"/>
          <w:sz w:val="34"/>
          <w:szCs w:val="34"/>
          <w:rtl/>
          <w:lang w:bidi="ar-EG"/>
        </w:rPr>
        <w:t>" في الرسم</w:t>
      </w:r>
      <w:r w:rsidR="00441388">
        <w:rPr>
          <w:rFonts w:ascii="Arabic Typesetting" w:hAnsi="Arabic Typesetting" w:cs="Arabic Typesetting" w:hint="cs"/>
          <w:sz w:val="34"/>
          <w:szCs w:val="34"/>
          <w:rtl/>
          <w:lang w:bidi="ar-EG"/>
        </w:rPr>
        <w:t xml:space="preserve"> البياني</w:t>
      </w:r>
      <w:r w:rsidRPr="00B31868">
        <w:rPr>
          <w:rFonts w:ascii="Arabic Typesetting" w:hAnsi="Arabic Typesetting" w:cs="Arabic Typesetting"/>
          <w:sz w:val="34"/>
          <w:szCs w:val="34"/>
          <w:rtl/>
          <w:lang w:bidi="ar-EG"/>
        </w:rPr>
        <w:t xml:space="preserve"> التالي</w:t>
      </w:r>
      <w:r w:rsidRPr="00B31868">
        <w:rPr>
          <w:rFonts w:ascii="Arabic Typesetting" w:hAnsi="Arabic Typesetting" w:cs="Arabic Typesetting" w:hint="cs"/>
          <w:sz w:val="34"/>
          <w:szCs w:val="34"/>
          <w:rtl/>
          <w:lang w:bidi="ar-EG"/>
        </w:rPr>
        <w:t xml:space="preserve">) </w:t>
      </w:r>
      <w:r w:rsidR="00441388">
        <w:rPr>
          <w:rFonts w:ascii="Arabic Typesetting" w:hAnsi="Arabic Typesetting" w:cs="Arabic Typesetting" w:hint="cs"/>
          <w:sz w:val="34"/>
          <w:szCs w:val="34"/>
          <w:rtl/>
          <w:lang w:bidi="ar-EG"/>
        </w:rPr>
        <w:t>بأكثر من الضعف مرتفعاً من 12 في نهاية عام</w:t>
      </w:r>
      <w:r w:rsidR="00BA5025">
        <w:rPr>
          <w:rFonts w:ascii="Arabic Typesetting" w:hAnsi="Arabic Typesetting" w:cs="Arabic Typesetting" w:hint="eastAsia"/>
          <w:sz w:val="34"/>
          <w:szCs w:val="34"/>
          <w:rtl/>
          <w:lang w:bidi="ar-EG"/>
        </w:rPr>
        <w:t> </w:t>
      </w:r>
      <w:r w:rsidR="00441388">
        <w:rPr>
          <w:rFonts w:ascii="Arabic Typesetting" w:hAnsi="Arabic Typesetting" w:cs="Arabic Typesetting" w:hint="cs"/>
          <w:sz w:val="34"/>
          <w:szCs w:val="34"/>
          <w:rtl/>
          <w:lang w:bidi="ar-EG"/>
        </w:rPr>
        <w:t xml:space="preserve">2013 إلى 26 في نهاية عام 2015. وزاد </w:t>
      </w:r>
      <w:r w:rsidRPr="00B31868">
        <w:rPr>
          <w:rFonts w:ascii="Arabic Typesetting" w:hAnsi="Arabic Typesetting" w:cs="Arabic Typesetting" w:hint="cs"/>
          <w:sz w:val="34"/>
          <w:szCs w:val="34"/>
          <w:rtl/>
          <w:lang w:bidi="ar-EG"/>
        </w:rPr>
        <w:t>العدد الإجمالي للسجلات المدونة في النظام</w:t>
      </w:r>
      <w:r w:rsidR="00441388">
        <w:rPr>
          <w:rFonts w:ascii="Arabic Typesetting" w:hAnsi="Arabic Typesetting" w:cs="Arabic Typesetting" w:hint="cs"/>
          <w:sz w:val="34"/>
          <w:szCs w:val="34"/>
          <w:rtl/>
          <w:lang w:bidi="ar-EG"/>
        </w:rPr>
        <w:t xml:space="preserve"> أيضاً</w:t>
      </w:r>
      <w:r w:rsidRPr="00B31868">
        <w:rPr>
          <w:rFonts w:ascii="Arabic Typesetting" w:hAnsi="Arabic Typesetting" w:cs="Arabic Typesetting" w:hint="cs"/>
          <w:sz w:val="34"/>
          <w:szCs w:val="34"/>
          <w:rtl/>
          <w:lang w:bidi="ar-EG"/>
        </w:rPr>
        <w:t xml:space="preserve"> </w:t>
      </w:r>
      <w:r w:rsidR="00441388">
        <w:rPr>
          <w:rFonts w:ascii="Arabic Typesetting" w:hAnsi="Arabic Typesetting" w:cs="Arabic Typesetting" w:hint="cs"/>
          <w:sz w:val="34"/>
          <w:szCs w:val="34"/>
          <w:rtl/>
          <w:lang w:bidi="ar-EG"/>
        </w:rPr>
        <w:t xml:space="preserve">بأكثر من الضعف في الثنائية </w:t>
      </w:r>
      <w:r w:rsidR="00507DE2">
        <w:rPr>
          <w:rFonts w:ascii="Arabic Typesetting" w:hAnsi="Arabic Typesetting" w:cs="Arabic Typesetting" w:hint="cs"/>
          <w:sz w:val="34"/>
          <w:szCs w:val="34"/>
          <w:rtl/>
          <w:lang w:bidi="ar-EG"/>
        </w:rPr>
        <w:t>2014/15</w:t>
      </w:r>
      <w:r w:rsidRPr="00B31868">
        <w:rPr>
          <w:rFonts w:ascii="Arabic Typesetting" w:hAnsi="Arabic Typesetting" w:cs="Arabic Typesetting" w:hint="cs"/>
          <w:sz w:val="34"/>
          <w:szCs w:val="34"/>
          <w:rtl/>
          <w:lang w:bidi="ar-EG"/>
        </w:rPr>
        <w:t>، مرتفعا</w:t>
      </w:r>
      <w:r w:rsidR="00BA5025">
        <w:rPr>
          <w:rFonts w:ascii="Arabic Typesetting" w:hAnsi="Arabic Typesetting" w:cs="Arabic Typesetting" w:hint="cs"/>
          <w:sz w:val="34"/>
          <w:szCs w:val="34"/>
          <w:rtl/>
          <w:lang w:bidi="ar-EG"/>
        </w:rPr>
        <w:t>ً</w:t>
      </w:r>
      <w:r w:rsidRPr="00B31868">
        <w:rPr>
          <w:rFonts w:ascii="Arabic Typesetting" w:hAnsi="Arabic Typesetting" w:cs="Arabic Typesetting" w:hint="cs"/>
          <w:sz w:val="34"/>
          <w:szCs w:val="34"/>
          <w:rtl/>
          <w:lang w:bidi="ar-EG"/>
        </w:rPr>
        <w:t xml:space="preserve"> من 12 مليون سجل إلى</w:t>
      </w:r>
      <w:r w:rsidR="00441388">
        <w:rPr>
          <w:rFonts w:ascii="Arabic Typesetting" w:hAnsi="Arabic Typesetting" w:cs="Arabic Typesetting" w:hint="cs"/>
          <w:sz w:val="34"/>
          <w:szCs w:val="34"/>
          <w:rtl/>
          <w:lang w:bidi="ar-EG"/>
        </w:rPr>
        <w:t xml:space="preserve"> أكثر من 24</w:t>
      </w:r>
      <w:r w:rsidRPr="00B31868">
        <w:rPr>
          <w:rFonts w:ascii="Arabic Typesetting" w:hAnsi="Arabic Typesetting" w:cs="Arabic Typesetting" w:hint="cs"/>
          <w:sz w:val="34"/>
          <w:szCs w:val="34"/>
          <w:rtl/>
          <w:lang w:bidi="ar-EG"/>
        </w:rPr>
        <w:t xml:space="preserve"> مليون سجل.</w:t>
      </w:r>
    </w:p>
    <w:p w:rsidR="00B31868" w:rsidRPr="00B31868" w:rsidRDefault="00B31868" w:rsidP="00086C3F">
      <w:pPr>
        <w:keepNext/>
        <w:keepLines/>
        <w:bidi/>
        <w:spacing w:after="120" w:line="340" w:lineRule="exact"/>
        <w:jc w:val="center"/>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 xml:space="preserve">سجلات </w:t>
      </w:r>
      <w:r w:rsidRPr="00B31868">
        <w:rPr>
          <w:rFonts w:ascii="Arabic Typesetting" w:hAnsi="Arabic Typesetting" w:cs="Arabic Typesetting"/>
          <w:sz w:val="34"/>
          <w:szCs w:val="34"/>
          <w:rtl/>
          <w:lang w:bidi="ar-EG"/>
        </w:rPr>
        <w:t>قاعدة البيانات العالمية للعلامات التجارية</w:t>
      </w:r>
      <w:r w:rsidRPr="00B31868">
        <w:rPr>
          <w:rFonts w:ascii="Arabic Typesetting" w:hAnsi="Arabic Typesetting" w:cs="Arabic Typesetting" w:hint="cs"/>
          <w:sz w:val="34"/>
          <w:szCs w:val="34"/>
          <w:rtl/>
          <w:lang w:bidi="ar-EG"/>
        </w:rPr>
        <w:t xml:space="preserve"> </w:t>
      </w:r>
      <w:r w:rsidR="00441388">
        <w:rPr>
          <w:rFonts w:ascii="Arabic Typesetting" w:hAnsi="Arabic Typesetting" w:cs="Arabic Typesetting"/>
          <w:sz w:val="34"/>
          <w:szCs w:val="34"/>
          <w:rtl/>
          <w:lang w:bidi="ar-EG"/>
        </w:rPr>
        <w:t>–</w:t>
      </w:r>
      <w:r w:rsidR="00441388">
        <w:rPr>
          <w:rFonts w:ascii="Arabic Typesetting" w:hAnsi="Arabic Typesetting" w:cs="Arabic Typesetting" w:hint="cs"/>
          <w:sz w:val="34"/>
          <w:szCs w:val="34"/>
          <w:rtl/>
          <w:lang w:bidi="ar-EG"/>
        </w:rPr>
        <w:t xml:space="preserve"> </w:t>
      </w:r>
      <w:r w:rsidR="00507DE2">
        <w:rPr>
          <w:rFonts w:ascii="Arabic Typesetting" w:hAnsi="Arabic Typesetting" w:cs="Arabic Typesetting" w:hint="cs"/>
          <w:sz w:val="34"/>
          <w:szCs w:val="34"/>
          <w:rtl/>
          <w:lang w:bidi="ar-EG"/>
        </w:rPr>
        <w:t>2014/15</w:t>
      </w:r>
    </w:p>
    <w:p w:rsidR="00B31868" w:rsidRPr="00B31868" w:rsidRDefault="00211626" w:rsidP="00086C3F">
      <w:pPr>
        <w:bidi/>
        <w:spacing w:after="120"/>
        <w:jc w:val="center"/>
        <w:rPr>
          <w:rFonts w:ascii="Arabic Typesetting" w:hAnsi="Arabic Typesetting" w:cs="Arabic Typesetting"/>
          <w:b/>
          <w:bCs/>
          <w:sz w:val="34"/>
          <w:szCs w:val="34"/>
          <w:lang w:bidi="ar-EG"/>
        </w:rPr>
      </w:pPr>
      <w:r w:rsidRPr="00211626">
        <w:rPr>
          <w:noProof/>
        </w:rPr>
        <w:t xml:space="preserve"> </w:t>
      </w:r>
      <w:r>
        <w:rPr>
          <w:noProof/>
        </w:rPr>
        <w:drawing>
          <wp:inline distT="0" distB="0" distL="0" distR="0" wp14:anchorId="2C2F6B5B" wp14:editId="32365F7F">
            <wp:extent cx="3736800" cy="3261600"/>
            <wp:effectExtent l="0" t="0" r="16510" b="1524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441388" w:rsidRDefault="00441388" w:rsidP="009A3712">
      <w:pPr>
        <w:numPr>
          <w:ilvl w:val="0"/>
          <w:numId w:val="32"/>
        </w:numPr>
        <w:autoSpaceDE w:val="0"/>
        <w:autoSpaceDN w:val="0"/>
        <w:bidi/>
        <w:adjustRightInd w:val="0"/>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واستمرت خدمة ركن البراءات في تسجيل مستويات عالية من الاستخدام بمتوسط 000 500 زيارة </w:t>
      </w:r>
      <w:r w:rsidR="00FB2BCA">
        <w:rPr>
          <w:rFonts w:ascii="Arabic Typesetting" w:hAnsi="Arabic Typesetting" w:cs="Arabic Typesetting" w:hint="cs"/>
          <w:sz w:val="34"/>
          <w:szCs w:val="34"/>
          <w:rtl/>
          <w:lang w:bidi="ar-EG"/>
        </w:rPr>
        <w:t>متفردة</w:t>
      </w:r>
      <w:r>
        <w:rPr>
          <w:rFonts w:ascii="Arabic Typesetting" w:hAnsi="Arabic Typesetting" w:cs="Arabic Typesetting" w:hint="cs"/>
          <w:sz w:val="34"/>
          <w:szCs w:val="34"/>
          <w:rtl/>
          <w:lang w:bidi="ar-EG"/>
        </w:rPr>
        <w:t xml:space="preserve"> للصفحة الشبكية في اليوم. وظل عدد الزائرين المختلفين مستقراً في نهاية الثنائية عند أكثر من 000 221 زائر </w:t>
      </w:r>
      <w:r w:rsidR="00FB2BCA">
        <w:rPr>
          <w:rFonts w:ascii="Arabic Typesetting" w:hAnsi="Arabic Typesetting" w:cs="Arabic Typesetting" w:hint="cs"/>
          <w:sz w:val="34"/>
          <w:szCs w:val="34"/>
          <w:rtl/>
          <w:lang w:bidi="ar-EG"/>
        </w:rPr>
        <w:t>متفرد</w:t>
      </w:r>
      <w:r>
        <w:rPr>
          <w:rFonts w:ascii="Arabic Typesetting" w:hAnsi="Arabic Typesetting" w:cs="Arabic Typesetting" w:hint="cs"/>
          <w:sz w:val="34"/>
          <w:szCs w:val="34"/>
          <w:rtl/>
          <w:lang w:bidi="ar-EG"/>
        </w:rPr>
        <w:t xml:space="preserve"> في الفصل الواحد، ما يدل على أن الخدمات التي يوفرها محرك البحث في ركن البراءات قد استُخدمت ما يكفي ليبدأ تناقص التكاليف. وازداد عدد المجموعات المدرجة في ركن البراءات بنسبة 19 بالمئة مقارنة بعام 2013 ليبلغ بذلك العدد الإجمالي للمجموعات الوطنية والإقليمية (المشار إليها باسم "</w:t>
      </w:r>
      <w:r w:rsidR="00211626">
        <w:rPr>
          <w:rFonts w:ascii="Arabic Typesetting" w:hAnsi="Arabic Typesetting" w:cs="Arabic Typesetting" w:hint="cs"/>
          <w:sz w:val="34"/>
          <w:szCs w:val="34"/>
          <w:rtl/>
          <w:lang w:bidi="ar-EG"/>
        </w:rPr>
        <w:t>خلاف معاهدة البراءات</w:t>
      </w:r>
      <w:r>
        <w:rPr>
          <w:rFonts w:ascii="Arabic Typesetting" w:hAnsi="Arabic Typesetting" w:cs="Arabic Typesetting" w:hint="cs"/>
          <w:sz w:val="34"/>
          <w:szCs w:val="34"/>
          <w:rtl/>
        </w:rPr>
        <w:t>" في الرسم البياني التالي) 43 مجموعة (مقارنة بعام 2013 الذي سجل 36 مجموعة) تشمل أكثر من 50 مليون سجل (مقارنة بعام 2013 حيث كانت تشمل 34 مليون سجل) أي بزيادة نسبتها 47 بالمئة مقارنة بعام</w:t>
      </w:r>
      <w:r w:rsidR="00211626">
        <w:rPr>
          <w:rFonts w:ascii="Arabic Typesetting" w:hAnsi="Arabic Typesetting" w:cs="Arabic Typesetting" w:hint="eastAsia"/>
          <w:sz w:val="34"/>
          <w:szCs w:val="34"/>
          <w:rtl/>
        </w:rPr>
        <w:t> </w:t>
      </w:r>
      <w:r>
        <w:rPr>
          <w:rFonts w:ascii="Arabic Typesetting" w:hAnsi="Arabic Typesetting" w:cs="Arabic Typesetting" w:hint="cs"/>
          <w:sz w:val="34"/>
          <w:szCs w:val="34"/>
          <w:rtl/>
        </w:rPr>
        <w:t>2013.</w:t>
      </w:r>
    </w:p>
    <w:p w:rsidR="00441388" w:rsidRDefault="00441388" w:rsidP="00086C3F">
      <w:pPr>
        <w:keepNext/>
        <w:keepLines/>
        <w:bidi/>
        <w:spacing w:after="120" w:line="340" w:lineRule="exact"/>
        <w:jc w:val="center"/>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lastRenderedPageBreak/>
        <w:t xml:space="preserve">سجلات ركن البراءات </w:t>
      </w:r>
      <w:r>
        <w:rPr>
          <w:rFonts w:ascii="Arabic Typesetting" w:hAnsi="Arabic Typesetting" w:cs="Arabic Typesetting"/>
          <w:sz w:val="34"/>
          <w:szCs w:val="34"/>
          <w:rtl/>
          <w:lang w:bidi="ar-EG"/>
        </w:rPr>
        <w:t>–</w:t>
      </w:r>
      <w:r>
        <w:rPr>
          <w:rFonts w:ascii="Arabic Typesetting" w:hAnsi="Arabic Typesetting" w:cs="Arabic Typesetting" w:hint="cs"/>
          <w:sz w:val="34"/>
          <w:szCs w:val="34"/>
          <w:rtl/>
          <w:lang w:bidi="ar-EG"/>
        </w:rPr>
        <w:t xml:space="preserve"> </w:t>
      </w:r>
      <w:r w:rsidR="00507DE2">
        <w:rPr>
          <w:rFonts w:ascii="Arabic Typesetting" w:hAnsi="Arabic Typesetting" w:cs="Arabic Typesetting" w:hint="cs"/>
          <w:sz w:val="34"/>
          <w:szCs w:val="34"/>
          <w:rtl/>
          <w:lang w:bidi="ar-EG"/>
        </w:rPr>
        <w:t>2014/15</w:t>
      </w:r>
    </w:p>
    <w:p w:rsidR="00441388" w:rsidRPr="00441388" w:rsidRDefault="00211626" w:rsidP="00086C3F">
      <w:pPr>
        <w:bidi/>
        <w:spacing w:after="120"/>
        <w:jc w:val="center"/>
        <w:rPr>
          <w:rFonts w:ascii="Arabic Typesetting" w:hAnsi="Arabic Typesetting" w:cs="Arabic Typesetting"/>
          <w:b/>
          <w:bCs/>
          <w:sz w:val="34"/>
          <w:szCs w:val="34"/>
          <w:lang w:bidi="ar-EG"/>
        </w:rPr>
      </w:pPr>
      <w:r>
        <w:rPr>
          <w:noProof/>
        </w:rPr>
        <w:drawing>
          <wp:inline distT="0" distB="0" distL="0" distR="0" wp14:anchorId="6AFA5204" wp14:editId="20295D37">
            <wp:extent cx="3774644" cy="3116276"/>
            <wp:effectExtent l="0" t="0" r="16510" b="2730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B31868" w:rsidRPr="00B31868" w:rsidRDefault="00B31868" w:rsidP="009A3712">
      <w:pPr>
        <w:numPr>
          <w:ilvl w:val="0"/>
          <w:numId w:val="32"/>
        </w:numPr>
        <w:autoSpaceDE w:val="0"/>
        <w:autoSpaceDN w:val="0"/>
        <w:bidi/>
        <w:adjustRightInd w:val="0"/>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و</w:t>
      </w:r>
      <w:r w:rsidRPr="00B31868">
        <w:rPr>
          <w:rFonts w:ascii="Arabic Typesetting" w:hAnsi="Arabic Typesetting" w:cs="Arabic Typesetting"/>
          <w:sz w:val="34"/>
          <w:szCs w:val="34"/>
          <w:rtl/>
          <w:lang w:bidi="ar-EG"/>
        </w:rPr>
        <w:t xml:space="preserve">استمر </w:t>
      </w:r>
      <w:r w:rsidRPr="00B31868">
        <w:rPr>
          <w:rFonts w:ascii="Arabic Typesetting" w:hAnsi="Arabic Typesetting" w:cs="Arabic Typesetting" w:hint="cs"/>
          <w:sz w:val="34"/>
          <w:szCs w:val="34"/>
          <w:rtl/>
          <w:lang w:bidi="ar-EG"/>
        </w:rPr>
        <w:t>البرنامج 13</w:t>
      </w:r>
      <w:r w:rsidRPr="00B31868">
        <w:rPr>
          <w:rFonts w:ascii="Arabic Typesetting" w:hAnsi="Arabic Typesetting" w:cs="Arabic Typesetting"/>
          <w:sz w:val="34"/>
          <w:szCs w:val="34"/>
          <w:rtl/>
          <w:lang w:bidi="ar-EG"/>
        </w:rPr>
        <w:t xml:space="preserve"> في الإسهام في تنفيذ التوصيتين 24 و31 من جدول أعمال التنمية المعنيتين ب</w:t>
      </w:r>
      <w:r w:rsidR="00BA5025">
        <w:rPr>
          <w:rFonts w:ascii="Arabic Typesetting" w:hAnsi="Arabic Typesetting" w:cs="Arabic Typesetting" w:hint="cs"/>
          <w:sz w:val="34"/>
          <w:szCs w:val="34"/>
          <w:rtl/>
          <w:lang w:bidi="ar-EG"/>
        </w:rPr>
        <w:t>سد الفجوة</w:t>
      </w:r>
      <w:r w:rsidR="00BA5025">
        <w:rPr>
          <w:rFonts w:ascii="Arabic Typesetting" w:hAnsi="Arabic Typesetting" w:cs="Arabic Typesetting"/>
          <w:sz w:val="34"/>
          <w:szCs w:val="34"/>
          <w:rtl/>
          <w:lang w:bidi="ar-EG"/>
        </w:rPr>
        <w:t xml:space="preserve"> الرقمية وت</w:t>
      </w:r>
      <w:r w:rsidR="00BA5025">
        <w:rPr>
          <w:rFonts w:ascii="Arabic Typesetting" w:hAnsi="Arabic Typesetting" w:cs="Arabic Typesetting" w:hint="cs"/>
          <w:sz w:val="34"/>
          <w:szCs w:val="34"/>
          <w:rtl/>
          <w:lang w:bidi="ar-EG"/>
        </w:rPr>
        <w:t>يسير</w:t>
      </w:r>
      <w:r w:rsidRPr="00B31868">
        <w:rPr>
          <w:rFonts w:ascii="Arabic Typesetting" w:hAnsi="Arabic Typesetting" w:cs="Arabic Typesetting"/>
          <w:sz w:val="34"/>
          <w:szCs w:val="34"/>
          <w:rtl/>
          <w:lang w:bidi="ar-EG"/>
        </w:rPr>
        <w:t xml:space="preserve"> نفاذ محسّن إلى معلومات </w:t>
      </w:r>
      <w:r w:rsidRPr="00B31868">
        <w:rPr>
          <w:rFonts w:ascii="Arabic Typesetting" w:hAnsi="Arabic Typesetting" w:cs="Arabic Typesetting" w:hint="cs"/>
          <w:sz w:val="34"/>
          <w:szCs w:val="34"/>
          <w:rtl/>
          <w:lang w:bidi="ar-EG"/>
        </w:rPr>
        <w:t xml:space="preserve">الملكية الفكرية المتاحة للجمهور </w:t>
      </w:r>
      <w:r w:rsidRPr="00B31868">
        <w:rPr>
          <w:rFonts w:ascii="Arabic Typesetting" w:hAnsi="Arabic Typesetting" w:cs="Arabic Typesetting"/>
          <w:sz w:val="34"/>
          <w:szCs w:val="34"/>
          <w:rtl/>
          <w:lang w:bidi="ar-EG"/>
        </w:rPr>
        <w:t xml:space="preserve">عن طريق الاستمرار في زيادة سجلات الملكية الفكرية المتاحة للبحث وتوسيع وظائف البحث والدعم </w:t>
      </w:r>
      <w:r w:rsidR="0044138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متعدد اللغات.</w:t>
      </w:r>
    </w:p>
    <w:p w:rsidR="00B31868" w:rsidRPr="00E439F5" w:rsidRDefault="00B31868" w:rsidP="00E439F5">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sz w:val="34"/>
          <w:szCs w:val="34"/>
          <w:rtl/>
          <w:lang w:val="fr-CH"/>
        </w:rPr>
        <w:t>بيانات الأداء</w:t>
      </w:r>
    </w:p>
    <w:tbl>
      <w:tblPr>
        <w:bidiVisual/>
        <w:tblW w:w="9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552"/>
        <w:gridCol w:w="1702"/>
        <w:gridCol w:w="2410"/>
        <w:gridCol w:w="817"/>
      </w:tblGrid>
      <w:tr w:rsidR="00441388" w:rsidRPr="00211D55" w:rsidTr="00211626">
        <w:trPr>
          <w:cantSplit/>
        </w:trPr>
        <w:tc>
          <w:tcPr>
            <w:tcW w:w="9572" w:type="dxa"/>
            <w:gridSpan w:val="5"/>
            <w:shd w:val="clear" w:color="auto" w:fill="C6D9F1" w:themeFill="text2" w:themeFillTint="33"/>
            <w:vAlign w:val="center"/>
          </w:tcPr>
          <w:p w:rsidR="00441388" w:rsidRPr="00211D55" w:rsidRDefault="00441388" w:rsidP="00086C3F">
            <w:pPr>
              <w:keepNext/>
              <w:keepLines/>
              <w:bidi/>
              <w:spacing w:before="60" w:after="60" w:line="300" w:lineRule="exact"/>
              <w:ind w:left="1134" w:hanging="1134"/>
              <w:rPr>
                <w:rFonts w:ascii="Arabic Typesetting" w:hAnsi="Arabic Typesetting" w:cs="Arabic Typesetting"/>
                <w:sz w:val="28"/>
                <w:szCs w:val="28"/>
                <w:rtl/>
                <w:lang w:bidi="ar-EG"/>
              </w:rPr>
            </w:pPr>
            <w:r w:rsidRPr="00211D55">
              <w:rPr>
                <w:rFonts w:ascii="Arabic Typesetting" w:hAnsi="Arabic Typesetting" w:cs="Arabic Typesetting"/>
                <w:b/>
                <w:bCs/>
                <w:sz w:val="28"/>
                <w:szCs w:val="28"/>
                <w:rtl/>
                <w:lang w:bidi="ar-EG"/>
              </w:rPr>
              <w:t>النتيجة المرتقبة:</w:t>
            </w:r>
            <w:r w:rsidRPr="00211D55">
              <w:rPr>
                <w:rFonts w:ascii="Arabic Typesetting" w:hAnsi="Arabic Typesetting" w:cs="Arabic Typesetting"/>
                <w:b/>
                <w:bCs/>
                <w:sz w:val="28"/>
                <w:szCs w:val="28"/>
                <w:rtl/>
                <w:lang w:bidi="ar-EG"/>
              </w:rPr>
              <w:tab/>
            </w:r>
            <w:r w:rsidRPr="00211D55">
              <w:rPr>
                <w:rFonts w:ascii="Arabic Typesetting" w:hAnsi="Arabic Typesetting" w:cs="Arabic Typesetting"/>
                <w:sz w:val="28"/>
                <w:szCs w:val="28"/>
                <w:rtl/>
                <w:lang w:bidi="ar-EG"/>
              </w:rPr>
              <w:t xml:space="preserve">ه2.4 </w:t>
            </w:r>
            <w:r w:rsidR="000432CA">
              <w:rPr>
                <w:rFonts w:ascii="Arabic Typesetting" w:hAnsi="Arabic Typesetting" w:cs="Arabic Typesetting"/>
                <w:sz w:val="28"/>
                <w:szCs w:val="28"/>
                <w:rtl/>
                <w:lang w:bidi="ar-EG"/>
              </w:rPr>
              <w:t>تحسين النفاذ إلى المعلومات المتعلقة بالملكية الفكرية واستخدامها من قبل مؤسسات الملكية الفكرية والجمهور لتشجيع الابتكار والإبداع</w:t>
            </w:r>
          </w:p>
        </w:tc>
      </w:tr>
      <w:tr w:rsidR="00B31868" w:rsidRPr="00211D55" w:rsidTr="00211626">
        <w:trPr>
          <w:cantSplit/>
        </w:trPr>
        <w:tc>
          <w:tcPr>
            <w:tcW w:w="2091" w:type="dxa"/>
            <w:tcBorders>
              <w:bottom w:val="nil"/>
              <w:right w:val="nil"/>
            </w:tcBorders>
            <w:vAlign w:val="center"/>
          </w:tcPr>
          <w:p w:rsidR="00B31868" w:rsidRPr="00211D55" w:rsidRDefault="00B31868" w:rsidP="00086C3F">
            <w:pPr>
              <w:keepNext/>
              <w:bidi/>
              <w:spacing w:before="60" w:after="60" w:line="30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2552" w:type="dxa"/>
            <w:tcBorders>
              <w:left w:val="nil"/>
              <w:bottom w:val="nil"/>
              <w:right w:val="nil"/>
            </w:tcBorders>
          </w:tcPr>
          <w:p w:rsidR="00B31868" w:rsidRPr="00211D55" w:rsidRDefault="00B31868" w:rsidP="00086C3F">
            <w:pPr>
              <w:keepNext/>
              <w:bidi/>
              <w:spacing w:before="60" w:after="60" w:line="30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 xml:space="preserve">أسس المقارنة </w:t>
            </w:r>
          </w:p>
        </w:tc>
        <w:tc>
          <w:tcPr>
            <w:tcW w:w="1702" w:type="dxa"/>
            <w:tcBorders>
              <w:left w:val="nil"/>
              <w:bottom w:val="nil"/>
              <w:right w:val="nil"/>
            </w:tcBorders>
            <w:vAlign w:val="center"/>
          </w:tcPr>
          <w:p w:rsidR="00B31868" w:rsidRPr="00211D55" w:rsidRDefault="00B31868" w:rsidP="00086C3F">
            <w:pPr>
              <w:keepNext/>
              <w:bidi/>
              <w:spacing w:before="60" w:after="60" w:line="30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 xml:space="preserve">الأهداف </w:t>
            </w:r>
          </w:p>
        </w:tc>
        <w:tc>
          <w:tcPr>
            <w:tcW w:w="2410" w:type="dxa"/>
            <w:tcBorders>
              <w:left w:val="nil"/>
              <w:bottom w:val="nil"/>
              <w:right w:val="nil"/>
            </w:tcBorders>
            <w:vAlign w:val="center"/>
          </w:tcPr>
          <w:p w:rsidR="00B31868" w:rsidRPr="00211D55" w:rsidRDefault="00B31868" w:rsidP="00086C3F">
            <w:pPr>
              <w:keepNext/>
              <w:bidi/>
              <w:spacing w:before="60" w:after="60" w:line="30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817" w:type="dxa"/>
            <w:tcBorders>
              <w:left w:val="nil"/>
              <w:bottom w:val="nil"/>
            </w:tcBorders>
            <w:vAlign w:val="center"/>
          </w:tcPr>
          <w:p w:rsidR="00B31868" w:rsidRPr="00211D55" w:rsidRDefault="00B31868" w:rsidP="00086C3F">
            <w:pPr>
              <w:keepNext/>
              <w:keepLines/>
              <w:bidi/>
              <w:spacing w:before="60" w:after="60" w:line="300" w:lineRule="exact"/>
              <w:jc w:val="center"/>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211626">
        <w:trPr>
          <w:cantSplit/>
          <w:trHeight w:val="3002"/>
        </w:trPr>
        <w:tc>
          <w:tcPr>
            <w:tcW w:w="2091" w:type="dxa"/>
            <w:tcBorders>
              <w:top w:val="nil"/>
              <w:bottom w:val="single" w:sz="4" w:space="0" w:color="auto"/>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أعداد المستخدمين المختلفة لكل فترة ربع سنوية على صعيد كافة الأنظمة (ركن البراءات/ قاعدة البيانات العالمية للعلامات التجارية)</w:t>
            </w:r>
            <w:r w:rsidRPr="00F96634">
              <w:rPr>
                <w:rFonts w:ascii="Arabic Typesetting" w:hAnsi="Arabic Typesetting" w:cs="Arabic Typesetting"/>
                <w:sz w:val="28"/>
                <w:szCs w:val="28"/>
                <w:vertAlign w:val="superscript"/>
                <w:rtl/>
                <w:lang w:bidi="ar-EG"/>
              </w:rPr>
              <w:footnoteReference w:id="84"/>
            </w:r>
          </w:p>
        </w:tc>
        <w:tc>
          <w:tcPr>
            <w:tcW w:w="2552" w:type="dxa"/>
            <w:tcBorders>
              <w:top w:val="nil"/>
              <w:left w:val="nil"/>
              <w:bottom w:val="single" w:sz="4" w:space="0" w:color="auto"/>
              <w:right w:val="nil"/>
            </w:tcBorders>
          </w:tcPr>
          <w:p w:rsidR="00B31868" w:rsidRPr="00211D55" w:rsidRDefault="00B31868" w:rsidP="00086C3F">
            <w:pPr>
              <w:bidi/>
              <w:spacing w:before="60" w:after="60" w:line="30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ركن البراءات 446 237، وقاعدة البيانات العالمية للعلامات التجارية 000 23</w:t>
            </w:r>
          </w:p>
          <w:p w:rsidR="00B31868" w:rsidRPr="00211D55" w:rsidRDefault="00B31868" w:rsidP="00FB2BCA">
            <w:pPr>
              <w:bidi/>
              <w:spacing w:before="60" w:after="60" w:line="30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ركن البراءات 782 566</w:t>
            </w:r>
            <w:r w:rsidR="00441388" w:rsidRPr="00211D55">
              <w:rPr>
                <w:rFonts w:ascii="Arabic Typesetting" w:hAnsi="Arabic Typesetting" w:cs="Arabic Typesetting"/>
                <w:b/>
                <w:sz w:val="28"/>
                <w:szCs w:val="28"/>
                <w:rtl/>
                <w:lang w:bidi="ar-EG"/>
              </w:rPr>
              <w:t xml:space="preserve"> زائراً </w:t>
            </w:r>
            <w:r w:rsidR="00FB2BCA">
              <w:rPr>
                <w:rFonts w:ascii="Arabic Typesetting" w:hAnsi="Arabic Typesetting" w:cs="Arabic Typesetting" w:hint="cs"/>
                <w:b/>
                <w:sz w:val="28"/>
                <w:szCs w:val="28"/>
                <w:rtl/>
                <w:lang w:bidi="ar-EG"/>
              </w:rPr>
              <w:t>متفرداً</w:t>
            </w:r>
          </w:p>
          <w:p w:rsidR="00B31868" w:rsidRPr="00211D55" w:rsidRDefault="00B31868" w:rsidP="00FB2BCA">
            <w:pPr>
              <w:bidi/>
              <w:spacing w:before="60" w:after="60" w:line="30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قاعدة البيانات العالمية للعلامات 339 13</w:t>
            </w:r>
            <w:r w:rsidR="00441388" w:rsidRPr="00211D55">
              <w:rPr>
                <w:rFonts w:ascii="Arabic Typesetting" w:hAnsi="Arabic Typesetting" w:cs="Arabic Typesetting"/>
                <w:b/>
                <w:sz w:val="28"/>
                <w:szCs w:val="28"/>
                <w:rtl/>
                <w:lang w:bidi="ar-EG"/>
              </w:rPr>
              <w:t xml:space="preserve"> زائراً </w:t>
            </w:r>
            <w:r w:rsidR="00FB2BCA">
              <w:rPr>
                <w:rFonts w:ascii="Arabic Typesetting" w:hAnsi="Arabic Typesetting" w:cs="Arabic Typesetting" w:hint="cs"/>
                <w:b/>
                <w:sz w:val="28"/>
                <w:szCs w:val="28"/>
                <w:rtl/>
                <w:lang w:bidi="ar-EG"/>
              </w:rPr>
              <w:t>متفرداً</w:t>
            </w:r>
          </w:p>
          <w:p w:rsidR="00B31868" w:rsidRPr="00211D55" w:rsidRDefault="00B31868" w:rsidP="00086C3F">
            <w:pPr>
              <w:bidi/>
              <w:spacing w:before="60" w:after="60" w:line="300" w:lineRule="exact"/>
              <w:rPr>
                <w:rFonts w:ascii="Arabic Typesetting" w:hAnsi="Arabic Typesetting" w:cs="Arabic Typesetting"/>
                <w:spacing w:val="-18"/>
                <w:sz w:val="28"/>
                <w:szCs w:val="28"/>
                <w:rtl/>
                <w:lang w:bidi="ar-EG"/>
              </w:rPr>
            </w:pPr>
            <w:r w:rsidRPr="00211D55">
              <w:rPr>
                <w:rFonts w:ascii="Arabic Typesetting" w:hAnsi="Arabic Typesetting" w:cs="Arabic Typesetting"/>
                <w:b/>
                <w:sz w:val="28"/>
                <w:szCs w:val="28"/>
                <w:rtl/>
                <w:lang w:bidi="ar-EG"/>
              </w:rPr>
              <w:t>(الربع الرابع لعام 2012)</w:t>
            </w:r>
          </w:p>
        </w:tc>
        <w:tc>
          <w:tcPr>
            <w:tcW w:w="1702" w:type="dxa"/>
            <w:tcBorders>
              <w:top w:val="nil"/>
              <w:left w:val="nil"/>
              <w:bottom w:val="single" w:sz="4" w:space="0" w:color="auto"/>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ركن البراءات 000 650</w:t>
            </w:r>
          </w:p>
          <w:p w:rsidR="00B31868" w:rsidRPr="00211D55" w:rsidRDefault="00B31868" w:rsidP="00086C3F">
            <w:pPr>
              <w:bidi/>
              <w:spacing w:before="60" w:after="60" w:line="30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قاعدة البيانات العالمية للعلامات 000 20 زائر/فترة ربع سنوية</w:t>
            </w:r>
            <w:r w:rsidRPr="00F96634">
              <w:rPr>
                <w:rFonts w:ascii="Arabic Typesetting" w:hAnsi="Arabic Typesetting" w:cs="Arabic Typesetting"/>
                <w:sz w:val="28"/>
                <w:szCs w:val="28"/>
                <w:vertAlign w:val="superscript"/>
                <w:rtl/>
                <w:lang w:val="fr-CH"/>
              </w:rPr>
              <w:footnoteReference w:id="85"/>
            </w:r>
          </w:p>
        </w:tc>
        <w:tc>
          <w:tcPr>
            <w:tcW w:w="2410" w:type="dxa"/>
            <w:tcBorders>
              <w:top w:val="nil"/>
              <w:left w:val="nil"/>
              <w:bottom w:val="single" w:sz="4" w:space="0" w:color="auto"/>
              <w:right w:val="nil"/>
            </w:tcBorders>
          </w:tcPr>
          <w:p w:rsidR="0044138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ركن البراءات</w:t>
            </w:r>
            <w:r w:rsidR="00441388" w:rsidRPr="00211D55">
              <w:rPr>
                <w:rFonts w:ascii="Arabic Typesetting" w:hAnsi="Arabic Typesetting" w:cs="Arabic Typesetting"/>
                <w:sz w:val="28"/>
                <w:szCs w:val="28"/>
                <w:rtl/>
                <w:lang w:bidi="ar-EG"/>
              </w:rPr>
              <w:t>:</w:t>
            </w:r>
          </w:p>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769 254</w:t>
            </w:r>
            <w:r w:rsidR="00441388" w:rsidRPr="00211D55">
              <w:rPr>
                <w:rFonts w:ascii="Arabic Typesetting" w:hAnsi="Arabic Typesetting" w:cs="Arabic Typesetting"/>
                <w:sz w:val="28"/>
                <w:szCs w:val="28"/>
                <w:rtl/>
                <w:lang w:bidi="ar-EG"/>
              </w:rPr>
              <w:t xml:space="preserve"> (2014)</w:t>
            </w:r>
          </w:p>
          <w:p w:rsidR="00441388" w:rsidRPr="00211D55" w:rsidRDefault="0044138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981 221 (2015)</w:t>
            </w:r>
          </w:p>
          <w:p w:rsidR="00B31868" w:rsidRPr="00211D55" w:rsidRDefault="00B31868" w:rsidP="00086C3F">
            <w:pPr>
              <w:bidi/>
              <w:spacing w:before="60" w:after="60" w:line="300" w:lineRule="exact"/>
              <w:rPr>
                <w:rFonts w:ascii="Arabic Typesetting" w:hAnsi="Arabic Typesetting" w:cs="Arabic Typesetting"/>
                <w:sz w:val="28"/>
                <w:szCs w:val="28"/>
                <w:rtl/>
                <w:lang w:bidi="ar-EG"/>
              </w:rPr>
            </w:pPr>
          </w:p>
          <w:p w:rsidR="00441388" w:rsidRPr="00211D55" w:rsidRDefault="00B31868" w:rsidP="00086C3F">
            <w:pPr>
              <w:bidi/>
              <w:spacing w:before="60" w:after="60" w:line="30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 xml:space="preserve">قاعدة البيانات العالمية للعلامات </w:t>
            </w:r>
            <w:r w:rsidR="00441388" w:rsidRPr="00211D55">
              <w:rPr>
                <w:rFonts w:ascii="Arabic Typesetting" w:hAnsi="Arabic Typesetting" w:cs="Arabic Typesetting"/>
                <w:color w:val="000000"/>
                <w:sz w:val="28"/>
                <w:szCs w:val="28"/>
                <w:rtl/>
                <w:lang w:bidi="ar-EG"/>
              </w:rPr>
              <w:t>التجارية:</w:t>
            </w:r>
          </w:p>
          <w:p w:rsidR="00B31868" w:rsidRPr="00211D55" w:rsidRDefault="00B31868" w:rsidP="00086C3F">
            <w:pPr>
              <w:bidi/>
              <w:spacing w:before="60" w:after="60" w:line="30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977 49</w:t>
            </w:r>
            <w:r w:rsidR="00441388" w:rsidRPr="00211D55">
              <w:rPr>
                <w:rFonts w:ascii="Arabic Typesetting" w:hAnsi="Arabic Typesetting" w:cs="Arabic Typesetting"/>
                <w:color w:val="000000"/>
                <w:sz w:val="28"/>
                <w:szCs w:val="28"/>
                <w:rtl/>
                <w:lang w:bidi="ar-EG"/>
              </w:rPr>
              <w:t xml:space="preserve"> (2014)</w:t>
            </w:r>
          </w:p>
          <w:p w:rsidR="00441388" w:rsidRPr="00211D55" w:rsidRDefault="00441388" w:rsidP="00086C3F">
            <w:pPr>
              <w:bidi/>
              <w:spacing w:before="60" w:after="60" w:line="30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490 80 (2015)</w:t>
            </w:r>
          </w:p>
          <w:p w:rsidR="00441388" w:rsidRPr="00211D55" w:rsidRDefault="00441388" w:rsidP="00086C3F">
            <w:pPr>
              <w:bidi/>
              <w:spacing w:before="60" w:after="60" w:line="300" w:lineRule="exact"/>
              <w:rPr>
                <w:rFonts w:ascii="Arabic Typesetting" w:hAnsi="Arabic Typesetting" w:cs="Arabic Typesetting"/>
                <w:color w:val="000000"/>
                <w:sz w:val="28"/>
                <w:szCs w:val="28"/>
                <w:rtl/>
                <w:lang w:bidi="ar-EG"/>
              </w:rPr>
            </w:pPr>
          </w:p>
          <w:p w:rsidR="00441388" w:rsidRPr="00211D55" w:rsidRDefault="00441388" w:rsidP="00086C3F">
            <w:pPr>
              <w:bidi/>
              <w:spacing w:before="60" w:after="60" w:line="30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قاعدة البيانات العالمية للتصاميم</w:t>
            </w:r>
          </w:p>
          <w:p w:rsidR="00441388" w:rsidRPr="00211D55" w:rsidRDefault="0044138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color w:val="000000"/>
                <w:sz w:val="28"/>
                <w:szCs w:val="28"/>
                <w:rtl/>
                <w:lang w:bidi="ar-EG"/>
              </w:rPr>
              <w:t>946 13(2015)</w:t>
            </w:r>
          </w:p>
        </w:tc>
        <w:tc>
          <w:tcPr>
            <w:tcW w:w="817" w:type="dxa"/>
            <w:tcBorders>
              <w:top w:val="nil"/>
              <w:left w:val="nil"/>
              <w:bottom w:val="single" w:sz="4" w:space="0" w:color="auto"/>
            </w:tcBorders>
          </w:tcPr>
          <w:p w:rsidR="00B31868" w:rsidRPr="00211D55" w:rsidRDefault="00441388" w:rsidP="00086C3F">
            <w:pPr>
              <w:keepNext/>
              <w:bidi/>
              <w:spacing w:before="60" w:after="840" w:line="300" w:lineRule="exact"/>
              <w:jc w:val="center"/>
              <w:rPr>
                <w:rFonts w:ascii="Arabic Typesetting" w:hAnsi="Arabic Typesetting" w:cs="Arabic Typesetting"/>
                <w:b/>
                <w:bCs/>
                <w:color w:val="E26B0A"/>
                <w:sz w:val="28"/>
                <w:szCs w:val="28"/>
                <w:rtl/>
              </w:rPr>
            </w:pPr>
            <w:r w:rsidRPr="00211D55">
              <w:rPr>
                <w:rFonts w:ascii="Arabic Typesetting" w:hAnsi="Arabic Typesetting" w:cs="Arabic Typesetting"/>
                <w:b/>
                <w:bCs/>
                <w:color w:val="E26B0A"/>
                <w:sz w:val="28"/>
                <w:szCs w:val="28"/>
                <w:rtl/>
              </w:rPr>
              <w:t>محقق جزئياً</w:t>
            </w:r>
          </w:p>
          <w:p w:rsidR="00B31868" w:rsidRPr="00211D55" w:rsidRDefault="00441388" w:rsidP="00086C3F">
            <w:pPr>
              <w:keepNext/>
              <w:bidi/>
              <w:spacing w:before="60" w:after="1440" w:line="30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p w:rsidR="00441388" w:rsidRPr="00211D55" w:rsidRDefault="00441388" w:rsidP="00086C3F">
            <w:pPr>
              <w:bidi/>
              <w:spacing w:before="60" w:after="60" w:line="280" w:lineRule="exact"/>
              <w:jc w:val="center"/>
              <w:rPr>
                <w:rFonts w:ascii="Arabic Typesetting" w:hAnsi="Arabic Typesetting" w:cs="Arabic Typesetting"/>
                <w:b/>
                <w:bCs/>
                <w:color w:val="008000"/>
                <w:sz w:val="28"/>
                <w:szCs w:val="28"/>
                <w:rtl/>
              </w:rPr>
            </w:pPr>
            <w:r w:rsidRPr="00211D55">
              <w:rPr>
                <w:rFonts w:ascii="Arabic Typesetting" w:hAnsi="Arabic Typesetting" w:cs="Arabic Typesetting"/>
                <w:b/>
                <w:bCs/>
                <w:color w:val="808080"/>
                <w:sz w:val="28"/>
                <w:szCs w:val="28"/>
                <w:rtl/>
              </w:rPr>
              <w:t>غير قابل للقياس</w:t>
            </w:r>
          </w:p>
        </w:tc>
      </w:tr>
      <w:tr w:rsidR="00B31868" w:rsidRPr="00211D55" w:rsidTr="00211626">
        <w:trPr>
          <w:cantSplit/>
        </w:trPr>
        <w:tc>
          <w:tcPr>
            <w:tcW w:w="2091" w:type="dxa"/>
            <w:tcBorders>
              <w:top w:val="single" w:sz="4" w:space="0" w:color="auto"/>
              <w:bottom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lastRenderedPageBreak/>
              <w:t>عدد اللغات المتاح بها البحث عبر لغات مختلفة</w:t>
            </w:r>
          </w:p>
        </w:tc>
        <w:tc>
          <w:tcPr>
            <w:tcW w:w="2552" w:type="dxa"/>
            <w:tcBorders>
              <w:top w:val="single" w:sz="4" w:space="0" w:color="auto"/>
              <w:left w:val="nil"/>
              <w:bottom w:val="nil"/>
              <w:right w:val="nil"/>
            </w:tcBorders>
          </w:tcPr>
          <w:p w:rsidR="00B31868" w:rsidRPr="00211D55" w:rsidRDefault="00B31868" w:rsidP="00086C3F">
            <w:pPr>
              <w:bidi/>
              <w:spacing w:before="60" w:after="60" w:line="30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12</w:t>
            </w:r>
          </w:p>
          <w:p w:rsidR="00B31868" w:rsidRPr="00211D55" w:rsidRDefault="00B31868" w:rsidP="00086C3F">
            <w:pPr>
              <w:keepNext/>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12 (فبراير</w:t>
            </w:r>
            <w:r w:rsidR="00441388" w:rsidRPr="00211D55">
              <w:rPr>
                <w:rFonts w:ascii="Arabic Typesetting" w:hAnsi="Arabic Typesetting" w:cs="Arabic Typesetting"/>
                <w:b/>
                <w:sz w:val="28"/>
                <w:szCs w:val="28"/>
                <w:rtl/>
                <w:lang w:bidi="ar-EG"/>
              </w:rPr>
              <w:t> 2013</w:t>
            </w:r>
            <w:r w:rsidRPr="00211D55">
              <w:rPr>
                <w:rFonts w:ascii="Arabic Typesetting" w:hAnsi="Arabic Typesetting" w:cs="Arabic Typesetting"/>
                <w:b/>
                <w:sz w:val="28"/>
                <w:szCs w:val="28"/>
                <w:rtl/>
                <w:lang w:bidi="ar-EG"/>
              </w:rPr>
              <w:t>)</w:t>
            </w:r>
          </w:p>
        </w:tc>
        <w:tc>
          <w:tcPr>
            <w:tcW w:w="1702" w:type="dxa"/>
            <w:tcBorders>
              <w:top w:val="single" w:sz="4" w:space="0" w:color="auto"/>
              <w:left w:val="nil"/>
              <w:bottom w:val="nil"/>
              <w:right w:val="nil"/>
            </w:tcBorders>
          </w:tcPr>
          <w:p w:rsidR="00B31868" w:rsidRPr="00211D55" w:rsidRDefault="00B31868" w:rsidP="00086C3F">
            <w:pPr>
              <w:keepNext/>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13</w:t>
            </w:r>
          </w:p>
        </w:tc>
        <w:tc>
          <w:tcPr>
            <w:tcW w:w="2410" w:type="dxa"/>
            <w:tcBorders>
              <w:top w:val="single" w:sz="4" w:space="0" w:color="auto"/>
              <w:left w:val="nil"/>
              <w:bottom w:val="nil"/>
              <w:right w:val="nil"/>
            </w:tcBorders>
          </w:tcPr>
          <w:p w:rsidR="00B31868" w:rsidRPr="00211D55" w:rsidRDefault="00B31868" w:rsidP="00086C3F">
            <w:pPr>
              <w:keepNext/>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في عام</w:t>
            </w:r>
            <w:r w:rsidR="00C31BC1" w:rsidRPr="00211D55">
              <w:rPr>
                <w:rFonts w:ascii="Arabic Typesetting" w:hAnsi="Arabic Typesetting" w:cs="Arabic Typesetting"/>
                <w:sz w:val="28"/>
                <w:szCs w:val="28"/>
                <w:rtl/>
                <w:lang w:bidi="ar-EG"/>
              </w:rPr>
              <w:t>ي</w:t>
            </w:r>
            <w:r w:rsidRPr="00211D55">
              <w:rPr>
                <w:rFonts w:ascii="Arabic Typesetting" w:hAnsi="Arabic Typesetting" w:cs="Arabic Typesetting"/>
                <w:sz w:val="28"/>
                <w:szCs w:val="28"/>
                <w:rtl/>
                <w:lang w:bidi="ar-EG"/>
              </w:rPr>
              <w:t xml:space="preserve"> </w:t>
            </w:r>
            <w:r w:rsidR="00507DE2">
              <w:rPr>
                <w:rFonts w:ascii="Arabic Typesetting" w:hAnsi="Arabic Typesetting" w:cs="Arabic Typesetting"/>
                <w:sz w:val="28"/>
                <w:szCs w:val="28"/>
                <w:rtl/>
                <w:lang w:bidi="ar-EG"/>
              </w:rPr>
              <w:t>2014/15</w:t>
            </w:r>
            <w:r w:rsidR="00C31BC1" w:rsidRPr="00211D55">
              <w:rPr>
                <w:rFonts w:ascii="Arabic Typesetting" w:hAnsi="Arabic Typesetting" w:cs="Arabic Typesetting"/>
                <w:sz w:val="28"/>
                <w:szCs w:val="28"/>
                <w:rtl/>
                <w:lang w:bidi="ar-EG"/>
              </w:rPr>
              <w:t xml:space="preserve"> أدرجت </w:t>
            </w:r>
            <w:r w:rsidRPr="00211D55">
              <w:rPr>
                <w:rFonts w:ascii="Arabic Typesetting" w:hAnsi="Arabic Typesetting" w:cs="Arabic Typesetting"/>
                <w:sz w:val="28"/>
                <w:szCs w:val="28"/>
                <w:rtl/>
                <w:lang w:bidi="ar-EG"/>
              </w:rPr>
              <w:t>لغتان إضافيتان</w:t>
            </w:r>
            <w:r w:rsidR="00C31BC1" w:rsidRPr="00211D55">
              <w:rPr>
                <w:rFonts w:ascii="Arabic Typesetting" w:hAnsi="Arabic Typesetting" w:cs="Arabic Typesetting"/>
                <w:sz w:val="28"/>
                <w:szCs w:val="28"/>
                <w:rtl/>
                <w:lang w:bidi="ar-EG"/>
              </w:rPr>
              <w:t xml:space="preserve"> (</w:t>
            </w:r>
            <w:proofErr w:type="spellStart"/>
            <w:r w:rsidR="00C31BC1" w:rsidRPr="00211D55">
              <w:rPr>
                <w:rFonts w:ascii="Arabic Typesetting" w:hAnsi="Arabic Typesetting" w:cs="Arabic Typesetting"/>
                <w:sz w:val="28"/>
                <w:szCs w:val="28"/>
                <w:rtl/>
                <w:lang w:bidi="ar-EG"/>
              </w:rPr>
              <w:t>الدانمركية</w:t>
            </w:r>
            <w:proofErr w:type="spellEnd"/>
            <w:r w:rsidR="00C31BC1" w:rsidRPr="00211D55">
              <w:rPr>
                <w:rFonts w:ascii="Arabic Typesetting" w:hAnsi="Arabic Typesetting" w:cs="Arabic Typesetting"/>
                <w:sz w:val="28"/>
                <w:szCs w:val="28"/>
                <w:rtl/>
                <w:lang w:bidi="ar-EG"/>
              </w:rPr>
              <w:t xml:space="preserve"> والبولندية) في نظام البحث المتعدد اللغات لاسترجاع المعلومات ليبلغ بذلك عدد اللغات المستخدمة 14 لغة.</w:t>
            </w:r>
          </w:p>
        </w:tc>
        <w:tc>
          <w:tcPr>
            <w:tcW w:w="817" w:type="dxa"/>
            <w:tcBorders>
              <w:top w:val="single" w:sz="4" w:space="0" w:color="auto"/>
              <w:left w:val="nil"/>
              <w:bottom w:val="nil"/>
            </w:tcBorders>
          </w:tcPr>
          <w:p w:rsidR="00B31868" w:rsidRPr="00211D55" w:rsidRDefault="00C31BC1" w:rsidP="00086C3F">
            <w:pPr>
              <w:keepNext/>
              <w:bidi/>
              <w:spacing w:before="60" w:after="60" w:line="300" w:lineRule="exact"/>
              <w:jc w:val="center"/>
              <w:rPr>
                <w:rFonts w:ascii="Arabic Typesetting" w:hAnsi="Arabic Typesetting" w:cs="Arabic Typesetting"/>
                <w:color w:val="00B050"/>
                <w:sz w:val="28"/>
                <w:szCs w:val="28"/>
                <w:rtl/>
                <w:lang w:val="fr-CH"/>
              </w:rPr>
            </w:pPr>
            <w:r w:rsidRPr="00211D55">
              <w:rPr>
                <w:rFonts w:ascii="Arabic Typesetting" w:hAnsi="Arabic Typesetting" w:cs="Arabic Typesetting"/>
                <w:b/>
                <w:bCs/>
                <w:color w:val="008000"/>
                <w:sz w:val="28"/>
                <w:szCs w:val="28"/>
                <w:rtl/>
                <w:lang w:bidi="ar-EG"/>
              </w:rPr>
              <w:t>محقق كلياً</w:t>
            </w:r>
          </w:p>
        </w:tc>
      </w:tr>
      <w:tr w:rsidR="00B31868" w:rsidRPr="00211D55" w:rsidTr="00211626">
        <w:trPr>
          <w:cantSplit/>
        </w:trPr>
        <w:tc>
          <w:tcPr>
            <w:tcW w:w="2091" w:type="dxa"/>
            <w:tcBorders>
              <w:top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عدد أزواج اللغات المتاحة للترجمة الآلية لعناوين البراءات وملخصاتها</w:t>
            </w:r>
          </w:p>
        </w:tc>
        <w:tc>
          <w:tcPr>
            <w:tcW w:w="2552" w:type="dxa"/>
            <w:tcBorders>
              <w:top w:val="nil"/>
              <w:left w:val="nil"/>
              <w:right w:val="nil"/>
            </w:tcBorders>
          </w:tcPr>
          <w:p w:rsidR="00B31868" w:rsidRPr="00211D55" w:rsidRDefault="00B31868" w:rsidP="00086C3F">
            <w:pPr>
              <w:bidi/>
              <w:spacing w:before="60" w:after="60" w:line="30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4 (</w:t>
            </w:r>
            <w:r w:rsidR="00441388" w:rsidRPr="00211D55">
              <w:rPr>
                <w:rFonts w:ascii="Arabic Typesetting" w:hAnsi="Arabic Typesetting" w:cs="Arabic Typesetting"/>
                <w:b/>
                <w:color w:val="002060"/>
                <w:sz w:val="28"/>
                <w:szCs w:val="28"/>
                <w:rtl/>
                <w:lang w:bidi="ar-EG"/>
              </w:rPr>
              <w:t>التراكمي</w:t>
            </w:r>
            <w:r w:rsidRPr="00211D55">
              <w:rPr>
                <w:rFonts w:ascii="Arabic Typesetting" w:hAnsi="Arabic Typesetting" w:cs="Arabic Typesetting"/>
                <w:b/>
                <w:color w:val="002060"/>
                <w:sz w:val="28"/>
                <w:szCs w:val="28"/>
                <w:rtl/>
                <w:lang w:bidi="ar-EG"/>
              </w:rPr>
              <w:t>)</w:t>
            </w:r>
          </w:p>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2 (فبراير</w:t>
            </w:r>
            <w:r w:rsidR="00441388" w:rsidRPr="00211D55">
              <w:rPr>
                <w:rFonts w:ascii="Arabic Typesetting" w:hAnsi="Arabic Typesetting" w:cs="Arabic Typesetting"/>
                <w:b/>
                <w:sz w:val="28"/>
                <w:szCs w:val="28"/>
                <w:rtl/>
                <w:lang w:bidi="ar-EG"/>
              </w:rPr>
              <w:t> </w:t>
            </w:r>
            <w:r w:rsidRPr="00211D55">
              <w:rPr>
                <w:rFonts w:ascii="Arabic Typesetting" w:hAnsi="Arabic Typesetting" w:cs="Arabic Typesetting"/>
                <w:b/>
                <w:sz w:val="28"/>
                <w:szCs w:val="28"/>
                <w:rtl/>
                <w:lang w:bidi="ar-EG"/>
              </w:rPr>
              <w:t>2013)</w:t>
            </w:r>
          </w:p>
        </w:tc>
        <w:tc>
          <w:tcPr>
            <w:tcW w:w="1702" w:type="dxa"/>
            <w:tcBorders>
              <w:top w:val="nil"/>
              <w:left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5</w:t>
            </w:r>
          </w:p>
        </w:tc>
        <w:tc>
          <w:tcPr>
            <w:tcW w:w="2410" w:type="dxa"/>
            <w:tcBorders>
              <w:top w:val="nil"/>
              <w:left w:val="nil"/>
              <w:right w:val="nil"/>
            </w:tcBorders>
          </w:tcPr>
          <w:p w:rsidR="00B31868" w:rsidRDefault="00C31BC1" w:rsidP="00AC4867">
            <w:pPr>
              <w:keepNext/>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ثلاثة أزواج </w:t>
            </w:r>
            <w:r w:rsidR="00B31868" w:rsidRPr="00211D55">
              <w:rPr>
                <w:rFonts w:ascii="Arabic Typesetting" w:hAnsi="Arabic Typesetting" w:cs="Arabic Typesetting"/>
                <w:sz w:val="28"/>
                <w:szCs w:val="28"/>
                <w:rtl/>
                <w:lang w:bidi="ar-EG"/>
              </w:rPr>
              <w:t>لغات إضافي</w:t>
            </w:r>
            <w:r w:rsidRPr="00211D55">
              <w:rPr>
                <w:rFonts w:ascii="Arabic Typesetting" w:hAnsi="Arabic Typesetting" w:cs="Arabic Typesetting"/>
                <w:sz w:val="28"/>
                <w:szCs w:val="28"/>
                <w:rtl/>
                <w:lang w:bidi="ar-EG"/>
              </w:rPr>
              <w:t>ة</w:t>
            </w:r>
            <w:r w:rsidR="00B31868" w:rsidRPr="00211D55">
              <w:rPr>
                <w:rFonts w:ascii="Arabic Typesetting" w:hAnsi="Arabic Typesetting" w:cs="Arabic Typesetting"/>
                <w:sz w:val="28"/>
                <w:szCs w:val="28"/>
                <w:rtl/>
                <w:lang w:bidi="ar-EG"/>
              </w:rPr>
              <w:t xml:space="preserve"> في </w:t>
            </w:r>
            <w:r w:rsidR="00507DE2">
              <w:rPr>
                <w:rFonts w:ascii="Arabic Typesetting" w:hAnsi="Arabic Typesetting" w:cs="Arabic Typesetting"/>
                <w:sz w:val="28"/>
                <w:szCs w:val="28"/>
                <w:rtl/>
                <w:lang w:bidi="ar-EG"/>
              </w:rPr>
              <w:t>2014/15</w:t>
            </w:r>
            <w:r w:rsidRPr="00211D55">
              <w:rPr>
                <w:rFonts w:ascii="Arabic Typesetting" w:hAnsi="Arabic Typesetting" w:cs="Arabic Typesetting"/>
                <w:sz w:val="28"/>
                <w:szCs w:val="28"/>
                <w:rtl/>
                <w:lang w:bidi="ar-EG"/>
              </w:rPr>
              <w:t xml:space="preserve"> </w:t>
            </w:r>
            <w:r w:rsidR="00AC4867">
              <w:rPr>
                <w:rFonts w:ascii="Arabic Typesetting" w:hAnsi="Arabic Typesetting" w:cs="Arabic Typesetting"/>
                <w:sz w:val="28"/>
                <w:szCs w:val="28"/>
                <w:rtl/>
                <w:lang w:bidi="ar-EG"/>
              </w:rPr>
              <w:t>(</w:t>
            </w:r>
            <w:r w:rsidRPr="00211D55">
              <w:rPr>
                <w:rFonts w:ascii="Arabic Typesetting" w:hAnsi="Arabic Typesetting" w:cs="Arabic Typesetting"/>
                <w:sz w:val="28"/>
                <w:szCs w:val="28"/>
                <w:rtl/>
                <w:lang w:bidi="ar-EG"/>
              </w:rPr>
              <w:t>، الإنكليزية-الكورية، الإنكليزية-الروسية</w:t>
            </w:r>
            <w:r w:rsidR="00AC4867">
              <w:rPr>
                <w:rFonts w:ascii="Arabic Typesetting" w:hAnsi="Arabic Typesetting" w:cs="Arabic Typesetting" w:hint="cs"/>
                <w:sz w:val="28"/>
                <w:szCs w:val="28"/>
                <w:rtl/>
                <w:lang w:bidi="ar-EG"/>
              </w:rPr>
              <w:t>، الإنكليزية-الإسبانية</w:t>
            </w:r>
            <w:r w:rsidR="00B31868" w:rsidRPr="00211D55">
              <w:rPr>
                <w:rFonts w:ascii="Arabic Typesetting" w:hAnsi="Arabic Typesetting" w:cs="Arabic Typesetting"/>
                <w:sz w:val="28"/>
                <w:szCs w:val="28"/>
                <w:rtl/>
                <w:lang w:bidi="ar-EG"/>
              </w:rPr>
              <w:t>) (</w:t>
            </w:r>
            <w:r w:rsidRPr="00211D55">
              <w:rPr>
                <w:rFonts w:ascii="Arabic Typesetting" w:hAnsi="Arabic Typesetting" w:cs="Arabic Typesetting"/>
                <w:sz w:val="28"/>
                <w:szCs w:val="28"/>
                <w:rtl/>
                <w:lang w:bidi="ar-EG"/>
              </w:rPr>
              <w:t>7 التراكمي</w:t>
            </w:r>
            <w:r w:rsidR="00B31868" w:rsidRPr="00211D55">
              <w:rPr>
                <w:rFonts w:ascii="Arabic Typesetting" w:hAnsi="Arabic Typesetting" w:cs="Arabic Typesetting"/>
                <w:sz w:val="28"/>
                <w:szCs w:val="28"/>
                <w:rtl/>
                <w:lang w:bidi="ar-EG"/>
              </w:rPr>
              <w:t>)</w:t>
            </w:r>
          </w:p>
          <w:p w:rsidR="00AC4867" w:rsidRPr="00211D55" w:rsidRDefault="00AC4867" w:rsidP="00AC4867">
            <w:pPr>
              <w:keepNext/>
              <w:bidi/>
              <w:spacing w:before="60" w:after="60" w:line="30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ووسع نطاق الزوج اللغوي للإنكليزية-الصينية ليشمل الأوصاف والمطالبات</w:t>
            </w:r>
          </w:p>
        </w:tc>
        <w:tc>
          <w:tcPr>
            <w:tcW w:w="817" w:type="dxa"/>
            <w:tcBorders>
              <w:top w:val="nil"/>
              <w:left w:val="nil"/>
            </w:tcBorders>
          </w:tcPr>
          <w:p w:rsidR="00B31868" w:rsidRPr="00211D55" w:rsidRDefault="00C31BC1" w:rsidP="00086C3F">
            <w:pPr>
              <w:keepNext/>
              <w:bidi/>
              <w:spacing w:before="60" w:after="60" w:line="30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8906F0" w:rsidRPr="00211D55" w:rsidTr="00211626">
        <w:trPr>
          <w:cantSplit/>
        </w:trPr>
        <w:tc>
          <w:tcPr>
            <w:tcW w:w="9572" w:type="dxa"/>
            <w:gridSpan w:val="5"/>
            <w:shd w:val="clear" w:color="auto" w:fill="C6D9F1" w:themeFill="text2" w:themeFillTint="33"/>
            <w:vAlign w:val="center"/>
          </w:tcPr>
          <w:p w:rsidR="008906F0" w:rsidRPr="00211D55" w:rsidRDefault="008906F0" w:rsidP="00086C3F">
            <w:pPr>
              <w:keepNext/>
              <w:keepLines/>
              <w:bidi/>
              <w:spacing w:before="60" w:after="60" w:line="300" w:lineRule="exact"/>
              <w:ind w:left="1134" w:hanging="1134"/>
              <w:rPr>
                <w:rFonts w:ascii="Arabic Typesetting" w:hAnsi="Arabic Typesetting" w:cs="Arabic Typesetting"/>
                <w:sz w:val="28"/>
                <w:szCs w:val="28"/>
                <w:rtl/>
                <w:lang w:bidi="ar-EG"/>
              </w:rPr>
            </w:pPr>
            <w:r w:rsidRPr="00211D55">
              <w:rPr>
                <w:rFonts w:ascii="Arabic Typesetting" w:hAnsi="Arabic Typesetting" w:cs="Arabic Typesetting"/>
                <w:b/>
                <w:bCs/>
                <w:sz w:val="28"/>
                <w:szCs w:val="28"/>
                <w:rtl/>
                <w:lang w:bidi="ar-EG"/>
              </w:rPr>
              <w:t>النتيجة المرتقبة:</w:t>
            </w:r>
            <w:r w:rsidRPr="00211D55">
              <w:rPr>
                <w:rFonts w:ascii="Arabic Typesetting" w:hAnsi="Arabic Typesetting" w:cs="Arabic Typesetting"/>
                <w:sz w:val="28"/>
                <w:szCs w:val="28"/>
                <w:rtl/>
                <w:lang w:bidi="ar-EG"/>
              </w:rPr>
              <w:tab/>
              <w:t xml:space="preserve">ه3.4 </w:t>
            </w:r>
            <w:r w:rsidR="009947B0">
              <w:rPr>
                <w:rFonts w:ascii="Arabic Typesetting" w:hAnsi="Arabic Typesetting" w:cs="Arabic Typesetting"/>
                <w:sz w:val="28"/>
                <w:szCs w:val="28"/>
                <w:rtl/>
                <w:lang w:bidi="ar-EG"/>
              </w:rPr>
              <w:t>تغطية جغرافية واسعة لمحتوى قواعد بيانات الويبو العالمية بشأن الملكية الفكرية واستخدامها</w:t>
            </w:r>
          </w:p>
        </w:tc>
      </w:tr>
      <w:tr w:rsidR="00B31868" w:rsidRPr="00211D55" w:rsidTr="00211626">
        <w:trPr>
          <w:cantSplit/>
          <w:trHeight w:val="627"/>
        </w:trPr>
        <w:tc>
          <w:tcPr>
            <w:tcW w:w="2091" w:type="dxa"/>
            <w:tcBorders>
              <w:bottom w:val="nil"/>
              <w:right w:val="nil"/>
            </w:tcBorders>
            <w:vAlign w:val="center"/>
          </w:tcPr>
          <w:p w:rsidR="00B31868" w:rsidRPr="00211D55" w:rsidRDefault="00B31868" w:rsidP="00086C3F">
            <w:pPr>
              <w:keepNext/>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b/>
                <w:bCs/>
                <w:sz w:val="28"/>
                <w:szCs w:val="28"/>
                <w:rtl/>
                <w:lang w:bidi="ar-EG"/>
              </w:rPr>
              <w:t>مؤشرات الأداء</w:t>
            </w:r>
          </w:p>
        </w:tc>
        <w:tc>
          <w:tcPr>
            <w:tcW w:w="2552" w:type="dxa"/>
            <w:tcBorders>
              <w:left w:val="nil"/>
              <w:bottom w:val="nil"/>
              <w:right w:val="nil"/>
            </w:tcBorders>
            <w:vAlign w:val="center"/>
          </w:tcPr>
          <w:p w:rsidR="00B31868" w:rsidRPr="00211D55" w:rsidRDefault="00B31868" w:rsidP="00086C3F">
            <w:pPr>
              <w:keepNext/>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b/>
                <w:bCs/>
                <w:sz w:val="28"/>
                <w:szCs w:val="28"/>
                <w:rtl/>
                <w:lang w:bidi="ar-EG"/>
              </w:rPr>
              <w:t>أسس المقارنة</w:t>
            </w:r>
          </w:p>
        </w:tc>
        <w:tc>
          <w:tcPr>
            <w:tcW w:w="1702" w:type="dxa"/>
            <w:tcBorders>
              <w:left w:val="nil"/>
              <w:bottom w:val="nil"/>
              <w:right w:val="nil"/>
            </w:tcBorders>
            <w:vAlign w:val="center"/>
          </w:tcPr>
          <w:p w:rsidR="00B31868" w:rsidRPr="00211D55" w:rsidRDefault="00B31868" w:rsidP="00086C3F">
            <w:pPr>
              <w:keepNext/>
              <w:bidi/>
              <w:spacing w:before="60" w:after="60" w:line="300" w:lineRule="exact"/>
              <w:rPr>
                <w:rFonts w:ascii="Arabic Typesetting" w:hAnsi="Arabic Typesetting" w:cs="Arabic Typesetting"/>
                <w:sz w:val="28"/>
                <w:szCs w:val="28"/>
                <w:rtl/>
                <w:lang w:val="fr-CH"/>
              </w:rPr>
            </w:pPr>
            <w:r w:rsidRPr="00211D55">
              <w:rPr>
                <w:rFonts w:ascii="Arabic Typesetting" w:hAnsi="Arabic Typesetting" w:cs="Arabic Typesetting"/>
                <w:b/>
                <w:bCs/>
                <w:sz w:val="28"/>
                <w:szCs w:val="28"/>
                <w:rtl/>
                <w:lang w:bidi="ar-EG"/>
              </w:rPr>
              <w:t>الأهداف</w:t>
            </w:r>
          </w:p>
        </w:tc>
        <w:tc>
          <w:tcPr>
            <w:tcW w:w="2410" w:type="dxa"/>
            <w:tcBorders>
              <w:left w:val="nil"/>
              <w:bottom w:val="nil"/>
              <w:right w:val="nil"/>
            </w:tcBorders>
            <w:vAlign w:val="center"/>
          </w:tcPr>
          <w:p w:rsidR="00B31868" w:rsidRPr="00211D55" w:rsidRDefault="00B31868" w:rsidP="00086C3F">
            <w:pPr>
              <w:keepNext/>
              <w:bidi/>
              <w:spacing w:before="60" w:after="60" w:line="300" w:lineRule="exact"/>
              <w:rPr>
                <w:rFonts w:ascii="Arabic Typesetting" w:hAnsi="Arabic Typesetting" w:cs="Arabic Typesetting"/>
                <w:sz w:val="28"/>
                <w:szCs w:val="28"/>
                <w:rtl/>
                <w:lang w:val="fr-CH"/>
              </w:rPr>
            </w:pPr>
            <w:r w:rsidRPr="00211D55">
              <w:rPr>
                <w:rFonts w:ascii="Arabic Typesetting" w:hAnsi="Arabic Typesetting" w:cs="Arabic Typesetting"/>
                <w:b/>
                <w:bCs/>
                <w:sz w:val="28"/>
                <w:szCs w:val="28"/>
                <w:rtl/>
                <w:lang w:bidi="ar-EG"/>
              </w:rPr>
              <w:t>بيانات الأداء</w:t>
            </w:r>
          </w:p>
        </w:tc>
        <w:tc>
          <w:tcPr>
            <w:tcW w:w="817" w:type="dxa"/>
            <w:tcBorders>
              <w:left w:val="nil"/>
              <w:bottom w:val="nil"/>
            </w:tcBorders>
            <w:vAlign w:val="center"/>
          </w:tcPr>
          <w:p w:rsidR="00B31868" w:rsidRPr="00211D55" w:rsidRDefault="00B31868" w:rsidP="00086C3F">
            <w:pPr>
              <w:keepNext/>
              <w:keepLines/>
              <w:bidi/>
              <w:spacing w:before="60" w:after="60" w:line="300" w:lineRule="exact"/>
              <w:jc w:val="center"/>
              <w:rPr>
                <w:rFonts w:ascii="Arabic Typesetting" w:hAnsi="Arabic Typesetting" w:cs="Arabic Typesetting"/>
                <w:color w:val="FF0000"/>
                <w:sz w:val="28"/>
                <w:szCs w:val="28"/>
                <w:rtl/>
                <w:lang w:val="fr-CH"/>
              </w:rPr>
            </w:pPr>
            <w:r w:rsidRPr="00211D55">
              <w:rPr>
                <w:rFonts w:ascii="Arabic Typesetting" w:hAnsi="Arabic Typesetting" w:cs="Arabic Typesetting"/>
                <w:b/>
                <w:bCs/>
                <w:sz w:val="28"/>
                <w:szCs w:val="28"/>
                <w:rtl/>
                <w:lang w:bidi="ar-EG"/>
              </w:rPr>
              <w:t>السير</w:t>
            </w:r>
          </w:p>
        </w:tc>
      </w:tr>
      <w:tr w:rsidR="00B31868" w:rsidRPr="00211D55" w:rsidTr="00211626">
        <w:trPr>
          <w:cantSplit/>
        </w:trPr>
        <w:tc>
          <w:tcPr>
            <w:tcW w:w="2091" w:type="dxa"/>
            <w:tcBorders>
              <w:top w:val="nil"/>
              <w:bottom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عدد السجلات المدرجة في ركن البراءات</w:t>
            </w:r>
          </w:p>
        </w:tc>
        <w:tc>
          <w:tcPr>
            <w:tcW w:w="2552" w:type="dxa"/>
            <w:tcBorders>
              <w:top w:val="nil"/>
              <w:left w:val="nil"/>
              <w:bottom w:val="nil"/>
              <w:right w:val="nil"/>
            </w:tcBorders>
          </w:tcPr>
          <w:p w:rsidR="00B31868" w:rsidRPr="00211D55" w:rsidRDefault="00B31868" w:rsidP="00086C3F">
            <w:pPr>
              <w:bidi/>
              <w:spacing w:before="60" w:after="60" w:line="30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000 000 34</w:t>
            </w:r>
          </w:p>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00C31BC1" w:rsidRPr="00211D55">
              <w:rPr>
                <w:rFonts w:ascii="Arabic Typesetting" w:hAnsi="Arabic Typesetting" w:cs="Arabic Typesetting"/>
                <w:b/>
                <w:sz w:val="28"/>
                <w:szCs w:val="28"/>
                <w:rtl/>
                <w:lang w:bidi="ar-EG"/>
              </w:rPr>
              <w:t>406 733 </w:t>
            </w:r>
            <w:r w:rsidRPr="00211D55">
              <w:rPr>
                <w:rFonts w:ascii="Arabic Typesetting" w:hAnsi="Arabic Typesetting" w:cs="Arabic Typesetting"/>
                <w:b/>
                <w:sz w:val="28"/>
                <w:szCs w:val="28"/>
                <w:rtl/>
                <w:lang w:bidi="ar-EG"/>
              </w:rPr>
              <w:t>18 (فبراير 2013)</w:t>
            </w:r>
          </w:p>
        </w:tc>
        <w:tc>
          <w:tcPr>
            <w:tcW w:w="1702" w:type="dxa"/>
            <w:tcBorders>
              <w:top w:val="nil"/>
              <w:left w:val="nil"/>
              <w:bottom w:val="nil"/>
              <w:right w:val="nil"/>
            </w:tcBorders>
          </w:tcPr>
          <w:p w:rsidR="00B31868" w:rsidRPr="00211D55" w:rsidRDefault="00B31868" w:rsidP="00086C3F">
            <w:pPr>
              <w:keepNext/>
              <w:bidi/>
              <w:spacing w:before="60" w:after="60" w:line="300" w:lineRule="exact"/>
              <w:rPr>
                <w:rFonts w:ascii="Arabic Typesetting" w:hAnsi="Arabic Typesetting" w:cs="Arabic Typesetting"/>
                <w:sz w:val="28"/>
                <w:szCs w:val="28"/>
                <w:rtl/>
                <w:lang w:val="fr-CH" w:bidi="ar-EG"/>
              </w:rPr>
            </w:pPr>
            <w:r w:rsidRPr="00211D55">
              <w:rPr>
                <w:rFonts w:ascii="Arabic Typesetting" w:hAnsi="Arabic Typesetting" w:cs="Arabic Typesetting"/>
                <w:sz w:val="28"/>
                <w:szCs w:val="28"/>
                <w:rtl/>
                <w:lang w:val="fr-CH" w:bidi="ar-EG"/>
              </w:rPr>
              <w:t>000 000 40</w:t>
            </w:r>
          </w:p>
        </w:tc>
        <w:tc>
          <w:tcPr>
            <w:tcW w:w="2410" w:type="dxa"/>
            <w:tcBorders>
              <w:top w:val="nil"/>
              <w:left w:val="nil"/>
              <w:bottom w:val="nil"/>
              <w:right w:val="nil"/>
            </w:tcBorders>
          </w:tcPr>
          <w:p w:rsidR="00B31868" w:rsidRPr="00211D55" w:rsidRDefault="00B31868" w:rsidP="00086C3F">
            <w:pPr>
              <w:keepNext/>
              <w:bidi/>
              <w:spacing w:before="60" w:after="60" w:line="300" w:lineRule="exact"/>
              <w:rPr>
                <w:rFonts w:ascii="Arabic Typesetting" w:hAnsi="Arabic Typesetting" w:cs="Arabic Typesetting"/>
                <w:sz w:val="28"/>
                <w:szCs w:val="28"/>
                <w:rtl/>
                <w:lang w:val="fr-CH" w:bidi="ar-EG"/>
              </w:rPr>
            </w:pPr>
            <w:r w:rsidRPr="00211D55">
              <w:rPr>
                <w:rFonts w:ascii="Arabic Typesetting" w:hAnsi="Arabic Typesetting" w:cs="Arabic Typesetting"/>
                <w:sz w:val="28"/>
                <w:szCs w:val="28"/>
                <w:rtl/>
                <w:lang w:val="fr-CH" w:bidi="ar-EG"/>
              </w:rPr>
              <w:t>000 000 </w:t>
            </w:r>
            <w:r w:rsidR="00C31BC1" w:rsidRPr="00211D55">
              <w:rPr>
                <w:rFonts w:ascii="Arabic Typesetting" w:hAnsi="Arabic Typesetting" w:cs="Arabic Typesetting"/>
                <w:sz w:val="28"/>
                <w:szCs w:val="28"/>
                <w:rtl/>
                <w:lang w:val="fr-CH" w:bidi="ar-EG"/>
              </w:rPr>
              <w:t>50 (التراكمي)</w:t>
            </w:r>
          </w:p>
        </w:tc>
        <w:tc>
          <w:tcPr>
            <w:tcW w:w="817" w:type="dxa"/>
            <w:tcBorders>
              <w:top w:val="nil"/>
              <w:left w:val="nil"/>
              <w:bottom w:val="nil"/>
            </w:tcBorders>
          </w:tcPr>
          <w:p w:rsidR="00B31868" w:rsidRPr="00211D55" w:rsidRDefault="00C31BC1" w:rsidP="00086C3F">
            <w:pPr>
              <w:keepNext/>
              <w:bidi/>
              <w:spacing w:before="60" w:after="60" w:line="30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B31868" w:rsidRPr="00211D55" w:rsidTr="00211626">
        <w:trPr>
          <w:cantSplit/>
          <w:trHeight w:val="1424"/>
        </w:trPr>
        <w:tc>
          <w:tcPr>
            <w:tcW w:w="2091" w:type="dxa"/>
            <w:tcBorders>
              <w:top w:val="nil"/>
              <w:bottom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عدد السجلات المدرجة في قواعد البيانات العالمية للعلامات التجارية</w:t>
            </w:r>
          </w:p>
        </w:tc>
        <w:tc>
          <w:tcPr>
            <w:tcW w:w="2552" w:type="dxa"/>
            <w:tcBorders>
              <w:top w:val="nil"/>
              <w:left w:val="nil"/>
              <w:bottom w:val="nil"/>
              <w:right w:val="nil"/>
            </w:tcBorders>
          </w:tcPr>
          <w:p w:rsidR="00B31868" w:rsidRPr="00211D55" w:rsidRDefault="00B31868" w:rsidP="00086C3F">
            <w:pPr>
              <w:bidi/>
              <w:spacing w:before="60" w:after="60" w:line="30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000 000 12</w:t>
            </w:r>
          </w:p>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00C31BC1" w:rsidRPr="00211D55">
              <w:rPr>
                <w:rFonts w:ascii="Arabic Typesetting" w:hAnsi="Arabic Typesetting" w:cs="Arabic Typesetting"/>
                <w:b/>
                <w:sz w:val="28"/>
                <w:szCs w:val="28"/>
                <w:rtl/>
                <w:lang w:bidi="ar-EG"/>
              </w:rPr>
              <w:t>326 928 </w:t>
            </w:r>
            <w:r w:rsidRPr="00211D55">
              <w:rPr>
                <w:rFonts w:ascii="Arabic Typesetting" w:hAnsi="Arabic Typesetting" w:cs="Arabic Typesetting"/>
                <w:b/>
                <w:sz w:val="28"/>
                <w:szCs w:val="28"/>
                <w:rtl/>
                <w:lang w:bidi="ar-EG"/>
              </w:rPr>
              <w:t>10 (فبراير 2013)</w:t>
            </w:r>
          </w:p>
        </w:tc>
        <w:tc>
          <w:tcPr>
            <w:tcW w:w="1702" w:type="dxa"/>
            <w:tcBorders>
              <w:top w:val="nil"/>
              <w:left w:val="nil"/>
              <w:bottom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000 000 20</w:t>
            </w:r>
          </w:p>
        </w:tc>
        <w:tc>
          <w:tcPr>
            <w:tcW w:w="2410" w:type="dxa"/>
            <w:tcBorders>
              <w:top w:val="nil"/>
              <w:left w:val="nil"/>
              <w:bottom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000 </w:t>
            </w:r>
            <w:r w:rsidR="00C31BC1" w:rsidRPr="00211D55">
              <w:rPr>
                <w:rFonts w:ascii="Arabic Typesetting" w:hAnsi="Arabic Typesetting" w:cs="Arabic Typesetting"/>
                <w:sz w:val="28"/>
                <w:szCs w:val="28"/>
                <w:rtl/>
                <w:lang w:val="fr-CH"/>
              </w:rPr>
              <w:t>500 24 (التراكمي)</w:t>
            </w:r>
          </w:p>
        </w:tc>
        <w:tc>
          <w:tcPr>
            <w:tcW w:w="817" w:type="dxa"/>
            <w:tcBorders>
              <w:top w:val="nil"/>
              <w:left w:val="nil"/>
              <w:bottom w:val="nil"/>
            </w:tcBorders>
          </w:tcPr>
          <w:p w:rsidR="00B31868" w:rsidRPr="00211D55" w:rsidRDefault="00C31BC1" w:rsidP="00086C3F">
            <w:pPr>
              <w:keepNext/>
              <w:bidi/>
              <w:spacing w:before="60" w:after="60" w:line="30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B31868" w:rsidRPr="00211D55" w:rsidTr="00211626">
        <w:trPr>
          <w:cantSplit/>
        </w:trPr>
        <w:tc>
          <w:tcPr>
            <w:tcW w:w="2091" w:type="dxa"/>
            <w:tcBorders>
              <w:top w:val="nil"/>
              <w:bottom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عدد المجموعات الوطنية</w:t>
            </w:r>
            <w:r w:rsidR="00C31BC1" w:rsidRPr="00211D55">
              <w:rPr>
                <w:rFonts w:ascii="Arabic Typesetting" w:hAnsi="Arabic Typesetting" w:cs="Arabic Typesetting"/>
                <w:sz w:val="28"/>
                <w:szCs w:val="28"/>
                <w:rtl/>
                <w:lang w:bidi="ar-EG"/>
              </w:rPr>
              <w:t xml:space="preserve"> والإقليمية</w:t>
            </w:r>
            <w:r w:rsidRPr="00211D55">
              <w:rPr>
                <w:rFonts w:ascii="Arabic Typesetting" w:hAnsi="Arabic Typesetting" w:cs="Arabic Typesetting"/>
                <w:sz w:val="28"/>
                <w:szCs w:val="28"/>
                <w:rtl/>
                <w:lang w:bidi="ar-EG"/>
              </w:rPr>
              <w:t xml:space="preserve"> في ركن البراءات</w:t>
            </w:r>
          </w:p>
        </w:tc>
        <w:tc>
          <w:tcPr>
            <w:tcW w:w="2552" w:type="dxa"/>
            <w:tcBorders>
              <w:top w:val="nil"/>
              <w:left w:val="nil"/>
              <w:bottom w:val="nil"/>
              <w:right w:val="nil"/>
            </w:tcBorders>
          </w:tcPr>
          <w:p w:rsidR="00B31868" w:rsidRPr="00211D55" w:rsidRDefault="00B31868" w:rsidP="00086C3F">
            <w:pPr>
              <w:bidi/>
              <w:spacing w:before="60" w:after="60" w:line="30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36 (</w:t>
            </w:r>
            <w:r w:rsidR="00C31BC1" w:rsidRPr="00211D55">
              <w:rPr>
                <w:rFonts w:ascii="Arabic Typesetting" w:hAnsi="Arabic Typesetting" w:cs="Arabic Typesetting"/>
                <w:b/>
                <w:color w:val="002060"/>
                <w:sz w:val="28"/>
                <w:szCs w:val="28"/>
                <w:rtl/>
                <w:lang w:bidi="ar-EG"/>
              </w:rPr>
              <w:t>التراكمي</w:t>
            </w:r>
            <w:r w:rsidRPr="00211D55">
              <w:rPr>
                <w:rFonts w:ascii="Arabic Typesetting" w:hAnsi="Arabic Typesetting" w:cs="Arabic Typesetting"/>
                <w:b/>
                <w:color w:val="002060"/>
                <w:sz w:val="28"/>
                <w:szCs w:val="28"/>
                <w:rtl/>
                <w:lang w:bidi="ar-EG"/>
              </w:rPr>
              <w:t>)</w:t>
            </w:r>
          </w:p>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27 (فبراير</w:t>
            </w:r>
            <w:r w:rsidR="00C31BC1" w:rsidRPr="00211D55">
              <w:rPr>
                <w:rFonts w:ascii="Arabic Typesetting" w:hAnsi="Arabic Typesetting" w:cs="Arabic Typesetting"/>
                <w:b/>
                <w:sz w:val="28"/>
                <w:szCs w:val="28"/>
                <w:rtl/>
                <w:lang w:bidi="ar-EG"/>
              </w:rPr>
              <w:t> </w:t>
            </w:r>
            <w:r w:rsidRPr="00211D55">
              <w:rPr>
                <w:rFonts w:ascii="Arabic Typesetting" w:hAnsi="Arabic Typesetting" w:cs="Arabic Typesetting"/>
                <w:b/>
                <w:sz w:val="28"/>
                <w:szCs w:val="28"/>
                <w:rtl/>
                <w:lang w:bidi="ar-EG"/>
              </w:rPr>
              <w:t>2013)</w:t>
            </w:r>
          </w:p>
        </w:tc>
        <w:tc>
          <w:tcPr>
            <w:tcW w:w="1702" w:type="dxa"/>
            <w:tcBorders>
              <w:top w:val="nil"/>
              <w:left w:val="nil"/>
              <w:bottom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35</w:t>
            </w:r>
          </w:p>
        </w:tc>
        <w:tc>
          <w:tcPr>
            <w:tcW w:w="2410" w:type="dxa"/>
            <w:tcBorders>
              <w:top w:val="nil"/>
              <w:left w:val="nil"/>
              <w:bottom w:val="nil"/>
              <w:right w:val="nil"/>
            </w:tcBorders>
          </w:tcPr>
          <w:p w:rsidR="00B31868" w:rsidRPr="00211D55" w:rsidRDefault="00C31BC1" w:rsidP="00086C3F">
            <w:pPr>
              <w:keepNext/>
              <w:bidi/>
              <w:spacing w:before="60" w:after="60" w:line="30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43 (التراكمي)</w:t>
            </w:r>
          </w:p>
        </w:tc>
        <w:tc>
          <w:tcPr>
            <w:tcW w:w="817" w:type="dxa"/>
            <w:tcBorders>
              <w:top w:val="nil"/>
              <w:left w:val="nil"/>
              <w:bottom w:val="nil"/>
            </w:tcBorders>
          </w:tcPr>
          <w:p w:rsidR="00B31868" w:rsidRPr="00211D55" w:rsidRDefault="00C31BC1" w:rsidP="00086C3F">
            <w:pPr>
              <w:keepNext/>
              <w:bidi/>
              <w:spacing w:before="60" w:after="60" w:line="30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B31868" w:rsidRPr="00211D55" w:rsidTr="00211626">
        <w:trPr>
          <w:cantSplit/>
        </w:trPr>
        <w:tc>
          <w:tcPr>
            <w:tcW w:w="2091" w:type="dxa"/>
            <w:tcBorders>
              <w:top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عدد المجموعات الوطنية</w:t>
            </w:r>
            <w:r w:rsidR="00C31BC1" w:rsidRPr="00211D55">
              <w:rPr>
                <w:rFonts w:ascii="Arabic Typesetting" w:hAnsi="Arabic Typesetting" w:cs="Arabic Typesetting"/>
                <w:sz w:val="28"/>
                <w:szCs w:val="28"/>
                <w:rtl/>
                <w:lang w:bidi="ar-EG"/>
              </w:rPr>
              <w:t xml:space="preserve"> والإقليمية</w:t>
            </w:r>
            <w:r w:rsidRPr="00211D55">
              <w:rPr>
                <w:rFonts w:ascii="Arabic Typesetting" w:hAnsi="Arabic Typesetting" w:cs="Arabic Typesetting"/>
                <w:sz w:val="28"/>
                <w:szCs w:val="28"/>
                <w:rtl/>
                <w:lang w:bidi="ar-EG"/>
              </w:rPr>
              <w:t xml:space="preserve"> في قاعد</w:t>
            </w:r>
            <w:r w:rsidR="00324D69" w:rsidRPr="00211D55">
              <w:rPr>
                <w:rFonts w:ascii="Arabic Typesetting" w:hAnsi="Arabic Typesetting" w:cs="Arabic Typesetting"/>
                <w:sz w:val="28"/>
                <w:szCs w:val="28"/>
                <w:rtl/>
                <w:lang w:bidi="ar-EG"/>
              </w:rPr>
              <w:t>ة</w:t>
            </w:r>
            <w:r w:rsidRPr="00211D55">
              <w:rPr>
                <w:rFonts w:ascii="Arabic Typesetting" w:hAnsi="Arabic Typesetting" w:cs="Arabic Typesetting"/>
                <w:sz w:val="28"/>
                <w:szCs w:val="28"/>
                <w:rtl/>
                <w:lang w:bidi="ar-EG"/>
              </w:rPr>
              <w:t xml:space="preserve"> البيانات العالمية للعلامات التجارية</w:t>
            </w:r>
          </w:p>
        </w:tc>
        <w:tc>
          <w:tcPr>
            <w:tcW w:w="2552" w:type="dxa"/>
            <w:tcBorders>
              <w:top w:val="nil"/>
              <w:left w:val="nil"/>
              <w:right w:val="nil"/>
            </w:tcBorders>
          </w:tcPr>
          <w:p w:rsidR="00B31868" w:rsidRPr="00211D55" w:rsidRDefault="00B31868" w:rsidP="00086C3F">
            <w:pPr>
              <w:bidi/>
              <w:spacing w:before="60" w:after="60" w:line="30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12</w:t>
            </w:r>
          </w:p>
          <w:p w:rsidR="00B31868" w:rsidRPr="00211D55" w:rsidRDefault="00B31868" w:rsidP="00086C3F">
            <w:pPr>
              <w:bidi/>
              <w:spacing w:before="60" w:after="60" w:line="300" w:lineRule="exact"/>
              <w:rPr>
                <w:rFonts w:ascii="Arabic Typesetting" w:hAnsi="Arabic Typesetting" w:cs="Arabic Typesetting"/>
                <w:color w:val="244061"/>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9 (فبراير</w:t>
            </w:r>
            <w:r w:rsidR="00C31BC1" w:rsidRPr="00211D55">
              <w:rPr>
                <w:rFonts w:ascii="Arabic Typesetting" w:hAnsi="Arabic Typesetting" w:cs="Arabic Typesetting"/>
                <w:b/>
                <w:sz w:val="28"/>
                <w:szCs w:val="28"/>
                <w:rtl/>
                <w:lang w:bidi="ar-EG"/>
              </w:rPr>
              <w:t> </w:t>
            </w:r>
            <w:r w:rsidRPr="00211D55">
              <w:rPr>
                <w:rFonts w:ascii="Arabic Typesetting" w:hAnsi="Arabic Typesetting" w:cs="Arabic Typesetting"/>
                <w:b/>
                <w:sz w:val="28"/>
                <w:szCs w:val="28"/>
                <w:rtl/>
                <w:lang w:bidi="ar-EG"/>
              </w:rPr>
              <w:t>2013)</w:t>
            </w:r>
          </w:p>
        </w:tc>
        <w:tc>
          <w:tcPr>
            <w:tcW w:w="1702" w:type="dxa"/>
            <w:tcBorders>
              <w:top w:val="nil"/>
              <w:left w:val="nil"/>
              <w:right w:val="nil"/>
            </w:tcBorders>
          </w:tcPr>
          <w:p w:rsidR="00B31868" w:rsidRPr="00211D55" w:rsidRDefault="00B31868" w:rsidP="00086C3F">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18</w:t>
            </w:r>
          </w:p>
        </w:tc>
        <w:tc>
          <w:tcPr>
            <w:tcW w:w="2410" w:type="dxa"/>
            <w:tcBorders>
              <w:top w:val="nil"/>
              <w:left w:val="nil"/>
              <w:right w:val="nil"/>
            </w:tcBorders>
          </w:tcPr>
          <w:p w:rsidR="00B31868" w:rsidRPr="00211D55" w:rsidRDefault="00C31BC1" w:rsidP="00086C3F">
            <w:pPr>
              <w:keepNext/>
              <w:bidi/>
              <w:spacing w:before="60" w:after="60" w:line="300" w:lineRule="exact"/>
              <w:rPr>
                <w:rFonts w:ascii="Arabic Typesetting" w:hAnsi="Arabic Typesetting" w:cs="Arabic Typesetting"/>
                <w:sz w:val="28"/>
                <w:szCs w:val="28"/>
                <w:rtl/>
                <w:lang w:val="fr-CH"/>
              </w:rPr>
            </w:pPr>
            <w:r w:rsidRPr="00211D55">
              <w:rPr>
                <w:rFonts w:ascii="Arabic Typesetting" w:hAnsi="Arabic Typesetting" w:cs="Arabic Typesetting"/>
                <w:sz w:val="28"/>
                <w:szCs w:val="28"/>
                <w:rtl/>
                <w:lang w:val="fr-CH"/>
              </w:rPr>
              <w:t>26 (التراكمي)</w:t>
            </w:r>
          </w:p>
        </w:tc>
        <w:tc>
          <w:tcPr>
            <w:tcW w:w="817" w:type="dxa"/>
            <w:tcBorders>
              <w:top w:val="nil"/>
              <w:left w:val="nil"/>
            </w:tcBorders>
          </w:tcPr>
          <w:p w:rsidR="00B31868" w:rsidRPr="00211D55" w:rsidRDefault="00C31BC1" w:rsidP="00086C3F">
            <w:pPr>
              <w:keepNext/>
              <w:bidi/>
              <w:spacing w:before="60" w:after="60" w:line="30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bl>
    <w:p w:rsidR="00C31BC1"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C31BC1" w:rsidRPr="00211D55" w:rsidTr="00C31BC1">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C31BC1" w:rsidRPr="00211D55" w:rsidRDefault="00C31BC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C31BC1" w:rsidRPr="00211D55" w:rsidRDefault="00C31BC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C31BC1" w:rsidRPr="00211D55" w:rsidRDefault="00C31BC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C31BC1"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C31BC1" w:rsidRPr="00211D55" w:rsidTr="00C31BC1">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C31BC1" w:rsidRPr="007A7336" w:rsidRDefault="00C31BC1" w:rsidP="007A7336">
            <w:pPr>
              <w:bidi/>
              <w:spacing w:before="60" w:after="60" w:line="280" w:lineRule="exact"/>
              <w:rPr>
                <w:rFonts w:ascii="Arabic Typesetting" w:hAnsi="Arabic Typesetting" w:cs="Arabic Typesetting"/>
                <w:color w:val="000000"/>
                <w:sz w:val="28"/>
                <w:szCs w:val="28"/>
                <w:lang w:bidi="ar-EG"/>
              </w:rPr>
            </w:pPr>
            <w:r w:rsidRPr="007A7336">
              <w:rPr>
                <w:rFonts w:ascii="Arabic Typesetting" w:hAnsi="Arabic Typesetting" w:cs="Arabic Typesetting"/>
                <w:color w:val="000000"/>
                <w:sz w:val="28"/>
                <w:szCs w:val="28"/>
                <w:rtl/>
                <w:lang w:bidi="ar-EG"/>
              </w:rPr>
              <w:t xml:space="preserve">الفقدان </w:t>
            </w:r>
            <w:r w:rsidRPr="00211D55">
              <w:rPr>
                <w:rFonts w:ascii="Arabic Typesetting" w:hAnsi="Arabic Typesetting" w:cs="Arabic Typesetting"/>
                <w:color w:val="000000"/>
                <w:sz w:val="28"/>
                <w:szCs w:val="28"/>
                <w:rtl/>
                <w:lang w:bidi="ar-EG"/>
              </w:rPr>
              <w:t>المؤقت أو الدائم للنفاذ إلى قواعد البيانات العالمية بسبب انقطاع خدمة الإنترنت المحلية أو بسبب عطل فني في المقر الرئيسي في</w:t>
            </w:r>
            <w:r w:rsidRPr="007A7336">
              <w:rPr>
                <w:rFonts w:ascii="Arabic Typesetting" w:hAnsi="Arabic Typesetting" w:cs="Arabic Typesetting"/>
                <w:color w:val="000000"/>
                <w:sz w:val="28"/>
                <w:szCs w:val="28"/>
                <w:rtl/>
                <w:lang w:bidi="ar-EG"/>
              </w:rPr>
              <w:t xml:space="preserve"> جنيف</w:t>
            </w:r>
          </w:p>
        </w:tc>
        <w:tc>
          <w:tcPr>
            <w:tcW w:w="2200" w:type="dxa"/>
            <w:tcBorders>
              <w:top w:val="single" w:sz="4" w:space="0" w:color="auto"/>
              <w:bottom w:val="single" w:sz="4" w:space="0" w:color="auto"/>
            </w:tcBorders>
            <w:shd w:val="clear" w:color="auto" w:fill="auto"/>
            <w:tcMar>
              <w:top w:w="113" w:type="dxa"/>
              <w:bottom w:w="113" w:type="dxa"/>
            </w:tcMar>
          </w:tcPr>
          <w:p w:rsidR="00C31BC1" w:rsidRPr="007A7336" w:rsidRDefault="00C31BC1" w:rsidP="007A7336">
            <w:pPr>
              <w:bidi/>
              <w:spacing w:before="60" w:after="60" w:line="280" w:lineRule="exact"/>
              <w:rPr>
                <w:rFonts w:ascii="Arabic Typesetting" w:hAnsi="Arabic Typesetting" w:cs="Arabic Typesetting"/>
                <w:color w:val="000000"/>
                <w:sz w:val="28"/>
                <w:szCs w:val="28"/>
                <w:lang w:bidi="ar-EG"/>
              </w:rPr>
            </w:pPr>
            <w:r w:rsidRPr="007A7336">
              <w:rPr>
                <w:rFonts w:ascii="Arabic Typesetting" w:hAnsi="Arabic Typesetting" w:cs="Arabic Typesetting"/>
                <w:color w:val="000000"/>
                <w:sz w:val="28"/>
                <w:szCs w:val="28"/>
                <w:rtl/>
                <w:lang w:bidi="ar-EG"/>
              </w:rPr>
              <w:t xml:space="preserve">البحث </w:t>
            </w:r>
            <w:r w:rsidRPr="00211D55">
              <w:rPr>
                <w:rFonts w:ascii="Arabic Typesetting" w:hAnsi="Arabic Typesetting" w:cs="Arabic Typesetting"/>
                <w:color w:val="000000"/>
                <w:sz w:val="28"/>
                <w:szCs w:val="28"/>
                <w:rtl/>
                <w:lang w:bidi="ar-EG"/>
              </w:rPr>
              <w:t>عن مواقع يمكنها استضافة البيانات و</w:t>
            </w:r>
            <w:r w:rsidR="00B1424D">
              <w:rPr>
                <w:rFonts w:ascii="Arabic Typesetting" w:hAnsi="Arabic Typesetting" w:cs="Arabic Typesetting"/>
                <w:color w:val="000000"/>
                <w:sz w:val="28"/>
                <w:szCs w:val="28"/>
                <w:rtl/>
                <w:lang w:bidi="ar-EG"/>
              </w:rPr>
              <w:t>تنزيل</w:t>
            </w:r>
            <w:r w:rsidRPr="00211D55">
              <w:rPr>
                <w:rFonts w:ascii="Arabic Typesetting" w:hAnsi="Arabic Typesetting" w:cs="Arabic Typesetting"/>
                <w:color w:val="000000"/>
                <w:sz w:val="28"/>
                <w:szCs w:val="28"/>
                <w:rtl/>
                <w:lang w:bidi="ar-EG"/>
              </w:rPr>
              <w:t xml:space="preserve">ها بنسخ مطابقة </w:t>
            </w:r>
            <w:r w:rsidRPr="00211D55">
              <w:rPr>
                <w:rFonts w:ascii="Arabic Typesetting" w:hAnsi="Arabic Typesetting" w:cs="Arabic Typesetting" w:hint="cs"/>
                <w:color w:val="000000"/>
                <w:sz w:val="28"/>
                <w:szCs w:val="28"/>
                <w:rtl/>
                <w:lang w:bidi="ar-EG"/>
              </w:rPr>
              <w:t xml:space="preserve">من البيانات لاستعادتها وتوزيعها جغرافياً في حالات الكوارث. </w:t>
            </w:r>
            <w:r w:rsidRPr="00211D55">
              <w:rPr>
                <w:rFonts w:ascii="Arabic Typesetting" w:hAnsi="Arabic Typesetting" w:cs="Arabic Typesetting"/>
                <w:color w:val="000000"/>
                <w:sz w:val="28"/>
                <w:szCs w:val="28"/>
                <w:rtl/>
                <w:lang w:bidi="ar-EG"/>
              </w:rPr>
              <w:t>والبحث عن مواقع</w:t>
            </w:r>
            <w:r w:rsidR="00E23F60" w:rsidRPr="00211D55">
              <w:rPr>
                <w:rFonts w:ascii="Arabic Typesetting" w:hAnsi="Arabic Typesetting" w:cs="Arabic Typesetting" w:hint="cs"/>
                <w:color w:val="000000"/>
                <w:sz w:val="28"/>
                <w:szCs w:val="28"/>
                <w:rtl/>
                <w:lang w:bidi="ar-EG"/>
              </w:rPr>
              <w:t xml:space="preserve"> منسوخة </w:t>
            </w:r>
            <w:r w:rsidRPr="00211D55">
              <w:rPr>
                <w:rFonts w:ascii="Arabic Typesetting" w:hAnsi="Arabic Typesetting" w:cs="Arabic Typesetting"/>
                <w:color w:val="000000"/>
                <w:sz w:val="28"/>
                <w:szCs w:val="28"/>
                <w:rtl/>
                <w:lang w:bidi="ar-EG"/>
              </w:rPr>
              <w:t>للمحافظة على تواصل النفاذ إلى البيانات أثناء انقطاع الخدمة المحلية</w:t>
            </w:r>
            <w:r w:rsidRPr="007A7336">
              <w:rPr>
                <w:rFonts w:ascii="Arabic Typesetting" w:hAnsi="Arabic Typesetting" w:cs="Arabic Typesetting"/>
                <w:color w:val="000000"/>
                <w:sz w:val="28"/>
                <w:szCs w:val="28"/>
                <w:rtl/>
                <w:lang w:bidi="ar-EG"/>
              </w:rPr>
              <w:t>.</w:t>
            </w:r>
          </w:p>
        </w:tc>
        <w:tc>
          <w:tcPr>
            <w:tcW w:w="2310" w:type="dxa"/>
            <w:tcBorders>
              <w:top w:val="single" w:sz="4" w:space="0" w:color="auto"/>
              <w:bottom w:val="single" w:sz="4" w:space="0" w:color="auto"/>
            </w:tcBorders>
          </w:tcPr>
          <w:p w:rsidR="00C31BC1" w:rsidRPr="007A7336" w:rsidRDefault="00E23F60" w:rsidP="007A7336">
            <w:pPr>
              <w:bidi/>
              <w:spacing w:before="60" w:after="60" w:line="280" w:lineRule="exact"/>
              <w:rPr>
                <w:rFonts w:ascii="Arabic Typesetting" w:hAnsi="Arabic Typesetting" w:cs="Arabic Typesetting"/>
                <w:color w:val="000000"/>
                <w:sz w:val="28"/>
                <w:szCs w:val="28"/>
                <w:lang w:bidi="ar-EG"/>
              </w:rPr>
            </w:pPr>
            <w:r w:rsidRPr="007A7336">
              <w:rPr>
                <w:rFonts w:ascii="Arabic Typesetting" w:hAnsi="Arabic Typesetting" w:cs="Arabic Typesetting" w:hint="cs"/>
                <w:color w:val="000000"/>
                <w:sz w:val="28"/>
                <w:szCs w:val="28"/>
                <w:rtl/>
                <w:lang w:bidi="ar-EG"/>
              </w:rPr>
              <w:t>عولجت مسألة التوزيع الجغرافي لنظام ركن البراءات خلال الثنائية عن طريق نظام منسوخ في آسيا يكفل المحافظة على نسخة بعيدة ويقلص فترات الانتظار للمنطقة الآسيوية بحيث ينخفض احتمال التعرض لهذا الخطر.</w:t>
            </w:r>
          </w:p>
        </w:tc>
        <w:tc>
          <w:tcPr>
            <w:tcW w:w="2306" w:type="dxa"/>
            <w:tcBorders>
              <w:top w:val="single" w:sz="4" w:space="0" w:color="auto"/>
              <w:bottom w:val="single" w:sz="4" w:space="0" w:color="auto"/>
              <w:right w:val="single" w:sz="4" w:space="0" w:color="auto"/>
            </w:tcBorders>
          </w:tcPr>
          <w:p w:rsidR="00C31BC1" w:rsidRPr="007A7336" w:rsidRDefault="00E23F60" w:rsidP="002F200B">
            <w:pPr>
              <w:bidi/>
              <w:spacing w:before="60" w:after="60" w:line="280" w:lineRule="exact"/>
              <w:rPr>
                <w:rFonts w:ascii="Arabic Typesetting" w:hAnsi="Arabic Typesetting" w:cs="Arabic Typesetting"/>
                <w:color w:val="000000"/>
                <w:sz w:val="28"/>
                <w:szCs w:val="28"/>
                <w:lang w:bidi="ar-EG"/>
              </w:rPr>
            </w:pPr>
            <w:r w:rsidRPr="007A7336">
              <w:rPr>
                <w:rFonts w:ascii="Arabic Typesetting" w:hAnsi="Arabic Typesetting" w:cs="Arabic Typesetting" w:hint="cs"/>
                <w:color w:val="000000"/>
                <w:sz w:val="28"/>
                <w:szCs w:val="28"/>
                <w:rtl/>
                <w:lang w:bidi="ar-EG"/>
              </w:rPr>
              <w:t xml:space="preserve">لم يؤثر هذا الخطر ولا تطوره </w:t>
            </w:r>
            <w:r w:rsidR="002F200B">
              <w:rPr>
                <w:rFonts w:ascii="Arabic Typesetting" w:hAnsi="Arabic Typesetting" w:cs="Arabic Typesetting" w:hint="cs"/>
                <w:color w:val="000000"/>
                <w:sz w:val="28"/>
                <w:szCs w:val="28"/>
                <w:rtl/>
                <w:lang w:bidi="ar-EG"/>
              </w:rPr>
              <w:t>تأثيراً مادياً</w:t>
            </w:r>
            <w:r w:rsidRPr="007A7336">
              <w:rPr>
                <w:rFonts w:ascii="Arabic Typesetting" w:hAnsi="Arabic Typesetting" w:cs="Arabic Typesetting" w:hint="cs"/>
                <w:color w:val="000000"/>
                <w:sz w:val="28"/>
                <w:szCs w:val="28"/>
                <w:rtl/>
                <w:lang w:bidi="ar-EG"/>
              </w:rPr>
              <w:t xml:space="preserve"> </w:t>
            </w:r>
            <w:r w:rsidR="00324D69" w:rsidRPr="007A7336">
              <w:rPr>
                <w:rFonts w:ascii="Arabic Typesetting" w:hAnsi="Arabic Typesetting" w:cs="Arabic Typesetting" w:hint="cs"/>
                <w:color w:val="000000"/>
                <w:sz w:val="28"/>
                <w:szCs w:val="28"/>
                <w:rtl/>
                <w:lang w:bidi="ar-EG"/>
              </w:rPr>
              <w:t>في</w:t>
            </w:r>
            <w:r w:rsidRPr="007A7336">
              <w:rPr>
                <w:rFonts w:ascii="Arabic Typesetting" w:hAnsi="Arabic Typesetting" w:cs="Arabic Typesetting" w:hint="cs"/>
                <w:color w:val="000000"/>
                <w:sz w:val="28"/>
                <w:szCs w:val="28"/>
                <w:rtl/>
                <w:lang w:bidi="ar-EG"/>
              </w:rPr>
              <w:t xml:space="preserve"> أداء البرنامج للفترة </w:t>
            </w:r>
            <w:r w:rsidR="00507DE2">
              <w:rPr>
                <w:rFonts w:ascii="Arabic Typesetting" w:hAnsi="Arabic Typesetting" w:cs="Arabic Typesetting" w:hint="cs"/>
                <w:color w:val="000000"/>
                <w:sz w:val="28"/>
                <w:szCs w:val="28"/>
                <w:rtl/>
                <w:lang w:bidi="ar-EG"/>
              </w:rPr>
              <w:t>2014/15</w:t>
            </w:r>
            <w:r w:rsidRPr="007A7336">
              <w:rPr>
                <w:rFonts w:ascii="Arabic Typesetting" w:hAnsi="Arabic Typesetting" w:cs="Arabic Typesetting" w:hint="cs"/>
                <w:color w:val="000000"/>
                <w:sz w:val="28"/>
                <w:szCs w:val="28"/>
                <w:rtl/>
                <w:lang w:bidi="ar-EG"/>
              </w:rPr>
              <w:t>.</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val="fr-CH"/>
        </w:rPr>
      </w:pPr>
      <w:r w:rsidRPr="00B264F9">
        <w:rPr>
          <w:rFonts w:ascii="Arabic Typesetting" w:hAnsi="Arabic Typesetting" w:cs="Arabic Typesetting" w:hint="cs"/>
          <w:sz w:val="34"/>
          <w:szCs w:val="34"/>
          <w:rtl/>
          <w:lang w:val="fr-CH"/>
        </w:rPr>
        <w:t>استخدام الموارد</w:t>
      </w:r>
    </w:p>
    <w:p w:rsidR="00B31868" w:rsidRPr="00252762" w:rsidRDefault="00774E37" w:rsidP="00252762">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sz w:val="34"/>
          <w:szCs w:val="34"/>
          <w:rtl/>
          <w:lang w:bidi="ar-EG"/>
        </w:rPr>
        <w:t>الميزانية والنفقات الفعلية (بحسب النتائج)</w:t>
      </w:r>
    </w:p>
    <w:p w:rsidR="00E23F60" w:rsidRPr="00B31868" w:rsidRDefault="00B31868" w:rsidP="00086C3F">
      <w:pPr>
        <w:keepNext/>
        <w:bidi/>
        <w:spacing w:after="120" w:line="340" w:lineRule="exact"/>
        <w:jc w:val="center"/>
        <w:rPr>
          <w:rFonts w:ascii="Arabic Typesetting" w:hAnsi="Arabic Typesetting" w:cs="Arabic Typesetting"/>
          <w:sz w:val="34"/>
          <w:szCs w:val="34"/>
          <w:rtl/>
        </w:rPr>
      </w:pPr>
      <w:r w:rsidRPr="00B31868">
        <w:rPr>
          <w:rFonts w:ascii="Arabic Typesetting" w:hAnsi="Arabic Typesetting" w:cs="Arabic Typesetting"/>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E23F60" w:rsidRPr="00211D55" w:rsidTr="00E81987">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E23F60" w:rsidRPr="00211D55" w:rsidRDefault="00E23F60"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E23F60" w:rsidRPr="00211D55" w:rsidRDefault="00E23F60"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E23F60" w:rsidRPr="00211D55" w:rsidRDefault="00E23F60"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E23F60" w:rsidRPr="00211D55" w:rsidRDefault="00E23F60"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E23F60" w:rsidRPr="00211D55" w:rsidTr="00E23F60">
        <w:trPr>
          <w:cantSplit/>
          <w:trHeight w:val="598"/>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23F60" w:rsidRPr="00211D55" w:rsidRDefault="00E23F60"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ھ2.4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23F60" w:rsidRPr="00211D55" w:rsidRDefault="000432CA" w:rsidP="00086C3F">
            <w:pPr>
              <w:bidi/>
              <w:rPr>
                <w:rFonts w:ascii="Arabic Typesetting" w:hAnsi="Arabic Typesetting" w:cs="Arabic Typesetting"/>
                <w:sz w:val="28"/>
                <w:szCs w:val="28"/>
              </w:rPr>
            </w:pPr>
            <w:r>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23F60" w:rsidRPr="00211D55" w:rsidRDefault="00E23F60" w:rsidP="00086C3F">
            <w:pPr>
              <w:rPr>
                <w:rFonts w:ascii="Arabic Typesetting" w:hAnsi="Arabic Typesetting" w:cs="Arabic Typesetting"/>
                <w:sz w:val="28"/>
                <w:szCs w:val="28"/>
              </w:rPr>
            </w:pPr>
            <w:r w:rsidRPr="00211D55">
              <w:rPr>
                <w:rFonts w:ascii="Arabic Typesetting" w:hAnsi="Arabic Typesetting" w:cs="Arabic Typesetting"/>
                <w:sz w:val="28"/>
                <w:szCs w:val="28"/>
              </w:rPr>
              <w:t>1,882</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23F60" w:rsidRPr="00211D55" w:rsidRDefault="00E23F60" w:rsidP="00086C3F">
            <w:pPr>
              <w:rPr>
                <w:rFonts w:ascii="Arabic Typesetting" w:hAnsi="Arabic Typesetting" w:cs="Arabic Typesetting"/>
                <w:sz w:val="28"/>
                <w:szCs w:val="28"/>
              </w:rPr>
            </w:pPr>
            <w:r w:rsidRPr="00211D55">
              <w:rPr>
                <w:rFonts w:ascii="Arabic Typesetting" w:hAnsi="Arabic Typesetting" w:cs="Arabic Typesetting"/>
                <w:sz w:val="28"/>
                <w:szCs w:val="28"/>
              </w:rPr>
              <w:t>3,768</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23F60" w:rsidRPr="00211D55" w:rsidRDefault="00E23F60" w:rsidP="00086C3F">
            <w:pPr>
              <w:rPr>
                <w:rFonts w:ascii="Arabic Typesetting" w:hAnsi="Arabic Typesetting" w:cs="Arabic Typesetting"/>
                <w:sz w:val="28"/>
                <w:szCs w:val="28"/>
              </w:rPr>
            </w:pPr>
            <w:r w:rsidRPr="00211D55">
              <w:rPr>
                <w:rFonts w:ascii="Arabic Typesetting" w:hAnsi="Arabic Typesetting" w:cs="Arabic Typesetting"/>
                <w:sz w:val="28"/>
                <w:szCs w:val="28"/>
              </w:rPr>
              <w:t>3,874</w:t>
            </w:r>
          </w:p>
        </w:tc>
      </w:tr>
      <w:tr w:rsidR="00E23F60" w:rsidRPr="00211D55" w:rsidTr="00E23F60">
        <w:trPr>
          <w:cantSplit/>
          <w:trHeight w:val="41"/>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23F60" w:rsidRPr="00211D55" w:rsidRDefault="00E23F60"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ھ3.4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23F60" w:rsidRPr="00211D55" w:rsidRDefault="009947B0" w:rsidP="00086C3F">
            <w:pPr>
              <w:bidi/>
              <w:rPr>
                <w:rFonts w:ascii="Arabic Typesetting" w:hAnsi="Arabic Typesetting" w:cs="Arabic Typesetting"/>
                <w:sz w:val="28"/>
                <w:szCs w:val="28"/>
              </w:rPr>
            </w:pPr>
            <w:r>
              <w:rPr>
                <w:rFonts w:ascii="Arabic Typesetting" w:hAnsi="Arabic Typesetting" w:cs="Arabic Typesetting"/>
                <w:sz w:val="28"/>
                <w:szCs w:val="28"/>
                <w:rtl/>
              </w:rPr>
              <w:t>تغطية جغرافية واسعة لمحتوى قواعد بيانات الويبو العالمية بشأن الملكية الفكرية واستخدامها</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23F60" w:rsidRPr="00211D55" w:rsidRDefault="00E23F60" w:rsidP="00086C3F">
            <w:pPr>
              <w:rPr>
                <w:rFonts w:ascii="Arabic Typesetting" w:hAnsi="Arabic Typesetting" w:cs="Arabic Typesetting"/>
                <w:sz w:val="28"/>
                <w:szCs w:val="28"/>
              </w:rPr>
            </w:pPr>
            <w:r w:rsidRPr="00211D55">
              <w:rPr>
                <w:rFonts w:ascii="Arabic Typesetting" w:hAnsi="Arabic Typesetting" w:cs="Arabic Typesetting"/>
                <w:sz w:val="28"/>
                <w:szCs w:val="28"/>
              </w:rPr>
              <w:t>2,810</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23F60" w:rsidRPr="00211D55" w:rsidRDefault="00E23F60" w:rsidP="00086C3F">
            <w:pPr>
              <w:rPr>
                <w:rFonts w:ascii="Arabic Typesetting" w:hAnsi="Arabic Typesetting" w:cs="Arabic Typesetting"/>
                <w:sz w:val="28"/>
                <w:szCs w:val="28"/>
              </w:rPr>
            </w:pPr>
            <w:r w:rsidRPr="00211D55">
              <w:rPr>
                <w:rFonts w:ascii="Arabic Typesetting" w:hAnsi="Arabic Typesetting" w:cs="Arabic Typesetting"/>
                <w:sz w:val="28"/>
                <w:szCs w:val="28"/>
              </w:rPr>
              <w:t>1,296</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23F60" w:rsidRPr="00211D55" w:rsidRDefault="00E23F60" w:rsidP="00086C3F">
            <w:pPr>
              <w:rPr>
                <w:rFonts w:ascii="Arabic Typesetting" w:hAnsi="Arabic Typesetting" w:cs="Arabic Typesetting"/>
                <w:sz w:val="28"/>
                <w:szCs w:val="28"/>
              </w:rPr>
            </w:pPr>
            <w:r w:rsidRPr="00211D55">
              <w:rPr>
                <w:rFonts w:ascii="Arabic Typesetting" w:hAnsi="Arabic Typesetting" w:cs="Arabic Typesetting"/>
                <w:sz w:val="28"/>
                <w:szCs w:val="28"/>
              </w:rPr>
              <w:t>1,080</w:t>
            </w:r>
          </w:p>
        </w:tc>
      </w:tr>
      <w:tr w:rsidR="00E23F60" w:rsidRPr="00211D55" w:rsidTr="00E81987">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E23F60" w:rsidRPr="00211D55" w:rsidRDefault="00E23F60"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E23F60" w:rsidRPr="00211D55" w:rsidRDefault="00E23F60"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23F60" w:rsidRPr="00211D55" w:rsidRDefault="00E23F60"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4,692</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23F60" w:rsidRPr="00211D55" w:rsidRDefault="00E23F60"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5,065</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23F60" w:rsidRPr="00211D55" w:rsidRDefault="00E23F60"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4,954</w:t>
            </w:r>
          </w:p>
        </w:tc>
      </w:tr>
    </w:tbl>
    <w:p w:rsidR="00B31868" w:rsidRPr="00252762" w:rsidRDefault="00B31868" w:rsidP="00086C3F">
      <w:pPr>
        <w:keepNext/>
        <w:bidi/>
        <w:spacing w:before="240"/>
        <w:jc w:val="center"/>
        <w:rPr>
          <w:rFonts w:ascii="Arabic Typesetting" w:hAnsi="Arabic Typesetting" w:cs="Arabic Typesetting"/>
          <w:i/>
          <w:iCs/>
          <w:sz w:val="34"/>
          <w:szCs w:val="34"/>
          <w:rtl/>
          <w:lang w:bidi="ar-EG"/>
        </w:rPr>
      </w:pPr>
      <w:r w:rsidRPr="00252762">
        <w:rPr>
          <w:rFonts w:ascii="Arabic Typesetting" w:hAnsi="Arabic Typesetting" w:cs="Arabic Typesetting"/>
          <w:i/>
          <w:iCs/>
          <w:sz w:val="34"/>
          <w:szCs w:val="34"/>
          <w:rtl/>
          <w:lang w:bidi="ar-EG"/>
        </w:rPr>
        <w:t>الميزانية والنفقات الفعلية (موارد الموظفين وخلاف الموظفين)</w:t>
      </w:r>
    </w:p>
    <w:p w:rsidR="00E23F60" w:rsidRPr="00B31868" w:rsidRDefault="00B31868" w:rsidP="00086C3F">
      <w:pPr>
        <w:keepNext/>
        <w:bidi/>
        <w:spacing w:after="120" w:line="340" w:lineRule="exact"/>
        <w:jc w:val="center"/>
        <w:rPr>
          <w:rFonts w:ascii="Arabic Typesetting" w:hAnsi="Arabic Typesetting" w:cs="Arabic Typesetting"/>
          <w:sz w:val="34"/>
          <w:szCs w:val="34"/>
          <w:rtl/>
          <w:lang w:bidi="ar-EG"/>
        </w:rPr>
      </w:pPr>
      <w:r w:rsidRPr="00B31868">
        <w:rPr>
          <w:rFonts w:ascii="Arabic Typesetting" w:hAnsi="Arabic Typesetting" w:cs="Arabic Typesetting"/>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E23F60" w:rsidRPr="00211D55" w:rsidTr="00E23F60">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E23F60" w:rsidRPr="00211D55" w:rsidRDefault="00E23F60"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23F60" w:rsidRPr="00211D55" w:rsidRDefault="00E23F60"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23F60" w:rsidRPr="00211D55" w:rsidRDefault="00E23F60"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23F60" w:rsidRPr="00211D55" w:rsidRDefault="00E23F60"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23F60"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E23F60" w:rsidRPr="00211D55">
              <w:rPr>
                <w:rFonts w:ascii="Arabic Typesetting" w:hAnsi="Arabic Typesetting" w:cs="Arabic Typesetting"/>
                <w:b/>
                <w:bCs/>
                <w:i/>
                <w:iCs/>
                <w:sz w:val="28"/>
                <w:szCs w:val="28"/>
                <w:rtl/>
              </w:rPr>
              <w:t xml:space="preserve"> (%)</w:t>
            </w:r>
          </w:p>
        </w:tc>
      </w:tr>
      <w:tr w:rsidR="00E23F60" w:rsidRPr="00211D55" w:rsidTr="00E23F60">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E23F60" w:rsidRPr="00211D55" w:rsidRDefault="00E23F60"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3,447</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3,602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3,529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98%</w:t>
            </w:r>
          </w:p>
        </w:tc>
      </w:tr>
      <w:tr w:rsidR="00E23F60" w:rsidRPr="00211D55" w:rsidTr="00E23F60">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E23F60" w:rsidRPr="00211D55" w:rsidRDefault="00E23F60"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1,245</w:t>
            </w:r>
          </w:p>
        </w:tc>
        <w:tc>
          <w:tcPr>
            <w:tcW w:w="970" w:type="pct"/>
            <w:tcBorders>
              <w:top w:val="nil"/>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1,463</w:t>
            </w:r>
          </w:p>
        </w:tc>
        <w:tc>
          <w:tcPr>
            <w:tcW w:w="970" w:type="pct"/>
            <w:tcBorders>
              <w:top w:val="nil"/>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1,425</w:t>
            </w:r>
          </w:p>
        </w:tc>
        <w:tc>
          <w:tcPr>
            <w:tcW w:w="970" w:type="pct"/>
            <w:tcBorders>
              <w:top w:val="nil"/>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97%</w:t>
            </w:r>
          </w:p>
        </w:tc>
      </w:tr>
      <w:tr w:rsidR="00E23F60" w:rsidRPr="00211D55" w:rsidTr="00E23F60">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E23F60" w:rsidRPr="00211D55" w:rsidRDefault="00E23F60"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4,692</w:t>
            </w:r>
          </w:p>
        </w:tc>
        <w:tc>
          <w:tcPr>
            <w:tcW w:w="970" w:type="pct"/>
            <w:tcBorders>
              <w:top w:val="nil"/>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5,065</w:t>
            </w:r>
          </w:p>
        </w:tc>
        <w:tc>
          <w:tcPr>
            <w:tcW w:w="970" w:type="pct"/>
            <w:tcBorders>
              <w:top w:val="nil"/>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4,954</w:t>
            </w:r>
          </w:p>
        </w:tc>
        <w:tc>
          <w:tcPr>
            <w:tcW w:w="970" w:type="pct"/>
            <w:tcBorders>
              <w:top w:val="nil"/>
              <w:left w:val="single" w:sz="4" w:space="0" w:color="auto"/>
              <w:bottom w:val="single" w:sz="4" w:space="0" w:color="auto"/>
              <w:right w:val="single" w:sz="4" w:space="0" w:color="auto"/>
            </w:tcBorders>
            <w:shd w:val="clear" w:color="auto" w:fill="auto"/>
            <w:vAlign w:val="center"/>
          </w:tcPr>
          <w:p w:rsidR="00E23F60" w:rsidRPr="00211D55" w:rsidRDefault="00E23F60"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98%</w:t>
            </w:r>
          </w:p>
        </w:tc>
      </w:tr>
    </w:tbl>
    <w:p w:rsidR="00E23F60" w:rsidRPr="00706F20" w:rsidRDefault="00E23F60" w:rsidP="007A7336">
      <w:pPr>
        <w:keepNext/>
        <w:bidi/>
        <w:spacing w:before="120" w:after="120" w:line="340" w:lineRule="exact"/>
        <w:rPr>
          <w:rFonts w:ascii="Arabic Typesetting" w:hAnsi="Arabic Typesetting" w:cs="Arabic Typesetting"/>
          <w:sz w:val="34"/>
          <w:szCs w:val="34"/>
          <w:lang w:bidi="ar-EG"/>
        </w:rPr>
      </w:pPr>
      <w:r w:rsidRPr="00706F20">
        <w:rPr>
          <w:rFonts w:ascii="Arabic Typesetting" w:hAnsi="Arabic Typesetting" w:cs="Arabic Typesetting" w:hint="cs"/>
          <w:sz w:val="34"/>
          <w:szCs w:val="34"/>
          <w:rtl/>
          <w:lang w:bidi="ar-EG"/>
        </w:rPr>
        <w:lastRenderedPageBreak/>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B31868" w:rsidRPr="00B31868" w:rsidRDefault="00E23F60" w:rsidP="009A3712">
      <w:pPr>
        <w:keepNext/>
        <w:numPr>
          <w:ilvl w:val="0"/>
          <w:numId w:val="32"/>
        </w:numPr>
        <w:autoSpaceDE w:val="0"/>
        <w:autoSpaceDN w:val="0"/>
        <w:bidi/>
        <w:adjustRightInd w:val="0"/>
        <w:spacing w:after="120" w:line="340" w:lineRule="exact"/>
        <w:ind w:left="0" w:firstLine="0"/>
        <w:jc w:val="both"/>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t>تعزى</w:t>
      </w:r>
      <w:r w:rsidR="00B31868" w:rsidRPr="00B31868">
        <w:rPr>
          <w:rFonts w:ascii="Arabic Typesetting" w:hAnsi="Arabic Typesetting" w:cs="Arabic Typesetting" w:hint="cs"/>
          <w:sz w:val="34"/>
          <w:szCs w:val="34"/>
          <w:rtl/>
          <w:lang w:bidi="ar-EG"/>
        </w:rPr>
        <w:t xml:space="preserve"> الزيادة في </w:t>
      </w:r>
      <w:r w:rsidRPr="00E23F60">
        <w:rPr>
          <w:rFonts w:ascii="Arabic Typesetting" w:hAnsi="Arabic Typesetting" w:cs="Arabic Typesetting"/>
          <w:sz w:val="34"/>
          <w:szCs w:val="34"/>
          <w:rtl/>
          <w:lang w:bidi="ar-EG"/>
        </w:rPr>
        <w:t xml:space="preserve">الميزانية النهائية بعد التحويلات </w:t>
      </w:r>
      <w:r w:rsidR="00507DE2">
        <w:rPr>
          <w:rFonts w:ascii="Arabic Typesetting" w:hAnsi="Arabic Typesetting" w:cs="Arabic Typesetting"/>
          <w:sz w:val="34"/>
          <w:szCs w:val="34"/>
          <w:rtl/>
          <w:lang w:bidi="ar-EG"/>
        </w:rPr>
        <w:t>2014/15</w:t>
      </w:r>
      <w:r>
        <w:rPr>
          <w:rFonts w:ascii="Arabic Typesetting" w:hAnsi="Arabic Typesetting" w:cs="Arabic Typesetting" w:hint="cs"/>
          <w:sz w:val="34"/>
          <w:szCs w:val="34"/>
          <w:rtl/>
          <w:lang w:bidi="ar-EG"/>
        </w:rPr>
        <w:t xml:space="preserve"> (موارد الموظفين) إلى </w:t>
      </w:r>
      <w:r w:rsidR="00B31868" w:rsidRPr="00B31868">
        <w:rPr>
          <w:rFonts w:ascii="Arabic Typesetting" w:hAnsi="Arabic Typesetting" w:cs="Arabic Typesetting" w:hint="cs"/>
          <w:sz w:val="34"/>
          <w:szCs w:val="34"/>
          <w:rtl/>
          <w:lang w:bidi="ar-EG"/>
        </w:rPr>
        <w:t xml:space="preserve">إعادة تصنيف وظيفة وإعادة توزيع موارد إضافية للموظفين في البرنامج لتعزيز قواعد البيانات العالمية. ويتبين ذلك </w:t>
      </w:r>
      <w:r>
        <w:rPr>
          <w:rFonts w:ascii="Arabic Typesetting" w:hAnsi="Arabic Typesetting" w:cs="Arabic Typesetting" w:hint="cs"/>
          <w:sz w:val="34"/>
          <w:szCs w:val="34"/>
          <w:rtl/>
          <w:lang w:bidi="ar-EG"/>
        </w:rPr>
        <w:t xml:space="preserve">أيضاً </w:t>
      </w:r>
      <w:r w:rsidR="00B31868" w:rsidRPr="00B31868">
        <w:rPr>
          <w:rFonts w:ascii="Arabic Typesetting" w:hAnsi="Arabic Typesetting" w:cs="Arabic Typesetting" w:hint="cs"/>
          <w:sz w:val="34"/>
          <w:szCs w:val="34"/>
          <w:rtl/>
          <w:lang w:bidi="ar-EG"/>
        </w:rPr>
        <w:t>في الزيادة المسجلة في النتيجة المرتقبة ه2.4</w:t>
      </w:r>
      <w:r>
        <w:rPr>
          <w:rFonts w:ascii="Arabic Typesetting" w:hAnsi="Arabic Typesetting" w:cs="Arabic Typesetting" w:hint="cs"/>
          <w:sz w:val="34"/>
          <w:szCs w:val="34"/>
          <w:rtl/>
          <w:lang w:bidi="ar-EG"/>
        </w:rPr>
        <w:t xml:space="preserve"> (</w:t>
      </w:r>
      <w:r w:rsidR="003E55BA" w:rsidRPr="003E55BA">
        <w:rPr>
          <w:rFonts w:ascii="Arabic Typesetting" w:hAnsi="Arabic Typesetting" w:cs="Arabic Typesetting"/>
          <w:sz w:val="34"/>
          <w:szCs w:val="34"/>
          <w:rtl/>
          <w:lang w:bidi="ar-EG"/>
        </w:rPr>
        <w:t>تحسين النفاذ إلى المعلومات المتعلقة بالملكية الفكرية واستخدامها</w:t>
      </w:r>
      <w:r>
        <w:rPr>
          <w:rFonts w:ascii="Arabic Typesetting" w:hAnsi="Arabic Typesetting" w:cs="Arabic Typesetting" w:hint="cs"/>
          <w:sz w:val="34"/>
          <w:szCs w:val="34"/>
          <w:rtl/>
          <w:lang w:bidi="ar-EG"/>
        </w:rPr>
        <w:t>)</w:t>
      </w:r>
      <w:r w:rsidR="00B31868" w:rsidRPr="00B31868">
        <w:rPr>
          <w:rFonts w:ascii="Arabic Typesetting" w:hAnsi="Arabic Typesetting" w:cs="Arabic Typesetting" w:hint="cs"/>
          <w:sz w:val="34"/>
          <w:szCs w:val="34"/>
          <w:rtl/>
          <w:lang w:bidi="ar-EG"/>
        </w:rPr>
        <w:t>. و</w:t>
      </w:r>
      <w:r>
        <w:rPr>
          <w:rFonts w:ascii="Arabic Typesetting" w:hAnsi="Arabic Typesetting" w:cs="Arabic Typesetting" w:hint="cs"/>
          <w:sz w:val="34"/>
          <w:szCs w:val="34"/>
          <w:rtl/>
          <w:lang w:bidi="ar-EG"/>
        </w:rPr>
        <w:t xml:space="preserve">فضلاً عن ذلك، </w:t>
      </w:r>
      <w:r w:rsidR="00B31868" w:rsidRPr="00B31868">
        <w:rPr>
          <w:rFonts w:ascii="Arabic Typesetting" w:hAnsi="Arabic Typesetting" w:cs="Arabic Typesetting" w:hint="cs"/>
          <w:sz w:val="34"/>
          <w:szCs w:val="34"/>
          <w:rtl/>
          <w:lang w:bidi="ar-EG"/>
        </w:rPr>
        <w:t xml:space="preserve">تعزى الزيادة في موارد النتيجة المرتقبة </w:t>
      </w:r>
      <w:r>
        <w:rPr>
          <w:rFonts w:ascii="Arabic Typesetting" w:hAnsi="Arabic Typesetting" w:cs="Arabic Typesetting" w:hint="cs"/>
          <w:sz w:val="34"/>
          <w:szCs w:val="34"/>
          <w:rtl/>
          <w:lang w:bidi="ar-EG"/>
        </w:rPr>
        <w:t>المذكورة</w:t>
      </w:r>
      <w:r w:rsidR="00B31868" w:rsidRPr="00B31868">
        <w:rPr>
          <w:rFonts w:ascii="Arabic Typesetting" w:hAnsi="Arabic Typesetting" w:cs="Arabic Typesetting" w:hint="cs"/>
          <w:sz w:val="34"/>
          <w:szCs w:val="34"/>
          <w:rtl/>
          <w:lang w:bidi="ar-EG"/>
        </w:rPr>
        <w:t xml:space="preserve"> إلى إعادة توزيع موارد الموظفين في البرنامج لتطوير محركات البحث في قواعد البيانات.</w:t>
      </w:r>
    </w:p>
    <w:p w:rsidR="00B31868" w:rsidRPr="00B31868" w:rsidRDefault="00D836E1" w:rsidP="009A3712">
      <w:pPr>
        <w:keepNext/>
        <w:numPr>
          <w:ilvl w:val="0"/>
          <w:numId w:val="32"/>
        </w:numPr>
        <w:autoSpaceDE w:val="0"/>
        <w:autoSpaceDN w:val="0"/>
        <w:bidi/>
        <w:adjustRightInd w:val="0"/>
        <w:spacing w:after="120" w:line="340" w:lineRule="exact"/>
        <w:ind w:left="0" w:firstLine="0"/>
        <w:jc w:val="both"/>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t>ويعزى أساساً</w:t>
      </w:r>
      <w:r w:rsidR="00B31868" w:rsidRPr="00B31868">
        <w:rPr>
          <w:rFonts w:ascii="Arabic Typesetting" w:hAnsi="Arabic Typesetting" w:cs="Arabic Typesetting" w:hint="cs"/>
          <w:sz w:val="34"/>
          <w:szCs w:val="34"/>
          <w:rtl/>
          <w:lang w:bidi="ar-EG"/>
        </w:rPr>
        <w:t xml:space="preserve"> الانخفاض الطفيف في</w:t>
      </w:r>
      <w:r w:rsidR="0023721A">
        <w:rPr>
          <w:rFonts w:ascii="Arabic Typesetting" w:hAnsi="Arabic Typesetting" w:cs="Arabic Typesetting" w:hint="cs"/>
          <w:sz w:val="34"/>
          <w:szCs w:val="34"/>
          <w:rtl/>
          <w:lang w:bidi="ar-EG"/>
        </w:rPr>
        <w:t xml:space="preserve"> مخصصات</w:t>
      </w:r>
      <w:r w:rsidR="00B31868" w:rsidRPr="00B31868">
        <w:rPr>
          <w:rFonts w:ascii="Arabic Typesetting" w:hAnsi="Arabic Typesetting" w:cs="Arabic Typesetting" w:hint="cs"/>
          <w:sz w:val="34"/>
          <w:szCs w:val="34"/>
          <w:rtl/>
          <w:lang w:bidi="ar-EG"/>
        </w:rPr>
        <w:t xml:space="preserve"> </w:t>
      </w:r>
      <w:r w:rsidR="009F5F08">
        <w:rPr>
          <w:rFonts w:ascii="Arabic Typesetting" w:hAnsi="Arabic Typesetting" w:cs="Arabic Typesetting" w:hint="cs"/>
          <w:sz w:val="34"/>
          <w:szCs w:val="34"/>
          <w:rtl/>
          <w:lang w:bidi="ar-EG"/>
        </w:rPr>
        <w:t>خلاف موارد الموظفين</w:t>
      </w:r>
      <w:r w:rsidR="00E23F60">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إلى</w:t>
      </w:r>
      <w:r w:rsidR="00E23F60">
        <w:rPr>
          <w:rFonts w:ascii="Arabic Typesetting" w:hAnsi="Arabic Typesetting" w:cs="Arabic Typesetting" w:hint="cs"/>
          <w:sz w:val="34"/>
          <w:szCs w:val="34"/>
          <w:rtl/>
          <w:lang w:bidi="ar-EG"/>
        </w:rPr>
        <w:t xml:space="preserve"> التكاليف الإضافية المتكبدة للاستعانة بمصادر خارجية </w:t>
      </w:r>
      <w:r>
        <w:rPr>
          <w:rFonts w:ascii="Arabic Typesetting" w:hAnsi="Arabic Typesetting" w:cs="Arabic Typesetting" w:hint="cs"/>
          <w:sz w:val="34"/>
          <w:szCs w:val="34"/>
          <w:rtl/>
          <w:lang w:bidi="ar-EG"/>
        </w:rPr>
        <w:t>لرفع</w:t>
      </w:r>
      <w:r w:rsidR="00E23F60">
        <w:rPr>
          <w:rFonts w:ascii="Arabic Typesetting" w:hAnsi="Arabic Typesetting" w:cs="Arabic Typesetting" w:hint="cs"/>
          <w:sz w:val="34"/>
          <w:szCs w:val="34"/>
          <w:rtl/>
          <w:lang w:bidi="ar-EG"/>
        </w:rPr>
        <w:t xml:space="preserve"> المجموعات الوطنية لدى مزود خدمات خارجي وارتفاع تكاليف استضافة </w:t>
      </w:r>
      <w:proofErr w:type="spellStart"/>
      <w:r w:rsidR="00E23F60">
        <w:rPr>
          <w:rFonts w:ascii="Arabic Typesetting" w:hAnsi="Arabic Typesetting" w:cs="Arabic Typesetting" w:hint="cs"/>
          <w:sz w:val="34"/>
          <w:szCs w:val="34"/>
          <w:rtl/>
          <w:lang w:bidi="ar-EG"/>
        </w:rPr>
        <w:t>الخادوم</w:t>
      </w:r>
      <w:proofErr w:type="spellEnd"/>
      <w:r w:rsidR="00E23F60">
        <w:rPr>
          <w:rFonts w:ascii="Arabic Typesetting" w:hAnsi="Arabic Typesetting" w:cs="Arabic Typesetting" w:hint="cs"/>
          <w:sz w:val="34"/>
          <w:szCs w:val="34"/>
          <w:rtl/>
          <w:lang w:bidi="ar-EG"/>
        </w:rPr>
        <w:t>.</w:t>
      </w:r>
    </w:p>
    <w:p w:rsidR="00B31868" w:rsidRPr="00B31868" w:rsidRDefault="00B31868" w:rsidP="00FE0236">
      <w:pPr>
        <w:keepNext/>
        <w:bidi/>
        <w:spacing w:after="120" w:line="340" w:lineRule="exact"/>
        <w:rPr>
          <w:rFonts w:ascii="Arabic Typesetting" w:hAnsi="Arabic Typesetting" w:cs="Arabic Typesetting"/>
          <w:sz w:val="38"/>
          <w:szCs w:val="38"/>
          <w:u w:val="single"/>
          <w:rtl/>
          <w:lang w:bidi="ar-EG"/>
        </w:rPr>
      </w:pPr>
      <w:r w:rsidRPr="00B31868">
        <w:rPr>
          <w:rFonts w:ascii="Arabic Typesetting" w:hAnsi="Arabic Typesetting" w:cs="Arabic Typesetting"/>
          <w:sz w:val="34"/>
          <w:szCs w:val="34"/>
          <w:rtl/>
          <w:lang w:bidi="ar-EG"/>
        </w:rPr>
        <w:t>باء.</w:t>
      </w:r>
      <w:r w:rsidRPr="00B31868">
        <w:rPr>
          <w:rFonts w:ascii="Arabic Typesetting" w:hAnsi="Arabic Typesetting" w:cs="Arabic Typesetting"/>
          <w:sz w:val="38"/>
          <w:szCs w:val="38"/>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B264F9" w:rsidRDefault="00E23F60" w:rsidP="009A3712">
      <w:pPr>
        <w:numPr>
          <w:ilvl w:val="0"/>
          <w:numId w:val="32"/>
        </w:numPr>
        <w:autoSpaceDE w:val="0"/>
        <w:autoSpaceDN w:val="0"/>
        <w:bidi/>
        <w:adjustRightInd w:val="0"/>
        <w:spacing w:after="120" w:line="360" w:lineRule="exact"/>
        <w:ind w:left="0" w:firstLine="0"/>
        <w:jc w:val="both"/>
        <w:rPr>
          <w:rFonts w:ascii="Arabic Typesetting" w:hAnsi="Arabic Typesetting" w:cs="Arabic Typesetting"/>
          <w:sz w:val="34"/>
          <w:szCs w:val="34"/>
          <w:rtl/>
        </w:rPr>
      </w:pPr>
      <w:r w:rsidRPr="00E23F60">
        <w:rPr>
          <w:rFonts w:ascii="Arabic Typesetting" w:hAnsi="Arabic Typesetting" w:cs="Arabic Typesetting" w:hint="cs"/>
          <w:sz w:val="34"/>
          <w:szCs w:val="34"/>
          <w:rtl/>
          <w:lang w:val="fr-CH"/>
        </w:rPr>
        <w:t xml:space="preserve">لم يتجاوز </w:t>
      </w:r>
      <w:r w:rsidR="009B25F8">
        <w:rPr>
          <w:rFonts w:ascii="Arabic Typesetting" w:hAnsi="Arabic Typesetting" w:cs="Arabic Typesetting" w:hint="cs"/>
          <w:sz w:val="34"/>
          <w:szCs w:val="34"/>
          <w:rtl/>
          <w:lang w:val="fr-CH"/>
        </w:rPr>
        <w:t>استخدام</w:t>
      </w:r>
      <w:r w:rsidR="009B25F8" w:rsidRPr="00E23F60">
        <w:rPr>
          <w:rFonts w:ascii="Arabic Typesetting" w:hAnsi="Arabic Typesetting" w:cs="Arabic Typesetting" w:hint="cs"/>
          <w:sz w:val="34"/>
          <w:szCs w:val="34"/>
          <w:rtl/>
          <w:lang w:val="fr-CH"/>
        </w:rPr>
        <w:t xml:space="preserve"> </w:t>
      </w:r>
      <w:r w:rsidRPr="00E23F60">
        <w:rPr>
          <w:rFonts w:ascii="Arabic Typesetting" w:hAnsi="Arabic Typesetting" w:cs="Arabic Typesetting" w:hint="cs"/>
          <w:sz w:val="34"/>
          <w:szCs w:val="34"/>
          <w:rtl/>
          <w:lang w:val="fr-CH"/>
        </w:rPr>
        <w:t>الميزانية النسبة المتوقعة للثنائية.</w:t>
      </w:r>
    </w:p>
    <w:p w:rsidR="00B31868" w:rsidRPr="00F3697D" w:rsidRDefault="00B31868" w:rsidP="00086C3F">
      <w:pPr>
        <w:pStyle w:val="Heading3AR"/>
        <w:rPr>
          <w:rtl/>
        </w:rPr>
      </w:pPr>
      <w:bookmarkStart w:id="84" w:name="_Toc393817940"/>
      <w:bookmarkStart w:id="85" w:name="_Toc450635416"/>
      <w:bookmarkStart w:id="86" w:name="_Toc455393385"/>
      <w:r w:rsidRPr="00F3697D">
        <w:rPr>
          <w:rtl/>
        </w:rPr>
        <w:lastRenderedPageBreak/>
        <w:t>البرنامج</w:t>
      </w:r>
      <w:r w:rsidRPr="00F3697D">
        <w:t xml:space="preserve"> </w:t>
      </w:r>
      <w:r w:rsidRPr="00F3697D">
        <w:rPr>
          <w:rtl/>
        </w:rPr>
        <w:t>14:</w:t>
      </w:r>
      <w:r w:rsidRPr="00F3697D">
        <w:rPr>
          <w:rtl/>
        </w:rPr>
        <w:tab/>
        <w:t>خدمات النفاذ إلى المعلومات والمعارف</w:t>
      </w:r>
      <w:bookmarkEnd w:id="84"/>
      <w:bookmarkEnd w:id="85"/>
      <w:bookmarkEnd w:id="86"/>
    </w:p>
    <w:p w:rsidR="00B31868" w:rsidRDefault="00B31868" w:rsidP="00086C3F">
      <w:pPr>
        <w:keepNext/>
        <w:bidi/>
        <w:spacing w:after="120" w:line="340" w:lineRule="exact"/>
        <w:ind w:left="1984" w:hanging="1984"/>
        <w:rPr>
          <w:rFonts w:ascii="Arabic Typesetting" w:hAnsi="Arabic Typesetting" w:cs="Arabic Typesetting"/>
          <w:b/>
          <w:bCs/>
          <w:sz w:val="36"/>
          <w:szCs w:val="36"/>
          <w:rtl/>
          <w:lang w:val="fr-CH"/>
        </w:rPr>
      </w:pPr>
      <w:r w:rsidRPr="00B31868">
        <w:rPr>
          <w:rFonts w:ascii="Arabic Typesetting" w:hAnsi="Arabic Typesetting" w:cs="Arabic Typesetting"/>
          <w:b/>
          <w:bCs/>
          <w:sz w:val="36"/>
          <w:szCs w:val="36"/>
          <w:rtl/>
          <w:lang w:val="fr-CH"/>
        </w:rPr>
        <w:t>المسؤول عن البرنامج:</w:t>
      </w:r>
      <w:r w:rsidRPr="00B31868">
        <w:rPr>
          <w:rFonts w:ascii="Arabic Typesetting" w:hAnsi="Arabic Typesetting" w:cs="Arabic Typesetting"/>
          <w:b/>
          <w:bCs/>
          <w:sz w:val="36"/>
          <w:szCs w:val="36"/>
          <w:rtl/>
          <w:lang w:val="fr-CH"/>
        </w:rPr>
        <w:tab/>
        <w:t xml:space="preserve">السيد </w:t>
      </w:r>
      <w:proofErr w:type="spellStart"/>
      <w:r w:rsidRPr="00B31868">
        <w:rPr>
          <w:rFonts w:ascii="Arabic Typesetting" w:hAnsi="Arabic Typesetting" w:cs="Arabic Typesetting"/>
          <w:b/>
          <w:bCs/>
          <w:sz w:val="36"/>
          <w:szCs w:val="36"/>
          <w:rtl/>
          <w:lang w:val="fr-CH"/>
        </w:rPr>
        <w:t>يوشيوكي</w:t>
      </w:r>
      <w:proofErr w:type="spellEnd"/>
      <w:r w:rsidRPr="00B31868">
        <w:rPr>
          <w:rFonts w:ascii="Arabic Typesetting" w:hAnsi="Arabic Typesetting" w:cs="Arabic Typesetting"/>
          <w:b/>
          <w:bCs/>
          <w:sz w:val="36"/>
          <w:szCs w:val="36"/>
          <w:rtl/>
          <w:lang w:val="fr-CH"/>
        </w:rPr>
        <w:t xml:space="preserve"> </w:t>
      </w:r>
      <w:proofErr w:type="spellStart"/>
      <w:r w:rsidRPr="00B31868">
        <w:rPr>
          <w:rFonts w:ascii="Arabic Typesetting" w:hAnsi="Arabic Typesetting" w:cs="Arabic Typesetting"/>
          <w:b/>
          <w:bCs/>
          <w:sz w:val="36"/>
          <w:szCs w:val="36"/>
          <w:rtl/>
          <w:lang w:val="fr-CH"/>
        </w:rPr>
        <w:t>تاكاغي</w:t>
      </w:r>
      <w:proofErr w:type="spellEnd"/>
    </w:p>
    <w:p w:rsidR="00086C3F" w:rsidRDefault="00086C3F" w:rsidP="00086C3F">
      <w:pPr>
        <w:keepNext/>
        <w:bidi/>
        <w:spacing w:before="120" w:after="12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الإنجازات المحققة خلال</w:t>
      </w:r>
      <w:r w:rsidRPr="00FE3908">
        <w:rPr>
          <w:rFonts w:ascii="Arabic Typesetting" w:hAnsi="Arabic Typesetting" w:cs="Arabic Typesetting" w:hint="cs"/>
          <w:sz w:val="36"/>
          <w:szCs w:val="36"/>
          <w:rtl/>
          <w:lang w:val="fr-CH"/>
        </w:rPr>
        <w:t xml:space="preserve"> </w:t>
      </w:r>
      <w:r>
        <w:rPr>
          <w:rFonts w:ascii="Arabic Typesetting" w:hAnsi="Arabic Typesetting" w:cs="Arabic Typesetting" w:hint="cs"/>
          <w:sz w:val="36"/>
          <w:szCs w:val="36"/>
          <w:rtl/>
          <w:lang w:val="fr-CH"/>
        </w:rPr>
        <w:t xml:space="preserve">الثنائية </w:t>
      </w:r>
      <w:r w:rsidR="00507DE2">
        <w:rPr>
          <w:rFonts w:ascii="Arabic Typesetting" w:hAnsi="Arabic Typesetting" w:cs="Arabic Typesetting" w:hint="cs"/>
          <w:sz w:val="36"/>
          <w:szCs w:val="36"/>
          <w:rtl/>
          <w:lang w:val="fr-CH"/>
        </w:rPr>
        <w:t>2014/15</w:t>
      </w:r>
    </w:p>
    <w:p w:rsidR="00E16D63" w:rsidRDefault="0003417D" w:rsidP="009A3712">
      <w:pPr>
        <w:numPr>
          <w:ilvl w:val="0"/>
          <w:numId w:val="41"/>
        </w:numPr>
        <w:bidi/>
        <w:spacing w:after="120" w:line="340" w:lineRule="exact"/>
        <w:ind w:left="-1" w:firstLine="0"/>
        <w:rPr>
          <w:rFonts w:ascii="Arabic Typesetting" w:hAnsi="Arabic Typesetting" w:cs="Arabic Typesetting"/>
          <w:sz w:val="34"/>
          <w:szCs w:val="34"/>
          <w:lang w:bidi="ar-EG"/>
        </w:rPr>
      </w:pPr>
      <w:r>
        <w:rPr>
          <w:rFonts w:ascii="Arabic Typesetting" w:hAnsi="Arabic Typesetting" w:cs="Arabic Typesetting" w:hint="cs"/>
          <w:sz w:val="34"/>
          <w:szCs w:val="34"/>
          <w:rtl/>
        </w:rPr>
        <w:t>شهدت</w:t>
      </w:r>
      <w:r w:rsidR="00E16D63">
        <w:rPr>
          <w:rFonts w:ascii="Arabic Typesetting" w:hAnsi="Arabic Typesetting" w:cs="Arabic Typesetting" w:hint="cs"/>
          <w:sz w:val="34"/>
          <w:szCs w:val="34"/>
          <w:rtl/>
        </w:rPr>
        <w:t xml:space="preserve"> الثنائية 2014/15 </w:t>
      </w:r>
      <w:r>
        <w:rPr>
          <w:rFonts w:ascii="Arabic Typesetting" w:hAnsi="Arabic Typesetting" w:cs="Arabic Typesetting" w:hint="cs"/>
          <w:sz w:val="34"/>
          <w:szCs w:val="34"/>
          <w:rtl/>
        </w:rPr>
        <w:t xml:space="preserve">وصول إجمالي عدد </w:t>
      </w:r>
      <w:r w:rsidR="00E16D63" w:rsidRPr="00E16D63">
        <w:rPr>
          <w:rFonts w:ascii="Arabic Typesetting" w:hAnsi="Arabic Typesetting" w:cs="Arabic Typesetting"/>
          <w:sz w:val="34"/>
          <w:szCs w:val="34"/>
          <w:rtl/>
          <w:lang w:bidi="ar-EG"/>
        </w:rPr>
        <w:t xml:space="preserve">الدول الأعضاء التي أنشأت مراكز لدعم التكنولوجيا والابتكار في أقطارها إلى </w:t>
      </w:r>
      <w:r>
        <w:rPr>
          <w:rFonts w:ascii="Arabic Typesetting" w:hAnsi="Arabic Typesetting" w:cs="Arabic Typesetting" w:hint="cs"/>
          <w:sz w:val="34"/>
          <w:szCs w:val="34"/>
          <w:rtl/>
          <w:lang w:bidi="ar-EG"/>
        </w:rPr>
        <w:t>50</w:t>
      </w:r>
      <w:r w:rsidR="00E16D63" w:rsidRPr="00E16D63">
        <w:rPr>
          <w:rFonts w:ascii="Arabic Typesetting" w:hAnsi="Arabic Typesetting" w:cs="Arabic Typesetting"/>
          <w:sz w:val="34"/>
          <w:szCs w:val="34"/>
          <w:rtl/>
          <w:lang w:bidi="ar-EG"/>
        </w:rPr>
        <w:t xml:space="preserve"> </w:t>
      </w:r>
      <w:r w:rsidR="00E16D63" w:rsidRPr="00E16D63">
        <w:rPr>
          <w:rFonts w:ascii="Arabic Typesetting" w:hAnsi="Arabic Typesetting" w:cs="Arabic Typesetting" w:hint="cs"/>
          <w:sz w:val="34"/>
          <w:szCs w:val="34"/>
          <w:rtl/>
          <w:lang w:bidi="ar-EG"/>
        </w:rPr>
        <w:t>دولة</w:t>
      </w:r>
      <w:r>
        <w:rPr>
          <w:rFonts w:ascii="Arabic Typesetting" w:hAnsi="Arabic Typesetting" w:cs="Arabic Typesetting" w:hint="cs"/>
          <w:sz w:val="34"/>
          <w:szCs w:val="34"/>
          <w:rtl/>
          <w:lang w:bidi="ar-EG"/>
        </w:rPr>
        <w:t xml:space="preserve"> وإنشاء 11 شبكة إضافية أي بزيادة نسبتها 28 بالمئة مقارنة بالثنائية 2012/13</w:t>
      </w:r>
      <w:r w:rsidR="00E16D63" w:rsidRPr="00E16D63">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وواصل</w:t>
      </w:r>
      <w:r w:rsidR="00E16D63" w:rsidRPr="00E16D63">
        <w:rPr>
          <w:rFonts w:ascii="Arabic Typesetting" w:hAnsi="Arabic Typesetting" w:cs="Arabic Typesetting" w:hint="cs"/>
          <w:sz w:val="34"/>
          <w:szCs w:val="34"/>
          <w:rtl/>
          <w:lang w:bidi="ar-EG"/>
        </w:rPr>
        <w:t xml:space="preserve"> البرنامج</w:t>
      </w:r>
      <w:r>
        <w:rPr>
          <w:rFonts w:ascii="Arabic Typesetting" w:hAnsi="Arabic Typesetting" w:cs="Arabic Typesetting" w:hint="cs"/>
          <w:sz w:val="34"/>
          <w:szCs w:val="34"/>
          <w:rtl/>
          <w:lang w:bidi="ar-EG"/>
        </w:rPr>
        <w:t xml:space="preserve"> تركيزه</w:t>
      </w:r>
      <w:r w:rsidR="00E16D63" w:rsidRPr="00E16D63">
        <w:rPr>
          <w:rFonts w:ascii="Arabic Typesetting" w:hAnsi="Arabic Typesetting" w:cs="Arabic Typesetting" w:hint="cs"/>
          <w:sz w:val="34"/>
          <w:szCs w:val="34"/>
          <w:rtl/>
          <w:lang w:bidi="ar-EG"/>
        </w:rPr>
        <w:t xml:space="preserve"> على تعزيز استدامة الشبكات على </w:t>
      </w:r>
      <w:r>
        <w:rPr>
          <w:rFonts w:ascii="Arabic Typesetting" w:hAnsi="Arabic Typesetting" w:cs="Arabic Typesetting" w:hint="cs"/>
          <w:sz w:val="34"/>
          <w:szCs w:val="34"/>
          <w:rtl/>
          <w:lang w:bidi="ar-EG"/>
        </w:rPr>
        <w:t>الأجل</w:t>
      </w:r>
      <w:r w:rsidR="00E16D63" w:rsidRPr="00E16D63">
        <w:rPr>
          <w:rFonts w:ascii="Arabic Typesetting" w:hAnsi="Arabic Typesetting" w:cs="Arabic Typesetting" w:hint="cs"/>
          <w:sz w:val="34"/>
          <w:szCs w:val="34"/>
          <w:rtl/>
          <w:lang w:bidi="ar-EG"/>
        </w:rPr>
        <w:t xml:space="preserve"> الطويل، </w:t>
      </w:r>
      <w:r w:rsidR="00A52ECC">
        <w:rPr>
          <w:rFonts w:ascii="Arabic Typesetting" w:hAnsi="Arabic Typesetting" w:cs="Arabic Typesetting" w:hint="cs"/>
          <w:sz w:val="34"/>
          <w:szCs w:val="34"/>
          <w:rtl/>
          <w:lang w:bidi="ar-EG"/>
        </w:rPr>
        <w:t>وحقق هدف الاستدامة في</w:t>
      </w:r>
      <w:r w:rsidR="00E16D63" w:rsidRPr="00E16D63">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25</w:t>
      </w:r>
      <w:r w:rsidR="00E16D63" w:rsidRPr="00E16D63">
        <w:rPr>
          <w:rFonts w:ascii="Arabic Typesetting" w:hAnsi="Arabic Typesetting" w:cs="Arabic Typesetting" w:hint="cs"/>
          <w:sz w:val="34"/>
          <w:szCs w:val="34"/>
          <w:rtl/>
          <w:lang w:bidi="ar-EG"/>
        </w:rPr>
        <w:t xml:space="preserve"> شبكة لمراكز دعم التكنولوجيا والابتكار </w:t>
      </w:r>
      <w:r>
        <w:rPr>
          <w:rFonts w:ascii="Arabic Typesetting" w:hAnsi="Arabic Typesetting" w:cs="Arabic Typesetting" w:hint="cs"/>
          <w:sz w:val="34"/>
          <w:szCs w:val="34"/>
          <w:rtl/>
          <w:lang w:bidi="ar-EG"/>
        </w:rPr>
        <w:t>بحلول نهاية عام</w:t>
      </w:r>
      <w:r w:rsidR="00A52ECC">
        <w:rPr>
          <w:rFonts w:ascii="Arabic Typesetting" w:hAnsi="Arabic Typesetting" w:cs="Arabic Typesetting" w:hint="eastAsia"/>
          <w:sz w:val="34"/>
          <w:szCs w:val="34"/>
          <w:rtl/>
          <w:lang w:bidi="ar-EG"/>
        </w:rPr>
        <w:t> </w:t>
      </w:r>
      <w:r>
        <w:rPr>
          <w:rFonts w:ascii="Arabic Typesetting" w:hAnsi="Arabic Typesetting" w:cs="Arabic Typesetting" w:hint="cs"/>
          <w:sz w:val="34"/>
          <w:szCs w:val="34"/>
          <w:rtl/>
          <w:lang w:bidi="ar-EG"/>
        </w:rPr>
        <w:t>2015</w:t>
      </w:r>
      <w:r w:rsidR="00E16D63" w:rsidRPr="00E16D63">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 وفضلاً عن ذلك، أنشئت شبكتان دون إقليميتين لمراكز الدعم في عام 2015 هما شبكة مراكز الدعم للدول الأعضاء في</w:t>
      </w:r>
      <w:r w:rsidRPr="0003417D">
        <w:rPr>
          <w:rFonts w:ascii="Arabic Typesetting" w:hAnsi="Arabic Typesetting" w:cs="Arabic Typesetting"/>
          <w:sz w:val="34"/>
          <w:szCs w:val="34"/>
          <w:rtl/>
          <w:lang w:bidi="ar-EG"/>
        </w:rPr>
        <w:t xml:space="preserve"> رابطة أمم جنوب شرق</w:t>
      </w:r>
      <w:r w:rsidR="00A52ECC">
        <w:rPr>
          <w:rFonts w:ascii="Arabic Typesetting" w:hAnsi="Arabic Typesetting" w:cs="Arabic Typesetting" w:hint="cs"/>
          <w:sz w:val="34"/>
          <w:szCs w:val="34"/>
          <w:rtl/>
          <w:lang w:bidi="ar-EG"/>
        </w:rPr>
        <w:t>ي</w:t>
      </w:r>
      <w:r w:rsidRPr="0003417D">
        <w:rPr>
          <w:rFonts w:ascii="Arabic Typesetting" w:hAnsi="Arabic Typesetting" w:cs="Arabic Typesetting"/>
          <w:sz w:val="34"/>
          <w:szCs w:val="34"/>
          <w:rtl/>
          <w:lang w:bidi="ar-EG"/>
        </w:rPr>
        <w:t xml:space="preserve"> آسيا</w:t>
      </w:r>
      <w:r>
        <w:rPr>
          <w:rFonts w:ascii="Arabic Typesetting" w:hAnsi="Arabic Typesetting" w:cs="Arabic Typesetting" w:hint="cs"/>
          <w:sz w:val="34"/>
          <w:szCs w:val="34"/>
          <w:rtl/>
          <w:lang w:bidi="ar-EG"/>
        </w:rPr>
        <w:t xml:space="preserve">، وشبكة لبلدان أمريكا الوسطى والجمهورية </w:t>
      </w:r>
      <w:proofErr w:type="spellStart"/>
      <w:r>
        <w:rPr>
          <w:rFonts w:ascii="Arabic Typesetting" w:hAnsi="Arabic Typesetting" w:cs="Arabic Typesetting" w:hint="cs"/>
          <w:sz w:val="34"/>
          <w:szCs w:val="34"/>
          <w:rtl/>
          <w:lang w:bidi="ar-EG"/>
        </w:rPr>
        <w:t>الدومينيكية</w:t>
      </w:r>
      <w:proofErr w:type="spellEnd"/>
      <w:r>
        <w:rPr>
          <w:rFonts w:ascii="Arabic Typesetting" w:hAnsi="Arabic Typesetting" w:cs="Arabic Typesetting" w:hint="cs"/>
          <w:sz w:val="34"/>
          <w:szCs w:val="34"/>
          <w:rtl/>
          <w:lang w:bidi="ar-EG"/>
        </w:rPr>
        <w:t xml:space="preserve"> (</w:t>
      </w:r>
      <w:r>
        <w:rPr>
          <w:rFonts w:ascii="Arabic Typesetting" w:hAnsi="Arabic Typesetting" w:cs="Arabic Typesetting"/>
          <w:sz w:val="34"/>
          <w:szCs w:val="34"/>
          <w:lang w:bidi="ar-EG"/>
        </w:rPr>
        <w:t>CATI-CARD</w:t>
      </w:r>
      <w:r>
        <w:rPr>
          <w:rFonts w:ascii="Arabic Typesetting" w:hAnsi="Arabic Typesetting" w:cs="Arabic Typesetting" w:hint="cs"/>
          <w:sz w:val="34"/>
          <w:szCs w:val="34"/>
          <w:rtl/>
        </w:rPr>
        <w:t>). وبلغ عدد المراكز المدرجة في سجل مراكز الدعم 331 مركزاً بحلول نهاية عام 2015.</w:t>
      </w:r>
      <w:r w:rsidR="001D491F" w:rsidRPr="00F96634">
        <w:rPr>
          <w:rFonts w:ascii="Arabic Typesetting" w:hAnsi="Arabic Typesetting" w:cs="Arabic Typesetting"/>
          <w:sz w:val="28"/>
          <w:szCs w:val="28"/>
          <w:vertAlign w:val="superscript"/>
          <w:rtl/>
        </w:rPr>
        <w:footnoteReference w:id="86"/>
      </w:r>
    </w:p>
    <w:p w:rsidR="00E16D63" w:rsidRPr="001D491F" w:rsidRDefault="001D491F" w:rsidP="009A3712">
      <w:pPr>
        <w:numPr>
          <w:ilvl w:val="0"/>
          <w:numId w:val="41"/>
        </w:numPr>
        <w:bidi/>
        <w:spacing w:after="120" w:line="340" w:lineRule="exact"/>
        <w:ind w:left="-1" w:firstLine="0"/>
        <w:rPr>
          <w:rFonts w:ascii="Arabic Typesetting" w:hAnsi="Arabic Typesetting" w:cs="Arabic Typesetting"/>
          <w:sz w:val="34"/>
          <w:szCs w:val="34"/>
          <w:rtl/>
          <w:lang w:bidi="ar-EG"/>
        </w:rPr>
      </w:pPr>
      <w:r w:rsidRPr="001D491F">
        <w:rPr>
          <w:rFonts w:ascii="Arabic Typesetting" w:hAnsi="Arabic Typesetting" w:cs="Arabic Typesetting" w:hint="cs"/>
          <w:sz w:val="34"/>
          <w:szCs w:val="34"/>
          <w:rtl/>
        </w:rPr>
        <w:t xml:space="preserve">وعُزز </w:t>
      </w:r>
      <w:r w:rsidRPr="001D491F">
        <w:rPr>
          <w:rFonts w:ascii="Arabic Typesetting" w:hAnsi="Arabic Typesetting" w:cs="Arabic Typesetting" w:hint="cs"/>
          <w:sz w:val="34"/>
          <w:szCs w:val="34"/>
          <w:rtl/>
          <w:lang w:bidi="ar-EG"/>
        </w:rPr>
        <w:t>البرنامج</w:t>
      </w:r>
      <w:r w:rsidR="00E16D63" w:rsidRPr="001D491F">
        <w:rPr>
          <w:rFonts w:ascii="Arabic Typesetting" w:hAnsi="Arabic Typesetting" w:cs="Arabic Typesetting" w:hint="cs"/>
          <w:sz w:val="34"/>
          <w:szCs w:val="34"/>
          <w:rtl/>
          <w:lang w:bidi="ar-EG"/>
        </w:rPr>
        <w:t xml:space="preserve"> </w:t>
      </w:r>
      <w:r w:rsidRPr="001D491F">
        <w:rPr>
          <w:rFonts w:ascii="Arabic Typesetting" w:hAnsi="Arabic Typesetting" w:cs="Arabic Typesetting" w:hint="cs"/>
          <w:sz w:val="34"/>
          <w:szCs w:val="34"/>
          <w:rtl/>
          <w:lang w:bidi="ar-EG"/>
        </w:rPr>
        <w:t>المنظَّم</w:t>
      </w:r>
      <w:r w:rsidR="00E16D63" w:rsidRPr="001D491F">
        <w:rPr>
          <w:rFonts w:ascii="Arabic Typesetting" w:hAnsi="Arabic Typesetting" w:cs="Arabic Typesetting" w:hint="cs"/>
          <w:sz w:val="34"/>
          <w:szCs w:val="34"/>
          <w:rtl/>
          <w:lang w:bidi="ar-EG"/>
        </w:rPr>
        <w:t xml:space="preserve"> لتكوين الكفاءات على المستوى المحلي</w:t>
      </w:r>
      <w:r w:rsidR="00A52ECC">
        <w:rPr>
          <w:rFonts w:ascii="Arabic Typesetting" w:hAnsi="Arabic Typesetting" w:cs="Arabic Typesetting" w:hint="cs"/>
          <w:sz w:val="34"/>
          <w:szCs w:val="34"/>
          <w:rtl/>
          <w:lang w:bidi="ar-EG"/>
        </w:rPr>
        <w:t>،</w:t>
      </w:r>
      <w:r w:rsidR="00E16D63" w:rsidRPr="001D491F">
        <w:rPr>
          <w:rFonts w:ascii="Arabic Typesetting" w:hAnsi="Arabic Typesetting" w:cs="Arabic Typesetting" w:hint="cs"/>
          <w:sz w:val="34"/>
          <w:szCs w:val="34"/>
          <w:rtl/>
          <w:lang w:bidi="ar-EG"/>
        </w:rPr>
        <w:t xml:space="preserve"> الذي استُهل في عام 2013</w:t>
      </w:r>
      <w:r w:rsidR="00A52ECC">
        <w:rPr>
          <w:rFonts w:ascii="Arabic Typesetting" w:hAnsi="Arabic Typesetting" w:cs="Arabic Typesetting" w:hint="cs"/>
          <w:sz w:val="34"/>
          <w:szCs w:val="34"/>
          <w:rtl/>
          <w:lang w:bidi="ar-EG"/>
        </w:rPr>
        <w:t>،</w:t>
      </w:r>
      <w:r w:rsidRPr="001D491F">
        <w:rPr>
          <w:rFonts w:ascii="Arabic Typesetting" w:hAnsi="Arabic Typesetting" w:cs="Arabic Typesetting" w:hint="cs"/>
          <w:sz w:val="34"/>
          <w:szCs w:val="34"/>
          <w:rtl/>
          <w:lang w:bidi="ar-EG"/>
        </w:rPr>
        <w:t xml:space="preserve"> على مدار الثنائية</w:t>
      </w:r>
      <w:r w:rsidR="00A52ECC">
        <w:rPr>
          <w:rFonts w:ascii="Arabic Typesetting" w:hAnsi="Arabic Typesetting" w:cs="Arabic Typesetting" w:hint="cs"/>
          <w:sz w:val="34"/>
          <w:szCs w:val="34"/>
          <w:rtl/>
          <w:lang w:bidi="ar-EG"/>
        </w:rPr>
        <w:t xml:space="preserve"> ولا سيما</w:t>
      </w:r>
      <w:r w:rsidR="00E16D63" w:rsidRPr="001D491F">
        <w:rPr>
          <w:rFonts w:ascii="Arabic Typesetting" w:hAnsi="Arabic Typesetting" w:cs="Arabic Typesetting" w:hint="cs"/>
          <w:sz w:val="34"/>
          <w:szCs w:val="34"/>
          <w:rtl/>
          <w:lang w:bidi="ar-EG"/>
        </w:rPr>
        <w:t xml:space="preserve"> عن طريق</w:t>
      </w:r>
      <w:r w:rsidR="00A52ECC">
        <w:rPr>
          <w:rFonts w:ascii="Arabic Typesetting" w:hAnsi="Arabic Typesetting" w:cs="Arabic Typesetting" w:hint="cs"/>
          <w:sz w:val="34"/>
          <w:szCs w:val="34"/>
          <w:rtl/>
          <w:lang w:bidi="ar-EG"/>
        </w:rPr>
        <w:t xml:space="preserve"> تنظيم</w:t>
      </w:r>
      <w:r w:rsidR="00E16D63" w:rsidRPr="001D491F">
        <w:rPr>
          <w:rFonts w:ascii="Arabic Typesetting" w:hAnsi="Arabic Typesetting" w:cs="Arabic Typesetting" w:hint="cs"/>
          <w:sz w:val="34"/>
          <w:szCs w:val="34"/>
          <w:rtl/>
          <w:lang w:bidi="ar-EG"/>
        </w:rPr>
        <w:t xml:space="preserve"> </w:t>
      </w:r>
      <w:r w:rsidR="00A52ECC">
        <w:rPr>
          <w:rFonts w:ascii="Arabic Typesetting" w:hAnsi="Arabic Typesetting" w:cs="Arabic Typesetting" w:hint="cs"/>
          <w:sz w:val="34"/>
          <w:szCs w:val="34"/>
          <w:rtl/>
          <w:lang w:bidi="ar-EG"/>
        </w:rPr>
        <w:t>أنشطة</w:t>
      </w:r>
      <w:r w:rsidR="00E16D63" w:rsidRPr="001D491F">
        <w:rPr>
          <w:rFonts w:ascii="Arabic Typesetting" w:hAnsi="Arabic Typesetting" w:cs="Arabic Typesetting" w:hint="cs"/>
          <w:sz w:val="34"/>
          <w:szCs w:val="34"/>
          <w:rtl/>
          <w:lang w:bidi="ar-EG"/>
        </w:rPr>
        <w:t xml:space="preserve"> </w:t>
      </w:r>
      <w:r w:rsidR="00A52ECC">
        <w:rPr>
          <w:rFonts w:ascii="Arabic Typesetting" w:hAnsi="Arabic Typesetting" w:cs="Arabic Typesetting" w:hint="cs"/>
          <w:sz w:val="34"/>
          <w:szCs w:val="34"/>
          <w:rtl/>
          <w:lang w:bidi="ar-EG"/>
        </w:rPr>
        <w:t>توعية</w:t>
      </w:r>
      <w:r w:rsidR="00E16D63" w:rsidRPr="001D491F">
        <w:rPr>
          <w:rFonts w:ascii="Arabic Typesetting" w:hAnsi="Arabic Typesetting" w:cs="Arabic Typesetting" w:hint="cs"/>
          <w:sz w:val="34"/>
          <w:szCs w:val="34"/>
          <w:rtl/>
          <w:lang w:bidi="ar-EG"/>
        </w:rPr>
        <w:t xml:space="preserve"> وت</w:t>
      </w:r>
      <w:r w:rsidR="00A52ECC">
        <w:rPr>
          <w:rFonts w:ascii="Arabic Typesetting" w:hAnsi="Arabic Typesetting" w:cs="Arabic Typesetting" w:hint="cs"/>
          <w:sz w:val="34"/>
          <w:szCs w:val="34"/>
          <w:rtl/>
          <w:lang w:bidi="ar-EG"/>
        </w:rPr>
        <w:t>دريب في الميدان</w:t>
      </w:r>
      <w:r w:rsidR="00E16D63" w:rsidRPr="001D491F">
        <w:rPr>
          <w:rFonts w:ascii="Arabic Typesetting" w:hAnsi="Arabic Typesetting" w:cs="Arabic Typesetting" w:hint="cs"/>
          <w:sz w:val="34"/>
          <w:szCs w:val="34"/>
          <w:rtl/>
          <w:lang w:bidi="ar-EG"/>
        </w:rPr>
        <w:t xml:space="preserve"> وعقد دورات إضافية لتدريب المدربين والتخطيط للمشروعات.</w:t>
      </w:r>
      <w:r w:rsidRPr="001D491F">
        <w:rPr>
          <w:rFonts w:ascii="Arabic Typesetting" w:hAnsi="Arabic Typesetting" w:cs="Arabic Typesetting" w:hint="cs"/>
          <w:sz w:val="34"/>
          <w:szCs w:val="34"/>
          <w:rtl/>
          <w:lang w:bidi="ar-EG"/>
        </w:rPr>
        <w:t xml:space="preserve"> </w:t>
      </w:r>
      <w:r w:rsidR="00E16D63" w:rsidRPr="001D491F">
        <w:rPr>
          <w:rFonts w:ascii="Arabic Typesetting" w:hAnsi="Arabic Typesetting" w:cs="Arabic Typesetting" w:hint="cs"/>
          <w:sz w:val="34"/>
          <w:szCs w:val="34"/>
          <w:rtl/>
          <w:lang w:bidi="ar-EG"/>
        </w:rPr>
        <w:t>ونظ</w:t>
      </w:r>
      <w:r>
        <w:rPr>
          <w:rFonts w:ascii="Arabic Typesetting" w:hAnsi="Arabic Typesetting" w:cs="Arabic Typesetting" w:hint="cs"/>
          <w:sz w:val="34"/>
          <w:szCs w:val="34"/>
          <w:rtl/>
          <w:lang w:bidi="ar-EG"/>
        </w:rPr>
        <w:t>ِّ</w:t>
      </w:r>
      <w:r w:rsidR="00E16D63" w:rsidRPr="001D491F">
        <w:rPr>
          <w:rFonts w:ascii="Arabic Typesetting" w:hAnsi="Arabic Typesetting" w:cs="Arabic Typesetting" w:hint="cs"/>
          <w:sz w:val="34"/>
          <w:szCs w:val="34"/>
          <w:rtl/>
          <w:lang w:bidi="ar-EG"/>
        </w:rPr>
        <w:t xml:space="preserve">م ما مجموعه </w:t>
      </w:r>
      <w:r>
        <w:rPr>
          <w:rFonts w:ascii="Arabic Typesetting" w:hAnsi="Arabic Typesetting" w:cs="Arabic Typesetting" w:hint="cs"/>
          <w:sz w:val="34"/>
          <w:szCs w:val="34"/>
          <w:rtl/>
          <w:lang w:bidi="ar-EG"/>
        </w:rPr>
        <w:t>11</w:t>
      </w:r>
      <w:r w:rsidR="00E16D63" w:rsidRPr="001D491F">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اجتماعاً</w:t>
      </w:r>
      <w:r w:rsidR="00E16D63" w:rsidRPr="001D491F">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 xml:space="preserve">إقليمي أو </w:t>
      </w:r>
      <w:r w:rsidR="00E16D63" w:rsidRPr="001D491F">
        <w:rPr>
          <w:rFonts w:ascii="Arabic Typesetting" w:hAnsi="Arabic Typesetting" w:cs="Arabic Typesetting" w:hint="cs"/>
          <w:sz w:val="34"/>
          <w:szCs w:val="34"/>
          <w:rtl/>
          <w:lang w:bidi="ar-EG"/>
        </w:rPr>
        <w:t xml:space="preserve">دون إقليمي بالاشتراك مع </w:t>
      </w:r>
      <w:r>
        <w:rPr>
          <w:rFonts w:ascii="Arabic Typesetting" w:hAnsi="Arabic Typesetting" w:cs="Arabic Typesetting" w:hint="cs"/>
          <w:sz w:val="34"/>
          <w:szCs w:val="34"/>
          <w:rtl/>
          <w:lang w:bidi="ar-EG"/>
        </w:rPr>
        <w:t xml:space="preserve">14 منظمة </w:t>
      </w:r>
      <w:r w:rsidR="00A52ECC">
        <w:rPr>
          <w:rFonts w:ascii="Arabic Typesetting" w:hAnsi="Arabic Typesetting" w:cs="Arabic Typesetting" w:hint="cs"/>
          <w:sz w:val="34"/>
          <w:szCs w:val="34"/>
          <w:rtl/>
          <w:lang w:bidi="ar-EG"/>
        </w:rPr>
        <w:t xml:space="preserve">فضلاً عن </w:t>
      </w:r>
      <w:r>
        <w:rPr>
          <w:rFonts w:ascii="Arabic Typesetting" w:hAnsi="Arabic Typesetting" w:cs="Arabic Typesetting" w:hint="cs"/>
          <w:sz w:val="34"/>
          <w:szCs w:val="34"/>
          <w:rtl/>
          <w:lang w:bidi="ar-EG"/>
        </w:rPr>
        <w:t>50 اجتماع تخطيط وطني وحلقة عمل لتدريب المدربين بغية تع</w:t>
      </w:r>
      <w:r w:rsidR="00E16D63" w:rsidRPr="001D491F">
        <w:rPr>
          <w:rFonts w:ascii="Arabic Typesetting" w:hAnsi="Arabic Typesetting" w:cs="Arabic Typesetting" w:hint="cs"/>
          <w:sz w:val="34"/>
          <w:szCs w:val="34"/>
          <w:rtl/>
          <w:lang w:bidi="ar-EG"/>
        </w:rPr>
        <w:t xml:space="preserve">زيز تبادل الخبرات </w:t>
      </w:r>
      <w:r w:rsidR="00A52ECC">
        <w:rPr>
          <w:rFonts w:ascii="Arabic Typesetting" w:hAnsi="Arabic Typesetting" w:cs="Arabic Typesetting" w:hint="cs"/>
          <w:sz w:val="34"/>
          <w:szCs w:val="34"/>
          <w:rtl/>
          <w:lang w:bidi="ar-EG"/>
        </w:rPr>
        <w:t>والممارسات الفضلى</w:t>
      </w:r>
      <w:r w:rsidR="00E16D63" w:rsidRPr="001D491F">
        <w:rPr>
          <w:rFonts w:ascii="Arabic Typesetting" w:hAnsi="Arabic Typesetting" w:cs="Arabic Typesetting" w:hint="cs"/>
          <w:sz w:val="34"/>
          <w:szCs w:val="34"/>
          <w:rtl/>
          <w:lang w:bidi="ar-EG"/>
        </w:rPr>
        <w:t xml:space="preserve"> بين البلدان على الصعيد الإقليمي.</w:t>
      </w:r>
    </w:p>
    <w:p w:rsidR="00E16D63" w:rsidRDefault="00E16D63" w:rsidP="009A3712">
      <w:pPr>
        <w:numPr>
          <w:ilvl w:val="0"/>
          <w:numId w:val="41"/>
        </w:numPr>
        <w:bidi/>
        <w:spacing w:after="120" w:line="340" w:lineRule="exact"/>
        <w:ind w:left="0" w:firstLine="0"/>
        <w:rPr>
          <w:rFonts w:ascii="Arabic Typesetting" w:hAnsi="Arabic Typesetting" w:cs="Arabic Typesetting"/>
          <w:sz w:val="34"/>
          <w:szCs w:val="34"/>
          <w:lang w:val="fr-FR" w:bidi="ar-TN"/>
        </w:rPr>
      </w:pPr>
      <w:r w:rsidRPr="00E16D63">
        <w:rPr>
          <w:rFonts w:ascii="Arabic Typesetting" w:hAnsi="Arabic Typesetting" w:cs="Arabic Typesetting"/>
          <w:sz w:val="34"/>
          <w:szCs w:val="34"/>
          <w:rtl/>
          <w:lang w:val="fr-FR" w:bidi="ar-TN"/>
        </w:rPr>
        <w:t>و</w:t>
      </w:r>
      <w:r w:rsidRPr="00E16D63">
        <w:rPr>
          <w:rFonts w:ascii="Arabic Typesetting" w:hAnsi="Arabic Typesetting" w:cs="Arabic Typesetting" w:hint="cs"/>
          <w:sz w:val="34"/>
          <w:szCs w:val="34"/>
          <w:rtl/>
          <w:lang w:val="fr-FR" w:bidi="ar-TN"/>
        </w:rPr>
        <w:t xml:space="preserve">لم تفتأ </w:t>
      </w:r>
      <w:r w:rsidRPr="00E16D63">
        <w:rPr>
          <w:rFonts w:ascii="Arabic Typesetting" w:hAnsi="Arabic Typesetting" w:cs="Arabic Typesetting"/>
          <w:sz w:val="34"/>
          <w:szCs w:val="34"/>
          <w:rtl/>
          <w:lang w:val="fr-FR" w:bidi="ar-TN"/>
        </w:rPr>
        <w:t>المنصة ال</w:t>
      </w:r>
      <w:r w:rsidRPr="00E16D63">
        <w:rPr>
          <w:rFonts w:ascii="Arabic Typesetting" w:hAnsi="Arabic Typesetting" w:cs="Arabic Typesetting" w:hint="cs"/>
          <w:sz w:val="34"/>
          <w:szCs w:val="34"/>
          <w:rtl/>
          <w:lang w:val="fr-FR" w:bidi="ar-TN"/>
        </w:rPr>
        <w:t>إ</w:t>
      </w:r>
      <w:r w:rsidRPr="00E16D63">
        <w:rPr>
          <w:rFonts w:ascii="Arabic Typesetting" w:hAnsi="Arabic Typesetting" w:cs="Arabic Typesetting"/>
          <w:sz w:val="34"/>
          <w:szCs w:val="34"/>
          <w:rtl/>
          <w:lang w:val="fr-FR" w:bidi="ar-TN"/>
        </w:rPr>
        <w:t>لكترونية لإدارة المعارف</w:t>
      </w:r>
      <w:r w:rsidRPr="00F96634">
        <w:rPr>
          <w:rFonts w:ascii="Arabic Typesetting" w:hAnsi="Arabic Typesetting" w:cs="Arabic Typesetting"/>
          <w:sz w:val="28"/>
          <w:szCs w:val="28"/>
          <w:vertAlign w:val="superscript"/>
          <w:rtl/>
          <w:lang w:val="fr-FR" w:bidi="ar-TN"/>
        </w:rPr>
        <w:footnoteReference w:id="87"/>
      </w:r>
      <w:r w:rsidRPr="00E16D63">
        <w:rPr>
          <w:rFonts w:ascii="Arabic Typesetting" w:hAnsi="Arabic Typesetting" w:cs="Arabic Typesetting" w:hint="cs"/>
          <w:sz w:val="34"/>
          <w:szCs w:val="34"/>
          <w:rtl/>
          <w:lang w:val="fr-FR" w:bidi="ar-TN"/>
        </w:rPr>
        <w:t xml:space="preserve"> تشهد نموا </w:t>
      </w:r>
      <w:r w:rsidR="00A52ECC">
        <w:rPr>
          <w:rFonts w:ascii="Arabic Typesetting" w:hAnsi="Arabic Typesetting" w:cs="Arabic Typesetting" w:hint="cs"/>
          <w:sz w:val="34"/>
          <w:szCs w:val="34"/>
          <w:rtl/>
          <w:lang w:val="fr-FR" w:bidi="ar-TN"/>
        </w:rPr>
        <w:t>كبيراً</w:t>
      </w:r>
      <w:r w:rsidRPr="00E16D63">
        <w:rPr>
          <w:rFonts w:ascii="Arabic Typesetting" w:hAnsi="Arabic Typesetting" w:cs="Arabic Typesetting" w:hint="cs"/>
          <w:sz w:val="34"/>
          <w:szCs w:val="34"/>
          <w:rtl/>
          <w:lang w:val="fr-FR" w:bidi="ar-TN"/>
        </w:rPr>
        <w:t xml:space="preserve"> </w:t>
      </w:r>
      <w:r w:rsidR="001D491F">
        <w:rPr>
          <w:rFonts w:ascii="Arabic Typesetting" w:hAnsi="Arabic Typesetting" w:cs="Arabic Typesetting" w:hint="cs"/>
          <w:sz w:val="34"/>
          <w:szCs w:val="34"/>
          <w:rtl/>
          <w:lang w:val="fr-FR" w:bidi="ar-TN"/>
        </w:rPr>
        <w:t>إذ</w:t>
      </w:r>
      <w:r w:rsidRPr="00E16D63">
        <w:rPr>
          <w:rFonts w:ascii="Arabic Typesetting" w:hAnsi="Arabic Typesetting" w:cs="Arabic Typesetting" w:hint="cs"/>
          <w:sz w:val="34"/>
          <w:szCs w:val="34"/>
          <w:rtl/>
          <w:lang w:val="fr-FR" w:bidi="ar-TN"/>
        </w:rPr>
        <w:t xml:space="preserve"> </w:t>
      </w:r>
      <w:r w:rsidR="001D491F">
        <w:rPr>
          <w:rFonts w:ascii="Arabic Typesetting" w:hAnsi="Arabic Typesetting" w:cs="Arabic Typesetting" w:hint="cs"/>
          <w:sz w:val="34"/>
          <w:szCs w:val="34"/>
          <w:rtl/>
          <w:lang w:val="fr-FR" w:bidi="ar-TN"/>
        </w:rPr>
        <w:t>زاد عدد الأعضاء المسجلين فيها بأكثر من الضعف ليبلغ 1500 عضو من أكثر من 115 بلداً بحلول نهاية عام 2015 مقارنة بالثنائية السابقة التي سجلت 700 عضواً. وعقدت المنصة 16 ندوة تدريب إلكترونية و10</w:t>
      </w:r>
      <w:r w:rsidRPr="001D491F">
        <w:rPr>
          <w:rFonts w:ascii="Arabic Typesetting" w:hAnsi="Arabic Typesetting" w:cs="Arabic Typesetting" w:hint="cs"/>
          <w:sz w:val="34"/>
          <w:szCs w:val="34"/>
          <w:rtl/>
          <w:lang w:val="fr-FR" w:bidi="ar-TN"/>
        </w:rPr>
        <w:t xml:space="preserve"> جلسات أسئلة وأجوبة مباشرة شارك فيها خبراء دعم الابتكار. واستمر الطلب على أداة التعليم الإلكترونية التفاعلية بشأن </w:t>
      </w:r>
      <w:r w:rsidR="001D491F">
        <w:rPr>
          <w:rFonts w:ascii="Arabic Typesetting" w:hAnsi="Arabic Typesetting" w:cs="Arabic Typesetting" w:hint="cs"/>
          <w:sz w:val="34"/>
          <w:szCs w:val="34"/>
          <w:rtl/>
          <w:lang w:val="fr-FR" w:bidi="ar-TN"/>
        </w:rPr>
        <w:t>"</w:t>
      </w:r>
      <w:r w:rsidRPr="001D491F">
        <w:rPr>
          <w:rFonts w:ascii="Arabic Typesetting" w:hAnsi="Arabic Typesetting" w:cs="Arabic Typesetting" w:hint="cs"/>
          <w:sz w:val="34"/>
          <w:szCs w:val="34"/>
          <w:rtl/>
          <w:lang w:val="fr-FR" w:bidi="ar-TN"/>
        </w:rPr>
        <w:t>استخدام المعلومات المتعلقة بالبراءات واستغلالها</w:t>
      </w:r>
      <w:r w:rsidR="001D491F">
        <w:rPr>
          <w:rFonts w:ascii="Arabic Typesetting" w:hAnsi="Arabic Typesetting" w:cs="Arabic Typesetting" w:hint="cs"/>
          <w:sz w:val="34"/>
          <w:szCs w:val="34"/>
          <w:rtl/>
          <w:lang w:val="fr-FR" w:bidi="ar-TN"/>
        </w:rPr>
        <w:t>"</w:t>
      </w:r>
      <w:r w:rsidRPr="001D491F">
        <w:rPr>
          <w:rFonts w:ascii="Arabic Typesetting" w:hAnsi="Arabic Typesetting" w:cs="Arabic Typesetting" w:hint="cs"/>
          <w:sz w:val="34"/>
          <w:szCs w:val="34"/>
          <w:rtl/>
          <w:lang w:val="fr-FR" w:bidi="ar-TN"/>
        </w:rPr>
        <w:t xml:space="preserve"> المتاحة على أق</w:t>
      </w:r>
      <w:r w:rsidR="001D491F">
        <w:rPr>
          <w:rFonts w:ascii="Arabic Typesetting" w:hAnsi="Arabic Typesetting" w:cs="Arabic Typesetting" w:hint="cs"/>
          <w:sz w:val="34"/>
          <w:szCs w:val="34"/>
          <w:rtl/>
          <w:lang w:val="fr-FR" w:bidi="ar-TN"/>
        </w:rPr>
        <w:t>راص مدمجة وعلى الموقع الإلكتروني</w:t>
      </w:r>
      <w:r w:rsidRPr="001D491F">
        <w:rPr>
          <w:rFonts w:ascii="Arabic Typesetting" w:hAnsi="Arabic Typesetting" w:cs="Arabic Typesetting" w:hint="cs"/>
          <w:sz w:val="34"/>
          <w:szCs w:val="34"/>
          <w:rtl/>
          <w:lang w:val="fr-FR" w:bidi="ar-TN"/>
        </w:rPr>
        <w:t xml:space="preserve"> ب</w:t>
      </w:r>
      <w:r w:rsidR="008A4844">
        <w:rPr>
          <w:rFonts w:ascii="Arabic Typesetting" w:hAnsi="Arabic Typesetting" w:cs="Arabic Typesetting" w:hint="cs"/>
          <w:sz w:val="34"/>
          <w:szCs w:val="34"/>
          <w:rtl/>
          <w:lang w:val="fr-FR" w:bidi="ar-TN"/>
        </w:rPr>
        <w:t xml:space="preserve">اللغتين </w:t>
      </w:r>
      <w:r w:rsidRPr="001D491F">
        <w:rPr>
          <w:rFonts w:ascii="Arabic Typesetting" w:hAnsi="Arabic Typesetting" w:cs="Arabic Typesetting" w:hint="cs"/>
          <w:sz w:val="34"/>
          <w:szCs w:val="34"/>
          <w:rtl/>
          <w:lang w:val="fr-FR" w:bidi="ar-TN"/>
        </w:rPr>
        <w:t>الإنكليزية</w:t>
      </w:r>
      <w:r w:rsidRPr="00F96634">
        <w:rPr>
          <w:rFonts w:ascii="Arabic Typesetting" w:hAnsi="Arabic Typesetting" w:cs="Arabic Typesetting"/>
          <w:sz w:val="28"/>
          <w:szCs w:val="28"/>
          <w:vertAlign w:val="superscript"/>
          <w:rtl/>
          <w:lang w:val="fr-FR"/>
        </w:rPr>
        <w:footnoteReference w:id="88"/>
      </w:r>
      <w:r w:rsidRPr="001D491F">
        <w:rPr>
          <w:rFonts w:ascii="Arabic Typesetting" w:hAnsi="Arabic Typesetting" w:cs="Arabic Typesetting" w:hint="cs"/>
          <w:sz w:val="34"/>
          <w:szCs w:val="34"/>
          <w:rtl/>
          <w:lang w:val="fr-FR" w:bidi="ar-TN"/>
        </w:rPr>
        <w:t xml:space="preserve"> والفرنسية</w:t>
      </w:r>
      <w:r w:rsidRPr="00F96634">
        <w:rPr>
          <w:rFonts w:ascii="Arabic Typesetting" w:hAnsi="Arabic Typesetting" w:cs="Arabic Typesetting"/>
          <w:sz w:val="28"/>
          <w:szCs w:val="28"/>
          <w:vertAlign w:val="superscript"/>
          <w:rtl/>
          <w:lang w:val="fr-FR"/>
        </w:rPr>
        <w:footnoteReference w:id="89"/>
      </w:r>
      <w:r w:rsidRPr="001D491F">
        <w:rPr>
          <w:rFonts w:ascii="Arabic Typesetting" w:hAnsi="Arabic Typesetting" w:cs="Arabic Typesetting" w:hint="cs"/>
          <w:sz w:val="34"/>
          <w:szCs w:val="34"/>
          <w:rtl/>
          <w:lang w:val="fr-FR" w:bidi="ar-TN"/>
        </w:rPr>
        <w:t>.</w:t>
      </w:r>
      <w:r w:rsidR="001D491F">
        <w:rPr>
          <w:rFonts w:ascii="Arabic Typesetting" w:hAnsi="Arabic Typesetting" w:cs="Arabic Typesetting" w:hint="cs"/>
          <w:sz w:val="34"/>
          <w:szCs w:val="34"/>
          <w:rtl/>
          <w:lang w:val="fr-FR" w:bidi="ar-TN"/>
        </w:rPr>
        <w:t xml:space="preserve"> واستُكملت النسخة الإسبانية في نهاية عام 2015.</w:t>
      </w:r>
    </w:p>
    <w:p w:rsidR="001D491F" w:rsidRPr="001D491F" w:rsidRDefault="001D491F" w:rsidP="009A3712">
      <w:pPr>
        <w:numPr>
          <w:ilvl w:val="0"/>
          <w:numId w:val="41"/>
        </w:numPr>
        <w:bidi/>
        <w:spacing w:after="120" w:line="340" w:lineRule="exact"/>
        <w:ind w:left="0" w:firstLine="0"/>
        <w:rPr>
          <w:rFonts w:ascii="Arabic Typesetting" w:hAnsi="Arabic Typesetting" w:cs="Arabic Typesetting"/>
          <w:sz w:val="34"/>
          <w:szCs w:val="34"/>
          <w:lang w:val="fr-FR" w:bidi="ar-TN"/>
        </w:rPr>
      </w:pPr>
      <w:r>
        <w:rPr>
          <w:rFonts w:ascii="Arabic Typesetting" w:hAnsi="Arabic Typesetting" w:cs="Arabic Typesetting" w:hint="cs"/>
          <w:sz w:val="34"/>
          <w:szCs w:val="34"/>
          <w:rtl/>
          <w:lang w:val="fr-FR" w:bidi="ar-TN"/>
        </w:rPr>
        <w:t>وأ</w:t>
      </w:r>
      <w:r w:rsidR="008A4844">
        <w:rPr>
          <w:rFonts w:ascii="Arabic Typesetting" w:hAnsi="Arabic Typesetting" w:cs="Arabic Typesetting" w:hint="cs"/>
          <w:sz w:val="34"/>
          <w:szCs w:val="34"/>
          <w:rtl/>
          <w:lang w:val="fr-FR" w:bidi="ar-TN"/>
        </w:rPr>
        <w:t>ُ</w:t>
      </w:r>
      <w:r>
        <w:rPr>
          <w:rFonts w:ascii="Arabic Typesetting" w:hAnsi="Arabic Typesetting" w:cs="Arabic Typesetting" w:hint="cs"/>
          <w:sz w:val="34"/>
          <w:szCs w:val="34"/>
          <w:rtl/>
          <w:lang w:val="fr-FR" w:bidi="ar-TN"/>
        </w:rPr>
        <w:t xml:space="preserve">طلق البرنامج المشترك بين الويبو والمنتدى الاقتصادي العالمي لمساعدة المخترعين في عام 2015 </w:t>
      </w:r>
      <w:r w:rsidR="008A4844">
        <w:rPr>
          <w:rFonts w:ascii="Arabic Typesetting" w:hAnsi="Arabic Typesetting" w:cs="Arabic Typesetting" w:hint="cs"/>
          <w:sz w:val="34"/>
          <w:szCs w:val="34"/>
          <w:rtl/>
          <w:lang w:val="fr-FR" w:bidi="ar-TN"/>
        </w:rPr>
        <w:t>من أجل</w:t>
      </w:r>
      <w:r>
        <w:rPr>
          <w:rFonts w:ascii="Arabic Typesetting" w:hAnsi="Arabic Typesetting" w:cs="Arabic Typesetting" w:hint="cs"/>
          <w:sz w:val="34"/>
          <w:szCs w:val="34"/>
          <w:rtl/>
          <w:lang w:val="fr-FR" w:bidi="ar-TN"/>
        </w:rPr>
        <w:t xml:space="preserve"> تعزيز الابتكار الوطني </w:t>
      </w:r>
      <w:r w:rsidR="008A4844">
        <w:rPr>
          <w:rFonts w:ascii="Arabic Typesetting" w:hAnsi="Arabic Typesetting" w:cs="Arabic Typesetting" w:hint="cs"/>
          <w:sz w:val="34"/>
          <w:szCs w:val="34"/>
          <w:rtl/>
          <w:lang w:val="fr-FR" w:bidi="ar-TN"/>
        </w:rPr>
        <w:t>ب</w:t>
      </w:r>
      <w:r>
        <w:rPr>
          <w:rFonts w:ascii="Arabic Typesetting" w:hAnsi="Arabic Typesetting" w:cs="Arabic Typesetting" w:hint="cs"/>
          <w:sz w:val="34"/>
          <w:szCs w:val="34"/>
          <w:rtl/>
          <w:lang w:val="fr-FR" w:bidi="ar-TN"/>
        </w:rPr>
        <w:t xml:space="preserve">توفير المساعدة القانونية في مجال إيداع البراءات للمبتكرين والشركات الصغيرة </w:t>
      </w:r>
      <w:proofErr w:type="spellStart"/>
      <w:r>
        <w:rPr>
          <w:rFonts w:ascii="Arabic Typesetting" w:hAnsi="Arabic Typesetting" w:cs="Arabic Typesetting" w:hint="cs"/>
          <w:sz w:val="34"/>
          <w:szCs w:val="34"/>
          <w:rtl/>
          <w:lang w:val="fr-FR" w:bidi="ar-TN"/>
        </w:rPr>
        <w:t>المحدودي</w:t>
      </w:r>
      <w:proofErr w:type="spellEnd"/>
      <w:r>
        <w:rPr>
          <w:rFonts w:ascii="Arabic Typesetting" w:hAnsi="Arabic Typesetting" w:cs="Arabic Typesetting" w:hint="cs"/>
          <w:sz w:val="34"/>
          <w:szCs w:val="34"/>
          <w:rtl/>
          <w:lang w:val="fr-FR" w:bidi="ar-TN"/>
        </w:rPr>
        <w:t xml:space="preserve"> الموارد على الصعيد المحلي، واست</w:t>
      </w:r>
      <w:r w:rsidR="008A4844">
        <w:rPr>
          <w:rFonts w:ascii="Arabic Typesetting" w:hAnsi="Arabic Typesetting" w:cs="Arabic Typesetting" w:hint="cs"/>
          <w:sz w:val="34"/>
          <w:szCs w:val="34"/>
          <w:rtl/>
          <w:lang w:val="fr-FR" w:bidi="ar-TN"/>
        </w:rPr>
        <w:t>ُ</w:t>
      </w:r>
      <w:r>
        <w:rPr>
          <w:rFonts w:ascii="Arabic Typesetting" w:hAnsi="Arabic Typesetting" w:cs="Arabic Typesetting" w:hint="cs"/>
          <w:sz w:val="34"/>
          <w:szCs w:val="34"/>
          <w:rtl/>
          <w:lang w:val="fr-FR" w:bidi="ar-TN"/>
        </w:rPr>
        <w:t xml:space="preserve">هل مشروعان رائدان في كولومبيا والمغرب. </w:t>
      </w:r>
      <w:proofErr w:type="spellStart"/>
      <w:r w:rsidR="008A4844">
        <w:rPr>
          <w:rFonts w:ascii="Arabic Typesetting" w:hAnsi="Arabic Typesetting" w:cs="Arabic Typesetting" w:hint="cs"/>
          <w:sz w:val="34"/>
          <w:szCs w:val="34"/>
          <w:rtl/>
          <w:lang w:val="fr-FR" w:bidi="ar-TN"/>
        </w:rPr>
        <w:t>وأتيحت</w:t>
      </w:r>
      <w:proofErr w:type="spellEnd"/>
      <w:r w:rsidR="008A4844">
        <w:rPr>
          <w:rFonts w:ascii="Arabic Typesetting" w:hAnsi="Arabic Typesetting" w:cs="Arabic Typesetting" w:hint="cs"/>
          <w:sz w:val="34"/>
          <w:szCs w:val="34"/>
          <w:rtl/>
          <w:lang w:val="fr-FR" w:bidi="ar-TN"/>
        </w:rPr>
        <w:t xml:space="preserve"> بهذه المناسبة أداة تعلّم </w:t>
      </w:r>
      <w:r>
        <w:rPr>
          <w:rFonts w:ascii="Arabic Typesetting" w:hAnsi="Arabic Typesetting" w:cs="Arabic Typesetting" w:hint="cs"/>
          <w:sz w:val="34"/>
          <w:szCs w:val="34"/>
          <w:rtl/>
          <w:lang w:val="fr-FR" w:bidi="ar-TN"/>
        </w:rPr>
        <w:t>تفاعلية عن البراءات والخدمات القانونية المجانية على الإنترنت.</w:t>
      </w:r>
    </w:p>
    <w:p w:rsidR="00E16D63" w:rsidRDefault="008A4844" w:rsidP="009A3712">
      <w:pPr>
        <w:numPr>
          <w:ilvl w:val="0"/>
          <w:numId w:val="41"/>
        </w:numPr>
        <w:bidi/>
        <w:spacing w:after="120" w:line="340" w:lineRule="exact"/>
        <w:ind w:left="0" w:firstLine="0"/>
        <w:rPr>
          <w:rFonts w:ascii="Arabic Typesetting" w:hAnsi="Arabic Typesetting" w:cs="Arabic Typesetting"/>
          <w:sz w:val="34"/>
          <w:szCs w:val="34"/>
          <w:lang w:val="fr-FR" w:bidi="ar-TN"/>
        </w:rPr>
      </w:pPr>
      <w:r>
        <w:rPr>
          <w:rFonts w:ascii="Arabic Typesetting" w:hAnsi="Arabic Typesetting" w:cs="Arabic Typesetting" w:hint="cs"/>
          <w:sz w:val="34"/>
          <w:szCs w:val="34"/>
          <w:rtl/>
          <w:lang w:val="fr-FR" w:bidi="ar-TN"/>
        </w:rPr>
        <w:t>وما انفك</w:t>
      </w:r>
      <w:r w:rsidR="00E16D63" w:rsidRPr="00E16D63">
        <w:rPr>
          <w:rFonts w:ascii="Arabic Typesetting" w:hAnsi="Arabic Typesetting" w:cs="Arabic Typesetting" w:hint="cs"/>
          <w:sz w:val="34"/>
          <w:szCs w:val="34"/>
          <w:rtl/>
          <w:lang w:val="fr-FR" w:bidi="ar-TN"/>
        </w:rPr>
        <w:t xml:space="preserve"> </w:t>
      </w:r>
      <w:r w:rsidR="00E16D63" w:rsidRPr="00E16D63">
        <w:rPr>
          <w:rFonts w:ascii="Arabic Typesetting" w:hAnsi="Arabic Typesetting" w:cs="Arabic Typesetting"/>
          <w:sz w:val="34"/>
          <w:szCs w:val="34"/>
          <w:rtl/>
          <w:lang w:val="fr-FR" w:bidi="ar-TN"/>
        </w:rPr>
        <w:t>محتوى المجلات العلمية والتقنية</w:t>
      </w:r>
      <w:r>
        <w:rPr>
          <w:rFonts w:ascii="Arabic Typesetting" w:hAnsi="Arabic Typesetting" w:cs="Arabic Typesetting" w:hint="cs"/>
          <w:sz w:val="34"/>
          <w:szCs w:val="34"/>
          <w:rtl/>
          <w:lang w:val="fr-FR" w:bidi="ar-TN"/>
        </w:rPr>
        <w:t>،</w:t>
      </w:r>
      <w:r w:rsidR="00E16D63" w:rsidRPr="00E16D63">
        <w:rPr>
          <w:rFonts w:ascii="Arabic Typesetting" w:hAnsi="Arabic Typesetting" w:cs="Arabic Typesetting"/>
          <w:sz w:val="34"/>
          <w:szCs w:val="34"/>
          <w:rtl/>
          <w:lang w:val="fr-FR" w:bidi="ar-TN"/>
        </w:rPr>
        <w:t xml:space="preserve"> الذي يمكن </w:t>
      </w:r>
      <w:r>
        <w:rPr>
          <w:rFonts w:ascii="Arabic Typesetting" w:hAnsi="Arabic Typesetting" w:cs="Arabic Typesetting" w:hint="cs"/>
          <w:sz w:val="34"/>
          <w:szCs w:val="34"/>
          <w:rtl/>
          <w:lang w:val="fr-FR" w:bidi="ar-TN"/>
        </w:rPr>
        <w:t>الاطلاع عليه</w:t>
      </w:r>
      <w:r w:rsidR="00E16D63" w:rsidRPr="00E16D63">
        <w:rPr>
          <w:rFonts w:ascii="Arabic Typesetting" w:hAnsi="Arabic Typesetting" w:cs="Arabic Typesetting"/>
          <w:sz w:val="34"/>
          <w:szCs w:val="34"/>
          <w:rtl/>
          <w:lang w:val="fr-FR" w:bidi="ar-TN"/>
        </w:rPr>
        <w:t xml:space="preserve"> في برنامج النفاذ إلى الأبحاث من أجل التنمية والابتكار (</w:t>
      </w:r>
      <w:r w:rsidR="00E16D63" w:rsidRPr="00E16D63">
        <w:rPr>
          <w:rFonts w:ascii="Arabic Typesetting" w:hAnsi="Arabic Typesetting" w:cs="Arabic Typesetting"/>
          <w:sz w:val="34"/>
          <w:szCs w:val="34"/>
          <w:lang w:val="fr-FR" w:bidi="ar-TN"/>
        </w:rPr>
        <w:t>ARDI</w:t>
      </w:r>
      <w:r w:rsidR="00E16D63" w:rsidRPr="00E16D63">
        <w:rPr>
          <w:rFonts w:ascii="Arabic Typesetting" w:hAnsi="Arabic Typesetting" w:cs="Arabic Typesetting"/>
          <w:sz w:val="34"/>
          <w:szCs w:val="34"/>
          <w:rtl/>
          <w:lang w:val="fr-FR" w:bidi="ar-TN"/>
        </w:rPr>
        <w:t>)،</w:t>
      </w:r>
      <w:r>
        <w:rPr>
          <w:rFonts w:ascii="Arabic Typesetting" w:hAnsi="Arabic Typesetting" w:cs="Arabic Typesetting" w:hint="cs"/>
          <w:sz w:val="34"/>
          <w:szCs w:val="34"/>
          <w:rtl/>
          <w:lang w:val="fr-FR" w:bidi="ar-TN"/>
        </w:rPr>
        <w:t xml:space="preserve"> يزداد حجماً ولا سيما عن طريق</w:t>
      </w:r>
      <w:r w:rsidR="00E16D63" w:rsidRPr="00E16D63">
        <w:rPr>
          <w:rFonts w:ascii="Arabic Typesetting" w:hAnsi="Arabic Typesetting" w:cs="Arabic Typesetting" w:hint="cs"/>
          <w:sz w:val="34"/>
          <w:szCs w:val="34"/>
          <w:rtl/>
          <w:lang w:val="fr-FR" w:bidi="ar-TN"/>
        </w:rPr>
        <w:t xml:space="preserve"> البرامج الشريكة في برنامج</w:t>
      </w:r>
      <w:r w:rsidR="00E16D63" w:rsidRPr="00E16D63">
        <w:rPr>
          <w:rFonts w:ascii="Arabic Typesetting" w:hAnsi="Arabic Typesetting" w:cs="Arabic Typesetting"/>
          <w:sz w:val="34"/>
          <w:szCs w:val="34"/>
          <w:rtl/>
          <w:lang w:val="fr-FR" w:bidi="ar-TN"/>
        </w:rPr>
        <w:t xml:space="preserve"> الأبحاث من أجل الحياة (</w:t>
      </w:r>
      <w:r w:rsidR="00E16D63" w:rsidRPr="00E16D63">
        <w:rPr>
          <w:rFonts w:ascii="Arabic Typesetting" w:hAnsi="Arabic Typesetting" w:cs="Arabic Typesetting"/>
          <w:sz w:val="34"/>
          <w:szCs w:val="34"/>
          <w:lang w:val="fr-FR" w:bidi="ar-TN"/>
        </w:rPr>
        <w:t>Research4Life</w:t>
      </w:r>
      <w:r w:rsidR="00E16D63" w:rsidRPr="00E16D63">
        <w:rPr>
          <w:rFonts w:ascii="Arabic Typesetting" w:hAnsi="Arabic Typesetting" w:cs="Arabic Typesetting"/>
          <w:sz w:val="34"/>
          <w:szCs w:val="34"/>
          <w:rtl/>
          <w:lang w:val="fr-FR" w:bidi="ar-TN"/>
        </w:rPr>
        <w:t xml:space="preserve">)، </w:t>
      </w:r>
      <w:r>
        <w:rPr>
          <w:rFonts w:ascii="Arabic Typesetting" w:hAnsi="Arabic Typesetting" w:cs="Arabic Typesetting" w:hint="cs"/>
          <w:sz w:val="34"/>
          <w:szCs w:val="34"/>
          <w:rtl/>
          <w:lang w:val="fr-FR" w:bidi="ar-TN"/>
        </w:rPr>
        <w:t>إذ ارتفع</w:t>
      </w:r>
      <w:r w:rsidR="00E16D63" w:rsidRPr="00E16D63">
        <w:rPr>
          <w:rFonts w:ascii="Arabic Typesetting" w:hAnsi="Arabic Typesetting" w:cs="Arabic Typesetting"/>
          <w:sz w:val="34"/>
          <w:szCs w:val="34"/>
          <w:rtl/>
          <w:lang w:val="fr-FR" w:bidi="ar-TN"/>
        </w:rPr>
        <w:t xml:space="preserve"> إلى </w:t>
      </w:r>
      <w:r w:rsidR="001D491F">
        <w:rPr>
          <w:rFonts w:ascii="Arabic Typesetting" w:hAnsi="Arabic Typesetting" w:cs="Arabic Typesetting" w:hint="cs"/>
          <w:sz w:val="34"/>
          <w:szCs w:val="34"/>
          <w:rtl/>
          <w:lang w:val="fr-FR" w:bidi="ar-TN"/>
        </w:rPr>
        <w:t>243 21</w:t>
      </w:r>
      <w:r w:rsidR="00E16D63" w:rsidRPr="00E16D63">
        <w:rPr>
          <w:rFonts w:ascii="Arabic Typesetting" w:hAnsi="Arabic Typesetting" w:cs="Arabic Typesetting"/>
          <w:sz w:val="34"/>
          <w:szCs w:val="34"/>
          <w:rtl/>
          <w:lang w:val="fr-FR" w:bidi="ar-TN"/>
        </w:rPr>
        <w:t xml:space="preserve"> مجلة </w:t>
      </w:r>
      <w:r w:rsidR="00E16D63" w:rsidRPr="00E16D63">
        <w:rPr>
          <w:rFonts w:ascii="Arabic Typesetting" w:hAnsi="Arabic Typesetting" w:cs="Arabic Typesetting" w:hint="cs"/>
          <w:sz w:val="34"/>
          <w:szCs w:val="34"/>
          <w:rtl/>
          <w:lang w:val="fr-FR" w:bidi="ar-TN"/>
        </w:rPr>
        <w:t>و</w:t>
      </w:r>
      <w:r w:rsidR="001D491F">
        <w:rPr>
          <w:rFonts w:ascii="Arabic Typesetting" w:hAnsi="Arabic Typesetting" w:cs="Arabic Typesetting" w:hint="cs"/>
          <w:sz w:val="34"/>
          <w:szCs w:val="34"/>
          <w:rtl/>
          <w:lang w:val="fr-FR" w:bidi="ar-TN"/>
        </w:rPr>
        <w:t>988 48</w:t>
      </w:r>
      <w:r w:rsidR="00E16D63" w:rsidRPr="00E16D63">
        <w:rPr>
          <w:rFonts w:ascii="Arabic Typesetting" w:hAnsi="Arabic Typesetting" w:cs="Arabic Typesetting"/>
          <w:sz w:val="34"/>
          <w:szCs w:val="34"/>
          <w:rtl/>
          <w:lang w:val="fr-FR" w:bidi="ar-TN"/>
        </w:rPr>
        <w:t xml:space="preserve"> كتاب</w:t>
      </w:r>
      <w:r w:rsidR="00E16D63" w:rsidRPr="00E16D63">
        <w:rPr>
          <w:rFonts w:ascii="Arabic Typesetting" w:hAnsi="Arabic Typesetting" w:cs="Arabic Typesetting" w:hint="cs"/>
          <w:sz w:val="34"/>
          <w:szCs w:val="34"/>
          <w:rtl/>
          <w:lang w:val="fr-FR" w:bidi="ar-TN"/>
        </w:rPr>
        <w:t>ا</w:t>
      </w:r>
      <w:r w:rsidR="001D491F">
        <w:rPr>
          <w:rFonts w:ascii="Arabic Typesetting" w:hAnsi="Arabic Typesetting" w:cs="Arabic Typesetting" w:hint="cs"/>
          <w:sz w:val="34"/>
          <w:szCs w:val="34"/>
          <w:rtl/>
          <w:lang w:val="fr-FR" w:bidi="ar-TN"/>
        </w:rPr>
        <w:t>ً</w:t>
      </w:r>
      <w:r w:rsidR="00E16D63" w:rsidRPr="00E16D63">
        <w:rPr>
          <w:rFonts w:ascii="Arabic Typesetting" w:hAnsi="Arabic Typesetting" w:cs="Arabic Typesetting"/>
          <w:sz w:val="34"/>
          <w:szCs w:val="34"/>
          <w:rtl/>
          <w:lang w:val="fr-FR" w:bidi="ar-TN"/>
        </w:rPr>
        <w:t xml:space="preserve"> </w:t>
      </w:r>
      <w:r w:rsidR="00E16D63" w:rsidRPr="00E16D63">
        <w:rPr>
          <w:rFonts w:ascii="Arabic Typesetting" w:hAnsi="Arabic Typesetting" w:cs="Arabic Typesetting" w:hint="cs"/>
          <w:sz w:val="34"/>
          <w:szCs w:val="34"/>
          <w:rtl/>
          <w:lang w:val="fr-FR" w:bidi="ar-TN"/>
        </w:rPr>
        <w:t>إ</w:t>
      </w:r>
      <w:r w:rsidR="00E16D63" w:rsidRPr="00E16D63">
        <w:rPr>
          <w:rFonts w:ascii="Arabic Typesetting" w:hAnsi="Arabic Typesetting" w:cs="Arabic Typesetting"/>
          <w:sz w:val="34"/>
          <w:szCs w:val="34"/>
          <w:rtl/>
          <w:lang w:val="fr-FR" w:bidi="ar-TN"/>
        </w:rPr>
        <w:t>لكترون</w:t>
      </w:r>
      <w:r w:rsidR="00E16D63" w:rsidRPr="00E16D63">
        <w:rPr>
          <w:rFonts w:ascii="Arabic Typesetting" w:hAnsi="Arabic Typesetting" w:cs="Arabic Typesetting" w:hint="cs"/>
          <w:sz w:val="34"/>
          <w:szCs w:val="34"/>
          <w:rtl/>
          <w:lang w:val="fr-FR" w:bidi="ar-TN"/>
        </w:rPr>
        <w:t>يا</w:t>
      </w:r>
      <w:r w:rsidR="001D491F">
        <w:rPr>
          <w:rFonts w:ascii="Arabic Typesetting" w:hAnsi="Arabic Typesetting" w:cs="Arabic Typesetting" w:hint="cs"/>
          <w:sz w:val="34"/>
          <w:szCs w:val="34"/>
          <w:rtl/>
          <w:lang w:val="fr-FR" w:bidi="ar-TN"/>
        </w:rPr>
        <w:t>ً</w:t>
      </w:r>
      <w:r w:rsidR="00E16D63" w:rsidRPr="00E16D63">
        <w:rPr>
          <w:rFonts w:ascii="Arabic Typesetting" w:hAnsi="Arabic Typesetting" w:cs="Arabic Typesetting"/>
          <w:sz w:val="34"/>
          <w:szCs w:val="34"/>
          <w:rtl/>
          <w:lang w:val="fr-FR" w:bidi="ar-TN"/>
        </w:rPr>
        <w:t xml:space="preserve"> </w:t>
      </w:r>
      <w:r w:rsidR="00E16D63" w:rsidRPr="00E16D63">
        <w:rPr>
          <w:rFonts w:ascii="Arabic Typesetting" w:hAnsi="Arabic Typesetting" w:cs="Arabic Typesetting" w:hint="cs"/>
          <w:sz w:val="34"/>
          <w:szCs w:val="34"/>
          <w:rtl/>
          <w:lang w:val="fr-FR" w:bidi="ar-TN"/>
        </w:rPr>
        <w:t>و</w:t>
      </w:r>
      <w:r w:rsidR="001D491F">
        <w:rPr>
          <w:rFonts w:ascii="Arabic Typesetting" w:hAnsi="Arabic Typesetting" w:cs="Arabic Typesetting" w:hint="cs"/>
          <w:sz w:val="34"/>
          <w:szCs w:val="34"/>
          <w:rtl/>
          <w:lang w:val="fr-FR" w:bidi="ar-TN"/>
        </w:rPr>
        <w:t>169</w:t>
      </w:r>
      <w:r w:rsidR="00E16D63" w:rsidRPr="00E16D63">
        <w:rPr>
          <w:rFonts w:ascii="Arabic Typesetting" w:hAnsi="Arabic Typesetting" w:cs="Arabic Typesetting" w:hint="cs"/>
          <w:sz w:val="34"/>
          <w:szCs w:val="34"/>
          <w:rtl/>
          <w:lang w:val="fr-FR" w:bidi="ar-TN"/>
        </w:rPr>
        <w:t xml:space="preserve"> مصنفا</w:t>
      </w:r>
      <w:r w:rsidR="001D491F">
        <w:rPr>
          <w:rFonts w:ascii="Arabic Typesetting" w:hAnsi="Arabic Typesetting" w:cs="Arabic Typesetting" w:hint="cs"/>
          <w:sz w:val="34"/>
          <w:szCs w:val="34"/>
          <w:rtl/>
          <w:lang w:val="fr-FR" w:bidi="ar-TN"/>
        </w:rPr>
        <w:t>ً</w:t>
      </w:r>
      <w:r w:rsidR="00E16D63" w:rsidRPr="00E16D63">
        <w:rPr>
          <w:rFonts w:ascii="Arabic Typesetting" w:hAnsi="Arabic Typesetting" w:cs="Arabic Typesetting" w:hint="cs"/>
          <w:sz w:val="34"/>
          <w:szCs w:val="34"/>
          <w:rtl/>
          <w:lang w:val="fr-FR" w:bidi="ar-TN"/>
        </w:rPr>
        <w:t xml:space="preserve"> مرجعيا</w:t>
      </w:r>
      <w:r w:rsidR="001D491F">
        <w:rPr>
          <w:rFonts w:ascii="Arabic Typesetting" w:hAnsi="Arabic Typesetting" w:cs="Arabic Typesetting" w:hint="cs"/>
          <w:sz w:val="34"/>
          <w:szCs w:val="34"/>
          <w:rtl/>
          <w:lang w:val="fr-FR" w:bidi="ar-TN"/>
        </w:rPr>
        <w:t>ً</w:t>
      </w:r>
      <w:r w:rsidR="00E16D63" w:rsidRPr="00E16D63">
        <w:rPr>
          <w:rFonts w:ascii="Arabic Typesetting" w:hAnsi="Arabic Typesetting" w:cs="Arabic Typesetting" w:hint="cs"/>
          <w:sz w:val="34"/>
          <w:szCs w:val="34"/>
          <w:rtl/>
          <w:lang w:val="fr-FR" w:bidi="ar-TN"/>
        </w:rPr>
        <w:t xml:space="preserve"> وقاعدة بيانات</w:t>
      </w:r>
      <w:r w:rsidR="00E16D63" w:rsidRPr="00E16D63">
        <w:rPr>
          <w:rFonts w:ascii="Arabic Typesetting" w:hAnsi="Arabic Typesetting" w:cs="Arabic Typesetting"/>
          <w:sz w:val="34"/>
          <w:szCs w:val="34"/>
          <w:rtl/>
          <w:lang w:val="fr-FR" w:bidi="ar-TN"/>
        </w:rPr>
        <w:t xml:space="preserve">. </w:t>
      </w:r>
      <w:r w:rsidR="001D491F">
        <w:rPr>
          <w:rFonts w:ascii="Arabic Typesetting" w:hAnsi="Arabic Typesetting" w:cs="Arabic Typesetting" w:hint="cs"/>
          <w:sz w:val="34"/>
          <w:szCs w:val="34"/>
          <w:rtl/>
          <w:lang w:val="fr-FR" w:bidi="ar-TN"/>
        </w:rPr>
        <w:t>و</w:t>
      </w:r>
      <w:r w:rsidR="00E16D63" w:rsidRPr="00E16D63">
        <w:rPr>
          <w:rFonts w:ascii="Arabic Typesetting" w:hAnsi="Arabic Typesetting" w:cs="Arabic Typesetting" w:hint="cs"/>
          <w:sz w:val="34"/>
          <w:szCs w:val="34"/>
          <w:rtl/>
          <w:lang w:val="fr-FR" w:bidi="ar-TN"/>
        </w:rPr>
        <w:t>تضاعف</w:t>
      </w:r>
      <w:r w:rsidR="00E16D63" w:rsidRPr="00E16D63">
        <w:rPr>
          <w:rFonts w:ascii="Arabic Typesetting" w:hAnsi="Arabic Typesetting" w:cs="Arabic Typesetting"/>
          <w:sz w:val="34"/>
          <w:szCs w:val="34"/>
          <w:rtl/>
          <w:lang w:val="fr-FR" w:bidi="ar-TN"/>
        </w:rPr>
        <w:t xml:space="preserve"> عدد المستخدمين النشطين المسجلين في برنامج النفاذ إلى الأبحاث من أجل التنمية والابتكار (</w:t>
      </w:r>
      <w:r w:rsidR="00E16D63" w:rsidRPr="00E16D63">
        <w:rPr>
          <w:rFonts w:ascii="Arabic Typesetting" w:hAnsi="Arabic Typesetting" w:cs="Arabic Typesetting"/>
          <w:sz w:val="34"/>
          <w:szCs w:val="34"/>
          <w:lang w:val="fr-FR" w:bidi="ar-TN"/>
        </w:rPr>
        <w:t>ARDI</w:t>
      </w:r>
      <w:r w:rsidR="00E16D63" w:rsidRPr="00E16D63">
        <w:rPr>
          <w:rFonts w:ascii="Arabic Typesetting" w:hAnsi="Arabic Typesetting" w:cs="Arabic Typesetting"/>
          <w:sz w:val="34"/>
          <w:szCs w:val="34"/>
          <w:rtl/>
          <w:lang w:val="fr-FR" w:bidi="ar-TN"/>
        </w:rPr>
        <w:t>)</w:t>
      </w:r>
      <w:r w:rsidR="001D491F">
        <w:rPr>
          <w:rFonts w:ascii="Arabic Typesetting" w:hAnsi="Arabic Typesetting" w:cs="Arabic Typesetting" w:hint="cs"/>
          <w:sz w:val="34"/>
          <w:szCs w:val="34"/>
          <w:rtl/>
          <w:lang w:val="fr-FR" w:bidi="ar-TN"/>
        </w:rPr>
        <w:t xml:space="preserve"> ثلاثة أضعاف خلال الثنائية </w:t>
      </w:r>
      <w:r>
        <w:rPr>
          <w:rFonts w:ascii="Arabic Typesetting" w:hAnsi="Arabic Typesetting" w:cs="Arabic Typesetting" w:hint="cs"/>
          <w:sz w:val="34"/>
          <w:szCs w:val="34"/>
          <w:rtl/>
          <w:lang w:val="fr-FR" w:bidi="ar-TN"/>
        </w:rPr>
        <w:t>2014/15</w:t>
      </w:r>
      <w:r w:rsidR="00E16D63" w:rsidRPr="00E16D63">
        <w:rPr>
          <w:rFonts w:ascii="Arabic Typesetting" w:hAnsi="Arabic Typesetting" w:cs="Arabic Typesetting" w:hint="cs"/>
          <w:sz w:val="34"/>
          <w:szCs w:val="34"/>
          <w:rtl/>
          <w:lang w:val="fr-FR" w:bidi="ar-TN"/>
        </w:rPr>
        <w:t xml:space="preserve"> مرتفعا</w:t>
      </w:r>
      <w:r w:rsidR="001D491F">
        <w:rPr>
          <w:rFonts w:ascii="Arabic Typesetting" w:hAnsi="Arabic Typesetting" w:cs="Arabic Typesetting" w:hint="cs"/>
          <w:sz w:val="34"/>
          <w:szCs w:val="34"/>
          <w:rtl/>
          <w:lang w:val="fr-FR" w:bidi="ar-TN"/>
        </w:rPr>
        <w:t>ً</w:t>
      </w:r>
      <w:r w:rsidR="00E16D63" w:rsidRPr="00E16D63">
        <w:rPr>
          <w:rFonts w:ascii="Arabic Typesetting" w:hAnsi="Arabic Typesetting" w:cs="Arabic Typesetting" w:hint="cs"/>
          <w:sz w:val="34"/>
          <w:szCs w:val="34"/>
          <w:rtl/>
          <w:lang w:val="fr-FR" w:bidi="ar-TN"/>
        </w:rPr>
        <w:t xml:space="preserve"> من 207 مستخدمين في </w:t>
      </w:r>
      <w:r w:rsidR="001D491F">
        <w:rPr>
          <w:rFonts w:ascii="Arabic Typesetting" w:hAnsi="Arabic Typesetting" w:cs="Arabic Typesetting" w:hint="cs"/>
          <w:sz w:val="34"/>
          <w:szCs w:val="34"/>
          <w:rtl/>
          <w:lang w:val="fr-FR" w:bidi="ar-TN"/>
        </w:rPr>
        <w:t xml:space="preserve">الثنائية 2012/13 </w:t>
      </w:r>
      <w:r w:rsidR="00E16D63" w:rsidRPr="00E16D63">
        <w:rPr>
          <w:rFonts w:ascii="Arabic Typesetting" w:hAnsi="Arabic Typesetting" w:cs="Arabic Typesetting" w:hint="cs"/>
          <w:sz w:val="34"/>
          <w:szCs w:val="34"/>
          <w:rtl/>
          <w:lang w:val="fr-FR" w:bidi="ar-TN"/>
        </w:rPr>
        <w:t xml:space="preserve">إلى </w:t>
      </w:r>
      <w:r w:rsidR="001D491F">
        <w:rPr>
          <w:rFonts w:ascii="Arabic Typesetting" w:hAnsi="Arabic Typesetting" w:cs="Arabic Typesetting" w:hint="cs"/>
          <w:sz w:val="34"/>
          <w:szCs w:val="34"/>
          <w:rtl/>
          <w:lang w:val="fr-FR" w:bidi="ar-TN"/>
        </w:rPr>
        <w:t>623</w:t>
      </w:r>
      <w:r w:rsidR="00E16D63" w:rsidRPr="00E16D63">
        <w:rPr>
          <w:rFonts w:ascii="Arabic Typesetting" w:hAnsi="Arabic Typesetting" w:cs="Arabic Typesetting" w:hint="cs"/>
          <w:sz w:val="34"/>
          <w:szCs w:val="34"/>
          <w:rtl/>
          <w:lang w:val="fr-FR" w:bidi="ar-TN"/>
        </w:rPr>
        <w:t xml:space="preserve"> مستخدما</w:t>
      </w:r>
      <w:r w:rsidR="001D491F">
        <w:rPr>
          <w:rFonts w:ascii="Arabic Typesetting" w:hAnsi="Arabic Typesetting" w:cs="Arabic Typesetting" w:hint="cs"/>
          <w:sz w:val="34"/>
          <w:szCs w:val="34"/>
          <w:rtl/>
          <w:lang w:val="fr-FR" w:bidi="ar-TN"/>
        </w:rPr>
        <w:t>ً</w:t>
      </w:r>
      <w:r w:rsidR="00E16D63" w:rsidRPr="00E16D63">
        <w:rPr>
          <w:rFonts w:ascii="Arabic Typesetting" w:hAnsi="Arabic Typesetting" w:cs="Arabic Typesetting" w:hint="cs"/>
          <w:sz w:val="34"/>
          <w:szCs w:val="34"/>
          <w:rtl/>
          <w:lang w:val="fr-FR" w:bidi="ar-TN"/>
        </w:rPr>
        <w:t xml:space="preserve"> في </w:t>
      </w:r>
      <w:r w:rsidR="001D491F">
        <w:rPr>
          <w:rFonts w:ascii="Arabic Typesetting" w:hAnsi="Arabic Typesetting" w:cs="Arabic Typesetting" w:hint="cs"/>
          <w:sz w:val="34"/>
          <w:szCs w:val="34"/>
          <w:rtl/>
          <w:lang w:val="fr-FR" w:bidi="ar-TN"/>
        </w:rPr>
        <w:t>الثنائية 2014/15</w:t>
      </w:r>
      <w:r w:rsidR="00E16D63" w:rsidRPr="00E16D63">
        <w:rPr>
          <w:rFonts w:ascii="Arabic Typesetting" w:hAnsi="Arabic Typesetting" w:cs="Arabic Typesetting" w:hint="cs"/>
          <w:sz w:val="34"/>
          <w:szCs w:val="34"/>
          <w:rtl/>
          <w:lang w:val="fr-FR" w:bidi="ar-TN"/>
        </w:rPr>
        <w:t xml:space="preserve">. </w:t>
      </w:r>
      <w:r w:rsidR="001D491F">
        <w:rPr>
          <w:rFonts w:ascii="Arabic Typesetting" w:hAnsi="Arabic Typesetting" w:cs="Arabic Typesetting" w:hint="cs"/>
          <w:sz w:val="34"/>
          <w:szCs w:val="34"/>
          <w:rtl/>
          <w:lang w:val="fr-FR" w:bidi="ar-TN"/>
        </w:rPr>
        <w:t>و</w:t>
      </w:r>
      <w:r w:rsidR="00E16D63" w:rsidRPr="00E16D63">
        <w:rPr>
          <w:rFonts w:ascii="Arabic Typesetting" w:hAnsi="Arabic Typesetting" w:cs="Arabic Typesetting" w:hint="cs"/>
          <w:sz w:val="34"/>
          <w:szCs w:val="34"/>
          <w:rtl/>
          <w:lang w:val="fr-FR" w:bidi="ar-TN"/>
        </w:rPr>
        <w:t xml:space="preserve">زاد عدد المستخدمين النشطين المسجلين في </w:t>
      </w:r>
      <w:r w:rsidR="00E16D63" w:rsidRPr="00E16D63">
        <w:rPr>
          <w:rFonts w:ascii="Arabic Typesetting" w:hAnsi="Arabic Typesetting" w:cs="Arabic Typesetting"/>
          <w:sz w:val="34"/>
          <w:szCs w:val="34"/>
          <w:rtl/>
          <w:lang w:val="fr-FR" w:bidi="ar-TN"/>
        </w:rPr>
        <w:t>برنامج النفاذ إلى المعلومات المتخصصة بشأن البراءات (</w:t>
      </w:r>
      <w:r w:rsidR="00E16D63" w:rsidRPr="00E16D63">
        <w:rPr>
          <w:rFonts w:ascii="Arabic Typesetting" w:hAnsi="Arabic Typesetting" w:cs="Arabic Typesetting"/>
          <w:sz w:val="34"/>
          <w:szCs w:val="34"/>
          <w:lang w:val="fr-FR" w:bidi="ar-TN"/>
        </w:rPr>
        <w:t>ASPI</w:t>
      </w:r>
      <w:r w:rsidR="00E16D63" w:rsidRPr="00E16D63">
        <w:rPr>
          <w:rFonts w:ascii="Arabic Typesetting" w:hAnsi="Arabic Typesetting" w:cs="Arabic Typesetting"/>
          <w:sz w:val="34"/>
          <w:szCs w:val="34"/>
          <w:rtl/>
          <w:lang w:val="fr-FR" w:bidi="ar-TN"/>
        </w:rPr>
        <w:t xml:space="preserve">)، </w:t>
      </w:r>
      <w:r w:rsidR="00E16D63" w:rsidRPr="00E16D63">
        <w:rPr>
          <w:rFonts w:ascii="Arabic Typesetting" w:hAnsi="Arabic Typesetting" w:cs="Arabic Typesetting" w:hint="cs"/>
          <w:sz w:val="34"/>
          <w:szCs w:val="34"/>
          <w:rtl/>
          <w:lang w:val="fr-FR" w:bidi="ar-TN"/>
        </w:rPr>
        <w:t>الذي يتيح النفاذ إلى قواعد بيانات البراءات التجارية،</w:t>
      </w:r>
      <w:r w:rsidR="001D491F">
        <w:rPr>
          <w:rFonts w:ascii="Arabic Typesetting" w:hAnsi="Arabic Typesetting" w:cs="Arabic Typesetting" w:hint="cs"/>
          <w:sz w:val="34"/>
          <w:szCs w:val="34"/>
          <w:rtl/>
          <w:lang w:val="fr-FR" w:bidi="ar-TN"/>
        </w:rPr>
        <w:t xml:space="preserve"> إلى أكثر من الضعف في الثنائية </w:t>
      </w:r>
      <w:r>
        <w:rPr>
          <w:rFonts w:ascii="Arabic Typesetting" w:hAnsi="Arabic Typesetting" w:cs="Arabic Typesetting" w:hint="cs"/>
          <w:sz w:val="34"/>
          <w:szCs w:val="34"/>
          <w:rtl/>
          <w:lang w:val="fr-FR" w:bidi="ar-TN"/>
        </w:rPr>
        <w:t>2014/15</w:t>
      </w:r>
      <w:r w:rsidR="001D491F">
        <w:rPr>
          <w:rFonts w:ascii="Arabic Typesetting" w:hAnsi="Arabic Typesetting" w:cs="Arabic Typesetting" w:hint="cs"/>
          <w:sz w:val="34"/>
          <w:szCs w:val="34"/>
          <w:rtl/>
          <w:lang w:val="fr-FR" w:bidi="ar-TN"/>
        </w:rPr>
        <w:t xml:space="preserve"> ليبلغ 42 مستخدماً مؤسسياً نشطاً أي بزيادة نسبتها 110 بالمئة على عام 2013.</w:t>
      </w:r>
    </w:p>
    <w:p w:rsidR="00984320" w:rsidRDefault="001D491F" w:rsidP="009A3712">
      <w:pPr>
        <w:numPr>
          <w:ilvl w:val="0"/>
          <w:numId w:val="41"/>
        </w:numPr>
        <w:bidi/>
        <w:spacing w:after="120" w:line="340" w:lineRule="exact"/>
        <w:ind w:left="0" w:firstLine="0"/>
        <w:rPr>
          <w:rFonts w:ascii="Arabic Typesetting" w:hAnsi="Arabic Typesetting" w:cs="Arabic Typesetting"/>
          <w:sz w:val="34"/>
          <w:szCs w:val="34"/>
          <w:lang w:val="fr-FR" w:bidi="ar-TN"/>
        </w:rPr>
      </w:pPr>
      <w:r>
        <w:rPr>
          <w:rFonts w:ascii="Arabic Typesetting" w:hAnsi="Arabic Typesetting" w:cs="Arabic Typesetting" w:hint="cs"/>
          <w:sz w:val="34"/>
          <w:szCs w:val="34"/>
          <w:rtl/>
          <w:lang w:val="fr-FR" w:bidi="ar-TN"/>
        </w:rPr>
        <w:t xml:space="preserve">ونشرت الويبو في 2014/15 </w:t>
      </w:r>
      <w:r w:rsidR="00285F0F">
        <w:rPr>
          <w:rFonts w:ascii="Arabic Typesetting" w:hAnsi="Arabic Typesetting" w:cs="Arabic Typesetting" w:hint="cs"/>
          <w:sz w:val="34"/>
          <w:szCs w:val="34"/>
          <w:rtl/>
          <w:lang w:val="fr-FR" w:bidi="ar-TN"/>
        </w:rPr>
        <w:t xml:space="preserve">أربعة من تقارير واقع البراءات </w:t>
      </w:r>
      <w:r w:rsidR="00984320">
        <w:rPr>
          <w:rFonts w:ascii="Arabic Typesetting" w:hAnsi="Arabic Typesetting" w:cs="Arabic Typesetting" w:hint="cs"/>
          <w:sz w:val="34"/>
          <w:szCs w:val="34"/>
          <w:rtl/>
          <w:lang w:val="fr-FR" w:bidi="ar-TN"/>
        </w:rPr>
        <w:t>عن الموضوعات التالية</w:t>
      </w:r>
      <w:r w:rsidR="00285F0F">
        <w:rPr>
          <w:rFonts w:ascii="Arabic Typesetting" w:hAnsi="Arabic Typesetting" w:cs="Arabic Typesetting" w:hint="cs"/>
          <w:sz w:val="34"/>
          <w:szCs w:val="34"/>
          <w:rtl/>
          <w:lang w:val="fr-FR" w:bidi="ar-TN"/>
        </w:rPr>
        <w:t>: "1" الموارد الوراثية الحيوانية</w:t>
      </w:r>
      <w:r w:rsidR="008A4844">
        <w:rPr>
          <w:rFonts w:ascii="Arabic Typesetting" w:hAnsi="Arabic Typesetting" w:cs="Arabic Typesetting" w:hint="cs"/>
          <w:sz w:val="34"/>
          <w:szCs w:val="34"/>
          <w:rtl/>
          <w:lang w:val="fr-FR" w:bidi="ar-TN"/>
        </w:rPr>
        <w:t>:</w:t>
      </w:r>
      <w:r w:rsidR="00285F0F">
        <w:rPr>
          <w:rFonts w:ascii="Arabic Typesetting" w:hAnsi="Arabic Typesetting" w:cs="Arabic Typesetting" w:hint="cs"/>
          <w:sz w:val="34"/>
          <w:szCs w:val="34"/>
          <w:rtl/>
          <w:lang w:val="fr-FR" w:bidi="ar-TN"/>
        </w:rPr>
        <w:t xml:space="preserve"> وهو </w:t>
      </w:r>
      <w:r w:rsidR="00984320" w:rsidRPr="00E16D63">
        <w:rPr>
          <w:rFonts w:ascii="Arabic Typesetting" w:hAnsi="Arabic Typesetting" w:cs="Arabic Typesetting" w:hint="cs"/>
          <w:sz w:val="34"/>
          <w:szCs w:val="34"/>
          <w:rtl/>
          <w:lang w:val="fr-FR" w:bidi="ar-TN"/>
        </w:rPr>
        <w:t>أول تحليل نوعي واسع النطاق يتعلق بمعلومات البراءات عن الموارد الوراثية الحيوانية</w:t>
      </w:r>
      <w:r w:rsidR="00984320">
        <w:rPr>
          <w:rFonts w:ascii="Arabic Typesetting" w:hAnsi="Arabic Typesetting" w:cs="Arabic Typesetting" w:hint="cs"/>
          <w:sz w:val="34"/>
          <w:szCs w:val="34"/>
          <w:rtl/>
          <w:lang w:val="fr-FR" w:bidi="ar-TN"/>
        </w:rPr>
        <w:t xml:space="preserve"> </w:t>
      </w:r>
      <w:r w:rsidR="00285F0F">
        <w:rPr>
          <w:rFonts w:ascii="Arabic Typesetting" w:hAnsi="Arabic Typesetting" w:cs="Arabic Typesetting" w:hint="cs"/>
          <w:sz w:val="34"/>
          <w:szCs w:val="34"/>
          <w:rtl/>
          <w:lang w:val="fr-FR" w:bidi="ar-TN"/>
        </w:rPr>
        <w:t>أعدَّ بالتعاون مع منظمة الأغذية والزراعة للأمم المتحدة (الفاو) وبمدخلات موضوعية من البرنامج 4؛ "2" </w:t>
      </w:r>
      <w:r w:rsidR="00E16D63" w:rsidRPr="00984320">
        <w:rPr>
          <w:rFonts w:ascii="Arabic Typesetting" w:hAnsi="Arabic Typesetting" w:cs="Arabic Typesetting"/>
          <w:sz w:val="34"/>
          <w:szCs w:val="34"/>
          <w:rtl/>
          <w:lang w:val="fr-FR" w:bidi="ar-TN"/>
        </w:rPr>
        <w:t>الأجهزة والتكنولوجيات المساعدة لذوي الإعاقة البصرية والسمعية</w:t>
      </w:r>
      <w:r w:rsidR="008A4844">
        <w:rPr>
          <w:rFonts w:ascii="Arabic Typesetting" w:hAnsi="Arabic Typesetting" w:cs="Arabic Typesetting" w:hint="cs"/>
          <w:sz w:val="34"/>
          <w:szCs w:val="34"/>
          <w:rtl/>
          <w:lang w:val="fr-FR" w:bidi="ar-TN"/>
        </w:rPr>
        <w:t>:</w:t>
      </w:r>
      <w:r w:rsidR="00E16D63" w:rsidRPr="00984320">
        <w:rPr>
          <w:rFonts w:ascii="Arabic Typesetting" w:hAnsi="Arabic Typesetting" w:cs="Arabic Typesetting" w:hint="cs"/>
          <w:sz w:val="34"/>
          <w:szCs w:val="34"/>
          <w:rtl/>
          <w:lang w:val="fr-FR" w:bidi="ar-TN"/>
        </w:rPr>
        <w:t xml:space="preserve"> </w:t>
      </w:r>
      <w:r w:rsidR="00984320">
        <w:rPr>
          <w:rFonts w:ascii="Arabic Typesetting" w:hAnsi="Arabic Typesetting" w:cs="Arabic Typesetting" w:hint="cs"/>
          <w:sz w:val="34"/>
          <w:szCs w:val="34"/>
          <w:rtl/>
          <w:lang w:val="fr-FR" w:bidi="ar-TN"/>
        </w:rPr>
        <w:t>أعدَّ</w:t>
      </w:r>
      <w:r w:rsidR="008A4844">
        <w:rPr>
          <w:rFonts w:ascii="Arabic Typesetting" w:hAnsi="Arabic Typesetting" w:cs="Arabic Typesetting" w:hint="cs"/>
          <w:sz w:val="34"/>
          <w:szCs w:val="34"/>
          <w:rtl/>
          <w:lang w:val="fr-FR" w:bidi="ar-TN"/>
        </w:rPr>
        <w:t xml:space="preserve"> هذا التقرير</w:t>
      </w:r>
      <w:r w:rsidR="00984320">
        <w:rPr>
          <w:rFonts w:ascii="Arabic Typesetting" w:hAnsi="Arabic Typesetting" w:cs="Arabic Typesetting" w:hint="cs"/>
          <w:sz w:val="34"/>
          <w:szCs w:val="34"/>
          <w:rtl/>
          <w:lang w:val="fr-FR" w:bidi="ar-TN"/>
        </w:rPr>
        <w:t xml:space="preserve"> بالتعاون مع منظمة الصحة العالمية وشمل أول منشور للويبو بنسق ميسَّر؛ "3" </w:t>
      </w:r>
      <w:r w:rsidR="00984320" w:rsidRPr="00984320">
        <w:rPr>
          <w:rFonts w:ascii="Arabic Typesetting" w:hAnsi="Arabic Typesetting" w:cs="Arabic Typesetting"/>
          <w:sz w:val="34"/>
          <w:szCs w:val="34"/>
          <w:rtl/>
          <w:lang w:val="fr-FR" w:bidi="ar-TN"/>
        </w:rPr>
        <w:t>التكنولوجيات المتعلقة بزيت النخيل</w:t>
      </w:r>
      <w:r w:rsidR="008A4844">
        <w:rPr>
          <w:rFonts w:ascii="Arabic Typesetting" w:hAnsi="Arabic Typesetting" w:cs="Arabic Typesetting" w:hint="cs"/>
          <w:sz w:val="34"/>
          <w:szCs w:val="34"/>
          <w:rtl/>
          <w:lang w:val="fr-FR" w:bidi="ar-TN"/>
        </w:rPr>
        <w:t>:</w:t>
      </w:r>
      <w:r w:rsidR="00984320">
        <w:rPr>
          <w:rFonts w:ascii="Arabic Typesetting" w:hAnsi="Arabic Typesetting" w:cs="Arabic Typesetting" w:hint="cs"/>
          <w:sz w:val="34"/>
          <w:szCs w:val="34"/>
          <w:rtl/>
          <w:lang w:val="fr-FR" w:bidi="ar-TN"/>
        </w:rPr>
        <w:t xml:space="preserve"> أعدَّ</w:t>
      </w:r>
      <w:r w:rsidR="008A4844">
        <w:rPr>
          <w:rFonts w:ascii="Arabic Typesetting" w:hAnsi="Arabic Typesetting" w:cs="Arabic Typesetting" w:hint="cs"/>
          <w:sz w:val="34"/>
          <w:szCs w:val="34"/>
          <w:rtl/>
          <w:lang w:val="fr-FR" w:bidi="ar-TN"/>
        </w:rPr>
        <w:t xml:space="preserve"> هذا التقرير</w:t>
      </w:r>
      <w:r w:rsidR="00984320">
        <w:rPr>
          <w:rFonts w:ascii="Arabic Typesetting" w:hAnsi="Arabic Typesetting" w:cs="Arabic Typesetting" w:hint="cs"/>
          <w:sz w:val="34"/>
          <w:szCs w:val="34"/>
          <w:rtl/>
          <w:lang w:val="fr-FR" w:bidi="ar-TN"/>
        </w:rPr>
        <w:t xml:space="preserve"> بالتعاون مع </w:t>
      </w:r>
      <w:r w:rsidR="00984320" w:rsidRPr="00984320">
        <w:rPr>
          <w:rFonts w:ascii="Arabic Typesetting" w:hAnsi="Arabic Typesetting" w:cs="Arabic Typesetting"/>
          <w:sz w:val="34"/>
          <w:szCs w:val="34"/>
          <w:rtl/>
          <w:lang w:val="fr-FR" w:bidi="ar-TN"/>
        </w:rPr>
        <w:t>مؤسسة ماليزيا للملكية الفكرية</w:t>
      </w:r>
      <w:r w:rsidR="00984320">
        <w:rPr>
          <w:rFonts w:ascii="Arabic Typesetting" w:hAnsi="Arabic Typesetting" w:cs="Arabic Typesetting" w:hint="cs"/>
          <w:sz w:val="34"/>
          <w:szCs w:val="34"/>
          <w:rtl/>
          <w:lang w:val="fr-FR" w:bidi="ar-TN"/>
        </w:rPr>
        <w:t>؛ "4" أمراض مهملة مختارة</w:t>
      </w:r>
      <w:r w:rsidR="008A4844">
        <w:rPr>
          <w:rFonts w:ascii="Arabic Typesetting" w:hAnsi="Arabic Typesetting" w:cs="Arabic Typesetting" w:hint="cs"/>
          <w:sz w:val="34"/>
          <w:szCs w:val="34"/>
          <w:rtl/>
          <w:lang w:val="fr-FR" w:bidi="ar-TN"/>
        </w:rPr>
        <w:t>:</w:t>
      </w:r>
      <w:r w:rsidR="00984320">
        <w:rPr>
          <w:rFonts w:ascii="Arabic Typesetting" w:hAnsi="Arabic Typesetting" w:cs="Arabic Typesetting" w:hint="cs"/>
          <w:sz w:val="34"/>
          <w:szCs w:val="34"/>
          <w:rtl/>
          <w:lang w:val="fr-FR" w:bidi="ar-TN"/>
        </w:rPr>
        <w:t xml:space="preserve"> أعدَّت نسخة محدَّثة</w:t>
      </w:r>
      <w:r w:rsidR="008A4844">
        <w:rPr>
          <w:rFonts w:ascii="Arabic Typesetting" w:hAnsi="Arabic Typesetting" w:cs="Arabic Typesetting" w:hint="cs"/>
          <w:sz w:val="34"/>
          <w:szCs w:val="34"/>
          <w:rtl/>
          <w:lang w:val="fr-FR" w:bidi="ar-TN"/>
        </w:rPr>
        <w:t xml:space="preserve"> من هذا التقرير</w:t>
      </w:r>
      <w:r w:rsidR="00984320">
        <w:rPr>
          <w:rFonts w:ascii="Arabic Typesetting" w:hAnsi="Arabic Typesetting" w:cs="Arabic Typesetting" w:hint="cs"/>
          <w:sz w:val="34"/>
          <w:szCs w:val="34"/>
          <w:rtl/>
          <w:lang w:val="fr-FR" w:bidi="ar-TN"/>
        </w:rPr>
        <w:t>.</w:t>
      </w:r>
    </w:p>
    <w:p w:rsidR="00984320" w:rsidRDefault="00E16D63" w:rsidP="009A3712">
      <w:pPr>
        <w:numPr>
          <w:ilvl w:val="0"/>
          <w:numId w:val="41"/>
        </w:numPr>
        <w:bidi/>
        <w:spacing w:after="120" w:line="340" w:lineRule="exact"/>
        <w:ind w:left="0" w:firstLine="0"/>
        <w:rPr>
          <w:rFonts w:ascii="Arabic Typesetting" w:hAnsi="Arabic Typesetting" w:cs="Arabic Typesetting"/>
          <w:sz w:val="34"/>
          <w:szCs w:val="34"/>
          <w:lang w:val="fr-FR" w:bidi="ar-TN"/>
        </w:rPr>
      </w:pPr>
      <w:r w:rsidRPr="00E16D63">
        <w:rPr>
          <w:rFonts w:ascii="Arabic Typesetting" w:hAnsi="Arabic Typesetting" w:cs="Arabic Typesetting" w:hint="cs"/>
          <w:sz w:val="34"/>
          <w:szCs w:val="34"/>
          <w:rtl/>
          <w:lang w:val="fr-FR" w:bidi="ar-TN"/>
        </w:rPr>
        <w:lastRenderedPageBreak/>
        <w:t>وظل الاهتمام كبيرا بتقارير واقع البراءات</w:t>
      </w:r>
      <w:r w:rsidR="008A4844" w:rsidRPr="008A4844">
        <w:rPr>
          <w:rFonts w:ascii="Arabic Typesetting" w:hAnsi="Arabic Typesetting" w:cs="Arabic Typesetting" w:hint="cs"/>
          <w:sz w:val="34"/>
          <w:szCs w:val="34"/>
          <w:rtl/>
          <w:lang w:val="fr-FR" w:bidi="ar-TN"/>
        </w:rPr>
        <w:t xml:space="preserve"> </w:t>
      </w:r>
      <w:r w:rsidR="008A4844">
        <w:rPr>
          <w:rFonts w:ascii="Arabic Typesetting" w:hAnsi="Arabic Typesetting" w:cs="Arabic Typesetting" w:hint="cs"/>
          <w:sz w:val="34"/>
          <w:szCs w:val="34"/>
          <w:rtl/>
          <w:lang w:val="fr-FR" w:bidi="ar-TN"/>
        </w:rPr>
        <w:t>خلال الثنائية</w:t>
      </w:r>
      <w:r w:rsidRPr="00E16D63">
        <w:rPr>
          <w:rFonts w:ascii="Arabic Typesetting" w:hAnsi="Arabic Typesetting" w:cs="Arabic Typesetting" w:hint="cs"/>
          <w:sz w:val="34"/>
          <w:szCs w:val="34"/>
          <w:rtl/>
          <w:lang w:val="fr-FR" w:bidi="ar-TN"/>
        </w:rPr>
        <w:t xml:space="preserve">، وخاصة </w:t>
      </w:r>
      <w:proofErr w:type="spellStart"/>
      <w:r w:rsidR="008A4844">
        <w:rPr>
          <w:rFonts w:ascii="Arabic Typesetting" w:hAnsi="Arabic Typesetting" w:cs="Arabic Typesetting" w:hint="cs"/>
          <w:sz w:val="34"/>
          <w:szCs w:val="34"/>
          <w:rtl/>
          <w:lang w:val="fr-FR" w:bidi="ar-TN"/>
        </w:rPr>
        <w:t>الاهتام</w:t>
      </w:r>
      <w:proofErr w:type="spellEnd"/>
      <w:r w:rsidR="008A4844">
        <w:rPr>
          <w:rFonts w:ascii="Arabic Typesetting" w:hAnsi="Arabic Typesetting" w:cs="Arabic Typesetting" w:hint="cs"/>
          <w:sz w:val="34"/>
          <w:szCs w:val="34"/>
          <w:rtl/>
          <w:lang w:val="fr-FR" w:bidi="ar-TN"/>
        </w:rPr>
        <w:t xml:space="preserve"> ب</w:t>
      </w:r>
      <w:r w:rsidRPr="00E16D63">
        <w:rPr>
          <w:rFonts w:ascii="Arabic Typesetting" w:hAnsi="Arabic Typesetting" w:cs="Arabic Typesetting" w:hint="cs"/>
          <w:sz w:val="34"/>
          <w:szCs w:val="34"/>
          <w:rtl/>
          <w:lang w:val="fr-FR" w:bidi="ar-TN"/>
        </w:rPr>
        <w:t>التقرير عن التكنولوجيا المائية والتقرير عن إعادة تدوير المخلفات الإلكترونية</w:t>
      </w:r>
      <w:r w:rsidR="008A4844">
        <w:rPr>
          <w:rFonts w:ascii="Arabic Typesetting" w:hAnsi="Arabic Typesetting" w:cs="Arabic Typesetting" w:hint="cs"/>
          <w:sz w:val="34"/>
          <w:szCs w:val="34"/>
          <w:rtl/>
          <w:lang w:val="fr-FR" w:bidi="ar-TN"/>
        </w:rPr>
        <w:t>؛</w:t>
      </w:r>
      <w:r w:rsidRPr="00E16D63">
        <w:rPr>
          <w:rFonts w:ascii="Arabic Typesetting" w:hAnsi="Arabic Typesetting" w:cs="Arabic Typesetting" w:hint="cs"/>
          <w:sz w:val="34"/>
          <w:szCs w:val="34"/>
          <w:rtl/>
          <w:lang w:val="fr-FR" w:bidi="ar-TN"/>
        </w:rPr>
        <w:t xml:space="preserve"> </w:t>
      </w:r>
      <w:r w:rsidR="008A4844">
        <w:rPr>
          <w:rFonts w:ascii="Arabic Typesetting" w:hAnsi="Arabic Typesetting" w:cs="Arabic Typesetting" w:hint="cs"/>
          <w:sz w:val="34"/>
          <w:szCs w:val="34"/>
          <w:rtl/>
          <w:lang w:val="fr-FR" w:bidi="ar-TN"/>
        </w:rPr>
        <w:t>وتجلى ذلك</w:t>
      </w:r>
      <w:r w:rsidRPr="00E16D63">
        <w:rPr>
          <w:rFonts w:ascii="Arabic Typesetting" w:hAnsi="Arabic Typesetting" w:cs="Arabic Typesetting" w:hint="cs"/>
          <w:sz w:val="34"/>
          <w:szCs w:val="34"/>
          <w:rtl/>
          <w:lang w:val="fr-FR" w:bidi="ar-TN"/>
        </w:rPr>
        <w:t xml:space="preserve"> </w:t>
      </w:r>
      <w:r w:rsidR="008A4844">
        <w:rPr>
          <w:rFonts w:ascii="Arabic Typesetting" w:hAnsi="Arabic Typesetting" w:cs="Arabic Typesetting" w:hint="cs"/>
          <w:sz w:val="34"/>
          <w:szCs w:val="34"/>
          <w:rtl/>
          <w:lang w:val="fr-FR" w:bidi="ar-TN"/>
        </w:rPr>
        <w:t xml:space="preserve">في </w:t>
      </w:r>
      <w:r w:rsidRPr="00E16D63">
        <w:rPr>
          <w:rFonts w:ascii="Arabic Typesetting" w:hAnsi="Arabic Typesetting" w:cs="Arabic Typesetting" w:hint="cs"/>
          <w:sz w:val="34"/>
          <w:szCs w:val="34"/>
          <w:rtl/>
          <w:lang w:val="fr-FR" w:bidi="ar-TN"/>
        </w:rPr>
        <w:t xml:space="preserve">عدد النقرات الفريدة على موقع تقارير واقع البراءات وعددها </w:t>
      </w:r>
      <w:r w:rsidR="00984320">
        <w:rPr>
          <w:rFonts w:ascii="Arabic Typesetting" w:hAnsi="Arabic Typesetting" w:cs="Arabic Typesetting" w:hint="cs"/>
          <w:sz w:val="34"/>
          <w:szCs w:val="34"/>
          <w:rtl/>
          <w:lang w:val="fr-FR" w:bidi="ar-TN"/>
        </w:rPr>
        <w:t>634</w:t>
      </w:r>
      <w:r w:rsidRPr="00E16D63">
        <w:rPr>
          <w:rFonts w:ascii="Arabic Typesetting" w:hAnsi="Arabic Typesetting" w:cs="Arabic Typesetting" w:hint="cs"/>
          <w:sz w:val="34"/>
          <w:szCs w:val="34"/>
          <w:rtl/>
          <w:lang w:val="fr-FR" w:bidi="ar-TN"/>
        </w:rPr>
        <w:t> </w:t>
      </w:r>
      <w:r w:rsidR="00984320">
        <w:rPr>
          <w:rFonts w:ascii="Arabic Typesetting" w:hAnsi="Arabic Typesetting" w:cs="Arabic Typesetting" w:hint="cs"/>
          <w:sz w:val="34"/>
          <w:szCs w:val="34"/>
          <w:rtl/>
          <w:lang w:val="fr-FR" w:bidi="ar-TN"/>
        </w:rPr>
        <w:t>23</w:t>
      </w:r>
      <w:r w:rsidRPr="00E16D63">
        <w:rPr>
          <w:rFonts w:ascii="Arabic Typesetting" w:hAnsi="Arabic Typesetting" w:cs="Arabic Typesetting" w:hint="cs"/>
          <w:sz w:val="34"/>
          <w:szCs w:val="34"/>
          <w:rtl/>
          <w:lang w:val="fr-FR" w:bidi="ar-TN"/>
        </w:rPr>
        <w:t xml:space="preserve"> نقرة</w:t>
      </w:r>
      <w:r w:rsidR="00984320">
        <w:rPr>
          <w:rFonts w:ascii="Arabic Typesetting" w:hAnsi="Arabic Typesetting" w:cs="Arabic Typesetting" w:hint="cs"/>
          <w:sz w:val="34"/>
          <w:szCs w:val="34"/>
          <w:rtl/>
          <w:lang w:val="fr-FR" w:bidi="ar-TN"/>
        </w:rPr>
        <w:t>؛</w:t>
      </w:r>
      <w:r w:rsidRPr="00E16D63">
        <w:rPr>
          <w:rFonts w:ascii="Arabic Typesetting" w:hAnsi="Arabic Typesetting" w:cs="Arabic Typesetting" w:hint="cs"/>
          <w:sz w:val="34"/>
          <w:szCs w:val="34"/>
          <w:rtl/>
          <w:lang w:val="fr-FR" w:bidi="ar-TN"/>
        </w:rPr>
        <w:t xml:space="preserve"> وعدد التنزيلات من على الموقع وعددها </w:t>
      </w:r>
      <w:r w:rsidR="00984320">
        <w:rPr>
          <w:rFonts w:ascii="Arabic Typesetting" w:hAnsi="Arabic Typesetting" w:cs="Arabic Typesetting" w:hint="cs"/>
          <w:sz w:val="34"/>
          <w:szCs w:val="34"/>
          <w:rtl/>
          <w:lang w:val="fr-FR" w:bidi="ar-TN"/>
        </w:rPr>
        <w:t>172</w:t>
      </w:r>
      <w:r w:rsidRPr="00E16D63">
        <w:rPr>
          <w:rFonts w:ascii="Arabic Typesetting" w:hAnsi="Arabic Typesetting" w:cs="Arabic Typesetting" w:hint="cs"/>
          <w:sz w:val="34"/>
          <w:szCs w:val="34"/>
          <w:rtl/>
          <w:lang w:val="fr-FR" w:bidi="ar-TN"/>
        </w:rPr>
        <w:t> </w:t>
      </w:r>
      <w:r w:rsidR="00984320">
        <w:rPr>
          <w:rFonts w:ascii="Arabic Typesetting" w:hAnsi="Arabic Typesetting" w:cs="Arabic Typesetting" w:hint="cs"/>
          <w:sz w:val="34"/>
          <w:szCs w:val="34"/>
          <w:rtl/>
          <w:lang w:val="fr-FR" w:bidi="ar-TN"/>
        </w:rPr>
        <w:t>97</w:t>
      </w:r>
      <w:r w:rsidRPr="00E16D63">
        <w:rPr>
          <w:rFonts w:ascii="Arabic Typesetting" w:hAnsi="Arabic Typesetting" w:cs="Arabic Typesetting" w:hint="cs"/>
          <w:sz w:val="34"/>
          <w:szCs w:val="34"/>
          <w:rtl/>
          <w:lang w:val="fr-FR" w:bidi="ar-TN"/>
        </w:rPr>
        <w:t xml:space="preserve"> تنزيلا لنسخ التقارير في نسق </w:t>
      </w:r>
      <w:r w:rsidRPr="00E16D63">
        <w:rPr>
          <w:rFonts w:ascii="Arabic Typesetting" w:hAnsi="Arabic Typesetting" w:cs="Arabic Typesetting"/>
          <w:sz w:val="34"/>
          <w:szCs w:val="34"/>
          <w:lang w:val="fr-FR" w:bidi="ar-TN"/>
        </w:rPr>
        <w:t>PDF</w:t>
      </w:r>
      <w:r w:rsidRPr="00E16D63">
        <w:rPr>
          <w:rFonts w:ascii="Arabic Typesetting" w:hAnsi="Arabic Typesetting" w:cs="Arabic Typesetting" w:hint="cs"/>
          <w:sz w:val="34"/>
          <w:szCs w:val="34"/>
          <w:rtl/>
          <w:lang w:val="fr-FR" w:bidi="ar-TN"/>
        </w:rPr>
        <w:t xml:space="preserve"> وعدد تنزيلات المعلومات المصورة وعددها </w:t>
      </w:r>
      <w:r w:rsidR="00A25479">
        <w:rPr>
          <w:rFonts w:ascii="Arabic Typesetting" w:hAnsi="Arabic Typesetting" w:cs="Arabic Typesetting" w:hint="cs"/>
          <w:sz w:val="34"/>
          <w:szCs w:val="34"/>
          <w:rtl/>
          <w:lang w:val="fr-FR" w:bidi="ar-TN"/>
        </w:rPr>
        <w:t>8189</w:t>
      </w:r>
      <w:r w:rsidR="00984320">
        <w:rPr>
          <w:rFonts w:ascii="Arabic Typesetting" w:hAnsi="Arabic Typesetting" w:cs="Arabic Typesetting" w:hint="cs"/>
          <w:sz w:val="34"/>
          <w:szCs w:val="34"/>
          <w:rtl/>
          <w:lang w:val="fr-FR" w:bidi="ar-TN"/>
        </w:rPr>
        <w:t xml:space="preserve"> تنزيلا</w:t>
      </w:r>
      <w:r w:rsidRPr="00E16D63">
        <w:rPr>
          <w:rFonts w:ascii="Arabic Typesetting" w:hAnsi="Arabic Typesetting" w:cs="Arabic Typesetting" w:hint="cs"/>
          <w:sz w:val="34"/>
          <w:szCs w:val="34"/>
          <w:rtl/>
          <w:lang w:val="fr-FR" w:bidi="ar-TN"/>
        </w:rPr>
        <w:t xml:space="preserve">. </w:t>
      </w:r>
      <w:r w:rsidR="00A25CA6">
        <w:rPr>
          <w:rFonts w:ascii="Arabic Typesetting" w:hAnsi="Arabic Typesetting" w:cs="Arabic Typesetting" w:hint="cs"/>
          <w:sz w:val="34"/>
          <w:szCs w:val="34"/>
          <w:rtl/>
          <w:lang w:val="fr-FR" w:bidi="ar-TN"/>
        </w:rPr>
        <w:t>وت</w:t>
      </w:r>
      <w:r w:rsidR="00A25479">
        <w:rPr>
          <w:rFonts w:ascii="Arabic Typesetting" w:hAnsi="Arabic Typesetting" w:cs="Arabic Typesetting" w:hint="cs"/>
          <w:sz w:val="34"/>
          <w:szCs w:val="34"/>
          <w:rtl/>
          <w:lang w:val="fr-FR" w:bidi="ar-TN"/>
        </w:rPr>
        <w:t>ُ</w:t>
      </w:r>
      <w:r w:rsidR="00A25CA6">
        <w:rPr>
          <w:rFonts w:ascii="Arabic Typesetting" w:hAnsi="Arabic Typesetting" w:cs="Arabic Typesetting" w:hint="cs"/>
          <w:sz w:val="34"/>
          <w:szCs w:val="34"/>
          <w:rtl/>
          <w:lang w:val="fr-FR" w:bidi="ar-TN"/>
        </w:rPr>
        <w:t xml:space="preserve">رجم الموقع الإلكتروني لتقارير واقع البراءات إلى اللغتين الفرنسية والإسبانية ورُفع عليه 57 تقريراً جديداً أعدتها منظمات مختلفة من القطاعين العام والخاص وتشمل منشورات بثماني لغات غير الإنكليزية. وفضلاً عن ذلك، نُشرت في أغسطس 2015 المبادئ التوجيهية لمنهجية إعداد تقارير واقع البراءات التي أعدها خبير خارجي في عام 2013 ووُضعت صيغتها النهائية في عام 2014. </w:t>
      </w:r>
      <w:r w:rsidR="00A25479">
        <w:rPr>
          <w:rFonts w:ascii="Arabic Typesetting" w:hAnsi="Arabic Typesetting" w:cs="Arabic Typesetting" w:hint="cs"/>
          <w:sz w:val="34"/>
          <w:szCs w:val="34"/>
          <w:rtl/>
          <w:lang w:val="fr-FR" w:bidi="ar-TN"/>
        </w:rPr>
        <w:t>وبدأ</w:t>
      </w:r>
      <w:r w:rsidR="00A25CA6">
        <w:rPr>
          <w:rFonts w:ascii="Arabic Typesetting" w:hAnsi="Arabic Typesetting" w:cs="Arabic Typesetting" w:hint="cs"/>
          <w:sz w:val="34"/>
          <w:szCs w:val="34"/>
          <w:rtl/>
          <w:lang w:val="fr-FR" w:bidi="ar-TN"/>
        </w:rPr>
        <w:t xml:space="preserve"> العمل على إعداد دليل يعرض مختلف الأدوات المجانية والمفتوحة المصدر بغية تيسير النفاذ إلى البيانات والتحليلات المتعلقة بالبراءات لغير المتخصصين. وتفادياً لضرورة اكتساب مهارات البرمجة اللازمة عادة في استخدام الأدوات المفتوحة المصدر، أعِّد الدليل بطريقة مبسطة تشمل توجيهات مفصلة وتدريجية موجهة لغير المبرمجين. </w:t>
      </w:r>
      <w:proofErr w:type="spellStart"/>
      <w:r w:rsidR="00EA45DB">
        <w:rPr>
          <w:rFonts w:ascii="Arabic Typesetting" w:hAnsi="Arabic Typesetting" w:cs="Arabic Typesetting" w:hint="cs"/>
          <w:sz w:val="34"/>
          <w:szCs w:val="34"/>
          <w:rtl/>
          <w:lang w:val="fr-FR" w:bidi="ar-TN"/>
        </w:rPr>
        <w:t>وأتيحت</w:t>
      </w:r>
      <w:proofErr w:type="spellEnd"/>
      <w:r w:rsidR="00EA45DB">
        <w:rPr>
          <w:rFonts w:ascii="Arabic Typesetting" w:hAnsi="Arabic Typesetting" w:cs="Arabic Typesetting" w:hint="cs"/>
          <w:sz w:val="34"/>
          <w:szCs w:val="34"/>
          <w:rtl/>
          <w:lang w:val="fr-FR" w:bidi="ar-TN"/>
        </w:rPr>
        <w:t xml:space="preserve"> النسخ الأولى غير المبسطة من فصول الدليل على منصة مفتوحة المصدر</w:t>
      </w:r>
      <w:r w:rsidR="00EA45DB" w:rsidRPr="00F96634">
        <w:rPr>
          <w:rFonts w:ascii="Arabic Typesetting" w:hAnsi="Arabic Typesetting" w:cs="Arabic Typesetting"/>
          <w:sz w:val="28"/>
          <w:szCs w:val="28"/>
          <w:vertAlign w:val="superscript"/>
          <w:rtl/>
          <w:lang w:val="fr-FR" w:bidi="ar-TN"/>
        </w:rPr>
        <w:footnoteReference w:id="90"/>
      </w:r>
      <w:r w:rsidR="00EA45DB">
        <w:rPr>
          <w:rFonts w:ascii="Arabic Typesetting" w:hAnsi="Arabic Typesetting" w:cs="Arabic Typesetting" w:hint="cs"/>
          <w:sz w:val="34"/>
          <w:szCs w:val="34"/>
          <w:rtl/>
          <w:lang w:val="fr-FR" w:bidi="ar-TN"/>
        </w:rPr>
        <w:t>؛ أما النسخة النهائية فستتاح على الموقع الإلكتروني لتقارير واقع البراءات.</w:t>
      </w:r>
    </w:p>
    <w:p w:rsidR="00E16D63" w:rsidRPr="00E16D63" w:rsidRDefault="00E16D63" w:rsidP="009A3712">
      <w:pPr>
        <w:numPr>
          <w:ilvl w:val="0"/>
          <w:numId w:val="41"/>
        </w:numPr>
        <w:bidi/>
        <w:spacing w:after="120" w:line="340" w:lineRule="exact"/>
        <w:ind w:left="0" w:firstLine="0"/>
        <w:rPr>
          <w:rFonts w:ascii="Arabic Typesetting" w:hAnsi="Arabic Typesetting" w:cs="Arabic Typesetting"/>
          <w:sz w:val="34"/>
          <w:szCs w:val="34"/>
          <w:lang w:val="fr-FR" w:bidi="ar-TN"/>
        </w:rPr>
      </w:pPr>
      <w:r w:rsidRPr="00E16D63">
        <w:rPr>
          <w:rFonts w:ascii="Arabic Typesetting" w:hAnsi="Arabic Typesetting" w:cs="Arabic Typesetting" w:hint="cs"/>
          <w:sz w:val="34"/>
          <w:szCs w:val="34"/>
          <w:rtl/>
          <w:lang w:val="fr-FR" w:bidi="ar-TN"/>
        </w:rPr>
        <w:t xml:space="preserve">واسترشد تصميم أنشطة البرنامج 14 </w:t>
      </w:r>
      <w:r w:rsidRPr="00E16D63">
        <w:rPr>
          <w:rFonts w:ascii="Arabic Typesetting" w:hAnsi="Arabic Typesetting" w:cs="Arabic Typesetting" w:hint="cs"/>
          <w:sz w:val="34"/>
          <w:szCs w:val="34"/>
          <w:rtl/>
          <w:lang w:val="fr-CH"/>
        </w:rPr>
        <w:t xml:space="preserve">وتخطيطها </w:t>
      </w:r>
      <w:r w:rsidRPr="00E16D63">
        <w:rPr>
          <w:rFonts w:ascii="Arabic Typesetting" w:hAnsi="Arabic Typesetting" w:cs="Arabic Typesetting" w:hint="cs"/>
          <w:sz w:val="34"/>
          <w:szCs w:val="34"/>
          <w:rtl/>
          <w:lang w:val="fr-FR" w:bidi="ar-TN"/>
        </w:rPr>
        <w:t>وتنفيذها بتوصيات جدول أعمال التنمية المعنية، ولا</w:t>
      </w:r>
      <w:r w:rsidRPr="00E16D63">
        <w:rPr>
          <w:rFonts w:ascii="Arabic Typesetting" w:hAnsi="Arabic Typesetting" w:cs="Arabic Typesetting" w:hint="eastAsia"/>
          <w:sz w:val="34"/>
          <w:szCs w:val="34"/>
          <w:rtl/>
          <w:lang w:val="fr-FR" w:bidi="ar-TN"/>
        </w:rPr>
        <w:t> </w:t>
      </w:r>
      <w:r w:rsidRPr="00E16D63">
        <w:rPr>
          <w:rFonts w:ascii="Arabic Typesetting" w:hAnsi="Arabic Typesetting" w:cs="Arabic Typesetting" w:hint="cs"/>
          <w:sz w:val="34"/>
          <w:szCs w:val="34"/>
          <w:rtl/>
          <w:lang w:val="fr-FR" w:bidi="ar-TN"/>
        </w:rPr>
        <w:t>سيما التوصيات 1 و8 و19 و30 و31.</w:t>
      </w:r>
    </w:p>
    <w:p w:rsidR="00E16D63" w:rsidRPr="00E16D63" w:rsidRDefault="00E16D63" w:rsidP="00E16D63">
      <w:pPr>
        <w:keepNext/>
        <w:bidi/>
        <w:spacing w:before="120" w:after="120" w:line="340" w:lineRule="exact"/>
        <w:rPr>
          <w:rFonts w:ascii="Arabic Typesetting" w:hAnsi="Arabic Typesetting" w:cs="Arabic Typesetting"/>
          <w:sz w:val="36"/>
          <w:szCs w:val="36"/>
          <w:rtl/>
          <w:lang w:val="fr-CH"/>
        </w:rPr>
      </w:pPr>
      <w:r w:rsidRPr="00E16D63">
        <w:rPr>
          <w:rFonts w:ascii="Arabic Typesetting" w:hAnsi="Arabic Typesetting" w:cs="Arabic Typesetting"/>
          <w:sz w:val="36"/>
          <w:szCs w:val="36"/>
          <w:rtl/>
          <w:lang w:val="fr-CH"/>
        </w:rPr>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126"/>
        <w:gridCol w:w="2551"/>
        <w:gridCol w:w="1561"/>
        <w:gridCol w:w="2408"/>
        <w:gridCol w:w="711"/>
      </w:tblGrid>
      <w:tr w:rsidR="00984320" w:rsidRPr="006E3C88" w:rsidTr="00EA45DB">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984320" w:rsidRPr="006E3C88" w:rsidRDefault="00984320" w:rsidP="00FE0236">
            <w:pPr>
              <w:keepNext/>
              <w:bidi/>
              <w:spacing w:after="60" w:line="280" w:lineRule="exact"/>
              <w:ind w:left="1167" w:hanging="1167"/>
              <w:rPr>
                <w:rFonts w:ascii="Arabic Typesetting" w:hAnsi="Arabic Typesetting" w:cs="Arabic Typesetting"/>
                <w:sz w:val="28"/>
                <w:szCs w:val="28"/>
                <w:lang w:bidi="ar-EG"/>
              </w:rPr>
            </w:pPr>
            <w:r w:rsidRPr="006E3C88">
              <w:rPr>
                <w:rFonts w:ascii="Arabic Typesetting" w:hAnsi="Arabic Typesetting" w:cs="Arabic Typesetting"/>
                <w:b/>
                <w:bCs/>
                <w:sz w:val="28"/>
                <w:szCs w:val="28"/>
                <w:rtl/>
                <w:lang w:bidi="ar-EG"/>
              </w:rPr>
              <w:t>النتيجة المرتقبة</w:t>
            </w:r>
            <w:r w:rsidRPr="006E3C88">
              <w:rPr>
                <w:rFonts w:ascii="Arabic Typesetting" w:hAnsi="Arabic Typesetting" w:cs="Arabic Typesetting"/>
                <w:sz w:val="28"/>
                <w:szCs w:val="28"/>
                <w:rtl/>
                <w:lang w:bidi="ar-EG"/>
              </w:rPr>
              <w:t>:</w:t>
            </w:r>
            <w:r w:rsidRPr="006E3C88">
              <w:rPr>
                <w:rFonts w:ascii="Arabic Typesetting" w:hAnsi="Arabic Typesetting" w:cs="Arabic Typesetting"/>
                <w:sz w:val="28"/>
                <w:szCs w:val="28"/>
                <w:rtl/>
                <w:lang w:bidi="ar-EG"/>
              </w:rPr>
              <w:tab/>
              <w:t xml:space="preserve">ه2.4 </w:t>
            </w:r>
            <w:r w:rsidR="000432CA">
              <w:rPr>
                <w:rFonts w:ascii="Arabic Typesetting" w:hAnsi="Arabic Typesetting" w:cs="Arabic Typesetting"/>
                <w:sz w:val="28"/>
                <w:szCs w:val="28"/>
                <w:rtl/>
                <w:lang w:bidi="ar-EG"/>
              </w:rPr>
              <w:t>تحسين النفاذ إلى المعلومات المتعلقة بالملكية الفكرية واستخدامها من قبل مؤسسات الملكية الفكرية والجمهور لتشجيع الابتكار والإبداع</w:t>
            </w:r>
          </w:p>
        </w:tc>
      </w:tr>
      <w:tr w:rsidR="00E16D63" w:rsidRPr="006E3C88" w:rsidTr="00EA45DB">
        <w:trPr>
          <w:cantSplit/>
        </w:trPr>
        <w:tc>
          <w:tcPr>
            <w:tcW w:w="1136" w:type="pct"/>
            <w:tcBorders>
              <w:top w:val="single" w:sz="4" w:space="0" w:color="auto"/>
            </w:tcBorders>
            <w:shd w:val="clear" w:color="auto" w:fill="auto"/>
            <w:vAlign w:val="center"/>
          </w:tcPr>
          <w:p w:rsidR="00E16D63" w:rsidRPr="006E3C88" w:rsidRDefault="00E16D63" w:rsidP="00E16D63">
            <w:pPr>
              <w:keepNext/>
              <w:bidi/>
              <w:spacing w:before="60" w:after="60" w:line="280" w:lineRule="exact"/>
              <w:rPr>
                <w:rFonts w:ascii="Arabic Typesetting" w:hAnsi="Arabic Typesetting" w:cs="Arabic Typesetting"/>
                <w:b/>
                <w:bCs/>
                <w:sz w:val="28"/>
                <w:szCs w:val="28"/>
                <w:rtl/>
                <w:lang w:bidi="ar-EG"/>
              </w:rPr>
            </w:pPr>
            <w:r w:rsidRPr="006E3C88">
              <w:rPr>
                <w:rFonts w:ascii="Arabic Typesetting" w:hAnsi="Arabic Typesetting" w:cs="Arabic Typesetting"/>
                <w:b/>
                <w:bCs/>
                <w:sz w:val="28"/>
                <w:szCs w:val="28"/>
                <w:rtl/>
                <w:lang w:bidi="ar-EG"/>
              </w:rPr>
              <w:t>مؤشرات الأداء</w:t>
            </w:r>
          </w:p>
        </w:tc>
        <w:tc>
          <w:tcPr>
            <w:tcW w:w="1363" w:type="pct"/>
            <w:tcBorders>
              <w:top w:val="single" w:sz="4" w:space="0" w:color="auto"/>
            </w:tcBorders>
            <w:shd w:val="clear" w:color="auto" w:fill="auto"/>
          </w:tcPr>
          <w:p w:rsidR="00E16D63" w:rsidRPr="006E3C88" w:rsidRDefault="00EA45DB" w:rsidP="00E16D63">
            <w:pPr>
              <w:keepNext/>
              <w:bidi/>
              <w:spacing w:before="60" w:after="60" w:line="280" w:lineRule="exact"/>
              <w:rPr>
                <w:rFonts w:ascii="Arabic Typesetting" w:hAnsi="Arabic Typesetting" w:cs="Arabic Typesetting"/>
                <w:b/>
                <w:bCs/>
                <w:sz w:val="28"/>
                <w:szCs w:val="28"/>
                <w:rtl/>
                <w:lang w:bidi="ar-EG"/>
              </w:rPr>
            </w:pPr>
            <w:r w:rsidRPr="006E3C88">
              <w:rPr>
                <w:rFonts w:ascii="Arabic Typesetting" w:hAnsi="Arabic Typesetting" w:cs="Arabic Typesetting"/>
                <w:b/>
                <w:bCs/>
                <w:sz w:val="28"/>
                <w:szCs w:val="28"/>
                <w:rtl/>
                <w:lang w:bidi="ar-EG"/>
              </w:rPr>
              <w:t>أسس المقارنة</w:t>
            </w:r>
          </w:p>
        </w:tc>
        <w:tc>
          <w:tcPr>
            <w:tcW w:w="834" w:type="pct"/>
            <w:tcBorders>
              <w:top w:val="single" w:sz="4" w:space="0" w:color="auto"/>
            </w:tcBorders>
            <w:shd w:val="clear" w:color="auto" w:fill="auto"/>
            <w:tcMar>
              <w:top w:w="110" w:type="dxa"/>
            </w:tcMar>
            <w:vAlign w:val="center"/>
          </w:tcPr>
          <w:p w:rsidR="00E16D63" w:rsidRPr="006E3C88" w:rsidRDefault="00E16D63" w:rsidP="00E16D63">
            <w:pPr>
              <w:keepNext/>
              <w:bidi/>
              <w:spacing w:before="60" w:after="60" w:line="280" w:lineRule="exact"/>
              <w:rPr>
                <w:rFonts w:ascii="Arabic Typesetting" w:hAnsi="Arabic Typesetting" w:cs="Arabic Typesetting"/>
                <w:b/>
                <w:bCs/>
                <w:sz w:val="28"/>
                <w:szCs w:val="28"/>
                <w:rtl/>
                <w:lang w:bidi="ar-EG"/>
              </w:rPr>
            </w:pPr>
            <w:r w:rsidRPr="006E3C88">
              <w:rPr>
                <w:rFonts w:ascii="Arabic Typesetting" w:hAnsi="Arabic Typesetting" w:cs="Arabic Typesetting"/>
                <w:b/>
                <w:bCs/>
                <w:sz w:val="28"/>
                <w:szCs w:val="28"/>
                <w:rtl/>
                <w:lang w:val="fr-FR" w:bidi="ar-TN"/>
              </w:rPr>
              <w:t>الأهداف</w:t>
            </w:r>
          </w:p>
        </w:tc>
        <w:tc>
          <w:tcPr>
            <w:tcW w:w="1287" w:type="pct"/>
            <w:tcBorders>
              <w:top w:val="single" w:sz="4" w:space="0" w:color="auto"/>
            </w:tcBorders>
            <w:shd w:val="clear" w:color="auto" w:fill="FFFFFF"/>
            <w:tcMar>
              <w:top w:w="110" w:type="dxa"/>
            </w:tcMar>
            <w:vAlign w:val="center"/>
          </w:tcPr>
          <w:p w:rsidR="00E16D63" w:rsidRPr="006E3C88" w:rsidRDefault="00E16D63" w:rsidP="00E16D63">
            <w:pPr>
              <w:keepNext/>
              <w:bidi/>
              <w:spacing w:before="60" w:after="60" w:line="280" w:lineRule="exact"/>
              <w:rPr>
                <w:rFonts w:ascii="Arabic Typesetting" w:hAnsi="Arabic Typesetting" w:cs="Arabic Typesetting"/>
                <w:b/>
                <w:bCs/>
                <w:sz w:val="28"/>
                <w:szCs w:val="28"/>
                <w:rtl/>
                <w:lang w:bidi="ar-EG"/>
              </w:rPr>
            </w:pPr>
            <w:r w:rsidRPr="006E3C88">
              <w:rPr>
                <w:rFonts w:ascii="Arabic Typesetting" w:hAnsi="Arabic Typesetting" w:cs="Arabic Typesetting"/>
                <w:b/>
                <w:bCs/>
                <w:sz w:val="28"/>
                <w:szCs w:val="28"/>
                <w:rtl/>
                <w:lang w:bidi="ar-EG"/>
              </w:rPr>
              <w:t>بيانات الأداء</w:t>
            </w:r>
          </w:p>
        </w:tc>
        <w:tc>
          <w:tcPr>
            <w:tcW w:w="380" w:type="pct"/>
            <w:tcBorders>
              <w:top w:val="single" w:sz="4" w:space="0" w:color="auto"/>
            </w:tcBorders>
            <w:shd w:val="clear" w:color="auto" w:fill="auto"/>
            <w:tcMar>
              <w:top w:w="110" w:type="dxa"/>
            </w:tcMar>
            <w:vAlign w:val="center"/>
          </w:tcPr>
          <w:p w:rsidR="00E16D63" w:rsidRPr="006E3C88" w:rsidRDefault="00E16D63" w:rsidP="00E16D63">
            <w:pPr>
              <w:keepNext/>
              <w:keepLines/>
              <w:bidi/>
              <w:spacing w:before="60" w:after="60" w:line="280" w:lineRule="exact"/>
              <w:jc w:val="center"/>
              <w:rPr>
                <w:rFonts w:ascii="Arabic Typesetting" w:hAnsi="Arabic Typesetting" w:cs="Arabic Typesetting"/>
                <w:b/>
                <w:bCs/>
                <w:sz w:val="28"/>
                <w:szCs w:val="28"/>
                <w:rtl/>
                <w:lang w:bidi="ar-EG"/>
              </w:rPr>
            </w:pPr>
            <w:r w:rsidRPr="006E3C88">
              <w:rPr>
                <w:rFonts w:ascii="Arabic Typesetting" w:hAnsi="Arabic Typesetting" w:cs="Arabic Typesetting"/>
                <w:b/>
                <w:bCs/>
                <w:sz w:val="28"/>
                <w:szCs w:val="28"/>
                <w:rtl/>
                <w:lang w:bidi="ar-EG"/>
              </w:rPr>
              <w:t>السير</w:t>
            </w:r>
          </w:p>
        </w:tc>
      </w:tr>
      <w:tr w:rsidR="00E16D63" w:rsidRPr="006E3C88" w:rsidTr="00EA45DB">
        <w:trPr>
          <w:cantSplit/>
        </w:trPr>
        <w:tc>
          <w:tcPr>
            <w:tcW w:w="1136" w:type="pct"/>
            <w:shd w:val="clear" w:color="auto" w:fill="auto"/>
          </w:tcPr>
          <w:p w:rsidR="00E16D63" w:rsidRPr="006E3C88" w:rsidRDefault="00E16D63" w:rsidP="00E16D63">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sz w:val="28"/>
                <w:szCs w:val="28"/>
                <w:rtl/>
                <w:lang w:bidi="ar-EG"/>
              </w:rPr>
              <w:t xml:space="preserve">عدد شبكات مراكز دعم الابتكار والتكنولوجيا المستدامة </w:t>
            </w:r>
            <w:r w:rsidRPr="006E3C88">
              <w:rPr>
                <w:rFonts w:ascii="Arabic Typesetting" w:hAnsi="Arabic Typesetting" w:cs="Arabic Typesetting"/>
                <w:sz w:val="28"/>
                <w:szCs w:val="28"/>
                <w:lang w:bidi="ar-EG"/>
              </w:rPr>
              <w:t>TISCs</w:t>
            </w:r>
          </w:p>
        </w:tc>
        <w:tc>
          <w:tcPr>
            <w:tcW w:w="1363" w:type="pct"/>
            <w:shd w:val="clear" w:color="auto" w:fill="auto"/>
          </w:tcPr>
          <w:p w:rsidR="00E16D63" w:rsidRPr="006E3C88" w:rsidRDefault="00E16D63" w:rsidP="00E16D63">
            <w:pPr>
              <w:bidi/>
              <w:spacing w:before="60" w:after="60" w:line="300" w:lineRule="exact"/>
              <w:rPr>
                <w:rFonts w:ascii="Arabic Typesetting" w:hAnsi="Arabic Typesetting" w:cs="Arabic Typesetting"/>
                <w:b/>
                <w:color w:val="002060"/>
                <w:sz w:val="28"/>
                <w:szCs w:val="28"/>
              </w:rPr>
            </w:pPr>
            <w:r w:rsidRPr="006E3C88">
              <w:rPr>
                <w:rFonts w:ascii="Arabic Typesetting" w:hAnsi="Arabic Typesetting" w:cs="Arabic Typesetting"/>
                <w:b/>
                <w:i/>
                <w:iCs/>
                <w:color w:val="002060"/>
                <w:sz w:val="28"/>
                <w:szCs w:val="28"/>
                <w:rtl/>
                <w:lang w:bidi="ar-EG"/>
              </w:rPr>
              <w:t xml:space="preserve">أسس المقارنة المحدّثة في نهاية 2013: </w:t>
            </w:r>
            <w:r w:rsidRPr="006E3C88">
              <w:rPr>
                <w:rFonts w:ascii="Arabic Typesetting" w:hAnsi="Arabic Typesetting" w:cs="Arabic Typesetting"/>
                <w:b/>
                <w:color w:val="002060"/>
                <w:sz w:val="28"/>
                <w:szCs w:val="28"/>
                <w:rtl/>
                <w:lang w:bidi="ar-EG"/>
              </w:rPr>
              <w:t>15 شبكة مستدامة لمراكز دعم التكنولوجيا والابتكار (من أصل 39 شبكة منشأة</w:t>
            </w:r>
            <w:r w:rsidR="00EA45DB" w:rsidRPr="006E3C88">
              <w:rPr>
                <w:rFonts w:ascii="Arabic Typesetting" w:hAnsi="Arabic Typesetting" w:cs="Arabic Typesetting"/>
                <w:b/>
                <w:color w:val="002060"/>
                <w:sz w:val="28"/>
                <w:szCs w:val="28"/>
                <w:rtl/>
                <w:lang w:bidi="ar-EG"/>
              </w:rPr>
              <w:t>)</w:t>
            </w:r>
            <w:r w:rsidRPr="006E3C88">
              <w:rPr>
                <w:rFonts w:ascii="Arabic Typesetting" w:hAnsi="Arabic Typesetting" w:cs="Arabic Typesetting"/>
                <w:b/>
                <w:color w:val="002060"/>
                <w:sz w:val="28"/>
                <w:szCs w:val="28"/>
                <w:rtl/>
                <w:lang w:bidi="ar-EG"/>
              </w:rPr>
              <w:t>.</w:t>
            </w:r>
          </w:p>
          <w:p w:rsidR="00E16D63" w:rsidRPr="006E3C88" w:rsidRDefault="00E16D63" w:rsidP="00E16D63">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b/>
                <w:i/>
                <w:iCs/>
                <w:sz w:val="28"/>
                <w:szCs w:val="28"/>
                <w:rtl/>
                <w:lang w:bidi="ar-EG"/>
              </w:rPr>
              <w:t xml:space="preserve">أسس المقارنة الأصلية: برنامج وميزانية 2014/15: </w:t>
            </w:r>
            <w:r w:rsidRPr="006E3C88">
              <w:rPr>
                <w:rFonts w:ascii="Arabic Typesetting" w:hAnsi="Arabic Typesetting" w:cs="Arabic Typesetting"/>
                <w:b/>
                <w:sz w:val="28"/>
                <w:szCs w:val="28"/>
                <w:rtl/>
                <w:lang w:bidi="ar-EG"/>
              </w:rPr>
              <w:t>15 شبكة وطنية: (إجمالا في نهاية الربع الأول من عام 2013): أفريقيا (6)؛ والمنطقة العربية (2)؛ وآسيا والمحيط الهادئ (2)؛ وأمريكا اللاتينية ومنطقة الكاريبي (4)؛ وبعض البلدان في أوروبا وآسيا (1)</w:t>
            </w:r>
          </w:p>
        </w:tc>
        <w:tc>
          <w:tcPr>
            <w:tcW w:w="834" w:type="pct"/>
            <w:shd w:val="clear" w:color="auto" w:fill="auto"/>
            <w:tcMar>
              <w:top w:w="110" w:type="dxa"/>
            </w:tcMar>
          </w:tcPr>
          <w:p w:rsidR="00E16D63" w:rsidRPr="006E3C88" w:rsidRDefault="00E16D63" w:rsidP="00E16D63">
            <w:pPr>
              <w:bidi/>
              <w:spacing w:before="60" w:after="60" w:line="280" w:lineRule="exact"/>
              <w:rPr>
                <w:rFonts w:ascii="Arabic Typesetting" w:hAnsi="Arabic Typesetting" w:cs="Arabic Typesetting"/>
                <w:color w:val="993300"/>
                <w:sz w:val="28"/>
                <w:szCs w:val="28"/>
                <w:rtl/>
                <w:lang w:bidi="ar-EG"/>
              </w:rPr>
            </w:pPr>
            <w:r w:rsidRPr="006E3C88">
              <w:rPr>
                <w:rFonts w:ascii="Arabic Typesetting" w:hAnsi="Arabic Typesetting" w:cs="Arabic Typesetting"/>
                <w:sz w:val="28"/>
                <w:szCs w:val="28"/>
                <w:rtl/>
                <w:lang w:bidi="ar-EG"/>
              </w:rPr>
              <w:t>25 شبكة وطنية (إجمالا): أفريقيا (10 منها 8 للبلدان الأقل نمواً)؛ والمنطقة العربية (3)؛ وآسيا والمحيط الهادئ (4 منها 2 للبلدان الأقل نمواً)؛ وأمريكا اللاتينية ومنطقة الكاريبي (6)؛ وبعض البلدان في أوروبا وآسيا (2)</w:t>
            </w:r>
          </w:p>
        </w:tc>
        <w:tc>
          <w:tcPr>
            <w:tcW w:w="1287" w:type="pct"/>
            <w:shd w:val="clear" w:color="auto" w:fill="FFFFFF"/>
            <w:tcMar>
              <w:top w:w="110" w:type="dxa"/>
            </w:tcMar>
          </w:tcPr>
          <w:p w:rsidR="00E16D63" w:rsidRPr="006E3C88" w:rsidRDefault="00EA45DB" w:rsidP="00EA45DB">
            <w:pPr>
              <w:bidi/>
              <w:spacing w:before="60" w:after="60" w:line="280" w:lineRule="exact"/>
              <w:rPr>
                <w:rFonts w:ascii="Arabic Typesetting" w:hAnsi="Arabic Typesetting" w:cs="Arabic Typesetting"/>
                <w:sz w:val="28"/>
                <w:szCs w:val="28"/>
                <w:lang w:bidi="ar-EG"/>
              </w:rPr>
            </w:pPr>
            <w:r w:rsidRPr="006E3C88">
              <w:rPr>
                <w:rFonts w:ascii="Arabic Typesetting" w:hAnsi="Arabic Typesetting" w:cs="Arabic Typesetting"/>
                <w:sz w:val="28"/>
                <w:szCs w:val="28"/>
                <w:rtl/>
                <w:lang w:bidi="ar-EG"/>
              </w:rPr>
              <w:t>25</w:t>
            </w:r>
            <w:r w:rsidR="00E16D63" w:rsidRPr="006E3C88">
              <w:rPr>
                <w:rFonts w:ascii="Arabic Typesetting" w:hAnsi="Arabic Typesetting" w:cs="Arabic Typesetting"/>
                <w:sz w:val="28"/>
                <w:szCs w:val="28"/>
                <w:rtl/>
                <w:lang w:bidi="ar-EG"/>
              </w:rPr>
              <w:t xml:space="preserve"> شبكة وطنية مستدامة لمراكز دعم التكنولوجيا والابتكار من أصل </w:t>
            </w:r>
            <w:r w:rsidRPr="006E3C88">
              <w:rPr>
                <w:rFonts w:ascii="Arabic Typesetting" w:hAnsi="Arabic Typesetting" w:cs="Arabic Typesetting"/>
                <w:sz w:val="28"/>
                <w:szCs w:val="28"/>
                <w:rtl/>
                <w:lang w:bidi="ar-EG"/>
              </w:rPr>
              <w:t>50</w:t>
            </w:r>
            <w:r w:rsidR="00E16D63" w:rsidRPr="006E3C88">
              <w:rPr>
                <w:rFonts w:ascii="Arabic Typesetting" w:hAnsi="Arabic Typesetting" w:cs="Arabic Typesetting"/>
                <w:sz w:val="28"/>
                <w:szCs w:val="28"/>
                <w:rtl/>
                <w:lang w:bidi="ar-EG"/>
              </w:rPr>
              <w:t xml:space="preserve"> شبكة منشأة (التراكمي): أفريقيا (</w:t>
            </w:r>
            <w:r w:rsidRPr="006E3C88">
              <w:rPr>
                <w:rFonts w:ascii="Arabic Typesetting" w:hAnsi="Arabic Typesetting" w:cs="Arabic Typesetting"/>
                <w:sz w:val="28"/>
                <w:szCs w:val="28"/>
                <w:rtl/>
                <w:lang w:bidi="ar-EG"/>
              </w:rPr>
              <w:t>10</w:t>
            </w:r>
            <w:r w:rsidR="00E16D63" w:rsidRPr="006E3C88">
              <w:rPr>
                <w:rFonts w:ascii="Arabic Typesetting" w:hAnsi="Arabic Typesetting" w:cs="Arabic Typesetting"/>
                <w:sz w:val="28"/>
                <w:szCs w:val="28"/>
                <w:rtl/>
                <w:lang w:bidi="ar-EG"/>
              </w:rPr>
              <w:t xml:space="preserve"> منها </w:t>
            </w:r>
            <w:r w:rsidRPr="006E3C88">
              <w:rPr>
                <w:rFonts w:ascii="Arabic Typesetting" w:hAnsi="Arabic Typesetting" w:cs="Arabic Typesetting"/>
                <w:sz w:val="28"/>
                <w:szCs w:val="28"/>
                <w:rtl/>
                <w:lang w:bidi="ar-EG"/>
              </w:rPr>
              <w:t>8</w:t>
            </w:r>
            <w:r w:rsidR="00E16D63" w:rsidRPr="006E3C88">
              <w:rPr>
                <w:rFonts w:ascii="Arabic Typesetting" w:hAnsi="Arabic Typesetting" w:cs="Arabic Typesetting"/>
                <w:sz w:val="28"/>
                <w:szCs w:val="28"/>
                <w:rtl/>
                <w:lang w:bidi="ar-EG"/>
              </w:rPr>
              <w:t xml:space="preserve"> من البلدان الأقل نموا)؛ والمنطقة العربية (</w:t>
            </w:r>
            <w:r w:rsidRPr="006E3C88">
              <w:rPr>
                <w:rFonts w:ascii="Arabic Typesetting" w:hAnsi="Arabic Typesetting" w:cs="Arabic Typesetting"/>
                <w:sz w:val="28"/>
                <w:szCs w:val="28"/>
                <w:rtl/>
                <w:lang w:bidi="ar-EG"/>
              </w:rPr>
              <w:t>3</w:t>
            </w:r>
            <w:r w:rsidR="00E16D63" w:rsidRPr="006E3C88">
              <w:rPr>
                <w:rFonts w:ascii="Arabic Typesetting" w:hAnsi="Arabic Typesetting" w:cs="Arabic Typesetting"/>
                <w:sz w:val="28"/>
                <w:szCs w:val="28"/>
                <w:rtl/>
                <w:lang w:bidi="ar-EG"/>
              </w:rPr>
              <w:t>)؛ وآسيا والمحيط الهادئ (</w:t>
            </w:r>
            <w:r w:rsidRPr="006E3C88">
              <w:rPr>
                <w:rFonts w:ascii="Arabic Typesetting" w:hAnsi="Arabic Typesetting" w:cs="Arabic Typesetting"/>
                <w:sz w:val="28"/>
                <w:szCs w:val="28"/>
                <w:rtl/>
                <w:lang w:bidi="ar-EG"/>
              </w:rPr>
              <w:t>4</w:t>
            </w:r>
            <w:r w:rsidR="00E16D63" w:rsidRPr="006E3C88">
              <w:rPr>
                <w:rFonts w:ascii="Arabic Typesetting" w:hAnsi="Arabic Typesetting" w:cs="Arabic Typesetting"/>
                <w:sz w:val="28"/>
                <w:szCs w:val="28"/>
                <w:rtl/>
                <w:lang w:bidi="ar-EG"/>
              </w:rPr>
              <w:t xml:space="preserve"> منها </w:t>
            </w:r>
            <w:r w:rsidRPr="006E3C88">
              <w:rPr>
                <w:rFonts w:ascii="Arabic Typesetting" w:hAnsi="Arabic Typesetting" w:cs="Arabic Typesetting"/>
                <w:sz w:val="28"/>
                <w:szCs w:val="28"/>
                <w:rtl/>
                <w:lang w:bidi="ar-EG"/>
              </w:rPr>
              <w:t>بلد</w:t>
            </w:r>
            <w:r w:rsidR="00E16D63" w:rsidRPr="006E3C88">
              <w:rPr>
                <w:rFonts w:ascii="Arabic Typesetting" w:hAnsi="Arabic Typesetting" w:cs="Arabic Typesetting"/>
                <w:sz w:val="28"/>
                <w:szCs w:val="28"/>
                <w:rtl/>
                <w:lang w:bidi="ar-EG"/>
              </w:rPr>
              <w:t xml:space="preserve"> من البلدان الأقل نموا)؛ وأمريكا اللاتينية والكاريبي (</w:t>
            </w:r>
            <w:r w:rsidRPr="006E3C88">
              <w:rPr>
                <w:rFonts w:ascii="Arabic Typesetting" w:hAnsi="Arabic Typesetting" w:cs="Arabic Typesetting"/>
                <w:sz w:val="28"/>
                <w:szCs w:val="28"/>
                <w:rtl/>
                <w:lang w:bidi="ar-EG"/>
              </w:rPr>
              <w:t>7</w:t>
            </w:r>
            <w:r w:rsidR="00E16D63" w:rsidRPr="006E3C88">
              <w:rPr>
                <w:rFonts w:ascii="Arabic Typesetting" w:hAnsi="Arabic Typesetting" w:cs="Arabic Typesetting"/>
                <w:sz w:val="28"/>
                <w:szCs w:val="28"/>
                <w:rtl/>
                <w:lang w:bidi="ar-EG"/>
              </w:rPr>
              <w:t>)؛ و</w:t>
            </w:r>
            <w:r w:rsidRPr="006E3C88">
              <w:rPr>
                <w:rFonts w:ascii="Arabic Typesetting" w:hAnsi="Arabic Typesetting" w:cs="Arabic Typesetting"/>
                <w:sz w:val="28"/>
                <w:szCs w:val="28"/>
                <w:rtl/>
                <w:lang w:bidi="ar-EG"/>
              </w:rPr>
              <w:t>بعض البلدان في أوروبا وآسيا (1)</w:t>
            </w:r>
          </w:p>
        </w:tc>
        <w:tc>
          <w:tcPr>
            <w:tcW w:w="380" w:type="pct"/>
            <w:shd w:val="clear" w:color="auto" w:fill="auto"/>
            <w:tcMar>
              <w:top w:w="110" w:type="dxa"/>
            </w:tcMar>
          </w:tcPr>
          <w:p w:rsidR="00E16D63" w:rsidRPr="006E3C88" w:rsidRDefault="00EA45DB" w:rsidP="00E16D63">
            <w:pPr>
              <w:keepNext/>
              <w:keepLines/>
              <w:bidi/>
              <w:spacing w:before="60" w:after="60" w:line="280" w:lineRule="exact"/>
              <w:jc w:val="center"/>
              <w:rPr>
                <w:rFonts w:ascii="Arabic Typesetting" w:hAnsi="Arabic Typesetting" w:cs="Arabic Typesetting"/>
                <w:color w:val="808080"/>
                <w:sz w:val="28"/>
                <w:szCs w:val="28"/>
                <w:lang w:bidi="ar-EG"/>
              </w:rPr>
            </w:pPr>
            <w:r w:rsidRPr="006E3C88">
              <w:rPr>
                <w:rFonts w:ascii="Arabic Typesetting" w:hAnsi="Arabic Typesetting" w:cs="Arabic Typesetting"/>
                <w:b/>
                <w:bCs/>
                <w:color w:val="008000"/>
                <w:sz w:val="28"/>
                <w:szCs w:val="28"/>
                <w:rtl/>
                <w:lang w:bidi="ar-EG"/>
              </w:rPr>
              <w:t>محقق كلياً</w:t>
            </w:r>
          </w:p>
        </w:tc>
      </w:tr>
      <w:tr w:rsidR="00E16D63" w:rsidRPr="006E3C88" w:rsidTr="00EA45DB">
        <w:trPr>
          <w:cantSplit/>
        </w:trPr>
        <w:tc>
          <w:tcPr>
            <w:tcW w:w="1136" w:type="pct"/>
            <w:shd w:val="clear" w:color="auto" w:fill="auto"/>
          </w:tcPr>
          <w:p w:rsidR="00E16D63" w:rsidRPr="006E3C88" w:rsidRDefault="00E16D63" w:rsidP="00E16D63">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sz w:val="28"/>
                <w:szCs w:val="28"/>
                <w:rtl/>
                <w:lang w:bidi="ar-EG"/>
              </w:rPr>
              <w:t>متوسط عدد المستخدمين المستفيدين من شبكة الدعم لكل ربع سنة وبحسب البلد</w:t>
            </w:r>
          </w:p>
        </w:tc>
        <w:tc>
          <w:tcPr>
            <w:tcW w:w="1363" w:type="pct"/>
            <w:shd w:val="clear" w:color="auto" w:fill="auto"/>
          </w:tcPr>
          <w:p w:rsidR="00E16D63" w:rsidRPr="006E3C88" w:rsidRDefault="00E16D63" w:rsidP="00E16D63">
            <w:pPr>
              <w:bidi/>
              <w:spacing w:before="60" w:after="60" w:line="300" w:lineRule="exact"/>
              <w:rPr>
                <w:rFonts w:ascii="Arabic Typesetting" w:hAnsi="Arabic Typesetting" w:cs="Arabic Typesetting"/>
                <w:b/>
                <w:color w:val="002060"/>
                <w:sz w:val="28"/>
                <w:szCs w:val="28"/>
              </w:rPr>
            </w:pPr>
            <w:r w:rsidRPr="006E3C88">
              <w:rPr>
                <w:rFonts w:ascii="Arabic Typesetting" w:hAnsi="Arabic Typesetting" w:cs="Arabic Typesetting"/>
                <w:b/>
                <w:i/>
                <w:iCs/>
                <w:color w:val="002060"/>
                <w:sz w:val="28"/>
                <w:szCs w:val="28"/>
                <w:rtl/>
                <w:lang w:bidi="ar-EG"/>
              </w:rPr>
              <w:t xml:space="preserve">أسس المقارنة المحدّثة في نهاية 2013: </w:t>
            </w:r>
            <w:r w:rsidRPr="006E3C88">
              <w:rPr>
                <w:rFonts w:ascii="Arabic Typesetting" w:hAnsi="Arabic Typesetting" w:cs="Arabic Typesetting"/>
                <w:b/>
                <w:color w:val="002060"/>
                <w:sz w:val="28"/>
                <w:szCs w:val="28"/>
                <w:rtl/>
                <w:lang w:bidi="ar-EG"/>
              </w:rPr>
              <w:t>ما بين</w:t>
            </w:r>
            <w:r w:rsidRPr="006E3C88">
              <w:rPr>
                <w:rFonts w:ascii="Arabic Typesetting" w:hAnsi="Arabic Typesetting" w:cs="Arabic Typesetting"/>
                <w:b/>
                <w:i/>
                <w:iCs/>
                <w:color w:val="002060"/>
                <w:sz w:val="28"/>
                <w:szCs w:val="28"/>
                <w:rtl/>
                <w:lang w:bidi="ar-EG"/>
              </w:rPr>
              <w:t xml:space="preserve"> </w:t>
            </w:r>
            <w:r w:rsidRPr="006E3C88">
              <w:rPr>
                <w:rFonts w:ascii="Arabic Typesetting" w:hAnsi="Arabic Typesetting" w:cs="Arabic Typesetting"/>
                <w:b/>
                <w:color w:val="002060"/>
                <w:sz w:val="28"/>
                <w:szCs w:val="28"/>
                <w:rtl/>
                <w:lang w:bidi="ar-EG"/>
              </w:rPr>
              <w:t>532 (حد أدنى) و370 1 (حد أقصى) لمتوسط عدد المستخدمين المستفيدين من شبكة الدعم لكل يوم في 2013.</w:t>
            </w:r>
          </w:p>
          <w:p w:rsidR="00E16D63" w:rsidRPr="006E3C88" w:rsidRDefault="00E16D63" w:rsidP="00E16D63">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b/>
                <w:i/>
                <w:iCs/>
                <w:sz w:val="28"/>
                <w:szCs w:val="28"/>
                <w:rtl/>
                <w:lang w:bidi="ar-EG"/>
              </w:rPr>
              <w:t xml:space="preserve">أسس المقارنة الأصلية: برنامج وميزانية 2014/15: </w:t>
            </w:r>
            <w:r w:rsidRPr="006E3C88">
              <w:rPr>
                <w:rFonts w:ascii="Arabic Typesetting" w:hAnsi="Arabic Typesetting" w:cs="Arabic Typesetting"/>
                <w:b/>
                <w:sz w:val="28"/>
                <w:szCs w:val="28"/>
                <w:rtl/>
                <w:lang w:bidi="ar-EG"/>
              </w:rPr>
              <w:t>200 (حد أدنى) - 630 (حد أقصى)</w:t>
            </w:r>
          </w:p>
        </w:tc>
        <w:tc>
          <w:tcPr>
            <w:tcW w:w="834" w:type="pct"/>
            <w:shd w:val="clear" w:color="auto" w:fill="auto"/>
            <w:tcMar>
              <w:top w:w="110" w:type="dxa"/>
            </w:tcMar>
          </w:tcPr>
          <w:p w:rsidR="00E16D63" w:rsidRPr="006E3C88" w:rsidRDefault="00E16D63" w:rsidP="00E16D63">
            <w:pPr>
              <w:bidi/>
              <w:spacing w:before="60" w:after="60" w:line="280" w:lineRule="exact"/>
              <w:rPr>
                <w:rFonts w:ascii="Arabic Typesetting" w:hAnsi="Arabic Typesetting" w:cs="Arabic Typesetting"/>
                <w:color w:val="993300"/>
                <w:sz w:val="28"/>
                <w:szCs w:val="28"/>
                <w:lang w:bidi="ar-EG"/>
              </w:rPr>
            </w:pPr>
            <w:r w:rsidRPr="006E3C88">
              <w:rPr>
                <w:rFonts w:ascii="Arabic Typesetting" w:hAnsi="Arabic Typesetting" w:cs="Arabic Typesetting"/>
                <w:sz w:val="28"/>
                <w:szCs w:val="28"/>
                <w:rtl/>
                <w:lang w:bidi="ar-TN"/>
              </w:rPr>
              <w:t>300 (حد أدنى) - 750 (حد أقصى)</w:t>
            </w:r>
          </w:p>
        </w:tc>
        <w:tc>
          <w:tcPr>
            <w:tcW w:w="1287" w:type="pct"/>
            <w:shd w:val="clear" w:color="auto" w:fill="FFFFFF"/>
            <w:tcMar>
              <w:top w:w="110" w:type="dxa"/>
            </w:tcMar>
          </w:tcPr>
          <w:p w:rsidR="00E16D63" w:rsidRPr="006E3C88" w:rsidRDefault="00EA45DB" w:rsidP="00EA45DB">
            <w:pPr>
              <w:bidi/>
              <w:spacing w:before="60" w:after="60" w:line="280" w:lineRule="exact"/>
              <w:rPr>
                <w:rFonts w:ascii="Arabic Typesetting" w:hAnsi="Arabic Typesetting" w:cs="Arabic Typesetting"/>
                <w:sz w:val="28"/>
                <w:szCs w:val="28"/>
                <w:lang w:bidi="ar-EG"/>
              </w:rPr>
            </w:pPr>
            <w:r w:rsidRPr="006E3C88">
              <w:rPr>
                <w:rFonts w:ascii="Arabic Typesetting" w:hAnsi="Arabic Typesetting" w:cs="Arabic Typesetting"/>
                <w:sz w:val="28"/>
                <w:szCs w:val="28"/>
                <w:rtl/>
                <w:lang w:bidi="ar-EG"/>
              </w:rPr>
              <w:t>874</w:t>
            </w:r>
            <w:r w:rsidR="00E16D63" w:rsidRPr="006E3C88">
              <w:rPr>
                <w:rFonts w:ascii="Arabic Typesetting" w:hAnsi="Arabic Typesetting" w:cs="Arabic Typesetting"/>
                <w:sz w:val="28"/>
                <w:szCs w:val="28"/>
                <w:rtl/>
                <w:lang w:bidi="ar-EG"/>
              </w:rPr>
              <w:t xml:space="preserve"> (حد أدنى)</w:t>
            </w:r>
            <w:r w:rsidRPr="006E3C88">
              <w:rPr>
                <w:rFonts w:ascii="Arabic Typesetting" w:hAnsi="Arabic Typesetting" w:cs="Arabic Typesetting"/>
                <w:sz w:val="28"/>
                <w:szCs w:val="28"/>
                <w:rtl/>
                <w:lang w:bidi="ar-EG"/>
              </w:rPr>
              <w:t xml:space="preserve"> - 631</w:t>
            </w:r>
            <w:r w:rsidR="00E16D63" w:rsidRPr="006E3C88">
              <w:rPr>
                <w:rFonts w:ascii="Arabic Typesetting" w:hAnsi="Arabic Typesetting" w:cs="Arabic Typesetting"/>
                <w:sz w:val="28"/>
                <w:szCs w:val="28"/>
                <w:rtl/>
                <w:lang w:bidi="ar-EG"/>
              </w:rPr>
              <w:t> </w:t>
            </w:r>
            <w:r w:rsidRPr="006E3C88">
              <w:rPr>
                <w:rFonts w:ascii="Arabic Typesetting" w:hAnsi="Arabic Typesetting" w:cs="Arabic Typesetting"/>
                <w:sz w:val="28"/>
                <w:szCs w:val="28"/>
                <w:rtl/>
                <w:lang w:bidi="ar-EG"/>
              </w:rPr>
              <w:t>2 (حد أقصى)</w:t>
            </w:r>
          </w:p>
        </w:tc>
        <w:tc>
          <w:tcPr>
            <w:tcW w:w="380" w:type="pct"/>
            <w:shd w:val="clear" w:color="auto" w:fill="auto"/>
            <w:tcMar>
              <w:top w:w="110" w:type="dxa"/>
            </w:tcMar>
          </w:tcPr>
          <w:p w:rsidR="00E16D63" w:rsidRPr="006E3C88" w:rsidRDefault="00EA45DB" w:rsidP="00E16D63">
            <w:pPr>
              <w:keepNext/>
              <w:keepLines/>
              <w:bidi/>
              <w:spacing w:before="60" w:after="60" w:line="280" w:lineRule="exact"/>
              <w:jc w:val="center"/>
              <w:rPr>
                <w:rFonts w:ascii="Arabic Typesetting" w:hAnsi="Arabic Typesetting" w:cs="Arabic Typesetting"/>
                <w:color w:val="808080"/>
                <w:sz w:val="28"/>
                <w:szCs w:val="28"/>
                <w:lang w:bidi="ar-EG"/>
              </w:rPr>
            </w:pPr>
            <w:r w:rsidRPr="006E3C88">
              <w:rPr>
                <w:rFonts w:ascii="Arabic Typesetting" w:hAnsi="Arabic Typesetting" w:cs="Arabic Typesetting"/>
                <w:b/>
                <w:bCs/>
                <w:color w:val="008000"/>
                <w:sz w:val="28"/>
                <w:szCs w:val="28"/>
                <w:rtl/>
                <w:lang w:bidi="ar-EG"/>
              </w:rPr>
              <w:t>محقق كلياً</w:t>
            </w:r>
          </w:p>
        </w:tc>
      </w:tr>
      <w:tr w:rsidR="00E16D63" w:rsidRPr="006E3C88" w:rsidTr="00EA45DB">
        <w:trPr>
          <w:cantSplit/>
        </w:trPr>
        <w:tc>
          <w:tcPr>
            <w:tcW w:w="1136" w:type="pct"/>
            <w:shd w:val="clear" w:color="auto" w:fill="auto"/>
          </w:tcPr>
          <w:p w:rsidR="00E16D63" w:rsidRPr="006E3C88" w:rsidRDefault="00E16D63" w:rsidP="00A25479">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sz w:val="28"/>
                <w:szCs w:val="28"/>
                <w:rtl/>
                <w:lang w:bidi="ar-EG"/>
              </w:rPr>
              <w:lastRenderedPageBreak/>
              <w:t xml:space="preserve">عدد </w:t>
            </w:r>
            <w:r w:rsidR="00A25479">
              <w:rPr>
                <w:rFonts w:ascii="Arabic Typesetting" w:hAnsi="Arabic Typesetting" w:cs="Arabic Typesetting" w:hint="cs"/>
                <w:sz w:val="28"/>
                <w:szCs w:val="28"/>
                <w:rtl/>
                <w:lang w:bidi="ar-EG"/>
              </w:rPr>
              <w:t>المستخدمين المسجلين النشطاء في برنامجي</w:t>
            </w:r>
            <w:r w:rsidRPr="006E3C88">
              <w:rPr>
                <w:rFonts w:ascii="Arabic Typesetting" w:hAnsi="Arabic Typesetting" w:cs="Arabic Typesetting"/>
                <w:sz w:val="28"/>
                <w:szCs w:val="28"/>
                <w:rtl/>
                <w:lang w:bidi="ar-EG"/>
              </w:rPr>
              <w:t xml:space="preserve"> </w:t>
            </w:r>
            <w:r w:rsidRPr="006E3C88">
              <w:rPr>
                <w:rFonts w:ascii="Arabic Typesetting" w:hAnsi="Arabic Typesetting" w:cs="Arabic Typesetting"/>
                <w:sz w:val="28"/>
                <w:szCs w:val="28"/>
                <w:lang w:bidi="ar-EG"/>
              </w:rPr>
              <w:t>ARDI</w:t>
            </w:r>
            <w:r w:rsidRPr="006E3C88">
              <w:rPr>
                <w:rFonts w:ascii="Arabic Typesetting" w:hAnsi="Arabic Typesetting" w:cs="Arabic Typesetting"/>
                <w:sz w:val="28"/>
                <w:szCs w:val="28"/>
                <w:rtl/>
                <w:lang w:bidi="ar-EG"/>
              </w:rPr>
              <w:t xml:space="preserve"> و</w:t>
            </w:r>
            <w:r w:rsidRPr="006E3C88">
              <w:rPr>
                <w:rFonts w:ascii="Arabic Typesetting" w:hAnsi="Arabic Typesetting" w:cs="Arabic Typesetting"/>
                <w:sz w:val="28"/>
                <w:szCs w:val="28"/>
                <w:lang w:bidi="ar-EG"/>
              </w:rPr>
              <w:t>ASPI</w:t>
            </w:r>
          </w:p>
        </w:tc>
        <w:tc>
          <w:tcPr>
            <w:tcW w:w="1363" w:type="pct"/>
            <w:shd w:val="clear" w:color="auto" w:fill="auto"/>
          </w:tcPr>
          <w:p w:rsidR="00E16D63" w:rsidRPr="006E3C88" w:rsidRDefault="00E16D63" w:rsidP="00E16D63">
            <w:pPr>
              <w:bidi/>
              <w:spacing w:before="60" w:after="60" w:line="300" w:lineRule="exact"/>
              <w:rPr>
                <w:rFonts w:ascii="Arabic Typesetting" w:hAnsi="Arabic Typesetting" w:cs="Arabic Typesetting"/>
                <w:b/>
                <w:i/>
                <w:iCs/>
                <w:color w:val="002060"/>
                <w:sz w:val="28"/>
                <w:szCs w:val="28"/>
                <w:rtl/>
                <w:lang w:bidi="ar-EG"/>
              </w:rPr>
            </w:pPr>
            <w:r w:rsidRPr="006E3C88">
              <w:rPr>
                <w:rFonts w:ascii="Arabic Typesetting" w:hAnsi="Arabic Typesetting" w:cs="Arabic Typesetting"/>
                <w:b/>
                <w:i/>
                <w:iCs/>
                <w:color w:val="002060"/>
                <w:sz w:val="28"/>
                <w:szCs w:val="28"/>
                <w:rtl/>
                <w:lang w:bidi="ar-EG"/>
              </w:rPr>
              <w:t xml:space="preserve">أسس المقارنة المحدّثة في نهاية 2013: </w:t>
            </w:r>
          </w:p>
          <w:p w:rsidR="00E16D63" w:rsidRPr="006E3C88" w:rsidRDefault="00E16D63" w:rsidP="00EA45DB">
            <w:pPr>
              <w:bidi/>
              <w:spacing w:before="60" w:after="60" w:line="300" w:lineRule="exact"/>
              <w:rPr>
                <w:rFonts w:ascii="Arabic Typesetting" w:hAnsi="Arabic Typesetting" w:cs="Arabic Typesetting"/>
                <w:bCs/>
                <w:color w:val="002060"/>
                <w:sz w:val="28"/>
                <w:szCs w:val="28"/>
              </w:rPr>
            </w:pPr>
            <w:r w:rsidRPr="006E3C88">
              <w:rPr>
                <w:rFonts w:ascii="Arabic Typesetting" w:hAnsi="Arabic Typesetting" w:cs="Arabic Typesetting"/>
                <w:bCs/>
                <w:color w:val="002060"/>
                <w:sz w:val="28"/>
                <w:szCs w:val="28"/>
              </w:rPr>
              <w:t>ARDI</w:t>
            </w:r>
            <w:r w:rsidRPr="006E3C88">
              <w:rPr>
                <w:rFonts w:ascii="Arabic Typesetting" w:hAnsi="Arabic Typesetting" w:cs="Arabic Typesetting"/>
                <w:bCs/>
                <w:color w:val="002060"/>
                <w:sz w:val="28"/>
                <w:szCs w:val="28"/>
                <w:rtl/>
              </w:rPr>
              <w:t xml:space="preserve"> </w:t>
            </w:r>
            <w:r w:rsidRPr="006E3C88">
              <w:rPr>
                <w:rFonts w:ascii="Arabic Typesetting" w:hAnsi="Arabic Typesetting" w:cs="Arabic Typesetting"/>
                <w:b/>
                <w:color w:val="002060"/>
                <w:sz w:val="28"/>
                <w:szCs w:val="28"/>
                <w:rtl/>
              </w:rPr>
              <w:t>(207 مستخدم</w:t>
            </w:r>
            <w:r w:rsidR="00EA45DB" w:rsidRPr="006E3C88">
              <w:rPr>
                <w:rFonts w:ascii="Arabic Typesetting" w:hAnsi="Arabic Typesetting" w:cs="Arabic Typesetting"/>
                <w:b/>
                <w:color w:val="002060"/>
                <w:sz w:val="28"/>
                <w:szCs w:val="28"/>
                <w:rtl/>
              </w:rPr>
              <w:t>ي</w:t>
            </w:r>
            <w:r w:rsidRPr="006E3C88">
              <w:rPr>
                <w:rFonts w:ascii="Arabic Typesetting" w:hAnsi="Arabic Typesetting" w:cs="Arabic Typesetting"/>
                <w:b/>
                <w:color w:val="002060"/>
                <w:sz w:val="28"/>
                <w:szCs w:val="28"/>
                <w:rtl/>
              </w:rPr>
              <w:t>ن نشط</w:t>
            </w:r>
            <w:r w:rsidR="00EA45DB" w:rsidRPr="006E3C88">
              <w:rPr>
                <w:rFonts w:ascii="Arabic Typesetting" w:hAnsi="Arabic Typesetting" w:cs="Arabic Typesetting"/>
                <w:b/>
                <w:color w:val="002060"/>
                <w:sz w:val="28"/>
                <w:szCs w:val="28"/>
                <w:rtl/>
              </w:rPr>
              <w:t>ي</w:t>
            </w:r>
            <w:r w:rsidRPr="006E3C88">
              <w:rPr>
                <w:rFonts w:ascii="Arabic Typesetting" w:hAnsi="Arabic Typesetting" w:cs="Arabic Typesetting"/>
                <w:b/>
                <w:color w:val="002060"/>
                <w:sz w:val="28"/>
                <w:szCs w:val="28"/>
                <w:rtl/>
              </w:rPr>
              <w:t>ن)</w:t>
            </w:r>
          </w:p>
          <w:p w:rsidR="00E16D63" w:rsidRPr="006E3C88" w:rsidRDefault="00E16D63" w:rsidP="00E16D63">
            <w:pPr>
              <w:bidi/>
              <w:spacing w:before="60" w:after="60" w:line="300" w:lineRule="exact"/>
              <w:rPr>
                <w:rFonts w:ascii="Arabic Typesetting" w:hAnsi="Arabic Typesetting" w:cs="Arabic Typesetting"/>
                <w:bCs/>
                <w:color w:val="002060"/>
                <w:sz w:val="28"/>
                <w:szCs w:val="28"/>
              </w:rPr>
            </w:pPr>
            <w:r w:rsidRPr="006E3C88">
              <w:rPr>
                <w:rFonts w:ascii="Arabic Typesetting" w:hAnsi="Arabic Typesetting" w:cs="Arabic Typesetting"/>
                <w:bCs/>
                <w:color w:val="002060"/>
                <w:sz w:val="28"/>
                <w:szCs w:val="28"/>
              </w:rPr>
              <w:t>ASPI</w:t>
            </w:r>
            <w:r w:rsidRPr="006E3C88">
              <w:rPr>
                <w:rFonts w:ascii="Arabic Typesetting" w:hAnsi="Arabic Typesetting" w:cs="Arabic Typesetting"/>
                <w:bCs/>
                <w:color w:val="002060"/>
                <w:sz w:val="28"/>
                <w:szCs w:val="28"/>
                <w:rtl/>
              </w:rPr>
              <w:t xml:space="preserve"> </w:t>
            </w:r>
            <w:r w:rsidRPr="006E3C88">
              <w:rPr>
                <w:rFonts w:ascii="Arabic Typesetting" w:hAnsi="Arabic Typesetting" w:cs="Arabic Typesetting"/>
                <w:b/>
                <w:color w:val="002060"/>
                <w:sz w:val="28"/>
                <w:szCs w:val="28"/>
                <w:rtl/>
              </w:rPr>
              <w:t>(20 مستخدما نشطا)</w:t>
            </w:r>
          </w:p>
          <w:p w:rsidR="00E16D63" w:rsidRPr="006E3C88" w:rsidRDefault="00E16D63" w:rsidP="00E16D63">
            <w:pPr>
              <w:bidi/>
              <w:spacing w:before="60" w:after="60" w:line="280" w:lineRule="exact"/>
              <w:rPr>
                <w:rFonts w:ascii="Arabic Typesetting" w:hAnsi="Arabic Typesetting" w:cs="Arabic Typesetting"/>
                <w:b/>
                <w:i/>
                <w:iCs/>
                <w:sz w:val="28"/>
                <w:szCs w:val="28"/>
                <w:rtl/>
                <w:lang w:bidi="ar-EG"/>
              </w:rPr>
            </w:pPr>
            <w:r w:rsidRPr="006E3C88">
              <w:rPr>
                <w:rFonts w:ascii="Arabic Typesetting" w:hAnsi="Arabic Typesetting" w:cs="Arabic Typesetting"/>
                <w:b/>
                <w:i/>
                <w:iCs/>
                <w:sz w:val="28"/>
                <w:szCs w:val="28"/>
                <w:rtl/>
                <w:lang w:bidi="ar-EG"/>
              </w:rPr>
              <w:t xml:space="preserve">أسس المقارنة الأصلية: برنامج وميزانية 2014/15: </w:t>
            </w:r>
          </w:p>
          <w:p w:rsidR="00E16D63" w:rsidRPr="006E3C88" w:rsidRDefault="00E16D63" w:rsidP="00E16D63">
            <w:pPr>
              <w:bidi/>
              <w:spacing w:before="60" w:after="60" w:line="280" w:lineRule="exact"/>
              <w:rPr>
                <w:rFonts w:ascii="Arabic Typesetting" w:hAnsi="Arabic Typesetting" w:cs="Arabic Typesetting"/>
                <w:bCs/>
                <w:sz w:val="28"/>
                <w:szCs w:val="28"/>
                <w:lang w:bidi="ar-EG"/>
              </w:rPr>
            </w:pPr>
            <w:r w:rsidRPr="006E3C88">
              <w:rPr>
                <w:rFonts w:ascii="Arabic Typesetting" w:hAnsi="Arabic Typesetting" w:cs="Arabic Typesetting"/>
                <w:bCs/>
                <w:sz w:val="28"/>
                <w:szCs w:val="28"/>
                <w:lang w:bidi="ar-EG"/>
              </w:rPr>
              <w:t>ARDI</w:t>
            </w:r>
            <w:r w:rsidRPr="006E3C88">
              <w:rPr>
                <w:rFonts w:ascii="Arabic Typesetting" w:hAnsi="Arabic Typesetting" w:cs="Arabic Typesetting"/>
                <w:bCs/>
                <w:sz w:val="28"/>
                <w:szCs w:val="28"/>
                <w:rtl/>
                <w:lang w:bidi="ar-EG"/>
              </w:rPr>
              <w:t xml:space="preserve"> </w:t>
            </w:r>
            <w:r w:rsidRPr="006E3C88">
              <w:rPr>
                <w:rFonts w:ascii="Arabic Typesetting" w:hAnsi="Arabic Typesetting" w:cs="Arabic Typesetting"/>
                <w:b/>
                <w:sz w:val="28"/>
                <w:szCs w:val="28"/>
                <w:rtl/>
                <w:lang w:bidi="ar-EG"/>
              </w:rPr>
              <w:t>50</w:t>
            </w:r>
          </w:p>
          <w:p w:rsidR="00E16D63" w:rsidRPr="006E3C88" w:rsidRDefault="00E16D63" w:rsidP="00E16D63">
            <w:pPr>
              <w:bidi/>
              <w:spacing w:before="60" w:after="60" w:line="280" w:lineRule="exact"/>
              <w:rPr>
                <w:rFonts w:ascii="Arabic Typesetting" w:hAnsi="Arabic Typesetting" w:cs="Arabic Typesetting"/>
                <w:sz w:val="28"/>
                <w:szCs w:val="28"/>
                <w:lang w:bidi="ar-EG"/>
              </w:rPr>
            </w:pPr>
            <w:r w:rsidRPr="006E3C88">
              <w:rPr>
                <w:rFonts w:ascii="Arabic Typesetting" w:hAnsi="Arabic Typesetting" w:cs="Arabic Typesetting"/>
                <w:bCs/>
                <w:sz w:val="28"/>
                <w:szCs w:val="28"/>
                <w:lang w:bidi="ar-EG"/>
              </w:rPr>
              <w:t>ASPI</w:t>
            </w:r>
            <w:r w:rsidRPr="006E3C88">
              <w:rPr>
                <w:rFonts w:ascii="Arabic Typesetting" w:hAnsi="Arabic Typesetting" w:cs="Arabic Typesetting"/>
                <w:bCs/>
                <w:sz w:val="28"/>
                <w:szCs w:val="28"/>
                <w:rtl/>
                <w:lang w:bidi="ar-EG"/>
              </w:rPr>
              <w:t xml:space="preserve"> </w:t>
            </w:r>
            <w:r w:rsidRPr="006E3C88">
              <w:rPr>
                <w:rFonts w:ascii="Arabic Typesetting" w:hAnsi="Arabic Typesetting" w:cs="Arabic Typesetting"/>
                <w:b/>
                <w:sz w:val="28"/>
                <w:szCs w:val="28"/>
                <w:rtl/>
                <w:lang w:bidi="ar-EG"/>
              </w:rPr>
              <w:t>20</w:t>
            </w:r>
          </w:p>
        </w:tc>
        <w:tc>
          <w:tcPr>
            <w:tcW w:w="834" w:type="pct"/>
            <w:shd w:val="clear" w:color="auto" w:fill="auto"/>
            <w:tcMar>
              <w:top w:w="110" w:type="dxa"/>
            </w:tcMar>
          </w:tcPr>
          <w:p w:rsidR="00E16D63" w:rsidRPr="006E3C88" w:rsidRDefault="00E16D63" w:rsidP="00E16D63">
            <w:pPr>
              <w:bidi/>
              <w:spacing w:before="60" w:after="60" w:line="280" w:lineRule="exact"/>
              <w:rPr>
                <w:rFonts w:ascii="Arabic Typesetting" w:hAnsi="Arabic Typesetting" w:cs="Arabic Typesetting"/>
                <w:sz w:val="28"/>
                <w:szCs w:val="28"/>
                <w:lang w:bidi="ar-EG"/>
              </w:rPr>
            </w:pPr>
            <w:r w:rsidRPr="006E3C88">
              <w:rPr>
                <w:rFonts w:ascii="Arabic Typesetting" w:hAnsi="Arabic Typesetting" w:cs="Arabic Typesetting"/>
                <w:sz w:val="28"/>
                <w:szCs w:val="28"/>
                <w:lang w:bidi="ar-EG"/>
              </w:rPr>
              <w:t>ARDI</w:t>
            </w:r>
            <w:r w:rsidRPr="006E3C88">
              <w:rPr>
                <w:rFonts w:ascii="Arabic Typesetting" w:hAnsi="Arabic Typesetting" w:cs="Arabic Typesetting"/>
                <w:sz w:val="28"/>
                <w:szCs w:val="28"/>
                <w:rtl/>
                <w:lang w:bidi="ar-EG"/>
              </w:rPr>
              <w:t xml:space="preserve"> 300</w:t>
            </w:r>
          </w:p>
          <w:p w:rsidR="00E16D63" w:rsidRPr="006E3C88" w:rsidRDefault="00E16D63" w:rsidP="00E16D63">
            <w:pPr>
              <w:bidi/>
              <w:spacing w:before="60" w:after="60" w:line="280" w:lineRule="exact"/>
              <w:rPr>
                <w:rFonts w:ascii="Arabic Typesetting" w:hAnsi="Arabic Typesetting" w:cs="Arabic Typesetting"/>
                <w:color w:val="993300"/>
                <w:sz w:val="28"/>
                <w:szCs w:val="28"/>
                <w:lang w:bidi="ar-EG"/>
              </w:rPr>
            </w:pPr>
            <w:r w:rsidRPr="006E3C88">
              <w:rPr>
                <w:rFonts w:ascii="Arabic Typesetting" w:hAnsi="Arabic Typesetting" w:cs="Arabic Typesetting"/>
                <w:sz w:val="28"/>
                <w:szCs w:val="28"/>
                <w:lang w:bidi="ar-EG"/>
              </w:rPr>
              <w:t>ASPI</w:t>
            </w:r>
            <w:r w:rsidRPr="006E3C88">
              <w:rPr>
                <w:rFonts w:ascii="Arabic Typesetting" w:hAnsi="Arabic Typesetting" w:cs="Arabic Typesetting"/>
                <w:sz w:val="28"/>
                <w:szCs w:val="28"/>
                <w:rtl/>
                <w:lang w:bidi="ar-EG"/>
              </w:rPr>
              <w:t xml:space="preserve"> 30</w:t>
            </w:r>
          </w:p>
        </w:tc>
        <w:tc>
          <w:tcPr>
            <w:tcW w:w="1287" w:type="pct"/>
            <w:shd w:val="clear" w:color="auto" w:fill="FFFFFF"/>
            <w:tcMar>
              <w:top w:w="110" w:type="dxa"/>
            </w:tcMar>
          </w:tcPr>
          <w:p w:rsidR="00E16D63" w:rsidRPr="006E3C88" w:rsidRDefault="00E16D63" w:rsidP="00EA45DB">
            <w:pPr>
              <w:bidi/>
              <w:spacing w:before="60" w:after="60" w:line="280" w:lineRule="exact"/>
              <w:rPr>
                <w:rFonts w:ascii="Arabic Typesetting" w:hAnsi="Arabic Typesetting" w:cs="Arabic Typesetting"/>
                <w:sz w:val="28"/>
                <w:szCs w:val="28"/>
                <w:rtl/>
              </w:rPr>
            </w:pPr>
            <w:r w:rsidRPr="006E3C88">
              <w:rPr>
                <w:rFonts w:ascii="Arabic Typesetting" w:hAnsi="Arabic Typesetting" w:cs="Arabic Typesetting"/>
                <w:sz w:val="28"/>
                <w:szCs w:val="28"/>
                <w:lang w:bidi="ar-EG"/>
              </w:rPr>
              <w:t>ARDI</w:t>
            </w:r>
            <w:r w:rsidRPr="006E3C88">
              <w:rPr>
                <w:rFonts w:ascii="Arabic Typesetting" w:hAnsi="Arabic Typesetting" w:cs="Arabic Typesetting"/>
                <w:sz w:val="28"/>
                <w:szCs w:val="28"/>
                <w:rtl/>
              </w:rPr>
              <w:t xml:space="preserve"> </w:t>
            </w:r>
            <w:r w:rsidR="00EA45DB" w:rsidRPr="006E3C88">
              <w:rPr>
                <w:rFonts w:ascii="Arabic Typesetting" w:hAnsi="Arabic Typesetting" w:cs="Arabic Typesetting"/>
                <w:sz w:val="28"/>
                <w:szCs w:val="28"/>
                <w:rtl/>
              </w:rPr>
              <w:t>623</w:t>
            </w:r>
          </w:p>
          <w:p w:rsidR="00E16D63" w:rsidRPr="006E3C88" w:rsidRDefault="00E16D63" w:rsidP="00EA45DB">
            <w:pPr>
              <w:bidi/>
              <w:spacing w:before="60" w:after="60" w:line="280" w:lineRule="exact"/>
              <w:rPr>
                <w:rFonts w:ascii="Arabic Typesetting" w:hAnsi="Arabic Typesetting" w:cs="Arabic Typesetting"/>
                <w:sz w:val="28"/>
                <w:szCs w:val="28"/>
                <w:rtl/>
              </w:rPr>
            </w:pPr>
            <w:r w:rsidRPr="006E3C88">
              <w:rPr>
                <w:rFonts w:ascii="Arabic Typesetting" w:hAnsi="Arabic Typesetting" w:cs="Arabic Typesetting"/>
                <w:sz w:val="28"/>
                <w:szCs w:val="28"/>
                <w:lang w:bidi="ar-EG"/>
              </w:rPr>
              <w:t>ASPI</w:t>
            </w:r>
            <w:r w:rsidRPr="006E3C88">
              <w:rPr>
                <w:rFonts w:ascii="Arabic Typesetting" w:hAnsi="Arabic Typesetting" w:cs="Arabic Typesetting"/>
                <w:sz w:val="28"/>
                <w:szCs w:val="28"/>
                <w:rtl/>
              </w:rPr>
              <w:t xml:space="preserve"> </w:t>
            </w:r>
            <w:r w:rsidR="00EA45DB" w:rsidRPr="006E3C88">
              <w:rPr>
                <w:rFonts w:ascii="Arabic Typesetting" w:hAnsi="Arabic Typesetting" w:cs="Arabic Typesetting"/>
                <w:sz w:val="28"/>
                <w:szCs w:val="28"/>
                <w:rtl/>
              </w:rPr>
              <w:t>42</w:t>
            </w:r>
          </w:p>
        </w:tc>
        <w:tc>
          <w:tcPr>
            <w:tcW w:w="380" w:type="pct"/>
            <w:shd w:val="clear" w:color="auto" w:fill="auto"/>
            <w:tcMar>
              <w:top w:w="110" w:type="dxa"/>
            </w:tcMar>
          </w:tcPr>
          <w:p w:rsidR="00E16D63" w:rsidRPr="006E3C88" w:rsidRDefault="00EA45DB" w:rsidP="00E16D63">
            <w:pPr>
              <w:keepNext/>
              <w:keepLines/>
              <w:bidi/>
              <w:spacing w:before="60" w:after="60" w:line="280" w:lineRule="exact"/>
              <w:jc w:val="center"/>
              <w:rPr>
                <w:rFonts w:ascii="Arabic Typesetting" w:hAnsi="Arabic Typesetting" w:cs="Arabic Typesetting"/>
                <w:color w:val="808080"/>
                <w:sz w:val="28"/>
                <w:szCs w:val="28"/>
                <w:lang w:bidi="ar-EG"/>
              </w:rPr>
            </w:pPr>
            <w:r w:rsidRPr="006E3C88">
              <w:rPr>
                <w:rFonts w:ascii="Arabic Typesetting" w:hAnsi="Arabic Typesetting" w:cs="Arabic Typesetting"/>
                <w:b/>
                <w:bCs/>
                <w:color w:val="008000"/>
                <w:sz w:val="28"/>
                <w:szCs w:val="28"/>
                <w:rtl/>
                <w:lang w:bidi="ar-EG"/>
              </w:rPr>
              <w:t>محقق كلياً</w:t>
            </w:r>
          </w:p>
        </w:tc>
      </w:tr>
      <w:tr w:rsidR="00E16D63" w:rsidRPr="006E3C88" w:rsidTr="00EA45DB">
        <w:trPr>
          <w:cantSplit/>
        </w:trPr>
        <w:tc>
          <w:tcPr>
            <w:tcW w:w="1136" w:type="pct"/>
            <w:shd w:val="clear" w:color="auto" w:fill="auto"/>
          </w:tcPr>
          <w:p w:rsidR="00E16D63" w:rsidRPr="006E3C88" w:rsidRDefault="00E16D63" w:rsidP="00E16D63">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sz w:val="28"/>
                <w:szCs w:val="28"/>
                <w:rtl/>
                <w:lang w:bidi="ar-EG"/>
              </w:rPr>
              <w:t xml:space="preserve">النسبة المئوية للمستخدمين الراضين عن مستوى تقديم خدمات المعلومات المرتبطة بالبراءات ذات القيمة المضافة (برنامج خدمات الويبو الإعلامية </w:t>
            </w:r>
            <w:r w:rsidRPr="006E3C88">
              <w:rPr>
                <w:rFonts w:ascii="Arabic Typesetting" w:hAnsi="Arabic Typesetting" w:cs="Arabic Typesetting"/>
                <w:sz w:val="28"/>
                <w:szCs w:val="28"/>
                <w:lang w:bidi="ar-EG"/>
              </w:rPr>
              <w:t>WPIS</w:t>
            </w:r>
            <w:r w:rsidRPr="006E3C88">
              <w:rPr>
                <w:rFonts w:ascii="Arabic Typesetting" w:hAnsi="Arabic Typesetting" w:cs="Arabic Typesetting"/>
                <w:sz w:val="28"/>
                <w:szCs w:val="28"/>
                <w:rtl/>
                <w:lang w:bidi="ar-EG"/>
              </w:rPr>
              <w:t xml:space="preserve">، قاموس العناصر الدولية المشتركة </w:t>
            </w:r>
            <w:r w:rsidRPr="006E3C88">
              <w:rPr>
                <w:rFonts w:ascii="Arabic Typesetting" w:hAnsi="Arabic Typesetting" w:cs="Arabic Typesetting"/>
                <w:sz w:val="28"/>
                <w:szCs w:val="28"/>
                <w:lang w:bidi="ar-EG"/>
              </w:rPr>
              <w:t>ICE</w:t>
            </w:r>
            <w:r w:rsidRPr="006E3C88">
              <w:rPr>
                <w:rFonts w:ascii="Arabic Typesetting" w:hAnsi="Arabic Typesetting" w:cs="Arabic Typesetting"/>
                <w:sz w:val="28"/>
                <w:szCs w:val="28"/>
                <w:rtl/>
                <w:lang w:bidi="ar-EG"/>
              </w:rPr>
              <w:t>، خدمة الاستفسار عن أسرة البراءات والوضع القانوني)</w:t>
            </w:r>
          </w:p>
        </w:tc>
        <w:tc>
          <w:tcPr>
            <w:tcW w:w="1363" w:type="pct"/>
            <w:shd w:val="clear" w:color="auto" w:fill="auto"/>
          </w:tcPr>
          <w:p w:rsidR="00E16D63" w:rsidRPr="006E3C88" w:rsidRDefault="00E16D63" w:rsidP="00E16D63">
            <w:pPr>
              <w:bidi/>
              <w:spacing w:before="60" w:after="60" w:line="300" w:lineRule="exact"/>
              <w:rPr>
                <w:rFonts w:ascii="Arabic Typesetting" w:hAnsi="Arabic Typesetting" w:cs="Arabic Typesetting"/>
                <w:b/>
                <w:color w:val="002060"/>
                <w:sz w:val="28"/>
                <w:szCs w:val="28"/>
              </w:rPr>
            </w:pPr>
            <w:r w:rsidRPr="006E3C88">
              <w:rPr>
                <w:rFonts w:ascii="Arabic Typesetting" w:hAnsi="Arabic Typesetting" w:cs="Arabic Typesetting"/>
                <w:b/>
                <w:i/>
                <w:iCs/>
                <w:color w:val="002060"/>
                <w:sz w:val="28"/>
                <w:szCs w:val="28"/>
                <w:rtl/>
                <w:lang w:bidi="ar-EG"/>
              </w:rPr>
              <w:t xml:space="preserve">أسس المقارنة المحدّثة في نهاية 2013: </w:t>
            </w:r>
            <w:r w:rsidRPr="006E3C88">
              <w:rPr>
                <w:rFonts w:ascii="Arabic Typesetting" w:hAnsi="Arabic Typesetting" w:cs="Arabic Typesetting"/>
                <w:b/>
                <w:color w:val="002060"/>
                <w:sz w:val="28"/>
                <w:szCs w:val="28"/>
                <w:rtl/>
                <w:lang w:bidi="ar-EG"/>
              </w:rPr>
              <w:t>لم تجر أية دراسة استقصائية عن برنامج خدمات الويبو الإعلامية وقاموس العناصر الدولية المشتركة. وتجري المناقشات مع المكاتب المانحة عن كيفية تقييم واسترجاع الآراء في العمل المنجز.</w:t>
            </w:r>
          </w:p>
          <w:p w:rsidR="00E16D63" w:rsidRPr="006E3C88" w:rsidRDefault="00E16D63" w:rsidP="00E16D63">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b/>
                <w:i/>
                <w:iCs/>
                <w:sz w:val="28"/>
                <w:szCs w:val="28"/>
                <w:rtl/>
                <w:lang w:bidi="ar-EG"/>
              </w:rPr>
              <w:t xml:space="preserve">أسس المقارنة الأصلية: برنامج وميزانية 2014/15: </w:t>
            </w:r>
            <w:r w:rsidRPr="006E3C88">
              <w:rPr>
                <w:rFonts w:ascii="Arabic Typesetting" w:hAnsi="Arabic Typesetting" w:cs="Arabic Typesetting"/>
                <w:b/>
                <w:sz w:val="28"/>
                <w:szCs w:val="28"/>
                <w:rtl/>
                <w:lang w:bidi="ar-EG"/>
              </w:rPr>
              <w:t>غير متاحة</w:t>
            </w:r>
          </w:p>
        </w:tc>
        <w:tc>
          <w:tcPr>
            <w:tcW w:w="834" w:type="pct"/>
            <w:shd w:val="clear" w:color="auto" w:fill="auto"/>
            <w:tcMar>
              <w:top w:w="110" w:type="dxa"/>
            </w:tcMar>
          </w:tcPr>
          <w:p w:rsidR="00E16D63" w:rsidRPr="006E3C88" w:rsidRDefault="00E16D63" w:rsidP="00E16D63">
            <w:pPr>
              <w:bidi/>
              <w:spacing w:before="60" w:after="60" w:line="280" w:lineRule="exact"/>
              <w:rPr>
                <w:rFonts w:ascii="Arabic Typesetting" w:hAnsi="Arabic Typesetting" w:cs="Arabic Typesetting"/>
                <w:color w:val="993300"/>
                <w:sz w:val="28"/>
                <w:szCs w:val="28"/>
                <w:lang w:bidi="ar-EG"/>
              </w:rPr>
            </w:pPr>
            <w:r w:rsidRPr="006E3C88">
              <w:rPr>
                <w:rFonts w:ascii="Arabic Typesetting" w:hAnsi="Arabic Typesetting" w:cs="Arabic Typesetting"/>
                <w:sz w:val="28"/>
                <w:szCs w:val="28"/>
                <w:rtl/>
                <w:lang w:bidi="ar-EG"/>
              </w:rPr>
              <w:t>75%</w:t>
            </w:r>
          </w:p>
        </w:tc>
        <w:tc>
          <w:tcPr>
            <w:tcW w:w="1287" w:type="pct"/>
            <w:shd w:val="clear" w:color="auto" w:fill="FFFFFF"/>
            <w:tcMar>
              <w:top w:w="110" w:type="dxa"/>
            </w:tcMar>
          </w:tcPr>
          <w:p w:rsidR="00E16D63" w:rsidRPr="006E3C88" w:rsidRDefault="00A25479" w:rsidP="006E3C88">
            <w:pPr>
              <w:bidi/>
              <w:spacing w:before="60" w:after="60" w:line="280" w:lineRule="exact"/>
              <w:rPr>
                <w:rFonts w:ascii="Arabic Typesetting" w:hAnsi="Arabic Typesetting" w:cs="Arabic Typesetting"/>
                <w:sz w:val="28"/>
                <w:szCs w:val="28"/>
                <w:rtl/>
                <w:lang w:val="fr-FR" w:bidi="ar-TN"/>
              </w:rPr>
            </w:pPr>
            <w:r>
              <w:rPr>
                <w:rFonts w:ascii="Arabic Typesetting" w:hAnsi="Arabic Typesetting" w:cs="Arabic Typesetting" w:hint="cs"/>
                <w:sz w:val="28"/>
                <w:szCs w:val="28"/>
                <w:rtl/>
                <w:lang w:val="fr-FR" w:bidi="ar-TN"/>
              </w:rPr>
              <w:t>توقف</w:t>
            </w:r>
            <w:r w:rsidR="006E3C88" w:rsidRPr="006E3C88">
              <w:rPr>
                <w:rFonts w:ascii="Arabic Typesetting" w:hAnsi="Arabic Typesetting" w:cs="Arabic Typesetting"/>
                <w:sz w:val="28"/>
                <w:szCs w:val="28"/>
                <w:rtl/>
                <w:lang w:val="fr-FR" w:bidi="ar-TN"/>
              </w:rPr>
              <w:t xml:space="preserve"> استخدام مؤشر الأداء عقب إعادة تنظيم خدمات المعلومات المرتبطة بالبراءات.</w:t>
            </w:r>
          </w:p>
        </w:tc>
        <w:tc>
          <w:tcPr>
            <w:tcW w:w="380" w:type="pct"/>
            <w:shd w:val="clear" w:color="auto" w:fill="auto"/>
            <w:tcMar>
              <w:top w:w="110" w:type="dxa"/>
            </w:tcMar>
          </w:tcPr>
          <w:p w:rsidR="00E16D63" w:rsidRPr="006E3C88" w:rsidRDefault="00EA45DB" w:rsidP="00E16D63">
            <w:pPr>
              <w:keepNext/>
              <w:keepLines/>
              <w:bidi/>
              <w:spacing w:before="60" w:after="60" w:line="280" w:lineRule="exact"/>
              <w:jc w:val="center"/>
              <w:rPr>
                <w:rFonts w:ascii="Arabic Typesetting" w:hAnsi="Arabic Typesetting" w:cs="Arabic Typesetting"/>
                <w:sz w:val="28"/>
                <w:szCs w:val="28"/>
                <w:lang w:bidi="ar-EG"/>
              </w:rPr>
            </w:pPr>
            <w:r w:rsidRPr="006E3C88">
              <w:rPr>
                <w:rFonts w:ascii="Arabic Typesetting" w:hAnsi="Arabic Typesetting" w:cs="Arabic Typesetting"/>
                <w:b/>
                <w:bCs/>
                <w:sz w:val="28"/>
                <w:szCs w:val="28"/>
                <w:rtl/>
                <w:lang w:bidi="ar-EG"/>
              </w:rPr>
              <w:t>منقطع</w:t>
            </w:r>
          </w:p>
        </w:tc>
      </w:tr>
      <w:tr w:rsidR="00E16D63" w:rsidRPr="006E3C88" w:rsidTr="00EA45DB">
        <w:trPr>
          <w:cantSplit/>
        </w:trPr>
        <w:tc>
          <w:tcPr>
            <w:tcW w:w="1136" w:type="pct"/>
            <w:shd w:val="clear" w:color="auto" w:fill="auto"/>
          </w:tcPr>
          <w:p w:rsidR="00E16D63" w:rsidRPr="006E3C88" w:rsidRDefault="00E16D63" w:rsidP="00A25479">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sz w:val="28"/>
                <w:szCs w:val="28"/>
                <w:rtl/>
                <w:lang w:bidi="ar-EG"/>
              </w:rPr>
              <w:t>النسبة المئوية للمستخدمين الراضين عن ت</w:t>
            </w:r>
            <w:r w:rsidR="00A25479">
              <w:rPr>
                <w:rFonts w:ascii="Arabic Typesetting" w:hAnsi="Arabic Typesetting" w:cs="Arabic Typesetting"/>
                <w:sz w:val="28"/>
                <w:szCs w:val="28"/>
                <w:rtl/>
                <w:lang w:bidi="ar-EG"/>
              </w:rPr>
              <w:t>قارير واقع البراءات</w:t>
            </w:r>
          </w:p>
        </w:tc>
        <w:tc>
          <w:tcPr>
            <w:tcW w:w="1363" w:type="pct"/>
            <w:shd w:val="clear" w:color="auto" w:fill="auto"/>
          </w:tcPr>
          <w:p w:rsidR="00E16D63" w:rsidRPr="006E3C88" w:rsidRDefault="00E16D63" w:rsidP="00E16D63">
            <w:pPr>
              <w:bidi/>
              <w:spacing w:before="60" w:after="60" w:line="300" w:lineRule="exact"/>
              <w:rPr>
                <w:rFonts w:ascii="Arabic Typesetting" w:hAnsi="Arabic Typesetting" w:cs="Arabic Typesetting"/>
                <w:b/>
                <w:color w:val="002060"/>
                <w:sz w:val="28"/>
                <w:szCs w:val="28"/>
              </w:rPr>
            </w:pPr>
            <w:r w:rsidRPr="006E3C88">
              <w:rPr>
                <w:rFonts w:ascii="Arabic Typesetting" w:hAnsi="Arabic Typesetting" w:cs="Arabic Typesetting"/>
                <w:b/>
                <w:i/>
                <w:iCs/>
                <w:color w:val="002060"/>
                <w:sz w:val="28"/>
                <w:szCs w:val="28"/>
                <w:rtl/>
                <w:lang w:bidi="ar-EG"/>
              </w:rPr>
              <w:t xml:space="preserve">أسس المقارنة المحدّثة في نهاية 2013: </w:t>
            </w:r>
            <w:r w:rsidRPr="006E3C88">
              <w:rPr>
                <w:rFonts w:ascii="Arabic Typesetting" w:hAnsi="Arabic Typesetting" w:cs="Arabic Typesetting"/>
                <w:b/>
                <w:color w:val="002060"/>
                <w:sz w:val="28"/>
                <w:szCs w:val="28"/>
                <w:rtl/>
                <w:lang w:bidi="ar-EG"/>
              </w:rPr>
              <w:t>أجريت دراسة استقصائية عن الرضا عن تقارير واقع البراءات في مارس 2014 وورد 39 ردا عليها (3 من مستخدمي المستوى الأول و36 من مستخدمي المستوى الثاني). وأظهرت النتائج أن نسبة 70% من المستخدمين راضية عن نوعية التقارير.</w:t>
            </w:r>
          </w:p>
          <w:p w:rsidR="00E16D63" w:rsidRPr="006E3C88" w:rsidRDefault="00E16D63" w:rsidP="00E16D63">
            <w:pPr>
              <w:bidi/>
              <w:spacing w:before="60" w:after="60" w:line="280" w:lineRule="exact"/>
              <w:rPr>
                <w:rFonts w:ascii="Arabic Typesetting" w:hAnsi="Arabic Typesetting" w:cs="Arabic Typesetting"/>
                <w:sz w:val="28"/>
                <w:szCs w:val="28"/>
                <w:rtl/>
                <w:lang w:bidi="ar-EG"/>
              </w:rPr>
            </w:pPr>
            <w:r w:rsidRPr="006E3C88">
              <w:rPr>
                <w:rFonts w:ascii="Arabic Typesetting" w:hAnsi="Arabic Typesetting" w:cs="Arabic Typesetting"/>
                <w:b/>
                <w:i/>
                <w:iCs/>
                <w:sz w:val="28"/>
                <w:szCs w:val="28"/>
                <w:rtl/>
                <w:lang w:bidi="ar-EG"/>
              </w:rPr>
              <w:t xml:space="preserve">أسس المقارنة الأصلية: برنامج وميزانية 2014/15: </w:t>
            </w:r>
            <w:r w:rsidRPr="006E3C88">
              <w:rPr>
                <w:rFonts w:ascii="Arabic Typesetting" w:hAnsi="Arabic Typesetting" w:cs="Arabic Typesetting"/>
                <w:b/>
                <w:sz w:val="28"/>
                <w:szCs w:val="28"/>
                <w:rtl/>
                <w:lang w:bidi="ar-EG"/>
              </w:rPr>
              <w:t>غير متاحة</w:t>
            </w:r>
          </w:p>
        </w:tc>
        <w:tc>
          <w:tcPr>
            <w:tcW w:w="834" w:type="pct"/>
            <w:shd w:val="clear" w:color="auto" w:fill="auto"/>
            <w:tcMar>
              <w:top w:w="110" w:type="dxa"/>
            </w:tcMar>
          </w:tcPr>
          <w:p w:rsidR="00E16D63" w:rsidRPr="006E3C88" w:rsidRDefault="00E16D63" w:rsidP="00E16D63">
            <w:pPr>
              <w:bidi/>
              <w:spacing w:before="60" w:after="60" w:line="280" w:lineRule="exact"/>
              <w:rPr>
                <w:rFonts w:ascii="Arabic Typesetting" w:hAnsi="Arabic Typesetting" w:cs="Arabic Typesetting"/>
                <w:sz w:val="28"/>
                <w:szCs w:val="28"/>
                <w:lang w:bidi="ar-EG"/>
              </w:rPr>
            </w:pPr>
            <w:r w:rsidRPr="006E3C88">
              <w:rPr>
                <w:rFonts w:ascii="Arabic Typesetting" w:hAnsi="Arabic Typesetting" w:cs="Arabic Typesetting"/>
                <w:sz w:val="28"/>
                <w:szCs w:val="28"/>
                <w:rtl/>
                <w:lang w:bidi="ar-EG"/>
              </w:rPr>
              <w:t>75%</w:t>
            </w:r>
          </w:p>
        </w:tc>
        <w:tc>
          <w:tcPr>
            <w:tcW w:w="1287" w:type="pct"/>
            <w:shd w:val="clear" w:color="auto" w:fill="FFFFFF"/>
            <w:tcMar>
              <w:top w:w="110" w:type="dxa"/>
            </w:tcMar>
          </w:tcPr>
          <w:p w:rsidR="00E16D63" w:rsidRPr="006E3C88" w:rsidRDefault="006E3C88" w:rsidP="006E3C88">
            <w:pPr>
              <w:bidi/>
              <w:spacing w:before="60" w:after="60" w:line="280" w:lineRule="exact"/>
              <w:rPr>
                <w:rFonts w:ascii="Arabic Typesetting" w:hAnsi="Arabic Typesetting" w:cs="Arabic Typesetting"/>
                <w:sz w:val="28"/>
                <w:szCs w:val="28"/>
                <w:lang w:bidi="ar-EG"/>
              </w:rPr>
            </w:pPr>
            <w:r w:rsidRPr="006E3C88">
              <w:rPr>
                <w:rFonts w:ascii="Arabic Typesetting" w:hAnsi="Arabic Typesetting" w:cs="Arabic Typesetting"/>
                <w:sz w:val="28"/>
                <w:szCs w:val="28"/>
                <w:rtl/>
                <w:lang w:bidi="ar-EG"/>
              </w:rPr>
              <w:t>لم تعدّ دراسة استقصائية قابلة للمقارنة لتقييم مستويات الرضا في 2015.</w:t>
            </w:r>
          </w:p>
        </w:tc>
        <w:tc>
          <w:tcPr>
            <w:tcW w:w="380" w:type="pct"/>
            <w:shd w:val="clear" w:color="auto" w:fill="auto"/>
            <w:tcMar>
              <w:top w:w="110" w:type="dxa"/>
            </w:tcMar>
          </w:tcPr>
          <w:p w:rsidR="00E16D63" w:rsidRPr="006E3C88" w:rsidRDefault="00EA45DB" w:rsidP="00EA45DB">
            <w:pPr>
              <w:bidi/>
              <w:spacing w:before="60" w:after="60" w:line="280" w:lineRule="exact"/>
              <w:jc w:val="center"/>
              <w:rPr>
                <w:rFonts w:ascii="Arabic Typesetting" w:hAnsi="Arabic Typesetting" w:cs="Arabic Typesetting"/>
                <w:b/>
                <w:bCs/>
                <w:color w:val="808080"/>
                <w:sz w:val="28"/>
                <w:szCs w:val="28"/>
              </w:rPr>
            </w:pPr>
            <w:r w:rsidRPr="006E3C88">
              <w:rPr>
                <w:rFonts w:ascii="Arabic Typesetting" w:hAnsi="Arabic Typesetting" w:cs="Arabic Typesetting"/>
                <w:b/>
                <w:bCs/>
                <w:color w:val="808080"/>
                <w:sz w:val="28"/>
                <w:szCs w:val="28"/>
                <w:rtl/>
              </w:rPr>
              <w:t>غير قابل للقياس</w:t>
            </w:r>
          </w:p>
        </w:tc>
      </w:tr>
    </w:tbl>
    <w:p w:rsidR="006E3C88" w:rsidRPr="006E3C88" w:rsidRDefault="006E3C88" w:rsidP="006E3C88">
      <w:pPr>
        <w:keepNext/>
        <w:bidi/>
        <w:spacing w:before="120" w:after="120" w:line="340" w:lineRule="exact"/>
        <w:rPr>
          <w:rFonts w:ascii="Arabic Typesetting" w:hAnsi="Arabic Typesetting" w:cs="Arabic Typesetting"/>
          <w:sz w:val="34"/>
          <w:szCs w:val="34"/>
          <w:rtl/>
          <w:lang w:bidi="ar-EG"/>
        </w:rPr>
      </w:pPr>
      <w:r w:rsidRPr="006E3C88">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6E3C88" w:rsidRPr="00660F20" w:rsidTr="00FE0236">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6E3C88" w:rsidRPr="00660F20" w:rsidRDefault="006E3C88" w:rsidP="00660F20">
            <w:pPr>
              <w:keepNext/>
              <w:bidi/>
              <w:spacing w:before="60" w:after="60" w:line="280" w:lineRule="exact"/>
              <w:jc w:val="center"/>
              <w:rPr>
                <w:rFonts w:ascii="Arabic Typesetting" w:hAnsi="Arabic Typesetting" w:cs="Arabic Typesetting"/>
                <w:bCs/>
                <w:sz w:val="28"/>
                <w:szCs w:val="28"/>
                <w:lang w:bidi="ar-EG"/>
              </w:rPr>
            </w:pPr>
            <w:r w:rsidRPr="00660F20">
              <w:rPr>
                <w:rFonts w:ascii="Arabic Typesetting" w:hAnsi="Arabic Typesetting" w:cs="Arabic Typesetting" w:hint="eastAsia"/>
                <w:bCs/>
                <w:sz w:val="28"/>
                <w:szCs w:val="28"/>
                <w:rtl/>
                <w:lang w:bidi="ar-EG"/>
              </w:rPr>
              <w:t>المخاطر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التي</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قد</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تحول</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دون</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تحقيق</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نتائج</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البرنامج</w:t>
            </w:r>
          </w:p>
        </w:tc>
        <w:tc>
          <w:tcPr>
            <w:tcW w:w="2200" w:type="dxa"/>
            <w:tcBorders>
              <w:top w:val="single" w:sz="4" w:space="0" w:color="auto"/>
              <w:bottom w:val="single" w:sz="4" w:space="0" w:color="auto"/>
            </w:tcBorders>
            <w:shd w:val="clear" w:color="auto" w:fill="C6D9F1" w:themeFill="text2" w:themeFillTint="33"/>
            <w:vAlign w:val="center"/>
          </w:tcPr>
          <w:p w:rsidR="006E3C88" w:rsidRPr="00660F20" w:rsidRDefault="006E3C88" w:rsidP="00660F20">
            <w:pPr>
              <w:keepNext/>
              <w:bidi/>
              <w:spacing w:before="60" w:after="60" w:line="280" w:lineRule="exact"/>
              <w:jc w:val="center"/>
              <w:rPr>
                <w:rFonts w:ascii="Arabic Typesetting" w:hAnsi="Arabic Typesetting" w:cs="Arabic Typesetting"/>
                <w:bCs/>
                <w:sz w:val="28"/>
                <w:szCs w:val="28"/>
                <w:lang w:bidi="ar-EG"/>
              </w:rPr>
            </w:pPr>
            <w:r w:rsidRPr="00660F20">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6E3C88" w:rsidRPr="00660F20" w:rsidRDefault="006E3C88" w:rsidP="00660F20">
            <w:pPr>
              <w:keepNext/>
              <w:bidi/>
              <w:spacing w:before="60" w:after="60" w:line="280" w:lineRule="exact"/>
              <w:jc w:val="center"/>
              <w:rPr>
                <w:rFonts w:ascii="Arabic Typesetting" w:hAnsi="Arabic Typesetting" w:cs="Arabic Typesetting"/>
                <w:bCs/>
                <w:sz w:val="28"/>
                <w:szCs w:val="28"/>
                <w:lang w:bidi="ar-EG"/>
              </w:rPr>
            </w:pPr>
            <w:r w:rsidRPr="00660F20">
              <w:rPr>
                <w:rFonts w:ascii="Arabic Typesetting" w:hAnsi="Arabic Typesetting" w:cs="Arabic Typesetting" w:hint="eastAsia"/>
                <w:bCs/>
                <w:sz w:val="28"/>
                <w:szCs w:val="28"/>
                <w:rtl/>
                <w:lang w:bidi="ar-EG"/>
              </w:rPr>
              <w:t>تطور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المخاطر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واستراتيجيات</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الحد</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من</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وطأتها</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على</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مدار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6E3C88" w:rsidRPr="00660F20" w:rsidRDefault="006E3C88" w:rsidP="00660F20">
            <w:pPr>
              <w:keepNext/>
              <w:bidi/>
              <w:spacing w:before="60" w:after="60" w:line="280" w:lineRule="exact"/>
              <w:jc w:val="center"/>
              <w:rPr>
                <w:rFonts w:ascii="Arabic Typesetting" w:hAnsi="Arabic Typesetting" w:cs="Arabic Typesetting"/>
                <w:bCs/>
                <w:sz w:val="28"/>
                <w:szCs w:val="28"/>
                <w:lang w:bidi="ar-EG"/>
              </w:rPr>
            </w:pPr>
            <w:r w:rsidRPr="00660F20">
              <w:rPr>
                <w:rFonts w:ascii="Arabic Typesetting" w:hAnsi="Arabic Typesetting" w:cs="Arabic Typesetting" w:hint="eastAsia"/>
                <w:bCs/>
                <w:sz w:val="28"/>
                <w:szCs w:val="28"/>
                <w:rtl/>
                <w:lang w:bidi="ar-EG"/>
              </w:rPr>
              <w:t>التأثير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في</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أداء</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البرنامج</w:t>
            </w:r>
          </w:p>
        </w:tc>
      </w:tr>
      <w:tr w:rsidR="006E3C88" w:rsidRPr="00660F20" w:rsidTr="00FE0236">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6E3C88" w:rsidRPr="00FE0236" w:rsidRDefault="00A25479" w:rsidP="00FE0236">
            <w:pPr>
              <w:keepNext/>
              <w:bidi/>
              <w:spacing w:line="300" w:lineRule="exact"/>
              <w:rPr>
                <w:rFonts w:ascii="Arabic Typesetting" w:hAnsi="Arabic Typesetting" w:cs="Arabic Typesetting"/>
                <w:sz w:val="28"/>
                <w:szCs w:val="28"/>
                <w:lang w:val="fr-CH"/>
              </w:rPr>
            </w:pPr>
            <w:r w:rsidRPr="00FE0236">
              <w:rPr>
                <w:rFonts w:ascii="Arabic Typesetting" w:hAnsi="Arabic Typesetting" w:cs="Arabic Typesetting" w:hint="eastAsia"/>
                <w:sz w:val="28"/>
                <w:szCs w:val="28"/>
                <w:rtl/>
                <w:lang w:val="fr-CH"/>
              </w:rPr>
              <w:t>العجز</w:t>
            </w:r>
            <w:r w:rsidRPr="00FE0236">
              <w:rPr>
                <w:rFonts w:ascii="Arabic Typesetting" w:hAnsi="Arabic Typesetting" w:cs="Arabic Typesetting"/>
                <w:sz w:val="28"/>
                <w:szCs w:val="28"/>
                <w:rtl/>
                <w:lang w:val="fr-CH"/>
              </w:rPr>
              <w:t xml:space="preserve"> </w:t>
            </w:r>
            <w:r w:rsidRPr="00FE0236">
              <w:rPr>
                <w:rFonts w:ascii="Arabic Typesetting" w:hAnsi="Arabic Typesetting" w:cs="Arabic Typesetting" w:hint="eastAsia"/>
                <w:sz w:val="28"/>
                <w:szCs w:val="28"/>
                <w:rtl/>
                <w:lang w:val="fr-CH"/>
              </w:rPr>
              <w:t>عن</w:t>
            </w:r>
            <w:r w:rsidR="006E3C88" w:rsidRPr="00FE0236">
              <w:rPr>
                <w:rFonts w:ascii="Arabic Typesetting" w:hAnsi="Arabic Typesetting" w:cs="Arabic Typesetting"/>
                <w:sz w:val="28"/>
                <w:szCs w:val="28"/>
                <w:rtl/>
                <w:lang w:val="fr-CH"/>
              </w:rPr>
              <w:t xml:space="preserve"> </w:t>
            </w:r>
            <w:r w:rsidRPr="00FE0236">
              <w:rPr>
                <w:rFonts w:ascii="Arabic Typesetting" w:hAnsi="Arabic Typesetting" w:cs="Arabic Typesetting" w:hint="eastAsia"/>
                <w:sz w:val="28"/>
                <w:szCs w:val="28"/>
                <w:rtl/>
                <w:lang w:val="fr-CH"/>
              </w:rPr>
              <w:t>تحقيق</w:t>
            </w:r>
            <w:r w:rsidRPr="00FE0236">
              <w:rPr>
                <w:rFonts w:ascii="Arabic Typesetting" w:hAnsi="Arabic Typesetting" w:cs="Arabic Typesetting"/>
                <w:sz w:val="28"/>
                <w:szCs w:val="28"/>
                <w:rtl/>
                <w:lang w:val="fr-CH"/>
              </w:rPr>
              <w:t xml:space="preserve"> </w:t>
            </w:r>
            <w:r w:rsidRPr="00FE0236">
              <w:rPr>
                <w:rFonts w:ascii="Arabic Typesetting" w:hAnsi="Arabic Typesetting" w:cs="Arabic Typesetting" w:hint="eastAsia"/>
                <w:sz w:val="28"/>
                <w:szCs w:val="28"/>
                <w:rtl/>
                <w:lang w:val="fr-CH"/>
              </w:rPr>
              <w:t>الا</w:t>
            </w:r>
            <w:r w:rsidR="006E3C88" w:rsidRPr="00FE0236">
              <w:rPr>
                <w:rFonts w:ascii="Arabic Typesetting" w:hAnsi="Arabic Typesetting" w:cs="Arabic Typesetting" w:hint="eastAsia"/>
                <w:sz w:val="28"/>
                <w:szCs w:val="28"/>
                <w:rtl/>
                <w:lang w:val="fr-CH"/>
              </w:rPr>
              <w:t>ستدامة</w:t>
            </w:r>
            <w:r w:rsidR="006E3C88" w:rsidRPr="00FE0236">
              <w:rPr>
                <w:rFonts w:ascii="Arabic Typesetting" w:hAnsi="Arabic Typesetting" w:cs="Arabic Typesetting"/>
                <w:sz w:val="28"/>
                <w:szCs w:val="28"/>
                <w:rtl/>
                <w:lang w:val="fr-CH"/>
              </w:rPr>
              <w:t xml:space="preserve"> ومواصلة الدعم الذاتي </w:t>
            </w:r>
            <w:r w:rsidRPr="00FE0236">
              <w:rPr>
                <w:rFonts w:ascii="Arabic Typesetting" w:hAnsi="Arabic Typesetting" w:cs="Arabic Typesetting" w:hint="eastAsia"/>
                <w:sz w:val="28"/>
                <w:szCs w:val="28"/>
                <w:rtl/>
                <w:lang w:val="fr-CH"/>
              </w:rPr>
              <w:t>في</w:t>
            </w:r>
            <w:r w:rsidRPr="00FE0236">
              <w:rPr>
                <w:rFonts w:ascii="Arabic Typesetting" w:hAnsi="Arabic Typesetting" w:cs="Arabic Typesetting"/>
                <w:sz w:val="28"/>
                <w:szCs w:val="28"/>
                <w:rtl/>
                <w:lang w:val="fr-CH"/>
              </w:rPr>
              <w:t xml:space="preserve"> </w:t>
            </w:r>
            <w:r w:rsidR="006E3C88" w:rsidRPr="00FE0236">
              <w:rPr>
                <w:rFonts w:ascii="Arabic Typesetting" w:hAnsi="Arabic Typesetting" w:cs="Arabic Typesetting" w:hint="eastAsia"/>
                <w:sz w:val="28"/>
                <w:szCs w:val="28"/>
                <w:rtl/>
                <w:lang w:val="fr-CH"/>
              </w:rPr>
              <w:t>شبكات</w:t>
            </w:r>
            <w:r w:rsidR="006E3C88" w:rsidRPr="00FE0236">
              <w:rPr>
                <w:rFonts w:ascii="Arabic Typesetting" w:hAnsi="Arabic Typesetting" w:cs="Arabic Typesetting"/>
                <w:sz w:val="28"/>
                <w:szCs w:val="28"/>
                <w:rtl/>
                <w:lang w:val="fr-CH"/>
              </w:rPr>
              <w:t xml:space="preserve"> </w:t>
            </w:r>
            <w:r w:rsidR="006E3C88" w:rsidRPr="00FE0236">
              <w:rPr>
                <w:rFonts w:ascii="Arabic Typesetting" w:hAnsi="Arabic Typesetting" w:cs="Arabic Typesetting" w:hint="eastAsia"/>
                <w:sz w:val="28"/>
                <w:szCs w:val="28"/>
                <w:rtl/>
              </w:rPr>
              <w:t>مراكز</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الدعم</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وقد</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يؤدي</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ذلك</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إلى</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إغلاق</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بعض</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الشبكات،</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ومن</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ثم</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توقف</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نفاذ</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المخترعين</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الأفراد</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والشركات</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الصغيرة</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والمتوسطة</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وغيرهم</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من</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أصحاب</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المصلحة</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إلى</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خدمات</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تكنولوجيا</w:t>
            </w:r>
            <w:r w:rsidR="006E3C88" w:rsidRPr="00FE0236">
              <w:rPr>
                <w:rFonts w:ascii="Arabic Typesetting" w:hAnsi="Arabic Typesetting" w:cs="Arabic Typesetting"/>
                <w:sz w:val="28"/>
                <w:szCs w:val="28"/>
                <w:rtl/>
              </w:rPr>
              <w:t xml:space="preserve"> </w:t>
            </w:r>
            <w:r w:rsidR="006E3C88" w:rsidRPr="00FE0236">
              <w:rPr>
                <w:rFonts w:ascii="Arabic Typesetting" w:hAnsi="Arabic Typesetting" w:cs="Arabic Typesetting" w:hint="eastAsia"/>
                <w:sz w:val="28"/>
                <w:szCs w:val="28"/>
                <w:rtl/>
              </w:rPr>
              <w:t>المعلومات</w:t>
            </w:r>
            <w:r w:rsidR="006E3C88" w:rsidRPr="00FE0236">
              <w:rPr>
                <w:rFonts w:ascii="Arabic Typesetting" w:hAnsi="Arabic Typesetting" w:cs="Arabic Typesetting"/>
                <w:sz w:val="28"/>
                <w:szCs w:val="28"/>
                <w:rtl/>
                <w:lang w:val="fr-CH"/>
              </w:rPr>
              <w:t>.</w:t>
            </w:r>
          </w:p>
        </w:tc>
        <w:tc>
          <w:tcPr>
            <w:tcW w:w="2200" w:type="dxa"/>
            <w:tcBorders>
              <w:top w:val="single" w:sz="4" w:space="0" w:color="auto"/>
            </w:tcBorders>
            <w:shd w:val="clear" w:color="auto" w:fill="auto"/>
            <w:tcMar>
              <w:top w:w="113" w:type="dxa"/>
              <w:bottom w:w="113" w:type="dxa"/>
            </w:tcMar>
          </w:tcPr>
          <w:p w:rsidR="006E3C88" w:rsidRPr="00FE0236" w:rsidRDefault="006E3C88" w:rsidP="00FE0236">
            <w:pPr>
              <w:keepNext/>
              <w:bidi/>
              <w:spacing w:line="300" w:lineRule="exact"/>
              <w:rPr>
                <w:rFonts w:ascii="Arabic Typesetting" w:hAnsi="Arabic Typesetting" w:cs="Arabic Typesetting"/>
                <w:sz w:val="28"/>
                <w:szCs w:val="28"/>
              </w:rPr>
            </w:pPr>
            <w:r w:rsidRPr="00FE0236">
              <w:rPr>
                <w:rFonts w:ascii="Arabic Typesetting" w:hAnsi="Arabic Typesetting" w:cs="Arabic Typesetting" w:hint="eastAsia"/>
                <w:sz w:val="28"/>
                <w:szCs w:val="28"/>
                <w:rtl/>
              </w:rPr>
              <w:t>مشاركة</w:t>
            </w:r>
            <w:r w:rsidRPr="00FE0236">
              <w:rPr>
                <w:rFonts w:ascii="Arabic Typesetting" w:hAnsi="Arabic Typesetting" w:cs="Arabic Typesetting"/>
                <w:sz w:val="28"/>
                <w:szCs w:val="28"/>
                <w:rtl/>
              </w:rPr>
              <w:t xml:space="preserve"> أكبر مع البلدان المضيفة في </w:t>
            </w:r>
            <w:r w:rsidR="00A25479" w:rsidRPr="00FE0236">
              <w:rPr>
                <w:rFonts w:ascii="Arabic Typesetting" w:hAnsi="Arabic Typesetting" w:cs="Arabic Typesetting" w:hint="eastAsia"/>
                <w:sz w:val="28"/>
                <w:szCs w:val="28"/>
                <w:rtl/>
              </w:rPr>
              <w:t>مراحل</w:t>
            </w:r>
            <w:r w:rsidRPr="00FE0236">
              <w:rPr>
                <w:rFonts w:ascii="Arabic Typesetting" w:hAnsi="Arabic Typesetting" w:cs="Arabic Typesetting"/>
                <w:sz w:val="28"/>
                <w:szCs w:val="28"/>
                <w:rtl/>
              </w:rPr>
              <w:t xml:space="preserve"> تخطيط وتنفيذ مشروع مراكز الدعم.</w:t>
            </w:r>
          </w:p>
        </w:tc>
        <w:tc>
          <w:tcPr>
            <w:tcW w:w="2310" w:type="dxa"/>
            <w:tcBorders>
              <w:top w:val="single" w:sz="4" w:space="0" w:color="auto"/>
            </w:tcBorders>
          </w:tcPr>
          <w:p w:rsidR="006E3C88" w:rsidRPr="00660F20" w:rsidRDefault="006E3C88" w:rsidP="00660F20">
            <w:pPr>
              <w:keepNext/>
              <w:bidi/>
              <w:spacing w:before="60" w:after="60" w:line="280" w:lineRule="exact"/>
              <w:rPr>
                <w:rFonts w:ascii="Arabic Typesetting" w:hAnsi="Arabic Typesetting" w:cs="Arabic Typesetting"/>
                <w:b/>
                <w:sz w:val="28"/>
                <w:szCs w:val="28"/>
                <w:lang w:bidi="ar-EG"/>
              </w:rPr>
            </w:pPr>
            <w:r w:rsidRPr="00660F20">
              <w:rPr>
                <w:rFonts w:ascii="Arabic Typesetting" w:hAnsi="Arabic Typesetting" w:cs="Arabic Typesetting" w:hint="eastAsia"/>
                <w:b/>
                <w:sz w:val="28"/>
                <w:szCs w:val="28"/>
                <w:rtl/>
                <w:lang w:bidi="ar-EG"/>
              </w:rPr>
              <w:t>أدت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جهات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التنسيق</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الوطنية</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والمؤسسات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المضيفة</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دوراً</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أكبر</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في</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تخطيط</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مشروع</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مراكز</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الدعم</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وتنفيذه</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عوضاً</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عن</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الاعتماد</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على</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دعم</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الويبو</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حصراً</w:t>
            </w:r>
            <w:r w:rsidRPr="00660F20">
              <w:rPr>
                <w:rFonts w:ascii="Arabic Typesetting" w:hAnsi="Arabic Typesetting" w:cs="Arabic Typesetting"/>
                <w:b/>
                <w:sz w:val="28"/>
                <w:szCs w:val="28"/>
                <w:rtl/>
                <w:lang w:bidi="ar-EG"/>
              </w:rPr>
              <w:t>.</w:t>
            </w:r>
          </w:p>
        </w:tc>
        <w:tc>
          <w:tcPr>
            <w:tcW w:w="2306" w:type="dxa"/>
            <w:tcBorders>
              <w:top w:val="single" w:sz="4" w:space="0" w:color="auto"/>
              <w:right w:val="single" w:sz="4" w:space="0" w:color="auto"/>
            </w:tcBorders>
          </w:tcPr>
          <w:p w:rsidR="006E3C88" w:rsidRPr="00660F20" w:rsidRDefault="006E3C88" w:rsidP="00660F20">
            <w:pPr>
              <w:keepNext/>
              <w:bidi/>
              <w:spacing w:line="280" w:lineRule="exact"/>
              <w:rPr>
                <w:rFonts w:ascii="Arabic Typesetting" w:hAnsi="Arabic Typesetting" w:cs="Arabic Typesetting"/>
                <w:b/>
                <w:sz w:val="28"/>
                <w:szCs w:val="28"/>
                <w:lang w:bidi="ar-EG"/>
              </w:rPr>
            </w:pPr>
            <w:r w:rsidRPr="00660F20">
              <w:rPr>
                <w:rFonts w:ascii="Arabic Typesetting" w:hAnsi="Arabic Typesetting" w:cs="Arabic Typesetting" w:hint="eastAsia"/>
                <w:b/>
                <w:sz w:val="28"/>
                <w:szCs w:val="28"/>
                <w:rtl/>
                <w:lang w:bidi="ar-EG"/>
              </w:rPr>
              <w:t>ساهمت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استراتيجية</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الحد</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من</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وطأة</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المخاطر</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في</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تحسين</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التنسيق</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مع</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البلدان</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المضيفة</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وجهات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التنسيق</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الوطنية</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والمؤسسات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المضيفة</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لتعزيز</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الاستدامة</w:t>
            </w:r>
            <w:r w:rsidRPr="00660F20">
              <w:rPr>
                <w:rFonts w:ascii="Arabic Typesetting" w:hAnsi="Arabic Typesetting" w:cs="Arabic Typesetting"/>
                <w:b/>
                <w:sz w:val="28"/>
                <w:szCs w:val="28"/>
                <w:rtl/>
                <w:lang w:bidi="ar-EG"/>
              </w:rPr>
              <w:t>.</w:t>
            </w:r>
          </w:p>
        </w:tc>
      </w:tr>
      <w:tr w:rsidR="006E3C88" w:rsidRPr="00660F20" w:rsidTr="00FE0236">
        <w:trPr>
          <w:cantSplit/>
          <w:trHeight w:val="1332"/>
        </w:trPr>
        <w:tc>
          <w:tcPr>
            <w:tcW w:w="2420" w:type="dxa"/>
            <w:tcBorders>
              <w:left w:val="single" w:sz="4" w:space="0" w:color="auto"/>
            </w:tcBorders>
            <w:shd w:val="clear" w:color="auto" w:fill="auto"/>
            <w:tcMar>
              <w:top w:w="113" w:type="dxa"/>
              <w:bottom w:w="113" w:type="dxa"/>
            </w:tcMar>
          </w:tcPr>
          <w:p w:rsidR="006E3C88" w:rsidRPr="00FE0236" w:rsidRDefault="006E3C88" w:rsidP="00FE0236">
            <w:pPr>
              <w:bidi/>
              <w:spacing w:line="300" w:lineRule="exact"/>
              <w:rPr>
                <w:rFonts w:ascii="Arabic Typesetting" w:hAnsi="Arabic Typesetting" w:cs="Arabic Typesetting"/>
                <w:sz w:val="28"/>
                <w:szCs w:val="28"/>
              </w:rPr>
            </w:pPr>
            <w:r w:rsidRPr="00FE0236">
              <w:rPr>
                <w:rFonts w:ascii="Arabic Typesetting" w:hAnsi="Arabic Typesetting" w:cs="Arabic Typesetting" w:hint="eastAsia"/>
                <w:sz w:val="28"/>
                <w:szCs w:val="28"/>
                <w:rtl/>
              </w:rPr>
              <w:t>قلة</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استخدام</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تقارير</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واقع</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البراءات</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في</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صفوف</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الجمهور</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الهدف</w:t>
            </w:r>
            <w:r w:rsidRPr="00FE0236">
              <w:rPr>
                <w:rFonts w:ascii="Arabic Typesetting" w:hAnsi="Arabic Typesetting" w:cs="Arabic Typesetting"/>
                <w:sz w:val="28"/>
                <w:szCs w:val="28"/>
                <w:rtl/>
              </w:rPr>
              <w:t xml:space="preserve"> (المخترعون </w:t>
            </w:r>
            <w:r w:rsidRPr="00FE0236">
              <w:rPr>
                <w:rFonts w:ascii="Arabic Typesetting" w:hAnsi="Arabic Typesetting" w:cs="Arabic Typesetting" w:hint="eastAsia"/>
                <w:sz w:val="28"/>
                <w:szCs w:val="28"/>
                <w:rtl/>
              </w:rPr>
              <w:t>والأفراد،</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والباحثون،</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والأوساط</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الأكاديمية</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الصناعية،</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وواضعو</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السياسات</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وصناع</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القرار</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في</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مجال</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البحث</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والتطوير</w:t>
            </w:r>
            <w:r w:rsidRPr="00FE0236">
              <w:rPr>
                <w:rFonts w:ascii="Arabic Typesetting" w:hAnsi="Arabic Typesetting" w:cs="Arabic Typesetting"/>
                <w:sz w:val="28"/>
                <w:szCs w:val="28"/>
                <w:rtl/>
              </w:rPr>
              <w:t>)</w:t>
            </w:r>
          </w:p>
        </w:tc>
        <w:tc>
          <w:tcPr>
            <w:tcW w:w="2200" w:type="dxa"/>
            <w:shd w:val="clear" w:color="auto" w:fill="auto"/>
            <w:tcMar>
              <w:top w:w="113" w:type="dxa"/>
              <w:bottom w:w="113" w:type="dxa"/>
            </w:tcMar>
          </w:tcPr>
          <w:p w:rsidR="006E3C88" w:rsidRPr="00FE0236" w:rsidRDefault="006E3C88" w:rsidP="00FE0236">
            <w:pPr>
              <w:bidi/>
              <w:spacing w:line="300" w:lineRule="exact"/>
              <w:rPr>
                <w:rFonts w:ascii="Arabic Typesetting" w:hAnsi="Arabic Typesetting" w:cs="Arabic Typesetting"/>
                <w:sz w:val="28"/>
                <w:szCs w:val="28"/>
              </w:rPr>
            </w:pPr>
            <w:r w:rsidRPr="00FE0236">
              <w:rPr>
                <w:rFonts w:ascii="Arabic Typesetting" w:hAnsi="Arabic Typesetting" w:cs="Arabic Typesetting" w:hint="eastAsia"/>
                <w:sz w:val="28"/>
                <w:szCs w:val="28"/>
                <w:rtl/>
              </w:rPr>
              <w:t>اختيار</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color w:val="000000"/>
                <w:sz w:val="28"/>
                <w:szCs w:val="28"/>
                <w:rtl/>
              </w:rPr>
              <w:t>موضوعات</w:t>
            </w:r>
            <w:r w:rsidRPr="00FE0236">
              <w:rPr>
                <w:rFonts w:ascii="Arabic Typesetting" w:hAnsi="Arabic Typesetting" w:cs="Arabic Typesetting"/>
                <w:color w:val="000000"/>
                <w:sz w:val="28"/>
                <w:szCs w:val="28"/>
                <w:rtl/>
              </w:rPr>
              <w:t xml:space="preserve"> مناسبة من البداية لتقارير واقع البراءات وتطوير وسائل نشرها </w:t>
            </w:r>
            <w:r w:rsidR="00D518C9" w:rsidRPr="00FE0236">
              <w:rPr>
                <w:rFonts w:ascii="Arabic Typesetting" w:hAnsi="Arabic Typesetting" w:cs="Arabic Typesetting" w:hint="eastAsia"/>
                <w:color w:val="000000"/>
                <w:sz w:val="28"/>
                <w:szCs w:val="28"/>
                <w:rtl/>
              </w:rPr>
              <w:t>وتحسين</w:t>
            </w:r>
            <w:r w:rsidRPr="00FE0236">
              <w:rPr>
                <w:rFonts w:ascii="Arabic Typesetting" w:hAnsi="Arabic Typesetting" w:cs="Arabic Typesetting"/>
                <w:color w:val="000000"/>
                <w:sz w:val="28"/>
                <w:szCs w:val="28"/>
                <w:rtl/>
              </w:rPr>
              <w:t xml:space="preserve"> </w:t>
            </w:r>
            <w:r w:rsidR="00D518C9" w:rsidRPr="00FE0236">
              <w:rPr>
                <w:rFonts w:ascii="Arabic Typesetting" w:hAnsi="Arabic Typesetting" w:cs="Arabic Typesetting" w:hint="eastAsia"/>
                <w:color w:val="000000"/>
                <w:sz w:val="28"/>
                <w:szCs w:val="28"/>
                <w:rtl/>
              </w:rPr>
              <w:t>ال</w:t>
            </w:r>
            <w:r w:rsidRPr="00FE0236">
              <w:rPr>
                <w:rFonts w:ascii="Arabic Typesetting" w:hAnsi="Arabic Typesetting" w:cs="Arabic Typesetting" w:hint="eastAsia"/>
                <w:color w:val="000000"/>
                <w:sz w:val="28"/>
                <w:szCs w:val="28"/>
                <w:rtl/>
              </w:rPr>
              <w:t>تنسيق</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مع</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أصحاب</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المصلحة</w:t>
            </w:r>
            <w:r w:rsidRPr="00FE0236">
              <w:rPr>
                <w:rFonts w:ascii="Arabic Typesetting" w:hAnsi="Arabic Typesetting" w:cs="Arabic Typesetting"/>
                <w:sz w:val="28"/>
                <w:szCs w:val="28"/>
                <w:rtl/>
              </w:rPr>
              <w:t xml:space="preserve"> </w:t>
            </w:r>
            <w:r w:rsidR="00D518C9" w:rsidRPr="00FE0236">
              <w:rPr>
                <w:rFonts w:ascii="Arabic Typesetting" w:hAnsi="Arabic Typesetting" w:cs="Arabic Typesetting" w:hint="eastAsia"/>
                <w:sz w:val="28"/>
                <w:szCs w:val="28"/>
                <w:rtl/>
              </w:rPr>
              <w:t>المعنيين</w:t>
            </w:r>
            <w:r w:rsidRPr="00FE0236">
              <w:rPr>
                <w:rFonts w:ascii="Arabic Typesetting" w:hAnsi="Arabic Typesetting" w:cs="Arabic Typesetting"/>
                <w:sz w:val="28"/>
                <w:szCs w:val="28"/>
                <w:rtl/>
              </w:rPr>
              <w:t>.</w:t>
            </w:r>
          </w:p>
        </w:tc>
        <w:tc>
          <w:tcPr>
            <w:tcW w:w="2310" w:type="dxa"/>
          </w:tcPr>
          <w:p w:rsidR="006E3C88" w:rsidRPr="00660F20" w:rsidRDefault="00A25479" w:rsidP="00660F20">
            <w:pPr>
              <w:keepNext/>
              <w:bidi/>
              <w:spacing w:before="60" w:after="60" w:line="280" w:lineRule="exact"/>
              <w:rPr>
                <w:rFonts w:ascii="Arabic Typesetting" w:hAnsi="Arabic Typesetting" w:cs="Arabic Typesetting"/>
                <w:b/>
                <w:sz w:val="28"/>
                <w:szCs w:val="28"/>
                <w:lang w:bidi="ar-EG"/>
              </w:rPr>
            </w:pPr>
            <w:r w:rsidRPr="00660F20">
              <w:rPr>
                <w:rFonts w:ascii="Arabic Typesetting" w:hAnsi="Arabic Typesetting" w:cs="Arabic Typesetting" w:hint="eastAsia"/>
                <w:b/>
                <w:sz w:val="28"/>
                <w:szCs w:val="28"/>
                <w:rtl/>
                <w:lang w:bidi="ar-EG"/>
              </w:rPr>
              <w:t>لم</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يت</w:t>
            </w:r>
            <w:r w:rsidR="00D518C9" w:rsidRPr="00660F20">
              <w:rPr>
                <w:rFonts w:ascii="Arabic Typesetting" w:hAnsi="Arabic Typesetting" w:cs="Arabic Typesetting" w:hint="eastAsia"/>
                <w:b/>
                <w:sz w:val="28"/>
                <w:szCs w:val="28"/>
                <w:rtl/>
                <w:lang w:bidi="ar-EG"/>
              </w:rPr>
              <w:t>عرض</w:t>
            </w:r>
            <w:r w:rsidR="00D518C9"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البرنامج</w:t>
            </w:r>
            <w:r w:rsidRPr="00660F20">
              <w:rPr>
                <w:rFonts w:ascii="Arabic Typesetting" w:hAnsi="Arabic Typesetting" w:cs="Arabic Typesetting"/>
                <w:b/>
                <w:sz w:val="28"/>
                <w:szCs w:val="28"/>
                <w:rtl/>
                <w:lang w:bidi="ar-EG"/>
              </w:rPr>
              <w:t xml:space="preserve"> </w:t>
            </w:r>
            <w:r w:rsidR="00D518C9" w:rsidRPr="00660F20">
              <w:rPr>
                <w:rFonts w:ascii="Arabic Typesetting" w:hAnsi="Arabic Typesetting" w:cs="Arabic Typesetting" w:hint="eastAsia"/>
                <w:b/>
                <w:sz w:val="28"/>
                <w:szCs w:val="28"/>
                <w:rtl/>
                <w:lang w:bidi="ar-EG"/>
              </w:rPr>
              <w:t>لهذا</w:t>
            </w:r>
            <w:r w:rsidR="00D518C9" w:rsidRPr="00660F20">
              <w:rPr>
                <w:rFonts w:ascii="Arabic Typesetting" w:hAnsi="Arabic Typesetting" w:cs="Arabic Typesetting"/>
                <w:b/>
                <w:sz w:val="28"/>
                <w:szCs w:val="28"/>
                <w:rtl/>
                <w:lang w:bidi="ar-EG"/>
              </w:rPr>
              <w:t xml:space="preserve"> الخطر بفضل نجاح استراتيجيات الحد من وطأة المخاطر في تقليص احتمال التعرض له. وإن تحسين استراتيجيات النشر عبر وسائل الإعلام الاجتماعية وعقد اجتماعات مع الجمهور الهدف قد أتاح التواصل مع الجماهير غير المطلعة على عمل الويبو ومن ثم </w:t>
            </w:r>
            <w:r w:rsidRPr="00660F20">
              <w:rPr>
                <w:rFonts w:ascii="Arabic Typesetting" w:hAnsi="Arabic Typesetting" w:cs="Arabic Typesetting" w:hint="eastAsia"/>
                <w:b/>
                <w:sz w:val="28"/>
                <w:szCs w:val="28"/>
                <w:rtl/>
                <w:lang w:bidi="ar-EG"/>
              </w:rPr>
              <w:t>الإسهام</w:t>
            </w:r>
            <w:r w:rsidR="00D518C9" w:rsidRPr="00660F20">
              <w:rPr>
                <w:rFonts w:ascii="Arabic Typesetting" w:hAnsi="Arabic Typesetting" w:cs="Arabic Typesetting"/>
                <w:b/>
                <w:sz w:val="28"/>
                <w:szCs w:val="28"/>
                <w:rtl/>
                <w:lang w:bidi="ar-EG"/>
              </w:rPr>
              <w:t xml:space="preserve"> في زيادة عدد المستفيدين من التقرير.</w:t>
            </w:r>
          </w:p>
        </w:tc>
        <w:tc>
          <w:tcPr>
            <w:tcW w:w="2306" w:type="dxa"/>
            <w:tcBorders>
              <w:right w:val="single" w:sz="4" w:space="0" w:color="auto"/>
            </w:tcBorders>
          </w:tcPr>
          <w:p w:rsidR="006E3C88" w:rsidRPr="00660F20" w:rsidRDefault="00D518C9" w:rsidP="00660F20">
            <w:pPr>
              <w:keepNext/>
              <w:bidi/>
              <w:spacing w:line="280" w:lineRule="exact"/>
              <w:rPr>
                <w:rFonts w:ascii="Arabic Typesetting" w:hAnsi="Arabic Typesetting" w:cs="Arabic Typesetting"/>
                <w:b/>
                <w:sz w:val="28"/>
                <w:szCs w:val="28"/>
                <w:lang w:bidi="ar-EG"/>
              </w:rPr>
            </w:pPr>
            <w:r w:rsidRPr="00660F20">
              <w:rPr>
                <w:rFonts w:ascii="Arabic Typesetting" w:hAnsi="Arabic Typesetting" w:cs="Arabic Typesetting" w:hint="eastAsia"/>
                <w:b/>
                <w:sz w:val="28"/>
                <w:szCs w:val="28"/>
                <w:rtl/>
                <w:lang w:bidi="ar-EG"/>
              </w:rPr>
              <w:t>ساهمت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استراتيجيات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الحد</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من</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وطأة</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المخاطر</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في</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إزكاء</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الوعي</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بتقارير</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واقع</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البراءات</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وتعزيز</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استخدامها</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وتيسير</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النفاذ</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إليها</w:t>
            </w:r>
            <w:r w:rsidRPr="00660F20">
              <w:rPr>
                <w:rFonts w:ascii="Arabic Typesetting" w:hAnsi="Arabic Typesetting" w:cs="Arabic Typesetting"/>
                <w:b/>
                <w:sz w:val="28"/>
                <w:szCs w:val="28"/>
                <w:rtl/>
                <w:lang w:bidi="ar-EG"/>
              </w:rPr>
              <w:t>.</w:t>
            </w:r>
          </w:p>
        </w:tc>
      </w:tr>
      <w:tr w:rsidR="006E3C88" w:rsidRPr="00660F20" w:rsidTr="00FE0236">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6E3C88" w:rsidRPr="00FE0236" w:rsidRDefault="00A25479" w:rsidP="00FE0236">
            <w:pPr>
              <w:bidi/>
              <w:spacing w:line="300" w:lineRule="exact"/>
              <w:rPr>
                <w:rFonts w:ascii="Arabic Typesetting" w:hAnsi="Arabic Typesetting" w:cs="Arabic Typesetting"/>
                <w:sz w:val="28"/>
                <w:szCs w:val="28"/>
              </w:rPr>
            </w:pPr>
            <w:r w:rsidRPr="00FE0236">
              <w:rPr>
                <w:rFonts w:ascii="Arabic Typesetting" w:hAnsi="Arabic Typesetting" w:cs="Arabic Typesetting" w:hint="eastAsia"/>
                <w:sz w:val="28"/>
                <w:szCs w:val="28"/>
                <w:rtl/>
              </w:rPr>
              <w:t>قد</w:t>
            </w:r>
            <w:r w:rsidRPr="00FE0236">
              <w:rPr>
                <w:rFonts w:ascii="Arabic Typesetting" w:hAnsi="Arabic Typesetting" w:cs="Arabic Typesetting"/>
                <w:sz w:val="28"/>
                <w:szCs w:val="28"/>
                <w:rtl/>
              </w:rPr>
              <w:t xml:space="preserve"> </w:t>
            </w:r>
            <w:r w:rsidRPr="00FE0236">
              <w:rPr>
                <w:rFonts w:ascii="Arabic Typesetting" w:hAnsi="Arabic Typesetting" w:cs="Arabic Typesetting" w:hint="eastAsia"/>
                <w:sz w:val="28"/>
                <w:szCs w:val="28"/>
                <w:rtl/>
              </w:rPr>
              <w:t>تتفاوت</w:t>
            </w:r>
            <w:r w:rsidR="006E3C88"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مستويات</w:t>
            </w:r>
            <w:r w:rsidRPr="00FE0236">
              <w:rPr>
                <w:rFonts w:ascii="Arabic Typesetting" w:hAnsi="Arabic Typesetting" w:cs="Arabic Typesetting"/>
                <w:color w:val="000000"/>
                <w:sz w:val="28"/>
                <w:szCs w:val="28"/>
                <w:rtl/>
              </w:rPr>
              <w:t xml:space="preserve"> </w:t>
            </w:r>
            <w:r w:rsidR="006E3C88" w:rsidRPr="00FE0236">
              <w:rPr>
                <w:rFonts w:ascii="Arabic Typesetting" w:hAnsi="Arabic Typesetting" w:cs="Arabic Typesetting" w:hint="eastAsia"/>
                <w:color w:val="000000"/>
                <w:sz w:val="28"/>
                <w:szCs w:val="28"/>
                <w:rtl/>
              </w:rPr>
              <w:t>العرض</w:t>
            </w:r>
            <w:r w:rsidR="006E3C88" w:rsidRPr="00FE0236">
              <w:rPr>
                <w:rFonts w:ascii="Arabic Typesetting" w:hAnsi="Arabic Typesetting" w:cs="Arabic Typesetting"/>
                <w:color w:val="000000"/>
                <w:sz w:val="28"/>
                <w:szCs w:val="28"/>
                <w:rtl/>
              </w:rPr>
              <w:t xml:space="preserve"> </w:t>
            </w:r>
            <w:r w:rsidR="006E3C88" w:rsidRPr="00FE0236">
              <w:rPr>
                <w:rFonts w:ascii="Arabic Typesetting" w:hAnsi="Arabic Typesetting" w:cs="Arabic Typesetting" w:hint="eastAsia"/>
                <w:color w:val="000000"/>
                <w:sz w:val="28"/>
                <w:szCs w:val="28"/>
                <w:rtl/>
              </w:rPr>
              <w:t>والطلب</w:t>
            </w:r>
            <w:r w:rsidR="006E3C88" w:rsidRPr="00FE0236">
              <w:rPr>
                <w:rFonts w:ascii="Arabic Typesetting" w:hAnsi="Arabic Typesetting" w:cs="Arabic Typesetting"/>
                <w:color w:val="000000"/>
                <w:sz w:val="28"/>
                <w:szCs w:val="28"/>
                <w:rtl/>
              </w:rPr>
              <w:t xml:space="preserve"> </w:t>
            </w:r>
            <w:r w:rsidR="006E3C88" w:rsidRPr="00FE0236">
              <w:rPr>
                <w:rFonts w:ascii="Arabic Typesetting" w:hAnsi="Arabic Typesetting" w:cs="Arabic Typesetting" w:hint="eastAsia"/>
                <w:color w:val="000000"/>
                <w:sz w:val="28"/>
                <w:szCs w:val="28"/>
                <w:rtl/>
              </w:rPr>
              <w:t>فيما</w:t>
            </w:r>
            <w:r w:rsidR="006E3C88" w:rsidRPr="00FE0236">
              <w:rPr>
                <w:rFonts w:ascii="Arabic Typesetting" w:hAnsi="Arabic Typesetting" w:cs="Arabic Typesetting"/>
                <w:color w:val="000000"/>
                <w:sz w:val="28"/>
                <w:szCs w:val="28"/>
                <w:rtl/>
              </w:rPr>
              <w:t xml:space="preserve"> </w:t>
            </w:r>
            <w:r w:rsidR="006E3C88" w:rsidRPr="00FE0236">
              <w:rPr>
                <w:rFonts w:ascii="Arabic Typesetting" w:hAnsi="Arabic Typesetting" w:cs="Arabic Typesetting" w:hint="eastAsia"/>
                <w:color w:val="000000"/>
                <w:sz w:val="28"/>
                <w:szCs w:val="28"/>
                <w:rtl/>
              </w:rPr>
              <w:t>يتعلق</w:t>
            </w:r>
            <w:r w:rsidR="006E3C88" w:rsidRPr="00FE0236">
              <w:rPr>
                <w:rFonts w:ascii="Arabic Typesetting" w:hAnsi="Arabic Typesetting" w:cs="Arabic Typesetting"/>
                <w:color w:val="000000"/>
                <w:sz w:val="28"/>
                <w:szCs w:val="28"/>
                <w:rtl/>
              </w:rPr>
              <w:t xml:space="preserve"> </w:t>
            </w:r>
            <w:r w:rsidR="006E3C88" w:rsidRPr="00FE0236">
              <w:rPr>
                <w:rFonts w:ascii="Arabic Typesetting" w:hAnsi="Arabic Typesetting" w:cs="Arabic Typesetting" w:hint="eastAsia"/>
                <w:color w:val="000000"/>
                <w:sz w:val="28"/>
                <w:szCs w:val="28"/>
                <w:rtl/>
              </w:rPr>
              <w:t>بخدمات</w:t>
            </w:r>
            <w:r w:rsidR="006E3C88" w:rsidRPr="00FE0236">
              <w:rPr>
                <w:rFonts w:ascii="Arabic Typesetting" w:hAnsi="Arabic Typesetting" w:cs="Arabic Typesetting"/>
                <w:color w:val="000000"/>
                <w:sz w:val="28"/>
                <w:szCs w:val="28"/>
                <w:rtl/>
              </w:rPr>
              <w:t xml:space="preserve"> </w:t>
            </w:r>
            <w:r w:rsidR="006E3C88" w:rsidRPr="00FE0236">
              <w:rPr>
                <w:rFonts w:ascii="Arabic Typesetting" w:hAnsi="Arabic Typesetting" w:cs="Arabic Typesetting" w:hint="eastAsia"/>
                <w:color w:val="000000"/>
                <w:sz w:val="28"/>
                <w:szCs w:val="28"/>
                <w:rtl/>
              </w:rPr>
              <w:t>تقديم</w:t>
            </w:r>
            <w:r w:rsidR="006E3C88" w:rsidRPr="00FE0236">
              <w:rPr>
                <w:rFonts w:ascii="Arabic Typesetting" w:hAnsi="Arabic Typesetting" w:cs="Arabic Typesetting"/>
                <w:color w:val="000000"/>
                <w:sz w:val="28"/>
                <w:szCs w:val="28"/>
                <w:rtl/>
              </w:rPr>
              <w:t xml:space="preserve"> </w:t>
            </w:r>
            <w:r w:rsidR="006E3C88" w:rsidRPr="00FE0236">
              <w:rPr>
                <w:rFonts w:ascii="Arabic Typesetting" w:hAnsi="Arabic Typesetting" w:cs="Arabic Typesetting" w:hint="eastAsia"/>
                <w:color w:val="000000"/>
                <w:sz w:val="28"/>
                <w:szCs w:val="28"/>
                <w:rtl/>
              </w:rPr>
              <w:t>معلوما</w:t>
            </w:r>
            <w:r w:rsidRPr="00FE0236">
              <w:rPr>
                <w:rFonts w:ascii="Arabic Typesetting" w:hAnsi="Arabic Typesetting" w:cs="Arabic Typesetting" w:hint="eastAsia"/>
                <w:color w:val="000000"/>
                <w:sz w:val="28"/>
                <w:szCs w:val="28"/>
                <w:rtl/>
              </w:rPr>
              <w:t>ت</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البراءات،</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ولا</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سيما</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بين</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الكمية</w:t>
            </w:r>
            <w:r w:rsidR="00D518C9" w:rsidRPr="00FE0236">
              <w:rPr>
                <w:rFonts w:ascii="Arabic Typesetting" w:hAnsi="Arabic Typesetting" w:cs="Arabic Typesetting"/>
                <w:color w:val="000000"/>
                <w:sz w:val="28"/>
                <w:szCs w:val="28"/>
                <w:rtl/>
              </w:rPr>
              <w:t xml:space="preserve"> المتوقعة و</w:t>
            </w:r>
            <w:r w:rsidRPr="00FE0236">
              <w:rPr>
                <w:rFonts w:ascii="Arabic Typesetting" w:hAnsi="Arabic Typesetting" w:cs="Arabic Typesetting" w:hint="eastAsia"/>
                <w:color w:val="000000"/>
                <w:sz w:val="28"/>
                <w:szCs w:val="28"/>
                <w:rtl/>
              </w:rPr>
              <w:t>الكمية</w:t>
            </w:r>
            <w:r w:rsidRPr="00FE0236">
              <w:rPr>
                <w:rFonts w:ascii="Arabic Typesetting" w:hAnsi="Arabic Typesetting" w:cs="Arabic Typesetting"/>
                <w:color w:val="000000"/>
                <w:sz w:val="28"/>
                <w:szCs w:val="28"/>
                <w:rtl/>
              </w:rPr>
              <w:t xml:space="preserve"> </w:t>
            </w:r>
            <w:r w:rsidR="00D518C9" w:rsidRPr="00FE0236">
              <w:rPr>
                <w:rFonts w:ascii="Arabic Typesetting" w:hAnsi="Arabic Typesetting" w:cs="Arabic Typesetting" w:hint="eastAsia"/>
                <w:color w:val="000000"/>
                <w:sz w:val="28"/>
                <w:szCs w:val="28"/>
                <w:rtl/>
              </w:rPr>
              <w:t>الفعلية</w:t>
            </w:r>
            <w:r w:rsidR="006E3C88" w:rsidRPr="00FE0236">
              <w:rPr>
                <w:rFonts w:ascii="Arabic Typesetting" w:hAnsi="Arabic Typesetting" w:cs="Arabic Typesetting" w:hint="eastAsia"/>
                <w:color w:val="000000"/>
                <w:sz w:val="28"/>
                <w:szCs w:val="28"/>
                <w:rtl/>
              </w:rPr>
              <w:t>،</w:t>
            </w:r>
            <w:r w:rsidR="006E3C88"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وكذلك</w:t>
            </w:r>
            <w:r w:rsidR="006E3C88" w:rsidRPr="00FE0236">
              <w:rPr>
                <w:rFonts w:ascii="Arabic Typesetting" w:hAnsi="Arabic Typesetting" w:cs="Arabic Typesetting"/>
                <w:color w:val="000000"/>
                <w:sz w:val="28"/>
                <w:szCs w:val="28"/>
                <w:rtl/>
              </w:rPr>
              <w:t xml:space="preserve"> فيما يتعلق بمستوى جودة الخدمات ومواعيد تقديمها </w:t>
            </w:r>
            <w:r w:rsidRPr="00FE0236">
              <w:rPr>
                <w:rFonts w:ascii="Arabic Typesetting" w:hAnsi="Arabic Typesetting" w:cs="Arabic Typesetting" w:hint="eastAsia"/>
                <w:color w:val="000000"/>
                <w:sz w:val="28"/>
                <w:szCs w:val="28"/>
                <w:rtl/>
              </w:rPr>
              <w:t>نظراً</w:t>
            </w:r>
            <w:r w:rsidRPr="00FE0236">
              <w:rPr>
                <w:rFonts w:ascii="Arabic Typesetting" w:hAnsi="Arabic Typesetting" w:cs="Arabic Typesetting"/>
                <w:color w:val="000000"/>
                <w:sz w:val="28"/>
                <w:szCs w:val="28"/>
                <w:rtl/>
              </w:rPr>
              <w:t xml:space="preserve"> إلى </w:t>
            </w:r>
            <w:r w:rsidR="006E3C88" w:rsidRPr="00FE0236">
              <w:rPr>
                <w:rFonts w:ascii="Arabic Typesetting" w:hAnsi="Arabic Typesetting" w:cs="Arabic Typesetting" w:hint="eastAsia"/>
                <w:color w:val="000000"/>
                <w:sz w:val="28"/>
                <w:szCs w:val="28"/>
                <w:rtl/>
              </w:rPr>
              <w:t>الموارد</w:t>
            </w:r>
            <w:r w:rsidR="00D518C9" w:rsidRPr="00FE0236">
              <w:rPr>
                <w:rFonts w:ascii="Arabic Typesetting" w:hAnsi="Arabic Typesetting" w:cs="Arabic Typesetting"/>
                <w:color w:val="000000"/>
                <w:sz w:val="28"/>
                <w:szCs w:val="28"/>
                <w:rtl/>
              </w:rPr>
              <w:t xml:space="preserve"> المحدودة</w:t>
            </w:r>
            <w:r w:rsidR="006E3C88" w:rsidRPr="00FE0236">
              <w:rPr>
                <w:rFonts w:ascii="Arabic Typesetting" w:hAnsi="Arabic Typesetting" w:cs="Arabic Typesetting"/>
                <w:color w:val="000000"/>
                <w:sz w:val="28"/>
                <w:szCs w:val="28"/>
                <w:rtl/>
              </w:rPr>
              <w:t xml:space="preserve"> المتاحة والمشاركة الطوعية </w:t>
            </w:r>
            <w:r w:rsidRPr="00FE0236">
              <w:rPr>
                <w:rFonts w:ascii="Arabic Typesetting" w:hAnsi="Arabic Typesetting" w:cs="Arabic Typesetting" w:hint="eastAsia"/>
                <w:color w:val="000000"/>
                <w:sz w:val="28"/>
                <w:szCs w:val="28"/>
                <w:rtl/>
              </w:rPr>
              <w:t>و</w:t>
            </w:r>
            <w:r w:rsidR="006E3C88" w:rsidRPr="00FE0236">
              <w:rPr>
                <w:rFonts w:ascii="Arabic Typesetting" w:hAnsi="Arabic Typesetting" w:cs="Arabic Typesetting" w:hint="eastAsia"/>
                <w:color w:val="000000"/>
                <w:sz w:val="28"/>
                <w:szCs w:val="28"/>
                <w:rtl/>
              </w:rPr>
              <w:t>المجانية</w:t>
            </w:r>
            <w:r w:rsidR="006E3C88" w:rsidRPr="00FE0236">
              <w:rPr>
                <w:rFonts w:ascii="Arabic Typesetting" w:hAnsi="Arabic Typesetting" w:cs="Arabic Typesetting"/>
                <w:color w:val="000000"/>
                <w:sz w:val="28"/>
                <w:szCs w:val="28"/>
                <w:rtl/>
              </w:rPr>
              <w:t xml:space="preserve"> </w:t>
            </w:r>
            <w:r w:rsidR="00D518C9" w:rsidRPr="00FE0236">
              <w:rPr>
                <w:rFonts w:ascii="Arabic Typesetting" w:hAnsi="Arabic Typesetting" w:cs="Arabic Typesetting" w:hint="eastAsia"/>
                <w:color w:val="000000"/>
                <w:sz w:val="28"/>
                <w:szCs w:val="28"/>
                <w:rtl/>
              </w:rPr>
              <w:t>ل</w:t>
            </w:r>
            <w:r w:rsidR="006E3C88" w:rsidRPr="00FE0236">
              <w:rPr>
                <w:rFonts w:ascii="Arabic Typesetting" w:hAnsi="Arabic Typesetting" w:cs="Arabic Typesetting" w:hint="eastAsia"/>
                <w:color w:val="000000"/>
                <w:sz w:val="28"/>
                <w:szCs w:val="28"/>
                <w:rtl/>
              </w:rPr>
              <w:t>مكاتب</w:t>
            </w:r>
            <w:r w:rsidR="006E3C88" w:rsidRPr="00FE0236">
              <w:rPr>
                <w:rFonts w:ascii="Arabic Typesetting" w:hAnsi="Arabic Typesetting" w:cs="Arabic Typesetting"/>
                <w:color w:val="000000"/>
                <w:sz w:val="28"/>
                <w:szCs w:val="28"/>
                <w:rtl/>
              </w:rPr>
              <w:t xml:space="preserve"> </w:t>
            </w:r>
            <w:r w:rsidR="006E3C88" w:rsidRPr="00FE0236">
              <w:rPr>
                <w:rFonts w:ascii="Arabic Typesetting" w:hAnsi="Arabic Typesetting" w:cs="Arabic Typesetting" w:hint="eastAsia"/>
                <w:color w:val="000000"/>
                <w:sz w:val="28"/>
                <w:szCs w:val="28"/>
                <w:rtl/>
              </w:rPr>
              <w:t>الجهات</w:t>
            </w:r>
            <w:r w:rsidR="006E3C88" w:rsidRPr="00FE0236">
              <w:rPr>
                <w:rFonts w:ascii="Arabic Typesetting" w:hAnsi="Arabic Typesetting" w:cs="Arabic Typesetting"/>
                <w:sz w:val="28"/>
                <w:szCs w:val="28"/>
                <w:rtl/>
              </w:rPr>
              <w:t xml:space="preserve"> المانحة.</w:t>
            </w:r>
          </w:p>
        </w:tc>
        <w:tc>
          <w:tcPr>
            <w:tcW w:w="2200" w:type="dxa"/>
            <w:tcBorders>
              <w:bottom w:val="single" w:sz="4" w:space="0" w:color="auto"/>
            </w:tcBorders>
            <w:shd w:val="clear" w:color="auto" w:fill="auto"/>
            <w:tcMar>
              <w:top w:w="113" w:type="dxa"/>
              <w:bottom w:w="113" w:type="dxa"/>
            </w:tcMar>
          </w:tcPr>
          <w:p w:rsidR="006E3C88" w:rsidRPr="00FE0236" w:rsidRDefault="006E3C88" w:rsidP="00FE0236">
            <w:pPr>
              <w:bidi/>
              <w:spacing w:line="300" w:lineRule="exact"/>
              <w:rPr>
                <w:rFonts w:ascii="Arabic Typesetting" w:hAnsi="Arabic Typesetting" w:cs="Arabic Typesetting"/>
                <w:sz w:val="28"/>
                <w:szCs w:val="28"/>
              </w:rPr>
            </w:pPr>
            <w:r w:rsidRPr="00FE0236">
              <w:rPr>
                <w:rFonts w:ascii="Arabic Typesetting" w:hAnsi="Arabic Typesetting" w:cs="Arabic Typesetting" w:hint="eastAsia"/>
                <w:sz w:val="28"/>
                <w:szCs w:val="28"/>
                <w:rtl/>
              </w:rPr>
              <w:t>سوف</w:t>
            </w:r>
            <w:r w:rsidRPr="00FE0236">
              <w:rPr>
                <w:rFonts w:ascii="Arabic Typesetting" w:hAnsi="Arabic Typesetting" w:cs="Arabic Typesetting"/>
                <w:sz w:val="28"/>
                <w:szCs w:val="28"/>
                <w:rtl/>
              </w:rPr>
              <w:t xml:space="preserve"> تعمل الويبو </w:t>
            </w:r>
            <w:r w:rsidRPr="00FE0236">
              <w:rPr>
                <w:rFonts w:ascii="Arabic Typesetting" w:hAnsi="Arabic Typesetting" w:cs="Arabic Typesetting" w:hint="eastAsia"/>
                <w:color w:val="000000"/>
                <w:sz w:val="28"/>
                <w:szCs w:val="28"/>
                <w:rtl/>
              </w:rPr>
              <w:t>على</w:t>
            </w:r>
            <w:r w:rsidRPr="00FE0236">
              <w:rPr>
                <w:rFonts w:ascii="Arabic Typesetting" w:hAnsi="Arabic Typesetting" w:cs="Arabic Typesetting"/>
                <w:color w:val="000000"/>
                <w:sz w:val="28"/>
                <w:szCs w:val="28"/>
                <w:rtl/>
              </w:rPr>
              <w:t xml:space="preserve"> </w:t>
            </w:r>
            <w:r w:rsidR="00A25479" w:rsidRPr="00FE0236">
              <w:rPr>
                <w:rFonts w:ascii="Arabic Typesetting" w:hAnsi="Arabic Typesetting" w:cs="Arabic Typesetting" w:hint="eastAsia"/>
                <w:color w:val="000000"/>
                <w:sz w:val="28"/>
                <w:szCs w:val="28"/>
                <w:rtl/>
              </w:rPr>
              <w:t>الحد</w:t>
            </w:r>
            <w:r w:rsidR="00A25479" w:rsidRPr="00FE0236">
              <w:rPr>
                <w:rFonts w:ascii="Arabic Typesetting" w:hAnsi="Arabic Typesetting" w:cs="Arabic Typesetting"/>
                <w:color w:val="000000"/>
                <w:sz w:val="28"/>
                <w:szCs w:val="28"/>
                <w:rtl/>
              </w:rPr>
              <w:t xml:space="preserve"> </w:t>
            </w:r>
            <w:r w:rsidR="00A25479" w:rsidRPr="00FE0236">
              <w:rPr>
                <w:rFonts w:ascii="Arabic Typesetting" w:hAnsi="Arabic Typesetting" w:cs="Arabic Typesetting" w:hint="eastAsia"/>
                <w:color w:val="000000"/>
                <w:sz w:val="28"/>
                <w:szCs w:val="28"/>
                <w:rtl/>
              </w:rPr>
              <w:t>من</w:t>
            </w:r>
            <w:r w:rsidR="00A25479" w:rsidRPr="00FE0236">
              <w:rPr>
                <w:rFonts w:ascii="Arabic Typesetting" w:hAnsi="Arabic Typesetting" w:cs="Arabic Typesetting"/>
                <w:color w:val="000000"/>
                <w:sz w:val="28"/>
                <w:szCs w:val="28"/>
                <w:rtl/>
              </w:rPr>
              <w:t xml:space="preserve"> </w:t>
            </w:r>
            <w:r w:rsidR="00A25479" w:rsidRPr="00FE0236">
              <w:rPr>
                <w:rFonts w:ascii="Arabic Typesetting" w:hAnsi="Arabic Typesetting" w:cs="Arabic Typesetting" w:hint="eastAsia"/>
                <w:color w:val="000000"/>
                <w:sz w:val="28"/>
                <w:szCs w:val="28"/>
                <w:rtl/>
              </w:rPr>
              <w:t>وطأة</w:t>
            </w:r>
            <w:r w:rsidRPr="00FE0236">
              <w:rPr>
                <w:rFonts w:ascii="Arabic Typesetting" w:hAnsi="Arabic Typesetting" w:cs="Arabic Typesetting"/>
                <w:color w:val="000000"/>
                <w:sz w:val="28"/>
                <w:szCs w:val="28"/>
                <w:rtl/>
              </w:rPr>
              <w:t xml:space="preserve"> المخاطر عن طريق مراقبة توقيتات التسليم وجودة الخدمات </w:t>
            </w:r>
            <w:r w:rsidR="00D518C9" w:rsidRPr="00FE0236">
              <w:rPr>
                <w:rFonts w:ascii="Arabic Typesetting" w:hAnsi="Arabic Typesetting" w:cs="Arabic Typesetting" w:hint="eastAsia"/>
                <w:color w:val="000000"/>
                <w:sz w:val="28"/>
                <w:szCs w:val="28"/>
                <w:rtl/>
              </w:rPr>
              <w:t>التي</w:t>
            </w:r>
            <w:r w:rsidR="00D518C9" w:rsidRPr="00FE0236">
              <w:rPr>
                <w:rFonts w:ascii="Arabic Typesetting" w:hAnsi="Arabic Typesetting" w:cs="Arabic Typesetting"/>
                <w:color w:val="000000"/>
                <w:sz w:val="28"/>
                <w:szCs w:val="28"/>
                <w:rtl/>
              </w:rPr>
              <w:t xml:space="preserve"> </w:t>
            </w:r>
            <w:r w:rsidR="00D518C9" w:rsidRPr="00FE0236">
              <w:rPr>
                <w:rFonts w:ascii="Arabic Typesetting" w:hAnsi="Arabic Typesetting" w:cs="Arabic Typesetting" w:hint="eastAsia"/>
                <w:color w:val="000000"/>
                <w:sz w:val="28"/>
                <w:szCs w:val="28"/>
                <w:rtl/>
              </w:rPr>
              <w:t>تقدمها</w:t>
            </w:r>
            <w:r w:rsidRPr="00FE0236">
              <w:rPr>
                <w:rFonts w:ascii="Arabic Typesetting" w:hAnsi="Arabic Typesetting" w:cs="Arabic Typesetting"/>
                <w:color w:val="000000"/>
                <w:sz w:val="28"/>
                <w:szCs w:val="28"/>
                <w:rtl/>
              </w:rPr>
              <w:t xml:space="preserve"> الجهات المانحة</w:t>
            </w:r>
            <w:r w:rsidR="00D518C9" w:rsidRPr="00FE0236">
              <w:rPr>
                <w:rFonts w:ascii="Arabic Typesetting" w:hAnsi="Arabic Typesetting" w:cs="Arabic Typesetting" w:hint="eastAsia"/>
                <w:color w:val="000000"/>
                <w:sz w:val="28"/>
                <w:szCs w:val="28"/>
                <w:rtl/>
              </w:rPr>
              <w:t>،</w:t>
            </w:r>
            <w:r w:rsidRPr="00FE0236">
              <w:rPr>
                <w:rFonts w:ascii="Arabic Typesetting" w:hAnsi="Arabic Typesetting" w:cs="Arabic Typesetting"/>
                <w:color w:val="000000"/>
                <w:sz w:val="28"/>
                <w:szCs w:val="28"/>
                <w:rtl/>
              </w:rPr>
              <w:t xml:space="preserve"> </w:t>
            </w:r>
            <w:r w:rsidR="00D518C9" w:rsidRPr="00FE0236">
              <w:rPr>
                <w:rFonts w:ascii="Arabic Typesetting" w:hAnsi="Arabic Typesetting" w:cs="Arabic Typesetting" w:hint="eastAsia"/>
                <w:color w:val="000000"/>
                <w:sz w:val="28"/>
                <w:szCs w:val="28"/>
                <w:rtl/>
              </w:rPr>
              <w:t>و</w:t>
            </w:r>
            <w:r w:rsidRPr="00FE0236">
              <w:rPr>
                <w:rFonts w:ascii="Arabic Typesetting" w:hAnsi="Arabic Typesetting" w:cs="Arabic Typesetting" w:hint="eastAsia"/>
                <w:color w:val="000000"/>
                <w:sz w:val="28"/>
                <w:szCs w:val="28"/>
                <w:rtl/>
              </w:rPr>
              <w:t>التعاون</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مع</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المؤسس</w:t>
            </w:r>
            <w:r w:rsidR="00D518C9" w:rsidRPr="00FE0236">
              <w:rPr>
                <w:rFonts w:ascii="Arabic Typesetting" w:hAnsi="Arabic Typesetting" w:cs="Arabic Typesetting" w:hint="eastAsia"/>
                <w:color w:val="000000"/>
                <w:sz w:val="28"/>
                <w:szCs w:val="28"/>
                <w:rtl/>
              </w:rPr>
              <w:t>ات</w:t>
            </w:r>
            <w:r w:rsidR="00D518C9" w:rsidRPr="00FE0236">
              <w:rPr>
                <w:rFonts w:ascii="Arabic Typesetting" w:hAnsi="Arabic Typesetting" w:cs="Arabic Typesetting"/>
                <w:color w:val="000000"/>
                <w:sz w:val="28"/>
                <w:szCs w:val="28"/>
                <w:rtl/>
              </w:rPr>
              <w:t xml:space="preserve"> المشاركة الخارجية التي أبدت </w:t>
            </w:r>
            <w:r w:rsidRPr="00FE0236">
              <w:rPr>
                <w:rFonts w:ascii="Arabic Typesetting" w:hAnsi="Arabic Typesetting" w:cs="Arabic Typesetting" w:hint="eastAsia"/>
                <w:color w:val="000000"/>
                <w:sz w:val="28"/>
                <w:szCs w:val="28"/>
                <w:rtl/>
              </w:rPr>
              <w:t>اهتماما</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خاصا</w:t>
            </w:r>
            <w:r w:rsidR="00D518C9" w:rsidRPr="00FE0236">
              <w:rPr>
                <w:rFonts w:ascii="Arabic Typesetting" w:hAnsi="Arabic Typesetting" w:cs="Arabic Typesetting" w:hint="eastAsia"/>
                <w:color w:val="000000"/>
                <w:sz w:val="28"/>
                <w:szCs w:val="28"/>
                <w:rtl/>
              </w:rPr>
              <w:t>ً</w:t>
            </w:r>
            <w:r w:rsidRPr="00FE0236">
              <w:rPr>
                <w:rFonts w:ascii="Arabic Typesetting" w:hAnsi="Arabic Typesetting" w:cs="Arabic Typesetting"/>
                <w:color w:val="000000"/>
                <w:sz w:val="28"/>
                <w:szCs w:val="28"/>
                <w:rtl/>
              </w:rPr>
              <w:t xml:space="preserve"> أملته عليها احتياجاتها في سياق إعداد تقارير واقع البراءات؛ وطلب تعليقات وانطباعات مستخدمي الخدمات وتقييمها وتحديد أولويات للطلبات المقدمة في حالة زيادة الطلب </w:t>
            </w:r>
            <w:r w:rsidR="00D518C9" w:rsidRPr="00FE0236">
              <w:rPr>
                <w:rFonts w:ascii="Arabic Typesetting" w:hAnsi="Arabic Typesetting" w:cs="Arabic Typesetting" w:hint="eastAsia"/>
                <w:color w:val="000000"/>
                <w:sz w:val="28"/>
                <w:szCs w:val="28"/>
                <w:rtl/>
              </w:rPr>
              <w:t>زيادة</w:t>
            </w:r>
            <w:r w:rsidR="00D518C9" w:rsidRPr="00FE0236">
              <w:rPr>
                <w:rFonts w:ascii="Arabic Typesetting" w:hAnsi="Arabic Typesetting" w:cs="Arabic Typesetting"/>
                <w:color w:val="000000"/>
                <w:sz w:val="28"/>
                <w:szCs w:val="28"/>
                <w:rtl/>
              </w:rPr>
              <w:t xml:space="preserve"> </w:t>
            </w:r>
            <w:r w:rsidR="00D518C9" w:rsidRPr="00FE0236">
              <w:rPr>
                <w:rFonts w:ascii="Arabic Typesetting" w:hAnsi="Arabic Typesetting" w:cs="Arabic Typesetting" w:hint="eastAsia"/>
                <w:color w:val="000000"/>
                <w:sz w:val="28"/>
                <w:szCs w:val="28"/>
                <w:rtl/>
              </w:rPr>
              <w:t>مفرطة</w:t>
            </w:r>
            <w:r w:rsidRPr="00FE0236">
              <w:rPr>
                <w:rFonts w:ascii="Arabic Typesetting" w:hAnsi="Arabic Typesetting" w:cs="Arabic Typesetting" w:hint="eastAsia"/>
                <w:color w:val="000000"/>
                <w:sz w:val="28"/>
                <w:szCs w:val="28"/>
                <w:rtl/>
              </w:rPr>
              <w:t>؛</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والترويج</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للخدمات</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في</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حالة</w:t>
            </w:r>
            <w:r w:rsidRPr="00FE0236">
              <w:rPr>
                <w:rFonts w:ascii="Arabic Typesetting" w:hAnsi="Arabic Typesetting" w:cs="Arabic Typesetting"/>
                <w:color w:val="000000"/>
                <w:sz w:val="28"/>
                <w:szCs w:val="28"/>
                <w:rtl/>
              </w:rPr>
              <w:t xml:space="preserve"> </w:t>
            </w:r>
            <w:r w:rsidRPr="00FE0236">
              <w:rPr>
                <w:rFonts w:ascii="Arabic Typesetting" w:hAnsi="Arabic Typesetting" w:cs="Arabic Typesetting" w:hint="eastAsia"/>
                <w:color w:val="000000"/>
                <w:sz w:val="28"/>
                <w:szCs w:val="28"/>
                <w:rtl/>
              </w:rPr>
              <w:t>انخفاض</w:t>
            </w:r>
            <w:r w:rsidR="00D518C9" w:rsidRPr="00FE0236">
              <w:rPr>
                <w:rFonts w:ascii="Arabic Typesetting" w:hAnsi="Arabic Typesetting" w:cs="Arabic Typesetting" w:hint="eastAsia"/>
                <w:color w:val="000000"/>
                <w:sz w:val="28"/>
                <w:szCs w:val="28"/>
                <w:rtl/>
              </w:rPr>
              <w:t> </w:t>
            </w:r>
            <w:r w:rsidRPr="00FE0236">
              <w:rPr>
                <w:rFonts w:ascii="Arabic Typesetting" w:hAnsi="Arabic Typesetting" w:cs="Arabic Typesetting" w:hint="eastAsia"/>
                <w:color w:val="000000"/>
                <w:sz w:val="28"/>
                <w:szCs w:val="28"/>
                <w:rtl/>
              </w:rPr>
              <w:t>الطلب</w:t>
            </w:r>
            <w:r w:rsidRPr="00FE0236">
              <w:rPr>
                <w:rFonts w:ascii="Arabic Typesetting" w:hAnsi="Arabic Typesetting" w:cs="Arabic Typesetting"/>
                <w:color w:val="000000"/>
                <w:sz w:val="28"/>
                <w:szCs w:val="28"/>
                <w:rtl/>
              </w:rPr>
              <w:t>.</w:t>
            </w:r>
          </w:p>
        </w:tc>
        <w:tc>
          <w:tcPr>
            <w:tcW w:w="2310" w:type="dxa"/>
            <w:tcBorders>
              <w:bottom w:val="single" w:sz="4" w:space="0" w:color="auto"/>
            </w:tcBorders>
          </w:tcPr>
          <w:p w:rsidR="006E3C88" w:rsidRPr="00660F20" w:rsidRDefault="00A25479" w:rsidP="00660F20">
            <w:pPr>
              <w:bidi/>
              <w:spacing w:before="60" w:after="60" w:line="280" w:lineRule="exact"/>
              <w:rPr>
                <w:rFonts w:ascii="Arabic Typesetting" w:hAnsi="Arabic Typesetting" w:cs="Arabic Typesetting"/>
                <w:b/>
                <w:sz w:val="28"/>
                <w:szCs w:val="28"/>
                <w:lang w:bidi="ar-EG"/>
              </w:rPr>
            </w:pPr>
            <w:r w:rsidRPr="00660F20">
              <w:rPr>
                <w:rFonts w:ascii="Arabic Typesetting" w:hAnsi="Arabic Typesetting" w:cs="Arabic Typesetting" w:hint="eastAsia"/>
                <w:b/>
                <w:sz w:val="28"/>
                <w:szCs w:val="28"/>
                <w:rtl/>
                <w:lang w:bidi="ar-EG"/>
              </w:rPr>
              <w:t>لم</w:t>
            </w:r>
            <w:r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ي</w:t>
            </w:r>
            <w:r w:rsidR="00D518C9" w:rsidRPr="00660F20">
              <w:rPr>
                <w:rFonts w:ascii="Arabic Typesetting" w:hAnsi="Arabic Typesetting" w:cs="Arabic Typesetting" w:hint="eastAsia"/>
                <w:b/>
                <w:sz w:val="28"/>
                <w:szCs w:val="28"/>
                <w:rtl/>
                <w:lang w:bidi="ar-EG"/>
              </w:rPr>
              <w:t>تعرض</w:t>
            </w:r>
            <w:r w:rsidR="00D518C9" w:rsidRPr="00660F20">
              <w:rPr>
                <w:rFonts w:ascii="Arabic Typesetting" w:hAnsi="Arabic Typesetting" w:cs="Arabic Typesetting"/>
                <w:b/>
                <w:sz w:val="28"/>
                <w:szCs w:val="28"/>
                <w:rtl/>
                <w:lang w:bidi="ar-EG"/>
              </w:rPr>
              <w:t xml:space="preserve"> </w:t>
            </w:r>
            <w:r w:rsidRPr="00660F20">
              <w:rPr>
                <w:rFonts w:ascii="Arabic Typesetting" w:hAnsi="Arabic Typesetting" w:cs="Arabic Typesetting" w:hint="eastAsia"/>
                <w:b/>
                <w:sz w:val="28"/>
                <w:szCs w:val="28"/>
                <w:rtl/>
                <w:lang w:bidi="ar-EG"/>
              </w:rPr>
              <w:t>البرنامج</w:t>
            </w:r>
            <w:r w:rsidRPr="00660F20">
              <w:rPr>
                <w:rFonts w:ascii="Arabic Typesetting" w:hAnsi="Arabic Typesetting" w:cs="Arabic Typesetting"/>
                <w:b/>
                <w:sz w:val="28"/>
                <w:szCs w:val="28"/>
                <w:rtl/>
                <w:lang w:bidi="ar-EG"/>
              </w:rPr>
              <w:t xml:space="preserve"> </w:t>
            </w:r>
            <w:r w:rsidR="00D518C9" w:rsidRPr="00660F20">
              <w:rPr>
                <w:rFonts w:ascii="Arabic Typesetting" w:hAnsi="Arabic Typesetting" w:cs="Arabic Typesetting" w:hint="eastAsia"/>
                <w:b/>
                <w:sz w:val="28"/>
                <w:szCs w:val="28"/>
                <w:rtl/>
                <w:lang w:bidi="ar-EG"/>
              </w:rPr>
              <w:t>لهذا</w:t>
            </w:r>
            <w:r w:rsidR="00D518C9" w:rsidRPr="00660F20">
              <w:rPr>
                <w:rFonts w:ascii="Arabic Typesetting" w:hAnsi="Arabic Typesetting" w:cs="Arabic Typesetting"/>
                <w:b/>
                <w:sz w:val="28"/>
                <w:szCs w:val="28"/>
                <w:rtl/>
                <w:lang w:bidi="ar-EG"/>
              </w:rPr>
              <w:t xml:space="preserve"> الخطر بفضل تدابير الحد من وطأة المخاطر التي </w:t>
            </w:r>
            <w:r w:rsidRPr="00660F20">
              <w:rPr>
                <w:rFonts w:ascii="Arabic Typesetting" w:hAnsi="Arabic Typesetting" w:cs="Arabic Typesetting" w:hint="eastAsia"/>
                <w:b/>
                <w:sz w:val="28"/>
                <w:szCs w:val="28"/>
                <w:rtl/>
                <w:lang w:bidi="ar-EG"/>
              </w:rPr>
              <w:t>اتخذها</w:t>
            </w:r>
            <w:r w:rsidR="00D518C9" w:rsidRPr="00660F20">
              <w:rPr>
                <w:rFonts w:ascii="Arabic Typesetting" w:hAnsi="Arabic Typesetting" w:cs="Arabic Typesetting"/>
                <w:b/>
                <w:sz w:val="28"/>
                <w:szCs w:val="28"/>
                <w:rtl/>
                <w:lang w:bidi="ar-EG"/>
              </w:rPr>
              <w:t xml:space="preserve"> البرنامج.</w:t>
            </w:r>
          </w:p>
        </w:tc>
        <w:tc>
          <w:tcPr>
            <w:tcW w:w="2306" w:type="dxa"/>
            <w:tcBorders>
              <w:bottom w:val="single" w:sz="4" w:space="0" w:color="auto"/>
              <w:right w:val="single" w:sz="4" w:space="0" w:color="auto"/>
            </w:tcBorders>
          </w:tcPr>
          <w:p w:rsidR="006E3C88" w:rsidRPr="00660F20" w:rsidRDefault="002F200B" w:rsidP="00660F20">
            <w:pPr>
              <w:bidi/>
              <w:spacing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 xml:space="preserve">لم يؤثر هذا الخطر </w:t>
            </w:r>
            <w:r>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في أداء البرنامج</w:t>
            </w:r>
            <w:r>
              <w:rPr>
                <w:rFonts w:ascii="Arabic Typesetting" w:hAnsi="Arabic Typesetting" w:cs="Arabic Typesetting" w:hint="cs"/>
                <w:sz w:val="28"/>
                <w:szCs w:val="28"/>
                <w:rtl/>
              </w:rPr>
              <w:t>.</w:t>
            </w:r>
          </w:p>
        </w:tc>
      </w:tr>
    </w:tbl>
    <w:p w:rsidR="006E3C88" w:rsidRPr="006E3C88" w:rsidRDefault="006E3C88" w:rsidP="006E3C88">
      <w:pPr>
        <w:keepNext/>
        <w:bidi/>
        <w:spacing w:before="120" w:after="120" w:line="340" w:lineRule="exact"/>
        <w:rPr>
          <w:rFonts w:ascii="Arabic Typesetting" w:hAnsi="Arabic Typesetting" w:cs="Arabic Typesetting"/>
          <w:sz w:val="34"/>
          <w:szCs w:val="34"/>
          <w:rtl/>
          <w:lang w:bidi="ar-EG"/>
        </w:rPr>
      </w:pPr>
      <w:r w:rsidRPr="006E3C88">
        <w:rPr>
          <w:rFonts w:ascii="Arabic Typesetting" w:hAnsi="Arabic Typesetting" w:cs="Arabic Typesetting" w:hint="cs"/>
          <w:sz w:val="34"/>
          <w:szCs w:val="34"/>
          <w:rtl/>
          <w:lang w:bidi="ar-EG"/>
        </w:rPr>
        <w:lastRenderedPageBreak/>
        <w:t>استخدام الموارد</w:t>
      </w:r>
    </w:p>
    <w:p w:rsidR="006E3C88" w:rsidRPr="006E3C88" w:rsidRDefault="00774E37" w:rsidP="006E3C88">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6E3C88" w:rsidRPr="006E3C88" w:rsidRDefault="006E3C88" w:rsidP="006E3C88">
      <w:pPr>
        <w:keepNext/>
        <w:bidi/>
        <w:spacing w:after="120" w:line="340" w:lineRule="exact"/>
        <w:jc w:val="center"/>
        <w:rPr>
          <w:rFonts w:ascii="Arabic Typesetting" w:hAnsi="Arabic Typesetting" w:cs="Arabic Typesetting"/>
          <w:i/>
          <w:iCs/>
          <w:sz w:val="34"/>
          <w:szCs w:val="34"/>
          <w:rtl/>
          <w:lang w:bidi="ar-EG"/>
        </w:rPr>
      </w:pPr>
      <w:r w:rsidRPr="006E3C8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6E3C88" w:rsidRPr="00A52ECC" w:rsidTr="00332684">
        <w:trPr>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6E3C88" w:rsidRPr="00A52ECC" w:rsidRDefault="006E3C88" w:rsidP="00D518C9">
            <w:pPr>
              <w:keepNext/>
              <w:bidi/>
              <w:jc w:val="center"/>
              <w:rPr>
                <w:rFonts w:ascii="Arabic Typesetting" w:hAnsi="Arabic Typesetting" w:cs="Arabic Typesetting"/>
                <w:i/>
                <w:iCs/>
                <w:sz w:val="28"/>
                <w:szCs w:val="28"/>
              </w:rPr>
            </w:pPr>
            <w:r w:rsidRPr="00A52ECC">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6E3C88" w:rsidRPr="00A52ECC" w:rsidRDefault="006E3C88" w:rsidP="00D518C9">
            <w:pPr>
              <w:keepNext/>
              <w:bidi/>
              <w:jc w:val="center"/>
              <w:rPr>
                <w:rFonts w:ascii="Arabic Typesetting" w:hAnsi="Arabic Typesetting" w:cs="Arabic Typesetting"/>
                <w:i/>
                <w:iCs/>
                <w:sz w:val="28"/>
                <w:szCs w:val="28"/>
              </w:rPr>
            </w:pPr>
            <w:r w:rsidRPr="00A52ECC">
              <w:rPr>
                <w:rFonts w:ascii="Arabic Typesetting" w:hAnsi="Arabic Typesetting" w:cs="Arabic Typesetting"/>
                <w:i/>
                <w:iCs/>
                <w:sz w:val="28"/>
                <w:szCs w:val="28"/>
                <w:rtl/>
              </w:rPr>
              <w:t>الميزانية المعتمدة 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6E3C88" w:rsidRPr="00A52ECC" w:rsidRDefault="006E3C88" w:rsidP="00D518C9">
            <w:pPr>
              <w:keepNext/>
              <w:bidi/>
              <w:jc w:val="center"/>
              <w:rPr>
                <w:rFonts w:ascii="Arabic Typesetting" w:hAnsi="Arabic Typesetting" w:cs="Arabic Typesetting"/>
                <w:i/>
                <w:iCs/>
                <w:sz w:val="28"/>
                <w:szCs w:val="28"/>
              </w:rPr>
            </w:pPr>
            <w:r w:rsidRPr="00A52ECC">
              <w:rPr>
                <w:rFonts w:ascii="Arabic Typesetting" w:hAnsi="Arabic Typesetting" w:cs="Arabic Typesetting" w:hint="cs"/>
                <w:i/>
                <w:iCs/>
                <w:sz w:val="28"/>
                <w:szCs w:val="28"/>
                <w:rtl/>
              </w:rPr>
              <w:t>الميزانية النهائية</w:t>
            </w:r>
            <w:r w:rsidRPr="00A52ECC">
              <w:rPr>
                <w:rFonts w:ascii="Arabic Typesetting" w:hAnsi="Arabic Typesetting" w:cs="Arabic Typesetting"/>
                <w:i/>
                <w:iCs/>
                <w:sz w:val="28"/>
                <w:szCs w:val="28"/>
                <w:rtl/>
              </w:rPr>
              <w:t xml:space="preserve"> بعد التحويلات</w:t>
            </w:r>
            <w:r w:rsidRPr="00A52ECC">
              <w:rPr>
                <w:rFonts w:ascii="Arabic Typesetting" w:hAnsi="Arabic Typesetting" w:cs="Arabic Typesetting" w:hint="cs"/>
                <w:i/>
                <w:iCs/>
                <w:sz w:val="28"/>
                <w:szCs w:val="28"/>
                <w:rtl/>
              </w:rPr>
              <w:t xml:space="preserve"> </w:t>
            </w:r>
            <w:r w:rsidRPr="00A52ECC">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6E3C88" w:rsidRPr="00A52ECC" w:rsidRDefault="006E3C88" w:rsidP="00D518C9">
            <w:pPr>
              <w:keepNext/>
              <w:bidi/>
              <w:jc w:val="center"/>
              <w:rPr>
                <w:rFonts w:ascii="Arabic Typesetting" w:hAnsi="Arabic Typesetting" w:cs="Arabic Typesetting"/>
                <w:i/>
                <w:iCs/>
                <w:sz w:val="28"/>
                <w:szCs w:val="28"/>
              </w:rPr>
            </w:pPr>
            <w:r w:rsidRPr="00A52ECC">
              <w:rPr>
                <w:rFonts w:ascii="Arabic Typesetting" w:hAnsi="Arabic Typesetting" w:cs="Arabic Typesetting"/>
                <w:i/>
                <w:iCs/>
                <w:sz w:val="28"/>
                <w:szCs w:val="28"/>
                <w:rtl/>
              </w:rPr>
              <w:t>نفقات 2014/15</w:t>
            </w:r>
          </w:p>
        </w:tc>
      </w:tr>
      <w:tr w:rsidR="006E3C88" w:rsidRPr="00A52ECC" w:rsidTr="00332684">
        <w:trPr>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6E3C88" w:rsidRPr="00A52ECC" w:rsidRDefault="00D518C9" w:rsidP="006E3C88">
            <w:pPr>
              <w:bidi/>
              <w:rPr>
                <w:rFonts w:ascii="Arabic Typesetting" w:hAnsi="Arabic Typesetting" w:cs="Arabic Typesetting"/>
                <w:sz w:val="28"/>
                <w:szCs w:val="28"/>
              </w:rPr>
            </w:pPr>
            <w:r w:rsidRPr="00A52ECC">
              <w:rPr>
                <w:rFonts w:ascii="Arabic Typesetting" w:hAnsi="Arabic Typesetting" w:cs="Arabic Typesetting" w:hint="cs"/>
                <w:sz w:val="28"/>
                <w:szCs w:val="28"/>
                <w:rtl/>
              </w:rPr>
              <w:t>2.4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6E3C88" w:rsidRPr="00A52ECC" w:rsidRDefault="000432CA" w:rsidP="006E3C88">
            <w:pPr>
              <w:bidi/>
              <w:rPr>
                <w:rFonts w:ascii="Arabic Typesetting" w:hAnsi="Arabic Typesetting" w:cs="Arabic Typesetting"/>
                <w:sz w:val="28"/>
                <w:szCs w:val="28"/>
              </w:rPr>
            </w:pPr>
            <w:r>
              <w:rPr>
                <w:rFonts w:ascii="Arabic Typesetting" w:hAnsi="Arabic Typesetting" w:cs="Arabic Typesetting"/>
                <w:color w:val="000000"/>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E3C88" w:rsidRPr="00A52ECC" w:rsidRDefault="00D518C9" w:rsidP="006E3C88">
            <w:pPr>
              <w:rPr>
                <w:rFonts w:ascii="Arabic Typesetting" w:hAnsi="Arabic Typesetting" w:cs="Arabic Typesetting"/>
                <w:sz w:val="28"/>
                <w:szCs w:val="28"/>
              </w:rPr>
            </w:pPr>
            <w:r w:rsidRPr="00A52ECC">
              <w:rPr>
                <w:rFonts w:ascii="Arabic Typesetting" w:hAnsi="Arabic Typesetting" w:cs="Arabic Typesetting"/>
                <w:sz w:val="28"/>
                <w:szCs w:val="28"/>
              </w:rPr>
              <w:t>7,539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E3C88" w:rsidRPr="00A52ECC" w:rsidRDefault="00D518C9" w:rsidP="006E3C88">
            <w:pPr>
              <w:rPr>
                <w:rFonts w:ascii="Arabic Typesetting" w:hAnsi="Arabic Typesetting" w:cs="Arabic Typesetting"/>
                <w:sz w:val="28"/>
                <w:szCs w:val="28"/>
              </w:rPr>
            </w:pPr>
            <w:r w:rsidRPr="00A52ECC">
              <w:rPr>
                <w:rFonts w:ascii="Arabic Typesetting" w:hAnsi="Arabic Typesetting" w:cs="Arabic Typesetting"/>
                <w:sz w:val="28"/>
                <w:szCs w:val="28"/>
              </w:rPr>
              <w:t>6,830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6E3C88" w:rsidRPr="00A52ECC" w:rsidRDefault="00D518C9" w:rsidP="006E3C88">
            <w:pPr>
              <w:rPr>
                <w:rFonts w:ascii="Arabic Typesetting" w:hAnsi="Arabic Typesetting" w:cs="Arabic Typesetting"/>
                <w:sz w:val="28"/>
                <w:szCs w:val="28"/>
              </w:rPr>
            </w:pPr>
            <w:r w:rsidRPr="00A52ECC">
              <w:rPr>
                <w:rFonts w:ascii="Arabic Typesetting" w:hAnsi="Arabic Typesetting" w:cs="Arabic Typesetting"/>
                <w:sz w:val="28"/>
                <w:szCs w:val="28"/>
              </w:rPr>
              <w:t>6,860</w:t>
            </w:r>
          </w:p>
        </w:tc>
      </w:tr>
      <w:tr w:rsidR="006E3C88" w:rsidRPr="00A52ECC" w:rsidTr="00332684">
        <w:trPr>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6E3C88" w:rsidRPr="00A52ECC" w:rsidRDefault="006E3C88" w:rsidP="006E3C88">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6E3C88" w:rsidRPr="00A52ECC" w:rsidRDefault="006E3C88" w:rsidP="006E3C88">
            <w:pPr>
              <w:bidi/>
              <w:rPr>
                <w:rFonts w:ascii="Arabic Typesetting" w:hAnsi="Arabic Typesetting" w:cs="Arabic Typesetting"/>
                <w:b/>
                <w:bCs/>
                <w:sz w:val="28"/>
                <w:szCs w:val="28"/>
              </w:rPr>
            </w:pPr>
            <w:r w:rsidRPr="00A52ECC">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E3C88" w:rsidRPr="00A52ECC" w:rsidRDefault="00D518C9" w:rsidP="006E3C88">
            <w:pPr>
              <w:rPr>
                <w:rFonts w:ascii="Arabic Typesetting" w:hAnsi="Arabic Typesetting" w:cs="Arabic Typesetting"/>
                <w:b/>
                <w:bCs/>
                <w:sz w:val="28"/>
                <w:szCs w:val="28"/>
              </w:rPr>
            </w:pPr>
            <w:r w:rsidRPr="00A52ECC">
              <w:rPr>
                <w:rFonts w:ascii="Arabic Typesetting" w:hAnsi="Arabic Typesetting" w:cs="Arabic Typesetting"/>
                <w:b/>
                <w:bCs/>
                <w:sz w:val="28"/>
                <w:szCs w:val="28"/>
              </w:rPr>
              <w:t>7,539</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E3C88" w:rsidRPr="00A52ECC" w:rsidRDefault="00D518C9" w:rsidP="006E3C88">
            <w:pPr>
              <w:rPr>
                <w:rFonts w:ascii="Arabic Typesetting" w:hAnsi="Arabic Typesetting" w:cs="Arabic Typesetting"/>
                <w:b/>
                <w:bCs/>
                <w:sz w:val="28"/>
                <w:szCs w:val="28"/>
              </w:rPr>
            </w:pPr>
            <w:r w:rsidRPr="00A52ECC">
              <w:rPr>
                <w:rFonts w:ascii="Arabic Typesetting" w:hAnsi="Arabic Typesetting" w:cs="Arabic Typesetting"/>
                <w:b/>
                <w:bCs/>
                <w:sz w:val="28"/>
                <w:szCs w:val="28"/>
              </w:rPr>
              <w:t>6,830</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E3C88" w:rsidRPr="00A52ECC" w:rsidRDefault="00D518C9" w:rsidP="006E3C88">
            <w:pPr>
              <w:rPr>
                <w:rFonts w:ascii="Arabic Typesetting" w:hAnsi="Arabic Typesetting" w:cs="Arabic Typesetting"/>
                <w:b/>
                <w:bCs/>
                <w:sz w:val="28"/>
                <w:szCs w:val="28"/>
              </w:rPr>
            </w:pPr>
            <w:r w:rsidRPr="00A52ECC">
              <w:rPr>
                <w:rFonts w:ascii="Arabic Typesetting" w:hAnsi="Arabic Typesetting" w:cs="Arabic Typesetting"/>
                <w:b/>
                <w:bCs/>
                <w:sz w:val="28"/>
                <w:szCs w:val="28"/>
              </w:rPr>
              <w:t>6,860</w:t>
            </w:r>
          </w:p>
        </w:tc>
      </w:tr>
    </w:tbl>
    <w:p w:rsidR="006E3C88" w:rsidRPr="006E3C88" w:rsidRDefault="00774E37" w:rsidP="006E3C88">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6E3C88" w:rsidRPr="006E3C88" w:rsidRDefault="006E3C88" w:rsidP="006E3C88">
      <w:pPr>
        <w:keepNext/>
        <w:bidi/>
        <w:spacing w:after="120"/>
        <w:jc w:val="center"/>
        <w:rPr>
          <w:rFonts w:ascii="Arabic Typesetting" w:hAnsi="Arabic Typesetting" w:cs="Arabic Typesetting"/>
          <w:sz w:val="34"/>
          <w:szCs w:val="34"/>
          <w:rtl/>
          <w:lang w:bidi="ar-EG"/>
        </w:rPr>
      </w:pPr>
      <w:r w:rsidRPr="006E3C8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6E3C88" w:rsidRPr="006E3C88" w:rsidTr="00332684">
        <w:trPr>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6E3C88" w:rsidRPr="006E3C88" w:rsidRDefault="006E3C88" w:rsidP="006E3C88">
            <w:pPr>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E3C88" w:rsidRPr="006E3C88" w:rsidRDefault="006E3C88" w:rsidP="006E3C88">
            <w:pPr>
              <w:bidi/>
              <w:jc w:val="center"/>
              <w:rPr>
                <w:rFonts w:ascii="Arabic Typesetting" w:hAnsi="Arabic Typesetting" w:cs="Arabic Typesetting"/>
                <w:b/>
                <w:bCs/>
                <w:i/>
                <w:iCs/>
                <w:sz w:val="28"/>
                <w:szCs w:val="28"/>
              </w:rPr>
            </w:pPr>
            <w:r w:rsidRPr="006E3C88">
              <w:rPr>
                <w:rFonts w:ascii="Arabic Typesetting" w:hAnsi="Arabic Typesetting" w:cs="Arabic Typesetting"/>
                <w:b/>
                <w:bCs/>
                <w:i/>
                <w:iCs/>
                <w:sz w:val="28"/>
                <w:szCs w:val="28"/>
                <w:rtl/>
              </w:rPr>
              <w:t>الميزانية المعتمدة 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E3C88" w:rsidRPr="006E3C88" w:rsidRDefault="006E3C88" w:rsidP="006E3C88">
            <w:pPr>
              <w:bidi/>
              <w:jc w:val="center"/>
              <w:rPr>
                <w:rFonts w:ascii="Arabic Typesetting" w:hAnsi="Arabic Typesetting" w:cs="Arabic Typesetting"/>
                <w:b/>
                <w:bCs/>
                <w:i/>
                <w:iCs/>
                <w:sz w:val="28"/>
                <w:szCs w:val="28"/>
              </w:rPr>
            </w:pPr>
            <w:r w:rsidRPr="006E3C88">
              <w:rPr>
                <w:rFonts w:ascii="Arabic Typesetting" w:hAnsi="Arabic Typesetting" w:cs="Arabic Typesetting" w:hint="cs"/>
                <w:b/>
                <w:bCs/>
                <w:i/>
                <w:iCs/>
                <w:sz w:val="28"/>
                <w:szCs w:val="28"/>
                <w:rtl/>
              </w:rPr>
              <w:t>الميزانية النهائية</w:t>
            </w:r>
            <w:r w:rsidRPr="006E3C88">
              <w:rPr>
                <w:rFonts w:ascii="Arabic Typesetting" w:hAnsi="Arabic Typesetting" w:cs="Arabic Typesetting"/>
                <w:b/>
                <w:bCs/>
                <w:i/>
                <w:iCs/>
                <w:sz w:val="28"/>
                <w:szCs w:val="28"/>
                <w:rtl/>
              </w:rPr>
              <w:t xml:space="preserve"> بعد التحويلات</w:t>
            </w:r>
            <w:r w:rsidRPr="006E3C88">
              <w:rPr>
                <w:rFonts w:ascii="Arabic Typesetting" w:hAnsi="Arabic Typesetting" w:cs="Arabic Typesetting" w:hint="cs"/>
                <w:b/>
                <w:bCs/>
                <w:i/>
                <w:iCs/>
                <w:sz w:val="28"/>
                <w:szCs w:val="28"/>
                <w:rtl/>
              </w:rPr>
              <w:t xml:space="preserve"> </w:t>
            </w:r>
            <w:r w:rsidRPr="006E3C88">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E3C88" w:rsidRPr="006E3C88" w:rsidRDefault="006E3C88" w:rsidP="006E3C88">
            <w:pPr>
              <w:bidi/>
              <w:jc w:val="center"/>
              <w:rPr>
                <w:rFonts w:ascii="Arabic Typesetting" w:hAnsi="Arabic Typesetting" w:cs="Arabic Typesetting"/>
                <w:b/>
                <w:bCs/>
                <w:i/>
                <w:iCs/>
                <w:sz w:val="28"/>
                <w:szCs w:val="28"/>
              </w:rPr>
            </w:pPr>
            <w:r w:rsidRPr="006E3C88">
              <w:rPr>
                <w:rFonts w:ascii="Arabic Typesetting" w:hAnsi="Arabic Typesetting" w:cs="Arabic Typesetting"/>
                <w:b/>
                <w:bCs/>
                <w:i/>
                <w:iCs/>
                <w:sz w:val="28"/>
                <w:szCs w:val="28"/>
                <w:rtl/>
              </w:rPr>
              <w:t>نفقات 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E3C88" w:rsidRPr="006E3C88" w:rsidRDefault="006E3C88" w:rsidP="006E3C88">
            <w:pPr>
              <w:bidi/>
              <w:jc w:val="center"/>
              <w:rPr>
                <w:rFonts w:ascii="Arabic Typesetting" w:hAnsi="Arabic Typesetting" w:cs="Arabic Typesetting"/>
                <w:b/>
                <w:bCs/>
                <w:i/>
                <w:iCs/>
                <w:sz w:val="28"/>
                <w:szCs w:val="28"/>
              </w:rPr>
            </w:pPr>
            <w:r w:rsidRPr="006E3C88">
              <w:rPr>
                <w:rFonts w:ascii="Arabic Typesetting" w:hAnsi="Arabic Typesetting" w:cs="Arabic Typesetting"/>
                <w:b/>
                <w:bCs/>
                <w:i/>
                <w:iCs/>
                <w:sz w:val="28"/>
                <w:szCs w:val="28"/>
                <w:rtl/>
              </w:rPr>
              <w:t>نسبة الاستخدام (%)</w:t>
            </w:r>
          </w:p>
        </w:tc>
      </w:tr>
      <w:tr w:rsidR="006E3C88" w:rsidRPr="006E3C88" w:rsidTr="00332684">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6E3C88" w:rsidRPr="006E3C88" w:rsidRDefault="006E3C88" w:rsidP="006E3C88">
            <w:pPr>
              <w:bidi/>
              <w:rPr>
                <w:rFonts w:ascii="Arabic Typesetting" w:hAnsi="Arabic Typesetting" w:cs="Arabic Typesetting"/>
                <w:sz w:val="28"/>
                <w:szCs w:val="28"/>
              </w:rPr>
            </w:pPr>
            <w:r w:rsidRPr="006E3C88">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E3C88" w:rsidRPr="006E3C88" w:rsidRDefault="00D518C9" w:rsidP="006E3C88">
            <w:pPr>
              <w:jc w:val="center"/>
              <w:rPr>
                <w:rFonts w:ascii="Arabic Typesetting" w:hAnsi="Arabic Typesetting" w:cs="Arabic Typesetting"/>
                <w:sz w:val="28"/>
                <w:szCs w:val="28"/>
              </w:rPr>
            </w:pPr>
            <w:r>
              <w:rPr>
                <w:rFonts w:ascii="Arabic Typesetting" w:hAnsi="Arabic Typesetting" w:cs="Arabic Typesetting"/>
                <w:sz w:val="28"/>
                <w:szCs w:val="28"/>
              </w:rPr>
              <w:t>6</w:t>
            </w:r>
            <w:r w:rsidRPr="006E3C88">
              <w:rPr>
                <w:rFonts w:ascii="Arabic Typesetting" w:hAnsi="Arabic Typesetting" w:cs="Arabic Typesetting"/>
                <w:sz w:val="28"/>
                <w:szCs w:val="28"/>
              </w:rPr>
              <w:t>,</w:t>
            </w:r>
            <w:r>
              <w:rPr>
                <w:rFonts w:ascii="Arabic Typesetting" w:hAnsi="Arabic Typesetting" w:cs="Arabic Typesetting"/>
                <w:sz w:val="28"/>
                <w:szCs w:val="28"/>
              </w:rPr>
              <w:t>585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E3C88" w:rsidRPr="006E3C88" w:rsidRDefault="00D518C9" w:rsidP="006E3C88">
            <w:pPr>
              <w:jc w:val="center"/>
              <w:rPr>
                <w:rFonts w:ascii="Arabic Typesetting" w:hAnsi="Arabic Typesetting" w:cs="Arabic Typesetting"/>
                <w:sz w:val="28"/>
                <w:szCs w:val="28"/>
              </w:rPr>
            </w:pPr>
            <w:r>
              <w:rPr>
                <w:rFonts w:ascii="Arabic Typesetting" w:hAnsi="Arabic Typesetting" w:cs="Arabic Typesetting"/>
                <w:sz w:val="28"/>
                <w:szCs w:val="28"/>
              </w:rPr>
              <w:t>5</w:t>
            </w:r>
            <w:r w:rsidRPr="006E3C88">
              <w:rPr>
                <w:rFonts w:ascii="Arabic Typesetting" w:hAnsi="Arabic Typesetting" w:cs="Arabic Typesetting"/>
                <w:sz w:val="28"/>
                <w:szCs w:val="28"/>
              </w:rPr>
              <w:t>,</w:t>
            </w:r>
            <w:r>
              <w:rPr>
                <w:rFonts w:ascii="Arabic Typesetting" w:hAnsi="Arabic Typesetting" w:cs="Arabic Typesetting"/>
                <w:sz w:val="28"/>
                <w:szCs w:val="28"/>
              </w:rPr>
              <w:t>941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E3C88" w:rsidRPr="006E3C88" w:rsidRDefault="00D518C9" w:rsidP="006E3C88">
            <w:pPr>
              <w:jc w:val="center"/>
              <w:rPr>
                <w:rFonts w:ascii="Arabic Typesetting" w:hAnsi="Arabic Typesetting" w:cs="Arabic Typesetting"/>
                <w:sz w:val="28"/>
                <w:szCs w:val="28"/>
              </w:rPr>
            </w:pPr>
            <w:r>
              <w:rPr>
                <w:rFonts w:ascii="Arabic Typesetting" w:hAnsi="Arabic Typesetting" w:cs="Arabic Typesetting"/>
                <w:sz w:val="28"/>
                <w:szCs w:val="28"/>
              </w:rPr>
              <w:t>5</w:t>
            </w:r>
            <w:r w:rsidRPr="006E3C88">
              <w:rPr>
                <w:rFonts w:ascii="Arabic Typesetting" w:hAnsi="Arabic Typesetting" w:cs="Arabic Typesetting"/>
                <w:sz w:val="28"/>
                <w:szCs w:val="28"/>
              </w:rPr>
              <w:t>,</w:t>
            </w:r>
            <w:r>
              <w:rPr>
                <w:rFonts w:ascii="Arabic Typesetting" w:hAnsi="Arabic Typesetting" w:cs="Arabic Typesetting"/>
                <w:sz w:val="28"/>
                <w:szCs w:val="28"/>
              </w:rPr>
              <w:t>993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E3C88" w:rsidRPr="006E3C88" w:rsidRDefault="00D518C9" w:rsidP="006E3C88">
            <w:pPr>
              <w:jc w:val="center"/>
              <w:rPr>
                <w:rFonts w:ascii="Arabic Typesetting" w:hAnsi="Arabic Typesetting" w:cs="Arabic Typesetting"/>
                <w:sz w:val="28"/>
                <w:szCs w:val="28"/>
              </w:rPr>
            </w:pPr>
            <w:r>
              <w:rPr>
                <w:rFonts w:ascii="Arabic Typesetting" w:hAnsi="Arabic Typesetting" w:cs="Arabic Typesetting"/>
                <w:sz w:val="28"/>
                <w:szCs w:val="28"/>
              </w:rPr>
              <w:t>101%</w:t>
            </w:r>
          </w:p>
        </w:tc>
      </w:tr>
      <w:tr w:rsidR="006E3C88" w:rsidRPr="006E3C88" w:rsidTr="00332684">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6E3C88" w:rsidRPr="006E3C88" w:rsidRDefault="006E3C88" w:rsidP="006E3C88">
            <w:pPr>
              <w:bidi/>
              <w:rPr>
                <w:rFonts w:ascii="Arabic Typesetting" w:hAnsi="Arabic Typesetting" w:cs="Arabic Typesetting"/>
                <w:sz w:val="28"/>
                <w:szCs w:val="28"/>
              </w:rPr>
            </w:pPr>
            <w:r w:rsidRPr="006E3C88">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6E3C88" w:rsidRPr="006E3C88" w:rsidRDefault="00D518C9" w:rsidP="006E3C88">
            <w:pPr>
              <w:jc w:val="center"/>
              <w:rPr>
                <w:rFonts w:ascii="Arabic Typesetting" w:hAnsi="Arabic Typesetting" w:cs="Arabic Typesetting"/>
                <w:sz w:val="28"/>
                <w:szCs w:val="28"/>
              </w:rPr>
            </w:pPr>
            <w:r>
              <w:rPr>
                <w:rFonts w:ascii="Arabic Typesetting" w:hAnsi="Arabic Typesetting" w:cs="Arabic Typesetting"/>
                <w:sz w:val="28"/>
                <w:szCs w:val="28"/>
              </w:rPr>
              <w:t>954</w:t>
            </w:r>
          </w:p>
        </w:tc>
        <w:tc>
          <w:tcPr>
            <w:tcW w:w="970" w:type="pct"/>
            <w:tcBorders>
              <w:top w:val="nil"/>
              <w:left w:val="single" w:sz="4" w:space="0" w:color="auto"/>
              <w:bottom w:val="single" w:sz="4" w:space="0" w:color="auto"/>
              <w:right w:val="single" w:sz="4" w:space="0" w:color="auto"/>
            </w:tcBorders>
            <w:shd w:val="clear" w:color="auto" w:fill="auto"/>
            <w:vAlign w:val="center"/>
          </w:tcPr>
          <w:p w:rsidR="006E3C88" w:rsidRPr="006E3C88" w:rsidRDefault="00D518C9" w:rsidP="006E3C88">
            <w:pPr>
              <w:jc w:val="center"/>
              <w:rPr>
                <w:rFonts w:ascii="Arabic Typesetting" w:hAnsi="Arabic Typesetting" w:cs="Arabic Typesetting"/>
                <w:sz w:val="28"/>
                <w:szCs w:val="28"/>
              </w:rPr>
            </w:pPr>
            <w:r>
              <w:rPr>
                <w:rFonts w:ascii="Arabic Typesetting" w:hAnsi="Arabic Typesetting" w:cs="Arabic Typesetting"/>
                <w:sz w:val="28"/>
                <w:szCs w:val="28"/>
              </w:rPr>
              <w:t>890</w:t>
            </w:r>
          </w:p>
        </w:tc>
        <w:tc>
          <w:tcPr>
            <w:tcW w:w="970" w:type="pct"/>
            <w:tcBorders>
              <w:top w:val="nil"/>
              <w:left w:val="single" w:sz="4" w:space="0" w:color="auto"/>
              <w:bottom w:val="single" w:sz="4" w:space="0" w:color="auto"/>
              <w:right w:val="single" w:sz="4" w:space="0" w:color="auto"/>
            </w:tcBorders>
            <w:shd w:val="clear" w:color="auto" w:fill="auto"/>
            <w:vAlign w:val="center"/>
          </w:tcPr>
          <w:p w:rsidR="006E3C88" w:rsidRPr="006E3C88" w:rsidRDefault="00D518C9" w:rsidP="006E3C88">
            <w:pPr>
              <w:jc w:val="center"/>
              <w:rPr>
                <w:rFonts w:ascii="Arabic Typesetting" w:hAnsi="Arabic Typesetting" w:cs="Arabic Typesetting"/>
                <w:sz w:val="28"/>
                <w:szCs w:val="28"/>
              </w:rPr>
            </w:pPr>
            <w:r>
              <w:rPr>
                <w:rFonts w:ascii="Arabic Typesetting" w:hAnsi="Arabic Typesetting" w:cs="Arabic Typesetting"/>
                <w:sz w:val="28"/>
                <w:szCs w:val="28"/>
              </w:rPr>
              <w:t>867</w:t>
            </w:r>
          </w:p>
        </w:tc>
        <w:tc>
          <w:tcPr>
            <w:tcW w:w="970" w:type="pct"/>
            <w:tcBorders>
              <w:top w:val="nil"/>
              <w:left w:val="single" w:sz="4" w:space="0" w:color="auto"/>
              <w:bottom w:val="single" w:sz="4" w:space="0" w:color="auto"/>
              <w:right w:val="single" w:sz="4" w:space="0" w:color="auto"/>
            </w:tcBorders>
            <w:shd w:val="clear" w:color="auto" w:fill="auto"/>
            <w:vAlign w:val="center"/>
          </w:tcPr>
          <w:p w:rsidR="006E3C88" w:rsidRPr="006E3C88" w:rsidRDefault="00D518C9" w:rsidP="006E3C88">
            <w:pPr>
              <w:jc w:val="center"/>
              <w:rPr>
                <w:rFonts w:ascii="Arabic Typesetting" w:hAnsi="Arabic Typesetting" w:cs="Arabic Typesetting"/>
                <w:sz w:val="28"/>
                <w:szCs w:val="28"/>
              </w:rPr>
            </w:pPr>
            <w:r>
              <w:rPr>
                <w:rFonts w:ascii="Arabic Typesetting" w:hAnsi="Arabic Typesetting" w:cs="Arabic Typesetting"/>
                <w:sz w:val="28"/>
                <w:szCs w:val="28"/>
              </w:rPr>
              <w:t>97%</w:t>
            </w:r>
          </w:p>
        </w:tc>
      </w:tr>
      <w:tr w:rsidR="00D518C9" w:rsidRPr="006E3C88" w:rsidTr="00D518C9">
        <w:trPr>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D518C9" w:rsidRPr="006E3C88" w:rsidRDefault="00D518C9" w:rsidP="006E3C88">
            <w:pPr>
              <w:bidi/>
              <w:jc w:val="right"/>
              <w:rPr>
                <w:rFonts w:ascii="Arabic Typesetting" w:hAnsi="Arabic Typesetting" w:cs="Arabic Typesetting"/>
                <w:b/>
                <w:bCs/>
                <w:sz w:val="28"/>
                <w:szCs w:val="28"/>
              </w:rPr>
            </w:pPr>
            <w:r w:rsidRPr="006E3C88">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D518C9" w:rsidRPr="006E3C88" w:rsidRDefault="00D518C9" w:rsidP="00D518C9">
            <w:pPr>
              <w:jc w:val="center"/>
              <w:rPr>
                <w:rFonts w:ascii="Arabic Typesetting" w:hAnsi="Arabic Typesetting" w:cs="Arabic Typesetting"/>
                <w:b/>
                <w:bCs/>
                <w:sz w:val="28"/>
                <w:szCs w:val="28"/>
              </w:rPr>
            </w:pPr>
            <w:r w:rsidRPr="00D518C9">
              <w:rPr>
                <w:rFonts w:ascii="Arabic Typesetting" w:hAnsi="Arabic Typesetting" w:cs="Arabic Typesetting"/>
                <w:b/>
                <w:bCs/>
                <w:sz w:val="28"/>
                <w:szCs w:val="28"/>
              </w:rPr>
              <w:t>7</w:t>
            </w:r>
            <w:r w:rsidRPr="006E3C88">
              <w:rPr>
                <w:rFonts w:ascii="Arabic Typesetting" w:hAnsi="Arabic Typesetting" w:cs="Arabic Typesetting"/>
                <w:b/>
                <w:bCs/>
                <w:sz w:val="28"/>
                <w:szCs w:val="28"/>
              </w:rPr>
              <w:t>,</w:t>
            </w:r>
            <w:r w:rsidRPr="00D518C9">
              <w:rPr>
                <w:rFonts w:ascii="Arabic Typesetting" w:hAnsi="Arabic Typesetting" w:cs="Arabic Typesetting"/>
                <w:b/>
                <w:bCs/>
                <w:sz w:val="28"/>
                <w:szCs w:val="28"/>
              </w:rPr>
              <w:t>539</w:t>
            </w:r>
          </w:p>
        </w:tc>
        <w:tc>
          <w:tcPr>
            <w:tcW w:w="970" w:type="pct"/>
            <w:tcBorders>
              <w:top w:val="nil"/>
              <w:left w:val="single" w:sz="4" w:space="0" w:color="auto"/>
              <w:bottom w:val="single" w:sz="4" w:space="0" w:color="auto"/>
              <w:right w:val="single" w:sz="4" w:space="0" w:color="auto"/>
            </w:tcBorders>
            <w:shd w:val="clear" w:color="auto" w:fill="auto"/>
            <w:vAlign w:val="center"/>
          </w:tcPr>
          <w:p w:rsidR="00D518C9" w:rsidRPr="006E3C88" w:rsidRDefault="00D518C9" w:rsidP="00D518C9">
            <w:pPr>
              <w:jc w:val="center"/>
              <w:rPr>
                <w:rFonts w:ascii="Arabic Typesetting" w:hAnsi="Arabic Typesetting" w:cs="Arabic Typesetting"/>
                <w:b/>
                <w:bCs/>
                <w:sz w:val="28"/>
                <w:szCs w:val="28"/>
              </w:rPr>
            </w:pPr>
            <w:r w:rsidRPr="00D518C9">
              <w:rPr>
                <w:rFonts w:ascii="Arabic Typesetting" w:hAnsi="Arabic Typesetting" w:cs="Arabic Typesetting"/>
                <w:b/>
                <w:bCs/>
                <w:sz w:val="28"/>
                <w:szCs w:val="28"/>
              </w:rPr>
              <w:t>6</w:t>
            </w:r>
            <w:r w:rsidRPr="006E3C88">
              <w:rPr>
                <w:rFonts w:ascii="Arabic Typesetting" w:hAnsi="Arabic Typesetting" w:cs="Arabic Typesetting"/>
                <w:b/>
                <w:bCs/>
                <w:sz w:val="28"/>
                <w:szCs w:val="28"/>
              </w:rPr>
              <w:t>,</w:t>
            </w:r>
            <w:r w:rsidRPr="00D518C9">
              <w:rPr>
                <w:rFonts w:ascii="Arabic Typesetting" w:hAnsi="Arabic Typesetting" w:cs="Arabic Typesetting"/>
                <w:b/>
                <w:bCs/>
                <w:sz w:val="28"/>
                <w:szCs w:val="28"/>
              </w:rPr>
              <w:t>830</w:t>
            </w:r>
          </w:p>
        </w:tc>
        <w:tc>
          <w:tcPr>
            <w:tcW w:w="970" w:type="pct"/>
            <w:tcBorders>
              <w:top w:val="nil"/>
              <w:left w:val="single" w:sz="4" w:space="0" w:color="auto"/>
              <w:bottom w:val="single" w:sz="4" w:space="0" w:color="auto"/>
              <w:right w:val="single" w:sz="4" w:space="0" w:color="auto"/>
            </w:tcBorders>
            <w:shd w:val="clear" w:color="auto" w:fill="auto"/>
            <w:vAlign w:val="center"/>
          </w:tcPr>
          <w:p w:rsidR="00D518C9" w:rsidRPr="006E3C88" w:rsidRDefault="00D518C9" w:rsidP="00D518C9">
            <w:pPr>
              <w:jc w:val="center"/>
              <w:rPr>
                <w:rFonts w:ascii="Arabic Typesetting" w:hAnsi="Arabic Typesetting" w:cs="Arabic Typesetting"/>
                <w:b/>
                <w:bCs/>
                <w:sz w:val="28"/>
                <w:szCs w:val="28"/>
              </w:rPr>
            </w:pPr>
            <w:r w:rsidRPr="00D518C9">
              <w:rPr>
                <w:rFonts w:ascii="Arabic Typesetting" w:hAnsi="Arabic Typesetting" w:cs="Arabic Typesetting"/>
                <w:b/>
                <w:bCs/>
                <w:sz w:val="28"/>
                <w:szCs w:val="28"/>
              </w:rPr>
              <w:t>6</w:t>
            </w:r>
            <w:r w:rsidRPr="006E3C88">
              <w:rPr>
                <w:rFonts w:ascii="Arabic Typesetting" w:hAnsi="Arabic Typesetting" w:cs="Arabic Typesetting"/>
                <w:b/>
                <w:bCs/>
                <w:sz w:val="28"/>
                <w:szCs w:val="28"/>
              </w:rPr>
              <w:t>,</w:t>
            </w:r>
            <w:r w:rsidRPr="00D518C9">
              <w:rPr>
                <w:rFonts w:ascii="Arabic Typesetting" w:hAnsi="Arabic Typesetting" w:cs="Arabic Typesetting"/>
                <w:b/>
                <w:bCs/>
                <w:sz w:val="28"/>
                <w:szCs w:val="28"/>
              </w:rPr>
              <w:t>860</w:t>
            </w:r>
          </w:p>
        </w:tc>
        <w:tc>
          <w:tcPr>
            <w:tcW w:w="970" w:type="pct"/>
            <w:tcBorders>
              <w:top w:val="nil"/>
              <w:left w:val="single" w:sz="4" w:space="0" w:color="auto"/>
              <w:bottom w:val="single" w:sz="4" w:space="0" w:color="auto"/>
              <w:right w:val="single" w:sz="4" w:space="0" w:color="auto"/>
            </w:tcBorders>
            <w:shd w:val="clear" w:color="auto" w:fill="auto"/>
            <w:vAlign w:val="center"/>
          </w:tcPr>
          <w:p w:rsidR="00D518C9" w:rsidRPr="006E3C88" w:rsidRDefault="00D518C9" w:rsidP="006E3C88">
            <w:pPr>
              <w:jc w:val="center"/>
              <w:rPr>
                <w:rFonts w:ascii="Arabic Typesetting" w:hAnsi="Arabic Typesetting" w:cs="Arabic Typesetting"/>
                <w:b/>
                <w:bCs/>
                <w:sz w:val="28"/>
                <w:szCs w:val="28"/>
              </w:rPr>
            </w:pPr>
            <w:r w:rsidRPr="00D518C9">
              <w:rPr>
                <w:rFonts w:ascii="Arabic Typesetting" w:hAnsi="Arabic Typesetting" w:cs="Arabic Typesetting"/>
                <w:b/>
                <w:bCs/>
                <w:sz w:val="28"/>
                <w:szCs w:val="28"/>
              </w:rPr>
              <w:t>100%</w:t>
            </w:r>
          </w:p>
        </w:tc>
      </w:tr>
    </w:tbl>
    <w:p w:rsidR="006E3C88" w:rsidRPr="006E3C88" w:rsidRDefault="006E3C88" w:rsidP="006E3C88">
      <w:pPr>
        <w:keepNext/>
        <w:bidi/>
        <w:spacing w:before="240" w:after="120" w:line="340" w:lineRule="exact"/>
        <w:rPr>
          <w:rFonts w:ascii="Arabic Typesetting" w:hAnsi="Arabic Typesetting" w:cs="Arabic Typesetting"/>
          <w:sz w:val="34"/>
          <w:szCs w:val="34"/>
          <w:lang w:bidi="ar-EG"/>
        </w:rPr>
      </w:pPr>
      <w:r w:rsidRPr="006E3C88">
        <w:rPr>
          <w:rFonts w:ascii="Arabic Typesetting" w:hAnsi="Arabic Typesetting" w:cs="Arabic Typesetting" w:hint="cs"/>
          <w:sz w:val="34"/>
          <w:szCs w:val="34"/>
          <w:rtl/>
          <w:lang w:bidi="ar-EG"/>
        </w:rPr>
        <w:t>ألف</w:t>
      </w:r>
      <w:r w:rsidRPr="006E3C88">
        <w:rPr>
          <w:rFonts w:ascii="Arabic Typesetting" w:hAnsi="Arabic Typesetting" w:cs="Arabic Typesetting"/>
          <w:sz w:val="34"/>
          <w:szCs w:val="34"/>
          <w:lang w:bidi="ar-EG"/>
        </w:rPr>
        <w:t>.</w:t>
      </w:r>
      <w:r w:rsidRPr="006E3C88">
        <w:rPr>
          <w:rFonts w:ascii="Arabic Typesetting" w:hAnsi="Arabic Typesetting" w:cs="Arabic Typesetting" w:hint="cs"/>
          <w:sz w:val="34"/>
          <w:szCs w:val="34"/>
          <w:rtl/>
          <w:lang w:bidi="ar-EG"/>
        </w:rPr>
        <w:tab/>
      </w:r>
      <w:r w:rsidRPr="006E3C88">
        <w:rPr>
          <w:rFonts w:ascii="Arabic Typesetting" w:hAnsi="Arabic Typesetting" w:cs="Arabic Typesetting" w:hint="cs"/>
          <w:sz w:val="34"/>
          <w:szCs w:val="34"/>
          <w:u w:val="single"/>
          <w:rtl/>
          <w:lang w:bidi="ar-EG"/>
        </w:rPr>
        <w:t>الميزانية النهائية بعد التحويلات 2014/15</w:t>
      </w:r>
    </w:p>
    <w:p w:rsidR="006E3C88" w:rsidRDefault="0074637C" w:rsidP="009A3712">
      <w:pPr>
        <w:numPr>
          <w:ilvl w:val="0"/>
          <w:numId w:val="41"/>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 xml:space="preserve">يعزى أساساً الانخفاض الإجمالي في </w:t>
      </w:r>
      <w:r w:rsidRPr="006E3C88">
        <w:rPr>
          <w:rFonts w:ascii="Arabic Typesetting" w:hAnsi="Arabic Typesetting" w:cs="Arabic Typesetting" w:hint="cs"/>
          <w:sz w:val="34"/>
          <w:szCs w:val="34"/>
          <w:rtl/>
        </w:rPr>
        <w:t>الميزانية النهائية بعد التحويلات 2014/15</w:t>
      </w:r>
      <w:r>
        <w:rPr>
          <w:rFonts w:ascii="Arabic Typesetting" w:hAnsi="Arabic Typesetting" w:cs="Arabic Typesetting" w:hint="cs"/>
          <w:sz w:val="34"/>
          <w:szCs w:val="34"/>
          <w:rtl/>
        </w:rPr>
        <w:t xml:space="preserve"> (موارد الموظفين) إلى النتيجة الصافية لتثبيت الوظائف المستمرة، وإعادة توزيع وظائف لدعم أنشطة المنظمة فيما يخص مكتب الويبو في الصين (البرنامج 20) و</w:t>
      </w:r>
      <w:r w:rsidRPr="0074637C">
        <w:rPr>
          <w:rFonts w:ascii="Arabic Typesetting" w:hAnsi="Arabic Typesetting" w:cs="Arabic Typesetting"/>
          <w:sz w:val="34"/>
          <w:szCs w:val="34"/>
          <w:rtl/>
        </w:rPr>
        <w:t>الشركات</w:t>
      </w:r>
      <w:r>
        <w:rPr>
          <w:rFonts w:ascii="Arabic Typesetting" w:hAnsi="Arabic Typesetting" w:cs="Arabic Typesetting" w:hint="cs"/>
          <w:sz w:val="34"/>
          <w:szCs w:val="34"/>
          <w:rtl/>
        </w:rPr>
        <w:t> </w:t>
      </w:r>
      <w:r w:rsidRPr="0074637C">
        <w:rPr>
          <w:rFonts w:ascii="Arabic Typesetting" w:hAnsi="Arabic Typesetting" w:cs="Arabic Typesetting"/>
          <w:sz w:val="34"/>
          <w:szCs w:val="34"/>
          <w:rtl/>
        </w:rPr>
        <w:t>الصغيرة والمتوسطة ودعم المقاول</w:t>
      </w:r>
      <w:r>
        <w:rPr>
          <w:rFonts w:ascii="Arabic Typesetting" w:hAnsi="Arabic Typesetting" w:cs="Arabic Typesetting" w:hint="cs"/>
          <w:sz w:val="34"/>
          <w:szCs w:val="34"/>
          <w:rtl/>
        </w:rPr>
        <w:t>ة</w:t>
      </w:r>
      <w:r w:rsidRPr="0074637C">
        <w:rPr>
          <w:rFonts w:ascii="Arabic Typesetting" w:hAnsi="Arabic Typesetting" w:cs="Arabic Typesetting" w:hint="cs"/>
          <w:sz w:val="34"/>
          <w:szCs w:val="34"/>
          <w:rtl/>
        </w:rPr>
        <w:t xml:space="preserve"> </w:t>
      </w:r>
      <w:r>
        <w:rPr>
          <w:rFonts w:ascii="Arabic Typesetting" w:hAnsi="Arabic Typesetting" w:cs="Arabic Typesetting" w:hint="cs"/>
          <w:sz w:val="34"/>
          <w:szCs w:val="34"/>
          <w:rtl/>
        </w:rPr>
        <w:t>(البرنامج 30).</w:t>
      </w:r>
    </w:p>
    <w:p w:rsidR="0074637C" w:rsidRPr="006E3C88" w:rsidRDefault="0074637C" w:rsidP="009A3712">
      <w:pPr>
        <w:numPr>
          <w:ilvl w:val="0"/>
          <w:numId w:val="41"/>
        </w:numPr>
        <w:bidi/>
        <w:spacing w:after="120" w:line="340" w:lineRule="exact"/>
        <w:ind w:left="0" w:firstLine="0"/>
        <w:rPr>
          <w:rFonts w:ascii="Arabic Typesetting" w:hAnsi="Arabic Typesetting" w:cs="Arabic Typesetting"/>
          <w:sz w:val="34"/>
          <w:szCs w:val="34"/>
        </w:rPr>
      </w:pPr>
      <w:r>
        <w:rPr>
          <w:rFonts w:ascii="Arabic Typesetting" w:hAnsi="Arabic Typesetting" w:cs="Arabic Typesetting" w:hint="cs"/>
          <w:sz w:val="34"/>
          <w:szCs w:val="34"/>
          <w:rtl/>
        </w:rPr>
        <w:t xml:space="preserve">ويعزى أساساً الانخفاض في بند خلاف موارد الموظفين إلى نقل موارد إلى البرنامج 13 (قواعد البيانات العالمية) لتزويد ركن البراءات بإمكانية البحث عن التركيبات الكيميائية وإلى البرنامج 12 (التصنيفات والمعايير) لتغطية تكاليف تطوير برمجية إعادة </w:t>
      </w:r>
      <w:r w:rsidR="00A25479">
        <w:rPr>
          <w:rFonts w:ascii="Arabic Typesetting" w:hAnsi="Arabic Typesetting" w:cs="Arabic Typesetting" w:hint="cs"/>
          <w:sz w:val="34"/>
          <w:szCs w:val="34"/>
          <w:rtl/>
        </w:rPr>
        <w:t>ال</w:t>
      </w:r>
      <w:r>
        <w:rPr>
          <w:rFonts w:ascii="Arabic Typesetting" w:hAnsi="Arabic Typesetting" w:cs="Arabic Typesetting" w:hint="cs"/>
          <w:sz w:val="34"/>
          <w:szCs w:val="34"/>
          <w:rtl/>
        </w:rPr>
        <w:t xml:space="preserve">تصنيف </w:t>
      </w:r>
      <w:r w:rsidR="00A25479">
        <w:rPr>
          <w:rFonts w:ascii="Arabic Typesetting" w:hAnsi="Arabic Typesetting" w:cs="Arabic Typesetting" w:hint="cs"/>
          <w:sz w:val="34"/>
          <w:szCs w:val="34"/>
          <w:rtl/>
        </w:rPr>
        <w:t>الخاصة ب</w:t>
      </w:r>
      <w:r>
        <w:rPr>
          <w:rFonts w:ascii="Arabic Typesetting" w:hAnsi="Arabic Typesetting" w:cs="Arabic Typesetting" w:hint="cs"/>
          <w:sz w:val="34"/>
          <w:szCs w:val="34"/>
          <w:rtl/>
        </w:rPr>
        <w:t>تصنيف البراءات الدولي واستضافته التي تجاوزت التكاليف المتوقعة.</w:t>
      </w:r>
    </w:p>
    <w:p w:rsidR="006E3C88" w:rsidRPr="006E3C88" w:rsidRDefault="006E3C88" w:rsidP="006E3C88">
      <w:pPr>
        <w:keepNext/>
        <w:bidi/>
        <w:spacing w:after="120" w:line="340" w:lineRule="exact"/>
        <w:rPr>
          <w:rFonts w:ascii="Arabic Typesetting" w:hAnsi="Arabic Typesetting" w:cs="Arabic Typesetting"/>
          <w:sz w:val="34"/>
          <w:szCs w:val="34"/>
          <w:rtl/>
          <w:lang w:bidi="ar-EG"/>
        </w:rPr>
      </w:pPr>
      <w:r w:rsidRPr="006E3C88">
        <w:rPr>
          <w:rFonts w:ascii="Arabic Typesetting" w:hAnsi="Arabic Typesetting" w:cs="Arabic Typesetting" w:hint="cs"/>
          <w:sz w:val="34"/>
          <w:szCs w:val="34"/>
          <w:rtl/>
          <w:lang w:bidi="ar-EG"/>
        </w:rPr>
        <w:t>باء</w:t>
      </w:r>
      <w:r w:rsidRPr="006E3C88">
        <w:rPr>
          <w:rFonts w:ascii="Arabic Typesetting" w:hAnsi="Arabic Typesetting" w:cs="Arabic Typesetting"/>
          <w:sz w:val="34"/>
          <w:szCs w:val="34"/>
          <w:lang w:bidi="ar-EG"/>
        </w:rPr>
        <w:t>.</w:t>
      </w:r>
      <w:r w:rsidRPr="006E3C88">
        <w:rPr>
          <w:rFonts w:ascii="Arabic Typesetting" w:hAnsi="Arabic Typesetting" w:cs="Arabic Typesetting" w:hint="cs"/>
          <w:sz w:val="34"/>
          <w:szCs w:val="34"/>
          <w:rtl/>
          <w:lang w:bidi="ar-EG"/>
        </w:rPr>
        <w:tab/>
      </w:r>
      <w:r w:rsidRPr="006E3C88">
        <w:rPr>
          <w:rFonts w:ascii="Arabic Typesetting" w:hAnsi="Arabic Typesetting" w:cs="Arabic Typesetting" w:hint="cs"/>
          <w:sz w:val="34"/>
          <w:szCs w:val="34"/>
          <w:u w:val="single"/>
          <w:rtl/>
          <w:lang w:bidi="ar-EG"/>
        </w:rPr>
        <w:t>استخدام ميزانية 2014/15</w:t>
      </w:r>
    </w:p>
    <w:p w:rsidR="00086C3F" w:rsidRPr="0074637C" w:rsidRDefault="0074637C" w:rsidP="009A3712">
      <w:pPr>
        <w:numPr>
          <w:ilvl w:val="0"/>
          <w:numId w:val="41"/>
        </w:numPr>
        <w:bidi/>
        <w:spacing w:before="120" w:after="120" w:line="340" w:lineRule="exact"/>
        <w:ind w:left="0" w:firstLine="0"/>
        <w:rPr>
          <w:rFonts w:ascii="Arabic Typesetting" w:hAnsi="Arabic Typesetting" w:cs="Arabic Typesetting"/>
          <w:sz w:val="36"/>
          <w:szCs w:val="36"/>
          <w:rtl/>
          <w:lang w:val="fr-FR"/>
        </w:rPr>
      </w:pPr>
      <w:r w:rsidRPr="0074637C">
        <w:rPr>
          <w:rFonts w:ascii="Arabic Typesetting" w:hAnsi="Arabic Typesetting" w:cs="Arabic Typesetting" w:hint="cs"/>
          <w:sz w:val="34"/>
          <w:szCs w:val="34"/>
          <w:rtl/>
          <w:lang w:val="fr-CH"/>
        </w:rPr>
        <w:t xml:space="preserve">لم يتجاوز </w:t>
      </w:r>
      <w:r w:rsidR="009B25F8">
        <w:rPr>
          <w:rFonts w:ascii="Arabic Typesetting" w:hAnsi="Arabic Typesetting" w:cs="Arabic Typesetting" w:hint="cs"/>
          <w:sz w:val="34"/>
          <w:szCs w:val="34"/>
          <w:rtl/>
          <w:lang w:val="fr-CH"/>
        </w:rPr>
        <w:t>استخدام</w:t>
      </w:r>
      <w:r w:rsidR="009B25F8" w:rsidRPr="0074637C">
        <w:rPr>
          <w:rFonts w:ascii="Arabic Typesetting" w:hAnsi="Arabic Typesetting" w:cs="Arabic Typesetting" w:hint="cs"/>
          <w:sz w:val="34"/>
          <w:szCs w:val="34"/>
          <w:rtl/>
          <w:lang w:val="fr-CH"/>
        </w:rPr>
        <w:t xml:space="preserve"> </w:t>
      </w:r>
      <w:r w:rsidRPr="0074637C">
        <w:rPr>
          <w:rFonts w:ascii="Arabic Typesetting" w:hAnsi="Arabic Typesetting" w:cs="Arabic Typesetting" w:hint="cs"/>
          <w:sz w:val="34"/>
          <w:szCs w:val="34"/>
          <w:rtl/>
          <w:lang w:val="fr-CH"/>
        </w:rPr>
        <w:t>الميزانية النسبة المتوقعة للثنائية.</w:t>
      </w:r>
    </w:p>
    <w:p w:rsidR="00B31868" w:rsidRPr="00385CA0" w:rsidRDefault="00B31868" w:rsidP="00FE0236">
      <w:pPr>
        <w:pStyle w:val="Heading3AR"/>
        <w:spacing w:after="120"/>
        <w:rPr>
          <w:rtl/>
        </w:rPr>
      </w:pPr>
      <w:bookmarkStart w:id="87" w:name="_Toc393817941"/>
      <w:bookmarkStart w:id="88" w:name="_Toc450635417"/>
      <w:bookmarkStart w:id="89" w:name="_Toc455393386"/>
      <w:r w:rsidRPr="00385CA0">
        <w:rPr>
          <w:rtl/>
        </w:rPr>
        <w:lastRenderedPageBreak/>
        <w:t>البرنامج</w:t>
      </w:r>
      <w:r w:rsidRPr="00385CA0">
        <w:t xml:space="preserve"> </w:t>
      </w:r>
      <w:r w:rsidRPr="00385CA0">
        <w:rPr>
          <w:rtl/>
        </w:rPr>
        <w:t>15:</w:t>
      </w:r>
      <w:r w:rsidRPr="00385CA0">
        <w:rPr>
          <w:rtl/>
        </w:rPr>
        <w:tab/>
        <w:t>حلول لأعمال مكاتب الملكية الفكرية</w:t>
      </w:r>
      <w:bookmarkEnd w:id="87"/>
      <w:bookmarkEnd w:id="88"/>
      <w:bookmarkEnd w:id="89"/>
    </w:p>
    <w:p w:rsidR="00B31868" w:rsidRPr="009A48D1" w:rsidRDefault="00B31868" w:rsidP="00FE0236">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b/>
          <w:bCs/>
          <w:sz w:val="36"/>
          <w:szCs w:val="36"/>
          <w:lang w:val="fr-CH"/>
        </w:rPr>
        <w:tab/>
      </w:r>
      <w:r w:rsidRPr="009A48D1">
        <w:rPr>
          <w:rFonts w:ascii="Arabic Typesetting" w:hAnsi="Arabic Typesetting" w:cs="Arabic Typesetting"/>
          <w:b/>
          <w:bCs/>
          <w:sz w:val="36"/>
          <w:szCs w:val="36"/>
          <w:rtl/>
          <w:lang w:val="fr-CH"/>
        </w:rPr>
        <w:t xml:space="preserve">السيد </w:t>
      </w:r>
      <w:proofErr w:type="spellStart"/>
      <w:r w:rsidRPr="009A48D1">
        <w:rPr>
          <w:rFonts w:ascii="Arabic Typesetting" w:hAnsi="Arabic Typesetting" w:cs="Arabic Typesetting"/>
          <w:b/>
          <w:bCs/>
          <w:sz w:val="36"/>
          <w:szCs w:val="36"/>
          <w:rtl/>
          <w:lang w:val="fr-CH"/>
        </w:rPr>
        <w:t>يوشيوكي</w:t>
      </w:r>
      <w:proofErr w:type="spellEnd"/>
      <w:r w:rsidRPr="009A48D1">
        <w:rPr>
          <w:rFonts w:ascii="Arabic Typesetting" w:hAnsi="Arabic Typesetting" w:cs="Arabic Typesetting"/>
          <w:b/>
          <w:bCs/>
          <w:sz w:val="36"/>
          <w:szCs w:val="36"/>
          <w:rtl/>
          <w:lang w:val="fr-CH"/>
        </w:rPr>
        <w:t xml:space="preserve"> </w:t>
      </w:r>
      <w:proofErr w:type="spellStart"/>
      <w:r w:rsidRPr="009A48D1">
        <w:rPr>
          <w:rFonts w:ascii="Arabic Typesetting" w:hAnsi="Arabic Typesetting" w:cs="Arabic Typesetting"/>
          <w:b/>
          <w:bCs/>
          <w:sz w:val="36"/>
          <w:szCs w:val="36"/>
          <w:rtl/>
          <w:lang w:val="fr-CH"/>
        </w:rPr>
        <w:t>تاكاغي</w:t>
      </w:r>
      <w:proofErr w:type="spellEnd"/>
    </w:p>
    <w:p w:rsidR="00B31868" w:rsidRPr="00086C3F" w:rsidRDefault="00306746" w:rsidP="00FE0236">
      <w:pPr>
        <w:keepNext/>
        <w:bidi/>
        <w:spacing w:before="120" w:after="240" w:line="340" w:lineRule="exact"/>
        <w:rPr>
          <w:rFonts w:ascii="Arabic Typesetting" w:hAnsi="Arabic Typesetting" w:cs="Arabic Typesetting"/>
          <w:sz w:val="36"/>
          <w:szCs w:val="36"/>
          <w:rtl/>
          <w:lang w:val="fr-CH"/>
        </w:rPr>
      </w:pPr>
      <w:r w:rsidRPr="00086C3F">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B31868" w:rsidRDefault="00306746" w:rsidP="009A3712">
      <w:pPr>
        <w:numPr>
          <w:ilvl w:val="0"/>
          <w:numId w:val="11"/>
        </w:numPr>
        <w:bidi/>
        <w:spacing w:after="120" w:line="340" w:lineRule="exact"/>
        <w:ind w:left="0" w:firstLine="0"/>
        <w:rPr>
          <w:rFonts w:ascii="Arabic Typesetting" w:hAnsi="Arabic Typesetting" w:cs="Arabic Typesetting"/>
          <w:sz w:val="34"/>
          <w:szCs w:val="34"/>
          <w:lang w:val="fr-FR" w:bidi="ar-TN"/>
        </w:rPr>
      </w:pPr>
      <w:r>
        <w:rPr>
          <w:rFonts w:ascii="Arabic Typesetting" w:hAnsi="Arabic Typesetting" w:cs="Arabic Typesetting" w:hint="cs"/>
          <w:sz w:val="34"/>
          <w:szCs w:val="34"/>
          <w:rtl/>
          <w:lang w:val="fr-FR"/>
        </w:rPr>
        <w:t xml:space="preserve">شهدت الثنائية </w:t>
      </w:r>
      <w:r w:rsidR="00507DE2">
        <w:rPr>
          <w:rFonts w:ascii="Arabic Typesetting" w:hAnsi="Arabic Typesetting" w:cs="Arabic Typesetting" w:hint="cs"/>
          <w:sz w:val="34"/>
          <w:szCs w:val="34"/>
          <w:rtl/>
          <w:lang w:val="fr-FR"/>
        </w:rPr>
        <w:t>2014/15</w:t>
      </w:r>
      <w:r w:rsidR="00B31868" w:rsidRPr="00B31868">
        <w:rPr>
          <w:rFonts w:ascii="Arabic Typesetting" w:hAnsi="Arabic Typesetting" w:cs="Arabic Typesetting" w:hint="cs"/>
          <w:sz w:val="34"/>
          <w:szCs w:val="34"/>
          <w:rtl/>
          <w:lang w:val="fr-FR"/>
        </w:rPr>
        <w:t xml:space="preserve"> </w:t>
      </w:r>
      <w:r>
        <w:rPr>
          <w:rFonts w:ascii="Arabic Typesetting" w:hAnsi="Arabic Typesetting" w:cs="Arabic Typesetting" w:hint="cs"/>
          <w:sz w:val="34"/>
          <w:szCs w:val="34"/>
          <w:rtl/>
          <w:lang w:val="fr-FR"/>
        </w:rPr>
        <w:t>زيادة في</w:t>
      </w:r>
      <w:r w:rsidRPr="00B31868">
        <w:rPr>
          <w:rFonts w:ascii="Arabic Typesetting" w:hAnsi="Arabic Typesetting" w:cs="Arabic Typesetting" w:hint="cs"/>
          <w:sz w:val="34"/>
          <w:szCs w:val="34"/>
          <w:rtl/>
          <w:lang w:val="fr-FR"/>
        </w:rPr>
        <w:t xml:space="preserve"> </w:t>
      </w:r>
      <w:r w:rsidR="00B31868" w:rsidRPr="00B31868">
        <w:rPr>
          <w:rFonts w:ascii="Arabic Typesetting" w:hAnsi="Arabic Typesetting" w:cs="Arabic Typesetting" w:hint="cs"/>
          <w:sz w:val="34"/>
          <w:szCs w:val="34"/>
          <w:rtl/>
          <w:lang w:val="fr-FR"/>
        </w:rPr>
        <w:t>الطلب على المساعدة التقنية من مكاتب الملكية الفكرية من حيث عدد المكاتب التي تطلب المساعدة ونطاق المساعدة المطلوبة على حد سواء، وخاصة فيما يتعلق بإدارة الوثائق إلكترونيا والإيداع على الإنترنت والنشر على الإنترنت.</w:t>
      </w:r>
    </w:p>
    <w:p w:rsidR="00B31868" w:rsidRPr="00B31868" w:rsidRDefault="00B31868" w:rsidP="009A3712">
      <w:pPr>
        <w:numPr>
          <w:ilvl w:val="0"/>
          <w:numId w:val="11"/>
        </w:numPr>
        <w:bidi/>
        <w:spacing w:after="120" w:line="340" w:lineRule="exact"/>
        <w:ind w:left="0" w:firstLine="0"/>
        <w:rPr>
          <w:rFonts w:ascii="Arabic Typesetting" w:hAnsi="Arabic Typesetting" w:cs="Arabic Typesetting"/>
          <w:sz w:val="34"/>
          <w:szCs w:val="34"/>
          <w:lang w:val="fr-FR"/>
        </w:rPr>
      </w:pPr>
      <w:r w:rsidRPr="00B31868">
        <w:rPr>
          <w:rFonts w:ascii="Arabic Typesetting" w:hAnsi="Arabic Typesetting" w:cs="Arabic Typesetting" w:hint="cs"/>
          <w:sz w:val="34"/>
          <w:szCs w:val="34"/>
          <w:rtl/>
          <w:lang w:val="fr-FR"/>
        </w:rPr>
        <w:t>واستجابة لهذ</w:t>
      </w:r>
      <w:r w:rsidR="00306746">
        <w:rPr>
          <w:rFonts w:ascii="Arabic Typesetting" w:hAnsi="Arabic Typesetting" w:cs="Arabic Typesetting" w:hint="cs"/>
          <w:sz w:val="34"/>
          <w:szCs w:val="34"/>
          <w:rtl/>
          <w:lang w:val="fr-FR"/>
        </w:rPr>
        <w:t>ه الزيادة،</w:t>
      </w:r>
      <w:r w:rsidRPr="00B31868">
        <w:rPr>
          <w:rFonts w:ascii="Arabic Typesetting" w:hAnsi="Arabic Typesetting" w:cs="Arabic Typesetting" w:hint="cs"/>
          <w:sz w:val="34"/>
          <w:szCs w:val="34"/>
          <w:rtl/>
          <w:lang w:val="fr-FR"/>
        </w:rPr>
        <w:t xml:space="preserve"> استمر المكتب الدولي في تطوير المنتجات لدعم </w:t>
      </w:r>
      <w:r w:rsidRPr="00B31868">
        <w:rPr>
          <w:rFonts w:ascii="Arabic Typesetting" w:hAnsi="Arabic Typesetting" w:cs="Arabic Typesetting"/>
          <w:sz w:val="34"/>
          <w:szCs w:val="34"/>
          <w:rtl/>
          <w:lang w:val="fr-FR"/>
        </w:rPr>
        <w:t>إجراءات العمل</w:t>
      </w:r>
      <w:r w:rsidRPr="00B31868">
        <w:rPr>
          <w:rFonts w:ascii="Arabic Typesetting" w:hAnsi="Arabic Typesetting" w:cs="Arabic Typesetting" w:hint="cs"/>
          <w:sz w:val="34"/>
          <w:szCs w:val="34"/>
          <w:rtl/>
          <w:lang w:val="fr-FR"/>
        </w:rPr>
        <w:t xml:space="preserve"> لدى مكاتب الملكية الفكرية، ولا</w:t>
      </w:r>
      <w:r w:rsidR="00306746">
        <w:rPr>
          <w:rFonts w:ascii="Arabic Typesetting" w:hAnsi="Arabic Typesetting" w:cs="Arabic Typesetting" w:hint="eastAsia"/>
          <w:sz w:val="34"/>
          <w:szCs w:val="34"/>
          <w:rtl/>
          <w:lang w:val="fr-FR"/>
        </w:rPr>
        <w:t> </w:t>
      </w:r>
      <w:r w:rsidRPr="00B31868">
        <w:rPr>
          <w:rFonts w:ascii="Arabic Typesetting" w:hAnsi="Arabic Typesetting" w:cs="Arabic Typesetting" w:hint="cs"/>
          <w:sz w:val="34"/>
          <w:szCs w:val="34"/>
          <w:rtl/>
          <w:lang w:val="fr-FR"/>
        </w:rPr>
        <w:t xml:space="preserve">سيما </w:t>
      </w:r>
      <w:r w:rsidRPr="00B31868">
        <w:rPr>
          <w:rFonts w:ascii="Arabic Typesetting" w:hAnsi="Arabic Typesetting" w:cs="Arabic Typesetting"/>
          <w:sz w:val="34"/>
          <w:szCs w:val="34"/>
          <w:rtl/>
          <w:lang w:val="fr-FR"/>
        </w:rPr>
        <w:t>نظام إدارة الملكية الصناعية</w:t>
      </w:r>
      <w:r w:rsidR="00306746">
        <w:rPr>
          <w:rFonts w:ascii="Arabic Typesetting" w:hAnsi="Arabic Typesetting" w:cs="Arabic Typesetting" w:hint="cs"/>
          <w:sz w:val="34"/>
          <w:szCs w:val="34"/>
          <w:rtl/>
          <w:lang w:val="fr-FR"/>
        </w:rPr>
        <w:t xml:space="preserve"> والوحدات الداعمة</w:t>
      </w:r>
      <w:r w:rsidRPr="00B31868">
        <w:rPr>
          <w:rFonts w:ascii="Arabic Typesetting" w:hAnsi="Arabic Typesetting" w:cs="Arabic Typesetting" w:hint="cs"/>
          <w:sz w:val="34"/>
          <w:szCs w:val="34"/>
          <w:rtl/>
          <w:lang w:val="fr-FR"/>
        </w:rPr>
        <w:t xml:space="preserve">. وتشمل السمات الرئيسية </w:t>
      </w:r>
      <w:r w:rsidR="00306746">
        <w:rPr>
          <w:rFonts w:ascii="Arabic Typesetting" w:hAnsi="Arabic Typesetting" w:cs="Arabic Typesetting" w:hint="cs"/>
          <w:sz w:val="34"/>
          <w:szCs w:val="34"/>
          <w:rtl/>
          <w:lang w:val="fr-FR"/>
        </w:rPr>
        <w:t>المطبقة خلال الثنائية</w:t>
      </w:r>
      <w:r w:rsidRPr="00B31868">
        <w:rPr>
          <w:rFonts w:ascii="Arabic Typesetting" w:hAnsi="Arabic Typesetting" w:cs="Arabic Typesetting" w:hint="cs"/>
          <w:sz w:val="34"/>
          <w:szCs w:val="34"/>
          <w:rtl/>
          <w:lang w:val="fr-FR"/>
        </w:rPr>
        <w:t xml:space="preserve"> تحسين دعم إدارة الوثائق إلكترونيا ودعم الإجراءات بلغتين وخاصة في المكاتب التي تعمل باللغة العربية.</w:t>
      </w:r>
    </w:p>
    <w:p w:rsidR="00B31868" w:rsidRPr="00B31868" w:rsidRDefault="00306746" w:rsidP="009A3712">
      <w:pPr>
        <w:numPr>
          <w:ilvl w:val="0"/>
          <w:numId w:val="11"/>
        </w:numPr>
        <w:bidi/>
        <w:spacing w:after="120" w:line="340" w:lineRule="exact"/>
        <w:ind w:left="0" w:firstLine="0"/>
        <w:rPr>
          <w:rFonts w:ascii="Arabic Typesetting" w:hAnsi="Arabic Typesetting" w:cs="Arabic Typesetting"/>
          <w:sz w:val="34"/>
          <w:szCs w:val="34"/>
          <w:lang w:val="fr-FR"/>
        </w:rPr>
      </w:pPr>
      <w:r w:rsidRPr="00B31868">
        <w:rPr>
          <w:rFonts w:ascii="Arabic Typesetting" w:hAnsi="Arabic Typesetting" w:cs="Arabic Typesetting" w:hint="cs"/>
          <w:sz w:val="34"/>
          <w:szCs w:val="34"/>
          <w:rtl/>
          <w:lang w:val="fr-FR"/>
        </w:rPr>
        <w:t>و</w:t>
      </w:r>
      <w:r>
        <w:rPr>
          <w:rFonts w:ascii="Arabic Typesetting" w:hAnsi="Arabic Typesetting" w:cs="Arabic Typesetting" w:hint="cs"/>
          <w:sz w:val="34"/>
          <w:szCs w:val="34"/>
          <w:rtl/>
          <w:lang w:val="fr-FR"/>
        </w:rPr>
        <w:t>استُحدث</w:t>
      </w:r>
      <w:r w:rsidRPr="00B31868">
        <w:rPr>
          <w:rFonts w:ascii="Arabic Typesetting" w:hAnsi="Arabic Typesetting" w:cs="Arabic Typesetting" w:hint="cs"/>
          <w:sz w:val="34"/>
          <w:szCs w:val="34"/>
          <w:rtl/>
          <w:lang w:val="fr-FR"/>
        </w:rPr>
        <w:t xml:space="preserve"> </w:t>
      </w:r>
      <w:r w:rsidR="00B31868" w:rsidRPr="00B31868">
        <w:rPr>
          <w:rFonts w:ascii="Arabic Typesetting" w:hAnsi="Arabic Typesetting" w:cs="Arabic Typesetting" w:hint="cs"/>
          <w:sz w:val="34"/>
          <w:szCs w:val="34"/>
          <w:rtl/>
          <w:lang w:val="fr-FR"/>
        </w:rPr>
        <w:t xml:space="preserve">نموذجان جديدان </w:t>
      </w:r>
      <w:r>
        <w:rPr>
          <w:rFonts w:ascii="Arabic Typesetting" w:hAnsi="Arabic Typesetting" w:cs="Arabic Typesetting" w:hint="cs"/>
          <w:sz w:val="34"/>
          <w:szCs w:val="34"/>
          <w:rtl/>
          <w:lang w:val="fr-FR"/>
        </w:rPr>
        <w:t>خضع</w:t>
      </w:r>
      <w:r w:rsidR="008518E8">
        <w:rPr>
          <w:rFonts w:ascii="Arabic Typesetting" w:hAnsi="Arabic Typesetting" w:cs="Arabic Typesetting" w:hint="cs"/>
          <w:sz w:val="34"/>
          <w:szCs w:val="34"/>
          <w:rtl/>
          <w:lang w:val="fr-FR"/>
        </w:rPr>
        <w:t>ا</w:t>
      </w:r>
      <w:r>
        <w:rPr>
          <w:rFonts w:ascii="Arabic Typesetting" w:hAnsi="Arabic Typesetting" w:cs="Arabic Typesetting" w:hint="cs"/>
          <w:sz w:val="34"/>
          <w:szCs w:val="34"/>
          <w:rtl/>
          <w:lang w:val="fr-FR"/>
        </w:rPr>
        <w:t xml:space="preserve"> للتجربة</w:t>
      </w:r>
      <w:r w:rsidR="00B31868" w:rsidRPr="00B31868">
        <w:rPr>
          <w:rFonts w:ascii="Arabic Typesetting" w:hAnsi="Arabic Typesetting" w:cs="Arabic Typesetting" w:hint="cs"/>
          <w:sz w:val="34"/>
          <w:szCs w:val="34"/>
          <w:rtl/>
          <w:lang w:val="fr-FR"/>
        </w:rPr>
        <w:t xml:space="preserve"> في عدة من مكاتب الملكية الفكرية وهما:</w:t>
      </w:r>
    </w:p>
    <w:p w:rsidR="00B31868" w:rsidRPr="00B31868" w:rsidRDefault="00B31868" w:rsidP="009A3712">
      <w:pPr>
        <w:numPr>
          <w:ilvl w:val="0"/>
          <w:numId w:val="17"/>
        </w:numPr>
        <w:bidi/>
        <w:spacing w:after="120" w:line="340" w:lineRule="exact"/>
        <w:ind w:left="1134" w:hanging="567"/>
        <w:rPr>
          <w:rFonts w:ascii="Arabic Typesetting" w:hAnsi="Arabic Typesetting" w:cs="Arabic Typesetting"/>
          <w:sz w:val="34"/>
          <w:szCs w:val="34"/>
          <w:lang w:val="fr-FR" w:bidi="ar-EG"/>
        </w:rPr>
      </w:pPr>
      <w:r w:rsidRPr="00B31868">
        <w:rPr>
          <w:rFonts w:ascii="Arabic Typesetting" w:hAnsi="Arabic Typesetting" w:cs="Arabic Typesetting" w:hint="cs"/>
          <w:sz w:val="34"/>
          <w:szCs w:val="34"/>
          <w:rtl/>
          <w:lang w:val="fr-FR" w:bidi="ar-EG"/>
        </w:rPr>
        <w:t xml:space="preserve">نظام </w:t>
      </w:r>
      <w:r w:rsidRPr="00B31868">
        <w:rPr>
          <w:rFonts w:ascii="Arabic Typesetting" w:hAnsi="Arabic Typesetting" w:cs="Arabic Typesetting"/>
          <w:sz w:val="34"/>
          <w:szCs w:val="34"/>
          <w:lang w:bidi="ar-EG"/>
        </w:rPr>
        <w:t>WIPO Publish</w:t>
      </w:r>
      <w:r w:rsidRPr="00B31868">
        <w:rPr>
          <w:rFonts w:ascii="Arabic Typesetting" w:hAnsi="Arabic Typesetting" w:cs="Arabic Typesetting" w:hint="cs"/>
          <w:sz w:val="34"/>
          <w:szCs w:val="34"/>
          <w:rtl/>
        </w:rPr>
        <w:t xml:space="preserve"> الذي صمم لتلبية احتياجات المكاتب من حيث نشر البيانات المتعلقة بالملكية الفكرية والوثائق والوضع القانوني ومعلومات الملفات على الإنترنت، وتلبية احتياجاتها من حيث تبادل البيانات (بما في ذلك تبادل البيانات بشأن قواعد بيانات الويبو العالمية).</w:t>
      </w:r>
      <w:r w:rsidR="00306746">
        <w:rPr>
          <w:rFonts w:ascii="Arabic Typesetting" w:hAnsi="Arabic Typesetting" w:cs="Arabic Typesetting" w:hint="cs"/>
          <w:sz w:val="34"/>
          <w:szCs w:val="34"/>
          <w:rtl/>
        </w:rPr>
        <w:t xml:space="preserve"> وأتيح هذا النظام للاستخدام الداخلي في أكثر من عشرة مكاتب ولنشر المعلومات الخاصة بالملكية الفكرية على الإنترنت في عدة مكاتب أخرى.</w:t>
      </w:r>
    </w:p>
    <w:p w:rsidR="00B31868" w:rsidRPr="00B31868" w:rsidRDefault="00B31868" w:rsidP="009A3712">
      <w:pPr>
        <w:numPr>
          <w:ilvl w:val="0"/>
          <w:numId w:val="17"/>
        </w:numPr>
        <w:bidi/>
        <w:spacing w:after="120" w:line="340" w:lineRule="exact"/>
        <w:ind w:left="1134" w:hanging="567"/>
        <w:rPr>
          <w:rFonts w:ascii="Arabic Typesetting" w:hAnsi="Arabic Typesetting" w:cs="Arabic Typesetting"/>
          <w:sz w:val="34"/>
          <w:szCs w:val="34"/>
          <w:lang w:val="fr-FR" w:bidi="ar-EG"/>
        </w:rPr>
      </w:pPr>
      <w:r w:rsidRPr="00B31868">
        <w:rPr>
          <w:rFonts w:ascii="Arabic Typesetting" w:hAnsi="Arabic Typesetting" w:cs="Arabic Typesetting" w:hint="cs"/>
          <w:sz w:val="34"/>
          <w:szCs w:val="34"/>
          <w:rtl/>
          <w:lang w:val="fr-FR"/>
        </w:rPr>
        <w:t xml:space="preserve">نظام </w:t>
      </w:r>
      <w:r w:rsidRPr="00B31868">
        <w:rPr>
          <w:rFonts w:ascii="Arabic Typesetting" w:hAnsi="Arabic Typesetting" w:cs="Arabic Typesetting"/>
          <w:sz w:val="34"/>
          <w:szCs w:val="34"/>
        </w:rPr>
        <w:t>WIPO File</w:t>
      </w:r>
      <w:r w:rsidRPr="00B31868">
        <w:rPr>
          <w:rFonts w:ascii="Arabic Typesetting" w:hAnsi="Arabic Typesetting" w:cs="Arabic Typesetting" w:hint="cs"/>
          <w:sz w:val="34"/>
          <w:szCs w:val="34"/>
          <w:rtl/>
        </w:rPr>
        <w:t xml:space="preserve"> الذي صمم لإتاحة حلول الإيداع على الإنترنت للمكاتب الصغيرة والمتوسطة، بما في ذلك المرونة كي يواءم النظام بقدر كبير مع الظروف المحلية (مثل أنظمة السداد المحلية).</w:t>
      </w:r>
      <w:r w:rsidR="00306746">
        <w:rPr>
          <w:rFonts w:ascii="Arabic Typesetting" w:hAnsi="Arabic Typesetting" w:cs="Arabic Typesetting" w:hint="cs"/>
          <w:sz w:val="34"/>
          <w:szCs w:val="34"/>
          <w:rtl/>
        </w:rPr>
        <w:t xml:space="preserve"> وتكللت تجربة هذا النظام بالنجاح في مكتب ملكية فكرية واحد بات يستخدمه لأغراض الإيداع الشبكي.</w:t>
      </w:r>
    </w:p>
    <w:p w:rsidR="00B31868" w:rsidRPr="00B704A9" w:rsidRDefault="00306746" w:rsidP="009A3712">
      <w:pPr>
        <w:numPr>
          <w:ilvl w:val="0"/>
          <w:numId w:val="11"/>
        </w:numPr>
        <w:bidi/>
        <w:spacing w:after="120" w:line="340" w:lineRule="exact"/>
        <w:ind w:left="0" w:firstLine="0"/>
        <w:rPr>
          <w:rFonts w:ascii="Arabic Typesetting" w:hAnsi="Arabic Typesetting" w:cs="Arabic Typesetting"/>
          <w:sz w:val="34"/>
          <w:szCs w:val="34"/>
          <w:lang w:val="fr-FR"/>
        </w:rPr>
      </w:pPr>
      <w:r w:rsidRPr="00B704A9">
        <w:rPr>
          <w:rFonts w:ascii="Arabic Typesetting" w:hAnsi="Arabic Typesetting" w:cs="Arabic Typesetting" w:hint="cs"/>
          <w:sz w:val="34"/>
          <w:szCs w:val="34"/>
          <w:rtl/>
          <w:lang w:val="fr-FR"/>
        </w:rPr>
        <w:t>و</w:t>
      </w:r>
      <w:r w:rsidR="00B704A9" w:rsidRPr="00B704A9">
        <w:rPr>
          <w:rFonts w:ascii="Arabic Typesetting" w:hAnsi="Arabic Typesetting" w:cs="Arabic Typesetting" w:hint="cs"/>
          <w:sz w:val="34"/>
          <w:szCs w:val="34"/>
          <w:rtl/>
          <w:lang w:val="fr-FR"/>
        </w:rPr>
        <w:t xml:space="preserve">خلال الثنائية، </w:t>
      </w:r>
      <w:r w:rsidRPr="00B704A9">
        <w:rPr>
          <w:rFonts w:ascii="Arabic Typesetting" w:hAnsi="Arabic Typesetting" w:cs="Arabic Typesetting" w:hint="cs"/>
          <w:sz w:val="34"/>
          <w:szCs w:val="34"/>
          <w:rtl/>
          <w:lang w:val="fr-FR"/>
        </w:rPr>
        <w:t xml:space="preserve">نفذ </w:t>
      </w:r>
      <w:r w:rsidR="00B31868" w:rsidRPr="00B704A9">
        <w:rPr>
          <w:rFonts w:ascii="Arabic Typesetting" w:hAnsi="Arabic Typesetting" w:cs="Arabic Typesetting" w:hint="cs"/>
          <w:sz w:val="34"/>
          <w:szCs w:val="34"/>
          <w:rtl/>
          <w:lang w:val="fr-FR"/>
        </w:rPr>
        <w:t>البرنامج</w:t>
      </w:r>
      <w:r w:rsidRPr="00B704A9">
        <w:rPr>
          <w:rFonts w:ascii="Arabic Typesetting" w:hAnsi="Arabic Typesetting" w:cs="Arabic Typesetting" w:hint="cs"/>
          <w:sz w:val="34"/>
          <w:szCs w:val="34"/>
          <w:rtl/>
          <w:lang w:val="fr-FR"/>
        </w:rPr>
        <w:t xml:space="preserve"> </w:t>
      </w:r>
      <w:r w:rsidR="00B31868" w:rsidRPr="00B704A9">
        <w:rPr>
          <w:rFonts w:ascii="Arabic Typesetting" w:hAnsi="Arabic Typesetting" w:cs="Arabic Typesetting" w:hint="cs"/>
          <w:sz w:val="34"/>
          <w:szCs w:val="34"/>
          <w:rtl/>
          <w:lang w:val="fr-FR"/>
        </w:rPr>
        <w:t xml:space="preserve">استراتيجية جديدة </w:t>
      </w:r>
      <w:r w:rsidRPr="00B704A9">
        <w:rPr>
          <w:rFonts w:ascii="Arabic Typesetting" w:hAnsi="Arabic Typesetting" w:cs="Arabic Typesetting" w:hint="cs"/>
          <w:sz w:val="34"/>
          <w:szCs w:val="34"/>
          <w:rtl/>
          <w:lang w:val="fr-FR"/>
        </w:rPr>
        <w:t xml:space="preserve">ترمي إلى </w:t>
      </w:r>
      <w:r w:rsidR="00B31868" w:rsidRPr="00B704A9">
        <w:rPr>
          <w:rFonts w:ascii="Arabic Typesetting" w:hAnsi="Arabic Typesetting" w:cs="Arabic Typesetting" w:hint="cs"/>
          <w:sz w:val="34"/>
          <w:szCs w:val="34"/>
          <w:rtl/>
          <w:lang w:val="fr-FR"/>
        </w:rPr>
        <w:t>تعزيز مستويات الدعم ونقل المعارف والتدريب. واستخدم نموذج دعم جديد في إطار هذه الاستراتيجية، يشمل "</w:t>
      </w:r>
      <w:r w:rsidR="00B31868" w:rsidRPr="00B704A9">
        <w:rPr>
          <w:rFonts w:ascii="Arabic Typesetting" w:hAnsi="Arabic Typesetting" w:cs="Arabic Typesetting"/>
          <w:sz w:val="34"/>
          <w:szCs w:val="34"/>
          <w:rtl/>
          <w:lang w:val="fr-FR"/>
        </w:rPr>
        <w:t>مكتب مساعدة نظام إدارة الملكية الصناعية</w:t>
      </w:r>
      <w:r w:rsidR="00B31868" w:rsidRPr="00B704A9">
        <w:rPr>
          <w:rFonts w:ascii="Arabic Typesetting" w:hAnsi="Arabic Typesetting" w:cs="Arabic Typesetting" w:hint="cs"/>
          <w:sz w:val="34"/>
          <w:szCs w:val="34"/>
          <w:rtl/>
          <w:lang w:val="fr-FR"/>
        </w:rPr>
        <w:t xml:space="preserve">" وخصصت له </w:t>
      </w:r>
      <w:r w:rsidR="00B704A9" w:rsidRPr="00B704A9">
        <w:rPr>
          <w:rFonts w:ascii="Arabic Typesetting" w:hAnsi="Arabic Typesetting" w:cs="Arabic Typesetting" w:hint="cs"/>
          <w:sz w:val="34"/>
          <w:szCs w:val="34"/>
          <w:rtl/>
          <w:lang w:val="fr-FR"/>
        </w:rPr>
        <w:t>ال</w:t>
      </w:r>
      <w:r w:rsidR="00B31868" w:rsidRPr="00B704A9">
        <w:rPr>
          <w:rFonts w:ascii="Arabic Typesetting" w:hAnsi="Arabic Typesetting" w:cs="Arabic Typesetting" w:hint="cs"/>
          <w:sz w:val="34"/>
          <w:szCs w:val="34"/>
          <w:rtl/>
          <w:lang w:val="fr-FR"/>
        </w:rPr>
        <w:t>موارد</w:t>
      </w:r>
      <w:r w:rsidR="00B704A9" w:rsidRPr="00B704A9">
        <w:rPr>
          <w:rFonts w:ascii="Arabic Typesetting" w:hAnsi="Arabic Typesetting" w:cs="Arabic Typesetting" w:hint="cs"/>
          <w:sz w:val="34"/>
          <w:szCs w:val="34"/>
          <w:rtl/>
          <w:lang w:val="fr-FR"/>
        </w:rPr>
        <w:t xml:space="preserve"> اللازمة</w:t>
      </w:r>
      <w:r w:rsidRPr="00B704A9">
        <w:rPr>
          <w:rFonts w:ascii="Arabic Typesetting" w:hAnsi="Arabic Typesetting" w:cs="Arabic Typesetting" w:hint="cs"/>
          <w:sz w:val="34"/>
          <w:szCs w:val="34"/>
          <w:rtl/>
          <w:lang w:val="fr-FR"/>
        </w:rPr>
        <w:t xml:space="preserve"> لدعم مكاتب الملكية الفكرية وفقاً </w:t>
      </w:r>
      <w:r w:rsidR="00B704A9" w:rsidRPr="00B704A9">
        <w:rPr>
          <w:rFonts w:ascii="Arabic Typesetting" w:hAnsi="Arabic Typesetting" w:cs="Arabic Typesetting" w:hint="cs"/>
          <w:sz w:val="34"/>
          <w:szCs w:val="34"/>
          <w:rtl/>
          <w:lang w:val="fr-FR"/>
        </w:rPr>
        <w:t>للإجراءات المعيارية في مجال الصناعة</w:t>
      </w:r>
      <w:r w:rsidR="00B31868" w:rsidRPr="00B704A9">
        <w:rPr>
          <w:rFonts w:ascii="Arabic Typesetting" w:hAnsi="Arabic Typesetting" w:cs="Arabic Typesetting" w:hint="cs"/>
          <w:sz w:val="34"/>
          <w:szCs w:val="34"/>
          <w:rtl/>
          <w:lang w:val="fr-FR"/>
        </w:rPr>
        <w:t xml:space="preserve">. </w:t>
      </w:r>
      <w:r w:rsidR="00B704A9" w:rsidRPr="00B704A9">
        <w:rPr>
          <w:rFonts w:ascii="Arabic Typesetting" w:hAnsi="Arabic Typesetting" w:cs="Arabic Typesetting" w:hint="cs"/>
          <w:sz w:val="34"/>
          <w:szCs w:val="34"/>
          <w:rtl/>
          <w:lang w:val="fr-FR"/>
        </w:rPr>
        <w:t xml:space="preserve">ونظمت ثماني حلقات عمل بشأن التدريب التقني في جميع المناطق بغية تزويد موظفي مكاتب الملكية الفكرية بالمعارف الكفيلة بزيادة استقلالية مكاتبهم. واستعين أيضاً في إطار الاستراتيجية بعدد صغير من الخبراء المدربين في مكاتب الملكية الفكرية لدعم المكاتب الأخرى في المنطقة ذاتها ما عزز التعاون والدعم بين المكاتب وزاد من استقلالية مكاتب الملكية الفكرية عن طريق </w:t>
      </w:r>
      <w:r w:rsidR="00D674AB">
        <w:rPr>
          <w:rFonts w:ascii="Arabic Typesetting" w:hAnsi="Arabic Typesetting" w:cs="Arabic Typesetting" w:hint="cs"/>
          <w:sz w:val="34"/>
          <w:szCs w:val="34"/>
          <w:rtl/>
          <w:lang w:val="fr-FR"/>
        </w:rPr>
        <w:t>إعداد خبرائها</w:t>
      </w:r>
      <w:r w:rsidR="00B704A9" w:rsidRPr="00B704A9">
        <w:rPr>
          <w:rFonts w:ascii="Arabic Typesetting" w:hAnsi="Arabic Typesetting" w:cs="Arabic Typesetting" w:hint="cs"/>
          <w:sz w:val="34"/>
          <w:szCs w:val="34"/>
          <w:rtl/>
          <w:lang w:val="fr-FR"/>
        </w:rPr>
        <w:t>.</w:t>
      </w:r>
    </w:p>
    <w:p w:rsidR="00B31868" w:rsidRPr="001349FE" w:rsidRDefault="00B31868" w:rsidP="009A3712">
      <w:pPr>
        <w:numPr>
          <w:ilvl w:val="0"/>
          <w:numId w:val="11"/>
        </w:numPr>
        <w:bidi/>
        <w:spacing w:after="120" w:line="340" w:lineRule="exact"/>
        <w:ind w:left="0" w:firstLine="0"/>
        <w:rPr>
          <w:rFonts w:ascii="Arabic Typesetting" w:hAnsi="Arabic Typesetting" w:cs="Arabic Typesetting"/>
          <w:sz w:val="34"/>
          <w:szCs w:val="34"/>
          <w:lang w:val="fr-FR"/>
        </w:rPr>
      </w:pPr>
      <w:r w:rsidRPr="001349FE">
        <w:rPr>
          <w:rFonts w:ascii="Arabic Typesetting" w:hAnsi="Arabic Typesetting" w:cs="Arabic Typesetting" w:hint="cs"/>
          <w:sz w:val="34"/>
          <w:szCs w:val="34"/>
          <w:rtl/>
          <w:lang w:val="fr-FR"/>
        </w:rPr>
        <w:t xml:space="preserve">وبمساعدة من حكومة اليابان، عبر الصندوق </w:t>
      </w:r>
      <w:proofErr w:type="spellStart"/>
      <w:r w:rsidRPr="001349FE">
        <w:rPr>
          <w:rFonts w:ascii="Arabic Typesetting" w:hAnsi="Arabic Typesetting" w:cs="Arabic Typesetting" w:hint="cs"/>
          <w:sz w:val="34"/>
          <w:szCs w:val="34"/>
          <w:rtl/>
          <w:lang w:val="fr-FR"/>
        </w:rPr>
        <w:t>الاستئماني</w:t>
      </w:r>
      <w:proofErr w:type="spellEnd"/>
      <w:r w:rsidRPr="001349FE">
        <w:rPr>
          <w:rFonts w:ascii="Arabic Typesetting" w:hAnsi="Arabic Typesetting" w:cs="Arabic Typesetting" w:hint="cs"/>
          <w:sz w:val="34"/>
          <w:szCs w:val="34"/>
          <w:rtl/>
          <w:lang w:val="fr-FR"/>
        </w:rPr>
        <w:t xml:space="preserve">، دعم البرنامج مشروعات </w:t>
      </w:r>
      <w:proofErr w:type="spellStart"/>
      <w:r w:rsidRPr="001349FE">
        <w:rPr>
          <w:rFonts w:ascii="Arabic Typesetting" w:hAnsi="Arabic Typesetting" w:cs="Arabic Typesetting" w:hint="cs"/>
          <w:sz w:val="34"/>
          <w:szCs w:val="34"/>
          <w:rtl/>
          <w:lang w:val="fr-FR"/>
        </w:rPr>
        <w:t>الرقمنة</w:t>
      </w:r>
      <w:proofErr w:type="spellEnd"/>
      <w:r w:rsidRPr="001349FE">
        <w:rPr>
          <w:rFonts w:ascii="Arabic Typesetting" w:hAnsi="Arabic Typesetting" w:cs="Arabic Typesetting" w:hint="cs"/>
          <w:sz w:val="34"/>
          <w:szCs w:val="34"/>
          <w:rtl/>
          <w:lang w:val="fr-FR"/>
        </w:rPr>
        <w:t xml:space="preserve"> في مكاتب الملكية الفكرية</w:t>
      </w:r>
      <w:r w:rsidR="00B704A9" w:rsidRPr="001349FE">
        <w:rPr>
          <w:rFonts w:ascii="Arabic Typesetting" w:hAnsi="Arabic Typesetting" w:cs="Arabic Typesetting" w:hint="cs"/>
          <w:sz w:val="34"/>
          <w:szCs w:val="34"/>
          <w:rtl/>
          <w:lang w:val="fr-FR"/>
        </w:rPr>
        <w:t xml:space="preserve"> ولا يزال بعضها جارياً</w:t>
      </w:r>
      <w:r w:rsidRPr="001349FE">
        <w:rPr>
          <w:rFonts w:ascii="Arabic Typesetting" w:hAnsi="Arabic Typesetting" w:cs="Arabic Typesetting" w:hint="cs"/>
          <w:sz w:val="34"/>
          <w:szCs w:val="34"/>
          <w:rtl/>
          <w:lang w:val="fr-FR"/>
        </w:rPr>
        <w:t xml:space="preserve"> خاصة في أفريقيا (</w:t>
      </w:r>
      <w:r w:rsidRPr="001349FE">
        <w:rPr>
          <w:rFonts w:ascii="Arabic Typesetting" w:hAnsi="Arabic Typesetting" w:cs="Arabic Typesetting"/>
          <w:sz w:val="34"/>
          <w:szCs w:val="34"/>
          <w:rtl/>
          <w:lang w:val="fr-FR"/>
        </w:rPr>
        <w:t>المنظمة الإقليمية الأفريقية للملكية الفكرية</w:t>
      </w:r>
      <w:r w:rsidRPr="001349FE">
        <w:rPr>
          <w:rFonts w:ascii="Arabic Typesetting" w:hAnsi="Arabic Typesetting" w:cs="Arabic Typesetting" w:hint="cs"/>
          <w:sz w:val="34"/>
          <w:szCs w:val="34"/>
          <w:rtl/>
          <w:lang w:val="fr-FR"/>
        </w:rPr>
        <w:t xml:space="preserve"> وإثيوبيا ونيجيريا و</w:t>
      </w:r>
      <w:r w:rsidRPr="001349FE">
        <w:rPr>
          <w:rFonts w:ascii="Arabic Typesetting" w:hAnsi="Arabic Typesetting" w:cs="Arabic Typesetting"/>
          <w:sz w:val="34"/>
          <w:szCs w:val="34"/>
          <w:rtl/>
          <w:lang w:val="fr-FR"/>
        </w:rPr>
        <w:t>المنظمة الأفريقية للملكية الفكرية</w:t>
      </w:r>
      <w:r w:rsidRPr="001349FE">
        <w:rPr>
          <w:rFonts w:ascii="Arabic Typesetting" w:hAnsi="Arabic Typesetting" w:cs="Arabic Typesetting" w:hint="cs"/>
          <w:sz w:val="34"/>
          <w:szCs w:val="34"/>
          <w:rtl/>
          <w:lang w:val="fr-FR"/>
        </w:rPr>
        <w:t xml:space="preserve">) وفي آسيا والمحيط الهادئ (بروني دار السلام وكمبوديا). ونظمت </w:t>
      </w:r>
      <w:r w:rsidR="00B704A9" w:rsidRPr="001349FE">
        <w:rPr>
          <w:rFonts w:ascii="Arabic Typesetting" w:hAnsi="Arabic Typesetting" w:cs="Arabic Typesetting" w:hint="cs"/>
          <w:sz w:val="34"/>
          <w:szCs w:val="34"/>
          <w:rtl/>
          <w:lang w:val="fr-FR"/>
        </w:rPr>
        <w:t>حلقات عمل في عامي 2014 و2015</w:t>
      </w:r>
      <w:r w:rsidRPr="001349FE">
        <w:rPr>
          <w:rFonts w:ascii="Arabic Typesetting" w:hAnsi="Arabic Typesetting" w:cs="Arabic Typesetting" w:hint="cs"/>
          <w:sz w:val="34"/>
          <w:szCs w:val="34"/>
          <w:rtl/>
          <w:lang w:val="fr-FR"/>
        </w:rPr>
        <w:t xml:space="preserve"> بشأن المتطلبات التقنية لتيسير تقاسم أعمال برنامج </w:t>
      </w:r>
      <w:r w:rsidRPr="001349FE">
        <w:rPr>
          <w:rFonts w:ascii="Arabic Typesetting" w:hAnsi="Arabic Typesetting" w:cs="Arabic Typesetting"/>
          <w:sz w:val="34"/>
          <w:szCs w:val="34"/>
          <w:rtl/>
          <w:lang w:val="fr-FR"/>
        </w:rPr>
        <w:t>رابطة أمم جنوب شرقي آسيا</w:t>
      </w:r>
      <w:r w:rsidRPr="001349FE">
        <w:rPr>
          <w:rFonts w:ascii="Arabic Typesetting" w:hAnsi="Arabic Typesetting" w:cs="Arabic Typesetting" w:hint="cs"/>
          <w:sz w:val="34"/>
          <w:szCs w:val="34"/>
          <w:rtl/>
          <w:lang w:val="fr-FR"/>
        </w:rPr>
        <w:t xml:space="preserve"> (آسيان) للتعاون في فحص البراءات (</w:t>
      </w:r>
      <w:r w:rsidRPr="001349FE">
        <w:rPr>
          <w:rFonts w:ascii="Arabic Typesetting" w:hAnsi="Arabic Typesetting" w:cs="Arabic Typesetting"/>
          <w:sz w:val="34"/>
          <w:szCs w:val="34"/>
          <w:lang w:val="fr-FR"/>
        </w:rPr>
        <w:t>ASPEC</w:t>
      </w:r>
      <w:r w:rsidRPr="001349FE">
        <w:rPr>
          <w:rFonts w:ascii="Arabic Typesetting" w:hAnsi="Arabic Typesetting" w:cs="Arabic Typesetting" w:hint="cs"/>
          <w:sz w:val="34"/>
          <w:szCs w:val="34"/>
          <w:rtl/>
          <w:lang w:val="fr-FR"/>
        </w:rPr>
        <w:t>) وبشأن واجهة الملكية الفكرية ل</w:t>
      </w:r>
      <w:r w:rsidRPr="001349FE">
        <w:rPr>
          <w:rFonts w:ascii="Arabic Typesetting" w:hAnsi="Arabic Typesetting" w:cs="Arabic Typesetting"/>
          <w:sz w:val="34"/>
          <w:szCs w:val="34"/>
          <w:rtl/>
          <w:lang w:val="fr-FR"/>
        </w:rPr>
        <w:t>آسيا</w:t>
      </w:r>
      <w:r w:rsidRPr="001349FE">
        <w:rPr>
          <w:rFonts w:ascii="Arabic Typesetting" w:hAnsi="Arabic Typesetting" w:cs="Arabic Typesetting" w:hint="cs"/>
          <w:sz w:val="34"/>
          <w:szCs w:val="34"/>
          <w:rtl/>
          <w:lang w:val="fr-FR"/>
        </w:rPr>
        <w:t xml:space="preserve">ن. وأحرز تقدم </w:t>
      </w:r>
      <w:r w:rsidR="00B704A9" w:rsidRPr="001349FE">
        <w:rPr>
          <w:rFonts w:ascii="Arabic Typesetting" w:hAnsi="Arabic Typesetting" w:cs="Arabic Typesetting" w:hint="cs"/>
          <w:sz w:val="34"/>
          <w:szCs w:val="34"/>
          <w:rtl/>
          <w:lang w:val="fr-FR"/>
        </w:rPr>
        <w:t xml:space="preserve">كبير </w:t>
      </w:r>
      <w:r w:rsidRPr="001349FE">
        <w:rPr>
          <w:rFonts w:ascii="Arabic Typesetting" w:hAnsi="Arabic Typesetting" w:cs="Arabic Typesetting" w:hint="cs"/>
          <w:sz w:val="34"/>
          <w:szCs w:val="34"/>
          <w:rtl/>
          <w:lang w:val="fr-FR"/>
        </w:rPr>
        <w:t xml:space="preserve">في </w:t>
      </w:r>
      <w:r w:rsidR="001349FE" w:rsidRPr="001349FE">
        <w:rPr>
          <w:rFonts w:ascii="Arabic Typesetting" w:hAnsi="Arabic Typesetting" w:cs="Arabic Typesetting" w:hint="cs"/>
          <w:sz w:val="34"/>
          <w:szCs w:val="34"/>
          <w:rtl/>
          <w:lang w:val="fr-FR"/>
        </w:rPr>
        <w:t xml:space="preserve">إشراك مكاتب جديدة </w:t>
      </w:r>
      <w:r w:rsidRPr="001349FE">
        <w:rPr>
          <w:rFonts w:ascii="Arabic Typesetting" w:hAnsi="Arabic Typesetting" w:cs="Arabic Typesetting" w:hint="cs"/>
          <w:sz w:val="34"/>
          <w:szCs w:val="34"/>
          <w:rtl/>
          <w:lang w:val="fr-FR"/>
        </w:rPr>
        <w:t xml:space="preserve">في </w:t>
      </w:r>
      <w:r w:rsidRPr="001349FE">
        <w:rPr>
          <w:rFonts w:ascii="Arabic Typesetting" w:hAnsi="Arabic Typesetting" w:cs="Arabic Typesetting"/>
          <w:sz w:val="34"/>
          <w:szCs w:val="34"/>
          <w:rtl/>
          <w:lang w:val="fr-FR"/>
        </w:rPr>
        <w:t>نظام النفاذ المركزي إلى البحث والفحص (</w:t>
      </w:r>
      <w:r w:rsidRPr="001349FE">
        <w:rPr>
          <w:rFonts w:ascii="Arabic Typesetting" w:hAnsi="Arabic Typesetting" w:cs="Arabic Typesetting"/>
          <w:sz w:val="34"/>
          <w:szCs w:val="34"/>
          <w:lang w:val="fr-FR"/>
        </w:rPr>
        <w:t>WIPO CASE</w:t>
      </w:r>
      <w:r w:rsidRPr="001349FE">
        <w:rPr>
          <w:rFonts w:ascii="Arabic Typesetting" w:hAnsi="Arabic Typesetting" w:cs="Arabic Typesetting"/>
          <w:sz w:val="34"/>
          <w:szCs w:val="34"/>
          <w:rtl/>
          <w:lang w:val="fr-FR"/>
        </w:rPr>
        <w:t>)</w:t>
      </w:r>
      <w:r w:rsidR="001349FE" w:rsidRPr="001349FE">
        <w:rPr>
          <w:rFonts w:ascii="Arabic Typesetting" w:hAnsi="Arabic Typesetting" w:cs="Arabic Typesetting" w:hint="cs"/>
          <w:sz w:val="34"/>
          <w:szCs w:val="34"/>
          <w:rtl/>
          <w:lang w:val="fr-FR"/>
        </w:rPr>
        <w:t xml:space="preserve"> إذ بلغ عدد المكاتب المقدمة للخدمات بحلول نهاية الثنائية 10 مكاتب منها المكتب الدولي (معلومات الملفات المتعلقة بمعاهدة التعاون بشأن البراءات) وأكبر أربعة مكاتب للبراءات.</w:t>
      </w:r>
    </w:p>
    <w:p w:rsidR="00B31868" w:rsidRPr="00B31868" w:rsidRDefault="00B31868" w:rsidP="009A3712">
      <w:pPr>
        <w:numPr>
          <w:ilvl w:val="0"/>
          <w:numId w:val="11"/>
        </w:numPr>
        <w:bidi/>
        <w:spacing w:after="120" w:line="340" w:lineRule="exact"/>
        <w:ind w:left="0" w:firstLine="0"/>
        <w:rPr>
          <w:rFonts w:ascii="Arabic Typesetting" w:hAnsi="Arabic Typesetting" w:cs="Arabic Typesetting"/>
          <w:sz w:val="34"/>
          <w:szCs w:val="34"/>
          <w:lang w:val="fr-FR"/>
        </w:rPr>
      </w:pPr>
      <w:r w:rsidRPr="00B31868">
        <w:rPr>
          <w:rFonts w:ascii="Arabic Typesetting" w:hAnsi="Arabic Typesetting" w:cs="Arabic Typesetting" w:hint="cs"/>
          <w:sz w:val="34"/>
          <w:szCs w:val="34"/>
          <w:rtl/>
          <w:lang w:val="fr-FR"/>
        </w:rPr>
        <w:t xml:space="preserve">ودُشّن مشروع </w:t>
      </w:r>
      <w:r w:rsidRPr="00B31868">
        <w:rPr>
          <w:rFonts w:ascii="Arabic Typesetting" w:hAnsi="Arabic Typesetting" w:cs="Arabic Typesetting"/>
          <w:sz w:val="34"/>
          <w:szCs w:val="34"/>
          <w:rtl/>
          <w:lang w:val="fr-FR"/>
        </w:rPr>
        <w:t>شبكة الويبو لحق المؤلف</w:t>
      </w:r>
      <w:r w:rsidRPr="00B31868">
        <w:rPr>
          <w:rFonts w:ascii="Arabic Typesetting" w:hAnsi="Arabic Typesetting" w:cs="Arabic Typesetting" w:hint="cs"/>
          <w:sz w:val="34"/>
          <w:szCs w:val="34"/>
          <w:rtl/>
          <w:lang w:val="fr-FR"/>
        </w:rPr>
        <w:t xml:space="preserve"> (الذي أعقب </w:t>
      </w:r>
      <w:r w:rsidRPr="00B31868">
        <w:rPr>
          <w:rFonts w:ascii="Arabic Typesetting" w:hAnsi="Arabic Typesetting" w:cs="Arabic Typesetting"/>
          <w:sz w:val="34"/>
          <w:szCs w:val="34"/>
          <w:rtl/>
          <w:lang w:val="fr-FR"/>
        </w:rPr>
        <w:t xml:space="preserve">برنامج </w:t>
      </w:r>
      <w:proofErr w:type="spellStart"/>
      <w:r w:rsidRPr="00B31868">
        <w:rPr>
          <w:rFonts w:ascii="Arabic Typesetting" w:hAnsi="Arabic Typesetting" w:cs="Arabic Typesetting"/>
          <w:sz w:val="34"/>
          <w:szCs w:val="34"/>
          <w:rtl/>
          <w:lang w:val="fr-FR"/>
        </w:rPr>
        <w:t>ويبوكوس</w:t>
      </w:r>
      <w:proofErr w:type="spellEnd"/>
      <w:r w:rsidRPr="00B31868">
        <w:rPr>
          <w:rFonts w:ascii="Arabic Typesetting" w:hAnsi="Arabic Typesetting" w:cs="Arabic Typesetting"/>
          <w:sz w:val="34"/>
          <w:szCs w:val="34"/>
          <w:rtl/>
          <w:lang w:val="fr-FR"/>
        </w:rPr>
        <w:t xml:space="preserve"> (</w:t>
      </w:r>
      <w:r w:rsidRPr="00B31868">
        <w:rPr>
          <w:rFonts w:ascii="Arabic Typesetting" w:hAnsi="Arabic Typesetting" w:cs="Arabic Typesetting"/>
          <w:sz w:val="34"/>
          <w:szCs w:val="34"/>
          <w:lang w:val="fr-FR"/>
        </w:rPr>
        <w:t>WIPOCOS</w:t>
      </w:r>
      <w:r w:rsidRPr="00B31868">
        <w:rPr>
          <w:rFonts w:ascii="Arabic Typesetting" w:hAnsi="Arabic Typesetting" w:cs="Arabic Typesetting"/>
          <w:sz w:val="34"/>
          <w:szCs w:val="34"/>
          <w:rtl/>
          <w:lang w:val="fr-FR"/>
        </w:rPr>
        <w:t>)</w:t>
      </w:r>
      <w:r w:rsidRPr="00B31868">
        <w:rPr>
          <w:rFonts w:ascii="Arabic Typesetting" w:hAnsi="Arabic Typesetting" w:cs="Arabic Typesetting" w:hint="cs"/>
          <w:sz w:val="34"/>
          <w:szCs w:val="34"/>
          <w:rtl/>
          <w:lang w:val="fr-FR"/>
        </w:rPr>
        <w:t>) في عام 2014 بهدف إعداد نظام مترابط لإدارة حقوق المؤلف والحقوق المجاورة. وأنشئ فريق من خبراء قطاع الأعمال يتألف من ممثلي منظمات الإدارة الجماعية المتطوعة لتحديد متطلبات قطاع الأعمال في النظام. واستعين بمتعاقد خارجي في نهاية عام 2014 و</w:t>
      </w:r>
      <w:r w:rsidR="001349FE">
        <w:rPr>
          <w:rFonts w:ascii="Arabic Typesetting" w:hAnsi="Arabic Typesetting" w:cs="Arabic Typesetting" w:hint="cs"/>
          <w:sz w:val="34"/>
          <w:szCs w:val="34"/>
          <w:rtl/>
          <w:lang w:val="fr-FR"/>
        </w:rPr>
        <w:t>أجريت</w:t>
      </w:r>
      <w:r w:rsidRPr="00B31868">
        <w:rPr>
          <w:rFonts w:ascii="Arabic Typesetting" w:hAnsi="Arabic Typesetting" w:cs="Arabic Typesetting" w:hint="cs"/>
          <w:sz w:val="34"/>
          <w:szCs w:val="34"/>
          <w:rtl/>
          <w:lang w:val="fr-FR"/>
        </w:rPr>
        <w:t xml:space="preserve"> عملية التأكيد التقني للنظام</w:t>
      </w:r>
      <w:r w:rsidR="001349FE">
        <w:rPr>
          <w:rFonts w:ascii="Arabic Typesetting" w:hAnsi="Arabic Typesetting" w:cs="Arabic Typesetting" w:hint="cs"/>
          <w:sz w:val="34"/>
          <w:szCs w:val="34"/>
          <w:rtl/>
          <w:lang w:val="fr-FR"/>
        </w:rPr>
        <w:t xml:space="preserve"> في منتصف عام 2015</w:t>
      </w:r>
      <w:r w:rsidRPr="00B31868">
        <w:rPr>
          <w:rFonts w:ascii="Arabic Typesetting" w:hAnsi="Arabic Typesetting" w:cs="Arabic Typesetting" w:hint="cs"/>
          <w:sz w:val="34"/>
          <w:szCs w:val="34"/>
          <w:rtl/>
          <w:lang w:val="fr-FR"/>
        </w:rPr>
        <w:t xml:space="preserve">. </w:t>
      </w:r>
      <w:r w:rsidR="001349FE">
        <w:rPr>
          <w:rFonts w:ascii="Arabic Typesetting" w:hAnsi="Arabic Typesetting" w:cs="Arabic Typesetting" w:hint="cs"/>
          <w:sz w:val="34"/>
          <w:szCs w:val="34"/>
          <w:rtl/>
          <w:lang w:val="fr-FR"/>
        </w:rPr>
        <w:t xml:space="preserve">ودخل النظام مرحلة التطوير النهائي في نهاية الثنائية </w:t>
      </w:r>
      <w:r w:rsidR="00507DE2">
        <w:rPr>
          <w:rFonts w:ascii="Arabic Typesetting" w:hAnsi="Arabic Typesetting" w:cs="Arabic Typesetting" w:hint="cs"/>
          <w:sz w:val="34"/>
          <w:szCs w:val="34"/>
          <w:rtl/>
          <w:lang w:val="fr-FR"/>
        </w:rPr>
        <w:t>2014/15</w:t>
      </w:r>
      <w:r w:rsidR="001349FE">
        <w:rPr>
          <w:rFonts w:ascii="Arabic Typesetting" w:hAnsi="Arabic Typesetting" w:cs="Arabic Typesetting" w:hint="cs"/>
          <w:sz w:val="34"/>
          <w:szCs w:val="34"/>
          <w:rtl/>
          <w:lang w:val="fr-FR"/>
        </w:rPr>
        <w:t xml:space="preserve"> ويزمع إطلاقه في منظمات الإدارة الجماعية </w:t>
      </w:r>
      <w:r w:rsidRPr="00B31868">
        <w:rPr>
          <w:rFonts w:ascii="Arabic Typesetting" w:hAnsi="Arabic Typesetting" w:cs="Arabic Typesetting" w:hint="cs"/>
          <w:sz w:val="34"/>
          <w:szCs w:val="34"/>
          <w:rtl/>
          <w:lang w:val="fr-FR"/>
        </w:rPr>
        <w:t>في البلدان النامية و</w:t>
      </w:r>
      <w:r w:rsidR="003B2ED5">
        <w:rPr>
          <w:rFonts w:ascii="Arabic Typesetting" w:hAnsi="Arabic Typesetting" w:cs="Arabic Typesetting" w:hint="cs"/>
          <w:sz w:val="34"/>
          <w:szCs w:val="34"/>
          <w:rtl/>
          <w:lang w:val="fr-FR"/>
        </w:rPr>
        <w:t xml:space="preserve">البلدان الأقل نمواً </w:t>
      </w:r>
      <w:r w:rsidRPr="00B31868">
        <w:rPr>
          <w:rFonts w:ascii="Arabic Typesetting" w:hAnsi="Arabic Typesetting" w:cs="Arabic Typesetting" w:hint="cs"/>
          <w:sz w:val="34"/>
          <w:szCs w:val="34"/>
          <w:rtl/>
          <w:lang w:val="fr-FR"/>
        </w:rPr>
        <w:t>في عام 2016.</w:t>
      </w:r>
    </w:p>
    <w:p w:rsidR="00B31868" w:rsidRPr="00B31868" w:rsidRDefault="00B31868" w:rsidP="00086C3F">
      <w:pPr>
        <w:keepNext/>
        <w:pageBreakBefore/>
        <w:bidi/>
        <w:spacing w:after="120" w:line="340" w:lineRule="exact"/>
        <w:rPr>
          <w:rFonts w:ascii="Arabic Typesetting" w:hAnsi="Arabic Typesetting" w:cs="Arabic Typesetting"/>
          <w:b/>
          <w:bCs/>
          <w:sz w:val="34"/>
          <w:szCs w:val="34"/>
          <w:lang w:val="fr-FR"/>
        </w:rPr>
      </w:pPr>
      <w:r w:rsidRPr="00B31868">
        <w:rPr>
          <w:rFonts w:ascii="Arabic Typesetting" w:hAnsi="Arabic Typesetting" w:cs="Arabic Typesetting" w:hint="cs"/>
          <w:b/>
          <w:bCs/>
          <w:sz w:val="34"/>
          <w:szCs w:val="34"/>
          <w:rtl/>
          <w:lang w:val="fr-FR"/>
        </w:rPr>
        <w:lastRenderedPageBreak/>
        <w:t>نظم برمجيات قطاع الأعمال لدى مكاتب الملكية الفكرية</w:t>
      </w:r>
    </w:p>
    <w:p w:rsidR="00B31868" w:rsidRPr="00B31868" w:rsidRDefault="00B31868" w:rsidP="009A3712">
      <w:pPr>
        <w:keepNext/>
        <w:numPr>
          <w:ilvl w:val="0"/>
          <w:numId w:val="11"/>
        </w:numPr>
        <w:bidi/>
        <w:spacing w:after="240" w:line="340" w:lineRule="exact"/>
        <w:ind w:left="0" w:firstLine="0"/>
        <w:rPr>
          <w:rFonts w:ascii="Arabic Typesetting" w:hAnsi="Arabic Typesetting" w:cs="Arabic Typesetting"/>
          <w:sz w:val="34"/>
          <w:szCs w:val="34"/>
          <w:lang w:val="fr-FR"/>
        </w:rPr>
      </w:pPr>
      <w:r w:rsidRPr="00B31868">
        <w:rPr>
          <w:rFonts w:ascii="Arabic Typesetting" w:hAnsi="Arabic Typesetting" w:cs="Arabic Typesetting" w:hint="cs"/>
          <w:sz w:val="34"/>
          <w:szCs w:val="34"/>
          <w:rtl/>
          <w:lang w:val="fr-FR"/>
        </w:rPr>
        <w:t xml:space="preserve">يحتوي الشكل </w:t>
      </w:r>
      <w:r w:rsidR="00FB2BCA">
        <w:rPr>
          <w:rFonts w:ascii="Arabic Typesetting" w:hAnsi="Arabic Typesetting" w:cs="Arabic Typesetting" w:hint="cs"/>
          <w:sz w:val="34"/>
          <w:szCs w:val="34"/>
          <w:rtl/>
          <w:lang w:val="fr-FR"/>
        </w:rPr>
        <w:t>التالي</w:t>
      </w:r>
      <w:r w:rsidRPr="00B31868">
        <w:rPr>
          <w:rFonts w:ascii="Arabic Typesetting" w:hAnsi="Arabic Typesetting" w:cs="Arabic Typesetting" w:hint="cs"/>
          <w:sz w:val="34"/>
          <w:szCs w:val="34"/>
          <w:rtl/>
          <w:lang w:val="fr-FR"/>
        </w:rPr>
        <w:t xml:space="preserve"> على لمحة عامة عن الزيادة المطردة في استخدام نظم الويبو لمكاتب الملكية الفكرية على مدى السنوات </w:t>
      </w:r>
      <w:r w:rsidR="001349FE">
        <w:rPr>
          <w:rFonts w:ascii="Arabic Typesetting" w:hAnsi="Arabic Typesetting" w:cs="Arabic Typesetting" w:hint="cs"/>
          <w:sz w:val="34"/>
          <w:szCs w:val="34"/>
          <w:rtl/>
          <w:lang w:val="fr-FR"/>
        </w:rPr>
        <w:t>الست</w:t>
      </w:r>
      <w:r w:rsidR="001349FE" w:rsidRPr="00B31868">
        <w:rPr>
          <w:rFonts w:ascii="Arabic Typesetting" w:hAnsi="Arabic Typesetting" w:cs="Arabic Typesetting" w:hint="cs"/>
          <w:sz w:val="34"/>
          <w:szCs w:val="34"/>
          <w:rtl/>
          <w:lang w:val="fr-FR"/>
        </w:rPr>
        <w:t xml:space="preserve"> </w:t>
      </w:r>
      <w:r w:rsidRPr="00B31868">
        <w:rPr>
          <w:rFonts w:ascii="Arabic Typesetting" w:hAnsi="Arabic Typesetting" w:cs="Arabic Typesetting" w:hint="cs"/>
          <w:sz w:val="34"/>
          <w:szCs w:val="34"/>
          <w:rtl/>
          <w:lang w:val="fr-FR"/>
        </w:rPr>
        <w:t xml:space="preserve">الماضية. وكان </w:t>
      </w:r>
      <w:r w:rsidR="001349FE">
        <w:rPr>
          <w:rFonts w:ascii="Arabic Typesetting" w:hAnsi="Arabic Typesetting" w:cs="Arabic Typesetting" w:hint="cs"/>
          <w:sz w:val="34"/>
          <w:szCs w:val="34"/>
          <w:rtl/>
          <w:lang w:val="fr-FR"/>
        </w:rPr>
        <w:t>77</w:t>
      </w:r>
      <w:r w:rsidR="001349FE" w:rsidRPr="00B31868">
        <w:rPr>
          <w:rFonts w:ascii="Arabic Typesetting" w:hAnsi="Arabic Typesetting" w:cs="Arabic Typesetting" w:hint="cs"/>
          <w:sz w:val="34"/>
          <w:szCs w:val="34"/>
          <w:rtl/>
          <w:lang w:val="fr-FR"/>
        </w:rPr>
        <w:t xml:space="preserve"> </w:t>
      </w:r>
      <w:r w:rsidRPr="00B31868">
        <w:rPr>
          <w:rFonts w:ascii="Arabic Typesetting" w:hAnsi="Arabic Typesetting" w:cs="Arabic Typesetting" w:hint="cs"/>
          <w:sz w:val="34"/>
          <w:szCs w:val="34"/>
          <w:rtl/>
          <w:lang w:val="fr-FR"/>
        </w:rPr>
        <w:t xml:space="preserve">مكتب ملكية فكرية يستخدم هذه النظم في نهاية عام </w:t>
      </w:r>
      <w:r w:rsidR="001349FE">
        <w:rPr>
          <w:rFonts w:ascii="Arabic Typesetting" w:hAnsi="Arabic Typesetting" w:cs="Arabic Typesetting" w:hint="cs"/>
          <w:sz w:val="34"/>
          <w:szCs w:val="34"/>
          <w:rtl/>
          <w:lang w:val="fr-FR"/>
        </w:rPr>
        <w:t>2015</w:t>
      </w:r>
      <w:r w:rsidR="001349FE" w:rsidRPr="00B31868">
        <w:rPr>
          <w:rFonts w:ascii="Arabic Typesetting" w:hAnsi="Arabic Typesetting" w:cs="Arabic Typesetting" w:hint="cs"/>
          <w:sz w:val="34"/>
          <w:szCs w:val="34"/>
          <w:rtl/>
          <w:lang w:val="fr-FR"/>
        </w:rPr>
        <w:t xml:space="preserve"> </w:t>
      </w:r>
      <w:r w:rsidRPr="00B31868">
        <w:rPr>
          <w:rFonts w:ascii="Arabic Typesetting" w:hAnsi="Arabic Typesetting" w:cs="Arabic Typesetting" w:hint="cs"/>
          <w:sz w:val="34"/>
          <w:szCs w:val="34"/>
          <w:rtl/>
          <w:lang w:val="fr-FR"/>
        </w:rPr>
        <w:t>(ومن هذه النظم نظام إدارة الملكية الفكرية الصناعية و</w:t>
      </w:r>
      <w:r w:rsidRPr="00B31868">
        <w:rPr>
          <w:rFonts w:ascii="Arabic Typesetting" w:hAnsi="Arabic Typesetting" w:cs="Arabic Typesetting"/>
          <w:sz w:val="34"/>
          <w:szCs w:val="34"/>
          <w:rtl/>
          <w:lang w:val="fr-FR"/>
        </w:rPr>
        <w:t>النظام العربي لإدارة الملكية الفكري</w:t>
      </w:r>
      <w:r w:rsidRPr="00B31868">
        <w:rPr>
          <w:rFonts w:ascii="Arabic Typesetting" w:hAnsi="Arabic Typesetting" w:cs="Arabic Typesetting" w:hint="cs"/>
          <w:sz w:val="34"/>
          <w:szCs w:val="34"/>
          <w:rtl/>
          <w:lang w:val="fr-FR"/>
        </w:rPr>
        <w:t>ة و</w:t>
      </w:r>
      <w:r w:rsidRPr="00B31868">
        <w:rPr>
          <w:rFonts w:ascii="Arabic Typesetting" w:hAnsi="Arabic Typesetting" w:cs="Arabic Typesetting"/>
          <w:sz w:val="34"/>
          <w:szCs w:val="34"/>
          <w:rtl/>
          <w:lang w:val="fr-FR"/>
        </w:rPr>
        <w:t>نظام التخطيط للموارد المؤسسية ونظام إدارة الوثائق الإلكترونية</w:t>
      </w:r>
      <w:r w:rsidRPr="00B31868">
        <w:rPr>
          <w:rFonts w:ascii="Arabic Typesetting" w:hAnsi="Arabic Typesetting" w:cs="Arabic Typesetting" w:hint="cs"/>
          <w:sz w:val="34"/>
          <w:szCs w:val="34"/>
          <w:rtl/>
          <w:lang w:val="fr-FR"/>
        </w:rPr>
        <w:t xml:space="preserve"> </w:t>
      </w:r>
      <w:r w:rsidRPr="00B31868">
        <w:rPr>
          <w:rFonts w:ascii="Arabic Typesetting" w:hAnsi="Arabic Typesetting" w:cs="Arabic Typesetting"/>
          <w:sz w:val="34"/>
          <w:szCs w:val="34"/>
          <w:rtl/>
          <w:lang w:val="fr-FR"/>
        </w:rPr>
        <w:t>برنامج الويبو للمسح الضوئي</w:t>
      </w:r>
      <w:r w:rsidRPr="00B31868">
        <w:rPr>
          <w:rFonts w:ascii="Arabic Typesetting" w:hAnsi="Arabic Typesetting" w:cs="Arabic Typesetting" w:hint="cs"/>
          <w:sz w:val="34"/>
          <w:szCs w:val="34"/>
          <w:rtl/>
          <w:lang w:val="fr-FR"/>
        </w:rPr>
        <w:t xml:space="preserve"> (</w:t>
      </w:r>
      <w:proofErr w:type="spellStart"/>
      <w:r w:rsidRPr="00B31868">
        <w:rPr>
          <w:rFonts w:ascii="Arabic Typesetting" w:hAnsi="Arabic Typesetting" w:cs="Arabic Typesetting"/>
          <w:sz w:val="34"/>
          <w:szCs w:val="34"/>
          <w:lang w:val="fr-FR"/>
        </w:rPr>
        <w:t>WIPOScan</w:t>
      </w:r>
      <w:proofErr w:type="spellEnd"/>
      <w:r w:rsidRPr="00B31868">
        <w:rPr>
          <w:rFonts w:ascii="Arabic Typesetting" w:hAnsi="Arabic Typesetting" w:cs="Arabic Typesetting" w:hint="cs"/>
          <w:sz w:val="34"/>
          <w:szCs w:val="34"/>
          <w:rtl/>
          <w:lang w:val="fr-FR"/>
        </w:rPr>
        <w:t>) ونموذج الويبو لنظام مدريد).</w:t>
      </w:r>
      <w:r w:rsidR="001349FE" w:rsidRPr="00F96634">
        <w:rPr>
          <w:rFonts w:ascii="Arabic Typesetting" w:hAnsi="Arabic Typesetting" w:cs="Arabic Typesetting"/>
          <w:sz w:val="28"/>
          <w:szCs w:val="28"/>
          <w:vertAlign w:val="superscript"/>
          <w:rtl/>
          <w:lang w:val="fr-FR"/>
        </w:rPr>
        <w:footnoteReference w:id="91"/>
      </w:r>
    </w:p>
    <w:p w:rsidR="00B31868" w:rsidRPr="00B31868" w:rsidRDefault="00023A6B" w:rsidP="00086C3F">
      <w:pPr>
        <w:bidi/>
        <w:spacing w:after="240"/>
        <w:jc w:val="center"/>
        <w:rPr>
          <w:rFonts w:ascii="Arabic Typesetting" w:hAnsi="Arabic Typesetting" w:cs="Arabic Typesetting"/>
          <w:sz w:val="34"/>
          <w:szCs w:val="34"/>
          <w:lang w:val="fr-FR"/>
        </w:rPr>
      </w:pPr>
      <w:r>
        <w:rPr>
          <w:rFonts w:ascii="Arabic Typesetting" w:hAnsi="Arabic Typesetting" w:cs="Arabic Typesetting"/>
          <w:noProof/>
          <w:sz w:val="34"/>
          <w:szCs w:val="34"/>
        </w:rPr>
        <w:drawing>
          <wp:inline distT="0" distB="0" distL="0" distR="0" wp14:anchorId="165B1E60" wp14:editId="40A8F78E">
            <wp:extent cx="6058196" cy="4067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059859" cy="4068367"/>
                    </a:xfrm>
                    <a:prstGeom prst="rect">
                      <a:avLst/>
                    </a:prstGeom>
                    <a:noFill/>
                  </pic:spPr>
                </pic:pic>
              </a:graphicData>
            </a:graphic>
          </wp:inline>
        </w:drawing>
      </w:r>
    </w:p>
    <w:p w:rsidR="00B31868" w:rsidRPr="00B31868" w:rsidRDefault="00B31868" w:rsidP="00FD7897">
      <w:pPr>
        <w:bidi/>
        <w:spacing w:before="120" w:after="120" w:line="340" w:lineRule="exact"/>
        <w:rPr>
          <w:rFonts w:ascii="Arabic Typesetting" w:hAnsi="Arabic Typesetting" w:cs="Arabic Typesetting"/>
          <w:b/>
          <w:bCs/>
          <w:sz w:val="34"/>
          <w:szCs w:val="34"/>
          <w:rtl/>
          <w:lang w:val="fr-FR"/>
        </w:rPr>
      </w:pPr>
      <w:r w:rsidRPr="00B31868">
        <w:rPr>
          <w:rFonts w:ascii="Arabic Typesetting" w:hAnsi="Arabic Typesetting" w:cs="Arabic Typesetting" w:hint="cs"/>
          <w:b/>
          <w:bCs/>
          <w:sz w:val="34"/>
          <w:szCs w:val="34"/>
          <w:rtl/>
          <w:lang w:val="fr-FR"/>
        </w:rPr>
        <w:t>منصات تقاسم الموارد</w:t>
      </w:r>
    </w:p>
    <w:tbl>
      <w:tblPr>
        <w:bidiVisual/>
        <w:tblW w:w="0" w:type="auto"/>
        <w:tblLook w:val="04A0" w:firstRow="1" w:lastRow="0" w:firstColumn="1" w:lastColumn="0" w:noHBand="0" w:noVBand="1"/>
      </w:tblPr>
      <w:tblGrid>
        <w:gridCol w:w="2983"/>
        <w:gridCol w:w="6588"/>
      </w:tblGrid>
      <w:tr w:rsidR="00B31868" w:rsidRPr="00211D55" w:rsidTr="009F0E15">
        <w:tc>
          <w:tcPr>
            <w:tcW w:w="2983" w:type="dxa"/>
          </w:tcPr>
          <w:p w:rsidR="00B31868" w:rsidRPr="00211D55" w:rsidRDefault="00B31868" w:rsidP="00FD7897">
            <w:pPr>
              <w:bidi/>
              <w:spacing w:after="120" w:line="340" w:lineRule="exact"/>
              <w:rPr>
                <w:rFonts w:ascii="Arabic Typesetting" w:hAnsi="Arabic Typesetting" w:cs="Arabic Typesetting"/>
                <w:sz w:val="28"/>
                <w:szCs w:val="28"/>
                <w:rtl/>
                <w:lang w:val="fr-FR"/>
              </w:rPr>
            </w:pPr>
            <w:r w:rsidRPr="00211D55">
              <w:rPr>
                <w:rFonts w:ascii="Arabic Typesetting" w:hAnsi="Arabic Typesetting" w:cs="Arabic Typesetting"/>
                <w:b/>
                <w:sz w:val="28"/>
                <w:szCs w:val="28"/>
                <w:rtl/>
                <w:lang w:val="pl-PL" w:bidi="ar-TN"/>
              </w:rPr>
              <w:t>خدمات الويبو للنفاذ الرقمي (</w:t>
            </w:r>
            <w:r w:rsidRPr="00211D55">
              <w:rPr>
                <w:rFonts w:ascii="Arabic Typesetting" w:hAnsi="Arabic Typesetting" w:cs="Arabic Typesetting"/>
                <w:sz w:val="28"/>
                <w:szCs w:val="28"/>
                <w:lang w:bidi="ar-TN"/>
              </w:rPr>
              <w:t>DAS</w:t>
            </w:r>
            <w:r w:rsidRPr="00211D55">
              <w:rPr>
                <w:rFonts w:ascii="Arabic Typesetting" w:hAnsi="Arabic Typesetting" w:cs="Arabic Typesetting"/>
                <w:b/>
                <w:sz w:val="28"/>
                <w:szCs w:val="28"/>
                <w:rtl/>
                <w:lang w:val="pl-PL" w:bidi="ar-TN"/>
              </w:rPr>
              <w:t>)</w:t>
            </w:r>
          </w:p>
        </w:tc>
        <w:tc>
          <w:tcPr>
            <w:tcW w:w="6588" w:type="dxa"/>
          </w:tcPr>
          <w:p w:rsidR="00B31868" w:rsidRPr="00211D55" w:rsidRDefault="00B31868" w:rsidP="00FD7897">
            <w:pPr>
              <w:bidi/>
              <w:spacing w:after="120" w:line="34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lang w:val="fr-FR"/>
              </w:rPr>
              <w:t xml:space="preserve">استنادا إلى عملية المواصفات والمراجعة مع المكاتب المشاركة، دشنت نسخة جديدة لبوابة خدمات النفاذ الرقمي لدعم الإطار المنقح </w:t>
            </w:r>
            <w:r w:rsidRPr="00211D55">
              <w:rPr>
                <w:rFonts w:ascii="Arabic Typesetting" w:hAnsi="Arabic Typesetting" w:cs="Arabic Typesetting"/>
                <w:sz w:val="28"/>
                <w:szCs w:val="28"/>
              </w:rPr>
              <w:t>DAS 2.0</w:t>
            </w:r>
            <w:r w:rsidRPr="00211D55">
              <w:rPr>
                <w:rFonts w:ascii="Arabic Typesetting" w:hAnsi="Arabic Typesetting" w:cs="Arabic Typesetting" w:hint="cs"/>
                <w:sz w:val="28"/>
                <w:szCs w:val="28"/>
                <w:rtl/>
              </w:rPr>
              <w:t xml:space="preserve"> في ديسمبر 2014. وظل عدد المكاتب المشاركة ثابتا عند 11 مكتبا.</w:t>
            </w:r>
          </w:p>
        </w:tc>
      </w:tr>
      <w:tr w:rsidR="00B31868" w:rsidRPr="00211D55" w:rsidTr="009F0E15">
        <w:tc>
          <w:tcPr>
            <w:tcW w:w="2983" w:type="dxa"/>
          </w:tcPr>
          <w:p w:rsidR="00B31868" w:rsidRPr="00211D55" w:rsidRDefault="00B31868" w:rsidP="00FD7897">
            <w:pPr>
              <w:bidi/>
              <w:spacing w:after="120" w:line="340" w:lineRule="exact"/>
              <w:rPr>
                <w:rFonts w:ascii="Arabic Typesetting" w:hAnsi="Arabic Typesetting" w:cs="Arabic Typesetting"/>
                <w:sz w:val="28"/>
                <w:szCs w:val="28"/>
                <w:rtl/>
                <w:lang w:val="fr-FR"/>
              </w:rPr>
            </w:pPr>
            <w:r w:rsidRPr="00211D55">
              <w:rPr>
                <w:rFonts w:ascii="Arabic Typesetting" w:hAnsi="Arabic Typesetting" w:cs="Arabic Typesetting"/>
                <w:sz w:val="28"/>
                <w:szCs w:val="28"/>
                <w:rtl/>
                <w:lang w:val="fr-FR"/>
              </w:rPr>
              <w:t>ونظام الويبو للنفاذ المركزي إلى البحث والفحص (</w:t>
            </w:r>
            <w:r w:rsidRPr="00211D55">
              <w:rPr>
                <w:rFonts w:ascii="Arabic Typesetting" w:hAnsi="Arabic Typesetting" w:cs="Arabic Typesetting"/>
                <w:sz w:val="28"/>
                <w:szCs w:val="28"/>
              </w:rPr>
              <w:t xml:space="preserve">WIPO </w:t>
            </w:r>
            <w:r w:rsidRPr="00211D55">
              <w:rPr>
                <w:rFonts w:ascii="Arabic Typesetting" w:hAnsi="Arabic Typesetting" w:cs="Arabic Typesetting"/>
                <w:sz w:val="28"/>
                <w:szCs w:val="28"/>
                <w:lang w:val="fr-FR"/>
              </w:rPr>
              <w:t>CASE</w:t>
            </w:r>
            <w:r w:rsidRPr="00211D55">
              <w:rPr>
                <w:rFonts w:ascii="Arabic Typesetting" w:hAnsi="Arabic Typesetting" w:cs="Arabic Typesetting"/>
                <w:sz w:val="28"/>
                <w:szCs w:val="28"/>
                <w:rtl/>
                <w:lang w:val="fr-FR"/>
              </w:rPr>
              <w:t>)</w:t>
            </w:r>
          </w:p>
        </w:tc>
        <w:tc>
          <w:tcPr>
            <w:tcW w:w="6588" w:type="dxa"/>
          </w:tcPr>
          <w:p w:rsidR="00B31868" w:rsidRPr="00211D55" w:rsidRDefault="00B31868" w:rsidP="00086C3F">
            <w:pPr>
              <w:bidi/>
              <w:spacing w:after="240" w:line="340" w:lineRule="exact"/>
              <w:rPr>
                <w:rFonts w:ascii="Arabic Typesetting" w:hAnsi="Arabic Typesetting" w:cs="Arabic Typesetting"/>
                <w:sz w:val="28"/>
                <w:szCs w:val="28"/>
              </w:rPr>
            </w:pPr>
            <w:r w:rsidRPr="00211D55">
              <w:rPr>
                <w:rFonts w:ascii="Arabic Typesetting" w:hAnsi="Arabic Typesetting" w:cs="Arabic Typesetting" w:hint="cs"/>
                <w:sz w:val="28"/>
                <w:szCs w:val="28"/>
                <w:rtl/>
                <w:lang w:val="fr-FR"/>
              </w:rPr>
              <w:t xml:space="preserve">في أبريل 2014 رُبط نظام الويبو للنفاذ المركزي إلى البحث والفحص بنظام منصة الملف الواحد </w:t>
            </w:r>
            <w:r w:rsidRPr="00211D55">
              <w:rPr>
                <w:rFonts w:ascii="Arabic Typesetting" w:hAnsi="Arabic Typesetting" w:cs="Arabic Typesetting"/>
                <w:sz w:val="28"/>
                <w:szCs w:val="28"/>
              </w:rPr>
              <w:t>IP5</w:t>
            </w:r>
            <w:r w:rsidRPr="00211D55">
              <w:rPr>
                <w:rFonts w:ascii="Arabic Typesetting" w:hAnsi="Arabic Typesetting" w:cs="Arabic Typesetting" w:hint="cs"/>
                <w:sz w:val="28"/>
                <w:szCs w:val="28"/>
                <w:rtl/>
              </w:rPr>
              <w:t xml:space="preserve">، ما أتاح تبادل معلومات الملفات بالكامل في الاتجاهين بين نظام </w:t>
            </w:r>
            <w:r w:rsidRPr="00211D55">
              <w:rPr>
                <w:rFonts w:ascii="Arabic Typesetting" w:hAnsi="Arabic Typesetting" w:cs="Arabic Typesetting"/>
                <w:sz w:val="28"/>
                <w:szCs w:val="28"/>
              </w:rPr>
              <w:t>WIPO CASE</w:t>
            </w:r>
            <w:r w:rsidRPr="00211D55">
              <w:rPr>
                <w:rFonts w:ascii="Arabic Typesetting" w:hAnsi="Arabic Typesetting" w:cs="Arabic Typesetting" w:hint="cs"/>
                <w:sz w:val="28"/>
                <w:szCs w:val="28"/>
                <w:rtl/>
              </w:rPr>
              <w:t xml:space="preserve"> ومكاتب نظام </w:t>
            </w:r>
            <w:r w:rsidRPr="00211D55">
              <w:rPr>
                <w:rFonts w:ascii="Arabic Typesetting" w:hAnsi="Arabic Typesetting" w:cs="Arabic Typesetting"/>
                <w:sz w:val="28"/>
                <w:szCs w:val="28"/>
              </w:rPr>
              <w:t>IP5</w:t>
            </w:r>
            <w:r w:rsidRPr="00211D55">
              <w:rPr>
                <w:rFonts w:ascii="Arabic Typesetting" w:hAnsi="Arabic Typesetting" w:cs="Arabic Typesetting" w:hint="cs"/>
                <w:sz w:val="28"/>
                <w:szCs w:val="28"/>
                <w:rtl/>
              </w:rPr>
              <w:t xml:space="preserve">. وسجلت </w:t>
            </w:r>
            <w:r w:rsidR="001349FE" w:rsidRPr="00211D55">
              <w:rPr>
                <w:rFonts w:ascii="Arabic Typesetting" w:hAnsi="Arabic Typesetting" w:cs="Arabic Typesetting" w:hint="cs"/>
                <w:sz w:val="28"/>
                <w:szCs w:val="28"/>
                <w:rtl/>
              </w:rPr>
              <w:t xml:space="preserve">عدة </w:t>
            </w:r>
            <w:r w:rsidRPr="00211D55">
              <w:rPr>
                <w:rFonts w:ascii="Arabic Typesetting" w:hAnsi="Arabic Typesetting" w:cs="Arabic Typesetting" w:hint="cs"/>
                <w:sz w:val="28"/>
                <w:szCs w:val="28"/>
                <w:rtl/>
              </w:rPr>
              <w:t xml:space="preserve">مكاتب جديدة لاستخدام نظام </w:t>
            </w:r>
            <w:r w:rsidRPr="00211D55">
              <w:rPr>
                <w:rFonts w:ascii="Arabic Typesetting" w:hAnsi="Arabic Typesetting" w:cs="Arabic Typesetting"/>
                <w:sz w:val="28"/>
                <w:szCs w:val="28"/>
              </w:rPr>
              <w:t>WIPO CASE</w:t>
            </w:r>
            <w:r w:rsidR="001349FE" w:rsidRPr="00211D55">
              <w:rPr>
                <w:rFonts w:ascii="Arabic Typesetting" w:hAnsi="Arabic Typesetting" w:cs="Arabic Typesetting" w:hint="cs"/>
                <w:sz w:val="28"/>
                <w:szCs w:val="28"/>
                <w:rtl/>
              </w:rPr>
              <w:t xml:space="preserve"> خلال الثنائية</w:t>
            </w:r>
            <w:r w:rsidRPr="00211D55">
              <w:rPr>
                <w:rFonts w:ascii="Arabic Typesetting" w:hAnsi="Arabic Typesetting" w:cs="Arabic Typesetting" w:hint="cs"/>
                <w:sz w:val="28"/>
                <w:szCs w:val="28"/>
                <w:rtl/>
              </w:rPr>
              <w:t xml:space="preserve">، فبلغ العدد الإجمالي للمكاتب المشاركة </w:t>
            </w:r>
            <w:r w:rsidR="001349FE" w:rsidRPr="00211D55">
              <w:rPr>
                <w:rFonts w:ascii="Arabic Typesetting" w:hAnsi="Arabic Typesetting" w:cs="Arabic Typesetting" w:hint="cs"/>
                <w:sz w:val="28"/>
                <w:szCs w:val="28"/>
                <w:rtl/>
              </w:rPr>
              <w:t xml:space="preserve">21 </w:t>
            </w:r>
            <w:r w:rsidRPr="00211D55">
              <w:rPr>
                <w:rFonts w:ascii="Arabic Typesetting" w:hAnsi="Arabic Typesetting" w:cs="Arabic Typesetting" w:hint="cs"/>
                <w:sz w:val="28"/>
                <w:szCs w:val="28"/>
                <w:rtl/>
              </w:rPr>
              <w:t>مكتبا</w:t>
            </w:r>
            <w:r w:rsidR="001349FE" w:rsidRPr="00211D55">
              <w:rPr>
                <w:rFonts w:ascii="Arabic Typesetting" w:hAnsi="Arabic Typesetting" w:cs="Arabic Typesetting" w:hint="cs"/>
                <w:sz w:val="28"/>
                <w:szCs w:val="28"/>
                <w:rtl/>
              </w:rPr>
              <w:t xml:space="preserve"> منها 10 وافقت على توفير معلومات الملفات الخاصة بها للمكاتب الأخرى.</w:t>
            </w:r>
          </w:p>
        </w:tc>
      </w:tr>
    </w:tbl>
    <w:p w:rsidR="00B31868" w:rsidRPr="00141A0B" w:rsidRDefault="00B31868" w:rsidP="009A3712">
      <w:pPr>
        <w:numPr>
          <w:ilvl w:val="0"/>
          <w:numId w:val="11"/>
        </w:numPr>
        <w:bidi/>
        <w:spacing w:before="120" w:after="120" w:line="360" w:lineRule="exact"/>
        <w:ind w:left="0" w:firstLine="0"/>
        <w:rPr>
          <w:rFonts w:ascii="Arabic Typesetting" w:hAnsi="Arabic Typesetting" w:cs="Arabic Typesetting"/>
          <w:sz w:val="34"/>
          <w:szCs w:val="34"/>
          <w:rtl/>
        </w:rPr>
      </w:pPr>
      <w:r w:rsidRPr="001349FE">
        <w:rPr>
          <w:rFonts w:ascii="Arabic Typesetting" w:hAnsi="Arabic Typesetting" w:cs="Arabic Typesetting" w:hint="cs"/>
          <w:sz w:val="34"/>
          <w:szCs w:val="34"/>
          <w:rtl/>
          <w:lang w:val="fr-FR"/>
        </w:rPr>
        <w:t>واسترشد تصميم أنشطة البرنامج 15 وتخطيطها وتنفيذها بتوصيات جدول أعمال التنمية المعنية، ولا سيما التوصيات</w:t>
      </w:r>
      <w:r w:rsidRPr="001349FE">
        <w:rPr>
          <w:rFonts w:ascii="Arabic Typesetting" w:hAnsi="Arabic Typesetting" w:cs="Arabic Typesetting" w:hint="eastAsia"/>
          <w:sz w:val="34"/>
          <w:szCs w:val="34"/>
          <w:rtl/>
          <w:lang w:val="fr-FR"/>
        </w:rPr>
        <w:t> </w:t>
      </w:r>
      <w:r w:rsidRPr="001349FE">
        <w:rPr>
          <w:rFonts w:ascii="Arabic Typesetting" w:hAnsi="Arabic Typesetting" w:cs="Arabic Typesetting" w:hint="cs"/>
          <w:sz w:val="34"/>
          <w:szCs w:val="34"/>
          <w:rtl/>
          <w:lang w:val="fr-FR"/>
        </w:rPr>
        <w:t>1</w:t>
      </w:r>
      <w:r w:rsidRPr="001349FE">
        <w:rPr>
          <w:rFonts w:ascii="Arabic Typesetting" w:hAnsi="Arabic Typesetting" w:cs="Arabic Typesetting" w:hint="eastAsia"/>
          <w:sz w:val="34"/>
          <w:szCs w:val="34"/>
          <w:rtl/>
          <w:lang w:val="fr-FR"/>
        </w:rPr>
        <w:t> </w:t>
      </w:r>
      <w:r w:rsidRPr="001349FE">
        <w:rPr>
          <w:rFonts w:ascii="Arabic Typesetting" w:hAnsi="Arabic Typesetting" w:cs="Arabic Typesetting" w:hint="cs"/>
          <w:sz w:val="34"/>
          <w:szCs w:val="34"/>
          <w:rtl/>
          <w:lang w:val="fr-FR"/>
        </w:rPr>
        <w:t>و2</w:t>
      </w:r>
      <w:r w:rsidRPr="001349FE">
        <w:rPr>
          <w:rFonts w:ascii="Arabic Typesetting" w:hAnsi="Arabic Typesetting" w:cs="Arabic Typesetting" w:hint="eastAsia"/>
          <w:sz w:val="34"/>
          <w:szCs w:val="34"/>
          <w:rtl/>
          <w:lang w:val="fr-FR"/>
        </w:rPr>
        <w:t> </w:t>
      </w:r>
      <w:r w:rsidRPr="001349FE">
        <w:rPr>
          <w:rFonts w:ascii="Arabic Typesetting" w:hAnsi="Arabic Typesetting" w:cs="Arabic Typesetting" w:hint="cs"/>
          <w:sz w:val="34"/>
          <w:szCs w:val="34"/>
          <w:rtl/>
          <w:lang w:val="fr-FR"/>
        </w:rPr>
        <w:t>و10.</w:t>
      </w:r>
    </w:p>
    <w:p w:rsidR="00B31868" w:rsidRPr="00E439F5" w:rsidRDefault="00B31868" w:rsidP="00086C3F">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sz w:val="34"/>
          <w:szCs w:val="34"/>
          <w:rtl/>
          <w:lang w:val="fr-CH"/>
        </w:rPr>
        <w:lastRenderedPageBreak/>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117"/>
        <w:gridCol w:w="2539"/>
        <w:gridCol w:w="1265"/>
        <w:gridCol w:w="2543"/>
        <w:gridCol w:w="893"/>
      </w:tblGrid>
      <w:tr w:rsidR="001D14B8" w:rsidRPr="00211D55" w:rsidTr="001D14B8">
        <w:trPr>
          <w:trHeight w:val="136"/>
        </w:trPr>
        <w:tc>
          <w:tcPr>
            <w:tcW w:w="5000" w:type="pct"/>
            <w:gridSpan w:val="5"/>
            <w:tcBorders>
              <w:top w:val="single" w:sz="4" w:space="0" w:color="auto"/>
              <w:bottom w:val="single" w:sz="4" w:space="0" w:color="auto"/>
            </w:tcBorders>
            <w:shd w:val="clear" w:color="auto" w:fill="C6D9F1" w:themeFill="text2" w:themeFillTint="33"/>
            <w:vAlign w:val="center"/>
          </w:tcPr>
          <w:p w:rsidR="001D14B8" w:rsidRPr="00211D55" w:rsidRDefault="001D14B8" w:rsidP="00FE0236">
            <w:pPr>
              <w:keepNext/>
              <w:bidi/>
              <w:spacing w:after="60" w:line="280" w:lineRule="exact"/>
              <w:ind w:left="1167" w:hanging="1167"/>
              <w:rPr>
                <w:rFonts w:ascii="Arabic Typesetting" w:hAnsi="Arabic Typesetting" w:cs="Arabic Typesetting"/>
                <w:sz w:val="28"/>
                <w:szCs w:val="28"/>
                <w:rtl/>
                <w:lang w:bidi="ar-TN"/>
              </w:rPr>
            </w:pPr>
            <w:r w:rsidRPr="00211D55">
              <w:rPr>
                <w:rFonts w:ascii="Arabic Typesetting" w:hAnsi="Arabic Typesetting" w:cs="Arabic Typesetting"/>
                <w:b/>
                <w:bCs/>
                <w:sz w:val="28"/>
                <w:szCs w:val="28"/>
                <w:rtl/>
                <w:lang w:bidi="ar-EG"/>
              </w:rPr>
              <w:t>النتيجة المرتقبة</w:t>
            </w:r>
            <w:r w:rsidRPr="00211D55">
              <w:rPr>
                <w:rFonts w:ascii="Arabic Typesetting" w:hAnsi="Arabic Typesetting" w:cs="Arabic Typesetting"/>
                <w:sz w:val="28"/>
                <w:szCs w:val="28"/>
                <w:rtl/>
                <w:lang w:bidi="ar-EG"/>
              </w:rPr>
              <w:t>:</w:t>
            </w:r>
            <w:r w:rsidR="006E7FC6" w:rsidRPr="00211D55">
              <w:rPr>
                <w:rFonts w:ascii="Arabic Typesetting" w:hAnsi="Arabic Typesetting" w:cs="Arabic Typesetting"/>
                <w:sz w:val="28"/>
                <w:szCs w:val="28"/>
                <w:rtl/>
                <w:lang w:bidi="ar-EG"/>
              </w:rPr>
              <w:tab/>
              <w:t>ه</w:t>
            </w:r>
            <w:r w:rsidRPr="00211D55">
              <w:rPr>
                <w:rFonts w:ascii="Arabic Typesetting" w:hAnsi="Arabic Typesetting" w:cs="Arabic Typesetting"/>
                <w:color w:val="000000"/>
                <w:sz w:val="28"/>
                <w:szCs w:val="28"/>
                <w:rtl/>
                <w:lang w:bidi="ar-EG"/>
              </w:rPr>
              <w:t xml:space="preserve">4.4 </w:t>
            </w:r>
            <w:r w:rsidR="000432CA">
              <w:rPr>
                <w:rFonts w:ascii="Arabic Typesetting" w:hAnsi="Arabic Typesetting" w:cs="Arabic Typesetting"/>
                <w:b/>
                <w:sz w:val="28"/>
                <w:szCs w:val="28"/>
                <w:shd w:val="clear" w:color="auto" w:fill="C6D9F1" w:themeFill="text2" w:themeFillTint="33"/>
                <w:rtl/>
                <w:lang w:bidi="ar-EG"/>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B31868" w:rsidRPr="00211D55" w:rsidTr="00497CD1">
        <w:trPr>
          <w:trHeight w:val="136"/>
        </w:trPr>
        <w:tc>
          <w:tcPr>
            <w:tcW w:w="1131"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1357" w:type="pct"/>
            <w:tcBorders>
              <w:top w:val="single" w:sz="4" w:space="0" w:color="auto"/>
            </w:tcBorders>
            <w:shd w:val="clear" w:color="auto" w:fill="auto"/>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 xml:space="preserve">أسس المقارنة </w:t>
            </w:r>
          </w:p>
        </w:tc>
        <w:tc>
          <w:tcPr>
            <w:tcW w:w="676"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hint="cs"/>
                <w:b/>
                <w:bCs/>
                <w:sz w:val="28"/>
                <w:szCs w:val="28"/>
                <w:rtl/>
                <w:lang w:val="fr-FR" w:bidi="ar-TN"/>
              </w:rPr>
              <w:t>الأهداف</w:t>
            </w:r>
          </w:p>
        </w:tc>
        <w:tc>
          <w:tcPr>
            <w:tcW w:w="1359" w:type="pct"/>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477"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497CD1">
        <w:trPr>
          <w:trHeight w:val="136"/>
        </w:trPr>
        <w:tc>
          <w:tcPr>
            <w:tcW w:w="1131"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عدد المكاتب التي تستخدم منصات الويبو للبنية التحتية </w:t>
            </w:r>
          </w:p>
        </w:tc>
        <w:tc>
          <w:tcPr>
            <w:tcW w:w="1357" w:type="pct"/>
            <w:shd w:val="clear" w:color="auto" w:fill="auto"/>
          </w:tcPr>
          <w:p w:rsidR="00B31868" w:rsidRPr="00211D55" w:rsidRDefault="00B31868" w:rsidP="00086C3F">
            <w:pPr>
              <w:bidi/>
              <w:spacing w:before="60" w:after="60" w:line="30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w:t>
            </w:r>
            <w:r w:rsidRPr="00211D55">
              <w:rPr>
                <w:rFonts w:ascii="Arabic Typesetting" w:hAnsi="Arabic Typesetting" w:cs="Arabic Typesetting" w:hint="cs"/>
                <w:b/>
                <w:i/>
                <w:iCs/>
                <w:color w:val="002060"/>
                <w:sz w:val="28"/>
                <w:szCs w:val="28"/>
                <w:rtl/>
                <w:lang w:bidi="ar-EG"/>
              </w:rPr>
              <w:t xml:space="preserve"> في </w:t>
            </w:r>
            <w:r w:rsidRPr="00211D55">
              <w:rPr>
                <w:rFonts w:ascii="Arabic Typesetting" w:hAnsi="Arabic Typesetting" w:cs="Arabic Typesetting"/>
                <w:b/>
                <w:i/>
                <w:iCs/>
                <w:color w:val="002060"/>
                <w:sz w:val="28"/>
                <w:szCs w:val="28"/>
                <w:rtl/>
                <w:lang w:bidi="ar-EG"/>
              </w:rPr>
              <w:t xml:space="preserve">نهاية </w:t>
            </w:r>
            <w:r w:rsidRPr="00211D55">
              <w:rPr>
                <w:rFonts w:ascii="Arabic Typesetting" w:hAnsi="Arabic Typesetting" w:cs="Arabic Typesetting" w:hint="cs"/>
                <w:b/>
                <w:i/>
                <w:iCs/>
                <w:color w:val="002060"/>
                <w:sz w:val="28"/>
                <w:szCs w:val="28"/>
                <w:rtl/>
                <w:lang w:bidi="ar-EG"/>
              </w:rPr>
              <w:t xml:space="preserve">2013: </w:t>
            </w:r>
            <w:r w:rsidRPr="00211D55">
              <w:rPr>
                <w:rFonts w:ascii="Arabic Typesetting" w:hAnsi="Arabic Typesetting" w:cs="Arabic Typesetting" w:hint="cs"/>
                <w:b/>
                <w:color w:val="002060"/>
                <w:sz w:val="28"/>
                <w:szCs w:val="28"/>
                <w:rtl/>
                <w:lang w:bidi="ar-EG"/>
              </w:rPr>
              <w:t>آسيا والمحيط الهادئ (</w:t>
            </w:r>
            <w:r w:rsidR="0017568B" w:rsidRPr="00211D55">
              <w:rPr>
                <w:rFonts w:ascii="Arabic Typesetting" w:hAnsi="Arabic Typesetting" w:cs="Arabic Typesetting" w:hint="cs"/>
                <w:b/>
                <w:color w:val="002060"/>
                <w:sz w:val="28"/>
                <w:szCs w:val="28"/>
                <w:rtl/>
                <w:lang w:bidi="ar-EG"/>
              </w:rPr>
              <w:t>5</w:t>
            </w:r>
            <w:r w:rsidRPr="00211D55">
              <w:rPr>
                <w:rFonts w:ascii="Arabic Typesetting" w:hAnsi="Arabic Typesetting" w:cs="Arabic Typesetting" w:hint="cs"/>
                <w:b/>
                <w:color w:val="002060"/>
                <w:sz w:val="28"/>
                <w:szCs w:val="28"/>
                <w:rtl/>
                <w:lang w:bidi="ar-EG"/>
              </w:rPr>
              <w:t>): الصين ومنغوليا</w:t>
            </w:r>
            <w:r w:rsidR="0017568B" w:rsidRPr="00211D55">
              <w:rPr>
                <w:rFonts w:ascii="Arabic Typesetting" w:hAnsi="Arabic Typesetting" w:cs="Arabic Typesetting" w:hint="cs"/>
                <w:b/>
                <w:color w:val="002060"/>
                <w:sz w:val="28"/>
                <w:szCs w:val="28"/>
                <w:rtl/>
                <w:lang w:bidi="ar-EG"/>
              </w:rPr>
              <w:t xml:space="preserve"> وجمهورية كوريا</w:t>
            </w:r>
            <w:r w:rsidR="0017568B" w:rsidRPr="00F96634">
              <w:rPr>
                <w:rFonts w:ascii="Arabic Typesetting" w:hAnsi="Arabic Typesetting" w:cs="Arabic Typesetting"/>
                <w:b/>
                <w:color w:val="002060"/>
                <w:sz w:val="28"/>
                <w:szCs w:val="28"/>
                <w:vertAlign w:val="superscript"/>
                <w:rtl/>
                <w:lang w:bidi="ar-EG"/>
              </w:rPr>
              <w:footnoteReference w:id="92"/>
            </w:r>
            <w:r w:rsidRPr="00211D55">
              <w:rPr>
                <w:rFonts w:ascii="Arabic Typesetting" w:hAnsi="Arabic Typesetting" w:cs="Arabic Typesetting" w:hint="cs"/>
                <w:b/>
                <w:color w:val="002060"/>
                <w:sz w:val="28"/>
                <w:szCs w:val="28"/>
                <w:rtl/>
                <w:lang w:bidi="ar-EG"/>
              </w:rPr>
              <w:t xml:space="preserve"> وسنغافورة </w:t>
            </w:r>
            <w:proofErr w:type="spellStart"/>
            <w:r w:rsidRPr="00211D55">
              <w:rPr>
                <w:rFonts w:ascii="Arabic Typesetting" w:hAnsi="Arabic Typesetting" w:cs="Arabic Typesetting" w:hint="cs"/>
                <w:b/>
                <w:color w:val="002060"/>
                <w:sz w:val="28"/>
                <w:szCs w:val="28"/>
                <w:rtl/>
                <w:lang w:bidi="ar-EG"/>
              </w:rPr>
              <w:t>وفييت</w:t>
            </w:r>
            <w:proofErr w:type="spellEnd"/>
            <w:r w:rsidR="0017568B" w:rsidRPr="00211D55">
              <w:rPr>
                <w:rFonts w:ascii="Arabic Typesetting" w:hAnsi="Arabic Typesetting" w:cs="Arabic Typesetting" w:hint="eastAsia"/>
                <w:b/>
                <w:color w:val="002060"/>
                <w:sz w:val="28"/>
                <w:szCs w:val="28"/>
                <w:rtl/>
                <w:lang w:bidi="ar-EG"/>
              </w:rPr>
              <w:t> </w:t>
            </w:r>
            <w:r w:rsidRPr="00211D55">
              <w:rPr>
                <w:rFonts w:ascii="Arabic Typesetting" w:hAnsi="Arabic Typesetting" w:cs="Arabic Typesetting" w:hint="cs"/>
                <w:b/>
                <w:color w:val="002060"/>
                <w:sz w:val="28"/>
                <w:szCs w:val="28"/>
                <w:rtl/>
                <w:lang w:bidi="ar-EG"/>
              </w:rPr>
              <w:t>نام</w:t>
            </w:r>
          </w:p>
          <w:p w:rsidR="00B31868" w:rsidRPr="00211D55" w:rsidRDefault="00B31868" w:rsidP="00086C3F">
            <w:pPr>
              <w:bidi/>
              <w:spacing w:before="60" w:after="60" w:line="30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hint="cs"/>
                <w:b/>
                <w:color w:val="002060"/>
                <w:sz w:val="28"/>
                <w:szCs w:val="28"/>
                <w:rtl/>
                <w:lang w:bidi="ar-EG"/>
              </w:rPr>
              <w:t>مكاتب أخرى (</w:t>
            </w:r>
            <w:r w:rsidR="0017568B" w:rsidRPr="00211D55">
              <w:rPr>
                <w:rFonts w:ascii="Arabic Typesetting" w:hAnsi="Arabic Typesetting" w:cs="Arabic Typesetting"/>
                <w:b/>
                <w:color w:val="002060"/>
                <w:sz w:val="28"/>
                <w:szCs w:val="28"/>
                <w:lang w:bidi="ar-EG"/>
              </w:rPr>
              <w:t>11</w:t>
            </w:r>
            <w:r w:rsidRPr="00211D55">
              <w:rPr>
                <w:rFonts w:ascii="Arabic Typesetting" w:hAnsi="Arabic Typesetting" w:cs="Arabic Typesetting" w:hint="cs"/>
                <w:b/>
                <w:color w:val="002060"/>
                <w:sz w:val="28"/>
                <w:szCs w:val="28"/>
                <w:rtl/>
                <w:lang w:bidi="ar-EG"/>
              </w:rPr>
              <w:t>): أستراليا وكندا والدانمرك وفنلندا وإسرائيل واليابان ونيوزلندا وإسبانيا والسويد والمملكة المتحدة والولايات المتحدة الأمريكية (16 التراكمي)</w:t>
            </w:r>
          </w:p>
          <w:p w:rsidR="00B31868" w:rsidRPr="00211D55" w:rsidRDefault="00B3186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أمريكا</w:t>
            </w:r>
            <w:r w:rsidRPr="00211D55">
              <w:rPr>
                <w:rFonts w:ascii="Arabic Typesetting" w:hAnsi="Arabic Typesetting" w:cs="Arabic Typesetting" w:hint="cs"/>
                <w:b/>
                <w:sz w:val="28"/>
                <w:szCs w:val="28"/>
                <w:rtl/>
                <w:lang w:bidi="ar-EG"/>
              </w:rPr>
              <w:t> </w:t>
            </w:r>
            <w:r w:rsidRPr="00211D55">
              <w:rPr>
                <w:rFonts w:ascii="Arabic Typesetting" w:hAnsi="Arabic Typesetting" w:cs="Arabic Typesetting"/>
                <w:b/>
                <w:sz w:val="28"/>
                <w:szCs w:val="28"/>
                <w:rtl/>
                <w:lang w:bidi="ar-EG"/>
              </w:rPr>
              <w:t>الشمالية – 2</w:t>
            </w:r>
          </w:p>
          <w:p w:rsidR="00B31868" w:rsidRPr="00211D55" w:rsidRDefault="00B3186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أوروبا الغربية – 7</w:t>
            </w:r>
          </w:p>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sz w:val="28"/>
                <w:szCs w:val="28"/>
                <w:rtl/>
                <w:lang w:bidi="ar-EG"/>
              </w:rPr>
              <w:t>آسيا/المحيط الهادئ - 6</w:t>
            </w:r>
          </w:p>
        </w:tc>
        <w:tc>
          <w:tcPr>
            <w:tcW w:w="676" w:type="pct"/>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25 (بحسب التقسيم الإقليمي)</w:t>
            </w:r>
          </w:p>
          <w:p w:rsidR="00B31868" w:rsidRPr="00211D55" w:rsidRDefault="00B31868" w:rsidP="00086C3F">
            <w:pPr>
              <w:bidi/>
              <w:spacing w:before="60" w:after="60" w:line="280" w:lineRule="exact"/>
              <w:rPr>
                <w:rFonts w:ascii="Arabic Typesetting" w:hAnsi="Arabic Typesetting" w:cs="Arabic Typesetting"/>
                <w:color w:val="993300"/>
                <w:sz w:val="28"/>
                <w:szCs w:val="28"/>
                <w:lang w:bidi="ar-EG"/>
              </w:rPr>
            </w:pPr>
          </w:p>
        </w:tc>
        <w:tc>
          <w:tcPr>
            <w:tcW w:w="1359" w:type="pct"/>
            <w:shd w:val="clear" w:color="auto" w:fill="FFFFFF"/>
            <w:tcMar>
              <w:top w:w="110" w:type="dxa"/>
            </w:tcMar>
          </w:tcPr>
          <w:p w:rsidR="003F3457" w:rsidRPr="00211D55" w:rsidRDefault="003F3457"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 xml:space="preserve">9 </w:t>
            </w:r>
            <w:r w:rsidR="00B31868" w:rsidRPr="00211D55">
              <w:rPr>
                <w:rFonts w:ascii="Arabic Typesetting" w:hAnsi="Arabic Typesetting" w:cs="Arabic Typesetting" w:hint="cs"/>
                <w:sz w:val="28"/>
                <w:szCs w:val="28"/>
                <w:rtl/>
                <w:lang w:bidi="ar-EG"/>
              </w:rPr>
              <w:t>مكاتب إضافية في</w:t>
            </w:r>
            <w:r w:rsidRPr="00211D55">
              <w:rPr>
                <w:rFonts w:ascii="Arabic Typesetting" w:hAnsi="Arabic Typesetting" w:cs="Arabic Typesetting" w:hint="cs"/>
                <w:sz w:val="28"/>
                <w:szCs w:val="28"/>
                <w:rtl/>
                <w:lang w:bidi="ar-EG"/>
              </w:rPr>
              <w:t xml:space="preserve"> </w:t>
            </w:r>
            <w:r w:rsidR="00507DE2">
              <w:rPr>
                <w:rFonts w:ascii="Arabic Typesetting" w:hAnsi="Arabic Typesetting" w:cs="Arabic Typesetting" w:hint="cs"/>
                <w:sz w:val="28"/>
                <w:szCs w:val="28"/>
                <w:rtl/>
                <w:lang w:bidi="ar-EG"/>
              </w:rPr>
              <w:t>2014/15</w:t>
            </w:r>
            <w:r w:rsidRPr="00211D55">
              <w:rPr>
                <w:rFonts w:ascii="Arabic Typesetting" w:hAnsi="Arabic Typesetting" w:cs="Arabic Typesetting" w:hint="cs"/>
                <w:sz w:val="28"/>
                <w:szCs w:val="28"/>
                <w:rtl/>
                <w:lang w:bidi="ar-EG"/>
              </w:rPr>
              <w:t>:</w:t>
            </w:r>
          </w:p>
          <w:p w:rsidR="00B31868" w:rsidRPr="00211D55" w:rsidRDefault="003F3457" w:rsidP="00086C3F">
            <w:pPr>
              <w:bidi/>
              <w:spacing w:before="60" w:after="120" w:line="280" w:lineRule="exact"/>
              <w:ind w:left="284" w:hanging="284"/>
              <w:rPr>
                <w:rFonts w:ascii="Arabic Typesetting" w:hAnsi="Arabic Typesetting" w:cs="Arabic Typesetting"/>
                <w:sz w:val="28"/>
                <w:szCs w:val="28"/>
                <w:lang w:bidi="ar-EG"/>
              </w:rPr>
            </w:pPr>
            <w:r w:rsidRPr="00211D55">
              <w:rPr>
                <w:rFonts w:ascii="Arabic Typesetting" w:hAnsi="Arabic Typesetting" w:cs="Arabic Typesetting" w:hint="cs"/>
                <w:sz w:val="28"/>
                <w:szCs w:val="28"/>
                <w:rtl/>
                <w:lang w:bidi="ar-EG"/>
              </w:rPr>
              <w:t>-</w:t>
            </w:r>
            <w:r w:rsidRPr="00211D55">
              <w:rPr>
                <w:rFonts w:ascii="Arabic Typesetting" w:hAnsi="Arabic Typesetting" w:cs="Arabic Typesetting"/>
                <w:sz w:val="28"/>
                <w:szCs w:val="28"/>
                <w:rtl/>
                <w:lang w:bidi="ar-EG"/>
              </w:rPr>
              <w:tab/>
            </w:r>
            <w:r w:rsidRPr="00211D55">
              <w:rPr>
                <w:rFonts w:ascii="Arabic Typesetting" w:hAnsi="Arabic Typesetting" w:cs="Arabic Typesetting" w:hint="cs"/>
                <w:sz w:val="28"/>
                <w:szCs w:val="28"/>
                <w:rtl/>
                <w:lang w:bidi="ar-EG"/>
              </w:rPr>
              <w:t>7 مكاتب إضافية في</w:t>
            </w:r>
            <w:r w:rsidR="00B31868" w:rsidRPr="00211D55">
              <w:rPr>
                <w:rFonts w:ascii="Arabic Typesetting" w:hAnsi="Arabic Typesetting" w:cs="Arabic Typesetting" w:hint="cs"/>
                <w:sz w:val="28"/>
                <w:szCs w:val="28"/>
                <w:rtl/>
                <w:lang w:bidi="ar-EG"/>
              </w:rPr>
              <w:t xml:space="preserve"> آسيا والمحيط الهادئ: بروني دار السلام والهند وإندونيسيا </w:t>
            </w:r>
            <w:r w:rsidRPr="00211D55">
              <w:rPr>
                <w:rFonts w:ascii="Arabic Typesetting" w:hAnsi="Arabic Typesetting" w:cs="Arabic Typesetting" w:hint="cs"/>
                <w:sz w:val="28"/>
                <w:szCs w:val="28"/>
                <w:rtl/>
                <w:lang w:bidi="ar-EG"/>
              </w:rPr>
              <w:t xml:space="preserve">وجمهورية لاو الديمقراطية الشعبية </w:t>
            </w:r>
            <w:r w:rsidR="00B31868" w:rsidRPr="00211D55">
              <w:rPr>
                <w:rFonts w:ascii="Arabic Typesetting" w:hAnsi="Arabic Typesetting" w:cs="Arabic Typesetting" w:hint="cs"/>
                <w:sz w:val="28"/>
                <w:szCs w:val="28"/>
                <w:rtl/>
                <w:lang w:bidi="ar-EG"/>
              </w:rPr>
              <w:t>وماليزيا والفلبين</w:t>
            </w:r>
            <w:r w:rsidRPr="00211D55">
              <w:rPr>
                <w:rFonts w:ascii="Arabic Typesetting" w:hAnsi="Arabic Typesetting" w:cs="Arabic Typesetting" w:hint="cs"/>
                <w:sz w:val="28"/>
                <w:szCs w:val="28"/>
                <w:rtl/>
                <w:lang w:bidi="ar-EG"/>
              </w:rPr>
              <w:t xml:space="preserve"> وتايلاند </w:t>
            </w:r>
            <w:r w:rsidR="00B31868" w:rsidRPr="00211D55">
              <w:rPr>
                <w:rFonts w:ascii="Arabic Typesetting" w:hAnsi="Arabic Typesetting" w:cs="Arabic Typesetting" w:hint="cs"/>
                <w:sz w:val="28"/>
                <w:szCs w:val="28"/>
                <w:rtl/>
                <w:lang w:bidi="ar-EG"/>
              </w:rPr>
              <w:t>(</w:t>
            </w:r>
            <w:r w:rsidRPr="00211D55">
              <w:rPr>
                <w:rFonts w:ascii="Arabic Typesetting" w:hAnsi="Arabic Typesetting" w:cs="Arabic Typesetting" w:hint="cs"/>
                <w:sz w:val="28"/>
                <w:szCs w:val="28"/>
                <w:rtl/>
                <w:lang w:bidi="ar-EG"/>
              </w:rPr>
              <w:t xml:space="preserve">12 </w:t>
            </w:r>
            <w:r w:rsidR="00B31868" w:rsidRPr="00211D55">
              <w:rPr>
                <w:rFonts w:ascii="Arabic Typesetting" w:hAnsi="Arabic Typesetting" w:cs="Arabic Typesetting" w:hint="cs"/>
                <w:sz w:val="28"/>
                <w:szCs w:val="28"/>
                <w:rtl/>
                <w:lang w:bidi="ar-EG"/>
              </w:rPr>
              <w:t>التراكمي)</w:t>
            </w:r>
          </w:p>
          <w:p w:rsidR="00B31868" w:rsidRPr="00211D55" w:rsidRDefault="003F3457" w:rsidP="00086C3F">
            <w:pPr>
              <w:bidi/>
              <w:spacing w:before="60" w:after="12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 مكتب إضافي أمريكا اللاتينية والكاريبي: شيلي (1</w:t>
            </w:r>
            <w:r w:rsidR="00D674AB" w:rsidRPr="00211D55">
              <w:rPr>
                <w:rFonts w:ascii="Arabic Typesetting" w:hAnsi="Arabic Typesetting" w:cs="Arabic Typesetting" w:hint="eastAsia"/>
                <w:sz w:val="28"/>
                <w:szCs w:val="28"/>
                <w:rtl/>
                <w:lang w:bidi="ar-EG"/>
              </w:rPr>
              <w:t> </w:t>
            </w:r>
            <w:r w:rsidRPr="00211D55">
              <w:rPr>
                <w:rFonts w:ascii="Arabic Typesetting" w:hAnsi="Arabic Typesetting" w:cs="Arabic Typesetting" w:hint="cs"/>
                <w:sz w:val="28"/>
                <w:szCs w:val="28"/>
                <w:rtl/>
                <w:lang w:bidi="ar-EG"/>
              </w:rPr>
              <w:t>التراكمي)</w:t>
            </w:r>
          </w:p>
          <w:p w:rsidR="003F3457" w:rsidRPr="00211D55" w:rsidRDefault="003F3457" w:rsidP="00086C3F">
            <w:pPr>
              <w:bidi/>
              <w:spacing w:before="60" w:after="12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 مكتب إضافي في بلدان أخرى: المكتب الدولي (17 التراكمي)</w:t>
            </w:r>
          </w:p>
          <w:p w:rsidR="003F3457" w:rsidRPr="00211D55" w:rsidRDefault="003F3457" w:rsidP="00086C3F">
            <w:pPr>
              <w:bidi/>
              <w:spacing w:before="60" w:after="120" w:line="280" w:lineRule="exact"/>
              <w:ind w:firstLine="284"/>
              <w:rPr>
                <w:rFonts w:ascii="Arabic Typesetting" w:hAnsi="Arabic Typesetting" w:cs="Arabic Typesetting"/>
                <w:sz w:val="28"/>
                <w:szCs w:val="28"/>
                <w:lang w:bidi="ar-EG"/>
              </w:rPr>
            </w:pPr>
            <w:r w:rsidRPr="00211D55">
              <w:rPr>
                <w:rFonts w:ascii="Arabic Typesetting" w:hAnsi="Arabic Typesetting" w:cs="Arabic Typesetting" w:hint="cs"/>
                <w:sz w:val="28"/>
                <w:szCs w:val="28"/>
                <w:rtl/>
                <w:lang w:bidi="ar-EG"/>
              </w:rPr>
              <w:t>(25 التراكمي)</w:t>
            </w:r>
          </w:p>
        </w:tc>
        <w:tc>
          <w:tcPr>
            <w:tcW w:w="477" w:type="pct"/>
            <w:shd w:val="clear" w:color="auto" w:fill="auto"/>
            <w:tcMar>
              <w:top w:w="110" w:type="dxa"/>
            </w:tcMar>
          </w:tcPr>
          <w:p w:rsidR="00B31868" w:rsidRPr="00211D55" w:rsidRDefault="00497CD1" w:rsidP="00086C3F">
            <w:pPr>
              <w:keepNext/>
              <w:bidi/>
              <w:spacing w:before="60" w:after="60" w:line="280" w:lineRule="exact"/>
              <w:jc w:val="center"/>
              <w:rPr>
                <w:rFonts w:ascii="Arabic Typesetting" w:hAnsi="Arabic Typesetting" w:cs="Arabic Typesetting"/>
                <w:color w:val="008000"/>
                <w:sz w:val="28"/>
                <w:szCs w:val="28"/>
                <w:lang w:bidi="ar-EG"/>
              </w:rPr>
            </w:pPr>
            <w:r w:rsidRPr="00211D55">
              <w:rPr>
                <w:rFonts w:ascii="Arabic Typesetting" w:hAnsi="Arabic Typesetting" w:cs="Arabic Typesetting" w:hint="cs"/>
                <w:b/>
                <w:bCs/>
                <w:color w:val="008000"/>
                <w:sz w:val="28"/>
                <w:szCs w:val="28"/>
                <w:rtl/>
                <w:lang w:bidi="ar-EG"/>
              </w:rPr>
              <w:t>محقق كلياً</w:t>
            </w:r>
          </w:p>
          <w:p w:rsidR="00B31868" w:rsidRPr="00211D55" w:rsidRDefault="00B31868" w:rsidP="00086C3F">
            <w:pPr>
              <w:keepNext/>
              <w:bidi/>
              <w:spacing w:before="60" w:after="60" w:line="280" w:lineRule="exact"/>
              <w:rPr>
                <w:rFonts w:ascii="Arabic Typesetting" w:hAnsi="Arabic Typesetting" w:cs="Arabic Typesetting"/>
                <w:color w:val="808080"/>
                <w:sz w:val="28"/>
                <w:szCs w:val="28"/>
                <w:lang w:bidi="ar-EG"/>
              </w:rPr>
            </w:pPr>
          </w:p>
        </w:tc>
      </w:tr>
      <w:tr w:rsidR="00B31868" w:rsidRPr="00211D55" w:rsidTr="00497CD1">
        <w:trPr>
          <w:trHeight w:val="136"/>
        </w:trPr>
        <w:tc>
          <w:tcPr>
            <w:tcW w:w="1131"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متوسط مستوى الخدمة التي تقدمها المكاتب التي تحصل على مساعدات (بتقدير يتراوح ما بين 1 إلى 5)</w:t>
            </w:r>
          </w:p>
        </w:tc>
        <w:tc>
          <w:tcPr>
            <w:tcW w:w="1357" w:type="pct"/>
            <w:shd w:val="clear" w:color="auto" w:fill="auto"/>
          </w:tcPr>
          <w:p w:rsidR="00B31868" w:rsidRPr="00211D55" w:rsidRDefault="00B31868" w:rsidP="00086C3F">
            <w:pPr>
              <w:bidi/>
              <w:spacing w:before="60" w:after="60" w:line="30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w:t>
            </w:r>
            <w:r w:rsidRPr="00211D55">
              <w:rPr>
                <w:rFonts w:ascii="Arabic Typesetting" w:hAnsi="Arabic Typesetting" w:cs="Arabic Typesetting" w:hint="cs"/>
                <w:b/>
                <w:i/>
                <w:iCs/>
                <w:color w:val="002060"/>
                <w:sz w:val="28"/>
                <w:szCs w:val="28"/>
                <w:rtl/>
                <w:lang w:bidi="ar-EG"/>
              </w:rPr>
              <w:t xml:space="preserve"> في </w:t>
            </w:r>
            <w:r w:rsidRPr="00211D55">
              <w:rPr>
                <w:rFonts w:ascii="Arabic Typesetting" w:hAnsi="Arabic Typesetting" w:cs="Arabic Typesetting"/>
                <w:b/>
                <w:i/>
                <w:iCs/>
                <w:color w:val="002060"/>
                <w:sz w:val="28"/>
                <w:szCs w:val="28"/>
                <w:rtl/>
                <w:lang w:bidi="ar-EG"/>
              </w:rPr>
              <w:t xml:space="preserve">نهاية </w:t>
            </w:r>
            <w:r w:rsidRPr="00211D55">
              <w:rPr>
                <w:rFonts w:ascii="Arabic Typesetting" w:hAnsi="Arabic Typesetting" w:cs="Arabic Typesetting" w:hint="cs"/>
                <w:b/>
                <w:i/>
                <w:iCs/>
                <w:color w:val="002060"/>
                <w:sz w:val="28"/>
                <w:szCs w:val="28"/>
                <w:rtl/>
                <w:lang w:bidi="ar-EG"/>
              </w:rPr>
              <w:t xml:space="preserve">2013: </w:t>
            </w:r>
            <w:r w:rsidRPr="00211D55">
              <w:rPr>
                <w:rFonts w:ascii="Arabic Typesetting" w:hAnsi="Arabic Typesetting" w:cs="Arabic Typesetting" w:hint="cs"/>
                <w:b/>
                <w:color w:val="002060"/>
                <w:sz w:val="28"/>
                <w:szCs w:val="28"/>
                <w:rtl/>
                <w:lang w:bidi="ar-EG"/>
              </w:rPr>
              <w:t>2.8</w:t>
            </w:r>
          </w:p>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sz w:val="28"/>
                <w:szCs w:val="28"/>
                <w:rtl/>
              </w:rPr>
              <w:t xml:space="preserve"> </w:t>
            </w:r>
            <w:r w:rsidRPr="00211D55">
              <w:rPr>
                <w:rFonts w:ascii="Arabic Typesetting" w:hAnsi="Arabic Typesetting" w:cs="Arabic Typesetting"/>
                <w:b/>
                <w:i/>
                <w:iCs/>
                <w:sz w:val="28"/>
                <w:szCs w:val="28"/>
                <w:rtl/>
                <w:lang w:bidi="ar-EG"/>
              </w:rPr>
              <w:t>تُحدد فيما بعد</w:t>
            </w:r>
          </w:p>
        </w:tc>
        <w:tc>
          <w:tcPr>
            <w:tcW w:w="676" w:type="pct"/>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hint="cs"/>
                <w:b/>
                <w:i/>
                <w:iCs/>
                <w:color w:val="002060"/>
                <w:sz w:val="28"/>
                <w:szCs w:val="28"/>
                <w:rtl/>
                <w:lang w:bidi="ar-EG"/>
              </w:rPr>
              <w:t>الهدف المحدد: 3</w:t>
            </w:r>
          </w:p>
          <w:p w:rsidR="00B31868" w:rsidRPr="00211D55" w:rsidRDefault="00B31868" w:rsidP="00086C3F">
            <w:pPr>
              <w:bidi/>
              <w:spacing w:before="60" w:after="60" w:line="280" w:lineRule="exact"/>
              <w:rPr>
                <w:rFonts w:ascii="Arabic Typesetting" w:hAnsi="Arabic Typesetting" w:cs="Arabic Typesetting"/>
                <w:b/>
                <w:i/>
                <w:iCs/>
                <w:color w:val="002060"/>
                <w:sz w:val="28"/>
                <w:szCs w:val="28"/>
                <w:lang w:bidi="ar-EG"/>
              </w:rPr>
            </w:pPr>
            <w:r w:rsidRPr="00211D55">
              <w:rPr>
                <w:rFonts w:ascii="Arabic Typesetting" w:hAnsi="Arabic Typesetting" w:cs="Arabic Typesetting" w:hint="cs"/>
                <w:b/>
                <w:i/>
                <w:iCs/>
                <w:color w:val="002060"/>
                <w:sz w:val="28"/>
                <w:szCs w:val="28"/>
                <w:rtl/>
                <w:lang w:bidi="ar-EG"/>
              </w:rPr>
              <w:t xml:space="preserve">الهدف الأصلي في برنامج وميزانية </w:t>
            </w:r>
            <w:r w:rsidR="00507DE2">
              <w:rPr>
                <w:rFonts w:ascii="Arabic Typesetting" w:hAnsi="Arabic Typesetting" w:cs="Arabic Typesetting" w:hint="cs"/>
                <w:b/>
                <w:i/>
                <w:iCs/>
                <w:color w:val="002060"/>
                <w:sz w:val="28"/>
                <w:szCs w:val="28"/>
                <w:rtl/>
                <w:lang w:bidi="ar-EG"/>
              </w:rPr>
              <w:t>2014/15</w:t>
            </w:r>
            <w:r w:rsidRPr="00211D55">
              <w:rPr>
                <w:rFonts w:ascii="Arabic Typesetting" w:hAnsi="Arabic Typesetting" w:cs="Arabic Typesetting" w:hint="cs"/>
                <w:b/>
                <w:i/>
                <w:iCs/>
                <w:color w:val="002060"/>
                <w:sz w:val="28"/>
                <w:szCs w:val="28"/>
                <w:rtl/>
                <w:lang w:bidi="ar-EG"/>
              </w:rPr>
              <w:t xml:space="preserve">: </w:t>
            </w:r>
            <w:r w:rsidRPr="00211D55">
              <w:rPr>
                <w:rFonts w:ascii="Arabic Typesetting" w:hAnsi="Arabic Typesetting" w:cs="Arabic Typesetting"/>
                <w:b/>
                <w:i/>
                <w:iCs/>
                <w:color w:val="002060"/>
                <w:sz w:val="28"/>
                <w:szCs w:val="28"/>
                <w:rtl/>
                <w:lang w:bidi="ar-EG"/>
              </w:rPr>
              <w:t>تُحدد فيما بعد</w:t>
            </w:r>
          </w:p>
        </w:tc>
        <w:tc>
          <w:tcPr>
            <w:tcW w:w="1359" w:type="pct"/>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المتوسط العام: 2.9</w:t>
            </w:r>
          </w:p>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w:t>
            </w:r>
            <w:r w:rsidRPr="00211D55">
              <w:rPr>
                <w:rFonts w:ascii="Arabic Typesetting" w:hAnsi="Arabic Typesetting" w:cs="Arabic Typesetting"/>
                <w:sz w:val="28"/>
                <w:szCs w:val="28"/>
                <w:rtl/>
                <w:lang w:bidi="ar-EG"/>
              </w:rPr>
              <w:tab/>
            </w:r>
            <w:r w:rsidRPr="00211D55">
              <w:rPr>
                <w:rFonts w:ascii="Arabic Typesetting" w:hAnsi="Arabic Typesetting" w:cs="Arabic Typesetting" w:hint="cs"/>
                <w:sz w:val="28"/>
                <w:szCs w:val="28"/>
                <w:rtl/>
                <w:lang w:bidi="ar-EG"/>
              </w:rPr>
              <w:t xml:space="preserve">أفريقيا: </w:t>
            </w:r>
            <w:r w:rsidR="003F3457" w:rsidRPr="00211D55">
              <w:rPr>
                <w:rFonts w:ascii="Arabic Typesetting" w:hAnsi="Arabic Typesetting" w:cs="Arabic Typesetting" w:hint="cs"/>
                <w:sz w:val="28"/>
                <w:szCs w:val="28"/>
                <w:rtl/>
                <w:lang w:bidi="ar-EG"/>
              </w:rPr>
              <w:t>2.9</w:t>
            </w:r>
          </w:p>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w:t>
            </w:r>
            <w:r w:rsidRPr="00211D55">
              <w:rPr>
                <w:rFonts w:ascii="Arabic Typesetting" w:hAnsi="Arabic Typesetting" w:cs="Arabic Typesetting"/>
                <w:sz w:val="28"/>
                <w:szCs w:val="28"/>
                <w:rtl/>
                <w:lang w:bidi="ar-EG"/>
              </w:rPr>
              <w:tab/>
            </w:r>
            <w:r w:rsidRPr="00211D55">
              <w:rPr>
                <w:rFonts w:ascii="Arabic Typesetting" w:hAnsi="Arabic Typesetting" w:cs="Arabic Typesetting" w:hint="cs"/>
                <w:sz w:val="28"/>
                <w:szCs w:val="28"/>
                <w:rtl/>
                <w:lang w:bidi="ar-EG"/>
              </w:rPr>
              <w:t xml:space="preserve">المنطقة العربية: </w:t>
            </w:r>
            <w:r w:rsidR="003F3457" w:rsidRPr="00211D55">
              <w:rPr>
                <w:rFonts w:ascii="Arabic Typesetting" w:hAnsi="Arabic Typesetting" w:cs="Arabic Typesetting" w:hint="cs"/>
                <w:sz w:val="28"/>
                <w:szCs w:val="28"/>
                <w:rtl/>
                <w:lang w:bidi="ar-EG"/>
              </w:rPr>
              <w:t>2.8</w:t>
            </w:r>
          </w:p>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w:t>
            </w:r>
            <w:r w:rsidRPr="00211D55">
              <w:rPr>
                <w:rFonts w:ascii="Arabic Typesetting" w:hAnsi="Arabic Typesetting" w:cs="Arabic Typesetting"/>
                <w:sz w:val="28"/>
                <w:szCs w:val="28"/>
                <w:rtl/>
                <w:lang w:bidi="ar-EG"/>
              </w:rPr>
              <w:tab/>
            </w:r>
            <w:r w:rsidRPr="00211D55">
              <w:rPr>
                <w:rFonts w:ascii="Arabic Typesetting" w:hAnsi="Arabic Typesetting" w:cs="Arabic Typesetting" w:hint="cs"/>
                <w:sz w:val="28"/>
                <w:szCs w:val="28"/>
                <w:rtl/>
                <w:lang w:bidi="ar-EG"/>
              </w:rPr>
              <w:t>آسيا والمحيط الهادئ:2.7</w:t>
            </w:r>
          </w:p>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w:t>
            </w:r>
            <w:r w:rsidRPr="00211D55">
              <w:rPr>
                <w:rFonts w:ascii="Arabic Typesetting" w:hAnsi="Arabic Typesetting" w:cs="Arabic Typesetting"/>
                <w:sz w:val="28"/>
                <w:szCs w:val="28"/>
                <w:rtl/>
                <w:lang w:bidi="ar-EG"/>
              </w:rPr>
              <w:tab/>
            </w:r>
            <w:r w:rsidRPr="00211D55">
              <w:rPr>
                <w:rFonts w:ascii="Arabic Typesetting" w:hAnsi="Arabic Typesetting" w:cs="Arabic Typesetting" w:hint="cs"/>
                <w:spacing w:val="-2"/>
                <w:sz w:val="28"/>
                <w:szCs w:val="28"/>
                <w:rtl/>
                <w:lang w:bidi="ar-EG"/>
              </w:rPr>
              <w:t>بعض البلدان في أوروبا وآسيا:</w:t>
            </w:r>
            <w:r w:rsidRPr="00211D55">
              <w:rPr>
                <w:rFonts w:ascii="Arabic Typesetting" w:hAnsi="Arabic Typesetting" w:cs="Arabic Typesetting" w:hint="cs"/>
                <w:sz w:val="28"/>
                <w:szCs w:val="28"/>
                <w:rtl/>
                <w:lang w:bidi="ar-EG"/>
              </w:rPr>
              <w:t xml:space="preserve"> 3.</w:t>
            </w:r>
            <w:r w:rsidR="003F3457" w:rsidRPr="00211D55">
              <w:rPr>
                <w:rFonts w:ascii="Arabic Typesetting" w:hAnsi="Arabic Typesetting" w:cs="Arabic Typesetting" w:hint="cs"/>
                <w:sz w:val="28"/>
                <w:szCs w:val="28"/>
                <w:rtl/>
                <w:lang w:bidi="ar-EG"/>
              </w:rPr>
              <w:t>3</w:t>
            </w:r>
          </w:p>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hint="cs"/>
                <w:sz w:val="28"/>
                <w:szCs w:val="28"/>
                <w:rtl/>
                <w:lang w:bidi="ar-EG"/>
              </w:rPr>
              <w:t>-</w:t>
            </w:r>
            <w:r w:rsidRPr="00211D55">
              <w:rPr>
                <w:rFonts w:ascii="Arabic Typesetting" w:hAnsi="Arabic Typesetting" w:cs="Arabic Typesetting"/>
                <w:sz w:val="28"/>
                <w:szCs w:val="28"/>
                <w:rtl/>
                <w:lang w:bidi="ar-EG"/>
              </w:rPr>
              <w:tab/>
            </w:r>
            <w:r w:rsidRPr="00211D55">
              <w:rPr>
                <w:rFonts w:ascii="Arabic Typesetting" w:hAnsi="Arabic Typesetting" w:cs="Arabic Typesetting" w:hint="cs"/>
                <w:sz w:val="28"/>
                <w:szCs w:val="28"/>
                <w:rtl/>
                <w:lang w:bidi="ar-EG"/>
              </w:rPr>
              <w:t>أمريكا اللاتينية والكاريبي: 3</w:t>
            </w:r>
          </w:p>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hint="cs"/>
                <w:sz w:val="28"/>
                <w:szCs w:val="28"/>
                <w:rtl/>
                <w:lang w:bidi="ar-EG"/>
              </w:rPr>
              <w:t>-</w:t>
            </w:r>
            <w:r w:rsidRPr="00211D55">
              <w:rPr>
                <w:rFonts w:ascii="Arabic Typesetting" w:hAnsi="Arabic Typesetting" w:cs="Arabic Typesetting"/>
                <w:sz w:val="28"/>
                <w:szCs w:val="28"/>
                <w:rtl/>
                <w:lang w:bidi="ar-EG"/>
              </w:rPr>
              <w:tab/>
            </w:r>
            <w:r w:rsidRPr="00211D55">
              <w:rPr>
                <w:rFonts w:ascii="Arabic Typesetting" w:hAnsi="Arabic Typesetting" w:cs="Arabic Typesetting" w:hint="cs"/>
                <w:sz w:val="28"/>
                <w:szCs w:val="28"/>
                <w:rtl/>
                <w:lang w:bidi="ar-EG"/>
              </w:rPr>
              <w:t>مكاتب أخرى: 2.</w:t>
            </w:r>
            <w:r w:rsidR="003F3457" w:rsidRPr="00211D55">
              <w:rPr>
                <w:rFonts w:ascii="Arabic Typesetting" w:hAnsi="Arabic Typesetting" w:cs="Arabic Typesetting" w:hint="cs"/>
                <w:sz w:val="28"/>
                <w:szCs w:val="28"/>
                <w:rtl/>
                <w:lang w:bidi="ar-EG"/>
              </w:rPr>
              <w:t>5</w:t>
            </w:r>
          </w:p>
        </w:tc>
        <w:tc>
          <w:tcPr>
            <w:tcW w:w="477" w:type="pct"/>
            <w:shd w:val="clear" w:color="auto" w:fill="auto"/>
            <w:tcMar>
              <w:top w:w="110" w:type="dxa"/>
            </w:tcMar>
          </w:tcPr>
          <w:p w:rsidR="00B31868" w:rsidRPr="00211D55" w:rsidRDefault="00497CD1" w:rsidP="00086C3F">
            <w:pPr>
              <w:keepNext/>
              <w:bidi/>
              <w:spacing w:before="60" w:after="60" w:line="280" w:lineRule="exact"/>
              <w:jc w:val="center"/>
              <w:rPr>
                <w:rFonts w:ascii="Arabic Typesetting" w:hAnsi="Arabic Typesetting" w:cs="Arabic Typesetting"/>
                <w:b/>
                <w:bCs/>
                <w:sz w:val="28"/>
                <w:szCs w:val="28"/>
                <w:rtl/>
                <w:lang w:bidi="ar-EG"/>
              </w:rPr>
            </w:pPr>
            <w:r w:rsidRPr="00211D55">
              <w:rPr>
                <w:rFonts w:ascii="Arabic Typesetting" w:hAnsi="Arabic Typesetting" w:cs="Arabic Typesetting" w:hint="cs"/>
                <w:b/>
                <w:bCs/>
                <w:color w:val="008000"/>
                <w:sz w:val="28"/>
                <w:szCs w:val="28"/>
                <w:rtl/>
                <w:lang w:bidi="ar-EG"/>
              </w:rPr>
              <w:t>محقق كلياً</w:t>
            </w:r>
          </w:p>
        </w:tc>
      </w:tr>
      <w:tr w:rsidR="00B31868" w:rsidRPr="00211D55" w:rsidTr="00497CD1">
        <w:trPr>
          <w:trHeight w:val="1569"/>
        </w:trPr>
        <w:tc>
          <w:tcPr>
            <w:tcW w:w="1131" w:type="pct"/>
            <w:shd w:val="clear" w:color="auto" w:fill="auto"/>
          </w:tcPr>
          <w:p w:rsidR="00B31868" w:rsidRPr="00211D55" w:rsidRDefault="00B31868" w:rsidP="009F5F08">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عدد منظمات الإدارة الجماعية في البلدان النامية والبلدان الأقل نمواً المشاركة في الشبكات الإقليمية والعالمية التي تقوم الويبو </w:t>
            </w:r>
            <w:r w:rsidR="009F5F08" w:rsidRPr="00211D55">
              <w:rPr>
                <w:rFonts w:ascii="Arabic Typesetting" w:hAnsi="Arabic Typesetting" w:cs="Arabic Typesetting" w:hint="cs"/>
                <w:sz w:val="28"/>
                <w:szCs w:val="28"/>
                <w:rtl/>
                <w:lang w:bidi="ar-EG"/>
              </w:rPr>
              <w:t>بتيسير</w:t>
            </w:r>
            <w:r w:rsidRPr="00211D55">
              <w:rPr>
                <w:rFonts w:ascii="Arabic Typesetting" w:hAnsi="Arabic Typesetting" w:cs="Arabic Typesetting"/>
                <w:sz w:val="28"/>
                <w:szCs w:val="28"/>
                <w:rtl/>
                <w:lang w:bidi="ar-EG"/>
              </w:rPr>
              <w:t xml:space="preserve"> عملها</w:t>
            </w:r>
          </w:p>
        </w:tc>
        <w:tc>
          <w:tcPr>
            <w:tcW w:w="1357"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hint="cs"/>
                <w:b/>
                <w:color w:val="002060"/>
                <w:sz w:val="28"/>
                <w:szCs w:val="28"/>
                <w:rtl/>
                <w:lang w:bidi="ar-EG"/>
              </w:rPr>
              <w:t>0 صفر</w:t>
            </w:r>
          </w:p>
        </w:tc>
        <w:tc>
          <w:tcPr>
            <w:tcW w:w="676" w:type="pct"/>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hint="cs"/>
                <w:sz w:val="28"/>
                <w:szCs w:val="28"/>
                <w:rtl/>
                <w:lang w:bidi="ar-EG"/>
              </w:rPr>
              <w:t>10</w:t>
            </w:r>
          </w:p>
        </w:tc>
        <w:tc>
          <w:tcPr>
            <w:tcW w:w="1359" w:type="pct"/>
            <w:shd w:val="clear" w:color="auto" w:fill="FFFFFF"/>
            <w:tcMar>
              <w:top w:w="110" w:type="dxa"/>
            </w:tcMar>
          </w:tcPr>
          <w:p w:rsidR="00B31868" w:rsidRPr="00211D55" w:rsidRDefault="00497CD1" w:rsidP="003B2ED5">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دخل </w:t>
            </w:r>
            <w:r w:rsidRPr="00211D55">
              <w:rPr>
                <w:rFonts w:ascii="Arabic Typesetting" w:hAnsi="Arabic Typesetting" w:cs="Arabic Typesetting" w:hint="cs"/>
                <w:sz w:val="28"/>
                <w:szCs w:val="28"/>
                <w:rtl/>
                <w:lang w:bidi="ar-EG"/>
              </w:rPr>
              <w:t>نظام شبكة الويبو لحق المؤلف</w:t>
            </w:r>
            <w:r w:rsidRPr="00211D55">
              <w:rPr>
                <w:rFonts w:ascii="Arabic Typesetting" w:hAnsi="Arabic Typesetting" w:cs="Arabic Typesetting"/>
                <w:sz w:val="28"/>
                <w:szCs w:val="28"/>
                <w:rtl/>
                <w:lang w:bidi="ar-EG"/>
              </w:rPr>
              <w:t xml:space="preserve"> مرحلة التطوير النهائي في نهاية الثنائية </w:t>
            </w:r>
            <w:r w:rsidR="00507DE2">
              <w:rPr>
                <w:rFonts w:ascii="Arabic Typesetting" w:hAnsi="Arabic Typesetting" w:cs="Arabic Typesetting"/>
                <w:sz w:val="28"/>
                <w:szCs w:val="28"/>
                <w:rtl/>
                <w:lang w:bidi="ar-EG"/>
              </w:rPr>
              <w:t>2014/15</w:t>
            </w:r>
            <w:r w:rsidRPr="00211D55">
              <w:rPr>
                <w:rFonts w:ascii="Arabic Typesetting" w:hAnsi="Arabic Typesetting" w:cs="Arabic Typesetting"/>
                <w:sz w:val="28"/>
                <w:szCs w:val="28"/>
                <w:rtl/>
                <w:lang w:bidi="ar-EG"/>
              </w:rPr>
              <w:t xml:space="preserve"> ويزمع إطلاقه في منظمات الإدارة الجماعية في البلدان النامية و</w:t>
            </w:r>
            <w:r w:rsidR="003B2ED5">
              <w:rPr>
                <w:rFonts w:ascii="Arabic Typesetting" w:hAnsi="Arabic Typesetting" w:cs="Arabic Typesetting" w:hint="cs"/>
                <w:sz w:val="28"/>
                <w:szCs w:val="28"/>
                <w:rtl/>
                <w:lang w:bidi="ar-EG"/>
              </w:rPr>
              <w:t>البلدان الأقل نموا</w:t>
            </w:r>
            <w:r w:rsidRPr="00211D55">
              <w:rPr>
                <w:rFonts w:ascii="Arabic Typesetting" w:hAnsi="Arabic Typesetting" w:cs="Arabic Typesetting"/>
                <w:sz w:val="28"/>
                <w:szCs w:val="28"/>
                <w:rtl/>
                <w:lang w:bidi="ar-EG"/>
              </w:rPr>
              <w:t xml:space="preserve"> في عام</w:t>
            </w:r>
            <w:r w:rsidRPr="00211D55">
              <w:rPr>
                <w:rFonts w:ascii="Arabic Typesetting" w:hAnsi="Arabic Typesetting" w:cs="Arabic Typesetting" w:hint="cs"/>
                <w:sz w:val="28"/>
                <w:szCs w:val="28"/>
                <w:rtl/>
                <w:lang w:bidi="ar-EG"/>
              </w:rPr>
              <w:t> </w:t>
            </w:r>
            <w:r w:rsidRPr="00211D55">
              <w:rPr>
                <w:rFonts w:ascii="Arabic Typesetting" w:hAnsi="Arabic Typesetting" w:cs="Arabic Typesetting"/>
                <w:sz w:val="28"/>
                <w:szCs w:val="28"/>
                <w:rtl/>
                <w:lang w:bidi="ar-EG"/>
              </w:rPr>
              <w:t>2016.</w:t>
            </w:r>
          </w:p>
        </w:tc>
        <w:tc>
          <w:tcPr>
            <w:tcW w:w="477" w:type="pct"/>
            <w:shd w:val="clear" w:color="auto" w:fill="auto"/>
            <w:tcMar>
              <w:top w:w="110" w:type="dxa"/>
            </w:tcMar>
          </w:tcPr>
          <w:p w:rsidR="00B31868" w:rsidRPr="00211D55" w:rsidRDefault="00497CD1" w:rsidP="007A7336">
            <w:pPr>
              <w:keepNext/>
              <w:bidi/>
              <w:spacing w:before="60" w:after="60" w:line="280" w:lineRule="exact"/>
              <w:jc w:val="center"/>
              <w:rPr>
                <w:rFonts w:ascii="Arabic Typesetting" w:hAnsi="Arabic Typesetting" w:cs="Arabic Typesetting"/>
                <w:b/>
                <w:bCs/>
                <w:color w:val="FF0000"/>
                <w:sz w:val="28"/>
                <w:szCs w:val="28"/>
              </w:rPr>
            </w:pPr>
            <w:r w:rsidRPr="00211D55">
              <w:rPr>
                <w:rFonts w:ascii="Arabic Typesetting" w:hAnsi="Arabic Typesetting" w:cs="Arabic Typesetting"/>
                <w:b/>
                <w:bCs/>
                <w:color w:val="FF0000"/>
                <w:sz w:val="28"/>
                <w:szCs w:val="28"/>
                <w:rtl/>
              </w:rPr>
              <w:t>غير محقق</w:t>
            </w:r>
          </w:p>
        </w:tc>
      </w:tr>
    </w:tbl>
    <w:p w:rsidR="00497CD1"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497CD1" w:rsidRPr="00660F20" w:rsidTr="00211D55">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497CD1" w:rsidRPr="00660F20" w:rsidRDefault="00497CD1" w:rsidP="00660F20">
            <w:pPr>
              <w:keepNext/>
              <w:bidi/>
              <w:spacing w:before="60" w:after="60" w:line="280" w:lineRule="exact"/>
              <w:jc w:val="center"/>
              <w:rPr>
                <w:rFonts w:ascii="Arabic Typesetting" w:hAnsi="Arabic Typesetting" w:cs="Arabic Typesetting"/>
                <w:bCs/>
                <w:sz w:val="28"/>
                <w:szCs w:val="28"/>
                <w:lang w:bidi="ar-EG"/>
              </w:rPr>
            </w:pPr>
            <w:r w:rsidRPr="00660F20">
              <w:rPr>
                <w:rFonts w:ascii="Arabic Typesetting" w:hAnsi="Arabic Typesetting" w:cs="Arabic Typesetting" w:hint="eastAsia"/>
                <w:bCs/>
                <w:sz w:val="28"/>
                <w:szCs w:val="28"/>
                <w:rtl/>
                <w:lang w:bidi="ar-EG"/>
              </w:rPr>
              <w:t>المخاطر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التي</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قد</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تحول</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دون</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تحقيق</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نتائج</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البرنامج</w:t>
            </w:r>
          </w:p>
        </w:tc>
        <w:tc>
          <w:tcPr>
            <w:tcW w:w="2200" w:type="dxa"/>
            <w:tcBorders>
              <w:top w:val="single" w:sz="4" w:space="0" w:color="auto"/>
              <w:bottom w:val="single" w:sz="4" w:space="0" w:color="auto"/>
            </w:tcBorders>
            <w:shd w:val="clear" w:color="auto" w:fill="C6D9F1" w:themeFill="text2" w:themeFillTint="33"/>
            <w:vAlign w:val="center"/>
          </w:tcPr>
          <w:p w:rsidR="00497CD1" w:rsidRPr="00660F20" w:rsidRDefault="00497CD1" w:rsidP="00660F20">
            <w:pPr>
              <w:keepNext/>
              <w:bidi/>
              <w:spacing w:before="60" w:after="60" w:line="280" w:lineRule="exact"/>
              <w:jc w:val="center"/>
              <w:rPr>
                <w:rFonts w:ascii="Arabic Typesetting" w:hAnsi="Arabic Typesetting" w:cs="Arabic Typesetting"/>
                <w:bCs/>
                <w:sz w:val="28"/>
                <w:szCs w:val="28"/>
                <w:lang w:bidi="ar-EG"/>
              </w:rPr>
            </w:pPr>
            <w:r w:rsidRPr="00660F20">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497CD1" w:rsidRPr="00660F20" w:rsidRDefault="00497CD1" w:rsidP="00660F20">
            <w:pPr>
              <w:keepNext/>
              <w:bidi/>
              <w:spacing w:before="60" w:after="60" w:line="280" w:lineRule="exact"/>
              <w:jc w:val="center"/>
              <w:rPr>
                <w:rFonts w:ascii="Arabic Typesetting" w:hAnsi="Arabic Typesetting" w:cs="Arabic Typesetting"/>
                <w:bCs/>
                <w:sz w:val="28"/>
                <w:szCs w:val="28"/>
                <w:lang w:bidi="ar-EG"/>
              </w:rPr>
            </w:pPr>
            <w:r w:rsidRPr="00660F20">
              <w:rPr>
                <w:rFonts w:ascii="Arabic Typesetting" w:hAnsi="Arabic Typesetting" w:cs="Arabic Typesetting" w:hint="eastAsia"/>
                <w:bCs/>
                <w:sz w:val="28"/>
                <w:szCs w:val="28"/>
                <w:rtl/>
                <w:lang w:bidi="ar-EG"/>
              </w:rPr>
              <w:t>تطور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المخاطر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واستراتيجيات</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الحد</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من</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وطأتها</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على</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مدار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497CD1" w:rsidRPr="00660F20" w:rsidRDefault="004E4FF2" w:rsidP="00660F20">
            <w:pPr>
              <w:keepNext/>
              <w:bidi/>
              <w:spacing w:before="60" w:after="60" w:line="280" w:lineRule="exact"/>
              <w:jc w:val="center"/>
              <w:rPr>
                <w:rFonts w:ascii="Arabic Typesetting" w:hAnsi="Arabic Typesetting" w:cs="Arabic Typesetting"/>
                <w:bCs/>
                <w:sz w:val="28"/>
                <w:szCs w:val="28"/>
                <w:lang w:bidi="ar-EG"/>
              </w:rPr>
            </w:pPr>
            <w:r w:rsidRPr="00660F20">
              <w:rPr>
                <w:rFonts w:ascii="Arabic Typesetting" w:hAnsi="Arabic Typesetting" w:cs="Arabic Typesetting" w:hint="eastAsia"/>
                <w:bCs/>
                <w:sz w:val="28"/>
                <w:szCs w:val="28"/>
                <w:rtl/>
                <w:lang w:bidi="ar-EG"/>
              </w:rPr>
              <w:t>التأثير</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في</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أداء</w:t>
            </w:r>
            <w:r w:rsidRPr="00660F20">
              <w:rPr>
                <w:rFonts w:ascii="Arabic Typesetting" w:hAnsi="Arabic Typesetting" w:cs="Arabic Typesetting"/>
                <w:bCs/>
                <w:sz w:val="28"/>
                <w:szCs w:val="28"/>
                <w:rtl/>
                <w:lang w:bidi="ar-EG"/>
              </w:rPr>
              <w:t xml:space="preserve"> </w:t>
            </w:r>
            <w:r w:rsidRPr="00660F20">
              <w:rPr>
                <w:rFonts w:ascii="Arabic Typesetting" w:hAnsi="Arabic Typesetting" w:cs="Arabic Typesetting" w:hint="eastAsia"/>
                <w:bCs/>
                <w:sz w:val="28"/>
                <w:szCs w:val="28"/>
                <w:rtl/>
                <w:lang w:bidi="ar-EG"/>
              </w:rPr>
              <w:t>البرنامج</w:t>
            </w:r>
          </w:p>
        </w:tc>
      </w:tr>
      <w:tr w:rsidR="00497CD1" w:rsidRPr="00660F20" w:rsidTr="00211D55">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497CD1" w:rsidRPr="00660F20" w:rsidRDefault="00497CD1" w:rsidP="00BA356F">
            <w:pPr>
              <w:bidi/>
              <w:spacing w:before="60" w:after="60" w:line="280" w:lineRule="exact"/>
              <w:rPr>
                <w:rFonts w:ascii="Arabic Typesetting" w:hAnsi="Arabic Typesetting" w:cs="Arabic Typesetting"/>
                <w:sz w:val="28"/>
                <w:szCs w:val="28"/>
                <w:lang w:bidi="ar-EG"/>
              </w:rPr>
            </w:pPr>
            <w:r w:rsidRPr="00660F20">
              <w:rPr>
                <w:rFonts w:ascii="Arabic Typesetting" w:hAnsi="Arabic Typesetting" w:cs="Arabic Typesetting"/>
                <w:sz w:val="28"/>
                <w:szCs w:val="28"/>
                <w:rtl/>
                <w:lang w:bidi="ar-EG"/>
              </w:rPr>
              <w:t>احتمال رصد اختلافات بين الطلبات الواردة من مكاتب الملكية الفكرية لنشر حزم برامج الويبو وبين خطة العمل. و</w:t>
            </w:r>
            <w:r w:rsidR="00BA356F">
              <w:rPr>
                <w:rFonts w:ascii="Arabic Typesetting" w:hAnsi="Arabic Typesetting" w:cs="Arabic Typesetting" w:hint="cs"/>
                <w:sz w:val="28"/>
                <w:szCs w:val="28"/>
                <w:rtl/>
                <w:lang w:bidi="ar-EG"/>
              </w:rPr>
              <w:t>توجد</w:t>
            </w:r>
            <w:r w:rsidRPr="00660F20">
              <w:rPr>
                <w:rFonts w:ascii="Arabic Typesetting" w:hAnsi="Arabic Typesetting" w:cs="Arabic Typesetting"/>
                <w:sz w:val="28"/>
                <w:szCs w:val="28"/>
                <w:rtl/>
                <w:lang w:bidi="ar-EG"/>
              </w:rPr>
              <w:t xml:space="preserve"> ضغوط للبدء في </w:t>
            </w:r>
            <w:r w:rsidR="00FB2BCA" w:rsidRPr="00660F20">
              <w:rPr>
                <w:rFonts w:ascii="Arabic Typesetting" w:hAnsi="Arabic Typesetting" w:cs="Arabic Typesetting"/>
                <w:sz w:val="28"/>
                <w:szCs w:val="28"/>
                <w:rtl/>
                <w:lang w:bidi="ar-EG"/>
              </w:rPr>
              <w:t>مشروعات</w:t>
            </w:r>
            <w:r w:rsidRPr="00660F20">
              <w:rPr>
                <w:rFonts w:ascii="Arabic Typesetting" w:hAnsi="Arabic Typesetting" w:cs="Arabic Typesetting"/>
                <w:sz w:val="28"/>
                <w:szCs w:val="28"/>
                <w:rtl/>
                <w:lang w:bidi="ar-EG"/>
              </w:rPr>
              <w:t xml:space="preserve"> في ظل احتمالية عدم توفر الشروط الضرورية المسبقة في المكاتب المعنية (ولا سيما الموارد المحلية). وقد ينتج عن هذا إفراط في الالتزام بموارد الموظفين و</w:t>
            </w:r>
            <w:r w:rsidRPr="00660F20">
              <w:rPr>
                <w:rFonts w:ascii="Arabic Typesetting" w:hAnsi="Arabic Typesetting" w:cs="Arabic Typesetting" w:hint="eastAsia"/>
                <w:sz w:val="28"/>
                <w:szCs w:val="28"/>
                <w:rtl/>
                <w:lang w:bidi="ar-EG"/>
              </w:rPr>
              <w:t>خلاف</w:t>
            </w:r>
            <w:r w:rsidR="00340007" w:rsidRPr="00660F20">
              <w:rPr>
                <w:rFonts w:ascii="Arabic Typesetting" w:hAnsi="Arabic Typesetting" w:cs="Arabic Typesetting"/>
                <w:sz w:val="28"/>
                <w:szCs w:val="28"/>
                <w:rtl/>
                <w:lang w:bidi="ar-EG"/>
              </w:rPr>
              <w:t xml:space="preserve"> الموظفين.</w:t>
            </w:r>
          </w:p>
        </w:tc>
        <w:tc>
          <w:tcPr>
            <w:tcW w:w="2200" w:type="dxa"/>
            <w:tcBorders>
              <w:top w:val="single" w:sz="4" w:space="0" w:color="auto"/>
            </w:tcBorders>
            <w:shd w:val="clear" w:color="auto" w:fill="auto"/>
            <w:tcMar>
              <w:top w:w="113" w:type="dxa"/>
              <w:bottom w:w="113" w:type="dxa"/>
            </w:tcMar>
          </w:tcPr>
          <w:p w:rsidR="00497CD1" w:rsidRPr="00FE0236" w:rsidRDefault="00497CD1" w:rsidP="00B33874">
            <w:pPr>
              <w:bidi/>
              <w:rPr>
                <w:rFonts w:ascii="Arabic Typesetting" w:hAnsi="Arabic Typesetting" w:cs="Arabic Typesetting"/>
                <w:sz w:val="28"/>
                <w:szCs w:val="28"/>
                <w:rtl/>
              </w:rPr>
            </w:pPr>
            <w:r w:rsidRPr="00FE0236">
              <w:rPr>
                <w:rFonts w:ascii="Arabic Typesetting" w:hAnsi="Arabic Typesetting" w:cs="Arabic Typesetting"/>
                <w:sz w:val="28"/>
                <w:szCs w:val="28"/>
                <w:rtl/>
              </w:rPr>
              <w:t>تقييم ال</w:t>
            </w:r>
            <w:r w:rsidR="00FB2BCA" w:rsidRPr="00FE0236">
              <w:rPr>
                <w:rFonts w:ascii="Arabic Typesetting" w:hAnsi="Arabic Typesetting" w:cs="Arabic Typesetting"/>
                <w:sz w:val="28"/>
                <w:szCs w:val="28"/>
                <w:rtl/>
              </w:rPr>
              <w:t>مشروعات</w:t>
            </w:r>
            <w:r w:rsidRPr="00FE0236">
              <w:rPr>
                <w:rFonts w:ascii="Arabic Typesetting" w:hAnsi="Arabic Typesetting" w:cs="Arabic Typesetting"/>
                <w:sz w:val="28"/>
                <w:szCs w:val="28"/>
                <w:rtl/>
              </w:rPr>
              <w:t xml:space="preserve"> قبل البدء.</w:t>
            </w:r>
          </w:p>
          <w:p w:rsidR="00497CD1" w:rsidRPr="00660F20" w:rsidRDefault="00497CD1" w:rsidP="00660F20">
            <w:pPr>
              <w:bidi/>
              <w:spacing w:before="60" w:after="60" w:line="280" w:lineRule="exact"/>
              <w:rPr>
                <w:rFonts w:ascii="Arabic Typesetting" w:hAnsi="Arabic Typesetting" w:cs="Arabic Typesetting"/>
                <w:sz w:val="28"/>
                <w:szCs w:val="28"/>
                <w:lang w:bidi="ar-EG"/>
              </w:rPr>
            </w:pPr>
            <w:r w:rsidRPr="00660F20">
              <w:rPr>
                <w:rFonts w:ascii="Arabic Typesetting" w:hAnsi="Arabic Typesetting" w:cs="Arabic Typesetting"/>
                <w:sz w:val="28"/>
                <w:szCs w:val="28"/>
                <w:rtl/>
                <w:lang w:bidi="ar-EG"/>
              </w:rPr>
              <w:t>التوافق التام على خطط المشروع وتحديد الأدوار والمسؤوليات والالتزامات المتعلقة بالموارد لجميع الأطراف.</w:t>
            </w:r>
          </w:p>
        </w:tc>
        <w:tc>
          <w:tcPr>
            <w:tcW w:w="2310" w:type="dxa"/>
            <w:tcBorders>
              <w:top w:val="single" w:sz="4" w:space="0" w:color="auto"/>
            </w:tcBorders>
          </w:tcPr>
          <w:p w:rsidR="00497CD1" w:rsidRPr="00660F20" w:rsidRDefault="00497CD1" w:rsidP="00660F20">
            <w:pPr>
              <w:bidi/>
              <w:spacing w:before="60" w:after="60" w:line="280" w:lineRule="exact"/>
              <w:rPr>
                <w:rFonts w:ascii="Arabic Typesetting" w:hAnsi="Arabic Typesetting" w:cs="Arabic Typesetting"/>
                <w:sz w:val="28"/>
                <w:szCs w:val="28"/>
                <w:lang w:bidi="ar-EG"/>
              </w:rPr>
            </w:pPr>
            <w:r w:rsidRPr="00660F20">
              <w:rPr>
                <w:rFonts w:ascii="Arabic Typesetting" w:hAnsi="Arabic Typesetting" w:cs="Arabic Typesetting" w:hint="eastAsia"/>
                <w:sz w:val="28"/>
                <w:szCs w:val="28"/>
                <w:rtl/>
                <w:lang w:bidi="ar-EG"/>
              </w:rPr>
              <w:t>لم</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يتعرض</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لهذا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الخطر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خلال</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الثنائية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إذ</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عولج</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خلال</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إدارة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مرنة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للمشروعات</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ولا سيما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عن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طريق</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إعادة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تخصيص</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الموارد</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بين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المشروعات</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مكَّن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البرنامج</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التكيف</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للتصدي</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للتغيرات</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غير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المتوقعة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في</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الطلب</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خلال</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الثنائية</w:t>
            </w:r>
            <w:r w:rsidRPr="00660F20">
              <w:rPr>
                <w:rFonts w:ascii="Arabic Typesetting" w:hAnsi="Arabic Typesetting" w:cs="Arabic Typesetting"/>
                <w:sz w:val="28"/>
                <w:szCs w:val="28"/>
                <w:rtl/>
                <w:lang w:bidi="ar-EG"/>
              </w:rPr>
              <w:t>.</w:t>
            </w:r>
          </w:p>
        </w:tc>
        <w:tc>
          <w:tcPr>
            <w:tcW w:w="2306" w:type="dxa"/>
            <w:tcBorders>
              <w:top w:val="single" w:sz="4" w:space="0" w:color="auto"/>
              <w:right w:val="single" w:sz="4" w:space="0" w:color="auto"/>
            </w:tcBorders>
          </w:tcPr>
          <w:p w:rsidR="00497CD1" w:rsidRPr="00660F20" w:rsidRDefault="00497CD1" w:rsidP="00660F20">
            <w:pPr>
              <w:bidi/>
              <w:spacing w:before="60" w:after="60" w:line="280" w:lineRule="exact"/>
              <w:rPr>
                <w:rFonts w:ascii="Arabic Typesetting" w:hAnsi="Arabic Typesetting" w:cs="Arabic Typesetting"/>
                <w:sz w:val="28"/>
                <w:szCs w:val="28"/>
                <w:lang w:bidi="ar-EG"/>
              </w:rPr>
            </w:pPr>
            <w:r w:rsidRPr="00660F20">
              <w:rPr>
                <w:rFonts w:ascii="Arabic Typesetting" w:hAnsi="Arabic Typesetting" w:cs="Arabic Typesetting" w:hint="eastAsia"/>
                <w:sz w:val="28"/>
                <w:szCs w:val="28"/>
                <w:rtl/>
                <w:lang w:bidi="ar-EG"/>
              </w:rPr>
              <w:t>لم</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يؤثر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هذا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الخطر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w:t>
            </w:r>
            <w:r w:rsidR="00D674AB" w:rsidRPr="00660F20">
              <w:rPr>
                <w:rFonts w:ascii="Arabic Typesetting" w:hAnsi="Arabic Typesetting" w:cs="Arabic Typesetting" w:hint="eastAsia"/>
                <w:sz w:val="28"/>
                <w:szCs w:val="28"/>
                <w:rtl/>
                <w:lang w:bidi="ar-EG"/>
              </w:rPr>
              <w:t>لا</w:t>
            </w:r>
            <w:r w:rsidR="00D674AB"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تطوره</w:t>
            </w:r>
            <w:r w:rsidRPr="00660F20">
              <w:rPr>
                <w:rFonts w:ascii="Arabic Typesetting" w:hAnsi="Arabic Typesetting" w:cs="Arabic Typesetting"/>
                <w:sz w:val="28"/>
                <w:szCs w:val="28"/>
                <w:rtl/>
                <w:lang w:bidi="ar-EG"/>
              </w:rPr>
              <w:t xml:space="preserve"> كثيرا في أداء البرنامج للفترة </w:t>
            </w:r>
            <w:r w:rsidR="00507DE2" w:rsidRPr="00660F20">
              <w:rPr>
                <w:rFonts w:ascii="Arabic Typesetting" w:hAnsi="Arabic Typesetting" w:cs="Arabic Typesetting"/>
                <w:sz w:val="28"/>
                <w:szCs w:val="28"/>
                <w:rtl/>
                <w:lang w:bidi="ar-EG"/>
              </w:rPr>
              <w:t>2014/15</w:t>
            </w:r>
            <w:r w:rsidRPr="00660F20">
              <w:rPr>
                <w:rFonts w:ascii="Arabic Typesetting" w:hAnsi="Arabic Typesetting" w:cs="Arabic Typesetting"/>
                <w:sz w:val="28"/>
                <w:szCs w:val="28"/>
                <w:rtl/>
                <w:lang w:bidi="ar-EG"/>
              </w:rPr>
              <w:t>.</w:t>
            </w:r>
          </w:p>
        </w:tc>
      </w:tr>
      <w:tr w:rsidR="00497CD1" w:rsidRPr="00660F20" w:rsidTr="00211D55">
        <w:trPr>
          <w:cantSplit/>
          <w:trHeight w:val="1332"/>
        </w:trPr>
        <w:tc>
          <w:tcPr>
            <w:tcW w:w="2420" w:type="dxa"/>
            <w:tcBorders>
              <w:left w:val="single" w:sz="4" w:space="0" w:color="auto"/>
            </w:tcBorders>
            <w:shd w:val="clear" w:color="auto" w:fill="auto"/>
            <w:tcMar>
              <w:top w:w="113" w:type="dxa"/>
              <w:bottom w:w="113" w:type="dxa"/>
            </w:tcMar>
          </w:tcPr>
          <w:p w:rsidR="00497CD1" w:rsidRPr="00660F20" w:rsidRDefault="00497CD1" w:rsidP="00660F20">
            <w:pPr>
              <w:bidi/>
              <w:spacing w:before="60" w:after="60" w:line="280" w:lineRule="exact"/>
              <w:rPr>
                <w:rFonts w:ascii="Arabic Typesetting" w:hAnsi="Arabic Typesetting" w:cs="Arabic Typesetting"/>
                <w:sz w:val="28"/>
                <w:szCs w:val="28"/>
                <w:rtl/>
                <w:lang w:bidi="ar-EG"/>
              </w:rPr>
            </w:pPr>
            <w:r w:rsidRPr="00660F20">
              <w:rPr>
                <w:rFonts w:ascii="Arabic Typesetting" w:hAnsi="Arabic Typesetting" w:cs="Arabic Typesetting"/>
                <w:sz w:val="28"/>
                <w:szCs w:val="28"/>
                <w:rtl/>
                <w:lang w:bidi="ar-EG"/>
              </w:rPr>
              <w:t>تتولى أطراف خارجية وضع حزم برامج الويبو (المقدمة إلى مكاتب الملكية الفكرية) وتنفيذها ودعمها، وقد يؤدي هذا إلى فقدان الخدمة عقب تقديم إخطار قصير المدة بإنهاء التعاقد من جانب تلك الأطراف الخارجية.</w:t>
            </w:r>
          </w:p>
        </w:tc>
        <w:tc>
          <w:tcPr>
            <w:tcW w:w="2200" w:type="dxa"/>
            <w:shd w:val="clear" w:color="auto" w:fill="auto"/>
            <w:tcMar>
              <w:top w:w="113" w:type="dxa"/>
              <w:bottom w:w="113" w:type="dxa"/>
            </w:tcMar>
          </w:tcPr>
          <w:p w:rsidR="00497CD1" w:rsidRPr="00660F20" w:rsidRDefault="00D674AB" w:rsidP="00660F20">
            <w:pPr>
              <w:bidi/>
              <w:spacing w:before="60" w:after="60" w:line="280" w:lineRule="exact"/>
              <w:rPr>
                <w:rFonts w:ascii="Arabic Typesetting" w:hAnsi="Arabic Typesetting" w:cs="Arabic Typesetting"/>
                <w:sz w:val="28"/>
                <w:szCs w:val="28"/>
                <w:rtl/>
                <w:lang w:bidi="ar-EG"/>
              </w:rPr>
            </w:pPr>
            <w:r w:rsidRPr="00660F20">
              <w:rPr>
                <w:rFonts w:ascii="Arabic Typesetting" w:hAnsi="Arabic Typesetting" w:cs="Arabic Typesetting" w:hint="eastAsia"/>
                <w:sz w:val="28"/>
                <w:szCs w:val="28"/>
                <w:rtl/>
                <w:lang w:bidi="ar-EG"/>
              </w:rPr>
              <w:t>يتعين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على</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موظفي</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الويبو</w:t>
            </w:r>
            <w:r w:rsidR="00497CD1" w:rsidRPr="00660F20">
              <w:rPr>
                <w:rFonts w:ascii="Arabic Typesetting" w:hAnsi="Arabic Typesetting" w:cs="Arabic Typesetting"/>
                <w:sz w:val="28"/>
                <w:szCs w:val="28"/>
                <w:rtl/>
                <w:lang w:bidi="ar-EG"/>
              </w:rPr>
              <w:t xml:space="preserve"> الاحتفاظ بالمعارف الأساسية متى كان ذلك ممكناً. </w:t>
            </w:r>
            <w:r w:rsidRPr="00660F20">
              <w:rPr>
                <w:rFonts w:ascii="Arabic Typesetting" w:hAnsi="Arabic Typesetting" w:cs="Arabic Typesetting" w:hint="eastAsia"/>
                <w:sz w:val="28"/>
                <w:szCs w:val="28"/>
                <w:rtl/>
                <w:lang w:bidi="ar-EG"/>
              </w:rPr>
              <w:t>ويتعين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تضمين</w:t>
            </w:r>
            <w:r w:rsidR="00497CD1" w:rsidRPr="00660F20">
              <w:rPr>
                <w:rFonts w:ascii="Arabic Typesetting" w:hAnsi="Arabic Typesetting" w:cs="Arabic Typesetting"/>
                <w:sz w:val="28"/>
                <w:szCs w:val="28"/>
                <w:rtl/>
                <w:lang w:bidi="ar-EG"/>
              </w:rPr>
              <w:t xml:space="preserve"> العقود المبرمة مع الشركات الخارجية شرطاً لتنظيم وضبط نقل المعرفة في حالة إنهاء التعاقد.</w:t>
            </w:r>
          </w:p>
        </w:tc>
        <w:tc>
          <w:tcPr>
            <w:tcW w:w="2310" w:type="dxa"/>
          </w:tcPr>
          <w:p w:rsidR="00497CD1" w:rsidRPr="00660F20" w:rsidRDefault="00497CD1" w:rsidP="00660F20">
            <w:pPr>
              <w:bidi/>
              <w:spacing w:before="60" w:after="60" w:line="280" w:lineRule="exact"/>
              <w:rPr>
                <w:rFonts w:ascii="Arabic Typesetting" w:hAnsi="Arabic Typesetting" w:cs="Arabic Typesetting"/>
                <w:sz w:val="28"/>
                <w:szCs w:val="28"/>
                <w:lang w:bidi="ar-EG"/>
              </w:rPr>
            </w:pPr>
            <w:r w:rsidRPr="00660F20">
              <w:rPr>
                <w:rFonts w:ascii="Arabic Typesetting" w:hAnsi="Arabic Typesetting" w:cs="Arabic Typesetting" w:hint="eastAsia"/>
                <w:sz w:val="28"/>
                <w:szCs w:val="28"/>
                <w:rtl/>
                <w:lang w:bidi="ar-EG"/>
              </w:rPr>
              <w:t>سعياً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إلى</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الحد</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هذا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الخطر،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استعين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بمهندس</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برمجيات</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في</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عام</w:t>
            </w:r>
            <w:r w:rsidRPr="00660F20">
              <w:rPr>
                <w:rFonts w:ascii="Arabic Typesetting" w:hAnsi="Arabic Typesetting" w:cs="Arabic Typesetting"/>
                <w:sz w:val="28"/>
                <w:szCs w:val="28"/>
                <w:rtl/>
                <w:lang w:bidi="ar-EG"/>
              </w:rPr>
              <w:t xml:space="preserve"> 2014 </w:t>
            </w:r>
            <w:r w:rsidRPr="00660F20">
              <w:rPr>
                <w:rFonts w:ascii="Arabic Typesetting" w:hAnsi="Arabic Typesetting" w:cs="Arabic Typesetting" w:hint="eastAsia"/>
                <w:sz w:val="28"/>
                <w:szCs w:val="28"/>
                <w:rtl/>
                <w:lang w:bidi="ar-EG"/>
              </w:rPr>
              <w:t>وخصصت</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موارد</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إضافية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للموظفين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والمتعاقدين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لنقل</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المعرفة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المتعاقدين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الخارجيين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وبذلك</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تحسن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تبادل</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المعرفة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والاحتفاظ</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بها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على</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مدار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الثنائية</w:t>
            </w:r>
            <w:r w:rsidRPr="00660F20">
              <w:rPr>
                <w:rFonts w:ascii="Arabic Typesetting" w:hAnsi="Arabic Typesetting" w:cs="Arabic Typesetting"/>
                <w:sz w:val="28"/>
                <w:szCs w:val="28"/>
                <w:rtl/>
                <w:lang w:bidi="ar-EG"/>
              </w:rPr>
              <w:t>.</w:t>
            </w:r>
          </w:p>
        </w:tc>
        <w:tc>
          <w:tcPr>
            <w:tcW w:w="2306" w:type="dxa"/>
            <w:tcBorders>
              <w:right w:val="single" w:sz="4" w:space="0" w:color="auto"/>
            </w:tcBorders>
          </w:tcPr>
          <w:p w:rsidR="00497CD1" w:rsidRPr="00660F20" w:rsidRDefault="00497CD1" w:rsidP="00660F20">
            <w:pPr>
              <w:bidi/>
              <w:spacing w:before="60" w:after="60" w:line="280" w:lineRule="exact"/>
              <w:rPr>
                <w:rFonts w:ascii="Arabic Typesetting" w:hAnsi="Arabic Typesetting" w:cs="Arabic Typesetting"/>
                <w:sz w:val="28"/>
                <w:szCs w:val="28"/>
                <w:lang w:bidi="ar-EG"/>
              </w:rPr>
            </w:pPr>
            <w:r w:rsidRPr="00660F20">
              <w:rPr>
                <w:rFonts w:ascii="Arabic Typesetting" w:hAnsi="Arabic Typesetting" w:cs="Arabic Typesetting" w:hint="eastAsia"/>
                <w:sz w:val="28"/>
                <w:szCs w:val="28"/>
                <w:rtl/>
                <w:lang w:bidi="ar-EG"/>
              </w:rPr>
              <w:t>لم</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يؤثر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هذا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الخطر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w:t>
            </w:r>
            <w:r w:rsidR="00D674AB" w:rsidRPr="00660F20">
              <w:rPr>
                <w:rFonts w:ascii="Arabic Typesetting" w:hAnsi="Arabic Typesetting" w:cs="Arabic Typesetting" w:hint="eastAsia"/>
                <w:sz w:val="28"/>
                <w:szCs w:val="28"/>
                <w:rtl/>
                <w:lang w:bidi="ar-EG"/>
              </w:rPr>
              <w:t>لا</w:t>
            </w:r>
            <w:r w:rsidR="00D674AB"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تطوره</w:t>
            </w:r>
            <w:r w:rsidRPr="00660F20">
              <w:rPr>
                <w:rFonts w:ascii="Arabic Typesetting" w:hAnsi="Arabic Typesetting" w:cs="Arabic Typesetting"/>
                <w:sz w:val="28"/>
                <w:szCs w:val="28"/>
                <w:rtl/>
                <w:lang w:bidi="ar-EG"/>
              </w:rPr>
              <w:t xml:space="preserve"> كثيرا في أداء البرنامج للفترة </w:t>
            </w:r>
            <w:r w:rsidR="00507DE2" w:rsidRPr="00660F20">
              <w:rPr>
                <w:rFonts w:ascii="Arabic Typesetting" w:hAnsi="Arabic Typesetting" w:cs="Arabic Typesetting"/>
                <w:sz w:val="28"/>
                <w:szCs w:val="28"/>
                <w:rtl/>
                <w:lang w:bidi="ar-EG"/>
              </w:rPr>
              <w:t>2014/15</w:t>
            </w:r>
            <w:r w:rsidRPr="00660F20">
              <w:rPr>
                <w:rFonts w:ascii="Arabic Typesetting" w:hAnsi="Arabic Typesetting" w:cs="Arabic Typesetting"/>
                <w:sz w:val="28"/>
                <w:szCs w:val="28"/>
                <w:rtl/>
                <w:lang w:bidi="ar-EG"/>
              </w:rPr>
              <w:t>.</w:t>
            </w:r>
          </w:p>
        </w:tc>
      </w:tr>
      <w:tr w:rsidR="00497CD1" w:rsidRPr="00660F20" w:rsidTr="00211D55">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497CD1" w:rsidRPr="00660F20" w:rsidRDefault="00497CD1" w:rsidP="00660F20">
            <w:pPr>
              <w:bidi/>
              <w:spacing w:before="60" w:after="60" w:line="280" w:lineRule="exact"/>
              <w:rPr>
                <w:rFonts w:ascii="Arabic Typesetting" w:hAnsi="Arabic Typesetting" w:cs="Arabic Typesetting"/>
                <w:sz w:val="28"/>
                <w:szCs w:val="28"/>
                <w:rtl/>
                <w:lang w:bidi="ar-EG"/>
              </w:rPr>
            </w:pPr>
            <w:r w:rsidRPr="00660F20">
              <w:rPr>
                <w:rFonts w:ascii="Arabic Typesetting" w:hAnsi="Arabic Typesetting" w:cs="Arabic Typesetting"/>
                <w:sz w:val="28"/>
                <w:szCs w:val="28"/>
                <w:rtl/>
                <w:lang w:bidi="ar-EG"/>
              </w:rPr>
              <w:t>تعتمد المكاتب في تنفيذ أنشطتها الرئيسية على استخدام أنظمة برامج الويبو. وقد تتأثر العمليات اليومية تأثراً شديداً في حالة تعطل أي من هذه الأنظمة. ولهذا، فمن المتوقع استمرار الويبو في تقديم الدعم الكافي لتلك الأنظمة.</w:t>
            </w:r>
          </w:p>
        </w:tc>
        <w:tc>
          <w:tcPr>
            <w:tcW w:w="2200" w:type="dxa"/>
            <w:tcBorders>
              <w:bottom w:val="single" w:sz="4" w:space="0" w:color="auto"/>
            </w:tcBorders>
            <w:shd w:val="clear" w:color="auto" w:fill="auto"/>
            <w:tcMar>
              <w:top w:w="113" w:type="dxa"/>
              <w:bottom w:w="113" w:type="dxa"/>
            </w:tcMar>
          </w:tcPr>
          <w:p w:rsidR="00497CD1" w:rsidRPr="00660F20" w:rsidRDefault="00497CD1" w:rsidP="00660F20">
            <w:pPr>
              <w:bidi/>
              <w:spacing w:before="60" w:after="60" w:line="280" w:lineRule="exact"/>
              <w:rPr>
                <w:rFonts w:ascii="Arabic Typesetting" w:hAnsi="Arabic Typesetting" w:cs="Arabic Typesetting"/>
                <w:sz w:val="28"/>
                <w:szCs w:val="28"/>
                <w:rtl/>
                <w:lang w:bidi="ar-EG"/>
              </w:rPr>
            </w:pPr>
            <w:r w:rsidRPr="00660F20">
              <w:rPr>
                <w:rFonts w:ascii="Arabic Typesetting" w:hAnsi="Arabic Typesetting" w:cs="Arabic Typesetting"/>
                <w:sz w:val="28"/>
                <w:szCs w:val="28"/>
                <w:rtl/>
                <w:lang w:bidi="ar-EG"/>
              </w:rPr>
              <w:t>تخصيص موارد كافية لدعم البرامج.</w:t>
            </w:r>
          </w:p>
          <w:p w:rsidR="00497CD1" w:rsidRPr="00660F20" w:rsidRDefault="00497CD1" w:rsidP="00660F20">
            <w:pPr>
              <w:bidi/>
              <w:spacing w:before="60" w:after="60" w:line="280" w:lineRule="exact"/>
              <w:rPr>
                <w:rFonts w:ascii="Arabic Typesetting" w:hAnsi="Arabic Typesetting" w:cs="Arabic Typesetting"/>
                <w:sz w:val="28"/>
                <w:szCs w:val="28"/>
                <w:rtl/>
                <w:lang w:bidi="ar-EG"/>
              </w:rPr>
            </w:pPr>
            <w:r w:rsidRPr="00660F20">
              <w:rPr>
                <w:rFonts w:ascii="Arabic Typesetting" w:hAnsi="Arabic Typesetting" w:cs="Arabic Typesetting"/>
                <w:sz w:val="28"/>
                <w:szCs w:val="28"/>
                <w:rtl/>
                <w:lang w:bidi="ar-EG"/>
              </w:rPr>
              <w:t>التأكد من حسن تدريب موظفي مكاتب الملكية الفكرية لتنفيذ متطلبات المستوى الأول من الدعم. وضع إجراءات رسمية لدعم البرامج والصيانة.</w:t>
            </w:r>
          </w:p>
        </w:tc>
        <w:tc>
          <w:tcPr>
            <w:tcW w:w="2310" w:type="dxa"/>
            <w:tcBorders>
              <w:bottom w:val="single" w:sz="4" w:space="0" w:color="auto"/>
            </w:tcBorders>
          </w:tcPr>
          <w:p w:rsidR="00497CD1" w:rsidRPr="00660F20" w:rsidRDefault="00497CD1" w:rsidP="00660F20">
            <w:pPr>
              <w:bidi/>
              <w:spacing w:before="60" w:after="60" w:line="280" w:lineRule="exact"/>
              <w:rPr>
                <w:rFonts w:ascii="Arabic Typesetting" w:hAnsi="Arabic Typesetting" w:cs="Arabic Typesetting"/>
                <w:sz w:val="28"/>
                <w:szCs w:val="28"/>
                <w:lang w:bidi="ar-EG"/>
              </w:rPr>
            </w:pPr>
            <w:r w:rsidRPr="00660F20">
              <w:rPr>
                <w:rFonts w:ascii="Arabic Typesetting" w:hAnsi="Arabic Typesetting" w:cs="Arabic Typesetting" w:hint="eastAsia"/>
                <w:sz w:val="28"/>
                <w:szCs w:val="28"/>
                <w:rtl/>
                <w:lang w:bidi="ar-EG"/>
              </w:rPr>
              <w:t>عولجت</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الأحداث</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الخطيرة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التي</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طرأت</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في</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مكاتب</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الملكية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الفكرية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خلال</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الثنائية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معالجة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فعالة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على</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يد</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موظفي</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هذه</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المكاتب</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المحليين</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وخبراء</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الويبو</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وخصصت</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موارد</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إضافية</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للتدريب</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ونقل</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المعرفة</w:t>
            </w:r>
            <w:r w:rsidRPr="00660F20">
              <w:rPr>
                <w:rFonts w:ascii="Arabic Typesetting" w:hAnsi="Arabic Typesetting" w:cs="Arabic Typesetting"/>
                <w:sz w:val="28"/>
                <w:szCs w:val="28"/>
                <w:rtl/>
                <w:lang w:bidi="ar-EG"/>
              </w:rPr>
              <w:t>.</w:t>
            </w:r>
          </w:p>
        </w:tc>
        <w:tc>
          <w:tcPr>
            <w:tcW w:w="2306" w:type="dxa"/>
            <w:tcBorders>
              <w:bottom w:val="single" w:sz="4" w:space="0" w:color="auto"/>
              <w:right w:val="single" w:sz="4" w:space="0" w:color="auto"/>
            </w:tcBorders>
          </w:tcPr>
          <w:p w:rsidR="00497CD1" w:rsidRPr="00660F20" w:rsidRDefault="00497CD1" w:rsidP="00660F20">
            <w:pPr>
              <w:bidi/>
              <w:spacing w:before="60" w:after="60" w:line="280" w:lineRule="exact"/>
              <w:rPr>
                <w:rFonts w:ascii="Arabic Typesetting" w:hAnsi="Arabic Typesetting" w:cs="Arabic Typesetting"/>
                <w:sz w:val="28"/>
                <w:szCs w:val="28"/>
                <w:lang w:bidi="ar-EG"/>
              </w:rPr>
            </w:pPr>
            <w:r w:rsidRPr="00660F20">
              <w:rPr>
                <w:rFonts w:ascii="Arabic Typesetting" w:hAnsi="Arabic Typesetting" w:cs="Arabic Typesetting" w:hint="eastAsia"/>
                <w:sz w:val="28"/>
                <w:szCs w:val="28"/>
                <w:rtl/>
                <w:lang w:bidi="ar-EG"/>
              </w:rPr>
              <w:t>لم</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يؤثر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هذا</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الخطر</w:t>
            </w:r>
            <w:r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و</w:t>
            </w:r>
            <w:r w:rsidR="00D674AB" w:rsidRPr="00660F20">
              <w:rPr>
                <w:rFonts w:ascii="Arabic Typesetting" w:hAnsi="Arabic Typesetting" w:cs="Arabic Typesetting" w:hint="eastAsia"/>
                <w:sz w:val="28"/>
                <w:szCs w:val="28"/>
                <w:rtl/>
                <w:lang w:bidi="ar-EG"/>
              </w:rPr>
              <w:t>لا</w:t>
            </w:r>
            <w:r w:rsidR="00D674AB" w:rsidRPr="00660F20">
              <w:rPr>
                <w:rFonts w:ascii="Arabic Typesetting" w:hAnsi="Arabic Typesetting" w:cs="Arabic Typesetting"/>
                <w:sz w:val="28"/>
                <w:szCs w:val="28"/>
                <w:rtl/>
                <w:lang w:bidi="ar-EG"/>
              </w:rPr>
              <w:t xml:space="preserve"> </w:t>
            </w:r>
            <w:r w:rsidRPr="00660F20">
              <w:rPr>
                <w:rFonts w:ascii="Arabic Typesetting" w:hAnsi="Arabic Typesetting" w:cs="Arabic Typesetting" w:hint="eastAsia"/>
                <w:sz w:val="28"/>
                <w:szCs w:val="28"/>
                <w:rtl/>
                <w:lang w:bidi="ar-EG"/>
              </w:rPr>
              <w:t>تطوره</w:t>
            </w:r>
            <w:r w:rsidRPr="00660F20">
              <w:rPr>
                <w:rFonts w:ascii="Arabic Typesetting" w:hAnsi="Arabic Typesetting" w:cs="Arabic Typesetting"/>
                <w:sz w:val="28"/>
                <w:szCs w:val="28"/>
                <w:rtl/>
                <w:lang w:bidi="ar-EG"/>
              </w:rPr>
              <w:t xml:space="preserve"> كثيرا في أداء البرنامج للفترة </w:t>
            </w:r>
            <w:r w:rsidR="00507DE2" w:rsidRPr="00660F20">
              <w:rPr>
                <w:rFonts w:ascii="Arabic Typesetting" w:hAnsi="Arabic Typesetting" w:cs="Arabic Typesetting"/>
                <w:sz w:val="28"/>
                <w:szCs w:val="28"/>
                <w:rtl/>
                <w:lang w:bidi="ar-EG"/>
              </w:rPr>
              <w:t>2014/15</w:t>
            </w:r>
            <w:r w:rsidRPr="00660F20">
              <w:rPr>
                <w:rFonts w:ascii="Arabic Typesetting" w:hAnsi="Arabic Typesetting" w:cs="Arabic Typesetting"/>
                <w:sz w:val="28"/>
                <w:szCs w:val="28"/>
                <w:rtl/>
                <w:lang w:bidi="ar-EG"/>
              </w:rPr>
              <w:t>.</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استخدام الموارد</w:t>
      </w:r>
    </w:p>
    <w:p w:rsidR="00B31868" w:rsidRPr="00252762" w:rsidRDefault="00774E37" w:rsidP="00252762">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sz w:val="34"/>
          <w:szCs w:val="34"/>
          <w:rtl/>
          <w:lang w:bidi="ar-EG"/>
        </w:rPr>
        <w:t>الميزانية والنفقات الفعلية (بحسب النتائج)</w:t>
      </w:r>
    </w:p>
    <w:p w:rsidR="00497CD1" w:rsidRPr="00B31868" w:rsidRDefault="00B31868" w:rsidP="00086C3F">
      <w:pPr>
        <w:keepNext/>
        <w:bidi/>
        <w:spacing w:after="120" w:line="340" w:lineRule="exact"/>
        <w:jc w:val="center"/>
        <w:rPr>
          <w:rFonts w:ascii="Arabic Typesetting" w:hAnsi="Arabic Typesetting" w:cs="Arabic Typesetting"/>
          <w:sz w:val="34"/>
          <w:szCs w:val="34"/>
          <w:rtl/>
          <w:lang w:bidi="ar-EG"/>
        </w:rPr>
      </w:pPr>
      <w:r w:rsidRPr="00B31868">
        <w:rPr>
          <w:rFonts w:ascii="Arabic Typesetting" w:hAnsi="Arabic Typesetting" w:cs="Arabic Typesetting"/>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497CD1" w:rsidRPr="00211D55" w:rsidTr="00497CD1">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497CD1" w:rsidRPr="00211D55" w:rsidRDefault="00497CD1"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97CD1" w:rsidRPr="00211D55" w:rsidRDefault="00497CD1"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97CD1" w:rsidRPr="00211D55" w:rsidRDefault="00497CD1"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497CD1" w:rsidRPr="00211D55" w:rsidRDefault="00497CD1"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497CD1" w:rsidRPr="00211D55" w:rsidTr="00497CD1">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hideMark/>
          </w:tcPr>
          <w:p w:rsidR="00497CD1" w:rsidRPr="00211D55" w:rsidRDefault="00CD7FF2" w:rsidP="00086C3F">
            <w:pPr>
              <w:keepNext/>
              <w:bidi/>
              <w:rPr>
                <w:rFonts w:ascii="Arabic Typesetting" w:hAnsi="Arabic Typesetting" w:cs="Arabic Typesetting"/>
                <w:sz w:val="28"/>
                <w:szCs w:val="28"/>
              </w:rPr>
            </w:pPr>
            <w:r w:rsidRPr="00211D55">
              <w:rPr>
                <w:rFonts w:ascii="Arabic Typesetting" w:hAnsi="Arabic Typesetting" w:cs="Arabic Typesetting" w:hint="cs"/>
                <w:sz w:val="28"/>
                <w:szCs w:val="28"/>
                <w:rtl/>
              </w:rPr>
              <w:t>ه4.4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97CD1" w:rsidRPr="00211D55" w:rsidRDefault="000432CA" w:rsidP="00086C3F">
            <w:pPr>
              <w:keepNext/>
              <w:bidi/>
              <w:rPr>
                <w:rFonts w:ascii="Arabic Typesetting" w:hAnsi="Arabic Typesetting" w:cs="Arabic Typesetting"/>
                <w:sz w:val="28"/>
                <w:szCs w:val="28"/>
              </w:rPr>
            </w:pPr>
            <w:r>
              <w:rPr>
                <w:rFonts w:ascii="Arabic Typesetting" w:hAnsi="Arabic Typesetting" w:cs="Arabic Typesetting"/>
                <w:sz w:val="28"/>
                <w:szCs w:val="28"/>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97CD1" w:rsidRPr="00211D55" w:rsidRDefault="00CD7FF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11,628</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97CD1" w:rsidRPr="00211D55" w:rsidRDefault="00CD7FF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12,045</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97CD1" w:rsidRPr="00211D55" w:rsidRDefault="00CD7FF2" w:rsidP="00086C3F">
            <w:pPr>
              <w:keepNext/>
              <w:rPr>
                <w:rFonts w:ascii="Arabic Typesetting" w:hAnsi="Arabic Typesetting" w:cs="Arabic Typesetting"/>
                <w:sz w:val="28"/>
                <w:szCs w:val="28"/>
              </w:rPr>
            </w:pPr>
            <w:r w:rsidRPr="00211D55">
              <w:rPr>
                <w:rFonts w:ascii="Arabic Typesetting" w:hAnsi="Arabic Typesetting" w:cs="Arabic Typesetting"/>
                <w:sz w:val="28"/>
                <w:szCs w:val="28"/>
              </w:rPr>
              <w:t>11,940</w:t>
            </w:r>
          </w:p>
        </w:tc>
      </w:tr>
      <w:tr w:rsidR="00497CD1" w:rsidRPr="00211D55" w:rsidTr="00497CD1">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497CD1" w:rsidRPr="00211D55" w:rsidRDefault="00497CD1"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497CD1" w:rsidRPr="00211D55" w:rsidRDefault="00497CD1"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97CD1" w:rsidRPr="00211D55" w:rsidRDefault="00CD7FF2"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11,628</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97CD1" w:rsidRPr="00211D55" w:rsidRDefault="00CD7FF2"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12,045</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97CD1" w:rsidRPr="00211D55" w:rsidRDefault="00CD7FF2"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11,940</w:t>
            </w:r>
          </w:p>
        </w:tc>
      </w:tr>
    </w:tbl>
    <w:p w:rsidR="00252762" w:rsidRPr="00252762" w:rsidRDefault="00774E37" w:rsidP="00252762">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lastRenderedPageBreak/>
        <w:t>الميزانية والنفقات الفعلية (موارد الموظفين وخلاف موارد الموظفين)</w:t>
      </w:r>
    </w:p>
    <w:p w:rsidR="00CD7FF2" w:rsidRPr="00B31868" w:rsidRDefault="00B31868" w:rsidP="00252762">
      <w:pPr>
        <w:keepNext/>
        <w:bidi/>
        <w:jc w:val="center"/>
        <w:rPr>
          <w:rFonts w:ascii="Arabic Typesetting" w:hAnsi="Arabic Typesetting" w:cs="Arabic Typesetting"/>
          <w:sz w:val="34"/>
          <w:szCs w:val="34"/>
          <w:rtl/>
          <w:lang w:bidi="ar-EG"/>
        </w:rPr>
      </w:pPr>
      <w:r w:rsidRPr="00B31868">
        <w:rPr>
          <w:rFonts w:ascii="Arabic Typesetting" w:hAnsi="Arabic Typesetting" w:cs="Arabic Typesetting"/>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CD7FF2" w:rsidRPr="00211D55" w:rsidTr="00CC7567">
        <w:trPr>
          <w:cantSplit/>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CD7FF2" w:rsidRPr="00211D55" w:rsidRDefault="00CD7FF2"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D7FF2" w:rsidRPr="00211D55" w:rsidRDefault="00CD7FF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D7FF2" w:rsidRPr="00211D55" w:rsidRDefault="00CD7FF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D7FF2" w:rsidRPr="00211D55" w:rsidRDefault="00CD7FF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D7FF2"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CD7FF2" w:rsidRPr="00211D55">
              <w:rPr>
                <w:rFonts w:ascii="Arabic Typesetting" w:hAnsi="Arabic Typesetting" w:cs="Arabic Typesetting"/>
                <w:b/>
                <w:bCs/>
                <w:i/>
                <w:iCs/>
                <w:sz w:val="28"/>
                <w:szCs w:val="28"/>
                <w:rtl/>
              </w:rPr>
              <w:t xml:space="preserve"> (%)</w:t>
            </w:r>
          </w:p>
        </w:tc>
      </w:tr>
      <w:tr w:rsidR="00CD7FF2" w:rsidRPr="00211D55" w:rsidTr="00CC7567">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CD7FF2" w:rsidRPr="00211D55" w:rsidRDefault="00CD7FF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6,023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6,437</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6,851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106%</w:t>
            </w:r>
          </w:p>
        </w:tc>
      </w:tr>
      <w:tr w:rsidR="00CD7FF2" w:rsidRPr="00211D55" w:rsidTr="00CC7567">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CD7FF2" w:rsidRPr="00211D55" w:rsidRDefault="00CD7FF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5,604</w:t>
            </w:r>
          </w:p>
        </w:tc>
        <w:tc>
          <w:tcPr>
            <w:tcW w:w="970" w:type="pct"/>
            <w:tcBorders>
              <w:top w:val="nil"/>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5,609</w:t>
            </w:r>
          </w:p>
        </w:tc>
        <w:tc>
          <w:tcPr>
            <w:tcW w:w="970" w:type="pct"/>
            <w:tcBorders>
              <w:top w:val="nil"/>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5,089</w:t>
            </w:r>
          </w:p>
        </w:tc>
        <w:tc>
          <w:tcPr>
            <w:tcW w:w="970" w:type="pct"/>
            <w:tcBorders>
              <w:top w:val="nil"/>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91%</w:t>
            </w:r>
          </w:p>
        </w:tc>
      </w:tr>
      <w:tr w:rsidR="00CD7FF2" w:rsidRPr="00211D55" w:rsidTr="00CC7567">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CD7FF2" w:rsidRPr="00211D55" w:rsidRDefault="00CD7FF2"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11,628</w:t>
            </w:r>
          </w:p>
        </w:tc>
        <w:tc>
          <w:tcPr>
            <w:tcW w:w="970" w:type="pct"/>
            <w:tcBorders>
              <w:top w:val="nil"/>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12,045</w:t>
            </w:r>
          </w:p>
        </w:tc>
        <w:tc>
          <w:tcPr>
            <w:tcW w:w="970" w:type="pct"/>
            <w:tcBorders>
              <w:top w:val="nil"/>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11,940</w:t>
            </w:r>
          </w:p>
        </w:tc>
        <w:tc>
          <w:tcPr>
            <w:tcW w:w="970" w:type="pct"/>
            <w:tcBorders>
              <w:top w:val="nil"/>
              <w:left w:val="single" w:sz="4" w:space="0" w:color="auto"/>
              <w:bottom w:val="single" w:sz="4" w:space="0" w:color="auto"/>
              <w:right w:val="single" w:sz="4" w:space="0" w:color="auto"/>
            </w:tcBorders>
            <w:shd w:val="clear" w:color="auto" w:fill="auto"/>
            <w:vAlign w:val="center"/>
          </w:tcPr>
          <w:p w:rsidR="00CD7FF2" w:rsidRPr="00211D55" w:rsidRDefault="00CD7FF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99%</w:t>
            </w:r>
          </w:p>
        </w:tc>
      </w:tr>
    </w:tbl>
    <w:p w:rsidR="00B31868" w:rsidRPr="00706F20" w:rsidRDefault="00CD7FF2" w:rsidP="00FD7897">
      <w:pPr>
        <w:bidi/>
        <w:spacing w:before="120" w:after="120" w:line="340" w:lineRule="exact"/>
        <w:rPr>
          <w:rFonts w:ascii="Arabic Typesetting" w:hAnsi="Arabic Typesetting" w:cs="Arabic Typesetting"/>
          <w:sz w:val="34"/>
          <w:szCs w:val="34"/>
          <w:lang w:bidi="ar-EG"/>
        </w:rPr>
      </w:pPr>
      <w:r w:rsidRPr="00706F20">
        <w:rPr>
          <w:rFonts w:ascii="Arabic Typesetting" w:hAnsi="Arabic Typesetting" w:cs="Arabic Typesetting"/>
          <w:sz w:val="34"/>
          <w:szCs w:val="34"/>
          <w:rtl/>
          <w:lang w:bidi="ar-EG"/>
        </w:rPr>
        <w:t>ألف.</w:t>
      </w:r>
      <w:r w:rsidRPr="00706F20">
        <w:rPr>
          <w:rFonts w:ascii="Arabic Typesetting" w:hAnsi="Arabic Typesetting" w:cs="Arabic Typesetting"/>
          <w:sz w:val="34"/>
          <w:szCs w:val="34"/>
          <w:rtl/>
          <w:lang w:bidi="ar-EG"/>
        </w:rPr>
        <w:tab/>
      </w:r>
      <w:r w:rsidRPr="00706F20">
        <w:rPr>
          <w:rFonts w:ascii="Arabic Typesetting" w:hAnsi="Arabic Typesetting" w:cs="Arabic Typesetting"/>
          <w:sz w:val="34"/>
          <w:szCs w:val="34"/>
          <w:u w:val="single"/>
          <w:rtl/>
          <w:lang w:bidi="ar-EG"/>
        </w:rPr>
        <w:t xml:space="preserve">الميزانية النهائية بعد التحويلات </w:t>
      </w:r>
      <w:r w:rsidR="00507DE2">
        <w:rPr>
          <w:rFonts w:ascii="Arabic Typesetting" w:hAnsi="Arabic Typesetting" w:cs="Arabic Typesetting"/>
          <w:sz w:val="34"/>
          <w:szCs w:val="34"/>
          <w:u w:val="single"/>
          <w:rtl/>
          <w:lang w:bidi="ar-EG"/>
        </w:rPr>
        <w:t>2014/15</w:t>
      </w:r>
    </w:p>
    <w:p w:rsidR="00B31868" w:rsidRDefault="00B31868" w:rsidP="009A3712">
      <w:pPr>
        <w:numPr>
          <w:ilvl w:val="0"/>
          <w:numId w:val="11"/>
        </w:numPr>
        <w:bidi/>
        <w:spacing w:before="120" w:after="120" w:line="340" w:lineRule="exact"/>
        <w:ind w:left="0" w:firstLine="0"/>
        <w:rPr>
          <w:rFonts w:ascii="Arabic Typesetting" w:hAnsi="Arabic Typesetting" w:cs="Arabic Typesetting"/>
          <w:sz w:val="34"/>
          <w:szCs w:val="34"/>
          <w:lang w:val="fr-FR"/>
        </w:rPr>
      </w:pPr>
      <w:r w:rsidRPr="00B31868">
        <w:rPr>
          <w:rFonts w:ascii="Arabic Typesetting" w:hAnsi="Arabic Typesetting" w:cs="Arabic Typesetting" w:hint="cs"/>
          <w:sz w:val="34"/>
          <w:szCs w:val="34"/>
          <w:rtl/>
          <w:lang w:val="fr-FR"/>
        </w:rPr>
        <w:t xml:space="preserve">تعزى الزيادة في </w:t>
      </w:r>
      <w:r w:rsidR="00CD7FF2">
        <w:rPr>
          <w:rFonts w:ascii="Arabic Typesetting" w:hAnsi="Arabic Typesetting" w:cs="Arabic Typesetting" w:hint="cs"/>
          <w:sz w:val="34"/>
          <w:szCs w:val="34"/>
          <w:rtl/>
          <w:lang w:val="fr-FR"/>
        </w:rPr>
        <w:t>الميزانية النهائية بعد التحويلات</w:t>
      </w:r>
      <w:r w:rsidR="00CD7FF2" w:rsidRPr="00B31868">
        <w:rPr>
          <w:rFonts w:ascii="Arabic Typesetting" w:hAnsi="Arabic Typesetting" w:cs="Arabic Typesetting" w:hint="cs"/>
          <w:sz w:val="34"/>
          <w:szCs w:val="34"/>
          <w:rtl/>
          <w:lang w:val="fr-FR"/>
        </w:rPr>
        <w:t xml:space="preserve"> </w:t>
      </w:r>
      <w:r w:rsidR="00507DE2">
        <w:rPr>
          <w:rFonts w:ascii="Arabic Typesetting" w:hAnsi="Arabic Typesetting" w:cs="Arabic Typesetting" w:hint="cs"/>
          <w:sz w:val="34"/>
          <w:szCs w:val="34"/>
          <w:rtl/>
          <w:lang w:val="fr-FR"/>
        </w:rPr>
        <w:t>2014/15</w:t>
      </w:r>
      <w:r w:rsidRPr="00B31868">
        <w:rPr>
          <w:rFonts w:ascii="Arabic Typesetting" w:hAnsi="Arabic Typesetting" w:cs="Arabic Typesetting" w:hint="cs"/>
          <w:sz w:val="34"/>
          <w:szCs w:val="34"/>
          <w:rtl/>
          <w:lang w:val="fr-FR"/>
        </w:rPr>
        <w:t xml:space="preserve"> أساسا إلى نقل موظف إلى البرنامج للمساعدة على نشر </w:t>
      </w:r>
      <w:r w:rsidRPr="00B31868">
        <w:rPr>
          <w:rFonts w:ascii="Arabic Typesetting" w:hAnsi="Arabic Typesetting" w:cs="Arabic Typesetting"/>
          <w:sz w:val="34"/>
          <w:szCs w:val="34"/>
          <w:rtl/>
          <w:lang w:val="fr-FR"/>
        </w:rPr>
        <w:t xml:space="preserve">حلول </w:t>
      </w:r>
      <w:r w:rsidRPr="00B31868">
        <w:rPr>
          <w:rFonts w:ascii="Arabic Typesetting" w:hAnsi="Arabic Typesetting" w:cs="Arabic Typesetting" w:hint="cs"/>
          <w:sz w:val="34"/>
          <w:szCs w:val="34"/>
          <w:rtl/>
          <w:lang w:val="fr-FR"/>
        </w:rPr>
        <w:t xml:space="preserve">الويبو </w:t>
      </w:r>
      <w:r w:rsidRPr="00B31868">
        <w:rPr>
          <w:rFonts w:ascii="Arabic Typesetting" w:hAnsi="Arabic Typesetting" w:cs="Arabic Typesetting"/>
          <w:sz w:val="34"/>
          <w:szCs w:val="34"/>
          <w:rtl/>
          <w:lang w:val="fr-FR"/>
        </w:rPr>
        <w:t>لأعمال مكاتب الملكية الفكرية</w:t>
      </w:r>
      <w:r w:rsidRPr="00B31868">
        <w:rPr>
          <w:rFonts w:ascii="Arabic Typesetting" w:hAnsi="Arabic Typesetting" w:cs="Arabic Typesetting" w:hint="cs"/>
          <w:sz w:val="34"/>
          <w:szCs w:val="34"/>
          <w:rtl/>
          <w:lang w:val="fr-FR"/>
        </w:rPr>
        <w:t xml:space="preserve"> ودعمها</w:t>
      </w:r>
      <w:r w:rsidR="00CD7FF2">
        <w:rPr>
          <w:rFonts w:ascii="Arabic Typesetting" w:hAnsi="Arabic Typesetting" w:cs="Arabic Typesetting" w:hint="cs"/>
          <w:sz w:val="34"/>
          <w:szCs w:val="34"/>
          <w:rtl/>
          <w:lang w:val="fr-FR"/>
        </w:rPr>
        <w:t xml:space="preserve"> ولا سيما تصميم البرمجية وبنيتها فضلاً عن مشروع شبكة الويبو لحق المؤلف</w:t>
      </w:r>
      <w:r w:rsidRPr="00B31868">
        <w:rPr>
          <w:rFonts w:ascii="Arabic Typesetting" w:hAnsi="Arabic Typesetting" w:cs="Arabic Typesetting" w:hint="cs"/>
          <w:sz w:val="34"/>
          <w:szCs w:val="34"/>
          <w:rtl/>
          <w:lang w:val="fr-FR"/>
        </w:rPr>
        <w:t>.</w:t>
      </w:r>
    </w:p>
    <w:p w:rsidR="00CD7FF2" w:rsidRPr="00CD7FF2" w:rsidRDefault="00CD7FF2" w:rsidP="009A3712">
      <w:pPr>
        <w:numPr>
          <w:ilvl w:val="0"/>
          <w:numId w:val="11"/>
        </w:numPr>
        <w:bidi/>
        <w:spacing w:before="120" w:after="120" w:line="340" w:lineRule="exact"/>
        <w:ind w:left="0" w:firstLine="0"/>
        <w:rPr>
          <w:rFonts w:ascii="Arabic Typesetting" w:hAnsi="Arabic Typesetting" w:cs="Arabic Typesetting"/>
          <w:sz w:val="34"/>
          <w:szCs w:val="34"/>
          <w:rtl/>
          <w:lang w:val="fr-FR"/>
        </w:rPr>
      </w:pPr>
      <w:r w:rsidRPr="00CD7FF2">
        <w:rPr>
          <w:rFonts w:ascii="Arabic Typesetting" w:hAnsi="Arabic Typesetting" w:cs="Arabic Typesetting" w:hint="cs"/>
          <w:sz w:val="34"/>
          <w:szCs w:val="34"/>
          <w:rtl/>
          <w:lang w:val="fr-FR"/>
        </w:rPr>
        <w:t xml:space="preserve">أما الزيادة الطفيفة في </w:t>
      </w:r>
      <w:r w:rsidR="0023721A">
        <w:rPr>
          <w:rFonts w:ascii="Arabic Typesetting" w:hAnsi="Arabic Typesetting" w:cs="Arabic Typesetting" w:hint="cs"/>
          <w:sz w:val="34"/>
          <w:szCs w:val="34"/>
          <w:rtl/>
          <w:lang w:val="fr-FR"/>
        </w:rPr>
        <w:t xml:space="preserve">مخصصات </w:t>
      </w:r>
      <w:r w:rsidR="009F5F08">
        <w:rPr>
          <w:rFonts w:ascii="Arabic Typesetting" w:hAnsi="Arabic Typesetting" w:cs="Arabic Typesetting" w:hint="cs"/>
          <w:sz w:val="34"/>
          <w:szCs w:val="34"/>
          <w:rtl/>
          <w:lang w:val="fr-FR"/>
        </w:rPr>
        <w:t>خلاف موارد الموظفين</w:t>
      </w:r>
      <w:r w:rsidRPr="00CD7FF2">
        <w:rPr>
          <w:rFonts w:ascii="Arabic Typesetting" w:hAnsi="Arabic Typesetting" w:cs="Arabic Typesetting" w:hint="cs"/>
          <w:sz w:val="34"/>
          <w:szCs w:val="34"/>
          <w:rtl/>
          <w:lang w:val="fr-FR"/>
        </w:rPr>
        <w:t xml:space="preserve"> الإضافية لتغطية التكاليف المتعلقة بتكنولوجيا المعلومات والاتصالات في </w:t>
      </w:r>
      <w:r w:rsidRPr="00CD7FF2">
        <w:rPr>
          <w:rFonts w:ascii="Arabic Typesetting" w:hAnsi="Arabic Typesetting" w:cs="Arabic Typesetting"/>
          <w:sz w:val="34"/>
          <w:szCs w:val="34"/>
          <w:rtl/>
          <w:lang w:val="fr-FR"/>
        </w:rPr>
        <w:t>مشروع الموارد العالمية المتاحة للوسطاء الموثوق بهم (</w:t>
      </w:r>
      <w:r w:rsidRPr="00CD7FF2">
        <w:rPr>
          <w:rFonts w:ascii="Arabic Typesetting" w:hAnsi="Arabic Typesetting" w:cs="Arabic Typesetting"/>
          <w:sz w:val="34"/>
          <w:szCs w:val="34"/>
          <w:lang w:val="fr-FR"/>
        </w:rPr>
        <w:t>TIGAR</w:t>
      </w:r>
      <w:r w:rsidRPr="00CD7FF2">
        <w:rPr>
          <w:rFonts w:ascii="Arabic Typesetting" w:hAnsi="Arabic Typesetting" w:cs="Arabic Typesetting"/>
          <w:sz w:val="34"/>
          <w:szCs w:val="34"/>
          <w:rtl/>
          <w:lang w:val="fr-FR"/>
        </w:rPr>
        <w:t>)</w:t>
      </w:r>
      <w:r w:rsidRPr="00CD7FF2">
        <w:rPr>
          <w:rFonts w:ascii="Arabic Typesetting" w:hAnsi="Arabic Typesetting" w:cs="Arabic Typesetting" w:hint="cs"/>
          <w:sz w:val="34"/>
          <w:szCs w:val="34"/>
          <w:rtl/>
          <w:lang w:val="fr-FR"/>
        </w:rPr>
        <w:t xml:space="preserve"> عقب نقل المسؤوليات عن عنصر تكنولوجيا المعلومات والاتصالات في هذا المشروع من البرنامج 3 (حق المؤلف والحقوق المجاورة) إلى البرنامج 15؛ "2"</w:t>
      </w:r>
      <w:r w:rsidRPr="00CD7FF2">
        <w:rPr>
          <w:rFonts w:ascii="Arabic Typesetting" w:hAnsi="Arabic Typesetting" w:cs="Arabic Typesetting" w:hint="eastAsia"/>
          <w:sz w:val="34"/>
          <w:szCs w:val="34"/>
          <w:rtl/>
          <w:lang w:val="fr-FR"/>
        </w:rPr>
        <w:t> ونقل موارد من البرنامج 15 إلى البرنامج 12 (</w:t>
      </w:r>
      <w:r w:rsidRPr="00CD7FF2">
        <w:rPr>
          <w:rFonts w:ascii="Arabic Typesetting" w:hAnsi="Arabic Typesetting" w:cs="Arabic Typesetting"/>
          <w:sz w:val="34"/>
          <w:szCs w:val="34"/>
          <w:rtl/>
          <w:lang w:val="fr-FR"/>
        </w:rPr>
        <w:t>التصنيفات والمعايير الدولية</w:t>
      </w:r>
      <w:r>
        <w:rPr>
          <w:rFonts w:ascii="Arabic Typesetting" w:hAnsi="Arabic Typesetting" w:cs="Arabic Typesetting" w:hint="cs"/>
          <w:sz w:val="34"/>
          <w:szCs w:val="34"/>
          <w:rtl/>
          <w:lang w:val="fr-FR"/>
        </w:rPr>
        <w:t>) لتغطية تكاليف أعلى من المتوقع في إنشاء واستضافة قاعدة بيانات إعادة تصنيف التصنيف الدولي للبراءات.</w:t>
      </w:r>
    </w:p>
    <w:p w:rsidR="00B31868" w:rsidRPr="00706F20" w:rsidRDefault="00CD7FF2" w:rsidP="00FD7897">
      <w:pPr>
        <w:keepNext/>
        <w:bidi/>
        <w:spacing w:before="120" w:after="120" w:line="340" w:lineRule="exact"/>
        <w:ind w:left="-5"/>
        <w:rPr>
          <w:rFonts w:ascii="Arabic Typesetting" w:hAnsi="Arabic Typesetting" w:cs="Arabic Typesetting"/>
          <w:sz w:val="34"/>
          <w:szCs w:val="34"/>
        </w:rPr>
      </w:pPr>
      <w:r w:rsidRPr="00507DE2">
        <w:rPr>
          <w:rFonts w:ascii="Arabic Typesetting" w:hAnsi="Arabic Typesetting" w:cs="Arabic Typesetting"/>
          <w:sz w:val="34"/>
          <w:szCs w:val="34"/>
          <w:rtl/>
          <w:lang w:bidi="ar-EG"/>
        </w:rPr>
        <w:t>باء.</w:t>
      </w:r>
      <w:r w:rsidRPr="00507DE2">
        <w:rPr>
          <w:rFonts w:ascii="Arabic Typesetting" w:hAnsi="Arabic Typesetting" w:cs="Arabic Typesetting"/>
          <w:sz w:val="34"/>
          <w:szCs w:val="34"/>
          <w:rtl/>
          <w:lang w:bidi="ar-EG"/>
        </w:rPr>
        <w:tab/>
      </w:r>
      <w:r w:rsidR="00507DE2">
        <w:rPr>
          <w:rFonts w:ascii="Arabic Typesetting" w:hAnsi="Arabic Typesetting" w:cs="Arabic Typesetting"/>
          <w:sz w:val="34"/>
          <w:szCs w:val="34"/>
          <w:u w:val="single"/>
          <w:rtl/>
          <w:lang w:bidi="ar-EG"/>
        </w:rPr>
        <w:t>استخدام ميزانية 2014/15</w:t>
      </w:r>
    </w:p>
    <w:p w:rsidR="00B31868" w:rsidRPr="00673AF0" w:rsidRDefault="00CD7FF2" w:rsidP="009A3712">
      <w:pPr>
        <w:numPr>
          <w:ilvl w:val="0"/>
          <w:numId w:val="11"/>
        </w:numPr>
        <w:bidi/>
        <w:spacing w:before="120" w:after="120" w:line="340" w:lineRule="exact"/>
        <w:ind w:left="0" w:firstLine="0"/>
        <w:jc w:val="both"/>
        <w:rPr>
          <w:rFonts w:ascii="Arabic Typesetting" w:hAnsi="Arabic Typesetting" w:cs="Arabic Typesetting"/>
          <w:sz w:val="34"/>
          <w:szCs w:val="34"/>
          <w:rtl/>
          <w:lang w:val="fr-CH" w:bidi="ar-EG"/>
        </w:rPr>
      </w:pPr>
      <w:r w:rsidRPr="00673AF0">
        <w:rPr>
          <w:rFonts w:ascii="Arabic Typesetting" w:hAnsi="Arabic Typesetting" w:cs="Arabic Typesetting" w:hint="cs"/>
          <w:sz w:val="34"/>
          <w:szCs w:val="34"/>
          <w:rtl/>
          <w:lang w:val="fr-FR"/>
        </w:rPr>
        <w:t xml:space="preserve">بلغت نسبة </w:t>
      </w:r>
      <w:r w:rsidR="009B25F8">
        <w:rPr>
          <w:rFonts w:ascii="Arabic Typesetting" w:hAnsi="Arabic Typesetting" w:cs="Arabic Typesetting" w:hint="cs"/>
          <w:sz w:val="34"/>
          <w:szCs w:val="34"/>
          <w:rtl/>
          <w:lang w:val="fr-FR"/>
        </w:rPr>
        <w:t>استخدام</w:t>
      </w:r>
      <w:r w:rsidR="009B25F8" w:rsidRPr="00673AF0">
        <w:rPr>
          <w:rFonts w:ascii="Arabic Typesetting" w:hAnsi="Arabic Typesetting" w:cs="Arabic Typesetting" w:hint="cs"/>
          <w:sz w:val="34"/>
          <w:szCs w:val="34"/>
          <w:rtl/>
          <w:lang w:val="fr-FR"/>
        </w:rPr>
        <w:t xml:space="preserve"> </w:t>
      </w:r>
      <w:r w:rsidR="009B25F8">
        <w:rPr>
          <w:rFonts w:ascii="Arabic Typesetting" w:hAnsi="Arabic Typesetting" w:cs="Arabic Typesetting" w:hint="cs"/>
          <w:sz w:val="34"/>
          <w:szCs w:val="34"/>
          <w:rtl/>
          <w:lang w:val="fr-FR"/>
        </w:rPr>
        <w:t xml:space="preserve">مخصصات </w:t>
      </w:r>
      <w:r w:rsidR="009F5F08">
        <w:rPr>
          <w:rFonts w:ascii="Arabic Typesetting" w:hAnsi="Arabic Typesetting" w:cs="Arabic Typesetting" w:hint="cs"/>
          <w:sz w:val="34"/>
          <w:szCs w:val="34"/>
          <w:rtl/>
          <w:lang w:val="fr-FR"/>
        </w:rPr>
        <w:t>خلاف موارد الموظفين</w:t>
      </w:r>
      <w:r w:rsidRPr="00673AF0">
        <w:rPr>
          <w:rFonts w:ascii="Arabic Typesetting" w:hAnsi="Arabic Typesetting" w:cs="Arabic Typesetting" w:hint="cs"/>
          <w:sz w:val="34"/>
          <w:szCs w:val="34"/>
          <w:rtl/>
          <w:lang w:val="fr-FR"/>
        </w:rPr>
        <w:t xml:space="preserve"> 91 بالمئة</w:t>
      </w:r>
      <w:r w:rsidR="00673AF0" w:rsidRPr="00673AF0">
        <w:rPr>
          <w:rFonts w:ascii="Arabic Typesetting" w:hAnsi="Arabic Typesetting" w:cs="Arabic Typesetting" w:hint="cs"/>
          <w:sz w:val="34"/>
          <w:szCs w:val="34"/>
          <w:rtl/>
          <w:lang w:val="fr-FR"/>
        </w:rPr>
        <w:t>؛</w:t>
      </w:r>
      <w:r w:rsidRPr="00673AF0">
        <w:rPr>
          <w:rFonts w:ascii="Arabic Typesetting" w:hAnsi="Arabic Typesetting" w:cs="Arabic Typesetting" w:hint="cs"/>
          <w:sz w:val="34"/>
          <w:szCs w:val="34"/>
          <w:rtl/>
          <w:lang w:val="fr-FR"/>
        </w:rPr>
        <w:t xml:space="preserve"> </w:t>
      </w:r>
      <w:r w:rsidR="00673AF0" w:rsidRPr="00673AF0">
        <w:rPr>
          <w:rFonts w:ascii="Arabic Typesetting" w:hAnsi="Arabic Typesetting" w:cs="Arabic Typesetting" w:hint="cs"/>
          <w:sz w:val="34"/>
          <w:szCs w:val="34"/>
          <w:rtl/>
          <w:lang w:val="fr-FR"/>
        </w:rPr>
        <w:t xml:space="preserve">ويعزى ذلك إلى إنهاء مرحلة تطوير منصة شبكة الويبو لحق المؤلف وإطلاقها في عام 2016 عوضاً عن الثنائية السابقة كما </w:t>
      </w:r>
      <w:r w:rsidR="00D674AB">
        <w:rPr>
          <w:rFonts w:ascii="Arabic Typesetting" w:hAnsi="Arabic Typesetting" w:cs="Arabic Typesetting" w:hint="cs"/>
          <w:sz w:val="34"/>
          <w:szCs w:val="34"/>
          <w:rtl/>
          <w:lang w:val="fr-FR"/>
        </w:rPr>
        <w:t>كان مزمعاً</w:t>
      </w:r>
      <w:r w:rsidR="00673AF0" w:rsidRPr="00673AF0">
        <w:rPr>
          <w:rFonts w:ascii="Arabic Typesetting" w:hAnsi="Arabic Typesetting" w:cs="Arabic Typesetting" w:hint="cs"/>
          <w:sz w:val="34"/>
          <w:szCs w:val="34"/>
          <w:rtl/>
          <w:lang w:val="fr-FR"/>
        </w:rPr>
        <w:t>.</w:t>
      </w:r>
    </w:p>
    <w:p w:rsidR="00B31868" w:rsidRDefault="00B31868" w:rsidP="00086C3F">
      <w:pPr>
        <w:pStyle w:val="Heading2AR"/>
        <w:rPr>
          <w:rtl/>
        </w:rPr>
      </w:pPr>
      <w:bookmarkStart w:id="90" w:name="_Toc450635418"/>
      <w:bookmarkStart w:id="91" w:name="_Toc455393387"/>
      <w:r w:rsidRPr="00B31868">
        <w:rPr>
          <w:rFonts w:hint="cs"/>
          <w:rtl/>
        </w:rPr>
        <w:lastRenderedPageBreak/>
        <w:t>الهدف الاستراتيجي الخامس</w:t>
      </w:r>
      <w:bookmarkEnd w:id="90"/>
      <w:bookmarkEnd w:id="91"/>
    </w:p>
    <w:p w:rsidR="009178C3" w:rsidRDefault="009178C3" w:rsidP="009178C3">
      <w:pPr>
        <w:pStyle w:val="NormalParaAR"/>
        <w:tabs>
          <w:tab w:val="right" w:pos="6825"/>
        </w:tabs>
        <w:jc w:val="center"/>
        <w:rPr>
          <w:b/>
          <w:bCs/>
          <w:rtl/>
          <w:lang w:bidi="ar-EG"/>
        </w:rPr>
      </w:pPr>
      <w:r w:rsidRPr="0035091D">
        <w:rPr>
          <w:b/>
          <w:bCs/>
          <w:rtl/>
          <w:lang w:bidi="ar-EG"/>
        </w:rPr>
        <w:t>المصدر العالمي لمراجع المعلومات والدراسات المتعلقة بالملكية الفكرية</w:t>
      </w:r>
    </w:p>
    <w:p w:rsidR="009178C3" w:rsidRPr="002C1F06" w:rsidRDefault="009178C3" w:rsidP="009178C3">
      <w:pPr>
        <w:keepNext/>
        <w:tabs>
          <w:tab w:val="left" w:pos="1132"/>
        </w:tabs>
        <w:bidi/>
        <w:spacing w:after="240" w:line="360" w:lineRule="exact"/>
        <w:jc w:val="center"/>
        <w:rPr>
          <w:rFonts w:ascii="Arabic Typesetting" w:hAnsi="Arabic Typesetting" w:cs="Arabic Typesetting"/>
          <w:b/>
          <w:bCs/>
          <w:sz w:val="36"/>
          <w:szCs w:val="36"/>
          <w:rtl/>
        </w:rPr>
      </w:pPr>
      <w:r w:rsidRPr="002C1F06">
        <w:rPr>
          <w:rFonts w:ascii="Arabic Typesetting" w:hAnsi="Arabic Typesetting" w:cs="Arabic Typesetting" w:hint="cs"/>
          <w:b/>
          <w:bCs/>
          <w:sz w:val="36"/>
          <w:szCs w:val="36"/>
          <w:rtl/>
        </w:rPr>
        <w:t>لوحة بيانات أداء الفترة الثنائية</w:t>
      </w:r>
    </w:p>
    <w:p w:rsidR="009178C3" w:rsidRPr="00C34F0E" w:rsidRDefault="009178C3" w:rsidP="009178C3">
      <w:pPr>
        <w:tabs>
          <w:tab w:val="left" w:pos="1132"/>
        </w:tabs>
        <w:bidi/>
        <w:spacing w:after="120" w:line="340" w:lineRule="exact"/>
        <w:rPr>
          <w:rFonts w:ascii="Arabic Typesetting" w:hAnsi="Arabic Typesetting" w:cs="Arabic Typesetting"/>
          <w:sz w:val="34"/>
          <w:szCs w:val="34"/>
          <w:rtl/>
          <w:lang w:bidi="ar-EG"/>
        </w:rPr>
      </w:pPr>
      <w:r w:rsidRPr="00C34F0E">
        <w:rPr>
          <w:rFonts w:ascii="Arabic Typesetting" w:hAnsi="Arabic Typesetting" w:cs="Arabic Typesetting" w:hint="cs"/>
          <w:sz w:val="34"/>
          <w:szCs w:val="34"/>
          <w:rtl/>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9178C3" w:rsidRDefault="000A7B1D" w:rsidP="009178C3">
      <w:pPr>
        <w:pStyle w:val="NormalParaAR"/>
        <w:tabs>
          <w:tab w:val="right" w:pos="6825"/>
        </w:tabs>
        <w:spacing w:line="240" w:lineRule="auto"/>
        <w:jc w:val="center"/>
        <w:rPr>
          <w:b/>
          <w:bCs/>
          <w:rtl/>
          <w:lang w:bidi="ar-EG"/>
        </w:rPr>
      </w:pPr>
      <w:r>
        <w:rPr>
          <w:b/>
          <w:bCs/>
          <w:noProof/>
        </w:rPr>
        <w:drawing>
          <wp:inline distT="0" distB="0" distL="0" distR="0" wp14:anchorId="5FCD4300">
            <wp:extent cx="5781488" cy="278130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84908" cy="2782945"/>
                    </a:xfrm>
                    <a:prstGeom prst="rect">
                      <a:avLst/>
                    </a:prstGeom>
                    <a:noFill/>
                  </pic:spPr>
                </pic:pic>
              </a:graphicData>
            </a:graphic>
          </wp:inline>
        </w:drawing>
      </w:r>
    </w:p>
    <w:tbl>
      <w:tblP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515"/>
        <w:gridCol w:w="3380"/>
        <w:gridCol w:w="1803"/>
        <w:gridCol w:w="873"/>
      </w:tblGrid>
      <w:tr w:rsidR="009178C3" w:rsidRPr="00FE3908" w:rsidTr="000A7B1D">
        <w:trPr>
          <w:tblHeader/>
        </w:trPr>
        <w:tc>
          <w:tcPr>
            <w:tcW w:w="1836"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Pr>
                <w:b/>
                <w:bCs/>
                <w:rtl/>
                <w:lang w:bidi="ar-EG"/>
              </w:rPr>
              <w:br w:type="page"/>
            </w:r>
            <w:r w:rsidRPr="00FE3908">
              <w:rPr>
                <w:rFonts w:ascii="Arabic Typesetting" w:hAnsi="Arabic Typesetting" w:cs="Arabic Typesetting"/>
                <w:b/>
                <w:bCs/>
                <w:color w:val="000000"/>
                <w:sz w:val="30"/>
                <w:szCs w:val="30"/>
                <w:rtl/>
                <w:lang w:bidi="ar-EG"/>
              </w:rPr>
              <w:t>النتائج المرتقبة</w:t>
            </w:r>
          </w:p>
        </w:tc>
        <w:tc>
          <w:tcPr>
            <w:tcW w:w="1765"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942"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456"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9178C3" w:rsidRPr="00FE3908" w:rsidTr="000A7B1D">
        <w:tc>
          <w:tcPr>
            <w:tcW w:w="1836" w:type="pct"/>
            <w:vMerge w:val="restart"/>
            <w:tcBorders>
              <w:top w:val="single" w:sz="4" w:space="0" w:color="auto"/>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Pr>
                <w:rFonts w:ascii="Arabic Typesetting" w:hAnsi="Arabic Typesetting" w:cs="Arabic Typesetting" w:hint="cs"/>
                <w:color w:val="000000"/>
                <w:sz w:val="30"/>
                <w:szCs w:val="30"/>
                <w:rtl/>
              </w:rPr>
              <w:t>ه</w:t>
            </w:r>
            <w:r w:rsidRPr="00473E4A">
              <w:rPr>
                <w:rFonts w:ascii="Arabic Typesetting" w:hAnsi="Arabic Typesetting" w:cs="Arabic Typesetting"/>
                <w:color w:val="000000"/>
                <w:sz w:val="30"/>
                <w:szCs w:val="30"/>
                <w:rtl/>
              </w:rPr>
              <w:t xml:space="preserve">1.5 </w:t>
            </w:r>
            <w:r w:rsidRPr="00D619C5">
              <w:rPr>
                <w:rFonts w:ascii="Arabic Typesetting" w:hAnsi="Arabic Typesetting" w:cs="Arabic Typesetting"/>
                <w:color w:val="000000"/>
                <w:sz w:val="30"/>
                <w:szCs w:val="30"/>
                <w:rtl/>
              </w:rPr>
              <w:t>استخدام معلومات الويبو الإحصائية بشأن الملكية الفكرية على نطاق أوسع ونحو أفضل</w:t>
            </w:r>
          </w:p>
        </w:tc>
        <w:tc>
          <w:tcPr>
            <w:tcW w:w="1765" w:type="pct"/>
            <w:tcBorders>
              <w:top w:val="single" w:sz="4" w:space="0" w:color="auto"/>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rtl/>
                <w:lang w:bidi="ar-EG"/>
              </w:rPr>
            </w:pPr>
            <w:r w:rsidRPr="00473E4A">
              <w:rPr>
                <w:rFonts w:ascii="Arabic Typesetting" w:hAnsi="Arabic Typesetting" w:cs="Arabic Typesetting"/>
                <w:color w:val="000000"/>
                <w:sz w:val="30"/>
                <w:szCs w:val="30"/>
                <w:rtl/>
              </w:rPr>
              <w:t>عدد مرات تنزيل التقارير الإحصائية الرئيسية الأربعة (تقرير مؤشرات الملكية الفكرية العالمية، والمراجعات السنوية لنظام معاهدة التعاون بشأن البراءات ونظام لاهاي ونظام مدريد)</w:t>
            </w:r>
          </w:p>
        </w:tc>
        <w:tc>
          <w:tcPr>
            <w:tcW w:w="942" w:type="pct"/>
            <w:tcBorders>
              <w:top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16</w:t>
            </w:r>
          </w:p>
        </w:tc>
        <w:tc>
          <w:tcPr>
            <w:tcW w:w="456" w:type="pct"/>
            <w:tcBorders>
              <w:top w:val="single" w:sz="4" w:space="0" w:color="auto"/>
            </w:tcBorders>
            <w:shd w:val="clear" w:color="auto" w:fill="auto"/>
            <w:vAlign w:val="center"/>
          </w:tcPr>
          <w:p w:rsidR="009178C3" w:rsidRPr="00426F48" w:rsidRDefault="009178C3" w:rsidP="006E665D">
            <w:pPr>
              <w:bidi/>
              <w:jc w:val="center"/>
              <w:rPr>
                <w:rFonts w:ascii="Wingdings" w:hAnsi="Wingdings" w:cs="Calibri"/>
                <w:color w:val="A6A6A6"/>
                <w:szCs w:val="22"/>
                <w:lang w:bidi="ar-EG"/>
              </w:rPr>
            </w:pPr>
            <w:r w:rsidRPr="00CD066E">
              <w:rPr>
                <w:rFonts w:ascii="Wingdings" w:hAnsi="Wingdings" w:cs="Calibri"/>
                <w:color w:val="A6A6A6" w:themeColor="background1" w:themeShade="A6"/>
                <w:szCs w:val="22"/>
                <w:lang w:bidi="ar-EG"/>
              </w:rPr>
              <w:t></w:t>
            </w:r>
            <w:r w:rsidRPr="00CD066E">
              <w:rPr>
                <w:rFonts w:ascii="Wingdings" w:hAnsi="Wingdings" w:cs="Calibri"/>
                <w:color w:val="A6A6A6" w:themeColor="background1" w:themeShade="A6"/>
                <w:szCs w:val="22"/>
                <w:lang w:bidi="ar-EG"/>
              </w:rPr>
              <w:t></w:t>
            </w:r>
            <w:r w:rsidRPr="00CD066E">
              <w:rPr>
                <w:rFonts w:ascii="Wingdings" w:hAnsi="Wingdings" w:cs="Calibri"/>
                <w:color w:val="A6A6A6" w:themeColor="background1" w:themeShade="A6"/>
                <w:szCs w:val="22"/>
                <w:lang w:bidi="ar-EG"/>
              </w:rPr>
              <w:t></w:t>
            </w:r>
            <w:r w:rsidRPr="008A6954">
              <w:rPr>
                <w:rFonts w:ascii="Wingdings" w:hAnsi="Wingdings" w:cs="Calibri"/>
                <w:color w:val="10862C"/>
                <w:szCs w:val="22"/>
                <w:lang w:bidi="ar-EG"/>
              </w:rPr>
              <w:t></w:t>
            </w:r>
          </w:p>
        </w:tc>
      </w:tr>
      <w:tr w:rsidR="009178C3" w:rsidRPr="00FE3908" w:rsidTr="000A7B1D">
        <w:tc>
          <w:tcPr>
            <w:tcW w:w="1836" w:type="pct"/>
            <w:vMerge/>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p>
        </w:tc>
        <w:tc>
          <w:tcPr>
            <w:tcW w:w="1765" w:type="pct"/>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473E4A">
              <w:rPr>
                <w:rFonts w:ascii="Arabic Typesetting" w:hAnsi="Arabic Typesetting" w:cs="Arabic Typesetting"/>
                <w:color w:val="000000"/>
                <w:sz w:val="30"/>
                <w:szCs w:val="30"/>
                <w:rtl/>
              </w:rPr>
              <w:t>عدد الزائرين المستخدمين لمركز البيانات الإحصائية للملكية الفكرية</w:t>
            </w:r>
          </w:p>
        </w:tc>
        <w:tc>
          <w:tcPr>
            <w:tcW w:w="942" w:type="pct"/>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16</w:t>
            </w:r>
          </w:p>
        </w:tc>
        <w:tc>
          <w:tcPr>
            <w:tcW w:w="456" w:type="pct"/>
            <w:shd w:val="clear" w:color="auto" w:fill="auto"/>
            <w:vAlign w:val="center"/>
          </w:tcPr>
          <w:p w:rsidR="009178C3" w:rsidRPr="00426F48" w:rsidRDefault="009178C3" w:rsidP="006E665D">
            <w:pPr>
              <w:bidi/>
              <w:jc w:val="center"/>
              <w:rPr>
                <w:rFonts w:ascii="Wingdings" w:hAnsi="Wingdings" w:cs="Calibri"/>
                <w:color w:val="008000"/>
                <w:szCs w:val="22"/>
                <w:lang w:bidi="ar-EG"/>
              </w:rPr>
            </w:pPr>
            <w:r w:rsidRPr="00426F48">
              <w:rPr>
                <w:rFonts w:ascii="Wingdings" w:hAnsi="Wingdings" w:cs="Calibri"/>
                <w:color w:val="008000"/>
                <w:szCs w:val="22"/>
                <w:lang w:bidi="ar-EG"/>
              </w:rPr>
              <w:t></w:t>
            </w:r>
          </w:p>
        </w:tc>
      </w:tr>
      <w:tr w:rsidR="009178C3" w:rsidRPr="00FE3908" w:rsidTr="000A7B1D">
        <w:tc>
          <w:tcPr>
            <w:tcW w:w="1836" w:type="pct"/>
            <w:tcBorders>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B826B9">
              <w:rPr>
                <w:rFonts w:ascii="Arabic Typesetting" w:hAnsi="Arabic Typesetting" w:cs="Arabic Typesetting" w:hint="cs"/>
                <w:color w:val="000000"/>
                <w:sz w:val="30"/>
                <w:szCs w:val="30"/>
                <w:rtl/>
                <w:lang w:bidi="ar-EG"/>
              </w:rPr>
              <w:t xml:space="preserve">ه2.5 </w:t>
            </w:r>
            <w:r w:rsidRPr="00D619C5">
              <w:rPr>
                <w:rFonts w:ascii="Arabic Typesetting" w:hAnsi="Arabic Typesetting" w:cs="Arabic Typesetting"/>
                <w:b/>
                <w:color w:val="000000"/>
                <w:sz w:val="30"/>
                <w:szCs w:val="30"/>
                <w:rtl/>
                <w:lang w:bidi="ar-EG"/>
              </w:rPr>
              <w:t>استخدام تحليلات الويبو الاقتصادية في صياغة السياسات العامة على نطاق أوسع ونحو أفضل</w:t>
            </w:r>
          </w:p>
        </w:tc>
        <w:tc>
          <w:tcPr>
            <w:tcW w:w="1765" w:type="pct"/>
            <w:tcBorders>
              <w:bottom w:val="nil"/>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B826B9">
              <w:rPr>
                <w:rFonts w:ascii="Arabic Typesetting" w:hAnsi="Arabic Typesetting" w:cs="Arabic Typesetting" w:hint="cs"/>
                <w:b/>
                <w:sz w:val="30"/>
                <w:szCs w:val="30"/>
                <w:rtl/>
                <w:lang w:bidi="ar-EG"/>
              </w:rPr>
              <w:t>استخدام الحكومات والمنظمات غير الحكومية لدراسات الويبو الاقتصادية عن حق المؤلف في صنع القرارات</w:t>
            </w:r>
          </w:p>
        </w:tc>
        <w:tc>
          <w:tcPr>
            <w:tcW w:w="942"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456" w:type="pct"/>
            <w:tcBorders>
              <w:bottom w:val="nil"/>
            </w:tcBorders>
            <w:shd w:val="clear" w:color="auto" w:fill="auto"/>
            <w:vAlign w:val="center"/>
          </w:tcPr>
          <w:p w:rsidR="009178C3" w:rsidRPr="00426F48" w:rsidRDefault="009178C3" w:rsidP="006E665D">
            <w:pPr>
              <w:bidi/>
              <w:jc w:val="center"/>
              <w:rPr>
                <w:rFonts w:ascii="Wingdings" w:hAnsi="Wingdings" w:cs="Calibri"/>
                <w:color w:val="008000"/>
                <w:szCs w:val="22"/>
                <w:rtl/>
                <w:lang w:bidi="ar-EG"/>
              </w:rPr>
            </w:pPr>
            <w:r w:rsidRPr="00426F48">
              <w:rPr>
                <w:rFonts w:ascii="Wingdings" w:hAnsi="Wingdings" w:cs="Calibri"/>
                <w:color w:val="008000"/>
                <w:szCs w:val="22"/>
                <w:lang w:bidi="ar-EG"/>
              </w:rPr>
              <w:t></w:t>
            </w:r>
          </w:p>
        </w:tc>
      </w:tr>
      <w:tr w:rsidR="009178C3" w:rsidRPr="00FE3908" w:rsidTr="000A7B1D">
        <w:tc>
          <w:tcPr>
            <w:tcW w:w="1836" w:type="pct"/>
            <w:tcBorders>
              <w:top w:val="nil"/>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p>
        </w:tc>
        <w:tc>
          <w:tcPr>
            <w:tcW w:w="1765" w:type="pct"/>
            <w:tcBorders>
              <w:top w:val="nil"/>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B826B9">
              <w:rPr>
                <w:rFonts w:ascii="Arabic Typesetting" w:hAnsi="Arabic Typesetting" w:cs="Arabic Typesetting" w:hint="cs"/>
                <w:b/>
                <w:color w:val="000000"/>
                <w:sz w:val="30"/>
                <w:szCs w:val="30"/>
                <w:rtl/>
                <w:lang w:bidi="ar-EG"/>
              </w:rPr>
              <w:t>المبادرات الوطنية لإعداد مزيد من الإحصاءات عن الصناعات الإبداعية استنادا إلى عمل الويبو في هذا المجال</w:t>
            </w:r>
          </w:p>
        </w:tc>
        <w:tc>
          <w:tcPr>
            <w:tcW w:w="942"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3</w:t>
            </w:r>
          </w:p>
        </w:tc>
        <w:tc>
          <w:tcPr>
            <w:tcW w:w="456" w:type="pct"/>
            <w:tcBorders>
              <w:top w:val="nil"/>
              <w:bottom w:val="nil"/>
            </w:tcBorders>
            <w:shd w:val="clear" w:color="auto" w:fill="auto"/>
            <w:vAlign w:val="center"/>
          </w:tcPr>
          <w:p w:rsidR="009178C3" w:rsidRPr="00426F48" w:rsidRDefault="009178C3" w:rsidP="006E665D">
            <w:pPr>
              <w:bidi/>
              <w:jc w:val="center"/>
              <w:rPr>
                <w:rFonts w:ascii="Wingdings" w:hAnsi="Wingdings" w:cs="Calibri"/>
                <w:color w:val="008000"/>
                <w:szCs w:val="22"/>
                <w:lang w:bidi="ar-EG"/>
              </w:rPr>
            </w:pPr>
            <w:r w:rsidRPr="00CD066E">
              <w:rPr>
                <w:rFonts w:ascii="Wingdings" w:hAnsi="Wingdings" w:cs="Calibri"/>
                <w:szCs w:val="22"/>
                <w:lang w:bidi="ar-EG"/>
              </w:rPr>
              <w:t></w:t>
            </w:r>
          </w:p>
        </w:tc>
      </w:tr>
      <w:tr w:rsidR="009178C3" w:rsidRPr="00FE3908" w:rsidTr="000A7B1D">
        <w:tc>
          <w:tcPr>
            <w:tcW w:w="1836" w:type="pct"/>
            <w:vMerge w:val="restart"/>
            <w:tcBorders>
              <w:top w:val="nil"/>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p>
        </w:tc>
        <w:tc>
          <w:tcPr>
            <w:tcW w:w="1765" w:type="pct"/>
            <w:tcBorders>
              <w:top w:val="nil"/>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B826B9">
              <w:rPr>
                <w:rFonts w:ascii="Arabic Typesetting" w:hAnsi="Arabic Typesetting" w:cs="Arabic Typesetting"/>
                <w:b/>
                <w:color w:val="000000"/>
                <w:sz w:val="30"/>
                <w:szCs w:val="30"/>
                <w:rtl/>
              </w:rPr>
              <w:t>عدد مرات تنزيل المنشورات الاقتصادية الرئيسية</w:t>
            </w:r>
          </w:p>
        </w:tc>
        <w:tc>
          <w:tcPr>
            <w:tcW w:w="942" w:type="pct"/>
            <w:tcBorders>
              <w:top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16</w:t>
            </w:r>
          </w:p>
        </w:tc>
        <w:tc>
          <w:tcPr>
            <w:tcW w:w="456" w:type="pct"/>
            <w:tcBorders>
              <w:top w:val="nil"/>
            </w:tcBorders>
            <w:shd w:val="clear" w:color="auto" w:fill="auto"/>
            <w:vAlign w:val="center"/>
          </w:tcPr>
          <w:p w:rsidR="009178C3" w:rsidRPr="00CD066E" w:rsidRDefault="009178C3" w:rsidP="006E665D">
            <w:pPr>
              <w:bidi/>
              <w:jc w:val="center"/>
              <w:rPr>
                <w:rFonts w:ascii="Wingdings" w:hAnsi="Wingdings" w:cs="Calibri"/>
                <w:color w:val="A6A6A6" w:themeColor="background1" w:themeShade="A6"/>
                <w:szCs w:val="22"/>
                <w:lang w:bidi="ar-EG"/>
              </w:rPr>
            </w:pPr>
            <w:r w:rsidRPr="00CD066E">
              <w:rPr>
                <w:rFonts w:ascii="Wingdings" w:hAnsi="Wingdings" w:cs="Calibri"/>
                <w:color w:val="A6A6A6" w:themeColor="background1" w:themeShade="A6"/>
                <w:szCs w:val="22"/>
                <w:lang w:bidi="ar-EG"/>
              </w:rPr>
              <w:t></w:t>
            </w:r>
            <w:r w:rsidRPr="00CD066E">
              <w:rPr>
                <w:rFonts w:ascii="Wingdings" w:hAnsi="Wingdings" w:cs="Calibri"/>
                <w:color w:val="A6A6A6" w:themeColor="background1" w:themeShade="A6"/>
                <w:szCs w:val="22"/>
                <w:lang w:bidi="ar-EG"/>
              </w:rPr>
              <w:t></w:t>
            </w:r>
          </w:p>
        </w:tc>
      </w:tr>
      <w:tr w:rsidR="009178C3" w:rsidRPr="00FE3908" w:rsidTr="000A7B1D">
        <w:tc>
          <w:tcPr>
            <w:tcW w:w="1836" w:type="pct"/>
            <w:vMerge/>
            <w:tcBorders>
              <w:top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p>
        </w:tc>
        <w:tc>
          <w:tcPr>
            <w:tcW w:w="1765" w:type="pct"/>
            <w:tcBorders>
              <w:top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B826B9">
              <w:rPr>
                <w:rFonts w:ascii="Arabic Typesetting" w:hAnsi="Arabic Typesetting" w:cs="Arabic Typesetting"/>
                <w:color w:val="000000"/>
                <w:sz w:val="30"/>
                <w:szCs w:val="30"/>
                <w:rtl/>
              </w:rPr>
              <w:t xml:space="preserve">عدد مرات </w:t>
            </w:r>
            <w:r w:rsidRPr="00B826B9">
              <w:rPr>
                <w:rFonts w:ascii="Arabic Typesetting" w:hAnsi="Arabic Typesetting" w:cs="Arabic Typesetting" w:hint="cs"/>
                <w:color w:val="000000"/>
                <w:sz w:val="30"/>
                <w:szCs w:val="30"/>
                <w:rtl/>
              </w:rPr>
              <w:t>تنزيل</w:t>
            </w:r>
            <w:r w:rsidRPr="00B826B9">
              <w:rPr>
                <w:rFonts w:ascii="Arabic Typesetting" w:hAnsi="Arabic Typesetting" w:cs="Arabic Typesetting"/>
                <w:color w:val="000000"/>
                <w:sz w:val="30"/>
                <w:szCs w:val="30"/>
                <w:rtl/>
              </w:rPr>
              <w:t xml:space="preserve"> الدراسات</w:t>
            </w:r>
          </w:p>
        </w:tc>
        <w:tc>
          <w:tcPr>
            <w:tcW w:w="942" w:type="pct"/>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16</w:t>
            </w:r>
          </w:p>
        </w:tc>
        <w:tc>
          <w:tcPr>
            <w:tcW w:w="456" w:type="pct"/>
            <w:shd w:val="clear" w:color="auto" w:fill="auto"/>
            <w:vAlign w:val="center"/>
          </w:tcPr>
          <w:p w:rsidR="009178C3" w:rsidRPr="00426F48" w:rsidRDefault="009178C3" w:rsidP="006E665D">
            <w:pPr>
              <w:bidi/>
              <w:jc w:val="center"/>
              <w:rPr>
                <w:rFonts w:ascii="Wingdings" w:hAnsi="Wingdings" w:cs="Calibri"/>
                <w:color w:val="10862C"/>
                <w:szCs w:val="22"/>
                <w:lang w:bidi="ar-EG"/>
              </w:rPr>
            </w:pPr>
            <w:r w:rsidRPr="00426F48">
              <w:rPr>
                <w:rFonts w:ascii="Wingdings" w:hAnsi="Wingdings" w:cs="Calibri"/>
                <w:color w:val="10862C"/>
                <w:szCs w:val="22"/>
                <w:lang w:bidi="ar-EG"/>
              </w:rPr>
              <w:t></w:t>
            </w:r>
          </w:p>
        </w:tc>
      </w:tr>
      <w:tr w:rsidR="009178C3" w:rsidRPr="00FE3908" w:rsidTr="000A7B1D">
        <w:tc>
          <w:tcPr>
            <w:tcW w:w="1836" w:type="pct"/>
            <w:tcBorders>
              <w:top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p>
        </w:tc>
        <w:tc>
          <w:tcPr>
            <w:tcW w:w="1765" w:type="pct"/>
            <w:tcBorders>
              <w:top w:val="nil"/>
            </w:tcBorders>
            <w:shd w:val="clear" w:color="auto" w:fill="auto"/>
            <w:vAlign w:val="center"/>
          </w:tcPr>
          <w:p w:rsidR="009178C3" w:rsidRPr="00012439" w:rsidRDefault="009178C3" w:rsidP="006E665D">
            <w:pPr>
              <w:bidi/>
              <w:spacing w:before="60" w:after="60" w:line="280" w:lineRule="exact"/>
              <w:rPr>
                <w:rFonts w:ascii="Arabic Typesetting" w:hAnsi="Arabic Typesetting" w:cs="Arabic Typesetting"/>
                <w:b/>
                <w:color w:val="000000"/>
                <w:sz w:val="30"/>
                <w:szCs w:val="30"/>
                <w:rtl/>
                <w:lang w:bidi="ar-EG"/>
              </w:rPr>
            </w:pPr>
            <w:r w:rsidRPr="00B826B9">
              <w:rPr>
                <w:rFonts w:ascii="Arabic Typesetting" w:hAnsi="Arabic Typesetting" w:cs="Arabic Typesetting"/>
                <w:b/>
                <w:color w:val="000000"/>
                <w:sz w:val="30"/>
                <w:szCs w:val="30"/>
                <w:rtl/>
              </w:rPr>
              <w:t>عدد مرات تنزيل الحلقات الدراسية</w:t>
            </w:r>
          </w:p>
        </w:tc>
        <w:tc>
          <w:tcPr>
            <w:tcW w:w="942" w:type="pct"/>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16</w:t>
            </w:r>
          </w:p>
        </w:tc>
        <w:tc>
          <w:tcPr>
            <w:tcW w:w="456" w:type="pct"/>
            <w:shd w:val="clear" w:color="auto" w:fill="auto"/>
            <w:vAlign w:val="center"/>
          </w:tcPr>
          <w:p w:rsidR="009178C3" w:rsidRPr="00426F48" w:rsidRDefault="009178C3" w:rsidP="006E665D">
            <w:pPr>
              <w:bidi/>
              <w:jc w:val="center"/>
              <w:rPr>
                <w:rFonts w:ascii="Wingdings" w:hAnsi="Wingdings" w:cs="Calibri"/>
                <w:szCs w:val="22"/>
                <w:lang w:bidi="ar-EG"/>
              </w:rPr>
            </w:pPr>
            <w:r w:rsidRPr="00426F48">
              <w:rPr>
                <w:rFonts w:ascii="Wingdings" w:hAnsi="Wingdings" w:cs="Calibri"/>
                <w:szCs w:val="22"/>
                <w:lang w:bidi="ar-EG"/>
              </w:rPr>
              <w:t></w:t>
            </w:r>
          </w:p>
        </w:tc>
      </w:tr>
    </w:tbl>
    <w:p w:rsidR="00B31868" w:rsidRPr="00385CA0" w:rsidRDefault="00B31868" w:rsidP="00B33874">
      <w:pPr>
        <w:pStyle w:val="Heading3AR"/>
        <w:spacing w:after="120"/>
        <w:rPr>
          <w:rtl/>
        </w:rPr>
      </w:pPr>
      <w:bookmarkStart w:id="92" w:name="_Toc450635419"/>
      <w:bookmarkStart w:id="93" w:name="_Toc455393388"/>
      <w:r w:rsidRPr="00385CA0">
        <w:rPr>
          <w:rtl/>
        </w:rPr>
        <w:lastRenderedPageBreak/>
        <w:t>البرنامج 16</w:t>
      </w:r>
      <w:r w:rsidR="00365D19">
        <w:rPr>
          <w:rFonts w:hint="cs"/>
          <w:rtl/>
        </w:rPr>
        <w:t>:</w:t>
      </w:r>
      <w:r w:rsidRPr="00385CA0">
        <w:tab/>
      </w:r>
      <w:r w:rsidRPr="00385CA0">
        <w:rPr>
          <w:rtl/>
        </w:rPr>
        <w:t>الاقتصاد والإحصاء</w:t>
      </w:r>
      <w:bookmarkEnd w:id="92"/>
      <w:bookmarkEnd w:id="93"/>
    </w:p>
    <w:p w:rsidR="00B31868" w:rsidRPr="00086C3F" w:rsidRDefault="00086C3F" w:rsidP="00B33874">
      <w:pPr>
        <w:keepNext/>
        <w:bidi/>
        <w:spacing w:after="240" w:line="340" w:lineRule="exact"/>
        <w:ind w:left="1984" w:hanging="1984"/>
        <w:rPr>
          <w:rFonts w:ascii="Arabic Typesetting" w:hAnsi="Arabic Typesetting" w:cs="Arabic Typesetting"/>
          <w:b/>
          <w:bCs/>
          <w:sz w:val="36"/>
          <w:szCs w:val="36"/>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lang w:val="fr-CH"/>
        </w:rPr>
        <w:tab/>
      </w:r>
      <w:r w:rsidR="00B31868" w:rsidRPr="00086C3F">
        <w:rPr>
          <w:rFonts w:ascii="Arabic Typesetting" w:hAnsi="Arabic Typesetting" w:cs="Arabic Typesetting"/>
          <w:b/>
          <w:bCs/>
          <w:sz w:val="36"/>
          <w:szCs w:val="36"/>
          <w:rtl/>
          <w:lang w:val="fr-CH"/>
        </w:rPr>
        <w:t>المدير العام</w:t>
      </w:r>
    </w:p>
    <w:p w:rsidR="00086C3F" w:rsidRDefault="00086C3F" w:rsidP="00B33874">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154F32" w:rsidRPr="00AD2E68" w:rsidRDefault="00B31868" w:rsidP="009A3712">
      <w:pPr>
        <w:numPr>
          <w:ilvl w:val="0"/>
          <w:numId w:val="18"/>
        </w:numPr>
        <w:bidi/>
        <w:spacing w:after="120" w:line="340" w:lineRule="exact"/>
        <w:ind w:left="0" w:firstLine="0"/>
        <w:jc w:val="both"/>
        <w:rPr>
          <w:rFonts w:ascii="Arabic Typesetting" w:hAnsi="Arabic Typesetting" w:cs="Arabic Typesetting"/>
          <w:sz w:val="34"/>
          <w:szCs w:val="34"/>
          <w:lang w:bidi="ar-EG"/>
        </w:rPr>
      </w:pPr>
      <w:r w:rsidRPr="00AD2E68">
        <w:rPr>
          <w:rFonts w:ascii="Arabic Typesetting" w:hAnsi="Arabic Typesetting" w:cs="Arabic Typesetting"/>
          <w:sz w:val="34"/>
          <w:szCs w:val="34"/>
          <w:rtl/>
          <w:lang w:bidi="ar-EG"/>
        </w:rPr>
        <w:t>حق</w:t>
      </w:r>
      <w:r w:rsidRPr="00AD2E68">
        <w:rPr>
          <w:rFonts w:ascii="Arabic Typesetting" w:hAnsi="Arabic Typesetting" w:cs="Arabic Typesetting" w:hint="cs"/>
          <w:sz w:val="34"/>
          <w:szCs w:val="34"/>
          <w:rtl/>
          <w:lang w:bidi="ar-EG"/>
        </w:rPr>
        <w:t>َّ</w:t>
      </w:r>
      <w:r w:rsidRPr="00AD2E68">
        <w:rPr>
          <w:rFonts w:ascii="Arabic Typesetting" w:hAnsi="Arabic Typesetting" w:cs="Arabic Typesetting"/>
          <w:sz w:val="34"/>
          <w:szCs w:val="34"/>
          <w:rtl/>
          <w:lang w:bidi="ar-EG"/>
        </w:rPr>
        <w:t>قت الأعمال الإحصائية</w:t>
      </w:r>
      <w:r w:rsidR="00154F32" w:rsidRPr="00AD2E68">
        <w:rPr>
          <w:rFonts w:ascii="Arabic Typesetting" w:hAnsi="Arabic Typesetting" w:cs="Arabic Typesetting" w:hint="cs"/>
          <w:sz w:val="34"/>
          <w:szCs w:val="34"/>
          <w:rtl/>
          <w:lang w:bidi="ar-EG"/>
        </w:rPr>
        <w:t xml:space="preserve"> خلال الثنائية </w:t>
      </w:r>
      <w:r w:rsidR="00507DE2">
        <w:rPr>
          <w:rFonts w:ascii="Arabic Typesetting" w:hAnsi="Arabic Typesetting" w:cs="Arabic Typesetting" w:hint="cs"/>
          <w:sz w:val="34"/>
          <w:szCs w:val="34"/>
          <w:rtl/>
          <w:lang w:bidi="ar-EG"/>
        </w:rPr>
        <w:t>2014/15</w:t>
      </w:r>
      <w:r w:rsidRPr="00AD2E68">
        <w:rPr>
          <w:rFonts w:ascii="Arabic Typesetting" w:hAnsi="Arabic Typesetting" w:cs="Arabic Typesetting"/>
          <w:sz w:val="34"/>
          <w:szCs w:val="34"/>
          <w:rtl/>
          <w:lang w:bidi="ar-EG"/>
        </w:rPr>
        <w:t xml:space="preserve"> هدفها في تعزيز إتاحة معلومات إحصائية دقيقة وشاملة في الوقت المناسب بشأن أداء نظام الملكية الفكرية في جميع أنحاء العالم. </w:t>
      </w:r>
      <w:r w:rsidR="00154F32" w:rsidRPr="00AD2E68">
        <w:rPr>
          <w:rFonts w:ascii="Arabic Typesetting" w:hAnsi="Arabic Typesetting" w:cs="Arabic Typesetting" w:hint="cs"/>
          <w:sz w:val="34"/>
          <w:szCs w:val="34"/>
          <w:rtl/>
          <w:lang w:bidi="ar-EG"/>
        </w:rPr>
        <w:t>وتجدر الإشارة إلى الدراسات الاستقصائية الإحصائية السنوية لمكاتب الملكية الفكرية الوطنية والإقليمي إذ شهدت زيادة في عدد الردود عليها الذي بلغ 127 رداً مقارنة بالثنائية السابقة</w:t>
      </w:r>
      <w:r w:rsidR="00AD2E68" w:rsidRPr="00AD2E68">
        <w:rPr>
          <w:rFonts w:ascii="Arabic Typesetting" w:hAnsi="Arabic Typesetting" w:cs="Arabic Typesetting" w:hint="cs"/>
          <w:sz w:val="34"/>
          <w:szCs w:val="34"/>
          <w:rtl/>
          <w:lang w:bidi="ar-EG"/>
        </w:rPr>
        <w:t xml:space="preserve"> التي ورد فيها 112 رداً</w:t>
      </w:r>
      <w:r w:rsidR="00154F32" w:rsidRPr="00AD2E68">
        <w:rPr>
          <w:rFonts w:ascii="Arabic Typesetting" w:hAnsi="Arabic Typesetting" w:cs="Arabic Typesetting" w:hint="cs"/>
          <w:sz w:val="34"/>
          <w:szCs w:val="34"/>
          <w:rtl/>
          <w:lang w:bidi="ar-EG"/>
        </w:rPr>
        <w:t>.</w:t>
      </w:r>
    </w:p>
    <w:p w:rsidR="00CB5117" w:rsidRDefault="00CB5117" w:rsidP="009A3712">
      <w:pPr>
        <w:numPr>
          <w:ilvl w:val="0"/>
          <w:numId w:val="18"/>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rPr>
        <w:t xml:space="preserve">وإضافة إلى ذلك، </w:t>
      </w:r>
      <w:r>
        <w:rPr>
          <w:rFonts w:ascii="Arabic Typesetting" w:hAnsi="Arabic Typesetting" w:cs="Arabic Typesetting" w:hint="cs"/>
          <w:sz w:val="34"/>
          <w:szCs w:val="34"/>
          <w:rtl/>
          <w:lang w:bidi="ar-EG"/>
        </w:rPr>
        <w:t>جمعت</w:t>
      </w:r>
      <w:r>
        <w:rPr>
          <w:rFonts w:ascii="Arabic Typesetting" w:hAnsi="Arabic Typesetting" w:cs="Arabic Typesetting" w:hint="cs"/>
          <w:sz w:val="34"/>
          <w:szCs w:val="34"/>
          <w:rtl/>
        </w:rPr>
        <w:t xml:space="preserve"> مجموعة واسعة من المؤشرات الإحصائية عن نظام معاهدة التعاون بشأن البراءات ونظامي مدريد ولاهاي بالتعاون مع البرامج 5 و6 و31. وكما جرت العادة خلال السنوات السابقة، أتيحت هذه البيانات الإحصائية عبر مجموعة من المنشورات والأدوات الشبكية ولا سيما </w:t>
      </w:r>
      <w:r w:rsidR="00EF15D7">
        <w:rPr>
          <w:rFonts w:ascii="Arabic Typesetting" w:hAnsi="Arabic Typesetting" w:cs="Arabic Typesetting" w:hint="cs"/>
          <w:sz w:val="34"/>
          <w:szCs w:val="34"/>
          <w:rtl/>
        </w:rPr>
        <w:t>ت</w:t>
      </w:r>
      <w:r w:rsidR="00EF15D7" w:rsidRPr="00EF15D7">
        <w:rPr>
          <w:rFonts w:ascii="Arabic Typesetting" w:hAnsi="Arabic Typesetting" w:cs="Arabic Typesetting"/>
          <w:sz w:val="34"/>
          <w:szCs w:val="34"/>
          <w:rtl/>
        </w:rPr>
        <w:t>قرير مؤشرات الملكية الفكرية العالمية السنوية</w:t>
      </w:r>
      <w:r w:rsidR="00EF15D7">
        <w:rPr>
          <w:rFonts w:ascii="Arabic Typesetting" w:hAnsi="Arabic Typesetting" w:cs="Arabic Typesetting" w:hint="cs"/>
          <w:sz w:val="34"/>
          <w:szCs w:val="34"/>
          <w:rtl/>
        </w:rPr>
        <w:t xml:space="preserve"> </w:t>
      </w:r>
      <w:r w:rsidR="00EF15D7" w:rsidRPr="00EF15D7">
        <w:rPr>
          <w:rFonts w:ascii="Arabic Typesetting" w:hAnsi="Arabic Typesetting" w:cs="Arabic Typesetting"/>
          <w:sz w:val="34"/>
          <w:szCs w:val="34"/>
          <w:rtl/>
        </w:rPr>
        <w:t>وتقرير الويبو بشأن حقائق وأرقام الملكية الفكرية</w:t>
      </w:r>
      <w:r w:rsidR="00EF15D7">
        <w:rPr>
          <w:rFonts w:ascii="Arabic Typesetting" w:hAnsi="Arabic Typesetting" w:cs="Arabic Typesetting" w:hint="cs"/>
          <w:sz w:val="34"/>
          <w:szCs w:val="34"/>
          <w:rtl/>
        </w:rPr>
        <w:t xml:space="preserve">؛ والاستعراض السنوي لنظام معاهدة التعاون بشأن البراءات ومدريد ولاهاي؛ ومركز البيانات الإحصائية للملكية الفكرية؛ والبيانات الإحصائية القطرية للملكية الفكرية. وعلى مدار عامي 2014 و2015، ركزت الجهود على التعمق في تحليل التوجهات الإحصائية فضلاً عن تيسير عرض التقارير الإحصائية للمستخدمين. وشملت هذه الجهود </w:t>
      </w:r>
      <w:r w:rsidR="00AD2E68">
        <w:rPr>
          <w:rFonts w:ascii="Arabic Typesetting" w:hAnsi="Arabic Typesetting" w:cs="Arabic Typesetting" w:hint="cs"/>
          <w:sz w:val="34"/>
          <w:szCs w:val="34"/>
          <w:rtl/>
        </w:rPr>
        <w:t xml:space="preserve">إدراج </w:t>
      </w:r>
      <w:r w:rsidR="00EF15D7">
        <w:rPr>
          <w:rFonts w:ascii="Arabic Typesetting" w:hAnsi="Arabic Typesetting" w:cs="Arabic Typesetting" w:hint="cs"/>
          <w:sz w:val="34"/>
          <w:szCs w:val="34"/>
          <w:rtl/>
        </w:rPr>
        <w:t>موضوعات خاصة في التقارير الإحصائية تبحث مسائل إحصائية محددة بتعمق أكبر، و</w:t>
      </w:r>
      <w:r w:rsidR="00AD2E68">
        <w:rPr>
          <w:rFonts w:ascii="Arabic Typesetting" w:hAnsi="Arabic Typesetting" w:cs="Arabic Typesetting" w:hint="cs"/>
          <w:sz w:val="34"/>
          <w:szCs w:val="34"/>
          <w:rtl/>
        </w:rPr>
        <w:t xml:space="preserve">وضع </w:t>
      </w:r>
      <w:r w:rsidR="00EF15D7">
        <w:rPr>
          <w:rFonts w:ascii="Arabic Typesetting" w:hAnsi="Arabic Typesetting" w:cs="Arabic Typesetting" w:hint="cs"/>
          <w:sz w:val="34"/>
          <w:szCs w:val="34"/>
          <w:rtl/>
        </w:rPr>
        <w:t xml:space="preserve">نسق جديد للمؤشرات العالمية للملكية الفكرية </w:t>
      </w:r>
      <w:r w:rsidR="00AD2E68">
        <w:rPr>
          <w:rFonts w:ascii="Arabic Typesetting" w:hAnsi="Arabic Typesetting" w:cs="Arabic Typesetting" w:hint="cs"/>
          <w:sz w:val="34"/>
          <w:szCs w:val="34"/>
          <w:rtl/>
        </w:rPr>
        <w:t>ي</w:t>
      </w:r>
      <w:r w:rsidR="00EF15D7">
        <w:rPr>
          <w:rFonts w:ascii="Arabic Typesetting" w:hAnsi="Arabic Typesetting" w:cs="Arabic Typesetting" w:hint="cs"/>
          <w:sz w:val="34"/>
          <w:szCs w:val="34"/>
          <w:rtl/>
        </w:rPr>
        <w:t>يسر الاطلاع على المعلومات المرغوبة، و</w:t>
      </w:r>
      <w:r w:rsidR="00AD2E68">
        <w:rPr>
          <w:rFonts w:ascii="Arabic Typesetting" w:hAnsi="Arabic Typesetting" w:cs="Arabic Typesetting" w:hint="cs"/>
          <w:sz w:val="34"/>
          <w:szCs w:val="34"/>
          <w:rtl/>
        </w:rPr>
        <w:t xml:space="preserve">نشر </w:t>
      </w:r>
      <w:r w:rsidR="00EF15D7">
        <w:rPr>
          <w:rFonts w:ascii="Arabic Typesetting" w:hAnsi="Arabic Typesetting" w:cs="Arabic Typesetting" w:hint="cs"/>
          <w:sz w:val="34"/>
          <w:szCs w:val="34"/>
          <w:rtl/>
        </w:rPr>
        <w:t>فيديو قصير عن التوجهات الرئيسية في استخدام الملكية الفكرية على الصعيد العالمي. ولا</w:t>
      </w:r>
      <w:r w:rsidR="00AD2E68">
        <w:rPr>
          <w:rFonts w:ascii="Arabic Typesetting" w:hAnsi="Arabic Typesetting" w:cs="Arabic Typesetting" w:hint="eastAsia"/>
          <w:sz w:val="34"/>
          <w:szCs w:val="34"/>
          <w:rtl/>
        </w:rPr>
        <w:t> </w:t>
      </w:r>
      <w:r w:rsidR="00EF15D7">
        <w:rPr>
          <w:rFonts w:ascii="Arabic Typesetting" w:hAnsi="Arabic Typesetting" w:cs="Arabic Typesetting" w:hint="cs"/>
          <w:sz w:val="34"/>
          <w:szCs w:val="34"/>
          <w:rtl/>
        </w:rPr>
        <w:t xml:space="preserve">تزال </w:t>
      </w:r>
      <w:r w:rsidR="00EF15D7" w:rsidRPr="00EF15D7">
        <w:rPr>
          <w:rFonts w:ascii="Arabic Typesetting" w:hAnsi="Arabic Typesetting" w:cs="Arabic Typesetting"/>
          <w:sz w:val="34"/>
          <w:szCs w:val="34"/>
          <w:rtl/>
        </w:rPr>
        <w:t>إحصاءات الملكية الفكرية والتقارير الإحصائية التي تصدرها الويبو مستخدمة على نطاق واسع و</w:t>
      </w:r>
      <w:r w:rsidR="00AD2E68">
        <w:rPr>
          <w:rFonts w:ascii="Arabic Typesetting" w:hAnsi="Arabic Typesetting" w:cs="Arabic Typesetting" w:hint="cs"/>
          <w:sz w:val="34"/>
          <w:szCs w:val="34"/>
          <w:rtl/>
        </w:rPr>
        <w:t xml:space="preserve">يستشهد بها </w:t>
      </w:r>
      <w:r w:rsidR="00EF15D7" w:rsidRPr="00EF15D7">
        <w:rPr>
          <w:rFonts w:ascii="Arabic Typesetting" w:hAnsi="Arabic Typesetting" w:cs="Arabic Typesetting"/>
          <w:sz w:val="34"/>
          <w:szCs w:val="34"/>
          <w:rtl/>
        </w:rPr>
        <w:t>في الدراسات الأكاديمية وتقارير السياسة العامة والمقالات الواردة في وسائل الإعلام والمنشورات الأخرى في جميع أنحاء العالم.</w:t>
      </w:r>
    </w:p>
    <w:p w:rsidR="00B31868" w:rsidRPr="0069149C" w:rsidRDefault="00B31868" w:rsidP="009A3712">
      <w:pPr>
        <w:numPr>
          <w:ilvl w:val="0"/>
          <w:numId w:val="18"/>
        </w:numPr>
        <w:bidi/>
        <w:spacing w:after="120" w:line="340" w:lineRule="exact"/>
        <w:ind w:left="0" w:firstLine="0"/>
        <w:jc w:val="both"/>
        <w:rPr>
          <w:rFonts w:ascii="Arabic Typesetting" w:hAnsi="Arabic Typesetting" w:cs="Arabic Typesetting"/>
          <w:sz w:val="34"/>
          <w:szCs w:val="34"/>
          <w:lang w:bidi="ar-EG"/>
        </w:rPr>
      </w:pPr>
      <w:r w:rsidRPr="0069149C">
        <w:rPr>
          <w:rFonts w:ascii="Arabic Typesetting" w:hAnsi="Arabic Typesetting" w:cs="Arabic Typesetting"/>
          <w:sz w:val="34"/>
          <w:szCs w:val="34"/>
          <w:rtl/>
          <w:lang w:bidi="ar-EG"/>
        </w:rPr>
        <w:t xml:space="preserve">وأحرزت أيضاً أعمالُ التحليل الاقتصادي الخاصة بالبرنامج تقدماً </w:t>
      </w:r>
      <w:r w:rsidR="00EF15D7" w:rsidRPr="0069149C">
        <w:rPr>
          <w:rFonts w:ascii="Arabic Typesetting" w:hAnsi="Arabic Typesetting" w:cs="Arabic Typesetting" w:hint="cs"/>
          <w:sz w:val="34"/>
          <w:szCs w:val="34"/>
          <w:rtl/>
          <w:lang w:bidi="ar-EG"/>
        </w:rPr>
        <w:t>كبيراً</w:t>
      </w:r>
      <w:r w:rsidR="00EF15D7" w:rsidRPr="0069149C">
        <w:rPr>
          <w:rFonts w:ascii="Arabic Typesetting" w:hAnsi="Arabic Typesetting" w:cs="Arabic Typesetting"/>
          <w:sz w:val="34"/>
          <w:szCs w:val="34"/>
          <w:rtl/>
          <w:lang w:bidi="ar-EG"/>
        </w:rPr>
        <w:t xml:space="preserve"> </w:t>
      </w:r>
      <w:r w:rsidRPr="0069149C">
        <w:rPr>
          <w:rFonts w:ascii="Arabic Typesetting" w:hAnsi="Arabic Typesetting" w:cs="Arabic Typesetting"/>
          <w:sz w:val="34"/>
          <w:szCs w:val="34"/>
          <w:rtl/>
          <w:lang w:bidi="ar-EG"/>
        </w:rPr>
        <w:t xml:space="preserve">في تعزيز التحليل التجريبي </w:t>
      </w:r>
      <w:r w:rsidR="00EF15D7" w:rsidRPr="0069149C">
        <w:rPr>
          <w:rFonts w:ascii="Arabic Typesetting" w:hAnsi="Arabic Typesetting" w:cs="Arabic Typesetting" w:hint="cs"/>
          <w:sz w:val="34"/>
          <w:szCs w:val="34"/>
          <w:rtl/>
          <w:lang w:bidi="ar-EG"/>
        </w:rPr>
        <w:t>ال</w:t>
      </w:r>
      <w:r w:rsidRPr="0069149C">
        <w:rPr>
          <w:rFonts w:ascii="Arabic Typesetting" w:hAnsi="Arabic Typesetting" w:cs="Arabic Typesetting"/>
          <w:sz w:val="34"/>
          <w:szCs w:val="34"/>
          <w:rtl/>
          <w:lang w:bidi="ar-EG"/>
        </w:rPr>
        <w:t>عالي الجودة</w:t>
      </w:r>
      <w:r w:rsidR="00EF15D7" w:rsidRPr="00EF15D7">
        <w:rPr>
          <w:rtl/>
        </w:rPr>
        <w:t xml:space="preserve"> </w:t>
      </w:r>
      <w:r w:rsidR="00EF15D7" w:rsidRPr="0069149C">
        <w:rPr>
          <w:rFonts w:ascii="Arabic Typesetting" w:hAnsi="Arabic Typesetting" w:cs="Arabic Typesetting" w:hint="cs"/>
          <w:sz w:val="34"/>
          <w:szCs w:val="34"/>
          <w:rtl/>
          <w:lang w:bidi="ar-EG"/>
        </w:rPr>
        <w:t>لمواجهة</w:t>
      </w:r>
      <w:r w:rsidR="00EF15D7" w:rsidRPr="0069149C">
        <w:rPr>
          <w:rFonts w:ascii="Arabic Typesetting" w:hAnsi="Arabic Typesetting" w:cs="Arabic Typesetting"/>
          <w:sz w:val="34"/>
          <w:szCs w:val="34"/>
          <w:rtl/>
          <w:lang w:bidi="ar-EG"/>
        </w:rPr>
        <w:t xml:space="preserve"> التحديات الاقتصادية في نظام الملكية الفكرية الدولي وتقييم الآثار الاقتصادية المترتبة على خيارات السياسة العامة للملكية الفكرية</w:t>
      </w:r>
      <w:r w:rsidR="00EF15D7" w:rsidRPr="0069149C">
        <w:rPr>
          <w:rFonts w:ascii="Arabic Typesetting" w:hAnsi="Arabic Typesetting" w:cs="Arabic Typesetting" w:hint="cs"/>
          <w:sz w:val="34"/>
          <w:szCs w:val="34"/>
          <w:rtl/>
          <w:lang w:bidi="ar-EG"/>
        </w:rPr>
        <w:t xml:space="preserve">. ومن الإنجازات الرئيسية نشر </w:t>
      </w:r>
      <w:r w:rsidR="00EF15D7" w:rsidRPr="0069149C">
        <w:rPr>
          <w:rFonts w:ascii="Arabic Typesetting" w:hAnsi="Arabic Typesetting" w:cs="Arabic Typesetting"/>
          <w:sz w:val="34"/>
          <w:szCs w:val="34"/>
          <w:rtl/>
          <w:lang w:bidi="ar-EG"/>
        </w:rPr>
        <w:t>تقرير المنظمة العالمية للملكية الفكرية</w:t>
      </w:r>
      <w:r w:rsidR="00EF15D7" w:rsidRPr="0069149C">
        <w:rPr>
          <w:rFonts w:ascii="Arabic Typesetting" w:hAnsi="Arabic Typesetting" w:cs="Arabic Typesetting" w:hint="cs"/>
          <w:sz w:val="34"/>
          <w:szCs w:val="34"/>
          <w:rtl/>
          <w:lang w:bidi="ar-EG"/>
        </w:rPr>
        <w:t xml:space="preserve"> الثالث</w:t>
      </w:r>
      <w:r w:rsidR="00EF15D7" w:rsidRPr="0069149C">
        <w:rPr>
          <w:rFonts w:ascii="Arabic Typesetting" w:hAnsi="Arabic Typesetting" w:cs="Arabic Typesetting"/>
          <w:sz w:val="34"/>
          <w:szCs w:val="34"/>
          <w:rtl/>
          <w:lang w:bidi="ar-EG"/>
        </w:rPr>
        <w:t>: الابتكار الخارق والنمو الاقتصادي</w:t>
      </w:r>
      <w:r w:rsidR="00EF15D7" w:rsidRPr="0069149C">
        <w:rPr>
          <w:rFonts w:ascii="Arabic Typesetting" w:hAnsi="Arabic Typesetting" w:cs="Arabic Typesetting" w:hint="cs"/>
          <w:sz w:val="34"/>
          <w:szCs w:val="34"/>
          <w:rtl/>
          <w:lang w:bidi="ar-EG"/>
        </w:rPr>
        <w:t xml:space="preserve"> الذي أسفر عن أكثر من 200 مقالة إعلامية وأثار اهتمام واضعي السياسات والأكاديميين في شتى أنحاء العالم. وفضلاً عن ذلك، استمرت الويبو في نشر مؤشر الابتكار العالمي بالاشتراك مع </w:t>
      </w:r>
      <w:r w:rsidR="00EF15D7" w:rsidRPr="0069149C">
        <w:rPr>
          <w:rFonts w:ascii="Arabic Typesetting" w:hAnsi="Arabic Typesetting" w:cs="Arabic Typesetting"/>
          <w:sz w:val="34"/>
          <w:szCs w:val="34"/>
          <w:rtl/>
          <w:lang w:bidi="ar-EG"/>
        </w:rPr>
        <w:t xml:space="preserve">جامعة </w:t>
      </w:r>
      <w:proofErr w:type="spellStart"/>
      <w:r w:rsidR="00EF15D7" w:rsidRPr="0069149C">
        <w:rPr>
          <w:rFonts w:ascii="Arabic Typesetting" w:hAnsi="Arabic Typesetting" w:cs="Arabic Typesetting"/>
          <w:sz w:val="34"/>
          <w:szCs w:val="34"/>
          <w:rtl/>
          <w:lang w:bidi="ar-EG"/>
        </w:rPr>
        <w:t>كورنل</w:t>
      </w:r>
      <w:proofErr w:type="spellEnd"/>
      <w:r w:rsidR="00EF15D7" w:rsidRPr="0069149C">
        <w:rPr>
          <w:rFonts w:ascii="Arabic Typesetting" w:hAnsi="Arabic Typesetting" w:cs="Arabic Typesetting"/>
          <w:sz w:val="34"/>
          <w:szCs w:val="34"/>
          <w:rtl/>
          <w:lang w:bidi="ar-EG"/>
        </w:rPr>
        <w:t xml:space="preserve"> والمعهد الأوروبي لإدارة الأعمال (</w:t>
      </w:r>
      <w:r w:rsidR="00EF15D7" w:rsidRPr="0069149C">
        <w:rPr>
          <w:rFonts w:ascii="Arabic Typesetting" w:hAnsi="Arabic Typesetting" w:cs="Arabic Typesetting"/>
          <w:sz w:val="34"/>
          <w:szCs w:val="34"/>
          <w:lang w:bidi="ar-EG"/>
        </w:rPr>
        <w:t>INSEAD</w:t>
      </w:r>
      <w:r w:rsidR="00EF15D7" w:rsidRPr="0069149C">
        <w:rPr>
          <w:rFonts w:ascii="Arabic Typesetting" w:hAnsi="Arabic Typesetting" w:cs="Arabic Typesetting"/>
          <w:sz w:val="34"/>
          <w:szCs w:val="34"/>
          <w:rtl/>
          <w:lang w:bidi="ar-EG"/>
        </w:rPr>
        <w:t>)</w:t>
      </w:r>
      <w:r w:rsidR="00EF15D7" w:rsidRPr="0069149C">
        <w:rPr>
          <w:rFonts w:ascii="Arabic Typesetting" w:hAnsi="Arabic Typesetting" w:cs="Arabic Typesetting" w:hint="cs"/>
          <w:sz w:val="34"/>
          <w:szCs w:val="34"/>
          <w:rtl/>
          <w:lang w:bidi="ar-EG"/>
        </w:rPr>
        <w:t xml:space="preserve">. وخلال الثنائية </w:t>
      </w:r>
      <w:r w:rsidR="00507DE2">
        <w:rPr>
          <w:rFonts w:ascii="Arabic Typesetting" w:hAnsi="Arabic Typesetting" w:cs="Arabic Typesetting" w:hint="cs"/>
          <w:sz w:val="34"/>
          <w:szCs w:val="34"/>
          <w:rtl/>
          <w:lang w:bidi="ar-EG"/>
        </w:rPr>
        <w:t>2014/15</w:t>
      </w:r>
      <w:r w:rsidR="00EF15D7" w:rsidRPr="0069149C">
        <w:rPr>
          <w:rFonts w:ascii="Arabic Typesetting" w:hAnsi="Arabic Typesetting" w:cs="Arabic Typesetting" w:hint="cs"/>
          <w:sz w:val="34"/>
          <w:szCs w:val="34"/>
          <w:rtl/>
          <w:lang w:bidi="ar-EG"/>
        </w:rPr>
        <w:t xml:space="preserve">، أطلق مؤشر الابتكار العالمي لأول مرة خارج جنيف </w:t>
      </w:r>
      <w:r w:rsidR="0069149C" w:rsidRPr="0069149C">
        <w:rPr>
          <w:rFonts w:ascii="Arabic Typesetting" w:hAnsi="Arabic Typesetting" w:cs="Arabic Typesetting" w:hint="cs"/>
          <w:sz w:val="34"/>
          <w:szCs w:val="34"/>
          <w:rtl/>
          <w:lang w:bidi="ar-EG"/>
        </w:rPr>
        <w:t>إذ استضافته حكومة أستراليا في عام 2014 وحكومة المملكة المتحدة في عام</w:t>
      </w:r>
      <w:r w:rsidR="00AD2E68">
        <w:rPr>
          <w:rFonts w:ascii="Arabic Typesetting" w:hAnsi="Arabic Typesetting" w:cs="Arabic Typesetting" w:hint="eastAsia"/>
          <w:sz w:val="34"/>
          <w:szCs w:val="34"/>
          <w:rtl/>
          <w:lang w:bidi="ar-EG"/>
        </w:rPr>
        <w:t> </w:t>
      </w:r>
      <w:r w:rsidR="0069149C" w:rsidRPr="0069149C">
        <w:rPr>
          <w:rFonts w:ascii="Arabic Typesetting" w:hAnsi="Arabic Typesetting" w:cs="Arabic Typesetting" w:hint="cs"/>
          <w:sz w:val="34"/>
          <w:szCs w:val="34"/>
          <w:rtl/>
          <w:lang w:bidi="ar-EG"/>
        </w:rPr>
        <w:t xml:space="preserve">2015. وشهدت هذه الثنائية تغطية في وسائل الإعلام الجماهيرية والاجتماعية غير مسبوقة مقارنة بالثنائية السابقة. ويُستخدم مؤشر الابتكار العالمي بانتظام </w:t>
      </w:r>
      <w:r w:rsidR="0069149C" w:rsidRPr="0069149C">
        <w:rPr>
          <w:rFonts w:ascii="Arabic Typesetting" w:hAnsi="Arabic Typesetting" w:cs="Arabic Typesetting"/>
          <w:sz w:val="34"/>
          <w:szCs w:val="34"/>
          <w:rtl/>
          <w:lang w:bidi="ar-EG"/>
        </w:rPr>
        <w:t>بوصفه مصدراً</w:t>
      </w:r>
      <w:r w:rsidR="0069149C" w:rsidRPr="0069149C">
        <w:rPr>
          <w:rFonts w:ascii="Arabic Typesetting" w:hAnsi="Arabic Typesetting" w:cs="Arabic Typesetting" w:hint="cs"/>
          <w:sz w:val="34"/>
          <w:szCs w:val="34"/>
          <w:rtl/>
          <w:lang w:bidi="ar-EG"/>
        </w:rPr>
        <w:t xml:space="preserve"> مرجعياً لدى الحكومات الوطنية والمنظمات الدولية </w:t>
      </w:r>
      <w:r w:rsidR="0069149C" w:rsidRPr="0069149C">
        <w:rPr>
          <w:rFonts w:ascii="Arabic Typesetting" w:hAnsi="Arabic Typesetting" w:cs="Arabic Typesetting"/>
          <w:sz w:val="34"/>
          <w:szCs w:val="34"/>
          <w:rtl/>
          <w:lang w:bidi="ar-EG"/>
        </w:rPr>
        <w:t>–</w:t>
      </w:r>
      <w:r w:rsidR="0069149C" w:rsidRPr="0069149C">
        <w:rPr>
          <w:rFonts w:ascii="Arabic Typesetting" w:hAnsi="Arabic Typesetting" w:cs="Arabic Typesetting" w:hint="cs"/>
          <w:sz w:val="34"/>
          <w:szCs w:val="34"/>
          <w:rtl/>
          <w:lang w:bidi="ar-EG"/>
        </w:rPr>
        <w:t xml:space="preserve"> ومنها المنظمات التابعة لمنظومة الأمم المتحدة </w:t>
      </w:r>
      <w:r w:rsidR="0069149C" w:rsidRPr="0069149C">
        <w:rPr>
          <w:rFonts w:ascii="Arabic Typesetting" w:hAnsi="Arabic Typesetting" w:cs="Arabic Typesetting"/>
          <w:sz w:val="34"/>
          <w:szCs w:val="34"/>
          <w:rtl/>
          <w:lang w:bidi="ar-EG"/>
        </w:rPr>
        <w:t>–</w:t>
      </w:r>
      <w:r w:rsidR="0069149C" w:rsidRPr="0069149C">
        <w:rPr>
          <w:rFonts w:ascii="Arabic Typesetting" w:hAnsi="Arabic Typesetting" w:cs="Arabic Typesetting" w:hint="cs"/>
          <w:sz w:val="34"/>
          <w:szCs w:val="34"/>
          <w:rtl/>
          <w:lang w:bidi="ar-EG"/>
        </w:rPr>
        <w:t xml:space="preserve"> </w:t>
      </w:r>
      <w:r w:rsidR="00AD2E68">
        <w:rPr>
          <w:rFonts w:ascii="Arabic Typesetting" w:hAnsi="Arabic Typesetting" w:cs="Arabic Typesetting" w:hint="cs"/>
          <w:sz w:val="34"/>
          <w:szCs w:val="34"/>
          <w:rtl/>
          <w:lang w:bidi="ar-EG"/>
        </w:rPr>
        <w:t>و</w:t>
      </w:r>
      <w:r w:rsidR="0069149C" w:rsidRPr="0069149C">
        <w:rPr>
          <w:rFonts w:ascii="Arabic Typesetting" w:hAnsi="Arabic Typesetting" w:cs="Arabic Typesetting" w:hint="cs"/>
          <w:sz w:val="34"/>
          <w:szCs w:val="34"/>
          <w:rtl/>
          <w:lang w:bidi="ar-EG"/>
        </w:rPr>
        <w:t xml:space="preserve">غيرها من الجهات المعنية بمنظومة الابتكار؛ ما يتجلى في </w:t>
      </w:r>
      <w:proofErr w:type="spellStart"/>
      <w:r w:rsidRPr="0069149C">
        <w:rPr>
          <w:rFonts w:ascii="Arabic Typesetting" w:hAnsi="Arabic Typesetting" w:cs="Arabic Typesetting"/>
          <w:sz w:val="34"/>
          <w:szCs w:val="34"/>
          <w:rtl/>
          <w:lang w:bidi="ar-EG"/>
        </w:rPr>
        <w:t>الاستشهادات</w:t>
      </w:r>
      <w:proofErr w:type="spellEnd"/>
      <w:r w:rsidRPr="0069149C">
        <w:rPr>
          <w:rFonts w:ascii="Arabic Typesetting" w:hAnsi="Arabic Typesetting" w:cs="Arabic Typesetting"/>
          <w:sz w:val="34"/>
          <w:szCs w:val="34"/>
          <w:rtl/>
          <w:lang w:bidi="ar-EG"/>
        </w:rPr>
        <w:t xml:space="preserve"> واستفسارات البيانات وطلبات الخدمات</w:t>
      </w:r>
      <w:r w:rsidR="0069149C">
        <w:rPr>
          <w:rFonts w:ascii="Arabic Typesetting" w:hAnsi="Arabic Typesetting" w:cs="Arabic Typesetting" w:hint="cs"/>
          <w:sz w:val="34"/>
          <w:szCs w:val="34"/>
          <w:rtl/>
          <w:lang w:bidi="ar-EG"/>
        </w:rPr>
        <w:t> </w:t>
      </w:r>
      <w:r w:rsidRPr="0069149C">
        <w:rPr>
          <w:rFonts w:ascii="Arabic Typesetting" w:hAnsi="Arabic Typesetting" w:cs="Arabic Typesetting"/>
          <w:sz w:val="34"/>
          <w:szCs w:val="34"/>
          <w:rtl/>
          <w:lang w:bidi="ar-EG"/>
        </w:rPr>
        <w:t>الاستشارية.</w:t>
      </w:r>
    </w:p>
    <w:p w:rsidR="00B31868" w:rsidRPr="00032C94" w:rsidRDefault="00B31868" w:rsidP="009A3712">
      <w:pPr>
        <w:numPr>
          <w:ilvl w:val="0"/>
          <w:numId w:val="18"/>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وح</w:t>
      </w:r>
      <w:r w:rsidR="00147EDF">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ققت إنجازات </w:t>
      </w:r>
      <w:r w:rsidR="00AD2E68">
        <w:rPr>
          <w:rFonts w:ascii="Arabic Typesetting" w:hAnsi="Arabic Typesetting" w:cs="Arabic Typesetting" w:hint="cs"/>
          <w:sz w:val="34"/>
          <w:szCs w:val="34"/>
          <w:rtl/>
          <w:lang w:bidi="ar-EG"/>
        </w:rPr>
        <w:t>كبيرة</w:t>
      </w:r>
      <w:r w:rsidRPr="00B31868">
        <w:rPr>
          <w:rFonts w:ascii="Arabic Typesetting" w:hAnsi="Arabic Typesetting" w:cs="Arabic Typesetting"/>
          <w:sz w:val="34"/>
          <w:szCs w:val="34"/>
          <w:rtl/>
          <w:lang w:bidi="ar-EG"/>
        </w:rPr>
        <w:t xml:space="preserve"> </w:t>
      </w:r>
      <w:r w:rsidR="00147EDF">
        <w:rPr>
          <w:rFonts w:ascii="Arabic Typesetting" w:hAnsi="Arabic Typesetting" w:cs="Arabic Typesetting" w:hint="cs"/>
          <w:sz w:val="34"/>
          <w:szCs w:val="34"/>
          <w:rtl/>
          <w:lang w:bidi="ar-EG"/>
        </w:rPr>
        <w:t xml:space="preserve">خلال الثنائية </w:t>
      </w:r>
      <w:r w:rsidR="00507DE2">
        <w:rPr>
          <w:rFonts w:ascii="Arabic Typesetting" w:hAnsi="Arabic Typesetting" w:cs="Arabic Typesetting" w:hint="cs"/>
          <w:sz w:val="34"/>
          <w:szCs w:val="34"/>
          <w:rtl/>
          <w:lang w:bidi="ar-EG"/>
        </w:rPr>
        <w:t>2014/15</w:t>
      </w:r>
      <w:r w:rsidR="00147EDF">
        <w:rPr>
          <w:rFonts w:ascii="Arabic Typesetting" w:hAnsi="Arabic Typesetting" w:cs="Arabic Typesetting" w:hint="cs"/>
          <w:sz w:val="34"/>
          <w:szCs w:val="34"/>
          <w:rtl/>
          <w:lang w:bidi="ar-EG"/>
        </w:rPr>
        <w:t xml:space="preserve"> من حيث إعداد دراسات اقتصادية هادفة لدعم عمل لجان الويبو. وتجدر الإشارة إلى أن البرنامج قد استكمل ثلاث</w:t>
      </w:r>
      <w:r w:rsidR="00032C94">
        <w:rPr>
          <w:rFonts w:ascii="Arabic Typesetting" w:hAnsi="Arabic Typesetting" w:cs="Arabic Typesetting" w:hint="cs"/>
          <w:sz w:val="34"/>
          <w:szCs w:val="34"/>
          <w:rtl/>
          <w:lang w:bidi="ar-EG"/>
        </w:rPr>
        <w:t>ة مشروعات من جدول أعمال التنمية هي "1" الملكية الفكرية والتنمية الاجتماعية والاقتصادية؛ "2" الملكية الفكرية والاقتصاد غير الرسمي؛ "3" الملكية الفكرية وهجرة الأدمغة. واست</w:t>
      </w:r>
      <w:r w:rsidR="00AD2E68">
        <w:rPr>
          <w:rFonts w:ascii="Arabic Typesetting" w:hAnsi="Arabic Typesetting" w:cs="Arabic Typesetting" w:hint="cs"/>
          <w:sz w:val="34"/>
          <w:szCs w:val="34"/>
          <w:rtl/>
          <w:lang w:bidi="ar-EG"/>
        </w:rPr>
        <w:t>ُ</w:t>
      </w:r>
      <w:r w:rsidR="00032C94">
        <w:rPr>
          <w:rFonts w:ascii="Arabic Typesetting" w:hAnsi="Arabic Typesetting" w:cs="Arabic Typesetting" w:hint="cs"/>
          <w:sz w:val="34"/>
          <w:szCs w:val="34"/>
          <w:rtl/>
          <w:lang w:bidi="ar-EG"/>
        </w:rPr>
        <w:t>هلت في عام 2015 المرحلة الثانية من مشروع الملكية الفكرية والتنمية الاجتماعية والاقتصادية أي إعداد الدراسات ذاتها بشأن بلدان نامية جديدة. وفضلاً عن ذلك، يرشد البرنامج عمل اللجان الأخرى ولا سيما الفريق العامل المعني بمعاهدة التعاون بشأن البراءات واللجنة الدائمة المعنية بقانون</w:t>
      </w:r>
      <w:r w:rsidR="00032C94">
        <w:rPr>
          <w:rFonts w:ascii="Arabic Typesetting" w:hAnsi="Arabic Typesetting" w:cs="Arabic Typesetting" w:hint="eastAsia"/>
          <w:sz w:val="34"/>
          <w:szCs w:val="34"/>
          <w:rtl/>
          <w:lang w:bidi="ar-EG"/>
        </w:rPr>
        <w:t> </w:t>
      </w:r>
      <w:r w:rsidR="00032C94">
        <w:rPr>
          <w:rFonts w:ascii="Arabic Typesetting" w:hAnsi="Arabic Typesetting" w:cs="Arabic Typesetting" w:hint="cs"/>
          <w:sz w:val="34"/>
          <w:szCs w:val="34"/>
          <w:rtl/>
          <w:lang w:bidi="ar-EG"/>
        </w:rPr>
        <w:t>البراءات. وخلصت هذه الدراسات إلى أدلة تجريبية أرشدت مداولات واضعي السياسات على الصعيد الوطني وعلى مستوى الدول الأعضاء في الويبو. وأدت إلى تنفيذ أنشطة بحثية متابعة في الوسط الأكاديمي.</w:t>
      </w:r>
    </w:p>
    <w:p w:rsidR="00B31868" w:rsidRPr="00B31868" w:rsidRDefault="00B31868" w:rsidP="009A3712">
      <w:pPr>
        <w:numPr>
          <w:ilvl w:val="0"/>
          <w:numId w:val="18"/>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وأخيراً، واصل البرنامجُ تنسيق شبكة</w:t>
      </w:r>
      <w:r w:rsidRPr="00B31868">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من الخبراء الاقتصاديين في مكاتب الملكية الفكرية – وهي </w:t>
      </w:r>
      <w:r w:rsidRPr="00B31868">
        <w:rPr>
          <w:rFonts w:ascii="Arabic Typesetting" w:hAnsi="Arabic Typesetting" w:cs="Arabic Typesetting" w:hint="cs"/>
          <w:sz w:val="34"/>
          <w:szCs w:val="34"/>
          <w:rtl/>
          <w:lang w:bidi="ar-EG"/>
        </w:rPr>
        <w:t xml:space="preserve">شبكة </w:t>
      </w:r>
      <w:r w:rsidRPr="00B31868">
        <w:rPr>
          <w:rFonts w:ascii="Arabic Typesetting" w:hAnsi="Arabic Typesetting" w:cs="Arabic Typesetting"/>
          <w:sz w:val="34"/>
          <w:szCs w:val="34"/>
          <w:rtl/>
          <w:lang w:bidi="ar-EG"/>
        </w:rPr>
        <w:t>مفتوحة لجميع مكاتب الملكية الفكرية ذات القدرة البحثية</w:t>
      </w:r>
      <w:r w:rsidR="009F5F08">
        <w:rPr>
          <w:rFonts w:ascii="Arabic Typesetting" w:hAnsi="Arabic Typesetting" w:cs="Arabic Typesetting"/>
          <w:sz w:val="34"/>
          <w:szCs w:val="34"/>
          <w:rtl/>
          <w:lang w:bidi="ar-EG"/>
        </w:rPr>
        <w:t xml:space="preserve"> الاقتصادية – للمساعدة في تعزيز</w:t>
      </w:r>
      <w:r w:rsidRPr="00B31868">
        <w:rPr>
          <w:rFonts w:ascii="Arabic Typesetting" w:hAnsi="Arabic Typesetting" w:cs="Arabic Typesetting"/>
          <w:sz w:val="34"/>
          <w:szCs w:val="34"/>
          <w:rtl/>
          <w:lang w:bidi="ar-EG"/>
        </w:rPr>
        <w:t xml:space="preserve"> البحث الاقتصادي التجريبي والدقيق علمياً في مجال الملكية الفكرية</w:t>
      </w:r>
      <w:r w:rsidR="009F5F08">
        <w:rPr>
          <w:rFonts w:ascii="Arabic Typesetting" w:hAnsi="Arabic Typesetting" w:cs="Arabic Typesetting" w:hint="cs"/>
          <w:sz w:val="34"/>
          <w:szCs w:val="34"/>
          <w:rtl/>
          <w:lang w:bidi="ar-EG"/>
        </w:rPr>
        <w:t xml:space="preserve"> وتيسيره</w:t>
      </w:r>
      <w:r w:rsidRPr="00B31868">
        <w:rPr>
          <w:rFonts w:ascii="Arabic Typesetting" w:hAnsi="Arabic Typesetting" w:cs="Arabic Typesetting"/>
          <w:sz w:val="34"/>
          <w:szCs w:val="34"/>
          <w:rtl/>
          <w:lang w:bidi="ar-EG"/>
        </w:rPr>
        <w:t>.</w:t>
      </w:r>
      <w:r w:rsidR="00032C94">
        <w:rPr>
          <w:rFonts w:ascii="Arabic Typesetting" w:hAnsi="Arabic Typesetting" w:cs="Arabic Typesetting" w:hint="cs"/>
          <w:sz w:val="34"/>
          <w:szCs w:val="34"/>
          <w:rtl/>
          <w:lang w:bidi="ar-EG"/>
        </w:rPr>
        <w:t xml:space="preserve"> وتوسعت الشبكة خلال الثنائية بانضمام أربعة مكاتب جديدة للملكية الفكرية ليبلغ بذلك مجموع المكاتب 13</w:t>
      </w:r>
      <w:r w:rsidR="00032C94">
        <w:rPr>
          <w:rFonts w:ascii="Arabic Typesetting" w:hAnsi="Arabic Typesetting" w:cs="Arabic Typesetting" w:hint="eastAsia"/>
          <w:sz w:val="34"/>
          <w:szCs w:val="34"/>
          <w:rtl/>
          <w:lang w:bidi="ar-EG"/>
        </w:rPr>
        <w:t> </w:t>
      </w:r>
      <w:r w:rsidR="00032C94">
        <w:rPr>
          <w:rFonts w:ascii="Arabic Typesetting" w:hAnsi="Arabic Typesetting" w:cs="Arabic Typesetting" w:hint="cs"/>
          <w:sz w:val="34"/>
          <w:szCs w:val="34"/>
          <w:rtl/>
          <w:lang w:bidi="ar-EG"/>
        </w:rPr>
        <w:t>مكتباً.</w:t>
      </w:r>
    </w:p>
    <w:p w:rsidR="00B31868" w:rsidRPr="00E439F5" w:rsidRDefault="00B31868" w:rsidP="00E439F5">
      <w:pPr>
        <w:keepNext/>
        <w:bidi/>
        <w:spacing w:before="120" w:after="120" w:line="340" w:lineRule="exact"/>
        <w:jc w:val="both"/>
        <w:rPr>
          <w:rFonts w:ascii="Arabic Typesetting" w:hAnsi="Arabic Typesetting" w:cs="Arabic Typesetting"/>
          <w:sz w:val="34"/>
          <w:szCs w:val="34"/>
          <w:rtl/>
          <w:lang w:bidi="ar-EG"/>
        </w:rPr>
      </w:pPr>
      <w:r w:rsidRPr="00E439F5">
        <w:rPr>
          <w:rFonts w:ascii="Arabic Typesetting" w:hAnsi="Arabic Typesetting" w:cs="Arabic Typesetting"/>
          <w:sz w:val="34"/>
          <w:szCs w:val="34"/>
          <w:rtl/>
        </w:rPr>
        <w:lastRenderedPageBreak/>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62"/>
        <w:gridCol w:w="2573"/>
        <w:gridCol w:w="1284"/>
        <w:gridCol w:w="2685"/>
        <w:gridCol w:w="853"/>
      </w:tblGrid>
      <w:tr w:rsidR="00B31868" w:rsidRPr="00211D55" w:rsidTr="00CC7567">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rPr>
              <w:t>النتيجة المرتقبة:</w:t>
            </w:r>
            <w:r w:rsidRPr="00211D55">
              <w:rPr>
                <w:rFonts w:ascii="Arabic Typesetting" w:hAnsi="Arabic Typesetting" w:cs="Arabic Typesetting"/>
                <w:b/>
                <w:bCs/>
                <w:sz w:val="28"/>
                <w:szCs w:val="28"/>
                <w:rtl/>
              </w:rPr>
              <w:tab/>
            </w:r>
            <w:r w:rsidRPr="00211D55">
              <w:rPr>
                <w:rFonts w:ascii="Arabic Typesetting" w:hAnsi="Arabic Typesetting" w:cs="Arabic Typesetting"/>
                <w:sz w:val="28"/>
                <w:szCs w:val="28"/>
                <w:rtl/>
              </w:rPr>
              <w:t xml:space="preserve">ھ1.5 </w:t>
            </w:r>
            <w:r w:rsidR="009947B0">
              <w:rPr>
                <w:rFonts w:ascii="Arabic Typesetting" w:hAnsi="Arabic Typesetting" w:cs="Arabic Typesetting"/>
                <w:sz w:val="28"/>
                <w:szCs w:val="28"/>
                <w:rtl/>
              </w:rPr>
              <w:t>استخدام معلومات الويبو الإحصائية بشأن الملكية الفكرية على نطاق أوسع ونحو أفضل</w:t>
            </w:r>
          </w:p>
        </w:tc>
      </w:tr>
      <w:tr w:rsidR="00B31868" w:rsidRPr="00211D55" w:rsidTr="00CC7567">
        <w:trPr>
          <w:cantSplit/>
        </w:trPr>
        <w:tc>
          <w:tcPr>
            <w:tcW w:w="1048"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مؤشرات الأداء</w:t>
            </w:r>
          </w:p>
        </w:tc>
        <w:tc>
          <w:tcPr>
            <w:tcW w:w="1375"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686"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435" w:type="pct"/>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456"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B31868" w:rsidRPr="00211D55" w:rsidTr="00CC7567">
        <w:trPr>
          <w:cantSplit/>
        </w:trPr>
        <w:tc>
          <w:tcPr>
            <w:tcW w:w="1048"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عدد مرات تنزيل التقارير الإحصائية الرئيسية الأربعة (تقرير مؤشرات الملكية الفكرية العالمية، والمراجعات السنوية لنظام معاهدة التعاون بشأن البراءات ونظام لاهاي ونظام مدريد)</w:t>
            </w:r>
          </w:p>
        </w:tc>
        <w:tc>
          <w:tcPr>
            <w:tcW w:w="1375" w:type="pct"/>
            <w:shd w:val="clear" w:color="auto" w:fill="auto"/>
          </w:tcPr>
          <w:p w:rsidR="00B31868" w:rsidRPr="00211D55" w:rsidRDefault="00B31868" w:rsidP="00FF1820">
            <w:pPr>
              <w:bidi/>
              <w:spacing w:before="60" w:after="60" w:line="280" w:lineRule="exact"/>
              <w:rPr>
                <w:rFonts w:ascii="Arabic Typesetting" w:hAnsi="Arabic Typesetting" w:cs="Arabic Typesetting"/>
                <w:color w:val="002060"/>
                <w:sz w:val="28"/>
                <w:szCs w:val="28"/>
                <w:lang w:bidi="ar-EG"/>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 xml:space="preserve">في عام 2013، </w:t>
            </w:r>
            <w:r w:rsidR="00FF1820" w:rsidRPr="00211D55">
              <w:rPr>
                <w:rFonts w:ascii="Arabic Typesetting" w:hAnsi="Arabic Typesetting" w:cs="Arabic Typesetting"/>
                <w:color w:val="002060"/>
                <w:sz w:val="28"/>
                <w:szCs w:val="28"/>
                <w:rtl/>
              </w:rPr>
              <w:t>نزلت</w:t>
            </w:r>
            <w:r w:rsidRPr="00211D55">
              <w:rPr>
                <w:rFonts w:ascii="Arabic Typesetting" w:hAnsi="Arabic Typesetting" w:cs="Arabic Typesetting"/>
                <w:color w:val="002060"/>
                <w:sz w:val="28"/>
                <w:szCs w:val="28"/>
                <w:rtl/>
              </w:rPr>
              <w:t xml:space="preserve"> </w:t>
            </w:r>
            <w:r w:rsidR="00FF1820" w:rsidRPr="00211D55">
              <w:rPr>
                <w:rFonts w:ascii="Arabic Typesetting" w:hAnsi="Arabic Typesetting" w:cs="Arabic Typesetting"/>
                <w:color w:val="002060"/>
                <w:sz w:val="28"/>
                <w:szCs w:val="28"/>
                <w:rtl/>
              </w:rPr>
              <w:t xml:space="preserve">أحدث </w:t>
            </w:r>
            <w:r w:rsidRPr="00211D55">
              <w:rPr>
                <w:rFonts w:ascii="Arabic Typesetting" w:hAnsi="Arabic Typesetting" w:cs="Arabic Typesetting"/>
                <w:color w:val="002060"/>
                <w:sz w:val="28"/>
                <w:szCs w:val="28"/>
                <w:rtl/>
              </w:rPr>
              <w:t>طبعت</w:t>
            </w:r>
            <w:r w:rsidR="00FF1820" w:rsidRPr="00211D55">
              <w:rPr>
                <w:rFonts w:ascii="Arabic Typesetting" w:hAnsi="Arabic Typesetting" w:cs="Arabic Typesetting"/>
                <w:color w:val="002060"/>
                <w:sz w:val="28"/>
                <w:szCs w:val="28"/>
                <w:rtl/>
              </w:rPr>
              <w:t>ي</w:t>
            </w:r>
            <w:r w:rsidRPr="00211D55">
              <w:rPr>
                <w:rFonts w:ascii="Arabic Typesetting" w:hAnsi="Arabic Typesetting" w:cs="Arabic Typesetting"/>
                <w:color w:val="002060"/>
                <w:sz w:val="28"/>
                <w:szCs w:val="28"/>
                <w:rtl/>
              </w:rPr>
              <w:t>ن متاحتين (طبعت</w:t>
            </w:r>
            <w:r w:rsidR="00FF1820" w:rsidRPr="00211D55">
              <w:rPr>
                <w:rFonts w:ascii="Arabic Typesetting" w:hAnsi="Arabic Typesetting" w:cs="Arabic Typesetting"/>
                <w:color w:val="002060"/>
                <w:sz w:val="28"/>
                <w:szCs w:val="28"/>
                <w:rtl/>
              </w:rPr>
              <w:t>ا</w:t>
            </w:r>
            <w:r w:rsidRPr="00211D55">
              <w:rPr>
                <w:rFonts w:ascii="Arabic Typesetting" w:hAnsi="Arabic Typesetting" w:cs="Arabic Typesetting"/>
                <w:color w:val="002060"/>
                <w:sz w:val="28"/>
                <w:szCs w:val="28"/>
                <w:rtl/>
              </w:rPr>
              <w:t xml:space="preserve"> 2012 و2013) من مؤشرات الملكية الفكرية العالمية (المنشور رقم 941) وتقرير الويبو بشأن حقائق وأرقام الملكية الفكرية (رقم 943) 670 52 مرةً على وجه الإجمال</w:t>
            </w:r>
            <w:r w:rsidRPr="00211D55">
              <w:rPr>
                <w:rFonts w:ascii="Arabic Typesetting" w:hAnsi="Arabic Typesetting" w:cs="Arabic Typesetting"/>
                <w:color w:val="002060"/>
                <w:sz w:val="28"/>
                <w:szCs w:val="28"/>
              </w:rPr>
              <w:t>.</w:t>
            </w:r>
          </w:p>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يُحدَّد في نهاية 2013</w:t>
            </w:r>
          </w:p>
        </w:tc>
        <w:tc>
          <w:tcPr>
            <w:tcW w:w="686" w:type="pct"/>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i/>
                <w:sz w:val="28"/>
                <w:szCs w:val="28"/>
              </w:rPr>
            </w:pPr>
            <w:r w:rsidRPr="00211D55">
              <w:rPr>
                <w:rFonts w:ascii="Arabic Typesetting" w:hAnsi="Arabic Typesetting" w:cs="Arabic Typesetting"/>
                <w:sz w:val="28"/>
                <w:szCs w:val="28"/>
                <w:rtl/>
              </w:rPr>
              <w:t>10% زيادة في عدد مرات التنزيل وعدد المستخدمين على مدار الثنائية</w:t>
            </w:r>
            <w:r w:rsidRPr="00211D55">
              <w:rPr>
                <w:rFonts w:ascii="Arabic Typesetting" w:hAnsi="Arabic Typesetting" w:cs="Arabic Typesetting"/>
                <w:i/>
                <w:sz w:val="28"/>
                <w:szCs w:val="28"/>
                <w:rtl/>
              </w:rPr>
              <w:t xml:space="preserve"> </w:t>
            </w:r>
            <w:r w:rsidR="00507DE2">
              <w:rPr>
                <w:rFonts w:ascii="Arabic Typesetting" w:hAnsi="Arabic Typesetting" w:cs="Arabic Typesetting"/>
                <w:i/>
                <w:sz w:val="28"/>
                <w:szCs w:val="28"/>
                <w:rtl/>
              </w:rPr>
              <w:t>2012/13</w:t>
            </w:r>
          </w:p>
        </w:tc>
        <w:tc>
          <w:tcPr>
            <w:tcW w:w="1435" w:type="pct"/>
            <w:shd w:val="clear" w:color="auto" w:fill="FFFFFF"/>
            <w:tcMar>
              <w:top w:w="110" w:type="dxa"/>
            </w:tcMar>
          </w:tcPr>
          <w:p w:rsidR="009A5F8D" w:rsidRPr="00211D55" w:rsidRDefault="009A5F8D" w:rsidP="00086C3F">
            <w:pPr>
              <w:bidi/>
              <w:spacing w:before="60" w:after="12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نزلت أحدث طبعتين (2014 و2015) من التقارير التالية 996 215 مرة:</w:t>
            </w:r>
          </w:p>
          <w:p w:rsidR="009A5F8D" w:rsidRPr="00211D55" w:rsidRDefault="009A5F8D" w:rsidP="00086C3F">
            <w:pPr>
              <w:bidi/>
              <w:spacing w:before="60" w:after="120" w:line="280" w:lineRule="exact"/>
              <w:ind w:left="567" w:hanging="567"/>
              <w:rPr>
                <w:rFonts w:ascii="Arabic Typesetting" w:hAnsi="Arabic Typesetting" w:cs="Arabic Typesetting"/>
                <w:sz w:val="28"/>
                <w:szCs w:val="28"/>
                <w:rtl/>
              </w:rPr>
            </w:pPr>
            <w:r w:rsidRPr="00211D55">
              <w:rPr>
                <w:rFonts w:ascii="Arabic Typesetting" w:hAnsi="Arabic Typesetting" w:cs="Arabic Typesetting"/>
                <w:sz w:val="28"/>
                <w:szCs w:val="28"/>
                <w:rtl/>
              </w:rPr>
              <w:t>"1"</w:t>
            </w:r>
            <w:r w:rsidRPr="00211D55">
              <w:rPr>
                <w:rFonts w:ascii="Arabic Typesetting" w:hAnsi="Arabic Typesetting" w:cs="Arabic Typesetting"/>
                <w:sz w:val="28"/>
                <w:szCs w:val="28"/>
                <w:rtl/>
              </w:rPr>
              <w:tab/>
              <w:t xml:space="preserve">تقرير مؤشرات الملكية الفكرية العالمية (رقم </w:t>
            </w:r>
            <w:r w:rsidRPr="00211D55">
              <w:rPr>
                <w:rFonts w:ascii="Arabic Typesetting" w:hAnsi="Arabic Typesetting" w:cs="Arabic Typesetting"/>
                <w:sz w:val="28"/>
                <w:szCs w:val="28"/>
              </w:rPr>
              <w:t>941E/2014</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941E/2015</w:t>
            </w:r>
            <w:r w:rsidRPr="00211D55">
              <w:rPr>
                <w:rFonts w:ascii="Arabic Typesetting" w:hAnsi="Arabic Typesetting" w:cs="Arabic Typesetting"/>
                <w:sz w:val="28"/>
                <w:szCs w:val="28"/>
                <w:rtl/>
              </w:rPr>
              <w:t xml:space="preserve">) وتقرير الويبو بشأن حقائق وأرقام الملكية الفكرية (رقم </w:t>
            </w:r>
            <w:r w:rsidRPr="00211D55">
              <w:rPr>
                <w:rFonts w:ascii="Arabic Typesetting" w:hAnsi="Arabic Typesetting" w:cs="Arabic Typesetting"/>
                <w:sz w:val="28"/>
                <w:szCs w:val="28"/>
              </w:rPr>
              <w:t>943E/2014</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943E/2015</w:t>
            </w:r>
            <w:r w:rsidRPr="00211D55">
              <w:rPr>
                <w:rFonts w:ascii="Arabic Typesetting" w:hAnsi="Arabic Typesetting" w:cs="Arabic Typesetting"/>
                <w:sz w:val="28"/>
                <w:szCs w:val="28"/>
                <w:rtl/>
              </w:rPr>
              <w:t>)</w:t>
            </w:r>
            <w:r w:rsidR="00CC7567" w:rsidRPr="00211D55">
              <w:rPr>
                <w:rFonts w:ascii="Arabic Typesetting" w:hAnsi="Arabic Typesetting" w:cs="Arabic Typesetting"/>
                <w:sz w:val="28"/>
                <w:szCs w:val="28"/>
                <w:rtl/>
              </w:rPr>
              <w:t>:</w:t>
            </w:r>
            <w:r w:rsidRPr="00211D55">
              <w:rPr>
                <w:rFonts w:ascii="Arabic Typesetting" w:hAnsi="Arabic Typesetting" w:cs="Arabic Typesetting"/>
                <w:sz w:val="28"/>
                <w:szCs w:val="28"/>
                <w:rtl/>
              </w:rPr>
              <w:t xml:space="preserve"> 642 124 مرة</w:t>
            </w:r>
          </w:p>
          <w:p w:rsidR="009A5F8D" w:rsidRPr="00211D55" w:rsidRDefault="009A5F8D" w:rsidP="00086C3F">
            <w:pPr>
              <w:bidi/>
              <w:spacing w:before="60" w:after="120" w:line="280" w:lineRule="exact"/>
              <w:ind w:left="851" w:hanging="284"/>
              <w:rPr>
                <w:rFonts w:ascii="Arabic Typesetting" w:hAnsi="Arabic Typesetting" w:cs="Arabic Typesetting"/>
                <w:sz w:val="28"/>
                <w:szCs w:val="28"/>
                <w:rtl/>
              </w:rPr>
            </w:pPr>
            <w:r w:rsidRPr="00211D55">
              <w:rPr>
                <w:rFonts w:ascii="Arabic Typesetting" w:hAnsi="Arabic Typesetting" w:cs="Arabic Typesetting"/>
                <w:sz w:val="28"/>
                <w:szCs w:val="28"/>
                <w:rtl/>
              </w:rPr>
              <w:t>-</w:t>
            </w:r>
            <w:r w:rsidRPr="00211D55">
              <w:rPr>
                <w:rFonts w:ascii="Arabic Typesetting" w:hAnsi="Arabic Typesetting" w:cs="Arabic Typesetting"/>
                <w:sz w:val="28"/>
                <w:szCs w:val="28"/>
                <w:rtl/>
              </w:rPr>
              <w:tab/>
              <w:t xml:space="preserve">تقرير مؤشرات الملكية الفكرية العالمية (رقم </w:t>
            </w:r>
            <w:r w:rsidRPr="00211D55">
              <w:rPr>
                <w:rFonts w:ascii="Arabic Typesetting" w:hAnsi="Arabic Typesetting" w:cs="Arabic Typesetting"/>
                <w:sz w:val="28"/>
                <w:szCs w:val="28"/>
              </w:rPr>
              <w:t>941E/2014</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941E/2015</w:t>
            </w:r>
            <w:r w:rsidRPr="00211D55">
              <w:rPr>
                <w:rFonts w:ascii="Arabic Typesetting" w:hAnsi="Arabic Typesetting" w:cs="Arabic Typesetting"/>
                <w:sz w:val="28"/>
                <w:szCs w:val="28"/>
                <w:rtl/>
              </w:rPr>
              <w:t>): 914 82</w:t>
            </w:r>
            <w:r w:rsidR="00CC7567"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مرة</w:t>
            </w:r>
          </w:p>
          <w:p w:rsidR="009A5F8D" w:rsidRPr="00211D55" w:rsidRDefault="009A5F8D" w:rsidP="00086C3F">
            <w:pPr>
              <w:bidi/>
              <w:spacing w:before="60" w:after="120" w:line="280" w:lineRule="exact"/>
              <w:ind w:left="851" w:hanging="284"/>
              <w:rPr>
                <w:rFonts w:ascii="Arabic Typesetting" w:hAnsi="Arabic Typesetting" w:cs="Arabic Typesetting"/>
                <w:sz w:val="28"/>
                <w:szCs w:val="28"/>
                <w:rtl/>
              </w:rPr>
            </w:pPr>
            <w:r w:rsidRPr="00211D55">
              <w:rPr>
                <w:rFonts w:ascii="Arabic Typesetting" w:hAnsi="Arabic Typesetting" w:cs="Arabic Typesetting"/>
                <w:sz w:val="28"/>
                <w:szCs w:val="28"/>
                <w:rtl/>
              </w:rPr>
              <w:t>-</w:t>
            </w:r>
            <w:r w:rsidRPr="00211D55">
              <w:rPr>
                <w:rFonts w:ascii="Arabic Typesetting" w:hAnsi="Arabic Typesetting" w:cs="Arabic Typesetting"/>
                <w:sz w:val="28"/>
                <w:szCs w:val="28"/>
                <w:rtl/>
              </w:rPr>
              <w:tab/>
              <w:t xml:space="preserve">تقرير الويبو بشأن حقائق وأرقام الملكية الفكرية (رقم </w:t>
            </w:r>
            <w:r w:rsidRPr="00211D55">
              <w:rPr>
                <w:rFonts w:ascii="Arabic Typesetting" w:hAnsi="Arabic Typesetting" w:cs="Arabic Typesetting"/>
                <w:sz w:val="28"/>
                <w:szCs w:val="28"/>
              </w:rPr>
              <w:t>943E/2014</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943E/2015</w:t>
            </w:r>
            <w:r w:rsidRPr="00211D55">
              <w:rPr>
                <w:rFonts w:ascii="Arabic Typesetting" w:hAnsi="Arabic Typesetting" w:cs="Arabic Typesetting"/>
                <w:sz w:val="28"/>
                <w:szCs w:val="28"/>
                <w:rtl/>
              </w:rPr>
              <w:t>): 728 41</w:t>
            </w:r>
            <w:r w:rsidR="00CC7567"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مرة</w:t>
            </w:r>
          </w:p>
          <w:p w:rsidR="00CC7567" w:rsidRPr="00211D55" w:rsidRDefault="00CC7567" w:rsidP="00086C3F">
            <w:pPr>
              <w:bidi/>
              <w:spacing w:before="60" w:after="120" w:line="280" w:lineRule="exact"/>
              <w:ind w:left="567" w:hanging="567"/>
              <w:rPr>
                <w:rFonts w:ascii="Arabic Typesetting" w:hAnsi="Arabic Typesetting" w:cs="Arabic Typesetting"/>
                <w:sz w:val="28"/>
                <w:szCs w:val="28"/>
                <w:rtl/>
              </w:rPr>
            </w:pPr>
            <w:r w:rsidRPr="00211D55">
              <w:rPr>
                <w:rFonts w:ascii="Arabic Typesetting" w:hAnsi="Arabic Typesetting" w:cs="Arabic Typesetting"/>
                <w:sz w:val="28"/>
                <w:szCs w:val="28"/>
                <w:rtl/>
              </w:rPr>
              <w:t>"2"</w:t>
            </w:r>
            <w:r w:rsidRPr="00211D55">
              <w:rPr>
                <w:rFonts w:ascii="Arabic Typesetting" w:hAnsi="Arabic Typesetting" w:cs="Arabic Typesetting"/>
                <w:sz w:val="28"/>
                <w:szCs w:val="28"/>
                <w:rtl/>
              </w:rPr>
              <w:tab/>
              <w:t xml:space="preserve">الاستعراض السنوي لمعاهدة التعاون بشأن البراءات (رقم </w:t>
            </w:r>
            <w:r w:rsidRPr="00211D55">
              <w:rPr>
                <w:rFonts w:ascii="Arabic Typesetting" w:hAnsi="Arabic Typesetting" w:cs="Arabic Typesetting"/>
                <w:sz w:val="28"/>
                <w:szCs w:val="28"/>
              </w:rPr>
              <w:t>901E/14</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901E/15</w:t>
            </w:r>
            <w:r w:rsidRPr="00211D55">
              <w:rPr>
                <w:rFonts w:ascii="Arabic Typesetting" w:hAnsi="Arabic Typesetting" w:cs="Arabic Typesetting"/>
                <w:sz w:val="28"/>
                <w:szCs w:val="28"/>
                <w:rtl/>
              </w:rPr>
              <w:t>): 746 50 مرة</w:t>
            </w:r>
          </w:p>
          <w:p w:rsidR="00CC7567" w:rsidRPr="00211D55" w:rsidRDefault="00CC7567" w:rsidP="00086C3F">
            <w:pPr>
              <w:bidi/>
              <w:spacing w:before="60" w:after="120" w:line="280" w:lineRule="exact"/>
              <w:ind w:left="567" w:hanging="567"/>
              <w:rPr>
                <w:rFonts w:ascii="Arabic Typesetting" w:hAnsi="Arabic Typesetting" w:cs="Arabic Typesetting"/>
                <w:sz w:val="28"/>
                <w:szCs w:val="28"/>
                <w:rtl/>
              </w:rPr>
            </w:pPr>
            <w:r w:rsidRPr="00211D55">
              <w:rPr>
                <w:rFonts w:ascii="Arabic Typesetting" w:hAnsi="Arabic Typesetting" w:cs="Arabic Typesetting"/>
                <w:sz w:val="28"/>
                <w:szCs w:val="28"/>
                <w:rtl/>
              </w:rPr>
              <w:t>"3"</w:t>
            </w:r>
            <w:r w:rsidRPr="00211D55">
              <w:rPr>
                <w:rFonts w:ascii="Arabic Typesetting" w:hAnsi="Arabic Typesetting" w:cs="Arabic Typesetting"/>
                <w:sz w:val="28"/>
                <w:szCs w:val="28"/>
                <w:rtl/>
              </w:rPr>
              <w:tab/>
              <w:t xml:space="preserve">الاستعراض السنوي لنظام مدريد (رقم </w:t>
            </w:r>
            <w:r w:rsidRPr="00211D55">
              <w:rPr>
                <w:rFonts w:ascii="Arabic Typesetting" w:hAnsi="Arabic Typesetting" w:cs="Arabic Typesetting"/>
                <w:sz w:val="28"/>
                <w:szCs w:val="28"/>
              </w:rPr>
              <w:t>940E/14</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940E/15</w:t>
            </w:r>
            <w:r w:rsidRPr="00211D55">
              <w:rPr>
                <w:rFonts w:ascii="Arabic Typesetting" w:hAnsi="Arabic Typesetting" w:cs="Arabic Typesetting"/>
                <w:sz w:val="28"/>
                <w:szCs w:val="28"/>
                <w:rtl/>
              </w:rPr>
              <w:t>): 281 20 مرة</w:t>
            </w:r>
          </w:p>
          <w:p w:rsidR="00B31868" w:rsidRPr="00211D55" w:rsidRDefault="00CC7567" w:rsidP="00086C3F">
            <w:pPr>
              <w:bidi/>
              <w:spacing w:before="60" w:after="120" w:line="280" w:lineRule="exact"/>
              <w:ind w:left="567" w:hanging="567"/>
              <w:rPr>
                <w:rFonts w:ascii="Arabic Typesetting" w:hAnsi="Arabic Typesetting" w:cs="Arabic Typesetting"/>
                <w:sz w:val="28"/>
                <w:szCs w:val="28"/>
                <w:lang w:bidi="ar-EG"/>
              </w:rPr>
            </w:pPr>
            <w:r w:rsidRPr="00211D55">
              <w:rPr>
                <w:rFonts w:ascii="Arabic Typesetting" w:hAnsi="Arabic Typesetting" w:cs="Arabic Typesetting"/>
                <w:sz w:val="28"/>
                <w:szCs w:val="28"/>
                <w:rtl/>
              </w:rPr>
              <w:t>"4"</w:t>
            </w:r>
            <w:r w:rsidRPr="00211D55">
              <w:rPr>
                <w:rFonts w:ascii="Arabic Typesetting" w:hAnsi="Arabic Typesetting" w:cs="Arabic Typesetting"/>
                <w:sz w:val="28"/>
                <w:szCs w:val="28"/>
                <w:rtl/>
              </w:rPr>
              <w:tab/>
              <w:t xml:space="preserve">الاستعراض السنوي لنظام لاهاي (رقم </w:t>
            </w:r>
            <w:r w:rsidRPr="00211D55">
              <w:rPr>
                <w:rFonts w:ascii="Arabic Typesetting" w:hAnsi="Arabic Typesetting" w:cs="Arabic Typesetting"/>
                <w:sz w:val="28"/>
                <w:szCs w:val="28"/>
              </w:rPr>
              <w:t>930E/14</w:t>
            </w:r>
            <w:r w:rsidRPr="00211D55">
              <w:rPr>
                <w:rFonts w:ascii="Arabic Typesetting" w:hAnsi="Arabic Typesetting" w:cs="Arabic Typesetting"/>
                <w:sz w:val="28"/>
                <w:szCs w:val="28"/>
                <w:rtl/>
              </w:rPr>
              <w:t xml:space="preserve"> و</w:t>
            </w:r>
            <w:r w:rsidRPr="00211D55">
              <w:rPr>
                <w:rFonts w:ascii="Arabic Typesetting" w:hAnsi="Arabic Typesetting" w:cs="Arabic Typesetting"/>
                <w:sz w:val="28"/>
                <w:szCs w:val="28"/>
              </w:rPr>
              <w:t>930E/15</w:t>
            </w:r>
            <w:r w:rsidRPr="00211D55">
              <w:rPr>
                <w:rFonts w:ascii="Arabic Typesetting" w:hAnsi="Arabic Typesetting" w:cs="Arabic Typesetting"/>
                <w:sz w:val="28"/>
                <w:szCs w:val="28"/>
                <w:rtl/>
              </w:rPr>
              <w:t>): 237 20 مرة</w:t>
            </w:r>
          </w:p>
        </w:tc>
        <w:tc>
          <w:tcPr>
            <w:tcW w:w="456" w:type="pct"/>
            <w:shd w:val="clear" w:color="auto" w:fill="auto"/>
            <w:tcMar>
              <w:top w:w="110" w:type="dxa"/>
            </w:tcMar>
          </w:tcPr>
          <w:p w:rsidR="009A5F8D" w:rsidRPr="00211D55" w:rsidRDefault="00CC7567" w:rsidP="00086C3F">
            <w:pPr>
              <w:bidi/>
              <w:spacing w:before="1000" w:line="28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p w:rsidR="00CC7567" w:rsidRPr="00211D55" w:rsidRDefault="00B31868" w:rsidP="00086C3F">
            <w:pPr>
              <w:bidi/>
              <w:spacing w:before="4860" w:after="60" w:line="280" w:lineRule="exact"/>
              <w:jc w:val="center"/>
              <w:rPr>
                <w:rFonts w:ascii="Arabic Typesetting" w:hAnsi="Arabic Typesetting" w:cs="Arabic Typesetting"/>
                <w:b/>
                <w:bCs/>
                <w:color w:val="808080"/>
                <w:sz w:val="28"/>
                <w:szCs w:val="28"/>
                <w:rtl/>
              </w:rPr>
            </w:pPr>
            <w:r w:rsidRPr="00211D55">
              <w:rPr>
                <w:rFonts w:ascii="Arabic Typesetting" w:hAnsi="Arabic Typesetting" w:cs="Arabic Typesetting"/>
                <w:b/>
                <w:bCs/>
                <w:color w:val="808080"/>
                <w:sz w:val="28"/>
                <w:szCs w:val="28"/>
                <w:rtl/>
              </w:rPr>
              <w:t>غير قابل للقياس</w:t>
            </w:r>
          </w:p>
          <w:p w:rsidR="00CC7567" w:rsidRPr="00211D55" w:rsidRDefault="00CC7567" w:rsidP="00086C3F">
            <w:pPr>
              <w:bidi/>
              <w:spacing w:before="680" w:after="60" w:line="280" w:lineRule="exact"/>
              <w:jc w:val="center"/>
              <w:rPr>
                <w:rFonts w:ascii="Arabic Typesetting" w:hAnsi="Arabic Typesetting" w:cs="Arabic Typesetting"/>
                <w:b/>
                <w:bCs/>
                <w:color w:val="808080"/>
                <w:sz w:val="28"/>
                <w:szCs w:val="28"/>
                <w:rtl/>
              </w:rPr>
            </w:pPr>
            <w:r w:rsidRPr="00211D55">
              <w:rPr>
                <w:rFonts w:ascii="Arabic Typesetting" w:hAnsi="Arabic Typesetting" w:cs="Arabic Typesetting"/>
                <w:b/>
                <w:bCs/>
                <w:color w:val="808080"/>
                <w:sz w:val="28"/>
                <w:szCs w:val="28"/>
                <w:rtl/>
              </w:rPr>
              <w:t>غير قابل للقياس</w:t>
            </w:r>
          </w:p>
          <w:p w:rsidR="00B31868" w:rsidRPr="00211D55" w:rsidRDefault="00CC7567" w:rsidP="00086C3F">
            <w:pPr>
              <w:bidi/>
              <w:spacing w:before="420" w:after="60" w:line="280" w:lineRule="exact"/>
              <w:jc w:val="center"/>
              <w:rPr>
                <w:rFonts w:ascii="Arabic Typesetting" w:hAnsi="Arabic Typesetting" w:cs="Arabic Typesetting"/>
                <w:b/>
                <w:bCs/>
                <w:color w:val="808080"/>
                <w:sz w:val="28"/>
                <w:szCs w:val="28"/>
              </w:rPr>
            </w:pPr>
            <w:r w:rsidRPr="00211D55">
              <w:rPr>
                <w:rFonts w:ascii="Arabic Typesetting" w:hAnsi="Arabic Typesetting" w:cs="Arabic Typesetting"/>
                <w:b/>
                <w:bCs/>
                <w:color w:val="808080"/>
                <w:sz w:val="28"/>
                <w:szCs w:val="28"/>
                <w:rtl/>
              </w:rPr>
              <w:t>غير قابل للقياس</w:t>
            </w:r>
          </w:p>
        </w:tc>
      </w:tr>
      <w:tr w:rsidR="00B31868" w:rsidRPr="00211D55" w:rsidTr="00CC7567">
        <w:trPr>
          <w:cantSplit/>
        </w:trPr>
        <w:tc>
          <w:tcPr>
            <w:tcW w:w="1048" w:type="pct"/>
            <w:tcBorders>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عدد الزائرين المستخدمين لمركز البيانات الإحصائية للملكية الفكرية</w:t>
            </w:r>
          </w:p>
        </w:tc>
        <w:tc>
          <w:tcPr>
            <w:tcW w:w="1375" w:type="pct"/>
            <w:tcBorders>
              <w:bottom w:val="single" w:sz="4" w:space="0" w:color="auto"/>
            </w:tcBorders>
            <w:shd w:val="clear" w:color="auto" w:fill="auto"/>
          </w:tcPr>
          <w:p w:rsidR="00A214AF" w:rsidRPr="00211D55" w:rsidRDefault="00B31868" w:rsidP="00086C3F">
            <w:pPr>
              <w:bidi/>
              <w:spacing w:before="60" w:after="60" w:line="280" w:lineRule="exact"/>
              <w:rPr>
                <w:rFonts w:ascii="Arabic Typesetting"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color w:val="002060"/>
                <w:sz w:val="28"/>
                <w:szCs w:val="28"/>
                <w:rtl/>
              </w:rPr>
              <w:t xml:space="preserve"> في عام 2013، انتفع بمركز الويبو للبيانات الإحصائية 496 23 زائراً فريداً (958 1 في الشهر) استعرضوا 463 162 صفحةً</w:t>
            </w:r>
            <w:r w:rsidRPr="00211D55">
              <w:rPr>
                <w:rFonts w:ascii="Arabic Typesetting" w:hAnsi="Arabic Typesetting" w:cs="Arabic Typesetting"/>
                <w:color w:val="002060"/>
                <w:sz w:val="28"/>
                <w:szCs w:val="28"/>
              </w:rPr>
              <w:t>.</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يُحدَّد في نهاية</w:t>
            </w:r>
            <w:r w:rsidR="00AD2E68"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2013</w:t>
            </w:r>
          </w:p>
        </w:tc>
        <w:tc>
          <w:tcPr>
            <w:tcW w:w="686" w:type="pct"/>
            <w:tcBorders>
              <w:bottom w:val="single" w:sz="4" w:space="0" w:color="auto"/>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i/>
                <w:sz w:val="28"/>
                <w:szCs w:val="28"/>
              </w:rPr>
            </w:pPr>
            <w:r w:rsidRPr="00211D55">
              <w:rPr>
                <w:rFonts w:ascii="Arabic Typesetting" w:hAnsi="Arabic Typesetting" w:cs="Arabic Typesetting"/>
                <w:sz w:val="28"/>
                <w:szCs w:val="28"/>
                <w:rtl/>
              </w:rPr>
              <w:t xml:space="preserve">10% زيادة في عدد المستخدمين، على مدار الثنائية </w:t>
            </w:r>
            <w:r w:rsidR="00507DE2">
              <w:rPr>
                <w:rFonts w:ascii="Arabic Typesetting" w:hAnsi="Arabic Typesetting" w:cs="Arabic Typesetting"/>
                <w:sz w:val="28"/>
                <w:szCs w:val="28"/>
                <w:rtl/>
              </w:rPr>
              <w:t>2012/13</w:t>
            </w:r>
          </w:p>
        </w:tc>
        <w:tc>
          <w:tcPr>
            <w:tcW w:w="1435" w:type="pct"/>
            <w:tcBorders>
              <w:bottom w:val="single" w:sz="4" w:space="0" w:color="auto"/>
            </w:tcBorders>
            <w:shd w:val="clear" w:color="auto" w:fill="FFFFFF"/>
            <w:tcMar>
              <w:top w:w="110" w:type="dxa"/>
            </w:tcMar>
          </w:tcPr>
          <w:p w:rsidR="00B31868" w:rsidRPr="00211D55" w:rsidRDefault="00CC7567" w:rsidP="00FB2BCA">
            <w:pPr>
              <w:bidi/>
              <w:spacing w:before="60" w:after="60" w:line="280" w:lineRule="exact"/>
              <w:rPr>
                <w:rFonts w:ascii="Arabic Typesetting" w:hAnsi="Arabic Typesetting" w:cs="Arabic Typesetting"/>
                <w:sz w:val="28"/>
                <w:szCs w:val="28"/>
              </w:rPr>
            </w:pPr>
            <w:r w:rsidRPr="00211D55">
              <w:rPr>
                <w:rFonts w:ascii="Arabic Typesetting" w:eastAsia="Batang" w:hAnsi="Arabic Typesetting" w:cs="Arabic Typesetting"/>
                <w:sz w:val="28"/>
                <w:szCs w:val="28"/>
                <w:rtl/>
                <w:lang w:eastAsia="ja-JP"/>
              </w:rPr>
              <w:t xml:space="preserve">استخدم مركز البيانات الإحصائية للملكية الفكرية خلال الثنائية </w:t>
            </w:r>
            <w:r w:rsidR="00507DE2">
              <w:rPr>
                <w:rFonts w:ascii="Arabic Typesetting" w:eastAsia="Batang" w:hAnsi="Arabic Typesetting" w:cs="Arabic Typesetting"/>
                <w:sz w:val="28"/>
                <w:szCs w:val="28"/>
                <w:rtl/>
                <w:lang w:eastAsia="ja-JP"/>
              </w:rPr>
              <w:t>2014/15</w:t>
            </w:r>
            <w:r w:rsidRPr="00211D55">
              <w:rPr>
                <w:rFonts w:ascii="Arabic Typesetting" w:eastAsia="Batang" w:hAnsi="Arabic Typesetting" w:cs="Arabic Typesetting"/>
                <w:sz w:val="28"/>
                <w:szCs w:val="28"/>
                <w:rtl/>
                <w:lang w:eastAsia="ja-JP"/>
              </w:rPr>
              <w:t xml:space="preserve"> نحو 383 51 زائراً </w:t>
            </w:r>
            <w:r w:rsidR="00FB2BCA">
              <w:rPr>
                <w:rFonts w:ascii="Arabic Typesetting" w:eastAsia="Batang" w:hAnsi="Arabic Typesetting" w:cs="Arabic Typesetting" w:hint="cs"/>
                <w:sz w:val="28"/>
                <w:szCs w:val="28"/>
                <w:rtl/>
                <w:lang w:eastAsia="ja-JP"/>
              </w:rPr>
              <w:t>متفرداً</w:t>
            </w:r>
            <w:r w:rsidRPr="00211D55">
              <w:rPr>
                <w:rFonts w:ascii="Arabic Typesetting" w:eastAsia="Batang" w:hAnsi="Arabic Typesetting" w:cs="Arabic Typesetting"/>
                <w:sz w:val="28"/>
                <w:szCs w:val="28"/>
                <w:rtl/>
                <w:lang w:eastAsia="ja-JP"/>
              </w:rPr>
              <w:t xml:space="preserve"> (2141 في الشهر) اطلعوا على 277 608 صفحة.</w:t>
            </w:r>
            <w:r w:rsidR="00B31868" w:rsidRPr="00F96634">
              <w:rPr>
                <w:rFonts w:ascii="Arabic Typesetting" w:eastAsia="Batang" w:hAnsi="Arabic Typesetting" w:cs="Arabic Typesetting"/>
                <w:sz w:val="28"/>
                <w:szCs w:val="28"/>
                <w:vertAlign w:val="superscript"/>
                <w:lang w:eastAsia="ja-JP"/>
              </w:rPr>
              <w:footnoteReference w:id="93"/>
            </w:r>
          </w:p>
        </w:tc>
        <w:tc>
          <w:tcPr>
            <w:tcW w:w="456" w:type="pct"/>
            <w:tcBorders>
              <w:bottom w:val="single" w:sz="4" w:space="0" w:color="auto"/>
            </w:tcBorders>
            <w:shd w:val="clear" w:color="auto" w:fill="auto"/>
            <w:tcMar>
              <w:top w:w="110" w:type="dxa"/>
            </w:tcMar>
          </w:tcPr>
          <w:p w:rsidR="00B31868" w:rsidRPr="00211D55" w:rsidRDefault="00CC7567" w:rsidP="00086C3F">
            <w:pPr>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tc>
      </w:tr>
      <w:tr w:rsidR="00B31868" w:rsidRPr="00211D55" w:rsidTr="00CC7567">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rPr>
              <w:lastRenderedPageBreak/>
              <w:t xml:space="preserve">النتيجة </w:t>
            </w:r>
            <w:r w:rsidRPr="00211D55">
              <w:rPr>
                <w:rFonts w:ascii="Arabic Typesetting" w:hAnsi="Arabic Typesetting" w:cs="Arabic Typesetting"/>
                <w:b/>
                <w:bCs/>
                <w:sz w:val="28"/>
                <w:szCs w:val="28"/>
                <w:shd w:val="clear" w:color="auto" w:fill="C6D9F1" w:themeFill="text2" w:themeFillTint="33"/>
                <w:rtl/>
              </w:rPr>
              <w:t>المرتقبة:</w:t>
            </w:r>
            <w:r w:rsidRPr="00211D55">
              <w:rPr>
                <w:rFonts w:ascii="Arabic Typesetting" w:hAnsi="Arabic Typesetting" w:cs="Arabic Typesetting"/>
                <w:b/>
                <w:bCs/>
                <w:sz w:val="28"/>
                <w:szCs w:val="28"/>
                <w:shd w:val="clear" w:color="auto" w:fill="C6D9F1" w:themeFill="text2" w:themeFillTint="33"/>
                <w:rtl/>
              </w:rPr>
              <w:tab/>
            </w:r>
            <w:r w:rsidRPr="00211D55">
              <w:rPr>
                <w:rFonts w:ascii="Arabic Typesetting" w:hAnsi="Arabic Typesetting" w:cs="Arabic Typesetting"/>
                <w:sz w:val="28"/>
                <w:szCs w:val="28"/>
                <w:shd w:val="clear" w:color="auto" w:fill="C6D9F1" w:themeFill="text2" w:themeFillTint="33"/>
                <w:rtl/>
              </w:rPr>
              <w:t xml:space="preserve">ھ2.5 </w:t>
            </w:r>
            <w:r w:rsidR="000432CA">
              <w:rPr>
                <w:rFonts w:ascii="Arabic Typesetting" w:hAnsi="Arabic Typesetting" w:cs="Arabic Typesetting"/>
                <w:sz w:val="28"/>
                <w:szCs w:val="28"/>
                <w:shd w:val="clear" w:color="auto" w:fill="C6D9F1" w:themeFill="text2" w:themeFillTint="33"/>
                <w:rtl/>
              </w:rPr>
              <w:t>استخدام تحليلات الويبو الاقتصادية في صياغة السياسات العامة على نطاق أوسع ونحو أفضل</w:t>
            </w:r>
          </w:p>
        </w:tc>
      </w:tr>
      <w:tr w:rsidR="00B31868" w:rsidRPr="00211D55" w:rsidTr="00CC7567">
        <w:trPr>
          <w:cantSplit/>
        </w:trPr>
        <w:tc>
          <w:tcPr>
            <w:tcW w:w="1048"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مؤشرات الأداء</w:t>
            </w:r>
          </w:p>
        </w:tc>
        <w:tc>
          <w:tcPr>
            <w:tcW w:w="1375"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rPr>
              <w:t>أسس المقارنة</w:t>
            </w:r>
          </w:p>
        </w:tc>
        <w:tc>
          <w:tcPr>
            <w:tcW w:w="686"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435" w:type="pct"/>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456"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B31868" w:rsidRPr="00211D55" w:rsidTr="00CC7567">
        <w:trPr>
          <w:cantSplit/>
        </w:trPr>
        <w:tc>
          <w:tcPr>
            <w:tcW w:w="1048"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عدد مرات تنزيل المنشورات الاقتصادية الرئيسية</w:t>
            </w:r>
          </w:p>
        </w:tc>
        <w:tc>
          <w:tcPr>
            <w:tcW w:w="1375"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تُحدَّد في نهاية 2013</w:t>
            </w:r>
          </w:p>
        </w:tc>
        <w:tc>
          <w:tcPr>
            <w:tcW w:w="686" w:type="pct"/>
            <w:shd w:val="clear" w:color="auto" w:fill="auto"/>
            <w:tcMar>
              <w:top w:w="110" w:type="dxa"/>
            </w:tcMar>
          </w:tcPr>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20% زيادة على مدار الثنائية </w:t>
            </w:r>
            <w:r w:rsidR="00507DE2">
              <w:rPr>
                <w:rFonts w:ascii="Arabic Typesetting" w:hAnsi="Arabic Typesetting" w:cs="Arabic Typesetting"/>
                <w:sz w:val="28"/>
                <w:szCs w:val="28"/>
                <w:rtl/>
              </w:rPr>
              <w:t>2012/13</w:t>
            </w:r>
          </w:p>
        </w:tc>
        <w:tc>
          <w:tcPr>
            <w:tcW w:w="1435" w:type="pct"/>
            <w:shd w:val="clear" w:color="auto" w:fill="FFFFFF"/>
            <w:tcMar>
              <w:top w:w="110" w:type="dxa"/>
            </w:tcMar>
          </w:tcPr>
          <w:p w:rsidR="00AF7BBE" w:rsidRPr="00211D55" w:rsidRDefault="00AF7BBE"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إن أحدث طبعتين من مؤشر الابتكار العالمي (2014 و2015) خلال الثنائية </w:t>
            </w:r>
            <w:r w:rsidR="00507DE2">
              <w:rPr>
                <w:rFonts w:ascii="Arabic Typesetting" w:hAnsi="Arabic Typesetting" w:cs="Arabic Typesetting"/>
                <w:sz w:val="28"/>
                <w:szCs w:val="28"/>
                <w:rtl/>
              </w:rPr>
              <w:t>2014/15</w:t>
            </w:r>
          </w:p>
          <w:p w:rsidR="00AF7BBE" w:rsidRPr="00211D55" w:rsidRDefault="00AF7BBE" w:rsidP="009A3712">
            <w:pPr>
              <w:numPr>
                <w:ilvl w:val="0"/>
                <w:numId w:val="17"/>
              </w:num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قد نزلتا 161 123 مرة من الصفحة الإلكترونية للمؤشر التي زارها 368 50 زائراً </w:t>
            </w:r>
            <w:r w:rsidR="00FB2BCA">
              <w:rPr>
                <w:rFonts w:ascii="Arabic Typesetting" w:hAnsi="Arabic Typesetting" w:cs="Arabic Typesetting" w:hint="cs"/>
                <w:sz w:val="28"/>
                <w:szCs w:val="28"/>
                <w:rtl/>
              </w:rPr>
              <w:t>متفرداً</w:t>
            </w:r>
            <w:r w:rsidRPr="00211D55">
              <w:rPr>
                <w:rFonts w:ascii="Arabic Typesetting" w:hAnsi="Arabic Typesetting" w:cs="Arabic Typesetting"/>
                <w:sz w:val="28"/>
                <w:szCs w:val="28"/>
                <w:rtl/>
              </w:rPr>
              <w:t>.</w:t>
            </w:r>
            <w:r w:rsidRPr="00F96634">
              <w:rPr>
                <w:rFonts w:ascii="Arabic Typesetting" w:hAnsi="Arabic Typesetting" w:cs="Arabic Typesetting"/>
                <w:sz w:val="28"/>
                <w:szCs w:val="28"/>
                <w:vertAlign w:val="superscript"/>
                <w:rtl/>
              </w:rPr>
              <w:footnoteReference w:id="94"/>
            </w:r>
          </w:p>
          <w:p w:rsidR="00AF7BBE" w:rsidRPr="00211D55" w:rsidRDefault="00AF7BBE" w:rsidP="009A3712">
            <w:pPr>
              <w:numPr>
                <w:ilvl w:val="0"/>
                <w:numId w:val="17"/>
              </w:num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قد نزلتا 943 13 من الصفحة الإلكترونية للمؤشر التي زارها 283 300 زائراً </w:t>
            </w:r>
            <w:r w:rsidR="00FB2BCA">
              <w:rPr>
                <w:rFonts w:ascii="Arabic Typesetting" w:hAnsi="Arabic Typesetting" w:cs="Arabic Typesetting" w:hint="cs"/>
                <w:sz w:val="28"/>
                <w:szCs w:val="28"/>
                <w:rtl/>
              </w:rPr>
              <w:t>متفرداً</w:t>
            </w:r>
            <w:r w:rsidRPr="00211D55">
              <w:rPr>
                <w:rFonts w:ascii="Arabic Typesetting" w:hAnsi="Arabic Typesetting" w:cs="Arabic Typesetting"/>
                <w:sz w:val="28"/>
                <w:szCs w:val="28"/>
                <w:rtl/>
              </w:rPr>
              <w:t>.</w:t>
            </w:r>
            <w:r w:rsidRPr="00F96634">
              <w:rPr>
                <w:rFonts w:ascii="Arabic Typesetting" w:hAnsi="Arabic Typesetting" w:cs="Arabic Typesetting"/>
                <w:sz w:val="28"/>
                <w:szCs w:val="28"/>
                <w:vertAlign w:val="superscript"/>
                <w:rtl/>
              </w:rPr>
              <w:footnoteReference w:id="95"/>
            </w:r>
          </w:p>
          <w:p w:rsidR="00B31868" w:rsidRPr="00211D55" w:rsidRDefault="00AF7BBE"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خلال الثنائية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نزلت أحدث نسخة من التقرير العالمي للملكية الفكرية</w:t>
            </w:r>
            <w:r w:rsidRPr="00211D55" w:rsidDel="00AF7BBE">
              <w:rPr>
                <w:rFonts w:ascii="Arabic Typesetting" w:hAnsi="Arabic Typesetting" w:cs="Arabic Typesetting"/>
                <w:sz w:val="28"/>
                <w:szCs w:val="28"/>
                <w:rtl/>
              </w:rPr>
              <w:t xml:space="preserve"> </w:t>
            </w:r>
            <w:r w:rsidRPr="00211D55">
              <w:rPr>
                <w:rFonts w:ascii="Arabic Typesetting" w:hAnsi="Arabic Typesetting" w:cs="Arabic Typesetting"/>
                <w:sz w:val="28"/>
                <w:szCs w:val="28"/>
                <w:rtl/>
              </w:rPr>
              <w:t>(2015) (</w:t>
            </w:r>
            <w:r w:rsidRPr="00211D55">
              <w:rPr>
                <w:rFonts w:ascii="Arabic Typesetting" w:hAnsi="Arabic Typesetting" w:cs="Arabic Typesetting"/>
                <w:sz w:val="28"/>
                <w:szCs w:val="28"/>
              </w:rPr>
              <w:t>944E</w:t>
            </w:r>
            <w:r w:rsidRPr="00211D55">
              <w:rPr>
                <w:rFonts w:ascii="Arabic Typesetting" w:hAnsi="Arabic Typesetting" w:cs="Arabic Typesetting"/>
                <w:sz w:val="28"/>
                <w:szCs w:val="28"/>
                <w:rtl/>
              </w:rPr>
              <w:t>) 218 16 مرة من تاريخ النشر أي 11 نوفمبر 2015 إلى نهاية 2015.</w:t>
            </w:r>
          </w:p>
        </w:tc>
        <w:tc>
          <w:tcPr>
            <w:tcW w:w="456" w:type="pct"/>
            <w:shd w:val="clear" w:color="auto" w:fill="auto"/>
            <w:tcMar>
              <w:top w:w="110" w:type="dxa"/>
            </w:tcMar>
          </w:tcPr>
          <w:p w:rsidR="00B31868" w:rsidRPr="00211D55" w:rsidRDefault="00AF7BBE" w:rsidP="00086C3F">
            <w:pPr>
              <w:bidi/>
              <w:spacing w:before="60" w:after="60" w:line="280" w:lineRule="exact"/>
              <w:jc w:val="center"/>
              <w:rPr>
                <w:rFonts w:ascii="Arabic Typesetting" w:hAnsi="Arabic Typesetting" w:cs="Arabic Typesetting"/>
                <w:b/>
                <w:bCs/>
                <w:color w:val="808080"/>
                <w:sz w:val="28"/>
                <w:szCs w:val="28"/>
                <w:rtl/>
              </w:rPr>
            </w:pPr>
            <w:r w:rsidRPr="00211D55">
              <w:rPr>
                <w:rFonts w:ascii="Arabic Typesetting" w:hAnsi="Arabic Typesetting" w:cs="Arabic Typesetting"/>
                <w:b/>
                <w:bCs/>
                <w:color w:val="808080"/>
                <w:sz w:val="28"/>
                <w:szCs w:val="28"/>
                <w:rtl/>
              </w:rPr>
              <w:t>غير قابل للقياس</w:t>
            </w:r>
          </w:p>
          <w:p w:rsidR="00AF7BBE" w:rsidRPr="00211D55" w:rsidRDefault="00AF7BBE" w:rsidP="00086C3F">
            <w:pPr>
              <w:bidi/>
              <w:spacing w:before="2640" w:after="60" w:line="280" w:lineRule="exact"/>
              <w:jc w:val="center"/>
              <w:rPr>
                <w:rFonts w:ascii="Arabic Typesetting" w:hAnsi="Arabic Typesetting" w:cs="Arabic Typesetting"/>
                <w:bCs/>
                <w:color w:val="595959" w:themeColor="text1" w:themeTint="A6"/>
                <w:sz w:val="28"/>
                <w:szCs w:val="28"/>
              </w:rPr>
            </w:pPr>
            <w:r w:rsidRPr="00211D55">
              <w:rPr>
                <w:rFonts w:ascii="Arabic Typesetting" w:hAnsi="Arabic Typesetting" w:cs="Arabic Typesetting"/>
                <w:b/>
                <w:bCs/>
                <w:color w:val="808080"/>
                <w:sz w:val="28"/>
                <w:szCs w:val="28"/>
                <w:rtl/>
              </w:rPr>
              <w:t>غير قابل للقياس</w:t>
            </w:r>
          </w:p>
        </w:tc>
      </w:tr>
      <w:tr w:rsidR="00B31868" w:rsidRPr="00211D55" w:rsidTr="00CC7567">
        <w:trPr>
          <w:cantSplit/>
        </w:trPr>
        <w:tc>
          <w:tcPr>
            <w:tcW w:w="1048"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عدد مرات </w:t>
            </w:r>
            <w:r w:rsidR="00B1424D">
              <w:rPr>
                <w:rFonts w:ascii="Arabic Typesetting" w:hAnsi="Arabic Typesetting" w:cs="Arabic Typesetting"/>
                <w:sz w:val="28"/>
                <w:szCs w:val="28"/>
                <w:rtl/>
              </w:rPr>
              <w:t>تنزيل</w:t>
            </w:r>
            <w:r w:rsidRPr="00211D55">
              <w:rPr>
                <w:rFonts w:ascii="Arabic Typesetting" w:hAnsi="Arabic Typesetting" w:cs="Arabic Typesetting"/>
                <w:sz w:val="28"/>
                <w:szCs w:val="28"/>
                <w:rtl/>
              </w:rPr>
              <w:t xml:space="preserve"> الدراسات</w:t>
            </w:r>
          </w:p>
        </w:tc>
        <w:tc>
          <w:tcPr>
            <w:tcW w:w="1375" w:type="pct"/>
            <w:shd w:val="clear" w:color="auto" w:fill="auto"/>
          </w:tcPr>
          <w:p w:rsidR="00B31868" w:rsidRPr="00211D55" w:rsidRDefault="00B31868" w:rsidP="00086C3F">
            <w:pPr>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rPr>
              <w:t xml:space="preserve">أساس المقارنة المحدَّث في نهاية 2013: </w:t>
            </w:r>
            <w:r w:rsidRPr="00211D55">
              <w:rPr>
                <w:rFonts w:ascii="Arabic Typesetting" w:hAnsi="Arabic Typesetting" w:cs="Arabic Typesetting"/>
                <w:color w:val="002060"/>
                <w:sz w:val="28"/>
                <w:szCs w:val="28"/>
                <w:rtl/>
              </w:rPr>
              <w:t>نُشرت 7 ورقات عمل في عام 2013</w:t>
            </w:r>
          </w:p>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يُحدَّد في نهاية 2013</w:t>
            </w:r>
          </w:p>
        </w:tc>
        <w:tc>
          <w:tcPr>
            <w:tcW w:w="686" w:type="pct"/>
            <w:shd w:val="clear" w:color="auto" w:fill="auto"/>
            <w:tcMar>
              <w:top w:w="110" w:type="dxa"/>
            </w:tcMar>
          </w:tcPr>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ثماني ورقات عمل جديدة</w:t>
            </w:r>
          </w:p>
        </w:tc>
        <w:tc>
          <w:tcPr>
            <w:tcW w:w="1435" w:type="pct"/>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نُشرت 11 ورقة عمل في عام 2014</w:t>
            </w:r>
            <w:r w:rsidR="00AF7BBE" w:rsidRPr="00211D55">
              <w:rPr>
                <w:rFonts w:ascii="Arabic Typesetting" w:hAnsi="Arabic Typesetting" w:cs="Arabic Typesetting"/>
                <w:sz w:val="28"/>
                <w:szCs w:val="28"/>
                <w:rtl/>
              </w:rPr>
              <w:t>؛ و6 أوراق عمل في عام 2015</w:t>
            </w:r>
          </w:p>
        </w:tc>
        <w:tc>
          <w:tcPr>
            <w:tcW w:w="456" w:type="pct"/>
            <w:shd w:val="clear" w:color="auto" w:fill="auto"/>
            <w:tcMar>
              <w:top w:w="110" w:type="dxa"/>
            </w:tcMar>
          </w:tcPr>
          <w:p w:rsidR="00B31868" w:rsidRPr="00211D55" w:rsidRDefault="00AF7BBE" w:rsidP="00086C3F">
            <w:pPr>
              <w:bidi/>
              <w:spacing w:before="60" w:after="60" w:line="280" w:lineRule="exact"/>
              <w:jc w:val="center"/>
              <w:rPr>
                <w:rFonts w:ascii="Arabic Typesetting" w:hAnsi="Arabic Typesetting" w:cs="Arabic Typesetting"/>
                <w:bCs/>
                <w:color w:val="595959" w:themeColor="text1" w:themeTint="A6"/>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CC7567">
        <w:trPr>
          <w:cantSplit/>
        </w:trPr>
        <w:tc>
          <w:tcPr>
            <w:tcW w:w="1048"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عدد مرات تنزيل الحلقات الدراسية</w:t>
            </w:r>
          </w:p>
        </w:tc>
        <w:tc>
          <w:tcPr>
            <w:tcW w:w="1375" w:type="pct"/>
            <w:shd w:val="clear" w:color="auto" w:fill="auto"/>
          </w:tcPr>
          <w:p w:rsidR="00B31868" w:rsidRPr="00211D55" w:rsidRDefault="00B31868" w:rsidP="00086C3F">
            <w:pPr>
              <w:bidi/>
              <w:spacing w:before="60" w:after="60" w:line="280" w:lineRule="exact"/>
              <w:rPr>
                <w:rFonts w:ascii="Arabic Typesetting" w:hAnsi="Arabic Typesetting" w:cs="Arabic Typesetting"/>
                <w:i/>
                <w:color w:val="002060"/>
                <w:sz w:val="28"/>
                <w:szCs w:val="28"/>
                <w:rtl/>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Cs/>
                <w:color w:val="002060"/>
                <w:sz w:val="28"/>
                <w:szCs w:val="28"/>
                <w:rtl/>
                <w:lang w:bidi="ar-EG"/>
              </w:rPr>
              <w:t>:</w:t>
            </w:r>
            <w:r w:rsidRPr="00211D55">
              <w:rPr>
                <w:rFonts w:ascii="Arabic Typesetting" w:hAnsi="Arabic Typesetting" w:cs="Arabic Typesetting"/>
                <w:i/>
                <w:color w:val="002060"/>
                <w:sz w:val="28"/>
                <w:szCs w:val="28"/>
                <w:rtl/>
                <w:lang w:bidi="ar-EG"/>
              </w:rPr>
              <w:t xml:space="preserve"> </w:t>
            </w:r>
            <w:r w:rsidRPr="00211D55">
              <w:rPr>
                <w:rFonts w:ascii="Arabic Typesetting" w:hAnsi="Arabic Typesetting" w:cs="Arabic Typesetting"/>
                <w:color w:val="002060"/>
                <w:sz w:val="28"/>
                <w:szCs w:val="28"/>
                <w:rtl/>
                <w:lang w:bidi="ar-EG"/>
              </w:rPr>
              <w:t>لا ينطبق</w:t>
            </w:r>
          </w:p>
          <w:p w:rsidR="00B31868" w:rsidRPr="00211D55" w:rsidRDefault="00B31868" w:rsidP="00086C3F">
            <w:pPr>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يُحدَّد في نهاية 2013</w:t>
            </w:r>
          </w:p>
        </w:tc>
        <w:tc>
          <w:tcPr>
            <w:tcW w:w="686" w:type="pct"/>
            <w:shd w:val="clear" w:color="auto" w:fill="auto"/>
            <w:tcMar>
              <w:top w:w="110" w:type="dxa"/>
            </w:tcMar>
          </w:tcPr>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الحفاظ على الأداء كما كان في الثنائية السابقة</w:t>
            </w:r>
          </w:p>
        </w:tc>
        <w:tc>
          <w:tcPr>
            <w:tcW w:w="1435" w:type="pct"/>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البيانات غير متوفرة</w:t>
            </w:r>
          </w:p>
        </w:tc>
        <w:tc>
          <w:tcPr>
            <w:tcW w:w="456" w:type="pct"/>
            <w:shd w:val="clear" w:color="auto" w:fill="auto"/>
            <w:tcMar>
              <w:top w:w="110" w:type="dxa"/>
            </w:tcMar>
          </w:tcPr>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lang w:bidi="ar-EG"/>
              </w:rPr>
            </w:pPr>
            <w:r w:rsidRPr="00211D55">
              <w:rPr>
                <w:rFonts w:ascii="Arabic Typesetting" w:hAnsi="Arabic Typesetting" w:cs="Arabic Typesetting"/>
                <w:b/>
                <w:bCs/>
                <w:sz w:val="28"/>
                <w:szCs w:val="28"/>
                <w:rtl/>
              </w:rPr>
              <w:t>توقّف</w:t>
            </w:r>
          </w:p>
        </w:tc>
      </w:tr>
    </w:tbl>
    <w:p w:rsidR="00AF7BBE"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AF7BBE" w:rsidRPr="00211D55" w:rsidTr="00F22FCF">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AF7BBE" w:rsidRPr="00211D55" w:rsidRDefault="00AF7BB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AF7BBE" w:rsidRPr="00211D55" w:rsidRDefault="00AF7BB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AF7BBE" w:rsidRPr="00211D55" w:rsidRDefault="00AF7BB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AF7BBE"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AF7BBE" w:rsidRPr="00211D55" w:rsidTr="00211D55">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AF7BBE" w:rsidRPr="007A7336" w:rsidRDefault="00AF7BBE"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 xml:space="preserve">الدول الأعضاء </w:t>
            </w:r>
            <w:r w:rsidRPr="007A7336">
              <w:rPr>
                <w:rFonts w:ascii="Arabic Typesetting" w:hAnsi="Arabic Typesetting" w:cs="Arabic Typesetting"/>
                <w:sz w:val="28"/>
                <w:szCs w:val="28"/>
                <w:rtl/>
                <w:lang w:bidi="ar-EG"/>
              </w:rPr>
              <w:t>ليست في وضع</w:t>
            </w:r>
            <w:r w:rsidR="00AC687C" w:rsidRPr="007A7336">
              <w:rPr>
                <w:rFonts w:ascii="Arabic Typesetting" w:hAnsi="Arabic Typesetting" w:cs="Arabic Typesetting" w:hint="cs"/>
                <w:sz w:val="28"/>
                <w:szCs w:val="28"/>
                <w:rtl/>
                <w:lang w:bidi="ar-EG"/>
              </w:rPr>
              <w:t xml:space="preserve"> ي</w:t>
            </w:r>
            <w:r w:rsidRPr="007A7336">
              <w:rPr>
                <w:rFonts w:ascii="Arabic Typesetting" w:hAnsi="Arabic Typesetting" w:cs="Arabic Typesetting"/>
                <w:sz w:val="28"/>
                <w:szCs w:val="28"/>
                <w:rtl/>
                <w:lang w:bidi="ar-EG"/>
              </w:rPr>
              <w:t xml:space="preserve">مكنها من </w:t>
            </w:r>
            <w:r w:rsidRPr="007A7336">
              <w:rPr>
                <w:rFonts w:ascii="Arabic Typesetting" w:hAnsi="Arabic Typesetting" w:cs="Arabic Typesetting" w:hint="cs"/>
                <w:sz w:val="28"/>
                <w:szCs w:val="28"/>
                <w:rtl/>
                <w:lang w:bidi="ar-EG"/>
              </w:rPr>
              <w:t xml:space="preserve">استيفاء نماذج </w:t>
            </w:r>
            <w:r w:rsidRPr="007A7336">
              <w:rPr>
                <w:rFonts w:ascii="Arabic Typesetting" w:hAnsi="Arabic Typesetting" w:cs="Arabic Typesetting"/>
                <w:sz w:val="28"/>
                <w:szCs w:val="28"/>
                <w:rtl/>
                <w:lang w:bidi="ar-EG"/>
              </w:rPr>
              <w:t>المسح الإحصائي الذي تجريه الويبو، أو تتأخر في تسليم هذا</w:t>
            </w:r>
            <w:r w:rsidRPr="007A7336">
              <w:rPr>
                <w:rFonts w:ascii="Arabic Typesetting" w:hAnsi="Arabic Typesetting" w:cs="Arabic Typesetting" w:hint="cs"/>
                <w:sz w:val="28"/>
                <w:szCs w:val="28"/>
                <w:rtl/>
                <w:lang w:bidi="ar-EG"/>
              </w:rPr>
              <w:t xml:space="preserve"> الرد.</w:t>
            </w:r>
          </w:p>
        </w:tc>
        <w:tc>
          <w:tcPr>
            <w:tcW w:w="2200" w:type="dxa"/>
            <w:tcBorders>
              <w:top w:val="single" w:sz="4" w:space="0" w:color="auto"/>
              <w:bottom w:val="single" w:sz="4" w:space="0" w:color="auto"/>
            </w:tcBorders>
            <w:shd w:val="clear" w:color="auto" w:fill="auto"/>
            <w:tcMar>
              <w:top w:w="113" w:type="dxa"/>
              <w:bottom w:w="113" w:type="dxa"/>
            </w:tcMar>
          </w:tcPr>
          <w:p w:rsidR="00AF7BBE" w:rsidRPr="007A7336" w:rsidRDefault="00AF7BBE"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sz w:val="28"/>
                <w:szCs w:val="28"/>
                <w:rtl/>
                <w:lang w:bidi="ar-EG"/>
              </w:rPr>
              <w:t>إرسال الاستبيانات الإحصائية مبكراً في بداية العام (</w:t>
            </w:r>
            <w:r w:rsidR="00AD2E68" w:rsidRPr="007A7336">
              <w:rPr>
                <w:rFonts w:ascii="Arabic Typesetting" w:hAnsi="Arabic Typesetting" w:cs="Arabic Typesetting" w:hint="cs"/>
                <w:sz w:val="28"/>
                <w:szCs w:val="28"/>
                <w:rtl/>
                <w:lang w:bidi="ar-EG"/>
              </w:rPr>
              <w:t>بحلول</w:t>
            </w:r>
            <w:r w:rsidRPr="007A7336">
              <w:rPr>
                <w:rFonts w:ascii="Arabic Typesetting" w:hAnsi="Arabic Typesetting" w:cs="Arabic Typesetting"/>
                <w:sz w:val="28"/>
                <w:szCs w:val="28"/>
                <w:rtl/>
                <w:lang w:bidi="ar-EG"/>
              </w:rPr>
              <w:t xml:space="preserve"> شهر فبراير)؛ </w:t>
            </w:r>
            <w:r w:rsidRPr="007A7336">
              <w:rPr>
                <w:rFonts w:ascii="Arabic Typesetting" w:hAnsi="Arabic Typesetting" w:cs="Arabic Typesetting" w:hint="cs"/>
                <w:sz w:val="28"/>
                <w:szCs w:val="28"/>
                <w:rtl/>
                <w:lang w:bidi="ar-EG"/>
              </w:rPr>
              <w:t>و</w:t>
            </w:r>
            <w:r w:rsidRPr="007A7336">
              <w:rPr>
                <w:rFonts w:ascii="Arabic Typesetting" w:hAnsi="Arabic Typesetting" w:cs="Arabic Typesetting"/>
                <w:sz w:val="28"/>
                <w:szCs w:val="28"/>
                <w:rtl/>
                <w:lang w:bidi="ar-EG"/>
              </w:rPr>
              <w:t xml:space="preserve">الاحتفاظ بقائمة بجهات الاتصال الإحصائية في مكاتب الملكية الفكرية الوطنية لمتابعة الاتصالات؛ </w:t>
            </w:r>
            <w:r w:rsidRPr="007A7336">
              <w:rPr>
                <w:rFonts w:ascii="Arabic Typesetting" w:hAnsi="Arabic Typesetting" w:cs="Arabic Typesetting" w:hint="cs"/>
                <w:sz w:val="28"/>
                <w:szCs w:val="28"/>
                <w:rtl/>
                <w:lang w:bidi="ar-EG"/>
              </w:rPr>
              <w:t>وتخصيص</w:t>
            </w:r>
            <w:r w:rsidRPr="007A7336">
              <w:rPr>
                <w:rFonts w:ascii="Arabic Typesetting" w:hAnsi="Arabic Typesetting" w:cs="Arabic Typesetting"/>
                <w:sz w:val="28"/>
                <w:szCs w:val="28"/>
                <w:rtl/>
                <w:lang w:bidi="ar-EG"/>
              </w:rPr>
              <w:t xml:space="preserve"> موارد كافية لمتابعة</w:t>
            </w:r>
            <w:r w:rsidRPr="007A7336">
              <w:rPr>
                <w:rFonts w:ascii="Arabic Typesetting" w:hAnsi="Arabic Typesetting" w:cs="Arabic Typesetting" w:hint="cs"/>
                <w:sz w:val="28"/>
                <w:szCs w:val="28"/>
                <w:rtl/>
                <w:lang w:bidi="ar-EG"/>
              </w:rPr>
              <w:t xml:space="preserve"> الاتصالات.</w:t>
            </w:r>
          </w:p>
        </w:tc>
        <w:tc>
          <w:tcPr>
            <w:tcW w:w="2310" w:type="dxa"/>
            <w:tcBorders>
              <w:top w:val="single" w:sz="4" w:space="0" w:color="auto"/>
              <w:bottom w:val="single" w:sz="4" w:space="0" w:color="auto"/>
            </w:tcBorders>
          </w:tcPr>
          <w:p w:rsidR="00AF7BBE" w:rsidRPr="007A7336" w:rsidRDefault="00AC687C"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هذا الخطر متواصل ولكنه يواجه ويدار عن طريق خطط مكثفة للتخفيف من وطأته كما ذُكر</w:t>
            </w:r>
            <w:r w:rsidR="00AD2E68" w:rsidRPr="007A7336">
              <w:rPr>
                <w:rFonts w:ascii="Arabic Typesetting" w:hAnsi="Arabic Typesetting" w:cs="Arabic Typesetting" w:hint="cs"/>
                <w:sz w:val="28"/>
                <w:szCs w:val="28"/>
                <w:rtl/>
                <w:lang w:bidi="ar-EG"/>
              </w:rPr>
              <w:t xml:space="preserve"> آنفاً</w:t>
            </w:r>
            <w:r w:rsidRPr="007A7336">
              <w:rPr>
                <w:rFonts w:ascii="Arabic Typesetting" w:hAnsi="Arabic Typesetting" w:cs="Arabic Typesetting" w:hint="cs"/>
                <w:sz w:val="28"/>
                <w:szCs w:val="28"/>
                <w:rtl/>
                <w:lang w:bidi="ar-EG"/>
              </w:rPr>
              <w:t>. ونتيجة لذلك توسعت تغطية الاستبيانات الإحصائية خلال الثنائية.</w:t>
            </w:r>
          </w:p>
        </w:tc>
        <w:tc>
          <w:tcPr>
            <w:tcW w:w="2306" w:type="dxa"/>
            <w:tcBorders>
              <w:top w:val="single" w:sz="4" w:space="0" w:color="auto"/>
              <w:bottom w:val="single" w:sz="4" w:space="0" w:color="auto"/>
              <w:right w:val="single" w:sz="4" w:space="0" w:color="auto"/>
            </w:tcBorders>
          </w:tcPr>
          <w:p w:rsidR="00AF7BBE" w:rsidRPr="007A7336" w:rsidRDefault="00AC687C"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تأخر إرسال البيانات الإحصائية في بضع الحالات ولكن لم يؤثر ذلك تأثيراً كبيراً على المنتجات الإحصائية الرئيسية للبرنامج.</w:t>
            </w:r>
          </w:p>
        </w:tc>
      </w:tr>
      <w:tr w:rsidR="00AC687C" w:rsidRPr="00211D55" w:rsidTr="00211D55">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AC687C" w:rsidRPr="007A7336" w:rsidRDefault="00AC687C" w:rsidP="007A7336">
            <w:pPr>
              <w:bidi/>
              <w:spacing w:before="60" w:after="60" w:line="280" w:lineRule="exact"/>
              <w:rPr>
                <w:rFonts w:ascii="Arabic Typesetting" w:hAnsi="Arabic Typesetting" w:cs="Arabic Typesetting"/>
                <w:sz w:val="28"/>
                <w:szCs w:val="28"/>
                <w:rtl/>
                <w:lang w:bidi="ar-EG"/>
              </w:rPr>
            </w:pPr>
            <w:r w:rsidRPr="007A7336">
              <w:rPr>
                <w:rFonts w:ascii="Arabic Typesetting" w:hAnsi="Arabic Typesetting" w:cs="Arabic Typesetting" w:hint="cs"/>
                <w:sz w:val="28"/>
                <w:szCs w:val="28"/>
                <w:rtl/>
                <w:lang w:bidi="ar-EG"/>
              </w:rPr>
              <w:lastRenderedPageBreak/>
              <w:t xml:space="preserve">تحتوي </w:t>
            </w:r>
            <w:r w:rsidRPr="007A7336">
              <w:rPr>
                <w:rFonts w:ascii="Arabic Typesetting" w:hAnsi="Arabic Typesetting" w:cs="Arabic Typesetting"/>
                <w:sz w:val="28"/>
                <w:szCs w:val="28"/>
                <w:rtl/>
                <w:lang w:bidi="ar-EG"/>
              </w:rPr>
              <w:t xml:space="preserve">منشورات الويبو </w:t>
            </w:r>
            <w:r w:rsidRPr="007A7336">
              <w:rPr>
                <w:rFonts w:ascii="Arabic Typesetting" w:hAnsi="Arabic Typesetting" w:cs="Arabic Typesetting" w:hint="cs"/>
                <w:sz w:val="28"/>
                <w:szCs w:val="28"/>
                <w:rtl/>
                <w:lang w:bidi="ar-EG"/>
              </w:rPr>
              <w:t xml:space="preserve">على </w:t>
            </w:r>
            <w:r w:rsidRPr="007A7336">
              <w:rPr>
                <w:rFonts w:ascii="Arabic Typesetting" w:hAnsi="Arabic Typesetting" w:cs="Arabic Typesetting"/>
                <w:sz w:val="28"/>
                <w:szCs w:val="28"/>
                <w:rtl/>
                <w:lang w:bidi="ar-EG"/>
              </w:rPr>
              <w:t xml:space="preserve">بيانات إحصائية غير دقيقة أو </w:t>
            </w:r>
            <w:r w:rsidR="00AD2E68" w:rsidRPr="007A7336">
              <w:rPr>
                <w:rFonts w:ascii="Arabic Typesetting" w:hAnsi="Arabic Typesetting" w:cs="Arabic Typesetting" w:hint="cs"/>
                <w:sz w:val="28"/>
                <w:szCs w:val="28"/>
                <w:rtl/>
                <w:lang w:bidi="ar-EG"/>
              </w:rPr>
              <w:t xml:space="preserve">على </w:t>
            </w:r>
            <w:r w:rsidRPr="007A7336">
              <w:rPr>
                <w:rFonts w:ascii="Arabic Typesetting" w:hAnsi="Arabic Typesetting" w:cs="Arabic Typesetting"/>
                <w:sz w:val="28"/>
                <w:szCs w:val="28"/>
                <w:rtl/>
                <w:lang w:bidi="ar-EG"/>
              </w:rPr>
              <w:t>أخطاء</w:t>
            </w:r>
            <w:r w:rsidRPr="007A7336">
              <w:rPr>
                <w:rFonts w:ascii="Arabic Typesetting" w:hAnsi="Arabic Typesetting" w:cs="Arabic Typesetting" w:hint="cs"/>
                <w:sz w:val="28"/>
                <w:szCs w:val="28"/>
                <w:rtl/>
                <w:lang w:bidi="ar-EG"/>
              </w:rPr>
              <w:t xml:space="preserve"> تحليلية</w:t>
            </w:r>
            <w:r w:rsidR="00AD2E68" w:rsidRPr="007A7336">
              <w:rPr>
                <w:rFonts w:ascii="Arabic Typesetting" w:hAnsi="Arabic Typesetting" w:cs="Arabic Typesetting" w:hint="cs"/>
                <w:sz w:val="28"/>
                <w:szCs w:val="28"/>
                <w:rtl/>
                <w:lang w:bidi="ar-EG"/>
              </w:rPr>
              <w:t>.</w:t>
            </w:r>
          </w:p>
        </w:tc>
        <w:tc>
          <w:tcPr>
            <w:tcW w:w="2200" w:type="dxa"/>
            <w:tcBorders>
              <w:top w:val="single" w:sz="4" w:space="0" w:color="auto"/>
              <w:bottom w:val="single" w:sz="4" w:space="0" w:color="auto"/>
            </w:tcBorders>
            <w:shd w:val="clear" w:color="auto" w:fill="auto"/>
            <w:tcMar>
              <w:top w:w="113" w:type="dxa"/>
              <w:bottom w:w="113" w:type="dxa"/>
            </w:tcMar>
          </w:tcPr>
          <w:p w:rsidR="00AC687C" w:rsidRPr="007A7336" w:rsidRDefault="00AC687C" w:rsidP="007A7336">
            <w:pPr>
              <w:bidi/>
              <w:spacing w:before="60" w:after="60" w:line="280" w:lineRule="exact"/>
              <w:rPr>
                <w:rFonts w:ascii="Arabic Typesetting" w:hAnsi="Arabic Typesetting" w:cs="Arabic Typesetting"/>
                <w:sz w:val="28"/>
                <w:szCs w:val="28"/>
                <w:rtl/>
                <w:lang w:bidi="ar-EG"/>
              </w:rPr>
            </w:pPr>
            <w:r w:rsidRPr="007A7336">
              <w:rPr>
                <w:rFonts w:ascii="Arabic Typesetting" w:hAnsi="Arabic Typesetting" w:cs="Arabic Typesetting" w:hint="cs"/>
                <w:sz w:val="28"/>
                <w:szCs w:val="28"/>
                <w:rtl/>
                <w:lang w:bidi="ar-EG"/>
              </w:rPr>
              <w:t xml:space="preserve">إنشاء </w:t>
            </w:r>
            <w:r w:rsidRPr="007A7336">
              <w:rPr>
                <w:rFonts w:ascii="Arabic Typesetting" w:hAnsi="Arabic Typesetting" w:cs="Arabic Typesetting"/>
                <w:sz w:val="28"/>
                <w:szCs w:val="28"/>
                <w:rtl/>
                <w:lang w:bidi="ar-EG"/>
              </w:rPr>
              <w:t xml:space="preserve">آليات للمراقبة يكون من شأنها تحديد حالات عدم اتساق البيانات أثناء مرحلة جمع إحصاءات الملكية الفكرية؛ مراجعة جميع المنشورات الإحصائية بعناية بواسطة خبراء الإحصاء وقطاعات الويبو ذات الصلة؛ </w:t>
            </w:r>
            <w:r w:rsidR="00FF6902" w:rsidRPr="007A7336">
              <w:rPr>
                <w:rFonts w:ascii="Arabic Typesetting" w:hAnsi="Arabic Typesetting" w:cs="Arabic Typesetting" w:hint="cs"/>
                <w:sz w:val="28"/>
                <w:szCs w:val="28"/>
                <w:rtl/>
                <w:lang w:bidi="ar-EG"/>
              </w:rPr>
              <w:t>تولي نظراء خارجيين مراجعة</w:t>
            </w:r>
            <w:r w:rsidRPr="007A7336">
              <w:rPr>
                <w:rFonts w:ascii="Arabic Typesetting" w:hAnsi="Arabic Typesetting" w:cs="Arabic Typesetting"/>
                <w:sz w:val="28"/>
                <w:szCs w:val="28"/>
                <w:rtl/>
                <w:lang w:bidi="ar-EG"/>
              </w:rPr>
              <w:t xml:space="preserve"> جميع المنشورات التحليلية</w:t>
            </w:r>
            <w:r w:rsidR="00FF6902" w:rsidRPr="007A7336">
              <w:rPr>
                <w:rFonts w:ascii="Arabic Typesetting" w:hAnsi="Arabic Typesetting" w:cs="Arabic Typesetting" w:hint="cs"/>
                <w:sz w:val="28"/>
                <w:szCs w:val="28"/>
                <w:rtl/>
                <w:lang w:bidi="ar-EG"/>
              </w:rPr>
              <w:t>.</w:t>
            </w:r>
          </w:p>
        </w:tc>
        <w:tc>
          <w:tcPr>
            <w:tcW w:w="2310" w:type="dxa"/>
            <w:tcBorders>
              <w:top w:val="single" w:sz="4" w:space="0" w:color="auto"/>
              <w:bottom w:val="single" w:sz="4" w:space="0" w:color="auto"/>
            </w:tcBorders>
          </w:tcPr>
          <w:p w:rsidR="00AC687C" w:rsidRPr="007A7336" w:rsidRDefault="00AC687C" w:rsidP="007A7336">
            <w:pPr>
              <w:bidi/>
              <w:spacing w:before="60" w:after="60" w:line="280" w:lineRule="exact"/>
              <w:rPr>
                <w:rFonts w:ascii="Arabic Typesetting" w:hAnsi="Arabic Typesetting" w:cs="Arabic Typesetting"/>
                <w:sz w:val="28"/>
                <w:szCs w:val="28"/>
                <w:rtl/>
                <w:lang w:bidi="ar-EG"/>
              </w:rPr>
            </w:pPr>
            <w:r w:rsidRPr="007A7336">
              <w:rPr>
                <w:rFonts w:ascii="Arabic Typesetting" w:hAnsi="Arabic Typesetting" w:cs="Arabic Typesetting" w:hint="cs"/>
                <w:sz w:val="28"/>
                <w:szCs w:val="28"/>
                <w:rtl/>
                <w:lang w:bidi="ar-EG"/>
              </w:rPr>
              <w:t>هذا الخطر متواصل ويدار عن طريق خطط مكثفة للتخفيف من وطأته، وكشفت هذه الخطط بفعالية عن مشكلات في جودة البيانات أثناء الثنائية (عدم اتساق البيانات) ومكن من تحقيق الاتساق في بيانات الدول الأعضاء المعنية.</w:t>
            </w:r>
          </w:p>
        </w:tc>
        <w:tc>
          <w:tcPr>
            <w:tcW w:w="2306" w:type="dxa"/>
            <w:tcBorders>
              <w:top w:val="single" w:sz="4" w:space="0" w:color="auto"/>
              <w:bottom w:val="single" w:sz="4" w:space="0" w:color="auto"/>
              <w:right w:val="single" w:sz="4" w:space="0" w:color="auto"/>
            </w:tcBorders>
          </w:tcPr>
          <w:p w:rsidR="00AC687C" w:rsidRPr="007A7336" w:rsidRDefault="006C4B69"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أدى التأخر في إرسال البيانات أو الإخطاء فيها إلى المزيد من العمل الداخلي ولكنه لم يؤخر المنشورات ولم يؤثر سلباً في جودتها.</w:t>
            </w:r>
          </w:p>
        </w:tc>
      </w:tr>
    </w:tbl>
    <w:p w:rsidR="00B264F9" w:rsidRPr="00B264F9" w:rsidRDefault="00B264F9" w:rsidP="00B264F9">
      <w:pPr>
        <w:keepNext/>
        <w:bidi/>
        <w:spacing w:before="120" w:after="120" w:line="340" w:lineRule="exact"/>
        <w:rPr>
          <w:rFonts w:ascii="Arabic Typesetting" w:hAnsi="Arabic Typesetting" w:cs="Arabic Typesetting"/>
          <w:b/>
          <w:sz w:val="34"/>
          <w:szCs w:val="34"/>
          <w:rtl/>
          <w:lang w:bidi="ar-EG"/>
        </w:rPr>
      </w:pPr>
      <w:r w:rsidRPr="00B264F9">
        <w:rPr>
          <w:rFonts w:ascii="Arabic Typesetting" w:hAnsi="Arabic Typesetting" w:cs="Arabic Typesetting"/>
          <w:color w:val="000000"/>
          <w:sz w:val="34"/>
          <w:szCs w:val="34"/>
          <w:rtl/>
        </w:rPr>
        <w:t>استخدام الموارد</w:t>
      </w:r>
    </w:p>
    <w:p w:rsidR="00B31868" w:rsidRPr="00141A0B" w:rsidRDefault="00774E37" w:rsidP="00252762">
      <w:pPr>
        <w:keepNext/>
        <w:bidi/>
        <w:spacing w:line="340" w:lineRule="exact"/>
        <w:jc w:val="center"/>
        <w:rPr>
          <w:rFonts w:ascii="Arabic Typesetting" w:hAnsi="Arabic Typesetting" w:cs="Arabic Typesetting"/>
          <w:i/>
          <w:iCs/>
          <w:sz w:val="34"/>
          <w:szCs w:val="34"/>
          <w:lang w:val="en-CA" w:bidi="ar-LB"/>
        </w:rPr>
      </w:pPr>
      <w:r w:rsidRPr="00774E37">
        <w:rPr>
          <w:rFonts w:ascii="Arabic Typesetting" w:hAnsi="Arabic Typesetting" w:cs="Arabic Typesetting"/>
          <w:sz w:val="34"/>
          <w:szCs w:val="34"/>
          <w:rtl/>
          <w:lang w:val="en-CA" w:bidi="ar-LB"/>
        </w:rPr>
        <w:t>الميزانية والنفقات الفعلية (بحسب النتائج)</w:t>
      </w:r>
    </w:p>
    <w:p w:rsidR="006C4B69" w:rsidRPr="00B31868" w:rsidRDefault="00B31868" w:rsidP="00086C3F">
      <w:pPr>
        <w:keepNext/>
        <w:bidi/>
        <w:spacing w:after="120" w:line="340" w:lineRule="exact"/>
        <w:jc w:val="center"/>
        <w:rPr>
          <w:rFonts w:ascii="Arabic Typesetting" w:hAnsi="Arabic Typesetting" w:cs="Arabic Typesetting"/>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6C4B69" w:rsidRPr="00211D55" w:rsidTr="00F22FCF">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6C4B69" w:rsidRPr="00211D55" w:rsidRDefault="006C4B69"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6C4B69" w:rsidRPr="00211D55" w:rsidRDefault="006C4B69"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6C4B69" w:rsidRPr="00211D55" w:rsidRDefault="006C4B69"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6C4B69" w:rsidRPr="00211D55" w:rsidRDefault="006C4B69"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6C4B69" w:rsidRPr="00211D55" w:rsidTr="00F22FCF">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6C4B69" w:rsidRPr="00211D55" w:rsidRDefault="006C4B69"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ھ1.5</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6C4B69" w:rsidRPr="00211D55" w:rsidRDefault="009947B0" w:rsidP="00086C3F">
            <w:pPr>
              <w:bidi/>
              <w:rPr>
                <w:rFonts w:ascii="Arabic Typesetting" w:hAnsi="Arabic Typesetting" w:cs="Arabic Typesetting"/>
                <w:sz w:val="28"/>
                <w:szCs w:val="28"/>
              </w:rPr>
            </w:pPr>
            <w:r>
              <w:rPr>
                <w:rFonts w:ascii="Arabic Typesetting" w:hAnsi="Arabic Typesetting" w:cs="Arabic Typesetting"/>
                <w:sz w:val="28"/>
                <w:szCs w:val="28"/>
                <w:rtl/>
              </w:rPr>
              <w:t>استخدام معلومات الويبو الإحصائية بشأن الملكية الفكرية على نطاق أوسع ونحو أفضل</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4B69" w:rsidRPr="00211D55" w:rsidRDefault="006C4B69" w:rsidP="00086C3F">
            <w:pPr>
              <w:rPr>
                <w:rFonts w:ascii="Arabic Typesetting" w:hAnsi="Arabic Typesetting" w:cs="Arabic Typesetting"/>
                <w:sz w:val="28"/>
                <w:szCs w:val="28"/>
              </w:rPr>
            </w:pPr>
            <w:r w:rsidRPr="00211D55">
              <w:rPr>
                <w:rFonts w:ascii="Arabic Typesetting" w:hAnsi="Arabic Typesetting" w:cs="Arabic Typesetting"/>
                <w:sz w:val="28"/>
                <w:szCs w:val="28"/>
              </w:rPr>
              <w:t>2,141</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4B69" w:rsidRPr="00211D55" w:rsidRDefault="006C4B69" w:rsidP="00086C3F">
            <w:pPr>
              <w:rPr>
                <w:rFonts w:ascii="Arabic Typesetting" w:hAnsi="Arabic Typesetting" w:cs="Arabic Typesetting"/>
                <w:sz w:val="28"/>
                <w:szCs w:val="28"/>
              </w:rPr>
            </w:pPr>
            <w:r w:rsidRPr="00211D55">
              <w:rPr>
                <w:rFonts w:ascii="Arabic Typesetting" w:hAnsi="Arabic Typesetting" w:cs="Arabic Typesetting"/>
                <w:sz w:val="28"/>
                <w:szCs w:val="28"/>
              </w:rPr>
              <w:t>2,209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6C4B69" w:rsidRPr="00211D55" w:rsidRDefault="006C4B69" w:rsidP="00086C3F">
            <w:pPr>
              <w:rPr>
                <w:rFonts w:ascii="Arabic Typesetting" w:hAnsi="Arabic Typesetting" w:cs="Arabic Typesetting"/>
                <w:sz w:val="28"/>
                <w:szCs w:val="28"/>
              </w:rPr>
            </w:pPr>
            <w:r w:rsidRPr="00211D55">
              <w:rPr>
                <w:rFonts w:ascii="Arabic Typesetting" w:hAnsi="Arabic Typesetting" w:cs="Arabic Typesetting"/>
                <w:sz w:val="28"/>
                <w:szCs w:val="28"/>
              </w:rPr>
              <w:t>2,109</w:t>
            </w:r>
          </w:p>
        </w:tc>
      </w:tr>
      <w:tr w:rsidR="006C4B69" w:rsidRPr="00211D55" w:rsidTr="00F22FCF">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6C4B69" w:rsidRPr="00211D55" w:rsidRDefault="006C4B69"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ھ2.5</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6C4B69" w:rsidRPr="00211D55" w:rsidRDefault="000432CA" w:rsidP="00086C3F">
            <w:pPr>
              <w:bidi/>
              <w:rPr>
                <w:rFonts w:ascii="Arabic Typesetting" w:hAnsi="Arabic Typesetting" w:cs="Arabic Typesetting"/>
                <w:sz w:val="28"/>
                <w:szCs w:val="28"/>
              </w:rPr>
            </w:pPr>
            <w:r>
              <w:rPr>
                <w:rFonts w:ascii="Arabic Typesetting" w:hAnsi="Arabic Typesetting" w:cs="Arabic Typesetting"/>
                <w:sz w:val="28"/>
                <w:szCs w:val="28"/>
                <w:rtl/>
              </w:rPr>
              <w:t>استخدام تحليلات الويبو الاقتصادية في صياغة السياسات العامة على نطاق أوسع ونحو أفضل</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4B69" w:rsidRPr="00211D55" w:rsidRDefault="006C4B69" w:rsidP="00086C3F">
            <w:pPr>
              <w:rPr>
                <w:rFonts w:ascii="Arabic Typesetting" w:hAnsi="Arabic Typesetting" w:cs="Arabic Typesetting"/>
                <w:sz w:val="28"/>
                <w:szCs w:val="28"/>
              </w:rPr>
            </w:pPr>
            <w:r w:rsidRPr="00211D55">
              <w:rPr>
                <w:rFonts w:ascii="Arabic Typesetting" w:hAnsi="Arabic Typesetting" w:cs="Arabic Typesetting"/>
                <w:sz w:val="28"/>
                <w:szCs w:val="28"/>
              </w:rPr>
              <w:t>3,195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4B69" w:rsidRPr="00211D55" w:rsidRDefault="006C4B69" w:rsidP="00086C3F">
            <w:pPr>
              <w:rPr>
                <w:rFonts w:ascii="Arabic Typesetting" w:hAnsi="Arabic Typesetting" w:cs="Arabic Typesetting"/>
                <w:sz w:val="28"/>
                <w:szCs w:val="28"/>
              </w:rPr>
            </w:pPr>
            <w:r w:rsidRPr="00211D55">
              <w:rPr>
                <w:rFonts w:ascii="Arabic Typesetting" w:hAnsi="Arabic Typesetting" w:cs="Arabic Typesetting"/>
                <w:sz w:val="28"/>
                <w:szCs w:val="28"/>
              </w:rPr>
              <w:t>2,956</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6C4B69" w:rsidRPr="00211D55" w:rsidRDefault="006C4B69" w:rsidP="00086C3F">
            <w:pPr>
              <w:rPr>
                <w:rFonts w:ascii="Arabic Typesetting" w:hAnsi="Arabic Typesetting" w:cs="Arabic Typesetting"/>
                <w:sz w:val="28"/>
                <w:szCs w:val="28"/>
              </w:rPr>
            </w:pPr>
            <w:r w:rsidRPr="00211D55">
              <w:rPr>
                <w:rFonts w:ascii="Arabic Typesetting" w:hAnsi="Arabic Typesetting" w:cs="Arabic Typesetting"/>
                <w:sz w:val="28"/>
                <w:szCs w:val="28"/>
              </w:rPr>
              <w:t>2,795</w:t>
            </w:r>
          </w:p>
        </w:tc>
      </w:tr>
      <w:tr w:rsidR="006C4B69" w:rsidRPr="00211D55" w:rsidTr="00F22FCF">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6C4B69" w:rsidRPr="00211D55" w:rsidRDefault="006C4B69"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6C4B69" w:rsidRPr="00211D55" w:rsidRDefault="006C4B69"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C4B69" w:rsidRPr="00211D55" w:rsidRDefault="006C4B69"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5,336</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C4B69" w:rsidRPr="00211D55" w:rsidRDefault="006C4B69"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5,165</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C4B69" w:rsidRPr="00211D55" w:rsidRDefault="006C4B69"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4,903</w:t>
            </w:r>
          </w:p>
        </w:tc>
      </w:tr>
    </w:tbl>
    <w:p w:rsidR="00252762" w:rsidRPr="00252762" w:rsidRDefault="00774E37" w:rsidP="00252762">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B31868" w:rsidRPr="00B31868" w:rsidRDefault="00B31868" w:rsidP="00252762">
      <w:pPr>
        <w:keepNext/>
        <w:keepLines/>
        <w:bidi/>
        <w:spacing w:after="120" w:line="340" w:lineRule="exact"/>
        <w:jc w:val="center"/>
        <w:rPr>
          <w:rFonts w:ascii="Arabic Typesetting" w:hAnsi="Arabic Typesetting" w:cs="Arabic Typesetting"/>
          <w:i/>
          <w:iCs/>
          <w:color w:val="000000"/>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6C4B69" w:rsidRPr="00211D55" w:rsidTr="00F22FCF">
        <w:trPr>
          <w:cantSplit/>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6C4B69" w:rsidRPr="00211D55" w:rsidRDefault="006C4B69"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C4B69" w:rsidRPr="00211D55" w:rsidRDefault="006C4B69"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C4B69" w:rsidRPr="00211D55" w:rsidRDefault="006C4B69"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C4B69" w:rsidRPr="00211D55" w:rsidRDefault="006C4B69"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C4B69"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6C4B69" w:rsidRPr="00211D55">
              <w:rPr>
                <w:rFonts w:ascii="Arabic Typesetting" w:hAnsi="Arabic Typesetting" w:cs="Arabic Typesetting"/>
                <w:b/>
                <w:bCs/>
                <w:i/>
                <w:iCs/>
                <w:sz w:val="28"/>
                <w:szCs w:val="28"/>
                <w:rtl/>
              </w:rPr>
              <w:t xml:space="preserve"> (%)</w:t>
            </w:r>
          </w:p>
        </w:tc>
      </w:tr>
      <w:tr w:rsidR="006C4B69" w:rsidRPr="00211D55" w:rsidTr="00F22FCF">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6C4B69" w:rsidRPr="00211D55" w:rsidRDefault="006C4B69"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4,354</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4,391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4,266</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97%</w:t>
            </w:r>
          </w:p>
        </w:tc>
      </w:tr>
      <w:tr w:rsidR="006C4B69" w:rsidRPr="00211D55" w:rsidTr="00F22FCF">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6C4B69" w:rsidRPr="00211D55" w:rsidRDefault="006C4B69"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982</w:t>
            </w:r>
          </w:p>
        </w:tc>
        <w:tc>
          <w:tcPr>
            <w:tcW w:w="970" w:type="pct"/>
            <w:tcBorders>
              <w:top w:val="nil"/>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774</w:t>
            </w:r>
          </w:p>
        </w:tc>
        <w:tc>
          <w:tcPr>
            <w:tcW w:w="970" w:type="pct"/>
            <w:tcBorders>
              <w:top w:val="nil"/>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637</w:t>
            </w:r>
          </w:p>
        </w:tc>
        <w:tc>
          <w:tcPr>
            <w:tcW w:w="970" w:type="pct"/>
            <w:tcBorders>
              <w:top w:val="nil"/>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82%</w:t>
            </w:r>
          </w:p>
        </w:tc>
      </w:tr>
      <w:tr w:rsidR="006C4B69" w:rsidRPr="00211D55" w:rsidTr="00F22FCF">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6C4B69" w:rsidRPr="00211D55" w:rsidRDefault="006C4B69"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5,336</w:t>
            </w:r>
          </w:p>
        </w:tc>
        <w:tc>
          <w:tcPr>
            <w:tcW w:w="970" w:type="pct"/>
            <w:tcBorders>
              <w:top w:val="nil"/>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5,165</w:t>
            </w:r>
          </w:p>
        </w:tc>
        <w:tc>
          <w:tcPr>
            <w:tcW w:w="970" w:type="pct"/>
            <w:tcBorders>
              <w:top w:val="nil"/>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4,903</w:t>
            </w:r>
          </w:p>
        </w:tc>
        <w:tc>
          <w:tcPr>
            <w:tcW w:w="970" w:type="pct"/>
            <w:tcBorders>
              <w:top w:val="nil"/>
              <w:left w:val="single" w:sz="4" w:space="0" w:color="auto"/>
              <w:bottom w:val="single" w:sz="4" w:space="0" w:color="auto"/>
              <w:right w:val="single" w:sz="4" w:space="0" w:color="auto"/>
            </w:tcBorders>
            <w:shd w:val="clear" w:color="auto" w:fill="auto"/>
            <w:vAlign w:val="center"/>
          </w:tcPr>
          <w:p w:rsidR="006C4B69" w:rsidRPr="00211D55" w:rsidRDefault="006C4B69"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95%</w:t>
            </w:r>
          </w:p>
        </w:tc>
      </w:tr>
    </w:tbl>
    <w:p w:rsidR="00B31868" w:rsidRPr="00706F20" w:rsidRDefault="006C4B69" w:rsidP="00B33874">
      <w:pPr>
        <w:keepNext/>
        <w:autoSpaceDE w:val="0"/>
        <w:autoSpaceDN w:val="0"/>
        <w:bidi/>
        <w:adjustRightInd w:val="0"/>
        <w:spacing w:before="240" w:after="120" w:line="340" w:lineRule="exact"/>
        <w:jc w:val="both"/>
        <w:rPr>
          <w:rFonts w:ascii="Arabic Typesetting" w:hAnsi="Arabic Typesetting" w:cs="Arabic Typesetting"/>
          <w:sz w:val="34"/>
          <w:szCs w:val="34"/>
          <w:u w:val="single"/>
          <w:rtl/>
          <w:lang w:bidi="ar-EG"/>
        </w:rPr>
      </w:pPr>
      <w:r w:rsidRPr="00706F20">
        <w:rPr>
          <w:rFonts w:ascii="Arabic Typesetting" w:hAnsi="Arabic Typesetting" w:cs="Arabic Typesetting" w:hint="cs"/>
          <w:sz w:val="34"/>
          <w:szCs w:val="34"/>
          <w:rtl/>
          <w:lang w:bidi="ar-EG"/>
        </w:rPr>
        <w:lastRenderedPageBreak/>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B31868" w:rsidRDefault="006C4B69" w:rsidP="009A3712">
      <w:pPr>
        <w:keepNext/>
        <w:numPr>
          <w:ilvl w:val="0"/>
          <w:numId w:val="18"/>
        </w:numPr>
        <w:bidi/>
        <w:spacing w:after="120" w:line="340" w:lineRule="exact"/>
        <w:ind w:left="0" w:firstLine="0"/>
        <w:jc w:val="both"/>
        <w:rPr>
          <w:rFonts w:ascii="Arabic Typesetting" w:hAnsi="Arabic Typesetting" w:cs="Arabic Typesetting"/>
          <w:sz w:val="34"/>
          <w:szCs w:val="34"/>
          <w:lang w:eastAsia="ko-KR" w:bidi="ar-EG"/>
        </w:rPr>
      </w:pPr>
      <w:r w:rsidRPr="000B2B51">
        <w:rPr>
          <w:rFonts w:ascii="Arabic Typesetting" w:hAnsi="Arabic Typesetting" w:cs="Arabic Typesetting" w:hint="cs"/>
          <w:sz w:val="34"/>
          <w:szCs w:val="34"/>
          <w:rtl/>
          <w:lang w:eastAsia="ko-KR" w:bidi="ar-EG"/>
        </w:rPr>
        <w:t>تعزى الزيادة الطفيفة في موارد الموظفين إلى إضافة وظيفتين لتحليل البيانا</w:t>
      </w:r>
      <w:r w:rsidR="000B2B51" w:rsidRPr="000B2B51">
        <w:rPr>
          <w:rFonts w:ascii="Arabic Typesetting" w:hAnsi="Arabic Typesetting" w:cs="Arabic Typesetting" w:hint="cs"/>
          <w:sz w:val="34"/>
          <w:szCs w:val="34"/>
          <w:rtl/>
          <w:lang w:eastAsia="ko-KR" w:bidi="ar-EG"/>
        </w:rPr>
        <w:t xml:space="preserve">ت وبحوث الاقتصاد الإبداعي. وانخفضت هذه الزيادة جزئياً بسبب التسوية المالية </w:t>
      </w:r>
      <w:r w:rsidR="00B31868" w:rsidRPr="000B2B51">
        <w:rPr>
          <w:rFonts w:ascii="Arabic Typesetting" w:hAnsi="Arabic Typesetting" w:cs="Arabic Typesetting"/>
          <w:sz w:val="34"/>
          <w:szCs w:val="34"/>
          <w:rtl/>
          <w:lang w:eastAsia="ko-KR" w:bidi="ar-EG"/>
        </w:rPr>
        <w:t xml:space="preserve">لمشروع جدول أعمال التنمية الخاص بالملكية الفكرية والتنمية الاجتماعية والاقتصادية في أعقاب اعتماد المرحلة الثانية من المشروع في الدورة الرابعة عشرة للجنة </w:t>
      </w:r>
      <w:r w:rsidR="00B31868" w:rsidRPr="000B2B51">
        <w:rPr>
          <w:rFonts w:ascii="Arabic Typesetting" w:hAnsi="Arabic Typesetting" w:cs="Arabic Typesetting"/>
          <w:sz w:val="34"/>
          <w:szCs w:val="34"/>
          <w:lang w:eastAsia="ko-KR" w:bidi="ar-EG"/>
        </w:rPr>
        <w:t>(CDIP/14/7</w:t>
      </w:r>
      <w:r w:rsidR="000B2B51" w:rsidRPr="000B2B51">
        <w:rPr>
          <w:rFonts w:ascii="Arabic Typesetting" w:hAnsi="Arabic Typesetting" w:cs="Arabic Typesetting"/>
          <w:sz w:val="34"/>
          <w:szCs w:val="34"/>
          <w:lang w:eastAsia="ko-KR" w:bidi="ar-EG"/>
        </w:rPr>
        <w:t>)</w:t>
      </w:r>
      <w:r w:rsidR="000B2B51">
        <w:rPr>
          <w:rFonts w:ascii="Arabic Typesetting" w:hAnsi="Arabic Typesetting" w:cs="Arabic Typesetting" w:hint="cs"/>
          <w:sz w:val="34"/>
          <w:szCs w:val="34"/>
          <w:rtl/>
          <w:lang w:eastAsia="ko-KR" w:bidi="ar-EG"/>
        </w:rPr>
        <w:t>.</w:t>
      </w:r>
    </w:p>
    <w:p w:rsidR="000B2B51" w:rsidRPr="000B2B51" w:rsidRDefault="000B2B51" w:rsidP="009A3712">
      <w:pPr>
        <w:keepNext/>
        <w:keepLines/>
        <w:numPr>
          <w:ilvl w:val="0"/>
          <w:numId w:val="18"/>
        </w:numPr>
        <w:bidi/>
        <w:spacing w:after="120" w:line="340" w:lineRule="exact"/>
        <w:ind w:left="0" w:firstLine="0"/>
        <w:jc w:val="both"/>
        <w:rPr>
          <w:rFonts w:ascii="Arabic Typesetting" w:hAnsi="Arabic Typesetting" w:cs="Arabic Typesetting"/>
          <w:sz w:val="34"/>
          <w:szCs w:val="34"/>
          <w:lang w:eastAsia="ko-KR" w:bidi="ar-EG"/>
        </w:rPr>
      </w:pPr>
      <w:r>
        <w:rPr>
          <w:rFonts w:ascii="Arabic Typesetting" w:hAnsi="Arabic Typesetting" w:cs="Arabic Typesetting" w:hint="cs"/>
          <w:sz w:val="34"/>
          <w:szCs w:val="34"/>
          <w:rtl/>
          <w:lang w:eastAsia="ko-KR"/>
        </w:rPr>
        <w:t xml:space="preserve">ويعزى الانخفاض الإجمالي في </w:t>
      </w:r>
      <w:r w:rsidR="0023721A">
        <w:rPr>
          <w:rFonts w:ascii="Arabic Typesetting" w:hAnsi="Arabic Typesetting" w:cs="Arabic Typesetting" w:hint="cs"/>
          <w:sz w:val="34"/>
          <w:szCs w:val="34"/>
          <w:rtl/>
          <w:lang w:eastAsia="ko-KR"/>
        </w:rPr>
        <w:t xml:space="preserve">مخصصات </w:t>
      </w:r>
      <w:r w:rsidR="009F5F08">
        <w:rPr>
          <w:rFonts w:ascii="Arabic Typesetting" w:hAnsi="Arabic Typesetting" w:cs="Arabic Typesetting" w:hint="cs"/>
          <w:sz w:val="34"/>
          <w:szCs w:val="34"/>
          <w:rtl/>
          <w:lang w:eastAsia="ko-KR"/>
        </w:rPr>
        <w:t>خلاف موارد الموظفين</w:t>
      </w:r>
      <w:r>
        <w:rPr>
          <w:rFonts w:ascii="Arabic Typesetting" w:hAnsi="Arabic Typesetting" w:cs="Arabic Typesetting" w:hint="cs"/>
          <w:sz w:val="34"/>
          <w:szCs w:val="34"/>
          <w:rtl/>
          <w:lang w:eastAsia="ko-KR"/>
        </w:rPr>
        <w:t xml:space="preserve"> إلى "1" التسوية المالية</w:t>
      </w:r>
      <w:r w:rsidRPr="000B2B51">
        <w:rPr>
          <w:rFonts w:ascii="Arabic Typesetting" w:hAnsi="Arabic Typesetting" w:cs="Arabic Typesetting"/>
          <w:sz w:val="34"/>
          <w:szCs w:val="34"/>
          <w:rtl/>
          <w:lang w:eastAsia="ko-KR" w:bidi="ar-EG"/>
        </w:rPr>
        <w:t xml:space="preserve"> لمشروع جدول أعمال التنمية الخاص بالملكية الفكرية والتنمية الاجتماعية والاقتصادية</w:t>
      </w:r>
      <w:r>
        <w:rPr>
          <w:rFonts w:ascii="Arabic Typesetting" w:hAnsi="Arabic Typesetting" w:cs="Arabic Typesetting" w:hint="cs"/>
          <w:sz w:val="34"/>
          <w:szCs w:val="34"/>
          <w:rtl/>
          <w:lang w:eastAsia="ko-KR" w:bidi="ar-EG"/>
        </w:rPr>
        <w:t xml:space="preserve">؛ "2" ونقل </w:t>
      </w:r>
      <w:r w:rsidR="0023721A">
        <w:rPr>
          <w:rFonts w:ascii="Arabic Typesetting" w:hAnsi="Arabic Typesetting" w:cs="Arabic Typesetting" w:hint="cs"/>
          <w:sz w:val="34"/>
          <w:szCs w:val="34"/>
          <w:rtl/>
          <w:lang w:eastAsia="ko-KR" w:bidi="ar-EG"/>
        </w:rPr>
        <w:t xml:space="preserve">مخصصات من </w:t>
      </w:r>
      <w:r w:rsidR="009F5F08">
        <w:rPr>
          <w:rFonts w:ascii="Arabic Typesetting" w:hAnsi="Arabic Typesetting" w:cs="Arabic Typesetting" w:hint="cs"/>
          <w:sz w:val="34"/>
          <w:szCs w:val="34"/>
          <w:rtl/>
          <w:lang w:eastAsia="ko-KR" w:bidi="ar-EG"/>
        </w:rPr>
        <w:t>خلاف موارد الموظفين</w:t>
      </w:r>
      <w:r>
        <w:rPr>
          <w:rFonts w:ascii="Arabic Typesetting" w:hAnsi="Arabic Typesetting" w:cs="Arabic Typesetting" w:hint="cs"/>
          <w:sz w:val="34"/>
          <w:szCs w:val="34"/>
          <w:rtl/>
          <w:lang w:eastAsia="ko-KR" w:bidi="ar-EG"/>
        </w:rPr>
        <w:t xml:space="preserve"> للتدريب إلى البرنامج 23 (إدارة</w:t>
      </w:r>
      <w:r w:rsidR="0023721A">
        <w:rPr>
          <w:rFonts w:ascii="Arabic Typesetting" w:hAnsi="Arabic Typesetting" w:cs="Arabic Typesetting" w:hint="eastAsia"/>
          <w:sz w:val="34"/>
          <w:szCs w:val="34"/>
          <w:rtl/>
          <w:lang w:eastAsia="ko-KR" w:bidi="ar-EG"/>
        </w:rPr>
        <w:t> </w:t>
      </w:r>
      <w:r>
        <w:rPr>
          <w:rFonts w:ascii="Arabic Typesetting" w:hAnsi="Arabic Typesetting" w:cs="Arabic Typesetting" w:hint="cs"/>
          <w:sz w:val="34"/>
          <w:szCs w:val="34"/>
          <w:rtl/>
          <w:lang w:eastAsia="ko-KR" w:bidi="ar-EG"/>
        </w:rPr>
        <w:t>الموارد البشرية) لدعم عمل البرنامج. وعوض هذا الانخفاض جزئياً بزيادة في</w:t>
      </w:r>
      <w:r w:rsidR="0023721A">
        <w:rPr>
          <w:rFonts w:ascii="Arabic Typesetting" w:hAnsi="Arabic Typesetting" w:cs="Arabic Typesetting" w:hint="cs"/>
          <w:sz w:val="34"/>
          <w:szCs w:val="34"/>
          <w:rtl/>
          <w:lang w:eastAsia="ko-KR" w:bidi="ar-EG"/>
        </w:rPr>
        <w:t xml:space="preserve"> مخصصات</w:t>
      </w:r>
      <w:r>
        <w:rPr>
          <w:rFonts w:ascii="Arabic Typesetting" w:hAnsi="Arabic Typesetting" w:cs="Arabic Typesetting" w:hint="cs"/>
          <w:sz w:val="34"/>
          <w:szCs w:val="34"/>
          <w:rtl/>
          <w:lang w:eastAsia="ko-KR" w:bidi="ar-EG"/>
        </w:rPr>
        <w:t xml:space="preserve"> </w:t>
      </w:r>
      <w:r w:rsidR="009F5F08">
        <w:rPr>
          <w:rFonts w:ascii="Arabic Typesetting" w:hAnsi="Arabic Typesetting" w:cs="Arabic Typesetting" w:hint="cs"/>
          <w:sz w:val="34"/>
          <w:szCs w:val="34"/>
          <w:rtl/>
          <w:lang w:eastAsia="ko-KR" w:bidi="ar-EG"/>
        </w:rPr>
        <w:t>خلاف موارد الموظفين</w:t>
      </w:r>
      <w:r>
        <w:rPr>
          <w:rFonts w:ascii="Arabic Typesetting" w:hAnsi="Arabic Typesetting" w:cs="Arabic Typesetting" w:hint="cs"/>
          <w:sz w:val="34"/>
          <w:szCs w:val="34"/>
          <w:rtl/>
          <w:lang w:eastAsia="ko-KR" w:bidi="ar-EG"/>
        </w:rPr>
        <w:t xml:space="preserve"> للأنشطة الترويجية للتقرير العالمي للملكية الفكرية ومؤشر الابتكار العالمي </w:t>
      </w:r>
      <w:r w:rsidR="00CE47ED">
        <w:rPr>
          <w:rFonts w:ascii="Arabic Typesetting" w:hAnsi="Arabic Typesetting" w:cs="Arabic Typesetting" w:hint="cs"/>
          <w:sz w:val="34"/>
          <w:szCs w:val="34"/>
          <w:rtl/>
          <w:lang w:eastAsia="ko-KR" w:bidi="ar-EG"/>
        </w:rPr>
        <w:t>وتكليف إعداد دراسة خاصة عن مرونة الرسوم للإيداعات بموجب نظام مدريد.</w:t>
      </w:r>
    </w:p>
    <w:p w:rsidR="00B31868" w:rsidRPr="00706F20" w:rsidRDefault="006C4B69" w:rsidP="00086C3F">
      <w:pPr>
        <w:keepNext/>
        <w:bidi/>
        <w:spacing w:after="120" w:line="340" w:lineRule="exact"/>
        <w:rPr>
          <w:rFonts w:ascii="Arabic Typesetting" w:hAnsi="Arabic Typesetting" w:cs="Arabic Typesetting"/>
          <w:sz w:val="34"/>
          <w:szCs w:val="34"/>
          <w:u w:val="single"/>
          <w:rtl/>
          <w:lang w:eastAsia="ko-KR"/>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EF7501" w:rsidRDefault="00EF7501" w:rsidP="009A3712">
      <w:pPr>
        <w:numPr>
          <w:ilvl w:val="0"/>
          <w:numId w:val="18"/>
        </w:numPr>
        <w:bidi/>
        <w:spacing w:after="120" w:line="340" w:lineRule="exact"/>
        <w:ind w:left="0" w:firstLine="0"/>
        <w:jc w:val="both"/>
        <w:rPr>
          <w:rFonts w:ascii="Arabic Typesetting" w:hAnsi="Arabic Typesetting" w:cs="Arabic Typesetting"/>
          <w:sz w:val="34"/>
          <w:szCs w:val="34"/>
          <w:lang w:bidi="ar-EG"/>
        </w:rPr>
      </w:pPr>
      <w:r w:rsidRPr="00EF7501">
        <w:rPr>
          <w:rFonts w:ascii="Arabic Typesetting" w:hAnsi="Arabic Typesetting" w:cs="Arabic Typesetting" w:hint="cs"/>
          <w:sz w:val="34"/>
          <w:szCs w:val="34"/>
          <w:rtl/>
          <w:lang w:eastAsia="ko-KR"/>
        </w:rPr>
        <w:t xml:space="preserve">بلغت نسبة </w:t>
      </w:r>
      <w:r w:rsidR="00C45BBE">
        <w:rPr>
          <w:rFonts w:ascii="Arabic Typesetting" w:hAnsi="Arabic Typesetting" w:cs="Arabic Typesetting" w:hint="cs"/>
          <w:sz w:val="34"/>
          <w:szCs w:val="34"/>
          <w:rtl/>
          <w:lang w:eastAsia="ko-KR"/>
        </w:rPr>
        <w:t>استخدام</w:t>
      </w:r>
      <w:r w:rsidR="00C45BBE" w:rsidRPr="00EF7501">
        <w:rPr>
          <w:rFonts w:ascii="Arabic Typesetting" w:hAnsi="Arabic Typesetting" w:cs="Arabic Typesetting" w:hint="cs"/>
          <w:sz w:val="34"/>
          <w:szCs w:val="34"/>
          <w:rtl/>
          <w:lang w:eastAsia="ko-KR"/>
        </w:rPr>
        <w:t xml:space="preserve"> </w:t>
      </w:r>
      <w:r w:rsidR="00C45BBE">
        <w:rPr>
          <w:rFonts w:ascii="Arabic Typesetting" w:hAnsi="Arabic Typesetting" w:cs="Arabic Typesetting" w:hint="cs"/>
          <w:sz w:val="34"/>
          <w:szCs w:val="34"/>
          <w:rtl/>
          <w:lang w:eastAsia="ko-KR"/>
        </w:rPr>
        <w:t>مخصصات</w:t>
      </w:r>
      <w:r w:rsidR="00C45BBE" w:rsidRPr="00EF7501">
        <w:rPr>
          <w:rFonts w:ascii="Arabic Typesetting" w:hAnsi="Arabic Typesetting" w:cs="Arabic Typesetting" w:hint="cs"/>
          <w:sz w:val="34"/>
          <w:szCs w:val="34"/>
          <w:rtl/>
          <w:lang w:eastAsia="ko-KR"/>
        </w:rPr>
        <w:t xml:space="preserve"> </w:t>
      </w:r>
      <w:r w:rsidR="009F5F08">
        <w:rPr>
          <w:rFonts w:ascii="Arabic Typesetting" w:hAnsi="Arabic Typesetting" w:cs="Arabic Typesetting" w:hint="cs"/>
          <w:sz w:val="34"/>
          <w:szCs w:val="34"/>
          <w:rtl/>
          <w:lang w:eastAsia="ko-KR"/>
        </w:rPr>
        <w:t>خلاف موارد الموظفين</w:t>
      </w:r>
      <w:r w:rsidRPr="00EF7501">
        <w:rPr>
          <w:rFonts w:ascii="Arabic Typesetting" w:hAnsi="Arabic Typesetting" w:cs="Arabic Typesetting" w:hint="cs"/>
          <w:sz w:val="34"/>
          <w:szCs w:val="34"/>
          <w:rtl/>
          <w:lang w:eastAsia="ko-KR"/>
        </w:rPr>
        <w:t xml:space="preserve"> 82 بالمئة</w:t>
      </w:r>
      <w:r w:rsidRPr="00EF7501">
        <w:rPr>
          <w:rFonts w:ascii="Arabic Typesetting" w:hAnsi="Arabic Typesetting" w:cs="Arabic Typesetting" w:hint="cs"/>
          <w:sz w:val="34"/>
          <w:szCs w:val="34"/>
          <w:rtl/>
          <w:lang w:eastAsia="ko-KR" w:bidi="ar-EG"/>
        </w:rPr>
        <w:t>؛ ويعزى ذلك أساساً إلى تأخر في تعيين موظفين في "1" </w:t>
      </w:r>
      <w:r w:rsidRPr="00EF7501">
        <w:rPr>
          <w:rFonts w:ascii="Arabic Typesetting" w:hAnsi="Arabic Typesetting" w:cs="Arabic Typesetting"/>
          <w:sz w:val="34"/>
          <w:szCs w:val="34"/>
          <w:rtl/>
          <w:lang w:eastAsia="ko-KR" w:bidi="ar-EG"/>
        </w:rPr>
        <w:t>جدول أعمال التنمية الخاص بالملكية الفكرية والتنمية الاجتماعية والاقتصادية</w:t>
      </w:r>
      <w:r w:rsidRPr="00EF7501">
        <w:rPr>
          <w:rFonts w:ascii="Arabic Typesetting" w:hAnsi="Arabic Typesetting" w:cs="Arabic Typesetting" w:hint="cs"/>
          <w:sz w:val="34"/>
          <w:szCs w:val="34"/>
          <w:rtl/>
          <w:lang w:eastAsia="ko-KR" w:bidi="ar-EG"/>
        </w:rPr>
        <w:t>؛ "2" وبرنامج البحث الاقتصادي الإبداعي الذي أدى إلى إرجاء تنفيذ الأنشطة المتصلة بهذا التعيين.</w:t>
      </w:r>
    </w:p>
    <w:p w:rsidR="00B31868" w:rsidRPr="00B31868" w:rsidRDefault="00B31868" w:rsidP="00086C3F">
      <w:pPr>
        <w:pStyle w:val="Heading2AR"/>
        <w:rPr>
          <w:rtl/>
        </w:rPr>
      </w:pPr>
      <w:bookmarkStart w:id="94" w:name="_Toc450635420"/>
      <w:bookmarkStart w:id="95" w:name="_Toc455393389"/>
      <w:r w:rsidRPr="00B31868">
        <w:rPr>
          <w:rFonts w:hint="cs"/>
          <w:rtl/>
        </w:rPr>
        <w:lastRenderedPageBreak/>
        <w:t>الهدف الاستراتيجي السادس</w:t>
      </w:r>
      <w:bookmarkEnd w:id="94"/>
      <w:bookmarkEnd w:id="95"/>
    </w:p>
    <w:p w:rsidR="009178C3" w:rsidRDefault="009178C3" w:rsidP="009178C3">
      <w:pPr>
        <w:pStyle w:val="NormalParaAR"/>
        <w:tabs>
          <w:tab w:val="right" w:pos="6825"/>
        </w:tabs>
        <w:spacing w:line="240" w:lineRule="auto"/>
        <w:jc w:val="center"/>
        <w:rPr>
          <w:b/>
          <w:bCs/>
          <w:rtl/>
          <w:lang w:bidi="ar-EG"/>
        </w:rPr>
      </w:pPr>
      <w:bookmarkStart w:id="96" w:name="_Toc393817947"/>
      <w:bookmarkStart w:id="97" w:name="_Toc450635421"/>
      <w:r w:rsidRPr="00FE1360">
        <w:rPr>
          <w:b/>
          <w:bCs/>
          <w:rtl/>
          <w:lang w:bidi="ar-EG"/>
        </w:rPr>
        <w:t xml:space="preserve">التعاون الدولي </w:t>
      </w:r>
      <w:r>
        <w:rPr>
          <w:rFonts w:hint="cs"/>
          <w:b/>
          <w:bCs/>
          <w:rtl/>
          <w:lang w:bidi="ar-EG"/>
        </w:rPr>
        <w:t>بشأن</w:t>
      </w:r>
      <w:r w:rsidRPr="00FE1360">
        <w:rPr>
          <w:b/>
          <w:bCs/>
          <w:rtl/>
          <w:lang w:bidi="ar-EG"/>
        </w:rPr>
        <w:t xml:space="preserve"> إذكاء الاحترام للملكية الفكرية</w:t>
      </w:r>
    </w:p>
    <w:p w:rsidR="009178C3" w:rsidRPr="002C1F06" w:rsidRDefault="009178C3" w:rsidP="009178C3">
      <w:pPr>
        <w:keepNext/>
        <w:tabs>
          <w:tab w:val="left" w:pos="1132"/>
        </w:tabs>
        <w:bidi/>
        <w:spacing w:after="240" w:line="360" w:lineRule="exact"/>
        <w:jc w:val="center"/>
        <w:rPr>
          <w:rFonts w:ascii="Arabic Typesetting" w:hAnsi="Arabic Typesetting" w:cs="Arabic Typesetting"/>
          <w:b/>
          <w:bCs/>
          <w:sz w:val="36"/>
          <w:szCs w:val="36"/>
          <w:rtl/>
        </w:rPr>
      </w:pPr>
      <w:r w:rsidRPr="002C1F06">
        <w:rPr>
          <w:rFonts w:ascii="Arabic Typesetting" w:hAnsi="Arabic Typesetting" w:cs="Arabic Typesetting" w:hint="cs"/>
          <w:b/>
          <w:bCs/>
          <w:sz w:val="36"/>
          <w:szCs w:val="36"/>
          <w:rtl/>
        </w:rPr>
        <w:t>لوحة بيانات أداء الفترة الثنائية</w:t>
      </w:r>
    </w:p>
    <w:p w:rsidR="009178C3" w:rsidRPr="00BC57BC" w:rsidRDefault="009178C3" w:rsidP="009178C3">
      <w:pPr>
        <w:tabs>
          <w:tab w:val="left" w:pos="1132"/>
        </w:tabs>
        <w:bidi/>
        <w:spacing w:after="120" w:line="340" w:lineRule="exact"/>
        <w:rPr>
          <w:rFonts w:ascii="Arabic Typesetting" w:hAnsi="Arabic Typesetting" w:cs="Arabic Typesetting"/>
          <w:sz w:val="34"/>
          <w:szCs w:val="34"/>
          <w:rtl/>
          <w:lang w:bidi="ar-EG"/>
        </w:rPr>
      </w:pPr>
      <w:r w:rsidRPr="00BC57BC">
        <w:rPr>
          <w:rFonts w:ascii="Arabic Typesetting" w:hAnsi="Arabic Typesetting" w:cs="Arabic Typesetting" w:hint="cs"/>
          <w:sz w:val="34"/>
          <w:szCs w:val="34"/>
          <w:rtl/>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9178C3" w:rsidRDefault="000A7B1D" w:rsidP="009178C3">
      <w:pPr>
        <w:pStyle w:val="NormalParaAR"/>
        <w:tabs>
          <w:tab w:val="right" w:pos="6825"/>
        </w:tabs>
        <w:spacing w:line="240" w:lineRule="auto"/>
        <w:jc w:val="center"/>
        <w:rPr>
          <w:b/>
          <w:bCs/>
          <w:rtl/>
          <w:lang w:bidi="ar-EG"/>
        </w:rPr>
      </w:pPr>
      <w:r>
        <w:rPr>
          <w:b/>
          <w:bCs/>
          <w:noProof/>
        </w:rPr>
        <w:drawing>
          <wp:inline distT="0" distB="0" distL="0" distR="0" wp14:anchorId="3EC6D63D" wp14:editId="6D15A8D1">
            <wp:extent cx="5619750" cy="2700714"/>
            <wp:effectExtent l="0" t="0" r="0" b="4445"/>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37535" cy="2709261"/>
                    </a:xfrm>
                    <a:prstGeom prst="rect">
                      <a:avLst/>
                    </a:prstGeom>
                    <a:noFill/>
                  </pic:spPr>
                </pic:pic>
              </a:graphicData>
            </a:graphic>
          </wp:inline>
        </w:drawing>
      </w:r>
    </w:p>
    <w:tbl>
      <w:tblP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534"/>
        <w:gridCol w:w="3398"/>
        <w:gridCol w:w="1822"/>
        <w:gridCol w:w="817"/>
      </w:tblGrid>
      <w:tr w:rsidR="009178C3" w:rsidRPr="00FE3908" w:rsidTr="006E665D">
        <w:trPr>
          <w:tblHeader/>
        </w:trPr>
        <w:tc>
          <w:tcPr>
            <w:tcW w:w="1846"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Pr>
                <w:b/>
                <w:bCs/>
                <w:rtl/>
                <w:lang w:bidi="ar-EG"/>
              </w:rPr>
              <w:br w:type="page"/>
            </w:r>
            <w:r w:rsidRPr="00FE3908">
              <w:rPr>
                <w:rFonts w:ascii="Arabic Typesetting" w:hAnsi="Arabic Typesetting" w:cs="Arabic Typesetting"/>
                <w:b/>
                <w:bCs/>
                <w:color w:val="000000"/>
                <w:sz w:val="30"/>
                <w:szCs w:val="30"/>
                <w:rtl/>
                <w:lang w:bidi="ar-EG"/>
              </w:rPr>
              <w:t>النتائج المرتقبة</w:t>
            </w:r>
          </w:p>
        </w:tc>
        <w:tc>
          <w:tcPr>
            <w:tcW w:w="1775"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952"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427"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9178C3" w:rsidRPr="00FE3908" w:rsidTr="006E665D">
        <w:tc>
          <w:tcPr>
            <w:tcW w:w="1846" w:type="pct"/>
            <w:tcBorders>
              <w:top w:val="single" w:sz="4" w:space="0" w:color="auto"/>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9506E2">
              <w:rPr>
                <w:rFonts w:ascii="Arabic Typesetting" w:hAnsi="Arabic Typesetting" w:cs="Arabic Typesetting"/>
                <w:color w:val="000000"/>
                <w:sz w:val="30"/>
                <w:szCs w:val="30"/>
                <w:rtl/>
                <w:lang w:bidi="ar-EG"/>
              </w:rPr>
              <w:t xml:space="preserve">ه1.6 </w:t>
            </w:r>
            <w:r w:rsidRPr="00D619C5">
              <w:rPr>
                <w:rFonts w:ascii="Arabic Typesetting" w:hAnsi="Arabic Typesetting" w:cs="Arabic Typesetting"/>
                <w:color w:val="000000"/>
                <w:sz w:val="30"/>
                <w:szCs w:val="30"/>
                <w:rtl/>
                <w:lang w:bidi="ar-EG"/>
              </w:rPr>
              <w:t>تقدم في الحوار السياسي الدولي بين الدول الأعضاء حول إذكاء الاحترام للملكية الفكرية، مسترشدا بالتوصية رقم 45 من جدول أعمال التنمية</w:t>
            </w:r>
          </w:p>
        </w:tc>
        <w:tc>
          <w:tcPr>
            <w:tcW w:w="1775"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rtl/>
                <w:lang w:bidi="ar-EG"/>
              </w:rPr>
            </w:pPr>
            <w:r w:rsidRPr="009506E2">
              <w:rPr>
                <w:rFonts w:ascii="Arabic Typesetting" w:hAnsi="Arabic Typesetting" w:cs="Arabic Typesetting"/>
                <w:color w:val="000000"/>
                <w:sz w:val="30"/>
                <w:szCs w:val="30"/>
                <w:rtl/>
                <w:lang w:bidi="ar-EG"/>
              </w:rPr>
              <w:t>استمرار توافق الدول الأعضاء بشأن العمل الجوهري الذي تقوم به لجنة الويبو الاستشارية المعنية بالإنفاذ (</w:t>
            </w:r>
            <w:r w:rsidRPr="009506E2">
              <w:rPr>
                <w:rFonts w:ascii="Arabic Typesetting" w:hAnsi="Arabic Typesetting" w:cs="Arabic Typesetting"/>
                <w:color w:val="000000"/>
                <w:sz w:val="30"/>
                <w:szCs w:val="30"/>
                <w:lang w:bidi="ar-EG"/>
              </w:rPr>
              <w:t>ACE</w:t>
            </w:r>
            <w:r w:rsidRPr="009506E2">
              <w:rPr>
                <w:rFonts w:ascii="Arabic Typesetting" w:hAnsi="Arabic Typesetting" w:cs="Arabic Typesetting"/>
                <w:color w:val="000000"/>
                <w:sz w:val="30"/>
                <w:szCs w:val="30"/>
                <w:rtl/>
                <w:lang w:bidi="ar-EG"/>
              </w:rPr>
              <w:t>) الرامي إلى تضمين الشواغل ذات التوجه الإنمائي</w:t>
            </w:r>
          </w:p>
        </w:tc>
        <w:tc>
          <w:tcPr>
            <w:tcW w:w="952"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17</w:t>
            </w:r>
          </w:p>
        </w:tc>
        <w:tc>
          <w:tcPr>
            <w:tcW w:w="427" w:type="pct"/>
            <w:tcBorders>
              <w:top w:val="single" w:sz="4" w:space="0" w:color="auto"/>
              <w:bottom w:val="nil"/>
            </w:tcBorders>
            <w:shd w:val="clear" w:color="auto" w:fill="auto"/>
            <w:vAlign w:val="center"/>
          </w:tcPr>
          <w:p w:rsidR="009178C3" w:rsidRPr="00000D68" w:rsidRDefault="009178C3" w:rsidP="006E665D">
            <w:pPr>
              <w:bidi/>
              <w:jc w:val="center"/>
              <w:rPr>
                <w:rFonts w:ascii="Wingdings" w:hAnsi="Wingdings" w:cs="Calibri"/>
                <w:color w:val="008000"/>
                <w:szCs w:val="22"/>
                <w:lang w:bidi="ar-EG"/>
              </w:rPr>
            </w:pPr>
            <w:r w:rsidRPr="00000D68">
              <w:rPr>
                <w:rFonts w:ascii="Wingdings" w:hAnsi="Wingdings" w:cs="Calibri"/>
                <w:color w:val="008000"/>
                <w:szCs w:val="22"/>
                <w:lang w:bidi="ar-EG"/>
              </w:rPr>
              <w:t></w:t>
            </w:r>
          </w:p>
        </w:tc>
      </w:tr>
      <w:tr w:rsidR="009178C3" w:rsidRPr="00FE3908" w:rsidTr="006E665D">
        <w:tc>
          <w:tcPr>
            <w:tcW w:w="1846" w:type="pct"/>
            <w:tcBorders>
              <w:top w:val="nil"/>
              <w:bottom w:val="single" w:sz="4" w:space="0" w:color="auto"/>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9506E2">
              <w:rPr>
                <w:rFonts w:ascii="Arabic Typesetting" w:hAnsi="Arabic Typesetting" w:cs="Arabic Typesetting"/>
                <w:color w:val="000000"/>
                <w:sz w:val="30"/>
                <w:szCs w:val="30"/>
                <w:rtl/>
                <w:lang w:bidi="ar-EG"/>
              </w:rPr>
              <w:t xml:space="preserve">ه2.6 </w:t>
            </w:r>
            <w:r w:rsidRPr="00D619C5">
              <w:rPr>
                <w:rFonts w:ascii="Arabic Typesetting" w:hAnsi="Arabic Typesetting" w:cs="Arabic Typesetting"/>
                <w:color w:val="000000"/>
                <w:sz w:val="30"/>
                <w:szCs w:val="30"/>
                <w:rtl/>
                <w:lang w:bidi="ar-EG"/>
              </w:rPr>
              <w:t>تعاون وتنسيق على نحو منتظم وفعال وشفاف بين عمل الويبو وعمل المنظمات الدولية الأخرى في مجال إذكاء الاحترام للملكية الفكرية</w:t>
            </w:r>
          </w:p>
        </w:tc>
        <w:tc>
          <w:tcPr>
            <w:tcW w:w="1775" w:type="pct"/>
            <w:tcBorders>
              <w:top w:val="nil"/>
              <w:bottom w:val="single" w:sz="4" w:space="0" w:color="auto"/>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9506E2">
              <w:rPr>
                <w:rFonts w:ascii="Arabic Typesetting" w:hAnsi="Arabic Typesetting" w:cs="Arabic Typesetting"/>
                <w:sz w:val="30"/>
                <w:szCs w:val="30"/>
                <w:rtl/>
                <w:lang w:bidi="ar-EG"/>
              </w:rPr>
              <w:t>عدد الأنشطة المشتركة بشأن إذكاء الاحترام للملكية الفكرية</w:t>
            </w:r>
          </w:p>
        </w:tc>
        <w:tc>
          <w:tcPr>
            <w:tcW w:w="952" w:type="pct"/>
            <w:tcBorders>
              <w:top w:val="nil"/>
              <w:bottom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17</w:t>
            </w:r>
          </w:p>
        </w:tc>
        <w:tc>
          <w:tcPr>
            <w:tcW w:w="427" w:type="pct"/>
            <w:tcBorders>
              <w:top w:val="nil"/>
              <w:bottom w:val="single" w:sz="4" w:space="0" w:color="auto"/>
            </w:tcBorders>
            <w:shd w:val="clear" w:color="auto" w:fill="auto"/>
            <w:vAlign w:val="center"/>
          </w:tcPr>
          <w:p w:rsidR="009178C3" w:rsidRPr="00000D68" w:rsidRDefault="009178C3" w:rsidP="006E665D">
            <w:pPr>
              <w:bidi/>
              <w:jc w:val="center"/>
              <w:rPr>
                <w:rFonts w:ascii="Wingdings" w:hAnsi="Wingdings" w:cs="Calibri"/>
                <w:color w:val="008000"/>
                <w:szCs w:val="22"/>
                <w:rtl/>
                <w:lang w:bidi="ar-EG"/>
              </w:rPr>
            </w:pPr>
            <w:r w:rsidRPr="00000D68">
              <w:rPr>
                <w:rFonts w:ascii="Wingdings" w:hAnsi="Wingdings" w:cs="Calibri"/>
                <w:color w:val="008000"/>
                <w:szCs w:val="22"/>
                <w:lang w:bidi="ar-EG"/>
              </w:rPr>
              <w:t></w:t>
            </w:r>
          </w:p>
        </w:tc>
      </w:tr>
    </w:tbl>
    <w:p w:rsidR="00B31868" w:rsidRPr="00385CA0" w:rsidRDefault="00B31868" w:rsidP="00B33874">
      <w:pPr>
        <w:pStyle w:val="Heading3AR"/>
        <w:spacing w:after="120"/>
        <w:ind w:left="0" w:firstLine="0"/>
        <w:rPr>
          <w:rtl/>
        </w:rPr>
      </w:pPr>
      <w:bookmarkStart w:id="98" w:name="_Toc455393390"/>
      <w:r w:rsidRPr="00385CA0">
        <w:rPr>
          <w:rtl/>
        </w:rPr>
        <w:lastRenderedPageBreak/>
        <w:t>البرنامج</w:t>
      </w:r>
      <w:r w:rsidRPr="00385CA0">
        <w:t xml:space="preserve"> </w:t>
      </w:r>
      <w:r w:rsidRPr="00385CA0">
        <w:rPr>
          <w:rtl/>
        </w:rPr>
        <w:t>17:</w:t>
      </w:r>
      <w:r w:rsidRPr="00385CA0">
        <w:rPr>
          <w:rtl/>
        </w:rPr>
        <w:tab/>
        <w:t>إذكاء الاحترام للملكية الفكرية</w:t>
      </w:r>
      <w:bookmarkEnd w:id="96"/>
      <w:bookmarkEnd w:id="97"/>
      <w:bookmarkEnd w:id="98"/>
    </w:p>
    <w:p w:rsidR="00B31868" w:rsidRPr="009A48D1" w:rsidRDefault="00B31868" w:rsidP="00B33874">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b/>
          <w:bCs/>
          <w:sz w:val="36"/>
          <w:szCs w:val="36"/>
          <w:lang w:val="fr-CH"/>
        </w:rPr>
        <w:tab/>
      </w:r>
      <w:r w:rsidRPr="009A48D1">
        <w:rPr>
          <w:rFonts w:ascii="Arabic Typesetting" w:hAnsi="Arabic Typesetting" w:cs="Arabic Typesetting"/>
          <w:b/>
          <w:bCs/>
          <w:sz w:val="36"/>
          <w:szCs w:val="36"/>
          <w:rtl/>
          <w:lang w:val="fr-CH"/>
        </w:rPr>
        <w:t xml:space="preserve">السيد </w:t>
      </w:r>
      <w:proofErr w:type="spellStart"/>
      <w:r w:rsidRPr="009A48D1">
        <w:rPr>
          <w:rFonts w:ascii="Arabic Typesetting" w:hAnsi="Arabic Typesetting" w:cs="Arabic Typesetting"/>
          <w:b/>
          <w:bCs/>
          <w:sz w:val="36"/>
          <w:szCs w:val="36"/>
          <w:rtl/>
          <w:lang w:val="fr-CH"/>
        </w:rPr>
        <w:t>مينيليك</w:t>
      </w:r>
      <w:proofErr w:type="spellEnd"/>
      <w:r w:rsidRPr="009A48D1">
        <w:rPr>
          <w:rFonts w:ascii="Arabic Typesetting" w:hAnsi="Arabic Typesetting" w:cs="Arabic Typesetting"/>
          <w:b/>
          <w:bCs/>
          <w:sz w:val="36"/>
          <w:szCs w:val="36"/>
          <w:rtl/>
          <w:lang w:val="fr-CH"/>
        </w:rPr>
        <w:t xml:space="preserve"> </w:t>
      </w:r>
      <w:proofErr w:type="spellStart"/>
      <w:r w:rsidRPr="009A48D1">
        <w:rPr>
          <w:rFonts w:ascii="Arabic Typesetting" w:hAnsi="Arabic Typesetting" w:cs="Arabic Typesetting"/>
          <w:b/>
          <w:bCs/>
          <w:sz w:val="36"/>
          <w:szCs w:val="36"/>
          <w:rtl/>
          <w:lang w:val="fr-CH"/>
        </w:rPr>
        <w:t>غيتاهون</w:t>
      </w:r>
      <w:proofErr w:type="spellEnd"/>
    </w:p>
    <w:p w:rsidR="00B31868" w:rsidRPr="00B31868" w:rsidRDefault="00F22FCF" w:rsidP="00B33874">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FE0236" w:rsidRDefault="00B31868" w:rsidP="009A3712">
      <w:pPr>
        <w:pStyle w:val="ListParagraph"/>
        <w:numPr>
          <w:ilvl w:val="0"/>
          <w:numId w:val="48"/>
        </w:numPr>
        <w:bidi/>
        <w:spacing w:after="120" w:line="340" w:lineRule="exact"/>
        <w:ind w:left="0" w:firstLine="0"/>
        <w:contextualSpacing w:val="0"/>
        <w:rPr>
          <w:rFonts w:ascii="Arabic Typesetting" w:hAnsi="Arabic Typesetting" w:cs="Arabic Typesetting"/>
          <w:sz w:val="34"/>
          <w:szCs w:val="34"/>
          <w:lang w:val="fr-CH"/>
        </w:rPr>
      </w:pPr>
      <w:r w:rsidRPr="00FE0236">
        <w:rPr>
          <w:rFonts w:ascii="Arabic Typesetting" w:hAnsi="Arabic Typesetting" w:cs="Arabic Typesetting" w:hint="cs"/>
          <w:sz w:val="34"/>
          <w:szCs w:val="34"/>
          <w:rtl/>
          <w:lang w:val="fr-CH"/>
        </w:rPr>
        <w:t>استرشدت جميع أنشطة البرنامج 17 المختلفة بالهدف الاستراتيجي السادس وبتوصيات جدول أعمال التنمية وعددها 45 توصية، فتوجهت نحو تعزيز التعاون الدولي على إذكاء الاحترام للملكية الفكرية بما يحقق التوازن المناسب بين الحقوق الخاصة والمصالح العامة.</w:t>
      </w:r>
    </w:p>
    <w:p w:rsidR="00E871C8" w:rsidRDefault="00B31868" w:rsidP="009A3712">
      <w:pPr>
        <w:pStyle w:val="ListParagraph"/>
        <w:numPr>
          <w:ilvl w:val="0"/>
          <w:numId w:val="48"/>
        </w:numPr>
        <w:bidi/>
        <w:spacing w:after="120" w:line="340" w:lineRule="exact"/>
        <w:ind w:left="0" w:firstLine="0"/>
        <w:contextualSpacing w:val="0"/>
        <w:rPr>
          <w:rFonts w:ascii="Arabic Typesetting" w:hAnsi="Arabic Typesetting" w:cs="Arabic Typesetting"/>
          <w:sz w:val="34"/>
          <w:szCs w:val="34"/>
          <w:lang w:val="fr-CH"/>
        </w:rPr>
      </w:pPr>
      <w:r w:rsidRPr="00E871C8">
        <w:rPr>
          <w:rFonts w:ascii="Arabic Typesetting" w:hAnsi="Arabic Typesetting" w:cs="Arabic Typesetting" w:hint="cs"/>
          <w:sz w:val="34"/>
          <w:szCs w:val="34"/>
          <w:rtl/>
          <w:lang w:val="fr-CH"/>
        </w:rPr>
        <w:t xml:space="preserve">وسعيا إلى تحقيق التقدم في الحوار السياسي الدولي بين الدول الأعضاء في الويبو </w:t>
      </w:r>
      <w:r w:rsidR="00F22FCF" w:rsidRPr="00E871C8">
        <w:rPr>
          <w:rFonts w:ascii="Arabic Typesetting" w:hAnsi="Arabic Typesetting" w:cs="Arabic Typesetting" w:hint="cs"/>
          <w:sz w:val="34"/>
          <w:szCs w:val="34"/>
          <w:rtl/>
          <w:lang w:val="fr-CH"/>
        </w:rPr>
        <w:t xml:space="preserve">بشأن </w:t>
      </w:r>
      <w:r w:rsidRPr="00E871C8">
        <w:rPr>
          <w:rFonts w:ascii="Arabic Typesetting" w:hAnsi="Arabic Typesetting" w:cs="Arabic Typesetting" w:hint="cs"/>
          <w:sz w:val="34"/>
          <w:szCs w:val="34"/>
          <w:rtl/>
          <w:lang w:val="fr-CH"/>
        </w:rPr>
        <w:t xml:space="preserve">إذكاء الاحترام للملكية الفكرية، قامت </w:t>
      </w:r>
      <w:r w:rsidR="00F22FCF" w:rsidRPr="00E871C8">
        <w:rPr>
          <w:rFonts w:ascii="Arabic Typesetting" w:hAnsi="Arabic Typesetting" w:cs="Arabic Typesetting" w:hint="cs"/>
          <w:sz w:val="34"/>
          <w:szCs w:val="34"/>
          <w:rtl/>
          <w:lang w:val="fr-CH"/>
        </w:rPr>
        <w:t xml:space="preserve">الدورتان </w:t>
      </w:r>
      <w:r w:rsidRPr="00E871C8">
        <w:rPr>
          <w:rFonts w:ascii="Arabic Typesetting" w:hAnsi="Arabic Typesetting" w:cs="Arabic Typesetting" w:hint="cs"/>
          <w:sz w:val="34"/>
          <w:szCs w:val="34"/>
          <w:rtl/>
          <w:lang w:val="fr-CH"/>
        </w:rPr>
        <w:t>التاسعة</w:t>
      </w:r>
      <w:r w:rsidR="00F22FCF" w:rsidRPr="00E871C8">
        <w:rPr>
          <w:rFonts w:ascii="Arabic Typesetting" w:hAnsi="Arabic Typesetting" w:cs="Arabic Typesetting" w:hint="cs"/>
          <w:sz w:val="34"/>
          <w:szCs w:val="34"/>
          <w:rtl/>
          <w:lang w:val="fr-CH"/>
        </w:rPr>
        <w:t xml:space="preserve"> والعاشرة</w:t>
      </w:r>
      <w:r w:rsidRPr="00E871C8">
        <w:rPr>
          <w:rFonts w:ascii="Arabic Typesetting" w:hAnsi="Arabic Typesetting" w:cs="Arabic Typesetting" w:hint="cs"/>
          <w:sz w:val="34"/>
          <w:szCs w:val="34"/>
          <w:rtl/>
          <w:lang w:val="fr-CH"/>
        </w:rPr>
        <w:t xml:space="preserve"> للجنة الاستشارية المعنية بالإنفاذ (من 3 إلى 5 مارس 2014</w:t>
      </w:r>
      <w:r w:rsidR="00F22FCF" w:rsidRPr="00E871C8">
        <w:rPr>
          <w:rFonts w:ascii="Arabic Typesetting" w:hAnsi="Arabic Typesetting" w:cs="Arabic Typesetting" w:hint="cs"/>
          <w:sz w:val="34"/>
          <w:szCs w:val="34"/>
          <w:rtl/>
          <w:lang w:val="fr-CH"/>
        </w:rPr>
        <w:t xml:space="preserve"> و23 إلى 25 نوفمبر 2015</w:t>
      </w:r>
      <w:r w:rsidRPr="00E871C8">
        <w:rPr>
          <w:rFonts w:ascii="Arabic Typesetting" w:hAnsi="Arabic Typesetting" w:cs="Arabic Typesetting" w:hint="cs"/>
          <w:sz w:val="34"/>
          <w:szCs w:val="34"/>
          <w:rtl/>
          <w:lang w:val="fr-CH"/>
        </w:rPr>
        <w:t xml:space="preserve">) مقام "سوق الأفكار"، ما </w:t>
      </w:r>
      <w:r w:rsidR="00F22FCF" w:rsidRPr="00E871C8">
        <w:rPr>
          <w:rFonts w:ascii="Arabic Typesetting" w:hAnsi="Arabic Typesetting" w:cs="Arabic Typesetting" w:hint="cs"/>
          <w:sz w:val="34"/>
          <w:szCs w:val="34"/>
          <w:rtl/>
          <w:lang w:val="fr-CH"/>
        </w:rPr>
        <w:t xml:space="preserve">يسر </w:t>
      </w:r>
      <w:r w:rsidRPr="00E871C8">
        <w:rPr>
          <w:rFonts w:ascii="Arabic Typesetting" w:hAnsi="Arabic Typesetting" w:cs="Arabic Typesetting" w:hint="cs"/>
          <w:sz w:val="34"/>
          <w:szCs w:val="34"/>
          <w:rtl/>
          <w:lang w:val="fr-CH"/>
        </w:rPr>
        <w:t>تبادل الممارسات والتجارب الوطنية</w:t>
      </w:r>
      <w:r w:rsidR="00F22FCF" w:rsidRPr="00E871C8">
        <w:rPr>
          <w:rFonts w:ascii="Arabic Typesetting" w:hAnsi="Arabic Typesetting" w:cs="Arabic Typesetting" w:hint="cs"/>
          <w:sz w:val="34"/>
          <w:szCs w:val="34"/>
          <w:rtl/>
          <w:lang w:val="fr-CH"/>
        </w:rPr>
        <w:t xml:space="preserve"> فيما يخص الآليات البديلة لتسويات منازعات الملكية الفكرية فضلاً عن الاستراتيجيات الوقائية المكملة لعملية الإنفاذ مثل أدوات التوعية والتثقيف الموجهة للشباب،</w:t>
      </w:r>
      <w:r w:rsidRPr="00E871C8">
        <w:rPr>
          <w:rFonts w:ascii="Arabic Typesetting" w:hAnsi="Arabic Typesetting" w:cs="Arabic Typesetting" w:hint="cs"/>
          <w:sz w:val="34"/>
          <w:szCs w:val="34"/>
          <w:rtl/>
          <w:lang w:val="fr-CH"/>
        </w:rPr>
        <w:t xml:space="preserve"> ونماذج الأعمال الجديدة</w:t>
      </w:r>
      <w:r w:rsidR="00F22FCF" w:rsidRPr="00E871C8">
        <w:rPr>
          <w:rFonts w:ascii="Arabic Typesetting" w:hAnsi="Arabic Typesetting" w:cs="Arabic Typesetting" w:hint="cs"/>
          <w:sz w:val="34"/>
          <w:szCs w:val="34"/>
          <w:rtl/>
          <w:lang w:val="fr-CH"/>
        </w:rPr>
        <w:t>،</w:t>
      </w:r>
      <w:r w:rsidRPr="00E871C8">
        <w:rPr>
          <w:rFonts w:ascii="Arabic Typesetting" w:hAnsi="Arabic Typesetting" w:cs="Arabic Typesetting" w:hint="cs"/>
          <w:sz w:val="34"/>
          <w:szCs w:val="34"/>
          <w:rtl/>
          <w:lang w:val="fr-CH"/>
        </w:rPr>
        <w:t xml:space="preserve"> وتأمين سلسلة العرض</w:t>
      </w:r>
      <w:r w:rsidR="00F22FCF" w:rsidRPr="00E871C8">
        <w:rPr>
          <w:rFonts w:ascii="Arabic Typesetting" w:hAnsi="Arabic Typesetting" w:cs="Arabic Typesetting" w:hint="cs"/>
          <w:sz w:val="34"/>
          <w:szCs w:val="34"/>
          <w:rtl/>
          <w:lang w:val="fr-CH"/>
        </w:rPr>
        <w:t>، والآليات الطوعية، والتنسيق الوطني الرامي إلى إذكاء الاحترام للملكية الفكرية. وواكب الدورتين</w:t>
      </w:r>
      <w:r w:rsidRPr="00E871C8">
        <w:rPr>
          <w:rFonts w:ascii="Arabic Typesetting" w:hAnsi="Arabic Typesetting" w:cs="Arabic Typesetting" w:hint="cs"/>
          <w:sz w:val="34"/>
          <w:szCs w:val="34"/>
          <w:rtl/>
          <w:lang w:val="fr-CH"/>
        </w:rPr>
        <w:t xml:space="preserve"> </w:t>
      </w:r>
      <w:r w:rsidR="00E871C8" w:rsidRPr="00E871C8">
        <w:rPr>
          <w:rFonts w:ascii="Arabic Typesetting" w:hAnsi="Arabic Typesetting" w:cs="Arabic Typesetting" w:hint="cs"/>
          <w:sz w:val="34"/>
          <w:szCs w:val="34"/>
          <w:rtl/>
          <w:lang w:val="fr-CH"/>
        </w:rPr>
        <w:t>تنظيم</w:t>
      </w:r>
      <w:r w:rsidRPr="00E871C8">
        <w:rPr>
          <w:rFonts w:ascii="Arabic Typesetting" w:hAnsi="Arabic Typesetting" w:cs="Arabic Typesetting" w:hint="cs"/>
          <w:sz w:val="34"/>
          <w:szCs w:val="34"/>
          <w:rtl/>
          <w:lang w:val="fr-CH"/>
        </w:rPr>
        <w:t xml:space="preserve"> مع</w:t>
      </w:r>
      <w:r w:rsidR="00E871C8" w:rsidRPr="00E871C8">
        <w:rPr>
          <w:rFonts w:ascii="Arabic Typesetting" w:hAnsi="Arabic Typesetting" w:cs="Arabic Typesetting" w:hint="cs"/>
          <w:sz w:val="34"/>
          <w:szCs w:val="34"/>
          <w:rtl/>
          <w:lang w:val="fr-CH"/>
        </w:rPr>
        <w:t>ا</w:t>
      </w:r>
      <w:r w:rsidRPr="00E871C8">
        <w:rPr>
          <w:rFonts w:ascii="Arabic Typesetting" w:hAnsi="Arabic Typesetting" w:cs="Arabic Typesetting" w:hint="cs"/>
          <w:sz w:val="34"/>
          <w:szCs w:val="34"/>
          <w:rtl/>
          <w:lang w:val="fr-CH"/>
        </w:rPr>
        <w:t>رض سمعي</w:t>
      </w:r>
      <w:r w:rsidR="00E871C8" w:rsidRPr="00E871C8">
        <w:rPr>
          <w:rFonts w:ascii="Arabic Typesetting" w:hAnsi="Arabic Typesetting" w:cs="Arabic Typesetting" w:hint="cs"/>
          <w:sz w:val="34"/>
          <w:szCs w:val="34"/>
          <w:rtl/>
          <w:lang w:val="fr-CH"/>
        </w:rPr>
        <w:t>ة</w:t>
      </w:r>
      <w:r w:rsidRPr="00E871C8">
        <w:rPr>
          <w:rFonts w:ascii="Arabic Typesetting" w:hAnsi="Arabic Typesetting" w:cs="Arabic Typesetting" w:hint="cs"/>
          <w:sz w:val="34"/>
          <w:szCs w:val="34"/>
          <w:rtl/>
          <w:lang w:val="fr-CH"/>
        </w:rPr>
        <w:t xml:space="preserve"> بصري</w:t>
      </w:r>
      <w:r w:rsidR="00E871C8" w:rsidRPr="00E871C8">
        <w:rPr>
          <w:rFonts w:ascii="Arabic Typesetting" w:hAnsi="Arabic Typesetting" w:cs="Arabic Typesetting" w:hint="cs"/>
          <w:sz w:val="34"/>
          <w:szCs w:val="34"/>
          <w:rtl/>
          <w:lang w:val="fr-CH"/>
        </w:rPr>
        <w:t>ة</w:t>
      </w:r>
      <w:r w:rsidRPr="00E871C8">
        <w:rPr>
          <w:rFonts w:ascii="Arabic Typesetting" w:hAnsi="Arabic Typesetting" w:cs="Arabic Typesetting" w:hint="cs"/>
          <w:sz w:val="34"/>
          <w:szCs w:val="34"/>
          <w:rtl/>
          <w:lang w:val="fr-CH"/>
        </w:rPr>
        <w:t xml:space="preserve"> عرضت فيه</w:t>
      </w:r>
      <w:r w:rsidR="00E871C8" w:rsidRPr="00E871C8">
        <w:rPr>
          <w:rFonts w:ascii="Arabic Typesetting" w:hAnsi="Arabic Typesetting" w:cs="Arabic Typesetting" w:hint="cs"/>
          <w:sz w:val="34"/>
          <w:szCs w:val="34"/>
          <w:rtl/>
          <w:lang w:val="fr-CH"/>
        </w:rPr>
        <w:t>ا</w:t>
      </w:r>
      <w:r w:rsidRPr="00E871C8">
        <w:rPr>
          <w:rFonts w:ascii="Arabic Typesetting" w:hAnsi="Arabic Typesetting" w:cs="Arabic Typesetting" w:hint="cs"/>
          <w:sz w:val="34"/>
          <w:szCs w:val="34"/>
          <w:rtl/>
          <w:lang w:val="fr-CH"/>
        </w:rPr>
        <w:t xml:space="preserve"> </w:t>
      </w:r>
      <w:r w:rsidR="00E871C8" w:rsidRPr="00E871C8">
        <w:rPr>
          <w:rFonts w:ascii="Arabic Typesetting" w:hAnsi="Arabic Typesetting" w:cs="Arabic Typesetting"/>
          <w:sz w:val="34"/>
          <w:szCs w:val="34"/>
          <w:rtl/>
          <w:lang w:val="fr-CH"/>
        </w:rPr>
        <w:t>حملات التواصل مع الجماهير في مجال إذكاء الاحترام للملكية الفكرية وأدوات توعية الشباب</w:t>
      </w:r>
      <w:r w:rsidR="00E871C8">
        <w:rPr>
          <w:rFonts w:ascii="Arabic Typesetting" w:hAnsi="Arabic Typesetting" w:cs="Arabic Typesetting" w:hint="cs"/>
          <w:sz w:val="34"/>
          <w:szCs w:val="34"/>
          <w:rtl/>
          <w:lang w:val="fr-CH"/>
        </w:rPr>
        <w:t>.</w:t>
      </w:r>
      <w:r w:rsidRPr="00E871C8">
        <w:rPr>
          <w:rFonts w:ascii="Arabic Typesetting" w:hAnsi="Arabic Typesetting" w:cs="Arabic Typesetting" w:hint="cs"/>
          <w:sz w:val="34"/>
          <w:szCs w:val="34"/>
          <w:rtl/>
          <w:lang w:val="fr-CH"/>
        </w:rPr>
        <w:t xml:space="preserve"> ووافقت </w:t>
      </w:r>
      <w:r w:rsidR="00E871C8">
        <w:rPr>
          <w:rFonts w:ascii="Arabic Typesetting" w:hAnsi="Arabic Typesetting" w:cs="Arabic Typesetting" w:hint="cs"/>
          <w:sz w:val="34"/>
          <w:szCs w:val="34"/>
          <w:rtl/>
          <w:lang w:val="fr-CH"/>
        </w:rPr>
        <w:t>اللجنة</w:t>
      </w:r>
      <w:r w:rsidRPr="00E871C8">
        <w:rPr>
          <w:rFonts w:ascii="Arabic Typesetting" w:hAnsi="Arabic Typesetting" w:cs="Arabic Typesetting" w:hint="cs"/>
          <w:sz w:val="34"/>
          <w:szCs w:val="34"/>
          <w:rtl/>
          <w:lang w:val="fr-CH"/>
        </w:rPr>
        <w:t xml:space="preserve"> على </w:t>
      </w:r>
      <w:r w:rsidR="00E871C8">
        <w:rPr>
          <w:rFonts w:ascii="Arabic Typesetting" w:hAnsi="Arabic Typesetting" w:cs="Arabic Typesetting" w:hint="cs"/>
          <w:sz w:val="34"/>
          <w:szCs w:val="34"/>
          <w:rtl/>
          <w:lang w:val="fr-CH"/>
        </w:rPr>
        <w:t>أن تكون دورتها الحادية عشرة موضع تبادل التجارب الوطنية في الموضوعات الأربعة التالية: "</w:t>
      </w:r>
      <w:r w:rsidR="008678A4">
        <w:rPr>
          <w:rFonts w:ascii="Arabic Typesetting" w:hAnsi="Arabic Typesetting" w:cs="Arabic Typesetting" w:hint="cs"/>
          <w:sz w:val="34"/>
          <w:szCs w:val="34"/>
          <w:rtl/>
          <w:lang w:val="fr-CH"/>
        </w:rPr>
        <w:t>1</w:t>
      </w:r>
      <w:r w:rsidR="00E871C8">
        <w:rPr>
          <w:rFonts w:ascii="Arabic Typesetting" w:hAnsi="Arabic Typesetting" w:cs="Arabic Typesetting" w:hint="cs"/>
          <w:sz w:val="34"/>
          <w:szCs w:val="34"/>
          <w:rtl/>
          <w:lang w:val="fr-CH"/>
        </w:rPr>
        <w:t>"</w:t>
      </w:r>
      <w:r w:rsidR="00E871C8">
        <w:rPr>
          <w:rFonts w:ascii="Arabic Typesetting" w:hAnsi="Arabic Typesetting" w:cs="Arabic Typesetting" w:hint="eastAsia"/>
          <w:sz w:val="34"/>
          <w:szCs w:val="34"/>
          <w:rtl/>
          <w:lang w:val="fr-CH"/>
        </w:rPr>
        <w:t xml:space="preserve"> أنشطة التوعية والحملات الاستراتيجية </w:t>
      </w:r>
      <w:r w:rsidR="008678A4">
        <w:rPr>
          <w:rFonts w:ascii="Arabic Typesetting" w:hAnsi="Arabic Typesetting" w:cs="Arabic Typesetting" w:hint="cs"/>
          <w:sz w:val="34"/>
          <w:szCs w:val="34"/>
          <w:rtl/>
          <w:lang w:val="fr-CH"/>
        </w:rPr>
        <w:t>ب</w:t>
      </w:r>
      <w:r w:rsidR="008678A4" w:rsidRPr="008678A4">
        <w:rPr>
          <w:rFonts w:ascii="Arabic Typesetting" w:hAnsi="Arabic Typesetting" w:cs="Arabic Typesetting"/>
          <w:sz w:val="34"/>
          <w:szCs w:val="34"/>
          <w:rtl/>
          <w:lang w:val="fr-CH"/>
        </w:rPr>
        <w:t>وصفها وسيلة لإذكاء الاحترام للملكية الفكرية بين الجمهور عموما والشباب خصوصا، طبقا لأولويات الدول الأعضاء التعليمية وغيرها من الأولويات؛</w:t>
      </w:r>
      <w:r w:rsidR="008678A4">
        <w:rPr>
          <w:rFonts w:ascii="Arabic Typesetting" w:hAnsi="Arabic Typesetting" w:cs="Arabic Typesetting" w:hint="cs"/>
          <w:sz w:val="34"/>
          <w:szCs w:val="34"/>
          <w:rtl/>
          <w:lang w:val="fr-CH"/>
        </w:rPr>
        <w:t xml:space="preserve"> "2" </w:t>
      </w:r>
      <w:r w:rsidR="008678A4" w:rsidRPr="008678A4">
        <w:rPr>
          <w:rFonts w:ascii="Arabic Typesetting" w:hAnsi="Arabic Typesetting" w:cs="Arabic Typesetting"/>
          <w:sz w:val="34"/>
          <w:szCs w:val="34"/>
          <w:rtl/>
          <w:lang w:val="fr-CH"/>
        </w:rPr>
        <w:t>الترتيبات المؤسسية بشأن سياسات وأنظمة إنفاذ الملكية الفكرية، بما في ذلك آليات تسوية منازعات الملكية الفكرية بطريقة متوازنة وشاملة وفعالة؛</w:t>
      </w:r>
      <w:r w:rsidR="008678A4">
        <w:rPr>
          <w:rFonts w:ascii="Arabic Typesetting" w:hAnsi="Arabic Typesetting" w:cs="Arabic Typesetting" w:hint="cs"/>
          <w:sz w:val="34"/>
          <w:szCs w:val="34"/>
          <w:rtl/>
          <w:lang w:val="fr-CH"/>
        </w:rPr>
        <w:t xml:space="preserve"> "3" </w:t>
      </w:r>
      <w:r w:rsidR="008678A4" w:rsidRPr="008678A4">
        <w:rPr>
          <w:rFonts w:ascii="Arabic Typesetting" w:hAnsi="Arabic Typesetting" w:cs="Arabic Typesetting"/>
          <w:sz w:val="34"/>
          <w:szCs w:val="34"/>
          <w:rtl/>
          <w:lang w:val="fr-CH"/>
        </w:rPr>
        <w:t xml:space="preserve">المساعدة التشريعية التي تقدمها الويبو، مع التركيز على صياغة قوانين الإنفاذ الوطنية التي تراعي مواطن المرونة ومستوى التنمية واختلاف التقاليد القانونية واحتمال إساءة </w:t>
      </w:r>
      <w:r w:rsidR="00FB2BCA">
        <w:rPr>
          <w:rFonts w:ascii="Arabic Typesetting" w:hAnsi="Arabic Typesetting" w:cs="Arabic Typesetting" w:hint="cs"/>
          <w:sz w:val="34"/>
          <w:szCs w:val="34"/>
          <w:rtl/>
          <w:lang w:val="fr-CH"/>
        </w:rPr>
        <w:t>استخدام</w:t>
      </w:r>
      <w:r w:rsidR="008678A4" w:rsidRPr="008678A4">
        <w:rPr>
          <w:rFonts w:ascii="Arabic Typesetting" w:hAnsi="Arabic Typesetting" w:cs="Arabic Typesetting"/>
          <w:sz w:val="34"/>
          <w:szCs w:val="34"/>
          <w:rtl/>
          <w:lang w:val="fr-CH"/>
        </w:rPr>
        <w:t xml:space="preserve"> إجراءات الإنفاذ</w:t>
      </w:r>
      <w:r w:rsidR="008678A4">
        <w:rPr>
          <w:rFonts w:ascii="Arabic Typesetting" w:hAnsi="Arabic Typesetting" w:cs="Arabic Typesetting" w:hint="cs"/>
          <w:sz w:val="34"/>
          <w:szCs w:val="34"/>
          <w:rtl/>
          <w:lang w:val="fr-CH"/>
        </w:rPr>
        <w:t>؛ "4" </w:t>
      </w:r>
      <w:r w:rsidR="008678A4" w:rsidRPr="008678A4">
        <w:rPr>
          <w:rFonts w:ascii="Arabic Typesetting" w:hAnsi="Arabic Typesetting" w:cs="Arabic Typesetting"/>
          <w:sz w:val="34"/>
          <w:szCs w:val="34"/>
          <w:rtl/>
          <w:lang w:val="fr-CH"/>
        </w:rPr>
        <w:t xml:space="preserve">خدمات تكوين الكفاءات وخدمات الدعم </w:t>
      </w:r>
      <w:r w:rsidR="008678A4">
        <w:rPr>
          <w:rFonts w:ascii="Arabic Typesetting" w:hAnsi="Arabic Typesetting" w:cs="Arabic Typesetting" w:hint="cs"/>
          <w:sz w:val="34"/>
          <w:szCs w:val="34"/>
          <w:rtl/>
          <w:lang w:val="fr-CH"/>
        </w:rPr>
        <w:t>التي تقدمها</w:t>
      </w:r>
      <w:r w:rsidR="008678A4" w:rsidRPr="008678A4">
        <w:rPr>
          <w:rFonts w:ascii="Arabic Typesetting" w:hAnsi="Arabic Typesetting" w:cs="Arabic Typesetting"/>
          <w:sz w:val="34"/>
          <w:szCs w:val="34"/>
          <w:rtl/>
          <w:lang w:val="fr-CH"/>
        </w:rPr>
        <w:t xml:space="preserve"> الويبو </w:t>
      </w:r>
      <w:r w:rsidR="008678A4">
        <w:rPr>
          <w:rFonts w:ascii="Arabic Typesetting" w:hAnsi="Arabic Typesetting" w:cs="Arabic Typesetting" w:hint="cs"/>
          <w:sz w:val="34"/>
          <w:szCs w:val="34"/>
          <w:rtl/>
          <w:lang w:val="fr-CH"/>
        </w:rPr>
        <w:t>ل</w:t>
      </w:r>
      <w:r w:rsidR="008678A4" w:rsidRPr="008678A4">
        <w:rPr>
          <w:rFonts w:ascii="Arabic Typesetting" w:hAnsi="Arabic Typesetting" w:cs="Arabic Typesetting"/>
          <w:sz w:val="34"/>
          <w:szCs w:val="34"/>
          <w:rtl/>
          <w:lang w:val="fr-CH"/>
        </w:rPr>
        <w:t xml:space="preserve">تنفيذ أنشطة التدريب على الصعيدين الوطني والإقليمي لفائدة الوكالات والموظفين الوطنيين طبقا للتوصيات المعنية من </w:t>
      </w:r>
      <w:r w:rsidR="008678A4">
        <w:rPr>
          <w:rFonts w:ascii="Arabic Typesetting" w:hAnsi="Arabic Typesetting" w:cs="Arabic Typesetting" w:hint="cs"/>
          <w:sz w:val="34"/>
          <w:szCs w:val="34"/>
          <w:rtl/>
          <w:lang w:val="fr-CH"/>
        </w:rPr>
        <w:t>جدول أعمال</w:t>
      </w:r>
      <w:r w:rsidR="008678A4" w:rsidRPr="008678A4">
        <w:rPr>
          <w:rFonts w:ascii="Arabic Typesetting" w:hAnsi="Arabic Typesetting" w:cs="Arabic Typesetting"/>
          <w:sz w:val="34"/>
          <w:szCs w:val="34"/>
          <w:rtl/>
          <w:lang w:val="fr-CH"/>
        </w:rPr>
        <w:t xml:space="preserve"> التنمية وولاية اللجنة</w:t>
      </w:r>
      <w:r w:rsidR="008678A4">
        <w:rPr>
          <w:rFonts w:ascii="Arabic Typesetting" w:hAnsi="Arabic Typesetting" w:cs="Arabic Typesetting" w:hint="cs"/>
          <w:sz w:val="34"/>
          <w:szCs w:val="34"/>
          <w:rtl/>
          <w:lang w:val="fr-CH"/>
        </w:rPr>
        <w:t>. ولعل قيمة اللجنة بالنسبة إلى الدول الأعضاء سبب طلبها عقد دورات سنوية.</w:t>
      </w:r>
    </w:p>
    <w:p w:rsidR="008678A4" w:rsidRPr="008678A4" w:rsidRDefault="00B31868" w:rsidP="009A3712">
      <w:pPr>
        <w:pStyle w:val="ListParagraph"/>
        <w:numPr>
          <w:ilvl w:val="0"/>
          <w:numId w:val="48"/>
        </w:numPr>
        <w:bidi/>
        <w:spacing w:after="120" w:line="340" w:lineRule="exact"/>
        <w:ind w:left="0" w:firstLine="0"/>
        <w:contextualSpacing w:val="0"/>
        <w:rPr>
          <w:rFonts w:ascii="Arabic Typesetting" w:hAnsi="Arabic Typesetting" w:cs="Arabic Typesetting"/>
          <w:sz w:val="34"/>
          <w:szCs w:val="34"/>
          <w:lang w:val="fr-CH"/>
        </w:rPr>
      </w:pPr>
      <w:r w:rsidRPr="008678A4">
        <w:rPr>
          <w:rFonts w:ascii="Arabic Typesetting" w:hAnsi="Arabic Typesetting" w:cs="Arabic Typesetting" w:hint="cs"/>
          <w:sz w:val="34"/>
          <w:szCs w:val="34"/>
          <w:rtl/>
          <w:lang w:val="fr-CH"/>
        </w:rPr>
        <w:t xml:space="preserve">وسعيا إلى تحقيق الاتساق بين السياسات الدولية وبلوغ الحد الأقصى من الأثر من خلال تقاسم الموارد في مجال إذكاء الاحترام للملكية الفكرية، نسق البرنامج 17 عمله مع المنظمات الحكومية الدولية والمنظمات غير الحكومية وجمعيات أصحاب المصالح إضافة إلى المؤسسات الأكاديمية. وتمكنت الويبو، بفضل التعاون المنهجي والشفاف والفعال، </w:t>
      </w:r>
      <w:r w:rsidR="008678A4">
        <w:rPr>
          <w:rFonts w:ascii="Arabic Typesetting" w:hAnsi="Arabic Typesetting" w:cs="Arabic Typesetting" w:hint="cs"/>
          <w:sz w:val="34"/>
          <w:szCs w:val="34"/>
          <w:rtl/>
          <w:lang w:val="fr-CH"/>
        </w:rPr>
        <w:t xml:space="preserve">من </w:t>
      </w:r>
      <w:r w:rsidR="008678A4" w:rsidRPr="008678A4">
        <w:rPr>
          <w:rFonts w:ascii="Arabic Typesetting" w:hAnsi="Arabic Typesetting" w:cs="Arabic Typesetting"/>
          <w:sz w:val="34"/>
          <w:szCs w:val="34"/>
          <w:rtl/>
          <w:lang w:val="fr-CH"/>
        </w:rPr>
        <w:t>ضمان تحقيق مزيد من تكامل الهدف الاستراتيجي السادس في أوجه التعاون المشترك</w:t>
      </w:r>
      <w:r w:rsidR="008678A4">
        <w:rPr>
          <w:rFonts w:ascii="Arabic Typesetting" w:hAnsi="Arabic Typesetting" w:cs="Arabic Typesetting" w:hint="cs"/>
          <w:sz w:val="34"/>
          <w:szCs w:val="34"/>
          <w:rtl/>
          <w:lang w:val="fr-CH"/>
        </w:rPr>
        <w:t xml:space="preserve"> مع شركائها الدوليين بما يتماشى مع التوصية 40 من جدول أعمال التنمية</w:t>
      </w:r>
      <w:r w:rsidR="008678A4" w:rsidRPr="008678A4">
        <w:rPr>
          <w:rFonts w:ascii="Arabic Typesetting" w:hAnsi="Arabic Typesetting" w:cs="Arabic Typesetting"/>
          <w:sz w:val="34"/>
          <w:szCs w:val="34"/>
          <w:rtl/>
          <w:lang w:val="fr-CH"/>
        </w:rPr>
        <w:t>.</w:t>
      </w:r>
      <w:r w:rsidR="008678A4">
        <w:rPr>
          <w:rFonts w:ascii="Arabic Typesetting" w:hAnsi="Arabic Typesetting" w:cs="Arabic Typesetting" w:hint="cs"/>
          <w:sz w:val="34"/>
          <w:szCs w:val="34"/>
          <w:rtl/>
          <w:lang w:val="fr-CH"/>
        </w:rPr>
        <w:t xml:space="preserve"> </w:t>
      </w:r>
      <w:r w:rsidR="00B00CC1">
        <w:rPr>
          <w:rFonts w:ascii="Arabic Typesetting" w:hAnsi="Arabic Typesetting" w:cs="Arabic Typesetting" w:hint="cs"/>
          <w:sz w:val="34"/>
          <w:szCs w:val="34"/>
          <w:rtl/>
          <w:lang w:val="fr-CH"/>
        </w:rPr>
        <w:t xml:space="preserve">وكان أحد موضوعات التركيز تقاطع الملكية الفكرية والقانون الدولي الخاص إذ نظمت ندوة بالتعاون مع جمعية القانون الدولي في يناير 2015 ونُشر تقرير الويبو عن </w:t>
      </w:r>
      <w:r w:rsidR="00B00CC1" w:rsidRPr="00B00CC1">
        <w:rPr>
          <w:rFonts w:ascii="Arabic Typesetting" w:hAnsi="Arabic Typesetting" w:cs="Arabic Typesetting" w:hint="cs"/>
          <w:i/>
          <w:iCs/>
          <w:sz w:val="34"/>
          <w:szCs w:val="34"/>
          <w:rtl/>
          <w:lang w:val="fr-CH"/>
        </w:rPr>
        <w:t xml:space="preserve">"قضايا القانون الدولي الخاص بشأن المنازعات التي تتضمن عناصر عابرة للحدود والخاصة بالملكية الفكرية على الإنترنت </w:t>
      </w:r>
      <w:r w:rsidR="00B00CC1" w:rsidRPr="00B00CC1">
        <w:rPr>
          <w:rFonts w:ascii="Arabic Typesetting" w:hAnsi="Arabic Typesetting" w:cs="Arabic Typesetting"/>
          <w:i/>
          <w:iCs/>
          <w:sz w:val="34"/>
          <w:szCs w:val="34"/>
          <w:rtl/>
          <w:lang w:val="fr-CH"/>
        </w:rPr>
        <w:t>–</w:t>
      </w:r>
      <w:r w:rsidR="00B00CC1" w:rsidRPr="00B00CC1">
        <w:rPr>
          <w:rFonts w:ascii="Arabic Typesetting" w:hAnsi="Arabic Typesetting" w:cs="Arabic Typesetting" w:hint="cs"/>
          <w:i/>
          <w:iCs/>
          <w:sz w:val="34"/>
          <w:szCs w:val="34"/>
          <w:rtl/>
          <w:lang w:val="fr-CH"/>
        </w:rPr>
        <w:t xml:space="preserve"> تحليل للنهوج الوطنية"</w:t>
      </w:r>
      <w:r w:rsidR="00B00CC1" w:rsidRPr="00F96634">
        <w:rPr>
          <w:rFonts w:ascii="Arabic Typesetting" w:hAnsi="Arabic Typesetting" w:cs="Arabic Typesetting"/>
          <w:sz w:val="28"/>
          <w:szCs w:val="28"/>
          <w:vertAlign w:val="superscript"/>
          <w:rtl/>
          <w:lang w:val="fr-CH"/>
        </w:rPr>
        <w:footnoteReference w:id="96"/>
      </w:r>
      <w:r w:rsidR="00FF6902">
        <w:rPr>
          <w:rFonts w:ascii="Arabic Typesetting" w:hAnsi="Arabic Typesetting" w:cs="Arabic Typesetting" w:hint="cs"/>
          <w:sz w:val="34"/>
          <w:szCs w:val="34"/>
          <w:rtl/>
          <w:lang w:val="fr-CH"/>
        </w:rPr>
        <w:t xml:space="preserve"> في س</w:t>
      </w:r>
      <w:r w:rsidR="00B00CC1">
        <w:rPr>
          <w:rFonts w:ascii="Arabic Typesetting" w:hAnsi="Arabic Typesetting" w:cs="Arabic Typesetting" w:hint="cs"/>
          <w:sz w:val="34"/>
          <w:szCs w:val="34"/>
          <w:rtl/>
          <w:lang w:val="fr-CH"/>
        </w:rPr>
        <w:t>بتمبر 2015.</w:t>
      </w:r>
    </w:p>
    <w:p w:rsidR="00B31868" w:rsidRPr="00B31868" w:rsidRDefault="00B31868" w:rsidP="009A3712">
      <w:pPr>
        <w:pStyle w:val="ListParagraph"/>
        <w:numPr>
          <w:ilvl w:val="0"/>
          <w:numId w:val="48"/>
        </w:numPr>
        <w:bidi/>
        <w:spacing w:after="120" w:line="340" w:lineRule="exact"/>
        <w:ind w:left="0" w:firstLine="0"/>
        <w:contextualSpacing w:val="0"/>
        <w:rPr>
          <w:rFonts w:ascii="Arabic Typesetting" w:hAnsi="Arabic Typesetting" w:cs="Arabic Typesetting"/>
          <w:sz w:val="34"/>
          <w:szCs w:val="34"/>
          <w:rtl/>
          <w:lang w:val="fr-CH"/>
        </w:rPr>
      </w:pPr>
      <w:r w:rsidRPr="00B31868">
        <w:rPr>
          <w:rFonts w:ascii="Arabic Typesetting" w:hAnsi="Arabic Typesetting" w:cs="Arabic Typesetting" w:hint="cs"/>
          <w:sz w:val="34"/>
          <w:szCs w:val="34"/>
          <w:rtl/>
          <w:lang w:val="fr-CH"/>
        </w:rPr>
        <w:t xml:space="preserve">ولم يفتأ يزيد الطلب </w:t>
      </w:r>
      <w:r w:rsidR="00B00CC1">
        <w:rPr>
          <w:rFonts w:ascii="Arabic Typesetting" w:hAnsi="Arabic Typesetting" w:cs="Arabic Typesetting" w:hint="cs"/>
          <w:sz w:val="34"/>
          <w:szCs w:val="34"/>
          <w:rtl/>
          <w:lang w:val="fr-CH"/>
        </w:rPr>
        <w:t>خلال الثنائية</w:t>
      </w:r>
      <w:r w:rsidRPr="00B31868">
        <w:rPr>
          <w:rFonts w:ascii="Arabic Typesetting" w:hAnsi="Arabic Typesetting" w:cs="Arabic Typesetting" w:hint="cs"/>
          <w:sz w:val="34"/>
          <w:szCs w:val="34"/>
          <w:rtl/>
          <w:lang w:val="fr-CH"/>
        </w:rPr>
        <w:t xml:space="preserve"> للحصول على المساعدة من الويبو في شكل مشورة تشريعية بشأن تماشي </w:t>
      </w:r>
      <w:r w:rsidR="00FB2BCA">
        <w:rPr>
          <w:rFonts w:ascii="Arabic Typesetting" w:hAnsi="Arabic Typesetting" w:cs="Arabic Typesetting" w:hint="cs"/>
          <w:sz w:val="34"/>
          <w:szCs w:val="34"/>
          <w:rtl/>
          <w:lang w:val="fr-CH"/>
        </w:rPr>
        <w:t>مشروعات</w:t>
      </w:r>
      <w:r w:rsidRPr="00B31868">
        <w:rPr>
          <w:rFonts w:ascii="Arabic Typesetting" w:hAnsi="Arabic Typesetting" w:cs="Arabic Typesetting" w:hint="cs"/>
          <w:sz w:val="34"/>
          <w:szCs w:val="34"/>
          <w:rtl/>
          <w:lang w:val="fr-CH"/>
        </w:rPr>
        <w:t xml:space="preserve"> الأحكام أو الأحكام الراهنة الوطنية المتعلقة بالإنفاذ مع الجزء الثالث من اتفاق تريبس. وساعد البرنامج </w:t>
      </w:r>
      <w:r w:rsidR="00B00CC1">
        <w:rPr>
          <w:rFonts w:ascii="Arabic Typesetting" w:hAnsi="Arabic Typesetting" w:cs="Arabic Typesetting" w:hint="cs"/>
          <w:sz w:val="34"/>
          <w:szCs w:val="34"/>
          <w:rtl/>
          <w:lang w:val="fr-CH"/>
        </w:rPr>
        <w:t>12 دولة عضواً</w:t>
      </w:r>
      <w:r w:rsidRPr="00B31868">
        <w:rPr>
          <w:rFonts w:ascii="Arabic Typesetting" w:hAnsi="Arabic Typesetting" w:cs="Arabic Typesetting" w:hint="cs"/>
          <w:sz w:val="34"/>
          <w:szCs w:val="34"/>
          <w:rtl/>
          <w:lang w:val="fr-CH"/>
        </w:rPr>
        <w:t>، من خلال الحوار الحثيث مع صائغي القوانين الوطنية، على إيجاد حلول تشريعية تتناسب مع مقتضياتها الوطنية، وأخذ بعين الاعتبار كل أوجه المرونة والخيارات المتاحة. وقد نفذت الأنشطة المنجزة في مجال المساعدة التشريعية والتنظيمية والسياسية توصيات جدول أعمال التنمية 1 و6 و12 و13 و14 و17.</w:t>
      </w:r>
    </w:p>
    <w:p w:rsidR="00B31868" w:rsidRPr="00B00CC1" w:rsidRDefault="00B31868" w:rsidP="009A3712">
      <w:pPr>
        <w:pStyle w:val="ListParagraph"/>
        <w:numPr>
          <w:ilvl w:val="0"/>
          <w:numId w:val="48"/>
        </w:numPr>
        <w:bidi/>
        <w:spacing w:after="120" w:line="340" w:lineRule="exact"/>
        <w:ind w:left="0" w:firstLine="0"/>
        <w:contextualSpacing w:val="0"/>
        <w:rPr>
          <w:rFonts w:ascii="Arabic Typesetting" w:hAnsi="Arabic Typesetting" w:cs="Arabic Typesetting"/>
          <w:sz w:val="34"/>
          <w:szCs w:val="34"/>
          <w:lang w:val="fr-CH"/>
        </w:rPr>
      </w:pPr>
      <w:r w:rsidRPr="00B00CC1">
        <w:rPr>
          <w:rFonts w:ascii="Arabic Typesetting" w:hAnsi="Arabic Typesetting" w:cs="Arabic Typesetting" w:hint="cs"/>
          <w:sz w:val="34"/>
          <w:szCs w:val="34"/>
          <w:rtl/>
          <w:lang w:val="fr-CH"/>
        </w:rPr>
        <w:t xml:space="preserve">وسعت أنشطة البرنامج في مجال تكوين الكفاءات إلى تمكين السلطات الوطنية من إذكاء الاحترام للملكية الفكرية من خلال التوليف بين أنشطة الإنفاذ المتوازنة والتدابير الوقائية المصممة للحد من الطلب على السلع المخالفة والتشديد على قيمة السوق الشرعية من ناحية الملكية الفكرية. وسعيا إلى تعزيز استدامة نقل المعارف، أقيمت أوجه تعاون معينة مع هيئات التدريب الوطنية على إنفاذ القوانين </w:t>
      </w:r>
      <w:r w:rsidR="00C52CF7">
        <w:rPr>
          <w:rFonts w:ascii="Arabic Typesetting" w:hAnsi="Arabic Typesetting" w:cs="Arabic Typesetting" w:hint="cs"/>
          <w:sz w:val="34"/>
          <w:szCs w:val="34"/>
          <w:rtl/>
          <w:lang w:val="fr-CH"/>
        </w:rPr>
        <w:t>بوصفها</w:t>
      </w:r>
      <w:r w:rsidRPr="00B00CC1">
        <w:rPr>
          <w:rFonts w:ascii="Arabic Typesetting" w:hAnsi="Arabic Typesetting" w:cs="Arabic Typesetting" w:hint="cs"/>
          <w:sz w:val="34"/>
          <w:szCs w:val="34"/>
          <w:rtl/>
          <w:lang w:val="fr-CH"/>
        </w:rPr>
        <w:t xml:space="preserve"> من المضاعفات التي تعزز الاستدامة</w:t>
      </w:r>
      <w:r w:rsidR="00C52CF7">
        <w:rPr>
          <w:rFonts w:ascii="Arabic Typesetting" w:hAnsi="Arabic Typesetting" w:cs="Arabic Typesetting" w:hint="cs"/>
          <w:sz w:val="34"/>
          <w:szCs w:val="34"/>
          <w:rtl/>
          <w:lang w:val="fr-CH"/>
        </w:rPr>
        <w:t>،</w:t>
      </w:r>
      <w:r w:rsidR="00B00CC1">
        <w:rPr>
          <w:rFonts w:ascii="Arabic Typesetting" w:hAnsi="Arabic Typesetting" w:cs="Arabic Typesetting" w:hint="cs"/>
          <w:sz w:val="34"/>
          <w:szCs w:val="34"/>
          <w:rtl/>
          <w:lang w:val="fr-CH"/>
        </w:rPr>
        <w:t xml:space="preserve"> وأُعدّ دليل أساسي عنوانه "دليل عن التحقيق في جرائم الملكية الفكرية وملاحقة مرتكبيها" ليُستخدم </w:t>
      </w:r>
      <w:r w:rsidR="008B5F77">
        <w:rPr>
          <w:rFonts w:ascii="Arabic Typesetting" w:hAnsi="Arabic Typesetting" w:cs="Arabic Typesetting" w:hint="cs"/>
          <w:sz w:val="34"/>
          <w:szCs w:val="34"/>
          <w:rtl/>
          <w:lang w:val="fr-CH"/>
        </w:rPr>
        <w:t xml:space="preserve">أو يُدرج </w:t>
      </w:r>
      <w:r w:rsidR="00B00CC1">
        <w:rPr>
          <w:rFonts w:ascii="Arabic Typesetting" w:hAnsi="Arabic Typesetting" w:cs="Arabic Typesetting" w:hint="cs"/>
          <w:sz w:val="34"/>
          <w:szCs w:val="34"/>
          <w:rtl/>
          <w:lang w:val="fr-CH"/>
        </w:rPr>
        <w:t xml:space="preserve">في تدريب المسؤولين </w:t>
      </w:r>
      <w:r w:rsidR="008B5F77">
        <w:rPr>
          <w:rFonts w:ascii="Arabic Typesetting" w:hAnsi="Arabic Typesetting" w:cs="Arabic Typesetting" w:hint="cs"/>
          <w:sz w:val="34"/>
          <w:szCs w:val="34"/>
          <w:rtl/>
          <w:lang w:val="fr-CH"/>
        </w:rPr>
        <w:t>والنواب العامون على إنفاذ القانون</w:t>
      </w:r>
      <w:r w:rsidRPr="00B00CC1">
        <w:rPr>
          <w:rFonts w:ascii="Arabic Typesetting" w:hAnsi="Arabic Typesetting" w:cs="Arabic Typesetting" w:hint="cs"/>
          <w:sz w:val="34"/>
          <w:szCs w:val="34"/>
          <w:rtl/>
          <w:lang w:val="fr-CH"/>
        </w:rPr>
        <w:t>. وفضلا</w:t>
      </w:r>
      <w:r w:rsidR="008B5F77">
        <w:rPr>
          <w:rFonts w:ascii="Arabic Typesetting" w:hAnsi="Arabic Typesetting" w:cs="Arabic Typesetting" w:hint="eastAsia"/>
          <w:sz w:val="34"/>
          <w:szCs w:val="34"/>
          <w:rtl/>
          <w:lang w:val="fr-CH"/>
        </w:rPr>
        <w:t> </w:t>
      </w:r>
      <w:r w:rsidRPr="00B00CC1">
        <w:rPr>
          <w:rFonts w:ascii="Arabic Typesetting" w:hAnsi="Arabic Typesetting" w:cs="Arabic Typesetting" w:hint="cs"/>
          <w:sz w:val="34"/>
          <w:szCs w:val="34"/>
          <w:rtl/>
          <w:lang w:val="fr-CH"/>
        </w:rPr>
        <w:t>عن ذلك نُشرت</w:t>
      </w:r>
      <w:r w:rsidR="008B5F77">
        <w:rPr>
          <w:rFonts w:ascii="Arabic Typesetting" w:hAnsi="Arabic Typesetting" w:cs="Arabic Typesetting" w:hint="cs"/>
          <w:sz w:val="34"/>
          <w:szCs w:val="34"/>
          <w:rtl/>
          <w:lang w:val="fr-CH"/>
        </w:rPr>
        <w:t xml:space="preserve"> </w:t>
      </w:r>
      <w:r w:rsidR="008B5F77">
        <w:rPr>
          <w:rFonts w:ascii="Arabic Typesetting" w:hAnsi="Arabic Typesetting" w:cs="Arabic Typesetting" w:hint="cs"/>
          <w:sz w:val="34"/>
          <w:szCs w:val="34"/>
          <w:rtl/>
          <w:lang w:val="fr-CH"/>
        </w:rPr>
        <w:lastRenderedPageBreak/>
        <w:t>خلال الثنائية</w:t>
      </w:r>
      <w:r w:rsidRPr="00B00CC1">
        <w:rPr>
          <w:rFonts w:ascii="Arabic Typesetting" w:hAnsi="Arabic Typesetting" w:cs="Arabic Typesetting" w:hint="cs"/>
          <w:sz w:val="34"/>
          <w:szCs w:val="34"/>
          <w:rtl/>
          <w:lang w:val="fr-CH"/>
        </w:rPr>
        <w:t xml:space="preserve"> نسخة فرنسية وترجمة عربية للنسخة الإنكليزية من </w:t>
      </w:r>
      <w:r w:rsidRPr="00B00CC1">
        <w:rPr>
          <w:rFonts w:ascii="Arabic Typesetting" w:hAnsi="Arabic Typesetting" w:cs="Arabic Typesetting"/>
          <w:sz w:val="34"/>
          <w:szCs w:val="34"/>
          <w:rtl/>
          <w:lang w:val="fr-CH"/>
        </w:rPr>
        <w:t>منشور الويبو حول قضايا إنفاذ حقوق الملكية الفكرية</w:t>
      </w:r>
      <w:r w:rsidRPr="00B00CC1">
        <w:rPr>
          <w:rFonts w:ascii="Arabic Typesetting" w:hAnsi="Arabic Typesetting" w:cs="Arabic Typesetting" w:hint="cs"/>
          <w:sz w:val="34"/>
          <w:szCs w:val="34"/>
          <w:rtl/>
          <w:lang w:val="fr-CH"/>
        </w:rPr>
        <w:t>. واسترشدت الأنشطة المنجزة في هذا المجال بالتوصيات 3 و10 و11 من جدول أعمال التنمية.</w:t>
      </w:r>
    </w:p>
    <w:p w:rsidR="00B31868" w:rsidRPr="00B31868" w:rsidRDefault="00B31868" w:rsidP="009A3712">
      <w:pPr>
        <w:pStyle w:val="ListParagraph"/>
        <w:numPr>
          <w:ilvl w:val="0"/>
          <w:numId w:val="48"/>
        </w:numPr>
        <w:bidi/>
        <w:spacing w:after="120" w:line="340" w:lineRule="exact"/>
        <w:ind w:left="0" w:firstLine="0"/>
        <w:contextualSpacing w:val="0"/>
        <w:rPr>
          <w:rFonts w:ascii="Arabic Typesetting" w:hAnsi="Arabic Typesetting" w:cs="Arabic Typesetting"/>
          <w:sz w:val="34"/>
          <w:szCs w:val="34"/>
          <w:lang w:val="fr-CH"/>
        </w:rPr>
      </w:pPr>
      <w:r w:rsidRPr="00B31868">
        <w:rPr>
          <w:rFonts w:ascii="Arabic Typesetting" w:hAnsi="Arabic Typesetting" w:cs="Arabic Typesetting" w:hint="cs"/>
          <w:sz w:val="34"/>
          <w:szCs w:val="34"/>
          <w:rtl/>
          <w:lang w:val="fr-CH"/>
        </w:rPr>
        <w:t xml:space="preserve">وسعيا إلى دعم مبادرات الدول الأعضاء في مجالي تعليم أصول الملكية الفكرية والتوعية بها، وسعيا إلى الحد من التعديات على حقوق الملكية الفكرية من خلال تغيير السلوكيات، أُعد أسلوب منهجي لوضع استراتيجية التوعية، وقدمت المساعدة إلى دولتين عضوين من أجل تنفيذ هذه الاستراتيجيات وفقا لاحتياجاتها الوطنية الخاصة. </w:t>
      </w:r>
      <w:r w:rsidR="008B5F77">
        <w:rPr>
          <w:rFonts w:ascii="Arabic Typesetting" w:hAnsi="Arabic Typesetting" w:cs="Arabic Typesetting" w:hint="cs"/>
          <w:sz w:val="34"/>
          <w:szCs w:val="34"/>
          <w:rtl/>
          <w:lang w:val="fr-CH"/>
        </w:rPr>
        <w:t xml:space="preserve">وإضافة إلى ذلك، وضع البرنامج مجموعة من المواد التعليمية للتلاميذ المتراوحة أعمارهم بين 10 أعوام و15 عاماً بشأن احترام حق المؤلف؛ وقدم </w:t>
      </w:r>
      <w:r w:rsidRPr="00B31868">
        <w:rPr>
          <w:rFonts w:ascii="Arabic Typesetting" w:hAnsi="Arabic Typesetting" w:cs="Arabic Typesetting" w:hint="cs"/>
          <w:sz w:val="34"/>
          <w:szCs w:val="34"/>
          <w:rtl/>
          <w:lang w:val="fr-CH"/>
        </w:rPr>
        <w:t xml:space="preserve">الدعم إلى ست دول أعضاء من أجل تنظيم منافسات مدرسية حول موضوع </w:t>
      </w:r>
      <w:r w:rsidR="008B5F77">
        <w:rPr>
          <w:rFonts w:ascii="Arabic Typesetting" w:hAnsi="Arabic Typesetting" w:cs="Arabic Typesetting" w:hint="cs"/>
          <w:sz w:val="34"/>
          <w:szCs w:val="34"/>
          <w:rtl/>
          <w:lang w:val="fr-CH"/>
        </w:rPr>
        <w:t>إذكاء الاحترام للملكية الفكرية؛ ونشر قرص مدمج وكتيباً</w:t>
      </w:r>
      <w:r w:rsidRPr="00B31868">
        <w:rPr>
          <w:rFonts w:ascii="Arabic Typesetting" w:hAnsi="Arabic Typesetting" w:cs="Arabic Typesetting" w:hint="cs"/>
          <w:sz w:val="34"/>
          <w:szCs w:val="34"/>
          <w:rtl/>
          <w:lang w:val="fr-CH"/>
        </w:rPr>
        <w:t xml:space="preserve"> فيه شخصية "</w:t>
      </w:r>
      <w:proofErr w:type="spellStart"/>
      <w:r w:rsidRPr="00B31868">
        <w:rPr>
          <w:rFonts w:ascii="Arabic Typesetting" w:hAnsi="Arabic Typesetting" w:cs="Arabic Typesetting"/>
          <w:sz w:val="34"/>
          <w:szCs w:val="34"/>
          <w:rtl/>
          <w:lang w:val="fr-CH"/>
        </w:rPr>
        <w:t>بورورو</w:t>
      </w:r>
      <w:proofErr w:type="spellEnd"/>
      <w:r w:rsidRPr="00B31868">
        <w:rPr>
          <w:rFonts w:ascii="Arabic Typesetting" w:hAnsi="Arabic Typesetting" w:cs="Arabic Typesetting" w:hint="cs"/>
          <w:sz w:val="34"/>
          <w:szCs w:val="34"/>
          <w:rtl/>
          <w:lang w:val="fr-CH"/>
        </w:rPr>
        <w:t xml:space="preserve"> البطريق الصغير". وفضلا عن ذلك استمر برنامج جوائز الويبو في الاحتفاء بإنجازات المخترعين والمبدعين وشركات الابتكار بحيث منحت الويبو </w:t>
      </w:r>
      <w:r w:rsidR="008B5F77">
        <w:rPr>
          <w:rFonts w:ascii="Arabic Typesetting" w:hAnsi="Arabic Typesetting" w:cs="Arabic Typesetting" w:hint="cs"/>
          <w:sz w:val="34"/>
          <w:szCs w:val="34"/>
          <w:rtl/>
          <w:lang w:val="fr-CH"/>
        </w:rPr>
        <w:t>330</w:t>
      </w:r>
      <w:r w:rsidR="008B5F77" w:rsidRPr="00B31868">
        <w:rPr>
          <w:rFonts w:ascii="Arabic Typesetting" w:hAnsi="Arabic Typesetting" w:cs="Arabic Typesetting" w:hint="cs"/>
          <w:sz w:val="34"/>
          <w:szCs w:val="34"/>
          <w:rtl/>
          <w:lang w:val="fr-CH"/>
        </w:rPr>
        <w:t xml:space="preserve"> </w:t>
      </w:r>
      <w:r w:rsidRPr="00B31868">
        <w:rPr>
          <w:rFonts w:ascii="Arabic Typesetting" w:hAnsi="Arabic Typesetting" w:cs="Arabic Typesetting" w:hint="cs"/>
          <w:sz w:val="34"/>
          <w:szCs w:val="34"/>
          <w:rtl/>
          <w:lang w:val="fr-CH"/>
        </w:rPr>
        <w:t>جائزة</w:t>
      </w:r>
      <w:r w:rsidR="008B5F77">
        <w:rPr>
          <w:rFonts w:ascii="Arabic Typesetting" w:hAnsi="Arabic Typesetting" w:cs="Arabic Typesetting" w:hint="cs"/>
          <w:sz w:val="34"/>
          <w:szCs w:val="34"/>
          <w:rtl/>
          <w:lang w:val="fr-CH"/>
        </w:rPr>
        <w:t xml:space="preserve"> و470 شهادة</w:t>
      </w:r>
      <w:r w:rsidRPr="00B31868">
        <w:rPr>
          <w:rFonts w:ascii="Arabic Typesetting" w:hAnsi="Arabic Typesetting" w:cs="Arabic Typesetting" w:hint="cs"/>
          <w:sz w:val="34"/>
          <w:szCs w:val="34"/>
          <w:rtl/>
          <w:lang w:val="fr-CH"/>
        </w:rPr>
        <w:t xml:space="preserve"> لفائزين من </w:t>
      </w:r>
      <w:r w:rsidR="008B5F77">
        <w:rPr>
          <w:rFonts w:ascii="Arabic Typesetting" w:hAnsi="Arabic Typesetting" w:cs="Arabic Typesetting" w:hint="cs"/>
          <w:sz w:val="34"/>
          <w:szCs w:val="34"/>
          <w:rtl/>
          <w:lang w:val="fr-CH"/>
        </w:rPr>
        <w:t>54</w:t>
      </w:r>
      <w:r w:rsidR="008B5F77" w:rsidRPr="00B31868">
        <w:rPr>
          <w:rFonts w:ascii="Arabic Typesetting" w:hAnsi="Arabic Typesetting" w:cs="Arabic Typesetting" w:hint="cs"/>
          <w:sz w:val="34"/>
          <w:szCs w:val="34"/>
          <w:rtl/>
          <w:lang w:val="fr-CH"/>
        </w:rPr>
        <w:t xml:space="preserve"> </w:t>
      </w:r>
      <w:r w:rsidRPr="00B31868">
        <w:rPr>
          <w:rFonts w:ascii="Arabic Typesetting" w:hAnsi="Arabic Typesetting" w:cs="Arabic Typesetting" w:hint="cs"/>
          <w:sz w:val="34"/>
          <w:szCs w:val="34"/>
          <w:rtl/>
          <w:lang w:val="fr-CH"/>
        </w:rPr>
        <w:t>دولة عضوا. وساهمت أنشطة البرنامج لإذكاء الوعي في تنفيذ التوصية 3 من جدول أعمال التنمية.</w:t>
      </w:r>
    </w:p>
    <w:p w:rsidR="00B31868" w:rsidRPr="00E439F5" w:rsidRDefault="00B31868" w:rsidP="007E20C9">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hint="cs"/>
          <w:sz w:val="34"/>
          <w:szCs w:val="34"/>
          <w:rtl/>
          <w:lang w:val="fr-CH"/>
        </w:rPr>
        <w:t>ب</w:t>
      </w:r>
      <w:r w:rsidRPr="00E439F5">
        <w:rPr>
          <w:rFonts w:ascii="Arabic Typesetting" w:hAnsi="Arabic Typesetting" w:cs="Arabic Typesetting"/>
          <w:sz w:val="34"/>
          <w:szCs w:val="34"/>
          <w:rtl/>
          <w:lang w:val="fr-CH"/>
        </w:rPr>
        <w:t>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22"/>
        <w:gridCol w:w="1793"/>
        <w:gridCol w:w="2161"/>
        <w:gridCol w:w="2510"/>
        <w:gridCol w:w="1271"/>
      </w:tblGrid>
      <w:tr w:rsidR="009150D8" w:rsidRPr="00211D55" w:rsidTr="00457FA0">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9150D8" w:rsidRPr="00211D55" w:rsidRDefault="009150D8" w:rsidP="00B33874">
            <w:pPr>
              <w:keepNext/>
              <w:bidi/>
              <w:spacing w:after="60" w:line="280" w:lineRule="exact"/>
              <w:ind w:left="1167" w:hanging="1167"/>
              <w:rPr>
                <w:rFonts w:ascii="Arabic Typesetting" w:hAnsi="Arabic Typesetting" w:cs="Arabic Typesetting"/>
                <w:sz w:val="28"/>
                <w:szCs w:val="28"/>
                <w:rtl/>
                <w:lang w:bidi="ar-TN"/>
              </w:rPr>
            </w:pPr>
            <w:r w:rsidRPr="00211D55">
              <w:rPr>
                <w:rFonts w:ascii="Arabic Typesetting" w:hAnsi="Arabic Typesetting" w:cs="Arabic Typesetting"/>
                <w:b/>
                <w:bCs/>
                <w:sz w:val="28"/>
                <w:szCs w:val="28"/>
                <w:rtl/>
                <w:lang w:bidi="ar-EG"/>
              </w:rPr>
              <w:t>النتيجة المرتقبة:</w:t>
            </w:r>
            <w:r w:rsidR="006E7FC6" w:rsidRPr="00211D55">
              <w:rPr>
                <w:rFonts w:ascii="Arabic Typesetting" w:hAnsi="Arabic Typesetting" w:cs="Arabic Typesetting"/>
                <w:b/>
                <w:sz w:val="28"/>
                <w:szCs w:val="28"/>
                <w:rtl/>
                <w:lang w:bidi="ar-EG"/>
              </w:rPr>
              <w:tab/>
            </w:r>
            <w:r w:rsidR="000432CA">
              <w:rPr>
                <w:rFonts w:ascii="Arabic Typesetting" w:hAnsi="Arabic Typesetting" w:cs="Arabic Typesetting"/>
                <w:b/>
                <w:sz w:val="28"/>
                <w:szCs w:val="28"/>
                <w:rtl/>
                <w:lang w:bidi="ar-EG"/>
              </w:rPr>
              <w:t>ه2.1 أطر تشريعية وتنظيمية وسياسية مناسبة ومتوازنة للملكية الفكرية</w:t>
            </w:r>
          </w:p>
        </w:tc>
      </w:tr>
      <w:tr w:rsidR="00B31868" w:rsidRPr="00211D55" w:rsidTr="00457FA0">
        <w:trPr>
          <w:cantSplit/>
        </w:trPr>
        <w:tc>
          <w:tcPr>
            <w:tcW w:w="867" w:type="pct"/>
            <w:tcBorders>
              <w:top w:val="single" w:sz="4" w:space="0" w:color="auto"/>
            </w:tcBorders>
            <w:shd w:val="clear" w:color="auto" w:fill="auto"/>
            <w:vAlign w:val="center"/>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958" w:type="pct"/>
            <w:tcBorders>
              <w:top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 xml:space="preserve">أسس المقارنة </w:t>
            </w:r>
          </w:p>
        </w:tc>
        <w:tc>
          <w:tcPr>
            <w:tcW w:w="1155" w:type="pct"/>
            <w:tcBorders>
              <w:top w:val="single" w:sz="4" w:space="0" w:color="auto"/>
            </w:tcBorders>
            <w:shd w:val="clear" w:color="auto" w:fill="auto"/>
            <w:tcMar>
              <w:top w:w="110" w:type="dxa"/>
            </w:tcMar>
            <w:vAlign w:val="center"/>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val="fr-FR" w:bidi="ar-TN"/>
              </w:rPr>
              <w:t>الأهداف</w:t>
            </w:r>
          </w:p>
        </w:tc>
        <w:tc>
          <w:tcPr>
            <w:tcW w:w="1341" w:type="pct"/>
            <w:tcBorders>
              <w:top w:val="single" w:sz="4" w:space="0" w:color="auto"/>
            </w:tcBorders>
            <w:shd w:val="clear" w:color="auto" w:fill="FFFFFF"/>
            <w:tcMar>
              <w:top w:w="110" w:type="dxa"/>
            </w:tcMar>
            <w:vAlign w:val="center"/>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679"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457FA0">
        <w:trPr>
          <w:cantSplit/>
        </w:trPr>
        <w:tc>
          <w:tcPr>
            <w:tcW w:w="867" w:type="pct"/>
            <w:tcBorders>
              <w:bottom w:val="single" w:sz="4" w:space="0" w:color="auto"/>
            </w:tcBorders>
            <w:shd w:val="clear" w:color="auto" w:fill="auto"/>
          </w:tcPr>
          <w:p w:rsidR="00B31868"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عدد البلدان التي أقرت أو قامت بتعديل أطر العمل ذات الصلة بالإضافة إلى المساعدة التي تقدمها الويبو (أو هي بصدد القيام بذلك)</w:t>
            </w:r>
          </w:p>
        </w:tc>
        <w:tc>
          <w:tcPr>
            <w:tcW w:w="958" w:type="pct"/>
            <w:tcBorders>
              <w:bottom w:val="single" w:sz="4" w:space="0" w:color="auto"/>
            </w:tcBorders>
            <w:shd w:val="clear" w:color="auto" w:fill="auto"/>
          </w:tcPr>
          <w:p w:rsidR="00B31868" w:rsidRPr="00211D55" w:rsidRDefault="00B31868" w:rsidP="00086C3F">
            <w:pPr>
              <w:bidi/>
              <w:spacing w:before="60" w:after="60" w:line="30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9 بلدان/منظمات تقوم بتعديل و/أو اعتماد الأطر الوجيهة لإنفاذ الملكية الفكرية بفعالية: أفريقيا (5) وآسيا والمحيط الهادئ (2) وأمريكا اللاتينية والكاريبي (2)</w:t>
            </w:r>
          </w:p>
          <w:p w:rsidR="00B31868"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يحدد فيما بعد</w:t>
            </w:r>
          </w:p>
        </w:tc>
        <w:tc>
          <w:tcPr>
            <w:tcW w:w="1155" w:type="pct"/>
            <w:tcBorders>
              <w:bottom w:val="single" w:sz="4" w:space="0" w:color="auto"/>
            </w:tcBorders>
            <w:shd w:val="clear" w:color="auto" w:fill="auto"/>
            <w:tcMar>
              <w:top w:w="110" w:type="dxa"/>
            </w:tcMar>
          </w:tcPr>
          <w:p w:rsidR="00B31868" w:rsidRPr="00211D55" w:rsidRDefault="00B31868" w:rsidP="00086C3F">
            <w:pPr>
              <w:keepNext/>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6</w:t>
            </w:r>
          </w:p>
        </w:tc>
        <w:tc>
          <w:tcPr>
            <w:tcW w:w="1341" w:type="pct"/>
            <w:tcBorders>
              <w:bottom w:val="single" w:sz="4" w:space="0" w:color="auto"/>
            </w:tcBorders>
            <w:shd w:val="clear" w:color="auto" w:fill="FFFFFF"/>
            <w:tcMar>
              <w:top w:w="110" w:type="dxa"/>
            </w:tcMar>
          </w:tcPr>
          <w:p w:rsidR="00B31868" w:rsidRPr="00211D55" w:rsidRDefault="006406B5"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12 بلداً</w:t>
            </w:r>
            <w:r w:rsidR="00B31868" w:rsidRPr="00211D55">
              <w:rPr>
                <w:rFonts w:ascii="Arabic Typesetting" w:hAnsi="Arabic Typesetting" w:cs="Arabic Typesetting"/>
                <w:sz w:val="28"/>
                <w:szCs w:val="28"/>
                <w:rtl/>
                <w:lang w:bidi="ar-EG"/>
              </w:rPr>
              <w:t>/منظم</w:t>
            </w:r>
            <w:r w:rsidRPr="00211D55">
              <w:rPr>
                <w:rFonts w:ascii="Arabic Typesetting" w:hAnsi="Arabic Typesetting" w:cs="Arabic Typesetting"/>
                <w:sz w:val="28"/>
                <w:szCs w:val="28"/>
                <w:rtl/>
                <w:lang w:bidi="ar-EG"/>
              </w:rPr>
              <w:t>ة</w:t>
            </w:r>
            <w:r w:rsidR="00B31868" w:rsidRPr="00211D55">
              <w:rPr>
                <w:rFonts w:ascii="Arabic Typesetting" w:hAnsi="Arabic Typesetting" w:cs="Arabic Typesetting"/>
                <w:sz w:val="28"/>
                <w:szCs w:val="28"/>
                <w:rtl/>
                <w:lang w:bidi="ar-EG"/>
              </w:rPr>
              <w:t xml:space="preserve"> إضافية تقوم بتعديل و/أو اعتماد الأطر الوجيهة لإنفاذ الملكية الفكرية بفعالية: أفريقيا (</w:t>
            </w:r>
            <w:r w:rsidRPr="00211D55">
              <w:rPr>
                <w:rFonts w:ascii="Arabic Typesetting" w:hAnsi="Arabic Typesetting" w:cs="Arabic Typesetting"/>
                <w:sz w:val="28"/>
                <w:szCs w:val="28"/>
                <w:rtl/>
                <w:lang w:bidi="ar-EG"/>
              </w:rPr>
              <w:t>5</w:t>
            </w:r>
            <w:r w:rsidR="00B31868" w:rsidRPr="00211D55">
              <w:rPr>
                <w:rFonts w:ascii="Arabic Typesetting" w:hAnsi="Arabic Typesetting" w:cs="Arabic Typesetting"/>
                <w:sz w:val="28"/>
                <w:szCs w:val="28"/>
                <w:rtl/>
                <w:lang w:bidi="ar-EG"/>
              </w:rPr>
              <w:t>) وآسيا والمحيط الهادئ (3) وأمريكا اللاتينية والكاريبي (2)</w:t>
            </w:r>
          </w:p>
          <w:p w:rsidR="00B31868" w:rsidRPr="00211D55" w:rsidRDefault="006406B5" w:rsidP="00086C3F">
            <w:pPr>
              <w:keepNext/>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(21 </w:t>
            </w:r>
            <w:r w:rsidR="00B31868" w:rsidRPr="00211D55">
              <w:rPr>
                <w:rFonts w:ascii="Arabic Typesetting" w:hAnsi="Arabic Typesetting" w:cs="Arabic Typesetting"/>
                <w:sz w:val="28"/>
                <w:szCs w:val="28"/>
                <w:rtl/>
                <w:lang w:bidi="ar-EG"/>
              </w:rPr>
              <w:t>التراكمي)</w:t>
            </w:r>
          </w:p>
        </w:tc>
        <w:tc>
          <w:tcPr>
            <w:tcW w:w="679" w:type="pct"/>
            <w:tcBorders>
              <w:bottom w:val="single" w:sz="4" w:space="0" w:color="auto"/>
            </w:tcBorders>
            <w:shd w:val="clear" w:color="auto" w:fill="auto"/>
            <w:tcMar>
              <w:top w:w="110" w:type="dxa"/>
            </w:tcMar>
          </w:tcPr>
          <w:p w:rsidR="00B31868" w:rsidRPr="00211D55" w:rsidRDefault="006406B5"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
                <w:bCs/>
                <w:color w:val="008000"/>
                <w:sz w:val="28"/>
                <w:szCs w:val="28"/>
                <w:rtl/>
                <w:lang w:bidi="ar-EG"/>
              </w:rPr>
              <w:t>محقق كلياً</w:t>
            </w:r>
          </w:p>
        </w:tc>
      </w:tr>
      <w:tr w:rsidR="009150D8" w:rsidRPr="00211D55" w:rsidTr="00457FA0">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9150D8" w:rsidRPr="00211D55" w:rsidRDefault="009150D8" w:rsidP="00B33874">
            <w:pPr>
              <w:keepNext/>
              <w:bidi/>
              <w:spacing w:after="60" w:line="280" w:lineRule="exact"/>
              <w:ind w:left="1167" w:hanging="1167"/>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lang w:bidi="ar-EG"/>
              </w:rPr>
              <w:t>النتيجة المرتقبة:</w:t>
            </w:r>
            <w:r w:rsidR="006E7FC6" w:rsidRPr="00211D55">
              <w:rPr>
                <w:rFonts w:ascii="Arabic Typesetting" w:hAnsi="Arabic Typesetting" w:cs="Arabic Typesetting"/>
                <w:b/>
                <w:sz w:val="28"/>
                <w:szCs w:val="28"/>
                <w:rtl/>
                <w:lang w:bidi="ar-EG"/>
              </w:rPr>
              <w:tab/>
              <w:t>ه</w:t>
            </w:r>
            <w:r w:rsidRPr="00211D55">
              <w:rPr>
                <w:rFonts w:ascii="Arabic Typesetting" w:hAnsi="Arabic Typesetting" w:cs="Arabic Typesetting"/>
                <w:sz w:val="28"/>
                <w:szCs w:val="28"/>
                <w:rtl/>
                <w:lang w:bidi="ar-EG"/>
              </w:rPr>
              <w:t>2.3 كفاءة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B31868" w:rsidRPr="00211D55" w:rsidTr="00457FA0">
        <w:trPr>
          <w:cantSplit/>
        </w:trPr>
        <w:tc>
          <w:tcPr>
            <w:tcW w:w="867" w:type="pct"/>
            <w:tcBorders>
              <w:top w:val="single" w:sz="4" w:space="0" w:color="auto"/>
            </w:tcBorders>
            <w:shd w:val="clear" w:color="auto" w:fill="auto"/>
            <w:vAlign w:val="center"/>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958" w:type="pct"/>
            <w:tcBorders>
              <w:top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 xml:space="preserve">أسس المقارنة </w:t>
            </w:r>
          </w:p>
        </w:tc>
        <w:tc>
          <w:tcPr>
            <w:tcW w:w="1155" w:type="pct"/>
            <w:tcBorders>
              <w:top w:val="single" w:sz="4" w:space="0" w:color="auto"/>
            </w:tcBorders>
            <w:shd w:val="clear" w:color="auto" w:fill="auto"/>
            <w:tcMar>
              <w:top w:w="110" w:type="dxa"/>
            </w:tcMar>
            <w:vAlign w:val="center"/>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val="fr-FR" w:bidi="ar-TN"/>
              </w:rPr>
              <w:t>الأهداف</w:t>
            </w:r>
            <w:r w:rsidRPr="00211D55">
              <w:rPr>
                <w:rFonts w:ascii="Arabic Typesetting" w:hAnsi="Arabic Typesetting" w:cs="Arabic Typesetting"/>
                <w:b/>
                <w:bCs/>
                <w:sz w:val="28"/>
                <w:szCs w:val="28"/>
                <w:lang w:bidi="ar-EG"/>
              </w:rPr>
              <w:t xml:space="preserve"> </w:t>
            </w:r>
          </w:p>
        </w:tc>
        <w:tc>
          <w:tcPr>
            <w:tcW w:w="1341" w:type="pct"/>
            <w:tcBorders>
              <w:top w:val="single" w:sz="4" w:space="0" w:color="auto"/>
            </w:tcBorders>
            <w:shd w:val="clear" w:color="auto" w:fill="FFFFFF"/>
            <w:tcMar>
              <w:top w:w="110" w:type="dxa"/>
            </w:tcMar>
            <w:vAlign w:val="center"/>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679"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211D55">
        <w:trPr>
          <w:cantSplit/>
        </w:trPr>
        <w:tc>
          <w:tcPr>
            <w:tcW w:w="867" w:type="pct"/>
            <w:tcBorders>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النسبة المئوية من المشاركين المتدربين الراضين عن جدوى التدريب المقدم وأهميته في الحياة المهنية</w:t>
            </w:r>
          </w:p>
        </w:tc>
        <w:tc>
          <w:tcPr>
            <w:tcW w:w="958" w:type="pct"/>
            <w:tcBorders>
              <w:bottom w:val="nil"/>
            </w:tcBorders>
            <w:shd w:val="clear" w:color="auto" w:fill="auto"/>
          </w:tcPr>
          <w:p w:rsidR="00B31868" w:rsidRPr="00211D55" w:rsidRDefault="00B31868" w:rsidP="00086C3F">
            <w:pPr>
              <w:bidi/>
              <w:spacing w:before="60" w:after="60" w:line="30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85%</w:t>
            </w:r>
          </w:p>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75%</w:t>
            </w:r>
          </w:p>
        </w:tc>
        <w:tc>
          <w:tcPr>
            <w:tcW w:w="1155" w:type="pct"/>
            <w:tcBorders>
              <w:bottom w:val="nil"/>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color w:val="993300"/>
                <w:sz w:val="28"/>
                <w:szCs w:val="28"/>
                <w:rtl/>
                <w:lang w:bidi="ar-EG"/>
              </w:rPr>
            </w:pPr>
            <w:r w:rsidRPr="00211D55">
              <w:rPr>
                <w:rFonts w:ascii="Arabic Typesetting" w:hAnsi="Arabic Typesetting" w:cs="Arabic Typesetting"/>
                <w:sz w:val="28"/>
                <w:szCs w:val="28"/>
                <w:rtl/>
                <w:lang w:eastAsia="ko-KR" w:bidi="ar-EG"/>
              </w:rPr>
              <w:t>75%</w:t>
            </w:r>
          </w:p>
        </w:tc>
        <w:tc>
          <w:tcPr>
            <w:tcW w:w="1341" w:type="pct"/>
            <w:tcBorders>
              <w:bottom w:val="nil"/>
            </w:tcBorders>
            <w:shd w:val="clear" w:color="auto" w:fill="FFFFFF"/>
            <w:tcMar>
              <w:top w:w="110" w:type="dxa"/>
            </w:tcMar>
          </w:tcPr>
          <w:p w:rsidR="00B31868" w:rsidRPr="00211D55" w:rsidRDefault="00457FA0" w:rsidP="00086C3F">
            <w:pPr>
              <w:bidi/>
              <w:spacing w:before="60" w:after="12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93</w:t>
            </w:r>
            <w:r w:rsidR="00B31868" w:rsidRPr="00211D55">
              <w:rPr>
                <w:rFonts w:ascii="Arabic Typesetting" w:hAnsi="Arabic Typesetting" w:cs="Arabic Typesetting"/>
                <w:sz w:val="28"/>
                <w:szCs w:val="28"/>
                <w:rtl/>
                <w:lang w:bidi="ar-EG"/>
              </w:rPr>
              <w:t>% في المتوسط من المشاركين يبلغون بأنهم وجدوا التدريب مفيدا لحياتهم المهنية</w:t>
            </w:r>
          </w:p>
          <w:p w:rsidR="00B31868" w:rsidRPr="00211D55" w:rsidRDefault="00457FA0"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92</w:t>
            </w:r>
            <w:r w:rsidR="00B31868" w:rsidRPr="00211D55">
              <w:rPr>
                <w:rFonts w:ascii="Arabic Typesetting" w:hAnsi="Arabic Typesetting" w:cs="Arabic Typesetting"/>
                <w:sz w:val="28"/>
                <w:szCs w:val="28"/>
                <w:rtl/>
                <w:lang w:bidi="ar-EG"/>
              </w:rPr>
              <w:t>% في المتوسط من المشاركين يبلغون بأنهم راضين عن التدريب</w:t>
            </w:r>
          </w:p>
        </w:tc>
        <w:tc>
          <w:tcPr>
            <w:tcW w:w="679" w:type="pct"/>
            <w:tcBorders>
              <w:bottom w:val="nil"/>
            </w:tcBorders>
            <w:shd w:val="clear" w:color="auto" w:fill="auto"/>
            <w:tcMar>
              <w:top w:w="110" w:type="dxa"/>
            </w:tcMar>
          </w:tcPr>
          <w:p w:rsidR="00B31868" w:rsidRPr="00211D55" w:rsidRDefault="00457FA0"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
                <w:bCs/>
                <w:color w:val="008000"/>
                <w:sz w:val="28"/>
                <w:szCs w:val="28"/>
                <w:rtl/>
                <w:lang w:bidi="ar-EG"/>
              </w:rPr>
              <w:t>محقق كلياً</w:t>
            </w:r>
          </w:p>
        </w:tc>
      </w:tr>
      <w:tr w:rsidR="00B31868" w:rsidRPr="00211D55" w:rsidTr="00211D55">
        <w:trPr>
          <w:cantSplit/>
        </w:trPr>
        <w:tc>
          <w:tcPr>
            <w:tcW w:w="867" w:type="pct"/>
            <w:tcBorders>
              <w:top w:val="nil"/>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النسبة المئوية للجمهور المستهدف الذي أظهر معرفة أساسية بنظام الملكية الفكرية المتوازن إضافة إلى أنشطة الويبو</w:t>
            </w:r>
          </w:p>
        </w:tc>
        <w:tc>
          <w:tcPr>
            <w:tcW w:w="958" w:type="pct"/>
            <w:tcBorders>
              <w:top w:val="nil"/>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b/>
                <w:sz w:val="28"/>
                <w:szCs w:val="28"/>
                <w:rtl/>
                <w:lang w:bidi="ar-EG"/>
              </w:rPr>
              <w:t>لا ينطبق</w:t>
            </w:r>
          </w:p>
        </w:tc>
        <w:tc>
          <w:tcPr>
            <w:tcW w:w="1155" w:type="pct"/>
            <w:tcBorders>
              <w:top w:val="nil"/>
              <w:bottom w:val="single" w:sz="4" w:space="0" w:color="auto"/>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eastAsia="ko-KR" w:bidi="ar-EG"/>
              </w:rPr>
            </w:pPr>
            <w:r w:rsidRPr="00211D55">
              <w:rPr>
                <w:rFonts w:ascii="Arabic Typesetting" w:hAnsi="Arabic Typesetting" w:cs="Arabic Typesetting"/>
                <w:sz w:val="28"/>
                <w:szCs w:val="28"/>
                <w:rtl/>
                <w:lang w:eastAsia="ko-KR" w:bidi="ar-EG"/>
              </w:rPr>
              <w:t>75%</w:t>
            </w:r>
          </w:p>
        </w:tc>
        <w:tc>
          <w:tcPr>
            <w:tcW w:w="1341" w:type="pct"/>
            <w:tcBorders>
              <w:top w:val="nil"/>
              <w:bottom w:val="single" w:sz="4" w:space="0" w:color="auto"/>
            </w:tcBorders>
            <w:shd w:val="clear" w:color="auto" w:fill="FFFFFF"/>
            <w:tcMar>
              <w:top w:w="110" w:type="dxa"/>
            </w:tcMar>
          </w:tcPr>
          <w:p w:rsidR="00B31868" w:rsidRPr="00211D55" w:rsidRDefault="00457FA0"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أكثر من </w:t>
            </w:r>
            <w:r w:rsidR="00B31868" w:rsidRPr="00211D55">
              <w:rPr>
                <w:rFonts w:ascii="Arabic Typesetting" w:hAnsi="Arabic Typesetting" w:cs="Arabic Typesetting"/>
                <w:sz w:val="28"/>
                <w:szCs w:val="28"/>
                <w:rtl/>
                <w:lang w:bidi="ar-EG"/>
              </w:rPr>
              <w:t>75%</w:t>
            </w:r>
            <w:r w:rsidRPr="00211D55">
              <w:rPr>
                <w:rFonts w:ascii="Arabic Typesetting" w:hAnsi="Arabic Typesetting" w:cs="Arabic Typesetting"/>
                <w:sz w:val="28"/>
                <w:szCs w:val="28"/>
                <w:rtl/>
                <w:lang w:bidi="ar-EG"/>
              </w:rPr>
              <w:t xml:space="preserve"> من الجمهور المستهدف يظهر معرفة أساسية في إطار المنافسات المدرسية في البلدان المشاركة</w:t>
            </w:r>
          </w:p>
        </w:tc>
        <w:tc>
          <w:tcPr>
            <w:tcW w:w="679" w:type="pct"/>
            <w:tcBorders>
              <w:top w:val="nil"/>
              <w:bottom w:val="single" w:sz="4" w:space="0" w:color="auto"/>
            </w:tcBorders>
            <w:shd w:val="clear" w:color="auto" w:fill="auto"/>
            <w:tcMar>
              <w:top w:w="110" w:type="dxa"/>
            </w:tcMar>
          </w:tcPr>
          <w:p w:rsidR="00B31868" w:rsidRPr="00211D55" w:rsidRDefault="00457FA0" w:rsidP="00086C3F">
            <w:pPr>
              <w:keepNext/>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B31868" w:rsidRPr="00211D55" w:rsidTr="00211D55">
        <w:trPr>
          <w:cantSplit/>
        </w:trPr>
        <w:tc>
          <w:tcPr>
            <w:tcW w:w="867" w:type="pct"/>
            <w:tcBorders>
              <w:top w:val="single" w:sz="4" w:space="0" w:color="auto"/>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lastRenderedPageBreak/>
              <w:t>عدد البلدان المشاركة في برنامج جائزة الويبو</w:t>
            </w:r>
          </w:p>
        </w:tc>
        <w:tc>
          <w:tcPr>
            <w:tcW w:w="958" w:type="pct"/>
            <w:tcBorders>
              <w:top w:val="single" w:sz="4" w:space="0" w:color="auto"/>
              <w:bottom w:val="single" w:sz="4" w:space="0" w:color="auto"/>
            </w:tcBorders>
            <w:shd w:val="clear" w:color="auto" w:fill="auto"/>
          </w:tcPr>
          <w:p w:rsidR="00B31868" w:rsidRPr="00211D55" w:rsidRDefault="00B31868" w:rsidP="00086C3F">
            <w:pPr>
              <w:bidi/>
              <w:spacing w:before="60" w:after="60" w:line="30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42 في 2013</w:t>
            </w:r>
          </w:p>
          <w:p w:rsidR="00B31868" w:rsidRPr="00211D55" w:rsidRDefault="00B31868" w:rsidP="00086C3F">
            <w:pPr>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40 سنويا</w:t>
            </w:r>
          </w:p>
        </w:tc>
        <w:tc>
          <w:tcPr>
            <w:tcW w:w="1155" w:type="pct"/>
            <w:tcBorders>
              <w:top w:val="single" w:sz="4" w:space="0" w:color="auto"/>
              <w:bottom w:val="single" w:sz="4" w:space="0" w:color="auto"/>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eastAsia="ko-KR" w:bidi="ar-EG"/>
              </w:rPr>
            </w:pPr>
            <w:r w:rsidRPr="00211D55">
              <w:rPr>
                <w:rFonts w:ascii="Arabic Typesetting" w:hAnsi="Arabic Typesetting" w:cs="Arabic Typesetting"/>
                <w:sz w:val="28"/>
                <w:szCs w:val="28"/>
                <w:rtl/>
                <w:lang w:eastAsia="ko-KR" w:bidi="ar-EG"/>
              </w:rPr>
              <w:t>40 سنويا</w:t>
            </w:r>
          </w:p>
        </w:tc>
        <w:tc>
          <w:tcPr>
            <w:tcW w:w="1341" w:type="pct"/>
            <w:tcBorders>
              <w:top w:val="single" w:sz="4" w:space="0" w:color="auto"/>
              <w:bottom w:val="single" w:sz="4" w:space="0" w:color="auto"/>
            </w:tcBorders>
            <w:shd w:val="clear" w:color="auto" w:fill="FFFFFF"/>
            <w:tcMar>
              <w:top w:w="110" w:type="dxa"/>
            </w:tcMar>
          </w:tcPr>
          <w:p w:rsidR="00457FA0" w:rsidRPr="00211D55" w:rsidRDefault="00457FA0"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شارك ما مجموعه 54 بلداً مختلفاً في برنامج جائزة الويبو في عامي 2014 و2015:</w:t>
            </w:r>
          </w:p>
          <w:p w:rsidR="00457FA0" w:rsidRPr="00211D55" w:rsidRDefault="00457FA0" w:rsidP="009A3712">
            <w:pPr>
              <w:numPr>
                <w:ilvl w:val="0"/>
                <w:numId w:val="17"/>
              </w:num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40</w:t>
            </w:r>
            <w:r w:rsidR="00C52CF7" w:rsidRPr="00F96634">
              <w:rPr>
                <w:rFonts w:ascii="Arabic Typesetting" w:hAnsi="Arabic Typesetting" w:cs="Arabic Typesetting"/>
                <w:sz w:val="28"/>
                <w:szCs w:val="28"/>
                <w:vertAlign w:val="superscript"/>
                <w:rtl/>
                <w:lang w:bidi="ar-EG"/>
              </w:rPr>
              <w:footnoteReference w:id="97"/>
            </w:r>
            <w:r w:rsidRPr="00211D55">
              <w:rPr>
                <w:rFonts w:ascii="Arabic Typesetting" w:hAnsi="Arabic Typesetting" w:cs="Arabic Typesetting"/>
                <w:sz w:val="28"/>
                <w:szCs w:val="28"/>
                <w:rtl/>
                <w:lang w:bidi="ar-EG"/>
              </w:rPr>
              <w:t xml:space="preserve"> في عام 2014: أفريقيا (5)؛ المنطقة العربية (3)؛ آسيا والحيط الهادئ (10)؛ بعض البلدان في أوروبا وآسيا (8)؛ أمريكا اللاتينية والكاريبي (7)؛ بلدان أخرى (7)</w:t>
            </w:r>
          </w:p>
          <w:p w:rsidR="00457FA0" w:rsidRPr="00211D55" w:rsidRDefault="00457FA0" w:rsidP="009A3712">
            <w:pPr>
              <w:numPr>
                <w:ilvl w:val="0"/>
                <w:numId w:val="17"/>
              </w:num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43 في عام 2015: أفريقيا (1)؛ المنطقة العربية (4)؛ آسيا والمحيط الهادئ (8)؛ بعض البلدان في أوروبا وآسيا (15)؛ أمريكا اللاتينية والكاريبي (9)؛ بلدان أخرى (6)</w:t>
            </w:r>
          </w:p>
        </w:tc>
        <w:tc>
          <w:tcPr>
            <w:tcW w:w="679" w:type="pct"/>
            <w:tcBorders>
              <w:top w:val="single" w:sz="4" w:space="0" w:color="auto"/>
              <w:bottom w:val="single" w:sz="4" w:space="0" w:color="auto"/>
            </w:tcBorders>
            <w:shd w:val="clear" w:color="auto" w:fill="auto"/>
            <w:tcMar>
              <w:top w:w="110" w:type="dxa"/>
            </w:tcMar>
          </w:tcPr>
          <w:p w:rsidR="00B31868" w:rsidRPr="00211D55" w:rsidRDefault="00457FA0" w:rsidP="00086C3F">
            <w:pPr>
              <w:keepNext/>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9150D8" w:rsidRPr="00211D55" w:rsidTr="00457FA0">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9150D8" w:rsidRPr="00211D55" w:rsidRDefault="009150D8" w:rsidP="00B33874">
            <w:pPr>
              <w:keepNext/>
              <w:bidi/>
              <w:spacing w:after="60" w:line="280" w:lineRule="exact"/>
              <w:ind w:left="1167" w:hanging="1167"/>
              <w:rPr>
                <w:rFonts w:ascii="Arabic Typesetting" w:hAnsi="Arabic Typesetting" w:cs="Arabic Typesetting"/>
                <w:sz w:val="28"/>
                <w:szCs w:val="28"/>
                <w:rtl/>
                <w:lang w:bidi="ar-TN"/>
              </w:rPr>
            </w:pPr>
            <w:r w:rsidRPr="00211D55">
              <w:rPr>
                <w:rFonts w:ascii="Arabic Typesetting" w:hAnsi="Arabic Typesetting" w:cs="Arabic Typesetting"/>
                <w:b/>
                <w:bCs/>
                <w:sz w:val="28"/>
                <w:szCs w:val="28"/>
                <w:rtl/>
                <w:lang w:bidi="ar-EG"/>
              </w:rPr>
              <w:t>النتيجة المرتقبة:</w:t>
            </w:r>
            <w:r w:rsidR="006E7FC6" w:rsidRPr="00211D55">
              <w:rPr>
                <w:rFonts w:ascii="Arabic Typesetting" w:hAnsi="Arabic Typesetting" w:cs="Arabic Typesetting"/>
                <w:b/>
                <w:sz w:val="28"/>
                <w:szCs w:val="28"/>
                <w:rtl/>
                <w:lang w:bidi="ar-EG"/>
              </w:rPr>
              <w:tab/>
              <w:t>ه</w:t>
            </w:r>
            <w:r w:rsidRPr="00211D55">
              <w:rPr>
                <w:rFonts w:ascii="Arabic Typesetting" w:hAnsi="Arabic Typesetting" w:cs="Arabic Typesetting"/>
                <w:sz w:val="28"/>
                <w:szCs w:val="28"/>
                <w:rtl/>
                <w:lang w:bidi="ar-EG"/>
              </w:rPr>
              <w:t xml:space="preserve">1.6 </w:t>
            </w:r>
            <w:r w:rsidR="009947B0">
              <w:rPr>
                <w:rFonts w:ascii="Arabic Typesetting" w:hAnsi="Arabic Typesetting" w:cs="Arabic Typesetting"/>
                <w:sz w:val="28"/>
                <w:szCs w:val="28"/>
                <w:rtl/>
                <w:lang w:bidi="ar-EG"/>
              </w:rPr>
              <w:t>تقدم في الحوار السياسي الدولي بين الدول الأعضاء حول إذكاء الاحترام للملكية الفكرية، مسترشدا بالتوصية رقم 45 من جدول أعمال التنمية</w:t>
            </w:r>
          </w:p>
        </w:tc>
      </w:tr>
      <w:tr w:rsidR="00B31868" w:rsidRPr="00211D55" w:rsidTr="00457FA0">
        <w:trPr>
          <w:cantSplit/>
        </w:trPr>
        <w:tc>
          <w:tcPr>
            <w:tcW w:w="867"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958" w:type="pct"/>
            <w:tcBorders>
              <w:top w:val="single" w:sz="4" w:space="0" w:color="auto"/>
            </w:tcBorders>
            <w:shd w:val="clear" w:color="auto" w:fill="auto"/>
          </w:tcPr>
          <w:p w:rsidR="00B31868" w:rsidRPr="00211D55" w:rsidRDefault="00C4018E" w:rsidP="00086C3F">
            <w:pPr>
              <w:keepNext/>
              <w:bidi/>
              <w:spacing w:before="60" w:after="60" w:line="280" w:lineRule="exact"/>
              <w:rPr>
                <w:rFonts w:ascii="Arabic Typesetting" w:hAnsi="Arabic Typesetting" w:cs="Arabic Typesetting"/>
                <w:b/>
                <w:bCs/>
                <w:sz w:val="28"/>
                <w:szCs w:val="28"/>
                <w:rtl/>
                <w:lang w:bidi="ar-EG"/>
              </w:rPr>
            </w:pPr>
            <w:r>
              <w:rPr>
                <w:rFonts w:ascii="Arabic Typesetting" w:hAnsi="Arabic Typesetting" w:cs="Arabic Typesetting"/>
                <w:b/>
                <w:bCs/>
                <w:sz w:val="28"/>
                <w:szCs w:val="28"/>
                <w:rtl/>
                <w:lang w:bidi="ar-EG"/>
              </w:rPr>
              <w:t>أسس المقارنة</w:t>
            </w:r>
          </w:p>
        </w:tc>
        <w:tc>
          <w:tcPr>
            <w:tcW w:w="1155"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val="fr-FR" w:bidi="ar-TN"/>
              </w:rPr>
              <w:t>الأهداف</w:t>
            </w:r>
          </w:p>
        </w:tc>
        <w:tc>
          <w:tcPr>
            <w:tcW w:w="1341" w:type="pct"/>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679"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457FA0">
        <w:trPr>
          <w:cantSplit/>
        </w:trPr>
        <w:tc>
          <w:tcPr>
            <w:tcW w:w="867"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استمرار توافق الدول الأعضاء بشأن العمل الجوهري الذي تقوم به لجنة الويبو الاستشارية المعنية بالإنفاذ (</w:t>
            </w:r>
            <w:r w:rsidRPr="00211D55">
              <w:rPr>
                <w:rFonts w:ascii="Arabic Typesetting" w:hAnsi="Arabic Typesetting" w:cs="Arabic Typesetting"/>
                <w:sz w:val="28"/>
                <w:szCs w:val="28"/>
                <w:lang w:bidi="ar-EG"/>
              </w:rPr>
              <w:t>ACE</w:t>
            </w:r>
            <w:r w:rsidRPr="00211D55">
              <w:rPr>
                <w:rFonts w:ascii="Arabic Typesetting" w:hAnsi="Arabic Typesetting" w:cs="Arabic Typesetting"/>
                <w:sz w:val="28"/>
                <w:szCs w:val="28"/>
                <w:rtl/>
                <w:lang w:bidi="ar-EG"/>
              </w:rPr>
              <w:t>) الرامي إلى تضمين الشواغل ذات التوجه الإنمائي</w:t>
            </w:r>
          </w:p>
        </w:tc>
        <w:tc>
          <w:tcPr>
            <w:tcW w:w="958" w:type="pct"/>
            <w:shd w:val="clear" w:color="auto" w:fill="auto"/>
          </w:tcPr>
          <w:p w:rsidR="00B31868" w:rsidRPr="00211D55" w:rsidRDefault="00B31868" w:rsidP="00086C3F">
            <w:pPr>
              <w:bidi/>
              <w:spacing w:before="60" w:after="60" w:line="30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الاتفاق على برنامج عمل الدورة التاسعة للجنة الاستشارية (</w:t>
            </w:r>
            <w:r w:rsidRPr="00211D55">
              <w:rPr>
                <w:rFonts w:ascii="Arabic Typesetting" w:hAnsi="Arabic Typesetting" w:cs="Arabic Typesetting"/>
                <w:bCs/>
                <w:color w:val="002060"/>
                <w:sz w:val="28"/>
                <w:szCs w:val="28"/>
                <w:lang w:bidi="ar-EG"/>
              </w:rPr>
              <w:t>ACE</w:t>
            </w:r>
            <w:r w:rsidRPr="00211D55">
              <w:rPr>
                <w:rFonts w:ascii="Arabic Typesetting" w:hAnsi="Arabic Typesetting" w:cs="Arabic Typesetting"/>
                <w:b/>
                <w:color w:val="002060"/>
                <w:sz w:val="28"/>
                <w:szCs w:val="28"/>
                <w:rtl/>
                <w:lang w:bidi="ar-EG"/>
              </w:rPr>
              <w:t>)</w:t>
            </w:r>
          </w:p>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الاتفاق على برنامج عمل الدورة الثامنة للجنة الاستشارية (</w:t>
            </w:r>
            <w:r w:rsidRPr="00211D55">
              <w:rPr>
                <w:rFonts w:ascii="Arabic Typesetting" w:hAnsi="Arabic Typesetting" w:cs="Arabic Typesetting"/>
                <w:bCs/>
                <w:sz w:val="28"/>
                <w:szCs w:val="28"/>
                <w:lang w:bidi="ar-EG"/>
              </w:rPr>
              <w:t>ACE</w:t>
            </w:r>
            <w:r w:rsidRPr="00211D55">
              <w:rPr>
                <w:rFonts w:ascii="Arabic Typesetting" w:hAnsi="Arabic Typesetting" w:cs="Arabic Typesetting"/>
                <w:b/>
                <w:sz w:val="28"/>
                <w:szCs w:val="28"/>
                <w:rtl/>
                <w:lang w:bidi="ar-EG"/>
              </w:rPr>
              <w:t>)</w:t>
            </w:r>
          </w:p>
        </w:tc>
        <w:tc>
          <w:tcPr>
            <w:tcW w:w="1155" w:type="pct"/>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val="fr-FR" w:bidi="ar-TN"/>
              </w:rPr>
            </w:pPr>
            <w:r w:rsidRPr="00211D55">
              <w:rPr>
                <w:rFonts w:ascii="Arabic Typesetting" w:hAnsi="Arabic Typesetting" w:cs="Arabic Typesetting"/>
                <w:sz w:val="28"/>
                <w:szCs w:val="28"/>
                <w:rtl/>
                <w:lang w:val="fr-FR" w:bidi="ar-TN"/>
              </w:rPr>
              <w:t>الاتفاق على برنامج عمل الدورة المقبلة للجنة الاستشارية (</w:t>
            </w:r>
            <w:r w:rsidRPr="00211D55">
              <w:rPr>
                <w:rFonts w:ascii="Arabic Typesetting" w:hAnsi="Arabic Typesetting" w:cs="Arabic Typesetting"/>
                <w:sz w:val="28"/>
                <w:szCs w:val="28"/>
                <w:lang w:val="fr-FR" w:bidi="ar-TN"/>
              </w:rPr>
              <w:t>ACE</w:t>
            </w:r>
            <w:r w:rsidRPr="00211D55">
              <w:rPr>
                <w:rFonts w:ascii="Arabic Typesetting" w:hAnsi="Arabic Typesetting" w:cs="Arabic Typesetting"/>
                <w:sz w:val="28"/>
                <w:szCs w:val="28"/>
                <w:rtl/>
                <w:lang w:val="fr-FR" w:bidi="ar-TN"/>
              </w:rPr>
              <w:t>)</w:t>
            </w:r>
          </w:p>
        </w:tc>
        <w:tc>
          <w:tcPr>
            <w:tcW w:w="1341" w:type="pct"/>
            <w:shd w:val="clear" w:color="auto" w:fill="FFFFFF"/>
            <w:tcMar>
              <w:top w:w="110" w:type="dxa"/>
            </w:tcMar>
          </w:tcPr>
          <w:p w:rsidR="00B31868" w:rsidRPr="00211D55" w:rsidRDefault="00056B7A"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lang w:bidi="ar-EG"/>
              </w:rPr>
              <w:t xml:space="preserve">توصل إلى </w:t>
            </w:r>
            <w:r w:rsidR="00B31868" w:rsidRPr="00211D55">
              <w:rPr>
                <w:rFonts w:ascii="Arabic Typesetting" w:hAnsi="Arabic Typesetting" w:cs="Arabic Typesetting"/>
                <w:sz w:val="28"/>
                <w:szCs w:val="28"/>
                <w:rtl/>
                <w:lang w:bidi="ar-EG"/>
              </w:rPr>
              <w:t xml:space="preserve">اتفاق على برنامج </w:t>
            </w:r>
            <w:r w:rsidRPr="00211D55">
              <w:rPr>
                <w:rFonts w:ascii="Arabic Typesetting" w:hAnsi="Arabic Typesetting" w:cs="Arabic Typesetting"/>
                <w:sz w:val="28"/>
                <w:szCs w:val="28"/>
                <w:rtl/>
                <w:lang w:bidi="ar-EG"/>
              </w:rPr>
              <w:t>ال</w:t>
            </w:r>
            <w:r w:rsidR="00B31868" w:rsidRPr="00211D55">
              <w:rPr>
                <w:rFonts w:ascii="Arabic Typesetting" w:hAnsi="Arabic Typesetting" w:cs="Arabic Typesetting"/>
                <w:sz w:val="28"/>
                <w:szCs w:val="28"/>
                <w:rtl/>
                <w:lang w:bidi="ar-EG"/>
              </w:rPr>
              <w:t xml:space="preserve">عمل </w:t>
            </w:r>
            <w:r w:rsidRPr="00211D55">
              <w:rPr>
                <w:rFonts w:ascii="Arabic Typesetting" w:hAnsi="Arabic Typesetting" w:cs="Arabic Typesetting"/>
                <w:sz w:val="28"/>
                <w:szCs w:val="28"/>
                <w:rtl/>
                <w:lang w:bidi="ar-EG"/>
              </w:rPr>
              <w:t>خلال الدورتين التاسعة والعاشرة للجنة الاستشارية (</w:t>
            </w:r>
            <w:r w:rsidRPr="00211D55">
              <w:rPr>
                <w:rFonts w:ascii="Arabic Typesetting" w:hAnsi="Arabic Typesetting" w:cs="Arabic Typesetting"/>
                <w:sz w:val="28"/>
                <w:szCs w:val="28"/>
                <w:rtl/>
              </w:rPr>
              <w:t xml:space="preserve">الفقرة 44 من الوثيقة </w:t>
            </w:r>
            <w:r w:rsidRPr="00211D55">
              <w:rPr>
                <w:rFonts w:ascii="Arabic Typesetting" w:hAnsi="Arabic Typesetting" w:cs="Arabic Typesetting"/>
                <w:sz w:val="28"/>
                <w:szCs w:val="28"/>
                <w:lang w:bidi="ar-EG"/>
              </w:rPr>
              <w:t>WIPO/ACE/9/29</w:t>
            </w:r>
            <w:r w:rsidRPr="00211D55">
              <w:rPr>
                <w:rFonts w:ascii="Arabic Typesetting" w:hAnsi="Arabic Typesetting" w:cs="Arabic Typesetting"/>
                <w:sz w:val="28"/>
                <w:szCs w:val="28"/>
                <w:rtl/>
              </w:rPr>
              <w:t xml:space="preserve"> والفقرة 40 من الوثيقة </w:t>
            </w:r>
            <w:r w:rsidRPr="00211D55">
              <w:rPr>
                <w:rFonts w:ascii="Arabic Typesetting" w:hAnsi="Arabic Typesetting" w:cs="Arabic Typesetting"/>
                <w:sz w:val="28"/>
                <w:szCs w:val="28"/>
              </w:rPr>
              <w:t>WIPO/ACE/10/26 PROV.</w:t>
            </w:r>
            <w:r w:rsidRPr="00211D55">
              <w:rPr>
                <w:rFonts w:ascii="Arabic Typesetting" w:hAnsi="Arabic Typesetting" w:cs="Arabic Typesetting"/>
                <w:sz w:val="28"/>
                <w:szCs w:val="28"/>
                <w:rtl/>
              </w:rPr>
              <w:t>)</w:t>
            </w:r>
          </w:p>
        </w:tc>
        <w:tc>
          <w:tcPr>
            <w:tcW w:w="679" w:type="pct"/>
            <w:shd w:val="clear" w:color="auto" w:fill="auto"/>
            <w:tcMar>
              <w:top w:w="110" w:type="dxa"/>
            </w:tcMar>
          </w:tcPr>
          <w:p w:rsidR="00B31868" w:rsidRPr="00211D55" w:rsidRDefault="00056B7A" w:rsidP="00086C3F">
            <w:pPr>
              <w:keepNext/>
              <w:bidi/>
              <w:spacing w:before="60" w:after="60" w:line="280" w:lineRule="exact"/>
              <w:rPr>
                <w:rFonts w:ascii="Arabic Typesetting" w:hAnsi="Arabic Typesetting" w:cs="Arabic Typesetting"/>
                <w:bCs/>
                <w:sz w:val="28"/>
                <w:szCs w:val="28"/>
                <w:lang w:bidi="ar-EG"/>
              </w:rPr>
            </w:pPr>
            <w:r w:rsidRPr="00211D55">
              <w:rPr>
                <w:rFonts w:ascii="Arabic Typesetting" w:hAnsi="Arabic Typesetting" w:cs="Arabic Typesetting"/>
                <w:b/>
                <w:bCs/>
                <w:color w:val="008000"/>
                <w:sz w:val="28"/>
                <w:szCs w:val="28"/>
                <w:rtl/>
                <w:lang w:bidi="ar-EG"/>
              </w:rPr>
              <w:t>محقق كلياً</w:t>
            </w:r>
          </w:p>
        </w:tc>
      </w:tr>
      <w:tr w:rsidR="009150D8" w:rsidRPr="00211D55" w:rsidTr="00457FA0">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9150D8" w:rsidRPr="00211D55" w:rsidRDefault="009150D8" w:rsidP="00B33874">
            <w:pPr>
              <w:keepNext/>
              <w:bidi/>
              <w:spacing w:after="60" w:line="280" w:lineRule="exact"/>
              <w:ind w:left="1167" w:hanging="1167"/>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lang w:bidi="ar-EG"/>
              </w:rPr>
              <w:lastRenderedPageBreak/>
              <w:t xml:space="preserve">النتيجة المرتقبة: </w:t>
            </w:r>
            <w:r w:rsidR="006E7FC6" w:rsidRPr="00211D55">
              <w:rPr>
                <w:rFonts w:ascii="Arabic Typesetting" w:hAnsi="Arabic Typesetting" w:cs="Arabic Typesetting"/>
                <w:b/>
                <w:sz w:val="28"/>
                <w:szCs w:val="28"/>
                <w:rtl/>
                <w:lang w:bidi="ar-EG"/>
              </w:rPr>
              <w:tab/>
              <w:t>ه</w:t>
            </w:r>
            <w:r w:rsidRPr="00211D55">
              <w:rPr>
                <w:rFonts w:ascii="Arabic Typesetting" w:hAnsi="Arabic Typesetting" w:cs="Arabic Typesetting"/>
                <w:sz w:val="28"/>
                <w:szCs w:val="28"/>
                <w:rtl/>
                <w:lang w:bidi="ar-EG"/>
              </w:rPr>
              <w:t xml:space="preserve">2.6 </w:t>
            </w:r>
            <w:r w:rsidR="009947B0">
              <w:rPr>
                <w:rFonts w:ascii="Arabic Typesetting" w:hAnsi="Arabic Typesetting" w:cs="Arabic Typesetting"/>
                <w:sz w:val="28"/>
                <w:szCs w:val="28"/>
                <w:rtl/>
                <w:lang w:bidi="ar-EG"/>
              </w:rPr>
              <w:t>تعاون وتنسيق على نحو منتظم وفعال وشفاف بين عمل الويبو وعمل المنظمات الدولية الأخرى في مجال إذكاء الاحترام للملكية الفكرية</w:t>
            </w:r>
          </w:p>
        </w:tc>
      </w:tr>
      <w:tr w:rsidR="00B31868" w:rsidRPr="00211D55" w:rsidTr="00457FA0">
        <w:trPr>
          <w:cantSplit/>
        </w:trPr>
        <w:tc>
          <w:tcPr>
            <w:tcW w:w="867" w:type="pct"/>
            <w:tcBorders>
              <w:top w:val="single" w:sz="4" w:space="0" w:color="auto"/>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958" w:type="pct"/>
            <w:tcBorders>
              <w:top w:val="single" w:sz="4" w:space="0" w:color="auto"/>
            </w:tcBorders>
            <w:shd w:val="clear" w:color="auto" w:fill="auto"/>
          </w:tcPr>
          <w:p w:rsidR="00B31868" w:rsidRPr="00211D55" w:rsidRDefault="00C10ACB"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أسس المقارنة</w:t>
            </w:r>
          </w:p>
        </w:tc>
        <w:tc>
          <w:tcPr>
            <w:tcW w:w="1155"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val="fr-FR" w:bidi="ar-TN"/>
              </w:rPr>
              <w:t>الأهداف</w:t>
            </w:r>
          </w:p>
        </w:tc>
        <w:tc>
          <w:tcPr>
            <w:tcW w:w="1341" w:type="pct"/>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679"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457FA0">
        <w:trPr>
          <w:cantSplit/>
        </w:trPr>
        <w:tc>
          <w:tcPr>
            <w:tcW w:w="867" w:type="pct"/>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عدد الأنشطة المشتركة بشأن إذكاء الاحترام للملكية الفكرية</w:t>
            </w:r>
          </w:p>
        </w:tc>
        <w:tc>
          <w:tcPr>
            <w:tcW w:w="958" w:type="pct"/>
            <w:shd w:val="clear" w:color="auto" w:fill="auto"/>
          </w:tcPr>
          <w:p w:rsidR="00B31868" w:rsidRPr="00211D55" w:rsidRDefault="00B31868" w:rsidP="00086C3F">
            <w:pPr>
              <w:bidi/>
              <w:spacing w:before="60" w:after="60" w:line="300" w:lineRule="exact"/>
              <w:rPr>
                <w:rFonts w:ascii="Arabic Typesetting" w:hAnsi="Arabic Typesetting" w:cs="Arabic Typesetting"/>
                <w:b/>
                <w:i/>
                <w:iCs/>
                <w:color w:val="002060"/>
                <w:sz w:val="28"/>
                <w:szCs w:val="28"/>
                <w:rtl/>
                <w:lang w:bidi="ar-EG"/>
              </w:rPr>
            </w:pPr>
            <w:r w:rsidRPr="00211D55">
              <w:rPr>
                <w:rFonts w:ascii="Arabic Typesetting" w:hAnsi="Arabic Typesetting" w:cs="Arabic Typesetting"/>
                <w:b/>
                <w:i/>
                <w:iCs/>
                <w:color w:val="002060"/>
                <w:sz w:val="28"/>
                <w:szCs w:val="28"/>
                <w:rtl/>
                <w:lang w:bidi="ar-EG"/>
              </w:rPr>
              <w:t xml:space="preserve">أسس المقارنة المحدّثة في نهاية 2013: </w:t>
            </w:r>
            <w:r w:rsidRPr="00211D55">
              <w:rPr>
                <w:rFonts w:ascii="Arabic Typesetting" w:hAnsi="Arabic Typesetting" w:cs="Arabic Typesetting"/>
                <w:b/>
                <w:color w:val="002060"/>
                <w:sz w:val="28"/>
                <w:szCs w:val="28"/>
                <w:rtl/>
                <w:lang w:bidi="ar-EG"/>
              </w:rPr>
              <w:t xml:space="preserve">39 في الثنائية </w:t>
            </w:r>
            <w:r w:rsidR="00507DE2">
              <w:rPr>
                <w:rFonts w:ascii="Arabic Typesetting" w:hAnsi="Arabic Typesetting" w:cs="Arabic Typesetting"/>
                <w:b/>
                <w:color w:val="002060"/>
                <w:sz w:val="28"/>
                <w:szCs w:val="28"/>
                <w:rtl/>
                <w:lang w:bidi="ar-EG"/>
              </w:rPr>
              <w:t>2014/15</w:t>
            </w:r>
          </w:p>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 xml:space="preserve">: </w:t>
            </w:r>
            <w:r w:rsidRPr="00211D55">
              <w:rPr>
                <w:rFonts w:ascii="Arabic Typesetting" w:hAnsi="Arabic Typesetting" w:cs="Arabic Typesetting"/>
                <w:b/>
                <w:sz w:val="28"/>
                <w:szCs w:val="28"/>
                <w:rtl/>
                <w:lang w:bidi="ar-EG"/>
              </w:rPr>
              <w:t>30</w:t>
            </w:r>
          </w:p>
        </w:tc>
        <w:tc>
          <w:tcPr>
            <w:tcW w:w="1155" w:type="pct"/>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30</w:t>
            </w:r>
          </w:p>
        </w:tc>
        <w:tc>
          <w:tcPr>
            <w:tcW w:w="1341" w:type="pct"/>
            <w:shd w:val="clear" w:color="auto" w:fill="FFFFFF"/>
            <w:tcMar>
              <w:top w:w="110" w:type="dxa"/>
            </w:tcMar>
          </w:tcPr>
          <w:p w:rsidR="00056B7A" w:rsidRPr="00211D55" w:rsidRDefault="00056B7A"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نظمت </w:t>
            </w:r>
            <w:r w:rsidR="00C52CF7" w:rsidRPr="00211D55">
              <w:rPr>
                <w:rFonts w:ascii="Arabic Typesetting" w:hAnsi="Arabic Typesetting" w:cs="Arabic Typesetting"/>
                <w:sz w:val="28"/>
                <w:szCs w:val="28"/>
                <w:rtl/>
                <w:lang w:bidi="ar-EG"/>
              </w:rPr>
              <w:t>7</w:t>
            </w:r>
            <w:r w:rsidRPr="00211D55">
              <w:rPr>
                <w:rFonts w:ascii="Arabic Typesetting" w:hAnsi="Arabic Typesetting" w:cs="Arabic Typesetting"/>
                <w:sz w:val="28"/>
                <w:szCs w:val="28"/>
                <w:rtl/>
                <w:lang w:bidi="ar-EG"/>
              </w:rPr>
              <w:t xml:space="preserve"> عمليات تعاون استراتيجي</w:t>
            </w:r>
            <w:r w:rsidRPr="00F96634">
              <w:rPr>
                <w:rFonts w:ascii="Arabic Typesetting" w:hAnsi="Arabic Typesetting" w:cs="Arabic Typesetting"/>
                <w:sz w:val="28"/>
                <w:szCs w:val="28"/>
                <w:vertAlign w:val="superscript"/>
                <w:rtl/>
                <w:lang w:bidi="ar-EG"/>
              </w:rPr>
              <w:footnoteReference w:id="98"/>
            </w:r>
            <w:r w:rsidRPr="00211D55">
              <w:rPr>
                <w:rFonts w:ascii="Arabic Typesetting" w:hAnsi="Arabic Typesetting" w:cs="Arabic Typesetting"/>
                <w:sz w:val="28"/>
                <w:szCs w:val="28"/>
                <w:rtl/>
                <w:lang w:bidi="ar-EG"/>
              </w:rPr>
              <w:t xml:space="preserve"> في </w:t>
            </w:r>
            <w:r w:rsidR="00507DE2">
              <w:rPr>
                <w:rFonts w:ascii="Arabic Typesetting" w:hAnsi="Arabic Typesetting" w:cs="Arabic Typesetting"/>
                <w:sz w:val="28"/>
                <w:szCs w:val="28"/>
                <w:rtl/>
                <w:lang w:bidi="ar-EG"/>
              </w:rPr>
              <w:t>2014/15</w:t>
            </w:r>
            <w:r w:rsidRPr="00211D55">
              <w:rPr>
                <w:rFonts w:ascii="Arabic Typesetting" w:hAnsi="Arabic Typesetting" w:cs="Arabic Typesetting"/>
                <w:sz w:val="28"/>
                <w:szCs w:val="28"/>
                <w:rtl/>
                <w:lang w:bidi="ar-EG"/>
              </w:rPr>
              <w:t xml:space="preserve"> (التراكمي) و55 نشاطاً</w:t>
            </w:r>
            <w:r w:rsidR="00B31868" w:rsidRPr="00211D55">
              <w:rPr>
                <w:rFonts w:ascii="Arabic Typesetting" w:hAnsi="Arabic Typesetting" w:cs="Arabic Typesetting"/>
                <w:sz w:val="28"/>
                <w:szCs w:val="28"/>
                <w:rtl/>
                <w:lang w:bidi="ar-EG"/>
              </w:rPr>
              <w:t xml:space="preserve"> بالاشتراك مع المنظمات الشريكة وأصحاب المصلحة و/أو شارك البرنامج 17 فيها</w:t>
            </w:r>
            <w:r w:rsidRPr="00211D55">
              <w:rPr>
                <w:rFonts w:ascii="Arabic Typesetting" w:hAnsi="Arabic Typesetting" w:cs="Arabic Typesetting"/>
                <w:sz w:val="28"/>
                <w:szCs w:val="28"/>
                <w:rtl/>
                <w:lang w:bidi="ar-EG"/>
              </w:rPr>
              <w:t>:</w:t>
            </w:r>
          </w:p>
          <w:p w:rsidR="00056B7A" w:rsidRPr="00211D55" w:rsidRDefault="00056B7A" w:rsidP="009A3712">
            <w:pPr>
              <w:numPr>
                <w:ilvl w:val="0"/>
                <w:numId w:val="17"/>
              </w:num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6 عمليات تعاون استراتيجي و</w:t>
            </w:r>
            <w:r w:rsidR="002E439E" w:rsidRPr="00211D55">
              <w:rPr>
                <w:rFonts w:ascii="Arabic Typesetting" w:hAnsi="Arabic Typesetting" w:cs="Arabic Typesetting"/>
                <w:sz w:val="28"/>
                <w:szCs w:val="28"/>
                <w:rtl/>
                <w:lang w:bidi="ar-EG"/>
              </w:rPr>
              <w:t xml:space="preserve">35 </w:t>
            </w:r>
            <w:r w:rsidRPr="00211D55">
              <w:rPr>
                <w:rFonts w:ascii="Arabic Typesetting" w:hAnsi="Arabic Typesetting" w:cs="Arabic Typesetting"/>
                <w:sz w:val="28"/>
                <w:szCs w:val="28"/>
                <w:rtl/>
                <w:lang w:bidi="ar-EG"/>
              </w:rPr>
              <w:t>نشاطاً مشتركاً آخر في عام 2014</w:t>
            </w:r>
            <w:r w:rsidRPr="00F96634">
              <w:rPr>
                <w:rFonts w:ascii="Arabic Typesetting" w:hAnsi="Arabic Typesetting" w:cs="Arabic Typesetting"/>
                <w:sz w:val="28"/>
                <w:szCs w:val="28"/>
                <w:vertAlign w:val="superscript"/>
                <w:rtl/>
                <w:lang w:bidi="ar-EG"/>
              </w:rPr>
              <w:footnoteReference w:id="99"/>
            </w:r>
          </w:p>
          <w:p w:rsidR="00B31868" w:rsidRPr="00211D55" w:rsidRDefault="00056B7A" w:rsidP="009A3712">
            <w:pPr>
              <w:numPr>
                <w:ilvl w:val="0"/>
                <w:numId w:val="17"/>
              </w:num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7 عمليات تعاون استراتيجي (عملية إضافية) و26 نشاطاً مشتركاً آخر في عام 2015</w:t>
            </w:r>
          </w:p>
        </w:tc>
        <w:tc>
          <w:tcPr>
            <w:tcW w:w="679" w:type="pct"/>
            <w:shd w:val="clear" w:color="auto" w:fill="auto"/>
            <w:tcMar>
              <w:top w:w="110" w:type="dxa"/>
            </w:tcMar>
          </w:tcPr>
          <w:p w:rsidR="00B31868" w:rsidRPr="00211D55" w:rsidRDefault="00056B7A"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
                <w:bCs/>
                <w:color w:val="008000"/>
                <w:sz w:val="28"/>
                <w:szCs w:val="28"/>
                <w:rtl/>
                <w:lang w:bidi="ar-EG"/>
              </w:rPr>
              <w:t>محقق كلياً</w:t>
            </w:r>
          </w:p>
        </w:tc>
      </w:tr>
    </w:tbl>
    <w:p w:rsidR="00056B7A"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056B7A" w:rsidRPr="00211D55" w:rsidTr="00F73A65">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056B7A" w:rsidRPr="00211D55" w:rsidRDefault="00056B7A"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056B7A" w:rsidRPr="00211D55" w:rsidRDefault="00056B7A"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056B7A" w:rsidRPr="00211D55" w:rsidRDefault="00056B7A"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056B7A"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6C6B22" w:rsidRPr="00211D55" w:rsidTr="00F73A65">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6C6B22" w:rsidRPr="007A7336" w:rsidRDefault="006C6B22"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 xml:space="preserve">عدم وجود اتفاق </w:t>
            </w:r>
            <w:r w:rsidRPr="007A7336">
              <w:rPr>
                <w:rFonts w:ascii="Arabic Typesetting" w:hAnsi="Arabic Typesetting" w:cs="Arabic Typesetting"/>
                <w:sz w:val="28"/>
                <w:szCs w:val="28"/>
                <w:rtl/>
                <w:lang w:bidi="ar-EG"/>
              </w:rPr>
              <w:t xml:space="preserve">فيما بين الدول الأعضاء وعدم </w:t>
            </w:r>
            <w:r w:rsidRPr="007A7336">
              <w:rPr>
                <w:rFonts w:ascii="Arabic Typesetting" w:hAnsi="Arabic Typesetting" w:cs="Arabic Typesetting" w:hint="cs"/>
                <w:sz w:val="28"/>
                <w:szCs w:val="28"/>
                <w:rtl/>
                <w:lang w:bidi="ar-EG"/>
              </w:rPr>
              <w:t>تقديمها الدعم ال</w:t>
            </w:r>
            <w:r w:rsidRPr="007A7336">
              <w:rPr>
                <w:rFonts w:ascii="Arabic Typesetting" w:hAnsi="Arabic Typesetting" w:cs="Arabic Typesetting"/>
                <w:sz w:val="28"/>
                <w:szCs w:val="28"/>
                <w:rtl/>
                <w:lang w:bidi="ar-EG"/>
              </w:rPr>
              <w:t>سياسي</w:t>
            </w:r>
            <w:r w:rsidRPr="007A7336">
              <w:rPr>
                <w:rFonts w:ascii="Arabic Typesetting" w:hAnsi="Arabic Typesetting" w:cs="Arabic Typesetting" w:hint="cs"/>
                <w:sz w:val="28"/>
                <w:szCs w:val="28"/>
                <w:rtl/>
                <w:lang w:bidi="ar-EG"/>
              </w:rPr>
              <w:t xml:space="preserve"> اللازم</w:t>
            </w:r>
            <w:r w:rsidRPr="007A7336">
              <w:rPr>
                <w:rFonts w:ascii="Arabic Typesetting" w:hAnsi="Arabic Typesetting" w:cs="Arabic Typesetting"/>
                <w:sz w:val="28"/>
                <w:szCs w:val="28"/>
                <w:rtl/>
                <w:lang w:bidi="ar-EG"/>
              </w:rPr>
              <w:t xml:space="preserve"> </w:t>
            </w:r>
            <w:r w:rsidRPr="007A7336">
              <w:rPr>
                <w:rFonts w:ascii="Arabic Typesetting" w:hAnsi="Arabic Typesetting" w:cs="Arabic Typesetting" w:hint="cs"/>
                <w:sz w:val="28"/>
                <w:szCs w:val="28"/>
                <w:rtl/>
                <w:lang w:bidi="ar-EG"/>
              </w:rPr>
              <w:t xml:space="preserve">لأنشطة </w:t>
            </w:r>
            <w:r w:rsidRPr="007A7336">
              <w:rPr>
                <w:rFonts w:ascii="Arabic Typesetting" w:hAnsi="Arabic Typesetting" w:cs="Arabic Typesetting"/>
                <w:sz w:val="28"/>
                <w:szCs w:val="28"/>
                <w:rtl/>
                <w:lang w:bidi="ar-EG"/>
              </w:rPr>
              <w:t>الويبو في مجال إذكاء احترام الملكية</w:t>
            </w:r>
            <w:r w:rsidRPr="007A7336">
              <w:rPr>
                <w:rFonts w:ascii="Arabic Typesetting" w:hAnsi="Arabic Typesetting" w:cs="Arabic Typesetting" w:hint="cs"/>
                <w:sz w:val="28"/>
                <w:szCs w:val="28"/>
                <w:rtl/>
                <w:lang w:bidi="ar-EG"/>
              </w:rPr>
              <w:t>. قد يؤثر ذلك سلباً في دور الويبو في مجال إذكاء الاحترام للملكية الفكرية.</w:t>
            </w:r>
          </w:p>
        </w:tc>
        <w:tc>
          <w:tcPr>
            <w:tcW w:w="2200" w:type="dxa"/>
            <w:tcBorders>
              <w:top w:val="single" w:sz="4" w:space="0" w:color="auto"/>
              <w:bottom w:val="single" w:sz="4" w:space="0" w:color="auto"/>
            </w:tcBorders>
            <w:shd w:val="clear" w:color="auto" w:fill="auto"/>
            <w:tcMar>
              <w:top w:w="113" w:type="dxa"/>
              <w:bottom w:w="113" w:type="dxa"/>
            </w:tcMar>
          </w:tcPr>
          <w:p w:rsidR="006C6B22" w:rsidRPr="007A7336" w:rsidRDefault="006C6B22"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 xml:space="preserve">التشاور المنتظم في إطار هذا البرنامج </w:t>
            </w:r>
            <w:r w:rsidRPr="007A7336">
              <w:rPr>
                <w:rFonts w:ascii="Arabic Typesetting" w:hAnsi="Arabic Typesetting" w:cs="Arabic Typesetting"/>
                <w:sz w:val="28"/>
                <w:szCs w:val="28"/>
                <w:rtl/>
                <w:lang w:bidi="ar-EG"/>
              </w:rPr>
              <w:t xml:space="preserve">مع الدول الأعضاء </w:t>
            </w:r>
            <w:r w:rsidRPr="007A7336">
              <w:rPr>
                <w:rFonts w:ascii="Arabic Typesetting" w:hAnsi="Arabic Typesetting" w:cs="Arabic Typesetting" w:hint="cs"/>
                <w:sz w:val="28"/>
                <w:szCs w:val="28"/>
                <w:rtl/>
                <w:lang w:bidi="ar-EG"/>
              </w:rPr>
              <w:t>ب</w:t>
            </w:r>
            <w:r w:rsidRPr="007A7336">
              <w:rPr>
                <w:rFonts w:ascii="Arabic Typesetting" w:hAnsi="Arabic Typesetting" w:cs="Arabic Typesetting"/>
                <w:sz w:val="28"/>
                <w:szCs w:val="28"/>
                <w:rtl/>
                <w:lang w:bidi="ar-EG"/>
              </w:rPr>
              <w:t xml:space="preserve">هدف </w:t>
            </w:r>
            <w:r w:rsidR="009F5F08" w:rsidRPr="007A7336">
              <w:rPr>
                <w:rFonts w:ascii="Arabic Typesetting" w:hAnsi="Arabic Typesetting" w:cs="Arabic Typesetting" w:hint="cs"/>
                <w:sz w:val="28"/>
                <w:szCs w:val="28"/>
                <w:rtl/>
                <w:lang w:bidi="ar-EG"/>
              </w:rPr>
              <w:t>تيسير</w:t>
            </w:r>
            <w:r w:rsidRPr="007A7336">
              <w:rPr>
                <w:rFonts w:ascii="Arabic Typesetting" w:hAnsi="Arabic Typesetting" w:cs="Arabic Typesetting"/>
                <w:sz w:val="28"/>
                <w:szCs w:val="28"/>
                <w:rtl/>
                <w:lang w:bidi="ar-EG"/>
              </w:rPr>
              <w:t xml:space="preserve"> التقارب بين وجهات النظر بشأن عمل وسياسة أداء اللجنة الاس</w:t>
            </w:r>
            <w:r w:rsidRPr="007A7336">
              <w:rPr>
                <w:rFonts w:ascii="Arabic Typesetting" w:hAnsi="Arabic Typesetting" w:cs="Arabic Typesetting" w:hint="cs"/>
                <w:sz w:val="28"/>
                <w:szCs w:val="28"/>
                <w:rtl/>
                <w:lang w:bidi="ar-EG"/>
              </w:rPr>
              <w:t>ت</w:t>
            </w:r>
            <w:r w:rsidRPr="007A7336">
              <w:rPr>
                <w:rFonts w:ascii="Arabic Typesetting" w:hAnsi="Arabic Typesetting" w:cs="Arabic Typesetting"/>
                <w:sz w:val="28"/>
                <w:szCs w:val="28"/>
                <w:rtl/>
                <w:lang w:bidi="ar-EG"/>
              </w:rPr>
              <w:t>شارية (</w:t>
            </w:r>
            <w:r w:rsidRPr="007A7336">
              <w:rPr>
                <w:rFonts w:ascii="Arabic Typesetting" w:hAnsi="Arabic Typesetting" w:cs="Arabic Typesetting"/>
                <w:sz w:val="28"/>
                <w:szCs w:val="28"/>
                <w:lang w:bidi="ar-EG"/>
              </w:rPr>
              <w:t>ACE</w:t>
            </w:r>
            <w:r w:rsidRPr="007A7336">
              <w:rPr>
                <w:rFonts w:ascii="Arabic Typesetting" w:hAnsi="Arabic Typesetting" w:cs="Arabic Typesetting"/>
                <w:sz w:val="28"/>
                <w:szCs w:val="28"/>
                <w:rtl/>
                <w:lang w:bidi="ar-EG"/>
              </w:rPr>
              <w:t xml:space="preserve">) ووجاهة عملها وأنشطة بناء القدرات ذات الصلة. </w:t>
            </w:r>
            <w:r w:rsidRPr="007A7336">
              <w:rPr>
                <w:rFonts w:ascii="Arabic Typesetting" w:hAnsi="Arabic Typesetting" w:cs="Arabic Typesetting" w:hint="cs"/>
                <w:sz w:val="28"/>
                <w:szCs w:val="28"/>
                <w:rtl/>
                <w:lang w:bidi="ar-EG"/>
              </w:rPr>
              <w:t>و</w:t>
            </w:r>
            <w:r w:rsidRPr="007A7336">
              <w:rPr>
                <w:rFonts w:ascii="Arabic Typesetting" w:hAnsi="Arabic Typesetting" w:cs="Arabic Typesetting"/>
                <w:sz w:val="28"/>
                <w:szCs w:val="28"/>
                <w:rtl/>
                <w:lang w:bidi="ar-EG"/>
              </w:rPr>
              <w:t xml:space="preserve">تطبيق معايير صارمة في جميع الأنشطة بغية تحقيق جودة عالية وضمان الالتزام بالشفافية والحيادية </w:t>
            </w:r>
            <w:r w:rsidRPr="007A7336">
              <w:rPr>
                <w:rFonts w:ascii="Arabic Typesetting" w:hAnsi="Arabic Typesetting" w:cs="Arabic Typesetting" w:hint="cs"/>
                <w:sz w:val="28"/>
                <w:szCs w:val="28"/>
                <w:rtl/>
                <w:lang w:bidi="ar-EG"/>
              </w:rPr>
              <w:t>واتباع</w:t>
            </w:r>
            <w:r w:rsidRPr="007A7336">
              <w:rPr>
                <w:rFonts w:ascii="Arabic Typesetting" w:hAnsi="Arabic Typesetting" w:cs="Arabic Typesetting"/>
                <w:sz w:val="28"/>
                <w:szCs w:val="28"/>
                <w:rtl/>
                <w:lang w:bidi="ar-EG"/>
              </w:rPr>
              <w:t xml:space="preserve"> نهج</w:t>
            </w:r>
            <w:r w:rsidRPr="007A7336">
              <w:rPr>
                <w:rFonts w:ascii="Arabic Typesetting" w:hAnsi="Arabic Typesetting" w:cs="Arabic Typesetting" w:hint="cs"/>
                <w:sz w:val="28"/>
                <w:szCs w:val="28"/>
                <w:rtl/>
                <w:lang w:bidi="ar-EG"/>
              </w:rPr>
              <w:t xml:space="preserve"> يتسم بالتوازن.</w:t>
            </w:r>
          </w:p>
        </w:tc>
        <w:tc>
          <w:tcPr>
            <w:tcW w:w="2310" w:type="dxa"/>
            <w:tcBorders>
              <w:top w:val="single" w:sz="4" w:space="0" w:color="auto"/>
              <w:bottom w:val="single" w:sz="4" w:space="0" w:color="auto"/>
            </w:tcBorders>
          </w:tcPr>
          <w:p w:rsidR="006C6B22" w:rsidRPr="00211D55" w:rsidRDefault="006C6B22" w:rsidP="007A7336">
            <w:pPr>
              <w:bidi/>
              <w:spacing w:before="60" w:after="60" w:line="280" w:lineRule="exact"/>
              <w:rPr>
                <w:rFonts w:ascii="Arabic Typesetting" w:hAnsi="Arabic Typesetting" w:cs="Arabic Typesetting"/>
                <w:b/>
                <w:sz w:val="28"/>
                <w:szCs w:val="28"/>
                <w:rtl/>
              </w:rPr>
            </w:pPr>
            <w:r w:rsidRPr="00211D55">
              <w:rPr>
                <w:rFonts w:ascii="Arabic Typesetting" w:hAnsi="Arabic Typesetting" w:cs="Arabic Typesetting" w:hint="cs"/>
                <w:b/>
                <w:sz w:val="28"/>
                <w:szCs w:val="28"/>
                <w:rtl/>
              </w:rPr>
              <w:t>هذا الخطر قائم ولكن يتحكم فيه بفضل خطط الحد من وطأة المخاطر المنفذة تنفيذاً صارماً وكاملاً. وأيدت الدول الأعضاء عمل الويبو في مجال إذكاء الاحترام للملكية الفكرية كما تبين خلال دورة اللجنة الاستشارية (</w:t>
            </w:r>
            <w:r w:rsidRPr="007A7336">
              <w:rPr>
                <w:rFonts w:ascii="Arabic Typesetting" w:hAnsi="Arabic Typesetting" w:cs="Arabic Typesetting"/>
                <w:sz w:val="28"/>
                <w:szCs w:val="28"/>
              </w:rPr>
              <w:t>ACE</w:t>
            </w:r>
            <w:r w:rsidRPr="00211D55">
              <w:rPr>
                <w:rFonts w:ascii="Arabic Typesetting" w:hAnsi="Arabic Typesetting" w:cs="Arabic Typesetting" w:hint="cs"/>
                <w:b/>
                <w:sz w:val="28"/>
                <w:szCs w:val="28"/>
                <w:rtl/>
              </w:rPr>
              <w:t>) وتقييم شعبة</w:t>
            </w:r>
            <w:r w:rsidR="00B92319" w:rsidRPr="00211D55">
              <w:rPr>
                <w:rFonts w:ascii="Arabic Typesetting" w:hAnsi="Arabic Typesetting" w:cs="Arabic Typesetting" w:hint="cs"/>
                <w:b/>
                <w:sz w:val="28"/>
                <w:szCs w:val="28"/>
                <w:rtl/>
              </w:rPr>
              <w:t xml:space="preserve"> الرقابة الداخلية</w:t>
            </w:r>
            <w:r w:rsidRPr="00211D55">
              <w:rPr>
                <w:rFonts w:ascii="Arabic Typesetting" w:hAnsi="Arabic Typesetting" w:cs="Arabic Typesetting" w:hint="cs"/>
                <w:b/>
                <w:sz w:val="28"/>
                <w:szCs w:val="28"/>
                <w:rtl/>
              </w:rPr>
              <w:t xml:space="preserve"> للهدف الاستراتيجي السادس.</w:t>
            </w:r>
            <w:r w:rsidRPr="00F96634">
              <w:rPr>
                <w:rFonts w:ascii="Arabic Typesetting" w:hAnsi="Arabic Typesetting" w:cs="Arabic Typesetting"/>
                <w:b/>
                <w:sz w:val="28"/>
                <w:szCs w:val="28"/>
                <w:vertAlign w:val="superscript"/>
                <w:rtl/>
              </w:rPr>
              <w:footnoteReference w:id="100"/>
            </w:r>
          </w:p>
        </w:tc>
        <w:tc>
          <w:tcPr>
            <w:tcW w:w="2306" w:type="dxa"/>
            <w:tcBorders>
              <w:top w:val="single" w:sz="4" w:space="0" w:color="auto"/>
              <w:bottom w:val="single" w:sz="4" w:space="0" w:color="auto"/>
              <w:right w:val="single" w:sz="4" w:space="0" w:color="auto"/>
            </w:tcBorders>
          </w:tcPr>
          <w:p w:rsidR="006C6B22" w:rsidRPr="00211D55" w:rsidRDefault="006C6B22" w:rsidP="007A7336">
            <w:pPr>
              <w:bidi/>
              <w:spacing w:before="60" w:after="60" w:line="280" w:lineRule="exact"/>
              <w:rPr>
                <w:rFonts w:ascii="Arabic Typesetting" w:hAnsi="Arabic Typesetting" w:cs="Arabic Typesetting"/>
                <w:b/>
                <w:sz w:val="28"/>
                <w:szCs w:val="28"/>
                <w:lang w:bidi="ar-EG"/>
              </w:rPr>
            </w:pPr>
            <w:r w:rsidRPr="00211D55">
              <w:rPr>
                <w:rFonts w:ascii="Arabic Typesetting" w:hAnsi="Arabic Typesetting" w:cs="Arabic Typesetting" w:hint="cs"/>
                <w:b/>
                <w:sz w:val="28"/>
                <w:szCs w:val="28"/>
                <w:rtl/>
                <w:lang w:bidi="ar-EG"/>
              </w:rPr>
              <w:t>لم ي</w:t>
            </w:r>
            <w:r w:rsidR="00C52CF7" w:rsidRPr="00211D55">
              <w:rPr>
                <w:rFonts w:ascii="Arabic Typesetting" w:hAnsi="Arabic Typesetting" w:cs="Arabic Typesetting" w:hint="cs"/>
                <w:b/>
                <w:sz w:val="28"/>
                <w:szCs w:val="28"/>
                <w:rtl/>
                <w:lang w:bidi="ar-EG"/>
              </w:rPr>
              <w:t>ُ</w:t>
            </w:r>
            <w:r w:rsidRPr="00211D55">
              <w:rPr>
                <w:rFonts w:ascii="Arabic Typesetting" w:hAnsi="Arabic Typesetting" w:cs="Arabic Typesetting" w:hint="cs"/>
                <w:b/>
                <w:sz w:val="28"/>
                <w:szCs w:val="28"/>
                <w:rtl/>
                <w:lang w:bidi="ar-EG"/>
              </w:rPr>
              <w:t xml:space="preserve">تعرض لهذا الخطر خلال الثنائية. وإن الامتثال الصارم لخطة الحد من وطأة المخاطر قد أمن دعم الدول </w:t>
            </w:r>
            <w:r w:rsidRPr="007A7336">
              <w:rPr>
                <w:rFonts w:ascii="Arabic Typesetting" w:hAnsi="Arabic Typesetting" w:cs="Arabic Typesetting" w:hint="cs"/>
                <w:sz w:val="28"/>
                <w:szCs w:val="28"/>
                <w:rtl/>
                <w:lang w:bidi="ar-EG"/>
              </w:rPr>
              <w:t>الأعضاء</w:t>
            </w:r>
            <w:r w:rsidRPr="00211D55">
              <w:rPr>
                <w:rFonts w:ascii="Arabic Typesetting" w:hAnsi="Arabic Typesetting" w:cs="Arabic Typesetting" w:hint="cs"/>
                <w:b/>
                <w:sz w:val="28"/>
                <w:szCs w:val="28"/>
                <w:rtl/>
                <w:lang w:bidi="ar-EG"/>
              </w:rPr>
              <w:t xml:space="preserve"> وأتاح للبرنامج تنفيذ مهامه على النحو الواجب.</w:t>
            </w:r>
          </w:p>
        </w:tc>
      </w:tr>
    </w:tbl>
    <w:p w:rsidR="00B264F9" w:rsidRPr="00B264F9" w:rsidRDefault="00B264F9" w:rsidP="00B264F9">
      <w:pPr>
        <w:keepNext/>
        <w:bidi/>
        <w:spacing w:before="120" w:after="120" w:line="340" w:lineRule="exact"/>
        <w:jc w:val="both"/>
        <w:rPr>
          <w:rFonts w:ascii="Arabic Typesetting" w:hAnsi="Arabic Typesetting" w:cs="Arabic Typesetting"/>
          <w:sz w:val="34"/>
          <w:szCs w:val="34"/>
          <w:lang w:bidi="ar-EG"/>
        </w:rPr>
      </w:pPr>
      <w:r w:rsidRPr="00B264F9">
        <w:rPr>
          <w:rFonts w:ascii="Arabic Typesetting" w:hAnsi="Arabic Typesetting" w:cs="Arabic Typesetting" w:hint="cs"/>
          <w:sz w:val="34"/>
          <w:szCs w:val="34"/>
          <w:rtl/>
          <w:lang w:bidi="ar-EG"/>
        </w:rPr>
        <w:t>استخدام الموارد</w:t>
      </w:r>
    </w:p>
    <w:p w:rsidR="00B31868" w:rsidRPr="00252762" w:rsidRDefault="00774E37" w:rsidP="00252762">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sz w:val="34"/>
          <w:szCs w:val="34"/>
          <w:rtl/>
          <w:lang w:bidi="ar-EG"/>
        </w:rPr>
        <w:t>الميزانية والنفقات الفعلية (بحسب النتائج)</w:t>
      </w:r>
    </w:p>
    <w:p w:rsidR="006C6B22" w:rsidRPr="00141A0B" w:rsidRDefault="00B31868" w:rsidP="00086C3F">
      <w:pPr>
        <w:keepNext/>
        <w:bidi/>
        <w:spacing w:after="120" w:line="340" w:lineRule="exact"/>
        <w:jc w:val="center"/>
        <w:rPr>
          <w:rFonts w:ascii="Arabic Typesetting" w:hAnsi="Arabic Typesetting" w:cs="Arabic Typesetting"/>
          <w:sz w:val="34"/>
          <w:szCs w:val="34"/>
          <w:rtl/>
          <w:lang w:bidi="ar-EG"/>
        </w:rPr>
      </w:pPr>
      <w:r w:rsidRPr="00B31868">
        <w:rPr>
          <w:rFonts w:ascii="Arabic Typesetting" w:hAnsi="Arabic Typesetting" w:cs="Arabic Typesetting"/>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6C6B22" w:rsidRPr="00211D55" w:rsidTr="00F73A65">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6C6B22" w:rsidRPr="00211D55" w:rsidRDefault="006C6B2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6C6B22" w:rsidRPr="00211D55" w:rsidRDefault="006C6B2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6C6B22" w:rsidRPr="00211D55" w:rsidRDefault="006C6B2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6C6B22" w:rsidRPr="00211D55" w:rsidRDefault="006C6B2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6C6B22" w:rsidRPr="00211D55" w:rsidTr="009947B0">
        <w:trPr>
          <w:cantSplit/>
          <w:trHeight w:val="473"/>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6C6B22" w:rsidRPr="00211D55" w:rsidRDefault="006C6B2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ھ2.1</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0432CA" w:rsidP="00086C3F">
            <w:pPr>
              <w:bidi/>
              <w:rPr>
                <w:rFonts w:ascii="Arabic Typesetting" w:hAnsi="Arabic Typesetting" w:cs="Arabic Typesetting"/>
                <w:sz w:val="28"/>
                <w:szCs w:val="28"/>
              </w:rPr>
            </w:pPr>
            <w:r>
              <w:rPr>
                <w:rFonts w:ascii="Arabic Typesetting" w:hAnsi="Arabic Typesetting" w:cs="Arabic Typesetting"/>
                <w:sz w:val="28"/>
                <w:szCs w:val="28"/>
                <w:rtl/>
              </w:rPr>
              <w:t>أطر تشريعية وتنظيمية وسياسية مناسبة ومتوازنة للملكية الفكرية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130</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498</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465</w:t>
            </w:r>
          </w:p>
        </w:tc>
      </w:tr>
      <w:tr w:rsidR="006C6B22" w:rsidRPr="00211D55" w:rsidTr="0009764C">
        <w:trPr>
          <w:cantSplit/>
          <w:trHeight w:val="112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6C6B22" w:rsidRPr="00211D55" w:rsidRDefault="006C6B2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lastRenderedPageBreak/>
              <w:t>ھ2.3</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0432CA" w:rsidP="00086C3F">
            <w:pPr>
              <w:bidi/>
              <w:rPr>
                <w:rFonts w:ascii="Arabic Typesetting" w:hAnsi="Arabic Typesetting" w:cs="Arabic Typesetting"/>
                <w:sz w:val="28"/>
                <w:szCs w:val="28"/>
              </w:rPr>
            </w:pPr>
            <w:r>
              <w:rPr>
                <w:rFonts w:ascii="Arabic Typesetting" w:hAnsi="Arabic Typesetting" w:cs="Arabic Typesetting"/>
                <w:sz w:val="28"/>
                <w:szCs w:val="28"/>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2,307</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2,254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2,058</w:t>
            </w:r>
          </w:p>
        </w:tc>
      </w:tr>
      <w:tr w:rsidR="006C6B22" w:rsidRPr="00211D55" w:rsidTr="0009764C">
        <w:trPr>
          <w:cantSplit/>
          <w:trHeight w:val="1113"/>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6C6B22" w:rsidRPr="00211D55" w:rsidRDefault="006C6B2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ھ1.6</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9947B0" w:rsidP="00086C3F">
            <w:pPr>
              <w:bidi/>
              <w:rPr>
                <w:rFonts w:ascii="Arabic Typesetting" w:hAnsi="Arabic Typesetting" w:cs="Arabic Typesetting"/>
                <w:sz w:val="28"/>
                <w:szCs w:val="28"/>
              </w:rPr>
            </w:pPr>
            <w:r>
              <w:rPr>
                <w:rFonts w:ascii="Arabic Typesetting" w:hAnsi="Arabic Typesetting" w:cs="Arabic Typesetting"/>
                <w:sz w:val="28"/>
                <w:szCs w:val="28"/>
                <w:rtl/>
              </w:rPr>
              <w:t>تقدم في الحوار السياسي الدولي بين الدول الأعضاء حول إذكاء الاحترام للملكية الفكرية، مسترشدا بالتوصية رقم 45 من جدول أعمال التنمية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429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898</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823</w:t>
            </w:r>
          </w:p>
        </w:tc>
      </w:tr>
      <w:tr w:rsidR="006C6B22" w:rsidRPr="00211D55" w:rsidTr="00F73A65">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6C6B22" w:rsidRPr="00211D55" w:rsidRDefault="006C6B2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ھ2.6</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9947B0" w:rsidP="00086C3F">
            <w:pPr>
              <w:bidi/>
              <w:rPr>
                <w:rFonts w:ascii="Arabic Typesetting" w:hAnsi="Arabic Typesetting" w:cs="Arabic Typesetting"/>
                <w:sz w:val="28"/>
                <w:szCs w:val="28"/>
              </w:rPr>
            </w:pPr>
            <w:r>
              <w:rPr>
                <w:rFonts w:ascii="Arabic Typesetting" w:hAnsi="Arabic Typesetting" w:cs="Arabic Typesetting"/>
                <w:sz w:val="28"/>
                <w:szCs w:val="28"/>
                <w:rtl/>
              </w:rPr>
              <w:t>تعاون وتنسيق على نحو منتظم وفعال وشفاف بين عمل الويبو وعمل المنظمات الدولية الأخرى في مجال إذكاء الاحترام للملكية الفكرية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1,124</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510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6C6B22" w:rsidRPr="00211D55" w:rsidRDefault="006C6B22" w:rsidP="00086C3F">
            <w:pPr>
              <w:rPr>
                <w:rFonts w:ascii="Arabic Typesetting" w:hAnsi="Arabic Typesetting" w:cs="Arabic Typesetting"/>
                <w:sz w:val="28"/>
                <w:szCs w:val="28"/>
              </w:rPr>
            </w:pPr>
            <w:r w:rsidRPr="00211D55">
              <w:rPr>
                <w:rFonts w:ascii="Arabic Typesetting" w:hAnsi="Arabic Typesetting" w:cs="Arabic Typesetting"/>
                <w:sz w:val="28"/>
                <w:szCs w:val="28"/>
              </w:rPr>
              <w:t>464</w:t>
            </w:r>
          </w:p>
        </w:tc>
      </w:tr>
      <w:tr w:rsidR="006C6B22" w:rsidRPr="00211D55" w:rsidTr="00F73A65">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6C6B22" w:rsidRPr="00211D55" w:rsidRDefault="006C6B22"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6C6B22" w:rsidRPr="00211D55" w:rsidRDefault="006C6B22"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C6B22" w:rsidRPr="00211D55" w:rsidRDefault="006C6B22"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3,989</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C6B22" w:rsidRPr="00211D55" w:rsidRDefault="006C6B22"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4,160</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6C6B22" w:rsidRPr="00211D55" w:rsidRDefault="006C6B22"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3,811</w:t>
            </w:r>
          </w:p>
        </w:tc>
      </w:tr>
    </w:tbl>
    <w:p w:rsidR="00B31868" w:rsidRPr="00141A0B" w:rsidRDefault="00B31868" w:rsidP="00141A0B">
      <w:pPr>
        <w:keepNext/>
        <w:bidi/>
        <w:spacing w:before="240" w:line="340" w:lineRule="exact"/>
        <w:jc w:val="center"/>
        <w:rPr>
          <w:rFonts w:ascii="Arabic Typesetting" w:hAnsi="Arabic Typesetting" w:cs="Arabic Typesetting"/>
          <w:i/>
          <w:iCs/>
          <w:sz w:val="34"/>
          <w:szCs w:val="34"/>
          <w:rtl/>
          <w:lang w:val="en-CA" w:bidi="ar-LB"/>
        </w:rPr>
      </w:pPr>
      <w:r w:rsidRPr="00141A0B">
        <w:rPr>
          <w:rFonts w:ascii="Arabic Typesetting" w:hAnsi="Arabic Typesetting" w:cs="Arabic Typesetting"/>
          <w:i/>
          <w:iCs/>
          <w:sz w:val="34"/>
          <w:szCs w:val="34"/>
          <w:rtl/>
          <w:lang w:val="en-CA" w:bidi="ar-LB"/>
        </w:rPr>
        <w:t xml:space="preserve">الميزانية </w:t>
      </w:r>
      <w:r w:rsidRPr="00141A0B">
        <w:rPr>
          <w:rFonts w:ascii="Arabic Typesetting" w:hAnsi="Arabic Typesetting" w:cs="Arabic Typesetting"/>
          <w:i/>
          <w:iCs/>
          <w:sz w:val="34"/>
          <w:szCs w:val="34"/>
          <w:rtl/>
          <w:lang w:bidi="ar-EG"/>
        </w:rPr>
        <w:t>والنفقات</w:t>
      </w:r>
      <w:r w:rsidRPr="00141A0B">
        <w:rPr>
          <w:rFonts w:ascii="Arabic Typesetting" w:hAnsi="Arabic Typesetting" w:cs="Arabic Typesetting"/>
          <w:i/>
          <w:iCs/>
          <w:sz w:val="34"/>
          <w:szCs w:val="34"/>
          <w:rtl/>
          <w:lang w:val="en-CA" w:bidi="ar-LB"/>
        </w:rPr>
        <w:t xml:space="preserve"> الفعلية (الموارد البشرية وخلاف الموارد البشرية)</w:t>
      </w:r>
    </w:p>
    <w:p w:rsidR="006C6B22" w:rsidRPr="00B31868" w:rsidRDefault="00B31868" w:rsidP="00086C3F">
      <w:pPr>
        <w:keepNext/>
        <w:bidi/>
        <w:spacing w:after="120" w:line="340" w:lineRule="exact"/>
        <w:jc w:val="center"/>
        <w:rPr>
          <w:rFonts w:ascii="Arabic Typesetting" w:hAnsi="Arabic Typesetting" w:cs="Arabic Typesetting"/>
          <w:sz w:val="34"/>
          <w:szCs w:val="34"/>
          <w:rtl/>
          <w:lang w:bidi="ar-EG"/>
        </w:rPr>
      </w:pPr>
      <w:r w:rsidRPr="00B31868">
        <w:rPr>
          <w:rFonts w:ascii="Arabic Typesetting" w:hAnsi="Arabic Typesetting" w:cs="Arabic Typesetting"/>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6C6B22" w:rsidRPr="00211D55" w:rsidTr="006C6B22">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6C6B22" w:rsidRPr="00211D55" w:rsidRDefault="006C6B22"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C6B22" w:rsidRPr="00211D55" w:rsidRDefault="006C6B2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C6B22" w:rsidRPr="00211D55" w:rsidRDefault="006C6B2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C6B22" w:rsidRPr="00211D55" w:rsidRDefault="006C6B2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6C6B22"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6C6B22" w:rsidRPr="00211D55">
              <w:rPr>
                <w:rFonts w:ascii="Arabic Typesetting" w:hAnsi="Arabic Typesetting" w:cs="Arabic Typesetting"/>
                <w:b/>
                <w:bCs/>
                <w:i/>
                <w:iCs/>
                <w:sz w:val="28"/>
                <w:szCs w:val="28"/>
                <w:rtl/>
              </w:rPr>
              <w:t xml:space="preserve"> (%)</w:t>
            </w:r>
          </w:p>
        </w:tc>
      </w:tr>
      <w:tr w:rsidR="006C6B22" w:rsidRPr="00211D55" w:rsidTr="006C6B22">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6C6B22" w:rsidRPr="00211D55" w:rsidRDefault="006C6B2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3,277</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3,494</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3,199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92%</w:t>
            </w:r>
          </w:p>
        </w:tc>
      </w:tr>
      <w:tr w:rsidR="006C6B22" w:rsidRPr="00211D55" w:rsidTr="006C6B22">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6C6B22" w:rsidRPr="00211D55" w:rsidRDefault="006C6B2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712</w:t>
            </w:r>
          </w:p>
        </w:tc>
        <w:tc>
          <w:tcPr>
            <w:tcW w:w="970" w:type="pct"/>
            <w:tcBorders>
              <w:top w:val="nil"/>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666</w:t>
            </w:r>
          </w:p>
        </w:tc>
        <w:tc>
          <w:tcPr>
            <w:tcW w:w="970" w:type="pct"/>
            <w:tcBorders>
              <w:top w:val="nil"/>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612</w:t>
            </w:r>
          </w:p>
        </w:tc>
        <w:tc>
          <w:tcPr>
            <w:tcW w:w="970" w:type="pct"/>
            <w:tcBorders>
              <w:top w:val="nil"/>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92%</w:t>
            </w:r>
          </w:p>
        </w:tc>
      </w:tr>
      <w:tr w:rsidR="006C6B22" w:rsidRPr="00211D55" w:rsidTr="006C6B22">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6C6B22" w:rsidRPr="00211D55" w:rsidRDefault="006C6B22"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3,989</w:t>
            </w:r>
          </w:p>
        </w:tc>
        <w:tc>
          <w:tcPr>
            <w:tcW w:w="970" w:type="pct"/>
            <w:tcBorders>
              <w:top w:val="nil"/>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4,160</w:t>
            </w:r>
          </w:p>
        </w:tc>
        <w:tc>
          <w:tcPr>
            <w:tcW w:w="970" w:type="pct"/>
            <w:tcBorders>
              <w:top w:val="nil"/>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3,811</w:t>
            </w:r>
          </w:p>
        </w:tc>
        <w:tc>
          <w:tcPr>
            <w:tcW w:w="970" w:type="pct"/>
            <w:tcBorders>
              <w:top w:val="nil"/>
              <w:left w:val="single" w:sz="4" w:space="0" w:color="auto"/>
              <w:bottom w:val="single" w:sz="4" w:space="0" w:color="auto"/>
              <w:right w:val="single" w:sz="4" w:space="0" w:color="auto"/>
            </w:tcBorders>
            <w:shd w:val="clear" w:color="auto" w:fill="auto"/>
            <w:vAlign w:val="center"/>
          </w:tcPr>
          <w:p w:rsidR="006C6B22" w:rsidRPr="00211D55" w:rsidRDefault="006C6B22"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92%</w:t>
            </w:r>
          </w:p>
        </w:tc>
      </w:tr>
    </w:tbl>
    <w:p w:rsidR="006C6B22" w:rsidRPr="00706F20" w:rsidRDefault="006C6B22" w:rsidP="00FE0236">
      <w:pPr>
        <w:keepNext/>
        <w:bidi/>
        <w:spacing w:before="120" w:after="120" w:line="340" w:lineRule="exact"/>
        <w:rPr>
          <w:rFonts w:ascii="Arabic Typesetting" w:hAnsi="Arabic Typesetting" w:cs="Arabic Typesetting"/>
          <w:sz w:val="34"/>
          <w:szCs w:val="34"/>
          <w:lang w:bidi="ar-EG"/>
        </w:rPr>
      </w:pPr>
      <w:r w:rsidRPr="00706F20">
        <w:rPr>
          <w:rFonts w:ascii="Arabic Typesetting" w:hAnsi="Arabic Typesetting" w:cs="Arabic Typesetting" w:hint="cs"/>
          <w:sz w:val="34"/>
          <w:szCs w:val="34"/>
          <w:rtl/>
          <w:lang w:bidi="ar-EG"/>
        </w:rPr>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F73A65" w:rsidRDefault="00F73A65" w:rsidP="009A3712">
      <w:pPr>
        <w:pStyle w:val="ListParagraph"/>
        <w:keepNext/>
        <w:numPr>
          <w:ilvl w:val="0"/>
          <w:numId w:val="48"/>
        </w:numPr>
        <w:bidi/>
        <w:spacing w:after="120" w:line="340" w:lineRule="exact"/>
        <w:ind w:left="0" w:firstLine="0"/>
        <w:contextualSpacing w:val="0"/>
        <w:rPr>
          <w:rFonts w:ascii="Arabic Typesetting" w:hAnsi="Arabic Typesetting" w:cs="Arabic Typesetting"/>
          <w:sz w:val="34"/>
          <w:szCs w:val="34"/>
          <w:lang w:val="fr-CH"/>
        </w:rPr>
      </w:pPr>
      <w:r>
        <w:rPr>
          <w:rFonts w:ascii="Arabic Typesetting" w:hAnsi="Arabic Typesetting" w:cs="Arabic Typesetting" w:hint="cs"/>
          <w:sz w:val="34"/>
          <w:szCs w:val="34"/>
          <w:rtl/>
        </w:rPr>
        <w:t xml:space="preserve">تعزى </w:t>
      </w:r>
      <w:r w:rsidR="00B31868" w:rsidRPr="00B31868">
        <w:rPr>
          <w:rFonts w:ascii="Arabic Typesetting" w:hAnsi="Arabic Typesetting" w:cs="Arabic Typesetting" w:hint="cs"/>
          <w:sz w:val="34"/>
          <w:szCs w:val="34"/>
          <w:rtl/>
          <w:lang w:val="fr-CH"/>
        </w:rPr>
        <w:t xml:space="preserve">التسويات في نتائج </w:t>
      </w:r>
      <w:r w:rsidRPr="00F73A65">
        <w:rPr>
          <w:rFonts w:ascii="Arabic Typesetting" w:hAnsi="Arabic Typesetting" w:cs="Arabic Typesetting" w:hint="cs"/>
          <w:sz w:val="34"/>
          <w:szCs w:val="34"/>
          <w:rtl/>
          <w:lang w:val="fr-CH"/>
        </w:rPr>
        <w:t xml:space="preserve">الميزانية النهائية بعد التحويلات </w:t>
      </w:r>
      <w:r w:rsidR="00507DE2">
        <w:rPr>
          <w:rFonts w:ascii="Arabic Typesetting" w:hAnsi="Arabic Typesetting" w:cs="Arabic Typesetting" w:hint="cs"/>
          <w:sz w:val="34"/>
          <w:szCs w:val="34"/>
          <w:rtl/>
          <w:lang w:val="fr-CH"/>
        </w:rPr>
        <w:t>2014/15</w:t>
      </w:r>
      <w:r w:rsidRPr="00F73A65">
        <w:rPr>
          <w:rFonts w:ascii="Arabic Typesetting" w:hAnsi="Arabic Typesetting" w:cs="Arabic Typesetting" w:hint="cs"/>
          <w:sz w:val="34"/>
          <w:szCs w:val="34"/>
          <w:rtl/>
          <w:lang w:val="fr-CH"/>
        </w:rPr>
        <w:t xml:space="preserve"> إلى العوامل التالية:</w:t>
      </w:r>
    </w:p>
    <w:p w:rsidR="00F73A65" w:rsidRDefault="00F73A65" w:rsidP="009A3712">
      <w:pPr>
        <w:keepNext/>
        <w:numPr>
          <w:ilvl w:val="0"/>
          <w:numId w:val="17"/>
        </w:numPr>
        <w:bidi/>
        <w:spacing w:after="120" w:line="340" w:lineRule="exact"/>
        <w:ind w:left="851" w:hanging="284"/>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تواصل زيادة طلب الدول الأعضاء للمشورة التشريعية ومنها بعثات تحليل الوضع القائم ما أدى إلى نقل موارد من النتيجة ه2.6 (التعاون في مجال إذكاء الاحترام للملكية الفكرية) إلى النتيجة ه2.1 (المشورة التشريعية)؛</w:t>
      </w:r>
    </w:p>
    <w:p w:rsidR="00F73A65" w:rsidRDefault="00F73A65" w:rsidP="009A3712">
      <w:pPr>
        <w:keepNext/>
        <w:numPr>
          <w:ilvl w:val="0"/>
          <w:numId w:val="17"/>
        </w:numPr>
        <w:bidi/>
        <w:spacing w:after="120" w:line="340" w:lineRule="exact"/>
        <w:ind w:left="851" w:hanging="284"/>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عقد دورتين للجنة الاستشارية خلال الثنائية بناء على طلب الدول الأعضاء عوضاً عن دورة واحدة كما كان متوقعاً ما أدى إلى نقل موارد من النتيجة ه2.6 (التعاون في مجال إذكاء الاحترام للملكية الفكرية) إلى النتيجة ه1.6 (</w:t>
      </w:r>
      <w:r w:rsidRPr="00F73A65">
        <w:rPr>
          <w:rFonts w:ascii="Arabic Typesetting" w:hAnsi="Arabic Typesetting" w:cs="Arabic Typesetting"/>
          <w:sz w:val="34"/>
          <w:szCs w:val="34"/>
          <w:rtl/>
          <w:lang w:val="fr-CH"/>
        </w:rPr>
        <w:t>تقدّم في الحوار السياسي الدولي بين الدول الأعضاء في الويبو حول</w:t>
      </w:r>
      <w:r>
        <w:rPr>
          <w:rFonts w:ascii="Arabic Typesetting" w:hAnsi="Arabic Typesetting" w:cs="Arabic Typesetting"/>
          <w:sz w:val="34"/>
          <w:szCs w:val="34"/>
          <w:rtl/>
          <w:lang w:val="fr-CH"/>
        </w:rPr>
        <w:t xml:space="preserve"> إذكاء الاحترام للملكية الفكرية</w:t>
      </w:r>
      <w:r>
        <w:rPr>
          <w:rFonts w:ascii="Arabic Typesetting" w:hAnsi="Arabic Typesetting" w:cs="Arabic Typesetting" w:hint="cs"/>
          <w:sz w:val="34"/>
          <w:szCs w:val="34"/>
          <w:rtl/>
          <w:lang w:val="fr-CH"/>
        </w:rPr>
        <w:t>).</w:t>
      </w:r>
    </w:p>
    <w:p w:rsidR="00B31868" w:rsidRPr="00F73A65" w:rsidRDefault="00FE0236" w:rsidP="009A3712">
      <w:pPr>
        <w:pStyle w:val="ListParagraph"/>
        <w:keepNext/>
        <w:numPr>
          <w:ilvl w:val="0"/>
          <w:numId w:val="48"/>
        </w:numPr>
        <w:bidi/>
        <w:spacing w:after="120" w:line="340" w:lineRule="exact"/>
        <w:ind w:left="0" w:firstLine="0"/>
        <w:contextualSpacing w:val="0"/>
        <w:rPr>
          <w:rFonts w:ascii="Arabic Typesetting" w:hAnsi="Arabic Typesetting" w:cs="Arabic Typesetting"/>
          <w:sz w:val="34"/>
          <w:szCs w:val="34"/>
          <w:rtl/>
          <w:lang w:val="fr-CH"/>
        </w:rPr>
      </w:pPr>
      <w:r>
        <w:rPr>
          <w:rFonts w:ascii="Arabic Typesetting" w:hAnsi="Arabic Typesetting" w:cs="Arabic Typesetting" w:hint="cs"/>
          <w:sz w:val="34"/>
          <w:szCs w:val="34"/>
          <w:rtl/>
          <w:lang w:val="fr-CH"/>
        </w:rPr>
        <w:t>و</w:t>
      </w:r>
      <w:r w:rsidR="00F73A65" w:rsidRPr="00F73A65">
        <w:rPr>
          <w:rFonts w:ascii="Arabic Typesetting" w:hAnsi="Arabic Typesetting" w:cs="Arabic Typesetting" w:hint="cs"/>
          <w:sz w:val="34"/>
          <w:szCs w:val="34"/>
          <w:rtl/>
          <w:lang w:val="fr-CH"/>
        </w:rPr>
        <w:t>تعزى الزيادة الطفيفة في موارد الموظفين إلى النقل المؤقت لموظف من البرنامج 6 لدعم الطلب المتزايد على المشورة</w:t>
      </w:r>
      <w:r w:rsidR="00F73A65" w:rsidRPr="00F73A65">
        <w:rPr>
          <w:rFonts w:ascii="Arabic Typesetting" w:hAnsi="Arabic Typesetting" w:cs="Arabic Typesetting" w:hint="eastAsia"/>
          <w:sz w:val="34"/>
          <w:szCs w:val="34"/>
          <w:rtl/>
          <w:lang w:val="fr-CH"/>
        </w:rPr>
        <w:t> </w:t>
      </w:r>
      <w:r w:rsidR="00F73A65" w:rsidRPr="00F73A65">
        <w:rPr>
          <w:rFonts w:ascii="Arabic Typesetting" w:hAnsi="Arabic Typesetting" w:cs="Arabic Typesetting" w:hint="cs"/>
          <w:sz w:val="34"/>
          <w:szCs w:val="34"/>
          <w:rtl/>
          <w:lang w:val="fr-CH"/>
        </w:rPr>
        <w:t>التشريعية.</w:t>
      </w:r>
    </w:p>
    <w:p w:rsidR="00B31868" w:rsidRPr="00706F20" w:rsidRDefault="006C6B22" w:rsidP="00086C3F">
      <w:pPr>
        <w:keepNext/>
        <w:bidi/>
        <w:spacing w:after="120" w:line="340" w:lineRule="exact"/>
        <w:rPr>
          <w:rFonts w:ascii="Arabic Typesetting" w:hAnsi="Arabic Typesetting" w:cs="Arabic Typesetting"/>
          <w:sz w:val="34"/>
          <w:szCs w:val="34"/>
          <w:u w:val="single"/>
          <w:lang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B31868" w:rsidRDefault="00F73A65" w:rsidP="009A3712">
      <w:pPr>
        <w:pStyle w:val="ListParagraph"/>
        <w:numPr>
          <w:ilvl w:val="0"/>
          <w:numId w:val="48"/>
        </w:numPr>
        <w:bidi/>
        <w:spacing w:after="120" w:line="340" w:lineRule="exact"/>
        <w:ind w:left="0" w:firstLine="0"/>
        <w:contextualSpacing w:val="0"/>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 xml:space="preserve">لم يتجاوز </w:t>
      </w:r>
      <w:r w:rsidR="00C45BBE">
        <w:rPr>
          <w:rFonts w:ascii="Arabic Typesetting" w:hAnsi="Arabic Typesetting" w:cs="Arabic Typesetting" w:hint="cs"/>
          <w:sz w:val="34"/>
          <w:szCs w:val="34"/>
          <w:rtl/>
          <w:lang w:val="fr-CH"/>
        </w:rPr>
        <w:t xml:space="preserve">استخدام </w:t>
      </w:r>
      <w:r>
        <w:rPr>
          <w:rFonts w:ascii="Arabic Typesetting" w:hAnsi="Arabic Typesetting" w:cs="Arabic Typesetting" w:hint="cs"/>
          <w:sz w:val="34"/>
          <w:szCs w:val="34"/>
          <w:rtl/>
          <w:lang w:val="fr-CH"/>
        </w:rPr>
        <w:t>الميزانية النسبة المتوقعة للثنائية.</w:t>
      </w:r>
    </w:p>
    <w:p w:rsidR="00B31868" w:rsidRDefault="00B31868" w:rsidP="00086C3F">
      <w:pPr>
        <w:pStyle w:val="Heading2AR"/>
        <w:rPr>
          <w:rtl/>
        </w:rPr>
      </w:pPr>
      <w:bookmarkStart w:id="99" w:name="_Toc450635422"/>
      <w:bookmarkStart w:id="100" w:name="_Toc455393391"/>
      <w:r w:rsidRPr="00B31868">
        <w:rPr>
          <w:rFonts w:hint="cs"/>
          <w:rtl/>
        </w:rPr>
        <w:lastRenderedPageBreak/>
        <w:t>الهدف الاستراتيجي السابع</w:t>
      </w:r>
      <w:bookmarkEnd w:id="99"/>
      <w:bookmarkEnd w:id="100"/>
    </w:p>
    <w:p w:rsidR="009178C3" w:rsidRDefault="009178C3" w:rsidP="009178C3">
      <w:pPr>
        <w:pStyle w:val="NormalParaAR"/>
        <w:tabs>
          <w:tab w:val="right" w:pos="6825"/>
        </w:tabs>
        <w:jc w:val="center"/>
        <w:rPr>
          <w:b/>
          <w:bCs/>
          <w:rtl/>
          <w:lang w:bidi="ar-EG"/>
        </w:rPr>
      </w:pPr>
      <w:r w:rsidRPr="004F3A17">
        <w:rPr>
          <w:b/>
          <w:bCs/>
          <w:rtl/>
          <w:lang w:bidi="ar-EG"/>
        </w:rPr>
        <w:t>الملكية الفكرية وقضايا السياسات العامة العالمية</w:t>
      </w:r>
    </w:p>
    <w:p w:rsidR="009178C3" w:rsidRPr="002C1F06" w:rsidRDefault="009178C3" w:rsidP="009178C3">
      <w:pPr>
        <w:keepNext/>
        <w:tabs>
          <w:tab w:val="left" w:pos="1132"/>
        </w:tabs>
        <w:bidi/>
        <w:spacing w:after="240" w:line="360" w:lineRule="exact"/>
        <w:jc w:val="center"/>
        <w:rPr>
          <w:rFonts w:ascii="Arabic Typesetting" w:hAnsi="Arabic Typesetting" w:cs="Arabic Typesetting"/>
          <w:b/>
          <w:bCs/>
          <w:sz w:val="36"/>
          <w:szCs w:val="36"/>
          <w:rtl/>
        </w:rPr>
      </w:pPr>
      <w:r w:rsidRPr="002C1F06">
        <w:rPr>
          <w:rFonts w:ascii="Arabic Typesetting" w:hAnsi="Arabic Typesetting" w:cs="Arabic Typesetting" w:hint="cs"/>
          <w:b/>
          <w:bCs/>
          <w:sz w:val="36"/>
          <w:szCs w:val="36"/>
          <w:rtl/>
        </w:rPr>
        <w:t>لوحة بيانات أداء الفترة الثنائية</w:t>
      </w:r>
    </w:p>
    <w:p w:rsidR="009178C3" w:rsidRPr="00C34F0E" w:rsidRDefault="009178C3" w:rsidP="009178C3">
      <w:pPr>
        <w:tabs>
          <w:tab w:val="left" w:pos="1132"/>
        </w:tabs>
        <w:bidi/>
        <w:spacing w:after="120" w:line="340" w:lineRule="exact"/>
        <w:rPr>
          <w:rFonts w:ascii="Arabic Typesetting" w:hAnsi="Arabic Typesetting" w:cs="Arabic Typesetting"/>
          <w:sz w:val="34"/>
          <w:szCs w:val="34"/>
          <w:rtl/>
          <w:lang w:bidi="ar-EG"/>
        </w:rPr>
      </w:pPr>
      <w:r w:rsidRPr="00C34F0E">
        <w:rPr>
          <w:rFonts w:ascii="Arabic Typesetting" w:hAnsi="Arabic Typesetting" w:cs="Arabic Typesetting" w:hint="cs"/>
          <w:sz w:val="34"/>
          <w:szCs w:val="34"/>
          <w:rtl/>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9178C3" w:rsidRDefault="000A7B1D" w:rsidP="009178C3">
      <w:pPr>
        <w:pStyle w:val="NormalParaAR"/>
        <w:tabs>
          <w:tab w:val="right" w:pos="6825"/>
        </w:tabs>
        <w:spacing w:line="240" w:lineRule="auto"/>
        <w:jc w:val="center"/>
        <w:rPr>
          <w:b/>
          <w:bCs/>
          <w:rtl/>
          <w:lang w:bidi="ar-EG"/>
        </w:rPr>
      </w:pPr>
      <w:r>
        <w:rPr>
          <w:b/>
          <w:bCs/>
          <w:noProof/>
        </w:rPr>
        <w:drawing>
          <wp:inline distT="0" distB="0" distL="0" distR="0" wp14:anchorId="28810D49">
            <wp:extent cx="5762626" cy="2920828"/>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70464" cy="2924801"/>
                    </a:xfrm>
                    <a:prstGeom prst="rect">
                      <a:avLst/>
                    </a:prstGeom>
                    <a:noFill/>
                  </pic:spPr>
                </pic:pic>
              </a:graphicData>
            </a:graphic>
          </wp:inline>
        </w:drawing>
      </w:r>
    </w:p>
    <w:tbl>
      <w:tblP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533"/>
        <w:gridCol w:w="3398"/>
        <w:gridCol w:w="1589"/>
        <w:gridCol w:w="1051"/>
      </w:tblGrid>
      <w:tr w:rsidR="009178C3" w:rsidRPr="00FE3908" w:rsidTr="006E665D">
        <w:trPr>
          <w:tblHeader/>
        </w:trPr>
        <w:tc>
          <w:tcPr>
            <w:tcW w:w="1846"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النتائج المرتقبة</w:t>
            </w:r>
          </w:p>
        </w:tc>
        <w:tc>
          <w:tcPr>
            <w:tcW w:w="1775"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830"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549"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9178C3" w:rsidRPr="00FE3908" w:rsidTr="006E665D">
        <w:trPr>
          <w:cantSplit/>
        </w:trPr>
        <w:tc>
          <w:tcPr>
            <w:tcW w:w="1846" w:type="pct"/>
            <w:tcBorders>
              <w:top w:val="single" w:sz="4" w:space="0" w:color="auto"/>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D721DF">
              <w:rPr>
                <w:rFonts w:ascii="Arabic Typesetting" w:hAnsi="Arabic Typesetting" w:cs="Arabic Typesetting"/>
                <w:color w:val="000000"/>
                <w:sz w:val="30"/>
                <w:szCs w:val="30"/>
                <w:rtl/>
                <w:lang w:bidi="ar-EG"/>
              </w:rPr>
              <w:t xml:space="preserve">ه2.7 </w:t>
            </w:r>
            <w:r w:rsidRPr="00D619C5">
              <w:rPr>
                <w:rFonts w:ascii="Arabic Typesetting" w:hAnsi="Arabic Typesetting" w:cs="Arabic Typesetting"/>
                <w:color w:val="000000"/>
                <w:sz w:val="30"/>
                <w:szCs w:val="30"/>
                <w:rtl/>
                <w:lang w:bidi="ar-EG"/>
              </w:rPr>
              <w:t>منصات وأدوات الملكية الفكرية مستخدمة في نقل المعارف وتطويع التكنولوجيا ونشرها من البلدان المتقدمة إلى البلدان النامية، ولا سيما البلدان الأقل نموا، لمواجهة التحديات العالمية</w:t>
            </w:r>
          </w:p>
        </w:tc>
        <w:tc>
          <w:tcPr>
            <w:tcW w:w="1775"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rtl/>
                <w:lang w:bidi="ar-EG"/>
              </w:rPr>
            </w:pPr>
            <w:r w:rsidRPr="00D721DF">
              <w:rPr>
                <w:rFonts w:ascii="Arabic Typesetting" w:hAnsi="Arabic Typesetting" w:cs="Arabic Typesetting"/>
                <w:color w:val="000000"/>
                <w:sz w:val="30"/>
                <w:szCs w:val="30"/>
                <w:rtl/>
                <w:lang w:bidi="ar-EG"/>
              </w:rPr>
              <w:t xml:space="preserve">ارتفاع عدد الأعضاء المشتركين في قاعدة بيانات </w:t>
            </w:r>
            <w:r w:rsidRPr="00D721DF">
              <w:rPr>
                <w:rFonts w:ascii="Arabic Typesetting" w:hAnsi="Arabic Typesetting" w:cs="Arabic Typesetting"/>
                <w:color w:val="000000"/>
                <w:sz w:val="30"/>
                <w:szCs w:val="30"/>
                <w:lang w:bidi="ar-EG"/>
              </w:rPr>
              <w:t>WIPO</w:t>
            </w:r>
            <w:r>
              <w:rPr>
                <w:rFonts w:ascii="Arabic Typesetting" w:hAnsi="Arabic Typesetting" w:cs="Arabic Typesetting"/>
                <w:color w:val="000000"/>
                <w:sz w:val="30"/>
                <w:szCs w:val="30"/>
                <w:lang w:bidi="ar-EG"/>
              </w:rPr>
              <w:t> </w:t>
            </w:r>
            <w:proofErr w:type="spellStart"/>
            <w:r w:rsidRPr="00D721DF">
              <w:rPr>
                <w:rFonts w:ascii="Arabic Typesetting" w:hAnsi="Arabic Typesetting" w:cs="Arabic Typesetting"/>
                <w:color w:val="000000"/>
                <w:sz w:val="30"/>
                <w:szCs w:val="30"/>
                <w:lang w:bidi="ar-EG"/>
              </w:rPr>
              <w:t>Re:Search</w:t>
            </w:r>
            <w:proofErr w:type="spellEnd"/>
            <w:r w:rsidRPr="00D721DF">
              <w:rPr>
                <w:rFonts w:ascii="Arabic Typesetting" w:hAnsi="Arabic Typesetting" w:cs="Arabic Typesetting"/>
                <w:color w:val="000000"/>
                <w:sz w:val="30"/>
                <w:szCs w:val="30"/>
                <w:rtl/>
                <w:lang w:bidi="ar-EG"/>
              </w:rPr>
              <w:t>، بما في ذلك الأعضاء من البلدان النامية والبلدان الأقل نموا</w:t>
            </w:r>
          </w:p>
        </w:tc>
        <w:tc>
          <w:tcPr>
            <w:tcW w:w="830"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49" w:type="pct"/>
            <w:tcBorders>
              <w:top w:val="single" w:sz="4" w:space="0" w:color="auto"/>
              <w:bottom w:val="nil"/>
            </w:tcBorders>
            <w:shd w:val="clear" w:color="auto" w:fill="auto"/>
            <w:vAlign w:val="center"/>
          </w:tcPr>
          <w:p w:rsidR="009178C3" w:rsidRPr="000C0C4E" w:rsidRDefault="009178C3" w:rsidP="006E665D">
            <w:pPr>
              <w:bidi/>
              <w:jc w:val="center"/>
              <w:rPr>
                <w:rFonts w:ascii="Wingdings" w:hAnsi="Wingdings" w:cs="Calibri"/>
                <w:color w:val="008000"/>
                <w:szCs w:val="22"/>
                <w:lang w:bidi="ar-EG"/>
              </w:rPr>
            </w:pPr>
            <w:r w:rsidRPr="000C0C4E">
              <w:rPr>
                <w:rFonts w:ascii="Wingdings" w:hAnsi="Wingdings" w:cs="Calibri"/>
                <w:color w:val="008000"/>
                <w:szCs w:val="22"/>
                <w:lang w:bidi="ar-EG"/>
              </w:rPr>
              <w:t></w:t>
            </w:r>
          </w:p>
        </w:tc>
      </w:tr>
      <w:tr w:rsidR="009178C3" w:rsidRPr="00FE3908" w:rsidTr="006E665D">
        <w:tc>
          <w:tcPr>
            <w:tcW w:w="1846"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775" w:type="pct"/>
            <w:tcBorders>
              <w:top w:val="nil"/>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rtl/>
                <w:lang w:bidi="ar-EG"/>
              </w:rPr>
            </w:pPr>
            <w:r w:rsidRPr="00D721DF">
              <w:rPr>
                <w:rFonts w:ascii="Arabic Typesetting" w:hAnsi="Arabic Typesetting" w:cs="Arabic Typesetting"/>
                <w:color w:val="000000"/>
                <w:sz w:val="30"/>
                <w:szCs w:val="30"/>
                <w:rtl/>
                <w:lang w:bidi="ar-EG"/>
              </w:rPr>
              <w:t xml:space="preserve">تزايد عدد المساهمات في قاعدة بيانات </w:t>
            </w:r>
            <w:r w:rsidRPr="00D721DF">
              <w:rPr>
                <w:rFonts w:ascii="Arabic Typesetting" w:hAnsi="Arabic Typesetting" w:cs="Arabic Typesetting"/>
                <w:color w:val="000000"/>
                <w:sz w:val="30"/>
                <w:szCs w:val="30"/>
                <w:lang w:bidi="ar-EG"/>
              </w:rPr>
              <w:t>WIPO</w:t>
            </w:r>
            <w:r>
              <w:rPr>
                <w:rFonts w:ascii="Arabic Typesetting" w:hAnsi="Arabic Typesetting" w:cs="Arabic Typesetting"/>
                <w:color w:val="000000"/>
                <w:sz w:val="30"/>
                <w:szCs w:val="30"/>
                <w:lang w:bidi="ar-EG"/>
              </w:rPr>
              <w:t> </w:t>
            </w:r>
            <w:proofErr w:type="spellStart"/>
            <w:r w:rsidRPr="00D721DF">
              <w:rPr>
                <w:rFonts w:ascii="Arabic Typesetting" w:hAnsi="Arabic Typesetting" w:cs="Arabic Typesetting"/>
                <w:color w:val="000000"/>
                <w:sz w:val="30"/>
                <w:szCs w:val="30"/>
                <w:lang w:bidi="ar-EG"/>
              </w:rPr>
              <w:t>Re:Search</w:t>
            </w:r>
            <w:proofErr w:type="spellEnd"/>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49" w:type="pct"/>
            <w:tcBorders>
              <w:top w:val="nil"/>
              <w:bottom w:val="nil"/>
            </w:tcBorders>
            <w:shd w:val="clear" w:color="auto" w:fill="auto"/>
            <w:vAlign w:val="center"/>
          </w:tcPr>
          <w:p w:rsidR="009178C3" w:rsidRPr="000C0C4E" w:rsidRDefault="009178C3" w:rsidP="006E665D">
            <w:pPr>
              <w:bidi/>
              <w:jc w:val="center"/>
              <w:rPr>
                <w:rFonts w:ascii="Wingdings" w:hAnsi="Wingdings" w:cs="Calibri"/>
                <w:color w:val="FF0000"/>
                <w:szCs w:val="22"/>
                <w:lang w:bidi="ar-EG"/>
              </w:rPr>
            </w:pPr>
            <w:r w:rsidRPr="000C0C4E">
              <w:rPr>
                <w:rFonts w:ascii="Wingdings" w:hAnsi="Wingdings" w:cs="Calibri"/>
                <w:color w:val="FF0000"/>
                <w:szCs w:val="22"/>
                <w:lang w:bidi="ar-EG"/>
              </w:rPr>
              <w:t></w:t>
            </w:r>
          </w:p>
        </w:tc>
      </w:tr>
      <w:tr w:rsidR="009178C3" w:rsidRPr="00FE3908" w:rsidTr="006E665D">
        <w:tc>
          <w:tcPr>
            <w:tcW w:w="1846"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775" w:type="pct"/>
            <w:tcBorders>
              <w:top w:val="nil"/>
              <w:bottom w:val="nil"/>
            </w:tcBorders>
            <w:shd w:val="clear" w:color="auto" w:fill="auto"/>
            <w:vAlign w:val="center"/>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sidRPr="00D721DF">
              <w:rPr>
                <w:rFonts w:ascii="Arabic Typesetting" w:hAnsi="Arabic Typesetting" w:cs="Arabic Typesetting"/>
                <w:color w:val="000000"/>
                <w:sz w:val="30"/>
                <w:szCs w:val="30"/>
                <w:rtl/>
                <w:lang w:bidi="ar-EG"/>
              </w:rPr>
              <w:t>تزايد عدد الاتفاقات ضمن قاعدة بيانات</w:t>
            </w:r>
            <w:r>
              <w:rPr>
                <w:rFonts w:ascii="Arabic Typesetting" w:hAnsi="Arabic Typesetting" w:cs="Arabic Typesetting" w:hint="cs"/>
                <w:color w:val="000000"/>
                <w:sz w:val="30"/>
                <w:szCs w:val="30"/>
                <w:rtl/>
                <w:lang w:bidi="ar-EG"/>
              </w:rPr>
              <w:t xml:space="preserve"> </w:t>
            </w:r>
            <w:r w:rsidRPr="00D721DF">
              <w:rPr>
                <w:rFonts w:ascii="Arabic Typesetting" w:hAnsi="Arabic Typesetting" w:cs="Arabic Typesetting"/>
                <w:color w:val="000000"/>
                <w:sz w:val="30"/>
                <w:szCs w:val="30"/>
                <w:lang w:bidi="ar-EG"/>
              </w:rPr>
              <w:t>WIPO</w:t>
            </w:r>
            <w:r>
              <w:rPr>
                <w:rFonts w:ascii="Arabic Typesetting" w:hAnsi="Arabic Typesetting" w:cs="Arabic Typesetting"/>
                <w:color w:val="000000"/>
                <w:sz w:val="30"/>
                <w:szCs w:val="30"/>
                <w:lang w:bidi="ar-EG"/>
              </w:rPr>
              <w:t> </w:t>
            </w:r>
            <w:proofErr w:type="spellStart"/>
            <w:r w:rsidRPr="00D721DF">
              <w:rPr>
                <w:rFonts w:ascii="Arabic Typesetting" w:hAnsi="Arabic Typesetting" w:cs="Arabic Typesetting"/>
                <w:color w:val="000000"/>
                <w:sz w:val="30"/>
                <w:szCs w:val="30"/>
                <w:lang w:bidi="ar-EG"/>
              </w:rPr>
              <w:t>Re:Search</w:t>
            </w:r>
            <w:proofErr w:type="spellEnd"/>
            <w:r w:rsidRPr="00D721DF">
              <w:rPr>
                <w:rFonts w:ascii="Arabic Typesetting" w:hAnsi="Arabic Typesetting" w:cs="Arabic Typesetting"/>
                <w:color w:val="000000"/>
                <w:sz w:val="30"/>
                <w:szCs w:val="30"/>
                <w:rtl/>
                <w:lang w:bidi="ar-EG"/>
              </w:rPr>
              <w:t xml:space="preserve"> بما يؤدي إلى القيام بأنشطة بحث وتطوير جديدة أو تسريع الأنشطة القائمة منها في مجال أمراض المناطق المدارية المنسية والملاريا والسل</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49" w:type="pct"/>
            <w:tcBorders>
              <w:top w:val="nil"/>
              <w:bottom w:val="nil"/>
            </w:tcBorders>
            <w:shd w:val="clear" w:color="auto" w:fill="auto"/>
            <w:vAlign w:val="center"/>
          </w:tcPr>
          <w:p w:rsidR="009178C3" w:rsidRPr="000C0C4E" w:rsidRDefault="009178C3" w:rsidP="006E665D">
            <w:pPr>
              <w:bidi/>
              <w:jc w:val="center"/>
              <w:rPr>
                <w:rFonts w:ascii="Wingdings" w:hAnsi="Wingdings" w:cs="Calibri"/>
                <w:color w:val="008000"/>
                <w:szCs w:val="22"/>
                <w:lang w:bidi="ar-EG"/>
              </w:rPr>
            </w:pPr>
            <w:r w:rsidRPr="000C0C4E">
              <w:rPr>
                <w:rFonts w:ascii="Wingdings" w:hAnsi="Wingdings" w:cs="Calibri"/>
                <w:color w:val="008000"/>
                <w:szCs w:val="22"/>
                <w:lang w:bidi="ar-EG"/>
              </w:rPr>
              <w:t></w:t>
            </w:r>
          </w:p>
        </w:tc>
      </w:tr>
      <w:tr w:rsidR="009178C3" w:rsidRPr="00FE3908" w:rsidTr="006E665D">
        <w:tc>
          <w:tcPr>
            <w:tcW w:w="1846"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775" w:type="pct"/>
            <w:tcBorders>
              <w:top w:val="nil"/>
              <w:bottom w:val="nil"/>
            </w:tcBorders>
            <w:shd w:val="clear" w:color="auto" w:fill="auto"/>
            <w:vAlign w:val="center"/>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sidRPr="00184E3E">
              <w:rPr>
                <w:rFonts w:ascii="Arabic Typesetting" w:hAnsi="Arabic Typesetting" w:cs="Arabic Typesetting" w:hint="cs"/>
                <w:color w:val="000000"/>
                <w:sz w:val="30"/>
                <w:szCs w:val="30"/>
                <w:rtl/>
                <w:lang w:bidi="ar-EG"/>
              </w:rPr>
              <w:t>ع</w:t>
            </w:r>
            <w:r w:rsidRPr="00184E3E">
              <w:rPr>
                <w:rFonts w:ascii="Arabic Typesetting" w:hAnsi="Arabic Typesetting" w:cs="Arabic Typesetting"/>
                <w:color w:val="000000"/>
                <w:sz w:val="30"/>
                <w:szCs w:val="30"/>
                <w:rtl/>
                <w:lang w:bidi="ar-EG"/>
              </w:rPr>
              <w:t xml:space="preserve">دد الأعضاء المشتركين في قاعدة بيانات </w:t>
            </w:r>
            <w:r w:rsidRPr="00184E3E">
              <w:rPr>
                <w:rFonts w:ascii="Arabic Typesetting" w:hAnsi="Arabic Typesetting" w:cs="Arabic Typesetting"/>
                <w:color w:val="000000"/>
                <w:sz w:val="30"/>
                <w:szCs w:val="30"/>
                <w:lang w:bidi="ar-EG"/>
              </w:rPr>
              <w:t>WIPO GREEN</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49" w:type="pct"/>
            <w:tcBorders>
              <w:top w:val="nil"/>
              <w:bottom w:val="nil"/>
            </w:tcBorders>
            <w:shd w:val="clear" w:color="auto" w:fill="auto"/>
            <w:vAlign w:val="center"/>
          </w:tcPr>
          <w:p w:rsidR="009178C3" w:rsidRPr="000C0C4E" w:rsidRDefault="009178C3" w:rsidP="006E665D">
            <w:pPr>
              <w:bidi/>
              <w:jc w:val="center"/>
              <w:rPr>
                <w:rFonts w:ascii="Wingdings" w:hAnsi="Wingdings" w:cs="Calibri"/>
                <w:color w:val="008000"/>
                <w:szCs w:val="22"/>
                <w:lang w:bidi="ar-EG"/>
              </w:rPr>
            </w:pPr>
            <w:r w:rsidRPr="000C0C4E">
              <w:rPr>
                <w:rFonts w:ascii="Wingdings" w:hAnsi="Wingdings" w:cs="Calibri"/>
                <w:color w:val="008000"/>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p>
        </w:tc>
      </w:tr>
      <w:tr w:rsidR="009178C3" w:rsidRPr="00FE3908" w:rsidTr="006E665D">
        <w:tc>
          <w:tcPr>
            <w:tcW w:w="1846" w:type="pct"/>
            <w:tcBorders>
              <w:top w:val="nil"/>
              <w:bottom w:val="single" w:sz="4" w:space="0" w:color="auto"/>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775" w:type="pct"/>
            <w:tcBorders>
              <w:top w:val="nil"/>
              <w:bottom w:val="single" w:sz="4" w:space="0" w:color="auto"/>
            </w:tcBorders>
            <w:shd w:val="clear" w:color="auto" w:fill="auto"/>
            <w:vAlign w:val="center"/>
          </w:tcPr>
          <w:p w:rsidR="009178C3" w:rsidRPr="00184E3E" w:rsidRDefault="009178C3" w:rsidP="006E665D">
            <w:pPr>
              <w:bidi/>
              <w:spacing w:before="60" w:after="60" w:line="280" w:lineRule="exact"/>
              <w:rPr>
                <w:rFonts w:ascii="Arabic Typesetting" w:hAnsi="Arabic Typesetting" w:cs="Arabic Typesetting"/>
                <w:color w:val="000000"/>
                <w:sz w:val="30"/>
                <w:szCs w:val="30"/>
                <w:rtl/>
                <w:lang w:bidi="ar-EG"/>
              </w:rPr>
            </w:pPr>
            <w:r w:rsidRPr="00184E3E">
              <w:rPr>
                <w:rFonts w:ascii="Arabic Typesetting" w:hAnsi="Arabic Typesetting" w:cs="Arabic Typesetting"/>
                <w:color w:val="000000"/>
                <w:sz w:val="30"/>
                <w:szCs w:val="30"/>
                <w:rtl/>
                <w:lang w:bidi="ar-EG"/>
              </w:rPr>
              <w:t xml:space="preserve">عدد الروابط التي أحدثت في قاعدة </w:t>
            </w:r>
            <w:r w:rsidRPr="00184E3E">
              <w:rPr>
                <w:rFonts w:ascii="Arabic Typesetting" w:hAnsi="Arabic Typesetting" w:cs="Arabic Typesetting" w:hint="cs"/>
                <w:color w:val="000000"/>
                <w:sz w:val="30"/>
                <w:szCs w:val="30"/>
                <w:rtl/>
                <w:lang w:bidi="ar-EG"/>
              </w:rPr>
              <w:t xml:space="preserve">بيانات </w:t>
            </w:r>
            <w:r w:rsidRPr="00184E3E">
              <w:rPr>
                <w:rFonts w:ascii="Arabic Typesetting" w:hAnsi="Arabic Typesetting" w:cs="Arabic Typesetting"/>
                <w:color w:val="000000"/>
                <w:sz w:val="30"/>
                <w:szCs w:val="30"/>
                <w:lang w:bidi="ar-EG"/>
              </w:rPr>
              <w:t>WIPO GREEN</w:t>
            </w:r>
            <w:r w:rsidRPr="00184E3E">
              <w:rPr>
                <w:rFonts w:ascii="Arabic Typesetting" w:hAnsi="Arabic Typesetting" w:cs="Arabic Typesetting"/>
                <w:color w:val="000000"/>
                <w:sz w:val="30"/>
                <w:szCs w:val="30"/>
                <w:rtl/>
                <w:lang w:bidi="ar-EG"/>
              </w:rPr>
              <w:t xml:space="preserve"> والمتعلقة بالآليات الوجيهة، من سبيل اتفاقية الأمم المتحدة الإطارية بشأن تغير المناخ (</w:t>
            </w:r>
            <w:r w:rsidRPr="00184E3E">
              <w:rPr>
                <w:rFonts w:ascii="Arabic Typesetting" w:hAnsi="Arabic Typesetting" w:cs="Arabic Typesetting"/>
                <w:color w:val="000000"/>
                <w:sz w:val="30"/>
                <w:szCs w:val="30"/>
                <w:lang w:bidi="ar-EG"/>
              </w:rPr>
              <w:t>UNFCCC</w:t>
            </w:r>
            <w:r w:rsidRPr="00184E3E">
              <w:rPr>
                <w:rFonts w:ascii="Arabic Typesetting" w:hAnsi="Arabic Typesetting" w:cs="Arabic Typesetting"/>
                <w:color w:val="000000"/>
                <w:sz w:val="30"/>
                <w:szCs w:val="30"/>
                <w:rtl/>
                <w:lang w:bidi="ar-EG"/>
              </w:rPr>
              <w:t>) ومراكز الابتكار في مجال المناخ (</w:t>
            </w:r>
            <w:proofErr w:type="spellStart"/>
            <w:r w:rsidRPr="00184E3E">
              <w:rPr>
                <w:rFonts w:ascii="Arabic Typesetting" w:hAnsi="Arabic Typesetting" w:cs="Arabic Typesetting"/>
                <w:color w:val="000000"/>
                <w:sz w:val="30"/>
                <w:szCs w:val="30"/>
                <w:lang w:bidi="ar-EG"/>
              </w:rPr>
              <w:t>infoDev</w:t>
            </w:r>
            <w:proofErr w:type="spellEnd"/>
            <w:r w:rsidRPr="00184E3E">
              <w:rPr>
                <w:rFonts w:ascii="Arabic Typesetting" w:hAnsi="Arabic Typesetting" w:cs="Arabic Typesetting"/>
                <w:color w:val="000000"/>
                <w:sz w:val="30"/>
                <w:szCs w:val="30"/>
                <w:rtl/>
                <w:lang w:bidi="ar-EG"/>
              </w:rPr>
              <w:t>)</w:t>
            </w:r>
          </w:p>
        </w:tc>
        <w:tc>
          <w:tcPr>
            <w:tcW w:w="830" w:type="pct"/>
            <w:tcBorders>
              <w:top w:val="nil"/>
              <w:bottom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49" w:type="pct"/>
            <w:tcBorders>
              <w:top w:val="nil"/>
              <w:bottom w:val="single" w:sz="4" w:space="0" w:color="auto"/>
            </w:tcBorders>
            <w:shd w:val="clear" w:color="auto" w:fill="auto"/>
            <w:vAlign w:val="center"/>
          </w:tcPr>
          <w:p w:rsidR="009178C3" w:rsidRPr="000C0C4E" w:rsidRDefault="009178C3" w:rsidP="006E665D">
            <w:pPr>
              <w:bidi/>
              <w:jc w:val="center"/>
              <w:rPr>
                <w:rFonts w:ascii="Wingdings" w:hAnsi="Wingdings" w:cs="Calibri"/>
                <w:color w:val="008000"/>
                <w:szCs w:val="22"/>
                <w:lang w:bidi="ar-EG"/>
              </w:rPr>
            </w:pPr>
            <w:r w:rsidRPr="000C0C4E">
              <w:rPr>
                <w:rFonts w:ascii="Wingdings" w:hAnsi="Wingdings" w:cs="Calibri"/>
                <w:color w:val="008000"/>
                <w:szCs w:val="22"/>
                <w:lang w:bidi="ar-EG"/>
              </w:rPr>
              <w:t></w:t>
            </w:r>
          </w:p>
        </w:tc>
      </w:tr>
      <w:tr w:rsidR="009178C3" w:rsidRPr="00FE3908" w:rsidTr="006E665D">
        <w:tc>
          <w:tcPr>
            <w:tcW w:w="1846" w:type="pct"/>
            <w:tcBorders>
              <w:top w:val="single" w:sz="4" w:space="0" w:color="auto"/>
              <w:bottom w:val="nil"/>
            </w:tcBorders>
            <w:shd w:val="clear" w:color="auto" w:fill="auto"/>
          </w:tcPr>
          <w:p w:rsidR="009178C3" w:rsidRPr="00D721DF" w:rsidRDefault="009178C3" w:rsidP="006E665D">
            <w:pPr>
              <w:keepNext/>
              <w:bidi/>
              <w:spacing w:before="60" w:after="60" w:line="280" w:lineRule="exact"/>
              <w:rPr>
                <w:rFonts w:ascii="Arabic Typesetting" w:hAnsi="Arabic Typesetting" w:cs="Arabic Typesetting"/>
                <w:color w:val="000000"/>
                <w:sz w:val="30"/>
                <w:szCs w:val="30"/>
                <w:rtl/>
                <w:lang w:bidi="ar-EG"/>
              </w:rPr>
            </w:pPr>
          </w:p>
        </w:tc>
        <w:tc>
          <w:tcPr>
            <w:tcW w:w="1775" w:type="pct"/>
            <w:tcBorders>
              <w:top w:val="single" w:sz="4" w:space="0" w:color="auto"/>
              <w:bottom w:val="nil"/>
            </w:tcBorders>
            <w:shd w:val="clear" w:color="auto" w:fill="auto"/>
            <w:vAlign w:val="center"/>
          </w:tcPr>
          <w:p w:rsidR="009178C3" w:rsidRPr="00184E3E" w:rsidRDefault="009178C3" w:rsidP="006E665D">
            <w:pPr>
              <w:keepNext/>
              <w:bidi/>
              <w:spacing w:before="60" w:after="60" w:line="280" w:lineRule="exact"/>
              <w:rPr>
                <w:rFonts w:ascii="Arabic Typesetting" w:hAnsi="Arabic Typesetting" w:cs="Arabic Typesetting"/>
                <w:color w:val="000000"/>
                <w:sz w:val="30"/>
                <w:szCs w:val="30"/>
                <w:rtl/>
                <w:lang w:bidi="ar-EG"/>
              </w:rPr>
            </w:pPr>
            <w:r w:rsidRPr="00184E3E">
              <w:rPr>
                <w:rFonts w:ascii="Arabic Typesetting" w:hAnsi="Arabic Typesetting" w:cs="Arabic Typesetting"/>
                <w:color w:val="000000"/>
                <w:sz w:val="30"/>
                <w:szCs w:val="30"/>
                <w:rtl/>
                <w:lang w:bidi="ar-EG"/>
              </w:rPr>
              <w:t>عدد الا</w:t>
            </w:r>
            <w:r>
              <w:rPr>
                <w:rFonts w:ascii="Arabic Typesetting" w:hAnsi="Arabic Typesetting" w:cs="Arabic Typesetting"/>
                <w:color w:val="000000"/>
                <w:sz w:val="30"/>
                <w:szCs w:val="30"/>
                <w:rtl/>
                <w:lang w:bidi="ar-EG"/>
              </w:rPr>
              <w:t>تفاقات التي حفزتها قاعدة بيانات</w:t>
            </w:r>
            <w:r>
              <w:rPr>
                <w:rFonts w:ascii="Arabic Typesetting" w:hAnsi="Arabic Typesetting" w:cs="Arabic Typesetting" w:hint="cs"/>
                <w:color w:val="000000"/>
                <w:sz w:val="30"/>
                <w:szCs w:val="30"/>
                <w:rtl/>
                <w:lang w:bidi="ar-EG"/>
              </w:rPr>
              <w:t xml:space="preserve"> </w:t>
            </w:r>
            <w:r w:rsidRPr="00184E3E">
              <w:rPr>
                <w:rFonts w:ascii="Arabic Typesetting" w:hAnsi="Arabic Typesetting" w:cs="Arabic Typesetting"/>
                <w:color w:val="000000"/>
                <w:sz w:val="30"/>
                <w:szCs w:val="30"/>
                <w:lang w:bidi="ar-EG"/>
              </w:rPr>
              <w:t>WIPO</w:t>
            </w:r>
            <w:r>
              <w:rPr>
                <w:rFonts w:ascii="Arabic Typesetting" w:hAnsi="Arabic Typesetting" w:cs="Arabic Typesetting"/>
                <w:color w:val="000000"/>
                <w:sz w:val="30"/>
                <w:szCs w:val="30"/>
                <w:lang w:bidi="ar-EG"/>
              </w:rPr>
              <w:t> </w:t>
            </w:r>
            <w:r w:rsidRPr="00184E3E">
              <w:rPr>
                <w:rFonts w:ascii="Arabic Typesetting" w:hAnsi="Arabic Typesetting" w:cs="Arabic Typesetting"/>
                <w:color w:val="000000"/>
                <w:sz w:val="30"/>
                <w:szCs w:val="30"/>
                <w:lang w:bidi="ar-EG"/>
              </w:rPr>
              <w:t>GREEN</w:t>
            </w:r>
            <w:r w:rsidRPr="00184E3E">
              <w:rPr>
                <w:rFonts w:ascii="Arabic Typesetting" w:hAnsi="Arabic Typesetting" w:cs="Arabic Typesetting"/>
                <w:color w:val="000000"/>
                <w:sz w:val="30"/>
                <w:szCs w:val="30"/>
                <w:rtl/>
                <w:lang w:bidi="ar-EG"/>
              </w:rPr>
              <w:t xml:space="preserve"> والرامية إلى تيسير نقل المعارف وتطويع التكنولوجيا و/أو نقلها و/أو نشرها</w:t>
            </w:r>
          </w:p>
        </w:tc>
        <w:tc>
          <w:tcPr>
            <w:tcW w:w="830" w:type="pct"/>
            <w:tcBorders>
              <w:top w:val="single" w:sz="4" w:space="0" w:color="auto"/>
              <w:bottom w:val="nil"/>
            </w:tcBorders>
            <w:shd w:val="clear" w:color="auto" w:fill="auto"/>
            <w:vAlign w:val="center"/>
          </w:tcPr>
          <w:p w:rsidR="009178C3" w:rsidRPr="00FE3908" w:rsidRDefault="009178C3" w:rsidP="006E665D">
            <w:pPr>
              <w:keepNext/>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49" w:type="pct"/>
            <w:tcBorders>
              <w:top w:val="single" w:sz="4" w:space="0" w:color="auto"/>
              <w:bottom w:val="nil"/>
            </w:tcBorders>
            <w:shd w:val="clear" w:color="auto" w:fill="auto"/>
            <w:vAlign w:val="center"/>
          </w:tcPr>
          <w:p w:rsidR="009178C3" w:rsidRPr="000C0C4E" w:rsidRDefault="009178C3" w:rsidP="006E665D">
            <w:pPr>
              <w:keepNext/>
              <w:bidi/>
              <w:jc w:val="center"/>
              <w:rPr>
                <w:rFonts w:ascii="Wingdings" w:hAnsi="Wingdings" w:cs="Calibri"/>
                <w:color w:val="FF0000"/>
                <w:szCs w:val="22"/>
                <w:lang w:bidi="ar-EG"/>
              </w:rPr>
            </w:pPr>
            <w:r w:rsidRPr="000C0C4E">
              <w:rPr>
                <w:rFonts w:ascii="Wingdings" w:hAnsi="Wingdings" w:cs="Calibri"/>
                <w:color w:val="FF0000"/>
                <w:szCs w:val="22"/>
                <w:lang w:bidi="ar-EG"/>
              </w:rPr>
              <w:t></w:t>
            </w:r>
          </w:p>
        </w:tc>
      </w:tr>
      <w:tr w:rsidR="009178C3" w:rsidRPr="00FE3908" w:rsidTr="006E665D">
        <w:tc>
          <w:tcPr>
            <w:tcW w:w="1846"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775" w:type="pct"/>
            <w:tcBorders>
              <w:top w:val="nil"/>
              <w:bottom w:val="nil"/>
            </w:tcBorders>
            <w:shd w:val="clear" w:color="auto" w:fill="auto"/>
            <w:vAlign w:val="center"/>
          </w:tcPr>
          <w:p w:rsidR="009178C3" w:rsidRPr="00184E3E" w:rsidRDefault="009178C3" w:rsidP="006E665D">
            <w:pPr>
              <w:bidi/>
              <w:spacing w:before="60" w:after="60" w:line="280" w:lineRule="exact"/>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عدد زائري الموقع </w:t>
            </w:r>
            <w:proofErr w:type="spellStart"/>
            <w:r w:rsidRPr="006E76C5">
              <w:rPr>
                <w:rFonts w:ascii="Arabic Typesetting" w:hAnsi="Arabic Typesetting" w:cs="Arabic Typesetting"/>
                <w:color w:val="000000"/>
                <w:sz w:val="30"/>
                <w:szCs w:val="30"/>
                <w:rtl/>
                <w:lang w:bidi="ar-EG"/>
              </w:rPr>
              <w:t>الالكتروني</w:t>
            </w:r>
            <w:proofErr w:type="spellEnd"/>
            <w:r w:rsidRPr="006E76C5">
              <w:rPr>
                <w:rFonts w:ascii="Arabic Typesetting" w:hAnsi="Arabic Typesetting" w:cs="Arabic Typesetting"/>
                <w:color w:val="000000"/>
                <w:sz w:val="30"/>
                <w:szCs w:val="30"/>
                <w:rtl/>
                <w:lang w:bidi="ar-EG"/>
              </w:rPr>
              <w:t xml:space="preserve"> للتحديات العالمية</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البرنامج </w:t>
            </w:r>
            <w:r w:rsidRPr="006E76C5">
              <w:rPr>
                <w:rFonts w:ascii="Arabic Typesetting" w:hAnsi="Arabic Typesetting" w:cs="Arabic Typesetting" w:hint="cs"/>
                <w:color w:val="000000"/>
                <w:sz w:val="30"/>
                <w:szCs w:val="30"/>
                <w:rtl/>
                <w:lang w:bidi="ar-EG"/>
              </w:rPr>
              <w:t>18</w:t>
            </w:r>
          </w:p>
        </w:tc>
        <w:tc>
          <w:tcPr>
            <w:tcW w:w="549" w:type="pct"/>
            <w:tcBorders>
              <w:top w:val="nil"/>
              <w:bottom w:val="nil"/>
            </w:tcBorders>
            <w:shd w:val="clear" w:color="auto" w:fill="auto"/>
            <w:vAlign w:val="center"/>
          </w:tcPr>
          <w:p w:rsidR="009178C3" w:rsidRPr="000C0C4E" w:rsidRDefault="009178C3" w:rsidP="006E665D">
            <w:pPr>
              <w:bidi/>
              <w:jc w:val="center"/>
              <w:rPr>
                <w:rFonts w:ascii="Wingdings" w:hAnsi="Wingdings" w:cs="Calibri"/>
                <w:color w:val="FF0000"/>
                <w:szCs w:val="22"/>
                <w:lang w:bidi="ar-EG"/>
              </w:rPr>
            </w:pPr>
            <w:r w:rsidRPr="000C0C4E">
              <w:rPr>
                <w:rFonts w:ascii="Wingdings" w:hAnsi="Wingdings" w:cs="Calibri"/>
                <w:color w:val="FF0000"/>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r w:rsidRPr="000C0C4E">
              <w:rPr>
                <w:rFonts w:ascii="Wingdings" w:hAnsi="Wingdings" w:cs="Calibri"/>
                <w:color w:val="FF0000"/>
                <w:szCs w:val="22"/>
                <w:lang w:bidi="ar-EG"/>
              </w:rPr>
              <w:t></w:t>
            </w:r>
          </w:p>
        </w:tc>
      </w:tr>
      <w:tr w:rsidR="009178C3" w:rsidRPr="00FE3908" w:rsidTr="006E665D">
        <w:tc>
          <w:tcPr>
            <w:tcW w:w="1846"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775" w:type="pct"/>
            <w:tcBorders>
              <w:top w:val="nil"/>
              <w:bottom w:val="nil"/>
            </w:tcBorders>
            <w:shd w:val="clear" w:color="auto" w:fill="auto"/>
            <w:vAlign w:val="center"/>
          </w:tcPr>
          <w:p w:rsidR="009178C3" w:rsidRPr="006E76C5" w:rsidRDefault="009178C3" w:rsidP="006E665D">
            <w:pPr>
              <w:bidi/>
              <w:spacing w:before="60" w:after="60" w:line="280" w:lineRule="exact"/>
              <w:rPr>
                <w:rFonts w:ascii="Arabic Typesetting" w:hAnsi="Arabic Typesetting" w:cs="Arabic Typesetting"/>
                <w:color w:val="000000"/>
                <w:sz w:val="30"/>
                <w:szCs w:val="30"/>
                <w:rtl/>
              </w:rPr>
            </w:pPr>
            <w:r w:rsidRPr="00975575">
              <w:rPr>
                <w:rFonts w:ascii="Arabic Typesetting" w:hAnsi="Arabic Typesetting" w:cs="Arabic Typesetting" w:hint="cs"/>
                <w:color w:val="000000"/>
                <w:sz w:val="30"/>
                <w:szCs w:val="30"/>
                <w:rtl/>
              </w:rPr>
              <w:t xml:space="preserve">مشاركة أصحاب المصالح في برامج الويبو من سبيل </w:t>
            </w:r>
            <w:r w:rsidRPr="00975575">
              <w:rPr>
                <w:rFonts w:ascii="Arabic Typesetting" w:hAnsi="Arabic Typesetting" w:cs="Arabic Typesetting"/>
                <w:color w:val="000000"/>
                <w:sz w:val="30"/>
                <w:szCs w:val="30"/>
                <w:lang w:bidi="ar-EG"/>
              </w:rPr>
              <w:t>WIPO</w:t>
            </w:r>
            <w:r>
              <w:rPr>
                <w:rFonts w:ascii="Arabic Typesetting" w:hAnsi="Arabic Typesetting" w:cs="Arabic Typesetting"/>
                <w:color w:val="000000"/>
                <w:sz w:val="30"/>
                <w:szCs w:val="30"/>
                <w:lang w:bidi="ar-EG"/>
              </w:rPr>
              <w:t> </w:t>
            </w:r>
            <w:r w:rsidRPr="00975575">
              <w:rPr>
                <w:rFonts w:ascii="Arabic Typesetting" w:hAnsi="Arabic Typesetting" w:cs="Arabic Typesetting"/>
                <w:color w:val="000000"/>
                <w:sz w:val="30"/>
                <w:szCs w:val="30"/>
                <w:lang w:bidi="ar-EG"/>
              </w:rPr>
              <w:t>GREEN</w:t>
            </w:r>
            <w:r w:rsidRPr="00975575">
              <w:rPr>
                <w:rFonts w:ascii="Arabic Typesetting" w:hAnsi="Arabic Typesetting" w:cs="Arabic Typesetting" w:hint="cs"/>
                <w:color w:val="000000"/>
                <w:sz w:val="30"/>
                <w:szCs w:val="30"/>
                <w:rtl/>
              </w:rPr>
              <w:t xml:space="preserve"> و</w:t>
            </w:r>
            <w:r w:rsidRPr="00975575">
              <w:rPr>
                <w:rFonts w:ascii="Arabic Typesetting" w:hAnsi="Arabic Typesetting" w:cs="Arabic Typesetting"/>
                <w:color w:val="000000"/>
                <w:sz w:val="30"/>
                <w:szCs w:val="30"/>
                <w:lang w:bidi="ar-EG"/>
              </w:rPr>
              <w:t>WIPO</w:t>
            </w:r>
            <w:r>
              <w:rPr>
                <w:rFonts w:ascii="Arabic Typesetting" w:hAnsi="Arabic Typesetting" w:cs="Arabic Typesetting"/>
                <w:color w:val="000000"/>
                <w:sz w:val="30"/>
                <w:szCs w:val="30"/>
                <w:lang w:bidi="ar-EG"/>
              </w:rPr>
              <w:t> </w:t>
            </w:r>
            <w:proofErr w:type="spellStart"/>
            <w:r w:rsidRPr="00975575">
              <w:rPr>
                <w:rFonts w:ascii="Arabic Typesetting" w:hAnsi="Arabic Typesetting" w:cs="Arabic Typesetting"/>
                <w:color w:val="000000"/>
                <w:sz w:val="30"/>
                <w:szCs w:val="30"/>
                <w:lang w:bidi="ar-EG"/>
              </w:rPr>
              <w:t>Re:Search</w:t>
            </w:r>
            <w:proofErr w:type="spellEnd"/>
          </w:p>
        </w:tc>
        <w:tc>
          <w:tcPr>
            <w:tcW w:w="830" w:type="pct"/>
            <w:tcBorders>
              <w:top w:val="nil"/>
              <w:bottom w:val="nil"/>
            </w:tcBorders>
            <w:shd w:val="clear" w:color="auto" w:fill="auto"/>
            <w:vAlign w:val="center"/>
          </w:tcPr>
          <w:p w:rsidR="009178C3" w:rsidRPr="006E76C5"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49" w:type="pct"/>
            <w:tcBorders>
              <w:top w:val="nil"/>
              <w:bottom w:val="nil"/>
            </w:tcBorders>
            <w:shd w:val="clear" w:color="auto" w:fill="auto"/>
            <w:vAlign w:val="center"/>
          </w:tcPr>
          <w:p w:rsidR="009178C3" w:rsidRPr="000C0C4E" w:rsidRDefault="009178C3" w:rsidP="006E665D">
            <w:pPr>
              <w:bidi/>
              <w:jc w:val="center"/>
              <w:rPr>
                <w:rFonts w:ascii="Wingdings" w:hAnsi="Wingdings" w:cs="Calibri"/>
                <w:color w:val="008000"/>
                <w:szCs w:val="22"/>
                <w:lang w:bidi="ar-EG"/>
              </w:rPr>
            </w:pPr>
            <w:r w:rsidRPr="00AA39EE">
              <w:rPr>
                <w:rFonts w:ascii="Wingdings" w:hAnsi="Wingdings" w:cs="Calibri"/>
                <w:color w:val="FF0000"/>
                <w:szCs w:val="22"/>
                <w:lang w:bidi="ar-EG"/>
              </w:rPr>
              <w:t></w:t>
            </w:r>
            <w:r w:rsidRPr="000C0C4E">
              <w:rPr>
                <w:rFonts w:ascii="Wingdings" w:hAnsi="Wingdings" w:cs="Calibri"/>
                <w:color w:val="A6A6A6"/>
                <w:szCs w:val="22"/>
                <w:lang w:bidi="ar-EG"/>
              </w:rPr>
              <w:t></w:t>
            </w:r>
            <w:r w:rsidRPr="000C0C4E">
              <w:rPr>
                <w:rFonts w:ascii="Wingdings" w:hAnsi="Wingdings" w:cs="Calibri"/>
                <w:color w:val="008000"/>
                <w:szCs w:val="22"/>
                <w:lang w:bidi="ar-EG"/>
              </w:rPr>
              <w:t></w:t>
            </w:r>
            <w:r w:rsidRPr="000C0C4E">
              <w:rPr>
                <w:rFonts w:ascii="Wingdings" w:hAnsi="Wingdings" w:cs="Calibri"/>
                <w:color w:val="008000"/>
                <w:szCs w:val="22"/>
                <w:lang w:bidi="ar-EG"/>
              </w:rPr>
              <w:t></w:t>
            </w:r>
            <w:r w:rsidRPr="000C0C4E">
              <w:rPr>
                <w:rFonts w:ascii="Wingdings" w:hAnsi="Wingdings" w:cs="Calibri"/>
                <w:color w:val="FF0000"/>
                <w:szCs w:val="22"/>
                <w:lang w:bidi="ar-EG"/>
              </w:rPr>
              <w:t></w:t>
            </w:r>
          </w:p>
        </w:tc>
      </w:tr>
      <w:tr w:rsidR="009178C3" w:rsidRPr="00FE3908" w:rsidTr="006E665D">
        <w:tc>
          <w:tcPr>
            <w:tcW w:w="1846" w:type="pct"/>
            <w:tcBorders>
              <w:top w:val="nil"/>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975575">
              <w:rPr>
                <w:rFonts w:ascii="Arabic Typesetting" w:hAnsi="Arabic Typesetting" w:cs="Arabic Typesetting"/>
                <w:color w:val="000000"/>
                <w:sz w:val="30"/>
                <w:szCs w:val="30"/>
                <w:rtl/>
                <w:lang w:bidi="ar-EG"/>
              </w:rPr>
              <w:t xml:space="preserve">ه3.7 </w:t>
            </w:r>
            <w:r w:rsidRPr="00D619C5">
              <w:rPr>
                <w:rFonts w:ascii="Arabic Typesetting" w:hAnsi="Arabic Typesetting" w:cs="Arabic Typesetting"/>
                <w:color w:val="000000"/>
                <w:sz w:val="30"/>
                <w:szCs w:val="30"/>
                <w:rtl/>
                <w:lang w:bidi="ar-EG"/>
              </w:rPr>
              <w:t>تزايد مصداقية الويبو كمحفل لتحليل القضايا المطروحة في مجال الملكية الفكرية وسياسة المنافسة</w:t>
            </w:r>
          </w:p>
        </w:tc>
        <w:tc>
          <w:tcPr>
            <w:tcW w:w="1775" w:type="pct"/>
            <w:tcBorders>
              <w:top w:val="nil"/>
              <w:bottom w:val="nil"/>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975575">
              <w:rPr>
                <w:rFonts w:ascii="Arabic Typesetting" w:hAnsi="Arabic Typesetting" w:cs="Arabic Typesetting"/>
                <w:sz w:val="30"/>
                <w:szCs w:val="30"/>
                <w:rtl/>
                <w:lang w:bidi="ar-EG"/>
              </w:rPr>
              <w:t>عدد البلدان التي تلتمس مساهمات خصوصية من الويبو بشأن الملكية الفكرية فيما يتعلق بالقضايا المتعلقة بسياسة المنافسة</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49" w:type="pct"/>
            <w:tcBorders>
              <w:top w:val="nil"/>
              <w:bottom w:val="nil"/>
            </w:tcBorders>
            <w:shd w:val="clear" w:color="auto" w:fill="auto"/>
            <w:vAlign w:val="center"/>
          </w:tcPr>
          <w:p w:rsidR="009178C3" w:rsidRPr="000C0C4E" w:rsidRDefault="009178C3" w:rsidP="006E665D">
            <w:pPr>
              <w:bidi/>
              <w:jc w:val="center"/>
              <w:rPr>
                <w:rFonts w:ascii="Wingdings" w:hAnsi="Wingdings" w:cs="Calibri"/>
                <w:color w:val="008000"/>
                <w:szCs w:val="22"/>
                <w:rtl/>
                <w:lang w:bidi="ar-EG"/>
              </w:rPr>
            </w:pPr>
            <w:r w:rsidRPr="000C0C4E">
              <w:rPr>
                <w:rFonts w:ascii="Wingdings" w:hAnsi="Wingdings" w:cs="Calibri"/>
                <w:color w:val="008000"/>
                <w:szCs w:val="22"/>
                <w:lang w:bidi="ar-EG"/>
              </w:rPr>
              <w:t></w:t>
            </w:r>
          </w:p>
        </w:tc>
      </w:tr>
      <w:tr w:rsidR="009178C3" w:rsidRPr="00FE3908" w:rsidTr="006E665D">
        <w:tc>
          <w:tcPr>
            <w:tcW w:w="1846" w:type="pct"/>
            <w:tcBorders>
              <w:top w:val="nil"/>
              <w:bottom w:val="single" w:sz="4" w:space="0" w:color="auto"/>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775" w:type="pct"/>
            <w:tcBorders>
              <w:top w:val="nil"/>
              <w:bottom w:val="single" w:sz="4" w:space="0" w:color="auto"/>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975575">
              <w:rPr>
                <w:rFonts w:ascii="Arabic Typesetting" w:hAnsi="Arabic Typesetting" w:cs="Arabic Typesetting"/>
                <w:sz w:val="30"/>
                <w:szCs w:val="30"/>
                <w:rtl/>
                <w:lang w:bidi="ar-EG"/>
              </w:rPr>
              <w:t>عدد أصحاب المصالح (مكاتب الملكية الفكرية والسلطات المعنية بالمنافسة والمنظمات الحكومية الدولية والمنظمات غير الحكومية الوجيهة) الذين يخوضون حوارا مع الويبو، ومدى تنوعهم</w:t>
            </w:r>
          </w:p>
        </w:tc>
        <w:tc>
          <w:tcPr>
            <w:tcW w:w="830" w:type="pct"/>
            <w:tcBorders>
              <w:top w:val="nil"/>
              <w:bottom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18</w:t>
            </w:r>
          </w:p>
        </w:tc>
        <w:tc>
          <w:tcPr>
            <w:tcW w:w="549" w:type="pct"/>
            <w:tcBorders>
              <w:top w:val="nil"/>
              <w:bottom w:val="single" w:sz="4" w:space="0" w:color="auto"/>
            </w:tcBorders>
            <w:shd w:val="clear" w:color="auto" w:fill="auto"/>
            <w:vAlign w:val="center"/>
          </w:tcPr>
          <w:p w:rsidR="009178C3" w:rsidRPr="000C0C4E" w:rsidRDefault="009178C3" w:rsidP="006E665D">
            <w:pPr>
              <w:bidi/>
              <w:jc w:val="center"/>
              <w:rPr>
                <w:rFonts w:ascii="Wingdings" w:hAnsi="Wingdings" w:cs="Calibri"/>
                <w:color w:val="008000"/>
                <w:szCs w:val="22"/>
                <w:lang w:bidi="ar-EG"/>
              </w:rPr>
            </w:pPr>
            <w:r w:rsidRPr="000C0C4E">
              <w:rPr>
                <w:rFonts w:ascii="Wingdings" w:hAnsi="Wingdings" w:cs="Calibri"/>
                <w:color w:val="008000"/>
                <w:szCs w:val="22"/>
                <w:lang w:bidi="ar-EG"/>
              </w:rPr>
              <w:t></w:t>
            </w:r>
          </w:p>
        </w:tc>
      </w:tr>
    </w:tbl>
    <w:p w:rsidR="00B31868" w:rsidRPr="00385CA0" w:rsidRDefault="00B31868" w:rsidP="00FE0236">
      <w:pPr>
        <w:pStyle w:val="Heading3AR"/>
        <w:spacing w:after="120"/>
        <w:rPr>
          <w:rtl/>
        </w:rPr>
      </w:pPr>
      <w:bookmarkStart w:id="101" w:name="_Toc393817950"/>
      <w:bookmarkStart w:id="102" w:name="_Toc450635423"/>
      <w:bookmarkStart w:id="103" w:name="_Toc455393392"/>
      <w:r w:rsidRPr="00385CA0">
        <w:rPr>
          <w:rtl/>
        </w:rPr>
        <w:lastRenderedPageBreak/>
        <w:t>البرنامج</w:t>
      </w:r>
      <w:r w:rsidRPr="00385CA0">
        <w:t xml:space="preserve"> </w:t>
      </w:r>
      <w:r w:rsidRPr="00385CA0">
        <w:rPr>
          <w:rtl/>
        </w:rPr>
        <w:t>18:</w:t>
      </w:r>
      <w:r w:rsidRPr="00385CA0">
        <w:rPr>
          <w:rtl/>
        </w:rPr>
        <w:tab/>
        <w:t>الملكية الفكرية والتحديات العالمية</w:t>
      </w:r>
      <w:bookmarkEnd w:id="101"/>
      <w:bookmarkEnd w:id="102"/>
      <w:bookmarkEnd w:id="103"/>
    </w:p>
    <w:p w:rsidR="00B31868" w:rsidRDefault="00B31868" w:rsidP="00FE0236">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Pr="009A48D1">
        <w:rPr>
          <w:rFonts w:ascii="Arabic Typesetting" w:hAnsi="Arabic Typesetting" w:cs="Arabic Typesetting"/>
          <w:b/>
          <w:bCs/>
          <w:sz w:val="36"/>
          <w:szCs w:val="36"/>
          <w:lang w:val="fr-CH"/>
        </w:rPr>
        <w:tab/>
      </w:r>
      <w:r w:rsidRPr="009A48D1">
        <w:rPr>
          <w:rFonts w:ascii="Arabic Typesetting" w:hAnsi="Arabic Typesetting" w:cs="Arabic Typesetting"/>
          <w:b/>
          <w:bCs/>
          <w:sz w:val="36"/>
          <w:szCs w:val="36"/>
          <w:rtl/>
          <w:lang w:val="fr-CH"/>
        </w:rPr>
        <w:t xml:space="preserve">السيد </w:t>
      </w:r>
      <w:proofErr w:type="spellStart"/>
      <w:r w:rsidRPr="009A48D1">
        <w:rPr>
          <w:rFonts w:ascii="Arabic Typesetting" w:hAnsi="Arabic Typesetting" w:cs="Arabic Typesetting"/>
          <w:b/>
          <w:bCs/>
          <w:sz w:val="36"/>
          <w:szCs w:val="36"/>
          <w:rtl/>
          <w:lang w:val="fr-CH"/>
        </w:rPr>
        <w:t>مينيليك</w:t>
      </w:r>
      <w:proofErr w:type="spellEnd"/>
      <w:r w:rsidRPr="009A48D1">
        <w:rPr>
          <w:rFonts w:ascii="Arabic Typesetting" w:hAnsi="Arabic Typesetting" w:cs="Arabic Typesetting"/>
          <w:b/>
          <w:bCs/>
          <w:sz w:val="36"/>
          <w:szCs w:val="36"/>
          <w:rtl/>
          <w:lang w:val="fr-CH"/>
        </w:rPr>
        <w:t xml:space="preserve"> </w:t>
      </w:r>
      <w:proofErr w:type="spellStart"/>
      <w:r w:rsidRPr="009A48D1">
        <w:rPr>
          <w:rFonts w:ascii="Arabic Typesetting" w:hAnsi="Arabic Typesetting" w:cs="Arabic Typesetting"/>
          <w:b/>
          <w:bCs/>
          <w:sz w:val="36"/>
          <w:szCs w:val="36"/>
          <w:rtl/>
          <w:lang w:val="fr-CH"/>
        </w:rPr>
        <w:t>غيتاهون</w:t>
      </w:r>
      <w:proofErr w:type="spellEnd"/>
    </w:p>
    <w:p w:rsidR="00086C3F" w:rsidRPr="00FE3908" w:rsidRDefault="00086C3F" w:rsidP="00FE0236">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الإنجازات المحققة خلال</w:t>
      </w:r>
      <w:r w:rsidRPr="00FE3908">
        <w:rPr>
          <w:rFonts w:ascii="Arabic Typesetting" w:hAnsi="Arabic Typesetting" w:cs="Arabic Typesetting" w:hint="cs"/>
          <w:sz w:val="36"/>
          <w:szCs w:val="36"/>
          <w:rtl/>
          <w:lang w:val="fr-CH"/>
        </w:rPr>
        <w:t xml:space="preserve"> </w:t>
      </w:r>
      <w:r>
        <w:rPr>
          <w:rFonts w:ascii="Arabic Typesetting" w:hAnsi="Arabic Typesetting" w:cs="Arabic Typesetting" w:hint="cs"/>
          <w:sz w:val="36"/>
          <w:szCs w:val="36"/>
          <w:rtl/>
          <w:lang w:val="fr-CH"/>
        </w:rPr>
        <w:t xml:space="preserve">الثنائية </w:t>
      </w:r>
      <w:r w:rsidR="00507DE2">
        <w:rPr>
          <w:rFonts w:ascii="Arabic Typesetting" w:hAnsi="Arabic Typesetting" w:cs="Arabic Typesetting" w:hint="cs"/>
          <w:sz w:val="36"/>
          <w:szCs w:val="36"/>
          <w:rtl/>
          <w:lang w:val="fr-CH"/>
        </w:rPr>
        <w:t>2014/15</w:t>
      </w:r>
    </w:p>
    <w:p w:rsidR="004226D7" w:rsidRPr="008A76B0" w:rsidRDefault="004226D7" w:rsidP="009A3712">
      <w:pPr>
        <w:numPr>
          <w:ilvl w:val="0"/>
          <w:numId w:val="37"/>
        </w:numPr>
        <w:bidi/>
        <w:spacing w:after="120" w:line="340" w:lineRule="exact"/>
        <w:ind w:left="-1" w:firstLine="0"/>
        <w:rPr>
          <w:rFonts w:ascii="Arabic Typesetting" w:hAnsi="Arabic Typesetting" w:cs="Arabic Typesetting"/>
          <w:sz w:val="34"/>
          <w:szCs w:val="34"/>
          <w:lang w:val="fr-CH"/>
        </w:rPr>
      </w:pPr>
      <w:r w:rsidRPr="008A76B0">
        <w:rPr>
          <w:rFonts w:ascii="Arabic Typesetting" w:hAnsi="Arabic Typesetting" w:cs="Arabic Typesetting"/>
          <w:sz w:val="34"/>
          <w:szCs w:val="34"/>
          <w:rtl/>
          <w:lang w:val="fr-CH"/>
        </w:rPr>
        <w:t>يتناول البرنامج 18 الابتكار والملكية الفكرية في هامش التقاطع بين القضايا العالمية المترابطة، ولا سيما قضايا الصحة العالمية وتغير المناخ والأمن الغذائي. وفي الثنائية 2014/15، واصل البرنامج الإسهام في تعميق فهم واضعي السياسات للتفاعل بين التحديات العالمية والابتكار والملكية الفكرية، بما في ذلك من خلال منصتين لأصحاب المصالح المتعددين (قاعدة بيانات الويبو للبحث </w:t>
      </w:r>
      <w:r w:rsidRPr="008A76B0">
        <w:rPr>
          <w:rFonts w:ascii="Arabic Typesetting" w:hAnsi="Arabic Typesetting" w:cs="Arabic Typesetting"/>
          <w:sz w:val="34"/>
          <w:szCs w:val="34"/>
          <w:lang w:val="fr-CH"/>
        </w:rPr>
        <w:t>WIPO </w:t>
      </w:r>
      <w:proofErr w:type="spellStart"/>
      <w:r w:rsidRPr="008A76B0">
        <w:rPr>
          <w:rFonts w:ascii="Arabic Typesetting" w:hAnsi="Arabic Typesetting" w:cs="Arabic Typesetting"/>
          <w:sz w:val="34"/>
          <w:szCs w:val="34"/>
          <w:lang w:val="fr-CH"/>
        </w:rPr>
        <w:t>Re:Search</w:t>
      </w:r>
      <w:proofErr w:type="spellEnd"/>
      <w:r w:rsidRPr="008A76B0">
        <w:rPr>
          <w:rFonts w:ascii="Arabic Typesetting" w:hAnsi="Arabic Typesetting" w:cs="Arabic Typesetting"/>
          <w:sz w:val="34"/>
          <w:szCs w:val="34"/>
          <w:rtl/>
          <w:lang w:val="fr-CH"/>
        </w:rPr>
        <w:t xml:space="preserve"> وقاعدة بيانات الويبو البيئية </w:t>
      </w:r>
      <w:r w:rsidRPr="008A76B0">
        <w:rPr>
          <w:rFonts w:ascii="Arabic Typesetting" w:hAnsi="Arabic Typesetting" w:cs="Arabic Typesetting"/>
          <w:sz w:val="34"/>
          <w:szCs w:val="34"/>
          <w:lang w:val="fr-CH"/>
        </w:rPr>
        <w:t>WIPO GREEN</w:t>
      </w:r>
      <w:r w:rsidRPr="008A76B0">
        <w:rPr>
          <w:rFonts w:ascii="Arabic Typesetting" w:hAnsi="Arabic Typesetting" w:cs="Arabic Typesetting"/>
          <w:sz w:val="34"/>
          <w:szCs w:val="34"/>
          <w:rtl/>
          <w:lang w:val="fr-CH"/>
        </w:rPr>
        <w:t>، على التوالي) بالإضافة إلى التعاون الجاري مع منظمة الصحة العالمية ومنظمة التجارة العالمية على تناول التقاطع بين الصحة والملكية الفكرية والابتكار والتجارة.</w:t>
      </w:r>
      <w:r w:rsidRPr="008A76B0">
        <w:rPr>
          <w:rFonts w:ascii="Arabic Typesetting" w:hAnsi="Arabic Typesetting" w:cs="Arabic Typesetting"/>
          <w:sz w:val="34"/>
          <w:szCs w:val="34"/>
          <w:lang w:val="fr-CH"/>
        </w:rPr>
        <w:t xml:space="preserve"> </w:t>
      </w:r>
      <w:r w:rsidRPr="008A76B0">
        <w:rPr>
          <w:rFonts w:ascii="Arabic Typesetting" w:hAnsi="Arabic Typesetting" w:cs="Arabic Typesetting"/>
          <w:sz w:val="34"/>
          <w:szCs w:val="34"/>
          <w:rtl/>
          <w:lang w:val="fr-CH"/>
        </w:rPr>
        <w:t xml:space="preserve">وخلال الثنائية، استمر البرنامج في تلقي انطباعات إيجابية من طيف واسع من أصحاب المصلحة </w:t>
      </w:r>
      <w:r w:rsidR="00F02993">
        <w:rPr>
          <w:rFonts w:ascii="Arabic Typesetting" w:hAnsi="Arabic Typesetting" w:cs="Arabic Typesetting" w:hint="cs"/>
          <w:sz w:val="34"/>
          <w:szCs w:val="34"/>
          <w:rtl/>
          <w:lang w:val="fr-CH"/>
        </w:rPr>
        <w:t>عن</w:t>
      </w:r>
      <w:r w:rsidRPr="008A76B0">
        <w:rPr>
          <w:rFonts w:ascii="Arabic Typesetting" w:hAnsi="Arabic Typesetting" w:cs="Arabic Typesetting"/>
          <w:sz w:val="34"/>
          <w:szCs w:val="34"/>
          <w:rtl/>
          <w:lang w:val="fr-CH"/>
        </w:rPr>
        <w:t xml:space="preserve"> عمل الويبو المتعلق بالملكية الفكرية والتحديات</w:t>
      </w:r>
      <w:r w:rsidR="00F02993">
        <w:rPr>
          <w:rFonts w:ascii="Arabic Typesetting" w:hAnsi="Arabic Typesetting" w:cs="Arabic Typesetting" w:hint="cs"/>
          <w:sz w:val="34"/>
          <w:szCs w:val="34"/>
          <w:rtl/>
          <w:lang w:val="fr-CH"/>
        </w:rPr>
        <w:t> </w:t>
      </w:r>
      <w:r w:rsidRPr="008A76B0">
        <w:rPr>
          <w:rFonts w:ascii="Arabic Typesetting" w:hAnsi="Arabic Typesetting" w:cs="Arabic Typesetting"/>
          <w:sz w:val="34"/>
          <w:szCs w:val="34"/>
          <w:rtl/>
          <w:lang w:val="fr-CH"/>
        </w:rPr>
        <w:t>العالمية.</w:t>
      </w:r>
    </w:p>
    <w:p w:rsidR="004226D7" w:rsidRPr="008A76B0" w:rsidRDefault="004226D7" w:rsidP="009A3712">
      <w:pPr>
        <w:numPr>
          <w:ilvl w:val="0"/>
          <w:numId w:val="37"/>
        </w:numPr>
        <w:bidi/>
        <w:spacing w:after="120" w:line="340" w:lineRule="exact"/>
        <w:ind w:left="-1" w:firstLine="0"/>
        <w:rPr>
          <w:rFonts w:ascii="Arabic Typesetting" w:hAnsi="Arabic Typesetting" w:cs="Arabic Typesetting"/>
          <w:sz w:val="34"/>
          <w:szCs w:val="34"/>
          <w:lang w:val="fr-CH"/>
        </w:rPr>
      </w:pPr>
      <w:r w:rsidRPr="008A76B0">
        <w:rPr>
          <w:rFonts w:ascii="Arabic Typesetting" w:hAnsi="Arabic Typesetting" w:cs="Arabic Typesetting"/>
          <w:sz w:val="34"/>
          <w:szCs w:val="34"/>
          <w:rtl/>
          <w:lang w:val="fr-CH"/>
        </w:rPr>
        <w:t xml:space="preserve">وواصل البرنامج </w:t>
      </w:r>
      <w:r w:rsidR="00F02993">
        <w:rPr>
          <w:rFonts w:ascii="Arabic Typesetting" w:hAnsi="Arabic Typesetting" w:cs="Arabic Typesetting" w:hint="cs"/>
          <w:sz w:val="34"/>
          <w:szCs w:val="34"/>
          <w:rtl/>
          <w:lang w:val="fr-CH"/>
        </w:rPr>
        <w:t>تعاونه الوثيق</w:t>
      </w:r>
      <w:r w:rsidRPr="008A76B0">
        <w:rPr>
          <w:rFonts w:ascii="Arabic Typesetting" w:hAnsi="Arabic Typesetting" w:cs="Arabic Typesetting"/>
          <w:sz w:val="34"/>
          <w:szCs w:val="34"/>
          <w:rtl/>
          <w:lang w:val="fr-CH"/>
        </w:rPr>
        <w:t xml:space="preserve"> مع البرامج الوجيهة في الويبو، وخاصة مع البرنامج 20 (العلاقات الخارجية والشراكات والمكاتب الخارجية) والبرنامج 30 (الشركات الصغيرة والمتوسطة والابتكار) وبذلك عززت الويبو مكانتها </w:t>
      </w:r>
      <w:r w:rsidR="00B14F07">
        <w:rPr>
          <w:rFonts w:ascii="Arabic Typesetting" w:hAnsi="Arabic Typesetting" w:cs="Arabic Typesetting" w:hint="cs"/>
          <w:sz w:val="34"/>
          <w:szCs w:val="34"/>
          <w:rtl/>
          <w:lang w:val="fr-CH"/>
        </w:rPr>
        <w:t>بوصفها</w:t>
      </w:r>
      <w:r w:rsidR="00B14F07" w:rsidRPr="008A76B0">
        <w:rPr>
          <w:rFonts w:ascii="Arabic Typesetting" w:hAnsi="Arabic Typesetting" w:cs="Arabic Typesetting"/>
          <w:sz w:val="34"/>
          <w:szCs w:val="34"/>
          <w:rtl/>
          <w:lang w:val="fr-CH"/>
        </w:rPr>
        <w:t xml:space="preserve"> </w:t>
      </w:r>
      <w:r w:rsidRPr="008A76B0">
        <w:rPr>
          <w:rFonts w:ascii="Arabic Typesetting" w:hAnsi="Arabic Typesetting" w:cs="Arabic Typesetting"/>
          <w:sz w:val="34"/>
          <w:szCs w:val="34"/>
          <w:rtl/>
          <w:lang w:val="fr-CH"/>
        </w:rPr>
        <w:t xml:space="preserve">مصدرا موثوقا به للدعم والتعاون ومرجعا للحصول على المعلومات المتعلقة بقضايا السياسة العامة والملكية الفكرية، مما أدى إلى استمرار الطلب على مساهمتها ومشاركتها في المحافل التي تنظمها </w:t>
      </w:r>
      <w:r w:rsidR="00F02993">
        <w:rPr>
          <w:rFonts w:ascii="Arabic Typesetting" w:hAnsi="Arabic Typesetting" w:cs="Arabic Typesetting" w:hint="cs"/>
          <w:sz w:val="34"/>
          <w:szCs w:val="34"/>
          <w:rtl/>
          <w:lang w:val="fr-CH"/>
        </w:rPr>
        <w:t>غيرها من ال</w:t>
      </w:r>
      <w:r w:rsidRPr="008A76B0">
        <w:rPr>
          <w:rFonts w:ascii="Arabic Typesetting" w:hAnsi="Arabic Typesetting" w:cs="Arabic Typesetting"/>
          <w:sz w:val="34"/>
          <w:szCs w:val="34"/>
          <w:rtl/>
          <w:lang w:val="fr-CH"/>
        </w:rPr>
        <w:t xml:space="preserve">منظمات </w:t>
      </w:r>
      <w:r w:rsidR="00F02993">
        <w:rPr>
          <w:rFonts w:ascii="Arabic Typesetting" w:hAnsi="Arabic Typesetting" w:cs="Arabic Typesetting" w:hint="cs"/>
          <w:sz w:val="34"/>
          <w:szCs w:val="34"/>
          <w:rtl/>
          <w:lang w:val="fr-CH"/>
        </w:rPr>
        <w:t>ال</w:t>
      </w:r>
      <w:r w:rsidRPr="008A76B0">
        <w:rPr>
          <w:rFonts w:ascii="Arabic Typesetting" w:hAnsi="Arabic Typesetting" w:cs="Arabic Typesetting"/>
          <w:sz w:val="34"/>
          <w:szCs w:val="34"/>
          <w:rtl/>
          <w:lang w:val="fr-CH"/>
        </w:rPr>
        <w:t>دولية</w:t>
      </w:r>
      <w:r w:rsidR="00F02993">
        <w:rPr>
          <w:rFonts w:ascii="Arabic Typesetting" w:hAnsi="Arabic Typesetting" w:cs="Arabic Typesetting" w:hint="cs"/>
          <w:sz w:val="34"/>
          <w:szCs w:val="34"/>
          <w:rtl/>
          <w:lang w:val="fr-CH"/>
        </w:rPr>
        <w:t>، ولا سيما</w:t>
      </w:r>
      <w:r w:rsidR="00F02993" w:rsidRPr="008A76B0">
        <w:rPr>
          <w:rFonts w:ascii="Arabic Typesetting" w:hAnsi="Arabic Typesetting" w:cs="Arabic Typesetting"/>
          <w:sz w:val="34"/>
          <w:szCs w:val="34"/>
          <w:rtl/>
          <w:lang w:val="fr-CH"/>
        </w:rPr>
        <w:t xml:space="preserve"> </w:t>
      </w:r>
      <w:r w:rsidRPr="008A76B0">
        <w:rPr>
          <w:rFonts w:ascii="Arabic Typesetting" w:hAnsi="Arabic Typesetting" w:cs="Arabic Typesetting"/>
          <w:sz w:val="34"/>
          <w:szCs w:val="34"/>
          <w:rtl/>
          <w:lang w:val="fr-CH"/>
        </w:rPr>
        <w:t>منظمة الصحة العالمية ومنظمة التجارة العالمية</w:t>
      </w:r>
      <w:r w:rsidR="00F02993">
        <w:rPr>
          <w:rFonts w:ascii="Arabic Typesetting" w:hAnsi="Arabic Typesetting" w:cs="Arabic Typesetting" w:hint="cs"/>
          <w:sz w:val="34"/>
          <w:szCs w:val="34"/>
          <w:rtl/>
          <w:lang w:val="fr-CH"/>
        </w:rPr>
        <w:t>،</w:t>
      </w:r>
      <w:r w:rsidRPr="008A76B0">
        <w:rPr>
          <w:rFonts w:ascii="Arabic Typesetting" w:hAnsi="Arabic Typesetting" w:cs="Arabic Typesetting"/>
          <w:sz w:val="34"/>
          <w:szCs w:val="34"/>
          <w:rtl/>
          <w:lang w:val="fr-CH"/>
        </w:rPr>
        <w:t xml:space="preserve"> والمنظمات غير الحكومية والقطاع الخاص والجامعات. وفي الثنائية 2014/15، أتاحت ندوات الويبو في مجال التحديات العالمية محافل للمشاركين لتبادل الأفكار والتجارب والمعلومات: "1" مشهد البراءات الخاص بالطاقة المتجددة (يونيو 2014)؛ "2"</w:t>
      </w:r>
      <w:r w:rsidR="00B14F07">
        <w:rPr>
          <w:rFonts w:ascii="Arabic Typesetting" w:hAnsi="Arabic Typesetting" w:cs="Arabic Typesetting" w:hint="cs"/>
          <w:sz w:val="34"/>
          <w:szCs w:val="34"/>
          <w:rtl/>
          <w:lang w:val="fr-CH"/>
        </w:rPr>
        <w:t> </w:t>
      </w:r>
      <w:r w:rsidRPr="008A76B0">
        <w:rPr>
          <w:rFonts w:ascii="Arabic Typesetting" w:hAnsi="Arabic Typesetting" w:cs="Arabic Typesetting"/>
          <w:sz w:val="34"/>
          <w:szCs w:val="34"/>
          <w:rtl/>
          <w:lang w:val="fr-CH"/>
        </w:rPr>
        <w:t>والابتكار والحصول على الأدوية: دراسة إفرادية عن الإيدز والعدوى بفيروسه والتهاب الكبد </w:t>
      </w:r>
      <w:r w:rsidRPr="008A76B0">
        <w:rPr>
          <w:rFonts w:ascii="Arabic Typesetting" w:hAnsi="Arabic Typesetting" w:cs="Arabic Typesetting"/>
          <w:sz w:val="34"/>
          <w:szCs w:val="34"/>
          <w:lang w:val="fr-CH"/>
        </w:rPr>
        <w:t>C</w:t>
      </w:r>
      <w:r w:rsidRPr="008A76B0">
        <w:rPr>
          <w:rFonts w:ascii="Arabic Typesetting" w:hAnsi="Arabic Typesetting" w:cs="Arabic Typesetting"/>
          <w:sz w:val="34"/>
          <w:szCs w:val="34"/>
          <w:rtl/>
          <w:lang w:val="fr-CH"/>
        </w:rPr>
        <w:t xml:space="preserve"> (ديسمبر 2014)؛ "3"</w:t>
      </w:r>
      <w:r w:rsidR="00B14F07">
        <w:rPr>
          <w:rFonts w:ascii="Arabic Typesetting" w:hAnsi="Arabic Typesetting" w:cs="Arabic Typesetting" w:hint="cs"/>
          <w:sz w:val="34"/>
          <w:szCs w:val="34"/>
          <w:rtl/>
          <w:lang w:val="fr-CH"/>
        </w:rPr>
        <w:t> </w:t>
      </w:r>
      <w:r w:rsidRPr="008A76B0">
        <w:rPr>
          <w:rFonts w:ascii="Arabic Typesetting" w:hAnsi="Arabic Typesetting" w:cs="Arabic Typesetting"/>
          <w:sz w:val="34"/>
          <w:szCs w:val="34"/>
          <w:rtl/>
          <w:lang w:val="fr-CH"/>
        </w:rPr>
        <w:t>وتطوير جيل جديد من المنتجات لمكافحة أمراض المناطق المدارية المهملة (أكتوبر 2015). وإضافة إلى ذلك نُشرت أربعة موجزات</w:t>
      </w:r>
      <w:r w:rsidRPr="00F96634">
        <w:rPr>
          <w:rFonts w:ascii="Arabic Typesetting" w:hAnsi="Arabic Typesetting" w:cs="Arabic Typesetting"/>
          <w:sz w:val="28"/>
          <w:szCs w:val="28"/>
          <w:vertAlign w:val="superscript"/>
          <w:rtl/>
          <w:lang w:val="fr-CH"/>
        </w:rPr>
        <w:footnoteReference w:id="101"/>
      </w:r>
      <w:r w:rsidRPr="008A76B0">
        <w:rPr>
          <w:rFonts w:ascii="Arabic Typesetting" w:hAnsi="Arabic Typesetting" w:cs="Arabic Typesetting"/>
          <w:sz w:val="34"/>
          <w:szCs w:val="34"/>
          <w:rtl/>
          <w:lang w:val="fr-CH"/>
        </w:rPr>
        <w:t xml:space="preserve"> وثلاثة تقارير</w:t>
      </w:r>
      <w:r w:rsidRPr="00F96634">
        <w:rPr>
          <w:rFonts w:ascii="Arabic Typesetting" w:hAnsi="Arabic Typesetting" w:cs="Arabic Typesetting"/>
          <w:sz w:val="28"/>
          <w:szCs w:val="28"/>
          <w:vertAlign w:val="superscript"/>
          <w:rtl/>
          <w:lang w:val="fr-CH"/>
        </w:rPr>
        <w:footnoteReference w:id="102"/>
      </w:r>
      <w:r w:rsidRPr="008A76B0">
        <w:rPr>
          <w:rFonts w:ascii="Arabic Typesetting" w:hAnsi="Arabic Typesetting" w:cs="Arabic Typesetting"/>
          <w:sz w:val="34"/>
          <w:szCs w:val="34"/>
          <w:rtl/>
          <w:lang w:val="fr-CH"/>
        </w:rPr>
        <w:t xml:space="preserve"> عن التحديات العالمية. وفي إطار أعمال قاعدة بيانات </w:t>
      </w:r>
      <w:r w:rsidRPr="008A76B0">
        <w:rPr>
          <w:rFonts w:ascii="Arabic Typesetting" w:hAnsi="Arabic Typesetting" w:cs="Arabic Typesetting"/>
          <w:sz w:val="34"/>
          <w:szCs w:val="34"/>
          <w:lang w:val="fr-CH"/>
        </w:rPr>
        <w:t>WIPO </w:t>
      </w:r>
      <w:proofErr w:type="spellStart"/>
      <w:r w:rsidRPr="008A76B0">
        <w:rPr>
          <w:rFonts w:ascii="Arabic Typesetting" w:hAnsi="Arabic Typesetting" w:cs="Arabic Typesetting"/>
          <w:sz w:val="34"/>
          <w:szCs w:val="34"/>
          <w:lang w:val="fr-CH"/>
        </w:rPr>
        <w:t>Re:Search</w:t>
      </w:r>
      <w:proofErr w:type="spellEnd"/>
      <w:r w:rsidRPr="008A76B0">
        <w:rPr>
          <w:rFonts w:ascii="Arabic Typesetting" w:hAnsi="Arabic Typesetting" w:cs="Arabic Typesetting"/>
          <w:sz w:val="34"/>
          <w:szCs w:val="34"/>
          <w:rtl/>
          <w:lang w:val="fr-CH"/>
        </w:rPr>
        <w:t xml:space="preserve"> الرامية إلى تعزيز قدرات البلدان النامية، نُظّمت ندوتان للتدريب على إدارة الملكية الفكرية بالتعاون مع البرنامج 9 (المكاتب الإقليمية) والبرنامج 30 (الشركات الصغيرة والمتوسطة والابتكار) لفائدة العلماء من البلدان النامية الأعضاء في المنصة.</w:t>
      </w:r>
    </w:p>
    <w:p w:rsidR="004226D7" w:rsidRPr="008A76B0" w:rsidRDefault="004226D7" w:rsidP="009A3712">
      <w:pPr>
        <w:numPr>
          <w:ilvl w:val="0"/>
          <w:numId w:val="37"/>
        </w:numPr>
        <w:bidi/>
        <w:spacing w:after="120" w:line="340" w:lineRule="exact"/>
        <w:ind w:left="-1" w:firstLine="0"/>
        <w:rPr>
          <w:rFonts w:ascii="Arabic Typesetting" w:hAnsi="Arabic Typesetting" w:cs="Arabic Typesetting"/>
          <w:sz w:val="34"/>
          <w:szCs w:val="34"/>
          <w:rtl/>
          <w:lang w:val="fr-CH"/>
        </w:rPr>
      </w:pPr>
      <w:r w:rsidRPr="008A76B0">
        <w:rPr>
          <w:rFonts w:ascii="Arabic Typesetting" w:hAnsi="Arabic Typesetting" w:cs="Arabic Typesetting"/>
          <w:sz w:val="34"/>
          <w:szCs w:val="34"/>
          <w:rtl/>
          <w:lang w:val="fr-CH"/>
        </w:rPr>
        <w:t>وعملت قاعدة بيانات الويبو البيئية </w:t>
      </w:r>
      <w:r w:rsidRPr="008A76B0">
        <w:rPr>
          <w:rFonts w:ascii="Arabic Typesetting" w:hAnsi="Arabic Typesetting" w:cs="Arabic Typesetting"/>
          <w:sz w:val="34"/>
          <w:szCs w:val="34"/>
          <w:lang w:val="fr-CH"/>
        </w:rPr>
        <w:t>WIPO GREEN</w:t>
      </w:r>
      <w:r w:rsidRPr="008A76B0">
        <w:rPr>
          <w:rFonts w:ascii="Arabic Typesetting" w:hAnsi="Arabic Typesetting" w:cs="Arabic Typesetting"/>
          <w:sz w:val="34"/>
          <w:szCs w:val="34"/>
          <w:rtl/>
          <w:lang w:val="fr-CH"/>
        </w:rPr>
        <w:t xml:space="preserve"> طيلة عام 2014، عقب تدشينها في نوفمبر 2013. وقد أُبرزت أعمال قاعدة البيانات المذكورة – التي تُعد </w:t>
      </w:r>
      <w:r w:rsidRPr="008A76B0">
        <w:rPr>
          <w:rFonts w:ascii="Arabic Typesetting" w:hAnsi="Arabic Typesetting" w:cs="Arabic Typesetting"/>
          <w:i/>
          <w:iCs/>
          <w:sz w:val="34"/>
          <w:szCs w:val="34"/>
          <w:rtl/>
          <w:lang w:val="fr-CH"/>
        </w:rPr>
        <w:t>سوق التكنولوجيا المستدامة</w:t>
      </w:r>
      <w:r w:rsidRPr="008A76B0">
        <w:rPr>
          <w:rFonts w:ascii="Arabic Typesetting" w:hAnsi="Arabic Typesetting" w:cs="Arabic Typesetting"/>
          <w:sz w:val="34"/>
          <w:szCs w:val="34"/>
          <w:rtl/>
          <w:lang w:val="fr-CH"/>
        </w:rPr>
        <w:t xml:space="preserve"> - بقدر هائل من خلال حملة توعية مستهدفة خلال الثنائية 2014/15. </w:t>
      </w:r>
      <w:r w:rsidR="00B14F07">
        <w:rPr>
          <w:rFonts w:ascii="Arabic Typesetting" w:hAnsi="Arabic Typesetting" w:cs="Arabic Typesetting" w:hint="cs"/>
          <w:sz w:val="34"/>
          <w:szCs w:val="34"/>
          <w:rtl/>
          <w:lang w:val="fr-CH"/>
        </w:rPr>
        <w:t>وتوسعت</w:t>
      </w:r>
      <w:r w:rsidR="00B14F07" w:rsidRPr="008A76B0">
        <w:rPr>
          <w:rFonts w:ascii="Arabic Typesetting" w:hAnsi="Arabic Typesetting" w:cs="Arabic Typesetting"/>
          <w:sz w:val="34"/>
          <w:szCs w:val="34"/>
          <w:rtl/>
          <w:lang w:val="fr-CH"/>
        </w:rPr>
        <w:t xml:space="preserve"> </w:t>
      </w:r>
      <w:r w:rsidRPr="008A76B0">
        <w:rPr>
          <w:rFonts w:ascii="Arabic Typesetting" w:hAnsi="Arabic Typesetting" w:cs="Arabic Typesetting"/>
          <w:sz w:val="34"/>
          <w:szCs w:val="34"/>
          <w:rtl/>
          <w:lang w:val="fr-CH"/>
        </w:rPr>
        <w:t xml:space="preserve">شبكة الشركاء ليزيد عددهم من 36 شريكا في عام 2013 إلى 54 شريكا في عام 2014 وإلى 65 شريكا في عام 2015، وارتفع عدد المستخدمين المسجلين بنسبة ثلاثة أضعاف من 160 مستخدما في عام 2013 إلى 490 مستخدما بحلول أواخر عام 2015. </w:t>
      </w:r>
      <w:r w:rsidR="00B14F07">
        <w:rPr>
          <w:rFonts w:ascii="Arabic Typesetting" w:hAnsi="Arabic Typesetting" w:cs="Arabic Typesetting" w:hint="cs"/>
          <w:sz w:val="34"/>
          <w:szCs w:val="34"/>
          <w:rtl/>
          <w:lang w:val="fr-CH"/>
        </w:rPr>
        <w:t>وفضلا عن ذلك،</w:t>
      </w:r>
      <w:r w:rsidR="00B14F07" w:rsidRPr="008A76B0">
        <w:rPr>
          <w:rFonts w:ascii="Arabic Typesetting" w:hAnsi="Arabic Typesetting" w:cs="Arabic Typesetting"/>
          <w:sz w:val="34"/>
          <w:szCs w:val="34"/>
          <w:rtl/>
          <w:lang w:val="fr-CH"/>
        </w:rPr>
        <w:t xml:space="preserve"> </w:t>
      </w:r>
      <w:r w:rsidRPr="008A76B0">
        <w:rPr>
          <w:rFonts w:ascii="Arabic Typesetting" w:hAnsi="Arabic Typesetting" w:cs="Arabic Typesetting"/>
          <w:sz w:val="34"/>
          <w:szCs w:val="34"/>
          <w:rtl/>
          <w:lang w:val="fr-CH"/>
        </w:rPr>
        <w:t xml:space="preserve">شهدت محتويات قاعدة بيانات الويبو البيئية زيادة بنسبة تفوق الضعف، إذ زادت من 830 مدخلة في عام 2013 إلى 181 2 مدخلة في عام 2015، نتيجة إبرام اتفاقات لإدراج المدخلات في قاعدة البيانات وعمليات </w:t>
      </w:r>
      <w:r w:rsidR="00536DDA">
        <w:rPr>
          <w:rFonts w:ascii="Arabic Typesetting" w:hAnsi="Arabic Typesetting" w:cs="Arabic Typesetting" w:hint="cs"/>
          <w:sz w:val="34"/>
          <w:szCs w:val="34"/>
          <w:rtl/>
          <w:lang w:val="fr-CH"/>
        </w:rPr>
        <w:t>الرفع</w:t>
      </w:r>
      <w:r w:rsidR="00536DDA" w:rsidRPr="008A76B0">
        <w:rPr>
          <w:rFonts w:ascii="Arabic Typesetting" w:hAnsi="Arabic Typesetting" w:cs="Arabic Typesetting"/>
          <w:sz w:val="34"/>
          <w:szCs w:val="34"/>
          <w:rtl/>
          <w:lang w:val="fr-CH"/>
        </w:rPr>
        <w:t xml:space="preserve"> </w:t>
      </w:r>
      <w:r w:rsidRPr="008A76B0">
        <w:rPr>
          <w:rFonts w:ascii="Arabic Typesetting" w:hAnsi="Arabic Typesetting" w:cs="Arabic Typesetting"/>
          <w:sz w:val="34"/>
          <w:szCs w:val="34"/>
          <w:rtl/>
          <w:lang w:val="fr-CH"/>
        </w:rPr>
        <w:t>الفردية.</w:t>
      </w:r>
    </w:p>
    <w:p w:rsidR="004226D7" w:rsidRDefault="004226D7" w:rsidP="00062F72">
      <w:pPr>
        <w:pStyle w:val="NormalParaAR"/>
        <w:keepNext/>
        <w:spacing w:after="120"/>
        <w:jc w:val="center"/>
        <w:rPr>
          <w:i/>
          <w:iCs/>
          <w:sz w:val="32"/>
          <w:szCs w:val="32"/>
        </w:rPr>
      </w:pPr>
      <w:r>
        <w:rPr>
          <w:rFonts w:hint="cs"/>
          <w:i/>
          <w:iCs/>
          <w:sz w:val="32"/>
          <w:szCs w:val="32"/>
          <w:rtl/>
        </w:rPr>
        <w:lastRenderedPageBreak/>
        <w:t>قاعدة بيانات الويبو البيئية </w:t>
      </w:r>
      <w:r>
        <w:rPr>
          <w:i/>
          <w:iCs/>
          <w:sz w:val="32"/>
          <w:szCs w:val="32"/>
          <w:lang w:val="fr-CH"/>
        </w:rPr>
        <w:t>WIPO GREEN</w:t>
      </w:r>
      <w:r>
        <w:rPr>
          <w:rFonts w:hint="cs"/>
          <w:i/>
          <w:iCs/>
          <w:sz w:val="32"/>
          <w:szCs w:val="32"/>
          <w:rtl/>
          <w:lang w:val="fr-CH"/>
        </w:rPr>
        <w:t xml:space="preserve">: عدد الشركاء والمستخدمين </w:t>
      </w:r>
      <w:r w:rsidR="00536DDA">
        <w:rPr>
          <w:rFonts w:hint="cs"/>
          <w:i/>
          <w:iCs/>
          <w:sz w:val="32"/>
          <w:szCs w:val="32"/>
          <w:rtl/>
          <w:lang w:val="fr-CH"/>
        </w:rPr>
        <w:t>وعمليات الرفع</w:t>
      </w:r>
      <w:r w:rsidR="00062F72">
        <w:rPr>
          <w:rFonts w:hint="cs"/>
          <w:i/>
          <w:iCs/>
          <w:sz w:val="32"/>
          <w:szCs w:val="32"/>
          <w:rtl/>
          <w:lang w:val="fr-CH"/>
        </w:rPr>
        <w:t xml:space="preserve"> 2013-2015</w:t>
      </w:r>
    </w:p>
    <w:p w:rsidR="004226D7" w:rsidRDefault="00536DDA" w:rsidP="006D77A9">
      <w:pPr>
        <w:pStyle w:val="NormalParaAR"/>
        <w:spacing w:line="240" w:lineRule="auto"/>
        <w:jc w:val="center"/>
        <w:rPr>
          <w:rtl/>
          <w:lang w:val="fr-CH"/>
        </w:rPr>
      </w:pPr>
      <w:r>
        <w:rPr>
          <w:noProof/>
        </w:rPr>
        <w:drawing>
          <wp:inline distT="0" distB="0" distL="0" distR="0" wp14:anchorId="5A4B4F95" wp14:editId="1638E099">
            <wp:extent cx="5810250" cy="1732638"/>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820963" cy="1735833"/>
                    </a:xfrm>
                    <a:prstGeom prst="rect">
                      <a:avLst/>
                    </a:prstGeom>
                    <a:noFill/>
                  </pic:spPr>
                </pic:pic>
              </a:graphicData>
            </a:graphic>
          </wp:inline>
        </w:drawing>
      </w:r>
    </w:p>
    <w:p w:rsidR="004226D7" w:rsidRDefault="004226D7" w:rsidP="009A3712">
      <w:pPr>
        <w:numPr>
          <w:ilvl w:val="0"/>
          <w:numId w:val="37"/>
        </w:numPr>
        <w:bidi/>
        <w:spacing w:after="120" w:line="340" w:lineRule="exact"/>
        <w:ind w:left="-1" w:firstLine="0"/>
        <w:rPr>
          <w:rFonts w:ascii="Arabic Typesetting" w:hAnsi="Arabic Typesetting" w:cs="Arabic Typesetting"/>
          <w:sz w:val="34"/>
          <w:szCs w:val="34"/>
          <w:lang w:val="fr-CH"/>
        </w:rPr>
      </w:pPr>
      <w:r>
        <w:rPr>
          <w:rFonts w:ascii="Arabic Typesetting" w:hAnsi="Arabic Typesetting" w:cs="Arabic Typesetting"/>
          <w:sz w:val="34"/>
          <w:szCs w:val="34"/>
          <w:rtl/>
          <w:lang w:val="fr-CH"/>
        </w:rPr>
        <w:t xml:space="preserve">ومع استمرار التركيز في الثنائية 2014/15 على تكوين شبكة متينة من الشركاء وزيادة عدد المدخلات لزيادة مستويات التفاعل واستخدام المعاملات في السوق، لا تُتاح في هذه المرحلة أي بيانات عن معاملات محفَّزة يمكن إسنادها مباشرة إلى استخدام قاعدة بيانات الويبو البيئية. </w:t>
      </w:r>
      <w:r w:rsidR="00536DDA">
        <w:rPr>
          <w:rFonts w:ascii="Arabic Typesetting" w:hAnsi="Arabic Typesetting" w:cs="Arabic Typesetting" w:hint="cs"/>
          <w:sz w:val="34"/>
          <w:szCs w:val="34"/>
          <w:rtl/>
          <w:lang w:val="fr-CH"/>
        </w:rPr>
        <w:t>و</w:t>
      </w:r>
      <w:r>
        <w:rPr>
          <w:rFonts w:ascii="Arabic Typesetting" w:hAnsi="Arabic Typesetting" w:cs="Arabic Typesetting"/>
          <w:sz w:val="34"/>
          <w:szCs w:val="34"/>
          <w:rtl/>
          <w:lang w:val="fr-CH"/>
        </w:rPr>
        <w:t xml:space="preserve">ساهم عدم امتلاك قاعدة البيانات حاليا "لمركز للشراكات" أو مورّد للخدمات، فضلا عن طول الإطار الزمني اللازم لإبرام الاتفاقات، في انعدام المعاملات المحفّزة. وفي عام 2015، ركّز العمل على مساعدة طالبي الخدمة على </w:t>
      </w:r>
      <w:r w:rsidR="007F1507">
        <w:rPr>
          <w:rFonts w:ascii="Arabic Typesetting" w:hAnsi="Arabic Typesetting" w:cs="Arabic Typesetting" w:hint="cs"/>
          <w:sz w:val="34"/>
          <w:szCs w:val="34"/>
          <w:rtl/>
          <w:lang w:val="fr-CH"/>
        </w:rPr>
        <w:t>تحديد</w:t>
      </w:r>
      <w:r w:rsidR="007F1507">
        <w:rPr>
          <w:rFonts w:ascii="Arabic Typesetting" w:hAnsi="Arabic Typesetting" w:cs="Arabic Typesetting"/>
          <w:sz w:val="34"/>
          <w:szCs w:val="34"/>
          <w:rtl/>
          <w:lang w:val="fr-CH"/>
        </w:rPr>
        <w:t xml:space="preserve"> </w:t>
      </w:r>
      <w:r>
        <w:rPr>
          <w:rFonts w:ascii="Arabic Typesetting" w:hAnsi="Arabic Typesetting" w:cs="Arabic Typesetting"/>
          <w:sz w:val="34"/>
          <w:szCs w:val="34"/>
          <w:rtl/>
          <w:lang w:val="fr-CH"/>
        </w:rPr>
        <w:t>احتياجاتهم</w:t>
      </w:r>
      <w:r w:rsidR="007F1507">
        <w:rPr>
          <w:rFonts w:ascii="Arabic Typesetting" w:hAnsi="Arabic Typesetting" w:cs="Arabic Typesetting" w:hint="cs"/>
          <w:sz w:val="34"/>
          <w:szCs w:val="34"/>
          <w:rtl/>
          <w:lang w:val="fr-CH"/>
        </w:rPr>
        <w:t xml:space="preserve"> تحديداً أدق</w:t>
      </w:r>
      <w:r>
        <w:rPr>
          <w:rFonts w:ascii="Arabic Typesetting" w:hAnsi="Arabic Typesetting" w:cs="Arabic Typesetting"/>
          <w:sz w:val="34"/>
          <w:szCs w:val="34"/>
          <w:rtl/>
          <w:lang w:val="fr-CH"/>
        </w:rPr>
        <w:t xml:space="preserve"> وتيسير الروابط. وعليه استُحدث المزيد من المبادئ التوجيهية لفائدة طالبي الخدمة في عام</w:t>
      </w:r>
      <w:r w:rsidR="007F1507">
        <w:rPr>
          <w:rFonts w:ascii="Arabic Typesetting" w:hAnsi="Arabic Typesetting" w:cs="Arabic Typesetting" w:hint="cs"/>
          <w:sz w:val="34"/>
          <w:szCs w:val="34"/>
          <w:rtl/>
          <w:lang w:val="fr-CH"/>
        </w:rPr>
        <w:t> </w:t>
      </w:r>
      <w:r>
        <w:rPr>
          <w:rFonts w:ascii="Arabic Typesetting" w:hAnsi="Arabic Typesetting" w:cs="Arabic Typesetting"/>
          <w:sz w:val="34"/>
          <w:szCs w:val="34"/>
          <w:rtl/>
          <w:lang w:val="fr-CH"/>
        </w:rPr>
        <w:t>2015، بما أدى إلى تحسين جودة وصف الاحتياجات. وأسفرت أول تظاهرة توفيقية نُظمت في إطار قاعدة البيانات البيئية في عام 2015 تحت عنوان "تيسير نقل ونشر التكنولوجيات النظيفة: الفرص التي أتاحها مشروع رائد بشأن معالجة مياه الصرف الصحي في جنوب شرق آسيا، مانيلا، الفلبين</w:t>
      </w:r>
      <w:r w:rsidR="007F1507">
        <w:rPr>
          <w:rFonts w:ascii="Arabic Typesetting" w:hAnsi="Arabic Typesetting" w:cs="Arabic Typesetting" w:hint="cs"/>
          <w:sz w:val="34"/>
          <w:szCs w:val="34"/>
          <w:rtl/>
          <w:lang w:val="fr-CH"/>
        </w:rPr>
        <w:t>"</w:t>
      </w:r>
      <w:r>
        <w:rPr>
          <w:rFonts w:ascii="Arabic Typesetting" w:hAnsi="Arabic Typesetting" w:cs="Arabic Typesetting"/>
          <w:sz w:val="34"/>
          <w:szCs w:val="34"/>
          <w:rtl/>
          <w:lang w:val="fr-CH"/>
        </w:rPr>
        <w:t>، عن توقيع الأطراف 16 خطابا من خطابات إعلان النوايا.</w:t>
      </w:r>
    </w:p>
    <w:p w:rsidR="004226D7" w:rsidRDefault="004226D7" w:rsidP="009A3712">
      <w:pPr>
        <w:numPr>
          <w:ilvl w:val="0"/>
          <w:numId w:val="37"/>
        </w:numPr>
        <w:bidi/>
        <w:spacing w:after="120" w:line="340" w:lineRule="exact"/>
        <w:ind w:left="-1" w:firstLine="0"/>
        <w:rPr>
          <w:rFonts w:ascii="Arabic Typesetting" w:hAnsi="Arabic Typesetting" w:cs="Arabic Typesetting"/>
          <w:sz w:val="34"/>
          <w:szCs w:val="34"/>
          <w:rtl/>
          <w:lang w:val="fr-FR" w:bidi="ar-TN"/>
        </w:rPr>
      </w:pPr>
      <w:r>
        <w:rPr>
          <w:rFonts w:ascii="Arabic Typesetting" w:hAnsi="Arabic Typesetting" w:cs="Arabic Typesetting"/>
          <w:sz w:val="34"/>
          <w:szCs w:val="34"/>
          <w:rtl/>
          <w:lang w:val="fr-FR" w:bidi="ar-TN"/>
        </w:rPr>
        <w:t xml:space="preserve">واكتسبت قاعدة بيانات الويبو </w:t>
      </w:r>
      <w:r>
        <w:rPr>
          <w:rFonts w:ascii="Arabic Typesetting" w:hAnsi="Arabic Typesetting" w:cs="Arabic Typesetting"/>
          <w:sz w:val="34"/>
          <w:szCs w:val="34"/>
          <w:rtl/>
          <w:lang w:val="fr-FR"/>
        </w:rPr>
        <w:t>للبحث </w:t>
      </w:r>
      <w:r>
        <w:rPr>
          <w:rFonts w:ascii="Arabic Typesetting" w:hAnsi="Arabic Typesetting" w:cs="Arabic Typesetting"/>
          <w:sz w:val="34"/>
          <w:szCs w:val="34"/>
          <w:lang w:val="fr-CH" w:bidi="ar-TN"/>
        </w:rPr>
        <w:t>WIPO </w:t>
      </w:r>
      <w:proofErr w:type="spellStart"/>
      <w:r>
        <w:rPr>
          <w:rFonts w:ascii="Arabic Typesetting" w:hAnsi="Arabic Typesetting" w:cs="Arabic Typesetting"/>
          <w:sz w:val="34"/>
          <w:szCs w:val="34"/>
          <w:lang w:val="fr-CH" w:bidi="ar-TN"/>
        </w:rPr>
        <w:t>Re:Search</w:t>
      </w:r>
      <w:proofErr w:type="spellEnd"/>
      <w:r>
        <w:rPr>
          <w:rFonts w:ascii="Arabic Typesetting" w:hAnsi="Arabic Typesetting" w:cs="Arabic Typesetting"/>
          <w:sz w:val="34"/>
          <w:szCs w:val="34"/>
          <w:rtl/>
          <w:lang w:val="fr-FR" w:bidi="ar-TN"/>
        </w:rPr>
        <w:t xml:space="preserve"> - </w:t>
      </w:r>
      <w:r>
        <w:rPr>
          <w:rFonts w:ascii="Arabic Typesetting" w:hAnsi="Arabic Typesetting" w:cs="Arabic Typesetting"/>
          <w:i/>
          <w:iCs/>
          <w:sz w:val="34"/>
          <w:szCs w:val="34"/>
          <w:rtl/>
          <w:lang w:val="fr-FR" w:bidi="ar-TN"/>
        </w:rPr>
        <w:t>تبادل الابتكارات في مجال مكافحة الأمراض المدارية المهملة</w:t>
      </w:r>
      <w:r>
        <w:rPr>
          <w:rFonts w:ascii="Arabic Typesetting" w:hAnsi="Arabic Typesetting" w:cs="Arabic Typesetting"/>
          <w:sz w:val="34"/>
          <w:szCs w:val="34"/>
          <w:rtl/>
          <w:lang w:val="fr-FR" w:bidi="ar-TN"/>
        </w:rPr>
        <w:t xml:space="preserve">، الاعتراف باعتبارها منصة لدعم الابتكار والمعارف ونقل التكنولوجيا وتكوين الكفاءات فيما يتعلق بالبحث في مجال الأمراض المدارية المهملة والسل والملاريا. وشهدت الثنائية </w:t>
      </w:r>
      <w:r w:rsidR="007F1507">
        <w:rPr>
          <w:rFonts w:ascii="Arabic Typesetting" w:hAnsi="Arabic Typesetting" w:cs="Arabic Typesetting" w:hint="cs"/>
          <w:sz w:val="34"/>
          <w:szCs w:val="34"/>
          <w:rtl/>
          <w:lang w:val="fr-FR" w:bidi="ar-TN"/>
        </w:rPr>
        <w:t xml:space="preserve">إقامة </w:t>
      </w:r>
      <w:r>
        <w:rPr>
          <w:rFonts w:ascii="Arabic Typesetting" w:hAnsi="Arabic Typesetting" w:cs="Arabic Typesetting"/>
          <w:sz w:val="34"/>
          <w:szCs w:val="34"/>
          <w:rtl/>
          <w:lang w:val="fr-FR" w:bidi="ar-TN"/>
        </w:rPr>
        <w:t xml:space="preserve">52 حالة تعاون إضافية بين أعضاء قاعدة البيانات المذكورة وانضمام 20 عضوا جديدا، منهم ستة أعضاء من البلدان النامية، فبلغ إجمالي حالات التعاون 96 حالة وإجمالي الأعضاء 100 عضو، منهم 22 عضوا من البلدان النامية. </w:t>
      </w:r>
      <w:r w:rsidR="007F1507">
        <w:rPr>
          <w:rFonts w:ascii="Arabic Typesetting" w:hAnsi="Arabic Typesetting" w:cs="Arabic Typesetting" w:hint="cs"/>
          <w:sz w:val="34"/>
          <w:szCs w:val="34"/>
          <w:rtl/>
          <w:lang w:val="fr-FR" w:bidi="ar-TN"/>
        </w:rPr>
        <w:t xml:space="preserve">وفضلا عن ذلك، </w:t>
      </w:r>
      <w:r>
        <w:rPr>
          <w:rFonts w:ascii="Arabic Typesetting" w:hAnsi="Arabic Typesetting" w:cs="Arabic Typesetting"/>
          <w:sz w:val="34"/>
          <w:szCs w:val="34"/>
          <w:rtl/>
          <w:lang w:val="fr-FR" w:bidi="ar-TN"/>
        </w:rPr>
        <w:t xml:space="preserve">أثبتت المنصة إمكاناتها في مجال نقل أصول الملكية الفكرية من البلدان المتقدمة إلى البلدان النامية، بما في ذلك نقل الدراية والخبرة، عبر مواصلة تسهيل حصول ستة باحثين أفريقيين على إجازات لغرض البحث في مؤسسات بحثية في الخارج. </w:t>
      </w:r>
      <w:proofErr w:type="spellStart"/>
      <w:r>
        <w:rPr>
          <w:rFonts w:ascii="Arabic Typesetting" w:hAnsi="Arabic Typesetting" w:cs="Arabic Typesetting"/>
          <w:sz w:val="34"/>
          <w:szCs w:val="34"/>
          <w:rtl/>
          <w:lang w:val="fr-FR" w:bidi="ar-TN"/>
        </w:rPr>
        <w:t>وأتيحت</w:t>
      </w:r>
      <w:proofErr w:type="spellEnd"/>
      <w:r>
        <w:rPr>
          <w:rFonts w:ascii="Arabic Typesetting" w:hAnsi="Arabic Typesetting" w:cs="Arabic Typesetting"/>
          <w:sz w:val="34"/>
          <w:szCs w:val="34"/>
          <w:rtl/>
          <w:lang w:val="fr-FR" w:bidi="ar-TN"/>
        </w:rPr>
        <w:t xml:space="preserve"> تلك الإجازات الدراسية، التي بدأت في الثنائية السابقة، بفضل الصندوق </w:t>
      </w:r>
      <w:proofErr w:type="spellStart"/>
      <w:r>
        <w:rPr>
          <w:rFonts w:ascii="Arabic Typesetting" w:hAnsi="Arabic Typesetting" w:cs="Arabic Typesetting"/>
          <w:sz w:val="34"/>
          <w:szCs w:val="34"/>
          <w:rtl/>
          <w:lang w:val="fr-FR" w:bidi="ar-TN"/>
        </w:rPr>
        <w:t>الاستئماني</w:t>
      </w:r>
      <w:proofErr w:type="spellEnd"/>
      <w:r>
        <w:rPr>
          <w:rFonts w:ascii="Arabic Typesetting" w:hAnsi="Arabic Typesetting" w:cs="Arabic Typesetting"/>
          <w:sz w:val="34"/>
          <w:szCs w:val="34"/>
          <w:rtl/>
          <w:lang w:val="fr-FR" w:bidi="ar-TN"/>
        </w:rPr>
        <w:t xml:space="preserve"> لحكومة أستراليا. وفي نهاية الثنائية، استُكملت أربع إجازات منها.</w:t>
      </w:r>
    </w:p>
    <w:p w:rsidR="004226D7" w:rsidRDefault="004226D7" w:rsidP="009A3712">
      <w:pPr>
        <w:numPr>
          <w:ilvl w:val="0"/>
          <w:numId w:val="37"/>
        </w:numPr>
        <w:bidi/>
        <w:spacing w:after="120" w:line="340" w:lineRule="exact"/>
        <w:ind w:left="-1" w:firstLine="0"/>
        <w:rPr>
          <w:rFonts w:ascii="Arabic Typesetting" w:hAnsi="Arabic Typesetting" w:cs="Arabic Typesetting"/>
          <w:sz w:val="34"/>
          <w:szCs w:val="34"/>
          <w:rtl/>
          <w:lang w:val="fr-FR" w:bidi="ar-TN"/>
        </w:rPr>
      </w:pPr>
      <w:r>
        <w:rPr>
          <w:rFonts w:ascii="Arabic Typesetting" w:hAnsi="Arabic Typesetting" w:cs="Arabic Typesetting"/>
          <w:sz w:val="34"/>
          <w:szCs w:val="34"/>
          <w:rtl/>
          <w:lang w:val="fr-FR" w:bidi="ar-TN"/>
        </w:rPr>
        <w:t xml:space="preserve">واستمر التعاون الثلاثي مع منظمة الصحة العالمية ومنظمة التجارة العالمية في التركيز على تعميق فهم واضعي السياسات للتفاعل بين الصحة والملكية الفكرية والتجارة. وفي نوفمبر 2014 وأكتوبر 2015، عُقدت الندوتان الثلاثيتان الرابعة والخامسة في جنيف، لاستطلاع التحديات والفرص في مجال الابتكار الصحي في البلدان المتوسطة الدخل ، فضلا عن السياسات العامة الضرورية لضمان إسهام النمو الاقتصادي السريع في الحصول على الخدمات الصحية وتحقيق التغطية الشاملة بتلك الخدمات. وفي أكتوبر 2015، نُظمت حلقة عمل تقنية مشتركة بشأن معايير الأهلية للحماية ببراءة في إطار التعاون الثلاثي وحظيت بانطباع إيجابي عموما </w:t>
      </w:r>
      <w:r w:rsidR="007F1507">
        <w:rPr>
          <w:rFonts w:ascii="Arabic Typesetting" w:hAnsi="Arabic Typesetting" w:cs="Arabic Typesetting" w:hint="cs"/>
          <w:sz w:val="34"/>
          <w:szCs w:val="34"/>
          <w:rtl/>
          <w:lang w:val="fr-FR" w:bidi="ar-TN"/>
        </w:rPr>
        <w:t>لدى</w:t>
      </w:r>
      <w:r>
        <w:rPr>
          <w:rFonts w:ascii="Arabic Typesetting" w:hAnsi="Arabic Typesetting" w:cs="Arabic Typesetting"/>
          <w:sz w:val="34"/>
          <w:szCs w:val="34"/>
          <w:rtl/>
          <w:lang w:val="fr-FR" w:bidi="ar-TN"/>
        </w:rPr>
        <w:t xml:space="preserve"> المشاركين.</w:t>
      </w:r>
    </w:p>
    <w:p w:rsidR="004226D7" w:rsidRDefault="004226D7" w:rsidP="009A3712">
      <w:pPr>
        <w:numPr>
          <w:ilvl w:val="0"/>
          <w:numId w:val="37"/>
        </w:numPr>
        <w:bidi/>
        <w:spacing w:after="120" w:line="340" w:lineRule="exact"/>
        <w:ind w:left="-1" w:firstLine="0"/>
        <w:rPr>
          <w:rFonts w:ascii="Arabic Typesetting" w:hAnsi="Arabic Typesetting" w:cs="Arabic Typesetting"/>
          <w:sz w:val="34"/>
          <w:szCs w:val="34"/>
          <w:lang w:val="fr-FR" w:bidi="ar-TN"/>
        </w:rPr>
      </w:pPr>
      <w:r>
        <w:rPr>
          <w:rFonts w:ascii="Arabic Typesetting" w:hAnsi="Arabic Typesetting" w:cs="Arabic Typesetting"/>
          <w:sz w:val="34"/>
          <w:szCs w:val="34"/>
          <w:rtl/>
          <w:lang w:val="fr-FR" w:bidi="ar-TN"/>
        </w:rPr>
        <w:t>وأبدت الدول أعضاء اهتماما مستمرا بالمشاركة في الحوار الدائر في مجال الملكية الفكرية وسياسات المنافسة لتعميق فهمها للتفاعل بين الملكية الفكرية وسياسات المنافسة. وشملت الطلبات مكاتب الملكية الفكرية والسلطات المعنية بالمنافسة على السواء، بما في ذلك البلدان غير الملمة بالقضايا المتعلقة بالمنافسة في مجال الملكية الفكرية.</w:t>
      </w:r>
    </w:p>
    <w:p w:rsidR="004226D7" w:rsidRDefault="004226D7" w:rsidP="009A3712">
      <w:pPr>
        <w:numPr>
          <w:ilvl w:val="0"/>
          <w:numId w:val="37"/>
        </w:numPr>
        <w:bidi/>
        <w:spacing w:after="120" w:line="340" w:lineRule="exact"/>
        <w:ind w:left="-1" w:firstLine="0"/>
        <w:rPr>
          <w:rFonts w:ascii="Arabic Typesetting" w:hAnsi="Arabic Typesetting" w:cs="Arabic Typesetting"/>
          <w:sz w:val="34"/>
          <w:szCs w:val="34"/>
          <w:lang w:val="fr-CH"/>
        </w:rPr>
      </w:pPr>
      <w:r>
        <w:rPr>
          <w:rFonts w:ascii="Arabic Typesetting" w:hAnsi="Arabic Typesetting" w:cs="Arabic Typesetting"/>
          <w:sz w:val="34"/>
          <w:szCs w:val="34"/>
          <w:rtl/>
          <w:lang w:val="fr-CH"/>
        </w:rPr>
        <w:t xml:space="preserve">وبلغ عدد أصحاب </w:t>
      </w:r>
      <w:r w:rsidR="007F1507" w:rsidRPr="00AC4867">
        <w:rPr>
          <w:rFonts w:ascii="Arabic Typesetting" w:hAnsi="Arabic Typesetting" w:cs="Arabic Typesetting" w:hint="cs"/>
          <w:sz w:val="34"/>
          <w:szCs w:val="34"/>
          <w:rtl/>
          <w:lang w:val="fr-FR" w:bidi="ar-TN"/>
        </w:rPr>
        <w:t>المصلحة</w:t>
      </w:r>
      <w:r w:rsidR="007F1507">
        <w:rPr>
          <w:rFonts w:ascii="Arabic Typesetting" w:hAnsi="Arabic Typesetting" w:cs="Arabic Typesetting"/>
          <w:sz w:val="34"/>
          <w:szCs w:val="34"/>
          <w:rtl/>
          <w:lang w:val="fr-CH"/>
        </w:rPr>
        <w:t xml:space="preserve"> </w:t>
      </w:r>
      <w:r>
        <w:rPr>
          <w:rFonts w:ascii="Arabic Typesetting" w:hAnsi="Arabic Typesetting" w:cs="Arabic Typesetting"/>
          <w:sz w:val="34"/>
          <w:szCs w:val="34"/>
          <w:rtl/>
          <w:lang w:val="fr-CH"/>
        </w:rPr>
        <w:t>المشاركين في الحوار مع الويبو 39 سلطة معنية بالمنافسة، وتواصل تعزيز التعاون غير الرسمي المنظَّم، الذي بدأ في الثنائية السابقة، مع سائر المنظمات المعنية بهذا المجال، ولا سيما مع منظمة التعاون والتنمية في الميدان الاقتصادي ومؤتمر الأمم المتحدة للتجارة والتنمية (</w:t>
      </w:r>
      <w:proofErr w:type="spellStart"/>
      <w:r>
        <w:rPr>
          <w:rFonts w:ascii="Arabic Typesetting" w:hAnsi="Arabic Typesetting" w:cs="Arabic Typesetting"/>
          <w:sz w:val="34"/>
          <w:szCs w:val="34"/>
          <w:rtl/>
          <w:lang w:val="fr-CH"/>
        </w:rPr>
        <w:t>الأونكتاد</w:t>
      </w:r>
      <w:proofErr w:type="spellEnd"/>
      <w:r>
        <w:rPr>
          <w:rFonts w:ascii="Arabic Typesetting" w:hAnsi="Arabic Typesetting" w:cs="Arabic Typesetting"/>
          <w:sz w:val="34"/>
          <w:szCs w:val="34"/>
          <w:rtl/>
          <w:lang w:val="fr-CH"/>
        </w:rPr>
        <w:t>) ومنظمة التجارة العالمية والشبكة الدولية للمنافسة والسوق المشتركة للجنوب والشرق الأفريقي (</w:t>
      </w:r>
      <w:r>
        <w:rPr>
          <w:rFonts w:ascii="Arabic Typesetting" w:hAnsi="Arabic Typesetting" w:cs="Arabic Typesetting"/>
          <w:sz w:val="34"/>
          <w:szCs w:val="34"/>
          <w:lang w:val="fr-CH"/>
        </w:rPr>
        <w:t>COMESA</w:t>
      </w:r>
      <w:r>
        <w:rPr>
          <w:rFonts w:ascii="Arabic Typesetting" w:hAnsi="Arabic Typesetting" w:cs="Arabic Typesetting"/>
          <w:sz w:val="34"/>
          <w:szCs w:val="34"/>
          <w:rtl/>
          <w:lang w:val="fr-CH"/>
        </w:rPr>
        <w:t xml:space="preserve">). ونظمت الويبو تسع حلقات عمل بالتعاون مع جهات أخرى و/أو شاركت فيها. وأتاحت </w:t>
      </w:r>
      <w:r>
        <w:rPr>
          <w:rFonts w:ascii="Arabic Typesetting" w:hAnsi="Arabic Typesetting" w:cs="Arabic Typesetting"/>
          <w:sz w:val="34"/>
          <w:szCs w:val="34"/>
          <w:rtl/>
          <w:lang w:val="fr-CH"/>
        </w:rPr>
        <w:lastRenderedPageBreak/>
        <w:t>هذه الجهود المشتركة بين مكاتب الملكية الفكرية والسلطات المعنية بالمنافسة منتدى فعالا للحوار والنقاش بشأن التفاعل بين الملكية الفكرية وسياسات المنافسة.</w:t>
      </w:r>
    </w:p>
    <w:p w:rsidR="004226D7" w:rsidRDefault="004226D7" w:rsidP="009A3712">
      <w:pPr>
        <w:numPr>
          <w:ilvl w:val="0"/>
          <w:numId w:val="37"/>
        </w:numPr>
        <w:bidi/>
        <w:spacing w:after="120" w:line="340" w:lineRule="exact"/>
        <w:ind w:left="-1" w:firstLine="0"/>
        <w:rPr>
          <w:rFonts w:ascii="Arabic Typesetting" w:hAnsi="Arabic Typesetting" w:cs="Arabic Typesetting"/>
          <w:sz w:val="34"/>
          <w:szCs w:val="34"/>
          <w:lang w:val="fr-CH"/>
        </w:rPr>
      </w:pPr>
      <w:r>
        <w:rPr>
          <w:rFonts w:ascii="Arabic Typesetting" w:hAnsi="Arabic Typesetting" w:cs="Arabic Typesetting"/>
          <w:sz w:val="34"/>
          <w:szCs w:val="34"/>
          <w:rtl/>
          <w:lang w:val="fr-CH"/>
        </w:rPr>
        <w:t xml:space="preserve">واسترشد تصميم أنشطة البرنامج 18 وتخطيطها وتنفيذها بتوصيات جدول أعمال التنمية المعنية، </w:t>
      </w:r>
      <w:r w:rsidR="00EA45DB">
        <w:rPr>
          <w:rFonts w:ascii="Arabic Typesetting" w:hAnsi="Arabic Typesetting" w:cs="Arabic Typesetting" w:hint="cs"/>
          <w:sz w:val="34"/>
          <w:szCs w:val="34"/>
          <w:rtl/>
          <w:lang w:val="fr-CH"/>
        </w:rPr>
        <w:t>ولا سيما</w:t>
      </w:r>
      <w:r>
        <w:rPr>
          <w:rFonts w:ascii="Arabic Typesetting" w:hAnsi="Arabic Typesetting" w:cs="Arabic Typesetting"/>
          <w:sz w:val="34"/>
          <w:szCs w:val="34"/>
          <w:rtl/>
          <w:lang w:val="fr-CH"/>
        </w:rPr>
        <w:t xml:space="preserve"> التوصيات 19 و25 و30 و40 و42.</w:t>
      </w:r>
    </w:p>
    <w:p w:rsidR="004226D7" w:rsidRDefault="004226D7" w:rsidP="004226D7">
      <w:pPr>
        <w:keepNext/>
        <w:bidi/>
        <w:spacing w:after="120" w:line="340" w:lineRule="exact"/>
        <w:ind w:left="-1"/>
        <w:rPr>
          <w:rFonts w:ascii="Arabic Typesetting" w:hAnsi="Arabic Typesetting" w:cs="Arabic Typesetting"/>
          <w:sz w:val="34"/>
          <w:szCs w:val="34"/>
          <w:lang w:val="fr-CH"/>
        </w:rPr>
      </w:pPr>
      <w:r>
        <w:rPr>
          <w:rFonts w:ascii="Arabic Typesetting" w:hAnsi="Arabic Typesetting" w:cs="Arabic Typesetting"/>
          <w:sz w:val="34"/>
          <w:szCs w:val="34"/>
          <w:rtl/>
          <w:lang w:val="fr-CH"/>
        </w:rPr>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984"/>
        <w:gridCol w:w="2268"/>
        <w:gridCol w:w="1701"/>
        <w:gridCol w:w="2693"/>
        <w:gridCol w:w="711"/>
      </w:tblGrid>
      <w:tr w:rsidR="004226D7" w:rsidTr="004226D7">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4226D7" w:rsidRDefault="004226D7" w:rsidP="00062F72">
            <w:pPr>
              <w:keepNext/>
              <w:bidi/>
              <w:spacing w:after="60" w:line="280" w:lineRule="exact"/>
              <w:ind w:left="1167" w:hanging="1167"/>
              <w:rPr>
                <w:rFonts w:ascii="Arabic Typesetting" w:hAnsi="Arabic Typesetting" w:cs="Arabic Typesetting"/>
                <w:sz w:val="28"/>
                <w:szCs w:val="28"/>
                <w:lang w:bidi="ar-TN"/>
              </w:rPr>
            </w:pPr>
            <w:r>
              <w:rPr>
                <w:rFonts w:ascii="Arabic Typesetting" w:hAnsi="Arabic Typesetting" w:cs="Arabic Typesetting"/>
                <w:bCs/>
                <w:sz w:val="28"/>
                <w:szCs w:val="28"/>
                <w:rtl/>
                <w:lang w:bidi="ar-EG"/>
              </w:rPr>
              <w:t>النتيجة المرتقبة:</w:t>
            </w:r>
            <w:r>
              <w:rPr>
                <w:rFonts w:ascii="Arabic Typesetting" w:hAnsi="Arabic Typesetting" w:cs="Arabic Typesetting"/>
                <w:bCs/>
                <w:sz w:val="28"/>
                <w:szCs w:val="28"/>
                <w:rtl/>
                <w:lang w:bidi="ar-EG"/>
              </w:rPr>
              <w:tab/>
            </w:r>
            <w:r>
              <w:rPr>
                <w:rFonts w:ascii="Arabic Typesetting" w:hAnsi="Arabic Typesetting" w:cs="Arabic Typesetting"/>
                <w:sz w:val="28"/>
                <w:szCs w:val="28"/>
                <w:rtl/>
                <w:lang w:bidi="ar-EG"/>
              </w:rPr>
              <w:t xml:space="preserve">ه2.3 </w:t>
            </w:r>
            <w:r w:rsidR="000432CA">
              <w:rPr>
                <w:rFonts w:ascii="Arabic Typesetting" w:hAnsi="Arabic Typesetting" w:cs="Arabic Typesetting"/>
                <w:sz w:val="28"/>
                <w:szCs w:val="28"/>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4226D7" w:rsidTr="004226D7">
        <w:trPr>
          <w:cantSplit/>
        </w:trPr>
        <w:tc>
          <w:tcPr>
            <w:tcW w:w="1060" w:type="pct"/>
            <w:tcBorders>
              <w:top w:val="single" w:sz="4" w:space="0" w:color="auto"/>
              <w:left w:val="single" w:sz="4" w:space="0" w:color="auto"/>
              <w:bottom w:val="nil"/>
              <w:right w:val="nil"/>
            </w:tcBorders>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مؤشرات الأداء</w:t>
            </w:r>
          </w:p>
        </w:tc>
        <w:tc>
          <w:tcPr>
            <w:tcW w:w="1212" w:type="pct"/>
            <w:tcBorders>
              <w:top w:val="single" w:sz="4" w:space="0" w:color="auto"/>
              <w:left w:val="nil"/>
              <w:bottom w:val="nil"/>
              <w:right w:val="nil"/>
            </w:tcBorders>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أسس المقارنة</w:t>
            </w:r>
          </w:p>
        </w:tc>
        <w:tc>
          <w:tcPr>
            <w:tcW w:w="909" w:type="pct"/>
            <w:tcBorders>
              <w:top w:val="single" w:sz="4" w:space="0" w:color="auto"/>
              <w:left w:val="nil"/>
              <w:bottom w:val="nil"/>
              <w:right w:val="nil"/>
            </w:tcBorders>
            <w:tcMar>
              <w:top w:w="110" w:type="dxa"/>
              <w:left w:w="108" w:type="dxa"/>
              <w:bottom w:w="0" w:type="dxa"/>
              <w:right w:w="108" w:type="dxa"/>
            </w:tcMar>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val="fr-FR" w:bidi="ar-TN"/>
              </w:rPr>
              <w:t>الأهداف</w:t>
            </w:r>
          </w:p>
        </w:tc>
        <w:tc>
          <w:tcPr>
            <w:tcW w:w="1439" w:type="pct"/>
            <w:tcBorders>
              <w:top w:val="single" w:sz="4" w:space="0" w:color="auto"/>
              <w:left w:val="nil"/>
              <w:bottom w:val="nil"/>
              <w:right w:val="nil"/>
            </w:tcBorders>
            <w:shd w:val="clear" w:color="auto" w:fill="FFFFFF"/>
            <w:tcMar>
              <w:top w:w="110" w:type="dxa"/>
              <w:left w:w="108" w:type="dxa"/>
              <w:bottom w:w="0" w:type="dxa"/>
              <w:right w:w="108" w:type="dxa"/>
            </w:tcMar>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بيانات الأداء</w:t>
            </w:r>
          </w:p>
        </w:tc>
        <w:tc>
          <w:tcPr>
            <w:tcW w:w="380" w:type="pct"/>
            <w:tcBorders>
              <w:top w:val="single" w:sz="4" w:space="0" w:color="auto"/>
              <w:left w:val="nil"/>
              <w:bottom w:val="nil"/>
              <w:right w:val="single" w:sz="4" w:space="0" w:color="auto"/>
            </w:tcBorders>
            <w:tcMar>
              <w:top w:w="110" w:type="dxa"/>
              <w:left w:w="108" w:type="dxa"/>
              <w:bottom w:w="0" w:type="dxa"/>
              <w:right w:w="108" w:type="dxa"/>
            </w:tcMar>
            <w:vAlign w:val="center"/>
            <w:hideMark/>
          </w:tcPr>
          <w:p w:rsidR="004226D7" w:rsidRDefault="004226D7" w:rsidP="00E16D63">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السير</w:t>
            </w:r>
          </w:p>
        </w:tc>
      </w:tr>
      <w:tr w:rsidR="004226D7" w:rsidTr="004226D7">
        <w:trPr>
          <w:cantSplit/>
        </w:trPr>
        <w:tc>
          <w:tcPr>
            <w:tcW w:w="1060" w:type="pct"/>
            <w:tcBorders>
              <w:top w:val="nil"/>
              <w:left w:val="single" w:sz="4" w:space="0" w:color="auto"/>
              <w:bottom w:val="single" w:sz="4" w:space="0" w:color="auto"/>
              <w:right w:val="nil"/>
            </w:tcBorders>
            <w:hideMark/>
          </w:tcPr>
          <w:p w:rsidR="004226D7" w:rsidRPr="00062F72" w:rsidRDefault="004226D7" w:rsidP="00062F72">
            <w:pPr>
              <w:bidi/>
              <w:spacing w:before="60" w:after="60" w:line="280" w:lineRule="exact"/>
              <w:rPr>
                <w:rFonts w:ascii="Arabic Typesetting" w:hAnsi="Arabic Typesetting" w:cs="Arabic Typesetting"/>
                <w:sz w:val="28"/>
                <w:szCs w:val="28"/>
                <w:lang w:bidi="ar-EG"/>
              </w:rPr>
            </w:pPr>
            <w:r w:rsidRPr="00062F72">
              <w:rPr>
                <w:rFonts w:ascii="Arabic Typesetting" w:hAnsi="Arabic Typesetting" w:cs="Arabic Typesetting" w:hint="cs"/>
                <w:sz w:val="28"/>
                <w:szCs w:val="28"/>
                <w:rtl/>
                <w:lang w:bidi="ar-EG"/>
              </w:rPr>
              <w:t>عدد ترتيبات استقبال علماء من البلدان النامية</w:t>
            </w:r>
          </w:p>
        </w:tc>
        <w:tc>
          <w:tcPr>
            <w:tcW w:w="1212" w:type="pct"/>
            <w:tcBorders>
              <w:top w:val="nil"/>
              <w:left w:val="nil"/>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5</w:t>
            </w:r>
          </w:p>
        </w:tc>
        <w:tc>
          <w:tcPr>
            <w:tcW w:w="909" w:type="pct"/>
            <w:tcBorders>
              <w:top w:val="nil"/>
              <w:left w:val="nil"/>
              <w:bottom w:val="single" w:sz="4" w:space="0" w:color="auto"/>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lang w:bidi="ar-EG"/>
              </w:rPr>
              <w:t>4</w:t>
            </w:r>
          </w:p>
        </w:tc>
        <w:tc>
          <w:tcPr>
            <w:tcW w:w="1439" w:type="pct"/>
            <w:tcBorders>
              <w:top w:val="nil"/>
              <w:left w:val="nil"/>
              <w:bottom w:val="single" w:sz="4" w:space="0" w:color="auto"/>
              <w:right w:val="nil"/>
            </w:tcBorders>
            <w:shd w:val="clear" w:color="auto" w:fill="FFFFFF"/>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bidi="th-TH"/>
              </w:rPr>
            </w:pPr>
            <w:r>
              <w:rPr>
                <w:rFonts w:ascii="Arabic Typesetting" w:hAnsi="Arabic Typesetting" w:cs="Arabic Typesetting"/>
                <w:sz w:val="28"/>
                <w:szCs w:val="28"/>
                <w:rtl/>
              </w:rPr>
              <w:t>اتفاق استقبال جديد واحد</w:t>
            </w:r>
          </w:p>
        </w:tc>
        <w:tc>
          <w:tcPr>
            <w:tcW w:w="380" w:type="pct"/>
            <w:tcBorders>
              <w:top w:val="nil"/>
              <w:left w:val="nil"/>
              <w:bottom w:val="single" w:sz="4" w:space="0" w:color="auto"/>
              <w:right w:val="single" w:sz="4" w:space="0" w:color="auto"/>
            </w:tcBorders>
            <w:tcMar>
              <w:top w:w="110" w:type="dxa"/>
              <w:left w:w="108" w:type="dxa"/>
              <w:bottom w:w="0" w:type="dxa"/>
              <w:right w:w="108" w:type="dxa"/>
            </w:tcMar>
            <w:hideMark/>
          </w:tcPr>
          <w:p w:rsidR="004226D7" w:rsidRDefault="004226D7" w:rsidP="00E16D63">
            <w:pPr>
              <w:keepNext/>
              <w:bidi/>
              <w:spacing w:before="60" w:after="60" w:line="280" w:lineRule="exact"/>
              <w:jc w:val="center"/>
              <w:rPr>
                <w:rFonts w:ascii="Arabic Typesetting" w:hAnsi="Arabic Typesetting" w:cs="Arabic Typesetting"/>
                <w:bCs/>
                <w:color w:val="FF0000"/>
                <w:sz w:val="28"/>
                <w:szCs w:val="28"/>
                <w:lang w:bidi="ar-EG"/>
              </w:rPr>
            </w:pPr>
            <w:r>
              <w:rPr>
                <w:rFonts w:ascii="Arabic Typesetting" w:hAnsi="Arabic Typesetting" w:cs="Arabic Typesetting"/>
                <w:bCs/>
                <w:color w:val="FF0000"/>
                <w:sz w:val="28"/>
                <w:szCs w:val="28"/>
                <w:rtl/>
                <w:lang w:bidi="ar-EG"/>
              </w:rPr>
              <w:t>غير محقق</w:t>
            </w:r>
          </w:p>
        </w:tc>
      </w:tr>
      <w:tr w:rsidR="004226D7" w:rsidTr="004226D7">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4226D7" w:rsidRDefault="004226D7" w:rsidP="00062F72">
            <w:pPr>
              <w:keepNext/>
              <w:bidi/>
              <w:spacing w:after="60" w:line="280" w:lineRule="exact"/>
              <w:ind w:left="1167" w:hanging="1167"/>
              <w:rPr>
                <w:rFonts w:ascii="Arabic Typesetting" w:hAnsi="Arabic Typesetting" w:cs="Arabic Typesetting"/>
                <w:sz w:val="28"/>
                <w:szCs w:val="28"/>
                <w:lang w:bidi="ar-TN"/>
              </w:rPr>
            </w:pPr>
            <w:r>
              <w:rPr>
                <w:rFonts w:ascii="Arabic Typesetting" w:hAnsi="Arabic Typesetting" w:cs="Arabic Typesetting"/>
                <w:bCs/>
                <w:sz w:val="28"/>
                <w:szCs w:val="28"/>
                <w:rtl/>
                <w:lang w:bidi="ar-EG"/>
              </w:rPr>
              <w:t xml:space="preserve">النتيجة المرتقبة: </w:t>
            </w:r>
            <w:r>
              <w:rPr>
                <w:rFonts w:ascii="Arabic Typesetting" w:hAnsi="Arabic Typesetting" w:cs="Arabic Typesetting"/>
                <w:bCs/>
                <w:sz w:val="28"/>
                <w:szCs w:val="28"/>
                <w:rtl/>
                <w:lang w:bidi="ar-EG"/>
              </w:rPr>
              <w:tab/>
            </w:r>
            <w:r>
              <w:rPr>
                <w:rFonts w:ascii="Arabic Typesetting" w:hAnsi="Arabic Typesetting" w:cs="Arabic Typesetting"/>
                <w:sz w:val="28"/>
                <w:szCs w:val="28"/>
                <w:rtl/>
                <w:lang w:bidi="ar-EG"/>
              </w:rPr>
              <w:t xml:space="preserve">ه2.4 </w:t>
            </w:r>
            <w:r w:rsidR="000432CA">
              <w:rPr>
                <w:rFonts w:ascii="Arabic Typesetting" w:hAnsi="Arabic Typesetting" w:cs="Arabic Typesetting"/>
                <w:sz w:val="28"/>
                <w:szCs w:val="28"/>
                <w:rtl/>
                <w:lang w:bidi="ar-EG"/>
              </w:rPr>
              <w:t>تحسين النفاذ إلى المعلومات المتعلقة بالملكية الفكرية واستخدامها من قبل مؤسسات الملكية الفكرية والجمهور لتشجيع الابتكار والإبداع</w:t>
            </w:r>
          </w:p>
        </w:tc>
      </w:tr>
      <w:tr w:rsidR="004226D7" w:rsidTr="004226D7">
        <w:trPr>
          <w:cantSplit/>
        </w:trPr>
        <w:tc>
          <w:tcPr>
            <w:tcW w:w="1060" w:type="pct"/>
            <w:tcBorders>
              <w:top w:val="single" w:sz="4" w:space="0" w:color="auto"/>
              <w:left w:val="single" w:sz="4" w:space="0" w:color="auto"/>
              <w:bottom w:val="nil"/>
              <w:right w:val="nil"/>
            </w:tcBorders>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مؤشرات الأداء</w:t>
            </w:r>
          </w:p>
        </w:tc>
        <w:tc>
          <w:tcPr>
            <w:tcW w:w="1212" w:type="pct"/>
            <w:tcBorders>
              <w:top w:val="single" w:sz="4" w:space="0" w:color="auto"/>
              <w:left w:val="nil"/>
              <w:bottom w:val="nil"/>
              <w:right w:val="nil"/>
            </w:tcBorders>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أسس المقارنة</w:t>
            </w:r>
          </w:p>
        </w:tc>
        <w:tc>
          <w:tcPr>
            <w:tcW w:w="909" w:type="pct"/>
            <w:tcBorders>
              <w:top w:val="single" w:sz="4" w:space="0" w:color="auto"/>
              <w:left w:val="nil"/>
              <w:bottom w:val="nil"/>
              <w:right w:val="nil"/>
            </w:tcBorders>
            <w:tcMar>
              <w:top w:w="110" w:type="dxa"/>
              <w:left w:w="108" w:type="dxa"/>
              <w:bottom w:w="0" w:type="dxa"/>
              <w:right w:w="108" w:type="dxa"/>
            </w:tcMar>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val="fr-FR" w:bidi="ar-TN"/>
              </w:rPr>
              <w:t>الأهداف</w:t>
            </w:r>
          </w:p>
        </w:tc>
        <w:tc>
          <w:tcPr>
            <w:tcW w:w="1439" w:type="pct"/>
            <w:tcBorders>
              <w:top w:val="single" w:sz="4" w:space="0" w:color="auto"/>
              <w:left w:val="nil"/>
              <w:bottom w:val="nil"/>
              <w:right w:val="nil"/>
            </w:tcBorders>
            <w:shd w:val="clear" w:color="auto" w:fill="FFFFFF"/>
            <w:tcMar>
              <w:top w:w="110" w:type="dxa"/>
              <w:left w:w="108" w:type="dxa"/>
              <w:bottom w:w="0" w:type="dxa"/>
              <w:right w:w="108" w:type="dxa"/>
            </w:tcMar>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بيانات الأداء</w:t>
            </w:r>
          </w:p>
        </w:tc>
        <w:tc>
          <w:tcPr>
            <w:tcW w:w="380" w:type="pct"/>
            <w:tcBorders>
              <w:top w:val="single" w:sz="4" w:space="0" w:color="auto"/>
              <w:left w:val="nil"/>
              <w:bottom w:val="nil"/>
              <w:right w:val="single" w:sz="4" w:space="0" w:color="auto"/>
            </w:tcBorders>
            <w:tcMar>
              <w:top w:w="110" w:type="dxa"/>
              <w:left w:w="108" w:type="dxa"/>
              <w:bottom w:w="0" w:type="dxa"/>
              <w:right w:w="108" w:type="dxa"/>
            </w:tcMar>
            <w:vAlign w:val="center"/>
            <w:hideMark/>
          </w:tcPr>
          <w:p w:rsidR="004226D7" w:rsidRDefault="004226D7" w:rsidP="00E16D63">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السير</w:t>
            </w:r>
          </w:p>
        </w:tc>
      </w:tr>
      <w:tr w:rsidR="004226D7" w:rsidTr="004226D7">
        <w:trPr>
          <w:cantSplit/>
        </w:trPr>
        <w:tc>
          <w:tcPr>
            <w:tcW w:w="1060" w:type="pct"/>
            <w:tcBorders>
              <w:top w:val="nil"/>
              <w:left w:val="single" w:sz="4" w:space="0" w:color="auto"/>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عدد البلدان التي دققت في البيانات والتي أدرجت الأدوية الأساسية الوطنية في </w:t>
            </w:r>
            <w:r>
              <w:rPr>
                <w:rFonts w:ascii="Arabic Typesetting" w:hAnsi="Arabic Typesetting" w:cs="Arabic Typesetting"/>
                <w:sz w:val="28"/>
                <w:szCs w:val="28"/>
                <w:lang w:bidi="ar-EG"/>
              </w:rPr>
              <w:t>WIPO Essential</w:t>
            </w:r>
          </w:p>
        </w:tc>
        <w:tc>
          <w:tcPr>
            <w:tcW w:w="1212" w:type="pct"/>
            <w:tcBorders>
              <w:top w:val="nil"/>
              <w:left w:val="nil"/>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0 (صفر)</w:t>
            </w:r>
          </w:p>
        </w:tc>
        <w:tc>
          <w:tcPr>
            <w:tcW w:w="909" w:type="pct"/>
            <w:tcBorders>
              <w:top w:val="nil"/>
              <w:left w:val="nil"/>
              <w:bottom w:val="single" w:sz="4" w:space="0" w:color="auto"/>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بلد من كل منطقة (أفريقيا وآسيا وأمريكا اللاتينية والكاريبي)</w:t>
            </w:r>
          </w:p>
        </w:tc>
        <w:tc>
          <w:tcPr>
            <w:tcW w:w="1439" w:type="pct"/>
            <w:tcBorders>
              <w:top w:val="nil"/>
              <w:left w:val="nil"/>
              <w:bottom w:val="single" w:sz="4" w:space="0" w:color="auto"/>
              <w:right w:val="nil"/>
            </w:tcBorders>
            <w:shd w:val="clear" w:color="auto" w:fill="FFFFFF"/>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أعيد تحديد أهداف </w:t>
            </w:r>
            <w:r>
              <w:rPr>
                <w:rFonts w:ascii="Arabic Typesetting" w:hAnsi="Arabic Typesetting" w:cs="Arabic Typesetting"/>
                <w:sz w:val="28"/>
                <w:szCs w:val="28"/>
                <w:lang w:bidi="ar-EG"/>
              </w:rPr>
              <w:t>WIPO Essential</w:t>
            </w:r>
            <w:r>
              <w:rPr>
                <w:rFonts w:ascii="Arabic Typesetting" w:hAnsi="Arabic Typesetting" w:cs="Arabic Typesetting"/>
                <w:sz w:val="28"/>
                <w:szCs w:val="28"/>
                <w:rtl/>
                <w:lang w:bidi="ar-EG"/>
              </w:rPr>
              <w:t xml:space="preserve"> في عام 2014 باعتبارها دراسة عن وضع براءات الأدوية الواردة في قائمة منظمة الصحة العالمية النموذجية للأدوية الأساسية.</w:t>
            </w:r>
          </w:p>
        </w:tc>
        <w:tc>
          <w:tcPr>
            <w:tcW w:w="380" w:type="pct"/>
            <w:tcBorders>
              <w:top w:val="nil"/>
              <w:left w:val="nil"/>
              <w:bottom w:val="single" w:sz="4" w:space="0" w:color="auto"/>
              <w:right w:val="single" w:sz="4" w:space="0" w:color="auto"/>
            </w:tcBorders>
            <w:tcMar>
              <w:top w:w="110" w:type="dxa"/>
              <w:left w:w="108" w:type="dxa"/>
              <w:bottom w:w="0" w:type="dxa"/>
              <w:right w:w="108" w:type="dxa"/>
            </w:tcMar>
          </w:tcPr>
          <w:p w:rsidR="004226D7" w:rsidRDefault="004226D7" w:rsidP="004226D7">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منقطع</w:t>
            </w:r>
          </w:p>
        </w:tc>
      </w:tr>
      <w:tr w:rsidR="004226D7" w:rsidTr="004226D7">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4226D7" w:rsidRDefault="004226D7" w:rsidP="00062F72">
            <w:pPr>
              <w:keepNext/>
              <w:bidi/>
              <w:spacing w:after="60" w:line="280" w:lineRule="exact"/>
              <w:ind w:left="1167" w:hanging="1167"/>
              <w:rPr>
                <w:rFonts w:ascii="Arabic Typesetting" w:hAnsi="Arabic Typesetting" w:cs="Arabic Typesetting"/>
                <w:sz w:val="28"/>
                <w:szCs w:val="28"/>
                <w:lang w:bidi="ar-TN"/>
              </w:rPr>
            </w:pPr>
            <w:r>
              <w:rPr>
                <w:rFonts w:ascii="Arabic Typesetting" w:hAnsi="Arabic Typesetting" w:cs="Arabic Typesetting"/>
                <w:bCs/>
                <w:sz w:val="28"/>
                <w:szCs w:val="28"/>
                <w:rtl/>
                <w:lang w:bidi="ar-EG"/>
              </w:rPr>
              <w:t>النتيجة المرتقبة:</w:t>
            </w:r>
            <w:r>
              <w:rPr>
                <w:rFonts w:ascii="Arabic Typesetting" w:hAnsi="Arabic Typesetting" w:cs="Arabic Typesetting"/>
                <w:bCs/>
                <w:sz w:val="28"/>
                <w:szCs w:val="28"/>
                <w:rtl/>
                <w:lang w:bidi="ar-EG"/>
              </w:rPr>
              <w:tab/>
            </w:r>
            <w:r>
              <w:rPr>
                <w:rFonts w:ascii="Arabic Typesetting" w:hAnsi="Arabic Typesetting" w:cs="Arabic Typesetting"/>
                <w:sz w:val="28"/>
                <w:szCs w:val="28"/>
                <w:rtl/>
                <w:lang w:bidi="ar-EG"/>
              </w:rPr>
              <w:t xml:space="preserve">ه2.7 </w:t>
            </w:r>
            <w:r w:rsidR="00A0719D">
              <w:rPr>
                <w:rFonts w:ascii="Arabic Typesetting" w:hAnsi="Arabic Typesetting" w:cs="Arabic Typesetting"/>
                <w:sz w:val="28"/>
                <w:szCs w:val="28"/>
                <w:rtl/>
                <w:lang w:bidi="ar-EG"/>
              </w:rPr>
              <w:t>منصات وأدوات الملكية الفكرية مستخدمة في نقل المعارف وتطويع التكنولوجيا ونشرها من البلدان المتقدمة إلى البلدان النامية، ولا سيما البلدان الأقل نموا، لمواجهة التحديات العالمية</w:t>
            </w:r>
          </w:p>
        </w:tc>
      </w:tr>
      <w:tr w:rsidR="004226D7" w:rsidTr="004226D7">
        <w:trPr>
          <w:cantSplit/>
        </w:trPr>
        <w:tc>
          <w:tcPr>
            <w:tcW w:w="1060" w:type="pct"/>
            <w:tcBorders>
              <w:top w:val="single" w:sz="4" w:space="0" w:color="auto"/>
              <w:left w:val="single" w:sz="4" w:space="0" w:color="auto"/>
              <w:bottom w:val="nil"/>
              <w:right w:val="nil"/>
            </w:tcBorders>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مؤشرات الأداء</w:t>
            </w:r>
          </w:p>
        </w:tc>
        <w:tc>
          <w:tcPr>
            <w:tcW w:w="1212" w:type="pct"/>
            <w:tcBorders>
              <w:top w:val="single" w:sz="4" w:space="0" w:color="auto"/>
              <w:left w:val="nil"/>
              <w:bottom w:val="nil"/>
              <w:right w:val="nil"/>
            </w:tcBorders>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أسس المقارنة</w:t>
            </w:r>
          </w:p>
        </w:tc>
        <w:tc>
          <w:tcPr>
            <w:tcW w:w="909" w:type="pct"/>
            <w:tcBorders>
              <w:top w:val="single" w:sz="4" w:space="0" w:color="auto"/>
              <w:left w:val="nil"/>
              <w:bottom w:val="nil"/>
              <w:right w:val="nil"/>
            </w:tcBorders>
            <w:tcMar>
              <w:top w:w="110" w:type="dxa"/>
              <w:left w:w="108" w:type="dxa"/>
              <w:bottom w:w="0" w:type="dxa"/>
              <w:right w:w="108" w:type="dxa"/>
            </w:tcMar>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val="fr-FR" w:bidi="ar-TN"/>
              </w:rPr>
              <w:t>الأهداف</w:t>
            </w:r>
          </w:p>
        </w:tc>
        <w:tc>
          <w:tcPr>
            <w:tcW w:w="1439" w:type="pct"/>
            <w:tcBorders>
              <w:top w:val="single" w:sz="4" w:space="0" w:color="auto"/>
              <w:left w:val="nil"/>
              <w:bottom w:val="nil"/>
              <w:right w:val="nil"/>
            </w:tcBorders>
            <w:shd w:val="clear" w:color="auto" w:fill="FFFFFF"/>
            <w:tcMar>
              <w:top w:w="110" w:type="dxa"/>
              <w:left w:w="108" w:type="dxa"/>
              <w:bottom w:w="0" w:type="dxa"/>
              <w:right w:w="108" w:type="dxa"/>
            </w:tcMar>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بيانات الأداء</w:t>
            </w:r>
          </w:p>
        </w:tc>
        <w:tc>
          <w:tcPr>
            <w:tcW w:w="380" w:type="pct"/>
            <w:tcBorders>
              <w:top w:val="single" w:sz="4" w:space="0" w:color="auto"/>
              <w:left w:val="nil"/>
              <w:bottom w:val="nil"/>
              <w:right w:val="single" w:sz="4" w:space="0" w:color="auto"/>
            </w:tcBorders>
            <w:tcMar>
              <w:top w:w="110" w:type="dxa"/>
              <w:left w:w="108" w:type="dxa"/>
              <w:bottom w:w="0" w:type="dxa"/>
              <w:right w:w="108" w:type="dxa"/>
            </w:tcMar>
            <w:vAlign w:val="center"/>
            <w:hideMark/>
          </w:tcPr>
          <w:p w:rsidR="004226D7" w:rsidRDefault="004226D7" w:rsidP="00E16D63">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السير</w:t>
            </w:r>
          </w:p>
        </w:tc>
      </w:tr>
      <w:tr w:rsidR="004226D7" w:rsidTr="001B6640">
        <w:trPr>
          <w:cantSplit/>
        </w:trPr>
        <w:tc>
          <w:tcPr>
            <w:tcW w:w="1060" w:type="pct"/>
            <w:tcBorders>
              <w:top w:val="nil"/>
              <w:left w:val="single" w:sz="4" w:space="0" w:color="auto"/>
              <w:bottom w:val="single" w:sz="4" w:space="0" w:color="auto"/>
              <w:right w:val="nil"/>
            </w:tcBorders>
            <w:hideMark/>
          </w:tcPr>
          <w:p w:rsidR="004226D7" w:rsidRDefault="004226D7" w:rsidP="001B6640">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ارتفاع عدد الأعضاء المشتركين في قاعدة بيانات </w:t>
            </w:r>
            <w:r>
              <w:rPr>
                <w:rFonts w:ascii="Arabic Typesetting" w:hAnsi="Arabic Typesetting" w:cs="Arabic Typesetting"/>
                <w:sz w:val="28"/>
                <w:szCs w:val="28"/>
                <w:lang w:bidi="ar-EG"/>
              </w:rPr>
              <w:t>WIPO</w:t>
            </w:r>
            <w:r w:rsidR="00265FD2">
              <w:rPr>
                <w:rFonts w:ascii="Arabic Typesetting" w:hAnsi="Arabic Typesetting" w:cs="Arabic Typesetting"/>
                <w:sz w:val="28"/>
                <w:szCs w:val="28"/>
                <w:lang w:bidi="ar-EG"/>
              </w:rPr>
              <w:t> </w:t>
            </w:r>
            <w:proofErr w:type="spellStart"/>
            <w:r>
              <w:rPr>
                <w:rFonts w:ascii="Arabic Typesetting" w:hAnsi="Arabic Typesetting" w:cs="Arabic Typesetting"/>
                <w:sz w:val="28"/>
                <w:szCs w:val="28"/>
                <w:lang w:bidi="ar-EG"/>
              </w:rPr>
              <w:t>Re:Search</w:t>
            </w:r>
            <w:proofErr w:type="spellEnd"/>
            <w:r>
              <w:rPr>
                <w:rFonts w:ascii="Arabic Typesetting" w:hAnsi="Arabic Typesetting" w:cs="Arabic Typesetting"/>
                <w:sz w:val="28"/>
                <w:szCs w:val="28"/>
                <w:rtl/>
                <w:lang w:bidi="ar-EG"/>
              </w:rPr>
              <w:t>، بما في ذلك الأعضاء من البلدان النامية والبلدان الأقل نموا</w:t>
            </w:r>
          </w:p>
        </w:tc>
        <w:tc>
          <w:tcPr>
            <w:tcW w:w="1212" w:type="pct"/>
            <w:tcBorders>
              <w:top w:val="nil"/>
              <w:left w:val="nil"/>
              <w:bottom w:val="single" w:sz="4" w:space="0" w:color="auto"/>
              <w:right w:val="nil"/>
            </w:tcBorders>
            <w:hideMark/>
          </w:tcPr>
          <w:p w:rsidR="004226D7" w:rsidRDefault="004226D7" w:rsidP="007F1507">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 xml:space="preserve">خلال الثنائية انضم إلى قاعدة بيانات </w:t>
            </w:r>
            <w:r>
              <w:rPr>
                <w:rFonts w:ascii="Arabic Typesetting" w:hAnsi="Arabic Typesetting" w:cs="Arabic Typesetting"/>
                <w:bCs/>
                <w:color w:val="002060"/>
                <w:sz w:val="28"/>
                <w:szCs w:val="28"/>
              </w:rPr>
              <w:t>WIPO </w:t>
            </w:r>
            <w:proofErr w:type="spellStart"/>
            <w:r>
              <w:rPr>
                <w:rFonts w:ascii="Arabic Typesetting" w:hAnsi="Arabic Typesetting" w:cs="Arabic Typesetting"/>
                <w:bCs/>
                <w:color w:val="002060"/>
                <w:sz w:val="28"/>
                <w:szCs w:val="28"/>
              </w:rPr>
              <w:t>Re:Search</w:t>
            </w:r>
            <w:proofErr w:type="spellEnd"/>
            <w:r>
              <w:rPr>
                <w:rFonts w:ascii="Arabic Typesetting" w:hAnsi="Arabic Typesetting" w:cs="Arabic Typesetting"/>
                <w:bCs/>
                <w:color w:val="002060"/>
                <w:sz w:val="28"/>
                <w:szCs w:val="28"/>
                <w:rtl/>
              </w:rPr>
              <w:t xml:space="preserve"> </w:t>
            </w:r>
            <w:r>
              <w:rPr>
                <w:rFonts w:ascii="Arabic Typesetting" w:hAnsi="Arabic Typesetting" w:cs="Arabic Typesetting"/>
                <w:color w:val="002060"/>
                <w:sz w:val="28"/>
                <w:szCs w:val="28"/>
                <w:rtl/>
              </w:rPr>
              <w:t xml:space="preserve">49 عضوا (موردون ومستخدمون ومؤيدون) وأدخل فيها 167 مدخلة جديدة: </w:t>
            </w:r>
          </w:p>
          <w:p w:rsidR="004226D7" w:rsidRDefault="004226D7" w:rsidP="007F1507">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color w:val="002060"/>
                <w:sz w:val="28"/>
                <w:szCs w:val="28"/>
                <w:rtl/>
              </w:rPr>
              <w:t>-</w:t>
            </w:r>
            <w:r>
              <w:rPr>
                <w:rFonts w:ascii="Arabic Typesetting" w:hAnsi="Arabic Typesetting" w:cs="Arabic Typesetting"/>
                <w:color w:val="002060"/>
                <w:sz w:val="28"/>
                <w:szCs w:val="28"/>
                <w:rtl/>
              </w:rPr>
              <w:tab/>
              <w:t>30 عضوا جديدا و90 مدخلة جديدة في عام 2012؛</w:t>
            </w:r>
          </w:p>
          <w:p w:rsidR="004226D7" w:rsidRDefault="004226D7" w:rsidP="007F1507">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color w:val="002060"/>
                <w:sz w:val="28"/>
                <w:szCs w:val="28"/>
                <w:rtl/>
              </w:rPr>
              <w:t>-</w:t>
            </w:r>
            <w:r>
              <w:rPr>
                <w:rFonts w:ascii="Arabic Typesetting" w:hAnsi="Arabic Typesetting" w:cs="Arabic Typesetting"/>
                <w:color w:val="002060"/>
                <w:sz w:val="28"/>
                <w:szCs w:val="28"/>
                <w:rtl/>
              </w:rPr>
              <w:tab/>
              <w:t>و19 عضوا جديدا و77 مدخلة جديدة في عام 2013</w:t>
            </w:r>
          </w:p>
          <w:p w:rsidR="004226D7" w:rsidRDefault="004226D7" w:rsidP="000B23B7">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color w:val="002060"/>
                <w:sz w:val="28"/>
                <w:szCs w:val="28"/>
                <w:rtl/>
              </w:rPr>
              <w:t>فبلغ الإجمالي التراكمي 80 عضوا و247 مدخلة.</w:t>
            </w:r>
          </w:p>
          <w:p w:rsidR="004226D7" w:rsidRDefault="004226D7" w:rsidP="001B6640">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67 عضوا، 16 من البلدان النامية</w:t>
            </w:r>
          </w:p>
        </w:tc>
        <w:tc>
          <w:tcPr>
            <w:tcW w:w="909" w:type="pct"/>
            <w:tcBorders>
              <w:top w:val="nil"/>
              <w:left w:val="nil"/>
              <w:bottom w:val="single" w:sz="4" w:space="0" w:color="auto"/>
              <w:right w:val="nil"/>
            </w:tcBorders>
            <w:tcMar>
              <w:top w:w="110" w:type="dxa"/>
              <w:left w:w="108" w:type="dxa"/>
              <w:bottom w:w="0" w:type="dxa"/>
              <w:right w:w="108" w:type="dxa"/>
            </w:tcMar>
            <w:hideMark/>
          </w:tcPr>
          <w:p w:rsidR="004226D7" w:rsidRDefault="004226D7" w:rsidP="001B6640">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15 (منهم على الأقل 5 من البلدان النامية/الأقل نموا)</w:t>
            </w:r>
          </w:p>
        </w:tc>
        <w:tc>
          <w:tcPr>
            <w:tcW w:w="1439" w:type="pct"/>
            <w:tcBorders>
              <w:top w:val="nil"/>
              <w:left w:val="nil"/>
              <w:bottom w:val="single" w:sz="4" w:space="0" w:color="auto"/>
              <w:right w:val="nil"/>
            </w:tcBorders>
            <w:shd w:val="clear" w:color="auto" w:fill="FFFFFF"/>
            <w:tcMar>
              <w:top w:w="110" w:type="dxa"/>
              <w:left w:w="108" w:type="dxa"/>
              <w:bottom w:w="0" w:type="dxa"/>
              <w:right w:w="108" w:type="dxa"/>
            </w:tcMar>
            <w:hideMark/>
          </w:tcPr>
          <w:p w:rsidR="004226D7" w:rsidRDefault="004226D7" w:rsidP="001B6640">
            <w:pPr>
              <w:bidi/>
              <w:spacing w:before="60" w:after="60" w:line="280" w:lineRule="exact"/>
              <w:rPr>
                <w:rFonts w:ascii="Arabic Typesetting" w:hAnsi="Arabic Typesetting" w:cs="Arabic Typesetting"/>
                <w:sz w:val="28"/>
                <w:szCs w:val="28"/>
                <w:rtl/>
                <w:lang w:bidi="ar-TN"/>
              </w:rPr>
            </w:pPr>
            <w:r>
              <w:rPr>
                <w:rFonts w:ascii="Arabic Typesetting" w:hAnsi="Arabic Typesetting" w:cs="Arabic Typesetting"/>
                <w:sz w:val="28"/>
                <w:szCs w:val="28"/>
                <w:rtl/>
                <w:lang w:bidi="ar-TN"/>
              </w:rPr>
              <w:t xml:space="preserve">20 عضوا جديدا (6 منهم من البلدان النامية/الأقل نموا) </w:t>
            </w:r>
          </w:p>
          <w:p w:rsidR="004226D7" w:rsidRDefault="004226D7" w:rsidP="001B6640">
            <w:pPr>
              <w:bidi/>
              <w:spacing w:before="60" w:after="60" w:line="280" w:lineRule="exact"/>
              <w:rPr>
                <w:rFonts w:ascii="Arabic Typesetting" w:hAnsi="Arabic Typesetting" w:cs="Arabic Typesetting"/>
                <w:sz w:val="28"/>
                <w:szCs w:val="28"/>
                <w:lang w:val="fr-FR" w:bidi="ar-TN"/>
              </w:rPr>
            </w:pPr>
            <w:r>
              <w:rPr>
                <w:rFonts w:ascii="Arabic Typesetting" w:hAnsi="Arabic Typesetting" w:cs="Arabic Typesetting"/>
                <w:sz w:val="28"/>
                <w:szCs w:val="28"/>
                <w:rtl/>
                <w:lang w:bidi="ar-TN"/>
              </w:rPr>
              <w:t>100 عضو إجمالا (22 منهم من البلدان النامية/الأقل نموا)</w:t>
            </w:r>
          </w:p>
        </w:tc>
        <w:tc>
          <w:tcPr>
            <w:tcW w:w="380" w:type="pct"/>
            <w:tcBorders>
              <w:top w:val="nil"/>
              <w:left w:val="nil"/>
              <w:bottom w:val="single" w:sz="4" w:space="0" w:color="auto"/>
              <w:right w:val="single" w:sz="4" w:space="0" w:color="auto"/>
            </w:tcBorders>
            <w:tcMar>
              <w:top w:w="110" w:type="dxa"/>
              <w:left w:w="108" w:type="dxa"/>
              <w:bottom w:w="0" w:type="dxa"/>
              <w:right w:w="108" w:type="dxa"/>
            </w:tcMar>
            <w:hideMark/>
          </w:tcPr>
          <w:p w:rsidR="004226D7" w:rsidRDefault="004226D7" w:rsidP="001B6640">
            <w:pPr>
              <w:bidi/>
              <w:spacing w:before="60" w:after="60" w:line="280" w:lineRule="exact"/>
              <w:jc w:val="center"/>
              <w:rPr>
                <w:rFonts w:ascii="Arabic Typesetting" w:hAnsi="Arabic Typesetting" w:cs="Arabic Typesetting"/>
                <w:bCs/>
                <w:color w:val="00B050"/>
                <w:sz w:val="28"/>
                <w:szCs w:val="28"/>
              </w:rPr>
            </w:pPr>
            <w:r>
              <w:rPr>
                <w:rFonts w:ascii="Arabic Typesetting" w:hAnsi="Arabic Typesetting" w:cs="Arabic Typesetting"/>
                <w:bCs/>
                <w:color w:val="00B050"/>
                <w:sz w:val="28"/>
                <w:szCs w:val="28"/>
                <w:rtl/>
              </w:rPr>
              <w:t>محقق كلياً</w:t>
            </w:r>
          </w:p>
        </w:tc>
      </w:tr>
      <w:tr w:rsidR="004226D7" w:rsidTr="001B6640">
        <w:trPr>
          <w:cantSplit/>
        </w:trPr>
        <w:tc>
          <w:tcPr>
            <w:tcW w:w="1060" w:type="pct"/>
            <w:tcBorders>
              <w:top w:val="single" w:sz="4" w:space="0" w:color="auto"/>
              <w:left w:val="single" w:sz="4" w:space="0" w:color="auto"/>
              <w:bottom w:val="nil"/>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lastRenderedPageBreak/>
              <w:t xml:space="preserve">تزايد عدد المساهمات في قاعدة بيانات </w:t>
            </w:r>
            <w:r>
              <w:rPr>
                <w:rFonts w:ascii="Arabic Typesetting" w:hAnsi="Arabic Typesetting" w:cs="Arabic Typesetting"/>
                <w:sz w:val="28"/>
                <w:szCs w:val="28"/>
                <w:lang w:bidi="ar-EG"/>
              </w:rPr>
              <w:t>WIPO </w:t>
            </w:r>
            <w:proofErr w:type="spellStart"/>
            <w:r>
              <w:rPr>
                <w:rFonts w:ascii="Arabic Typesetting" w:hAnsi="Arabic Typesetting" w:cs="Arabic Typesetting"/>
                <w:sz w:val="28"/>
                <w:szCs w:val="28"/>
                <w:lang w:bidi="ar-EG"/>
              </w:rPr>
              <w:t>Re:Search</w:t>
            </w:r>
            <w:proofErr w:type="spellEnd"/>
          </w:p>
        </w:tc>
        <w:tc>
          <w:tcPr>
            <w:tcW w:w="1212" w:type="pct"/>
            <w:tcBorders>
              <w:top w:val="single" w:sz="4" w:space="0" w:color="auto"/>
              <w:left w:val="nil"/>
              <w:bottom w:val="nil"/>
              <w:right w:val="nil"/>
            </w:tcBorders>
            <w:hideMark/>
          </w:tcPr>
          <w:p w:rsidR="004226D7" w:rsidRDefault="004226D7" w:rsidP="00E16D63">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 xml:space="preserve">في نهاية 2013 يسرت قاعدة بيانات </w:t>
            </w:r>
            <w:r>
              <w:rPr>
                <w:rFonts w:ascii="Arabic Typesetting" w:hAnsi="Arabic Typesetting" w:cs="Arabic Typesetting"/>
                <w:bCs/>
                <w:color w:val="002060"/>
                <w:sz w:val="28"/>
                <w:szCs w:val="28"/>
              </w:rPr>
              <w:t>WIPO </w:t>
            </w:r>
            <w:proofErr w:type="spellStart"/>
            <w:r>
              <w:rPr>
                <w:rFonts w:ascii="Arabic Typesetting" w:hAnsi="Arabic Typesetting" w:cs="Arabic Typesetting"/>
                <w:bCs/>
                <w:color w:val="002060"/>
                <w:sz w:val="28"/>
                <w:szCs w:val="28"/>
              </w:rPr>
              <w:t>Re:Search</w:t>
            </w:r>
            <w:proofErr w:type="spellEnd"/>
            <w:r>
              <w:rPr>
                <w:rFonts w:ascii="Arabic Typesetting" w:hAnsi="Arabic Typesetting" w:cs="Arabic Typesetting"/>
                <w:color w:val="002060"/>
                <w:sz w:val="28"/>
                <w:szCs w:val="28"/>
                <w:rtl/>
              </w:rPr>
              <w:t xml:space="preserve"> 44 بحثا تعاونيا (11 في 2012 و33 في 2013)</w:t>
            </w:r>
          </w:p>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200</w:t>
            </w:r>
          </w:p>
        </w:tc>
        <w:tc>
          <w:tcPr>
            <w:tcW w:w="909" w:type="pct"/>
            <w:tcBorders>
              <w:top w:val="single" w:sz="4" w:space="0" w:color="auto"/>
              <w:left w:val="nil"/>
              <w:bottom w:val="nil"/>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val="fr-FR" w:bidi="ar-TN"/>
              </w:rPr>
            </w:pPr>
            <w:r>
              <w:rPr>
                <w:rFonts w:ascii="Arabic Typesetting" w:hAnsi="Arabic Typesetting" w:cs="Arabic Typesetting"/>
                <w:sz w:val="28"/>
                <w:szCs w:val="28"/>
                <w:rtl/>
                <w:lang w:val="fr-FR" w:bidi="ar-TN"/>
              </w:rPr>
              <w:t>50%</w:t>
            </w:r>
          </w:p>
        </w:tc>
        <w:tc>
          <w:tcPr>
            <w:tcW w:w="1439" w:type="pct"/>
            <w:tcBorders>
              <w:top w:val="single" w:sz="4" w:space="0" w:color="auto"/>
              <w:left w:val="nil"/>
              <w:bottom w:val="nil"/>
              <w:right w:val="nil"/>
            </w:tcBorders>
            <w:shd w:val="clear" w:color="auto" w:fill="FFFFFF"/>
            <w:tcMar>
              <w:top w:w="110" w:type="dxa"/>
              <w:left w:w="108" w:type="dxa"/>
              <w:bottom w:w="0" w:type="dxa"/>
              <w:right w:w="108" w:type="dxa"/>
            </w:tcMar>
          </w:tcPr>
          <w:p w:rsidR="004226D7" w:rsidRDefault="004226D7" w:rsidP="00E16D63">
            <w:pPr>
              <w:bidi/>
              <w:spacing w:before="60" w:after="60" w:line="280" w:lineRule="exact"/>
              <w:rPr>
                <w:rFonts w:ascii="Arabic Typesetting" w:hAnsi="Arabic Typesetting" w:cs="Arabic Typesetting"/>
                <w:sz w:val="28"/>
                <w:szCs w:val="28"/>
                <w:rtl/>
                <w:lang w:bidi="ar-TN"/>
              </w:rPr>
            </w:pPr>
            <w:r>
              <w:rPr>
                <w:rFonts w:ascii="Arabic Typesetting" w:hAnsi="Arabic Typesetting" w:cs="Arabic Typesetting"/>
                <w:sz w:val="28"/>
                <w:szCs w:val="28"/>
                <w:rtl/>
                <w:lang w:bidi="ar-TN"/>
              </w:rPr>
              <w:t>193 مساهمة في نهاية 2015 (-22% مقارنة بالعدد المسجل في نهاية 2013 وهو 247)</w:t>
            </w:r>
          </w:p>
          <w:p w:rsidR="004226D7" w:rsidRDefault="004226D7" w:rsidP="004226D7">
            <w:pPr>
              <w:bidi/>
              <w:spacing w:before="60" w:after="60" w:line="280" w:lineRule="exact"/>
              <w:rPr>
                <w:rFonts w:ascii="Arabic Typesetting" w:hAnsi="Arabic Typesetting" w:cs="Arabic Typesetting"/>
                <w:sz w:val="28"/>
                <w:szCs w:val="28"/>
                <w:lang w:bidi="ar-TN"/>
              </w:rPr>
            </w:pPr>
            <w:r>
              <w:rPr>
                <w:rFonts w:ascii="Arabic Typesetting" w:hAnsi="Arabic Typesetting" w:cs="Arabic Typesetting"/>
                <w:sz w:val="28"/>
                <w:szCs w:val="28"/>
                <w:rtl/>
                <w:lang w:bidi="ar-TN"/>
              </w:rPr>
              <w:t>ويعزى انخفاض عدد المدخلات المدونة إلى انسحاب عضوين</w:t>
            </w:r>
          </w:p>
        </w:tc>
        <w:tc>
          <w:tcPr>
            <w:tcW w:w="380" w:type="pct"/>
            <w:tcBorders>
              <w:top w:val="single" w:sz="4" w:space="0" w:color="auto"/>
              <w:left w:val="nil"/>
              <w:bottom w:val="nil"/>
              <w:right w:val="single" w:sz="4" w:space="0" w:color="auto"/>
            </w:tcBorders>
            <w:tcMar>
              <w:top w:w="110" w:type="dxa"/>
              <w:left w:w="108" w:type="dxa"/>
              <w:bottom w:w="0" w:type="dxa"/>
              <w:right w:w="108" w:type="dxa"/>
            </w:tcMar>
            <w:hideMark/>
          </w:tcPr>
          <w:p w:rsidR="004226D7" w:rsidRDefault="004226D7" w:rsidP="00E16D63">
            <w:pPr>
              <w:keepNext/>
              <w:bidi/>
              <w:spacing w:before="60" w:after="60" w:line="280" w:lineRule="exact"/>
              <w:jc w:val="center"/>
              <w:rPr>
                <w:rFonts w:ascii="Arabic Typesetting" w:hAnsi="Arabic Typesetting" w:cs="Arabic Typesetting"/>
                <w:bCs/>
                <w:color w:val="FF0000"/>
                <w:sz w:val="28"/>
                <w:szCs w:val="28"/>
                <w:lang w:bidi="ar-EG"/>
              </w:rPr>
            </w:pPr>
            <w:r>
              <w:rPr>
                <w:rFonts w:ascii="Arabic Typesetting" w:hAnsi="Arabic Typesetting" w:cs="Arabic Typesetting"/>
                <w:bCs/>
                <w:color w:val="FF0000"/>
                <w:sz w:val="28"/>
                <w:szCs w:val="28"/>
                <w:rtl/>
                <w:lang w:bidi="ar-EG"/>
              </w:rPr>
              <w:t>غير محقق</w:t>
            </w:r>
          </w:p>
        </w:tc>
      </w:tr>
      <w:tr w:rsidR="004226D7" w:rsidTr="004226D7">
        <w:trPr>
          <w:cantSplit/>
        </w:trPr>
        <w:tc>
          <w:tcPr>
            <w:tcW w:w="1060" w:type="pct"/>
            <w:tcBorders>
              <w:top w:val="nil"/>
              <w:left w:val="single" w:sz="4" w:space="0" w:color="auto"/>
              <w:bottom w:val="nil"/>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تزايد عدد الاتفاقات ضمن قاعدة بيانات </w:t>
            </w:r>
            <w:r>
              <w:rPr>
                <w:rFonts w:ascii="Arabic Typesetting" w:hAnsi="Arabic Typesetting" w:cs="Arabic Typesetting"/>
                <w:sz w:val="28"/>
                <w:szCs w:val="28"/>
                <w:lang w:bidi="ar-EG"/>
              </w:rPr>
              <w:t>WIPO </w:t>
            </w:r>
            <w:proofErr w:type="spellStart"/>
            <w:r>
              <w:rPr>
                <w:rFonts w:ascii="Arabic Typesetting" w:hAnsi="Arabic Typesetting" w:cs="Arabic Typesetting"/>
                <w:sz w:val="28"/>
                <w:szCs w:val="28"/>
                <w:lang w:bidi="ar-EG"/>
              </w:rPr>
              <w:t>Re:Search</w:t>
            </w:r>
            <w:proofErr w:type="spellEnd"/>
            <w:r>
              <w:rPr>
                <w:rFonts w:ascii="Arabic Typesetting" w:hAnsi="Arabic Typesetting" w:cs="Arabic Typesetting"/>
                <w:sz w:val="28"/>
                <w:szCs w:val="28"/>
                <w:rtl/>
                <w:lang w:bidi="ar-EG"/>
              </w:rPr>
              <w:t xml:space="preserve"> بما يؤدي إلى القيام بأنشطة بحث وتطوير جديدة أو تسريع الأنشطة القائمة منها في مجال أمراض المناطق المدارية المهملة والملاريا والسل</w:t>
            </w:r>
          </w:p>
        </w:tc>
        <w:tc>
          <w:tcPr>
            <w:tcW w:w="1212" w:type="pct"/>
            <w:tcBorders>
              <w:top w:val="nil"/>
              <w:left w:val="nil"/>
              <w:bottom w:val="nil"/>
              <w:right w:val="nil"/>
            </w:tcBorders>
            <w:hideMark/>
          </w:tcPr>
          <w:p w:rsidR="004226D7" w:rsidRDefault="004226D7" w:rsidP="00E16D63">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44</w:t>
            </w:r>
          </w:p>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16</w:t>
            </w:r>
          </w:p>
        </w:tc>
        <w:tc>
          <w:tcPr>
            <w:tcW w:w="909" w:type="pct"/>
            <w:tcBorders>
              <w:top w:val="nil"/>
              <w:left w:val="nil"/>
              <w:bottom w:val="nil"/>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val="fr-FR" w:bidi="ar-EG"/>
              </w:rPr>
            </w:pPr>
            <w:r>
              <w:rPr>
                <w:rFonts w:ascii="Arabic Typesetting" w:hAnsi="Arabic Typesetting" w:cs="Arabic Typesetting"/>
                <w:sz w:val="28"/>
                <w:szCs w:val="28"/>
                <w:rtl/>
                <w:lang w:val="fr-FR" w:bidi="ar-EG"/>
              </w:rPr>
              <w:t>20</w:t>
            </w:r>
          </w:p>
        </w:tc>
        <w:tc>
          <w:tcPr>
            <w:tcW w:w="1439" w:type="pct"/>
            <w:tcBorders>
              <w:top w:val="nil"/>
              <w:left w:val="nil"/>
              <w:bottom w:val="nil"/>
              <w:right w:val="nil"/>
            </w:tcBorders>
            <w:shd w:val="clear" w:color="auto" w:fill="FFFFFF"/>
            <w:tcMar>
              <w:top w:w="110" w:type="dxa"/>
              <w:left w:w="108" w:type="dxa"/>
              <w:bottom w:w="0" w:type="dxa"/>
              <w:right w:w="108" w:type="dxa"/>
            </w:tcMar>
            <w:hideMark/>
          </w:tcPr>
          <w:p w:rsidR="004226D7" w:rsidRDefault="004226D7" w:rsidP="004226D7">
            <w:pPr>
              <w:bidi/>
              <w:spacing w:before="60" w:after="60" w:line="280" w:lineRule="exact"/>
              <w:rPr>
                <w:rFonts w:ascii="Arabic Typesetting" w:hAnsi="Arabic Typesetting" w:cs="Arabic Typesetting"/>
                <w:sz w:val="28"/>
                <w:szCs w:val="28"/>
                <w:lang w:bidi="ar-TN"/>
              </w:rPr>
            </w:pPr>
            <w:r>
              <w:rPr>
                <w:rFonts w:ascii="Arabic Typesetting" w:hAnsi="Arabic Typesetting" w:cs="Arabic Typesetting"/>
                <w:sz w:val="28"/>
                <w:szCs w:val="28"/>
                <w:rtl/>
                <w:lang w:bidi="ar-TN"/>
              </w:rPr>
              <w:t>52 اتفاقا تعاونيا جديدا في 2014 (96</w:t>
            </w:r>
            <w:r>
              <w:rPr>
                <w:rFonts w:ascii="Arabic Typesetting" w:hAnsi="Arabic Typesetting" w:cs="Arabic Typesetting" w:hint="cs"/>
                <w:sz w:val="28"/>
                <w:szCs w:val="28"/>
                <w:rtl/>
                <w:lang w:bidi="ar-TN"/>
              </w:rPr>
              <w:t> </w:t>
            </w:r>
            <w:r>
              <w:rPr>
                <w:rFonts w:ascii="Arabic Typesetting" w:hAnsi="Arabic Typesetting" w:cs="Arabic Typesetting"/>
                <w:sz w:val="28"/>
                <w:szCs w:val="28"/>
                <w:rtl/>
                <w:lang w:bidi="ar-TN"/>
              </w:rPr>
              <w:t>اتفاقا إجمالا)</w:t>
            </w:r>
          </w:p>
        </w:tc>
        <w:tc>
          <w:tcPr>
            <w:tcW w:w="380" w:type="pct"/>
            <w:tcBorders>
              <w:top w:val="nil"/>
              <w:left w:val="nil"/>
              <w:bottom w:val="nil"/>
              <w:right w:val="single" w:sz="4" w:space="0" w:color="auto"/>
            </w:tcBorders>
            <w:tcMar>
              <w:top w:w="110" w:type="dxa"/>
              <w:left w:w="108" w:type="dxa"/>
              <w:bottom w:w="0" w:type="dxa"/>
              <w:right w:w="108" w:type="dxa"/>
            </w:tcMar>
            <w:hideMark/>
          </w:tcPr>
          <w:p w:rsidR="004226D7" w:rsidRDefault="004226D7" w:rsidP="00E16D63">
            <w:pPr>
              <w:keepNext/>
              <w:bidi/>
              <w:spacing w:before="60" w:after="60" w:line="280" w:lineRule="exact"/>
              <w:jc w:val="center"/>
              <w:rPr>
                <w:rFonts w:ascii="Arabic Typesetting" w:hAnsi="Arabic Typesetting" w:cs="Arabic Typesetting"/>
                <w:bCs/>
                <w:color w:val="00B050"/>
                <w:sz w:val="28"/>
                <w:szCs w:val="28"/>
              </w:rPr>
            </w:pPr>
            <w:r>
              <w:rPr>
                <w:rFonts w:ascii="Arabic Typesetting" w:hAnsi="Arabic Typesetting" w:cs="Arabic Typesetting"/>
                <w:bCs/>
                <w:color w:val="00B050"/>
                <w:sz w:val="28"/>
                <w:szCs w:val="28"/>
                <w:rtl/>
              </w:rPr>
              <w:t>محقق كلياً</w:t>
            </w:r>
          </w:p>
        </w:tc>
      </w:tr>
      <w:tr w:rsidR="004226D7" w:rsidTr="001B6640">
        <w:trPr>
          <w:cantSplit/>
        </w:trPr>
        <w:tc>
          <w:tcPr>
            <w:tcW w:w="1060" w:type="pct"/>
            <w:tcBorders>
              <w:top w:val="nil"/>
              <w:left w:val="single" w:sz="4" w:space="0" w:color="auto"/>
              <w:bottom w:val="nil"/>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عدد الأعضاء المشتركين في قاعدة بيانات </w:t>
            </w:r>
            <w:r>
              <w:rPr>
                <w:rFonts w:ascii="Arabic Typesetting" w:hAnsi="Arabic Typesetting" w:cs="Arabic Typesetting"/>
                <w:sz w:val="28"/>
                <w:szCs w:val="28"/>
                <w:lang w:bidi="ar-EG"/>
              </w:rPr>
              <w:t>WIPO GREEN</w:t>
            </w:r>
          </w:p>
        </w:tc>
        <w:tc>
          <w:tcPr>
            <w:tcW w:w="1212" w:type="pct"/>
            <w:tcBorders>
              <w:top w:val="nil"/>
              <w:left w:val="nil"/>
              <w:bottom w:val="nil"/>
              <w:right w:val="nil"/>
            </w:tcBorders>
            <w:hideMark/>
          </w:tcPr>
          <w:p w:rsidR="004226D7" w:rsidRDefault="004226D7" w:rsidP="00E16D63">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36 شريكا و160 مستخدما و830 عملية تحميل</w:t>
            </w:r>
            <w:r w:rsidRPr="00F96634">
              <w:rPr>
                <w:rFonts w:ascii="Arabic Typesetting" w:hAnsi="Arabic Typesetting" w:cs="Arabic Typesetting"/>
                <w:color w:val="002060"/>
                <w:sz w:val="28"/>
                <w:szCs w:val="28"/>
                <w:vertAlign w:val="superscript"/>
                <w:rtl/>
              </w:rPr>
              <w:footnoteReference w:id="103"/>
            </w:r>
          </w:p>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شريك، و48 عملية تحميل</w:t>
            </w:r>
          </w:p>
        </w:tc>
        <w:tc>
          <w:tcPr>
            <w:tcW w:w="909" w:type="pct"/>
            <w:tcBorders>
              <w:top w:val="nil"/>
              <w:left w:val="nil"/>
              <w:bottom w:val="nil"/>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val="fr-FR" w:bidi="ar-TN"/>
              </w:rPr>
            </w:pPr>
            <w:r>
              <w:rPr>
                <w:rFonts w:ascii="Arabic Typesetting" w:hAnsi="Arabic Typesetting" w:cs="Arabic Typesetting"/>
                <w:sz w:val="28"/>
                <w:szCs w:val="28"/>
                <w:rtl/>
                <w:lang w:val="fr-FR" w:bidi="ar-TN"/>
              </w:rPr>
              <w:t>10 شركاء جدد، و160 مستخدما، و400 عملية تحميل</w:t>
            </w:r>
          </w:p>
        </w:tc>
        <w:tc>
          <w:tcPr>
            <w:tcW w:w="1439" w:type="pct"/>
            <w:tcBorders>
              <w:top w:val="nil"/>
              <w:left w:val="nil"/>
              <w:bottom w:val="nil"/>
              <w:right w:val="nil"/>
            </w:tcBorders>
            <w:shd w:val="clear" w:color="auto" w:fill="FFFFFF"/>
            <w:tcMar>
              <w:top w:w="110" w:type="dxa"/>
              <w:left w:w="108" w:type="dxa"/>
              <w:bottom w:w="0" w:type="dxa"/>
              <w:right w:w="108" w:type="dxa"/>
            </w:tcMar>
            <w:hideMark/>
          </w:tcPr>
          <w:p w:rsidR="004226D7" w:rsidRDefault="004226D7" w:rsidP="004226D7">
            <w:pPr>
              <w:bidi/>
              <w:spacing w:before="60" w:after="60" w:line="280" w:lineRule="exact"/>
              <w:ind w:left="284" w:hanging="284"/>
              <w:rPr>
                <w:rFonts w:ascii="Arabic Typesetting" w:hAnsi="Arabic Typesetting" w:cs="Arabic Typesetting"/>
                <w:sz w:val="28"/>
                <w:szCs w:val="28"/>
                <w:rtl/>
                <w:lang w:bidi="ar-TN"/>
              </w:rPr>
            </w:pPr>
            <w:r>
              <w:rPr>
                <w:rFonts w:ascii="Arabic Typesetting" w:hAnsi="Arabic Typesetting" w:cs="Arabic Typesetting"/>
                <w:sz w:val="28"/>
                <w:szCs w:val="28"/>
                <w:rtl/>
                <w:lang w:bidi="ar-TN"/>
              </w:rPr>
              <w:t>-</w:t>
            </w:r>
            <w:r>
              <w:rPr>
                <w:rFonts w:ascii="Arabic Typesetting" w:hAnsi="Arabic Typesetting" w:cs="Arabic Typesetting"/>
                <w:sz w:val="28"/>
                <w:szCs w:val="28"/>
                <w:rtl/>
                <w:lang w:bidi="ar-TN"/>
              </w:rPr>
              <w:tab/>
              <w:t>29 شريكا جديدا (65 إجمالا)</w:t>
            </w:r>
          </w:p>
          <w:p w:rsidR="004226D7" w:rsidRDefault="004226D7" w:rsidP="004226D7">
            <w:pPr>
              <w:bidi/>
              <w:spacing w:before="60" w:after="60" w:line="280" w:lineRule="exact"/>
              <w:ind w:left="284" w:hanging="284"/>
              <w:rPr>
                <w:rFonts w:ascii="Arabic Typesetting" w:hAnsi="Arabic Typesetting" w:cs="Arabic Typesetting"/>
                <w:sz w:val="28"/>
                <w:szCs w:val="28"/>
                <w:rtl/>
                <w:lang w:bidi="ar-TN"/>
              </w:rPr>
            </w:pPr>
            <w:r>
              <w:rPr>
                <w:rFonts w:ascii="Arabic Typesetting" w:hAnsi="Arabic Typesetting" w:cs="Arabic Typesetting"/>
                <w:sz w:val="28"/>
                <w:szCs w:val="28"/>
                <w:rtl/>
                <w:lang w:bidi="ar-TN"/>
              </w:rPr>
              <w:t>-</w:t>
            </w:r>
            <w:r>
              <w:rPr>
                <w:rFonts w:ascii="Arabic Typesetting" w:hAnsi="Arabic Typesetting" w:cs="Arabic Typesetting"/>
                <w:sz w:val="28"/>
                <w:szCs w:val="28"/>
                <w:rtl/>
                <w:lang w:bidi="ar-TN"/>
              </w:rPr>
              <w:tab/>
              <w:t>330 مستخدما جديدا (490</w:t>
            </w:r>
            <w:r>
              <w:rPr>
                <w:rFonts w:ascii="Arabic Typesetting" w:hAnsi="Arabic Typesetting" w:cs="Arabic Typesetting" w:hint="cs"/>
                <w:sz w:val="28"/>
                <w:szCs w:val="28"/>
                <w:rtl/>
                <w:lang w:bidi="ar-TN"/>
              </w:rPr>
              <w:t> </w:t>
            </w:r>
            <w:r>
              <w:rPr>
                <w:rFonts w:ascii="Arabic Typesetting" w:hAnsi="Arabic Typesetting" w:cs="Arabic Typesetting"/>
                <w:sz w:val="28"/>
                <w:szCs w:val="28"/>
                <w:rtl/>
                <w:lang w:bidi="ar-TN"/>
              </w:rPr>
              <w:t>إجمالا)</w:t>
            </w:r>
          </w:p>
          <w:p w:rsidR="004226D7" w:rsidRDefault="004226D7" w:rsidP="004226D7">
            <w:pPr>
              <w:bidi/>
              <w:spacing w:before="60" w:after="60" w:line="280" w:lineRule="exact"/>
              <w:ind w:left="284" w:hanging="284"/>
              <w:rPr>
                <w:rFonts w:ascii="Arabic Typesetting" w:hAnsi="Arabic Typesetting" w:cs="Arabic Typesetting"/>
                <w:sz w:val="28"/>
                <w:szCs w:val="28"/>
                <w:lang w:bidi="ar-TN"/>
              </w:rPr>
            </w:pPr>
            <w:r>
              <w:rPr>
                <w:rFonts w:ascii="Arabic Typesetting" w:hAnsi="Arabic Typesetting" w:cs="Arabic Typesetting"/>
                <w:sz w:val="28"/>
                <w:szCs w:val="28"/>
                <w:rtl/>
                <w:lang w:bidi="ar-TN"/>
              </w:rPr>
              <w:t>-</w:t>
            </w:r>
            <w:r>
              <w:rPr>
                <w:rFonts w:ascii="Arabic Typesetting" w:hAnsi="Arabic Typesetting" w:cs="Arabic Typesetting"/>
                <w:sz w:val="28"/>
                <w:szCs w:val="28"/>
                <w:rtl/>
                <w:lang w:bidi="ar-TN"/>
              </w:rPr>
              <w:tab/>
              <w:t>351 1 عملية تحميل جديدة (181 2 إجمالا)</w:t>
            </w:r>
            <w:r w:rsidRPr="00F96634">
              <w:rPr>
                <w:rFonts w:ascii="Arabic Typesetting" w:hAnsi="Arabic Typesetting" w:cs="Arabic Typesetting"/>
                <w:sz w:val="28"/>
                <w:szCs w:val="28"/>
                <w:vertAlign w:val="superscript"/>
                <w:rtl/>
                <w:lang w:bidi="ar-TN"/>
              </w:rPr>
              <w:footnoteReference w:id="104"/>
            </w:r>
          </w:p>
        </w:tc>
        <w:tc>
          <w:tcPr>
            <w:tcW w:w="380" w:type="pct"/>
            <w:tcBorders>
              <w:top w:val="nil"/>
              <w:left w:val="nil"/>
              <w:bottom w:val="nil"/>
              <w:right w:val="single" w:sz="4" w:space="0" w:color="auto"/>
            </w:tcBorders>
            <w:tcMar>
              <w:top w:w="110" w:type="dxa"/>
              <w:left w:w="108" w:type="dxa"/>
              <w:bottom w:w="0" w:type="dxa"/>
              <w:right w:w="108" w:type="dxa"/>
            </w:tcMar>
            <w:hideMark/>
          </w:tcPr>
          <w:p w:rsidR="004226D7" w:rsidRDefault="004226D7" w:rsidP="00E16D63">
            <w:pPr>
              <w:keepNext/>
              <w:bidi/>
              <w:spacing w:before="60" w:after="60" w:line="280" w:lineRule="exact"/>
              <w:jc w:val="center"/>
              <w:rPr>
                <w:rFonts w:ascii="Arabic Typesetting" w:hAnsi="Arabic Typesetting" w:cs="Arabic Typesetting"/>
                <w:bCs/>
                <w:color w:val="00B050"/>
                <w:sz w:val="28"/>
                <w:szCs w:val="28"/>
                <w:rtl/>
              </w:rPr>
            </w:pPr>
            <w:r>
              <w:rPr>
                <w:rFonts w:ascii="Arabic Typesetting" w:hAnsi="Arabic Typesetting" w:cs="Arabic Typesetting"/>
                <w:bCs/>
                <w:color w:val="00B050"/>
                <w:sz w:val="28"/>
                <w:szCs w:val="28"/>
                <w:rtl/>
              </w:rPr>
              <w:t>محقق كليا</w:t>
            </w:r>
            <w:r w:rsidR="007F1507">
              <w:rPr>
                <w:rFonts w:ascii="Arabic Typesetting" w:hAnsi="Arabic Typesetting" w:cs="Arabic Typesetting" w:hint="cs"/>
                <w:bCs/>
                <w:color w:val="00B050"/>
                <w:sz w:val="28"/>
                <w:szCs w:val="28"/>
                <w:rtl/>
              </w:rPr>
              <w:t>ً</w:t>
            </w:r>
          </w:p>
          <w:p w:rsidR="004226D7" w:rsidRDefault="004226D7" w:rsidP="00E16D63">
            <w:pPr>
              <w:keepNext/>
              <w:bidi/>
              <w:spacing w:before="60" w:after="60" w:line="280" w:lineRule="exact"/>
              <w:jc w:val="center"/>
              <w:rPr>
                <w:rFonts w:ascii="Arabic Typesetting" w:hAnsi="Arabic Typesetting" w:cs="Arabic Typesetting"/>
                <w:bCs/>
                <w:color w:val="00B050"/>
                <w:sz w:val="28"/>
                <w:szCs w:val="28"/>
                <w:rtl/>
              </w:rPr>
            </w:pPr>
            <w:r>
              <w:rPr>
                <w:rFonts w:ascii="Arabic Typesetting" w:hAnsi="Arabic Typesetting" w:cs="Arabic Typesetting"/>
                <w:bCs/>
                <w:color w:val="00B050"/>
                <w:sz w:val="28"/>
                <w:szCs w:val="28"/>
                <w:rtl/>
              </w:rPr>
              <w:t>محقق كليا</w:t>
            </w:r>
            <w:r w:rsidR="007F1507">
              <w:rPr>
                <w:rFonts w:ascii="Arabic Typesetting" w:hAnsi="Arabic Typesetting" w:cs="Arabic Typesetting" w:hint="cs"/>
                <w:bCs/>
                <w:color w:val="00B050"/>
                <w:sz w:val="28"/>
                <w:szCs w:val="28"/>
                <w:rtl/>
              </w:rPr>
              <w:t>ً</w:t>
            </w:r>
          </w:p>
          <w:p w:rsidR="004226D7" w:rsidRDefault="004226D7" w:rsidP="00E16D63">
            <w:pPr>
              <w:keepNext/>
              <w:bidi/>
              <w:spacing w:before="60" w:after="60" w:line="280" w:lineRule="exact"/>
              <w:jc w:val="center"/>
              <w:rPr>
                <w:rFonts w:ascii="Arabic Typesetting" w:hAnsi="Arabic Typesetting" w:cs="Arabic Typesetting"/>
                <w:bCs/>
                <w:color w:val="00B050"/>
                <w:sz w:val="28"/>
                <w:szCs w:val="28"/>
              </w:rPr>
            </w:pPr>
            <w:r>
              <w:rPr>
                <w:rFonts w:ascii="Arabic Typesetting" w:hAnsi="Arabic Typesetting" w:cs="Arabic Typesetting"/>
                <w:bCs/>
                <w:color w:val="00B050"/>
                <w:sz w:val="28"/>
                <w:szCs w:val="28"/>
                <w:rtl/>
              </w:rPr>
              <w:t>محقق كليا</w:t>
            </w:r>
            <w:r w:rsidR="007F1507">
              <w:rPr>
                <w:rFonts w:ascii="Arabic Typesetting" w:hAnsi="Arabic Typesetting" w:cs="Arabic Typesetting" w:hint="cs"/>
                <w:bCs/>
                <w:color w:val="00B050"/>
                <w:sz w:val="28"/>
                <w:szCs w:val="28"/>
                <w:rtl/>
              </w:rPr>
              <w:t>ً</w:t>
            </w:r>
          </w:p>
        </w:tc>
      </w:tr>
      <w:tr w:rsidR="004226D7" w:rsidTr="001B6640">
        <w:trPr>
          <w:cantSplit/>
        </w:trPr>
        <w:tc>
          <w:tcPr>
            <w:tcW w:w="1060" w:type="pct"/>
            <w:tcBorders>
              <w:top w:val="nil"/>
              <w:left w:val="single" w:sz="4" w:space="0" w:color="auto"/>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عدد الروابط التي أحدثت في قاعدة بيانات </w:t>
            </w:r>
            <w:r>
              <w:rPr>
                <w:rFonts w:ascii="Arabic Typesetting" w:hAnsi="Arabic Typesetting" w:cs="Arabic Typesetting"/>
                <w:sz w:val="28"/>
                <w:szCs w:val="28"/>
                <w:lang w:bidi="ar-EG"/>
              </w:rPr>
              <w:t>WIPO GREEN</w:t>
            </w:r>
            <w:r>
              <w:rPr>
                <w:rFonts w:ascii="Arabic Typesetting" w:hAnsi="Arabic Typesetting" w:cs="Arabic Typesetting"/>
                <w:sz w:val="28"/>
                <w:szCs w:val="28"/>
                <w:rtl/>
                <w:lang w:bidi="ar-EG"/>
              </w:rPr>
              <w:t xml:space="preserve"> والمتعلقة بالآليات الوجيهة، من سبيل اتفاقية الأمم المتحدة الإطارية بشأن تغير المناخ (</w:t>
            </w:r>
            <w:r>
              <w:rPr>
                <w:rFonts w:ascii="Arabic Typesetting" w:hAnsi="Arabic Typesetting" w:cs="Arabic Typesetting"/>
                <w:sz w:val="28"/>
                <w:szCs w:val="28"/>
                <w:lang w:bidi="ar-EG"/>
              </w:rPr>
              <w:t>UNFCCC</w:t>
            </w:r>
            <w:r>
              <w:rPr>
                <w:rFonts w:ascii="Arabic Typesetting" w:hAnsi="Arabic Typesetting" w:cs="Arabic Typesetting"/>
                <w:sz w:val="28"/>
                <w:szCs w:val="28"/>
                <w:rtl/>
                <w:lang w:bidi="ar-EG"/>
              </w:rPr>
              <w:t>) ومراكز الابتكار في مجال المناخ (</w:t>
            </w:r>
            <w:proofErr w:type="spellStart"/>
            <w:r>
              <w:rPr>
                <w:rFonts w:ascii="Arabic Typesetting" w:hAnsi="Arabic Typesetting" w:cs="Arabic Typesetting"/>
                <w:sz w:val="28"/>
                <w:szCs w:val="28"/>
                <w:lang w:bidi="ar-EG"/>
              </w:rPr>
              <w:t>infoDev</w:t>
            </w:r>
            <w:proofErr w:type="spellEnd"/>
            <w:r>
              <w:rPr>
                <w:rFonts w:ascii="Arabic Typesetting" w:hAnsi="Arabic Typesetting" w:cs="Arabic Typesetting"/>
                <w:sz w:val="28"/>
                <w:szCs w:val="28"/>
                <w:rtl/>
                <w:lang w:bidi="ar-EG"/>
              </w:rPr>
              <w:t>)</w:t>
            </w:r>
          </w:p>
        </w:tc>
        <w:tc>
          <w:tcPr>
            <w:tcW w:w="1212" w:type="pct"/>
            <w:tcBorders>
              <w:top w:val="nil"/>
              <w:left w:val="nil"/>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1 (شبكة شرق أفريقيا للابتكار في مجال المناخ)</w:t>
            </w:r>
          </w:p>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0 (صفر)</w:t>
            </w:r>
          </w:p>
        </w:tc>
        <w:tc>
          <w:tcPr>
            <w:tcW w:w="909" w:type="pct"/>
            <w:tcBorders>
              <w:top w:val="nil"/>
              <w:left w:val="nil"/>
              <w:bottom w:val="single" w:sz="4" w:space="0" w:color="auto"/>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val="fr-FR" w:bidi="ar-TN"/>
              </w:rPr>
            </w:pPr>
            <w:r>
              <w:rPr>
                <w:rFonts w:ascii="Arabic Typesetting" w:hAnsi="Arabic Typesetting" w:cs="Arabic Typesetting"/>
                <w:sz w:val="28"/>
                <w:szCs w:val="28"/>
                <w:rtl/>
                <w:lang w:val="fr-FR" w:bidi="ar-TN"/>
              </w:rPr>
              <w:t>3</w:t>
            </w:r>
          </w:p>
        </w:tc>
        <w:tc>
          <w:tcPr>
            <w:tcW w:w="1439" w:type="pct"/>
            <w:tcBorders>
              <w:top w:val="nil"/>
              <w:left w:val="nil"/>
              <w:bottom w:val="single" w:sz="4" w:space="0" w:color="auto"/>
              <w:right w:val="nil"/>
            </w:tcBorders>
            <w:shd w:val="clear" w:color="auto" w:fill="FFFFFF"/>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rtl/>
                <w:lang w:bidi="ar-TN"/>
              </w:rPr>
            </w:pPr>
            <w:r>
              <w:rPr>
                <w:rFonts w:ascii="Arabic Typesetting" w:hAnsi="Arabic Typesetting" w:cs="Arabic Typesetting"/>
                <w:sz w:val="28"/>
                <w:szCs w:val="28"/>
                <w:rtl/>
                <w:lang w:bidi="ar-TN"/>
              </w:rPr>
              <w:t>6 روابط إضافية في 2014/15:</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rtl/>
                <w:lang w:bidi="ar-TN"/>
              </w:rPr>
            </w:pPr>
            <w:r>
              <w:rPr>
                <w:rFonts w:ascii="Arabic Typesetting" w:hAnsi="Arabic Typesetting" w:cs="Arabic Typesetting"/>
                <w:sz w:val="28"/>
                <w:szCs w:val="28"/>
                <w:rtl/>
                <w:lang w:bidi="ar-TN"/>
              </w:rPr>
              <w:t>مركز وشبكة التكنولوجيا المناخية (</w:t>
            </w:r>
            <w:r>
              <w:rPr>
                <w:rFonts w:ascii="Arabic Typesetting" w:hAnsi="Arabic Typesetting" w:cs="Arabic Typesetting"/>
                <w:sz w:val="28"/>
                <w:szCs w:val="28"/>
                <w:lang w:bidi="ar-TN"/>
              </w:rPr>
              <w:t>CTCN</w:t>
            </w:r>
            <w:r>
              <w:rPr>
                <w:rFonts w:ascii="Arabic Typesetting" w:hAnsi="Arabic Typesetting" w:cs="Arabic Typesetting"/>
                <w:sz w:val="28"/>
                <w:szCs w:val="28"/>
                <w:rtl/>
                <w:lang w:bidi="ar-TN"/>
              </w:rPr>
              <w:t>)</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lang w:bidi="ar-TN"/>
              </w:rPr>
            </w:pPr>
            <w:r>
              <w:rPr>
                <w:rFonts w:ascii="Arabic Typesetting" w:hAnsi="Arabic Typesetting" w:cs="Arabic Typesetting"/>
                <w:sz w:val="28"/>
                <w:szCs w:val="28"/>
                <w:rtl/>
              </w:rPr>
              <w:t>ومراكز الابتكار في مجال المناخ (</w:t>
            </w:r>
            <w:proofErr w:type="spellStart"/>
            <w:r>
              <w:rPr>
                <w:rFonts w:ascii="Arabic Typesetting" w:hAnsi="Arabic Typesetting" w:cs="Arabic Typesetting"/>
                <w:sz w:val="28"/>
                <w:szCs w:val="28"/>
                <w:lang w:bidi="ar-TN"/>
              </w:rPr>
              <w:t>infoDev</w:t>
            </w:r>
            <w:proofErr w:type="spellEnd"/>
            <w:r>
              <w:rPr>
                <w:rFonts w:ascii="Arabic Typesetting" w:hAnsi="Arabic Typesetting" w:cs="Arabic Typesetting"/>
                <w:sz w:val="28"/>
                <w:szCs w:val="28"/>
                <w:rtl/>
              </w:rPr>
              <w:t>)</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rPr>
            </w:pPr>
            <w:r>
              <w:rPr>
                <w:rFonts w:ascii="Arabic Typesetting" w:hAnsi="Arabic Typesetting" w:cs="Arabic Typesetting"/>
                <w:sz w:val="28"/>
                <w:szCs w:val="28"/>
                <w:rtl/>
              </w:rPr>
              <w:t>ومشاعات البراءات المفيدة للبيئة (</w:t>
            </w:r>
            <w:r>
              <w:rPr>
                <w:rFonts w:ascii="Arabic Typesetting" w:hAnsi="Arabic Typesetting" w:cs="Arabic Typesetting"/>
                <w:sz w:val="28"/>
                <w:szCs w:val="28"/>
                <w:cs/>
              </w:rPr>
              <w:t>‎</w:t>
            </w:r>
            <w:r>
              <w:rPr>
                <w:rFonts w:ascii="Arabic Typesetting" w:hAnsi="Arabic Typesetting" w:cs="Arabic Typesetting"/>
                <w:sz w:val="28"/>
                <w:szCs w:val="28"/>
              </w:rPr>
              <w:t>Eco-patent commons</w:t>
            </w:r>
            <w:r>
              <w:rPr>
                <w:rFonts w:ascii="Arabic Typesetting" w:hAnsi="Arabic Typesetting" w:cs="Arabic Typesetting"/>
                <w:sz w:val="28"/>
                <w:szCs w:val="28"/>
                <w:rtl/>
              </w:rPr>
              <w:t xml:space="preserve">‏) </w:t>
            </w:r>
            <w:r>
              <w:rPr>
                <w:rFonts w:ascii="Arabic Typesetting" w:hAnsi="Arabic Typesetting" w:cs="Arabic Typesetting"/>
                <w:sz w:val="28"/>
                <w:szCs w:val="28"/>
                <w:cs/>
              </w:rPr>
              <w:t>‎</w:t>
            </w:r>
            <w:r>
              <w:rPr>
                <w:rFonts w:ascii="Arabic Typesetting" w:hAnsi="Arabic Typesetting" w:cs="Arabic Typesetting"/>
                <w:sz w:val="28"/>
                <w:szCs w:val="28"/>
                <w:rtl/>
              </w:rPr>
              <w:t>‏</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rPr>
            </w:pPr>
            <w:r>
              <w:rPr>
                <w:rFonts w:ascii="Arabic Typesetting" w:hAnsi="Arabic Typesetting" w:cs="Arabic Typesetting"/>
                <w:sz w:val="28"/>
                <w:szCs w:val="28"/>
                <w:rtl/>
              </w:rPr>
              <w:t>ومركز كينيا للابتكار في مجال المناخ (</w:t>
            </w:r>
            <w:r>
              <w:rPr>
                <w:rFonts w:ascii="Arabic Typesetting" w:hAnsi="Arabic Typesetting" w:cs="Arabic Typesetting"/>
                <w:sz w:val="28"/>
                <w:szCs w:val="28"/>
              </w:rPr>
              <w:t>KCIC</w:t>
            </w:r>
            <w:r>
              <w:rPr>
                <w:rFonts w:ascii="Arabic Typesetting" w:hAnsi="Arabic Typesetting" w:cs="Arabic Typesetting"/>
                <w:sz w:val="28"/>
                <w:szCs w:val="28"/>
                <w:rtl/>
              </w:rPr>
              <w:t>)</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rPr>
            </w:pPr>
            <w:r>
              <w:rPr>
                <w:rFonts w:ascii="Arabic Typesetting" w:hAnsi="Arabic Typesetting" w:cs="Arabic Typesetting"/>
                <w:sz w:val="28"/>
                <w:szCs w:val="28"/>
                <w:rtl/>
              </w:rPr>
              <w:t xml:space="preserve">ومركز </w:t>
            </w:r>
            <w:r>
              <w:rPr>
                <w:rFonts w:ascii="Arabic Typesetting" w:hAnsi="Arabic Typesetting" w:cs="Arabic Typesetting"/>
                <w:sz w:val="28"/>
                <w:szCs w:val="28"/>
              </w:rPr>
              <w:t>Climate-KIC</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lang w:bidi="ar-TN"/>
              </w:rPr>
            </w:pPr>
            <w:r>
              <w:rPr>
                <w:rFonts w:ascii="Arabic Typesetting" w:hAnsi="Arabic Typesetting" w:cs="Arabic Typesetting" w:hint="cs"/>
                <w:sz w:val="28"/>
                <w:szCs w:val="28"/>
                <w:rtl/>
              </w:rPr>
              <w:t>ومعهد</w:t>
            </w:r>
            <w:r>
              <w:rPr>
                <w:rFonts w:ascii="Arabic Typesetting" w:hAnsi="Arabic Typesetting" w:cs="Arabic Typesetting" w:hint="cs"/>
                <w:sz w:val="28"/>
                <w:szCs w:val="28"/>
                <w:rtl/>
                <w:lang w:bidi="ar-TN"/>
              </w:rPr>
              <w:t xml:space="preserve"> </w:t>
            </w:r>
            <w:proofErr w:type="spellStart"/>
            <w:r>
              <w:rPr>
                <w:rFonts w:ascii="Arabic Typesetting" w:hAnsi="Arabic Typesetting" w:cs="Arabic Typesetting"/>
                <w:sz w:val="28"/>
                <w:szCs w:val="28"/>
                <w:lang w:bidi="ar-TN"/>
              </w:rPr>
              <w:t>Waseda</w:t>
            </w:r>
            <w:proofErr w:type="spellEnd"/>
            <w:r>
              <w:rPr>
                <w:rFonts w:ascii="Arabic Typesetting" w:hAnsi="Arabic Typesetting" w:cs="Arabic Typesetting"/>
                <w:sz w:val="28"/>
                <w:szCs w:val="28"/>
                <w:rtl/>
                <w:lang w:bidi="ar-TN"/>
              </w:rPr>
              <w:t xml:space="preserve"> </w:t>
            </w:r>
            <w:r>
              <w:rPr>
                <w:rFonts w:ascii="Arabic Typesetting" w:hAnsi="Arabic Typesetting" w:cs="Arabic Typesetting" w:hint="cs"/>
                <w:sz w:val="28"/>
                <w:szCs w:val="28"/>
                <w:rtl/>
                <w:lang w:bidi="ar-TN"/>
              </w:rPr>
              <w:t>للبيئة</w:t>
            </w:r>
          </w:p>
          <w:p w:rsidR="004226D7" w:rsidRDefault="004226D7" w:rsidP="00E16D63">
            <w:pPr>
              <w:bidi/>
              <w:spacing w:before="60" w:after="60" w:line="280" w:lineRule="exact"/>
              <w:rPr>
                <w:rFonts w:ascii="Arabic Typesetting" w:hAnsi="Arabic Typesetting" w:cs="Arabic Typesetting"/>
                <w:sz w:val="28"/>
                <w:szCs w:val="28"/>
                <w:lang w:bidi="ar-TN"/>
              </w:rPr>
            </w:pPr>
            <w:r>
              <w:rPr>
                <w:rFonts w:ascii="Arabic Typesetting" w:hAnsi="Arabic Typesetting" w:cs="Arabic Typesetting"/>
                <w:sz w:val="28"/>
                <w:szCs w:val="28"/>
                <w:rtl/>
              </w:rPr>
              <w:t>(7 تراكميا)</w:t>
            </w:r>
          </w:p>
        </w:tc>
        <w:tc>
          <w:tcPr>
            <w:tcW w:w="380" w:type="pct"/>
            <w:tcBorders>
              <w:top w:val="nil"/>
              <w:left w:val="nil"/>
              <w:bottom w:val="single" w:sz="4" w:space="0" w:color="auto"/>
              <w:right w:val="single" w:sz="4" w:space="0" w:color="auto"/>
            </w:tcBorders>
            <w:tcMar>
              <w:top w:w="110" w:type="dxa"/>
              <w:left w:w="108" w:type="dxa"/>
              <w:bottom w:w="0" w:type="dxa"/>
              <w:right w:w="108" w:type="dxa"/>
            </w:tcMar>
            <w:hideMark/>
          </w:tcPr>
          <w:p w:rsidR="004226D7" w:rsidRDefault="004226D7" w:rsidP="00E16D63">
            <w:pPr>
              <w:keepNext/>
              <w:bidi/>
              <w:spacing w:before="60" w:after="60" w:line="280" w:lineRule="exact"/>
              <w:jc w:val="center"/>
              <w:rPr>
                <w:rFonts w:ascii="Arabic Typesetting" w:hAnsi="Arabic Typesetting" w:cs="Arabic Typesetting"/>
                <w:bCs/>
                <w:color w:val="00B050"/>
                <w:sz w:val="28"/>
                <w:szCs w:val="28"/>
              </w:rPr>
            </w:pPr>
            <w:r>
              <w:rPr>
                <w:rFonts w:ascii="Arabic Typesetting" w:hAnsi="Arabic Typesetting" w:cs="Arabic Typesetting"/>
                <w:bCs/>
                <w:color w:val="00B050"/>
                <w:sz w:val="28"/>
                <w:szCs w:val="28"/>
                <w:rtl/>
              </w:rPr>
              <w:t>محقق كليا</w:t>
            </w:r>
            <w:r w:rsidR="007F1507">
              <w:rPr>
                <w:rFonts w:ascii="Arabic Typesetting" w:hAnsi="Arabic Typesetting" w:cs="Arabic Typesetting" w:hint="cs"/>
                <w:bCs/>
                <w:color w:val="00B050"/>
                <w:sz w:val="28"/>
                <w:szCs w:val="28"/>
                <w:rtl/>
              </w:rPr>
              <w:t>ً</w:t>
            </w:r>
          </w:p>
        </w:tc>
      </w:tr>
      <w:tr w:rsidR="004226D7" w:rsidTr="001B6640">
        <w:trPr>
          <w:cantSplit/>
        </w:trPr>
        <w:tc>
          <w:tcPr>
            <w:tcW w:w="1060" w:type="pct"/>
            <w:tcBorders>
              <w:top w:val="single" w:sz="4" w:space="0" w:color="auto"/>
              <w:left w:val="single" w:sz="4" w:space="0" w:color="auto"/>
              <w:bottom w:val="nil"/>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lastRenderedPageBreak/>
              <w:t xml:space="preserve">عدد الاتفاقات التي حفزتها قاعدة بيانات </w:t>
            </w:r>
            <w:r>
              <w:rPr>
                <w:rFonts w:ascii="Arabic Typesetting" w:hAnsi="Arabic Typesetting" w:cs="Arabic Typesetting"/>
                <w:sz w:val="28"/>
                <w:szCs w:val="28"/>
                <w:lang w:bidi="ar-EG"/>
              </w:rPr>
              <w:t>WIPO GREEN</w:t>
            </w:r>
            <w:r>
              <w:rPr>
                <w:rFonts w:ascii="Arabic Typesetting" w:hAnsi="Arabic Typesetting" w:cs="Arabic Typesetting"/>
                <w:sz w:val="28"/>
                <w:szCs w:val="28"/>
                <w:rtl/>
                <w:lang w:bidi="ar-EG"/>
              </w:rPr>
              <w:t xml:space="preserve"> والرامية إلى تيسير نقل المعارف وتطويع التكنولوجيا و/أو نقلها و/أو نشرها</w:t>
            </w:r>
          </w:p>
        </w:tc>
        <w:tc>
          <w:tcPr>
            <w:tcW w:w="1212" w:type="pct"/>
            <w:tcBorders>
              <w:top w:val="single" w:sz="4" w:space="0" w:color="auto"/>
              <w:left w:val="nil"/>
              <w:bottom w:val="nil"/>
              <w:right w:val="nil"/>
            </w:tcBorders>
            <w:hideMark/>
          </w:tcPr>
          <w:p w:rsidR="004226D7" w:rsidRDefault="004226D7" w:rsidP="00E16D63">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 xml:space="preserve">في عامي 2012 و2013 أبرمت قاعدة بيانات </w:t>
            </w:r>
            <w:r>
              <w:rPr>
                <w:rFonts w:ascii="Arabic Typesetting" w:hAnsi="Arabic Typesetting" w:cs="Arabic Typesetting"/>
                <w:bCs/>
                <w:color w:val="002060"/>
                <w:sz w:val="28"/>
                <w:szCs w:val="28"/>
              </w:rPr>
              <w:t>WIPO GREEN</w:t>
            </w:r>
            <w:r>
              <w:rPr>
                <w:rFonts w:ascii="Arabic Typesetting" w:hAnsi="Arabic Typesetting" w:cs="Arabic Typesetting"/>
                <w:color w:val="002060"/>
                <w:sz w:val="28"/>
                <w:szCs w:val="28"/>
                <w:rtl/>
              </w:rPr>
              <w:t>: اتفاقين مع شركاء خارجيين لإدراج البيانات (رابطة مديري التكنولوجيات الجامعية وشبكة شرق أفريقيا للابتكار في مجال المناخ)</w:t>
            </w:r>
          </w:p>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0 (صفر)</w:t>
            </w:r>
          </w:p>
        </w:tc>
        <w:tc>
          <w:tcPr>
            <w:tcW w:w="909" w:type="pct"/>
            <w:tcBorders>
              <w:top w:val="single" w:sz="4" w:space="0" w:color="auto"/>
              <w:left w:val="nil"/>
              <w:bottom w:val="nil"/>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val="fr-FR" w:bidi="ar-TN"/>
              </w:rPr>
            </w:pPr>
            <w:r>
              <w:rPr>
                <w:rFonts w:ascii="Arabic Typesetting" w:hAnsi="Arabic Typesetting" w:cs="Arabic Typesetting"/>
                <w:sz w:val="28"/>
                <w:szCs w:val="28"/>
                <w:rtl/>
                <w:lang w:val="fr-FR" w:bidi="ar-TN"/>
              </w:rPr>
              <w:t>250</w:t>
            </w:r>
          </w:p>
        </w:tc>
        <w:tc>
          <w:tcPr>
            <w:tcW w:w="1439" w:type="pct"/>
            <w:tcBorders>
              <w:top w:val="single" w:sz="4" w:space="0" w:color="auto"/>
              <w:left w:val="nil"/>
              <w:bottom w:val="nil"/>
              <w:right w:val="nil"/>
            </w:tcBorders>
            <w:shd w:val="clear" w:color="auto" w:fill="FFFFFF"/>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rtl/>
                <w:lang w:bidi="ar-TN"/>
              </w:rPr>
            </w:pPr>
            <w:r>
              <w:rPr>
                <w:rFonts w:ascii="Arabic Typesetting" w:hAnsi="Arabic Typesetting" w:cs="Arabic Typesetting"/>
                <w:sz w:val="28"/>
                <w:szCs w:val="28"/>
                <w:rtl/>
                <w:lang w:bidi="ar-TN"/>
              </w:rPr>
              <w:t>5 اتفاقات إضافية في 2014/15:</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rtl/>
                <w:lang w:bidi="ar-TN"/>
              </w:rPr>
            </w:pPr>
            <w:r>
              <w:rPr>
                <w:rFonts w:ascii="Arabic Typesetting" w:hAnsi="Arabic Typesetting" w:cs="Arabic Typesetting"/>
                <w:sz w:val="28"/>
                <w:szCs w:val="28"/>
                <w:rtl/>
                <w:lang w:bidi="ar-TN"/>
              </w:rPr>
              <w:t>مكتب الدانمرك للبراءات والعلامات التجارية (</w:t>
            </w:r>
            <w:r>
              <w:rPr>
                <w:rFonts w:ascii="Arabic Typesetting" w:hAnsi="Arabic Typesetting" w:cs="Arabic Typesetting"/>
                <w:sz w:val="28"/>
                <w:szCs w:val="28"/>
                <w:cs/>
                <w:lang w:bidi="ar-TN"/>
              </w:rPr>
              <w:t>‎</w:t>
            </w:r>
            <w:r>
              <w:rPr>
                <w:rFonts w:ascii="Arabic Typesetting" w:hAnsi="Arabic Typesetting" w:cs="Arabic Typesetting"/>
                <w:sz w:val="28"/>
                <w:szCs w:val="28"/>
                <w:lang w:bidi="ar-TN"/>
              </w:rPr>
              <w:t>DKPTO</w:t>
            </w:r>
            <w:r>
              <w:rPr>
                <w:rFonts w:ascii="Arabic Typesetting" w:hAnsi="Arabic Typesetting" w:cs="Arabic Typesetting"/>
                <w:sz w:val="28"/>
                <w:szCs w:val="28"/>
                <w:rtl/>
                <w:lang w:bidi="ar-TN"/>
              </w:rPr>
              <w:t>‏)</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lang w:bidi="ar-TN"/>
              </w:rPr>
            </w:pPr>
            <w:r>
              <w:rPr>
                <w:rFonts w:ascii="Arabic Typesetting" w:hAnsi="Arabic Typesetting" w:cs="Arabic Typesetting"/>
                <w:sz w:val="28"/>
                <w:szCs w:val="28"/>
                <w:rtl/>
                <w:lang w:bidi="ar-TN"/>
              </w:rPr>
              <w:t>ومؤسسة تمويل التكنولوجيا الكورية (</w:t>
            </w:r>
            <w:r>
              <w:rPr>
                <w:rFonts w:ascii="Arabic Typesetting" w:hAnsi="Arabic Typesetting" w:cs="Arabic Typesetting"/>
                <w:sz w:val="28"/>
                <w:szCs w:val="28"/>
                <w:cs/>
                <w:lang w:bidi="ar-TN"/>
              </w:rPr>
              <w:t>‎</w:t>
            </w:r>
            <w:r>
              <w:rPr>
                <w:rFonts w:ascii="Arabic Typesetting" w:hAnsi="Arabic Typesetting" w:cs="Arabic Typesetting"/>
                <w:sz w:val="28"/>
                <w:szCs w:val="28"/>
                <w:lang w:bidi="ar-TN"/>
              </w:rPr>
              <w:t>KOTEC</w:t>
            </w:r>
            <w:r>
              <w:rPr>
                <w:rFonts w:ascii="Arabic Typesetting" w:hAnsi="Arabic Typesetting" w:cs="Arabic Typesetting"/>
                <w:sz w:val="28"/>
                <w:szCs w:val="28"/>
                <w:rtl/>
                <w:lang w:bidi="ar-TN"/>
              </w:rPr>
              <w:t>‏)</w:t>
            </w:r>
          </w:p>
          <w:p w:rsidR="004226D7" w:rsidRDefault="004226D7" w:rsidP="004226D7">
            <w:pPr>
              <w:bidi/>
              <w:spacing w:before="60" w:after="60" w:line="280" w:lineRule="exact"/>
              <w:ind w:left="284" w:hanging="284"/>
              <w:rPr>
                <w:rFonts w:ascii="Arabic Typesetting" w:hAnsi="Arabic Typesetting" w:cs="Arabic Typesetting"/>
                <w:sz w:val="28"/>
                <w:szCs w:val="28"/>
                <w:lang w:bidi="ar-TN"/>
              </w:rPr>
            </w:pPr>
            <w:r>
              <w:rPr>
                <w:rFonts w:ascii="Arabic Typesetting" w:hAnsi="Arabic Typesetting" w:cs="Arabic Typesetting"/>
                <w:sz w:val="28"/>
                <w:szCs w:val="28"/>
                <w:rtl/>
                <w:lang w:bidi="ar-TN"/>
              </w:rPr>
              <w:t>وتحالف التكنولوجيا</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lang w:bidi="ar-TN"/>
              </w:rPr>
            </w:pPr>
            <w:r>
              <w:rPr>
                <w:rFonts w:ascii="Arabic Typesetting" w:hAnsi="Arabic Typesetting" w:cs="Arabic Typesetting"/>
                <w:sz w:val="28"/>
                <w:szCs w:val="28"/>
                <w:rtl/>
                <w:lang w:bidi="ar-TN"/>
              </w:rPr>
              <w:t>ومكتب الأمم المتحدة للتعاون فيما بين بلدان الجنوب</w:t>
            </w:r>
          </w:p>
          <w:p w:rsidR="004226D7" w:rsidRDefault="004226D7" w:rsidP="009A3712">
            <w:pPr>
              <w:numPr>
                <w:ilvl w:val="0"/>
                <w:numId w:val="38"/>
              </w:numPr>
              <w:bidi/>
              <w:spacing w:before="60" w:after="60" w:line="280" w:lineRule="exact"/>
              <w:ind w:left="284" w:hanging="284"/>
              <w:rPr>
                <w:rFonts w:ascii="Arabic Typesetting" w:hAnsi="Arabic Typesetting" w:cs="Arabic Typesetting"/>
                <w:sz w:val="28"/>
                <w:szCs w:val="28"/>
                <w:lang w:bidi="ar-TN"/>
              </w:rPr>
            </w:pPr>
            <w:r>
              <w:rPr>
                <w:rFonts w:ascii="Arabic Typesetting" w:hAnsi="Arabic Typesetting" w:cs="Arabic Typesetting"/>
                <w:sz w:val="28"/>
                <w:szCs w:val="28"/>
                <w:rtl/>
                <w:lang w:bidi="ar-TN"/>
              </w:rPr>
              <w:t>ووزارة الاقتصاد (إسرائيل)</w:t>
            </w:r>
          </w:p>
          <w:p w:rsidR="004226D7" w:rsidRDefault="004226D7" w:rsidP="004226D7">
            <w:pPr>
              <w:bidi/>
              <w:spacing w:before="60" w:after="60" w:line="280" w:lineRule="exact"/>
              <w:rPr>
                <w:rFonts w:ascii="Arabic Typesetting" w:hAnsi="Arabic Typesetting" w:cs="Arabic Typesetting"/>
                <w:sz w:val="28"/>
                <w:szCs w:val="28"/>
                <w:lang w:bidi="ar-TN"/>
              </w:rPr>
            </w:pPr>
            <w:r>
              <w:rPr>
                <w:rFonts w:ascii="Arabic Typesetting" w:hAnsi="Arabic Typesetting" w:cs="Arabic Typesetting"/>
                <w:sz w:val="28"/>
                <w:szCs w:val="28"/>
                <w:rtl/>
                <w:lang w:bidi="ar-TN"/>
              </w:rPr>
              <w:t>(7 تراكميا)</w:t>
            </w:r>
          </w:p>
        </w:tc>
        <w:tc>
          <w:tcPr>
            <w:tcW w:w="380" w:type="pct"/>
            <w:tcBorders>
              <w:top w:val="single" w:sz="4" w:space="0" w:color="auto"/>
              <w:left w:val="nil"/>
              <w:bottom w:val="nil"/>
              <w:right w:val="single" w:sz="4" w:space="0" w:color="auto"/>
            </w:tcBorders>
            <w:tcMar>
              <w:top w:w="110" w:type="dxa"/>
              <w:left w:w="108" w:type="dxa"/>
              <w:bottom w:w="0" w:type="dxa"/>
              <w:right w:w="108" w:type="dxa"/>
            </w:tcMar>
            <w:hideMark/>
          </w:tcPr>
          <w:p w:rsidR="004226D7" w:rsidRDefault="004226D7" w:rsidP="00E16D63">
            <w:pPr>
              <w:keepNext/>
              <w:bidi/>
              <w:spacing w:before="60" w:after="60" w:line="280" w:lineRule="exact"/>
              <w:jc w:val="center"/>
              <w:rPr>
                <w:rFonts w:ascii="Arabic Typesetting" w:hAnsi="Arabic Typesetting" w:cs="Arabic Typesetting"/>
                <w:bCs/>
                <w:color w:val="FF0000"/>
                <w:sz w:val="28"/>
                <w:szCs w:val="28"/>
                <w:lang w:bidi="ar-EG"/>
              </w:rPr>
            </w:pPr>
            <w:r>
              <w:rPr>
                <w:rFonts w:ascii="Arabic Typesetting" w:hAnsi="Arabic Typesetting" w:cs="Arabic Typesetting"/>
                <w:bCs/>
                <w:color w:val="FF0000"/>
                <w:sz w:val="28"/>
                <w:szCs w:val="28"/>
                <w:rtl/>
                <w:lang w:bidi="ar-EG"/>
              </w:rPr>
              <w:t>غير محقق</w:t>
            </w:r>
          </w:p>
        </w:tc>
      </w:tr>
      <w:tr w:rsidR="004226D7" w:rsidTr="004226D7">
        <w:trPr>
          <w:cantSplit/>
        </w:trPr>
        <w:tc>
          <w:tcPr>
            <w:tcW w:w="1060" w:type="pct"/>
            <w:tcBorders>
              <w:top w:val="nil"/>
              <w:left w:val="single" w:sz="4" w:space="0" w:color="auto"/>
              <w:bottom w:val="single" w:sz="4" w:space="0" w:color="auto"/>
              <w:right w:val="nil"/>
            </w:tcBorders>
            <w:hideMark/>
          </w:tcPr>
          <w:p w:rsidR="004226D7" w:rsidRDefault="004226D7" w:rsidP="007F1507">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عدد زائري الموقع ال</w:t>
            </w:r>
            <w:r w:rsidR="007F1507">
              <w:rPr>
                <w:rFonts w:ascii="Arabic Typesetting" w:hAnsi="Arabic Typesetting" w:cs="Arabic Typesetting" w:hint="cs"/>
                <w:sz w:val="28"/>
                <w:szCs w:val="28"/>
                <w:rtl/>
                <w:lang w:bidi="ar-EG"/>
              </w:rPr>
              <w:t>إ</w:t>
            </w:r>
            <w:r>
              <w:rPr>
                <w:rFonts w:ascii="Arabic Typesetting" w:hAnsi="Arabic Typesetting" w:cs="Arabic Typesetting"/>
                <w:sz w:val="28"/>
                <w:szCs w:val="28"/>
                <w:rtl/>
                <w:lang w:bidi="ar-EG"/>
              </w:rPr>
              <w:t>لكتروني للتحديات العالمية</w:t>
            </w:r>
          </w:p>
        </w:tc>
        <w:tc>
          <w:tcPr>
            <w:tcW w:w="1212" w:type="pct"/>
            <w:tcBorders>
              <w:top w:val="nil"/>
              <w:left w:val="nil"/>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476 6 زيارة لصفحات موقع قاعدة بيانات التحديات العالمية</w:t>
            </w:r>
          </w:p>
          <w:p w:rsidR="004226D7" w:rsidRDefault="004226D7" w:rsidP="00E16D63">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color w:val="002060"/>
                <w:sz w:val="28"/>
                <w:szCs w:val="28"/>
                <w:rtl/>
              </w:rPr>
              <w:t xml:space="preserve">و773 3 تنزيلا لملفات </w:t>
            </w:r>
            <w:r>
              <w:rPr>
                <w:rFonts w:ascii="Arabic Typesetting" w:hAnsi="Arabic Typesetting" w:cs="Arabic Typesetting"/>
                <w:bCs/>
                <w:color w:val="002060"/>
                <w:sz w:val="28"/>
                <w:szCs w:val="28"/>
              </w:rPr>
              <w:t>pdf</w:t>
            </w:r>
          </w:p>
          <w:p w:rsidR="004226D7" w:rsidRDefault="004226D7" w:rsidP="00E16D63">
            <w:pPr>
              <w:bidi/>
              <w:spacing w:before="60" w:after="60" w:line="280" w:lineRule="exact"/>
              <w:rPr>
                <w:rFonts w:ascii="Arabic Typesetting" w:hAnsi="Arabic Typesetting" w:cs="Arabic Typesetting"/>
                <w:bCs/>
                <w:color w:val="002060"/>
                <w:sz w:val="28"/>
                <w:szCs w:val="28"/>
                <w:rtl/>
              </w:rPr>
            </w:pPr>
            <w:r>
              <w:rPr>
                <w:rFonts w:ascii="Arabic Typesetting" w:hAnsi="Arabic Typesetting" w:cs="Arabic Typesetting"/>
                <w:color w:val="002060"/>
                <w:sz w:val="28"/>
                <w:szCs w:val="28"/>
                <w:rtl/>
              </w:rPr>
              <w:t xml:space="preserve">و648 73 زيارة لصفحات موقع </w:t>
            </w:r>
            <w:r>
              <w:rPr>
                <w:rFonts w:ascii="Arabic Typesetting" w:hAnsi="Arabic Typesetting" w:cs="Arabic Typesetting"/>
                <w:bCs/>
                <w:color w:val="002060"/>
                <w:sz w:val="28"/>
                <w:szCs w:val="28"/>
              </w:rPr>
              <w:t>WIPO GREEN</w:t>
            </w:r>
          </w:p>
          <w:p w:rsidR="004226D7" w:rsidRDefault="004226D7" w:rsidP="00E16D63">
            <w:pPr>
              <w:bidi/>
              <w:spacing w:before="60" w:after="60" w:line="280" w:lineRule="exact"/>
              <w:rPr>
                <w:rFonts w:ascii="Arabic Typesetting" w:hAnsi="Arabic Typesetting" w:cs="Arabic Typesetting"/>
                <w:color w:val="002060"/>
                <w:sz w:val="28"/>
                <w:szCs w:val="28"/>
              </w:rPr>
            </w:pPr>
            <w:r>
              <w:rPr>
                <w:rFonts w:ascii="Arabic Typesetting" w:hAnsi="Arabic Typesetting" w:cs="Arabic Typesetting"/>
                <w:color w:val="002060"/>
                <w:sz w:val="28"/>
                <w:szCs w:val="28"/>
                <w:rtl/>
              </w:rPr>
              <w:t xml:space="preserve">و712 60 زيارة لصفحات موقع قاعدة بيانات </w:t>
            </w:r>
            <w:r>
              <w:rPr>
                <w:rFonts w:ascii="Arabic Typesetting" w:hAnsi="Arabic Typesetting" w:cs="Arabic Typesetting"/>
                <w:bCs/>
                <w:color w:val="002060"/>
                <w:sz w:val="28"/>
                <w:szCs w:val="28"/>
              </w:rPr>
              <w:t>WIPO </w:t>
            </w:r>
            <w:proofErr w:type="spellStart"/>
            <w:r>
              <w:rPr>
                <w:rFonts w:ascii="Arabic Typesetting" w:hAnsi="Arabic Typesetting" w:cs="Arabic Typesetting"/>
                <w:bCs/>
                <w:color w:val="002060"/>
                <w:sz w:val="28"/>
                <w:szCs w:val="28"/>
              </w:rPr>
              <w:t>Re:Search</w:t>
            </w:r>
            <w:proofErr w:type="spellEnd"/>
          </w:p>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لا ينطبق</w:t>
            </w:r>
          </w:p>
        </w:tc>
        <w:tc>
          <w:tcPr>
            <w:tcW w:w="909" w:type="pct"/>
            <w:tcBorders>
              <w:top w:val="nil"/>
              <w:left w:val="nil"/>
              <w:bottom w:val="single" w:sz="4" w:space="0" w:color="auto"/>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val="fr-FR" w:bidi="ar-TN"/>
              </w:rPr>
            </w:pPr>
            <w:r>
              <w:rPr>
                <w:rFonts w:ascii="Arabic Typesetting" w:hAnsi="Arabic Typesetting" w:cs="Arabic Typesetting"/>
                <w:sz w:val="28"/>
                <w:szCs w:val="28"/>
                <w:rtl/>
                <w:lang w:val="fr-FR" w:bidi="ar-TN"/>
              </w:rPr>
              <w:t>ارتفاع بنسبة 50%</w:t>
            </w:r>
          </w:p>
        </w:tc>
        <w:tc>
          <w:tcPr>
            <w:tcW w:w="1439" w:type="pct"/>
            <w:tcBorders>
              <w:top w:val="nil"/>
              <w:left w:val="nil"/>
              <w:bottom w:val="single" w:sz="4" w:space="0" w:color="auto"/>
              <w:right w:val="nil"/>
            </w:tcBorders>
            <w:shd w:val="clear" w:color="auto" w:fill="FFFFFF"/>
            <w:tcMar>
              <w:top w:w="110" w:type="dxa"/>
              <w:left w:w="108" w:type="dxa"/>
              <w:bottom w:w="0" w:type="dxa"/>
              <w:right w:w="108" w:type="dxa"/>
            </w:tcMar>
          </w:tcPr>
          <w:p w:rsidR="004226D7" w:rsidRDefault="004226D7" w:rsidP="00E16D63">
            <w:pPr>
              <w:bidi/>
              <w:spacing w:before="60" w:after="60" w:line="280" w:lineRule="exact"/>
              <w:rPr>
                <w:rFonts w:ascii="Arabic Typesetting" w:hAnsi="Arabic Typesetting" w:cs="Arabic Typesetting"/>
                <w:iCs/>
                <w:sz w:val="28"/>
                <w:szCs w:val="28"/>
                <w:rtl/>
                <w:lang w:bidi="ar-TN"/>
              </w:rPr>
            </w:pPr>
            <w:r>
              <w:rPr>
                <w:rFonts w:ascii="Arabic Typesetting" w:hAnsi="Arabic Typesetting" w:cs="Arabic Typesetting"/>
                <w:iCs/>
                <w:sz w:val="28"/>
                <w:szCs w:val="28"/>
                <w:rtl/>
                <w:lang w:bidi="ar-TN"/>
              </w:rPr>
              <w:t>عدد زيارات صفحات مواقع:</w:t>
            </w:r>
          </w:p>
          <w:p w:rsidR="004226D7" w:rsidRDefault="004226D7" w:rsidP="004226D7">
            <w:pPr>
              <w:bidi/>
              <w:spacing w:before="60" w:after="60" w:line="280" w:lineRule="exact"/>
              <w:ind w:left="284" w:hanging="284"/>
              <w:rPr>
                <w:rFonts w:ascii="Arabic Typesetting" w:hAnsi="Arabic Typesetting" w:cs="Arabic Typesetting"/>
                <w:iCs/>
                <w:sz w:val="28"/>
                <w:szCs w:val="28"/>
                <w:rtl/>
                <w:lang w:bidi="ar-TN"/>
              </w:rPr>
            </w:pPr>
            <w:r>
              <w:rPr>
                <w:rFonts w:ascii="Arabic Typesetting" w:hAnsi="Arabic Typesetting" w:cs="Arabic Typesetting"/>
                <w:iCs/>
                <w:sz w:val="28"/>
                <w:szCs w:val="28"/>
                <w:rtl/>
                <w:lang w:bidi="ar-TN"/>
              </w:rPr>
              <w:t>-</w:t>
            </w:r>
            <w:r>
              <w:rPr>
                <w:rFonts w:ascii="Arabic Typesetting" w:hAnsi="Arabic Typesetting" w:cs="Arabic Typesetting"/>
                <w:iCs/>
                <w:sz w:val="28"/>
                <w:szCs w:val="28"/>
                <w:rtl/>
                <w:lang w:bidi="ar-TN"/>
              </w:rPr>
              <w:tab/>
              <w:t>قاعدة بيانات التحديات العالمية: 693 2</w:t>
            </w:r>
          </w:p>
          <w:p w:rsidR="004226D7" w:rsidRDefault="004226D7" w:rsidP="007F1507">
            <w:pPr>
              <w:bidi/>
              <w:spacing w:before="60" w:after="60" w:line="280" w:lineRule="exact"/>
              <w:ind w:left="284" w:hanging="284"/>
              <w:rPr>
                <w:rFonts w:ascii="Arabic Typesetting" w:hAnsi="Arabic Typesetting" w:cs="Arabic Typesetting"/>
                <w:iCs/>
                <w:sz w:val="28"/>
                <w:szCs w:val="28"/>
                <w:rtl/>
              </w:rPr>
            </w:pPr>
            <w:r>
              <w:rPr>
                <w:rFonts w:ascii="Arabic Typesetting" w:hAnsi="Arabic Typesetting" w:cs="Arabic Typesetting"/>
                <w:iCs/>
                <w:sz w:val="28"/>
                <w:szCs w:val="28"/>
                <w:rtl/>
                <w:lang w:bidi="ar-TN"/>
              </w:rPr>
              <w:t>-</w:t>
            </w:r>
            <w:r>
              <w:rPr>
                <w:rFonts w:ascii="Arabic Typesetting" w:hAnsi="Arabic Typesetting" w:cs="Arabic Typesetting"/>
                <w:iCs/>
                <w:sz w:val="28"/>
                <w:szCs w:val="28"/>
                <w:rtl/>
                <w:lang w:bidi="ar-TN"/>
              </w:rPr>
              <w:tab/>
              <w:t xml:space="preserve">حالات تنزيل ملفات </w:t>
            </w:r>
            <w:r w:rsidRPr="007F1507">
              <w:rPr>
                <w:rFonts w:ascii="Arabic Typesetting" w:hAnsi="Arabic Typesetting" w:cs="Arabic Typesetting"/>
                <w:i/>
                <w:sz w:val="28"/>
                <w:szCs w:val="28"/>
                <w:lang w:bidi="ar-TN"/>
              </w:rPr>
              <w:t>pdf</w:t>
            </w:r>
            <w:r w:rsidRPr="007F1507">
              <w:rPr>
                <w:rFonts w:ascii="Arabic Typesetting" w:hAnsi="Arabic Typesetting" w:cs="Arabic Typesetting"/>
                <w:iCs/>
                <w:sz w:val="28"/>
                <w:szCs w:val="28"/>
                <w:rtl/>
              </w:rPr>
              <w:t xml:space="preserve">: </w:t>
            </w:r>
            <w:r>
              <w:rPr>
                <w:rFonts w:ascii="Arabic Typesetting" w:hAnsi="Arabic Typesetting" w:cs="Arabic Typesetting"/>
                <w:iCs/>
                <w:sz w:val="28"/>
                <w:szCs w:val="28"/>
                <w:rtl/>
              </w:rPr>
              <w:t>253 45</w:t>
            </w:r>
          </w:p>
          <w:p w:rsidR="004226D7" w:rsidRPr="001B6640" w:rsidRDefault="004226D7" w:rsidP="004226D7">
            <w:pPr>
              <w:bidi/>
              <w:spacing w:before="60" w:after="60" w:line="280" w:lineRule="exact"/>
              <w:ind w:left="284" w:hanging="284"/>
              <w:rPr>
                <w:rFonts w:ascii="Arabic Typesetting" w:hAnsi="Arabic Typesetting" w:cs="Arabic Typesetting"/>
                <w:i/>
                <w:iCs/>
                <w:sz w:val="28"/>
                <w:szCs w:val="28"/>
                <w:rtl/>
                <w:lang w:bidi="ar-TN"/>
              </w:rPr>
            </w:pPr>
            <w:r w:rsidRPr="001B6640">
              <w:rPr>
                <w:rFonts w:ascii="Arabic Typesetting" w:hAnsi="Arabic Typesetting" w:cs="Arabic Typesetting"/>
                <w:i/>
                <w:iCs/>
                <w:sz w:val="28"/>
                <w:szCs w:val="28"/>
                <w:rtl/>
              </w:rPr>
              <w:t>-</w:t>
            </w:r>
            <w:r w:rsidRPr="001B6640">
              <w:rPr>
                <w:rFonts w:ascii="Arabic Typesetting" w:hAnsi="Arabic Typesetting" w:cs="Arabic Typesetting"/>
                <w:i/>
                <w:iCs/>
                <w:sz w:val="28"/>
                <w:szCs w:val="28"/>
                <w:rtl/>
              </w:rPr>
              <w:tab/>
            </w:r>
            <w:r w:rsidRPr="001B6640">
              <w:rPr>
                <w:rFonts w:ascii="Arabic Typesetting" w:hAnsi="Arabic Typesetting" w:cs="Arabic Typesetting"/>
                <w:i/>
                <w:iCs/>
                <w:sz w:val="28"/>
                <w:szCs w:val="28"/>
                <w:lang w:bidi="ar-TN"/>
              </w:rPr>
              <w:t>WIPO GREEN</w:t>
            </w:r>
            <w:r w:rsidRPr="001B6640">
              <w:rPr>
                <w:rFonts w:ascii="Arabic Typesetting" w:hAnsi="Arabic Typesetting" w:cs="Arabic Typesetting"/>
                <w:i/>
                <w:iCs/>
                <w:sz w:val="28"/>
                <w:szCs w:val="28"/>
                <w:rtl/>
                <w:lang w:bidi="ar-TN"/>
              </w:rPr>
              <w:t>: 716 207</w:t>
            </w:r>
          </w:p>
          <w:p w:rsidR="004226D7" w:rsidRPr="001B6640" w:rsidRDefault="004226D7" w:rsidP="004226D7">
            <w:pPr>
              <w:bidi/>
              <w:spacing w:before="60" w:after="60" w:line="280" w:lineRule="exact"/>
              <w:ind w:left="284" w:hanging="284"/>
              <w:rPr>
                <w:rFonts w:ascii="Arabic Typesetting" w:hAnsi="Arabic Typesetting" w:cs="Arabic Typesetting"/>
                <w:i/>
                <w:iCs/>
                <w:sz w:val="28"/>
                <w:szCs w:val="28"/>
                <w:rtl/>
                <w:lang w:bidi="ar-TN"/>
              </w:rPr>
            </w:pPr>
            <w:r w:rsidRPr="001B6640">
              <w:rPr>
                <w:rFonts w:ascii="Arabic Typesetting" w:hAnsi="Arabic Typesetting" w:cs="Arabic Typesetting"/>
                <w:i/>
                <w:iCs/>
                <w:sz w:val="28"/>
                <w:szCs w:val="28"/>
                <w:rtl/>
                <w:lang w:bidi="ar-TN"/>
              </w:rPr>
              <w:t>-</w:t>
            </w:r>
            <w:r w:rsidRPr="001B6640">
              <w:rPr>
                <w:rFonts w:ascii="Arabic Typesetting" w:hAnsi="Arabic Typesetting" w:cs="Arabic Typesetting"/>
                <w:i/>
                <w:iCs/>
                <w:sz w:val="28"/>
                <w:szCs w:val="28"/>
                <w:rtl/>
                <w:lang w:bidi="ar-TN"/>
              </w:rPr>
              <w:tab/>
            </w:r>
            <w:r w:rsidRPr="001B6640">
              <w:rPr>
                <w:rFonts w:ascii="Arabic Typesetting" w:hAnsi="Arabic Typesetting" w:cs="Arabic Typesetting"/>
                <w:i/>
                <w:iCs/>
                <w:sz w:val="28"/>
                <w:szCs w:val="28"/>
                <w:lang w:bidi="ar-TN"/>
              </w:rPr>
              <w:t>WIPO </w:t>
            </w:r>
            <w:proofErr w:type="spellStart"/>
            <w:r w:rsidRPr="001B6640">
              <w:rPr>
                <w:rFonts w:ascii="Arabic Typesetting" w:hAnsi="Arabic Typesetting" w:cs="Arabic Typesetting"/>
                <w:i/>
                <w:iCs/>
                <w:sz w:val="28"/>
                <w:szCs w:val="28"/>
                <w:lang w:bidi="ar-TN"/>
              </w:rPr>
              <w:t>Re:Search</w:t>
            </w:r>
            <w:proofErr w:type="spellEnd"/>
            <w:r w:rsidRPr="001B6640">
              <w:rPr>
                <w:rFonts w:ascii="Arabic Typesetting" w:hAnsi="Arabic Typesetting" w:cs="Arabic Typesetting"/>
                <w:i/>
                <w:iCs/>
                <w:sz w:val="28"/>
                <w:szCs w:val="28"/>
                <w:rtl/>
                <w:lang w:bidi="ar-TN"/>
              </w:rPr>
              <w:t>: 118 62</w:t>
            </w:r>
          </w:p>
          <w:p w:rsidR="004226D7" w:rsidRDefault="004226D7" w:rsidP="004226D7">
            <w:pPr>
              <w:bidi/>
              <w:spacing w:before="60" w:after="60" w:line="280" w:lineRule="exact"/>
              <w:ind w:left="284" w:hanging="284"/>
              <w:rPr>
                <w:rFonts w:ascii="Arabic Typesetting" w:hAnsi="Arabic Typesetting" w:cs="Arabic Typesetting"/>
                <w:iCs/>
                <w:sz w:val="28"/>
                <w:szCs w:val="28"/>
                <w:rtl/>
                <w:lang w:bidi="ar-TN"/>
              </w:rPr>
            </w:pPr>
            <w:r w:rsidRPr="001B6640">
              <w:rPr>
                <w:rFonts w:ascii="Arabic Typesetting" w:hAnsi="Arabic Typesetting" w:cs="Arabic Typesetting"/>
                <w:i/>
                <w:iCs/>
                <w:sz w:val="28"/>
                <w:szCs w:val="28"/>
                <w:rtl/>
                <w:lang w:bidi="ar-TN"/>
              </w:rPr>
              <w:t>-</w:t>
            </w:r>
            <w:r w:rsidRPr="001B6640">
              <w:rPr>
                <w:rFonts w:ascii="Arabic Typesetting" w:hAnsi="Arabic Typesetting" w:cs="Arabic Typesetting"/>
                <w:i/>
                <w:iCs/>
                <w:sz w:val="28"/>
                <w:szCs w:val="28"/>
                <w:rtl/>
                <w:lang w:bidi="ar-TN"/>
              </w:rPr>
              <w:tab/>
              <w:t xml:space="preserve">الصحة العالمية والملكية الفكرية: </w:t>
            </w:r>
            <w:r>
              <w:rPr>
                <w:rFonts w:ascii="Arabic Typesetting" w:hAnsi="Arabic Typesetting" w:cs="Arabic Typesetting"/>
                <w:iCs/>
                <w:sz w:val="28"/>
                <w:szCs w:val="28"/>
                <w:rtl/>
                <w:lang w:bidi="ar-TN"/>
              </w:rPr>
              <w:t>800 31</w:t>
            </w:r>
          </w:p>
          <w:p w:rsidR="004226D7" w:rsidRDefault="004226D7" w:rsidP="004226D7">
            <w:pPr>
              <w:bidi/>
              <w:spacing w:before="60" w:after="60" w:line="280" w:lineRule="exact"/>
              <w:ind w:left="284" w:hanging="284"/>
              <w:rPr>
                <w:rFonts w:ascii="Arabic Typesetting" w:hAnsi="Arabic Typesetting" w:cs="Arabic Typesetting"/>
                <w:sz w:val="28"/>
                <w:szCs w:val="28"/>
                <w:lang w:bidi="ar-TN"/>
              </w:rPr>
            </w:pPr>
            <w:r>
              <w:rPr>
                <w:rFonts w:ascii="Arabic Typesetting" w:hAnsi="Arabic Typesetting" w:cs="Arabic Typesetting"/>
                <w:iCs/>
                <w:sz w:val="28"/>
                <w:szCs w:val="28"/>
                <w:rtl/>
                <w:lang w:bidi="ar-TN"/>
              </w:rPr>
              <w:t>-</w:t>
            </w:r>
            <w:r>
              <w:rPr>
                <w:rFonts w:ascii="Arabic Typesetting" w:hAnsi="Arabic Typesetting" w:cs="Arabic Typesetting"/>
                <w:iCs/>
                <w:sz w:val="28"/>
                <w:szCs w:val="28"/>
                <w:rtl/>
                <w:lang w:bidi="ar-TN"/>
              </w:rPr>
              <w:tab/>
              <w:t>تغير المناخ والملكية الفكرية: 952 4</w:t>
            </w:r>
          </w:p>
        </w:tc>
        <w:tc>
          <w:tcPr>
            <w:tcW w:w="380" w:type="pct"/>
            <w:tcBorders>
              <w:top w:val="nil"/>
              <w:left w:val="nil"/>
              <w:bottom w:val="single" w:sz="4" w:space="0" w:color="auto"/>
              <w:right w:val="single" w:sz="4" w:space="0" w:color="auto"/>
            </w:tcBorders>
            <w:tcMar>
              <w:top w:w="110" w:type="dxa"/>
              <w:left w:w="108" w:type="dxa"/>
              <w:bottom w:w="0" w:type="dxa"/>
              <w:right w:w="108" w:type="dxa"/>
            </w:tcMar>
          </w:tcPr>
          <w:p w:rsidR="004226D7" w:rsidRDefault="004226D7" w:rsidP="00E16D63">
            <w:pPr>
              <w:keepNext/>
              <w:bidi/>
              <w:spacing w:before="60" w:line="280" w:lineRule="exact"/>
              <w:jc w:val="center"/>
              <w:rPr>
                <w:rFonts w:ascii="Arabic Typesetting" w:hAnsi="Arabic Typesetting" w:cs="Arabic Typesetting"/>
                <w:bCs/>
                <w:color w:val="FF0000"/>
                <w:sz w:val="28"/>
                <w:szCs w:val="28"/>
                <w:rtl/>
                <w:lang w:bidi="ar-EG"/>
              </w:rPr>
            </w:pPr>
          </w:p>
          <w:p w:rsidR="004226D7" w:rsidRDefault="004226D7" w:rsidP="00E16D63">
            <w:pPr>
              <w:keepNext/>
              <w:bidi/>
              <w:spacing w:line="280" w:lineRule="exact"/>
              <w:jc w:val="center"/>
              <w:rPr>
                <w:rFonts w:ascii="Arabic Typesetting" w:hAnsi="Arabic Typesetting" w:cs="Arabic Typesetting"/>
                <w:bCs/>
                <w:color w:val="FF0000"/>
                <w:sz w:val="28"/>
                <w:szCs w:val="28"/>
                <w:rtl/>
                <w:lang w:bidi="ar-EG"/>
              </w:rPr>
            </w:pPr>
            <w:r>
              <w:rPr>
                <w:rFonts w:ascii="Arabic Typesetting" w:hAnsi="Arabic Typesetting" w:cs="Arabic Typesetting"/>
                <w:bCs/>
                <w:color w:val="FF0000"/>
                <w:sz w:val="28"/>
                <w:szCs w:val="28"/>
                <w:rtl/>
                <w:lang w:bidi="ar-EG"/>
              </w:rPr>
              <w:t>غير محقق</w:t>
            </w:r>
          </w:p>
          <w:p w:rsidR="004226D7" w:rsidRDefault="004226D7" w:rsidP="00E16D63">
            <w:pPr>
              <w:keepNext/>
              <w:bidi/>
              <w:spacing w:before="60" w:line="280" w:lineRule="exact"/>
              <w:jc w:val="center"/>
              <w:rPr>
                <w:rFonts w:ascii="Arabic Typesetting" w:hAnsi="Arabic Typesetting" w:cs="Arabic Typesetting"/>
                <w:bCs/>
                <w:color w:val="00B050"/>
                <w:sz w:val="28"/>
                <w:szCs w:val="28"/>
                <w:rtl/>
              </w:rPr>
            </w:pPr>
            <w:r>
              <w:rPr>
                <w:rFonts w:ascii="Arabic Typesetting" w:hAnsi="Arabic Typesetting" w:cs="Arabic Typesetting"/>
                <w:bCs/>
                <w:color w:val="00B050"/>
                <w:sz w:val="28"/>
                <w:szCs w:val="28"/>
                <w:rtl/>
              </w:rPr>
              <w:t>محقق كليا</w:t>
            </w:r>
            <w:r w:rsidR="007F1507">
              <w:rPr>
                <w:rFonts w:ascii="Arabic Typesetting" w:hAnsi="Arabic Typesetting" w:cs="Arabic Typesetting" w:hint="cs"/>
                <w:bCs/>
                <w:color w:val="00B050"/>
                <w:sz w:val="28"/>
                <w:szCs w:val="28"/>
                <w:rtl/>
              </w:rPr>
              <w:t>ً</w:t>
            </w:r>
          </w:p>
          <w:p w:rsidR="004226D7" w:rsidRDefault="004226D7" w:rsidP="00E16D63">
            <w:pPr>
              <w:keepNext/>
              <w:bidi/>
              <w:spacing w:before="60" w:line="280" w:lineRule="exact"/>
              <w:jc w:val="center"/>
              <w:rPr>
                <w:rFonts w:ascii="Arabic Typesetting" w:hAnsi="Arabic Typesetting" w:cs="Arabic Typesetting"/>
                <w:bCs/>
                <w:color w:val="00B050"/>
                <w:sz w:val="28"/>
                <w:szCs w:val="28"/>
                <w:rtl/>
              </w:rPr>
            </w:pPr>
            <w:r>
              <w:rPr>
                <w:rFonts w:ascii="Arabic Typesetting" w:hAnsi="Arabic Typesetting" w:cs="Arabic Typesetting"/>
                <w:bCs/>
                <w:color w:val="00B050"/>
                <w:sz w:val="28"/>
                <w:szCs w:val="28"/>
                <w:rtl/>
              </w:rPr>
              <w:t>محقق كليا</w:t>
            </w:r>
            <w:r w:rsidR="007F1507">
              <w:rPr>
                <w:rFonts w:ascii="Arabic Typesetting" w:hAnsi="Arabic Typesetting" w:cs="Arabic Typesetting" w:hint="cs"/>
                <w:bCs/>
                <w:color w:val="00B050"/>
                <w:sz w:val="28"/>
                <w:szCs w:val="28"/>
                <w:rtl/>
              </w:rPr>
              <w:t>ً</w:t>
            </w:r>
          </w:p>
          <w:p w:rsidR="004226D7" w:rsidRDefault="004226D7" w:rsidP="00E16D63">
            <w:pPr>
              <w:keepNext/>
              <w:bidi/>
              <w:spacing w:before="60" w:line="280" w:lineRule="exact"/>
              <w:jc w:val="center"/>
              <w:rPr>
                <w:rFonts w:ascii="Arabic Typesetting" w:hAnsi="Arabic Typesetting" w:cs="Arabic Typesetting"/>
                <w:bCs/>
                <w:color w:val="00B050"/>
                <w:sz w:val="28"/>
                <w:szCs w:val="28"/>
                <w:rtl/>
              </w:rPr>
            </w:pPr>
          </w:p>
          <w:p w:rsidR="004226D7" w:rsidRDefault="004226D7" w:rsidP="00E16D63">
            <w:pPr>
              <w:keepNext/>
              <w:bidi/>
              <w:spacing w:before="60" w:line="280" w:lineRule="exact"/>
              <w:jc w:val="center"/>
              <w:rPr>
                <w:rFonts w:ascii="Arabic Typesetting" w:hAnsi="Arabic Typesetting" w:cs="Arabic Typesetting"/>
                <w:bCs/>
                <w:color w:val="00B050"/>
                <w:sz w:val="28"/>
                <w:szCs w:val="28"/>
                <w:rtl/>
              </w:rPr>
            </w:pPr>
          </w:p>
          <w:p w:rsidR="004226D7" w:rsidRDefault="004226D7" w:rsidP="004226D7">
            <w:pPr>
              <w:keepNext/>
              <w:bidi/>
              <w:spacing w:line="280" w:lineRule="exact"/>
              <w:jc w:val="center"/>
              <w:rPr>
                <w:rFonts w:ascii="Arabic Typesetting" w:hAnsi="Arabic Typesetting" w:cs="Arabic Typesetting"/>
                <w:bCs/>
                <w:color w:val="FF0000"/>
                <w:sz w:val="28"/>
                <w:szCs w:val="28"/>
                <w:lang w:bidi="ar-EG"/>
              </w:rPr>
            </w:pPr>
            <w:r>
              <w:rPr>
                <w:rFonts w:ascii="Arabic Typesetting" w:hAnsi="Arabic Typesetting" w:cs="Arabic Typesetting"/>
                <w:bCs/>
                <w:color w:val="FF0000"/>
                <w:sz w:val="28"/>
                <w:szCs w:val="28"/>
                <w:rtl/>
                <w:lang w:bidi="ar-EG"/>
              </w:rPr>
              <w:t>غير محقق</w:t>
            </w:r>
          </w:p>
        </w:tc>
      </w:tr>
      <w:tr w:rsidR="004226D7" w:rsidTr="004226D7">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4226D7" w:rsidRDefault="004226D7" w:rsidP="00062F72">
            <w:pPr>
              <w:keepNext/>
              <w:bidi/>
              <w:spacing w:after="60" w:line="280" w:lineRule="exact"/>
              <w:ind w:left="1167" w:hanging="1167"/>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النتيجة المرتقبة:</w:t>
            </w:r>
            <w:r>
              <w:rPr>
                <w:rFonts w:ascii="Arabic Typesetting" w:hAnsi="Arabic Typesetting" w:cs="Arabic Typesetting"/>
                <w:bCs/>
                <w:sz w:val="28"/>
                <w:szCs w:val="28"/>
                <w:rtl/>
                <w:lang w:bidi="ar-EG"/>
              </w:rPr>
              <w:tab/>
            </w:r>
            <w:r>
              <w:rPr>
                <w:rFonts w:ascii="Arabic Typesetting" w:hAnsi="Arabic Typesetting" w:cs="Arabic Typesetting"/>
                <w:sz w:val="28"/>
                <w:szCs w:val="28"/>
                <w:rtl/>
                <w:lang w:bidi="ar-EG"/>
              </w:rPr>
              <w:t xml:space="preserve">ه3.7 </w:t>
            </w:r>
            <w:r w:rsidR="00C4018E" w:rsidRPr="00C4018E">
              <w:rPr>
                <w:rFonts w:ascii="Arabic Typesetting" w:hAnsi="Arabic Typesetting" w:cs="Arabic Typesetting"/>
                <w:sz w:val="28"/>
                <w:szCs w:val="28"/>
                <w:rtl/>
                <w:lang w:bidi="ar-EG"/>
              </w:rPr>
              <w:t>تزايد مصداقية الويبو كمحفل لتحليل قضايا الملكية الفكرية وسياسة المنافسة</w:t>
            </w:r>
          </w:p>
        </w:tc>
      </w:tr>
      <w:tr w:rsidR="004226D7" w:rsidTr="004226D7">
        <w:trPr>
          <w:cantSplit/>
        </w:trPr>
        <w:tc>
          <w:tcPr>
            <w:tcW w:w="1060" w:type="pct"/>
            <w:tcBorders>
              <w:top w:val="single" w:sz="4" w:space="0" w:color="auto"/>
              <w:left w:val="single" w:sz="4" w:space="0" w:color="auto"/>
              <w:bottom w:val="nil"/>
              <w:right w:val="nil"/>
            </w:tcBorders>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مؤشرات الأداء</w:t>
            </w:r>
          </w:p>
        </w:tc>
        <w:tc>
          <w:tcPr>
            <w:tcW w:w="1212" w:type="pct"/>
            <w:tcBorders>
              <w:top w:val="single" w:sz="4" w:space="0" w:color="auto"/>
              <w:left w:val="nil"/>
              <w:bottom w:val="nil"/>
              <w:right w:val="nil"/>
            </w:tcBorders>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 xml:space="preserve">أسس المقارنة </w:t>
            </w:r>
          </w:p>
        </w:tc>
        <w:tc>
          <w:tcPr>
            <w:tcW w:w="909" w:type="pct"/>
            <w:tcBorders>
              <w:top w:val="single" w:sz="4" w:space="0" w:color="auto"/>
              <w:left w:val="nil"/>
              <w:bottom w:val="nil"/>
              <w:right w:val="nil"/>
            </w:tcBorders>
            <w:tcMar>
              <w:top w:w="110" w:type="dxa"/>
              <w:left w:w="108" w:type="dxa"/>
              <w:bottom w:w="0" w:type="dxa"/>
              <w:right w:w="108" w:type="dxa"/>
            </w:tcMar>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val="fr-FR" w:bidi="ar-TN"/>
              </w:rPr>
              <w:t>الأهداف</w:t>
            </w:r>
          </w:p>
        </w:tc>
        <w:tc>
          <w:tcPr>
            <w:tcW w:w="1439" w:type="pct"/>
            <w:tcBorders>
              <w:top w:val="single" w:sz="4" w:space="0" w:color="auto"/>
              <w:left w:val="nil"/>
              <w:bottom w:val="nil"/>
              <w:right w:val="nil"/>
            </w:tcBorders>
            <w:shd w:val="clear" w:color="auto" w:fill="FFFFFF"/>
            <w:tcMar>
              <w:top w:w="110" w:type="dxa"/>
              <w:left w:w="108" w:type="dxa"/>
              <w:bottom w:w="0" w:type="dxa"/>
              <w:right w:w="108" w:type="dxa"/>
            </w:tcMar>
            <w:vAlign w:val="center"/>
            <w:hideMark/>
          </w:tcPr>
          <w:p w:rsidR="004226D7" w:rsidRDefault="004226D7" w:rsidP="00E16D63">
            <w:pPr>
              <w:keepNext/>
              <w:bidi/>
              <w:spacing w:before="60" w:after="60" w:line="280" w:lineRule="exact"/>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بيانات الأداء</w:t>
            </w:r>
          </w:p>
        </w:tc>
        <w:tc>
          <w:tcPr>
            <w:tcW w:w="380" w:type="pct"/>
            <w:tcBorders>
              <w:top w:val="single" w:sz="4" w:space="0" w:color="auto"/>
              <w:left w:val="nil"/>
              <w:bottom w:val="nil"/>
              <w:right w:val="single" w:sz="4" w:space="0" w:color="auto"/>
            </w:tcBorders>
            <w:tcMar>
              <w:top w:w="110" w:type="dxa"/>
              <w:left w:w="108" w:type="dxa"/>
              <w:bottom w:w="0" w:type="dxa"/>
              <w:right w:w="108" w:type="dxa"/>
            </w:tcMar>
            <w:vAlign w:val="center"/>
            <w:hideMark/>
          </w:tcPr>
          <w:p w:rsidR="004226D7" w:rsidRDefault="004226D7" w:rsidP="00E16D63">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السير</w:t>
            </w:r>
          </w:p>
        </w:tc>
      </w:tr>
      <w:tr w:rsidR="004226D7" w:rsidTr="001B6640">
        <w:trPr>
          <w:cantSplit/>
        </w:trPr>
        <w:tc>
          <w:tcPr>
            <w:tcW w:w="1060" w:type="pct"/>
            <w:tcBorders>
              <w:top w:val="nil"/>
              <w:left w:val="single" w:sz="4" w:space="0" w:color="auto"/>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عدد البلدان التي تلتمس مساهمات خصوصية من الويبو بشأن الملكية الفكرية فيما يتعلق بالقضايا المتعلقة بسياسة المنافسة.</w:t>
            </w:r>
          </w:p>
        </w:tc>
        <w:tc>
          <w:tcPr>
            <w:tcW w:w="1212" w:type="pct"/>
            <w:tcBorders>
              <w:top w:val="nil"/>
              <w:left w:val="nil"/>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 xml:space="preserve">ستة </w:t>
            </w:r>
            <w:proofErr w:type="spellStart"/>
            <w:r>
              <w:rPr>
                <w:rFonts w:ascii="Arabic Typesetting" w:hAnsi="Arabic Typesetting" w:cs="Arabic Typesetting"/>
                <w:color w:val="002060"/>
                <w:sz w:val="28"/>
                <w:szCs w:val="28"/>
                <w:rtl/>
              </w:rPr>
              <w:t>التماسات</w:t>
            </w:r>
            <w:proofErr w:type="spellEnd"/>
            <w:r>
              <w:rPr>
                <w:rFonts w:ascii="Arabic Typesetting" w:hAnsi="Arabic Typesetting" w:cs="Arabic Typesetting"/>
                <w:color w:val="002060"/>
                <w:sz w:val="28"/>
                <w:szCs w:val="28"/>
                <w:rtl/>
              </w:rPr>
              <w:t xml:space="preserve"> لإجراء مناقشات ثنائية (شيلي والبرازيل وإكوادور والهند والجمهورية </w:t>
            </w:r>
            <w:proofErr w:type="spellStart"/>
            <w:r>
              <w:rPr>
                <w:rFonts w:ascii="Arabic Typesetting" w:hAnsi="Arabic Typesetting" w:cs="Arabic Typesetting"/>
                <w:color w:val="002060"/>
                <w:sz w:val="28"/>
                <w:szCs w:val="28"/>
                <w:rtl/>
              </w:rPr>
              <w:t>الدومينيكية</w:t>
            </w:r>
            <w:proofErr w:type="spellEnd"/>
            <w:r>
              <w:rPr>
                <w:rFonts w:ascii="Arabic Typesetting" w:hAnsi="Arabic Typesetting" w:cs="Arabic Typesetting"/>
                <w:color w:val="002060"/>
                <w:sz w:val="28"/>
                <w:szCs w:val="28"/>
                <w:rtl/>
              </w:rPr>
              <w:t xml:space="preserve"> وجمهورية مولدوفا) والتماس واحد للحصول على المساعدة التشريعية (بوتان)</w:t>
            </w:r>
          </w:p>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12</w:t>
            </w:r>
          </w:p>
        </w:tc>
        <w:tc>
          <w:tcPr>
            <w:tcW w:w="909" w:type="pct"/>
            <w:tcBorders>
              <w:top w:val="nil"/>
              <w:left w:val="nil"/>
              <w:bottom w:val="single" w:sz="4" w:space="0" w:color="auto"/>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color w:val="993300"/>
                <w:sz w:val="28"/>
                <w:szCs w:val="28"/>
                <w:lang w:bidi="ar-EG"/>
              </w:rPr>
            </w:pPr>
            <w:r>
              <w:rPr>
                <w:rFonts w:ascii="Arabic Typesetting" w:hAnsi="Arabic Typesetting" w:cs="Arabic Typesetting" w:hint="cs"/>
                <w:sz w:val="28"/>
                <w:szCs w:val="28"/>
                <w:rtl/>
                <w:lang w:bidi="ar-EG"/>
              </w:rPr>
              <w:t>15</w:t>
            </w:r>
          </w:p>
        </w:tc>
        <w:tc>
          <w:tcPr>
            <w:tcW w:w="1439" w:type="pct"/>
            <w:tcBorders>
              <w:top w:val="nil"/>
              <w:left w:val="nil"/>
              <w:bottom w:val="single" w:sz="4" w:space="0" w:color="auto"/>
              <w:right w:val="nil"/>
            </w:tcBorders>
            <w:shd w:val="clear" w:color="auto" w:fill="FFFFFF"/>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bidi="ar-TN"/>
              </w:rPr>
            </w:pPr>
            <w:r>
              <w:rPr>
                <w:rFonts w:ascii="Arabic Typesetting" w:hAnsi="Arabic Typesetting" w:cs="Arabic Typesetting"/>
                <w:sz w:val="28"/>
                <w:szCs w:val="28"/>
                <w:rtl/>
                <w:lang w:bidi="ar-EG"/>
              </w:rPr>
              <w:t xml:space="preserve">16 التماسا / متابعة للمناقشات الثنائية (البرازيل وكولومبيا وكوبا والجمهورية </w:t>
            </w:r>
            <w:proofErr w:type="spellStart"/>
            <w:r>
              <w:rPr>
                <w:rFonts w:ascii="Arabic Typesetting" w:hAnsi="Arabic Typesetting" w:cs="Arabic Typesetting"/>
                <w:sz w:val="28"/>
                <w:szCs w:val="28"/>
                <w:rtl/>
                <w:lang w:bidi="ar-EG"/>
              </w:rPr>
              <w:t>الدومينيكية</w:t>
            </w:r>
            <w:proofErr w:type="spellEnd"/>
            <w:r>
              <w:rPr>
                <w:rFonts w:ascii="Arabic Typesetting" w:hAnsi="Arabic Typesetting" w:cs="Arabic Typesetting"/>
                <w:sz w:val="28"/>
                <w:szCs w:val="28"/>
                <w:rtl/>
                <w:lang w:bidi="ar-EG"/>
              </w:rPr>
              <w:t xml:space="preserve"> وإكوادور والسلفادور وهندوراس والهند وإيطاليا والكويت ومنطقة ماكاو الإدارية الخاصة التابعة لجمهورية الصين وبيرو والفلبين وسنغافورة وجنوب أفريقيا </w:t>
            </w:r>
            <w:proofErr w:type="spellStart"/>
            <w:r>
              <w:rPr>
                <w:rFonts w:ascii="Arabic Typesetting" w:hAnsi="Arabic Typesetting" w:cs="Arabic Typesetting"/>
                <w:sz w:val="28"/>
                <w:szCs w:val="28"/>
                <w:rtl/>
                <w:lang w:bidi="ar-EG"/>
              </w:rPr>
              <w:t>وفييت</w:t>
            </w:r>
            <w:proofErr w:type="spellEnd"/>
            <w:r>
              <w:rPr>
                <w:rFonts w:ascii="Arabic Typesetting" w:hAnsi="Arabic Typesetting" w:cs="Arabic Typesetting"/>
                <w:sz w:val="28"/>
                <w:szCs w:val="28"/>
                <w:rtl/>
                <w:lang w:bidi="ar-EG"/>
              </w:rPr>
              <w:t xml:space="preserve"> نام)</w:t>
            </w:r>
          </w:p>
        </w:tc>
        <w:tc>
          <w:tcPr>
            <w:tcW w:w="380" w:type="pct"/>
            <w:tcBorders>
              <w:top w:val="nil"/>
              <w:left w:val="nil"/>
              <w:bottom w:val="single" w:sz="4" w:space="0" w:color="auto"/>
              <w:right w:val="single" w:sz="4" w:space="0" w:color="auto"/>
            </w:tcBorders>
            <w:tcMar>
              <w:top w:w="110" w:type="dxa"/>
              <w:left w:w="108" w:type="dxa"/>
              <w:bottom w:w="0" w:type="dxa"/>
              <w:right w:w="108" w:type="dxa"/>
            </w:tcMar>
            <w:hideMark/>
          </w:tcPr>
          <w:p w:rsidR="004226D7" w:rsidRDefault="004226D7" w:rsidP="00E16D63">
            <w:pPr>
              <w:keepNext/>
              <w:bidi/>
              <w:spacing w:before="60" w:line="280" w:lineRule="exact"/>
              <w:jc w:val="center"/>
              <w:rPr>
                <w:rFonts w:ascii="Arabic Typesetting" w:hAnsi="Arabic Typesetting" w:cs="Arabic Typesetting"/>
                <w:bCs/>
                <w:color w:val="00B050"/>
                <w:sz w:val="28"/>
                <w:szCs w:val="28"/>
              </w:rPr>
            </w:pPr>
            <w:r>
              <w:rPr>
                <w:rFonts w:ascii="Arabic Typesetting" w:hAnsi="Arabic Typesetting" w:cs="Arabic Typesetting"/>
                <w:bCs/>
                <w:color w:val="00B050"/>
                <w:sz w:val="28"/>
                <w:szCs w:val="28"/>
                <w:rtl/>
              </w:rPr>
              <w:t>محقق كليا</w:t>
            </w:r>
            <w:r w:rsidR="007F1507">
              <w:rPr>
                <w:rFonts w:ascii="Arabic Typesetting" w:hAnsi="Arabic Typesetting" w:cs="Arabic Typesetting" w:hint="cs"/>
                <w:bCs/>
                <w:color w:val="00B050"/>
                <w:sz w:val="28"/>
                <w:szCs w:val="28"/>
                <w:rtl/>
              </w:rPr>
              <w:t>ً</w:t>
            </w:r>
          </w:p>
        </w:tc>
      </w:tr>
      <w:tr w:rsidR="004226D7" w:rsidTr="001B6640">
        <w:trPr>
          <w:cantSplit/>
        </w:trPr>
        <w:tc>
          <w:tcPr>
            <w:tcW w:w="1060" w:type="pct"/>
            <w:tcBorders>
              <w:top w:val="single" w:sz="4" w:space="0" w:color="auto"/>
              <w:left w:val="single" w:sz="4" w:space="0" w:color="auto"/>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lastRenderedPageBreak/>
              <w:t>عدد أصحاب المصالح (مكاتب الملكية الفكرية والسلطات المعنية بالمنافسة والمنظمات الحكومية الدولية والمنظمات غير الحكومية الوجيهة) الذين يخوضون حوارا مع الويبو، ومدى تنوعهم</w:t>
            </w:r>
          </w:p>
        </w:tc>
        <w:tc>
          <w:tcPr>
            <w:tcW w:w="1212" w:type="pct"/>
            <w:tcBorders>
              <w:top w:val="single" w:sz="4" w:space="0" w:color="auto"/>
              <w:left w:val="nil"/>
              <w:bottom w:val="single" w:sz="4" w:space="0" w:color="auto"/>
              <w:right w:val="nil"/>
            </w:tcBorders>
            <w:hideMark/>
          </w:tcPr>
          <w:p w:rsidR="004226D7" w:rsidRDefault="004226D7" w:rsidP="00E16D63">
            <w:pPr>
              <w:bidi/>
              <w:spacing w:before="60" w:after="60" w:line="280" w:lineRule="exact"/>
              <w:rPr>
                <w:rFonts w:ascii="Arabic Typesetting" w:hAnsi="Arabic Typesetting" w:cs="Arabic Typesetting"/>
                <w:color w:val="002060"/>
                <w:sz w:val="28"/>
                <w:szCs w:val="28"/>
                <w:rtl/>
              </w:rPr>
            </w:pPr>
            <w:r>
              <w:rPr>
                <w:rFonts w:ascii="Arabic Typesetting" w:hAnsi="Arabic Typesetting" w:cs="Arabic Typesetting"/>
                <w:iCs/>
                <w:color w:val="002060"/>
                <w:sz w:val="28"/>
                <w:szCs w:val="28"/>
                <w:rtl/>
                <w:lang w:bidi="ar-EG"/>
              </w:rPr>
              <w:t xml:space="preserve">أسس المقارنة المحدّثة في نهاية 2013: </w:t>
            </w:r>
            <w:r>
              <w:rPr>
                <w:rFonts w:ascii="Arabic Typesetting" w:hAnsi="Arabic Typesetting" w:cs="Arabic Typesetting"/>
                <w:color w:val="002060"/>
                <w:sz w:val="28"/>
                <w:szCs w:val="28"/>
                <w:rtl/>
              </w:rPr>
              <w:t xml:space="preserve">19 حلقة عمل واجتماعا تشارك فيها 38 سلطة معينة بالمنافسة و5 منظمات حكومية دولية. وإقامة تعاون غير رسمي مع </w:t>
            </w:r>
            <w:proofErr w:type="spellStart"/>
            <w:r>
              <w:rPr>
                <w:rFonts w:ascii="Arabic Typesetting" w:hAnsi="Arabic Typesetting" w:cs="Arabic Typesetting"/>
                <w:color w:val="002060"/>
                <w:sz w:val="28"/>
                <w:szCs w:val="28"/>
                <w:rtl/>
              </w:rPr>
              <w:t>الأونكتاد</w:t>
            </w:r>
            <w:proofErr w:type="spellEnd"/>
            <w:r>
              <w:rPr>
                <w:rFonts w:ascii="Arabic Typesetting" w:hAnsi="Arabic Typesetting" w:cs="Arabic Typesetting"/>
                <w:color w:val="002060"/>
                <w:sz w:val="28"/>
                <w:szCs w:val="28"/>
                <w:rtl/>
              </w:rPr>
              <w:t xml:space="preserve"> ومنظمة التجارة العالمية ومنظمة التعاون والتنمية في الميدان الاقتصادي. والمشاركة بفعالية في الشبكة الدولية للمنافسة والتعاون مع السوق المشتركة للجنوب والشرق الأفريقي</w:t>
            </w:r>
          </w:p>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Cs/>
                <w:sz w:val="28"/>
                <w:szCs w:val="28"/>
                <w:rtl/>
                <w:lang w:bidi="ar-EG"/>
              </w:rPr>
              <w:t xml:space="preserve">أسس المقارنة الأصلية: برنامج وميزانية 2014/15: </w:t>
            </w:r>
            <w:r>
              <w:rPr>
                <w:rFonts w:ascii="Arabic Typesetting" w:hAnsi="Arabic Typesetting" w:cs="Arabic Typesetting"/>
                <w:sz w:val="28"/>
                <w:szCs w:val="28"/>
                <w:rtl/>
                <w:lang w:bidi="ar-EG"/>
              </w:rPr>
              <w:t>أشركت الويبو 25 سلطة وطنية معنية بالمنافسة و3 منظمات حكومية دولية</w:t>
            </w:r>
          </w:p>
        </w:tc>
        <w:tc>
          <w:tcPr>
            <w:tcW w:w="909" w:type="pct"/>
            <w:tcBorders>
              <w:top w:val="single" w:sz="4" w:space="0" w:color="auto"/>
              <w:left w:val="nil"/>
              <w:bottom w:val="single" w:sz="4" w:space="0" w:color="auto"/>
              <w:right w:val="nil"/>
            </w:tcBorders>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bidi="ar-TN"/>
              </w:rPr>
            </w:pPr>
            <w:r>
              <w:rPr>
                <w:rFonts w:ascii="Arabic Typesetting" w:hAnsi="Arabic Typesetting" w:cs="Arabic Typesetting"/>
                <w:sz w:val="28"/>
                <w:szCs w:val="28"/>
                <w:rtl/>
                <w:lang w:val="fr-FR" w:bidi="ar-TN"/>
              </w:rPr>
              <w:t>زيادة عدد أصحاب المصالح المشاركين في أنشطة الويبو: 35 سلطة وطنية و5 منظمات حكومية دولية/منظمات غير حكومية.</w:t>
            </w:r>
          </w:p>
        </w:tc>
        <w:tc>
          <w:tcPr>
            <w:tcW w:w="1439" w:type="pct"/>
            <w:tcBorders>
              <w:top w:val="single" w:sz="4" w:space="0" w:color="auto"/>
              <w:left w:val="nil"/>
              <w:bottom w:val="single" w:sz="4" w:space="0" w:color="auto"/>
              <w:right w:val="nil"/>
            </w:tcBorders>
            <w:shd w:val="clear" w:color="auto" w:fill="FFFFFF"/>
            <w:tcMar>
              <w:top w:w="110" w:type="dxa"/>
              <w:left w:w="108" w:type="dxa"/>
              <w:bottom w:w="0" w:type="dxa"/>
              <w:right w:w="108" w:type="dxa"/>
            </w:tcMar>
            <w:hideMark/>
          </w:tcPr>
          <w:p w:rsidR="004226D7" w:rsidRDefault="004226D7" w:rsidP="00E16D6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TN"/>
              </w:rPr>
              <w:t xml:space="preserve">39 سلطة إضافية معنية بالمنافسة تشارك وتواصل العمل مع 5 منظمات حكومية دولية/منظمات غير حكومية (منظمة التعاون والتنمية في الميدان الاقتصادي </w:t>
            </w:r>
            <w:proofErr w:type="spellStart"/>
            <w:r>
              <w:rPr>
                <w:rFonts w:ascii="Arabic Typesetting" w:hAnsi="Arabic Typesetting" w:cs="Arabic Typesetting"/>
                <w:sz w:val="28"/>
                <w:szCs w:val="28"/>
                <w:rtl/>
                <w:lang w:bidi="ar-TN"/>
              </w:rPr>
              <w:t>والأونكتاد</w:t>
            </w:r>
            <w:proofErr w:type="spellEnd"/>
            <w:r>
              <w:rPr>
                <w:rFonts w:ascii="Arabic Typesetting" w:hAnsi="Arabic Typesetting" w:cs="Arabic Typesetting"/>
                <w:sz w:val="28"/>
                <w:szCs w:val="28"/>
                <w:rtl/>
                <w:lang w:bidi="ar-TN"/>
              </w:rPr>
              <w:t xml:space="preserve"> ومنظمة التجارة العالمية والشبكة الدولية للمنافسة والسوق المشتركة للجنوب والشرق والأفريقي). ومشاركة نشطة في الشبكة الدولية للمنافسة (بما في ذلك مع أعضاء الفريق العامل المعني بالسلوك الأحادي الجانب). وتعاون مع الاتحاد الأوروبي.</w:t>
            </w:r>
          </w:p>
        </w:tc>
        <w:tc>
          <w:tcPr>
            <w:tcW w:w="380" w:type="pct"/>
            <w:tcBorders>
              <w:top w:val="single" w:sz="4" w:space="0" w:color="auto"/>
              <w:left w:val="nil"/>
              <w:bottom w:val="single" w:sz="4" w:space="0" w:color="auto"/>
              <w:right w:val="single" w:sz="4" w:space="0" w:color="auto"/>
            </w:tcBorders>
            <w:tcMar>
              <w:top w:w="110" w:type="dxa"/>
              <w:left w:w="108" w:type="dxa"/>
              <w:bottom w:w="0" w:type="dxa"/>
              <w:right w:w="108" w:type="dxa"/>
            </w:tcMar>
            <w:hideMark/>
          </w:tcPr>
          <w:p w:rsidR="004226D7" w:rsidRDefault="004226D7" w:rsidP="00E16D63">
            <w:pPr>
              <w:keepNext/>
              <w:bidi/>
              <w:spacing w:before="60" w:after="60" w:line="280" w:lineRule="exact"/>
              <w:rPr>
                <w:rFonts w:ascii="Arabic Typesetting" w:hAnsi="Arabic Typesetting" w:cs="Arabic Typesetting"/>
                <w:bCs/>
                <w:color w:val="00B050"/>
                <w:sz w:val="28"/>
                <w:szCs w:val="28"/>
              </w:rPr>
            </w:pPr>
            <w:r>
              <w:rPr>
                <w:rFonts w:ascii="Arabic Typesetting" w:hAnsi="Arabic Typesetting" w:cs="Arabic Typesetting"/>
                <w:bCs/>
                <w:color w:val="00B050"/>
                <w:sz w:val="28"/>
                <w:szCs w:val="28"/>
                <w:rtl/>
              </w:rPr>
              <w:t>محقق كليا</w:t>
            </w:r>
            <w:r w:rsidR="00BF7E3C">
              <w:rPr>
                <w:rFonts w:ascii="Arabic Typesetting" w:hAnsi="Arabic Typesetting" w:cs="Arabic Typesetting" w:hint="cs"/>
                <w:bCs/>
                <w:color w:val="00B050"/>
                <w:sz w:val="28"/>
                <w:szCs w:val="28"/>
                <w:rtl/>
              </w:rPr>
              <w:t>ً</w:t>
            </w:r>
          </w:p>
        </w:tc>
      </w:tr>
    </w:tbl>
    <w:p w:rsidR="004226D7" w:rsidRDefault="004226D7" w:rsidP="004226D7">
      <w:pPr>
        <w:keepNext/>
        <w:bidi/>
        <w:spacing w:before="120" w:after="120" w:line="340" w:lineRule="exact"/>
        <w:rPr>
          <w:rFonts w:ascii="Arabic Typesetting" w:hAnsi="Arabic Typesetting" w:cs="Arabic Typesetting"/>
          <w:sz w:val="34"/>
          <w:szCs w:val="34"/>
          <w:rtl/>
          <w:lang w:val="fr-CH"/>
        </w:rPr>
      </w:pPr>
      <w:r>
        <w:rPr>
          <w:rFonts w:ascii="Arabic Typesetting" w:hAnsi="Arabic Typesetting" w:cs="Arabic Typesetting"/>
          <w:sz w:val="34"/>
          <w:szCs w:val="34"/>
          <w:rtl/>
          <w:lang w:val="fr-CH"/>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4226D7" w:rsidTr="00E16D63">
        <w:trPr>
          <w:cantSplit/>
          <w:trHeight w:val="577"/>
        </w:trPr>
        <w:tc>
          <w:tcPr>
            <w:tcW w:w="2420" w:type="dxa"/>
            <w:tcBorders>
              <w:top w:val="single" w:sz="4" w:space="0" w:color="auto"/>
              <w:left w:val="single" w:sz="4" w:space="0" w:color="auto"/>
              <w:bottom w:val="single" w:sz="4" w:space="0" w:color="auto"/>
              <w:right w:val="nil"/>
            </w:tcBorders>
            <w:shd w:val="clear" w:color="auto" w:fill="C6D9F1" w:themeFill="text2" w:themeFillTint="33"/>
            <w:vAlign w:val="center"/>
            <w:hideMark/>
          </w:tcPr>
          <w:p w:rsidR="004226D7" w:rsidRDefault="004226D7" w:rsidP="00E16D63">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المخاطر التي قد تحول دون تحقيق نتائج البرنامج</w:t>
            </w:r>
          </w:p>
        </w:tc>
        <w:tc>
          <w:tcPr>
            <w:tcW w:w="2200" w:type="dxa"/>
            <w:tcBorders>
              <w:top w:val="single" w:sz="4" w:space="0" w:color="auto"/>
              <w:left w:val="nil"/>
              <w:bottom w:val="single" w:sz="4" w:space="0" w:color="auto"/>
              <w:right w:val="nil"/>
            </w:tcBorders>
            <w:shd w:val="clear" w:color="auto" w:fill="C6D9F1" w:themeFill="text2" w:themeFillTint="33"/>
            <w:vAlign w:val="center"/>
            <w:hideMark/>
          </w:tcPr>
          <w:p w:rsidR="004226D7" w:rsidRDefault="004226D7" w:rsidP="00E16D63">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left w:val="nil"/>
              <w:bottom w:val="single" w:sz="4" w:space="0" w:color="auto"/>
              <w:right w:val="nil"/>
            </w:tcBorders>
            <w:shd w:val="clear" w:color="auto" w:fill="C6D9F1" w:themeFill="text2" w:themeFillTint="33"/>
            <w:hideMark/>
          </w:tcPr>
          <w:p w:rsidR="004226D7" w:rsidRDefault="004226D7" w:rsidP="00E16D63">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تطور المخاطر واستراتيجيات الحد من وطأتها على مدار الثنائية</w:t>
            </w:r>
          </w:p>
        </w:tc>
        <w:tc>
          <w:tcPr>
            <w:tcW w:w="2306" w:type="dxa"/>
            <w:tcBorders>
              <w:top w:val="single" w:sz="4" w:space="0" w:color="auto"/>
              <w:left w:val="nil"/>
              <w:bottom w:val="single" w:sz="4" w:space="0" w:color="auto"/>
              <w:right w:val="single" w:sz="4" w:space="0" w:color="auto"/>
            </w:tcBorders>
            <w:shd w:val="clear" w:color="auto" w:fill="C6D9F1" w:themeFill="text2" w:themeFillTint="33"/>
            <w:hideMark/>
          </w:tcPr>
          <w:p w:rsidR="004226D7" w:rsidRDefault="004226D7" w:rsidP="00E16D63">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التأثير في أداء البرنامج</w:t>
            </w:r>
          </w:p>
        </w:tc>
      </w:tr>
      <w:tr w:rsidR="004226D7" w:rsidTr="004226D7">
        <w:trPr>
          <w:trHeight w:val="1332"/>
        </w:trPr>
        <w:tc>
          <w:tcPr>
            <w:tcW w:w="2420" w:type="dxa"/>
            <w:tcBorders>
              <w:top w:val="single" w:sz="4" w:space="0" w:color="auto"/>
              <w:left w:val="single" w:sz="4" w:space="0" w:color="auto"/>
              <w:right w:val="nil"/>
            </w:tcBorders>
            <w:tcMar>
              <w:top w:w="113" w:type="dxa"/>
              <w:left w:w="108" w:type="dxa"/>
              <w:bottom w:w="113" w:type="dxa"/>
              <w:right w:w="108" w:type="dxa"/>
            </w:tcMar>
            <w:hideMark/>
          </w:tcPr>
          <w:p w:rsidR="004226D7" w:rsidRDefault="004226D7" w:rsidP="007F1507">
            <w:pPr>
              <w:keepNext/>
              <w:autoSpaceDE w:val="0"/>
              <w:autoSpaceDN w:val="0"/>
              <w:bidi/>
              <w:adjustRightInd w:val="0"/>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إن نقص الالتزام أو تضاؤله، من طرف شركاء الويبو في إدارة المنصة، وترك الأعضاء المشتركين للمنصة، أو ألا يقوموا بتحميل قدر كاف من المعلومات، يؤثر </w:t>
            </w:r>
            <w:r w:rsidR="007F1507">
              <w:rPr>
                <w:rFonts w:ascii="Arabic Typesetting" w:hAnsi="Arabic Typesetting" w:cs="Arabic Typesetting" w:hint="cs"/>
                <w:sz w:val="28"/>
                <w:szCs w:val="28"/>
                <w:rtl/>
                <w:lang w:bidi="ar-EG"/>
              </w:rPr>
              <w:t>تأثيراً</w:t>
            </w:r>
            <w:r w:rsidR="007F1507">
              <w:rPr>
                <w:rFonts w:ascii="Arabic Typesetting" w:hAnsi="Arabic Typesetting" w:cs="Arabic Typesetting"/>
                <w:sz w:val="28"/>
                <w:szCs w:val="28"/>
                <w:rtl/>
                <w:lang w:bidi="ar-EG"/>
              </w:rPr>
              <w:t xml:space="preserve"> </w:t>
            </w:r>
            <w:r>
              <w:rPr>
                <w:rFonts w:ascii="Arabic Typesetting" w:hAnsi="Arabic Typesetting" w:cs="Arabic Typesetting"/>
                <w:sz w:val="28"/>
                <w:szCs w:val="28"/>
                <w:rtl/>
                <w:lang w:bidi="ar-EG"/>
              </w:rPr>
              <w:t>مباشر</w:t>
            </w:r>
            <w:r w:rsidR="007F1507">
              <w:rPr>
                <w:rFonts w:ascii="Arabic Typesetting" w:hAnsi="Arabic Typesetting" w:cs="Arabic Typesetting" w:hint="cs"/>
                <w:sz w:val="28"/>
                <w:szCs w:val="28"/>
                <w:rtl/>
                <w:lang w:bidi="ar-EG"/>
              </w:rPr>
              <w:t>اً</w:t>
            </w:r>
            <w:r>
              <w:rPr>
                <w:rFonts w:ascii="Arabic Typesetting" w:hAnsi="Arabic Typesetting" w:cs="Arabic Typesetting"/>
                <w:sz w:val="28"/>
                <w:szCs w:val="28"/>
                <w:rtl/>
                <w:lang w:bidi="ar-EG"/>
              </w:rPr>
              <w:t xml:space="preserve"> </w:t>
            </w:r>
            <w:r w:rsidR="007F1507">
              <w:rPr>
                <w:rFonts w:ascii="Arabic Typesetting" w:hAnsi="Arabic Typesetting" w:cs="Arabic Typesetting" w:hint="cs"/>
                <w:sz w:val="28"/>
                <w:szCs w:val="28"/>
                <w:rtl/>
                <w:lang w:bidi="ar-EG"/>
              </w:rPr>
              <w:t>في</w:t>
            </w:r>
            <w:r w:rsidR="007F1507">
              <w:rPr>
                <w:rFonts w:ascii="Arabic Typesetting" w:hAnsi="Arabic Typesetting" w:cs="Arabic Typesetting"/>
                <w:sz w:val="28"/>
                <w:szCs w:val="28"/>
                <w:rtl/>
                <w:lang w:bidi="ar-EG"/>
              </w:rPr>
              <w:t xml:space="preserve"> </w:t>
            </w:r>
            <w:r>
              <w:rPr>
                <w:rFonts w:ascii="Arabic Typesetting" w:hAnsi="Arabic Typesetting" w:cs="Arabic Typesetting"/>
                <w:sz w:val="28"/>
                <w:szCs w:val="28"/>
                <w:rtl/>
                <w:lang w:bidi="ar-EG"/>
              </w:rPr>
              <w:t>طريقة عمل المنصات وعلى الوظيفة التي يفترض أن تحققها، فضلا عن تأثيرها المباشر على مصداقية ال</w:t>
            </w:r>
            <w:r w:rsidR="003B2ED5">
              <w:rPr>
                <w:rFonts w:ascii="Arabic Typesetting" w:hAnsi="Arabic Typesetting" w:cs="Arabic Typesetting"/>
                <w:sz w:val="28"/>
                <w:szCs w:val="28"/>
                <w:rtl/>
                <w:lang w:bidi="ar-EG"/>
              </w:rPr>
              <w:t>مشروعات</w:t>
            </w:r>
            <w:r>
              <w:rPr>
                <w:rFonts w:ascii="Arabic Typesetting" w:hAnsi="Arabic Typesetting" w:cs="Arabic Typesetting"/>
                <w:sz w:val="28"/>
                <w:szCs w:val="28"/>
                <w:rtl/>
                <w:lang w:bidi="ar-EG"/>
              </w:rPr>
              <w:t>، مما قد يجعل البرامج غير وجيهة مقارنة ب</w:t>
            </w:r>
            <w:r w:rsidR="003B2ED5">
              <w:rPr>
                <w:rFonts w:ascii="Arabic Typesetting" w:hAnsi="Arabic Typesetting" w:cs="Arabic Typesetting"/>
                <w:sz w:val="28"/>
                <w:szCs w:val="28"/>
                <w:rtl/>
                <w:lang w:bidi="ar-EG"/>
              </w:rPr>
              <w:t>مشروعات</w:t>
            </w:r>
            <w:r>
              <w:rPr>
                <w:rFonts w:ascii="Arabic Typesetting" w:hAnsi="Arabic Typesetting" w:cs="Arabic Typesetting"/>
                <w:sz w:val="28"/>
                <w:szCs w:val="28"/>
                <w:rtl/>
                <w:lang w:bidi="ar-EG"/>
              </w:rPr>
              <w:t xml:space="preserve"> مشابهة لبرامج خارج إطار الويبو</w:t>
            </w:r>
          </w:p>
        </w:tc>
        <w:tc>
          <w:tcPr>
            <w:tcW w:w="2200" w:type="dxa"/>
            <w:tcBorders>
              <w:top w:val="single" w:sz="4" w:space="0" w:color="auto"/>
              <w:left w:val="nil"/>
              <w:right w:val="nil"/>
            </w:tcBorders>
            <w:tcMar>
              <w:top w:w="113" w:type="dxa"/>
              <w:left w:w="108" w:type="dxa"/>
              <w:bottom w:w="113" w:type="dxa"/>
              <w:right w:w="108" w:type="dxa"/>
            </w:tcMar>
            <w:hideMark/>
          </w:tcPr>
          <w:p w:rsidR="004226D7" w:rsidRDefault="004226D7" w:rsidP="004226D7">
            <w:pPr>
              <w:keepNext/>
              <w:autoSpaceDE w:val="0"/>
              <w:autoSpaceDN w:val="0"/>
              <w:bidi/>
              <w:adjustRightInd w:val="0"/>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التدقيق باستمرار في الاستراتيجية والمحيط والتخطيط للتمكين من التعرف المبكر على الاتجاهات واتخاذ الإجراءات المناسبة في أقرب وقت ممكن</w:t>
            </w:r>
          </w:p>
        </w:tc>
        <w:tc>
          <w:tcPr>
            <w:tcW w:w="2310" w:type="dxa"/>
            <w:tcBorders>
              <w:top w:val="single" w:sz="4" w:space="0" w:color="auto"/>
              <w:left w:val="nil"/>
              <w:right w:val="nil"/>
            </w:tcBorders>
            <w:hideMark/>
          </w:tcPr>
          <w:p w:rsidR="004226D7" w:rsidRDefault="004226D7" w:rsidP="004226D7">
            <w:pPr>
              <w:keepNext/>
              <w:autoSpaceDE w:val="0"/>
              <w:autoSpaceDN w:val="0"/>
              <w:bidi/>
              <w:adjustRightInd w:val="0"/>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انسحب عضو ثان من أعضاء قاعدة بيانات </w:t>
            </w:r>
            <w:r>
              <w:rPr>
                <w:rFonts w:ascii="Arabic Typesetting" w:hAnsi="Arabic Typesetting" w:cs="Arabic Typesetting"/>
                <w:sz w:val="28"/>
                <w:szCs w:val="28"/>
                <w:lang w:bidi="ar-EG"/>
              </w:rPr>
              <w:t>WIPO </w:t>
            </w:r>
            <w:proofErr w:type="spellStart"/>
            <w:r>
              <w:rPr>
                <w:rFonts w:ascii="Arabic Typesetting" w:hAnsi="Arabic Typesetting" w:cs="Arabic Typesetting"/>
                <w:sz w:val="28"/>
                <w:szCs w:val="28"/>
                <w:lang w:bidi="ar-EG"/>
              </w:rPr>
              <w:t>Re:Search</w:t>
            </w:r>
            <w:proofErr w:type="spellEnd"/>
            <w:r>
              <w:rPr>
                <w:rFonts w:ascii="Arabic Typesetting" w:hAnsi="Arabic Typesetting" w:cs="Arabic Typesetting"/>
                <w:sz w:val="28"/>
                <w:szCs w:val="28"/>
                <w:rtl/>
                <w:lang w:bidi="ar-EG"/>
              </w:rPr>
              <w:t xml:space="preserve"> في 2015 بعد انسحاب عضو أول تابع للقطاع الخاص في 2013. وتكللت الجهود الجاري بذلها لجلب أعضاء مؤسسيين جدد بالنجاح وأثبتت كفايتها لتعويض مغادرة العضويين المذكورين. ولم ينسحب أي شريك من اتحاد شركاء قاعدة بيانات </w:t>
            </w:r>
            <w:r>
              <w:rPr>
                <w:rFonts w:ascii="Arabic Typesetting" w:hAnsi="Arabic Typesetting" w:cs="Arabic Typesetting"/>
                <w:sz w:val="28"/>
                <w:szCs w:val="28"/>
                <w:lang w:bidi="ar-EG"/>
              </w:rPr>
              <w:t>WIPO GREEN</w:t>
            </w:r>
          </w:p>
        </w:tc>
        <w:tc>
          <w:tcPr>
            <w:tcW w:w="2306" w:type="dxa"/>
            <w:tcBorders>
              <w:top w:val="single" w:sz="4" w:space="0" w:color="auto"/>
              <w:left w:val="nil"/>
              <w:right w:val="single" w:sz="4" w:space="0" w:color="auto"/>
            </w:tcBorders>
            <w:hideMark/>
          </w:tcPr>
          <w:p w:rsidR="004226D7" w:rsidRDefault="004226D7" w:rsidP="004226D7">
            <w:pPr>
              <w:keepNext/>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عُوّض انسحاب العضو التابع للقطاع الخاص من قاعدة بيانات </w:t>
            </w:r>
            <w:r>
              <w:rPr>
                <w:rFonts w:ascii="Arabic Typesetting" w:hAnsi="Arabic Typesetting" w:cs="Arabic Typesetting"/>
                <w:sz w:val="28"/>
                <w:szCs w:val="28"/>
                <w:lang w:bidi="ar-EG"/>
              </w:rPr>
              <w:t>WIPO </w:t>
            </w:r>
            <w:proofErr w:type="spellStart"/>
            <w:r>
              <w:rPr>
                <w:rFonts w:ascii="Arabic Typesetting" w:hAnsi="Arabic Typesetting" w:cs="Arabic Typesetting"/>
                <w:sz w:val="28"/>
                <w:szCs w:val="28"/>
                <w:lang w:bidi="ar-EG"/>
              </w:rPr>
              <w:t>Re:Search</w:t>
            </w:r>
            <w:proofErr w:type="spellEnd"/>
            <w:r>
              <w:rPr>
                <w:rFonts w:ascii="Arabic Typesetting" w:hAnsi="Arabic Typesetting" w:cs="Arabic Typesetting"/>
                <w:sz w:val="28"/>
                <w:szCs w:val="28"/>
                <w:rtl/>
                <w:lang w:bidi="ar-EG"/>
              </w:rPr>
              <w:t xml:space="preserve"> بانضمام ثلاثة أعضاء مؤسسيين جدد في 2014 (عضو واحد) و2015 (عضوان). وأدى انسحاب العضو من قاعدة البيانات في 2013 إلى انخفاض بنسبة 27% في مدخلات قاعدة البيانات في 2014، مما عُوّض جزئيا بزيادة في المدخلات بنسبة 5% في 2015.</w:t>
            </w:r>
          </w:p>
        </w:tc>
      </w:tr>
      <w:tr w:rsidR="004226D7" w:rsidTr="001B6640">
        <w:trPr>
          <w:trHeight w:val="1332"/>
        </w:trPr>
        <w:tc>
          <w:tcPr>
            <w:tcW w:w="2420" w:type="dxa"/>
            <w:tcBorders>
              <w:left w:val="single" w:sz="4" w:space="0" w:color="auto"/>
              <w:bottom w:val="single" w:sz="4" w:space="0" w:color="auto"/>
              <w:right w:val="nil"/>
            </w:tcBorders>
            <w:tcMar>
              <w:top w:w="113" w:type="dxa"/>
              <w:left w:w="108" w:type="dxa"/>
              <w:bottom w:w="113" w:type="dxa"/>
              <w:right w:w="108" w:type="dxa"/>
            </w:tcMar>
            <w:hideMark/>
          </w:tcPr>
          <w:p w:rsidR="004226D7" w:rsidRDefault="004226D7" w:rsidP="00BF7E3C">
            <w:pPr>
              <w:autoSpaceDE w:val="0"/>
              <w:autoSpaceDN w:val="0"/>
              <w:bidi/>
              <w:adjustRightInd w:val="0"/>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القدرة على النفاذ من الناحية التقنية إلى قواعد بيانات الملكية الفكرية، واستدامة عمل البنية التحتية لقاعدة البيانات وموثوقيته. وقد </w:t>
            </w:r>
            <w:r w:rsidR="00BF7E3C">
              <w:rPr>
                <w:rFonts w:ascii="Arabic Typesetting" w:hAnsi="Arabic Typesetting" w:cs="Arabic Typesetting" w:hint="cs"/>
                <w:sz w:val="28"/>
                <w:szCs w:val="28"/>
                <w:rtl/>
                <w:lang w:bidi="ar-EG"/>
              </w:rPr>
              <w:t>تسيء</w:t>
            </w:r>
            <w:r w:rsidR="00BF7E3C">
              <w:rPr>
                <w:rFonts w:ascii="Arabic Typesetting" w:hAnsi="Arabic Typesetting" w:cs="Arabic Typesetting"/>
                <w:sz w:val="28"/>
                <w:szCs w:val="28"/>
                <w:rtl/>
                <w:lang w:bidi="ar-EG"/>
              </w:rPr>
              <w:t xml:space="preserve"> </w:t>
            </w:r>
            <w:r w:rsidR="00BF7E3C">
              <w:rPr>
                <w:rFonts w:ascii="Arabic Typesetting" w:hAnsi="Arabic Typesetting" w:cs="Arabic Typesetting" w:hint="cs"/>
                <w:sz w:val="28"/>
                <w:szCs w:val="28"/>
                <w:rtl/>
                <w:lang w:bidi="ar-EG"/>
              </w:rPr>
              <w:t>أية مشكلات في توافر</w:t>
            </w:r>
            <w:r w:rsidR="00BF7E3C">
              <w:rPr>
                <w:rFonts w:ascii="Arabic Typesetting" w:hAnsi="Arabic Typesetting" w:cs="Arabic Typesetting"/>
                <w:sz w:val="28"/>
                <w:szCs w:val="28"/>
                <w:rtl/>
                <w:lang w:bidi="ar-EG"/>
              </w:rPr>
              <w:t xml:space="preserve"> </w:t>
            </w:r>
            <w:r w:rsidR="00BF7E3C">
              <w:rPr>
                <w:rFonts w:ascii="Arabic Typesetting" w:hAnsi="Arabic Typesetting" w:cs="Arabic Typesetting" w:hint="cs"/>
                <w:sz w:val="28"/>
                <w:szCs w:val="28"/>
                <w:rtl/>
                <w:lang w:bidi="ar-EG"/>
              </w:rPr>
              <w:t>البيانات</w:t>
            </w:r>
            <w:r>
              <w:rPr>
                <w:rFonts w:ascii="Arabic Typesetting" w:hAnsi="Arabic Typesetting" w:cs="Arabic Typesetting"/>
                <w:sz w:val="28"/>
                <w:szCs w:val="28"/>
                <w:rtl/>
                <w:lang w:bidi="ar-EG"/>
              </w:rPr>
              <w:t xml:space="preserve"> </w:t>
            </w:r>
            <w:r w:rsidR="00BF7E3C">
              <w:rPr>
                <w:rFonts w:ascii="Arabic Typesetting" w:hAnsi="Arabic Typesetting" w:cs="Arabic Typesetting" w:hint="cs"/>
                <w:sz w:val="28"/>
                <w:szCs w:val="28"/>
                <w:rtl/>
                <w:lang w:bidi="ar-EG"/>
              </w:rPr>
              <w:t>المستمر</w:t>
            </w:r>
            <w:r>
              <w:rPr>
                <w:rFonts w:ascii="Arabic Typesetting" w:hAnsi="Arabic Typesetting" w:cs="Arabic Typesetting"/>
                <w:sz w:val="28"/>
                <w:szCs w:val="28"/>
                <w:rtl/>
                <w:lang w:bidi="ar-EG"/>
              </w:rPr>
              <w:t xml:space="preserve">، </w:t>
            </w:r>
            <w:r w:rsidR="00BF7E3C">
              <w:rPr>
                <w:rFonts w:ascii="Arabic Typesetting" w:hAnsi="Arabic Typesetting" w:cs="Arabic Typesetting" w:hint="cs"/>
                <w:sz w:val="28"/>
                <w:szCs w:val="28"/>
                <w:rtl/>
                <w:lang w:bidi="ar-EG"/>
              </w:rPr>
              <w:t>إلى</w:t>
            </w:r>
            <w:r w:rsidR="00BF7E3C">
              <w:rPr>
                <w:rFonts w:ascii="Arabic Typesetting" w:hAnsi="Arabic Typesetting" w:cs="Arabic Typesetting"/>
                <w:sz w:val="28"/>
                <w:szCs w:val="28"/>
                <w:rtl/>
                <w:lang w:bidi="ar-EG"/>
              </w:rPr>
              <w:t xml:space="preserve"> </w:t>
            </w:r>
            <w:r>
              <w:rPr>
                <w:rFonts w:ascii="Arabic Typesetting" w:hAnsi="Arabic Typesetting" w:cs="Arabic Typesetting"/>
                <w:sz w:val="28"/>
                <w:szCs w:val="28"/>
                <w:rtl/>
                <w:lang w:bidi="ar-EG"/>
              </w:rPr>
              <w:t>سمعة الويبو ومصداقيتها</w:t>
            </w:r>
          </w:p>
        </w:tc>
        <w:tc>
          <w:tcPr>
            <w:tcW w:w="2200" w:type="dxa"/>
            <w:tcBorders>
              <w:bottom w:val="single" w:sz="4" w:space="0" w:color="auto"/>
            </w:tcBorders>
            <w:tcMar>
              <w:top w:w="113" w:type="dxa"/>
              <w:left w:w="108" w:type="dxa"/>
              <w:bottom w:w="113" w:type="dxa"/>
              <w:right w:w="108" w:type="dxa"/>
            </w:tcMar>
            <w:hideMark/>
          </w:tcPr>
          <w:p w:rsidR="004226D7" w:rsidRDefault="004226D7" w:rsidP="00BF7E3C">
            <w:pPr>
              <w:autoSpaceDE w:val="0"/>
              <w:autoSpaceDN w:val="0"/>
              <w:bidi/>
              <w:adjustRightInd w:val="0"/>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ضمان تقديم الخدمات الوجيهة، وضمان التسويق الفعال والبقاء على اتصال دائم بأصحاب </w:t>
            </w:r>
            <w:r w:rsidR="00BF7E3C">
              <w:rPr>
                <w:rFonts w:ascii="Arabic Typesetting" w:hAnsi="Arabic Typesetting" w:cs="Arabic Typesetting" w:hint="cs"/>
                <w:sz w:val="28"/>
                <w:szCs w:val="28"/>
                <w:rtl/>
                <w:lang w:bidi="ar-EG"/>
              </w:rPr>
              <w:t>المصلحة</w:t>
            </w:r>
            <w:r w:rsidR="00BF7E3C">
              <w:rPr>
                <w:rFonts w:ascii="Arabic Typesetting" w:hAnsi="Arabic Typesetting" w:cs="Arabic Typesetting"/>
                <w:sz w:val="28"/>
                <w:szCs w:val="28"/>
                <w:rtl/>
                <w:lang w:bidi="ar-EG"/>
              </w:rPr>
              <w:t xml:space="preserve"> </w:t>
            </w:r>
            <w:r>
              <w:rPr>
                <w:rFonts w:ascii="Arabic Typesetting" w:hAnsi="Arabic Typesetting" w:cs="Arabic Typesetting"/>
                <w:sz w:val="28"/>
                <w:szCs w:val="28"/>
                <w:rtl/>
                <w:lang w:bidi="ar-EG"/>
              </w:rPr>
              <w:t>الرئيسيين</w:t>
            </w:r>
          </w:p>
        </w:tc>
        <w:tc>
          <w:tcPr>
            <w:tcW w:w="2310" w:type="dxa"/>
            <w:tcBorders>
              <w:bottom w:val="single" w:sz="4" w:space="0" w:color="auto"/>
            </w:tcBorders>
            <w:hideMark/>
          </w:tcPr>
          <w:p w:rsidR="004226D7" w:rsidRDefault="004226D7" w:rsidP="00BF7E3C">
            <w:pPr>
              <w:autoSpaceDE w:val="0"/>
              <w:autoSpaceDN w:val="0"/>
              <w:bidi/>
              <w:adjustRightInd w:val="0"/>
              <w:rPr>
                <w:rFonts w:ascii="Arabic Typesetting" w:hAnsi="Arabic Typesetting" w:cs="Arabic Typesetting"/>
                <w:sz w:val="28"/>
                <w:szCs w:val="28"/>
                <w:lang w:bidi="ar-EG"/>
              </w:rPr>
            </w:pPr>
            <w:r>
              <w:rPr>
                <w:rFonts w:ascii="Arabic Typesetting" w:hAnsi="Arabic Typesetting" w:cs="Arabic Typesetting"/>
                <w:sz w:val="28"/>
                <w:szCs w:val="28"/>
                <w:rtl/>
                <w:lang w:bidi="ar-EG"/>
              </w:rPr>
              <w:t>تظلّ المخاطر وجيهة. وأجر</w:t>
            </w:r>
            <w:r w:rsidR="00BF7E3C">
              <w:rPr>
                <w:rFonts w:ascii="Arabic Typesetting" w:hAnsi="Arabic Typesetting" w:cs="Arabic Typesetting" w:hint="cs"/>
                <w:sz w:val="28"/>
                <w:szCs w:val="28"/>
                <w:rtl/>
                <w:lang w:bidi="ar-EG"/>
              </w:rPr>
              <w:t xml:space="preserve">ى </w:t>
            </w:r>
            <w:r w:rsidR="00BF7E3C">
              <w:rPr>
                <w:rFonts w:ascii="Arabic Typesetting" w:hAnsi="Arabic Typesetting" w:cs="Arabic Typesetting"/>
                <w:sz w:val="28"/>
                <w:szCs w:val="28"/>
                <w:rtl/>
                <w:lang w:bidi="ar-EG"/>
              </w:rPr>
              <w:t>فريق تكنولوجيا المعلومات</w:t>
            </w:r>
            <w:r w:rsidR="00BF7E3C">
              <w:rPr>
                <w:rFonts w:ascii="Arabic Typesetting" w:hAnsi="Arabic Typesetting" w:cs="Arabic Typesetting" w:hint="cs"/>
                <w:sz w:val="28"/>
                <w:szCs w:val="28"/>
                <w:rtl/>
                <w:lang w:bidi="ar-EG"/>
              </w:rPr>
              <w:t xml:space="preserve"> </w:t>
            </w:r>
            <w:r>
              <w:rPr>
                <w:rFonts w:ascii="Arabic Typesetting" w:hAnsi="Arabic Typesetting" w:cs="Arabic Typesetting"/>
                <w:sz w:val="28"/>
                <w:szCs w:val="28"/>
                <w:rtl/>
                <w:lang w:bidi="ar-EG"/>
              </w:rPr>
              <w:t>استعراض</w:t>
            </w:r>
            <w:r w:rsidR="00BF7E3C">
              <w:rPr>
                <w:rFonts w:ascii="Arabic Typesetting" w:hAnsi="Arabic Typesetting" w:cs="Arabic Typesetting" w:hint="cs"/>
                <w:sz w:val="28"/>
                <w:szCs w:val="28"/>
                <w:rtl/>
                <w:lang w:bidi="ar-EG"/>
              </w:rPr>
              <w:t>اً</w:t>
            </w:r>
            <w:r>
              <w:rPr>
                <w:rFonts w:ascii="Arabic Typesetting" w:hAnsi="Arabic Typesetting" w:cs="Arabic Typesetting"/>
                <w:sz w:val="28"/>
                <w:szCs w:val="28"/>
                <w:rtl/>
                <w:lang w:bidi="ar-EG"/>
              </w:rPr>
              <w:t xml:space="preserve"> واختبار</w:t>
            </w:r>
            <w:r w:rsidR="00BF7E3C">
              <w:rPr>
                <w:rFonts w:ascii="Arabic Typesetting" w:hAnsi="Arabic Typesetting" w:cs="Arabic Typesetting" w:hint="cs"/>
                <w:sz w:val="28"/>
                <w:szCs w:val="28"/>
                <w:rtl/>
                <w:lang w:bidi="ar-EG"/>
              </w:rPr>
              <w:t>اً منتظمين</w:t>
            </w:r>
            <w:r>
              <w:rPr>
                <w:rFonts w:ascii="Arabic Typesetting" w:hAnsi="Arabic Typesetting" w:cs="Arabic Typesetting"/>
                <w:sz w:val="28"/>
                <w:szCs w:val="28"/>
                <w:rtl/>
                <w:lang w:bidi="ar-EG"/>
              </w:rPr>
              <w:t xml:space="preserve"> لوظائف كلا قاعدتي البيانات</w:t>
            </w:r>
            <w:r w:rsidR="00BF7E3C">
              <w:rPr>
                <w:rFonts w:ascii="Arabic Typesetting" w:hAnsi="Arabic Typesetting" w:cs="Arabic Typesetting" w:hint="cs"/>
                <w:sz w:val="28"/>
                <w:szCs w:val="28"/>
                <w:rtl/>
                <w:lang w:bidi="ar-EG"/>
              </w:rPr>
              <w:t>،</w:t>
            </w:r>
            <w:r>
              <w:rPr>
                <w:rFonts w:ascii="Arabic Typesetting" w:hAnsi="Arabic Typesetting" w:cs="Arabic Typesetting"/>
                <w:sz w:val="28"/>
                <w:szCs w:val="28"/>
                <w:rtl/>
                <w:lang w:bidi="ar-EG"/>
              </w:rPr>
              <w:t xml:space="preserve"> وتبيّن أن ذلك من الاستراتيجيات الفعالة للحد من وطأة المخاطر.</w:t>
            </w:r>
          </w:p>
        </w:tc>
        <w:tc>
          <w:tcPr>
            <w:tcW w:w="2306" w:type="dxa"/>
            <w:tcBorders>
              <w:left w:val="nil"/>
              <w:bottom w:val="single" w:sz="4" w:space="0" w:color="auto"/>
              <w:right w:val="single" w:sz="4" w:space="0" w:color="auto"/>
            </w:tcBorders>
            <w:hideMark/>
          </w:tcPr>
          <w:p w:rsidR="004226D7" w:rsidRDefault="004226D7" w:rsidP="00BF7E3C">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أدت قاعدت</w:t>
            </w:r>
            <w:r w:rsidR="007F1507">
              <w:rPr>
                <w:rFonts w:ascii="Arabic Typesetting" w:hAnsi="Arabic Typesetting" w:cs="Arabic Typesetting" w:hint="cs"/>
                <w:sz w:val="28"/>
                <w:szCs w:val="28"/>
                <w:rtl/>
                <w:lang w:bidi="ar-EG"/>
              </w:rPr>
              <w:t>ا</w:t>
            </w:r>
            <w:r>
              <w:rPr>
                <w:rFonts w:ascii="Arabic Typesetting" w:hAnsi="Arabic Typesetting" w:cs="Arabic Typesetting"/>
                <w:sz w:val="28"/>
                <w:szCs w:val="28"/>
                <w:rtl/>
                <w:lang w:bidi="ar-EG"/>
              </w:rPr>
              <w:t xml:space="preserve"> البيانات وظائفه</w:t>
            </w:r>
            <w:r w:rsidR="00BF7E3C">
              <w:rPr>
                <w:rFonts w:ascii="Arabic Typesetting" w:hAnsi="Arabic Typesetting" w:cs="Arabic Typesetting" w:hint="cs"/>
                <w:sz w:val="28"/>
                <w:szCs w:val="28"/>
                <w:rtl/>
                <w:lang w:bidi="ar-EG"/>
              </w:rPr>
              <w:t>م</w:t>
            </w:r>
            <w:r>
              <w:rPr>
                <w:rFonts w:ascii="Arabic Typesetting" w:hAnsi="Arabic Typesetting" w:cs="Arabic Typesetting"/>
                <w:sz w:val="28"/>
                <w:szCs w:val="28"/>
                <w:rtl/>
                <w:lang w:bidi="ar-EG"/>
              </w:rPr>
              <w:t xml:space="preserve">ا بشكل ثابت عموما دون تسجيل أية </w:t>
            </w:r>
            <w:r w:rsidR="00BF7E3C">
              <w:rPr>
                <w:rFonts w:ascii="Arabic Typesetting" w:hAnsi="Arabic Typesetting" w:cs="Arabic Typesetting" w:hint="cs"/>
                <w:sz w:val="28"/>
                <w:szCs w:val="28"/>
                <w:rtl/>
                <w:lang w:bidi="ar-EG"/>
              </w:rPr>
              <w:t>مشكلات</w:t>
            </w:r>
            <w:r w:rsidR="00BF7E3C">
              <w:rPr>
                <w:rFonts w:ascii="Arabic Typesetting" w:hAnsi="Arabic Typesetting" w:cs="Arabic Typesetting"/>
                <w:sz w:val="28"/>
                <w:szCs w:val="28"/>
                <w:rtl/>
                <w:lang w:bidi="ar-EG"/>
              </w:rPr>
              <w:t xml:space="preserve"> </w:t>
            </w:r>
            <w:r>
              <w:rPr>
                <w:rFonts w:ascii="Arabic Typesetting" w:hAnsi="Arabic Typesetting" w:cs="Arabic Typesetting"/>
                <w:sz w:val="28"/>
                <w:szCs w:val="28"/>
                <w:rtl/>
                <w:lang w:bidi="ar-EG"/>
              </w:rPr>
              <w:t xml:space="preserve">تؤثر </w:t>
            </w:r>
            <w:r w:rsidR="00BF7E3C">
              <w:rPr>
                <w:rFonts w:ascii="Arabic Typesetting" w:hAnsi="Arabic Typesetting" w:cs="Arabic Typesetting" w:hint="cs"/>
                <w:sz w:val="28"/>
                <w:szCs w:val="28"/>
                <w:rtl/>
                <w:lang w:bidi="ar-EG"/>
              </w:rPr>
              <w:t>في</w:t>
            </w:r>
            <w:r w:rsidR="00BF7E3C">
              <w:rPr>
                <w:rFonts w:ascii="Arabic Typesetting" w:hAnsi="Arabic Typesetting" w:cs="Arabic Typesetting"/>
                <w:sz w:val="28"/>
                <w:szCs w:val="28"/>
                <w:rtl/>
                <w:lang w:bidi="ar-EG"/>
              </w:rPr>
              <w:t xml:space="preserve"> </w:t>
            </w:r>
            <w:r>
              <w:rPr>
                <w:rFonts w:ascii="Arabic Typesetting" w:hAnsi="Arabic Typesetting" w:cs="Arabic Typesetting"/>
                <w:sz w:val="28"/>
                <w:szCs w:val="28"/>
                <w:rtl/>
                <w:lang w:bidi="ar-EG"/>
              </w:rPr>
              <w:t>أداء البرنامج.</w:t>
            </w:r>
          </w:p>
        </w:tc>
      </w:tr>
      <w:tr w:rsidR="004226D7" w:rsidTr="001B6640">
        <w:trPr>
          <w:cantSplit/>
          <w:trHeight w:val="1332"/>
        </w:trPr>
        <w:tc>
          <w:tcPr>
            <w:tcW w:w="2420" w:type="dxa"/>
            <w:tcBorders>
              <w:top w:val="single" w:sz="4" w:space="0" w:color="auto"/>
              <w:left w:val="single" w:sz="4" w:space="0" w:color="auto"/>
              <w:bottom w:val="single" w:sz="4" w:space="0" w:color="auto"/>
              <w:right w:val="nil"/>
            </w:tcBorders>
            <w:tcMar>
              <w:top w:w="113" w:type="dxa"/>
              <w:left w:w="108" w:type="dxa"/>
              <w:bottom w:w="113" w:type="dxa"/>
              <w:right w:w="108" w:type="dxa"/>
            </w:tcMar>
            <w:hideMark/>
          </w:tcPr>
          <w:p w:rsidR="004226D7" w:rsidRDefault="004226D7" w:rsidP="00E16D63">
            <w:pPr>
              <w:autoSpaceDE w:val="0"/>
              <w:autoSpaceDN w:val="0"/>
              <w:bidi/>
              <w:adjustRightInd w:val="0"/>
              <w:rPr>
                <w:rFonts w:ascii="Arabic Typesetting" w:hAnsi="Arabic Typesetting" w:cs="Arabic Typesetting"/>
                <w:sz w:val="28"/>
                <w:szCs w:val="28"/>
                <w:lang w:bidi="ar-EG"/>
              </w:rPr>
            </w:pPr>
            <w:r>
              <w:rPr>
                <w:rFonts w:ascii="Arabic Typesetting" w:hAnsi="Arabic Typesetting" w:cs="Arabic Typesetting"/>
                <w:sz w:val="28"/>
                <w:szCs w:val="28"/>
                <w:rtl/>
                <w:lang w:bidi="ar-EG"/>
              </w:rPr>
              <w:lastRenderedPageBreak/>
              <w:t>مستوى التزام الوكالات الوطنية بعمل الويبو في الملكية الفكرية ومستوى المنافسة أقل من المتوقع</w:t>
            </w:r>
          </w:p>
        </w:tc>
        <w:tc>
          <w:tcPr>
            <w:tcW w:w="2200" w:type="dxa"/>
            <w:tcBorders>
              <w:top w:val="single" w:sz="4" w:space="0" w:color="auto"/>
              <w:left w:val="nil"/>
              <w:bottom w:val="single" w:sz="4" w:space="0" w:color="auto"/>
              <w:right w:val="nil"/>
            </w:tcBorders>
            <w:tcMar>
              <w:top w:w="113" w:type="dxa"/>
              <w:left w:w="108" w:type="dxa"/>
              <w:bottom w:w="113" w:type="dxa"/>
              <w:right w:w="108" w:type="dxa"/>
            </w:tcMar>
            <w:hideMark/>
          </w:tcPr>
          <w:p w:rsidR="004226D7" w:rsidRDefault="004226D7" w:rsidP="00E16D63">
            <w:pPr>
              <w:autoSpaceDE w:val="0"/>
              <w:autoSpaceDN w:val="0"/>
              <w:bidi/>
              <w:adjustRightInd w:val="0"/>
              <w:rPr>
                <w:rFonts w:ascii="Arabic Typesetting" w:hAnsi="Arabic Typesetting" w:cs="Arabic Typesetting"/>
                <w:sz w:val="28"/>
                <w:szCs w:val="28"/>
                <w:lang w:bidi="ar-EG"/>
              </w:rPr>
            </w:pPr>
            <w:r>
              <w:rPr>
                <w:rFonts w:ascii="Arabic Typesetting" w:hAnsi="Arabic Typesetting" w:cs="Arabic Typesetting"/>
                <w:sz w:val="28"/>
                <w:szCs w:val="28"/>
                <w:rtl/>
                <w:lang w:bidi="ar-EG"/>
              </w:rPr>
              <w:t>تعزيز التواصل المنهجي مع الدول الأعضاء؛ وعرض أمثلة ناجحة للتعاون بين سلطات الملكية الفكرية والسلطات المعنية بالمنافسة، بالإضافة إلى المنظمات الحكومية الدولية والمنظمات غير الحكومية الوجيهة</w:t>
            </w:r>
          </w:p>
        </w:tc>
        <w:tc>
          <w:tcPr>
            <w:tcW w:w="2310" w:type="dxa"/>
            <w:tcBorders>
              <w:top w:val="single" w:sz="4" w:space="0" w:color="auto"/>
              <w:left w:val="nil"/>
              <w:bottom w:val="single" w:sz="4" w:space="0" w:color="auto"/>
              <w:right w:val="nil"/>
            </w:tcBorders>
            <w:hideMark/>
          </w:tcPr>
          <w:p w:rsidR="004226D7" w:rsidRDefault="004226D7" w:rsidP="00BF7E3C">
            <w:pPr>
              <w:autoSpaceDE w:val="0"/>
              <w:autoSpaceDN w:val="0"/>
              <w:bidi/>
              <w:adjustRightInd w:val="0"/>
              <w:rPr>
                <w:rFonts w:ascii="Arabic Typesetting" w:hAnsi="Arabic Typesetting" w:cs="Arabic Typesetting"/>
                <w:sz w:val="28"/>
                <w:szCs w:val="28"/>
              </w:rPr>
            </w:pPr>
            <w:r>
              <w:rPr>
                <w:rFonts w:ascii="Arabic Typesetting" w:hAnsi="Arabic Typesetting" w:cs="Arabic Typesetting"/>
                <w:sz w:val="28"/>
                <w:szCs w:val="28"/>
                <w:rtl/>
                <w:lang w:bidi="ar-EG"/>
              </w:rPr>
              <w:t xml:space="preserve">ظل مستوى الالتزام عاليا في 2014/15، </w:t>
            </w:r>
            <w:r w:rsidR="00BF7E3C">
              <w:rPr>
                <w:rFonts w:ascii="Arabic Typesetting" w:hAnsi="Arabic Typesetting" w:cs="Arabic Typesetting" w:hint="cs"/>
                <w:sz w:val="28"/>
                <w:szCs w:val="28"/>
                <w:rtl/>
                <w:lang w:bidi="ar-EG"/>
              </w:rPr>
              <w:t>و</w:t>
            </w:r>
            <w:r>
              <w:rPr>
                <w:rFonts w:ascii="Arabic Typesetting" w:hAnsi="Arabic Typesetting" w:cs="Arabic Typesetting"/>
                <w:sz w:val="28"/>
                <w:szCs w:val="28"/>
                <w:rtl/>
                <w:lang w:bidi="ar-EG"/>
              </w:rPr>
              <w:t xml:space="preserve">استمر التعاون مع مكاتب الملكية الفكرية والسلطات المعنية بالمنافسة على الاضطلاع بعمل البرنامج، لا سيما في حلقات العمل التي تبادلت فيه كلا الجهتين </w:t>
            </w:r>
            <w:r w:rsidR="00BF7E3C">
              <w:rPr>
                <w:rFonts w:ascii="Arabic Typesetting" w:hAnsi="Arabic Typesetting" w:cs="Arabic Typesetting"/>
                <w:sz w:val="28"/>
                <w:szCs w:val="28"/>
                <w:rtl/>
                <w:lang w:bidi="ar-EG"/>
              </w:rPr>
              <w:t>آرا</w:t>
            </w:r>
            <w:r w:rsidR="00BF7E3C">
              <w:rPr>
                <w:rFonts w:ascii="Arabic Typesetting" w:hAnsi="Arabic Typesetting" w:cs="Arabic Typesetting" w:hint="cs"/>
                <w:sz w:val="28"/>
                <w:szCs w:val="28"/>
                <w:rtl/>
                <w:lang w:bidi="ar-EG"/>
              </w:rPr>
              <w:t>ئ</w:t>
            </w:r>
            <w:r w:rsidR="00BF7E3C">
              <w:rPr>
                <w:rFonts w:ascii="Arabic Typesetting" w:hAnsi="Arabic Typesetting" w:cs="Arabic Typesetting"/>
                <w:sz w:val="28"/>
                <w:szCs w:val="28"/>
                <w:rtl/>
                <w:lang w:bidi="ar-EG"/>
              </w:rPr>
              <w:t>ه</w:t>
            </w:r>
            <w:r w:rsidR="00BF7E3C">
              <w:rPr>
                <w:rFonts w:ascii="Arabic Typesetting" w:hAnsi="Arabic Typesetting" w:cs="Arabic Typesetting" w:hint="cs"/>
                <w:sz w:val="28"/>
                <w:szCs w:val="28"/>
                <w:rtl/>
                <w:lang w:bidi="ar-EG"/>
              </w:rPr>
              <w:t>م</w:t>
            </w:r>
            <w:r w:rsidR="00BF7E3C">
              <w:rPr>
                <w:rFonts w:ascii="Arabic Typesetting" w:hAnsi="Arabic Typesetting" w:cs="Arabic Typesetting"/>
                <w:sz w:val="28"/>
                <w:szCs w:val="28"/>
                <w:rtl/>
                <w:lang w:bidi="ar-EG"/>
              </w:rPr>
              <w:t xml:space="preserve">ا </w:t>
            </w:r>
            <w:r w:rsidR="00BF7E3C">
              <w:rPr>
                <w:rFonts w:ascii="Arabic Typesetting" w:hAnsi="Arabic Typesetting" w:cs="Arabic Typesetting" w:hint="cs"/>
                <w:sz w:val="28"/>
                <w:szCs w:val="28"/>
                <w:rtl/>
                <w:lang w:bidi="ar-EG"/>
              </w:rPr>
              <w:t>في</w:t>
            </w:r>
            <w:r w:rsidR="00BF7E3C">
              <w:rPr>
                <w:rFonts w:ascii="Arabic Typesetting" w:hAnsi="Arabic Typesetting" w:cs="Arabic Typesetting"/>
                <w:sz w:val="28"/>
                <w:szCs w:val="28"/>
                <w:rtl/>
                <w:lang w:bidi="ar-EG"/>
              </w:rPr>
              <w:t xml:space="preserve"> </w:t>
            </w:r>
            <w:r>
              <w:rPr>
                <w:rFonts w:ascii="Arabic Typesetting" w:hAnsi="Arabic Typesetting" w:cs="Arabic Typesetting"/>
                <w:sz w:val="28"/>
                <w:szCs w:val="28"/>
                <w:rtl/>
                <w:lang w:bidi="ar-EG"/>
              </w:rPr>
              <w:t>التفاعل بين الملكية الفكرية والمنافسة.</w:t>
            </w:r>
          </w:p>
        </w:tc>
        <w:tc>
          <w:tcPr>
            <w:tcW w:w="2306" w:type="dxa"/>
            <w:tcBorders>
              <w:top w:val="single" w:sz="4" w:space="0" w:color="auto"/>
              <w:left w:val="nil"/>
              <w:bottom w:val="single" w:sz="4" w:space="0" w:color="auto"/>
              <w:right w:val="single" w:sz="4" w:space="0" w:color="auto"/>
            </w:tcBorders>
            <w:hideMark/>
          </w:tcPr>
          <w:p w:rsidR="004226D7" w:rsidRDefault="004226D7" w:rsidP="00E16D63">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يوجد أي أثر مادي على أداء البرنامج في 2014/15.</w:t>
            </w:r>
          </w:p>
        </w:tc>
      </w:tr>
    </w:tbl>
    <w:p w:rsidR="004226D7" w:rsidRDefault="004226D7" w:rsidP="00774E37">
      <w:pPr>
        <w:keepNext/>
        <w:bidi/>
        <w:spacing w:before="120" w:after="120" w:line="340" w:lineRule="exact"/>
        <w:rPr>
          <w:rFonts w:ascii="Arabic Typesetting" w:hAnsi="Arabic Typesetting" w:cs="Arabic Typesetting"/>
          <w:sz w:val="34"/>
          <w:szCs w:val="34"/>
          <w:rtl/>
          <w:lang w:val="fr-CH"/>
        </w:rPr>
      </w:pPr>
      <w:r>
        <w:rPr>
          <w:rFonts w:ascii="Arabic Typesetting" w:hAnsi="Arabic Typesetting" w:cs="Arabic Typesetting"/>
          <w:sz w:val="34"/>
          <w:szCs w:val="34"/>
          <w:rtl/>
          <w:lang w:val="fr-CH"/>
        </w:rPr>
        <w:t>استخدام الموارد</w:t>
      </w:r>
    </w:p>
    <w:p w:rsidR="004226D7" w:rsidRDefault="004226D7" w:rsidP="00774E37">
      <w:pPr>
        <w:keepNext/>
        <w:bidi/>
        <w:spacing w:line="340" w:lineRule="exact"/>
        <w:jc w:val="center"/>
        <w:rPr>
          <w:rFonts w:ascii="Arabic Typesetting" w:hAnsi="Arabic Typesetting" w:cs="Arabic Typesetting"/>
          <w:sz w:val="34"/>
          <w:szCs w:val="34"/>
          <w:rtl/>
          <w:lang w:bidi="ar-EG"/>
        </w:rPr>
      </w:pPr>
      <w:r>
        <w:rPr>
          <w:rFonts w:ascii="Arabic Typesetting" w:hAnsi="Arabic Typesetting" w:cs="Arabic Typesetting"/>
          <w:sz w:val="34"/>
          <w:szCs w:val="34"/>
          <w:rtl/>
          <w:lang w:bidi="ar-EG"/>
        </w:rPr>
        <w:t>الميزانية والنفقات الفعلية (بحسب النتائج)</w:t>
      </w:r>
    </w:p>
    <w:p w:rsidR="004226D7" w:rsidRDefault="004226D7" w:rsidP="00774E37">
      <w:pPr>
        <w:keepNext/>
        <w:bidi/>
        <w:spacing w:after="120" w:line="340" w:lineRule="exact"/>
        <w:jc w:val="center"/>
        <w:rPr>
          <w:rFonts w:ascii="Arabic Typesetting" w:hAnsi="Arabic Typesetting" w:cs="Arabic Typesetting"/>
          <w:i/>
          <w:iCs/>
          <w:sz w:val="34"/>
          <w:szCs w:val="34"/>
          <w:rtl/>
          <w:lang w:bidi="ar-EG"/>
        </w:rPr>
      </w:pPr>
      <w:r>
        <w:rPr>
          <w:rFonts w:ascii="Arabic Typesetting" w:hAnsi="Arabic Typesetting" w:cs="Arabic Typesetting"/>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4226D7" w:rsidTr="00E16D63">
        <w:trPr>
          <w:cantSplit/>
          <w:trHeight w:val="825"/>
        </w:trPr>
        <w:tc>
          <w:tcPr>
            <w:tcW w:w="2752"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4226D7" w:rsidRDefault="004226D7" w:rsidP="00774E37">
            <w:pPr>
              <w:keepNext/>
              <w:bidi/>
              <w:jc w:val="center"/>
              <w:rPr>
                <w:rFonts w:ascii="Arabic Typesetting" w:hAnsi="Arabic Typesetting" w:cs="Arabic Typesetting"/>
                <w:i/>
                <w:iCs/>
                <w:sz w:val="28"/>
                <w:szCs w:val="28"/>
              </w:rPr>
            </w:pPr>
            <w:r>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226D7" w:rsidRDefault="004226D7" w:rsidP="00774E37">
            <w:pPr>
              <w:keepNext/>
              <w:bidi/>
              <w:jc w:val="center"/>
              <w:rPr>
                <w:rFonts w:ascii="Arabic Typesetting" w:hAnsi="Arabic Typesetting" w:cs="Arabic Typesetting"/>
                <w:i/>
                <w:iCs/>
                <w:sz w:val="28"/>
                <w:szCs w:val="28"/>
              </w:rPr>
            </w:pPr>
            <w:r>
              <w:rPr>
                <w:rFonts w:ascii="Arabic Typesetting" w:hAnsi="Arabic Typesetting" w:cs="Arabic Typesetting"/>
                <w:i/>
                <w:iCs/>
                <w:sz w:val="28"/>
                <w:szCs w:val="28"/>
                <w:rtl/>
              </w:rPr>
              <w:t>الميزانية المعتمدة 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226D7" w:rsidRDefault="004226D7" w:rsidP="00774E37">
            <w:pPr>
              <w:keepNext/>
              <w:bidi/>
              <w:jc w:val="center"/>
              <w:rPr>
                <w:rFonts w:ascii="Arabic Typesetting" w:hAnsi="Arabic Typesetting" w:cs="Arabic Typesetting"/>
                <w:i/>
                <w:iCs/>
                <w:sz w:val="28"/>
                <w:szCs w:val="28"/>
              </w:rPr>
            </w:pPr>
            <w:r>
              <w:rPr>
                <w:rFonts w:ascii="Arabic Typesetting" w:hAnsi="Arabic Typesetting" w:cs="Arabic Typesetting"/>
                <w:i/>
                <w:iCs/>
                <w:sz w:val="28"/>
                <w:szCs w:val="28"/>
                <w:rtl/>
              </w:rPr>
              <w:t>الميزانية النهائية بعد التحويلات 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4226D7" w:rsidRDefault="004226D7" w:rsidP="00774E37">
            <w:pPr>
              <w:keepNext/>
              <w:bidi/>
              <w:jc w:val="center"/>
              <w:rPr>
                <w:rFonts w:ascii="Arabic Typesetting" w:hAnsi="Arabic Typesetting" w:cs="Arabic Typesetting"/>
                <w:i/>
                <w:iCs/>
                <w:sz w:val="28"/>
                <w:szCs w:val="28"/>
              </w:rPr>
            </w:pPr>
            <w:r>
              <w:rPr>
                <w:rFonts w:ascii="Arabic Typesetting" w:hAnsi="Arabic Typesetting" w:cs="Arabic Typesetting"/>
                <w:i/>
                <w:iCs/>
                <w:sz w:val="28"/>
                <w:szCs w:val="28"/>
                <w:rtl/>
              </w:rPr>
              <w:t>نفقات 2014/15</w:t>
            </w:r>
          </w:p>
        </w:tc>
      </w:tr>
      <w:tr w:rsidR="004226D7" w:rsidTr="00E16D63">
        <w:trPr>
          <w:cantSplit/>
          <w:trHeight w:val="10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4226D7" w:rsidRDefault="004226D7" w:rsidP="00774E37">
            <w:pPr>
              <w:keepNext/>
              <w:bidi/>
              <w:rPr>
                <w:rFonts w:ascii="Arabic Typesetting" w:hAnsi="Arabic Typesetting" w:cs="Arabic Typesetting"/>
                <w:sz w:val="28"/>
                <w:szCs w:val="28"/>
              </w:rPr>
            </w:pPr>
            <w:r>
              <w:rPr>
                <w:rFonts w:ascii="Arabic Typesetting" w:hAnsi="Arabic Typesetting" w:cs="Arabic Typesetting"/>
                <w:sz w:val="28"/>
                <w:szCs w:val="28"/>
                <w:rtl/>
              </w:rPr>
              <w:t>ھ1.1</w:t>
            </w:r>
          </w:p>
        </w:tc>
        <w:tc>
          <w:tcPr>
            <w:tcW w:w="2340" w:type="pct"/>
            <w:tcMar>
              <w:top w:w="15" w:type="dxa"/>
              <w:left w:w="15" w:type="dxa"/>
              <w:bottom w:w="0" w:type="dxa"/>
              <w:right w:w="15" w:type="dxa"/>
            </w:tcMar>
            <w:vAlign w:val="center"/>
            <w:hideMark/>
          </w:tcPr>
          <w:p w:rsidR="004226D7" w:rsidRDefault="000432CA" w:rsidP="00774E37">
            <w:pPr>
              <w:keepNext/>
              <w:bidi/>
              <w:rPr>
                <w:rFonts w:ascii="Arabic Typesetting" w:hAnsi="Arabic Typesetting" w:cs="Arabic Typesetting"/>
                <w:sz w:val="28"/>
                <w:szCs w:val="28"/>
              </w:rPr>
            </w:pPr>
            <w:r>
              <w:rPr>
                <w:rFonts w:ascii="Arabic Typesetting" w:hAnsi="Arabic Typesetting" w:cs="Arabic Typesetting"/>
                <w:sz w:val="28"/>
                <w:szCs w:val="28"/>
                <w:rtl/>
              </w:rPr>
              <w:t>تعاون معزز بين الدول الأعضاء في تطوير أطر معيارية دولية متوازنة للملكية الفكرية والاتفاق على محاور محدّدة وعلى صكوك دولية بشأنها</w:t>
            </w:r>
          </w:p>
        </w:tc>
        <w:tc>
          <w:tcPr>
            <w:tcW w:w="749" w:type="pct"/>
            <w:tcMar>
              <w:top w:w="15" w:type="dxa"/>
              <w:left w:w="15" w:type="dxa"/>
              <w:bottom w:w="0" w:type="dxa"/>
              <w:right w:w="15" w:type="dxa"/>
            </w:tcMar>
            <w:vAlign w:val="center"/>
            <w:hideMark/>
          </w:tcPr>
          <w:p w:rsidR="004226D7" w:rsidRDefault="004226D7" w:rsidP="00774E37">
            <w:pPr>
              <w:keepNext/>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Mar>
              <w:top w:w="15" w:type="dxa"/>
              <w:left w:w="15" w:type="dxa"/>
              <w:bottom w:w="0" w:type="dxa"/>
              <w:right w:w="15" w:type="dxa"/>
            </w:tcMar>
            <w:vAlign w:val="center"/>
            <w:hideMark/>
          </w:tcPr>
          <w:p w:rsidR="004226D7" w:rsidRDefault="004226D7" w:rsidP="00774E37">
            <w:pPr>
              <w:keepNext/>
              <w:rPr>
                <w:rFonts w:ascii="Arabic Typesetting" w:hAnsi="Arabic Typesetting" w:cs="Arabic Typesetting"/>
                <w:sz w:val="28"/>
                <w:szCs w:val="28"/>
              </w:rPr>
            </w:pPr>
            <w:r>
              <w:rPr>
                <w:rFonts w:ascii="Arabic Typesetting" w:hAnsi="Arabic Typesetting" w:cs="Arabic Typesetting"/>
                <w:sz w:val="28"/>
                <w:szCs w:val="28"/>
                <w:rtl/>
              </w:rPr>
              <w:t>234</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4226D7" w:rsidRDefault="004226D7" w:rsidP="00774E37">
            <w:pPr>
              <w:keepNext/>
              <w:rPr>
                <w:rFonts w:ascii="Arabic Typesetting" w:hAnsi="Arabic Typesetting" w:cs="Arabic Typesetting"/>
                <w:sz w:val="28"/>
                <w:szCs w:val="28"/>
              </w:rPr>
            </w:pPr>
            <w:r>
              <w:rPr>
                <w:rFonts w:ascii="Arabic Typesetting" w:hAnsi="Arabic Typesetting" w:cs="Arabic Typesetting"/>
                <w:sz w:val="28"/>
                <w:szCs w:val="28"/>
                <w:rtl/>
              </w:rPr>
              <w:t>232</w:t>
            </w:r>
          </w:p>
        </w:tc>
      </w:tr>
      <w:tr w:rsidR="004226D7" w:rsidTr="00E16D63">
        <w:trPr>
          <w:cantSplit/>
          <w:trHeight w:val="10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ھ8.2</w:t>
            </w:r>
          </w:p>
        </w:tc>
        <w:tc>
          <w:tcPr>
            <w:tcW w:w="2340" w:type="pct"/>
            <w:tcMar>
              <w:top w:w="15" w:type="dxa"/>
              <w:left w:w="15" w:type="dxa"/>
              <w:bottom w:w="0" w:type="dxa"/>
              <w:right w:w="15" w:type="dxa"/>
            </w:tcMar>
            <w:vAlign w:val="center"/>
            <w:hideMark/>
          </w:tcPr>
          <w:p w:rsidR="004226D7" w:rsidRDefault="00A0719D" w:rsidP="00E16D63">
            <w:pPr>
              <w:bidi/>
              <w:rPr>
                <w:rFonts w:ascii="Arabic Typesetting" w:hAnsi="Arabic Typesetting" w:cs="Arabic Typesetting"/>
                <w:sz w:val="28"/>
                <w:szCs w:val="28"/>
              </w:rPr>
            </w:pPr>
            <w:r>
              <w:rPr>
                <w:rFonts w:ascii="Arabic Typesetting" w:hAnsi="Arabic Typesetting" w:cs="Arabic Typesetting"/>
                <w:sz w:val="28"/>
                <w:szCs w:val="28"/>
                <w:rtl/>
              </w:rPr>
              <w:t>تزايد تفادي نشوء المنازعات المتعلقة بالملكية الفكرية دوليا وداخليا وتسويتها بفضل الوساطة والتحكيم وغيرها من أساليب الويبو البديلة في تسوية المنازعات</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94</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100</w:t>
            </w:r>
          </w:p>
        </w:tc>
      </w:tr>
      <w:tr w:rsidR="004226D7" w:rsidTr="00E16D63">
        <w:trPr>
          <w:cantSplit/>
          <w:trHeight w:val="10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ھ9.2</w:t>
            </w:r>
          </w:p>
        </w:tc>
        <w:tc>
          <w:tcPr>
            <w:tcW w:w="2340" w:type="pct"/>
            <w:tcMar>
              <w:top w:w="15" w:type="dxa"/>
              <w:left w:w="15" w:type="dxa"/>
              <w:bottom w:w="0" w:type="dxa"/>
              <w:right w:w="15" w:type="dxa"/>
            </w:tcMar>
            <w:vAlign w:val="center"/>
            <w:hideMark/>
          </w:tcPr>
          <w:p w:rsidR="004226D7" w:rsidRDefault="00A0719D" w:rsidP="00E16D63">
            <w:pPr>
              <w:bidi/>
              <w:rPr>
                <w:rFonts w:ascii="Arabic Typesetting" w:hAnsi="Arabic Typesetting" w:cs="Arabic Typesetting"/>
                <w:sz w:val="28"/>
                <w:szCs w:val="28"/>
              </w:rPr>
            </w:pPr>
            <w:r>
              <w:rPr>
                <w:rFonts w:ascii="Arabic Typesetting" w:hAnsi="Arabic Typesetting" w:cs="Arabic Typesetting"/>
                <w:sz w:val="28"/>
                <w:szCs w:val="28"/>
                <w:rtl/>
              </w:rPr>
              <w:t>حماية الملكية الفكرية حمايةً فعالة في الحقول العليا المكونة من أسماء عامة وفي تسجيل الحقول العليا المكونة من رموز البلدان</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95</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101</w:t>
            </w:r>
          </w:p>
        </w:tc>
      </w:tr>
      <w:tr w:rsidR="004226D7" w:rsidTr="00E16D63">
        <w:trPr>
          <w:cantSplit/>
          <w:trHeight w:val="10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ھ2.3</w:t>
            </w:r>
          </w:p>
        </w:tc>
        <w:tc>
          <w:tcPr>
            <w:tcW w:w="2340" w:type="pct"/>
            <w:tcMar>
              <w:top w:w="15" w:type="dxa"/>
              <w:left w:w="15" w:type="dxa"/>
              <w:bottom w:w="0" w:type="dxa"/>
              <w:right w:w="15" w:type="dxa"/>
            </w:tcMar>
            <w:vAlign w:val="center"/>
            <w:hideMark/>
          </w:tcPr>
          <w:p w:rsidR="004226D7" w:rsidRDefault="000432CA" w:rsidP="00E16D63">
            <w:pPr>
              <w:bidi/>
              <w:rPr>
                <w:rFonts w:ascii="Arabic Typesetting" w:hAnsi="Arabic Typesetting" w:cs="Arabic Typesetting"/>
                <w:sz w:val="28"/>
                <w:szCs w:val="28"/>
              </w:rPr>
            </w:pPr>
            <w:r>
              <w:rPr>
                <w:rFonts w:ascii="Arabic Typesetting" w:hAnsi="Arabic Typesetting" w:cs="Arabic Typesetting"/>
                <w:sz w:val="28"/>
                <w:szCs w:val="28"/>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506</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312</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297</w:t>
            </w:r>
          </w:p>
        </w:tc>
      </w:tr>
      <w:tr w:rsidR="004226D7" w:rsidTr="00E16D63">
        <w:trPr>
          <w:cantSplit/>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ھ2.4</w:t>
            </w:r>
          </w:p>
        </w:tc>
        <w:tc>
          <w:tcPr>
            <w:tcW w:w="2340" w:type="pct"/>
            <w:tcMar>
              <w:top w:w="15" w:type="dxa"/>
              <w:left w:w="15" w:type="dxa"/>
              <w:bottom w:w="0" w:type="dxa"/>
              <w:right w:w="15" w:type="dxa"/>
            </w:tcMar>
            <w:vAlign w:val="center"/>
            <w:hideMark/>
          </w:tcPr>
          <w:p w:rsidR="004226D7" w:rsidRDefault="000432CA" w:rsidP="00E16D63">
            <w:pPr>
              <w:bidi/>
              <w:rPr>
                <w:rFonts w:ascii="Arabic Typesetting" w:hAnsi="Arabic Typesetting" w:cs="Arabic Typesetting"/>
                <w:sz w:val="28"/>
                <w:szCs w:val="28"/>
              </w:rPr>
            </w:pPr>
            <w:r>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303</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370</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351</w:t>
            </w:r>
          </w:p>
        </w:tc>
      </w:tr>
      <w:tr w:rsidR="004226D7" w:rsidTr="004226D7">
        <w:trPr>
          <w:cantSplit/>
          <w:trHeight w:val="735"/>
        </w:trPr>
        <w:tc>
          <w:tcPr>
            <w:tcW w:w="413" w:type="pct"/>
            <w:tcBorders>
              <w:top w:val="nil"/>
              <w:left w:val="single" w:sz="4" w:space="0" w:color="auto"/>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ھ1.6</w:t>
            </w:r>
          </w:p>
        </w:tc>
        <w:tc>
          <w:tcPr>
            <w:tcW w:w="2340" w:type="pct"/>
            <w:tcMar>
              <w:top w:w="15" w:type="dxa"/>
              <w:left w:w="15" w:type="dxa"/>
              <w:bottom w:w="0" w:type="dxa"/>
              <w:right w:w="15" w:type="dxa"/>
            </w:tcMar>
            <w:vAlign w:val="center"/>
            <w:hideMark/>
          </w:tcPr>
          <w:p w:rsidR="004226D7" w:rsidRDefault="009947B0" w:rsidP="00E16D63">
            <w:pPr>
              <w:bidi/>
              <w:rPr>
                <w:rFonts w:ascii="Arabic Typesetting" w:hAnsi="Arabic Typesetting" w:cs="Arabic Typesetting"/>
                <w:sz w:val="28"/>
                <w:szCs w:val="28"/>
              </w:rPr>
            </w:pPr>
            <w:r>
              <w:rPr>
                <w:rFonts w:ascii="Arabic Typesetting" w:hAnsi="Arabic Typesetting" w:cs="Arabic Typesetting"/>
                <w:sz w:val="28"/>
                <w:szCs w:val="28"/>
                <w:rtl/>
              </w:rPr>
              <w:t>تقدم في الحوار السياسي الدولي بين الدول الأعضاء حول إذكاء الاحترام للملكية الفكرية، مسترشدا بالتوصية رقم 45 من جدول أعمال التنمية</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222</w:t>
            </w:r>
          </w:p>
        </w:tc>
        <w:tc>
          <w:tcPr>
            <w:tcW w:w="749" w:type="pct"/>
            <w:tcBorders>
              <w:top w:val="nil"/>
              <w:left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231</w:t>
            </w:r>
          </w:p>
        </w:tc>
      </w:tr>
      <w:tr w:rsidR="004226D7" w:rsidTr="004226D7">
        <w:trPr>
          <w:cantSplit/>
          <w:trHeight w:val="735"/>
        </w:trPr>
        <w:tc>
          <w:tcPr>
            <w:tcW w:w="413" w:type="pct"/>
            <w:tcBorders>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ھ2.6</w:t>
            </w:r>
          </w:p>
        </w:tc>
        <w:tc>
          <w:tcPr>
            <w:tcW w:w="2340" w:type="pct"/>
            <w:tcMar>
              <w:top w:w="15" w:type="dxa"/>
              <w:left w:w="15" w:type="dxa"/>
              <w:bottom w:w="0" w:type="dxa"/>
              <w:right w:w="15" w:type="dxa"/>
            </w:tcMar>
            <w:vAlign w:val="center"/>
            <w:hideMark/>
          </w:tcPr>
          <w:p w:rsidR="004226D7" w:rsidRDefault="009947B0" w:rsidP="00E16D63">
            <w:pPr>
              <w:bidi/>
              <w:rPr>
                <w:rFonts w:ascii="Arabic Typesetting" w:hAnsi="Arabic Typesetting" w:cs="Arabic Typesetting"/>
                <w:sz w:val="28"/>
                <w:szCs w:val="28"/>
              </w:rPr>
            </w:pPr>
            <w:r>
              <w:rPr>
                <w:rFonts w:ascii="Arabic Typesetting" w:hAnsi="Arabic Typesetting" w:cs="Arabic Typesetting"/>
                <w:sz w:val="28"/>
                <w:szCs w:val="28"/>
                <w:rtl/>
              </w:rPr>
              <w:t>تعاون وتنسيق على نحو منتظم وفعال وشفاف بين عمل الويبو وعمل المنظمات الدولية الأخرى في مجال إذكاء الاحترام للملكية الفكرية</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222</w:t>
            </w:r>
          </w:p>
        </w:tc>
        <w:tc>
          <w:tcPr>
            <w:tcW w:w="749" w:type="pct"/>
            <w:tcBorders>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231</w:t>
            </w:r>
          </w:p>
        </w:tc>
      </w:tr>
      <w:tr w:rsidR="004226D7" w:rsidTr="00E16D63">
        <w:trPr>
          <w:cantSplit/>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ھ2.7</w:t>
            </w:r>
          </w:p>
        </w:tc>
        <w:tc>
          <w:tcPr>
            <w:tcW w:w="2340" w:type="pct"/>
            <w:tcMar>
              <w:top w:w="15" w:type="dxa"/>
              <w:left w:w="15" w:type="dxa"/>
              <w:bottom w:w="0" w:type="dxa"/>
              <w:right w:w="15" w:type="dxa"/>
            </w:tcMar>
            <w:vAlign w:val="center"/>
            <w:hideMark/>
          </w:tcPr>
          <w:p w:rsidR="004226D7" w:rsidRDefault="00A0719D" w:rsidP="00E16D63">
            <w:pPr>
              <w:bidi/>
              <w:rPr>
                <w:rFonts w:ascii="Arabic Typesetting" w:hAnsi="Arabic Typesetting" w:cs="Arabic Typesetting"/>
                <w:sz w:val="28"/>
                <w:szCs w:val="28"/>
              </w:rPr>
            </w:pPr>
            <w:r>
              <w:rPr>
                <w:rFonts w:ascii="Arabic Typesetting" w:hAnsi="Arabic Typesetting" w:cs="Arabic Typesetting"/>
                <w:sz w:val="28"/>
                <w:szCs w:val="28"/>
                <w:rtl/>
              </w:rPr>
              <w:t>منصات وأدوات الملكية الفكرية مستخدمة في نقل المعارف وتطويع التكنولوجيا ونشرها من البلدان المتقدمة إلى البلدان النامية، ولا سيما البلدان الأقل نموا، لمواجهة التحديات العالمية</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4,097</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3,184</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3,021</w:t>
            </w:r>
          </w:p>
        </w:tc>
      </w:tr>
      <w:tr w:rsidR="004226D7" w:rsidTr="00A679B0">
        <w:trPr>
          <w:cantSplit/>
          <w:trHeight w:val="735"/>
        </w:trPr>
        <w:tc>
          <w:tcPr>
            <w:tcW w:w="413" w:type="pct"/>
            <w:tcBorders>
              <w:top w:val="nil"/>
              <w:left w:val="single" w:sz="4" w:space="0" w:color="auto"/>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ھ3.7</w:t>
            </w:r>
          </w:p>
        </w:tc>
        <w:tc>
          <w:tcPr>
            <w:tcW w:w="2340" w:type="pct"/>
            <w:tcMar>
              <w:top w:w="15" w:type="dxa"/>
              <w:left w:w="15" w:type="dxa"/>
              <w:bottom w:w="0" w:type="dxa"/>
              <w:right w:w="15" w:type="dxa"/>
            </w:tcMar>
            <w:vAlign w:val="center"/>
            <w:hideMark/>
          </w:tcPr>
          <w:p w:rsidR="004226D7" w:rsidRDefault="00C4018E" w:rsidP="00E16D63">
            <w:pPr>
              <w:bidi/>
              <w:rPr>
                <w:rFonts w:ascii="Arabic Typesetting" w:hAnsi="Arabic Typesetting" w:cs="Arabic Typesetting"/>
                <w:sz w:val="28"/>
                <w:szCs w:val="28"/>
              </w:rPr>
            </w:pPr>
            <w:r w:rsidRPr="00C4018E">
              <w:rPr>
                <w:rFonts w:ascii="Arabic Typesetting" w:hAnsi="Arabic Typesetting" w:cs="Arabic Typesetting"/>
                <w:sz w:val="28"/>
                <w:szCs w:val="28"/>
                <w:rtl/>
              </w:rPr>
              <w:t>تزايد مصداقية الويبو كمحفل لتحليل قضايا الملكية الفكرية وسياسة المنافسة</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2,032</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1.806</w:t>
            </w:r>
          </w:p>
        </w:tc>
        <w:tc>
          <w:tcPr>
            <w:tcW w:w="749" w:type="pct"/>
            <w:tcBorders>
              <w:top w:val="nil"/>
              <w:left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1,604</w:t>
            </w:r>
          </w:p>
        </w:tc>
      </w:tr>
      <w:tr w:rsidR="004226D7" w:rsidTr="00A679B0">
        <w:trPr>
          <w:cantSplit/>
          <w:trHeight w:val="735"/>
        </w:trPr>
        <w:tc>
          <w:tcPr>
            <w:tcW w:w="413" w:type="pct"/>
            <w:tcBorders>
              <w:left w:val="single" w:sz="4" w:space="0" w:color="auto"/>
              <w:bottom w:val="single" w:sz="4" w:space="0" w:color="auto"/>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ھ1.8</w:t>
            </w:r>
          </w:p>
        </w:tc>
        <w:tc>
          <w:tcPr>
            <w:tcW w:w="2340" w:type="pct"/>
            <w:tcBorders>
              <w:bottom w:val="single" w:sz="4" w:space="0" w:color="auto"/>
            </w:tcBorders>
            <w:tcMar>
              <w:top w:w="15" w:type="dxa"/>
              <w:left w:w="15" w:type="dxa"/>
              <w:bottom w:w="0" w:type="dxa"/>
              <w:right w:w="15" w:type="dxa"/>
            </w:tcMar>
            <w:vAlign w:val="center"/>
            <w:hideMark/>
          </w:tcPr>
          <w:p w:rsidR="004226D7" w:rsidRDefault="00161D28" w:rsidP="00E16D63">
            <w:pPr>
              <w:bidi/>
              <w:rPr>
                <w:rFonts w:ascii="Arabic Typesetting" w:hAnsi="Arabic Typesetting" w:cs="Arabic Typesetting"/>
                <w:sz w:val="28"/>
                <w:szCs w:val="28"/>
              </w:rPr>
            </w:pPr>
            <w:r>
              <w:rPr>
                <w:rFonts w:ascii="Arabic Typesetting" w:hAnsi="Arabic Typesetting" w:cs="Arabic Typesetting"/>
                <w:sz w:val="28"/>
                <w:szCs w:val="28"/>
                <w:rtl/>
              </w:rPr>
              <w:t>التواصل بفعالية أكبر مع جمهور أوسع بشأن الملكية الفكرية ودور الويبو</w:t>
            </w:r>
          </w:p>
        </w:tc>
        <w:tc>
          <w:tcPr>
            <w:tcW w:w="749" w:type="pct"/>
            <w:tcBorders>
              <w:bottom w:val="single" w:sz="4" w:space="0" w:color="auto"/>
            </w:tcBorders>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Borders>
              <w:bottom w:val="single" w:sz="4" w:space="0" w:color="auto"/>
            </w:tcBorders>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100</w:t>
            </w:r>
          </w:p>
        </w:tc>
        <w:tc>
          <w:tcPr>
            <w:tcW w:w="749" w:type="pct"/>
            <w:tcBorders>
              <w:left w:val="nil"/>
              <w:bottom w:val="single" w:sz="4" w:space="0" w:color="auto"/>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106</w:t>
            </w:r>
          </w:p>
        </w:tc>
      </w:tr>
      <w:tr w:rsidR="004226D7" w:rsidTr="00A679B0">
        <w:trPr>
          <w:cantSplit/>
          <w:trHeight w:val="735"/>
        </w:trPr>
        <w:tc>
          <w:tcPr>
            <w:tcW w:w="413" w:type="pct"/>
            <w:tcBorders>
              <w:top w:val="single" w:sz="4" w:space="0" w:color="auto"/>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lastRenderedPageBreak/>
              <w:t>ھ2.8</w:t>
            </w:r>
          </w:p>
        </w:tc>
        <w:tc>
          <w:tcPr>
            <w:tcW w:w="2340" w:type="pct"/>
            <w:tcBorders>
              <w:top w:val="single" w:sz="4" w:space="0" w:color="auto"/>
            </w:tcBorders>
            <w:tcMar>
              <w:top w:w="15" w:type="dxa"/>
              <w:left w:w="15" w:type="dxa"/>
              <w:bottom w:w="0" w:type="dxa"/>
              <w:right w:w="15" w:type="dxa"/>
            </w:tcMar>
            <w:vAlign w:val="center"/>
            <w:hideMark/>
          </w:tcPr>
          <w:p w:rsidR="004226D7" w:rsidRDefault="009947B0" w:rsidP="00E16D63">
            <w:pPr>
              <w:bidi/>
              <w:rPr>
                <w:rFonts w:ascii="Arabic Typesetting" w:hAnsi="Arabic Typesetting" w:cs="Arabic Typesetting"/>
                <w:sz w:val="28"/>
                <w:szCs w:val="28"/>
              </w:rPr>
            </w:pPr>
            <w:r>
              <w:rPr>
                <w:rFonts w:ascii="Arabic Typesetting" w:hAnsi="Arabic Typesetting" w:cs="Arabic Typesetting"/>
                <w:sz w:val="28"/>
                <w:szCs w:val="28"/>
                <w:rtl/>
              </w:rPr>
              <w:t>تحسين التوجّه نحو الخدمات والاستجابة للاستفسارات</w:t>
            </w:r>
          </w:p>
        </w:tc>
        <w:tc>
          <w:tcPr>
            <w:tcW w:w="749" w:type="pct"/>
            <w:tcBorders>
              <w:top w:val="single" w:sz="4" w:space="0" w:color="auto"/>
            </w:tcBorders>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Borders>
              <w:top w:val="single" w:sz="4" w:space="0" w:color="auto"/>
            </w:tcBorders>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94</w:t>
            </w:r>
          </w:p>
        </w:tc>
        <w:tc>
          <w:tcPr>
            <w:tcW w:w="749" w:type="pct"/>
            <w:tcBorders>
              <w:top w:val="single" w:sz="4" w:space="0" w:color="auto"/>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100</w:t>
            </w:r>
          </w:p>
        </w:tc>
      </w:tr>
      <w:tr w:rsidR="004226D7" w:rsidTr="00E16D63">
        <w:trPr>
          <w:cantSplit/>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ھ4.8</w:t>
            </w:r>
          </w:p>
        </w:tc>
        <w:tc>
          <w:tcPr>
            <w:tcW w:w="2340" w:type="pct"/>
            <w:tcMar>
              <w:top w:w="15" w:type="dxa"/>
              <w:left w:w="15" w:type="dxa"/>
              <w:bottom w:w="0" w:type="dxa"/>
              <w:right w:w="15" w:type="dxa"/>
            </w:tcMar>
            <w:vAlign w:val="center"/>
            <w:hideMark/>
          </w:tcPr>
          <w:p w:rsidR="004226D7" w:rsidRDefault="009947B0" w:rsidP="00E16D63">
            <w:pPr>
              <w:bidi/>
              <w:rPr>
                <w:rFonts w:ascii="Arabic Typesetting" w:hAnsi="Arabic Typesetting" w:cs="Arabic Typesetting"/>
                <w:sz w:val="28"/>
                <w:szCs w:val="28"/>
              </w:rPr>
            </w:pPr>
            <w:r>
              <w:rPr>
                <w:rFonts w:ascii="Arabic Typesetting" w:hAnsi="Arabic Typesetting" w:cs="Arabic Typesetting"/>
                <w:sz w:val="28"/>
                <w:szCs w:val="28"/>
                <w:rtl/>
              </w:rPr>
              <w:t>تفاعل منفتح وشفاف ومتجاوب مع أصحاب المصالح غير الحكوميين</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94</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100</w:t>
            </w:r>
          </w:p>
        </w:tc>
      </w:tr>
      <w:tr w:rsidR="004226D7" w:rsidTr="00E16D63">
        <w:trPr>
          <w:cantSplit/>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ھ5.8</w:t>
            </w:r>
          </w:p>
        </w:tc>
        <w:tc>
          <w:tcPr>
            <w:tcW w:w="2340" w:type="pct"/>
            <w:tcMar>
              <w:top w:w="15" w:type="dxa"/>
              <w:left w:w="15" w:type="dxa"/>
              <w:bottom w:w="0" w:type="dxa"/>
              <w:right w:w="15" w:type="dxa"/>
            </w:tcMar>
            <w:vAlign w:val="center"/>
            <w:hideMark/>
          </w:tcPr>
          <w:p w:rsidR="004226D7" w:rsidRDefault="00AD0EB5" w:rsidP="00E16D63">
            <w:pPr>
              <w:bidi/>
              <w:rPr>
                <w:rFonts w:ascii="Arabic Typesetting" w:hAnsi="Arabic Typesetting" w:cs="Arabic Typesetting"/>
                <w:sz w:val="28"/>
                <w:szCs w:val="28"/>
              </w:rPr>
            </w:pPr>
            <w:r>
              <w:rPr>
                <w:rFonts w:ascii="Arabic Typesetting" w:hAnsi="Arabic Typesetting" w:cs="Arabic Typesetting"/>
                <w:sz w:val="28"/>
                <w:szCs w:val="28"/>
                <w:rtl/>
              </w:rPr>
              <w:t>تفاعل الويبو وتشاركها بفعالية مع مسارات ومفاوضات الأمم المتحدة وسائر المنظمات الحكومية الدولية</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w:t>
            </w:r>
          </w:p>
        </w:tc>
        <w:tc>
          <w:tcPr>
            <w:tcW w:w="749" w:type="pct"/>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229</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4226D7" w:rsidRDefault="004226D7" w:rsidP="00E16D63">
            <w:pPr>
              <w:rPr>
                <w:rFonts w:ascii="Arabic Typesetting" w:hAnsi="Arabic Typesetting" w:cs="Arabic Typesetting"/>
                <w:sz w:val="28"/>
                <w:szCs w:val="28"/>
              </w:rPr>
            </w:pPr>
            <w:r>
              <w:rPr>
                <w:rFonts w:ascii="Arabic Typesetting" w:hAnsi="Arabic Typesetting" w:cs="Arabic Typesetting"/>
                <w:sz w:val="28"/>
                <w:szCs w:val="28"/>
                <w:rtl/>
              </w:rPr>
              <w:t>231</w:t>
            </w:r>
          </w:p>
        </w:tc>
      </w:tr>
      <w:tr w:rsidR="004226D7" w:rsidTr="00E16D63">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4226D7" w:rsidRDefault="004226D7" w:rsidP="00E16D63">
            <w:pPr>
              <w:bidi/>
              <w:rPr>
                <w:rFonts w:ascii="Times New Roman" w:hAnsi="Times New Roman" w:cs="Times New Roman"/>
                <w:sz w:val="20"/>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4226D7" w:rsidRDefault="004226D7" w:rsidP="00E16D63">
            <w:pPr>
              <w:bidi/>
              <w:rPr>
                <w:rFonts w:ascii="Arabic Typesetting" w:hAnsi="Arabic Typesetting" w:cs="Arabic Typesetting"/>
                <w:b/>
                <w:bCs/>
                <w:sz w:val="28"/>
                <w:szCs w:val="28"/>
              </w:rPr>
            </w:pPr>
            <w:r>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4226D7" w:rsidRDefault="004226D7" w:rsidP="00E16D63">
            <w:pPr>
              <w:rPr>
                <w:rFonts w:ascii="Arabic Typesetting" w:hAnsi="Arabic Typesetting" w:cs="Arabic Typesetting"/>
                <w:b/>
                <w:bCs/>
                <w:sz w:val="28"/>
                <w:szCs w:val="28"/>
              </w:rPr>
            </w:pPr>
            <w:r>
              <w:rPr>
                <w:rFonts w:ascii="Arabic Typesetting" w:hAnsi="Arabic Typesetting" w:cs="Arabic Typesetting"/>
                <w:b/>
                <w:bCs/>
                <w:sz w:val="28"/>
                <w:szCs w:val="28"/>
                <w:rtl/>
              </w:rPr>
              <w:t>6,938</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4226D7" w:rsidRDefault="004226D7" w:rsidP="00E16D63">
            <w:pPr>
              <w:rPr>
                <w:rFonts w:ascii="Arabic Typesetting" w:hAnsi="Arabic Typesetting" w:cs="Arabic Typesetting"/>
                <w:b/>
                <w:bCs/>
                <w:sz w:val="28"/>
                <w:szCs w:val="28"/>
              </w:rPr>
            </w:pPr>
            <w:r>
              <w:rPr>
                <w:rFonts w:ascii="Arabic Typesetting" w:hAnsi="Arabic Typesetting" w:cs="Arabic Typesetting"/>
                <w:b/>
                <w:bCs/>
                <w:sz w:val="28"/>
                <w:szCs w:val="28"/>
                <w:rtl/>
              </w:rPr>
              <w:t>7,056</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4226D7" w:rsidRDefault="004226D7" w:rsidP="00E16D63">
            <w:pPr>
              <w:rPr>
                <w:rFonts w:ascii="Arabic Typesetting" w:hAnsi="Arabic Typesetting" w:cs="Arabic Typesetting"/>
                <w:b/>
                <w:bCs/>
                <w:sz w:val="28"/>
                <w:szCs w:val="28"/>
              </w:rPr>
            </w:pPr>
            <w:r>
              <w:rPr>
                <w:rFonts w:ascii="Arabic Typesetting" w:hAnsi="Arabic Typesetting" w:cs="Arabic Typesetting"/>
                <w:b/>
                <w:bCs/>
                <w:sz w:val="28"/>
                <w:szCs w:val="28"/>
                <w:rtl/>
              </w:rPr>
              <w:t>6,707</w:t>
            </w:r>
          </w:p>
        </w:tc>
      </w:tr>
    </w:tbl>
    <w:p w:rsidR="004226D7" w:rsidRDefault="004226D7" w:rsidP="004226D7">
      <w:pPr>
        <w:keepNext/>
        <w:bidi/>
        <w:spacing w:before="120" w:line="340" w:lineRule="exact"/>
        <w:jc w:val="center"/>
        <w:rPr>
          <w:rFonts w:ascii="Arabic Typesetting" w:hAnsi="Arabic Typesetting" w:cs="Arabic Typesetting"/>
          <w:sz w:val="34"/>
          <w:szCs w:val="34"/>
          <w:rtl/>
          <w:lang w:bidi="ar-EG"/>
        </w:rPr>
      </w:pPr>
      <w:r>
        <w:rPr>
          <w:rFonts w:ascii="Arabic Typesetting" w:hAnsi="Arabic Typesetting" w:cs="Arabic Typesetting"/>
          <w:sz w:val="34"/>
          <w:szCs w:val="34"/>
          <w:rtl/>
          <w:lang w:bidi="ar-EG"/>
        </w:rPr>
        <w:t>الميزانية والنفقات الفعلية (موارد الموظفين وخلاف موارد الموظفين)</w:t>
      </w:r>
    </w:p>
    <w:p w:rsidR="004226D7" w:rsidRDefault="004226D7" w:rsidP="004226D7">
      <w:pPr>
        <w:keepNext/>
        <w:bidi/>
        <w:spacing w:after="120"/>
        <w:jc w:val="center"/>
        <w:rPr>
          <w:rFonts w:ascii="Arabic Typesetting" w:hAnsi="Arabic Typesetting" w:cs="Arabic Typesetting"/>
          <w:sz w:val="34"/>
          <w:szCs w:val="34"/>
          <w:rtl/>
          <w:lang w:bidi="ar-EG"/>
        </w:rPr>
      </w:pPr>
      <w:r>
        <w:rPr>
          <w:rFonts w:ascii="Arabic Typesetting" w:hAnsi="Arabic Typesetting" w:cs="Arabic Typesetting"/>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4226D7" w:rsidTr="00E16D63">
        <w:trPr>
          <w:cantSplit/>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4226D7" w:rsidRDefault="004226D7" w:rsidP="00E16D63">
            <w:pPr>
              <w:bidi/>
              <w:rPr>
                <w:rFonts w:ascii="Times New Roman" w:hAnsi="Times New Roman" w:cs="Times New Roman"/>
                <w:sz w:val="20"/>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226D7" w:rsidRDefault="004226D7" w:rsidP="00E16D63">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الميزانية المعتمدة 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226D7" w:rsidRDefault="004226D7" w:rsidP="00E16D63">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الميزانية النهائية بعد التحويلات 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226D7" w:rsidRDefault="004226D7" w:rsidP="00E16D63">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نفقات 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226D7" w:rsidRDefault="004226D7" w:rsidP="00E16D63">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 (%)</w:t>
            </w:r>
          </w:p>
        </w:tc>
      </w:tr>
      <w:tr w:rsidR="004226D7" w:rsidTr="00E16D63">
        <w:trPr>
          <w:cantSplit/>
          <w:trHeight w:val="540"/>
        </w:trPr>
        <w:tc>
          <w:tcPr>
            <w:tcW w:w="1119" w:type="pct"/>
            <w:tcBorders>
              <w:top w:val="nil"/>
              <w:left w:val="single" w:sz="4" w:space="0" w:color="auto"/>
              <w:bottom w:val="single" w:sz="4" w:space="0" w:color="auto"/>
              <w:right w:val="single" w:sz="4" w:space="0" w:color="auto"/>
            </w:tcBorders>
            <w:noWrap/>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sz w:val="28"/>
                <w:szCs w:val="28"/>
              </w:rPr>
            </w:pPr>
            <w:r>
              <w:rPr>
                <w:rFonts w:ascii="Arabic Typesetting" w:hAnsi="Arabic Typesetting" w:cs="Arabic Typesetting"/>
                <w:sz w:val="28"/>
                <w:szCs w:val="28"/>
                <w:rtl/>
              </w:rPr>
              <w:t>6,008</w:t>
            </w:r>
          </w:p>
        </w:tc>
        <w:tc>
          <w:tcPr>
            <w:tcW w:w="970" w:type="pct"/>
            <w:tcBorders>
              <w:top w:val="single" w:sz="4" w:space="0" w:color="auto"/>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sz w:val="28"/>
                <w:szCs w:val="28"/>
              </w:rPr>
            </w:pPr>
            <w:r>
              <w:rPr>
                <w:rFonts w:ascii="Arabic Typesetting" w:hAnsi="Arabic Typesetting" w:cs="Arabic Typesetting"/>
                <w:sz w:val="28"/>
                <w:szCs w:val="28"/>
                <w:rtl/>
              </w:rPr>
              <w:t>5,715</w:t>
            </w:r>
          </w:p>
        </w:tc>
        <w:tc>
          <w:tcPr>
            <w:tcW w:w="970" w:type="pct"/>
            <w:tcBorders>
              <w:top w:val="single" w:sz="4" w:space="0" w:color="auto"/>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sz w:val="28"/>
                <w:szCs w:val="28"/>
              </w:rPr>
            </w:pPr>
            <w:r>
              <w:rPr>
                <w:rFonts w:ascii="Arabic Typesetting" w:hAnsi="Arabic Typesetting" w:cs="Arabic Typesetting"/>
                <w:sz w:val="28"/>
                <w:szCs w:val="28"/>
                <w:rtl/>
              </w:rPr>
              <w:t>5,490</w:t>
            </w:r>
          </w:p>
        </w:tc>
        <w:tc>
          <w:tcPr>
            <w:tcW w:w="970" w:type="pct"/>
            <w:tcBorders>
              <w:top w:val="single" w:sz="4" w:space="0" w:color="auto"/>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sz w:val="28"/>
                <w:szCs w:val="28"/>
              </w:rPr>
            </w:pPr>
            <w:r>
              <w:rPr>
                <w:rFonts w:ascii="Arabic Typesetting" w:hAnsi="Arabic Typesetting" w:cs="Arabic Typesetting"/>
                <w:sz w:val="28"/>
                <w:szCs w:val="28"/>
                <w:rtl/>
              </w:rPr>
              <w:t>96%</w:t>
            </w:r>
          </w:p>
        </w:tc>
      </w:tr>
      <w:tr w:rsidR="004226D7" w:rsidTr="00E16D63">
        <w:trPr>
          <w:cantSplit/>
          <w:trHeight w:val="540"/>
        </w:trPr>
        <w:tc>
          <w:tcPr>
            <w:tcW w:w="1119" w:type="pct"/>
            <w:tcBorders>
              <w:top w:val="nil"/>
              <w:left w:val="single" w:sz="4" w:space="0" w:color="auto"/>
              <w:bottom w:val="single" w:sz="4" w:space="0" w:color="auto"/>
              <w:right w:val="single" w:sz="4" w:space="0" w:color="auto"/>
            </w:tcBorders>
            <w:noWrap/>
            <w:vAlign w:val="center"/>
            <w:hideMark/>
          </w:tcPr>
          <w:p w:rsidR="004226D7" w:rsidRDefault="004226D7" w:rsidP="00E16D63">
            <w:pPr>
              <w:bidi/>
              <w:rPr>
                <w:rFonts w:ascii="Arabic Typesetting" w:hAnsi="Arabic Typesetting" w:cs="Arabic Typesetting"/>
                <w:sz w:val="28"/>
                <w:szCs w:val="28"/>
              </w:rPr>
            </w:pPr>
            <w:r>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sz w:val="28"/>
                <w:szCs w:val="28"/>
              </w:rPr>
            </w:pPr>
            <w:r>
              <w:rPr>
                <w:rFonts w:ascii="Arabic Typesetting" w:hAnsi="Arabic Typesetting" w:cs="Arabic Typesetting"/>
                <w:sz w:val="28"/>
                <w:szCs w:val="28"/>
                <w:rtl/>
              </w:rPr>
              <w:t>930</w:t>
            </w:r>
          </w:p>
        </w:tc>
        <w:tc>
          <w:tcPr>
            <w:tcW w:w="970" w:type="pct"/>
            <w:tcBorders>
              <w:top w:val="nil"/>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sz w:val="28"/>
                <w:szCs w:val="28"/>
              </w:rPr>
            </w:pPr>
            <w:r>
              <w:rPr>
                <w:rFonts w:ascii="Arabic Typesetting" w:hAnsi="Arabic Typesetting" w:cs="Arabic Typesetting"/>
                <w:sz w:val="28"/>
                <w:szCs w:val="28"/>
                <w:rtl/>
              </w:rPr>
              <w:t>1,341</w:t>
            </w:r>
          </w:p>
        </w:tc>
        <w:tc>
          <w:tcPr>
            <w:tcW w:w="970" w:type="pct"/>
            <w:tcBorders>
              <w:top w:val="nil"/>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sz w:val="28"/>
                <w:szCs w:val="28"/>
              </w:rPr>
            </w:pPr>
            <w:r>
              <w:rPr>
                <w:rFonts w:ascii="Arabic Typesetting" w:hAnsi="Arabic Typesetting" w:cs="Arabic Typesetting"/>
                <w:sz w:val="28"/>
                <w:szCs w:val="28"/>
                <w:rtl/>
              </w:rPr>
              <w:t>1,216</w:t>
            </w:r>
          </w:p>
        </w:tc>
        <w:tc>
          <w:tcPr>
            <w:tcW w:w="970" w:type="pct"/>
            <w:tcBorders>
              <w:top w:val="nil"/>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sz w:val="28"/>
                <w:szCs w:val="28"/>
              </w:rPr>
            </w:pPr>
            <w:r>
              <w:rPr>
                <w:rFonts w:ascii="Arabic Typesetting" w:hAnsi="Arabic Typesetting" w:cs="Arabic Typesetting"/>
                <w:sz w:val="28"/>
                <w:szCs w:val="28"/>
                <w:rtl/>
              </w:rPr>
              <w:t>91%</w:t>
            </w:r>
          </w:p>
        </w:tc>
      </w:tr>
      <w:tr w:rsidR="004226D7" w:rsidTr="00E16D63">
        <w:trPr>
          <w:cantSplit/>
          <w:trHeight w:val="540"/>
        </w:trPr>
        <w:tc>
          <w:tcPr>
            <w:tcW w:w="1119" w:type="pct"/>
            <w:tcBorders>
              <w:top w:val="nil"/>
              <w:left w:val="single" w:sz="4" w:space="0" w:color="auto"/>
              <w:bottom w:val="single" w:sz="4" w:space="0" w:color="auto"/>
              <w:right w:val="single" w:sz="4" w:space="0" w:color="auto"/>
            </w:tcBorders>
            <w:noWrap/>
            <w:vAlign w:val="center"/>
            <w:hideMark/>
          </w:tcPr>
          <w:p w:rsidR="004226D7" w:rsidRDefault="004226D7" w:rsidP="00E16D63">
            <w:pPr>
              <w:bidi/>
              <w:jc w:val="right"/>
              <w:rPr>
                <w:rFonts w:ascii="Arabic Typesetting" w:hAnsi="Arabic Typesetting" w:cs="Arabic Typesetting"/>
                <w:b/>
                <w:bCs/>
                <w:sz w:val="28"/>
                <w:szCs w:val="28"/>
              </w:rPr>
            </w:pPr>
            <w:r>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b/>
                <w:bCs/>
                <w:sz w:val="28"/>
                <w:szCs w:val="28"/>
              </w:rPr>
            </w:pPr>
            <w:r>
              <w:rPr>
                <w:rFonts w:ascii="Arabic Typesetting" w:hAnsi="Arabic Typesetting" w:cs="Arabic Typesetting"/>
                <w:b/>
                <w:bCs/>
                <w:sz w:val="28"/>
                <w:szCs w:val="28"/>
                <w:rtl/>
              </w:rPr>
              <w:t>6,938</w:t>
            </w:r>
          </w:p>
        </w:tc>
        <w:tc>
          <w:tcPr>
            <w:tcW w:w="970" w:type="pct"/>
            <w:tcBorders>
              <w:top w:val="nil"/>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b/>
                <w:bCs/>
                <w:sz w:val="28"/>
                <w:szCs w:val="28"/>
              </w:rPr>
            </w:pPr>
            <w:r>
              <w:rPr>
                <w:rFonts w:ascii="Arabic Typesetting" w:hAnsi="Arabic Typesetting" w:cs="Arabic Typesetting"/>
                <w:b/>
                <w:bCs/>
                <w:sz w:val="28"/>
                <w:szCs w:val="28"/>
                <w:rtl/>
              </w:rPr>
              <w:t>7,056</w:t>
            </w:r>
          </w:p>
        </w:tc>
        <w:tc>
          <w:tcPr>
            <w:tcW w:w="970" w:type="pct"/>
            <w:tcBorders>
              <w:top w:val="nil"/>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b/>
                <w:bCs/>
                <w:sz w:val="28"/>
                <w:szCs w:val="28"/>
              </w:rPr>
            </w:pPr>
            <w:r>
              <w:rPr>
                <w:rFonts w:ascii="Arabic Typesetting" w:hAnsi="Arabic Typesetting" w:cs="Arabic Typesetting"/>
                <w:b/>
                <w:bCs/>
                <w:sz w:val="28"/>
                <w:szCs w:val="28"/>
                <w:rtl/>
              </w:rPr>
              <w:t>6,707</w:t>
            </w:r>
          </w:p>
        </w:tc>
        <w:tc>
          <w:tcPr>
            <w:tcW w:w="970" w:type="pct"/>
            <w:tcBorders>
              <w:top w:val="nil"/>
              <w:left w:val="single" w:sz="4" w:space="0" w:color="auto"/>
              <w:bottom w:val="single" w:sz="4" w:space="0" w:color="auto"/>
              <w:right w:val="single" w:sz="4" w:space="0" w:color="auto"/>
            </w:tcBorders>
            <w:vAlign w:val="center"/>
            <w:hideMark/>
          </w:tcPr>
          <w:p w:rsidR="004226D7" w:rsidRDefault="004226D7" w:rsidP="00E16D63">
            <w:pPr>
              <w:bidi/>
              <w:jc w:val="center"/>
              <w:rPr>
                <w:rFonts w:ascii="Arabic Typesetting" w:hAnsi="Arabic Typesetting" w:cs="Arabic Typesetting"/>
                <w:b/>
                <w:bCs/>
                <w:sz w:val="28"/>
                <w:szCs w:val="28"/>
              </w:rPr>
            </w:pPr>
            <w:r>
              <w:rPr>
                <w:rFonts w:ascii="Arabic Typesetting" w:hAnsi="Arabic Typesetting" w:cs="Arabic Typesetting"/>
                <w:b/>
                <w:bCs/>
                <w:sz w:val="28"/>
                <w:szCs w:val="28"/>
                <w:rtl/>
              </w:rPr>
              <w:t>95%</w:t>
            </w:r>
          </w:p>
        </w:tc>
      </w:tr>
    </w:tbl>
    <w:p w:rsidR="004226D7" w:rsidRDefault="004226D7" w:rsidP="004226D7">
      <w:pPr>
        <w:keepNext/>
        <w:bidi/>
        <w:spacing w:before="120" w:after="120" w:line="340" w:lineRule="exact"/>
        <w:rPr>
          <w:rFonts w:ascii="Arabic Typesetting" w:hAnsi="Arabic Typesetting" w:cs="Arabic Typesetting"/>
          <w:sz w:val="34"/>
          <w:szCs w:val="34"/>
          <w:rtl/>
          <w:lang w:bidi="ar-EG"/>
        </w:rPr>
      </w:pPr>
      <w:r>
        <w:rPr>
          <w:rFonts w:ascii="Arabic Typesetting" w:hAnsi="Arabic Typesetting" w:cs="Arabic Typesetting"/>
          <w:sz w:val="34"/>
          <w:szCs w:val="34"/>
          <w:rtl/>
          <w:lang w:bidi="ar-EG"/>
        </w:rPr>
        <w:t>ألف</w:t>
      </w:r>
      <w:r>
        <w:rPr>
          <w:rFonts w:ascii="Arabic Typesetting" w:hAnsi="Arabic Typesetting" w:cs="Arabic Typesetting"/>
          <w:sz w:val="34"/>
          <w:szCs w:val="34"/>
          <w:lang w:bidi="ar-EG"/>
        </w:rPr>
        <w:t>.</w:t>
      </w:r>
      <w:r>
        <w:rPr>
          <w:rFonts w:ascii="Arabic Typesetting" w:hAnsi="Arabic Typesetting" w:cs="Arabic Typesetting"/>
          <w:sz w:val="34"/>
          <w:szCs w:val="34"/>
          <w:rtl/>
          <w:lang w:bidi="ar-EG"/>
        </w:rPr>
        <w:tab/>
      </w:r>
      <w:r>
        <w:rPr>
          <w:rFonts w:ascii="Arabic Typesetting" w:hAnsi="Arabic Typesetting" w:cs="Arabic Typesetting"/>
          <w:sz w:val="34"/>
          <w:szCs w:val="34"/>
          <w:u w:val="single"/>
          <w:rtl/>
          <w:lang w:bidi="ar-EG"/>
        </w:rPr>
        <w:t>الميزانية النهائية بعد التحويلات 2014/15</w:t>
      </w:r>
    </w:p>
    <w:p w:rsidR="004226D7" w:rsidRDefault="00322324" w:rsidP="009A3712">
      <w:pPr>
        <w:numPr>
          <w:ilvl w:val="0"/>
          <w:numId w:val="37"/>
        </w:numPr>
        <w:bidi/>
        <w:spacing w:after="120" w:line="340" w:lineRule="exact"/>
        <w:ind w:left="-1" w:firstLine="0"/>
        <w:rPr>
          <w:rFonts w:ascii="Arabic Typesetting" w:hAnsi="Arabic Typesetting" w:cs="Arabic Typesetting"/>
          <w:sz w:val="34"/>
          <w:szCs w:val="34"/>
          <w:lang w:bidi="ar-EG"/>
        </w:rPr>
      </w:pPr>
      <w:r>
        <w:rPr>
          <w:rFonts w:ascii="Arabic Typesetting" w:hAnsi="Arabic Typesetting" w:cs="Arabic Typesetting" w:hint="cs"/>
          <w:sz w:val="34"/>
          <w:szCs w:val="34"/>
          <w:rtl/>
          <w:lang w:val="fr-CH"/>
        </w:rPr>
        <w:t>يعزى</w:t>
      </w:r>
      <w:r>
        <w:rPr>
          <w:rFonts w:ascii="Arabic Typesetting" w:hAnsi="Arabic Typesetting" w:cs="Arabic Typesetting"/>
          <w:sz w:val="34"/>
          <w:szCs w:val="34"/>
          <w:rtl/>
          <w:lang w:val="fr-CH"/>
        </w:rPr>
        <w:t xml:space="preserve"> </w:t>
      </w:r>
      <w:r w:rsidR="004226D7">
        <w:rPr>
          <w:rFonts w:ascii="Arabic Typesetting" w:hAnsi="Arabic Typesetting" w:cs="Arabic Typesetting"/>
          <w:sz w:val="34"/>
          <w:szCs w:val="34"/>
          <w:rtl/>
          <w:lang w:val="fr-CH"/>
        </w:rPr>
        <w:t>الانخفاض الصافي في موارد الموظفين</w:t>
      </w:r>
      <w:r>
        <w:rPr>
          <w:rFonts w:ascii="Arabic Typesetting" w:hAnsi="Arabic Typesetting" w:cs="Arabic Typesetting" w:hint="cs"/>
          <w:sz w:val="34"/>
          <w:szCs w:val="34"/>
          <w:rtl/>
          <w:lang w:val="fr-CH"/>
        </w:rPr>
        <w:t xml:space="preserve"> إلى</w:t>
      </w:r>
      <w:r w:rsidR="004226D7">
        <w:rPr>
          <w:rFonts w:ascii="Arabic Typesetting" w:hAnsi="Arabic Typesetting" w:cs="Arabic Typesetting"/>
          <w:sz w:val="34"/>
          <w:szCs w:val="34"/>
          <w:rtl/>
          <w:lang w:val="fr-CH"/>
        </w:rPr>
        <w:t xml:space="preserve"> ما يلي: "1" نقل موظف مؤقتا إلى البرنامج 6 لدعم العمل المرتبط بانضمام أعضاء جدد إلى نظام مدريد؛ "2" ونقل موظف خارج البرنامج نتيجة التغييرات المؤسسية التي طرأت مع تولي فريق الإدارة العليا الجديد مهامه في ديسمبر 2014.</w:t>
      </w:r>
    </w:p>
    <w:p w:rsidR="004226D7" w:rsidRDefault="00322324" w:rsidP="009A3712">
      <w:pPr>
        <w:numPr>
          <w:ilvl w:val="0"/>
          <w:numId w:val="37"/>
        </w:numPr>
        <w:bidi/>
        <w:spacing w:after="120" w:line="340" w:lineRule="exact"/>
        <w:ind w:left="-1" w:firstLine="0"/>
        <w:rPr>
          <w:rFonts w:ascii="Arabic Typesetting" w:hAnsi="Arabic Typesetting" w:cs="Arabic Typesetting"/>
          <w:sz w:val="34"/>
          <w:szCs w:val="34"/>
          <w:rtl/>
          <w:lang w:bidi="ar-EG"/>
        </w:rPr>
      </w:pPr>
      <w:r>
        <w:rPr>
          <w:rFonts w:ascii="Arabic Typesetting" w:hAnsi="Arabic Typesetting" w:cs="Arabic Typesetting" w:hint="cs"/>
          <w:sz w:val="34"/>
          <w:szCs w:val="34"/>
          <w:rtl/>
          <w:lang w:val="fr-CH"/>
        </w:rPr>
        <w:t>وتعزى</w:t>
      </w:r>
      <w:r>
        <w:rPr>
          <w:rFonts w:ascii="Arabic Typesetting" w:hAnsi="Arabic Typesetting" w:cs="Arabic Typesetting"/>
          <w:sz w:val="34"/>
          <w:szCs w:val="34"/>
          <w:rtl/>
          <w:lang w:val="fr-CH"/>
        </w:rPr>
        <w:t xml:space="preserve"> </w:t>
      </w:r>
      <w:r w:rsidR="004226D7">
        <w:rPr>
          <w:rFonts w:ascii="Arabic Typesetting" w:hAnsi="Arabic Typesetting" w:cs="Arabic Typesetting"/>
          <w:sz w:val="34"/>
          <w:szCs w:val="34"/>
          <w:rtl/>
          <w:lang w:val="fr-CH"/>
        </w:rPr>
        <w:t xml:space="preserve">الزيادة في </w:t>
      </w:r>
      <w:r>
        <w:rPr>
          <w:rFonts w:ascii="Arabic Typesetting" w:hAnsi="Arabic Typesetting" w:cs="Arabic Typesetting" w:hint="cs"/>
          <w:sz w:val="34"/>
          <w:szCs w:val="34"/>
          <w:rtl/>
          <w:lang w:val="fr-CH"/>
        </w:rPr>
        <w:t>بند خلاف موارد</w:t>
      </w:r>
      <w:r w:rsidR="004226D7">
        <w:rPr>
          <w:rFonts w:ascii="Arabic Typesetting" w:hAnsi="Arabic Typesetting" w:cs="Arabic Typesetting"/>
          <w:sz w:val="34"/>
          <w:szCs w:val="34"/>
          <w:rtl/>
          <w:lang w:val="fr-CH"/>
        </w:rPr>
        <w:t xml:space="preserve"> الموظفين </w:t>
      </w:r>
      <w:r>
        <w:rPr>
          <w:rFonts w:ascii="Arabic Typesetting" w:hAnsi="Arabic Typesetting" w:cs="Arabic Typesetting" w:hint="cs"/>
          <w:sz w:val="34"/>
          <w:szCs w:val="34"/>
          <w:rtl/>
          <w:lang w:val="fr-CH"/>
        </w:rPr>
        <w:t xml:space="preserve">إلى </w:t>
      </w:r>
      <w:r w:rsidR="004226D7">
        <w:rPr>
          <w:rFonts w:ascii="Arabic Typesetting" w:hAnsi="Arabic Typesetting" w:cs="Arabic Typesetting"/>
          <w:sz w:val="34"/>
          <w:szCs w:val="34"/>
          <w:rtl/>
          <w:lang w:val="fr-CH"/>
        </w:rPr>
        <w:t xml:space="preserve">ما يلي: "1" تحويل الأموال من البرنامجين 6 و9 من أجل الخدمات التعاقدية لتعويض نقل الموظفين المذكورين </w:t>
      </w:r>
      <w:r>
        <w:rPr>
          <w:rFonts w:ascii="Arabic Typesetting" w:hAnsi="Arabic Typesetting" w:cs="Arabic Typesetting" w:hint="cs"/>
          <w:sz w:val="34"/>
          <w:szCs w:val="34"/>
          <w:rtl/>
          <w:lang w:val="fr-CH"/>
        </w:rPr>
        <w:t>آنفاً</w:t>
      </w:r>
      <w:r>
        <w:rPr>
          <w:rFonts w:ascii="Arabic Typesetting" w:hAnsi="Arabic Typesetting" w:cs="Arabic Typesetting"/>
          <w:sz w:val="34"/>
          <w:szCs w:val="34"/>
          <w:rtl/>
          <w:lang w:val="fr-CH"/>
        </w:rPr>
        <w:t xml:space="preserve"> </w:t>
      </w:r>
      <w:r w:rsidR="004226D7">
        <w:rPr>
          <w:rFonts w:ascii="Arabic Typesetting" w:hAnsi="Arabic Typesetting" w:cs="Arabic Typesetting"/>
          <w:sz w:val="34"/>
          <w:szCs w:val="34"/>
          <w:rtl/>
          <w:lang w:val="fr-CH"/>
        </w:rPr>
        <w:t xml:space="preserve">مؤقتا لضمان استمرار العمل بسلاسة في منصات الويبو وتطبيقات تكنولوجيا المعلومات في قطاع القضايا العالمية؛ "2" وتحويل أموال إضافية من </w:t>
      </w:r>
      <w:r>
        <w:rPr>
          <w:rFonts w:ascii="Arabic Typesetting" w:hAnsi="Arabic Typesetting" w:cs="Arabic Typesetting" w:hint="cs"/>
          <w:sz w:val="34"/>
          <w:szCs w:val="34"/>
          <w:rtl/>
          <w:lang w:val="fr-CH"/>
        </w:rPr>
        <w:t>بند خلاف موارد</w:t>
      </w:r>
      <w:r w:rsidR="004226D7">
        <w:rPr>
          <w:rFonts w:ascii="Arabic Typesetting" w:hAnsi="Arabic Typesetting" w:cs="Arabic Typesetting"/>
          <w:sz w:val="34"/>
          <w:szCs w:val="34"/>
          <w:rtl/>
          <w:lang w:val="fr-CH"/>
        </w:rPr>
        <w:t xml:space="preserve"> الموظفين لدعم زيادة استخدام وتحسين منصات الويبو؛ "3" وتحويل أموال إضافية لتغطية التزامات الويبو فيما يخص قاعدة بيانات </w:t>
      </w:r>
      <w:r w:rsidR="004226D7">
        <w:rPr>
          <w:rFonts w:ascii="Arabic Typesetting" w:hAnsi="Arabic Typesetting" w:cs="Arabic Typesetting"/>
          <w:sz w:val="34"/>
          <w:szCs w:val="34"/>
        </w:rPr>
        <w:t>WIPO </w:t>
      </w:r>
      <w:proofErr w:type="spellStart"/>
      <w:r w:rsidR="004226D7">
        <w:rPr>
          <w:rFonts w:ascii="Arabic Typesetting" w:hAnsi="Arabic Typesetting" w:cs="Arabic Typesetting"/>
          <w:sz w:val="34"/>
          <w:szCs w:val="34"/>
        </w:rPr>
        <w:t>Re:Search</w:t>
      </w:r>
      <w:proofErr w:type="spellEnd"/>
      <w:r w:rsidR="004226D7">
        <w:rPr>
          <w:rFonts w:ascii="Arabic Typesetting" w:hAnsi="Arabic Typesetting" w:cs="Arabic Typesetting"/>
          <w:sz w:val="34"/>
          <w:szCs w:val="34"/>
          <w:rtl/>
        </w:rPr>
        <w:t xml:space="preserve"> طبقا لمذكرة التفاهم المبرمة مع منظمة </w:t>
      </w:r>
      <w:r w:rsidR="003B2ED5">
        <w:rPr>
          <w:rFonts w:ascii="Arabic Typesetting" w:hAnsi="Arabic Typesetting" w:cs="Arabic Typesetting" w:hint="cs"/>
          <w:sz w:val="34"/>
          <w:szCs w:val="34"/>
          <w:rtl/>
        </w:rPr>
        <w:t>مشروعات</w:t>
      </w:r>
      <w:r w:rsidR="004226D7">
        <w:rPr>
          <w:rFonts w:ascii="Arabic Typesetting" w:hAnsi="Arabic Typesetting" w:cs="Arabic Typesetting"/>
          <w:sz w:val="34"/>
          <w:szCs w:val="34"/>
          <w:rtl/>
        </w:rPr>
        <w:t xml:space="preserve"> تسخير التكنولوجيا البيولوجية لأغراض الصحة العالمية (</w:t>
      </w:r>
      <w:r w:rsidR="004226D7">
        <w:rPr>
          <w:rFonts w:ascii="Arabic Typesetting" w:hAnsi="Arabic Typesetting" w:cs="Arabic Typesetting"/>
          <w:sz w:val="34"/>
          <w:szCs w:val="34"/>
        </w:rPr>
        <w:t>BVGH</w:t>
      </w:r>
      <w:r w:rsidR="004226D7">
        <w:rPr>
          <w:rFonts w:ascii="Arabic Typesetting" w:hAnsi="Arabic Typesetting" w:cs="Arabic Typesetting"/>
          <w:sz w:val="34"/>
          <w:szCs w:val="34"/>
          <w:rtl/>
        </w:rPr>
        <w:t>).</w:t>
      </w:r>
    </w:p>
    <w:p w:rsidR="004226D7" w:rsidRDefault="00322324" w:rsidP="009A3712">
      <w:pPr>
        <w:numPr>
          <w:ilvl w:val="0"/>
          <w:numId w:val="37"/>
        </w:numPr>
        <w:bidi/>
        <w:spacing w:after="120" w:line="340" w:lineRule="exact"/>
        <w:ind w:left="-1" w:firstLine="0"/>
        <w:rPr>
          <w:rFonts w:ascii="Arabic Typesetting" w:hAnsi="Arabic Typesetting" w:cs="Arabic Typesetting"/>
          <w:sz w:val="34"/>
          <w:szCs w:val="34"/>
          <w:rtl/>
          <w:lang w:val="fr-CH"/>
        </w:rPr>
      </w:pPr>
      <w:r>
        <w:rPr>
          <w:rFonts w:ascii="Arabic Typesetting" w:hAnsi="Arabic Typesetting" w:cs="Arabic Typesetting" w:hint="cs"/>
          <w:sz w:val="34"/>
          <w:szCs w:val="34"/>
          <w:rtl/>
          <w:lang w:val="fr-CH"/>
        </w:rPr>
        <w:t>واستندت</w:t>
      </w:r>
      <w:r>
        <w:rPr>
          <w:rFonts w:ascii="Arabic Typesetting" w:hAnsi="Arabic Typesetting" w:cs="Arabic Typesetting"/>
          <w:sz w:val="34"/>
          <w:szCs w:val="34"/>
          <w:rtl/>
          <w:lang w:val="fr-CH"/>
        </w:rPr>
        <w:t xml:space="preserve"> </w:t>
      </w:r>
      <w:r w:rsidR="004226D7">
        <w:rPr>
          <w:rFonts w:ascii="Arabic Typesetting" w:hAnsi="Arabic Typesetting" w:cs="Arabic Typesetting"/>
          <w:sz w:val="34"/>
          <w:szCs w:val="34"/>
          <w:rtl/>
          <w:lang w:val="fr-CH"/>
        </w:rPr>
        <w:t>التسويات في النتائج المرتقبة في الميزانية النهائية</w:t>
      </w:r>
      <w:r>
        <w:rPr>
          <w:rFonts w:ascii="Arabic Typesetting" w:hAnsi="Arabic Typesetting" w:cs="Arabic Typesetting" w:hint="cs"/>
          <w:sz w:val="34"/>
          <w:szCs w:val="34"/>
          <w:rtl/>
          <w:lang w:val="fr-CH"/>
        </w:rPr>
        <w:t xml:space="preserve"> بعد التحويلات</w:t>
      </w:r>
      <w:r w:rsidR="004226D7">
        <w:rPr>
          <w:rFonts w:ascii="Arabic Typesetting" w:hAnsi="Arabic Typesetting" w:cs="Arabic Typesetting"/>
          <w:sz w:val="34"/>
          <w:szCs w:val="34"/>
          <w:rtl/>
          <w:lang w:val="fr-CH"/>
        </w:rPr>
        <w:t xml:space="preserve"> 2014/15 </w:t>
      </w:r>
      <w:r>
        <w:rPr>
          <w:rFonts w:ascii="Arabic Typesetting" w:hAnsi="Arabic Typesetting" w:cs="Arabic Typesetting" w:hint="cs"/>
          <w:sz w:val="34"/>
          <w:szCs w:val="34"/>
          <w:rtl/>
          <w:lang w:val="fr-CH"/>
        </w:rPr>
        <w:t xml:space="preserve">إلى </w:t>
      </w:r>
      <w:r w:rsidR="004226D7">
        <w:rPr>
          <w:rFonts w:ascii="Arabic Typesetting" w:hAnsi="Arabic Typesetting" w:cs="Arabic Typesetting"/>
          <w:sz w:val="34"/>
          <w:szCs w:val="34"/>
          <w:rtl/>
          <w:lang w:val="fr-CH"/>
        </w:rPr>
        <w:t>المنهجية الجديدة الأدق المتبعة في تخصيص موارد الموظفين والناجمة عن التحسينات المدخلة على نظام التخطيط لإدارة الأداء المؤسسي أثناء التخطيط للعمل السنوي لعامي 2014 و2015.</w:t>
      </w:r>
    </w:p>
    <w:p w:rsidR="004226D7" w:rsidRDefault="004226D7" w:rsidP="009A3712">
      <w:pPr>
        <w:numPr>
          <w:ilvl w:val="0"/>
          <w:numId w:val="37"/>
        </w:numPr>
        <w:bidi/>
        <w:spacing w:after="120" w:line="340" w:lineRule="exact"/>
        <w:ind w:left="-1" w:firstLine="0"/>
        <w:rPr>
          <w:rFonts w:ascii="Arabic Typesetting" w:hAnsi="Arabic Typesetting" w:cs="Arabic Typesetting"/>
          <w:sz w:val="34"/>
          <w:szCs w:val="34"/>
          <w:lang w:val="fr-CH"/>
        </w:rPr>
      </w:pPr>
      <w:r>
        <w:rPr>
          <w:rFonts w:ascii="Arabic Typesetting" w:hAnsi="Arabic Typesetting" w:cs="Arabic Typesetting"/>
          <w:sz w:val="34"/>
          <w:szCs w:val="34"/>
          <w:rtl/>
          <w:lang w:val="fr-CH"/>
        </w:rPr>
        <w:t>وتبيّن الموارد المرتبطة بالنتائج المرتقبة ه1.1 وﻫ8.2 وﻫ</w:t>
      </w:r>
      <w:r w:rsidR="003E55BA">
        <w:rPr>
          <w:rFonts w:ascii="Arabic Typesetting" w:hAnsi="Arabic Typesetting" w:cs="Arabic Typesetting"/>
          <w:sz w:val="34"/>
          <w:szCs w:val="34"/>
          <w:rtl/>
          <w:lang w:val="fr-CH"/>
        </w:rPr>
        <w:t>9.2 وﻫ</w:t>
      </w:r>
      <w:r>
        <w:rPr>
          <w:rFonts w:ascii="Arabic Typesetting" w:hAnsi="Arabic Typesetting" w:cs="Arabic Typesetting"/>
          <w:sz w:val="34"/>
          <w:szCs w:val="34"/>
          <w:rtl/>
          <w:lang w:val="fr-CH"/>
        </w:rPr>
        <w:t>1.6 وﻫ2.6 وﻫ5.8 في هذا البرنامج الجهود التي يبذلها مكتب مساعد المدير العام لقطاع القضايا العالمية في سبيل تنفيذ أنشطة البرامج 4 و7 و17 و20 على التوالي.</w:t>
      </w:r>
    </w:p>
    <w:p w:rsidR="004226D7" w:rsidRDefault="004226D7" w:rsidP="004226D7">
      <w:pPr>
        <w:keepNext/>
        <w:bidi/>
        <w:spacing w:before="240" w:after="120" w:line="340" w:lineRule="exact"/>
        <w:rPr>
          <w:rFonts w:ascii="Arabic Typesetting" w:hAnsi="Arabic Typesetting" w:cs="Arabic Typesetting"/>
          <w:sz w:val="34"/>
          <w:szCs w:val="34"/>
          <w:u w:val="single"/>
          <w:lang w:bidi="ar-EG"/>
        </w:rPr>
      </w:pPr>
      <w:r w:rsidRPr="00DA44C1">
        <w:rPr>
          <w:rFonts w:ascii="Arabic Typesetting" w:hAnsi="Arabic Typesetting" w:cs="Arabic Typesetting"/>
          <w:sz w:val="34"/>
          <w:szCs w:val="34"/>
          <w:rtl/>
          <w:lang w:bidi="ar-EG"/>
        </w:rPr>
        <w:t>باء.</w:t>
      </w:r>
      <w:r w:rsidRPr="00DA44C1">
        <w:rPr>
          <w:rFonts w:ascii="Arabic Typesetting" w:hAnsi="Arabic Typesetting" w:cs="Arabic Typesetting"/>
          <w:sz w:val="34"/>
          <w:szCs w:val="34"/>
          <w:rtl/>
          <w:lang w:bidi="ar-EG"/>
        </w:rPr>
        <w:tab/>
      </w:r>
      <w:r>
        <w:rPr>
          <w:rFonts w:ascii="Arabic Typesetting" w:hAnsi="Arabic Typesetting" w:cs="Arabic Typesetting"/>
          <w:sz w:val="34"/>
          <w:szCs w:val="34"/>
          <w:u w:val="single"/>
          <w:rtl/>
          <w:lang w:bidi="ar-EG"/>
        </w:rPr>
        <w:t>استخدام ميزانية 2014/15</w:t>
      </w:r>
    </w:p>
    <w:p w:rsidR="00086C3F" w:rsidRPr="004226D7" w:rsidRDefault="00322324" w:rsidP="009A3712">
      <w:pPr>
        <w:numPr>
          <w:ilvl w:val="0"/>
          <w:numId w:val="37"/>
        </w:numPr>
        <w:bidi/>
        <w:spacing w:after="120" w:line="340" w:lineRule="exact"/>
        <w:ind w:left="-1" w:firstLine="0"/>
        <w:rPr>
          <w:rFonts w:ascii="Arabic Typesetting" w:hAnsi="Arabic Typesetting" w:cs="Arabic Typesetting"/>
          <w:sz w:val="34"/>
          <w:szCs w:val="34"/>
          <w:rtl/>
          <w:lang w:val="fr-CH"/>
        </w:rPr>
      </w:pPr>
      <w:r>
        <w:rPr>
          <w:rFonts w:ascii="Arabic Typesetting" w:hAnsi="Arabic Typesetting" w:cs="Arabic Typesetting" w:hint="cs"/>
          <w:sz w:val="34"/>
          <w:szCs w:val="34"/>
          <w:rtl/>
          <w:lang w:val="fr-CH"/>
        </w:rPr>
        <w:t>يعزى</w:t>
      </w:r>
      <w:r>
        <w:rPr>
          <w:rFonts w:ascii="Arabic Typesetting" w:hAnsi="Arabic Typesetting" w:cs="Arabic Typesetting"/>
          <w:sz w:val="34"/>
          <w:szCs w:val="34"/>
          <w:rtl/>
          <w:lang w:val="fr-CH"/>
        </w:rPr>
        <w:t xml:space="preserve"> </w:t>
      </w:r>
      <w:r w:rsidR="004226D7">
        <w:rPr>
          <w:rFonts w:ascii="Arabic Typesetting" w:hAnsi="Arabic Typesetting" w:cs="Arabic Typesetting"/>
          <w:sz w:val="34"/>
          <w:szCs w:val="34"/>
          <w:rtl/>
          <w:lang w:val="fr-CH"/>
        </w:rPr>
        <w:t xml:space="preserve">التدني الطفيف في استخدام </w:t>
      </w:r>
      <w:r>
        <w:rPr>
          <w:rFonts w:ascii="Arabic Typesetting" w:hAnsi="Arabic Typesetting" w:cs="Arabic Typesetting" w:hint="cs"/>
          <w:sz w:val="34"/>
          <w:szCs w:val="34"/>
          <w:rtl/>
          <w:lang w:val="fr-CH"/>
        </w:rPr>
        <w:t>مخصصات خلاف موارد</w:t>
      </w:r>
      <w:r w:rsidR="004226D7">
        <w:rPr>
          <w:rFonts w:ascii="Arabic Typesetting" w:hAnsi="Arabic Typesetting" w:cs="Arabic Typesetting"/>
          <w:sz w:val="34"/>
          <w:szCs w:val="34"/>
          <w:rtl/>
          <w:lang w:val="fr-CH"/>
        </w:rPr>
        <w:t xml:space="preserve"> الموظفين </w:t>
      </w:r>
      <w:r>
        <w:rPr>
          <w:rFonts w:ascii="Arabic Typesetting" w:hAnsi="Arabic Typesetting" w:cs="Arabic Typesetting" w:hint="cs"/>
          <w:sz w:val="34"/>
          <w:szCs w:val="34"/>
          <w:rtl/>
        </w:rPr>
        <w:t xml:space="preserve">إلى </w:t>
      </w:r>
      <w:r w:rsidR="004226D7">
        <w:rPr>
          <w:rFonts w:ascii="Arabic Typesetting" w:hAnsi="Arabic Typesetting" w:cs="Arabic Typesetting"/>
          <w:sz w:val="34"/>
          <w:szCs w:val="34"/>
          <w:rtl/>
          <w:lang w:val="fr-CH"/>
        </w:rPr>
        <w:t>ما يلي: "1" الوفورات المحققة في التكاليف، وخاصة فيما يتعلق بالسفر وتنظيم الاجتماعات؛ "2" وتقاعد مدير إدارة الملكية الفكرية وسياسة المنافسة في منتصف</w:t>
      </w:r>
      <w:r>
        <w:rPr>
          <w:rFonts w:ascii="Arabic Typesetting" w:hAnsi="Arabic Typesetting" w:cs="Arabic Typesetting" w:hint="cs"/>
          <w:sz w:val="34"/>
          <w:szCs w:val="34"/>
          <w:rtl/>
          <w:lang w:val="fr-CH"/>
        </w:rPr>
        <w:t> </w:t>
      </w:r>
      <w:r w:rsidR="004226D7">
        <w:rPr>
          <w:rFonts w:ascii="Arabic Typesetting" w:hAnsi="Arabic Typesetting" w:cs="Arabic Typesetting"/>
          <w:sz w:val="34"/>
          <w:szCs w:val="34"/>
          <w:rtl/>
          <w:lang w:val="fr-CH"/>
        </w:rPr>
        <w:t>2015.</w:t>
      </w:r>
    </w:p>
    <w:p w:rsidR="00B31868" w:rsidRDefault="00B31868" w:rsidP="00086C3F">
      <w:pPr>
        <w:pStyle w:val="Heading2AR"/>
        <w:rPr>
          <w:rtl/>
        </w:rPr>
      </w:pPr>
      <w:bookmarkStart w:id="104" w:name="_Toc450635424"/>
      <w:bookmarkStart w:id="105" w:name="_Toc455393393"/>
      <w:r w:rsidRPr="00B31868">
        <w:rPr>
          <w:rFonts w:hint="cs"/>
          <w:rtl/>
        </w:rPr>
        <w:lastRenderedPageBreak/>
        <w:t>الهدف الاستراتيجي الثامن</w:t>
      </w:r>
      <w:bookmarkEnd w:id="104"/>
      <w:bookmarkEnd w:id="105"/>
    </w:p>
    <w:p w:rsidR="009178C3" w:rsidRDefault="009178C3" w:rsidP="009178C3">
      <w:pPr>
        <w:pStyle w:val="NormalParaAR"/>
        <w:tabs>
          <w:tab w:val="right" w:pos="6825"/>
        </w:tabs>
        <w:jc w:val="center"/>
        <w:rPr>
          <w:b/>
          <w:bCs/>
          <w:rtl/>
          <w:lang w:bidi="ar-EG"/>
        </w:rPr>
      </w:pPr>
      <w:r w:rsidRPr="004F3A17">
        <w:rPr>
          <w:b/>
          <w:bCs/>
          <w:rtl/>
          <w:lang w:bidi="ar-EG"/>
        </w:rPr>
        <w:t>آلية تواصل متجاوب بين الويبو والدول الأعضاء وجميع أصحاب المصالح</w:t>
      </w:r>
    </w:p>
    <w:p w:rsidR="009178C3" w:rsidRPr="002C1F06" w:rsidRDefault="009178C3" w:rsidP="009178C3">
      <w:pPr>
        <w:keepNext/>
        <w:tabs>
          <w:tab w:val="left" w:pos="1132"/>
        </w:tabs>
        <w:bidi/>
        <w:spacing w:after="240" w:line="360" w:lineRule="exact"/>
        <w:jc w:val="center"/>
        <w:rPr>
          <w:rFonts w:ascii="Arabic Typesetting" w:hAnsi="Arabic Typesetting" w:cs="Arabic Typesetting"/>
          <w:b/>
          <w:bCs/>
          <w:sz w:val="36"/>
          <w:szCs w:val="36"/>
          <w:rtl/>
        </w:rPr>
      </w:pPr>
      <w:r w:rsidRPr="002C1F06">
        <w:rPr>
          <w:rFonts w:ascii="Arabic Typesetting" w:hAnsi="Arabic Typesetting" w:cs="Arabic Typesetting" w:hint="cs"/>
          <w:b/>
          <w:bCs/>
          <w:sz w:val="36"/>
          <w:szCs w:val="36"/>
          <w:rtl/>
        </w:rPr>
        <w:t>لوحة بيانات أداء الفترة الثنائية</w:t>
      </w:r>
    </w:p>
    <w:p w:rsidR="009178C3" w:rsidRPr="00C34F0E" w:rsidRDefault="009178C3" w:rsidP="009178C3">
      <w:pPr>
        <w:tabs>
          <w:tab w:val="left" w:pos="1132"/>
        </w:tabs>
        <w:bidi/>
        <w:spacing w:after="120" w:line="340" w:lineRule="exact"/>
        <w:rPr>
          <w:rFonts w:ascii="Arabic Typesetting" w:hAnsi="Arabic Typesetting" w:cs="Arabic Typesetting"/>
          <w:sz w:val="34"/>
          <w:szCs w:val="34"/>
          <w:rtl/>
          <w:lang w:bidi="ar-EG"/>
        </w:rPr>
      </w:pPr>
      <w:r w:rsidRPr="00C34F0E">
        <w:rPr>
          <w:rFonts w:ascii="Arabic Typesetting" w:hAnsi="Arabic Typesetting" w:cs="Arabic Typesetting" w:hint="cs"/>
          <w:sz w:val="34"/>
          <w:szCs w:val="34"/>
          <w:rtl/>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9178C3" w:rsidRDefault="000A7B1D" w:rsidP="009178C3">
      <w:pPr>
        <w:pStyle w:val="NormalParaAR"/>
        <w:tabs>
          <w:tab w:val="right" w:pos="6825"/>
        </w:tabs>
        <w:spacing w:line="240" w:lineRule="auto"/>
        <w:jc w:val="center"/>
        <w:rPr>
          <w:noProof/>
          <w:rtl/>
        </w:rPr>
      </w:pPr>
      <w:r>
        <w:rPr>
          <w:noProof/>
        </w:rPr>
        <w:drawing>
          <wp:inline distT="0" distB="0" distL="0" distR="0" wp14:anchorId="7C9A4390" wp14:editId="451ED689">
            <wp:extent cx="5734050" cy="2903010"/>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43953" cy="2908024"/>
                    </a:xfrm>
                    <a:prstGeom prst="rect">
                      <a:avLst/>
                    </a:prstGeom>
                    <a:noFill/>
                  </pic:spPr>
                </pic:pic>
              </a:graphicData>
            </a:graphic>
          </wp:inline>
        </w:drawing>
      </w:r>
    </w:p>
    <w:tbl>
      <w:tblP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942"/>
        <w:gridCol w:w="3989"/>
        <w:gridCol w:w="1589"/>
        <w:gridCol w:w="1051"/>
      </w:tblGrid>
      <w:tr w:rsidR="009178C3" w:rsidRPr="00FE3908" w:rsidTr="006E665D">
        <w:trPr>
          <w:cantSplit/>
          <w:tblHeader/>
        </w:trPr>
        <w:tc>
          <w:tcPr>
            <w:tcW w:w="1537"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النتائج المرتقبة</w:t>
            </w:r>
          </w:p>
        </w:tc>
        <w:tc>
          <w:tcPr>
            <w:tcW w:w="2084"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830"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549"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9178C3" w:rsidRPr="00FE3908" w:rsidTr="006E665D">
        <w:trPr>
          <w:cantSplit/>
        </w:trPr>
        <w:tc>
          <w:tcPr>
            <w:tcW w:w="1537" w:type="pct"/>
            <w:tcBorders>
              <w:top w:val="single" w:sz="4" w:space="0" w:color="auto"/>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Pr>
                <w:rFonts w:ascii="Arabic Typesetting" w:hAnsi="Arabic Typesetting" w:cs="Arabic Typesetting" w:hint="cs"/>
                <w:color w:val="000000"/>
                <w:sz w:val="30"/>
                <w:szCs w:val="30"/>
                <w:rtl/>
              </w:rPr>
              <w:t>ه</w:t>
            </w:r>
            <w:r w:rsidRPr="00EF643B">
              <w:rPr>
                <w:rFonts w:ascii="Arabic Typesetting" w:hAnsi="Arabic Typesetting" w:cs="Arabic Typesetting"/>
                <w:color w:val="000000"/>
                <w:sz w:val="30"/>
                <w:szCs w:val="30"/>
                <w:rtl/>
              </w:rPr>
              <w:t xml:space="preserve">1.8 </w:t>
            </w:r>
            <w:r w:rsidRPr="00D619C5">
              <w:rPr>
                <w:rFonts w:ascii="Arabic Typesetting" w:hAnsi="Arabic Typesetting" w:cs="Arabic Typesetting"/>
                <w:color w:val="000000"/>
                <w:sz w:val="30"/>
                <w:szCs w:val="30"/>
                <w:rtl/>
              </w:rPr>
              <w:t>التواصل بفعالية أكبر مع جمهور أوسع بشأن الملكية الفكرية ودور الويبو</w:t>
            </w:r>
          </w:p>
        </w:tc>
        <w:tc>
          <w:tcPr>
            <w:tcW w:w="2084"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rtl/>
                <w:lang w:bidi="ar-EG"/>
              </w:rPr>
            </w:pPr>
            <w:r w:rsidRPr="00EF643B">
              <w:rPr>
                <w:rFonts w:ascii="Arabic Typesetting" w:hAnsi="Arabic Typesetting" w:cs="Arabic Typesetting"/>
                <w:color w:val="000000"/>
                <w:sz w:val="30"/>
                <w:szCs w:val="30"/>
                <w:rtl/>
              </w:rPr>
              <w:t xml:space="preserve">مستوى الاهتمام العام الذي تحقق خلال مختارات من أهم </w:t>
            </w:r>
            <w:r w:rsidRPr="00EF643B">
              <w:rPr>
                <w:rFonts w:ascii="Arabic Typesetting" w:hAnsi="Arabic Typesetting" w:cs="Arabic Typesetting" w:hint="cs"/>
                <w:color w:val="000000"/>
                <w:sz w:val="30"/>
                <w:szCs w:val="30"/>
                <w:rtl/>
              </w:rPr>
              <w:t>الأحداث</w:t>
            </w:r>
            <w:r w:rsidRPr="00EF643B">
              <w:rPr>
                <w:rFonts w:ascii="Arabic Typesetting" w:hAnsi="Arabic Typesetting" w:cs="Arabic Typesetting"/>
                <w:color w:val="000000"/>
                <w:sz w:val="30"/>
                <w:szCs w:val="30"/>
                <w:rtl/>
              </w:rPr>
              <w:t>/الإنجازات التي قامت بها الويبو</w:t>
            </w:r>
          </w:p>
        </w:tc>
        <w:tc>
          <w:tcPr>
            <w:tcW w:w="830"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19</w:t>
            </w:r>
          </w:p>
        </w:tc>
        <w:tc>
          <w:tcPr>
            <w:tcW w:w="549" w:type="pct"/>
            <w:tcBorders>
              <w:top w:val="single" w:sz="4" w:space="0" w:color="auto"/>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rtl/>
                <w:lang w:bidi="ar-EG"/>
              </w:rPr>
            </w:pPr>
            <w:r w:rsidRPr="00EF643B">
              <w:rPr>
                <w:rFonts w:ascii="Arabic Typesetting" w:hAnsi="Arabic Typesetting" w:cs="Arabic Typesetting"/>
                <w:color w:val="000000"/>
                <w:sz w:val="30"/>
                <w:szCs w:val="30"/>
                <w:rtl/>
              </w:rPr>
              <w:t>النسبة المئوية لأصحاب المصالح الذين لديهم اعتراف إيجابي بمهمة الويبو وأنشطتها والصورة التي تتمتع بها كمنظمة</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19</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EF643B" w:rsidRDefault="009178C3" w:rsidP="006E665D">
            <w:pPr>
              <w:bidi/>
              <w:spacing w:before="60" w:after="60" w:line="280" w:lineRule="exact"/>
              <w:rPr>
                <w:rFonts w:ascii="Arabic Typesetting" w:hAnsi="Arabic Typesetting" w:cs="Arabic Typesetting"/>
                <w:color w:val="000000"/>
                <w:sz w:val="30"/>
                <w:szCs w:val="30"/>
                <w:rtl/>
              </w:rPr>
            </w:pP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r w:rsidRPr="00EF67DC">
              <w:rPr>
                <w:rFonts w:ascii="Wingdings" w:hAnsi="Wingdings" w:cs="Calibri"/>
                <w:color w:val="008000"/>
                <w:szCs w:val="22"/>
                <w:lang w:bidi="ar-EG"/>
              </w:rPr>
              <w:t></w:t>
            </w:r>
            <w:r w:rsidRPr="008A6954">
              <w:rPr>
                <w:rFonts w:ascii="Wingdings" w:hAnsi="Wingdings" w:cs="Calibri"/>
                <w:color w:val="10862C"/>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EF643B" w:rsidRDefault="009178C3" w:rsidP="006E665D">
            <w:pPr>
              <w:bidi/>
              <w:spacing w:before="60" w:after="60" w:line="280" w:lineRule="exact"/>
              <w:rPr>
                <w:rFonts w:ascii="Arabic Typesetting" w:hAnsi="Arabic Typesetting" w:cs="Arabic Typesetting"/>
                <w:color w:val="000000"/>
                <w:sz w:val="30"/>
                <w:szCs w:val="30"/>
                <w:rtl/>
              </w:rPr>
            </w:pPr>
            <w:r w:rsidRPr="00EF643B">
              <w:rPr>
                <w:rFonts w:ascii="Arabic Typesetting" w:hAnsi="Arabic Typesetting" w:cs="Arabic Typesetting"/>
                <w:color w:val="000000"/>
                <w:sz w:val="30"/>
                <w:szCs w:val="30"/>
                <w:rtl/>
              </w:rPr>
              <w:t>النسبة المئوية لعدد مشاهدات مضمون المقالات الصحفية والصور والفيديو المتعلقة بالويبو</w:t>
            </w:r>
          </w:p>
        </w:tc>
        <w:tc>
          <w:tcPr>
            <w:tcW w:w="830" w:type="pct"/>
            <w:tcBorders>
              <w:top w:val="nil"/>
              <w:bottom w:val="nil"/>
            </w:tcBorders>
            <w:shd w:val="clear" w:color="auto" w:fill="auto"/>
            <w:vAlign w:val="center"/>
          </w:tcPr>
          <w:p w:rsidR="009178C3"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19</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r w:rsidRPr="00EF67DC">
              <w:rPr>
                <w:rFonts w:ascii="Wingdings" w:hAnsi="Wingdings" w:cs="Calibri"/>
                <w:color w:val="FF0000"/>
                <w:szCs w:val="22"/>
                <w:lang w:bidi="ar-EG"/>
              </w:rPr>
              <w:t></w:t>
            </w:r>
            <w:r w:rsidRPr="00EF67DC">
              <w:rPr>
                <w:rFonts w:ascii="Wingdings" w:hAnsi="Wingdings" w:cs="Calibri"/>
                <w:color w:val="FF0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EF643B" w:rsidRDefault="009178C3" w:rsidP="006E665D">
            <w:pPr>
              <w:bidi/>
              <w:spacing w:before="60" w:after="60" w:line="280" w:lineRule="exact"/>
              <w:rPr>
                <w:rFonts w:ascii="Arabic Typesetting" w:hAnsi="Arabic Typesetting" w:cs="Arabic Typesetting"/>
                <w:color w:val="000000"/>
                <w:sz w:val="30"/>
                <w:szCs w:val="30"/>
                <w:rtl/>
              </w:rPr>
            </w:pPr>
            <w:r w:rsidRPr="00EF643B">
              <w:rPr>
                <w:rFonts w:ascii="Arabic Typesetting" w:hAnsi="Arabic Typesetting" w:cs="Arabic Typesetting"/>
                <w:color w:val="000000"/>
                <w:sz w:val="30"/>
                <w:szCs w:val="30"/>
                <w:rtl/>
              </w:rPr>
              <w:t>النسبة المئوية للمشاركة العالمية في اليوم العالمي للملكية الفكرية على صفحة المنظمة على موقع فيسبوك (النتائج الإجمالية لحملة الاتصال)</w:t>
            </w:r>
          </w:p>
        </w:tc>
        <w:tc>
          <w:tcPr>
            <w:tcW w:w="830" w:type="pct"/>
            <w:tcBorders>
              <w:top w:val="nil"/>
              <w:bottom w:val="nil"/>
            </w:tcBorders>
            <w:shd w:val="clear" w:color="auto" w:fill="auto"/>
            <w:vAlign w:val="center"/>
          </w:tcPr>
          <w:p w:rsidR="009178C3"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19</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sidRPr="00EF643B">
              <w:rPr>
                <w:rFonts w:ascii="Arabic Typesetting" w:hAnsi="Arabic Typesetting" w:cs="Arabic Typesetting"/>
                <w:color w:val="000000"/>
                <w:sz w:val="30"/>
                <w:szCs w:val="30"/>
                <w:rtl/>
              </w:rPr>
              <w:t xml:space="preserve">النسبة المئوية لتزايد عدد مشاهدات المنشورات على شبكة </w:t>
            </w:r>
            <w:proofErr w:type="spellStart"/>
            <w:r w:rsidRPr="00EF643B">
              <w:rPr>
                <w:rFonts w:ascii="Arabic Typesetting" w:hAnsi="Arabic Typesetting" w:cs="Arabic Typesetting"/>
                <w:color w:val="000000"/>
                <w:sz w:val="30"/>
                <w:szCs w:val="30"/>
                <w:rtl/>
              </w:rPr>
              <w:t>الانترنت</w:t>
            </w:r>
            <w:proofErr w:type="spellEnd"/>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19</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70C0"/>
                <w:szCs w:val="22"/>
                <w:lang w:bidi="ar-EG"/>
              </w:rPr>
            </w:pPr>
            <w:r w:rsidRPr="008A6954">
              <w:rPr>
                <w:rFonts w:ascii="Wingdings" w:hAnsi="Wingdings" w:cs="Calibri"/>
                <w:color w:val="10862C"/>
                <w:szCs w:val="22"/>
                <w:lang w:bidi="ar-EG"/>
              </w:rPr>
              <w:t></w:t>
            </w:r>
            <w:r w:rsidRPr="00F81308">
              <w:rPr>
                <w:rFonts w:ascii="Wingdings" w:hAnsi="Wingdings" w:cs="Calibri"/>
                <w:color w:val="A6A6A6" w:themeColor="background1" w:themeShade="A6"/>
                <w:szCs w:val="22"/>
                <w:lang w:bidi="ar-EG"/>
              </w:rPr>
              <w:t></w:t>
            </w:r>
          </w:p>
        </w:tc>
      </w:tr>
      <w:tr w:rsidR="009178C3" w:rsidRPr="00FE3908" w:rsidTr="000A7B1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sidRPr="00EF643B">
              <w:rPr>
                <w:rFonts w:ascii="Arabic Typesetting" w:hAnsi="Arabic Typesetting" w:cs="Arabic Typesetting"/>
                <w:color w:val="000000"/>
                <w:sz w:val="30"/>
                <w:szCs w:val="30"/>
                <w:rtl/>
              </w:rPr>
              <w:t>النسبة المئوية للمستخدمين الراضين عن موقع الويبو الإلكتروني</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19</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70C0"/>
                <w:szCs w:val="22"/>
                <w:lang w:bidi="ar-EG"/>
              </w:rPr>
            </w:pPr>
            <w:r w:rsidRPr="00F81308">
              <w:rPr>
                <w:rFonts w:ascii="Wingdings" w:hAnsi="Wingdings" w:cs="Calibri"/>
                <w:color w:val="A6A6A6" w:themeColor="background1" w:themeShade="A6"/>
                <w:szCs w:val="22"/>
                <w:lang w:bidi="ar-EG"/>
              </w:rPr>
              <w:t></w:t>
            </w:r>
          </w:p>
        </w:tc>
      </w:tr>
      <w:tr w:rsidR="009178C3" w:rsidRPr="00FE3908" w:rsidTr="000A7B1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EF643B" w:rsidRDefault="009178C3" w:rsidP="006E665D">
            <w:pPr>
              <w:bidi/>
              <w:spacing w:before="60" w:after="60" w:line="280" w:lineRule="exact"/>
              <w:rPr>
                <w:rFonts w:ascii="Arabic Typesetting" w:hAnsi="Arabic Typesetting" w:cs="Arabic Typesetting"/>
                <w:color w:val="000000"/>
                <w:sz w:val="30"/>
                <w:szCs w:val="30"/>
                <w:rtl/>
              </w:rPr>
            </w:pPr>
            <w:r w:rsidRPr="002548B8">
              <w:rPr>
                <w:rFonts w:ascii="Arabic Typesetting" w:hAnsi="Arabic Typesetting" w:cs="Arabic Typesetting"/>
                <w:color w:val="000000"/>
                <w:sz w:val="30"/>
                <w:szCs w:val="30"/>
                <w:rtl/>
              </w:rPr>
              <w:t>التأثير والعمل المتزايدين للويبو على وسائل التواصل الاجتماعي</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19</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r w:rsidRPr="00F81308">
              <w:rPr>
                <w:rFonts w:ascii="Wingdings" w:hAnsi="Wingdings" w:cs="Calibri"/>
                <w:color w:val="000000" w:themeColor="text1"/>
                <w:szCs w:val="22"/>
                <w:lang w:bidi="ar-EG"/>
              </w:rPr>
              <w:t></w:t>
            </w:r>
          </w:p>
        </w:tc>
      </w:tr>
      <w:tr w:rsidR="009178C3" w:rsidRPr="00FE3908" w:rsidTr="000A7B1D">
        <w:trPr>
          <w:cantSplit/>
        </w:trPr>
        <w:tc>
          <w:tcPr>
            <w:tcW w:w="1537" w:type="pct"/>
            <w:tcBorders>
              <w:top w:val="nil"/>
              <w:bottom w:val="single" w:sz="4" w:space="0" w:color="auto"/>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single" w:sz="4" w:space="0" w:color="auto"/>
            </w:tcBorders>
            <w:shd w:val="clear" w:color="auto" w:fill="auto"/>
            <w:vAlign w:val="center"/>
          </w:tcPr>
          <w:p w:rsidR="009178C3" w:rsidRPr="002548B8" w:rsidRDefault="009178C3" w:rsidP="006E665D">
            <w:pPr>
              <w:bidi/>
              <w:spacing w:before="60" w:after="60" w:line="280" w:lineRule="exact"/>
              <w:rPr>
                <w:rFonts w:ascii="Arabic Typesetting" w:hAnsi="Arabic Typesetting" w:cs="Arabic Typesetting"/>
                <w:color w:val="000000"/>
                <w:sz w:val="30"/>
                <w:szCs w:val="30"/>
                <w:rtl/>
              </w:rPr>
            </w:pPr>
            <w:r w:rsidRPr="00D70D8D">
              <w:rPr>
                <w:rFonts w:ascii="Arabic Typesetting" w:hAnsi="Arabic Typesetting" w:cs="Arabic Typesetting" w:hint="cs"/>
                <w:color w:val="000000"/>
                <w:sz w:val="30"/>
                <w:szCs w:val="30"/>
                <w:rtl/>
              </w:rPr>
              <w:t xml:space="preserve">العدد المتزايد لزائري الموقع </w:t>
            </w:r>
            <w:proofErr w:type="spellStart"/>
            <w:r w:rsidRPr="00D70D8D">
              <w:rPr>
                <w:rFonts w:ascii="Arabic Typesetting" w:hAnsi="Arabic Typesetting" w:cs="Arabic Typesetting" w:hint="cs"/>
                <w:color w:val="000000"/>
                <w:sz w:val="30"/>
                <w:szCs w:val="30"/>
                <w:rtl/>
              </w:rPr>
              <w:t>الالكتروني</w:t>
            </w:r>
            <w:proofErr w:type="spellEnd"/>
            <w:r w:rsidRPr="00D70D8D">
              <w:rPr>
                <w:rFonts w:ascii="Arabic Typesetting" w:hAnsi="Arabic Typesetting" w:cs="Arabic Typesetting" w:hint="cs"/>
                <w:color w:val="000000"/>
                <w:sz w:val="30"/>
                <w:szCs w:val="30"/>
                <w:rtl/>
              </w:rPr>
              <w:t xml:space="preserve"> للمكاتب الخارجية للويبو</w:t>
            </w:r>
          </w:p>
        </w:tc>
        <w:tc>
          <w:tcPr>
            <w:tcW w:w="830" w:type="pct"/>
            <w:tcBorders>
              <w:top w:val="nil"/>
              <w:bottom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20</w:t>
            </w:r>
          </w:p>
        </w:tc>
        <w:tc>
          <w:tcPr>
            <w:tcW w:w="549" w:type="pct"/>
            <w:tcBorders>
              <w:top w:val="nil"/>
              <w:bottom w:val="single" w:sz="4" w:space="0" w:color="auto"/>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F81308">
              <w:rPr>
                <w:rFonts w:ascii="Wingdings" w:hAnsi="Wingdings" w:cs="Calibri"/>
                <w:color w:val="E36C0A" w:themeColor="accent6" w:themeShade="BF"/>
                <w:szCs w:val="22"/>
                <w:lang w:bidi="ar-EG"/>
              </w:rPr>
              <w:t></w:t>
            </w:r>
            <w:r w:rsidRPr="00EF67DC">
              <w:rPr>
                <w:rFonts w:ascii="Wingdings" w:hAnsi="Wingdings" w:cs="Calibri"/>
                <w:color w:val="008000"/>
                <w:szCs w:val="22"/>
                <w:lang w:bidi="ar-EG"/>
              </w:rPr>
              <w:t></w:t>
            </w:r>
            <w:r w:rsidRPr="00F81308">
              <w:rPr>
                <w:rFonts w:ascii="Wingdings" w:hAnsi="Wingdings" w:cs="Calibri"/>
                <w:color w:val="A6A6A6" w:themeColor="background1" w:themeShade="A6"/>
                <w:szCs w:val="22"/>
                <w:lang w:bidi="ar-EG"/>
              </w:rPr>
              <w:t></w:t>
            </w:r>
          </w:p>
        </w:tc>
      </w:tr>
      <w:tr w:rsidR="009178C3" w:rsidRPr="00FE3908" w:rsidTr="000A7B1D">
        <w:trPr>
          <w:cantSplit/>
        </w:trPr>
        <w:tc>
          <w:tcPr>
            <w:tcW w:w="1537" w:type="pct"/>
            <w:tcBorders>
              <w:top w:val="single" w:sz="4" w:space="0" w:color="auto"/>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sidRPr="00D70D8D">
              <w:rPr>
                <w:rFonts w:ascii="Arabic Typesetting" w:hAnsi="Arabic Typesetting" w:cs="Arabic Typesetting"/>
                <w:b/>
                <w:color w:val="000000"/>
                <w:sz w:val="30"/>
                <w:szCs w:val="30"/>
                <w:rtl/>
              </w:rPr>
              <w:lastRenderedPageBreak/>
              <w:t xml:space="preserve">ھ2.8 </w:t>
            </w:r>
            <w:r w:rsidRPr="00D619C5">
              <w:rPr>
                <w:rFonts w:ascii="Arabic Typesetting" w:hAnsi="Arabic Typesetting" w:cs="Arabic Typesetting"/>
                <w:b/>
                <w:color w:val="000000"/>
                <w:sz w:val="30"/>
                <w:szCs w:val="30"/>
                <w:rtl/>
              </w:rPr>
              <w:t>تحسين التوجّه نحو الخدمات والاستجابة للاستفسارات</w:t>
            </w:r>
          </w:p>
        </w:tc>
        <w:tc>
          <w:tcPr>
            <w:tcW w:w="2084" w:type="pct"/>
            <w:tcBorders>
              <w:top w:val="single" w:sz="4" w:space="0" w:color="auto"/>
              <w:bottom w:val="nil"/>
            </w:tcBorders>
            <w:shd w:val="clear" w:color="auto" w:fill="auto"/>
            <w:vAlign w:val="center"/>
          </w:tcPr>
          <w:p w:rsidR="009178C3" w:rsidRPr="00D70D8D" w:rsidRDefault="009178C3" w:rsidP="006E665D">
            <w:pPr>
              <w:bidi/>
              <w:spacing w:before="60" w:after="60" w:line="280" w:lineRule="exact"/>
              <w:rPr>
                <w:rFonts w:ascii="Arabic Typesetting" w:hAnsi="Arabic Typesetting" w:cs="Arabic Typesetting"/>
                <w:color w:val="000000"/>
                <w:sz w:val="30"/>
                <w:szCs w:val="30"/>
                <w:rtl/>
              </w:rPr>
            </w:pPr>
            <w:r w:rsidRPr="00D70D8D">
              <w:rPr>
                <w:rFonts w:ascii="Arabic Typesetting" w:hAnsi="Arabic Typesetting" w:cs="Arabic Typesetting"/>
                <w:color w:val="000000"/>
                <w:sz w:val="30"/>
                <w:szCs w:val="30"/>
                <w:rtl/>
              </w:rPr>
              <w:t>النسبة المئوية للمستخدمين الراضين عن خدمات</w:t>
            </w:r>
            <w:r w:rsidRPr="00D70D8D">
              <w:rPr>
                <w:rFonts w:ascii="Arabic Typesetting" w:hAnsi="Arabic Typesetting" w:cs="Arabic Typesetting"/>
                <w:color w:val="000000"/>
                <w:sz w:val="30"/>
                <w:szCs w:val="30"/>
              </w:rPr>
              <w:t xml:space="preserve"> </w:t>
            </w:r>
            <w:r w:rsidRPr="00D70D8D">
              <w:rPr>
                <w:rFonts w:ascii="Arabic Typesetting" w:hAnsi="Arabic Typesetting" w:cs="Arabic Typesetting" w:hint="cs"/>
                <w:color w:val="000000"/>
                <w:sz w:val="30"/>
                <w:szCs w:val="30"/>
                <w:rtl/>
              </w:rPr>
              <w:t>المكتب</w:t>
            </w:r>
            <w:r w:rsidRPr="00D70D8D">
              <w:rPr>
                <w:rFonts w:ascii="Arabic Typesetting" w:hAnsi="Arabic Typesetting" w:cs="Arabic Typesetting" w:hint="cs"/>
                <w:color w:val="000000"/>
                <w:sz w:val="30"/>
                <w:szCs w:val="30"/>
                <w:rtl/>
                <w:lang w:bidi="ar-EG"/>
              </w:rPr>
              <w:t>ة</w:t>
            </w:r>
          </w:p>
        </w:tc>
        <w:tc>
          <w:tcPr>
            <w:tcW w:w="830" w:type="pct"/>
            <w:tcBorders>
              <w:top w:val="single" w:sz="4" w:space="0" w:color="auto"/>
              <w:bottom w:val="nil"/>
            </w:tcBorders>
            <w:shd w:val="clear" w:color="auto" w:fill="auto"/>
            <w:vAlign w:val="center"/>
          </w:tcPr>
          <w:p w:rsidR="009178C3"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19</w:t>
            </w:r>
          </w:p>
        </w:tc>
        <w:tc>
          <w:tcPr>
            <w:tcW w:w="549" w:type="pct"/>
            <w:tcBorders>
              <w:top w:val="single" w:sz="4" w:space="0" w:color="auto"/>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184E3E" w:rsidRDefault="009178C3" w:rsidP="006E665D">
            <w:pPr>
              <w:bidi/>
              <w:spacing w:before="60" w:after="60" w:line="280" w:lineRule="exact"/>
              <w:rPr>
                <w:rFonts w:ascii="Arabic Typesetting" w:hAnsi="Arabic Typesetting" w:cs="Arabic Typesetting"/>
                <w:color w:val="000000"/>
                <w:sz w:val="30"/>
                <w:szCs w:val="30"/>
                <w:rtl/>
                <w:lang w:bidi="ar-EG"/>
              </w:rPr>
            </w:pPr>
            <w:r w:rsidRPr="006174AD">
              <w:rPr>
                <w:rFonts w:ascii="Arabic Typesetting" w:hAnsi="Arabic Typesetting" w:cs="Arabic Typesetting"/>
                <w:color w:val="000000"/>
                <w:sz w:val="30"/>
                <w:szCs w:val="30"/>
                <w:rtl/>
              </w:rPr>
              <w:t>نسبة رضا الزبائن/ أصحاب المصالح</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19</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F81308">
              <w:rPr>
                <w:rFonts w:ascii="Wingdings" w:hAnsi="Wingdings" w:cs="Calibri"/>
                <w:color w:val="A6A6A6" w:themeColor="background1" w:themeShade="A6"/>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6174AD" w:rsidRDefault="009178C3" w:rsidP="006E665D">
            <w:pPr>
              <w:bidi/>
              <w:spacing w:before="60" w:after="60" w:line="280" w:lineRule="exact"/>
              <w:rPr>
                <w:rFonts w:ascii="Arabic Typesetting" w:hAnsi="Arabic Typesetting" w:cs="Arabic Typesetting"/>
                <w:color w:val="000000"/>
                <w:sz w:val="30"/>
                <w:szCs w:val="30"/>
                <w:rtl/>
              </w:rPr>
            </w:pP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70C0"/>
                <w:szCs w:val="22"/>
                <w:lang w:bidi="ar-EG"/>
              </w:rPr>
            </w:pPr>
            <w:r w:rsidRPr="008A6954">
              <w:rPr>
                <w:rFonts w:ascii="Wingdings" w:hAnsi="Wingdings" w:cs="Calibri"/>
                <w:color w:val="10862C"/>
                <w:szCs w:val="22"/>
                <w:lang w:bidi="ar-EG"/>
              </w:rPr>
              <w:t></w:t>
            </w:r>
            <w:r w:rsidRPr="00F81308">
              <w:rPr>
                <w:rFonts w:ascii="Wingdings" w:hAnsi="Wingdings" w:cs="Calibri"/>
                <w:color w:val="A6A6A6" w:themeColor="background1" w:themeShade="A6"/>
                <w:szCs w:val="22"/>
                <w:lang w:bidi="ar-EG"/>
              </w:rPr>
              <w:t></w:t>
            </w:r>
            <w:r w:rsidRPr="00F81308">
              <w:rPr>
                <w:rFonts w:ascii="Wingdings" w:hAnsi="Wingdings" w:cs="Calibri"/>
                <w:color w:val="A6A6A6" w:themeColor="background1" w:themeShade="A6"/>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6174AD" w:rsidRDefault="009178C3" w:rsidP="006E665D">
            <w:pPr>
              <w:bidi/>
              <w:spacing w:before="60" w:after="60" w:line="280" w:lineRule="exact"/>
              <w:rPr>
                <w:rFonts w:ascii="Arabic Typesetting" w:hAnsi="Arabic Typesetting" w:cs="Arabic Typesetting"/>
                <w:color w:val="000000"/>
                <w:sz w:val="30"/>
                <w:szCs w:val="30"/>
                <w:rtl/>
              </w:rPr>
            </w:pPr>
            <w:r w:rsidRPr="00171592">
              <w:rPr>
                <w:rFonts w:ascii="Arabic Typesetting" w:hAnsi="Arabic Typesetting" w:cs="Arabic Typesetting"/>
                <w:color w:val="000000"/>
                <w:sz w:val="30"/>
                <w:szCs w:val="30"/>
                <w:rtl/>
              </w:rPr>
              <w:t xml:space="preserve">أهداف معايير الخدمة </w:t>
            </w:r>
            <w:r w:rsidRPr="00171592">
              <w:rPr>
                <w:rFonts w:ascii="Arabic Typesetting" w:hAnsi="Arabic Typesetting" w:cs="Arabic Typesetting" w:hint="cs"/>
                <w:color w:val="000000"/>
                <w:sz w:val="30"/>
                <w:szCs w:val="30"/>
                <w:rtl/>
              </w:rPr>
              <w:t>على النحو</w:t>
            </w:r>
            <w:r w:rsidRPr="00171592">
              <w:rPr>
                <w:rFonts w:ascii="Arabic Typesetting" w:hAnsi="Arabic Typesetting" w:cs="Arabic Typesetting"/>
                <w:color w:val="000000"/>
                <w:sz w:val="30"/>
                <w:szCs w:val="30"/>
                <w:rtl/>
              </w:rPr>
              <w:t xml:space="preserve"> </w:t>
            </w:r>
            <w:r w:rsidRPr="00171592">
              <w:rPr>
                <w:rFonts w:ascii="Arabic Typesetting" w:hAnsi="Arabic Typesetting" w:cs="Arabic Typesetting" w:hint="cs"/>
                <w:color w:val="000000"/>
                <w:sz w:val="30"/>
                <w:szCs w:val="30"/>
                <w:rtl/>
              </w:rPr>
              <w:t>ال</w:t>
            </w:r>
            <w:r w:rsidRPr="00171592">
              <w:rPr>
                <w:rFonts w:ascii="Arabic Typesetting" w:hAnsi="Arabic Typesetting" w:cs="Arabic Typesetting"/>
                <w:color w:val="000000"/>
                <w:sz w:val="30"/>
                <w:szCs w:val="30"/>
                <w:rtl/>
              </w:rPr>
              <w:t>مبين على موقع الويبو الإلكتروني</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19</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171592" w:rsidRDefault="009178C3" w:rsidP="006E665D">
            <w:pPr>
              <w:bidi/>
              <w:spacing w:before="60" w:after="60" w:line="280" w:lineRule="exact"/>
              <w:rPr>
                <w:rFonts w:ascii="Arabic Typesetting" w:hAnsi="Arabic Typesetting" w:cs="Arabic Typesetting"/>
                <w:color w:val="000000"/>
                <w:sz w:val="30"/>
                <w:szCs w:val="30"/>
                <w:rtl/>
              </w:rPr>
            </w:pPr>
            <w:r w:rsidRPr="00171592">
              <w:rPr>
                <w:rFonts w:ascii="Arabic Typesetting" w:hAnsi="Arabic Typesetting" w:cs="Arabic Typesetting" w:hint="cs"/>
                <w:color w:val="000000"/>
                <w:sz w:val="30"/>
                <w:szCs w:val="30"/>
                <w:rtl/>
              </w:rPr>
              <w:t>زمن معالجة الاستفسارات الإخبارية</w:t>
            </w:r>
          </w:p>
        </w:tc>
        <w:tc>
          <w:tcPr>
            <w:tcW w:w="830"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r w:rsidRPr="00EF67DC">
              <w:rPr>
                <w:rFonts w:ascii="Wingdings" w:hAnsi="Wingdings" w:cs="Calibri"/>
                <w:color w:val="A6A6A6"/>
                <w:szCs w:val="22"/>
                <w:lang w:bidi="ar-EG"/>
              </w:rPr>
              <w:t></w:t>
            </w:r>
            <w:r w:rsidRPr="00EF67DC">
              <w:rPr>
                <w:rFonts w:ascii="Wingdings" w:hAnsi="Wingdings" w:cs="Calibri"/>
                <w:color w:val="A6A6A6"/>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rPr>
              <w:t>ه</w:t>
            </w:r>
            <w:r w:rsidRPr="00171592">
              <w:rPr>
                <w:rFonts w:ascii="Arabic Typesetting" w:hAnsi="Arabic Typesetting" w:cs="Arabic Typesetting"/>
                <w:color w:val="000000"/>
                <w:sz w:val="30"/>
                <w:szCs w:val="30"/>
                <w:rtl/>
              </w:rPr>
              <w:t>3.8 التزام فعال مع الدول الأعضاء</w:t>
            </w:r>
          </w:p>
        </w:tc>
        <w:tc>
          <w:tcPr>
            <w:tcW w:w="2084" w:type="pct"/>
            <w:tcBorders>
              <w:top w:val="nil"/>
              <w:bottom w:val="nil"/>
            </w:tcBorders>
            <w:shd w:val="clear" w:color="auto" w:fill="auto"/>
            <w:vAlign w:val="center"/>
          </w:tcPr>
          <w:p w:rsidR="009178C3" w:rsidRPr="00171592" w:rsidRDefault="009178C3" w:rsidP="006E665D">
            <w:pPr>
              <w:bidi/>
              <w:spacing w:before="60" w:after="60" w:line="280" w:lineRule="exact"/>
              <w:rPr>
                <w:rFonts w:ascii="Arabic Typesetting" w:hAnsi="Arabic Typesetting" w:cs="Arabic Typesetting"/>
                <w:color w:val="000000"/>
                <w:sz w:val="30"/>
                <w:szCs w:val="30"/>
                <w:rtl/>
                <w:lang w:bidi="ar-EG"/>
              </w:rPr>
            </w:pPr>
            <w:r w:rsidRPr="00A34EDD">
              <w:rPr>
                <w:rFonts w:ascii="Arabic Typesetting" w:hAnsi="Arabic Typesetting" w:cs="Arabic Typesetting"/>
                <w:color w:val="000000"/>
                <w:sz w:val="30"/>
                <w:szCs w:val="30"/>
                <w:rtl/>
              </w:rPr>
              <w:t>النسبة المئوية لاجتماعات اللجان التي عقدت من أجلها اجتماعات إعلامية للدول الأعضاء قبل اجتماع اللجنة</w:t>
            </w:r>
          </w:p>
        </w:tc>
        <w:tc>
          <w:tcPr>
            <w:tcW w:w="830"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2084" w:type="pct"/>
            <w:tcBorders>
              <w:top w:val="nil"/>
              <w:bottom w:val="nil"/>
            </w:tcBorders>
            <w:shd w:val="clear" w:color="auto" w:fill="auto"/>
            <w:vAlign w:val="center"/>
          </w:tcPr>
          <w:p w:rsidR="009178C3" w:rsidRPr="00A34EDD" w:rsidRDefault="009178C3" w:rsidP="006E665D">
            <w:pPr>
              <w:bidi/>
              <w:spacing w:before="60" w:after="60" w:line="280" w:lineRule="exact"/>
              <w:rPr>
                <w:rFonts w:ascii="Arabic Typesetting" w:hAnsi="Arabic Typesetting" w:cs="Arabic Typesetting"/>
                <w:color w:val="000000"/>
                <w:sz w:val="30"/>
                <w:szCs w:val="30"/>
                <w:rtl/>
              </w:rPr>
            </w:pPr>
            <w:r w:rsidRPr="00F61667">
              <w:rPr>
                <w:rFonts w:ascii="Arabic Typesetting" w:hAnsi="Arabic Typesetting" w:cs="Arabic Typesetting"/>
                <w:color w:val="000000"/>
                <w:sz w:val="30"/>
                <w:szCs w:val="30"/>
                <w:rtl/>
              </w:rPr>
              <w:t>النسبة المئوية لرسائل الدول الأعضاء إلى المدير العام التي أجيب عنها خلال أسبوعين</w:t>
            </w:r>
          </w:p>
        </w:tc>
        <w:tc>
          <w:tcPr>
            <w:tcW w:w="830"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2084" w:type="pct"/>
            <w:tcBorders>
              <w:top w:val="nil"/>
              <w:bottom w:val="nil"/>
            </w:tcBorders>
            <w:shd w:val="clear" w:color="auto" w:fill="auto"/>
            <w:vAlign w:val="center"/>
          </w:tcPr>
          <w:p w:rsidR="009178C3" w:rsidRPr="00F61667" w:rsidRDefault="009178C3" w:rsidP="006E665D">
            <w:pPr>
              <w:bidi/>
              <w:spacing w:before="60" w:after="60" w:line="280" w:lineRule="exact"/>
              <w:rPr>
                <w:rFonts w:ascii="Arabic Typesetting" w:hAnsi="Arabic Typesetting" w:cs="Arabic Typesetting"/>
                <w:color w:val="000000"/>
                <w:sz w:val="30"/>
                <w:szCs w:val="30"/>
                <w:rtl/>
              </w:rPr>
            </w:pPr>
            <w:r w:rsidRPr="00F61667">
              <w:rPr>
                <w:rFonts w:ascii="Arabic Typesetting" w:hAnsi="Arabic Typesetting" w:cs="Arabic Typesetting"/>
                <w:color w:val="000000"/>
                <w:sz w:val="30"/>
                <w:szCs w:val="30"/>
                <w:rtl/>
              </w:rPr>
              <w:t xml:space="preserve">النسبة المئوية </w:t>
            </w:r>
            <w:proofErr w:type="spellStart"/>
            <w:r w:rsidRPr="00F61667">
              <w:rPr>
                <w:rFonts w:ascii="Arabic Typesetting" w:hAnsi="Arabic Typesetting" w:cs="Arabic Typesetting"/>
                <w:color w:val="000000"/>
                <w:sz w:val="30"/>
                <w:szCs w:val="30"/>
                <w:rtl/>
              </w:rPr>
              <w:t>لإخطارات</w:t>
            </w:r>
            <w:proofErr w:type="spellEnd"/>
            <w:r w:rsidRPr="00F61667">
              <w:rPr>
                <w:rFonts w:ascii="Arabic Typesetting" w:hAnsi="Arabic Typesetting" w:cs="Arabic Typesetting"/>
                <w:color w:val="000000"/>
                <w:sz w:val="30"/>
                <w:szCs w:val="30"/>
                <w:rtl/>
              </w:rPr>
              <w:t xml:space="preserve"> انضمام الدول الأعضاء وغيره من الأعمال المتعلقة بمعاهدات</w:t>
            </w:r>
            <w:r w:rsidRPr="00F61667">
              <w:rPr>
                <w:rFonts w:ascii="Arabic Typesetting" w:hAnsi="Arabic Typesetting" w:cs="Arabic Typesetting" w:hint="cs"/>
                <w:color w:val="000000"/>
                <w:sz w:val="30"/>
                <w:szCs w:val="30"/>
                <w:rtl/>
              </w:rPr>
              <w:t xml:space="preserve"> الويبو</w:t>
            </w:r>
            <w:r w:rsidRPr="00F61667">
              <w:rPr>
                <w:rFonts w:ascii="Arabic Typesetting" w:hAnsi="Arabic Typesetting" w:cs="Arabic Typesetting"/>
                <w:color w:val="000000"/>
                <w:sz w:val="30"/>
                <w:szCs w:val="30"/>
                <w:rtl/>
              </w:rPr>
              <w:t xml:space="preserve"> التي عولجت في الوقت المناسب</w:t>
            </w:r>
          </w:p>
        </w:tc>
        <w:tc>
          <w:tcPr>
            <w:tcW w:w="830"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2084" w:type="pct"/>
            <w:tcBorders>
              <w:top w:val="nil"/>
              <w:bottom w:val="nil"/>
            </w:tcBorders>
            <w:shd w:val="clear" w:color="auto" w:fill="auto"/>
            <w:vAlign w:val="center"/>
          </w:tcPr>
          <w:p w:rsidR="009178C3" w:rsidRPr="00F61667" w:rsidRDefault="009178C3" w:rsidP="006E665D">
            <w:pPr>
              <w:bidi/>
              <w:spacing w:before="60" w:after="60" w:line="280" w:lineRule="exact"/>
              <w:rPr>
                <w:rFonts w:ascii="Arabic Typesetting" w:hAnsi="Arabic Typesetting" w:cs="Arabic Typesetting"/>
                <w:color w:val="000000"/>
                <w:sz w:val="30"/>
                <w:szCs w:val="30"/>
                <w:rtl/>
              </w:rPr>
            </w:pPr>
            <w:r w:rsidRPr="00F61667">
              <w:rPr>
                <w:rFonts w:ascii="Arabic Typesetting" w:hAnsi="Arabic Typesetting" w:cs="Arabic Typesetting"/>
                <w:color w:val="000000"/>
                <w:sz w:val="30"/>
                <w:szCs w:val="30"/>
                <w:rtl/>
              </w:rPr>
              <w:t>مستويات رضا الدول الأعضاء عن إعداد الجمعيات وأدائها</w:t>
            </w:r>
          </w:p>
        </w:tc>
        <w:tc>
          <w:tcPr>
            <w:tcW w:w="830"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2084" w:type="pct"/>
            <w:tcBorders>
              <w:top w:val="nil"/>
              <w:bottom w:val="nil"/>
            </w:tcBorders>
            <w:shd w:val="clear" w:color="auto" w:fill="auto"/>
            <w:vAlign w:val="center"/>
          </w:tcPr>
          <w:p w:rsidR="009178C3" w:rsidRPr="00F61667" w:rsidRDefault="009178C3" w:rsidP="006E665D">
            <w:pPr>
              <w:bidi/>
              <w:spacing w:before="60" w:after="60" w:line="280" w:lineRule="exact"/>
              <w:rPr>
                <w:rFonts w:ascii="Arabic Typesetting" w:hAnsi="Arabic Typesetting" w:cs="Arabic Typesetting"/>
                <w:color w:val="000000"/>
                <w:sz w:val="30"/>
                <w:szCs w:val="30"/>
                <w:rtl/>
              </w:rPr>
            </w:pPr>
            <w:r w:rsidRPr="00F61667">
              <w:rPr>
                <w:rFonts w:ascii="Arabic Typesetting" w:hAnsi="Arabic Typesetting" w:cs="Arabic Typesetting"/>
                <w:color w:val="000000"/>
                <w:sz w:val="30"/>
                <w:szCs w:val="30"/>
                <w:rtl/>
              </w:rPr>
              <w:t>نشر وثائق الجمعيات في الوقت المحدد</w:t>
            </w:r>
          </w:p>
        </w:tc>
        <w:tc>
          <w:tcPr>
            <w:tcW w:w="830"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r w:rsidRPr="00F61667">
              <w:rPr>
                <w:rFonts w:ascii="Arabic Typesetting" w:hAnsi="Arabic Typesetting" w:cs="Arabic Typesetting"/>
                <w:color w:val="000000"/>
                <w:sz w:val="30"/>
                <w:szCs w:val="30"/>
                <w:rtl/>
              </w:rPr>
              <w:t xml:space="preserve">ه4.8 </w:t>
            </w:r>
            <w:r w:rsidRPr="00D619C5">
              <w:rPr>
                <w:rFonts w:ascii="Arabic Typesetting" w:hAnsi="Arabic Typesetting" w:cs="Arabic Typesetting"/>
                <w:color w:val="000000"/>
                <w:sz w:val="30"/>
                <w:szCs w:val="30"/>
                <w:rtl/>
              </w:rPr>
              <w:t>تفاعل منفتح وشفاف ومتجاوب مع أصحاب المصالح غير الحكوميين</w:t>
            </w:r>
          </w:p>
        </w:tc>
        <w:tc>
          <w:tcPr>
            <w:tcW w:w="2084" w:type="pct"/>
            <w:tcBorders>
              <w:top w:val="nil"/>
              <w:bottom w:val="nil"/>
            </w:tcBorders>
            <w:shd w:val="clear" w:color="auto" w:fill="auto"/>
            <w:vAlign w:val="center"/>
          </w:tcPr>
          <w:p w:rsidR="009178C3" w:rsidRPr="00F61667" w:rsidRDefault="009178C3" w:rsidP="006E665D">
            <w:pPr>
              <w:bidi/>
              <w:spacing w:before="60" w:after="60" w:line="280" w:lineRule="exact"/>
              <w:rPr>
                <w:rFonts w:ascii="Arabic Typesetting" w:hAnsi="Arabic Typesetting" w:cs="Arabic Typesetting"/>
                <w:color w:val="000000"/>
                <w:sz w:val="30"/>
                <w:szCs w:val="30"/>
                <w:rtl/>
              </w:rPr>
            </w:pPr>
            <w:r w:rsidRPr="00F61667">
              <w:rPr>
                <w:rFonts w:ascii="Arabic Typesetting" w:hAnsi="Arabic Typesetting" w:cs="Arabic Typesetting" w:hint="cs"/>
                <w:color w:val="000000"/>
                <w:sz w:val="30"/>
                <w:szCs w:val="30"/>
                <w:rtl/>
              </w:rPr>
              <w:t xml:space="preserve">الالتزام الفعلي المتزايد لأصحاب المصالح غير الحكوميين خلال </w:t>
            </w:r>
            <w:r>
              <w:rPr>
                <w:rFonts w:ascii="Arabic Typesetting" w:hAnsi="Arabic Typesetting" w:cs="Arabic Typesetting" w:hint="cs"/>
                <w:color w:val="000000"/>
                <w:sz w:val="30"/>
                <w:szCs w:val="30"/>
                <w:rtl/>
              </w:rPr>
              <w:t>ال</w:t>
            </w:r>
            <w:r w:rsidRPr="00F61667">
              <w:rPr>
                <w:rFonts w:ascii="Arabic Typesetting" w:hAnsi="Arabic Typesetting" w:cs="Arabic Typesetting" w:hint="cs"/>
                <w:color w:val="000000"/>
                <w:sz w:val="30"/>
                <w:szCs w:val="30"/>
                <w:rtl/>
              </w:rPr>
              <w:t>تظاهرات التي تنظمها الويبو والتزام الويبو خلال التظاهرات التي يعدونها</w:t>
            </w:r>
          </w:p>
        </w:tc>
        <w:tc>
          <w:tcPr>
            <w:tcW w:w="830"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sidRPr="005864CD">
              <w:rPr>
                <w:rFonts w:ascii="Arabic Typesetting" w:hAnsi="Arabic Typesetting" w:cs="Arabic Typesetting" w:hint="cs"/>
                <w:color w:val="000000"/>
                <w:sz w:val="30"/>
                <w:szCs w:val="30"/>
                <w:rtl/>
                <w:lang w:bidi="ar-EG"/>
              </w:rPr>
              <w:t xml:space="preserve">ه5.8 </w:t>
            </w:r>
            <w:r w:rsidRPr="00D619C5">
              <w:rPr>
                <w:rFonts w:ascii="Arabic Typesetting" w:hAnsi="Arabic Typesetting" w:cs="Arabic Typesetting"/>
                <w:color w:val="000000"/>
                <w:sz w:val="30"/>
                <w:szCs w:val="30"/>
                <w:rtl/>
                <w:lang w:bidi="ar-EG"/>
              </w:rPr>
              <w:t>تفاعل الويبو وتشاركها بفعالية مع مسارات ومفاوضات الأمم المتحدة وسائر المنظمات الحكومية الدولية</w:t>
            </w:r>
          </w:p>
        </w:tc>
        <w:tc>
          <w:tcPr>
            <w:tcW w:w="2084" w:type="pct"/>
            <w:tcBorders>
              <w:top w:val="nil"/>
              <w:bottom w:val="nil"/>
            </w:tcBorders>
            <w:shd w:val="clear" w:color="auto" w:fill="auto"/>
            <w:vAlign w:val="center"/>
          </w:tcPr>
          <w:p w:rsidR="009178C3" w:rsidRPr="00184E3E" w:rsidRDefault="009178C3" w:rsidP="006E665D">
            <w:pPr>
              <w:bidi/>
              <w:spacing w:before="60" w:after="60" w:line="280" w:lineRule="exact"/>
              <w:rPr>
                <w:rFonts w:ascii="Arabic Typesetting" w:hAnsi="Arabic Typesetting" w:cs="Arabic Typesetting"/>
                <w:color w:val="000000"/>
                <w:sz w:val="30"/>
                <w:szCs w:val="30"/>
                <w:rtl/>
                <w:lang w:bidi="ar-EG"/>
              </w:rPr>
            </w:pPr>
            <w:r w:rsidRPr="005864CD">
              <w:rPr>
                <w:rFonts w:ascii="Arabic Typesetting" w:hAnsi="Arabic Typesetting" w:cs="Arabic Typesetting" w:hint="cs"/>
                <w:color w:val="000000"/>
                <w:sz w:val="30"/>
                <w:szCs w:val="30"/>
                <w:rtl/>
              </w:rPr>
              <w:t>استخدام مساهمات الويبو في التقارير والقرارات والوثائق المتعلقة بالمسارات المستهدفة</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184E3E" w:rsidRDefault="009178C3" w:rsidP="006E665D">
            <w:pPr>
              <w:bidi/>
              <w:spacing w:before="60" w:after="60" w:line="280" w:lineRule="exact"/>
              <w:rPr>
                <w:rFonts w:ascii="Arabic Typesetting" w:hAnsi="Arabic Typesetting" w:cs="Arabic Typesetting"/>
                <w:color w:val="000000"/>
                <w:sz w:val="30"/>
                <w:szCs w:val="30"/>
                <w:rtl/>
                <w:lang w:bidi="ar-EG"/>
              </w:rPr>
            </w:pPr>
            <w:r w:rsidRPr="005864CD">
              <w:rPr>
                <w:rFonts w:ascii="Arabic Typesetting" w:hAnsi="Arabic Typesetting" w:cs="Arabic Typesetting" w:hint="cs"/>
                <w:color w:val="000000"/>
                <w:sz w:val="30"/>
                <w:szCs w:val="30"/>
                <w:rtl/>
              </w:rPr>
              <w:t>النسبة المئوية لطلبات المساهمات من خارج المنظمة، من طرف الأمم المتحدة أو المنظمات الحكومية الدولية، إلخ، التي تم الرد عليها خلال الموعد المحدد</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5864CD" w:rsidRDefault="009178C3" w:rsidP="006E665D">
            <w:pPr>
              <w:bidi/>
              <w:spacing w:before="60" w:after="60" w:line="280" w:lineRule="exact"/>
              <w:rPr>
                <w:rFonts w:ascii="Arabic Typesetting" w:hAnsi="Arabic Typesetting" w:cs="Arabic Typesetting"/>
                <w:color w:val="000000"/>
                <w:sz w:val="30"/>
                <w:szCs w:val="30"/>
                <w:rtl/>
              </w:rPr>
            </w:pPr>
            <w:r w:rsidRPr="005864CD">
              <w:rPr>
                <w:rFonts w:ascii="Arabic Typesetting" w:hAnsi="Arabic Typesetting" w:cs="Arabic Typesetting" w:hint="cs"/>
                <w:color w:val="000000"/>
                <w:sz w:val="30"/>
                <w:szCs w:val="30"/>
                <w:rtl/>
              </w:rPr>
              <w:t>عدد البرامج المعنية بالملكية الفكرية التي نفذت بالاشتراك مع هيئات الأمم المتحدة الأخرى والمنظمات غير الحكومية الأخرى</w:t>
            </w:r>
          </w:p>
        </w:tc>
        <w:tc>
          <w:tcPr>
            <w:tcW w:w="830" w:type="pct"/>
            <w:tcBorders>
              <w:top w:val="nil"/>
              <w:bottom w:val="nil"/>
            </w:tcBorders>
            <w:shd w:val="clear" w:color="auto" w:fill="auto"/>
            <w:vAlign w:val="center"/>
          </w:tcPr>
          <w:p w:rsidR="009178C3" w:rsidRPr="006E76C5"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20</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vAlign w:val="center"/>
          </w:tcPr>
          <w:p w:rsidR="009178C3" w:rsidRPr="006E76C5" w:rsidRDefault="009178C3" w:rsidP="006E665D">
            <w:pPr>
              <w:bidi/>
              <w:spacing w:before="60" w:after="60" w:line="280" w:lineRule="exact"/>
              <w:rPr>
                <w:rFonts w:ascii="Arabic Typesetting" w:hAnsi="Arabic Typesetting" w:cs="Arabic Typesetting"/>
                <w:color w:val="000000"/>
                <w:sz w:val="30"/>
                <w:szCs w:val="30"/>
                <w:rtl/>
              </w:rPr>
            </w:pPr>
            <w:r w:rsidRPr="005864CD">
              <w:rPr>
                <w:rFonts w:ascii="Arabic Typesetting" w:hAnsi="Arabic Typesetting" w:cs="Arabic Typesetting"/>
                <w:color w:val="000000"/>
                <w:sz w:val="30"/>
                <w:szCs w:val="30"/>
                <w:rtl/>
              </w:rPr>
              <w:t>المبادرات الجديدة المشتركة مع الوكالات الأخرى التابعة للأمم المتحدة</w:t>
            </w:r>
          </w:p>
        </w:tc>
        <w:tc>
          <w:tcPr>
            <w:tcW w:w="830" w:type="pct"/>
            <w:tcBorders>
              <w:top w:val="nil"/>
              <w:bottom w:val="nil"/>
            </w:tcBorders>
            <w:shd w:val="clear" w:color="auto" w:fill="auto"/>
            <w:vAlign w:val="center"/>
          </w:tcPr>
          <w:p w:rsidR="009178C3" w:rsidRPr="006E76C5"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p>
        </w:tc>
        <w:tc>
          <w:tcPr>
            <w:tcW w:w="2084" w:type="pct"/>
            <w:tcBorders>
              <w:top w:val="nil"/>
              <w:bottom w:val="nil"/>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971FFB">
              <w:rPr>
                <w:rFonts w:ascii="Arabic Typesetting" w:hAnsi="Arabic Typesetting" w:cs="Arabic Typesetting" w:hint="cs"/>
                <w:sz w:val="30"/>
                <w:szCs w:val="30"/>
                <w:rtl/>
              </w:rPr>
              <w:t>اللجنة الرفيعة المستوى المعنية بالإدارة وتوصيات الشبكات الفرعية المغلقة</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A6A6A6"/>
                <w:szCs w:val="22"/>
                <w:rtl/>
                <w:lang w:bidi="ar-EG"/>
              </w:rPr>
            </w:pPr>
            <w:r w:rsidRPr="00EF67DC">
              <w:rPr>
                <w:rFonts w:ascii="Wingdings" w:hAnsi="Wingdings" w:cs="Calibri"/>
                <w:color w:val="A6A6A6"/>
                <w:szCs w:val="22"/>
                <w:lang w:bidi="ar-EG"/>
              </w:rPr>
              <w:t></w:t>
            </w:r>
          </w:p>
        </w:tc>
      </w:tr>
      <w:tr w:rsidR="009178C3" w:rsidRPr="00FE3908" w:rsidTr="006E665D">
        <w:trPr>
          <w:cantSplit/>
        </w:trPr>
        <w:tc>
          <w:tcPr>
            <w:tcW w:w="1537" w:type="pct"/>
            <w:tcBorders>
              <w:top w:val="nil"/>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nil"/>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971FFB">
              <w:rPr>
                <w:rFonts w:ascii="Arabic Typesetting" w:hAnsi="Arabic Typesetting" w:cs="Arabic Typesetting" w:hint="cs"/>
                <w:sz w:val="30"/>
                <w:szCs w:val="30"/>
                <w:rtl/>
              </w:rPr>
              <w:t>النسبة المئوية للسلع والخدمات التي وفرها مزودون محليون، مقارنة بالمبلغ الإجمالي لعمليات الشراء المتعلقة بنشاط التنمية</w:t>
            </w:r>
          </w:p>
        </w:tc>
        <w:tc>
          <w:tcPr>
            <w:tcW w:w="830"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549" w:type="pct"/>
            <w:tcBorders>
              <w:top w:val="nil"/>
              <w:bottom w:val="nil"/>
            </w:tcBorders>
            <w:shd w:val="clear" w:color="auto" w:fill="auto"/>
            <w:vAlign w:val="center"/>
          </w:tcPr>
          <w:p w:rsidR="009178C3" w:rsidRPr="00EF67DC" w:rsidRDefault="009178C3" w:rsidP="006E665D">
            <w:pPr>
              <w:bidi/>
              <w:jc w:val="center"/>
              <w:rPr>
                <w:rFonts w:ascii="Wingdings" w:hAnsi="Wingdings" w:cs="Calibri"/>
                <w:color w:val="FF0000"/>
                <w:szCs w:val="22"/>
                <w:lang w:bidi="ar-EG"/>
              </w:rPr>
            </w:pPr>
            <w:r w:rsidRPr="008A6954">
              <w:rPr>
                <w:rFonts w:ascii="Wingdings" w:hAnsi="Wingdings" w:cs="Calibri"/>
                <w:color w:val="10862C"/>
                <w:szCs w:val="22"/>
                <w:lang w:bidi="ar-EG"/>
              </w:rPr>
              <w:t></w:t>
            </w:r>
            <w:r w:rsidRPr="00EF67DC">
              <w:rPr>
                <w:rFonts w:ascii="Wingdings" w:hAnsi="Wingdings" w:cs="Calibri"/>
                <w:color w:val="FF0000"/>
                <w:szCs w:val="22"/>
                <w:lang w:bidi="ar-EG"/>
              </w:rPr>
              <w:t></w:t>
            </w:r>
          </w:p>
        </w:tc>
      </w:tr>
      <w:tr w:rsidR="009178C3" w:rsidRPr="00FE3908" w:rsidTr="006E665D">
        <w:trPr>
          <w:cantSplit/>
        </w:trPr>
        <w:tc>
          <w:tcPr>
            <w:tcW w:w="1537" w:type="pct"/>
            <w:tcBorders>
              <w:top w:val="nil"/>
              <w:bottom w:val="single" w:sz="4" w:space="0" w:color="auto"/>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2084" w:type="pct"/>
            <w:tcBorders>
              <w:top w:val="nil"/>
              <w:bottom w:val="single" w:sz="4" w:space="0" w:color="auto"/>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971FFB">
              <w:rPr>
                <w:rFonts w:ascii="Arabic Typesetting" w:hAnsi="Arabic Typesetting" w:cs="Arabic Typesetting" w:hint="cs"/>
                <w:sz w:val="30"/>
                <w:szCs w:val="30"/>
                <w:rtl/>
              </w:rPr>
              <w:t>النسبة المئوية للنفقات التي تخضع لنظام استفادة الأمم المتحدة (سواء عبر طلبات العروض العامة أو عقود المحمولة التجارية)</w:t>
            </w:r>
          </w:p>
        </w:tc>
        <w:tc>
          <w:tcPr>
            <w:tcW w:w="830" w:type="pct"/>
            <w:tcBorders>
              <w:top w:val="nil"/>
              <w:bottom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549" w:type="pct"/>
            <w:tcBorders>
              <w:top w:val="nil"/>
              <w:bottom w:val="single" w:sz="4" w:space="0" w:color="auto"/>
            </w:tcBorders>
            <w:shd w:val="clear" w:color="auto" w:fill="auto"/>
            <w:vAlign w:val="center"/>
          </w:tcPr>
          <w:p w:rsidR="009178C3" w:rsidRPr="00EF67DC" w:rsidRDefault="009178C3" w:rsidP="006E665D">
            <w:pPr>
              <w:bidi/>
              <w:jc w:val="center"/>
              <w:rPr>
                <w:rFonts w:ascii="Wingdings" w:hAnsi="Wingdings" w:cs="Calibri"/>
                <w:color w:val="008000"/>
                <w:szCs w:val="22"/>
                <w:lang w:bidi="ar-EG"/>
              </w:rPr>
            </w:pPr>
            <w:r w:rsidRPr="00EF67DC">
              <w:rPr>
                <w:rFonts w:ascii="Wingdings" w:hAnsi="Wingdings" w:cs="Calibri"/>
                <w:color w:val="008000"/>
                <w:szCs w:val="22"/>
                <w:lang w:bidi="ar-EG"/>
              </w:rPr>
              <w:t></w:t>
            </w:r>
          </w:p>
        </w:tc>
      </w:tr>
    </w:tbl>
    <w:p w:rsidR="00B31868" w:rsidRPr="00385CA0" w:rsidRDefault="00B31868" w:rsidP="00062F72">
      <w:pPr>
        <w:pStyle w:val="Heading3AR"/>
        <w:spacing w:after="120"/>
        <w:rPr>
          <w:rtl/>
        </w:rPr>
      </w:pPr>
      <w:bookmarkStart w:id="106" w:name="_Toc450635425"/>
      <w:bookmarkStart w:id="107" w:name="_Toc455393394"/>
      <w:r w:rsidRPr="00385CA0">
        <w:rPr>
          <w:rtl/>
        </w:rPr>
        <w:lastRenderedPageBreak/>
        <w:t>البرنامج 19</w:t>
      </w:r>
      <w:r w:rsidR="00365D19">
        <w:rPr>
          <w:rFonts w:hint="cs"/>
          <w:rtl/>
        </w:rPr>
        <w:t>:</w:t>
      </w:r>
      <w:r w:rsidRPr="00385CA0">
        <w:tab/>
      </w:r>
      <w:r w:rsidRPr="00385CA0">
        <w:rPr>
          <w:rtl/>
        </w:rPr>
        <w:t>التواصل</w:t>
      </w:r>
      <w:bookmarkEnd w:id="106"/>
      <w:bookmarkEnd w:id="107"/>
    </w:p>
    <w:p w:rsidR="00B31868" w:rsidRDefault="00086C3F" w:rsidP="00062F72">
      <w:pPr>
        <w:keepNext/>
        <w:bidi/>
        <w:spacing w:after="240" w:line="340" w:lineRule="exact"/>
        <w:ind w:left="1984" w:hanging="1984"/>
        <w:rPr>
          <w:rFonts w:ascii="Arabic Typesetting" w:hAnsi="Arabic Typesetting" w:cs="Arabic Typesetting"/>
          <w:b/>
          <w:bCs/>
          <w:sz w:val="36"/>
          <w:szCs w:val="36"/>
          <w:rtl/>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lang w:val="fr-CH"/>
        </w:rPr>
        <w:tab/>
      </w:r>
      <w:r>
        <w:rPr>
          <w:rFonts w:ascii="Arabic Typesetting" w:hAnsi="Arabic Typesetting" w:cs="Arabic Typesetting" w:hint="cs"/>
          <w:b/>
          <w:bCs/>
          <w:sz w:val="36"/>
          <w:szCs w:val="36"/>
          <w:rtl/>
          <w:lang w:val="fr-CH"/>
        </w:rPr>
        <w:t>السيد جون تاربي</w:t>
      </w:r>
      <w:r w:rsidR="00AC4867">
        <w:rPr>
          <w:rFonts w:ascii="Arabic Typesetting" w:hAnsi="Arabic Typesetting" w:cs="Arabic Typesetting" w:hint="cs"/>
          <w:b/>
          <w:bCs/>
          <w:sz w:val="36"/>
          <w:szCs w:val="36"/>
          <w:rtl/>
          <w:lang w:val="fr-CH"/>
        </w:rPr>
        <w:t xml:space="preserve"> (المكلف بإدارة البرنامج)</w:t>
      </w:r>
    </w:p>
    <w:p w:rsidR="00086C3F" w:rsidRDefault="00086C3F" w:rsidP="00062F72">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C25C25" w:rsidRDefault="00F53833"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واصل البرنامج 19 </w:t>
      </w:r>
      <w:r w:rsidR="002F204A">
        <w:rPr>
          <w:rFonts w:ascii="Arabic Typesetting" w:hAnsi="Arabic Typesetting" w:cs="Arabic Typesetting" w:hint="cs"/>
          <w:sz w:val="34"/>
          <w:szCs w:val="34"/>
          <w:rtl/>
          <w:lang w:bidi="ar-EG"/>
        </w:rPr>
        <w:t>ال</w:t>
      </w:r>
      <w:r>
        <w:rPr>
          <w:rFonts w:ascii="Arabic Typesetting" w:hAnsi="Arabic Typesetting" w:cs="Arabic Typesetting" w:hint="cs"/>
          <w:sz w:val="34"/>
          <w:szCs w:val="34"/>
          <w:rtl/>
          <w:lang w:bidi="ar-EG"/>
        </w:rPr>
        <w:t>تركيز على إعداد محتويات عالية الجودة ومجدية وتوفير هذه المحتويات، وإبراز عمل الويبو وتعزيز فهم الجمهور له</w:t>
      </w:r>
      <w:r w:rsidR="002F204A">
        <w:rPr>
          <w:rFonts w:ascii="Arabic Typesetting" w:hAnsi="Arabic Typesetting" w:cs="Arabic Typesetting" w:hint="cs"/>
          <w:sz w:val="34"/>
          <w:szCs w:val="34"/>
          <w:rtl/>
          <w:lang w:bidi="ar-EG"/>
        </w:rPr>
        <w:t>ا</w:t>
      </w:r>
      <w:r>
        <w:rPr>
          <w:rFonts w:ascii="Arabic Typesetting" w:hAnsi="Arabic Typesetting" w:cs="Arabic Typesetting" w:hint="cs"/>
          <w:sz w:val="34"/>
          <w:szCs w:val="34"/>
          <w:rtl/>
          <w:lang w:bidi="ar-EG"/>
        </w:rPr>
        <w:t>، وتعزيز ثقافة تقديم الخدمات في المنظمة.</w:t>
      </w:r>
    </w:p>
    <w:p w:rsidR="00F53833" w:rsidRDefault="00E60451"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وتمخض</w:t>
      </w:r>
      <w:r w:rsidR="00F53833">
        <w:rPr>
          <w:rFonts w:ascii="Arabic Typesetting" w:hAnsi="Arabic Typesetting" w:cs="Arabic Typesetting" w:hint="cs"/>
          <w:sz w:val="34"/>
          <w:szCs w:val="34"/>
          <w:rtl/>
          <w:lang w:bidi="ar-EG"/>
        </w:rPr>
        <w:t xml:space="preserve"> مشروع النشرة الإخبارية الإلكترونية</w:t>
      </w:r>
      <w:r>
        <w:rPr>
          <w:rFonts w:ascii="Arabic Typesetting" w:hAnsi="Arabic Typesetting" w:cs="Arabic Typesetting" w:hint="cs"/>
          <w:sz w:val="34"/>
          <w:szCs w:val="34"/>
          <w:rtl/>
          <w:lang w:bidi="ar-EG"/>
        </w:rPr>
        <w:t xml:space="preserve"> الرئيسي</w:t>
      </w:r>
      <w:r w:rsidR="00F53833">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عن</w:t>
      </w:r>
      <w:r w:rsidR="00F53833">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اعتماد وسيلة جديدة للت</w:t>
      </w:r>
      <w:r w:rsidR="002F204A">
        <w:rPr>
          <w:rFonts w:ascii="Arabic Typesetting" w:hAnsi="Arabic Typesetting" w:cs="Arabic Typesetting" w:hint="cs"/>
          <w:sz w:val="34"/>
          <w:szCs w:val="34"/>
          <w:rtl/>
          <w:lang w:bidi="ar-EG"/>
        </w:rPr>
        <w:t>واصل</w:t>
      </w:r>
      <w:r>
        <w:rPr>
          <w:rFonts w:ascii="Arabic Typesetting" w:hAnsi="Arabic Typesetting" w:cs="Arabic Typesetting" w:hint="cs"/>
          <w:sz w:val="34"/>
          <w:szCs w:val="34"/>
          <w:rtl/>
          <w:lang w:bidi="ar-EG"/>
        </w:rPr>
        <w:t xml:space="preserve"> عبر </w:t>
      </w:r>
      <w:r w:rsidRPr="003857AE">
        <w:rPr>
          <w:rFonts w:ascii="Arabic Typesetting" w:hAnsi="Arabic Typesetting" w:cs="Arabic Typesetting" w:hint="cs"/>
          <w:b/>
          <w:bCs/>
          <w:sz w:val="34"/>
          <w:szCs w:val="34"/>
          <w:rtl/>
          <w:lang w:bidi="ar-EG"/>
        </w:rPr>
        <w:t>البريد الإلكتروني</w:t>
      </w:r>
      <w:r>
        <w:rPr>
          <w:rFonts w:ascii="Arabic Typesetting" w:hAnsi="Arabic Typesetting" w:cs="Arabic Typesetting" w:hint="cs"/>
          <w:sz w:val="34"/>
          <w:szCs w:val="34"/>
          <w:rtl/>
          <w:lang w:bidi="ar-EG"/>
        </w:rPr>
        <w:t xml:space="preserve"> عززت قدرة الويبو على الاتصال اتصالاً فعالاً ومخصصاً ورقمياً مع أصحاب المصلحة المعنيين. وشمل المشروع إعادة تصميم خدمات الويبو للنشرات الإخبارية الإلكترونية تماماً، ووضع سياسة للنشرات الإخبارية تضمن جودة الخدمات المقدمة إلى المشتركين، وإطلاق منصة بريدية متطورة وبست لغات لأغراض النشرات الإخبارية</w:t>
      </w:r>
      <w:r w:rsidR="003857AE">
        <w:rPr>
          <w:rFonts w:ascii="Arabic Typesetting" w:hAnsi="Arabic Typesetting" w:cs="Arabic Typesetting" w:hint="cs"/>
          <w:sz w:val="34"/>
          <w:szCs w:val="34"/>
          <w:rtl/>
          <w:lang w:bidi="ar-EG"/>
        </w:rPr>
        <w:t xml:space="preserve"> في يونيو 2015</w:t>
      </w:r>
      <w:r>
        <w:rPr>
          <w:rFonts w:ascii="Arabic Typesetting" w:hAnsi="Arabic Typesetting" w:cs="Arabic Typesetting" w:hint="cs"/>
          <w:sz w:val="34"/>
          <w:szCs w:val="34"/>
          <w:rtl/>
          <w:lang w:bidi="ar-EG"/>
        </w:rPr>
        <w:t xml:space="preserve">. وأرسلت نحو 508 بُرُد إلكترونية </w:t>
      </w:r>
      <w:r w:rsidR="003857AE">
        <w:rPr>
          <w:rFonts w:ascii="Arabic Typesetting" w:hAnsi="Arabic Typesetting" w:cs="Arabic Typesetting" w:hint="cs"/>
          <w:sz w:val="34"/>
          <w:szCs w:val="34"/>
          <w:rtl/>
          <w:lang w:bidi="ar-EG"/>
        </w:rPr>
        <w:t xml:space="preserve">من </w:t>
      </w:r>
      <w:r w:rsidR="001513A7">
        <w:rPr>
          <w:rFonts w:ascii="Arabic Typesetting" w:hAnsi="Arabic Typesetting" w:cs="Arabic Typesetting" w:hint="cs"/>
          <w:sz w:val="34"/>
          <w:szCs w:val="34"/>
          <w:rtl/>
          <w:lang w:bidi="ar-EG"/>
        </w:rPr>
        <w:t xml:space="preserve">قطاعات </w:t>
      </w:r>
      <w:r w:rsidR="003857AE">
        <w:rPr>
          <w:rFonts w:ascii="Arabic Typesetting" w:hAnsi="Arabic Typesetting" w:cs="Arabic Typesetting" w:hint="cs"/>
          <w:sz w:val="34"/>
          <w:szCs w:val="34"/>
          <w:rtl/>
          <w:lang w:bidi="ar-EG"/>
        </w:rPr>
        <w:t>مختلفة من الويبو في أول ستة أشهر من العمليات. وأتاحت المنصة البريدية إطلاق خط الويبو الإخباري (</w:t>
      </w:r>
      <w:r w:rsidR="003857AE">
        <w:rPr>
          <w:rFonts w:ascii="Arabic Typesetting" w:hAnsi="Arabic Typesetting" w:cs="Arabic Typesetting"/>
          <w:sz w:val="34"/>
          <w:szCs w:val="34"/>
          <w:lang w:bidi="ar-EG"/>
        </w:rPr>
        <w:t>WIPO Wire</w:t>
      </w:r>
      <w:r w:rsidR="003857AE">
        <w:rPr>
          <w:rFonts w:ascii="Arabic Typesetting" w:hAnsi="Arabic Typesetting" w:cs="Arabic Typesetting" w:hint="cs"/>
          <w:sz w:val="34"/>
          <w:szCs w:val="34"/>
          <w:rtl/>
        </w:rPr>
        <w:t xml:space="preserve">) </w:t>
      </w:r>
      <w:r w:rsidR="003857AE">
        <w:rPr>
          <w:rFonts w:ascii="Arabic Typesetting" w:hAnsi="Arabic Typesetting" w:cs="Arabic Typesetting"/>
          <w:sz w:val="34"/>
          <w:szCs w:val="34"/>
          <w:rtl/>
        </w:rPr>
        <w:t>–</w:t>
      </w:r>
      <w:r w:rsidR="003857AE">
        <w:rPr>
          <w:rFonts w:ascii="Arabic Typesetting" w:hAnsi="Arabic Typesetting" w:cs="Arabic Typesetting" w:hint="cs"/>
          <w:sz w:val="34"/>
          <w:szCs w:val="34"/>
          <w:rtl/>
        </w:rPr>
        <w:t xml:space="preserve"> وهو نشرة إخبارية تصدر </w:t>
      </w:r>
      <w:r w:rsidR="001147A0">
        <w:rPr>
          <w:rFonts w:ascii="Arabic Typesetting" w:hAnsi="Arabic Typesetting" w:cs="Arabic Typesetting" w:hint="cs"/>
          <w:sz w:val="34"/>
          <w:szCs w:val="34"/>
          <w:rtl/>
        </w:rPr>
        <w:t>مرة كل أسبوعين</w:t>
      </w:r>
      <w:r w:rsidR="003857AE">
        <w:rPr>
          <w:rFonts w:ascii="Arabic Typesetting" w:hAnsi="Arabic Typesetting" w:cs="Arabic Typesetting" w:hint="cs"/>
          <w:sz w:val="34"/>
          <w:szCs w:val="34"/>
          <w:rtl/>
        </w:rPr>
        <w:t xml:space="preserve"> بست لغات </w:t>
      </w:r>
      <w:r w:rsidR="003857AE">
        <w:rPr>
          <w:rFonts w:ascii="Arabic Typesetting" w:hAnsi="Arabic Typesetting" w:cs="Arabic Typesetting"/>
          <w:sz w:val="34"/>
          <w:szCs w:val="34"/>
          <w:rtl/>
        </w:rPr>
        <w:t>–</w:t>
      </w:r>
      <w:r w:rsidR="003857AE">
        <w:rPr>
          <w:rFonts w:ascii="Arabic Typesetting" w:hAnsi="Arabic Typesetting" w:cs="Arabic Typesetting" w:hint="cs"/>
          <w:sz w:val="34"/>
          <w:szCs w:val="34"/>
          <w:rtl/>
        </w:rPr>
        <w:t xml:space="preserve"> الذي وفر لأول مرة طريقة سريعة وتفاعل</w:t>
      </w:r>
      <w:r w:rsidR="001513A7">
        <w:rPr>
          <w:rFonts w:ascii="Arabic Typesetting" w:hAnsi="Arabic Typesetting" w:cs="Arabic Typesetting" w:hint="cs"/>
          <w:sz w:val="34"/>
          <w:szCs w:val="34"/>
          <w:rtl/>
        </w:rPr>
        <w:t>ي</w:t>
      </w:r>
      <w:r w:rsidR="003857AE">
        <w:rPr>
          <w:rFonts w:ascii="Arabic Typesetting" w:hAnsi="Arabic Typesetting" w:cs="Arabic Typesetting" w:hint="cs"/>
          <w:sz w:val="34"/>
          <w:szCs w:val="34"/>
          <w:rtl/>
        </w:rPr>
        <w:t>ة لمواكبة المستجدات في الويبو من حيث أنشطة المنظمة المتنوعة والموارد الحرة. وسجل خط الويبو الإخباري أكثر من 000 10 مشترك في غضون ستة أشهر من تاريخ إطلاقه أي حتى نهاية عام 2015، وشمل المشتركون مسؤولين من الدول الأعضاء ومهنيين عاملين في مجال الملكية الفكرية وواضعي سياسات من 173 بلداً.</w:t>
      </w:r>
    </w:p>
    <w:p w:rsidR="003857AE" w:rsidRDefault="003857AE"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rPr>
        <w:t xml:space="preserve">وأدى التكامل بين المحتويات والاستراتيجيات الإعلامية المعتمدة إلى </w:t>
      </w:r>
      <w:r w:rsidR="001513A7">
        <w:rPr>
          <w:rFonts w:ascii="Arabic Typesetting" w:hAnsi="Arabic Typesetting" w:cs="Arabic Typesetting" w:hint="cs"/>
          <w:sz w:val="34"/>
          <w:szCs w:val="34"/>
          <w:rtl/>
        </w:rPr>
        <w:t>مضاعفة تأثير أحداث الويبو الرئيسية وإطلاق المنظمة</w:t>
      </w:r>
      <w:r>
        <w:rPr>
          <w:rFonts w:ascii="Arabic Typesetting" w:hAnsi="Arabic Typesetting" w:cs="Arabic Typesetting" w:hint="cs"/>
          <w:sz w:val="34"/>
          <w:szCs w:val="34"/>
          <w:rtl/>
        </w:rPr>
        <w:t xml:space="preserve"> منتجات</w:t>
      </w:r>
      <w:r w:rsidR="001513A7">
        <w:rPr>
          <w:rFonts w:ascii="Arabic Typesetting" w:hAnsi="Arabic Typesetting" w:cs="Arabic Typesetting" w:hint="cs"/>
          <w:sz w:val="34"/>
          <w:szCs w:val="34"/>
          <w:rtl/>
        </w:rPr>
        <w:t>ها</w:t>
      </w:r>
      <w:r>
        <w:rPr>
          <w:rFonts w:ascii="Arabic Typesetting" w:hAnsi="Arabic Typesetting" w:cs="Arabic Typesetting" w:hint="cs"/>
          <w:sz w:val="34"/>
          <w:szCs w:val="34"/>
          <w:rtl/>
        </w:rPr>
        <w:t xml:space="preserve">. فقد كان مؤشر الابتكار العالمي من أكثر الموضوعات تداولاً عبر </w:t>
      </w:r>
      <w:proofErr w:type="spellStart"/>
      <w:r>
        <w:rPr>
          <w:rFonts w:ascii="Arabic Typesetting" w:hAnsi="Arabic Typesetting" w:cs="Arabic Typesetting" w:hint="cs"/>
          <w:sz w:val="34"/>
          <w:szCs w:val="34"/>
          <w:rtl/>
        </w:rPr>
        <w:t>تويتر</w:t>
      </w:r>
      <w:proofErr w:type="spellEnd"/>
      <w:r>
        <w:rPr>
          <w:rFonts w:ascii="Arabic Typesetting" w:hAnsi="Arabic Typesetting" w:cs="Arabic Typesetting" w:hint="cs"/>
          <w:sz w:val="34"/>
          <w:szCs w:val="34"/>
          <w:rtl/>
        </w:rPr>
        <w:t xml:space="preserve"> (</w:t>
      </w:r>
      <w:r>
        <w:rPr>
          <w:rFonts w:ascii="Arabic Typesetting" w:hAnsi="Arabic Typesetting" w:cs="Arabic Typesetting"/>
          <w:sz w:val="34"/>
          <w:szCs w:val="34"/>
        </w:rPr>
        <w:t>trending status</w:t>
      </w:r>
      <w:r>
        <w:rPr>
          <w:rFonts w:ascii="Arabic Typesetting" w:hAnsi="Arabic Typesetting" w:cs="Arabic Typesetting" w:hint="cs"/>
          <w:sz w:val="34"/>
          <w:szCs w:val="34"/>
          <w:rtl/>
        </w:rPr>
        <w:t xml:space="preserve">) في لندن يوم </w:t>
      </w:r>
      <w:r w:rsidR="009B7BD7">
        <w:rPr>
          <w:rFonts w:ascii="Arabic Typesetting" w:hAnsi="Arabic Typesetting" w:cs="Arabic Typesetting" w:hint="cs"/>
          <w:sz w:val="34"/>
          <w:szCs w:val="34"/>
          <w:rtl/>
        </w:rPr>
        <w:t>إصداره</w:t>
      </w:r>
      <w:r>
        <w:rPr>
          <w:rFonts w:ascii="Arabic Typesetting" w:hAnsi="Arabic Typesetting" w:cs="Arabic Typesetting" w:hint="cs"/>
          <w:sz w:val="34"/>
          <w:szCs w:val="34"/>
          <w:rtl/>
        </w:rPr>
        <w:t xml:space="preserve"> في المملكة المتحدة في عام 2015. </w:t>
      </w:r>
      <w:r w:rsidR="00290A7A">
        <w:rPr>
          <w:rFonts w:ascii="Arabic Typesetting" w:hAnsi="Arabic Typesetting" w:cs="Arabic Typesetting" w:hint="cs"/>
          <w:sz w:val="34"/>
          <w:szCs w:val="34"/>
          <w:rtl/>
        </w:rPr>
        <w:t>ولعل التغطية الإعلامية في أكبر وسائل الإعلام في العالم قد ساعد</w:t>
      </w:r>
      <w:r w:rsidR="001513A7">
        <w:rPr>
          <w:rFonts w:ascii="Arabic Typesetting" w:hAnsi="Arabic Typesetting" w:cs="Arabic Typesetting" w:hint="cs"/>
          <w:sz w:val="34"/>
          <w:szCs w:val="34"/>
          <w:rtl/>
        </w:rPr>
        <w:t>ت</w:t>
      </w:r>
      <w:r w:rsidR="00290A7A">
        <w:rPr>
          <w:rFonts w:ascii="Arabic Typesetting" w:hAnsi="Arabic Typesetting" w:cs="Arabic Typesetting" w:hint="cs"/>
          <w:sz w:val="34"/>
          <w:szCs w:val="34"/>
          <w:rtl/>
        </w:rPr>
        <w:t xml:space="preserve"> تقارير الويبو الريادية في مجال الملكية الفكرية (مؤشر الابتكار العالمي والتقرير العالمي للملكية الفكرية؛ والاستعراض السنوي لنظام معاهدة التعاون بشأن البراءات ونظام مدريد ونظام لاهاي؛ والمؤشرات العالمية للملكية الفكرية) </w:t>
      </w:r>
      <w:r w:rsidR="001513A7">
        <w:rPr>
          <w:rFonts w:ascii="Arabic Typesetting" w:hAnsi="Arabic Typesetting" w:cs="Arabic Typesetting" w:hint="cs"/>
          <w:sz w:val="34"/>
          <w:szCs w:val="34"/>
          <w:rtl/>
        </w:rPr>
        <w:t xml:space="preserve">على أن تصبح </w:t>
      </w:r>
      <w:r w:rsidR="00290A7A">
        <w:rPr>
          <w:rFonts w:ascii="Arabic Typesetting" w:hAnsi="Arabic Typesetting" w:cs="Arabic Typesetting" w:hint="cs"/>
          <w:sz w:val="34"/>
          <w:szCs w:val="34"/>
          <w:rtl/>
        </w:rPr>
        <w:t>مصادر مرجعية عالمية في مجالي الملكية الفكرية والابتكار. وأدى ترويج التقرير العالمي للملكية الفكرية إلى صدور نحو 200 مقالة صحفية في الأسبوع التالي لإصداره. وإن</w:t>
      </w:r>
      <w:r w:rsidR="00290A7A">
        <w:rPr>
          <w:rFonts w:ascii="Arabic Typesetting" w:hAnsi="Arabic Typesetting" w:cs="Arabic Typesetting" w:hint="eastAsia"/>
          <w:sz w:val="34"/>
          <w:szCs w:val="34"/>
          <w:rtl/>
        </w:rPr>
        <w:t> </w:t>
      </w:r>
      <w:r w:rsidR="00290A7A">
        <w:rPr>
          <w:rFonts w:ascii="Arabic Typesetting" w:hAnsi="Arabic Typesetting" w:cs="Arabic Typesetting" w:hint="cs"/>
          <w:sz w:val="34"/>
          <w:szCs w:val="34"/>
          <w:rtl/>
        </w:rPr>
        <w:t xml:space="preserve">أنشطة التوعية المنسقة في الصحافة ووسائل الإعلام الاجتماعية والرامية إلى ترويج </w:t>
      </w:r>
      <w:r w:rsidR="0023721A">
        <w:rPr>
          <w:rFonts w:ascii="Arabic Typesetting" w:hAnsi="Arabic Typesetting" w:cs="Arabic Typesetting" w:hint="cs"/>
          <w:sz w:val="34"/>
          <w:szCs w:val="34"/>
          <w:rtl/>
        </w:rPr>
        <w:t>المؤتمر</w:t>
      </w:r>
      <w:r w:rsidR="00290A7A">
        <w:rPr>
          <w:rFonts w:ascii="Arabic Typesetting" w:hAnsi="Arabic Typesetting" w:cs="Arabic Typesetting" w:hint="cs"/>
          <w:sz w:val="34"/>
          <w:szCs w:val="34"/>
          <w:rtl/>
        </w:rPr>
        <w:t xml:space="preserve"> الوزاري</w:t>
      </w:r>
      <w:r w:rsidR="0023721A">
        <w:rPr>
          <w:rFonts w:ascii="Arabic Typesetting" w:hAnsi="Arabic Typesetting" w:cs="Arabic Typesetting" w:hint="cs"/>
          <w:sz w:val="34"/>
          <w:szCs w:val="34"/>
          <w:rtl/>
        </w:rPr>
        <w:t xml:space="preserve"> الأفريقي </w:t>
      </w:r>
      <w:r w:rsidR="00B774EF">
        <w:rPr>
          <w:rFonts w:ascii="Arabic Typesetting" w:hAnsi="Arabic Typesetting" w:cs="Arabic Typesetting" w:hint="cs"/>
          <w:sz w:val="34"/>
          <w:szCs w:val="34"/>
          <w:rtl/>
        </w:rPr>
        <w:t xml:space="preserve">الذي عُقد </w:t>
      </w:r>
      <w:r w:rsidR="0023721A">
        <w:rPr>
          <w:rFonts w:ascii="Arabic Typesetting" w:hAnsi="Arabic Typesetting" w:cs="Arabic Typesetting" w:hint="cs"/>
          <w:sz w:val="34"/>
          <w:szCs w:val="34"/>
          <w:rtl/>
        </w:rPr>
        <w:t>في داكار</w:t>
      </w:r>
      <w:r w:rsidR="00290A7A">
        <w:rPr>
          <w:rFonts w:ascii="Arabic Typesetting" w:hAnsi="Arabic Typesetting" w:cs="Arabic Typesetting" w:hint="cs"/>
          <w:sz w:val="34"/>
          <w:szCs w:val="34"/>
          <w:rtl/>
        </w:rPr>
        <w:t xml:space="preserve"> في عام</w:t>
      </w:r>
      <w:r w:rsidR="0023721A">
        <w:rPr>
          <w:rFonts w:ascii="Arabic Typesetting" w:hAnsi="Arabic Typesetting" w:cs="Arabic Typesetting" w:hint="eastAsia"/>
          <w:sz w:val="34"/>
          <w:szCs w:val="34"/>
          <w:rtl/>
        </w:rPr>
        <w:t> </w:t>
      </w:r>
      <w:r w:rsidR="00B774EF">
        <w:rPr>
          <w:rFonts w:ascii="Arabic Typesetting" w:hAnsi="Arabic Typesetting" w:cs="Arabic Typesetting" w:hint="cs"/>
          <w:sz w:val="34"/>
          <w:szCs w:val="34"/>
          <w:rtl/>
        </w:rPr>
        <w:t>2015</w:t>
      </w:r>
      <w:r w:rsidR="00290A7A">
        <w:rPr>
          <w:rFonts w:ascii="Arabic Typesetting" w:hAnsi="Arabic Typesetting" w:cs="Arabic Typesetting" w:hint="cs"/>
          <w:sz w:val="34"/>
          <w:szCs w:val="34"/>
          <w:rtl/>
        </w:rPr>
        <w:t xml:space="preserve"> قد حظيت بتغطية واسعة في الإذاعة الأفريقية ووسائل الإعلام الشبكية ما حفز اهتمام الجمهور بقضايا الملكية الفكرية والتنمية. وتخصص صفحات شبكية لجميع الأحداث الرئيسية وتُنشر باللغات الست كلها. وكثفت الجهود في سبيل حشد الدعم لاتحاد الكتب الميسَّرة عن طريق إصدار فيديو رائع عن إسهام الاتحاد في تكوين الكفاءات في الهند.</w:t>
      </w:r>
    </w:p>
    <w:p w:rsidR="00290A7A" w:rsidRDefault="00290A7A"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rPr>
        <w:t>وحافظت</w:t>
      </w:r>
      <w:r w:rsidRPr="00290A7A">
        <w:rPr>
          <w:rFonts w:ascii="Arabic Typesetting" w:hAnsi="Arabic Typesetting" w:cs="Arabic Typesetting"/>
          <w:sz w:val="34"/>
          <w:szCs w:val="34"/>
          <w:rtl/>
          <w:lang w:bidi="ar-EG"/>
        </w:rPr>
        <w:t xml:space="preserve"> </w:t>
      </w:r>
      <w:r w:rsidRPr="006C1221">
        <w:rPr>
          <w:rFonts w:ascii="Arabic Typesetting" w:hAnsi="Arabic Typesetting" w:cs="Arabic Typesetting"/>
          <w:b/>
          <w:bCs/>
          <w:sz w:val="34"/>
          <w:szCs w:val="34"/>
          <w:rtl/>
          <w:lang w:bidi="ar-EG"/>
        </w:rPr>
        <w:t>مشاركة</w:t>
      </w:r>
      <w:r w:rsidRPr="00290A7A">
        <w:rPr>
          <w:rFonts w:ascii="Arabic Typesetting" w:hAnsi="Arabic Typesetting" w:cs="Arabic Typesetting"/>
          <w:sz w:val="34"/>
          <w:szCs w:val="34"/>
          <w:rtl/>
          <w:lang w:bidi="ar-EG"/>
        </w:rPr>
        <w:t xml:space="preserve"> الدول الأعضاء والجمهور في الحملة السنوية لليوم العالمي للملكية الفكرية </w:t>
      </w:r>
      <w:r>
        <w:rPr>
          <w:rFonts w:ascii="Arabic Typesetting" w:hAnsi="Arabic Typesetting" w:cs="Arabic Typesetting" w:hint="cs"/>
          <w:sz w:val="34"/>
          <w:szCs w:val="34"/>
          <w:rtl/>
          <w:lang w:bidi="ar-EG"/>
        </w:rPr>
        <w:t xml:space="preserve">على </w:t>
      </w:r>
      <w:r w:rsidRPr="00290A7A">
        <w:rPr>
          <w:rFonts w:ascii="Arabic Typesetting" w:hAnsi="Arabic Typesetting" w:cs="Arabic Typesetting"/>
          <w:sz w:val="34"/>
          <w:szCs w:val="34"/>
          <w:rtl/>
          <w:lang w:bidi="ar-EG"/>
        </w:rPr>
        <w:t>مستو</w:t>
      </w:r>
      <w:r>
        <w:rPr>
          <w:rFonts w:ascii="Arabic Typesetting" w:hAnsi="Arabic Typesetting" w:cs="Arabic Typesetting" w:hint="cs"/>
          <w:sz w:val="34"/>
          <w:szCs w:val="34"/>
          <w:rtl/>
          <w:lang w:bidi="ar-EG"/>
        </w:rPr>
        <w:t>اها</w:t>
      </w:r>
      <w:r w:rsidRPr="00290A7A">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ال</w:t>
      </w:r>
      <w:r w:rsidRPr="00290A7A">
        <w:rPr>
          <w:rFonts w:ascii="Arabic Typesetting" w:hAnsi="Arabic Typesetting" w:cs="Arabic Typesetting"/>
          <w:sz w:val="34"/>
          <w:szCs w:val="34"/>
          <w:rtl/>
          <w:lang w:bidi="ar-EG"/>
        </w:rPr>
        <w:t>قياسي</w:t>
      </w:r>
      <w:r>
        <w:rPr>
          <w:rFonts w:ascii="Arabic Typesetting" w:hAnsi="Arabic Typesetting" w:cs="Arabic Typesetting" w:hint="cs"/>
          <w:sz w:val="34"/>
          <w:szCs w:val="34"/>
          <w:rtl/>
          <w:lang w:bidi="ar-EG"/>
        </w:rPr>
        <w:t xml:space="preserve"> خلال عامي الثنائية. و</w:t>
      </w:r>
      <w:r w:rsidR="00D36916">
        <w:rPr>
          <w:rFonts w:ascii="Arabic Typesetting" w:hAnsi="Arabic Typesetting" w:cs="Arabic Typesetting" w:hint="cs"/>
          <w:sz w:val="34"/>
          <w:szCs w:val="34"/>
          <w:rtl/>
          <w:lang w:bidi="ar-EG"/>
        </w:rPr>
        <w:t>ألهم شعار عام 2015 "انهض وقاوم من أجل الموسيقى" تنظيم نحو 350 حدثاً في اليوم العالمي للملكية الفكرية في 105 بلدان (ارتفاعاً من 236 حدثاً في 93 بلداً في عام 2013</w:t>
      </w:r>
      <w:r w:rsidR="001513A7">
        <w:rPr>
          <w:rFonts w:ascii="Arabic Typesetting" w:hAnsi="Arabic Typesetting" w:cs="Arabic Typesetting" w:hint="cs"/>
          <w:sz w:val="34"/>
          <w:szCs w:val="34"/>
          <w:rtl/>
          <w:lang w:bidi="ar-EG"/>
        </w:rPr>
        <w:t>) منها اجتماع مائدة مستديرة حظي</w:t>
      </w:r>
      <w:r w:rsidR="00D36916">
        <w:rPr>
          <w:rFonts w:ascii="Arabic Typesetting" w:hAnsi="Arabic Typesetting" w:cs="Arabic Typesetting" w:hint="cs"/>
          <w:sz w:val="34"/>
          <w:szCs w:val="34"/>
          <w:rtl/>
          <w:lang w:bidi="ar-EG"/>
        </w:rPr>
        <w:t xml:space="preserve"> بحضور جيد ومعرض في مقر الويبو. وسجلت </w:t>
      </w:r>
      <w:proofErr w:type="spellStart"/>
      <w:r w:rsidR="00D36916">
        <w:rPr>
          <w:rFonts w:ascii="Arabic Typesetting" w:hAnsi="Arabic Typesetting" w:cs="Arabic Typesetting" w:hint="cs"/>
          <w:sz w:val="34"/>
          <w:szCs w:val="34"/>
          <w:rtl/>
          <w:lang w:bidi="ar-EG"/>
        </w:rPr>
        <w:t>تغريدات</w:t>
      </w:r>
      <w:proofErr w:type="spellEnd"/>
      <w:r w:rsidR="00D36916">
        <w:rPr>
          <w:rFonts w:ascii="Arabic Typesetting" w:hAnsi="Arabic Typesetting" w:cs="Arabic Typesetting" w:hint="cs"/>
          <w:sz w:val="34"/>
          <w:szCs w:val="34"/>
          <w:rtl/>
          <w:lang w:bidi="ar-EG"/>
        </w:rPr>
        <w:t xml:space="preserve"> الويبو في عام 2015 عبر </w:t>
      </w:r>
      <w:r w:rsidR="00D36916">
        <w:rPr>
          <w:rFonts w:ascii="Arabic Typesetting" w:hAnsi="Arabic Typesetting" w:cs="Arabic Typesetting"/>
          <w:sz w:val="34"/>
          <w:szCs w:val="34"/>
          <w:lang w:bidi="ar-EG"/>
        </w:rPr>
        <w:t>#</w:t>
      </w:r>
      <w:proofErr w:type="spellStart"/>
      <w:r w:rsidR="00D36916">
        <w:rPr>
          <w:rFonts w:ascii="Arabic Typesetting" w:hAnsi="Arabic Typesetting" w:cs="Arabic Typesetting"/>
          <w:sz w:val="34"/>
          <w:szCs w:val="34"/>
          <w:lang w:bidi="ar-EG"/>
        </w:rPr>
        <w:t>WorldIPDay</w:t>
      </w:r>
      <w:proofErr w:type="spellEnd"/>
      <w:r w:rsidR="00D36916">
        <w:rPr>
          <w:rFonts w:ascii="Arabic Typesetting" w:hAnsi="Arabic Typesetting" w:cs="Arabic Typesetting" w:hint="cs"/>
          <w:sz w:val="34"/>
          <w:szCs w:val="34"/>
          <w:rtl/>
        </w:rPr>
        <w:t xml:space="preserve"> 5.2 مليون ظهور محتمل (مقارنة بعام 2013 حيث سجلت 1.55 مليون) ونحو 900 إعادة نشر </w:t>
      </w:r>
      <w:proofErr w:type="spellStart"/>
      <w:r w:rsidR="00D36916">
        <w:rPr>
          <w:rFonts w:ascii="Arabic Typesetting" w:hAnsi="Arabic Typesetting" w:cs="Arabic Typesetting" w:hint="cs"/>
          <w:sz w:val="34"/>
          <w:szCs w:val="34"/>
          <w:rtl/>
        </w:rPr>
        <w:t>للتغريدات</w:t>
      </w:r>
      <w:proofErr w:type="spellEnd"/>
      <w:r w:rsidR="00D36916">
        <w:rPr>
          <w:rFonts w:ascii="Arabic Typesetting" w:hAnsi="Arabic Typesetting" w:cs="Arabic Typesetting" w:hint="cs"/>
          <w:sz w:val="34"/>
          <w:szCs w:val="34"/>
          <w:rtl/>
        </w:rPr>
        <w:t xml:space="preserve">. وكانت </w:t>
      </w:r>
      <w:r w:rsidR="006E40DB">
        <w:rPr>
          <w:rFonts w:ascii="Arabic Typesetting" w:hAnsi="Arabic Typesetting" w:cs="Arabic Typesetting" w:hint="cs"/>
          <w:sz w:val="34"/>
          <w:szCs w:val="34"/>
          <w:rtl/>
        </w:rPr>
        <w:t xml:space="preserve">المشاركة عالمية حقاً إذ تجاوز عدد زيارات الصفحة الشبكية الصينية عدد زيارات النسخة الإنكليزية في عام 2014 وكان أكبر عدد من </w:t>
      </w:r>
      <w:proofErr w:type="spellStart"/>
      <w:r w:rsidR="006E40DB">
        <w:rPr>
          <w:rFonts w:ascii="Arabic Typesetting" w:hAnsi="Arabic Typesetting" w:cs="Arabic Typesetting" w:hint="cs"/>
          <w:sz w:val="34"/>
          <w:szCs w:val="34"/>
          <w:rtl/>
        </w:rPr>
        <w:t>الإعجابات</w:t>
      </w:r>
      <w:proofErr w:type="spellEnd"/>
      <w:r w:rsidR="006E40DB">
        <w:rPr>
          <w:rFonts w:ascii="Arabic Typesetting" w:hAnsi="Arabic Typesetting" w:cs="Arabic Typesetting" w:hint="cs"/>
          <w:sz w:val="34"/>
          <w:szCs w:val="34"/>
          <w:rtl/>
        </w:rPr>
        <w:t xml:space="preserve"> لصفحة فيسبوك من الهند فالولايات المتحدة الأمريكية فالمكسيك فمصر فالبرازيل.</w:t>
      </w:r>
    </w:p>
    <w:p w:rsidR="006E40DB" w:rsidRDefault="006E40DB"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rPr>
        <w:t xml:space="preserve">وشملت أنشطة التواصل المباشرة برنامج </w:t>
      </w:r>
      <w:proofErr w:type="spellStart"/>
      <w:r>
        <w:rPr>
          <w:rFonts w:ascii="Arabic Typesetting" w:hAnsi="Arabic Typesetting" w:cs="Arabic Typesetting" w:hint="cs"/>
          <w:sz w:val="34"/>
          <w:szCs w:val="34"/>
          <w:rtl/>
        </w:rPr>
        <w:t>الإحاطات</w:t>
      </w:r>
      <w:proofErr w:type="spellEnd"/>
      <w:r>
        <w:rPr>
          <w:rFonts w:ascii="Arabic Typesetting" w:hAnsi="Arabic Typesetting" w:cs="Arabic Typesetting" w:hint="cs"/>
          <w:sz w:val="34"/>
          <w:szCs w:val="34"/>
          <w:rtl/>
        </w:rPr>
        <w:t xml:space="preserve"> المشهور في الويبو. فقد قدَّم موظفون خلال الثنائية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عروضاً إلى 178 مجموعة زائرة تضم أكثر من 4000 طالب جامعي من شتى أنحاء العالم. وفضلاً عن ذلك، أتاحت المشاركة في أحداث محلية، مثل اليوم المفتوح للأمم المتحدة، الفرصة لتوعية الجمهور في جنيف؛</w:t>
      </w:r>
      <w:r w:rsidR="001513A7">
        <w:rPr>
          <w:rFonts w:ascii="Arabic Typesetting" w:hAnsi="Arabic Typesetting" w:cs="Arabic Typesetting" w:hint="cs"/>
          <w:sz w:val="34"/>
          <w:szCs w:val="34"/>
          <w:rtl/>
        </w:rPr>
        <w:t xml:space="preserve"> ما خلف</w:t>
      </w:r>
      <w:r>
        <w:rPr>
          <w:rFonts w:ascii="Arabic Typesetting" w:hAnsi="Arabic Typesetting" w:cs="Arabic Typesetting" w:hint="cs"/>
          <w:sz w:val="34"/>
          <w:szCs w:val="34"/>
          <w:rtl/>
        </w:rPr>
        <w:t xml:space="preserve"> انطباعاً إيجابياً</w:t>
      </w:r>
      <w:r w:rsidR="001513A7">
        <w:rPr>
          <w:rFonts w:ascii="Arabic Typesetting" w:hAnsi="Arabic Typesetting" w:cs="Arabic Typesetting" w:hint="cs"/>
          <w:sz w:val="34"/>
          <w:szCs w:val="34"/>
          <w:rtl/>
        </w:rPr>
        <w:t xml:space="preserve"> عليهم</w:t>
      </w:r>
      <w:r>
        <w:rPr>
          <w:rFonts w:ascii="Arabic Typesetting" w:hAnsi="Arabic Typesetting" w:cs="Arabic Typesetting" w:hint="cs"/>
          <w:sz w:val="34"/>
          <w:szCs w:val="34"/>
          <w:rtl/>
        </w:rPr>
        <w:t>.</w:t>
      </w:r>
    </w:p>
    <w:p w:rsidR="006E40DB" w:rsidRDefault="001147A0"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rPr>
        <w:t xml:space="preserve">وما انفك السعي إلى استحداث </w:t>
      </w:r>
      <w:r>
        <w:rPr>
          <w:rFonts w:ascii="Arabic Typesetting" w:hAnsi="Arabic Typesetting" w:cs="Arabic Typesetting" w:hint="cs"/>
          <w:b/>
          <w:bCs/>
          <w:sz w:val="34"/>
          <w:szCs w:val="34"/>
          <w:rtl/>
        </w:rPr>
        <w:t>محتويات مرئية وتحريرية</w:t>
      </w:r>
      <w:r>
        <w:rPr>
          <w:rFonts w:ascii="Arabic Typesetting" w:hAnsi="Arabic Typesetting" w:cs="Arabic Typesetting" w:hint="cs"/>
          <w:sz w:val="34"/>
          <w:szCs w:val="34"/>
          <w:rtl/>
        </w:rPr>
        <w:t xml:space="preserve"> إبداعية وعالية الجودة يؤتي ثماره في الثنائية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فقد أعيد نشر </w:t>
      </w:r>
      <w:proofErr w:type="spellStart"/>
      <w:r>
        <w:rPr>
          <w:rFonts w:ascii="Arabic Typesetting" w:hAnsi="Arabic Typesetting" w:cs="Arabic Typesetting" w:hint="cs"/>
          <w:sz w:val="34"/>
          <w:szCs w:val="34"/>
          <w:rtl/>
        </w:rPr>
        <w:t>التغريدة</w:t>
      </w:r>
      <w:proofErr w:type="spellEnd"/>
      <w:r>
        <w:rPr>
          <w:rFonts w:ascii="Arabic Typesetting" w:hAnsi="Arabic Typesetting" w:cs="Arabic Typesetting" w:hint="cs"/>
          <w:sz w:val="34"/>
          <w:szCs w:val="34"/>
          <w:rtl/>
        </w:rPr>
        <w:t xml:space="preserve"> بشأن رسم معلوماتي لعرض بيانات مؤشر الابتكار العالمي لعام 2015 أكثر من 400 مرة ليتصدر بذلك قائمة الرسائل المنشورة في وسائل الإعلام الاجتماعية. وأعد أكثر من 425 منتج تصاميم للطباعة والاستخدام الشبكي في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ومنها منشورات ومطبوعات ومحتويات شبكية ومواد ترويجية بلغات متعددة. وسجلت مجلة الويبو الصادرة مرة كل شهرين أكثر من مليون </w:t>
      </w:r>
      <w:r>
        <w:rPr>
          <w:rFonts w:ascii="Arabic Typesetting" w:hAnsi="Arabic Typesetting" w:cs="Arabic Typesetting" w:hint="cs"/>
          <w:sz w:val="34"/>
          <w:szCs w:val="34"/>
          <w:rtl/>
        </w:rPr>
        <w:lastRenderedPageBreak/>
        <w:t xml:space="preserve">زيارة متفردة خلال الثنائية أي بزيادة نسبتها 19 بالمئة، ويشارك القراء بانتظام مقالات المجلة عبر وسائل الإعلام الاجتماعية. </w:t>
      </w:r>
      <w:r w:rsidR="00660AE5">
        <w:rPr>
          <w:rFonts w:ascii="Arabic Typesetting" w:hAnsi="Arabic Typesetting" w:cs="Arabic Typesetting" w:hint="cs"/>
          <w:sz w:val="34"/>
          <w:szCs w:val="34"/>
          <w:rtl/>
        </w:rPr>
        <w:t xml:space="preserve">ووُضع المركز الإعلامي الشبكي والمحدَّث كنافذة على عمل الويبو وفائدته للجمهور </w:t>
      </w:r>
      <w:r w:rsidR="001513A7">
        <w:rPr>
          <w:rFonts w:ascii="Arabic Typesetting" w:hAnsi="Arabic Typesetting" w:cs="Arabic Typesetting" w:hint="cs"/>
          <w:sz w:val="34"/>
          <w:szCs w:val="34"/>
          <w:rtl/>
        </w:rPr>
        <w:t xml:space="preserve">العام </w:t>
      </w:r>
      <w:r w:rsidR="00660AE5">
        <w:rPr>
          <w:rFonts w:ascii="Arabic Typesetting" w:hAnsi="Arabic Typesetting" w:cs="Arabic Typesetting" w:hint="cs"/>
          <w:sz w:val="34"/>
          <w:szCs w:val="34"/>
          <w:rtl/>
        </w:rPr>
        <w:t xml:space="preserve">باستخدام محتويات مصورة وتقارير قصيرة وكتابات أطول. ولم </w:t>
      </w:r>
      <w:r w:rsidR="001513A7">
        <w:rPr>
          <w:rFonts w:ascii="Arabic Typesetting" w:hAnsi="Arabic Typesetting" w:cs="Arabic Typesetting" w:hint="cs"/>
          <w:sz w:val="34"/>
          <w:szCs w:val="34"/>
          <w:rtl/>
        </w:rPr>
        <w:t>تسْلَم</w:t>
      </w:r>
      <w:r w:rsidR="00660AE5">
        <w:rPr>
          <w:rFonts w:ascii="Arabic Typesetting" w:hAnsi="Arabic Typesetting" w:cs="Arabic Typesetting" w:hint="cs"/>
          <w:sz w:val="34"/>
          <w:szCs w:val="34"/>
          <w:rtl/>
        </w:rPr>
        <w:t xml:space="preserve"> </w:t>
      </w:r>
      <w:r w:rsidR="001513A7">
        <w:rPr>
          <w:rFonts w:ascii="Arabic Typesetting" w:hAnsi="Arabic Typesetting" w:cs="Arabic Typesetting" w:hint="cs"/>
          <w:sz w:val="34"/>
          <w:szCs w:val="34"/>
          <w:rtl/>
        </w:rPr>
        <w:t>الويبو م</w:t>
      </w:r>
      <w:r w:rsidR="00660AE5">
        <w:rPr>
          <w:rFonts w:ascii="Arabic Typesetting" w:hAnsi="Arabic Typesetting" w:cs="Arabic Typesetting" w:hint="cs"/>
          <w:sz w:val="34"/>
          <w:szCs w:val="34"/>
          <w:rtl/>
        </w:rPr>
        <w:t xml:space="preserve">ن التوجهات العالمية في مجال التواصل إذ انخفض عدد زيارات الصحف التقليدية انخفاضاً طفيفاً (1.6 بالمئة) في حين سجلت محتويات المركز الإعلامي الأيسر </w:t>
      </w:r>
      <w:r w:rsidR="00D41A93">
        <w:rPr>
          <w:rFonts w:ascii="Arabic Typesetting" w:hAnsi="Arabic Typesetting" w:cs="Arabic Typesetting" w:hint="cs"/>
          <w:sz w:val="34"/>
          <w:szCs w:val="34"/>
          <w:rtl/>
        </w:rPr>
        <w:t>عدد زيارات</w:t>
      </w:r>
      <w:r w:rsidR="00660AE5">
        <w:rPr>
          <w:rFonts w:ascii="Arabic Typesetting" w:hAnsi="Arabic Typesetting" w:cs="Arabic Typesetting" w:hint="cs"/>
          <w:sz w:val="34"/>
          <w:szCs w:val="34"/>
          <w:rtl/>
        </w:rPr>
        <w:t xml:space="preserve"> </w:t>
      </w:r>
      <w:r w:rsidR="00D41A93">
        <w:rPr>
          <w:rFonts w:ascii="Arabic Typesetting" w:hAnsi="Arabic Typesetting" w:cs="Arabic Typesetting" w:hint="cs"/>
          <w:sz w:val="34"/>
          <w:szCs w:val="34"/>
          <w:rtl/>
        </w:rPr>
        <w:t>تجاوز</w:t>
      </w:r>
      <w:r w:rsidR="00660AE5">
        <w:rPr>
          <w:rFonts w:ascii="Arabic Typesetting" w:hAnsi="Arabic Typesetting" w:cs="Arabic Typesetting" w:hint="cs"/>
          <w:sz w:val="34"/>
          <w:szCs w:val="34"/>
          <w:rtl/>
        </w:rPr>
        <w:t xml:space="preserve"> 000 500 زيارة متفردة خلال الثنائية.</w:t>
      </w:r>
    </w:p>
    <w:p w:rsidR="00E10CEA" w:rsidRDefault="00D41A93"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وكثَّفت</w:t>
      </w:r>
      <w:r w:rsidR="00E10CEA" w:rsidRPr="00E10CEA">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 xml:space="preserve">الويبو </w:t>
      </w:r>
      <w:r w:rsidR="00E10CEA" w:rsidRPr="00E10CEA">
        <w:rPr>
          <w:rFonts w:ascii="Arabic Typesetting" w:hAnsi="Arabic Typesetting" w:cs="Arabic Typesetting" w:hint="cs"/>
          <w:sz w:val="34"/>
          <w:szCs w:val="34"/>
          <w:rtl/>
          <w:lang w:bidi="ar-EG"/>
        </w:rPr>
        <w:t>إصدار</w:t>
      </w:r>
      <w:r>
        <w:rPr>
          <w:rFonts w:ascii="Arabic Typesetting" w:hAnsi="Arabic Typesetting" w:cs="Arabic Typesetting" w:hint="cs"/>
          <w:sz w:val="34"/>
          <w:szCs w:val="34"/>
          <w:rtl/>
          <w:lang w:bidi="ar-EG"/>
        </w:rPr>
        <w:t>ها</w:t>
      </w:r>
      <w:r w:rsidR="00E10CEA" w:rsidRPr="00E10CEA">
        <w:rPr>
          <w:rFonts w:ascii="Arabic Typesetting" w:hAnsi="Arabic Typesetting" w:cs="Arabic Typesetting" w:hint="cs"/>
          <w:sz w:val="34"/>
          <w:szCs w:val="34"/>
          <w:rtl/>
          <w:lang w:bidi="ar-EG"/>
        </w:rPr>
        <w:t xml:space="preserve"> </w:t>
      </w:r>
      <w:r>
        <w:rPr>
          <w:rFonts w:ascii="Arabic Typesetting" w:hAnsi="Arabic Typesetting" w:cs="Arabic Typesetting" w:hint="cs"/>
          <w:b/>
          <w:bCs/>
          <w:sz w:val="34"/>
          <w:szCs w:val="34"/>
          <w:rtl/>
          <w:lang w:bidi="ar-EG"/>
        </w:rPr>
        <w:t>للفيديوهات</w:t>
      </w:r>
      <w:r w:rsidR="00E10CEA" w:rsidRPr="00E10CEA">
        <w:rPr>
          <w:rFonts w:ascii="Arabic Typesetting" w:hAnsi="Arabic Typesetting" w:cs="Arabic Typesetting" w:hint="cs"/>
          <w:sz w:val="34"/>
          <w:szCs w:val="34"/>
          <w:rtl/>
          <w:lang w:bidi="ar-EG"/>
        </w:rPr>
        <w:t xml:space="preserve"> استجابة للطلب العالمي على الفيديوهات بوصفها وسيلة التواصل المفضلة. وأصدر</w:t>
      </w:r>
      <w:r>
        <w:rPr>
          <w:rFonts w:ascii="Arabic Typesetting" w:hAnsi="Arabic Typesetting" w:cs="Arabic Typesetting" w:hint="cs"/>
          <w:sz w:val="34"/>
          <w:szCs w:val="34"/>
          <w:rtl/>
          <w:lang w:bidi="ar-EG"/>
        </w:rPr>
        <w:t>ت</w:t>
      </w:r>
      <w:r w:rsidR="00E10CEA" w:rsidRPr="00E10CEA">
        <w:rPr>
          <w:rFonts w:ascii="Arabic Typesetting" w:hAnsi="Arabic Typesetting" w:cs="Arabic Typesetting" w:hint="cs"/>
          <w:sz w:val="34"/>
          <w:szCs w:val="34"/>
          <w:rtl/>
          <w:lang w:bidi="ar-EG"/>
        </w:rPr>
        <w:t xml:space="preserve"> نحو 272 </w:t>
      </w:r>
      <w:r w:rsidR="00507DE2">
        <w:rPr>
          <w:rFonts w:ascii="Arabic Typesetting" w:hAnsi="Arabic Typesetting" w:cs="Arabic Typesetting" w:hint="cs"/>
          <w:sz w:val="34"/>
          <w:szCs w:val="34"/>
          <w:rtl/>
          <w:lang w:bidi="ar-EG"/>
        </w:rPr>
        <w:t>مقطع فيديو</w:t>
      </w:r>
      <w:r w:rsidR="00E10CEA" w:rsidRPr="00E10CEA">
        <w:rPr>
          <w:rFonts w:ascii="Arabic Typesetting" w:hAnsi="Arabic Typesetting" w:cs="Arabic Typesetting" w:hint="cs"/>
          <w:sz w:val="34"/>
          <w:szCs w:val="34"/>
          <w:rtl/>
          <w:lang w:bidi="ar-EG"/>
        </w:rPr>
        <w:t xml:space="preserve"> </w:t>
      </w:r>
      <w:r w:rsidR="00507DE2">
        <w:rPr>
          <w:rFonts w:ascii="Arabic Typesetting" w:hAnsi="Arabic Typesetting" w:cs="Arabic Typesetting" w:hint="cs"/>
          <w:sz w:val="34"/>
          <w:szCs w:val="34"/>
          <w:rtl/>
          <w:lang w:bidi="ar-EG"/>
        </w:rPr>
        <w:t>جديد</w:t>
      </w:r>
      <w:r w:rsidR="00E10CEA" w:rsidRPr="00E10CEA">
        <w:rPr>
          <w:rFonts w:ascii="Arabic Typesetting" w:hAnsi="Arabic Typesetting" w:cs="Arabic Typesetting" w:hint="cs"/>
          <w:sz w:val="34"/>
          <w:szCs w:val="34"/>
          <w:rtl/>
          <w:lang w:bidi="ar-EG"/>
        </w:rPr>
        <w:t xml:space="preserve">، منها 161 </w:t>
      </w:r>
      <w:r w:rsidR="00507DE2">
        <w:rPr>
          <w:rFonts w:ascii="Arabic Typesetting" w:hAnsi="Arabic Typesetting" w:cs="Arabic Typesetting" w:hint="cs"/>
          <w:sz w:val="34"/>
          <w:szCs w:val="34"/>
          <w:rtl/>
          <w:lang w:bidi="ar-EG"/>
        </w:rPr>
        <w:t>مقطعاً</w:t>
      </w:r>
      <w:r w:rsidR="00E10CEA" w:rsidRPr="00E10CEA">
        <w:rPr>
          <w:rFonts w:ascii="Arabic Typesetting" w:hAnsi="Arabic Typesetting" w:cs="Arabic Typesetting" w:hint="cs"/>
          <w:sz w:val="34"/>
          <w:szCs w:val="34"/>
          <w:rtl/>
          <w:lang w:bidi="ar-EG"/>
        </w:rPr>
        <w:t xml:space="preserve"> نُشر على يوتيوب في </w:t>
      </w:r>
      <w:r w:rsidR="00507DE2">
        <w:rPr>
          <w:rFonts w:ascii="Arabic Typesetting" w:hAnsi="Arabic Typesetting" w:cs="Arabic Typesetting" w:hint="cs"/>
          <w:sz w:val="34"/>
          <w:szCs w:val="34"/>
          <w:rtl/>
          <w:lang w:bidi="ar-EG"/>
        </w:rPr>
        <w:t>2014/15</w:t>
      </w:r>
      <w:r w:rsidR="00E10CEA" w:rsidRPr="00E10CEA">
        <w:rPr>
          <w:rFonts w:ascii="Arabic Typesetting" w:hAnsi="Arabic Typesetting" w:cs="Arabic Typesetting" w:hint="cs"/>
          <w:sz w:val="34"/>
          <w:szCs w:val="34"/>
          <w:rtl/>
          <w:lang w:bidi="ar-EG"/>
        </w:rPr>
        <w:t>، وتشمل أخباراً وقصص</w:t>
      </w:r>
      <w:r>
        <w:rPr>
          <w:rFonts w:ascii="Arabic Typesetting" w:hAnsi="Arabic Typesetting" w:cs="Arabic Typesetting" w:hint="cs"/>
          <w:sz w:val="34"/>
          <w:szCs w:val="34"/>
          <w:rtl/>
          <w:lang w:bidi="ar-EG"/>
        </w:rPr>
        <w:t>اً عن المبدعين والمخترعين ومقاطع</w:t>
      </w:r>
      <w:r w:rsidR="00E10CEA" w:rsidRPr="00E10CEA">
        <w:rPr>
          <w:rFonts w:ascii="Arabic Typesetting" w:hAnsi="Arabic Typesetting" w:cs="Arabic Typesetting" w:hint="cs"/>
          <w:sz w:val="34"/>
          <w:szCs w:val="34"/>
          <w:rtl/>
          <w:lang w:bidi="ar-EG"/>
        </w:rPr>
        <w:t xml:space="preserve"> ترويجية. </w:t>
      </w:r>
      <w:r w:rsidR="00E10CEA">
        <w:rPr>
          <w:rFonts w:ascii="Arabic Typesetting" w:hAnsi="Arabic Typesetting" w:cs="Arabic Typesetting" w:hint="cs"/>
          <w:sz w:val="34"/>
          <w:szCs w:val="34"/>
          <w:rtl/>
          <w:lang w:bidi="ar-EG"/>
        </w:rPr>
        <w:t xml:space="preserve">وعلى الرغم من أن </w:t>
      </w:r>
      <w:r w:rsidR="00E10CEA" w:rsidRPr="00E10CEA">
        <w:rPr>
          <w:rFonts w:ascii="Arabic Typesetting" w:hAnsi="Arabic Typesetting" w:cs="Arabic Typesetting"/>
          <w:sz w:val="34"/>
          <w:szCs w:val="34"/>
          <w:rtl/>
          <w:lang w:bidi="ar-EG"/>
        </w:rPr>
        <w:t>رسوم الأطفال المتحركة الشهيرة التي تسمى "</w:t>
      </w:r>
      <w:proofErr w:type="spellStart"/>
      <w:r w:rsidR="00E10CEA" w:rsidRPr="00E10CEA">
        <w:rPr>
          <w:rFonts w:ascii="Arabic Typesetting" w:hAnsi="Arabic Typesetting" w:cs="Arabic Typesetting"/>
          <w:sz w:val="34"/>
          <w:szCs w:val="34"/>
          <w:rtl/>
          <w:lang w:bidi="ar-EG"/>
        </w:rPr>
        <w:t>بورورو</w:t>
      </w:r>
      <w:proofErr w:type="spellEnd"/>
      <w:r w:rsidR="00E10CEA" w:rsidRPr="00E10CEA">
        <w:rPr>
          <w:rFonts w:ascii="Arabic Typesetting" w:hAnsi="Arabic Typesetting" w:cs="Arabic Typesetting"/>
          <w:sz w:val="34"/>
          <w:szCs w:val="34"/>
          <w:rtl/>
          <w:lang w:bidi="ar-EG"/>
        </w:rPr>
        <w:t xml:space="preserve">" </w:t>
      </w:r>
      <w:r w:rsidR="00E10CEA">
        <w:rPr>
          <w:rFonts w:ascii="Arabic Typesetting" w:hAnsi="Arabic Typesetting" w:cs="Arabic Typesetting" w:hint="cs"/>
          <w:sz w:val="34"/>
          <w:szCs w:val="34"/>
          <w:rtl/>
          <w:lang w:bidi="ar-EG"/>
        </w:rPr>
        <w:t xml:space="preserve">ظلت محتفظة بانتشارها الواسع </w:t>
      </w:r>
      <w:r w:rsidR="00E10CEA" w:rsidRPr="00E10CEA">
        <w:rPr>
          <w:rFonts w:ascii="Arabic Typesetting" w:hAnsi="Arabic Typesetting" w:cs="Arabic Typesetting"/>
          <w:sz w:val="34"/>
          <w:szCs w:val="34"/>
          <w:rtl/>
          <w:lang w:bidi="ar-EG"/>
        </w:rPr>
        <w:t xml:space="preserve">في الثنائية </w:t>
      </w:r>
      <w:r w:rsidR="00507DE2">
        <w:rPr>
          <w:rFonts w:ascii="Arabic Typesetting" w:hAnsi="Arabic Typesetting" w:cs="Arabic Typesetting" w:hint="cs"/>
          <w:sz w:val="34"/>
          <w:szCs w:val="34"/>
          <w:rtl/>
          <w:lang w:bidi="ar-EG"/>
        </w:rPr>
        <w:t>2012/13</w:t>
      </w:r>
      <w:r w:rsidR="00E10CEA" w:rsidRPr="00E10CEA">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فقد زاد عدد مشاهدة</w:t>
      </w:r>
      <w:r w:rsidR="00E10CEA">
        <w:rPr>
          <w:rFonts w:ascii="Arabic Typesetting" w:hAnsi="Arabic Typesetting" w:cs="Arabic Typesetting" w:hint="cs"/>
          <w:sz w:val="34"/>
          <w:szCs w:val="34"/>
          <w:rtl/>
          <w:lang w:bidi="ar-EG"/>
        </w:rPr>
        <w:t xml:space="preserve"> الفيديوهات الأخرى (غير الكرتونية)</w:t>
      </w:r>
      <w:r w:rsidR="00E10CEA" w:rsidRPr="00E10CEA">
        <w:rPr>
          <w:rFonts w:ascii="Arabic Typesetting" w:hAnsi="Arabic Typesetting" w:cs="Arabic Typesetting"/>
          <w:sz w:val="34"/>
          <w:szCs w:val="34"/>
          <w:rtl/>
          <w:lang w:bidi="ar-EG"/>
        </w:rPr>
        <w:t>.</w:t>
      </w:r>
      <w:r w:rsidR="00E10CEA">
        <w:rPr>
          <w:rFonts w:ascii="Arabic Typesetting" w:hAnsi="Arabic Typesetting" w:cs="Arabic Typesetting" w:hint="cs"/>
          <w:sz w:val="34"/>
          <w:szCs w:val="34"/>
          <w:rtl/>
          <w:lang w:bidi="ar-EG"/>
        </w:rPr>
        <w:t xml:space="preserve"> </w:t>
      </w:r>
      <w:r w:rsidR="00FF5A4C">
        <w:rPr>
          <w:rFonts w:ascii="Arabic Typesetting" w:hAnsi="Arabic Typesetting" w:cs="Arabic Typesetting" w:hint="cs"/>
          <w:sz w:val="34"/>
          <w:szCs w:val="34"/>
          <w:rtl/>
          <w:lang w:bidi="ar-EG"/>
        </w:rPr>
        <w:t>وتجاوز إجمالي عدد مشاهدات قناة الويبو على يوتيوب (منذ إطلاقها في أبريل 2010) عتبة التسع ملايين</w:t>
      </w:r>
      <w:r>
        <w:rPr>
          <w:rFonts w:ascii="Arabic Typesetting" w:hAnsi="Arabic Typesetting" w:cs="Arabic Typesetting" w:hint="cs"/>
          <w:sz w:val="34"/>
          <w:szCs w:val="34"/>
          <w:rtl/>
          <w:lang w:bidi="ar-EG"/>
        </w:rPr>
        <w:t xml:space="preserve"> مشاهدة</w:t>
      </w:r>
      <w:r w:rsidR="00FF5A4C">
        <w:rPr>
          <w:rFonts w:ascii="Arabic Typesetting" w:hAnsi="Arabic Typesetting" w:cs="Arabic Typesetting" w:hint="cs"/>
          <w:sz w:val="34"/>
          <w:szCs w:val="34"/>
          <w:rtl/>
          <w:lang w:bidi="ar-EG"/>
        </w:rPr>
        <w:t xml:space="preserve">. وسجلت صور الويبو على فليكر أكثر من 2.5 مليون مشاهدة إضافية خلال الثنائية </w:t>
      </w:r>
      <w:r w:rsidR="00507DE2">
        <w:rPr>
          <w:rFonts w:ascii="Arabic Typesetting" w:hAnsi="Arabic Typesetting" w:cs="Arabic Typesetting" w:hint="cs"/>
          <w:sz w:val="34"/>
          <w:szCs w:val="34"/>
          <w:rtl/>
          <w:lang w:bidi="ar-EG"/>
        </w:rPr>
        <w:t>2014/15</w:t>
      </w:r>
      <w:r w:rsidR="00FF5A4C">
        <w:rPr>
          <w:rFonts w:ascii="Arabic Typesetting" w:hAnsi="Arabic Typesetting" w:cs="Arabic Typesetting" w:hint="cs"/>
          <w:sz w:val="34"/>
          <w:szCs w:val="34"/>
          <w:rtl/>
          <w:lang w:bidi="ar-EG"/>
        </w:rPr>
        <w:t xml:space="preserve"> </w:t>
      </w:r>
      <w:r>
        <w:rPr>
          <w:rFonts w:ascii="Arabic Typesetting" w:hAnsi="Arabic Typesetting" w:cs="Arabic Typesetting" w:hint="cs"/>
          <w:sz w:val="34"/>
          <w:szCs w:val="34"/>
          <w:rtl/>
          <w:lang w:bidi="ar-EG"/>
        </w:rPr>
        <w:t>ليتجاوز</w:t>
      </w:r>
      <w:r w:rsidR="00FF5A4C">
        <w:rPr>
          <w:rFonts w:ascii="Arabic Typesetting" w:hAnsi="Arabic Typesetting" w:cs="Arabic Typesetting" w:hint="cs"/>
          <w:sz w:val="34"/>
          <w:szCs w:val="34"/>
          <w:rtl/>
          <w:lang w:bidi="ar-EG"/>
        </w:rPr>
        <w:t xml:space="preserve"> بذلك إجمالي عدد المشاهدات 3.4 مليون مشاهدة مقارنة بالثنائية </w:t>
      </w:r>
      <w:r w:rsidR="00507DE2">
        <w:rPr>
          <w:rFonts w:ascii="Arabic Typesetting" w:hAnsi="Arabic Typesetting" w:cs="Arabic Typesetting" w:hint="cs"/>
          <w:sz w:val="34"/>
          <w:szCs w:val="34"/>
          <w:rtl/>
          <w:lang w:bidi="ar-EG"/>
        </w:rPr>
        <w:t>2012/13</w:t>
      </w:r>
      <w:r w:rsidR="00FF5A4C">
        <w:rPr>
          <w:rFonts w:ascii="Arabic Typesetting" w:hAnsi="Arabic Typesetting" w:cs="Arabic Typesetting" w:hint="cs"/>
          <w:sz w:val="34"/>
          <w:szCs w:val="34"/>
          <w:rtl/>
          <w:lang w:bidi="ar-EG"/>
        </w:rPr>
        <w:t xml:space="preserve"> التي سجلت 000 900 مشاهدة.</w:t>
      </w:r>
    </w:p>
    <w:p w:rsidR="00FF5A4C" w:rsidRDefault="00FF5A4C"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sidRPr="00FF5A4C">
        <w:rPr>
          <w:rFonts w:ascii="Arabic Typesetting" w:hAnsi="Arabic Typesetting" w:cs="Arabic Typesetting"/>
          <w:sz w:val="34"/>
          <w:szCs w:val="34"/>
          <w:rtl/>
          <w:lang w:bidi="ar-EG"/>
        </w:rPr>
        <w:t xml:space="preserve">وأُحرز تقدمٌ جيدٌ في المرحلة الثانية من تجديد </w:t>
      </w:r>
      <w:r w:rsidRPr="00FF5A4C">
        <w:rPr>
          <w:rFonts w:ascii="Arabic Typesetting" w:hAnsi="Arabic Typesetting" w:cs="Arabic Typesetting"/>
          <w:b/>
          <w:bCs/>
          <w:sz w:val="34"/>
          <w:szCs w:val="34"/>
          <w:rtl/>
          <w:lang w:bidi="ar-EG"/>
        </w:rPr>
        <w:t>موقع الويبو الإلكتروني</w:t>
      </w:r>
      <w:r>
        <w:rPr>
          <w:rFonts w:ascii="Arabic Typesetting" w:hAnsi="Arabic Typesetting" w:cs="Arabic Typesetting" w:hint="cs"/>
          <w:sz w:val="34"/>
          <w:szCs w:val="34"/>
          <w:rtl/>
          <w:lang w:bidi="ar-EG"/>
        </w:rPr>
        <w:t xml:space="preserve"> من حيث </w:t>
      </w:r>
      <w:r w:rsidR="00D41A93">
        <w:rPr>
          <w:rFonts w:ascii="Arabic Typesetting" w:hAnsi="Arabic Typesetting" w:cs="Arabic Typesetting" w:hint="cs"/>
          <w:sz w:val="34"/>
          <w:szCs w:val="34"/>
          <w:rtl/>
          <w:lang w:bidi="ar-EG"/>
        </w:rPr>
        <w:t>تحديث</w:t>
      </w:r>
      <w:r w:rsidRPr="00FF5A4C">
        <w:rPr>
          <w:rFonts w:ascii="Arabic Typesetting" w:hAnsi="Arabic Typesetting" w:cs="Arabic Typesetting"/>
          <w:sz w:val="34"/>
          <w:szCs w:val="34"/>
          <w:rtl/>
          <w:lang w:bidi="ar-EG"/>
        </w:rPr>
        <w:t xml:space="preserve"> الموقع بانتظام</w:t>
      </w:r>
      <w:r>
        <w:rPr>
          <w:rFonts w:ascii="Arabic Typesetting" w:hAnsi="Arabic Typesetting" w:cs="Arabic Typesetting" w:hint="cs"/>
          <w:sz w:val="34"/>
          <w:szCs w:val="34"/>
          <w:rtl/>
          <w:lang w:bidi="ar-EG"/>
        </w:rPr>
        <w:t>؛</w:t>
      </w:r>
      <w:r w:rsidRPr="00FF5A4C">
        <w:rPr>
          <w:rFonts w:ascii="Arabic Typesetting" w:hAnsi="Arabic Typesetting" w:cs="Arabic Typesetting"/>
          <w:sz w:val="34"/>
          <w:szCs w:val="34"/>
          <w:rtl/>
          <w:lang w:bidi="ar-EG"/>
        </w:rPr>
        <w:t xml:space="preserve"> وتحسين الصفحات </w:t>
      </w:r>
      <w:r w:rsidR="006C1221">
        <w:rPr>
          <w:rFonts w:ascii="Arabic Typesetting" w:hAnsi="Arabic Typesetting" w:cs="Arabic Typesetting" w:hint="cs"/>
          <w:sz w:val="34"/>
          <w:szCs w:val="34"/>
          <w:rtl/>
          <w:lang w:bidi="ar-EG"/>
        </w:rPr>
        <w:t>الأساسية</w:t>
      </w:r>
      <w:r w:rsidRPr="00FF5A4C">
        <w:rPr>
          <w:rFonts w:ascii="Arabic Typesetting" w:hAnsi="Arabic Typesetting" w:cs="Arabic Typesetting"/>
          <w:sz w:val="34"/>
          <w:szCs w:val="34"/>
          <w:rtl/>
          <w:lang w:bidi="ar-EG"/>
        </w:rPr>
        <w:t xml:space="preserve"> وإعادة تصميمها</w:t>
      </w:r>
      <w:r>
        <w:rPr>
          <w:rFonts w:ascii="Arabic Typesetting" w:hAnsi="Arabic Typesetting" w:cs="Arabic Typesetting" w:hint="cs"/>
          <w:sz w:val="34"/>
          <w:szCs w:val="34"/>
          <w:rtl/>
          <w:lang w:bidi="ar-EG"/>
        </w:rPr>
        <w:t>؛</w:t>
      </w:r>
      <w:r w:rsidRPr="00FF5A4C">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وتحسين</w:t>
      </w:r>
      <w:r>
        <w:rPr>
          <w:rFonts w:ascii="Arabic Typesetting" w:hAnsi="Arabic Typesetting" w:cs="Arabic Typesetting"/>
          <w:sz w:val="34"/>
          <w:szCs w:val="34"/>
          <w:rtl/>
          <w:lang w:bidi="ar-EG"/>
        </w:rPr>
        <w:t xml:space="preserve"> وظيفة البحث في الموقع</w:t>
      </w:r>
      <w:r>
        <w:rPr>
          <w:rFonts w:ascii="Arabic Typesetting" w:hAnsi="Arabic Typesetting" w:cs="Arabic Typesetting" w:hint="cs"/>
          <w:sz w:val="34"/>
          <w:szCs w:val="34"/>
          <w:rtl/>
          <w:lang w:bidi="ar-EG"/>
        </w:rPr>
        <w:t xml:space="preserve">؛ والتحديث التقني لنظام إدارة المحتويات؛ وتحضير المزيد من التحسينات في التصميم الخارجي بغية تنفيذها </w:t>
      </w:r>
      <w:r w:rsidR="00D41A93">
        <w:rPr>
          <w:rFonts w:ascii="Arabic Typesetting" w:hAnsi="Arabic Typesetting" w:cs="Arabic Typesetting" w:hint="cs"/>
          <w:sz w:val="34"/>
          <w:szCs w:val="34"/>
          <w:rtl/>
          <w:lang w:bidi="ar-EG"/>
        </w:rPr>
        <w:t>في عام 2016. وأعدت محتويات</w:t>
      </w:r>
      <w:r>
        <w:rPr>
          <w:rFonts w:ascii="Arabic Typesetting" w:hAnsi="Arabic Typesetting" w:cs="Arabic Typesetting" w:hint="cs"/>
          <w:sz w:val="34"/>
          <w:szCs w:val="34"/>
          <w:rtl/>
          <w:lang w:bidi="ar-EG"/>
        </w:rPr>
        <w:t xml:space="preserve"> جديدة ولا سيما عن المكاتب الخارجية</w:t>
      </w:r>
      <w:r w:rsidR="00D41A93">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 والنساء والملكية الفكرية</w:t>
      </w:r>
      <w:r w:rsidR="00D41A93">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 والجمعيات</w:t>
      </w:r>
      <w:r w:rsidR="00D41A93">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 وكل الأحداث والمنتجات والمبادرات الجديدة الرئيسية. وكانت الأولوية العليا لزيادة سرعة ترجمة المحتويات الشبكية ونشرها باللغات الست. ودرِّب موظفو شعبة اللغات في عام 2015 على إدخال المحتويات مباشرةً باللغات العربية والصينية والروسية في الموقع الإلكتروني ما أدى إلى الارتقاء بجودة الترجمة </w:t>
      </w:r>
      <w:r w:rsidR="00D41A93">
        <w:rPr>
          <w:rFonts w:ascii="Arabic Typesetting" w:hAnsi="Arabic Typesetting" w:cs="Arabic Typesetting" w:hint="cs"/>
          <w:sz w:val="34"/>
          <w:szCs w:val="34"/>
          <w:rtl/>
          <w:lang w:bidi="ar-EG"/>
        </w:rPr>
        <w:t>إلى</w:t>
      </w:r>
      <w:r>
        <w:rPr>
          <w:rFonts w:ascii="Arabic Typesetting" w:hAnsi="Arabic Typesetting" w:cs="Arabic Typesetting" w:hint="cs"/>
          <w:sz w:val="34"/>
          <w:szCs w:val="34"/>
          <w:rtl/>
          <w:lang w:bidi="ar-EG"/>
        </w:rPr>
        <w:t xml:space="preserve"> هذه اللغات وزيادة كمياتها وسرعة نشرها. واستمرت وسائل الإعلام الاجتماعية للويبو تستقطب العديد من الناس على </w:t>
      </w:r>
      <w:proofErr w:type="spellStart"/>
      <w:r>
        <w:rPr>
          <w:rFonts w:ascii="Arabic Typesetting" w:hAnsi="Arabic Typesetting" w:cs="Arabic Typesetting" w:hint="cs"/>
          <w:sz w:val="34"/>
          <w:szCs w:val="34"/>
          <w:rtl/>
          <w:lang w:bidi="ar-EG"/>
        </w:rPr>
        <w:t>تويتر</w:t>
      </w:r>
      <w:proofErr w:type="spellEnd"/>
      <w:r>
        <w:rPr>
          <w:rFonts w:ascii="Arabic Typesetting" w:hAnsi="Arabic Typesetting" w:cs="Arabic Typesetting" w:hint="cs"/>
          <w:sz w:val="34"/>
          <w:szCs w:val="34"/>
          <w:rtl/>
          <w:lang w:bidi="ar-EG"/>
        </w:rPr>
        <w:t xml:space="preserve"> وبدأ العمل على مراجعة استراتيجية وسائل الإعلام الاجتماعية بغية تنفيذها في الثنائية </w:t>
      </w:r>
      <w:r w:rsidR="00507DE2">
        <w:rPr>
          <w:rFonts w:ascii="Arabic Typesetting" w:hAnsi="Arabic Typesetting" w:cs="Arabic Typesetting" w:hint="cs"/>
          <w:sz w:val="34"/>
          <w:szCs w:val="34"/>
          <w:rtl/>
          <w:lang w:bidi="ar-EG"/>
        </w:rPr>
        <w:t>2016/17</w:t>
      </w:r>
      <w:r>
        <w:rPr>
          <w:rFonts w:ascii="Arabic Typesetting" w:hAnsi="Arabic Typesetting" w:cs="Arabic Typesetting" w:hint="cs"/>
          <w:sz w:val="34"/>
          <w:szCs w:val="34"/>
          <w:rtl/>
          <w:lang w:bidi="ar-EG"/>
        </w:rPr>
        <w:t>.</w:t>
      </w:r>
    </w:p>
    <w:p w:rsidR="00FF5A4C" w:rsidRDefault="00FF5A4C"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ونفذت سياسة توزيع المنشورات بغية إتاحة كل منشورات الويبو ودراساتها على الإنترنت </w:t>
      </w:r>
      <w:r w:rsidR="00B1424D">
        <w:rPr>
          <w:rFonts w:ascii="Arabic Typesetting" w:hAnsi="Arabic Typesetting" w:cs="Arabic Typesetting" w:hint="cs"/>
          <w:sz w:val="34"/>
          <w:szCs w:val="34"/>
          <w:rtl/>
          <w:lang w:bidi="ar-EG"/>
        </w:rPr>
        <w:t>للتنزيل</w:t>
      </w:r>
      <w:r>
        <w:rPr>
          <w:rFonts w:ascii="Arabic Typesetting" w:hAnsi="Arabic Typesetting" w:cs="Arabic Typesetting" w:hint="cs"/>
          <w:sz w:val="34"/>
          <w:szCs w:val="34"/>
          <w:rtl/>
          <w:lang w:bidi="ar-EG"/>
        </w:rPr>
        <w:t xml:space="preserve"> المجاني. وكثِّفت الجهود لتقليص إصدار المطبوعات الورقية وتخزينها وإرسالها ومنها استحداث خدمة الطباعة الخارجية بناء على الطلب. </w:t>
      </w:r>
      <w:r w:rsidR="003E273C">
        <w:rPr>
          <w:rFonts w:ascii="Arabic Typesetting" w:hAnsi="Arabic Typesetting" w:cs="Arabic Typesetting" w:hint="cs"/>
          <w:sz w:val="34"/>
          <w:szCs w:val="34"/>
          <w:rtl/>
          <w:lang w:bidi="ar-EG"/>
        </w:rPr>
        <w:t xml:space="preserve">ولعل نظام إدارة المنشورات الجديد، الذي أطلق في أواخر عام 2015 وحل محل </w:t>
      </w:r>
      <w:r w:rsidR="00D41A93">
        <w:rPr>
          <w:rFonts w:ascii="Arabic Typesetting" w:hAnsi="Arabic Typesetting" w:cs="Arabic Typesetting" w:hint="cs"/>
          <w:sz w:val="34"/>
          <w:szCs w:val="34"/>
          <w:rtl/>
          <w:lang w:bidi="ar-EG"/>
        </w:rPr>
        <w:t>ال</w:t>
      </w:r>
      <w:r w:rsidR="003E273C">
        <w:rPr>
          <w:rFonts w:ascii="Arabic Typesetting" w:hAnsi="Arabic Typesetting" w:cs="Arabic Typesetting" w:hint="cs"/>
          <w:sz w:val="34"/>
          <w:szCs w:val="34"/>
          <w:rtl/>
          <w:lang w:bidi="ar-EG"/>
        </w:rPr>
        <w:t>نظام</w:t>
      </w:r>
      <w:r w:rsidR="00D41A93">
        <w:rPr>
          <w:rFonts w:ascii="Arabic Typesetting" w:hAnsi="Arabic Typesetting" w:cs="Arabic Typesetting" w:hint="cs"/>
          <w:sz w:val="34"/>
          <w:szCs w:val="34"/>
          <w:rtl/>
          <w:lang w:bidi="ar-EG"/>
        </w:rPr>
        <w:t xml:space="preserve"> القديم</w:t>
      </w:r>
      <w:r w:rsidR="003E273C">
        <w:rPr>
          <w:rFonts w:ascii="Arabic Typesetting" w:hAnsi="Arabic Typesetting" w:cs="Arabic Typesetting" w:hint="cs"/>
          <w:sz w:val="34"/>
          <w:szCs w:val="34"/>
          <w:rtl/>
          <w:lang w:bidi="ar-EG"/>
        </w:rPr>
        <w:t xml:space="preserve"> </w:t>
      </w:r>
      <w:r w:rsidR="00D41A93">
        <w:rPr>
          <w:rFonts w:ascii="Arabic Typesetting" w:hAnsi="Arabic Typesetting" w:cs="Arabic Typesetting" w:hint="cs"/>
          <w:sz w:val="34"/>
          <w:szCs w:val="34"/>
          <w:rtl/>
          <w:lang w:bidi="ar-EG"/>
        </w:rPr>
        <w:t>ل</w:t>
      </w:r>
      <w:r w:rsidR="003E273C">
        <w:rPr>
          <w:rFonts w:ascii="Arabic Typesetting" w:hAnsi="Arabic Typesetting" w:cs="Arabic Typesetting" w:hint="cs"/>
          <w:sz w:val="34"/>
          <w:szCs w:val="34"/>
          <w:rtl/>
          <w:lang w:bidi="ar-EG"/>
        </w:rPr>
        <w:t>رصد المخزونات ومعالجة الطلبات، سيسهم في مواصلة تحقيق الفعالية من حيث التكلفة. واستجابةً لطلبات الدول الأعضاء، أنشئت 15 مكتبة إيداع جديدة خلال الثنائية ليصل بذلك عددها الإجمالي إلى 105 مكتبات، واستضافت مكتب الويبو 2044 زائراً ورد</w:t>
      </w:r>
      <w:r w:rsidR="00D41A93">
        <w:rPr>
          <w:rFonts w:ascii="Arabic Typesetting" w:hAnsi="Arabic Typesetting" w:cs="Arabic Typesetting" w:hint="cs"/>
          <w:sz w:val="34"/>
          <w:szCs w:val="34"/>
          <w:rtl/>
          <w:lang w:bidi="ar-EG"/>
        </w:rPr>
        <w:t>ّ</w:t>
      </w:r>
      <w:r w:rsidR="003E273C">
        <w:rPr>
          <w:rFonts w:ascii="Arabic Typesetting" w:hAnsi="Arabic Typesetting" w:cs="Arabic Typesetting" w:hint="cs"/>
          <w:sz w:val="34"/>
          <w:szCs w:val="34"/>
          <w:rtl/>
          <w:lang w:bidi="ar-EG"/>
        </w:rPr>
        <w:t>ت على 1323 طلباً للحصول على معلومات من شتى أنحاء العالم.</w:t>
      </w:r>
    </w:p>
    <w:p w:rsidR="003E273C" w:rsidRDefault="003E273C"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وع</w:t>
      </w:r>
      <w:r w:rsidR="00D41A93">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xml:space="preserve">مم ما أُنجز في الثنائية 13/2013 من أعمال تطوير العلامة التجارية لتعزيز الاعتراف بهوية الويبو في الثنائية </w:t>
      </w:r>
      <w:r w:rsidR="00507DE2">
        <w:rPr>
          <w:rFonts w:ascii="Arabic Typesetting" w:hAnsi="Arabic Typesetting" w:cs="Arabic Typesetting" w:hint="cs"/>
          <w:sz w:val="34"/>
          <w:szCs w:val="34"/>
          <w:rtl/>
          <w:lang w:bidi="ar-EG"/>
        </w:rPr>
        <w:t>2014/15</w:t>
      </w:r>
      <w:r>
        <w:rPr>
          <w:rFonts w:ascii="Arabic Typesetting" w:hAnsi="Arabic Typesetting" w:cs="Arabic Typesetting" w:hint="cs"/>
          <w:sz w:val="34"/>
          <w:szCs w:val="34"/>
          <w:rtl/>
          <w:lang w:bidi="ar-EG"/>
        </w:rPr>
        <w:t xml:space="preserve">. وكفلت مسارات المراجعة التحريرية والتصميمية إيلاء عناية منهجية للوضوح والاتساق في إبراز دور الويبو ورسالتها وقيمها في شتى رسائل المنظمة التحريرية أو </w:t>
      </w:r>
      <w:r w:rsidR="00D41A93">
        <w:rPr>
          <w:rFonts w:ascii="Arabic Typesetting" w:hAnsi="Arabic Typesetting" w:cs="Arabic Typesetting" w:hint="cs"/>
          <w:sz w:val="34"/>
          <w:szCs w:val="34"/>
          <w:rtl/>
          <w:lang w:bidi="ar-EG"/>
        </w:rPr>
        <w:t>التصويرية</w:t>
      </w:r>
      <w:r>
        <w:rPr>
          <w:rFonts w:ascii="Arabic Typesetting" w:hAnsi="Arabic Typesetting" w:cs="Arabic Typesetting" w:hint="cs"/>
          <w:sz w:val="34"/>
          <w:szCs w:val="34"/>
          <w:rtl/>
          <w:lang w:bidi="ar-EG"/>
        </w:rPr>
        <w:t>.</w:t>
      </w:r>
      <w:r w:rsidRPr="003E273C">
        <w:rPr>
          <w:rFonts w:ascii="Arabic Typesetting" w:hAnsi="Arabic Typesetting" w:cs="Arabic Typesetting"/>
          <w:sz w:val="34"/>
          <w:szCs w:val="34"/>
          <w:rtl/>
          <w:lang w:bidi="ar-EG"/>
        </w:rPr>
        <w:t xml:space="preserve"> وأُجري في عام 2014 استقصاء لتصورات أصحاب المصالح </w:t>
      </w:r>
      <w:r>
        <w:rPr>
          <w:rFonts w:ascii="Arabic Typesetting" w:hAnsi="Arabic Typesetting" w:cs="Arabic Typesetting" w:hint="cs"/>
          <w:sz w:val="34"/>
          <w:szCs w:val="34"/>
          <w:rtl/>
          <w:lang w:bidi="ar-EG"/>
        </w:rPr>
        <w:t>وأدى إلى تحديد</w:t>
      </w:r>
      <w:r w:rsidRPr="003E273C">
        <w:rPr>
          <w:rFonts w:ascii="Arabic Typesetting" w:hAnsi="Arabic Typesetting" w:cs="Arabic Typesetting"/>
          <w:sz w:val="34"/>
          <w:szCs w:val="34"/>
          <w:rtl/>
          <w:lang w:bidi="ar-EG"/>
        </w:rPr>
        <w:t xml:space="preserve"> الصفات الأساسية التي </w:t>
      </w:r>
      <w:r>
        <w:rPr>
          <w:rFonts w:ascii="Arabic Typesetting" w:hAnsi="Arabic Typesetting" w:cs="Arabic Typesetting" w:hint="cs"/>
          <w:sz w:val="34"/>
          <w:szCs w:val="34"/>
          <w:rtl/>
          <w:lang w:bidi="ar-EG"/>
        </w:rPr>
        <w:t>توجه</w:t>
      </w:r>
      <w:r w:rsidRPr="003E273C">
        <w:rPr>
          <w:rFonts w:ascii="Arabic Typesetting" w:hAnsi="Arabic Typesetting" w:cs="Arabic Typesetting"/>
          <w:sz w:val="34"/>
          <w:szCs w:val="34"/>
          <w:rtl/>
          <w:lang w:bidi="ar-EG"/>
        </w:rPr>
        <w:t xml:space="preserve"> حكم أصحاب المصالح على الويبو، وإعداد أداة لرصد أداء الويبو المُتصوَّر فيما يتعلق </w:t>
      </w:r>
      <w:r>
        <w:rPr>
          <w:rFonts w:ascii="Arabic Typesetting" w:hAnsi="Arabic Typesetting" w:cs="Arabic Typesetting" w:hint="cs"/>
          <w:sz w:val="34"/>
          <w:szCs w:val="34"/>
          <w:rtl/>
          <w:lang w:bidi="ar-EG"/>
        </w:rPr>
        <w:t>ب</w:t>
      </w:r>
      <w:r w:rsidRPr="003E273C">
        <w:rPr>
          <w:rFonts w:ascii="Arabic Typesetting" w:hAnsi="Arabic Typesetting" w:cs="Arabic Typesetting"/>
          <w:sz w:val="34"/>
          <w:szCs w:val="34"/>
          <w:rtl/>
          <w:lang w:bidi="ar-EG"/>
        </w:rPr>
        <w:t xml:space="preserve">العوامل المؤثرة في </w:t>
      </w:r>
      <w:r>
        <w:rPr>
          <w:rFonts w:ascii="Arabic Typesetting" w:hAnsi="Arabic Typesetting" w:cs="Arabic Typesetting" w:hint="cs"/>
          <w:sz w:val="34"/>
          <w:szCs w:val="34"/>
          <w:rtl/>
          <w:lang w:bidi="ar-EG"/>
        </w:rPr>
        <w:t>سمعة المنظمة</w:t>
      </w:r>
      <w:r w:rsidRPr="003E273C">
        <w:rPr>
          <w:rFonts w:ascii="Arabic Typesetting" w:hAnsi="Arabic Typesetting" w:cs="Arabic Typesetting"/>
          <w:sz w:val="34"/>
          <w:szCs w:val="34"/>
          <w:rtl/>
          <w:lang w:bidi="ar-EG"/>
        </w:rPr>
        <w:t>.</w:t>
      </w:r>
    </w:p>
    <w:p w:rsidR="003E273C" w:rsidRDefault="00B84D65" w:rsidP="009A3712">
      <w:pPr>
        <w:numPr>
          <w:ilvl w:val="0"/>
          <w:numId w:val="19"/>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وظل التزام المنظمة الراسخ بالاستجابة بسرعة وبفعالية ل</w:t>
      </w:r>
      <w:r w:rsidR="00D41A93">
        <w:rPr>
          <w:rFonts w:ascii="Arabic Typesetting" w:hAnsi="Arabic Typesetting" w:cs="Arabic Typesetting" w:hint="cs"/>
          <w:sz w:val="34"/>
          <w:szCs w:val="34"/>
          <w:rtl/>
          <w:lang w:bidi="ar-EG"/>
        </w:rPr>
        <w:t xml:space="preserve">احتياجات </w:t>
      </w:r>
      <w:r>
        <w:rPr>
          <w:rFonts w:ascii="Arabic Typesetting" w:hAnsi="Arabic Typesetting" w:cs="Arabic Typesetting" w:hint="cs"/>
          <w:sz w:val="34"/>
          <w:szCs w:val="34"/>
          <w:rtl/>
          <w:lang w:bidi="ar-EG"/>
        </w:rPr>
        <w:t xml:space="preserve">كل أصحاب المصلحة في صميم عمل المنظمة الرامي إلى ترويج </w:t>
      </w:r>
      <w:r>
        <w:rPr>
          <w:rFonts w:ascii="Arabic Typesetting" w:hAnsi="Arabic Typesetting" w:cs="Arabic Typesetting" w:hint="cs"/>
          <w:b/>
          <w:bCs/>
          <w:sz w:val="34"/>
          <w:szCs w:val="34"/>
          <w:rtl/>
          <w:lang w:bidi="ar-EG"/>
        </w:rPr>
        <w:t>ثقافة تقديم الخدمات</w:t>
      </w:r>
      <w:r>
        <w:rPr>
          <w:rFonts w:ascii="Arabic Typesetting" w:hAnsi="Arabic Typesetting" w:cs="Arabic Typesetting" w:hint="cs"/>
          <w:sz w:val="34"/>
          <w:szCs w:val="34"/>
          <w:rtl/>
          <w:lang w:bidi="ar-EG"/>
        </w:rPr>
        <w:t xml:space="preserve"> وشمل تطبيق ميثاق خدمات الويبو الجديد، وتوفير عروض وأنشطة توعية داخل المنظمة، وتنظيم الأسبوع الثاني لآداب التعامل عبر الإنترنت. وعالج موظفو مركز خدمة الزبائن المركزي 92 بالمئة من الاستفسارات الواردة (10280 استفساراً) في أقل من يوم عمل واحد و100 بالمئة من الشكاوى الواردة (283 شكوى) في أقل من ثماني ساعات عمل. وأتيح </w:t>
      </w:r>
      <w:r w:rsidRPr="00B84D65">
        <w:rPr>
          <w:rFonts w:ascii="Arabic Typesetting" w:hAnsi="Arabic Typesetting" w:cs="Arabic Typesetting"/>
          <w:sz w:val="34"/>
          <w:szCs w:val="34"/>
          <w:rtl/>
          <w:lang w:bidi="ar-EG"/>
        </w:rPr>
        <w:t>نظام الويبو لتبليغ الاستفسارات (</w:t>
      </w:r>
      <w:r w:rsidRPr="00B84D65">
        <w:rPr>
          <w:rFonts w:ascii="Arabic Typesetting" w:hAnsi="Arabic Typesetting" w:cs="Arabic Typesetting"/>
          <w:sz w:val="34"/>
          <w:szCs w:val="34"/>
          <w:cs/>
          <w:lang w:bidi="ar-EG"/>
        </w:rPr>
        <w:t>‎</w:t>
      </w:r>
      <w:r w:rsidRPr="00B84D65">
        <w:rPr>
          <w:rFonts w:ascii="Arabic Typesetting" w:hAnsi="Arabic Typesetting" w:cs="Arabic Typesetting"/>
          <w:sz w:val="34"/>
          <w:szCs w:val="34"/>
          <w:lang w:bidi="ar-EG"/>
        </w:rPr>
        <w:t>WINS</w:t>
      </w:r>
      <w:r w:rsidRPr="00B84D65">
        <w:rPr>
          <w:rFonts w:ascii="Arabic Typesetting" w:hAnsi="Arabic Typesetting" w:cs="Arabic Typesetting"/>
          <w:sz w:val="34"/>
          <w:szCs w:val="34"/>
          <w:rtl/>
          <w:lang w:bidi="ar-EG"/>
        </w:rPr>
        <w:t>‏)</w:t>
      </w:r>
      <w:r>
        <w:rPr>
          <w:rFonts w:ascii="Arabic Typesetting" w:hAnsi="Arabic Typesetting" w:cs="Arabic Typesetting" w:hint="cs"/>
          <w:sz w:val="34"/>
          <w:szCs w:val="34"/>
          <w:rtl/>
          <w:lang w:bidi="ar-EG"/>
        </w:rPr>
        <w:t xml:space="preserve"> لأفرقة خدمة الزبائن التابعين لسجل مدريد ما مكنهم من معالجة أكثر من 7000 استفسار زبون بفعالية أكبر و12000 استفسار على مستوى المنظمة عامةً. وشمل رصد </w:t>
      </w:r>
      <w:r w:rsidRPr="00D41A93">
        <w:rPr>
          <w:rFonts w:ascii="Arabic Typesetting" w:hAnsi="Arabic Typesetting" w:cs="Arabic Typesetting" w:hint="cs"/>
          <w:b/>
          <w:bCs/>
          <w:sz w:val="34"/>
          <w:szCs w:val="34"/>
          <w:rtl/>
          <w:lang w:bidi="ar-EG"/>
        </w:rPr>
        <w:t>رضا الزبائن</w:t>
      </w:r>
      <w:r>
        <w:rPr>
          <w:rFonts w:ascii="Arabic Typesetting" w:hAnsi="Arabic Typesetting" w:cs="Arabic Typesetting" w:hint="cs"/>
          <w:sz w:val="34"/>
          <w:szCs w:val="34"/>
          <w:rtl/>
          <w:lang w:bidi="ar-EG"/>
        </w:rPr>
        <w:t xml:space="preserve"> إجراء </w:t>
      </w:r>
      <w:r w:rsidR="00634821">
        <w:rPr>
          <w:rFonts w:ascii="Arabic Typesetting" w:hAnsi="Arabic Typesetting" w:cs="Arabic Typesetting" w:hint="cs"/>
          <w:sz w:val="34"/>
          <w:szCs w:val="34"/>
          <w:rtl/>
          <w:lang w:bidi="ar-EG"/>
        </w:rPr>
        <w:t>دراسات استقصائية</w:t>
      </w:r>
      <w:r>
        <w:rPr>
          <w:rFonts w:ascii="Arabic Typesetting" w:hAnsi="Arabic Typesetting" w:cs="Arabic Typesetting" w:hint="cs"/>
          <w:sz w:val="34"/>
          <w:szCs w:val="34"/>
          <w:rtl/>
          <w:lang w:bidi="ar-EG"/>
        </w:rPr>
        <w:t xml:space="preserve"> شاملة عن رضا الزبائن </w:t>
      </w:r>
      <w:r w:rsidR="00634821">
        <w:rPr>
          <w:rFonts w:ascii="Arabic Typesetting" w:hAnsi="Arabic Typesetting" w:cs="Arabic Typesetting" w:hint="cs"/>
          <w:sz w:val="34"/>
          <w:szCs w:val="34"/>
          <w:rtl/>
          <w:lang w:bidi="ar-EG"/>
        </w:rPr>
        <w:t>وجهت إلى مستخدمي</w:t>
      </w:r>
      <w:r>
        <w:rPr>
          <w:rFonts w:ascii="Arabic Typesetting" w:hAnsi="Arabic Typesetting" w:cs="Arabic Typesetting" w:hint="cs"/>
          <w:sz w:val="34"/>
          <w:szCs w:val="34"/>
          <w:rtl/>
          <w:lang w:bidi="ar-EG"/>
        </w:rPr>
        <w:t xml:space="preserve"> نظام معاهدة البراءات (لأول مرة بتسع لغات) و</w:t>
      </w:r>
      <w:r w:rsidR="00634821">
        <w:rPr>
          <w:rFonts w:ascii="Arabic Typesetting" w:hAnsi="Arabic Typesetting" w:cs="Arabic Typesetting" w:hint="cs"/>
          <w:sz w:val="34"/>
          <w:szCs w:val="34"/>
          <w:rtl/>
          <w:lang w:bidi="ar-EG"/>
        </w:rPr>
        <w:t>سجل مدريد.</w:t>
      </w:r>
    </w:p>
    <w:p w:rsidR="00634821" w:rsidRDefault="00634821" w:rsidP="009A3712">
      <w:pPr>
        <w:keepLines/>
        <w:numPr>
          <w:ilvl w:val="0"/>
          <w:numId w:val="19"/>
        </w:numPr>
        <w:bidi/>
        <w:spacing w:after="120" w:line="340" w:lineRule="exact"/>
        <w:ind w:left="0" w:firstLine="0"/>
        <w:jc w:val="both"/>
        <w:rPr>
          <w:rFonts w:ascii="Arabic Typesetting" w:hAnsi="Arabic Typesetting" w:cs="Arabic Typesetting"/>
          <w:sz w:val="34"/>
          <w:szCs w:val="34"/>
          <w:lang w:bidi="ar-EG"/>
        </w:rPr>
      </w:pPr>
      <w:r w:rsidRPr="00634821">
        <w:rPr>
          <w:rFonts w:ascii="Arabic Typesetting" w:hAnsi="Arabic Typesetting" w:cs="Arabic Typesetting" w:hint="cs"/>
          <w:sz w:val="34"/>
          <w:szCs w:val="34"/>
          <w:rtl/>
          <w:lang w:val="fr-FR"/>
        </w:rPr>
        <w:lastRenderedPageBreak/>
        <w:t xml:space="preserve">واسترشد </w:t>
      </w:r>
      <w:r w:rsidRPr="00634821">
        <w:rPr>
          <w:rFonts w:ascii="Arabic Typesetting" w:hAnsi="Arabic Typesetting" w:cs="Arabic Typesetting" w:hint="cs"/>
          <w:sz w:val="34"/>
          <w:szCs w:val="34"/>
          <w:rtl/>
          <w:lang w:bidi="ar-EG"/>
        </w:rPr>
        <w:t>تصميم</w:t>
      </w:r>
      <w:r w:rsidRPr="00634821">
        <w:rPr>
          <w:rFonts w:ascii="Arabic Typesetting" w:hAnsi="Arabic Typesetting" w:cs="Arabic Typesetting" w:hint="cs"/>
          <w:sz w:val="34"/>
          <w:szCs w:val="34"/>
          <w:rtl/>
          <w:lang w:val="fr-FR"/>
        </w:rPr>
        <w:t xml:space="preserve"> أنشطة البرنامج </w:t>
      </w:r>
      <w:r>
        <w:rPr>
          <w:rFonts w:ascii="Arabic Typesetting" w:hAnsi="Arabic Typesetting" w:cs="Arabic Typesetting" w:hint="cs"/>
          <w:sz w:val="34"/>
          <w:szCs w:val="34"/>
          <w:rtl/>
          <w:lang w:val="fr-FR"/>
        </w:rPr>
        <w:t>19</w:t>
      </w:r>
      <w:r w:rsidRPr="00634821">
        <w:rPr>
          <w:rFonts w:ascii="Arabic Typesetting" w:hAnsi="Arabic Typesetting" w:cs="Arabic Typesetting" w:hint="cs"/>
          <w:sz w:val="34"/>
          <w:szCs w:val="34"/>
          <w:rtl/>
          <w:lang w:val="fr-FR"/>
        </w:rPr>
        <w:t xml:space="preserve"> وتخطيطها وتنفيذها بتوصيات جدول أعمال التنمية المعنية. </w:t>
      </w:r>
      <w:r w:rsidRPr="00634821">
        <w:rPr>
          <w:rFonts w:ascii="Arabic Typesetting" w:hAnsi="Arabic Typesetting" w:cs="Arabic Typesetting"/>
          <w:sz w:val="34"/>
          <w:szCs w:val="34"/>
          <w:rtl/>
          <w:lang w:bidi="ar-EG"/>
        </w:rPr>
        <w:t xml:space="preserve">وواصل البرنامج 19 بناء قاعدة بيانات الدراسات الإفرادية </w:t>
      </w:r>
      <w:r w:rsidRPr="00634821">
        <w:rPr>
          <w:rFonts w:ascii="Arabic Typesetting" w:hAnsi="Arabic Typesetting" w:cs="Arabic Typesetting"/>
          <w:sz w:val="34"/>
          <w:szCs w:val="34"/>
          <w:cs/>
          <w:lang w:bidi="ar-EG"/>
        </w:rPr>
        <w:t>‎</w:t>
      </w:r>
      <w:r w:rsidRPr="00634821">
        <w:rPr>
          <w:rFonts w:ascii="Arabic Typesetting" w:hAnsi="Arabic Typesetting" w:cs="Arabic Typesetting"/>
          <w:sz w:val="34"/>
          <w:szCs w:val="34"/>
          <w:lang w:bidi="ar-EG"/>
        </w:rPr>
        <w:t>IP</w:t>
      </w:r>
      <w:r>
        <w:rPr>
          <w:rFonts w:ascii="Arabic Typesetting" w:hAnsi="Arabic Typesetting" w:cs="Arabic Typesetting"/>
          <w:sz w:val="34"/>
          <w:szCs w:val="34"/>
          <w:lang w:bidi="ar-EG"/>
        </w:rPr>
        <w:t> </w:t>
      </w:r>
      <w:r w:rsidRPr="00634821">
        <w:rPr>
          <w:rFonts w:ascii="Arabic Typesetting" w:hAnsi="Arabic Typesetting" w:cs="Arabic Typesetting"/>
          <w:sz w:val="34"/>
          <w:szCs w:val="34"/>
          <w:lang w:bidi="ar-EG"/>
        </w:rPr>
        <w:t>Advantage</w:t>
      </w:r>
      <w:r w:rsidRPr="00634821">
        <w:rPr>
          <w:rFonts w:ascii="Arabic Typesetting" w:hAnsi="Arabic Typesetting" w:cs="Arabic Typesetting"/>
          <w:sz w:val="34"/>
          <w:szCs w:val="34"/>
          <w:rtl/>
          <w:lang w:bidi="ar-EG"/>
        </w:rPr>
        <w:t xml:space="preserve">‏ (وهي إحدى مبادرات جدول أعمال التنمية التي أقرتها اللجنة المعنية بالتنمية والملكية الفكرية) التي بلغ عدد مرات مشاهدة صفحتها </w:t>
      </w:r>
      <w:r>
        <w:rPr>
          <w:rFonts w:ascii="Arabic Typesetting" w:hAnsi="Arabic Typesetting" w:cs="Arabic Typesetting" w:hint="cs"/>
          <w:sz w:val="34"/>
          <w:szCs w:val="34"/>
          <w:rtl/>
          <w:lang w:bidi="ar-EG"/>
        </w:rPr>
        <w:t>200 468</w:t>
      </w:r>
      <w:r>
        <w:rPr>
          <w:rFonts w:ascii="Arabic Typesetting" w:hAnsi="Arabic Typesetting" w:cs="Arabic Typesetting"/>
          <w:sz w:val="34"/>
          <w:szCs w:val="34"/>
          <w:rtl/>
          <w:lang w:bidi="ar-EG"/>
        </w:rPr>
        <w:t xml:space="preserve"> مشاهدة في </w:t>
      </w:r>
      <w:r w:rsidR="00507DE2">
        <w:rPr>
          <w:rFonts w:ascii="Arabic Typesetting" w:hAnsi="Arabic Typesetting" w:cs="Arabic Typesetting" w:hint="cs"/>
          <w:sz w:val="34"/>
          <w:szCs w:val="34"/>
          <w:rtl/>
          <w:lang w:bidi="ar-EG"/>
        </w:rPr>
        <w:t>2014/15</w:t>
      </w:r>
      <w:r>
        <w:rPr>
          <w:rFonts w:ascii="Arabic Typesetting" w:hAnsi="Arabic Typesetting" w:cs="Arabic Typesetting" w:hint="cs"/>
          <w:sz w:val="34"/>
          <w:szCs w:val="34"/>
          <w:rtl/>
          <w:lang w:bidi="ar-EG"/>
        </w:rPr>
        <w:t xml:space="preserve"> </w:t>
      </w:r>
      <w:r w:rsidRPr="00634821">
        <w:rPr>
          <w:rFonts w:ascii="Arabic Typesetting" w:hAnsi="Arabic Typesetting" w:cs="Arabic Typesetting"/>
          <w:sz w:val="34"/>
          <w:szCs w:val="34"/>
          <w:rtl/>
          <w:lang w:bidi="ar-EG"/>
        </w:rPr>
        <w:t xml:space="preserve">(مقابل </w:t>
      </w:r>
      <w:r>
        <w:rPr>
          <w:rFonts w:ascii="Arabic Typesetting" w:hAnsi="Arabic Typesetting" w:cs="Arabic Typesetting" w:hint="cs"/>
          <w:sz w:val="34"/>
          <w:szCs w:val="34"/>
          <w:rtl/>
          <w:lang w:bidi="ar-EG"/>
        </w:rPr>
        <w:t>000 312</w:t>
      </w:r>
      <w:r w:rsidRPr="00634821">
        <w:rPr>
          <w:rFonts w:ascii="Arabic Typesetting" w:hAnsi="Arabic Typesetting" w:cs="Arabic Typesetting"/>
          <w:sz w:val="34"/>
          <w:szCs w:val="34"/>
          <w:rtl/>
          <w:lang w:bidi="ar-EG"/>
        </w:rPr>
        <w:t xml:space="preserve"> مشاهدة في </w:t>
      </w:r>
      <w:r w:rsidR="00507DE2">
        <w:rPr>
          <w:rFonts w:ascii="Arabic Typesetting" w:hAnsi="Arabic Typesetting" w:cs="Arabic Typesetting" w:hint="cs"/>
          <w:sz w:val="34"/>
          <w:szCs w:val="34"/>
          <w:rtl/>
          <w:lang w:bidi="ar-EG"/>
        </w:rPr>
        <w:t>2012/13</w:t>
      </w:r>
      <w:r w:rsidRPr="00634821">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و</w:t>
      </w:r>
      <w:r w:rsidRPr="00634821">
        <w:rPr>
          <w:rFonts w:ascii="Arabic Typesetting" w:hAnsi="Arabic Typesetting" w:cs="Arabic Typesetting"/>
          <w:sz w:val="34"/>
          <w:szCs w:val="34"/>
          <w:rtl/>
          <w:lang w:bidi="ar-EG"/>
        </w:rPr>
        <w:t>قدَّم البرنامج مقالات وتصاميم ومقاطع فيديو ومواد إلكترونية وغيرها من وسائل دعم التواصل للعديد من المنتجات المرتبطة بجدول أعمال التنمية، بالإضافة إلى نتائج البرامج الأخرى في جميع أقسام المنظمة.</w:t>
      </w:r>
    </w:p>
    <w:p w:rsidR="00634821" w:rsidRPr="00E439F5" w:rsidRDefault="00634821" w:rsidP="00B32938">
      <w:pPr>
        <w:keepNext/>
        <w:bidi/>
        <w:spacing w:before="120" w:after="120" w:line="340" w:lineRule="exact"/>
        <w:jc w:val="both"/>
        <w:rPr>
          <w:rFonts w:ascii="Arabic Typesetting" w:hAnsi="Arabic Typesetting" w:cs="Arabic Typesetting"/>
          <w:sz w:val="34"/>
          <w:szCs w:val="34"/>
          <w:rtl/>
          <w:lang w:bidi="ar-EG"/>
        </w:rPr>
      </w:pPr>
      <w:r w:rsidRPr="00E439F5">
        <w:rPr>
          <w:rFonts w:ascii="Arabic Typesetting" w:hAnsi="Arabic Typesetting" w:cs="Arabic Typesetting"/>
          <w:sz w:val="34"/>
          <w:szCs w:val="34"/>
          <w:rtl/>
        </w:rPr>
        <w:t>بيانات الأداء</w:t>
      </w:r>
    </w:p>
    <w:tbl>
      <w:tblPr>
        <w:bidiVisual/>
        <w:tblW w:w="4944" w:type="pct"/>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
        <w:gridCol w:w="1802"/>
        <w:gridCol w:w="2428"/>
        <w:gridCol w:w="1827"/>
        <w:gridCol w:w="2555"/>
        <w:gridCol w:w="840"/>
      </w:tblGrid>
      <w:tr w:rsidR="00634821" w:rsidRPr="00211D55" w:rsidTr="00FE7EA6">
        <w:trPr>
          <w:cantSplit/>
          <w:trHeight w:val="435"/>
        </w:trPr>
        <w:tc>
          <w:tcPr>
            <w:tcW w:w="5000" w:type="pct"/>
            <w:gridSpan w:val="6"/>
            <w:tcBorders>
              <w:top w:val="single" w:sz="4" w:space="0" w:color="auto"/>
              <w:bottom w:val="single" w:sz="4" w:space="0" w:color="auto"/>
            </w:tcBorders>
            <w:shd w:val="clear" w:color="auto" w:fill="C6D9F1" w:themeFill="text2" w:themeFillTint="33"/>
            <w:vAlign w:val="center"/>
          </w:tcPr>
          <w:p w:rsidR="00634821" w:rsidRPr="00211D55" w:rsidRDefault="00634821" w:rsidP="00062F72">
            <w:pPr>
              <w:keepNext/>
              <w:bidi/>
              <w:spacing w:after="60" w:line="280" w:lineRule="exact"/>
              <w:ind w:left="1167" w:hanging="1167"/>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النتيجة المرتقبة:</w:t>
            </w:r>
            <w:r w:rsidRPr="00211D55">
              <w:rPr>
                <w:rFonts w:ascii="Arabic Typesetting" w:hAnsi="Arabic Typesetting" w:cs="Arabic Typesetting"/>
                <w:b/>
                <w:bCs/>
                <w:sz w:val="28"/>
                <w:szCs w:val="28"/>
                <w:rtl/>
              </w:rPr>
              <w:tab/>
            </w:r>
            <w:r w:rsidRPr="00211D55">
              <w:rPr>
                <w:rFonts w:ascii="Arabic Typesetting" w:hAnsi="Arabic Typesetting" w:cs="Arabic Typesetting"/>
                <w:sz w:val="28"/>
                <w:szCs w:val="28"/>
                <w:rtl/>
              </w:rPr>
              <w:t xml:space="preserve">ھ1.8 </w:t>
            </w:r>
            <w:r w:rsidR="00161D28">
              <w:rPr>
                <w:rFonts w:ascii="Arabic Typesetting" w:hAnsi="Arabic Typesetting" w:cs="Arabic Typesetting"/>
                <w:sz w:val="28"/>
                <w:szCs w:val="28"/>
                <w:rtl/>
                <w:lang w:bidi="ar-EG"/>
              </w:rPr>
              <w:t>التواصل بفعالية أكبر مع جمهور أوسع بشأن الملكية الفكرية ودور الويبو</w:t>
            </w:r>
          </w:p>
        </w:tc>
      </w:tr>
      <w:tr w:rsidR="00634821" w:rsidRPr="00211D55" w:rsidTr="00FE7EA6">
        <w:trPr>
          <w:cantSplit/>
        </w:trPr>
        <w:tc>
          <w:tcPr>
            <w:tcW w:w="958" w:type="pct"/>
            <w:gridSpan w:val="2"/>
            <w:tcBorders>
              <w:top w:val="single" w:sz="4" w:space="0" w:color="auto"/>
            </w:tcBorders>
            <w:vAlign w:val="center"/>
          </w:tcPr>
          <w:p w:rsidR="00634821" w:rsidRPr="00211D55" w:rsidRDefault="00634821" w:rsidP="00634821">
            <w:pPr>
              <w:keepNext/>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مؤشرات الأداء</w:t>
            </w:r>
          </w:p>
        </w:tc>
        <w:tc>
          <w:tcPr>
            <w:tcW w:w="1283" w:type="pct"/>
            <w:tcBorders>
              <w:top w:val="single" w:sz="4" w:space="0" w:color="auto"/>
            </w:tcBorders>
            <w:shd w:val="clear" w:color="auto" w:fill="auto"/>
            <w:vAlign w:val="center"/>
          </w:tcPr>
          <w:p w:rsidR="00634821" w:rsidRPr="00211D55" w:rsidRDefault="00634821" w:rsidP="00634821">
            <w:pPr>
              <w:keepNext/>
              <w:bidi/>
              <w:spacing w:before="60" w:after="60" w:line="30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965" w:type="pct"/>
            <w:tcBorders>
              <w:top w:val="single" w:sz="4" w:space="0" w:color="auto"/>
            </w:tcBorders>
            <w:tcMar>
              <w:top w:w="110" w:type="dxa"/>
            </w:tcMar>
            <w:vAlign w:val="center"/>
          </w:tcPr>
          <w:p w:rsidR="00634821" w:rsidRPr="00211D55" w:rsidRDefault="00634821" w:rsidP="00634821">
            <w:pPr>
              <w:keepNext/>
              <w:bidi/>
              <w:spacing w:before="60" w:after="60" w:line="300" w:lineRule="exact"/>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rPr>
              <w:t>الأهداف</w:t>
            </w:r>
          </w:p>
        </w:tc>
        <w:tc>
          <w:tcPr>
            <w:tcW w:w="1350" w:type="pct"/>
            <w:tcBorders>
              <w:top w:val="single" w:sz="4" w:space="0" w:color="auto"/>
            </w:tcBorders>
            <w:shd w:val="clear" w:color="auto" w:fill="FFFFFF"/>
            <w:tcMar>
              <w:top w:w="110" w:type="dxa"/>
            </w:tcMar>
            <w:vAlign w:val="center"/>
          </w:tcPr>
          <w:p w:rsidR="00634821" w:rsidRPr="00211D55" w:rsidRDefault="00634821" w:rsidP="00634821">
            <w:pPr>
              <w:keepNext/>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444" w:type="pct"/>
            <w:tcBorders>
              <w:top w:val="single" w:sz="4" w:space="0" w:color="auto"/>
            </w:tcBorders>
            <w:tcMar>
              <w:top w:w="110" w:type="dxa"/>
            </w:tcMar>
            <w:vAlign w:val="center"/>
          </w:tcPr>
          <w:p w:rsidR="00634821" w:rsidRPr="00211D55" w:rsidRDefault="00634821" w:rsidP="00634821">
            <w:pPr>
              <w:keepNext/>
              <w:bidi/>
              <w:spacing w:before="60" w:after="60" w:line="30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634821" w:rsidRPr="00211D55" w:rsidTr="00FE7EA6">
        <w:trPr>
          <w:cantSplit/>
        </w:trPr>
        <w:tc>
          <w:tcPr>
            <w:tcW w:w="958" w:type="pct"/>
            <w:gridSpan w:val="2"/>
          </w:tcPr>
          <w:p w:rsidR="00634821" w:rsidRPr="00211D55" w:rsidRDefault="00634821" w:rsidP="001E34F5">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مستوى الاهتمام العام الذي تحقق خلال مختارات من أهم الأحداث/الإنجازات التي قامت بها الويبو</w:t>
            </w:r>
          </w:p>
        </w:tc>
        <w:tc>
          <w:tcPr>
            <w:tcW w:w="1283" w:type="pct"/>
            <w:shd w:val="clear" w:color="auto" w:fill="auto"/>
          </w:tcPr>
          <w:p w:rsidR="00634821" w:rsidRPr="00211D55" w:rsidRDefault="00634821" w:rsidP="001E34F5">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عينة من الأحداث = إطلاق مؤشر الابتكار العالمي السنوي (</w:t>
            </w:r>
            <w:r w:rsidRPr="00211D55">
              <w:rPr>
                <w:rFonts w:ascii="Arabic Typesetting" w:hAnsi="Arabic Typesetting" w:cs="Arabic Typesetting"/>
                <w:color w:val="002060"/>
                <w:sz w:val="28"/>
                <w:szCs w:val="28"/>
              </w:rPr>
              <w:t>GII</w:t>
            </w:r>
            <w:r w:rsidRPr="00211D55">
              <w:rPr>
                <w:rFonts w:ascii="Arabic Typesetting" w:hAnsi="Arabic Typesetting" w:cs="Arabic Typesetting"/>
                <w:color w:val="002060"/>
                <w:sz w:val="28"/>
                <w:szCs w:val="28"/>
                <w:rtl/>
              </w:rPr>
              <w:t>). إجمالي عدد مشاهدات (في فترة تبلغ 11 أسبوعاً بعد الإطلاق في عام 2013) كل المحتوى المنشور على الإنترنت (صفحات الويب، والبيان الصحفي، والرسوم المعلوماتية) = 654 45 + 685 مشاهدة للفيديوهات</w:t>
            </w:r>
          </w:p>
          <w:p w:rsidR="00634821" w:rsidRPr="00211D55" w:rsidRDefault="00634821" w:rsidP="00D41A93">
            <w:pPr>
              <w:bidi/>
              <w:spacing w:before="60" w:after="60" w:line="300" w:lineRule="exact"/>
              <w:rPr>
                <w:rFonts w:ascii="Arabic Typesetting" w:hAnsi="Arabic Typesetting" w:cs="Arabic Typesetting"/>
                <w:sz w:val="28"/>
                <w:szCs w:val="28"/>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 xml:space="preserve">(عينة من الأحداث) 111 12 مشاهدة </w:t>
            </w:r>
            <w:r w:rsidR="00D41A93">
              <w:rPr>
                <w:rFonts w:ascii="Arabic Typesetting" w:hAnsi="Arabic Typesetting" w:cs="Arabic Typesetting" w:hint="cs"/>
                <w:sz w:val="28"/>
                <w:szCs w:val="28"/>
                <w:rtl/>
              </w:rPr>
              <w:t>متفردة</w:t>
            </w:r>
            <w:r w:rsidRPr="00211D55">
              <w:rPr>
                <w:rFonts w:ascii="Arabic Typesetting" w:hAnsi="Arabic Typesetting" w:cs="Arabic Typesetting"/>
                <w:sz w:val="28"/>
                <w:szCs w:val="28"/>
                <w:rtl/>
              </w:rPr>
              <w:t xml:space="preserve"> لصفحة ال</w:t>
            </w:r>
            <w:r w:rsidR="00D41A93">
              <w:rPr>
                <w:rFonts w:ascii="Arabic Typesetting" w:hAnsi="Arabic Typesetting" w:cs="Arabic Typesetting" w:hint="cs"/>
                <w:sz w:val="28"/>
                <w:szCs w:val="28"/>
                <w:rtl/>
              </w:rPr>
              <w:t>إ</w:t>
            </w:r>
            <w:r w:rsidRPr="00211D55">
              <w:rPr>
                <w:rFonts w:ascii="Arabic Typesetting" w:hAnsi="Arabic Typesetting" w:cs="Arabic Typesetting"/>
                <w:sz w:val="28"/>
                <w:szCs w:val="28"/>
                <w:rtl/>
              </w:rPr>
              <w:t>نترنت المتعلقة بالبيان الصحفي بشأن مؤشر الابتكار العالمي لسنة 2012 خلال شهر واحد.</w:t>
            </w:r>
          </w:p>
        </w:tc>
        <w:tc>
          <w:tcPr>
            <w:tcW w:w="965" w:type="pct"/>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زيادة بنسبة 10% في عدد مشاهدات صفحة الإنترنت ذات الصلة</w:t>
            </w:r>
          </w:p>
        </w:tc>
        <w:tc>
          <w:tcPr>
            <w:tcW w:w="1350" w:type="pct"/>
            <w:shd w:val="clear" w:color="auto" w:fill="FFFFFF"/>
            <w:tcMar>
              <w:top w:w="110" w:type="dxa"/>
            </w:tcMar>
          </w:tcPr>
          <w:p w:rsidR="00634821" w:rsidRPr="00211D55" w:rsidRDefault="00634821" w:rsidP="00634821">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إطلاق مؤشر الابتكار العالمي السنوي (</w:t>
            </w:r>
            <w:r w:rsidRPr="00211D55">
              <w:rPr>
                <w:rFonts w:ascii="Arabic Typesetting" w:hAnsi="Arabic Typesetting" w:cs="Arabic Typesetting"/>
                <w:sz w:val="28"/>
                <w:szCs w:val="28"/>
              </w:rPr>
              <w:t>GII</w:t>
            </w:r>
            <w:r w:rsidRPr="00211D55">
              <w:rPr>
                <w:rFonts w:ascii="Arabic Typesetting" w:hAnsi="Arabic Typesetting" w:cs="Arabic Typesetting"/>
                <w:sz w:val="28"/>
                <w:szCs w:val="28"/>
                <w:rtl/>
              </w:rPr>
              <w:t>): إجمالي عدد مشاهدات (في فترة تبلغ 11 أسبوعاً بعد الإطلاق) كل المحتوى المنشور على الإنترنت = 062 53 + 563 9 مشاهدة للفيديوهات؛ و475 140 مشاهدة للمحتوى المنشور على الإنترنت + 653 10 مشاهدة للفيديوهات في عام 2015</w:t>
            </w:r>
          </w:p>
          <w:p w:rsidR="00634821" w:rsidRPr="00211D55" w:rsidRDefault="00634821" w:rsidP="00634821">
            <w:pPr>
              <w:bidi/>
              <w:spacing w:before="60" w:after="60" w:line="300" w:lineRule="exact"/>
              <w:rPr>
                <w:rFonts w:ascii="Arabic Typesetting" w:hAnsi="Arabic Typesetting" w:cs="Arabic Typesetting"/>
                <w:sz w:val="28"/>
                <w:szCs w:val="28"/>
                <w:highlight w:val="yellow"/>
              </w:rPr>
            </w:pPr>
            <w:r w:rsidRPr="00211D55">
              <w:rPr>
                <w:rFonts w:ascii="Arabic Typesetting" w:hAnsi="Arabic Typesetting" w:cs="Arabic Typesetting"/>
                <w:sz w:val="28"/>
                <w:szCs w:val="28"/>
                <w:rtl/>
              </w:rPr>
              <w:t xml:space="preserve">الزيادة (بين 2015 و2013) = +208% للمحتوى المنشور </w:t>
            </w:r>
            <w:r w:rsidR="00FE7EA6" w:rsidRPr="00211D55">
              <w:rPr>
                <w:rFonts w:ascii="Arabic Typesetting" w:hAnsi="Arabic Typesetting" w:cs="Arabic Typesetting"/>
                <w:sz w:val="28"/>
                <w:szCs w:val="28"/>
                <w:rtl/>
              </w:rPr>
              <w:t>على الإنترنت و+1455% للفيديوهات</w:t>
            </w:r>
          </w:p>
        </w:tc>
        <w:tc>
          <w:tcPr>
            <w:tcW w:w="444" w:type="pct"/>
            <w:tcMar>
              <w:top w:w="110" w:type="dxa"/>
            </w:tcMar>
          </w:tcPr>
          <w:p w:rsidR="00634821" w:rsidRPr="00211D55" w:rsidRDefault="00634821" w:rsidP="001E34F5">
            <w:pPr>
              <w:bidi/>
              <w:spacing w:before="60" w:after="60" w:line="300" w:lineRule="exact"/>
              <w:jc w:val="center"/>
              <w:rPr>
                <w:rFonts w:ascii="Arabic Typesetting" w:hAnsi="Arabic Typesetting" w:cs="Arabic Typesetting"/>
                <w:b/>
                <w:color w:val="00B050"/>
                <w:sz w:val="28"/>
                <w:szCs w:val="28"/>
              </w:rPr>
            </w:pPr>
            <w:r w:rsidRPr="00211D55">
              <w:rPr>
                <w:rFonts w:ascii="Arabic Typesetting" w:hAnsi="Arabic Typesetting" w:cs="Arabic Typesetting"/>
                <w:b/>
                <w:bCs/>
                <w:color w:val="00B050"/>
                <w:sz w:val="28"/>
                <w:szCs w:val="28"/>
                <w:rtl/>
              </w:rPr>
              <w:t>محقق كلياً</w:t>
            </w:r>
          </w:p>
        </w:tc>
      </w:tr>
      <w:tr w:rsidR="00634821" w:rsidRPr="00211D55" w:rsidTr="00FE7EA6">
        <w:trPr>
          <w:gridBefore w:val="1"/>
          <w:wBefore w:w="6" w:type="pct"/>
          <w:cantSplit/>
          <w:trHeight w:val="232"/>
        </w:trPr>
        <w:tc>
          <w:tcPr>
            <w:tcW w:w="952" w:type="pct"/>
          </w:tcPr>
          <w:p w:rsidR="00634821" w:rsidRPr="00211D55" w:rsidRDefault="00634821" w:rsidP="001E34F5">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lastRenderedPageBreak/>
              <w:t>النسبة المئوية لأصحاب المصالح الذين لديهم اعتراف إيجابي بمهمة الويبو وأنشطتها والصورة التي تتمتع بها كمنظمة</w:t>
            </w:r>
          </w:p>
        </w:tc>
        <w:tc>
          <w:tcPr>
            <w:tcW w:w="1283" w:type="pct"/>
            <w:shd w:val="clear" w:color="auto" w:fill="auto"/>
          </w:tcPr>
          <w:p w:rsidR="00634821" w:rsidRPr="00211D55" w:rsidRDefault="00634821" w:rsidP="001E34F5">
            <w:pPr>
              <w:bidi/>
              <w:spacing w:before="60" w:after="60" w:line="30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يرى 87% من المشاركين في الاستقصاء أن صورة الويبو لدى الجمهور جيدة أو جيدة جدا أو ممتازة. ويرى 81% من المشاركين أن الويبو هي المحفل العالمي لتعزيز الملكية الفكرية (نتائج استقصاء الويبو بشأن التوجه نحو تقديم الخدمات، أغسطس 2013).</w:t>
            </w:r>
            <w:r w:rsidRPr="00211D55">
              <w:rPr>
                <w:rFonts w:ascii="Arabic Typesetting" w:hAnsi="Arabic Typesetting" w:cs="Arabic Typesetting"/>
                <w:sz w:val="28"/>
                <w:szCs w:val="28"/>
                <w:vertAlign w:val="superscript"/>
                <w:rtl/>
              </w:rPr>
              <w:t xml:space="preserve"> </w:t>
            </w:r>
            <w:r w:rsidRPr="00F96634">
              <w:rPr>
                <w:rFonts w:ascii="Arabic Typesetting" w:hAnsi="Arabic Typesetting" w:cs="Arabic Typesetting"/>
                <w:color w:val="002060"/>
                <w:sz w:val="28"/>
                <w:szCs w:val="28"/>
                <w:vertAlign w:val="superscript"/>
              </w:rPr>
              <w:footnoteReference w:id="105"/>
            </w:r>
          </w:p>
          <w:p w:rsidR="00634821" w:rsidRPr="00211D55" w:rsidRDefault="00634821" w:rsidP="001E34F5">
            <w:pPr>
              <w:bidi/>
              <w:spacing w:before="60" w:after="60" w:line="300" w:lineRule="exact"/>
              <w:rPr>
                <w:rFonts w:ascii="Arabic Typesetting" w:hAnsi="Arabic Typesetting" w:cs="Arabic Typesetting"/>
                <w:iCs/>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p>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65% من المشاركين في الاستقصاء ينظرون إلى الويبو كرائد عالمي في حماية الملكية الفكرية والنهوض بها (استقصاء الويبو بشأن تصورات أصحاب المصالح، يناير 2012)</w:t>
            </w:r>
          </w:p>
        </w:tc>
        <w:tc>
          <w:tcPr>
            <w:tcW w:w="965" w:type="pct"/>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75%</w:t>
            </w:r>
          </w:p>
        </w:tc>
        <w:tc>
          <w:tcPr>
            <w:tcW w:w="1350" w:type="pct"/>
            <w:shd w:val="clear" w:color="auto" w:fill="FFFFFF"/>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يرى 70% من المشاركين في الاستقصاء أن الويبو هي المحفل العالمي لتعزيز الخدمات والسياسات والمعلومات وأشكال التعاون المرتبطة بالملكية الفكرية</w:t>
            </w:r>
            <w:r w:rsidRPr="00211D55">
              <w:rPr>
                <w:rFonts w:ascii="Arabic Typesetting" w:hAnsi="Arabic Typesetting" w:cs="Arabic Typesetting"/>
                <w:sz w:val="28"/>
                <w:szCs w:val="28"/>
                <w:vertAlign w:val="superscript"/>
                <w:rtl/>
              </w:rPr>
              <w:t xml:space="preserve"> </w:t>
            </w:r>
            <w:r w:rsidRPr="00F96634">
              <w:rPr>
                <w:rFonts w:ascii="Arabic Typesetting" w:hAnsi="Arabic Typesetting" w:cs="Arabic Typesetting"/>
                <w:sz w:val="28"/>
                <w:szCs w:val="28"/>
                <w:vertAlign w:val="superscript"/>
              </w:rPr>
              <w:footnoteReference w:id="106"/>
            </w:r>
            <w:r w:rsidRPr="00211D55">
              <w:rPr>
                <w:rFonts w:ascii="Arabic Typesetting" w:hAnsi="Arabic Typesetting" w:cs="Arabic Typesetting"/>
                <w:sz w:val="28"/>
                <w:szCs w:val="28"/>
                <w:rtl/>
              </w:rPr>
              <w:t>، و85% من المشاركين يوافقون أو يوافقون بشدة على أن الويبو تتمتع بسمعة طيبة عموماً.</w:t>
            </w:r>
          </w:p>
          <w:p w:rsidR="00634821" w:rsidRPr="00211D55" w:rsidRDefault="00634821" w:rsidP="00210AA8">
            <w:pPr>
              <w:bidi/>
              <w:spacing w:before="60" w:after="60" w:line="300" w:lineRule="exact"/>
              <w:rPr>
                <w:rFonts w:ascii="Arabic Typesetting" w:hAnsi="Arabic Typesetting" w:cs="Arabic Typesetting"/>
                <w:i/>
                <w:iCs/>
                <w:sz w:val="28"/>
                <w:szCs w:val="28"/>
                <w:highlight w:val="yellow"/>
              </w:rPr>
            </w:pPr>
            <w:r w:rsidRPr="00211D55">
              <w:rPr>
                <w:rFonts w:ascii="Arabic Typesetting" w:hAnsi="Arabic Typesetting" w:cs="Arabic Typesetting"/>
                <w:i/>
                <w:iCs/>
                <w:sz w:val="28"/>
                <w:szCs w:val="28"/>
                <w:rtl/>
              </w:rPr>
              <w:t>(المصدر: استقصاء الويبو بشأن تصورات أصحاب المصالح، يونيو</w:t>
            </w:r>
            <w:r w:rsidR="00210AA8" w:rsidRPr="00211D55">
              <w:rPr>
                <w:rFonts w:ascii="Arabic Typesetting" w:hAnsi="Arabic Typesetting" w:cs="Arabic Typesetting"/>
                <w:i/>
                <w:iCs/>
                <w:sz w:val="28"/>
                <w:szCs w:val="28"/>
                <w:rtl/>
              </w:rPr>
              <w:t> </w:t>
            </w:r>
            <w:r w:rsidRPr="00211D55">
              <w:rPr>
                <w:rFonts w:ascii="Arabic Typesetting" w:hAnsi="Arabic Typesetting" w:cs="Arabic Typesetting"/>
                <w:i/>
                <w:iCs/>
                <w:sz w:val="28"/>
                <w:szCs w:val="28"/>
                <w:rtl/>
              </w:rPr>
              <w:t>2014)</w:t>
            </w:r>
          </w:p>
        </w:tc>
        <w:tc>
          <w:tcPr>
            <w:tcW w:w="444" w:type="pct"/>
            <w:tcMar>
              <w:top w:w="110" w:type="dxa"/>
            </w:tcMar>
          </w:tcPr>
          <w:p w:rsidR="00634821" w:rsidRPr="00211D55" w:rsidRDefault="00634821" w:rsidP="001E34F5">
            <w:pPr>
              <w:bidi/>
              <w:spacing w:before="60" w:after="60" w:line="30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r w:rsidR="00634821" w:rsidRPr="00211D55" w:rsidTr="00FE7EA6">
        <w:trPr>
          <w:gridBefore w:val="1"/>
          <w:wBefore w:w="6" w:type="pct"/>
          <w:cantSplit/>
          <w:trHeight w:val="1989"/>
        </w:trPr>
        <w:tc>
          <w:tcPr>
            <w:tcW w:w="952" w:type="pct"/>
          </w:tcPr>
          <w:p w:rsidR="00634821" w:rsidRPr="00211D55" w:rsidRDefault="00634821" w:rsidP="001E34F5">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النسبة المئوية لعدد مشاهدات مضمون المقالات الصحفية والصور والفيديو المتعلقة بالويبو</w:t>
            </w:r>
          </w:p>
        </w:tc>
        <w:tc>
          <w:tcPr>
            <w:tcW w:w="1283" w:type="pct"/>
            <w:shd w:val="clear" w:color="auto" w:fill="auto"/>
          </w:tcPr>
          <w:p w:rsidR="00634821" w:rsidRPr="00211D55" w:rsidRDefault="00634821" w:rsidP="00F60B87">
            <w:pPr>
              <w:bidi/>
              <w:spacing w:before="60" w:after="60" w:line="300" w:lineRule="exact"/>
              <w:rPr>
                <w:rFonts w:ascii="Arabic Typesetting" w:hAnsi="Arabic Typesetting" w:cs="Arabic Typesetting"/>
                <w:i/>
                <w:color w:val="002060"/>
                <w:sz w:val="28"/>
                <w:szCs w:val="28"/>
              </w:rPr>
            </w:pPr>
            <w:r w:rsidRPr="00211D55">
              <w:rPr>
                <w:rFonts w:ascii="Arabic Typesetting" w:hAnsi="Arabic Typesetting" w:cs="Arabic Typesetting"/>
                <w:i/>
                <w:color w:val="002060"/>
                <w:sz w:val="28"/>
                <w:szCs w:val="28"/>
                <w:rtl/>
              </w:rPr>
              <w:t>أساس المقارنة المُحدَّث في نهاية 2013</w:t>
            </w:r>
            <w:r w:rsidR="00F60B87">
              <w:rPr>
                <w:rFonts w:ascii="Arabic Typesetting" w:hAnsi="Arabic Typesetting" w:cs="Arabic Typesetting" w:hint="cs"/>
                <w:i/>
                <w:color w:val="002060"/>
                <w:sz w:val="28"/>
                <w:szCs w:val="28"/>
                <w:rtl/>
              </w:rPr>
              <w:t>:</w:t>
            </w:r>
          </w:p>
          <w:p w:rsidR="00634821" w:rsidRPr="00211D55" w:rsidRDefault="00634821" w:rsidP="003C2A9C">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"1" كان متوسط عدد المشاهدات الفريدة لكل بيان صحفي 506 5 مشاهد</w:t>
            </w:r>
            <w:r w:rsidR="003C2A9C">
              <w:rPr>
                <w:rFonts w:ascii="Arabic Typesetting" w:hAnsi="Arabic Typesetting" w:cs="Arabic Typesetting" w:hint="cs"/>
                <w:color w:val="002060"/>
                <w:sz w:val="28"/>
                <w:szCs w:val="28"/>
                <w:rtl/>
              </w:rPr>
              <w:t>ات</w:t>
            </w:r>
            <w:r w:rsidRPr="00211D55">
              <w:rPr>
                <w:rFonts w:ascii="Arabic Typesetting" w:hAnsi="Arabic Typesetting" w:cs="Arabic Typesetting"/>
                <w:color w:val="002060"/>
                <w:sz w:val="28"/>
                <w:szCs w:val="28"/>
                <w:rtl/>
              </w:rPr>
              <w:t>. (169 143 مشاهدة للبيانات الصحفية الست والعشرين الصادرة في 2013 بجميع اللغات)</w:t>
            </w:r>
          </w:p>
          <w:p w:rsidR="00634821" w:rsidRPr="00211D55" w:rsidRDefault="00634821" w:rsidP="00210AA8">
            <w:pPr>
              <w:bidi/>
              <w:spacing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"2" كان متوسط عدد المشاهدات لكل مقطع فيديو 612 16 مشاهدة (601 787 3 مشاهدة لعدد مقاطع فيديو بلغ 228</w:t>
            </w:r>
            <w:r w:rsidRPr="00F96634">
              <w:rPr>
                <w:rFonts w:ascii="Arabic Typesetting" w:hAnsi="Arabic Typesetting" w:cs="Arabic Typesetting"/>
                <w:color w:val="002060"/>
                <w:sz w:val="28"/>
                <w:szCs w:val="28"/>
                <w:vertAlign w:val="superscript"/>
              </w:rPr>
              <w:footnoteReference w:id="107"/>
            </w:r>
            <w:r w:rsidRPr="00211D55">
              <w:rPr>
                <w:rFonts w:ascii="Arabic Typesetting" w:hAnsi="Arabic Typesetting" w:cs="Arabic Typesetting"/>
                <w:color w:val="002060"/>
                <w:sz w:val="28"/>
                <w:szCs w:val="28"/>
                <w:rtl/>
              </w:rPr>
              <w:t xml:space="preserve"> مقطعاً)</w:t>
            </w:r>
          </w:p>
          <w:p w:rsidR="00634821" w:rsidRPr="00211D55" w:rsidRDefault="00634821" w:rsidP="00210AA8">
            <w:pPr>
              <w:bidi/>
              <w:spacing w:before="120" w:after="60" w:line="300" w:lineRule="exact"/>
              <w:rPr>
                <w:rFonts w:ascii="Arabic Typesetting" w:hAnsi="Arabic Typesetting" w:cs="Arabic Typesetting"/>
                <w:sz w:val="28"/>
                <w:szCs w:val="28"/>
              </w:rPr>
            </w:pPr>
            <w:r w:rsidRPr="00211D55">
              <w:rPr>
                <w:rFonts w:ascii="Arabic Typesetting" w:hAnsi="Arabic Typesetting" w:cs="Arabic Typesetting"/>
                <w:color w:val="002060"/>
                <w:sz w:val="28"/>
                <w:szCs w:val="28"/>
                <w:rtl/>
              </w:rPr>
              <w:t>"3" إجمالي عدد مشاهدات الصور على موقع فليكر: 900 ألف</w:t>
            </w:r>
          </w:p>
        </w:tc>
        <w:tc>
          <w:tcPr>
            <w:tcW w:w="965" w:type="pct"/>
            <w:tcMar>
              <w:top w:w="110" w:type="dxa"/>
            </w:tcMar>
          </w:tcPr>
          <w:p w:rsidR="00210AA8" w:rsidRPr="00211D55" w:rsidRDefault="00210AA8" w:rsidP="00210AA8">
            <w:pPr>
              <w:bidi/>
              <w:spacing w:line="300" w:lineRule="exact"/>
              <w:rPr>
                <w:rFonts w:ascii="Arabic Typesetting" w:hAnsi="Arabic Typesetting" w:cs="Arabic Typesetting"/>
                <w:sz w:val="28"/>
                <w:szCs w:val="28"/>
                <w:rtl/>
              </w:rPr>
            </w:pPr>
          </w:p>
          <w:p w:rsidR="00210AA8" w:rsidRPr="00211D55" w:rsidRDefault="00210AA8" w:rsidP="00210AA8">
            <w:pPr>
              <w:bidi/>
              <w:spacing w:line="300" w:lineRule="exact"/>
              <w:rPr>
                <w:rFonts w:ascii="Arabic Typesetting" w:hAnsi="Arabic Typesetting" w:cs="Arabic Typesetting"/>
                <w:sz w:val="28"/>
                <w:szCs w:val="28"/>
                <w:rtl/>
              </w:rPr>
            </w:pPr>
          </w:p>
          <w:p w:rsidR="00634821" w:rsidRPr="00211D55" w:rsidRDefault="00634821" w:rsidP="00210AA8">
            <w:pPr>
              <w:bidi/>
              <w:spacing w:before="12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"1" زيادة بنسبة 10% في متوسط عدد المشاهدات لكل بيان صحفي</w:t>
            </w:r>
          </w:p>
        </w:tc>
        <w:tc>
          <w:tcPr>
            <w:tcW w:w="1350" w:type="pct"/>
            <w:shd w:val="clear" w:color="auto" w:fill="FFFFFF"/>
            <w:tcMar>
              <w:top w:w="110" w:type="dxa"/>
            </w:tcMar>
          </w:tcPr>
          <w:p w:rsidR="00210AA8" w:rsidRPr="00211D55" w:rsidRDefault="00210AA8" w:rsidP="001E34F5">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في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w:t>
            </w:r>
          </w:p>
          <w:p w:rsidR="00210AA8" w:rsidRPr="00211D55" w:rsidRDefault="00210AA8" w:rsidP="00210AA8">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"1" متوسط عدد المشاهدات الفريدة لكل بيان صحفي 4467 (</w:t>
            </w:r>
            <w:r w:rsidRPr="00211D55">
              <w:rPr>
                <w:rFonts w:ascii="Arabic Typesetting" w:hAnsi="Arabic Typesetting" w:cs="Arabic Typesetting"/>
                <w:sz w:val="28"/>
                <w:szCs w:val="28"/>
                <w:rtl/>
              </w:rPr>
              <w:noBreakHyphen/>
              <w:t xml:space="preserve">1.6% مقارنة بالثنائية </w:t>
            </w:r>
            <w:r w:rsidR="00507DE2">
              <w:rPr>
                <w:rFonts w:ascii="Arabic Typesetting" w:hAnsi="Arabic Typesetting" w:cs="Arabic Typesetting"/>
                <w:sz w:val="28"/>
                <w:szCs w:val="28"/>
                <w:rtl/>
              </w:rPr>
              <w:t>2012/13</w:t>
            </w:r>
            <w:r w:rsidRPr="00211D55">
              <w:rPr>
                <w:rFonts w:ascii="Arabic Typesetting" w:hAnsi="Arabic Typesetting" w:cs="Arabic Typesetting"/>
                <w:sz w:val="28"/>
                <w:szCs w:val="28"/>
                <w:rtl/>
              </w:rPr>
              <w:t>)</w:t>
            </w:r>
          </w:p>
          <w:p w:rsidR="00210AA8" w:rsidRPr="00211D55" w:rsidRDefault="00210AA8" w:rsidP="009A3712">
            <w:pPr>
              <w:numPr>
                <w:ilvl w:val="0"/>
                <w:numId w:val="17"/>
              </w:numPr>
              <w:bidi/>
              <w:spacing w:before="60" w:after="60" w:line="300" w:lineRule="exact"/>
              <w:ind w:left="284" w:hanging="284"/>
              <w:rPr>
                <w:rFonts w:ascii="Arabic Typesetting" w:hAnsi="Arabic Typesetting" w:cs="Arabic Typesetting"/>
                <w:sz w:val="28"/>
                <w:szCs w:val="28"/>
              </w:rPr>
            </w:pPr>
            <w:r w:rsidRPr="00211D55">
              <w:rPr>
                <w:rFonts w:ascii="Arabic Typesetting" w:hAnsi="Arabic Typesetting" w:cs="Arabic Typesetting"/>
                <w:sz w:val="28"/>
                <w:szCs w:val="28"/>
                <w:rtl/>
              </w:rPr>
              <w:t>173 75 مشاهدة لثمانية عشر بياناً صحفياً صدر في عام 2014 (-24.2% مقارنة بعام 2013)</w:t>
            </w:r>
          </w:p>
          <w:p w:rsidR="00634821" w:rsidRPr="00211D55" w:rsidRDefault="00210AA8" w:rsidP="009A3712">
            <w:pPr>
              <w:numPr>
                <w:ilvl w:val="0"/>
                <w:numId w:val="17"/>
              </w:numPr>
              <w:bidi/>
              <w:spacing w:before="60" w:after="60" w:line="300" w:lineRule="exact"/>
              <w:ind w:left="284" w:hanging="284"/>
              <w:rPr>
                <w:rFonts w:ascii="Arabic Typesetting" w:hAnsi="Arabic Typesetting" w:cs="Arabic Typesetting"/>
                <w:sz w:val="28"/>
                <w:szCs w:val="28"/>
              </w:rPr>
            </w:pPr>
            <w:r w:rsidRPr="00211D55">
              <w:rPr>
                <w:rFonts w:ascii="Arabic Typesetting" w:hAnsi="Arabic Typesetting" w:cs="Arabic Typesetting"/>
                <w:sz w:val="28"/>
                <w:szCs w:val="28"/>
                <w:rtl/>
              </w:rPr>
              <w:t>232 72 مشاهدة لخمسة عشر بياناً صحفياً صدر في عام 2015 (-12.5% مقارنة بعام 2014)</w:t>
            </w:r>
          </w:p>
        </w:tc>
        <w:tc>
          <w:tcPr>
            <w:tcW w:w="444" w:type="pct"/>
            <w:tcMar>
              <w:top w:w="110" w:type="dxa"/>
            </w:tcMar>
          </w:tcPr>
          <w:p w:rsidR="00634821" w:rsidRPr="00211D55" w:rsidRDefault="00634821" w:rsidP="00210AA8">
            <w:pPr>
              <w:bidi/>
              <w:spacing w:before="60" w:after="60" w:line="300" w:lineRule="exact"/>
              <w:jc w:val="center"/>
              <w:rPr>
                <w:rFonts w:ascii="Arabic Typesetting" w:hAnsi="Arabic Typesetting" w:cs="Arabic Typesetting"/>
                <w:b/>
                <w:bCs/>
                <w:color w:val="FF0000"/>
                <w:sz w:val="28"/>
                <w:szCs w:val="28"/>
                <w:lang w:bidi="ar-EG"/>
              </w:rPr>
            </w:pPr>
            <w:r w:rsidRPr="00211D55">
              <w:rPr>
                <w:rFonts w:ascii="Arabic Typesetting" w:hAnsi="Arabic Typesetting" w:cs="Arabic Typesetting"/>
                <w:b/>
                <w:bCs/>
                <w:color w:val="FF0000"/>
                <w:sz w:val="28"/>
                <w:szCs w:val="28"/>
                <w:rtl/>
              </w:rPr>
              <w:t xml:space="preserve">غير </w:t>
            </w:r>
            <w:r w:rsidR="00210AA8" w:rsidRPr="00211D55">
              <w:rPr>
                <w:rFonts w:ascii="Arabic Typesetting" w:hAnsi="Arabic Typesetting" w:cs="Arabic Typesetting"/>
                <w:b/>
                <w:bCs/>
                <w:color w:val="FF0000"/>
                <w:sz w:val="28"/>
                <w:szCs w:val="28"/>
                <w:rtl/>
              </w:rPr>
              <w:t>محقق</w:t>
            </w:r>
          </w:p>
        </w:tc>
      </w:tr>
      <w:tr w:rsidR="00210AA8" w:rsidRPr="00211D55" w:rsidTr="00FE7EA6">
        <w:trPr>
          <w:gridBefore w:val="1"/>
          <w:wBefore w:w="6" w:type="pct"/>
          <w:cantSplit/>
          <w:trHeight w:val="1989"/>
        </w:trPr>
        <w:tc>
          <w:tcPr>
            <w:tcW w:w="952" w:type="pct"/>
          </w:tcPr>
          <w:p w:rsidR="00210AA8" w:rsidRPr="00211D55" w:rsidRDefault="00210AA8" w:rsidP="001E34F5">
            <w:pPr>
              <w:bidi/>
              <w:spacing w:before="60" w:after="60" w:line="300" w:lineRule="exact"/>
              <w:rPr>
                <w:rFonts w:ascii="Arabic Typesetting" w:hAnsi="Arabic Typesetting" w:cs="Arabic Typesetting"/>
                <w:sz w:val="28"/>
                <w:szCs w:val="28"/>
                <w:rtl/>
              </w:rPr>
            </w:pPr>
          </w:p>
        </w:tc>
        <w:tc>
          <w:tcPr>
            <w:tcW w:w="1283" w:type="pct"/>
            <w:shd w:val="clear" w:color="auto" w:fill="auto"/>
          </w:tcPr>
          <w:p w:rsidR="00210AA8" w:rsidRPr="00211D55" w:rsidRDefault="00210AA8" w:rsidP="00210AA8">
            <w:pPr>
              <w:bidi/>
              <w:spacing w:before="60" w:after="60" w:line="300" w:lineRule="exact"/>
              <w:rPr>
                <w:rFonts w:ascii="Arabic Typesetting" w:hAnsi="Arabic Typesetting" w:cs="Arabic Typesetting"/>
                <w:iCs/>
                <w:sz w:val="28"/>
                <w:szCs w:val="28"/>
                <w:rtl/>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p>
          <w:p w:rsidR="00210AA8" w:rsidRPr="00211D55" w:rsidRDefault="00210AA8" w:rsidP="00210AA8">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"1" في 2012، كان متوسط عدد المشاهدات الفريدة لكل بيان صحفي 575 3 مشاهدة. (958 92 مشاهدة للمقالات الست والعشرين الصادرة في 2012)</w:t>
            </w:r>
          </w:p>
          <w:p w:rsidR="00210AA8" w:rsidRPr="00211D55" w:rsidRDefault="00210AA8" w:rsidP="00210AA8">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"2" في 2012، كان متوسط عدد المشاهدات لكل مقطع فيديو 280 3 مشاهدة (888 478 مشاهدة لإجمالي عدد مقاطع فيديو بلغ 146 مقطعاً)</w:t>
            </w:r>
          </w:p>
          <w:p w:rsidR="00210AA8" w:rsidRPr="00211D55" w:rsidRDefault="00210AA8" w:rsidP="00210AA8">
            <w:pPr>
              <w:bidi/>
              <w:spacing w:before="60" w:after="60" w:line="300" w:lineRule="exact"/>
              <w:rPr>
                <w:rFonts w:ascii="Arabic Typesetting" w:hAnsi="Arabic Typesetting" w:cs="Arabic Typesetting"/>
                <w:i/>
                <w:color w:val="002060"/>
                <w:sz w:val="28"/>
                <w:szCs w:val="28"/>
                <w:rtl/>
              </w:rPr>
            </w:pPr>
            <w:r w:rsidRPr="00211D55">
              <w:rPr>
                <w:rFonts w:ascii="Arabic Typesetting" w:hAnsi="Arabic Typesetting" w:cs="Arabic Typesetting"/>
                <w:sz w:val="28"/>
                <w:szCs w:val="28"/>
                <w:rtl/>
              </w:rPr>
              <w:t>"3" إجمالي عدد مشاهدات الصور على موقع فليكر في نهاية 2012: 000 155</w:t>
            </w:r>
          </w:p>
        </w:tc>
        <w:tc>
          <w:tcPr>
            <w:tcW w:w="965" w:type="pct"/>
            <w:tcMar>
              <w:top w:w="110" w:type="dxa"/>
            </w:tcMar>
          </w:tcPr>
          <w:p w:rsidR="00210AA8" w:rsidRPr="00211D55" w:rsidRDefault="00210AA8" w:rsidP="00210AA8">
            <w:pPr>
              <w:bidi/>
              <w:spacing w:after="120" w:line="300" w:lineRule="exact"/>
              <w:rPr>
                <w:rFonts w:ascii="Arabic Typesetting" w:hAnsi="Arabic Typesetting" w:cs="Arabic Typesetting"/>
                <w:sz w:val="28"/>
                <w:szCs w:val="28"/>
                <w:rtl/>
              </w:rPr>
            </w:pPr>
          </w:p>
          <w:p w:rsidR="00210AA8" w:rsidRPr="00211D55" w:rsidRDefault="00210AA8" w:rsidP="00210AA8">
            <w:pPr>
              <w:bidi/>
              <w:spacing w:after="120" w:line="300" w:lineRule="exact"/>
              <w:rPr>
                <w:rFonts w:ascii="Arabic Typesetting" w:hAnsi="Arabic Typesetting" w:cs="Arabic Typesetting"/>
                <w:sz w:val="28"/>
                <w:szCs w:val="28"/>
                <w:rtl/>
              </w:rPr>
            </w:pPr>
          </w:p>
          <w:p w:rsidR="00210AA8" w:rsidRPr="00211D55" w:rsidRDefault="00210AA8" w:rsidP="00210AA8">
            <w:pPr>
              <w:bidi/>
              <w:spacing w:after="120" w:line="300" w:lineRule="exact"/>
              <w:rPr>
                <w:rFonts w:ascii="Arabic Typesetting" w:hAnsi="Arabic Typesetting" w:cs="Arabic Typesetting"/>
                <w:sz w:val="28"/>
                <w:szCs w:val="28"/>
                <w:rtl/>
              </w:rPr>
            </w:pPr>
          </w:p>
          <w:p w:rsidR="00210AA8" w:rsidRPr="00211D55" w:rsidRDefault="00210AA8" w:rsidP="00210AA8">
            <w:pPr>
              <w:bidi/>
              <w:spacing w:after="120" w:line="300" w:lineRule="exact"/>
              <w:rPr>
                <w:rFonts w:ascii="Arabic Typesetting" w:hAnsi="Arabic Typesetting" w:cs="Arabic Typesetting"/>
                <w:sz w:val="28"/>
                <w:szCs w:val="28"/>
                <w:rtl/>
              </w:rPr>
            </w:pPr>
          </w:p>
          <w:p w:rsidR="00210AA8" w:rsidRPr="00211D55" w:rsidRDefault="00210AA8" w:rsidP="00210AA8">
            <w:pPr>
              <w:bidi/>
              <w:spacing w:after="120" w:line="300" w:lineRule="exact"/>
              <w:rPr>
                <w:rFonts w:ascii="Arabic Typesetting" w:hAnsi="Arabic Typesetting" w:cs="Arabic Typesetting"/>
                <w:sz w:val="28"/>
                <w:szCs w:val="28"/>
                <w:rtl/>
              </w:rPr>
            </w:pPr>
          </w:p>
          <w:p w:rsidR="00210AA8" w:rsidRPr="00211D55" w:rsidRDefault="00210AA8" w:rsidP="00210AA8">
            <w:pPr>
              <w:bidi/>
              <w:spacing w:after="120" w:line="300" w:lineRule="exact"/>
              <w:rPr>
                <w:rFonts w:ascii="Arabic Typesetting" w:hAnsi="Arabic Typesetting" w:cs="Arabic Typesetting"/>
                <w:sz w:val="28"/>
                <w:szCs w:val="28"/>
                <w:rtl/>
              </w:rPr>
            </w:pPr>
          </w:p>
          <w:p w:rsidR="00210AA8" w:rsidRPr="00211D55" w:rsidRDefault="00210AA8" w:rsidP="00210AA8">
            <w:pPr>
              <w:bidi/>
              <w:spacing w:after="12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"2" زيادة بنسبة 10% في متوسط عدد المشاهدات لكل مقطع فيديو على قناة الويبو على موقع يوتيوب</w:t>
            </w:r>
          </w:p>
          <w:p w:rsidR="00210AA8" w:rsidRPr="00211D55" w:rsidRDefault="00210AA8" w:rsidP="006767AA">
            <w:pPr>
              <w:bidi/>
              <w:spacing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"3" الهدف: </w:t>
            </w:r>
            <w:r w:rsidR="006767AA">
              <w:rPr>
                <w:rFonts w:ascii="Arabic Typesetting" w:hAnsi="Arabic Typesetting" w:cs="Arabic Typesetting" w:hint="cs"/>
                <w:sz w:val="28"/>
                <w:szCs w:val="28"/>
                <w:rtl/>
              </w:rPr>
              <w:t>000 300</w:t>
            </w:r>
            <w:r w:rsidRPr="00211D55">
              <w:rPr>
                <w:rFonts w:ascii="Arabic Typesetting" w:hAnsi="Arabic Typesetting" w:cs="Arabic Typesetting"/>
                <w:sz w:val="28"/>
                <w:szCs w:val="28"/>
                <w:rtl/>
              </w:rPr>
              <w:t xml:space="preserve"> مشاهدة إضافية للصور على موقع فليكر</w:t>
            </w:r>
          </w:p>
        </w:tc>
        <w:tc>
          <w:tcPr>
            <w:tcW w:w="1350" w:type="pct"/>
            <w:shd w:val="clear" w:color="auto" w:fill="FFFFFF"/>
            <w:tcMar>
              <w:top w:w="110" w:type="dxa"/>
            </w:tcMar>
          </w:tcPr>
          <w:p w:rsidR="00210AA8" w:rsidRPr="00211D55" w:rsidRDefault="00210AA8" w:rsidP="00210AA8">
            <w:pPr>
              <w:bidi/>
              <w:spacing w:before="60" w:after="60" w:line="300" w:lineRule="exact"/>
              <w:rPr>
                <w:rFonts w:ascii="Arabic Typesetting" w:hAnsi="Arabic Typesetting" w:cs="Arabic Typesetting"/>
                <w:sz w:val="28"/>
                <w:szCs w:val="28"/>
                <w:rtl/>
              </w:rPr>
            </w:pPr>
          </w:p>
          <w:p w:rsidR="00210AA8" w:rsidRPr="00211D55" w:rsidRDefault="00210AA8" w:rsidP="00210AA8">
            <w:pPr>
              <w:bidi/>
              <w:spacing w:before="60" w:after="60" w:line="300" w:lineRule="exact"/>
              <w:rPr>
                <w:rFonts w:ascii="Arabic Typesetting" w:hAnsi="Arabic Typesetting" w:cs="Arabic Typesetting"/>
                <w:sz w:val="28"/>
                <w:szCs w:val="28"/>
                <w:rtl/>
              </w:rPr>
            </w:pPr>
          </w:p>
          <w:p w:rsidR="00210AA8" w:rsidRPr="00211D55" w:rsidRDefault="00210AA8" w:rsidP="00210AA8">
            <w:pPr>
              <w:bidi/>
              <w:spacing w:before="60" w:after="60" w:line="300" w:lineRule="exact"/>
              <w:rPr>
                <w:rFonts w:ascii="Arabic Typesetting" w:hAnsi="Arabic Typesetting" w:cs="Arabic Typesetting"/>
                <w:sz w:val="28"/>
                <w:szCs w:val="28"/>
                <w:rtl/>
              </w:rPr>
            </w:pPr>
          </w:p>
          <w:p w:rsidR="00210AA8" w:rsidRPr="00211D55" w:rsidRDefault="00210AA8" w:rsidP="00210AA8">
            <w:pPr>
              <w:bidi/>
              <w:spacing w:before="60" w:after="60" w:line="300" w:lineRule="exact"/>
              <w:rPr>
                <w:rFonts w:ascii="Arabic Typesetting" w:hAnsi="Arabic Typesetting" w:cs="Arabic Typesetting"/>
                <w:sz w:val="28"/>
                <w:szCs w:val="28"/>
                <w:rtl/>
              </w:rPr>
            </w:pPr>
          </w:p>
          <w:p w:rsidR="00210AA8" w:rsidRPr="00211D55" w:rsidRDefault="00210AA8" w:rsidP="00210AA8">
            <w:pPr>
              <w:bidi/>
              <w:spacing w:before="60" w:after="60" w:line="300" w:lineRule="exact"/>
              <w:rPr>
                <w:rFonts w:ascii="Arabic Typesetting" w:hAnsi="Arabic Typesetting" w:cs="Arabic Typesetting"/>
                <w:sz w:val="28"/>
                <w:szCs w:val="28"/>
                <w:rtl/>
              </w:rPr>
            </w:pPr>
          </w:p>
          <w:p w:rsidR="00210AA8" w:rsidRPr="00211D55" w:rsidRDefault="00210AA8" w:rsidP="00210AA8">
            <w:pPr>
              <w:bidi/>
              <w:spacing w:before="60" w:after="60" w:line="300" w:lineRule="exact"/>
              <w:rPr>
                <w:rFonts w:ascii="Arabic Typesetting" w:hAnsi="Arabic Typesetting" w:cs="Arabic Typesetting"/>
                <w:sz w:val="28"/>
                <w:szCs w:val="28"/>
                <w:rtl/>
              </w:rPr>
            </w:pPr>
          </w:p>
          <w:p w:rsidR="00210AA8" w:rsidRPr="00211D55" w:rsidRDefault="00210AA8" w:rsidP="00210AA8">
            <w:pPr>
              <w:bidi/>
              <w:spacing w:before="60" w:after="60" w:line="300" w:lineRule="exact"/>
              <w:rPr>
                <w:rFonts w:ascii="Arabic Typesetting" w:hAnsi="Arabic Typesetting" w:cs="Arabic Typesetting"/>
                <w:sz w:val="28"/>
                <w:szCs w:val="28"/>
                <w:rtl/>
              </w:rPr>
            </w:pPr>
          </w:p>
          <w:p w:rsidR="00210AA8" w:rsidRPr="00211D55" w:rsidRDefault="00210AA8" w:rsidP="00114CD2">
            <w:pPr>
              <w:bidi/>
              <w:spacing w:before="60" w:after="12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"2" كان متوسط عدد المشاهدات لكل مقطع فيديو 871 12 مشاهدة (946 006 5 مشاهدة لمقاطع فيديو عددها 389 مقاطعاً في نهاية 2015) (-31%)</w:t>
            </w:r>
          </w:p>
          <w:p w:rsidR="00210AA8" w:rsidRPr="00211D55" w:rsidRDefault="00210AA8" w:rsidP="00210AA8">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"3" 702 541 2 مشاهدة إضافية للصور على موقع فليكر (+182%) (702 441 3 مشاهدة إجمالية في نهاية 2015)</w:t>
            </w:r>
          </w:p>
        </w:tc>
        <w:tc>
          <w:tcPr>
            <w:tcW w:w="444" w:type="pct"/>
            <w:tcMar>
              <w:top w:w="110" w:type="dxa"/>
            </w:tcMar>
          </w:tcPr>
          <w:p w:rsidR="00114CD2" w:rsidRPr="00211D55" w:rsidRDefault="00114CD2" w:rsidP="00210AA8">
            <w:pPr>
              <w:bidi/>
              <w:spacing w:before="60" w:after="60" w:line="300" w:lineRule="exact"/>
              <w:jc w:val="center"/>
              <w:rPr>
                <w:rFonts w:ascii="Arabic Typesetting" w:hAnsi="Arabic Typesetting" w:cs="Arabic Typesetting"/>
                <w:b/>
                <w:bCs/>
                <w:color w:val="FF0000"/>
                <w:sz w:val="28"/>
                <w:szCs w:val="28"/>
                <w:rtl/>
              </w:rPr>
            </w:pPr>
          </w:p>
          <w:p w:rsidR="00114CD2" w:rsidRPr="00211D55" w:rsidRDefault="00114CD2" w:rsidP="00114CD2">
            <w:pPr>
              <w:bidi/>
              <w:spacing w:before="60" w:after="60" w:line="300" w:lineRule="exact"/>
              <w:jc w:val="center"/>
              <w:rPr>
                <w:rFonts w:ascii="Arabic Typesetting" w:hAnsi="Arabic Typesetting" w:cs="Arabic Typesetting"/>
                <w:b/>
                <w:bCs/>
                <w:color w:val="FF0000"/>
                <w:sz w:val="28"/>
                <w:szCs w:val="28"/>
                <w:rtl/>
              </w:rPr>
            </w:pPr>
          </w:p>
          <w:p w:rsidR="00114CD2" w:rsidRPr="00211D55" w:rsidRDefault="00114CD2" w:rsidP="00114CD2">
            <w:pPr>
              <w:bidi/>
              <w:spacing w:before="60" w:after="60" w:line="300" w:lineRule="exact"/>
              <w:jc w:val="center"/>
              <w:rPr>
                <w:rFonts w:ascii="Arabic Typesetting" w:hAnsi="Arabic Typesetting" w:cs="Arabic Typesetting"/>
                <w:b/>
                <w:bCs/>
                <w:color w:val="FF0000"/>
                <w:sz w:val="28"/>
                <w:szCs w:val="28"/>
                <w:rtl/>
              </w:rPr>
            </w:pPr>
          </w:p>
          <w:p w:rsidR="00114CD2" w:rsidRPr="00211D55" w:rsidRDefault="00114CD2" w:rsidP="00114CD2">
            <w:pPr>
              <w:bidi/>
              <w:spacing w:before="60" w:after="60" w:line="300" w:lineRule="exact"/>
              <w:jc w:val="center"/>
              <w:rPr>
                <w:rFonts w:ascii="Arabic Typesetting" w:hAnsi="Arabic Typesetting" w:cs="Arabic Typesetting"/>
                <w:b/>
                <w:bCs/>
                <w:color w:val="FF0000"/>
                <w:sz w:val="28"/>
                <w:szCs w:val="28"/>
                <w:rtl/>
              </w:rPr>
            </w:pPr>
          </w:p>
          <w:p w:rsidR="00114CD2" w:rsidRPr="00211D55" w:rsidRDefault="00114CD2" w:rsidP="00114CD2">
            <w:pPr>
              <w:bidi/>
              <w:spacing w:before="60" w:after="60" w:line="300" w:lineRule="exact"/>
              <w:jc w:val="center"/>
              <w:rPr>
                <w:rFonts w:ascii="Arabic Typesetting" w:hAnsi="Arabic Typesetting" w:cs="Arabic Typesetting"/>
                <w:b/>
                <w:bCs/>
                <w:color w:val="FF0000"/>
                <w:sz w:val="28"/>
                <w:szCs w:val="28"/>
                <w:rtl/>
              </w:rPr>
            </w:pPr>
          </w:p>
          <w:p w:rsidR="00114CD2" w:rsidRPr="00211D55" w:rsidRDefault="00114CD2" w:rsidP="00114CD2">
            <w:pPr>
              <w:bidi/>
              <w:spacing w:before="60" w:after="60" w:line="300" w:lineRule="exact"/>
              <w:jc w:val="center"/>
              <w:rPr>
                <w:rFonts w:ascii="Arabic Typesetting" w:hAnsi="Arabic Typesetting" w:cs="Arabic Typesetting"/>
                <w:b/>
                <w:bCs/>
                <w:color w:val="FF0000"/>
                <w:sz w:val="28"/>
                <w:szCs w:val="28"/>
                <w:rtl/>
              </w:rPr>
            </w:pPr>
          </w:p>
          <w:p w:rsidR="00114CD2" w:rsidRPr="00211D55" w:rsidRDefault="00114CD2" w:rsidP="00114CD2">
            <w:pPr>
              <w:bidi/>
              <w:spacing w:before="60" w:after="60" w:line="300" w:lineRule="exact"/>
              <w:jc w:val="center"/>
              <w:rPr>
                <w:rFonts w:ascii="Arabic Typesetting" w:hAnsi="Arabic Typesetting" w:cs="Arabic Typesetting"/>
                <w:b/>
                <w:bCs/>
                <w:color w:val="FF0000"/>
                <w:sz w:val="28"/>
                <w:szCs w:val="28"/>
                <w:rtl/>
              </w:rPr>
            </w:pPr>
          </w:p>
          <w:p w:rsidR="00210AA8" w:rsidRPr="00211D55" w:rsidRDefault="00210AA8" w:rsidP="00114CD2">
            <w:pPr>
              <w:bidi/>
              <w:spacing w:before="60" w:after="60" w:line="300" w:lineRule="exact"/>
              <w:jc w:val="center"/>
              <w:rPr>
                <w:rFonts w:ascii="Arabic Typesetting" w:hAnsi="Arabic Typesetting" w:cs="Arabic Typesetting"/>
                <w:b/>
                <w:bCs/>
                <w:color w:val="FF0000"/>
                <w:sz w:val="28"/>
                <w:szCs w:val="28"/>
              </w:rPr>
            </w:pPr>
            <w:r w:rsidRPr="00211D55">
              <w:rPr>
                <w:rFonts w:ascii="Arabic Typesetting" w:hAnsi="Arabic Typesetting" w:cs="Arabic Typesetting"/>
                <w:b/>
                <w:bCs/>
                <w:color w:val="FF0000"/>
                <w:sz w:val="28"/>
                <w:szCs w:val="28"/>
                <w:rtl/>
              </w:rPr>
              <w:t>غير محقق</w:t>
            </w:r>
          </w:p>
          <w:p w:rsidR="00210AA8" w:rsidRPr="00211D55" w:rsidRDefault="00210AA8" w:rsidP="00210AA8">
            <w:pPr>
              <w:bidi/>
              <w:spacing w:before="60" w:after="60" w:line="300" w:lineRule="exact"/>
              <w:jc w:val="center"/>
              <w:rPr>
                <w:rFonts w:ascii="Arabic Typesetting" w:hAnsi="Arabic Typesetting" w:cs="Arabic Typesetting"/>
                <w:b/>
                <w:bCs/>
                <w:color w:val="FF0000"/>
                <w:sz w:val="28"/>
                <w:szCs w:val="28"/>
              </w:rPr>
            </w:pPr>
          </w:p>
          <w:p w:rsidR="00210AA8" w:rsidRPr="00211D55" w:rsidRDefault="00210AA8" w:rsidP="00210AA8">
            <w:pPr>
              <w:bidi/>
              <w:spacing w:before="60" w:after="60" w:line="300" w:lineRule="exact"/>
              <w:jc w:val="center"/>
              <w:rPr>
                <w:rFonts w:ascii="Arabic Typesetting" w:hAnsi="Arabic Typesetting" w:cs="Arabic Typesetting"/>
                <w:b/>
                <w:bCs/>
                <w:color w:val="FF0000"/>
                <w:sz w:val="28"/>
                <w:szCs w:val="28"/>
              </w:rPr>
            </w:pPr>
          </w:p>
          <w:p w:rsidR="00210AA8" w:rsidRPr="00211D55" w:rsidRDefault="00210AA8" w:rsidP="00210AA8">
            <w:pPr>
              <w:bidi/>
              <w:spacing w:before="60" w:after="60" w:line="300" w:lineRule="exact"/>
              <w:jc w:val="center"/>
              <w:rPr>
                <w:rFonts w:ascii="Arabic Typesetting" w:hAnsi="Arabic Typesetting" w:cs="Arabic Typesetting"/>
                <w:b/>
                <w:bCs/>
                <w:color w:val="FF0000"/>
                <w:sz w:val="28"/>
                <w:szCs w:val="28"/>
              </w:rPr>
            </w:pPr>
          </w:p>
          <w:p w:rsidR="00210AA8" w:rsidRPr="00211D55" w:rsidRDefault="00210AA8" w:rsidP="00114CD2">
            <w:pPr>
              <w:bidi/>
              <w:spacing w:before="240" w:after="60" w:line="300" w:lineRule="exact"/>
              <w:jc w:val="center"/>
              <w:rPr>
                <w:rFonts w:ascii="Arabic Typesetting" w:hAnsi="Arabic Typesetting" w:cs="Arabic Typesetting"/>
                <w:b/>
                <w:bCs/>
                <w:color w:val="FF0000"/>
                <w:sz w:val="28"/>
                <w:szCs w:val="28"/>
                <w:rtl/>
              </w:rPr>
            </w:pPr>
            <w:r w:rsidRPr="00211D55">
              <w:rPr>
                <w:rFonts w:ascii="Arabic Typesetting" w:hAnsi="Arabic Typesetting" w:cs="Arabic Typesetting"/>
                <w:b/>
                <w:bCs/>
                <w:color w:val="00B050"/>
                <w:sz w:val="28"/>
                <w:szCs w:val="28"/>
                <w:rtl/>
              </w:rPr>
              <w:t>محقق كلياً</w:t>
            </w:r>
          </w:p>
        </w:tc>
      </w:tr>
      <w:tr w:rsidR="00634821" w:rsidRPr="00211D55" w:rsidTr="00FE7EA6">
        <w:trPr>
          <w:gridBefore w:val="1"/>
          <w:wBefore w:w="6" w:type="pct"/>
          <w:cantSplit/>
          <w:trHeight w:val="727"/>
        </w:trPr>
        <w:tc>
          <w:tcPr>
            <w:tcW w:w="952" w:type="pct"/>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النسبة المئوية للمشاركة العالمية في اليوم العالمي للملكية الفكرية على صفحة المنظمة على موقع فيسبوك (النتائج الإجمالية لحملة الاتصال)</w:t>
            </w:r>
          </w:p>
        </w:tc>
        <w:tc>
          <w:tcPr>
            <w:tcW w:w="1283" w:type="pct"/>
            <w:shd w:val="clear" w:color="auto" w:fill="auto"/>
          </w:tcPr>
          <w:p w:rsidR="00634821" w:rsidRPr="00211D55" w:rsidRDefault="00634821" w:rsidP="001E34F5">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121 414 </w:t>
            </w:r>
            <w:r w:rsidRPr="00211D55">
              <w:rPr>
                <w:rFonts w:ascii="Arabic Typesetting" w:hAnsi="Arabic Typesetting" w:cs="Arabic Typesetting"/>
                <w:color w:val="002060"/>
                <w:sz w:val="28"/>
                <w:szCs w:val="28"/>
                <w:rtl/>
              </w:rPr>
              <w:t>شخصا شاهدوا المحتوى الخاص باليوم العالمي للملكية الفكرية من خلال حملتنا على موقع فيسبوك في 2013 (العدد التراكمي [ثابت])</w:t>
            </w:r>
          </w:p>
          <w:p w:rsidR="00634821" w:rsidRPr="00211D55" w:rsidRDefault="00634821" w:rsidP="00114CD2">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600</w:t>
            </w:r>
            <w:r w:rsidR="00114CD2" w:rsidRPr="00211D55">
              <w:rPr>
                <w:rFonts w:ascii="Arabic Typesetting" w:hAnsi="Arabic Typesetting" w:cs="Arabic Typesetting"/>
                <w:i/>
                <w:sz w:val="28"/>
                <w:szCs w:val="28"/>
                <w:rtl/>
              </w:rPr>
              <w:t> </w:t>
            </w:r>
            <w:r w:rsidRPr="00211D55">
              <w:rPr>
                <w:rFonts w:ascii="Arabic Typesetting" w:hAnsi="Arabic Typesetting" w:cs="Arabic Typesetting"/>
                <w:i/>
                <w:sz w:val="28"/>
                <w:szCs w:val="28"/>
                <w:rtl/>
              </w:rPr>
              <w:t>379 شخص شاهدوا المحتوى الخاص باليوم العالمي للملكية الفكرية من خلال حملتنا على موقع فيسبوك في 2012</w:t>
            </w:r>
          </w:p>
        </w:tc>
        <w:tc>
          <w:tcPr>
            <w:tcW w:w="965" w:type="pct"/>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زيادة بنسبة 30% في عدد الأشخاص الذين شاهدوا المحتوى الخاص باليوم العالمي للملكية الفكرية على موقع فيسبوك (العدد الإجمالي)</w:t>
            </w:r>
          </w:p>
        </w:tc>
        <w:tc>
          <w:tcPr>
            <w:tcW w:w="1350" w:type="pct"/>
            <w:shd w:val="clear" w:color="auto" w:fill="FFFFFF"/>
            <w:tcMar>
              <w:top w:w="110" w:type="dxa"/>
            </w:tcMar>
          </w:tcPr>
          <w:p w:rsidR="00114CD2" w:rsidRPr="00211D55" w:rsidRDefault="00114CD2" w:rsidP="006C1221">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في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xml:space="preserve">، اطلع 128 020 1 </w:t>
            </w:r>
            <w:r w:rsidR="006C1221">
              <w:rPr>
                <w:rFonts w:ascii="Arabic Typesetting" w:hAnsi="Arabic Typesetting" w:cs="Arabic Typesetting" w:hint="cs"/>
                <w:sz w:val="28"/>
                <w:szCs w:val="28"/>
                <w:rtl/>
              </w:rPr>
              <w:t xml:space="preserve">زائراً </w:t>
            </w:r>
            <w:r w:rsidRPr="00211D55">
              <w:rPr>
                <w:rFonts w:ascii="Arabic Typesetting" w:hAnsi="Arabic Typesetting" w:cs="Arabic Typesetting"/>
                <w:sz w:val="28"/>
                <w:szCs w:val="28"/>
                <w:rtl/>
              </w:rPr>
              <w:t xml:space="preserve">على محتوى اليوم العالمي للملكية الفكرية عبر حملات فيسبوك (+28.5% مقارنة بالثنائية </w:t>
            </w:r>
            <w:r w:rsidR="00507DE2">
              <w:rPr>
                <w:rFonts w:ascii="Arabic Typesetting" w:hAnsi="Arabic Typesetting" w:cs="Arabic Typesetting"/>
                <w:sz w:val="28"/>
                <w:szCs w:val="28"/>
                <w:rtl/>
              </w:rPr>
              <w:t>2012/13</w:t>
            </w:r>
            <w:r w:rsidRPr="00211D55">
              <w:rPr>
                <w:rFonts w:ascii="Arabic Typesetting" w:hAnsi="Arabic Typesetting" w:cs="Arabic Typesetting"/>
                <w:sz w:val="28"/>
                <w:szCs w:val="28"/>
                <w:rtl/>
              </w:rPr>
              <w:t>):</w:t>
            </w:r>
          </w:p>
          <w:p w:rsidR="00114CD2" w:rsidRPr="00211D55" w:rsidRDefault="00114CD2" w:rsidP="009A3712">
            <w:pPr>
              <w:numPr>
                <w:ilvl w:val="0"/>
                <w:numId w:val="17"/>
              </w:numPr>
              <w:bidi/>
              <w:spacing w:before="60" w:after="60" w:line="300" w:lineRule="exact"/>
              <w:ind w:left="284" w:hanging="284"/>
              <w:rPr>
                <w:rFonts w:ascii="Arabic Typesetting" w:hAnsi="Arabic Typesetting" w:cs="Arabic Typesetting"/>
                <w:sz w:val="28"/>
                <w:szCs w:val="28"/>
              </w:rPr>
            </w:pPr>
            <w:r w:rsidRPr="00211D55">
              <w:rPr>
                <w:rFonts w:ascii="Arabic Typesetting" w:hAnsi="Arabic Typesetting" w:cs="Arabic Typesetting"/>
                <w:sz w:val="28"/>
                <w:szCs w:val="28"/>
                <w:rtl/>
              </w:rPr>
              <w:t>816 563 في 2014</w:t>
            </w:r>
          </w:p>
          <w:p w:rsidR="00634821" w:rsidRPr="00211D55" w:rsidRDefault="00114CD2" w:rsidP="009A3712">
            <w:pPr>
              <w:numPr>
                <w:ilvl w:val="0"/>
                <w:numId w:val="17"/>
              </w:numPr>
              <w:bidi/>
              <w:spacing w:before="60" w:after="60" w:line="300" w:lineRule="exact"/>
              <w:ind w:left="284" w:hanging="284"/>
              <w:rPr>
                <w:rFonts w:ascii="Arabic Typesetting" w:hAnsi="Arabic Typesetting" w:cs="Arabic Typesetting"/>
                <w:sz w:val="28"/>
                <w:szCs w:val="28"/>
              </w:rPr>
            </w:pPr>
            <w:r w:rsidRPr="00211D55">
              <w:rPr>
                <w:rFonts w:ascii="Arabic Typesetting" w:hAnsi="Arabic Typesetting" w:cs="Arabic Typesetting"/>
                <w:sz w:val="28"/>
                <w:szCs w:val="28"/>
                <w:rtl/>
              </w:rPr>
              <w:t>312 456 في 2015.</w:t>
            </w:r>
          </w:p>
        </w:tc>
        <w:tc>
          <w:tcPr>
            <w:tcW w:w="444" w:type="pct"/>
            <w:tcMar>
              <w:top w:w="110" w:type="dxa"/>
            </w:tcMar>
          </w:tcPr>
          <w:p w:rsidR="00634821" w:rsidRPr="00211D55" w:rsidRDefault="00114CD2" w:rsidP="001E34F5">
            <w:pPr>
              <w:bidi/>
              <w:spacing w:before="60" w:after="60" w:line="300" w:lineRule="exact"/>
              <w:jc w:val="center"/>
              <w:rPr>
                <w:rFonts w:ascii="Arabic Typesetting" w:hAnsi="Arabic Typesetting" w:cs="Arabic Typesetting"/>
                <w:color w:val="808080"/>
                <w:sz w:val="28"/>
                <w:szCs w:val="28"/>
              </w:rPr>
            </w:pPr>
            <w:r w:rsidRPr="00211D55">
              <w:rPr>
                <w:rFonts w:ascii="Arabic Typesetting" w:hAnsi="Arabic Typesetting" w:cs="Arabic Typesetting"/>
                <w:b/>
                <w:bCs/>
                <w:color w:val="00B050"/>
                <w:sz w:val="28"/>
                <w:szCs w:val="28"/>
                <w:rtl/>
              </w:rPr>
              <w:t>محقق كلياً</w:t>
            </w:r>
          </w:p>
        </w:tc>
      </w:tr>
      <w:tr w:rsidR="00634821" w:rsidRPr="00211D55" w:rsidTr="00FE7EA6">
        <w:trPr>
          <w:gridBefore w:val="1"/>
          <w:wBefore w:w="6" w:type="pct"/>
          <w:cantSplit/>
        </w:trPr>
        <w:tc>
          <w:tcPr>
            <w:tcW w:w="952" w:type="pct"/>
          </w:tcPr>
          <w:p w:rsidR="00634821" w:rsidRPr="00211D55" w:rsidRDefault="00634821" w:rsidP="00114CD2">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النسبة المئوية لتزايد عدد مشاهدات المنشورات على شبكة </w:t>
            </w:r>
            <w:r w:rsidR="00114CD2" w:rsidRPr="00211D55">
              <w:rPr>
                <w:rFonts w:ascii="Arabic Typesetting" w:hAnsi="Arabic Typesetting" w:cs="Arabic Typesetting"/>
                <w:sz w:val="28"/>
                <w:szCs w:val="28"/>
                <w:rtl/>
              </w:rPr>
              <w:t>الإنترنت</w:t>
            </w:r>
          </w:p>
        </w:tc>
        <w:tc>
          <w:tcPr>
            <w:tcW w:w="1283" w:type="pct"/>
            <w:shd w:val="clear" w:color="auto" w:fill="auto"/>
          </w:tcPr>
          <w:p w:rsidR="00634821" w:rsidRPr="00211D55" w:rsidRDefault="00634821" w:rsidP="001E34F5">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"1" عدد مرات تنزيل منشورات مجانية في 2013: 490 940 3 (بجميع اللغات)</w:t>
            </w:r>
          </w:p>
          <w:p w:rsidR="00634821" w:rsidRPr="00211D55" w:rsidRDefault="00634821" w:rsidP="001E34F5">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"2" 499 450 مشاهدة فريدة لموقع مجلة الويبو الإلكتروني في 2013 (بجميع اللغات)</w:t>
            </w:r>
          </w:p>
          <w:p w:rsidR="00634821" w:rsidRPr="00211D55" w:rsidRDefault="00634821" w:rsidP="001E34F5">
            <w:pPr>
              <w:bidi/>
              <w:spacing w:before="60" w:after="60" w:line="300" w:lineRule="exact"/>
              <w:rPr>
                <w:rFonts w:ascii="Arabic Typesetting" w:hAnsi="Arabic Typesetting" w:cs="Arabic Typesetting"/>
                <w:iCs/>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"1" يُحدَّد لاحقاً (لا توجد إحصائيات قابلة للمقارنة لعام 2012)</w:t>
            </w:r>
          </w:p>
          <w:p w:rsidR="00634821" w:rsidRPr="00211D55" w:rsidRDefault="00634821" w:rsidP="001E34F5">
            <w:pPr>
              <w:bidi/>
              <w:spacing w:before="60" w:after="60" w:line="300" w:lineRule="exact"/>
              <w:rPr>
                <w:rFonts w:ascii="Arabic Typesetting" w:hAnsi="Arabic Typesetting" w:cs="Arabic Typesetting"/>
                <w:i/>
                <w:sz w:val="28"/>
                <w:szCs w:val="28"/>
              </w:rPr>
            </w:pPr>
            <w:r w:rsidRPr="00211D55">
              <w:rPr>
                <w:rFonts w:ascii="Arabic Typesetting" w:hAnsi="Arabic Typesetting" w:cs="Arabic Typesetting"/>
                <w:i/>
                <w:sz w:val="28"/>
                <w:szCs w:val="28"/>
                <w:rtl/>
              </w:rPr>
              <w:t>"2" 265 409 مشاهدة فريدة لموقع مجلة الويبو الإلكتروني في 2012</w:t>
            </w:r>
          </w:p>
        </w:tc>
        <w:tc>
          <w:tcPr>
            <w:tcW w:w="965" w:type="pct"/>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"1" زيادة بنسبة 10% في إجمالي عدد مرات مشاهدة المنشورات عبر الإنترنت</w:t>
            </w:r>
          </w:p>
          <w:p w:rsidR="00634821" w:rsidRPr="00211D55" w:rsidRDefault="00634821" w:rsidP="001E34F5">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Pr>
            </w:pPr>
          </w:p>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"2" زيادة بنسبة 10% في عدد مرات مشاهدة موقع مجلة الويبو</w:t>
            </w:r>
          </w:p>
        </w:tc>
        <w:tc>
          <w:tcPr>
            <w:tcW w:w="1350" w:type="pct"/>
            <w:shd w:val="clear" w:color="auto" w:fill="FFFFFF"/>
            <w:tcMar>
              <w:top w:w="110" w:type="dxa"/>
            </w:tcMar>
          </w:tcPr>
          <w:p w:rsidR="00B8595A" w:rsidRPr="00211D55" w:rsidRDefault="00B8595A" w:rsidP="00B8595A">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"1" كانت منهجيات وأدوات إحصائية جديدة لا تزال قيد الإعداد في نهاية الثنائية نتيجة التأخر في تنفيذ المشروع.</w:t>
            </w:r>
          </w:p>
          <w:p w:rsidR="00634821" w:rsidRPr="00211D55" w:rsidRDefault="00634821" w:rsidP="001E34F5">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tl/>
              </w:rPr>
            </w:pPr>
          </w:p>
          <w:p w:rsidR="00B8595A" w:rsidRPr="00211D55" w:rsidRDefault="00B8595A" w:rsidP="00B8595A">
            <w:pPr>
              <w:bidi/>
              <w:spacing w:before="60" w:after="60" w:line="300" w:lineRule="exact"/>
              <w:rPr>
                <w:rFonts w:ascii="Arabic Typesetting" w:hAnsi="Arabic Typesetting" w:cs="Arabic Typesetting"/>
                <w:sz w:val="28"/>
                <w:szCs w:val="28"/>
                <w:rtl/>
              </w:rPr>
            </w:pPr>
          </w:p>
          <w:p w:rsidR="00634821" w:rsidRPr="00211D55" w:rsidRDefault="00B8595A" w:rsidP="006767AA">
            <w:pPr>
              <w:bidi/>
              <w:spacing w:before="60" w:after="60" w:line="300" w:lineRule="exact"/>
              <w:rPr>
                <w:rFonts w:ascii="Arabic Typesetting" w:hAnsi="Arabic Typesetting" w:cs="Arabic Typesetting"/>
                <w:sz w:val="28"/>
                <w:szCs w:val="28"/>
                <w:highlight w:val="yellow"/>
              </w:rPr>
            </w:pPr>
            <w:r w:rsidRPr="00211D55">
              <w:rPr>
                <w:rFonts w:ascii="Arabic Typesetting" w:hAnsi="Arabic Typesetting" w:cs="Arabic Typesetting"/>
                <w:sz w:val="28"/>
                <w:szCs w:val="28"/>
                <w:rtl/>
              </w:rPr>
              <w:t>"2" </w:t>
            </w:r>
            <w:r w:rsidRPr="00211D55">
              <w:rPr>
                <w:rFonts w:ascii="Arabic Typesetting" w:hAnsi="Arabic Typesetting" w:cs="Arabic Typesetting"/>
                <w:i/>
                <w:sz w:val="28"/>
                <w:szCs w:val="28"/>
                <w:rtl/>
              </w:rPr>
              <w:t>787 024 1 مشاهدة فريدة لموقع مجلة الويبو الإلكتروني ف</w:t>
            </w:r>
            <w:r w:rsidR="006767AA">
              <w:rPr>
                <w:rFonts w:ascii="Arabic Typesetting" w:hAnsi="Arabic Typesetting" w:cs="Arabic Typesetting"/>
                <w:i/>
                <w:sz w:val="28"/>
                <w:szCs w:val="28"/>
                <w:rtl/>
              </w:rPr>
              <w:t xml:space="preserve">ي </w:t>
            </w:r>
            <w:r w:rsidR="00507DE2">
              <w:rPr>
                <w:rFonts w:ascii="Arabic Typesetting" w:hAnsi="Arabic Typesetting" w:cs="Arabic Typesetting"/>
                <w:i/>
                <w:sz w:val="28"/>
                <w:szCs w:val="28"/>
                <w:rtl/>
              </w:rPr>
              <w:t>2014/15</w:t>
            </w:r>
            <w:r w:rsidR="006767AA">
              <w:rPr>
                <w:rFonts w:ascii="Arabic Typesetting" w:hAnsi="Arabic Typesetting" w:cs="Arabic Typesetting"/>
                <w:i/>
                <w:sz w:val="28"/>
                <w:szCs w:val="28"/>
                <w:rtl/>
              </w:rPr>
              <w:t xml:space="preserve"> أي بزيادة نسبتها 19.2</w:t>
            </w:r>
            <w:r w:rsidR="006767AA">
              <w:rPr>
                <w:rFonts w:ascii="Arabic Typesetting" w:hAnsi="Arabic Typesetting" w:cs="Arabic Typesetting" w:hint="cs"/>
                <w:i/>
                <w:sz w:val="28"/>
                <w:szCs w:val="28"/>
                <w:rtl/>
              </w:rPr>
              <w:t xml:space="preserve">% </w:t>
            </w:r>
            <w:r w:rsidRPr="00211D55">
              <w:rPr>
                <w:rFonts w:ascii="Arabic Typesetting" w:hAnsi="Arabic Typesetting" w:cs="Arabic Typesetting"/>
                <w:i/>
                <w:sz w:val="28"/>
                <w:szCs w:val="28"/>
                <w:rtl/>
              </w:rPr>
              <w:t xml:space="preserve">مقارنة بالثنائية </w:t>
            </w:r>
            <w:r w:rsidR="00507DE2">
              <w:rPr>
                <w:rFonts w:ascii="Arabic Typesetting" w:hAnsi="Arabic Typesetting" w:cs="Arabic Typesetting"/>
                <w:i/>
                <w:sz w:val="28"/>
                <w:szCs w:val="28"/>
                <w:rtl/>
              </w:rPr>
              <w:t>2012/13</w:t>
            </w:r>
          </w:p>
        </w:tc>
        <w:tc>
          <w:tcPr>
            <w:tcW w:w="444" w:type="pct"/>
            <w:tcMar>
              <w:top w:w="110" w:type="dxa"/>
            </w:tcMar>
          </w:tcPr>
          <w:p w:rsidR="00634821" w:rsidRPr="00211D55" w:rsidRDefault="00B8595A" w:rsidP="00B8595A">
            <w:pPr>
              <w:bidi/>
              <w:spacing w:before="60" w:after="60" w:line="280" w:lineRule="exact"/>
              <w:rPr>
                <w:rFonts w:ascii="Arabic Typesetting" w:hAnsi="Arabic Typesetting" w:cs="Arabic Typesetting"/>
                <w:b/>
                <w:bCs/>
                <w:color w:val="808080"/>
                <w:sz w:val="28"/>
                <w:szCs w:val="28"/>
                <w:rtl/>
              </w:rPr>
            </w:pPr>
            <w:r w:rsidRPr="00211D55">
              <w:rPr>
                <w:rFonts w:ascii="Arabic Typesetting" w:hAnsi="Arabic Typesetting" w:cs="Arabic Typesetting"/>
                <w:b/>
                <w:bCs/>
                <w:color w:val="808080"/>
                <w:sz w:val="28"/>
                <w:szCs w:val="28"/>
                <w:rtl/>
              </w:rPr>
              <w:t>غير قابل للقياس</w:t>
            </w:r>
          </w:p>
          <w:p w:rsidR="00B8595A" w:rsidRPr="00211D55" w:rsidRDefault="00B8595A" w:rsidP="00B8595A">
            <w:pPr>
              <w:bidi/>
              <w:spacing w:before="60" w:after="60" w:line="280" w:lineRule="exact"/>
              <w:rPr>
                <w:rFonts w:ascii="Arabic Typesetting" w:hAnsi="Arabic Typesetting" w:cs="Arabic Typesetting"/>
                <w:b/>
                <w:bCs/>
                <w:color w:val="808080"/>
                <w:sz w:val="28"/>
                <w:szCs w:val="28"/>
                <w:rtl/>
              </w:rPr>
            </w:pPr>
          </w:p>
          <w:p w:rsidR="00B8595A" w:rsidRPr="00211D55" w:rsidRDefault="00B8595A" w:rsidP="00B8595A">
            <w:pPr>
              <w:bidi/>
              <w:spacing w:before="60" w:after="60" w:line="280" w:lineRule="exact"/>
              <w:rPr>
                <w:rFonts w:ascii="Arabic Typesetting" w:hAnsi="Arabic Typesetting" w:cs="Arabic Typesetting"/>
                <w:b/>
                <w:bCs/>
                <w:color w:val="808080"/>
                <w:sz w:val="28"/>
                <w:szCs w:val="28"/>
                <w:rtl/>
              </w:rPr>
            </w:pPr>
          </w:p>
          <w:p w:rsidR="00B8595A" w:rsidRPr="00211D55" w:rsidRDefault="00B8595A" w:rsidP="00B8595A">
            <w:pPr>
              <w:bidi/>
              <w:spacing w:before="60" w:after="60" w:line="280" w:lineRule="exact"/>
              <w:rPr>
                <w:rFonts w:ascii="Arabic Typesetting" w:hAnsi="Arabic Typesetting" w:cs="Arabic Typesetting"/>
                <w:b/>
                <w:bCs/>
                <w:color w:val="808080"/>
                <w:sz w:val="28"/>
                <w:szCs w:val="28"/>
                <w:rtl/>
              </w:rPr>
            </w:pPr>
          </w:p>
          <w:p w:rsidR="00B8595A" w:rsidRPr="00211D55" w:rsidRDefault="00B8595A" w:rsidP="00B8595A">
            <w:pPr>
              <w:bidi/>
              <w:spacing w:before="60" w:after="60" w:line="280" w:lineRule="exact"/>
              <w:rPr>
                <w:rFonts w:ascii="Arabic Typesetting" w:hAnsi="Arabic Typesetting" w:cs="Arabic Typesetting"/>
                <w:b/>
                <w:bCs/>
                <w:color w:val="00B050"/>
                <w:sz w:val="28"/>
                <w:szCs w:val="28"/>
                <w:rtl/>
              </w:rPr>
            </w:pPr>
          </w:p>
          <w:p w:rsidR="00B8595A" w:rsidRPr="00211D55" w:rsidRDefault="00B8595A" w:rsidP="00B8595A">
            <w:pPr>
              <w:bidi/>
              <w:spacing w:before="60" w:after="60" w:line="280" w:lineRule="exact"/>
              <w:rPr>
                <w:rFonts w:ascii="Arabic Typesetting" w:hAnsi="Arabic Typesetting" w:cs="Arabic Typesetting"/>
                <w:b/>
                <w:bCs/>
                <w:color w:val="00B050"/>
                <w:sz w:val="28"/>
                <w:szCs w:val="28"/>
                <w:rtl/>
              </w:rPr>
            </w:pPr>
          </w:p>
          <w:p w:rsidR="00B8595A" w:rsidRPr="00211D55" w:rsidRDefault="00B8595A" w:rsidP="00B8595A">
            <w:pPr>
              <w:bidi/>
              <w:spacing w:before="60" w:after="60" w:line="280" w:lineRule="exact"/>
              <w:rPr>
                <w:rFonts w:ascii="Arabic Typesetting" w:hAnsi="Arabic Typesetting" w:cs="Arabic Typesetting"/>
                <w:b/>
                <w:bCs/>
                <w:color w:val="00B050"/>
                <w:sz w:val="28"/>
                <w:szCs w:val="28"/>
                <w:rtl/>
              </w:rPr>
            </w:pPr>
          </w:p>
          <w:p w:rsidR="00B8595A" w:rsidRPr="00211D55" w:rsidRDefault="00B8595A" w:rsidP="00B8595A">
            <w:pPr>
              <w:bidi/>
              <w:spacing w:before="60" w:after="60" w:line="280" w:lineRule="exact"/>
              <w:rPr>
                <w:rFonts w:ascii="Arabic Typesetting" w:hAnsi="Arabic Typesetting" w:cs="Arabic Typesetting"/>
                <w:b/>
                <w:bCs/>
                <w:color w:val="00B050"/>
                <w:sz w:val="28"/>
                <w:szCs w:val="28"/>
                <w:rtl/>
              </w:rPr>
            </w:pPr>
          </w:p>
          <w:p w:rsidR="00B8595A" w:rsidRPr="006767AA" w:rsidRDefault="006767AA" w:rsidP="006767AA">
            <w:pPr>
              <w:bidi/>
              <w:spacing w:before="120" w:after="60" w:line="280" w:lineRule="exact"/>
              <w:rPr>
                <w:rFonts w:ascii="Arabic Typesetting" w:hAnsi="Arabic Typesetting" w:cs="Arabic Typesetting"/>
                <w:b/>
                <w:bCs/>
                <w:color w:val="00B050"/>
                <w:sz w:val="28"/>
                <w:szCs w:val="28"/>
              </w:rPr>
            </w:pPr>
            <w:r>
              <w:rPr>
                <w:rFonts w:ascii="Arabic Typesetting" w:hAnsi="Arabic Typesetting" w:cs="Arabic Typesetting"/>
                <w:b/>
                <w:bCs/>
                <w:color w:val="00B050"/>
                <w:sz w:val="28"/>
                <w:szCs w:val="28"/>
                <w:rtl/>
              </w:rPr>
              <w:t>محقق كلياً</w:t>
            </w:r>
          </w:p>
        </w:tc>
      </w:tr>
      <w:tr w:rsidR="00634821" w:rsidRPr="00211D55" w:rsidTr="00FE7EA6">
        <w:trPr>
          <w:gridBefore w:val="1"/>
          <w:wBefore w:w="6" w:type="pct"/>
          <w:cantSplit/>
        </w:trPr>
        <w:tc>
          <w:tcPr>
            <w:tcW w:w="952" w:type="pct"/>
          </w:tcPr>
          <w:p w:rsidR="00634821" w:rsidRPr="00211D55" w:rsidRDefault="00634821" w:rsidP="001E34F5">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lastRenderedPageBreak/>
              <w:t>النسبة المئوية للمستخدمين الراضين عن موقع الويبو الإلكتروني</w:t>
            </w:r>
          </w:p>
        </w:tc>
        <w:tc>
          <w:tcPr>
            <w:tcW w:w="1283" w:type="pct"/>
            <w:shd w:val="clear" w:color="auto" w:fill="auto"/>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تُحدَّد لاحقاً</w:t>
            </w:r>
          </w:p>
        </w:tc>
        <w:tc>
          <w:tcPr>
            <w:tcW w:w="965" w:type="pct"/>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60% أو أكثر راضون</w:t>
            </w:r>
          </w:p>
        </w:tc>
        <w:tc>
          <w:tcPr>
            <w:tcW w:w="1350" w:type="pct"/>
            <w:shd w:val="clear" w:color="auto" w:fill="FFFFFF"/>
            <w:tcMar>
              <w:top w:w="110" w:type="dxa"/>
            </w:tcMar>
          </w:tcPr>
          <w:p w:rsidR="00634821" w:rsidRPr="00211D55" w:rsidRDefault="00B8595A" w:rsidP="001E34F5">
            <w:pPr>
              <w:bidi/>
              <w:spacing w:before="60" w:after="60" w:line="300" w:lineRule="exact"/>
              <w:rPr>
                <w:rFonts w:ascii="Arabic Typesetting" w:hAnsi="Arabic Typesetting" w:cs="Arabic Typesetting"/>
                <w:sz w:val="28"/>
                <w:szCs w:val="28"/>
                <w:highlight w:val="yellow"/>
              </w:rPr>
            </w:pPr>
            <w:r w:rsidRPr="00211D55">
              <w:rPr>
                <w:rFonts w:ascii="Arabic Typesetting" w:hAnsi="Arabic Typesetting" w:cs="Arabic Typesetting"/>
                <w:sz w:val="28"/>
                <w:szCs w:val="28"/>
                <w:rtl/>
              </w:rPr>
              <w:t xml:space="preserve">لم يجرَ استقصاء في </w:t>
            </w:r>
            <w:r w:rsidR="00507DE2">
              <w:rPr>
                <w:rFonts w:ascii="Arabic Typesetting" w:hAnsi="Arabic Typesetting" w:cs="Arabic Typesetting"/>
                <w:sz w:val="28"/>
                <w:szCs w:val="28"/>
                <w:rtl/>
              </w:rPr>
              <w:t>2014/15</w:t>
            </w:r>
          </w:p>
        </w:tc>
        <w:tc>
          <w:tcPr>
            <w:tcW w:w="444" w:type="pct"/>
            <w:tcMar>
              <w:top w:w="110" w:type="dxa"/>
            </w:tcMar>
          </w:tcPr>
          <w:p w:rsidR="00634821" w:rsidRPr="00211D55" w:rsidRDefault="00B8595A" w:rsidP="00B8595A">
            <w:pPr>
              <w:bidi/>
              <w:spacing w:before="60" w:after="60" w:line="280" w:lineRule="exact"/>
              <w:rPr>
                <w:rFonts w:ascii="Arabic Typesetting" w:hAnsi="Arabic Typesetting" w:cs="Arabic Typesetting"/>
                <w:b/>
                <w:bCs/>
                <w:color w:val="808080"/>
                <w:sz w:val="28"/>
                <w:szCs w:val="28"/>
              </w:rPr>
            </w:pPr>
            <w:r w:rsidRPr="00211D55">
              <w:rPr>
                <w:rFonts w:ascii="Arabic Typesetting" w:hAnsi="Arabic Typesetting" w:cs="Arabic Typesetting"/>
                <w:b/>
                <w:bCs/>
                <w:color w:val="808080"/>
                <w:sz w:val="28"/>
                <w:szCs w:val="28"/>
                <w:rtl/>
              </w:rPr>
              <w:t>غير قابل للقياس</w:t>
            </w:r>
          </w:p>
        </w:tc>
      </w:tr>
      <w:tr w:rsidR="00634821" w:rsidRPr="00211D55" w:rsidTr="00FE7EA6">
        <w:trPr>
          <w:gridBefore w:val="1"/>
          <w:wBefore w:w="6" w:type="pct"/>
          <w:cantSplit/>
        </w:trPr>
        <w:tc>
          <w:tcPr>
            <w:tcW w:w="952" w:type="pct"/>
            <w:tcBorders>
              <w:bottom w:val="single" w:sz="4" w:space="0" w:color="auto"/>
            </w:tcBorders>
          </w:tcPr>
          <w:p w:rsidR="00634821" w:rsidRPr="00211D55" w:rsidRDefault="00634821" w:rsidP="00B8595A">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التأثير والعمل المتزايد</w:t>
            </w:r>
            <w:r w:rsidR="00B8595A" w:rsidRPr="00211D55">
              <w:rPr>
                <w:rFonts w:ascii="Arabic Typesetting" w:hAnsi="Arabic Typesetting" w:cs="Arabic Typesetting"/>
                <w:sz w:val="28"/>
                <w:szCs w:val="28"/>
                <w:rtl/>
              </w:rPr>
              <w:t>ا</w:t>
            </w:r>
            <w:r w:rsidRPr="00211D55">
              <w:rPr>
                <w:rFonts w:ascii="Arabic Typesetting" w:hAnsi="Arabic Typesetting" w:cs="Arabic Typesetting"/>
                <w:sz w:val="28"/>
                <w:szCs w:val="28"/>
                <w:rtl/>
              </w:rPr>
              <w:t>ن للويبو على وسائل التواصل الاجتماعي</w:t>
            </w:r>
          </w:p>
        </w:tc>
        <w:tc>
          <w:tcPr>
            <w:tcW w:w="1283" w:type="pct"/>
            <w:tcBorders>
              <w:bottom w:val="single" w:sz="4" w:space="0" w:color="auto"/>
            </w:tcBorders>
            <w:shd w:val="clear" w:color="auto" w:fill="auto"/>
          </w:tcPr>
          <w:p w:rsidR="00634821" w:rsidRPr="00211D55" w:rsidRDefault="00634821" w:rsidP="001E34F5">
            <w:pPr>
              <w:bidi/>
              <w:spacing w:before="60" w:after="60" w:line="300" w:lineRule="exact"/>
              <w:rPr>
                <w:rFonts w:ascii="Arabic Typesetting" w:hAnsi="Arabic Typesetting" w:cs="Arabic Typesetting"/>
                <w:iCs/>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p>
          <w:p w:rsidR="00634821" w:rsidRPr="00211D55" w:rsidRDefault="00634821" w:rsidP="002F204A">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 xml:space="preserve">"1" التأثير </w:t>
            </w:r>
            <w:r w:rsidR="002F204A">
              <w:rPr>
                <w:rFonts w:ascii="Arabic Typesetting" w:hAnsi="Arabic Typesetting" w:cs="Arabic Typesetting" w:hint="cs"/>
                <w:color w:val="002060"/>
                <w:sz w:val="28"/>
                <w:szCs w:val="28"/>
                <w:rtl/>
              </w:rPr>
              <w:t>في</w:t>
            </w:r>
            <w:r w:rsidRPr="00211D55">
              <w:rPr>
                <w:rFonts w:ascii="Arabic Typesetting" w:hAnsi="Arabic Typesetting" w:cs="Arabic Typesetting"/>
                <w:color w:val="002060"/>
                <w:sz w:val="28"/>
                <w:szCs w:val="28"/>
                <w:rtl/>
              </w:rPr>
              <w:t xml:space="preserve"> مقياس "</w:t>
            </w:r>
            <w:proofErr w:type="spellStart"/>
            <w:r w:rsidRPr="00211D55">
              <w:rPr>
                <w:rFonts w:ascii="Arabic Typesetting" w:hAnsi="Arabic Typesetting" w:cs="Arabic Typesetting"/>
                <w:color w:val="002060"/>
                <w:sz w:val="28"/>
                <w:szCs w:val="28"/>
              </w:rPr>
              <w:t>Klout</w:t>
            </w:r>
            <w:proofErr w:type="spellEnd"/>
            <w:r w:rsidRPr="00211D55">
              <w:rPr>
                <w:rFonts w:ascii="Arabic Typesetting" w:hAnsi="Arabic Typesetting" w:cs="Arabic Typesetting"/>
                <w:color w:val="002060"/>
                <w:sz w:val="28"/>
                <w:szCs w:val="28"/>
                <w:rtl/>
              </w:rPr>
              <w:t>" بلغ 64 (من أصل 100) في نهاية 2013</w:t>
            </w:r>
          </w:p>
          <w:p w:rsidR="00634821" w:rsidRPr="00211D55" w:rsidRDefault="00634821" w:rsidP="001E34F5">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 xml:space="preserve">"2" إجمالي عدد مرات إعادة نشر </w:t>
            </w:r>
            <w:proofErr w:type="spellStart"/>
            <w:r w:rsidRPr="00211D55">
              <w:rPr>
                <w:rFonts w:ascii="Arabic Typesetting" w:hAnsi="Arabic Typesetting" w:cs="Arabic Typesetting"/>
                <w:color w:val="002060"/>
                <w:sz w:val="28"/>
                <w:szCs w:val="28"/>
                <w:rtl/>
              </w:rPr>
              <w:t>التغريدات</w:t>
            </w:r>
            <w:proofErr w:type="spellEnd"/>
            <w:r w:rsidRPr="00211D55">
              <w:rPr>
                <w:rFonts w:ascii="Arabic Typesetting" w:hAnsi="Arabic Typesetting" w:cs="Arabic Typesetting"/>
                <w:color w:val="002060"/>
                <w:sz w:val="28"/>
                <w:szCs w:val="28"/>
                <w:rtl/>
              </w:rPr>
              <w:t xml:space="preserve"> في 2013: 744 6</w:t>
            </w:r>
          </w:p>
          <w:p w:rsidR="00634821" w:rsidRPr="00211D55" w:rsidRDefault="00634821" w:rsidP="001E34F5">
            <w:pPr>
              <w:bidi/>
              <w:spacing w:before="60" w:after="60" w:line="300" w:lineRule="exact"/>
              <w:rPr>
                <w:rFonts w:ascii="Arabic Typesetting" w:hAnsi="Arabic Typesetting" w:cs="Arabic Typesetting"/>
                <w:iCs/>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 xml:space="preserve">: </w:t>
            </w:r>
          </w:p>
          <w:p w:rsidR="00634821" w:rsidRPr="00211D55" w:rsidRDefault="00634821" w:rsidP="002F204A">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"1" التأثير </w:t>
            </w:r>
            <w:r w:rsidR="002F204A">
              <w:rPr>
                <w:rFonts w:ascii="Arabic Typesetting" w:hAnsi="Arabic Typesetting" w:cs="Arabic Typesetting" w:hint="cs"/>
                <w:sz w:val="28"/>
                <w:szCs w:val="28"/>
                <w:rtl/>
              </w:rPr>
              <w:t>في</w:t>
            </w:r>
            <w:r w:rsidRPr="00211D55">
              <w:rPr>
                <w:rFonts w:ascii="Arabic Typesetting" w:hAnsi="Arabic Typesetting" w:cs="Arabic Typesetting"/>
                <w:sz w:val="28"/>
                <w:szCs w:val="28"/>
                <w:rtl/>
              </w:rPr>
              <w:t xml:space="preserve"> مقياس "</w:t>
            </w:r>
            <w:proofErr w:type="spellStart"/>
            <w:r w:rsidRPr="00211D55">
              <w:rPr>
                <w:rFonts w:ascii="Arabic Typesetting" w:hAnsi="Arabic Typesetting" w:cs="Arabic Typesetting"/>
                <w:sz w:val="28"/>
                <w:szCs w:val="28"/>
              </w:rPr>
              <w:t>Klout</w:t>
            </w:r>
            <w:proofErr w:type="spellEnd"/>
            <w:r w:rsidRPr="00211D55">
              <w:rPr>
                <w:rFonts w:ascii="Arabic Typesetting" w:hAnsi="Arabic Typesetting" w:cs="Arabic Typesetting"/>
                <w:sz w:val="28"/>
                <w:szCs w:val="28"/>
                <w:rtl/>
              </w:rPr>
              <w:t>" بلغ 62 في 1 يناير 2013</w:t>
            </w:r>
          </w:p>
          <w:p w:rsidR="00634821" w:rsidRPr="00211D55" w:rsidRDefault="00634821" w:rsidP="00080B9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"2" إجمالي عدد مرات إعادة نشر </w:t>
            </w:r>
            <w:proofErr w:type="spellStart"/>
            <w:r w:rsidRPr="00211D55">
              <w:rPr>
                <w:rFonts w:ascii="Arabic Typesetting" w:hAnsi="Arabic Typesetting" w:cs="Arabic Typesetting"/>
                <w:sz w:val="28"/>
                <w:szCs w:val="28"/>
                <w:rtl/>
              </w:rPr>
              <w:t>التغريدات</w:t>
            </w:r>
            <w:proofErr w:type="spellEnd"/>
            <w:r w:rsidRPr="00211D55">
              <w:rPr>
                <w:rFonts w:ascii="Arabic Typesetting" w:hAnsi="Arabic Typesetting" w:cs="Arabic Typesetting"/>
                <w:sz w:val="28"/>
                <w:szCs w:val="28"/>
                <w:rtl/>
              </w:rPr>
              <w:t xml:space="preserve"> في 2012: 112</w:t>
            </w:r>
            <w:r w:rsidR="00080B95"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3</w:t>
            </w:r>
          </w:p>
        </w:tc>
        <w:tc>
          <w:tcPr>
            <w:tcW w:w="965" w:type="pct"/>
            <w:tcBorders>
              <w:bottom w:val="single" w:sz="4" w:space="0" w:color="auto"/>
            </w:tcBorders>
            <w:tcMar>
              <w:top w:w="110" w:type="dxa"/>
            </w:tcMar>
          </w:tcPr>
          <w:p w:rsidR="00634821" w:rsidRPr="00211D55" w:rsidRDefault="00634821" w:rsidP="002F204A">
            <w:pPr>
              <w:bidi/>
              <w:spacing w:before="60" w:after="60" w:line="300" w:lineRule="exact"/>
              <w:ind w:firstLineChars="21" w:firstLine="59"/>
              <w:rPr>
                <w:rFonts w:ascii="Arabic Typesetting" w:hAnsi="Arabic Typesetting" w:cs="Arabic Typesetting"/>
                <w:sz w:val="28"/>
                <w:szCs w:val="28"/>
              </w:rPr>
            </w:pPr>
            <w:r w:rsidRPr="00211D55">
              <w:rPr>
                <w:rFonts w:ascii="Arabic Typesetting" w:hAnsi="Arabic Typesetting" w:cs="Arabic Typesetting"/>
                <w:sz w:val="28"/>
                <w:szCs w:val="28"/>
                <w:rtl/>
              </w:rPr>
              <w:t xml:space="preserve">"1" وصول درجة التأثير </w:t>
            </w:r>
            <w:r w:rsidR="002F204A">
              <w:rPr>
                <w:rFonts w:ascii="Arabic Typesetting" w:hAnsi="Arabic Typesetting" w:cs="Arabic Typesetting" w:hint="cs"/>
                <w:sz w:val="28"/>
                <w:szCs w:val="28"/>
                <w:rtl/>
              </w:rPr>
              <w:t>في</w:t>
            </w:r>
            <w:r w:rsidRPr="00211D55">
              <w:rPr>
                <w:rFonts w:ascii="Arabic Typesetting" w:hAnsi="Arabic Typesetting" w:cs="Arabic Typesetting"/>
                <w:sz w:val="28"/>
                <w:szCs w:val="28"/>
                <w:rtl/>
              </w:rPr>
              <w:t xml:space="preserve"> مقياس "</w:t>
            </w:r>
            <w:proofErr w:type="spellStart"/>
            <w:r w:rsidRPr="00211D55">
              <w:rPr>
                <w:rFonts w:ascii="Arabic Typesetting" w:hAnsi="Arabic Typesetting" w:cs="Arabic Typesetting"/>
                <w:sz w:val="28"/>
                <w:szCs w:val="28"/>
              </w:rPr>
              <w:t>Klout</w:t>
            </w:r>
            <w:proofErr w:type="spellEnd"/>
            <w:r w:rsidR="00B8595A" w:rsidRPr="00211D55">
              <w:rPr>
                <w:rFonts w:ascii="Arabic Typesetting" w:hAnsi="Arabic Typesetting" w:cs="Arabic Typesetting"/>
                <w:sz w:val="28"/>
                <w:szCs w:val="28"/>
                <w:rtl/>
              </w:rPr>
              <w:t>" إلى 73</w:t>
            </w:r>
          </w:p>
          <w:p w:rsidR="00634821" w:rsidRPr="00211D55" w:rsidRDefault="00634821" w:rsidP="00E439F5">
            <w:pPr>
              <w:bidi/>
              <w:spacing w:before="60" w:after="60" w:line="300" w:lineRule="exact"/>
              <w:ind w:firstLineChars="21" w:firstLine="59"/>
              <w:rPr>
                <w:rFonts w:ascii="Arabic Typesetting" w:hAnsi="Arabic Typesetting" w:cs="Arabic Typesetting"/>
                <w:sz w:val="28"/>
                <w:szCs w:val="28"/>
              </w:rPr>
            </w:pPr>
          </w:p>
          <w:p w:rsidR="00080B95" w:rsidRPr="00211D55" w:rsidRDefault="00080B95" w:rsidP="00B8595A">
            <w:pPr>
              <w:bidi/>
              <w:spacing w:before="60" w:after="60" w:line="300" w:lineRule="exact"/>
              <w:rPr>
                <w:rFonts w:ascii="Arabic Typesetting" w:hAnsi="Arabic Typesetting" w:cs="Arabic Typesetting"/>
                <w:sz w:val="28"/>
                <w:szCs w:val="28"/>
                <w:rtl/>
              </w:rPr>
            </w:pPr>
          </w:p>
          <w:p w:rsidR="00080B95" w:rsidRPr="00211D55" w:rsidRDefault="00080B95" w:rsidP="00080B95">
            <w:pPr>
              <w:bidi/>
              <w:spacing w:before="60" w:after="60" w:line="300" w:lineRule="exact"/>
              <w:rPr>
                <w:rFonts w:ascii="Arabic Typesetting" w:hAnsi="Arabic Typesetting" w:cs="Arabic Typesetting"/>
                <w:sz w:val="28"/>
                <w:szCs w:val="28"/>
                <w:rtl/>
              </w:rPr>
            </w:pPr>
          </w:p>
          <w:p w:rsidR="00634821" w:rsidRPr="00211D55" w:rsidRDefault="00634821" w:rsidP="00080B95">
            <w:pPr>
              <w:bidi/>
              <w:spacing w:before="24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"2" زيادة بنسبة 30% في إجمالي العدد السنوي </w:t>
            </w:r>
            <w:proofErr w:type="spellStart"/>
            <w:r w:rsidRPr="00211D55">
              <w:rPr>
                <w:rFonts w:ascii="Arabic Typesetting" w:hAnsi="Arabic Typesetting" w:cs="Arabic Typesetting"/>
                <w:sz w:val="28"/>
                <w:szCs w:val="28"/>
                <w:rtl/>
              </w:rPr>
              <w:t>للتغريدات</w:t>
            </w:r>
            <w:proofErr w:type="spellEnd"/>
          </w:p>
        </w:tc>
        <w:tc>
          <w:tcPr>
            <w:tcW w:w="1350" w:type="pct"/>
            <w:tcBorders>
              <w:bottom w:val="single" w:sz="4" w:space="0" w:color="auto"/>
            </w:tcBorders>
            <w:shd w:val="clear" w:color="auto" w:fill="FFFFFF"/>
            <w:tcMar>
              <w:top w:w="110" w:type="dxa"/>
            </w:tcMar>
          </w:tcPr>
          <w:p w:rsidR="00634821" w:rsidRPr="00211D55" w:rsidRDefault="00634821" w:rsidP="002F204A">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"1" </w:t>
            </w:r>
            <w:r w:rsidR="00B8595A" w:rsidRPr="00211D55">
              <w:rPr>
                <w:rFonts w:ascii="Arabic Typesetting" w:hAnsi="Arabic Typesetting" w:cs="Arabic Typesetting"/>
                <w:sz w:val="28"/>
                <w:szCs w:val="28"/>
                <w:rtl/>
              </w:rPr>
              <w:t xml:space="preserve">كانت درجة التأثير </w:t>
            </w:r>
            <w:r w:rsidR="002F204A">
              <w:rPr>
                <w:rFonts w:ascii="Arabic Typesetting" w:hAnsi="Arabic Typesetting" w:cs="Arabic Typesetting" w:hint="cs"/>
                <w:sz w:val="28"/>
                <w:szCs w:val="28"/>
                <w:rtl/>
              </w:rPr>
              <w:t>في</w:t>
            </w:r>
            <w:r w:rsidR="00B8595A" w:rsidRPr="00211D55">
              <w:rPr>
                <w:rFonts w:ascii="Arabic Typesetting" w:hAnsi="Arabic Typesetting" w:cs="Arabic Typesetting"/>
                <w:sz w:val="28"/>
                <w:szCs w:val="28"/>
                <w:rtl/>
              </w:rPr>
              <w:t xml:space="preserve"> مقياس "</w:t>
            </w:r>
            <w:proofErr w:type="spellStart"/>
            <w:r w:rsidR="00B8595A" w:rsidRPr="00211D55">
              <w:rPr>
                <w:rFonts w:ascii="Arabic Typesetting" w:hAnsi="Arabic Typesetting" w:cs="Arabic Typesetting"/>
                <w:sz w:val="28"/>
                <w:szCs w:val="28"/>
              </w:rPr>
              <w:t>Klout</w:t>
            </w:r>
            <w:proofErr w:type="spellEnd"/>
            <w:r w:rsidR="00B8595A" w:rsidRPr="00211D55">
              <w:rPr>
                <w:rFonts w:ascii="Arabic Typesetting" w:hAnsi="Arabic Typesetting" w:cs="Arabic Typesetting"/>
                <w:sz w:val="28"/>
                <w:szCs w:val="28"/>
                <w:rtl/>
              </w:rPr>
              <w:t xml:space="preserve">" 66 في نهاية 2015 و63 في نهاية </w:t>
            </w:r>
            <w:r w:rsidR="00080B95" w:rsidRPr="00211D55">
              <w:rPr>
                <w:rFonts w:ascii="Arabic Typesetting" w:hAnsi="Arabic Typesetting" w:cs="Arabic Typesetting"/>
                <w:sz w:val="28"/>
                <w:szCs w:val="28"/>
                <w:rtl/>
              </w:rPr>
              <w:t>2014</w:t>
            </w:r>
            <w:r w:rsidR="00B8595A" w:rsidRPr="00211D55">
              <w:rPr>
                <w:rFonts w:ascii="Arabic Typesetting" w:hAnsi="Arabic Typesetting" w:cs="Arabic Typesetting"/>
                <w:sz w:val="28"/>
                <w:szCs w:val="28"/>
                <w:rtl/>
              </w:rPr>
              <w:t xml:space="preserve">. </w:t>
            </w:r>
            <w:r w:rsidR="00B8595A" w:rsidRPr="00211D55">
              <w:rPr>
                <w:rFonts w:ascii="Arabic Typesetting" w:hAnsi="Arabic Typesetting" w:cs="Arabic Typesetting"/>
                <w:i/>
                <w:iCs/>
                <w:sz w:val="28"/>
                <w:szCs w:val="28"/>
                <w:rtl/>
              </w:rPr>
              <w:t xml:space="preserve">ملحوظة: أصبح المؤشر منقطع نتيجة لانعدام جدوى مقارنته وجدواه عقب تغيير منهجية </w:t>
            </w:r>
            <w:proofErr w:type="spellStart"/>
            <w:r w:rsidR="00B8595A" w:rsidRPr="00211D55">
              <w:rPr>
                <w:rFonts w:ascii="Arabic Typesetting" w:hAnsi="Arabic Typesetting" w:cs="Arabic Typesetting"/>
                <w:i/>
                <w:iCs/>
                <w:sz w:val="28"/>
                <w:szCs w:val="28"/>
              </w:rPr>
              <w:t>Klout</w:t>
            </w:r>
            <w:proofErr w:type="spellEnd"/>
            <w:r w:rsidR="00080B95" w:rsidRPr="00211D55">
              <w:rPr>
                <w:rFonts w:ascii="Arabic Typesetting" w:hAnsi="Arabic Typesetting" w:cs="Arabic Typesetting"/>
                <w:i/>
                <w:iCs/>
                <w:sz w:val="28"/>
                <w:szCs w:val="28"/>
                <w:rtl/>
              </w:rPr>
              <w:t>.</w:t>
            </w:r>
          </w:p>
          <w:p w:rsidR="00634821" w:rsidRPr="00211D55" w:rsidRDefault="00634821" w:rsidP="001E34F5">
            <w:pPr>
              <w:bidi/>
              <w:spacing w:before="60" w:after="60" w:line="300" w:lineRule="exact"/>
              <w:rPr>
                <w:rFonts w:ascii="Arabic Typesetting" w:hAnsi="Arabic Typesetting" w:cs="Arabic Typesetting"/>
                <w:sz w:val="28"/>
                <w:szCs w:val="28"/>
              </w:rPr>
            </w:pPr>
          </w:p>
          <w:p w:rsidR="00634821" w:rsidRPr="00211D55" w:rsidRDefault="00634821" w:rsidP="00B8595A">
            <w:pPr>
              <w:bidi/>
              <w:spacing w:before="60" w:after="60" w:line="300" w:lineRule="exact"/>
              <w:rPr>
                <w:rFonts w:ascii="Arabic Typesetting" w:hAnsi="Arabic Typesetting" w:cs="Arabic Typesetting"/>
                <w:sz w:val="28"/>
                <w:szCs w:val="28"/>
                <w:highlight w:val="yellow"/>
              </w:rPr>
            </w:pPr>
            <w:r w:rsidRPr="00211D55">
              <w:rPr>
                <w:rFonts w:ascii="Arabic Typesetting" w:hAnsi="Arabic Typesetting" w:cs="Arabic Typesetting"/>
                <w:sz w:val="28"/>
                <w:szCs w:val="28"/>
                <w:rtl/>
              </w:rPr>
              <w:t xml:space="preserve">"2" بلغ عدد مرات إعادة نشر </w:t>
            </w:r>
            <w:proofErr w:type="spellStart"/>
            <w:r w:rsidRPr="00211D55">
              <w:rPr>
                <w:rFonts w:ascii="Arabic Typesetting" w:hAnsi="Arabic Typesetting" w:cs="Arabic Typesetting"/>
                <w:sz w:val="28"/>
                <w:szCs w:val="28"/>
                <w:rtl/>
              </w:rPr>
              <w:t>التغريدات</w:t>
            </w:r>
            <w:proofErr w:type="spellEnd"/>
            <w:r w:rsidR="00B8595A" w:rsidRPr="00211D55">
              <w:rPr>
                <w:rFonts w:ascii="Arabic Typesetting" w:hAnsi="Arabic Typesetting" w:cs="Arabic Typesetting"/>
                <w:sz w:val="28"/>
                <w:szCs w:val="28"/>
                <w:rtl/>
              </w:rPr>
              <w:t xml:space="preserve"> في السنة 362 13</w:t>
            </w:r>
            <w:r w:rsidRPr="00211D55">
              <w:rPr>
                <w:rFonts w:ascii="Arabic Typesetting" w:hAnsi="Arabic Typesetting" w:cs="Arabic Typesetting"/>
                <w:sz w:val="28"/>
                <w:szCs w:val="28"/>
                <w:rtl/>
              </w:rPr>
              <w:t xml:space="preserve"> </w:t>
            </w:r>
            <w:r w:rsidR="00B8595A" w:rsidRPr="00211D55">
              <w:rPr>
                <w:rFonts w:ascii="Arabic Typesetting" w:hAnsi="Arabic Typesetting" w:cs="Arabic Typesetting"/>
                <w:sz w:val="28"/>
                <w:szCs w:val="28"/>
                <w:rtl/>
              </w:rPr>
              <w:t>أي ب</w:t>
            </w:r>
            <w:r w:rsidRPr="00211D55">
              <w:rPr>
                <w:rFonts w:ascii="Arabic Typesetting" w:hAnsi="Arabic Typesetting" w:cs="Arabic Typesetting"/>
                <w:sz w:val="28"/>
                <w:szCs w:val="28"/>
                <w:rtl/>
              </w:rPr>
              <w:t xml:space="preserve">زيادة </w:t>
            </w:r>
            <w:r w:rsidR="00B8595A" w:rsidRPr="00211D55">
              <w:rPr>
                <w:rFonts w:ascii="Arabic Typesetting" w:hAnsi="Arabic Typesetting" w:cs="Arabic Typesetting"/>
                <w:sz w:val="28"/>
                <w:szCs w:val="28"/>
                <w:rtl/>
              </w:rPr>
              <w:t>نسبتها</w:t>
            </w:r>
            <w:r w:rsidRPr="00211D55">
              <w:rPr>
                <w:rFonts w:ascii="Arabic Typesetting" w:hAnsi="Arabic Typesetting" w:cs="Arabic Typesetting"/>
                <w:sz w:val="28"/>
                <w:szCs w:val="28"/>
                <w:rtl/>
              </w:rPr>
              <w:t xml:space="preserve"> </w:t>
            </w:r>
            <w:r w:rsidR="00B8595A" w:rsidRPr="00211D55">
              <w:rPr>
                <w:rFonts w:ascii="Arabic Typesetting" w:hAnsi="Arabic Typesetting" w:cs="Arabic Typesetting"/>
                <w:sz w:val="28"/>
                <w:szCs w:val="28"/>
                <w:rtl/>
              </w:rPr>
              <w:t>171</w:t>
            </w:r>
            <w:r w:rsidRPr="00211D55">
              <w:rPr>
                <w:rFonts w:ascii="Arabic Typesetting" w:hAnsi="Arabic Typesetting" w:cs="Arabic Typesetting"/>
                <w:sz w:val="28"/>
                <w:szCs w:val="28"/>
                <w:rtl/>
              </w:rPr>
              <w:t xml:space="preserve">% </w:t>
            </w:r>
            <w:r w:rsidR="00B8595A" w:rsidRPr="00211D55">
              <w:rPr>
                <w:rFonts w:ascii="Arabic Typesetting" w:hAnsi="Arabic Typesetting" w:cs="Arabic Typesetting"/>
                <w:sz w:val="28"/>
                <w:szCs w:val="28"/>
                <w:rtl/>
              </w:rPr>
              <w:t xml:space="preserve">مقارنة بالثنائية </w:t>
            </w:r>
            <w:r w:rsidR="00507DE2">
              <w:rPr>
                <w:rFonts w:ascii="Arabic Typesetting" w:hAnsi="Arabic Typesetting" w:cs="Arabic Typesetting"/>
                <w:sz w:val="28"/>
                <w:szCs w:val="28"/>
                <w:rtl/>
              </w:rPr>
              <w:t>2012/13</w:t>
            </w:r>
          </w:p>
        </w:tc>
        <w:tc>
          <w:tcPr>
            <w:tcW w:w="444" w:type="pct"/>
            <w:tcBorders>
              <w:bottom w:val="single" w:sz="4" w:space="0" w:color="auto"/>
            </w:tcBorders>
            <w:tcMar>
              <w:top w:w="110" w:type="dxa"/>
            </w:tcMar>
          </w:tcPr>
          <w:p w:rsidR="00634821" w:rsidRPr="00211D55" w:rsidRDefault="00B8595A" w:rsidP="001E34F5">
            <w:pPr>
              <w:bidi/>
              <w:spacing w:before="60" w:after="60" w:line="30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منقطع</w:t>
            </w:r>
          </w:p>
          <w:p w:rsidR="00634821" w:rsidRPr="00211D55" w:rsidRDefault="00634821" w:rsidP="001E34F5">
            <w:pPr>
              <w:bidi/>
              <w:spacing w:before="60" w:after="60" w:line="300" w:lineRule="exact"/>
              <w:jc w:val="center"/>
              <w:rPr>
                <w:rFonts w:ascii="Arabic Typesetting" w:hAnsi="Arabic Typesetting" w:cs="Arabic Typesetting"/>
                <w:b/>
                <w:bCs/>
                <w:color w:val="00B050"/>
                <w:sz w:val="28"/>
                <w:szCs w:val="28"/>
              </w:rPr>
            </w:pPr>
          </w:p>
          <w:p w:rsidR="00634821" w:rsidRPr="00211D55" w:rsidRDefault="00634821" w:rsidP="001E34F5">
            <w:pPr>
              <w:bidi/>
              <w:spacing w:before="60" w:after="60" w:line="300" w:lineRule="exact"/>
              <w:jc w:val="center"/>
              <w:rPr>
                <w:rFonts w:ascii="Arabic Typesetting" w:hAnsi="Arabic Typesetting" w:cs="Arabic Typesetting"/>
                <w:b/>
                <w:bCs/>
                <w:color w:val="00B050"/>
                <w:sz w:val="28"/>
                <w:szCs w:val="28"/>
              </w:rPr>
            </w:pPr>
          </w:p>
          <w:p w:rsidR="00634821" w:rsidRPr="00211D55" w:rsidRDefault="00634821" w:rsidP="001E34F5">
            <w:pPr>
              <w:bidi/>
              <w:spacing w:before="60" w:after="60" w:line="300" w:lineRule="exact"/>
              <w:jc w:val="center"/>
              <w:rPr>
                <w:rFonts w:ascii="Arabic Typesetting" w:hAnsi="Arabic Typesetting" w:cs="Arabic Typesetting"/>
                <w:b/>
                <w:bCs/>
                <w:color w:val="00B050"/>
                <w:sz w:val="28"/>
                <w:szCs w:val="28"/>
                <w:rtl/>
              </w:rPr>
            </w:pPr>
          </w:p>
          <w:p w:rsidR="00B8595A" w:rsidRPr="00211D55" w:rsidRDefault="00B8595A" w:rsidP="00B8595A">
            <w:pPr>
              <w:bidi/>
              <w:spacing w:before="60" w:after="60" w:line="300" w:lineRule="exact"/>
              <w:jc w:val="center"/>
              <w:rPr>
                <w:rFonts w:ascii="Arabic Typesetting" w:hAnsi="Arabic Typesetting" w:cs="Arabic Typesetting"/>
                <w:b/>
                <w:bCs/>
                <w:color w:val="00B050"/>
                <w:sz w:val="28"/>
                <w:szCs w:val="28"/>
                <w:rtl/>
              </w:rPr>
            </w:pPr>
          </w:p>
          <w:p w:rsidR="00B8595A" w:rsidRPr="00211D55" w:rsidRDefault="00B8595A" w:rsidP="00B8595A">
            <w:pPr>
              <w:bidi/>
              <w:spacing w:before="60" w:after="60" w:line="300" w:lineRule="exact"/>
              <w:jc w:val="center"/>
              <w:rPr>
                <w:rFonts w:ascii="Arabic Typesetting" w:hAnsi="Arabic Typesetting" w:cs="Arabic Typesetting"/>
                <w:b/>
                <w:bCs/>
                <w:color w:val="00B050"/>
                <w:sz w:val="28"/>
                <w:szCs w:val="28"/>
              </w:rPr>
            </w:pPr>
          </w:p>
          <w:p w:rsidR="00634821" w:rsidRPr="00211D55" w:rsidRDefault="00B8595A" w:rsidP="001E34F5">
            <w:pPr>
              <w:bidi/>
              <w:spacing w:before="60" w:after="60" w:line="300" w:lineRule="exact"/>
              <w:jc w:val="center"/>
              <w:rPr>
                <w:rFonts w:ascii="Arabic Typesetting" w:hAnsi="Arabic Typesetting" w:cs="Arabic Typesetting"/>
                <w:color w:val="808080"/>
                <w:sz w:val="28"/>
                <w:szCs w:val="28"/>
              </w:rPr>
            </w:pPr>
            <w:r w:rsidRPr="00211D55">
              <w:rPr>
                <w:rFonts w:ascii="Arabic Typesetting" w:hAnsi="Arabic Typesetting" w:cs="Arabic Typesetting"/>
                <w:b/>
                <w:bCs/>
                <w:color w:val="00B050"/>
                <w:sz w:val="28"/>
                <w:szCs w:val="28"/>
                <w:rtl/>
              </w:rPr>
              <w:t>محقق كلياً</w:t>
            </w:r>
          </w:p>
        </w:tc>
      </w:tr>
      <w:tr w:rsidR="00634821" w:rsidRPr="00211D55" w:rsidTr="00080B95">
        <w:trPr>
          <w:gridBefore w:val="1"/>
          <w:wBefore w:w="6" w:type="pct"/>
          <w:cantSplit/>
        </w:trPr>
        <w:tc>
          <w:tcPr>
            <w:tcW w:w="4994" w:type="pct"/>
            <w:gridSpan w:val="5"/>
            <w:tcBorders>
              <w:top w:val="single" w:sz="4" w:space="0" w:color="auto"/>
              <w:bottom w:val="single" w:sz="4" w:space="0" w:color="auto"/>
            </w:tcBorders>
            <w:shd w:val="clear" w:color="auto" w:fill="C6D9F1" w:themeFill="text2" w:themeFillTint="33"/>
            <w:vAlign w:val="center"/>
          </w:tcPr>
          <w:p w:rsidR="00634821" w:rsidRPr="006767AA" w:rsidRDefault="00634821" w:rsidP="00062F72">
            <w:pPr>
              <w:keepNext/>
              <w:bidi/>
              <w:spacing w:after="60" w:line="280" w:lineRule="exact"/>
              <w:ind w:left="1167" w:hanging="1167"/>
              <w:rPr>
                <w:rFonts w:ascii="Arabic Typesetting" w:hAnsi="Arabic Typesetting" w:cs="Arabic Typesetting"/>
                <w:sz w:val="28"/>
                <w:szCs w:val="28"/>
              </w:rPr>
            </w:pPr>
            <w:r w:rsidRPr="006767AA">
              <w:rPr>
                <w:rFonts w:ascii="Arabic Typesetting" w:hAnsi="Arabic Typesetting" w:cs="Arabic Typesetting"/>
                <w:b/>
                <w:bCs/>
                <w:sz w:val="28"/>
                <w:szCs w:val="28"/>
                <w:rtl/>
              </w:rPr>
              <w:t>النتيجة المرتقبة</w:t>
            </w:r>
            <w:r w:rsidRPr="006767AA">
              <w:rPr>
                <w:rFonts w:ascii="Arabic Typesetting" w:hAnsi="Arabic Typesetting" w:cs="Arabic Typesetting"/>
                <w:sz w:val="28"/>
                <w:szCs w:val="28"/>
              </w:rPr>
              <w:t>:</w:t>
            </w:r>
            <w:r w:rsidRPr="006767AA">
              <w:rPr>
                <w:rFonts w:ascii="Arabic Typesetting" w:hAnsi="Arabic Typesetting" w:cs="Arabic Typesetting"/>
                <w:sz w:val="28"/>
                <w:szCs w:val="28"/>
              </w:rPr>
              <w:tab/>
            </w:r>
            <w:r w:rsidRPr="006767AA">
              <w:rPr>
                <w:rFonts w:ascii="Arabic Typesetting" w:hAnsi="Arabic Typesetting" w:cs="Arabic Typesetting"/>
                <w:sz w:val="28"/>
                <w:szCs w:val="28"/>
                <w:rtl/>
              </w:rPr>
              <w:t xml:space="preserve">ھ2.8 </w:t>
            </w:r>
            <w:r w:rsidR="009947B0">
              <w:rPr>
                <w:rFonts w:ascii="Arabic Typesetting" w:hAnsi="Arabic Typesetting" w:cs="Arabic Typesetting"/>
                <w:sz w:val="28"/>
                <w:szCs w:val="28"/>
                <w:rtl/>
              </w:rPr>
              <w:t>تحسين التوجّه نحو الخدمات والاستجابة للاستفسارات</w:t>
            </w:r>
          </w:p>
        </w:tc>
      </w:tr>
      <w:tr w:rsidR="00634821" w:rsidRPr="00211D55" w:rsidTr="00FE7EA6">
        <w:trPr>
          <w:gridBefore w:val="1"/>
          <w:wBefore w:w="6" w:type="pct"/>
          <w:cantSplit/>
        </w:trPr>
        <w:tc>
          <w:tcPr>
            <w:tcW w:w="952" w:type="pct"/>
            <w:tcBorders>
              <w:top w:val="single" w:sz="4" w:space="0" w:color="auto"/>
            </w:tcBorders>
            <w:vAlign w:val="center"/>
          </w:tcPr>
          <w:p w:rsidR="00634821" w:rsidRPr="00211D55" w:rsidRDefault="00634821" w:rsidP="001E34F5">
            <w:pPr>
              <w:bidi/>
              <w:spacing w:before="60" w:after="60" w:line="300" w:lineRule="exact"/>
              <w:rPr>
                <w:rFonts w:ascii="Arabic Typesetting" w:hAnsi="Arabic Typesetting" w:cs="Arabic Typesetting"/>
                <w:sz w:val="28"/>
                <w:szCs w:val="28"/>
                <w:lang w:bidi="ar-EG"/>
              </w:rPr>
            </w:pPr>
            <w:r w:rsidRPr="00211D55">
              <w:rPr>
                <w:rFonts w:ascii="Arabic Typesetting" w:hAnsi="Arabic Typesetting" w:cs="Arabic Typesetting"/>
                <w:b/>
                <w:bCs/>
                <w:sz w:val="28"/>
                <w:szCs w:val="28"/>
                <w:rtl/>
              </w:rPr>
              <w:t>مؤشرات الأداء</w:t>
            </w:r>
          </w:p>
        </w:tc>
        <w:tc>
          <w:tcPr>
            <w:tcW w:w="1283" w:type="pct"/>
            <w:tcBorders>
              <w:top w:val="single" w:sz="4" w:space="0" w:color="auto"/>
            </w:tcBorders>
            <w:shd w:val="clear" w:color="auto" w:fill="auto"/>
            <w:vAlign w:val="center"/>
          </w:tcPr>
          <w:p w:rsidR="00634821" w:rsidRPr="00211D55" w:rsidRDefault="00634821" w:rsidP="001E34F5">
            <w:pPr>
              <w:bidi/>
              <w:spacing w:before="60" w:after="60" w:line="30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965" w:type="pct"/>
            <w:tcBorders>
              <w:top w:val="single" w:sz="4" w:space="0" w:color="auto"/>
            </w:tcBorders>
            <w:tcMar>
              <w:top w:w="110" w:type="dxa"/>
            </w:tcMar>
            <w:vAlign w:val="center"/>
          </w:tcPr>
          <w:p w:rsidR="00634821" w:rsidRPr="00211D55" w:rsidRDefault="00634821" w:rsidP="001E34F5">
            <w:pPr>
              <w:bidi/>
              <w:spacing w:before="60" w:after="60" w:line="30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350" w:type="pct"/>
            <w:tcBorders>
              <w:top w:val="single" w:sz="4" w:space="0" w:color="auto"/>
            </w:tcBorders>
            <w:shd w:val="clear" w:color="auto" w:fill="FFFFFF"/>
            <w:tcMar>
              <w:top w:w="110" w:type="dxa"/>
            </w:tcMar>
            <w:vAlign w:val="cente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444" w:type="pct"/>
            <w:tcBorders>
              <w:top w:val="single" w:sz="4" w:space="0" w:color="auto"/>
            </w:tcBorders>
            <w:tcMar>
              <w:top w:w="110" w:type="dxa"/>
            </w:tcMar>
            <w:vAlign w:val="center"/>
          </w:tcPr>
          <w:p w:rsidR="00634821" w:rsidRPr="00211D55" w:rsidRDefault="00634821" w:rsidP="001E34F5">
            <w:pPr>
              <w:bidi/>
              <w:spacing w:before="60" w:after="60" w:line="30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634821" w:rsidRPr="00211D55" w:rsidTr="00FE7EA6">
        <w:trPr>
          <w:gridBefore w:val="1"/>
          <w:wBefore w:w="6" w:type="pct"/>
          <w:cantSplit/>
        </w:trPr>
        <w:tc>
          <w:tcPr>
            <w:tcW w:w="952" w:type="pct"/>
          </w:tcPr>
          <w:p w:rsidR="00634821" w:rsidRPr="00211D55" w:rsidRDefault="00634821" w:rsidP="001E34F5">
            <w:pPr>
              <w:bidi/>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النسبة المئوية للمستخدمين الراضين عن خدمات</w:t>
            </w:r>
            <w:r w:rsidRPr="00211D55">
              <w:rPr>
                <w:rFonts w:ascii="Arabic Typesetting" w:hAnsi="Arabic Typesetting" w:cs="Arabic Typesetting"/>
                <w:sz w:val="28"/>
                <w:szCs w:val="28"/>
              </w:rPr>
              <w:t xml:space="preserve"> </w:t>
            </w:r>
            <w:r w:rsidRPr="00211D55">
              <w:rPr>
                <w:rFonts w:ascii="Arabic Typesetting" w:hAnsi="Arabic Typesetting" w:cs="Arabic Typesetting"/>
                <w:sz w:val="28"/>
                <w:szCs w:val="28"/>
                <w:rtl/>
              </w:rPr>
              <w:t>المكتب</w:t>
            </w:r>
            <w:r w:rsidRPr="00211D55">
              <w:rPr>
                <w:rFonts w:ascii="Arabic Typesetting" w:hAnsi="Arabic Typesetting" w:cs="Arabic Typesetting"/>
                <w:sz w:val="28"/>
                <w:szCs w:val="28"/>
                <w:rtl/>
                <w:lang w:bidi="ar-EG"/>
              </w:rPr>
              <w:t>ة</w:t>
            </w:r>
          </w:p>
        </w:tc>
        <w:tc>
          <w:tcPr>
            <w:tcW w:w="1283" w:type="pct"/>
            <w:shd w:val="clear" w:color="auto" w:fill="auto"/>
          </w:tcPr>
          <w:p w:rsidR="006767AA" w:rsidRDefault="00634821" w:rsidP="006767AA">
            <w:pPr>
              <w:bidi/>
              <w:spacing w:before="60" w:line="300" w:lineRule="exact"/>
              <w:rPr>
                <w:rFonts w:ascii="Arabic Typesetting" w:hAnsi="Arabic Typesetting" w:cs="Arabic Typesetting"/>
                <w:i/>
                <w:color w:val="002060"/>
                <w:sz w:val="28"/>
                <w:szCs w:val="28"/>
                <w:rtl/>
              </w:rPr>
            </w:pPr>
            <w:r w:rsidRPr="00211D55">
              <w:rPr>
                <w:rFonts w:ascii="Arabic Typesetting" w:hAnsi="Arabic Typesetting" w:cs="Arabic Typesetting"/>
                <w:iCs/>
                <w:color w:val="002060"/>
                <w:sz w:val="28"/>
                <w:szCs w:val="28"/>
                <w:rtl/>
              </w:rPr>
              <w:t>أساس المقارنة المُحدَّث في نهاية 2013:</w:t>
            </w:r>
          </w:p>
          <w:p w:rsidR="00634821" w:rsidRPr="00211D55" w:rsidRDefault="00634821" w:rsidP="006767AA">
            <w:pPr>
              <w:bidi/>
              <w:spacing w:after="60"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94% من الذين أجابوا عن استبيان للآراء أُرسِل إلى الزوار الخارجين المُسجَّلين (مستخدمي المكتبة) الذين كانوا قد استخدموا المكتبة في عام 2013 كانوا راضين أو راضين للغاية</w:t>
            </w:r>
          </w:p>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يُحدَّد لاحقاً</w:t>
            </w:r>
          </w:p>
        </w:tc>
        <w:tc>
          <w:tcPr>
            <w:tcW w:w="965" w:type="pct"/>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70% أو أكثر </w:t>
            </w:r>
            <w:r w:rsidR="00FB2BCA">
              <w:rPr>
                <w:rFonts w:ascii="Arabic Typesetting" w:hAnsi="Arabic Typesetting" w:cs="Arabic Typesetting"/>
                <w:sz w:val="28"/>
                <w:szCs w:val="28"/>
                <w:rtl/>
              </w:rPr>
              <w:t>من زوار المكتبة والزبائن على ال</w:t>
            </w:r>
            <w:r w:rsidR="00FB2BCA">
              <w:rPr>
                <w:rFonts w:ascii="Arabic Typesetting" w:hAnsi="Arabic Typesetting" w:cs="Arabic Typesetting" w:hint="cs"/>
                <w:sz w:val="28"/>
                <w:szCs w:val="28"/>
                <w:rtl/>
              </w:rPr>
              <w:t>إ</w:t>
            </w:r>
            <w:r w:rsidRPr="00211D55">
              <w:rPr>
                <w:rFonts w:ascii="Arabic Typesetting" w:hAnsi="Arabic Typesetting" w:cs="Arabic Typesetting"/>
                <w:sz w:val="28"/>
                <w:szCs w:val="28"/>
                <w:rtl/>
              </w:rPr>
              <w:t>نترنت راضون للغاية</w:t>
            </w:r>
          </w:p>
        </w:tc>
        <w:tc>
          <w:tcPr>
            <w:tcW w:w="1350" w:type="pct"/>
            <w:shd w:val="clear" w:color="auto" w:fill="FFFFFF"/>
            <w:tcMar>
              <w:top w:w="110" w:type="dxa"/>
            </w:tcMar>
          </w:tcPr>
          <w:p w:rsidR="00634821" w:rsidRPr="00211D55" w:rsidRDefault="00080B95" w:rsidP="00080B9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70</w:t>
            </w:r>
            <w:r w:rsidR="00634821" w:rsidRPr="00211D55">
              <w:rPr>
                <w:rFonts w:ascii="Arabic Typesetting" w:hAnsi="Arabic Typesetting" w:cs="Arabic Typesetting"/>
                <w:sz w:val="28"/>
                <w:szCs w:val="28"/>
                <w:rtl/>
              </w:rPr>
              <w:t xml:space="preserve">% من الذين أجابوا عن استبيان لآراء مستخدمي المكتبة كانوا راضين </w:t>
            </w:r>
            <w:r w:rsidRPr="00211D55">
              <w:rPr>
                <w:rFonts w:ascii="Arabic Typesetting" w:hAnsi="Arabic Typesetting" w:cs="Arabic Typesetting"/>
                <w:sz w:val="28"/>
                <w:szCs w:val="28"/>
                <w:rtl/>
              </w:rPr>
              <w:t xml:space="preserve">للغاية </w:t>
            </w:r>
            <w:r w:rsidR="00634821" w:rsidRPr="00211D55">
              <w:rPr>
                <w:rFonts w:ascii="Arabic Typesetting" w:hAnsi="Arabic Typesetting" w:cs="Arabic Typesetting"/>
                <w:sz w:val="28"/>
                <w:szCs w:val="28"/>
                <w:rtl/>
              </w:rPr>
              <w:t>عن الخدمات</w:t>
            </w:r>
            <w:r w:rsidRPr="00211D55">
              <w:rPr>
                <w:rFonts w:ascii="Arabic Typesetting" w:hAnsi="Arabic Typesetting" w:cs="Arabic Typesetting"/>
                <w:sz w:val="28"/>
                <w:szCs w:val="28"/>
                <w:rtl/>
              </w:rPr>
              <w:t xml:space="preserve"> (100% راضون أو راضون للغاية)</w:t>
            </w:r>
          </w:p>
        </w:tc>
        <w:tc>
          <w:tcPr>
            <w:tcW w:w="444" w:type="pct"/>
            <w:tcMar>
              <w:top w:w="110" w:type="dxa"/>
            </w:tcMar>
          </w:tcPr>
          <w:p w:rsidR="00634821" w:rsidRPr="00211D55" w:rsidRDefault="00080B95" w:rsidP="001E34F5">
            <w:pPr>
              <w:bidi/>
              <w:spacing w:before="60" w:after="60" w:line="300" w:lineRule="exact"/>
              <w:jc w:val="center"/>
              <w:rPr>
                <w:rFonts w:ascii="Arabic Typesetting" w:hAnsi="Arabic Typesetting" w:cs="Arabic Typesetting"/>
                <w:color w:val="808080"/>
                <w:sz w:val="28"/>
                <w:szCs w:val="28"/>
              </w:rPr>
            </w:pPr>
            <w:r w:rsidRPr="00211D55">
              <w:rPr>
                <w:rFonts w:ascii="Arabic Typesetting" w:hAnsi="Arabic Typesetting" w:cs="Arabic Typesetting"/>
                <w:b/>
                <w:bCs/>
                <w:color w:val="00B050"/>
                <w:sz w:val="28"/>
                <w:szCs w:val="28"/>
                <w:rtl/>
              </w:rPr>
              <w:t>محقق كلياً</w:t>
            </w:r>
          </w:p>
        </w:tc>
      </w:tr>
      <w:tr w:rsidR="00634821" w:rsidRPr="00211D55" w:rsidTr="00FE7EA6">
        <w:trPr>
          <w:gridBefore w:val="1"/>
          <w:wBefore w:w="6" w:type="pct"/>
          <w:cantSplit/>
        </w:trPr>
        <w:tc>
          <w:tcPr>
            <w:tcW w:w="952" w:type="pct"/>
          </w:tcPr>
          <w:p w:rsidR="00634821" w:rsidRPr="00211D55" w:rsidRDefault="006767AA" w:rsidP="006767AA">
            <w:pPr>
              <w:bidi/>
              <w:spacing w:before="60" w:after="60" w:line="300" w:lineRule="exact"/>
              <w:rPr>
                <w:rFonts w:ascii="Arabic Typesetting" w:hAnsi="Arabic Typesetting" w:cs="Arabic Typesetting"/>
                <w:sz w:val="28"/>
                <w:szCs w:val="28"/>
              </w:rPr>
            </w:pPr>
            <w:r>
              <w:rPr>
                <w:rFonts w:ascii="Arabic Typesetting" w:hAnsi="Arabic Typesetting" w:cs="Arabic Typesetting"/>
                <w:sz w:val="28"/>
                <w:szCs w:val="28"/>
                <w:rtl/>
              </w:rPr>
              <w:t>نسبة رضا الزبائن</w:t>
            </w:r>
            <w:r>
              <w:rPr>
                <w:rFonts w:ascii="Arabic Typesetting" w:hAnsi="Arabic Typesetting" w:cs="Arabic Typesetting" w:hint="cs"/>
                <w:sz w:val="28"/>
                <w:szCs w:val="28"/>
                <w:rtl/>
              </w:rPr>
              <w:t xml:space="preserve"> و</w:t>
            </w:r>
            <w:r w:rsidR="00634821" w:rsidRPr="00211D55">
              <w:rPr>
                <w:rFonts w:ascii="Arabic Typesetting" w:hAnsi="Arabic Typesetting" w:cs="Arabic Typesetting"/>
                <w:sz w:val="28"/>
                <w:szCs w:val="28"/>
                <w:rtl/>
              </w:rPr>
              <w:t>أصحاب المصالح</w:t>
            </w:r>
          </w:p>
        </w:tc>
        <w:tc>
          <w:tcPr>
            <w:tcW w:w="1283" w:type="pct"/>
            <w:shd w:val="clear" w:color="auto" w:fill="auto"/>
          </w:tcPr>
          <w:p w:rsidR="00634821" w:rsidRPr="00211D55" w:rsidRDefault="00634821" w:rsidP="001E34F5">
            <w:pPr>
              <w:bidi/>
              <w:spacing w:before="60" w:after="60" w:line="300" w:lineRule="exact"/>
              <w:rPr>
                <w:rFonts w:ascii="Arabic Typesetting" w:hAnsi="Arabic Typesetting" w:cs="Arabic Typesetting"/>
                <w:iCs/>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p>
          <w:p w:rsidR="00634821" w:rsidRPr="00211D55" w:rsidRDefault="00634821" w:rsidP="001E34F5">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84% من زبائن نظامي مدريد ولاهاي راضون أو راضون للغاية:</w:t>
            </w:r>
            <w:r w:rsidRPr="00211D55">
              <w:rPr>
                <w:rFonts w:ascii="Arabic Typesetting" w:hAnsi="Arabic Typesetting" w:cs="Arabic Typesetting"/>
                <w:color w:val="002060"/>
                <w:sz w:val="28"/>
                <w:szCs w:val="28"/>
                <w:rtl/>
              </w:rPr>
              <w:br/>
              <w:t>مدريد = 80%</w:t>
            </w:r>
          </w:p>
          <w:p w:rsidR="00634821" w:rsidRPr="00211D55" w:rsidRDefault="00634821" w:rsidP="001E34F5">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لاهاي = 88%</w:t>
            </w:r>
          </w:p>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نتائج استقصاء 2012: 86% من زبائن نظامي مدريد ولاهاي راضون أو راضون للغاية</w:t>
            </w:r>
          </w:p>
        </w:tc>
        <w:tc>
          <w:tcPr>
            <w:tcW w:w="965" w:type="pct"/>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86% أو أكثر راضون أو راضون للغاية</w:t>
            </w:r>
          </w:p>
        </w:tc>
        <w:tc>
          <w:tcPr>
            <w:tcW w:w="1350" w:type="pct"/>
            <w:shd w:val="clear" w:color="auto" w:fill="FFFFFF"/>
            <w:tcMar>
              <w:top w:w="110" w:type="dxa"/>
            </w:tcMar>
          </w:tcPr>
          <w:p w:rsidR="00634821" w:rsidRPr="00211D55" w:rsidRDefault="00634821" w:rsidP="00080B9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كان </w:t>
            </w:r>
            <w:r w:rsidR="00080B95" w:rsidRPr="00211D55">
              <w:rPr>
                <w:rFonts w:ascii="Arabic Typesetting" w:hAnsi="Arabic Typesetting" w:cs="Arabic Typesetting"/>
                <w:sz w:val="28"/>
                <w:szCs w:val="28"/>
                <w:rtl/>
              </w:rPr>
              <w:t>85% من زبائن نظامي معاهدة البراءات ومدريد</w:t>
            </w:r>
            <w:r w:rsidRPr="00211D55">
              <w:rPr>
                <w:rFonts w:ascii="Arabic Typesetting" w:hAnsi="Arabic Typesetting" w:cs="Arabic Typesetting"/>
                <w:sz w:val="28"/>
                <w:szCs w:val="28"/>
                <w:rtl/>
              </w:rPr>
              <w:t xml:space="preserve"> راضين أو راضين للغاية</w:t>
            </w:r>
          </w:p>
          <w:p w:rsidR="00634821" w:rsidRPr="00211D55" w:rsidRDefault="00080B95" w:rsidP="001E34F5">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معاهدة البراءات = 89%</w:t>
            </w:r>
          </w:p>
          <w:p w:rsidR="00080B95" w:rsidRPr="00211D55" w:rsidRDefault="00080B95" w:rsidP="00080B95">
            <w:pPr>
              <w:bidi/>
              <w:spacing w:before="60" w:after="60" w:line="30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مدريد = 81%</w:t>
            </w:r>
          </w:p>
          <w:p w:rsidR="00634821" w:rsidRPr="00211D55" w:rsidRDefault="00080B95" w:rsidP="00080B95">
            <w:pPr>
              <w:bidi/>
              <w:spacing w:before="60" w:after="60" w:line="300" w:lineRule="exact"/>
              <w:rPr>
                <w:rFonts w:ascii="Arabic Typesetting" w:hAnsi="Arabic Typesetting" w:cs="Arabic Typesetting"/>
                <w:sz w:val="28"/>
                <w:szCs w:val="28"/>
                <w:highlight w:val="yellow"/>
              </w:rPr>
            </w:pPr>
            <w:r w:rsidRPr="00211D55">
              <w:rPr>
                <w:rFonts w:ascii="Arabic Typesetting" w:hAnsi="Arabic Typesetting" w:cs="Arabic Typesetting"/>
                <w:sz w:val="28"/>
                <w:szCs w:val="28"/>
                <w:rtl/>
              </w:rPr>
              <w:t xml:space="preserve">لم يقيم رضا زبائن نظام لاهاي في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w:t>
            </w:r>
          </w:p>
        </w:tc>
        <w:tc>
          <w:tcPr>
            <w:tcW w:w="444" w:type="pct"/>
            <w:tcMar>
              <w:top w:w="110" w:type="dxa"/>
            </w:tcMar>
          </w:tcPr>
          <w:p w:rsidR="00080B95" w:rsidRPr="00211D55" w:rsidRDefault="00080B95" w:rsidP="001E34F5">
            <w:pPr>
              <w:bidi/>
              <w:spacing w:before="60" w:after="60" w:line="300" w:lineRule="exact"/>
              <w:jc w:val="center"/>
              <w:rPr>
                <w:rFonts w:ascii="Arabic Typesetting" w:hAnsi="Arabic Typesetting" w:cs="Arabic Typesetting"/>
                <w:b/>
                <w:bCs/>
                <w:color w:val="00B050"/>
                <w:sz w:val="28"/>
                <w:szCs w:val="28"/>
                <w:rtl/>
              </w:rPr>
            </w:pPr>
          </w:p>
          <w:p w:rsidR="00080B95" w:rsidRPr="00211D55" w:rsidRDefault="00080B95" w:rsidP="00080B95">
            <w:pPr>
              <w:bidi/>
              <w:spacing w:before="60" w:after="60" w:line="300" w:lineRule="exact"/>
              <w:jc w:val="center"/>
              <w:rPr>
                <w:rFonts w:ascii="Arabic Typesetting" w:hAnsi="Arabic Typesetting" w:cs="Arabic Typesetting"/>
                <w:b/>
                <w:bCs/>
                <w:color w:val="00B050"/>
                <w:sz w:val="28"/>
                <w:szCs w:val="28"/>
                <w:rtl/>
              </w:rPr>
            </w:pPr>
          </w:p>
          <w:p w:rsidR="00634821" w:rsidRPr="00211D55" w:rsidRDefault="00080B95" w:rsidP="00080B95">
            <w:pPr>
              <w:bidi/>
              <w:spacing w:before="300" w:after="60" w:line="30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080B95" w:rsidRPr="00211D55" w:rsidRDefault="00080B95" w:rsidP="00080B95">
            <w:pPr>
              <w:bidi/>
              <w:spacing w:before="60" w:after="60" w:line="30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634821" w:rsidRPr="00211D55" w:rsidRDefault="00080B95" w:rsidP="00080B95">
            <w:pPr>
              <w:bidi/>
              <w:spacing w:before="60" w:after="60" w:line="280" w:lineRule="exact"/>
              <w:rPr>
                <w:rFonts w:ascii="Arabic Typesetting" w:hAnsi="Arabic Typesetting" w:cs="Arabic Typesetting"/>
                <w:b/>
                <w:bCs/>
                <w:color w:val="808080"/>
                <w:sz w:val="28"/>
                <w:szCs w:val="28"/>
              </w:rPr>
            </w:pPr>
            <w:r w:rsidRPr="00211D55">
              <w:rPr>
                <w:rFonts w:ascii="Arabic Typesetting" w:hAnsi="Arabic Typesetting" w:cs="Arabic Typesetting"/>
                <w:b/>
                <w:bCs/>
                <w:color w:val="808080"/>
                <w:sz w:val="28"/>
                <w:szCs w:val="28"/>
                <w:rtl/>
              </w:rPr>
              <w:t>غير قابل للقياس</w:t>
            </w:r>
          </w:p>
        </w:tc>
      </w:tr>
      <w:tr w:rsidR="00634821" w:rsidRPr="00211D55" w:rsidTr="00FE7EA6">
        <w:trPr>
          <w:gridBefore w:val="1"/>
          <w:wBefore w:w="6" w:type="pct"/>
          <w:cantSplit/>
        </w:trPr>
        <w:tc>
          <w:tcPr>
            <w:tcW w:w="952" w:type="pct"/>
            <w:tcBorders>
              <w:bottom w:val="single" w:sz="4" w:space="0" w:color="auto"/>
            </w:tcBorders>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lastRenderedPageBreak/>
              <w:t>أهداف معايير الخدمة على النحو المبين على موقع الويبو الإلكتروني</w:t>
            </w:r>
          </w:p>
        </w:tc>
        <w:tc>
          <w:tcPr>
            <w:tcW w:w="1283" w:type="pct"/>
            <w:tcBorders>
              <w:bottom w:val="single" w:sz="4" w:space="0" w:color="auto"/>
            </w:tcBorders>
            <w:shd w:val="clear" w:color="auto" w:fill="auto"/>
          </w:tcPr>
          <w:p w:rsidR="00634821" w:rsidRPr="00211D55" w:rsidRDefault="00634821" w:rsidP="001E34F5">
            <w:pPr>
              <w:bidi/>
              <w:spacing w:before="60" w:after="60" w:line="300" w:lineRule="exact"/>
              <w:rPr>
                <w:rFonts w:ascii="Arabic Typesetting" w:hAnsi="Arabic Typesetting" w:cs="Arabic Typesetting"/>
                <w:i/>
                <w:color w:val="002060"/>
                <w:sz w:val="28"/>
                <w:szCs w:val="28"/>
              </w:rPr>
            </w:pPr>
            <w:r w:rsidRPr="00211D55">
              <w:rPr>
                <w:rFonts w:ascii="Arabic Typesetting" w:hAnsi="Arabic Typesetting" w:cs="Arabic Typesetting"/>
                <w:i/>
                <w:color w:val="002060"/>
                <w:sz w:val="28"/>
                <w:szCs w:val="28"/>
                <w:rtl/>
              </w:rPr>
              <w:t>أساس المقارنة المُحدَّث في نهاية 2013</w:t>
            </w:r>
            <w:r w:rsidRPr="00211D55">
              <w:rPr>
                <w:rFonts w:ascii="Arabic Typesetting" w:hAnsi="Arabic Typesetting" w:cs="Arabic Typesetting"/>
                <w:i/>
                <w:color w:val="002060"/>
                <w:sz w:val="28"/>
                <w:szCs w:val="28"/>
              </w:rPr>
              <w:t xml:space="preserve">: </w:t>
            </w:r>
          </w:p>
          <w:p w:rsidR="00634821" w:rsidRPr="00211D55" w:rsidRDefault="00634821" w:rsidP="001E34F5">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لم يُوضَع أساس للمقارنة</w:t>
            </w:r>
          </w:p>
          <w:p w:rsidR="00634821" w:rsidRPr="00211D55" w:rsidRDefault="00634821" w:rsidP="001E34F5">
            <w:pPr>
              <w:bidi/>
              <w:spacing w:before="60" w:after="60" w:line="300" w:lineRule="exact"/>
              <w:rPr>
                <w:rFonts w:ascii="Arabic Typesetting" w:hAnsi="Arabic Typesetting" w:cs="Arabic Typesetting"/>
                <w:color w:val="002060"/>
                <w:sz w:val="28"/>
                <w:szCs w:val="28"/>
              </w:rPr>
            </w:pPr>
          </w:p>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سيُحدَّد لمجالات معينة</w:t>
            </w:r>
          </w:p>
        </w:tc>
        <w:tc>
          <w:tcPr>
            <w:tcW w:w="965" w:type="pct"/>
            <w:tcBorders>
              <w:bottom w:val="single" w:sz="4" w:space="0" w:color="auto"/>
            </w:tcBorders>
            <w:tcMar>
              <w:top w:w="110" w:type="dxa"/>
            </w:tcMar>
          </w:tcPr>
          <w:p w:rsidR="00634821" w:rsidRPr="00211D55" w:rsidRDefault="00634821" w:rsidP="001E34F5">
            <w:pPr>
              <w:autoSpaceDE w:val="0"/>
              <w:autoSpaceDN w:val="0"/>
              <w:bidi/>
              <w:adjustRightInd w:val="0"/>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الهدف المُحدَّد:</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معايير مركز خدمة الزبائن:</w:t>
            </w:r>
            <w:r w:rsidRPr="00211D55">
              <w:rPr>
                <w:rFonts w:ascii="Arabic Typesetting" w:hAnsi="Arabic Typesetting" w:cs="Arabic Typesetting"/>
                <w:sz w:val="28"/>
                <w:szCs w:val="28"/>
              </w:rPr>
              <w:t xml:space="preserve"> </w:t>
            </w:r>
          </w:p>
          <w:p w:rsidR="00634821" w:rsidRPr="00211D55" w:rsidRDefault="00634821" w:rsidP="001E34F5">
            <w:pPr>
              <w:autoSpaceDE w:val="0"/>
              <w:autoSpaceDN w:val="0"/>
              <w:bidi/>
              <w:adjustRightInd w:val="0"/>
              <w:spacing w:before="60" w:after="60" w:line="30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 xml:space="preserve">"1" </w:t>
            </w:r>
            <w:r w:rsidR="001E34F5" w:rsidRPr="00211D55">
              <w:rPr>
                <w:rFonts w:ascii="Arabic Typesetting" w:hAnsi="Arabic Typesetting" w:cs="Arabic Typesetting"/>
                <w:sz w:val="28"/>
                <w:szCs w:val="28"/>
                <w:rtl/>
              </w:rPr>
              <w:t>عولج</w:t>
            </w:r>
            <w:r w:rsidRPr="00211D55">
              <w:rPr>
                <w:rFonts w:ascii="Arabic Typesetting" w:hAnsi="Arabic Typesetting" w:cs="Arabic Typesetting"/>
                <w:sz w:val="28"/>
                <w:szCs w:val="28"/>
                <w:rtl/>
              </w:rPr>
              <w:t xml:space="preserve"> 90% من التذاكر في غضون يوم واحد</w:t>
            </w:r>
          </w:p>
          <w:p w:rsidR="00634821" w:rsidRPr="00211D55" w:rsidRDefault="00634821" w:rsidP="001E34F5">
            <w:pPr>
              <w:autoSpaceDE w:val="0"/>
              <w:autoSpaceDN w:val="0"/>
              <w:bidi/>
              <w:adjustRightInd w:val="0"/>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"2" </w:t>
            </w:r>
            <w:r w:rsidR="001E34F5" w:rsidRPr="00211D55">
              <w:rPr>
                <w:rFonts w:ascii="Arabic Typesetting" w:hAnsi="Arabic Typesetting" w:cs="Arabic Typesetting"/>
                <w:sz w:val="28"/>
                <w:szCs w:val="28"/>
                <w:rtl/>
              </w:rPr>
              <w:t>عولج</w:t>
            </w:r>
            <w:r w:rsidRPr="00211D55">
              <w:rPr>
                <w:rFonts w:ascii="Arabic Typesetting" w:hAnsi="Arabic Typesetting" w:cs="Arabic Typesetting"/>
                <w:sz w:val="28"/>
                <w:szCs w:val="28"/>
                <w:rtl/>
              </w:rPr>
              <w:t xml:space="preserve"> 90% من الشكاوى في غضون 8 ساعات عمل</w:t>
            </w:r>
          </w:p>
          <w:p w:rsidR="00634821" w:rsidRPr="00211D55" w:rsidRDefault="00634821" w:rsidP="001E34F5">
            <w:pPr>
              <w:autoSpaceDE w:val="0"/>
              <w:autoSpaceDN w:val="0"/>
              <w:bidi/>
              <w:adjustRightInd w:val="0"/>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الهدف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سيُحدَّد لمجالات معينة</w:t>
            </w:r>
          </w:p>
        </w:tc>
        <w:tc>
          <w:tcPr>
            <w:tcW w:w="1350" w:type="pct"/>
            <w:tcBorders>
              <w:bottom w:val="single" w:sz="4" w:space="0" w:color="auto"/>
            </w:tcBorders>
            <w:shd w:val="clear" w:color="auto" w:fill="FFFFFF"/>
            <w:tcMar>
              <w:top w:w="110" w:type="dxa"/>
            </w:tcMar>
          </w:tcPr>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"1" </w:t>
            </w:r>
            <w:r w:rsidR="001E34F5" w:rsidRPr="00211D55">
              <w:rPr>
                <w:rFonts w:ascii="Arabic Typesetting" w:hAnsi="Arabic Typesetting" w:cs="Arabic Typesetting"/>
                <w:sz w:val="28"/>
                <w:szCs w:val="28"/>
                <w:rtl/>
              </w:rPr>
              <w:t>عولج</w:t>
            </w:r>
            <w:r w:rsidRPr="00211D55">
              <w:rPr>
                <w:rFonts w:ascii="Arabic Typesetting" w:hAnsi="Arabic Typesetting" w:cs="Arabic Typesetting"/>
                <w:sz w:val="28"/>
                <w:szCs w:val="28"/>
                <w:rtl/>
              </w:rPr>
              <w:t xml:space="preserve"> 92% من التذاكر في غضون يوم واحد.</w:t>
            </w:r>
          </w:p>
          <w:p w:rsidR="00634821" w:rsidRPr="00211D55" w:rsidRDefault="00634821" w:rsidP="001E34F5">
            <w:pPr>
              <w:bidi/>
              <w:spacing w:before="60" w:after="60" w:line="300" w:lineRule="exact"/>
              <w:rPr>
                <w:rFonts w:ascii="Arabic Typesetting" w:hAnsi="Arabic Typesetting" w:cs="Arabic Typesetting"/>
                <w:sz w:val="28"/>
                <w:szCs w:val="28"/>
              </w:rPr>
            </w:pPr>
          </w:p>
          <w:p w:rsidR="00634821" w:rsidRPr="00211D55" w:rsidRDefault="00634821" w:rsidP="001E34F5">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"2" </w:t>
            </w:r>
            <w:r w:rsidR="001E34F5" w:rsidRPr="00211D55">
              <w:rPr>
                <w:rFonts w:ascii="Arabic Typesetting" w:hAnsi="Arabic Typesetting" w:cs="Arabic Typesetting"/>
                <w:sz w:val="28"/>
                <w:szCs w:val="28"/>
                <w:rtl/>
              </w:rPr>
              <w:t>عولج</w:t>
            </w:r>
            <w:r w:rsidRPr="00211D55">
              <w:rPr>
                <w:rFonts w:ascii="Arabic Typesetting" w:hAnsi="Arabic Typesetting" w:cs="Arabic Typesetting"/>
                <w:sz w:val="28"/>
                <w:szCs w:val="28"/>
                <w:rtl/>
              </w:rPr>
              <w:t xml:space="preserve"> 100% من الشكاوى في أقل من 8 ساعات عمل.</w:t>
            </w:r>
          </w:p>
        </w:tc>
        <w:tc>
          <w:tcPr>
            <w:tcW w:w="444" w:type="pct"/>
            <w:tcBorders>
              <w:bottom w:val="single" w:sz="4" w:space="0" w:color="auto"/>
            </w:tcBorders>
            <w:tcMar>
              <w:top w:w="110" w:type="dxa"/>
            </w:tcMar>
          </w:tcPr>
          <w:p w:rsidR="00634821" w:rsidRPr="00211D55" w:rsidRDefault="001E34F5" w:rsidP="001E34F5">
            <w:pPr>
              <w:bidi/>
              <w:spacing w:before="60" w:after="60" w:line="30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p w:rsidR="00634821" w:rsidRPr="00211D55" w:rsidRDefault="00634821" w:rsidP="001E34F5">
            <w:pPr>
              <w:bidi/>
              <w:spacing w:before="60" w:after="60" w:line="300" w:lineRule="exact"/>
              <w:jc w:val="center"/>
              <w:rPr>
                <w:rFonts w:ascii="Arabic Typesetting" w:hAnsi="Arabic Typesetting" w:cs="Arabic Typesetting"/>
                <w:b/>
                <w:bCs/>
                <w:color w:val="00B050"/>
                <w:sz w:val="28"/>
                <w:szCs w:val="28"/>
              </w:rPr>
            </w:pPr>
          </w:p>
          <w:p w:rsidR="00634821" w:rsidRPr="00211D55" w:rsidRDefault="00634821" w:rsidP="001E34F5">
            <w:pPr>
              <w:bidi/>
              <w:spacing w:before="60" w:after="60" w:line="300" w:lineRule="exact"/>
              <w:jc w:val="center"/>
              <w:rPr>
                <w:rFonts w:ascii="Arabic Typesetting" w:hAnsi="Arabic Typesetting" w:cs="Arabic Typesetting"/>
                <w:b/>
                <w:bCs/>
                <w:color w:val="00B050"/>
                <w:sz w:val="28"/>
                <w:szCs w:val="28"/>
              </w:rPr>
            </w:pPr>
          </w:p>
          <w:p w:rsidR="00634821" w:rsidRPr="00211D55" w:rsidRDefault="001E34F5" w:rsidP="001E34F5">
            <w:pPr>
              <w:bidi/>
              <w:spacing w:before="60" w:after="60" w:line="30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bl>
    <w:p w:rsidR="001E34F5" w:rsidRPr="00A16E11" w:rsidRDefault="001E34F5" w:rsidP="00CF6205">
      <w:pPr>
        <w:keepNext/>
        <w:bidi/>
        <w:spacing w:before="120" w:after="120" w:line="340" w:lineRule="exact"/>
        <w:rPr>
          <w:rFonts w:ascii="Arabic Typesetting" w:hAnsi="Arabic Typesetting" w:cs="Arabic Typesetting"/>
          <w:sz w:val="34"/>
          <w:szCs w:val="34"/>
          <w:rtl/>
          <w:lang w:bidi="ar-EG"/>
        </w:rPr>
      </w:pPr>
      <w:r w:rsidRPr="00A16E11">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1E34F5" w:rsidRPr="00211D55" w:rsidTr="001E34F5">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1E34F5" w:rsidRPr="00211D55" w:rsidRDefault="001E34F5" w:rsidP="001E34F5">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1E34F5" w:rsidRPr="00211D55" w:rsidRDefault="001E34F5" w:rsidP="001E34F5">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1E34F5" w:rsidRPr="00211D55" w:rsidRDefault="001E34F5" w:rsidP="001E34F5">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1E34F5" w:rsidRPr="00211D55" w:rsidRDefault="001E34F5" w:rsidP="002F204A">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 xml:space="preserve">التأثير </w:t>
            </w:r>
            <w:r w:rsidR="002F204A">
              <w:rPr>
                <w:rFonts w:ascii="Arabic Typesetting" w:hAnsi="Arabic Typesetting" w:cs="Arabic Typesetting" w:hint="cs"/>
                <w:bCs/>
                <w:sz w:val="28"/>
                <w:szCs w:val="28"/>
                <w:rtl/>
                <w:lang w:bidi="ar-EG"/>
              </w:rPr>
              <w:t>في</w:t>
            </w:r>
            <w:r w:rsidRPr="00211D55">
              <w:rPr>
                <w:rFonts w:ascii="Arabic Typesetting" w:hAnsi="Arabic Typesetting" w:cs="Arabic Typesetting" w:hint="cs"/>
                <w:bCs/>
                <w:sz w:val="28"/>
                <w:szCs w:val="28"/>
                <w:rtl/>
                <w:lang w:bidi="ar-EG"/>
              </w:rPr>
              <w:t xml:space="preserve"> أداء البرنامج</w:t>
            </w:r>
          </w:p>
        </w:tc>
      </w:tr>
      <w:tr w:rsidR="001E34F5" w:rsidRPr="00211D55" w:rsidTr="001E34F5">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1E34F5" w:rsidRPr="007A7336" w:rsidRDefault="001E34F5" w:rsidP="007A7336">
            <w:pPr>
              <w:bidi/>
              <w:spacing w:before="60" w:after="60" w:line="280" w:lineRule="exact"/>
              <w:rPr>
                <w:rFonts w:ascii="Arabic Typesetting" w:hAnsi="Arabic Typesetting" w:cs="Arabic Typesetting"/>
                <w:sz w:val="28"/>
                <w:szCs w:val="28"/>
                <w:rtl/>
                <w:lang w:bidi="ar-EG"/>
              </w:rPr>
            </w:pPr>
            <w:r w:rsidRPr="007A7336">
              <w:rPr>
                <w:rFonts w:ascii="Arabic Typesetting" w:hAnsi="Arabic Typesetting" w:cs="Arabic Typesetting" w:hint="cs"/>
                <w:sz w:val="28"/>
                <w:szCs w:val="28"/>
                <w:rtl/>
                <w:lang w:bidi="ar-EG"/>
              </w:rPr>
              <w:t>التزايد السريع لعدد الطلبات الجديدة يحول دون تحقيق البرنامج للهدف المركزي والأثر الضروري لتبليغ اتصالات فعالة.</w:t>
            </w:r>
          </w:p>
        </w:tc>
        <w:tc>
          <w:tcPr>
            <w:tcW w:w="2200" w:type="dxa"/>
            <w:tcBorders>
              <w:top w:val="single" w:sz="4" w:space="0" w:color="auto"/>
            </w:tcBorders>
            <w:shd w:val="clear" w:color="auto" w:fill="auto"/>
            <w:tcMar>
              <w:top w:w="113" w:type="dxa"/>
              <w:bottom w:w="113" w:type="dxa"/>
            </w:tcMar>
          </w:tcPr>
          <w:p w:rsidR="001E34F5" w:rsidRPr="007A7336" w:rsidRDefault="007642ED" w:rsidP="0055755E">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سيُضبط</w:t>
            </w:r>
            <w:r w:rsidR="001E34F5" w:rsidRPr="007A7336">
              <w:rPr>
                <w:rFonts w:ascii="Arabic Typesetting" w:hAnsi="Arabic Typesetting" w:cs="Arabic Typesetting" w:hint="cs"/>
                <w:sz w:val="28"/>
                <w:szCs w:val="28"/>
                <w:rtl/>
                <w:lang w:bidi="ar-EG"/>
              </w:rPr>
              <w:t xml:space="preserve"> كل </w:t>
            </w:r>
            <w:r w:rsidR="0055755E">
              <w:rPr>
                <w:rFonts w:ascii="Arabic Typesetting" w:hAnsi="Arabic Typesetting" w:cs="Arabic Typesetting" w:hint="cs"/>
                <w:sz w:val="28"/>
                <w:szCs w:val="28"/>
                <w:rtl/>
                <w:lang w:bidi="ar-EG"/>
              </w:rPr>
              <w:t>عام</w:t>
            </w:r>
            <w:r>
              <w:rPr>
                <w:rFonts w:ascii="Arabic Typesetting" w:hAnsi="Arabic Typesetting" w:cs="Arabic Typesetting" w:hint="cs"/>
                <w:sz w:val="28"/>
                <w:szCs w:val="28"/>
                <w:rtl/>
                <w:lang w:bidi="ar-EG"/>
              </w:rPr>
              <w:t xml:space="preserve"> </w:t>
            </w:r>
            <w:r w:rsidR="001E34F5" w:rsidRPr="007A7336">
              <w:rPr>
                <w:rFonts w:ascii="Arabic Typesetting" w:hAnsi="Arabic Typesetting" w:cs="Arabic Typesetting" w:hint="cs"/>
                <w:sz w:val="28"/>
                <w:szCs w:val="28"/>
                <w:rtl/>
                <w:lang w:bidi="ar-EG"/>
              </w:rPr>
              <w:t>عدد محدود من التظاهرات</w:t>
            </w:r>
            <w:r w:rsidR="00CF6205" w:rsidRPr="007A7336">
              <w:rPr>
                <w:rFonts w:ascii="Arabic Typesetting" w:hAnsi="Arabic Typesetting" w:cs="Arabic Typesetting" w:hint="cs"/>
                <w:sz w:val="28"/>
                <w:szCs w:val="28"/>
                <w:rtl/>
                <w:lang w:bidi="ar-EG"/>
              </w:rPr>
              <w:t xml:space="preserve"> و</w:t>
            </w:r>
            <w:r w:rsidR="001E34F5" w:rsidRPr="007A7336">
              <w:rPr>
                <w:rFonts w:ascii="Arabic Typesetting" w:hAnsi="Arabic Typesetting" w:cs="Arabic Typesetting" w:hint="cs"/>
                <w:sz w:val="28"/>
                <w:szCs w:val="28"/>
                <w:rtl/>
                <w:lang w:bidi="ar-EG"/>
              </w:rPr>
              <w:t>المنتجات</w:t>
            </w:r>
            <w:r w:rsidR="00CF6205" w:rsidRPr="007A7336">
              <w:rPr>
                <w:rFonts w:ascii="Arabic Typesetting" w:hAnsi="Arabic Typesetting" w:cs="Arabic Typesetting" w:hint="cs"/>
                <w:sz w:val="28"/>
                <w:szCs w:val="28"/>
                <w:rtl/>
                <w:lang w:bidi="ar-EG"/>
              </w:rPr>
              <w:t xml:space="preserve"> و</w:t>
            </w:r>
            <w:r w:rsidR="001E34F5" w:rsidRPr="007A7336">
              <w:rPr>
                <w:rFonts w:ascii="Arabic Typesetting" w:hAnsi="Arabic Typesetting" w:cs="Arabic Typesetting" w:hint="cs"/>
                <w:sz w:val="28"/>
                <w:szCs w:val="28"/>
                <w:rtl/>
                <w:lang w:bidi="ar-EG"/>
              </w:rPr>
              <w:t>الإنجازات كأولويات رئيسية في مجال النهوض والتسويق.</w:t>
            </w:r>
          </w:p>
        </w:tc>
        <w:tc>
          <w:tcPr>
            <w:tcW w:w="2310" w:type="dxa"/>
            <w:tcBorders>
              <w:top w:val="single" w:sz="4" w:space="0" w:color="auto"/>
            </w:tcBorders>
          </w:tcPr>
          <w:p w:rsidR="001E34F5" w:rsidRPr="007A7336" w:rsidRDefault="001E34F5"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نفذت استراتيجية الحد من وطأة المخاطر بفعالية. وأول</w:t>
            </w:r>
            <w:r w:rsidR="00CF6205" w:rsidRPr="007A7336">
              <w:rPr>
                <w:rFonts w:ascii="Arabic Typesetting" w:hAnsi="Arabic Typesetting" w:cs="Arabic Typesetting" w:hint="cs"/>
                <w:sz w:val="28"/>
                <w:szCs w:val="28"/>
                <w:rtl/>
                <w:lang w:bidi="ar-EG"/>
              </w:rPr>
              <w:t>ي</w:t>
            </w:r>
            <w:r w:rsidRPr="007A7336">
              <w:rPr>
                <w:rFonts w:ascii="Arabic Typesetting" w:hAnsi="Arabic Typesetting" w:cs="Arabic Typesetting" w:hint="cs"/>
                <w:sz w:val="28"/>
                <w:szCs w:val="28"/>
                <w:rtl/>
                <w:lang w:bidi="ar-EG"/>
              </w:rPr>
              <w:t>ت الأولوية للأحداث الرئيسية وروجت بنجاح ومنها اليوم العالمي للملكية الفكرية؛ وإطلاق مؤشر الابتكار العالمي؛ وإصد</w:t>
            </w:r>
            <w:r w:rsidR="00CF6205" w:rsidRPr="007A7336">
              <w:rPr>
                <w:rFonts w:ascii="Arabic Typesetting" w:hAnsi="Arabic Typesetting" w:cs="Arabic Typesetting" w:hint="cs"/>
                <w:sz w:val="28"/>
                <w:szCs w:val="28"/>
                <w:rtl/>
                <w:lang w:bidi="ar-EG"/>
              </w:rPr>
              <w:t>ا</w:t>
            </w:r>
            <w:r w:rsidRPr="007A7336">
              <w:rPr>
                <w:rFonts w:ascii="Arabic Typesetting" w:hAnsi="Arabic Typesetting" w:cs="Arabic Typesetting" w:hint="cs"/>
                <w:sz w:val="28"/>
                <w:szCs w:val="28"/>
                <w:rtl/>
                <w:lang w:bidi="ar-EG"/>
              </w:rPr>
              <w:t>ر التقرير العالمي للملكية الفكرية؛ وتنظيم الجمعيات؛ و</w:t>
            </w:r>
            <w:r w:rsidR="00CF6205" w:rsidRPr="007A7336">
              <w:rPr>
                <w:rFonts w:ascii="Arabic Typesetting" w:hAnsi="Arabic Typesetting" w:cs="Arabic Typesetting" w:hint="cs"/>
                <w:sz w:val="28"/>
                <w:szCs w:val="28"/>
                <w:rtl/>
                <w:lang w:bidi="ar-EG"/>
              </w:rPr>
              <w:t>عقد</w:t>
            </w:r>
            <w:r w:rsidR="00CF6205" w:rsidRPr="007A7336">
              <w:rPr>
                <w:rFonts w:ascii="Arabic Typesetting" w:hAnsi="Arabic Typesetting" w:cs="Arabic Typesetting" w:hint="eastAsia"/>
                <w:sz w:val="28"/>
                <w:szCs w:val="28"/>
                <w:rtl/>
                <w:lang w:bidi="ar-EG"/>
              </w:rPr>
              <w:t> </w:t>
            </w:r>
            <w:r w:rsidRPr="007A7336">
              <w:rPr>
                <w:rFonts w:ascii="Arabic Typesetting" w:hAnsi="Arabic Typesetting" w:cs="Arabic Typesetting" w:hint="cs"/>
                <w:sz w:val="28"/>
                <w:szCs w:val="28"/>
                <w:rtl/>
                <w:lang w:bidi="ar-EG"/>
              </w:rPr>
              <w:t>المؤتمر</w:t>
            </w:r>
            <w:r w:rsidR="00CF6205" w:rsidRPr="007A7336">
              <w:rPr>
                <w:rFonts w:ascii="Arabic Typesetting" w:hAnsi="Arabic Typesetting" w:cs="Arabic Typesetting" w:hint="eastAsia"/>
                <w:sz w:val="28"/>
                <w:szCs w:val="28"/>
                <w:rtl/>
                <w:lang w:bidi="ar-EG"/>
              </w:rPr>
              <w:t> </w:t>
            </w:r>
            <w:r w:rsidRPr="007A7336">
              <w:rPr>
                <w:rFonts w:ascii="Arabic Typesetting" w:hAnsi="Arabic Typesetting" w:cs="Arabic Typesetting" w:hint="cs"/>
                <w:sz w:val="28"/>
                <w:szCs w:val="28"/>
                <w:rtl/>
                <w:lang w:bidi="ar-EG"/>
              </w:rPr>
              <w:t>الوزاري الأفريقي.</w:t>
            </w:r>
          </w:p>
        </w:tc>
        <w:tc>
          <w:tcPr>
            <w:tcW w:w="2306" w:type="dxa"/>
            <w:tcBorders>
              <w:top w:val="single" w:sz="4" w:space="0" w:color="auto"/>
              <w:right w:val="single" w:sz="4" w:space="0" w:color="auto"/>
            </w:tcBorders>
          </w:tcPr>
          <w:p w:rsidR="001E34F5" w:rsidRPr="007A7336" w:rsidRDefault="00EC3B6C"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 xml:space="preserve">يجري تحقيق الهدف المركزي والأثر الضروري كما يتبين من </w:t>
            </w:r>
            <w:proofErr w:type="spellStart"/>
            <w:r w:rsidRPr="007A7336">
              <w:rPr>
                <w:rFonts w:ascii="Arabic Typesetting" w:hAnsi="Arabic Typesetting" w:cs="Arabic Typesetting" w:hint="cs"/>
                <w:sz w:val="28"/>
                <w:szCs w:val="28"/>
                <w:rtl/>
                <w:lang w:bidi="ar-EG"/>
              </w:rPr>
              <w:t>زياة</w:t>
            </w:r>
            <w:proofErr w:type="spellEnd"/>
            <w:r w:rsidRPr="007A7336">
              <w:rPr>
                <w:rFonts w:ascii="Arabic Typesetting" w:hAnsi="Arabic Typesetting" w:cs="Arabic Typesetting" w:hint="cs"/>
                <w:sz w:val="28"/>
                <w:szCs w:val="28"/>
                <w:rtl/>
                <w:lang w:bidi="ar-EG"/>
              </w:rPr>
              <w:t xml:space="preserve"> التغطية الإعلامية في الوسائل التقليدية ووسائل الإعلام الاجتماعية وزيارات الصفحات الإلكترونية الخاصة بكل الأحداث الرئيسية</w:t>
            </w:r>
            <w:r w:rsidR="00CF6205" w:rsidRPr="007A7336">
              <w:rPr>
                <w:rFonts w:ascii="Arabic Typesetting" w:hAnsi="Arabic Typesetting" w:cs="Arabic Typesetting" w:hint="cs"/>
                <w:sz w:val="28"/>
                <w:szCs w:val="28"/>
                <w:rtl/>
                <w:lang w:bidi="ar-EG"/>
              </w:rPr>
              <w:t>.</w:t>
            </w:r>
          </w:p>
        </w:tc>
      </w:tr>
      <w:tr w:rsidR="001E34F5" w:rsidRPr="00211D55" w:rsidTr="001E34F5">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1E34F5" w:rsidRPr="007A7336" w:rsidRDefault="001E34F5" w:rsidP="00C45BBE">
            <w:pPr>
              <w:bidi/>
              <w:spacing w:before="60" w:after="60" w:line="280" w:lineRule="exact"/>
              <w:rPr>
                <w:rFonts w:ascii="Arabic Typesetting" w:hAnsi="Arabic Typesetting" w:cs="Arabic Typesetting"/>
                <w:sz w:val="28"/>
                <w:szCs w:val="28"/>
                <w:rtl/>
                <w:lang w:bidi="ar-EG"/>
              </w:rPr>
            </w:pPr>
            <w:r w:rsidRPr="007A7336">
              <w:rPr>
                <w:rFonts w:ascii="Arabic Typesetting" w:hAnsi="Arabic Typesetting" w:cs="Arabic Typesetting" w:hint="cs"/>
                <w:sz w:val="28"/>
                <w:szCs w:val="28"/>
                <w:rtl/>
                <w:lang w:bidi="ar-EG"/>
              </w:rPr>
              <w:t>الويبو غير قادرة على التأقلم بالسرعة المطلوبة مع تغيرات التوجهات والتطورات التكنولوجية، فتخسر التغطية الإعلامية وتأثيرها في بيئة الاتصالات الرقمية.</w:t>
            </w:r>
          </w:p>
        </w:tc>
        <w:tc>
          <w:tcPr>
            <w:tcW w:w="2200" w:type="dxa"/>
            <w:tcBorders>
              <w:bottom w:val="single" w:sz="4" w:space="0" w:color="auto"/>
            </w:tcBorders>
            <w:shd w:val="clear" w:color="auto" w:fill="auto"/>
            <w:tcMar>
              <w:top w:w="113" w:type="dxa"/>
              <w:bottom w:w="113" w:type="dxa"/>
            </w:tcMar>
          </w:tcPr>
          <w:p w:rsidR="001E34F5" w:rsidRPr="007A7336" w:rsidRDefault="001E34F5" w:rsidP="007A7336">
            <w:pPr>
              <w:bidi/>
              <w:spacing w:before="60" w:after="60" w:line="280" w:lineRule="exact"/>
              <w:rPr>
                <w:rFonts w:ascii="Arabic Typesetting" w:hAnsi="Arabic Typesetting" w:cs="Arabic Typesetting"/>
                <w:sz w:val="28"/>
                <w:szCs w:val="28"/>
                <w:rtl/>
                <w:lang w:bidi="ar-EG"/>
              </w:rPr>
            </w:pPr>
            <w:r w:rsidRPr="007A7336">
              <w:rPr>
                <w:rFonts w:ascii="Arabic Typesetting" w:hAnsi="Arabic Typesetting" w:cs="Arabic Typesetting" w:hint="cs"/>
                <w:sz w:val="28"/>
                <w:szCs w:val="28"/>
                <w:rtl/>
                <w:lang w:bidi="ar-EG"/>
              </w:rPr>
              <w:t xml:space="preserve">الموظفون العاملون في البرنامج مدعوون إلى اكتساب مهارات جديدة </w:t>
            </w:r>
            <w:r w:rsidR="00CF6205" w:rsidRPr="007A7336">
              <w:rPr>
                <w:rFonts w:ascii="Arabic Typesetting" w:hAnsi="Arabic Typesetting" w:cs="Arabic Typesetting" w:hint="cs"/>
                <w:sz w:val="28"/>
                <w:szCs w:val="28"/>
                <w:rtl/>
                <w:lang w:bidi="ar-EG"/>
              </w:rPr>
              <w:t>باستمرار</w:t>
            </w:r>
            <w:r w:rsidRPr="007A7336">
              <w:rPr>
                <w:rFonts w:ascii="Arabic Typesetting" w:hAnsi="Arabic Typesetting" w:cs="Arabic Typesetting" w:hint="cs"/>
                <w:sz w:val="28"/>
                <w:szCs w:val="28"/>
                <w:rtl/>
                <w:lang w:bidi="ar-EG"/>
              </w:rPr>
              <w:t>، وتحديث معارفهم، من خلال التدريب والتعلم الذاتي؛ مرونة الهياكل تمكن من تقاسم المعارف والمهارات الجديدة؛ الموارد الخارجية والشراكات تستخدم لتوسيع كفاءات الموظفين القارين في الويبو.</w:t>
            </w:r>
          </w:p>
        </w:tc>
        <w:tc>
          <w:tcPr>
            <w:tcW w:w="2310" w:type="dxa"/>
            <w:tcBorders>
              <w:bottom w:val="single" w:sz="4" w:space="0" w:color="auto"/>
            </w:tcBorders>
          </w:tcPr>
          <w:p w:rsidR="001E34F5" w:rsidRPr="007A7336" w:rsidRDefault="00EC3B6C" w:rsidP="007A7336">
            <w:pPr>
              <w:bidi/>
              <w:spacing w:before="60" w:after="60" w:line="280" w:lineRule="exact"/>
              <w:rPr>
                <w:rFonts w:ascii="Arabic Typesetting" w:hAnsi="Arabic Typesetting" w:cs="Arabic Typesetting"/>
                <w:sz w:val="28"/>
                <w:szCs w:val="28"/>
                <w:rtl/>
                <w:lang w:bidi="ar-EG"/>
              </w:rPr>
            </w:pPr>
            <w:r w:rsidRPr="007A7336">
              <w:rPr>
                <w:rFonts w:ascii="Arabic Typesetting" w:hAnsi="Arabic Typesetting" w:cs="Arabic Typesetting" w:hint="cs"/>
                <w:sz w:val="28"/>
                <w:szCs w:val="28"/>
                <w:rtl/>
                <w:lang w:bidi="ar-EG"/>
              </w:rPr>
              <w:t xml:space="preserve">نفذت استراتيجيات الحد من وطأة المخاطر بفعالية. وشمل تدريب المهارات الرقمية استخدام شبكة الإنترنت وتحرير المحتويات الشبكية واستخدام وسائل الإعلام الاجتماعي وإعداد تحليلات الويب واستخدام نسق </w:t>
            </w:r>
            <w:r w:rsidRPr="00CF6205">
              <w:rPr>
                <w:rFonts w:ascii="Arabic Typesetting" w:hAnsi="Arabic Typesetting" w:cs="Arabic Typesetting"/>
                <w:sz w:val="28"/>
                <w:szCs w:val="28"/>
                <w:lang w:bidi="ar-EG"/>
              </w:rPr>
              <w:t>HTML</w:t>
            </w:r>
            <w:r w:rsidRPr="007A7336">
              <w:rPr>
                <w:rFonts w:ascii="Arabic Typesetting" w:hAnsi="Arabic Typesetting" w:cs="Arabic Typesetting" w:hint="cs"/>
                <w:sz w:val="28"/>
                <w:szCs w:val="28"/>
                <w:rtl/>
                <w:lang w:bidi="ar-EG"/>
              </w:rPr>
              <w:t>. وأدخلت تكنولوجيات جديدة لتزويد الويبو بمنصة عالية الأداء في مجالي التسويق وإرسال النشرات الإخبارية الإلكترونية. وأعيد توجيه وظائف الطباعة والدعم الإداري إلى أنشطة</w:t>
            </w:r>
            <w:r w:rsidR="00CF6205" w:rsidRPr="007A7336">
              <w:rPr>
                <w:rFonts w:ascii="Arabic Typesetting" w:hAnsi="Arabic Typesetting" w:cs="Arabic Typesetting" w:hint="cs"/>
                <w:sz w:val="28"/>
                <w:szCs w:val="28"/>
                <w:rtl/>
                <w:lang w:bidi="ar-EG"/>
              </w:rPr>
              <w:t xml:space="preserve"> تواصل</w:t>
            </w:r>
            <w:r w:rsidRPr="007A7336">
              <w:rPr>
                <w:rFonts w:ascii="Arabic Typesetting" w:hAnsi="Arabic Typesetting" w:cs="Arabic Typesetting" w:hint="cs"/>
                <w:sz w:val="28"/>
                <w:szCs w:val="28"/>
                <w:rtl/>
                <w:lang w:bidi="ar-EG"/>
              </w:rPr>
              <w:t xml:space="preserve"> رقمية تسهم في تعزيز الكفاءات.</w:t>
            </w:r>
          </w:p>
        </w:tc>
        <w:tc>
          <w:tcPr>
            <w:tcW w:w="2306" w:type="dxa"/>
            <w:tcBorders>
              <w:bottom w:val="single" w:sz="4" w:space="0" w:color="auto"/>
              <w:right w:val="single" w:sz="4" w:space="0" w:color="auto"/>
            </w:tcBorders>
          </w:tcPr>
          <w:p w:rsidR="001E34F5" w:rsidRPr="007A7336" w:rsidRDefault="00EC3B6C" w:rsidP="002F200B">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 xml:space="preserve">لم يتأثر أداء البرنامج </w:t>
            </w:r>
            <w:r w:rsidR="002F200B">
              <w:rPr>
                <w:rFonts w:ascii="Arabic Typesetting" w:hAnsi="Arabic Typesetting" w:cs="Arabic Typesetting" w:hint="cs"/>
                <w:sz w:val="28"/>
                <w:szCs w:val="28"/>
                <w:rtl/>
                <w:lang w:bidi="ar-EG"/>
              </w:rPr>
              <w:t>تأثراً مادياً</w:t>
            </w:r>
            <w:r w:rsidRPr="007A7336">
              <w:rPr>
                <w:rFonts w:ascii="Arabic Typesetting" w:hAnsi="Arabic Typesetting" w:cs="Arabic Typesetting" w:hint="cs"/>
                <w:sz w:val="28"/>
                <w:szCs w:val="28"/>
                <w:rtl/>
                <w:lang w:bidi="ar-EG"/>
              </w:rPr>
              <w:t xml:space="preserve"> إلا في مجال تحليل الويب حيث أدى التأخر في تطبيق الأدوات الجديدة إلى الحد من قدرة البرنامج على قياس بعض مؤشرات الأداء الرئيسية.</w:t>
            </w:r>
          </w:p>
        </w:tc>
      </w:tr>
    </w:tbl>
    <w:p w:rsidR="00B264F9" w:rsidRPr="00B264F9" w:rsidRDefault="00B264F9" w:rsidP="00B264F9">
      <w:pPr>
        <w:keepNext/>
        <w:bidi/>
        <w:spacing w:before="120" w:after="120" w:line="340" w:lineRule="exact"/>
        <w:jc w:val="both"/>
        <w:rPr>
          <w:rFonts w:ascii="Arabic Typesetting" w:hAnsi="Arabic Typesetting" w:cs="Arabic Typesetting"/>
          <w:b/>
          <w:sz w:val="34"/>
          <w:szCs w:val="34"/>
        </w:rPr>
      </w:pPr>
      <w:r w:rsidRPr="00B264F9">
        <w:rPr>
          <w:rFonts w:ascii="Arabic Typesetting" w:hAnsi="Arabic Typesetting" w:cs="Arabic Typesetting"/>
          <w:color w:val="000000"/>
          <w:sz w:val="34"/>
          <w:szCs w:val="34"/>
          <w:rtl/>
        </w:rPr>
        <w:lastRenderedPageBreak/>
        <w:t>استخدام الموارد</w:t>
      </w:r>
    </w:p>
    <w:p w:rsidR="001E34F5" w:rsidRPr="00FE3908" w:rsidRDefault="00774E37" w:rsidP="001E34F5">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1E34F5" w:rsidRDefault="001E34F5" w:rsidP="001E34F5">
      <w:pPr>
        <w:keepNext/>
        <w:bidi/>
        <w:spacing w:after="120" w:line="340" w:lineRule="exact"/>
        <w:jc w:val="center"/>
        <w:rPr>
          <w:rFonts w:ascii="Arabic Typesetting" w:hAnsi="Arabic Typesetting" w:cs="Arabic Typesetting"/>
          <w:i/>
          <w:iCs/>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1E34F5" w:rsidRPr="00211D55" w:rsidTr="00EC3B6C">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1E34F5" w:rsidRPr="00211D55" w:rsidRDefault="001E34F5" w:rsidP="001E34F5">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1E34F5" w:rsidRPr="00211D55" w:rsidRDefault="001E34F5" w:rsidP="001E34F5">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1E34F5" w:rsidRPr="00211D55" w:rsidRDefault="001E34F5" w:rsidP="001E34F5">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1E34F5" w:rsidRPr="00211D55" w:rsidRDefault="001E34F5" w:rsidP="001E34F5">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EC3B6C" w:rsidRPr="00211D55" w:rsidTr="001E34F5">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4018E" w:rsidRPr="00211D55" w:rsidRDefault="00C4018E" w:rsidP="00C4018E">
            <w:pPr>
              <w:bidi/>
              <w:rPr>
                <w:rFonts w:ascii="Arabic Typesetting" w:hAnsi="Arabic Typesetting" w:cs="Arabic Typesetting"/>
                <w:sz w:val="28"/>
                <w:szCs w:val="28"/>
              </w:rPr>
            </w:pPr>
            <w:r>
              <w:rPr>
                <w:rFonts w:ascii="Arabic Typesetting" w:hAnsi="Arabic Typesetting" w:cs="Arabic Typesetting"/>
                <w:sz w:val="28"/>
                <w:szCs w:val="28"/>
                <w:rtl/>
              </w:rPr>
              <w:t>ھ1.8</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C3B6C" w:rsidRPr="00211D55" w:rsidRDefault="00161D28">
            <w:pPr>
              <w:bidi/>
              <w:rPr>
                <w:rFonts w:ascii="Arabic Typesetting" w:hAnsi="Arabic Typesetting" w:cs="Arabic Typesetting"/>
                <w:sz w:val="28"/>
                <w:szCs w:val="28"/>
              </w:rPr>
            </w:pPr>
            <w:r>
              <w:rPr>
                <w:rFonts w:ascii="Arabic Typesetting" w:hAnsi="Arabic Typesetting" w:cs="Arabic Typesetting"/>
                <w:sz w:val="28"/>
                <w:szCs w:val="28"/>
                <w:rtl/>
              </w:rPr>
              <w:t>التواصل بفعالية أكبر مع جمهور أوسع بشأن الملكية الفكرية ودور الويبو</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C3B6C" w:rsidRPr="00211D55" w:rsidRDefault="00EC3B6C" w:rsidP="001E34F5">
            <w:pPr>
              <w:rPr>
                <w:rFonts w:ascii="Arabic Typesetting" w:hAnsi="Arabic Typesetting" w:cs="Arabic Typesetting"/>
                <w:sz w:val="28"/>
                <w:szCs w:val="28"/>
              </w:rPr>
            </w:pPr>
            <w:r w:rsidRPr="00211D55">
              <w:rPr>
                <w:rFonts w:ascii="Arabic Typesetting" w:hAnsi="Arabic Typesetting" w:cs="Arabic Typesetting"/>
                <w:sz w:val="28"/>
                <w:szCs w:val="28"/>
              </w:rPr>
              <w:t>12,034</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C3B6C" w:rsidRPr="00211D55" w:rsidRDefault="00EC3B6C" w:rsidP="001E34F5">
            <w:pPr>
              <w:rPr>
                <w:rFonts w:ascii="Arabic Typesetting" w:hAnsi="Arabic Typesetting" w:cs="Arabic Typesetting"/>
                <w:sz w:val="28"/>
                <w:szCs w:val="28"/>
              </w:rPr>
            </w:pPr>
            <w:r w:rsidRPr="00211D55">
              <w:rPr>
                <w:rFonts w:ascii="Arabic Typesetting" w:hAnsi="Arabic Typesetting" w:cs="Arabic Typesetting"/>
                <w:sz w:val="28"/>
                <w:szCs w:val="28"/>
              </w:rPr>
              <w:t>11,707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C3B6C" w:rsidRPr="00211D55" w:rsidRDefault="00EC3B6C" w:rsidP="001E34F5">
            <w:pPr>
              <w:rPr>
                <w:rFonts w:ascii="Arabic Typesetting" w:hAnsi="Arabic Typesetting" w:cs="Arabic Typesetting"/>
                <w:sz w:val="28"/>
                <w:szCs w:val="28"/>
              </w:rPr>
            </w:pPr>
            <w:r w:rsidRPr="00211D55">
              <w:rPr>
                <w:rFonts w:ascii="Arabic Typesetting" w:hAnsi="Arabic Typesetting" w:cs="Arabic Typesetting"/>
                <w:sz w:val="28"/>
                <w:szCs w:val="28"/>
              </w:rPr>
              <w:t>11,318</w:t>
            </w:r>
          </w:p>
        </w:tc>
      </w:tr>
      <w:tr w:rsidR="00EC3B6C" w:rsidRPr="00211D55" w:rsidTr="001E34F5">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C3B6C" w:rsidRPr="00211D55" w:rsidRDefault="00EC3B6C">
            <w:pPr>
              <w:bidi/>
              <w:rPr>
                <w:rFonts w:ascii="Arabic Typesetting" w:hAnsi="Arabic Typesetting" w:cs="Arabic Typesetting"/>
                <w:sz w:val="28"/>
                <w:szCs w:val="28"/>
              </w:rPr>
            </w:pPr>
            <w:r w:rsidRPr="00211D55">
              <w:rPr>
                <w:rFonts w:ascii="Arabic Typesetting" w:hAnsi="Arabic Typesetting" w:cs="Arabic Typesetting"/>
                <w:sz w:val="28"/>
                <w:szCs w:val="28"/>
                <w:rtl/>
              </w:rPr>
              <w:t>ھ2.8</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C3B6C" w:rsidRPr="00211D55" w:rsidRDefault="009947B0">
            <w:pPr>
              <w:bidi/>
              <w:rPr>
                <w:rFonts w:ascii="Arabic Typesetting" w:hAnsi="Arabic Typesetting" w:cs="Arabic Typesetting"/>
                <w:sz w:val="28"/>
                <w:szCs w:val="28"/>
              </w:rPr>
            </w:pPr>
            <w:r>
              <w:rPr>
                <w:rFonts w:ascii="Arabic Typesetting" w:hAnsi="Arabic Typesetting" w:cs="Arabic Typesetting"/>
                <w:sz w:val="28"/>
                <w:szCs w:val="28"/>
                <w:rtl/>
              </w:rPr>
              <w:t>تحسين التوجّه نحو الخدمات والاستجابة للاستفسارات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C3B6C" w:rsidRPr="00211D55" w:rsidRDefault="00EC3B6C" w:rsidP="001E34F5">
            <w:pPr>
              <w:rPr>
                <w:rFonts w:ascii="Arabic Typesetting" w:hAnsi="Arabic Typesetting" w:cs="Arabic Typesetting"/>
                <w:sz w:val="28"/>
                <w:szCs w:val="28"/>
              </w:rPr>
            </w:pPr>
            <w:r w:rsidRPr="00211D55">
              <w:rPr>
                <w:rFonts w:ascii="Arabic Typesetting" w:hAnsi="Arabic Typesetting" w:cs="Arabic Typesetting"/>
                <w:sz w:val="28"/>
                <w:szCs w:val="28"/>
              </w:rPr>
              <w:t>5,223</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C3B6C" w:rsidRPr="00211D55" w:rsidRDefault="00EC3B6C" w:rsidP="001E34F5">
            <w:pPr>
              <w:rPr>
                <w:rFonts w:ascii="Arabic Typesetting" w:hAnsi="Arabic Typesetting" w:cs="Arabic Typesetting"/>
                <w:sz w:val="28"/>
                <w:szCs w:val="28"/>
              </w:rPr>
            </w:pPr>
            <w:r w:rsidRPr="00211D55">
              <w:rPr>
                <w:rFonts w:ascii="Arabic Typesetting" w:hAnsi="Arabic Typesetting" w:cs="Arabic Typesetting"/>
                <w:sz w:val="28"/>
                <w:szCs w:val="28"/>
              </w:rPr>
              <w:t>4,798</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C3B6C" w:rsidRPr="00211D55" w:rsidRDefault="00EC3B6C" w:rsidP="001E34F5">
            <w:pPr>
              <w:rPr>
                <w:rFonts w:ascii="Arabic Typesetting" w:hAnsi="Arabic Typesetting" w:cs="Arabic Typesetting"/>
                <w:sz w:val="28"/>
                <w:szCs w:val="28"/>
              </w:rPr>
            </w:pPr>
            <w:r w:rsidRPr="00211D55">
              <w:rPr>
                <w:rFonts w:ascii="Arabic Typesetting" w:hAnsi="Arabic Typesetting" w:cs="Arabic Typesetting"/>
                <w:sz w:val="28"/>
                <w:szCs w:val="28"/>
              </w:rPr>
              <w:t>4,643</w:t>
            </w:r>
          </w:p>
        </w:tc>
      </w:tr>
      <w:tr w:rsidR="001E34F5" w:rsidRPr="00211D55" w:rsidTr="001E34F5">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1E34F5" w:rsidRPr="00211D55" w:rsidRDefault="001E34F5" w:rsidP="001E34F5">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1E34F5" w:rsidRPr="00211D55" w:rsidRDefault="001E34F5" w:rsidP="001E34F5">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1E34F5" w:rsidRPr="00211D55" w:rsidRDefault="00EC3B6C" w:rsidP="001E34F5">
            <w:pPr>
              <w:rPr>
                <w:rFonts w:ascii="Arabic Typesetting" w:hAnsi="Arabic Typesetting" w:cs="Arabic Typesetting"/>
                <w:b/>
                <w:bCs/>
                <w:sz w:val="28"/>
                <w:szCs w:val="28"/>
              </w:rPr>
            </w:pPr>
            <w:r w:rsidRPr="00211D55">
              <w:rPr>
                <w:rFonts w:ascii="Arabic Typesetting" w:hAnsi="Arabic Typesetting" w:cs="Arabic Typesetting"/>
                <w:b/>
                <w:bCs/>
                <w:sz w:val="28"/>
                <w:szCs w:val="28"/>
              </w:rPr>
              <w:t>17,257</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1E34F5" w:rsidRPr="00211D55" w:rsidRDefault="00EC3B6C" w:rsidP="001E34F5">
            <w:pPr>
              <w:rPr>
                <w:rFonts w:ascii="Arabic Typesetting" w:hAnsi="Arabic Typesetting" w:cs="Arabic Typesetting"/>
                <w:b/>
                <w:bCs/>
                <w:sz w:val="28"/>
                <w:szCs w:val="28"/>
              </w:rPr>
            </w:pPr>
            <w:r w:rsidRPr="00211D55">
              <w:rPr>
                <w:rFonts w:ascii="Arabic Typesetting" w:hAnsi="Arabic Typesetting" w:cs="Arabic Typesetting"/>
                <w:b/>
                <w:bCs/>
                <w:sz w:val="28"/>
                <w:szCs w:val="28"/>
              </w:rPr>
              <w:t>16,506</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1E34F5" w:rsidRPr="00211D55" w:rsidRDefault="00EC3B6C" w:rsidP="001E34F5">
            <w:pPr>
              <w:rPr>
                <w:rFonts w:ascii="Arabic Typesetting" w:hAnsi="Arabic Typesetting" w:cs="Arabic Typesetting"/>
                <w:b/>
                <w:bCs/>
                <w:sz w:val="28"/>
                <w:szCs w:val="28"/>
              </w:rPr>
            </w:pPr>
            <w:r w:rsidRPr="00211D55">
              <w:rPr>
                <w:rFonts w:ascii="Arabic Typesetting" w:hAnsi="Arabic Typesetting" w:cs="Arabic Typesetting"/>
                <w:b/>
                <w:bCs/>
                <w:sz w:val="28"/>
                <w:szCs w:val="28"/>
              </w:rPr>
              <w:t>15,961</w:t>
            </w:r>
          </w:p>
        </w:tc>
      </w:tr>
    </w:tbl>
    <w:p w:rsidR="001E34F5" w:rsidRPr="00252762" w:rsidRDefault="00774E37" w:rsidP="001E34F5">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1E34F5" w:rsidRPr="00DF1D8A" w:rsidRDefault="001E34F5" w:rsidP="001E34F5">
      <w:pPr>
        <w:keepNext/>
        <w:bidi/>
        <w:spacing w:after="120"/>
        <w:jc w:val="center"/>
        <w:rPr>
          <w:rFonts w:ascii="Arabic Typesetting" w:hAnsi="Arabic Typesetting" w:cs="Arabic Typesetting"/>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1E34F5" w:rsidRPr="00211D55" w:rsidTr="00EC3B6C">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1E34F5" w:rsidRPr="00211D55" w:rsidRDefault="001E34F5" w:rsidP="001E34F5">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1E34F5" w:rsidRPr="00211D55" w:rsidRDefault="001E34F5" w:rsidP="001E34F5">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1E34F5" w:rsidRPr="00211D55" w:rsidRDefault="001E34F5" w:rsidP="001E34F5">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1E34F5" w:rsidRPr="00211D55" w:rsidRDefault="001E34F5" w:rsidP="001E34F5">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1E34F5" w:rsidRPr="00211D55" w:rsidRDefault="009E57D2" w:rsidP="001E34F5">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1E34F5" w:rsidRPr="00211D55">
              <w:rPr>
                <w:rFonts w:ascii="Arabic Typesetting" w:hAnsi="Arabic Typesetting" w:cs="Arabic Typesetting"/>
                <w:b/>
                <w:bCs/>
                <w:i/>
                <w:iCs/>
                <w:sz w:val="28"/>
                <w:szCs w:val="28"/>
                <w:rtl/>
              </w:rPr>
              <w:t xml:space="preserve"> (%)</w:t>
            </w:r>
          </w:p>
        </w:tc>
      </w:tr>
      <w:tr w:rsidR="001E34F5" w:rsidRPr="00211D55" w:rsidTr="00EC3B6C">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1E34F5" w:rsidRPr="00211D55" w:rsidRDefault="001E34F5" w:rsidP="001E34F5">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1E34F5" w:rsidRPr="00211D55" w:rsidRDefault="00EC3B6C" w:rsidP="001E34F5">
            <w:pPr>
              <w:jc w:val="center"/>
              <w:rPr>
                <w:rFonts w:ascii="Arabic Typesetting" w:hAnsi="Arabic Typesetting" w:cs="Arabic Typesetting"/>
                <w:sz w:val="28"/>
                <w:szCs w:val="28"/>
              </w:rPr>
            </w:pPr>
            <w:r w:rsidRPr="00211D55">
              <w:rPr>
                <w:rFonts w:ascii="Arabic Typesetting" w:hAnsi="Arabic Typesetting" w:cs="Arabic Typesetting"/>
                <w:sz w:val="28"/>
                <w:szCs w:val="28"/>
              </w:rPr>
              <w:t>14,712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1E34F5" w:rsidRPr="00211D55" w:rsidRDefault="00EC3B6C" w:rsidP="001E34F5">
            <w:pPr>
              <w:jc w:val="center"/>
              <w:rPr>
                <w:rFonts w:ascii="Arabic Typesetting" w:hAnsi="Arabic Typesetting" w:cs="Arabic Typesetting"/>
                <w:sz w:val="28"/>
                <w:szCs w:val="28"/>
              </w:rPr>
            </w:pPr>
            <w:r w:rsidRPr="00211D55">
              <w:rPr>
                <w:rFonts w:ascii="Arabic Typesetting" w:hAnsi="Arabic Typesetting" w:cs="Arabic Typesetting"/>
                <w:sz w:val="28"/>
                <w:szCs w:val="28"/>
              </w:rPr>
              <w:t>13,948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1E34F5" w:rsidRPr="00211D55" w:rsidRDefault="00EC3B6C" w:rsidP="001E34F5">
            <w:pPr>
              <w:jc w:val="center"/>
              <w:rPr>
                <w:rFonts w:ascii="Arabic Typesetting" w:hAnsi="Arabic Typesetting" w:cs="Arabic Typesetting"/>
                <w:sz w:val="28"/>
                <w:szCs w:val="28"/>
              </w:rPr>
            </w:pPr>
            <w:r w:rsidRPr="00211D55">
              <w:rPr>
                <w:rFonts w:ascii="Arabic Typesetting" w:hAnsi="Arabic Typesetting" w:cs="Arabic Typesetting"/>
                <w:sz w:val="28"/>
                <w:szCs w:val="28"/>
              </w:rPr>
              <w:t>13,651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1E34F5" w:rsidRPr="00211D55" w:rsidRDefault="00EC3B6C" w:rsidP="001E34F5">
            <w:pPr>
              <w:jc w:val="center"/>
              <w:rPr>
                <w:rFonts w:ascii="Arabic Typesetting" w:hAnsi="Arabic Typesetting" w:cs="Arabic Typesetting"/>
                <w:sz w:val="28"/>
                <w:szCs w:val="28"/>
              </w:rPr>
            </w:pPr>
            <w:r w:rsidRPr="00211D55">
              <w:rPr>
                <w:rFonts w:ascii="Arabic Typesetting" w:hAnsi="Arabic Typesetting" w:cs="Arabic Typesetting"/>
                <w:sz w:val="28"/>
                <w:szCs w:val="28"/>
              </w:rPr>
              <w:t>98%</w:t>
            </w:r>
          </w:p>
        </w:tc>
      </w:tr>
      <w:tr w:rsidR="001E34F5" w:rsidRPr="00211D55" w:rsidTr="00EC3B6C">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1E34F5" w:rsidRPr="00211D55" w:rsidRDefault="001E34F5" w:rsidP="001E34F5">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1E34F5" w:rsidRPr="00211D55" w:rsidRDefault="00EC3B6C" w:rsidP="001E34F5">
            <w:pPr>
              <w:jc w:val="center"/>
              <w:rPr>
                <w:rFonts w:ascii="Arabic Typesetting" w:hAnsi="Arabic Typesetting" w:cs="Arabic Typesetting"/>
                <w:sz w:val="28"/>
                <w:szCs w:val="28"/>
              </w:rPr>
            </w:pPr>
            <w:r w:rsidRPr="00211D55">
              <w:rPr>
                <w:rFonts w:ascii="Arabic Typesetting" w:hAnsi="Arabic Typesetting" w:cs="Arabic Typesetting"/>
                <w:sz w:val="28"/>
                <w:szCs w:val="28"/>
              </w:rPr>
              <w:t>2,545</w:t>
            </w:r>
          </w:p>
        </w:tc>
        <w:tc>
          <w:tcPr>
            <w:tcW w:w="970" w:type="pct"/>
            <w:tcBorders>
              <w:top w:val="nil"/>
              <w:left w:val="single" w:sz="4" w:space="0" w:color="auto"/>
              <w:bottom w:val="single" w:sz="4" w:space="0" w:color="auto"/>
              <w:right w:val="single" w:sz="4" w:space="0" w:color="auto"/>
            </w:tcBorders>
            <w:shd w:val="clear" w:color="auto" w:fill="auto"/>
            <w:vAlign w:val="center"/>
          </w:tcPr>
          <w:p w:rsidR="001E34F5" w:rsidRPr="00211D55" w:rsidRDefault="00EC3B6C" w:rsidP="001E34F5">
            <w:pPr>
              <w:jc w:val="center"/>
              <w:rPr>
                <w:rFonts w:ascii="Arabic Typesetting" w:hAnsi="Arabic Typesetting" w:cs="Arabic Typesetting"/>
                <w:sz w:val="28"/>
                <w:szCs w:val="28"/>
              </w:rPr>
            </w:pPr>
            <w:r w:rsidRPr="00211D55">
              <w:rPr>
                <w:rFonts w:ascii="Arabic Typesetting" w:hAnsi="Arabic Typesetting" w:cs="Arabic Typesetting"/>
                <w:sz w:val="28"/>
                <w:szCs w:val="28"/>
              </w:rPr>
              <w:t>2,558</w:t>
            </w:r>
          </w:p>
        </w:tc>
        <w:tc>
          <w:tcPr>
            <w:tcW w:w="970" w:type="pct"/>
            <w:tcBorders>
              <w:top w:val="nil"/>
              <w:left w:val="single" w:sz="4" w:space="0" w:color="auto"/>
              <w:bottom w:val="single" w:sz="4" w:space="0" w:color="auto"/>
              <w:right w:val="single" w:sz="4" w:space="0" w:color="auto"/>
            </w:tcBorders>
            <w:shd w:val="clear" w:color="auto" w:fill="auto"/>
            <w:vAlign w:val="center"/>
          </w:tcPr>
          <w:p w:rsidR="001E34F5" w:rsidRPr="00211D55" w:rsidRDefault="00EC3B6C" w:rsidP="001E34F5">
            <w:pPr>
              <w:jc w:val="center"/>
              <w:rPr>
                <w:rFonts w:ascii="Arabic Typesetting" w:hAnsi="Arabic Typesetting" w:cs="Arabic Typesetting"/>
                <w:sz w:val="28"/>
                <w:szCs w:val="28"/>
              </w:rPr>
            </w:pPr>
            <w:r w:rsidRPr="00211D55">
              <w:rPr>
                <w:rFonts w:ascii="Arabic Typesetting" w:hAnsi="Arabic Typesetting" w:cs="Arabic Typesetting"/>
                <w:sz w:val="28"/>
                <w:szCs w:val="28"/>
              </w:rPr>
              <w:t>2,310</w:t>
            </w:r>
          </w:p>
        </w:tc>
        <w:tc>
          <w:tcPr>
            <w:tcW w:w="970" w:type="pct"/>
            <w:tcBorders>
              <w:top w:val="nil"/>
              <w:left w:val="single" w:sz="4" w:space="0" w:color="auto"/>
              <w:bottom w:val="single" w:sz="4" w:space="0" w:color="auto"/>
              <w:right w:val="single" w:sz="4" w:space="0" w:color="auto"/>
            </w:tcBorders>
            <w:shd w:val="clear" w:color="auto" w:fill="auto"/>
            <w:vAlign w:val="center"/>
          </w:tcPr>
          <w:p w:rsidR="001E34F5" w:rsidRPr="00211D55" w:rsidRDefault="00EC3B6C" w:rsidP="001E34F5">
            <w:pPr>
              <w:jc w:val="center"/>
              <w:rPr>
                <w:rFonts w:ascii="Arabic Typesetting" w:hAnsi="Arabic Typesetting" w:cs="Arabic Typesetting"/>
                <w:sz w:val="28"/>
                <w:szCs w:val="28"/>
              </w:rPr>
            </w:pPr>
            <w:r w:rsidRPr="00211D55">
              <w:rPr>
                <w:rFonts w:ascii="Arabic Typesetting" w:hAnsi="Arabic Typesetting" w:cs="Arabic Typesetting"/>
                <w:sz w:val="28"/>
                <w:szCs w:val="28"/>
              </w:rPr>
              <w:t>90%</w:t>
            </w:r>
          </w:p>
        </w:tc>
      </w:tr>
      <w:tr w:rsidR="00EC3B6C" w:rsidRPr="00211D55" w:rsidTr="00EC3B6C">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EC3B6C" w:rsidRPr="00211D55" w:rsidRDefault="00EC3B6C" w:rsidP="001E34F5">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EC3B6C" w:rsidRPr="00211D55" w:rsidRDefault="00EC3B6C" w:rsidP="00EC3B6C">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17,257</w:t>
            </w:r>
          </w:p>
        </w:tc>
        <w:tc>
          <w:tcPr>
            <w:tcW w:w="970" w:type="pct"/>
            <w:tcBorders>
              <w:top w:val="nil"/>
              <w:left w:val="single" w:sz="4" w:space="0" w:color="auto"/>
              <w:bottom w:val="single" w:sz="4" w:space="0" w:color="auto"/>
              <w:right w:val="single" w:sz="4" w:space="0" w:color="auto"/>
            </w:tcBorders>
            <w:shd w:val="clear" w:color="auto" w:fill="auto"/>
            <w:vAlign w:val="center"/>
          </w:tcPr>
          <w:p w:rsidR="00EC3B6C" w:rsidRPr="00211D55" w:rsidRDefault="00EC3B6C" w:rsidP="00EC3B6C">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16,506</w:t>
            </w:r>
          </w:p>
        </w:tc>
        <w:tc>
          <w:tcPr>
            <w:tcW w:w="970" w:type="pct"/>
            <w:tcBorders>
              <w:top w:val="nil"/>
              <w:left w:val="single" w:sz="4" w:space="0" w:color="auto"/>
              <w:bottom w:val="single" w:sz="4" w:space="0" w:color="auto"/>
              <w:right w:val="single" w:sz="4" w:space="0" w:color="auto"/>
            </w:tcBorders>
            <w:shd w:val="clear" w:color="auto" w:fill="auto"/>
            <w:vAlign w:val="center"/>
          </w:tcPr>
          <w:p w:rsidR="00EC3B6C" w:rsidRPr="00211D55" w:rsidRDefault="00EC3B6C" w:rsidP="00EC3B6C">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15,961</w:t>
            </w:r>
          </w:p>
        </w:tc>
        <w:tc>
          <w:tcPr>
            <w:tcW w:w="970" w:type="pct"/>
            <w:tcBorders>
              <w:top w:val="nil"/>
              <w:left w:val="single" w:sz="4" w:space="0" w:color="auto"/>
              <w:bottom w:val="single" w:sz="4" w:space="0" w:color="auto"/>
              <w:right w:val="single" w:sz="4" w:space="0" w:color="auto"/>
            </w:tcBorders>
            <w:shd w:val="clear" w:color="auto" w:fill="auto"/>
            <w:vAlign w:val="center"/>
          </w:tcPr>
          <w:p w:rsidR="00EC3B6C" w:rsidRPr="00211D55" w:rsidRDefault="00EC3B6C" w:rsidP="001E34F5">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97%</w:t>
            </w:r>
          </w:p>
        </w:tc>
      </w:tr>
    </w:tbl>
    <w:p w:rsidR="00EC3B6C" w:rsidRPr="00A16E11" w:rsidRDefault="00EC3B6C" w:rsidP="00EC3B6C">
      <w:pPr>
        <w:keepNext/>
        <w:bidi/>
        <w:spacing w:before="240" w:after="120" w:line="340" w:lineRule="exact"/>
        <w:rPr>
          <w:rFonts w:ascii="Arabic Typesetting" w:hAnsi="Arabic Typesetting" w:cs="Arabic Typesetting"/>
          <w:sz w:val="34"/>
          <w:szCs w:val="34"/>
          <w:lang w:bidi="ar-EG"/>
        </w:rPr>
      </w:pPr>
      <w:r w:rsidRPr="00A16E11">
        <w:rPr>
          <w:rFonts w:ascii="Arabic Typesetting" w:hAnsi="Arabic Typesetting" w:cs="Arabic Typesetting" w:hint="cs"/>
          <w:sz w:val="34"/>
          <w:szCs w:val="34"/>
          <w:rtl/>
          <w:lang w:bidi="ar-EG"/>
        </w:rPr>
        <w:t>ألف</w:t>
      </w:r>
      <w:r w:rsidRPr="00A16E11">
        <w:rPr>
          <w:rFonts w:ascii="Arabic Typesetting" w:hAnsi="Arabic Typesetting" w:cs="Arabic Typesetting"/>
          <w:sz w:val="34"/>
          <w:szCs w:val="34"/>
          <w:lang w:bidi="ar-EG"/>
        </w:rPr>
        <w:t>.</w:t>
      </w:r>
      <w:r w:rsidRPr="00A16E11">
        <w:rPr>
          <w:rFonts w:ascii="Arabic Typesetting" w:hAnsi="Arabic Typesetting" w:cs="Arabic Typesetting" w:hint="cs"/>
          <w:sz w:val="34"/>
          <w:szCs w:val="34"/>
          <w:rtl/>
          <w:lang w:bidi="ar-EG"/>
        </w:rPr>
        <w:tab/>
      </w:r>
      <w:r w:rsidRPr="00A16E11">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634821" w:rsidRPr="00554698" w:rsidRDefault="00554698" w:rsidP="009A3712">
      <w:pPr>
        <w:numPr>
          <w:ilvl w:val="0"/>
          <w:numId w:val="19"/>
        </w:numPr>
        <w:bidi/>
        <w:spacing w:before="120" w:after="120" w:line="340" w:lineRule="exact"/>
        <w:ind w:left="0" w:firstLine="0"/>
        <w:jc w:val="both"/>
        <w:rPr>
          <w:rFonts w:ascii="Arabic Typesetting" w:hAnsi="Arabic Typesetting" w:cs="Arabic Typesetting"/>
          <w:sz w:val="34"/>
          <w:szCs w:val="34"/>
          <w:lang w:eastAsia="ko-KR" w:bidi="ar-EG"/>
        </w:rPr>
      </w:pPr>
      <w:r w:rsidRPr="00554698">
        <w:rPr>
          <w:rFonts w:ascii="Arabic Typesetting" w:eastAsia="SimSun" w:hAnsi="Arabic Typesetting" w:cs="Arabic Typesetting" w:hint="cs"/>
          <w:sz w:val="34"/>
          <w:szCs w:val="34"/>
          <w:rtl/>
          <w:lang w:eastAsia="zh-CN"/>
        </w:rPr>
        <w:t>يعزى أساساً</w:t>
      </w:r>
      <w:r w:rsidR="00634821" w:rsidRPr="00554698">
        <w:rPr>
          <w:rFonts w:ascii="Arabic Typesetting" w:eastAsia="SimSun" w:hAnsi="Arabic Typesetting" w:cs="Arabic Typesetting"/>
          <w:sz w:val="34"/>
          <w:szCs w:val="34"/>
          <w:rtl/>
          <w:lang w:eastAsia="zh-CN" w:bidi="ar-EG"/>
        </w:rPr>
        <w:t xml:space="preserve"> الانخفاض </w:t>
      </w:r>
      <w:r w:rsidRPr="00554698">
        <w:rPr>
          <w:rFonts w:ascii="Arabic Typesetting" w:eastAsia="SimSun" w:hAnsi="Arabic Typesetting" w:cs="Arabic Typesetting" w:hint="cs"/>
          <w:sz w:val="34"/>
          <w:szCs w:val="34"/>
          <w:rtl/>
          <w:lang w:eastAsia="zh-CN" w:bidi="ar-EG"/>
        </w:rPr>
        <w:t xml:space="preserve">في </w:t>
      </w:r>
      <w:r w:rsidRPr="00554698">
        <w:rPr>
          <w:rFonts w:ascii="Arabic Typesetting" w:eastAsia="SimSun" w:hAnsi="Arabic Typesetting" w:cs="Arabic Typesetting"/>
          <w:sz w:val="34"/>
          <w:szCs w:val="34"/>
          <w:rtl/>
          <w:lang w:eastAsia="zh-CN" w:bidi="ar-EG"/>
        </w:rPr>
        <w:t xml:space="preserve">الميزانية </w:t>
      </w:r>
      <w:r w:rsidRPr="00141A0B">
        <w:rPr>
          <w:rFonts w:ascii="Arabic Typesetting" w:hAnsi="Arabic Typesetting" w:cs="Arabic Typesetting"/>
          <w:sz w:val="34"/>
          <w:szCs w:val="34"/>
          <w:rtl/>
        </w:rPr>
        <w:t>النهائية</w:t>
      </w:r>
      <w:r w:rsidRPr="00554698">
        <w:rPr>
          <w:rFonts w:ascii="Arabic Typesetting" w:eastAsia="SimSun" w:hAnsi="Arabic Typesetting" w:cs="Arabic Typesetting"/>
          <w:sz w:val="34"/>
          <w:szCs w:val="34"/>
          <w:rtl/>
          <w:lang w:eastAsia="zh-CN" w:bidi="ar-EG"/>
        </w:rPr>
        <w:t xml:space="preserve"> بعد التحويلات </w:t>
      </w:r>
      <w:r w:rsidR="00507DE2">
        <w:rPr>
          <w:rFonts w:ascii="Arabic Typesetting" w:eastAsia="SimSun" w:hAnsi="Arabic Typesetting" w:cs="Arabic Typesetting"/>
          <w:sz w:val="34"/>
          <w:szCs w:val="34"/>
          <w:rtl/>
          <w:lang w:eastAsia="zh-CN" w:bidi="ar-EG"/>
        </w:rPr>
        <w:t>2014/15</w:t>
      </w:r>
      <w:r w:rsidRPr="00554698">
        <w:rPr>
          <w:rFonts w:ascii="Arabic Typesetting" w:eastAsia="SimSun" w:hAnsi="Arabic Typesetting" w:cs="Arabic Typesetting" w:hint="cs"/>
          <w:sz w:val="34"/>
          <w:szCs w:val="34"/>
          <w:rtl/>
          <w:lang w:eastAsia="zh-CN" w:bidi="ar-EG"/>
        </w:rPr>
        <w:t xml:space="preserve"> إلى ما يلي: "1" نقل مركز الويب</w:t>
      </w:r>
      <w:r w:rsidR="00634821" w:rsidRPr="00554698">
        <w:rPr>
          <w:rFonts w:ascii="Arabic Typesetting" w:eastAsia="SimSun" w:hAnsi="Arabic Typesetting" w:cs="Arabic Typesetting"/>
          <w:sz w:val="34"/>
          <w:szCs w:val="34"/>
          <w:rtl/>
          <w:lang w:eastAsia="zh-CN" w:bidi="ar-EG"/>
        </w:rPr>
        <w:t>و للمعلومات إلى البرنامج 21</w:t>
      </w:r>
      <w:r w:rsidRPr="00554698">
        <w:rPr>
          <w:rFonts w:ascii="Arabic Typesetting" w:eastAsia="SimSun" w:hAnsi="Arabic Typesetting" w:cs="Arabic Typesetting" w:hint="cs"/>
          <w:sz w:val="34"/>
          <w:szCs w:val="34"/>
          <w:rtl/>
          <w:lang w:eastAsia="zh-CN" w:bidi="ar-EG"/>
        </w:rPr>
        <w:t xml:space="preserve"> (الإدارة التنفيذية) في النصف الثاني من عام 2014؛</w:t>
      </w:r>
      <w:r w:rsidR="00634821" w:rsidRPr="00554698">
        <w:rPr>
          <w:rFonts w:ascii="Arabic Typesetting" w:eastAsia="SimSun" w:hAnsi="Arabic Typesetting" w:cs="Arabic Typesetting"/>
          <w:sz w:val="34"/>
          <w:szCs w:val="34"/>
          <w:rtl/>
          <w:lang w:eastAsia="zh-CN" w:bidi="ar-EG"/>
        </w:rPr>
        <w:t xml:space="preserve"> "2"</w:t>
      </w:r>
      <w:r w:rsidR="00CF6205">
        <w:rPr>
          <w:rFonts w:ascii="Arabic Typesetting" w:eastAsia="SimSun" w:hAnsi="Arabic Typesetting" w:cs="Arabic Typesetting" w:hint="cs"/>
          <w:sz w:val="34"/>
          <w:szCs w:val="34"/>
          <w:rtl/>
          <w:lang w:eastAsia="zh-CN" w:bidi="ar-EG"/>
        </w:rPr>
        <w:t> </w:t>
      </w:r>
      <w:r w:rsidR="00634821" w:rsidRPr="00554698">
        <w:rPr>
          <w:rFonts w:ascii="Arabic Typesetting" w:eastAsia="SimSun" w:hAnsi="Arabic Typesetting" w:cs="Arabic Typesetting"/>
          <w:sz w:val="34"/>
          <w:szCs w:val="34"/>
          <w:rtl/>
          <w:lang w:eastAsia="zh-CN" w:bidi="ar-EG"/>
        </w:rPr>
        <w:t>ونقل موارد موظفين</w:t>
      </w:r>
      <w:r w:rsidRPr="00554698">
        <w:rPr>
          <w:rFonts w:ascii="Arabic Typesetting" w:eastAsia="SimSun" w:hAnsi="Arabic Typesetting" w:cs="Arabic Typesetting" w:hint="cs"/>
          <w:sz w:val="34"/>
          <w:szCs w:val="34"/>
          <w:rtl/>
          <w:lang w:eastAsia="zh-CN" w:bidi="ar-EG"/>
        </w:rPr>
        <w:t xml:space="preserve"> لاستيعاب عبء العمل المتزايد في سجل لاهاي عقب انضمام بلدان إضافية إلى وثيقة جنيف لاتفاق لاهاي (وثيقة 1999)؛ "3" ونقل </w:t>
      </w:r>
      <w:r w:rsidR="0023721A">
        <w:rPr>
          <w:rFonts w:ascii="Arabic Typesetting" w:eastAsia="SimSun" w:hAnsi="Arabic Typesetting" w:cs="Arabic Typesetting" w:hint="cs"/>
          <w:sz w:val="34"/>
          <w:szCs w:val="34"/>
          <w:rtl/>
          <w:lang w:eastAsia="zh-CN" w:bidi="ar-EG"/>
        </w:rPr>
        <w:t>مخصصات</w:t>
      </w:r>
      <w:r w:rsidRPr="00554698">
        <w:rPr>
          <w:rFonts w:ascii="Arabic Typesetting" w:eastAsia="SimSun" w:hAnsi="Arabic Typesetting" w:cs="Arabic Typesetting" w:hint="cs"/>
          <w:sz w:val="34"/>
          <w:szCs w:val="34"/>
          <w:rtl/>
          <w:lang w:eastAsia="zh-CN" w:bidi="ar-EG"/>
        </w:rPr>
        <w:t xml:space="preserve"> من خلاف موارد الموظفين </w:t>
      </w:r>
      <w:r w:rsidR="00634821" w:rsidRPr="00554698">
        <w:rPr>
          <w:rFonts w:ascii="Arabic Typesetting" w:eastAsia="SimSun" w:hAnsi="Arabic Typesetting" w:cs="Arabic Typesetting"/>
          <w:sz w:val="34"/>
          <w:szCs w:val="34"/>
          <w:rtl/>
          <w:lang w:eastAsia="zh-CN" w:bidi="ar-EG"/>
        </w:rPr>
        <w:t>الخاصة بالتدريب الداخلي (إلى البرنامج 23 الذي يُدير المتدربين مركزياً) لدعم عمل مجلة الويبو وللمساعدة في الأعمال التحضيرية لليوم العالمي للملكية الفكرية لعام 2015.</w:t>
      </w:r>
    </w:p>
    <w:p w:rsidR="00EC3B6C" w:rsidRPr="00A16E11" w:rsidRDefault="00EC3B6C" w:rsidP="00EC3B6C">
      <w:pPr>
        <w:keepNext/>
        <w:bidi/>
        <w:spacing w:after="120" w:line="340" w:lineRule="exact"/>
        <w:rPr>
          <w:rFonts w:ascii="Arabic Typesetting" w:hAnsi="Arabic Typesetting" w:cs="Arabic Typesetting"/>
          <w:sz w:val="34"/>
          <w:szCs w:val="34"/>
          <w:rtl/>
        </w:rPr>
      </w:pPr>
      <w:r w:rsidRPr="00A16E11">
        <w:rPr>
          <w:rFonts w:ascii="Arabic Typesetting" w:hAnsi="Arabic Typesetting" w:cs="Arabic Typesetting" w:hint="cs"/>
          <w:sz w:val="34"/>
          <w:szCs w:val="34"/>
          <w:rtl/>
          <w:lang w:bidi="ar-EG"/>
        </w:rPr>
        <w:t>باء</w:t>
      </w:r>
      <w:r w:rsidRPr="00A16E11">
        <w:rPr>
          <w:rFonts w:ascii="Arabic Typesetting" w:hAnsi="Arabic Typesetting" w:cs="Arabic Typesetting"/>
          <w:sz w:val="34"/>
          <w:szCs w:val="34"/>
          <w:lang w:bidi="ar-EG"/>
        </w:rPr>
        <w:t>.</w:t>
      </w:r>
      <w:r w:rsidRPr="00A16E11">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554698" w:rsidRPr="00554698" w:rsidRDefault="00554698" w:rsidP="009A3712">
      <w:pPr>
        <w:numPr>
          <w:ilvl w:val="0"/>
          <w:numId w:val="19"/>
        </w:numPr>
        <w:shd w:val="clear" w:color="auto" w:fill="FFFFFF"/>
        <w:bidi/>
        <w:spacing w:before="120"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يعزى أساساً انخفاض نفقات الموظفين الفعلية مقارنة بالنفقات المقدرة إلى تقاعد موظفين ومن ثم الفترة اللازمة لشغل الوظائف الشاغرة. ويعزى أساساً انخفاض النفقات الفعلية ل</w:t>
      </w:r>
      <w:r w:rsidR="0023721A">
        <w:rPr>
          <w:rFonts w:ascii="Arabic Typesetting" w:hAnsi="Arabic Typesetting" w:cs="Arabic Typesetting" w:hint="cs"/>
          <w:sz w:val="34"/>
          <w:szCs w:val="34"/>
          <w:rtl/>
          <w:lang w:bidi="ar-EG"/>
        </w:rPr>
        <w:t xml:space="preserve">مخصصات </w:t>
      </w:r>
      <w:r>
        <w:rPr>
          <w:rFonts w:ascii="Arabic Typesetting" w:hAnsi="Arabic Typesetting" w:cs="Arabic Typesetting" w:hint="cs"/>
          <w:sz w:val="34"/>
          <w:szCs w:val="34"/>
          <w:rtl/>
          <w:lang w:bidi="ar-EG"/>
        </w:rPr>
        <w:t xml:space="preserve">خلاف موارد الموظفين مقارنة بالنفقات المقدرة إلى إرجاء استقصاء رضا الزبائن عن نظام لاهاي </w:t>
      </w:r>
      <w:r w:rsidR="00CF6205">
        <w:rPr>
          <w:rFonts w:ascii="Arabic Typesetting" w:hAnsi="Arabic Typesetting" w:cs="Arabic Typesetting" w:hint="cs"/>
          <w:sz w:val="34"/>
          <w:szCs w:val="34"/>
          <w:rtl/>
          <w:lang w:bidi="ar-EG"/>
        </w:rPr>
        <w:t>وإرجاء</w:t>
      </w:r>
      <w:r>
        <w:rPr>
          <w:rFonts w:ascii="Arabic Typesetting" w:hAnsi="Arabic Typesetting" w:cs="Arabic Typesetting" w:hint="cs"/>
          <w:sz w:val="34"/>
          <w:szCs w:val="34"/>
          <w:rtl/>
          <w:lang w:bidi="ar-EG"/>
        </w:rPr>
        <w:t xml:space="preserve"> تنفيذ </w:t>
      </w:r>
      <w:r w:rsidR="00CF6205">
        <w:rPr>
          <w:rFonts w:ascii="Arabic Typesetting" w:hAnsi="Arabic Typesetting" w:cs="Arabic Typesetting" w:hint="cs"/>
          <w:sz w:val="34"/>
          <w:szCs w:val="34"/>
          <w:rtl/>
          <w:lang w:bidi="ar-EG"/>
        </w:rPr>
        <w:t xml:space="preserve">جزء من </w:t>
      </w:r>
      <w:r>
        <w:rPr>
          <w:rFonts w:ascii="Arabic Typesetting" w:hAnsi="Arabic Typesetting" w:cs="Arabic Typesetting" w:hint="cs"/>
          <w:sz w:val="34"/>
          <w:szCs w:val="34"/>
          <w:rtl/>
          <w:lang w:bidi="ar-EG"/>
        </w:rPr>
        <w:t xml:space="preserve">مشروعين معلوماتيين (قاعدة بيانات الاتصال </w:t>
      </w:r>
      <w:proofErr w:type="spellStart"/>
      <w:r>
        <w:rPr>
          <w:rFonts w:ascii="Arabic Typesetting" w:hAnsi="Arabic Typesetting" w:cs="Arabic Typesetting"/>
          <w:sz w:val="34"/>
          <w:szCs w:val="34"/>
          <w:lang w:bidi="ar-EG"/>
        </w:rPr>
        <w:t>PROdest</w:t>
      </w:r>
      <w:proofErr w:type="spellEnd"/>
      <w:r>
        <w:rPr>
          <w:rFonts w:ascii="Arabic Typesetting" w:hAnsi="Arabic Typesetting" w:cs="Arabic Typesetting" w:hint="cs"/>
          <w:sz w:val="34"/>
          <w:szCs w:val="34"/>
          <w:rtl/>
        </w:rPr>
        <w:t xml:space="preserve"> ونظام</w:t>
      </w:r>
      <w:r w:rsidR="00443AFB">
        <w:rPr>
          <w:rFonts w:ascii="Arabic Typesetting" w:hAnsi="Arabic Typesetting" w:cs="Arabic Typesetting" w:hint="eastAsia"/>
          <w:sz w:val="34"/>
          <w:szCs w:val="34"/>
          <w:rtl/>
        </w:rPr>
        <w:t> </w:t>
      </w:r>
      <w:r w:rsidR="006C1221">
        <w:rPr>
          <w:rFonts w:ascii="Arabic Typesetting" w:hAnsi="Arabic Typesetting" w:cs="Arabic Typesetting" w:hint="cs"/>
          <w:sz w:val="34"/>
          <w:szCs w:val="34"/>
          <w:rtl/>
        </w:rPr>
        <w:t>ال</w:t>
      </w:r>
      <w:r>
        <w:rPr>
          <w:rFonts w:ascii="Arabic Typesetting" w:hAnsi="Arabic Typesetting" w:cs="Arabic Typesetting" w:hint="cs"/>
          <w:sz w:val="34"/>
          <w:szCs w:val="34"/>
          <w:rtl/>
        </w:rPr>
        <w:t>تو</w:t>
      </w:r>
      <w:r w:rsidR="006C1221">
        <w:rPr>
          <w:rFonts w:ascii="Arabic Typesetting" w:hAnsi="Arabic Typesetting" w:cs="Arabic Typesetting" w:hint="cs"/>
          <w:sz w:val="34"/>
          <w:szCs w:val="34"/>
          <w:rtl/>
        </w:rPr>
        <w:t>جيه الآلي ل</w:t>
      </w:r>
      <w:r>
        <w:rPr>
          <w:rFonts w:ascii="Arabic Typesetting" w:hAnsi="Arabic Typesetting" w:cs="Arabic Typesetting" w:hint="cs"/>
          <w:sz w:val="34"/>
          <w:szCs w:val="34"/>
          <w:rtl/>
        </w:rPr>
        <w:t>لمكالمات</w:t>
      </w:r>
      <w:r w:rsidR="006C1221">
        <w:rPr>
          <w:rFonts w:ascii="Arabic Typesetting" w:hAnsi="Arabic Typesetting" w:cs="Arabic Typesetting" w:hint="cs"/>
          <w:sz w:val="34"/>
          <w:szCs w:val="34"/>
          <w:rtl/>
        </w:rPr>
        <w:t xml:space="preserve"> (</w:t>
      </w:r>
      <w:r>
        <w:rPr>
          <w:rFonts w:ascii="Arabic Typesetting" w:hAnsi="Arabic Typesetting" w:cs="Arabic Typesetting"/>
          <w:sz w:val="34"/>
          <w:szCs w:val="34"/>
        </w:rPr>
        <w:t>ACD</w:t>
      </w:r>
      <w:r w:rsidR="006C1221">
        <w:rPr>
          <w:rFonts w:ascii="Arabic Typesetting" w:hAnsi="Arabic Typesetting" w:cs="Arabic Typesetting" w:hint="cs"/>
          <w:sz w:val="34"/>
          <w:szCs w:val="34"/>
          <w:rtl/>
        </w:rPr>
        <w:t>)</w:t>
      </w:r>
      <w:r>
        <w:rPr>
          <w:rFonts w:ascii="Arabic Typesetting" w:hAnsi="Arabic Typesetting" w:cs="Arabic Typesetting" w:hint="cs"/>
          <w:sz w:val="34"/>
          <w:szCs w:val="34"/>
          <w:rtl/>
          <w:lang w:bidi="ar-EG"/>
        </w:rPr>
        <w:t>) إلى الثنائية المقبلة.</w:t>
      </w:r>
    </w:p>
    <w:p w:rsidR="00B31868" w:rsidRPr="00385CA0" w:rsidRDefault="00B31868" w:rsidP="00285760">
      <w:pPr>
        <w:pStyle w:val="Heading3AR"/>
        <w:spacing w:after="120"/>
        <w:rPr>
          <w:rtl/>
        </w:rPr>
      </w:pPr>
      <w:bookmarkStart w:id="108" w:name="_Toc450635426"/>
      <w:bookmarkStart w:id="109" w:name="_Toc455393395"/>
      <w:r w:rsidRPr="00385CA0">
        <w:rPr>
          <w:rtl/>
        </w:rPr>
        <w:lastRenderedPageBreak/>
        <w:t>البرنامج 20</w:t>
      </w:r>
      <w:r w:rsidR="00365D19">
        <w:rPr>
          <w:rFonts w:hint="cs"/>
          <w:rtl/>
        </w:rPr>
        <w:t>:</w:t>
      </w:r>
      <w:r w:rsidRPr="00385CA0">
        <w:rPr>
          <w:rtl/>
        </w:rPr>
        <w:tab/>
        <w:t>العلاقات الخارجية والشراكات والمكاتب الخارجية</w:t>
      </w:r>
      <w:bookmarkEnd w:id="108"/>
      <w:bookmarkEnd w:id="109"/>
    </w:p>
    <w:p w:rsidR="002502E6" w:rsidRDefault="00086C3F" w:rsidP="002502E6">
      <w:pPr>
        <w:keepNext/>
        <w:bidi/>
        <w:spacing w:after="240" w:line="340" w:lineRule="exact"/>
        <w:ind w:left="1984" w:hanging="1984"/>
        <w:rPr>
          <w:rFonts w:ascii="Arabic Typesetting" w:hAnsi="Arabic Typesetting" w:cs="Arabic Typesetting"/>
          <w:b/>
          <w:bCs/>
          <w:sz w:val="36"/>
          <w:szCs w:val="36"/>
          <w:rtl/>
          <w:lang w:val="fr-CH"/>
        </w:rPr>
      </w:pPr>
      <w:r w:rsidRPr="00086C3F">
        <w:rPr>
          <w:rFonts w:ascii="Arabic Typesetting" w:hAnsi="Arabic Typesetting" w:cs="Arabic Typesetting"/>
          <w:b/>
          <w:bCs/>
          <w:sz w:val="36"/>
          <w:szCs w:val="36"/>
          <w:rtl/>
          <w:lang w:val="fr-CH"/>
        </w:rPr>
        <w:t>المسؤول</w:t>
      </w:r>
      <w:r w:rsidR="002502E6">
        <w:rPr>
          <w:rFonts w:ascii="Arabic Typesetting" w:hAnsi="Arabic Typesetting" w:cs="Arabic Typesetting" w:hint="cs"/>
          <w:b/>
          <w:bCs/>
          <w:sz w:val="36"/>
          <w:szCs w:val="36"/>
          <w:rtl/>
          <w:lang w:val="fr-CH"/>
        </w:rPr>
        <w:t>ون</w:t>
      </w:r>
      <w:r w:rsidRPr="00086C3F">
        <w:rPr>
          <w:rFonts w:ascii="Arabic Typesetting" w:hAnsi="Arabic Typesetting" w:cs="Arabic Typesetting"/>
          <w:b/>
          <w:bCs/>
          <w:sz w:val="36"/>
          <w:szCs w:val="36"/>
          <w:rtl/>
          <w:lang w:val="fr-CH"/>
        </w:rPr>
        <w:t xml:space="preserve"> عن البرنامج:</w:t>
      </w:r>
      <w:r w:rsidR="00A214AF" w:rsidRPr="00086C3F">
        <w:rPr>
          <w:rFonts w:ascii="Arabic Typesetting" w:hAnsi="Arabic Typesetting" w:cs="Arabic Typesetting"/>
          <w:b/>
          <w:bCs/>
          <w:sz w:val="36"/>
          <w:szCs w:val="36"/>
          <w:rtl/>
          <w:lang w:val="fr-CH"/>
        </w:rPr>
        <w:tab/>
      </w:r>
      <w:r w:rsidRPr="009A48D1">
        <w:rPr>
          <w:rFonts w:ascii="Arabic Typesetting" w:hAnsi="Arabic Typesetting" w:cs="Arabic Typesetting"/>
          <w:b/>
          <w:bCs/>
          <w:sz w:val="36"/>
          <w:szCs w:val="36"/>
          <w:rtl/>
          <w:lang w:val="fr-CH"/>
        </w:rPr>
        <w:t xml:space="preserve">السيد </w:t>
      </w:r>
      <w:proofErr w:type="spellStart"/>
      <w:r w:rsidRPr="009A48D1">
        <w:rPr>
          <w:rFonts w:ascii="Arabic Typesetting" w:hAnsi="Arabic Typesetting" w:cs="Arabic Typesetting"/>
          <w:b/>
          <w:bCs/>
          <w:sz w:val="36"/>
          <w:szCs w:val="36"/>
          <w:rtl/>
          <w:lang w:val="fr-CH"/>
        </w:rPr>
        <w:t>مينيليك</w:t>
      </w:r>
      <w:proofErr w:type="spellEnd"/>
      <w:r w:rsidRPr="009A48D1">
        <w:rPr>
          <w:rFonts w:ascii="Arabic Typesetting" w:hAnsi="Arabic Typesetting" w:cs="Arabic Typesetting"/>
          <w:b/>
          <w:bCs/>
          <w:sz w:val="36"/>
          <w:szCs w:val="36"/>
          <w:rtl/>
          <w:lang w:val="fr-CH"/>
        </w:rPr>
        <w:t xml:space="preserve"> </w:t>
      </w:r>
      <w:proofErr w:type="spellStart"/>
      <w:r w:rsidRPr="009A48D1">
        <w:rPr>
          <w:rFonts w:ascii="Arabic Typesetting" w:hAnsi="Arabic Typesetting" w:cs="Arabic Typesetting"/>
          <w:b/>
          <w:bCs/>
          <w:sz w:val="36"/>
          <w:szCs w:val="36"/>
          <w:rtl/>
          <w:lang w:val="fr-CH"/>
        </w:rPr>
        <w:t>غيتاهون</w:t>
      </w:r>
      <w:proofErr w:type="spellEnd"/>
      <w:r w:rsidR="002502E6">
        <w:rPr>
          <w:rFonts w:ascii="Arabic Typesetting" w:hAnsi="Arabic Typesetting" w:cs="Arabic Typesetting" w:hint="cs"/>
          <w:b/>
          <w:bCs/>
          <w:sz w:val="36"/>
          <w:szCs w:val="36"/>
          <w:rtl/>
          <w:lang w:val="fr-CH"/>
        </w:rPr>
        <w:br/>
        <w:t>و</w:t>
      </w:r>
      <w:r w:rsidR="002502E6" w:rsidRPr="009A48D1">
        <w:rPr>
          <w:rFonts w:ascii="Arabic Typesetting" w:hAnsi="Arabic Typesetting" w:cs="Arabic Typesetting"/>
          <w:b/>
          <w:bCs/>
          <w:sz w:val="36"/>
          <w:szCs w:val="36"/>
          <w:rtl/>
          <w:lang w:val="fr-CH"/>
        </w:rPr>
        <w:t xml:space="preserve">السيد </w:t>
      </w:r>
      <w:proofErr w:type="spellStart"/>
      <w:r w:rsidR="002502E6" w:rsidRPr="009A48D1">
        <w:rPr>
          <w:rFonts w:ascii="Arabic Typesetting" w:hAnsi="Arabic Typesetting" w:cs="Arabic Typesetting"/>
          <w:b/>
          <w:bCs/>
          <w:sz w:val="36"/>
          <w:szCs w:val="36"/>
          <w:rtl/>
          <w:lang w:val="fr-CH"/>
        </w:rPr>
        <w:t>يوشيوكي</w:t>
      </w:r>
      <w:proofErr w:type="spellEnd"/>
      <w:r w:rsidR="002502E6" w:rsidRPr="009A48D1">
        <w:rPr>
          <w:rFonts w:ascii="Arabic Typesetting" w:hAnsi="Arabic Typesetting" w:cs="Arabic Typesetting"/>
          <w:b/>
          <w:bCs/>
          <w:sz w:val="36"/>
          <w:szCs w:val="36"/>
          <w:rtl/>
          <w:lang w:val="fr-CH"/>
        </w:rPr>
        <w:t xml:space="preserve"> </w:t>
      </w:r>
      <w:proofErr w:type="spellStart"/>
      <w:r w:rsidR="002502E6" w:rsidRPr="009A48D1">
        <w:rPr>
          <w:rFonts w:ascii="Arabic Typesetting" w:hAnsi="Arabic Typesetting" w:cs="Arabic Typesetting"/>
          <w:b/>
          <w:bCs/>
          <w:sz w:val="36"/>
          <w:szCs w:val="36"/>
          <w:rtl/>
          <w:lang w:val="fr-CH"/>
        </w:rPr>
        <w:t>تاكاغي</w:t>
      </w:r>
      <w:proofErr w:type="spellEnd"/>
      <w:r w:rsidR="002502E6">
        <w:rPr>
          <w:rFonts w:ascii="Arabic Typesetting" w:hAnsi="Arabic Typesetting" w:cs="Arabic Typesetting" w:hint="cs"/>
          <w:b/>
          <w:bCs/>
          <w:sz w:val="36"/>
          <w:szCs w:val="36"/>
          <w:rtl/>
          <w:lang w:val="fr-CH"/>
        </w:rPr>
        <w:br/>
        <w:t>و</w:t>
      </w:r>
      <w:r w:rsidR="002502E6" w:rsidRPr="00B31868">
        <w:rPr>
          <w:rFonts w:ascii="Arabic Typesetting" w:hAnsi="Arabic Typesetting" w:cs="Arabic Typesetting" w:hint="cs"/>
          <w:b/>
          <w:bCs/>
          <w:sz w:val="36"/>
          <w:szCs w:val="36"/>
          <w:rtl/>
          <w:lang w:val="fr-CH"/>
        </w:rPr>
        <w:t xml:space="preserve">السيدة </w:t>
      </w:r>
      <w:proofErr w:type="spellStart"/>
      <w:r w:rsidR="002502E6" w:rsidRPr="00B31868">
        <w:rPr>
          <w:rFonts w:ascii="Arabic Typesetting" w:hAnsi="Arabic Typesetting" w:cs="Arabic Typesetting" w:hint="cs"/>
          <w:b/>
          <w:bCs/>
          <w:sz w:val="36"/>
          <w:szCs w:val="36"/>
          <w:rtl/>
          <w:lang w:val="fr-CH"/>
        </w:rPr>
        <w:t>بينينغ</w:t>
      </w:r>
      <w:proofErr w:type="spellEnd"/>
      <w:r w:rsidR="002502E6" w:rsidRPr="00B31868">
        <w:rPr>
          <w:rFonts w:ascii="Arabic Typesetting" w:hAnsi="Arabic Typesetting" w:cs="Arabic Typesetting" w:hint="cs"/>
          <w:b/>
          <w:bCs/>
          <w:sz w:val="36"/>
          <w:szCs w:val="36"/>
          <w:rtl/>
          <w:lang w:val="fr-CH"/>
        </w:rPr>
        <w:t xml:space="preserve"> وانغ</w:t>
      </w:r>
    </w:p>
    <w:p w:rsidR="00086C3F" w:rsidRPr="002502E6" w:rsidRDefault="00086C3F" w:rsidP="002502E6">
      <w:pPr>
        <w:keepNext/>
        <w:bidi/>
        <w:spacing w:after="120" w:line="340" w:lineRule="exact"/>
        <w:rPr>
          <w:rFonts w:ascii="Arabic Typesetting" w:hAnsi="Arabic Typesetting" w:cs="Arabic Typesetting"/>
          <w:sz w:val="34"/>
          <w:szCs w:val="34"/>
          <w:rtl/>
          <w:lang w:val="fr-CH"/>
        </w:rPr>
      </w:pPr>
      <w:r w:rsidRPr="002502E6">
        <w:rPr>
          <w:rFonts w:ascii="Arabic Typesetting" w:hAnsi="Arabic Typesetting" w:cs="Arabic Typesetting"/>
          <w:sz w:val="34"/>
          <w:szCs w:val="34"/>
          <w:rtl/>
          <w:lang w:val="fr-CH"/>
        </w:rPr>
        <w:t xml:space="preserve">الإنجازات المحققة خلال الثنائية </w:t>
      </w:r>
      <w:r w:rsidR="00507DE2" w:rsidRPr="002502E6">
        <w:rPr>
          <w:rFonts w:ascii="Arabic Typesetting" w:hAnsi="Arabic Typesetting" w:cs="Arabic Typesetting"/>
          <w:sz w:val="34"/>
          <w:szCs w:val="34"/>
          <w:rtl/>
          <w:lang w:val="fr-CH"/>
        </w:rPr>
        <w:t>2014/15</w:t>
      </w:r>
    </w:p>
    <w:p w:rsidR="002502E6" w:rsidRPr="002502E6" w:rsidRDefault="002502E6" w:rsidP="002502E6">
      <w:pPr>
        <w:pStyle w:val="NormalParaAR"/>
        <w:keepNext/>
        <w:spacing w:after="120"/>
        <w:rPr>
          <w:sz w:val="34"/>
          <w:szCs w:val="34"/>
          <w:rtl/>
        </w:rPr>
      </w:pPr>
      <w:r w:rsidRPr="002502E6">
        <w:rPr>
          <w:sz w:val="34"/>
          <w:szCs w:val="34"/>
          <w:rtl/>
        </w:rPr>
        <w:t xml:space="preserve">العلاقات الخارجية والشراكات (السيد </w:t>
      </w:r>
      <w:proofErr w:type="spellStart"/>
      <w:r w:rsidRPr="002502E6">
        <w:rPr>
          <w:sz w:val="34"/>
          <w:szCs w:val="34"/>
          <w:rtl/>
        </w:rPr>
        <w:t>مينيليك</w:t>
      </w:r>
      <w:proofErr w:type="spellEnd"/>
      <w:r w:rsidRPr="002502E6">
        <w:rPr>
          <w:sz w:val="34"/>
          <w:szCs w:val="34"/>
          <w:rtl/>
        </w:rPr>
        <w:t xml:space="preserve"> </w:t>
      </w:r>
      <w:proofErr w:type="spellStart"/>
      <w:r w:rsidRPr="002502E6">
        <w:rPr>
          <w:sz w:val="34"/>
          <w:szCs w:val="34"/>
          <w:rtl/>
        </w:rPr>
        <w:t>غيتاهون</w:t>
      </w:r>
      <w:proofErr w:type="spellEnd"/>
      <w:r w:rsidRPr="002502E6">
        <w:rPr>
          <w:sz w:val="34"/>
          <w:szCs w:val="34"/>
          <w:rtl/>
        </w:rPr>
        <w:t>)</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tl/>
        </w:rPr>
      </w:pPr>
      <w:r w:rsidRPr="002502E6">
        <w:rPr>
          <w:rFonts w:ascii="Arabic Typesetting" w:hAnsi="Arabic Typesetting" w:cs="Arabic Typesetting"/>
          <w:sz w:val="34"/>
          <w:szCs w:val="34"/>
          <w:rtl/>
        </w:rPr>
        <w:t>في الثنائية 2014/15، خلصت الأمم المتحدة والدول الأعضاء فيها إلى عدد من مسارات التفاوض الرئيسية الوثيقة الصلة بعمل الويبو، منها اعتماد خطة عمل أديس أبابا (</w:t>
      </w:r>
      <w:r w:rsidRPr="002502E6">
        <w:rPr>
          <w:rFonts w:ascii="Arabic Typesetting" w:hAnsi="Arabic Typesetting" w:cs="Arabic Typesetting"/>
          <w:sz w:val="34"/>
          <w:szCs w:val="34"/>
        </w:rPr>
        <w:t>AAAA</w:t>
      </w:r>
      <w:r w:rsidRPr="002502E6">
        <w:rPr>
          <w:rFonts w:ascii="Arabic Typesetting" w:hAnsi="Arabic Typesetting" w:cs="Arabic Typesetting"/>
          <w:sz w:val="34"/>
          <w:szCs w:val="34"/>
          <w:rtl/>
        </w:rPr>
        <w:t>) خلال المؤتمر الدولي الثالث لتمويل التنمية (</w:t>
      </w:r>
      <w:r w:rsidRPr="002502E6">
        <w:rPr>
          <w:rFonts w:ascii="Arabic Typesetting" w:hAnsi="Arabic Typesetting" w:cs="Arabic Typesetting"/>
          <w:sz w:val="34"/>
          <w:szCs w:val="34"/>
        </w:rPr>
        <w:t>FFD3</w:t>
      </w:r>
      <w:r w:rsidRPr="002502E6">
        <w:rPr>
          <w:rFonts w:ascii="Arabic Typesetting" w:hAnsi="Arabic Typesetting" w:cs="Arabic Typesetting"/>
          <w:sz w:val="34"/>
          <w:szCs w:val="34"/>
          <w:rtl/>
        </w:rPr>
        <w:t>)، واعتماد "تحويل عالمنا: خطة التنمية المستدامة لعام 2030"، واعتماد اتفاق باريس في إطار اتفاقية الأمم المتحدة الإطارية بشأن تغير المناخ (</w:t>
      </w:r>
      <w:r w:rsidRPr="002502E6">
        <w:rPr>
          <w:rFonts w:ascii="Arabic Typesetting" w:hAnsi="Arabic Typesetting" w:cs="Arabic Typesetting"/>
          <w:sz w:val="34"/>
          <w:szCs w:val="34"/>
        </w:rPr>
        <w:t>UNFCCC</w:t>
      </w:r>
      <w:r w:rsidRPr="002502E6">
        <w:rPr>
          <w:rFonts w:ascii="Arabic Typesetting" w:hAnsi="Arabic Typesetting" w:cs="Arabic Typesetting"/>
          <w:sz w:val="34"/>
          <w:szCs w:val="34"/>
          <w:rtl/>
        </w:rPr>
        <w:t>). وقد واصلت الويبو أداء دورها في دعم هذه المسارات من خلال مشاركتها الاستراتيجية ومن خلال تقديم معلومات متوازنة وقائمة على الأدلة والاستجابة في الوقت المناسب لطلبات محددة بشأن المساهمات والتعاون، وذلك بوصفها وكالةً متخصصةً تابعة للأمم المتحدة، وتم</w:t>
      </w:r>
      <w:r>
        <w:rPr>
          <w:rFonts w:ascii="Arabic Typesetting" w:hAnsi="Arabic Typesetting" w:cs="Arabic Typesetting" w:hint="cs"/>
          <w:sz w:val="34"/>
          <w:szCs w:val="34"/>
          <w:rtl/>
        </w:rPr>
        <w:t>ا</w:t>
      </w:r>
      <w:r w:rsidRPr="002502E6">
        <w:rPr>
          <w:rFonts w:ascii="Arabic Typesetting" w:hAnsi="Arabic Typesetting" w:cs="Arabic Typesetting"/>
          <w:sz w:val="34"/>
          <w:szCs w:val="34"/>
          <w:rtl/>
        </w:rPr>
        <w:t>شياً مع ولايتها ومع التوصيتين 30 و40 من توصيات جدول أعمال الويبو بشأن التنمية. وفي</w:t>
      </w:r>
      <w:r>
        <w:rPr>
          <w:rFonts w:ascii="Arabic Typesetting" w:hAnsi="Arabic Typesetting" w:cs="Arabic Typesetting" w:hint="cs"/>
          <w:sz w:val="34"/>
          <w:szCs w:val="34"/>
          <w:rtl/>
        </w:rPr>
        <w:t> </w:t>
      </w:r>
      <w:r w:rsidRPr="002502E6">
        <w:rPr>
          <w:rFonts w:ascii="Arabic Typesetting" w:hAnsi="Arabic Typesetting" w:cs="Arabic Typesetting"/>
          <w:sz w:val="34"/>
          <w:szCs w:val="34"/>
          <w:rtl/>
        </w:rPr>
        <w:t>الثنائية 2014/15، شارك البرنامج 20، من بين أمور أخرى، في المسارات التالية، بما في ذلك عن طريق مكتب الويبو للتنسيق مع الأمم المتحدة في نيويورك:</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مساهمات في تنفيذ نتائج القمة العالمية لمجتمع المعلومات (</w:t>
      </w:r>
      <w:r w:rsidRPr="002502E6">
        <w:rPr>
          <w:rFonts w:ascii="Arabic Typesetting" w:hAnsi="Arabic Typesetting" w:cs="Arabic Typesetting"/>
          <w:sz w:val="34"/>
          <w:szCs w:val="34"/>
        </w:rPr>
        <w:t>WSIS</w:t>
      </w:r>
      <w:r w:rsidRPr="002502E6">
        <w:rPr>
          <w:rFonts w:ascii="Arabic Typesetting" w:hAnsi="Arabic Typesetting" w:cs="Arabic Typesetting"/>
          <w:sz w:val="34"/>
          <w:szCs w:val="34"/>
          <w:rtl/>
        </w:rPr>
        <w:t>) واستعراض السنوات العشر لتنفيذ نتائج هذه القمة العالمية استجابةً لقرار المجلس الاقتصادي والاجتماعي رقم 2013/9، ودعماً للتوصية 24 من توصيات جدول أعمال التنمية. وكانت الويبو أيضاً في كل من عامي 2014 و2015 تشارك بنشاط في الأحداث الرفيعة المستوى لاستعراض نتائج القمة العالمية لمجتمع المعلومات بعد مضي عشر سنوات</w:t>
      </w:r>
      <w:r>
        <w:rPr>
          <w:rFonts w:ascii="Arabic Typesetting" w:hAnsi="Arabic Typesetting" w:cs="Arabic Typesetting" w:hint="cs"/>
          <w:sz w:val="34"/>
          <w:szCs w:val="34"/>
          <w:rtl/>
        </w:rPr>
        <w:t xml:space="preserve"> حيث</w:t>
      </w:r>
      <w:r w:rsidRPr="002502E6">
        <w:rPr>
          <w:rFonts w:ascii="Arabic Typesetting" w:hAnsi="Arabic Typesetting" w:cs="Arabic Typesetting"/>
          <w:sz w:val="34"/>
          <w:szCs w:val="34"/>
          <w:rtl/>
        </w:rPr>
        <w:t xml:space="preserve"> تحدث المدير العام في الجلستين الافتتاحيتين. كما شاركت الويبو بنشاط في منتدى إدارة الإنترنت (</w:t>
      </w:r>
      <w:r w:rsidRPr="002502E6">
        <w:rPr>
          <w:rFonts w:ascii="Arabic Typesetting" w:hAnsi="Arabic Typesetting" w:cs="Arabic Typesetting"/>
          <w:sz w:val="34"/>
          <w:szCs w:val="34"/>
        </w:rPr>
        <w:t>IGF</w:t>
      </w:r>
      <w:r w:rsidRPr="002502E6">
        <w:rPr>
          <w:rFonts w:ascii="Arabic Typesetting" w:hAnsi="Arabic Typesetting" w:cs="Arabic Typesetting"/>
          <w:sz w:val="34"/>
          <w:szCs w:val="34"/>
          <w:rtl/>
        </w:rPr>
        <w:t>) في عام 2014 من خلال الاشتراك في تنظيم حلقتي عمل عن "</w:t>
      </w:r>
      <w:r w:rsidRPr="002502E6">
        <w:rPr>
          <w:rFonts w:ascii="Arabic Typesetting" w:hAnsi="Arabic Typesetting" w:cs="Arabic Typesetting"/>
          <w:i/>
          <w:iCs/>
          <w:sz w:val="34"/>
          <w:szCs w:val="34"/>
          <w:rtl/>
        </w:rPr>
        <w:t>النشاط التجاري في الإبداع</w:t>
      </w:r>
      <w:r w:rsidRPr="002502E6">
        <w:rPr>
          <w:rFonts w:ascii="Arabic Typesetting" w:hAnsi="Arabic Typesetting" w:cs="Arabic Typesetting"/>
          <w:sz w:val="34"/>
          <w:szCs w:val="34"/>
          <w:rtl/>
        </w:rPr>
        <w:t>" وعن "</w:t>
      </w:r>
      <w:r w:rsidRPr="002502E6">
        <w:rPr>
          <w:rFonts w:ascii="Arabic Typesetting" w:hAnsi="Arabic Typesetting" w:cs="Arabic Typesetting"/>
          <w:i/>
          <w:iCs/>
          <w:sz w:val="34"/>
          <w:szCs w:val="34"/>
          <w:rtl/>
        </w:rPr>
        <w:t>إبداع الثقافة الرقمية وحمايتها وإتاحة النفاذ إليها</w:t>
      </w:r>
      <w:r w:rsidRPr="002502E6">
        <w:rPr>
          <w:rFonts w:ascii="Arabic Typesetting" w:hAnsi="Arabic Typesetting" w:cs="Arabic Typesetting"/>
          <w:sz w:val="34"/>
          <w:szCs w:val="34"/>
          <w:rtl/>
        </w:rPr>
        <w:t>". وفي</w:t>
      </w:r>
      <w:r>
        <w:rPr>
          <w:rFonts w:ascii="Arabic Typesetting" w:hAnsi="Arabic Typesetting" w:cs="Arabic Typesetting" w:hint="cs"/>
          <w:sz w:val="34"/>
          <w:szCs w:val="34"/>
          <w:rtl/>
        </w:rPr>
        <w:t> </w:t>
      </w:r>
      <w:r w:rsidRPr="002502E6">
        <w:rPr>
          <w:rFonts w:ascii="Arabic Typesetting" w:hAnsi="Arabic Typesetting" w:cs="Arabic Typesetting"/>
          <w:sz w:val="34"/>
          <w:szCs w:val="34"/>
          <w:rtl/>
        </w:rPr>
        <w:t>عام 2015، نظمت الويبو أيضاً منتدى مفتوحاً فحصَ عمل الويبو ومشاركتها مع منظمة المشاع الإبداعي (</w:t>
      </w:r>
      <w:r w:rsidRPr="002502E6">
        <w:rPr>
          <w:rFonts w:ascii="Arabic Typesetting" w:hAnsi="Arabic Typesetting" w:cs="Arabic Typesetting"/>
          <w:sz w:val="34"/>
          <w:szCs w:val="34"/>
        </w:rPr>
        <w:t>CC</w:t>
      </w:r>
      <w:r w:rsidRPr="002502E6">
        <w:rPr>
          <w:rFonts w:ascii="Arabic Typesetting" w:hAnsi="Arabic Typesetting" w:cs="Arabic Typesetting"/>
          <w:sz w:val="34"/>
          <w:szCs w:val="34"/>
          <w:rtl/>
        </w:rPr>
        <w:t>) إلى جانب منظمات حكومية دولية أخرى، وذلك لتعزيز سياسات النفاذ الأكثر انفتاحاً وللنظر في أنشطة الويبو في مجال تطوير البرمجيات، بما في ذلك ما يتعلق بالمصدر المفتوح وصناعة ألعاب الفيديو،</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والمساهمة في تقارير فرقة العمل المعنية برصد الثغرات في تنفيذ الأهداف الإنمائية للألفية لعامي 2014 و2015، حيث تعاونت الويبو، بما يتماشى مع التوصية 22 من توصيات جدول أعمال التنمية، مع منظمة التجارة العالمية ومنظمة الصحة العالمية بشأن أقسام من التقرير تتعلق بالحصول على الأدوية الأساسية بأسعار معقولة،</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وساهمت الويبو بتسع شراكات في منهاج عمل الدول الجزرية الصغيرة النامية (</w:t>
      </w:r>
      <w:r w:rsidRPr="002502E6">
        <w:rPr>
          <w:rFonts w:ascii="Arabic Typesetting" w:hAnsi="Arabic Typesetting" w:cs="Arabic Typesetting"/>
          <w:sz w:val="34"/>
          <w:szCs w:val="34"/>
        </w:rPr>
        <w:t>SIDS</w:t>
      </w:r>
      <w:r w:rsidRPr="002502E6">
        <w:rPr>
          <w:rFonts w:ascii="Arabic Typesetting" w:hAnsi="Arabic Typesetting" w:cs="Arabic Typesetting"/>
          <w:sz w:val="34"/>
          <w:szCs w:val="34"/>
          <w:rtl/>
        </w:rPr>
        <w:t>)، وشاركت في الفريق الاستشاري المشترك بين الوكالات الذي يعمل على تنفيذ الوثيقة الختامية لمسار ساموا. وفي سياق المؤتمر الدولي الثالث بشأن الدول الجزرية الصغيرة النامية، الذي أُقيم في ساموا في سبتمبر 2014، نظَّمت الويبو حدثاً جانبياً بشأن استخدام نظام الملكية الفكرية لأغراض التنمية الثقافية والاقتصادية المستدامة للدول الجزرية الصغيرة النامية،</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والمشاركة في فرقة العمل المشتركة بين الوكالات المعنية بالعلم والتكنولوجيا والابتكار لأغراض أهداف التنمية المستدامة (</w:t>
      </w:r>
      <w:r w:rsidRPr="002502E6">
        <w:rPr>
          <w:rFonts w:ascii="Arabic Typesetting" w:hAnsi="Arabic Typesetting" w:cs="Arabic Typesetting"/>
          <w:sz w:val="34"/>
          <w:szCs w:val="34"/>
        </w:rPr>
        <w:t>IATT</w:t>
      </w:r>
      <w:r w:rsidRPr="002502E6">
        <w:rPr>
          <w:rFonts w:ascii="Arabic Typesetting" w:hAnsi="Arabic Typesetting" w:cs="Arabic Typesetting"/>
          <w:sz w:val="34"/>
          <w:szCs w:val="34"/>
          <w:rtl/>
        </w:rPr>
        <w:t xml:space="preserve">) في إطار آلية تيسير التكنولوجيا، فضلاً عن فريق الخبراء المشترك بين الوكالات المعني بمؤشرات أهداف التنمية المستدامة. وشاركت الويبو على وجه الخصوص في مجالات فرقة العمل المشتركة بين الوكالات لتنظيم المنتدى المتعدد أصحاب المصلحة المعني بتسخير العلم والتكنولوجيا والابتكار لأغراض أهداف التنمية المستدامة، وعملية رسم الخرائط لمنصة إلكترونية لتيسير التكنولوجيا في إطار آلية تيسير التكنولوجيا. واشتركت الويبو مع </w:t>
      </w:r>
      <w:proofErr w:type="spellStart"/>
      <w:r w:rsidRPr="002502E6">
        <w:rPr>
          <w:rFonts w:ascii="Arabic Typesetting" w:hAnsi="Arabic Typesetting" w:cs="Arabic Typesetting"/>
          <w:sz w:val="34"/>
          <w:szCs w:val="34"/>
          <w:rtl/>
        </w:rPr>
        <w:t>الأونكتاد</w:t>
      </w:r>
      <w:proofErr w:type="spellEnd"/>
      <w:r w:rsidRPr="002502E6">
        <w:rPr>
          <w:rFonts w:ascii="Arabic Typesetting" w:hAnsi="Arabic Typesetting" w:cs="Arabic Typesetting"/>
          <w:sz w:val="34"/>
          <w:szCs w:val="34"/>
          <w:rtl/>
        </w:rPr>
        <w:t xml:space="preserve"> واليونيدو في تنظيم حدث بشأن أوجه التآزر فيما بين التصنيع والابتكار والتجارة لتعزيز التنمية المستدامة، بمقر الأمم المتحدة في نيويورك في مايو 2015. وفي هذا السياق أيضاً، نظمت الويبو، بالتعاون مع إدارة </w:t>
      </w:r>
      <w:r w:rsidRPr="002502E6">
        <w:rPr>
          <w:rFonts w:ascii="Arabic Typesetting" w:hAnsi="Arabic Typesetting" w:cs="Arabic Typesetting"/>
          <w:sz w:val="34"/>
          <w:szCs w:val="34"/>
          <w:rtl/>
        </w:rPr>
        <w:lastRenderedPageBreak/>
        <w:t>الأمم المتحدة للشؤون الاقتصادية والاجتماعية، حدثاً جانبياً بشأن الدور التحويلي للتكنولوجيا والابتكار في التنمية، في مقر الأمم المتحدة في نيويورك في أكتوبر 2015،</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والعمل على التكنولوجيا في اتفاقية الأمم المتحدة الإطارية بشأن تغير المناخ، لا سيما الآلية التكنولوجية للاتفاقية واللجنة التنفيذية للتكنولوجيا ومركز وشبكة تكنولوجيا المناخ. وفي هذا السياق، دعَّم البرنامجُ حلقة عمل للجنة التنفيذية المعنية بالتكنولوجيا عن أنظمة الابتكار الوطنية بتقديم مؤشر الابتكار العالمي في دورات اتفاقية الأمم المتحدة الإطارية التي عُقدت في يونيو 2014، وشارك البرنامج في تنظيم حدث جانبي مع الوكالة الدولية للطاقة المتجددة في 2014. وفي عام 2015، نظم البرنامج حدثاً جانبياً عن "</w:t>
      </w:r>
      <w:r w:rsidRPr="002502E6">
        <w:rPr>
          <w:rFonts w:ascii="Arabic Typesetting" w:hAnsi="Arabic Typesetting" w:cs="Arabic Typesetting"/>
          <w:i/>
          <w:iCs/>
          <w:sz w:val="34"/>
          <w:szCs w:val="34"/>
          <w:rtl/>
        </w:rPr>
        <w:t>سياسات وأدلة لدعم نقل تكنولوجيا والابتكار في مجال التغير المناخي</w:t>
      </w:r>
      <w:r w:rsidRPr="002502E6">
        <w:rPr>
          <w:rFonts w:ascii="Arabic Typesetting" w:hAnsi="Arabic Typesetting" w:cs="Arabic Typesetting"/>
          <w:sz w:val="34"/>
          <w:szCs w:val="34"/>
          <w:rtl/>
        </w:rPr>
        <w:t>" لإطلاق تقرير الويبو عن التحديات العالمية: "</w:t>
      </w:r>
      <w:r w:rsidRPr="002502E6">
        <w:rPr>
          <w:rFonts w:ascii="Arabic Typesetting" w:hAnsi="Arabic Typesetting" w:cs="Arabic Typesetting"/>
          <w:i/>
          <w:iCs/>
          <w:sz w:val="34"/>
          <w:szCs w:val="34"/>
          <w:rtl/>
        </w:rPr>
        <w:t>الابتكار ونشر التكنولوجيات الخضراء: دور الملكية الفكرية وعوامل التمكين الأخرى</w:t>
      </w:r>
      <w:r w:rsidRPr="002502E6">
        <w:rPr>
          <w:rFonts w:ascii="Arabic Typesetting" w:hAnsi="Arabic Typesetting" w:cs="Arabic Typesetting"/>
          <w:sz w:val="34"/>
          <w:szCs w:val="34"/>
          <w:rtl/>
        </w:rPr>
        <w:t>" خلال دورات اتفاقية الأمم المتحدة الإطارية التي عُقدت في يونيو 2015، فضلاً عن معرض للتكنولوجيات النظيفة المبتكرة خلال مؤتمر الأطراف الحادي والعشرين الذي عُقد في باريس في ديسمبر 2015،</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وفي سياق اتفاقية الأمم المتحدة لحقوق الأشخاص ذوي الإعاقة، وحملة الأمم المتحدة "2015 – أوان التحرك العالمي من أجل الشعوب وكوكب الأرض"، نظَّمت الويبو بالتعاون مع إدارة الأمم المتحدة للشؤون الاقتصادية والاجتماعية ندوة نقاش بشأن </w:t>
      </w:r>
      <w:r w:rsidRPr="002502E6">
        <w:rPr>
          <w:rFonts w:ascii="Arabic Typesetting" w:hAnsi="Arabic Typesetting" w:cs="Arabic Typesetting"/>
          <w:i/>
          <w:iCs/>
          <w:sz w:val="34"/>
          <w:szCs w:val="34"/>
          <w:rtl/>
        </w:rPr>
        <w:t>التكنولوجيات المبتكرة: جعل عالم الكتب في متناول الأشخاص العاجزين عن قراءة المطبوعات</w:t>
      </w:r>
      <w:r w:rsidRPr="002502E6">
        <w:rPr>
          <w:rFonts w:ascii="Arabic Typesetting" w:hAnsi="Arabic Typesetting" w:cs="Arabic Typesetting"/>
          <w:sz w:val="34"/>
          <w:szCs w:val="34"/>
          <w:rtl/>
        </w:rPr>
        <w:t>، بمقر الأمم المتحدة في نيويورك في مارس 2015،</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والمساهمة في تقارير الأمين العام للأمم المتحدة عن: "1" دعم منظومة الأمم المتحدة للشراكة الجديدة من أجل تنمية أفريقيا (</w:t>
      </w:r>
      <w:proofErr w:type="spellStart"/>
      <w:r w:rsidRPr="002502E6">
        <w:rPr>
          <w:rFonts w:ascii="Arabic Typesetting" w:hAnsi="Arabic Typesetting" w:cs="Arabic Typesetting"/>
          <w:sz w:val="34"/>
          <w:szCs w:val="34"/>
          <w:rtl/>
        </w:rPr>
        <w:t>نيباد</w:t>
      </w:r>
      <w:proofErr w:type="spellEnd"/>
      <w:r w:rsidRPr="002502E6">
        <w:rPr>
          <w:rFonts w:ascii="Arabic Typesetting" w:hAnsi="Arabic Typesetting" w:cs="Arabic Typesetting"/>
          <w:sz w:val="34"/>
          <w:szCs w:val="34"/>
          <w:rtl/>
        </w:rPr>
        <w:t>)، "2" وحقوق الأشخاص ذوي الإعاقة وفقاً لقرار مجلس حقوق الإنسان</w:t>
      </w:r>
      <w:r w:rsidR="00CF3E9E">
        <w:rPr>
          <w:rFonts w:ascii="Arabic Typesetting" w:hAnsi="Arabic Typesetting" w:cs="Arabic Typesetting" w:hint="cs"/>
          <w:sz w:val="34"/>
          <w:szCs w:val="34"/>
          <w:rtl/>
        </w:rPr>
        <w:t xml:space="preserve"> التابع للأمم المتحدة</w:t>
      </w:r>
      <w:r w:rsidRPr="002502E6">
        <w:rPr>
          <w:rFonts w:ascii="Arabic Typesetting" w:hAnsi="Arabic Typesetting" w:cs="Arabic Typesetting"/>
          <w:sz w:val="34"/>
          <w:szCs w:val="34"/>
          <w:rtl/>
        </w:rPr>
        <w:t xml:space="preserve"> 24/3، فضلاً عن نشرة تأهيل الأمم المتحدة </w:t>
      </w:r>
      <w:r>
        <w:rPr>
          <w:rFonts w:ascii="Arabic Typesetting" w:hAnsi="Arabic Typesetting" w:cs="Arabic Typesetting" w:hint="cs"/>
          <w:sz w:val="34"/>
          <w:szCs w:val="34"/>
          <w:rtl/>
        </w:rPr>
        <w:t>ومراجعة</w:t>
      </w:r>
      <w:r w:rsidRPr="002502E6">
        <w:rPr>
          <w:rFonts w:ascii="Arabic Typesetting" w:hAnsi="Arabic Typesetting" w:cs="Arabic Typesetting"/>
          <w:sz w:val="34"/>
          <w:szCs w:val="34"/>
          <w:rtl/>
        </w:rPr>
        <w:t xml:space="preserve"> توصية اليونسكو الخاصة بأوضاع المشتغلين بالبحث العلمي (1974).</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وواصلت الويبو أيضاً، طوال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النهوض بالشراكات المعززة مع شركائها من المنظمات الحكومية الدولية الرئيسية التالية:</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من خلال العمل بالتعاون مع </w:t>
      </w:r>
      <w:proofErr w:type="spellStart"/>
      <w:r w:rsidRPr="002502E6">
        <w:rPr>
          <w:rFonts w:ascii="Arabic Typesetting" w:hAnsi="Arabic Typesetting" w:cs="Arabic Typesetting"/>
          <w:sz w:val="34"/>
          <w:szCs w:val="34"/>
          <w:rtl/>
        </w:rPr>
        <w:t>الأونكتاد</w:t>
      </w:r>
      <w:proofErr w:type="spellEnd"/>
      <w:r w:rsidRPr="002502E6">
        <w:rPr>
          <w:rFonts w:ascii="Arabic Typesetting" w:hAnsi="Arabic Typesetting" w:cs="Arabic Typesetting"/>
          <w:sz w:val="34"/>
          <w:szCs w:val="34"/>
          <w:rtl/>
        </w:rPr>
        <w:t>، ومكتب الأمم المتحدة في جنيف (</w:t>
      </w:r>
      <w:r w:rsidRPr="002502E6">
        <w:rPr>
          <w:rFonts w:ascii="Arabic Typesetting" w:hAnsi="Arabic Typesetting" w:cs="Arabic Typesetting"/>
          <w:sz w:val="34"/>
          <w:szCs w:val="34"/>
        </w:rPr>
        <w:t>UNOG</w:t>
      </w:r>
      <w:r w:rsidRPr="002502E6">
        <w:rPr>
          <w:rFonts w:ascii="Arabic Typesetting" w:hAnsi="Arabic Typesetting" w:cs="Arabic Typesetting"/>
          <w:sz w:val="34"/>
          <w:szCs w:val="34"/>
          <w:rtl/>
        </w:rPr>
        <w:t>)، ومركز التجارة الدولية (</w:t>
      </w:r>
      <w:r w:rsidRPr="002502E6">
        <w:rPr>
          <w:rFonts w:ascii="Arabic Typesetting" w:hAnsi="Arabic Typesetting" w:cs="Arabic Typesetting"/>
          <w:sz w:val="34"/>
          <w:szCs w:val="34"/>
        </w:rPr>
        <w:t>ITC</w:t>
      </w:r>
      <w:r w:rsidRPr="002502E6">
        <w:rPr>
          <w:rFonts w:ascii="Arabic Typesetting" w:hAnsi="Arabic Typesetting" w:cs="Arabic Typesetting"/>
          <w:sz w:val="34"/>
          <w:szCs w:val="34"/>
          <w:rtl/>
        </w:rPr>
        <w:t>)، وإدارة التنمية الاقتصادية في كانتون جنيف، وجامعة جنيف (</w:t>
      </w:r>
      <w:r w:rsidRPr="002502E6">
        <w:rPr>
          <w:rFonts w:ascii="Arabic Typesetting" w:hAnsi="Arabic Typesetting" w:cs="Arabic Typesetting"/>
          <w:sz w:val="34"/>
          <w:szCs w:val="34"/>
        </w:rPr>
        <w:t>UNIGE</w:t>
      </w:r>
      <w:r w:rsidRPr="002502E6">
        <w:rPr>
          <w:rFonts w:ascii="Arabic Typesetting" w:hAnsi="Arabic Typesetting" w:cs="Arabic Typesetting"/>
          <w:sz w:val="34"/>
          <w:szCs w:val="34"/>
          <w:rtl/>
        </w:rPr>
        <w:t>)، واتحاد الشركات السويسرية (</w:t>
      </w:r>
      <w:r w:rsidRPr="002502E6">
        <w:rPr>
          <w:rFonts w:ascii="Arabic Typesetting" w:hAnsi="Arabic Typesetting" w:cs="Arabic Typesetting"/>
          <w:sz w:val="34"/>
          <w:szCs w:val="34"/>
        </w:rPr>
        <w:t>FER</w:t>
      </w:r>
      <w:r w:rsidRPr="002502E6">
        <w:rPr>
          <w:rFonts w:ascii="Arabic Typesetting" w:hAnsi="Arabic Typesetting" w:cs="Arabic Typesetting"/>
          <w:sz w:val="34"/>
          <w:szCs w:val="34"/>
          <w:rtl/>
        </w:rPr>
        <w:t>)، استأنفت الويبو مشاركتها النشطة في الأسبوع العالمي لريادة الأعمال (</w:t>
      </w:r>
      <w:r w:rsidRPr="002502E6">
        <w:rPr>
          <w:rFonts w:ascii="Arabic Typesetting" w:hAnsi="Arabic Typesetting" w:cs="Arabic Typesetting"/>
          <w:sz w:val="34"/>
          <w:szCs w:val="34"/>
        </w:rPr>
        <w:t>GEW</w:t>
      </w:r>
      <w:r w:rsidRPr="002502E6">
        <w:rPr>
          <w:rFonts w:ascii="Arabic Typesetting" w:hAnsi="Arabic Typesetting" w:cs="Arabic Typesetting"/>
          <w:sz w:val="34"/>
          <w:szCs w:val="34"/>
          <w:rtl/>
        </w:rPr>
        <w:t>) الذي يتخذ من جنيف مقراً له، وشاركت في تنظيم أسبوع من الفعاليات والدورات التدريبية في إطار الأسبوع العالمي لريادة الأعمال لعامي 2014 و2015. وكان تركيز الويبو ينصب في المقام الأول على تعزيز الابتكار وتشجيع الشباب على ريادة الأعمال وتنظيم دورات تكوين الكفاءات في مجال المعلومات المتعلقة بالبراءات والشركات الصغيرة والمتوسطة والملكية</w:t>
      </w:r>
      <w:r w:rsidR="00CF3E9E">
        <w:rPr>
          <w:rFonts w:ascii="Arabic Typesetting" w:hAnsi="Arabic Typesetting" w:cs="Arabic Typesetting" w:hint="cs"/>
          <w:sz w:val="34"/>
          <w:szCs w:val="34"/>
          <w:rtl/>
        </w:rPr>
        <w:t> </w:t>
      </w:r>
      <w:r w:rsidRPr="002502E6">
        <w:rPr>
          <w:rFonts w:ascii="Arabic Typesetting" w:hAnsi="Arabic Typesetting" w:cs="Arabic Typesetting"/>
          <w:sz w:val="34"/>
          <w:szCs w:val="34"/>
          <w:rtl/>
        </w:rPr>
        <w:t>الفكرية. (دعم تنفيذ التوصيات 4 و11 و40 من توصيات جدول أعمال التنمية، وكذلك عمل البرامج 11 و14 و30)،</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وظلَّ التعاون مع منظمة الصحة العالمية إحدى الأولويات المتقدمة طوال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وإضافةً إلى العمل </w:t>
      </w:r>
      <w:proofErr w:type="spellStart"/>
      <w:r w:rsidRPr="002502E6">
        <w:rPr>
          <w:rFonts w:ascii="Arabic Typesetting" w:hAnsi="Arabic Typesetting" w:cs="Arabic Typesetting"/>
          <w:sz w:val="34"/>
          <w:szCs w:val="34"/>
          <w:rtl/>
        </w:rPr>
        <w:t>المضطلع</w:t>
      </w:r>
      <w:proofErr w:type="spellEnd"/>
      <w:r w:rsidRPr="002502E6">
        <w:rPr>
          <w:rFonts w:ascii="Arabic Typesetting" w:hAnsi="Arabic Typesetting" w:cs="Arabic Typesetting"/>
          <w:sz w:val="34"/>
          <w:szCs w:val="34"/>
          <w:rtl/>
        </w:rPr>
        <w:t xml:space="preserve"> به بالتعاون مع البرامج 1 و14 و18 في سياق </w:t>
      </w:r>
      <w:r w:rsidR="00CF3E9E">
        <w:rPr>
          <w:rFonts w:ascii="Arabic Typesetting" w:hAnsi="Arabic Typesetting" w:cs="Arabic Typesetting" w:hint="cs"/>
          <w:sz w:val="34"/>
          <w:szCs w:val="34"/>
          <w:rtl/>
        </w:rPr>
        <w:t>التعاون</w:t>
      </w:r>
      <w:r w:rsidRPr="002502E6">
        <w:rPr>
          <w:rFonts w:ascii="Arabic Typesetting" w:hAnsi="Arabic Typesetting" w:cs="Arabic Typesetting"/>
          <w:sz w:val="34"/>
          <w:szCs w:val="34"/>
          <w:rtl/>
        </w:rPr>
        <w:t xml:space="preserve"> الثلاثي بين الويبو ومنظمة الصحة العالمية ومنظمة التجارة العالمية، شاركت الويبو بفعالية في اجتماعات منظمة الصحة العالمية ومساراتها الأخرى ذات الصلة، وكذلك في سلسلة من الاجتماعات في الإطار الخاص بمسار الأمم المتحدة بشأن الأمراض غير المعدية. وفيما يتعلق بالتوصية 14 الخاصة بقديم المشورة إلى البلدان النامية والبلدان الأقل نمواً بشأن تنفيذ الحقوق والالتزامات وإعمالها وفهم مواطن المرونة الموجودة في اتفاق تريبس والانتفاع بها، ضَمِنَ البرنامج 20، بالتعاون مع قطاعات الويبو الموضوعية، أنَّ الأنشطة </w:t>
      </w:r>
      <w:proofErr w:type="spellStart"/>
      <w:r w:rsidRPr="002502E6">
        <w:rPr>
          <w:rFonts w:ascii="Arabic Typesetting" w:hAnsi="Arabic Typesetting" w:cs="Arabic Typesetting"/>
          <w:sz w:val="34"/>
          <w:szCs w:val="34"/>
          <w:rtl/>
        </w:rPr>
        <w:t>المضطلع</w:t>
      </w:r>
      <w:proofErr w:type="spellEnd"/>
      <w:r w:rsidRPr="002502E6">
        <w:rPr>
          <w:rFonts w:ascii="Arabic Typesetting" w:hAnsi="Arabic Typesetting" w:cs="Arabic Typesetting"/>
          <w:sz w:val="34"/>
          <w:szCs w:val="34"/>
          <w:rtl/>
        </w:rPr>
        <w:t xml:space="preserve"> بها مع منظمة التجارة العالمية ومنظمة الصحة العالمية تعكس هذه التوصية.</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ومن خلال العمل مع البرامج 1 و2 و3 و4 و9 و17 و18، ضَمِنَ البرنامجُ 20 مشاركةَ الويبو الفعالة في مجلس تريبس التابع لمنظمة التجارة العالمية، ونسَّق البرنامجُ مشاركةَ الويبو في حلقات العمل الوطنية والإقليمية والدولية لمنظمة التجارة العالمية بشأن موضوعات شتى، وفي ندوة منظمة التجارة العالمية التي عُقدت في جنيف بعنوان "تحقيق الأهداف الإنمائية لنظام الملكية الفكرية: الاحتياجات ذات الأولوية </w:t>
      </w:r>
      <w:r w:rsidR="00CF3E9E">
        <w:rPr>
          <w:rFonts w:ascii="Arabic Typesetting" w:hAnsi="Arabic Typesetting" w:cs="Arabic Typesetting" w:hint="cs"/>
          <w:sz w:val="34"/>
          <w:szCs w:val="34"/>
          <w:rtl/>
        </w:rPr>
        <w:t>للبلدان الأقل نموا</w:t>
      </w:r>
      <w:r w:rsidRPr="002502E6">
        <w:rPr>
          <w:rFonts w:ascii="Arabic Typesetting" w:hAnsi="Arabic Typesetting" w:cs="Arabic Typesetting"/>
          <w:sz w:val="34"/>
          <w:szCs w:val="34"/>
          <w:rtl/>
        </w:rPr>
        <w:t xml:space="preserve"> من أجل التعاون التقني والمالي"، وفي حلقة العمل السنوية لمنظمة التجارة العالمية بشأن التجارة والصحة العامة،</w:t>
      </w:r>
    </w:p>
    <w:p w:rsidR="002502E6" w:rsidRPr="002502E6" w:rsidRDefault="002502E6" w:rsidP="0099688F">
      <w:pPr>
        <w:pStyle w:val="ListParagraph"/>
        <w:numPr>
          <w:ilvl w:val="0"/>
          <w:numId w:val="69"/>
        </w:numPr>
        <w:bidi/>
        <w:spacing w:after="120" w:line="340" w:lineRule="exact"/>
        <w:ind w:left="1134" w:hanging="567"/>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lastRenderedPageBreak/>
        <w:t>وإضافة إلى ذلك، عُزِّز التعاون مع وكالات الأمم المتحدة الأخرى – لا سيما المنظمة الأوروبية للبحوث النووية، والمنظمة الدولية لتوحيد المقاييس، والاتحاد الدولي للاتصالات، واليونسكو، واليونيدو –</w:t>
      </w:r>
      <w:r w:rsidR="00CF3E9E">
        <w:rPr>
          <w:rFonts w:ascii="Arabic Typesetting" w:hAnsi="Arabic Typesetting" w:cs="Arabic Typesetting" w:hint="cs"/>
          <w:sz w:val="34"/>
          <w:szCs w:val="34"/>
          <w:rtl/>
        </w:rPr>
        <w:t xml:space="preserve"> </w:t>
      </w:r>
      <w:r w:rsidRPr="002502E6">
        <w:rPr>
          <w:rFonts w:ascii="Arabic Typesetting" w:hAnsi="Arabic Typesetting" w:cs="Arabic Typesetting"/>
          <w:sz w:val="34"/>
          <w:szCs w:val="34"/>
          <w:rtl/>
        </w:rPr>
        <w:t>واستمر في تقديم الدعم المتبادل لتحقيق نتائج الويبو المرتقبة وتنفيذ جدول أعمال الويبو بشأن التنمية.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واستمر طوال الثنائية 2014/15 عمل الويبو لحشد الشراكات والمساهمات المالية الطوعية من أجل مشروعات الملكية الفكرية، </w:t>
      </w:r>
      <w:r w:rsidR="00CF3E9E">
        <w:rPr>
          <w:rFonts w:ascii="Arabic Typesetting" w:hAnsi="Arabic Typesetting" w:cs="Arabic Typesetting" w:hint="cs"/>
          <w:sz w:val="34"/>
          <w:szCs w:val="34"/>
          <w:rtl/>
        </w:rPr>
        <w:t>وبيَّن</w:t>
      </w:r>
      <w:r w:rsidRPr="002502E6">
        <w:rPr>
          <w:rFonts w:ascii="Arabic Typesetting" w:hAnsi="Arabic Typesetting" w:cs="Arabic Typesetting"/>
          <w:sz w:val="34"/>
          <w:szCs w:val="34"/>
          <w:rtl/>
        </w:rPr>
        <w:t xml:space="preserve"> هذا العملُ التعميمَ المستمر والناجح للتوصية 2 من توصيات جدول أعمال التنمية على أنشطة البرنامج. وكان جزء كبير من ذلك العمل يتمثل في تقديم المشورة والتوجيه لمشروعات الويبو – مثل مشروع </w:t>
      </w:r>
      <w:proofErr w:type="spellStart"/>
      <w:r w:rsidRPr="002502E6">
        <w:rPr>
          <w:rFonts w:ascii="Arabic Typesetting" w:hAnsi="Arabic Typesetting" w:cs="Arabic Typesetting"/>
          <w:sz w:val="34"/>
          <w:szCs w:val="34"/>
          <w:rtl/>
        </w:rPr>
        <w:t>ويبو</w:t>
      </w:r>
      <w:proofErr w:type="spellEnd"/>
      <w:r w:rsidRPr="002502E6">
        <w:rPr>
          <w:rFonts w:ascii="Arabic Typesetting" w:hAnsi="Arabic Typesetting" w:cs="Arabic Typesetting"/>
          <w:sz w:val="34"/>
          <w:szCs w:val="34"/>
          <w:rtl/>
        </w:rPr>
        <w:t xml:space="preserve"> غرين (</w:t>
      </w:r>
      <w:r w:rsidRPr="002502E6">
        <w:rPr>
          <w:rFonts w:ascii="Arabic Typesetting" w:hAnsi="Arabic Typesetting" w:cs="Arabic Typesetting"/>
          <w:sz w:val="34"/>
          <w:szCs w:val="34"/>
        </w:rPr>
        <w:t>WIPO GREEN</w:t>
      </w:r>
      <w:r w:rsidRPr="002502E6">
        <w:rPr>
          <w:rFonts w:ascii="Arabic Typesetting" w:hAnsi="Arabic Typesetting" w:cs="Arabic Typesetting"/>
          <w:sz w:val="34"/>
          <w:szCs w:val="34"/>
          <w:rtl/>
        </w:rPr>
        <w:t>)، ومشروع الويبو المتعلق بالبحث (</w:t>
      </w:r>
      <w:r w:rsidRPr="002502E6">
        <w:rPr>
          <w:rFonts w:ascii="Arabic Typesetting" w:hAnsi="Arabic Typesetting" w:cs="Arabic Typesetting"/>
          <w:sz w:val="34"/>
          <w:szCs w:val="34"/>
        </w:rPr>
        <w:t xml:space="preserve">WIPO </w:t>
      </w:r>
      <w:proofErr w:type="spellStart"/>
      <w:r w:rsidRPr="002502E6">
        <w:rPr>
          <w:rFonts w:ascii="Arabic Typesetting" w:hAnsi="Arabic Typesetting" w:cs="Arabic Typesetting"/>
          <w:sz w:val="34"/>
          <w:szCs w:val="34"/>
        </w:rPr>
        <w:t>Re:Search</w:t>
      </w:r>
      <w:proofErr w:type="spellEnd"/>
      <w:r w:rsidRPr="002502E6">
        <w:rPr>
          <w:rFonts w:ascii="Arabic Typesetting" w:hAnsi="Arabic Typesetting" w:cs="Arabic Typesetting"/>
          <w:sz w:val="34"/>
          <w:szCs w:val="34"/>
          <w:rtl/>
        </w:rPr>
        <w:t>)، واتحاد الكتب الميسرة – في تحديد الجهات المانحة المحتملة ووضع استراتيجيات لإقامة شراكات وجذب الدعم المالي.</w:t>
      </w:r>
    </w:p>
    <w:p w:rsidR="002502E6" w:rsidRPr="002502E6" w:rsidRDefault="002502E6" w:rsidP="002502E6">
      <w:pPr>
        <w:keepNext/>
        <w:bidi/>
        <w:spacing w:after="120" w:line="340" w:lineRule="exact"/>
        <w:jc w:val="both"/>
        <w:rPr>
          <w:rFonts w:ascii="Arabic Typesetting" w:hAnsi="Arabic Typesetting" w:cs="Arabic Typesetting"/>
          <w:sz w:val="34"/>
          <w:szCs w:val="34"/>
        </w:rPr>
      </w:pPr>
      <w:r w:rsidRPr="002502E6">
        <w:rPr>
          <w:rFonts w:ascii="Arabic Typesetting" w:hAnsi="Arabic Typesetting" w:cs="Arabic Typesetting"/>
          <w:sz w:val="34"/>
          <w:szCs w:val="34"/>
          <w:rtl/>
        </w:rPr>
        <w:t>المنظمات غير الحكومية ودوائر الصناعة (المدير العام)</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واصلت الويبو، طوال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تحديد الفرص لتعزيز إشراك أصحاب المصالح غير الحكوميين في أنشطتها والنهوض بهذه الفرص. وفي عامي 2014 و2015، يسرت الويبو إقامة عدد من المحافل المختلفة التي سعت من خلالها إلى إشراك ممثلي المجتمع المدني والتعاون معهم، بما في ذلك حلقات عمل وحلقات دراسية، ومشاورات بشأن مشروعات مُحدَّدة، وأحداث جانبية. وقد سمحت هذه الفرص باستمرار التفاعل المنفتح والشفاف والمتجاوب مع هذه الجهات، بما يتفق مع التوصية 42 من توصيات جدول أعما ل التنمية. وعُقد في ربيع عامي 2014 و2015 الاجتماعان السنويان الثالث والرابع، على التوالي، مع المدير العام اللذان نُظِّما حصرياً للمنظمات غير الحكومية المعتمدة، مما وفَّر منتدى قيماً للتبادل المباشر لآراء بشأن نظام الملكية الفكرية الدولي بوجه عام وعمل الويبو على وجه التحديد.</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وإضافةً إلى ذلك، حافظت الويبو على تعاونها الوثيق مع أصحاب المصالح غير الحكوميين من خلال التطوير المستمر لمنصات أصحاب المصالح المتعددين وشراكاتهم التي تساهم في تعزيز الملكية الفكرية بوصفها أداة للنمو الاقتصادي والتنمية في جميع أنحاء العالم. وعلى وجه الخصوص، أطلقت الويبو، عقب الاعتماد الناجح لمعاهدة مراكش لمعاقي البصر في عام 2013، سلسلةَ حلقات دراسية في عام 2014 بعنوان "من السياسة إلى الممارسة: تنفيذ معاهدة مراكش وإتاحة الكتب الميسرة" لتقديم الإرشاد إلى جميع أصحاب المصالح والمساعدة على زيادة الوعي بينهم بأحكام المعاهدة، وأطلقت مبادرات عملية لأصحاب المصالح المتعددين تهدف إلى زيادة توفر الكتب </w:t>
      </w:r>
      <w:proofErr w:type="spellStart"/>
      <w:r w:rsidRPr="002502E6">
        <w:rPr>
          <w:rFonts w:ascii="Arabic Typesetting" w:hAnsi="Arabic Typesetting" w:cs="Arabic Typesetting"/>
          <w:sz w:val="34"/>
          <w:szCs w:val="34"/>
          <w:rtl/>
        </w:rPr>
        <w:t>بأنساق</w:t>
      </w:r>
      <w:proofErr w:type="spellEnd"/>
      <w:r w:rsidRPr="002502E6">
        <w:rPr>
          <w:rFonts w:ascii="Arabic Typesetting" w:hAnsi="Arabic Typesetting" w:cs="Arabic Typesetting"/>
          <w:sz w:val="34"/>
          <w:szCs w:val="34"/>
          <w:rtl/>
        </w:rPr>
        <w:t xml:space="preserve"> ميسرة، مثل اتحاد الكتب الميسرة. وعلاوة على ذلك، في عام 2015، كان تنظيمُ حلقة عمل الشباب المبتكرين والمبدعين ورواد الأعمال الأفريقيين في سياق مؤتمر داكار الوزاري الأفريقي لعام 2015 خيرَ مثال على المشاركة الفعالة مع أصحاب المصالح غير الحكوميين التي ساهمت في تحقيق الهدف المتمثل في تسليط الضوء على الملكية الفكرية بوصفها أداة للنهوض بالابتكار والإبداع والتحول الاقتصادي. ورُفعت مباشرةً إلى المؤتمر الوزاري نتائجُ حلقة العمل هذه، بما في ذلك توصياتها، التي ذُكرت أيضاً في </w:t>
      </w:r>
      <w:r w:rsidRPr="002502E6">
        <w:rPr>
          <w:rFonts w:ascii="Arabic Typesetting" w:hAnsi="Arabic Typesetting" w:cs="Arabic Typesetting"/>
          <w:i/>
          <w:iCs/>
          <w:sz w:val="34"/>
          <w:szCs w:val="34"/>
          <w:rtl/>
        </w:rPr>
        <w:t>إعلان داكار</w:t>
      </w:r>
      <w:r w:rsidRPr="002502E6">
        <w:rPr>
          <w:rFonts w:ascii="Arabic Typesetting" w:hAnsi="Arabic Typesetting" w:cs="Arabic Typesetting"/>
          <w:sz w:val="34"/>
          <w:szCs w:val="34"/>
          <w:rtl/>
        </w:rPr>
        <w:t xml:space="preserve"> </w:t>
      </w:r>
      <w:r w:rsidRPr="002502E6">
        <w:rPr>
          <w:rFonts w:ascii="Arabic Typesetting" w:hAnsi="Arabic Typesetting" w:cs="Arabic Typesetting"/>
          <w:i/>
          <w:iCs/>
          <w:sz w:val="34"/>
          <w:szCs w:val="34"/>
          <w:rtl/>
        </w:rPr>
        <w:t>النهائي بشأن الملكية الفكرية لأفريقيا</w:t>
      </w:r>
      <w:r w:rsidRPr="002502E6">
        <w:rPr>
          <w:rFonts w:ascii="Arabic Typesetting" w:hAnsi="Arabic Typesetting" w:cs="Arabic Typesetting"/>
          <w:sz w:val="34"/>
          <w:szCs w:val="34"/>
          <w:rtl/>
        </w:rPr>
        <w:t>.</w:t>
      </w:r>
    </w:p>
    <w:p w:rsidR="002502E6" w:rsidRPr="002502E6" w:rsidRDefault="002502E6" w:rsidP="002502E6">
      <w:pPr>
        <w:keepNext/>
        <w:bidi/>
        <w:spacing w:after="120" w:line="340" w:lineRule="exact"/>
        <w:jc w:val="both"/>
        <w:rPr>
          <w:rFonts w:ascii="Arabic Typesetting" w:hAnsi="Arabic Typesetting" w:cs="Arabic Typesetting"/>
          <w:sz w:val="34"/>
          <w:szCs w:val="34"/>
        </w:rPr>
      </w:pPr>
      <w:r w:rsidRPr="002502E6">
        <w:rPr>
          <w:rFonts w:ascii="Arabic Typesetting" w:hAnsi="Arabic Typesetting" w:cs="Arabic Typesetting"/>
          <w:sz w:val="34"/>
          <w:szCs w:val="34"/>
          <w:rtl/>
        </w:rPr>
        <w:t>المكاتب الخارجية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تشكل شبكة مكاتب الويبو الخارجية جزءاً لا يتجزأ من المنظمة غرضه تقريب خدمات الويبو والتعاون إلى الدول الأعضاء وأصحاب المصالح والشركاء بغية تعزيز الكفاءة والفعالية في تنفيذ البرامج، فضلاً عن تلبية الاحتياجات والأولويات المُحدَّدة للبلدان أو المناطق التي تخدمها. وفي عام 2014، نمت شبكة المكاتب فبلغ عددها خمسة مكاتب بعد افتتاح مكتب الويبو في الصين ومكتب الويبو في الاتحاد الروسي في عام 2014. واستمرت النتائج التي تحققت خلال الفترة المشمولة بالتقرير في تأكيد المساهمة التي تقدمها المكاتب الخارجية في تنفيذ ولاية المنظمة.</w:t>
      </w:r>
    </w:p>
    <w:p w:rsidR="002502E6" w:rsidRPr="002502E6" w:rsidRDefault="002502E6" w:rsidP="002502E6">
      <w:pPr>
        <w:keepNext/>
        <w:bidi/>
        <w:spacing w:after="120" w:line="340" w:lineRule="exact"/>
        <w:jc w:val="both"/>
        <w:rPr>
          <w:rFonts w:ascii="Arabic Typesetting" w:hAnsi="Arabic Typesetting" w:cs="Arabic Typesetting"/>
          <w:sz w:val="34"/>
          <w:szCs w:val="34"/>
          <w:u w:val="single"/>
        </w:rPr>
      </w:pPr>
      <w:r w:rsidRPr="002502E6">
        <w:rPr>
          <w:rFonts w:ascii="Arabic Typesetting" w:hAnsi="Arabic Typesetting" w:cs="Arabic Typesetting"/>
          <w:sz w:val="34"/>
          <w:szCs w:val="34"/>
          <w:u w:val="single"/>
          <w:rtl/>
        </w:rPr>
        <w:t>مكتب الويبو في البرازيل (المدير العام</w:t>
      </w:r>
      <w:r w:rsidR="00CF3E9E">
        <w:rPr>
          <w:rFonts w:ascii="Arabic Typesetting" w:hAnsi="Arabic Typesetting" w:cs="Arabic Typesetting" w:hint="cs"/>
          <w:sz w:val="34"/>
          <w:szCs w:val="34"/>
          <w:u w:val="single"/>
          <w:rtl/>
        </w:rPr>
        <w:t xml:space="preserve">/السيد </w:t>
      </w:r>
      <w:proofErr w:type="spellStart"/>
      <w:r w:rsidR="00CF3E9E">
        <w:rPr>
          <w:rFonts w:ascii="Arabic Typesetting" w:hAnsi="Arabic Typesetting" w:cs="Arabic Typesetting" w:hint="cs"/>
          <w:sz w:val="34"/>
          <w:szCs w:val="34"/>
          <w:u w:val="single"/>
          <w:rtl/>
        </w:rPr>
        <w:t>ناريش</w:t>
      </w:r>
      <w:proofErr w:type="spellEnd"/>
      <w:r w:rsidR="00CF3E9E">
        <w:rPr>
          <w:rFonts w:ascii="Arabic Typesetting" w:hAnsi="Arabic Typesetting" w:cs="Arabic Typesetting" w:hint="cs"/>
          <w:sz w:val="34"/>
          <w:szCs w:val="34"/>
          <w:u w:val="single"/>
          <w:rtl/>
        </w:rPr>
        <w:t xml:space="preserve"> </w:t>
      </w:r>
      <w:proofErr w:type="spellStart"/>
      <w:r w:rsidR="00CF3E9E">
        <w:rPr>
          <w:rFonts w:ascii="Arabic Typesetting" w:hAnsi="Arabic Typesetting" w:cs="Arabic Typesetting" w:hint="cs"/>
          <w:sz w:val="34"/>
          <w:szCs w:val="34"/>
          <w:u w:val="single"/>
          <w:rtl/>
        </w:rPr>
        <w:t>براساد</w:t>
      </w:r>
      <w:proofErr w:type="spellEnd"/>
      <w:r w:rsidRPr="002502E6">
        <w:rPr>
          <w:rFonts w:ascii="Arabic Typesetting" w:hAnsi="Arabic Typesetting" w:cs="Arabic Typesetting"/>
          <w:sz w:val="34"/>
          <w:szCs w:val="34"/>
          <w:u w:val="single"/>
          <w:rtl/>
        </w:rPr>
        <w:t>)</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اهتمَّ مكتب الويبو في البرازيل، خلال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اهتماماً كبيراً بتعزيز الكفاءات الوطنية في البرازيل والنهوض بخدمات الويبو. وساعد المكتبُ على تنظيم الأنشطة التي تهدف إلى تكوين الكفاءات في مجال فحص البراءات، وذلك دعماً للمعهد الوطني للملكية الصناعية (</w:t>
      </w:r>
      <w:r w:rsidRPr="002502E6">
        <w:rPr>
          <w:rFonts w:ascii="Arabic Typesetting" w:hAnsi="Arabic Typesetting" w:cs="Arabic Typesetting"/>
          <w:sz w:val="34"/>
          <w:szCs w:val="34"/>
        </w:rPr>
        <w:t>INPI</w:t>
      </w:r>
      <w:r w:rsidRPr="002502E6">
        <w:rPr>
          <w:rFonts w:ascii="Arabic Typesetting" w:hAnsi="Arabic Typesetting" w:cs="Arabic Typesetting"/>
          <w:sz w:val="34"/>
          <w:szCs w:val="34"/>
          <w:rtl/>
        </w:rPr>
        <w:t>) الذي منح الأولوية لتحسين إنتاجيته وكفاءته. وكان من أمثلة ذلك التعاونُ مع الاتحاد الوطني للصناعات بشأن سلسلة من حلقات العمل التي عُقدت لتقديم معلومات عن المبادرات الدولية القائمة المتعلقة بمخططات تعاونية لفحص البراءات.</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lastRenderedPageBreak/>
        <w:t>وكرَّس المكتب قدراً كبيراً من طاقته للتواصل مع أصحاب المصالح في البرازيل لزيادة الوعي بفوائد حماية الملكية الفكرية وأهمية تسويق أصول الملكية الفكرية. وفي هذا الصدد، تواصل المكتب عن كثب مع الجمعية الوطنية للبحث والتطوير في الشركات المبتكرة (</w:t>
      </w:r>
      <w:r w:rsidRPr="002502E6">
        <w:rPr>
          <w:rFonts w:ascii="Arabic Typesetting" w:hAnsi="Arabic Typesetting" w:cs="Arabic Typesetting"/>
          <w:sz w:val="34"/>
          <w:szCs w:val="34"/>
        </w:rPr>
        <w:t>ANPEI</w:t>
      </w:r>
      <w:r w:rsidRPr="002502E6">
        <w:rPr>
          <w:rFonts w:ascii="Arabic Typesetting" w:hAnsi="Arabic Typesetting" w:cs="Arabic Typesetting"/>
          <w:sz w:val="34"/>
          <w:szCs w:val="34"/>
          <w:rtl/>
        </w:rPr>
        <w:t>)، ودُعِي إلى المشاركة في لجنتين أنشأتهما الجمعية، هما لجنة معنية بتعزيز الابتكار ولجنة تُركِّز على الملكية الفكرية. ووفَّر ذلك منصةً قيّمةً لتسليط الضوء على أهمية نظام معاهدة التعاون بشأن البراءات ولشرح إجراءاته.</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واستمرت الصناديق </w:t>
      </w:r>
      <w:proofErr w:type="spellStart"/>
      <w:r w:rsidRPr="002502E6">
        <w:rPr>
          <w:rFonts w:ascii="Arabic Typesetting" w:hAnsi="Arabic Typesetting" w:cs="Arabic Typesetting"/>
          <w:sz w:val="34"/>
          <w:szCs w:val="34"/>
          <w:rtl/>
        </w:rPr>
        <w:t>الاستئمانية</w:t>
      </w:r>
      <w:proofErr w:type="spellEnd"/>
      <w:r w:rsidRPr="002502E6">
        <w:rPr>
          <w:rFonts w:ascii="Arabic Typesetting" w:hAnsi="Arabic Typesetting" w:cs="Arabic Typesetting"/>
          <w:sz w:val="34"/>
          <w:szCs w:val="34"/>
          <w:rtl/>
        </w:rPr>
        <w:t xml:space="preserve"> البرازيلية لدعم التعاون فيما بين بلدان الجنوب – التي أُنشئت في عام 2012 وتولى إدارتها مكتب الويبو في البرازيل – في تزويد المكتب بفرص ثمينة لتعزيز المبادرات، لا سيما في مجال نقل التكنولوجيا وتسويق الملكية الفكرية. وجمعت حلقةُ العمل الإقليمية بشأن الملكية الفكرية ونقل التكنولوجيا التي عُقدت في أوروغواي في شهر ديسمبر 2014 عدةَ بلدان (الأرجنتين، والبرازيل، وشيلي، وباراغواي، وأوروغواي)، وأتاحت الفرصةَ لتبادل المعلومات والخبرات بشأن وضع استراتيجيات الملكية الفكرية الوطنية والمؤسسية والنماذج الاستراتيجية لتعزيز الابتكار. كما سمحت الصناديق </w:t>
      </w:r>
      <w:proofErr w:type="spellStart"/>
      <w:r w:rsidRPr="002502E6">
        <w:rPr>
          <w:rFonts w:ascii="Arabic Typesetting" w:hAnsi="Arabic Typesetting" w:cs="Arabic Typesetting"/>
          <w:sz w:val="34"/>
          <w:szCs w:val="34"/>
          <w:rtl/>
        </w:rPr>
        <w:t>الاستئمانية</w:t>
      </w:r>
      <w:proofErr w:type="spellEnd"/>
      <w:r w:rsidRPr="002502E6">
        <w:rPr>
          <w:rFonts w:ascii="Arabic Typesetting" w:hAnsi="Arabic Typesetting" w:cs="Arabic Typesetting"/>
          <w:sz w:val="34"/>
          <w:szCs w:val="34"/>
          <w:rtl/>
        </w:rPr>
        <w:t xml:space="preserve"> بتنظيم برامج تدريبية في عدة مناطق في البرازيل، مما أدى إلى تكوين كفاءات محلية في مجالي ترخيص التكنولوجيا وصياغة البراءات.</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ومدَّ المكتبُ يدَ العون لشركاء محليين وشركاء من منظومة الأمم المتحدة في البرازيل بشأن القضايا ذات الاهتمام المشترك كوسيلة لحشد الموارد وزيادتها إلى أقصى حد من أجل المضي قدماً في تحقيق الولاية. وبالتعاون مع برنامج الأمم المتحدة الإنمائي والوكالة البرازيلية للابتكار (</w:t>
      </w:r>
      <w:r w:rsidRPr="002502E6">
        <w:rPr>
          <w:rFonts w:ascii="Arabic Typesetting" w:hAnsi="Arabic Typesetting" w:cs="Arabic Typesetting"/>
          <w:sz w:val="34"/>
          <w:szCs w:val="34"/>
        </w:rPr>
        <w:t>FINPE</w:t>
      </w:r>
      <w:r w:rsidRPr="002502E6">
        <w:rPr>
          <w:rFonts w:ascii="Arabic Typesetting" w:hAnsi="Arabic Typesetting" w:cs="Arabic Typesetting"/>
          <w:sz w:val="34"/>
          <w:szCs w:val="34"/>
          <w:rtl/>
        </w:rPr>
        <w:t>)، بدأ مشروعٌ لتدريب المتفاوضين بشأن قضايا تتعلق بالتكنولوجيا والتنمية. وتحقيقاً لهذه الغاية، عُقد برنامج تدريبي لمتفاوضي تطوير التكنولوجيا، واستفاد منه ثمانية وعشرون مديراً من مديري التكنولوجيا، وذلك في إطار صندوق استئماني جديد مُوقَّع مع برنامج الأمم المتحدة الإنمائي والوكالة البرازيلية للابتكار في أكتوبر 2015. وفيما يخص الترويج لمنصات الويبو، واصل المكتبُ تعاونه مع الرابطة الوطنية البرازيلية لمديري الابتكار ونقل التكنولوجيا (</w:t>
      </w:r>
      <w:r w:rsidRPr="002502E6">
        <w:rPr>
          <w:rFonts w:ascii="Arabic Typesetting" w:hAnsi="Arabic Typesetting" w:cs="Arabic Typesetting"/>
          <w:sz w:val="34"/>
          <w:szCs w:val="34"/>
        </w:rPr>
        <w:t>FORTEC</w:t>
      </w:r>
      <w:r w:rsidRPr="002502E6">
        <w:rPr>
          <w:rFonts w:ascii="Arabic Typesetting" w:hAnsi="Arabic Typesetting" w:cs="Arabic Typesetting"/>
          <w:sz w:val="34"/>
          <w:szCs w:val="34"/>
          <w:rtl/>
        </w:rPr>
        <w:t xml:space="preserve">) بشأن منصة </w:t>
      </w:r>
      <w:proofErr w:type="spellStart"/>
      <w:r w:rsidRPr="002502E6">
        <w:rPr>
          <w:rFonts w:ascii="Arabic Typesetting" w:hAnsi="Arabic Typesetting" w:cs="Arabic Typesetting"/>
          <w:sz w:val="34"/>
          <w:szCs w:val="34"/>
          <w:rtl/>
        </w:rPr>
        <w:t>ويبو</w:t>
      </w:r>
      <w:proofErr w:type="spellEnd"/>
      <w:r w:rsidRPr="002502E6">
        <w:rPr>
          <w:rFonts w:ascii="Arabic Typesetting" w:hAnsi="Arabic Typesetting" w:cs="Arabic Typesetting"/>
          <w:sz w:val="34"/>
          <w:szCs w:val="34"/>
          <w:rtl/>
        </w:rPr>
        <w:t xml:space="preserve"> غرين، وقد بدأ هذا التعاون يؤتي ثماره في عام 2015، فقد أُدرِج في قاعدة البيانات أول سبع تكنولوجيات استحدثتها مؤسسات أو شركات برازيلية.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كما ركَّز المكتبُ اهتمامه في الثنائية 2014/15 على المزايا الاقتصادية التي تمنحها البيانات الجغرافية وعلى منافع حماية التصاميم. ووُجِّه أيضاً تركيزٌ مُكثَّفٌ إلى الترويج لنظام مدريد، مع اشتراك الصناعة البرازيلية على وجه الخصوص بنشاط في تنظيم نقاشات بشأن مزايا بروتوكول مدريد للقدرة التنافسية للشركات البرازيلية العالمية. وإضافة إلى ذلك، عمل المكتب بالتنسيق مع البرنامج 7 (التحكيم والوساطة وأسماء النطاقات) لتعزيز التعاون مع جمعية الامتياز البرازيلية (</w:t>
      </w:r>
      <w:r w:rsidRPr="002502E6">
        <w:rPr>
          <w:rFonts w:ascii="Arabic Typesetting" w:hAnsi="Arabic Typesetting" w:cs="Arabic Typesetting"/>
          <w:sz w:val="34"/>
          <w:szCs w:val="34"/>
        </w:rPr>
        <w:t>ABF</w:t>
      </w:r>
      <w:r w:rsidRPr="002502E6">
        <w:rPr>
          <w:rFonts w:ascii="Arabic Typesetting" w:hAnsi="Arabic Typesetting" w:cs="Arabic Typesetting"/>
          <w:sz w:val="34"/>
          <w:szCs w:val="34"/>
          <w:rtl/>
        </w:rPr>
        <w:t>) للترويج لخدمات الوساطة في سياق عقود الامتياز ونقل التكنولوجيا.</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وشارك المكتب في تنظيم الإطلاق الإقليمي لمؤشر الابتكار العالمي لعام 2015، الذي حدث في ريو دي جانيرو في سبتمبر 2015، وذلك بالتعاون مع اتحاد صناعات ولاية ريو دي جانيرو في البرازيل (</w:t>
      </w:r>
      <w:r w:rsidRPr="002502E6">
        <w:rPr>
          <w:rFonts w:ascii="Arabic Typesetting" w:hAnsi="Arabic Typesetting" w:cs="Arabic Typesetting"/>
          <w:sz w:val="34"/>
          <w:szCs w:val="34"/>
        </w:rPr>
        <w:t>FIRJAN</w:t>
      </w:r>
      <w:r w:rsidRPr="002502E6">
        <w:rPr>
          <w:rFonts w:ascii="Arabic Typesetting" w:hAnsi="Arabic Typesetting" w:cs="Arabic Typesetting"/>
          <w:sz w:val="34"/>
          <w:szCs w:val="34"/>
          <w:rtl/>
        </w:rPr>
        <w:t xml:space="preserve">)، وجامعة </w:t>
      </w:r>
      <w:proofErr w:type="spellStart"/>
      <w:r w:rsidRPr="002502E6">
        <w:rPr>
          <w:rFonts w:ascii="Arabic Typesetting" w:hAnsi="Arabic Typesetting" w:cs="Arabic Typesetting"/>
          <w:sz w:val="34"/>
          <w:szCs w:val="34"/>
          <w:rtl/>
        </w:rPr>
        <w:t>كورنيل</w:t>
      </w:r>
      <w:proofErr w:type="spellEnd"/>
      <w:r w:rsidRPr="002502E6">
        <w:rPr>
          <w:rFonts w:ascii="Arabic Typesetting" w:hAnsi="Arabic Typesetting" w:cs="Arabic Typesetting"/>
          <w:sz w:val="34"/>
          <w:szCs w:val="34"/>
          <w:rtl/>
        </w:rPr>
        <w:t>، وشبكة ريو دي جانيرو التكنولوجية (</w:t>
      </w:r>
      <w:r w:rsidRPr="002502E6">
        <w:rPr>
          <w:rFonts w:ascii="Arabic Typesetting" w:hAnsi="Arabic Typesetting" w:cs="Arabic Typesetting"/>
          <w:sz w:val="34"/>
          <w:szCs w:val="34"/>
        </w:rPr>
        <w:t>REDETEC</w:t>
      </w:r>
      <w:r w:rsidRPr="002502E6">
        <w:rPr>
          <w:rFonts w:ascii="Arabic Typesetting" w:hAnsi="Arabic Typesetting" w:cs="Arabic Typesetting"/>
          <w:sz w:val="34"/>
          <w:szCs w:val="34"/>
          <w:rtl/>
        </w:rPr>
        <w:t>)، وبدعم من المعهد الوطني البرازيلي للملكية الصناعية (</w:t>
      </w:r>
      <w:r w:rsidRPr="002502E6">
        <w:rPr>
          <w:rFonts w:ascii="Arabic Typesetting" w:hAnsi="Arabic Typesetting" w:cs="Arabic Typesetting"/>
          <w:sz w:val="34"/>
          <w:szCs w:val="34"/>
        </w:rPr>
        <w:t>INPI</w:t>
      </w:r>
      <w:r w:rsidRPr="002502E6">
        <w:rPr>
          <w:rFonts w:ascii="Arabic Typesetting" w:hAnsi="Arabic Typesetting" w:cs="Arabic Typesetting"/>
          <w:sz w:val="34"/>
          <w:szCs w:val="34"/>
          <w:rtl/>
        </w:rPr>
        <w:t>).</w:t>
      </w:r>
    </w:p>
    <w:p w:rsidR="002502E6" w:rsidRPr="002502E6" w:rsidRDefault="002502E6" w:rsidP="0099688F">
      <w:pPr>
        <w:keepNext/>
        <w:bidi/>
        <w:spacing w:after="120" w:line="340" w:lineRule="exact"/>
        <w:jc w:val="both"/>
        <w:rPr>
          <w:rFonts w:ascii="Arabic Typesetting" w:hAnsi="Arabic Typesetting" w:cs="Arabic Typesetting"/>
          <w:sz w:val="34"/>
          <w:szCs w:val="34"/>
          <w:u w:val="single"/>
          <w:lang w:bidi="ar-EG"/>
        </w:rPr>
      </w:pPr>
      <w:r w:rsidRPr="002502E6">
        <w:rPr>
          <w:rFonts w:ascii="Arabic Typesetting" w:hAnsi="Arabic Typesetting" w:cs="Arabic Typesetting"/>
          <w:sz w:val="34"/>
          <w:szCs w:val="34"/>
          <w:u w:val="single"/>
          <w:rtl/>
          <w:lang w:bidi="ar-EG"/>
        </w:rPr>
        <w:t xml:space="preserve">مكتب الويبو في الصين (السيدة </w:t>
      </w:r>
      <w:proofErr w:type="spellStart"/>
      <w:r w:rsidR="0099688F" w:rsidRPr="0099688F">
        <w:rPr>
          <w:rFonts w:ascii="Arabic Typesetting" w:hAnsi="Arabic Typesetting" w:cs="Arabic Typesetting"/>
          <w:sz w:val="34"/>
          <w:szCs w:val="34"/>
          <w:u w:val="single"/>
          <w:rtl/>
          <w:lang w:bidi="ar-EG"/>
        </w:rPr>
        <w:t>بينينغ</w:t>
      </w:r>
      <w:proofErr w:type="spellEnd"/>
      <w:r w:rsidR="0099688F" w:rsidRPr="0099688F">
        <w:rPr>
          <w:rFonts w:ascii="Arabic Typesetting" w:hAnsi="Arabic Typesetting" w:cs="Arabic Typesetting"/>
          <w:sz w:val="34"/>
          <w:szCs w:val="34"/>
          <w:u w:val="single"/>
          <w:rtl/>
          <w:lang w:bidi="ar-EG"/>
        </w:rPr>
        <w:t xml:space="preserve"> وانغ</w:t>
      </w:r>
      <w:r w:rsidRPr="002502E6">
        <w:rPr>
          <w:rFonts w:ascii="Arabic Typesetting" w:hAnsi="Arabic Typesetting" w:cs="Arabic Typesetting"/>
          <w:sz w:val="34"/>
          <w:szCs w:val="34"/>
          <w:u w:val="single"/>
          <w:rtl/>
          <w:lang w:bidi="ar-EG"/>
        </w:rPr>
        <w:t>)</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lang w:bidi="ar-EG"/>
        </w:rPr>
      </w:pPr>
      <w:r w:rsidRPr="002502E6">
        <w:rPr>
          <w:rFonts w:ascii="Arabic Typesetting" w:hAnsi="Arabic Typesetting" w:cs="Arabic Typesetting"/>
          <w:sz w:val="34"/>
          <w:szCs w:val="34"/>
          <w:rtl/>
        </w:rPr>
        <w:t>أُنشئ مكتب الويبو في الصين في شهر يوليو 2014، وانخرط المكتب طوال النصف الثاني من العام في ترسيخ مكانته وتعزيز تنظيمه الإداري. وفي هذا الصدد، أُقيم تعاون وثيق مع البلد المضيف، وخاصةً وزارة الشؤون الخارجية، والمكتب الحكومي الصيني للملكية الفكرية (</w:t>
      </w:r>
      <w:r w:rsidRPr="002502E6">
        <w:rPr>
          <w:rFonts w:ascii="Arabic Typesetting" w:hAnsi="Arabic Typesetting" w:cs="Arabic Typesetting"/>
          <w:sz w:val="34"/>
          <w:szCs w:val="34"/>
        </w:rPr>
        <w:t>SIPO</w:t>
      </w:r>
      <w:r w:rsidRPr="002502E6">
        <w:rPr>
          <w:rFonts w:ascii="Arabic Typesetting" w:hAnsi="Arabic Typesetting" w:cs="Arabic Typesetting"/>
          <w:sz w:val="34"/>
          <w:szCs w:val="34"/>
          <w:rtl/>
        </w:rPr>
        <w:t>)، والإدارة الحكومية للصناعة والتجارة (</w:t>
      </w:r>
      <w:r w:rsidRPr="002502E6">
        <w:rPr>
          <w:rFonts w:ascii="Arabic Typesetting" w:hAnsi="Arabic Typesetting" w:cs="Arabic Typesetting"/>
          <w:sz w:val="34"/>
          <w:szCs w:val="34"/>
        </w:rPr>
        <w:t>SAIC</w:t>
      </w:r>
      <w:r w:rsidRPr="002502E6">
        <w:rPr>
          <w:rFonts w:ascii="Arabic Typesetting" w:hAnsi="Arabic Typesetting" w:cs="Arabic Typesetting"/>
          <w:sz w:val="34"/>
          <w:szCs w:val="34"/>
          <w:rtl/>
        </w:rPr>
        <w:t>)، والإدارة الوطنية الصينية لحق المؤلف (</w:t>
      </w:r>
      <w:r w:rsidRPr="002502E6">
        <w:rPr>
          <w:rFonts w:ascii="Arabic Typesetting" w:hAnsi="Arabic Typesetting" w:cs="Arabic Typesetting"/>
          <w:sz w:val="34"/>
          <w:szCs w:val="34"/>
        </w:rPr>
        <w:t>NCAC</w:t>
      </w:r>
      <w:r w:rsidRPr="002502E6">
        <w:rPr>
          <w:rFonts w:ascii="Arabic Typesetting" w:hAnsi="Arabic Typesetting" w:cs="Arabic Typesetting"/>
          <w:sz w:val="34"/>
          <w:szCs w:val="34"/>
          <w:rtl/>
        </w:rPr>
        <w:t>)، وحكومة بلدية بيجين، مما سهل كثيراً من قدرة المكتب على أن يصبح بسرعة جاهزاً للعمل.</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وفي عامي 2014 و2015، كانت الصين ثالث أكبر مستخدم لنظام معاهدة التعاون بشأن البراءات وسابع أكبر مستخدم لنظام مدريد، ولذلك كان الترويج لخدمات الويبو في السوق الصينية من أولويات المكتب منذ البداية. وشهدت طلبات معاهدة التعاون بشأن البراءات المُودَعة من الصين زيادةً بنسبة 38 </w:t>
      </w:r>
      <w:r w:rsidR="000B5473">
        <w:rPr>
          <w:rFonts w:ascii="Arabic Typesetting" w:hAnsi="Arabic Typesetting" w:cs="Arabic Typesetting"/>
          <w:sz w:val="34"/>
          <w:szCs w:val="34"/>
          <w:rtl/>
        </w:rPr>
        <w:t>بالمئة</w:t>
      </w:r>
      <w:r w:rsidRPr="002502E6">
        <w:rPr>
          <w:rFonts w:ascii="Arabic Typesetting" w:hAnsi="Arabic Typesetting" w:cs="Arabic Typesetting"/>
          <w:sz w:val="34"/>
          <w:szCs w:val="34"/>
          <w:rtl/>
        </w:rPr>
        <w:t xml:space="preserve"> في الثنائية 2014/15 (394 55) مقارنةً بالثنائية 2012/13 (134 40). وشهدت طلبات نظام مدريد المُودَعة من الصين زيادةً بنسبة اثنين </w:t>
      </w:r>
      <w:r w:rsidR="000B5473">
        <w:rPr>
          <w:rFonts w:ascii="Arabic Typesetting" w:hAnsi="Arabic Typesetting" w:cs="Arabic Typesetting"/>
          <w:sz w:val="34"/>
          <w:szCs w:val="34"/>
          <w:rtl/>
        </w:rPr>
        <w:t>بالمئة</w:t>
      </w:r>
      <w:r w:rsidRPr="002502E6">
        <w:rPr>
          <w:rFonts w:ascii="Arabic Typesetting" w:hAnsi="Arabic Typesetting" w:cs="Arabic Typesetting"/>
          <w:sz w:val="34"/>
          <w:szCs w:val="34"/>
          <w:rtl/>
        </w:rPr>
        <w:t xml:space="preserve"> في الثنائية 2014/15 (461 4) مقارنةً بالثنائية 2012/13 (373 4). وفي الواقع، شهد عام 2015 عدداً قياسياً من الطلبات المُودَعة من الصين (401 2) منذ انضمامها إلى هذا النظام في عام 1989. ونُظِّمت في بيجين وحولها وفي مناطق أبعد من ذلك أحداثٌ تستهدف المنتفعين بخدمات الويبو الحاليين والمحتملين. وتطورت الروابط مع القطاع الصناعي وأصحاب المصالح الآخرين، وزاد تعزيزها خلال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بغية توسيع نطاق اتصال المكتب ليشمل منتفعين في أماكن أخرى في الصين.</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lastRenderedPageBreak/>
        <w:t xml:space="preserve">وشهد عام 2014 تصديق الصين على معاهدة بيجين بشأن الأداء السمعي البصري. ونظَّم المكتبُ عدداً من الفعاليات بالتعاون مع الحكومة الصينية لتعزيز فهم أوسع للمعاهدة. وفي غضون ذلك، ركز المكتب أيضاً جهوده على الترويج لمعاهدة مراكش. ونظَّم المكتبُ حلقة عمل مائدة مستديرة بالتعاون مع الإدارة الوطنية الصينية لحق المؤلف في شهر ديسمبر 2014، وجذبت حلقة العمل هذه مسؤولين من الجامعات والحكومة، حيث نوقشت إمكانية الانضمام والخطوات التحضيرية الضرورية. كما يسر المكتب إنتاج معاهدة مراكش (النسخة الصينية) بنسق </w:t>
      </w:r>
      <w:proofErr w:type="spellStart"/>
      <w:r w:rsidRPr="002502E6">
        <w:rPr>
          <w:rFonts w:ascii="Arabic Typesetting" w:hAnsi="Arabic Typesetting" w:cs="Arabic Typesetting"/>
          <w:sz w:val="34"/>
          <w:szCs w:val="34"/>
          <w:rtl/>
        </w:rPr>
        <w:t>برايل</w:t>
      </w:r>
      <w:proofErr w:type="spellEnd"/>
      <w:r w:rsidRPr="002502E6">
        <w:rPr>
          <w:rFonts w:ascii="Arabic Typesetting" w:hAnsi="Arabic Typesetting" w:cs="Arabic Typesetting"/>
          <w:sz w:val="34"/>
          <w:szCs w:val="34"/>
          <w:rtl/>
        </w:rPr>
        <w:t xml:space="preserve"> وبنسق </w:t>
      </w:r>
      <w:proofErr w:type="spellStart"/>
      <w:r w:rsidRPr="002502E6">
        <w:rPr>
          <w:rFonts w:ascii="Arabic Typesetting" w:hAnsi="Arabic Typesetting" w:cs="Arabic Typesetting"/>
          <w:sz w:val="34"/>
          <w:szCs w:val="34"/>
          <w:rtl/>
        </w:rPr>
        <w:t>ديزي</w:t>
      </w:r>
      <w:proofErr w:type="spellEnd"/>
      <w:r w:rsidRPr="002502E6">
        <w:rPr>
          <w:rFonts w:ascii="Arabic Typesetting" w:hAnsi="Arabic Typesetting" w:cs="Arabic Typesetting"/>
          <w:sz w:val="34"/>
          <w:szCs w:val="34"/>
          <w:rtl/>
        </w:rPr>
        <w:t xml:space="preserve"> وبنسق صوتي.</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وفي مجال التصاميم الصناعية، واصل المكتب إعانة الصين في عزمها على الانضمام إلى نظام لاهاي. وبدأ التواصل مع مسؤولين كبار من الحكومة والسلطة التشريعية. وشارك المكتب في ندوة دولية، ونظَّم، أو شارك في تنظيم، العديد من الحلقات الدراسية بشأن التصاميم الصناعية، واعتبر ذلك فرصةً لتسليط الضوء على مزايا النظام وطبيعته. وفي الوقت نفسه، تواصل المكتب مباشرةً مع مجتمع الأعمال للترويج لنظام لاهاي. ونتيجةً لذلك، كانت شركة </w:t>
      </w:r>
      <w:proofErr w:type="spellStart"/>
      <w:r w:rsidRPr="002502E6">
        <w:rPr>
          <w:rFonts w:ascii="Arabic Typesetting" w:hAnsi="Arabic Typesetting" w:cs="Arabic Typesetting"/>
          <w:sz w:val="34"/>
          <w:szCs w:val="34"/>
          <w:rtl/>
        </w:rPr>
        <w:t>لينوفو</w:t>
      </w:r>
      <w:proofErr w:type="spellEnd"/>
      <w:r w:rsidRPr="002502E6">
        <w:rPr>
          <w:rFonts w:ascii="Arabic Typesetting" w:hAnsi="Arabic Typesetting" w:cs="Arabic Typesetting"/>
          <w:sz w:val="34"/>
          <w:szCs w:val="34"/>
          <w:rtl/>
        </w:rPr>
        <w:t xml:space="preserve"> الصينية سابع أكبر مستخدم لنظام لاهاي في عام 2014. وفي عام 2015، بدأت أيضاً شركتا </w:t>
      </w:r>
      <w:proofErr w:type="spellStart"/>
      <w:r w:rsidRPr="002502E6">
        <w:rPr>
          <w:rFonts w:ascii="Arabic Typesetting" w:hAnsi="Arabic Typesetting" w:cs="Arabic Typesetting"/>
          <w:sz w:val="34"/>
          <w:szCs w:val="34"/>
          <w:rtl/>
        </w:rPr>
        <w:t>هواوي</w:t>
      </w:r>
      <w:proofErr w:type="spellEnd"/>
      <w:r w:rsidRPr="002502E6">
        <w:rPr>
          <w:rFonts w:ascii="Arabic Typesetting" w:hAnsi="Arabic Typesetting" w:cs="Arabic Typesetting"/>
          <w:sz w:val="34"/>
          <w:szCs w:val="34"/>
          <w:rtl/>
        </w:rPr>
        <w:t xml:space="preserve"> </w:t>
      </w:r>
      <w:proofErr w:type="spellStart"/>
      <w:r w:rsidRPr="002502E6">
        <w:rPr>
          <w:rFonts w:ascii="Arabic Typesetting" w:hAnsi="Arabic Typesetting" w:cs="Arabic Typesetting"/>
          <w:sz w:val="34"/>
          <w:szCs w:val="34"/>
          <w:rtl/>
        </w:rPr>
        <w:t>وشاومي</w:t>
      </w:r>
      <w:proofErr w:type="spellEnd"/>
      <w:r w:rsidRPr="002502E6">
        <w:rPr>
          <w:rFonts w:ascii="Arabic Typesetting" w:hAnsi="Arabic Typesetting" w:cs="Arabic Typesetting"/>
          <w:sz w:val="34"/>
          <w:szCs w:val="34"/>
          <w:rtl/>
        </w:rPr>
        <w:t xml:space="preserve"> تستخدمان نظام لاهاي.</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وكان المكتب أيضاً يعمل بنشاط خلال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في مجموعة متنوعة من المبادرات الإضافية. وتحقَّق تقدمٌ في المناقشات التي أُجريت مع الإدارة الحكومية للصناعة والتجارة فيما يخص التعاون مع الصين بشأن تبادل البيانات فيما يتعلق بقاعدة بيانات الويبو العالمية لأدوات التوسيم، مما أدى إلى الشروع في تبادل تجريبي للبيانات في عام 2015. واستمر المكتب في الترويج لمنصات الويبو، وكان من الجدير بالذكر أن مجموعة </w:t>
      </w:r>
      <w:proofErr w:type="spellStart"/>
      <w:r w:rsidRPr="002502E6">
        <w:rPr>
          <w:rFonts w:ascii="Arabic Typesetting" w:hAnsi="Arabic Typesetting" w:cs="Arabic Typesetting"/>
          <w:sz w:val="34"/>
          <w:szCs w:val="34"/>
          <w:rtl/>
        </w:rPr>
        <w:t>هاير</w:t>
      </w:r>
      <w:proofErr w:type="spellEnd"/>
      <w:r w:rsidRPr="002502E6">
        <w:rPr>
          <w:rFonts w:ascii="Arabic Typesetting" w:hAnsi="Arabic Typesetting" w:cs="Arabic Typesetting"/>
          <w:sz w:val="34"/>
          <w:szCs w:val="34"/>
          <w:rtl/>
        </w:rPr>
        <w:t xml:space="preserve"> (إحدى أكبر الشركات المصنِّعة للأجهزة الإلكترونية في العالم) والمنظمة الصينية للتبادل التكنولوجي انضمتا إلى </w:t>
      </w:r>
      <w:proofErr w:type="spellStart"/>
      <w:r w:rsidRPr="002502E6">
        <w:rPr>
          <w:rFonts w:ascii="Arabic Typesetting" w:hAnsi="Arabic Typesetting" w:cs="Arabic Typesetting"/>
          <w:sz w:val="34"/>
          <w:szCs w:val="34"/>
          <w:rtl/>
        </w:rPr>
        <w:t>ويبو</w:t>
      </w:r>
      <w:proofErr w:type="spellEnd"/>
      <w:r w:rsidRPr="002502E6">
        <w:rPr>
          <w:rFonts w:ascii="Arabic Typesetting" w:hAnsi="Arabic Typesetting" w:cs="Arabic Typesetting"/>
          <w:sz w:val="34"/>
          <w:szCs w:val="34"/>
          <w:rtl/>
        </w:rPr>
        <w:t xml:space="preserve"> غرين في عام 2014 عقب إنشاء المكتب. وإضافةً إلى ذلك، قام المكتب، بالتعاون مع مركز الويبو للتحكيم والوساطة (</w:t>
      </w:r>
      <w:r w:rsidRPr="002502E6">
        <w:rPr>
          <w:rFonts w:ascii="Arabic Typesetting" w:hAnsi="Arabic Typesetting" w:cs="Arabic Typesetting"/>
          <w:sz w:val="34"/>
          <w:szCs w:val="34"/>
        </w:rPr>
        <w:t>AMC</w:t>
      </w:r>
      <w:r w:rsidRPr="002502E6">
        <w:rPr>
          <w:rFonts w:ascii="Arabic Typesetting" w:hAnsi="Arabic Typesetting" w:cs="Arabic Typesetting"/>
          <w:sz w:val="34"/>
          <w:szCs w:val="34"/>
          <w:rtl/>
        </w:rPr>
        <w:t>)، بعدد من الأنشطة الترويجية والدورات التدريبية لرفع مستوى الوعي وتشجيع أصحاب المصالح الصينيين على استخدام الخدمات التي يقدمها مركز الويبو للتحكيم والوساطة.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وفي غضون ذلك، شرع المكتب في القيام بأنشطة لتعزيز الوعي بوجوده وبأهمية الملكية الفكرية والابتكار للتنمية في الصين. وكان من أبرز الأمثلة على ذلك الحفلُ السادس عشر لتسليم الجائزة المُقدَّمة من الويبو والمكتب الحكومي الصيني للملكية الفكرية لأفضل اختراع وتصميم صناعي صيني مشمول ببراءة، والمعرض الدولي الثامن للاختراعات الذي استضافته الجمعية الصينية للاختراعات وقدَّم فيه المكتبُ أيضاً جوائز الويبو.</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وفي نوفمبر 2015، وُقِّعتْ مذكرة تفاهم بين الويبو والإدارة الوطنية الصينية لحق المؤلف، مما يزيد من تعزيز التعاون الثنائي مع الحكومة المضيفة للمكتب. وإضافةً إلى ذلك، استمر تعزيز المشاركة والتعاون مع الحكومات المحلية على المستويين الإقليمي والمحلي. ومن الجدير بالذكر أنه تم التوقيع على مذكرتي تفاهم بين الويبو وحكومة بلدية شنغهاي (2014) وحكومة بلدية بيجين (2015).</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وفي مجال المساعدة التقنية وتكوين الكفاءات، قدَّم المكتبُ الدعمَ للبرنامج 11 (أكاديمية الويبو) لافتتاح أول مدرسة صيفية للويبو في حرم جامعة شرق الصين للعلوم السياسية والقانون في مايو 2015، وقدَّم له الدعم أيضاً بشأن إعداد مذكرة تفاهم مع المركز الصيني للتدريب على الملكية الفكرية.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واستمر تعزيز التواصل مع أصحاب المصالح المعنيين بُغية رفع مستوى الوعي العام حول الويبو وحقوق الملكية الفكرية في الصين، وذلك بالتعاون مع سلطات الملكية الفكرية الصينية، بما في ذلك بمناسبة اليوم العالمي للملكية الفكرية. وفي يوليو 2015، نظَّم المكتب حلقة دراسية لأكثر من 80 صحفياً.</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وإضافة إلى ذلك، ظل المكتب يؤدي دوراً أساسياً في تقديم خدمة العملاء على مدار الساعة. فباستخدام خطين هاتفيين ساخنين وصندوق بريد إلكتروني واحد لخدمة العملاء، أجاب المكتبُ عن أكثر من 700 استفسار من مستخدمي خدمات الويبو في الصين باللغة </w:t>
      </w:r>
      <w:proofErr w:type="spellStart"/>
      <w:r w:rsidRPr="002502E6">
        <w:rPr>
          <w:rFonts w:ascii="Arabic Typesetting" w:hAnsi="Arabic Typesetting" w:cs="Arabic Typesetting"/>
          <w:sz w:val="34"/>
          <w:szCs w:val="34"/>
          <w:rtl/>
        </w:rPr>
        <w:t>الماندارينية</w:t>
      </w:r>
      <w:proofErr w:type="spellEnd"/>
      <w:r w:rsidRPr="002502E6">
        <w:rPr>
          <w:rFonts w:ascii="Arabic Typesetting" w:hAnsi="Arabic Typesetting" w:cs="Arabic Typesetting"/>
          <w:sz w:val="34"/>
          <w:szCs w:val="34"/>
          <w:rtl/>
        </w:rPr>
        <w:t xml:space="preserve"> خلال ساعات العمل المحلية، مما أدى إلى زيادة رضا المستخدمين زيادةً كبيرةً.</w:t>
      </w:r>
    </w:p>
    <w:p w:rsidR="002502E6" w:rsidRPr="002502E6" w:rsidRDefault="002502E6" w:rsidP="00161D28">
      <w:pPr>
        <w:keepNext/>
        <w:bidi/>
        <w:spacing w:after="120" w:line="340" w:lineRule="exact"/>
        <w:jc w:val="both"/>
        <w:rPr>
          <w:rFonts w:ascii="Arabic Typesetting" w:hAnsi="Arabic Typesetting" w:cs="Arabic Typesetting"/>
          <w:sz w:val="34"/>
          <w:szCs w:val="34"/>
          <w:u w:val="single"/>
          <w:lang w:bidi="ar-EG"/>
        </w:rPr>
      </w:pPr>
      <w:r w:rsidRPr="002502E6">
        <w:rPr>
          <w:rFonts w:ascii="Arabic Typesetting" w:hAnsi="Arabic Typesetting" w:cs="Arabic Typesetting"/>
          <w:sz w:val="34"/>
          <w:szCs w:val="34"/>
          <w:u w:val="single"/>
          <w:rtl/>
          <w:lang w:bidi="ar-EG"/>
        </w:rPr>
        <w:lastRenderedPageBreak/>
        <w:t xml:space="preserve">مكتب الويبو في اليابان (السيد </w:t>
      </w:r>
      <w:proofErr w:type="spellStart"/>
      <w:r w:rsidR="00161D28" w:rsidRPr="00161D28">
        <w:rPr>
          <w:rFonts w:ascii="Arabic Typesetting" w:hAnsi="Arabic Typesetting" w:cs="Arabic Typesetting"/>
          <w:sz w:val="34"/>
          <w:szCs w:val="34"/>
          <w:u w:val="single"/>
          <w:rtl/>
          <w:lang w:bidi="ar-EG"/>
        </w:rPr>
        <w:t>يوشيوكي</w:t>
      </w:r>
      <w:proofErr w:type="spellEnd"/>
      <w:r w:rsidR="00161D28" w:rsidRPr="00161D28">
        <w:rPr>
          <w:rFonts w:ascii="Arabic Typesetting" w:hAnsi="Arabic Typesetting" w:cs="Arabic Typesetting"/>
          <w:sz w:val="34"/>
          <w:szCs w:val="34"/>
          <w:u w:val="single"/>
          <w:rtl/>
          <w:lang w:bidi="ar-EG"/>
        </w:rPr>
        <w:t xml:space="preserve"> </w:t>
      </w:r>
      <w:proofErr w:type="spellStart"/>
      <w:r w:rsidR="00161D28" w:rsidRPr="00161D28">
        <w:rPr>
          <w:rFonts w:ascii="Arabic Typesetting" w:hAnsi="Arabic Typesetting" w:cs="Arabic Typesetting"/>
          <w:sz w:val="34"/>
          <w:szCs w:val="34"/>
          <w:u w:val="single"/>
          <w:rtl/>
          <w:lang w:bidi="ar-EG"/>
        </w:rPr>
        <w:t>تاكاغي</w:t>
      </w:r>
      <w:proofErr w:type="spellEnd"/>
      <w:r w:rsidR="00161D28">
        <w:rPr>
          <w:rFonts w:ascii="Arabic Typesetting" w:hAnsi="Arabic Typesetting" w:cs="Arabic Typesetting" w:hint="cs"/>
          <w:sz w:val="34"/>
          <w:szCs w:val="34"/>
          <w:u w:val="single"/>
          <w:rtl/>
          <w:lang w:bidi="ar-EG"/>
        </w:rPr>
        <w:t>)</w:t>
      </w:r>
    </w:p>
    <w:p w:rsidR="002502E6" w:rsidRPr="002502E6" w:rsidRDefault="002502E6" w:rsidP="0099688F">
      <w:pPr>
        <w:pStyle w:val="ListParagraph"/>
        <w:keepLines/>
        <w:numPr>
          <w:ilvl w:val="0"/>
          <w:numId w:val="68"/>
        </w:numPr>
        <w:bidi/>
        <w:spacing w:after="120" w:line="340" w:lineRule="exact"/>
        <w:ind w:left="-6" w:firstLine="0"/>
        <w:contextualSpacing w:val="0"/>
        <w:jc w:val="both"/>
        <w:rPr>
          <w:rFonts w:ascii="Arabic Typesetting" w:hAnsi="Arabic Typesetting" w:cs="Arabic Typesetting"/>
          <w:sz w:val="34"/>
          <w:szCs w:val="34"/>
          <w:lang w:bidi="ar-EG"/>
        </w:rPr>
      </w:pPr>
      <w:r w:rsidRPr="002502E6">
        <w:rPr>
          <w:rFonts w:ascii="Arabic Typesetting" w:hAnsi="Arabic Typesetting" w:cs="Arabic Typesetting"/>
          <w:sz w:val="34"/>
          <w:szCs w:val="34"/>
          <w:rtl/>
        </w:rPr>
        <w:t xml:space="preserve">واصل مكتب الويبو في اليابان، خلال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تركيز اهتمامه على أنظمة الملكية الفكرية وقواعد البيانات العالمية ومنصات أصحاب المصالح المتعددين الخاصة بالويبو في السوق اليابانية. وكان من ضمن ذلك توفير خدمات فعالة وفي الوقت المناسب لمستخدمي هذه الخدمات. وتضمَّن ذلك، من ناحية، تقديمَ المكتب للمشورة والمعلومات إلى نحو 1500 استفسار تلقاه المكتب في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وتضمَّن، من ناحية أخرى، مد يد العون إلى المنتفعين بخدمات الويبو وغيرهم من أصحاب المصالح بالتعاون الوثيق مع المؤسسات الحكومية المضيفة وقطاع الصناعة والجامعات في اليابان وبدعم منها. وفي هذا الصدد، اشتملت الأنشطة الترويجية على 75 عرضاً </w:t>
      </w:r>
      <w:proofErr w:type="spellStart"/>
      <w:r w:rsidRPr="002502E6">
        <w:rPr>
          <w:rFonts w:ascii="Arabic Typesetting" w:hAnsi="Arabic Typesetting" w:cs="Arabic Typesetting"/>
          <w:sz w:val="34"/>
          <w:szCs w:val="34"/>
          <w:rtl/>
        </w:rPr>
        <w:t>تقديمياً</w:t>
      </w:r>
      <w:proofErr w:type="spellEnd"/>
      <w:r w:rsidRPr="002502E6">
        <w:rPr>
          <w:rFonts w:ascii="Arabic Typesetting" w:hAnsi="Arabic Typesetting" w:cs="Arabic Typesetting"/>
          <w:sz w:val="34"/>
          <w:szCs w:val="34"/>
          <w:rtl/>
        </w:rPr>
        <w:t xml:space="preserve"> استهدف أصحاب المصالح اليابانيين الرئيسيين وجذبَ ما يقرب من 000 10 مشارك.</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ومن الإنجازات الكبيرة التي تحققت في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انضمامُ اليابان إلى نظام لاهاي في فبراير 2015 مع دخول النظام حيز التنفيذ في مايو 2015. وقدَّم المكتبُ إلى المستخدمين المحتملين مثل الشركات ومكاتب المحاماة أحدث المعلومات عن نظام لاهاي. ومن أجل تيسير استخدام النظام، قدَّم المكتبُ تدريباً عملياً على الإيداع الإلكتروني وأجاب عن أسئلة المستخدمين من أجل طمأنتهم ومن أجل زيادة الاهتمام بالنظام وزيادة استخدامه. وبحلول نهاية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كان قد أُودِع بالفعل 411 تصميماً باستخدام النظام في سبعة أشهر ونصف.</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وركَّز المكتب أيضاً بشكل أوسع نطاقاً على رفع مستوى الوعي بالويبو وبأنشطتها. وقد تحقَّق ذلك من خلال عقد العديد من الاجتماعات مع أصحاب المصالح اليابانيين، والمشاركة في الأحداث، وإلقاء محاضرات في الجامعات، ومن خلال التعلم الإلكتروني، وإنتاج نشرات الويبو الرئيسية والمهمة باللغة اليابانية، ونشر معلومات الويبو على الموقع الإلكتروني للمكتب. واستمر المكتب في الاضطلاع بدور مهم في ضمان توفر خدمة الويبو للعملاء على مدار الساعة.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وإضافة إلى الترويج لمعاهدة التعاون بشأن البراءات وقاعدة بيانات ركن البراءات، قام أحد أعضاء المكتب – الذي كان مُكرَّساً للترويج لنظام مدريد – بزيارات فردية لنحو 200 شركة، وشارك كمتحدث في العديد من الحلقات الدراسية. وهذه المبادرة – التي تهدف إلى ضمان إطلاع المستخدمين الحاليين والمحتملين أولاً بأول على أحدث المعلومات عن التغييرات التشريعية وقواعد بيانات العلامات التجارية – ساهمت في حدوث زيادة كبيرة في عدد طلبات مدريد المُودَعة من اليابان (بوصفها مكتب منشأ) من 1845 طلباً في عام 2013 إلى 167 2 في 2015 (أي زيادة قدرها 17 </w:t>
      </w:r>
      <w:r w:rsidR="000B5473">
        <w:rPr>
          <w:rFonts w:ascii="Arabic Typesetting" w:hAnsi="Arabic Typesetting" w:cs="Arabic Typesetting"/>
          <w:sz w:val="34"/>
          <w:szCs w:val="34"/>
          <w:rtl/>
        </w:rPr>
        <w:t>بالمئة</w:t>
      </w:r>
      <w:r w:rsidRPr="002502E6">
        <w:rPr>
          <w:rFonts w:ascii="Arabic Typesetting" w:hAnsi="Arabic Typesetting" w:cs="Arabic Typesetting"/>
          <w:sz w:val="34"/>
          <w:szCs w:val="34"/>
          <w:rtl/>
        </w:rPr>
        <w:t>).</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وعلاوة على ذلك، روَّج المكتبُ بنشاط لمنصات أصحاب المصالح المتعددين الخاصة بالويبو. وتمثلت نتيجة هذه الجهود في إضافة أربعة معاهد يابانية كشركاء جدد في قاعدة بيانات </w:t>
      </w:r>
      <w:proofErr w:type="spellStart"/>
      <w:r w:rsidRPr="002502E6">
        <w:rPr>
          <w:rFonts w:ascii="Arabic Typesetting" w:hAnsi="Arabic Typesetting" w:cs="Arabic Typesetting"/>
          <w:sz w:val="34"/>
          <w:szCs w:val="34"/>
          <w:rtl/>
        </w:rPr>
        <w:t>ويبو</w:t>
      </w:r>
      <w:proofErr w:type="spellEnd"/>
      <w:r w:rsidRPr="002502E6">
        <w:rPr>
          <w:rFonts w:ascii="Arabic Typesetting" w:hAnsi="Arabic Typesetting" w:cs="Arabic Typesetting"/>
          <w:sz w:val="34"/>
          <w:szCs w:val="34"/>
          <w:rtl/>
        </w:rPr>
        <w:t xml:space="preserve"> غرين وإضافة مؤسسة صيدلانية واحدة كعضو في قاعدة بيانات الويبو للبحث (</w:t>
      </w:r>
      <w:r w:rsidRPr="002502E6">
        <w:rPr>
          <w:rFonts w:ascii="Arabic Typesetting" w:hAnsi="Arabic Typesetting" w:cs="Arabic Typesetting"/>
          <w:sz w:val="34"/>
          <w:szCs w:val="34"/>
        </w:rPr>
        <w:t xml:space="preserve">WIPO </w:t>
      </w:r>
      <w:proofErr w:type="spellStart"/>
      <w:r w:rsidRPr="002502E6">
        <w:rPr>
          <w:rFonts w:ascii="Arabic Typesetting" w:hAnsi="Arabic Typesetting" w:cs="Arabic Typesetting"/>
          <w:sz w:val="34"/>
          <w:szCs w:val="34"/>
        </w:rPr>
        <w:t>Re:Search</w:t>
      </w:r>
      <w:proofErr w:type="spellEnd"/>
      <w:r w:rsidRPr="002502E6">
        <w:rPr>
          <w:rFonts w:ascii="Arabic Typesetting" w:hAnsi="Arabic Typesetting" w:cs="Arabic Typesetting"/>
          <w:sz w:val="34"/>
          <w:szCs w:val="34"/>
          <w:rtl/>
        </w:rPr>
        <w:t xml:space="preserve">) في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وساهمت جهود المكتب أيضاً في زيادة تسجيلات </w:t>
      </w:r>
      <w:proofErr w:type="spellStart"/>
      <w:r w:rsidRPr="002502E6">
        <w:rPr>
          <w:rFonts w:ascii="Arabic Typesetting" w:hAnsi="Arabic Typesetting" w:cs="Arabic Typesetting"/>
          <w:sz w:val="34"/>
          <w:szCs w:val="34"/>
          <w:rtl/>
        </w:rPr>
        <w:t>ويبو</w:t>
      </w:r>
      <w:proofErr w:type="spellEnd"/>
      <w:r w:rsidRPr="002502E6">
        <w:rPr>
          <w:rFonts w:ascii="Arabic Typesetting" w:hAnsi="Arabic Typesetting" w:cs="Arabic Typesetting"/>
          <w:sz w:val="34"/>
          <w:szCs w:val="34"/>
          <w:rtl/>
        </w:rPr>
        <w:t xml:space="preserve"> غرين.</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وأدى المكتب دوراً حاسماً في ربط أصحاب المصالح في اليابان بالمقر الرئيسي من خلال التفاعل الإيجابي، مثل نقل تعقيباتهم وملاحظاتهم إلى القطاعات المعنية في المقر الرئيسي، وإتاحة فرص لموظفي الويبو ليُتابعوا مع أصحاب المصالح بشأن خدمات الويبو العالمية، وقواعد البيانات العالمية، ومركز التحكيم والوساطة، وتقرير الملكية الفكرية العالمي.</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وواصلت الصناديق </w:t>
      </w:r>
      <w:proofErr w:type="spellStart"/>
      <w:r w:rsidRPr="002502E6">
        <w:rPr>
          <w:rFonts w:ascii="Arabic Typesetting" w:hAnsi="Arabic Typesetting" w:cs="Arabic Typesetting"/>
          <w:sz w:val="34"/>
          <w:szCs w:val="34"/>
          <w:rtl/>
        </w:rPr>
        <w:t>الاستئمانية</w:t>
      </w:r>
      <w:proofErr w:type="spellEnd"/>
      <w:r w:rsidRPr="002502E6">
        <w:rPr>
          <w:rFonts w:ascii="Arabic Typesetting" w:hAnsi="Arabic Typesetting" w:cs="Arabic Typesetting"/>
          <w:sz w:val="34"/>
          <w:szCs w:val="34"/>
          <w:rtl/>
        </w:rPr>
        <w:t xml:space="preserve"> اليابانية للملكية الصناعية تزويد مكتب الويبو في اليابان بفرص ثمينة للمساعدة على تنفيذ أنشطة في اليابان. وتعهد المكتبُ بالحفظ والتحديث قاعدةَ بيانات تضم دراسات إفرادية استُغلت فيها الملكية الفكرية بنجاح لتعزيز التنمية (هي قاعدة بيانات "</w:t>
      </w:r>
      <w:r w:rsidRPr="002502E6">
        <w:rPr>
          <w:rFonts w:ascii="Arabic Typesetting" w:hAnsi="Arabic Typesetting" w:cs="Arabic Typesetting"/>
          <w:sz w:val="34"/>
          <w:szCs w:val="34"/>
        </w:rPr>
        <w:t>IP Advantage</w:t>
      </w:r>
      <w:r w:rsidRPr="002502E6">
        <w:rPr>
          <w:rFonts w:ascii="Arabic Typesetting" w:hAnsi="Arabic Typesetting" w:cs="Arabic Typesetting"/>
          <w:sz w:val="34"/>
          <w:szCs w:val="34"/>
          <w:rtl/>
        </w:rPr>
        <w:t xml:space="preserve">") على موقع الويبو الإلكتروني. وأضاف المكتب 22 دراسة إفرادية جديدة تسلط الضوء على استخدام الملكية الفكرية من قِبل الشركات الصغيرة والمتوسطة وأصحاب المشروعات إلى قاعدة البيانات التي تحتوي الآن على أكثر من 210 حالات. وأجرى المكتبُ أربعة عروض تقديمية في الجامعات باستخدام قاعدة بيانات </w:t>
      </w:r>
      <w:r w:rsidRPr="002502E6">
        <w:rPr>
          <w:rFonts w:ascii="Arabic Typesetting" w:hAnsi="Arabic Typesetting" w:cs="Arabic Typesetting"/>
          <w:sz w:val="34"/>
          <w:szCs w:val="34"/>
        </w:rPr>
        <w:t>IP Advantage</w:t>
      </w:r>
      <w:r w:rsidRPr="002502E6">
        <w:rPr>
          <w:rFonts w:ascii="Arabic Typesetting" w:hAnsi="Arabic Typesetting" w:cs="Arabic Typesetting"/>
          <w:sz w:val="34"/>
          <w:szCs w:val="34"/>
          <w:rtl/>
        </w:rPr>
        <w:t xml:space="preserve"> لتقديم أمثلة من واقع الحياة على كيفية مساهمة الملكية الفكرية في التنمية.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ونفَّذ المكتب للمرة الأولى أربع </w:t>
      </w:r>
      <w:proofErr w:type="spellStart"/>
      <w:r w:rsidRPr="002502E6">
        <w:rPr>
          <w:rFonts w:ascii="Arabic Typesetting" w:hAnsi="Arabic Typesetting" w:cs="Arabic Typesetting"/>
          <w:sz w:val="34"/>
          <w:szCs w:val="34"/>
          <w:rtl/>
        </w:rPr>
        <w:t>زمالات</w:t>
      </w:r>
      <w:proofErr w:type="spellEnd"/>
      <w:r w:rsidRPr="002502E6">
        <w:rPr>
          <w:rFonts w:ascii="Arabic Typesetting" w:hAnsi="Arabic Typesetting" w:cs="Arabic Typesetting"/>
          <w:sz w:val="34"/>
          <w:szCs w:val="34"/>
          <w:rtl/>
        </w:rPr>
        <w:t xml:space="preserve"> قصيرة الأجل بالتنسيق مع نظراء في المقر الرئيسي (بما في ذلك أكاديمية الويبو)، وتضمنت هذه </w:t>
      </w:r>
      <w:proofErr w:type="spellStart"/>
      <w:r w:rsidRPr="002502E6">
        <w:rPr>
          <w:rFonts w:ascii="Arabic Typesetting" w:hAnsi="Arabic Typesetting" w:cs="Arabic Typesetting"/>
          <w:sz w:val="34"/>
          <w:szCs w:val="34"/>
          <w:rtl/>
        </w:rPr>
        <w:t>الزمالات</w:t>
      </w:r>
      <w:proofErr w:type="spellEnd"/>
      <w:r w:rsidRPr="002502E6">
        <w:rPr>
          <w:rFonts w:ascii="Arabic Typesetting" w:hAnsi="Arabic Typesetting" w:cs="Arabic Typesetting"/>
          <w:sz w:val="34"/>
          <w:szCs w:val="34"/>
          <w:rtl/>
        </w:rPr>
        <w:t xml:space="preserve"> أسبوعين من التدريب في مكاتب محاماة متخصصة في الملكية الفكرية في طوكيو لمشاركين من بلدان نامية في آسيا والمحيط الهادئ. واستهدفت </w:t>
      </w:r>
      <w:proofErr w:type="spellStart"/>
      <w:r w:rsidRPr="002502E6">
        <w:rPr>
          <w:rFonts w:ascii="Arabic Typesetting" w:hAnsi="Arabic Typesetting" w:cs="Arabic Typesetting"/>
          <w:sz w:val="34"/>
          <w:szCs w:val="34"/>
          <w:rtl/>
        </w:rPr>
        <w:t>الزمالات</w:t>
      </w:r>
      <w:proofErr w:type="spellEnd"/>
      <w:r w:rsidRPr="002502E6">
        <w:rPr>
          <w:rFonts w:ascii="Arabic Typesetting" w:hAnsi="Arabic Typesetting" w:cs="Arabic Typesetting"/>
          <w:sz w:val="34"/>
          <w:szCs w:val="34"/>
          <w:rtl/>
        </w:rPr>
        <w:t xml:space="preserve"> خريجي ماجستير الويبو في قانون الملكية الفكرية، بغرض ترسيخ ما اكتسبه المشاركون داخل الفصل الدراسي من معرفة عن طريق اكتساب خبرة واقعية بالملكية الفكرية.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lastRenderedPageBreak/>
        <w:t>وإضافة إلى ذلك، كان مكتب الويبو في اليابان بمثابة المكتب التجريبي لتنفيذ الحل التكنولوجي الخاص بالبنية العالمية للمكاتب، وضمان الاندماج السلس والربط الآمن بجميع أنظمة الويبو المعلوماتية الإدارية التي يستضيفها المقر الرئيسي.</w:t>
      </w:r>
    </w:p>
    <w:p w:rsidR="002502E6" w:rsidRPr="002502E6" w:rsidRDefault="002502E6" w:rsidP="002502E6">
      <w:pPr>
        <w:keepNext/>
        <w:bidi/>
        <w:spacing w:after="120" w:line="340" w:lineRule="exact"/>
        <w:jc w:val="both"/>
        <w:rPr>
          <w:rFonts w:ascii="Arabic Typesetting" w:hAnsi="Arabic Typesetting" w:cs="Arabic Typesetting"/>
          <w:sz w:val="34"/>
          <w:szCs w:val="34"/>
          <w:u w:val="single"/>
        </w:rPr>
      </w:pPr>
      <w:r w:rsidRPr="002502E6">
        <w:rPr>
          <w:rFonts w:ascii="Arabic Typesetting" w:hAnsi="Arabic Typesetting" w:cs="Arabic Typesetting"/>
          <w:sz w:val="34"/>
          <w:szCs w:val="34"/>
          <w:u w:val="single"/>
          <w:rtl/>
        </w:rPr>
        <w:t>مكتب الويبو في الاتحاد الروسي (المدير العام)</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أُنشئ مكتب الويبو في الاتحاد الروسي في يوليو 2014، وانخرط – مثل مكتب الويبو في الصين – طوال النصف الثاني من عام 2014 في ترسيخ مكانته وتعزيز تنظيمه الإداري. وفي هذا الصدد، أُقيم تعاون وثيق مع البلد المضيف، وخاصةً الدائرة الاتحادية للملكية الفكرية (</w:t>
      </w:r>
      <w:r w:rsidRPr="002502E6">
        <w:rPr>
          <w:rFonts w:ascii="Arabic Typesetting" w:hAnsi="Arabic Typesetting" w:cs="Arabic Typesetting"/>
          <w:sz w:val="34"/>
          <w:szCs w:val="34"/>
        </w:rPr>
        <w:t>ROSPATENT</w:t>
      </w:r>
      <w:r w:rsidRPr="002502E6">
        <w:rPr>
          <w:rFonts w:ascii="Arabic Typesetting" w:hAnsi="Arabic Typesetting" w:cs="Arabic Typesetting"/>
          <w:sz w:val="34"/>
          <w:szCs w:val="34"/>
          <w:rtl/>
        </w:rPr>
        <w:t>)، ومجلس اتحاد الجمعية الاتحادية للاتحاد الروسي، ومحكمة حقوق الملكية الفكرية، والأكاديمية الحكومية الروسية للملكية الفكرية (</w:t>
      </w:r>
      <w:r w:rsidRPr="002502E6">
        <w:rPr>
          <w:rFonts w:ascii="Arabic Typesetting" w:hAnsi="Arabic Typesetting" w:cs="Arabic Typesetting"/>
          <w:sz w:val="34"/>
          <w:szCs w:val="34"/>
        </w:rPr>
        <w:t>RGAIS</w:t>
      </w:r>
      <w:r w:rsidRPr="002502E6">
        <w:rPr>
          <w:rFonts w:ascii="Arabic Typesetting" w:hAnsi="Arabic Typesetting" w:cs="Arabic Typesetting"/>
          <w:sz w:val="34"/>
          <w:szCs w:val="34"/>
          <w:rtl/>
        </w:rPr>
        <w:t>). وهذا التعاون سهَّل كثيراً من قدرة المكتب على أن يصبح بسرعة جاهزاً للعمل.</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وركَّز المكتب خلال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على الترويج لخدمات الويبو في السوق الروسية. وفي هذا الصدد، شارك المكتب في العديد من الأحداث الوطنية التي نظمتها الدائرة الاتحادية للملكية الفكرية والويبو، فضلاً عن أحداث تكوين الكفاءات التي أُقيمت في موسكو ومدن أخرى وكانت تركز على الترويج لنظام معاهدة التعاون بشأن البراءات ونظام مدريد ونظام لاهاي. وإضافةً إلى ذلك، أتاحت هذه الاجتماعات فرصةً لمساعدة الاتحاد الروسي على تطوير شبكة مراكز دعم التكنولوجيا والابتكار الخاصة به، وتعزيز قدرة الجامعات والمؤسسات البحثية المحلية فيما يتعلق بإعداد سياسة الملكية الفكرية، وزيادة الوعي بنظام الملكية الفكرية الدولي. كما أن هذه المنتديات ربطت مكتبَ الويبو الذي أُنشئ مؤخراً في الاتحاد الروسي بأصحاب المصالح الوطنيين، مثل غرفة التجارة والصناعة، التي يتوقع المكتب أن يعمل معها عن كثب في المستقبل حينما يواجه التحدي المتمثل في العمل عبر الأقاليم والمناطق الروسية الكثيرة والبعيدة.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وقدَّم المكتبُ أيضا الدعمَ إلى بلده المضيف بشأن الانضمام إلى معاهدة بيجين في نوفمبر 2015، فضلاً عن الانضمام المتوقع إلى معاهدة مراكش، وإلى وثيقة جنيف لاتفاق لاهاي.</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وفي محاولة لتعزيز قدرة الجامعات والمؤسسات البحثية المحلية فيما يتعلق بإعداد سياسات الملكية الفكرية، وقدرة الشركات الصغيرة والمتوسطة على استخدام الملكية الفكرية استخداماً فعالاً لحماية أصولها التجارية، ولزيادة الوعي بنظام الملكية الفكرية الدولي لدى عامة الناس، دعَّم المكتبُ نمو شبكة مراكز دعم التكنولوجيا والابتكار في الاتحاد الروسي، مما يسمح بالتواصل مع صاحب المصلحة في المناطق النائية التابعة للاتحاد الروسي.</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وبناء على اقتراح حكومة الاتحاد الروسي، في نهاية عام 2015، انتقل المكتب إلى مقره الجديد في الجزء الغربي من موسكو بمركز </w:t>
      </w:r>
      <w:proofErr w:type="spellStart"/>
      <w:r w:rsidRPr="002502E6">
        <w:rPr>
          <w:rFonts w:ascii="Arabic Typesetting" w:hAnsi="Arabic Typesetting" w:cs="Arabic Typesetting"/>
          <w:sz w:val="34"/>
          <w:szCs w:val="34"/>
          <w:rtl/>
        </w:rPr>
        <w:t>سكولكوفو</w:t>
      </w:r>
      <w:proofErr w:type="spellEnd"/>
      <w:r w:rsidRPr="002502E6">
        <w:rPr>
          <w:rFonts w:ascii="Arabic Typesetting" w:hAnsi="Arabic Typesetting" w:cs="Arabic Typesetting"/>
          <w:sz w:val="34"/>
          <w:szCs w:val="34"/>
          <w:rtl/>
        </w:rPr>
        <w:t xml:space="preserve"> للابتكار، وهو منظومة ابتكار تدعم التكنولوجيات الجديدة والشركات المبتكرة. وتم تجهيز المقر الجديد بالحل التكنولوجي الخاص بالبنية العالمية للمكاتب، مما يضمن الاندماج السلس والربط الآمن بجميع أنظمة الويبو المعلوماتية الإدارية التي يستضيفها المقر الرئيسي.</w:t>
      </w:r>
    </w:p>
    <w:p w:rsidR="002502E6" w:rsidRPr="002502E6" w:rsidRDefault="002502E6" w:rsidP="00CF3E9E">
      <w:pPr>
        <w:keepNext/>
        <w:bidi/>
        <w:spacing w:after="120" w:line="340" w:lineRule="exact"/>
        <w:jc w:val="both"/>
        <w:rPr>
          <w:rFonts w:ascii="Arabic Typesetting" w:hAnsi="Arabic Typesetting" w:cs="Arabic Typesetting"/>
          <w:sz w:val="34"/>
          <w:szCs w:val="34"/>
          <w:u w:val="single"/>
          <w:lang w:bidi="ar-EG"/>
        </w:rPr>
      </w:pPr>
      <w:r w:rsidRPr="002502E6">
        <w:rPr>
          <w:rFonts w:ascii="Arabic Typesetting" w:hAnsi="Arabic Typesetting" w:cs="Arabic Typesetting"/>
          <w:sz w:val="34"/>
          <w:szCs w:val="34"/>
          <w:u w:val="single"/>
          <w:rtl/>
          <w:lang w:bidi="ar-EG"/>
        </w:rPr>
        <w:t>مكتب الويبو في سنغافورة (المدير العام</w:t>
      </w:r>
      <w:r w:rsidR="00CF3E9E">
        <w:rPr>
          <w:rFonts w:ascii="Arabic Typesetting" w:hAnsi="Arabic Typesetting" w:cs="Arabic Typesetting" w:hint="cs"/>
          <w:sz w:val="34"/>
          <w:szCs w:val="34"/>
          <w:u w:val="single"/>
          <w:rtl/>
          <w:lang w:bidi="ar-EG"/>
        </w:rPr>
        <w:t xml:space="preserve">/السيد </w:t>
      </w:r>
      <w:proofErr w:type="spellStart"/>
      <w:r w:rsidR="00CF3E9E">
        <w:rPr>
          <w:rFonts w:ascii="Arabic Typesetting" w:hAnsi="Arabic Typesetting" w:cs="Arabic Typesetting" w:hint="cs"/>
          <w:sz w:val="34"/>
          <w:szCs w:val="34"/>
          <w:u w:val="single"/>
          <w:rtl/>
          <w:lang w:bidi="ar-EG"/>
        </w:rPr>
        <w:t>ناريش</w:t>
      </w:r>
      <w:proofErr w:type="spellEnd"/>
      <w:r w:rsidR="00CF3E9E">
        <w:rPr>
          <w:rFonts w:ascii="Arabic Typesetting" w:hAnsi="Arabic Typesetting" w:cs="Arabic Typesetting" w:hint="cs"/>
          <w:sz w:val="34"/>
          <w:szCs w:val="34"/>
          <w:u w:val="single"/>
          <w:rtl/>
          <w:lang w:bidi="ar-EG"/>
        </w:rPr>
        <w:t xml:space="preserve"> </w:t>
      </w:r>
      <w:proofErr w:type="spellStart"/>
      <w:r w:rsidR="00CF3E9E">
        <w:rPr>
          <w:rFonts w:ascii="Arabic Typesetting" w:hAnsi="Arabic Typesetting" w:cs="Arabic Typesetting" w:hint="cs"/>
          <w:sz w:val="34"/>
          <w:szCs w:val="34"/>
          <w:u w:val="single"/>
          <w:rtl/>
          <w:lang w:bidi="ar-EG"/>
        </w:rPr>
        <w:t>براساد</w:t>
      </w:r>
      <w:proofErr w:type="spellEnd"/>
      <w:r w:rsidRPr="002502E6">
        <w:rPr>
          <w:rFonts w:ascii="Arabic Typesetting" w:hAnsi="Arabic Typesetting" w:cs="Arabic Typesetting"/>
          <w:sz w:val="34"/>
          <w:szCs w:val="34"/>
          <w:u w:val="single"/>
          <w:rtl/>
          <w:lang w:bidi="ar-EG"/>
        </w:rPr>
        <w:t>)</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lang w:bidi="ar-EG"/>
        </w:rPr>
      </w:pPr>
      <w:r w:rsidRPr="002502E6">
        <w:rPr>
          <w:rFonts w:ascii="Arabic Typesetting" w:hAnsi="Arabic Typesetting" w:cs="Arabic Typesetting"/>
          <w:sz w:val="34"/>
          <w:szCs w:val="34"/>
          <w:rtl/>
        </w:rPr>
        <w:t>واصل مكتب الويبو في سنغافورة، خلال الثنائية 2014/15، تعزيز وجوده كمركز خدمات تابع للويبو وكمنتدى ملكية فكرية للدول الأعضاء والمنظمات الدولية والمنظمات غير الحكومية والشركات في المنطقة، وواصل تعزيز مكانته كجهة فاعلة رئيسية في منظومة الملكية الفكرية في منطقة رابطة أمم جنوب شرق آسيا. وظل المكتب يعمل بنشاط في الترويج لخدمات الويبو العالمية عبر منطقة رابطة أمم جنوب شرق آسيا. وتضمنت النتائج الملموسة التي تحققت في هذه المنطقة خلال الثنائية 2014/15: "1" زيادة بنسبة 17% مقارنةً بالثنائية 2012/13 في طلبات نظام معاهدة التعاون بشأن البراءات، "2" وزيادة بنسبة 4% مقارنةً بعام 2013 وزيادة بنسبة 45% مقارنةً بعام 2014 في عدد طلبات نظام مدريد.</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وشهد عام 2015 الذكرى السنوية العاشرة لإنشاء مكتب الويبو في سنغافورة. وفي نوفمبر 2015، في حدث أُقيم إحياءً لهذه الذكرى، تجمع أكثر من 130 شخصاً من جميع أنحاء منطقة رابطة أمم جنوب شرق آسيا لإعمال الفكر في التقدم الذي أُحرز خلال العقد الماضي في سياق ساحة الملكية الفكرية، وللنظر في الوضع الراهن والتطورات المحتملة في سنغافورة ومنطقة رابطة أمم جنوب شرق آسيا في السنوات العشر القادمة. وكان من بين الحضور أكثر من 15 سفيراً ومفوضاً سامياً، فضلاً عن قادة من أوساط الملكية الفكرية والابتكار والإبداع في سنغافورة والمنطقة.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lastRenderedPageBreak/>
        <w:t>ومن خلال تنظيمه ومشاركته في أحداث مع العديد من الشركاء مثل منتدى الأعمال القانونية الآسيوية (</w:t>
      </w:r>
      <w:r w:rsidRPr="002502E6">
        <w:rPr>
          <w:rFonts w:ascii="Arabic Typesetting" w:hAnsi="Arabic Typesetting" w:cs="Arabic Typesetting"/>
          <w:sz w:val="34"/>
          <w:szCs w:val="34"/>
        </w:rPr>
        <w:t>ALB</w:t>
      </w:r>
      <w:r w:rsidRPr="002502E6">
        <w:rPr>
          <w:rFonts w:ascii="Arabic Typesetting" w:hAnsi="Arabic Typesetting" w:cs="Arabic Typesetting"/>
          <w:sz w:val="34"/>
          <w:szCs w:val="34"/>
          <w:rtl/>
        </w:rPr>
        <w:t>)، والغرف التجارية ذات الصلة والجمعيات التجارية، وجمعية مديري الترخيص (</w:t>
      </w:r>
      <w:r w:rsidRPr="002502E6">
        <w:rPr>
          <w:rFonts w:ascii="Arabic Typesetting" w:hAnsi="Arabic Typesetting" w:cs="Arabic Typesetting"/>
          <w:sz w:val="34"/>
          <w:szCs w:val="34"/>
        </w:rPr>
        <w:t>LES</w:t>
      </w:r>
      <w:r w:rsidRPr="002502E6">
        <w:rPr>
          <w:rFonts w:ascii="Arabic Typesetting" w:hAnsi="Arabic Typesetting" w:cs="Arabic Typesetting"/>
          <w:sz w:val="34"/>
          <w:szCs w:val="34"/>
          <w:rtl/>
        </w:rPr>
        <w:t>)، وجامعة سنغافورة الوطنية (</w:t>
      </w:r>
      <w:r w:rsidRPr="002502E6">
        <w:rPr>
          <w:rFonts w:ascii="Arabic Typesetting" w:hAnsi="Arabic Typesetting" w:cs="Arabic Typesetting"/>
          <w:sz w:val="34"/>
          <w:szCs w:val="34"/>
        </w:rPr>
        <w:t>NUS</w:t>
      </w:r>
      <w:r w:rsidRPr="002502E6">
        <w:rPr>
          <w:rFonts w:ascii="Arabic Typesetting" w:hAnsi="Arabic Typesetting" w:cs="Arabic Typesetting"/>
          <w:sz w:val="34"/>
          <w:szCs w:val="34"/>
          <w:rtl/>
        </w:rPr>
        <w:t xml:space="preserve">)، استطاع مكتب الويبو في سنغافورة مد يد العون إلى عدد كبير من أصحاب المصالح والمستخدمين في الترويج لخدمات الملكية الفكرية العالمية الخاصة بالويبو، ومبادرة </w:t>
      </w:r>
      <w:proofErr w:type="spellStart"/>
      <w:r w:rsidRPr="002502E6">
        <w:rPr>
          <w:rFonts w:ascii="Arabic Typesetting" w:hAnsi="Arabic Typesetting" w:cs="Arabic Typesetting"/>
          <w:sz w:val="34"/>
          <w:szCs w:val="34"/>
          <w:rtl/>
        </w:rPr>
        <w:t>ويبو</w:t>
      </w:r>
      <w:proofErr w:type="spellEnd"/>
      <w:r w:rsidRPr="002502E6">
        <w:rPr>
          <w:rFonts w:ascii="Arabic Typesetting" w:hAnsi="Arabic Typesetting" w:cs="Arabic Typesetting"/>
          <w:sz w:val="34"/>
          <w:szCs w:val="34"/>
          <w:rtl/>
        </w:rPr>
        <w:t xml:space="preserve"> غرين، ومشروع الويبو المتعلق بالبحث (</w:t>
      </w:r>
      <w:r w:rsidRPr="002502E6">
        <w:rPr>
          <w:rFonts w:ascii="Arabic Typesetting" w:hAnsi="Arabic Typesetting" w:cs="Arabic Typesetting"/>
          <w:sz w:val="34"/>
          <w:szCs w:val="34"/>
        </w:rPr>
        <w:t xml:space="preserve">WIPO </w:t>
      </w:r>
      <w:proofErr w:type="spellStart"/>
      <w:r w:rsidRPr="002502E6">
        <w:rPr>
          <w:rFonts w:ascii="Arabic Typesetting" w:hAnsi="Arabic Typesetting" w:cs="Arabic Typesetting"/>
          <w:sz w:val="34"/>
          <w:szCs w:val="34"/>
        </w:rPr>
        <w:t>Re:Search</w:t>
      </w:r>
      <w:proofErr w:type="spellEnd"/>
      <w:r w:rsidRPr="002502E6">
        <w:rPr>
          <w:rFonts w:ascii="Arabic Typesetting" w:hAnsi="Arabic Typesetting" w:cs="Arabic Typesetting"/>
          <w:sz w:val="34"/>
          <w:szCs w:val="34"/>
          <w:rtl/>
        </w:rPr>
        <w:t>)، وقواعد بيانات الويبو العالمية، وبرنامج مراكز دعم التكنولوجيا والابتكار، ونظام الويبو للنفاذ المركزي إلى نتائج البحث والفحص (</w:t>
      </w:r>
      <w:r w:rsidRPr="002502E6">
        <w:rPr>
          <w:rFonts w:ascii="Arabic Typesetting" w:hAnsi="Arabic Typesetting" w:cs="Arabic Typesetting"/>
          <w:sz w:val="34"/>
          <w:szCs w:val="34"/>
        </w:rPr>
        <w:t>WIPO CASE</w:t>
      </w:r>
      <w:r w:rsidRPr="002502E6">
        <w:rPr>
          <w:rFonts w:ascii="Arabic Typesetting" w:hAnsi="Arabic Typesetting" w:cs="Arabic Typesetting"/>
          <w:sz w:val="34"/>
          <w:szCs w:val="34"/>
          <w:rtl/>
        </w:rPr>
        <w:t>).</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واستمر تعزيز المشاركة في أنشطة رابطة أمم جنوب شرق آسيا طوال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واضطلع المكتبُ بدور محوري متزايد في تنسيق الأنشطة التي طلبها الفريق العامل المعني بالتعاون في مجال الملكية الفكرية (</w:t>
      </w:r>
      <w:r w:rsidRPr="002502E6">
        <w:rPr>
          <w:rFonts w:ascii="Arabic Typesetting" w:hAnsi="Arabic Typesetting" w:cs="Arabic Typesetting"/>
          <w:sz w:val="34"/>
          <w:szCs w:val="34"/>
        </w:rPr>
        <w:t>AWGIPC</w:t>
      </w:r>
      <w:r w:rsidRPr="002502E6">
        <w:rPr>
          <w:rFonts w:ascii="Arabic Typesetting" w:hAnsi="Arabic Typesetting" w:cs="Arabic Typesetting"/>
          <w:sz w:val="34"/>
          <w:szCs w:val="34"/>
          <w:rtl/>
        </w:rPr>
        <w:t>) عند تنفيذ خطة عمل الرابطة بشأن حقوق الملكية الفكرية للفترة من 2011 إلى 2015 في سياق إنشاء الجماعة الاقتصادية التابعة لرابطة أمم جنوب شرق آسيا (</w:t>
      </w:r>
      <w:r w:rsidRPr="002502E6">
        <w:rPr>
          <w:rFonts w:ascii="Arabic Typesetting" w:hAnsi="Arabic Typesetting" w:cs="Arabic Typesetting"/>
          <w:sz w:val="34"/>
          <w:szCs w:val="34"/>
        </w:rPr>
        <w:t>AEC</w:t>
      </w:r>
      <w:r w:rsidRPr="002502E6">
        <w:rPr>
          <w:rFonts w:ascii="Arabic Typesetting" w:hAnsi="Arabic Typesetting" w:cs="Arabic Typesetting"/>
          <w:sz w:val="34"/>
          <w:szCs w:val="34"/>
          <w:rtl/>
        </w:rPr>
        <w:t>) بحلول نهاية عام 2015. وإضافةً إلى ذلك، نُظِّمت حلقات عمل في كل دولة عضو في الرابطة من أجل المضي قدماً في جهود الانضمام إلى نظامي مدريد ولاهاي. وأسفرت الشراكات مع أصحاب المصالح والشركاء عن أحداث رئيسية محتملة في مكتب الويبو في سنغافورة مثل إقامة حلقة عمل دون إقليمية لبلدان رابطة أمم جنوب شرق آسيا بشأن نظام لاهاي مع مكتب مواءمة السوق الداخلية/ مشروع الاتحاد الأوروبي ورابطة أمم جنوب شرق آسيا بشأن حماية حقوق الملكية الفكرية (</w:t>
      </w:r>
      <w:r w:rsidRPr="002502E6">
        <w:rPr>
          <w:rFonts w:ascii="Arabic Typesetting" w:hAnsi="Arabic Typesetting" w:cs="Arabic Typesetting"/>
          <w:sz w:val="34"/>
          <w:szCs w:val="34"/>
        </w:rPr>
        <w:t>OHIM/ECAP</w:t>
      </w:r>
      <w:r w:rsidR="00161D28">
        <w:rPr>
          <w:rFonts w:ascii="Arabic Typesetting" w:hAnsi="Arabic Typesetting" w:cs="Arabic Typesetting"/>
          <w:sz w:val="34"/>
          <w:szCs w:val="34"/>
        </w:rPr>
        <w:t> </w:t>
      </w:r>
      <w:r w:rsidRPr="002502E6">
        <w:rPr>
          <w:rFonts w:ascii="Arabic Typesetting" w:hAnsi="Arabic Typesetting" w:cs="Arabic Typesetting"/>
          <w:sz w:val="34"/>
          <w:szCs w:val="34"/>
        </w:rPr>
        <w:t>III</w:t>
      </w:r>
      <w:r w:rsidRPr="002502E6">
        <w:rPr>
          <w:rFonts w:ascii="Arabic Typesetting" w:hAnsi="Arabic Typesetting" w:cs="Arabic Typesetting"/>
          <w:sz w:val="34"/>
          <w:szCs w:val="34"/>
          <w:rtl/>
        </w:rPr>
        <w:t>)، وحلقة عمل دون إقليمية مشتركة بين الويبو وفريق منطقة التجارة الحرة بين رابطة أمم جنوب شرق آسيا وأستراليا ونيوزيلاندا (</w:t>
      </w:r>
      <w:r w:rsidRPr="002502E6">
        <w:rPr>
          <w:rFonts w:ascii="Arabic Typesetting" w:hAnsi="Arabic Typesetting" w:cs="Arabic Typesetting"/>
          <w:sz w:val="34"/>
          <w:szCs w:val="34"/>
        </w:rPr>
        <w:t>AANZFTA</w:t>
      </w:r>
      <w:r w:rsidRPr="002502E6">
        <w:rPr>
          <w:rFonts w:ascii="Arabic Typesetting" w:hAnsi="Arabic Typesetting" w:cs="Arabic Typesetting"/>
          <w:sz w:val="34"/>
          <w:szCs w:val="34"/>
          <w:rtl/>
        </w:rPr>
        <w:t>) لفاحصي العلامات التجارية التابعين لبلدان الرابطة بشأن نظام مدريد.</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 xml:space="preserve">وفي الثنائية 2014/2015، واصل المكتبُ إدارة وتنفيذ مذكرة التفاهم المبرمة بين الويبو وحكومة سنغافورة، التي تُركِّز على تعزيز مهارات ومعارف مسؤولي الملكية الفكرية وأصحاب المصالح من منطقة آسيا والمحيط الهادئ، فنظَّم ثلاث حلقات دراسية إقليمية أو شارك في تنظيمها. وإضافةً إلى ذلك، قُدِّم نحو 27 نشاطاً من أنشطة المساعدة التقنية إلى 34 دولة عضواً للمساعدة على تنفيذ أنظمة فعالة لإدارة الملكية الفكرية، فضلاً عن تقديم المساعدة المتعلقة بنظامي مدريد ولاهاي، وحق المؤلف والحقوق المجاورة، ومنظمات الإدارة الجماعية، والتعليم، والتوعية، وتكوين الكفاءات. ونَظَّم المكتبُ أيضاً خلال </w:t>
      </w:r>
      <w:r>
        <w:rPr>
          <w:rFonts w:ascii="Arabic Typesetting" w:hAnsi="Arabic Typesetting" w:cs="Arabic Typesetting"/>
          <w:sz w:val="34"/>
          <w:szCs w:val="34"/>
          <w:rtl/>
        </w:rPr>
        <w:t>الثنائية</w:t>
      </w:r>
      <w:r w:rsidRPr="002502E6">
        <w:rPr>
          <w:rFonts w:ascii="Arabic Typesetting" w:hAnsi="Arabic Typesetting" w:cs="Arabic Typesetting"/>
          <w:sz w:val="34"/>
          <w:szCs w:val="34"/>
          <w:rtl/>
        </w:rPr>
        <w:t xml:space="preserve"> 17 زيارة دراسية، مقارنةً بست زيارات في عام 2013، لأصحاب المصالح المعنيين بالملكية الفكرية من شتى أنحاء المنطقة، وكذلك من مؤسسات رئيسية في سنغافورة. وأقام مكتبُ الويبو في سنغافورة شراكةً مع مكتب سنغافورة للملكية الفكرية (</w:t>
      </w:r>
      <w:r w:rsidRPr="002502E6">
        <w:rPr>
          <w:rFonts w:ascii="Arabic Typesetting" w:hAnsi="Arabic Typesetting" w:cs="Arabic Typesetting"/>
          <w:sz w:val="34"/>
          <w:szCs w:val="34"/>
        </w:rPr>
        <w:t>IPOS</w:t>
      </w:r>
      <w:r w:rsidRPr="002502E6">
        <w:rPr>
          <w:rFonts w:ascii="Arabic Typesetting" w:hAnsi="Arabic Typesetting" w:cs="Arabic Typesetting"/>
          <w:sz w:val="34"/>
          <w:szCs w:val="34"/>
          <w:rtl/>
        </w:rPr>
        <w:t>) لتنظيم أحداث رئيسية وحلقات عمل، ويسَّر المكتبُ توفير متحدثين لمبادرات أسبوع الملكية الفكرية الإقليمي السنوي في سنغافورة من أجل الحكومة والشركات والمُبتكِرين والمبدعين. وإضافةً إلى ذلك، نُظِّمت ست حلقات عمل شملت مجموعةً متنوعةً من الموضوعات. وواصل المكتبُ دعمه للأنشطة التي يقوم بها مركز الويبو للتحكيم والوساطة من خلال وجود المركز في سنغافورة.</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وجرى تعزيز التوعية في الثنائية 2014/15 من خلال مشاركات المكتب بالتحدث في الأحداث والمؤتمرات الرئيسية للمنظمات الحكومية الدولية والمنظمات غير الحكومية والمؤسسات الوطنية الموجودة في المنطقة أو التي تقع مقارها في سنغافورة، مثل جمعية الملكية الفكرية لرابطة أمم جنوب شرق آسيا (</w:t>
      </w:r>
      <w:r w:rsidRPr="002502E6">
        <w:rPr>
          <w:rFonts w:ascii="Arabic Typesetting" w:hAnsi="Arabic Typesetting" w:cs="Arabic Typesetting"/>
          <w:sz w:val="34"/>
          <w:szCs w:val="34"/>
        </w:rPr>
        <w:t>AIPA</w:t>
      </w:r>
      <w:r w:rsidRPr="002502E6">
        <w:rPr>
          <w:rFonts w:ascii="Arabic Typesetting" w:hAnsi="Arabic Typesetting" w:cs="Arabic Typesetting"/>
          <w:sz w:val="34"/>
          <w:szCs w:val="34"/>
          <w:rtl/>
        </w:rPr>
        <w:t>)، ومنظمة التعاون الاقتصادي لآسيا والمحيط الهادئ (</w:t>
      </w:r>
      <w:r w:rsidRPr="002502E6">
        <w:rPr>
          <w:rFonts w:ascii="Arabic Typesetting" w:hAnsi="Arabic Typesetting" w:cs="Arabic Typesetting"/>
          <w:sz w:val="34"/>
          <w:szCs w:val="34"/>
        </w:rPr>
        <w:t>APEC</w:t>
      </w:r>
      <w:r w:rsidRPr="002502E6">
        <w:rPr>
          <w:rFonts w:ascii="Arabic Typesetting" w:hAnsi="Arabic Typesetting" w:cs="Arabic Typesetting"/>
          <w:sz w:val="34"/>
          <w:szCs w:val="34"/>
          <w:rtl/>
        </w:rPr>
        <w:t>)، والمؤسسة الآسيوية الأوروبية (</w:t>
      </w:r>
      <w:r w:rsidRPr="002502E6">
        <w:rPr>
          <w:rFonts w:ascii="Arabic Typesetting" w:hAnsi="Arabic Typesetting" w:cs="Arabic Typesetting"/>
          <w:sz w:val="34"/>
          <w:szCs w:val="34"/>
        </w:rPr>
        <w:t>ASEF</w:t>
      </w:r>
      <w:r w:rsidRPr="002502E6">
        <w:rPr>
          <w:rFonts w:ascii="Arabic Typesetting" w:hAnsi="Arabic Typesetting" w:cs="Arabic Typesetting"/>
          <w:sz w:val="34"/>
          <w:szCs w:val="34"/>
          <w:rtl/>
        </w:rPr>
        <w:t>)، والرابطة الماليزية للملكية الفكرية (</w:t>
      </w:r>
      <w:r w:rsidRPr="002502E6">
        <w:rPr>
          <w:rFonts w:ascii="Arabic Typesetting" w:hAnsi="Arabic Typesetting" w:cs="Arabic Typesetting"/>
          <w:sz w:val="34"/>
          <w:szCs w:val="34"/>
        </w:rPr>
        <w:t>MIPA</w:t>
      </w:r>
      <w:r w:rsidRPr="002502E6">
        <w:rPr>
          <w:rFonts w:ascii="Arabic Typesetting" w:hAnsi="Arabic Typesetting" w:cs="Arabic Typesetting"/>
          <w:sz w:val="34"/>
          <w:szCs w:val="34"/>
          <w:rtl/>
        </w:rPr>
        <w:t>)، والمعهد الاقتصادي للآسيان وشرق آسيا (</w:t>
      </w:r>
      <w:r w:rsidRPr="002502E6">
        <w:rPr>
          <w:rFonts w:ascii="Arabic Typesetting" w:hAnsi="Arabic Typesetting" w:cs="Arabic Typesetting"/>
          <w:sz w:val="34"/>
          <w:szCs w:val="34"/>
        </w:rPr>
        <w:t>ERIA</w:t>
      </w:r>
      <w:r w:rsidRPr="002502E6">
        <w:rPr>
          <w:rFonts w:ascii="Arabic Typesetting" w:hAnsi="Arabic Typesetting" w:cs="Arabic Typesetting"/>
          <w:sz w:val="34"/>
          <w:szCs w:val="34"/>
          <w:rtl/>
        </w:rPr>
        <w:t>)، والاتحاد الدولي لجمعيات المؤلفين والملحنين (</w:t>
      </w:r>
      <w:r w:rsidRPr="002502E6">
        <w:rPr>
          <w:rFonts w:ascii="Arabic Typesetting" w:hAnsi="Arabic Typesetting" w:cs="Arabic Typesetting"/>
          <w:sz w:val="34"/>
          <w:szCs w:val="34"/>
        </w:rPr>
        <w:t>CISAC</w:t>
      </w:r>
      <w:r w:rsidRPr="002502E6">
        <w:rPr>
          <w:rFonts w:ascii="Arabic Typesetting" w:hAnsi="Arabic Typesetting" w:cs="Arabic Typesetting"/>
          <w:sz w:val="34"/>
          <w:szCs w:val="34"/>
          <w:rtl/>
        </w:rPr>
        <w:t>)، والمحكمة المركزية للملكية الفكرية والتجارة الدولية في تايلند. وفي هذا الصدد، استقبل المكتبُ زيارات دراسية قام بها عدد من المندوبين وشملت نطاق حقوق الملكية الفكرية بأكمله وجميع أنشطة الويبو. كما عزَّز المكتبُ علاقاته مع الأوساط الأكاديمية من خلال مشاركته في محاضرات منتظمة بجامعة سنغافورة الوطنية (</w:t>
      </w:r>
      <w:r w:rsidRPr="002502E6">
        <w:rPr>
          <w:rFonts w:ascii="Arabic Typesetting" w:hAnsi="Arabic Typesetting" w:cs="Arabic Typesetting"/>
          <w:sz w:val="34"/>
          <w:szCs w:val="34"/>
        </w:rPr>
        <w:t>NUS</w:t>
      </w:r>
      <w:r w:rsidRPr="002502E6">
        <w:rPr>
          <w:rFonts w:ascii="Arabic Typesetting" w:hAnsi="Arabic Typesetting" w:cs="Arabic Typesetting"/>
          <w:sz w:val="34"/>
          <w:szCs w:val="34"/>
          <w:rtl/>
        </w:rPr>
        <w:t>)، وجامعة سنغافورة للإدارة (</w:t>
      </w:r>
      <w:r w:rsidRPr="002502E6">
        <w:rPr>
          <w:rFonts w:ascii="Arabic Typesetting" w:hAnsi="Arabic Typesetting" w:cs="Arabic Typesetting"/>
          <w:sz w:val="34"/>
          <w:szCs w:val="34"/>
        </w:rPr>
        <w:t>SMU</w:t>
      </w:r>
      <w:r w:rsidRPr="002502E6">
        <w:rPr>
          <w:rFonts w:ascii="Arabic Typesetting" w:hAnsi="Arabic Typesetting" w:cs="Arabic Typesetting"/>
          <w:sz w:val="34"/>
          <w:szCs w:val="34"/>
          <w:rtl/>
        </w:rPr>
        <w:t xml:space="preserve">)، وحرم كلية </w:t>
      </w:r>
      <w:proofErr w:type="spellStart"/>
      <w:r w:rsidRPr="002502E6">
        <w:rPr>
          <w:rFonts w:ascii="Arabic Typesetting" w:hAnsi="Arabic Typesetting" w:cs="Arabic Typesetting"/>
          <w:sz w:val="34"/>
          <w:szCs w:val="34"/>
        </w:rPr>
        <w:t>Assas</w:t>
      </w:r>
      <w:proofErr w:type="spellEnd"/>
      <w:r w:rsidRPr="002502E6">
        <w:rPr>
          <w:rFonts w:ascii="Arabic Typesetting" w:hAnsi="Arabic Typesetting" w:cs="Arabic Typesetting"/>
          <w:sz w:val="34"/>
          <w:szCs w:val="34"/>
        </w:rPr>
        <w:t>-Sorbonne</w:t>
      </w:r>
      <w:r w:rsidRPr="002502E6">
        <w:rPr>
          <w:rFonts w:ascii="Arabic Typesetting" w:hAnsi="Arabic Typesetting" w:cs="Arabic Typesetting"/>
          <w:sz w:val="34"/>
          <w:szCs w:val="34"/>
          <w:rtl/>
        </w:rPr>
        <w:t xml:space="preserve"> في المعهد الأوروبي لإدارة الأعمال (</w:t>
      </w:r>
      <w:r w:rsidRPr="002502E6">
        <w:rPr>
          <w:rFonts w:ascii="Arabic Typesetting" w:hAnsi="Arabic Typesetting" w:cs="Arabic Typesetting"/>
          <w:sz w:val="34"/>
          <w:szCs w:val="34"/>
        </w:rPr>
        <w:t>INSEAD</w:t>
      </w:r>
      <w:r w:rsidRPr="002502E6">
        <w:rPr>
          <w:rFonts w:ascii="Arabic Typesetting" w:hAnsi="Arabic Typesetting" w:cs="Arabic Typesetting"/>
          <w:sz w:val="34"/>
          <w:szCs w:val="34"/>
          <w:rtl/>
        </w:rPr>
        <w:t>) في سنغافورة. ومشاركة المكتب في مدارس الويبو الصيفية في سنغافورة وجمهورية كوريا والهند، فضلاً عن المشاركة في برنامج ماجستير القانون في أستراليا والمناقشات المتعلقة بجمعيات التحصيل في اليابان، أدت أيضاً إلى توسيع النطاق الجغرافي لأنشطته.</w:t>
      </w:r>
    </w:p>
    <w:p w:rsidR="002502E6"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sidRPr="002502E6">
        <w:rPr>
          <w:rFonts w:ascii="Arabic Typesetting" w:hAnsi="Arabic Typesetting" w:cs="Arabic Typesetting"/>
          <w:sz w:val="34"/>
          <w:szCs w:val="34"/>
          <w:rtl/>
        </w:rPr>
        <w:t>وفي عام 2015، أُدمج المكتب في بيئة تكنولوجيا المعلومات الأوسع الخاصة بالويبو في إطار البنية العالمية للمكاتب، مما أتاح للموظفين إمكانية النفاذ الآمن إلى المجموعة الكاملة من أنظمة الويبو المعلوماتية الإدارية التي يستضيفها المقر الرئيسي، وعزَّز بشكل كبير القدرة على إقامة مؤتمرات الفيديو. وقد أحدثت هذه القدرة، إلى جانب نظام الملكية الفكرية الهاتفي الذي نُفِّذ في المكتب في عام 2014، تحسيناً كبيراً في الاتصال بين المقر الرئيسي والمكتب. وواصل المكتب أداء دور مهم في ضمان خدمة عملاء الويبو على مدار الساعة.</w:t>
      </w:r>
    </w:p>
    <w:p w:rsidR="002502E6" w:rsidRDefault="002502E6" w:rsidP="002502E6">
      <w:pPr>
        <w:keepNext/>
        <w:bidi/>
        <w:spacing w:after="120" w:line="340" w:lineRule="exact"/>
        <w:jc w:val="both"/>
        <w:rPr>
          <w:rFonts w:ascii="Arabic Typesetting" w:hAnsi="Arabic Typesetting" w:cs="Arabic Typesetting"/>
          <w:sz w:val="40"/>
          <w:szCs w:val="40"/>
        </w:rPr>
      </w:pPr>
      <w:r>
        <w:rPr>
          <w:rFonts w:ascii="Arabic Typesetting" w:hAnsi="Arabic Typesetting" w:cs="Arabic Typesetting"/>
          <w:sz w:val="38"/>
          <w:szCs w:val="38"/>
          <w:rtl/>
        </w:rPr>
        <w:lastRenderedPageBreak/>
        <w:t>بيانات الأداء</w:t>
      </w:r>
      <w:r w:rsidRPr="00161D28">
        <w:rPr>
          <w:rStyle w:val="FootnoteReference"/>
          <w:rFonts w:ascii="Arabic Typesetting" w:hAnsi="Arabic Typesetting" w:cs="Arabic Typesetting"/>
          <w:sz w:val="28"/>
          <w:szCs w:val="28"/>
          <w:rtl/>
        </w:rPr>
        <w:footnoteReference w:id="108"/>
      </w:r>
    </w:p>
    <w:tbl>
      <w:tblPr>
        <w:tblStyle w:val="TableGrid"/>
        <w:bidiVisual/>
        <w:tblW w:w="0" w:type="auto"/>
        <w:tblInd w:w="-105" w:type="dxa"/>
        <w:tblLayout w:type="fixed"/>
        <w:tblCellMar>
          <w:left w:w="115" w:type="dxa"/>
          <w:right w:w="115" w:type="dxa"/>
        </w:tblCellMar>
        <w:tblLook w:val="04A0" w:firstRow="1" w:lastRow="0" w:firstColumn="1" w:lastColumn="0" w:noHBand="0" w:noVBand="1"/>
      </w:tblPr>
      <w:tblGrid>
        <w:gridCol w:w="1653"/>
        <w:gridCol w:w="2307"/>
        <w:gridCol w:w="1710"/>
        <w:gridCol w:w="450"/>
        <w:gridCol w:w="2537"/>
        <w:gridCol w:w="793"/>
      </w:tblGrid>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pPr>
              <w:keepNext/>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b/>
                <w:bCs/>
                <w:sz w:val="28"/>
                <w:szCs w:val="28"/>
                <w:rtl/>
                <w:lang w:bidi="ar-EG"/>
              </w:rPr>
              <w:t>النتيجة المرتقبة:</w:t>
            </w:r>
            <w:r>
              <w:rPr>
                <w:rFonts w:ascii="Arabic Typesetting" w:hAnsi="Arabic Typesetting" w:cs="Arabic Typesetting"/>
                <w:sz w:val="28"/>
                <w:szCs w:val="28"/>
                <w:rtl/>
                <w:lang w:bidi="ar-EG"/>
              </w:rPr>
              <w:tab/>
              <w:t xml:space="preserve">ھ1.2 </w:t>
            </w:r>
            <w:r w:rsidR="00161D28">
              <w:rPr>
                <w:rFonts w:ascii="Arabic Typesetting" w:hAnsi="Arabic Typesetting" w:cs="Arabic Typesetting"/>
                <w:sz w:val="28"/>
                <w:szCs w:val="28"/>
                <w:rtl/>
                <w:lang w:bidi="ar-EG"/>
              </w:rPr>
              <w:t>انتفاع متزايد بنظام معاهدة التعاون بشأن البراءات كسبيل للإيداع الدولي لطلبات البراءات</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r w:rsidRPr="00161D28">
              <w:rPr>
                <w:rStyle w:val="FootnoteReference"/>
                <w:rFonts w:ascii="Arabic Typesetting" w:hAnsi="Arabic Typesetting" w:cs="Arabic Typesetting"/>
                <w:b/>
                <w:bCs/>
                <w:sz w:val="28"/>
                <w:szCs w:val="28"/>
                <w:rtl/>
                <w:lang w:bidi="ar-EG"/>
              </w:rPr>
              <w:footnoteReference w:id="109"/>
            </w:r>
          </w:p>
        </w:tc>
        <w:tc>
          <w:tcPr>
            <w:tcW w:w="793" w:type="dxa"/>
            <w:tcBorders>
              <w:top w:val="single" w:sz="4" w:space="0" w:color="auto"/>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النسبة المئوية لإيداعات نظام معاهدة التعاون بشأن البراءات</w:t>
            </w:r>
            <w:r w:rsidRPr="00161D28">
              <w:rPr>
                <w:rStyle w:val="FootnoteReference"/>
                <w:rFonts w:ascii="Arabic Typesetting" w:hAnsi="Arabic Typesetting" w:cs="Arabic Typesetting"/>
                <w:sz w:val="28"/>
                <w:szCs w:val="28"/>
                <w:rtl/>
                <w:lang w:bidi="ar-EG"/>
              </w:rPr>
              <w:footnoteReference w:id="110"/>
            </w:r>
          </w:p>
        </w:tc>
        <w:tc>
          <w:tcPr>
            <w:tcW w:w="2307" w:type="dxa"/>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أساس المقارنة المُحدَّث في نهاية 2013:</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2012: 588</w:t>
            </w:r>
          </w:p>
          <w:p w:rsidR="002502E6" w:rsidRDefault="002502E6">
            <w:pPr>
              <w:bidi/>
              <w:spacing w:before="60" w:after="60" w:line="280" w:lineRule="exact"/>
              <w:rPr>
                <w:rFonts w:ascii="Arabic Typesetting" w:hAnsi="Arabic Typesetting" w:cs="Arabic Typesetting"/>
                <w:i/>
                <w:color w:val="002060"/>
                <w:sz w:val="28"/>
                <w:szCs w:val="28"/>
              </w:rPr>
            </w:pPr>
            <w:r>
              <w:rPr>
                <w:rFonts w:ascii="Arabic Typesetting" w:hAnsi="Arabic Typesetting" w:cs="Arabic Typesetting"/>
                <w:i/>
                <w:color w:val="002060"/>
                <w:sz w:val="28"/>
                <w:szCs w:val="28"/>
                <w:rtl/>
              </w:rPr>
              <w:t>2013: 657 (مكتب البرازيل)</w:t>
            </w:r>
          </w:p>
          <w:p w:rsidR="002502E6" w:rsidRDefault="002502E6">
            <w:pPr>
              <w:bidi/>
              <w:spacing w:before="60" w:after="60" w:line="280" w:lineRule="exact"/>
              <w:rPr>
                <w:rFonts w:ascii="Arabic Typesetting" w:hAnsi="Arabic Typesetting" w:cs="Arabic Typesetting"/>
                <w:i/>
                <w:color w:val="002060"/>
                <w:sz w:val="28"/>
                <w:szCs w:val="28"/>
              </w:rPr>
            </w:pPr>
            <w:r>
              <w:rPr>
                <w:rFonts w:ascii="Arabic Typesetting" w:hAnsi="Arabic Typesetting" w:cs="Arabic Typesetting"/>
                <w:i/>
                <w:color w:val="002060"/>
                <w:sz w:val="28"/>
                <w:szCs w:val="28"/>
                <w:rtl/>
              </w:rPr>
              <w:t>2012: 523 43</w:t>
            </w:r>
          </w:p>
          <w:p w:rsidR="002502E6" w:rsidRDefault="002502E6">
            <w:pPr>
              <w:bidi/>
              <w:spacing w:before="60" w:after="60" w:line="280" w:lineRule="exact"/>
              <w:rPr>
                <w:rFonts w:ascii="Arabic Typesetting" w:hAnsi="Arabic Typesetting" w:cs="Arabic Typesetting"/>
                <w:i/>
                <w:color w:val="002060"/>
                <w:sz w:val="28"/>
                <w:szCs w:val="28"/>
              </w:rPr>
            </w:pPr>
            <w:r>
              <w:rPr>
                <w:rFonts w:ascii="Arabic Typesetting" w:hAnsi="Arabic Typesetting" w:cs="Arabic Typesetting"/>
                <w:i/>
                <w:color w:val="002060"/>
                <w:sz w:val="28"/>
                <w:szCs w:val="28"/>
                <w:rtl/>
              </w:rPr>
              <w:t>2013: 771 43 (مكتب اليابان)</w:t>
            </w:r>
          </w:p>
          <w:p w:rsidR="002502E6" w:rsidRDefault="002502E6">
            <w:pPr>
              <w:bidi/>
              <w:spacing w:before="60" w:after="60" w:line="280" w:lineRule="exact"/>
              <w:rPr>
                <w:rFonts w:ascii="Arabic Typesetting" w:hAnsi="Arabic Typesetting" w:cs="Arabic Typesetting"/>
                <w:i/>
                <w:color w:val="002060"/>
                <w:sz w:val="28"/>
                <w:szCs w:val="28"/>
                <w:lang w:bidi="ar-EG"/>
              </w:rPr>
            </w:pPr>
            <w:r>
              <w:rPr>
                <w:rFonts w:ascii="Arabic Typesetting" w:hAnsi="Arabic Typesetting" w:cs="Arabic Typesetting"/>
                <w:i/>
                <w:color w:val="002060"/>
                <w:sz w:val="28"/>
                <w:szCs w:val="28"/>
                <w:rtl/>
              </w:rPr>
              <w:t>2012: 124 1</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i/>
                <w:color w:val="002060"/>
                <w:sz w:val="28"/>
                <w:szCs w:val="28"/>
                <w:rtl/>
              </w:rPr>
              <w:t>2013: 282 1 (مكتب سنغافورة)</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
                <w:iCs/>
                <w:sz w:val="28"/>
                <w:szCs w:val="28"/>
                <w:rtl/>
                <w:lang w:bidi="ar-EG"/>
              </w:rPr>
              <w:t>أساس المقارنة الأصلي في البرنامج والميزانية 2014/15:</w:t>
            </w:r>
            <w:r>
              <w:rPr>
                <w:rFonts w:ascii="Arabic Typesetting" w:hAnsi="Arabic Typesetting" w:cs="Arabic Typesetting"/>
                <w:sz w:val="28"/>
                <w:szCs w:val="28"/>
                <w:rtl/>
                <w:lang w:bidi="ar-EG"/>
              </w:rPr>
              <w:t xml:space="preserve"> 519 في عام 2011 (مكتب البرازيل) يُحدَّد لاحقاً (مكتب اليابان) يُحدَّد لاحقاً (مكتب سنغافورة)</w:t>
            </w:r>
          </w:p>
        </w:tc>
        <w:tc>
          <w:tcPr>
            <w:tcW w:w="2160" w:type="dxa"/>
            <w:gridSpan w:val="2"/>
            <w:tcBorders>
              <w:top w:val="nil"/>
              <w:left w:val="nil"/>
              <w:bottom w:val="nil"/>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15% زيادة (مكتب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1% زيادة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5% زيادة (مكتب سنغافورة)</w:t>
            </w:r>
          </w:p>
        </w:tc>
        <w:tc>
          <w:tcPr>
            <w:tcW w:w="2537" w:type="dxa"/>
            <w:tcBorders>
              <w:top w:val="nil"/>
              <w:left w:val="nil"/>
              <w:bottom w:val="nil"/>
              <w:right w:val="nil"/>
            </w:tcBorders>
          </w:tcPr>
          <w:p w:rsidR="002502E6" w:rsidRDefault="002502E6">
            <w:pPr>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2014/15: 128 1 (-9%)</w:t>
            </w:r>
          </w:p>
          <w:p w:rsidR="002502E6" w:rsidRDefault="002502E6" w:rsidP="000B5473">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- 2014: 580 (-12%)</w:t>
            </w:r>
          </w:p>
          <w:p w:rsidR="002502E6" w:rsidRDefault="002502E6" w:rsidP="000B5473">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- 2015: 547 (-6%)</w:t>
            </w: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البرازيل)</w:t>
            </w:r>
          </w:p>
          <w:p w:rsidR="002502E6" w:rsidRDefault="002502E6">
            <w:pPr>
              <w:bidi/>
              <w:spacing w:before="60" w:after="60" w:line="280" w:lineRule="exact"/>
              <w:jc w:val="both"/>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2014/15: 616 86 (-1%)</w:t>
            </w: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2014: 381 42 (-3%)</w:t>
            </w: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2015: 235 44 (+4%)</w:t>
            </w: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اليابان)</w:t>
            </w:r>
          </w:p>
          <w:p w:rsidR="002502E6" w:rsidRDefault="002502E6">
            <w:pPr>
              <w:bidi/>
              <w:spacing w:before="60" w:after="60" w:line="280" w:lineRule="exact"/>
              <w:jc w:val="both"/>
              <w:rPr>
                <w:rFonts w:ascii="Arabic Typesetting" w:hAnsi="Arabic Typesetting" w:cs="Arabic Typesetting"/>
                <w:sz w:val="28"/>
                <w:szCs w:val="28"/>
                <w:lang w:bidi="ar-EG"/>
              </w:rPr>
            </w:pP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2014/15: 809 2 (+17%)</w:t>
            </w: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2014: 394 1 (+9%)</w:t>
            </w:r>
          </w:p>
          <w:p w:rsidR="002502E6" w:rsidRDefault="002502E6" w:rsidP="000B5473">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2015: 415 1 (+2%)</w:t>
            </w: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سنغافورة)</w:t>
            </w:r>
          </w:p>
        </w:tc>
        <w:tc>
          <w:tcPr>
            <w:tcW w:w="793" w:type="dxa"/>
            <w:tcBorders>
              <w:top w:val="nil"/>
              <w:left w:val="nil"/>
              <w:bottom w:val="nil"/>
              <w:right w:val="single" w:sz="4" w:space="0" w:color="auto"/>
            </w:tcBorders>
          </w:tcPr>
          <w:p w:rsidR="002502E6" w:rsidRDefault="002502E6">
            <w:pPr>
              <w:bidi/>
              <w:spacing w:before="60" w:after="60" w:line="280" w:lineRule="exact"/>
              <w:jc w:val="both"/>
              <w:rPr>
                <w:rFonts w:ascii="Arabic Typesetting" w:hAnsi="Arabic Typesetting" w:cs="Arabic Typesetting"/>
                <w:bCs/>
                <w:color w:val="FF0000"/>
                <w:sz w:val="28"/>
                <w:szCs w:val="28"/>
                <w:rtl/>
                <w:lang w:bidi="ar-EG"/>
              </w:rPr>
            </w:pPr>
            <w:r>
              <w:rPr>
                <w:rFonts w:ascii="Arabic Typesetting" w:hAnsi="Arabic Typesetting" w:cs="Arabic Typesetting"/>
                <w:bCs/>
                <w:color w:val="FF0000"/>
                <w:sz w:val="28"/>
                <w:szCs w:val="28"/>
                <w:rtl/>
                <w:lang w:bidi="ar-EG"/>
              </w:rPr>
              <w:t>غير محقق</w:t>
            </w: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bCs/>
                <w:color w:val="FF0000"/>
                <w:sz w:val="28"/>
                <w:szCs w:val="28"/>
                <w:rtl/>
                <w:lang w:bidi="ar-EG"/>
              </w:rPr>
              <w:t>غير محقق</w:t>
            </w: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النسبة المئوية لواضعي السياسات والمسؤولين الحكوميين وممارسي الملكية الفكرية والمشاركين في حلقات العمل المستهدفة، الذين يتمتعون بفهم معزز لمعاهدة التعاون بشأن البراءات والموضوعات ذات الصلة</w:t>
            </w:r>
          </w:p>
        </w:tc>
        <w:tc>
          <w:tcPr>
            <w:tcW w:w="2307" w:type="dxa"/>
            <w:tcBorders>
              <w:top w:val="nil"/>
              <w:left w:val="nil"/>
              <w:bottom w:val="single" w:sz="4" w:space="0" w:color="auto"/>
              <w:right w:val="nil"/>
            </w:tcBorders>
          </w:tcPr>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لا ينطبق (مكتب البرازيل)</w:t>
            </w: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اليابان)</w:t>
            </w: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سنغافورة)</w:t>
            </w:r>
          </w:p>
        </w:tc>
        <w:tc>
          <w:tcPr>
            <w:tcW w:w="2160" w:type="dxa"/>
            <w:gridSpan w:val="2"/>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75% (مكتب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75%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75% (مكتب سنغافورة)</w:t>
            </w:r>
          </w:p>
        </w:tc>
        <w:tc>
          <w:tcPr>
            <w:tcW w:w="2537" w:type="dxa"/>
            <w:tcBorders>
              <w:top w:val="nil"/>
              <w:left w:val="nil"/>
              <w:bottom w:val="single" w:sz="4" w:space="0" w:color="auto"/>
              <w:right w:val="nil"/>
            </w:tcBorders>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26"/>
              <w:gridCol w:w="765"/>
              <w:gridCol w:w="765"/>
            </w:tblGrid>
            <w:tr w:rsidR="002502E6" w:rsidTr="00161D28">
              <w:tc>
                <w:tcPr>
                  <w:tcW w:w="826" w:type="dxa"/>
                </w:tcPr>
                <w:p w:rsidR="002502E6" w:rsidRDefault="002502E6">
                  <w:pPr>
                    <w:bidi/>
                    <w:spacing w:before="60" w:after="60" w:line="280" w:lineRule="exact"/>
                    <w:jc w:val="both"/>
                    <w:rPr>
                      <w:rFonts w:ascii="Arabic Typesetting" w:hAnsi="Arabic Typesetting" w:cs="Arabic Typesetting"/>
                      <w:sz w:val="28"/>
                      <w:szCs w:val="28"/>
                      <w:lang w:bidi="ar-EG"/>
                    </w:rPr>
                  </w:pPr>
                </w:p>
              </w:tc>
              <w:tc>
                <w:tcPr>
                  <w:tcW w:w="765" w:type="dxa"/>
                  <w:hideMark/>
                </w:tcPr>
                <w:p w:rsidR="002502E6" w:rsidRDefault="002502E6">
                  <w:pPr>
                    <w:bidi/>
                    <w:spacing w:before="60" w:after="60" w:line="280" w:lineRule="exac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2014</w:t>
                  </w:r>
                </w:p>
              </w:tc>
              <w:tc>
                <w:tcPr>
                  <w:tcW w:w="765" w:type="dxa"/>
                  <w:hideMark/>
                </w:tcPr>
                <w:p w:rsidR="002502E6" w:rsidRDefault="002502E6">
                  <w:pPr>
                    <w:bidi/>
                    <w:spacing w:before="60" w:after="60" w:line="280" w:lineRule="exac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2015</w:t>
                  </w:r>
                </w:p>
              </w:tc>
            </w:tr>
            <w:tr w:rsidR="002502E6" w:rsidTr="00161D28">
              <w:tc>
                <w:tcPr>
                  <w:tcW w:w="826" w:type="dxa"/>
                  <w:hideMark/>
                </w:tcPr>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البرازيل</w:t>
                  </w:r>
                </w:p>
              </w:tc>
              <w:tc>
                <w:tcPr>
                  <w:tcW w:w="765" w:type="dxa"/>
                  <w:hideMark/>
                </w:tcPr>
                <w:p w:rsidR="002502E6" w:rsidRDefault="002502E6">
                  <w:pPr>
                    <w:bidi/>
                    <w:spacing w:before="60" w:after="60" w:line="280" w:lineRule="exac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80%</w:t>
                  </w:r>
                </w:p>
              </w:tc>
              <w:tc>
                <w:tcPr>
                  <w:tcW w:w="765" w:type="dxa"/>
                  <w:hideMark/>
                </w:tcPr>
                <w:p w:rsidR="002502E6" w:rsidRDefault="002502E6">
                  <w:pPr>
                    <w:bidi/>
                    <w:spacing w:before="60" w:after="60" w:line="280" w:lineRule="exac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75%</w:t>
                  </w:r>
                </w:p>
              </w:tc>
            </w:tr>
            <w:tr w:rsidR="002502E6" w:rsidTr="00161D28">
              <w:tc>
                <w:tcPr>
                  <w:tcW w:w="826" w:type="dxa"/>
                  <w:hideMark/>
                </w:tcPr>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اليابان</w:t>
                  </w:r>
                </w:p>
              </w:tc>
              <w:tc>
                <w:tcPr>
                  <w:tcW w:w="765" w:type="dxa"/>
                  <w:hideMark/>
                </w:tcPr>
                <w:p w:rsidR="002502E6" w:rsidRDefault="002502E6">
                  <w:pPr>
                    <w:bidi/>
                    <w:spacing w:before="60" w:after="60" w:line="280" w:lineRule="exac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94%</w:t>
                  </w:r>
                </w:p>
              </w:tc>
              <w:tc>
                <w:tcPr>
                  <w:tcW w:w="765" w:type="dxa"/>
                  <w:hideMark/>
                </w:tcPr>
                <w:p w:rsidR="002502E6" w:rsidRDefault="002502E6">
                  <w:pPr>
                    <w:bidi/>
                    <w:spacing w:before="60" w:after="60" w:line="280" w:lineRule="exac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91%</w:t>
                  </w:r>
                </w:p>
              </w:tc>
            </w:tr>
            <w:tr w:rsidR="002502E6" w:rsidTr="00161D28">
              <w:tc>
                <w:tcPr>
                  <w:tcW w:w="826" w:type="dxa"/>
                  <w:hideMark/>
                </w:tcPr>
                <w:p w:rsidR="002502E6" w:rsidRDefault="002502E6" w:rsidP="00161D28">
                  <w:pPr>
                    <w:bidi/>
                    <w:spacing w:before="60" w:after="60" w:line="280" w:lineRule="exact"/>
                    <w:jc w:val="both"/>
                    <w:rPr>
                      <w:rFonts w:ascii="Arabic Typesetting" w:hAnsi="Arabic Typesetting" w:cs="Arabic Typesetting"/>
                      <w:sz w:val="28"/>
                      <w:szCs w:val="28"/>
                    </w:rPr>
                  </w:pPr>
                  <w:r>
                    <w:rPr>
                      <w:rFonts w:ascii="Arabic Typesetting" w:hAnsi="Arabic Typesetting" w:cs="Arabic Typesetting"/>
                      <w:sz w:val="28"/>
                      <w:szCs w:val="28"/>
                      <w:rtl/>
                      <w:lang w:bidi="ar-EG"/>
                    </w:rPr>
                    <w:t xml:space="preserve">مكتب </w:t>
                  </w:r>
                  <w:proofErr w:type="spellStart"/>
                  <w:r>
                    <w:rPr>
                      <w:rFonts w:ascii="Arabic Typesetting" w:hAnsi="Arabic Typesetting" w:cs="Arabic Typesetting"/>
                      <w:sz w:val="28"/>
                      <w:szCs w:val="28"/>
                      <w:rtl/>
                      <w:lang w:bidi="ar-EG"/>
                    </w:rPr>
                    <w:t>سنغافور</w:t>
                  </w:r>
                  <w:proofErr w:type="spellEnd"/>
                  <w:r w:rsidR="00161D28">
                    <w:rPr>
                      <w:rFonts w:ascii="Arabic Typesetting" w:hAnsi="Arabic Typesetting" w:cs="Arabic Typesetting" w:hint="cs"/>
                      <w:sz w:val="28"/>
                      <w:szCs w:val="28"/>
                      <w:rtl/>
                    </w:rPr>
                    <w:t>ة</w:t>
                  </w:r>
                </w:p>
              </w:tc>
              <w:tc>
                <w:tcPr>
                  <w:tcW w:w="765" w:type="dxa"/>
                  <w:hideMark/>
                </w:tcPr>
                <w:p w:rsidR="002502E6" w:rsidRDefault="002502E6">
                  <w:pPr>
                    <w:bidi/>
                    <w:spacing w:before="60" w:after="60" w:line="280" w:lineRule="exac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93%</w:t>
                  </w:r>
                </w:p>
              </w:tc>
              <w:tc>
                <w:tcPr>
                  <w:tcW w:w="765" w:type="dxa"/>
                  <w:hideMark/>
                </w:tcPr>
                <w:p w:rsidR="002502E6" w:rsidRDefault="002502E6">
                  <w:pPr>
                    <w:bidi/>
                    <w:spacing w:before="60" w:after="60" w:line="280" w:lineRule="exac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95%</w:t>
                  </w:r>
                </w:p>
              </w:tc>
            </w:tr>
          </w:tbl>
          <w:p w:rsidR="002502E6" w:rsidRDefault="002502E6">
            <w:pPr>
              <w:bidi/>
              <w:spacing w:before="60" w:after="60" w:line="280" w:lineRule="exact"/>
              <w:jc w:val="both"/>
              <w:rPr>
                <w:rFonts w:ascii="Arabic Typesetting" w:hAnsi="Arabic Typesetting" w:cs="Arabic Typesetting"/>
                <w:sz w:val="28"/>
                <w:szCs w:val="28"/>
                <w:lang w:bidi="ar-EG"/>
              </w:rPr>
            </w:pPr>
          </w:p>
        </w:tc>
        <w:tc>
          <w:tcPr>
            <w:tcW w:w="793" w:type="dxa"/>
            <w:tcBorders>
              <w:top w:val="nil"/>
              <w:left w:val="nil"/>
              <w:bottom w:val="single" w:sz="4" w:space="0" w:color="auto"/>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rsidP="00161D28">
            <w:pPr>
              <w:keepNext/>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b/>
                <w:bCs/>
                <w:sz w:val="28"/>
                <w:szCs w:val="28"/>
                <w:rtl/>
                <w:lang w:bidi="ar-EG"/>
              </w:rPr>
              <w:lastRenderedPageBreak/>
              <w:t>النتيجة المرتقبة:</w:t>
            </w:r>
            <w:r>
              <w:rPr>
                <w:rFonts w:ascii="Arabic Typesetting" w:hAnsi="Arabic Typesetting" w:cs="Arabic Typesetting"/>
                <w:sz w:val="28"/>
                <w:szCs w:val="28"/>
                <w:rtl/>
                <w:lang w:bidi="ar-EG"/>
              </w:rPr>
              <w:tab/>
              <w:t xml:space="preserve">ھ4.2 </w:t>
            </w:r>
            <w:r w:rsidR="000E3DA7">
              <w:rPr>
                <w:rFonts w:ascii="Arabic Typesetting" w:hAnsi="Arabic Typesetting" w:cs="Arabic Typesetting"/>
                <w:sz w:val="28"/>
                <w:szCs w:val="28"/>
                <w:rtl/>
                <w:lang w:bidi="ar-EG"/>
              </w:rPr>
              <w:t>الانتفاع بنظام لاهاي على نطاق أوسع ونحو أفضل، بما في ذلك من جهة البلدان النامية والبلدان الأقل نموا</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rsidP="00161D28">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rsidP="00161D28">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nil"/>
              <w:right w:val="nil"/>
            </w:tcBorders>
            <w:hideMark/>
          </w:tcPr>
          <w:p w:rsidR="002502E6" w:rsidRDefault="002502E6" w:rsidP="00161D28">
            <w:pPr>
              <w:keepNext/>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عدد البلدان التي صاغت سياسات عامة توضح ملامح انضمامها إلى اتفاق لاهاي أو بدأت العمل على ذلك</w:t>
            </w:r>
          </w:p>
        </w:tc>
        <w:tc>
          <w:tcPr>
            <w:tcW w:w="2307" w:type="dxa"/>
            <w:tcBorders>
              <w:top w:val="nil"/>
              <w:left w:val="nil"/>
              <w:bottom w:val="nil"/>
              <w:right w:val="nil"/>
            </w:tcBorders>
          </w:tcPr>
          <w:p w:rsidR="002502E6" w:rsidRDefault="00161D28" w:rsidP="00161D28">
            <w:pPr>
              <w:keepNext/>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سنغافورة)</w:t>
            </w:r>
          </w:p>
        </w:tc>
        <w:tc>
          <w:tcPr>
            <w:tcW w:w="2160" w:type="dxa"/>
            <w:gridSpan w:val="2"/>
            <w:tcBorders>
              <w:top w:val="nil"/>
              <w:left w:val="nil"/>
              <w:bottom w:val="nil"/>
              <w:right w:val="nil"/>
            </w:tcBorders>
          </w:tcPr>
          <w:p w:rsidR="002502E6" w:rsidRDefault="002502E6" w:rsidP="00161D28">
            <w:pPr>
              <w:keepNext/>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7 دول أعضاء في رابطة أمم جنوب شرق آسيا (مكتب سنغافورة)</w:t>
            </w:r>
          </w:p>
        </w:tc>
        <w:tc>
          <w:tcPr>
            <w:tcW w:w="2537" w:type="dxa"/>
            <w:tcBorders>
              <w:top w:val="nil"/>
              <w:left w:val="nil"/>
              <w:bottom w:val="nil"/>
              <w:right w:val="nil"/>
            </w:tcBorders>
            <w:hideMark/>
          </w:tcPr>
          <w:p w:rsidR="002502E6" w:rsidRDefault="002502E6" w:rsidP="00161D28">
            <w:pPr>
              <w:keepNext/>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7 دول أعضاء في رابطة أمم جنوب شرق آسيا (كمبوديا، وإندونيسيا، وجمهورية لاو الديمقراطية الشعبية، وماليزيا، والفلبين، وتايلند، </w:t>
            </w:r>
            <w:proofErr w:type="spellStart"/>
            <w:r>
              <w:rPr>
                <w:rFonts w:ascii="Arabic Typesetting" w:hAnsi="Arabic Typesetting" w:cs="Arabic Typesetting"/>
                <w:sz w:val="28"/>
                <w:szCs w:val="28"/>
                <w:rtl/>
                <w:lang w:bidi="ar-EG"/>
              </w:rPr>
              <w:t>وفييت</w:t>
            </w:r>
            <w:proofErr w:type="spellEnd"/>
            <w:r>
              <w:rPr>
                <w:rFonts w:ascii="Arabic Typesetting" w:hAnsi="Arabic Typesetting" w:cs="Arabic Typesetting"/>
                <w:sz w:val="28"/>
                <w:szCs w:val="28"/>
                <w:rtl/>
                <w:lang w:bidi="ar-EG"/>
              </w:rPr>
              <w:t xml:space="preserve"> نام)</w:t>
            </w:r>
          </w:p>
        </w:tc>
        <w:tc>
          <w:tcPr>
            <w:tcW w:w="793" w:type="dxa"/>
            <w:tcBorders>
              <w:top w:val="nil"/>
              <w:left w:val="nil"/>
              <w:bottom w:val="nil"/>
              <w:right w:val="single" w:sz="4" w:space="0" w:color="auto"/>
            </w:tcBorders>
          </w:tcPr>
          <w:p w:rsidR="002502E6" w:rsidRDefault="002502E6" w:rsidP="00161D28">
            <w:pPr>
              <w:keepNext/>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rsidP="00161D28">
            <w:pPr>
              <w:keepNext/>
              <w:bidi/>
              <w:spacing w:before="60" w:after="60" w:line="280" w:lineRule="exact"/>
              <w:jc w:val="both"/>
              <w:rPr>
                <w:rFonts w:ascii="Arabic Typesetting" w:hAnsi="Arabic Typesetting" w:cs="Arabic Typesetting"/>
                <w:sz w:val="28"/>
                <w:szCs w:val="28"/>
                <w:lang w:bidi="ar-EG"/>
              </w:rPr>
            </w:pPr>
          </w:p>
        </w:tc>
      </w:tr>
      <w:tr w:rsidR="002502E6" w:rsidTr="00161D28">
        <w:trPr>
          <w:cantSplit/>
        </w:trPr>
        <w:tc>
          <w:tcPr>
            <w:tcW w:w="1653" w:type="dxa"/>
            <w:tcBorders>
              <w:top w:val="nil"/>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النسبة المئوية لواضعي السياسات والمسؤولين الحكوميين وممارسي الملكية الفكرية والمشاركين في حلقات العمل المستهدفة، الذين يتمتعون بفهم معزز لنظام لاهاي</w:t>
            </w:r>
          </w:p>
        </w:tc>
        <w:tc>
          <w:tcPr>
            <w:tcW w:w="2307" w:type="dxa"/>
            <w:tcBorders>
              <w:top w:val="nil"/>
              <w:left w:val="nil"/>
              <w:bottom w:val="nil"/>
              <w:right w:val="nil"/>
            </w:tcBorders>
            <w:hideMark/>
          </w:tcPr>
          <w:p w:rsidR="002502E6" w:rsidRDefault="002502E6">
            <w:pPr>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لا ينطبق (مكتب البرازيل)</w:t>
            </w: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اليابان)</w:t>
            </w: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سنغافورة)</w:t>
            </w:r>
          </w:p>
        </w:tc>
        <w:tc>
          <w:tcPr>
            <w:tcW w:w="2160" w:type="dxa"/>
            <w:gridSpan w:val="2"/>
            <w:tcBorders>
              <w:top w:val="nil"/>
              <w:left w:val="nil"/>
              <w:bottom w:val="nil"/>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75% (مكتب البرازيل)</w:t>
            </w:r>
          </w:p>
          <w:p w:rsidR="002502E6" w:rsidRDefault="002502E6">
            <w:pPr>
              <w:bidi/>
              <w:spacing w:before="60" w:after="60" w:line="280" w:lineRule="exact"/>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75% (مكتب اليابان)</w:t>
            </w:r>
          </w:p>
          <w:p w:rsidR="002502E6" w:rsidRDefault="002502E6">
            <w:pPr>
              <w:bidi/>
              <w:spacing w:before="60" w:after="60" w:line="280" w:lineRule="exact"/>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75% (مكتب سنغافورة)</w:t>
            </w:r>
          </w:p>
        </w:tc>
        <w:tc>
          <w:tcPr>
            <w:tcW w:w="2537" w:type="dxa"/>
            <w:tcBorders>
              <w:top w:val="nil"/>
              <w:left w:val="nil"/>
              <w:bottom w:val="nil"/>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75% (مكتب البرازيل)</w:t>
            </w:r>
          </w:p>
          <w:p w:rsidR="002502E6" w:rsidRDefault="002502E6">
            <w:pPr>
              <w:bidi/>
              <w:spacing w:before="60" w:after="60" w:line="280" w:lineRule="exact"/>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94% (مكتب اليابان)</w:t>
            </w:r>
          </w:p>
          <w:p w:rsidR="002502E6" w:rsidRDefault="002502E6">
            <w:pPr>
              <w:bidi/>
              <w:spacing w:before="60" w:after="60" w:line="280" w:lineRule="exact"/>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85% (مكتب سنغافورة)</w:t>
            </w:r>
          </w:p>
        </w:tc>
        <w:tc>
          <w:tcPr>
            <w:tcW w:w="793" w:type="dxa"/>
            <w:tcBorders>
              <w:top w:val="nil"/>
              <w:left w:val="nil"/>
              <w:bottom w:val="nil"/>
              <w:right w:val="single" w:sz="4" w:space="0" w:color="auto"/>
            </w:tcBorders>
          </w:tcPr>
          <w:p w:rsidR="002502E6" w:rsidRDefault="002502E6">
            <w:pPr>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sz w:val="28"/>
                <w:szCs w:val="28"/>
                <w:rtl/>
                <w:lang w:bidi="ar-EG"/>
              </w:rPr>
            </w:pPr>
          </w:p>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عدد الأطراف المتعاقدة في نظام لاهاي في منطقة آسيا والمحيط الهادئ</w:t>
            </w:r>
          </w:p>
        </w:tc>
        <w:tc>
          <w:tcPr>
            <w:tcW w:w="230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Cs/>
                <w:color w:val="002060"/>
                <w:sz w:val="28"/>
                <w:szCs w:val="28"/>
                <w:rtl/>
              </w:rPr>
              <w:t xml:space="preserve">أساس المقارنة المُحدَّث في نهاية </w:t>
            </w:r>
            <w:r>
              <w:rPr>
                <w:rFonts w:ascii="Arabic Typesetting" w:hAnsi="Arabic Typesetting" w:cs="Arabic Typesetting"/>
                <w:i/>
                <w:color w:val="002060"/>
                <w:sz w:val="28"/>
                <w:szCs w:val="28"/>
                <w:rtl/>
              </w:rPr>
              <w:t>2013: اليابان ليست طرفاً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
                <w:color w:val="002060"/>
                <w:sz w:val="28"/>
                <w:szCs w:val="28"/>
                <w:rtl/>
              </w:rPr>
              <w:t>طرفان في منطقة رابطة أمم جنوب شرق آسيا (بروني دار السلام، وسنغافورة) (مكتب سنغافورة)</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i/>
                <w:iCs/>
                <w:sz w:val="28"/>
                <w:szCs w:val="28"/>
                <w:lang w:bidi="ar-EG"/>
              </w:rPr>
            </w:pPr>
            <w:r>
              <w:rPr>
                <w:rFonts w:ascii="Arabic Typesetting" w:hAnsi="Arabic Typesetting" w:cs="Arabic Typesetting"/>
                <w:i/>
                <w:iCs/>
                <w:sz w:val="28"/>
                <w:szCs w:val="28"/>
                <w:rtl/>
                <w:lang w:bidi="ar-EG"/>
              </w:rPr>
              <w:t>أساس المقارنة الأصلي في البرنامج والميزانية 2014/15:</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طرف واحد في منطقة رابطة أمم جنوب شرق آسيا (مكتب سنغافورة) اليابان ليست طرفاً</w:t>
            </w:r>
          </w:p>
        </w:tc>
        <w:tc>
          <w:tcPr>
            <w:tcW w:w="2160" w:type="dxa"/>
            <w:gridSpan w:val="2"/>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انضمام اليابان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7 في منطقة رابطة أمم جنوب شرق آسيا (مكتب سنغافورة)</w:t>
            </w:r>
          </w:p>
        </w:tc>
        <w:tc>
          <w:tcPr>
            <w:tcW w:w="2537" w:type="dxa"/>
            <w:tcBorders>
              <w:top w:val="nil"/>
              <w:left w:val="nil"/>
              <w:bottom w:val="single" w:sz="4" w:space="0" w:color="auto"/>
              <w:right w:val="nil"/>
            </w:tcBorders>
          </w:tcPr>
          <w:p w:rsidR="002502E6" w:rsidRDefault="002502E6" w:rsidP="00161D28">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انضمام اليابان في 2015 (مكتب</w:t>
            </w:r>
            <w:r w:rsidR="00161D28">
              <w:rPr>
                <w:rFonts w:ascii="Arabic Typesetting" w:hAnsi="Arabic Typesetting" w:cs="Arabic Typesetting" w:hint="cs"/>
                <w:sz w:val="28"/>
                <w:szCs w:val="28"/>
                <w:rtl/>
                <w:lang w:bidi="ar-EG"/>
              </w:rPr>
              <w:t> </w:t>
            </w:r>
            <w:r>
              <w:rPr>
                <w:rFonts w:ascii="Arabic Typesetting" w:hAnsi="Arabic Typesetting" w:cs="Arabic Typesetting"/>
                <w:sz w:val="28"/>
                <w:szCs w:val="28"/>
                <w:rtl/>
                <w:lang w:bidi="ar-EG"/>
              </w:rPr>
              <w:t>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ينضم إلى نظام لاهاي أي أطراف متعاقدة إضافية من منطقة رابطة أمم جنوب شرق آسيا (مكتب سنغافورة)</w:t>
            </w:r>
          </w:p>
        </w:tc>
        <w:tc>
          <w:tcPr>
            <w:tcW w:w="793" w:type="dxa"/>
            <w:tcBorders>
              <w:top w:val="nil"/>
              <w:left w:val="nil"/>
              <w:bottom w:val="single" w:sz="4" w:space="0" w:color="auto"/>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Cs/>
                <w:color w:val="FF0000"/>
                <w:sz w:val="28"/>
                <w:szCs w:val="28"/>
                <w:rtl/>
                <w:lang w:bidi="ar-EG"/>
              </w:rPr>
              <w:t>غير محقق</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pPr>
              <w:bidi/>
              <w:spacing w:before="60" w:after="60" w:line="280" w:lineRule="exact"/>
              <w:jc w:val="both"/>
              <w:rPr>
                <w:rFonts w:ascii="Arabic Typesetting" w:hAnsi="Arabic Typesetting" w:cs="Arabic Typesetting"/>
                <w:sz w:val="28"/>
                <w:szCs w:val="28"/>
                <w:lang w:bidi="ar-EG"/>
              </w:rPr>
            </w:pPr>
            <w:r>
              <w:rPr>
                <w:rFonts w:ascii="Arabic Typesetting" w:hAnsi="Arabic Typesetting" w:cs="Arabic Typesetting"/>
                <w:b/>
                <w:bCs/>
                <w:sz w:val="28"/>
                <w:szCs w:val="28"/>
                <w:rtl/>
                <w:lang w:bidi="ar-EG"/>
              </w:rPr>
              <w:t>النتيجة المرتقبة:</w:t>
            </w:r>
            <w:r>
              <w:rPr>
                <w:rFonts w:ascii="Arabic Typesetting" w:hAnsi="Arabic Typesetting" w:cs="Arabic Typesetting"/>
                <w:sz w:val="28"/>
                <w:szCs w:val="28"/>
                <w:rtl/>
                <w:lang w:bidi="ar-EG"/>
              </w:rPr>
              <w:tab/>
              <w:t xml:space="preserve">ھ6.2 </w:t>
            </w:r>
            <w:r w:rsidR="00161D28">
              <w:rPr>
                <w:rFonts w:ascii="Arabic Typesetting" w:hAnsi="Arabic Typesetting" w:cs="Arabic Typesetting"/>
                <w:sz w:val="28"/>
                <w:szCs w:val="28"/>
                <w:rtl/>
                <w:lang w:bidi="ar-EG"/>
              </w:rPr>
              <w:t>الانتفاع بنظامي مدريد ولشبونة على نطاق أوسع ونحو أفضل، بما في ذلك من جهة البلدان الأقل نموا</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عدد البلدان التي صاغت سياسات عامة توضح ملامح انضمامها إلى بروتوكول مدريد أو بدأت العمل على ذلك</w:t>
            </w:r>
          </w:p>
        </w:tc>
        <w:tc>
          <w:tcPr>
            <w:tcW w:w="2307" w:type="dxa"/>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سنغافورة)</w:t>
            </w:r>
          </w:p>
        </w:tc>
        <w:tc>
          <w:tcPr>
            <w:tcW w:w="2160" w:type="dxa"/>
            <w:gridSpan w:val="2"/>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6 دول أعضاء في رابطة أمم جنوب شرق آسيا (مكتب سنغافورة)</w:t>
            </w:r>
          </w:p>
        </w:tc>
        <w:tc>
          <w:tcPr>
            <w:tcW w:w="2537" w:type="dxa"/>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6 دول أعضاء في رابطة أمم جنوب شرق آسيا (بروني دار السلام، وكمبوديا، وإندونيسيا، وجمهورية لاو الديمقراطية الشعبية، وماليزيا، وتايلند) (مكتب سنغافورة)</w:t>
            </w:r>
          </w:p>
        </w:tc>
        <w:tc>
          <w:tcPr>
            <w:tcW w:w="793" w:type="dxa"/>
            <w:tcBorders>
              <w:top w:val="nil"/>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النسبة المئوية لمن عبروا عن رضاهم من المشاركين في حلقات العمل/الحلقات الدراسية المستهدفة التي عُقدت بشأن موضوعات تتعلق بنظام مدريد</w:t>
            </w:r>
          </w:p>
        </w:tc>
        <w:tc>
          <w:tcPr>
            <w:tcW w:w="230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أساس المقارنة المُحدَّث في نهاية 2013:</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أساس المقارنة الأصلي في البرنامج والميزانية 2014/15:</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65%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65% (مكتب سنغافورة)</w:t>
            </w:r>
          </w:p>
        </w:tc>
        <w:tc>
          <w:tcPr>
            <w:tcW w:w="2160" w:type="dxa"/>
            <w:gridSpan w:val="2"/>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أكبر من 75%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أكبر من 75% (مكتب سنغافورة)</w:t>
            </w:r>
          </w:p>
        </w:tc>
        <w:tc>
          <w:tcPr>
            <w:tcW w:w="253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لم يُعقد في البرازيل خلال الثنائية أي حلقات عمل أو حلقات دراسية تتعلق بنظام مدريد</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rsidP="00161D28">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86% (مكتب سنغافورة)</w:t>
            </w:r>
          </w:p>
        </w:tc>
        <w:tc>
          <w:tcPr>
            <w:tcW w:w="793" w:type="dxa"/>
            <w:tcBorders>
              <w:top w:val="nil"/>
              <w:left w:val="nil"/>
              <w:bottom w:val="single" w:sz="4" w:space="0" w:color="auto"/>
              <w:right w:val="single" w:sz="4" w:space="0" w:color="auto"/>
            </w:tcBorders>
          </w:tcPr>
          <w:p w:rsidR="002502E6" w:rsidRDefault="002502E6">
            <w:pPr>
              <w:bidi/>
              <w:spacing w:before="60" w:after="60" w:line="280" w:lineRule="exact"/>
              <w:jc w:val="both"/>
              <w:rPr>
                <w:rFonts w:ascii="Arabic Typesetting" w:hAnsi="Arabic Typesetting" w:cs="Arabic Typesetting"/>
                <w:bCs/>
                <w:color w:val="FF0000"/>
                <w:sz w:val="28"/>
                <w:szCs w:val="28"/>
                <w:rtl/>
                <w:lang w:bidi="ar-EG"/>
              </w:rPr>
            </w:pPr>
          </w:p>
          <w:p w:rsidR="002502E6" w:rsidRDefault="002502E6">
            <w:pPr>
              <w:bidi/>
              <w:spacing w:before="60" w:after="60" w:line="280" w:lineRule="exact"/>
              <w:jc w:val="both"/>
              <w:rPr>
                <w:rFonts w:ascii="Arabic Typesetting" w:hAnsi="Arabic Typesetting" w:cs="Arabic Typesetting"/>
                <w:bCs/>
                <w:color w:val="FF0000"/>
                <w:sz w:val="28"/>
                <w:szCs w:val="28"/>
                <w:rtl/>
                <w:lang w:bidi="ar-EG"/>
              </w:rPr>
            </w:pPr>
            <w:r>
              <w:rPr>
                <w:rFonts w:ascii="Arabic Typesetting" w:hAnsi="Arabic Typesetting" w:cs="Arabic Typesetting"/>
                <w:bCs/>
                <w:color w:val="FF0000"/>
                <w:sz w:val="28"/>
                <w:szCs w:val="28"/>
                <w:rtl/>
                <w:lang w:bidi="ar-EG"/>
              </w:rPr>
              <w:t>غير محقق</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rsidP="00161D28">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lastRenderedPageBreak/>
              <w:t>عدد الأطراف المتعاقدة في بروتوكول مدريد</w:t>
            </w:r>
          </w:p>
        </w:tc>
        <w:tc>
          <w:tcPr>
            <w:tcW w:w="2307" w:type="dxa"/>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 xml:space="preserve">أساس المقارنة المُحدَّث في نهاية 2013: </w:t>
            </w:r>
            <w:r>
              <w:rPr>
                <w:rFonts w:ascii="Arabic Typesetting" w:hAnsi="Arabic Typesetting" w:cs="Arabic Typesetting"/>
                <w:i/>
                <w:color w:val="002060"/>
                <w:sz w:val="28"/>
                <w:szCs w:val="28"/>
                <w:rtl/>
              </w:rPr>
              <w:t xml:space="preserve">3 (الفلبين، سنغافورة، </w:t>
            </w:r>
            <w:proofErr w:type="spellStart"/>
            <w:r>
              <w:rPr>
                <w:rFonts w:ascii="Arabic Typesetting" w:hAnsi="Arabic Typesetting" w:cs="Arabic Typesetting"/>
                <w:i/>
                <w:color w:val="002060"/>
                <w:sz w:val="28"/>
                <w:szCs w:val="28"/>
                <w:rtl/>
              </w:rPr>
              <w:t>فييت</w:t>
            </w:r>
            <w:proofErr w:type="spellEnd"/>
            <w:r>
              <w:rPr>
                <w:rFonts w:ascii="Arabic Typesetting" w:hAnsi="Arabic Typesetting" w:cs="Arabic Typesetting"/>
                <w:i/>
                <w:color w:val="002060"/>
                <w:sz w:val="28"/>
                <w:szCs w:val="28"/>
                <w:rtl/>
              </w:rPr>
              <w:t xml:space="preserve"> نام) (مكتب سنغافورة)</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
                <w:iCs/>
                <w:sz w:val="28"/>
                <w:szCs w:val="28"/>
                <w:rtl/>
                <w:lang w:bidi="ar-EG"/>
              </w:rPr>
              <w:t>أساس المقارنة الأصلي في البرنامج والميزانية 2014/15:</w:t>
            </w:r>
            <w:r>
              <w:rPr>
                <w:rFonts w:ascii="Arabic Typesetting" w:hAnsi="Arabic Typesetting" w:cs="Arabic Typesetting"/>
                <w:sz w:val="28"/>
                <w:szCs w:val="28"/>
                <w:rtl/>
                <w:lang w:bidi="ar-EG"/>
              </w:rPr>
              <w:t xml:space="preserve"> 3 (مكتب سنغافورة)</w:t>
            </w:r>
          </w:p>
        </w:tc>
        <w:tc>
          <w:tcPr>
            <w:tcW w:w="2160" w:type="dxa"/>
            <w:gridSpan w:val="2"/>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10 (مكتب سنغافورة)</w:t>
            </w:r>
          </w:p>
        </w:tc>
        <w:tc>
          <w:tcPr>
            <w:tcW w:w="2537" w:type="dxa"/>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دولتان إضافيتان من الدول الأعضاء في رابطة أمم جنوب شرق آسيا في 2014/15 (كمبوديا، وجمهورية لاو الديمقراطية الشعبية) (العدد التراكمي: 5)</w:t>
            </w:r>
          </w:p>
        </w:tc>
        <w:tc>
          <w:tcPr>
            <w:tcW w:w="793" w:type="dxa"/>
            <w:tcBorders>
              <w:top w:val="single" w:sz="4" w:space="0" w:color="auto"/>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E26B0A"/>
                <w:sz w:val="28"/>
                <w:szCs w:val="28"/>
                <w:rtl/>
              </w:rPr>
              <w:t>محقق جزئياً</w:t>
            </w:r>
          </w:p>
        </w:tc>
      </w:tr>
      <w:tr w:rsidR="002502E6" w:rsidTr="00161D28">
        <w:trPr>
          <w:cantSplit/>
        </w:trPr>
        <w:tc>
          <w:tcPr>
            <w:tcW w:w="1653" w:type="dxa"/>
            <w:tcBorders>
              <w:top w:val="nil"/>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عدد التسجيلات الجديدة (نظام مدريد)</w:t>
            </w:r>
          </w:p>
        </w:tc>
        <w:tc>
          <w:tcPr>
            <w:tcW w:w="2307" w:type="dxa"/>
            <w:tcBorders>
              <w:top w:val="nil"/>
              <w:left w:val="nil"/>
              <w:bottom w:val="nil"/>
              <w:right w:val="nil"/>
            </w:tcBorders>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أساس المقارنة المُحدَّث في نهاية 2013:</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2012: 054 2</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2013: 845 1 (مكتب اليابان)</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2012 = 327</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2013 = 337 (مكتب سنغافورة)</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i/>
                <w:iCs/>
                <w:sz w:val="28"/>
                <w:szCs w:val="28"/>
                <w:rtl/>
                <w:lang w:bidi="ar-EG"/>
              </w:rPr>
              <w:t>أساس المقارنة الأصلي في البرنامج والميزانية 2014/15:</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 xml:space="preserve">إحصائيات مدريد بشأن رابطة أمم جنوب شرق آسيا، اليابان </w:t>
            </w:r>
            <w:r>
              <w:rPr>
                <w:rFonts w:ascii="Arabic Typesetting" w:hAnsi="Arabic Typesetting" w:cs="Arabic Typesetting"/>
                <w:i/>
                <w:color w:val="002060"/>
                <w:sz w:val="28"/>
                <w:szCs w:val="28"/>
                <w:rtl/>
              </w:rPr>
              <w:t>(مكتب سنغافورة)</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line="280" w:lineRule="exact"/>
              <w:rPr>
                <w:rFonts w:ascii="Arabic Typesetting" w:hAnsi="Arabic Typesetting" w:cs="Arabic Typesetting"/>
                <w:sz w:val="28"/>
                <w:szCs w:val="28"/>
                <w:rtl/>
                <w:lang w:bidi="ar-EG"/>
              </w:rPr>
            </w:pPr>
            <w:r>
              <w:rPr>
                <w:rFonts w:ascii="Arabic Typesetting" w:hAnsi="Arabic Typesetting" w:cs="Arabic Typesetting"/>
                <w:i/>
                <w:iCs/>
                <w:sz w:val="28"/>
                <w:szCs w:val="28"/>
                <w:rtl/>
                <w:lang w:bidi="ar-EG"/>
              </w:rPr>
              <w:t>أساس المقارنة الأصلي في البرنامج والميزانية 2014/15:</w:t>
            </w:r>
          </w:p>
          <w:p w:rsidR="002502E6" w:rsidRDefault="002502E6">
            <w:pPr>
              <w:bidi/>
              <w:spacing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إحصائيات مدريد بشأن رابطة أمم جنوب شرق آسيا (مكتب سنغافورة) 2012/13</w:t>
            </w:r>
          </w:p>
          <w:p w:rsidR="002502E6" w:rsidRDefault="002502E6">
            <w:pPr>
              <w:bidi/>
              <w:spacing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إحصائيات مدريد بشأن رابطة أمم جنوب شرق آسيا، اليابان (مكتب اليابان) 2012/13</w:t>
            </w:r>
          </w:p>
        </w:tc>
        <w:tc>
          <w:tcPr>
            <w:tcW w:w="2160" w:type="dxa"/>
            <w:gridSpan w:val="2"/>
            <w:tcBorders>
              <w:top w:val="nil"/>
              <w:left w:val="nil"/>
              <w:bottom w:val="nil"/>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زيادة الإيداعات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زيادة الإيداعات بنسبة 5% (مكتب سنغافورة)</w:t>
            </w:r>
            <w:r>
              <w:rPr>
                <w:rStyle w:val="FootnoteReference"/>
                <w:rtl/>
                <w:lang w:bidi="ar-EG"/>
              </w:rPr>
              <w:footnoteReference w:id="111"/>
            </w:r>
          </w:p>
        </w:tc>
        <w:tc>
          <w:tcPr>
            <w:tcW w:w="2537" w:type="dxa"/>
            <w:tcBorders>
              <w:top w:val="nil"/>
              <w:left w:val="nil"/>
              <w:bottom w:val="nil"/>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2014/15: 200 4 (+8%)</w:t>
            </w:r>
          </w:p>
          <w:p w:rsidR="002502E6" w:rsidRDefault="002502E6" w:rsidP="000B547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2014: 033 2 (+10%) </w:t>
            </w:r>
          </w:p>
          <w:p w:rsidR="002502E6" w:rsidRDefault="002502E6" w:rsidP="000B547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2015: 167 2 (+7%)</w:t>
            </w:r>
          </w:p>
          <w:p w:rsidR="002502E6" w:rsidRDefault="002502E6">
            <w:pPr>
              <w:bidi/>
              <w:spacing w:before="60" w:after="60" w:line="280" w:lineRule="exact"/>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2014/15: 860 (+30%)</w:t>
            </w:r>
          </w:p>
          <w:p w:rsidR="002502E6" w:rsidRDefault="002502E6" w:rsidP="000B5473">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2014: 351 (+4%)</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2015: 509 (+44%</w:t>
            </w:r>
            <w:r>
              <w:rPr>
                <w:rStyle w:val="FootnoteReference"/>
                <w:rtl/>
                <w:lang w:bidi="ar-EG"/>
              </w:rPr>
              <w:footnoteReference w:id="112"/>
            </w:r>
            <w:r>
              <w:rPr>
                <w:rFonts w:ascii="Arabic Typesetting" w:hAnsi="Arabic Typesetting" w:cs="Arabic Typesetting"/>
                <w:sz w:val="28"/>
                <w:szCs w:val="28"/>
                <w:rtl/>
                <w:lang w:bidi="ar-EG"/>
              </w:rPr>
              <w:t>)</w:t>
            </w:r>
          </w:p>
        </w:tc>
        <w:tc>
          <w:tcPr>
            <w:tcW w:w="793" w:type="dxa"/>
            <w:tcBorders>
              <w:top w:val="nil"/>
              <w:left w:val="nil"/>
              <w:bottom w:val="nil"/>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عدد التجديدات (نظام مدريد)</w:t>
            </w:r>
          </w:p>
        </w:tc>
        <w:tc>
          <w:tcPr>
            <w:tcW w:w="230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أساس المقارنة المُحدَّث في نهاية 2013:</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2012: 187</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2013: 311 (مكتب اليابان)</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2012: 51</w:t>
            </w:r>
          </w:p>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
                <w:color w:val="002060"/>
                <w:sz w:val="28"/>
                <w:szCs w:val="28"/>
                <w:rtl/>
              </w:rPr>
              <w:t>2013: 62 (مكتب سنغافورة)</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i/>
                <w:iCs/>
                <w:sz w:val="28"/>
                <w:szCs w:val="28"/>
                <w:rtl/>
                <w:lang w:bidi="ar-EG"/>
              </w:rPr>
              <w:t>أساس المقارنة الأصلي في البرنامج والميزانية 2014/15:</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إحصائيات مدريد بشأن رابطة أمم جنوب شرق آسيا، اليابان (مكتب سنغافورة)</w:t>
            </w:r>
          </w:p>
          <w:p w:rsidR="002502E6" w:rsidRDefault="002502E6">
            <w:pPr>
              <w:bidi/>
              <w:spacing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إحصائيات مدريد بشأن رابطة أمم جنوب شرق آسيا، اليابان (مكتب اليابان)</w:t>
            </w:r>
          </w:p>
        </w:tc>
        <w:tc>
          <w:tcPr>
            <w:tcW w:w="2160" w:type="dxa"/>
            <w:gridSpan w:val="2"/>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تُحدَّد لاحقاً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تُحدَّد لاحقاً (مكتب سنغافورة)</w:t>
            </w:r>
          </w:p>
        </w:tc>
        <w:tc>
          <w:tcPr>
            <w:tcW w:w="2537" w:type="dxa"/>
            <w:tcBorders>
              <w:top w:val="nil"/>
              <w:left w:val="nil"/>
              <w:bottom w:val="single" w:sz="4" w:space="0" w:color="auto"/>
              <w:right w:val="nil"/>
            </w:tcBorders>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4"/>
              <w:gridCol w:w="765"/>
              <w:gridCol w:w="765"/>
            </w:tblGrid>
            <w:tr w:rsidR="002502E6">
              <w:tc>
                <w:tcPr>
                  <w:tcW w:w="764" w:type="dxa"/>
                </w:tcPr>
                <w:p w:rsidR="002502E6" w:rsidRDefault="002502E6">
                  <w:pPr>
                    <w:bidi/>
                    <w:spacing w:before="60" w:after="60" w:line="280" w:lineRule="exact"/>
                    <w:rPr>
                      <w:rFonts w:ascii="Arabic Typesetting" w:hAnsi="Arabic Typesetting" w:cs="Arabic Typesetting"/>
                      <w:sz w:val="28"/>
                      <w:szCs w:val="28"/>
                      <w:lang w:bidi="ar-EG"/>
                    </w:rPr>
                  </w:pPr>
                </w:p>
              </w:tc>
              <w:tc>
                <w:tcPr>
                  <w:tcW w:w="765" w:type="dxa"/>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2014</w:t>
                  </w:r>
                </w:p>
              </w:tc>
              <w:tc>
                <w:tcPr>
                  <w:tcW w:w="765" w:type="dxa"/>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2015</w:t>
                  </w:r>
                </w:p>
              </w:tc>
            </w:tr>
            <w:tr w:rsidR="002502E6">
              <w:tc>
                <w:tcPr>
                  <w:tcW w:w="764" w:type="dxa"/>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اليابان</w:t>
                  </w:r>
                </w:p>
              </w:tc>
              <w:tc>
                <w:tcPr>
                  <w:tcW w:w="765" w:type="dxa"/>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+49%</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(462)</w:t>
                  </w:r>
                </w:p>
              </w:tc>
              <w:tc>
                <w:tcPr>
                  <w:tcW w:w="765" w:type="dxa"/>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+27%</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(588)</w:t>
                  </w:r>
                </w:p>
              </w:tc>
            </w:tr>
            <w:tr w:rsidR="002502E6">
              <w:tc>
                <w:tcPr>
                  <w:tcW w:w="764" w:type="dxa"/>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سنغافورة</w:t>
                  </w:r>
                </w:p>
              </w:tc>
              <w:tc>
                <w:tcPr>
                  <w:tcW w:w="765" w:type="dxa"/>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+13%</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(54)</w:t>
                  </w:r>
                  <w:r>
                    <w:rPr>
                      <w:rStyle w:val="FootnoteReference"/>
                      <w:rtl/>
                      <w:lang w:bidi="ar-EG"/>
                    </w:rPr>
                    <w:footnoteReference w:id="113"/>
                  </w:r>
                </w:p>
              </w:tc>
              <w:tc>
                <w:tcPr>
                  <w:tcW w:w="765" w:type="dxa"/>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+52%</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(82)</w:t>
                  </w:r>
                </w:p>
              </w:tc>
            </w:tr>
          </w:tbl>
          <w:p w:rsidR="002502E6" w:rsidRDefault="002502E6">
            <w:pPr>
              <w:bidi/>
              <w:spacing w:before="60" w:after="60" w:line="280" w:lineRule="exact"/>
              <w:rPr>
                <w:rFonts w:ascii="Arabic Typesetting" w:hAnsi="Arabic Typesetting" w:cs="Arabic Typesetting"/>
                <w:sz w:val="28"/>
                <w:szCs w:val="28"/>
                <w:lang w:bidi="ar-EG"/>
              </w:rPr>
            </w:pPr>
          </w:p>
        </w:tc>
        <w:tc>
          <w:tcPr>
            <w:tcW w:w="793" w:type="dxa"/>
            <w:tcBorders>
              <w:top w:val="nil"/>
              <w:left w:val="nil"/>
              <w:bottom w:val="single" w:sz="4" w:space="0" w:color="auto"/>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808080"/>
                <w:sz w:val="28"/>
                <w:szCs w:val="28"/>
                <w:rtl/>
              </w:rPr>
              <w:t>غير قابل للقياس</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808080"/>
                <w:sz w:val="28"/>
                <w:szCs w:val="28"/>
                <w:rtl/>
              </w:rPr>
              <w:t>غير قابل للقياس</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lastRenderedPageBreak/>
              <w:t>النتيجة المرتقبة:</w:t>
            </w:r>
            <w:r>
              <w:rPr>
                <w:rFonts w:ascii="Arabic Typesetting" w:hAnsi="Arabic Typesetting" w:cs="Arabic Typesetting"/>
                <w:sz w:val="28"/>
                <w:szCs w:val="28"/>
                <w:rtl/>
                <w:lang w:bidi="ar-EG"/>
              </w:rPr>
              <w:tab/>
              <w:t xml:space="preserve">ھ8.2 </w:t>
            </w:r>
            <w:r w:rsidR="00161D28">
              <w:rPr>
                <w:rFonts w:ascii="Arabic Typesetting" w:hAnsi="Arabic Typesetting" w:cs="Arabic Typesetting"/>
                <w:sz w:val="28"/>
                <w:szCs w:val="28"/>
                <w:rtl/>
                <w:lang w:bidi="ar-EG"/>
              </w:rPr>
              <w:t>تزايد تفادي نشوء المنازعات المتعلقة بالملكية الفكرية دوليا وداخليا وتسويتها بفضل الوساطة والتحكيم وغيرها من أساليب الويبو البديلة في تسوية المنازعات</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النظر بقدر أكبر في اللجوء إلى خدمات بديلة لتسوية المنازعات في معاملات الملكية الفكرية، بما في ذلك عبر استخدام إجراءات الويبو</w:t>
            </w:r>
          </w:p>
        </w:tc>
        <w:tc>
          <w:tcPr>
            <w:tcW w:w="230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تنطبق (مكتب البرازيل)</w:t>
            </w:r>
          </w:p>
        </w:tc>
        <w:tc>
          <w:tcPr>
            <w:tcW w:w="2160" w:type="dxa"/>
            <w:gridSpan w:val="2"/>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30 منازعة مُقدَّمة من مستخدمين برازيليين في المعهد الوطني للملكية الصناعية و4 منازعات مُقدَّمة من غير المقيمين في مكتب الويبو في البرازيل كي تعالجها آلية </w:t>
            </w:r>
            <w:r>
              <w:rPr>
                <w:rFonts w:ascii="Arabic Typesetting" w:hAnsi="Arabic Typesetting" w:cs="Arabic Typesetting"/>
                <w:sz w:val="28"/>
                <w:szCs w:val="28"/>
                <w:lang w:bidi="ar-EG"/>
              </w:rPr>
              <w:t>WIPO MAC</w:t>
            </w:r>
            <w:r>
              <w:rPr>
                <w:rFonts w:ascii="Arabic Typesetting" w:hAnsi="Arabic Typesetting" w:cs="Arabic Typesetting"/>
                <w:sz w:val="28"/>
                <w:szCs w:val="28"/>
                <w:rtl/>
                <w:lang w:bidi="ar-EG"/>
              </w:rPr>
              <w:t xml:space="preserve"> (مكتب البرازيل)</w:t>
            </w:r>
          </w:p>
        </w:tc>
        <w:tc>
          <w:tcPr>
            <w:tcW w:w="253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أُجِّلَ مشروع استخدام الخدمات البديلة لتسوية المنازعات في معاملات الملكية الفكرية بسبب حدوث تغيرات في المعهد الوطني للملكية الصناعية في عام 2014.</w:t>
            </w:r>
          </w:p>
        </w:tc>
        <w:tc>
          <w:tcPr>
            <w:tcW w:w="793" w:type="dxa"/>
            <w:tcBorders>
              <w:top w:val="nil"/>
              <w:left w:val="nil"/>
              <w:bottom w:val="single" w:sz="4" w:space="0" w:color="auto"/>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Cs/>
                <w:color w:val="FF0000"/>
                <w:sz w:val="28"/>
                <w:szCs w:val="28"/>
                <w:rtl/>
                <w:lang w:bidi="ar-EG"/>
              </w:rPr>
              <w:t>غير محقق</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النتيجة المرتقبة:</w:t>
            </w:r>
            <w:r>
              <w:rPr>
                <w:rFonts w:ascii="Arabic Typesetting" w:hAnsi="Arabic Typesetting" w:cs="Arabic Typesetting"/>
                <w:sz w:val="28"/>
                <w:szCs w:val="28"/>
                <w:rtl/>
                <w:lang w:bidi="ar-EG"/>
              </w:rPr>
              <w:tab/>
              <w:t xml:space="preserve">ھ2.3 </w:t>
            </w:r>
            <w:r w:rsidR="00161D28">
              <w:rPr>
                <w:rFonts w:ascii="Arabic Typesetting" w:hAnsi="Arabic Typesetting" w:cs="Arabic Typesetting"/>
                <w:sz w:val="28"/>
                <w:szCs w:val="28"/>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النسبة المئوية لواضعي السياسات والمسؤولين الحكوميين وممارسي الملكية الفكرية والمشاركين في حلقات العمل المستهدفة الذين يتمتعون بفهم معزز لمنظمات الإدارة الجماعية ولكيفية استخدام الملكية الفكرية استخداماً فعالاً من أجل التنمية</w:t>
            </w:r>
          </w:p>
        </w:tc>
        <w:tc>
          <w:tcPr>
            <w:tcW w:w="230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لا ينطبق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60% (مكتب سنغافورة)</w:t>
            </w:r>
          </w:p>
        </w:tc>
        <w:tc>
          <w:tcPr>
            <w:tcW w:w="2160" w:type="dxa"/>
            <w:gridSpan w:val="2"/>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75%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75%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أكبر من 70% (مكتب سنغافورة)</w:t>
            </w:r>
          </w:p>
        </w:tc>
        <w:tc>
          <w:tcPr>
            <w:tcW w:w="253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75% (مكتب البرازيل)</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100%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100% (مكتب سنغافورة)</w:t>
            </w:r>
          </w:p>
        </w:tc>
        <w:tc>
          <w:tcPr>
            <w:tcW w:w="793" w:type="dxa"/>
            <w:tcBorders>
              <w:top w:val="nil"/>
              <w:left w:val="nil"/>
              <w:bottom w:val="single" w:sz="4" w:space="0" w:color="auto"/>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rsidP="00161D28">
            <w:pPr>
              <w:keepNext/>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sz w:val="28"/>
                <w:szCs w:val="28"/>
                <w:rtl/>
                <w:lang w:bidi="ar-EG"/>
              </w:rPr>
              <w:lastRenderedPageBreak/>
              <w:t>النتيجة المرتقبة:</w:t>
            </w:r>
            <w:r>
              <w:rPr>
                <w:rFonts w:ascii="Arabic Typesetting" w:hAnsi="Arabic Typesetting" w:cs="Arabic Typesetting"/>
                <w:sz w:val="28"/>
                <w:szCs w:val="28"/>
                <w:rtl/>
                <w:lang w:bidi="ar-EG"/>
              </w:rPr>
              <w:tab/>
              <w:t xml:space="preserve">ھ2.4 </w:t>
            </w:r>
            <w:r w:rsidR="00161D28">
              <w:rPr>
                <w:rFonts w:ascii="Arabic Typesetting" w:hAnsi="Arabic Typesetting" w:cs="Arabic Typesetting"/>
                <w:sz w:val="28"/>
                <w:szCs w:val="28"/>
                <w:rtl/>
                <w:lang w:bidi="ar-EG"/>
              </w:rPr>
              <w:t>تحسين النفاذ إلى المعلومات المتعلقة بالملكية الفكرية واستخدامها من قبل مؤسسات الملكية الفكرية والجمهور لتشجيع الابتكار والإبداع</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rsidP="00161D28">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r w:rsidRPr="00161D28">
              <w:rPr>
                <w:rStyle w:val="FootnoteReference"/>
                <w:rFonts w:ascii="Arabic Typesetting" w:hAnsi="Arabic Typesetting" w:cs="Arabic Typesetting"/>
                <w:b/>
                <w:bCs/>
                <w:sz w:val="28"/>
                <w:szCs w:val="28"/>
                <w:rtl/>
                <w:lang w:bidi="ar-EG"/>
              </w:rPr>
              <w:footnoteReference w:id="114"/>
            </w:r>
          </w:p>
        </w:tc>
        <w:tc>
          <w:tcPr>
            <w:tcW w:w="793" w:type="dxa"/>
            <w:tcBorders>
              <w:top w:val="single" w:sz="4" w:space="0" w:color="auto"/>
              <w:left w:val="nil"/>
              <w:bottom w:val="nil"/>
              <w:right w:val="single" w:sz="4" w:space="0" w:color="auto"/>
            </w:tcBorders>
            <w:hideMark/>
          </w:tcPr>
          <w:p w:rsidR="002502E6" w:rsidRDefault="002502E6" w:rsidP="00161D28">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عدد مستخدمي قواعد بيانات الويبو العالمية: ركن البراءات، وقاعدة البيانات العالمية لأدوات التوسيم</w:t>
            </w:r>
          </w:p>
        </w:tc>
        <w:tc>
          <w:tcPr>
            <w:tcW w:w="230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أساس المقارنة المُحدَّث في نهاية 2013</w:t>
            </w:r>
            <w:r w:rsidRPr="00161D28">
              <w:rPr>
                <w:rStyle w:val="FootnoteReference"/>
                <w:rFonts w:ascii="Arabic Typesetting" w:hAnsi="Arabic Typesetting" w:cs="Arabic Typesetting"/>
                <w:iCs/>
                <w:color w:val="002060"/>
                <w:sz w:val="28"/>
                <w:szCs w:val="28"/>
                <w:rtl/>
              </w:rPr>
              <w:footnoteReference w:id="115"/>
            </w:r>
            <w:r>
              <w:rPr>
                <w:rFonts w:ascii="Arabic Typesetting" w:hAnsi="Arabic Typesetting" w:cs="Arabic Typesetting"/>
                <w:iCs/>
                <w:color w:val="002060"/>
                <w:sz w:val="28"/>
                <w:szCs w:val="28"/>
                <w:rtl/>
              </w:rPr>
              <w:t>:</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ركن البراءات (الربع الثالث من عام 2013):</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rPr>
              <w:t>839 3 (مكتب البرازيل)</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906 14 (مكتب اليابان)</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772 6 (مكتب سنغافورة)</w:t>
            </w:r>
          </w:p>
          <w:p w:rsidR="002502E6" w:rsidRDefault="002502E6">
            <w:pPr>
              <w:bidi/>
              <w:spacing w:before="60" w:after="60" w:line="280" w:lineRule="exact"/>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(الربع الثالث من عام 2012):</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rPr>
              <w:t>891 3 (مكتب البرازيل)</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114 15 (مكتب اليابان)</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595 6 (مكتب سنغافورة)</w:t>
            </w:r>
          </w:p>
          <w:p w:rsidR="002502E6" w:rsidRDefault="002502E6">
            <w:pPr>
              <w:bidi/>
              <w:spacing w:before="60" w:after="60" w:line="280" w:lineRule="exact"/>
              <w:rPr>
                <w:rFonts w:ascii="Arabic Typesetting" w:hAnsi="Arabic Typesetting" w:cs="Arabic Typesetting"/>
                <w:sz w:val="28"/>
                <w:szCs w:val="28"/>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قاعدة البيانات العالمية لأدوات التوسيم (الربع الثالث من عام 2013):</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rPr>
              <w:t>186 (مكتب البرازيل)</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543 (مكتب اليابان)</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711 1 (مكتب سنغافورة)</w:t>
            </w:r>
          </w:p>
          <w:p w:rsidR="002502E6" w:rsidRDefault="002502E6">
            <w:pPr>
              <w:bidi/>
              <w:spacing w:before="60" w:after="60" w:line="280" w:lineRule="exact"/>
              <w:rPr>
                <w:rFonts w:ascii="Arabic Typesetting" w:hAnsi="Arabic Typesetting" w:cs="Arabic Typesetting"/>
                <w:sz w:val="28"/>
                <w:szCs w:val="28"/>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(الربع الثالث من عام 2012):</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rPr>
              <w:t>75 (مكتب البرازيل)</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275 (مكتب اليابان)</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415 (مكتب سنغافورة)</w:t>
            </w:r>
          </w:p>
          <w:p w:rsidR="002502E6" w:rsidRDefault="002502E6">
            <w:pPr>
              <w:bidi/>
              <w:spacing w:before="60" w:after="60" w:line="280" w:lineRule="exact"/>
              <w:rPr>
                <w:rFonts w:ascii="Arabic Typesetting" w:hAnsi="Arabic Typesetting" w:cs="Arabic Typesetting"/>
                <w:sz w:val="28"/>
                <w:szCs w:val="28"/>
              </w:rPr>
            </w:pPr>
          </w:p>
          <w:p w:rsidR="002502E6" w:rsidRDefault="002502E6">
            <w:pPr>
              <w:bidi/>
              <w:spacing w:before="60" w:after="60" w:line="280" w:lineRule="exact"/>
              <w:rPr>
                <w:rFonts w:ascii="Arabic Typesetting" w:hAnsi="Arabic Typesetting" w:cs="Arabic Typesetting"/>
                <w:sz w:val="28"/>
                <w:szCs w:val="28"/>
                <w:rtl/>
              </w:rPr>
            </w:pPr>
            <w:r>
              <w:rPr>
                <w:rFonts w:ascii="Arabic Typesetting" w:hAnsi="Arabic Typesetting" w:cs="Arabic Typesetting"/>
                <w:i/>
                <w:iCs/>
                <w:sz w:val="28"/>
                <w:szCs w:val="28"/>
                <w:rtl/>
              </w:rPr>
              <w:t>أساس المقارنة الأصلي في البرنامج والميزانية 2014/15:</w:t>
            </w:r>
            <w:r>
              <w:rPr>
                <w:rFonts w:ascii="Arabic Typesetting" w:hAnsi="Arabic Typesetting" w:cs="Arabic Typesetting"/>
                <w:sz w:val="28"/>
                <w:szCs w:val="28"/>
                <w:rtl/>
              </w:rPr>
              <w:t xml:space="preserve"> </w:t>
            </w:r>
          </w:p>
          <w:p w:rsidR="002502E6" w:rsidRDefault="002502E6">
            <w:pPr>
              <w:bidi/>
              <w:spacing w:before="60" w:after="60" w:line="280" w:lineRule="exact"/>
              <w:rPr>
                <w:rFonts w:ascii="Arabic Typesetting" w:hAnsi="Arabic Typesetting" w:cs="Arabic Typesetting"/>
                <w:sz w:val="28"/>
                <w:szCs w:val="28"/>
                <w:rtl/>
              </w:rPr>
            </w:pPr>
            <w:r>
              <w:rPr>
                <w:rFonts w:ascii="Arabic Typesetting" w:hAnsi="Arabic Typesetting" w:cs="Arabic Typesetting"/>
                <w:sz w:val="28"/>
                <w:szCs w:val="28"/>
                <w:rtl/>
              </w:rPr>
              <w:t>إحصائيات نهاية 2013 (مكتب البرازيل)</w:t>
            </w:r>
          </w:p>
          <w:p w:rsidR="002502E6" w:rsidRDefault="002502E6">
            <w:pPr>
              <w:bidi/>
              <w:spacing w:before="60" w:after="60" w:line="280" w:lineRule="exact"/>
              <w:rPr>
                <w:rFonts w:ascii="Arabic Typesetting" w:hAnsi="Arabic Typesetting" w:cs="Arabic Typesetting"/>
                <w:sz w:val="28"/>
                <w:szCs w:val="28"/>
                <w:rtl/>
              </w:rPr>
            </w:pPr>
            <w:r>
              <w:rPr>
                <w:rFonts w:ascii="Arabic Typesetting" w:hAnsi="Arabic Typesetting" w:cs="Arabic Typesetting"/>
                <w:sz w:val="28"/>
                <w:szCs w:val="28"/>
                <w:rtl/>
              </w:rPr>
              <w:t>إحصائيات نهاية 2013 (مكتب اليابان)</w:t>
            </w:r>
          </w:p>
          <w:p w:rsidR="002502E6" w:rsidRDefault="002502E6">
            <w:p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تُحدَّد لاحقاً (مكتب سنغافورة)</w:t>
            </w:r>
          </w:p>
        </w:tc>
        <w:tc>
          <w:tcPr>
            <w:tcW w:w="2160" w:type="dxa"/>
            <w:gridSpan w:val="2"/>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5% (مكتب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زيادة بنسبة 5% (مكتب اليابان)</w:t>
            </w:r>
            <w:r w:rsidRPr="00161D28">
              <w:rPr>
                <w:rStyle w:val="FootnoteReference"/>
                <w:rFonts w:ascii="Arabic Typesetting" w:hAnsi="Arabic Typesetting" w:cs="Arabic Typesetting"/>
                <w:sz w:val="28"/>
                <w:szCs w:val="28"/>
                <w:rtl/>
                <w:lang w:bidi="ar-EG"/>
              </w:rPr>
              <w:footnoteReference w:id="116"/>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زيادة بنسبة 5% في عدد المستخدمين من رابطة أمم جنوب شرق آسيا (مكتب سنغافورة)</w:t>
            </w:r>
          </w:p>
        </w:tc>
        <w:tc>
          <w:tcPr>
            <w:tcW w:w="253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ركن البراءات:</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2014/15: 533 8 (+10%)</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rPr>
              <w:t>2014: 688 4 (+22%)</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2015: 845 3 (-18%)</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2014/15: 743 30 (+2%)</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rPr>
              <w:t>2014: 711 14 (-1%)</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2015: 032 16 (+2%</w:t>
            </w:r>
            <w:r w:rsidRPr="00161D28">
              <w:rPr>
                <w:rStyle w:val="FootnoteReference"/>
                <w:rFonts w:ascii="Arabic Typesetting" w:hAnsi="Arabic Typesetting" w:cs="Arabic Typesetting"/>
                <w:sz w:val="28"/>
                <w:szCs w:val="28"/>
                <w:rtl/>
              </w:rPr>
              <w:footnoteReference w:id="117"/>
            </w:r>
            <w:r>
              <w:rPr>
                <w:rFonts w:ascii="Arabic Typesetting" w:hAnsi="Arabic Typesetting" w:cs="Arabic Typesetting"/>
                <w:sz w:val="28"/>
                <w:szCs w:val="28"/>
                <w:rtl/>
              </w:rPr>
              <w:t>)</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2014/15: 525 15 (+16%)</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rPr>
              <w:t>2014: 054 8 (+19%)</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2015: 471 7 (-7.2%)</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سنغافورة)</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قاعدة البيانات العالمية لأدوات التوسيم:</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2014/15: 533 8 (+302%)</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rPr>
              <w:t>2014: 532 (+186%)</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2015: 516 (+164%)</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2014/15: 743 30 (+789%)</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rPr>
              <w:t>2014: 096 3 (+470%)</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2015: 173 4 (+632%)</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2014/15: 525 15 (+1153%)</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rPr>
              <w:t>2014: 941 8 (+423%)</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2015: 696 17 (+885%)</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(مكتب سنغافورة)</w:t>
            </w:r>
          </w:p>
        </w:tc>
        <w:tc>
          <w:tcPr>
            <w:tcW w:w="793" w:type="dxa"/>
            <w:tcBorders>
              <w:top w:val="nil"/>
              <w:left w:val="nil"/>
              <w:bottom w:val="single" w:sz="4" w:space="0" w:color="auto"/>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Cs/>
                <w:color w:val="FF0000"/>
                <w:sz w:val="28"/>
                <w:szCs w:val="28"/>
                <w:rtl/>
                <w:lang w:bidi="ar-EG"/>
              </w:rPr>
            </w:pPr>
            <w:r>
              <w:rPr>
                <w:rFonts w:ascii="Arabic Typesetting" w:hAnsi="Arabic Typesetting" w:cs="Arabic Typesetting"/>
                <w:bCs/>
                <w:color w:val="FF0000"/>
                <w:sz w:val="28"/>
                <w:szCs w:val="28"/>
                <w:rtl/>
                <w:lang w:bidi="ar-EG"/>
              </w:rPr>
              <w:t>غير محقق</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rsidP="00DA44C1">
            <w:pPr>
              <w:keepNext/>
              <w:bidi/>
              <w:spacing w:after="60" w:line="280" w:lineRule="exact"/>
              <w:ind w:left="1167" w:hanging="1167"/>
              <w:rPr>
                <w:rFonts w:ascii="Arabic Typesetting" w:hAnsi="Arabic Typesetting" w:cs="Arabic Typesetting"/>
                <w:b/>
                <w:bCs/>
                <w:color w:val="008000"/>
                <w:sz w:val="28"/>
                <w:szCs w:val="28"/>
                <w:lang w:bidi="ar-EG"/>
              </w:rPr>
            </w:pPr>
            <w:r>
              <w:rPr>
                <w:rFonts w:ascii="Arabic Typesetting" w:hAnsi="Arabic Typesetting" w:cs="Arabic Typesetting"/>
                <w:b/>
                <w:bCs/>
                <w:sz w:val="28"/>
                <w:szCs w:val="28"/>
                <w:rtl/>
                <w:lang w:bidi="ar-EG"/>
              </w:rPr>
              <w:lastRenderedPageBreak/>
              <w:t>النتيجة المرتقبة:</w:t>
            </w:r>
            <w:r>
              <w:rPr>
                <w:rFonts w:ascii="Arabic Typesetting" w:hAnsi="Arabic Typesetting" w:cs="Arabic Typesetting"/>
                <w:sz w:val="28"/>
                <w:szCs w:val="28"/>
                <w:rtl/>
                <w:lang w:bidi="ar-EG"/>
              </w:rPr>
              <w:tab/>
              <w:t xml:space="preserve">ھ2.7 </w:t>
            </w:r>
            <w:r w:rsidR="00161D28">
              <w:rPr>
                <w:rFonts w:ascii="Arabic Typesetting" w:hAnsi="Arabic Typesetting" w:cs="Arabic Typesetting"/>
                <w:sz w:val="28"/>
                <w:szCs w:val="28"/>
                <w:rtl/>
                <w:lang w:bidi="ar-EG"/>
              </w:rPr>
              <w:t>منصات وأدوات الملكية الفكرية مستخدمة في نقل المعارف وتطويع التكنولوجيا ونشرها من البلدان المتقدمة إلى البلدان النامية، ولا</w:t>
            </w:r>
            <w:r w:rsidR="00DA44C1">
              <w:rPr>
                <w:rFonts w:ascii="Arabic Typesetting" w:hAnsi="Arabic Typesetting" w:cs="Arabic Typesetting" w:hint="cs"/>
                <w:sz w:val="28"/>
                <w:szCs w:val="28"/>
                <w:rtl/>
                <w:lang w:bidi="ar-EG"/>
              </w:rPr>
              <w:t> </w:t>
            </w:r>
            <w:r w:rsidR="00161D28">
              <w:rPr>
                <w:rFonts w:ascii="Arabic Typesetting" w:hAnsi="Arabic Typesetting" w:cs="Arabic Typesetting"/>
                <w:sz w:val="28"/>
                <w:szCs w:val="28"/>
                <w:rtl/>
                <w:lang w:bidi="ar-EG"/>
              </w:rPr>
              <w:t>سيما البلدان الأقل نموا، لمواجهة التحديات العالمية</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 xml:space="preserve">مشاركة أصحاب المصالح في منصات الويبو مثل </w:t>
            </w:r>
            <w:r>
              <w:rPr>
                <w:rFonts w:ascii="Arabic Typesetting" w:hAnsi="Arabic Typesetting" w:cs="Arabic Typesetting"/>
                <w:sz w:val="28"/>
                <w:szCs w:val="28"/>
                <w:lang w:bidi="ar-EG"/>
              </w:rPr>
              <w:t>WIPO GREEN</w:t>
            </w:r>
            <w:r>
              <w:rPr>
                <w:rFonts w:ascii="Arabic Typesetting" w:hAnsi="Arabic Typesetting" w:cs="Arabic Typesetting"/>
                <w:sz w:val="28"/>
                <w:szCs w:val="28"/>
                <w:rtl/>
                <w:lang w:bidi="ar-EG"/>
              </w:rPr>
              <w:t xml:space="preserve"> و</w:t>
            </w:r>
            <w:r>
              <w:rPr>
                <w:rFonts w:ascii="Arabic Typesetting" w:hAnsi="Arabic Typesetting" w:cs="Arabic Typesetting"/>
                <w:sz w:val="28"/>
                <w:szCs w:val="28"/>
                <w:lang w:bidi="ar-EG"/>
              </w:rPr>
              <w:t xml:space="preserve">WIPO </w:t>
            </w:r>
            <w:proofErr w:type="spellStart"/>
            <w:r>
              <w:rPr>
                <w:rFonts w:ascii="Arabic Typesetting" w:hAnsi="Arabic Typesetting" w:cs="Arabic Typesetting"/>
                <w:sz w:val="28"/>
                <w:szCs w:val="28"/>
                <w:lang w:bidi="ar-EG"/>
              </w:rPr>
              <w:t>Re:Search</w:t>
            </w:r>
            <w:proofErr w:type="spellEnd"/>
          </w:p>
        </w:tc>
        <w:tc>
          <w:tcPr>
            <w:tcW w:w="230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أساس المقارنة المُحدَّث في نهاية 2013:</w:t>
            </w:r>
          </w:p>
          <w:p w:rsidR="002502E6" w:rsidRDefault="002502E6">
            <w:pPr>
              <w:bidi/>
              <w:spacing w:before="60" w:after="60" w:line="280" w:lineRule="exact"/>
              <w:rPr>
                <w:rFonts w:ascii="Arabic Typesetting" w:hAnsi="Arabic Typesetting" w:cs="Arabic Typesetting"/>
                <w:i/>
                <w:color w:val="002060"/>
                <w:sz w:val="28"/>
                <w:szCs w:val="28"/>
              </w:rPr>
            </w:pPr>
            <w:r>
              <w:rPr>
                <w:rFonts w:ascii="Arabic Typesetting" w:hAnsi="Arabic Typesetting" w:cs="Arabic Typesetting"/>
                <w:i/>
                <w:color w:val="002060"/>
                <w:sz w:val="28"/>
                <w:szCs w:val="28"/>
                <w:rtl/>
              </w:rPr>
              <w:t>لا ينطبق (مكتب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1 (الجمعية اليابانية للملكية الفكرية)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i/>
                <w:color w:val="002060"/>
                <w:sz w:val="28"/>
                <w:szCs w:val="28"/>
                <w:rtl/>
              </w:rPr>
              <w:t xml:space="preserve">لا يوجد أساس مقارنة متاح لمنصة </w:t>
            </w:r>
            <w:r>
              <w:rPr>
                <w:rFonts w:ascii="Arabic Typesetting" w:hAnsi="Arabic Typesetting" w:cs="Arabic Typesetting"/>
                <w:iCs/>
                <w:color w:val="002060"/>
                <w:sz w:val="28"/>
                <w:szCs w:val="28"/>
              </w:rPr>
              <w:t>WIPO GREEN</w:t>
            </w:r>
            <w:r>
              <w:rPr>
                <w:rFonts w:ascii="Arabic Typesetting" w:hAnsi="Arabic Typesetting" w:cs="Arabic Typesetting"/>
                <w:i/>
                <w:color w:val="002060"/>
                <w:sz w:val="28"/>
                <w:szCs w:val="28"/>
                <w:rtl/>
              </w:rPr>
              <w:t xml:space="preserve"> بسبب إطلاق المنصة في نوفمبر 2013، 848 زاراً لمنصة </w:t>
            </w:r>
            <w:r>
              <w:rPr>
                <w:rFonts w:ascii="Arabic Typesetting" w:hAnsi="Arabic Typesetting" w:cs="Arabic Typesetting"/>
                <w:i/>
                <w:color w:val="002060"/>
                <w:sz w:val="28"/>
                <w:szCs w:val="28"/>
              </w:rPr>
              <w:t xml:space="preserve">WIPO </w:t>
            </w:r>
            <w:proofErr w:type="spellStart"/>
            <w:r>
              <w:rPr>
                <w:rFonts w:ascii="Arabic Typesetting" w:hAnsi="Arabic Typesetting" w:cs="Arabic Typesetting"/>
                <w:i/>
                <w:color w:val="002060"/>
                <w:sz w:val="28"/>
                <w:szCs w:val="28"/>
              </w:rPr>
              <w:t>Re:Search</w:t>
            </w:r>
            <w:proofErr w:type="spellEnd"/>
            <w:r>
              <w:rPr>
                <w:rFonts w:ascii="Arabic Typesetting" w:hAnsi="Arabic Typesetting" w:cs="Arabic Typesetting"/>
                <w:i/>
                <w:color w:val="002060"/>
                <w:sz w:val="28"/>
                <w:szCs w:val="28"/>
                <w:rtl/>
              </w:rPr>
              <w:t xml:space="preserve"> (مكتب سنغافورة)</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rPr>
            </w:pPr>
            <w:r>
              <w:rPr>
                <w:rFonts w:ascii="Arabic Typesetting" w:hAnsi="Arabic Typesetting" w:cs="Arabic Typesetting"/>
                <w:i/>
                <w:iCs/>
                <w:sz w:val="28"/>
                <w:szCs w:val="28"/>
                <w:rtl/>
              </w:rPr>
              <w:t>أساس المقارنة الأصلي في البرنامج والميزانية 2014/15:</w:t>
            </w:r>
            <w:r>
              <w:rPr>
                <w:rFonts w:ascii="Arabic Typesetting" w:hAnsi="Arabic Typesetting" w:cs="Arabic Typesetting"/>
                <w:sz w:val="28"/>
                <w:szCs w:val="28"/>
                <w:rtl/>
              </w:rPr>
              <w:t xml:space="preserve"> </w:t>
            </w:r>
          </w:p>
          <w:p w:rsidR="002502E6" w:rsidRDefault="002502E6">
            <w:pPr>
              <w:bidi/>
              <w:spacing w:before="60" w:after="60" w:line="280" w:lineRule="exact"/>
              <w:rPr>
                <w:rFonts w:ascii="Arabic Typesetting" w:hAnsi="Arabic Typesetting" w:cs="Arabic Typesetting"/>
                <w:sz w:val="28"/>
                <w:szCs w:val="28"/>
                <w:rtl/>
              </w:rPr>
            </w:pPr>
            <w:r>
              <w:rPr>
                <w:rFonts w:ascii="Arabic Typesetting" w:hAnsi="Arabic Typesetting" w:cs="Arabic Typesetting"/>
                <w:sz w:val="28"/>
                <w:szCs w:val="28"/>
                <w:rtl/>
              </w:rPr>
              <w:t>لا ينطبق (مكتب البرازيل)</w:t>
            </w:r>
          </w:p>
          <w:p w:rsidR="002502E6" w:rsidRDefault="002502E6">
            <w:pPr>
              <w:bidi/>
              <w:spacing w:before="60" w:after="60" w:line="280" w:lineRule="exact"/>
              <w:rPr>
                <w:rFonts w:ascii="Arabic Typesetting" w:hAnsi="Arabic Typesetting" w:cs="Arabic Typesetting"/>
                <w:sz w:val="28"/>
                <w:szCs w:val="28"/>
                <w:rtl/>
              </w:rPr>
            </w:pPr>
            <w:r>
              <w:rPr>
                <w:rFonts w:ascii="Arabic Typesetting" w:hAnsi="Arabic Typesetting" w:cs="Arabic Typesetting"/>
                <w:sz w:val="28"/>
                <w:szCs w:val="28"/>
                <w:rtl/>
              </w:rPr>
              <w:t>لا ينطبق (مكتب اليابان)</w:t>
            </w:r>
          </w:p>
          <w:p w:rsidR="002502E6" w:rsidRDefault="002502E6">
            <w:p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يُحدَّد لاحقاً (مكتب سنغافورة)</w:t>
            </w:r>
          </w:p>
        </w:tc>
        <w:tc>
          <w:tcPr>
            <w:tcW w:w="2160" w:type="dxa"/>
            <w:gridSpan w:val="2"/>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 xml:space="preserve">30 تكنولوجيا طورتها مؤسسات وشركات برازيلية في </w:t>
            </w:r>
            <w:r>
              <w:rPr>
                <w:rFonts w:ascii="Arabic Typesetting" w:hAnsi="Arabic Typesetting" w:cs="Arabic Typesetting"/>
                <w:sz w:val="28"/>
                <w:szCs w:val="28"/>
                <w:lang w:bidi="ar-EG"/>
              </w:rPr>
              <w:t>WIPO GREEN</w:t>
            </w:r>
            <w:r>
              <w:rPr>
                <w:rFonts w:ascii="Arabic Typesetting" w:hAnsi="Arabic Typesetting" w:cs="Arabic Typesetting"/>
                <w:sz w:val="28"/>
                <w:szCs w:val="28"/>
                <w:rtl/>
                <w:lang w:bidi="ar-EG"/>
              </w:rPr>
              <w:t xml:space="preserve"> (مكتب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 xml:space="preserve">حالات إضافية في </w:t>
            </w:r>
            <w:r>
              <w:rPr>
                <w:rFonts w:ascii="Arabic Typesetting" w:hAnsi="Arabic Typesetting" w:cs="Arabic Typesetting"/>
                <w:sz w:val="28"/>
                <w:szCs w:val="28"/>
                <w:lang w:bidi="ar-EG"/>
              </w:rPr>
              <w:t>WIPO GREEN</w:t>
            </w:r>
            <w:r>
              <w:rPr>
                <w:rFonts w:ascii="Arabic Typesetting" w:hAnsi="Arabic Typesetting" w:cs="Arabic Typesetting"/>
                <w:sz w:val="28"/>
                <w:szCs w:val="28"/>
                <w:rtl/>
                <w:lang w:bidi="ar-EG"/>
              </w:rPr>
              <w:t xml:space="preserve"> أو مشاركة جديدة في </w:t>
            </w:r>
            <w:r>
              <w:rPr>
                <w:rFonts w:ascii="Arabic Typesetting" w:hAnsi="Arabic Typesetting" w:cs="Arabic Typesetting"/>
                <w:sz w:val="28"/>
                <w:szCs w:val="28"/>
                <w:lang w:bidi="ar-EG"/>
              </w:rPr>
              <w:t>WIPO Re: Search</w:t>
            </w:r>
            <w:r>
              <w:rPr>
                <w:rFonts w:ascii="Arabic Typesetting" w:hAnsi="Arabic Typesetting" w:cs="Arabic Typesetting"/>
                <w:sz w:val="28"/>
                <w:szCs w:val="28"/>
                <w:rtl/>
                <w:lang w:bidi="ar-EG"/>
              </w:rPr>
              <w:t xml:space="preserve">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زيادة بنسبة 5% في عدد المستخدمين من رابطة أمم جنوب شرق آسيا (مكتب سنغافورة)</w:t>
            </w:r>
          </w:p>
        </w:tc>
        <w:tc>
          <w:tcPr>
            <w:tcW w:w="253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 xml:space="preserve">تم تحميل نحو 7 تكنولوجيات جديدة طورتها مؤسسات أو شركات برازيلية في </w:t>
            </w:r>
            <w:r>
              <w:rPr>
                <w:rFonts w:ascii="Arabic Typesetting" w:hAnsi="Arabic Typesetting" w:cs="Arabic Typesetting"/>
                <w:sz w:val="28"/>
                <w:szCs w:val="28"/>
                <w:lang w:bidi="ar-EG"/>
              </w:rPr>
              <w:t>WIPO GREEN</w:t>
            </w:r>
            <w:r>
              <w:rPr>
                <w:rFonts w:ascii="Arabic Typesetting" w:hAnsi="Arabic Typesetting" w:cs="Arabic Typesetting"/>
                <w:sz w:val="28"/>
                <w:szCs w:val="28"/>
                <w:rtl/>
                <w:lang w:bidi="ar-EG"/>
              </w:rPr>
              <w:t xml:space="preserve"> في عام 2015 (مكتب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lang w:bidi="ar-EG"/>
              </w:rPr>
              <w:t>WIPO GREEN</w:t>
            </w:r>
            <w:r>
              <w:rPr>
                <w:rFonts w:ascii="Arabic Typesetting" w:hAnsi="Arabic Typesetting" w:cs="Arabic Typesetting"/>
                <w:sz w:val="28"/>
                <w:szCs w:val="28"/>
                <w:rtl/>
                <w:lang w:bidi="ar-EG"/>
              </w:rPr>
              <w:t>: 22 حالة إضافية في الثنائية 2014/15 (العدد التراكمي: 50)، 4 شركاء إضافيين (</w:t>
            </w:r>
            <w:proofErr w:type="spellStart"/>
            <w:r>
              <w:rPr>
                <w:rFonts w:ascii="Arabic Typesetting" w:hAnsi="Arabic Typesetting" w:cs="Arabic Typesetting"/>
                <w:sz w:val="28"/>
                <w:szCs w:val="28"/>
                <w:lang w:bidi="ar-EG"/>
              </w:rPr>
              <w:t>Waseda</w:t>
            </w:r>
            <w:proofErr w:type="spellEnd"/>
            <w:r>
              <w:rPr>
                <w:rFonts w:ascii="Arabic Typesetting" w:hAnsi="Arabic Typesetting" w:cs="Arabic Typesetting"/>
                <w:sz w:val="28"/>
                <w:szCs w:val="28"/>
                <w:lang w:bidi="ar-EG"/>
              </w:rPr>
              <w:t xml:space="preserve"> Institute</w:t>
            </w:r>
            <w:r>
              <w:rPr>
                <w:rFonts w:ascii="Arabic Typesetting" w:hAnsi="Arabic Typesetting" w:cs="Arabic Typesetting"/>
                <w:sz w:val="28"/>
                <w:szCs w:val="28"/>
                <w:rtl/>
                <w:lang w:bidi="ar-EG"/>
              </w:rPr>
              <w:t>، و</w:t>
            </w:r>
            <w:r>
              <w:rPr>
                <w:rFonts w:ascii="Arabic Typesetting" w:hAnsi="Arabic Typesetting" w:cs="Arabic Typesetting"/>
                <w:sz w:val="28"/>
                <w:szCs w:val="28"/>
                <w:lang w:bidi="ar-EG"/>
              </w:rPr>
              <w:t>Team E-Kansai</w:t>
            </w:r>
            <w:r>
              <w:rPr>
                <w:rFonts w:ascii="Arabic Typesetting" w:hAnsi="Arabic Typesetting" w:cs="Arabic Typesetting"/>
                <w:sz w:val="28"/>
                <w:szCs w:val="28"/>
                <w:rtl/>
                <w:lang w:bidi="ar-EG"/>
              </w:rPr>
              <w:t>، و</w:t>
            </w:r>
            <w:r>
              <w:rPr>
                <w:rFonts w:ascii="Arabic Typesetting" w:hAnsi="Arabic Typesetting" w:cs="Arabic Typesetting"/>
                <w:sz w:val="28"/>
                <w:szCs w:val="28"/>
                <w:lang w:bidi="ar-EG"/>
              </w:rPr>
              <w:t>APICI-JIPII</w:t>
            </w:r>
            <w:r>
              <w:rPr>
                <w:rFonts w:ascii="Arabic Typesetting" w:hAnsi="Arabic Typesetting" w:cs="Arabic Typesetting"/>
                <w:sz w:val="28"/>
                <w:szCs w:val="28"/>
                <w:rtl/>
                <w:lang w:bidi="ar-EG"/>
              </w:rPr>
              <w:t>، و</w:t>
            </w:r>
            <w:r>
              <w:rPr>
                <w:rFonts w:ascii="Arabic Typesetting" w:hAnsi="Arabic Typesetting" w:cs="Arabic Typesetting"/>
                <w:sz w:val="28"/>
                <w:szCs w:val="28"/>
                <w:lang w:bidi="ar-EG"/>
              </w:rPr>
              <w:t>Teijin</w:t>
            </w:r>
            <w:r>
              <w:rPr>
                <w:rFonts w:ascii="Arabic Typesetting" w:hAnsi="Arabic Typesetting" w:cs="Arabic Typesetting"/>
                <w:sz w:val="28"/>
                <w:szCs w:val="28"/>
                <w:rtl/>
                <w:lang w:bidi="ar-EG"/>
              </w:rPr>
              <w:t>)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lang w:bidi="ar-EG"/>
              </w:rPr>
              <w:t>WIPO Re: Search</w:t>
            </w:r>
            <w:r>
              <w:rPr>
                <w:rFonts w:ascii="Arabic Typesetting" w:hAnsi="Arabic Typesetting" w:cs="Arabic Typesetting"/>
                <w:sz w:val="28"/>
                <w:szCs w:val="28"/>
                <w:rtl/>
                <w:lang w:bidi="ar-EG"/>
              </w:rPr>
              <w:t xml:space="preserve">: قامت 4 شركات بتحميل تكنولوجيات بمساعدة مكتب الويبو في اليابان، وشريك جديد واحد (شركة </w:t>
            </w:r>
            <w:proofErr w:type="spellStart"/>
            <w:r>
              <w:rPr>
                <w:rFonts w:ascii="Arabic Typesetting" w:hAnsi="Arabic Typesetting" w:cs="Arabic Typesetting"/>
                <w:sz w:val="28"/>
                <w:szCs w:val="28"/>
                <w:rtl/>
                <w:lang w:bidi="ar-EG"/>
              </w:rPr>
              <w:t>تاكيدا</w:t>
            </w:r>
            <w:proofErr w:type="spellEnd"/>
            <w:r>
              <w:rPr>
                <w:rFonts w:ascii="Arabic Typesetting" w:hAnsi="Arabic Typesetting" w:cs="Arabic Typesetting"/>
                <w:sz w:val="28"/>
                <w:szCs w:val="28"/>
                <w:rtl/>
                <w:lang w:bidi="ar-EG"/>
              </w:rPr>
              <w:t xml:space="preserve"> للأدوية)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lang w:bidi="ar-EG"/>
              </w:rPr>
              <w:t>WIPO GREEN</w:t>
            </w:r>
            <w:r>
              <w:rPr>
                <w:rFonts w:ascii="Arabic Typesetting" w:hAnsi="Arabic Typesetting" w:cs="Arabic Typesetting"/>
                <w:sz w:val="28"/>
                <w:szCs w:val="28"/>
                <w:rtl/>
                <w:lang w:bidi="ar-EG"/>
              </w:rPr>
              <w:t>: 21 مستخدماً في 2014/15 (مكتب سنغافورة)</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lang w:bidi="ar-EG"/>
              </w:rPr>
              <w:t xml:space="preserve">WIPO </w:t>
            </w:r>
            <w:proofErr w:type="spellStart"/>
            <w:r>
              <w:rPr>
                <w:rFonts w:ascii="Arabic Typesetting" w:hAnsi="Arabic Typesetting" w:cs="Arabic Typesetting"/>
                <w:sz w:val="28"/>
                <w:szCs w:val="28"/>
                <w:lang w:bidi="ar-EG"/>
              </w:rPr>
              <w:t>Re:Search</w:t>
            </w:r>
            <w:proofErr w:type="spellEnd"/>
            <w:r>
              <w:rPr>
                <w:rFonts w:ascii="Arabic Typesetting" w:hAnsi="Arabic Typesetting" w:cs="Arabic Typesetting"/>
                <w:sz w:val="28"/>
                <w:szCs w:val="28"/>
                <w:rtl/>
                <w:lang w:bidi="ar-EG"/>
              </w:rPr>
              <w:t>:</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rPr>
              <w:t xml:space="preserve">959 زائراً من رابطة أمم جنوب شرق آسيا لمنصة </w:t>
            </w:r>
            <w:r>
              <w:rPr>
                <w:rFonts w:ascii="Arabic Typesetting" w:hAnsi="Arabic Typesetting" w:cs="Arabic Typesetting"/>
                <w:sz w:val="28"/>
                <w:szCs w:val="28"/>
              </w:rPr>
              <w:t xml:space="preserve">WIPO </w:t>
            </w:r>
            <w:proofErr w:type="spellStart"/>
            <w:r>
              <w:rPr>
                <w:rFonts w:ascii="Arabic Typesetting" w:hAnsi="Arabic Typesetting" w:cs="Arabic Typesetting"/>
                <w:sz w:val="28"/>
                <w:szCs w:val="28"/>
              </w:rPr>
              <w:t>Re:Search</w:t>
            </w:r>
            <w:proofErr w:type="spellEnd"/>
            <w:r>
              <w:rPr>
                <w:rFonts w:ascii="Arabic Typesetting" w:hAnsi="Arabic Typesetting" w:cs="Arabic Typesetting"/>
                <w:sz w:val="28"/>
                <w:szCs w:val="28"/>
                <w:rtl/>
              </w:rPr>
              <w:t xml:space="preserve"> في عام 2014 (زيادة بنسبة 13%)</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417 زائراً من رابطة أمم جنوب شرق آسيا في عام 2015 (انخفاض بنسبة -57%)</w:t>
            </w:r>
          </w:p>
          <w:p w:rsidR="002502E6" w:rsidRDefault="002502E6">
            <w:p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بالإضافة إلى شريك جديد واحد من الفلبين (معهد بحوث طب الأمراض الاستوائية) (مكتب سنغافورة)</w:t>
            </w:r>
          </w:p>
        </w:tc>
        <w:tc>
          <w:tcPr>
            <w:tcW w:w="793" w:type="dxa"/>
            <w:tcBorders>
              <w:top w:val="nil"/>
              <w:left w:val="nil"/>
              <w:bottom w:val="single" w:sz="4" w:space="0" w:color="auto"/>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Cs/>
                <w:color w:val="FF0000"/>
                <w:sz w:val="28"/>
                <w:szCs w:val="28"/>
                <w:rtl/>
                <w:lang w:bidi="ar-EG"/>
              </w:rPr>
              <w:t>غير محقق</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808080"/>
                <w:sz w:val="28"/>
                <w:szCs w:val="28"/>
                <w:rtl/>
              </w:rPr>
              <w:t>غير قابل للقياس</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Cs/>
                <w:color w:val="FF0000"/>
                <w:sz w:val="28"/>
                <w:szCs w:val="28"/>
                <w:rtl/>
                <w:lang w:bidi="ar-EG"/>
              </w:rPr>
              <w:t>غير محقق</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rsidP="00DA44C1">
            <w:pPr>
              <w:keepNext/>
              <w:bidi/>
              <w:spacing w:after="60" w:line="280" w:lineRule="exact"/>
              <w:ind w:left="1167" w:hanging="1167"/>
              <w:rPr>
                <w:rFonts w:ascii="Arabic Typesetting" w:hAnsi="Arabic Typesetting" w:cs="Arabic Typesetting"/>
                <w:sz w:val="28"/>
                <w:szCs w:val="28"/>
                <w:lang w:bidi="ar-EG"/>
              </w:rPr>
            </w:pPr>
            <w:r>
              <w:rPr>
                <w:rFonts w:ascii="Arabic Typesetting" w:hAnsi="Arabic Typesetting" w:cs="Arabic Typesetting"/>
                <w:b/>
                <w:bCs/>
                <w:sz w:val="28"/>
                <w:szCs w:val="28"/>
                <w:rtl/>
                <w:lang w:bidi="ar-EG"/>
              </w:rPr>
              <w:lastRenderedPageBreak/>
              <w:t>النتيجة المرتقبة:</w:t>
            </w:r>
            <w:r>
              <w:rPr>
                <w:rFonts w:ascii="Arabic Typesetting" w:hAnsi="Arabic Typesetting" w:cs="Arabic Typesetting"/>
                <w:sz w:val="28"/>
                <w:szCs w:val="28"/>
                <w:rtl/>
                <w:lang w:bidi="ar-EG"/>
              </w:rPr>
              <w:tab/>
              <w:t xml:space="preserve">ھ1.8 </w:t>
            </w:r>
            <w:r w:rsidR="00161D28">
              <w:rPr>
                <w:rFonts w:ascii="Arabic Typesetting" w:hAnsi="Arabic Typesetting" w:cs="Arabic Typesetting"/>
                <w:sz w:val="28"/>
                <w:szCs w:val="28"/>
                <w:rtl/>
                <w:lang w:bidi="ar-EG"/>
              </w:rPr>
              <w:t>التواصل بفعالية أكبر مع جمهور أوسع بشأن الملكية الفكرية ودور الويبو</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rsidP="00161D28">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rsidP="00161D28">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rsidP="00161D28">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زيادة عدد زيارات الموقع الإلكتروني لمكاتب الويبو الخارجية</w:t>
            </w:r>
          </w:p>
        </w:tc>
        <w:tc>
          <w:tcPr>
            <w:tcW w:w="2307" w:type="dxa"/>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أساس المقارنة المُحدَّث في نهاية 2013:</w:t>
            </w:r>
          </w:p>
          <w:p w:rsidR="002502E6" w:rsidRDefault="002502E6">
            <w:pPr>
              <w:bidi/>
              <w:spacing w:before="60" w:after="60" w:line="280" w:lineRule="exact"/>
              <w:rPr>
                <w:rFonts w:ascii="Arabic Typesetting" w:hAnsi="Arabic Typesetting" w:cs="Arabic Typesetting"/>
                <w:i/>
                <w:color w:val="002060"/>
                <w:sz w:val="28"/>
                <w:szCs w:val="28"/>
              </w:rPr>
            </w:pPr>
            <w:r>
              <w:rPr>
                <w:rFonts w:ascii="Arabic Typesetting" w:hAnsi="Arabic Typesetting" w:cs="Arabic Typesetting"/>
                <w:i/>
                <w:color w:val="002060"/>
                <w:sz w:val="28"/>
                <w:szCs w:val="28"/>
                <w:rtl/>
              </w:rPr>
              <w:t>لا ينطبق (مكتب البرازيل)</w:t>
            </w:r>
          </w:p>
          <w:p w:rsidR="002502E6" w:rsidRDefault="002502E6">
            <w:pPr>
              <w:bidi/>
              <w:spacing w:before="60" w:after="60" w:line="280" w:lineRule="exact"/>
              <w:rPr>
                <w:rFonts w:ascii="Arabic Typesetting" w:hAnsi="Arabic Typesetting" w:cs="Arabic Typesetting"/>
                <w:i/>
                <w:color w:val="002060"/>
                <w:sz w:val="28"/>
                <w:szCs w:val="28"/>
              </w:rPr>
            </w:pPr>
            <w:r>
              <w:rPr>
                <w:rFonts w:ascii="Arabic Typesetting" w:hAnsi="Arabic Typesetting" w:cs="Arabic Typesetting"/>
                <w:i/>
                <w:color w:val="002060"/>
                <w:sz w:val="28"/>
                <w:szCs w:val="28"/>
                <w:rtl/>
              </w:rPr>
              <w:t>900 5 (مكتب اليابان)</w:t>
            </w:r>
          </w:p>
          <w:p w:rsidR="002502E6" w:rsidRDefault="002502E6">
            <w:pPr>
              <w:bidi/>
              <w:spacing w:before="60" w:after="60" w:line="280" w:lineRule="exact"/>
              <w:rPr>
                <w:rFonts w:ascii="Arabic Typesetting" w:hAnsi="Arabic Typesetting" w:cs="Arabic Typesetting"/>
                <w:i/>
                <w:color w:val="002060"/>
                <w:sz w:val="28"/>
                <w:szCs w:val="28"/>
              </w:rPr>
            </w:pPr>
            <w:r>
              <w:rPr>
                <w:rFonts w:ascii="Arabic Typesetting" w:hAnsi="Arabic Typesetting" w:cs="Arabic Typesetting"/>
                <w:i/>
                <w:color w:val="002060"/>
                <w:sz w:val="28"/>
                <w:szCs w:val="28"/>
                <w:rtl/>
              </w:rPr>
              <w:t>717 9 مشاهدة للصفحات (مكتب سنغافورة)</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أساس المقارنة الأصلي في البرنامج والميزانية 2014/15:</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يُحدَّد لاحقاً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يُحدَّد لاحقاً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يُحدَّد لاحقاً (مكتب سنغافورة)</w:t>
            </w:r>
          </w:p>
        </w:tc>
        <w:tc>
          <w:tcPr>
            <w:tcW w:w="2160" w:type="dxa"/>
            <w:gridSpan w:val="2"/>
            <w:tcBorders>
              <w:top w:val="nil"/>
              <w:left w:val="nil"/>
              <w:bottom w:val="nil"/>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زيادة عدد الزيارات بنسبة:</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5% من البرازيل (مكتب البرازيل)</w:t>
            </w:r>
          </w:p>
          <w:p w:rsidR="002502E6" w:rsidRDefault="002502E6">
            <w:pPr>
              <w:bidi/>
              <w:spacing w:before="60" w:after="60" w:line="280" w:lineRule="exact"/>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5% (مكتب اليابان)</w:t>
            </w:r>
            <w:r w:rsidRPr="0099688F">
              <w:rPr>
                <w:rStyle w:val="FootnoteReference"/>
                <w:rFonts w:ascii="Arabic Typesetting" w:hAnsi="Arabic Typesetting" w:cs="Arabic Typesetting"/>
                <w:sz w:val="28"/>
                <w:szCs w:val="28"/>
                <w:lang w:bidi="ar-EG"/>
              </w:rPr>
              <w:footnoteReference w:id="118"/>
            </w:r>
          </w:p>
          <w:p w:rsidR="002502E6" w:rsidRDefault="002502E6">
            <w:pPr>
              <w:bidi/>
              <w:spacing w:before="60" w:after="60" w:line="280" w:lineRule="exact"/>
              <w:rPr>
                <w:rFonts w:ascii="Arabic Typesetting" w:hAnsi="Arabic Typesetting" w:cs="Arabic Typesetting"/>
                <w:sz w:val="28"/>
                <w:szCs w:val="28"/>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5% من منطقة رابطة أمم جنوب شرق آسيا (مكتب سنغافورة)</w:t>
            </w:r>
          </w:p>
        </w:tc>
        <w:tc>
          <w:tcPr>
            <w:tcW w:w="2537" w:type="dxa"/>
            <w:tcBorders>
              <w:top w:val="nil"/>
              <w:left w:val="nil"/>
              <w:bottom w:val="nil"/>
              <w:right w:val="nil"/>
            </w:tcBorders>
            <w:hideMark/>
          </w:tcPr>
          <w:tbl>
            <w:tblPr>
              <w:tblStyle w:val="TableGrid"/>
              <w:bidiVisual/>
              <w:tblW w:w="2505" w:type="dxa"/>
              <w:tblInd w:w="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98"/>
              <w:gridCol w:w="807"/>
              <w:gridCol w:w="800"/>
            </w:tblGrid>
            <w:tr w:rsidR="002502E6" w:rsidTr="0099688F">
              <w:tc>
                <w:tcPr>
                  <w:tcW w:w="898" w:type="dxa"/>
                </w:tcPr>
                <w:p w:rsidR="002502E6" w:rsidRDefault="002502E6">
                  <w:pPr>
                    <w:bidi/>
                    <w:spacing w:before="60" w:after="60" w:line="280" w:lineRule="exact"/>
                    <w:rPr>
                      <w:rFonts w:ascii="Arabic Typesetting" w:hAnsi="Arabic Typesetting" w:cs="Arabic Typesetting"/>
                      <w:sz w:val="24"/>
                      <w:szCs w:val="24"/>
                      <w:lang w:bidi="ar-EG"/>
                    </w:rPr>
                  </w:pPr>
                </w:p>
              </w:tc>
              <w:tc>
                <w:tcPr>
                  <w:tcW w:w="807" w:type="dxa"/>
                  <w:hideMark/>
                </w:tcPr>
                <w:p w:rsidR="002502E6" w:rsidRDefault="002502E6">
                  <w:pPr>
                    <w:bidi/>
                    <w:spacing w:before="60" w:after="60" w:line="280" w:lineRule="exact"/>
                    <w:jc w:val="center"/>
                    <w:rPr>
                      <w:rFonts w:ascii="Arabic Typesetting" w:hAnsi="Arabic Typesetting" w:cs="Arabic Typesetting"/>
                      <w:sz w:val="24"/>
                      <w:szCs w:val="24"/>
                      <w:lang w:bidi="ar-EG"/>
                    </w:rPr>
                  </w:pPr>
                  <w:r>
                    <w:rPr>
                      <w:rFonts w:ascii="Arabic Typesetting" w:hAnsi="Arabic Typesetting" w:cs="Arabic Typesetting"/>
                      <w:sz w:val="24"/>
                      <w:szCs w:val="24"/>
                      <w:rtl/>
                      <w:lang w:bidi="ar-EG"/>
                    </w:rPr>
                    <w:t>2014</w:t>
                  </w:r>
                </w:p>
              </w:tc>
              <w:tc>
                <w:tcPr>
                  <w:tcW w:w="800" w:type="dxa"/>
                  <w:hideMark/>
                </w:tcPr>
                <w:p w:rsidR="002502E6" w:rsidRDefault="002502E6">
                  <w:pPr>
                    <w:bidi/>
                    <w:spacing w:before="60" w:after="60" w:line="280" w:lineRule="exact"/>
                    <w:jc w:val="center"/>
                    <w:rPr>
                      <w:rFonts w:ascii="Arabic Typesetting" w:hAnsi="Arabic Typesetting" w:cs="Arabic Typesetting"/>
                      <w:sz w:val="24"/>
                      <w:szCs w:val="24"/>
                      <w:lang w:bidi="ar-EG"/>
                    </w:rPr>
                  </w:pPr>
                  <w:r>
                    <w:rPr>
                      <w:rFonts w:ascii="Arabic Typesetting" w:hAnsi="Arabic Typesetting" w:cs="Arabic Typesetting"/>
                      <w:sz w:val="24"/>
                      <w:szCs w:val="24"/>
                      <w:rtl/>
                      <w:lang w:bidi="ar-EG"/>
                    </w:rPr>
                    <w:t>2015</w:t>
                  </w:r>
                </w:p>
              </w:tc>
            </w:tr>
            <w:tr w:rsidR="002502E6" w:rsidTr="0099688F">
              <w:tc>
                <w:tcPr>
                  <w:tcW w:w="898" w:type="dxa"/>
                  <w:hideMark/>
                </w:tcPr>
                <w:p w:rsidR="002502E6" w:rsidRDefault="002502E6">
                  <w:pPr>
                    <w:bidi/>
                    <w:spacing w:before="60" w:after="60" w:line="280" w:lineRule="exact"/>
                    <w:rPr>
                      <w:rFonts w:ascii="Arabic Typesetting" w:hAnsi="Arabic Typesetting" w:cs="Arabic Typesetting"/>
                      <w:sz w:val="24"/>
                      <w:szCs w:val="24"/>
                      <w:lang w:bidi="ar-EG"/>
                    </w:rPr>
                  </w:pPr>
                  <w:r>
                    <w:rPr>
                      <w:rFonts w:ascii="Arabic Typesetting" w:hAnsi="Arabic Typesetting" w:cs="Arabic Typesetting"/>
                      <w:sz w:val="24"/>
                      <w:szCs w:val="24"/>
                      <w:rtl/>
                      <w:lang w:bidi="ar-EG"/>
                    </w:rPr>
                    <w:t>مكتب البرازيل</w:t>
                  </w:r>
                </w:p>
              </w:tc>
              <w:tc>
                <w:tcPr>
                  <w:tcW w:w="807" w:type="dxa"/>
                  <w:hideMark/>
                </w:tcPr>
                <w:p w:rsidR="002502E6" w:rsidRDefault="002502E6">
                  <w:pPr>
                    <w:bidi/>
                    <w:spacing w:before="60" w:after="60" w:line="280" w:lineRule="exact"/>
                    <w:jc w:val="center"/>
                    <w:rPr>
                      <w:rFonts w:ascii="Arabic Typesetting" w:hAnsi="Arabic Typesetting" w:cs="Arabic Typesetting"/>
                      <w:sz w:val="24"/>
                      <w:szCs w:val="24"/>
                      <w:lang w:bidi="ar-EG"/>
                    </w:rPr>
                  </w:pPr>
                  <w:r>
                    <w:rPr>
                      <w:rFonts w:ascii="Arabic Typesetting" w:hAnsi="Arabic Typesetting" w:cs="Arabic Typesetting"/>
                      <w:sz w:val="24"/>
                      <w:szCs w:val="24"/>
                      <w:rtl/>
                      <w:lang w:bidi="ar-EG"/>
                    </w:rPr>
                    <w:t>لا ينطبق</w:t>
                  </w:r>
                  <w:r w:rsidRPr="0099688F">
                    <w:rPr>
                      <w:rStyle w:val="FootnoteReference"/>
                      <w:rFonts w:ascii="Arabic Typesetting" w:hAnsi="Arabic Typesetting" w:cs="Arabic Typesetting"/>
                      <w:sz w:val="28"/>
                      <w:szCs w:val="28"/>
                      <w:rtl/>
                      <w:lang w:bidi="ar-EG"/>
                    </w:rPr>
                    <w:footnoteReference w:id="119"/>
                  </w:r>
                </w:p>
              </w:tc>
              <w:tc>
                <w:tcPr>
                  <w:tcW w:w="800" w:type="dxa"/>
                  <w:hideMark/>
                </w:tcPr>
                <w:p w:rsidR="002502E6" w:rsidRDefault="002502E6">
                  <w:pPr>
                    <w:bidi/>
                    <w:spacing w:before="60" w:after="60" w:line="280" w:lineRule="exact"/>
                    <w:jc w:val="center"/>
                    <w:rPr>
                      <w:rFonts w:ascii="Arabic Typesetting" w:hAnsi="Arabic Typesetting" w:cs="Arabic Typesetting"/>
                      <w:sz w:val="24"/>
                      <w:szCs w:val="24"/>
                      <w:lang w:bidi="ar-EG"/>
                    </w:rPr>
                  </w:pPr>
                  <w:r>
                    <w:rPr>
                      <w:rFonts w:ascii="Arabic Typesetting" w:hAnsi="Arabic Typesetting" w:cs="Arabic Typesetting"/>
                      <w:sz w:val="24"/>
                      <w:szCs w:val="24"/>
                      <w:rtl/>
                      <w:lang w:bidi="ar-EG"/>
                    </w:rPr>
                    <w:t>966 1</w:t>
                  </w:r>
                </w:p>
              </w:tc>
            </w:tr>
            <w:tr w:rsidR="002502E6" w:rsidTr="0099688F">
              <w:tc>
                <w:tcPr>
                  <w:tcW w:w="898" w:type="dxa"/>
                  <w:hideMark/>
                </w:tcPr>
                <w:p w:rsidR="002502E6" w:rsidRDefault="002502E6">
                  <w:pPr>
                    <w:bidi/>
                    <w:spacing w:before="60" w:after="60" w:line="280" w:lineRule="exact"/>
                    <w:rPr>
                      <w:rFonts w:ascii="Arabic Typesetting" w:hAnsi="Arabic Typesetting" w:cs="Arabic Typesetting"/>
                      <w:sz w:val="24"/>
                      <w:szCs w:val="24"/>
                      <w:lang w:bidi="ar-EG"/>
                    </w:rPr>
                  </w:pPr>
                  <w:r>
                    <w:rPr>
                      <w:rFonts w:ascii="Arabic Typesetting" w:hAnsi="Arabic Typesetting" w:cs="Arabic Typesetting"/>
                      <w:sz w:val="24"/>
                      <w:szCs w:val="24"/>
                      <w:rtl/>
                      <w:lang w:bidi="ar-EG"/>
                    </w:rPr>
                    <w:t>مكتب اليابان</w:t>
                  </w:r>
                </w:p>
              </w:tc>
              <w:tc>
                <w:tcPr>
                  <w:tcW w:w="807" w:type="dxa"/>
                  <w:hideMark/>
                </w:tcPr>
                <w:p w:rsidR="002502E6" w:rsidRDefault="002502E6">
                  <w:pPr>
                    <w:bidi/>
                    <w:spacing w:before="60" w:after="60" w:line="280" w:lineRule="exact"/>
                    <w:jc w:val="center"/>
                    <w:rPr>
                      <w:rFonts w:ascii="Arabic Typesetting" w:hAnsi="Arabic Typesetting" w:cs="Arabic Typesetting"/>
                      <w:sz w:val="24"/>
                      <w:szCs w:val="24"/>
                      <w:lang w:bidi="ar-EG"/>
                    </w:rPr>
                  </w:pPr>
                  <w:r>
                    <w:rPr>
                      <w:rFonts w:ascii="Arabic Typesetting" w:hAnsi="Arabic Typesetting" w:cs="Arabic Typesetting"/>
                      <w:sz w:val="24"/>
                      <w:szCs w:val="24"/>
                      <w:rtl/>
                      <w:lang w:bidi="ar-EG"/>
                    </w:rPr>
                    <w:t>+30% (650 7 مشاهدة)</w:t>
                  </w:r>
                </w:p>
              </w:tc>
              <w:tc>
                <w:tcPr>
                  <w:tcW w:w="800" w:type="dxa"/>
                  <w:hideMark/>
                </w:tcPr>
                <w:p w:rsidR="002502E6" w:rsidRDefault="002502E6">
                  <w:pPr>
                    <w:bidi/>
                    <w:spacing w:before="60" w:after="60" w:line="280" w:lineRule="exact"/>
                    <w:jc w:val="center"/>
                    <w:rPr>
                      <w:rFonts w:ascii="Arabic Typesetting" w:hAnsi="Arabic Typesetting" w:cs="Arabic Typesetting"/>
                      <w:sz w:val="24"/>
                      <w:szCs w:val="24"/>
                      <w:lang w:bidi="ar-EG"/>
                    </w:rPr>
                  </w:pPr>
                  <w:r>
                    <w:rPr>
                      <w:rFonts w:ascii="Arabic Typesetting" w:hAnsi="Arabic Typesetting" w:cs="Arabic Typesetting"/>
                      <w:sz w:val="24"/>
                      <w:szCs w:val="24"/>
                      <w:rtl/>
                      <w:lang w:bidi="ar-EG"/>
                    </w:rPr>
                    <w:t>+13%</w:t>
                  </w:r>
                  <w:r w:rsidRPr="0099688F">
                    <w:rPr>
                      <w:rStyle w:val="FootnoteReference"/>
                      <w:rFonts w:ascii="Arabic Typesetting" w:hAnsi="Arabic Typesetting" w:cs="Arabic Typesetting"/>
                      <w:sz w:val="28"/>
                      <w:szCs w:val="28"/>
                      <w:rtl/>
                      <w:lang w:bidi="ar-EG"/>
                    </w:rPr>
                    <w:footnoteReference w:id="120"/>
                  </w:r>
                  <w:r>
                    <w:rPr>
                      <w:rFonts w:ascii="Arabic Typesetting" w:hAnsi="Arabic Typesetting" w:cs="Arabic Typesetting"/>
                      <w:sz w:val="24"/>
                      <w:szCs w:val="24"/>
                      <w:rtl/>
                      <w:lang w:bidi="ar-EG"/>
                    </w:rPr>
                    <w:t xml:space="preserve"> (027 7 مشاهدة)</w:t>
                  </w:r>
                </w:p>
              </w:tc>
            </w:tr>
            <w:tr w:rsidR="002502E6" w:rsidTr="0099688F">
              <w:tc>
                <w:tcPr>
                  <w:tcW w:w="898" w:type="dxa"/>
                  <w:hideMark/>
                </w:tcPr>
                <w:p w:rsidR="002502E6" w:rsidRDefault="002502E6">
                  <w:pPr>
                    <w:bidi/>
                    <w:spacing w:before="60" w:after="60" w:line="280" w:lineRule="exact"/>
                    <w:rPr>
                      <w:rFonts w:ascii="Arabic Typesetting" w:hAnsi="Arabic Typesetting" w:cs="Arabic Typesetting"/>
                      <w:sz w:val="24"/>
                      <w:szCs w:val="24"/>
                      <w:lang w:bidi="ar-EG"/>
                    </w:rPr>
                  </w:pPr>
                  <w:r>
                    <w:rPr>
                      <w:rFonts w:ascii="Arabic Typesetting" w:hAnsi="Arabic Typesetting" w:cs="Arabic Typesetting"/>
                      <w:sz w:val="24"/>
                      <w:szCs w:val="24"/>
                      <w:rtl/>
                      <w:lang w:bidi="ar-EG"/>
                    </w:rPr>
                    <w:t>مكتب سنغافورة</w:t>
                  </w:r>
                </w:p>
              </w:tc>
              <w:tc>
                <w:tcPr>
                  <w:tcW w:w="807" w:type="dxa"/>
                  <w:hideMark/>
                </w:tcPr>
                <w:p w:rsidR="002502E6" w:rsidRDefault="002502E6">
                  <w:pPr>
                    <w:bidi/>
                    <w:spacing w:before="60" w:after="60" w:line="280" w:lineRule="exact"/>
                    <w:jc w:val="center"/>
                    <w:rPr>
                      <w:rFonts w:ascii="Arabic Typesetting" w:hAnsi="Arabic Typesetting" w:cs="Arabic Typesetting"/>
                      <w:sz w:val="24"/>
                      <w:szCs w:val="24"/>
                      <w:lang w:bidi="ar-EG"/>
                    </w:rPr>
                  </w:pPr>
                  <w:r>
                    <w:rPr>
                      <w:rFonts w:ascii="Arabic Typesetting" w:hAnsi="Arabic Typesetting" w:cs="Arabic Typesetting"/>
                      <w:sz w:val="24"/>
                      <w:szCs w:val="24"/>
                      <w:rtl/>
                      <w:lang w:bidi="ar-EG"/>
                    </w:rPr>
                    <w:t>+2% (882 9 مشاهدة)</w:t>
                  </w:r>
                </w:p>
              </w:tc>
              <w:tc>
                <w:tcPr>
                  <w:tcW w:w="800" w:type="dxa"/>
                  <w:hideMark/>
                </w:tcPr>
                <w:p w:rsidR="002502E6" w:rsidRDefault="002502E6">
                  <w:pPr>
                    <w:bidi/>
                    <w:spacing w:before="60" w:after="60" w:line="280" w:lineRule="exact"/>
                    <w:jc w:val="center"/>
                    <w:rPr>
                      <w:rFonts w:ascii="Arabic Typesetting" w:hAnsi="Arabic Typesetting" w:cs="Arabic Typesetting"/>
                      <w:sz w:val="24"/>
                      <w:szCs w:val="24"/>
                      <w:lang w:bidi="ar-EG"/>
                    </w:rPr>
                  </w:pPr>
                  <w:r>
                    <w:rPr>
                      <w:rFonts w:ascii="Arabic Typesetting" w:hAnsi="Arabic Typesetting" w:cs="Arabic Typesetting"/>
                      <w:sz w:val="24"/>
                      <w:szCs w:val="24"/>
                      <w:rtl/>
                      <w:lang w:bidi="ar-EG"/>
                    </w:rPr>
                    <w:t>+2% (042 10 مشاهدة)</w:t>
                  </w:r>
                </w:p>
              </w:tc>
            </w:tr>
          </w:tbl>
          <w:p w:rsidR="002502E6" w:rsidRDefault="002502E6">
            <w:pPr>
              <w:bidi/>
              <w:spacing w:before="60" w:after="60" w:line="280" w:lineRule="exact"/>
              <w:rPr>
                <w:rFonts w:ascii="Arabic Typesetting" w:hAnsi="Arabic Typesetting" w:cs="Arabic Typesetting"/>
                <w:sz w:val="28"/>
                <w:szCs w:val="28"/>
                <w:lang w:bidi="ar-EG"/>
              </w:rPr>
            </w:pPr>
          </w:p>
        </w:tc>
        <w:tc>
          <w:tcPr>
            <w:tcW w:w="793" w:type="dxa"/>
            <w:tcBorders>
              <w:top w:val="nil"/>
              <w:left w:val="nil"/>
              <w:bottom w:val="nil"/>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rsidP="0099688F">
            <w:pPr>
              <w:bidi/>
              <w:spacing w:before="60" w:after="60" w:line="280" w:lineRule="exact"/>
              <w:jc w:val="center"/>
              <w:rPr>
                <w:rFonts w:ascii="Arabic Typesetting" w:hAnsi="Arabic Typesetting" w:cs="Arabic Typesetting"/>
                <w:b/>
                <w:bCs/>
                <w:color w:val="808080"/>
                <w:sz w:val="28"/>
                <w:szCs w:val="28"/>
                <w:rtl/>
              </w:rPr>
            </w:pPr>
            <w:r>
              <w:rPr>
                <w:rFonts w:ascii="Arabic Typesetting" w:hAnsi="Arabic Typesetting" w:cs="Arabic Typesetting"/>
                <w:b/>
                <w:bCs/>
                <w:color w:val="808080"/>
                <w:sz w:val="28"/>
                <w:szCs w:val="28"/>
                <w:rtl/>
              </w:rPr>
              <w:t>غير قابل للقياس</w:t>
            </w:r>
          </w:p>
          <w:p w:rsidR="002502E6" w:rsidRDefault="002502E6" w:rsidP="0099688F">
            <w:pPr>
              <w:bidi/>
              <w:spacing w:before="60" w:after="60" w:line="280" w:lineRule="exact"/>
              <w:jc w:val="center"/>
              <w:rPr>
                <w:rFonts w:ascii="Arabic Typesetting" w:hAnsi="Arabic Typesetting" w:cs="Arabic Typesetting"/>
                <w:b/>
                <w:bCs/>
                <w:color w:val="008000"/>
                <w:sz w:val="28"/>
                <w:szCs w:val="28"/>
                <w:rtl/>
                <w:lang w:bidi="ar-EG"/>
              </w:rPr>
            </w:pPr>
          </w:p>
          <w:p w:rsidR="002502E6" w:rsidRDefault="002502E6" w:rsidP="0099688F">
            <w:pPr>
              <w:bidi/>
              <w:spacing w:before="60" w:after="60" w:line="280" w:lineRule="exact"/>
              <w:jc w:val="center"/>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rsidP="0099688F">
            <w:pPr>
              <w:bidi/>
              <w:spacing w:before="60" w:after="60" w:line="280" w:lineRule="exact"/>
              <w:jc w:val="center"/>
              <w:rPr>
                <w:rFonts w:ascii="Arabic Typesetting" w:hAnsi="Arabic Typesetting" w:cs="Arabic Typesetting"/>
                <w:b/>
                <w:bCs/>
                <w:color w:val="008000"/>
                <w:sz w:val="28"/>
                <w:szCs w:val="28"/>
                <w:rtl/>
                <w:lang w:bidi="ar-EG"/>
              </w:rPr>
            </w:pPr>
          </w:p>
          <w:p w:rsidR="002502E6" w:rsidRDefault="002502E6" w:rsidP="0099688F">
            <w:pPr>
              <w:bidi/>
              <w:spacing w:before="60" w:after="60" w:line="280" w:lineRule="exact"/>
              <w:jc w:val="center"/>
              <w:rPr>
                <w:rFonts w:ascii="Arabic Typesetting" w:hAnsi="Arabic Typesetting" w:cs="Arabic Typesetting"/>
                <w:b/>
                <w:bCs/>
                <w:color w:val="008000"/>
                <w:sz w:val="28"/>
                <w:szCs w:val="28"/>
                <w:lang w:bidi="ar-EG"/>
              </w:rPr>
            </w:pPr>
            <w:r>
              <w:rPr>
                <w:rFonts w:ascii="Arabic Typesetting" w:hAnsi="Arabic Typesetting" w:cs="Arabic Typesetting"/>
                <w:b/>
                <w:bCs/>
                <w:color w:val="E26B0A"/>
                <w:sz w:val="28"/>
                <w:szCs w:val="28"/>
                <w:rtl/>
              </w:rPr>
              <w:t>محقق جزئياً</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النسبة المئوية لأصحاب المصالح الذين لديهم اعتراف إيجابي بمهمة الويبو وأنشطتها والصورة التي تتمتع بها كمنظمة</w:t>
            </w:r>
          </w:p>
        </w:tc>
        <w:tc>
          <w:tcPr>
            <w:tcW w:w="230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لا ينطبق (مكتب سنغافورة)</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البرازيل)</w:t>
            </w:r>
          </w:p>
        </w:tc>
        <w:tc>
          <w:tcPr>
            <w:tcW w:w="2160" w:type="dxa"/>
            <w:gridSpan w:val="2"/>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75%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75%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أكثر من 70% من المشاركين في أحداث الويبو الرئيسية (مكتب سنغافورة)</w:t>
            </w:r>
          </w:p>
        </w:tc>
        <w:tc>
          <w:tcPr>
            <w:tcW w:w="253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75% (مكتب البرازيل)</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94% (مكتب اليابان)</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90% (مكتب سنغافورة)</w:t>
            </w:r>
          </w:p>
        </w:tc>
        <w:tc>
          <w:tcPr>
            <w:tcW w:w="793" w:type="dxa"/>
            <w:tcBorders>
              <w:top w:val="nil"/>
              <w:left w:val="nil"/>
              <w:bottom w:val="single" w:sz="4" w:space="0" w:color="auto"/>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008000"/>
                <w:sz w:val="28"/>
                <w:szCs w:val="28"/>
                <w:rtl/>
                <w:lang w:bidi="ar-EG"/>
              </w:rPr>
              <w:t>محقق كلياً</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rsidP="00DA44C1">
            <w:pPr>
              <w:keepNext/>
              <w:bidi/>
              <w:spacing w:after="60" w:line="280" w:lineRule="exact"/>
              <w:ind w:left="1167" w:hanging="1167"/>
              <w:rPr>
                <w:rFonts w:ascii="Arabic Typesetting" w:hAnsi="Arabic Typesetting" w:cs="Arabic Typesetting"/>
                <w:b/>
                <w:bCs/>
                <w:color w:val="008000"/>
                <w:sz w:val="28"/>
                <w:szCs w:val="28"/>
                <w:lang w:bidi="ar-EG"/>
              </w:rPr>
            </w:pPr>
            <w:r>
              <w:rPr>
                <w:rFonts w:ascii="Arabic Typesetting" w:hAnsi="Arabic Typesetting" w:cs="Arabic Typesetting"/>
                <w:b/>
                <w:bCs/>
                <w:sz w:val="28"/>
                <w:szCs w:val="28"/>
                <w:rtl/>
                <w:lang w:bidi="ar-EG"/>
              </w:rPr>
              <w:t>النتيجة المرتقبة:</w:t>
            </w:r>
            <w:r>
              <w:rPr>
                <w:rFonts w:ascii="Arabic Typesetting" w:hAnsi="Arabic Typesetting" w:cs="Arabic Typesetting"/>
                <w:sz w:val="28"/>
                <w:szCs w:val="28"/>
                <w:rtl/>
                <w:lang w:bidi="ar-EG"/>
              </w:rPr>
              <w:tab/>
              <w:t xml:space="preserve">ھ2.8 </w:t>
            </w:r>
            <w:r w:rsidR="0099688F">
              <w:rPr>
                <w:rFonts w:ascii="Arabic Typesetting" w:hAnsi="Arabic Typesetting" w:cs="Arabic Typesetting"/>
                <w:sz w:val="28"/>
                <w:szCs w:val="28"/>
                <w:rtl/>
                <w:lang w:bidi="ar-EG"/>
              </w:rPr>
              <w:t>تحسين التوجّه نحو الخدمات والاستجابة للاستفسارات</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نسبة رضا العملاء/ أصحاب المصالح</w:t>
            </w:r>
          </w:p>
        </w:tc>
        <w:tc>
          <w:tcPr>
            <w:tcW w:w="2307" w:type="dxa"/>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لا ينطبق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سنغافورة)</w:t>
            </w:r>
          </w:p>
        </w:tc>
        <w:tc>
          <w:tcPr>
            <w:tcW w:w="2160" w:type="dxa"/>
            <w:gridSpan w:val="2"/>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يُحدَّد لاحقاً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يُحدَّد لاحقاً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أكثر من 90% من المتصلين راضون عن الخدمة التي يقدمها مكتب الويبو في سنغافورة (مكتب سنغافورة)</w:t>
            </w:r>
          </w:p>
        </w:tc>
        <w:tc>
          <w:tcPr>
            <w:tcW w:w="2537" w:type="dxa"/>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لا توجد بيانات متاحة (مكتب البرازيل)</w:t>
            </w:r>
          </w:p>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95% من المتصلين راضون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93% من المتصلين راضون (مكتب سنغافورة)</w:t>
            </w:r>
          </w:p>
        </w:tc>
        <w:tc>
          <w:tcPr>
            <w:tcW w:w="793" w:type="dxa"/>
            <w:tcBorders>
              <w:top w:val="nil"/>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808080"/>
                <w:sz w:val="28"/>
                <w:szCs w:val="28"/>
                <w:rtl/>
              </w:rPr>
              <w:t>غير قابل للقياس</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808080"/>
                <w:sz w:val="28"/>
                <w:szCs w:val="28"/>
                <w:rtl/>
              </w:rPr>
              <w:t>غير قابل للقياس</w:t>
            </w: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زمن معالجة استفسارات المعلومات</w:t>
            </w:r>
          </w:p>
        </w:tc>
        <w:tc>
          <w:tcPr>
            <w:tcW w:w="230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لا ينطبق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لا ينطبق (مكتب سنغافورة)</w:t>
            </w:r>
          </w:p>
        </w:tc>
        <w:tc>
          <w:tcPr>
            <w:tcW w:w="2160" w:type="dxa"/>
            <w:gridSpan w:val="2"/>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يُحدَّد لاحقاً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يُحدَّد لاحقاً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إعداد الرد في غضون 3 أيام عمل في 95% من الحالات (مكتب سنغافورة)</w:t>
            </w:r>
          </w:p>
        </w:tc>
        <w:tc>
          <w:tcPr>
            <w:tcW w:w="253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البيانات غير متاحة (مكتب البرازيل)</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تم إعداد الرد في غضون 3 أيام عمل في 99% من الحالات (مكتب اليابان)</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تم إعداد الرد في غضون 3 أيام عمل في 95% من الحالات (مكتب سنغافورة)</w:t>
            </w:r>
          </w:p>
        </w:tc>
        <w:tc>
          <w:tcPr>
            <w:tcW w:w="793" w:type="dxa"/>
            <w:tcBorders>
              <w:top w:val="nil"/>
              <w:left w:val="nil"/>
              <w:bottom w:val="single" w:sz="4" w:space="0" w:color="auto"/>
              <w:right w:val="single" w:sz="4" w:space="0" w:color="auto"/>
            </w:tcBorders>
          </w:tcPr>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808080"/>
                <w:sz w:val="28"/>
                <w:szCs w:val="28"/>
                <w:rtl/>
              </w:rPr>
              <w:t>غير قابل للقياس</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r>
              <w:rPr>
                <w:rFonts w:ascii="Arabic Typesetting" w:hAnsi="Arabic Typesetting" w:cs="Arabic Typesetting"/>
                <w:b/>
                <w:bCs/>
                <w:color w:val="808080"/>
                <w:sz w:val="28"/>
                <w:szCs w:val="28"/>
                <w:rtl/>
              </w:rPr>
              <w:t>غير قابل للقياس</w:t>
            </w:r>
          </w:p>
          <w:p w:rsidR="002502E6" w:rsidRDefault="002502E6">
            <w:pPr>
              <w:bidi/>
              <w:spacing w:before="60" w:after="60" w:line="280" w:lineRule="exact"/>
              <w:jc w:val="both"/>
              <w:rPr>
                <w:rFonts w:ascii="Arabic Typesetting" w:hAnsi="Arabic Typesetting" w:cs="Arabic Typesetting"/>
                <w:b/>
                <w:bCs/>
                <w:color w:val="008000"/>
                <w:sz w:val="28"/>
                <w:szCs w:val="28"/>
                <w:rtl/>
                <w:lang w:bidi="ar-EG"/>
              </w:rPr>
            </w:pPr>
          </w:p>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rsidP="00DA44C1">
            <w:pPr>
              <w:keepNext/>
              <w:bidi/>
              <w:spacing w:after="60" w:line="280" w:lineRule="exact"/>
              <w:ind w:left="1167" w:hanging="1167"/>
              <w:rPr>
                <w:rFonts w:ascii="Arabic Typesetting" w:hAnsi="Arabic Typesetting" w:cs="Arabic Typesetting"/>
                <w:sz w:val="28"/>
                <w:szCs w:val="28"/>
                <w:lang w:bidi="ar-EG"/>
              </w:rPr>
            </w:pPr>
            <w:r>
              <w:rPr>
                <w:rFonts w:ascii="Arabic Typesetting" w:hAnsi="Arabic Typesetting" w:cs="Arabic Typesetting"/>
                <w:b/>
                <w:bCs/>
                <w:sz w:val="28"/>
                <w:szCs w:val="28"/>
                <w:rtl/>
                <w:lang w:bidi="ar-EG"/>
              </w:rPr>
              <w:lastRenderedPageBreak/>
              <w:t>النتيجة المرتقبة:</w:t>
            </w:r>
            <w:r>
              <w:rPr>
                <w:rFonts w:ascii="Arabic Typesetting" w:hAnsi="Arabic Typesetting" w:cs="Arabic Typesetting"/>
                <w:sz w:val="28"/>
                <w:szCs w:val="28"/>
                <w:rtl/>
                <w:lang w:bidi="ar-EG"/>
              </w:rPr>
              <w:tab/>
              <w:t xml:space="preserve">ھ4.8 </w:t>
            </w:r>
            <w:r w:rsidR="0099688F">
              <w:rPr>
                <w:rFonts w:ascii="Arabic Typesetting" w:hAnsi="Arabic Typesetting" w:cs="Arabic Typesetting"/>
                <w:sz w:val="28"/>
                <w:szCs w:val="28"/>
                <w:rtl/>
                <w:lang w:bidi="ar-EG"/>
              </w:rPr>
              <w:t>تفاعل منفتح وشفاف ومتجاوب مع أصحاب المصالح غير الحكوميين</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rsidP="0099688F">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rsidP="0099688F">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2160" w:type="dxa"/>
            <w:gridSpan w:val="2"/>
            <w:tcBorders>
              <w:top w:val="single" w:sz="4" w:space="0" w:color="auto"/>
              <w:left w:val="nil"/>
              <w:bottom w:val="nil"/>
              <w:right w:val="nil"/>
            </w:tcBorders>
            <w:hideMark/>
          </w:tcPr>
          <w:p w:rsidR="002502E6" w:rsidRDefault="002502E6" w:rsidP="0099688F">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537" w:type="dxa"/>
            <w:tcBorders>
              <w:top w:val="single" w:sz="4" w:space="0" w:color="auto"/>
              <w:left w:val="nil"/>
              <w:bottom w:val="nil"/>
              <w:right w:val="nil"/>
            </w:tcBorders>
            <w:hideMark/>
          </w:tcPr>
          <w:p w:rsidR="002502E6" w:rsidRDefault="002502E6" w:rsidP="0099688F">
            <w:pPr>
              <w:keepNext/>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rsidP="0099688F">
            <w:pPr>
              <w:keepNext/>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161D28">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زيادة المشاركة الفعالة لأصحاب المصالح غير الحكوميين في أحداث الويبو والعكس بالعكس</w:t>
            </w:r>
          </w:p>
        </w:tc>
        <w:tc>
          <w:tcPr>
            <w:tcW w:w="230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iCs/>
                <w:color w:val="002060"/>
                <w:sz w:val="28"/>
                <w:szCs w:val="28"/>
                <w:rtl/>
              </w:rPr>
            </w:pPr>
            <w:r>
              <w:rPr>
                <w:rFonts w:ascii="Arabic Typesetting" w:hAnsi="Arabic Typesetting" w:cs="Arabic Typesetting"/>
                <w:iCs/>
                <w:color w:val="002060"/>
                <w:sz w:val="28"/>
                <w:szCs w:val="28"/>
                <w:rtl/>
              </w:rPr>
              <w:t>أساس المقارنة المُحدَّث في نهاية 2013:</w:t>
            </w:r>
          </w:p>
          <w:p w:rsidR="002502E6" w:rsidRDefault="002502E6">
            <w:pPr>
              <w:bidi/>
              <w:spacing w:before="60" w:after="60" w:line="280" w:lineRule="exact"/>
              <w:rPr>
                <w:rFonts w:ascii="Arabic Typesetting" w:hAnsi="Arabic Typesetting" w:cs="Arabic Typesetting"/>
                <w:i/>
                <w:sz w:val="28"/>
                <w:szCs w:val="28"/>
                <w:lang w:bidi="ar-EG"/>
              </w:rPr>
            </w:pPr>
            <w:r>
              <w:rPr>
                <w:rFonts w:ascii="Arabic Typesetting" w:hAnsi="Arabic Typesetting" w:cs="Arabic Typesetting"/>
                <w:i/>
                <w:color w:val="002060"/>
                <w:sz w:val="28"/>
                <w:szCs w:val="28"/>
                <w:rtl/>
              </w:rPr>
              <w:t>حتى 31 ديسمبر 2013، حضر اجتماعات لجنة الويبو 227 ممثلاً لمراقبي المنظمات غير الحكومية المعتمدين اعتماداً دائماً</w:t>
            </w:r>
          </w:p>
          <w:p w:rsidR="002502E6" w:rsidRDefault="002502E6">
            <w:pPr>
              <w:bidi/>
              <w:spacing w:before="60" w:after="60" w:line="280" w:lineRule="exact"/>
              <w:rPr>
                <w:rFonts w:ascii="Arabic Typesetting" w:hAnsi="Arabic Typesetting" w:cs="Arabic Typesetting"/>
                <w:i/>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أساس المقارنة الأصلي في البرنامج والميزانية 2014/15: يُحدَّد لاحقاً</w:t>
            </w:r>
          </w:p>
        </w:tc>
        <w:tc>
          <w:tcPr>
            <w:tcW w:w="2160" w:type="dxa"/>
            <w:gridSpan w:val="2"/>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زيادة بنسبة 10% في مشاركة شتى أصحاب المصالح</w:t>
            </w:r>
          </w:p>
        </w:tc>
        <w:tc>
          <w:tcPr>
            <w:tcW w:w="2537" w:type="dxa"/>
            <w:tcBorders>
              <w:top w:val="nil"/>
              <w:left w:val="nil"/>
              <w:bottom w:val="single" w:sz="4" w:space="0" w:color="auto"/>
              <w:right w:val="nil"/>
            </w:tcBorders>
          </w:tcPr>
          <w:p w:rsidR="002502E6" w:rsidRDefault="002502E6">
            <w:pPr>
              <w:bidi/>
              <w:spacing w:before="60" w:after="60" w:line="280" w:lineRule="exact"/>
              <w:rPr>
                <w:rFonts w:ascii="Arabic Typesetting" w:hAnsi="Arabic Typesetting" w:cs="Arabic Typesetting"/>
                <w:sz w:val="28"/>
                <w:szCs w:val="28"/>
                <w:rtl/>
                <w:lang w:bidi="ar-EG"/>
              </w:rPr>
            </w:pPr>
            <w:r>
              <w:rPr>
                <w:rFonts w:ascii="Arabic Typesetting" w:hAnsi="Arabic Typesetting" w:cs="Arabic Typesetting"/>
                <w:sz w:val="28"/>
                <w:szCs w:val="28"/>
                <w:rtl/>
                <w:lang w:bidi="ar-EG"/>
              </w:rPr>
              <w:t>في عام 2014، حضر 292 ممثلاً لمراقبي المنظمات غير الحكومية المعتمدين اعتماداً دائماً اجتماعات لجنة الويبو (13)، وكانوا يمثلون 71.4% من إجمالي عدد المراقبين الحاضرين في تلك الاجتماعات.</w:t>
            </w:r>
          </w:p>
          <w:p w:rsidR="002502E6" w:rsidRDefault="002502E6">
            <w:pPr>
              <w:bidi/>
              <w:spacing w:before="60" w:after="60" w:line="280" w:lineRule="exact"/>
              <w:rPr>
                <w:rFonts w:ascii="Arabic Typesetting" w:hAnsi="Arabic Typesetting" w:cs="Arabic Typesetting"/>
                <w:sz w:val="28"/>
                <w:szCs w:val="28"/>
                <w:rtl/>
                <w:lang w:bidi="ar-EG"/>
              </w:rPr>
            </w:pP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في عام 2015، حضر 196 ممثلاً لمراقبي المنظمات غير الحكومية المعتمدين اعتماداً دائماً اجتماعات لجنة الويبو، وكانوا يمثلون 85.3% من إجمالي عدد المراقبين الحاضرين في تلك الاجتماعات، مما أسفر عن زيادة بنسبة 13.9% على عام 2014</w:t>
            </w:r>
          </w:p>
        </w:tc>
        <w:tc>
          <w:tcPr>
            <w:tcW w:w="793" w:type="dxa"/>
            <w:tcBorders>
              <w:top w:val="nil"/>
              <w:left w:val="nil"/>
              <w:bottom w:val="single" w:sz="4" w:space="0" w:color="auto"/>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161D28">
        <w:trPr>
          <w:cantSplit/>
        </w:trPr>
        <w:tc>
          <w:tcPr>
            <w:tcW w:w="9450" w:type="dxa"/>
            <w:gridSpan w:val="6"/>
            <w:tcBorders>
              <w:top w:val="single" w:sz="4" w:space="0" w:color="auto"/>
              <w:left w:val="single" w:sz="4" w:space="0" w:color="auto"/>
              <w:bottom w:val="single" w:sz="4" w:space="0" w:color="auto"/>
              <w:right w:val="single" w:sz="4" w:space="0" w:color="auto"/>
            </w:tcBorders>
            <w:shd w:val="clear" w:color="auto" w:fill="C6D9F1"/>
            <w:hideMark/>
          </w:tcPr>
          <w:p w:rsidR="002502E6" w:rsidRDefault="002502E6" w:rsidP="00DA44C1">
            <w:pPr>
              <w:keepNext/>
              <w:bidi/>
              <w:spacing w:after="60" w:line="280" w:lineRule="exact"/>
              <w:ind w:left="1167" w:hanging="1167"/>
              <w:rPr>
                <w:rFonts w:ascii="Arabic Typesetting" w:hAnsi="Arabic Typesetting" w:cs="Arabic Typesetting"/>
                <w:b/>
                <w:bCs/>
                <w:color w:val="008000"/>
                <w:sz w:val="28"/>
                <w:szCs w:val="28"/>
                <w:lang w:bidi="ar-EG"/>
              </w:rPr>
            </w:pPr>
            <w:r>
              <w:rPr>
                <w:rFonts w:ascii="Arabic Typesetting" w:hAnsi="Arabic Typesetting" w:cs="Arabic Typesetting"/>
                <w:b/>
                <w:bCs/>
                <w:sz w:val="28"/>
                <w:szCs w:val="28"/>
                <w:rtl/>
                <w:lang w:bidi="ar-EG"/>
              </w:rPr>
              <w:t>النتيجة المرتقبة:</w:t>
            </w:r>
            <w:r>
              <w:rPr>
                <w:rFonts w:ascii="Arabic Typesetting" w:hAnsi="Arabic Typesetting" w:cs="Arabic Typesetting"/>
                <w:sz w:val="28"/>
                <w:szCs w:val="28"/>
                <w:rtl/>
                <w:lang w:bidi="ar-EG"/>
              </w:rPr>
              <w:tab/>
              <w:t xml:space="preserve">ھ5.8 </w:t>
            </w:r>
            <w:r w:rsidR="0099688F">
              <w:rPr>
                <w:rFonts w:ascii="Arabic Typesetting" w:hAnsi="Arabic Typesetting" w:cs="Arabic Typesetting"/>
                <w:sz w:val="28"/>
                <w:szCs w:val="28"/>
                <w:rtl/>
                <w:lang w:bidi="ar-EG"/>
              </w:rPr>
              <w:t>تفاعل الويبو وتشاركها بفعالية مع مسارات ومفاوضات الأمم المتحدة وسائر المنظمات الحكومية الدولية</w:t>
            </w:r>
          </w:p>
        </w:tc>
      </w:tr>
      <w:tr w:rsidR="002502E6" w:rsidTr="00161D28">
        <w:trPr>
          <w:cantSplit/>
        </w:trPr>
        <w:tc>
          <w:tcPr>
            <w:tcW w:w="1653" w:type="dxa"/>
            <w:tcBorders>
              <w:top w:val="single" w:sz="4" w:space="0" w:color="auto"/>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مؤشرات الأداء</w:t>
            </w:r>
          </w:p>
        </w:tc>
        <w:tc>
          <w:tcPr>
            <w:tcW w:w="2307" w:type="dxa"/>
            <w:tcBorders>
              <w:top w:val="single" w:sz="4" w:space="0" w:color="auto"/>
              <w:left w:val="nil"/>
              <w:bottom w:val="nil"/>
              <w:right w:val="nil"/>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أسس المقارنة</w:t>
            </w:r>
          </w:p>
        </w:tc>
        <w:tc>
          <w:tcPr>
            <w:tcW w:w="1710" w:type="dxa"/>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الأهداف</w:t>
            </w:r>
          </w:p>
        </w:tc>
        <w:tc>
          <w:tcPr>
            <w:tcW w:w="2987" w:type="dxa"/>
            <w:gridSpan w:val="2"/>
            <w:tcBorders>
              <w:top w:val="single" w:sz="4" w:space="0" w:color="auto"/>
              <w:left w:val="nil"/>
              <w:bottom w:val="nil"/>
              <w:right w:val="nil"/>
            </w:tcBorders>
            <w:hideMark/>
          </w:tcPr>
          <w:p w:rsidR="002502E6" w:rsidRDefault="002502E6">
            <w:pPr>
              <w:bidi/>
              <w:spacing w:before="60" w:after="60" w:line="280" w:lineRule="exact"/>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بيانات الأداء</w:t>
            </w:r>
          </w:p>
        </w:tc>
        <w:tc>
          <w:tcPr>
            <w:tcW w:w="793" w:type="dxa"/>
            <w:tcBorders>
              <w:top w:val="single" w:sz="4" w:space="0" w:color="auto"/>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السير</w:t>
            </w:r>
          </w:p>
        </w:tc>
      </w:tr>
      <w:tr w:rsidR="002502E6" w:rsidTr="0099688F">
        <w:trPr>
          <w:cantSplit/>
        </w:trPr>
        <w:tc>
          <w:tcPr>
            <w:tcW w:w="1653" w:type="dxa"/>
            <w:tcBorders>
              <w:top w:val="nil"/>
              <w:left w:val="single" w:sz="4" w:space="0" w:color="auto"/>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استخدام مساهمة الويبو في تقارير وقرارات ووثائق من عمليات مستهدفة</w:t>
            </w:r>
          </w:p>
        </w:tc>
        <w:tc>
          <w:tcPr>
            <w:tcW w:w="2307" w:type="dxa"/>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Cs/>
                <w:color w:val="002060"/>
                <w:sz w:val="28"/>
                <w:szCs w:val="28"/>
                <w:rtl/>
              </w:rPr>
              <w:t>أساس المقارنة المُحدَّث في نهاية 2013:</w:t>
            </w:r>
            <w:r>
              <w:rPr>
                <w:rFonts w:ascii="Arabic Typesetting" w:hAnsi="Arabic Typesetting" w:cs="Arabic Typesetting"/>
                <w:i/>
                <w:color w:val="002060"/>
                <w:sz w:val="28"/>
                <w:szCs w:val="28"/>
                <w:rtl/>
              </w:rPr>
              <w:t xml:space="preserve"> 38 بياناً في الثنائية 2012/13، وكلها انعكست بصورة مرضية.</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i/>
                <w:iCs/>
                <w:sz w:val="28"/>
                <w:szCs w:val="28"/>
                <w:rtl/>
                <w:lang w:bidi="ar-EG"/>
              </w:rPr>
              <w:t>أساس المقارنة الأصلي في البرنامج والميزانية 2014/15</w:t>
            </w:r>
            <w:r>
              <w:rPr>
                <w:rFonts w:ascii="Arabic Typesetting" w:hAnsi="Arabic Typesetting" w:cs="Arabic Typesetting"/>
                <w:sz w:val="28"/>
                <w:szCs w:val="28"/>
                <w:rtl/>
                <w:lang w:bidi="ar-EG"/>
              </w:rPr>
              <w:t>:</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20 من أصل 24 (نهاية 2011)</w:t>
            </w:r>
          </w:p>
        </w:tc>
        <w:tc>
          <w:tcPr>
            <w:tcW w:w="1710" w:type="dxa"/>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استخدام بنسبة 100%</w:t>
            </w:r>
          </w:p>
        </w:tc>
        <w:tc>
          <w:tcPr>
            <w:tcW w:w="2987" w:type="dxa"/>
            <w:gridSpan w:val="2"/>
            <w:tcBorders>
              <w:top w:val="nil"/>
              <w:left w:val="nil"/>
              <w:bottom w:val="nil"/>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33 بياناً في الثنائية 2014/15، وكلها انعكست بصورة مرضية.</w:t>
            </w:r>
          </w:p>
        </w:tc>
        <w:tc>
          <w:tcPr>
            <w:tcW w:w="793" w:type="dxa"/>
            <w:tcBorders>
              <w:top w:val="nil"/>
              <w:left w:val="nil"/>
              <w:bottom w:val="nil"/>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99688F">
        <w:trPr>
          <w:cantSplit/>
        </w:trPr>
        <w:tc>
          <w:tcPr>
            <w:tcW w:w="1653" w:type="dxa"/>
            <w:tcBorders>
              <w:top w:val="nil"/>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النسبة المئوية للردود التي أُرسلت في موعدها على الطلبات الخارجية المقدمة من الأمم المتحدة والمنظمات الحكومية الدولية وغيرها بشأن المساهمات</w:t>
            </w:r>
          </w:p>
        </w:tc>
        <w:tc>
          <w:tcPr>
            <w:tcW w:w="2307"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i/>
                <w:color w:val="002060"/>
                <w:sz w:val="28"/>
                <w:szCs w:val="28"/>
                <w:rtl/>
              </w:rPr>
            </w:pPr>
            <w:r>
              <w:rPr>
                <w:rFonts w:ascii="Arabic Typesetting" w:hAnsi="Arabic Typesetting" w:cs="Arabic Typesetting"/>
                <w:iCs/>
                <w:color w:val="002060"/>
                <w:sz w:val="28"/>
                <w:szCs w:val="28"/>
                <w:rtl/>
              </w:rPr>
              <w:t>أساس المقارنة المُحدَّث في نهاية 2013:</w:t>
            </w:r>
            <w:r>
              <w:rPr>
                <w:rFonts w:ascii="Arabic Typesetting" w:hAnsi="Arabic Typesetting" w:cs="Arabic Typesetting"/>
                <w:i/>
                <w:color w:val="002060"/>
                <w:sz w:val="28"/>
                <w:szCs w:val="28"/>
                <w:rtl/>
              </w:rPr>
              <w:t xml:space="preserve"> تمت معالجة 90.5% في غضون 5 أيام عمل.</w:t>
            </w:r>
          </w:p>
          <w:p w:rsidR="002502E6" w:rsidRDefault="002502E6">
            <w:pPr>
              <w:bidi/>
              <w:spacing w:before="60" w:after="60" w:line="280" w:lineRule="exact"/>
              <w:rPr>
                <w:rFonts w:ascii="Arabic Typesetting" w:hAnsi="Arabic Typesetting" w:cs="Arabic Typesetting"/>
                <w:i/>
                <w:iCs/>
                <w:sz w:val="28"/>
                <w:szCs w:val="28"/>
                <w:lang w:bidi="ar-EG"/>
              </w:rPr>
            </w:pPr>
            <w:r>
              <w:rPr>
                <w:rFonts w:ascii="Arabic Typesetting" w:hAnsi="Arabic Typesetting" w:cs="Arabic Typesetting"/>
                <w:i/>
                <w:iCs/>
                <w:sz w:val="28"/>
                <w:szCs w:val="28"/>
                <w:rtl/>
                <w:lang w:bidi="ar-EG"/>
              </w:rPr>
              <w:t>أساس المقارنة الأصلي في البرنامج والميزانية 2014/15:</w:t>
            </w:r>
          </w:p>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يُحدَّد لاحقاً (بيانات 2012)</w:t>
            </w:r>
          </w:p>
        </w:tc>
        <w:tc>
          <w:tcPr>
            <w:tcW w:w="1710" w:type="dxa"/>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100%</w:t>
            </w:r>
          </w:p>
        </w:tc>
        <w:tc>
          <w:tcPr>
            <w:tcW w:w="2987" w:type="dxa"/>
            <w:gridSpan w:val="2"/>
            <w:tcBorders>
              <w:top w:val="nil"/>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أُرسِل في موعده 254 رداً من أصل 273 رداً (93%) (في غضون 5 أيام عمل)</w:t>
            </w:r>
          </w:p>
        </w:tc>
        <w:tc>
          <w:tcPr>
            <w:tcW w:w="793" w:type="dxa"/>
            <w:tcBorders>
              <w:top w:val="nil"/>
              <w:left w:val="nil"/>
              <w:bottom w:val="single" w:sz="4" w:space="0" w:color="auto"/>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r w:rsidR="002502E6" w:rsidTr="0099688F">
        <w:trPr>
          <w:cantSplit/>
        </w:trPr>
        <w:tc>
          <w:tcPr>
            <w:tcW w:w="1653" w:type="dxa"/>
            <w:tcBorders>
              <w:top w:val="single" w:sz="4" w:space="0" w:color="auto"/>
              <w:left w:val="single" w:sz="4" w:space="0" w:color="auto"/>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lastRenderedPageBreak/>
              <w:t>عدد برامج الملكية الفكرية التي نُفِّذت بالاشتراك مع هيئات الأمم المتحدة والمنظمات الحكومية الدولية الأخرى</w:t>
            </w:r>
          </w:p>
        </w:tc>
        <w:tc>
          <w:tcPr>
            <w:tcW w:w="2307" w:type="dxa"/>
            <w:tcBorders>
              <w:top w:val="single" w:sz="4" w:space="0" w:color="auto"/>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صفر (مكتب سنغافورة)</w:t>
            </w:r>
          </w:p>
        </w:tc>
        <w:tc>
          <w:tcPr>
            <w:tcW w:w="1710" w:type="dxa"/>
            <w:tcBorders>
              <w:top w:val="single" w:sz="4" w:space="0" w:color="auto"/>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2 (مكتب سنغافورة)</w:t>
            </w:r>
          </w:p>
        </w:tc>
        <w:tc>
          <w:tcPr>
            <w:tcW w:w="2987" w:type="dxa"/>
            <w:gridSpan w:val="2"/>
            <w:tcBorders>
              <w:top w:val="single" w:sz="4" w:space="0" w:color="auto"/>
              <w:left w:val="nil"/>
              <w:bottom w:val="single" w:sz="4" w:space="0" w:color="auto"/>
              <w:right w:val="nil"/>
            </w:tcBorders>
            <w:hideMark/>
          </w:tcPr>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tl/>
              </w:rPr>
            </w:pPr>
            <w:r>
              <w:rPr>
                <w:rFonts w:ascii="Arabic Typesetting" w:hAnsi="Arabic Typesetting" w:cs="Arabic Typesetting"/>
                <w:sz w:val="28"/>
                <w:szCs w:val="28"/>
                <w:rtl/>
              </w:rPr>
              <w:t>حدثان مع وكالتين من وكالات الأمم المتحدة (</w:t>
            </w:r>
            <w:proofErr w:type="spellStart"/>
            <w:r>
              <w:rPr>
                <w:rFonts w:ascii="Arabic Typesetting" w:hAnsi="Arabic Typesetting" w:cs="Arabic Typesetting"/>
                <w:sz w:val="28"/>
                <w:szCs w:val="28"/>
                <w:rtl/>
              </w:rPr>
              <w:t>اليونيب</w:t>
            </w:r>
            <w:proofErr w:type="spellEnd"/>
            <w:r>
              <w:rPr>
                <w:rFonts w:ascii="Arabic Typesetting" w:hAnsi="Arabic Typesetting" w:cs="Arabic Typesetting"/>
                <w:sz w:val="28"/>
                <w:szCs w:val="28"/>
                <w:rtl/>
              </w:rPr>
              <w:t xml:space="preserve"> واليونيدو)</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أحداث متعددة مع اتفاق التجارة الحرة بين رابطة أمم جنوب شرق آسيا وأستراليا ونيوزيلاندا (</w:t>
            </w:r>
            <w:r>
              <w:rPr>
                <w:rFonts w:ascii="Arabic Typesetting" w:hAnsi="Arabic Typesetting" w:cs="Arabic Typesetting"/>
                <w:sz w:val="28"/>
                <w:szCs w:val="28"/>
              </w:rPr>
              <w:t>AANZFTA</w:t>
            </w:r>
            <w:r>
              <w:rPr>
                <w:rFonts w:ascii="Arabic Typesetting" w:hAnsi="Arabic Typesetting" w:cs="Arabic Typesetting"/>
                <w:sz w:val="28"/>
                <w:szCs w:val="28"/>
                <w:rtl/>
              </w:rPr>
              <w:t>)، وأمانة رابطة أمم جنوب شرق آسيا، ومنظمة التعاون الاقتصادي لآسيا والمحيط الهادئ (</w:t>
            </w:r>
            <w:r>
              <w:rPr>
                <w:rFonts w:ascii="Arabic Typesetting" w:hAnsi="Arabic Typesetting" w:cs="Arabic Typesetting"/>
                <w:sz w:val="28"/>
                <w:szCs w:val="28"/>
              </w:rPr>
              <w:t>APEC</w:t>
            </w:r>
            <w:r>
              <w:rPr>
                <w:rFonts w:ascii="Arabic Typesetting" w:hAnsi="Arabic Typesetting" w:cs="Arabic Typesetting"/>
                <w:sz w:val="28"/>
                <w:szCs w:val="28"/>
                <w:rtl/>
              </w:rPr>
              <w:t>)، ومكتب مواءمة السوق الداخلية/ مشروع الاتحاد الأوروبي ورابطة أمم جنوب شرق آسيا لحماية حقوق الملكية الفكرية (</w:t>
            </w:r>
            <w:r>
              <w:rPr>
                <w:rFonts w:ascii="Arabic Typesetting" w:hAnsi="Arabic Typesetting" w:cs="Arabic Typesetting"/>
                <w:sz w:val="28"/>
                <w:szCs w:val="28"/>
              </w:rPr>
              <w:t>OHIM/ECAP III</w:t>
            </w:r>
            <w:r>
              <w:rPr>
                <w:rFonts w:ascii="Arabic Typesetting" w:hAnsi="Arabic Typesetting" w:cs="Arabic Typesetting"/>
                <w:sz w:val="28"/>
                <w:szCs w:val="28"/>
                <w:rtl/>
              </w:rPr>
              <w:t>)</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منتدى واحد لمُقدِّمي المساعدة التقنية الخاصة بالملكية الفكرية</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حدث مشترك مع مجلس التعاون الاقتصادي لمنطقة المحيط الهادئ (</w:t>
            </w:r>
            <w:r>
              <w:rPr>
                <w:rFonts w:ascii="Arabic Typesetting" w:hAnsi="Arabic Typesetting" w:cs="Arabic Typesetting"/>
                <w:sz w:val="28"/>
                <w:szCs w:val="28"/>
              </w:rPr>
              <w:t>PECC</w:t>
            </w:r>
            <w:r>
              <w:rPr>
                <w:rFonts w:ascii="Arabic Typesetting" w:hAnsi="Arabic Typesetting" w:cs="Arabic Typesetting"/>
                <w:sz w:val="28"/>
                <w:szCs w:val="28"/>
                <w:rtl/>
              </w:rPr>
              <w:t>) حضرته ثماني منظمات دولية ومنظمات حكومية دولية أخرى</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المشاركة في حدث واحد مع رابطة الأمم المتحدة في سنغافورة (</w:t>
            </w:r>
            <w:r>
              <w:rPr>
                <w:rFonts w:ascii="Arabic Typesetting" w:hAnsi="Arabic Typesetting" w:cs="Arabic Typesetting"/>
                <w:sz w:val="28"/>
                <w:szCs w:val="28"/>
              </w:rPr>
              <w:t>UNAS</w:t>
            </w:r>
            <w:r>
              <w:rPr>
                <w:rFonts w:ascii="Arabic Typesetting" w:hAnsi="Arabic Typesetting" w:cs="Arabic Typesetting"/>
                <w:sz w:val="28"/>
                <w:szCs w:val="28"/>
                <w:rtl/>
              </w:rPr>
              <w:t>)</w:t>
            </w:r>
          </w:p>
          <w:p w:rsidR="002502E6" w:rsidRDefault="002502E6" w:rsidP="0099688F">
            <w:pPr>
              <w:pStyle w:val="ListParagraph"/>
              <w:numPr>
                <w:ilvl w:val="0"/>
                <w:numId w:val="69"/>
              </w:numPr>
              <w:bidi/>
              <w:spacing w:before="60" w:after="60" w:line="280" w:lineRule="exact"/>
              <w:rPr>
                <w:rFonts w:ascii="Arabic Typesetting" w:hAnsi="Arabic Typesetting" w:cs="Arabic Typesetting"/>
                <w:sz w:val="28"/>
                <w:szCs w:val="28"/>
              </w:rPr>
            </w:pPr>
            <w:r>
              <w:rPr>
                <w:rFonts w:ascii="Arabic Typesetting" w:hAnsi="Arabic Typesetting" w:cs="Arabic Typesetting"/>
                <w:sz w:val="28"/>
                <w:szCs w:val="28"/>
                <w:rtl/>
              </w:rPr>
              <w:t>المشاركة في حدث واحد لمجموعة الشراكة السياسية بشأن العلوم والتكنولوجيا والابتكار من رابطة التعاون الاقتصادي لآسيا والمحيط الهادئ (</w:t>
            </w:r>
            <w:r>
              <w:rPr>
                <w:rFonts w:ascii="Arabic Typesetting" w:hAnsi="Arabic Typesetting" w:cs="Arabic Typesetting"/>
                <w:sz w:val="28"/>
                <w:szCs w:val="28"/>
              </w:rPr>
              <w:t>APEC</w:t>
            </w:r>
            <w:r>
              <w:rPr>
                <w:rFonts w:ascii="Arabic Typesetting" w:hAnsi="Arabic Typesetting" w:cs="Arabic Typesetting"/>
                <w:sz w:val="28"/>
                <w:szCs w:val="28"/>
                <w:rtl/>
              </w:rPr>
              <w:t>) (مكتب سنغافورة)</w:t>
            </w:r>
          </w:p>
        </w:tc>
        <w:tc>
          <w:tcPr>
            <w:tcW w:w="793" w:type="dxa"/>
            <w:tcBorders>
              <w:top w:val="single" w:sz="4" w:space="0" w:color="auto"/>
              <w:left w:val="nil"/>
              <w:bottom w:val="single" w:sz="4" w:space="0" w:color="auto"/>
              <w:right w:val="single" w:sz="4" w:space="0" w:color="auto"/>
            </w:tcBorders>
            <w:hideMark/>
          </w:tcPr>
          <w:p w:rsidR="002502E6" w:rsidRDefault="002502E6">
            <w:pPr>
              <w:bidi/>
              <w:spacing w:before="60" w:after="60" w:line="280" w:lineRule="exact"/>
              <w:jc w:val="both"/>
              <w:rPr>
                <w:rFonts w:ascii="Arabic Typesetting" w:hAnsi="Arabic Typesetting" w:cs="Arabic Typesetting"/>
                <w:b/>
                <w:bCs/>
                <w:color w:val="008000"/>
                <w:sz w:val="28"/>
                <w:szCs w:val="28"/>
                <w:lang w:bidi="ar-EG"/>
              </w:rPr>
            </w:pPr>
            <w:r>
              <w:rPr>
                <w:rFonts w:ascii="Arabic Typesetting" w:hAnsi="Arabic Typesetting" w:cs="Arabic Typesetting"/>
                <w:b/>
                <w:bCs/>
                <w:color w:val="008000"/>
                <w:sz w:val="28"/>
                <w:szCs w:val="28"/>
                <w:rtl/>
                <w:lang w:bidi="ar-EG"/>
              </w:rPr>
              <w:t>محقق كلياً</w:t>
            </w:r>
          </w:p>
        </w:tc>
      </w:tr>
    </w:tbl>
    <w:p w:rsidR="002502E6" w:rsidRDefault="002502E6" w:rsidP="002502E6">
      <w:pPr>
        <w:keepNext/>
        <w:bidi/>
        <w:spacing w:before="120" w:after="120" w:line="340" w:lineRule="exact"/>
        <w:rPr>
          <w:rFonts w:ascii="Arabic Typesetting" w:hAnsi="Arabic Typesetting" w:cs="Arabic Typesetting"/>
          <w:sz w:val="34"/>
          <w:szCs w:val="34"/>
          <w:rtl/>
          <w:lang w:bidi="ar-EG"/>
        </w:rPr>
      </w:pPr>
      <w:r>
        <w:rPr>
          <w:rFonts w:ascii="Arabic Typesetting" w:hAnsi="Arabic Typesetting" w:cs="Arabic Typesetting"/>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2502E6" w:rsidTr="0099688F">
        <w:trPr>
          <w:cantSplit/>
          <w:trHeight w:val="577"/>
        </w:trPr>
        <w:tc>
          <w:tcPr>
            <w:tcW w:w="2420" w:type="dxa"/>
            <w:tcBorders>
              <w:top w:val="single" w:sz="4" w:space="0" w:color="auto"/>
              <w:left w:val="single" w:sz="4" w:space="0" w:color="auto"/>
              <w:bottom w:val="single" w:sz="4" w:space="0" w:color="auto"/>
              <w:right w:val="nil"/>
            </w:tcBorders>
            <w:shd w:val="clear" w:color="auto" w:fill="C6D9F1" w:themeFill="text2" w:themeFillTint="33"/>
            <w:vAlign w:val="center"/>
            <w:hideMark/>
          </w:tcPr>
          <w:p w:rsidR="002502E6" w:rsidRDefault="002502E6">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المخاطر التي قد تحول دون تحقيق نتائج البرنامج</w:t>
            </w:r>
          </w:p>
        </w:tc>
        <w:tc>
          <w:tcPr>
            <w:tcW w:w="2200" w:type="dxa"/>
            <w:tcBorders>
              <w:top w:val="single" w:sz="4" w:space="0" w:color="auto"/>
              <w:left w:val="nil"/>
              <w:bottom w:val="single" w:sz="4" w:space="0" w:color="auto"/>
              <w:right w:val="nil"/>
            </w:tcBorders>
            <w:shd w:val="clear" w:color="auto" w:fill="C6D9F1" w:themeFill="text2" w:themeFillTint="33"/>
            <w:vAlign w:val="center"/>
            <w:hideMark/>
          </w:tcPr>
          <w:p w:rsidR="002502E6" w:rsidRDefault="002502E6">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left w:val="nil"/>
              <w:bottom w:val="single" w:sz="4" w:space="0" w:color="auto"/>
              <w:right w:val="nil"/>
            </w:tcBorders>
            <w:shd w:val="clear" w:color="auto" w:fill="C6D9F1" w:themeFill="text2" w:themeFillTint="33"/>
            <w:hideMark/>
          </w:tcPr>
          <w:p w:rsidR="002502E6" w:rsidRDefault="002502E6">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تطور المخاطر واستراتيجيات الحد من وطأتها على مدار الثنائية</w:t>
            </w:r>
          </w:p>
        </w:tc>
        <w:tc>
          <w:tcPr>
            <w:tcW w:w="2306" w:type="dxa"/>
            <w:tcBorders>
              <w:top w:val="single" w:sz="4" w:space="0" w:color="auto"/>
              <w:left w:val="nil"/>
              <w:bottom w:val="single" w:sz="4" w:space="0" w:color="auto"/>
              <w:right w:val="single" w:sz="4" w:space="0" w:color="auto"/>
            </w:tcBorders>
            <w:shd w:val="clear" w:color="auto" w:fill="C6D9F1" w:themeFill="text2" w:themeFillTint="33"/>
            <w:hideMark/>
          </w:tcPr>
          <w:p w:rsidR="002502E6" w:rsidRDefault="002502E6">
            <w:pPr>
              <w:keepNext/>
              <w:bidi/>
              <w:spacing w:before="60" w:after="60" w:line="280" w:lineRule="exact"/>
              <w:jc w:val="center"/>
              <w:rPr>
                <w:rFonts w:ascii="Arabic Typesetting" w:hAnsi="Arabic Typesetting" w:cs="Arabic Typesetting"/>
                <w:bCs/>
                <w:sz w:val="28"/>
                <w:szCs w:val="28"/>
                <w:lang w:bidi="ar-EG"/>
              </w:rPr>
            </w:pPr>
            <w:r>
              <w:rPr>
                <w:rFonts w:ascii="Arabic Typesetting" w:hAnsi="Arabic Typesetting" w:cs="Arabic Typesetting"/>
                <w:bCs/>
                <w:sz w:val="28"/>
                <w:szCs w:val="28"/>
                <w:rtl/>
                <w:lang w:bidi="ar-EG"/>
              </w:rPr>
              <w:t>التأثير في أداء البرنامج</w:t>
            </w:r>
          </w:p>
        </w:tc>
      </w:tr>
      <w:tr w:rsidR="002502E6" w:rsidTr="0099688F">
        <w:trPr>
          <w:cantSplit/>
          <w:trHeight w:val="1332"/>
        </w:trPr>
        <w:tc>
          <w:tcPr>
            <w:tcW w:w="2420" w:type="dxa"/>
            <w:tcBorders>
              <w:top w:val="single" w:sz="4" w:space="0" w:color="auto"/>
              <w:left w:val="single" w:sz="4" w:space="0" w:color="auto"/>
              <w:right w:val="nil"/>
            </w:tcBorders>
            <w:tcMar>
              <w:top w:w="113" w:type="dxa"/>
              <w:left w:w="108" w:type="dxa"/>
              <w:bottom w:w="113" w:type="dxa"/>
              <w:right w:w="108" w:type="dxa"/>
            </w:tcMar>
            <w:hideMark/>
          </w:tcPr>
          <w:p w:rsidR="002502E6" w:rsidRDefault="002502E6">
            <w:pPr>
              <w:autoSpaceDE w:val="0"/>
              <w:autoSpaceDN w:val="0"/>
              <w:bidi/>
              <w:adjustRightInd w:val="0"/>
              <w:snapToGrid w:val="0"/>
              <w:spacing w:before="60" w:after="60" w:line="30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يعتمد تفاعل الويبو الفعال مع مسارات الأمم المتحدة وسائر المنظمات الحكومية الدولية والمنظمات غير الحكومية، وصلتها بهذه المسارات، على تقَبُّل أن الويبو مصدر ذو مصداقية وموثوق فيه من مصادر الدعم والمساعدة والمعلومات.</w:t>
            </w:r>
          </w:p>
        </w:tc>
        <w:tc>
          <w:tcPr>
            <w:tcW w:w="2200" w:type="dxa"/>
            <w:tcBorders>
              <w:top w:val="single" w:sz="4" w:space="0" w:color="auto"/>
              <w:left w:val="nil"/>
              <w:right w:val="nil"/>
            </w:tcBorders>
            <w:tcMar>
              <w:top w:w="113" w:type="dxa"/>
              <w:left w:w="108" w:type="dxa"/>
              <w:bottom w:w="113" w:type="dxa"/>
              <w:right w:w="108" w:type="dxa"/>
            </w:tcMar>
            <w:hideMark/>
          </w:tcPr>
          <w:p w:rsidR="002502E6" w:rsidRDefault="002502E6">
            <w:pPr>
              <w:autoSpaceDE w:val="0"/>
              <w:autoSpaceDN w:val="0"/>
              <w:bidi/>
              <w:adjustRightInd w:val="0"/>
              <w:snapToGrid w:val="0"/>
              <w:spacing w:before="60" w:after="60" w:line="30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ضمان أن تكون مساهمات الويبو واقعية، وقائمة على التجارب، ومتوازنة، وتعكس وجهات نظر جميع أصحاب المصالح، وتحدث في الوقت المناسب، وذات أهداف جيدة.</w:t>
            </w:r>
            <w:r>
              <w:rPr>
                <w:rFonts w:hint="cs"/>
                <w:rtl/>
                <w:lang w:bidi="ar-EG"/>
              </w:rPr>
              <w:t xml:space="preserve"> </w:t>
            </w:r>
            <w:r>
              <w:rPr>
                <w:rFonts w:ascii="Arabic Typesetting" w:hAnsi="Arabic Typesetting" w:cs="Arabic Typesetting"/>
                <w:sz w:val="28"/>
                <w:szCs w:val="28"/>
                <w:rtl/>
                <w:lang w:bidi="ar-EG"/>
              </w:rPr>
              <w:t>وإقامة شراكات لزيادة أثر مساهمات الويبو.</w:t>
            </w:r>
          </w:p>
        </w:tc>
        <w:tc>
          <w:tcPr>
            <w:tcW w:w="2310" w:type="dxa"/>
            <w:tcBorders>
              <w:top w:val="single" w:sz="4" w:space="0" w:color="auto"/>
              <w:left w:val="nil"/>
              <w:right w:val="nil"/>
            </w:tcBorders>
            <w:hideMark/>
          </w:tcPr>
          <w:p w:rsidR="002502E6" w:rsidRDefault="002502E6">
            <w:pPr>
              <w:bidi/>
              <w:spacing w:before="60" w:after="60" w:line="280" w:lineRule="exact"/>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أُبرِزت هذه المخاطرة لأن مسارات الأمم المتحدة الرئيسية في الثنائية أسفرت عن طلبات مفصلة ومعقدة على نحو متزايد بشأن المساهمات. ولضمان الحد من وطأتها على نحو مناسب، جرى التشديد على زيادة التنسيق المكثف، داخلياً ومع الشركاء الخارجيين على حد سواء.</w:t>
            </w:r>
          </w:p>
        </w:tc>
        <w:tc>
          <w:tcPr>
            <w:tcW w:w="2306" w:type="dxa"/>
            <w:tcBorders>
              <w:top w:val="single" w:sz="4" w:space="0" w:color="auto"/>
              <w:left w:val="nil"/>
              <w:right w:val="single" w:sz="4" w:space="0" w:color="auto"/>
            </w:tcBorders>
            <w:hideMark/>
          </w:tcPr>
          <w:p w:rsidR="002502E6" w:rsidRDefault="002502E6">
            <w:pPr>
              <w:bidi/>
              <w:spacing w:line="280" w:lineRule="exact"/>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لا يوجد أي تأثير جوهري في أداء البرنامج.</w:t>
            </w:r>
          </w:p>
        </w:tc>
      </w:tr>
      <w:tr w:rsidR="002502E6" w:rsidTr="0099688F">
        <w:trPr>
          <w:cantSplit/>
          <w:trHeight w:val="1332"/>
        </w:trPr>
        <w:tc>
          <w:tcPr>
            <w:tcW w:w="2420" w:type="dxa"/>
            <w:tcBorders>
              <w:top w:val="nil"/>
              <w:left w:val="single" w:sz="4" w:space="0" w:color="auto"/>
              <w:bottom w:val="single" w:sz="4" w:space="0" w:color="auto"/>
              <w:right w:val="nil"/>
            </w:tcBorders>
            <w:tcMar>
              <w:top w:w="113" w:type="dxa"/>
              <w:left w:w="108" w:type="dxa"/>
              <w:bottom w:w="113" w:type="dxa"/>
              <w:right w:w="108" w:type="dxa"/>
            </w:tcMar>
            <w:hideMark/>
          </w:tcPr>
          <w:p w:rsidR="002502E6" w:rsidRDefault="002502E6">
            <w:pPr>
              <w:autoSpaceDE w:val="0"/>
              <w:autoSpaceDN w:val="0"/>
              <w:bidi/>
              <w:adjustRightInd w:val="0"/>
              <w:snapToGrid w:val="0"/>
              <w:spacing w:before="60" w:after="60" w:line="30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عدم بلوغ أهداف حشد الموارد، مما يفضي إلى عجز المنظمة عن بدء مشروعات معينة للملكية الفكرية بهدف التنمية.</w:t>
            </w:r>
          </w:p>
        </w:tc>
        <w:tc>
          <w:tcPr>
            <w:tcW w:w="2200" w:type="dxa"/>
            <w:tcBorders>
              <w:bottom w:val="single" w:sz="4" w:space="0" w:color="auto"/>
            </w:tcBorders>
            <w:tcMar>
              <w:top w:w="113" w:type="dxa"/>
              <w:left w:w="108" w:type="dxa"/>
              <w:bottom w:w="113" w:type="dxa"/>
              <w:right w:w="108" w:type="dxa"/>
            </w:tcMar>
            <w:hideMark/>
          </w:tcPr>
          <w:p w:rsidR="002502E6" w:rsidRDefault="002502E6">
            <w:pPr>
              <w:autoSpaceDE w:val="0"/>
              <w:autoSpaceDN w:val="0"/>
              <w:bidi/>
              <w:adjustRightInd w:val="0"/>
              <w:snapToGrid w:val="0"/>
              <w:spacing w:before="60" w:after="60" w:line="30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ضمان مشروعات فائقة الجودة لحشد الموارد، بحيث تستهدف بشكل ملائم الحصول على تبرعات الجهات المانحة. ومواصلة تطوير كفاءة المنظمة في حشد الموارد خارج الميزانية وإدارتها. والارتقاء بفهم أولويات الجهات المانحة وزيادة الاتصالات معها.</w:t>
            </w:r>
          </w:p>
        </w:tc>
        <w:tc>
          <w:tcPr>
            <w:tcW w:w="2310" w:type="dxa"/>
            <w:tcBorders>
              <w:bottom w:val="single" w:sz="4" w:space="0" w:color="auto"/>
            </w:tcBorders>
            <w:hideMark/>
          </w:tcPr>
          <w:p w:rsidR="002502E6" w:rsidRDefault="002502E6">
            <w:pPr>
              <w:bidi/>
              <w:spacing w:before="60" w:after="60" w:line="280" w:lineRule="exact"/>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تعتبر هذه المخاطرة أحد المخاطر المستمرة للبرنامج، وقد تصدت لها تدابير التخفيف بشكل فعال على النحو المخطط له.</w:t>
            </w:r>
          </w:p>
        </w:tc>
        <w:tc>
          <w:tcPr>
            <w:tcW w:w="2306" w:type="dxa"/>
            <w:tcBorders>
              <w:top w:val="nil"/>
              <w:left w:val="nil"/>
              <w:bottom w:val="single" w:sz="4" w:space="0" w:color="auto"/>
              <w:right w:val="single" w:sz="4" w:space="0" w:color="auto"/>
            </w:tcBorders>
            <w:hideMark/>
          </w:tcPr>
          <w:p w:rsidR="002502E6" w:rsidRDefault="002502E6">
            <w:pPr>
              <w:bidi/>
              <w:spacing w:line="280" w:lineRule="exact"/>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لا يوجد أي تأثير جوهري في أداء البرنامج.</w:t>
            </w:r>
          </w:p>
        </w:tc>
      </w:tr>
      <w:tr w:rsidR="002502E6" w:rsidTr="0099688F">
        <w:trPr>
          <w:cantSplit/>
          <w:trHeight w:val="1332"/>
        </w:trPr>
        <w:tc>
          <w:tcPr>
            <w:tcW w:w="2420" w:type="dxa"/>
            <w:tcBorders>
              <w:top w:val="single" w:sz="4" w:space="0" w:color="auto"/>
              <w:left w:val="single" w:sz="4" w:space="0" w:color="auto"/>
              <w:bottom w:val="single" w:sz="4" w:space="0" w:color="auto"/>
              <w:right w:val="nil"/>
            </w:tcBorders>
            <w:tcMar>
              <w:top w:w="113" w:type="dxa"/>
              <w:left w:w="108" w:type="dxa"/>
              <w:bottom w:w="113" w:type="dxa"/>
              <w:right w:w="108" w:type="dxa"/>
            </w:tcMar>
            <w:hideMark/>
          </w:tcPr>
          <w:p w:rsidR="002502E6" w:rsidRDefault="002502E6">
            <w:pPr>
              <w:autoSpaceDE w:val="0"/>
              <w:autoSpaceDN w:val="0"/>
              <w:bidi/>
              <w:adjustRightInd w:val="0"/>
              <w:snapToGrid w:val="0"/>
              <w:spacing w:before="60" w:after="60" w:line="30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lastRenderedPageBreak/>
              <w:t>مخاوف بشأن الأمن أو أن تهدد الكوارث الطبيعة تحقيق المكاتب الخارجية للأهداف المرتقبة</w:t>
            </w:r>
          </w:p>
        </w:tc>
        <w:tc>
          <w:tcPr>
            <w:tcW w:w="2200" w:type="dxa"/>
            <w:tcBorders>
              <w:top w:val="single" w:sz="4" w:space="0" w:color="auto"/>
              <w:left w:val="nil"/>
              <w:bottom w:val="single" w:sz="4" w:space="0" w:color="auto"/>
              <w:right w:val="nil"/>
            </w:tcBorders>
            <w:tcMar>
              <w:top w:w="113" w:type="dxa"/>
              <w:left w:w="108" w:type="dxa"/>
              <w:bottom w:w="113" w:type="dxa"/>
              <w:right w:w="108" w:type="dxa"/>
            </w:tcMar>
            <w:hideMark/>
          </w:tcPr>
          <w:p w:rsidR="002502E6" w:rsidRDefault="002502E6">
            <w:pPr>
              <w:autoSpaceDE w:val="0"/>
              <w:autoSpaceDN w:val="0"/>
              <w:bidi/>
              <w:adjustRightInd w:val="0"/>
              <w:snapToGrid w:val="0"/>
              <w:spacing w:before="60" w:after="60" w:line="300" w:lineRule="exact"/>
              <w:rPr>
                <w:rFonts w:ascii="Arabic Typesetting" w:hAnsi="Arabic Typesetting" w:cs="Arabic Typesetting"/>
                <w:sz w:val="28"/>
                <w:szCs w:val="28"/>
                <w:lang w:bidi="ar-EG"/>
              </w:rPr>
            </w:pPr>
            <w:r>
              <w:rPr>
                <w:rFonts w:ascii="Arabic Typesetting" w:hAnsi="Arabic Typesetting" w:cs="Arabic Typesetting"/>
                <w:sz w:val="28"/>
                <w:szCs w:val="28"/>
                <w:rtl/>
                <w:lang w:bidi="ar-EG"/>
              </w:rPr>
              <w:t>التعاون الوثيق مع حكومة البلد المضيف وتمديد خطة الويبو لاستمرارية العمل لتشمل المكاتب الخارجية</w:t>
            </w:r>
          </w:p>
        </w:tc>
        <w:tc>
          <w:tcPr>
            <w:tcW w:w="2310" w:type="dxa"/>
            <w:tcBorders>
              <w:top w:val="single" w:sz="4" w:space="0" w:color="auto"/>
              <w:left w:val="nil"/>
              <w:bottom w:val="single" w:sz="4" w:space="0" w:color="auto"/>
              <w:right w:val="nil"/>
            </w:tcBorders>
            <w:hideMark/>
          </w:tcPr>
          <w:p w:rsidR="002502E6" w:rsidRDefault="002502E6">
            <w:pPr>
              <w:bidi/>
              <w:spacing w:before="60" w:after="60" w:line="280" w:lineRule="exact"/>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هذه مخاطرة مستمرة، وتم التخفيف من وطأتها على نحو فعال من خلال تدابير التخفيف المتوخاة، بما في ذلك التعاون الأوثق مع السلطات المعنية وتعزيز تدابير التأهب للكوارث مثل شراء لوازم البقاء على قيد الحياة، وإيجاد شجرة اتصالات داخلية.</w:t>
            </w:r>
          </w:p>
        </w:tc>
        <w:tc>
          <w:tcPr>
            <w:tcW w:w="2306" w:type="dxa"/>
            <w:tcBorders>
              <w:top w:val="single" w:sz="4" w:space="0" w:color="auto"/>
              <w:left w:val="nil"/>
              <w:bottom w:val="single" w:sz="4" w:space="0" w:color="auto"/>
              <w:right w:val="single" w:sz="4" w:space="0" w:color="auto"/>
            </w:tcBorders>
            <w:hideMark/>
          </w:tcPr>
          <w:p w:rsidR="002502E6" w:rsidRDefault="002502E6">
            <w:pPr>
              <w:bidi/>
              <w:spacing w:line="280" w:lineRule="exact"/>
              <w:rPr>
                <w:rFonts w:ascii="Arabic Typesetting" w:hAnsi="Arabic Typesetting" w:cs="Arabic Typesetting"/>
                <w:b/>
                <w:sz w:val="28"/>
                <w:szCs w:val="28"/>
                <w:lang w:bidi="ar-EG"/>
              </w:rPr>
            </w:pPr>
            <w:r>
              <w:rPr>
                <w:rFonts w:ascii="Arabic Typesetting" w:hAnsi="Arabic Typesetting" w:cs="Arabic Typesetting"/>
                <w:b/>
                <w:sz w:val="28"/>
                <w:szCs w:val="28"/>
                <w:rtl/>
                <w:lang w:bidi="ar-EG"/>
              </w:rPr>
              <w:t>لا يوجد أي تأثير جوهري في أداء البرنامج.</w:t>
            </w:r>
          </w:p>
        </w:tc>
      </w:tr>
    </w:tbl>
    <w:p w:rsidR="002502E6" w:rsidRDefault="002502E6" w:rsidP="002502E6">
      <w:pPr>
        <w:keepNext/>
        <w:bidi/>
        <w:spacing w:before="120" w:after="120" w:line="340" w:lineRule="exact"/>
        <w:rPr>
          <w:rFonts w:ascii="Arabic Typesetting" w:hAnsi="Arabic Typesetting" w:cs="Arabic Typesetting"/>
          <w:sz w:val="34"/>
          <w:szCs w:val="34"/>
          <w:rtl/>
          <w:lang w:bidi="ar-EG"/>
        </w:rPr>
      </w:pPr>
      <w:r>
        <w:rPr>
          <w:rFonts w:ascii="Arabic Typesetting" w:hAnsi="Arabic Typesetting" w:cs="Arabic Typesetting"/>
          <w:sz w:val="34"/>
          <w:szCs w:val="34"/>
          <w:rtl/>
          <w:lang w:bidi="ar-EG"/>
        </w:rPr>
        <w:t>استخدام الموارد</w:t>
      </w:r>
    </w:p>
    <w:p w:rsidR="002502E6" w:rsidRDefault="002502E6" w:rsidP="002502E6">
      <w:pPr>
        <w:keepNext/>
        <w:bidi/>
        <w:spacing w:line="340" w:lineRule="exact"/>
        <w:jc w:val="center"/>
        <w:rPr>
          <w:rFonts w:ascii="Arabic Typesetting" w:hAnsi="Arabic Typesetting" w:cs="Arabic Typesetting"/>
          <w:i/>
          <w:iCs/>
          <w:sz w:val="34"/>
          <w:szCs w:val="34"/>
          <w:rtl/>
          <w:lang w:bidi="ar-EG"/>
        </w:rPr>
      </w:pPr>
      <w:r>
        <w:rPr>
          <w:rFonts w:ascii="Arabic Typesetting" w:hAnsi="Arabic Typesetting" w:cs="Arabic Typesetting"/>
          <w:sz w:val="34"/>
          <w:szCs w:val="34"/>
          <w:rtl/>
          <w:lang w:bidi="ar-EG"/>
        </w:rPr>
        <w:t>الميزانية والنفقات الفعلية (بحسب النتائج)</w:t>
      </w:r>
    </w:p>
    <w:p w:rsidR="002502E6" w:rsidRDefault="002502E6" w:rsidP="002502E6">
      <w:pPr>
        <w:keepNext/>
        <w:bidi/>
        <w:spacing w:after="120" w:line="340" w:lineRule="exact"/>
        <w:jc w:val="center"/>
        <w:rPr>
          <w:rFonts w:ascii="Arabic Typesetting" w:hAnsi="Arabic Typesetting" w:cs="Arabic Typesetting"/>
          <w:i/>
          <w:iCs/>
          <w:sz w:val="34"/>
          <w:szCs w:val="34"/>
          <w:rtl/>
          <w:lang w:bidi="ar-EG"/>
        </w:rPr>
      </w:pPr>
      <w:r>
        <w:rPr>
          <w:rFonts w:ascii="Arabic Typesetting" w:hAnsi="Arabic Typesetting" w:cs="Arabic Typesetting"/>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2502E6" w:rsidTr="002502E6">
        <w:trPr>
          <w:trHeight w:val="825"/>
        </w:trPr>
        <w:tc>
          <w:tcPr>
            <w:tcW w:w="2752"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2502E6" w:rsidRDefault="002502E6">
            <w:pPr>
              <w:bidi/>
              <w:jc w:val="center"/>
              <w:rPr>
                <w:rFonts w:ascii="Arabic Typesetting" w:hAnsi="Arabic Typesetting" w:cs="Arabic Typesetting"/>
                <w:i/>
                <w:iCs/>
                <w:sz w:val="28"/>
                <w:szCs w:val="28"/>
              </w:rPr>
            </w:pPr>
            <w:r>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2502E6" w:rsidRDefault="002502E6">
            <w:pPr>
              <w:bidi/>
              <w:jc w:val="center"/>
              <w:rPr>
                <w:rFonts w:ascii="Arabic Typesetting" w:hAnsi="Arabic Typesetting" w:cs="Arabic Typesetting"/>
                <w:i/>
                <w:iCs/>
                <w:sz w:val="28"/>
                <w:szCs w:val="28"/>
              </w:rPr>
            </w:pPr>
            <w:r>
              <w:rPr>
                <w:rFonts w:ascii="Arabic Typesetting" w:hAnsi="Arabic Typesetting" w:cs="Arabic Typesetting"/>
                <w:i/>
                <w:iCs/>
                <w:sz w:val="28"/>
                <w:szCs w:val="28"/>
                <w:rtl/>
              </w:rPr>
              <w:t>الميزانية المعتمدة 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2502E6" w:rsidRDefault="002502E6">
            <w:pPr>
              <w:bidi/>
              <w:jc w:val="center"/>
              <w:rPr>
                <w:rFonts w:ascii="Arabic Typesetting" w:hAnsi="Arabic Typesetting" w:cs="Arabic Typesetting"/>
                <w:i/>
                <w:iCs/>
                <w:sz w:val="28"/>
                <w:szCs w:val="28"/>
              </w:rPr>
            </w:pPr>
            <w:r>
              <w:rPr>
                <w:rFonts w:ascii="Arabic Typesetting" w:hAnsi="Arabic Typesetting" w:cs="Arabic Typesetting"/>
                <w:i/>
                <w:iCs/>
                <w:sz w:val="28"/>
                <w:szCs w:val="28"/>
                <w:rtl/>
              </w:rPr>
              <w:t>الميزانية النهائية بعد التحويلات 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2502E6" w:rsidRDefault="002502E6">
            <w:pPr>
              <w:bidi/>
              <w:jc w:val="center"/>
              <w:rPr>
                <w:rFonts w:ascii="Arabic Typesetting" w:hAnsi="Arabic Typesetting" w:cs="Arabic Typesetting"/>
                <w:i/>
                <w:iCs/>
                <w:sz w:val="28"/>
                <w:szCs w:val="28"/>
              </w:rPr>
            </w:pPr>
            <w:r>
              <w:rPr>
                <w:rFonts w:ascii="Arabic Typesetting" w:hAnsi="Arabic Typesetting" w:cs="Arabic Typesetting"/>
                <w:i/>
                <w:iCs/>
                <w:sz w:val="28"/>
                <w:szCs w:val="28"/>
                <w:rtl/>
              </w:rPr>
              <w:t>نفقات 2014/15</w:t>
            </w:r>
          </w:p>
        </w:tc>
      </w:tr>
      <w:tr w:rsidR="002502E6" w:rsidTr="002502E6">
        <w:trPr>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ھ1.2</w:t>
            </w:r>
          </w:p>
        </w:tc>
        <w:tc>
          <w:tcPr>
            <w:tcW w:w="2340" w:type="pct"/>
            <w:tcMar>
              <w:top w:w="15" w:type="dxa"/>
              <w:left w:w="15" w:type="dxa"/>
              <w:bottom w:w="0" w:type="dxa"/>
              <w:right w:w="15" w:type="dxa"/>
            </w:tcMar>
            <w:vAlign w:val="center"/>
            <w:hideMark/>
          </w:tcPr>
          <w:p w:rsidR="002502E6" w:rsidRDefault="00161D28">
            <w:pPr>
              <w:bidi/>
              <w:rPr>
                <w:rFonts w:ascii="Arabic Typesetting" w:hAnsi="Arabic Typesetting" w:cs="Arabic Typesetting"/>
                <w:sz w:val="28"/>
                <w:szCs w:val="28"/>
              </w:rPr>
            </w:pPr>
            <w:r>
              <w:rPr>
                <w:rFonts w:ascii="Arabic Typesetting" w:hAnsi="Arabic Typesetting" w:cs="Arabic Typesetting"/>
                <w:sz w:val="28"/>
                <w:szCs w:val="28"/>
                <w:rtl/>
              </w:rPr>
              <w:t>انتفاع متزايد بنظام معاهدة التعاون بشأن البراءات كسبيل للإيداع الدولي لطلبات البراءات</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rPr>
            </w:pPr>
            <w:r>
              <w:rPr>
                <w:rFonts w:ascii="Arabic Typesetting" w:hAnsi="Arabic Typesetting" w:cs="Arabic Typesetting"/>
                <w:sz w:val="28"/>
                <w:szCs w:val="28"/>
                <w:rtl/>
              </w:rPr>
              <w:t>894</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412 1</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155 1</w:t>
            </w:r>
          </w:p>
        </w:tc>
      </w:tr>
      <w:tr w:rsidR="002502E6" w:rsidTr="002502E6">
        <w:trPr>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ھ4.2</w:t>
            </w:r>
          </w:p>
        </w:tc>
        <w:tc>
          <w:tcPr>
            <w:tcW w:w="2340" w:type="pct"/>
            <w:tcMar>
              <w:top w:w="15" w:type="dxa"/>
              <w:left w:w="15" w:type="dxa"/>
              <w:bottom w:w="0" w:type="dxa"/>
              <w:right w:w="15" w:type="dxa"/>
            </w:tcMar>
            <w:vAlign w:val="center"/>
            <w:hideMark/>
          </w:tcPr>
          <w:p w:rsidR="002502E6" w:rsidRDefault="000E3DA7">
            <w:pPr>
              <w:bidi/>
              <w:rPr>
                <w:rFonts w:ascii="Arabic Typesetting" w:hAnsi="Arabic Typesetting" w:cs="Arabic Typesetting"/>
                <w:sz w:val="28"/>
                <w:szCs w:val="28"/>
                <w:lang w:bidi="ar-EG"/>
              </w:rPr>
            </w:pPr>
            <w:r>
              <w:rPr>
                <w:rFonts w:ascii="Arabic Typesetting" w:hAnsi="Arabic Typesetting" w:cs="Arabic Typesetting"/>
                <w:sz w:val="28"/>
                <w:szCs w:val="28"/>
                <w:rtl/>
              </w:rPr>
              <w:t>الانتفاع بنظام لاهاي على نطاق أوسع ونحو أفضل، بما في ذلك من جهة البلدان النامية والبلدان الأقل نموا</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486</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373</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335</w:t>
            </w:r>
          </w:p>
        </w:tc>
      </w:tr>
      <w:tr w:rsidR="002502E6" w:rsidTr="002502E6">
        <w:trPr>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ھ6.2</w:t>
            </w:r>
          </w:p>
        </w:tc>
        <w:tc>
          <w:tcPr>
            <w:tcW w:w="2340" w:type="pct"/>
            <w:tcMar>
              <w:top w:w="15" w:type="dxa"/>
              <w:left w:w="15" w:type="dxa"/>
              <w:bottom w:w="0" w:type="dxa"/>
              <w:right w:w="15" w:type="dxa"/>
            </w:tcMar>
            <w:vAlign w:val="center"/>
            <w:hideMark/>
          </w:tcPr>
          <w:p w:rsidR="002502E6" w:rsidRDefault="00161D28">
            <w:pPr>
              <w:bidi/>
              <w:rPr>
                <w:rFonts w:ascii="Arabic Typesetting" w:hAnsi="Arabic Typesetting" w:cs="Arabic Typesetting"/>
                <w:sz w:val="28"/>
                <w:szCs w:val="28"/>
                <w:lang w:bidi="ar-EG"/>
              </w:rPr>
            </w:pPr>
            <w:r>
              <w:rPr>
                <w:rFonts w:ascii="Arabic Typesetting" w:hAnsi="Arabic Typesetting" w:cs="Arabic Typesetting"/>
                <w:sz w:val="28"/>
                <w:szCs w:val="28"/>
                <w:rtl/>
              </w:rPr>
              <w:t>الانتفاع بنظامي مدريد ولشبونة على نطاق أوسع ونحو أفضل، بما في ذلك من جهة البلدان الأقل نموا</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114 1</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214 1</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028 1</w:t>
            </w:r>
          </w:p>
        </w:tc>
      </w:tr>
      <w:tr w:rsidR="002502E6" w:rsidTr="002502E6">
        <w:trPr>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ھ8.2</w:t>
            </w:r>
          </w:p>
        </w:tc>
        <w:tc>
          <w:tcPr>
            <w:tcW w:w="2340" w:type="pct"/>
            <w:tcMar>
              <w:top w:w="15" w:type="dxa"/>
              <w:left w:w="15" w:type="dxa"/>
              <w:bottom w:w="0" w:type="dxa"/>
              <w:right w:w="15" w:type="dxa"/>
            </w:tcMar>
            <w:vAlign w:val="center"/>
            <w:hideMark/>
          </w:tcPr>
          <w:p w:rsidR="002502E6" w:rsidRDefault="00161D28">
            <w:pPr>
              <w:bidi/>
              <w:rPr>
                <w:rFonts w:ascii="Arabic Typesetting" w:hAnsi="Arabic Typesetting" w:cs="Arabic Typesetting"/>
                <w:sz w:val="28"/>
                <w:szCs w:val="28"/>
                <w:lang w:bidi="ar-EG"/>
              </w:rPr>
            </w:pPr>
            <w:r>
              <w:rPr>
                <w:rFonts w:ascii="Arabic Typesetting" w:hAnsi="Arabic Typesetting" w:cs="Arabic Typesetting"/>
                <w:sz w:val="28"/>
                <w:szCs w:val="28"/>
                <w:rtl/>
              </w:rPr>
              <w:t>تزايد تفادي نشوء المنازعات المتعلقة بالملكية الفكرية دوليا وداخليا وتسويتها بفضل الوساطة والتحكيم وغيرها من أساليب الويبو البديلة في تسوية المنازعات</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122</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139</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105</w:t>
            </w:r>
          </w:p>
        </w:tc>
      </w:tr>
      <w:tr w:rsidR="002502E6" w:rsidTr="002502E6">
        <w:trPr>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ھ2.3</w:t>
            </w:r>
          </w:p>
        </w:tc>
        <w:tc>
          <w:tcPr>
            <w:tcW w:w="2340" w:type="pct"/>
            <w:tcMar>
              <w:top w:w="15" w:type="dxa"/>
              <w:left w:w="15" w:type="dxa"/>
              <w:bottom w:w="0" w:type="dxa"/>
              <w:right w:w="15" w:type="dxa"/>
            </w:tcMar>
            <w:vAlign w:val="center"/>
            <w:hideMark/>
          </w:tcPr>
          <w:p w:rsidR="002502E6" w:rsidRDefault="00161D28">
            <w:pPr>
              <w:bidi/>
              <w:rPr>
                <w:rFonts w:ascii="Arabic Typesetting" w:hAnsi="Arabic Typesetting" w:cs="Arabic Typesetting"/>
                <w:sz w:val="28"/>
                <w:szCs w:val="28"/>
                <w:lang w:bidi="ar-EG"/>
              </w:rPr>
            </w:pPr>
            <w:r>
              <w:rPr>
                <w:rFonts w:ascii="Arabic Typesetting" w:hAnsi="Arabic Typesetting" w:cs="Arabic Typesetting"/>
                <w:sz w:val="28"/>
                <w:szCs w:val="28"/>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231 1</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090 1</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859</w:t>
            </w:r>
          </w:p>
        </w:tc>
      </w:tr>
      <w:tr w:rsidR="002502E6" w:rsidTr="002502E6">
        <w:trPr>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ھ2.4</w:t>
            </w:r>
          </w:p>
        </w:tc>
        <w:tc>
          <w:tcPr>
            <w:tcW w:w="2340" w:type="pct"/>
            <w:tcMar>
              <w:top w:w="15" w:type="dxa"/>
              <w:left w:w="15" w:type="dxa"/>
              <w:bottom w:w="0" w:type="dxa"/>
              <w:right w:w="15" w:type="dxa"/>
            </w:tcMar>
            <w:vAlign w:val="center"/>
            <w:hideMark/>
          </w:tcPr>
          <w:p w:rsidR="002502E6" w:rsidRDefault="00161D28">
            <w:pPr>
              <w:bidi/>
              <w:rPr>
                <w:rFonts w:ascii="Arabic Typesetting" w:hAnsi="Arabic Typesetting" w:cs="Arabic Typesetting"/>
                <w:sz w:val="28"/>
                <w:szCs w:val="28"/>
                <w:lang w:bidi="ar-EG"/>
              </w:rPr>
            </w:pPr>
            <w:r>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774</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335</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288</w:t>
            </w:r>
          </w:p>
        </w:tc>
      </w:tr>
      <w:tr w:rsidR="002502E6" w:rsidTr="0099688F">
        <w:trPr>
          <w:trHeight w:val="722"/>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ھ2.7</w:t>
            </w:r>
          </w:p>
        </w:tc>
        <w:tc>
          <w:tcPr>
            <w:tcW w:w="2340" w:type="pct"/>
            <w:tcMar>
              <w:top w:w="15" w:type="dxa"/>
              <w:left w:w="15" w:type="dxa"/>
              <w:bottom w:w="0" w:type="dxa"/>
              <w:right w:w="15" w:type="dxa"/>
            </w:tcMar>
            <w:vAlign w:val="center"/>
            <w:hideMark/>
          </w:tcPr>
          <w:p w:rsidR="002502E6" w:rsidRDefault="00161D28">
            <w:pPr>
              <w:bidi/>
              <w:rPr>
                <w:rFonts w:ascii="Arabic Typesetting" w:hAnsi="Arabic Typesetting" w:cs="Arabic Typesetting"/>
                <w:sz w:val="28"/>
                <w:szCs w:val="28"/>
              </w:rPr>
            </w:pPr>
            <w:r>
              <w:rPr>
                <w:rFonts w:ascii="Arabic Typesetting" w:hAnsi="Arabic Typesetting" w:cs="Arabic Typesetting"/>
                <w:sz w:val="28"/>
                <w:szCs w:val="28"/>
                <w:rtl/>
              </w:rPr>
              <w:t>منصات وأدوات الملكية الفكرية مستخدمة في نقل المعارف وتطويع التكنولوجيا ونشرها من البلدان المتقدمة إلى البلدان النامية، ولا سيما البلدان الأقل نموا، لمواجهة التحديات العالمية</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304</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195</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197</w:t>
            </w:r>
          </w:p>
        </w:tc>
      </w:tr>
      <w:tr w:rsidR="002502E6" w:rsidTr="0099688F">
        <w:trPr>
          <w:trHeight w:val="42"/>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ھ1.8</w:t>
            </w:r>
          </w:p>
        </w:tc>
        <w:tc>
          <w:tcPr>
            <w:tcW w:w="2340" w:type="pct"/>
            <w:tcMar>
              <w:top w:w="15" w:type="dxa"/>
              <w:left w:w="15" w:type="dxa"/>
              <w:bottom w:w="0" w:type="dxa"/>
              <w:right w:w="15" w:type="dxa"/>
            </w:tcMar>
            <w:vAlign w:val="center"/>
            <w:hideMark/>
          </w:tcPr>
          <w:p w:rsidR="002502E6" w:rsidRDefault="00161D28">
            <w:pPr>
              <w:bidi/>
              <w:rPr>
                <w:rFonts w:ascii="Arabic Typesetting" w:hAnsi="Arabic Typesetting" w:cs="Arabic Typesetting"/>
                <w:sz w:val="28"/>
                <w:szCs w:val="28"/>
                <w:lang w:bidi="ar-EG"/>
              </w:rPr>
            </w:pPr>
            <w:r>
              <w:rPr>
                <w:rFonts w:ascii="Arabic Typesetting" w:hAnsi="Arabic Typesetting" w:cs="Arabic Typesetting"/>
                <w:sz w:val="28"/>
                <w:szCs w:val="28"/>
                <w:rtl/>
              </w:rPr>
              <w:t>التواصل بفعالية أكبر مع جمهور أوسع بشأن الملكية الفكرية ودور الويبو</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848</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116 1</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911</w:t>
            </w:r>
          </w:p>
        </w:tc>
      </w:tr>
      <w:tr w:rsidR="002502E6" w:rsidTr="0099688F">
        <w:trPr>
          <w:trHeight w:val="42"/>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ھ2.8</w:t>
            </w:r>
          </w:p>
        </w:tc>
        <w:tc>
          <w:tcPr>
            <w:tcW w:w="2340" w:type="pct"/>
            <w:tcMar>
              <w:top w:w="15" w:type="dxa"/>
              <w:left w:w="15" w:type="dxa"/>
              <w:bottom w:w="0" w:type="dxa"/>
              <w:right w:w="15" w:type="dxa"/>
            </w:tcMar>
            <w:vAlign w:val="center"/>
            <w:hideMark/>
          </w:tcPr>
          <w:p w:rsidR="002502E6" w:rsidRDefault="0099688F">
            <w:pPr>
              <w:bidi/>
              <w:rPr>
                <w:rFonts w:ascii="Arabic Typesetting" w:hAnsi="Arabic Typesetting" w:cs="Arabic Typesetting"/>
                <w:sz w:val="28"/>
                <w:szCs w:val="28"/>
                <w:lang w:bidi="ar-EG"/>
              </w:rPr>
            </w:pPr>
            <w:r>
              <w:rPr>
                <w:rFonts w:ascii="Arabic Typesetting" w:hAnsi="Arabic Typesetting" w:cs="Arabic Typesetting"/>
                <w:sz w:val="28"/>
                <w:szCs w:val="28"/>
                <w:rtl/>
              </w:rPr>
              <w:t>تحسين التوجّه نحو الخدمات والاستجابة للاستفسارات</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313</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913</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847</w:t>
            </w:r>
          </w:p>
        </w:tc>
      </w:tr>
      <w:tr w:rsidR="002502E6" w:rsidTr="0099688F">
        <w:trPr>
          <w:trHeight w:val="42"/>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ھ4.8</w:t>
            </w:r>
          </w:p>
        </w:tc>
        <w:tc>
          <w:tcPr>
            <w:tcW w:w="2340" w:type="pct"/>
            <w:tcMar>
              <w:top w:w="15" w:type="dxa"/>
              <w:left w:w="15" w:type="dxa"/>
              <w:bottom w:w="0" w:type="dxa"/>
              <w:right w:w="15" w:type="dxa"/>
            </w:tcMar>
            <w:vAlign w:val="center"/>
            <w:hideMark/>
          </w:tcPr>
          <w:p w:rsidR="002502E6" w:rsidRDefault="0099688F">
            <w:pPr>
              <w:bidi/>
              <w:rPr>
                <w:rFonts w:ascii="Arabic Typesetting" w:hAnsi="Arabic Typesetting" w:cs="Arabic Typesetting"/>
                <w:sz w:val="28"/>
                <w:szCs w:val="28"/>
                <w:lang w:bidi="ar-EG"/>
              </w:rPr>
            </w:pPr>
            <w:r>
              <w:rPr>
                <w:rFonts w:ascii="Arabic Typesetting" w:hAnsi="Arabic Typesetting" w:cs="Arabic Typesetting"/>
                <w:sz w:val="28"/>
                <w:szCs w:val="28"/>
                <w:rtl/>
              </w:rPr>
              <w:t>تفاعل منفتح وشفاف ومتجاوب مع أصحاب المصالح غير الحكوميين</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771 1</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223 1</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288 1</w:t>
            </w:r>
          </w:p>
        </w:tc>
      </w:tr>
      <w:tr w:rsidR="002502E6" w:rsidTr="002502E6">
        <w:trPr>
          <w:trHeight w:val="735"/>
        </w:trPr>
        <w:tc>
          <w:tcPr>
            <w:tcW w:w="413" w:type="pct"/>
            <w:tcBorders>
              <w:top w:val="nil"/>
              <w:left w:val="single" w:sz="4" w:space="0" w:color="auto"/>
              <w:bottom w:val="nil"/>
              <w:right w:val="nil"/>
            </w:tcBorders>
            <w:noWrap/>
            <w:tcMar>
              <w:top w:w="15" w:type="dxa"/>
              <w:left w:w="15" w:type="dxa"/>
              <w:bottom w:w="0" w:type="dxa"/>
              <w:right w:w="15" w:type="dxa"/>
            </w:tcMar>
            <w:vAlign w:val="center"/>
            <w:hideMark/>
          </w:tcPr>
          <w:p w:rsidR="002502E6" w:rsidRDefault="002502E6">
            <w:pPr>
              <w:bidi/>
              <w:rPr>
                <w:rFonts w:ascii="Arabic Typesetting" w:hAnsi="Arabic Typesetting" w:cs="Arabic Typesetting"/>
                <w:sz w:val="28"/>
                <w:szCs w:val="28"/>
                <w:lang w:bidi="ar-EG"/>
              </w:rPr>
            </w:pPr>
            <w:r>
              <w:rPr>
                <w:rFonts w:ascii="Arabic Typesetting" w:hAnsi="Arabic Typesetting" w:cs="Arabic Typesetting"/>
                <w:sz w:val="28"/>
                <w:szCs w:val="28"/>
                <w:rtl/>
                <w:lang w:bidi="ar-EG"/>
              </w:rPr>
              <w:t>ھ5.8</w:t>
            </w:r>
          </w:p>
        </w:tc>
        <w:tc>
          <w:tcPr>
            <w:tcW w:w="2340" w:type="pct"/>
            <w:tcMar>
              <w:top w:w="15" w:type="dxa"/>
              <w:left w:w="15" w:type="dxa"/>
              <w:bottom w:w="0" w:type="dxa"/>
              <w:right w:w="15" w:type="dxa"/>
            </w:tcMar>
            <w:vAlign w:val="center"/>
            <w:hideMark/>
          </w:tcPr>
          <w:p w:rsidR="002502E6" w:rsidRDefault="0099688F">
            <w:pPr>
              <w:bidi/>
              <w:rPr>
                <w:rFonts w:ascii="Arabic Typesetting" w:hAnsi="Arabic Typesetting" w:cs="Arabic Typesetting"/>
                <w:sz w:val="28"/>
                <w:szCs w:val="28"/>
                <w:lang w:bidi="ar-EG"/>
              </w:rPr>
            </w:pPr>
            <w:r>
              <w:rPr>
                <w:rFonts w:ascii="Arabic Typesetting" w:hAnsi="Arabic Typesetting" w:cs="Arabic Typesetting"/>
                <w:sz w:val="28"/>
                <w:szCs w:val="28"/>
                <w:rtl/>
              </w:rPr>
              <w:t>تفاعل الويبو وتشاركها بفعالية مع مسارات ومفاوضات الأمم المتحدة وسائر المنظمات الحكومية الدولية</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578 4</w:t>
            </w:r>
          </w:p>
        </w:tc>
        <w:tc>
          <w:tcPr>
            <w:tcW w:w="749" w:type="pct"/>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506 4</w:t>
            </w:r>
          </w:p>
        </w:tc>
        <w:tc>
          <w:tcPr>
            <w:tcW w:w="749" w:type="pct"/>
            <w:tcBorders>
              <w:top w:val="nil"/>
              <w:left w:val="nil"/>
              <w:bottom w:val="nil"/>
              <w:right w:val="single" w:sz="4" w:space="0" w:color="auto"/>
            </w:tcBorders>
            <w:noWrap/>
            <w:tcMar>
              <w:top w:w="15" w:type="dxa"/>
              <w:left w:w="15" w:type="dxa"/>
              <w:bottom w:w="0" w:type="dxa"/>
              <w:right w:w="15" w:type="dxa"/>
            </w:tcMar>
            <w:vAlign w:val="center"/>
            <w:hideMark/>
          </w:tcPr>
          <w:p w:rsidR="002502E6" w:rsidRDefault="002502E6">
            <w:pPr>
              <w:rPr>
                <w:rFonts w:ascii="Arabic Typesetting" w:hAnsi="Arabic Typesetting" w:cs="Arabic Typesetting"/>
                <w:sz w:val="28"/>
                <w:szCs w:val="28"/>
                <w:lang w:bidi="ar-EG"/>
              </w:rPr>
            </w:pPr>
            <w:r>
              <w:rPr>
                <w:rFonts w:ascii="Arabic Typesetting" w:hAnsi="Arabic Typesetting" w:cs="Arabic Typesetting"/>
                <w:sz w:val="28"/>
                <w:szCs w:val="28"/>
                <w:rtl/>
                <w:lang w:bidi="ar-EG"/>
              </w:rPr>
              <w:t>024 4</w:t>
            </w:r>
          </w:p>
        </w:tc>
      </w:tr>
      <w:tr w:rsidR="002502E6" w:rsidTr="002502E6">
        <w:trPr>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2502E6" w:rsidRDefault="002502E6">
            <w:pPr>
              <w:bidi/>
              <w:rPr>
                <w:rFonts w:ascii="Times New Roman" w:hAnsi="Times New Roman" w:cs="Times New Roman"/>
                <w:sz w:val="20"/>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2502E6" w:rsidRDefault="002502E6">
            <w:pPr>
              <w:bidi/>
              <w:rPr>
                <w:rFonts w:ascii="Arabic Typesetting" w:hAnsi="Arabic Typesetting" w:cs="Arabic Typesetting"/>
                <w:b/>
                <w:bCs/>
                <w:sz w:val="28"/>
                <w:szCs w:val="28"/>
              </w:rPr>
            </w:pPr>
            <w:r>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2502E6" w:rsidRDefault="002502E6">
            <w:pPr>
              <w:rPr>
                <w:rFonts w:ascii="Arabic Typesetting" w:hAnsi="Arabic Typesetting" w:cs="Arabic Typesetting"/>
                <w:b/>
                <w:bCs/>
                <w:sz w:val="28"/>
                <w:szCs w:val="28"/>
              </w:rPr>
            </w:pPr>
            <w:r>
              <w:rPr>
                <w:rFonts w:ascii="Arabic Typesetting" w:hAnsi="Arabic Typesetting" w:cs="Arabic Typesetting"/>
                <w:b/>
                <w:bCs/>
                <w:sz w:val="28"/>
                <w:szCs w:val="28"/>
                <w:rtl/>
              </w:rPr>
              <w:t>435 12</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2502E6" w:rsidRDefault="002502E6">
            <w:pPr>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515 12</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2502E6" w:rsidRDefault="002502E6">
            <w:pPr>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036 11</w:t>
            </w:r>
          </w:p>
        </w:tc>
      </w:tr>
    </w:tbl>
    <w:p w:rsidR="002502E6" w:rsidRDefault="002502E6" w:rsidP="002502E6">
      <w:pPr>
        <w:keepNext/>
        <w:bidi/>
        <w:spacing w:before="240" w:line="340" w:lineRule="exact"/>
        <w:jc w:val="center"/>
        <w:rPr>
          <w:rFonts w:ascii="Arabic Typesetting" w:hAnsi="Arabic Typesetting" w:cs="Arabic Typesetting"/>
          <w:i/>
          <w:iCs/>
          <w:sz w:val="34"/>
          <w:szCs w:val="34"/>
          <w:rtl/>
          <w:lang w:bidi="ar-EG"/>
        </w:rPr>
      </w:pPr>
      <w:r>
        <w:rPr>
          <w:rFonts w:ascii="Arabic Typesetting" w:hAnsi="Arabic Typesetting" w:cs="Arabic Typesetting"/>
          <w:sz w:val="34"/>
          <w:szCs w:val="34"/>
          <w:rtl/>
          <w:lang w:bidi="ar-EG"/>
        </w:rPr>
        <w:lastRenderedPageBreak/>
        <w:t>الميزانية والنفقات الفعلية (موارد الموظفين وخلاف موارد الموظفين)</w:t>
      </w:r>
    </w:p>
    <w:p w:rsidR="002502E6" w:rsidRDefault="002502E6" w:rsidP="002502E6">
      <w:pPr>
        <w:keepNext/>
        <w:bidi/>
        <w:spacing w:after="120"/>
        <w:jc w:val="center"/>
        <w:rPr>
          <w:rFonts w:ascii="Arabic Typesetting" w:hAnsi="Arabic Typesetting" w:cs="Arabic Typesetting"/>
          <w:sz w:val="34"/>
          <w:szCs w:val="34"/>
          <w:rtl/>
          <w:lang w:bidi="ar-EG"/>
        </w:rPr>
      </w:pPr>
      <w:r>
        <w:rPr>
          <w:rFonts w:ascii="Arabic Typesetting" w:hAnsi="Arabic Typesetting" w:cs="Arabic Typesetting"/>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2502E6" w:rsidTr="002502E6">
        <w:trPr>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2502E6" w:rsidRDefault="002502E6">
            <w:pPr>
              <w:bidi/>
              <w:rPr>
                <w:rFonts w:ascii="Times New Roman" w:hAnsi="Times New Roman" w:cs="Times New Roman"/>
                <w:sz w:val="20"/>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2502E6" w:rsidRDefault="002502E6">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الميزانية المعتمدة 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2502E6" w:rsidRDefault="002502E6">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الميزانية النهائية بعد التحويلات 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2502E6" w:rsidRDefault="002502E6">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نفقات 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2502E6" w:rsidRDefault="002502E6">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 (%)</w:t>
            </w:r>
          </w:p>
        </w:tc>
      </w:tr>
      <w:tr w:rsidR="002502E6" w:rsidTr="002502E6">
        <w:trPr>
          <w:trHeight w:val="540"/>
        </w:trPr>
        <w:tc>
          <w:tcPr>
            <w:tcW w:w="1120" w:type="pct"/>
            <w:tcBorders>
              <w:top w:val="nil"/>
              <w:left w:val="single" w:sz="4" w:space="0" w:color="auto"/>
              <w:bottom w:val="single" w:sz="4" w:space="0" w:color="auto"/>
              <w:right w:val="single" w:sz="4" w:space="0" w:color="auto"/>
            </w:tcBorders>
            <w:noWrap/>
            <w:vAlign w:val="center"/>
            <w:hideMark/>
          </w:tcPr>
          <w:p w:rsidR="002502E6" w:rsidRDefault="002502E6">
            <w:pPr>
              <w:keepNext/>
              <w:bidi/>
              <w:rPr>
                <w:rFonts w:ascii="Arabic Typesetting" w:hAnsi="Arabic Typesetting" w:cs="Arabic Typesetting"/>
                <w:sz w:val="28"/>
                <w:szCs w:val="28"/>
                <w:lang w:bidi="ar-EG"/>
              </w:rPr>
            </w:pPr>
            <w:r>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vAlign w:val="center"/>
            <w:hideMark/>
          </w:tcPr>
          <w:p w:rsidR="002502E6" w:rsidRDefault="002502E6">
            <w:pPr>
              <w:keepNext/>
              <w:jc w:val="center"/>
              <w:rPr>
                <w:rFonts w:ascii="Arabic Typesetting" w:hAnsi="Arabic Typesetting" w:cs="Arabic Typesetting"/>
                <w:sz w:val="28"/>
                <w:szCs w:val="28"/>
              </w:rPr>
            </w:pPr>
            <w:r>
              <w:rPr>
                <w:rFonts w:ascii="Arabic Typesetting" w:hAnsi="Arabic Typesetting" w:cs="Arabic Typesetting"/>
                <w:sz w:val="28"/>
                <w:szCs w:val="28"/>
                <w:rtl/>
              </w:rPr>
              <w:t>209 9</w:t>
            </w:r>
          </w:p>
        </w:tc>
        <w:tc>
          <w:tcPr>
            <w:tcW w:w="970" w:type="pct"/>
            <w:tcBorders>
              <w:top w:val="single" w:sz="4" w:space="0" w:color="auto"/>
              <w:left w:val="single" w:sz="4" w:space="0" w:color="auto"/>
              <w:bottom w:val="single" w:sz="4" w:space="0" w:color="auto"/>
              <w:right w:val="single" w:sz="4" w:space="0" w:color="auto"/>
            </w:tcBorders>
            <w:vAlign w:val="center"/>
            <w:hideMark/>
          </w:tcPr>
          <w:p w:rsidR="002502E6" w:rsidRDefault="002502E6">
            <w:pPr>
              <w:keepNex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086 9</w:t>
            </w:r>
          </w:p>
        </w:tc>
        <w:tc>
          <w:tcPr>
            <w:tcW w:w="970" w:type="pct"/>
            <w:tcBorders>
              <w:top w:val="single" w:sz="4" w:space="0" w:color="auto"/>
              <w:left w:val="single" w:sz="4" w:space="0" w:color="auto"/>
              <w:bottom w:val="single" w:sz="4" w:space="0" w:color="auto"/>
              <w:right w:val="single" w:sz="4" w:space="0" w:color="auto"/>
            </w:tcBorders>
            <w:vAlign w:val="center"/>
            <w:hideMark/>
          </w:tcPr>
          <w:p w:rsidR="002502E6" w:rsidRDefault="002502E6">
            <w:pPr>
              <w:keepNex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026 8</w:t>
            </w:r>
          </w:p>
        </w:tc>
        <w:tc>
          <w:tcPr>
            <w:tcW w:w="970" w:type="pct"/>
            <w:tcBorders>
              <w:top w:val="single" w:sz="4" w:space="0" w:color="auto"/>
              <w:left w:val="single" w:sz="4" w:space="0" w:color="auto"/>
              <w:bottom w:val="single" w:sz="4" w:space="0" w:color="auto"/>
              <w:right w:val="single" w:sz="4" w:space="0" w:color="auto"/>
            </w:tcBorders>
            <w:vAlign w:val="center"/>
            <w:hideMark/>
          </w:tcPr>
          <w:p w:rsidR="002502E6" w:rsidRDefault="002502E6">
            <w:pPr>
              <w:keepNext/>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88%</w:t>
            </w:r>
          </w:p>
        </w:tc>
      </w:tr>
      <w:tr w:rsidR="002502E6" w:rsidTr="002502E6">
        <w:trPr>
          <w:trHeight w:val="540"/>
        </w:trPr>
        <w:tc>
          <w:tcPr>
            <w:tcW w:w="1120" w:type="pct"/>
            <w:tcBorders>
              <w:top w:val="nil"/>
              <w:left w:val="single" w:sz="4" w:space="0" w:color="auto"/>
              <w:bottom w:val="single" w:sz="4" w:space="0" w:color="auto"/>
              <w:right w:val="single" w:sz="4" w:space="0" w:color="auto"/>
            </w:tcBorders>
            <w:noWrap/>
            <w:vAlign w:val="center"/>
            <w:hideMark/>
          </w:tcPr>
          <w:p w:rsidR="002502E6" w:rsidRDefault="002502E6">
            <w:pPr>
              <w:bidi/>
              <w:rPr>
                <w:rFonts w:ascii="Arabic Typesetting" w:hAnsi="Arabic Typesetting" w:cs="Arabic Typesetting"/>
                <w:sz w:val="28"/>
                <w:szCs w:val="28"/>
              </w:rPr>
            </w:pPr>
            <w:r>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vAlign w:val="center"/>
            <w:hideMark/>
          </w:tcPr>
          <w:p w:rsidR="002502E6" w:rsidRDefault="002502E6">
            <w:pPr>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226 3</w:t>
            </w:r>
          </w:p>
        </w:tc>
        <w:tc>
          <w:tcPr>
            <w:tcW w:w="970" w:type="pct"/>
            <w:tcBorders>
              <w:top w:val="nil"/>
              <w:left w:val="single" w:sz="4" w:space="0" w:color="auto"/>
              <w:bottom w:val="single" w:sz="4" w:space="0" w:color="auto"/>
              <w:right w:val="single" w:sz="4" w:space="0" w:color="auto"/>
            </w:tcBorders>
            <w:vAlign w:val="center"/>
            <w:hideMark/>
          </w:tcPr>
          <w:p w:rsidR="002502E6" w:rsidRDefault="002502E6">
            <w:pPr>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429 3</w:t>
            </w:r>
          </w:p>
        </w:tc>
        <w:tc>
          <w:tcPr>
            <w:tcW w:w="970" w:type="pct"/>
            <w:tcBorders>
              <w:top w:val="nil"/>
              <w:left w:val="single" w:sz="4" w:space="0" w:color="auto"/>
              <w:bottom w:val="single" w:sz="4" w:space="0" w:color="auto"/>
              <w:right w:val="single" w:sz="4" w:space="0" w:color="auto"/>
            </w:tcBorders>
            <w:vAlign w:val="center"/>
            <w:hideMark/>
          </w:tcPr>
          <w:p w:rsidR="002502E6" w:rsidRDefault="002502E6">
            <w:pPr>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009 3</w:t>
            </w:r>
          </w:p>
        </w:tc>
        <w:tc>
          <w:tcPr>
            <w:tcW w:w="970" w:type="pct"/>
            <w:tcBorders>
              <w:top w:val="nil"/>
              <w:left w:val="single" w:sz="4" w:space="0" w:color="auto"/>
              <w:bottom w:val="single" w:sz="4" w:space="0" w:color="auto"/>
              <w:right w:val="single" w:sz="4" w:space="0" w:color="auto"/>
            </w:tcBorders>
            <w:vAlign w:val="center"/>
            <w:hideMark/>
          </w:tcPr>
          <w:p w:rsidR="002502E6" w:rsidRDefault="002502E6">
            <w:pPr>
              <w:jc w:val="center"/>
              <w:rPr>
                <w:rFonts w:ascii="Arabic Typesetting" w:hAnsi="Arabic Typesetting" w:cs="Arabic Typesetting"/>
                <w:sz w:val="28"/>
                <w:szCs w:val="28"/>
                <w:lang w:bidi="ar-EG"/>
              </w:rPr>
            </w:pPr>
            <w:r>
              <w:rPr>
                <w:rFonts w:ascii="Arabic Typesetting" w:hAnsi="Arabic Typesetting" w:cs="Arabic Typesetting"/>
                <w:sz w:val="28"/>
                <w:szCs w:val="28"/>
                <w:rtl/>
                <w:lang w:bidi="ar-EG"/>
              </w:rPr>
              <w:t>88%</w:t>
            </w:r>
          </w:p>
        </w:tc>
      </w:tr>
      <w:tr w:rsidR="002502E6" w:rsidTr="002502E6">
        <w:trPr>
          <w:trHeight w:val="540"/>
        </w:trPr>
        <w:tc>
          <w:tcPr>
            <w:tcW w:w="1120" w:type="pct"/>
            <w:tcBorders>
              <w:top w:val="nil"/>
              <w:left w:val="single" w:sz="4" w:space="0" w:color="auto"/>
              <w:bottom w:val="single" w:sz="4" w:space="0" w:color="auto"/>
              <w:right w:val="single" w:sz="4" w:space="0" w:color="auto"/>
            </w:tcBorders>
            <w:noWrap/>
            <w:vAlign w:val="center"/>
            <w:hideMark/>
          </w:tcPr>
          <w:p w:rsidR="002502E6" w:rsidRDefault="002502E6">
            <w:pPr>
              <w:bidi/>
              <w:jc w:val="right"/>
              <w:rPr>
                <w:rFonts w:ascii="Arabic Typesetting" w:hAnsi="Arabic Typesetting" w:cs="Arabic Typesetting"/>
                <w:b/>
                <w:bCs/>
                <w:sz w:val="28"/>
                <w:szCs w:val="28"/>
              </w:rPr>
            </w:pPr>
            <w:r>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vAlign w:val="center"/>
            <w:hideMark/>
          </w:tcPr>
          <w:p w:rsidR="002502E6" w:rsidRDefault="002502E6">
            <w:pPr>
              <w:jc w:val="center"/>
              <w:rPr>
                <w:rFonts w:ascii="Arabic Typesetting" w:hAnsi="Arabic Typesetting" w:cs="Arabic Typesetting"/>
                <w:b/>
                <w:bCs/>
                <w:sz w:val="28"/>
                <w:szCs w:val="28"/>
              </w:rPr>
            </w:pPr>
            <w:r>
              <w:rPr>
                <w:rFonts w:ascii="Arabic Typesetting" w:hAnsi="Arabic Typesetting" w:cs="Arabic Typesetting"/>
                <w:b/>
                <w:bCs/>
                <w:sz w:val="28"/>
                <w:szCs w:val="28"/>
                <w:rtl/>
              </w:rPr>
              <w:t>435 12</w:t>
            </w:r>
          </w:p>
        </w:tc>
        <w:tc>
          <w:tcPr>
            <w:tcW w:w="970" w:type="pct"/>
            <w:tcBorders>
              <w:top w:val="nil"/>
              <w:left w:val="single" w:sz="4" w:space="0" w:color="auto"/>
              <w:bottom w:val="single" w:sz="4" w:space="0" w:color="auto"/>
              <w:right w:val="single" w:sz="4" w:space="0" w:color="auto"/>
            </w:tcBorders>
            <w:vAlign w:val="center"/>
            <w:hideMark/>
          </w:tcPr>
          <w:p w:rsidR="002502E6" w:rsidRDefault="002502E6">
            <w:pPr>
              <w:jc w:val="center"/>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515 12</w:t>
            </w:r>
          </w:p>
        </w:tc>
        <w:tc>
          <w:tcPr>
            <w:tcW w:w="970" w:type="pct"/>
            <w:tcBorders>
              <w:top w:val="nil"/>
              <w:left w:val="single" w:sz="4" w:space="0" w:color="auto"/>
              <w:bottom w:val="single" w:sz="4" w:space="0" w:color="auto"/>
              <w:right w:val="single" w:sz="4" w:space="0" w:color="auto"/>
            </w:tcBorders>
            <w:vAlign w:val="center"/>
            <w:hideMark/>
          </w:tcPr>
          <w:p w:rsidR="002502E6" w:rsidRDefault="002502E6">
            <w:pPr>
              <w:jc w:val="center"/>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036 11</w:t>
            </w:r>
          </w:p>
        </w:tc>
        <w:tc>
          <w:tcPr>
            <w:tcW w:w="970" w:type="pct"/>
            <w:tcBorders>
              <w:top w:val="nil"/>
              <w:left w:val="single" w:sz="4" w:space="0" w:color="auto"/>
              <w:bottom w:val="single" w:sz="4" w:space="0" w:color="auto"/>
              <w:right w:val="single" w:sz="4" w:space="0" w:color="auto"/>
            </w:tcBorders>
            <w:vAlign w:val="center"/>
            <w:hideMark/>
          </w:tcPr>
          <w:p w:rsidR="002502E6" w:rsidRDefault="002502E6">
            <w:pPr>
              <w:jc w:val="center"/>
              <w:rPr>
                <w:rFonts w:ascii="Arabic Typesetting" w:hAnsi="Arabic Typesetting" w:cs="Arabic Typesetting"/>
                <w:b/>
                <w:bCs/>
                <w:sz w:val="28"/>
                <w:szCs w:val="28"/>
                <w:lang w:bidi="ar-EG"/>
              </w:rPr>
            </w:pPr>
            <w:r>
              <w:rPr>
                <w:rFonts w:ascii="Arabic Typesetting" w:hAnsi="Arabic Typesetting" w:cs="Arabic Typesetting"/>
                <w:b/>
                <w:bCs/>
                <w:sz w:val="28"/>
                <w:szCs w:val="28"/>
                <w:rtl/>
                <w:lang w:bidi="ar-EG"/>
              </w:rPr>
              <w:t>88%</w:t>
            </w:r>
          </w:p>
        </w:tc>
      </w:tr>
    </w:tbl>
    <w:p w:rsidR="002502E6" w:rsidRDefault="002502E6" w:rsidP="002502E6">
      <w:pPr>
        <w:keepNext/>
        <w:bidi/>
        <w:spacing w:before="240" w:after="120" w:line="340" w:lineRule="exact"/>
        <w:rPr>
          <w:rFonts w:ascii="Arabic Typesetting" w:hAnsi="Arabic Typesetting" w:cs="Arabic Typesetting"/>
          <w:sz w:val="34"/>
          <w:szCs w:val="34"/>
          <w:rtl/>
          <w:lang w:bidi="ar-EG"/>
        </w:rPr>
      </w:pPr>
      <w:r>
        <w:rPr>
          <w:rFonts w:ascii="Arabic Typesetting" w:hAnsi="Arabic Typesetting" w:cs="Arabic Typesetting"/>
          <w:sz w:val="34"/>
          <w:szCs w:val="34"/>
          <w:rtl/>
          <w:lang w:bidi="ar-EG"/>
        </w:rPr>
        <w:t>ألف</w:t>
      </w:r>
      <w:r>
        <w:rPr>
          <w:rFonts w:ascii="Arabic Typesetting" w:hAnsi="Arabic Typesetting" w:cs="Arabic Typesetting"/>
          <w:sz w:val="34"/>
          <w:szCs w:val="34"/>
          <w:lang w:bidi="ar-EG"/>
        </w:rPr>
        <w:t>.</w:t>
      </w:r>
      <w:r>
        <w:rPr>
          <w:rFonts w:ascii="Arabic Typesetting" w:hAnsi="Arabic Typesetting" w:cs="Arabic Typesetting"/>
          <w:sz w:val="34"/>
          <w:szCs w:val="34"/>
          <w:rtl/>
          <w:lang w:bidi="ar-EG"/>
        </w:rPr>
        <w:tab/>
      </w:r>
      <w:r>
        <w:rPr>
          <w:rFonts w:ascii="Arabic Typesetting" w:hAnsi="Arabic Typesetting" w:cs="Arabic Typesetting"/>
          <w:sz w:val="34"/>
          <w:szCs w:val="34"/>
          <w:u w:val="single"/>
          <w:rtl/>
          <w:lang w:bidi="ar-EG"/>
        </w:rPr>
        <w:t>الميزانية النهائية بعد التحويلات 2014/15</w:t>
      </w:r>
    </w:p>
    <w:p w:rsid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lang w:bidi="ar-EG"/>
        </w:rPr>
      </w:pPr>
      <w:r>
        <w:rPr>
          <w:rFonts w:ascii="Arabic Typesetting" w:hAnsi="Arabic Typesetting" w:cs="Arabic Typesetting"/>
          <w:sz w:val="34"/>
          <w:szCs w:val="34"/>
          <w:rtl/>
        </w:rPr>
        <w:t>الانخفاض الصافي في موارد الموظفين في الميزانية النهائية بعد التحويلات 2014/15 يعكس نقل موارد الموظفين إلى البرنامج 9 لتعزيز أنشطة مكتب أفريقيا (انعكس ذلك في صورة انخفاض في النتيجة ھ4.8 (تفاعلات منفتحة وشفافة ومتجاوبة مع المنظمات غير الحكومية)).</w:t>
      </w:r>
    </w:p>
    <w:p w:rsid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Pr>
          <w:rFonts w:ascii="Arabic Typesetting" w:hAnsi="Arabic Typesetting" w:cs="Arabic Typesetting"/>
          <w:sz w:val="34"/>
          <w:szCs w:val="34"/>
          <w:rtl/>
        </w:rPr>
        <w:t>والزيادة الصافية في موارد خلاف الموظفين في الميزانية النهائية بعد التحويلات 2014/15 ترجع في المقام الأول إلى الأسباب الآتية: "1" التخصيص الأولي للموارد من أجل مكتب الويبو في الصين ومكتب الويبو في روسيا، "2" ونقل أموال إضافية إلى مكتب الويبو في الصين من أجل أعمال البنية التحتية في إطار مشروع البنية العالمية للمكاتب، "3" ونقل أموال إضافية إلى مكاتب خارجية من أجل مشاركة رؤساء المكاتب الخارجية في جمعيات الويبو العامة.</w:t>
      </w:r>
    </w:p>
    <w:p w:rsid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4"/>
          <w:szCs w:val="34"/>
        </w:rPr>
      </w:pPr>
      <w:r>
        <w:rPr>
          <w:rFonts w:ascii="Arabic Typesetting" w:hAnsi="Arabic Typesetting" w:cs="Arabic Typesetting"/>
          <w:sz w:val="34"/>
          <w:szCs w:val="34"/>
          <w:rtl/>
        </w:rPr>
        <w:t>والتسويات الحادثة فيما بين النتائج المرتقبة ترجع في المقام الأول إلى الأسباب الآتية: "1" التخصيص الأولي للموارد من أجل مكتب الويبو في الصين ومكتب الويبو في روسيا، التي تنعكس، على وجه الخصوص، في النتيجة ھ1.2 (</w:t>
      </w:r>
      <w:r w:rsidR="0099688F" w:rsidRPr="0099688F">
        <w:rPr>
          <w:rFonts w:ascii="Arabic Typesetting" w:hAnsi="Arabic Typesetting" w:cs="Arabic Typesetting"/>
          <w:sz w:val="34"/>
          <w:szCs w:val="34"/>
          <w:rtl/>
        </w:rPr>
        <w:t>انتفاع متزايد بنظام معاهدة التعاون بشأن البراءات</w:t>
      </w:r>
      <w:r>
        <w:rPr>
          <w:rFonts w:ascii="Arabic Typesetting" w:hAnsi="Arabic Typesetting" w:cs="Arabic Typesetting"/>
          <w:sz w:val="34"/>
          <w:szCs w:val="34"/>
          <w:rtl/>
        </w:rPr>
        <w:t>) والنتيجة ھ6.2 (</w:t>
      </w:r>
      <w:r w:rsidR="0099688F" w:rsidRPr="0099688F">
        <w:rPr>
          <w:rFonts w:ascii="Arabic Typesetting" w:hAnsi="Arabic Typesetting" w:cs="Arabic Typesetting"/>
          <w:sz w:val="34"/>
          <w:szCs w:val="34"/>
          <w:rtl/>
        </w:rPr>
        <w:t>الانتفاع بنظامي مدريد ولشبونة على نطاق أوسع ونحو أفضل</w:t>
      </w:r>
      <w:r>
        <w:rPr>
          <w:rFonts w:ascii="Arabic Typesetting" w:hAnsi="Arabic Typesetting" w:cs="Arabic Typesetting"/>
          <w:sz w:val="34"/>
          <w:szCs w:val="34"/>
          <w:rtl/>
        </w:rPr>
        <w:t>)؛ "2" وزيادة تركيز المكاتب الخارجية على التواصل الأكثر فعاليةً بشأن خدمات الويبو العالمية للملكية الفكرية التي انعكست في النتيجة ھ1.8 (</w:t>
      </w:r>
      <w:r w:rsidR="0099688F" w:rsidRPr="0099688F">
        <w:rPr>
          <w:rFonts w:ascii="Arabic Typesetting" w:hAnsi="Arabic Typesetting" w:cs="Arabic Typesetting"/>
          <w:sz w:val="34"/>
          <w:szCs w:val="34"/>
          <w:rtl/>
        </w:rPr>
        <w:t>التواصل بفعالية أكبر مع جمهور أوسع</w:t>
      </w:r>
      <w:r>
        <w:rPr>
          <w:rFonts w:ascii="Arabic Typesetting" w:hAnsi="Arabic Typesetting" w:cs="Arabic Typesetting"/>
          <w:sz w:val="34"/>
          <w:szCs w:val="34"/>
          <w:rtl/>
        </w:rPr>
        <w:t>) وتحسين خدمة العملاء الذي انعكس في النتيجة ھ2.8 (</w:t>
      </w:r>
      <w:r w:rsidR="0099688F">
        <w:rPr>
          <w:rFonts w:ascii="Arabic Typesetting" w:hAnsi="Arabic Typesetting" w:cs="Arabic Typesetting"/>
          <w:sz w:val="34"/>
          <w:szCs w:val="34"/>
          <w:rtl/>
        </w:rPr>
        <w:t>تحسين التوجّه نحو الخدمات والاستجابة للاستفسارات</w:t>
      </w:r>
      <w:r>
        <w:rPr>
          <w:rFonts w:ascii="Arabic Typesetting" w:hAnsi="Arabic Typesetting" w:cs="Arabic Typesetting"/>
          <w:sz w:val="34"/>
          <w:szCs w:val="34"/>
          <w:rtl/>
        </w:rPr>
        <w:t>)؛ "3" وإعادة توزيع الموارد من النتيجة ھ4.8 (</w:t>
      </w:r>
      <w:r w:rsidR="0099688F" w:rsidRPr="0099688F">
        <w:rPr>
          <w:rFonts w:ascii="Arabic Typesetting" w:hAnsi="Arabic Typesetting" w:cs="Arabic Typesetting"/>
          <w:sz w:val="34"/>
          <w:szCs w:val="34"/>
          <w:rtl/>
        </w:rPr>
        <w:t>تفاعل منفتح وشفاف ومتجاوب مع أصحاب المصالح غير الحكوميين</w:t>
      </w:r>
      <w:r w:rsidR="0099688F">
        <w:rPr>
          <w:rFonts w:ascii="Arabic Typesetting" w:hAnsi="Arabic Typesetting" w:cs="Arabic Typesetting" w:hint="cs"/>
          <w:sz w:val="34"/>
          <w:szCs w:val="34"/>
          <w:rtl/>
        </w:rPr>
        <w:t>)</w:t>
      </w:r>
      <w:r w:rsidR="0099688F" w:rsidRPr="0099688F">
        <w:rPr>
          <w:rFonts w:ascii="Arabic Typesetting" w:hAnsi="Arabic Typesetting" w:cs="Arabic Typesetting"/>
          <w:sz w:val="34"/>
          <w:szCs w:val="34"/>
          <w:rtl/>
        </w:rPr>
        <w:t xml:space="preserve"> </w:t>
      </w:r>
      <w:r>
        <w:rPr>
          <w:rFonts w:ascii="Arabic Typesetting" w:hAnsi="Arabic Typesetting" w:cs="Arabic Typesetting"/>
          <w:sz w:val="34"/>
          <w:szCs w:val="34"/>
          <w:rtl/>
        </w:rPr>
        <w:t>إلى النتيجة ھ5.8 (</w:t>
      </w:r>
      <w:r w:rsidR="0099688F" w:rsidRPr="0099688F">
        <w:rPr>
          <w:rFonts w:ascii="Arabic Typesetting" w:hAnsi="Arabic Typesetting" w:cs="Arabic Typesetting"/>
          <w:sz w:val="34"/>
          <w:szCs w:val="34"/>
          <w:rtl/>
        </w:rPr>
        <w:t>تفاعل الويبو وتشاركها بفعالية مع مسارات الأمم المتحدة والمنظمات الحكومية الدولية الأخرى</w:t>
      </w:r>
      <w:r>
        <w:rPr>
          <w:rFonts w:ascii="Arabic Typesetting" w:hAnsi="Arabic Typesetting" w:cs="Arabic Typesetting"/>
          <w:sz w:val="34"/>
          <w:szCs w:val="34"/>
          <w:rtl/>
        </w:rPr>
        <w:t>) بعد إعادة التنظيم الداخلي للبرنامج.</w:t>
      </w:r>
    </w:p>
    <w:p w:rsidR="002502E6" w:rsidRDefault="002502E6" w:rsidP="0099688F">
      <w:pPr>
        <w:bidi/>
        <w:spacing w:after="120" w:line="340" w:lineRule="exact"/>
        <w:jc w:val="both"/>
        <w:rPr>
          <w:rFonts w:ascii="Arabic Typesetting" w:hAnsi="Arabic Typesetting" w:cs="Arabic Typesetting"/>
          <w:sz w:val="34"/>
          <w:szCs w:val="34"/>
        </w:rPr>
      </w:pPr>
      <w:r>
        <w:rPr>
          <w:rFonts w:ascii="Arabic Typesetting" w:hAnsi="Arabic Typesetting" w:cs="Arabic Typesetting"/>
          <w:sz w:val="34"/>
          <w:szCs w:val="34"/>
          <w:rtl/>
          <w:lang w:bidi="ar-EG"/>
        </w:rPr>
        <w:t>باء</w:t>
      </w:r>
      <w:r>
        <w:rPr>
          <w:rFonts w:ascii="Arabic Typesetting" w:hAnsi="Arabic Typesetting" w:cs="Arabic Typesetting"/>
          <w:sz w:val="34"/>
          <w:szCs w:val="34"/>
          <w:lang w:bidi="ar-EG"/>
        </w:rPr>
        <w:t>.</w:t>
      </w:r>
      <w:r>
        <w:rPr>
          <w:rFonts w:ascii="Arabic Typesetting" w:hAnsi="Arabic Typesetting" w:cs="Arabic Typesetting"/>
          <w:sz w:val="34"/>
          <w:szCs w:val="34"/>
          <w:rtl/>
          <w:lang w:bidi="ar-EG"/>
        </w:rPr>
        <w:tab/>
      </w:r>
      <w:r>
        <w:rPr>
          <w:rFonts w:ascii="Arabic Typesetting" w:hAnsi="Arabic Typesetting" w:cs="Arabic Typesetting"/>
          <w:sz w:val="34"/>
          <w:szCs w:val="34"/>
          <w:u w:val="single"/>
          <w:rtl/>
          <w:lang w:bidi="ar-EG"/>
        </w:rPr>
        <w:t>استخدام ميزانية 2014/15</w:t>
      </w:r>
    </w:p>
    <w:p w:rsidR="00086C3F" w:rsidRPr="002502E6" w:rsidRDefault="002502E6" w:rsidP="0099688F">
      <w:pPr>
        <w:pStyle w:val="ListParagraph"/>
        <w:numPr>
          <w:ilvl w:val="0"/>
          <w:numId w:val="68"/>
        </w:numPr>
        <w:bidi/>
        <w:spacing w:after="120" w:line="340" w:lineRule="exact"/>
        <w:ind w:left="-5" w:firstLine="0"/>
        <w:contextualSpacing w:val="0"/>
        <w:jc w:val="both"/>
        <w:rPr>
          <w:rFonts w:ascii="Arabic Typesetting" w:hAnsi="Arabic Typesetting" w:cs="Arabic Typesetting"/>
          <w:sz w:val="36"/>
          <w:szCs w:val="36"/>
          <w:rtl/>
        </w:rPr>
      </w:pPr>
      <w:r w:rsidRPr="002502E6">
        <w:rPr>
          <w:rFonts w:ascii="Arabic Typesetting" w:hAnsi="Arabic Typesetting" w:cs="Arabic Typesetting"/>
          <w:sz w:val="34"/>
          <w:szCs w:val="34"/>
          <w:rtl/>
        </w:rPr>
        <w:t xml:space="preserve">الاستخدام الإجمالي للميزانية في الثنائية 2014/15 يبلغ 81 </w:t>
      </w:r>
      <w:r w:rsidR="000B5473">
        <w:rPr>
          <w:rFonts w:ascii="Arabic Typesetting" w:hAnsi="Arabic Typesetting" w:cs="Arabic Typesetting"/>
          <w:sz w:val="34"/>
          <w:szCs w:val="34"/>
          <w:rtl/>
        </w:rPr>
        <w:t>بالمئة</w:t>
      </w:r>
      <w:r w:rsidRPr="002502E6">
        <w:rPr>
          <w:rFonts w:ascii="Arabic Typesetting" w:hAnsi="Arabic Typesetting" w:cs="Arabic Typesetting"/>
          <w:sz w:val="34"/>
          <w:szCs w:val="34"/>
          <w:rtl/>
        </w:rPr>
        <w:t>. ويرجع هذا في المقام الأول إلى الأسباب الآتية: "1" افتتاح مكتب الويبو في الصين ومكتب الويبو في روسيا في يوليو 2014، أيْ في منتصف العام، وهو ما انعكس على وجه الخصوص في النتيجة ھ1.2 (زيادة استخدام نظام معاهدة التعاون بشأن البراءات) والنتيجة ھ6.2 (استخدام نظامي مدريد ولشبونة على نطاق أوسع وبشكل أفضل) والنتيجة ھ2.3 (كفاءات معزَّزة للموارد البشرية)؛ "2" وتأجيل الأنشطة المتعلقة بمشروع استخدام الخدمات البديلة لتسوية المنازعات في معاملات الملكية الفكرية في مكتب الويبو في البرازيل على النحو المبين في النتيجة ھ8.2 (</w:t>
      </w:r>
      <w:r w:rsidR="0099688F" w:rsidRPr="0099688F">
        <w:rPr>
          <w:rFonts w:ascii="Arabic Typesetting" w:hAnsi="Arabic Typesetting" w:cs="Arabic Typesetting"/>
          <w:sz w:val="34"/>
          <w:szCs w:val="34"/>
          <w:rtl/>
        </w:rPr>
        <w:t>المنازعات المتعلقة بالملكية الفكرية دوليا وداخليا</w:t>
      </w:r>
      <w:r w:rsidRPr="002502E6">
        <w:rPr>
          <w:rFonts w:ascii="Arabic Typesetting" w:hAnsi="Arabic Typesetting" w:cs="Arabic Typesetting"/>
          <w:sz w:val="34"/>
          <w:szCs w:val="34"/>
          <w:rtl/>
        </w:rPr>
        <w:t>)؛ "3" وبعض أنشطة تكوين الكفاءات في إطار النتيجة ھ2.3 (كفاءات معزَّزة للموارد البشرية) التي تضطلع بها برامج أخرى مباشرةً في البلدان/ المناطق؛ "4" وتنفيذ تدابير كفاءة التكاليف فيما يتعلق ببعثات الموظفين، لا سيما في إطار النتيجة ھ5.8 (</w:t>
      </w:r>
      <w:r w:rsidR="0099688F" w:rsidRPr="0099688F">
        <w:rPr>
          <w:rFonts w:ascii="Arabic Typesetting" w:hAnsi="Arabic Typesetting" w:cs="Arabic Typesetting"/>
          <w:sz w:val="34"/>
          <w:szCs w:val="34"/>
          <w:rtl/>
        </w:rPr>
        <w:t>تفاعل الويبو وتشاركها بفعالية مع مسارات الأمم المتحدة والمنظمات الحكومية الدولية الأخرى</w:t>
      </w:r>
      <w:r w:rsidRPr="002502E6">
        <w:rPr>
          <w:rFonts w:ascii="Arabic Typesetting" w:hAnsi="Arabic Typesetting" w:cs="Arabic Typesetting"/>
          <w:sz w:val="34"/>
          <w:szCs w:val="34"/>
          <w:rtl/>
        </w:rPr>
        <w:t>).</w:t>
      </w:r>
    </w:p>
    <w:p w:rsidR="00B31868" w:rsidRDefault="00B31868" w:rsidP="00086C3F">
      <w:pPr>
        <w:pStyle w:val="Heading2AR"/>
        <w:rPr>
          <w:rtl/>
        </w:rPr>
      </w:pPr>
      <w:bookmarkStart w:id="110" w:name="_Toc450635427"/>
      <w:bookmarkStart w:id="111" w:name="_Toc455393396"/>
      <w:r w:rsidRPr="00B31868">
        <w:rPr>
          <w:rFonts w:hint="cs"/>
          <w:rtl/>
        </w:rPr>
        <w:lastRenderedPageBreak/>
        <w:t>الهدف الاستراتيجي التاسع</w:t>
      </w:r>
      <w:bookmarkEnd w:id="110"/>
      <w:bookmarkEnd w:id="111"/>
    </w:p>
    <w:p w:rsidR="009178C3" w:rsidRDefault="003C2A9C" w:rsidP="00E32E98">
      <w:pPr>
        <w:pStyle w:val="NormalParaAR"/>
        <w:tabs>
          <w:tab w:val="right" w:pos="6825"/>
        </w:tabs>
        <w:jc w:val="center"/>
        <w:rPr>
          <w:b/>
          <w:bCs/>
          <w:rtl/>
          <w:lang w:bidi="ar-EG"/>
        </w:rPr>
      </w:pPr>
      <w:r w:rsidRPr="003C2A9C">
        <w:rPr>
          <w:b/>
          <w:bCs/>
          <w:rtl/>
          <w:lang w:bidi="ar-EG"/>
        </w:rPr>
        <w:t>دعم إداري ومالي فعال لتمكين الويبو من تنفيذ برامجها</w:t>
      </w:r>
    </w:p>
    <w:p w:rsidR="009178C3" w:rsidRPr="002C1F06" w:rsidRDefault="009178C3" w:rsidP="009178C3">
      <w:pPr>
        <w:keepNext/>
        <w:tabs>
          <w:tab w:val="left" w:pos="1132"/>
        </w:tabs>
        <w:bidi/>
        <w:spacing w:after="240" w:line="360" w:lineRule="exact"/>
        <w:jc w:val="center"/>
        <w:rPr>
          <w:rFonts w:ascii="Arabic Typesetting" w:hAnsi="Arabic Typesetting" w:cs="Arabic Typesetting"/>
          <w:b/>
          <w:bCs/>
          <w:sz w:val="36"/>
          <w:szCs w:val="36"/>
          <w:rtl/>
        </w:rPr>
      </w:pPr>
      <w:r w:rsidRPr="002C1F06">
        <w:rPr>
          <w:rFonts w:ascii="Arabic Typesetting" w:hAnsi="Arabic Typesetting" w:cs="Arabic Typesetting" w:hint="cs"/>
          <w:b/>
          <w:bCs/>
          <w:sz w:val="36"/>
          <w:szCs w:val="36"/>
          <w:rtl/>
        </w:rPr>
        <w:t>لوحة بيانات أداء الفترة الثنائية</w:t>
      </w:r>
    </w:p>
    <w:p w:rsidR="009178C3" w:rsidRPr="00C34F0E" w:rsidRDefault="009178C3" w:rsidP="009178C3">
      <w:pPr>
        <w:tabs>
          <w:tab w:val="left" w:pos="1132"/>
        </w:tabs>
        <w:bidi/>
        <w:spacing w:after="120" w:line="340" w:lineRule="exact"/>
        <w:rPr>
          <w:rFonts w:ascii="Arabic Typesetting" w:hAnsi="Arabic Typesetting" w:cs="Arabic Typesetting"/>
          <w:sz w:val="34"/>
          <w:szCs w:val="34"/>
          <w:rtl/>
        </w:rPr>
      </w:pPr>
      <w:r w:rsidRPr="00C34F0E">
        <w:rPr>
          <w:rFonts w:ascii="Arabic Typesetting" w:hAnsi="Arabic Typesetting" w:cs="Arabic Typesetting" w:hint="cs"/>
          <w:sz w:val="34"/>
          <w:szCs w:val="34"/>
          <w:rtl/>
        </w:rPr>
        <w:t>تعرض لوحة البيانات التالية موجزا لإنجازات النتائج المرتقبة في الثنائية 2014/15 قياسا بالمؤشرات المحددة في كل برنامج يساهم في تحقيق هذا الهدف الاستراتيجي.</w:t>
      </w:r>
    </w:p>
    <w:p w:rsidR="009178C3" w:rsidRDefault="000A7B1D" w:rsidP="000A7B1D">
      <w:pPr>
        <w:tabs>
          <w:tab w:val="left" w:pos="1132"/>
        </w:tabs>
        <w:bidi/>
        <w:spacing w:after="120"/>
        <w:jc w:val="center"/>
        <w:rPr>
          <w:rFonts w:ascii="Arabic Typesetting" w:hAnsi="Arabic Typesetting" w:cs="Arabic Typesetting"/>
          <w:sz w:val="34"/>
          <w:szCs w:val="34"/>
          <w:rtl/>
          <w:lang w:bidi="ar-EG"/>
        </w:rPr>
      </w:pPr>
      <w:r>
        <w:rPr>
          <w:rFonts w:ascii="Arabic Typesetting" w:hAnsi="Arabic Typesetting" w:cs="Arabic Typesetting"/>
          <w:noProof/>
          <w:sz w:val="34"/>
          <w:szCs w:val="34"/>
        </w:rPr>
        <w:drawing>
          <wp:inline distT="0" distB="0" distL="0" distR="0" wp14:anchorId="1A2375F8" wp14:editId="5D717113">
            <wp:extent cx="5661364" cy="3019426"/>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70278" cy="3024180"/>
                    </a:xfrm>
                    <a:prstGeom prst="rect">
                      <a:avLst/>
                    </a:prstGeom>
                    <a:noFill/>
                  </pic:spPr>
                </pic:pic>
              </a:graphicData>
            </a:graphic>
          </wp:inline>
        </w:drawing>
      </w:r>
    </w:p>
    <w:tbl>
      <w:tblP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368"/>
        <w:gridCol w:w="3563"/>
        <w:gridCol w:w="1767"/>
        <w:gridCol w:w="873"/>
      </w:tblGrid>
      <w:tr w:rsidR="009178C3" w:rsidRPr="00FE3908" w:rsidTr="006E665D">
        <w:trPr>
          <w:cantSplit/>
          <w:tblHeader/>
        </w:trPr>
        <w:tc>
          <w:tcPr>
            <w:tcW w:w="1759"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النتائج المرتقبة</w:t>
            </w:r>
          </w:p>
        </w:tc>
        <w:tc>
          <w:tcPr>
            <w:tcW w:w="1861"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مؤشرات الأداء</w:t>
            </w:r>
          </w:p>
        </w:tc>
        <w:tc>
          <w:tcPr>
            <w:tcW w:w="923"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Pr>
                <w:rFonts w:ascii="Arabic Typesetting" w:hAnsi="Arabic Typesetting" w:cs="Arabic Typesetting"/>
                <w:b/>
                <w:bCs/>
                <w:color w:val="000000"/>
                <w:sz w:val="30"/>
                <w:szCs w:val="30"/>
                <w:rtl/>
                <w:lang w:bidi="ar-EG"/>
              </w:rPr>
              <w:t xml:space="preserve">البرنامج </w:t>
            </w:r>
            <w:r>
              <w:rPr>
                <w:rFonts w:ascii="Arabic Typesetting" w:hAnsi="Arabic Typesetting" w:cs="Arabic Typesetting" w:hint="cs"/>
                <w:b/>
                <w:bCs/>
                <w:color w:val="000000"/>
                <w:sz w:val="30"/>
                <w:szCs w:val="30"/>
                <w:rtl/>
                <w:lang w:bidi="ar-EG"/>
              </w:rPr>
              <w:t xml:space="preserve">المسؤول </w:t>
            </w:r>
            <w:r>
              <w:rPr>
                <w:rFonts w:ascii="Arabic Typesetting" w:hAnsi="Arabic Typesetting" w:cs="Arabic Typesetting"/>
                <w:b/>
                <w:bCs/>
                <w:color w:val="000000"/>
                <w:sz w:val="30"/>
                <w:szCs w:val="30"/>
                <w:rtl/>
                <w:lang w:bidi="ar-EG"/>
              </w:rPr>
              <w:t>(البرامج المس</w:t>
            </w:r>
            <w:r>
              <w:rPr>
                <w:rFonts w:ascii="Arabic Typesetting" w:hAnsi="Arabic Typesetting" w:cs="Arabic Typesetting" w:hint="cs"/>
                <w:b/>
                <w:bCs/>
                <w:color w:val="000000"/>
                <w:sz w:val="30"/>
                <w:szCs w:val="30"/>
                <w:rtl/>
                <w:lang w:bidi="ar-EG"/>
              </w:rPr>
              <w:t>ؤ</w:t>
            </w:r>
            <w:r w:rsidRPr="00FE3908">
              <w:rPr>
                <w:rFonts w:ascii="Arabic Typesetting" w:hAnsi="Arabic Typesetting" w:cs="Arabic Typesetting"/>
                <w:b/>
                <w:bCs/>
                <w:color w:val="000000"/>
                <w:sz w:val="30"/>
                <w:szCs w:val="30"/>
                <w:rtl/>
                <w:lang w:bidi="ar-EG"/>
              </w:rPr>
              <w:t>ولة</w:t>
            </w:r>
            <w:r>
              <w:rPr>
                <w:rFonts w:ascii="Arabic Typesetting" w:hAnsi="Arabic Typesetting" w:cs="Arabic Typesetting"/>
                <w:b/>
                <w:bCs/>
                <w:color w:val="000000"/>
                <w:sz w:val="30"/>
                <w:szCs w:val="30"/>
                <w:rtl/>
                <w:lang w:bidi="ar-EG"/>
              </w:rPr>
              <w:t xml:space="preserve">) </w:t>
            </w:r>
          </w:p>
        </w:tc>
        <w:tc>
          <w:tcPr>
            <w:tcW w:w="456" w:type="pct"/>
            <w:tcBorders>
              <w:top w:val="single" w:sz="4" w:space="0" w:color="auto"/>
              <w:bottom w:val="single" w:sz="4" w:space="0" w:color="auto"/>
            </w:tcBorders>
            <w:shd w:val="clear" w:color="auto" w:fill="C6D9F1" w:themeFill="text2" w:themeFillTint="33"/>
            <w:vAlign w:val="center"/>
          </w:tcPr>
          <w:p w:rsidR="009178C3" w:rsidRPr="00FE3908" w:rsidRDefault="009178C3" w:rsidP="006E665D">
            <w:pPr>
              <w:bidi/>
              <w:spacing w:before="60" w:after="60" w:line="280" w:lineRule="exact"/>
              <w:jc w:val="center"/>
              <w:rPr>
                <w:rFonts w:ascii="Arabic Typesetting" w:hAnsi="Arabic Typesetting" w:cs="Arabic Typesetting"/>
                <w:b/>
                <w:bCs/>
                <w:color w:val="000000"/>
                <w:sz w:val="30"/>
                <w:szCs w:val="30"/>
                <w:lang w:bidi="ar-EG"/>
              </w:rPr>
            </w:pPr>
            <w:r w:rsidRPr="00FE3908">
              <w:rPr>
                <w:rFonts w:ascii="Arabic Typesetting" w:hAnsi="Arabic Typesetting" w:cs="Arabic Typesetting"/>
                <w:b/>
                <w:bCs/>
                <w:color w:val="000000"/>
                <w:sz w:val="30"/>
                <w:szCs w:val="30"/>
                <w:rtl/>
                <w:lang w:bidi="ar-EG"/>
              </w:rPr>
              <w:t>السير</w:t>
            </w:r>
          </w:p>
        </w:tc>
      </w:tr>
      <w:tr w:rsidR="009178C3" w:rsidRPr="00FE3908" w:rsidTr="006E665D">
        <w:trPr>
          <w:cantSplit/>
        </w:trPr>
        <w:tc>
          <w:tcPr>
            <w:tcW w:w="1759" w:type="pct"/>
            <w:tcBorders>
              <w:top w:val="single" w:sz="4" w:space="0" w:color="auto"/>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sidRPr="00A818A6">
              <w:rPr>
                <w:rFonts w:ascii="Arabic Typesetting" w:hAnsi="Arabic Typesetting" w:cs="Arabic Typesetting"/>
                <w:color w:val="000000"/>
                <w:sz w:val="30"/>
                <w:szCs w:val="30"/>
                <w:rtl/>
                <w:lang w:bidi="ar-EG"/>
              </w:rPr>
              <w:t xml:space="preserve">ه1.9 </w:t>
            </w:r>
            <w:r w:rsidRPr="00D619C5">
              <w:rPr>
                <w:rFonts w:ascii="Arabic Typesetting" w:hAnsi="Arabic Typesetting" w:cs="Arabic Typesetting"/>
                <w:color w:val="000000"/>
                <w:sz w:val="30"/>
                <w:szCs w:val="30"/>
                <w:rtl/>
                <w:lang w:bidi="ar-EG"/>
              </w:rPr>
              <w:t>خدمات دعم فعالة وناجعة وذات جودة موجهة نحو الزبائن لفائدة الزبائن الداخليين وأصحاب المصالح الخارجيين</w:t>
            </w:r>
          </w:p>
        </w:tc>
        <w:tc>
          <w:tcPr>
            <w:tcW w:w="1861"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rtl/>
                <w:lang w:bidi="ar-EG"/>
              </w:rPr>
            </w:pPr>
            <w:r w:rsidRPr="00A818A6">
              <w:rPr>
                <w:rFonts w:ascii="Arabic Typesetting" w:hAnsi="Arabic Typesetting" w:cs="Arabic Typesetting"/>
                <w:color w:val="000000"/>
                <w:sz w:val="30"/>
                <w:szCs w:val="30"/>
                <w:rtl/>
              </w:rPr>
              <w:t>تقديم التقارير المالية والإدارية والتحليلات المطلوبة من الإدارة العليا ومديري البرامج والدول الأعضاء وفقًا للمواعيد النهائية المتفق عليها</w:t>
            </w:r>
          </w:p>
        </w:tc>
        <w:tc>
          <w:tcPr>
            <w:tcW w:w="923"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top w:val="single" w:sz="4" w:space="0" w:color="auto"/>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FF0000"/>
                <w:szCs w:val="22"/>
                <w:lang w:bidi="ar-EG"/>
              </w:rPr>
              <w:t></w:t>
            </w:r>
            <w:r w:rsidRPr="00015299">
              <w:rPr>
                <w:rFonts w:ascii="Wingdings" w:hAnsi="Wingdings" w:cs="Calibri"/>
                <w:color w:val="008000"/>
                <w:szCs w:val="22"/>
                <w:lang w:bidi="ar-EG"/>
              </w:rPr>
              <w:t></w:t>
            </w:r>
            <w:r w:rsidRPr="00015299">
              <w:rPr>
                <w:rFonts w:ascii="Wingdings" w:hAnsi="Wingdings" w:cs="Calibri"/>
                <w:color w:val="008000"/>
                <w:szCs w:val="22"/>
                <w:lang w:bidi="ar-EG"/>
              </w:rPr>
              <w:t></w:t>
            </w: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FE3908" w:rsidRDefault="009178C3" w:rsidP="006E665D">
            <w:pPr>
              <w:bidi/>
              <w:spacing w:before="60" w:after="60" w:line="280" w:lineRule="exact"/>
              <w:rPr>
                <w:rFonts w:ascii="Arabic Typesetting" w:hAnsi="Arabic Typesetting" w:cs="Arabic Typesetting"/>
                <w:color w:val="000000"/>
                <w:sz w:val="30"/>
                <w:szCs w:val="30"/>
                <w:rtl/>
                <w:lang w:bidi="ar-EG"/>
              </w:rPr>
            </w:pPr>
            <w:r w:rsidRPr="00A818A6">
              <w:rPr>
                <w:rFonts w:ascii="Arabic Typesetting" w:hAnsi="Arabic Typesetting" w:cs="Arabic Typesetting"/>
                <w:color w:val="000000"/>
                <w:sz w:val="30"/>
                <w:szCs w:val="30"/>
                <w:rtl/>
              </w:rPr>
              <w:t>الإجابة على الاستفسارات الداخلية/الخارجية الواردة وفقًا للجداول الزمنية المحددة</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r w:rsidRPr="008A6954">
              <w:rPr>
                <w:rFonts w:ascii="Wingdings" w:hAnsi="Wingdings" w:cs="Calibri"/>
                <w:color w:val="10862C"/>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EF643B" w:rsidRDefault="009178C3" w:rsidP="006E665D">
            <w:pPr>
              <w:bidi/>
              <w:spacing w:before="60" w:after="60" w:line="280" w:lineRule="exact"/>
              <w:rPr>
                <w:rFonts w:ascii="Arabic Typesetting" w:hAnsi="Arabic Typesetting" w:cs="Arabic Typesetting"/>
                <w:color w:val="000000"/>
                <w:sz w:val="30"/>
                <w:szCs w:val="30"/>
                <w:rtl/>
              </w:rPr>
            </w:pPr>
            <w:r w:rsidRPr="00A818A6">
              <w:rPr>
                <w:rFonts w:ascii="Arabic Typesetting" w:hAnsi="Arabic Typesetting" w:cs="Arabic Typesetting"/>
                <w:color w:val="000000"/>
                <w:sz w:val="30"/>
                <w:szCs w:val="30"/>
                <w:rtl/>
              </w:rPr>
              <w:t>النسبة المئوية للموظفين الراضين عن خدمات الموارد البشرية</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23</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6614">
              <w:rPr>
                <w:rFonts w:ascii="Wingdings" w:hAnsi="Wingdings" w:cs="Calibri"/>
                <w:color w:val="A6A6A6" w:themeColor="background1" w:themeShade="A6"/>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EF643B" w:rsidRDefault="009178C3" w:rsidP="006E665D">
            <w:pPr>
              <w:bidi/>
              <w:spacing w:before="60" w:after="60" w:line="280" w:lineRule="exact"/>
              <w:rPr>
                <w:rFonts w:ascii="Arabic Typesetting" w:hAnsi="Arabic Typesetting" w:cs="Arabic Typesetting"/>
                <w:color w:val="000000"/>
                <w:sz w:val="30"/>
                <w:szCs w:val="30"/>
                <w:rtl/>
              </w:rPr>
            </w:pPr>
            <w:r w:rsidRPr="00A818A6">
              <w:rPr>
                <w:rFonts w:ascii="Arabic Typesetting" w:hAnsi="Arabic Typesetting" w:cs="Arabic Typesetting"/>
                <w:color w:val="000000"/>
                <w:sz w:val="30"/>
                <w:szCs w:val="30"/>
                <w:rtl/>
              </w:rPr>
              <w:t>تقديم خدمات فعالة ودقيقة في الوقت المناسب من قبل عمليات الموارد البشرية</w:t>
            </w:r>
          </w:p>
        </w:tc>
        <w:tc>
          <w:tcPr>
            <w:tcW w:w="923" w:type="pct"/>
            <w:tcBorders>
              <w:top w:val="nil"/>
              <w:bottom w:val="nil"/>
            </w:tcBorders>
            <w:shd w:val="clear" w:color="auto" w:fill="auto"/>
            <w:vAlign w:val="center"/>
          </w:tcPr>
          <w:p w:rsidR="009178C3"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23</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EF643B" w:rsidRDefault="009178C3" w:rsidP="006E665D">
            <w:pPr>
              <w:bidi/>
              <w:spacing w:before="60" w:after="60" w:line="280" w:lineRule="exact"/>
              <w:rPr>
                <w:rFonts w:ascii="Arabic Typesetting" w:hAnsi="Arabic Typesetting" w:cs="Arabic Typesetting"/>
                <w:color w:val="000000"/>
                <w:sz w:val="30"/>
                <w:szCs w:val="30"/>
                <w:rtl/>
              </w:rPr>
            </w:pPr>
            <w:r w:rsidRPr="001F6AB0">
              <w:rPr>
                <w:rFonts w:ascii="Arabic Typesetting" w:hAnsi="Arabic Typesetting" w:cs="Arabic Typesetting"/>
                <w:color w:val="000000"/>
                <w:sz w:val="30"/>
                <w:szCs w:val="30"/>
                <w:rtl/>
              </w:rPr>
              <w:t>إكمال مشروع قاعة المؤتمرات الجديدة في الموعد المحدد وفي حدود الميزانية ووفقاً لشروط الجودة</w:t>
            </w:r>
          </w:p>
        </w:tc>
        <w:tc>
          <w:tcPr>
            <w:tcW w:w="923" w:type="pct"/>
            <w:tcBorders>
              <w:top w:val="nil"/>
              <w:bottom w:val="nil"/>
            </w:tcBorders>
            <w:shd w:val="clear" w:color="auto" w:fill="auto"/>
            <w:vAlign w:val="center"/>
          </w:tcPr>
          <w:p w:rsidR="009178C3"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29</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sidRPr="001F6AB0">
              <w:rPr>
                <w:rFonts w:ascii="Arabic Typesetting" w:hAnsi="Arabic Typesetting" w:cs="Arabic Typesetting"/>
                <w:color w:val="000000"/>
                <w:sz w:val="30"/>
                <w:szCs w:val="30"/>
                <w:rtl/>
              </w:rPr>
              <w:t>استخدام قاعة المؤتمرات بوصفها المكان المفضل لعقد الاجتماعات والأحداث من قِبل الدول الأعضاء</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29</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70C0"/>
                <w:szCs w:val="22"/>
                <w:lang w:bidi="ar-EG"/>
              </w:rPr>
            </w:pPr>
            <w:r w:rsidRPr="008A6954">
              <w:rPr>
                <w:rFonts w:ascii="Wingdings" w:hAnsi="Wingdings" w:cs="Calibri"/>
                <w:color w:val="10862C"/>
                <w:szCs w:val="22"/>
                <w:lang w:bidi="ar-EG"/>
              </w:rPr>
              <w:t></w:t>
            </w:r>
          </w:p>
        </w:tc>
      </w:tr>
      <w:tr w:rsidR="009178C3" w:rsidRPr="00FE3908" w:rsidTr="000A7B1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r w:rsidRPr="001F6AB0">
              <w:rPr>
                <w:rFonts w:ascii="Arabic Typesetting" w:hAnsi="Arabic Typesetting" w:cs="Arabic Typesetting"/>
                <w:color w:val="000000"/>
                <w:sz w:val="30"/>
                <w:szCs w:val="30"/>
                <w:rtl/>
                <w:lang w:bidi="ar-EG"/>
              </w:rPr>
              <w:t xml:space="preserve">تحقيق وفورات في السلع والخدمات التي </w:t>
            </w:r>
            <w:r w:rsidRPr="001F6AB0">
              <w:rPr>
                <w:rFonts w:ascii="Arabic Typesetting" w:hAnsi="Arabic Typesetting" w:cs="Arabic Typesetting" w:hint="cs"/>
                <w:color w:val="000000"/>
                <w:sz w:val="30"/>
                <w:szCs w:val="30"/>
                <w:rtl/>
                <w:lang w:bidi="ar-EG"/>
              </w:rPr>
              <w:t>تشتريها</w:t>
            </w:r>
            <w:r w:rsidRPr="001F6AB0">
              <w:rPr>
                <w:rFonts w:ascii="Arabic Typesetting" w:hAnsi="Arabic Typesetting" w:cs="Arabic Typesetting"/>
                <w:color w:val="000000"/>
                <w:sz w:val="30"/>
                <w:szCs w:val="30"/>
                <w:rtl/>
                <w:lang w:bidi="ar-EG"/>
              </w:rPr>
              <w:t xml:space="preserve"> الويبو (مستمدة من طلبات العطاءات أو المفاوضات المباشرة)</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lang w:bidi="ar-EG"/>
              </w:rPr>
              <w:t>البرنامج 24</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top w:val="nil"/>
              <w:bottom w:val="single" w:sz="4" w:space="0" w:color="auto"/>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single" w:sz="4" w:space="0" w:color="auto"/>
            </w:tcBorders>
            <w:shd w:val="clear" w:color="auto" w:fill="auto"/>
            <w:vAlign w:val="center"/>
          </w:tcPr>
          <w:p w:rsidR="009178C3" w:rsidRPr="00EF643B" w:rsidRDefault="009178C3" w:rsidP="006E665D">
            <w:pPr>
              <w:bidi/>
              <w:spacing w:before="60" w:after="60" w:line="280" w:lineRule="exact"/>
              <w:rPr>
                <w:rFonts w:ascii="Arabic Typesetting" w:hAnsi="Arabic Typesetting" w:cs="Arabic Typesetting"/>
                <w:color w:val="000000"/>
                <w:sz w:val="30"/>
                <w:szCs w:val="30"/>
                <w:rtl/>
              </w:rPr>
            </w:pPr>
            <w:r w:rsidRPr="001F6AB0">
              <w:rPr>
                <w:rFonts w:ascii="Arabic Typesetting" w:hAnsi="Arabic Typesetting" w:cs="Arabic Typesetting"/>
                <w:color w:val="000000"/>
                <w:sz w:val="30"/>
                <w:szCs w:val="30"/>
                <w:rtl/>
                <w:lang w:bidi="ar-EG"/>
              </w:rPr>
              <w:t>النسبة المئوية للزبائن الداخليين الراضين عن خدمات المشتريات</w:t>
            </w:r>
          </w:p>
        </w:tc>
        <w:tc>
          <w:tcPr>
            <w:tcW w:w="923" w:type="pct"/>
            <w:tcBorders>
              <w:top w:val="nil"/>
              <w:bottom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nil"/>
              <w:bottom w:val="single" w:sz="4" w:space="0" w:color="auto"/>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top w:val="single" w:sz="4" w:space="0" w:color="auto"/>
              <w:bottom w:val="nil"/>
            </w:tcBorders>
            <w:shd w:val="clear" w:color="auto" w:fill="auto"/>
          </w:tcPr>
          <w:p w:rsidR="009178C3" w:rsidRPr="00D721DF" w:rsidRDefault="009178C3" w:rsidP="006E665D">
            <w:pPr>
              <w:keepNext/>
              <w:bidi/>
              <w:spacing w:before="60" w:after="60" w:line="280" w:lineRule="exact"/>
              <w:rPr>
                <w:rFonts w:ascii="Arabic Typesetting" w:hAnsi="Arabic Typesetting" w:cs="Arabic Typesetting"/>
                <w:color w:val="000000"/>
                <w:sz w:val="30"/>
                <w:szCs w:val="30"/>
                <w:rtl/>
                <w:lang w:bidi="ar-EG"/>
              </w:rPr>
            </w:pPr>
          </w:p>
        </w:tc>
        <w:tc>
          <w:tcPr>
            <w:tcW w:w="1861" w:type="pct"/>
            <w:tcBorders>
              <w:top w:val="single" w:sz="4" w:space="0" w:color="auto"/>
              <w:bottom w:val="nil"/>
            </w:tcBorders>
            <w:shd w:val="clear" w:color="auto" w:fill="auto"/>
            <w:vAlign w:val="center"/>
          </w:tcPr>
          <w:p w:rsidR="009178C3" w:rsidRPr="002548B8" w:rsidRDefault="009178C3" w:rsidP="006E665D">
            <w:pPr>
              <w:keepNext/>
              <w:bidi/>
              <w:spacing w:before="60" w:after="60" w:line="280" w:lineRule="exact"/>
              <w:rPr>
                <w:rFonts w:ascii="Arabic Typesetting" w:hAnsi="Arabic Typesetting" w:cs="Arabic Typesetting"/>
                <w:color w:val="000000"/>
                <w:sz w:val="30"/>
                <w:szCs w:val="30"/>
                <w:rtl/>
              </w:rPr>
            </w:pPr>
            <w:r w:rsidRPr="001F6AB0">
              <w:rPr>
                <w:rFonts w:ascii="Arabic Typesetting" w:hAnsi="Arabic Typesetting" w:cs="Arabic Typesetting"/>
                <w:color w:val="000000"/>
                <w:sz w:val="30"/>
                <w:szCs w:val="30"/>
                <w:rtl/>
                <w:lang w:bidi="ar-EG"/>
              </w:rPr>
              <w:t xml:space="preserve">الوقت المستغرق لمعالجة الطلبات المتعلقة بالسفر (تصريحات السفر الإلكترونية وطلبات </w:t>
            </w:r>
            <w:r w:rsidRPr="001F6AB0">
              <w:rPr>
                <w:rFonts w:ascii="Arabic Typesetting" w:hAnsi="Arabic Typesetting" w:cs="Arabic Typesetting" w:hint="cs"/>
                <w:color w:val="000000"/>
                <w:sz w:val="30"/>
                <w:szCs w:val="30"/>
                <w:rtl/>
                <w:lang w:bidi="ar-EG"/>
              </w:rPr>
              <w:t>التظاهرات</w:t>
            </w:r>
            <w:r w:rsidRPr="001F6AB0">
              <w:rPr>
                <w:rFonts w:ascii="Arabic Typesetting" w:hAnsi="Arabic Typesetting" w:cs="Arabic Typesetting"/>
                <w:color w:val="000000"/>
                <w:sz w:val="30"/>
                <w:szCs w:val="30"/>
                <w:rtl/>
                <w:lang w:bidi="ar-EG"/>
              </w:rPr>
              <w:t xml:space="preserve"> الإلكترونية والتأشيرات)</w:t>
            </w:r>
          </w:p>
        </w:tc>
        <w:tc>
          <w:tcPr>
            <w:tcW w:w="923" w:type="pct"/>
            <w:tcBorders>
              <w:top w:val="single" w:sz="4" w:space="0" w:color="auto"/>
              <w:bottom w:val="nil"/>
            </w:tcBorders>
            <w:shd w:val="clear" w:color="auto" w:fill="auto"/>
            <w:vAlign w:val="center"/>
          </w:tcPr>
          <w:p w:rsidR="009178C3" w:rsidRPr="00FE3908" w:rsidRDefault="009178C3" w:rsidP="006E665D">
            <w:pPr>
              <w:keepNext/>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single" w:sz="4" w:space="0" w:color="auto"/>
              <w:bottom w:val="nil"/>
            </w:tcBorders>
            <w:shd w:val="clear" w:color="auto" w:fill="auto"/>
            <w:vAlign w:val="center"/>
          </w:tcPr>
          <w:p w:rsidR="009178C3" w:rsidRPr="00015299" w:rsidRDefault="009178C3" w:rsidP="006E665D">
            <w:pPr>
              <w:keepNext/>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D70D8D" w:rsidRDefault="009178C3" w:rsidP="006E665D">
            <w:pPr>
              <w:bidi/>
              <w:spacing w:before="60" w:after="60" w:line="280" w:lineRule="exact"/>
              <w:rPr>
                <w:rFonts w:ascii="Arabic Typesetting" w:hAnsi="Arabic Typesetting" w:cs="Arabic Typesetting"/>
                <w:color w:val="000000"/>
                <w:sz w:val="30"/>
                <w:szCs w:val="30"/>
                <w:rtl/>
              </w:rPr>
            </w:pPr>
            <w:r w:rsidRPr="001F6AB0">
              <w:rPr>
                <w:rFonts w:ascii="Arabic Typesetting" w:hAnsi="Arabic Typesetting" w:cs="Arabic Typesetting"/>
                <w:color w:val="000000"/>
                <w:sz w:val="30"/>
                <w:szCs w:val="30"/>
                <w:rtl/>
                <w:lang w:bidi="ar-EG"/>
              </w:rPr>
              <w:t xml:space="preserve">متوسط سعر التذاكر (تذاكر </w:t>
            </w:r>
            <w:r w:rsidRPr="001F6AB0">
              <w:rPr>
                <w:rFonts w:ascii="Arabic Typesetting" w:hAnsi="Arabic Typesetting" w:cs="Arabic Typesetting"/>
                <w:color w:val="000000"/>
                <w:sz w:val="30"/>
                <w:szCs w:val="30"/>
              </w:rPr>
              <w:t>TMC</w:t>
            </w:r>
            <w:r w:rsidRPr="001F6AB0">
              <w:rPr>
                <w:rFonts w:ascii="Arabic Typesetting" w:hAnsi="Arabic Typesetting" w:cs="Arabic Typesetting"/>
                <w:color w:val="000000"/>
                <w:sz w:val="30"/>
                <w:szCs w:val="30"/>
                <w:rtl/>
                <w:lang w:bidi="ar-EG"/>
              </w:rPr>
              <w:t xml:space="preserve"> و</w:t>
            </w:r>
            <w:r w:rsidRPr="001F6AB0">
              <w:rPr>
                <w:rFonts w:ascii="Arabic Typesetting" w:hAnsi="Arabic Typesetting" w:cs="Arabic Typesetting"/>
                <w:color w:val="000000"/>
                <w:sz w:val="30"/>
                <w:szCs w:val="30"/>
              </w:rPr>
              <w:t>UNDP</w:t>
            </w:r>
            <w:r w:rsidRPr="001F6AB0">
              <w:rPr>
                <w:rFonts w:ascii="Arabic Typesetting" w:hAnsi="Arabic Typesetting" w:cs="Arabic Typesetting"/>
                <w:color w:val="000000"/>
                <w:sz w:val="30"/>
                <w:szCs w:val="30"/>
                <w:rtl/>
                <w:lang w:bidi="ar-EG"/>
              </w:rPr>
              <w:t>)</w:t>
            </w:r>
          </w:p>
        </w:tc>
        <w:tc>
          <w:tcPr>
            <w:tcW w:w="923" w:type="pct"/>
            <w:tcBorders>
              <w:top w:val="nil"/>
              <w:bottom w:val="nil"/>
            </w:tcBorders>
            <w:shd w:val="clear" w:color="auto" w:fill="auto"/>
            <w:vAlign w:val="center"/>
          </w:tcPr>
          <w:p w:rsidR="009178C3"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184E3E" w:rsidRDefault="009178C3" w:rsidP="006E665D">
            <w:pPr>
              <w:bidi/>
              <w:spacing w:before="60" w:after="60" w:line="280" w:lineRule="exact"/>
              <w:rPr>
                <w:rFonts w:ascii="Arabic Typesetting" w:hAnsi="Arabic Typesetting" w:cs="Arabic Typesetting"/>
                <w:color w:val="000000"/>
                <w:sz w:val="30"/>
                <w:szCs w:val="30"/>
                <w:rtl/>
                <w:lang w:bidi="ar-EG"/>
              </w:rPr>
            </w:pPr>
            <w:r w:rsidRPr="001F6AB0">
              <w:rPr>
                <w:rFonts w:ascii="Arabic Typesetting" w:hAnsi="Arabic Typesetting" w:cs="Arabic Typesetting"/>
                <w:color w:val="000000"/>
                <w:sz w:val="30"/>
                <w:szCs w:val="30"/>
                <w:rtl/>
                <w:lang w:bidi="ar-EG"/>
              </w:rPr>
              <w:t xml:space="preserve">إدارة جميع أنواع الأماكن في </w:t>
            </w:r>
            <w:r w:rsidRPr="001F6AB0">
              <w:rPr>
                <w:rFonts w:ascii="Arabic Typesetting" w:hAnsi="Arabic Typesetting" w:cs="Arabic Typesetting" w:hint="cs"/>
                <w:color w:val="000000"/>
                <w:sz w:val="30"/>
                <w:szCs w:val="30"/>
                <w:rtl/>
                <w:lang w:bidi="ar-EG"/>
              </w:rPr>
              <w:t>مجمع</w:t>
            </w:r>
            <w:r w:rsidRPr="001F6AB0">
              <w:rPr>
                <w:rFonts w:ascii="Arabic Typesetting" w:hAnsi="Arabic Typesetting" w:cs="Arabic Typesetting"/>
                <w:color w:val="000000"/>
                <w:sz w:val="30"/>
                <w:szCs w:val="30"/>
                <w:rtl/>
                <w:lang w:bidi="ar-EG"/>
              </w:rPr>
              <w:t xml:space="preserve"> الويبو بفعالية (أماكن العمل والتخزين والأرشفة)</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6174AD" w:rsidRDefault="009178C3" w:rsidP="006E665D">
            <w:pPr>
              <w:bidi/>
              <w:spacing w:before="60" w:after="60" w:line="280" w:lineRule="exact"/>
              <w:rPr>
                <w:rFonts w:ascii="Arabic Typesetting" w:hAnsi="Arabic Typesetting" w:cs="Arabic Typesetting"/>
                <w:color w:val="000000"/>
                <w:sz w:val="30"/>
                <w:szCs w:val="30"/>
                <w:rtl/>
              </w:rPr>
            </w:pPr>
            <w:r w:rsidRPr="001F6AB0">
              <w:rPr>
                <w:rFonts w:ascii="Arabic Typesetting" w:hAnsi="Arabic Typesetting" w:cs="Arabic Typesetting"/>
                <w:color w:val="000000"/>
                <w:sz w:val="30"/>
                <w:szCs w:val="30"/>
                <w:rtl/>
                <w:lang w:bidi="ar-EG"/>
              </w:rPr>
              <w:t xml:space="preserve">تجديد/تحديث/تحويل المباني في </w:t>
            </w:r>
            <w:r w:rsidRPr="001F6AB0">
              <w:rPr>
                <w:rFonts w:ascii="Arabic Typesetting" w:hAnsi="Arabic Typesetting" w:cs="Arabic Typesetting" w:hint="cs"/>
                <w:color w:val="000000"/>
                <w:sz w:val="30"/>
                <w:szCs w:val="30"/>
                <w:rtl/>
                <w:lang w:bidi="ar-EG"/>
              </w:rPr>
              <w:t>مجمع</w:t>
            </w:r>
            <w:r w:rsidRPr="001F6AB0">
              <w:rPr>
                <w:rFonts w:ascii="Arabic Typesetting" w:hAnsi="Arabic Typesetting" w:cs="Arabic Typesetting"/>
                <w:color w:val="000000"/>
                <w:sz w:val="30"/>
                <w:szCs w:val="30"/>
                <w:rtl/>
                <w:lang w:bidi="ar-EG"/>
              </w:rPr>
              <w:t xml:space="preserve"> الويبو</w:t>
            </w:r>
            <w:r w:rsidRPr="001F6AB0">
              <w:rPr>
                <w:rFonts w:ascii="Arabic Typesetting" w:hAnsi="Arabic Typesetting" w:cs="Arabic Typesetting" w:hint="cs"/>
                <w:color w:val="000000"/>
                <w:sz w:val="30"/>
                <w:szCs w:val="30"/>
                <w:rtl/>
              </w:rPr>
              <w:t xml:space="preserve"> </w:t>
            </w:r>
            <w:r w:rsidRPr="001F6AB0">
              <w:rPr>
                <w:rFonts w:ascii="Arabic Typesetting" w:hAnsi="Arabic Typesetting" w:cs="Arabic Typesetting"/>
                <w:color w:val="000000"/>
                <w:sz w:val="30"/>
                <w:szCs w:val="30"/>
                <w:rtl/>
                <w:lang w:bidi="ar-EG"/>
              </w:rPr>
              <w:t>لكي تظل ملائمة للغرض من إنشائها</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6174AD" w:rsidRDefault="009178C3" w:rsidP="006E665D">
            <w:pPr>
              <w:bidi/>
              <w:spacing w:before="60" w:after="60" w:line="280" w:lineRule="exact"/>
              <w:rPr>
                <w:rFonts w:ascii="Arabic Typesetting" w:hAnsi="Arabic Typesetting" w:cs="Arabic Typesetting"/>
                <w:color w:val="000000"/>
                <w:sz w:val="30"/>
                <w:szCs w:val="30"/>
                <w:rtl/>
              </w:rPr>
            </w:pPr>
            <w:r w:rsidRPr="001F6AB0">
              <w:rPr>
                <w:rFonts w:ascii="Arabic Typesetting" w:hAnsi="Arabic Typesetting" w:cs="Arabic Typesetting"/>
                <w:color w:val="000000"/>
                <w:sz w:val="30"/>
                <w:szCs w:val="30"/>
                <w:rtl/>
                <w:lang w:bidi="ar-EG"/>
              </w:rPr>
              <w:t>تماشي جميع أنواع التجهيزات التقنية الهامة مع المعايير التقنية المطبقة</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8A6954">
              <w:rPr>
                <w:rFonts w:ascii="Wingdings" w:hAnsi="Wingdings" w:cs="Calibri"/>
                <w:color w:val="10862C"/>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171592" w:rsidRDefault="009178C3" w:rsidP="006E665D">
            <w:pPr>
              <w:bidi/>
              <w:spacing w:before="60" w:after="60" w:line="280" w:lineRule="exact"/>
              <w:rPr>
                <w:rFonts w:ascii="Arabic Typesetting" w:hAnsi="Arabic Typesetting" w:cs="Arabic Typesetting"/>
                <w:color w:val="000000"/>
                <w:sz w:val="30"/>
                <w:szCs w:val="30"/>
                <w:rtl/>
              </w:rPr>
            </w:pPr>
            <w:r w:rsidRPr="001F6AB0">
              <w:rPr>
                <w:rFonts w:ascii="Arabic Typesetting" w:hAnsi="Arabic Typesetting" w:cs="Arabic Typesetting"/>
                <w:color w:val="000000"/>
                <w:sz w:val="30"/>
                <w:szCs w:val="30"/>
                <w:rtl/>
              </w:rPr>
              <w:t>استضافة أنظمة تكنولوجيا المعلومات والاتصالات وإدارتها بطريقة فعالة من حيث التكلفة تماشيَا مع متطلبات المعاملات التجارية</w:t>
            </w:r>
          </w:p>
        </w:tc>
        <w:tc>
          <w:tcPr>
            <w:tcW w:w="923"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25</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171592" w:rsidRDefault="009178C3" w:rsidP="006E665D">
            <w:pPr>
              <w:bidi/>
              <w:spacing w:before="60" w:after="60" w:line="280" w:lineRule="exact"/>
              <w:rPr>
                <w:rFonts w:ascii="Arabic Typesetting" w:hAnsi="Arabic Typesetting" w:cs="Arabic Typesetting"/>
                <w:color w:val="000000"/>
                <w:sz w:val="30"/>
                <w:szCs w:val="30"/>
                <w:rtl/>
                <w:lang w:bidi="ar-EG"/>
              </w:rPr>
            </w:pPr>
            <w:r w:rsidRPr="003953A9">
              <w:rPr>
                <w:rFonts w:ascii="Arabic Typesetting" w:hAnsi="Arabic Typesetting" w:cs="Arabic Typesetting"/>
                <w:color w:val="000000"/>
                <w:sz w:val="30"/>
                <w:szCs w:val="30"/>
                <w:rtl/>
              </w:rPr>
              <w:t xml:space="preserve">عدد اتفاقات مستوى الخدمة بالنسبة للأنظمة والخدمات </w:t>
            </w:r>
            <w:proofErr w:type="spellStart"/>
            <w:r w:rsidRPr="003953A9">
              <w:rPr>
                <w:rFonts w:ascii="Arabic Typesetting" w:hAnsi="Arabic Typesetting" w:cs="Arabic Typesetting"/>
                <w:color w:val="000000"/>
                <w:sz w:val="30"/>
                <w:szCs w:val="30"/>
                <w:rtl/>
              </w:rPr>
              <w:t>المستضافة</w:t>
            </w:r>
            <w:proofErr w:type="spellEnd"/>
            <w:r w:rsidRPr="003953A9">
              <w:rPr>
                <w:rFonts w:ascii="Arabic Typesetting" w:hAnsi="Arabic Typesetting" w:cs="Arabic Typesetting"/>
                <w:color w:val="000000"/>
                <w:sz w:val="30"/>
                <w:szCs w:val="30"/>
                <w:rtl/>
              </w:rPr>
              <w:t xml:space="preserve"> المتماشية مع إطار اتفاقات مستوى الخدمة بخصوص تكنولوجيا المعلومات والاتصالات</w:t>
            </w:r>
          </w:p>
        </w:tc>
        <w:tc>
          <w:tcPr>
            <w:tcW w:w="923"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25</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top w:val="nil"/>
              <w:bottom w:val="nil"/>
            </w:tcBorders>
            <w:shd w:val="clear" w:color="auto" w:fill="auto"/>
            <w:vAlign w:val="center"/>
          </w:tcPr>
          <w:p w:rsidR="009178C3" w:rsidRPr="00A34EDD" w:rsidRDefault="009178C3" w:rsidP="006E665D">
            <w:pPr>
              <w:bidi/>
              <w:spacing w:before="60" w:after="60" w:line="280" w:lineRule="exact"/>
              <w:rPr>
                <w:rFonts w:ascii="Arabic Typesetting" w:hAnsi="Arabic Typesetting" w:cs="Arabic Typesetting"/>
                <w:color w:val="000000"/>
                <w:sz w:val="30"/>
                <w:szCs w:val="30"/>
                <w:rtl/>
              </w:rPr>
            </w:pPr>
            <w:r w:rsidRPr="003953A9">
              <w:rPr>
                <w:rFonts w:ascii="Arabic Typesetting" w:hAnsi="Arabic Typesetting" w:cs="Arabic Typesetting"/>
                <w:color w:val="000000"/>
                <w:sz w:val="30"/>
                <w:szCs w:val="30"/>
                <w:rtl/>
              </w:rPr>
              <w:t>استمرارية خدمات تكنولوجيا المعلومات والاتصالات بالنسبة للأنظمة الهامة</w:t>
            </w:r>
          </w:p>
        </w:tc>
        <w:tc>
          <w:tcPr>
            <w:tcW w:w="923"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25</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top w:val="nil"/>
              <w:bottom w:val="nil"/>
            </w:tcBorders>
            <w:shd w:val="clear" w:color="auto" w:fill="auto"/>
            <w:vAlign w:val="center"/>
          </w:tcPr>
          <w:p w:rsidR="009178C3" w:rsidRPr="00F61667" w:rsidRDefault="009178C3" w:rsidP="006E665D">
            <w:pPr>
              <w:bidi/>
              <w:spacing w:before="60" w:after="60" w:line="280" w:lineRule="exact"/>
              <w:rPr>
                <w:rFonts w:ascii="Arabic Typesetting" w:hAnsi="Arabic Typesetting" w:cs="Arabic Typesetting"/>
                <w:color w:val="000000"/>
                <w:sz w:val="30"/>
                <w:szCs w:val="30"/>
                <w:rtl/>
              </w:rPr>
            </w:pPr>
            <w:r w:rsidRPr="003953A9">
              <w:rPr>
                <w:rFonts w:ascii="Arabic Typesetting" w:hAnsi="Arabic Typesetting" w:cs="Arabic Typesetting"/>
                <w:color w:val="000000"/>
                <w:sz w:val="30"/>
                <w:szCs w:val="30"/>
                <w:rtl/>
              </w:rPr>
              <w:t>النسبة المئوية للمستخدمين النهائيين وقطاعات الأعمال التجارية الراضين عن خدمات تكنولوجيا المعلومات والاتصالات</w:t>
            </w:r>
          </w:p>
        </w:tc>
        <w:tc>
          <w:tcPr>
            <w:tcW w:w="923"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25</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top w:val="nil"/>
              <w:bottom w:val="nil"/>
            </w:tcBorders>
            <w:shd w:val="clear" w:color="auto" w:fill="auto"/>
            <w:vAlign w:val="center"/>
          </w:tcPr>
          <w:p w:rsidR="009178C3" w:rsidRPr="00F61667" w:rsidRDefault="009178C3" w:rsidP="006E665D">
            <w:pPr>
              <w:bidi/>
              <w:spacing w:before="60" w:after="60" w:line="280" w:lineRule="exact"/>
              <w:rPr>
                <w:rFonts w:ascii="Arabic Typesetting" w:hAnsi="Arabic Typesetting" w:cs="Arabic Typesetting"/>
                <w:color w:val="000000"/>
                <w:sz w:val="30"/>
                <w:szCs w:val="30"/>
                <w:rtl/>
              </w:rPr>
            </w:pPr>
            <w:r w:rsidRPr="003953A9">
              <w:rPr>
                <w:rFonts w:ascii="Arabic Typesetting" w:hAnsi="Arabic Typesetting" w:cs="Arabic Typesetting"/>
                <w:color w:val="000000"/>
                <w:sz w:val="30"/>
                <w:szCs w:val="30"/>
                <w:rtl/>
              </w:rPr>
              <w:t>سهولة نفاذ الموظفين إلى تقنيات اتصالات شاملة ومتكاملة</w:t>
            </w:r>
          </w:p>
        </w:tc>
        <w:tc>
          <w:tcPr>
            <w:tcW w:w="923"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25</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top w:val="nil"/>
              <w:bottom w:val="nil"/>
            </w:tcBorders>
            <w:shd w:val="clear" w:color="auto" w:fill="auto"/>
            <w:vAlign w:val="center"/>
          </w:tcPr>
          <w:p w:rsidR="009178C3" w:rsidRPr="00F61667" w:rsidRDefault="009178C3" w:rsidP="006E665D">
            <w:pPr>
              <w:bidi/>
              <w:spacing w:before="60" w:after="60" w:line="280" w:lineRule="exact"/>
              <w:rPr>
                <w:rFonts w:ascii="Arabic Typesetting" w:hAnsi="Arabic Typesetting" w:cs="Arabic Typesetting"/>
                <w:color w:val="000000"/>
                <w:sz w:val="30"/>
                <w:szCs w:val="30"/>
                <w:rtl/>
              </w:rPr>
            </w:pPr>
            <w:r w:rsidRPr="00AB1FCC">
              <w:rPr>
                <w:rFonts w:ascii="Arabic Typesetting" w:hAnsi="Arabic Typesetting" w:cs="Arabic Typesetting"/>
                <w:color w:val="000000"/>
                <w:sz w:val="30"/>
                <w:szCs w:val="30"/>
                <w:rtl/>
                <w:lang w:bidi="ar-EG"/>
              </w:rPr>
              <w:t>النسبة المئوية للمشاركين الداخليين والخارجيين الراضين عن خدمات المؤتمرات في الويبو</w:t>
            </w:r>
          </w:p>
        </w:tc>
        <w:tc>
          <w:tcPr>
            <w:tcW w:w="923"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27</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top w:val="nil"/>
              <w:bottom w:val="nil"/>
            </w:tcBorders>
            <w:shd w:val="clear" w:color="auto" w:fill="auto"/>
            <w:vAlign w:val="center"/>
          </w:tcPr>
          <w:p w:rsidR="009178C3" w:rsidRPr="00F61667" w:rsidRDefault="009178C3" w:rsidP="006E665D">
            <w:pPr>
              <w:bidi/>
              <w:spacing w:before="60" w:after="60" w:line="280" w:lineRule="exact"/>
              <w:rPr>
                <w:rFonts w:ascii="Arabic Typesetting" w:hAnsi="Arabic Typesetting" w:cs="Arabic Typesetting"/>
                <w:color w:val="000000"/>
                <w:sz w:val="30"/>
                <w:szCs w:val="30"/>
                <w:rtl/>
              </w:rPr>
            </w:pPr>
            <w:r w:rsidRPr="00AB1FCC">
              <w:rPr>
                <w:rFonts w:ascii="Arabic Typesetting" w:hAnsi="Arabic Typesetting" w:cs="Arabic Typesetting"/>
                <w:color w:val="000000"/>
                <w:sz w:val="30"/>
                <w:szCs w:val="30"/>
                <w:rtl/>
                <w:lang w:bidi="ar-EG"/>
              </w:rPr>
              <w:t>تطبيق فعال لسياسة اللغات في الويبو</w:t>
            </w:r>
          </w:p>
        </w:tc>
        <w:tc>
          <w:tcPr>
            <w:tcW w:w="923" w:type="pct"/>
            <w:tcBorders>
              <w:top w:val="nil"/>
              <w:bottom w:val="nil"/>
            </w:tcBorders>
            <w:shd w:val="clear" w:color="auto" w:fill="auto"/>
            <w:vAlign w:val="center"/>
          </w:tcPr>
          <w:p w:rsidR="009178C3" w:rsidRPr="00171592" w:rsidRDefault="009178C3" w:rsidP="006E665D">
            <w:pPr>
              <w:bidi/>
              <w:spacing w:before="60" w:after="60" w:line="280" w:lineRule="exact"/>
              <w:ind w:firstLineChars="100" w:firstLine="300"/>
              <w:rPr>
                <w:rFonts w:ascii="Arabic Typesetting" w:hAnsi="Arabic Typesetting" w:cs="Arabic Typesetting"/>
                <w:color w:val="000000"/>
                <w:sz w:val="30"/>
                <w:szCs w:val="30"/>
                <w:rtl/>
              </w:rPr>
            </w:pPr>
            <w:r w:rsidRPr="00171592">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27</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8A6954">
              <w:rPr>
                <w:rFonts w:ascii="Wingdings" w:hAnsi="Wingdings" w:cs="Calibri"/>
                <w:color w:val="10862C"/>
                <w:szCs w:val="22"/>
                <w:lang w:bidi="ar-EG"/>
              </w:rPr>
              <w:t></w:t>
            </w:r>
            <w:r w:rsidRPr="008A6954">
              <w:rPr>
                <w:rFonts w:ascii="Wingdings" w:hAnsi="Wingdings" w:cs="Calibri"/>
                <w:color w:val="10862C"/>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184E3E" w:rsidRDefault="009178C3" w:rsidP="006E665D">
            <w:pPr>
              <w:bidi/>
              <w:spacing w:before="60" w:after="60" w:line="280" w:lineRule="exact"/>
              <w:rPr>
                <w:rFonts w:ascii="Arabic Typesetting" w:hAnsi="Arabic Typesetting" w:cs="Arabic Typesetting"/>
                <w:color w:val="000000"/>
                <w:sz w:val="30"/>
                <w:szCs w:val="30"/>
                <w:rtl/>
                <w:lang w:bidi="ar-EG"/>
              </w:rPr>
            </w:pPr>
            <w:r w:rsidRPr="00AB1FCC">
              <w:rPr>
                <w:rFonts w:ascii="Arabic Typesetting" w:hAnsi="Arabic Typesetting" w:cs="Arabic Typesetting"/>
                <w:color w:val="000000"/>
                <w:sz w:val="30"/>
                <w:szCs w:val="30"/>
                <w:rtl/>
                <w:lang w:bidi="ar-EG"/>
              </w:rPr>
              <w:t>تكلفة الترجمة لكل كلمة</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27</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184E3E" w:rsidRDefault="009178C3" w:rsidP="006E665D">
            <w:pPr>
              <w:bidi/>
              <w:spacing w:before="60" w:after="60" w:line="280" w:lineRule="exact"/>
              <w:rPr>
                <w:rFonts w:ascii="Arabic Typesetting" w:hAnsi="Arabic Typesetting" w:cs="Arabic Typesetting"/>
                <w:color w:val="000000"/>
                <w:sz w:val="30"/>
                <w:szCs w:val="30"/>
                <w:rtl/>
                <w:lang w:bidi="ar-EG"/>
              </w:rPr>
            </w:pPr>
            <w:r w:rsidRPr="00AB1FCC">
              <w:rPr>
                <w:rFonts w:ascii="Arabic Typesetting" w:hAnsi="Arabic Typesetting" w:cs="Arabic Typesetting"/>
                <w:color w:val="000000"/>
                <w:sz w:val="30"/>
                <w:szCs w:val="30"/>
                <w:rtl/>
                <w:lang w:bidi="ar-EG"/>
              </w:rPr>
              <w:t>جودة الترجمة</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27</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A6A6A6"/>
                <w:szCs w:val="22"/>
                <w:lang w:bidi="ar-EG"/>
              </w:rPr>
            </w:pPr>
            <w:r w:rsidRPr="00015299">
              <w:rPr>
                <w:rFonts w:ascii="Wingdings" w:hAnsi="Wingdings" w:cs="Calibri"/>
                <w:color w:val="A6A6A6"/>
                <w:szCs w:val="22"/>
                <w:lang w:bidi="ar-EG"/>
              </w:rPr>
              <w:t></w:t>
            </w:r>
          </w:p>
        </w:tc>
      </w:tr>
      <w:tr w:rsidR="009178C3" w:rsidRPr="00FE3908" w:rsidTr="006E665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5864CD" w:rsidRDefault="009178C3" w:rsidP="006E665D">
            <w:pPr>
              <w:bidi/>
              <w:spacing w:before="60" w:after="60" w:line="280" w:lineRule="exact"/>
              <w:rPr>
                <w:rFonts w:ascii="Arabic Typesetting" w:hAnsi="Arabic Typesetting" w:cs="Arabic Typesetting"/>
                <w:color w:val="000000"/>
                <w:sz w:val="30"/>
                <w:szCs w:val="30"/>
                <w:rtl/>
              </w:rPr>
            </w:pPr>
            <w:r w:rsidRPr="00AB1FCC">
              <w:rPr>
                <w:rFonts w:ascii="Arabic Typesetting" w:hAnsi="Arabic Typesetting" w:cs="Arabic Typesetting"/>
                <w:color w:val="000000"/>
                <w:sz w:val="30"/>
                <w:szCs w:val="30"/>
                <w:rtl/>
                <w:lang w:bidi="ar-EG"/>
              </w:rPr>
              <w:t>خفض تكاليف الطباعة (لكل صفحة)</w:t>
            </w:r>
          </w:p>
        </w:tc>
        <w:tc>
          <w:tcPr>
            <w:tcW w:w="923" w:type="pct"/>
            <w:tcBorders>
              <w:top w:val="nil"/>
              <w:bottom w:val="nil"/>
            </w:tcBorders>
            <w:shd w:val="clear" w:color="auto" w:fill="auto"/>
            <w:vAlign w:val="center"/>
          </w:tcPr>
          <w:p w:rsidR="009178C3" w:rsidRPr="006E76C5"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27</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top w:val="nil"/>
              <w:bottom w:val="nil"/>
            </w:tcBorders>
            <w:shd w:val="clear" w:color="auto" w:fill="auto"/>
          </w:tcPr>
          <w:p w:rsidR="009178C3" w:rsidRPr="00D721DF"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nil"/>
            </w:tcBorders>
            <w:shd w:val="clear" w:color="auto" w:fill="auto"/>
            <w:vAlign w:val="center"/>
          </w:tcPr>
          <w:p w:rsidR="009178C3" w:rsidRPr="006E76C5" w:rsidRDefault="009178C3" w:rsidP="006E665D">
            <w:pPr>
              <w:bidi/>
              <w:spacing w:before="60" w:after="60" w:line="280" w:lineRule="exact"/>
              <w:rPr>
                <w:rFonts w:ascii="Arabic Typesetting" w:hAnsi="Arabic Typesetting" w:cs="Arabic Typesetting"/>
                <w:color w:val="000000"/>
                <w:sz w:val="30"/>
                <w:szCs w:val="30"/>
                <w:rtl/>
              </w:rPr>
            </w:pPr>
            <w:r w:rsidRPr="00AB1FCC">
              <w:rPr>
                <w:rFonts w:ascii="Arabic Typesetting" w:hAnsi="Arabic Typesetting" w:cs="Arabic Typesetting"/>
                <w:color w:val="000000"/>
                <w:sz w:val="30"/>
                <w:szCs w:val="30"/>
                <w:rtl/>
                <w:lang w:bidi="ar-EG"/>
              </w:rPr>
              <w:t>نشر وثائق اللجان والأفرقة العاملة في الوقت المناسب</w:t>
            </w:r>
          </w:p>
        </w:tc>
        <w:tc>
          <w:tcPr>
            <w:tcW w:w="923" w:type="pct"/>
            <w:tcBorders>
              <w:top w:val="nil"/>
              <w:bottom w:val="nil"/>
            </w:tcBorders>
            <w:shd w:val="clear" w:color="auto" w:fill="auto"/>
            <w:vAlign w:val="center"/>
          </w:tcPr>
          <w:p w:rsidR="009178C3" w:rsidRPr="006E76C5"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6E76C5">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27</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FF0000"/>
                <w:szCs w:val="22"/>
                <w:lang w:bidi="ar-EG"/>
              </w:rPr>
            </w:pPr>
            <w:r w:rsidRPr="008A6954">
              <w:rPr>
                <w:rFonts w:ascii="Wingdings" w:hAnsi="Wingdings" w:cs="Calibri"/>
                <w:color w:val="10862C"/>
                <w:szCs w:val="22"/>
                <w:lang w:bidi="ar-EG"/>
              </w:rPr>
              <w:t></w:t>
            </w:r>
          </w:p>
        </w:tc>
      </w:tr>
      <w:tr w:rsidR="009178C3" w:rsidRPr="00FE3908" w:rsidTr="000A7B1D">
        <w:trPr>
          <w:cantSplit/>
        </w:trPr>
        <w:tc>
          <w:tcPr>
            <w:tcW w:w="1759" w:type="pct"/>
            <w:tcBorders>
              <w:top w:val="nil"/>
              <w:bottom w:val="nil"/>
            </w:tcBorders>
            <w:shd w:val="clear" w:color="auto" w:fill="auto"/>
          </w:tcPr>
          <w:p w:rsidR="009178C3" w:rsidRPr="00FE3908" w:rsidRDefault="009178C3" w:rsidP="006E665D">
            <w:pPr>
              <w:bidi/>
              <w:spacing w:before="60" w:after="60" w:line="280" w:lineRule="exact"/>
              <w:rPr>
                <w:rFonts w:ascii="Arabic Typesetting" w:hAnsi="Arabic Typesetting" w:cs="Arabic Typesetting"/>
                <w:color w:val="000000"/>
                <w:sz w:val="30"/>
                <w:szCs w:val="30"/>
                <w:lang w:bidi="ar-EG"/>
              </w:rPr>
            </w:pPr>
            <w:r>
              <w:rPr>
                <w:rFonts w:ascii="Arabic Typesetting" w:hAnsi="Arabic Typesetting" w:cs="Arabic Typesetting" w:hint="cs"/>
                <w:color w:val="000000"/>
                <w:sz w:val="30"/>
                <w:szCs w:val="30"/>
                <w:rtl/>
              </w:rPr>
              <w:t>ه</w:t>
            </w:r>
            <w:r w:rsidRPr="00092D4F">
              <w:rPr>
                <w:rFonts w:ascii="Arabic Typesetting" w:hAnsi="Arabic Typesetting" w:cs="Arabic Typesetting"/>
                <w:color w:val="000000"/>
                <w:sz w:val="30"/>
                <w:szCs w:val="30"/>
                <w:rtl/>
              </w:rPr>
              <w:t xml:space="preserve">2.9 </w:t>
            </w:r>
            <w:r w:rsidRPr="006336C0">
              <w:rPr>
                <w:rFonts w:ascii="Arabic Typesetting" w:hAnsi="Arabic Typesetting" w:cs="Arabic Typesetting"/>
                <w:color w:val="000000"/>
                <w:sz w:val="30"/>
                <w:szCs w:val="30"/>
                <w:rtl/>
              </w:rPr>
              <w:t>أمانة تعمل بنشاط وسلاسة بقوى عاملة حسنة الإدارة وذات مهارات مناسبة وتحقق النتائج بكفاءة</w:t>
            </w:r>
          </w:p>
        </w:tc>
        <w:tc>
          <w:tcPr>
            <w:tcW w:w="1861" w:type="pct"/>
            <w:tcBorders>
              <w:top w:val="nil"/>
              <w:bottom w:val="nil"/>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092D4F">
              <w:rPr>
                <w:rFonts w:ascii="Arabic Typesetting" w:hAnsi="Arabic Typesetting" w:cs="Arabic Typesetting"/>
                <w:sz w:val="30"/>
                <w:szCs w:val="30"/>
                <w:rtl/>
              </w:rPr>
              <w:t>النسبة المئوية لطلبات المشورة والخدمات القانونية التي تلقت ردودا سريعة ومستقلة وموثوقة من مكتب المستشار القانوني</w:t>
            </w:r>
          </w:p>
        </w:tc>
        <w:tc>
          <w:tcPr>
            <w:tcW w:w="923" w:type="pct"/>
            <w:tcBorders>
              <w:top w:val="nil"/>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rtl/>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top w:val="nil"/>
              <w:bottom w:val="single" w:sz="4" w:space="0" w:color="auto"/>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single" w:sz="4" w:space="0" w:color="auto"/>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C90FA3">
              <w:rPr>
                <w:rFonts w:ascii="Arabic Typesetting" w:hAnsi="Arabic Typesetting" w:cs="Arabic Typesetting"/>
                <w:sz w:val="30"/>
                <w:szCs w:val="30"/>
                <w:rtl/>
              </w:rPr>
              <w:t>يؤكد التقرير المالي المرضي الذي قدمه المراجعون الخارجيون امتثال العمليات المالية لأحكام اتفاقيات ومعاهدات الويبو السارية ونظام الويبو المالي ولائحته والمعايير المحاسبية الدولية للقطاع العام (</w:t>
            </w:r>
            <w:r w:rsidRPr="00C90FA3">
              <w:rPr>
                <w:rFonts w:ascii="Arabic Typesetting" w:hAnsi="Arabic Typesetting" w:cs="Arabic Typesetting"/>
                <w:sz w:val="30"/>
                <w:szCs w:val="30"/>
                <w:lang w:bidi="ar-EG"/>
              </w:rPr>
              <w:t>IPSAS</w:t>
            </w:r>
            <w:r w:rsidRPr="00C90FA3">
              <w:rPr>
                <w:rFonts w:ascii="Arabic Typesetting" w:hAnsi="Arabic Typesetting" w:cs="Arabic Typesetting"/>
                <w:sz w:val="30"/>
                <w:szCs w:val="30"/>
                <w:rtl/>
              </w:rPr>
              <w:t>)</w:t>
            </w:r>
          </w:p>
        </w:tc>
        <w:tc>
          <w:tcPr>
            <w:tcW w:w="923" w:type="pct"/>
            <w:tcBorders>
              <w:top w:val="nil"/>
              <w:bottom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top w:val="nil"/>
              <w:bottom w:val="single" w:sz="4" w:space="0" w:color="auto"/>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254F1E">
              <w:rPr>
                <w:rFonts w:ascii="Wingdings" w:hAnsi="Wingdings" w:cs="Calibri"/>
                <w:color w:val="A6A6A6" w:themeColor="background1" w:themeShade="A6"/>
                <w:szCs w:val="22"/>
                <w:lang w:bidi="ar-EG"/>
              </w:rPr>
              <w:t></w:t>
            </w:r>
            <w:r w:rsidRPr="008A6954">
              <w:rPr>
                <w:rFonts w:ascii="Wingdings" w:hAnsi="Wingdings" w:cs="Calibri"/>
                <w:color w:val="10862C"/>
                <w:szCs w:val="22"/>
                <w:lang w:bidi="ar-EG"/>
              </w:rPr>
              <w:t></w:t>
            </w:r>
          </w:p>
        </w:tc>
      </w:tr>
      <w:tr w:rsidR="009178C3" w:rsidRPr="00FE3908" w:rsidTr="000A7B1D">
        <w:trPr>
          <w:cantSplit/>
        </w:trPr>
        <w:tc>
          <w:tcPr>
            <w:tcW w:w="1759" w:type="pct"/>
            <w:tcBorders>
              <w:top w:val="single" w:sz="4" w:space="0" w:color="auto"/>
              <w:bottom w:val="nil"/>
            </w:tcBorders>
            <w:shd w:val="clear" w:color="auto" w:fill="auto"/>
          </w:tcPr>
          <w:p w:rsidR="009178C3" w:rsidRPr="00975575" w:rsidRDefault="009178C3" w:rsidP="006E665D">
            <w:pPr>
              <w:keepNext/>
              <w:bidi/>
              <w:spacing w:before="60" w:after="60" w:line="280" w:lineRule="exact"/>
              <w:rPr>
                <w:rFonts w:ascii="Arabic Typesetting" w:hAnsi="Arabic Typesetting" w:cs="Arabic Typesetting"/>
                <w:color w:val="000000"/>
                <w:sz w:val="30"/>
                <w:szCs w:val="30"/>
                <w:rtl/>
                <w:lang w:bidi="ar-EG"/>
              </w:rPr>
            </w:pPr>
          </w:p>
        </w:tc>
        <w:tc>
          <w:tcPr>
            <w:tcW w:w="1861" w:type="pct"/>
            <w:tcBorders>
              <w:top w:val="single" w:sz="4" w:space="0" w:color="auto"/>
              <w:bottom w:val="nil"/>
            </w:tcBorders>
            <w:shd w:val="clear" w:color="auto" w:fill="auto"/>
          </w:tcPr>
          <w:p w:rsidR="009178C3" w:rsidRPr="00C90FA3" w:rsidRDefault="009178C3" w:rsidP="006E665D">
            <w:pPr>
              <w:bidi/>
              <w:spacing w:before="60" w:after="60" w:line="280" w:lineRule="exact"/>
              <w:rPr>
                <w:rFonts w:ascii="Arabic Typesetting" w:hAnsi="Arabic Typesetting" w:cs="Arabic Typesetting"/>
                <w:sz w:val="30"/>
                <w:szCs w:val="30"/>
                <w:rtl/>
              </w:rPr>
            </w:pPr>
            <w:r w:rsidRPr="00C90FA3">
              <w:rPr>
                <w:rFonts w:ascii="Arabic Typesetting" w:hAnsi="Arabic Typesetting" w:cs="Arabic Typesetting"/>
                <w:sz w:val="30"/>
                <w:szCs w:val="30"/>
                <w:rtl/>
              </w:rPr>
              <w:t>تماشي عوائد الأموال المستثمرة مع المعايير التي حددتها اللجنة الاستشارية المعنية بالاستثمار</w:t>
            </w:r>
          </w:p>
        </w:tc>
        <w:tc>
          <w:tcPr>
            <w:tcW w:w="923" w:type="pct"/>
            <w:tcBorders>
              <w:top w:val="single" w:sz="4" w:space="0" w:color="auto"/>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top w:val="single" w:sz="4" w:space="0" w:color="auto"/>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C90FA3" w:rsidRDefault="009178C3" w:rsidP="006E665D">
            <w:pPr>
              <w:bidi/>
              <w:spacing w:before="60" w:after="60" w:line="280" w:lineRule="exact"/>
              <w:rPr>
                <w:rFonts w:ascii="Arabic Typesetting" w:hAnsi="Arabic Typesetting" w:cs="Arabic Typesetting"/>
                <w:sz w:val="30"/>
                <w:szCs w:val="30"/>
                <w:rtl/>
              </w:rPr>
            </w:pPr>
            <w:r w:rsidRPr="00C90FA3">
              <w:rPr>
                <w:rFonts w:ascii="Arabic Typesetting" w:hAnsi="Arabic Typesetting" w:cs="Arabic Typesetting"/>
                <w:sz w:val="30"/>
                <w:szCs w:val="30"/>
                <w:rtl/>
              </w:rPr>
              <w:t>سداد الرسوم (بما في ذلك رسوم مدريد ولاهاي) في المواعيد المحددة</w:t>
            </w:r>
          </w:p>
        </w:tc>
        <w:tc>
          <w:tcPr>
            <w:tcW w:w="923"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C90FA3" w:rsidRDefault="009178C3" w:rsidP="006E665D">
            <w:pPr>
              <w:bidi/>
              <w:spacing w:before="60" w:after="60" w:line="280" w:lineRule="exact"/>
              <w:rPr>
                <w:rFonts w:ascii="Arabic Typesetting" w:hAnsi="Arabic Typesetting" w:cs="Arabic Typesetting"/>
                <w:sz w:val="30"/>
                <w:szCs w:val="30"/>
                <w:rtl/>
              </w:rPr>
            </w:pPr>
            <w:r w:rsidRPr="0046450D">
              <w:rPr>
                <w:rFonts w:ascii="Arabic Typesetting" w:hAnsi="Arabic Typesetting" w:cs="Arabic Typesetting"/>
                <w:sz w:val="30"/>
                <w:szCs w:val="30"/>
                <w:rtl/>
              </w:rPr>
              <w:t>النسبة المئوية للموظفين المدربين الذين يعبرون عن رضاهم عن التدريب المقدم لهم (الدورات التمهيدية والتدريب المتعلق بمشروع تخطيط الموارد المؤسسية والتدريب المتعلق بالإدارة القائمة على النتائج)</w:t>
            </w:r>
          </w:p>
        </w:tc>
        <w:tc>
          <w:tcPr>
            <w:tcW w:w="923"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46450D" w:rsidRDefault="009178C3" w:rsidP="006E665D">
            <w:pPr>
              <w:bidi/>
              <w:spacing w:before="60" w:after="60" w:line="280" w:lineRule="exact"/>
              <w:rPr>
                <w:rFonts w:ascii="Arabic Typesetting" w:hAnsi="Arabic Typesetting" w:cs="Arabic Typesetting"/>
                <w:sz w:val="30"/>
                <w:szCs w:val="30"/>
                <w:rtl/>
              </w:rPr>
            </w:pPr>
            <w:r w:rsidRPr="0046450D">
              <w:rPr>
                <w:rFonts w:ascii="Arabic Typesetting" w:hAnsi="Arabic Typesetting" w:cs="Arabic Typesetting"/>
                <w:sz w:val="30"/>
                <w:szCs w:val="30"/>
                <w:rtl/>
              </w:rPr>
              <w:t>النسبة المئوية لمن أجابوا على الاستبيان الذين يعتبرون الويبو مسؤولة عن النتائج التي تحققها</w:t>
            </w:r>
          </w:p>
        </w:tc>
        <w:tc>
          <w:tcPr>
            <w:tcW w:w="923"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70C0"/>
                <w:szCs w:val="22"/>
                <w:lang w:bidi="ar-EG"/>
              </w:rPr>
            </w:pPr>
            <w:r w:rsidRPr="008A6954">
              <w:rPr>
                <w:rFonts w:ascii="Wingdings" w:hAnsi="Wingdings" w:cs="Calibri"/>
                <w:color w:val="10862C"/>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46450D" w:rsidRDefault="009178C3" w:rsidP="006E665D">
            <w:pPr>
              <w:bidi/>
              <w:spacing w:before="60" w:after="60" w:line="280" w:lineRule="exact"/>
              <w:rPr>
                <w:rFonts w:ascii="Arabic Typesetting" w:hAnsi="Arabic Typesetting" w:cs="Arabic Typesetting"/>
                <w:sz w:val="30"/>
                <w:szCs w:val="30"/>
                <w:rtl/>
              </w:rPr>
            </w:pPr>
            <w:r w:rsidRPr="0046450D">
              <w:rPr>
                <w:rFonts w:ascii="Arabic Typesetting" w:hAnsi="Arabic Typesetting" w:cs="Arabic Typesetting"/>
                <w:sz w:val="30"/>
                <w:szCs w:val="30"/>
                <w:rtl/>
              </w:rPr>
              <w:t>النسبة المئوية لبرامج الويبو التي تستخدم البيانات المتعلقة بالأداء لإدارة أداء البرنامج</w:t>
            </w:r>
          </w:p>
        </w:tc>
        <w:tc>
          <w:tcPr>
            <w:tcW w:w="923"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46450D" w:rsidRDefault="009178C3" w:rsidP="006E665D">
            <w:pPr>
              <w:bidi/>
              <w:spacing w:before="60" w:after="60" w:line="280" w:lineRule="exact"/>
              <w:rPr>
                <w:rFonts w:ascii="Arabic Typesetting" w:hAnsi="Arabic Typesetting" w:cs="Arabic Typesetting"/>
                <w:sz w:val="30"/>
                <w:szCs w:val="30"/>
                <w:rtl/>
              </w:rPr>
            </w:pPr>
            <w:r w:rsidRPr="00963CBA">
              <w:rPr>
                <w:rFonts w:ascii="Arabic Typesetting" w:hAnsi="Arabic Typesetting" w:cs="Arabic Typesetting"/>
                <w:sz w:val="30"/>
                <w:szCs w:val="30"/>
                <w:rtl/>
              </w:rPr>
              <w:t>الوقت المستغرق في التعيين</w:t>
            </w:r>
          </w:p>
        </w:tc>
        <w:tc>
          <w:tcPr>
            <w:tcW w:w="923"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23</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963CBA" w:rsidRDefault="009178C3" w:rsidP="006E665D">
            <w:pPr>
              <w:bidi/>
              <w:spacing w:before="60" w:after="60" w:line="280" w:lineRule="exact"/>
              <w:rPr>
                <w:rFonts w:ascii="Arabic Typesetting" w:hAnsi="Arabic Typesetting" w:cs="Arabic Typesetting"/>
                <w:sz w:val="30"/>
                <w:szCs w:val="30"/>
                <w:rtl/>
              </w:rPr>
            </w:pPr>
            <w:r w:rsidRPr="00963CBA">
              <w:rPr>
                <w:rFonts w:ascii="Arabic Typesetting" w:hAnsi="Arabic Typesetting" w:cs="Arabic Typesetting"/>
                <w:sz w:val="30"/>
                <w:szCs w:val="30"/>
                <w:rtl/>
              </w:rPr>
              <w:t>النسبة المئوية للوحدات التنظيمية التي لديها حالياً خطط للقوى العاملة مرتبطة بخطط العمل السنوية</w:t>
            </w:r>
          </w:p>
        </w:tc>
        <w:tc>
          <w:tcPr>
            <w:tcW w:w="923"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23</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963CBA" w:rsidRDefault="009178C3" w:rsidP="006E665D">
            <w:pPr>
              <w:bidi/>
              <w:spacing w:before="60" w:after="60" w:line="280" w:lineRule="exact"/>
              <w:rPr>
                <w:rFonts w:ascii="Arabic Typesetting" w:hAnsi="Arabic Typesetting" w:cs="Arabic Typesetting"/>
                <w:sz w:val="30"/>
                <w:szCs w:val="30"/>
                <w:rtl/>
              </w:rPr>
            </w:pPr>
            <w:r w:rsidRPr="00963CBA">
              <w:rPr>
                <w:rFonts w:ascii="Arabic Typesetting" w:hAnsi="Arabic Typesetting" w:cs="Arabic Typesetting"/>
                <w:sz w:val="30"/>
                <w:szCs w:val="30"/>
                <w:rtl/>
              </w:rPr>
              <w:t>النسبة المئوية للموظفين المعينين حديثاً الملائمين لاحتياجات المنظمة</w:t>
            </w:r>
          </w:p>
        </w:tc>
        <w:tc>
          <w:tcPr>
            <w:tcW w:w="923"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FE3908">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23</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963CBA" w:rsidRDefault="009178C3" w:rsidP="006E665D">
            <w:pPr>
              <w:bidi/>
              <w:spacing w:before="60" w:after="60" w:line="280" w:lineRule="exact"/>
              <w:rPr>
                <w:rFonts w:ascii="Arabic Typesetting" w:hAnsi="Arabic Typesetting" w:cs="Arabic Typesetting"/>
                <w:sz w:val="30"/>
                <w:szCs w:val="30"/>
                <w:rtl/>
              </w:rPr>
            </w:pPr>
            <w:r w:rsidRPr="00963CBA">
              <w:rPr>
                <w:rFonts w:ascii="Arabic Typesetting" w:hAnsi="Arabic Typesetting" w:cs="Arabic Typesetting"/>
                <w:sz w:val="30"/>
                <w:szCs w:val="30"/>
                <w:rtl/>
              </w:rPr>
              <w:t>النسبة المئوية للموظفين الذين يقيم أداؤهم مقارنة بأهدافهم وكفاءاتهم الفردية</w:t>
            </w:r>
          </w:p>
        </w:tc>
        <w:tc>
          <w:tcPr>
            <w:tcW w:w="923" w:type="pct"/>
            <w:tcBorders>
              <w:bottom w:val="nil"/>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sidRPr="00963CBA">
              <w:rPr>
                <w:rFonts w:ascii="Arabic Typesetting" w:hAnsi="Arabic Typesetting" w:cs="Arabic Typesetting" w:hint="cs"/>
                <w:color w:val="000000"/>
                <w:sz w:val="30"/>
                <w:szCs w:val="30"/>
                <w:rtl/>
                <w:lang w:bidi="ar-EG"/>
              </w:rPr>
              <w:t>23</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963CBA" w:rsidRDefault="009178C3" w:rsidP="006E665D">
            <w:pPr>
              <w:bidi/>
              <w:spacing w:before="60" w:after="60" w:line="280" w:lineRule="exact"/>
              <w:rPr>
                <w:rFonts w:ascii="Arabic Typesetting" w:hAnsi="Arabic Typesetting" w:cs="Arabic Typesetting"/>
                <w:sz w:val="30"/>
                <w:szCs w:val="30"/>
                <w:rtl/>
              </w:rPr>
            </w:pPr>
            <w:r w:rsidRPr="00963CBA">
              <w:rPr>
                <w:rFonts w:ascii="Arabic Typesetting" w:hAnsi="Arabic Typesetting" w:cs="Arabic Typesetting"/>
                <w:sz w:val="30"/>
                <w:szCs w:val="30"/>
                <w:rtl/>
              </w:rPr>
              <w:t>النسبة المئوية لما استوفي من احتياجات التدريب الفردية والجماعية المهمة</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sidRPr="00963CBA">
              <w:rPr>
                <w:rFonts w:ascii="Arabic Typesetting" w:hAnsi="Arabic Typesetting" w:cs="Arabic Typesetting" w:hint="cs"/>
                <w:color w:val="000000"/>
                <w:sz w:val="30"/>
                <w:szCs w:val="30"/>
                <w:rtl/>
                <w:lang w:bidi="ar-EG"/>
              </w:rPr>
              <w:t>23</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r w:rsidRPr="00016614">
              <w:rPr>
                <w:rFonts w:ascii="Wingdings" w:hAnsi="Wingdings" w:cs="Calibri"/>
                <w:color w:val="E36C0A" w:themeColor="accent6" w:themeShade="BF"/>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963CBA" w:rsidRDefault="009178C3" w:rsidP="006E665D">
            <w:pPr>
              <w:bidi/>
              <w:spacing w:before="60" w:after="60" w:line="280" w:lineRule="exact"/>
              <w:rPr>
                <w:rFonts w:ascii="Arabic Typesetting" w:hAnsi="Arabic Typesetting" w:cs="Arabic Typesetting"/>
                <w:sz w:val="30"/>
                <w:szCs w:val="30"/>
                <w:rtl/>
              </w:rPr>
            </w:pPr>
            <w:r w:rsidRPr="00963CBA">
              <w:rPr>
                <w:rFonts w:ascii="Arabic Typesetting" w:hAnsi="Arabic Typesetting" w:cs="Arabic Typesetting"/>
                <w:sz w:val="30"/>
                <w:szCs w:val="30"/>
                <w:rtl/>
              </w:rPr>
              <w:t>متوسط عدد أيام الإجازات المرضية لكل موظف (التغيب)</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sidRPr="00963CBA">
              <w:rPr>
                <w:rFonts w:ascii="Arabic Typesetting" w:hAnsi="Arabic Typesetting" w:cs="Arabic Typesetting" w:hint="cs"/>
                <w:color w:val="000000"/>
                <w:sz w:val="30"/>
                <w:szCs w:val="30"/>
                <w:rtl/>
                <w:lang w:bidi="ar-EG"/>
              </w:rPr>
              <w:t>23</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6614">
              <w:rPr>
                <w:rFonts w:ascii="Wingdings" w:hAnsi="Wingdings" w:cs="Calibri"/>
                <w:color w:val="E36C0A" w:themeColor="accent6" w:themeShade="BF"/>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963CBA" w:rsidRDefault="009178C3" w:rsidP="006E665D">
            <w:pPr>
              <w:bidi/>
              <w:spacing w:before="60" w:after="60" w:line="280" w:lineRule="exact"/>
              <w:rPr>
                <w:rFonts w:ascii="Arabic Typesetting" w:hAnsi="Arabic Typesetting" w:cs="Arabic Typesetting"/>
                <w:sz w:val="30"/>
                <w:szCs w:val="30"/>
                <w:rtl/>
              </w:rPr>
            </w:pPr>
            <w:r w:rsidRPr="00963CBA">
              <w:rPr>
                <w:rFonts w:ascii="Arabic Typesetting" w:hAnsi="Arabic Typesetting" w:cs="Arabic Typesetting"/>
                <w:sz w:val="30"/>
                <w:szCs w:val="30"/>
                <w:rtl/>
              </w:rPr>
              <w:t>النسبة المئوية للنساء اللائي يشغلن مناصب من الفئتين المهنية والعليا</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sidRPr="00963CBA">
              <w:rPr>
                <w:rFonts w:ascii="Arabic Typesetting" w:hAnsi="Arabic Typesetting" w:cs="Arabic Typesetting" w:hint="cs"/>
                <w:color w:val="000000"/>
                <w:sz w:val="30"/>
                <w:szCs w:val="30"/>
                <w:rtl/>
                <w:lang w:bidi="ar-EG"/>
              </w:rPr>
              <w:t>23</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FF0000"/>
                <w:szCs w:val="22"/>
                <w:lang w:bidi="ar-EG"/>
              </w:rPr>
              <w:t></w:t>
            </w:r>
            <w:r w:rsidRPr="00015299">
              <w:rPr>
                <w:rFonts w:ascii="Wingdings" w:hAnsi="Wingdings" w:cs="Calibri"/>
                <w:color w:val="FF0000"/>
                <w:szCs w:val="22"/>
                <w:lang w:bidi="ar-EG"/>
              </w:rPr>
              <w:t></w:t>
            </w:r>
            <w:r w:rsidRPr="00015299">
              <w:rPr>
                <w:rFonts w:ascii="Wingdings" w:hAnsi="Wingdings" w:cs="Calibri"/>
                <w:color w:val="FF0000"/>
                <w:szCs w:val="22"/>
                <w:lang w:bidi="ar-EG"/>
              </w:rPr>
              <w:t></w:t>
            </w: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963CBA" w:rsidRDefault="009178C3" w:rsidP="006E665D">
            <w:pPr>
              <w:bidi/>
              <w:spacing w:before="60" w:after="60" w:line="280" w:lineRule="exact"/>
              <w:rPr>
                <w:rFonts w:ascii="Arabic Typesetting" w:hAnsi="Arabic Typesetting" w:cs="Arabic Typesetting"/>
                <w:sz w:val="30"/>
                <w:szCs w:val="30"/>
                <w:rtl/>
              </w:rPr>
            </w:pPr>
            <w:r w:rsidRPr="00963CBA">
              <w:rPr>
                <w:rFonts w:ascii="Arabic Typesetting" w:hAnsi="Arabic Typesetting" w:cs="Arabic Typesetting"/>
                <w:sz w:val="30"/>
                <w:szCs w:val="30"/>
                <w:rtl/>
              </w:rPr>
              <w:t>التنوع الجغرافي – النسبة المئوية للموظفين بحسب المناطق</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sidRPr="00963CBA">
              <w:rPr>
                <w:rFonts w:ascii="Arabic Typesetting" w:hAnsi="Arabic Typesetting" w:cs="Arabic Typesetting" w:hint="cs"/>
                <w:color w:val="000000"/>
                <w:sz w:val="30"/>
                <w:szCs w:val="30"/>
                <w:rtl/>
                <w:lang w:bidi="ar-EG"/>
              </w:rPr>
              <w:t>23</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A6A6A6"/>
                <w:szCs w:val="22"/>
                <w:lang w:bidi="ar-EG"/>
              </w:rPr>
            </w:pPr>
            <w:r w:rsidRPr="00015299">
              <w:rPr>
                <w:rFonts w:ascii="Wingdings" w:hAnsi="Wingdings" w:cs="Calibri"/>
                <w:color w:val="A6A6A6"/>
                <w:szCs w:val="22"/>
                <w:lang w:bidi="ar-EG"/>
              </w:rPr>
              <w:t></w:t>
            </w:r>
          </w:p>
        </w:tc>
      </w:tr>
      <w:tr w:rsidR="009178C3" w:rsidRPr="00FE3908" w:rsidTr="006E665D">
        <w:trPr>
          <w:cantSplit/>
        </w:trPr>
        <w:tc>
          <w:tcPr>
            <w:tcW w:w="1759" w:type="pct"/>
            <w:tcBorders>
              <w:bottom w:val="nil"/>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rPr>
              <w:t>ه</w:t>
            </w:r>
            <w:r w:rsidRPr="00A423E5">
              <w:rPr>
                <w:rFonts w:ascii="Arabic Typesetting" w:hAnsi="Arabic Typesetting" w:cs="Arabic Typesetting"/>
                <w:color w:val="000000"/>
                <w:sz w:val="30"/>
                <w:szCs w:val="30"/>
                <w:rtl/>
              </w:rPr>
              <w:t xml:space="preserve">3.9 </w:t>
            </w:r>
            <w:r w:rsidRPr="006336C0">
              <w:rPr>
                <w:rFonts w:ascii="Arabic Typesetting" w:hAnsi="Arabic Typesetting" w:cs="Arabic Typesetting"/>
                <w:color w:val="000000"/>
                <w:sz w:val="30"/>
                <w:szCs w:val="30"/>
                <w:rtl/>
              </w:rPr>
              <w:t>بيئة عمل داعمة ومسنودة بإطار تنظيمي فعال وقنوات فعالة لمعالجة مشاغل الموظفين</w:t>
            </w:r>
          </w:p>
        </w:tc>
        <w:tc>
          <w:tcPr>
            <w:tcW w:w="1861" w:type="pct"/>
            <w:tcBorders>
              <w:bottom w:val="nil"/>
            </w:tcBorders>
            <w:shd w:val="clear" w:color="auto" w:fill="auto"/>
          </w:tcPr>
          <w:p w:rsidR="009178C3" w:rsidRPr="00963CBA" w:rsidRDefault="009178C3" w:rsidP="006E665D">
            <w:pPr>
              <w:bidi/>
              <w:spacing w:before="60" w:after="60" w:line="280" w:lineRule="exact"/>
              <w:rPr>
                <w:rFonts w:ascii="Arabic Typesetting" w:hAnsi="Arabic Typesetting" w:cs="Arabic Typesetting"/>
                <w:sz w:val="30"/>
                <w:szCs w:val="30"/>
                <w:rtl/>
              </w:rPr>
            </w:pPr>
            <w:r w:rsidRPr="00A423E5">
              <w:rPr>
                <w:rFonts w:ascii="Arabic Typesetting" w:hAnsi="Arabic Typesetting" w:cs="Arabic Typesetting"/>
                <w:sz w:val="30"/>
                <w:szCs w:val="30"/>
                <w:rtl/>
              </w:rPr>
              <w:t>النسبة المئوية لموظفي الويبو الواعين بالخدمات التي يقدمها مكتب أمين المظالم وآلية تسوية المنازعات بشكل غير رسمي</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70C0"/>
                <w:szCs w:val="22"/>
                <w:lang w:bidi="ar-EG"/>
              </w:rPr>
            </w:pPr>
            <w:r w:rsidRPr="00016614">
              <w:rPr>
                <w:rFonts w:ascii="Wingdings" w:hAnsi="Wingdings" w:cs="Calibri"/>
                <w:color w:val="A6A6A6" w:themeColor="background1" w:themeShade="A6"/>
                <w:szCs w:val="22"/>
                <w:lang w:bidi="ar-EG"/>
              </w:rPr>
              <w:t></w:t>
            </w:r>
          </w:p>
        </w:tc>
      </w:tr>
      <w:tr w:rsidR="009178C3" w:rsidRPr="00FE3908" w:rsidTr="000A7B1D">
        <w:trPr>
          <w:cantSplit/>
        </w:trPr>
        <w:tc>
          <w:tcPr>
            <w:tcW w:w="1759" w:type="pct"/>
            <w:tcBorders>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sz w:val="30"/>
                <w:szCs w:val="30"/>
                <w:rtl/>
              </w:rPr>
            </w:pPr>
            <w:r w:rsidRPr="00A423E5">
              <w:rPr>
                <w:rFonts w:ascii="Arabic Typesetting" w:hAnsi="Arabic Typesetting" w:cs="Arabic Typesetting"/>
                <w:sz w:val="30"/>
                <w:szCs w:val="30"/>
                <w:rtl/>
              </w:rPr>
              <w:t>النسبة المئوية للمجيبين على الاستبيان الواعين بالمبادئ والسياسات الأخلاقية للويبو</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21</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70C0"/>
                <w:szCs w:val="22"/>
                <w:lang w:bidi="ar-EG"/>
              </w:rPr>
            </w:pPr>
            <w:r w:rsidRPr="00016614">
              <w:rPr>
                <w:rFonts w:ascii="Wingdings" w:hAnsi="Wingdings" w:cs="Calibri"/>
                <w:color w:val="A6A6A6" w:themeColor="background1" w:themeShade="A6"/>
                <w:szCs w:val="22"/>
                <w:lang w:bidi="ar-EG"/>
              </w:rPr>
              <w:t></w:t>
            </w:r>
          </w:p>
        </w:tc>
      </w:tr>
      <w:tr w:rsidR="009178C3" w:rsidRPr="00FE3908" w:rsidTr="000A7B1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top w:val="nil"/>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sz w:val="30"/>
                <w:szCs w:val="30"/>
                <w:rtl/>
              </w:rPr>
            </w:pPr>
            <w:r w:rsidRPr="00A423E5">
              <w:rPr>
                <w:rFonts w:ascii="Arabic Typesetting" w:hAnsi="Arabic Typesetting" w:cs="Arabic Typesetting"/>
                <w:sz w:val="30"/>
                <w:szCs w:val="30"/>
                <w:rtl/>
              </w:rPr>
              <w:t>تحديث النظام المالي ولائحته والتعميمات الإدارية المعنية</w:t>
            </w:r>
          </w:p>
        </w:tc>
        <w:tc>
          <w:tcPr>
            <w:tcW w:w="923" w:type="pct"/>
            <w:tcBorders>
              <w:top w:val="nil"/>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22</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r w:rsidRPr="00A423E5">
              <w:rPr>
                <w:rFonts w:ascii="Arabic Typesetting" w:hAnsi="Arabic Typesetting" w:cs="Arabic Typesetting" w:hint="cs"/>
                <w:color w:val="000000"/>
                <w:sz w:val="30"/>
                <w:szCs w:val="30"/>
                <w:rtl/>
                <w:lang w:bidi="ar-EG"/>
              </w:rPr>
              <w:t xml:space="preserve">ه4.9 </w:t>
            </w:r>
            <w:r w:rsidRPr="006336C0">
              <w:rPr>
                <w:rFonts w:ascii="Arabic Typesetting" w:hAnsi="Arabic Typesetting" w:cs="Arabic Typesetting"/>
                <w:color w:val="000000"/>
                <w:sz w:val="30"/>
                <w:szCs w:val="30"/>
                <w:rtl/>
                <w:lang w:bidi="ar-EG"/>
              </w:rPr>
              <w:t>منظمة ذات مسؤولية بيئية واجتماعية تكفل سلامة وأمن موظفي الويبو والمندوبين والزائرين والممتلكات المادية والمعلومات</w:t>
            </w:r>
          </w:p>
        </w:tc>
        <w:tc>
          <w:tcPr>
            <w:tcW w:w="1861" w:type="pct"/>
            <w:tcBorders>
              <w:top w:val="nil"/>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sz w:val="30"/>
                <w:szCs w:val="30"/>
                <w:rtl/>
              </w:rPr>
            </w:pPr>
            <w:r w:rsidRPr="00A423E5">
              <w:rPr>
                <w:rFonts w:ascii="Arabic Typesetting" w:hAnsi="Arabic Typesetting" w:cs="Arabic Typesetting"/>
                <w:sz w:val="30"/>
                <w:szCs w:val="30"/>
                <w:rtl/>
                <w:lang w:bidi="ar-EG"/>
              </w:rPr>
              <w:t>نفاذ محسن إلى مجمع الويبو</w:t>
            </w:r>
          </w:p>
        </w:tc>
        <w:tc>
          <w:tcPr>
            <w:tcW w:w="923" w:type="pct"/>
            <w:tcBorders>
              <w:top w:val="nil"/>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FF0000"/>
                <w:szCs w:val="22"/>
                <w:lang w:bidi="ar-EG"/>
              </w:rPr>
            </w:pPr>
            <w:r w:rsidRPr="00015299">
              <w:rPr>
                <w:rFonts w:ascii="Wingdings" w:hAnsi="Wingdings" w:cs="Calibri"/>
                <w:color w:val="FF0000"/>
                <w:szCs w:val="22"/>
                <w:lang w:bidi="ar-EG"/>
              </w:rPr>
              <w:t></w:t>
            </w:r>
          </w:p>
        </w:tc>
      </w:tr>
      <w:tr w:rsidR="009178C3" w:rsidRPr="00FE3908" w:rsidTr="000A7B1D">
        <w:trPr>
          <w:cantSplit/>
        </w:trPr>
        <w:tc>
          <w:tcPr>
            <w:tcW w:w="1759" w:type="pct"/>
            <w:tcBorders>
              <w:top w:val="nil"/>
              <w:bottom w:val="single" w:sz="4" w:space="0" w:color="auto"/>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single" w:sz="4" w:space="0" w:color="auto"/>
            </w:tcBorders>
            <w:shd w:val="clear" w:color="auto" w:fill="auto"/>
          </w:tcPr>
          <w:p w:rsidR="009178C3" w:rsidRPr="00A423E5" w:rsidRDefault="009178C3" w:rsidP="006E665D">
            <w:pPr>
              <w:bidi/>
              <w:spacing w:before="60" w:after="60" w:line="280" w:lineRule="exact"/>
              <w:rPr>
                <w:rFonts w:ascii="Arabic Typesetting" w:hAnsi="Arabic Typesetting" w:cs="Arabic Typesetting"/>
                <w:sz w:val="30"/>
                <w:szCs w:val="30"/>
                <w:rtl/>
              </w:rPr>
            </w:pPr>
            <w:r w:rsidRPr="00A423E5">
              <w:rPr>
                <w:rFonts w:ascii="Arabic Typesetting" w:hAnsi="Arabic Typesetting" w:cs="Arabic Typesetting"/>
                <w:sz w:val="30"/>
                <w:szCs w:val="30"/>
                <w:rtl/>
                <w:lang w:bidi="ar-EG"/>
              </w:rPr>
              <w:t>تقليص أثر أنشطة الويبو في البيئة</w:t>
            </w:r>
          </w:p>
        </w:tc>
        <w:tc>
          <w:tcPr>
            <w:tcW w:w="923" w:type="pct"/>
            <w:tcBorders>
              <w:top w:val="nil"/>
              <w:bottom w:val="single" w:sz="4" w:space="0" w:color="auto"/>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nil"/>
              <w:bottom w:val="single" w:sz="4" w:space="0" w:color="auto"/>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top w:val="single" w:sz="4" w:space="0" w:color="auto"/>
              <w:bottom w:val="nil"/>
            </w:tcBorders>
            <w:shd w:val="clear" w:color="auto" w:fill="auto"/>
          </w:tcPr>
          <w:p w:rsidR="009178C3" w:rsidRPr="00A423E5" w:rsidRDefault="009178C3" w:rsidP="006E665D">
            <w:pPr>
              <w:keepNext/>
              <w:bidi/>
              <w:spacing w:before="60" w:after="60" w:line="280" w:lineRule="exact"/>
              <w:rPr>
                <w:rFonts w:ascii="Arabic Typesetting" w:hAnsi="Arabic Typesetting" w:cs="Arabic Typesetting"/>
                <w:color w:val="000000"/>
                <w:sz w:val="30"/>
                <w:szCs w:val="30"/>
                <w:rtl/>
                <w:lang w:bidi="ar-EG"/>
              </w:rPr>
            </w:pPr>
          </w:p>
        </w:tc>
        <w:tc>
          <w:tcPr>
            <w:tcW w:w="1861" w:type="pct"/>
            <w:tcBorders>
              <w:top w:val="single" w:sz="4" w:space="0" w:color="auto"/>
              <w:bottom w:val="nil"/>
            </w:tcBorders>
            <w:shd w:val="clear" w:color="auto" w:fill="auto"/>
          </w:tcPr>
          <w:p w:rsidR="009178C3" w:rsidRPr="00A423E5" w:rsidRDefault="009178C3" w:rsidP="006E665D">
            <w:pPr>
              <w:keepNext/>
              <w:bidi/>
              <w:spacing w:before="60" w:after="60" w:line="280" w:lineRule="exact"/>
              <w:rPr>
                <w:rFonts w:ascii="Arabic Typesetting" w:hAnsi="Arabic Typesetting" w:cs="Arabic Typesetting"/>
                <w:sz w:val="30"/>
                <w:szCs w:val="30"/>
                <w:rtl/>
                <w:lang w:bidi="ar-EG"/>
              </w:rPr>
            </w:pPr>
            <w:r w:rsidRPr="00A423E5">
              <w:rPr>
                <w:rFonts w:ascii="Arabic Typesetting" w:hAnsi="Arabic Typesetting" w:cs="Arabic Typesetting"/>
                <w:sz w:val="30"/>
                <w:szCs w:val="30"/>
                <w:rtl/>
                <w:lang w:bidi="ar-EG"/>
              </w:rPr>
              <w:t>امتثال مباني الويبو لتوصيات عملية التدقيق التي أجراها معهد السلامة والأمن (</w:t>
            </w:r>
            <w:proofErr w:type="spellStart"/>
            <w:r w:rsidRPr="00A423E5">
              <w:rPr>
                <w:rFonts w:ascii="Arabic Typesetting" w:hAnsi="Arabic Typesetting" w:cs="Arabic Typesetting"/>
                <w:sz w:val="30"/>
                <w:szCs w:val="30"/>
                <w:rtl/>
                <w:lang w:bidi="ar-EG"/>
              </w:rPr>
              <w:t>نوشاتل</w:t>
            </w:r>
            <w:proofErr w:type="spellEnd"/>
            <w:r w:rsidRPr="00A423E5">
              <w:rPr>
                <w:rFonts w:ascii="Arabic Typesetting" w:hAnsi="Arabic Typesetting" w:cs="Arabic Typesetting"/>
                <w:sz w:val="30"/>
                <w:szCs w:val="30"/>
                <w:rtl/>
                <w:lang w:bidi="ar-EG"/>
              </w:rPr>
              <w:t>) في سنة 2009 وإجراءات تأمين المحيط حسب معايير الأمن التشغيلي الدنيا في المقار (</w:t>
            </w:r>
            <w:r w:rsidRPr="00A423E5">
              <w:rPr>
                <w:rFonts w:ascii="Arabic Typesetting" w:hAnsi="Arabic Typesetting" w:cs="Arabic Typesetting"/>
                <w:sz w:val="30"/>
                <w:szCs w:val="30"/>
                <w:lang w:bidi="ar-EG"/>
              </w:rPr>
              <w:t>UN H-MOSS</w:t>
            </w:r>
            <w:r w:rsidRPr="00A423E5">
              <w:rPr>
                <w:rFonts w:ascii="Arabic Typesetting" w:hAnsi="Arabic Typesetting" w:cs="Arabic Typesetting"/>
                <w:sz w:val="30"/>
                <w:szCs w:val="30"/>
                <w:rtl/>
                <w:lang w:bidi="ar-EG"/>
              </w:rPr>
              <w:t>)</w:t>
            </w:r>
          </w:p>
        </w:tc>
        <w:tc>
          <w:tcPr>
            <w:tcW w:w="923" w:type="pct"/>
            <w:tcBorders>
              <w:top w:val="single" w:sz="4" w:space="0" w:color="auto"/>
              <w:bottom w:val="nil"/>
            </w:tcBorders>
            <w:shd w:val="clear" w:color="auto" w:fill="auto"/>
            <w:vAlign w:val="center"/>
          </w:tcPr>
          <w:p w:rsidR="009178C3" w:rsidRPr="00963CBA" w:rsidRDefault="009178C3" w:rsidP="006E665D">
            <w:pPr>
              <w:keepNext/>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24</w:t>
            </w:r>
          </w:p>
        </w:tc>
        <w:tc>
          <w:tcPr>
            <w:tcW w:w="456" w:type="pct"/>
            <w:tcBorders>
              <w:top w:val="single" w:sz="4" w:space="0" w:color="auto"/>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sz w:val="30"/>
                <w:szCs w:val="30"/>
                <w:rtl/>
                <w:lang w:bidi="ar-EG"/>
              </w:rPr>
            </w:pPr>
            <w:r w:rsidRPr="00102BB6">
              <w:rPr>
                <w:rFonts w:ascii="Arabic Typesetting" w:hAnsi="Arabic Typesetting" w:cs="Arabic Typesetting"/>
                <w:sz w:val="30"/>
                <w:szCs w:val="30"/>
                <w:rtl/>
              </w:rPr>
              <w:t>تعزيز أمن المعلومات لحمايتها من الهجمات المتزايدة عبر الإنترنت</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25</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102BB6" w:rsidRDefault="009178C3" w:rsidP="006E665D">
            <w:pPr>
              <w:bidi/>
              <w:spacing w:before="60" w:after="60" w:line="280" w:lineRule="exact"/>
              <w:rPr>
                <w:rFonts w:ascii="Arabic Typesetting" w:hAnsi="Arabic Typesetting" w:cs="Arabic Typesetting"/>
                <w:sz w:val="30"/>
                <w:szCs w:val="30"/>
              </w:rPr>
            </w:pPr>
            <w:r w:rsidRPr="00102BB6">
              <w:rPr>
                <w:rFonts w:ascii="Arabic Typesetting" w:hAnsi="Arabic Typesetting" w:cs="Arabic Typesetting"/>
                <w:sz w:val="30"/>
                <w:szCs w:val="30"/>
                <w:rtl/>
              </w:rPr>
              <w:t xml:space="preserve">حالة شهادة </w:t>
            </w:r>
            <w:r w:rsidRPr="00102BB6">
              <w:rPr>
                <w:rFonts w:ascii="Arabic Typesetting" w:hAnsi="Arabic Typesetting" w:cs="Arabic Typesetting"/>
                <w:sz w:val="30"/>
                <w:szCs w:val="30"/>
              </w:rPr>
              <w:t>ISO</w:t>
            </w:r>
            <w:r>
              <w:rPr>
                <w:rFonts w:ascii="Arabic Typesetting" w:hAnsi="Arabic Typesetting" w:cs="Arabic Typesetting"/>
                <w:sz w:val="30"/>
                <w:szCs w:val="30"/>
              </w:rPr>
              <w:t> </w:t>
            </w:r>
            <w:r w:rsidRPr="00102BB6">
              <w:rPr>
                <w:rFonts w:ascii="Arabic Typesetting" w:hAnsi="Arabic Typesetting" w:cs="Arabic Typesetting"/>
                <w:sz w:val="30"/>
                <w:szCs w:val="30"/>
              </w:rPr>
              <w:t>27001</w:t>
            </w:r>
            <w:r w:rsidRPr="00102BB6">
              <w:rPr>
                <w:rFonts w:ascii="Arabic Typesetting" w:hAnsi="Arabic Typesetting" w:cs="Arabic Typesetting"/>
                <w:sz w:val="30"/>
                <w:szCs w:val="30"/>
                <w:rtl/>
              </w:rPr>
              <w:t xml:space="preserve"> وعمليات إدارة مخاطر المعلومات</w:t>
            </w:r>
          </w:p>
        </w:tc>
        <w:tc>
          <w:tcPr>
            <w:tcW w:w="923" w:type="pct"/>
            <w:tcBorders>
              <w:bottom w:val="nil"/>
            </w:tcBorders>
            <w:shd w:val="clear" w:color="auto" w:fill="auto"/>
            <w:vAlign w:val="center"/>
          </w:tcPr>
          <w:p w:rsidR="009178C3" w:rsidRPr="00102BB6"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25</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r w:rsidRPr="00015299">
              <w:rPr>
                <w:rFonts w:ascii="Wingdings" w:hAnsi="Wingdings" w:cs="Calibri"/>
                <w:color w:val="008000"/>
                <w:szCs w:val="22"/>
                <w:lang w:bidi="ar-EG"/>
              </w:rPr>
              <w:t></w:t>
            </w: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102BB6" w:rsidRDefault="009178C3" w:rsidP="006E665D">
            <w:pPr>
              <w:bidi/>
              <w:spacing w:before="60" w:after="60" w:line="280" w:lineRule="exact"/>
              <w:rPr>
                <w:rFonts w:ascii="Arabic Typesetting" w:hAnsi="Arabic Typesetting" w:cs="Arabic Typesetting"/>
                <w:sz w:val="30"/>
                <w:szCs w:val="30"/>
                <w:rtl/>
              </w:rPr>
            </w:pPr>
            <w:r w:rsidRPr="005D52F1">
              <w:rPr>
                <w:rFonts w:ascii="Arabic Typesetting" w:hAnsi="Arabic Typesetting" w:cs="Arabic Typesetting"/>
                <w:sz w:val="30"/>
                <w:szCs w:val="30"/>
                <w:rtl/>
              </w:rPr>
              <w:t>فعالية عمليات مراقبة أمن المعلومات (الواجهات الداخلية والخارجية)</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25</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5D52F1" w:rsidRDefault="009178C3" w:rsidP="006E665D">
            <w:pPr>
              <w:bidi/>
              <w:spacing w:before="60" w:after="60" w:line="280" w:lineRule="exact"/>
              <w:rPr>
                <w:rFonts w:ascii="Arabic Typesetting" w:hAnsi="Arabic Typesetting" w:cs="Arabic Typesetting"/>
                <w:sz w:val="30"/>
                <w:szCs w:val="30"/>
                <w:rtl/>
              </w:rPr>
            </w:pPr>
            <w:r w:rsidRPr="005D52F1">
              <w:rPr>
                <w:rFonts w:ascii="Arabic Typesetting" w:hAnsi="Arabic Typesetting" w:cs="Arabic Typesetting"/>
                <w:b/>
                <w:sz w:val="30"/>
                <w:szCs w:val="30"/>
                <w:rtl/>
                <w:lang w:bidi="ar-EG"/>
              </w:rPr>
              <w:t>النسبة المئوية لموظفي الويبو وزوارها والمندوبين لديها الذين يبلغون عن إصابة عمل أو حادث مرتبط بالعمل</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28</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5D52F1" w:rsidRDefault="009178C3" w:rsidP="006E665D">
            <w:pPr>
              <w:bidi/>
              <w:spacing w:before="60" w:after="60" w:line="280" w:lineRule="exact"/>
              <w:rPr>
                <w:rFonts w:ascii="Arabic Typesetting" w:hAnsi="Arabic Typesetting" w:cs="Arabic Typesetting"/>
                <w:b/>
                <w:sz w:val="30"/>
                <w:szCs w:val="30"/>
                <w:rtl/>
                <w:lang w:bidi="ar-EG"/>
              </w:rPr>
            </w:pPr>
            <w:r w:rsidRPr="005D52F1">
              <w:rPr>
                <w:rFonts w:ascii="Arabic Typesetting" w:hAnsi="Arabic Typesetting" w:cs="Arabic Typesetting"/>
                <w:b/>
                <w:sz w:val="30"/>
                <w:szCs w:val="30"/>
                <w:rtl/>
                <w:lang w:bidi="ar-EG"/>
              </w:rPr>
              <w:t>النسبة المئوية ل</w:t>
            </w:r>
            <w:r w:rsidRPr="005D52F1">
              <w:rPr>
                <w:rFonts w:ascii="Arabic Typesetting" w:hAnsi="Arabic Typesetting" w:cs="Arabic Typesetting" w:hint="cs"/>
                <w:b/>
                <w:sz w:val="30"/>
                <w:szCs w:val="30"/>
                <w:rtl/>
                <w:lang w:bidi="ar-EG"/>
              </w:rPr>
              <w:t>ل</w:t>
            </w:r>
            <w:r w:rsidRPr="005D52F1">
              <w:rPr>
                <w:rFonts w:ascii="Arabic Typesetting" w:hAnsi="Arabic Typesetting" w:cs="Arabic Typesetting"/>
                <w:b/>
                <w:sz w:val="30"/>
                <w:szCs w:val="30"/>
                <w:rtl/>
                <w:lang w:bidi="ar-EG"/>
              </w:rPr>
              <w:t xml:space="preserve">طلبات </w:t>
            </w:r>
            <w:r w:rsidRPr="005D52F1">
              <w:rPr>
                <w:rFonts w:ascii="Arabic Typesetting" w:hAnsi="Arabic Typesetting" w:cs="Arabic Typesetting" w:hint="cs"/>
                <w:b/>
                <w:sz w:val="30"/>
                <w:szCs w:val="30"/>
                <w:rtl/>
                <w:lang w:bidi="ar-EG"/>
              </w:rPr>
              <w:t>المناسبة التوقيت ل</w:t>
            </w:r>
            <w:r w:rsidRPr="005D52F1">
              <w:rPr>
                <w:rFonts w:ascii="Arabic Typesetting" w:hAnsi="Arabic Typesetting" w:cs="Arabic Typesetting"/>
                <w:b/>
                <w:sz w:val="30"/>
                <w:szCs w:val="30"/>
                <w:rtl/>
                <w:lang w:bidi="ar-EG"/>
              </w:rPr>
              <w:t xml:space="preserve">لحصول على </w:t>
            </w:r>
            <w:r w:rsidRPr="005D52F1">
              <w:rPr>
                <w:rFonts w:ascii="Arabic Typesetting" w:hAnsi="Arabic Typesetting" w:cs="Arabic Typesetting" w:hint="cs"/>
                <w:b/>
                <w:sz w:val="30"/>
                <w:szCs w:val="30"/>
                <w:rtl/>
                <w:lang w:bidi="ar-EG"/>
              </w:rPr>
              <w:t>م</w:t>
            </w:r>
            <w:r w:rsidRPr="005D52F1">
              <w:rPr>
                <w:rFonts w:ascii="Arabic Typesetting" w:hAnsi="Arabic Typesetting" w:cs="Arabic Typesetting"/>
                <w:b/>
                <w:sz w:val="30"/>
                <w:szCs w:val="30"/>
                <w:rtl/>
                <w:lang w:bidi="ar-EG"/>
              </w:rPr>
              <w:t xml:space="preserve">ساعدة في مجالي السلامة والأمن خلال المؤتمرات أو </w:t>
            </w:r>
            <w:r w:rsidRPr="005D52F1">
              <w:rPr>
                <w:rFonts w:ascii="Arabic Typesetting" w:hAnsi="Arabic Typesetting" w:cs="Arabic Typesetting" w:hint="cs"/>
                <w:b/>
                <w:sz w:val="30"/>
                <w:szCs w:val="30"/>
                <w:rtl/>
                <w:lang w:bidi="ar-EG"/>
              </w:rPr>
              <w:t>التظاهرات</w:t>
            </w:r>
            <w:r w:rsidRPr="005D52F1">
              <w:rPr>
                <w:rFonts w:ascii="Arabic Typesetting" w:hAnsi="Arabic Typesetting" w:cs="Arabic Typesetting"/>
                <w:b/>
                <w:sz w:val="30"/>
                <w:szCs w:val="30"/>
                <w:rtl/>
                <w:lang w:bidi="ar-EG"/>
              </w:rPr>
              <w:t xml:space="preserve"> التي تنظم في جنيف أو خارجها</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963CBA">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28</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5D52F1" w:rsidRDefault="009178C3" w:rsidP="006E665D">
            <w:pPr>
              <w:bidi/>
              <w:spacing w:before="60" w:after="60" w:line="280" w:lineRule="exact"/>
              <w:rPr>
                <w:rFonts w:ascii="Arabic Typesetting" w:hAnsi="Arabic Typesetting" w:cs="Arabic Typesetting"/>
                <w:b/>
                <w:sz w:val="30"/>
                <w:szCs w:val="30"/>
                <w:rtl/>
                <w:lang w:bidi="ar-EG"/>
              </w:rPr>
            </w:pPr>
            <w:r w:rsidRPr="005D52F1">
              <w:rPr>
                <w:rFonts w:ascii="Arabic Typesetting" w:hAnsi="Arabic Typesetting" w:cs="Arabic Typesetting"/>
                <w:b/>
                <w:sz w:val="30"/>
                <w:szCs w:val="30"/>
                <w:rtl/>
              </w:rPr>
              <w:t>مراقبة تدابير النفاذ المادي لضمان امتثال قاعة المؤتمرات الجديدة والمرافق المتصلة بها تماما</w:t>
            </w:r>
            <w:r w:rsidRPr="005D52F1">
              <w:rPr>
                <w:rFonts w:ascii="Arabic Typesetting" w:hAnsi="Arabic Typesetting" w:cs="Arabic Typesetting" w:hint="cs"/>
                <w:b/>
                <w:sz w:val="30"/>
                <w:szCs w:val="30"/>
                <w:rtl/>
              </w:rPr>
              <w:t>ً</w:t>
            </w:r>
            <w:r w:rsidRPr="005D52F1">
              <w:rPr>
                <w:rFonts w:ascii="Arabic Typesetting" w:hAnsi="Arabic Typesetting" w:cs="Arabic Typesetting"/>
                <w:b/>
                <w:sz w:val="30"/>
                <w:szCs w:val="30"/>
                <w:rtl/>
              </w:rPr>
              <w:t xml:space="preserve"> مع المعايير المطبقة أثناء التشييد</w:t>
            </w:r>
          </w:p>
        </w:tc>
        <w:tc>
          <w:tcPr>
            <w:tcW w:w="923" w:type="pct"/>
            <w:tcBorders>
              <w:bottom w:val="nil"/>
            </w:tcBorders>
            <w:shd w:val="clear" w:color="auto" w:fill="auto"/>
            <w:vAlign w:val="center"/>
          </w:tcPr>
          <w:p w:rsidR="009178C3" w:rsidRPr="00963CBA"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5D52F1">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29</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A6A6A6"/>
                <w:szCs w:val="22"/>
                <w:lang w:bidi="ar-EG"/>
              </w:rPr>
            </w:pPr>
            <w:r w:rsidRPr="00015299">
              <w:rPr>
                <w:rFonts w:ascii="Wingdings" w:hAnsi="Wingdings" w:cs="Calibri"/>
                <w:color w:val="A6A6A6"/>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5D52F1" w:rsidRDefault="009178C3" w:rsidP="006E665D">
            <w:pPr>
              <w:bidi/>
              <w:spacing w:before="60" w:after="60" w:line="280" w:lineRule="exact"/>
              <w:rPr>
                <w:rFonts w:ascii="Arabic Typesetting" w:hAnsi="Arabic Typesetting" w:cs="Arabic Typesetting"/>
                <w:b/>
                <w:sz w:val="30"/>
                <w:szCs w:val="30"/>
                <w:rtl/>
              </w:rPr>
            </w:pPr>
            <w:r w:rsidRPr="005D52F1">
              <w:rPr>
                <w:rFonts w:ascii="Arabic Typesetting" w:hAnsi="Arabic Typesetting" w:cs="Arabic Typesetting"/>
                <w:b/>
                <w:sz w:val="30"/>
                <w:szCs w:val="30"/>
                <w:rtl/>
              </w:rPr>
              <w:t xml:space="preserve">مراقبة تدابير مراعاة البيئة </w:t>
            </w:r>
            <w:r w:rsidRPr="005D52F1">
              <w:rPr>
                <w:rFonts w:ascii="Arabic Typesetting" w:hAnsi="Arabic Typesetting" w:cs="Arabic Typesetting" w:hint="cs"/>
                <w:b/>
                <w:sz w:val="30"/>
                <w:szCs w:val="30"/>
                <w:rtl/>
              </w:rPr>
              <w:t>وتدابير</w:t>
            </w:r>
            <w:r w:rsidRPr="005D52F1">
              <w:rPr>
                <w:rFonts w:ascii="Arabic Typesetting" w:hAnsi="Arabic Typesetting" w:cs="Arabic Typesetting"/>
                <w:b/>
                <w:sz w:val="30"/>
                <w:szCs w:val="30"/>
                <w:rtl/>
              </w:rPr>
              <w:t xml:space="preserve"> الحد من استهلاك الطاقة المطبقة أثناء التشييد</w:t>
            </w:r>
          </w:p>
        </w:tc>
        <w:tc>
          <w:tcPr>
            <w:tcW w:w="923" w:type="pct"/>
            <w:tcBorders>
              <w:bottom w:val="nil"/>
            </w:tcBorders>
            <w:shd w:val="clear" w:color="auto" w:fill="auto"/>
            <w:vAlign w:val="center"/>
          </w:tcPr>
          <w:p w:rsidR="009178C3" w:rsidRPr="005D52F1"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5D52F1">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29</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A6A6A6"/>
                <w:szCs w:val="22"/>
                <w:lang w:bidi="ar-EG"/>
              </w:rPr>
            </w:pPr>
            <w:r w:rsidRPr="00015299">
              <w:rPr>
                <w:rFonts w:ascii="Wingdings" w:hAnsi="Wingdings" w:cs="Calibri"/>
                <w:color w:val="A6A6A6"/>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bottom w:val="nil"/>
            </w:tcBorders>
            <w:shd w:val="clear" w:color="auto" w:fill="auto"/>
          </w:tcPr>
          <w:p w:rsidR="009178C3" w:rsidRPr="005D52F1" w:rsidRDefault="009178C3" w:rsidP="006E665D">
            <w:pPr>
              <w:bidi/>
              <w:spacing w:before="60" w:after="60" w:line="280" w:lineRule="exact"/>
              <w:rPr>
                <w:rFonts w:ascii="Arabic Typesetting" w:hAnsi="Arabic Typesetting" w:cs="Arabic Typesetting"/>
                <w:sz w:val="30"/>
                <w:szCs w:val="30"/>
                <w:rtl/>
              </w:rPr>
            </w:pPr>
            <w:r w:rsidRPr="005D52F1">
              <w:rPr>
                <w:rFonts w:ascii="Arabic Typesetting" w:hAnsi="Arabic Typesetting" w:cs="Arabic Typesetting"/>
                <w:sz w:val="30"/>
                <w:szCs w:val="30"/>
                <w:rtl/>
              </w:rPr>
              <w:t xml:space="preserve">إكمال إجراءات تأمين المحيط حسب معايير الأمم المتحدة </w:t>
            </w:r>
            <w:r>
              <w:rPr>
                <w:rFonts w:ascii="Arabic Typesetting" w:hAnsi="Arabic Typesetting" w:cs="Arabic Typesetting"/>
                <w:sz w:val="30"/>
                <w:szCs w:val="30"/>
                <w:rtl/>
              </w:rPr>
              <w:t>الدنيا لل</w:t>
            </w:r>
            <w:r>
              <w:rPr>
                <w:rFonts w:ascii="Arabic Typesetting" w:hAnsi="Arabic Typesetting" w:cs="Arabic Typesetting" w:hint="cs"/>
                <w:sz w:val="30"/>
                <w:szCs w:val="30"/>
                <w:rtl/>
              </w:rPr>
              <w:t>أمن التشغيلي</w:t>
            </w:r>
            <w:r>
              <w:rPr>
                <w:rFonts w:ascii="Arabic Typesetting" w:hAnsi="Arabic Typesetting" w:cs="Arabic Typesetting"/>
                <w:sz w:val="30"/>
                <w:szCs w:val="30"/>
                <w:rtl/>
              </w:rPr>
              <w:t xml:space="preserve"> في المق</w:t>
            </w:r>
            <w:r>
              <w:rPr>
                <w:rFonts w:ascii="Arabic Typesetting" w:hAnsi="Arabic Typesetting" w:cs="Arabic Typesetting" w:hint="cs"/>
                <w:sz w:val="30"/>
                <w:szCs w:val="30"/>
                <w:rtl/>
              </w:rPr>
              <w:t>ار (</w:t>
            </w:r>
            <w:r w:rsidRPr="00254B71">
              <w:rPr>
                <w:rFonts w:ascii="Arabic Typesetting" w:hAnsi="Arabic Typesetting" w:cs="Arabic Typesetting"/>
                <w:sz w:val="30"/>
                <w:szCs w:val="30"/>
              </w:rPr>
              <w:t>UN H-MOSS</w:t>
            </w:r>
            <w:r>
              <w:rPr>
                <w:rFonts w:ascii="Arabic Typesetting" w:hAnsi="Arabic Typesetting" w:cs="Arabic Typesetting" w:hint="cs"/>
                <w:sz w:val="30"/>
                <w:szCs w:val="30"/>
                <w:rtl/>
              </w:rPr>
              <w:t xml:space="preserve">) </w:t>
            </w:r>
            <w:r w:rsidRPr="005D52F1">
              <w:rPr>
                <w:rFonts w:ascii="Arabic Typesetting" w:hAnsi="Arabic Typesetting" w:cs="Arabic Typesetting"/>
                <w:sz w:val="30"/>
                <w:szCs w:val="30"/>
                <w:rtl/>
              </w:rPr>
              <w:t>بالنسبة لقاعة المؤتمرات الجديدة</w:t>
            </w:r>
          </w:p>
        </w:tc>
        <w:tc>
          <w:tcPr>
            <w:tcW w:w="923" w:type="pct"/>
            <w:tcBorders>
              <w:bottom w:val="nil"/>
            </w:tcBorders>
            <w:shd w:val="clear" w:color="auto" w:fill="auto"/>
            <w:vAlign w:val="center"/>
          </w:tcPr>
          <w:p w:rsidR="009178C3" w:rsidRPr="005D52F1" w:rsidRDefault="009178C3" w:rsidP="006E665D">
            <w:pPr>
              <w:bidi/>
              <w:spacing w:before="60" w:after="60" w:line="280" w:lineRule="exact"/>
              <w:ind w:firstLineChars="100" w:firstLine="300"/>
              <w:rPr>
                <w:rFonts w:ascii="Arabic Typesetting" w:hAnsi="Arabic Typesetting" w:cs="Arabic Typesetting"/>
                <w:color w:val="000000"/>
                <w:sz w:val="30"/>
                <w:szCs w:val="30"/>
                <w:rtl/>
              </w:rPr>
            </w:pPr>
            <w:r w:rsidRPr="005D52F1">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29</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6E665D">
        <w:trPr>
          <w:cantSplit/>
        </w:trPr>
        <w:tc>
          <w:tcPr>
            <w:tcW w:w="1759" w:type="pct"/>
            <w:tcBorders>
              <w:bottom w:val="nil"/>
            </w:tcBorders>
            <w:shd w:val="clear" w:color="auto" w:fill="auto"/>
          </w:tcPr>
          <w:p w:rsidR="009178C3" w:rsidRPr="00A423E5" w:rsidRDefault="009178C3" w:rsidP="006E665D">
            <w:pPr>
              <w:bidi/>
              <w:spacing w:before="60" w:after="60" w:line="280" w:lineRule="exact"/>
              <w:rPr>
                <w:rFonts w:ascii="Arabic Typesetting" w:hAnsi="Arabic Typesetting" w:cs="Arabic Typesetting"/>
                <w:color w:val="000000"/>
                <w:sz w:val="30"/>
                <w:szCs w:val="30"/>
                <w:rtl/>
                <w:lang w:bidi="ar-EG"/>
              </w:rPr>
            </w:pPr>
            <w:r>
              <w:rPr>
                <w:rFonts w:ascii="Arabic Typesetting" w:hAnsi="Arabic Typesetting" w:cs="Arabic Typesetting" w:hint="cs"/>
                <w:color w:val="000000"/>
                <w:sz w:val="30"/>
                <w:szCs w:val="30"/>
                <w:rtl/>
              </w:rPr>
              <w:t>ه</w:t>
            </w:r>
            <w:r w:rsidRPr="00254B71">
              <w:rPr>
                <w:rFonts w:ascii="Arabic Typesetting" w:hAnsi="Arabic Typesetting" w:cs="Arabic Typesetting"/>
                <w:color w:val="000000"/>
                <w:sz w:val="30"/>
                <w:szCs w:val="30"/>
                <w:rtl/>
              </w:rPr>
              <w:t xml:space="preserve">8.9 </w:t>
            </w:r>
            <w:r w:rsidRPr="006336C0">
              <w:rPr>
                <w:rFonts w:ascii="Arabic Typesetting" w:hAnsi="Arabic Typesetting" w:cs="Arabic Typesetting"/>
                <w:color w:val="000000"/>
                <w:sz w:val="30"/>
                <w:szCs w:val="30"/>
                <w:rtl/>
              </w:rPr>
              <w:t>تحسين المساءلة والتعلم المؤسسي والقيمة المالية والريادة والمراقبة الداخلية والحوكمة المؤسسية من خلال الاستعانة برقابة فعالة</w:t>
            </w:r>
            <w:r>
              <w:rPr>
                <w:rFonts w:ascii="Arabic Typesetting" w:hAnsi="Arabic Typesetting" w:cs="Arabic Typesetting" w:hint="cs"/>
                <w:color w:val="000000"/>
                <w:sz w:val="30"/>
                <w:szCs w:val="30"/>
                <w:rtl/>
              </w:rPr>
              <w:t> </w:t>
            </w:r>
            <w:r w:rsidRPr="006336C0">
              <w:rPr>
                <w:rFonts w:ascii="Arabic Typesetting" w:hAnsi="Arabic Typesetting" w:cs="Arabic Typesetting"/>
                <w:color w:val="000000"/>
                <w:sz w:val="30"/>
                <w:szCs w:val="30"/>
                <w:rtl/>
              </w:rPr>
              <w:t>ومستقلة</w:t>
            </w:r>
          </w:p>
        </w:tc>
        <w:tc>
          <w:tcPr>
            <w:tcW w:w="1861" w:type="pct"/>
            <w:tcBorders>
              <w:bottom w:val="nil"/>
            </w:tcBorders>
            <w:shd w:val="clear" w:color="auto" w:fill="auto"/>
          </w:tcPr>
          <w:p w:rsidR="009178C3" w:rsidRPr="005D52F1" w:rsidRDefault="009178C3" w:rsidP="006E665D">
            <w:pPr>
              <w:bidi/>
              <w:spacing w:before="60" w:after="60" w:line="280" w:lineRule="exact"/>
              <w:rPr>
                <w:rFonts w:ascii="Arabic Typesetting" w:hAnsi="Arabic Typesetting" w:cs="Arabic Typesetting"/>
                <w:sz w:val="30"/>
                <w:szCs w:val="30"/>
                <w:rtl/>
                <w:lang w:bidi="ar-EG"/>
              </w:rPr>
            </w:pPr>
            <w:r w:rsidRPr="00254B71">
              <w:rPr>
                <w:rFonts w:ascii="Arabic Typesetting" w:hAnsi="Arabic Typesetting" w:cs="Arabic Typesetting"/>
                <w:sz w:val="30"/>
                <w:szCs w:val="30"/>
                <w:rtl/>
              </w:rPr>
              <w:t>عدم تدخل كبار أصحاب المصالح ومراعاتهم للاستقلالية</w:t>
            </w:r>
          </w:p>
        </w:tc>
        <w:tc>
          <w:tcPr>
            <w:tcW w:w="923" w:type="pct"/>
            <w:tcBorders>
              <w:bottom w:val="nil"/>
            </w:tcBorders>
            <w:shd w:val="clear" w:color="auto" w:fill="auto"/>
            <w:vAlign w:val="center"/>
          </w:tcPr>
          <w:p w:rsidR="009178C3" w:rsidRPr="005D52F1"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5D52F1">
              <w:rPr>
                <w:rFonts w:ascii="Arabic Typesetting" w:hAnsi="Arabic Typesetting" w:cs="Arabic Typesetting"/>
                <w:color w:val="000000"/>
                <w:sz w:val="30"/>
                <w:szCs w:val="30"/>
                <w:rtl/>
                <w:lang w:bidi="ar-EG"/>
              </w:rPr>
              <w:t xml:space="preserve">البرنامج </w:t>
            </w:r>
            <w:r>
              <w:rPr>
                <w:rFonts w:ascii="Arabic Typesetting" w:hAnsi="Arabic Typesetting" w:cs="Arabic Typesetting" w:hint="cs"/>
                <w:color w:val="000000"/>
                <w:sz w:val="30"/>
                <w:szCs w:val="30"/>
                <w:rtl/>
                <w:lang w:bidi="ar-EG"/>
              </w:rPr>
              <w:t>26</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bottom w:val="nil"/>
            </w:tcBorders>
            <w:shd w:val="clear" w:color="auto" w:fill="auto"/>
          </w:tcPr>
          <w:p w:rsidR="009178C3" w:rsidRPr="00254B71" w:rsidRDefault="009178C3" w:rsidP="006E665D">
            <w:pPr>
              <w:bidi/>
              <w:spacing w:before="60" w:after="60" w:line="280" w:lineRule="exact"/>
              <w:rPr>
                <w:rFonts w:ascii="Arabic Typesetting" w:hAnsi="Arabic Typesetting" w:cs="Arabic Typesetting"/>
                <w:b/>
                <w:bCs/>
                <w:sz w:val="30"/>
                <w:szCs w:val="30"/>
                <w:rtl/>
              </w:rPr>
            </w:pPr>
            <w:r w:rsidRPr="00254B71">
              <w:rPr>
                <w:rFonts w:ascii="Arabic Typesetting" w:hAnsi="Arabic Typesetting" w:cs="Arabic Typesetting"/>
                <w:b/>
                <w:bCs/>
                <w:sz w:val="30"/>
                <w:szCs w:val="30"/>
                <w:rtl/>
              </w:rPr>
              <w:t>الفعالية</w:t>
            </w:r>
            <w:r>
              <w:rPr>
                <w:rFonts w:ascii="Arabic Typesetting" w:hAnsi="Arabic Typesetting" w:cs="Arabic Typesetting" w:hint="cs"/>
                <w:b/>
                <w:bCs/>
                <w:sz w:val="30"/>
                <w:szCs w:val="30"/>
                <w:rtl/>
              </w:rPr>
              <w:t xml:space="preserve">: </w:t>
            </w:r>
            <w:r w:rsidRPr="00254B71">
              <w:rPr>
                <w:rFonts w:ascii="Arabic Typesetting" w:hAnsi="Arabic Typesetting" w:cs="Arabic Typesetting"/>
                <w:sz w:val="30"/>
                <w:szCs w:val="30"/>
                <w:rtl/>
              </w:rPr>
              <w:t xml:space="preserve">النسبة المئوية لعمل </w:t>
            </w:r>
            <w:r>
              <w:rPr>
                <w:rFonts w:ascii="Arabic Typesetting" w:hAnsi="Arabic Typesetting" w:cs="Arabic Typesetting"/>
                <w:sz w:val="30"/>
                <w:szCs w:val="30"/>
                <w:rtl/>
              </w:rPr>
              <w:t>شعبة الرقابة الداخلية</w:t>
            </w:r>
            <w:r w:rsidRPr="00254B71">
              <w:rPr>
                <w:rFonts w:ascii="Arabic Typesetting" w:hAnsi="Arabic Typesetting" w:cs="Arabic Typesetting"/>
                <w:sz w:val="30"/>
                <w:szCs w:val="30"/>
                <w:rtl/>
              </w:rPr>
              <w:t xml:space="preserve"> الذي يتناول المجالات شديدة الخطورة/ وثيقة الصلة بالموضوع</w:t>
            </w:r>
          </w:p>
        </w:tc>
        <w:tc>
          <w:tcPr>
            <w:tcW w:w="923" w:type="pct"/>
            <w:tcBorders>
              <w:bottom w:val="nil"/>
            </w:tcBorders>
            <w:shd w:val="clear" w:color="auto" w:fill="auto"/>
            <w:vAlign w:val="center"/>
          </w:tcPr>
          <w:p w:rsidR="009178C3" w:rsidRPr="005D52F1"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5D52F1">
              <w:rPr>
                <w:rFonts w:ascii="Arabic Typesetting" w:hAnsi="Arabic Typesetting" w:cs="Arabic Typesetting"/>
                <w:color w:val="000000"/>
                <w:sz w:val="30"/>
                <w:szCs w:val="30"/>
                <w:rtl/>
                <w:lang w:bidi="ar-EG"/>
              </w:rPr>
              <w:t>البرنامج</w:t>
            </w:r>
            <w:r>
              <w:rPr>
                <w:rFonts w:ascii="Arabic Typesetting" w:hAnsi="Arabic Typesetting" w:cs="Arabic Typesetting" w:hint="cs"/>
                <w:color w:val="000000"/>
                <w:sz w:val="30"/>
                <w:szCs w:val="30"/>
                <w:rtl/>
                <w:lang w:bidi="ar-EG"/>
              </w:rPr>
              <w:t xml:space="preserve"> 26</w:t>
            </w:r>
          </w:p>
        </w:tc>
        <w:tc>
          <w:tcPr>
            <w:tcW w:w="456" w:type="pct"/>
            <w:tcBorders>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p>
        </w:tc>
      </w:tr>
      <w:tr w:rsidR="009178C3" w:rsidRPr="00FE3908" w:rsidTr="000A7B1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top w:val="nil"/>
              <w:bottom w:val="nil"/>
            </w:tcBorders>
            <w:shd w:val="clear" w:color="auto" w:fill="auto"/>
          </w:tcPr>
          <w:p w:rsidR="009178C3" w:rsidRPr="00254B71" w:rsidRDefault="009178C3" w:rsidP="006E665D">
            <w:pPr>
              <w:bidi/>
              <w:spacing w:before="60" w:after="60" w:line="280" w:lineRule="exact"/>
              <w:rPr>
                <w:rFonts w:ascii="Arabic Typesetting" w:hAnsi="Arabic Typesetting" w:cs="Arabic Typesetting"/>
                <w:sz w:val="30"/>
                <w:szCs w:val="30"/>
                <w:rtl/>
                <w:lang w:bidi="ar-EG"/>
              </w:rPr>
            </w:pPr>
            <w:r w:rsidRPr="00254B71">
              <w:rPr>
                <w:rFonts w:ascii="Arabic Typesetting" w:hAnsi="Arabic Typesetting" w:cs="Arabic Typesetting"/>
                <w:b/>
                <w:bCs/>
                <w:sz w:val="30"/>
                <w:szCs w:val="30"/>
                <w:rtl/>
              </w:rPr>
              <w:t>الكفاءة</w:t>
            </w:r>
            <w:r w:rsidRPr="00254B71">
              <w:rPr>
                <w:rFonts w:ascii="Arabic Typesetting" w:hAnsi="Arabic Typesetting" w:cs="Arabic Typesetting"/>
                <w:sz w:val="30"/>
                <w:szCs w:val="30"/>
                <w:rtl/>
                <w:lang w:bidi="ar-EG"/>
              </w:rPr>
              <w:t>:</w:t>
            </w:r>
            <w:r>
              <w:rPr>
                <w:rFonts w:ascii="Arabic Typesetting" w:hAnsi="Arabic Typesetting" w:cs="Arabic Typesetting" w:hint="cs"/>
                <w:sz w:val="30"/>
                <w:szCs w:val="30"/>
                <w:rtl/>
                <w:lang w:bidi="ar-EG"/>
              </w:rPr>
              <w:t xml:space="preserve"> </w:t>
            </w:r>
            <w:r w:rsidRPr="00254B71">
              <w:rPr>
                <w:rFonts w:ascii="Arabic Typesetting" w:hAnsi="Arabic Typesetting" w:cs="Arabic Typesetting"/>
                <w:sz w:val="30"/>
                <w:szCs w:val="30"/>
                <w:rtl/>
              </w:rPr>
              <w:t>(أ) الانتهاء من تقارير الرقابة في الوقت المناسب وبالجودة المطلوبة،</w:t>
            </w:r>
            <w:r w:rsidRPr="00254B71">
              <w:rPr>
                <w:rFonts w:ascii="Arabic Typesetting" w:hAnsi="Arabic Typesetting" w:cs="Arabic Typesetting"/>
                <w:sz w:val="30"/>
                <w:szCs w:val="30"/>
                <w:lang w:bidi="ar-EG"/>
              </w:rPr>
              <w:t xml:space="preserve"> </w:t>
            </w:r>
            <w:r w:rsidRPr="00254B71">
              <w:rPr>
                <w:rFonts w:ascii="Arabic Typesetting" w:hAnsi="Arabic Typesetting" w:cs="Arabic Typesetting"/>
                <w:sz w:val="30"/>
                <w:szCs w:val="30"/>
                <w:rtl/>
              </w:rPr>
              <w:t>(ب) عدد عمليات التدقيق والتقييم التي أنجزت وفقا</w:t>
            </w:r>
            <w:r w:rsidRPr="00254B71">
              <w:rPr>
                <w:rFonts w:ascii="Arabic Typesetting" w:hAnsi="Arabic Typesetting" w:cs="Arabic Typesetting" w:hint="cs"/>
                <w:sz w:val="30"/>
                <w:szCs w:val="30"/>
                <w:rtl/>
              </w:rPr>
              <w:t>ً</w:t>
            </w:r>
            <w:r w:rsidRPr="00254B71">
              <w:rPr>
                <w:rFonts w:ascii="Arabic Typesetting" w:hAnsi="Arabic Typesetting" w:cs="Arabic Typesetting"/>
                <w:sz w:val="30"/>
                <w:szCs w:val="30"/>
                <w:rtl/>
              </w:rPr>
              <w:t xml:space="preserve"> لخطة عمل الرقابة،</w:t>
            </w:r>
            <w:r w:rsidRPr="00254B71">
              <w:rPr>
                <w:rFonts w:ascii="Arabic Typesetting" w:hAnsi="Arabic Typesetting" w:cs="Arabic Typesetting"/>
                <w:sz w:val="30"/>
                <w:szCs w:val="30"/>
                <w:lang w:bidi="ar-EG"/>
              </w:rPr>
              <w:t xml:space="preserve"> </w:t>
            </w:r>
            <w:r w:rsidRPr="00254B71">
              <w:rPr>
                <w:rFonts w:ascii="Arabic Typesetting" w:hAnsi="Arabic Typesetting" w:cs="Arabic Typesetting"/>
                <w:sz w:val="30"/>
                <w:szCs w:val="30"/>
                <w:rtl/>
              </w:rPr>
              <w:t>(ج) عدد الشكاوى/التقارير بشأن التعامل مع سوء السلوك المحتمل</w:t>
            </w:r>
          </w:p>
        </w:tc>
        <w:tc>
          <w:tcPr>
            <w:tcW w:w="923" w:type="pct"/>
            <w:tcBorders>
              <w:top w:val="nil"/>
              <w:bottom w:val="nil"/>
            </w:tcBorders>
            <w:shd w:val="clear" w:color="auto" w:fill="auto"/>
            <w:vAlign w:val="center"/>
          </w:tcPr>
          <w:p w:rsidR="009178C3" w:rsidRPr="005D52F1"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5D52F1">
              <w:rPr>
                <w:rFonts w:ascii="Arabic Typesetting" w:hAnsi="Arabic Typesetting" w:cs="Arabic Typesetting"/>
                <w:color w:val="000000"/>
                <w:sz w:val="30"/>
                <w:szCs w:val="30"/>
                <w:rtl/>
                <w:lang w:bidi="ar-EG"/>
              </w:rPr>
              <w:t>البرنامج</w:t>
            </w:r>
            <w:r>
              <w:rPr>
                <w:rFonts w:ascii="Arabic Typesetting" w:hAnsi="Arabic Typesetting" w:cs="Arabic Typesetting" w:hint="cs"/>
                <w:color w:val="000000"/>
                <w:sz w:val="30"/>
                <w:szCs w:val="30"/>
                <w:rtl/>
                <w:lang w:bidi="ar-EG"/>
              </w:rPr>
              <w:t xml:space="preserve"> 26</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5299">
              <w:rPr>
                <w:rFonts w:ascii="Wingdings" w:hAnsi="Wingdings" w:cs="Calibri"/>
                <w:color w:val="008000"/>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r w:rsidRPr="008A6954">
              <w:rPr>
                <w:rFonts w:ascii="Wingdings" w:hAnsi="Wingdings" w:cs="Calibri"/>
                <w:color w:val="10862C"/>
                <w:szCs w:val="22"/>
                <w:lang w:bidi="ar-EG"/>
              </w:rPr>
              <w:t></w:t>
            </w:r>
          </w:p>
        </w:tc>
      </w:tr>
      <w:tr w:rsidR="009178C3" w:rsidRPr="00FE3908" w:rsidTr="000A7B1D">
        <w:trPr>
          <w:cantSplit/>
        </w:trPr>
        <w:tc>
          <w:tcPr>
            <w:tcW w:w="1759" w:type="pct"/>
            <w:tcBorders>
              <w:top w:val="nil"/>
              <w:bottom w:val="nil"/>
            </w:tcBorders>
            <w:shd w:val="clear" w:color="auto" w:fill="auto"/>
          </w:tcPr>
          <w:p w:rsidR="009178C3" w:rsidRDefault="009178C3" w:rsidP="006E665D">
            <w:pPr>
              <w:bidi/>
              <w:spacing w:before="60" w:after="60" w:line="280" w:lineRule="exact"/>
              <w:rPr>
                <w:rFonts w:ascii="Arabic Typesetting" w:hAnsi="Arabic Typesetting" w:cs="Arabic Typesetting"/>
                <w:color w:val="000000"/>
                <w:sz w:val="30"/>
                <w:szCs w:val="30"/>
                <w:rtl/>
              </w:rPr>
            </w:pPr>
          </w:p>
        </w:tc>
        <w:tc>
          <w:tcPr>
            <w:tcW w:w="1861" w:type="pct"/>
            <w:tcBorders>
              <w:top w:val="nil"/>
              <w:bottom w:val="nil"/>
            </w:tcBorders>
            <w:shd w:val="clear" w:color="auto" w:fill="auto"/>
          </w:tcPr>
          <w:p w:rsidR="009178C3" w:rsidRPr="00254B71" w:rsidRDefault="009178C3" w:rsidP="006E665D">
            <w:pPr>
              <w:bidi/>
              <w:spacing w:before="60" w:after="60" w:line="280" w:lineRule="exact"/>
              <w:rPr>
                <w:rFonts w:ascii="Arabic Typesetting" w:hAnsi="Arabic Typesetting" w:cs="Arabic Typesetting"/>
                <w:sz w:val="30"/>
                <w:szCs w:val="30"/>
                <w:rtl/>
                <w:lang w:bidi="ar-EG"/>
              </w:rPr>
            </w:pPr>
            <w:r w:rsidRPr="00254B71">
              <w:rPr>
                <w:rFonts w:ascii="Arabic Typesetting" w:hAnsi="Arabic Typesetting" w:cs="Arabic Typesetting"/>
                <w:b/>
                <w:bCs/>
                <w:sz w:val="30"/>
                <w:szCs w:val="30"/>
                <w:rtl/>
              </w:rPr>
              <w:t>الصلة بالموضوع والقيمة المضافة والإشراف</w:t>
            </w:r>
            <w:r w:rsidRPr="00254B71">
              <w:rPr>
                <w:rFonts w:ascii="Arabic Typesetting" w:hAnsi="Arabic Typesetting" w:cs="Arabic Typesetting"/>
                <w:sz w:val="30"/>
                <w:szCs w:val="30"/>
                <w:rtl/>
              </w:rPr>
              <w:t xml:space="preserve"> </w:t>
            </w:r>
            <w:r>
              <w:rPr>
                <w:rFonts w:ascii="Arabic Typesetting" w:hAnsi="Arabic Typesetting" w:cs="Arabic Typesetting"/>
                <w:sz w:val="30"/>
                <w:szCs w:val="30"/>
                <w:rtl/>
              </w:rPr>
              <w:t>–</w:t>
            </w:r>
            <w:r w:rsidRPr="00254B71">
              <w:rPr>
                <w:rFonts w:ascii="Arabic Typesetting" w:hAnsi="Arabic Typesetting" w:cs="Arabic Typesetting"/>
                <w:sz w:val="30"/>
                <w:szCs w:val="30"/>
                <w:rtl/>
              </w:rPr>
              <w:t xml:space="preserve"> وفورات أو تحسينات ملموسة في العمليات والأنظمة التجارية</w:t>
            </w:r>
          </w:p>
        </w:tc>
        <w:tc>
          <w:tcPr>
            <w:tcW w:w="923" w:type="pct"/>
            <w:tcBorders>
              <w:top w:val="nil"/>
              <w:bottom w:val="nil"/>
            </w:tcBorders>
            <w:shd w:val="clear" w:color="auto" w:fill="auto"/>
            <w:vAlign w:val="center"/>
          </w:tcPr>
          <w:p w:rsidR="009178C3" w:rsidRPr="005D52F1"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5D52F1">
              <w:rPr>
                <w:rFonts w:ascii="Arabic Typesetting" w:hAnsi="Arabic Typesetting" w:cs="Arabic Typesetting"/>
                <w:color w:val="000000"/>
                <w:sz w:val="30"/>
                <w:szCs w:val="30"/>
                <w:rtl/>
                <w:lang w:bidi="ar-EG"/>
              </w:rPr>
              <w:t>البرنامج</w:t>
            </w:r>
            <w:r>
              <w:rPr>
                <w:rFonts w:ascii="Arabic Typesetting" w:hAnsi="Arabic Typesetting" w:cs="Arabic Typesetting" w:hint="cs"/>
                <w:color w:val="000000"/>
                <w:sz w:val="30"/>
                <w:szCs w:val="30"/>
                <w:rtl/>
                <w:lang w:bidi="ar-EG"/>
              </w:rPr>
              <w:t xml:space="preserve"> 26</w:t>
            </w:r>
          </w:p>
        </w:tc>
        <w:tc>
          <w:tcPr>
            <w:tcW w:w="456" w:type="pct"/>
            <w:tcBorders>
              <w:top w:val="nil"/>
              <w:bottom w:val="nil"/>
            </w:tcBorders>
            <w:shd w:val="clear" w:color="auto" w:fill="auto"/>
            <w:vAlign w:val="center"/>
          </w:tcPr>
          <w:p w:rsidR="009178C3" w:rsidRPr="00015299" w:rsidRDefault="009178C3" w:rsidP="006E665D">
            <w:pPr>
              <w:bidi/>
              <w:jc w:val="center"/>
              <w:rPr>
                <w:rFonts w:ascii="Wingdings" w:hAnsi="Wingdings" w:cs="Calibri"/>
                <w:color w:val="0070C0"/>
                <w:szCs w:val="22"/>
                <w:lang w:bidi="ar-EG"/>
              </w:rPr>
            </w:pPr>
            <w:r w:rsidRPr="00016614">
              <w:rPr>
                <w:rFonts w:ascii="Wingdings" w:hAnsi="Wingdings" w:cs="Calibri"/>
                <w:color w:val="A6A6A6" w:themeColor="background1" w:themeShade="A6"/>
                <w:szCs w:val="22"/>
                <w:lang w:bidi="ar-EG"/>
              </w:rPr>
              <w:t></w:t>
            </w:r>
          </w:p>
        </w:tc>
      </w:tr>
      <w:tr w:rsidR="009178C3" w:rsidRPr="00FE3908" w:rsidTr="006E665D">
        <w:trPr>
          <w:cantSplit/>
        </w:trPr>
        <w:tc>
          <w:tcPr>
            <w:tcW w:w="1759" w:type="pct"/>
            <w:tcBorders>
              <w:top w:val="nil"/>
              <w:bottom w:val="single" w:sz="4" w:space="0" w:color="auto"/>
            </w:tcBorders>
            <w:shd w:val="clear" w:color="auto" w:fill="auto"/>
          </w:tcPr>
          <w:p w:rsidR="009178C3" w:rsidRPr="00975575" w:rsidRDefault="009178C3" w:rsidP="006E665D">
            <w:pPr>
              <w:bidi/>
              <w:spacing w:before="60" w:after="60" w:line="280" w:lineRule="exact"/>
              <w:rPr>
                <w:rFonts w:ascii="Arabic Typesetting" w:hAnsi="Arabic Typesetting" w:cs="Arabic Typesetting"/>
                <w:color w:val="000000"/>
                <w:sz w:val="30"/>
                <w:szCs w:val="30"/>
                <w:rtl/>
                <w:lang w:bidi="ar-EG"/>
              </w:rPr>
            </w:pPr>
          </w:p>
        </w:tc>
        <w:tc>
          <w:tcPr>
            <w:tcW w:w="1861" w:type="pct"/>
            <w:tcBorders>
              <w:top w:val="nil"/>
              <w:bottom w:val="single" w:sz="4" w:space="0" w:color="auto"/>
            </w:tcBorders>
            <w:shd w:val="clear" w:color="auto" w:fill="auto"/>
          </w:tcPr>
          <w:p w:rsidR="009178C3" w:rsidRPr="009817A6" w:rsidRDefault="009178C3" w:rsidP="006E665D">
            <w:pPr>
              <w:bidi/>
              <w:spacing w:before="60" w:after="60" w:line="280" w:lineRule="exact"/>
              <w:rPr>
                <w:rFonts w:ascii="Arabic Typesetting" w:hAnsi="Arabic Typesetting" w:cs="Arabic Typesetting"/>
                <w:sz w:val="30"/>
                <w:szCs w:val="30"/>
                <w:lang w:bidi="ar-EG"/>
              </w:rPr>
            </w:pPr>
            <w:r w:rsidRPr="00254B71">
              <w:rPr>
                <w:rFonts w:ascii="Arabic Typesetting" w:hAnsi="Arabic Typesetting" w:cs="Arabic Typesetting"/>
                <w:b/>
                <w:bCs/>
                <w:sz w:val="30"/>
                <w:szCs w:val="30"/>
                <w:rtl/>
              </w:rPr>
              <w:t>التعلم المؤسسي</w:t>
            </w:r>
            <w:r w:rsidRPr="00254B71">
              <w:rPr>
                <w:rFonts w:ascii="Arabic Typesetting" w:hAnsi="Arabic Typesetting" w:cs="Arabic Typesetting"/>
                <w:sz w:val="30"/>
                <w:szCs w:val="30"/>
                <w:rtl/>
              </w:rPr>
              <w:t xml:space="preserve"> </w:t>
            </w:r>
            <w:r>
              <w:rPr>
                <w:rFonts w:ascii="Arabic Typesetting" w:hAnsi="Arabic Typesetting" w:cs="Arabic Typesetting"/>
                <w:sz w:val="30"/>
                <w:szCs w:val="30"/>
                <w:rtl/>
              </w:rPr>
              <w:t>–</w:t>
            </w:r>
            <w:r w:rsidRPr="00254B71">
              <w:rPr>
                <w:rFonts w:ascii="Arabic Typesetting" w:hAnsi="Arabic Typesetting" w:cs="Arabic Typesetting"/>
                <w:sz w:val="30"/>
                <w:szCs w:val="30"/>
                <w:rtl/>
              </w:rPr>
              <w:t xml:space="preserve"> تعلم الدروس والتوصيات من عمليات الرقابة</w:t>
            </w:r>
          </w:p>
        </w:tc>
        <w:tc>
          <w:tcPr>
            <w:tcW w:w="923" w:type="pct"/>
            <w:tcBorders>
              <w:top w:val="nil"/>
              <w:bottom w:val="single" w:sz="4" w:space="0" w:color="auto"/>
            </w:tcBorders>
            <w:shd w:val="clear" w:color="auto" w:fill="auto"/>
            <w:vAlign w:val="center"/>
          </w:tcPr>
          <w:p w:rsidR="009178C3" w:rsidRPr="00FE3908" w:rsidRDefault="009178C3" w:rsidP="006E665D">
            <w:pPr>
              <w:bidi/>
              <w:spacing w:before="60" w:after="60" w:line="280" w:lineRule="exact"/>
              <w:ind w:firstLineChars="100" w:firstLine="300"/>
              <w:rPr>
                <w:rFonts w:ascii="Arabic Typesetting" w:hAnsi="Arabic Typesetting" w:cs="Arabic Typesetting"/>
                <w:color w:val="000000"/>
                <w:sz w:val="30"/>
                <w:szCs w:val="30"/>
                <w:rtl/>
                <w:lang w:bidi="ar-EG"/>
              </w:rPr>
            </w:pPr>
            <w:r w:rsidRPr="005D52F1">
              <w:rPr>
                <w:rFonts w:ascii="Arabic Typesetting" w:hAnsi="Arabic Typesetting" w:cs="Arabic Typesetting"/>
                <w:color w:val="000000"/>
                <w:sz w:val="30"/>
                <w:szCs w:val="30"/>
                <w:rtl/>
                <w:lang w:bidi="ar-EG"/>
              </w:rPr>
              <w:t>البرنامج</w:t>
            </w:r>
            <w:r>
              <w:rPr>
                <w:rFonts w:ascii="Arabic Typesetting" w:hAnsi="Arabic Typesetting" w:cs="Arabic Typesetting" w:hint="cs"/>
                <w:color w:val="000000"/>
                <w:sz w:val="30"/>
                <w:szCs w:val="30"/>
                <w:rtl/>
                <w:lang w:bidi="ar-EG"/>
              </w:rPr>
              <w:t xml:space="preserve"> 26</w:t>
            </w:r>
          </w:p>
        </w:tc>
        <w:tc>
          <w:tcPr>
            <w:tcW w:w="456" w:type="pct"/>
            <w:tcBorders>
              <w:top w:val="nil"/>
              <w:bottom w:val="single" w:sz="4" w:space="0" w:color="auto"/>
            </w:tcBorders>
            <w:shd w:val="clear" w:color="auto" w:fill="auto"/>
            <w:vAlign w:val="center"/>
          </w:tcPr>
          <w:p w:rsidR="009178C3" w:rsidRPr="00015299" w:rsidRDefault="009178C3" w:rsidP="006E665D">
            <w:pPr>
              <w:bidi/>
              <w:jc w:val="center"/>
              <w:rPr>
                <w:rFonts w:ascii="Wingdings" w:hAnsi="Wingdings" w:cs="Calibri"/>
                <w:color w:val="008000"/>
                <w:szCs w:val="22"/>
                <w:lang w:bidi="ar-EG"/>
              </w:rPr>
            </w:pPr>
            <w:r w:rsidRPr="00016614">
              <w:rPr>
                <w:rFonts w:ascii="Wingdings" w:hAnsi="Wingdings" w:cs="Calibri"/>
                <w:color w:val="E36C0A" w:themeColor="accent6" w:themeShade="BF"/>
                <w:szCs w:val="22"/>
                <w:lang w:bidi="ar-EG"/>
              </w:rPr>
              <w:t></w:t>
            </w:r>
            <w:r w:rsidRPr="008A6954">
              <w:rPr>
                <w:rFonts w:ascii="Wingdings" w:hAnsi="Wingdings" w:cs="Calibri"/>
                <w:color w:val="10862C"/>
                <w:szCs w:val="22"/>
                <w:lang w:bidi="ar-EG"/>
              </w:rPr>
              <w:t></w:t>
            </w:r>
          </w:p>
        </w:tc>
      </w:tr>
    </w:tbl>
    <w:p w:rsidR="00B31868" w:rsidRPr="00385CA0" w:rsidRDefault="00B31868" w:rsidP="00285760">
      <w:pPr>
        <w:pStyle w:val="Heading3AR"/>
        <w:spacing w:after="120"/>
      </w:pPr>
      <w:bookmarkStart w:id="112" w:name="_Toc450635428"/>
      <w:bookmarkStart w:id="113" w:name="_Toc455393397"/>
      <w:r w:rsidRPr="00385CA0">
        <w:rPr>
          <w:rtl/>
        </w:rPr>
        <w:lastRenderedPageBreak/>
        <w:t>البرنامج 21</w:t>
      </w:r>
      <w:r w:rsidR="00365D19">
        <w:rPr>
          <w:rFonts w:hint="cs"/>
          <w:rtl/>
        </w:rPr>
        <w:t>:</w:t>
      </w:r>
      <w:r w:rsidRPr="00385CA0">
        <w:rPr>
          <w:rtl/>
        </w:rPr>
        <w:tab/>
        <w:t>الإدارة التنفيذية</w:t>
      </w:r>
      <w:bookmarkEnd w:id="112"/>
      <w:bookmarkEnd w:id="113"/>
    </w:p>
    <w:p w:rsidR="00B31868" w:rsidRPr="00086C3F" w:rsidRDefault="00086C3F" w:rsidP="00285760">
      <w:pPr>
        <w:keepNext/>
        <w:bidi/>
        <w:spacing w:after="240" w:line="340" w:lineRule="exact"/>
        <w:ind w:left="1984" w:hanging="1984"/>
        <w:rPr>
          <w:rFonts w:ascii="Arabic Typesetting" w:hAnsi="Arabic Typesetting" w:cs="Arabic Typesetting"/>
          <w:b/>
          <w:bCs/>
          <w:sz w:val="36"/>
          <w:szCs w:val="36"/>
          <w:rtl/>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lang w:val="fr-CH"/>
        </w:rPr>
        <w:tab/>
      </w:r>
      <w:r w:rsidR="00B31868" w:rsidRPr="00086C3F">
        <w:rPr>
          <w:rFonts w:ascii="Arabic Typesetting" w:hAnsi="Arabic Typesetting" w:cs="Arabic Typesetting"/>
          <w:b/>
          <w:bCs/>
          <w:sz w:val="36"/>
          <w:szCs w:val="36"/>
          <w:rtl/>
          <w:lang w:val="fr-CH"/>
        </w:rPr>
        <w:t>المدير العام</w:t>
      </w:r>
    </w:p>
    <w:p w:rsidR="00086C3F" w:rsidRDefault="00086C3F" w:rsidP="00285760">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905E8B" w:rsidRDefault="00B31868" w:rsidP="009A3712">
      <w:pPr>
        <w:numPr>
          <w:ilvl w:val="0"/>
          <w:numId w:val="8"/>
        </w:numPr>
        <w:tabs>
          <w:tab w:val="clear" w:pos="680"/>
        </w:tabs>
        <w:autoSpaceDE w:val="0"/>
        <w:autoSpaceDN w:val="0"/>
        <w:bidi/>
        <w:adjustRightInd w:val="0"/>
        <w:spacing w:after="120" w:line="340" w:lineRule="exact"/>
        <w:ind w:left="-1"/>
        <w:jc w:val="both"/>
        <w:rPr>
          <w:rFonts w:ascii="Arabic Typesetting" w:eastAsia="SimSun" w:hAnsi="Arabic Typesetting" w:cs="Arabic Typesetting"/>
          <w:sz w:val="34"/>
          <w:szCs w:val="34"/>
          <w:lang w:eastAsia="zh-CN"/>
        </w:rPr>
      </w:pPr>
      <w:r w:rsidRPr="00905E8B">
        <w:rPr>
          <w:rFonts w:ascii="Arabic Typesetting" w:eastAsia="SimSun" w:hAnsi="Arabic Typesetting" w:cs="Arabic Typesetting"/>
          <w:sz w:val="34"/>
          <w:szCs w:val="34"/>
          <w:rtl/>
          <w:lang w:eastAsia="zh-CN"/>
        </w:rPr>
        <w:t>لا يزال الالتزام الفعال مع الدول الأعضاء عاملاً حيوياً في إحراز تقدم نحو تحقيق الأهداف الاستراتيجية التسعة للمنظمة. وقد أبرز</w:t>
      </w:r>
      <w:r w:rsidR="000222C9" w:rsidRPr="00905E8B">
        <w:rPr>
          <w:rFonts w:ascii="Arabic Typesetting" w:eastAsia="SimSun" w:hAnsi="Arabic Typesetting" w:cs="Arabic Typesetting" w:hint="cs"/>
          <w:sz w:val="34"/>
          <w:szCs w:val="34"/>
          <w:rtl/>
          <w:lang w:eastAsia="zh-CN"/>
        </w:rPr>
        <w:t xml:space="preserve">ت الثنائية </w:t>
      </w:r>
      <w:r w:rsidR="00507DE2">
        <w:rPr>
          <w:rFonts w:ascii="Arabic Typesetting" w:eastAsia="SimSun" w:hAnsi="Arabic Typesetting" w:cs="Arabic Typesetting" w:hint="cs"/>
          <w:sz w:val="34"/>
          <w:szCs w:val="34"/>
          <w:rtl/>
          <w:lang w:eastAsia="zh-CN"/>
        </w:rPr>
        <w:t>2014/15</w:t>
      </w:r>
      <w:r w:rsidRPr="00905E8B">
        <w:rPr>
          <w:rFonts w:ascii="Arabic Typesetting" w:eastAsia="SimSun" w:hAnsi="Arabic Typesetting" w:cs="Arabic Typesetting"/>
          <w:sz w:val="34"/>
          <w:szCs w:val="34"/>
          <w:rtl/>
          <w:lang w:eastAsia="zh-CN"/>
        </w:rPr>
        <w:t xml:space="preserve"> تحديات في مجالات كثيرة حيث سعت الدول الأعضاء إلى تحقيق توافق في الآراء </w:t>
      </w:r>
      <w:r w:rsidR="000222C9" w:rsidRPr="00905E8B">
        <w:rPr>
          <w:rFonts w:ascii="Arabic Typesetting" w:eastAsia="SimSun" w:hAnsi="Arabic Typesetting" w:cs="Arabic Typesetting" w:hint="cs"/>
          <w:sz w:val="34"/>
          <w:szCs w:val="34"/>
          <w:rtl/>
          <w:lang w:eastAsia="zh-CN"/>
        </w:rPr>
        <w:t>بشأن</w:t>
      </w:r>
      <w:r w:rsidR="000222C9" w:rsidRPr="00905E8B">
        <w:rPr>
          <w:rFonts w:ascii="Arabic Typesetting" w:eastAsia="SimSun" w:hAnsi="Arabic Typesetting" w:cs="Arabic Typesetting"/>
          <w:sz w:val="34"/>
          <w:szCs w:val="34"/>
          <w:rtl/>
          <w:lang w:eastAsia="zh-CN"/>
        </w:rPr>
        <w:t xml:space="preserve"> </w:t>
      </w:r>
      <w:r w:rsidRPr="00905E8B">
        <w:rPr>
          <w:rFonts w:ascii="Arabic Typesetting" w:eastAsia="SimSun" w:hAnsi="Arabic Typesetting" w:cs="Arabic Typesetting"/>
          <w:sz w:val="34"/>
          <w:szCs w:val="34"/>
          <w:rtl/>
          <w:lang w:eastAsia="zh-CN"/>
        </w:rPr>
        <w:t>الأهداف الاستراتيجية. وفي هذا الصدد، ترأس المدير العام مناقشات م</w:t>
      </w:r>
      <w:r w:rsidRPr="00905E8B">
        <w:rPr>
          <w:rFonts w:ascii="Arabic Typesetting" w:eastAsia="SimSun" w:hAnsi="Arabic Typesetting" w:cs="Arabic Typesetting" w:hint="cs"/>
          <w:sz w:val="34"/>
          <w:szCs w:val="34"/>
          <w:rtl/>
          <w:lang w:eastAsia="zh-CN"/>
        </w:rPr>
        <w:t>ُ</w:t>
      </w:r>
      <w:r w:rsidRPr="00905E8B">
        <w:rPr>
          <w:rFonts w:ascii="Arabic Typesetting" w:eastAsia="SimSun" w:hAnsi="Arabic Typesetting" w:cs="Arabic Typesetting"/>
          <w:sz w:val="34"/>
          <w:szCs w:val="34"/>
          <w:rtl/>
          <w:lang w:eastAsia="zh-CN"/>
        </w:rPr>
        <w:t>رك</w:t>
      </w:r>
      <w:r w:rsidRPr="00905E8B">
        <w:rPr>
          <w:rFonts w:ascii="Arabic Typesetting" w:eastAsia="SimSun" w:hAnsi="Arabic Typesetting" w:cs="Arabic Typesetting" w:hint="cs"/>
          <w:sz w:val="34"/>
          <w:szCs w:val="34"/>
          <w:rtl/>
          <w:lang w:eastAsia="zh-CN"/>
        </w:rPr>
        <w:t>َّ</w:t>
      </w:r>
      <w:r w:rsidRPr="00905E8B">
        <w:rPr>
          <w:rFonts w:ascii="Arabic Typesetting" w:eastAsia="SimSun" w:hAnsi="Arabic Typesetting" w:cs="Arabic Typesetting"/>
          <w:sz w:val="34"/>
          <w:szCs w:val="34"/>
          <w:rtl/>
          <w:lang w:eastAsia="zh-CN"/>
        </w:rPr>
        <w:t xml:space="preserve">زة مع الدول الأعضاء في شتى المنتديات للمساعدة في ذلك ولتوفير بيئة </w:t>
      </w:r>
      <w:proofErr w:type="spellStart"/>
      <w:r w:rsidR="000222C9" w:rsidRPr="00905E8B">
        <w:rPr>
          <w:rFonts w:ascii="Arabic Typesetting" w:eastAsia="SimSun" w:hAnsi="Arabic Typesetting" w:cs="Arabic Typesetting"/>
          <w:sz w:val="34"/>
          <w:szCs w:val="34"/>
          <w:rtl/>
          <w:lang w:eastAsia="zh-CN"/>
        </w:rPr>
        <w:t>م</w:t>
      </w:r>
      <w:r w:rsidR="000222C9" w:rsidRPr="00905E8B">
        <w:rPr>
          <w:rFonts w:ascii="Arabic Typesetting" w:eastAsia="SimSun" w:hAnsi="Arabic Typesetting" w:cs="Arabic Typesetting" w:hint="cs"/>
          <w:sz w:val="34"/>
          <w:szCs w:val="34"/>
          <w:rtl/>
          <w:lang w:eastAsia="zh-CN"/>
        </w:rPr>
        <w:t>ؤ</w:t>
      </w:r>
      <w:r w:rsidR="000222C9" w:rsidRPr="00905E8B">
        <w:rPr>
          <w:rFonts w:ascii="Arabic Typesetting" w:eastAsia="SimSun" w:hAnsi="Arabic Typesetting" w:cs="Arabic Typesetting"/>
          <w:sz w:val="34"/>
          <w:szCs w:val="34"/>
          <w:rtl/>
          <w:lang w:eastAsia="zh-CN"/>
        </w:rPr>
        <w:t>اتية</w:t>
      </w:r>
      <w:proofErr w:type="spellEnd"/>
      <w:r w:rsidR="000222C9" w:rsidRPr="00905E8B">
        <w:rPr>
          <w:rFonts w:ascii="Arabic Typesetting" w:eastAsia="SimSun" w:hAnsi="Arabic Typesetting" w:cs="Arabic Typesetting"/>
          <w:sz w:val="34"/>
          <w:szCs w:val="34"/>
          <w:rtl/>
          <w:lang w:eastAsia="zh-CN"/>
        </w:rPr>
        <w:t xml:space="preserve"> </w:t>
      </w:r>
      <w:r w:rsidRPr="00905E8B">
        <w:rPr>
          <w:rFonts w:ascii="Arabic Typesetting" w:eastAsia="SimSun" w:hAnsi="Arabic Typesetting" w:cs="Arabic Typesetting"/>
          <w:sz w:val="34"/>
          <w:szCs w:val="34"/>
          <w:rtl/>
          <w:lang w:eastAsia="zh-CN"/>
        </w:rPr>
        <w:t xml:space="preserve">لتحقيق توافق الآراء. </w:t>
      </w:r>
      <w:r w:rsidR="000222C9" w:rsidRPr="00905E8B">
        <w:rPr>
          <w:rFonts w:ascii="Arabic Typesetting" w:eastAsia="SimSun" w:hAnsi="Arabic Typesetting" w:cs="Arabic Typesetting" w:hint="cs"/>
          <w:sz w:val="34"/>
          <w:szCs w:val="34"/>
          <w:rtl/>
          <w:lang w:eastAsia="zh-CN"/>
        </w:rPr>
        <w:t xml:space="preserve">وأحرز تقدم في بعض المجالات ولا سيما توافق آراء الدول الأعضاء بعد سنوات عدة من </w:t>
      </w:r>
      <w:proofErr w:type="spellStart"/>
      <w:r w:rsidR="000222C9" w:rsidRPr="00905E8B">
        <w:rPr>
          <w:rFonts w:ascii="Arabic Typesetting" w:eastAsia="SimSun" w:hAnsi="Arabic Typesetting" w:cs="Arabic Typesetting" w:hint="cs"/>
          <w:sz w:val="34"/>
          <w:szCs w:val="34"/>
          <w:rtl/>
          <w:lang w:eastAsia="zh-CN"/>
        </w:rPr>
        <w:t>المفواضات</w:t>
      </w:r>
      <w:proofErr w:type="spellEnd"/>
      <w:r w:rsidR="000222C9" w:rsidRPr="00905E8B">
        <w:rPr>
          <w:rFonts w:ascii="Arabic Typesetting" w:eastAsia="SimSun" w:hAnsi="Arabic Typesetting" w:cs="Arabic Typesetting" w:hint="cs"/>
          <w:sz w:val="34"/>
          <w:szCs w:val="34"/>
          <w:rtl/>
          <w:lang w:eastAsia="zh-CN"/>
        </w:rPr>
        <w:t xml:space="preserve"> المعقدة على سبل المضي قدماً في فتح مكاتب خارجية جديدة للويبو. ومع ذلك، فإن توافق الآراء لا يزال بعيداً في مجالات أخرى وبخاصة مجال وضع القواعد والمعايير.</w:t>
      </w:r>
      <w:r w:rsidR="00905E8B">
        <w:rPr>
          <w:rFonts w:ascii="Arabic Typesetting" w:eastAsia="SimSun" w:hAnsi="Arabic Typesetting" w:cs="Arabic Typesetting" w:hint="cs"/>
          <w:sz w:val="34"/>
          <w:szCs w:val="34"/>
          <w:rtl/>
          <w:lang w:eastAsia="zh-CN"/>
        </w:rPr>
        <w:t xml:space="preserve"> </w:t>
      </w:r>
      <w:r w:rsidR="00905E8B" w:rsidRPr="00905E8B">
        <w:rPr>
          <w:rFonts w:ascii="Arabic Typesetting" w:eastAsia="SimSun" w:hAnsi="Arabic Typesetting" w:cs="Arabic Typesetting" w:hint="cs"/>
          <w:sz w:val="34"/>
          <w:szCs w:val="34"/>
          <w:rtl/>
          <w:lang w:eastAsia="zh-CN"/>
        </w:rPr>
        <w:t>و</w:t>
      </w:r>
      <w:r w:rsidRPr="00905E8B">
        <w:rPr>
          <w:rFonts w:ascii="Arabic Typesetting" w:eastAsia="SimSun" w:hAnsi="Arabic Typesetting" w:cs="Arabic Typesetting"/>
          <w:sz w:val="34"/>
          <w:szCs w:val="34"/>
          <w:rtl/>
          <w:lang w:eastAsia="zh-CN"/>
        </w:rPr>
        <w:t xml:space="preserve">استمرت آليات التواصل ذاتها، مثل </w:t>
      </w:r>
      <w:r w:rsidRPr="00905E8B">
        <w:rPr>
          <w:rFonts w:ascii="Arabic Typesetting" w:eastAsia="SimSun" w:hAnsi="Arabic Typesetting" w:cs="Arabic Typesetting" w:hint="cs"/>
          <w:sz w:val="34"/>
          <w:szCs w:val="34"/>
          <w:rtl/>
          <w:lang w:eastAsia="zh-CN"/>
        </w:rPr>
        <w:t>جلسات إحاطة</w:t>
      </w:r>
      <w:r w:rsidRPr="00905E8B">
        <w:rPr>
          <w:rFonts w:ascii="Arabic Typesetting" w:eastAsia="SimSun" w:hAnsi="Arabic Typesetting" w:cs="Arabic Typesetting"/>
          <w:sz w:val="34"/>
          <w:szCs w:val="34"/>
          <w:rtl/>
          <w:lang w:eastAsia="zh-CN"/>
        </w:rPr>
        <w:t xml:space="preserve"> السفراء، في توفير وسيلة لا غنى عنها لتلقي الآراء والمشورة من أجل تعزيز التقدم المحرز </w:t>
      </w:r>
      <w:r w:rsidRPr="00905E8B">
        <w:rPr>
          <w:rFonts w:ascii="Arabic Typesetting" w:eastAsia="SimSun" w:hAnsi="Arabic Typesetting" w:cs="Arabic Typesetting" w:hint="cs"/>
          <w:sz w:val="34"/>
          <w:szCs w:val="34"/>
          <w:rtl/>
          <w:lang w:eastAsia="zh-CN"/>
        </w:rPr>
        <w:t xml:space="preserve">بشأن كثير من </w:t>
      </w:r>
      <w:r w:rsidRPr="00905E8B">
        <w:rPr>
          <w:rFonts w:ascii="Arabic Typesetting" w:eastAsia="SimSun" w:hAnsi="Arabic Typesetting" w:cs="Arabic Typesetting"/>
          <w:sz w:val="34"/>
          <w:szCs w:val="34"/>
          <w:rtl/>
          <w:lang w:eastAsia="zh-CN"/>
        </w:rPr>
        <w:t>المسائل.</w:t>
      </w:r>
    </w:p>
    <w:p w:rsidR="00B31868" w:rsidRPr="00B31868" w:rsidRDefault="00B31868" w:rsidP="009A3712">
      <w:pPr>
        <w:numPr>
          <w:ilvl w:val="0"/>
          <w:numId w:val="8"/>
        </w:numPr>
        <w:tabs>
          <w:tab w:val="clear" w:pos="680"/>
        </w:tabs>
        <w:autoSpaceDE w:val="0"/>
        <w:autoSpaceDN w:val="0"/>
        <w:bidi/>
        <w:adjustRightInd w:val="0"/>
        <w:spacing w:after="120" w:line="340" w:lineRule="exact"/>
        <w:ind w:left="-1"/>
        <w:jc w:val="both"/>
        <w:rPr>
          <w:rFonts w:ascii="Arabic Typesetting" w:eastAsia="SimSun" w:hAnsi="Arabic Typesetting" w:cs="Arabic Typesetting"/>
          <w:sz w:val="34"/>
          <w:szCs w:val="34"/>
          <w:lang w:eastAsia="zh-CN"/>
        </w:rPr>
      </w:pPr>
      <w:r w:rsidRPr="00B31868">
        <w:rPr>
          <w:rFonts w:ascii="Arabic Typesetting" w:eastAsia="SimSun" w:hAnsi="Arabic Typesetting" w:cs="Arabic Typesetting"/>
          <w:sz w:val="34"/>
          <w:szCs w:val="34"/>
          <w:rtl/>
          <w:lang w:eastAsia="zh-CN"/>
        </w:rPr>
        <w:t>و</w:t>
      </w:r>
      <w:r w:rsidRPr="00B31868">
        <w:rPr>
          <w:rFonts w:ascii="Arabic Typesetting" w:eastAsia="SimSun" w:hAnsi="Arabic Typesetting" w:cs="Arabic Typesetting" w:hint="cs"/>
          <w:sz w:val="34"/>
          <w:szCs w:val="34"/>
          <w:rtl/>
          <w:lang w:eastAsia="zh-CN"/>
        </w:rPr>
        <w:t xml:space="preserve">شكَّل </w:t>
      </w:r>
      <w:r w:rsidRPr="00B31868">
        <w:rPr>
          <w:rFonts w:ascii="Arabic Typesetting" w:eastAsia="SimSun" w:hAnsi="Arabic Typesetting" w:cs="Arabic Typesetting"/>
          <w:sz w:val="34"/>
          <w:szCs w:val="34"/>
          <w:rtl/>
          <w:lang w:eastAsia="zh-CN"/>
        </w:rPr>
        <w:t xml:space="preserve">الالتزام الداخلي أيضاً جزءاً مهماً في تنفيذ البرنامج ودفع التقدم نحو تحقيق الأهداف الاستراتيجية. وظل التواصل مع الموظفين، من خلال جلسات الإحاطة الدورية التي عقدها المدير العام والتي عُقدت في المنتديات الأخرى، جزءاً حيوياً في توضيح التغيير الضروري وإقناع الأطراف المعنية به. </w:t>
      </w:r>
      <w:r w:rsidR="00905E8B">
        <w:rPr>
          <w:rFonts w:ascii="Arabic Typesetting" w:eastAsia="SimSun" w:hAnsi="Arabic Typesetting" w:cs="Arabic Typesetting" w:hint="cs"/>
          <w:sz w:val="34"/>
          <w:szCs w:val="34"/>
          <w:rtl/>
          <w:lang w:eastAsia="zh-CN"/>
        </w:rPr>
        <w:t>و</w:t>
      </w:r>
      <w:r w:rsidRPr="00B31868">
        <w:rPr>
          <w:rFonts w:ascii="Arabic Typesetting" w:eastAsia="SimSun" w:hAnsi="Arabic Typesetting" w:cs="Arabic Typesetting"/>
          <w:sz w:val="34"/>
          <w:szCs w:val="34"/>
          <w:rtl/>
          <w:lang w:eastAsia="zh-CN"/>
        </w:rPr>
        <w:t xml:space="preserve">قدمت جلساتُ </w:t>
      </w:r>
      <w:r w:rsidRPr="00B31868">
        <w:rPr>
          <w:rFonts w:ascii="Arabic Typesetting" w:eastAsia="SimSun" w:hAnsi="Arabic Typesetting" w:cs="Arabic Typesetting" w:hint="cs"/>
          <w:sz w:val="34"/>
          <w:szCs w:val="34"/>
          <w:rtl/>
          <w:lang w:eastAsia="zh-CN"/>
        </w:rPr>
        <w:t>ف</w:t>
      </w:r>
      <w:r w:rsidRPr="00B31868">
        <w:rPr>
          <w:rFonts w:ascii="Arabic Typesetting" w:eastAsia="SimSun" w:hAnsi="Arabic Typesetting" w:cs="Arabic Typesetting"/>
          <w:sz w:val="34"/>
          <w:szCs w:val="34"/>
          <w:rtl/>
          <w:lang w:eastAsia="zh-CN"/>
        </w:rPr>
        <w:t>ريق الإدارة العليا الدورية توجيهاً للوحدات التنظيمية، ففُعّلت القرارات الاستراتيجية.</w:t>
      </w:r>
      <w:r w:rsidRPr="00B31868">
        <w:rPr>
          <w:rFonts w:ascii="Arabic Typesetting" w:eastAsia="SimSun" w:hAnsi="Arabic Typesetting" w:cs="Arabic Typesetting"/>
          <w:sz w:val="34"/>
          <w:szCs w:val="34"/>
          <w:rtl/>
          <w:lang w:eastAsia="zh-CN" w:bidi="ar-EG"/>
        </w:rPr>
        <w:t xml:space="preserve"> وكان بدء الولاية الثانية للمدير العام بمثابة فرصة لضخ طاقات وأفكار جديدة في فريق الإدارة العليا، وذلك بإدخال أربعة أعضاء جدد مع الإبقاء على خبرات أربعة أعضاء من فريق الإدارة العليا السابق. </w:t>
      </w:r>
      <w:r w:rsidR="00905E8B">
        <w:rPr>
          <w:rFonts w:ascii="Arabic Typesetting" w:eastAsia="SimSun" w:hAnsi="Arabic Typesetting" w:cs="Arabic Typesetting" w:hint="cs"/>
          <w:sz w:val="34"/>
          <w:szCs w:val="34"/>
          <w:rtl/>
          <w:lang w:eastAsia="zh-CN" w:bidi="ar-EG"/>
        </w:rPr>
        <w:t>ووسِّع</w:t>
      </w:r>
      <w:r w:rsidRPr="00B31868">
        <w:rPr>
          <w:rFonts w:ascii="Arabic Typesetting" w:eastAsia="SimSun" w:hAnsi="Arabic Typesetting" w:cs="Arabic Typesetting"/>
          <w:sz w:val="34"/>
          <w:szCs w:val="34"/>
          <w:rtl/>
          <w:lang w:eastAsia="zh-CN" w:bidi="ar-EG"/>
        </w:rPr>
        <w:t xml:space="preserve"> فريق الإدارة العليا</w:t>
      </w:r>
      <w:r w:rsidR="00905E8B">
        <w:rPr>
          <w:rFonts w:ascii="Arabic Typesetting" w:eastAsia="SimSun" w:hAnsi="Arabic Typesetting" w:cs="Arabic Typesetting" w:hint="cs"/>
          <w:sz w:val="34"/>
          <w:szCs w:val="34"/>
          <w:rtl/>
          <w:lang w:eastAsia="zh-CN" w:bidi="ar-EG"/>
        </w:rPr>
        <w:t xml:space="preserve"> أيضاً ليضم</w:t>
      </w:r>
      <w:r w:rsidRPr="00B31868">
        <w:rPr>
          <w:rFonts w:ascii="Arabic Typesetting" w:eastAsia="SimSun" w:hAnsi="Arabic Typesetting" w:cs="Arabic Typesetting"/>
          <w:sz w:val="34"/>
          <w:szCs w:val="34"/>
          <w:rtl/>
          <w:lang w:eastAsia="zh-CN" w:bidi="ar-EG"/>
        </w:rPr>
        <w:t xml:space="preserve"> مديرين مسؤولين عن الموارد البشرية والشؤون القانونية وعناصر شاملة مهمة في اتخاذ قرارات استراتيجية في كل المجالات. </w:t>
      </w:r>
      <w:r w:rsidRPr="00B31868">
        <w:rPr>
          <w:rFonts w:ascii="Arabic Typesetting" w:eastAsia="SimSun" w:hAnsi="Arabic Typesetting" w:cs="Arabic Typesetting" w:hint="cs"/>
          <w:sz w:val="34"/>
          <w:szCs w:val="34"/>
          <w:rtl/>
          <w:lang w:eastAsia="zh-CN" w:bidi="ar-EG"/>
        </w:rPr>
        <w:t>وبعد</w:t>
      </w:r>
      <w:r w:rsidRPr="00B31868">
        <w:rPr>
          <w:rFonts w:ascii="Arabic Typesetting" w:eastAsia="SimSun" w:hAnsi="Arabic Typesetting" w:cs="Arabic Typesetting"/>
          <w:sz w:val="34"/>
          <w:szCs w:val="34"/>
          <w:rtl/>
          <w:lang w:eastAsia="zh-CN" w:bidi="ar-EG"/>
        </w:rPr>
        <w:t xml:space="preserve"> إتمام برنامج التقويم الاستراتيجي في عام 2013 بنجاح، اضطلع فريق الإدارة العليا بدور مهم في ضمان الحفاظ على المكاسب المحققة من برنامج التقويم الاستراتيجي فيما يتعلق بالثقافة والقيم، وكفاءة أساليب العمل، و</w:t>
      </w:r>
      <w:r w:rsidRPr="00B31868">
        <w:rPr>
          <w:rFonts w:ascii="Arabic Typesetting" w:eastAsia="SimSun" w:hAnsi="Arabic Typesetting" w:cs="Arabic Typesetting" w:hint="cs"/>
          <w:sz w:val="34"/>
          <w:szCs w:val="34"/>
          <w:rtl/>
          <w:lang w:eastAsia="zh-CN" w:bidi="ar-EG"/>
        </w:rPr>
        <w:t xml:space="preserve">تحسين </w:t>
      </w:r>
      <w:r w:rsidRPr="00B31868">
        <w:rPr>
          <w:rFonts w:ascii="Arabic Typesetting" w:eastAsia="SimSun" w:hAnsi="Arabic Typesetting" w:cs="Arabic Typesetting"/>
          <w:sz w:val="34"/>
          <w:szCs w:val="34"/>
          <w:rtl/>
          <w:lang w:eastAsia="zh-CN" w:bidi="ar-EG"/>
        </w:rPr>
        <w:t xml:space="preserve">توافق </w:t>
      </w:r>
      <w:r w:rsidRPr="00B31868">
        <w:rPr>
          <w:rFonts w:ascii="Arabic Typesetting" w:eastAsia="SimSun" w:hAnsi="Arabic Typesetting" w:cs="Arabic Typesetting" w:hint="cs"/>
          <w:sz w:val="34"/>
          <w:szCs w:val="34"/>
          <w:rtl/>
          <w:lang w:eastAsia="zh-CN" w:bidi="ar-EG"/>
        </w:rPr>
        <w:t>ا</w:t>
      </w:r>
      <w:r w:rsidRPr="00B31868">
        <w:rPr>
          <w:rFonts w:ascii="Arabic Typesetting" w:eastAsia="SimSun" w:hAnsi="Arabic Typesetting" w:cs="Arabic Typesetting"/>
          <w:sz w:val="34"/>
          <w:szCs w:val="34"/>
          <w:rtl/>
          <w:lang w:eastAsia="zh-CN" w:bidi="ar-EG"/>
        </w:rPr>
        <w:t>لبرامج والهيكل والموارد مع الأهداف الاستراتيجية.</w:t>
      </w:r>
    </w:p>
    <w:p w:rsidR="00B31868" w:rsidRDefault="00B31868" w:rsidP="009A3712">
      <w:pPr>
        <w:numPr>
          <w:ilvl w:val="0"/>
          <w:numId w:val="8"/>
        </w:numPr>
        <w:tabs>
          <w:tab w:val="clear" w:pos="680"/>
        </w:tabs>
        <w:autoSpaceDE w:val="0"/>
        <w:autoSpaceDN w:val="0"/>
        <w:bidi/>
        <w:adjustRightInd w:val="0"/>
        <w:spacing w:after="120" w:line="340" w:lineRule="exact"/>
        <w:ind w:left="-1"/>
        <w:jc w:val="both"/>
        <w:rPr>
          <w:rFonts w:ascii="Arabic Typesetting" w:eastAsia="SimSun" w:hAnsi="Arabic Typesetting" w:cs="Arabic Typesetting"/>
          <w:sz w:val="34"/>
          <w:szCs w:val="34"/>
          <w:lang w:eastAsia="zh-CN"/>
        </w:rPr>
      </w:pPr>
      <w:r w:rsidRPr="005D2D05">
        <w:rPr>
          <w:rFonts w:ascii="Arabic Typesetting" w:eastAsia="SimSun" w:hAnsi="Arabic Typesetting" w:cs="Arabic Typesetting"/>
          <w:sz w:val="34"/>
          <w:szCs w:val="34"/>
          <w:rtl/>
          <w:lang w:eastAsia="zh-CN"/>
        </w:rPr>
        <w:t xml:space="preserve">وواصل مكتب المستشار القانوني تقديم مشورة وخدمات قانونية سريعة وجديرة بالثقة وتتماشى مع المتطلبات التشريعية والقانون الساري إلى المدير العام والأمانة والدول الأعضاء بشأن الأمور الدستورية ومسائل العقود وقانون المعاهدات والشؤون الإدارية والأمور المتعلقة بالموارد البشرية، في ظل الطلب الشديد، والمتزايد في بعض المجالات. </w:t>
      </w:r>
      <w:r w:rsidR="00905E8B" w:rsidRPr="005D2D05">
        <w:rPr>
          <w:rFonts w:ascii="Arabic Typesetting" w:eastAsia="SimSun" w:hAnsi="Arabic Typesetting" w:cs="Arabic Typesetting" w:hint="cs"/>
          <w:sz w:val="34"/>
          <w:szCs w:val="34"/>
          <w:rtl/>
          <w:lang w:eastAsia="zh-CN"/>
        </w:rPr>
        <w:t xml:space="preserve">وشارك مكتب المستشار القانوني مشاركة كبيرة في مسار ترشيح المدير العام وتعيينه في عام 2014 فضلاً عن تقديم الدعم القانوني والمساعدة القانونية إلى المؤتمر الدبلوماسي المعني باعتماد وثيقة جديدة لاتفاق لشبونة في مايو 2015. وكان أحد التحديات الرئيسية في الثنائية </w:t>
      </w:r>
      <w:r w:rsidR="00507DE2">
        <w:rPr>
          <w:rFonts w:ascii="Arabic Typesetting" w:eastAsia="SimSun" w:hAnsi="Arabic Typesetting" w:cs="Arabic Typesetting" w:hint="cs"/>
          <w:sz w:val="34"/>
          <w:szCs w:val="34"/>
          <w:rtl/>
          <w:lang w:eastAsia="zh-CN"/>
        </w:rPr>
        <w:t>2014/15</w:t>
      </w:r>
      <w:r w:rsidR="00905E8B" w:rsidRPr="005D2D05">
        <w:rPr>
          <w:rFonts w:ascii="Arabic Typesetting" w:eastAsia="SimSun" w:hAnsi="Arabic Typesetting" w:cs="Arabic Typesetting" w:hint="cs"/>
          <w:sz w:val="34"/>
          <w:szCs w:val="34"/>
          <w:rtl/>
          <w:lang w:eastAsia="zh-CN"/>
        </w:rPr>
        <w:t xml:space="preserve"> </w:t>
      </w:r>
      <w:r w:rsidRPr="005D2D05">
        <w:rPr>
          <w:rFonts w:ascii="Arabic Typesetting" w:eastAsia="SimSun" w:hAnsi="Arabic Typesetting" w:cs="Arabic Typesetting"/>
          <w:sz w:val="34"/>
          <w:szCs w:val="34"/>
          <w:rtl/>
          <w:lang w:eastAsia="zh-CN"/>
        </w:rPr>
        <w:t xml:space="preserve">بدء إدارة جديدة لنظام العدالة الذي دخل حيز التنفيذ في 1 يناير 2014. واستطاع مكتب المستشار القانوني أن يتكيف بسهولة مع النظام الجديد في تمثيل الإدارة في تظلمات الموظفين وشكاويهم. وعمل مكتب المستشار القانوني على ضمان تنفيذ مهام إيداع المعاهدات التي تديرها الويبو تنفيذاً فعالاً </w:t>
      </w:r>
      <w:r w:rsidR="00905E8B" w:rsidRPr="005D2D05">
        <w:rPr>
          <w:rFonts w:ascii="Arabic Typesetting" w:eastAsia="SimSun" w:hAnsi="Arabic Typesetting" w:cs="Arabic Typesetting" w:hint="cs"/>
          <w:sz w:val="34"/>
          <w:szCs w:val="34"/>
          <w:rtl/>
          <w:lang w:eastAsia="zh-CN"/>
        </w:rPr>
        <w:t>على الرغم من</w:t>
      </w:r>
      <w:r w:rsidR="00905E8B" w:rsidRPr="005D2D05">
        <w:rPr>
          <w:rFonts w:ascii="Arabic Typesetting" w:eastAsia="SimSun" w:hAnsi="Arabic Typesetting" w:cs="Arabic Typesetting"/>
          <w:sz w:val="34"/>
          <w:szCs w:val="34"/>
          <w:rtl/>
          <w:lang w:eastAsia="zh-CN"/>
        </w:rPr>
        <w:t xml:space="preserve"> </w:t>
      </w:r>
      <w:r w:rsidRPr="005D2D05">
        <w:rPr>
          <w:rFonts w:ascii="Arabic Typesetting" w:eastAsia="SimSun" w:hAnsi="Arabic Typesetting" w:cs="Arabic Typesetting"/>
          <w:sz w:val="34"/>
          <w:szCs w:val="34"/>
          <w:rtl/>
          <w:lang w:eastAsia="zh-CN"/>
        </w:rPr>
        <w:t xml:space="preserve">تزايد عدد طلبات المشورة. </w:t>
      </w:r>
      <w:r w:rsidR="00905E8B" w:rsidRPr="005D2D05">
        <w:rPr>
          <w:rFonts w:ascii="Arabic Typesetting" w:eastAsia="SimSun" w:hAnsi="Arabic Typesetting" w:cs="Arabic Typesetting" w:hint="cs"/>
          <w:sz w:val="34"/>
          <w:szCs w:val="34"/>
          <w:rtl/>
          <w:lang w:eastAsia="zh-CN"/>
        </w:rPr>
        <w:t xml:space="preserve">وسجلت </w:t>
      </w:r>
      <w:r w:rsidRPr="005D2D05">
        <w:rPr>
          <w:rFonts w:ascii="Arabic Typesetting" w:eastAsia="SimSun" w:hAnsi="Arabic Typesetting" w:cs="Arabic Typesetting"/>
          <w:sz w:val="34"/>
          <w:szCs w:val="34"/>
          <w:rtl/>
          <w:lang w:eastAsia="zh-CN"/>
        </w:rPr>
        <w:t>قاعدة بيانات الويبو القانونية (</w:t>
      </w:r>
      <w:r w:rsidR="00905E8B" w:rsidRPr="005D2D05">
        <w:rPr>
          <w:rFonts w:ascii="Arabic Typesetting" w:eastAsia="SimSun" w:hAnsi="Arabic Typesetting" w:cs="Arabic Typesetting"/>
          <w:sz w:val="34"/>
          <w:szCs w:val="34"/>
          <w:lang w:eastAsia="zh-CN"/>
        </w:rPr>
        <w:t>WIPO </w:t>
      </w:r>
      <w:r w:rsidRPr="005D2D05">
        <w:rPr>
          <w:rFonts w:ascii="Arabic Typesetting" w:eastAsia="SimSun" w:hAnsi="Arabic Typesetting" w:cs="Arabic Typesetting"/>
          <w:sz w:val="34"/>
          <w:szCs w:val="34"/>
          <w:lang w:eastAsia="zh-CN"/>
        </w:rPr>
        <w:t>Lex</w:t>
      </w:r>
      <w:r w:rsidRPr="005D2D05">
        <w:rPr>
          <w:rFonts w:ascii="Arabic Typesetting" w:eastAsia="SimSun" w:hAnsi="Arabic Typesetting" w:cs="Arabic Typesetting"/>
          <w:sz w:val="34"/>
          <w:szCs w:val="34"/>
          <w:rtl/>
          <w:lang w:eastAsia="zh-CN"/>
        </w:rPr>
        <w:t xml:space="preserve">) </w:t>
      </w:r>
      <w:r w:rsidR="005D2D05" w:rsidRPr="005D2D05">
        <w:rPr>
          <w:rFonts w:ascii="Arabic Typesetting" w:eastAsia="SimSun" w:hAnsi="Arabic Typesetting" w:cs="Arabic Typesetting" w:hint="cs"/>
          <w:sz w:val="34"/>
          <w:szCs w:val="34"/>
          <w:rtl/>
          <w:lang w:eastAsia="zh-CN"/>
        </w:rPr>
        <w:t xml:space="preserve">في الثنائية </w:t>
      </w:r>
      <w:r w:rsidR="00507DE2">
        <w:rPr>
          <w:rFonts w:ascii="Arabic Typesetting" w:eastAsia="SimSun" w:hAnsi="Arabic Typesetting" w:cs="Arabic Typesetting" w:hint="cs"/>
          <w:sz w:val="34"/>
          <w:szCs w:val="34"/>
          <w:rtl/>
          <w:lang w:eastAsia="zh-CN"/>
        </w:rPr>
        <w:t>2014/15</w:t>
      </w:r>
      <w:r w:rsidR="005D2D05" w:rsidRPr="005D2D05">
        <w:rPr>
          <w:rFonts w:ascii="Arabic Typesetting" w:eastAsia="SimSun" w:hAnsi="Arabic Typesetting" w:cs="Arabic Typesetting" w:hint="cs"/>
          <w:sz w:val="34"/>
          <w:szCs w:val="34"/>
          <w:rtl/>
          <w:lang w:eastAsia="zh-CN"/>
        </w:rPr>
        <w:t xml:space="preserve"> زيارة أكثر من 3.3 مليون مستخدم في شتى أنحاء العالم مقارنة بالثنائية </w:t>
      </w:r>
      <w:r w:rsidR="00507DE2">
        <w:rPr>
          <w:rFonts w:ascii="Arabic Typesetting" w:eastAsia="SimSun" w:hAnsi="Arabic Typesetting" w:cs="Arabic Typesetting" w:hint="cs"/>
          <w:sz w:val="34"/>
          <w:szCs w:val="34"/>
          <w:rtl/>
          <w:lang w:eastAsia="zh-CN"/>
        </w:rPr>
        <w:t>2012/13</w:t>
      </w:r>
      <w:r w:rsidR="005D2D05" w:rsidRPr="005D2D05">
        <w:rPr>
          <w:rFonts w:ascii="Arabic Typesetting" w:eastAsia="SimSun" w:hAnsi="Arabic Typesetting" w:cs="Arabic Typesetting" w:hint="cs"/>
          <w:sz w:val="34"/>
          <w:szCs w:val="34"/>
          <w:rtl/>
          <w:lang w:eastAsia="zh-CN"/>
        </w:rPr>
        <w:t xml:space="preserve"> الذي سجل 2.2 مليون زيارة. و</w:t>
      </w:r>
      <w:r w:rsidRPr="005D2D05">
        <w:rPr>
          <w:rFonts w:ascii="Arabic Typesetting" w:eastAsia="SimSun" w:hAnsi="Arabic Typesetting" w:cs="Arabic Typesetting"/>
          <w:sz w:val="34"/>
          <w:szCs w:val="34"/>
          <w:rtl/>
          <w:lang w:eastAsia="zh-CN"/>
        </w:rPr>
        <w:t>ركز مكتب المستشار القانوني تركيزاً كبيراً على التفاعل مع أصحاب المص</w:t>
      </w:r>
      <w:r w:rsidRPr="005D2D05">
        <w:rPr>
          <w:rFonts w:ascii="Arabic Typesetting" w:eastAsia="SimSun" w:hAnsi="Arabic Typesetting" w:cs="Arabic Typesetting" w:hint="cs"/>
          <w:sz w:val="34"/>
          <w:szCs w:val="34"/>
          <w:rtl/>
          <w:lang w:eastAsia="zh-CN"/>
        </w:rPr>
        <w:t>ا</w:t>
      </w:r>
      <w:r w:rsidRPr="005D2D05">
        <w:rPr>
          <w:rFonts w:ascii="Arabic Typesetting" w:eastAsia="SimSun" w:hAnsi="Arabic Typesetting" w:cs="Arabic Typesetting"/>
          <w:sz w:val="34"/>
          <w:szCs w:val="34"/>
          <w:rtl/>
          <w:lang w:eastAsia="zh-CN"/>
        </w:rPr>
        <w:t>لح غير الحكوميين</w:t>
      </w:r>
      <w:r w:rsidR="005D2D05" w:rsidRPr="005D2D05">
        <w:rPr>
          <w:rFonts w:ascii="Arabic Typesetting" w:eastAsia="SimSun" w:hAnsi="Arabic Typesetting" w:cs="Arabic Typesetting" w:hint="cs"/>
          <w:sz w:val="34"/>
          <w:szCs w:val="34"/>
          <w:rtl/>
          <w:lang w:eastAsia="zh-CN"/>
        </w:rPr>
        <w:t xml:space="preserve"> ولا سيما عن طريق الاجتماع</w:t>
      </w:r>
      <w:r w:rsidRPr="005D2D05">
        <w:rPr>
          <w:rFonts w:ascii="Arabic Typesetting" w:eastAsia="SimSun" w:hAnsi="Arabic Typesetting" w:cs="Arabic Typesetting"/>
          <w:sz w:val="34"/>
          <w:szCs w:val="34"/>
          <w:rtl/>
          <w:lang w:eastAsia="zh-CN"/>
        </w:rPr>
        <w:t xml:space="preserve"> السنوي للمنظمات غير الحكومية المعتمدة مع المدير العام </w:t>
      </w:r>
      <w:r w:rsidR="005D2D05" w:rsidRPr="005D2D05">
        <w:rPr>
          <w:rFonts w:ascii="Arabic Typesetting" w:eastAsia="SimSun" w:hAnsi="Arabic Typesetting" w:cs="Arabic Typesetting" w:hint="cs"/>
          <w:sz w:val="34"/>
          <w:szCs w:val="34"/>
          <w:rtl/>
          <w:lang w:eastAsia="zh-CN"/>
        </w:rPr>
        <w:t>في عامي 2014 و2015</w:t>
      </w:r>
      <w:r w:rsidRPr="005D2D05">
        <w:rPr>
          <w:rFonts w:ascii="Arabic Typesetting" w:eastAsia="SimSun" w:hAnsi="Arabic Typesetting" w:cs="Arabic Typesetting"/>
          <w:sz w:val="34"/>
          <w:szCs w:val="34"/>
          <w:rtl/>
          <w:lang w:eastAsia="zh-CN"/>
        </w:rPr>
        <w:t>.</w:t>
      </w:r>
    </w:p>
    <w:p w:rsidR="00B31868" w:rsidRPr="00F6792A" w:rsidRDefault="005D2D05" w:rsidP="009A3712">
      <w:pPr>
        <w:numPr>
          <w:ilvl w:val="0"/>
          <w:numId w:val="8"/>
        </w:numPr>
        <w:tabs>
          <w:tab w:val="clear" w:pos="680"/>
        </w:tabs>
        <w:autoSpaceDE w:val="0"/>
        <w:autoSpaceDN w:val="0"/>
        <w:bidi/>
        <w:adjustRightInd w:val="0"/>
        <w:spacing w:after="120" w:line="340" w:lineRule="exact"/>
        <w:ind w:left="-1"/>
        <w:jc w:val="both"/>
        <w:rPr>
          <w:rFonts w:ascii="Arabic Typesetting" w:eastAsia="SimSun" w:hAnsi="Arabic Typesetting" w:cs="Arabic Typesetting"/>
          <w:sz w:val="34"/>
          <w:szCs w:val="34"/>
          <w:lang w:eastAsia="zh-CN"/>
        </w:rPr>
      </w:pPr>
      <w:r>
        <w:rPr>
          <w:rFonts w:ascii="Arabic Typesetting" w:eastAsia="SimSun" w:hAnsi="Arabic Typesetting" w:cs="Arabic Typesetting" w:hint="cs"/>
          <w:sz w:val="34"/>
          <w:szCs w:val="34"/>
          <w:rtl/>
          <w:lang w:eastAsia="zh-CN"/>
        </w:rPr>
        <w:t xml:space="preserve">وتولت شعبة شؤون الجمعيات والوثائق تنسيق تنظيم الدورات العادية للجمعيات في عامي 2014 و2015 مع تنظيم دورتين استثنائيتين في مارس 2014 (لجنة التنسيق) ومايو 2014 (الجمعية العامة). وشارك نحو 1000 مندوب من أكثر من 200 دولة عضو وهيئة مراقبة </w:t>
      </w:r>
      <w:r w:rsidR="006079CD">
        <w:rPr>
          <w:rFonts w:ascii="Arabic Typesetting" w:eastAsia="SimSun" w:hAnsi="Arabic Typesetting" w:cs="Arabic Typesetting" w:hint="cs"/>
          <w:sz w:val="34"/>
          <w:szCs w:val="34"/>
          <w:rtl/>
          <w:lang w:eastAsia="zh-CN"/>
        </w:rPr>
        <w:t xml:space="preserve">في </w:t>
      </w:r>
      <w:r>
        <w:rPr>
          <w:rFonts w:ascii="Arabic Typesetting" w:eastAsia="SimSun" w:hAnsi="Arabic Typesetting" w:cs="Arabic Typesetting" w:hint="cs"/>
          <w:sz w:val="34"/>
          <w:szCs w:val="34"/>
          <w:rtl/>
          <w:lang w:eastAsia="zh-CN"/>
        </w:rPr>
        <w:t>كل من الدورات العادية. و</w:t>
      </w:r>
      <w:r w:rsidRPr="00F6792A">
        <w:rPr>
          <w:rFonts w:ascii="Arabic Typesetting" w:eastAsia="SimSun" w:hAnsi="Arabic Typesetting" w:cs="Arabic Typesetting" w:hint="cs"/>
          <w:sz w:val="34"/>
          <w:szCs w:val="34"/>
          <w:rtl/>
          <w:lang w:eastAsia="zh-CN"/>
        </w:rPr>
        <w:t>استمر</w:t>
      </w:r>
      <w:r w:rsidR="00B31868" w:rsidRPr="00F6792A">
        <w:rPr>
          <w:rFonts w:ascii="Arabic Typesetting" w:eastAsia="SimSun" w:hAnsi="Arabic Typesetting" w:cs="Arabic Typesetting"/>
          <w:sz w:val="34"/>
          <w:szCs w:val="34"/>
          <w:rtl/>
          <w:lang w:eastAsia="zh-CN"/>
        </w:rPr>
        <w:t xml:space="preserve"> استحداث و/أو تحسين ابتكارات </w:t>
      </w:r>
      <w:proofErr w:type="spellStart"/>
      <w:r w:rsidR="00B31868" w:rsidRPr="00F6792A">
        <w:rPr>
          <w:rFonts w:ascii="Arabic Typesetting" w:eastAsia="SimSun" w:hAnsi="Arabic Typesetting" w:cs="Arabic Typesetting"/>
          <w:sz w:val="34"/>
          <w:szCs w:val="34"/>
          <w:rtl/>
          <w:lang w:eastAsia="zh-CN"/>
        </w:rPr>
        <w:t>وترشيدات</w:t>
      </w:r>
      <w:proofErr w:type="spellEnd"/>
      <w:r w:rsidR="00B31868" w:rsidRPr="00F6792A">
        <w:rPr>
          <w:rFonts w:ascii="Arabic Typesetting" w:eastAsia="SimSun" w:hAnsi="Arabic Typesetting" w:cs="Arabic Typesetting"/>
          <w:sz w:val="34"/>
          <w:szCs w:val="34"/>
          <w:rtl/>
          <w:lang w:eastAsia="zh-CN"/>
        </w:rPr>
        <w:t xml:space="preserve"> تنظيمية</w:t>
      </w:r>
      <w:r w:rsidRPr="00F6792A">
        <w:rPr>
          <w:rFonts w:ascii="Arabic Typesetting" w:eastAsia="SimSun" w:hAnsi="Arabic Typesetting" w:cs="Arabic Typesetting" w:hint="cs"/>
          <w:sz w:val="34"/>
          <w:szCs w:val="34"/>
          <w:rtl/>
          <w:lang w:eastAsia="zh-CN"/>
        </w:rPr>
        <w:t xml:space="preserve"> (</w:t>
      </w:r>
      <w:r w:rsidR="00B31868" w:rsidRPr="00F6792A">
        <w:rPr>
          <w:rFonts w:ascii="Arabic Typesetting" w:eastAsia="SimSun" w:hAnsi="Arabic Typesetting" w:cs="Arabic Typesetting"/>
          <w:sz w:val="34"/>
          <w:szCs w:val="34"/>
          <w:rtl/>
          <w:lang w:eastAsia="zh-CN"/>
        </w:rPr>
        <w:t>مثل</w:t>
      </w:r>
      <w:r w:rsidR="006079CD">
        <w:rPr>
          <w:rFonts w:ascii="Arabic Typesetting" w:eastAsia="SimSun" w:hAnsi="Arabic Typesetting" w:cs="Arabic Typesetting" w:hint="cs"/>
          <w:sz w:val="34"/>
          <w:szCs w:val="34"/>
          <w:rtl/>
          <w:lang w:eastAsia="zh-CN"/>
        </w:rPr>
        <w:t> </w:t>
      </w:r>
      <w:r w:rsidRPr="00F6792A">
        <w:rPr>
          <w:rFonts w:ascii="Arabic Typesetting" w:eastAsia="SimSun" w:hAnsi="Arabic Typesetting" w:cs="Arabic Typesetting" w:hint="cs"/>
          <w:sz w:val="34"/>
          <w:szCs w:val="34"/>
          <w:rtl/>
          <w:lang w:eastAsia="zh-CN"/>
        </w:rPr>
        <w:t>ال</w:t>
      </w:r>
      <w:r w:rsidR="00B31868" w:rsidRPr="00F6792A">
        <w:rPr>
          <w:rFonts w:ascii="Arabic Typesetting" w:eastAsia="SimSun" w:hAnsi="Arabic Typesetting" w:cs="Arabic Typesetting"/>
          <w:sz w:val="34"/>
          <w:szCs w:val="34"/>
          <w:rtl/>
          <w:lang w:eastAsia="zh-CN"/>
        </w:rPr>
        <w:t xml:space="preserve">بث </w:t>
      </w:r>
      <w:r w:rsidRPr="00F6792A">
        <w:rPr>
          <w:rFonts w:ascii="Arabic Typesetting" w:eastAsia="SimSun" w:hAnsi="Arabic Typesetting" w:cs="Arabic Typesetting" w:hint="cs"/>
          <w:sz w:val="34"/>
          <w:szCs w:val="34"/>
          <w:rtl/>
          <w:lang w:eastAsia="zh-CN"/>
        </w:rPr>
        <w:t>الشبكي</w:t>
      </w:r>
      <w:r w:rsidR="00B31868" w:rsidRPr="00F6792A">
        <w:rPr>
          <w:rFonts w:ascii="Arabic Typesetting" w:eastAsia="SimSun" w:hAnsi="Arabic Typesetting" w:cs="Arabic Typesetting"/>
          <w:sz w:val="34"/>
          <w:szCs w:val="34"/>
          <w:rtl/>
          <w:lang w:eastAsia="zh-CN"/>
        </w:rPr>
        <w:t xml:space="preserve"> والتسجيل الإلكتروني </w:t>
      </w:r>
      <w:r w:rsidRPr="00F6792A">
        <w:rPr>
          <w:rFonts w:ascii="Arabic Typesetting" w:eastAsia="SimSun" w:hAnsi="Arabic Typesetting" w:cs="Arabic Typesetting" w:hint="cs"/>
          <w:sz w:val="34"/>
          <w:szCs w:val="34"/>
          <w:rtl/>
          <w:lang w:eastAsia="zh-CN"/>
        </w:rPr>
        <w:t xml:space="preserve">والبطاقات المزودة بصورة حاملها </w:t>
      </w:r>
      <w:r w:rsidR="00B31868" w:rsidRPr="00F6792A">
        <w:rPr>
          <w:rFonts w:ascii="Arabic Typesetting" w:eastAsia="SimSun" w:hAnsi="Arabic Typesetting" w:cs="Arabic Typesetting"/>
          <w:sz w:val="34"/>
          <w:szCs w:val="34"/>
          <w:rtl/>
          <w:lang w:eastAsia="zh-CN"/>
        </w:rPr>
        <w:t>وإجراءات السفر الجديدة</w:t>
      </w:r>
      <w:r w:rsidRPr="00F6792A">
        <w:rPr>
          <w:rFonts w:ascii="Arabic Typesetting" w:eastAsia="SimSun" w:hAnsi="Arabic Typesetting" w:cs="Arabic Typesetting" w:hint="cs"/>
          <w:sz w:val="34"/>
          <w:szCs w:val="34"/>
          <w:rtl/>
          <w:lang w:eastAsia="zh-CN"/>
        </w:rPr>
        <w:t xml:space="preserve">) بغية تعزيز فعالية الاجتماعات وتقليص تكاليفها وبصمتها الكربونية فضلاً عن تعزيز </w:t>
      </w:r>
      <w:r w:rsidR="00F6792A" w:rsidRPr="00F6792A">
        <w:rPr>
          <w:rFonts w:ascii="Arabic Typesetting" w:eastAsia="SimSun" w:hAnsi="Arabic Typesetting" w:cs="Arabic Typesetting" w:hint="cs"/>
          <w:sz w:val="34"/>
          <w:szCs w:val="34"/>
          <w:rtl/>
          <w:lang w:eastAsia="zh-CN"/>
        </w:rPr>
        <w:t xml:space="preserve">شفافية محاضرات الجلسات والنفاذ إليها. </w:t>
      </w:r>
      <w:r w:rsidR="00B31868" w:rsidRPr="00F6792A">
        <w:rPr>
          <w:rFonts w:ascii="Arabic Typesetting" w:eastAsia="SimSun" w:hAnsi="Arabic Typesetting" w:cs="Arabic Typesetting"/>
          <w:sz w:val="34"/>
          <w:szCs w:val="34"/>
          <w:rtl/>
          <w:lang w:eastAsia="zh-CN"/>
        </w:rPr>
        <w:t xml:space="preserve">وقُدِّمت الوثائق مسبقاً. </w:t>
      </w:r>
      <w:r w:rsidR="00F6792A" w:rsidRPr="00F6792A">
        <w:rPr>
          <w:rFonts w:ascii="Arabic Typesetting" w:eastAsia="SimSun" w:hAnsi="Arabic Typesetting" w:cs="Arabic Typesetting"/>
          <w:sz w:val="34"/>
          <w:szCs w:val="34"/>
          <w:rtl/>
          <w:lang w:eastAsia="zh-CN"/>
        </w:rPr>
        <w:t>و</w:t>
      </w:r>
      <w:r w:rsidR="00F6792A">
        <w:rPr>
          <w:rFonts w:ascii="Arabic Typesetting" w:eastAsia="SimSun" w:hAnsi="Arabic Typesetting" w:cs="Arabic Typesetting" w:hint="cs"/>
          <w:sz w:val="34"/>
          <w:szCs w:val="34"/>
          <w:rtl/>
          <w:lang w:eastAsia="zh-CN"/>
        </w:rPr>
        <w:t>تجلى</w:t>
      </w:r>
      <w:r w:rsidR="00F6792A" w:rsidRPr="00F6792A">
        <w:rPr>
          <w:rFonts w:ascii="Arabic Typesetting" w:eastAsia="SimSun" w:hAnsi="Arabic Typesetting" w:cs="Arabic Typesetting"/>
          <w:sz w:val="34"/>
          <w:szCs w:val="34"/>
          <w:rtl/>
          <w:lang w:eastAsia="zh-CN"/>
        </w:rPr>
        <w:t xml:space="preserve"> </w:t>
      </w:r>
      <w:r w:rsidR="00B31868" w:rsidRPr="00F6792A">
        <w:rPr>
          <w:rFonts w:ascii="Arabic Typesetting" w:eastAsia="SimSun" w:hAnsi="Arabic Typesetting" w:cs="Arabic Typesetting"/>
          <w:sz w:val="34"/>
          <w:szCs w:val="34"/>
          <w:rtl/>
          <w:lang w:eastAsia="zh-CN"/>
        </w:rPr>
        <w:t>الاهتمام بتحسين الفعالية وخبرة الدول الأعضاء بالجمعيات في مستويات الرضا المرتفعة جداً التي تحققت عند استقصاء آراء</w:t>
      </w:r>
      <w:r w:rsidR="00A55940">
        <w:rPr>
          <w:rFonts w:ascii="Arabic Typesetting" w:eastAsia="SimSun" w:hAnsi="Arabic Typesetting" w:cs="Arabic Typesetting" w:hint="cs"/>
          <w:sz w:val="34"/>
          <w:szCs w:val="34"/>
          <w:rtl/>
          <w:lang w:eastAsia="zh-CN"/>
        </w:rPr>
        <w:t> </w:t>
      </w:r>
      <w:r w:rsidR="00B31868" w:rsidRPr="00F6792A">
        <w:rPr>
          <w:rFonts w:ascii="Arabic Typesetting" w:eastAsia="SimSun" w:hAnsi="Arabic Typesetting" w:cs="Arabic Typesetting"/>
          <w:sz w:val="34"/>
          <w:szCs w:val="34"/>
          <w:rtl/>
          <w:lang w:eastAsia="zh-CN"/>
        </w:rPr>
        <w:t>المندوبين.</w:t>
      </w:r>
    </w:p>
    <w:p w:rsidR="00B31868" w:rsidRDefault="00B31868" w:rsidP="009A3712">
      <w:pPr>
        <w:keepLines/>
        <w:numPr>
          <w:ilvl w:val="0"/>
          <w:numId w:val="8"/>
        </w:numPr>
        <w:tabs>
          <w:tab w:val="clear" w:pos="680"/>
        </w:tabs>
        <w:autoSpaceDE w:val="0"/>
        <w:autoSpaceDN w:val="0"/>
        <w:bidi/>
        <w:adjustRightInd w:val="0"/>
        <w:spacing w:after="120" w:line="340" w:lineRule="exact"/>
        <w:jc w:val="both"/>
        <w:rPr>
          <w:rFonts w:ascii="Arabic Typesetting" w:eastAsia="SimSun" w:hAnsi="Arabic Typesetting" w:cs="Arabic Typesetting"/>
          <w:sz w:val="34"/>
          <w:szCs w:val="34"/>
          <w:lang w:eastAsia="zh-CN"/>
        </w:rPr>
      </w:pPr>
      <w:r w:rsidRPr="00B31868">
        <w:rPr>
          <w:rFonts w:ascii="Arabic Typesetting" w:eastAsia="SimSun" w:hAnsi="Arabic Typesetting" w:cs="Arabic Typesetting"/>
          <w:sz w:val="34"/>
          <w:szCs w:val="34"/>
          <w:rtl/>
          <w:lang w:eastAsia="zh-CN"/>
        </w:rPr>
        <w:lastRenderedPageBreak/>
        <w:t>وواصلت الويبو المشاركة بنشاط في منظومة الأمم المتحدة، بما في ذلك مشاركتها في مجلس الرؤساء التنفيذيين المعني بالتنسيق (</w:t>
      </w:r>
      <w:r w:rsidRPr="00B31868">
        <w:rPr>
          <w:rFonts w:ascii="Arabic Typesetting" w:eastAsia="SimSun" w:hAnsi="Arabic Typesetting" w:cs="Arabic Typesetting"/>
          <w:sz w:val="34"/>
          <w:szCs w:val="34"/>
          <w:lang w:eastAsia="zh-CN"/>
        </w:rPr>
        <w:t>CEB</w:t>
      </w:r>
      <w:r w:rsidRPr="00B31868">
        <w:rPr>
          <w:rFonts w:ascii="Arabic Typesetting" w:eastAsia="SimSun" w:hAnsi="Arabic Typesetting" w:cs="Arabic Typesetting"/>
          <w:sz w:val="34"/>
          <w:szCs w:val="34"/>
          <w:rtl/>
          <w:lang w:eastAsia="zh-CN"/>
        </w:rPr>
        <w:t>) وفي لجنتيه: اللجنة الإدارية الرفيعة المستوى (</w:t>
      </w:r>
      <w:r w:rsidRPr="00B31868">
        <w:rPr>
          <w:rFonts w:ascii="Arabic Typesetting" w:eastAsia="SimSun" w:hAnsi="Arabic Typesetting" w:cs="Arabic Typesetting"/>
          <w:sz w:val="34"/>
          <w:szCs w:val="34"/>
          <w:lang w:eastAsia="zh-CN"/>
        </w:rPr>
        <w:t>HLCM</w:t>
      </w:r>
      <w:r w:rsidRPr="00B31868">
        <w:rPr>
          <w:rFonts w:ascii="Arabic Typesetting" w:eastAsia="SimSun" w:hAnsi="Arabic Typesetting" w:cs="Arabic Typesetting"/>
          <w:sz w:val="34"/>
          <w:szCs w:val="34"/>
          <w:rtl/>
          <w:lang w:eastAsia="zh-CN"/>
        </w:rPr>
        <w:t>)، واللجنة الرفيعة المستوى المعنية بالبرامج (</w:t>
      </w:r>
      <w:r w:rsidRPr="00B31868">
        <w:rPr>
          <w:rFonts w:ascii="Arabic Typesetting" w:eastAsia="SimSun" w:hAnsi="Arabic Typesetting" w:cs="Arabic Typesetting"/>
          <w:sz w:val="34"/>
          <w:szCs w:val="34"/>
          <w:lang w:eastAsia="zh-CN"/>
        </w:rPr>
        <w:t>HLCP</w:t>
      </w:r>
      <w:r w:rsidRPr="00B31868">
        <w:rPr>
          <w:rFonts w:ascii="Arabic Typesetting" w:eastAsia="SimSun" w:hAnsi="Arabic Typesetting" w:cs="Arabic Typesetting"/>
          <w:sz w:val="34"/>
          <w:szCs w:val="34"/>
          <w:rtl/>
          <w:lang w:eastAsia="zh-CN"/>
        </w:rPr>
        <w:t>)</w:t>
      </w:r>
      <w:r w:rsidR="00F6792A">
        <w:rPr>
          <w:rFonts w:ascii="Arabic Typesetting" w:eastAsia="SimSun" w:hAnsi="Arabic Typesetting" w:cs="Arabic Typesetting" w:hint="cs"/>
          <w:sz w:val="34"/>
          <w:szCs w:val="34"/>
          <w:rtl/>
          <w:lang w:eastAsia="zh-CN"/>
        </w:rPr>
        <w:t>، ما</w:t>
      </w:r>
      <w:r w:rsidRPr="00B31868">
        <w:rPr>
          <w:rFonts w:ascii="Arabic Typesetting" w:eastAsia="SimSun" w:hAnsi="Arabic Typesetting" w:cs="Arabic Typesetting"/>
          <w:sz w:val="34"/>
          <w:szCs w:val="34"/>
          <w:rtl/>
          <w:lang w:eastAsia="zh-CN"/>
        </w:rPr>
        <w:t xml:space="preserve"> أتاح فرصةً مهمةً للويبو لتسليط الضوء على رؤاها داخل مداولات منظومة الأمم المتحدة، ولتبادل الممارسات الإدارية والتشغيلية الجيدة، إضافةً إلى فرصة إشراك المنظمة في المساعدة على تحقيق الاتساق على نطاق منظومة الأمم المتحدة.</w:t>
      </w:r>
    </w:p>
    <w:p w:rsidR="00F6792A" w:rsidRDefault="00F6792A" w:rsidP="009A3712">
      <w:pPr>
        <w:numPr>
          <w:ilvl w:val="0"/>
          <w:numId w:val="8"/>
        </w:numPr>
        <w:tabs>
          <w:tab w:val="clear" w:pos="680"/>
        </w:tabs>
        <w:autoSpaceDE w:val="0"/>
        <w:autoSpaceDN w:val="0"/>
        <w:bidi/>
        <w:adjustRightInd w:val="0"/>
        <w:spacing w:after="120" w:line="340" w:lineRule="exact"/>
        <w:ind w:left="-1"/>
        <w:jc w:val="both"/>
        <w:rPr>
          <w:rFonts w:ascii="Arabic Typesetting" w:eastAsia="SimSun" w:hAnsi="Arabic Typesetting" w:cs="Arabic Typesetting"/>
          <w:sz w:val="34"/>
          <w:szCs w:val="34"/>
          <w:lang w:eastAsia="zh-CN"/>
        </w:rPr>
      </w:pPr>
      <w:r>
        <w:rPr>
          <w:rFonts w:ascii="Arabic Typesetting" w:eastAsia="SimSun" w:hAnsi="Arabic Typesetting" w:cs="Arabic Typesetting" w:hint="cs"/>
          <w:sz w:val="34"/>
          <w:szCs w:val="34"/>
          <w:rtl/>
          <w:lang w:eastAsia="zh-CN"/>
        </w:rPr>
        <w:t xml:space="preserve">وكلِّف </w:t>
      </w:r>
      <w:r w:rsidR="00666BBE">
        <w:rPr>
          <w:rFonts w:ascii="Arabic Typesetting" w:eastAsia="SimSun" w:hAnsi="Arabic Typesetting" w:cs="Arabic Typesetting" w:hint="cs"/>
          <w:sz w:val="34"/>
          <w:szCs w:val="34"/>
          <w:rtl/>
          <w:lang w:eastAsia="zh-CN"/>
        </w:rPr>
        <w:t>مكتب المدير العام</w:t>
      </w:r>
      <w:r>
        <w:rPr>
          <w:rFonts w:ascii="Arabic Typesetting" w:eastAsia="SimSun" w:hAnsi="Arabic Typesetting" w:cs="Arabic Typesetting" w:hint="cs"/>
          <w:sz w:val="34"/>
          <w:szCs w:val="34"/>
          <w:rtl/>
          <w:lang w:eastAsia="zh-CN"/>
        </w:rPr>
        <w:t xml:space="preserve"> في ديسمبر 2014 بمسؤولية التنسيق العام لجميع المكاتب الخارجية ومسؤولية الإشراف على مكتبي الويبو في سنغافورة والبرازيل. واستهلت مجموعة من المبادرات المخصصة في يناير 2015 لضمان تحقيق المزيد من الاتساق الوظيفي والتكامل بين المكاتب الخارجية وعمل المنظمة. وشملت هذه المبادرات أول اجتماع لرؤساء المكاتب في المقر، والعديد من أفرقة العمل المعنية بفحص أثر السياسة التنظيمية على المكاتب الخارجية، ومؤتمرات عبر الفيديو منتظمة ومرتين في الشهر، وإطلاق بنية معلوماتية جديدة لتوفير اتصال سلس بين المكاتب والمقر، وتحديث الصفحات الشبكية للمكاتب. وكشفت هذه المبادرات بوضوح أن الويبو قد تبنت ثقافة جديدة للمكاتب الخارجية أثرت إيجاباً في تنفيذ ولايتها.</w:t>
      </w:r>
    </w:p>
    <w:p w:rsidR="00B31868" w:rsidRDefault="00B31868" w:rsidP="009A3712">
      <w:pPr>
        <w:numPr>
          <w:ilvl w:val="0"/>
          <w:numId w:val="8"/>
        </w:numPr>
        <w:tabs>
          <w:tab w:val="clear" w:pos="680"/>
        </w:tabs>
        <w:autoSpaceDE w:val="0"/>
        <w:autoSpaceDN w:val="0"/>
        <w:bidi/>
        <w:adjustRightInd w:val="0"/>
        <w:spacing w:after="120" w:line="340" w:lineRule="exact"/>
        <w:ind w:left="-1"/>
        <w:jc w:val="both"/>
        <w:rPr>
          <w:rFonts w:ascii="Arabic Typesetting" w:eastAsia="SimSun" w:hAnsi="Arabic Typesetting" w:cs="Arabic Typesetting"/>
          <w:sz w:val="34"/>
          <w:szCs w:val="34"/>
          <w:lang w:eastAsia="zh-CN"/>
        </w:rPr>
      </w:pPr>
      <w:r w:rsidRPr="00B31868">
        <w:rPr>
          <w:rFonts w:ascii="Arabic Typesetting" w:eastAsia="SimSun" w:hAnsi="Arabic Typesetting" w:cs="Arabic Typesetting"/>
          <w:sz w:val="34"/>
          <w:szCs w:val="34"/>
          <w:rtl/>
          <w:lang w:eastAsia="zh-CN"/>
        </w:rPr>
        <w:t>وتأثر أداء مكتب الأخلاقيات بعدم وجود رئيس للمكتب في الفترة من أبريل إلى يوليو</w:t>
      </w:r>
      <w:r w:rsidR="00F6792A">
        <w:rPr>
          <w:rFonts w:ascii="Arabic Typesetting" w:eastAsia="SimSun" w:hAnsi="Arabic Typesetting" w:cs="Arabic Typesetting" w:hint="cs"/>
          <w:sz w:val="34"/>
          <w:szCs w:val="34"/>
          <w:rtl/>
          <w:lang w:eastAsia="zh-CN"/>
        </w:rPr>
        <w:t xml:space="preserve"> 2014</w:t>
      </w:r>
      <w:r w:rsidRPr="00B31868">
        <w:rPr>
          <w:rFonts w:ascii="Arabic Typesetting" w:eastAsia="SimSun" w:hAnsi="Arabic Typesetting" w:cs="Arabic Typesetting"/>
          <w:sz w:val="34"/>
          <w:szCs w:val="34"/>
          <w:rtl/>
          <w:lang w:eastAsia="zh-CN"/>
        </w:rPr>
        <w:t xml:space="preserve">. وقد </w:t>
      </w:r>
      <w:r w:rsidR="00FF1820">
        <w:rPr>
          <w:rFonts w:ascii="Arabic Typesetting" w:eastAsia="SimSun" w:hAnsi="Arabic Typesetting" w:cs="Arabic Typesetting" w:hint="cs"/>
          <w:sz w:val="34"/>
          <w:szCs w:val="34"/>
          <w:rtl/>
          <w:lang w:eastAsia="zh-CN"/>
        </w:rPr>
        <w:t>عيِّن</w:t>
      </w:r>
      <w:r w:rsidRPr="00B31868">
        <w:rPr>
          <w:rFonts w:ascii="Arabic Typesetting" w:eastAsia="SimSun" w:hAnsi="Arabic Typesetting" w:cs="Arabic Typesetting"/>
          <w:sz w:val="34"/>
          <w:szCs w:val="34"/>
          <w:rtl/>
          <w:lang w:eastAsia="zh-CN"/>
        </w:rPr>
        <w:t xml:space="preserve"> رئيس مؤقت لمكتب الأخلاقيات في</w:t>
      </w:r>
      <w:r w:rsidR="00F6792A">
        <w:rPr>
          <w:rFonts w:ascii="Arabic Typesetting" w:eastAsia="SimSun" w:hAnsi="Arabic Typesetting" w:cs="Arabic Typesetting" w:hint="cs"/>
          <w:sz w:val="34"/>
          <w:szCs w:val="34"/>
          <w:rtl/>
          <w:lang w:eastAsia="zh-CN"/>
        </w:rPr>
        <w:t xml:space="preserve"> الفترة الممتدة من </w:t>
      </w:r>
      <w:r w:rsidRPr="00B31868">
        <w:rPr>
          <w:rFonts w:ascii="Arabic Typesetting" w:eastAsia="SimSun" w:hAnsi="Arabic Typesetting" w:cs="Arabic Typesetting"/>
          <w:sz w:val="34"/>
          <w:szCs w:val="34"/>
          <w:rtl/>
          <w:lang w:eastAsia="zh-CN"/>
        </w:rPr>
        <w:t>أغسطس</w:t>
      </w:r>
      <w:r w:rsidR="00F6792A">
        <w:rPr>
          <w:rFonts w:ascii="Arabic Typesetting" w:eastAsia="SimSun" w:hAnsi="Arabic Typesetting" w:cs="Arabic Typesetting" w:hint="cs"/>
          <w:sz w:val="34"/>
          <w:szCs w:val="34"/>
          <w:rtl/>
          <w:lang w:eastAsia="zh-CN"/>
        </w:rPr>
        <w:t xml:space="preserve"> 2014 إلى سبتمبر 2015 عندما عيِّن رئيس مكتب الأخلاقيات الجديد. و</w:t>
      </w:r>
      <w:r w:rsidRPr="00B31868">
        <w:rPr>
          <w:rFonts w:ascii="Arabic Typesetting" w:eastAsia="SimSun" w:hAnsi="Arabic Typesetting" w:cs="Arabic Typesetting"/>
          <w:sz w:val="34"/>
          <w:szCs w:val="34"/>
          <w:rtl/>
          <w:lang w:eastAsia="zh-CN"/>
        </w:rPr>
        <w:t>واصل مكتب الأخلاقيات تنفيذ سياسة إعلان المصالح، التي تشمل الإفصاح عن المصالح المالية وفقاً للمعايير المحاسبية الدولية للقطاع العام</w:t>
      </w:r>
      <w:r w:rsidR="00F6792A">
        <w:rPr>
          <w:rFonts w:ascii="Arabic Typesetting" w:eastAsia="SimSun" w:hAnsi="Arabic Typesetting" w:cs="Arabic Typesetting" w:hint="cs"/>
          <w:sz w:val="34"/>
          <w:szCs w:val="34"/>
          <w:rtl/>
          <w:lang w:eastAsia="zh-CN"/>
        </w:rPr>
        <w:t xml:space="preserve">، وأشرف </w:t>
      </w:r>
      <w:r w:rsidRPr="00B31868">
        <w:rPr>
          <w:rFonts w:ascii="Arabic Typesetting" w:eastAsia="SimSun" w:hAnsi="Arabic Typesetting" w:cs="Arabic Typesetting"/>
          <w:sz w:val="34"/>
          <w:szCs w:val="34"/>
          <w:rtl/>
          <w:lang w:eastAsia="zh-CN"/>
        </w:rPr>
        <w:t xml:space="preserve">على </w:t>
      </w:r>
      <w:r w:rsidR="00AC4867">
        <w:rPr>
          <w:rFonts w:ascii="Arabic Typesetting" w:eastAsia="SimSun" w:hAnsi="Arabic Typesetting" w:cs="Arabic Typesetting" w:hint="cs"/>
          <w:sz w:val="34"/>
          <w:szCs w:val="34"/>
          <w:rtl/>
          <w:lang w:eastAsia="zh-CN"/>
        </w:rPr>
        <w:t xml:space="preserve">سياسة الحماية </w:t>
      </w:r>
      <w:r w:rsidR="00925848">
        <w:rPr>
          <w:rFonts w:ascii="Arabic Typesetting" w:eastAsia="SimSun" w:hAnsi="Arabic Typesetting" w:cs="Arabic Typesetting" w:hint="cs"/>
          <w:sz w:val="34"/>
          <w:szCs w:val="34"/>
          <w:rtl/>
          <w:lang w:eastAsia="zh-CN"/>
        </w:rPr>
        <w:t>من الأعمال الانتقامية الناجمة عن التعاون في نشاط رقابي أو الإبلاغ عن إساءة سلوك أو غير ذلك من المخالفات</w:t>
      </w:r>
      <w:r w:rsidR="00AC4867">
        <w:rPr>
          <w:rFonts w:ascii="Arabic Typesetting" w:eastAsia="SimSun" w:hAnsi="Arabic Typesetting" w:cs="Arabic Typesetting" w:hint="cs"/>
          <w:sz w:val="34"/>
          <w:szCs w:val="34"/>
          <w:rtl/>
          <w:lang w:eastAsia="zh-CN"/>
        </w:rPr>
        <w:t xml:space="preserve"> (</w:t>
      </w:r>
      <w:r w:rsidRPr="00B31868">
        <w:rPr>
          <w:rFonts w:ascii="Arabic Typesetting" w:eastAsia="SimSun" w:hAnsi="Arabic Typesetting" w:cs="Arabic Typesetting"/>
          <w:sz w:val="34"/>
          <w:szCs w:val="34"/>
          <w:rtl/>
          <w:lang w:eastAsia="zh-CN"/>
        </w:rPr>
        <w:t>سياسة حماية المُبلِّغين عن المخالفات</w:t>
      </w:r>
      <w:r w:rsidR="00AC4867">
        <w:rPr>
          <w:rFonts w:ascii="Arabic Typesetting" w:eastAsia="SimSun" w:hAnsi="Arabic Typesetting" w:cs="Arabic Typesetting" w:hint="cs"/>
          <w:sz w:val="34"/>
          <w:szCs w:val="34"/>
          <w:rtl/>
          <w:lang w:eastAsia="zh-CN"/>
        </w:rPr>
        <w:t>)</w:t>
      </w:r>
      <w:r w:rsidRPr="00B31868">
        <w:rPr>
          <w:rFonts w:ascii="Arabic Typesetting" w:eastAsia="SimSun" w:hAnsi="Arabic Typesetting" w:cs="Arabic Typesetting"/>
          <w:sz w:val="34"/>
          <w:szCs w:val="34"/>
          <w:rtl/>
          <w:lang w:eastAsia="zh-CN"/>
        </w:rPr>
        <w:t xml:space="preserve">، التي تعبر عن مدى تقدير الويبو لمشاركة جميع الموظفين في الرقابة في المنظمة من خلال منح الحماية من الانتقام. وواصلت مدونة أخلاقيات الويبو توفير منصة مشتركة </w:t>
      </w:r>
      <w:r w:rsidRPr="00B31868">
        <w:rPr>
          <w:rFonts w:ascii="Arabic Typesetting" w:eastAsia="SimSun" w:hAnsi="Arabic Typesetting" w:cs="Arabic Typesetting" w:hint="cs"/>
          <w:sz w:val="34"/>
          <w:szCs w:val="34"/>
          <w:rtl/>
          <w:lang w:eastAsia="zh-CN"/>
        </w:rPr>
        <w:t>ل</w:t>
      </w:r>
      <w:r w:rsidRPr="00B31868">
        <w:rPr>
          <w:rFonts w:ascii="Arabic Typesetting" w:eastAsia="SimSun" w:hAnsi="Arabic Typesetting" w:cs="Arabic Typesetting"/>
          <w:sz w:val="34"/>
          <w:szCs w:val="34"/>
          <w:rtl/>
          <w:lang w:eastAsia="zh-CN"/>
        </w:rPr>
        <w:t>لقيم والمبادئ التوجيهية التي ينبغي أن يراعيها موظفو الويبو عند أداء مهامهم، وقدَّم المكتبُ خدمات استشارية لموظفين على جميع المستويات بشأن تنفيذها.</w:t>
      </w:r>
      <w:r w:rsidR="00F6792A">
        <w:rPr>
          <w:rFonts w:ascii="Arabic Typesetting" w:eastAsia="SimSun" w:hAnsi="Arabic Typesetting" w:cs="Arabic Typesetting" w:hint="cs"/>
          <w:sz w:val="34"/>
          <w:szCs w:val="34"/>
          <w:rtl/>
          <w:lang w:eastAsia="zh-CN"/>
        </w:rPr>
        <w:t xml:space="preserve"> وفضلاً عن ذلك، خضع الموظفون لتدريب إلزامي في مجال الأخلاقيات لدى الانضمام إلى المنظمة، ما كفل إلمام الزملاء الجدد بثقافة الأخلاقيات في الويبو. وكثِّف أيضاً التفاعل مع شبكة الأخلاقيات </w:t>
      </w:r>
      <w:r w:rsidR="00030552">
        <w:rPr>
          <w:rFonts w:ascii="Arabic Typesetting" w:eastAsia="SimSun" w:hAnsi="Arabic Typesetting" w:cs="Arabic Typesetting" w:hint="cs"/>
          <w:sz w:val="34"/>
          <w:szCs w:val="34"/>
          <w:rtl/>
          <w:lang w:eastAsia="zh-CN"/>
        </w:rPr>
        <w:t>ل</w:t>
      </w:r>
      <w:r w:rsidR="00F6792A">
        <w:rPr>
          <w:rFonts w:ascii="Arabic Typesetting" w:eastAsia="SimSun" w:hAnsi="Arabic Typesetting" w:cs="Arabic Typesetting" w:hint="cs"/>
          <w:sz w:val="34"/>
          <w:szCs w:val="34"/>
          <w:rtl/>
          <w:lang w:eastAsia="zh-CN"/>
        </w:rPr>
        <w:t>لمنظمات المتعددة الأطراف.</w:t>
      </w:r>
    </w:p>
    <w:p w:rsidR="00030552" w:rsidRDefault="006079CD" w:rsidP="009A3712">
      <w:pPr>
        <w:numPr>
          <w:ilvl w:val="0"/>
          <w:numId w:val="8"/>
        </w:numPr>
        <w:tabs>
          <w:tab w:val="clear" w:pos="680"/>
        </w:tabs>
        <w:autoSpaceDE w:val="0"/>
        <w:autoSpaceDN w:val="0"/>
        <w:bidi/>
        <w:adjustRightInd w:val="0"/>
        <w:spacing w:after="120" w:line="340" w:lineRule="exact"/>
        <w:jc w:val="both"/>
        <w:rPr>
          <w:rFonts w:ascii="Arabic Typesetting" w:eastAsia="SimSun" w:hAnsi="Arabic Typesetting" w:cs="Arabic Typesetting"/>
          <w:sz w:val="34"/>
          <w:szCs w:val="34"/>
          <w:lang w:eastAsia="zh-CN"/>
        </w:rPr>
      </w:pPr>
      <w:r>
        <w:rPr>
          <w:rFonts w:ascii="Arabic Typesetting" w:eastAsia="SimSun" w:hAnsi="Arabic Typesetting" w:cs="Arabic Typesetting" w:hint="cs"/>
          <w:sz w:val="34"/>
          <w:szCs w:val="34"/>
          <w:rtl/>
          <w:lang w:eastAsia="zh-CN"/>
        </w:rPr>
        <w:t>ورسِّخ</w:t>
      </w:r>
      <w:r w:rsidR="00B31868" w:rsidRPr="00B31868">
        <w:rPr>
          <w:rFonts w:ascii="Arabic Typesetting" w:eastAsia="SimSun" w:hAnsi="Arabic Typesetting" w:cs="Arabic Typesetting"/>
          <w:sz w:val="34"/>
          <w:szCs w:val="34"/>
          <w:rtl/>
          <w:lang w:eastAsia="zh-CN"/>
        </w:rPr>
        <w:t xml:space="preserve"> وضع مكتب أمين المظالم بوصفه </w:t>
      </w:r>
      <w:r>
        <w:rPr>
          <w:rFonts w:ascii="Arabic Typesetting" w:eastAsia="SimSun" w:hAnsi="Arabic Typesetting" w:cs="Arabic Typesetting" w:hint="cs"/>
          <w:sz w:val="34"/>
          <w:szCs w:val="34"/>
          <w:rtl/>
          <w:lang w:eastAsia="zh-CN"/>
        </w:rPr>
        <w:t>عنصراً لا ينفصم</w:t>
      </w:r>
      <w:r w:rsidR="00B31868" w:rsidRPr="00B31868">
        <w:rPr>
          <w:rFonts w:ascii="Arabic Typesetting" w:eastAsia="SimSun" w:hAnsi="Arabic Typesetting" w:cs="Arabic Typesetting"/>
          <w:sz w:val="34"/>
          <w:szCs w:val="34"/>
          <w:rtl/>
          <w:lang w:eastAsia="zh-CN"/>
        </w:rPr>
        <w:t xml:space="preserve"> </w:t>
      </w:r>
      <w:r>
        <w:rPr>
          <w:rFonts w:ascii="Arabic Typesetting" w:eastAsia="SimSun" w:hAnsi="Arabic Typesetting" w:cs="Arabic Typesetting" w:hint="cs"/>
          <w:sz w:val="34"/>
          <w:szCs w:val="34"/>
          <w:rtl/>
          <w:lang w:eastAsia="zh-CN"/>
        </w:rPr>
        <w:t>عن</w:t>
      </w:r>
      <w:r w:rsidR="00B31868" w:rsidRPr="00B31868">
        <w:rPr>
          <w:rFonts w:ascii="Arabic Typesetting" w:eastAsia="SimSun" w:hAnsi="Arabic Typesetting" w:cs="Arabic Typesetting"/>
          <w:sz w:val="34"/>
          <w:szCs w:val="34"/>
          <w:rtl/>
          <w:lang w:eastAsia="zh-CN"/>
        </w:rPr>
        <w:t xml:space="preserve"> إطار المساءلة والنزاهة الخاص بالمنظمة مع بدء الإدارة الجديدة لنظام العدالة الذي دخل حيز التنفيذ في 1 يناير 2014. وكان من الجوانب الرئيسية لهذا الإصلاح الاعتراف بأهمية منع نشوب النزاعات من خلال إدراج التسوية غير الرسمية للنزاعات في نظام الموظفين ولائحته. ولاستكمال هذا التغيير، ركَّز مكتب أمين المظالم على </w:t>
      </w:r>
      <w:r w:rsidR="00030552" w:rsidRPr="00B31868">
        <w:rPr>
          <w:rFonts w:ascii="Arabic Typesetting" w:eastAsia="SimSun" w:hAnsi="Arabic Typesetting" w:cs="Arabic Typesetting"/>
          <w:sz w:val="34"/>
          <w:szCs w:val="34"/>
          <w:rtl/>
          <w:lang w:eastAsia="zh-CN"/>
        </w:rPr>
        <w:t>إ</w:t>
      </w:r>
      <w:r w:rsidR="00030552">
        <w:rPr>
          <w:rFonts w:ascii="Arabic Typesetting" w:eastAsia="SimSun" w:hAnsi="Arabic Typesetting" w:cs="Arabic Typesetting" w:hint="cs"/>
          <w:sz w:val="34"/>
          <w:szCs w:val="34"/>
          <w:rtl/>
          <w:lang w:eastAsia="zh-CN"/>
        </w:rPr>
        <w:t>ز</w:t>
      </w:r>
      <w:r w:rsidR="00030552" w:rsidRPr="00B31868">
        <w:rPr>
          <w:rFonts w:ascii="Arabic Typesetting" w:eastAsia="SimSun" w:hAnsi="Arabic Typesetting" w:cs="Arabic Typesetting"/>
          <w:sz w:val="34"/>
          <w:szCs w:val="34"/>
          <w:rtl/>
          <w:lang w:eastAsia="zh-CN"/>
        </w:rPr>
        <w:t xml:space="preserve">كاء </w:t>
      </w:r>
      <w:r w:rsidR="00B31868" w:rsidRPr="00B31868">
        <w:rPr>
          <w:rFonts w:ascii="Arabic Typesetting" w:eastAsia="SimSun" w:hAnsi="Arabic Typesetting" w:cs="Arabic Typesetting"/>
          <w:sz w:val="34"/>
          <w:szCs w:val="34"/>
          <w:rtl/>
          <w:lang w:eastAsia="zh-CN"/>
        </w:rPr>
        <w:t xml:space="preserve">الوعي والقدرة على تسوية النزاعات لدى الموظفين من خلال </w:t>
      </w:r>
      <w:r w:rsidR="00030552">
        <w:rPr>
          <w:rFonts w:ascii="Arabic Typesetting" w:eastAsia="SimSun" w:hAnsi="Arabic Typesetting" w:cs="Arabic Typesetting" w:hint="cs"/>
          <w:sz w:val="34"/>
          <w:szCs w:val="34"/>
          <w:rtl/>
          <w:lang w:eastAsia="zh-CN"/>
        </w:rPr>
        <w:t xml:space="preserve">مبادرات تدريبية شملت حلقات عمل عن التواصل </w:t>
      </w:r>
      <w:r>
        <w:rPr>
          <w:rFonts w:ascii="Arabic Typesetting" w:eastAsia="SimSun" w:hAnsi="Arabic Typesetting" w:cs="Arabic Typesetting" w:hint="cs"/>
          <w:sz w:val="34"/>
          <w:szCs w:val="34"/>
          <w:rtl/>
          <w:lang w:eastAsia="zh-CN"/>
        </w:rPr>
        <w:t>دون</w:t>
      </w:r>
      <w:r w:rsidR="00030552">
        <w:rPr>
          <w:rFonts w:ascii="Arabic Typesetting" w:eastAsia="SimSun" w:hAnsi="Arabic Typesetting" w:cs="Arabic Typesetting" w:hint="cs"/>
          <w:sz w:val="34"/>
          <w:szCs w:val="34"/>
          <w:rtl/>
          <w:lang w:eastAsia="zh-CN"/>
        </w:rPr>
        <w:t xml:space="preserve"> </w:t>
      </w:r>
      <w:r>
        <w:rPr>
          <w:rFonts w:ascii="Arabic Typesetting" w:eastAsia="SimSun" w:hAnsi="Arabic Typesetting" w:cs="Arabic Typesetting" w:hint="cs"/>
          <w:sz w:val="34"/>
          <w:szCs w:val="34"/>
          <w:rtl/>
          <w:lang w:eastAsia="zh-CN"/>
        </w:rPr>
        <w:t xml:space="preserve">اللجوء إلى </w:t>
      </w:r>
      <w:r w:rsidR="00030552">
        <w:rPr>
          <w:rFonts w:ascii="Arabic Typesetting" w:eastAsia="SimSun" w:hAnsi="Arabic Typesetting" w:cs="Arabic Typesetting" w:hint="cs"/>
          <w:sz w:val="34"/>
          <w:szCs w:val="34"/>
          <w:rtl/>
          <w:lang w:eastAsia="zh-CN"/>
        </w:rPr>
        <w:t>عنف؛ وحلقة تدريبية عن إدارة المنازعات على مستوى المنظمة دامت يومين وشارك فيها 631 موظفاً؛ وبرامج توجيهية للموظفين الجدد.</w:t>
      </w:r>
    </w:p>
    <w:p w:rsidR="00030552" w:rsidRDefault="00B31868" w:rsidP="009A3712">
      <w:pPr>
        <w:numPr>
          <w:ilvl w:val="0"/>
          <w:numId w:val="8"/>
        </w:numPr>
        <w:tabs>
          <w:tab w:val="clear" w:pos="680"/>
        </w:tabs>
        <w:autoSpaceDE w:val="0"/>
        <w:autoSpaceDN w:val="0"/>
        <w:bidi/>
        <w:adjustRightInd w:val="0"/>
        <w:spacing w:after="120" w:line="340" w:lineRule="exact"/>
        <w:jc w:val="both"/>
        <w:rPr>
          <w:rFonts w:ascii="Arabic Typesetting" w:eastAsia="SimSun" w:hAnsi="Arabic Typesetting" w:cs="Arabic Typesetting"/>
          <w:sz w:val="34"/>
          <w:szCs w:val="34"/>
          <w:lang w:eastAsia="zh-CN"/>
        </w:rPr>
      </w:pPr>
      <w:r w:rsidRPr="00B31868">
        <w:rPr>
          <w:rFonts w:ascii="Arabic Typesetting" w:eastAsia="SimSun" w:hAnsi="Arabic Typesetting" w:cs="Arabic Typesetting"/>
          <w:sz w:val="34"/>
          <w:szCs w:val="34"/>
          <w:rtl/>
          <w:lang w:eastAsia="zh-CN" w:bidi="ar-EG"/>
        </w:rPr>
        <w:t>و</w:t>
      </w:r>
      <w:r w:rsidRPr="00B31868">
        <w:rPr>
          <w:rFonts w:ascii="Arabic Typesetting" w:eastAsia="SimSun" w:hAnsi="Arabic Typesetting" w:cs="Arabic Typesetting"/>
          <w:sz w:val="34"/>
          <w:szCs w:val="34"/>
          <w:rtl/>
          <w:lang w:eastAsia="zh-CN"/>
        </w:rPr>
        <w:t>في شهر مايو</w:t>
      </w:r>
      <w:r w:rsidR="00030552">
        <w:rPr>
          <w:rFonts w:ascii="Arabic Typesetting" w:eastAsia="SimSun" w:hAnsi="Arabic Typesetting" w:cs="Arabic Typesetting" w:hint="cs"/>
          <w:sz w:val="34"/>
          <w:szCs w:val="34"/>
          <w:rtl/>
          <w:lang w:eastAsia="zh-CN"/>
        </w:rPr>
        <w:t xml:space="preserve"> 2014</w:t>
      </w:r>
      <w:r w:rsidRPr="00B31868">
        <w:rPr>
          <w:rFonts w:ascii="Arabic Typesetting" w:eastAsia="SimSun" w:hAnsi="Arabic Typesetting" w:cs="Arabic Typesetting"/>
          <w:sz w:val="34"/>
          <w:szCs w:val="34"/>
          <w:rtl/>
          <w:lang w:eastAsia="zh-CN"/>
        </w:rPr>
        <w:t xml:space="preserve">، استُحدث في مكتب المدير العام منصب منسق شؤون استمرارية الأعمال. وأُحرِز تقدمٌ كبيرٌ خلال الشهور التي تلت ذلك في </w:t>
      </w:r>
      <w:r w:rsidRPr="00B31868">
        <w:rPr>
          <w:rFonts w:ascii="Arabic Typesetting" w:eastAsia="SimSun" w:hAnsi="Arabic Typesetting" w:cs="Arabic Typesetting" w:hint="cs"/>
          <w:sz w:val="34"/>
          <w:szCs w:val="34"/>
          <w:rtl/>
          <w:lang w:eastAsia="zh-CN"/>
        </w:rPr>
        <w:t>تطبيق</w:t>
      </w:r>
      <w:r w:rsidRPr="00B31868">
        <w:rPr>
          <w:rFonts w:ascii="Arabic Typesetting" w:eastAsia="SimSun" w:hAnsi="Arabic Typesetting" w:cs="Arabic Typesetting"/>
          <w:sz w:val="34"/>
          <w:szCs w:val="34"/>
          <w:rtl/>
          <w:lang w:eastAsia="zh-CN"/>
        </w:rPr>
        <w:t xml:space="preserve"> العوامل المطلوبة لنظام مخصص لإدارة قدرة المنظمة على مواجهة الطوارئ، مثل نشر سياسة واستراتيجية بشأن قدرة المنظمة على مواجهة الطوارئ وتنفيذ أول نظام إخطار بالطوارئ (</w:t>
      </w:r>
      <w:r w:rsidR="00030552" w:rsidRPr="00B31868">
        <w:rPr>
          <w:rFonts w:ascii="Arabic Typesetting" w:eastAsia="SimSun" w:hAnsi="Arabic Typesetting" w:cs="Arabic Typesetting"/>
          <w:sz w:val="34"/>
          <w:szCs w:val="34"/>
          <w:lang w:eastAsia="zh-CN"/>
        </w:rPr>
        <w:t>E</w:t>
      </w:r>
      <w:r w:rsidR="00030552">
        <w:rPr>
          <w:rFonts w:ascii="Arabic Typesetting" w:eastAsia="SimSun" w:hAnsi="Arabic Typesetting" w:cs="Arabic Typesetting"/>
          <w:sz w:val="34"/>
          <w:szCs w:val="34"/>
          <w:lang w:eastAsia="zh-CN"/>
        </w:rPr>
        <w:t>N</w:t>
      </w:r>
      <w:r w:rsidR="00030552" w:rsidRPr="00B31868">
        <w:rPr>
          <w:rFonts w:ascii="Arabic Typesetting" w:eastAsia="SimSun" w:hAnsi="Arabic Typesetting" w:cs="Arabic Typesetting"/>
          <w:sz w:val="34"/>
          <w:szCs w:val="34"/>
          <w:lang w:eastAsia="zh-CN"/>
        </w:rPr>
        <w:t>S</w:t>
      </w:r>
      <w:r w:rsidRPr="00B31868">
        <w:rPr>
          <w:rFonts w:ascii="Arabic Typesetting" w:eastAsia="SimSun" w:hAnsi="Arabic Typesetting" w:cs="Arabic Typesetting"/>
          <w:sz w:val="34"/>
          <w:szCs w:val="34"/>
          <w:rtl/>
          <w:lang w:eastAsia="zh-CN"/>
        </w:rPr>
        <w:t>) في المؤسسة وإطلاقه.</w:t>
      </w:r>
      <w:r w:rsidR="00030552">
        <w:rPr>
          <w:rFonts w:ascii="Arabic Typesetting" w:eastAsia="SimSun" w:hAnsi="Arabic Typesetting" w:cs="Arabic Typesetting" w:hint="cs"/>
          <w:sz w:val="34"/>
          <w:szCs w:val="34"/>
          <w:rtl/>
          <w:lang w:eastAsia="zh-CN"/>
        </w:rPr>
        <w:t xml:space="preserve"> واستناداً إلى هذه الأسس السياسية، استهل تحليل للأثر على الأعمال بغية تحديد أولويات المنظمة وتوقعاتها من حيث التعافي وإعادة العمل عقب حدث معرقل. ويتوقع أن توفر هذه العوامل أساساً متيناً لمواصلة تطوير النظام خلال الثنائية المقبلة.</w:t>
      </w:r>
    </w:p>
    <w:p w:rsidR="00B31868" w:rsidRPr="00030552" w:rsidRDefault="00B31868" w:rsidP="009A3712">
      <w:pPr>
        <w:numPr>
          <w:ilvl w:val="0"/>
          <w:numId w:val="8"/>
        </w:numPr>
        <w:tabs>
          <w:tab w:val="clear" w:pos="680"/>
        </w:tabs>
        <w:autoSpaceDE w:val="0"/>
        <w:autoSpaceDN w:val="0"/>
        <w:bidi/>
        <w:adjustRightInd w:val="0"/>
        <w:spacing w:after="120" w:line="340" w:lineRule="exact"/>
        <w:ind w:left="-1"/>
        <w:jc w:val="both"/>
        <w:rPr>
          <w:rFonts w:ascii="Arabic Typesetting" w:eastAsia="SimSun" w:hAnsi="Arabic Typesetting" w:cs="Arabic Typesetting"/>
          <w:sz w:val="34"/>
          <w:szCs w:val="34"/>
          <w:lang w:eastAsia="zh-CN"/>
        </w:rPr>
      </w:pPr>
      <w:r w:rsidRPr="00030552">
        <w:rPr>
          <w:rFonts w:ascii="Arabic Typesetting" w:eastAsia="SimSun" w:hAnsi="Arabic Typesetting" w:cs="Arabic Typesetting"/>
          <w:sz w:val="34"/>
          <w:szCs w:val="34"/>
          <w:rtl/>
          <w:lang w:eastAsia="zh-CN"/>
        </w:rPr>
        <w:t xml:space="preserve">وفي فبراير 2014، بعد تعيين رئيس للمراسم وإدارة الأحداث، دُمجت أنشطة الأحداث بالمراسم لتعزيز الالتزام مع الدول الأعضاء وأصحاب </w:t>
      </w:r>
      <w:r w:rsidRPr="00030552">
        <w:rPr>
          <w:rFonts w:ascii="Arabic Typesetting" w:eastAsia="SimSun" w:hAnsi="Arabic Typesetting" w:cs="Arabic Typesetting" w:hint="cs"/>
          <w:sz w:val="34"/>
          <w:szCs w:val="34"/>
          <w:rtl/>
          <w:lang w:eastAsia="zh-CN"/>
        </w:rPr>
        <w:t>المصالح</w:t>
      </w:r>
      <w:r w:rsidRPr="00030552">
        <w:rPr>
          <w:rFonts w:ascii="Arabic Typesetting" w:eastAsia="SimSun" w:hAnsi="Arabic Typesetting" w:cs="Arabic Typesetting"/>
          <w:sz w:val="34"/>
          <w:szCs w:val="34"/>
          <w:rtl/>
          <w:lang w:eastAsia="zh-CN"/>
        </w:rPr>
        <w:t xml:space="preserve"> الآخرين وتحسينه إلى أقصى حد ممكن. وشهدت </w:t>
      </w:r>
      <w:r w:rsidR="00030552">
        <w:rPr>
          <w:rFonts w:ascii="Arabic Typesetting" w:eastAsia="SimSun" w:hAnsi="Arabic Typesetting" w:cs="Arabic Typesetting" w:hint="cs"/>
          <w:sz w:val="34"/>
          <w:szCs w:val="34"/>
          <w:rtl/>
          <w:lang w:eastAsia="zh-CN"/>
        </w:rPr>
        <w:t xml:space="preserve">الجمعيات العامة في دورتيها </w:t>
      </w:r>
      <w:r w:rsidR="006079CD">
        <w:rPr>
          <w:rFonts w:ascii="Arabic Typesetting" w:eastAsia="SimSun" w:hAnsi="Arabic Typesetting" w:cs="Arabic Typesetting" w:hint="cs"/>
          <w:sz w:val="34"/>
          <w:szCs w:val="34"/>
          <w:rtl/>
          <w:lang w:eastAsia="zh-CN"/>
        </w:rPr>
        <w:t xml:space="preserve">المعقودتين </w:t>
      </w:r>
      <w:r w:rsidR="00030552">
        <w:rPr>
          <w:rFonts w:ascii="Arabic Typesetting" w:eastAsia="SimSun" w:hAnsi="Arabic Typesetting" w:cs="Arabic Typesetting" w:hint="cs"/>
          <w:sz w:val="34"/>
          <w:szCs w:val="34"/>
          <w:rtl/>
          <w:lang w:eastAsia="zh-CN"/>
        </w:rPr>
        <w:t>في عامي 2014 و2015</w:t>
      </w:r>
      <w:r w:rsidRPr="00030552">
        <w:rPr>
          <w:rFonts w:ascii="Arabic Typesetting" w:eastAsia="SimSun" w:hAnsi="Arabic Typesetting" w:cs="Arabic Typesetting"/>
          <w:sz w:val="34"/>
          <w:szCs w:val="34"/>
          <w:rtl/>
          <w:lang w:eastAsia="zh-CN"/>
        </w:rPr>
        <w:t xml:space="preserve"> زيادةً كبيرةً في عدد الأحداث والأنشطة الجانبية التي طُلبت ونُظِّمت، ومنها افتتاح قاعة </w:t>
      </w:r>
      <w:r w:rsidRPr="00030552">
        <w:rPr>
          <w:rFonts w:ascii="Arabic Typesetting" w:eastAsia="SimSun" w:hAnsi="Arabic Typesetting" w:cs="Arabic Typesetting" w:hint="cs"/>
          <w:sz w:val="34"/>
          <w:szCs w:val="34"/>
          <w:rtl/>
          <w:lang w:eastAsia="zh-CN"/>
        </w:rPr>
        <w:t>الويبو الجديدة ل</w:t>
      </w:r>
      <w:r w:rsidRPr="00030552">
        <w:rPr>
          <w:rFonts w:ascii="Arabic Typesetting" w:eastAsia="SimSun" w:hAnsi="Arabic Typesetting" w:cs="Arabic Typesetting"/>
          <w:sz w:val="34"/>
          <w:szCs w:val="34"/>
          <w:rtl/>
          <w:lang w:eastAsia="zh-CN"/>
        </w:rPr>
        <w:t>لمؤتمرات</w:t>
      </w:r>
      <w:r w:rsidR="00030552">
        <w:rPr>
          <w:rFonts w:ascii="Arabic Typesetting" w:eastAsia="SimSun" w:hAnsi="Arabic Typesetting" w:cs="Arabic Typesetting" w:hint="cs"/>
          <w:sz w:val="34"/>
          <w:szCs w:val="34"/>
          <w:rtl/>
          <w:lang w:eastAsia="zh-CN"/>
        </w:rPr>
        <w:t xml:space="preserve"> في عام</w:t>
      </w:r>
      <w:r w:rsidR="006079CD">
        <w:rPr>
          <w:rFonts w:ascii="Arabic Typesetting" w:eastAsia="SimSun" w:hAnsi="Arabic Typesetting" w:cs="Arabic Typesetting" w:hint="eastAsia"/>
          <w:sz w:val="34"/>
          <w:szCs w:val="34"/>
          <w:rtl/>
          <w:lang w:eastAsia="zh-CN"/>
        </w:rPr>
        <w:t> </w:t>
      </w:r>
      <w:r w:rsidR="00030552">
        <w:rPr>
          <w:rFonts w:ascii="Arabic Typesetting" w:eastAsia="SimSun" w:hAnsi="Arabic Typesetting" w:cs="Arabic Typesetting" w:hint="cs"/>
          <w:sz w:val="34"/>
          <w:szCs w:val="34"/>
          <w:rtl/>
          <w:lang w:eastAsia="zh-CN"/>
        </w:rPr>
        <w:t>2014</w:t>
      </w:r>
      <w:r w:rsidRPr="00030552">
        <w:rPr>
          <w:rFonts w:ascii="Arabic Typesetting" w:eastAsia="SimSun" w:hAnsi="Arabic Typesetting" w:cs="Arabic Typesetting"/>
          <w:sz w:val="34"/>
          <w:szCs w:val="34"/>
          <w:rtl/>
          <w:lang w:eastAsia="zh-CN"/>
        </w:rPr>
        <w:t>. وقد قُوبلت هذه الأحداث بالاستحسان،</w:t>
      </w:r>
      <w:r w:rsidR="00030552">
        <w:rPr>
          <w:rFonts w:ascii="Arabic Typesetting" w:eastAsia="SimSun" w:hAnsi="Arabic Typesetting" w:cs="Arabic Typesetting" w:hint="cs"/>
          <w:sz w:val="34"/>
          <w:szCs w:val="34"/>
          <w:rtl/>
          <w:lang w:eastAsia="zh-CN"/>
        </w:rPr>
        <w:t xml:space="preserve"> </w:t>
      </w:r>
      <w:r w:rsidRPr="00030552">
        <w:rPr>
          <w:rFonts w:ascii="Arabic Typesetting" w:eastAsia="SimSun" w:hAnsi="Arabic Typesetting" w:cs="Arabic Typesetting"/>
          <w:sz w:val="34"/>
          <w:szCs w:val="34"/>
          <w:rtl/>
          <w:lang w:eastAsia="zh-CN"/>
        </w:rPr>
        <w:t xml:space="preserve">ما </w:t>
      </w:r>
      <w:r w:rsidR="00030552">
        <w:rPr>
          <w:rFonts w:ascii="Arabic Typesetting" w:eastAsia="SimSun" w:hAnsi="Arabic Typesetting" w:cs="Arabic Typesetting" w:hint="cs"/>
          <w:sz w:val="34"/>
          <w:szCs w:val="34"/>
          <w:rtl/>
          <w:lang w:eastAsia="zh-CN"/>
        </w:rPr>
        <w:t>تجلى</w:t>
      </w:r>
      <w:r w:rsidR="00030552" w:rsidRPr="00030552">
        <w:rPr>
          <w:rFonts w:ascii="Arabic Typesetting" w:eastAsia="SimSun" w:hAnsi="Arabic Typesetting" w:cs="Arabic Typesetting"/>
          <w:sz w:val="34"/>
          <w:szCs w:val="34"/>
          <w:rtl/>
          <w:lang w:eastAsia="zh-CN"/>
        </w:rPr>
        <w:t xml:space="preserve"> </w:t>
      </w:r>
      <w:r w:rsidRPr="00030552">
        <w:rPr>
          <w:rFonts w:ascii="Arabic Typesetting" w:eastAsia="SimSun" w:hAnsi="Arabic Typesetting" w:cs="Arabic Typesetting"/>
          <w:sz w:val="34"/>
          <w:szCs w:val="34"/>
          <w:rtl/>
          <w:lang w:eastAsia="zh-CN"/>
        </w:rPr>
        <w:t>في مستوى رضا المندوبين.</w:t>
      </w:r>
      <w:r w:rsidR="00030552">
        <w:rPr>
          <w:rFonts w:ascii="Arabic Typesetting" w:eastAsia="SimSun" w:hAnsi="Arabic Typesetting" w:cs="Arabic Typesetting" w:hint="cs"/>
          <w:sz w:val="34"/>
          <w:szCs w:val="34"/>
          <w:rtl/>
          <w:lang w:eastAsia="zh-CN"/>
        </w:rPr>
        <w:t xml:space="preserve"> وازداد عدد الأحداث المنظمة في الويبو ومنها</w:t>
      </w:r>
      <w:r w:rsidR="00666BBE">
        <w:rPr>
          <w:rFonts w:ascii="Arabic Typesetting" w:eastAsia="SimSun" w:hAnsi="Arabic Typesetting" w:cs="Arabic Typesetting" w:hint="eastAsia"/>
          <w:sz w:val="34"/>
          <w:szCs w:val="34"/>
          <w:rtl/>
          <w:lang w:eastAsia="zh-CN"/>
        </w:rPr>
        <w:t> </w:t>
      </w:r>
      <w:r w:rsidR="00666BBE">
        <w:rPr>
          <w:rFonts w:ascii="Arabic Typesetting" w:eastAsia="SimSun" w:hAnsi="Arabic Typesetting" w:cs="Arabic Typesetting" w:hint="cs"/>
          <w:sz w:val="34"/>
          <w:szCs w:val="34"/>
          <w:rtl/>
          <w:lang w:eastAsia="zh-CN"/>
        </w:rPr>
        <w:t>الاحتفال ب</w:t>
      </w:r>
      <w:r w:rsidR="00030552">
        <w:rPr>
          <w:rFonts w:ascii="Arabic Typesetting" w:eastAsia="SimSun" w:hAnsi="Arabic Typesetting" w:cs="Arabic Typesetting" w:hint="cs"/>
          <w:sz w:val="34"/>
          <w:szCs w:val="34"/>
          <w:rtl/>
          <w:lang w:eastAsia="zh-CN"/>
        </w:rPr>
        <w:t>الأيام الوطنية في عام 2015</w:t>
      </w:r>
      <w:r w:rsidR="00666BBE">
        <w:rPr>
          <w:rFonts w:ascii="Arabic Typesetting" w:eastAsia="SimSun" w:hAnsi="Arabic Typesetting" w:cs="Arabic Typesetting" w:hint="cs"/>
          <w:sz w:val="34"/>
          <w:szCs w:val="34"/>
          <w:rtl/>
          <w:lang w:eastAsia="zh-CN"/>
        </w:rPr>
        <w:t xml:space="preserve">، ما أكد مكانة </w:t>
      </w:r>
      <w:r w:rsidR="0023721A">
        <w:rPr>
          <w:rFonts w:ascii="Arabic Typesetting" w:eastAsia="SimSun" w:hAnsi="Arabic Typesetting" w:cs="Arabic Typesetting" w:hint="cs"/>
          <w:sz w:val="34"/>
          <w:szCs w:val="34"/>
          <w:rtl/>
          <w:lang w:eastAsia="zh-CN"/>
        </w:rPr>
        <w:t>مجمع</w:t>
      </w:r>
      <w:r w:rsidR="00666BBE">
        <w:rPr>
          <w:rFonts w:ascii="Arabic Typesetting" w:eastAsia="SimSun" w:hAnsi="Arabic Typesetting" w:cs="Arabic Typesetting" w:hint="cs"/>
          <w:sz w:val="34"/>
          <w:szCs w:val="34"/>
          <w:rtl/>
          <w:lang w:eastAsia="zh-CN"/>
        </w:rPr>
        <w:t xml:space="preserve"> الويبو كمحفل لاجتماع الدول الأعضاء وأصحاب المصلحة.</w:t>
      </w:r>
    </w:p>
    <w:p w:rsidR="00B31868" w:rsidRPr="00B31868" w:rsidRDefault="00B31868" w:rsidP="009A3712">
      <w:pPr>
        <w:numPr>
          <w:ilvl w:val="0"/>
          <w:numId w:val="8"/>
        </w:numPr>
        <w:tabs>
          <w:tab w:val="clear" w:pos="680"/>
        </w:tabs>
        <w:autoSpaceDE w:val="0"/>
        <w:autoSpaceDN w:val="0"/>
        <w:bidi/>
        <w:adjustRightInd w:val="0"/>
        <w:spacing w:after="120" w:line="340" w:lineRule="exact"/>
        <w:ind w:left="-1"/>
        <w:jc w:val="both"/>
        <w:rPr>
          <w:rFonts w:ascii="Arabic Typesetting" w:eastAsia="SimSun" w:hAnsi="Arabic Typesetting" w:cs="Arabic Typesetting"/>
          <w:sz w:val="34"/>
          <w:szCs w:val="34"/>
          <w:lang w:eastAsia="zh-CN"/>
        </w:rPr>
      </w:pPr>
      <w:r w:rsidRPr="00B31868">
        <w:rPr>
          <w:rFonts w:ascii="Arabic Typesetting" w:eastAsia="SimSun" w:hAnsi="Arabic Typesetting" w:cs="Arabic Typesetting"/>
          <w:sz w:val="34"/>
          <w:szCs w:val="34"/>
          <w:rtl/>
          <w:lang w:eastAsia="zh-CN"/>
        </w:rPr>
        <w:t xml:space="preserve">وواصل البرنامج 21، بما في ذلك أعمال مكتب المدير العام، الاضطلاع بدور رئيسي في تقديم التوجيه والإشراف الاستراتيجيين الشاملين </w:t>
      </w:r>
      <w:r w:rsidR="009F5F08">
        <w:rPr>
          <w:rFonts w:ascii="Arabic Typesetting" w:eastAsia="SimSun" w:hAnsi="Arabic Typesetting" w:cs="Arabic Typesetting" w:hint="cs"/>
          <w:sz w:val="34"/>
          <w:szCs w:val="34"/>
          <w:rtl/>
          <w:lang w:eastAsia="zh-CN"/>
        </w:rPr>
        <w:t>لتيسير</w:t>
      </w:r>
      <w:r w:rsidRPr="00B31868">
        <w:rPr>
          <w:rFonts w:ascii="Arabic Typesetting" w:eastAsia="SimSun" w:hAnsi="Arabic Typesetting" w:cs="Arabic Typesetting"/>
          <w:sz w:val="34"/>
          <w:szCs w:val="34"/>
          <w:rtl/>
          <w:lang w:eastAsia="zh-CN"/>
        </w:rPr>
        <w:t xml:space="preserve"> تعميم جدول أعمال الويبو بشأن التنمية </w:t>
      </w:r>
      <w:r w:rsidR="009F5F08">
        <w:rPr>
          <w:rFonts w:ascii="Arabic Typesetting" w:eastAsia="SimSun" w:hAnsi="Arabic Typesetting" w:cs="Arabic Typesetting" w:hint="cs"/>
          <w:sz w:val="34"/>
          <w:szCs w:val="34"/>
          <w:rtl/>
          <w:lang w:eastAsia="zh-CN"/>
        </w:rPr>
        <w:t>في</w:t>
      </w:r>
      <w:r w:rsidRPr="00B31868">
        <w:rPr>
          <w:rFonts w:ascii="Arabic Typesetting" w:eastAsia="SimSun" w:hAnsi="Arabic Typesetting" w:cs="Arabic Typesetting"/>
          <w:sz w:val="34"/>
          <w:szCs w:val="34"/>
          <w:rtl/>
          <w:lang w:eastAsia="zh-CN"/>
        </w:rPr>
        <w:t xml:space="preserve"> جميع القطاعات المعنية داخل الويبو</w:t>
      </w:r>
      <w:r w:rsidR="009F5F08">
        <w:rPr>
          <w:rFonts w:ascii="Arabic Typesetting" w:eastAsia="SimSun" w:hAnsi="Arabic Typesetting" w:cs="Arabic Typesetting" w:hint="cs"/>
          <w:sz w:val="34"/>
          <w:szCs w:val="34"/>
          <w:rtl/>
          <w:lang w:eastAsia="zh-CN"/>
        </w:rPr>
        <w:t xml:space="preserve"> وتنفيذه</w:t>
      </w:r>
      <w:r w:rsidRPr="00B31868">
        <w:rPr>
          <w:rFonts w:ascii="Arabic Typesetting" w:eastAsia="SimSun" w:hAnsi="Arabic Typesetting" w:cs="Arabic Typesetting"/>
          <w:sz w:val="34"/>
          <w:szCs w:val="34"/>
          <w:rtl/>
          <w:lang w:eastAsia="zh-CN"/>
        </w:rPr>
        <w:t>.</w:t>
      </w:r>
    </w:p>
    <w:p w:rsidR="00B31868" w:rsidRPr="00141A0B" w:rsidRDefault="00B31868" w:rsidP="00E439F5">
      <w:pPr>
        <w:keepNext/>
        <w:bidi/>
        <w:spacing w:before="120" w:after="120" w:line="340" w:lineRule="exact"/>
        <w:rPr>
          <w:rFonts w:ascii="Arabic Typesetting" w:eastAsia="SimSun" w:hAnsi="Arabic Typesetting" w:cs="Arabic Typesetting"/>
          <w:sz w:val="34"/>
          <w:szCs w:val="34"/>
          <w:rtl/>
          <w:lang w:eastAsia="zh-CN" w:bidi="ar-EG"/>
        </w:rPr>
      </w:pPr>
      <w:r w:rsidRPr="00141A0B">
        <w:rPr>
          <w:rFonts w:ascii="Arabic Typesetting" w:eastAsia="SimSun" w:hAnsi="Arabic Typesetting" w:cs="Arabic Typesetting"/>
          <w:sz w:val="34"/>
          <w:szCs w:val="34"/>
          <w:rtl/>
          <w:lang w:eastAsia="zh-CN"/>
        </w:rPr>
        <w:lastRenderedPageBreak/>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75"/>
        <w:gridCol w:w="2987"/>
        <w:gridCol w:w="1134"/>
        <w:gridCol w:w="2410"/>
        <w:gridCol w:w="851"/>
      </w:tblGrid>
      <w:tr w:rsidR="00B31868" w:rsidRPr="00211D55" w:rsidTr="003B4669">
        <w:trPr>
          <w:cantSplit/>
          <w:trHeight w:val="488"/>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950478">
            <w:pPr>
              <w:keepNext/>
              <w:bidi/>
              <w:spacing w:after="60" w:line="280" w:lineRule="exact"/>
              <w:ind w:left="1167" w:hanging="1167"/>
              <w:rPr>
                <w:rFonts w:ascii="Arabic Typesetting" w:eastAsia="SimSun" w:hAnsi="Arabic Typesetting" w:cs="Arabic Typesetting"/>
                <w:b/>
                <w:bCs/>
                <w:sz w:val="28"/>
                <w:szCs w:val="28"/>
                <w:rtl/>
                <w:lang w:eastAsia="zh-CN" w:bidi="ar-EG"/>
              </w:rPr>
            </w:pPr>
            <w:r w:rsidRPr="00211D55">
              <w:rPr>
                <w:rFonts w:ascii="Arabic Typesetting" w:eastAsia="SimSun" w:hAnsi="Arabic Typesetting" w:cs="Arabic Typesetting"/>
                <w:b/>
                <w:bCs/>
                <w:sz w:val="28"/>
                <w:szCs w:val="28"/>
                <w:rtl/>
                <w:lang w:eastAsia="zh-CN"/>
              </w:rPr>
              <w:t>النتيجة المرتقبة</w:t>
            </w:r>
            <w:r w:rsidRPr="00211D55">
              <w:rPr>
                <w:rFonts w:ascii="Arabic Typesetting" w:eastAsia="SimSun" w:hAnsi="Arabic Typesetting" w:cs="Arabic Typesetting"/>
                <w:b/>
                <w:bCs/>
                <w:sz w:val="28"/>
                <w:szCs w:val="28"/>
                <w:lang w:eastAsia="zh-CN"/>
              </w:rPr>
              <w:t>:</w:t>
            </w:r>
            <w:r w:rsidRPr="00211D55">
              <w:rPr>
                <w:rFonts w:ascii="Arabic Typesetting" w:eastAsia="SimSun" w:hAnsi="Arabic Typesetting" w:cs="Arabic Typesetting"/>
                <w:b/>
                <w:bCs/>
                <w:sz w:val="28"/>
                <w:szCs w:val="28"/>
                <w:lang w:eastAsia="zh-CN"/>
              </w:rPr>
              <w:tab/>
            </w:r>
            <w:r w:rsidRPr="00211D55">
              <w:rPr>
                <w:rFonts w:ascii="Arabic Typesetting" w:eastAsia="SimSun" w:hAnsi="Arabic Typesetting" w:cs="Arabic Typesetting"/>
                <w:color w:val="000000"/>
                <w:sz w:val="28"/>
                <w:szCs w:val="28"/>
                <w:rtl/>
                <w:lang w:eastAsia="zh-CN"/>
              </w:rPr>
              <w:t xml:space="preserve">ھ2.4 </w:t>
            </w:r>
            <w:r w:rsidR="000432CA">
              <w:rPr>
                <w:rFonts w:ascii="Arabic Typesetting" w:eastAsia="SimSun" w:hAnsi="Arabic Typesetting" w:cs="Arabic Typesetting"/>
                <w:color w:val="000000"/>
                <w:sz w:val="28"/>
                <w:szCs w:val="28"/>
                <w:rtl/>
                <w:lang w:eastAsia="zh-CN"/>
              </w:rPr>
              <w:t>تحسين النفاذ إلى المعلومات المتعلقة بالملكية الفكرية واستخدامها من قبل مؤسسات الملكية الفكرية والجمهور لتشجيع الابتكار</w:t>
            </w:r>
            <w:r w:rsidR="00950478">
              <w:rPr>
                <w:rFonts w:ascii="Arabic Typesetting" w:eastAsia="SimSun" w:hAnsi="Arabic Typesetting" w:cs="Arabic Typesetting" w:hint="cs"/>
                <w:color w:val="000000"/>
                <w:sz w:val="28"/>
                <w:szCs w:val="28"/>
                <w:rtl/>
                <w:lang w:eastAsia="zh-CN"/>
              </w:rPr>
              <w:t> </w:t>
            </w:r>
            <w:r w:rsidR="000432CA">
              <w:rPr>
                <w:rFonts w:ascii="Arabic Typesetting" w:eastAsia="SimSun" w:hAnsi="Arabic Typesetting" w:cs="Arabic Typesetting"/>
                <w:color w:val="000000"/>
                <w:sz w:val="28"/>
                <w:szCs w:val="28"/>
                <w:rtl/>
                <w:lang w:eastAsia="zh-CN"/>
              </w:rPr>
              <w:t>والإبداع</w:t>
            </w:r>
          </w:p>
        </w:tc>
      </w:tr>
      <w:tr w:rsidR="00B31868" w:rsidRPr="00211D55" w:rsidTr="003B4669">
        <w:trPr>
          <w:cantSplit/>
        </w:trPr>
        <w:tc>
          <w:tcPr>
            <w:tcW w:w="1055" w:type="pct"/>
            <w:tcBorders>
              <w:top w:val="single" w:sz="4" w:space="0" w:color="auto"/>
            </w:tcBorders>
            <w:shd w:val="clear" w:color="auto" w:fill="auto"/>
            <w:vAlign w:val="cente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مؤشرات الأداء</w:t>
            </w:r>
          </w:p>
        </w:tc>
        <w:tc>
          <w:tcPr>
            <w:tcW w:w="1596" w:type="pct"/>
            <w:tcBorders>
              <w:top w:val="single" w:sz="4" w:space="0" w:color="auto"/>
            </w:tcBorders>
            <w:shd w:val="clear" w:color="auto" w:fill="auto"/>
            <w:vAlign w:val="center"/>
          </w:tcPr>
          <w:p w:rsidR="00B31868" w:rsidRPr="00211D55" w:rsidRDefault="00B31868" w:rsidP="00086C3F">
            <w:pPr>
              <w:bidi/>
              <w:spacing w:before="60" w:after="60" w:line="300" w:lineRule="exact"/>
              <w:rPr>
                <w:rFonts w:ascii="Arabic Typesetting" w:eastAsia="SimSun" w:hAnsi="Arabic Typesetting" w:cs="Arabic Typesetting"/>
                <w:b/>
                <w:bCs/>
                <w:sz w:val="28"/>
                <w:szCs w:val="28"/>
                <w:lang w:eastAsia="zh-CN"/>
              </w:rPr>
            </w:pPr>
            <w:r w:rsidRPr="00211D55">
              <w:rPr>
                <w:rFonts w:ascii="Arabic Typesetting" w:hAnsi="Arabic Typesetting" w:cs="Arabic Typesetting"/>
                <w:b/>
                <w:bCs/>
                <w:sz w:val="28"/>
                <w:szCs w:val="28"/>
                <w:rtl/>
              </w:rPr>
              <w:t>أسس المقارنة</w:t>
            </w:r>
          </w:p>
        </w:tc>
        <w:tc>
          <w:tcPr>
            <w:tcW w:w="606" w:type="pct"/>
            <w:tcBorders>
              <w:top w:val="single" w:sz="4" w:space="0" w:color="auto"/>
            </w:tcBorders>
            <w:shd w:val="clear" w:color="auto" w:fill="auto"/>
            <w:tcMar>
              <w:top w:w="110" w:type="dxa"/>
            </w:tcMar>
            <w:vAlign w:val="center"/>
          </w:tcPr>
          <w:p w:rsidR="00B31868" w:rsidRPr="00211D55" w:rsidRDefault="00B31868" w:rsidP="00086C3F">
            <w:pPr>
              <w:bidi/>
              <w:spacing w:before="60" w:after="60" w:line="300" w:lineRule="exact"/>
              <w:rPr>
                <w:rFonts w:ascii="Arabic Typesetting" w:eastAsia="SimSun" w:hAnsi="Arabic Typesetting" w:cs="Arabic Typesetting"/>
                <w:bCs/>
                <w:sz w:val="28"/>
                <w:szCs w:val="28"/>
                <w:lang w:eastAsia="zh-CN"/>
              </w:rPr>
            </w:pPr>
            <w:r w:rsidRPr="00211D55">
              <w:rPr>
                <w:rFonts w:ascii="Arabic Typesetting" w:hAnsi="Arabic Typesetting" w:cs="Arabic Typesetting"/>
                <w:bCs/>
                <w:sz w:val="28"/>
                <w:szCs w:val="28"/>
                <w:rtl/>
              </w:rPr>
              <w:t>الأهداف</w:t>
            </w:r>
          </w:p>
        </w:tc>
        <w:tc>
          <w:tcPr>
            <w:tcW w:w="1288" w:type="pct"/>
            <w:tcBorders>
              <w:top w:val="single" w:sz="4" w:space="0" w:color="auto"/>
            </w:tcBorders>
            <w:shd w:val="clear" w:color="auto" w:fill="FFFFFF"/>
            <w:tcMar>
              <w:top w:w="110" w:type="dxa"/>
            </w:tcMar>
            <w:vAlign w:val="cente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بيانات الأداء</w:t>
            </w:r>
          </w:p>
        </w:tc>
        <w:tc>
          <w:tcPr>
            <w:tcW w:w="455" w:type="pct"/>
            <w:tcBorders>
              <w:top w:val="single" w:sz="4" w:space="0" w:color="auto"/>
            </w:tcBorders>
            <w:shd w:val="clear" w:color="auto" w:fill="auto"/>
            <w:tcMar>
              <w:top w:w="110" w:type="dxa"/>
            </w:tcMar>
            <w:vAlign w:val="center"/>
          </w:tcPr>
          <w:p w:rsidR="00B31868" w:rsidRPr="00211D55" w:rsidRDefault="00B31868" w:rsidP="00086C3F">
            <w:pPr>
              <w:bidi/>
              <w:spacing w:before="60" w:after="60" w:line="300" w:lineRule="exact"/>
              <w:jc w:val="center"/>
              <w:rPr>
                <w:rFonts w:ascii="Arabic Typesetting" w:eastAsia="SimSun" w:hAnsi="Arabic Typesetting" w:cs="Arabic Typesetting"/>
                <w:b/>
                <w:bCs/>
                <w:sz w:val="28"/>
                <w:szCs w:val="28"/>
                <w:lang w:eastAsia="zh-CN"/>
              </w:rPr>
            </w:pPr>
            <w:r w:rsidRPr="00211D55">
              <w:rPr>
                <w:rFonts w:ascii="Arabic Typesetting" w:eastAsia="SimSun" w:hAnsi="Arabic Typesetting" w:cs="Arabic Typesetting"/>
                <w:b/>
                <w:bCs/>
                <w:sz w:val="28"/>
                <w:szCs w:val="28"/>
                <w:rtl/>
                <w:lang w:eastAsia="zh-CN"/>
              </w:rPr>
              <w:t>السير</w:t>
            </w:r>
          </w:p>
        </w:tc>
      </w:tr>
      <w:tr w:rsidR="00B31868" w:rsidRPr="00211D55" w:rsidTr="003B4669">
        <w:trPr>
          <w:cantSplit/>
        </w:trPr>
        <w:tc>
          <w:tcPr>
            <w:tcW w:w="1055" w:type="pct"/>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rtl/>
                <w:lang w:eastAsia="zh-CN" w:bidi="ar-EG"/>
              </w:rPr>
            </w:pPr>
            <w:r w:rsidRPr="00211D55">
              <w:rPr>
                <w:rFonts w:ascii="Arabic Typesetting" w:eastAsia="SimSun" w:hAnsi="Arabic Typesetting" w:cs="Arabic Typesetting"/>
                <w:color w:val="000000"/>
                <w:sz w:val="28"/>
                <w:szCs w:val="28"/>
                <w:rtl/>
                <w:lang w:eastAsia="zh-CN"/>
              </w:rPr>
              <w:t>زيادة عدد مستخدمي قاعدة بيانات</w:t>
            </w:r>
            <w:r w:rsidR="007A0A11" w:rsidRPr="00211D55">
              <w:rPr>
                <w:rFonts w:ascii="Arabic Typesetting" w:eastAsia="SimSun" w:hAnsi="Arabic Typesetting" w:cs="Arabic Typesetting"/>
                <w:color w:val="000000"/>
                <w:sz w:val="28"/>
                <w:szCs w:val="28"/>
                <w:rtl/>
                <w:lang w:eastAsia="zh-CN"/>
              </w:rPr>
              <w:t xml:space="preserve"> </w:t>
            </w:r>
            <w:r w:rsidRPr="00211D55">
              <w:rPr>
                <w:rFonts w:ascii="Arabic Typesetting" w:eastAsia="SimSun" w:hAnsi="Arabic Typesetting" w:cs="Arabic Typesetting"/>
                <w:color w:val="000000"/>
                <w:sz w:val="28"/>
                <w:szCs w:val="28"/>
                <w:lang w:eastAsia="zh-CN"/>
              </w:rPr>
              <w:t>WIPO Lex</w:t>
            </w:r>
          </w:p>
        </w:tc>
        <w:tc>
          <w:tcPr>
            <w:tcW w:w="1596" w:type="pct"/>
            <w:shd w:val="clear" w:color="auto" w:fill="auto"/>
          </w:tcPr>
          <w:p w:rsidR="00B31868" w:rsidRPr="00211D55" w:rsidRDefault="00B31868" w:rsidP="00086C3F">
            <w:pPr>
              <w:bidi/>
              <w:spacing w:before="60" w:after="60" w:line="300" w:lineRule="exact"/>
              <w:rPr>
                <w:rFonts w:ascii="Arabic Typesetting" w:eastAsiaTheme="minorHAnsi"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 xml:space="preserve">إجمالي 486 236 2 مستخدماً في </w:t>
            </w:r>
            <w:r w:rsidR="00507DE2">
              <w:rPr>
                <w:rFonts w:ascii="Arabic Typesetting" w:hAnsi="Arabic Typesetting" w:cs="Arabic Typesetting"/>
                <w:color w:val="002060"/>
                <w:sz w:val="28"/>
                <w:szCs w:val="28"/>
                <w:rtl/>
              </w:rPr>
              <w:t>2012/13</w:t>
            </w:r>
            <w:r w:rsidRPr="00211D55">
              <w:rPr>
                <w:rFonts w:ascii="Arabic Typesetting" w:hAnsi="Arabic Typesetting" w:cs="Arabic Typesetting"/>
                <w:color w:val="002060"/>
                <w:sz w:val="28"/>
                <w:szCs w:val="28"/>
                <w:rtl/>
              </w:rPr>
              <w:t xml:space="preserve"> (841 461 1 في عام 2013، 645 774 في عام 2012)</w:t>
            </w:r>
          </w:p>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930 123 1</w:t>
            </w:r>
            <w:r w:rsidRPr="00F96634">
              <w:rPr>
                <w:rFonts w:ascii="Arabic Typesetting" w:hAnsi="Arabic Typesetting" w:cs="Arabic Typesetting"/>
                <w:sz w:val="28"/>
                <w:szCs w:val="28"/>
                <w:vertAlign w:val="superscript"/>
              </w:rPr>
              <w:footnoteReference w:id="121"/>
            </w:r>
          </w:p>
        </w:tc>
        <w:tc>
          <w:tcPr>
            <w:tcW w:w="606" w:type="pct"/>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bidi="th-TH"/>
              </w:rPr>
            </w:pPr>
            <w:r w:rsidRPr="00211D55">
              <w:rPr>
                <w:rFonts w:ascii="Arabic Typesetting" w:eastAsia="SimSun" w:hAnsi="Arabic Typesetting" w:cs="Arabic Typesetting"/>
                <w:sz w:val="28"/>
                <w:szCs w:val="28"/>
                <w:rtl/>
                <w:lang w:eastAsia="zh-CN"/>
              </w:rPr>
              <w:t>20%</w:t>
            </w:r>
          </w:p>
        </w:tc>
        <w:tc>
          <w:tcPr>
            <w:tcW w:w="1288" w:type="pct"/>
            <w:shd w:val="clear" w:color="auto" w:fill="FFFFFF"/>
            <w:tcMar>
              <w:top w:w="110" w:type="dxa"/>
            </w:tcMar>
          </w:tcPr>
          <w:p w:rsidR="00B31868" w:rsidRPr="00211D55" w:rsidRDefault="007A0A11" w:rsidP="00086C3F">
            <w:pPr>
              <w:bidi/>
              <w:spacing w:before="60" w:after="60" w:line="300" w:lineRule="exact"/>
              <w:rPr>
                <w:rFonts w:ascii="Arabic Typesetting" w:eastAsia="SimSun" w:hAnsi="Arabic Typesetting" w:cs="Arabic Typesetting"/>
                <w:sz w:val="28"/>
                <w:szCs w:val="28"/>
                <w:rtl/>
                <w:lang w:eastAsia="zh-CN"/>
              </w:rPr>
            </w:pPr>
            <w:r w:rsidRPr="00211D55">
              <w:rPr>
                <w:rFonts w:ascii="Arabic Typesetting" w:eastAsia="SimSun" w:hAnsi="Arabic Typesetting" w:cs="Arabic Typesetting"/>
                <w:sz w:val="28"/>
                <w:szCs w:val="28"/>
                <w:rtl/>
                <w:lang w:eastAsia="zh-CN"/>
              </w:rPr>
              <w:t>643 350 3</w:t>
            </w:r>
            <w:r w:rsidR="00B31868" w:rsidRPr="00211D55">
              <w:rPr>
                <w:rFonts w:ascii="Arabic Typesetting" w:eastAsia="SimSun" w:hAnsi="Arabic Typesetting" w:cs="Arabic Typesetting"/>
                <w:sz w:val="28"/>
                <w:szCs w:val="28"/>
                <w:rtl/>
                <w:lang w:eastAsia="zh-CN"/>
              </w:rPr>
              <w:t xml:space="preserve"> مستخدم</w:t>
            </w:r>
            <w:r w:rsidRPr="00211D55">
              <w:rPr>
                <w:rFonts w:ascii="Arabic Typesetting" w:eastAsia="SimSun" w:hAnsi="Arabic Typesetting" w:cs="Arabic Typesetting"/>
                <w:sz w:val="28"/>
                <w:szCs w:val="28"/>
                <w:rtl/>
                <w:lang w:eastAsia="zh-CN"/>
              </w:rPr>
              <w:t>اً</w:t>
            </w:r>
            <w:r w:rsidR="00B31868" w:rsidRPr="00211D55">
              <w:rPr>
                <w:rFonts w:ascii="Arabic Typesetting" w:eastAsia="SimSun" w:hAnsi="Arabic Typesetting" w:cs="Arabic Typesetting"/>
                <w:sz w:val="28"/>
                <w:szCs w:val="28"/>
                <w:rtl/>
                <w:lang w:eastAsia="zh-CN"/>
              </w:rPr>
              <w:t xml:space="preserve"> في </w:t>
            </w:r>
            <w:r w:rsidR="00507DE2">
              <w:rPr>
                <w:rFonts w:ascii="Arabic Typesetting" w:eastAsia="SimSun" w:hAnsi="Arabic Typesetting" w:cs="Arabic Typesetting"/>
                <w:sz w:val="28"/>
                <w:szCs w:val="28"/>
                <w:rtl/>
                <w:lang w:eastAsia="zh-CN"/>
              </w:rPr>
              <w:t>2014/15</w:t>
            </w:r>
            <w:r w:rsidRPr="00211D55">
              <w:rPr>
                <w:rFonts w:ascii="Arabic Typesetting" w:eastAsia="SimSun" w:hAnsi="Arabic Typesetting" w:cs="Arabic Typesetting"/>
                <w:sz w:val="28"/>
                <w:szCs w:val="28"/>
                <w:rtl/>
                <w:lang w:eastAsia="zh-CN"/>
              </w:rPr>
              <w:t xml:space="preserve"> (زيادة بنسبة 49.8% في </w:t>
            </w:r>
            <w:r w:rsidR="00507DE2">
              <w:rPr>
                <w:rFonts w:ascii="Arabic Typesetting" w:eastAsia="SimSun" w:hAnsi="Arabic Typesetting" w:cs="Arabic Typesetting"/>
                <w:sz w:val="28"/>
                <w:szCs w:val="28"/>
                <w:rtl/>
                <w:lang w:eastAsia="zh-CN"/>
              </w:rPr>
              <w:t>2012/13</w:t>
            </w:r>
            <w:r w:rsidRPr="00211D55">
              <w:rPr>
                <w:rFonts w:ascii="Arabic Typesetting" w:eastAsia="SimSun" w:hAnsi="Arabic Typesetting" w:cs="Arabic Typesetting"/>
                <w:sz w:val="28"/>
                <w:szCs w:val="28"/>
                <w:rtl/>
                <w:lang w:eastAsia="zh-CN"/>
              </w:rPr>
              <w:t>)</w:t>
            </w:r>
          </w:p>
          <w:p w:rsidR="007A0A11" w:rsidRPr="00211D55" w:rsidRDefault="007A0A11" w:rsidP="009A3712">
            <w:pPr>
              <w:numPr>
                <w:ilvl w:val="0"/>
                <w:numId w:val="17"/>
              </w:numPr>
              <w:bidi/>
              <w:spacing w:before="60" w:after="60" w:line="300" w:lineRule="exact"/>
              <w:ind w:left="284" w:hanging="284"/>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508 506 1 (2014)</w:t>
            </w:r>
          </w:p>
          <w:p w:rsidR="007A0A11" w:rsidRPr="00211D55" w:rsidRDefault="007A0A11" w:rsidP="009A3712">
            <w:pPr>
              <w:numPr>
                <w:ilvl w:val="0"/>
                <w:numId w:val="17"/>
              </w:numPr>
              <w:bidi/>
              <w:spacing w:before="60" w:after="60" w:line="300" w:lineRule="exact"/>
              <w:ind w:left="284" w:hanging="284"/>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135 844 1 (2015)</w:t>
            </w:r>
          </w:p>
        </w:tc>
        <w:tc>
          <w:tcPr>
            <w:tcW w:w="455" w:type="pct"/>
            <w:shd w:val="clear" w:color="auto" w:fill="auto"/>
            <w:tcMar>
              <w:top w:w="110" w:type="dxa"/>
            </w:tcMar>
          </w:tcPr>
          <w:p w:rsidR="00B31868" w:rsidRPr="00211D55" w:rsidRDefault="007A0A11" w:rsidP="00086C3F">
            <w:pPr>
              <w:bidi/>
              <w:spacing w:before="60" w:after="60" w:line="300" w:lineRule="exact"/>
              <w:jc w:val="center"/>
              <w:rPr>
                <w:rFonts w:ascii="Arabic Typesetting" w:eastAsia="SimSun" w:hAnsi="Arabic Typesetting" w:cs="Arabic Typesetting"/>
                <w:bCs/>
                <w:color w:val="808080"/>
                <w:sz w:val="28"/>
                <w:szCs w:val="28"/>
                <w:lang w:eastAsia="zh-CN"/>
              </w:rPr>
            </w:pPr>
            <w:r w:rsidRPr="00211D55">
              <w:rPr>
                <w:rFonts w:ascii="Arabic Typesetting" w:eastAsia="SimSun" w:hAnsi="Arabic Typesetting" w:cs="Arabic Typesetting"/>
                <w:bCs/>
                <w:color w:val="00B050"/>
                <w:sz w:val="28"/>
                <w:szCs w:val="28"/>
                <w:rtl/>
                <w:lang w:eastAsia="zh-CN"/>
              </w:rPr>
              <w:t>محقق كلياً</w:t>
            </w:r>
          </w:p>
        </w:tc>
      </w:tr>
      <w:tr w:rsidR="00B31868" w:rsidRPr="00211D55" w:rsidTr="003B4669">
        <w:trPr>
          <w:cantSplit/>
          <w:trHeight w:val="396"/>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eastAsia="SimSun" w:hAnsi="Arabic Typesetting" w:cs="Arabic Typesetting"/>
                <w:b/>
                <w:bCs/>
                <w:sz w:val="28"/>
                <w:szCs w:val="28"/>
                <w:lang w:eastAsia="zh-CN"/>
              </w:rPr>
            </w:pPr>
            <w:r w:rsidRPr="00211D55">
              <w:rPr>
                <w:rFonts w:ascii="Arabic Typesetting" w:eastAsia="SimSun" w:hAnsi="Arabic Typesetting" w:cs="Arabic Typesetting"/>
                <w:b/>
                <w:bCs/>
                <w:sz w:val="28"/>
                <w:szCs w:val="28"/>
                <w:rtl/>
                <w:lang w:eastAsia="zh-CN"/>
              </w:rPr>
              <w:t>النتيجة المرتقبة</w:t>
            </w:r>
            <w:r w:rsidRPr="00211D55">
              <w:rPr>
                <w:rFonts w:ascii="Arabic Typesetting" w:eastAsia="SimSun" w:hAnsi="Arabic Typesetting" w:cs="Arabic Typesetting"/>
                <w:b/>
                <w:bCs/>
                <w:sz w:val="28"/>
                <w:szCs w:val="28"/>
                <w:lang w:eastAsia="zh-CN"/>
              </w:rPr>
              <w:t>:</w:t>
            </w:r>
            <w:r w:rsidRPr="00211D55">
              <w:rPr>
                <w:rFonts w:ascii="Arabic Typesetting" w:eastAsia="SimSun" w:hAnsi="Arabic Typesetting" w:cs="Arabic Typesetting"/>
                <w:b/>
                <w:bCs/>
                <w:sz w:val="28"/>
                <w:szCs w:val="28"/>
                <w:lang w:eastAsia="zh-CN"/>
              </w:rPr>
              <w:tab/>
            </w:r>
            <w:r w:rsidRPr="00211D55">
              <w:rPr>
                <w:rFonts w:ascii="Arabic Typesetting" w:eastAsia="SimSun" w:hAnsi="Arabic Typesetting" w:cs="Arabic Typesetting"/>
                <w:sz w:val="28"/>
                <w:szCs w:val="28"/>
                <w:rtl/>
                <w:lang w:eastAsia="zh-CN"/>
              </w:rPr>
              <w:t xml:space="preserve">ھ3.8 التزام </w:t>
            </w:r>
            <w:r w:rsidRPr="00211D55">
              <w:rPr>
                <w:rFonts w:ascii="Arabic Typesetting" w:eastAsia="SimSun" w:hAnsi="Arabic Typesetting" w:cs="Arabic Typesetting"/>
                <w:color w:val="000000"/>
                <w:sz w:val="28"/>
                <w:szCs w:val="28"/>
                <w:rtl/>
                <w:lang w:eastAsia="zh-CN"/>
              </w:rPr>
              <w:t>فعال</w:t>
            </w:r>
            <w:r w:rsidRPr="00211D55">
              <w:rPr>
                <w:rFonts w:ascii="Arabic Typesetting" w:eastAsia="SimSun" w:hAnsi="Arabic Typesetting" w:cs="Arabic Typesetting"/>
                <w:sz w:val="28"/>
                <w:szCs w:val="28"/>
                <w:rtl/>
                <w:lang w:eastAsia="zh-CN"/>
              </w:rPr>
              <w:t xml:space="preserve"> مع الدول الأعضاء</w:t>
            </w:r>
          </w:p>
        </w:tc>
      </w:tr>
      <w:tr w:rsidR="00B31868" w:rsidRPr="00211D55" w:rsidTr="003B4669">
        <w:trPr>
          <w:cantSplit/>
        </w:trPr>
        <w:tc>
          <w:tcPr>
            <w:tcW w:w="1055" w:type="pct"/>
            <w:tcBorders>
              <w:top w:val="single" w:sz="4" w:space="0" w:color="auto"/>
              <w:left w:val="single" w:sz="4" w:space="0" w:color="auto"/>
              <w:bottom w:val="nil"/>
            </w:tcBorders>
            <w:shd w:val="clear" w:color="auto" w:fill="auto"/>
            <w:vAlign w:val="cente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مؤشرات الأداء</w:t>
            </w:r>
          </w:p>
        </w:tc>
        <w:tc>
          <w:tcPr>
            <w:tcW w:w="1596" w:type="pct"/>
            <w:tcBorders>
              <w:top w:val="single" w:sz="4" w:space="0" w:color="auto"/>
              <w:bottom w:val="nil"/>
            </w:tcBorders>
            <w:shd w:val="clear" w:color="auto" w:fill="auto"/>
            <w:vAlign w:val="center"/>
          </w:tcPr>
          <w:p w:rsidR="00B31868" w:rsidRPr="00211D55" w:rsidRDefault="00B31868" w:rsidP="00086C3F">
            <w:pPr>
              <w:bidi/>
              <w:spacing w:before="60" w:after="60" w:line="300" w:lineRule="exact"/>
              <w:rPr>
                <w:rFonts w:ascii="Arabic Typesetting" w:eastAsia="SimSun" w:hAnsi="Arabic Typesetting" w:cs="Arabic Typesetting"/>
                <w:b/>
                <w:bCs/>
                <w:sz w:val="28"/>
                <w:szCs w:val="28"/>
                <w:lang w:eastAsia="zh-CN"/>
              </w:rPr>
            </w:pPr>
            <w:r w:rsidRPr="00211D55">
              <w:rPr>
                <w:rFonts w:ascii="Arabic Typesetting" w:hAnsi="Arabic Typesetting" w:cs="Arabic Typesetting"/>
                <w:b/>
                <w:bCs/>
                <w:sz w:val="28"/>
                <w:szCs w:val="28"/>
                <w:rtl/>
              </w:rPr>
              <w:t>أسس المقارنة</w:t>
            </w:r>
          </w:p>
        </w:tc>
        <w:tc>
          <w:tcPr>
            <w:tcW w:w="606" w:type="pct"/>
            <w:tcBorders>
              <w:top w:val="single" w:sz="4" w:space="0" w:color="auto"/>
              <w:bottom w:val="nil"/>
            </w:tcBorders>
            <w:shd w:val="clear" w:color="auto" w:fill="auto"/>
            <w:tcMar>
              <w:top w:w="110" w:type="dxa"/>
            </w:tcMar>
            <w:vAlign w:val="center"/>
          </w:tcPr>
          <w:p w:rsidR="00B31868" w:rsidRPr="00211D55" w:rsidRDefault="00B31868" w:rsidP="00086C3F">
            <w:pPr>
              <w:bidi/>
              <w:spacing w:before="60" w:after="60" w:line="300" w:lineRule="exact"/>
              <w:rPr>
                <w:rFonts w:ascii="Arabic Typesetting" w:eastAsia="SimSun" w:hAnsi="Arabic Typesetting" w:cs="Arabic Typesetting"/>
                <w:bCs/>
                <w:sz w:val="28"/>
                <w:szCs w:val="28"/>
                <w:lang w:eastAsia="zh-CN"/>
              </w:rPr>
            </w:pPr>
            <w:r w:rsidRPr="00211D55">
              <w:rPr>
                <w:rFonts w:ascii="Arabic Typesetting" w:hAnsi="Arabic Typesetting" w:cs="Arabic Typesetting"/>
                <w:bCs/>
                <w:sz w:val="28"/>
                <w:szCs w:val="28"/>
                <w:rtl/>
              </w:rPr>
              <w:t>الأهداف</w:t>
            </w:r>
          </w:p>
        </w:tc>
        <w:tc>
          <w:tcPr>
            <w:tcW w:w="1288" w:type="pct"/>
            <w:tcBorders>
              <w:top w:val="single" w:sz="4" w:space="0" w:color="auto"/>
              <w:bottom w:val="nil"/>
            </w:tcBorders>
            <w:shd w:val="clear" w:color="auto" w:fill="FFFFFF"/>
            <w:tcMar>
              <w:top w:w="110" w:type="dxa"/>
            </w:tcMar>
            <w:vAlign w:val="cente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بيانات الأداء</w:t>
            </w:r>
          </w:p>
        </w:tc>
        <w:tc>
          <w:tcPr>
            <w:tcW w:w="455" w:type="pct"/>
            <w:tcBorders>
              <w:top w:val="single" w:sz="4" w:space="0" w:color="auto"/>
              <w:bottom w:val="nil"/>
              <w:right w:val="single" w:sz="4" w:space="0" w:color="auto"/>
            </w:tcBorders>
            <w:shd w:val="clear" w:color="auto" w:fill="auto"/>
            <w:tcMar>
              <w:top w:w="110" w:type="dxa"/>
            </w:tcMar>
            <w:vAlign w:val="center"/>
          </w:tcPr>
          <w:p w:rsidR="00B31868" w:rsidRPr="00211D55" w:rsidRDefault="00B31868" w:rsidP="00086C3F">
            <w:pPr>
              <w:bidi/>
              <w:spacing w:before="60" w:after="60" w:line="300" w:lineRule="exact"/>
              <w:jc w:val="center"/>
              <w:rPr>
                <w:rFonts w:ascii="Arabic Typesetting" w:eastAsia="SimSun" w:hAnsi="Arabic Typesetting" w:cs="Arabic Typesetting"/>
                <w:b/>
                <w:bCs/>
                <w:sz w:val="28"/>
                <w:szCs w:val="28"/>
                <w:lang w:eastAsia="zh-CN"/>
              </w:rPr>
            </w:pPr>
            <w:r w:rsidRPr="00211D55">
              <w:rPr>
                <w:rFonts w:ascii="Arabic Typesetting" w:eastAsia="SimSun" w:hAnsi="Arabic Typesetting" w:cs="Arabic Typesetting"/>
                <w:b/>
                <w:bCs/>
                <w:sz w:val="28"/>
                <w:szCs w:val="28"/>
                <w:rtl/>
                <w:lang w:eastAsia="zh-CN"/>
              </w:rPr>
              <w:t>السير</w:t>
            </w:r>
          </w:p>
        </w:tc>
      </w:tr>
      <w:tr w:rsidR="00B31868" w:rsidRPr="00211D55" w:rsidTr="003B4669">
        <w:trPr>
          <w:cantSplit/>
        </w:trPr>
        <w:tc>
          <w:tcPr>
            <w:tcW w:w="1055" w:type="pct"/>
            <w:tcBorders>
              <w:top w:val="nil"/>
              <w:left w:val="single" w:sz="4" w:space="0" w:color="auto"/>
              <w:bottom w:val="nil"/>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sz w:val="28"/>
                <w:szCs w:val="28"/>
                <w:rtl/>
                <w:lang w:eastAsia="zh-CN" w:bidi="ar-EG"/>
              </w:rPr>
            </w:pPr>
            <w:r w:rsidRPr="00211D55">
              <w:rPr>
                <w:rFonts w:ascii="Arabic Typesetting" w:eastAsia="SimSun" w:hAnsi="Arabic Typesetting" w:cs="Arabic Typesetting"/>
                <w:sz w:val="28"/>
                <w:szCs w:val="28"/>
                <w:rtl/>
                <w:lang w:eastAsia="zh-CN"/>
              </w:rPr>
              <w:t>النسبة المئوية لاجتماعات اللجان التي عقدت من أجلها اجتماعات إعلامية للدول الأعضاء قبل اجتماع اللجنة</w:t>
            </w:r>
          </w:p>
        </w:tc>
        <w:tc>
          <w:tcPr>
            <w:tcW w:w="1596" w:type="pct"/>
            <w:tcBorders>
              <w:top w:val="nil"/>
              <w:bottom w:val="nil"/>
            </w:tcBorders>
            <w:shd w:val="clear" w:color="auto" w:fill="auto"/>
          </w:tcPr>
          <w:p w:rsidR="00B31868" w:rsidRPr="00211D55" w:rsidRDefault="00B31868" w:rsidP="00086C3F">
            <w:pPr>
              <w:bidi/>
              <w:spacing w:before="60" w:after="60" w:line="300" w:lineRule="exact"/>
              <w:rPr>
                <w:rFonts w:ascii="Arabic Typesetting" w:eastAsiaTheme="minorHAnsi"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81% من استقصاء لأمناء اللجان</w:t>
            </w:r>
          </w:p>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80%</w:t>
            </w:r>
          </w:p>
        </w:tc>
        <w:tc>
          <w:tcPr>
            <w:tcW w:w="606" w:type="pct"/>
            <w:tcBorders>
              <w:top w:val="nil"/>
              <w:bottom w:val="nil"/>
            </w:tcBorders>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eastAsia="SimSun" w:hAnsi="Arabic Typesetting" w:cs="Arabic Typesetting"/>
                <w:color w:val="000000"/>
                <w:sz w:val="28"/>
                <w:szCs w:val="28"/>
                <w:rtl/>
                <w:lang w:eastAsia="zh-CN"/>
              </w:rPr>
              <w:t>90%</w:t>
            </w:r>
          </w:p>
        </w:tc>
        <w:tc>
          <w:tcPr>
            <w:tcW w:w="1288" w:type="pct"/>
            <w:tcBorders>
              <w:top w:val="nil"/>
              <w:bottom w:val="nil"/>
            </w:tcBorders>
            <w:shd w:val="clear" w:color="auto" w:fill="FFFFFF"/>
            <w:tcMar>
              <w:top w:w="110" w:type="dxa"/>
            </w:tcMar>
          </w:tcPr>
          <w:p w:rsidR="00B31868" w:rsidRPr="00211D55" w:rsidRDefault="007A0A11"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97% من استقصاء لأمناء اللجان</w:t>
            </w:r>
          </w:p>
        </w:tc>
        <w:tc>
          <w:tcPr>
            <w:tcW w:w="455" w:type="pct"/>
            <w:tcBorders>
              <w:top w:val="nil"/>
              <w:bottom w:val="nil"/>
              <w:right w:val="single" w:sz="4" w:space="0" w:color="auto"/>
            </w:tcBorders>
            <w:shd w:val="clear" w:color="auto" w:fill="auto"/>
            <w:tcMar>
              <w:top w:w="110" w:type="dxa"/>
            </w:tcMar>
          </w:tcPr>
          <w:p w:rsidR="00B31868" w:rsidRPr="00211D55" w:rsidRDefault="007A0A11" w:rsidP="00086C3F">
            <w:pPr>
              <w:bidi/>
              <w:spacing w:before="60" w:after="60" w:line="300" w:lineRule="exact"/>
              <w:jc w:val="center"/>
              <w:rPr>
                <w:rFonts w:ascii="Arabic Typesetting" w:eastAsia="SimSun" w:hAnsi="Arabic Typesetting" w:cs="Arabic Typesetting"/>
                <w:bCs/>
                <w:color w:val="00B050"/>
                <w:sz w:val="28"/>
                <w:szCs w:val="28"/>
                <w:lang w:eastAsia="zh-CN"/>
              </w:rPr>
            </w:pPr>
            <w:r w:rsidRPr="00211D55">
              <w:rPr>
                <w:rFonts w:ascii="Arabic Typesetting" w:eastAsia="SimSun" w:hAnsi="Arabic Typesetting" w:cs="Arabic Typesetting"/>
                <w:bCs/>
                <w:color w:val="00B050"/>
                <w:sz w:val="28"/>
                <w:szCs w:val="28"/>
                <w:rtl/>
                <w:lang w:eastAsia="zh-CN"/>
              </w:rPr>
              <w:t>محقق كلياً</w:t>
            </w:r>
          </w:p>
        </w:tc>
      </w:tr>
      <w:tr w:rsidR="00B31868" w:rsidRPr="00211D55" w:rsidTr="003B4669">
        <w:trPr>
          <w:cantSplit/>
        </w:trPr>
        <w:tc>
          <w:tcPr>
            <w:tcW w:w="1055" w:type="pct"/>
            <w:tcBorders>
              <w:top w:val="nil"/>
              <w:left w:val="single" w:sz="4" w:space="0" w:color="auto"/>
              <w:bottom w:val="nil"/>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eastAsia="SimSun" w:hAnsi="Arabic Typesetting" w:cs="Arabic Typesetting"/>
                <w:color w:val="000000"/>
                <w:sz w:val="28"/>
                <w:szCs w:val="28"/>
                <w:rtl/>
                <w:lang w:eastAsia="zh-CN"/>
              </w:rPr>
              <w:t>النسبة المئوية لرسائل الدول الأعضاء إلى المدير العام التي أجيب عنها خلال أسبوعين</w:t>
            </w:r>
          </w:p>
        </w:tc>
        <w:tc>
          <w:tcPr>
            <w:tcW w:w="1596" w:type="pct"/>
            <w:tcBorders>
              <w:top w:val="nil"/>
              <w:bottom w:val="nil"/>
            </w:tcBorders>
            <w:shd w:val="clear" w:color="auto" w:fill="auto"/>
          </w:tcPr>
          <w:p w:rsidR="00B31868" w:rsidRPr="00211D55" w:rsidRDefault="00B31868" w:rsidP="00086C3F">
            <w:pPr>
              <w:bidi/>
              <w:spacing w:before="60" w:after="60" w:line="300" w:lineRule="exact"/>
              <w:rPr>
                <w:rFonts w:ascii="Arabic Typesetting" w:eastAsiaTheme="minorHAnsi"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81% من تقدير للمراسلات الواردة والصادرة</w:t>
            </w:r>
          </w:p>
          <w:p w:rsidR="00B31868" w:rsidRPr="00211D55" w:rsidRDefault="00B31868" w:rsidP="00086C3F">
            <w:pPr>
              <w:bidi/>
              <w:spacing w:before="60" w:after="60" w:line="300" w:lineRule="exact"/>
              <w:rPr>
                <w:rFonts w:ascii="Arabic Typesetting" w:hAnsi="Arabic Typesetting" w:cs="Arabic Typesetting"/>
                <w:i/>
                <w:color w:val="002060"/>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80%</w:t>
            </w:r>
          </w:p>
        </w:tc>
        <w:tc>
          <w:tcPr>
            <w:tcW w:w="606" w:type="pct"/>
            <w:tcBorders>
              <w:top w:val="nil"/>
              <w:bottom w:val="nil"/>
            </w:tcBorders>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eastAsia="SimSun" w:hAnsi="Arabic Typesetting" w:cs="Arabic Typesetting"/>
                <w:color w:val="000000"/>
                <w:sz w:val="28"/>
                <w:szCs w:val="28"/>
                <w:rtl/>
                <w:lang w:eastAsia="zh-CN"/>
              </w:rPr>
              <w:t>80%</w:t>
            </w:r>
          </w:p>
        </w:tc>
        <w:tc>
          <w:tcPr>
            <w:tcW w:w="1288" w:type="pct"/>
            <w:tcBorders>
              <w:top w:val="nil"/>
              <w:bottom w:val="nil"/>
            </w:tcBorders>
            <w:shd w:val="clear" w:color="auto" w:fill="FFFFFF"/>
            <w:tcMar>
              <w:top w:w="110" w:type="dxa"/>
            </w:tcMa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80%</w:t>
            </w:r>
            <w:r w:rsidR="007A0A11" w:rsidRPr="00211D55">
              <w:rPr>
                <w:rFonts w:ascii="Arabic Typesetting" w:eastAsia="SimSun" w:hAnsi="Arabic Typesetting" w:cs="Arabic Typesetting"/>
                <w:sz w:val="28"/>
                <w:szCs w:val="28"/>
                <w:rtl/>
                <w:lang w:eastAsia="zh-CN"/>
              </w:rPr>
              <w:t xml:space="preserve"> من تقدير للمراسلات الواردة والصادرة</w:t>
            </w:r>
          </w:p>
        </w:tc>
        <w:tc>
          <w:tcPr>
            <w:tcW w:w="455" w:type="pct"/>
            <w:tcBorders>
              <w:top w:val="nil"/>
              <w:bottom w:val="nil"/>
              <w:right w:val="single" w:sz="4" w:space="0" w:color="auto"/>
            </w:tcBorders>
            <w:shd w:val="clear" w:color="auto" w:fill="auto"/>
            <w:tcMar>
              <w:top w:w="110" w:type="dxa"/>
            </w:tcMar>
          </w:tcPr>
          <w:p w:rsidR="00B31868" w:rsidRPr="00211D55" w:rsidRDefault="007A0A11" w:rsidP="00086C3F">
            <w:pPr>
              <w:bidi/>
              <w:spacing w:before="60" w:after="60" w:line="300" w:lineRule="exact"/>
              <w:jc w:val="center"/>
              <w:rPr>
                <w:rFonts w:ascii="Arabic Typesetting" w:eastAsia="SimSun" w:hAnsi="Arabic Typesetting" w:cs="Arabic Typesetting"/>
                <w:bCs/>
                <w:color w:val="00B050"/>
                <w:sz w:val="28"/>
                <w:szCs w:val="28"/>
                <w:lang w:eastAsia="zh-CN"/>
              </w:rPr>
            </w:pPr>
            <w:r w:rsidRPr="00211D55">
              <w:rPr>
                <w:rFonts w:ascii="Arabic Typesetting" w:eastAsia="SimSun" w:hAnsi="Arabic Typesetting" w:cs="Arabic Typesetting"/>
                <w:bCs/>
                <w:color w:val="00B050"/>
                <w:sz w:val="28"/>
                <w:szCs w:val="28"/>
                <w:rtl/>
                <w:lang w:eastAsia="zh-CN"/>
              </w:rPr>
              <w:t>محقق كلياً</w:t>
            </w:r>
          </w:p>
        </w:tc>
      </w:tr>
      <w:tr w:rsidR="00B31868" w:rsidRPr="00211D55" w:rsidTr="003B4669">
        <w:trPr>
          <w:cantSplit/>
        </w:trPr>
        <w:tc>
          <w:tcPr>
            <w:tcW w:w="1055" w:type="pct"/>
            <w:tcBorders>
              <w:top w:val="nil"/>
              <w:left w:val="single" w:sz="4" w:space="0" w:color="auto"/>
              <w:bottom w:val="nil"/>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highlight w:val="yellow"/>
                <w:rtl/>
                <w:lang w:eastAsia="zh-CN"/>
              </w:rPr>
            </w:pPr>
            <w:r w:rsidRPr="00211D55">
              <w:rPr>
                <w:rFonts w:ascii="Arabic Typesetting" w:eastAsia="SimSun" w:hAnsi="Arabic Typesetting" w:cs="Arabic Typesetting"/>
                <w:color w:val="000000"/>
                <w:sz w:val="28"/>
                <w:szCs w:val="28"/>
                <w:rtl/>
                <w:lang w:eastAsia="zh-CN"/>
              </w:rPr>
              <w:t xml:space="preserve">النسبة المئوية </w:t>
            </w:r>
            <w:proofErr w:type="spellStart"/>
            <w:r w:rsidRPr="00211D55">
              <w:rPr>
                <w:rFonts w:ascii="Arabic Typesetting" w:eastAsia="SimSun" w:hAnsi="Arabic Typesetting" w:cs="Arabic Typesetting"/>
                <w:color w:val="000000"/>
                <w:sz w:val="28"/>
                <w:szCs w:val="28"/>
                <w:rtl/>
                <w:lang w:eastAsia="zh-CN"/>
              </w:rPr>
              <w:t>لإخطارات</w:t>
            </w:r>
            <w:proofErr w:type="spellEnd"/>
            <w:r w:rsidRPr="00211D55">
              <w:rPr>
                <w:rFonts w:ascii="Arabic Typesetting" w:eastAsia="SimSun" w:hAnsi="Arabic Typesetting" w:cs="Arabic Typesetting"/>
                <w:color w:val="000000"/>
                <w:sz w:val="28"/>
                <w:szCs w:val="28"/>
                <w:rtl/>
                <w:lang w:eastAsia="zh-CN"/>
              </w:rPr>
              <w:t xml:space="preserve"> انضمام الدول الأعضاء وغيره من الأعمال المتعلقة بمعاهدات الويبو التي عولجت في الوقت المناسب</w:t>
            </w:r>
          </w:p>
        </w:tc>
        <w:tc>
          <w:tcPr>
            <w:tcW w:w="1596" w:type="pct"/>
            <w:tcBorders>
              <w:top w:val="nil"/>
              <w:bottom w:val="nil"/>
            </w:tcBorders>
            <w:shd w:val="clear" w:color="auto" w:fill="auto"/>
          </w:tcPr>
          <w:p w:rsidR="00B31868" w:rsidRPr="00211D55" w:rsidRDefault="00B31868" w:rsidP="00086C3F">
            <w:pPr>
              <w:bidi/>
              <w:spacing w:before="60" w:after="60" w:line="300" w:lineRule="exact"/>
              <w:rPr>
                <w:rFonts w:ascii="Arabic Typesetting" w:eastAsiaTheme="minorHAnsi"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i/>
                <w:sz w:val="28"/>
                <w:szCs w:val="28"/>
                <w:rtl/>
              </w:rPr>
              <w:t xml:space="preserve">معالجة 98% من </w:t>
            </w:r>
            <w:proofErr w:type="spellStart"/>
            <w:r w:rsidRPr="00211D55">
              <w:rPr>
                <w:rFonts w:ascii="Arabic Typesetting" w:hAnsi="Arabic Typesetting" w:cs="Arabic Typesetting"/>
                <w:i/>
                <w:sz w:val="28"/>
                <w:szCs w:val="28"/>
                <w:rtl/>
              </w:rPr>
              <w:t>إخطارات</w:t>
            </w:r>
            <w:proofErr w:type="spellEnd"/>
            <w:r w:rsidRPr="00211D55">
              <w:rPr>
                <w:rFonts w:ascii="Arabic Typesetting" w:hAnsi="Arabic Typesetting" w:cs="Arabic Typesetting"/>
                <w:i/>
                <w:sz w:val="28"/>
                <w:szCs w:val="28"/>
                <w:rtl/>
              </w:rPr>
              <w:t xml:space="preserve"> الانضمام وغيره من الأعمال المتعلقة بالمعاهدات في غضون ثلاثة أيام.</w:t>
            </w:r>
          </w:p>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معالجة 95% في غضون ثلاثة أيام (نهاية 2012)</w:t>
            </w:r>
          </w:p>
        </w:tc>
        <w:tc>
          <w:tcPr>
            <w:tcW w:w="606" w:type="pct"/>
            <w:tcBorders>
              <w:top w:val="nil"/>
              <w:bottom w:val="nil"/>
            </w:tcBorders>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eastAsia="SimSun" w:hAnsi="Arabic Typesetting" w:cs="Arabic Typesetting"/>
                <w:color w:val="000000"/>
                <w:sz w:val="28"/>
                <w:szCs w:val="28"/>
                <w:rtl/>
                <w:lang w:eastAsia="zh-CN"/>
              </w:rPr>
              <w:t>معالجة 90% في غضون ثلاثة أيام</w:t>
            </w:r>
          </w:p>
        </w:tc>
        <w:tc>
          <w:tcPr>
            <w:tcW w:w="1288" w:type="pct"/>
            <w:tcBorders>
              <w:top w:val="nil"/>
              <w:bottom w:val="nil"/>
            </w:tcBorders>
            <w:shd w:val="clear" w:color="auto" w:fill="FFFFFF"/>
            <w:tcMar>
              <w:top w:w="110" w:type="dxa"/>
            </w:tcMa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 xml:space="preserve">معالجة </w:t>
            </w:r>
            <w:r w:rsidR="007A0A11" w:rsidRPr="00211D55">
              <w:rPr>
                <w:rFonts w:ascii="Arabic Typesetting" w:eastAsia="SimSun" w:hAnsi="Arabic Typesetting" w:cs="Arabic Typesetting"/>
                <w:sz w:val="28"/>
                <w:szCs w:val="28"/>
                <w:rtl/>
                <w:lang w:eastAsia="zh-CN"/>
              </w:rPr>
              <w:t>90</w:t>
            </w:r>
            <w:r w:rsidRPr="00211D55">
              <w:rPr>
                <w:rFonts w:ascii="Arabic Typesetting" w:eastAsia="SimSun" w:hAnsi="Arabic Typesetting" w:cs="Arabic Typesetting"/>
                <w:sz w:val="28"/>
                <w:szCs w:val="28"/>
                <w:rtl/>
                <w:lang w:eastAsia="zh-CN"/>
              </w:rPr>
              <w:t xml:space="preserve">% من </w:t>
            </w:r>
            <w:proofErr w:type="spellStart"/>
            <w:r w:rsidRPr="00211D55">
              <w:rPr>
                <w:rFonts w:ascii="Arabic Typesetting" w:eastAsia="SimSun" w:hAnsi="Arabic Typesetting" w:cs="Arabic Typesetting"/>
                <w:sz w:val="28"/>
                <w:szCs w:val="28"/>
                <w:rtl/>
                <w:lang w:eastAsia="zh-CN"/>
              </w:rPr>
              <w:t>إخطارات</w:t>
            </w:r>
            <w:proofErr w:type="spellEnd"/>
            <w:r w:rsidRPr="00211D55">
              <w:rPr>
                <w:rFonts w:ascii="Arabic Typesetting" w:eastAsia="SimSun" w:hAnsi="Arabic Typesetting" w:cs="Arabic Typesetting"/>
                <w:sz w:val="28"/>
                <w:szCs w:val="28"/>
                <w:rtl/>
                <w:lang w:eastAsia="zh-CN"/>
              </w:rPr>
              <w:t xml:space="preserve"> الانضمام وغيره من الأعمال المتعلقة بالمعاهدات في غضون ثلاثة أيام</w:t>
            </w:r>
          </w:p>
        </w:tc>
        <w:tc>
          <w:tcPr>
            <w:tcW w:w="455" w:type="pct"/>
            <w:tcBorders>
              <w:top w:val="nil"/>
              <w:bottom w:val="nil"/>
              <w:right w:val="single" w:sz="4" w:space="0" w:color="auto"/>
            </w:tcBorders>
            <w:shd w:val="clear" w:color="auto" w:fill="auto"/>
            <w:tcMar>
              <w:top w:w="110" w:type="dxa"/>
            </w:tcMar>
          </w:tcPr>
          <w:p w:rsidR="00B31868" w:rsidRPr="00211D55" w:rsidRDefault="007A0A11" w:rsidP="00086C3F">
            <w:pPr>
              <w:bidi/>
              <w:spacing w:before="60" w:after="60" w:line="300" w:lineRule="exact"/>
              <w:jc w:val="center"/>
              <w:rPr>
                <w:rFonts w:ascii="Arabic Typesetting" w:eastAsia="SimSun" w:hAnsi="Arabic Typesetting" w:cs="Arabic Typesetting"/>
                <w:bCs/>
                <w:color w:val="00B050"/>
                <w:sz w:val="28"/>
                <w:szCs w:val="28"/>
                <w:lang w:eastAsia="zh-CN"/>
              </w:rPr>
            </w:pPr>
            <w:r w:rsidRPr="00211D55">
              <w:rPr>
                <w:rFonts w:ascii="Arabic Typesetting" w:eastAsia="SimSun" w:hAnsi="Arabic Typesetting" w:cs="Arabic Typesetting"/>
                <w:bCs/>
                <w:color w:val="00B050"/>
                <w:sz w:val="28"/>
                <w:szCs w:val="28"/>
                <w:rtl/>
                <w:lang w:eastAsia="zh-CN"/>
              </w:rPr>
              <w:t>محقق كلياً</w:t>
            </w:r>
          </w:p>
        </w:tc>
      </w:tr>
      <w:tr w:rsidR="00B31868" w:rsidRPr="00211D55" w:rsidTr="00A55940">
        <w:trPr>
          <w:cantSplit/>
        </w:trPr>
        <w:tc>
          <w:tcPr>
            <w:tcW w:w="1055" w:type="pct"/>
            <w:tcBorders>
              <w:top w:val="nil"/>
              <w:left w:val="single" w:sz="4" w:space="0" w:color="auto"/>
              <w:bottom w:val="single" w:sz="4" w:space="0" w:color="auto"/>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bidi="ar-EG"/>
              </w:rPr>
            </w:pPr>
            <w:r w:rsidRPr="00211D55">
              <w:rPr>
                <w:rFonts w:ascii="Arabic Typesetting" w:eastAsia="SimSun" w:hAnsi="Arabic Typesetting" w:cs="Arabic Typesetting"/>
                <w:color w:val="000000"/>
                <w:sz w:val="28"/>
                <w:szCs w:val="28"/>
                <w:rtl/>
                <w:lang w:eastAsia="zh-CN"/>
              </w:rPr>
              <w:t>مستويات رضا الدول الأعضاء عن إعداد الجمعيات وأدائها</w:t>
            </w:r>
          </w:p>
        </w:tc>
        <w:tc>
          <w:tcPr>
            <w:tcW w:w="1596" w:type="pct"/>
            <w:tcBorders>
              <w:top w:val="nil"/>
              <w:bottom w:val="single" w:sz="4" w:space="0" w:color="auto"/>
            </w:tcBorders>
            <w:shd w:val="clear" w:color="auto" w:fill="auto"/>
          </w:tcPr>
          <w:p w:rsidR="00B31868" w:rsidRPr="00211D55" w:rsidRDefault="00B31868" w:rsidP="00086C3F">
            <w:pPr>
              <w:bidi/>
              <w:spacing w:before="60" w:after="60" w:line="300" w:lineRule="exact"/>
              <w:rPr>
                <w:rFonts w:ascii="Arabic Typesetting"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eastAsia="SimSun" w:hAnsi="Arabic Typesetting" w:cs="Arabic Typesetting"/>
                <w:sz w:val="28"/>
                <w:szCs w:val="28"/>
                <w:rtl/>
                <w:lang w:eastAsia="zh-CN"/>
              </w:rPr>
              <w:t>88% من استقصاء جمعيات الويبو لعام 2012 (لم يتسن إجراء استقصاء في عام 2013 نتيجة لظروف استثنائية، وسوف يُجرى الاستقصاء مجدداً في 2014).</w:t>
            </w:r>
          </w:p>
          <w:p w:rsidR="00B31868" w:rsidRPr="00211D55" w:rsidRDefault="00B31868" w:rsidP="00086C3F">
            <w:pPr>
              <w:bidi/>
              <w:spacing w:before="60" w:after="60" w:line="300" w:lineRule="exact"/>
              <w:rPr>
                <w:rFonts w:ascii="Arabic Typesetting" w:hAnsi="Arabic Typesetting" w:cs="Arabic Typesetting"/>
                <w:i/>
                <w:color w:val="002060"/>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88% </w:t>
            </w:r>
            <w:r w:rsidRPr="00211D55">
              <w:rPr>
                <w:rFonts w:ascii="Arabic Typesetting" w:hAnsi="Arabic Typesetting" w:cs="Arabic Typesetting"/>
                <w:sz w:val="28"/>
                <w:szCs w:val="28"/>
                <w:rtl/>
              </w:rPr>
              <w:t>راضون عن الترتيبات</w:t>
            </w:r>
          </w:p>
        </w:tc>
        <w:tc>
          <w:tcPr>
            <w:tcW w:w="606" w:type="pct"/>
            <w:tcBorders>
              <w:top w:val="nil"/>
              <w:bottom w:val="single" w:sz="4" w:space="0" w:color="auto"/>
            </w:tcBorders>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eastAsia="SimSun" w:hAnsi="Arabic Typesetting" w:cs="Arabic Typesetting"/>
                <w:color w:val="000000"/>
                <w:sz w:val="28"/>
                <w:szCs w:val="28"/>
                <w:rtl/>
                <w:lang w:eastAsia="zh-CN"/>
              </w:rPr>
              <w:t>85% راضون عن الترتيبات</w:t>
            </w:r>
          </w:p>
        </w:tc>
        <w:tc>
          <w:tcPr>
            <w:tcW w:w="1288" w:type="pct"/>
            <w:tcBorders>
              <w:top w:val="nil"/>
              <w:bottom w:val="single" w:sz="4" w:space="0" w:color="auto"/>
            </w:tcBorders>
            <w:shd w:val="clear" w:color="auto" w:fill="FFFFFF"/>
            <w:tcMar>
              <w:top w:w="110" w:type="dxa"/>
            </w:tcMar>
          </w:tcPr>
          <w:p w:rsidR="00B31868" w:rsidRPr="00211D55" w:rsidRDefault="00B31868" w:rsidP="00086C3F">
            <w:pPr>
              <w:bidi/>
              <w:spacing w:before="60" w:after="60" w:line="300" w:lineRule="exact"/>
              <w:rPr>
                <w:rFonts w:ascii="Arabic Typesetting" w:eastAsia="SimSun" w:hAnsi="Arabic Typesetting" w:cs="Arabic Typesetting"/>
                <w:sz w:val="28"/>
                <w:szCs w:val="28"/>
                <w:rtl/>
                <w:lang w:eastAsia="zh-CN"/>
              </w:rPr>
            </w:pPr>
            <w:r w:rsidRPr="00211D55">
              <w:rPr>
                <w:rFonts w:ascii="Arabic Typesetting" w:eastAsia="SimSun" w:hAnsi="Arabic Typesetting" w:cs="Arabic Typesetting"/>
                <w:sz w:val="28"/>
                <w:szCs w:val="28"/>
                <w:rtl/>
                <w:lang w:eastAsia="zh-CN"/>
              </w:rPr>
              <w:t>87% (استقصاء جمعيات الويبو لعام 2014</w:t>
            </w:r>
            <w:r w:rsidRPr="00F96634">
              <w:rPr>
                <w:rFonts w:ascii="Arabic Typesetting" w:eastAsia="SimSun" w:hAnsi="Arabic Typesetting" w:cs="Arabic Typesetting"/>
                <w:sz w:val="28"/>
                <w:szCs w:val="28"/>
                <w:vertAlign w:val="superscript"/>
                <w:lang w:eastAsia="zh-CN"/>
              </w:rPr>
              <w:footnoteReference w:id="122"/>
            </w:r>
            <w:r w:rsidRPr="00211D55">
              <w:rPr>
                <w:rFonts w:ascii="Arabic Typesetting" w:eastAsia="SimSun" w:hAnsi="Arabic Typesetting" w:cs="Arabic Typesetting"/>
                <w:sz w:val="28"/>
                <w:szCs w:val="28"/>
                <w:rtl/>
                <w:lang w:eastAsia="zh-CN"/>
              </w:rPr>
              <w:t>)</w:t>
            </w:r>
          </w:p>
          <w:p w:rsidR="007A0A11" w:rsidRPr="00211D55" w:rsidRDefault="007A0A11"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90% (استقصاء جمعيات الويبو لعام 2015)</w:t>
            </w:r>
          </w:p>
        </w:tc>
        <w:tc>
          <w:tcPr>
            <w:tcW w:w="455" w:type="pct"/>
            <w:tcBorders>
              <w:top w:val="nil"/>
              <w:bottom w:val="single" w:sz="4" w:space="0" w:color="auto"/>
              <w:right w:val="single" w:sz="4" w:space="0" w:color="auto"/>
            </w:tcBorders>
            <w:shd w:val="clear" w:color="auto" w:fill="auto"/>
            <w:tcMar>
              <w:top w:w="110" w:type="dxa"/>
            </w:tcMar>
          </w:tcPr>
          <w:p w:rsidR="00B31868" w:rsidRPr="00211D55" w:rsidRDefault="007A0A11" w:rsidP="00086C3F">
            <w:pPr>
              <w:bidi/>
              <w:spacing w:before="60" w:after="60" w:line="300" w:lineRule="exact"/>
              <w:jc w:val="center"/>
              <w:rPr>
                <w:rFonts w:ascii="Arabic Typesetting" w:eastAsia="SimSun" w:hAnsi="Arabic Typesetting" w:cs="Arabic Typesetting"/>
                <w:bCs/>
                <w:color w:val="FF0000"/>
                <w:sz w:val="28"/>
                <w:szCs w:val="28"/>
                <w:lang w:eastAsia="zh-CN"/>
              </w:rPr>
            </w:pPr>
            <w:r w:rsidRPr="00211D55">
              <w:rPr>
                <w:rFonts w:ascii="Arabic Typesetting" w:eastAsia="SimSun" w:hAnsi="Arabic Typesetting" w:cs="Arabic Typesetting"/>
                <w:bCs/>
                <w:color w:val="00B050"/>
                <w:sz w:val="28"/>
                <w:szCs w:val="28"/>
                <w:rtl/>
                <w:lang w:eastAsia="zh-CN"/>
              </w:rPr>
              <w:t>محقق كلياً</w:t>
            </w:r>
          </w:p>
        </w:tc>
      </w:tr>
      <w:tr w:rsidR="00B31868" w:rsidRPr="00211D55" w:rsidTr="00A55940">
        <w:trPr>
          <w:cantSplit/>
        </w:trPr>
        <w:tc>
          <w:tcPr>
            <w:tcW w:w="1055" w:type="pct"/>
            <w:tcBorders>
              <w:top w:val="single" w:sz="4" w:space="0" w:color="auto"/>
              <w:left w:val="single" w:sz="4" w:space="0" w:color="auto"/>
              <w:bottom w:val="single" w:sz="4" w:space="0" w:color="auto"/>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eastAsia="SimSun" w:hAnsi="Arabic Typesetting" w:cs="Arabic Typesetting"/>
                <w:color w:val="000000"/>
                <w:sz w:val="28"/>
                <w:szCs w:val="28"/>
                <w:rtl/>
                <w:lang w:eastAsia="zh-CN"/>
              </w:rPr>
              <w:lastRenderedPageBreak/>
              <w:t>نشر وثائق الجمعيات في الوقت المحدد</w:t>
            </w:r>
          </w:p>
        </w:tc>
        <w:tc>
          <w:tcPr>
            <w:tcW w:w="1596" w:type="pct"/>
            <w:tcBorders>
              <w:top w:val="single" w:sz="4" w:space="0" w:color="auto"/>
              <w:bottom w:val="single" w:sz="4" w:space="0" w:color="auto"/>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eastAsia="SimSun" w:hAnsi="Arabic Typesetting" w:cs="Arabic Typesetting"/>
                <w:sz w:val="28"/>
                <w:szCs w:val="28"/>
                <w:rtl/>
                <w:lang w:eastAsia="zh-CN"/>
              </w:rPr>
              <w:t>نُشرت 95% من جميع الوثائق قبل انعقاد الجمعيات بشهرين على الأقل في حالة الجمعيات العادية</w:t>
            </w:r>
          </w:p>
          <w:p w:rsidR="00B31868" w:rsidRPr="00211D55" w:rsidRDefault="00B31868" w:rsidP="00086C3F">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نشرت 100% من الوثائق ذات الصلة قبل انعقاد الجمعيات بشهرين</w:t>
            </w:r>
          </w:p>
        </w:tc>
        <w:tc>
          <w:tcPr>
            <w:tcW w:w="606" w:type="pct"/>
            <w:tcBorders>
              <w:top w:val="single" w:sz="4" w:space="0" w:color="auto"/>
              <w:bottom w:val="single" w:sz="4" w:space="0" w:color="auto"/>
            </w:tcBorders>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eastAsia="SimSun" w:hAnsi="Arabic Typesetting" w:cs="Arabic Typesetting"/>
                <w:color w:val="000000"/>
                <w:sz w:val="28"/>
                <w:szCs w:val="28"/>
                <w:rtl/>
                <w:lang w:eastAsia="zh-CN"/>
              </w:rPr>
              <w:t>نشرت 100% من الوثائق ذات الصلة قبل انعقاد الجمعيات بشهرين</w:t>
            </w:r>
          </w:p>
        </w:tc>
        <w:tc>
          <w:tcPr>
            <w:tcW w:w="1288" w:type="pct"/>
            <w:tcBorders>
              <w:top w:val="single" w:sz="4" w:space="0" w:color="auto"/>
              <w:bottom w:val="single" w:sz="4" w:space="0" w:color="auto"/>
            </w:tcBorders>
            <w:shd w:val="clear" w:color="auto" w:fill="FFFFFF"/>
            <w:tcMar>
              <w:top w:w="110" w:type="dxa"/>
            </w:tcMar>
          </w:tcPr>
          <w:p w:rsidR="00FF621C" w:rsidRPr="00211D55" w:rsidRDefault="00FF621C" w:rsidP="00086C3F">
            <w:pPr>
              <w:bidi/>
              <w:spacing w:before="60" w:after="60" w:line="300" w:lineRule="exact"/>
              <w:rPr>
                <w:rFonts w:ascii="Arabic Typesetting" w:eastAsia="SimSun" w:hAnsi="Arabic Typesetting" w:cs="Arabic Typesetting"/>
                <w:sz w:val="28"/>
                <w:szCs w:val="28"/>
                <w:rtl/>
                <w:lang w:eastAsia="zh-CN"/>
              </w:rPr>
            </w:pPr>
            <w:r w:rsidRPr="00211D55">
              <w:rPr>
                <w:rFonts w:ascii="Arabic Typesetting" w:eastAsia="SimSun" w:hAnsi="Arabic Typesetting" w:cs="Arabic Typesetting"/>
                <w:sz w:val="28"/>
                <w:szCs w:val="28"/>
                <w:rtl/>
                <w:lang w:eastAsia="zh-CN"/>
              </w:rPr>
              <w:t xml:space="preserve">في </w:t>
            </w:r>
            <w:r w:rsidR="00507DE2">
              <w:rPr>
                <w:rFonts w:ascii="Arabic Typesetting" w:eastAsia="SimSun" w:hAnsi="Arabic Typesetting" w:cs="Arabic Typesetting"/>
                <w:sz w:val="28"/>
                <w:szCs w:val="28"/>
                <w:rtl/>
                <w:lang w:eastAsia="zh-CN"/>
              </w:rPr>
              <w:t>2014/15</w:t>
            </w:r>
            <w:r w:rsidRPr="00211D55">
              <w:rPr>
                <w:rFonts w:ascii="Arabic Typesetting" w:eastAsia="SimSun" w:hAnsi="Arabic Typesetting" w:cs="Arabic Typesetting"/>
                <w:sz w:val="28"/>
                <w:szCs w:val="28"/>
                <w:rtl/>
                <w:lang w:eastAsia="zh-CN"/>
              </w:rPr>
              <w:t xml:space="preserve">، </w:t>
            </w:r>
            <w:r w:rsidR="00B31868" w:rsidRPr="00211D55">
              <w:rPr>
                <w:rFonts w:ascii="Arabic Typesetting" w:eastAsia="SimSun" w:hAnsi="Arabic Typesetting" w:cs="Arabic Typesetting"/>
                <w:sz w:val="28"/>
                <w:szCs w:val="28"/>
                <w:rtl/>
                <w:lang w:eastAsia="zh-CN"/>
              </w:rPr>
              <w:t xml:space="preserve">نُشرت </w:t>
            </w:r>
            <w:r w:rsidRPr="00211D55">
              <w:rPr>
                <w:rFonts w:ascii="Arabic Typesetting" w:eastAsia="SimSun" w:hAnsi="Arabic Typesetting" w:cs="Arabic Typesetting"/>
                <w:sz w:val="28"/>
                <w:szCs w:val="28"/>
                <w:rtl/>
                <w:lang w:eastAsia="zh-CN"/>
              </w:rPr>
              <w:t>97</w:t>
            </w:r>
            <w:r w:rsidR="00B31868" w:rsidRPr="00211D55">
              <w:rPr>
                <w:rFonts w:ascii="Arabic Typesetting" w:eastAsia="SimSun" w:hAnsi="Arabic Typesetting" w:cs="Arabic Typesetting"/>
                <w:sz w:val="28"/>
                <w:szCs w:val="28"/>
                <w:rtl/>
                <w:lang w:eastAsia="zh-CN"/>
              </w:rPr>
              <w:t xml:space="preserve">% من جميع الوثائق ذات الصلة قبل انعقاد </w:t>
            </w:r>
            <w:r w:rsidRPr="00211D55">
              <w:rPr>
                <w:rFonts w:ascii="Arabic Typesetting" w:eastAsia="SimSun" w:hAnsi="Arabic Typesetting" w:cs="Arabic Typesetting"/>
                <w:sz w:val="28"/>
                <w:szCs w:val="28"/>
                <w:rtl/>
                <w:lang w:eastAsia="zh-CN"/>
              </w:rPr>
              <w:t>ال</w:t>
            </w:r>
            <w:r w:rsidR="00B31868" w:rsidRPr="00211D55">
              <w:rPr>
                <w:rFonts w:ascii="Arabic Typesetting" w:eastAsia="SimSun" w:hAnsi="Arabic Typesetting" w:cs="Arabic Typesetting"/>
                <w:sz w:val="28"/>
                <w:szCs w:val="28"/>
                <w:rtl/>
                <w:lang w:eastAsia="zh-CN"/>
              </w:rPr>
              <w:t>جمعيات بشهرين على الأقل</w:t>
            </w:r>
            <w:r w:rsidRPr="00211D55">
              <w:rPr>
                <w:rFonts w:ascii="Arabic Typesetting" w:eastAsia="SimSun" w:hAnsi="Arabic Typesetting" w:cs="Arabic Typesetting"/>
                <w:sz w:val="28"/>
                <w:szCs w:val="28"/>
                <w:rtl/>
                <w:lang w:eastAsia="zh-CN"/>
              </w:rPr>
              <w:t>:</w:t>
            </w:r>
          </w:p>
          <w:p w:rsidR="00FF621C" w:rsidRPr="00211D55" w:rsidRDefault="00FF621C" w:rsidP="009A3712">
            <w:pPr>
              <w:numPr>
                <w:ilvl w:val="0"/>
                <w:numId w:val="17"/>
              </w:numPr>
              <w:bidi/>
              <w:spacing w:before="60" w:after="60" w:line="300" w:lineRule="exact"/>
              <w:ind w:left="284" w:hanging="284"/>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95% في جمعيات 2014</w:t>
            </w:r>
          </w:p>
          <w:p w:rsidR="00B31868" w:rsidRPr="00211D55" w:rsidRDefault="00FF621C" w:rsidP="009A3712">
            <w:pPr>
              <w:numPr>
                <w:ilvl w:val="0"/>
                <w:numId w:val="17"/>
              </w:numPr>
              <w:bidi/>
              <w:spacing w:before="60" w:after="60" w:line="300" w:lineRule="exact"/>
              <w:ind w:left="284" w:hanging="284"/>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99.5% في جمعيات 2015</w:t>
            </w:r>
          </w:p>
        </w:tc>
        <w:tc>
          <w:tcPr>
            <w:tcW w:w="455" w:type="pct"/>
            <w:tcBorders>
              <w:top w:val="single" w:sz="4" w:space="0" w:color="auto"/>
              <w:bottom w:val="single" w:sz="4" w:space="0" w:color="auto"/>
              <w:right w:val="single" w:sz="4" w:space="0" w:color="auto"/>
            </w:tcBorders>
            <w:shd w:val="clear" w:color="auto" w:fill="auto"/>
            <w:tcMar>
              <w:top w:w="110" w:type="dxa"/>
            </w:tcMar>
          </w:tcPr>
          <w:p w:rsidR="00B31868" w:rsidRPr="00211D55" w:rsidRDefault="00FF621C" w:rsidP="00086C3F">
            <w:pPr>
              <w:bidi/>
              <w:spacing w:before="60" w:after="60" w:line="300" w:lineRule="exact"/>
              <w:jc w:val="center"/>
              <w:rPr>
                <w:rFonts w:ascii="Arabic Typesetting" w:eastAsia="SimSun" w:hAnsi="Arabic Typesetting" w:cs="Arabic Typesetting"/>
                <w:bCs/>
                <w:color w:val="FF0000"/>
                <w:sz w:val="28"/>
                <w:szCs w:val="28"/>
                <w:lang w:eastAsia="zh-CN"/>
              </w:rPr>
            </w:pPr>
            <w:r w:rsidRPr="00211D55">
              <w:rPr>
                <w:rFonts w:ascii="Arabic Typesetting" w:eastAsia="SimSun" w:hAnsi="Arabic Typesetting" w:cs="Arabic Typesetting"/>
                <w:bCs/>
                <w:color w:val="00B050"/>
                <w:sz w:val="28"/>
                <w:szCs w:val="28"/>
                <w:rtl/>
                <w:lang w:eastAsia="zh-CN"/>
              </w:rPr>
              <w:t>محقق كلياً</w:t>
            </w:r>
          </w:p>
        </w:tc>
      </w:tr>
      <w:tr w:rsidR="00B31868" w:rsidRPr="00211D55" w:rsidTr="003B4669">
        <w:trPr>
          <w:cantSplit/>
          <w:trHeight w:val="430"/>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eastAsia="SimSun" w:hAnsi="Arabic Typesetting" w:cs="Arabic Typesetting"/>
                <w:b/>
                <w:bCs/>
                <w:sz w:val="28"/>
                <w:szCs w:val="28"/>
                <w:lang w:eastAsia="zh-CN" w:bidi="ar-EG"/>
              </w:rPr>
            </w:pPr>
            <w:r w:rsidRPr="00211D55">
              <w:rPr>
                <w:rFonts w:ascii="Arabic Typesetting" w:eastAsia="SimSun" w:hAnsi="Arabic Typesetting" w:cs="Arabic Typesetting"/>
                <w:b/>
                <w:bCs/>
                <w:sz w:val="28"/>
                <w:szCs w:val="28"/>
                <w:rtl/>
                <w:lang w:eastAsia="zh-CN"/>
              </w:rPr>
              <w:t>النتيجة المرتقبة</w:t>
            </w:r>
            <w:r w:rsidRPr="00211D55">
              <w:rPr>
                <w:rFonts w:ascii="Arabic Typesetting" w:eastAsia="SimSun" w:hAnsi="Arabic Typesetting" w:cs="Arabic Typesetting"/>
                <w:b/>
                <w:bCs/>
                <w:sz w:val="28"/>
                <w:szCs w:val="28"/>
                <w:lang w:eastAsia="zh-CN"/>
              </w:rPr>
              <w:t>:</w:t>
            </w:r>
            <w:r w:rsidRPr="00211D55">
              <w:rPr>
                <w:rFonts w:ascii="Arabic Typesetting" w:eastAsia="SimSun" w:hAnsi="Arabic Typesetting" w:cs="Arabic Typesetting"/>
                <w:b/>
                <w:bCs/>
                <w:sz w:val="28"/>
                <w:szCs w:val="28"/>
                <w:lang w:eastAsia="zh-CN"/>
              </w:rPr>
              <w:tab/>
            </w:r>
            <w:r w:rsidRPr="00211D55">
              <w:rPr>
                <w:rFonts w:ascii="Arabic Typesetting" w:eastAsia="SimSun" w:hAnsi="Arabic Typesetting" w:cs="Arabic Typesetting"/>
                <w:color w:val="000000"/>
                <w:sz w:val="28"/>
                <w:szCs w:val="28"/>
                <w:rtl/>
                <w:lang w:eastAsia="zh-CN"/>
              </w:rPr>
              <w:t xml:space="preserve">ھ5.8 </w:t>
            </w:r>
            <w:r w:rsidR="0099688F">
              <w:rPr>
                <w:rFonts w:ascii="Arabic Typesetting" w:eastAsia="SimSun" w:hAnsi="Arabic Typesetting" w:cs="Arabic Typesetting"/>
                <w:color w:val="000000"/>
                <w:sz w:val="28"/>
                <w:szCs w:val="28"/>
                <w:rtl/>
                <w:lang w:eastAsia="zh-CN"/>
              </w:rPr>
              <w:t>تفاعل الويبو وتشاركها بفعالية مع مسارات ومفاوضات الأمم المتحدة وسائر المنظمات الحكومية الدولية</w:t>
            </w:r>
          </w:p>
        </w:tc>
      </w:tr>
      <w:tr w:rsidR="00B31868" w:rsidRPr="00211D55" w:rsidTr="003B4669">
        <w:trPr>
          <w:cantSplit/>
        </w:trPr>
        <w:tc>
          <w:tcPr>
            <w:tcW w:w="1055" w:type="pct"/>
            <w:tcBorders>
              <w:top w:val="single" w:sz="4" w:space="0" w:color="auto"/>
            </w:tcBorders>
            <w:shd w:val="clear" w:color="auto" w:fill="auto"/>
            <w:vAlign w:val="center"/>
          </w:tcPr>
          <w:p w:rsidR="00B31868" w:rsidRPr="00211D55" w:rsidRDefault="00B31868" w:rsidP="00086C3F">
            <w:pPr>
              <w:keepNext/>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مؤشرات الأداء</w:t>
            </w:r>
          </w:p>
        </w:tc>
        <w:tc>
          <w:tcPr>
            <w:tcW w:w="1596" w:type="pct"/>
            <w:tcBorders>
              <w:top w:val="single" w:sz="4" w:space="0" w:color="auto"/>
            </w:tcBorders>
            <w:shd w:val="clear" w:color="auto" w:fill="auto"/>
            <w:vAlign w:val="center"/>
          </w:tcPr>
          <w:p w:rsidR="00B31868" w:rsidRPr="00211D55" w:rsidRDefault="00B31868" w:rsidP="00086C3F">
            <w:pPr>
              <w:keepNext/>
              <w:bidi/>
              <w:spacing w:before="60" w:after="60" w:line="300" w:lineRule="exact"/>
              <w:rPr>
                <w:rFonts w:ascii="Arabic Typesetting" w:eastAsia="SimSun" w:hAnsi="Arabic Typesetting" w:cs="Arabic Typesetting"/>
                <w:b/>
                <w:bCs/>
                <w:sz w:val="28"/>
                <w:szCs w:val="28"/>
                <w:lang w:eastAsia="zh-CN"/>
              </w:rPr>
            </w:pPr>
            <w:r w:rsidRPr="00211D55">
              <w:rPr>
                <w:rFonts w:ascii="Arabic Typesetting" w:hAnsi="Arabic Typesetting" w:cs="Arabic Typesetting"/>
                <w:b/>
                <w:bCs/>
                <w:sz w:val="28"/>
                <w:szCs w:val="28"/>
                <w:rtl/>
              </w:rPr>
              <w:t>أسس المقارنة</w:t>
            </w:r>
          </w:p>
        </w:tc>
        <w:tc>
          <w:tcPr>
            <w:tcW w:w="606"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300" w:lineRule="exact"/>
              <w:rPr>
                <w:rFonts w:ascii="Arabic Typesetting" w:eastAsia="SimSun" w:hAnsi="Arabic Typesetting" w:cs="Arabic Typesetting"/>
                <w:bCs/>
                <w:sz w:val="28"/>
                <w:szCs w:val="28"/>
                <w:lang w:eastAsia="zh-CN"/>
              </w:rPr>
            </w:pPr>
            <w:r w:rsidRPr="00211D55">
              <w:rPr>
                <w:rFonts w:ascii="Arabic Typesetting" w:hAnsi="Arabic Typesetting" w:cs="Arabic Typesetting"/>
                <w:bCs/>
                <w:sz w:val="28"/>
                <w:szCs w:val="28"/>
                <w:rtl/>
              </w:rPr>
              <w:t>الأهداف</w:t>
            </w:r>
          </w:p>
        </w:tc>
        <w:tc>
          <w:tcPr>
            <w:tcW w:w="1288" w:type="pct"/>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بيانات الأداء</w:t>
            </w:r>
          </w:p>
        </w:tc>
        <w:tc>
          <w:tcPr>
            <w:tcW w:w="455" w:type="pct"/>
            <w:tcBorders>
              <w:top w:val="single" w:sz="4" w:space="0" w:color="auto"/>
            </w:tcBorders>
            <w:shd w:val="clear" w:color="auto" w:fill="auto"/>
            <w:tcMar>
              <w:top w:w="110" w:type="dxa"/>
            </w:tcMar>
            <w:vAlign w:val="center"/>
          </w:tcPr>
          <w:p w:rsidR="00B31868" w:rsidRPr="00211D55" w:rsidRDefault="00B31868" w:rsidP="00086C3F">
            <w:pPr>
              <w:keepNext/>
              <w:bidi/>
              <w:spacing w:before="60" w:after="60" w:line="300" w:lineRule="exact"/>
              <w:jc w:val="center"/>
              <w:rPr>
                <w:rFonts w:ascii="Arabic Typesetting" w:eastAsia="SimSun" w:hAnsi="Arabic Typesetting" w:cs="Arabic Typesetting"/>
                <w:b/>
                <w:bCs/>
                <w:color w:val="008000"/>
                <w:sz w:val="28"/>
                <w:szCs w:val="28"/>
                <w:lang w:eastAsia="zh-CN"/>
              </w:rPr>
            </w:pPr>
            <w:r w:rsidRPr="00211D55">
              <w:rPr>
                <w:rFonts w:ascii="Arabic Typesetting" w:eastAsia="SimSun" w:hAnsi="Arabic Typesetting" w:cs="Arabic Typesetting"/>
                <w:b/>
                <w:bCs/>
                <w:sz w:val="28"/>
                <w:szCs w:val="28"/>
                <w:rtl/>
                <w:lang w:eastAsia="zh-CN"/>
              </w:rPr>
              <w:t>السير</w:t>
            </w:r>
          </w:p>
        </w:tc>
      </w:tr>
      <w:tr w:rsidR="00B31868" w:rsidRPr="00211D55" w:rsidTr="003B4669">
        <w:trPr>
          <w:cantSplit/>
        </w:trPr>
        <w:tc>
          <w:tcPr>
            <w:tcW w:w="1055" w:type="pct"/>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rtl/>
                <w:lang w:eastAsia="zh-CN" w:bidi="ar-EG"/>
              </w:rPr>
            </w:pPr>
            <w:r w:rsidRPr="00211D55">
              <w:rPr>
                <w:rFonts w:ascii="Arabic Typesetting" w:eastAsia="SimSun" w:hAnsi="Arabic Typesetting" w:cs="Arabic Typesetting"/>
                <w:color w:val="000000"/>
                <w:sz w:val="28"/>
                <w:szCs w:val="28"/>
                <w:rtl/>
                <w:lang w:eastAsia="zh-CN"/>
              </w:rPr>
              <w:t>المبادرات الجديدة المشتركة مع الوكالات الأخرى التابعة للأمم المتحدة</w:t>
            </w:r>
          </w:p>
        </w:tc>
        <w:tc>
          <w:tcPr>
            <w:tcW w:w="1596" w:type="pct"/>
            <w:shd w:val="clear" w:color="auto" w:fill="auto"/>
          </w:tcPr>
          <w:p w:rsidR="00B31868" w:rsidRPr="00211D55" w:rsidRDefault="00B31868" w:rsidP="00086C3F">
            <w:pPr>
              <w:bidi/>
              <w:spacing w:before="60" w:after="60" w:line="300" w:lineRule="exact"/>
              <w:rPr>
                <w:rFonts w:ascii="Arabic Typesetting" w:eastAsiaTheme="minorHAnsi"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sz w:val="28"/>
                <w:szCs w:val="28"/>
                <w:rtl/>
              </w:rPr>
              <w:t xml:space="preserve">مبادرتان جديدتان قام بهما المدير العام (ترأس المدير العام اللجنة الإدارية الرفيعة المستوى في 2012، وإطلاق المدير العام للمؤشر العالمي للابتكار في المجلس الاقتصادي والاجتماعي في جنيف </w:t>
            </w:r>
            <w:r w:rsidR="00A55940" w:rsidRPr="00211D55">
              <w:rPr>
                <w:rFonts w:ascii="Arabic Typesetting" w:hAnsi="Arabic Typesetting" w:cs="Arabic Typesetting"/>
                <w:sz w:val="28"/>
                <w:szCs w:val="28"/>
                <w:rtl/>
              </w:rPr>
              <w:t>في </w:t>
            </w:r>
            <w:r w:rsidRPr="00211D55">
              <w:rPr>
                <w:rFonts w:ascii="Arabic Typesetting" w:hAnsi="Arabic Typesetting" w:cs="Arabic Typesetting"/>
                <w:sz w:val="28"/>
                <w:szCs w:val="28"/>
                <w:rtl/>
              </w:rPr>
              <w:t>عام</w:t>
            </w:r>
            <w:r w:rsidR="00A55940"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2013).</w:t>
            </w:r>
          </w:p>
          <w:p w:rsidR="00B31868" w:rsidRPr="00211D55" w:rsidRDefault="00B31868" w:rsidP="00086C3F">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اثنتان</w:t>
            </w:r>
          </w:p>
        </w:tc>
        <w:tc>
          <w:tcPr>
            <w:tcW w:w="606" w:type="pct"/>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اثنتان</w:t>
            </w:r>
          </w:p>
        </w:tc>
        <w:tc>
          <w:tcPr>
            <w:tcW w:w="1288" w:type="pct"/>
            <w:shd w:val="clear" w:color="auto" w:fill="FFFFFF"/>
            <w:tcMar>
              <w:top w:w="110" w:type="dxa"/>
            </w:tcMar>
          </w:tcPr>
          <w:p w:rsidR="00833BB2" w:rsidRPr="00211D55" w:rsidRDefault="00833BB2" w:rsidP="00086C3F">
            <w:pPr>
              <w:bidi/>
              <w:spacing w:before="60" w:after="60" w:line="300" w:lineRule="exact"/>
              <w:rPr>
                <w:rFonts w:ascii="Arabic Typesetting" w:eastAsia="SimSun" w:hAnsi="Arabic Typesetting" w:cs="Arabic Typesetting"/>
                <w:sz w:val="28"/>
                <w:szCs w:val="28"/>
                <w:rtl/>
                <w:lang w:eastAsia="zh-CN"/>
              </w:rPr>
            </w:pPr>
            <w:r w:rsidRPr="00211D55">
              <w:rPr>
                <w:rFonts w:ascii="Arabic Typesetting" w:eastAsia="SimSun" w:hAnsi="Arabic Typesetting" w:cs="Arabic Typesetting"/>
                <w:sz w:val="28"/>
                <w:szCs w:val="28"/>
                <w:rtl/>
                <w:lang w:eastAsia="zh-CN"/>
              </w:rPr>
              <w:t>اضطلع المدير العام بمبادرتين جديدتين</w:t>
            </w:r>
            <w:r w:rsidR="00B31868" w:rsidRPr="00211D55">
              <w:rPr>
                <w:rFonts w:ascii="Arabic Typesetting" w:eastAsia="SimSun" w:hAnsi="Arabic Typesetting" w:cs="Arabic Typesetting"/>
                <w:sz w:val="28"/>
                <w:szCs w:val="28"/>
                <w:rtl/>
                <w:lang w:eastAsia="zh-CN"/>
              </w:rPr>
              <w:t>:</w:t>
            </w:r>
          </w:p>
          <w:p w:rsidR="00B31868" w:rsidRPr="00211D55" w:rsidRDefault="00B31868" w:rsidP="009A3712">
            <w:pPr>
              <w:numPr>
                <w:ilvl w:val="0"/>
                <w:numId w:val="17"/>
              </w:numPr>
              <w:bidi/>
              <w:spacing w:before="60" w:after="60" w:line="300" w:lineRule="exact"/>
              <w:ind w:left="284" w:hanging="284"/>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التقدم بطلب إلى المنظمة الدولية للهجرة للحصول على صفة مراقب</w:t>
            </w:r>
            <w:r w:rsidR="00833BB2" w:rsidRPr="00211D55">
              <w:rPr>
                <w:rFonts w:ascii="Arabic Typesetting" w:eastAsia="SimSun" w:hAnsi="Arabic Typesetting" w:cs="Arabic Typesetting"/>
                <w:sz w:val="28"/>
                <w:szCs w:val="28"/>
                <w:rtl/>
                <w:lang w:eastAsia="zh-CN"/>
              </w:rPr>
              <w:t xml:space="preserve"> في عام 2014؛</w:t>
            </w:r>
          </w:p>
          <w:p w:rsidR="00833BB2" w:rsidRPr="00211D55" w:rsidRDefault="00833BB2" w:rsidP="009A3712">
            <w:pPr>
              <w:numPr>
                <w:ilvl w:val="0"/>
                <w:numId w:val="17"/>
              </w:numPr>
              <w:bidi/>
              <w:spacing w:before="60" w:after="60" w:line="300" w:lineRule="exact"/>
              <w:ind w:left="284" w:hanging="284"/>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الانضمام في عام 2015 إلى فريق الأمم المتحدة العامل المشترك بين الوكالات المعني بإنشاء آلية التيسير التكنولوجي (الذي أنشئ بموجب خطة عمل أديس</w:t>
            </w:r>
            <w:r w:rsidR="00A55940" w:rsidRPr="00211D55">
              <w:rPr>
                <w:rFonts w:ascii="Arabic Typesetting" w:eastAsia="SimSun" w:hAnsi="Arabic Typesetting" w:cs="Arabic Typesetting"/>
                <w:sz w:val="28"/>
                <w:szCs w:val="28"/>
                <w:rtl/>
                <w:lang w:eastAsia="zh-CN"/>
              </w:rPr>
              <w:t> </w:t>
            </w:r>
            <w:r w:rsidRPr="00211D55">
              <w:rPr>
                <w:rFonts w:ascii="Arabic Typesetting" w:eastAsia="SimSun" w:hAnsi="Arabic Typesetting" w:cs="Arabic Typesetting"/>
                <w:sz w:val="28"/>
                <w:szCs w:val="28"/>
                <w:rtl/>
                <w:lang w:eastAsia="zh-CN"/>
              </w:rPr>
              <w:t>أبابا</w:t>
            </w:r>
            <w:r w:rsidR="003B4669" w:rsidRPr="00211D55">
              <w:rPr>
                <w:rFonts w:ascii="Arabic Typesetting" w:eastAsia="SimSun" w:hAnsi="Arabic Typesetting" w:cs="Arabic Typesetting"/>
                <w:sz w:val="28"/>
                <w:szCs w:val="28"/>
                <w:rtl/>
                <w:lang w:eastAsia="zh-CN"/>
              </w:rPr>
              <w:t>)</w:t>
            </w:r>
          </w:p>
        </w:tc>
        <w:tc>
          <w:tcPr>
            <w:tcW w:w="455" w:type="pct"/>
            <w:shd w:val="clear" w:color="auto" w:fill="auto"/>
            <w:tcMar>
              <w:top w:w="110" w:type="dxa"/>
            </w:tcMar>
          </w:tcPr>
          <w:p w:rsidR="00B31868" w:rsidRPr="00211D55" w:rsidRDefault="00833BB2" w:rsidP="00086C3F">
            <w:pPr>
              <w:bidi/>
              <w:spacing w:before="60" w:after="60" w:line="300" w:lineRule="exact"/>
              <w:jc w:val="center"/>
              <w:rPr>
                <w:rFonts w:ascii="Arabic Typesetting" w:eastAsia="SimSun" w:hAnsi="Arabic Typesetting" w:cs="Arabic Typesetting"/>
                <w:bCs/>
                <w:color w:val="808080"/>
                <w:sz w:val="28"/>
                <w:szCs w:val="28"/>
                <w:lang w:eastAsia="zh-CN"/>
              </w:rPr>
            </w:pPr>
            <w:r w:rsidRPr="00211D55">
              <w:rPr>
                <w:rFonts w:ascii="Arabic Typesetting" w:eastAsia="SimSun" w:hAnsi="Arabic Typesetting" w:cs="Arabic Typesetting"/>
                <w:bCs/>
                <w:color w:val="00B050"/>
                <w:sz w:val="28"/>
                <w:szCs w:val="28"/>
                <w:rtl/>
                <w:lang w:eastAsia="zh-CN"/>
              </w:rPr>
              <w:t>محقق كلياً</w:t>
            </w:r>
          </w:p>
        </w:tc>
      </w:tr>
      <w:tr w:rsidR="00B31868" w:rsidRPr="00211D55" w:rsidTr="003B4669">
        <w:trPr>
          <w:cantSplit/>
          <w:trHeight w:val="429"/>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eastAsia="SimSun" w:hAnsi="Arabic Typesetting" w:cs="Arabic Typesetting"/>
                <w:b/>
                <w:bCs/>
                <w:sz w:val="28"/>
                <w:szCs w:val="28"/>
                <w:lang w:eastAsia="zh-CN"/>
              </w:rPr>
            </w:pPr>
            <w:r w:rsidRPr="00211D55">
              <w:rPr>
                <w:rFonts w:ascii="Arabic Typesetting" w:eastAsia="SimSun" w:hAnsi="Arabic Typesetting" w:cs="Arabic Typesetting"/>
                <w:b/>
                <w:bCs/>
                <w:sz w:val="28"/>
                <w:szCs w:val="28"/>
                <w:rtl/>
                <w:lang w:eastAsia="zh-CN"/>
              </w:rPr>
              <w:t>النتيجة المرتقبة</w:t>
            </w:r>
            <w:r w:rsidRPr="00211D55">
              <w:rPr>
                <w:rFonts w:ascii="Arabic Typesetting" w:eastAsia="SimSun" w:hAnsi="Arabic Typesetting" w:cs="Arabic Typesetting"/>
                <w:b/>
                <w:bCs/>
                <w:sz w:val="28"/>
                <w:szCs w:val="28"/>
                <w:lang w:eastAsia="zh-CN"/>
              </w:rPr>
              <w:t>:</w:t>
            </w:r>
            <w:r w:rsidRPr="00211D55">
              <w:rPr>
                <w:rFonts w:ascii="Arabic Typesetting" w:eastAsia="SimSun" w:hAnsi="Arabic Typesetting" w:cs="Arabic Typesetting"/>
                <w:b/>
                <w:bCs/>
                <w:sz w:val="28"/>
                <w:szCs w:val="28"/>
                <w:lang w:eastAsia="zh-CN"/>
              </w:rPr>
              <w:tab/>
            </w:r>
            <w:r w:rsidRPr="00211D55">
              <w:rPr>
                <w:rFonts w:ascii="Arabic Typesetting" w:eastAsia="SimSun" w:hAnsi="Arabic Typesetting" w:cs="Arabic Typesetting"/>
                <w:color w:val="000000"/>
                <w:sz w:val="28"/>
                <w:szCs w:val="28"/>
                <w:rtl/>
                <w:lang w:eastAsia="zh-CN"/>
              </w:rPr>
              <w:t xml:space="preserve">ھ2.9 </w:t>
            </w:r>
            <w:r w:rsidR="003F15BC">
              <w:rPr>
                <w:rFonts w:ascii="Arabic Typesetting" w:eastAsia="SimSun" w:hAnsi="Arabic Typesetting" w:cs="Arabic Typesetting"/>
                <w:color w:val="000000"/>
                <w:sz w:val="28"/>
                <w:szCs w:val="28"/>
                <w:rtl/>
                <w:lang w:eastAsia="zh-CN"/>
              </w:rPr>
              <w:t>أمانة تعمل بنشاط وسلاسة بقوى عاملة حسنة الإدارة وذات مهارات مناسبة وتحقق النتائج بكفاءة</w:t>
            </w:r>
          </w:p>
        </w:tc>
      </w:tr>
      <w:tr w:rsidR="00C10ACB" w:rsidRPr="00211D55" w:rsidTr="00C10ACB">
        <w:trPr>
          <w:cantSplit/>
        </w:trPr>
        <w:tc>
          <w:tcPr>
            <w:tcW w:w="1055" w:type="pct"/>
            <w:tcBorders>
              <w:top w:val="single" w:sz="4" w:space="0" w:color="auto"/>
              <w:bottom w:val="nil"/>
            </w:tcBorders>
            <w:shd w:val="clear" w:color="auto" w:fill="auto"/>
            <w:vAlign w:val="center"/>
          </w:tcPr>
          <w:p w:rsidR="00C10ACB" w:rsidRPr="00211D55" w:rsidRDefault="00C10ACB" w:rsidP="00B05B47">
            <w:pPr>
              <w:keepNext/>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مؤشرات الأداء</w:t>
            </w:r>
          </w:p>
        </w:tc>
        <w:tc>
          <w:tcPr>
            <w:tcW w:w="1596" w:type="pct"/>
            <w:tcBorders>
              <w:top w:val="single" w:sz="4" w:space="0" w:color="auto"/>
              <w:bottom w:val="nil"/>
            </w:tcBorders>
            <w:shd w:val="clear" w:color="auto" w:fill="auto"/>
            <w:vAlign w:val="center"/>
          </w:tcPr>
          <w:p w:rsidR="00C10ACB" w:rsidRPr="00211D55" w:rsidRDefault="00C10ACB" w:rsidP="00B05B47">
            <w:pPr>
              <w:keepNext/>
              <w:bidi/>
              <w:spacing w:before="60" w:after="60" w:line="300" w:lineRule="exact"/>
              <w:rPr>
                <w:rFonts w:ascii="Arabic Typesetting" w:eastAsia="SimSun" w:hAnsi="Arabic Typesetting" w:cs="Arabic Typesetting"/>
                <w:b/>
                <w:bCs/>
                <w:sz w:val="28"/>
                <w:szCs w:val="28"/>
                <w:lang w:eastAsia="zh-CN"/>
              </w:rPr>
            </w:pPr>
            <w:r w:rsidRPr="00211D55">
              <w:rPr>
                <w:rFonts w:ascii="Arabic Typesetting" w:hAnsi="Arabic Typesetting" w:cs="Arabic Typesetting"/>
                <w:b/>
                <w:bCs/>
                <w:sz w:val="28"/>
                <w:szCs w:val="28"/>
                <w:rtl/>
              </w:rPr>
              <w:t>أسس المقارنة</w:t>
            </w:r>
          </w:p>
        </w:tc>
        <w:tc>
          <w:tcPr>
            <w:tcW w:w="606" w:type="pct"/>
            <w:tcBorders>
              <w:top w:val="single" w:sz="4" w:space="0" w:color="auto"/>
              <w:bottom w:val="nil"/>
            </w:tcBorders>
            <w:shd w:val="clear" w:color="auto" w:fill="auto"/>
            <w:tcMar>
              <w:top w:w="110" w:type="dxa"/>
            </w:tcMar>
            <w:vAlign w:val="center"/>
          </w:tcPr>
          <w:p w:rsidR="00C10ACB" w:rsidRPr="00211D55" w:rsidRDefault="00C10ACB" w:rsidP="00B05B47">
            <w:pPr>
              <w:keepNext/>
              <w:bidi/>
              <w:spacing w:before="60" w:after="60" w:line="300" w:lineRule="exact"/>
              <w:rPr>
                <w:rFonts w:ascii="Arabic Typesetting" w:eastAsia="SimSun" w:hAnsi="Arabic Typesetting" w:cs="Arabic Typesetting"/>
                <w:bCs/>
                <w:sz w:val="28"/>
                <w:szCs w:val="28"/>
                <w:lang w:eastAsia="zh-CN"/>
              </w:rPr>
            </w:pPr>
            <w:r w:rsidRPr="00211D55">
              <w:rPr>
                <w:rFonts w:ascii="Arabic Typesetting" w:hAnsi="Arabic Typesetting" w:cs="Arabic Typesetting"/>
                <w:bCs/>
                <w:sz w:val="28"/>
                <w:szCs w:val="28"/>
                <w:rtl/>
              </w:rPr>
              <w:t>الأهداف</w:t>
            </w:r>
          </w:p>
        </w:tc>
        <w:tc>
          <w:tcPr>
            <w:tcW w:w="1288" w:type="pct"/>
            <w:tcBorders>
              <w:top w:val="single" w:sz="4" w:space="0" w:color="auto"/>
              <w:bottom w:val="nil"/>
            </w:tcBorders>
            <w:shd w:val="clear" w:color="auto" w:fill="FFFFFF"/>
            <w:tcMar>
              <w:top w:w="110" w:type="dxa"/>
            </w:tcMar>
            <w:vAlign w:val="center"/>
          </w:tcPr>
          <w:p w:rsidR="00C10ACB" w:rsidRPr="00211D55" w:rsidRDefault="00C10ACB" w:rsidP="00B05B47">
            <w:pPr>
              <w:keepNext/>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بيانات الأداء</w:t>
            </w:r>
          </w:p>
        </w:tc>
        <w:tc>
          <w:tcPr>
            <w:tcW w:w="455" w:type="pct"/>
            <w:tcBorders>
              <w:top w:val="single" w:sz="4" w:space="0" w:color="auto"/>
              <w:bottom w:val="nil"/>
            </w:tcBorders>
            <w:shd w:val="clear" w:color="auto" w:fill="auto"/>
            <w:tcMar>
              <w:top w:w="110" w:type="dxa"/>
            </w:tcMar>
            <w:vAlign w:val="center"/>
          </w:tcPr>
          <w:p w:rsidR="00C10ACB" w:rsidRPr="00211D55" w:rsidRDefault="00C10ACB" w:rsidP="00B05B47">
            <w:pPr>
              <w:keepNext/>
              <w:bidi/>
              <w:spacing w:before="60" w:after="60" w:line="300" w:lineRule="exact"/>
              <w:jc w:val="center"/>
              <w:rPr>
                <w:rFonts w:ascii="Arabic Typesetting" w:eastAsia="SimSun" w:hAnsi="Arabic Typesetting" w:cs="Arabic Typesetting"/>
                <w:b/>
                <w:bCs/>
                <w:color w:val="008000"/>
                <w:sz w:val="28"/>
                <w:szCs w:val="28"/>
                <w:lang w:eastAsia="zh-CN"/>
              </w:rPr>
            </w:pPr>
            <w:r w:rsidRPr="00211D55">
              <w:rPr>
                <w:rFonts w:ascii="Arabic Typesetting" w:eastAsia="SimSun" w:hAnsi="Arabic Typesetting" w:cs="Arabic Typesetting"/>
                <w:b/>
                <w:bCs/>
                <w:sz w:val="28"/>
                <w:szCs w:val="28"/>
                <w:rtl/>
                <w:lang w:eastAsia="zh-CN"/>
              </w:rPr>
              <w:t>السير</w:t>
            </w:r>
          </w:p>
        </w:tc>
      </w:tr>
      <w:tr w:rsidR="00B31868" w:rsidRPr="00211D55" w:rsidTr="00C10ACB">
        <w:trPr>
          <w:cantSplit/>
        </w:trPr>
        <w:tc>
          <w:tcPr>
            <w:tcW w:w="1055" w:type="pct"/>
            <w:tcBorders>
              <w:top w:val="nil"/>
              <w:bottom w:val="single" w:sz="4" w:space="0" w:color="auto"/>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rtl/>
                <w:lang w:eastAsia="zh-CN" w:bidi="ar-EG"/>
              </w:rPr>
            </w:pPr>
            <w:r w:rsidRPr="00211D55">
              <w:rPr>
                <w:rFonts w:ascii="Arabic Typesetting" w:eastAsia="SimSun" w:hAnsi="Arabic Typesetting" w:cs="Arabic Typesetting"/>
                <w:color w:val="000000"/>
                <w:sz w:val="28"/>
                <w:szCs w:val="28"/>
                <w:rtl/>
                <w:lang w:eastAsia="zh-CN"/>
              </w:rPr>
              <w:t>النسبة المئوية لطلبات المشورة والخدمات القانونية التي تلقت ردودا سريعة ومستقلة وموثوقة من مكتب المستشار القانوني</w:t>
            </w:r>
          </w:p>
        </w:tc>
        <w:tc>
          <w:tcPr>
            <w:tcW w:w="1596" w:type="pct"/>
            <w:tcBorders>
              <w:top w:val="nil"/>
              <w:bottom w:val="single" w:sz="4" w:space="0" w:color="auto"/>
            </w:tcBorders>
            <w:shd w:val="clear" w:color="auto" w:fill="auto"/>
          </w:tcPr>
          <w:p w:rsidR="00B31868" w:rsidRPr="00211D55" w:rsidRDefault="00B31868" w:rsidP="00086C3F">
            <w:pPr>
              <w:bidi/>
              <w:spacing w:before="60" w:after="60" w:line="300" w:lineRule="exact"/>
              <w:rPr>
                <w:rFonts w:ascii="Arabic Typesetting" w:eastAsiaTheme="minorHAnsi"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00A55940" w:rsidRPr="00211D55">
              <w:rPr>
                <w:rFonts w:ascii="Arabic Typesetting" w:hAnsi="Arabic Typesetting" w:cs="Arabic Typesetting"/>
                <w:color w:val="002060"/>
                <w:sz w:val="28"/>
                <w:szCs w:val="28"/>
                <w:rtl/>
              </w:rPr>
              <w:t>على الرغم من</w:t>
            </w:r>
            <w:r w:rsidRPr="00211D55">
              <w:rPr>
                <w:rFonts w:ascii="Arabic Typesetting" w:hAnsi="Arabic Typesetting" w:cs="Arabic Typesetting"/>
                <w:color w:val="002060"/>
                <w:sz w:val="28"/>
                <w:szCs w:val="28"/>
                <w:rtl/>
              </w:rPr>
              <w:t xml:space="preserve"> وجود زيادة في عدد الطلبات المُقدَّمة للحصول على المشورة فضلاً عن المجالات المشمولة، تلقت 98% من الاستفسارات الواردة ردوداً سريعة وموثوقة من مكتب المستشار القانوني.</w:t>
            </w:r>
          </w:p>
          <w:p w:rsidR="00B31868" w:rsidRPr="00211D55" w:rsidRDefault="00B31868" w:rsidP="00086C3F">
            <w:pPr>
              <w:bidi/>
              <w:spacing w:before="60" w:after="60" w:line="30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100%</w:t>
            </w:r>
          </w:p>
        </w:tc>
        <w:tc>
          <w:tcPr>
            <w:tcW w:w="606" w:type="pct"/>
            <w:tcBorders>
              <w:top w:val="nil"/>
              <w:bottom w:val="single" w:sz="4" w:space="0" w:color="auto"/>
            </w:tcBorders>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90%</w:t>
            </w:r>
          </w:p>
        </w:tc>
        <w:tc>
          <w:tcPr>
            <w:tcW w:w="1288" w:type="pct"/>
            <w:tcBorders>
              <w:top w:val="nil"/>
              <w:bottom w:val="single" w:sz="4" w:space="0" w:color="auto"/>
            </w:tcBorders>
            <w:shd w:val="clear" w:color="auto" w:fill="FFFFFF"/>
            <w:tcMar>
              <w:top w:w="110" w:type="dxa"/>
            </w:tcMar>
          </w:tcPr>
          <w:p w:rsidR="00B31868" w:rsidRPr="00211D55" w:rsidRDefault="003B4669"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 xml:space="preserve">واصل مكتب المستشار القانوني تقديم ردود سريعة ومستقلة وجديرة بالثقة على 95% من الاستفسارات وطلبات المشورة الواردة في </w:t>
            </w:r>
            <w:r w:rsidR="00507DE2">
              <w:rPr>
                <w:rFonts w:ascii="Arabic Typesetting" w:eastAsia="SimSun" w:hAnsi="Arabic Typesetting" w:cs="Arabic Typesetting"/>
                <w:sz w:val="28"/>
                <w:szCs w:val="28"/>
                <w:rtl/>
                <w:lang w:eastAsia="zh-CN"/>
              </w:rPr>
              <w:t>2014/15</w:t>
            </w:r>
            <w:r w:rsidRPr="00211D55">
              <w:rPr>
                <w:rFonts w:ascii="Arabic Typesetting" w:eastAsia="SimSun" w:hAnsi="Arabic Typesetting" w:cs="Arabic Typesetting"/>
                <w:sz w:val="28"/>
                <w:szCs w:val="28"/>
                <w:rtl/>
                <w:lang w:eastAsia="zh-CN"/>
              </w:rPr>
              <w:t xml:space="preserve"> في ظل الطلب المرتفع والمتزايد على خدماته.</w:t>
            </w:r>
          </w:p>
        </w:tc>
        <w:tc>
          <w:tcPr>
            <w:tcW w:w="455" w:type="pct"/>
            <w:tcBorders>
              <w:top w:val="nil"/>
              <w:bottom w:val="single" w:sz="4" w:space="0" w:color="auto"/>
            </w:tcBorders>
            <w:shd w:val="clear" w:color="auto" w:fill="auto"/>
            <w:tcMar>
              <w:top w:w="110" w:type="dxa"/>
            </w:tcMar>
          </w:tcPr>
          <w:p w:rsidR="00B31868" w:rsidRPr="00211D55" w:rsidRDefault="003B4669" w:rsidP="00086C3F">
            <w:pPr>
              <w:bidi/>
              <w:spacing w:before="60" w:after="60" w:line="300" w:lineRule="exact"/>
              <w:jc w:val="center"/>
              <w:rPr>
                <w:rFonts w:ascii="Arabic Typesetting" w:eastAsia="SimSun" w:hAnsi="Arabic Typesetting" w:cs="Arabic Typesetting"/>
                <w:bCs/>
                <w:color w:val="00B050"/>
                <w:sz w:val="28"/>
                <w:szCs w:val="28"/>
                <w:lang w:eastAsia="zh-CN"/>
              </w:rPr>
            </w:pPr>
            <w:r w:rsidRPr="00211D55">
              <w:rPr>
                <w:rFonts w:ascii="Arabic Typesetting" w:eastAsia="SimSun" w:hAnsi="Arabic Typesetting" w:cs="Arabic Typesetting"/>
                <w:bCs/>
                <w:color w:val="00B050"/>
                <w:sz w:val="28"/>
                <w:szCs w:val="28"/>
                <w:rtl/>
                <w:lang w:eastAsia="zh-CN"/>
              </w:rPr>
              <w:t>محقق كلياً</w:t>
            </w:r>
          </w:p>
        </w:tc>
      </w:tr>
      <w:tr w:rsidR="00B31868" w:rsidRPr="00211D55" w:rsidTr="003B4669">
        <w:trPr>
          <w:cantSplit/>
          <w:trHeight w:val="493"/>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eastAsia="SimSun" w:hAnsi="Arabic Typesetting" w:cs="Arabic Typesetting"/>
                <w:b/>
                <w:bCs/>
                <w:sz w:val="28"/>
                <w:szCs w:val="28"/>
                <w:lang w:eastAsia="zh-CN"/>
              </w:rPr>
            </w:pPr>
            <w:r w:rsidRPr="00211D55">
              <w:rPr>
                <w:rFonts w:ascii="Arabic Typesetting" w:eastAsia="SimSun" w:hAnsi="Arabic Typesetting" w:cs="Arabic Typesetting"/>
                <w:b/>
                <w:bCs/>
                <w:sz w:val="28"/>
                <w:szCs w:val="28"/>
                <w:rtl/>
                <w:lang w:eastAsia="zh-CN"/>
              </w:rPr>
              <w:lastRenderedPageBreak/>
              <w:t>النتيجة المرتق</w:t>
            </w:r>
            <w:r w:rsidRPr="00211D55">
              <w:rPr>
                <w:rFonts w:ascii="Arabic Typesetting" w:eastAsia="SimSun" w:hAnsi="Arabic Typesetting" w:cs="Arabic Typesetting"/>
                <w:b/>
                <w:bCs/>
                <w:sz w:val="28"/>
                <w:szCs w:val="28"/>
                <w:shd w:val="clear" w:color="auto" w:fill="C6D9F1" w:themeFill="text2" w:themeFillTint="33"/>
                <w:rtl/>
                <w:lang w:eastAsia="zh-CN"/>
              </w:rPr>
              <w:t>بة</w:t>
            </w:r>
            <w:r w:rsidRPr="00211D55">
              <w:rPr>
                <w:rFonts w:ascii="Arabic Typesetting" w:eastAsia="SimSun" w:hAnsi="Arabic Typesetting" w:cs="Arabic Typesetting"/>
                <w:b/>
                <w:bCs/>
                <w:sz w:val="28"/>
                <w:szCs w:val="28"/>
                <w:shd w:val="clear" w:color="auto" w:fill="C6D9F1" w:themeFill="text2" w:themeFillTint="33"/>
                <w:lang w:eastAsia="zh-CN"/>
              </w:rPr>
              <w:t>:</w:t>
            </w:r>
            <w:r w:rsidRPr="00211D55">
              <w:rPr>
                <w:rFonts w:ascii="Arabic Typesetting" w:eastAsia="SimSun" w:hAnsi="Arabic Typesetting" w:cs="Arabic Typesetting"/>
                <w:b/>
                <w:bCs/>
                <w:sz w:val="28"/>
                <w:szCs w:val="28"/>
                <w:shd w:val="clear" w:color="auto" w:fill="C6D9F1" w:themeFill="text2" w:themeFillTint="33"/>
                <w:lang w:eastAsia="zh-CN"/>
              </w:rPr>
              <w:tab/>
            </w:r>
            <w:r w:rsidRPr="00211D55">
              <w:rPr>
                <w:rFonts w:ascii="Arabic Typesetting" w:eastAsia="SimSun" w:hAnsi="Arabic Typesetting" w:cs="Arabic Typesetting"/>
                <w:color w:val="000000"/>
                <w:sz w:val="28"/>
                <w:szCs w:val="28"/>
                <w:shd w:val="clear" w:color="auto" w:fill="C6D9F1" w:themeFill="text2" w:themeFillTint="33"/>
                <w:rtl/>
                <w:lang w:eastAsia="zh-CN"/>
              </w:rPr>
              <w:t xml:space="preserve">ھ3.9 </w:t>
            </w:r>
            <w:r w:rsidR="003F15BC">
              <w:rPr>
                <w:rFonts w:ascii="Arabic Typesetting" w:eastAsia="SimSun" w:hAnsi="Arabic Typesetting" w:cs="Arabic Typesetting"/>
                <w:color w:val="000000"/>
                <w:sz w:val="28"/>
                <w:szCs w:val="28"/>
                <w:shd w:val="clear" w:color="auto" w:fill="C6D9F1" w:themeFill="text2" w:themeFillTint="33"/>
                <w:rtl/>
                <w:lang w:eastAsia="zh-CN"/>
              </w:rPr>
              <w:t>بيئة عمل داعمة ومسنودة بإطار تنظيمي فعال وقنوات فعالة لمعالجة مشاغل الموظفين</w:t>
            </w:r>
          </w:p>
        </w:tc>
      </w:tr>
      <w:tr w:rsidR="00C10ACB" w:rsidRPr="00211D55" w:rsidTr="00C10ACB">
        <w:trPr>
          <w:cantSplit/>
        </w:trPr>
        <w:tc>
          <w:tcPr>
            <w:tcW w:w="1055" w:type="pct"/>
            <w:tcBorders>
              <w:top w:val="single" w:sz="4" w:space="0" w:color="auto"/>
              <w:bottom w:val="nil"/>
            </w:tcBorders>
            <w:shd w:val="clear" w:color="auto" w:fill="auto"/>
            <w:vAlign w:val="center"/>
          </w:tcPr>
          <w:p w:rsidR="00C10ACB" w:rsidRPr="00211D55" w:rsidRDefault="00C10ACB" w:rsidP="00B05B47">
            <w:pPr>
              <w:keepNext/>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مؤشرات الأداء</w:t>
            </w:r>
          </w:p>
        </w:tc>
        <w:tc>
          <w:tcPr>
            <w:tcW w:w="1596" w:type="pct"/>
            <w:tcBorders>
              <w:top w:val="single" w:sz="4" w:space="0" w:color="auto"/>
              <w:bottom w:val="nil"/>
            </w:tcBorders>
            <w:shd w:val="clear" w:color="auto" w:fill="auto"/>
            <w:vAlign w:val="center"/>
          </w:tcPr>
          <w:p w:rsidR="00C10ACB" w:rsidRPr="00211D55" w:rsidRDefault="00C10ACB" w:rsidP="00B05B47">
            <w:pPr>
              <w:keepNext/>
              <w:bidi/>
              <w:spacing w:before="60" w:after="60" w:line="300" w:lineRule="exact"/>
              <w:rPr>
                <w:rFonts w:ascii="Arabic Typesetting" w:eastAsia="SimSun" w:hAnsi="Arabic Typesetting" w:cs="Arabic Typesetting"/>
                <w:b/>
                <w:bCs/>
                <w:sz w:val="28"/>
                <w:szCs w:val="28"/>
                <w:lang w:eastAsia="zh-CN"/>
              </w:rPr>
            </w:pPr>
            <w:r w:rsidRPr="00211D55">
              <w:rPr>
                <w:rFonts w:ascii="Arabic Typesetting" w:hAnsi="Arabic Typesetting" w:cs="Arabic Typesetting"/>
                <w:b/>
                <w:bCs/>
                <w:sz w:val="28"/>
                <w:szCs w:val="28"/>
                <w:rtl/>
              </w:rPr>
              <w:t>أسس المقارنة</w:t>
            </w:r>
          </w:p>
        </w:tc>
        <w:tc>
          <w:tcPr>
            <w:tcW w:w="606" w:type="pct"/>
            <w:tcBorders>
              <w:top w:val="single" w:sz="4" w:space="0" w:color="auto"/>
              <w:bottom w:val="nil"/>
            </w:tcBorders>
            <w:shd w:val="clear" w:color="auto" w:fill="auto"/>
            <w:tcMar>
              <w:top w:w="110" w:type="dxa"/>
            </w:tcMar>
            <w:vAlign w:val="center"/>
          </w:tcPr>
          <w:p w:rsidR="00C10ACB" w:rsidRPr="00211D55" w:rsidRDefault="00C10ACB" w:rsidP="00B05B47">
            <w:pPr>
              <w:keepNext/>
              <w:bidi/>
              <w:spacing w:before="60" w:after="60" w:line="300" w:lineRule="exact"/>
              <w:rPr>
                <w:rFonts w:ascii="Arabic Typesetting" w:eastAsia="SimSun" w:hAnsi="Arabic Typesetting" w:cs="Arabic Typesetting"/>
                <w:bCs/>
                <w:sz w:val="28"/>
                <w:szCs w:val="28"/>
                <w:lang w:eastAsia="zh-CN"/>
              </w:rPr>
            </w:pPr>
            <w:r w:rsidRPr="00211D55">
              <w:rPr>
                <w:rFonts w:ascii="Arabic Typesetting" w:hAnsi="Arabic Typesetting" w:cs="Arabic Typesetting"/>
                <w:bCs/>
                <w:sz w:val="28"/>
                <w:szCs w:val="28"/>
                <w:rtl/>
              </w:rPr>
              <w:t>الأهداف</w:t>
            </w:r>
          </w:p>
        </w:tc>
        <w:tc>
          <w:tcPr>
            <w:tcW w:w="1288" w:type="pct"/>
            <w:tcBorders>
              <w:top w:val="single" w:sz="4" w:space="0" w:color="auto"/>
              <w:bottom w:val="nil"/>
            </w:tcBorders>
            <w:shd w:val="clear" w:color="auto" w:fill="FFFFFF"/>
            <w:tcMar>
              <w:top w:w="110" w:type="dxa"/>
            </w:tcMar>
            <w:vAlign w:val="center"/>
          </w:tcPr>
          <w:p w:rsidR="00C10ACB" w:rsidRPr="00211D55" w:rsidRDefault="00C10ACB" w:rsidP="00B05B47">
            <w:pPr>
              <w:keepNext/>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b/>
                <w:bCs/>
                <w:sz w:val="28"/>
                <w:szCs w:val="28"/>
                <w:rtl/>
                <w:lang w:eastAsia="zh-CN"/>
              </w:rPr>
              <w:t>بيانات الأداء</w:t>
            </w:r>
          </w:p>
        </w:tc>
        <w:tc>
          <w:tcPr>
            <w:tcW w:w="455" w:type="pct"/>
            <w:tcBorders>
              <w:top w:val="single" w:sz="4" w:space="0" w:color="auto"/>
              <w:bottom w:val="nil"/>
            </w:tcBorders>
            <w:shd w:val="clear" w:color="auto" w:fill="auto"/>
            <w:tcMar>
              <w:top w:w="110" w:type="dxa"/>
            </w:tcMar>
            <w:vAlign w:val="center"/>
          </w:tcPr>
          <w:p w:rsidR="00C10ACB" w:rsidRPr="00211D55" w:rsidRDefault="00C10ACB" w:rsidP="00B05B47">
            <w:pPr>
              <w:keepNext/>
              <w:bidi/>
              <w:spacing w:before="60" w:after="60" w:line="300" w:lineRule="exact"/>
              <w:jc w:val="center"/>
              <w:rPr>
                <w:rFonts w:ascii="Arabic Typesetting" w:eastAsia="SimSun" w:hAnsi="Arabic Typesetting" w:cs="Arabic Typesetting"/>
                <w:b/>
                <w:bCs/>
                <w:color w:val="008000"/>
                <w:sz w:val="28"/>
                <w:szCs w:val="28"/>
                <w:lang w:eastAsia="zh-CN"/>
              </w:rPr>
            </w:pPr>
            <w:r w:rsidRPr="00211D55">
              <w:rPr>
                <w:rFonts w:ascii="Arabic Typesetting" w:eastAsia="SimSun" w:hAnsi="Arabic Typesetting" w:cs="Arabic Typesetting"/>
                <w:b/>
                <w:bCs/>
                <w:sz w:val="28"/>
                <w:szCs w:val="28"/>
                <w:rtl/>
                <w:lang w:eastAsia="zh-CN"/>
              </w:rPr>
              <w:t>السير</w:t>
            </w:r>
          </w:p>
        </w:tc>
      </w:tr>
      <w:tr w:rsidR="00B31868" w:rsidRPr="00211D55" w:rsidTr="00C10ACB">
        <w:trPr>
          <w:cantSplit/>
        </w:trPr>
        <w:tc>
          <w:tcPr>
            <w:tcW w:w="1055" w:type="pct"/>
            <w:tcBorders>
              <w:top w:val="nil"/>
              <w:bottom w:val="nil"/>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bidi="ar-EG"/>
              </w:rPr>
            </w:pPr>
            <w:r w:rsidRPr="00211D55">
              <w:rPr>
                <w:rFonts w:ascii="Arabic Typesetting" w:eastAsia="SimSun" w:hAnsi="Arabic Typesetting" w:cs="Arabic Typesetting"/>
                <w:color w:val="000000"/>
                <w:sz w:val="28"/>
                <w:szCs w:val="28"/>
                <w:rtl/>
                <w:lang w:eastAsia="zh-CN"/>
              </w:rPr>
              <w:t>النسبة المئوية لموظفي الويبو الواعين بالخدمات التي يقدمها مكتب أمين المظالم وآلية تسوية المنازعات بشكل غير رسمي</w:t>
            </w:r>
          </w:p>
        </w:tc>
        <w:tc>
          <w:tcPr>
            <w:tcW w:w="1596" w:type="pct"/>
            <w:tcBorders>
              <w:top w:val="nil"/>
              <w:bottom w:val="nil"/>
            </w:tcBorders>
            <w:shd w:val="clear" w:color="auto" w:fill="auto"/>
          </w:tcPr>
          <w:p w:rsidR="00B31868" w:rsidRPr="00211D55" w:rsidRDefault="00B31868" w:rsidP="00086C3F">
            <w:pPr>
              <w:bidi/>
              <w:spacing w:before="60" w:after="60" w:line="300" w:lineRule="exact"/>
              <w:rPr>
                <w:rFonts w:ascii="Arabic Typesetting"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استقصاء آراء الموظفين لعام 2013: 63% من الموظفين على علم بالخدمات التي يقدمها مكتب أمين المظالم، و32% منهم يعلمونها إلى حد ما</w:t>
            </w:r>
          </w:p>
          <w:p w:rsidR="00B31868" w:rsidRPr="00211D55" w:rsidRDefault="00B31868" w:rsidP="00086C3F">
            <w:pPr>
              <w:bidi/>
              <w:spacing w:before="60" w:after="60" w:line="300" w:lineRule="exact"/>
              <w:rPr>
                <w:rFonts w:ascii="Arabic Typesetting" w:eastAsiaTheme="minorHAnsi" w:hAnsi="Arabic Typesetting" w:cs="Arabic Typesetting"/>
                <w:color w:val="002060"/>
                <w:sz w:val="28"/>
                <w:szCs w:val="28"/>
                <w:lang w:bidi="ar-EG"/>
              </w:rPr>
            </w:pPr>
            <w:r w:rsidRPr="00211D55">
              <w:rPr>
                <w:rFonts w:ascii="Arabic Typesetting" w:hAnsi="Arabic Typesetting" w:cs="Arabic Typesetting"/>
                <w:sz w:val="28"/>
                <w:szCs w:val="28"/>
                <w:rtl/>
              </w:rPr>
              <w:t>77% وفقاً لاستقصاء آراء المستخدمين لعام 2012 (الذي أُجري في مارس</w:t>
            </w:r>
            <w:r w:rsidR="00A55940"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2013)</w:t>
            </w:r>
            <w:r w:rsidRPr="00211D55">
              <w:rPr>
                <w:rFonts w:ascii="Arabic Typesetting" w:hAnsi="Arabic Typesetting" w:cs="Arabic Typesetting"/>
                <w:sz w:val="28"/>
                <w:szCs w:val="28"/>
                <w:rtl/>
                <w:lang w:bidi="ar-EG"/>
              </w:rPr>
              <w:t>.</w:t>
            </w:r>
          </w:p>
          <w:p w:rsidR="00B31868" w:rsidRPr="00211D55" w:rsidRDefault="00B31868" w:rsidP="00086C3F">
            <w:pPr>
              <w:bidi/>
              <w:spacing w:before="60" w:after="60" w:line="300" w:lineRule="exact"/>
              <w:rPr>
                <w:rFonts w:ascii="Arabic Typesetting" w:hAnsi="Arabic Typesetting" w:cs="Arabic Typesetting"/>
                <w:i/>
                <w:color w:val="002060"/>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استقصاء آراء الموظفين لعام 2011: 44% من الموظفين على علم بالخدمات التي يقدمها مكتب أمين المظالم، و49% منهم يعلمونها إلى حد ما</w:t>
            </w:r>
          </w:p>
        </w:tc>
        <w:tc>
          <w:tcPr>
            <w:tcW w:w="606" w:type="pct"/>
            <w:tcBorders>
              <w:top w:val="nil"/>
              <w:bottom w:val="nil"/>
            </w:tcBorders>
            <w:shd w:val="clear" w:color="auto" w:fill="auto"/>
            <w:tcMar>
              <w:top w:w="110" w:type="dxa"/>
            </w:tcMar>
          </w:tcPr>
          <w:p w:rsidR="00B31868" w:rsidRPr="00211D55" w:rsidRDefault="00FA156B"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إزكاء</w:t>
            </w:r>
            <w:r w:rsidR="00B31868" w:rsidRPr="00211D55">
              <w:rPr>
                <w:rFonts w:ascii="Arabic Typesetting" w:eastAsia="SimSun" w:hAnsi="Arabic Typesetting" w:cs="Arabic Typesetting"/>
                <w:sz w:val="28"/>
                <w:szCs w:val="28"/>
                <w:rtl/>
                <w:lang w:eastAsia="zh-CN"/>
              </w:rPr>
              <w:t xml:space="preserve"> وعي الموظفين بنسبة تصل إلى 60%</w:t>
            </w:r>
          </w:p>
        </w:tc>
        <w:tc>
          <w:tcPr>
            <w:tcW w:w="1288" w:type="pct"/>
            <w:tcBorders>
              <w:top w:val="nil"/>
              <w:bottom w:val="nil"/>
            </w:tcBorders>
            <w:shd w:val="clear" w:color="auto" w:fill="FFFFFF"/>
            <w:tcMar>
              <w:top w:w="110" w:type="dxa"/>
            </w:tcMar>
          </w:tcPr>
          <w:p w:rsidR="00B31868" w:rsidRPr="00211D55" w:rsidRDefault="003B4669"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لم يجرَ استقصاء آراء الموظفين المزمع لعام 2015</w:t>
            </w:r>
          </w:p>
        </w:tc>
        <w:tc>
          <w:tcPr>
            <w:tcW w:w="455" w:type="pct"/>
            <w:tcBorders>
              <w:top w:val="nil"/>
              <w:bottom w:val="nil"/>
            </w:tcBorders>
            <w:shd w:val="clear" w:color="auto" w:fill="auto"/>
            <w:tcMar>
              <w:top w:w="110" w:type="dxa"/>
            </w:tcMar>
          </w:tcPr>
          <w:p w:rsidR="00B31868" w:rsidRPr="00211D55" w:rsidRDefault="003B4669" w:rsidP="00086C3F">
            <w:pPr>
              <w:bidi/>
              <w:spacing w:before="60" w:after="60" w:line="300" w:lineRule="exact"/>
              <w:jc w:val="center"/>
              <w:rPr>
                <w:rFonts w:ascii="Arabic Typesetting" w:eastAsia="SimSun" w:hAnsi="Arabic Typesetting" w:cs="Arabic Typesetting"/>
                <w:bCs/>
                <w:color w:val="00B050"/>
                <w:sz w:val="28"/>
                <w:szCs w:val="28"/>
                <w:lang w:eastAsia="zh-CN"/>
              </w:rPr>
            </w:pPr>
            <w:r w:rsidRPr="00211D55">
              <w:rPr>
                <w:rFonts w:ascii="Arabic Typesetting" w:hAnsi="Arabic Typesetting" w:cs="Arabic Typesetting"/>
                <w:b/>
                <w:bCs/>
                <w:color w:val="808080"/>
                <w:sz w:val="28"/>
                <w:szCs w:val="28"/>
                <w:rtl/>
              </w:rPr>
              <w:t>غير قابل للقياس</w:t>
            </w:r>
          </w:p>
        </w:tc>
      </w:tr>
      <w:tr w:rsidR="00B31868" w:rsidRPr="00211D55" w:rsidTr="003B4669">
        <w:trPr>
          <w:cantSplit/>
        </w:trPr>
        <w:tc>
          <w:tcPr>
            <w:tcW w:w="1055" w:type="pct"/>
            <w:tcBorders>
              <w:top w:val="nil"/>
              <w:bottom w:val="single" w:sz="4" w:space="0" w:color="auto"/>
            </w:tcBorders>
            <w:shd w:val="clear" w:color="auto" w:fill="auto"/>
          </w:tcPr>
          <w:p w:rsidR="00B31868" w:rsidRPr="00211D55" w:rsidRDefault="00B31868" w:rsidP="00086C3F">
            <w:pPr>
              <w:bidi/>
              <w:spacing w:before="60" w:after="60" w:line="300" w:lineRule="exact"/>
              <w:rPr>
                <w:rFonts w:ascii="Arabic Typesetting" w:eastAsia="SimSun" w:hAnsi="Arabic Typesetting" w:cs="Arabic Typesetting"/>
                <w:color w:val="000000"/>
                <w:sz w:val="28"/>
                <w:szCs w:val="28"/>
                <w:lang w:eastAsia="zh-CN"/>
              </w:rPr>
            </w:pPr>
            <w:r w:rsidRPr="00211D55">
              <w:rPr>
                <w:rFonts w:ascii="Arabic Typesetting" w:eastAsia="SimSun" w:hAnsi="Arabic Typesetting" w:cs="Arabic Typesetting"/>
                <w:color w:val="000000"/>
                <w:sz w:val="28"/>
                <w:szCs w:val="28"/>
                <w:rtl/>
                <w:lang w:eastAsia="zh-CN"/>
              </w:rPr>
              <w:t>النسبة المئوية للمجيبين على الاستبيان الواعين بالمبادئ والسياسات الأخلاقية للويبو</w:t>
            </w:r>
          </w:p>
        </w:tc>
        <w:tc>
          <w:tcPr>
            <w:tcW w:w="1596" w:type="pct"/>
            <w:tcBorders>
              <w:top w:val="nil"/>
              <w:bottom w:val="single" w:sz="4" w:space="0" w:color="auto"/>
            </w:tcBorders>
            <w:shd w:val="clear" w:color="auto" w:fill="auto"/>
          </w:tcPr>
          <w:p w:rsidR="00B31868" w:rsidRPr="00211D55" w:rsidRDefault="00B31868" w:rsidP="00086C3F">
            <w:pPr>
              <w:bidi/>
              <w:spacing w:before="60" w:after="60" w:line="300" w:lineRule="exact"/>
              <w:rPr>
                <w:rFonts w:ascii="Arabic Typesetting" w:eastAsiaTheme="minorHAnsi"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98% من استقصاء القيم الأساسية لبرنامج التقويم الاستراتيجي (الذي أجري في الفترة من يناير إلى فبراير 2013).</w:t>
            </w:r>
          </w:p>
          <w:p w:rsidR="00B31868" w:rsidRPr="00211D55" w:rsidRDefault="00B31868" w:rsidP="00086C3F">
            <w:pPr>
              <w:bidi/>
              <w:spacing w:before="60" w:after="60" w:line="300" w:lineRule="exact"/>
              <w:rPr>
                <w:rFonts w:ascii="Arabic Typesetting" w:hAnsi="Arabic Typesetting" w:cs="Arabic Typesetting"/>
                <w:sz w:val="28"/>
                <w:szCs w:val="28"/>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70%</w:t>
            </w:r>
          </w:p>
        </w:tc>
        <w:tc>
          <w:tcPr>
            <w:tcW w:w="606" w:type="pct"/>
            <w:tcBorders>
              <w:top w:val="nil"/>
              <w:bottom w:val="single" w:sz="4" w:space="0" w:color="auto"/>
            </w:tcBorders>
            <w:shd w:val="clear" w:color="auto" w:fill="auto"/>
            <w:tcMar>
              <w:top w:w="110" w:type="dxa"/>
            </w:tcMar>
          </w:tcPr>
          <w:p w:rsidR="00B31868" w:rsidRPr="00211D55" w:rsidRDefault="00B31868"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75%</w:t>
            </w:r>
          </w:p>
        </w:tc>
        <w:tc>
          <w:tcPr>
            <w:tcW w:w="1288" w:type="pct"/>
            <w:tcBorders>
              <w:top w:val="nil"/>
              <w:bottom w:val="single" w:sz="4" w:space="0" w:color="auto"/>
            </w:tcBorders>
            <w:shd w:val="clear" w:color="auto" w:fill="FFFFFF"/>
            <w:tcMar>
              <w:top w:w="110" w:type="dxa"/>
            </w:tcMar>
          </w:tcPr>
          <w:p w:rsidR="00B31868" w:rsidRPr="00211D55" w:rsidRDefault="003B4669" w:rsidP="00086C3F">
            <w:pPr>
              <w:bidi/>
              <w:spacing w:before="60" w:after="60" w:line="300" w:lineRule="exact"/>
              <w:rPr>
                <w:rFonts w:ascii="Arabic Typesetting" w:eastAsia="SimSun" w:hAnsi="Arabic Typesetting" w:cs="Arabic Typesetting"/>
                <w:sz w:val="28"/>
                <w:szCs w:val="28"/>
                <w:lang w:eastAsia="zh-CN"/>
              </w:rPr>
            </w:pPr>
            <w:r w:rsidRPr="00211D55">
              <w:rPr>
                <w:rFonts w:ascii="Arabic Typesetting" w:eastAsia="SimSun" w:hAnsi="Arabic Typesetting" w:cs="Arabic Typesetting"/>
                <w:sz w:val="28"/>
                <w:szCs w:val="28"/>
                <w:rtl/>
                <w:lang w:eastAsia="zh-CN"/>
              </w:rPr>
              <w:t xml:space="preserve">لم يجرَ استقصاء الموظفين المزمع </w:t>
            </w:r>
            <w:r w:rsidR="00FA156B" w:rsidRPr="00211D55">
              <w:rPr>
                <w:rFonts w:ascii="Arabic Typesetting" w:eastAsia="SimSun" w:hAnsi="Arabic Typesetting" w:cs="Arabic Typesetting"/>
                <w:sz w:val="28"/>
                <w:szCs w:val="28"/>
                <w:rtl/>
                <w:lang w:eastAsia="zh-CN"/>
              </w:rPr>
              <w:t>للثنائية</w:t>
            </w:r>
            <w:r w:rsidRPr="00211D55">
              <w:rPr>
                <w:rFonts w:ascii="Arabic Typesetting" w:eastAsia="SimSun" w:hAnsi="Arabic Typesetting" w:cs="Arabic Typesetting"/>
                <w:color w:val="000000"/>
                <w:sz w:val="28"/>
                <w:szCs w:val="28"/>
                <w:rtl/>
                <w:lang w:eastAsia="zh-CN"/>
              </w:rPr>
              <w:t>.</w:t>
            </w:r>
          </w:p>
        </w:tc>
        <w:tc>
          <w:tcPr>
            <w:tcW w:w="455" w:type="pct"/>
            <w:tcBorders>
              <w:top w:val="nil"/>
              <w:bottom w:val="single" w:sz="4" w:space="0" w:color="auto"/>
            </w:tcBorders>
            <w:shd w:val="clear" w:color="auto" w:fill="auto"/>
            <w:tcMar>
              <w:top w:w="110" w:type="dxa"/>
            </w:tcMar>
          </w:tcPr>
          <w:p w:rsidR="00B31868" w:rsidRPr="00211D55" w:rsidRDefault="003B4669" w:rsidP="00086C3F">
            <w:pPr>
              <w:bidi/>
              <w:spacing w:before="60" w:after="60" w:line="300" w:lineRule="exact"/>
              <w:jc w:val="center"/>
              <w:rPr>
                <w:rFonts w:ascii="Arabic Typesetting" w:eastAsia="SimSun" w:hAnsi="Arabic Typesetting" w:cs="Arabic Typesetting"/>
                <w:bCs/>
                <w:color w:val="00B050"/>
                <w:sz w:val="28"/>
                <w:szCs w:val="28"/>
                <w:lang w:eastAsia="zh-CN"/>
              </w:rPr>
            </w:pPr>
            <w:r w:rsidRPr="00211D55">
              <w:rPr>
                <w:rFonts w:ascii="Arabic Typesetting" w:hAnsi="Arabic Typesetting" w:cs="Arabic Typesetting"/>
                <w:b/>
                <w:bCs/>
                <w:color w:val="808080"/>
                <w:sz w:val="28"/>
                <w:szCs w:val="28"/>
                <w:rtl/>
              </w:rPr>
              <w:t>غير قابل للقياس</w:t>
            </w:r>
          </w:p>
        </w:tc>
      </w:tr>
    </w:tbl>
    <w:p w:rsidR="003B4669"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3B4669" w:rsidRPr="00211D55" w:rsidTr="00AC5A12">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3B4669" w:rsidRPr="00211D55" w:rsidRDefault="003B4669"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3B4669" w:rsidRPr="00211D55" w:rsidRDefault="003B4669"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3B4669" w:rsidRPr="00211D55" w:rsidRDefault="003B4669"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3B4669"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3B4669" w:rsidRPr="00211D55" w:rsidTr="00C10ACB">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3B4669" w:rsidRPr="007A7336" w:rsidRDefault="003B4669" w:rsidP="007A7336">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حققت الويبو استثمارات كبيرة وتقدمًا ومكاسب سريعة من خلال برنامج التقويم الاستراتيجي، الذي انتهى في </w:t>
            </w:r>
            <w:r w:rsidRPr="00211D55">
              <w:rPr>
                <w:rFonts w:ascii="Arabic Typesetting" w:hAnsi="Arabic Typesetting" w:cs="Arabic Typesetting" w:hint="cs"/>
                <w:sz w:val="28"/>
                <w:szCs w:val="28"/>
                <w:rtl/>
                <w:lang w:bidi="ar-EG"/>
              </w:rPr>
              <w:t>أوائل عام</w:t>
            </w:r>
            <w:r w:rsidRPr="00211D55">
              <w:rPr>
                <w:rFonts w:ascii="Arabic Typesetting" w:hAnsi="Arabic Typesetting" w:cs="Arabic Typesetting"/>
                <w:sz w:val="28"/>
                <w:szCs w:val="28"/>
                <w:rtl/>
                <w:lang w:bidi="ar-EG"/>
              </w:rPr>
              <w:t xml:space="preserve"> 2013. وإن لم تستمر الإدارة العليا والموظفين والدول الأعضاء في التركيز على التحسين، فثمة خطر خسارة المنظمة للمكاسب المحققة من برنامج التقويم الاستراتيجي. وتعد</w:t>
            </w:r>
            <w:r w:rsidR="00FA156B" w:rsidRPr="00211D55">
              <w:rPr>
                <w:rFonts w:ascii="Arabic Typesetting" w:hAnsi="Arabic Typesetting" w:cs="Arabic Typesetting" w:hint="cs"/>
                <w:sz w:val="28"/>
                <w:szCs w:val="28"/>
                <w:rtl/>
                <w:lang w:bidi="ar-EG"/>
              </w:rPr>
              <w:t> </w:t>
            </w:r>
            <w:r w:rsidRPr="00211D55">
              <w:rPr>
                <w:rFonts w:ascii="Arabic Typesetting" w:hAnsi="Arabic Typesetting" w:cs="Arabic Typesetting"/>
                <w:sz w:val="28"/>
                <w:szCs w:val="28"/>
                <w:rtl/>
                <w:lang w:bidi="ar-EG"/>
              </w:rPr>
              <w:t xml:space="preserve">المبادرات التي تشمل عمليات جديدة (مثل مبادرات إدارة استمرارية الأعمال التجارية وإدارة المخاطر) عرضة للمخاطر </w:t>
            </w:r>
            <w:r w:rsidR="00FA156B" w:rsidRPr="00211D55">
              <w:rPr>
                <w:rFonts w:ascii="Arabic Typesetting" w:hAnsi="Arabic Typesetting" w:cs="Arabic Typesetting" w:hint="cs"/>
                <w:sz w:val="28"/>
                <w:szCs w:val="28"/>
                <w:rtl/>
                <w:lang w:bidi="ar-EG"/>
              </w:rPr>
              <w:t>بوجه </w:t>
            </w:r>
            <w:r w:rsidRPr="00211D55">
              <w:rPr>
                <w:rFonts w:ascii="Arabic Typesetting" w:hAnsi="Arabic Typesetting" w:cs="Arabic Typesetting"/>
                <w:sz w:val="28"/>
                <w:szCs w:val="28"/>
                <w:rtl/>
                <w:lang w:bidi="ar-EG"/>
              </w:rPr>
              <w:t>خاص.</w:t>
            </w:r>
          </w:p>
        </w:tc>
        <w:tc>
          <w:tcPr>
            <w:tcW w:w="2200" w:type="dxa"/>
            <w:tcBorders>
              <w:top w:val="single" w:sz="4" w:space="0" w:color="auto"/>
              <w:bottom w:val="single" w:sz="4" w:space="0" w:color="auto"/>
            </w:tcBorders>
            <w:shd w:val="clear" w:color="auto" w:fill="auto"/>
            <w:tcMar>
              <w:top w:w="113" w:type="dxa"/>
              <w:bottom w:w="113" w:type="dxa"/>
            </w:tcMar>
          </w:tcPr>
          <w:p w:rsidR="003B4669" w:rsidRPr="00211D55" w:rsidRDefault="003B4669" w:rsidP="007A7336">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من البداية، يتضمن الهيكل الإداري لبرنامج التقويم الاستراتيجي رقابة فريق الإدارة العليا وإصدار </w:t>
            </w:r>
            <w:r w:rsidR="009F5F08" w:rsidRPr="00211D55">
              <w:rPr>
                <w:rFonts w:ascii="Arabic Typesetting" w:hAnsi="Arabic Typesetting" w:cs="Arabic Typesetting"/>
                <w:sz w:val="28"/>
                <w:szCs w:val="28"/>
                <w:rtl/>
                <w:lang w:bidi="ar-EG"/>
              </w:rPr>
              <w:t xml:space="preserve">اللجنة الاستشارية المستقلة للرقابة </w:t>
            </w:r>
            <w:r w:rsidR="009F5F08" w:rsidRPr="00211D55">
              <w:rPr>
                <w:rFonts w:ascii="Arabic Typesetting" w:hAnsi="Arabic Typesetting" w:cs="Arabic Typesetting" w:hint="cs"/>
                <w:sz w:val="28"/>
                <w:szCs w:val="28"/>
                <w:rtl/>
                <w:lang w:bidi="ar-EG"/>
              </w:rPr>
              <w:t>ل</w:t>
            </w:r>
            <w:r w:rsidRPr="00211D55">
              <w:rPr>
                <w:rFonts w:ascii="Arabic Typesetting" w:hAnsi="Arabic Typesetting" w:cs="Arabic Typesetting"/>
                <w:sz w:val="28"/>
                <w:szCs w:val="28"/>
                <w:rtl/>
                <w:lang w:bidi="ar-EG"/>
              </w:rPr>
              <w:t xml:space="preserve">لتقارير </w:t>
            </w:r>
            <w:r w:rsidR="009F5F08" w:rsidRPr="00211D55">
              <w:rPr>
                <w:rFonts w:ascii="Arabic Typesetting" w:hAnsi="Arabic Typesetting" w:cs="Arabic Typesetting" w:hint="cs"/>
                <w:sz w:val="28"/>
                <w:szCs w:val="28"/>
                <w:rtl/>
                <w:lang w:bidi="ar-EG"/>
              </w:rPr>
              <w:t>بانتظام</w:t>
            </w:r>
            <w:r w:rsidRPr="00211D55">
              <w:rPr>
                <w:rFonts w:ascii="Arabic Typesetting" w:hAnsi="Arabic Typesetting" w:cs="Arabic Typesetting"/>
                <w:sz w:val="28"/>
                <w:szCs w:val="28"/>
                <w:rtl/>
                <w:lang w:bidi="ar-EG"/>
              </w:rPr>
              <w:t xml:space="preserve"> ما ساعد في ترسيخ المس</w:t>
            </w:r>
            <w:r w:rsidR="0096124E" w:rsidRPr="00211D55">
              <w:rPr>
                <w:rFonts w:ascii="Arabic Typesetting" w:hAnsi="Arabic Typesetting" w:cs="Arabic Typesetting" w:hint="cs"/>
                <w:sz w:val="28"/>
                <w:szCs w:val="28"/>
                <w:rtl/>
                <w:lang w:bidi="ar-EG"/>
              </w:rPr>
              <w:t>ؤ</w:t>
            </w:r>
            <w:r w:rsidRPr="00211D55">
              <w:rPr>
                <w:rFonts w:ascii="Arabic Typesetting" w:hAnsi="Arabic Typesetting" w:cs="Arabic Typesetting"/>
                <w:sz w:val="28"/>
                <w:szCs w:val="28"/>
                <w:rtl/>
                <w:lang w:bidi="ar-EG"/>
              </w:rPr>
              <w:t>ولية عن تعميم برنامج التقويم الاستراتيجي.</w:t>
            </w:r>
          </w:p>
          <w:p w:rsidR="003B4669" w:rsidRPr="00211D55" w:rsidRDefault="003B4669" w:rsidP="007A7336">
            <w:pPr>
              <w:autoSpaceDE w:val="0"/>
              <w:autoSpaceDN w:val="0"/>
              <w:bidi/>
              <w:adjustRightInd w:val="0"/>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وبينما تدخل المنظمة فترة ما بعد برنامج التقويم الاستراتيجي، سيضمن استمرار الإدارة العليا </w:t>
            </w:r>
            <w:r w:rsidR="009F5F08" w:rsidRPr="00211D55">
              <w:rPr>
                <w:rFonts w:ascii="Arabic Typesetting" w:hAnsi="Arabic Typesetting" w:cs="Arabic Typesetting" w:hint="cs"/>
                <w:sz w:val="28"/>
                <w:szCs w:val="28"/>
                <w:rtl/>
                <w:lang w:bidi="ar-EG"/>
              </w:rPr>
              <w:t xml:space="preserve">في التركيز الشديد على </w:t>
            </w:r>
            <w:r w:rsidRPr="00211D55">
              <w:rPr>
                <w:rFonts w:ascii="Arabic Typesetting" w:hAnsi="Arabic Typesetting" w:cs="Arabic Typesetting"/>
                <w:sz w:val="28"/>
                <w:szCs w:val="28"/>
                <w:rtl/>
                <w:lang w:bidi="ar-EG"/>
              </w:rPr>
              <w:t>الحفاظ على القيم الأساسية والنتائج الخاصة بكل مبادرة والبناء عليها لفائدة الويبو وأصحاب المصلحة.</w:t>
            </w:r>
          </w:p>
        </w:tc>
        <w:tc>
          <w:tcPr>
            <w:tcW w:w="2310" w:type="dxa"/>
            <w:tcBorders>
              <w:top w:val="single" w:sz="4" w:space="0" w:color="auto"/>
              <w:bottom w:val="single" w:sz="4" w:space="0" w:color="auto"/>
            </w:tcBorders>
          </w:tcPr>
          <w:p w:rsidR="003B4669" w:rsidRPr="007A7336" w:rsidRDefault="0096124E" w:rsidP="007A7336">
            <w:pPr>
              <w:autoSpaceDE w:val="0"/>
              <w:autoSpaceDN w:val="0"/>
              <w:bidi/>
              <w:adjustRightInd w:val="0"/>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انخفض احتمال التعرض لهذا الخطر تدريجياً على مدار الثنائية بفضل استراتيجيات المتابعة الاستباقية القائمة التي شملت تكليف وظائف جديدة ومحكمة بمسؤولية مواصلة تطوير المبادرات المستهلة في سياق برنامج التقويم الاستراتيجي ومنها</w:t>
            </w:r>
            <w:r w:rsidR="00FA156B" w:rsidRPr="007A7336">
              <w:rPr>
                <w:rFonts w:ascii="Arabic Typesetting" w:hAnsi="Arabic Typesetting" w:cs="Arabic Typesetting" w:hint="eastAsia"/>
                <w:sz w:val="28"/>
                <w:szCs w:val="28"/>
                <w:rtl/>
                <w:lang w:bidi="ar-EG"/>
              </w:rPr>
              <w:t> </w:t>
            </w:r>
            <w:r w:rsidRPr="007A7336">
              <w:rPr>
                <w:rFonts w:ascii="Arabic Typesetting" w:hAnsi="Arabic Typesetting" w:cs="Arabic Typesetting" w:hint="cs"/>
                <w:sz w:val="28"/>
                <w:szCs w:val="28"/>
                <w:rtl/>
                <w:lang w:bidi="ar-EG"/>
              </w:rPr>
              <w:t>إدارة المخاطر واستمرارية الأعمال والأخلاقيات والنزاهة والتواصل الداخلي وغيرها.</w:t>
            </w:r>
          </w:p>
        </w:tc>
        <w:tc>
          <w:tcPr>
            <w:tcW w:w="2306" w:type="dxa"/>
            <w:tcBorders>
              <w:top w:val="single" w:sz="4" w:space="0" w:color="auto"/>
              <w:bottom w:val="single" w:sz="4" w:space="0" w:color="auto"/>
              <w:right w:val="single" w:sz="4" w:space="0" w:color="auto"/>
            </w:tcBorders>
          </w:tcPr>
          <w:p w:rsidR="003B4669" w:rsidRPr="007A7336" w:rsidRDefault="002F200B" w:rsidP="007A7336">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hint="cs"/>
                <w:b/>
                <w:sz w:val="28"/>
                <w:szCs w:val="28"/>
                <w:rtl/>
                <w:lang w:bidi="ar-EG"/>
              </w:rPr>
              <w:t xml:space="preserve">لم يؤثر هذا الخطر </w:t>
            </w:r>
            <w:r>
              <w:rPr>
                <w:rFonts w:ascii="Arabic Typesetting" w:hAnsi="Arabic Typesetting" w:cs="Arabic Typesetting" w:hint="cs"/>
                <w:b/>
                <w:sz w:val="28"/>
                <w:szCs w:val="28"/>
                <w:rtl/>
                <w:lang w:bidi="ar-EG"/>
              </w:rPr>
              <w:t>تأثيراً مادياً</w:t>
            </w:r>
            <w:r w:rsidRPr="00211D55">
              <w:rPr>
                <w:rFonts w:ascii="Arabic Typesetting" w:hAnsi="Arabic Typesetting" w:cs="Arabic Typesetting" w:hint="cs"/>
                <w:b/>
                <w:sz w:val="28"/>
                <w:szCs w:val="28"/>
                <w:rtl/>
                <w:lang w:bidi="ar-EG"/>
              </w:rPr>
              <w:t xml:space="preserve"> في أداء البرنامج</w:t>
            </w:r>
            <w:r w:rsidR="0096124E" w:rsidRPr="007A7336">
              <w:rPr>
                <w:rFonts w:ascii="Arabic Typesetting" w:hAnsi="Arabic Typesetting" w:cs="Arabic Typesetting" w:hint="cs"/>
                <w:sz w:val="28"/>
                <w:szCs w:val="28"/>
                <w:rtl/>
                <w:lang w:bidi="ar-EG"/>
              </w:rPr>
              <w:t>، ولكن ظل التأثير العام في أداء البرامج الفرعية المعنية بمبادرات برنامج التقويم الاستراتيجي وأداء المنظمة تأثيراً إيجابياً ما أسهم إسهاماً جليلاً في مواصلة تعزيز الشفافية والمساءلة ووفر منصة تمكن الويبو من خدمة عملائها وأصحاب المصلحة.</w:t>
            </w:r>
          </w:p>
        </w:tc>
      </w:tr>
      <w:tr w:rsidR="003B4669" w:rsidRPr="00211D55" w:rsidTr="00C10ACB">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3B4669" w:rsidRPr="007A7336" w:rsidRDefault="003B4669" w:rsidP="0055755E">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lastRenderedPageBreak/>
              <w:t>يعد انخراط الويبو الفعال مع الدول الأعضاء بالغ الأهمية لتحقيق النتائج في الوقت المناسب. وثمة خطر تقلص التقدم المحرز على صعيد عمليات الويبو الحكومية</w:t>
            </w:r>
            <w:r w:rsidR="0096124E" w:rsidRPr="00211D55">
              <w:rPr>
                <w:rFonts w:ascii="Arabic Typesetting" w:hAnsi="Arabic Typesetting" w:cs="Arabic Typesetting" w:hint="cs"/>
                <w:sz w:val="28"/>
                <w:szCs w:val="28"/>
                <w:rtl/>
                <w:lang w:bidi="ar-EG"/>
              </w:rPr>
              <w:t xml:space="preserve"> الدولية</w:t>
            </w:r>
            <w:r w:rsidRPr="00211D55">
              <w:rPr>
                <w:rFonts w:ascii="Arabic Typesetting" w:hAnsi="Arabic Typesetting" w:cs="Arabic Typesetting"/>
                <w:sz w:val="28"/>
                <w:szCs w:val="28"/>
                <w:rtl/>
                <w:lang w:bidi="ar-EG"/>
              </w:rPr>
              <w:t>، بما</w:t>
            </w:r>
            <w:r w:rsidR="001E0CF5" w:rsidRPr="00211D55">
              <w:rPr>
                <w:rFonts w:ascii="Arabic Typesetting" w:hAnsi="Arabic Typesetting" w:cs="Arabic Typesetting" w:hint="cs"/>
                <w:sz w:val="28"/>
                <w:szCs w:val="28"/>
                <w:rtl/>
                <w:lang w:bidi="ar-EG"/>
              </w:rPr>
              <w:t> </w:t>
            </w:r>
            <w:r w:rsidRPr="00211D55">
              <w:rPr>
                <w:rFonts w:ascii="Arabic Typesetting" w:hAnsi="Arabic Typesetting" w:cs="Arabic Typesetting"/>
                <w:sz w:val="28"/>
                <w:szCs w:val="28"/>
                <w:rtl/>
                <w:lang w:bidi="ar-EG"/>
              </w:rPr>
              <w:t xml:space="preserve">في ذلك مناقشات وضع القواعد والمعايير وتزايد التكاليف أو تمديد الجداول الزمنية لتنفيذ البرامج المعتمدة. </w:t>
            </w:r>
            <w:r w:rsidR="0055755E">
              <w:rPr>
                <w:rFonts w:ascii="Arabic Typesetting" w:hAnsi="Arabic Typesetting" w:cs="Arabic Typesetting" w:hint="cs"/>
                <w:sz w:val="28"/>
                <w:szCs w:val="28"/>
                <w:rtl/>
                <w:lang w:bidi="ar-EG"/>
              </w:rPr>
              <w:t>وإذ تعدُّ الويبو</w:t>
            </w:r>
            <w:r w:rsidRPr="00211D55">
              <w:rPr>
                <w:rFonts w:ascii="Arabic Typesetting" w:hAnsi="Arabic Typesetting" w:cs="Arabic Typesetting"/>
                <w:sz w:val="28"/>
                <w:szCs w:val="28"/>
                <w:rtl/>
                <w:lang w:bidi="ar-EG"/>
              </w:rPr>
              <w:t xml:space="preserve"> الهيئة العالمية المختصة بوضع القواعد المنظمة لمجال الملكية الف</w:t>
            </w:r>
            <w:r w:rsidR="001E0CF5" w:rsidRPr="00211D55">
              <w:rPr>
                <w:rFonts w:ascii="Arabic Typesetting" w:hAnsi="Arabic Typesetting" w:cs="Arabic Typesetting"/>
                <w:sz w:val="28"/>
                <w:szCs w:val="28"/>
                <w:rtl/>
                <w:lang w:bidi="ar-EG"/>
              </w:rPr>
              <w:t xml:space="preserve">كرية، </w:t>
            </w:r>
            <w:r w:rsidR="0055755E">
              <w:rPr>
                <w:rFonts w:ascii="Arabic Typesetting" w:hAnsi="Arabic Typesetting" w:cs="Arabic Typesetting" w:hint="cs"/>
                <w:sz w:val="28"/>
                <w:szCs w:val="28"/>
                <w:rtl/>
                <w:lang w:bidi="ar-EG"/>
              </w:rPr>
              <w:t>فإن</w:t>
            </w:r>
            <w:r w:rsidR="001E0CF5" w:rsidRPr="00211D55">
              <w:rPr>
                <w:rFonts w:ascii="Arabic Typesetting" w:hAnsi="Arabic Typesetting" w:cs="Arabic Typesetting"/>
                <w:sz w:val="28"/>
                <w:szCs w:val="28"/>
                <w:rtl/>
                <w:lang w:bidi="ar-EG"/>
              </w:rPr>
              <w:t xml:space="preserve"> هذا </w:t>
            </w:r>
            <w:r w:rsidR="0055755E">
              <w:rPr>
                <w:rFonts w:ascii="Arabic Typesetting" w:hAnsi="Arabic Typesetting" w:cs="Arabic Typesetting" w:hint="cs"/>
                <w:sz w:val="28"/>
                <w:szCs w:val="28"/>
                <w:rtl/>
                <w:lang w:bidi="ar-EG"/>
              </w:rPr>
              <w:t>الوضع سيؤثر</w:t>
            </w:r>
            <w:r w:rsidR="001E0CF5" w:rsidRPr="00211D55">
              <w:rPr>
                <w:rFonts w:ascii="Arabic Typesetting" w:hAnsi="Arabic Typesetting" w:cs="Arabic Typesetting"/>
                <w:sz w:val="28"/>
                <w:szCs w:val="28"/>
                <w:rtl/>
                <w:lang w:bidi="ar-EG"/>
              </w:rPr>
              <w:t xml:space="preserve"> سلب</w:t>
            </w:r>
            <w:r w:rsidRPr="00211D55">
              <w:rPr>
                <w:rFonts w:ascii="Arabic Typesetting" w:hAnsi="Arabic Typesetting" w:cs="Arabic Typesetting"/>
                <w:sz w:val="28"/>
                <w:szCs w:val="28"/>
                <w:rtl/>
                <w:lang w:bidi="ar-EG"/>
              </w:rPr>
              <w:t>ا</w:t>
            </w:r>
            <w:r w:rsidR="001E0CF5" w:rsidRPr="00211D55">
              <w:rPr>
                <w:rFonts w:ascii="Arabic Typesetting" w:hAnsi="Arabic Typesetting" w:cs="Arabic Typesetting" w:hint="cs"/>
                <w:sz w:val="28"/>
                <w:szCs w:val="28"/>
                <w:rtl/>
                <w:lang w:bidi="ar-EG"/>
              </w:rPr>
              <w:t>ً</w:t>
            </w:r>
            <w:r w:rsidRPr="00211D55">
              <w:rPr>
                <w:rFonts w:ascii="Arabic Typesetting" w:hAnsi="Arabic Typesetting" w:cs="Arabic Typesetting"/>
                <w:sz w:val="28"/>
                <w:szCs w:val="28"/>
                <w:rtl/>
                <w:lang w:bidi="ar-EG"/>
              </w:rPr>
              <w:t xml:space="preserve"> </w:t>
            </w:r>
            <w:r w:rsidR="001E0CF5" w:rsidRPr="00211D55">
              <w:rPr>
                <w:rFonts w:ascii="Arabic Typesetting" w:hAnsi="Arabic Typesetting" w:cs="Arabic Typesetting" w:hint="cs"/>
                <w:sz w:val="28"/>
                <w:szCs w:val="28"/>
                <w:rtl/>
                <w:lang w:bidi="ar-EG"/>
              </w:rPr>
              <w:t>في</w:t>
            </w:r>
            <w:r w:rsidR="0055755E">
              <w:rPr>
                <w:rFonts w:ascii="Arabic Typesetting" w:hAnsi="Arabic Typesetting" w:cs="Arabic Typesetting"/>
                <w:sz w:val="28"/>
                <w:szCs w:val="28"/>
                <w:rtl/>
                <w:lang w:bidi="ar-EG"/>
              </w:rPr>
              <w:t xml:space="preserve"> مصداقي</w:t>
            </w:r>
            <w:r w:rsidR="0055755E">
              <w:rPr>
                <w:rFonts w:ascii="Arabic Typesetting" w:hAnsi="Arabic Typesetting" w:cs="Arabic Typesetting" w:hint="cs"/>
                <w:sz w:val="28"/>
                <w:szCs w:val="28"/>
                <w:rtl/>
                <w:lang w:bidi="ar-EG"/>
              </w:rPr>
              <w:t>تها</w:t>
            </w:r>
            <w:r w:rsidRPr="00211D55">
              <w:rPr>
                <w:rFonts w:ascii="Arabic Typesetting" w:hAnsi="Arabic Typesetting" w:cs="Arabic Typesetting"/>
                <w:sz w:val="28"/>
                <w:szCs w:val="28"/>
                <w:rtl/>
                <w:lang w:bidi="ar-EG"/>
              </w:rPr>
              <w:t>.</w:t>
            </w:r>
          </w:p>
        </w:tc>
        <w:tc>
          <w:tcPr>
            <w:tcW w:w="2200" w:type="dxa"/>
            <w:tcBorders>
              <w:top w:val="single" w:sz="4" w:space="0" w:color="auto"/>
              <w:bottom w:val="single" w:sz="4" w:space="0" w:color="auto"/>
            </w:tcBorders>
            <w:shd w:val="clear" w:color="auto" w:fill="auto"/>
            <w:tcMar>
              <w:top w:w="113" w:type="dxa"/>
              <w:bottom w:w="113" w:type="dxa"/>
            </w:tcMar>
          </w:tcPr>
          <w:p w:rsidR="003B4669" w:rsidRPr="00211D55" w:rsidRDefault="003B4669" w:rsidP="007A7336">
            <w:pPr>
              <w:autoSpaceDE w:val="0"/>
              <w:autoSpaceDN w:val="0"/>
              <w:bidi/>
              <w:adjustRightInd w:val="0"/>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استمرار التنسيق الوثيق والموثوق والشفاف بين الأمانة والدول الأعضاء.</w:t>
            </w:r>
          </w:p>
        </w:tc>
        <w:tc>
          <w:tcPr>
            <w:tcW w:w="2310" w:type="dxa"/>
            <w:tcBorders>
              <w:top w:val="single" w:sz="4" w:space="0" w:color="auto"/>
              <w:bottom w:val="single" w:sz="4" w:space="0" w:color="auto"/>
            </w:tcBorders>
          </w:tcPr>
          <w:p w:rsidR="003B4669" w:rsidRPr="007A7336" w:rsidRDefault="0096124E" w:rsidP="007A7336">
            <w:pPr>
              <w:autoSpaceDE w:val="0"/>
              <w:autoSpaceDN w:val="0"/>
              <w:bidi/>
              <w:adjustRightInd w:val="0"/>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 xml:space="preserve">لم يتغير هذا الخطر العام كثيراً خلال الفترة المشمولة بهذا التقرير. وينطبق الأمر ذاته على خطط الحد من وطأة المخاطر القائمة التي ستتواصل خلال الثنائية </w:t>
            </w:r>
            <w:r w:rsidR="00507DE2">
              <w:rPr>
                <w:rFonts w:ascii="Arabic Typesetting" w:hAnsi="Arabic Typesetting" w:cs="Arabic Typesetting" w:hint="cs"/>
                <w:sz w:val="28"/>
                <w:szCs w:val="28"/>
                <w:rtl/>
                <w:lang w:bidi="ar-EG"/>
              </w:rPr>
              <w:t>2016/17</w:t>
            </w:r>
            <w:r w:rsidRPr="007A7336">
              <w:rPr>
                <w:rFonts w:ascii="Arabic Typesetting" w:hAnsi="Arabic Typesetting" w:cs="Arabic Typesetting" w:hint="cs"/>
                <w:sz w:val="28"/>
                <w:szCs w:val="28"/>
                <w:rtl/>
                <w:lang w:bidi="ar-EG"/>
              </w:rPr>
              <w:t>.</w:t>
            </w:r>
          </w:p>
        </w:tc>
        <w:tc>
          <w:tcPr>
            <w:tcW w:w="2306" w:type="dxa"/>
            <w:tcBorders>
              <w:top w:val="single" w:sz="4" w:space="0" w:color="auto"/>
              <w:bottom w:val="single" w:sz="4" w:space="0" w:color="auto"/>
              <w:right w:val="single" w:sz="4" w:space="0" w:color="auto"/>
            </w:tcBorders>
          </w:tcPr>
          <w:p w:rsidR="003B4669" w:rsidRPr="007A7336" w:rsidRDefault="0096124E" w:rsidP="007A7336">
            <w:pPr>
              <w:bidi/>
              <w:spacing w:before="60" w:after="60" w:line="280" w:lineRule="exact"/>
              <w:rPr>
                <w:rFonts w:ascii="Arabic Typesetting" w:hAnsi="Arabic Typesetting" w:cs="Arabic Typesetting"/>
                <w:sz w:val="28"/>
                <w:szCs w:val="28"/>
                <w:lang w:bidi="ar-EG"/>
              </w:rPr>
            </w:pPr>
            <w:r w:rsidRPr="007A7336">
              <w:rPr>
                <w:rFonts w:ascii="Arabic Typesetting" w:hAnsi="Arabic Typesetting" w:cs="Arabic Typesetting" w:hint="cs"/>
                <w:sz w:val="28"/>
                <w:szCs w:val="28"/>
                <w:rtl/>
                <w:lang w:bidi="ar-EG"/>
              </w:rPr>
              <w:t>يحد من وطأة المخاطر المتأصلة في أنشطة وضع القواعد والمعايير في المنظمة بانتظام عن طريق التنسيق المتواصل والوثيق والشفاف والموثوق به بين الأمانة والدول الأعضاء. ولم يرصد أي تأثير كبير في أداء البرنامج.</w:t>
            </w:r>
          </w:p>
        </w:tc>
      </w:tr>
    </w:tbl>
    <w:p w:rsidR="00B264F9" w:rsidRPr="00B264F9" w:rsidRDefault="00B264F9" w:rsidP="00B264F9">
      <w:pPr>
        <w:keepNext/>
        <w:bidi/>
        <w:spacing w:before="120" w:after="120" w:line="340" w:lineRule="exact"/>
        <w:rPr>
          <w:rFonts w:ascii="Arabic Typesetting" w:hAnsi="Arabic Typesetting" w:cs="Arabic Typesetting"/>
          <w:b/>
          <w:sz w:val="34"/>
          <w:szCs w:val="34"/>
        </w:rPr>
      </w:pPr>
      <w:r w:rsidRPr="00B264F9">
        <w:rPr>
          <w:rFonts w:ascii="Arabic Typesetting" w:hAnsi="Arabic Typesetting" w:cs="Arabic Typesetting"/>
          <w:color w:val="000000"/>
          <w:sz w:val="34"/>
          <w:szCs w:val="34"/>
          <w:rtl/>
        </w:rPr>
        <w:t>استخدام الموارد</w:t>
      </w:r>
    </w:p>
    <w:p w:rsidR="00B31868" w:rsidRPr="00B31868" w:rsidRDefault="00774E37" w:rsidP="00252762">
      <w:pPr>
        <w:keepNext/>
        <w:bidi/>
        <w:spacing w:line="340" w:lineRule="exact"/>
        <w:jc w:val="center"/>
        <w:rPr>
          <w:rFonts w:ascii="Arabic Typesetting" w:hAnsi="Arabic Typesetting" w:cs="Arabic Typesetting"/>
          <w:sz w:val="34"/>
          <w:szCs w:val="34"/>
          <w:rtl/>
          <w:lang w:bidi="ar-EG"/>
        </w:rPr>
      </w:pPr>
      <w:r w:rsidRPr="00774E37">
        <w:rPr>
          <w:rFonts w:ascii="Arabic Typesetting" w:hAnsi="Arabic Typesetting" w:cs="Arabic Typesetting"/>
          <w:color w:val="000000"/>
          <w:sz w:val="34"/>
          <w:szCs w:val="34"/>
          <w:rtl/>
        </w:rPr>
        <w:t>الميزانية والنفقات الفعلية (بحسب النتائج)</w:t>
      </w:r>
    </w:p>
    <w:p w:rsidR="0096124E" w:rsidRPr="00B31868" w:rsidRDefault="00B31868" w:rsidP="00086C3F">
      <w:pPr>
        <w:keepNext/>
        <w:bidi/>
        <w:spacing w:after="120" w:line="340" w:lineRule="exact"/>
        <w:jc w:val="center"/>
        <w:rPr>
          <w:rFonts w:ascii="Arabic Typesetting" w:hAnsi="Arabic Typesetting" w:cs="Arabic Typesetting"/>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96124E" w:rsidRPr="00211D55" w:rsidTr="00AC5A12">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96124E" w:rsidRPr="00211D55" w:rsidRDefault="0096124E"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96124E" w:rsidRPr="00211D55" w:rsidRDefault="0096124E"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96124E" w:rsidRPr="00211D55" w:rsidRDefault="0096124E"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96124E" w:rsidRPr="00211D55" w:rsidRDefault="0096124E"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96124E" w:rsidRPr="00211D55" w:rsidTr="0096124E">
        <w:trPr>
          <w:cantSplit/>
          <w:trHeight w:val="119"/>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96124E" w:rsidRPr="00211D55" w:rsidRDefault="0096124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ھ2.4</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0432CA" w:rsidP="00086C3F">
            <w:pPr>
              <w:bidi/>
              <w:rPr>
                <w:rFonts w:ascii="Arabic Typesetting" w:hAnsi="Arabic Typesetting" w:cs="Arabic Typesetting"/>
                <w:sz w:val="28"/>
                <w:szCs w:val="28"/>
              </w:rPr>
            </w:pPr>
            <w:r>
              <w:rPr>
                <w:rFonts w:ascii="Arabic Typesetting" w:hAnsi="Arabic Typesetting" w:cs="Arabic Typesetting"/>
                <w:sz w:val="28"/>
                <w:szCs w:val="28"/>
                <w:rtl/>
              </w:rPr>
              <w:t>تحسين النفاذ إلى المعلومات المتعلقة بالملكية الفكرية واستخدامها من قبل مؤسسات الملكية الفكرية والجمهور لتشجيع الابتكار والإبداع</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1,939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2,313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2,085</w:t>
            </w:r>
          </w:p>
        </w:tc>
      </w:tr>
      <w:tr w:rsidR="0096124E" w:rsidRPr="00211D55" w:rsidTr="0096124E">
        <w:trPr>
          <w:cantSplit/>
          <w:trHeight w:val="48"/>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96124E" w:rsidRPr="00211D55" w:rsidRDefault="0096124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ھ3.8</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96124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التزام فعال مع الدول الأعضاء</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6,747</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8,100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7,273</w:t>
            </w:r>
          </w:p>
        </w:tc>
      </w:tr>
      <w:tr w:rsidR="0096124E" w:rsidRPr="00211D55" w:rsidTr="0096124E">
        <w:trPr>
          <w:cantSplit/>
          <w:trHeight w:val="333"/>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96124E" w:rsidRPr="00211D55" w:rsidRDefault="0096124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ھ5.8</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99688F" w:rsidP="00086C3F">
            <w:pPr>
              <w:bidi/>
              <w:rPr>
                <w:rFonts w:ascii="Arabic Typesetting" w:hAnsi="Arabic Typesetting" w:cs="Arabic Typesetting"/>
                <w:sz w:val="28"/>
                <w:szCs w:val="28"/>
              </w:rPr>
            </w:pPr>
            <w:r>
              <w:rPr>
                <w:rFonts w:ascii="Arabic Typesetting" w:hAnsi="Arabic Typesetting" w:cs="Arabic Typesetting"/>
                <w:sz w:val="28"/>
                <w:szCs w:val="28"/>
                <w:rtl/>
              </w:rPr>
              <w:t>تفاعل الويبو وتشاركها بفعالية مع مسارات ومفاوضات الأمم المتحدة وسائر المنظمات الحكومية الدولية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266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882</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795</w:t>
            </w:r>
          </w:p>
        </w:tc>
      </w:tr>
      <w:tr w:rsidR="0096124E" w:rsidRPr="00211D55" w:rsidTr="0096124E">
        <w:trPr>
          <w:cantSplit/>
          <w:trHeight w:val="48"/>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96124E" w:rsidRPr="00211D55" w:rsidRDefault="0096124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ھ2.9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3F15BC" w:rsidP="00086C3F">
            <w:pPr>
              <w:bidi/>
              <w:rPr>
                <w:rFonts w:ascii="Arabic Typesetting" w:hAnsi="Arabic Typesetting" w:cs="Arabic Typesetting"/>
                <w:sz w:val="28"/>
                <w:szCs w:val="28"/>
              </w:rPr>
            </w:pPr>
            <w:r>
              <w:rPr>
                <w:rFonts w:ascii="Arabic Typesetting" w:hAnsi="Arabic Typesetting" w:cs="Arabic Typesetting"/>
                <w:sz w:val="28"/>
                <w:szCs w:val="28"/>
                <w:rtl/>
              </w:rPr>
              <w:t>أمانة تعمل بنشاط وسلاسة بقوى عاملة حسنة الإدارة وذات مهارات مناسبة وتحقق النتائج بكفاءة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8,946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8,533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7,817</w:t>
            </w:r>
          </w:p>
        </w:tc>
      </w:tr>
      <w:tr w:rsidR="0096124E" w:rsidRPr="00211D55" w:rsidTr="00AC5A12">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96124E" w:rsidRPr="00211D55" w:rsidRDefault="0096124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ھ3.9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3F15BC" w:rsidP="00086C3F">
            <w:pPr>
              <w:bidi/>
              <w:rPr>
                <w:rFonts w:ascii="Arabic Typesetting" w:hAnsi="Arabic Typesetting" w:cs="Arabic Typesetting"/>
                <w:sz w:val="28"/>
                <w:szCs w:val="28"/>
              </w:rPr>
            </w:pPr>
            <w:r>
              <w:rPr>
                <w:rFonts w:ascii="Arabic Typesetting" w:hAnsi="Arabic Typesetting" w:cs="Arabic Typesetting"/>
                <w:sz w:val="28"/>
                <w:szCs w:val="28"/>
                <w:rtl/>
              </w:rPr>
              <w:t>بيئة عمل داعمة ومسنودة بإطار تنظيمي فعال وقنوات فعالة لمعالجة مشاغل الموظفين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1,048</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1,000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96124E" w:rsidRPr="00211D55" w:rsidRDefault="00D55D19" w:rsidP="00086C3F">
            <w:pPr>
              <w:rPr>
                <w:rFonts w:ascii="Arabic Typesetting" w:hAnsi="Arabic Typesetting" w:cs="Arabic Typesetting"/>
                <w:sz w:val="28"/>
                <w:szCs w:val="28"/>
              </w:rPr>
            </w:pPr>
            <w:r w:rsidRPr="00211D55">
              <w:rPr>
                <w:rFonts w:ascii="Arabic Typesetting" w:hAnsi="Arabic Typesetting" w:cs="Arabic Typesetting"/>
                <w:sz w:val="28"/>
                <w:szCs w:val="28"/>
              </w:rPr>
              <w:t>672</w:t>
            </w:r>
          </w:p>
        </w:tc>
      </w:tr>
      <w:tr w:rsidR="0096124E" w:rsidRPr="00211D55" w:rsidTr="00AC5A12">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96124E" w:rsidRPr="00211D55" w:rsidRDefault="0096124E"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96124E" w:rsidRPr="00211D55" w:rsidRDefault="0096124E"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96124E" w:rsidRPr="00211D55" w:rsidRDefault="00D55D19"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18,945</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96124E" w:rsidRPr="00211D55" w:rsidRDefault="00D55D19"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20,827</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96124E" w:rsidRPr="00211D55" w:rsidRDefault="00D55D19"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18,642</w:t>
            </w:r>
          </w:p>
        </w:tc>
      </w:tr>
    </w:tbl>
    <w:p w:rsidR="00A214AF" w:rsidRDefault="00774E37" w:rsidP="00252762">
      <w:pPr>
        <w:keepNext/>
        <w:keepLines/>
        <w:bidi/>
        <w:spacing w:before="240" w:line="340" w:lineRule="exact"/>
        <w:jc w:val="center"/>
        <w:rPr>
          <w:rFonts w:ascii="Arabic Typesetting" w:hAnsi="Arabic Typesetting" w:cs="Arabic Typesetting"/>
          <w:color w:val="000000"/>
          <w:sz w:val="34"/>
          <w:szCs w:val="34"/>
        </w:rPr>
      </w:pPr>
      <w:r w:rsidRPr="00774E37">
        <w:rPr>
          <w:rFonts w:ascii="Arabic Typesetting" w:hAnsi="Arabic Typesetting" w:cs="Arabic Typesetting"/>
          <w:color w:val="000000"/>
          <w:sz w:val="34"/>
          <w:szCs w:val="34"/>
          <w:rtl/>
        </w:rPr>
        <w:t>الميزانية والنفقات الفعلية (موارد الموظفين وخلاف موارد الموظفين)</w:t>
      </w:r>
    </w:p>
    <w:p w:rsidR="00B31868" w:rsidRPr="00B31868" w:rsidRDefault="00B31868" w:rsidP="00086C3F">
      <w:pPr>
        <w:keepNext/>
        <w:keepLines/>
        <w:bidi/>
        <w:spacing w:after="120" w:line="340" w:lineRule="exact"/>
        <w:jc w:val="center"/>
        <w:rPr>
          <w:rFonts w:ascii="Arabic Typesetting" w:hAnsi="Arabic Typesetting" w:cs="Arabic Typesetting"/>
          <w:i/>
          <w:iCs/>
          <w:color w:val="000000"/>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96124E" w:rsidRPr="00211D55" w:rsidTr="0096124E">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96124E" w:rsidRPr="00211D55" w:rsidRDefault="0096124E"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6124E" w:rsidRPr="00211D55" w:rsidRDefault="0096124E"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6124E" w:rsidRPr="00211D55" w:rsidRDefault="0096124E"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6124E" w:rsidRPr="00211D55" w:rsidRDefault="0096124E"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6124E"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96124E" w:rsidRPr="00211D55">
              <w:rPr>
                <w:rFonts w:ascii="Arabic Typesetting" w:hAnsi="Arabic Typesetting" w:cs="Arabic Typesetting"/>
                <w:b/>
                <w:bCs/>
                <w:i/>
                <w:iCs/>
                <w:sz w:val="28"/>
                <w:szCs w:val="28"/>
                <w:rtl/>
              </w:rPr>
              <w:t xml:space="preserve"> (%)</w:t>
            </w:r>
          </w:p>
        </w:tc>
      </w:tr>
      <w:tr w:rsidR="0096124E" w:rsidRPr="00211D55" w:rsidTr="0096124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6124E" w:rsidRPr="00211D55" w:rsidRDefault="0096124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16,799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17,795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15,923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89%</w:t>
            </w:r>
          </w:p>
        </w:tc>
      </w:tr>
      <w:tr w:rsidR="0096124E" w:rsidRPr="00211D55" w:rsidTr="0096124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6124E" w:rsidRPr="00211D55" w:rsidRDefault="0096124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2,146</w:t>
            </w:r>
          </w:p>
        </w:tc>
        <w:tc>
          <w:tcPr>
            <w:tcW w:w="970" w:type="pct"/>
            <w:tcBorders>
              <w:top w:val="nil"/>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3,032</w:t>
            </w:r>
          </w:p>
        </w:tc>
        <w:tc>
          <w:tcPr>
            <w:tcW w:w="970" w:type="pct"/>
            <w:tcBorders>
              <w:top w:val="nil"/>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2,718</w:t>
            </w:r>
          </w:p>
        </w:tc>
        <w:tc>
          <w:tcPr>
            <w:tcW w:w="970" w:type="pct"/>
            <w:tcBorders>
              <w:top w:val="nil"/>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90%</w:t>
            </w:r>
          </w:p>
        </w:tc>
      </w:tr>
      <w:tr w:rsidR="0096124E" w:rsidRPr="00211D55" w:rsidTr="0096124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6124E" w:rsidRPr="00211D55" w:rsidRDefault="0096124E"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18,945</w:t>
            </w:r>
          </w:p>
        </w:tc>
        <w:tc>
          <w:tcPr>
            <w:tcW w:w="970" w:type="pct"/>
            <w:tcBorders>
              <w:top w:val="nil"/>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20,827</w:t>
            </w:r>
          </w:p>
        </w:tc>
        <w:tc>
          <w:tcPr>
            <w:tcW w:w="970" w:type="pct"/>
            <w:tcBorders>
              <w:top w:val="nil"/>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18,642</w:t>
            </w:r>
          </w:p>
        </w:tc>
        <w:tc>
          <w:tcPr>
            <w:tcW w:w="970" w:type="pct"/>
            <w:tcBorders>
              <w:top w:val="nil"/>
              <w:left w:val="single" w:sz="4" w:space="0" w:color="auto"/>
              <w:bottom w:val="single" w:sz="4" w:space="0" w:color="auto"/>
              <w:right w:val="single" w:sz="4" w:space="0" w:color="auto"/>
            </w:tcBorders>
            <w:shd w:val="clear" w:color="auto" w:fill="auto"/>
            <w:vAlign w:val="center"/>
          </w:tcPr>
          <w:p w:rsidR="0096124E" w:rsidRPr="00211D55" w:rsidRDefault="00D55D19"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90%</w:t>
            </w:r>
          </w:p>
        </w:tc>
      </w:tr>
    </w:tbl>
    <w:p w:rsidR="0096124E" w:rsidRPr="00706F20" w:rsidRDefault="0096124E" w:rsidP="00774E37">
      <w:pPr>
        <w:keepNext/>
        <w:bidi/>
        <w:spacing w:before="120" w:after="120" w:line="340" w:lineRule="exact"/>
        <w:rPr>
          <w:rFonts w:ascii="Arabic Typesetting" w:hAnsi="Arabic Typesetting" w:cs="Arabic Typesetting"/>
          <w:sz w:val="34"/>
          <w:szCs w:val="34"/>
          <w:lang w:bidi="ar-EG"/>
        </w:rPr>
      </w:pPr>
      <w:r w:rsidRPr="00706F20">
        <w:rPr>
          <w:rFonts w:ascii="Arabic Typesetting" w:hAnsi="Arabic Typesetting" w:cs="Arabic Typesetting" w:hint="cs"/>
          <w:sz w:val="34"/>
          <w:szCs w:val="34"/>
          <w:rtl/>
          <w:lang w:bidi="ar-EG"/>
        </w:rPr>
        <w:lastRenderedPageBreak/>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D55D19" w:rsidRDefault="00D55D19" w:rsidP="009A3712">
      <w:pPr>
        <w:keepNext/>
        <w:numPr>
          <w:ilvl w:val="0"/>
          <w:numId w:val="8"/>
        </w:numPr>
        <w:tabs>
          <w:tab w:val="clear" w:pos="680"/>
        </w:tabs>
        <w:autoSpaceDE w:val="0"/>
        <w:autoSpaceDN w:val="0"/>
        <w:bidi/>
        <w:adjustRightInd w:val="0"/>
        <w:spacing w:after="120" w:line="340" w:lineRule="exact"/>
        <w:jc w:val="both"/>
        <w:rPr>
          <w:rFonts w:ascii="Arabic Typesetting" w:hAnsi="Arabic Typesetting" w:cs="Arabic Typesetting"/>
          <w:color w:val="000000"/>
          <w:sz w:val="34"/>
          <w:szCs w:val="34"/>
          <w:lang w:bidi="ar-EG"/>
        </w:rPr>
      </w:pPr>
      <w:r w:rsidRPr="00D55D19">
        <w:rPr>
          <w:rFonts w:ascii="Arabic Typesetting" w:hAnsi="Arabic Typesetting" w:cs="Arabic Typesetting" w:hint="cs"/>
          <w:color w:val="000000"/>
          <w:sz w:val="34"/>
          <w:szCs w:val="34"/>
          <w:rtl/>
          <w:lang w:bidi="ar-EG"/>
        </w:rPr>
        <w:t xml:space="preserve">تعزى الزيادة في موارد الموظفين في </w:t>
      </w:r>
      <w:r w:rsidRPr="00D55D19">
        <w:rPr>
          <w:rFonts w:ascii="Arabic Typesetting" w:hAnsi="Arabic Typesetting" w:cs="Arabic Typesetting"/>
          <w:color w:val="000000"/>
          <w:sz w:val="34"/>
          <w:szCs w:val="34"/>
          <w:rtl/>
          <w:lang w:bidi="ar-EG"/>
        </w:rPr>
        <w:t>الميزانية النهائية بعد التحويلات</w:t>
      </w:r>
      <w:r>
        <w:rPr>
          <w:rFonts w:ascii="Arabic Typesetting" w:hAnsi="Arabic Typesetting" w:cs="Arabic Typesetting" w:hint="cs"/>
          <w:color w:val="000000"/>
          <w:sz w:val="34"/>
          <w:szCs w:val="34"/>
          <w:rtl/>
          <w:lang w:bidi="ar-EG"/>
        </w:rPr>
        <w:t xml:space="preserve"> إلى العوامل التالية:</w:t>
      </w:r>
    </w:p>
    <w:p w:rsidR="00011CBD" w:rsidRDefault="00B31868" w:rsidP="00DE6751">
      <w:pPr>
        <w:autoSpaceDE w:val="0"/>
        <w:autoSpaceDN w:val="0"/>
        <w:bidi/>
        <w:adjustRightInd w:val="0"/>
        <w:spacing w:after="120" w:line="340" w:lineRule="exact"/>
        <w:ind w:left="1700" w:hanging="567"/>
        <w:jc w:val="both"/>
        <w:rPr>
          <w:rFonts w:ascii="Arabic Typesetting" w:eastAsia="SimSun" w:hAnsi="Arabic Typesetting" w:cs="Arabic Typesetting"/>
          <w:sz w:val="34"/>
          <w:szCs w:val="34"/>
          <w:rtl/>
          <w:lang w:eastAsia="zh-CN" w:bidi="ar-EG"/>
        </w:rPr>
      </w:pPr>
      <w:r w:rsidRPr="00B31868">
        <w:rPr>
          <w:rFonts w:ascii="Arabic Typesetting" w:eastAsia="SimSun" w:hAnsi="Arabic Typesetting" w:cs="Arabic Typesetting"/>
          <w:sz w:val="34"/>
          <w:szCs w:val="34"/>
          <w:rtl/>
          <w:lang w:eastAsia="zh-CN" w:bidi="ar-EG"/>
        </w:rPr>
        <w:t>"1</w:t>
      </w:r>
      <w:r w:rsidR="00D55D19" w:rsidRPr="00B31868">
        <w:rPr>
          <w:rFonts w:ascii="Arabic Typesetting" w:eastAsia="SimSun" w:hAnsi="Arabic Typesetting" w:cs="Arabic Typesetting"/>
          <w:sz w:val="34"/>
          <w:szCs w:val="34"/>
          <w:rtl/>
          <w:lang w:eastAsia="zh-CN" w:bidi="ar-EG"/>
        </w:rPr>
        <w:t>"</w:t>
      </w:r>
      <w:r w:rsidR="00D55D19">
        <w:rPr>
          <w:rFonts w:ascii="Arabic Typesetting" w:eastAsia="SimSun" w:hAnsi="Arabic Typesetting" w:cs="Arabic Typesetting" w:hint="cs"/>
          <w:sz w:val="34"/>
          <w:szCs w:val="34"/>
          <w:rtl/>
          <w:lang w:eastAsia="zh-CN" w:bidi="ar-EG"/>
        </w:rPr>
        <w:tab/>
      </w:r>
      <w:r w:rsidRPr="00B31868">
        <w:rPr>
          <w:rFonts w:ascii="Arabic Typesetting" w:eastAsia="SimSun" w:hAnsi="Arabic Typesetting" w:cs="Arabic Typesetting"/>
          <w:sz w:val="34"/>
          <w:szCs w:val="34"/>
          <w:rtl/>
          <w:lang w:eastAsia="zh-CN" w:bidi="ar-EG"/>
        </w:rPr>
        <w:t>نقل وظائف إلى البرنامج بعد دمج الأنشطة المتعلقة بالأحداث مع وظيفة المراسم</w:t>
      </w:r>
      <w:r w:rsidR="00011CBD">
        <w:rPr>
          <w:rFonts w:ascii="Arabic Typesetting" w:eastAsia="SimSun" w:hAnsi="Arabic Typesetting" w:cs="Arabic Typesetting" w:hint="cs"/>
          <w:sz w:val="34"/>
          <w:szCs w:val="34"/>
          <w:rtl/>
          <w:lang w:eastAsia="zh-CN" w:bidi="ar-EG"/>
        </w:rPr>
        <w:t xml:space="preserve"> في إطار النتيجة المنشودة 3.8 (</w:t>
      </w:r>
      <w:r w:rsidR="00011CBD" w:rsidRPr="00011CBD">
        <w:rPr>
          <w:rFonts w:ascii="Arabic Typesetting" w:eastAsia="SimSun" w:hAnsi="Arabic Typesetting" w:cs="Arabic Typesetting"/>
          <w:sz w:val="34"/>
          <w:szCs w:val="34"/>
          <w:rtl/>
          <w:lang w:eastAsia="zh-CN" w:bidi="ar-EG"/>
        </w:rPr>
        <w:t>التزام</w:t>
      </w:r>
      <w:r w:rsidR="00011CBD">
        <w:rPr>
          <w:rFonts w:ascii="Arabic Typesetting" w:eastAsia="SimSun" w:hAnsi="Arabic Typesetting" w:cs="Arabic Typesetting" w:hint="cs"/>
          <w:sz w:val="34"/>
          <w:szCs w:val="34"/>
          <w:rtl/>
          <w:lang w:eastAsia="zh-CN" w:bidi="ar-EG"/>
        </w:rPr>
        <w:t> </w:t>
      </w:r>
      <w:r w:rsidR="00011CBD" w:rsidRPr="00011CBD">
        <w:rPr>
          <w:rFonts w:ascii="Arabic Typesetting" w:eastAsia="SimSun" w:hAnsi="Arabic Typesetting" w:cs="Arabic Typesetting"/>
          <w:sz w:val="34"/>
          <w:szCs w:val="34"/>
          <w:rtl/>
          <w:lang w:eastAsia="zh-CN" w:bidi="ar-EG"/>
        </w:rPr>
        <w:t>فعال مع الدول الأعضاء</w:t>
      </w:r>
      <w:r w:rsidR="00011CBD">
        <w:rPr>
          <w:rFonts w:ascii="Arabic Typesetting" w:eastAsia="SimSun" w:hAnsi="Arabic Typesetting" w:cs="Arabic Typesetting" w:hint="cs"/>
          <w:sz w:val="34"/>
          <w:szCs w:val="34"/>
          <w:rtl/>
          <w:lang w:eastAsia="zh-CN" w:bidi="ar-EG"/>
        </w:rPr>
        <w:t>)؛</w:t>
      </w:r>
    </w:p>
    <w:p w:rsidR="00011CBD" w:rsidRDefault="00011CBD" w:rsidP="00DE6751">
      <w:pPr>
        <w:autoSpaceDE w:val="0"/>
        <w:autoSpaceDN w:val="0"/>
        <w:bidi/>
        <w:adjustRightInd w:val="0"/>
        <w:spacing w:after="120" w:line="340" w:lineRule="exact"/>
        <w:ind w:left="1700" w:hanging="567"/>
        <w:jc w:val="both"/>
        <w:rPr>
          <w:rFonts w:ascii="Arabic Typesetting" w:eastAsia="SimSun" w:hAnsi="Arabic Typesetting" w:cs="Arabic Typesetting"/>
          <w:sz w:val="34"/>
          <w:szCs w:val="34"/>
          <w:rtl/>
          <w:lang w:eastAsia="zh-CN" w:bidi="ar-EG"/>
        </w:rPr>
      </w:pPr>
      <w:r>
        <w:rPr>
          <w:rFonts w:ascii="Arabic Typesetting" w:eastAsia="SimSun" w:hAnsi="Arabic Typesetting" w:cs="Arabic Typesetting" w:hint="cs"/>
          <w:sz w:val="34"/>
          <w:szCs w:val="34"/>
          <w:rtl/>
          <w:lang w:eastAsia="zh-CN" w:bidi="ar-EG"/>
        </w:rPr>
        <w:t>"2"</w:t>
      </w:r>
      <w:r>
        <w:rPr>
          <w:rFonts w:ascii="Arabic Typesetting" w:eastAsia="SimSun" w:hAnsi="Arabic Typesetting" w:cs="Arabic Typesetting"/>
          <w:sz w:val="34"/>
          <w:szCs w:val="34"/>
          <w:rtl/>
          <w:lang w:eastAsia="zh-CN" w:bidi="ar-EG"/>
        </w:rPr>
        <w:tab/>
      </w:r>
      <w:r w:rsidR="00B31868" w:rsidRPr="00B31868">
        <w:rPr>
          <w:rFonts w:ascii="Arabic Typesetting" w:eastAsia="SimSun" w:hAnsi="Arabic Typesetting" w:cs="Arabic Typesetting"/>
          <w:sz w:val="34"/>
          <w:szCs w:val="34"/>
          <w:rtl/>
          <w:lang w:eastAsia="zh-CN" w:bidi="ar-EG"/>
        </w:rPr>
        <w:t>استحداث منصب منسق شؤون استمرارية الأعمال</w:t>
      </w:r>
      <w:r>
        <w:rPr>
          <w:rFonts w:ascii="Arabic Typesetting" w:eastAsia="SimSun" w:hAnsi="Arabic Typesetting" w:cs="Arabic Typesetting" w:hint="cs"/>
          <w:sz w:val="34"/>
          <w:szCs w:val="34"/>
          <w:rtl/>
          <w:lang w:eastAsia="zh-CN" w:bidi="ar-EG"/>
        </w:rPr>
        <w:t xml:space="preserve"> في إطار النتيجة المنشودة 2.4 (</w:t>
      </w:r>
      <w:r w:rsidRPr="00011CBD">
        <w:rPr>
          <w:rFonts w:ascii="Arabic Typesetting" w:eastAsia="SimSun" w:hAnsi="Arabic Typesetting" w:cs="Arabic Typesetting"/>
          <w:sz w:val="34"/>
          <w:szCs w:val="34"/>
          <w:rtl/>
          <w:lang w:eastAsia="zh-CN" w:bidi="ar-EG"/>
        </w:rPr>
        <w:t>نفاذ محسّن إلى المعلومات المتعلقة بالملكية الفكرية واستخدامها</w:t>
      </w:r>
      <w:r>
        <w:rPr>
          <w:rFonts w:ascii="Arabic Typesetting" w:eastAsia="SimSun" w:hAnsi="Arabic Typesetting" w:cs="Arabic Typesetting" w:hint="cs"/>
          <w:sz w:val="34"/>
          <w:szCs w:val="34"/>
          <w:rtl/>
          <w:lang w:eastAsia="zh-CN" w:bidi="ar-EG"/>
        </w:rPr>
        <w:t>)؛</w:t>
      </w:r>
    </w:p>
    <w:p w:rsidR="00011CBD" w:rsidRDefault="00011CBD" w:rsidP="00DE6751">
      <w:pPr>
        <w:autoSpaceDE w:val="0"/>
        <w:autoSpaceDN w:val="0"/>
        <w:bidi/>
        <w:adjustRightInd w:val="0"/>
        <w:spacing w:after="120" w:line="340" w:lineRule="exact"/>
        <w:ind w:left="1700" w:hanging="567"/>
        <w:jc w:val="both"/>
        <w:rPr>
          <w:rFonts w:ascii="Arabic Typesetting" w:eastAsia="SimSun" w:hAnsi="Arabic Typesetting" w:cs="Arabic Typesetting"/>
          <w:sz w:val="34"/>
          <w:szCs w:val="34"/>
          <w:rtl/>
          <w:lang w:eastAsia="zh-CN" w:bidi="ar-EG"/>
        </w:rPr>
      </w:pPr>
      <w:r>
        <w:rPr>
          <w:rFonts w:ascii="Arabic Typesetting" w:eastAsia="SimSun" w:hAnsi="Arabic Typesetting" w:cs="Arabic Typesetting" w:hint="cs"/>
          <w:sz w:val="34"/>
          <w:szCs w:val="34"/>
          <w:rtl/>
          <w:lang w:eastAsia="zh-CN" w:bidi="ar-EG"/>
        </w:rPr>
        <w:t>"3"</w:t>
      </w:r>
      <w:r>
        <w:rPr>
          <w:rFonts w:ascii="Arabic Typesetting" w:eastAsia="SimSun" w:hAnsi="Arabic Typesetting" w:cs="Arabic Typesetting"/>
          <w:sz w:val="34"/>
          <w:szCs w:val="34"/>
          <w:rtl/>
          <w:lang w:eastAsia="zh-CN" w:bidi="ar-EG"/>
        </w:rPr>
        <w:tab/>
      </w:r>
      <w:r>
        <w:rPr>
          <w:rFonts w:ascii="Arabic Typesetting" w:eastAsia="SimSun" w:hAnsi="Arabic Typesetting" w:cs="Arabic Typesetting" w:hint="cs"/>
          <w:sz w:val="34"/>
          <w:szCs w:val="34"/>
          <w:rtl/>
          <w:lang w:eastAsia="zh-CN" w:bidi="ar-EG"/>
        </w:rPr>
        <w:t xml:space="preserve">تعزيز مكتب المستشار القانوني </w:t>
      </w:r>
      <w:r w:rsidR="001E0CF5">
        <w:rPr>
          <w:rFonts w:ascii="Arabic Typesetting" w:eastAsia="SimSun" w:hAnsi="Arabic Typesetting" w:cs="Arabic Typesetting" w:hint="cs"/>
          <w:sz w:val="34"/>
          <w:szCs w:val="34"/>
          <w:rtl/>
          <w:lang w:eastAsia="zh-CN" w:bidi="ar-EG"/>
        </w:rPr>
        <w:t>لاستيعاب</w:t>
      </w:r>
      <w:r>
        <w:rPr>
          <w:rFonts w:ascii="Arabic Typesetting" w:eastAsia="SimSun" w:hAnsi="Arabic Typesetting" w:cs="Arabic Typesetting" w:hint="cs"/>
          <w:sz w:val="34"/>
          <w:szCs w:val="34"/>
          <w:rtl/>
          <w:lang w:eastAsia="zh-CN" w:bidi="ar-EG"/>
        </w:rPr>
        <w:t xml:space="preserve"> الطلب المتزايد على الخدمات القانونية في إطار النتيجتين المنشودتين 3.8 (</w:t>
      </w:r>
      <w:r w:rsidRPr="00011CBD">
        <w:rPr>
          <w:rFonts w:ascii="Arabic Typesetting" w:eastAsia="SimSun" w:hAnsi="Arabic Typesetting" w:cs="Arabic Typesetting"/>
          <w:sz w:val="34"/>
          <w:szCs w:val="34"/>
          <w:rtl/>
          <w:lang w:eastAsia="zh-CN" w:bidi="ar-EG"/>
        </w:rPr>
        <w:t>التزام</w:t>
      </w:r>
      <w:r>
        <w:rPr>
          <w:rFonts w:ascii="Arabic Typesetting" w:eastAsia="SimSun" w:hAnsi="Arabic Typesetting" w:cs="Arabic Typesetting" w:hint="cs"/>
          <w:sz w:val="34"/>
          <w:szCs w:val="34"/>
          <w:rtl/>
          <w:lang w:eastAsia="zh-CN" w:bidi="ar-EG"/>
        </w:rPr>
        <w:t> </w:t>
      </w:r>
      <w:r w:rsidRPr="00011CBD">
        <w:rPr>
          <w:rFonts w:ascii="Arabic Typesetting" w:eastAsia="SimSun" w:hAnsi="Arabic Typesetting" w:cs="Arabic Typesetting"/>
          <w:sz w:val="34"/>
          <w:szCs w:val="34"/>
          <w:rtl/>
          <w:lang w:eastAsia="zh-CN" w:bidi="ar-EG"/>
        </w:rPr>
        <w:t>فعال مع الدول الأعضاء</w:t>
      </w:r>
      <w:r>
        <w:rPr>
          <w:rFonts w:ascii="Arabic Typesetting" w:eastAsia="SimSun" w:hAnsi="Arabic Typesetting" w:cs="Arabic Typesetting" w:hint="cs"/>
          <w:sz w:val="34"/>
          <w:szCs w:val="34"/>
          <w:rtl/>
          <w:lang w:eastAsia="zh-CN" w:bidi="ar-EG"/>
        </w:rPr>
        <w:t>) و5.8</w:t>
      </w:r>
      <w:r w:rsidRPr="00011CBD">
        <w:rPr>
          <w:rFonts w:ascii="Arabic Typesetting" w:eastAsia="SimSun" w:hAnsi="Arabic Typesetting" w:cs="Arabic Typesetting"/>
          <w:sz w:val="34"/>
          <w:szCs w:val="34"/>
          <w:rtl/>
          <w:lang w:eastAsia="zh-CN" w:bidi="ar-EG"/>
        </w:rPr>
        <w:t xml:space="preserve"> </w:t>
      </w:r>
      <w:r w:rsidRPr="00011CBD">
        <w:rPr>
          <w:rFonts w:ascii="Arabic Typesetting" w:eastAsia="SimSun" w:hAnsi="Arabic Typesetting" w:cs="Arabic Typesetting" w:hint="cs"/>
          <w:sz w:val="34"/>
          <w:szCs w:val="34"/>
          <w:rtl/>
          <w:lang w:eastAsia="zh-CN" w:bidi="ar-EG"/>
        </w:rPr>
        <w:t>(</w:t>
      </w:r>
      <w:r w:rsidR="0099688F">
        <w:rPr>
          <w:rFonts w:ascii="Arabic Typesetting" w:eastAsia="SimSun" w:hAnsi="Arabic Typesetting" w:cs="Arabic Typesetting"/>
          <w:sz w:val="34"/>
          <w:szCs w:val="34"/>
          <w:rtl/>
          <w:lang w:eastAsia="zh-CN" w:bidi="ar-EG"/>
        </w:rPr>
        <w:t>تفاعل الويبو وتشاركها بفعالية مع مسارات ومفاوضات الأمم المتحدة وسائر المنظمات الحكومية الدولية</w:t>
      </w:r>
      <w:r w:rsidRPr="00011CBD">
        <w:rPr>
          <w:rFonts w:ascii="Arabic Typesetting" w:eastAsia="SimSun" w:hAnsi="Arabic Typesetting" w:cs="Arabic Typesetting" w:hint="cs"/>
          <w:sz w:val="34"/>
          <w:szCs w:val="34"/>
          <w:rtl/>
          <w:lang w:eastAsia="zh-CN" w:bidi="ar-EG"/>
        </w:rPr>
        <w:t>)</w:t>
      </w:r>
      <w:r>
        <w:rPr>
          <w:rFonts w:ascii="Arabic Typesetting" w:eastAsia="SimSun" w:hAnsi="Arabic Typesetting" w:cs="Arabic Typesetting" w:hint="cs"/>
          <w:sz w:val="34"/>
          <w:szCs w:val="34"/>
          <w:rtl/>
          <w:lang w:eastAsia="zh-CN" w:bidi="ar-EG"/>
        </w:rPr>
        <w:t>.</w:t>
      </w:r>
    </w:p>
    <w:p w:rsidR="00950478" w:rsidRDefault="00950478" w:rsidP="00950478">
      <w:pPr>
        <w:numPr>
          <w:ilvl w:val="0"/>
          <w:numId w:val="8"/>
        </w:numPr>
        <w:tabs>
          <w:tab w:val="clear" w:pos="680"/>
        </w:tabs>
        <w:autoSpaceDE w:val="0"/>
        <w:autoSpaceDN w:val="0"/>
        <w:bidi/>
        <w:adjustRightInd w:val="0"/>
        <w:spacing w:after="120" w:line="340" w:lineRule="exact"/>
        <w:jc w:val="both"/>
        <w:rPr>
          <w:rFonts w:ascii="Arabic Typesetting" w:eastAsia="SimSun" w:hAnsi="Arabic Typesetting" w:cs="Arabic Typesetting"/>
          <w:sz w:val="34"/>
          <w:szCs w:val="34"/>
          <w:lang w:eastAsia="zh-CN" w:bidi="ar-EG"/>
        </w:rPr>
      </w:pPr>
      <w:r>
        <w:rPr>
          <w:rFonts w:ascii="Arabic Typesetting" w:eastAsia="SimSun" w:hAnsi="Arabic Typesetting" w:cs="Arabic Typesetting" w:hint="cs"/>
          <w:sz w:val="34"/>
          <w:szCs w:val="34"/>
          <w:rtl/>
          <w:lang w:eastAsia="zh-CN" w:bidi="ar-EG"/>
        </w:rPr>
        <w:t>وتعزى أساساً الزيادة في بند خلاف موارد الموظفين إلى ضرورة تغطية التزامات إضافية تخض دعم ال</w:t>
      </w:r>
      <w:r w:rsidRPr="00950478">
        <w:rPr>
          <w:rFonts w:ascii="Arabic Typesetting" w:eastAsia="SimSun" w:hAnsi="Arabic Typesetting" w:cs="Arabic Typesetting"/>
          <w:sz w:val="34"/>
          <w:szCs w:val="34"/>
          <w:rtl/>
          <w:lang w:eastAsia="zh-CN" w:bidi="ar-EG"/>
        </w:rPr>
        <w:t xml:space="preserve">التزام </w:t>
      </w:r>
      <w:r>
        <w:rPr>
          <w:rFonts w:ascii="Arabic Typesetting" w:eastAsia="SimSun" w:hAnsi="Arabic Typesetting" w:cs="Arabic Typesetting" w:hint="cs"/>
          <w:sz w:val="34"/>
          <w:szCs w:val="34"/>
          <w:rtl/>
          <w:lang w:eastAsia="zh-CN" w:bidi="ar-EG"/>
        </w:rPr>
        <w:t>ال</w:t>
      </w:r>
      <w:r w:rsidRPr="00950478">
        <w:rPr>
          <w:rFonts w:ascii="Arabic Typesetting" w:eastAsia="SimSun" w:hAnsi="Arabic Typesetting" w:cs="Arabic Typesetting"/>
          <w:sz w:val="34"/>
          <w:szCs w:val="34"/>
          <w:rtl/>
          <w:lang w:eastAsia="zh-CN" w:bidi="ar-EG"/>
        </w:rPr>
        <w:t>فعال مع الدول الأعضاء</w:t>
      </w:r>
      <w:r>
        <w:rPr>
          <w:rFonts w:ascii="Arabic Typesetting" w:eastAsia="SimSun" w:hAnsi="Arabic Typesetting" w:cs="Arabic Typesetting" w:hint="cs"/>
          <w:sz w:val="34"/>
          <w:szCs w:val="34"/>
          <w:rtl/>
          <w:lang w:eastAsia="zh-CN" w:bidi="ar-EG"/>
        </w:rPr>
        <w:t xml:space="preserve"> (النتيجة المرتقبة ه3.8).</w:t>
      </w:r>
    </w:p>
    <w:p w:rsidR="00950478" w:rsidRDefault="00950478" w:rsidP="00950478">
      <w:pPr>
        <w:numPr>
          <w:ilvl w:val="0"/>
          <w:numId w:val="8"/>
        </w:numPr>
        <w:tabs>
          <w:tab w:val="clear" w:pos="680"/>
        </w:tabs>
        <w:autoSpaceDE w:val="0"/>
        <w:autoSpaceDN w:val="0"/>
        <w:bidi/>
        <w:adjustRightInd w:val="0"/>
        <w:spacing w:after="120" w:line="340" w:lineRule="exact"/>
        <w:jc w:val="both"/>
        <w:rPr>
          <w:rFonts w:ascii="Arabic Typesetting" w:eastAsia="SimSun" w:hAnsi="Arabic Typesetting" w:cs="Arabic Typesetting"/>
          <w:sz w:val="34"/>
          <w:szCs w:val="34"/>
          <w:rtl/>
          <w:lang w:eastAsia="zh-CN" w:bidi="ar-EG"/>
        </w:rPr>
      </w:pPr>
      <w:r>
        <w:rPr>
          <w:rFonts w:ascii="Arabic Typesetting" w:eastAsia="SimSun" w:hAnsi="Arabic Typesetting" w:cs="Arabic Typesetting" w:hint="cs"/>
          <w:sz w:val="34"/>
          <w:szCs w:val="34"/>
          <w:rtl/>
          <w:lang w:eastAsia="zh-CN" w:bidi="ar-EG"/>
        </w:rPr>
        <w:t>وفضلاً عن ذلك، تستند تحويلات الموارد بين النتائج المرتقبة، ولا سيما النتيجة المرتقبة ه2.9 (</w:t>
      </w:r>
      <w:r w:rsidRPr="00950478">
        <w:rPr>
          <w:rFonts w:ascii="Arabic Typesetting" w:eastAsia="SimSun" w:hAnsi="Arabic Typesetting" w:cs="Arabic Typesetting"/>
          <w:sz w:val="34"/>
          <w:szCs w:val="34"/>
          <w:rtl/>
          <w:lang w:eastAsia="zh-CN" w:bidi="ar-EG"/>
        </w:rPr>
        <w:t>أمانة تعمل بنشاط وسلاسة</w:t>
      </w:r>
      <w:r>
        <w:rPr>
          <w:rFonts w:ascii="Arabic Typesetting" w:eastAsia="SimSun" w:hAnsi="Arabic Typesetting" w:cs="Arabic Typesetting" w:hint="cs"/>
          <w:sz w:val="34"/>
          <w:szCs w:val="34"/>
          <w:rtl/>
          <w:lang w:eastAsia="zh-CN" w:bidi="ar-EG"/>
        </w:rPr>
        <w:t xml:space="preserve">) إلى </w:t>
      </w:r>
      <w:r w:rsidRPr="0074533A">
        <w:rPr>
          <w:rFonts w:ascii="Arabic Typesetting" w:hAnsi="Arabic Typesetting" w:cs="Arabic Typesetting"/>
          <w:sz w:val="34"/>
          <w:szCs w:val="34"/>
          <w:rtl/>
          <w:lang w:bidi="ar-EG"/>
        </w:rPr>
        <w:t>المنهجية الجديدة الأدق المتبعة في تخصيص موارد الموظفين</w:t>
      </w:r>
      <w:r>
        <w:rPr>
          <w:rFonts w:ascii="Arabic Typesetting" w:hAnsi="Arabic Typesetting" w:cs="Arabic Typesetting" w:hint="cs"/>
          <w:sz w:val="34"/>
          <w:szCs w:val="34"/>
          <w:rtl/>
          <w:lang w:bidi="ar-EG"/>
        </w:rPr>
        <w:t xml:space="preserve"> </w:t>
      </w:r>
      <w:r>
        <w:rPr>
          <w:rFonts w:ascii="Arabic Typesetting" w:hAnsi="Arabic Typesetting" w:cs="Arabic Typesetting"/>
          <w:sz w:val="34"/>
          <w:szCs w:val="34"/>
          <w:rtl/>
          <w:lang w:val="fr-CH"/>
        </w:rPr>
        <w:t>والناجمة عن التحسينات المدخلة على نظام التخطيط لإدارة الأداء المؤسسي أثناء التخطيط للعمل السنوي لعامي</w:t>
      </w:r>
      <w:r>
        <w:rPr>
          <w:rFonts w:ascii="Arabic Typesetting" w:hAnsi="Arabic Typesetting" w:cs="Arabic Typesetting" w:hint="cs"/>
          <w:sz w:val="34"/>
          <w:szCs w:val="34"/>
          <w:rtl/>
          <w:lang w:val="fr-CH"/>
        </w:rPr>
        <w:t xml:space="preserve"> </w:t>
      </w:r>
      <w:r w:rsidRPr="0074533A">
        <w:rPr>
          <w:rFonts w:ascii="Arabic Typesetting" w:hAnsi="Arabic Typesetting" w:cs="Arabic Typesetting"/>
          <w:sz w:val="34"/>
          <w:szCs w:val="34"/>
          <w:rtl/>
          <w:lang w:bidi="ar-EG"/>
        </w:rPr>
        <w:t>2014</w:t>
      </w:r>
      <w:r>
        <w:rPr>
          <w:rFonts w:ascii="Arabic Typesetting" w:hAnsi="Arabic Typesetting" w:cs="Arabic Typesetting" w:hint="cs"/>
          <w:sz w:val="34"/>
          <w:szCs w:val="34"/>
          <w:rtl/>
          <w:lang w:bidi="ar-EG"/>
        </w:rPr>
        <w:t xml:space="preserve"> و2015.</w:t>
      </w:r>
    </w:p>
    <w:p w:rsidR="0096124E" w:rsidRPr="00706F20" w:rsidRDefault="0096124E" w:rsidP="00086C3F">
      <w:pPr>
        <w:keepNext/>
        <w:bidi/>
        <w:spacing w:after="120" w:line="340" w:lineRule="exact"/>
        <w:rPr>
          <w:rFonts w:ascii="Arabic Typesetting" w:hAnsi="Arabic Typesetting" w:cs="Arabic Typesetting"/>
          <w:sz w:val="34"/>
          <w:szCs w:val="34"/>
          <w:rtl/>
          <w:lang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011CBD" w:rsidRDefault="00011CBD" w:rsidP="00950478">
      <w:pPr>
        <w:numPr>
          <w:ilvl w:val="0"/>
          <w:numId w:val="8"/>
        </w:numPr>
        <w:tabs>
          <w:tab w:val="clear" w:pos="680"/>
        </w:tabs>
        <w:autoSpaceDE w:val="0"/>
        <w:autoSpaceDN w:val="0"/>
        <w:bidi/>
        <w:adjustRightInd w:val="0"/>
        <w:spacing w:after="120" w:line="340" w:lineRule="exact"/>
        <w:jc w:val="both"/>
        <w:rPr>
          <w:rFonts w:ascii="Arabic Typesetting" w:eastAsia="SimSun" w:hAnsi="Arabic Typesetting" w:cs="Arabic Typesetting"/>
          <w:sz w:val="34"/>
          <w:szCs w:val="34"/>
          <w:lang w:eastAsia="zh-CN" w:bidi="ar-EG"/>
        </w:rPr>
      </w:pPr>
      <w:r>
        <w:rPr>
          <w:rFonts w:ascii="Arabic Typesetting" w:eastAsia="SimSun" w:hAnsi="Arabic Typesetting" w:cs="Arabic Typesetting" w:hint="cs"/>
          <w:sz w:val="34"/>
          <w:szCs w:val="34"/>
          <w:rtl/>
          <w:lang w:eastAsia="zh-CN" w:bidi="ar-EG"/>
        </w:rPr>
        <w:t xml:space="preserve">يعزى </w:t>
      </w:r>
      <w:r w:rsidR="00950478">
        <w:rPr>
          <w:rFonts w:ascii="Arabic Typesetting" w:eastAsia="SimSun" w:hAnsi="Arabic Typesetting" w:cs="Arabic Typesetting" w:hint="cs"/>
          <w:sz w:val="34"/>
          <w:szCs w:val="34"/>
          <w:rtl/>
          <w:lang w:eastAsia="zh-CN" w:bidi="ar-EG"/>
        </w:rPr>
        <w:t>استخدام</w:t>
      </w:r>
      <w:r>
        <w:rPr>
          <w:rFonts w:ascii="Arabic Typesetting" w:eastAsia="SimSun" w:hAnsi="Arabic Typesetting" w:cs="Arabic Typesetting" w:hint="cs"/>
          <w:sz w:val="34"/>
          <w:szCs w:val="34"/>
          <w:rtl/>
          <w:lang w:eastAsia="zh-CN" w:bidi="ar-EG"/>
        </w:rPr>
        <w:t xml:space="preserve"> موارد الموظفين دون النسبة المتوقعة إلى العاملين التاليين: "1" غياب رئيس مكتب الأخلاقيات خلال الأشهر الثمانية الأولى في عام 2015؛ "2" مسارات التعيين الجارية ولا سيما في مكتب المستشار القانوني ومكتب أمين المظالم. وأدى ذلك أيضاً إلى </w:t>
      </w:r>
      <w:proofErr w:type="spellStart"/>
      <w:r>
        <w:rPr>
          <w:rFonts w:ascii="Arabic Typesetting" w:eastAsia="SimSun" w:hAnsi="Arabic Typesetting" w:cs="Arabic Typesetting" w:hint="cs"/>
          <w:sz w:val="34"/>
          <w:szCs w:val="34"/>
          <w:rtl/>
          <w:lang w:eastAsia="zh-CN" w:bidi="ar-EG"/>
        </w:rPr>
        <w:t>إنخفاض</w:t>
      </w:r>
      <w:proofErr w:type="spellEnd"/>
      <w:r>
        <w:rPr>
          <w:rFonts w:ascii="Arabic Typesetting" w:eastAsia="SimSun" w:hAnsi="Arabic Typesetting" w:cs="Arabic Typesetting" w:hint="cs"/>
          <w:sz w:val="34"/>
          <w:szCs w:val="34"/>
          <w:rtl/>
          <w:lang w:eastAsia="zh-CN" w:bidi="ar-EG"/>
        </w:rPr>
        <w:t xml:space="preserve"> إنفاق </w:t>
      </w:r>
      <w:r w:rsidR="0023721A">
        <w:rPr>
          <w:rFonts w:ascii="Arabic Typesetting" w:eastAsia="SimSun" w:hAnsi="Arabic Typesetting" w:cs="Arabic Typesetting" w:hint="cs"/>
          <w:sz w:val="34"/>
          <w:szCs w:val="34"/>
          <w:rtl/>
          <w:lang w:eastAsia="zh-CN" w:bidi="ar-EG"/>
        </w:rPr>
        <w:t xml:space="preserve">مخصصات </w:t>
      </w:r>
      <w:r w:rsidR="009F5F08">
        <w:rPr>
          <w:rFonts w:ascii="Arabic Typesetting" w:eastAsia="SimSun" w:hAnsi="Arabic Typesetting" w:cs="Arabic Typesetting" w:hint="cs"/>
          <w:sz w:val="34"/>
          <w:szCs w:val="34"/>
          <w:rtl/>
          <w:lang w:eastAsia="zh-CN" w:bidi="ar-EG"/>
        </w:rPr>
        <w:t>خلاف موارد الموظفين</w:t>
      </w:r>
      <w:r>
        <w:rPr>
          <w:rFonts w:ascii="Arabic Typesetting" w:eastAsia="SimSun" w:hAnsi="Arabic Typesetting" w:cs="Arabic Typesetting" w:hint="cs"/>
          <w:sz w:val="34"/>
          <w:szCs w:val="34"/>
          <w:rtl/>
          <w:lang w:eastAsia="zh-CN" w:bidi="ar-EG"/>
        </w:rPr>
        <w:t>.</w:t>
      </w:r>
    </w:p>
    <w:p w:rsidR="00B31868" w:rsidRPr="00385CA0" w:rsidRDefault="00B31868" w:rsidP="00285760">
      <w:pPr>
        <w:pStyle w:val="Heading3AR"/>
        <w:spacing w:after="120"/>
      </w:pPr>
      <w:bookmarkStart w:id="114" w:name="_Toc393817958"/>
      <w:bookmarkStart w:id="115" w:name="_Toc450635429"/>
      <w:bookmarkStart w:id="116" w:name="_Toc455393398"/>
      <w:r w:rsidRPr="00385CA0">
        <w:rPr>
          <w:rtl/>
        </w:rPr>
        <w:lastRenderedPageBreak/>
        <w:t xml:space="preserve">البرنامج </w:t>
      </w:r>
      <w:r w:rsidR="00365D19">
        <w:rPr>
          <w:rFonts w:hint="cs"/>
          <w:rtl/>
        </w:rPr>
        <w:t>22</w:t>
      </w:r>
      <w:r w:rsidRPr="00385CA0">
        <w:rPr>
          <w:rtl/>
        </w:rPr>
        <w:t>:</w:t>
      </w:r>
      <w:r w:rsidRPr="00385CA0">
        <w:rPr>
          <w:rtl/>
        </w:rPr>
        <w:tab/>
        <w:t>إدارة البرامج والموارد</w:t>
      </w:r>
      <w:bookmarkEnd w:id="114"/>
      <w:bookmarkEnd w:id="115"/>
      <w:bookmarkEnd w:id="116"/>
    </w:p>
    <w:p w:rsidR="00B31868" w:rsidRPr="00086C3F" w:rsidRDefault="00B31868" w:rsidP="00285760">
      <w:pPr>
        <w:keepNext/>
        <w:bidi/>
        <w:spacing w:after="240" w:line="340" w:lineRule="exact"/>
        <w:ind w:left="1984" w:hanging="1984"/>
        <w:rPr>
          <w:rFonts w:ascii="Arabic Typesetting" w:hAnsi="Arabic Typesetting" w:cs="Arabic Typesetting"/>
          <w:b/>
          <w:bCs/>
          <w:sz w:val="36"/>
          <w:szCs w:val="36"/>
          <w:lang w:val="fr-CH"/>
        </w:rPr>
      </w:pPr>
      <w:r w:rsidRPr="00086C3F">
        <w:rPr>
          <w:rFonts w:ascii="Arabic Typesetting" w:hAnsi="Arabic Typesetting" w:cs="Arabic Typesetting"/>
          <w:b/>
          <w:bCs/>
          <w:sz w:val="36"/>
          <w:szCs w:val="36"/>
          <w:rtl/>
          <w:lang w:val="fr-CH"/>
        </w:rPr>
        <w:t>المسؤول عن البرنامج</w:t>
      </w:r>
      <w:r w:rsidR="005F37C8">
        <w:rPr>
          <w:rFonts w:ascii="Arabic Typesetting" w:hAnsi="Arabic Typesetting" w:cs="Arabic Typesetting" w:hint="cs"/>
          <w:b/>
          <w:bCs/>
          <w:sz w:val="36"/>
          <w:szCs w:val="36"/>
          <w:rtl/>
          <w:lang w:val="fr-CH"/>
        </w:rPr>
        <w:t>:</w:t>
      </w:r>
      <w:r w:rsidRPr="00086C3F">
        <w:rPr>
          <w:rFonts w:ascii="Arabic Typesetting" w:hAnsi="Arabic Typesetting" w:cs="Arabic Typesetting"/>
          <w:b/>
          <w:bCs/>
          <w:sz w:val="36"/>
          <w:szCs w:val="36"/>
          <w:rtl/>
          <w:lang w:val="fr-CH"/>
        </w:rPr>
        <w:tab/>
        <w:t xml:space="preserve">السيد </w:t>
      </w:r>
      <w:proofErr w:type="spellStart"/>
      <w:r w:rsidRPr="00086C3F">
        <w:rPr>
          <w:rFonts w:ascii="Arabic Typesetting" w:hAnsi="Arabic Typesetting" w:cs="Arabic Typesetting"/>
          <w:b/>
          <w:bCs/>
          <w:sz w:val="36"/>
          <w:szCs w:val="36"/>
          <w:rtl/>
          <w:lang w:val="fr-CH"/>
        </w:rPr>
        <w:t>أ</w:t>
      </w:r>
      <w:r w:rsidRPr="00086C3F">
        <w:rPr>
          <w:rFonts w:ascii="Arabic Typesetting" w:hAnsi="Arabic Typesetting" w:cs="Arabic Typesetting" w:hint="cs"/>
          <w:b/>
          <w:bCs/>
          <w:sz w:val="36"/>
          <w:szCs w:val="36"/>
          <w:rtl/>
          <w:lang w:val="fr-CH"/>
        </w:rPr>
        <w:t>مبي</w:t>
      </w:r>
      <w:proofErr w:type="spellEnd"/>
      <w:r w:rsidRPr="00086C3F">
        <w:rPr>
          <w:rFonts w:ascii="Arabic Typesetting" w:hAnsi="Arabic Typesetting" w:cs="Arabic Typesetting"/>
          <w:b/>
          <w:bCs/>
          <w:sz w:val="36"/>
          <w:szCs w:val="36"/>
          <w:rtl/>
          <w:lang w:val="fr-CH"/>
        </w:rPr>
        <w:t xml:space="preserve"> </w:t>
      </w:r>
      <w:proofErr w:type="spellStart"/>
      <w:r w:rsidRPr="00086C3F">
        <w:rPr>
          <w:rFonts w:ascii="Arabic Typesetting" w:hAnsi="Arabic Typesetting" w:cs="Arabic Typesetting"/>
          <w:b/>
          <w:bCs/>
          <w:sz w:val="36"/>
          <w:szCs w:val="36"/>
          <w:rtl/>
          <w:lang w:val="fr-CH"/>
        </w:rPr>
        <w:t>سوندارام</w:t>
      </w:r>
      <w:proofErr w:type="spellEnd"/>
    </w:p>
    <w:p w:rsidR="00B31868" w:rsidRPr="00B31868" w:rsidRDefault="00A214AF" w:rsidP="00285760">
      <w:pPr>
        <w:keepNext/>
        <w:bidi/>
        <w:spacing w:after="240" w:line="340" w:lineRule="exact"/>
        <w:ind w:left="-1" w:firstLine="1"/>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B31868" w:rsidRDefault="00B3186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rtl/>
          <w:lang w:bidi="ar-EG"/>
        </w:rPr>
      </w:pPr>
      <w:r w:rsidRPr="00B31868">
        <w:rPr>
          <w:rFonts w:ascii="Arabic Typesetting" w:hAnsi="Arabic Typesetting" w:cs="Arabic Typesetting" w:hint="cs"/>
          <w:sz w:val="34"/>
          <w:szCs w:val="34"/>
          <w:rtl/>
          <w:lang w:bidi="ar-EG"/>
        </w:rPr>
        <w:t>استنادا إلى التقدم المحرز</w:t>
      </w:r>
      <w:r w:rsidRPr="00B31868">
        <w:rPr>
          <w:rFonts w:ascii="Arabic Typesetting" w:hAnsi="Arabic Typesetting" w:cs="Arabic Typesetting"/>
          <w:sz w:val="34"/>
          <w:szCs w:val="34"/>
          <w:rtl/>
          <w:lang w:bidi="ar-EG"/>
        </w:rPr>
        <w:t xml:space="preserve"> في</w:t>
      </w:r>
      <w:r w:rsidRPr="00B31868">
        <w:rPr>
          <w:rFonts w:ascii="Arabic Typesetting" w:hAnsi="Arabic Typesetting" w:cs="Arabic Typesetting" w:hint="cs"/>
          <w:sz w:val="34"/>
          <w:szCs w:val="34"/>
          <w:rtl/>
          <w:lang w:bidi="ar-EG"/>
        </w:rPr>
        <w:t xml:space="preserve"> الثنائية</w:t>
      </w:r>
      <w:r w:rsidRPr="00B31868">
        <w:rPr>
          <w:rFonts w:ascii="Arabic Typesetting" w:hAnsi="Arabic Typesetting" w:cs="Arabic Typesetting"/>
          <w:sz w:val="34"/>
          <w:szCs w:val="34"/>
          <w:rtl/>
          <w:lang w:bidi="ar-EG"/>
        </w:rPr>
        <w:t xml:space="preserve"> </w:t>
      </w:r>
      <w:r w:rsidR="00507DE2">
        <w:rPr>
          <w:rFonts w:ascii="Arabic Typesetting" w:hAnsi="Arabic Typesetting" w:cs="Arabic Typesetting"/>
          <w:sz w:val="34"/>
          <w:szCs w:val="34"/>
          <w:rtl/>
          <w:lang w:bidi="ar-EG"/>
        </w:rPr>
        <w:t>2012/13</w:t>
      </w:r>
      <w:r w:rsidRPr="00B31868">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تواصل تعزيز</w:t>
      </w:r>
      <w:r w:rsidRPr="00B31868">
        <w:rPr>
          <w:rFonts w:ascii="Arabic Typesetting" w:hAnsi="Arabic Typesetting" w:cs="Arabic Typesetting"/>
          <w:sz w:val="34"/>
          <w:szCs w:val="34"/>
          <w:rtl/>
          <w:lang w:bidi="ar-EG"/>
        </w:rPr>
        <w:t xml:space="preserve"> برنامج الويبو و</w:t>
      </w:r>
      <w:r w:rsidRPr="00B31868">
        <w:rPr>
          <w:rFonts w:ascii="Arabic Typesetting" w:hAnsi="Arabic Typesetting" w:cs="Arabic Typesetting" w:hint="cs"/>
          <w:sz w:val="34"/>
          <w:szCs w:val="34"/>
          <w:rtl/>
          <w:lang w:bidi="ar-EG"/>
        </w:rPr>
        <w:t>إ</w:t>
      </w:r>
      <w:r w:rsidRPr="00B31868">
        <w:rPr>
          <w:rFonts w:ascii="Arabic Typesetting" w:hAnsi="Arabic Typesetting" w:cs="Arabic Typesetting"/>
          <w:sz w:val="34"/>
          <w:szCs w:val="34"/>
          <w:rtl/>
          <w:lang w:bidi="ar-EG"/>
        </w:rPr>
        <w:t>دار</w:t>
      </w:r>
      <w:r w:rsidRPr="00B31868">
        <w:rPr>
          <w:rFonts w:ascii="Arabic Typesetting" w:hAnsi="Arabic Typesetting" w:cs="Arabic Typesetting" w:hint="cs"/>
          <w:sz w:val="34"/>
          <w:szCs w:val="34"/>
          <w:rtl/>
          <w:lang w:bidi="ar-EG"/>
        </w:rPr>
        <w:t>تها</w:t>
      </w:r>
      <w:r w:rsidRPr="00B31868">
        <w:rPr>
          <w:rFonts w:ascii="Arabic Typesetting" w:hAnsi="Arabic Typesetting" w:cs="Arabic Typesetting"/>
          <w:sz w:val="34"/>
          <w:szCs w:val="34"/>
          <w:rtl/>
          <w:lang w:bidi="ar-EG"/>
        </w:rPr>
        <w:t xml:space="preserve"> المالية</w:t>
      </w:r>
      <w:r w:rsidRPr="00B31868">
        <w:rPr>
          <w:rFonts w:ascii="Arabic Typesetting" w:hAnsi="Arabic Typesetting" w:cs="Arabic Typesetting" w:hint="cs"/>
          <w:sz w:val="34"/>
          <w:szCs w:val="34"/>
          <w:rtl/>
          <w:lang w:bidi="ar-EG"/>
        </w:rPr>
        <w:t xml:space="preserve"> ف</w:t>
      </w:r>
      <w:r w:rsidRPr="00B31868">
        <w:rPr>
          <w:rFonts w:ascii="Arabic Typesetting" w:hAnsi="Arabic Typesetting" w:cs="Arabic Typesetting"/>
          <w:sz w:val="34"/>
          <w:szCs w:val="34"/>
          <w:rtl/>
          <w:lang w:bidi="ar-EG"/>
        </w:rPr>
        <w:t xml:space="preserve">ي </w:t>
      </w:r>
      <w:r w:rsidR="00F00553">
        <w:rPr>
          <w:rFonts w:ascii="Arabic Typesetting" w:hAnsi="Arabic Typesetting" w:cs="Arabic Typesetting" w:hint="cs"/>
          <w:sz w:val="34"/>
          <w:szCs w:val="34"/>
          <w:rtl/>
          <w:lang w:bidi="ar-EG"/>
        </w:rPr>
        <w:t xml:space="preserve">الثنائية </w:t>
      </w:r>
      <w:r w:rsidR="00507DE2">
        <w:rPr>
          <w:rFonts w:ascii="Arabic Typesetting" w:hAnsi="Arabic Typesetting" w:cs="Arabic Typesetting" w:hint="cs"/>
          <w:sz w:val="34"/>
          <w:szCs w:val="34"/>
          <w:rtl/>
          <w:lang w:bidi="ar-EG"/>
        </w:rPr>
        <w:t>2014/15</w:t>
      </w:r>
      <w:r w:rsidRPr="00B31868">
        <w:rPr>
          <w:rFonts w:ascii="Arabic Typesetting" w:hAnsi="Arabic Typesetting" w:cs="Arabic Typesetting"/>
          <w:sz w:val="34"/>
          <w:szCs w:val="34"/>
          <w:rtl/>
          <w:lang w:bidi="ar-EG"/>
        </w:rPr>
        <w:t xml:space="preserve">. </w:t>
      </w:r>
      <w:r w:rsidR="001E0CF5">
        <w:rPr>
          <w:rFonts w:ascii="Arabic Typesetting" w:hAnsi="Arabic Typesetting" w:cs="Arabic Typesetting" w:hint="cs"/>
          <w:sz w:val="34"/>
          <w:szCs w:val="34"/>
          <w:rtl/>
          <w:lang w:bidi="ar-EG"/>
        </w:rPr>
        <w:t>وسعياً إلى</w:t>
      </w:r>
      <w:r w:rsidRPr="00B31868">
        <w:rPr>
          <w:rFonts w:ascii="Arabic Typesetting" w:hAnsi="Arabic Typesetting" w:cs="Arabic Typesetting"/>
          <w:sz w:val="34"/>
          <w:szCs w:val="34"/>
          <w:rtl/>
          <w:lang w:bidi="ar-EG"/>
        </w:rPr>
        <w:t xml:space="preserve"> ا</w:t>
      </w:r>
      <w:r w:rsidRPr="00B31868">
        <w:rPr>
          <w:rFonts w:ascii="Arabic Typesetting" w:hAnsi="Arabic Typesetting" w:cs="Arabic Typesetting" w:hint="cs"/>
          <w:sz w:val="34"/>
          <w:szCs w:val="34"/>
          <w:rtl/>
          <w:lang w:bidi="ar-EG"/>
        </w:rPr>
        <w:t>ستخدام</w:t>
      </w:r>
      <w:r w:rsidRPr="00B31868">
        <w:rPr>
          <w:rFonts w:ascii="Arabic Typesetting" w:hAnsi="Arabic Typesetting" w:cs="Arabic Typesetting"/>
          <w:sz w:val="34"/>
          <w:szCs w:val="34"/>
          <w:rtl/>
          <w:lang w:bidi="ar-EG"/>
        </w:rPr>
        <w:t xml:space="preserve"> الموارد </w:t>
      </w:r>
      <w:r w:rsidRPr="00B31868">
        <w:rPr>
          <w:rFonts w:ascii="Arabic Typesetting" w:hAnsi="Arabic Typesetting" w:cs="Arabic Typesetting" w:hint="cs"/>
          <w:sz w:val="34"/>
          <w:szCs w:val="34"/>
          <w:rtl/>
          <w:lang w:bidi="ar-EG"/>
        </w:rPr>
        <w:t>ب</w:t>
      </w:r>
      <w:r w:rsidRPr="00B31868">
        <w:rPr>
          <w:rFonts w:ascii="Arabic Typesetting" w:hAnsi="Arabic Typesetting" w:cs="Arabic Typesetting"/>
          <w:sz w:val="34"/>
          <w:szCs w:val="34"/>
          <w:rtl/>
          <w:lang w:bidi="ar-EG"/>
        </w:rPr>
        <w:t>فعالية</w:t>
      </w:r>
      <w:r w:rsidRPr="00B31868">
        <w:rPr>
          <w:rFonts w:ascii="Arabic Typesetting" w:hAnsi="Arabic Typesetting" w:cs="Arabic Typesetting" w:hint="cs"/>
          <w:sz w:val="34"/>
          <w:szCs w:val="34"/>
          <w:rtl/>
          <w:lang w:bidi="ar-EG"/>
        </w:rPr>
        <w:t xml:space="preserve"> أكبر</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و</w:t>
      </w:r>
      <w:r w:rsidRPr="00B31868">
        <w:rPr>
          <w:rFonts w:ascii="Arabic Typesetting" w:hAnsi="Arabic Typesetting" w:cs="Arabic Typesetting"/>
          <w:sz w:val="34"/>
          <w:szCs w:val="34"/>
          <w:rtl/>
          <w:lang w:bidi="ar-EG"/>
        </w:rPr>
        <w:t xml:space="preserve">إرساء أفضل الممارسات فيما يتعلق بالتخطيط، وإدارة الأداء، وتيسير الأنشطة التشغيلية في جميع </w:t>
      </w:r>
      <w:r w:rsidRPr="00B31868">
        <w:rPr>
          <w:rFonts w:ascii="Arabic Typesetting" w:hAnsi="Arabic Typesetting" w:cs="Arabic Typesetting" w:hint="cs"/>
          <w:sz w:val="34"/>
          <w:szCs w:val="34"/>
          <w:rtl/>
          <w:lang w:bidi="ar-EG"/>
        </w:rPr>
        <w:t>قطاعات</w:t>
      </w:r>
      <w:r w:rsidRPr="00B31868">
        <w:rPr>
          <w:rFonts w:ascii="Arabic Typesetting" w:hAnsi="Arabic Typesetting" w:cs="Arabic Typesetting"/>
          <w:sz w:val="34"/>
          <w:szCs w:val="34"/>
          <w:rtl/>
          <w:lang w:bidi="ar-EG"/>
        </w:rPr>
        <w:t xml:space="preserve"> المنظمة</w:t>
      </w:r>
      <w:r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sz w:val="34"/>
          <w:szCs w:val="34"/>
          <w:rtl/>
          <w:lang w:bidi="ar-EG"/>
        </w:rPr>
        <w:t>ودعم</w:t>
      </w:r>
      <w:r w:rsidRPr="00B31868">
        <w:rPr>
          <w:rFonts w:ascii="Arabic Typesetting" w:hAnsi="Arabic Typesetting" w:cs="Arabic Typesetting" w:hint="cs"/>
          <w:sz w:val="34"/>
          <w:szCs w:val="34"/>
          <w:rtl/>
          <w:lang w:bidi="ar-EG"/>
        </w:rPr>
        <w:t>ها،</w:t>
      </w:r>
      <w:r w:rsidRPr="00B31868">
        <w:rPr>
          <w:rFonts w:ascii="Arabic Typesetting" w:hAnsi="Arabic Typesetting" w:cs="Arabic Typesetting"/>
          <w:sz w:val="34"/>
          <w:szCs w:val="34"/>
          <w:rtl/>
          <w:lang w:bidi="ar-EG"/>
        </w:rPr>
        <w:t xml:space="preserve"> وتعزيز "خط الدفاع الثاني</w:t>
      </w:r>
      <w:r w:rsidRPr="00F96634">
        <w:rPr>
          <w:rFonts w:ascii="Arabic Typesetting" w:hAnsi="Arabic Typesetting" w:cs="Arabic Typesetting"/>
          <w:sz w:val="28"/>
          <w:szCs w:val="28"/>
          <w:vertAlign w:val="superscript"/>
          <w:rtl/>
          <w:lang w:bidi="ar-EG"/>
        </w:rPr>
        <w:footnoteReference w:id="123"/>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نُفذت بالكامل في</w:t>
      </w:r>
      <w:r w:rsidR="00F00553">
        <w:rPr>
          <w:rFonts w:ascii="Arabic Typesetting" w:hAnsi="Arabic Typesetting" w:cs="Arabic Typesetting" w:hint="cs"/>
          <w:sz w:val="34"/>
          <w:szCs w:val="34"/>
          <w:rtl/>
          <w:lang w:bidi="ar-EG"/>
        </w:rPr>
        <w:t xml:space="preserve"> عام</w:t>
      </w:r>
      <w:r w:rsidRPr="00B31868">
        <w:rPr>
          <w:rFonts w:ascii="Arabic Typesetting" w:hAnsi="Arabic Typesetting" w:cs="Arabic Typesetting" w:hint="cs"/>
          <w:sz w:val="34"/>
          <w:szCs w:val="34"/>
          <w:rtl/>
          <w:lang w:bidi="ar-EG"/>
        </w:rPr>
        <w:t xml:space="preserve"> 2014 </w:t>
      </w:r>
      <w:r w:rsidRPr="00B31868">
        <w:rPr>
          <w:rFonts w:ascii="Arabic Typesetting" w:hAnsi="Arabic Typesetting" w:cs="Arabic Typesetting"/>
          <w:sz w:val="34"/>
          <w:szCs w:val="34"/>
          <w:rtl/>
          <w:lang w:bidi="ar-EG"/>
        </w:rPr>
        <w:t xml:space="preserve">إعادة هيكلة استراتيجية </w:t>
      </w:r>
      <w:r w:rsidRPr="00B31868">
        <w:rPr>
          <w:rFonts w:ascii="Arabic Typesetting" w:hAnsi="Arabic Typesetting" w:cs="Arabic Typesetting" w:hint="cs"/>
          <w:sz w:val="34"/>
          <w:szCs w:val="34"/>
          <w:rtl/>
          <w:lang w:bidi="ar-EG"/>
        </w:rPr>
        <w:t>ضمن</w:t>
      </w:r>
      <w:r w:rsidRPr="00B31868">
        <w:rPr>
          <w:rFonts w:ascii="Arabic Typesetting" w:hAnsi="Arabic Typesetting" w:cs="Arabic Typesetting"/>
          <w:sz w:val="34"/>
          <w:szCs w:val="34"/>
          <w:rtl/>
          <w:lang w:bidi="ar-EG"/>
        </w:rPr>
        <w:t xml:space="preserve"> البرنامج </w:t>
      </w:r>
      <w:r w:rsidRPr="00B31868">
        <w:rPr>
          <w:rFonts w:ascii="Arabic Typesetting" w:hAnsi="Arabic Typesetting" w:cs="Arabic Typesetting" w:hint="cs"/>
          <w:sz w:val="34"/>
          <w:szCs w:val="34"/>
          <w:rtl/>
          <w:lang w:bidi="ar-EG"/>
        </w:rPr>
        <w:t>بدأت</w:t>
      </w:r>
      <w:r w:rsidRPr="00B31868">
        <w:rPr>
          <w:rFonts w:ascii="Arabic Typesetting" w:hAnsi="Arabic Typesetting" w:cs="Arabic Typesetting"/>
          <w:sz w:val="34"/>
          <w:szCs w:val="34"/>
          <w:rtl/>
          <w:lang w:bidi="ar-EG"/>
        </w:rPr>
        <w:t xml:space="preserve"> في نوفمبر 2013</w:t>
      </w:r>
      <w:r w:rsidRPr="00B31868">
        <w:rPr>
          <w:rFonts w:ascii="Arabic Typesetting" w:hAnsi="Arabic Typesetting" w:cs="Arabic Typesetting" w:hint="cs"/>
          <w:sz w:val="34"/>
          <w:szCs w:val="34"/>
          <w:rtl/>
          <w:lang w:bidi="ar-EG"/>
        </w:rPr>
        <w:t xml:space="preserve">. وانطوى </w:t>
      </w:r>
      <w:r w:rsidRPr="00B31868">
        <w:rPr>
          <w:rFonts w:ascii="Arabic Typesetting" w:hAnsi="Arabic Typesetting" w:cs="Arabic Typesetting"/>
          <w:sz w:val="34"/>
          <w:szCs w:val="34"/>
          <w:rtl/>
          <w:lang w:bidi="ar-EG"/>
        </w:rPr>
        <w:t xml:space="preserve">ذلك </w:t>
      </w:r>
      <w:r w:rsidRPr="00B31868">
        <w:rPr>
          <w:rFonts w:ascii="Arabic Typesetting" w:hAnsi="Arabic Typesetting" w:cs="Arabic Typesetting" w:hint="cs"/>
          <w:sz w:val="34"/>
          <w:szCs w:val="34"/>
          <w:rtl/>
          <w:lang w:bidi="ar-EG"/>
        </w:rPr>
        <w:t xml:space="preserve">على ما يلي: "1" </w:t>
      </w:r>
      <w:r w:rsidRPr="00B31868">
        <w:rPr>
          <w:rFonts w:ascii="Arabic Typesetting" w:hAnsi="Arabic Typesetting" w:cs="Arabic Typesetting"/>
          <w:sz w:val="34"/>
          <w:szCs w:val="34"/>
          <w:rtl/>
          <w:lang w:bidi="ar-EG"/>
        </w:rPr>
        <w:t xml:space="preserve">دمج قسم إدارة </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 xml:space="preserve">برنامج </w:t>
      </w:r>
      <w:r w:rsidRPr="00B31868">
        <w:rPr>
          <w:rFonts w:ascii="Arabic Typesetting" w:hAnsi="Arabic Typesetting" w:cs="Arabic Typesetting" w:hint="cs"/>
          <w:sz w:val="34"/>
          <w:szCs w:val="34"/>
          <w:rtl/>
          <w:lang w:bidi="ar-EG"/>
        </w:rPr>
        <w:t>و</w:t>
      </w:r>
      <w:r w:rsidRPr="00B31868">
        <w:rPr>
          <w:rFonts w:ascii="Arabic Typesetting" w:hAnsi="Arabic Typesetting" w:cs="Arabic Typesetting"/>
          <w:sz w:val="34"/>
          <w:szCs w:val="34"/>
          <w:rtl/>
          <w:lang w:bidi="ar-EG"/>
        </w:rPr>
        <w:t xml:space="preserve">الأداء </w:t>
      </w:r>
      <w:r w:rsidRPr="00B31868">
        <w:rPr>
          <w:rFonts w:ascii="Arabic Typesetting" w:hAnsi="Arabic Typesetting" w:cs="Arabic Typesetting" w:hint="cs"/>
          <w:sz w:val="34"/>
          <w:szCs w:val="34"/>
          <w:rtl/>
          <w:lang w:bidi="ar-EG"/>
        </w:rPr>
        <w:t xml:space="preserve">مع </w:t>
      </w:r>
      <w:r w:rsidRPr="00B31868">
        <w:rPr>
          <w:rFonts w:ascii="Arabic Typesetting" w:hAnsi="Arabic Typesetting" w:cs="Arabic Typesetting"/>
          <w:sz w:val="34"/>
          <w:szCs w:val="34"/>
          <w:rtl/>
          <w:lang w:bidi="ar-EG"/>
        </w:rPr>
        <w:t>قسم الميزانية</w:t>
      </w:r>
      <w:r w:rsidRPr="00B31868">
        <w:rPr>
          <w:rFonts w:ascii="Arabic Typesetting" w:hAnsi="Arabic Typesetting" w:cs="Arabic Typesetting" w:hint="cs"/>
          <w:sz w:val="34"/>
          <w:szCs w:val="34"/>
          <w:rtl/>
          <w:lang w:bidi="ar-EG"/>
        </w:rPr>
        <w:t xml:space="preserve"> لإنشاء شعبة</w:t>
      </w:r>
      <w:r w:rsidRPr="00B31868">
        <w:rPr>
          <w:rFonts w:ascii="Arabic Typesetting" w:hAnsi="Arabic Typesetting" w:cs="Arabic Typesetting"/>
          <w:sz w:val="34"/>
          <w:szCs w:val="34"/>
          <w:rtl/>
          <w:lang w:bidi="ar-EG"/>
        </w:rPr>
        <w:t xml:space="preserve"> أداء البرنامج والميزانية</w:t>
      </w:r>
      <w:r w:rsidRPr="00B31868">
        <w:rPr>
          <w:rFonts w:ascii="Arabic Typesetting" w:hAnsi="Arabic Typesetting" w:cs="Arabic Typesetting" w:hint="cs"/>
          <w:sz w:val="34"/>
          <w:szCs w:val="34"/>
          <w:rtl/>
          <w:lang w:bidi="ar-EG"/>
        </w:rPr>
        <w:t> </w:t>
      </w:r>
      <w:r w:rsidRPr="00B31868">
        <w:rPr>
          <w:rFonts w:ascii="Arabic Typesetting" w:hAnsi="Arabic Typesetting" w:cs="Arabic Typesetting"/>
          <w:sz w:val="34"/>
          <w:szCs w:val="34"/>
          <w:lang w:bidi="ar-EG"/>
        </w:rPr>
        <w:t>(PPBD)</w:t>
      </w:r>
      <w:r w:rsidRPr="00B31868">
        <w:rPr>
          <w:rFonts w:ascii="Arabic Typesetting" w:hAnsi="Arabic Typesetting" w:cs="Arabic Typesetting"/>
          <w:sz w:val="34"/>
          <w:szCs w:val="34"/>
          <w:rtl/>
          <w:lang w:bidi="ar-EG"/>
        </w:rPr>
        <w:t>، مما</w:t>
      </w:r>
      <w:r w:rsidRPr="00B31868">
        <w:rPr>
          <w:rFonts w:ascii="Arabic Typesetting" w:hAnsi="Arabic Typesetting" w:cs="Arabic Typesetting" w:hint="cs"/>
          <w:sz w:val="34"/>
          <w:szCs w:val="34"/>
          <w:rtl/>
          <w:lang w:bidi="ar-EG"/>
        </w:rPr>
        <w:t xml:space="preserve"> أتاح </w:t>
      </w:r>
      <w:r w:rsidRPr="00B31868">
        <w:rPr>
          <w:rFonts w:ascii="Arabic Typesetting" w:hAnsi="Arabic Typesetting" w:cs="Arabic Typesetting"/>
          <w:sz w:val="34"/>
          <w:szCs w:val="34"/>
          <w:rtl/>
          <w:lang w:bidi="ar-EG"/>
        </w:rPr>
        <w:t>نهج</w:t>
      </w:r>
      <w:r w:rsidRPr="00B31868">
        <w:rPr>
          <w:rFonts w:ascii="Arabic Typesetting" w:hAnsi="Arabic Typesetting" w:cs="Arabic Typesetting" w:hint="cs"/>
          <w:sz w:val="34"/>
          <w:szCs w:val="34"/>
          <w:rtl/>
          <w:lang w:bidi="ar-EG"/>
        </w:rPr>
        <w:t>ا</w:t>
      </w:r>
      <w:r w:rsidRPr="00B31868">
        <w:rPr>
          <w:rFonts w:ascii="Arabic Typesetting" w:hAnsi="Arabic Typesetting" w:cs="Arabic Typesetting"/>
          <w:sz w:val="34"/>
          <w:szCs w:val="34"/>
          <w:rtl/>
          <w:lang w:bidi="ar-EG"/>
        </w:rPr>
        <w:t xml:space="preserve"> </w:t>
      </w:r>
      <w:r w:rsidR="00F00553">
        <w:rPr>
          <w:rFonts w:ascii="Arabic Typesetting" w:hAnsi="Arabic Typesetting" w:cs="Arabic Typesetting" w:hint="cs"/>
          <w:sz w:val="34"/>
          <w:szCs w:val="34"/>
          <w:rtl/>
          <w:lang w:bidi="ar-EG"/>
        </w:rPr>
        <w:t>أشمل</w:t>
      </w:r>
      <w:r w:rsidRPr="00B31868">
        <w:rPr>
          <w:rFonts w:ascii="Arabic Typesetting" w:hAnsi="Arabic Typesetting" w:cs="Arabic Typesetting"/>
          <w:sz w:val="34"/>
          <w:szCs w:val="34"/>
          <w:rtl/>
          <w:lang w:bidi="ar-EG"/>
        </w:rPr>
        <w:t xml:space="preserve"> لإدارة البرنامج؛ </w:t>
      </w:r>
      <w:r w:rsidRPr="00B31868">
        <w:rPr>
          <w:rFonts w:ascii="Arabic Typesetting" w:hAnsi="Arabic Typesetting" w:cs="Arabic Typesetting" w:hint="cs"/>
          <w:sz w:val="34"/>
          <w:szCs w:val="34"/>
          <w:rtl/>
          <w:lang w:bidi="ar-EG"/>
        </w:rPr>
        <w:t>"2" صقل</w:t>
      </w:r>
      <w:r w:rsidRPr="00B31868">
        <w:rPr>
          <w:rFonts w:ascii="Arabic Typesetting" w:hAnsi="Arabic Typesetting" w:cs="Arabic Typesetting"/>
          <w:sz w:val="34"/>
          <w:szCs w:val="34"/>
          <w:rtl/>
          <w:lang w:bidi="ar-EG"/>
        </w:rPr>
        <w:t xml:space="preserve"> دور "مكتب المراقب"، الأمر الذي مكن</w:t>
      </w:r>
      <w:r w:rsidRPr="00B31868">
        <w:rPr>
          <w:rFonts w:ascii="Arabic Typesetting" w:hAnsi="Arabic Typesetting" w:cs="Arabic Typesetting" w:hint="cs"/>
          <w:sz w:val="34"/>
          <w:szCs w:val="34"/>
          <w:rtl/>
          <w:lang w:bidi="ar-EG"/>
        </w:rPr>
        <w:t xml:space="preserve"> من</w:t>
      </w:r>
      <w:r w:rsidRPr="00B31868">
        <w:rPr>
          <w:rFonts w:ascii="Arabic Typesetting" w:hAnsi="Arabic Typesetting" w:cs="Arabic Typesetting"/>
          <w:sz w:val="34"/>
          <w:szCs w:val="34"/>
          <w:rtl/>
          <w:lang w:bidi="ar-EG"/>
        </w:rPr>
        <w:t xml:space="preserve"> الفصل</w:t>
      </w:r>
      <w:r w:rsidRPr="00B31868">
        <w:rPr>
          <w:rFonts w:ascii="Arabic Typesetting" w:hAnsi="Arabic Typesetting" w:cs="Arabic Typesetting" w:hint="cs"/>
          <w:sz w:val="34"/>
          <w:szCs w:val="34"/>
          <w:rtl/>
          <w:lang w:bidi="ar-EG"/>
        </w:rPr>
        <w:t xml:space="preserve"> بين</w:t>
      </w:r>
      <w:r w:rsidRPr="00B31868">
        <w:rPr>
          <w:rFonts w:ascii="Arabic Typesetting" w:hAnsi="Arabic Typesetting" w:cs="Arabic Typesetting"/>
          <w:sz w:val="34"/>
          <w:szCs w:val="34"/>
          <w:rtl/>
          <w:lang w:bidi="ar-EG"/>
        </w:rPr>
        <w:t xml:space="preserve"> المسؤوليات</w:t>
      </w:r>
      <w:r w:rsidRPr="00B31868">
        <w:rPr>
          <w:rFonts w:ascii="Arabic Typesetting" w:hAnsi="Arabic Typesetting" w:cs="Arabic Typesetting" w:hint="cs"/>
          <w:sz w:val="34"/>
          <w:szCs w:val="34"/>
          <w:rtl/>
          <w:lang w:bidi="ar-EG"/>
        </w:rPr>
        <w:t xml:space="preserve"> الواضحة</w:t>
      </w:r>
      <w:r w:rsidRPr="00B31868">
        <w:rPr>
          <w:rFonts w:ascii="Arabic Typesetting" w:hAnsi="Arabic Typesetting" w:cs="Arabic Typesetting"/>
          <w:sz w:val="34"/>
          <w:szCs w:val="34"/>
          <w:rtl/>
          <w:lang w:bidi="ar-EG"/>
        </w:rPr>
        <w:t xml:space="preserve"> وتوزيع</w:t>
      </w:r>
      <w:r w:rsidRPr="00B31868">
        <w:rPr>
          <w:rFonts w:ascii="Arabic Typesetting" w:hAnsi="Arabic Typesetting" w:cs="Arabic Typesetting" w:hint="cs"/>
          <w:sz w:val="34"/>
          <w:szCs w:val="34"/>
          <w:rtl/>
          <w:lang w:bidi="ar-EG"/>
        </w:rPr>
        <w:t>ها</w:t>
      </w:r>
      <w:r w:rsidRPr="00B31868">
        <w:rPr>
          <w:rFonts w:ascii="Arabic Typesetting" w:hAnsi="Arabic Typesetting" w:cs="Arabic Typesetting"/>
          <w:sz w:val="34"/>
          <w:szCs w:val="34"/>
          <w:rtl/>
          <w:lang w:bidi="ar-EG"/>
        </w:rPr>
        <w:t xml:space="preserve"> لتنسيق إدارة المخاطر</w:t>
      </w:r>
      <w:r w:rsidRPr="00B31868">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والامتثال</w:t>
      </w:r>
      <w:r w:rsidRPr="00B31868">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وال</w:t>
      </w:r>
      <w:r w:rsidRPr="00B31868">
        <w:rPr>
          <w:rFonts w:ascii="Arabic Typesetting" w:hAnsi="Arabic Typesetting" w:cs="Arabic Typesetting" w:hint="cs"/>
          <w:sz w:val="34"/>
          <w:szCs w:val="34"/>
          <w:rtl/>
          <w:lang w:bidi="ar-EG"/>
        </w:rPr>
        <w:t xml:space="preserve">مراقبة </w:t>
      </w:r>
      <w:r w:rsidRPr="00B31868">
        <w:rPr>
          <w:rFonts w:ascii="Arabic Typesetting" w:hAnsi="Arabic Typesetting" w:cs="Arabic Typesetting"/>
          <w:sz w:val="34"/>
          <w:szCs w:val="34"/>
          <w:rtl/>
          <w:lang w:bidi="ar-EG"/>
        </w:rPr>
        <w:t xml:space="preserve">الداخلية، واستعراض الإطار المالي التنظيمي </w:t>
      </w:r>
      <w:r w:rsidRPr="00B31868">
        <w:rPr>
          <w:rFonts w:ascii="Arabic Typesetting" w:hAnsi="Arabic Typesetting" w:cs="Arabic Typesetting" w:hint="cs"/>
          <w:sz w:val="34"/>
          <w:szCs w:val="34"/>
          <w:rtl/>
          <w:lang w:bidi="ar-EG"/>
        </w:rPr>
        <w:t>وصيانته</w:t>
      </w:r>
      <w:r w:rsidRPr="00B31868">
        <w:rPr>
          <w:rFonts w:ascii="Arabic Typesetting" w:hAnsi="Arabic Typesetting" w:cs="Arabic Typesetting"/>
          <w:sz w:val="34"/>
          <w:szCs w:val="34"/>
          <w:rtl/>
          <w:lang w:bidi="ar-EG"/>
        </w:rPr>
        <w:t xml:space="preserve"> ومتابعة توصيات</w:t>
      </w:r>
      <w:r w:rsidRPr="00B31868">
        <w:rPr>
          <w:rFonts w:ascii="Arabic Typesetting" w:hAnsi="Arabic Typesetting" w:cs="Arabic Typesetting" w:hint="cs"/>
          <w:sz w:val="34"/>
          <w:szCs w:val="34"/>
          <w:rtl/>
          <w:lang w:bidi="ar-EG"/>
        </w:rPr>
        <w:t xml:space="preserve"> الرقابة</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 xml:space="preserve">"3" </w:t>
      </w:r>
      <w:r w:rsidRPr="00B31868">
        <w:rPr>
          <w:rFonts w:ascii="Arabic Typesetting" w:hAnsi="Arabic Typesetting" w:cs="Arabic Typesetting"/>
          <w:sz w:val="34"/>
          <w:szCs w:val="34"/>
          <w:rtl/>
          <w:lang w:bidi="ar-EG"/>
        </w:rPr>
        <w:t xml:space="preserve">إدماج إدارة ودعم </w:t>
      </w:r>
      <w:r w:rsidRPr="00B31868">
        <w:rPr>
          <w:rFonts w:ascii="Arabic Typesetting" w:hAnsi="Arabic Typesetting" w:cs="Arabic Typesetting" w:hint="cs"/>
          <w:sz w:val="34"/>
          <w:szCs w:val="34"/>
          <w:rtl/>
          <w:lang w:bidi="ar-EG"/>
        </w:rPr>
        <w:t>الطلبات</w:t>
      </w:r>
      <w:r w:rsidRPr="00B31868">
        <w:rPr>
          <w:rFonts w:ascii="Arabic Typesetting" w:hAnsi="Arabic Typesetting" w:cs="Arabic Typesetting"/>
          <w:sz w:val="34"/>
          <w:szCs w:val="34"/>
          <w:rtl/>
          <w:lang w:bidi="ar-EG"/>
        </w:rPr>
        <w:t xml:space="preserve"> الإدارية للمنظمة في </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 xml:space="preserve">برنامج 22، </w:t>
      </w:r>
      <w:r w:rsidRPr="00B31868">
        <w:rPr>
          <w:rFonts w:ascii="Arabic Typesetting" w:hAnsi="Arabic Typesetting" w:cs="Arabic Typesetting" w:hint="cs"/>
          <w:sz w:val="34"/>
          <w:szCs w:val="34"/>
          <w:rtl/>
          <w:lang w:bidi="ar-EG"/>
        </w:rPr>
        <w:t>بما ي</w:t>
      </w:r>
      <w:r w:rsidRPr="00B31868">
        <w:rPr>
          <w:rFonts w:ascii="Arabic Typesetting" w:hAnsi="Arabic Typesetting" w:cs="Arabic Typesetting"/>
          <w:sz w:val="34"/>
          <w:szCs w:val="34"/>
          <w:rtl/>
          <w:lang w:bidi="ar-EG"/>
        </w:rPr>
        <w:t xml:space="preserve">سمح </w:t>
      </w:r>
      <w:r w:rsidRPr="00B31868">
        <w:rPr>
          <w:rFonts w:ascii="Arabic Typesetting" w:hAnsi="Arabic Typesetting" w:cs="Arabic Typesetting" w:hint="cs"/>
          <w:sz w:val="34"/>
          <w:szCs w:val="34"/>
          <w:rtl/>
          <w:lang w:bidi="ar-EG"/>
        </w:rPr>
        <w:t>بتحقيق ال</w:t>
      </w:r>
      <w:r w:rsidRPr="00B31868">
        <w:rPr>
          <w:rFonts w:ascii="Arabic Typesetting" w:hAnsi="Arabic Typesetting" w:cs="Arabic Typesetting"/>
          <w:sz w:val="34"/>
          <w:szCs w:val="34"/>
          <w:rtl/>
          <w:lang w:bidi="ar-EG"/>
        </w:rPr>
        <w:t>تآزر و</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 xml:space="preserve">تعميم الفعال للأنظمة التي </w:t>
      </w:r>
      <w:r w:rsidRPr="00B31868">
        <w:rPr>
          <w:rFonts w:ascii="Arabic Typesetting" w:hAnsi="Arabic Typesetting" w:cs="Arabic Typesetting" w:hint="cs"/>
          <w:sz w:val="34"/>
          <w:szCs w:val="34"/>
          <w:rtl/>
          <w:lang w:bidi="ar-EG"/>
        </w:rPr>
        <w:t>تقدمها</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 xml:space="preserve">مجموعة </w:t>
      </w:r>
      <w:r w:rsidR="00FB2BCA">
        <w:rPr>
          <w:rFonts w:ascii="Arabic Typesetting" w:hAnsi="Arabic Typesetting" w:cs="Arabic Typesetting" w:hint="cs"/>
          <w:sz w:val="34"/>
          <w:szCs w:val="34"/>
          <w:rtl/>
          <w:lang w:bidi="ar-EG"/>
        </w:rPr>
        <w:t>مشروعات</w:t>
      </w:r>
      <w:r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sz w:val="34"/>
          <w:szCs w:val="34"/>
          <w:rtl/>
          <w:lang w:bidi="ar-EG"/>
        </w:rPr>
        <w:t>نظام التخطيط للموارد المؤسسية</w:t>
      </w:r>
      <w:r w:rsidRPr="00B31868">
        <w:rPr>
          <w:rFonts w:ascii="Arabic Typesetting" w:hAnsi="Arabic Typesetting" w:cs="Arabic Typesetting"/>
          <w:sz w:val="34"/>
          <w:szCs w:val="34"/>
          <w:lang w:bidi="ar-EG"/>
        </w:rPr>
        <w:t>.</w:t>
      </w:r>
    </w:p>
    <w:p w:rsidR="00B31868" w:rsidRPr="00B31868" w:rsidRDefault="00B3186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rtl/>
          <w:lang w:bidi="ar-EG"/>
        </w:rPr>
      </w:pPr>
      <w:r w:rsidRPr="00B31868">
        <w:rPr>
          <w:rFonts w:ascii="Arabic Typesetting" w:hAnsi="Arabic Typesetting" w:cs="Arabic Typesetting" w:hint="cs"/>
          <w:sz w:val="34"/>
          <w:szCs w:val="34"/>
          <w:rtl/>
          <w:lang w:bidi="ar-EG"/>
        </w:rPr>
        <w:t>وح</w:t>
      </w:r>
      <w:r w:rsidR="00F00553">
        <w:rPr>
          <w:rFonts w:ascii="Arabic Typesetting" w:hAnsi="Arabic Typesetting" w:cs="Arabic Typesetting" w:hint="cs"/>
          <w:sz w:val="34"/>
          <w:szCs w:val="34"/>
          <w:rtl/>
          <w:lang w:bidi="ar-EG"/>
        </w:rPr>
        <w:t>ُ</w:t>
      </w:r>
      <w:r w:rsidRPr="00B31868">
        <w:rPr>
          <w:rFonts w:ascii="Arabic Typesetting" w:hAnsi="Arabic Typesetting" w:cs="Arabic Typesetting" w:hint="cs"/>
          <w:sz w:val="34"/>
          <w:szCs w:val="34"/>
          <w:rtl/>
          <w:lang w:bidi="ar-EG"/>
        </w:rPr>
        <w:t xml:space="preserve">قق تقدم </w:t>
      </w:r>
      <w:r w:rsidRPr="00B31868">
        <w:rPr>
          <w:rFonts w:ascii="Arabic Typesetting" w:hAnsi="Arabic Typesetting" w:cs="Arabic Typesetting"/>
          <w:sz w:val="34"/>
          <w:szCs w:val="34"/>
          <w:rtl/>
          <w:lang w:bidi="ar-EG"/>
        </w:rPr>
        <w:t xml:space="preserve">جيد </w:t>
      </w:r>
      <w:r w:rsidR="00F00553">
        <w:rPr>
          <w:rFonts w:ascii="Arabic Typesetting" w:hAnsi="Arabic Typesetting" w:cs="Arabic Typesetting" w:hint="cs"/>
          <w:sz w:val="34"/>
          <w:szCs w:val="34"/>
          <w:rtl/>
          <w:lang w:bidi="ar-EG"/>
        </w:rPr>
        <w:t>خلال الثنائية</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فيما يخص مواصلة</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تعميم</w:t>
      </w:r>
      <w:r w:rsidRPr="00B31868">
        <w:rPr>
          <w:rFonts w:ascii="Arabic Typesetting" w:hAnsi="Arabic Typesetting" w:cs="Arabic Typesetting"/>
          <w:sz w:val="34"/>
          <w:szCs w:val="34"/>
          <w:rtl/>
          <w:lang w:bidi="ar-EG"/>
        </w:rPr>
        <w:t xml:space="preserve"> ثقافة قائمة على النتائج وتعزيز دورة إدارة أداء </w:t>
      </w:r>
      <w:r w:rsidRPr="00B31868">
        <w:rPr>
          <w:rFonts w:ascii="Arabic Typesetting" w:hAnsi="Arabic Typesetting" w:cs="Arabic Typesetting"/>
          <w:sz w:val="34"/>
          <w:szCs w:val="34"/>
          <w:rtl/>
        </w:rPr>
        <w:t>الويبو</w:t>
      </w:r>
      <w:r w:rsidRPr="00B31868">
        <w:rPr>
          <w:rFonts w:ascii="Arabic Typesetting" w:hAnsi="Arabic Typesetting" w:cs="Arabic Typesetting"/>
          <w:sz w:val="34"/>
          <w:szCs w:val="34"/>
          <w:rtl/>
          <w:lang w:bidi="ar-EG"/>
        </w:rPr>
        <w:t>. واستمر</w:t>
      </w:r>
      <w:r w:rsidRPr="00B31868">
        <w:rPr>
          <w:rFonts w:ascii="Arabic Typesetting" w:hAnsi="Arabic Typesetting" w:cs="Arabic Typesetting" w:hint="cs"/>
          <w:sz w:val="34"/>
          <w:szCs w:val="34"/>
          <w:rtl/>
          <w:lang w:bidi="ar-EG"/>
        </w:rPr>
        <w:t xml:space="preserve"> تحسين</w:t>
      </w:r>
      <w:r w:rsidRPr="00B31868">
        <w:rPr>
          <w:rFonts w:ascii="Arabic Typesetting" w:hAnsi="Arabic Typesetting" w:cs="Arabic Typesetting"/>
          <w:sz w:val="34"/>
          <w:szCs w:val="34"/>
          <w:rtl/>
          <w:lang w:bidi="ar-EG"/>
        </w:rPr>
        <w:t xml:space="preserve"> عملية تخطيط العمل</w:t>
      </w:r>
      <w:r w:rsidR="00F00553">
        <w:rPr>
          <w:rFonts w:ascii="Arabic Typesetting" w:hAnsi="Arabic Typesetting" w:cs="Arabic Typesetting" w:hint="cs"/>
          <w:sz w:val="34"/>
          <w:szCs w:val="34"/>
          <w:rtl/>
          <w:lang w:bidi="ar-EG"/>
        </w:rPr>
        <w:t xml:space="preserve"> للسنة والثنائية</w:t>
      </w:r>
      <w:r w:rsidRPr="00B31868">
        <w:rPr>
          <w:rFonts w:ascii="Arabic Typesetting" w:hAnsi="Arabic Typesetting" w:cs="Arabic Typesetting"/>
          <w:sz w:val="34"/>
          <w:szCs w:val="34"/>
          <w:rtl/>
          <w:lang w:bidi="ar-EG"/>
        </w:rPr>
        <w:t xml:space="preserve"> </w:t>
      </w:r>
      <w:r w:rsidR="00F00553">
        <w:rPr>
          <w:rFonts w:ascii="Arabic Typesetting" w:hAnsi="Arabic Typesetting" w:cs="Arabic Typesetting" w:hint="cs"/>
          <w:sz w:val="34"/>
          <w:szCs w:val="34"/>
          <w:rtl/>
          <w:lang w:bidi="ar-EG"/>
        </w:rPr>
        <w:t>خلال</w:t>
      </w:r>
      <w:r w:rsidR="00F00553" w:rsidRPr="00B31868">
        <w:rPr>
          <w:rFonts w:ascii="Arabic Typesetting" w:hAnsi="Arabic Typesetting" w:cs="Arabic Typesetting"/>
          <w:sz w:val="34"/>
          <w:szCs w:val="34"/>
          <w:rtl/>
          <w:lang w:bidi="ar-EG"/>
        </w:rPr>
        <w:t xml:space="preserve"> </w:t>
      </w:r>
      <w:r w:rsidR="00507DE2">
        <w:rPr>
          <w:rFonts w:ascii="Arabic Typesetting" w:hAnsi="Arabic Typesetting" w:cs="Arabic Typesetting" w:hint="cs"/>
          <w:sz w:val="34"/>
          <w:szCs w:val="34"/>
          <w:rtl/>
          <w:lang w:bidi="ar-EG"/>
        </w:rPr>
        <w:t>2014/15</w:t>
      </w:r>
      <w:r w:rsidR="00F00553">
        <w:rPr>
          <w:rFonts w:ascii="Arabic Typesetting" w:hAnsi="Arabic Typesetting" w:cs="Arabic Typesetting" w:hint="cs"/>
          <w:sz w:val="34"/>
          <w:szCs w:val="34"/>
          <w:rtl/>
          <w:lang w:bidi="ar-EG"/>
        </w:rPr>
        <w:t xml:space="preserve">. واستحدثت في عام 2014 عملية </w:t>
      </w:r>
      <w:r w:rsidRPr="00B31868">
        <w:rPr>
          <w:rFonts w:ascii="Arabic Typesetting" w:hAnsi="Arabic Typesetting" w:cs="Arabic Typesetting"/>
          <w:sz w:val="34"/>
          <w:szCs w:val="34"/>
          <w:rtl/>
          <w:lang w:bidi="ar-EG"/>
        </w:rPr>
        <w:t xml:space="preserve">التخطيط على مستوى </w:t>
      </w:r>
      <w:r w:rsidRPr="00B31868">
        <w:rPr>
          <w:rFonts w:ascii="Arabic Typesetting" w:hAnsi="Arabic Typesetting" w:cs="Arabic Typesetting" w:hint="cs"/>
          <w:sz w:val="34"/>
          <w:szCs w:val="34"/>
          <w:rtl/>
          <w:lang w:bidi="ar-EG"/>
        </w:rPr>
        <w:t>المناصب</w:t>
      </w:r>
      <w:r w:rsidR="00F00553">
        <w:rPr>
          <w:rFonts w:ascii="Arabic Typesetting" w:hAnsi="Arabic Typesetting" w:cs="Arabic Typesetting" w:hint="cs"/>
          <w:sz w:val="34"/>
          <w:szCs w:val="34"/>
          <w:rtl/>
          <w:lang w:bidi="ar-EG"/>
        </w:rPr>
        <w:t xml:space="preserve"> بغية </w:t>
      </w:r>
      <w:r w:rsidRPr="00B31868">
        <w:rPr>
          <w:rFonts w:ascii="Arabic Typesetting" w:hAnsi="Arabic Typesetting" w:cs="Arabic Typesetting" w:hint="cs"/>
          <w:sz w:val="34"/>
          <w:szCs w:val="34"/>
          <w:rtl/>
          <w:lang w:bidi="ar-EG"/>
        </w:rPr>
        <w:t xml:space="preserve">التقريب أكثر </w:t>
      </w:r>
      <w:r w:rsidRPr="00B31868">
        <w:rPr>
          <w:rFonts w:ascii="Arabic Typesetting" w:hAnsi="Arabic Typesetting" w:cs="Arabic Typesetting"/>
          <w:sz w:val="34"/>
          <w:szCs w:val="34"/>
          <w:rtl/>
          <w:lang w:bidi="ar-EG"/>
        </w:rPr>
        <w:t>بين النتائج المتوقعة للبرامج وأهداف الموظفين الفردية</w:t>
      </w:r>
      <w:r w:rsidR="00F00553">
        <w:rPr>
          <w:rFonts w:ascii="Arabic Typesetting" w:hAnsi="Arabic Typesetting" w:cs="Arabic Typesetting" w:hint="cs"/>
          <w:sz w:val="34"/>
          <w:szCs w:val="34"/>
          <w:rtl/>
          <w:lang w:bidi="ar-EG"/>
        </w:rPr>
        <w:t>؛</w:t>
      </w:r>
      <w:r w:rsidR="00F00553" w:rsidRPr="00B31868">
        <w:rPr>
          <w:rFonts w:ascii="Arabic Typesetting" w:hAnsi="Arabic Typesetting" w:cs="Arabic Typesetting"/>
          <w:sz w:val="34"/>
          <w:szCs w:val="34"/>
          <w:rtl/>
          <w:lang w:bidi="ar-EG"/>
        </w:rPr>
        <w:t xml:space="preserve"> </w:t>
      </w:r>
      <w:r w:rsidR="00F00553">
        <w:rPr>
          <w:rFonts w:ascii="Arabic Typesetting" w:hAnsi="Arabic Typesetting" w:cs="Arabic Typesetting" w:hint="cs"/>
          <w:sz w:val="34"/>
          <w:szCs w:val="34"/>
          <w:rtl/>
          <w:lang w:bidi="ar-EG"/>
        </w:rPr>
        <w:t xml:space="preserve">ما </w:t>
      </w:r>
      <w:r w:rsidRPr="00B31868">
        <w:rPr>
          <w:rFonts w:ascii="Arabic Typesetting" w:hAnsi="Arabic Typesetting" w:cs="Arabic Typesetting" w:hint="cs"/>
          <w:sz w:val="34"/>
          <w:szCs w:val="34"/>
          <w:rtl/>
          <w:lang w:bidi="ar-EG"/>
        </w:rPr>
        <w:t xml:space="preserve">عزز </w:t>
      </w:r>
      <w:r w:rsidRPr="00B31868">
        <w:rPr>
          <w:rFonts w:ascii="Arabic Typesetting" w:hAnsi="Arabic Typesetting" w:cs="Arabic Typesetting"/>
          <w:sz w:val="34"/>
          <w:szCs w:val="34"/>
          <w:rtl/>
          <w:lang w:bidi="ar-EG"/>
        </w:rPr>
        <w:t>الشفافية والدقة فيما يتعلق بتخصيص موارد الموظفين</w:t>
      </w:r>
      <w:r w:rsidR="00F00553">
        <w:rPr>
          <w:rFonts w:ascii="Arabic Typesetting" w:hAnsi="Arabic Typesetting" w:cs="Arabic Typesetting" w:hint="cs"/>
          <w:sz w:val="34"/>
          <w:szCs w:val="34"/>
          <w:rtl/>
          <w:lang w:bidi="ar-EG"/>
        </w:rPr>
        <w:t xml:space="preserve"> واستخدامها</w:t>
      </w:r>
      <w:r w:rsidRPr="00B31868">
        <w:rPr>
          <w:rFonts w:ascii="Arabic Typesetting" w:hAnsi="Arabic Typesetting" w:cs="Arabic Typesetting"/>
          <w:sz w:val="34"/>
          <w:szCs w:val="34"/>
          <w:lang w:bidi="ar-EG"/>
        </w:rPr>
        <w:t>.</w:t>
      </w:r>
    </w:p>
    <w:p w:rsidR="00B31868" w:rsidRPr="00B31868" w:rsidRDefault="00F00553"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t>واندرج</w:t>
      </w:r>
      <w:r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sz w:val="34"/>
          <w:szCs w:val="34"/>
          <w:rtl/>
          <w:lang w:bidi="ar-EG"/>
        </w:rPr>
        <w:t>تطور نظام التخطيط للموارد المؤسسية</w:t>
      </w:r>
      <w:r w:rsidR="00B31868" w:rsidRPr="00B31868">
        <w:rPr>
          <w:rFonts w:ascii="Arabic Typesetting" w:hAnsi="Arabic Typesetting" w:cs="Arabic Typesetting" w:hint="cs"/>
          <w:sz w:val="34"/>
          <w:szCs w:val="34"/>
          <w:rtl/>
          <w:lang w:bidi="ar-EG"/>
        </w:rPr>
        <w:t>/</w:t>
      </w:r>
      <w:r w:rsidR="00B31868" w:rsidRPr="00B31868">
        <w:rPr>
          <w:rFonts w:ascii="Arabic Typesetting" w:hAnsi="Arabic Typesetting" w:cs="Arabic Typesetting"/>
          <w:sz w:val="34"/>
          <w:szCs w:val="34"/>
          <w:rtl/>
          <w:lang w:bidi="ar-EG"/>
        </w:rPr>
        <w:t>نظام إدارة الأداء</w:t>
      </w:r>
      <w:r w:rsidR="00B31868" w:rsidRPr="00B31868">
        <w:rPr>
          <w:rFonts w:ascii="Arabic Typesetting" w:hAnsi="Arabic Typesetting" w:cs="Arabic Typesetting" w:hint="cs"/>
          <w:sz w:val="34"/>
          <w:szCs w:val="34"/>
          <w:rtl/>
          <w:lang w:bidi="ar-EG"/>
        </w:rPr>
        <w:t xml:space="preserve"> المؤسسي</w:t>
      </w:r>
      <w:r w:rsidR="00B31868" w:rsidRPr="00B31868">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في صميم</w:t>
      </w:r>
      <w:r w:rsidR="00B31868" w:rsidRPr="00B31868">
        <w:rPr>
          <w:rFonts w:ascii="Arabic Typesetting" w:hAnsi="Arabic Typesetting" w:cs="Arabic Typesetting"/>
          <w:sz w:val="34"/>
          <w:szCs w:val="34"/>
          <w:rtl/>
          <w:lang w:bidi="ar-EG"/>
        </w:rPr>
        <w:t xml:space="preserve"> التقدم المحرز </w:t>
      </w:r>
      <w:r>
        <w:rPr>
          <w:rFonts w:ascii="Arabic Typesetting" w:hAnsi="Arabic Typesetting" w:cs="Arabic Typesetting" w:hint="cs"/>
          <w:sz w:val="34"/>
          <w:szCs w:val="34"/>
          <w:rtl/>
          <w:lang w:bidi="ar-EG"/>
        </w:rPr>
        <w:t>خلال الثنائية</w:t>
      </w:r>
      <w:r w:rsidR="00B31868" w:rsidRPr="00B31868">
        <w:rPr>
          <w:rFonts w:ascii="Arabic Typesetting" w:hAnsi="Arabic Typesetting" w:cs="Arabic Typesetting"/>
          <w:sz w:val="34"/>
          <w:szCs w:val="34"/>
          <w:rtl/>
          <w:lang w:bidi="ar-EG"/>
        </w:rPr>
        <w:t xml:space="preserve">. </w:t>
      </w:r>
      <w:r>
        <w:rPr>
          <w:rFonts w:ascii="Arabic Typesetting" w:hAnsi="Arabic Typesetting" w:cs="Arabic Typesetting" w:hint="cs"/>
          <w:sz w:val="34"/>
          <w:szCs w:val="34"/>
          <w:rtl/>
          <w:lang w:bidi="ar-EG"/>
        </w:rPr>
        <w:t>وعليه</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 xml:space="preserve">شهد </w:t>
      </w:r>
      <w:r w:rsidR="00B31868" w:rsidRPr="00B31868">
        <w:rPr>
          <w:rFonts w:ascii="Arabic Typesetting" w:hAnsi="Arabic Typesetting" w:cs="Arabic Typesetting"/>
          <w:sz w:val="34"/>
          <w:szCs w:val="34"/>
          <w:rtl/>
          <w:lang w:bidi="ar-EG"/>
        </w:rPr>
        <w:t>عام 2014 إطلاق وحد</w:t>
      </w:r>
      <w:r w:rsidR="00B31868" w:rsidRPr="00B31868">
        <w:rPr>
          <w:rFonts w:ascii="Arabic Typesetting" w:hAnsi="Arabic Typesetting" w:cs="Arabic Typesetting" w:hint="cs"/>
          <w:sz w:val="34"/>
          <w:szCs w:val="34"/>
          <w:rtl/>
          <w:lang w:bidi="ar-EG"/>
        </w:rPr>
        <w:t>تين</w:t>
      </w:r>
      <w:r w:rsidR="00B31868" w:rsidRPr="00B31868">
        <w:rPr>
          <w:rFonts w:ascii="Arabic Typesetting" w:hAnsi="Arabic Typesetting" w:cs="Arabic Typesetting"/>
          <w:sz w:val="34"/>
          <w:szCs w:val="34"/>
          <w:rtl/>
          <w:lang w:bidi="ar-EG"/>
        </w:rPr>
        <w:t xml:space="preserve"> رئيسي</w:t>
      </w:r>
      <w:r w:rsidR="00B31868" w:rsidRPr="00B31868">
        <w:rPr>
          <w:rFonts w:ascii="Arabic Typesetting" w:hAnsi="Arabic Typesetting" w:cs="Arabic Typesetting" w:hint="cs"/>
          <w:sz w:val="34"/>
          <w:szCs w:val="34"/>
          <w:rtl/>
          <w:lang w:bidi="ar-EG"/>
        </w:rPr>
        <w:t>تين</w:t>
      </w:r>
      <w:r w:rsidR="00B31868" w:rsidRPr="00B31868">
        <w:rPr>
          <w:rFonts w:ascii="Arabic Typesetting" w:hAnsi="Arabic Typesetting" w:cs="Arabic Typesetting"/>
          <w:sz w:val="34"/>
          <w:szCs w:val="34"/>
          <w:rtl/>
          <w:lang w:bidi="ar-EG"/>
        </w:rPr>
        <w:t xml:space="preserve"> جديد</w:t>
      </w:r>
      <w:r w:rsidR="00B31868" w:rsidRPr="00B31868">
        <w:rPr>
          <w:rFonts w:ascii="Arabic Typesetting" w:hAnsi="Arabic Typesetting" w:cs="Arabic Typesetting" w:hint="cs"/>
          <w:sz w:val="34"/>
          <w:szCs w:val="34"/>
          <w:rtl/>
          <w:lang w:bidi="ar-EG"/>
        </w:rPr>
        <w:t>تين</w:t>
      </w:r>
      <w:r w:rsidR="00B31868" w:rsidRPr="00B31868">
        <w:rPr>
          <w:rFonts w:ascii="Arabic Typesetting" w:hAnsi="Arabic Typesetting" w:cs="Arabic Typesetting"/>
          <w:sz w:val="34"/>
          <w:szCs w:val="34"/>
          <w:rtl/>
          <w:lang w:bidi="ar-EG"/>
        </w:rPr>
        <w:t xml:space="preserve"> لدعم دورة أداء الويبو، وهما "التنفيذ والرصد" و"تقييم الأداء</w:t>
      </w:r>
      <w:r w:rsidR="00B31868" w:rsidRPr="00B31868">
        <w:rPr>
          <w:rFonts w:ascii="Arabic Typesetting" w:hAnsi="Arabic Typesetting" w:cs="Arabic Typesetting" w:hint="cs"/>
          <w:sz w:val="34"/>
          <w:szCs w:val="34"/>
          <w:rtl/>
          <w:lang w:bidi="ar-EG"/>
        </w:rPr>
        <w:t>"</w:t>
      </w:r>
      <w:r>
        <w:rPr>
          <w:rFonts w:ascii="Arabic Typesetting" w:hAnsi="Arabic Typesetting" w:cs="Arabic Typesetting" w:hint="cs"/>
          <w:sz w:val="34"/>
          <w:szCs w:val="34"/>
          <w:rtl/>
          <w:lang w:bidi="ar-EG"/>
        </w:rPr>
        <w:t>؛ وتتيح الوحدتان اعتماد نهج محسن واستباقي أكثر في إدارة البرنامج وتقييمه. وفضلاً عن ذلك، أتاحت الأداتان إمكانية</w:t>
      </w:r>
      <w:r w:rsidR="00B31868" w:rsidRPr="00B31868">
        <w:rPr>
          <w:rFonts w:ascii="Arabic Typesetting" w:hAnsi="Arabic Typesetting" w:cs="Arabic Typesetting" w:hint="cs"/>
          <w:sz w:val="34"/>
          <w:szCs w:val="34"/>
          <w:rtl/>
          <w:lang w:bidi="ar-EG"/>
        </w:rPr>
        <w:t xml:space="preserve"> إجراء </w:t>
      </w:r>
      <w:r w:rsidR="00B31868" w:rsidRPr="00B31868">
        <w:rPr>
          <w:rFonts w:ascii="Arabic Typesetting" w:hAnsi="Arabic Typesetting" w:cs="Arabic Typesetting"/>
          <w:sz w:val="34"/>
          <w:szCs w:val="34"/>
          <w:rtl/>
          <w:lang w:bidi="ar-EG"/>
        </w:rPr>
        <w:t>تحليل مقارن</w:t>
      </w:r>
      <w:r w:rsidR="00B31868" w:rsidRPr="00B31868">
        <w:rPr>
          <w:rFonts w:ascii="Arabic Typesetting" w:hAnsi="Arabic Typesetting" w:cs="Arabic Typesetting" w:hint="cs"/>
          <w:sz w:val="34"/>
          <w:szCs w:val="34"/>
          <w:rtl/>
          <w:lang w:bidi="ar-EG"/>
        </w:rPr>
        <w:t xml:space="preserve"> أفضل</w:t>
      </w:r>
      <w:r w:rsidR="00B31868" w:rsidRPr="00B31868">
        <w:rPr>
          <w:rFonts w:ascii="Arabic Typesetting" w:hAnsi="Arabic Typesetting" w:cs="Arabic Typesetting"/>
          <w:sz w:val="34"/>
          <w:szCs w:val="34"/>
          <w:rtl/>
          <w:lang w:bidi="ar-EG"/>
        </w:rPr>
        <w:t xml:space="preserve"> بين خطط العمل المعتمدة والتغييرات على مدار العام، </w:t>
      </w:r>
      <w:r w:rsidR="00B31868" w:rsidRPr="00B31868">
        <w:rPr>
          <w:rFonts w:ascii="Arabic Typesetting" w:hAnsi="Arabic Typesetting" w:cs="Arabic Typesetting" w:hint="cs"/>
          <w:sz w:val="34"/>
          <w:szCs w:val="34"/>
          <w:rtl/>
          <w:lang w:bidi="ar-EG"/>
        </w:rPr>
        <w:t xml:space="preserve">مما أدى إلى تحسين </w:t>
      </w:r>
      <w:r w:rsidR="00B31868" w:rsidRPr="00B31868">
        <w:rPr>
          <w:rFonts w:ascii="Arabic Typesetting" w:hAnsi="Arabic Typesetting" w:cs="Arabic Typesetting"/>
          <w:sz w:val="34"/>
          <w:szCs w:val="34"/>
          <w:rtl/>
          <w:lang w:bidi="ar-EG"/>
        </w:rPr>
        <w:t xml:space="preserve">إدارة البرامج </w:t>
      </w:r>
      <w:r w:rsidR="00B31868" w:rsidRPr="00B31868">
        <w:rPr>
          <w:rFonts w:ascii="Arabic Typesetting" w:hAnsi="Arabic Typesetting" w:cs="Arabic Typesetting" w:hint="cs"/>
          <w:sz w:val="34"/>
          <w:szCs w:val="34"/>
          <w:rtl/>
          <w:lang w:bidi="ar-EG"/>
        </w:rPr>
        <w:t xml:space="preserve">وإرشاد </w:t>
      </w:r>
      <w:r w:rsidR="00B31868" w:rsidRPr="00B31868">
        <w:rPr>
          <w:rFonts w:ascii="Arabic Typesetting" w:hAnsi="Arabic Typesetting" w:cs="Arabic Typesetting"/>
          <w:sz w:val="34"/>
          <w:szCs w:val="34"/>
          <w:rtl/>
          <w:lang w:bidi="ar-EG"/>
        </w:rPr>
        <w:t xml:space="preserve">دورات التخطيط </w:t>
      </w:r>
      <w:r w:rsidR="00B31868" w:rsidRPr="00B31868">
        <w:rPr>
          <w:rFonts w:ascii="Arabic Typesetting" w:hAnsi="Arabic Typesetting" w:cs="Arabic Typesetting" w:hint="cs"/>
          <w:sz w:val="34"/>
          <w:szCs w:val="34"/>
          <w:rtl/>
          <w:lang w:bidi="ar-EG"/>
        </w:rPr>
        <w:t>في ا</w:t>
      </w:r>
      <w:r w:rsidR="00B31868" w:rsidRPr="00B31868">
        <w:rPr>
          <w:rFonts w:ascii="Arabic Typesetting" w:hAnsi="Arabic Typesetting" w:cs="Arabic Typesetting"/>
          <w:sz w:val="34"/>
          <w:szCs w:val="34"/>
          <w:rtl/>
          <w:lang w:bidi="ar-EG"/>
        </w:rPr>
        <w:t>لمستقبل</w:t>
      </w:r>
      <w:r w:rsidR="00A11867">
        <w:rPr>
          <w:rFonts w:ascii="Arabic Typesetting" w:hAnsi="Arabic Typesetting" w:cs="Arabic Typesetting" w:hint="cs"/>
          <w:sz w:val="34"/>
          <w:szCs w:val="34"/>
          <w:rtl/>
          <w:lang w:bidi="ar-EG"/>
        </w:rPr>
        <w:t xml:space="preserve"> ومنها دورة التخطيط للثنائية </w:t>
      </w:r>
      <w:r w:rsidR="00507DE2">
        <w:rPr>
          <w:rFonts w:ascii="Arabic Typesetting" w:hAnsi="Arabic Typesetting" w:cs="Arabic Typesetting" w:hint="cs"/>
          <w:sz w:val="34"/>
          <w:szCs w:val="34"/>
          <w:rtl/>
          <w:lang w:bidi="ar-EG"/>
        </w:rPr>
        <w:t>2016/17</w:t>
      </w:r>
      <w:r w:rsidR="00B31868" w:rsidRPr="00B31868">
        <w:rPr>
          <w:rFonts w:ascii="Arabic Typesetting" w:hAnsi="Arabic Typesetting" w:cs="Arabic Typesetting"/>
          <w:sz w:val="34"/>
          <w:szCs w:val="34"/>
          <w:rtl/>
          <w:lang w:bidi="ar-EG"/>
        </w:rPr>
        <w:t>.</w:t>
      </w:r>
    </w:p>
    <w:p w:rsidR="00B31868" w:rsidRDefault="00B3186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 xml:space="preserve">وأدى </w:t>
      </w:r>
      <w:r w:rsidRPr="00B31868">
        <w:rPr>
          <w:rFonts w:ascii="Arabic Typesetting" w:hAnsi="Arabic Typesetting" w:cs="Arabic Typesetting"/>
          <w:sz w:val="34"/>
          <w:szCs w:val="34"/>
          <w:rtl/>
          <w:lang w:bidi="ar-EG"/>
        </w:rPr>
        <w:t xml:space="preserve">أيضا </w:t>
      </w:r>
      <w:r w:rsidRPr="00B31868">
        <w:rPr>
          <w:rFonts w:ascii="Arabic Typesetting" w:hAnsi="Arabic Typesetting" w:cs="Arabic Typesetting" w:hint="cs"/>
          <w:sz w:val="34"/>
          <w:szCs w:val="34"/>
          <w:rtl/>
          <w:lang w:bidi="ar-EG"/>
        </w:rPr>
        <w:t>إدماج</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مزيد من مكونات نظام التخطيط للموارد المؤسسية</w:t>
      </w:r>
      <w:r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sz w:val="34"/>
          <w:szCs w:val="34"/>
          <w:rtl/>
          <w:lang w:bidi="ar-EG"/>
        </w:rPr>
        <w:t>في عام</w:t>
      </w:r>
      <w:r w:rsidR="00026AA7">
        <w:rPr>
          <w:rFonts w:ascii="Arabic Typesetting" w:hAnsi="Arabic Typesetting" w:cs="Arabic Typesetting" w:hint="cs"/>
          <w:sz w:val="34"/>
          <w:szCs w:val="34"/>
          <w:rtl/>
          <w:lang w:bidi="ar-EG"/>
        </w:rPr>
        <w:t>ي</w:t>
      </w:r>
      <w:r w:rsidRPr="00B31868">
        <w:rPr>
          <w:rFonts w:ascii="Arabic Typesetting" w:hAnsi="Arabic Typesetting" w:cs="Arabic Typesetting"/>
          <w:sz w:val="34"/>
          <w:szCs w:val="34"/>
          <w:rtl/>
          <w:lang w:bidi="ar-EG"/>
        </w:rPr>
        <w:t xml:space="preserve"> </w:t>
      </w:r>
      <w:r w:rsidR="00507DE2">
        <w:rPr>
          <w:rFonts w:ascii="Arabic Typesetting" w:hAnsi="Arabic Typesetting" w:cs="Arabic Typesetting" w:hint="cs"/>
          <w:sz w:val="34"/>
          <w:szCs w:val="34"/>
          <w:rtl/>
          <w:lang w:bidi="ar-EG"/>
        </w:rPr>
        <w:t>2014/15</w:t>
      </w:r>
      <w:r w:rsidR="00026AA7"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 xml:space="preserve">إلى </w:t>
      </w:r>
      <w:r w:rsidRPr="00B31868">
        <w:rPr>
          <w:rFonts w:ascii="Arabic Typesetting" w:hAnsi="Arabic Typesetting" w:cs="Arabic Typesetting"/>
          <w:sz w:val="34"/>
          <w:szCs w:val="34"/>
          <w:rtl/>
          <w:lang w:bidi="ar-EG"/>
        </w:rPr>
        <w:t xml:space="preserve">قدرات إبلاغ وأدوات تحليل محسنة. </w:t>
      </w:r>
      <w:r w:rsidRPr="00B31868">
        <w:rPr>
          <w:rFonts w:ascii="Arabic Typesetting" w:hAnsi="Arabic Typesetting" w:cs="Arabic Typesetting" w:hint="cs"/>
          <w:sz w:val="34"/>
          <w:szCs w:val="34"/>
          <w:rtl/>
          <w:lang w:bidi="ar-EG"/>
        </w:rPr>
        <w:t>و</w:t>
      </w:r>
      <w:r w:rsidRPr="00B31868">
        <w:rPr>
          <w:rFonts w:ascii="Arabic Typesetting" w:hAnsi="Arabic Typesetting" w:cs="Arabic Typesetting"/>
          <w:sz w:val="34"/>
          <w:szCs w:val="34"/>
          <w:rtl/>
          <w:lang w:bidi="ar-EG"/>
        </w:rPr>
        <w:t xml:space="preserve">لأول مرة في 2014، </w:t>
      </w:r>
      <w:r w:rsidRPr="00B31868">
        <w:rPr>
          <w:rFonts w:ascii="Arabic Typesetting" w:hAnsi="Arabic Typesetting" w:cs="Arabic Typesetting" w:hint="cs"/>
          <w:sz w:val="34"/>
          <w:szCs w:val="34"/>
          <w:rtl/>
          <w:lang w:bidi="ar-EG"/>
        </w:rPr>
        <w:t>أُدمج ال</w:t>
      </w:r>
      <w:r w:rsidRPr="00B31868">
        <w:rPr>
          <w:rFonts w:ascii="Arabic Typesetting" w:hAnsi="Arabic Typesetting" w:cs="Arabic Typesetting"/>
          <w:sz w:val="34"/>
          <w:szCs w:val="34"/>
          <w:rtl/>
          <w:lang w:bidi="ar-EG"/>
        </w:rPr>
        <w:t>نظام</w:t>
      </w:r>
      <w:r w:rsidRPr="00B31868">
        <w:rPr>
          <w:rFonts w:ascii="Arabic Typesetting" w:hAnsi="Arabic Typesetting" w:cs="Arabic Typesetting" w:hint="cs"/>
          <w:sz w:val="34"/>
          <w:szCs w:val="34"/>
          <w:rtl/>
          <w:lang w:bidi="ar-EG"/>
        </w:rPr>
        <w:t xml:space="preserve"> المالي</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لبرنامج ا</w:t>
      </w:r>
      <w:r w:rsidRPr="00B31868">
        <w:rPr>
          <w:rFonts w:ascii="Arabic Typesetting" w:hAnsi="Arabic Typesetting" w:cs="Arabic Typesetting"/>
          <w:sz w:val="34"/>
          <w:szCs w:val="34"/>
          <w:rtl/>
          <w:lang w:bidi="ar-EG"/>
        </w:rPr>
        <w:t xml:space="preserve">لإدارة المتكاملة </w:t>
      </w:r>
      <w:r w:rsidRPr="00B31868">
        <w:rPr>
          <w:rFonts w:ascii="Arabic Typesetting" w:hAnsi="Arabic Typesetting" w:cs="Arabic Typesetting"/>
          <w:sz w:val="34"/>
          <w:szCs w:val="34"/>
          <w:lang w:bidi="ar-EG"/>
        </w:rPr>
        <w:t>(AIMS)</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 xml:space="preserve">ونظام </w:t>
      </w:r>
      <w:r w:rsidRPr="00B31868">
        <w:rPr>
          <w:rFonts w:ascii="Arabic Typesetting" w:hAnsi="Arabic Typesetting" w:cs="Arabic Typesetting"/>
          <w:sz w:val="34"/>
          <w:szCs w:val="34"/>
          <w:rtl/>
          <w:lang w:bidi="ar-EG"/>
        </w:rPr>
        <w:t xml:space="preserve">التخطيط </w:t>
      </w:r>
      <w:r w:rsidRPr="00B31868">
        <w:rPr>
          <w:rFonts w:ascii="Arabic Typesetting" w:hAnsi="Arabic Typesetting" w:cs="Arabic Typesetting" w:hint="cs"/>
          <w:sz w:val="34"/>
          <w:szCs w:val="34"/>
          <w:rtl/>
          <w:lang w:bidi="ar-EG"/>
        </w:rPr>
        <w:t xml:space="preserve">لبرنامج </w:t>
      </w:r>
      <w:r w:rsidRPr="00B31868">
        <w:rPr>
          <w:rFonts w:ascii="Arabic Typesetting" w:hAnsi="Arabic Typesetting" w:cs="Arabic Typesetting"/>
          <w:sz w:val="34"/>
          <w:szCs w:val="34"/>
          <w:rtl/>
          <w:lang w:bidi="ar-EG"/>
        </w:rPr>
        <w:t xml:space="preserve">إدارة </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 xml:space="preserve">أداء </w:t>
      </w:r>
      <w:r w:rsidRPr="00B31868">
        <w:rPr>
          <w:rFonts w:ascii="Arabic Typesetting" w:hAnsi="Arabic Typesetting" w:cs="Arabic Typesetting" w:hint="cs"/>
          <w:sz w:val="34"/>
          <w:szCs w:val="34"/>
          <w:rtl/>
          <w:lang w:bidi="ar-EG"/>
        </w:rPr>
        <w:t>المؤسسي، مما</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 xml:space="preserve">مكّن من </w:t>
      </w:r>
      <w:r w:rsidRPr="00B31868">
        <w:rPr>
          <w:rFonts w:ascii="Arabic Typesetting" w:hAnsi="Arabic Typesetting" w:cs="Arabic Typesetting"/>
          <w:sz w:val="34"/>
          <w:szCs w:val="34"/>
          <w:rtl/>
          <w:lang w:bidi="ar-EG"/>
        </w:rPr>
        <w:t xml:space="preserve">تحسين عملية الإبلاغ عن الميزانية </w:t>
      </w:r>
      <w:r w:rsidRPr="00B31868">
        <w:rPr>
          <w:rFonts w:ascii="Arabic Typesetting" w:hAnsi="Arabic Typesetting" w:cs="Arabic Typesetting" w:hint="cs"/>
          <w:sz w:val="34"/>
          <w:szCs w:val="34"/>
          <w:rtl/>
          <w:lang w:bidi="ar-EG"/>
        </w:rPr>
        <w:t>مقارنة ب</w:t>
      </w:r>
      <w:r w:rsidRPr="00B31868">
        <w:rPr>
          <w:rFonts w:ascii="Arabic Typesetting" w:hAnsi="Arabic Typesetting" w:cs="Arabic Typesetting"/>
          <w:sz w:val="34"/>
          <w:szCs w:val="34"/>
          <w:rtl/>
          <w:lang w:bidi="ar-EG"/>
        </w:rPr>
        <w:t>النفقات الفعلية من نظام إدارة الأداء المؤسسي</w:t>
      </w:r>
      <w:r w:rsidRPr="00B31868">
        <w:rPr>
          <w:rFonts w:ascii="Arabic Typesetting" w:hAnsi="Arabic Typesetting" w:cs="Arabic Typesetting"/>
          <w:sz w:val="34"/>
          <w:szCs w:val="34"/>
          <w:lang w:bidi="ar-EG"/>
        </w:rPr>
        <w:t>.</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و</w:t>
      </w:r>
      <w:r w:rsidRPr="00B31868">
        <w:rPr>
          <w:rFonts w:ascii="Arabic Typesetting" w:hAnsi="Arabic Typesetting" w:cs="Arabic Typesetting"/>
          <w:sz w:val="34"/>
          <w:szCs w:val="34"/>
          <w:rtl/>
          <w:lang w:bidi="ar-EG"/>
        </w:rPr>
        <w:t xml:space="preserve">إضافة إلى ذلك، </w:t>
      </w:r>
      <w:r w:rsidRPr="00B31868">
        <w:rPr>
          <w:rFonts w:ascii="Arabic Typesetting" w:hAnsi="Arabic Typesetting" w:cs="Arabic Typesetting" w:hint="cs"/>
          <w:sz w:val="34"/>
          <w:szCs w:val="34"/>
          <w:rtl/>
          <w:lang w:bidi="ar-EG"/>
        </w:rPr>
        <w:t xml:space="preserve">بدأ تشغيل </w:t>
      </w:r>
      <w:r w:rsidRPr="00B31868">
        <w:rPr>
          <w:rFonts w:ascii="Arabic Typesetting" w:hAnsi="Arabic Typesetting" w:cs="Arabic Typesetting"/>
          <w:sz w:val="34"/>
          <w:szCs w:val="34"/>
          <w:rtl/>
          <w:lang w:bidi="ar-EG"/>
        </w:rPr>
        <w:t xml:space="preserve">نظام </w:t>
      </w:r>
      <w:r w:rsidRPr="00B31868">
        <w:rPr>
          <w:rFonts w:ascii="Arabic Typesetting" w:hAnsi="Arabic Typesetting" w:cs="Arabic Typesetting" w:hint="cs"/>
          <w:sz w:val="34"/>
          <w:szCs w:val="34"/>
          <w:rtl/>
          <w:lang w:bidi="ar-EG"/>
        </w:rPr>
        <w:t xml:space="preserve">المرتبات/برنامج </w:t>
      </w:r>
      <w:r w:rsidRPr="00B31868">
        <w:rPr>
          <w:rFonts w:ascii="Arabic Typesetting" w:hAnsi="Arabic Typesetting" w:cs="Arabic Typesetting"/>
          <w:sz w:val="34"/>
          <w:szCs w:val="34"/>
          <w:rtl/>
          <w:lang w:bidi="ar-EG"/>
        </w:rPr>
        <w:t>التخطيط للموارد المؤسسية</w:t>
      </w:r>
      <w:r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sz w:val="34"/>
          <w:szCs w:val="34"/>
          <w:rtl/>
          <w:lang w:bidi="ar-EG"/>
        </w:rPr>
        <w:t>الموارد البشرية</w:t>
      </w:r>
      <w:r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sz w:val="34"/>
          <w:szCs w:val="34"/>
          <w:rtl/>
          <w:lang w:bidi="ar-EG"/>
        </w:rPr>
        <w:t>في يناير 2014، وا</w:t>
      </w:r>
      <w:r w:rsidRPr="00B31868">
        <w:rPr>
          <w:rFonts w:ascii="Arabic Typesetting" w:hAnsi="Arabic Typesetting" w:cs="Arabic Typesetting" w:hint="cs"/>
          <w:sz w:val="34"/>
          <w:szCs w:val="34"/>
          <w:rtl/>
          <w:lang w:bidi="ar-EG"/>
        </w:rPr>
        <w:t>ستُ</w:t>
      </w:r>
      <w:r w:rsidRPr="00B31868">
        <w:rPr>
          <w:rFonts w:ascii="Arabic Typesetting" w:hAnsi="Arabic Typesetting" w:cs="Arabic Typesetting"/>
          <w:sz w:val="34"/>
          <w:szCs w:val="34"/>
          <w:rtl/>
          <w:lang w:bidi="ar-EG"/>
        </w:rPr>
        <w:t xml:space="preserve">كمل </w:t>
      </w:r>
      <w:r w:rsidRPr="00B31868">
        <w:rPr>
          <w:rFonts w:ascii="Arabic Typesetting" w:hAnsi="Arabic Typesetting" w:cs="Arabic Typesetting" w:hint="cs"/>
          <w:sz w:val="34"/>
          <w:szCs w:val="34"/>
          <w:rtl/>
          <w:lang w:bidi="ar-EG"/>
        </w:rPr>
        <w:t>إدماج</w:t>
      </w:r>
      <w:r w:rsidRPr="00B31868">
        <w:rPr>
          <w:rFonts w:ascii="Arabic Typesetting" w:hAnsi="Arabic Typesetting" w:cs="Arabic Typesetting"/>
          <w:sz w:val="34"/>
          <w:szCs w:val="34"/>
          <w:rtl/>
          <w:lang w:bidi="ar-EG"/>
        </w:rPr>
        <w:t xml:space="preserve"> نظام </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 xml:space="preserve">تخطيط </w:t>
      </w:r>
      <w:r w:rsidRPr="00B31868">
        <w:rPr>
          <w:rFonts w:ascii="Arabic Typesetting" w:hAnsi="Arabic Typesetting" w:cs="Arabic Typesetting" w:hint="cs"/>
          <w:sz w:val="34"/>
          <w:szCs w:val="34"/>
          <w:rtl/>
          <w:lang w:bidi="ar-EG"/>
        </w:rPr>
        <w:t xml:space="preserve">لبرنامج </w:t>
      </w:r>
      <w:r w:rsidRPr="00B31868">
        <w:rPr>
          <w:rFonts w:ascii="Arabic Typesetting" w:hAnsi="Arabic Typesetting" w:cs="Arabic Typesetting"/>
          <w:sz w:val="34"/>
          <w:szCs w:val="34"/>
          <w:rtl/>
          <w:lang w:bidi="ar-EG"/>
        </w:rPr>
        <w:t xml:space="preserve">إدارة الأداء المؤسسي في أبريل، مما أدى إلى قدرات </w:t>
      </w:r>
      <w:r w:rsidRPr="00B31868">
        <w:rPr>
          <w:rFonts w:ascii="Arabic Typesetting" w:hAnsi="Arabic Typesetting" w:cs="Arabic Typesetting" w:hint="cs"/>
          <w:sz w:val="34"/>
          <w:szCs w:val="34"/>
          <w:rtl/>
          <w:lang w:bidi="ar-EG"/>
        </w:rPr>
        <w:t>جد معززة</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 xml:space="preserve">في </w:t>
      </w:r>
      <w:r w:rsidRPr="00B31868">
        <w:rPr>
          <w:rFonts w:ascii="Arabic Typesetting" w:hAnsi="Arabic Typesetting" w:cs="Arabic Typesetting"/>
          <w:sz w:val="34"/>
          <w:szCs w:val="34"/>
          <w:rtl/>
          <w:lang w:bidi="ar-EG"/>
        </w:rPr>
        <w:t xml:space="preserve">إدارة </w:t>
      </w:r>
      <w:r w:rsidRPr="00B31868">
        <w:rPr>
          <w:rFonts w:ascii="Arabic Typesetting" w:hAnsi="Arabic Typesetting" w:cs="Arabic Typesetting" w:hint="cs"/>
          <w:sz w:val="34"/>
          <w:szCs w:val="34"/>
          <w:rtl/>
          <w:lang w:bidi="ar-EG"/>
        </w:rPr>
        <w:t>المناصب</w:t>
      </w:r>
      <w:r w:rsidRPr="00B31868">
        <w:rPr>
          <w:rFonts w:ascii="Arabic Typesetting" w:hAnsi="Arabic Typesetting" w:cs="Arabic Typesetting"/>
          <w:sz w:val="34"/>
          <w:szCs w:val="34"/>
          <w:rtl/>
          <w:lang w:bidi="ar-EG"/>
        </w:rPr>
        <w:t>. وأ</w:t>
      </w:r>
      <w:r w:rsidRPr="00B31868">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حرز تقدم </w:t>
      </w:r>
      <w:r w:rsidRPr="00B31868">
        <w:rPr>
          <w:rFonts w:ascii="Arabic Typesetting" w:hAnsi="Arabic Typesetting" w:cs="Arabic Typesetting" w:hint="cs"/>
          <w:sz w:val="34"/>
          <w:szCs w:val="34"/>
          <w:rtl/>
          <w:lang w:bidi="ar-EG"/>
        </w:rPr>
        <w:t>في</w:t>
      </w:r>
      <w:r w:rsidRPr="00B31868">
        <w:rPr>
          <w:rFonts w:ascii="Arabic Typesetting" w:hAnsi="Arabic Typesetting" w:cs="Arabic Typesetting"/>
          <w:sz w:val="34"/>
          <w:szCs w:val="34"/>
          <w:rtl/>
          <w:lang w:bidi="ar-EG"/>
        </w:rPr>
        <w:t xml:space="preserve"> وحدة </w:t>
      </w:r>
      <w:r w:rsidRPr="00B31868">
        <w:rPr>
          <w:rFonts w:ascii="Arabic Typesetting" w:hAnsi="Arabic Typesetting" w:cs="Arabic Typesetting" w:hint="cs"/>
          <w:sz w:val="34"/>
          <w:szCs w:val="34"/>
          <w:rtl/>
          <w:lang w:bidi="ar-EG"/>
        </w:rPr>
        <w:t xml:space="preserve">المعلومات التجارية </w:t>
      </w:r>
      <w:r w:rsidR="00026AA7">
        <w:rPr>
          <w:rFonts w:ascii="Arabic Typesetting" w:hAnsi="Arabic Typesetting" w:cs="Arabic Typesetting" w:hint="cs"/>
          <w:sz w:val="34"/>
          <w:szCs w:val="34"/>
          <w:rtl/>
          <w:lang w:bidi="ar-EG"/>
        </w:rPr>
        <w:t xml:space="preserve">خلال الثنائية </w:t>
      </w:r>
      <w:r w:rsidRPr="00B31868">
        <w:rPr>
          <w:rFonts w:ascii="Arabic Typesetting" w:hAnsi="Arabic Typesetting" w:cs="Arabic Typesetting" w:hint="cs"/>
          <w:sz w:val="34"/>
          <w:szCs w:val="34"/>
          <w:rtl/>
          <w:lang w:bidi="ar-EG"/>
        </w:rPr>
        <w:t xml:space="preserve">بتطوير </w:t>
      </w:r>
      <w:r w:rsidRPr="00B31868">
        <w:rPr>
          <w:rFonts w:ascii="Arabic Typesetting" w:hAnsi="Arabic Typesetting" w:cs="Arabic Typesetting"/>
          <w:sz w:val="34"/>
          <w:szCs w:val="34"/>
          <w:rtl/>
          <w:lang w:bidi="ar-EG"/>
        </w:rPr>
        <w:t>لوحات</w:t>
      </w:r>
      <w:r w:rsidRPr="00B31868">
        <w:rPr>
          <w:rFonts w:ascii="Arabic Typesetting" w:hAnsi="Arabic Typesetting" w:cs="Arabic Typesetting" w:hint="cs"/>
          <w:sz w:val="34"/>
          <w:szCs w:val="34"/>
          <w:rtl/>
          <w:lang w:bidi="ar-EG"/>
        </w:rPr>
        <w:t xml:space="preserve"> معلومات أولية لل</w:t>
      </w:r>
      <w:r w:rsidRPr="00B31868">
        <w:rPr>
          <w:rFonts w:ascii="Arabic Typesetting" w:hAnsi="Arabic Typesetting" w:cs="Arabic Typesetting"/>
          <w:sz w:val="34"/>
          <w:szCs w:val="34"/>
          <w:rtl/>
          <w:lang w:bidi="ar-EG"/>
        </w:rPr>
        <w:t>إدارة</w:t>
      </w:r>
      <w:r w:rsidRPr="00B31868">
        <w:rPr>
          <w:rFonts w:ascii="Arabic Typesetting" w:hAnsi="Arabic Typesetting" w:cs="Arabic Typesetting" w:hint="cs"/>
          <w:sz w:val="34"/>
          <w:szCs w:val="34"/>
          <w:rtl/>
          <w:lang w:bidi="ar-EG"/>
        </w:rPr>
        <w:t xml:space="preserve"> </w:t>
      </w:r>
      <w:proofErr w:type="spellStart"/>
      <w:r w:rsidRPr="00B31868">
        <w:rPr>
          <w:rFonts w:ascii="Arabic Typesetting" w:hAnsi="Arabic Typesetting" w:cs="Arabic Typesetting" w:hint="cs"/>
          <w:sz w:val="34"/>
          <w:szCs w:val="34"/>
          <w:rtl/>
          <w:lang w:bidi="ar-EG"/>
        </w:rPr>
        <w:t>وأُتيحت</w:t>
      </w:r>
      <w:proofErr w:type="spellEnd"/>
      <w:r w:rsidRPr="00B31868">
        <w:rPr>
          <w:rFonts w:ascii="Arabic Typesetting" w:hAnsi="Arabic Typesetting" w:cs="Arabic Typesetting" w:hint="cs"/>
          <w:sz w:val="34"/>
          <w:szCs w:val="34"/>
          <w:rtl/>
          <w:lang w:bidi="ar-EG"/>
        </w:rPr>
        <w:t xml:space="preserve"> للقطاعات الإدارية الرئيسية </w:t>
      </w:r>
      <w:r w:rsidRPr="00B31868">
        <w:rPr>
          <w:rFonts w:ascii="Arabic Typesetting" w:hAnsi="Arabic Typesetting" w:cs="Arabic Typesetting"/>
          <w:sz w:val="34"/>
          <w:szCs w:val="34"/>
          <w:rtl/>
          <w:lang w:bidi="ar-EG"/>
        </w:rPr>
        <w:t>(إدارة الموارد البشرية</w:t>
      </w:r>
      <w:r w:rsidRPr="00B31868">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والمشتريات وال</w:t>
      </w:r>
      <w:r w:rsidRPr="00B31868">
        <w:rPr>
          <w:rFonts w:ascii="Arabic Typesetting" w:hAnsi="Arabic Typesetting" w:cs="Arabic Typesetting" w:hint="cs"/>
          <w:sz w:val="34"/>
          <w:szCs w:val="34"/>
          <w:rtl/>
          <w:lang w:bidi="ar-EG"/>
        </w:rPr>
        <w:t>أ</w:t>
      </w:r>
      <w:r w:rsidRPr="00B31868">
        <w:rPr>
          <w:rFonts w:ascii="Arabic Typesetting" w:hAnsi="Arabic Typesetting" w:cs="Arabic Typesetting"/>
          <w:sz w:val="34"/>
          <w:szCs w:val="34"/>
          <w:rtl/>
          <w:lang w:bidi="ar-EG"/>
        </w:rPr>
        <w:t>سف</w:t>
      </w:r>
      <w:r w:rsidRPr="00B31868">
        <w:rPr>
          <w:rFonts w:ascii="Arabic Typesetting" w:hAnsi="Arabic Typesetting" w:cs="Arabic Typesetting" w:hint="cs"/>
          <w:sz w:val="34"/>
          <w:szCs w:val="34"/>
          <w:rtl/>
          <w:lang w:bidi="ar-EG"/>
        </w:rPr>
        <w:t>ا</w:t>
      </w:r>
      <w:r w:rsidRPr="00B31868">
        <w:rPr>
          <w:rFonts w:ascii="Arabic Typesetting" w:hAnsi="Arabic Typesetting" w:cs="Arabic Typesetting"/>
          <w:sz w:val="34"/>
          <w:szCs w:val="34"/>
          <w:rtl/>
          <w:lang w:bidi="ar-EG"/>
        </w:rPr>
        <w:t>ر، وتخطيط البرنامج و</w:t>
      </w:r>
      <w:r w:rsidRPr="00B31868">
        <w:rPr>
          <w:rFonts w:ascii="Arabic Typesetting" w:hAnsi="Arabic Typesetting" w:cs="Arabic Typesetting" w:hint="cs"/>
          <w:sz w:val="34"/>
          <w:szCs w:val="34"/>
          <w:rtl/>
          <w:lang w:bidi="ar-EG"/>
        </w:rPr>
        <w:t xml:space="preserve">الشؤون </w:t>
      </w:r>
      <w:r w:rsidRPr="00B31868">
        <w:rPr>
          <w:rFonts w:ascii="Arabic Typesetting" w:hAnsi="Arabic Typesetting" w:cs="Arabic Typesetting"/>
          <w:sz w:val="34"/>
          <w:szCs w:val="34"/>
          <w:rtl/>
          <w:lang w:bidi="ar-EG"/>
        </w:rPr>
        <w:t>المالية)</w:t>
      </w:r>
      <w:r w:rsidR="00026AA7">
        <w:rPr>
          <w:rFonts w:ascii="Arabic Typesetting" w:hAnsi="Arabic Typesetting" w:cs="Arabic Typesetting" w:hint="cs"/>
          <w:sz w:val="34"/>
          <w:szCs w:val="34"/>
          <w:rtl/>
          <w:lang w:bidi="ar-EG"/>
        </w:rPr>
        <w:t xml:space="preserve"> في عام 2014 وللمنظمة بأكملها في عام 2015</w:t>
      </w:r>
      <w:r w:rsidRPr="00B31868">
        <w:rPr>
          <w:rFonts w:ascii="Arabic Typesetting" w:hAnsi="Arabic Typesetting" w:cs="Arabic Typesetting"/>
          <w:sz w:val="34"/>
          <w:szCs w:val="34"/>
          <w:rtl/>
          <w:lang w:bidi="ar-EG"/>
        </w:rPr>
        <w:t>. و</w:t>
      </w:r>
      <w:r w:rsidR="00026AA7">
        <w:rPr>
          <w:rFonts w:ascii="Arabic Typesetting" w:hAnsi="Arabic Typesetting" w:cs="Arabic Typesetting" w:hint="cs"/>
          <w:sz w:val="34"/>
          <w:szCs w:val="34"/>
          <w:rtl/>
          <w:lang w:bidi="ar-EG"/>
        </w:rPr>
        <w:t>استحدثت أيضاً لوحة لإدارة المخاطر وأطلقت في عام 2015.</w:t>
      </w:r>
    </w:p>
    <w:p w:rsidR="00026AA7" w:rsidRDefault="00026AA7"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وشملت التحسينات الأخرى المدخلة في منتجات محفظة التخطيط للموارد المؤسسية</w:t>
      </w:r>
      <w:r w:rsidR="00AC3241">
        <w:rPr>
          <w:rFonts w:ascii="Arabic Typesetting" w:hAnsi="Arabic Typesetting" w:cs="Arabic Typesetting" w:hint="cs"/>
          <w:sz w:val="34"/>
          <w:szCs w:val="34"/>
          <w:rtl/>
          <w:lang w:bidi="ar-EG"/>
        </w:rPr>
        <w:t xml:space="preserve"> خلال الثنائية التي أدت إلى تعزيز وظائف الإدارة وزيادة فعاليتها ما يلي: "1" تحديث كبير للنظام المالي لبرنامج الإدارة المتكاملة لإصدار النسخة 9.2 منه التي تضمن تمتع أنظمة الويبو بأحدث الخصائص لتقليص تكاليف الدعم؛ "2" </w:t>
      </w:r>
      <w:r w:rsidR="00D225C8">
        <w:rPr>
          <w:rFonts w:ascii="Arabic Typesetting" w:hAnsi="Arabic Typesetting" w:cs="Arabic Typesetting" w:hint="cs"/>
          <w:sz w:val="34"/>
          <w:szCs w:val="34"/>
          <w:rtl/>
          <w:lang w:bidi="ar-EG"/>
        </w:rPr>
        <w:t>و</w:t>
      </w:r>
      <w:r w:rsidR="00AC3241">
        <w:rPr>
          <w:rFonts w:ascii="Arabic Typesetting" w:hAnsi="Arabic Typesetting" w:cs="Arabic Typesetting" w:hint="cs"/>
          <w:sz w:val="34"/>
          <w:szCs w:val="34"/>
          <w:rtl/>
          <w:lang w:bidi="ar-EG"/>
        </w:rPr>
        <w:t xml:space="preserve">إطلاق المرحلة الأولى من أدوات الخدمة الذاتية للموارد البشرية لتمكين الموظفين من تغيير معلوماتهم الشخصية وتقليص تدفق الورق </w:t>
      </w:r>
      <w:r w:rsidR="001E0CF5">
        <w:rPr>
          <w:rFonts w:ascii="Arabic Typesetting" w:hAnsi="Arabic Typesetting" w:cs="Arabic Typesetting" w:hint="cs"/>
          <w:sz w:val="34"/>
          <w:szCs w:val="34"/>
          <w:rtl/>
          <w:lang w:bidi="ar-EG"/>
        </w:rPr>
        <w:t>واضطرار</w:t>
      </w:r>
      <w:r w:rsidR="00AC3241">
        <w:rPr>
          <w:rFonts w:ascii="Arabic Typesetting" w:hAnsi="Arabic Typesetting" w:cs="Arabic Typesetting" w:hint="cs"/>
          <w:sz w:val="34"/>
          <w:szCs w:val="34"/>
          <w:rtl/>
          <w:lang w:bidi="ar-EG"/>
        </w:rPr>
        <w:t xml:space="preserve"> عمليات الإدارة البشرية لإدخال البيانات يدو</w:t>
      </w:r>
      <w:r w:rsidR="00D225C8">
        <w:rPr>
          <w:rFonts w:ascii="Arabic Typesetting" w:hAnsi="Arabic Typesetting" w:cs="Arabic Typesetting" w:hint="cs"/>
          <w:sz w:val="34"/>
          <w:szCs w:val="34"/>
          <w:rtl/>
          <w:lang w:bidi="ar-EG"/>
        </w:rPr>
        <w:t>ي</w:t>
      </w:r>
      <w:r w:rsidR="00AC3241">
        <w:rPr>
          <w:rFonts w:ascii="Arabic Typesetting" w:hAnsi="Arabic Typesetting" w:cs="Arabic Typesetting" w:hint="cs"/>
          <w:sz w:val="34"/>
          <w:szCs w:val="34"/>
          <w:rtl/>
          <w:lang w:bidi="ar-EG"/>
        </w:rPr>
        <w:t xml:space="preserve">اً؛ "3" ودفع رواتب الموظفين غير المقيمين في جنيف عن طريق نظام </w:t>
      </w:r>
      <w:r w:rsidR="00D225C8">
        <w:rPr>
          <w:rFonts w:ascii="Arabic Typesetting" w:hAnsi="Arabic Typesetting" w:cs="Arabic Typesetting" w:hint="cs"/>
          <w:sz w:val="34"/>
          <w:szCs w:val="34"/>
          <w:rtl/>
          <w:lang w:bidi="ar-EG"/>
        </w:rPr>
        <w:t xml:space="preserve">الأجور </w:t>
      </w:r>
      <w:r w:rsidR="00D225C8">
        <w:rPr>
          <w:rFonts w:ascii="Arabic Typesetting" w:hAnsi="Arabic Typesetting" w:cs="Arabic Typesetting"/>
          <w:sz w:val="34"/>
          <w:szCs w:val="34"/>
          <w:lang w:bidi="ar-EG"/>
        </w:rPr>
        <w:t>PeopleSoft</w:t>
      </w:r>
      <w:r w:rsidR="00D225C8">
        <w:rPr>
          <w:rFonts w:ascii="Arabic Typesetting" w:hAnsi="Arabic Typesetting" w:cs="Arabic Typesetting" w:hint="cs"/>
          <w:sz w:val="34"/>
          <w:szCs w:val="34"/>
          <w:rtl/>
        </w:rPr>
        <w:t>؛ "4" وتحسين مسار المنح الدراسية؛ "5" والإدماج الكامل لأداة ترجمة معاهدة البراءات في النظام المالي لبرنامج الإدارة المتكاملة بغية تقليص تدفق العمل اليدوي؛ "6" وإنشاء بوابة تدريبية موحدة للتخطيط للموارد المؤسسية وتكنولوجيا المعلومات</w:t>
      </w:r>
      <w:r w:rsidR="00A618F7">
        <w:rPr>
          <w:rFonts w:ascii="Arabic Typesetting" w:hAnsi="Arabic Typesetting" w:cs="Arabic Typesetting" w:hint="cs"/>
          <w:sz w:val="34"/>
          <w:szCs w:val="34"/>
          <w:rtl/>
        </w:rPr>
        <w:t xml:space="preserve"> والاتصالات</w:t>
      </w:r>
      <w:r w:rsidR="00D225C8">
        <w:rPr>
          <w:rFonts w:ascii="Arabic Typesetting" w:hAnsi="Arabic Typesetting" w:cs="Arabic Typesetting" w:hint="cs"/>
          <w:sz w:val="34"/>
          <w:szCs w:val="34"/>
          <w:rtl/>
        </w:rPr>
        <w:t xml:space="preserve"> وإدارة الموارد البشرية؛ </w:t>
      </w:r>
      <w:r w:rsidR="00D225C8">
        <w:rPr>
          <w:rFonts w:ascii="Arabic Typesetting" w:hAnsi="Arabic Typesetting" w:cs="Arabic Typesetting" w:hint="cs"/>
          <w:sz w:val="34"/>
          <w:szCs w:val="34"/>
          <w:rtl/>
        </w:rPr>
        <w:lastRenderedPageBreak/>
        <w:t>"7" وإدراج</w:t>
      </w:r>
      <w:r w:rsidR="00D225C8">
        <w:rPr>
          <w:rFonts w:ascii="Arabic Typesetting" w:hAnsi="Arabic Typesetting" w:cs="Arabic Typesetting" w:hint="eastAsia"/>
          <w:sz w:val="34"/>
          <w:szCs w:val="34"/>
          <w:rtl/>
        </w:rPr>
        <w:t> </w:t>
      </w:r>
      <w:r w:rsidR="00D225C8">
        <w:rPr>
          <w:rFonts w:ascii="Arabic Typesetting" w:hAnsi="Arabic Typesetting" w:cs="Arabic Typesetting" w:hint="cs"/>
          <w:sz w:val="34"/>
          <w:szCs w:val="34"/>
          <w:rtl/>
        </w:rPr>
        <w:t xml:space="preserve">البيانات الخاصة بالغياب والساعات الإضافية في وحدة المعلومات التجارية؛ "8" وإدراج لوحات للتحكم في البيانات في وحدة المعلومات التجارية لضمان الاتساق في شتى التطبيقات وإبراز التناقضات في البيانات </w:t>
      </w:r>
      <w:proofErr w:type="spellStart"/>
      <w:r w:rsidR="00D225C8">
        <w:rPr>
          <w:rFonts w:ascii="Arabic Typesetting" w:hAnsi="Arabic Typesetting" w:cs="Arabic Typesetting" w:hint="cs"/>
          <w:sz w:val="34"/>
          <w:szCs w:val="34"/>
          <w:rtl/>
        </w:rPr>
        <w:t>استباقياً</w:t>
      </w:r>
      <w:proofErr w:type="spellEnd"/>
      <w:r w:rsidR="00D225C8">
        <w:rPr>
          <w:rFonts w:ascii="Arabic Typesetting" w:hAnsi="Arabic Typesetting" w:cs="Arabic Typesetting" w:hint="cs"/>
          <w:sz w:val="34"/>
          <w:szCs w:val="34"/>
          <w:rtl/>
        </w:rPr>
        <w:t xml:space="preserve"> بغية التحقيق فيها ومعالجتها.</w:t>
      </w:r>
    </w:p>
    <w:p w:rsidR="00B31868" w:rsidRPr="00B31868" w:rsidRDefault="00B3186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rtl/>
          <w:lang w:bidi="ar-EG"/>
        </w:rPr>
      </w:pPr>
      <w:r w:rsidRPr="00B31868">
        <w:rPr>
          <w:rFonts w:ascii="Arabic Typesetting" w:hAnsi="Arabic Typesetting" w:cs="Arabic Typesetting" w:hint="cs"/>
          <w:sz w:val="34"/>
          <w:szCs w:val="34"/>
          <w:rtl/>
          <w:lang w:bidi="ar-EG"/>
        </w:rPr>
        <w:t>و</w:t>
      </w:r>
      <w:r w:rsidRPr="00B31868">
        <w:rPr>
          <w:rFonts w:ascii="Arabic Typesetting" w:hAnsi="Arabic Typesetting" w:cs="Arabic Typesetting"/>
          <w:sz w:val="34"/>
          <w:szCs w:val="34"/>
          <w:rtl/>
          <w:lang w:bidi="ar-EG"/>
        </w:rPr>
        <w:t xml:space="preserve">وفقا </w:t>
      </w:r>
      <w:r w:rsidRPr="00B31868">
        <w:rPr>
          <w:rFonts w:ascii="Arabic Typesetting" w:hAnsi="Arabic Typesetting" w:cs="Arabic Typesetting" w:hint="cs"/>
          <w:sz w:val="34"/>
          <w:szCs w:val="34"/>
          <w:rtl/>
          <w:lang w:bidi="ar-EG"/>
        </w:rPr>
        <w:t>ل</w:t>
      </w:r>
      <w:r w:rsidRPr="00B31868">
        <w:rPr>
          <w:rFonts w:ascii="Arabic Typesetting" w:hAnsi="Arabic Typesetting" w:cs="Arabic Typesetting"/>
          <w:sz w:val="34"/>
          <w:szCs w:val="34"/>
          <w:rtl/>
          <w:lang w:bidi="ar-EG"/>
        </w:rPr>
        <w:t xml:space="preserve">خارطة طريق إدارة المخاطر، </w:t>
      </w:r>
      <w:r w:rsidR="00D225C8">
        <w:rPr>
          <w:rFonts w:ascii="Arabic Typesetting" w:hAnsi="Arabic Typesetting" w:cs="Arabic Typesetting" w:hint="cs"/>
          <w:sz w:val="34"/>
          <w:szCs w:val="34"/>
          <w:rtl/>
          <w:lang w:bidi="ar-EG"/>
        </w:rPr>
        <w:t>وُضع</w:t>
      </w:r>
      <w:r w:rsidRPr="00B31868">
        <w:rPr>
          <w:rFonts w:ascii="Arabic Typesetting" w:hAnsi="Arabic Typesetting" w:cs="Arabic Typesetting" w:hint="cs"/>
          <w:sz w:val="34"/>
          <w:szCs w:val="34"/>
          <w:rtl/>
          <w:lang w:bidi="ar-EG"/>
        </w:rPr>
        <w:t xml:space="preserve"> إطار رسمي ومنسجم</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 xml:space="preserve">للمنظمة بشأن </w:t>
      </w:r>
      <w:r w:rsidRPr="00B31868">
        <w:rPr>
          <w:rFonts w:ascii="Arabic Typesetting" w:hAnsi="Arabic Typesetting" w:cs="Arabic Typesetting"/>
          <w:sz w:val="34"/>
          <w:szCs w:val="34"/>
          <w:rtl/>
          <w:lang w:bidi="ar-EG"/>
        </w:rPr>
        <w:t xml:space="preserve">إدارة </w:t>
      </w:r>
      <w:r w:rsidRPr="00B31868">
        <w:rPr>
          <w:rFonts w:ascii="Arabic Typesetting" w:hAnsi="Arabic Typesetting" w:cs="Arabic Typesetting" w:hint="cs"/>
          <w:sz w:val="34"/>
          <w:szCs w:val="34"/>
          <w:rtl/>
          <w:lang w:bidi="ar-EG"/>
        </w:rPr>
        <w:t>ال</w:t>
      </w:r>
      <w:r w:rsidRPr="00B31868">
        <w:rPr>
          <w:rFonts w:ascii="Arabic Typesetting" w:hAnsi="Arabic Typesetting" w:cs="Arabic Typesetting"/>
          <w:sz w:val="34"/>
          <w:szCs w:val="34"/>
          <w:rtl/>
          <w:lang w:bidi="ar-EG"/>
        </w:rPr>
        <w:t xml:space="preserve">مخاطر والضوابط الداخلية، بما في ذلك إطار </w:t>
      </w:r>
      <w:r w:rsidRPr="00B31868">
        <w:rPr>
          <w:rFonts w:ascii="Arabic Typesetting" w:hAnsi="Arabic Typesetting" w:cs="Arabic Typesetting" w:hint="cs"/>
          <w:sz w:val="34"/>
          <w:szCs w:val="34"/>
          <w:rtl/>
          <w:lang w:bidi="ar-EG"/>
        </w:rPr>
        <w:t>الويبو بشأن</w:t>
      </w:r>
      <w:r w:rsidRPr="00B31868">
        <w:rPr>
          <w:rFonts w:ascii="Arabic Typesetting" w:hAnsi="Arabic Typesetting" w:cs="Arabic Typesetting"/>
          <w:sz w:val="34"/>
          <w:szCs w:val="34"/>
          <w:rtl/>
          <w:lang w:bidi="ar-EG"/>
        </w:rPr>
        <w:t xml:space="preserve"> المساءلة</w:t>
      </w:r>
      <w:r w:rsidR="00D225C8">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و</w:t>
      </w:r>
      <w:r w:rsidRPr="00B31868">
        <w:rPr>
          <w:rFonts w:ascii="Arabic Typesetting" w:hAnsi="Arabic Typesetting" w:cs="Arabic Typesetting"/>
          <w:sz w:val="34"/>
          <w:szCs w:val="34"/>
          <w:rtl/>
          <w:lang w:bidi="ar-EG"/>
        </w:rPr>
        <w:t xml:space="preserve">بيان الويبو بشأن "قابلية تحمّل المخاطر"، وإنشاء </w:t>
      </w:r>
      <w:r w:rsidRPr="00B31868">
        <w:rPr>
          <w:rFonts w:ascii="Arabic Typesetting" w:hAnsi="Arabic Typesetting" w:cs="Arabic Typesetting" w:hint="cs"/>
          <w:sz w:val="34"/>
          <w:szCs w:val="34"/>
          <w:rtl/>
          <w:lang w:bidi="ar-EG"/>
        </w:rPr>
        <w:t>فريق</w:t>
      </w:r>
      <w:r w:rsidRPr="00B31868">
        <w:rPr>
          <w:rFonts w:ascii="Arabic Typesetting" w:hAnsi="Arabic Typesetting" w:cs="Arabic Typesetting"/>
          <w:sz w:val="34"/>
          <w:szCs w:val="34"/>
          <w:rtl/>
          <w:lang w:bidi="ar-EG"/>
        </w:rPr>
        <w:t xml:space="preserve"> إدارة المخاطر</w:t>
      </w:r>
      <w:r w:rsidRPr="00B31868">
        <w:rPr>
          <w:rFonts w:ascii="Arabic Typesetting" w:hAnsi="Arabic Typesetting" w:cs="Arabic Typesetting" w:hint="cs"/>
          <w:sz w:val="34"/>
          <w:szCs w:val="34"/>
          <w:rtl/>
          <w:lang w:bidi="ar-EG"/>
        </w:rPr>
        <w:t> </w:t>
      </w:r>
      <w:r w:rsidRPr="00B31868">
        <w:rPr>
          <w:rFonts w:ascii="Arabic Typesetting" w:hAnsi="Arabic Typesetting" w:cs="Arabic Typesetting"/>
          <w:sz w:val="34"/>
          <w:szCs w:val="34"/>
          <w:lang w:bidi="ar-EG"/>
        </w:rPr>
        <w:t>(RMG)</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و</w:t>
      </w:r>
      <w:r w:rsidR="00D225C8">
        <w:rPr>
          <w:rFonts w:ascii="Arabic Typesetting" w:hAnsi="Arabic Typesetting" w:cs="Arabic Typesetting" w:hint="cs"/>
          <w:sz w:val="34"/>
          <w:szCs w:val="34"/>
          <w:rtl/>
          <w:lang w:bidi="ar-EG"/>
        </w:rPr>
        <w:t xml:space="preserve">إصدار </w:t>
      </w:r>
      <w:r w:rsidRPr="00B31868">
        <w:rPr>
          <w:rFonts w:ascii="Arabic Typesetting" w:hAnsi="Arabic Typesetting" w:cs="Arabic Typesetting"/>
          <w:sz w:val="34"/>
          <w:szCs w:val="34"/>
          <w:rtl/>
          <w:lang w:bidi="ar-EG"/>
        </w:rPr>
        <w:t>سياسة إدارة المخاطر و</w:t>
      </w:r>
      <w:r w:rsidRPr="00B31868">
        <w:rPr>
          <w:rFonts w:ascii="Arabic Typesetting" w:hAnsi="Arabic Typesetting" w:cs="Arabic Typesetting" w:hint="cs"/>
          <w:sz w:val="34"/>
          <w:szCs w:val="34"/>
          <w:rtl/>
          <w:lang w:bidi="ar-EG"/>
        </w:rPr>
        <w:t xml:space="preserve">دليل </w:t>
      </w:r>
      <w:r w:rsidRPr="00B31868">
        <w:rPr>
          <w:rFonts w:ascii="Arabic Typesetting" w:hAnsi="Arabic Typesetting" w:cs="Arabic Typesetting"/>
          <w:sz w:val="34"/>
          <w:szCs w:val="34"/>
          <w:rtl/>
          <w:lang w:bidi="ar-EG"/>
        </w:rPr>
        <w:t>إدارة المخاطر و</w:t>
      </w:r>
      <w:r w:rsidRPr="00B31868">
        <w:rPr>
          <w:rFonts w:ascii="Arabic Typesetting" w:hAnsi="Arabic Typesetting" w:cs="Arabic Typesetting" w:hint="cs"/>
          <w:sz w:val="34"/>
          <w:szCs w:val="34"/>
          <w:rtl/>
          <w:lang w:bidi="ar-EG"/>
        </w:rPr>
        <w:t>الضوابط</w:t>
      </w:r>
      <w:r w:rsidRPr="00B31868">
        <w:rPr>
          <w:rFonts w:ascii="Arabic Typesetting" w:hAnsi="Arabic Typesetting" w:cs="Arabic Typesetting"/>
          <w:sz w:val="34"/>
          <w:szCs w:val="34"/>
          <w:rtl/>
          <w:lang w:bidi="ar-EG"/>
        </w:rPr>
        <w:t xml:space="preserve"> الداخلية.</w:t>
      </w:r>
    </w:p>
    <w:p w:rsidR="00B31868" w:rsidRPr="00B31868" w:rsidRDefault="00D225C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t>وسعياً إلى</w:t>
      </w:r>
      <w:r w:rsidR="00B31868" w:rsidRPr="00B31868">
        <w:rPr>
          <w:rFonts w:ascii="Arabic Typesetting" w:hAnsi="Arabic Typesetting" w:cs="Arabic Typesetting"/>
          <w:sz w:val="34"/>
          <w:szCs w:val="34"/>
          <w:rtl/>
          <w:lang w:bidi="ar-EG"/>
        </w:rPr>
        <w:t xml:space="preserve"> </w:t>
      </w:r>
      <w:r w:rsidR="009F5F08">
        <w:rPr>
          <w:rFonts w:ascii="Arabic Typesetting" w:hAnsi="Arabic Typesetting" w:cs="Arabic Typesetting" w:hint="cs"/>
          <w:sz w:val="34"/>
          <w:szCs w:val="34"/>
          <w:rtl/>
          <w:lang w:bidi="ar-EG"/>
        </w:rPr>
        <w:t>تيسير</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النفاذ</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الآني</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إلى المعلومات عن ا</w:t>
      </w:r>
      <w:r w:rsidR="00B31868" w:rsidRPr="00B31868">
        <w:rPr>
          <w:rFonts w:ascii="Arabic Typesetting" w:hAnsi="Arabic Typesetting" w:cs="Arabic Typesetting"/>
          <w:sz w:val="34"/>
          <w:szCs w:val="34"/>
          <w:rtl/>
          <w:lang w:bidi="ar-EG"/>
        </w:rPr>
        <w:t xml:space="preserve">لمخاطر </w:t>
      </w:r>
      <w:r w:rsidR="00B31868" w:rsidRPr="00B31868">
        <w:rPr>
          <w:rFonts w:ascii="Arabic Typesetting" w:hAnsi="Arabic Typesetting" w:cs="Arabic Typesetting" w:hint="cs"/>
          <w:sz w:val="34"/>
          <w:szCs w:val="34"/>
          <w:rtl/>
          <w:lang w:bidi="ar-EG"/>
        </w:rPr>
        <w:t>والضوابط،</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وتعزيز</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ال</w:t>
      </w:r>
      <w:r w:rsidR="00B31868" w:rsidRPr="00B31868">
        <w:rPr>
          <w:rFonts w:ascii="Arabic Typesetting" w:hAnsi="Arabic Typesetting" w:cs="Arabic Typesetting"/>
          <w:sz w:val="34"/>
          <w:szCs w:val="34"/>
          <w:rtl/>
          <w:lang w:bidi="ar-EG"/>
        </w:rPr>
        <w:t>إدارة</w:t>
      </w:r>
      <w:r w:rsidR="00B31868" w:rsidRPr="00B31868">
        <w:rPr>
          <w:rFonts w:ascii="Arabic Typesetting" w:hAnsi="Arabic Typesetting" w:cs="Arabic Typesetting" w:hint="cs"/>
          <w:sz w:val="34"/>
          <w:szCs w:val="34"/>
          <w:rtl/>
          <w:lang w:bidi="ar-EG"/>
        </w:rPr>
        <w:t xml:space="preserve"> الاستباقية</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للم</w:t>
      </w:r>
      <w:r w:rsidR="00B31868" w:rsidRPr="00B31868">
        <w:rPr>
          <w:rFonts w:ascii="Arabic Typesetting" w:hAnsi="Arabic Typesetting" w:cs="Arabic Typesetting"/>
          <w:sz w:val="34"/>
          <w:szCs w:val="34"/>
          <w:rtl/>
          <w:lang w:bidi="ar-EG"/>
        </w:rPr>
        <w:t>خ</w:t>
      </w:r>
      <w:r w:rsidR="00B31868" w:rsidRPr="00B31868">
        <w:rPr>
          <w:rFonts w:ascii="Arabic Typesetting" w:hAnsi="Arabic Typesetting" w:cs="Arabic Typesetting" w:hint="cs"/>
          <w:sz w:val="34"/>
          <w:szCs w:val="34"/>
          <w:rtl/>
          <w:lang w:bidi="ar-EG"/>
        </w:rPr>
        <w:t>ا</w:t>
      </w:r>
      <w:r w:rsidR="00B31868" w:rsidRPr="00B31868">
        <w:rPr>
          <w:rFonts w:ascii="Arabic Typesetting" w:hAnsi="Arabic Typesetting" w:cs="Arabic Typesetting"/>
          <w:sz w:val="34"/>
          <w:szCs w:val="34"/>
          <w:rtl/>
          <w:lang w:bidi="ar-EG"/>
        </w:rPr>
        <w:t xml:space="preserve">طر </w:t>
      </w:r>
      <w:r w:rsidR="00B31868" w:rsidRPr="00B31868">
        <w:rPr>
          <w:rFonts w:ascii="Arabic Typesetting" w:hAnsi="Arabic Typesetting" w:cs="Arabic Typesetting" w:hint="cs"/>
          <w:sz w:val="34"/>
          <w:szCs w:val="34"/>
          <w:rtl/>
          <w:lang w:bidi="ar-EG"/>
        </w:rPr>
        <w:t>والضوابط</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و</w:t>
      </w:r>
      <w:r w:rsidR="00B31868" w:rsidRPr="00B31868">
        <w:rPr>
          <w:rFonts w:ascii="Arabic Typesetting" w:hAnsi="Arabic Typesetting" w:cs="Arabic Typesetting"/>
          <w:sz w:val="34"/>
          <w:szCs w:val="34"/>
          <w:rtl/>
          <w:lang w:bidi="ar-EG"/>
        </w:rPr>
        <w:t>ا</w:t>
      </w:r>
      <w:r w:rsidR="00B31868" w:rsidRPr="00B31868">
        <w:rPr>
          <w:rFonts w:ascii="Arabic Typesetting" w:hAnsi="Arabic Typesetting" w:cs="Arabic Typesetting" w:hint="cs"/>
          <w:sz w:val="34"/>
          <w:szCs w:val="34"/>
          <w:rtl/>
          <w:lang w:bidi="ar-EG"/>
        </w:rPr>
        <w:t>لا</w:t>
      </w:r>
      <w:r w:rsidR="00B31868" w:rsidRPr="00B31868">
        <w:rPr>
          <w:rFonts w:ascii="Arabic Typesetting" w:hAnsi="Arabic Typesetting" w:cs="Arabic Typesetting"/>
          <w:sz w:val="34"/>
          <w:szCs w:val="34"/>
          <w:rtl/>
          <w:lang w:bidi="ar-EG"/>
        </w:rPr>
        <w:t>ستجاب</w:t>
      </w:r>
      <w:r w:rsidR="00B31868" w:rsidRPr="00B31868">
        <w:rPr>
          <w:rFonts w:ascii="Arabic Typesetting" w:hAnsi="Arabic Typesetting" w:cs="Arabic Typesetting" w:hint="cs"/>
          <w:sz w:val="34"/>
          <w:szCs w:val="34"/>
          <w:rtl/>
          <w:lang w:bidi="ar-EG"/>
        </w:rPr>
        <w:t>ة ال</w:t>
      </w:r>
      <w:r w:rsidR="00B31868" w:rsidRPr="00B31868">
        <w:rPr>
          <w:rFonts w:ascii="Arabic Typesetting" w:hAnsi="Arabic Typesetting" w:cs="Arabic Typesetting"/>
          <w:sz w:val="34"/>
          <w:szCs w:val="34"/>
          <w:rtl/>
          <w:lang w:bidi="ar-EG"/>
        </w:rPr>
        <w:t xml:space="preserve">فعالة لهيئات </w:t>
      </w:r>
      <w:r w:rsidR="00B31868" w:rsidRPr="00B31868">
        <w:rPr>
          <w:rFonts w:ascii="Arabic Typesetting" w:hAnsi="Arabic Typesetting" w:cs="Arabic Typesetting" w:hint="cs"/>
          <w:sz w:val="34"/>
          <w:szCs w:val="34"/>
          <w:rtl/>
          <w:lang w:bidi="ar-EG"/>
        </w:rPr>
        <w:t>ا</w:t>
      </w:r>
      <w:r w:rsidR="00B31868" w:rsidRPr="00B31868">
        <w:rPr>
          <w:rFonts w:ascii="Arabic Typesetting" w:hAnsi="Arabic Typesetting" w:cs="Arabic Typesetting"/>
          <w:sz w:val="34"/>
          <w:szCs w:val="34"/>
          <w:rtl/>
          <w:lang w:bidi="ar-EG"/>
        </w:rPr>
        <w:t xml:space="preserve">لتدقيق، </w:t>
      </w:r>
      <w:r w:rsidR="00B31868" w:rsidRPr="00B31868">
        <w:rPr>
          <w:rFonts w:ascii="Arabic Typesetting" w:hAnsi="Arabic Typesetting" w:cs="Arabic Typesetting" w:hint="cs"/>
          <w:sz w:val="34"/>
          <w:szCs w:val="34"/>
          <w:rtl/>
          <w:lang w:bidi="ar-EG"/>
        </w:rPr>
        <w:t xml:space="preserve">نُفذت </w:t>
      </w:r>
      <w:r w:rsidR="00B31868" w:rsidRPr="00B31868">
        <w:rPr>
          <w:rFonts w:ascii="Arabic Typesetting" w:hAnsi="Arabic Typesetting" w:cs="Arabic Typesetting"/>
          <w:sz w:val="34"/>
          <w:szCs w:val="34"/>
          <w:rtl/>
          <w:lang w:bidi="ar-EG"/>
        </w:rPr>
        <w:t xml:space="preserve">أداة </w:t>
      </w:r>
      <w:r w:rsidR="00B31868" w:rsidRPr="00B31868">
        <w:rPr>
          <w:rFonts w:ascii="Arabic Typesetting" w:hAnsi="Arabic Typesetting" w:cs="Arabic Typesetting" w:hint="cs"/>
          <w:sz w:val="34"/>
          <w:szCs w:val="34"/>
          <w:rtl/>
          <w:lang w:bidi="ar-EG"/>
        </w:rPr>
        <w:t>ل</w:t>
      </w:r>
      <w:r w:rsidR="00B31868" w:rsidRPr="00B31868">
        <w:rPr>
          <w:rFonts w:ascii="Arabic Typesetting" w:hAnsi="Arabic Typesetting" w:cs="Arabic Typesetting"/>
          <w:sz w:val="34"/>
          <w:szCs w:val="34"/>
          <w:rtl/>
          <w:lang w:bidi="ar-EG"/>
        </w:rPr>
        <w:t>إدارة المخاطر المؤسسية في النصف الثاني من</w:t>
      </w:r>
      <w:r>
        <w:rPr>
          <w:rFonts w:ascii="Arabic Typesetting" w:hAnsi="Arabic Typesetting" w:cs="Arabic Typesetting" w:hint="cs"/>
          <w:sz w:val="34"/>
          <w:szCs w:val="34"/>
          <w:rtl/>
          <w:lang w:bidi="ar-EG"/>
        </w:rPr>
        <w:t xml:space="preserve"> عام</w:t>
      </w:r>
      <w:r w:rsidR="00B31868" w:rsidRPr="00B31868">
        <w:rPr>
          <w:rFonts w:ascii="Arabic Typesetting" w:hAnsi="Arabic Typesetting" w:cs="Arabic Typesetting"/>
          <w:sz w:val="34"/>
          <w:szCs w:val="34"/>
          <w:rtl/>
          <w:lang w:bidi="ar-EG"/>
        </w:rPr>
        <w:t xml:space="preserve"> 2014 و</w:t>
      </w:r>
      <w:r w:rsidR="00B31868" w:rsidRPr="00B31868">
        <w:rPr>
          <w:rFonts w:ascii="Arabic Typesetting" w:hAnsi="Arabic Typesetting" w:cs="Arabic Typesetting" w:hint="cs"/>
          <w:sz w:val="34"/>
          <w:szCs w:val="34"/>
          <w:rtl/>
          <w:lang w:bidi="ar-EG"/>
        </w:rPr>
        <w:t>ا</w:t>
      </w:r>
      <w:r w:rsidR="00B31868" w:rsidRPr="00B31868">
        <w:rPr>
          <w:rFonts w:ascii="Arabic Typesetting" w:hAnsi="Arabic Typesetting" w:cs="Arabic Typesetting"/>
          <w:sz w:val="34"/>
          <w:szCs w:val="34"/>
          <w:rtl/>
          <w:lang w:bidi="ar-EG"/>
        </w:rPr>
        <w:t>ستخدم</w:t>
      </w:r>
      <w:r w:rsidR="00B31868" w:rsidRPr="00B31868">
        <w:rPr>
          <w:rFonts w:ascii="Arabic Typesetting" w:hAnsi="Arabic Typesetting" w:cs="Arabic Typesetting" w:hint="cs"/>
          <w:sz w:val="34"/>
          <w:szCs w:val="34"/>
          <w:rtl/>
          <w:lang w:bidi="ar-EG"/>
        </w:rPr>
        <w:t>ت</w:t>
      </w:r>
      <w:r w:rsidR="00B31868" w:rsidRPr="00B31868">
        <w:rPr>
          <w:rFonts w:ascii="Arabic Typesetting" w:hAnsi="Arabic Typesetting" w:cs="Arabic Typesetting"/>
          <w:sz w:val="34"/>
          <w:szCs w:val="34"/>
          <w:rtl/>
          <w:lang w:bidi="ar-EG"/>
        </w:rPr>
        <w:t xml:space="preserve"> لدعم عملية تخطيط </w:t>
      </w:r>
      <w:r>
        <w:rPr>
          <w:rFonts w:ascii="Arabic Typesetting" w:hAnsi="Arabic Typesetting" w:cs="Arabic Typesetting" w:hint="cs"/>
          <w:sz w:val="34"/>
          <w:szCs w:val="34"/>
          <w:rtl/>
          <w:lang w:bidi="ar-EG"/>
        </w:rPr>
        <w:t>ال</w:t>
      </w:r>
      <w:r w:rsidR="00B31868" w:rsidRPr="00B31868">
        <w:rPr>
          <w:rFonts w:ascii="Arabic Typesetting" w:hAnsi="Arabic Typesetting" w:cs="Arabic Typesetting"/>
          <w:sz w:val="34"/>
          <w:szCs w:val="34"/>
          <w:rtl/>
          <w:lang w:bidi="ar-EG"/>
        </w:rPr>
        <w:t>عمل</w:t>
      </w:r>
      <w:r>
        <w:rPr>
          <w:rFonts w:ascii="Arabic Typesetting" w:hAnsi="Arabic Typesetting" w:cs="Arabic Typesetting" w:hint="cs"/>
          <w:sz w:val="34"/>
          <w:szCs w:val="34"/>
          <w:rtl/>
          <w:lang w:bidi="ar-EG"/>
        </w:rPr>
        <w:t xml:space="preserve"> لعام</w:t>
      </w:r>
      <w:r w:rsidR="00B31868" w:rsidRPr="00B31868">
        <w:rPr>
          <w:rFonts w:ascii="Arabic Typesetting" w:hAnsi="Arabic Typesetting" w:cs="Arabic Typesetting"/>
          <w:sz w:val="34"/>
          <w:szCs w:val="34"/>
          <w:rtl/>
          <w:lang w:bidi="ar-EG"/>
        </w:rPr>
        <w:t xml:space="preserve"> 2015</w:t>
      </w:r>
      <w:r>
        <w:rPr>
          <w:rFonts w:ascii="Arabic Typesetting" w:hAnsi="Arabic Typesetting" w:cs="Arabic Typesetting" w:hint="cs"/>
          <w:sz w:val="34"/>
          <w:szCs w:val="34"/>
          <w:rtl/>
          <w:lang w:bidi="ar-EG"/>
        </w:rPr>
        <w:t xml:space="preserve"> وتخطيط البرنامج والميزانية </w:t>
      </w:r>
      <w:r w:rsidR="00507DE2">
        <w:rPr>
          <w:rFonts w:ascii="Arabic Typesetting" w:hAnsi="Arabic Typesetting" w:cs="Arabic Typesetting" w:hint="cs"/>
          <w:sz w:val="34"/>
          <w:szCs w:val="34"/>
          <w:rtl/>
          <w:lang w:bidi="ar-EG"/>
        </w:rPr>
        <w:t>2016/17</w:t>
      </w:r>
      <w:r w:rsidR="00B31868" w:rsidRPr="00B31868">
        <w:rPr>
          <w:rFonts w:ascii="Arabic Typesetting" w:hAnsi="Arabic Typesetting" w:cs="Arabic Typesetting"/>
          <w:sz w:val="34"/>
          <w:szCs w:val="34"/>
          <w:rtl/>
          <w:lang w:bidi="ar-EG"/>
        </w:rPr>
        <w:t>. وع</w:t>
      </w:r>
      <w:r w:rsidR="00B31868" w:rsidRPr="00B31868">
        <w:rPr>
          <w:rFonts w:ascii="Arabic Typesetting" w:hAnsi="Arabic Typesetting" w:cs="Arabic Typesetting" w:hint="cs"/>
          <w:sz w:val="34"/>
          <w:szCs w:val="34"/>
          <w:rtl/>
          <w:lang w:bidi="ar-EG"/>
        </w:rPr>
        <w:t>ُ</w:t>
      </w:r>
      <w:r w:rsidR="00B31868" w:rsidRPr="00B31868">
        <w:rPr>
          <w:rFonts w:ascii="Arabic Typesetting" w:hAnsi="Arabic Typesetting" w:cs="Arabic Typesetting"/>
          <w:sz w:val="34"/>
          <w:szCs w:val="34"/>
          <w:rtl/>
          <w:lang w:bidi="ar-EG"/>
        </w:rPr>
        <w:t>ززت أيضا عمليات رصد المخاطر والإبلاغ عن</w:t>
      </w:r>
      <w:r w:rsidR="00B31868" w:rsidRPr="00B31868">
        <w:rPr>
          <w:rFonts w:ascii="Arabic Typesetting" w:hAnsi="Arabic Typesetting" w:cs="Arabic Typesetting" w:hint="cs"/>
          <w:sz w:val="34"/>
          <w:szCs w:val="34"/>
          <w:rtl/>
          <w:lang w:bidi="ar-EG"/>
        </w:rPr>
        <w:t>ها</w:t>
      </w:r>
      <w:r>
        <w:rPr>
          <w:rFonts w:ascii="Arabic Typesetting" w:hAnsi="Arabic Typesetting" w:cs="Arabic Typesetting" w:hint="cs"/>
          <w:sz w:val="34"/>
          <w:szCs w:val="34"/>
          <w:rtl/>
          <w:lang w:bidi="ar-EG"/>
        </w:rPr>
        <w:t xml:space="preserve"> والضوابط الداخلية</w:t>
      </w:r>
      <w:r w:rsidR="00B31868" w:rsidRPr="00B31868">
        <w:rPr>
          <w:rFonts w:ascii="Arabic Typesetting" w:hAnsi="Arabic Typesetting" w:cs="Arabic Typesetting" w:hint="cs"/>
          <w:sz w:val="34"/>
          <w:szCs w:val="34"/>
          <w:rtl/>
          <w:lang w:bidi="ar-EG"/>
        </w:rPr>
        <w:t xml:space="preserve"> عبر القيام بما يلي: "1" إجراء</w:t>
      </w:r>
      <w:r w:rsidR="00B31868" w:rsidRPr="00B31868">
        <w:rPr>
          <w:rFonts w:ascii="Arabic Typesetting" w:hAnsi="Arabic Typesetting" w:cs="Arabic Typesetting"/>
          <w:sz w:val="34"/>
          <w:szCs w:val="34"/>
          <w:rtl/>
          <w:lang w:bidi="ar-EG"/>
        </w:rPr>
        <w:t xml:space="preserve"> استعراضات نصف سنوية</w:t>
      </w:r>
      <w:r w:rsidR="00B31868" w:rsidRPr="00B31868">
        <w:rPr>
          <w:rFonts w:ascii="Arabic Typesetting" w:hAnsi="Arabic Typesetting" w:cs="Arabic Typesetting" w:hint="cs"/>
          <w:sz w:val="34"/>
          <w:szCs w:val="34"/>
          <w:rtl/>
          <w:lang w:bidi="ar-EG"/>
        </w:rPr>
        <w:t xml:space="preserve"> لل</w:t>
      </w:r>
      <w:r w:rsidR="00B31868" w:rsidRPr="00B31868">
        <w:rPr>
          <w:rFonts w:ascii="Arabic Typesetting" w:hAnsi="Arabic Typesetting" w:cs="Arabic Typesetting"/>
          <w:sz w:val="34"/>
          <w:szCs w:val="34"/>
          <w:rtl/>
          <w:lang w:bidi="ar-EG"/>
        </w:rPr>
        <w:t>مخاطر</w:t>
      </w:r>
      <w:r w:rsidR="000D05C2">
        <w:rPr>
          <w:rFonts w:ascii="Arabic Typesetting" w:hAnsi="Arabic Typesetting" w:cs="Arabic Typesetting" w:hint="cs"/>
          <w:sz w:val="34"/>
          <w:szCs w:val="34"/>
          <w:rtl/>
          <w:lang w:bidi="ar-EG"/>
        </w:rPr>
        <w:t xml:space="preserve"> وإعداد تقارير بشأنها؛ "2" </w:t>
      </w:r>
      <w:r w:rsidR="00B31868" w:rsidRPr="00B31868">
        <w:rPr>
          <w:rFonts w:ascii="Arabic Typesetting" w:hAnsi="Arabic Typesetting" w:cs="Arabic Typesetting" w:hint="cs"/>
          <w:sz w:val="34"/>
          <w:szCs w:val="34"/>
          <w:rtl/>
          <w:lang w:bidi="ar-EG"/>
        </w:rPr>
        <w:t>و</w:t>
      </w:r>
      <w:r w:rsidR="00B31868" w:rsidRPr="00B31868">
        <w:rPr>
          <w:rFonts w:ascii="Arabic Typesetting" w:hAnsi="Arabic Typesetting" w:cs="Arabic Typesetting"/>
          <w:sz w:val="34"/>
          <w:szCs w:val="34"/>
          <w:rtl/>
          <w:lang w:bidi="ar-EG"/>
        </w:rPr>
        <w:t>استمرار تعزيز إدماج إدارة المخاطر في عمليات إدارة أداء البرنامج</w:t>
      </w:r>
      <w:r w:rsidR="000D05C2">
        <w:rPr>
          <w:rFonts w:ascii="Arabic Typesetting" w:hAnsi="Arabic Typesetting" w:cs="Arabic Typesetting" w:hint="cs"/>
          <w:sz w:val="34"/>
          <w:szCs w:val="34"/>
          <w:rtl/>
          <w:lang w:bidi="ar-EG"/>
        </w:rPr>
        <w:t>؛ "3" وإرساء إطار للضوابط الداخلية يستخدم أداة إدارة المخاطر المؤسسية لتسجيل ضوابط الويبو المحددة والمقيَّمة.</w:t>
      </w:r>
    </w:p>
    <w:p w:rsidR="00B31868" w:rsidRPr="000D05C2" w:rsidRDefault="00B3186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rtl/>
          <w:lang w:bidi="ar-EG"/>
        </w:rPr>
      </w:pPr>
      <w:r w:rsidRPr="000D05C2">
        <w:rPr>
          <w:rFonts w:ascii="Arabic Typesetting" w:hAnsi="Arabic Typesetting" w:cs="Arabic Typesetting" w:hint="cs"/>
          <w:sz w:val="34"/>
          <w:szCs w:val="34"/>
          <w:rtl/>
          <w:lang w:bidi="ar-EG"/>
        </w:rPr>
        <w:t>وتواصل</w:t>
      </w:r>
      <w:r w:rsidRPr="000D05C2">
        <w:rPr>
          <w:rFonts w:ascii="Arabic Typesetting" w:hAnsi="Arabic Typesetting" w:cs="Arabic Typesetting"/>
          <w:sz w:val="34"/>
          <w:szCs w:val="34"/>
          <w:rtl/>
          <w:lang w:bidi="ar-EG"/>
        </w:rPr>
        <w:t xml:space="preserve"> </w:t>
      </w:r>
      <w:r w:rsidRPr="000D05C2">
        <w:rPr>
          <w:rFonts w:ascii="Arabic Typesetting" w:hAnsi="Arabic Typesetting" w:cs="Arabic Typesetting" w:hint="cs"/>
          <w:sz w:val="34"/>
          <w:szCs w:val="34"/>
          <w:rtl/>
          <w:lang w:bidi="ar-EG"/>
        </w:rPr>
        <w:t xml:space="preserve">تحديث </w:t>
      </w:r>
      <w:r w:rsidRPr="000D05C2">
        <w:rPr>
          <w:rFonts w:ascii="Arabic Typesetting" w:hAnsi="Arabic Typesetting" w:cs="Arabic Typesetting"/>
          <w:sz w:val="34"/>
          <w:szCs w:val="34"/>
          <w:rtl/>
          <w:lang w:bidi="ar-EG"/>
        </w:rPr>
        <w:t>الإطار التنظيمي</w:t>
      </w:r>
      <w:r w:rsidRPr="000D05C2">
        <w:rPr>
          <w:rFonts w:ascii="Arabic Typesetting" w:hAnsi="Arabic Typesetting" w:cs="Arabic Typesetting" w:hint="cs"/>
          <w:sz w:val="34"/>
          <w:szCs w:val="34"/>
          <w:rtl/>
          <w:lang w:bidi="ar-EG"/>
        </w:rPr>
        <w:t xml:space="preserve"> وتمت مراجعة </w:t>
      </w:r>
      <w:r w:rsidRPr="000D05C2">
        <w:rPr>
          <w:rFonts w:ascii="Arabic Typesetting" w:hAnsi="Arabic Typesetting" w:cs="Arabic Typesetting"/>
          <w:sz w:val="34"/>
          <w:szCs w:val="34"/>
          <w:rtl/>
          <w:lang w:bidi="ar-EG"/>
        </w:rPr>
        <w:t>وإصد</w:t>
      </w:r>
      <w:r w:rsidRPr="000D05C2">
        <w:rPr>
          <w:rFonts w:ascii="Arabic Typesetting" w:hAnsi="Arabic Typesetting" w:cs="Arabic Typesetting" w:hint="cs"/>
          <w:sz w:val="34"/>
          <w:szCs w:val="34"/>
          <w:rtl/>
          <w:lang w:bidi="ar-EG"/>
        </w:rPr>
        <w:t>ا</w:t>
      </w:r>
      <w:r w:rsidRPr="000D05C2">
        <w:rPr>
          <w:rFonts w:ascii="Arabic Typesetting" w:hAnsi="Arabic Typesetting" w:cs="Arabic Typesetting"/>
          <w:sz w:val="34"/>
          <w:szCs w:val="34"/>
          <w:rtl/>
          <w:lang w:bidi="ar-EG"/>
        </w:rPr>
        <w:t>ر</w:t>
      </w:r>
      <w:r w:rsidRPr="000D05C2">
        <w:rPr>
          <w:rFonts w:ascii="Arabic Typesetting" w:hAnsi="Arabic Typesetting" w:cs="Arabic Typesetting" w:hint="cs"/>
          <w:sz w:val="34"/>
          <w:szCs w:val="34"/>
          <w:rtl/>
          <w:lang w:bidi="ar-EG"/>
        </w:rPr>
        <w:t xml:space="preserve"> </w:t>
      </w:r>
      <w:r w:rsidRPr="000D05C2">
        <w:rPr>
          <w:rFonts w:ascii="Arabic Typesetting" w:hAnsi="Arabic Typesetting" w:cs="Arabic Typesetting"/>
          <w:sz w:val="34"/>
          <w:szCs w:val="34"/>
          <w:rtl/>
          <w:lang w:bidi="ar-EG"/>
        </w:rPr>
        <w:t xml:space="preserve">عدد من </w:t>
      </w:r>
      <w:r w:rsidRPr="000D05C2">
        <w:rPr>
          <w:rFonts w:ascii="Arabic Typesetting" w:hAnsi="Arabic Typesetting" w:cs="Arabic Typesetting" w:hint="cs"/>
          <w:sz w:val="34"/>
          <w:szCs w:val="34"/>
          <w:rtl/>
          <w:lang w:bidi="ar-EG"/>
        </w:rPr>
        <w:t>التعميمات الإدارية</w:t>
      </w:r>
      <w:r w:rsidRPr="000D05C2">
        <w:rPr>
          <w:rFonts w:ascii="Arabic Typesetting" w:hAnsi="Arabic Typesetting" w:cs="Arabic Typesetting"/>
          <w:sz w:val="34"/>
          <w:szCs w:val="34"/>
          <w:rtl/>
          <w:lang w:bidi="ar-EG"/>
        </w:rPr>
        <w:t xml:space="preserve"> (المشتريات، والضيافة</w:t>
      </w:r>
      <w:r w:rsidRPr="000D05C2">
        <w:rPr>
          <w:rFonts w:ascii="Arabic Typesetting" w:hAnsi="Arabic Typesetting" w:cs="Arabic Typesetting" w:hint="cs"/>
          <w:sz w:val="34"/>
          <w:szCs w:val="34"/>
          <w:rtl/>
          <w:lang w:bidi="ar-EG"/>
        </w:rPr>
        <w:t xml:space="preserve"> الرسمية</w:t>
      </w:r>
      <w:r w:rsidRPr="000D05C2">
        <w:rPr>
          <w:rFonts w:ascii="Arabic Typesetting" w:hAnsi="Arabic Typesetting" w:cs="Arabic Typesetting"/>
          <w:sz w:val="34"/>
          <w:szCs w:val="34"/>
          <w:rtl/>
          <w:lang w:bidi="ar-EG"/>
        </w:rPr>
        <w:t>، وال</w:t>
      </w:r>
      <w:r w:rsidRPr="000D05C2">
        <w:rPr>
          <w:rFonts w:ascii="Arabic Typesetting" w:hAnsi="Arabic Typesetting" w:cs="Arabic Typesetting" w:hint="cs"/>
          <w:sz w:val="34"/>
          <w:szCs w:val="34"/>
          <w:rtl/>
          <w:lang w:bidi="ar-EG"/>
        </w:rPr>
        <w:t>أ</w:t>
      </w:r>
      <w:r w:rsidRPr="000D05C2">
        <w:rPr>
          <w:rFonts w:ascii="Arabic Typesetting" w:hAnsi="Arabic Typesetting" w:cs="Arabic Typesetting"/>
          <w:sz w:val="34"/>
          <w:szCs w:val="34"/>
          <w:rtl/>
          <w:lang w:bidi="ar-EG"/>
        </w:rPr>
        <w:t>سف</w:t>
      </w:r>
      <w:r w:rsidRPr="000D05C2">
        <w:rPr>
          <w:rFonts w:ascii="Arabic Typesetting" w:hAnsi="Arabic Typesetting" w:cs="Arabic Typesetting" w:hint="cs"/>
          <w:sz w:val="34"/>
          <w:szCs w:val="34"/>
          <w:rtl/>
          <w:lang w:bidi="ar-EG"/>
        </w:rPr>
        <w:t>ا</w:t>
      </w:r>
      <w:r w:rsidRPr="000D05C2">
        <w:rPr>
          <w:rFonts w:ascii="Arabic Typesetting" w:hAnsi="Arabic Typesetting" w:cs="Arabic Typesetting"/>
          <w:sz w:val="34"/>
          <w:szCs w:val="34"/>
          <w:rtl/>
          <w:lang w:bidi="ar-EG"/>
        </w:rPr>
        <w:t xml:space="preserve">ر، </w:t>
      </w:r>
      <w:r w:rsidRPr="000D05C2">
        <w:rPr>
          <w:rFonts w:ascii="Arabic Typesetting" w:hAnsi="Arabic Typesetting" w:cs="Arabic Typesetting" w:hint="cs"/>
          <w:sz w:val="34"/>
          <w:szCs w:val="34"/>
          <w:rtl/>
          <w:lang w:bidi="ar-EG"/>
        </w:rPr>
        <w:t>و</w:t>
      </w:r>
      <w:r w:rsidRPr="000D05C2">
        <w:rPr>
          <w:rFonts w:ascii="Arabic Typesetting" w:hAnsi="Arabic Typesetting" w:cs="Arabic Typesetting"/>
          <w:sz w:val="34"/>
          <w:szCs w:val="34"/>
          <w:rtl/>
          <w:lang w:bidi="ar-EG"/>
        </w:rPr>
        <w:t xml:space="preserve">إجازة زيارة الوطن، </w:t>
      </w:r>
      <w:r w:rsidRPr="000D05C2">
        <w:rPr>
          <w:rFonts w:ascii="Arabic Typesetting" w:hAnsi="Arabic Typesetting" w:cs="Arabic Typesetting" w:hint="cs"/>
          <w:sz w:val="34"/>
          <w:szCs w:val="34"/>
          <w:rtl/>
          <w:lang w:bidi="ar-EG"/>
        </w:rPr>
        <w:t>وسلف المرتبات</w:t>
      </w:r>
      <w:r w:rsidRPr="000D05C2">
        <w:rPr>
          <w:rFonts w:ascii="Arabic Typesetting" w:hAnsi="Arabic Typesetting" w:cs="Arabic Typesetting"/>
          <w:sz w:val="34"/>
          <w:szCs w:val="34"/>
          <w:rtl/>
          <w:lang w:bidi="ar-EG"/>
        </w:rPr>
        <w:t>، والمبادئ التوجيهية</w:t>
      </w:r>
      <w:r w:rsidRPr="000D05C2">
        <w:rPr>
          <w:rFonts w:ascii="Arabic Typesetting" w:hAnsi="Arabic Typesetting" w:cs="Arabic Typesetting" w:hint="cs"/>
          <w:sz w:val="34"/>
          <w:szCs w:val="34"/>
          <w:rtl/>
          <w:lang w:bidi="ar-EG"/>
        </w:rPr>
        <w:t xml:space="preserve"> بشأن الإدارة</w:t>
      </w:r>
      <w:r w:rsidRPr="000D05C2">
        <w:rPr>
          <w:rFonts w:ascii="Arabic Typesetting" w:hAnsi="Arabic Typesetting" w:cs="Arabic Typesetting"/>
          <w:sz w:val="34"/>
          <w:szCs w:val="34"/>
          <w:rtl/>
          <w:lang w:bidi="ar-EG"/>
        </w:rPr>
        <w:t xml:space="preserve"> النقدية للمكاتب الخارجية،</w:t>
      </w:r>
      <w:r w:rsidR="000D05C2" w:rsidRPr="000D05C2">
        <w:rPr>
          <w:rFonts w:ascii="Arabic Typesetting" w:hAnsi="Arabic Typesetting" w:cs="Arabic Typesetting" w:hint="cs"/>
          <w:sz w:val="34"/>
          <w:szCs w:val="34"/>
          <w:rtl/>
          <w:lang w:bidi="ar-EG"/>
        </w:rPr>
        <w:t xml:space="preserve"> والاحتياطي المالي، وإدارة الممتلكات، والمساهمات الطوعية، وسياسة استخدام </w:t>
      </w:r>
      <w:r w:rsidR="000D05C2" w:rsidRPr="000D05C2">
        <w:rPr>
          <w:rFonts w:ascii="Arabic Typesetting" w:hAnsi="Arabic Typesetting" w:cs="Arabic Typesetting"/>
          <w:sz w:val="34"/>
          <w:szCs w:val="34"/>
          <w:rtl/>
          <w:lang w:bidi="ar-EG"/>
        </w:rPr>
        <w:t>أجهزة الاتصالات المحمولة</w:t>
      </w:r>
      <w:r w:rsidR="000D05C2" w:rsidRPr="000D05C2">
        <w:rPr>
          <w:rFonts w:ascii="Arabic Typesetting" w:hAnsi="Arabic Typesetting" w:cs="Arabic Typesetting" w:hint="cs"/>
          <w:sz w:val="34"/>
          <w:szCs w:val="34"/>
          <w:rtl/>
          <w:lang w:bidi="ar-EG"/>
        </w:rPr>
        <w:t xml:space="preserve">، وإنشاء فريق إدارة المخاطر، وسياسة إدارة المخاطر). </w:t>
      </w:r>
      <w:r w:rsidR="00FF1820">
        <w:rPr>
          <w:rFonts w:ascii="Arabic Typesetting" w:hAnsi="Arabic Typesetting" w:cs="Arabic Typesetting" w:hint="cs"/>
          <w:sz w:val="34"/>
          <w:szCs w:val="34"/>
          <w:rtl/>
          <w:lang w:bidi="ar-EG"/>
        </w:rPr>
        <w:t>واستُعرض</w:t>
      </w:r>
      <w:r w:rsidRPr="000D05C2">
        <w:rPr>
          <w:rFonts w:ascii="Arabic Typesetting" w:hAnsi="Arabic Typesetting" w:cs="Arabic Typesetting" w:hint="cs"/>
          <w:sz w:val="34"/>
          <w:szCs w:val="34"/>
          <w:rtl/>
          <w:lang w:bidi="ar-EG"/>
        </w:rPr>
        <w:t xml:space="preserve"> ا</w:t>
      </w:r>
      <w:r w:rsidRPr="000D05C2">
        <w:rPr>
          <w:rFonts w:ascii="Arabic Typesetting" w:hAnsi="Arabic Typesetting" w:cs="Arabic Typesetting"/>
          <w:sz w:val="34"/>
          <w:szCs w:val="34"/>
          <w:rtl/>
          <w:lang w:bidi="ar-EG"/>
        </w:rPr>
        <w:t>لنظام المالي و</w:t>
      </w:r>
      <w:r w:rsidRPr="000D05C2">
        <w:rPr>
          <w:rFonts w:ascii="Arabic Typesetting" w:hAnsi="Arabic Typesetting" w:cs="Arabic Typesetting" w:hint="cs"/>
          <w:sz w:val="34"/>
          <w:szCs w:val="34"/>
          <w:rtl/>
          <w:lang w:bidi="ar-EG"/>
        </w:rPr>
        <w:t>لائحته</w:t>
      </w:r>
      <w:r w:rsidR="00FF1820">
        <w:rPr>
          <w:rFonts w:ascii="Arabic Typesetting" w:hAnsi="Arabic Typesetting" w:cs="Arabic Typesetting" w:hint="cs"/>
          <w:sz w:val="34"/>
          <w:szCs w:val="34"/>
          <w:rtl/>
          <w:lang w:bidi="ar-EG"/>
        </w:rPr>
        <w:t xml:space="preserve"> وعدِّل</w:t>
      </w:r>
      <w:r w:rsidRPr="000D05C2">
        <w:rPr>
          <w:rFonts w:ascii="Arabic Typesetting" w:hAnsi="Arabic Typesetting" w:cs="Arabic Typesetting"/>
          <w:sz w:val="34"/>
          <w:szCs w:val="34"/>
          <w:rtl/>
          <w:lang w:bidi="ar-EG"/>
        </w:rPr>
        <w:t xml:space="preserve">، على نحو </w:t>
      </w:r>
      <w:r w:rsidRPr="000D05C2">
        <w:rPr>
          <w:rFonts w:ascii="Arabic Typesetting" w:hAnsi="Arabic Typesetting" w:cs="Arabic Typesetting" w:hint="cs"/>
          <w:sz w:val="34"/>
          <w:szCs w:val="34"/>
          <w:rtl/>
          <w:lang w:bidi="ar-EG"/>
        </w:rPr>
        <w:t>ما ا</w:t>
      </w:r>
      <w:r w:rsidRPr="000D05C2">
        <w:rPr>
          <w:rFonts w:ascii="Arabic Typesetting" w:hAnsi="Arabic Typesetting" w:cs="Arabic Typesetting"/>
          <w:sz w:val="34"/>
          <w:szCs w:val="34"/>
          <w:rtl/>
          <w:lang w:bidi="ar-EG"/>
        </w:rPr>
        <w:t>تفق</w:t>
      </w:r>
      <w:r w:rsidRPr="000D05C2">
        <w:rPr>
          <w:rFonts w:ascii="Arabic Typesetting" w:hAnsi="Arabic Typesetting" w:cs="Arabic Typesetting" w:hint="cs"/>
          <w:sz w:val="34"/>
          <w:szCs w:val="34"/>
          <w:rtl/>
          <w:lang w:bidi="ar-EG"/>
        </w:rPr>
        <w:t>ت</w:t>
      </w:r>
      <w:r w:rsidRPr="000D05C2">
        <w:rPr>
          <w:rFonts w:ascii="Arabic Typesetting" w:hAnsi="Arabic Typesetting" w:cs="Arabic Typesetting"/>
          <w:sz w:val="34"/>
          <w:szCs w:val="34"/>
          <w:rtl/>
          <w:lang w:bidi="ar-EG"/>
        </w:rPr>
        <w:t xml:space="preserve"> عليه الدول الأعضاء، </w:t>
      </w:r>
      <w:r w:rsidRPr="000D05C2">
        <w:rPr>
          <w:rFonts w:ascii="Arabic Typesetting" w:hAnsi="Arabic Typesetting" w:cs="Arabic Typesetting" w:hint="cs"/>
          <w:sz w:val="34"/>
          <w:szCs w:val="34"/>
          <w:rtl/>
          <w:lang w:bidi="ar-EG"/>
        </w:rPr>
        <w:t>وطُورت</w:t>
      </w:r>
      <w:r w:rsidRPr="000D05C2">
        <w:rPr>
          <w:rFonts w:ascii="Arabic Typesetting" w:hAnsi="Arabic Typesetting" w:cs="Arabic Typesetting"/>
          <w:sz w:val="34"/>
          <w:szCs w:val="34"/>
          <w:rtl/>
          <w:lang w:bidi="ar-EG"/>
        </w:rPr>
        <w:t xml:space="preserve"> أداة إلكترونية جديدة لدعم إدارة تسميات </w:t>
      </w:r>
      <w:r w:rsidRPr="000D05C2">
        <w:rPr>
          <w:rFonts w:ascii="Arabic Typesetting" w:hAnsi="Arabic Typesetting" w:cs="Arabic Typesetting" w:hint="cs"/>
          <w:sz w:val="34"/>
          <w:szCs w:val="34"/>
          <w:rtl/>
          <w:lang w:bidi="ar-EG"/>
        </w:rPr>
        <w:t>البرامج</w:t>
      </w:r>
      <w:r w:rsidRPr="000D05C2">
        <w:rPr>
          <w:rFonts w:ascii="Arabic Typesetting" w:hAnsi="Arabic Typesetting" w:cs="Arabic Typesetting"/>
          <w:sz w:val="34"/>
          <w:szCs w:val="34"/>
          <w:lang w:bidi="ar-EG"/>
        </w:rPr>
        <w:t>.</w:t>
      </w:r>
    </w:p>
    <w:p w:rsidR="000D05C2" w:rsidRDefault="00B3186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lang w:bidi="ar-EG"/>
        </w:rPr>
      </w:pPr>
      <w:r w:rsidRPr="000D05C2">
        <w:rPr>
          <w:rFonts w:ascii="Arabic Typesetting" w:hAnsi="Arabic Typesetting" w:cs="Arabic Typesetting" w:hint="cs"/>
          <w:sz w:val="34"/>
          <w:szCs w:val="34"/>
          <w:rtl/>
        </w:rPr>
        <w:t xml:space="preserve">واستُكملت </w:t>
      </w:r>
      <w:r w:rsidRPr="000D05C2">
        <w:rPr>
          <w:rFonts w:ascii="Arabic Typesetting" w:hAnsi="Arabic Typesetting" w:cs="Arabic Typesetting"/>
          <w:sz w:val="34"/>
          <w:szCs w:val="34"/>
          <w:rtl/>
          <w:lang w:bidi="ar-EG"/>
        </w:rPr>
        <w:t>في ربيع عام 2014</w:t>
      </w:r>
      <w:r w:rsidRPr="000D05C2">
        <w:rPr>
          <w:rFonts w:ascii="Arabic Typesetting" w:hAnsi="Arabic Typesetting" w:cs="Arabic Typesetting" w:hint="cs"/>
          <w:sz w:val="34"/>
          <w:szCs w:val="34"/>
          <w:rtl/>
          <w:lang w:bidi="ar-EG"/>
        </w:rPr>
        <w:t xml:space="preserve"> </w:t>
      </w:r>
      <w:r w:rsidRPr="000D05C2">
        <w:rPr>
          <w:rFonts w:ascii="Arabic Typesetting" w:hAnsi="Arabic Typesetting" w:cs="Arabic Typesetting" w:hint="cs"/>
          <w:sz w:val="34"/>
          <w:szCs w:val="34"/>
          <w:rtl/>
        </w:rPr>
        <w:t>ال</w:t>
      </w:r>
      <w:r w:rsidRPr="000D05C2">
        <w:rPr>
          <w:rFonts w:ascii="Arabic Typesetting" w:hAnsi="Arabic Typesetting" w:cs="Arabic Typesetting"/>
          <w:sz w:val="34"/>
          <w:szCs w:val="34"/>
          <w:rtl/>
        </w:rPr>
        <w:t xml:space="preserve">دراسة </w:t>
      </w:r>
      <w:r w:rsidRPr="000D05C2">
        <w:rPr>
          <w:rFonts w:ascii="Arabic Typesetting" w:hAnsi="Arabic Typesetting" w:cs="Arabic Typesetting" w:hint="cs"/>
          <w:sz w:val="34"/>
          <w:szCs w:val="34"/>
          <w:rtl/>
        </w:rPr>
        <w:t>ال</w:t>
      </w:r>
      <w:r w:rsidRPr="000D05C2">
        <w:rPr>
          <w:rFonts w:ascii="Arabic Typesetting" w:hAnsi="Arabic Typesetting" w:cs="Arabic Typesetting"/>
          <w:sz w:val="34"/>
          <w:szCs w:val="34"/>
          <w:rtl/>
        </w:rPr>
        <w:t>شاملة لممارسات</w:t>
      </w:r>
      <w:r w:rsidRPr="000D05C2">
        <w:rPr>
          <w:rFonts w:ascii="Arabic Typesetting" w:hAnsi="Arabic Typesetting" w:cs="Arabic Typesetting" w:hint="cs"/>
          <w:sz w:val="34"/>
          <w:szCs w:val="34"/>
          <w:rtl/>
        </w:rPr>
        <w:t xml:space="preserve"> </w:t>
      </w:r>
      <w:r w:rsidRPr="000D05C2">
        <w:rPr>
          <w:rFonts w:ascii="Arabic Typesetting" w:hAnsi="Arabic Typesetting" w:cs="Arabic Typesetting"/>
          <w:sz w:val="34"/>
          <w:szCs w:val="34"/>
          <w:rtl/>
        </w:rPr>
        <w:t>الويبو بش</w:t>
      </w:r>
      <w:r w:rsidRPr="000D05C2">
        <w:rPr>
          <w:rFonts w:ascii="Arabic Typesetting" w:hAnsi="Arabic Typesetting" w:cs="Arabic Typesetting" w:hint="cs"/>
          <w:sz w:val="34"/>
          <w:szCs w:val="34"/>
          <w:rtl/>
        </w:rPr>
        <w:t>أ</w:t>
      </w:r>
      <w:r w:rsidRPr="000D05C2">
        <w:rPr>
          <w:rFonts w:ascii="Arabic Typesetting" w:hAnsi="Arabic Typesetting" w:cs="Arabic Typesetting"/>
          <w:sz w:val="34"/>
          <w:szCs w:val="34"/>
          <w:rtl/>
        </w:rPr>
        <w:t xml:space="preserve">ن الخزانة </w:t>
      </w:r>
      <w:proofErr w:type="spellStart"/>
      <w:r w:rsidRPr="000D05C2">
        <w:rPr>
          <w:rFonts w:ascii="Arabic Typesetting" w:hAnsi="Arabic Typesetting" w:cs="Arabic Typesetting"/>
          <w:sz w:val="34"/>
          <w:szCs w:val="34"/>
          <w:rtl/>
        </w:rPr>
        <w:t>ومخاطرها</w:t>
      </w:r>
      <w:proofErr w:type="spellEnd"/>
      <w:r w:rsidRPr="000D05C2">
        <w:rPr>
          <w:rFonts w:ascii="Arabic Typesetting" w:hAnsi="Arabic Typesetting" w:cs="Arabic Typesetting" w:hint="cs"/>
          <w:sz w:val="34"/>
          <w:szCs w:val="34"/>
          <w:rtl/>
        </w:rPr>
        <w:t xml:space="preserve"> </w:t>
      </w:r>
      <w:r w:rsidRPr="000D05C2">
        <w:rPr>
          <w:rFonts w:ascii="Arabic Typesetting" w:hAnsi="Arabic Typesetting" w:cs="Arabic Typesetting"/>
          <w:sz w:val="34"/>
          <w:szCs w:val="34"/>
          <w:rtl/>
          <w:lang w:bidi="ar-EG"/>
        </w:rPr>
        <w:t xml:space="preserve">التي بدأت في 2013، </w:t>
      </w:r>
      <w:r w:rsidRPr="000D05C2">
        <w:rPr>
          <w:rFonts w:ascii="Arabic Typesetting" w:hAnsi="Arabic Typesetting" w:cs="Arabic Typesetting" w:hint="cs"/>
          <w:sz w:val="34"/>
          <w:szCs w:val="34"/>
          <w:rtl/>
          <w:lang w:bidi="ar-EG"/>
        </w:rPr>
        <w:t>وأسفرت عن</w:t>
      </w:r>
      <w:r w:rsidRPr="000D05C2">
        <w:rPr>
          <w:rFonts w:ascii="Arabic Typesetting" w:hAnsi="Arabic Typesetting" w:cs="Arabic Typesetting"/>
          <w:sz w:val="34"/>
          <w:szCs w:val="34"/>
          <w:rtl/>
          <w:lang w:bidi="ar-EG"/>
        </w:rPr>
        <w:t xml:space="preserve"> سلسلة من التوصيات، بما في ذلك ما يتعلق </w:t>
      </w:r>
      <w:r w:rsidRPr="000D05C2">
        <w:rPr>
          <w:rFonts w:ascii="Arabic Typesetting" w:hAnsi="Arabic Typesetting" w:cs="Arabic Typesetting" w:hint="cs"/>
          <w:sz w:val="34"/>
          <w:szCs w:val="34"/>
          <w:rtl/>
          <w:lang w:bidi="ar-EG"/>
        </w:rPr>
        <w:t>ب</w:t>
      </w:r>
      <w:r w:rsidRPr="000D05C2">
        <w:rPr>
          <w:rFonts w:ascii="Arabic Typesetting" w:hAnsi="Arabic Typesetting" w:cs="Arabic Typesetting"/>
          <w:sz w:val="34"/>
          <w:szCs w:val="34"/>
          <w:rtl/>
          <w:lang w:bidi="ar-EG"/>
        </w:rPr>
        <w:t>ممارسة التحوط كوسيلة للحد من التعرض لتقلبات أسعار صرف العملات الأجنبية في</w:t>
      </w:r>
      <w:r w:rsidRPr="000D05C2">
        <w:rPr>
          <w:rFonts w:ascii="Arabic Typesetting" w:hAnsi="Arabic Typesetting" w:cs="Arabic Typesetting" w:hint="cs"/>
          <w:sz w:val="34"/>
          <w:szCs w:val="34"/>
          <w:rtl/>
          <w:lang w:bidi="ar-EG"/>
        </w:rPr>
        <w:t xml:space="preserve"> نظام </w:t>
      </w:r>
      <w:r w:rsidRPr="000D05C2">
        <w:rPr>
          <w:rFonts w:ascii="Arabic Typesetting" w:hAnsi="Arabic Typesetting" w:cs="Arabic Typesetting"/>
          <w:sz w:val="34"/>
          <w:szCs w:val="34"/>
          <w:rtl/>
          <w:lang w:bidi="ar-EG"/>
        </w:rPr>
        <w:t>معاهدة البراءات.</w:t>
      </w:r>
      <w:r w:rsidR="000D05C2">
        <w:rPr>
          <w:rFonts w:ascii="Arabic Typesetting" w:hAnsi="Arabic Typesetting" w:cs="Arabic Typesetting" w:hint="cs"/>
          <w:sz w:val="34"/>
          <w:szCs w:val="34"/>
          <w:rtl/>
          <w:lang w:bidi="ar-EG"/>
        </w:rPr>
        <w:t xml:space="preserve"> وأجريت مراجعة شاملة لاستراتيجية التحوط المقترحة في عام 2015 واتخذ قرار نهائي باعتماد نموذج تحوط يحفز آثار التحوط في نتائج الثنائية </w:t>
      </w:r>
      <w:r w:rsidR="00507DE2">
        <w:rPr>
          <w:rFonts w:ascii="Arabic Typesetting" w:hAnsi="Arabic Typesetting" w:cs="Arabic Typesetting" w:hint="cs"/>
          <w:sz w:val="34"/>
          <w:szCs w:val="34"/>
          <w:rtl/>
          <w:lang w:bidi="ar-EG"/>
        </w:rPr>
        <w:t>2014/15</w:t>
      </w:r>
      <w:r w:rsidR="000D05C2">
        <w:rPr>
          <w:rFonts w:ascii="Arabic Typesetting" w:hAnsi="Arabic Typesetting" w:cs="Arabic Typesetting" w:hint="cs"/>
          <w:sz w:val="34"/>
          <w:szCs w:val="34"/>
          <w:rtl/>
          <w:lang w:bidi="ar-EG"/>
        </w:rPr>
        <w:t xml:space="preserve"> ونتائج عام 2016. </w:t>
      </w:r>
      <w:r w:rsidR="00CD5FB4">
        <w:rPr>
          <w:rFonts w:ascii="Arabic Typesetting" w:hAnsi="Arabic Typesetting" w:cs="Arabic Typesetting" w:hint="cs"/>
          <w:sz w:val="34"/>
          <w:szCs w:val="34"/>
          <w:rtl/>
          <w:lang w:bidi="ar-EG"/>
        </w:rPr>
        <w:t xml:space="preserve">وعقب بحوث مستفيضة </w:t>
      </w:r>
      <w:r w:rsidR="001E0CF5">
        <w:rPr>
          <w:rFonts w:ascii="Arabic Typesetting" w:hAnsi="Arabic Typesetting" w:cs="Arabic Typesetting" w:hint="cs"/>
          <w:sz w:val="34"/>
          <w:szCs w:val="34"/>
          <w:rtl/>
          <w:lang w:bidi="ar-EG"/>
        </w:rPr>
        <w:t>بين</w:t>
      </w:r>
      <w:r w:rsidR="00CD5FB4">
        <w:rPr>
          <w:rFonts w:ascii="Arabic Typesetting" w:hAnsi="Arabic Typesetting" w:cs="Arabic Typesetting" w:hint="cs"/>
          <w:sz w:val="34"/>
          <w:szCs w:val="34"/>
          <w:rtl/>
          <w:lang w:bidi="ar-EG"/>
        </w:rPr>
        <w:t xml:space="preserve"> مختلف المصارف والمؤسسات المالية ودراسة للعديد من سياسات الاستثمار المستخدمة في إطار منظومة الأمم المتحدة، أُعدت سياسة استثمار جديدة للمنظمة ووافقت عليها الدول الأعضاء في عام 2015. وبدأ تنفيذ هذه السياسة الجديدة في أواخر عام 2015 </w:t>
      </w:r>
      <w:r w:rsidR="004E4FF2">
        <w:rPr>
          <w:rFonts w:ascii="Arabic Typesetting" w:hAnsi="Arabic Typesetting" w:cs="Arabic Typesetting" w:hint="cs"/>
          <w:sz w:val="34"/>
          <w:szCs w:val="34"/>
          <w:rtl/>
          <w:lang w:bidi="ar-EG"/>
        </w:rPr>
        <w:t>بتوجيه</w:t>
      </w:r>
      <w:r w:rsidR="00CD5FB4">
        <w:rPr>
          <w:rFonts w:ascii="Arabic Typesetting" w:hAnsi="Arabic Typesetting" w:cs="Arabic Typesetting" w:hint="cs"/>
          <w:sz w:val="34"/>
          <w:szCs w:val="34"/>
          <w:rtl/>
          <w:lang w:bidi="ar-EG"/>
        </w:rPr>
        <w:t xml:space="preserve"> دعوة إلى التعبير عن الاهتمام بإدارة صندوق الاستثمار. ونفذت مبادرات مالية إضافية منها ما يلي: "1" تعزيز إدارة النقد لتقليص أثر معدلات الفائدة السلبية السائدة حالياً في جنيف والعمل على إقامة علاقة مع مصرف</w:t>
      </w:r>
      <w:r w:rsidR="004E4FF2">
        <w:rPr>
          <w:rFonts w:ascii="Arabic Typesetting" w:hAnsi="Arabic Typesetting" w:cs="Arabic Typesetting" w:hint="cs"/>
          <w:sz w:val="34"/>
          <w:szCs w:val="34"/>
          <w:rtl/>
          <w:lang w:bidi="ar-EG"/>
        </w:rPr>
        <w:t>َ</w:t>
      </w:r>
      <w:r w:rsidR="00CD5FB4">
        <w:rPr>
          <w:rFonts w:ascii="Arabic Typesetting" w:hAnsi="Arabic Typesetting" w:cs="Arabic Typesetting" w:hint="cs"/>
          <w:sz w:val="34"/>
          <w:szCs w:val="34"/>
          <w:rtl/>
          <w:lang w:bidi="ar-EG"/>
        </w:rPr>
        <w:t xml:space="preserve">ين جديدين؛ "2" بذل جهود لزيادة عدد الحاصلين على مستحقاتهم إلكترونياً؛ "3" اعتماد بطاقتي ائتمان جديدتين لمدفوعات المنظمة؛ "4" اعتماد محول دينامي للعملة بغية تمكين حامل بطاقة الائتمان من التسديد بعملته المحلية من أجل تقليص عمولات البطاقات الائتمانية التي </w:t>
      </w:r>
      <w:proofErr w:type="spellStart"/>
      <w:r w:rsidR="00CD5FB4">
        <w:rPr>
          <w:rFonts w:ascii="Arabic Typesetting" w:hAnsi="Arabic Typesetting" w:cs="Arabic Typesetting" w:hint="cs"/>
          <w:sz w:val="34"/>
          <w:szCs w:val="34"/>
          <w:rtl/>
          <w:lang w:bidi="ar-EG"/>
        </w:rPr>
        <w:t>تتكبدها</w:t>
      </w:r>
      <w:proofErr w:type="spellEnd"/>
      <w:r w:rsidR="00CD5FB4">
        <w:rPr>
          <w:rFonts w:ascii="Arabic Typesetting" w:hAnsi="Arabic Typesetting" w:cs="Arabic Typesetting" w:hint="cs"/>
          <w:sz w:val="34"/>
          <w:szCs w:val="34"/>
          <w:rtl/>
          <w:lang w:bidi="ar-EG"/>
        </w:rPr>
        <w:t xml:space="preserve"> المنظمة.</w:t>
      </w:r>
    </w:p>
    <w:p w:rsidR="00B31868" w:rsidRDefault="00B3186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 xml:space="preserve">وفيما يتعلق بمعاهدة البراءات، </w:t>
      </w:r>
      <w:r w:rsidRPr="00B31868">
        <w:rPr>
          <w:rFonts w:ascii="Arabic Typesetting" w:hAnsi="Arabic Typesetting" w:cs="Arabic Typesetting" w:hint="cs"/>
          <w:sz w:val="34"/>
          <w:szCs w:val="34"/>
          <w:rtl/>
          <w:lang w:bidi="ar-EG"/>
        </w:rPr>
        <w:t xml:space="preserve">عُينت إدارتان </w:t>
      </w:r>
      <w:r w:rsidRPr="00B31868">
        <w:rPr>
          <w:rFonts w:ascii="Arabic Typesetting" w:hAnsi="Arabic Typesetting" w:cs="Arabic Typesetting"/>
          <w:sz w:val="34"/>
          <w:szCs w:val="34"/>
          <w:rtl/>
          <w:lang w:bidi="ar-EG"/>
        </w:rPr>
        <w:t>جديد</w:t>
      </w:r>
      <w:r w:rsidRPr="00B31868">
        <w:rPr>
          <w:rFonts w:ascii="Arabic Typesetting" w:hAnsi="Arabic Typesetting" w:cs="Arabic Typesetting" w:hint="cs"/>
          <w:sz w:val="34"/>
          <w:szCs w:val="34"/>
          <w:rtl/>
          <w:lang w:bidi="ar-EG"/>
        </w:rPr>
        <w:t>تان</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لل</w:t>
      </w:r>
      <w:r w:rsidRPr="00B31868">
        <w:rPr>
          <w:rFonts w:ascii="Arabic Typesetting" w:hAnsi="Arabic Typesetting" w:cs="Arabic Typesetting"/>
          <w:sz w:val="34"/>
          <w:szCs w:val="34"/>
          <w:rtl/>
          <w:lang w:bidi="ar-EG"/>
        </w:rPr>
        <w:t>بحث الدولي</w:t>
      </w:r>
      <w:r w:rsidRPr="00B31868">
        <w:rPr>
          <w:rFonts w:ascii="Arabic Typesetting" w:hAnsi="Arabic Typesetting" w:cs="Arabic Typesetting" w:hint="cs"/>
          <w:sz w:val="34"/>
          <w:szCs w:val="34"/>
          <w:rtl/>
          <w:lang w:bidi="ar-EG"/>
        </w:rPr>
        <w:t xml:space="preserve"> </w:t>
      </w:r>
      <w:r w:rsidRPr="00B31868">
        <w:rPr>
          <w:rFonts w:ascii="Arabic Typesetting" w:hAnsi="Arabic Typesetting" w:cs="Arabic Typesetting"/>
          <w:sz w:val="34"/>
          <w:szCs w:val="34"/>
          <w:rtl/>
          <w:lang w:bidi="ar-EG"/>
        </w:rPr>
        <w:t>في 2014</w:t>
      </w:r>
      <w:r w:rsidR="00CD5FB4">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ما</w:t>
      </w:r>
      <w:r w:rsidRPr="00B31868">
        <w:rPr>
          <w:rFonts w:ascii="Arabic Typesetting" w:hAnsi="Arabic Typesetting" w:cs="Arabic Typesetting"/>
          <w:sz w:val="34"/>
          <w:szCs w:val="34"/>
          <w:rtl/>
          <w:lang w:bidi="ar-EG"/>
        </w:rPr>
        <w:t xml:space="preserve"> تتطلب </w:t>
      </w:r>
      <w:r w:rsidRPr="00B31868">
        <w:rPr>
          <w:rFonts w:ascii="Arabic Typesetting" w:hAnsi="Arabic Typesetting" w:cs="Arabic Typesetting" w:hint="cs"/>
          <w:sz w:val="34"/>
          <w:szCs w:val="34"/>
          <w:rtl/>
          <w:lang w:bidi="ar-EG"/>
        </w:rPr>
        <w:t xml:space="preserve">طرق دفع </w:t>
      </w:r>
      <w:r w:rsidRPr="00B31868">
        <w:rPr>
          <w:rFonts w:ascii="Arabic Typesetting" w:hAnsi="Arabic Typesetting" w:cs="Arabic Typesetting"/>
          <w:sz w:val="34"/>
          <w:szCs w:val="34"/>
          <w:rtl/>
          <w:lang w:bidi="ar-EG"/>
        </w:rPr>
        <w:t>جديدة وتغييرات في النظام</w:t>
      </w:r>
      <w:r w:rsidRPr="00B31868">
        <w:rPr>
          <w:rFonts w:ascii="Arabic Typesetting" w:hAnsi="Arabic Typesetting" w:cs="Arabic Typesetting"/>
          <w:sz w:val="34"/>
          <w:szCs w:val="34"/>
          <w:lang w:bidi="ar-EG"/>
        </w:rPr>
        <w:t>.</w:t>
      </w:r>
      <w:r w:rsidR="00CD5FB4">
        <w:rPr>
          <w:rFonts w:ascii="Arabic Typesetting" w:hAnsi="Arabic Typesetting" w:cs="Arabic Typesetting" w:hint="cs"/>
          <w:sz w:val="34"/>
          <w:szCs w:val="34"/>
          <w:rtl/>
          <w:lang w:bidi="ar-EG"/>
        </w:rPr>
        <w:t xml:space="preserve"> وانضم أعضاء جدد إلى نظامي مدريد ولاهاي (8 إجمالاً) ما انطوى على تكييف النظامين في حين بدأ توزيع الطلبات على مكاتب أخرى عقب انضمام </w:t>
      </w:r>
      <w:proofErr w:type="spellStart"/>
      <w:r w:rsidR="00CD5FB4">
        <w:rPr>
          <w:rFonts w:ascii="Arabic Typesetting" w:hAnsi="Arabic Typesetting" w:cs="Arabic Typesetting" w:hint="cs"/>
          <w:sz w:val="34"/>
          <w:szCs w:val="34"/>
          <w:rtl/>
          <w:lang w:bidi="ar-EG"/>
        </w:rPr>
        <w:t>البنلوكس</w:t>
      </w:r>
      <w:proofErr w:type="spellEnd"/>
      <w:r w:rsidR="00CD5FB4">
        <w:rPr>
          <w:rFonts w:ascii="Arabic Typesetting" w:hAnsi="Arabic Typesetting" w:cs="Arabic Typesetting" w:hint="cs"/>
          <w:sz w:val="34"/>
          <w:szCs w:val="34"/>
          <w:rtl/>
          <w:lang w:bidi="ar-EG"/>
        </w:rPr>
        <w:t xml:space="preserve"> وأستراليا إلى خدمة مدريد للإيداع الإلكتروني.</w:t>
      </w:r>
    </w:p>
    <w:p w:rsidR="00B31868" w:rsidRPr="00A214AF" w:rsidRDefault="00B31868" w:rsidP="009A3712">
      <w:pPr>
        <w:numPr>
          <w:ilvl w:val="0"/>
          <w:numId w:val="20"/>
        </w:numPr>
        <w:autoSpaceDE w:val="0"/>
        <w:autoSpaceDN w:val="0"/>
        <w:bidi/>
        <w:adjustRightInd w:val="0"/>
        <w:spacing w:after="120" w:line="340" w:lineRule="exact"/>
        <w:ind w:left="-1" w:firstLine="1"/>
        <w:jc w:val="both"/>
        <w:rPr>
          <w:rFonts w:ascii="Arabic Typesetting" w:hAnsi="Arabic Typesetting" w:cs="Arabic Typesetting"/>
          <w:sz w:val="34"/>
          <w:szCs w:val="34"/>
          <w:rtl/>
        </w:rPr>
      </w:pPr>
      <w:r w:rsidRPr="00CD5FB4">
        <w:rPr>
          <w:rFonts w:ascii="Arabic Typesetting" w:hAnsi="Arabic Typesetting" w:cs="Arabic Typesetting"/>
          <w:sz w:val="34"/>
          <w:szCs w:val="34"/>
          <w:rtl/>
          <w:lang w:bidi="ar-EG"/>
        </w:rPr>
        <w:t xml:space="preserve">وبموجب مذكرة </w:t>
      </w:r>
      <w:r w:rsidRPr="00CD5FB4">
        <w:rPr>
          <w:rFonts w:ascii="Arabic Typesetting" w:hAnsi="Arabic Typesetting" w:cs="Arabic Typesetting" w:hint="cs"/>
          <w:sz w:val="34"/>
          <w:szCs w:val="34"/>
          <w:rtl/>
          <w:lang w:bidi="ar-EG"/>
        </w:rPr>
        <w:t>ال</w:t>
      </w:r>
      <w:r w:rsidRPr="00CD5FB4">
        <w:rPr>
          <w:rFonts w:ascii="Arabic Typesetting" w:hAnsi="Arabic Typesetting" w:cs="Arabic Typesetting"/>
          <w:sz w:val="34"/>
          <w:szCs w:val="34"/>
          <w:rtl/>
          <w:lang w:bidi="ar-EG"/>
        </w:rPr>
        <w:t>تفاهم مع مكتب الولايات المتحدة ال</w:t>
      </w:r>
      <w:r w:rsidR="00CD5FB4">
        <w:rPr>
          <w:rFonts w:ascii="Arabic Typesetting" w:hAnsi="Arabic Typesetting" w:cs="Arabic Typesetting" w:hint="cs"/>
          <w:sz w:val="34"/>
          <w:szCs w:val="34"/>
          <w:rtl/>
          <w:lang w:bidi="ar-EG"/>
        </w:rPr>
        <w:t>أ</w:t>
      </w:r>
      <w:r w:rsidRPr="00CD5FB4">
        <w:rPr>
          <w:rFonts w:ascii="Arabic Typesetting" w:hAnsi="Arabic Typesetting" w:cs="Arabic Typesetting"/>
          <w:sz w:val="34"/>
          <w:szCs w:val="34"/>
          <w:rtl/>
          <w:lang w:bidi="ar-EG"/>
        </w:rPr>
        <w:t>مريكية</w:t>
      </w:r>
      <w:r w:rsidRPr="00CD5FB4">
        <w:rPr>
          <w:rFonts w:ascii="Arabic Typesetting" w:hAnsi="Arabic Typesetting" w:cs="Arabic Typesetting" w:hint="cs"/>
          <w:sz w:val="34"/>
          <w:szCs w:val="34"/>
          <w:rtl/>
          <w:lang w:bidi="ar-EG"/>
        </w:rPr>
        <w:t xml:space="preserve"> للبراءات والعلامات التجارية والمكتب الأوروبي للبراءات والمكتب الدولي، أُطلق بنجاح ال</w:t>
      </w:r>
      <w:r w:rsidRPr="00CD5FB4">
        <w:rPr>
          <w:rFonts w:ascii="Arabic Typesetting" w:hAnsi="Arabic Typesetting" w:cs="Arabic Typesetting"/>
          <w:sz w:val="34"/>
          <w:szCs w:val="34"/>
          <w:rtl/>
          <w:lang w:bidi="ar-EG"/>
        </w:rPr>
        <w:t xml:space="preserve">مشروع </w:t>
      </w:r>
      <w:r w:rsidRPr="00CD5FB4">
        <w:rPr>
          <w:rFonts w:ascii="Arabic Typesetting" w:hAnsi="Arabic Typesetting" w:cs="Arabic Typesetting" w:hint="cs"/>
          <w:sz w:val="34"/>
          <w:szCs w:val="34"/>
          <w:rtl/>
          <w:lang w:bidi="ar-EG"/>
        </w:rPr>
        <w:t>ال</w:t>
      </w:r>
      <w:r w:rsidRPr="00CD5FB4">
        <w:rPr>
          <w:rFonts w:ascii="Arabic Typesetting" w:hAnsi="Arabic Typesetting" w:cs="Arabic Typesetting"/>
          <w:sz w:val="34"/>
          <w:szCs w:val="34"/>
          <w:rtl/>
          <w:lang w:bidi="ar-EG"/>
        </w:rPr>
        <w:t>تجريبي لتحديد</w:t>
      </w:r>
      <w:r w:rsidRPr="00CD5FB4">
        <w:rPr>
          <w:rFonts w:ascii="Arabic Typesetting" w:hAnsi="Arabic Typesetting" w:cs="Arabic Typesetting" w:hint="cs"/>
          <w:sz w:val="34"/>
          <w:szCs w:val="34"/>
          <w:rtl/>
          <w:lang w:bidi="ar-EG"/>
        </w:rPr>
        <w:t xml:space="preserve"> </w:t>
      </w:r>
      <w:r w:rsidR="00CD5FB4">
        <w:rPr>
          <w:rFonts w:ascii="Arabic Typesetting" w:hAnsi="Arabic Typesetting" w:cs="Arabic Typesetting" w:hint="cs"/>
          <w:sz w:val="34"/>
          <w:szCs w:val="34"/>
          <w:rtl/>
          <w:lang w:bidi="ar-EG"/>
        </w:rPr>
        <w:t>إمكانية</w:t>
      </w:r>
      <w:r w:rsidRPr="00CD5FB4">
        <w:rPr>
          <w:rFonts w:ascii="Arabic Typesetting" w:hAnsi="Arabic Typesetting" w:cs="Arabic Typesetting" w:hint="cs"/>
          <w:sz w:val="34"/>
          <w:szCs w:val="34"/>
          <w:rtl/>
          <w:lang w:bidi="ar-EG"/>
        </w:rPr>
        <w:t xml:space="preserve"> تحسين</w:t>
      </w:r>
      <w:r w:rsidRPr="00CD5FB4">
        <w:rPr>
          <w:rFonts w:ascii="Arabic Typesetting" w:hAnsi="Arabic Typesetting" w:cs="Arabic Typesetting"/>
          <w:sz w:val="34"/>
          <w:szCs w:val="34"/>
          <w:rtl/>
          <w:lang w:bidi="ar-EG"/>
        </w:rPr>
        <w:t xml:space="preserve"> إدارة مخاطر الصرف الأجنبي </w:t>
      </w:r>
      <w:r w:rsidRPr="00CD5FB4">
        <w:rPr>
          <w:rFonts w:ascii="Arabic Typesetting" w:hAnsi="Arabic Typesetting" w:cs="Arabic Typesetting" w:hint="cs"/>
          <w:sz w:val="34"/>
          <w:szCs w:val="34"/>
          <w:rtl/>
          <w:lang w:bidi="ar-EG"/>
        </w:rPr>
        <w:t>المرتبطة</w:t>
      </w:r>
      <w:r w:rsidRPr="00CD5FB4">
        <w:rPr>
          <w:rFonts w:ascii="Arabic Typesetting" w:hAnsi="Arabic Typesetting" w:cs="Arabic Typesetting"/>
          <w:sz w:val="34"/>
          <w:szCs w:val="34"/>
          <w:rtl/>
          <w:lang w:bidi="ar-EG"/>
        </w:rPr>
        <w:t xml:space="preserve"> </w:t>
      </w:r>
      <w:r w:rsidRPr="00CD5FB4">
        <w:rPr>
          <w:rFonts w:ascii="Arabic Typesetting" w:hAnsi="Arabic Typesetting" w:cs="Arabic Typesetting" w:hint="cs"/>
          <w:sz w:val="34"/>
          <w:szCs w:val="34"/>
          <w:rtl/>
          <w:lang w:bidi="ar-EG"/>
        </w:rPr>
        <w:t>ب</w:t>
      </w:r>
      <w:r w:rsidRPr="00CD5FB4">
        <w:rPr>
          <w:rFonts w:ascii="Arabic Typesetting" w:hAnsi="Arabic Typesetting" w:cs="Arabic Typesetting"/>
          <w:sz w:val="34"/>
          <w:szCs w:val="34"/>
          <w:rtl/>
          <w:lang w:bidi="ar-EG"/>
        </w:rPr>
        <w:t>دفع رسوم البحث</w:t>
      </w:r>
      <w:r w:rsidRPr="00CD5FB4">
        <w:rPr>
          <w:rFonts w:ascii="Arabic Typesetting" w:hAnsi="Arabic Typesetting" w:cs="Arabic Typesetting" w:hint="cs"/>
          <w:sz w:val="34"/>
          <w:szCs w:val="34"/>
          <w:rtl/>
          <w:lang w:bidi="ar-EG"/>
        </w:rPr>
        <w:t xml:space="preserve"> </w:t>
      </w:r>
      <w:r w:rsidRPr="00CD5FB4">
        <w:rPr>
          <w:rFonts w:ascii="Arabic Typesetting" w:hAnsi="Arabic Typesetting" w:cs="Arabic Typesetting"/>
          <w:sz w:val="34"/>
          <w:szCs w:val="34"/>
          <w:rtl/>
          <w:lang w:bidi="ar-EG"/>
        </w:rPr>
        <w:t>و</w:t>
      </w:r>
      <w:r w:rsidRPr="00CD5FB4">
        <w:rPr>
          <w:rFonts w:ascii="Arabic Typesetting" w:hAnsi="Arabic Typesetting" w:cs="Arabic Typesetting" w:hint="cs"/>
          <w:sz w:val="34"/>
          <w:szCs w:val="34"/>
          <w:rtl/>
          <w:lang w:bidi="ar-EG"/>
        </w:rPr>
        <w:t xml:space="preserve">مُدد مؤخرا </w:t>
      </w:r>
      <w:r w:rsidR="00CD5FB4">
        <w:rPr>
          <w:rFonts w:ascii="Arabic Typesetting" w:hAnsi="Arabic Typesetting" w:cs="Arabic Typesetting" w:hint="cs"/>
          <w:sz w:val="34"/>
          <w:szCs w:val="34"/>
          <w:rtl/>
          <w:lang w:bidi="ar-EG"/>
        </w:rPr>
        <w:t>لسنتين إضافيتين</w:t>
      </w:r>
      <w:r w:rsidRPr="00CD5FB4">
        <w:rPr>
          <w:rFonts w:ascii="Arabic Typesetting" w:hAnsi="Arabic Typesetting" w:cs="Arabic Typesetting"/>
          <w:sz w:val="34"/>
          <w:szCs w:val="34"/>
          <w:rtl/>
          <w:lang w:bidi="ar-EG"/>
        </w:rPr>
        <w:t xml:space="preserve">. ومن المقرر إجراء تقييم للمشروع في </w:t>
      </w:r>
      <w:r w:rsidR="00CD5FB4">
        <w:rPr>
          <w:rFonts w:ascii="Arabic Typesetting" w:hAnsi="Arabic Typesetting" w:cs="Arabic Typesetting" w:hint="cs"/>
          <w:sz w:val="34"/>
          <w:szCs w:val="34"/>
          <w:rtl/>
          <w:lang w:bidi="ar-EG"/>
        </w:rPr>
        <w:t>عام 2015 في إطار تحليل اقتراح المقاصة وهو إحدى التوصيات المنبثقة عن دراسة الخزانة</w:t>
      </w:r>
      <w:r w:rsidRPr="00CD5FB4">
        <w:rPr>
          <w:rFonts w:ascii="Arabic Typesetting" w:hAnsi="Arabic Typesetting" w:cs="Arabic Typesetting"/>
          <w:sz w:val="34"/>
          <w:szCs w:val="34"/>
          <w:rtl/>
          <w:lang w:bidi="ar-EG"/>
        </w:rPr>
        <w:t>.</w:t>
      </w:r>
    </w:p>
    <w:p w:rsidR="00B31868" w:rsidRPr="00E439F5" w:rsidRDefault="00B31868" w:rsidP="00B32938">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hint="cs"/>
          <w:sz w:val="34"/>
          <w:szCs w:val="34"/>
          <w:rtl/>
          <w:lang w:val="fr-CH"/>
        </w:rPr>
        <w:lastRenderedPageBreak/>
        <w:t>بيانات الأداء</w:t>
      </w:r>
    </w:p>
    <w:tbl>
      <w:tblPr>
        <w:bidiVisual/>
        <w:tblW w:w="5000" w:type="pct"/>
        <w:tblInd w:w="10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065"/>
        <w:gridCol w:w="1832"/>
        <w:gridCol w:w="1943"/>
        <w:gridCol w:w="2866"/>
        <w:gridCol w:w="865"/>
      </w:tblGrid>
      <w:tr w:rsidR="00B31868" w:rsidRPr="00211D55" w:rsidTr="00CD5FB4">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t>النتيجة المرتقبة:</w:t>
            </w:r>
            <w:r w:rsidRPr="00211D55">
              <w:rPr>
                <w:rFonts w:ascii="Arabic Typesetting" w:eastAsia="Arial" w:hAnsi="Arabic Typesetting" w:cs="Arabic Typesetting"/>
                <w:b/>
                <w:bCs/>
                <w:sz w:val="28"/>
                <w:szCs w:val="28"/>
                <w:rtl/>
                <w:lang w:bidi="ar-EG"/>
              </w:rPr>
              <w:tab/>
            </w:r>
            <w:r w:rsidRPr="00285760">
              <w:rPr>
                <w:rFonts w:ascii="Arabic Typesetting" w:hAnsi="Arabic Typesetting" w:cs="Arabic Typesetting"/>
                <w:sz w:val="28"/>
                <w:szCs w:val="28"/>
                <w:rtl/>
                <w:lang w:bidi="ar-EG"/>
              </w:rPr>
              <w:t>ه1</w:t>
            </w:r>
            <w:r w:rsidRPr="00211D55">
              <w:rPr>
                <w:rFonts w:ascii="Arabic Typesetting" w:eastAsia="Arial" w:hAnsi="Arabic Typesetting" w:cs="Arabic Typesetting"/>
                <w:sz w:val="28"/>
                <w:szCs w:val="28"/>
                <w:rtl/>
                <w:lang w:bidi="ar-EG"/>
              </w:rPr>
              <w:t xml:space="preserve">.9 </w:t>
            </w:r>
            <w:r w:rsidR="003F15BC">
              <w:rPr>
                <w:rFonts w:ascii="Arabic Typesetting" w:eastAsia="Arial" w:hAnsi="Arabic Typesetting" w:cs="Arabic Typesetting"/>
                <w:sz w:val="28"/>
                <w:szCs w:val="28"/>
                <w:rtl/>
                <w:lang w:bidi="ar-EG"/>
              </w:rPr>
              <w:t>خدمات دعم فعالة وناجعة وذات جودة موجهة نحو الزبائن لفائدة الزبائن الداخليين وأصحاب المصالح الخارجيين</w:t>
            </w:r>
          </w:p>
        </w:tc>
      </w:tr>
      <w:tr w:rsidR="00B31868" w:rsidRPr="00211D55" w:rsidTr="00AF196E">
        <w:trPr>
          <w:cantSplit/>
        </w:trPr>
        <w:tc>
          <w:tcPr>
            <w:tcW w:w="1079"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
                <w:bCs/>
                <w:sz w:val="28"/>
                <w:szCs w:val="28"/>
                <w:rtl/>
                <w:lang w:bidi="ar-EG"/>
              </w:rPr>
              <w:t>مؤشرات الأداء</w:t>
            </w:r>
          </w:p>
        </w:tc>
        <w:tc>
          <w:tcPr>
            <w:tcW w:w="957"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t>أسس المقارنة</w:t>
            </w:r>
          </w:p>
        </w:tc>
        <w:tc>
          <w:tcPr>
            <w:tcW w:w="1015" w:type="pct"/>
            <w:tcBorders>
              <w:top w:val="single" w:sz="4" w:space="0" w:color="auto"/>
            </w:tcBorders>
            <w:tcMar>
              <w:top w:w="110" w:type="dxa"/>
              <w:left w:w="108" w:type="dxa"/>
              <w:bottom w:w="0" w:type="dxa"/>
              <w:right w:w="108" w:type="dxa"/>
            </w:tcMar>
            <w:vAlign w:val="center"/>
          </w:tcPr>
          <w:p w:rsidR="00B31868" w:rsidRPr="00211D55" w:rsidRDefault="00B31868" w:rsidP="00086C3F">
            <w:pPr>
              <w:keepNext/>
              <w:bidi/>
              <w:spacing w:before="60" w:after="60" w:line="280" w:lineRule="exact"/>
              <w:rPr>
                <w:rFonts w:ascii="Arabic Typesetting" w:hAnsi="Arabic Typesetting" w:cs="Arabic Typesetting"/>
                <w:b/>
                <w:sz w:val="28"/>
                <w:szCs w:val="28"/>
                <w:lang w:bidi="ar-EG"/>
              </w:rPr>
            </w:pPr>
            <w:r w:rsidRPr="00211D55">
              <w:rPr>
                <w:rFonts w:ascii="Arabic Typesetting" w:eastAsia="Arial" w:hAnsi="Arabic Typesetting" w:cs="Arabic Typesetting"/>
                <w:b/>
                <w:bCs/>
                <w:sz w:val="28"/>
                <w:szCs w:val="28"/>
                <w:rtl/>
                <w:lang w:bidi="ar-EG"/>
              </w:rPr>
              <w:t>الأهداف</w:t>
            </w:r>
          </w:p>
        </w:tc>
        <w:tc>
          <w:tcPr>
            <w:tcW w:w="1497" w:type="pct"/>
            <w:tcBorders>
              <w:top w:val="single" w:sz="4" w:space="0" w:color="auto"/>
            </w:tcBorders>
            <w:shd w:val="clear" w:color="auto" w:fill="FFFFFF"/>
            <w:tcMar>
              <w:top w:w="110" w:type="dxa"/>
              <w:left w:w="108" w:type="dxa"/>
              <w:bottom w:w="0" w:type="dxa"/>
              <w:right w:w="108"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452" w:type="pct"/>
            <w:tcBorders>
              <w:top w:val="single" w:sz="4" w:space="0" w:color="auto"/>
            </w:tcBorders>
            <w:shd w:val="clear" w:color="auto" w:fill="auto"/>
            <w:tcMar>
              <w:top w:w="110" w:type="dxa"/>
              <w:left w:w="108" w:type="dxa"/>
              <w:bottom w:w="0" w:type="dxa"/>
              <w:right w:w="108" w:type="dxa"/>
            </w:tcMar>
            <w:vAlign w:val="center"/>
          </w:tcPr>
          <w:p w:rsidR="00B31868" w:rsidRPr="00211D55" w:rsidRDefault="00B31868" w:rsidP="00086C3F">
            <w:pPr>
              <w:keepNext/>
              <w:keepLines/>
              <w:bidi/>
              <w:spacing w:before="60" w:after="60" w:line="280" w:lineRule="exact"/>
              <w:jc w:val="center"/>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t>السير</w:t>
            </w:r>
          </w:p>
        </w:tc>
      </w:tr>
      <w:tr w:rsidR="00B31868" w:rsidRPr="00211D55" w:rsidTr="00AF196E">
        <w:trPr>
          <w:cantSplit/>
        </w:trPr>
        <w:tc>
          <w:tcPr>
            <w:tcW w:w="1079"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تقديم التقارير المالية والإدارية والتحليلات المطلوبة من الإدارة العليا ومديري البرامج والدول الأعضاء وفقا</w:t>
            </w:r>
            <w:r w:rsidR="00CD5FB4" w:rsidRPr="00211D55">
              <w:rPr>
                <w:rFonts w:ascii="Arabic Typesetting" w:hAnsi="Arabic Typesetting" w:cs="Arabic Typesetting"/>
                <w:sz w:val="28"/>
                <w:szCs w:val="28"/>
                <w:rtl/>
              </w:rPr>
              <w:t>ً</w:t>
            </w:r>
            <w:r w:rsidRPr="00211D55">
              <w:rPr>
                <w:rFonts w:ascii="Arabic Typesetting" w:hAnsi="Arabic Typesetting" w:cs="Arabic Typesetting"/>
                <w:sz w:val="28"/>
                <w:szCs w:val="28"/>
                <w:rtl/>
              </w:rPr>
              <w:t xml:space="preserve"> للمواعيد النهائية المتفق عليها</w:t>
            </w:r>
          </w:p>
        </w:tc>
        <w:tc>
          <w:tcPr>
            <w:tcW w:w="957" w:type="pct"/>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إكمال الإغلاق الشهري بعد نهاية الشهر بعشرة أيام (عدا يناير حيث يتحدد الإغلاق الشهري عن طريق تقدم الإغلاق السنوي)</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إتاحة تقارير ثابتة على الإنترنت بسرعة؛ تقارير رصد فصلية خلال أسبوعين من الإغلاق؛ تقارير شهرية قياسية خلال أسبوع من الإغلاق</w:t>
            </w:r>
          </w:p>
        </w:tc>
        <w:tc>
          <w:tcPr>
            <w:tcW w:w="1015" w:type="pct"/>
            <w:tcMar>
              <w:top w:w="110" w:type="dxa"/>
              <w:left w:w="108" w:type="dxa"/>
              <w:bottom w:w="0" w:type="dxa"/>
              <w:right w:w="108" w:type="dxa"/>
            </w:tcMar>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مطابقة لأسس المقارنة</w:t>
            </w:r>
          </w:p>
          <w:p w:rsidR="00B31868" w:rsidRPr="00211D55" w:rsidRDefault="00B31868" w:rsidP="00086C3F">
            <w:pPr>
              <w:bidi/>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sz w:val="28"/>
                <w:szCs w:val="28"/>
                <w:rtl/>
              </w:rPr>
              <w:t>إتاحة تقارير تفاعلية محددة العوامل عبر الإنترنت كنتيجة لعمل مشروع تخطيط الموارد المؤسسية/المعلومات التجارية في الثنائية 2014/2015؛ تقارير رصد فصلية خلال أسبوعين من الإغلاق؛ تقارير شهرية قياسية خلال أسبوع من الإغلاق</w:t>
            </w:r>
          </w:p>
        </w:tc>
        <w:tc>
          <w:tcPr>
            <w:tcW w:w="1497" w:type="pct"/>
            <w:shd w:val="clear" w:color="auto" w:fill="FFFFFF"/>
            <w:tcMar>
              <w:top w:w="110" w:type="dxa"/>
              <w:left w:w="108" w:type="dxa"/>
              <w:bottom w:w="0" w:type="dxa"/>
              <w:right w:w="108" w:type="dxa"/>
            </w:tcMar>
          </w:tcPr>
          <w:p w:rsidR="00F63958" w:rsidRPr="00211D55" w:rsidRDefault="007F7D1A"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أغلق في يوم العمل العاشر كحد أقصى على مدار 10 أشهر. ولكن يُستثنى من ذلك شهرا يناير (وفقاً لأساس المقارنة) وأكتوبر نتيجة لتحديث البرنامج.</w:t>
            </w:r>
          </w:p>
          <w:p w:rsidR="007F7D1A" w:rsidRPr="00211D55" w:rsidRDefault="00B31868" w:rsidP="00086C3F">
            <w:pPr>
              <w:bidi/>
              <w:spacing w:before="60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طُورت لوحات معلومات أولية للإدارة </w:t>
            </w:r>
            <w:proofErr w:type="spellStart"/>
            <w:r w:rsidRPr="00211D55">
              <w:rPr>
                <w:rFonts w:ascii="Arabic Typesetting" w:hAnsi="Arabic Typesetting" w:cs="Arabic Typesetting"/>
                <w:sz w:val="28"/>
                <w:szCs w:val="28"/>
                <w:rtl/>
              </w:rPr>
              <w:t>وأُتيحت</w:t>
            </w:r>
            <w:proofErr w:type="spellEnd"/>
            <w:r w:rsidRPr="00211D55">
              <w:rPr>
                <w:rFonts w:ascii="Arabic Typesetting" w:hAnsi="Arabic Typesetting" w:cs="Arabic Typesetting"/>
                <w:sz w:val="28"/>
                <w:szCs w:val="28"/>
                <w:rtl/>
              </w:rPr>
              <w:t xml:space="preserve"> للقطاعات الإدارية الرئيسية (إدارة الموارد البشرية، والمشتريات والأسفار، وتخطيط البرنامج والشؤون المالية)</w:t>
            </w:r>
            <w:r w:rsidR="007F7D1A" w:rsidRPr="00211D55">
              <w:rPr>
                <w:rFonts w:ascii="Arabic Typesetting" w:hAnsi="Arabic Typesetting" w:cs="Arabic Typesetting"/>
                <w:sz w:val="28"/>
                <w:szCs w:val="28"/>
                <w:rtl/>
              </w:rPr>
              <w:t xml:space="preserve"> في عام 2014 وأُطلقت على مستوى المنظمة في عام 2015</w:t>
            </w:r>
            <w:r w:rsidRPr="00211D55">
              <w:rPr>
                <w:rFonts w:ascii="Arabic Typesetting" w:hAnsi="Arabic Typesetting" w:cs="Arabic Typesetting"/>
                <w:sz w:val="28"/>
                <w:szCs w:val="28"/>
                <w:rtl/>
              </w:rPr>
              <w:t xml:space="preserve">. </w:t>
            </w:r>
            <w:r w:rsidR="007F7D1A" w:rsidRPr="00211D55">
              <w:rPr>
                <w:rFonts w:ascii="Arabic Typesetting" w:hAnsi="Arabic Typesetting" w:cs="Arabic Typesetting"/>
                <w:sz w:val="28"/>
                <w:szCs w:val="28"/>
                <w:rtl/>
              </w:rPr>
              <w:t>واستحدثت أيضاً لوحة لإدارة المخاطر وأطلقت في عام 2015.</w:t>
            </w:r>
          </w:p>
          <w:p w:rsidR="00B31868" w:rsidRPr="00211D55" w:rsidRDefault="00B31868" w:rsidP="00086C3F">
            <w:pPr>
              <w:bidi/>
              <w:spacing w:before="48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تقارير قياسية فصلية وشهرية خلال </w:t>
            </w:r>
            <w:r w:rsidR="007F7D1A" w:rsidRPr="00211D55">
              <w:rPr>
                <w:rFonts w:ascii="Arabic Typesetting" w:hAnsi="Arabic Typesetting" w:cs="Arabic Typesetting"/>
                <w:sz w:val="28"/>
                <w:szCs w:val="28"/>
                <w:rtl/>
              </w:rPr>
              <w:t xml:space="preserve">6 </w:t>
            </w:r>
            <w:r w:rsidRPr="00211D55">
              <w:rPr>
                <w:rFonts w:ascii="Arabic Typesetting" w:hAnsi="Arabic Typesetting" w:cs="Arabic Typesetting"/>
                <w:sz w:val="28"/>
                <w:szCs w:val="28"/>
                <w:rtl/>
              </w:rPr>
              <w:t>أيام عمل من الإغلاق</w:t>
            </w:r>
            <w:r w:rsidR="007F7D1A" w:rsidRPr="00211D55">
              <w:rPr>
                <w:rFonts w:ascii="Arabic Typesetting" w:hAnsi="Arabic Typesetting" w:cs="Arabic Typesetting"/>
                <w:sz w:val="28"/>
                <w:szCs w:val="28"/>
                <w:rtl/>
              </w:rPr>
              <w:t xml:space="preserve"> في المتوسط.</w:t>
            </w:r>
          </w:p>
          <w:p w:rsidR="00B31868" w:rsidRPr="00211D55" w:rsidRDefault="00B31868" w:rsidP="00086C3F">
            <w:pPr>
              <w:bidi/>
              <w:spacing w:before="48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تقارير رصد خلال شهر واحد من الإغلاق.</w:t>
            </w:r>
          </w:p>
        </w:tc>
        <w:tc>
          <w:tcPr>
            <w:tcW w:w="452" w:type="pct"/>
            <w:shd w:val="clear" w:color="auto" w:fill="auto"/>
            <w:tcMar>
              <w:top w:w="110" w:type="dxa"/>
              <w:left w:w="108" w:type="dxa"/>
              <w:bottom w:w="0" w:type="dxa"/>
              <w:right w:w="108" w:type="dxa"/>
            </w:tcMar>
          </w:tcPr>
          <w:p w:rsidR="00B31868" w:rsidRPr="00211D55" w:rsidRDefault="00F63958" w:rsidP="00086C3F">
            <w:pPr>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F63958" w:rsidP="00086C3F">
            <w:pPr>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7F7D1A" w:rsidRPr="00211D55" w:rsidRDefault="007F7D1A" w:rsidP="00086C3F">
            <w:pPr>
              <w:keepLines/>
              <w:bidi/>
              <w:spacing w:before="60" w:after="60" w:line="280" w:lineRule="exact"/>
              <w:jc w:val="center"/>
              <w:rPr>
                <w:rFonts w:ascii="Arabic Typesetting" w:hAnsi="Arabic Typesetting" w:cs="Arabic Typesetting"/>
                <w:b/>
                <w:bCs/>
                <w:color w:val="00B050"/>
                <w:sz w:val="28"/>
                <w:szCs w:val="28"/>
                <w:rtl/>
              </w:rPr>
            </w:pPr>
          </w:p>
          <w:p w:rsidR="007F7D1A" w:rsidRPr="00211D55" w:rsidRDefault="007F7D1A"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F63958" w:rsidP="00086C3F">
            <w:pPr>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keepLines/>
              <w:bidi/>
              <w:spacing w:before="120" w:after="60" w:line="280" w:lineRule="exact"/>
              <w:jc w:val="center"/>
              <w:rPr>
                <w:rFonts w:ascii="Arabic Typesetting" w:hAnsi="Arabic Typesetting" w:cs="Arabic Typesetting"/>
                <w:bCs/>
                <w:color w:val="808080"/>
                <w:sz w:val="28"/>
                <w:szCs w:val="28"/>
                <w:lang w:bidi="ar-EG"/>
              </w:rPr>
            </w:pPr>
            <w:r w:rsidRPr="00211D55">
              <w:rPr>
                <w:rFonts w:ascii="Arabic Typesetting" w:hAnsi="Arabic Typesetting" w:cs="Arabic Typesetting"/>
                <w:b/>
                <w:bCs/>
                <w:color w:val="FF0000"/>
                <w:sz w:val="28"/>
                <w:szCs w:val="28"/>
                <w:rtl/>
              </w:rPr>
              <w:t xml:space="preserve">غير </w:t>
            </w:r>
            <w:r w:rsidR="00F63958" w:rsidRPr="00211D55">
              <w:rPr>
                <w:rFonts w:ascii="Arabic Typesetting" w:hAnsi="Arabic Typesetting" w:cs="Arabic Typesetting"/>
                <w:b/>
                <w:bCs/>
                <w:color w:val="FF0000"/>
                <w:sz w:val="28"/>
                <w:szCs w:val="28"/>
                <w:rtl/>
              </w:rPr>
              <w:t>محقق</w:t>
            </w:r>
          </w:p>
        </w:tc>
      </w:tr>
      <w:tr w:rsidR="00B31868" w:rsidRPr="00211D55" w:rsidTr="00AF196E">
        <w:trPr>
          <w:cantSplit/>
        </w:trPr>
        <w:tc>
          <w:tcPr>
            <w:tcW w:w="1079" w:type="pct"/>
            <w:vMerge w:val="restar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الإجابة على الاستفسارات الداخلية/الخارجية الواردة وفقًا للجداول الزمنية المحددة</w:t>
            </w:r>
          </w:p>
        </w:tc>
        <w:tc>
          <w:tcPr>
            <w:tcW w:w="957" w:type="pct"/>
          </w:tcPr>
          <w:p w:rsidR="00B31868" w:rsidRPr="00211D55" w:rsidRDefault="00B31868" w:rsidP="00FC3B9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إغلاق 75% من التذاكر (تسويتها) خلال 3 أيام من </w:t>
            </w:r>
            <w:r w:rsidR="00FC3B9C">
              <w:rPr>
                <w:rFonts w:ascii="Arabic Typesetting" w:hAnsi="Arabic Typesetting" w:cs="Arabic Typesetting" w:hint="cs"/>
                <w:sz w:val="28"/>
                <w:szCs w:val="28"/>
                <w:rtl/>
              </w:rPr>
              <w:t>التسلّم</w:t>
            </w:r>
          </w:p>
        </w:tc>
        <w:tc>
          <w:tcPr>
            <w:tcW w:w="1015" w:type="pct"/>
            <w:tcMar>
              <w:top w:w="110" w:type="dxa"/>
              <w:left w:w="108" w:type="dxa"/>
              <w:bottom w:w="0" w:type="dxa"/>
              <w:right w:w="108" w:type="dxa"/>
            </w:tcMar>
          </w:tcPr>
          <w:p w:rsidR="00B31868" w:rsidRPr="00211D55" w:rsidRDefault="00B31868" w:rsidP="00086C3F">
            <w:pPr>
              <w:keepNext/>
              <w:keepLines/>
              <w:bidi/>
              <w:spacing w:before="60" w:after="60" w:line="280" w:lineRule="exact"/>
              <w:ind w:right="381"/>
              <w:rPr>
                <w:rFonts w:ascii="Arabic Typesetting" w:hAnsi="Arabic Typesetting" w:cs="Arabic Typesetting"/>
                <w:b/>
                <w:sz w:val="28"/>
                <w:szCs w:val="28"/>
              </w:rPr>
            </w:pPr>
            <w:r w:rsidRPr="00211D55">
              <w:rPr>
                <w:rFonts w:ascii="Arabic Typesetting" w:hAnsi="Arabic Typesetting" w:cs="Arabic Typesetting"/>
                <w:b/>
                <w:sz w:val="28"/>
                <w:szCs w:val="28"/>
                <w:rtl/>
              </w:rPr>
              <w:t>نفس أسس المقارنة</w:t>
            </w:r>
          </w:p>
        </w:tc>
        <w:tc>
          <w:tcPr>
            <w:tcW w:w="1497" w:type="pct"/>
            <w:shd w:val="clear" w:color="auto" w:fill="FFFFFF"/>
            <w:tcMar>
              <w:top w:w="110" w:type="dxa"/>
              <w:left w:w="108" w:type="dxa"/>
              <w:bottom w:w="0" w:type="dxa"/>
              <w:right w:w="108" w:type="dxa"/>
            </w:tcMar>
          </w:tcPr>
          <w:p w:rsidR="007F7D1A"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أغلقت في </w:t>
            </w:r>
            <w:r w:rsidR="00507DE2">
              <w:rPr>
                <w:rFonts w:ascii="Arabic Typesetting" w:hAnsi="Arabic Typesetting" w:cs="Arabic Typesetting"/>
                <w:sz w:val="28"/>
                <w:szCs w:val="28"/>
                <w:rtl/>
                <w:lang w:bidi="ar-EG"/>
              </w:rPr>
              <w:t>2014/15</w:t>
            </w:r>
            <w:r w:rsidR="007F7D1A" w:rsidRPr="00211D55">
              <w:rPr>
                <w:rFonts w:ascii="Arabic Typesetting" w:hAnsi="Arabic Typesetting" w:cs="Arabic Typesetting"/>
                <w:sz w:val="28"/>
                <w:szCs w:val="28"/>
                <w:rtl/>
                <w:lang w:bidi="ar-EG"/>
              </w:rPr>
              <w:t xml:space="preserve"> </w:t>
            </w:r>
            <w:r w:rsidRPr="00211D55">
              <w:rPr>
                <w:rFonts w:ascii="Arabic Typesetting" w:hAnsi="Arabic Typesetting" w:cs="Arabic Typesetting"/>
                <w:sz w:val="28"/>
                <w:szCs w:val="28"/>
                <w:rtl/>
                <w:lang w:bidi="ar-EG"/>
              </w:rPr>
              <w:t xml:space="preserve">ما </w:t>
            </w:r>
            <w:proofErr w:type="spellStart"/>
            <w:r w:rsidR="007F7D1A" w:rsidRPr="00211D55">
              <w:rPr>
                <w:rFonts w:ascii="Arabic Typesetting" w:hAnsi="Arabic Typesetting" w:cs="Arabic Typesetting"/>
                <w:sz w:val="28"/>
                <w:szCs w:val="28"/>
                <w:rtl/>
                <w:lang w:bidi="ar-EG"/>
              </w:rPr>
              <w:t>متوسطه</w:t>
            </w:r>
            <w:proofErr w:type="spellEnd"/>
            <w:r w:rsidR="007F7D1A" w:rsidRPr="00211D55">
              <w:rPr>
                <w:rFonts w:ascii="Arabic Typesetting" w:hAnsi="Arabic Typesetting" w:cs="Arabic Typesetting"/>
                <w:sz w:val="28"/>
                <w:szCs w:val="28"/>
                <w:rtl/>
                <w:lang w:bidi="ar-EG"/>
              </w:rPr>
              <w:t xml:space="preserve"> 84.5</w:t>
            </w:r>
            <w:r w:rsidRPr="00211D55">
              <w:rPr>
                <w:rFonts w:ascii="Arabic Typesetting" w:hAnsi="Arabic Typesetting" w:cs="Arabic Typesetting"/>
                <w:sz w:val="28"/>
                <w:szCs w:val="28"/>
                <w:rtl/>
                <w:lang w:bidi="ar-EG"/>
              </w:rPr>
              <w:t>% من التذاكر المسجلة في نظام الويبو لتبليغ الاستفسارات (</w:t>
            </w:r>
            <w:r w:rsidRPr="00211D55">
              <w:rPr>
                <w:rFonts w:ascii="Arabic Typesetting" w:hAnsi="Arabic Typesetting" w:cs="Arabic Typesetting"/>
                <w:sz w:val="28"/>
                <w:szCs w:val="28"/>
                <w:lang w:bidi="ar-EG"/>
              </w:rPr>
              <w:t>WINS</w:t>
            </w:r>
            <w:r w:rsidRPr="00211D55">
              <w:rPr>
                <w:rFonts w:ascii="Arabic Typesetting" w:hAnsi="Arabic Typesetting" w:cs="Arabic Typesetting"/>
                <w:sz w:val="28"/>
                <w:szCs w:val="28"/>
                <w:rtl/>
                <w:lang w:bidi="ar-EG"/>
              </w:rPr>
              <w:t>) في غضون 3 أيام</w:t>
            </w:r>
            <w:r w:rsidR="007F7D1A" w:rsidRPr="00211D55">
              <w:rPr>
                <w:rFonts w:ascii="Arabic Typesetting" w:hAnsi="Arabic Typesetting" w:cs="Arabic Typesetting"/>
                <w:sz w:val="28"/>
                <w:szCs w:val="28"/>
                <w:rtl/>
                <w:lang w:bidi="ar-EG"/>
              </w:rPr>
              <w:t>:</w:t>
            </w:r>
          </w:p>
          <w:p w:rsidR="007F7D1A" w:rsidRPr="00211D55" w:rsidRDefault="007A7336" w:rsidP="007A7336">
            <w:pPr>
              <w:bidi/>
              <w:spacing w:before="60" w:after="60" w:line="280" w:lineRule="exact"/>
              <w:ind w:left="284" w:hanging="284"/>
              <w:rPr>
                <w:rFonts w:ascii="Arabic Typesetting" w:hAnsi="Arabic Typesetting" w:cs="Arabic Typesetting"/>
                <w:sz w:val="28"/>
                <w:szCs w:val="28"/>
              </w:rPr>
            </w:pPr>
            <w:r>
              <w:rPr>
                <w:rFonts w:ascii="Arabic Typesetting" w:hAnsi="Arabic Typesetting" w:cs="Arabic Typesetting" w:hint="cs"/>
                <w:sz w:val="28"/>
                <w:szCs w:val="28"/>
                <w:rtl/>
              </w:rPr>
              <w:t>-</w:t>
            </w:r>
            <w:r>
              <w:rPr>
                <w:rFonts w:ascii="Arabic Typesetting" w:hAnsi="Arabic Typesetting" w:cs="Arabic Typesetting"/>
                <w:sz w:val="28"/>
                <w:szCs w:val="28"/>
                <w:rtl/>
              </w:rPr>
              <w:tab/>
            </w:r>
            <w:r w:rsidR="007F7D1A" w:rsidRPr="00211D55">
              <w:rPr>
                <w:rFonts w:ascii="Arabic Typesetting" w:hAnsi="Arabic Typesetting" w:cs="Arabic Typesetting"/>
                <w:sz w:val="28"/>
                <w:szCs w:val="28"/>
                <w:rtl/>
              </w:rPr>
              <w:t>في عام 2014، 86% في غضون 3 أيام منها 71% في يوم فتحها و6% في غضون يومين و9% في غضون 3 أيام.</w:t>
            </w:r>
          </w:p>
          <w:p w:rsidR="00B31868" w:rsidRPr="00211D55" w:rsidRDefault="007A7336" w:rsidP="007A7336">
            <w:pPr>
              <w:bidi/>
              <w:spacing w:before="60" w:after="60" w:line="280" w:lineRule="exact"/>
              <w:ind w:left="284" w:hanging="284"/>
              <w:rPr>
                <w:rFonts w:ascii="Arabic Typesetting" w:hAnsi="Arabic Typesetting" w:cs="Arabic Typesetting"/>
                <w:sz w:val="28"/>
                <w:szCs w:val="28"/>
                <w:lang w:bidi="ar-EG"/>
              </w:rPr>
            </w:pPr>
            <w:r>
              <w:rPr>
                <w:rFonts w:ascii="Arabic Typesetting" w:hAnsi="Arabic Typesetting" w:cs="Arabic Typesetting" w:hint="cs"/>
                <w:sz w:val="28"/>
                <w:szCs w:val="28"/>
                <w:rtl/>
              </w:rPr>
              <w:t>-</w:t>
            </w:r>
            <w:r>
              <w:rPr>
                <w:rFonts w:ascii="Arabic Typesetting" w:hAnsi="Arabic Typesetting" w:cs="Arabic Typesetting"/>
                <w:sz w:val="28"/>
                <w:szCs w:val="28"/>
                <w:rtl/>
              </w:rPr>
              <w:tab/>
            </w:r>
            <w:r w:rsidR="007F7D1A" w:rsidRPr="00211D55">
              <w:rPr>
                <w:rFonts w:ascii="Arabic Typesetting" w:hAnsi="Arabic Typesetting" w:cs="Arabic Typesetting"/>
                <w:sz w:val="28"/>
                <w:szCs w:val="28"/>
                <w:rtl/>
              </w:rPr>
              <w:t>في عام 2015، 85% في غضون 3 أيام منها 67% في يوم فتحها و12% في غضون يومين و6% في غضون 3 أيام.</w:t>
            </w:r>
          </w:p>
        </w:tc>
        <w:tc>
          <w:tcPr>
            <w:tcW w:w="452" w:type="pct"/>
            <w:shd w:val="clear" w:color="auto" w:fill="auto"/>
            <w:tcMar>
              <w:top w:w="110" w:type="dxa"/>
              <w:left w:w="108" w:type="dxa"/>
              <w:bottom w:w="0" w:type="dxa"/>
              <w:right w:w="108" w:type="dxa"/>
            </w:tcMar>
          </w:tcPr>
          <w:p w:rsidR="00B31868" w:rsidRPr="00211D55" w:rsidRDefault="00F63958" w:rsidP="00086C3F">
            <w:pPr>
              <w:keepLines/>
              <w:bidi/>
              <w:spacing w:before="60" w:after="60" w:line="280" w:lineRule="exact"/>
              <w:jc w:val="center"/>
              <w:rPr>
                <w:rFonts w:ascii="Arabic Typesetting" w:hAnsi="Arabic Typesetting" w:cs="Arabic Typesetting"/>
                <w:bCs/>
                <w:color w:val="008000"/>
                <w:sz w:val="28"/>
                <w:szCs w:val="28"/>
                <w:lang w:bidi="ar-EG"/>
              </w:rPr>
            </w:pPr>
            <w:r w:rsidRPr="00211D55">
              <w:rPr>
                <w:rFonts w:ascii="Arabic Typesetting" w:hAnsi="Arabic Typesetting" w:cs="Arabic Typesetting"/>
                <w:b/>
                <w:bCs/>
                <w:color w:val="00B050"/>
                <w:sz w:val="28"/>
                <w:szCs w:val="28"/>
                <w:rtl/>
              </w:rPr>
              <w:t>محقق كلياً</w:t>
            </w:r>
          </w:p>
        </w:tc>
      </w:tr>
      <w:tr w:rsidR="00B31868" w:rsidRPr="00211D55" w:rsidTr="00AF196E">
        <w:trPr>
          <w:cantSplit/>
        </w:trPr>
        <w:tc>
          <w:tcPr>
            <w:tcW w:w="1079" w:type="pct"/>
            <w:vMerge/>
          </w:tcPr>
          <w:p w:rsidR="00B31868" w:rsidRPr="00211D55" w:rsidRDefault="00B31868" w:rsidP="00086C3F">
            <w:pPr>
              <w:bidi/>
              <w:spacing w:before="60" w:after="60" w:line="280" w:lineRule="exact"/>
              <w:rPr>
                <w:rFonts w:ascii="Arabic Typesetting" w:hAnsi="Arabic Typesetting" w:cs="Arabic Typesetting"/>
                <w:sz w:val="28"/>
                <w:szCs w:val="28"/>
                <w:lang w:bidi="th-TH"/>
              </w:rPr>
            </w:pPr>
          </w:p>
        </w:tc>
        <w:tc>
          <w:tcPr>
            <w:tcW w:w="957"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إسداء المشورة و/أو الرد على ملفات الميزانية واستفساراتها خلال 72 ساعة</w:t>
            </w:r>
          </w:p>
        </w:tc>
        <w:tc>
          <w:tcPr>
            <w:tcW w:w="1015" w:type="pct"/>
            <w:tcMar>
              <w:top w:w="110" w:type="dxa"/>
              <w:left w:w="108" w:type="dxa"/>
              <w:bottom w:w="0" w:type="dxa"/>
              <w:right w:w="108" w:type="dxa"/>
            </w:tcMar>
          </w:tcPr>
          <w:p w:rsidR="00B31868" w:rsidRPr="00211D55" w:rsidRDefault="00B31868" w:rsidP="00086C3F">
            <w:pPr>
              <w:keepNext/>
              <w:keepLines/>
              <w:bidi/>
              <w:spacing w:before="60" w:after="60" w:line="280" w:lineRule="exact"/>
              <w:ind w:right="51"/>
              <w:rPr>
                <w:rFonts w:ascii="Arabic Typesetting" w:hAnsi="Arabic Typesetting" w:cs="Arabic Typesetting"/>
                <w:b/>
                <w:sz w:val="28"/>
                <w:szCs w:val="28"/>
              </w:rPr>
            </w:pPr>
            <w:r w:rsidRPr="00211D55">
              <w:rPr>
                <w:rFonts w:ascii="Arabic Typesetting" w:hAnsi="Arabic Typesetting" w:cs="Arabic Typesetting"/>
                <w:b/>
                <w:sz w:val="28"/>
                <w:szCs w:val="28"/>
                <w:rtl/>
              </w:rPr>
              <w:t>إسداء المشورة و/أو الرد على ملفات الميزانية واستفساراتها خلال 48 ساعة</w:t>
            </w:r>
          </w:p>
        </w:tc>
        <w:tc>
          <w:tcPr>
            <w:tcW w:w="1497" w:type="pct"/>
            <w:shd w:val="clear" w:color="auto" w:fill="FFFFFF"/>
            <w:tcMar>
              <w:top w:w="110" w:type="dxa"/>
              <w:left w:w="108" w:type="dxa"/>
              <w:bottom w:w="0" w:type="dxa"/>
              <w:right w:w="108" w:type="dxa"/>
            </w:tcMar>
          </w:tcPr>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في </w:t>
            </w:r>
            <w:r w:rsidR="00507DE2">
              <w:rPr>
                <w:rFonts w:ascii="Arabic Typesetting" w:hAnsi="Arabic Typesetting" w:cs="Arabic Typesetting"/>
                <w:sz w:val="28"/>
                <w:szCs w:val="28"/>
                <w:rtl/>
                <w:lang w:bidi="ar-EG"/>
              </w:rPr>
              <w:t>2014/15</w:t>
            </w:r>
            <w:r w:rsidRPr="00211D55">
              <w:rPr>
                <w:rFonts w:ascii="Arabic Typesetting" w:hAnsi="Arabic Typesetting" w:cs="Arabic Typesetting"/>
                <w:sz w:val="28"/>
                <w:szCs w:val="28"/>
                <w:rtl/>
                <w:lang w:bidi="ar-EG"/>
              </w:rPr>
              <w:t xml:space="preserve">، تلقت شعبة أداء البرنامج والميزانية ما يقارب </w:t>
            </w:r>
            <w:r w:rsidR="007F7D1A" w:rsidRPr="00211D55">
              <w:rPr>
                <w:rFonts w:ascii="Arabic Typesetting" w:hAnsi="Arabic Typesetting" w:cs="Arabic Typesetting"/>
                <w:sz w:val="28"/>
                <w:szCs w:val="28"/>
                <w:rtl/>
                <w:lang w:bidi="ar-EG"/>
              </w:rPr>
              <w:t>2200</w:t>
            </w:r>
            <w:r w:rsidRPr="00211D55">
              <w:rPr>
                <w:rFonts w:ascii="Arabic Typesetting" w:hAnsi="Arabic Typesetting" w:cs="Arabic Typesetting"/>
                <w:sz w:val="28"/>
                <w:szCs w:val="28"/>
                <w:rtl/>
                <w:lang w:bidi="ar-EG"/>
              </w:rPr>
              <w:t xml:space="preserve"> ملف يتطلب تأكيدا من حيث البرامج و/أو من حيث الميزانية. وبلغ متوسط مدة الإجابة </w:t>
            </w:r>
            <w:r w:rsidR="007F7D1A" w:rsidRPr="00211D55">
              <w:rPr>
                <w:rFonts w:ascii="Arabic Typesetting" w:hAnsi="Arabic Typesetting" w:cs="Arabic Typesetting"/>
                <w:sz w:val="28"/>
                <w:szCs w:val="28"/>
                <w:rtl/>
                <w:lang w:bidi="ar-EG"/>
              </w:rPr>
              <w:t>1.9</w:t>
            </w:r>
            <w:r w:rsidRPr="00211D55">
              <w:rPr>
                <w:rFonts w:ascii="Arabic Typesetting" w:hAnsi="Arabic Typesetting" w:cs="Arabic Typesetting"/>
                <w:sz w:val="28"/>
                <w:szCs w:val="28"/>
                <w:rtl/>
                <w:lang w:bidi="ar-EG"/>
              </w:rPr>
              <w:t xml:space="preserve"> </w:t>
            </w:r>
            <w:r w:rsidR="007F7D1A" w:rsidRPr="00211D55">
              <w:rPr>
                <w:rFonts w:ascii="Arabic Typesetting" w:hAnsi="Arabic Typesetting" w:cs="Arabic Typesetting"/>
                <w:sz w:val="28"/>
                <w:szCs w:val="28"/>
                <w:rtl/>
                <w:lang w:bidi="ar-EG"/>
              </w:rPr>
              <w:t>يوم</w:t>
            </w:r>
            <w:r w:rsidRPr="00211D55">
              <w:rPr>
                <w:rFonts w:ascii="Arabic Typesetting" w:hAnsi="Arabic Typesetting" w:cs="Arabic Typesetting"/>
                <w:sz w:val="28"/>
                <w:szCs w:val="28"/>
                <w:rtl/>
                <w:lang w:bidi="ar-EG"/>
              </w:rPr>
              <w:t>.</w:t>
            </w:r>
          </w:p>
        </w:tc>
        <w:tc>
          <w:tcPr>
            <w:tcW w:w="452" w:type="pct"/>
            <w:shd w:val="clear" w:color="auto" w:fill="auto"/>
            <w:tcMar>
              <w:top w:w="110" w:type="dxa"/>
              <w:left w:w="108" w:type="dxa"/>
              <w:bottom w:w="0" w:type="dxa"/>
              <w:right w:w="108" w:type="dxa"/>
            </w:tcMar>
          </w:tcPr>
          <w:p w:rsidR="00B31868" w:rsidRPr="00211D55" w:rsidRDefault="00F63958" w:rsidP="00086C3F">
            <w:pPr>
              <w:keepLines/>
              <w:bidi/>
              <w:spacing w:before="60" w:after="60" w:line="28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CD5FB4">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lastRenderedPageBreak/>
              <w:t>النتيجة المرتقبة:</w:t>
            </w:r>
            <w:r w:rsidRPr="00211D55">
              <w:rPr>
                <w:rFonts w:ascii="Arabic Typesetting" w:eastAsia="Arial" w:hAnsi="Arabic Typesetting" w:cs="Arabic Typesetting"/>
                <w:b/>
                <w:bCs/>
                <w:sz w:val="28"/>
                <w:szCs w:val="28"/>
                <w:rtl/>
                <w:lang w:bidi="ar-EG"/>
              </w:rPr>
              <w:tab/>
            </w:r>
            <w:r w:rsidRPr="00211D55">
              <w:rPr>
                <w:rFonts w:ascii="Arabic Typesetting" w:eastAsia="Arial" w:hAnsi="Arabic Typesetting" w:cs="Arabic Typesetting"/>
                <w:sz w:val="28"/>
                <w:szCs w:val="28"/>
                <w:rtl/>
                <w:lang w:bidi="ar-EG"/>
              </w:rPr>
              <w:t xml:space="preserve">ه2.9 </w:t>
            </w:r>
            <w:r w:rsidR="003F15BC">
              <w:rPr>
                <w:rFonts w:ascii="Arabic Typesetting" w:hAnsi="Arabic Typesetting" w:cs="Arabic Typesetting"/>
                <w:sz w:val="28"/>
                <w:szCs w:val="28"/>
                <w:rtl/>
                <w:lang w:bidi="ar-EG"/>
              </w:rPr>
              <w:t>أمانة تعمل بنشاط وسلاسة بقوى عاملة حسنة الإدارة وذات مهارات مناسبة وتحقق النتائج بكفاءة</w:t>
            </w:r>
          </w:p>
        </w:tc>
      </w:tr>
      <w:tr w:rsidR="00B31868" w:rsidRPr="00211D55" w:rsidTr="00AF196E">
        <w:trPr>
          <w:cantSplit/>
        </w:trPr>
        <w:tc>
          <w:tcPr>
            <w:tcW w:w="1079"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
                <w:bCs/>
                <w:sz w:val="28"/>
                <w:szCs w:val="28"/>
                <w:rtl/>
                <w:lang w:bidi="ar-EG"/>
              </w:rPr>
              <w:t>مؤشرات الأداء</w:t>
            </w:r>
          </w:p>
        </w:tc>
        <w:tc>
          <w:tcPr>
            <w:tcW w:w="957"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t>أسس المقارنة</w:t>
            </w:r>
          </w:p>
        </w:tc>
        <w:tc>
          <w:tcPr>
            <w:tcW w:w="1015" w:type="pct"/>
            <w:tcBorders>
              <w:top w:val="single" w:sz="4" w:space="0" w:color="auto"/>
            </w:tcBorders>
            <w:tcMar>
              <w:top w:w="110" w:type="dxa"/>
              <w:left w:w="108" w:type="dxa"/>
              <w:bottom w:w="0" w:type="dxa"/>
              <w:right w:w="108" w:type="dxa"/>
            </w:tcMar>
            <w:vAlign w:val="center"/>
          </w:tcPr>
          <w:p w:rsidR="00B31868" w:rsidRPr="00211D55" w:rsidRDefault="00B31868" w:rsidP="00086C3F">
            <w:pPr>
              <w:keepNext/>
              <w:bidi/>
              <w:spacing w:before="60" w:after="60" w:line="280" w:lineRule="exact"/>
              <w:rPr>
                <w:rFonts w:ascii="Arabic Typesetting" w:hAnsi="Arabic Typesetting" w:cs="Arabic Typesetting"/>
                <w:b/>
                <w:sz w:val="28"/>
                <w:szCs w:val="28"/>
                <w:lang w:bidi="ar-EG"/>
              </w:rPr>
            </w:pPr>
            <w:r w:rsidRPr="00211D55">
              <w:rPr>
                <w:rFonts w:ascii="Arabic Typesetting" w:eastAsia="Arial" w:hAnsi="Arabic Typesetting" w:cs="Arabic Typesetting"/>
                <w:b/>
                <w:bCs/>
                <w:sz w:val="28"/>
                <w:szCs w:val="28"/>
                <w:rtl/>
                <w:lang w:bidi="ar-EG"/>
              </w:rPr>
              <w:t xml:space="preserve">الأهداف </w:t>
            </w:r>
          </w:p>
        </w:tc>
        <w:tc>
          <w:tcPr>
            <w:tcW w:w="1497" w:type="pct"/>
            <w:tcBorders>
              <w:top w:val="single" w:sz="4" w:space="0" w:color="auto"/>
            </w:tcBorders>
            <w:shd w:val="clear" w:color="auto" w:fill="FFFFFF"/>
            <w:tcMar>
              <w:top w:w="110" w:type="dxa"/>
              <w:left w:w="108" w:type="dxa"/>
              <w:bottom w:w="0" w:type="dxa"/>
              <w:right w:w="108"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452" w:type="pct"/>
            <w:tcBorders>
              <w:top w:val="single" w:sz="4" w:space="0" w:color="auto"/>
            </w:tcBorders>
            <w:shd w:val="clear" w:color="auto" w:fill="auto"/>
            <w:tcMar>
              <w:top w:w="110" w:type="dxa"/>
              <w:left w:w="108" w:type="dxa"/>
              <w:bottom w:w="0" w:type="dxa"/>
              <w:right w:w="108" w:type="dxa"/>
            </w:tcMar>
            <w:vAlign w:val="center"/>
          </w:tcPr>
          <w:p w:rsidR="00B31868" w:rsidRPr="00211D55" w:rsidRDefault="00B31868" w:rsidP="00086C3F">
            <w:pPr>
              <w:keepNext/>
              <w:keepLines/>
              <w:bidi/>
              <w:spacing w:before="60" w:after="60" w:line="280" w:lineRule="exact"/>
              <w:jc w:val="center"/>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t>السير</w:t>
            </w:r>
          </w:p>
        </w:tc>
      </w:tr>
      <w:tr w:rsidR="00B31868" w:rsidRPr="00211D55" w:rsidTr="00AF196E">
        <w:trPr>
          <w:cantSplit/>
        </w:trPr>
        <w:tc>
          <w:tcPr>
            <w:tcW w:w="1079"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يؤكد التقرير المالي المرضي الذي قدمه المراجعون الخارجيون امتثال العمليات المالية لأحكام اتفاقيات ومعاهدات الويبو السارية ونظام الويبو المالي ولائحته والمعايير المحاسبية الدولية للقطاع العام (</w:t>
            </w:r>
            <w:r w:rsidRPr="00211D55">
              <w:rPr>
                <w:rFonts w:ascii="Arabic Typesetting" w:hAnsi="Arabic Typesetting" w:cs="Arabic Typesetting"/>
                <w:sz w:val="28"/>
                <w:szCs w:val="28"/>
              </w:rPr>
              <w:t>IPSAS</w:t>
            </w:r>
            <w:r w:rsidRPr="00211D55">
              <w:rPr>
                <w:rFonts w:ascii="Arabic Typesetting" w:hAnsi="Arabic Typesetting" w:cs="Arabic Typesetting"/>
                <w:sz w:val="28"/>
                <w:szCs w:val="28"/>
                <w:rtl/>
              </w:rPr>
              <w:t>)</w:t>
            </w:r>
          </w:p>
        </w:tc>
        <w:tc>
          <w:tcPr>
            <w:tcW w:w="957"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ورد تقرير تدقيق خال من الملاحظات ل</w:t>
            </w:r>
            <w:r w:rsidR="008A6D4E" w:rsidRPr="00211D55">
              <w:rPr>
                <w:rFonts w:ascii="Arabic Typesetting" w:hAnsi="Arabic Typesetting" w:cs="Arabic Typesetting"/>
                <w:sz w:val="28"/>
                <w:szCs w:val="28"/>
                <w:rtl/>
              </w:rPr>
              <w:t>عام</w:t>
            </w:r>
            <w:r w:rsidRPr="00211D55">
              <w:rPr>
                <w:rFonts w:ascii="Arabic Typesetting" w:hAnsi="Arabic Typesetting" w:cs="Arabic Typesetting"/>
                <w:sz w:val="28"/>
                <w:szCs w:val="28"/>
                <w:rtl/>
              </w:rPr>
              <w:t xml:space="preserve"> 2012 و</w:t>
            </w:r>
            <w:r w:rsidR="008A6D4E" w:rsidRPr="00211D55">
              <w:rPr>
                <w:rFonts w:ascii="Arabic Typesetting" w:hAnsi="Arabic Typesetting" w:cs="Arabic Typesetting"/>
                <w:sz w:val="28"/>
                <w:szCs w:val="28"/>
                <w:rtl/>
              </w:rPr>
              <w:t>عام</w:t>
            </w:r>
            <w:r w:rsidRPr="00211D55">
              <w:rPr>
                <w:rFonts w:ascii="Arabic Typesetting" w:hAnsi="Arabic Typesetting" w:cs="Arabic Typesetting"/>
                <w:sz w:val="28"/>
                <w:szCs w:val="28"/>
                <w:rtl/>
              </w:rPr>
              <w:t xml:space="preserve"> 2013 وتمت الإجابة على جميع توصيات التدقيق</w:t>
            </w:r>
          </w:p>
        </w:tc>
        <w:tc>
          <w:tcPr>
            <w:tcW w:w="1015" w:type="pct"/>
            <w:tcMar>
              <w:top w:w="110" w:type="dxa"/>
              <w:left w:w="108" w:type="dxa"/>
              <w:bottom w:w="0" w:type="dxa"/>
              <w:right w:w="108" w:type="dxa"/>
            </w:tcMar>
          </w:tcPr>
          <w:p w:rsidR="00B31868" w:rsidRPr="00211D55" w:rsidRDefault="00B31868" w:rsidP="00086C3F">
            <w:pPr>
              <w:keepNext/>
              <w:keepLines/>
              <w:bidi/>
              <w:spacing w:before="60" w:after="60" w:line="280" w:lineRule="exact"/>
              <w:ind w:right="161"/>
              <w:rPr>
                <w:rFonts w:ascii="Arabic Typesetting" w:hAnsi="Arabic Typesetting" w:cs="Arabic Typesetting"/>
                <w:b/>
                <w:sz w:val="28"/>
                <w:szCs w:val="28"/>
              </w:rPr>
            </w:pPr>
            <w:r w:rsidRPr="00211D55">
              <w:rPr>
                <w:rFonts w:ascii="Arabic Typesetting" w:hAnsi="Arabic Typesetting" w:cs="Arabic Typesetting"/>
                <w:b/>
                <w:sz w:val="28"/>
                <w:szCs w:val="28"/>
                <w:rtl/>
              </w:rPr>
              <w:t xml:space="preserve">تقرير تدقيق خال من الملاحظات لكل من سنتي </w:t>
            </w:r>
            <w:r w:rsidR="00411141" w:rsidRPr="00211D55">
              <w:rPr>
                <w:rFonts w:ascii="Arabic Typesetting" w:hAnsi="Arabic Typesetting" w:cs="Arabic Typesetting"/>
                <w:b/>
                <w:sz w:val="28"/>
                <w:szCs w:val="28"/>
                <w:rtl/>
              </w:rPr>
              <w:t>الثنائية</w:t>
            </w:r>
          </w:p>
        </w:tc>
        <w:tc>
          <w:tcPr>
            <w:tcW w:w="1497" w:type="pct"/>
            <w:shd w:val="clear" w:color="auto" w:fill="FFFFFF"/>
            <w:tcMar>
              <w:top w:w="110" w:type="dxa"/>
              <w:left w:w="108" w:type="dxa"/>
              <w:bottom w:w="0" w:type="dxa"/>
              <w:right w:w="108" w:type="dxa"/>
            </w:tcMar>
          </w:tcPr>
          <w:p w:rsidR="00411141" w:rsidRPr="00211D55" w:rsidRDefault="00411141"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تلقي تقرير تدقيق خال من الملاحظات عن عام 2014.</w:t>
            </w:r>
          </w:p>
          <w:p w:rsidR="00411141" w:rsidRPr="00211D55" w:rsidRDefault="00411141" w:rsidP="00086C3F">
            <w:pPr>
              <w:bidi/>
              <w:spacing w:before="12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لم تكن نتائج التدقيق الخاصة بعام 2015 متاحة في تاريخ النشر.</w:t>
            </w:r>
          </w:p>
          <w:p w:rsidR="00B31868" w:rsidRPr="00211D55" w:rsidRDefault="00411141" w:rsidP="00086C3F">
            <w:pPr>
              <w:bidi/>
              <w:spacing w:before="12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الإجابة عن جميع توصيات التدقيق الواردة في عامي 2014 و2015.</w:t>
            </w:r>
          </w:p>
        </w:tc>
        <w:tc>
          <w:tcPr>
            <w:tcW w:w="452" w:type="pct"/>
            <w:shd w:val="clear" w:color="auto" w:fill="auto"/>
            <w:tcMar>
              <w:top w:w="110" w:type="dxa"/>
              <w:left w:w="108" w:type="dxa"/>
              <w:bottom w:w="0" w:type="dxa"/>
              <w:right w:w="108" w:type="dxa"/>
            </w:tcMar>
          </w:tcPr>
          <w:p w:rsidR="00B31868" w:rsidRPr="00211D55" w:rsidRDefault="00411141" w:rsidP="00086C3F">
            <w:pPr>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411141" w:rsidRPr="00211D55" w:rsidRDefault="00411141" w:rsidP="00A679B0">
            <w:pPr>
              <w:bidi/>
              <w:spacing w:before="360" w:after="60" w:line="280" w:lineRule="exact"/>
              <w:jc w:val="center"/>
              <w:rPr>
                <w:rFonts w:ascii="Arabic Typesetting" w:hAnsi="Arabic Typesetting" w:cs="Arabic Typesetting"/>
                <w:bCs/>
                <w:color w:val="808080"/>
                <w:sz w:val="28"/>
                <w:szCs w:val="28"/>
                <w:lang w:bidi="ar-EG"/>
              </w:rPr>
            </w:pPr>
            <w:r w:rsidRPr="00211D55">
              <w:rPr>
                <w:rFonts w:ascii="Arabic Typesetting" w:hAnsi="Arabic Typesetting" w:cs="Arabic Typesetting"/>
                <w:b/>
                <w:bCs/>
                <w:color w:val="808080"/>
                <w:sz w:val="28"/>
                <w:szCs w:val="28"/>
                <w:rtl/>
              </w:rPr>
              <w:t>غير قابل للقياس</w:t>
            </w:r>
          </w:p>
        </w:tc>
      </w:tr>
      <w:tr w:rsidR="00B31868" w:rsidRPr="00211D55" w:rsidTr="00AF196E">
        <w:trPr>
          <w:cantSplit/>
        </w:trPr>
        <w:tc>
          <w:tcPr>
            <w:tcW w:w="1079"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تماشي عوائد الأموال المستثمرة مع المعايير التي حددتها اللجنة الاستشارية المعنية بالاستثمار</w:t>
            </w:r>
          </w:p>
        </w:tc>
        <w:tc>
          <w:tcPr>
            <w:tcW w:w="957"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تماشي عوائد الأموال المستثمرة مع المعايير التي حددتها اللجنة الاستشارية المعنية بالاستثمار في الثنائية </w:t>
            </w:r>
            <w:r w:rsidR="00507DE2">
              <w:rPr>
                <w:rFonts w:ascii="Arabic Typesetting" w:hAnsi="Arabic Typesetting" w:cs="Arabic Typesetting"/>
                <w:sz w:val="28"/>
                <w:szCs w:val="28"/>
                <w:rtl/>
              </w:rPr>
              <w:t>2012/13</w:t>
            </w:r>
          </w:p>
        </w:tc>
        <w:tc>
          <w:tcPr>
            <w:tcW w:w="1015" w:type="pct"/>
            <w:tcMar>
              <w:top w:w="110" w:type="dxa"/>
              <w:left w:w="108" w:type="dxa"/>
              <w:bottom w:w="0" w:type="dxa"/>
              <w:right w:w="108" w:type="dxa"/>
            </w:tcMar>
          </w:tcPr>
          <w:p w:rsidR="00B31868" w:rsidRPr="00211D55" w:rsidRDefault="00B31868" w:rsidP="00086C3F">
            <w:pPr>
              <w:keepNext/>
              <w:keepLines/>
              <w:bidi/>
              <w:spacing w:before="60" w:after="60" w:line="280" w:lineRule="exact"/>
              <w:ind w:right="161"/>
              <w:rPr>
                <w:rFonts w:ascii="Arabic Typesetting" w:hAnsi="Arabic Typesetting" w:cs="Arabic Typesetting"/>
                <w:b/>
                <w:sz w:val="28"/>
                <w:szCs w:val="28"/>
              </w:rPr>
            </w:pPr>
            <w:r w:rsidRPr="00211D55">
              <w:rPr>
                <w:rFonts w:ascii="Arabic Typesetting" w:hAnsi="Arabic Typesetting" w:cs="Arabic Typesetting"/>
                <w:b/>
                <w:sz w:val="28"/>
                <w:szCs w:val="28"/>
                <w:rtl/>
              </w:rPr>
              <w:t xml:space="preserve">تماشي عوائد الأموال المستثمرة مع المعايير التي حددتها اللجنة الاستشارية المعنية بالاستثمار في الثنائية </w:t>
            </w:r>
            <w:r w:rsidR="00507DE2">
              <w:rPr>
                <w:rFonts w:ascii="Arabic Typesetting" w:hAnsi="Arabic Typesetting" w:cs="Arabic Typesetting"/>
                <w:b/>
                <w:sz w:val="28"/>
                <w:szCs w:val="28"/>
                <w:rtl/>
              </w:rPr>
              <w:t>2014/15</w:t>
            </w:r>
          </w:p>
        </w:tc>
        <w:tc>
          <w:tcPr>
            <w:tcW w:w="1497" w:type="pct"/>
            <w:shd w:val="clear" w:color="auto" w:fill="FFFFFF"/>
            <w:tcMar>
              <w:top w:w="110" w:type="dxa"/>
              <w:left w:w="108" w:type="dxa"/>
              <w:bottom w:w="0" w:type="dxa"/>
              <w:right w:w="108" w:type="dxa"/>
            </w:tcMar>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تتواصل الاستثمارات مع السلطات السويسرية تماشيا مع النقطة المرجعية التي حددتها اللجنة الاستشارية المعنية بالاستثمار في </w:t>
            </w:r>
            <w:r w:rsidR="00507DE2">
              <w:rPr>
                <w:rFonts w:ascii="Arabic Typesetting" w:hAnsi="Arabic Typesetting" w:cs="Arabic Typesetting"/>
                <w:sz w:val="28"/>
                <w:szCs w:val="28"/>
                <w:rtl/>
              </w:rPr>
              <w:t>2014/15</w:t>
            </w:r>
            <w:r w:rsidR="00411141" w:rsidRPr="00211D55">
              <w:rPr>
                <w:rFonts w:ascii="Arabic Typesetting" w:hAnsi="Arabic Typesetting" w:cs="Arabic Typesetting"/>
                <w:sz w:val="28"/>
                <w:szCs w:val="28"/>
                <w:rtl/>
              </w:rPr>
              <w:t>.</w:t>
            </w:r>
          </w:p>
          <w:p w:rsidR="00411141" w:rsidRPr="00211D55" w:rsidRDefault="00411141"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تعتزم اللجنة الاستشارية المعنية بالاستثمار وضع مؤشرات قياس جديدة عقب اعتماد سياسة الاستثمار الجديدة في خريف عام</w:t>
            </w:r>
            <w:r w:rsidR="004E4FF2"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2015.</w:t>
            </w:r>
          </w:p>
        </w:tc>
        <w:tc>
          <w:tcPr>
            <w:tcW w:w="452" w:type="pct"/>
            <w:shd w:val="clear" w:color="auto" w:fill="auto"/>
            <w:tcMar>
              <w:top w:w="110" w:type="dxa"/>
              <w:left w:w="108" w:type="dxa"/>
              <w:bottom w:w="0" w:type="dxa"/>
              <w:right w:w="108" w:type="dxa"/>
            </w:tcMar>
          </w:tcPr>
          <w:p w:rsidR="00B31868" w:rsidRPr="00211D55" w:rsidRDefault="00411141" w:rsidP="00086C3F">
            <w:pPr>
              <w:keepLines/>
              <w:bidi/>
              <w:spacing w:before="60" w:after="60" w:line="280" w:lineRule="exact"/>
              <w:jc w:val="center"/>
              <w:rPr>
                <w:rFonts w:ascii="Arabic Typesetting" w:hAnsi="Arabic Typesetting" w:cs="Arabic Typesetting"/>
                <w:bCs/>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B31868" w:rsidRPr="00211D55" w:rsidTr="00AF196E">
        <w:trPr>
          <w:cantSplit/>
        </w:trPr>
        <w:tc>
          <w:tcPr>
            <w:tcW w:w="1079"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سداد الرسوم (بما في ذلك رسوم مدريد ولاهاي) في المواعيد المحددة</w:t>
            </w:r>
          </w:p>
        </w:tc>
        <w:tc>
          <w:tcPr>
            <w:tcW w:w="957" w:type="pct"/>
          </w:tcPr>
          <w:p w:rsidR="00B31868" w:rsidRPr="00211D55" w:rsidRDefault="00B31868" w:rsidP="00E14A59">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90% من الرسوم سددت خلال 7 أيام من شروط الدفع أو تاريخ </w:t>
            </w:r>
            <w:r w:rsidR="00FC3B9C">
              <w:rPr>
                <w:rFonts w:ascii="Arabic Typesetting" w:hAnsi="Arabic Typesetting" w:cs="Arabic Typesetting" w:hint="cs"/>
                <w:sz w:val="28"/>
                <w:szCs w:val="28"/>
                <w:rtl/>
              </w:rPr>
              <w:t>التسلم</w:t>
            </w:r>
            <w:r w:rsidRPr="00211D55">
              <w:rPr>
                <w:rFonts w:ascii="Arabic Typesetting" w:hAnsi="Arabic Typesetting" w:cs="Arabic Typesetting"/>
                <w:sz w:val="28"/>
                <w:szCs w:val="28"/>
                <w:rtl/>
              </w:rPr>
              <w:t xml:space="preserve"> (في حالة تأخر </w:t>
            </w:r>
            <w:r w:rsidR="00FC3B9C">
              <w:rPr>
                <w:rFonts w:ascii="Arabic Typesetting" w:hAnsi="Arabic Typesetting" w:cs="Arabic Typesetting" w:hint="cs"/>
                <w:sz w:val="28"/>
                <w:szCs w:val="28"/>
                <w:rtl/>
              </w:rPr>
              <w:t>التسلم</w:t>
            </w:r>
            <w:r w:rsidRPr="00211D55">
              <w:rPr>
                <w:rFonts w:ascii="Arabic Typesetting" w:hAnsi="Arabic Typesetting" w:cs="Arabic Typesetting"/>
                <w:sz w:val="28"/>
                <w:szCs w:val="28"/>
                <w:rtl/>
              </w:rPr>
              <w:t xml:space="preserve">) بالنسبة لمن ليست لديهم </w:t>
            </w:r>
            <w:r w:rsidR="00E14A59">
              <w:rPr>
                <w:rFonts w:ascii="Arabic Typesetting" w:hAnsi="Arabic Typesetting" w:cs="Arabic Typesetting" w:hint="cs"/>
                <w:sz w:val="28"/>
                <w:szCs w:val="28"/>
                <w:rtl/>
              </w:rPr>
              <w:t>مشكلات</w:t>
            </w:r>
            <w:r w:rsidRPr="00211D55">
              <w:rPr>
                <w:rFonts w:ascii="Arabic Typesetting" w:hAnsi="Arabic Typesetting" w:cs="Arabic Typesetting"/>
                <w:sz w:val="28"/>
                <w:szCs w:val="28"/>
                <w:rtl/>
              </w:rPr>
              <w:t xml:space="preserve"> أخرى في تدفق العمل (على سبيل المثال، عدم إرسال أمر الشراء، إلخ)</w:t>
            </w:r>
          </w:p>
        </w:tc>
        <w:tc>
          <w:tcPr>
            <w:tcW w:w="1015" w:type="pct"/>
            <w:tcMar>
              <w:top w:w="110" w:type="dxa"/>
              <w:left w:w="108" w:type="dxa"/>
              <w:bottom w:w="0" w:type="dxa"/>
              <w:right w:w="108" w:type="dxa"/>
            </w:tcMar>
          </w:tcPr>
          <w:p w:rsidR="00B31868" w:rsidRPr="00211D55" w:rsidRDefault="00B31868" w:rsidP="00FC3B9C">
            <w:pPr>
              <w:keepNext/>
              <w:keepLines/>
              <w:bidi/>
              <w:spacing w:before="60" w:after="60" w:line="280" w:lineRule="exact"/>
              <w:ind w:right="161"/>
              <w:rPr>
                <w:rFonts w:ascii="Arabic Typesetting" w:hAnsi="Arabic Typesetting" w:cs="Arabic Typesetting"/>
                <w:b/>
                <w:sz w:val="28"/>
                <w:szCs w:val="28"/>
              </w:rPr>
            </w:pPr>
            <w:r w:rsidRPr="00211D55">
              <w:rPr>
                <w:rFonts w:ascii="Arabic Typesetting" w:hAnsi="Arabic Typesetting" w:cs="Arabic Typesetting"/>
                <w:b/>
                <w:sz w:val="28"/>
                <w:szCs w:val="28"/>
                <w:rtl/>
              </w:rPr>
              <w:t xml:space="preserve">90% من الرسوم سددت خلال يومين أو ثلاثة من </w:t>
            </w:r>
            <w:r w:rsidR="00FC3B9C">
              <w:rPr>
                <w:rFonts w:ascii="Arabic Typesetting" w:hAnsi="Arabic Typesetting" w:cs="Arabic Typesetting" w:hint="cs"/>
                <w:b/>
                <w:sz w:val="28"/>
                <w:szCs w:val="28"/>
                <w:rtl/>
              </w:rPr>
              <w:t>تسلّم</w:t>
            </w:r>
            <w:r w:rsidRPr="00211D55">
              <w:rPr>
                <w:rFonts w:ascii="Arabic Typesetting" w:hAnsi="Arabic Typesetting" w:cs="Arabic Typesetting"/>
                <w:b/>
                <w:sz w:val="28"/>
                <w:szCs w:val="28"/>
                <w:rtl/>
              </w:rPr>
              <w:t xml:space="preserve"> الفاتورة</w:t>
            </w:r>
          </w:p>
        </w:tc>
        <w:tc>
          <w:tcPr>
            <w:tcW w:w="1497" w:type="pct"/>
            <w:shd w:val="clear" w:color="auto" w:fill="FFFFFF"/>
            <w:tcMar>
              <w:top w:w="110" w:type="dxa"/>
              <w:left w:w="108" w:type="dxa"/>
              <w:bottom w:w="0" w:type="dxa"/>
              <w:right w:w="108" w:type="dxa"/>
            </w:tcMar>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دفعت جميع الفواتير في الوقت باستثناء تلك التي لها أثر رجعي أو عندما لا يوجد أي طلب شراء في النظام</w:t>
            </w:r>
          </w:p>
          <w:p w:rsidR="00B31868" w:rsidRPr="00211D55" w:rsidRDefault="00B31868"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التوزيع الشهري مدفوع / مودع في حساب جار/مطبق مقابل الاشتراكات في الشهر التالي كما هو مطلوب في اللائحة التنفيذية</w:t>
            </w:r>
          </w:p>
        </w:tc>
        <w:tc>
          <w:tcPr>
            <w:tcW w:w="452" w:type="pct"/>
            <w:shd w:val="clear" w:color="auto" w:fill="auto"/>
            <w:tcMar>
              <w:top w:w="110" w:type="dxa"/>
              <w:left w:w="108" w:type="dxa"/>
              <w:bottom w:w="0" w:type="dxa"/>
              <w:right w:w="108" w:type="dxa"/>
            </w:tcMar>
          </w:tcPr>
          <w:p w:rsidR="00B31868" w:rsidRPr="00211D55" w:rsidRDefault="00411141" w:rsidP="00086C3F">
            <w:pPr>
              <w:keepLines/>
              <w:bidi/>
              <w:spacing w:before="60" w:after="60" w:line="280" w:lineRule="exact"/>
              <w:jc w:val="center"/>
              <w:rPr>
                <w:rFonts w:ascii="Arabic Typesetting" w:hAnsi="Arabic Typesetting" w:cs="Arabic Typesetting"/>
                <w:bCs/>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B31868" w:rsidRPr="00211D55" w:rsidTr="00AF196E">
        <w:trPr>
          <w:cantSplit/>
        </w:trPr>
        <w:tc>
          <w:tcPr>
            <w:tcW w:w="1079"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النسبة المئوية للموظفين المدربين الذين يعبرون عن رضاهم عن التدريب المقدم لهم (الدورات التمهيدية والتدريب المتعلق بمشروع تخطيط الموارد المؤسسية والتدريب المتعلق بالإدارة القائمة على النتائج)</w:t>
            </w:r>
          </w:p>
        </w:tc>
        <w:tc>
          <w:tcPr>
            <w:tcW w:w="957" w:type="pct"/>
          </w:tcPr>
          <w:p w:rsidR="00B31868" w:rsidRPr="00211D55" w:rsidRDefault="00B3186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الدورات التمهيدية: 94%</w:t>
            </w:r>
          </w:p>
          <w:p w:rsidR="00B31868" w:rsidRPr="00211D55" w:rsidRDefault="00B3186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
                <w:color w:val="002060"/>
                <w:sz w:val="28"/>
                <w:szCs w:val="28"/>
                <w:rtl/>
                <w:lang w:bidi="ar-EG"/>
              </w:rPr>
              <w:t>التدريب المتعلق بمشروع تخطيط الموارد المؤسسية والتدريب المتعلق بالإدارة القائمة على النتائج: 96%</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 يحدد لاحقا</w:t>
            </w:r>
          </w:p>
        </w:tc>
        <w:tc>
          <w:tcPr>
            <w:tcW w:w="1015" w:type="pct"/>
            <w:tcMar>
              <w:top w:w="110" w:type="dxa"/>
              <w:left w:w="108" w:type="dxa"/>
              <w:bottom w:w="0" w:type="dxa"/>
              <w:right w:w="108" w:type="dxa"/>
            </w:tcMar>
          </w:tcPr>
          <w:p w:rsidR="00B31868" w:rsidRPr="00211D55" w:rsidRDefault="00B31868" w:rsidP="00086C3F">
            <w:pPr>
              <w:keepNext/>
              <w:keepLines/>
              <w:bidi/>
              <w:spacing w:before="60" w:after="60" w:line="280" w:lineRule="exact"/>
              <w:ind w:right="161"/>
              <w:rPr>
                <w:rFonts w:ascii="Arabic Typesetting" w:hAnsi="Arabic Typesetting" w:cs="Arabic Typesetting"/>
                <w:b/>
                <w:sz w:val="28"/>
                <w:szCs w:val="28"/>
              </w:rPr>
            </w:pPr>
            <w:r w:rsidRPr="00211D55">
              <w:rPr>
                <w:rFonts w:ascii="Arabic Typesetting" w:hAnsi="Arabic Typesetting" w:cs="Arabic Typesetting"/>
                <w:b/>
                <w:sz w:val="28"/>
                <w:szCs w:val="28"/>
                <w:rtl/>
              </w:rPr>
              <w:t>85%</w:t>
            </w:r>
          </w:p>
        </w:tc>
        <w:tc>
          <w:tcPr>
            <w:tcW w:w="1497" w:type="pct"/>
            <w:shd w:val="clear" w:color="auto" w:fill="FFFFFF"/>
            <w:tcMar>
              <w:top w:w="110" w:type="dxa"/>
              <w:left w:w="108" w:type="dxa"/>
              <w:bottom w:w="0" w:type="dxa"/>
              <w:right w:w="108" w:type="dxa"/>
            </w:tcMar>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الدورات التمهيدية: 94</w:t>
            </w:r>
            <w:r w:rsidRPr="00211D55">
              <w:rPr>
                <w:rFonts w:ascii="Arabic Typesetting" w:hAnsi="Arabic Typesetting" w:cs="Arabic Typesetting"/>
                <w:sz w:val="28"/>
                <w:szCs w:val="28"/>
              </w:rPr>
              <w:t>%</w:t>
            </w:r>
          </w:p>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 التدريب المتعلق بمشروع تخطيط الموارد المؤسسية والتدريب المتعلق بالإدارة القائمة على النتائج: </w:t>
            </w:r>
            <w:r w:rsidR="001758E9" w:rsidRPr="00211D55">
              <w:rPr>
                <w:rFonts w:ascii="Arabic Typesetting" w:hAnsi="Arabic Typesetting" w:cs="Arabic Typesetting"/>
                <w:sz w:val="28"/>
                <w:szCs w:val="28"/>
                <w:rtl/>
              </w:rPr>
              <w:t>94</w:t>
            </w:r>
            <w:r w:rsidRPr="00211D55">
              <w:rPr>
                <w:rFonts w:ascii="Arabic Typesetting" w:hAnsi="Arabic Typesetting" w:cs="Arabic Typesetting"/>
                <w:sz w:val="28"/>
                <w:szCs w:val="28"/>
                <w:rtl/>
              </w:rPr>
              <w:t>%</w:t>
            </w:r>
          </w:p>
          <w:p w:rsidR="001758E9" w:rsidRPr="00211D55" w:rsidRDefault="001758E9"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التدريب المتعلق بإدارة المخاطر المؤسسية: 87% (في عام 2015 فقط)</w:t>
            </w:r>
          </w:p>
          <w:p w:rsidR="00B31868" w:rsidRPr="00211D55" w:rsidRDefault="00B31868"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 إدارة ال</w:t>
            </w:r>
            <w:r w:rsidR="00FB2BCA">
              <w:rPr>
                <w:rFonts w:ascii="Arabic Typesetting" w:hAnsi="Arabic Typesetting" w:cs="Arabic Typesetting"/>
                <w:sz w:val="28"/>
                <w:szCs w:val="28"/>
                <w:rtl/>
              </w:rPr>
              <w:t>مشروعات</w:t>
            </w:r>
            <w:r w:rsidRPr="00211D55">
              <w:rPr>
                <w:rFonts w:ascii="Arabic Typesetting" w:hAnsi="Arabic Typesetting" w:cs="Arabic Typesetting"/>
                <w:sz w:val="28"/>
                <w:szCs w:val="28"/>
                <w:rtl/>
              </w:rPr>
              <w:t xml:space="preserve"> في بيئة قائمة على النتائج: </w:t>
            </w:r>
            <w:r w:rsidR="001758E9" w:rsidRPr="00211D55">
              <w:rPr>
                <w:rFonts w:ascii="Arabic Typesetting" w:hAnsi="Arabic Typesetting" w:cs="Arabic Typesetting"/>
                <w:sz w:val="28"/>
                <w:szCs w:val="28"/>
                <w:rtl/>
              </w:rPr>
              <w:t>97</w:t>
            </w:r>
            <w:r w:rsidRPr="00211D55">
              <w:rPr>
                <w:rFonts w:ascii="Arabic Typesetting" w:hAnsi="Arabic Typesetting" w:cs="Arabic Typesetting"/>
                <w:sz w:val="28"/>
                <w:szCs w:val="28"/>
                <w:rtl/>
              </w:rPr>
              <w:t>% (</w:t>
            </w:r>
            <w:r w:rsidR="001758E9" w:rsidRPr="00211D55">
              <w:rPr>
                <w:rFonts w:ascii="Arabic Typesetting" w:hAnsi="Arabic Typesetting" w:cs="Arabic Typesetting"/>
                <w:sz w:val="28"/>
                <w:szCs w:val="28"/>
                <w:rtl/>
              </w:rPr>
              <w:t>64</w:t>
            </w:r>
            <w:r w:rsidRPr="00211D55">
              <w:rPr>
                <w:rFonts w:ascii="Arabic Typesetting" w:hAnsi="Arabic Typesetting" w:cs="Arabic Typesetting"/>
                <w:sz w:val="28"/>
                <w:szCs w:val="28"/>
                <w:rtl/>
              </w:rPr>
              <w:t xml:space="preserve">% ممتاز، </w:t>
            </w:r>
            <w:r w:rsidR="001758E9" w:rsidRPr="00211D55">
              <w:rPr>
                <w:rFonts w:ascii="Arabic Typesetting" w:hAnsi="Arabic Typesetting" w:cs="Arabic Typesetting"/>
                <w:sz w:val="28"/>
                <w:szCs w:val="28"/>
                <w:rtl/>
              </w:rPr>
              <w:t>33</w:t>
            </w:r>
            <w:r w:rsidRPr="00211D55">
              <w:rPr>
                <w:rFonts w:ascii="Arabic Typesetting" w:hAnsi="Arabic Typesetting" w:cs="Arabic Typesetting"/>
                <w:sz w:val="28"/>
                <w:szCs w:val="28"/>
                <w:rtl/>
              </w:rPr>
              <w:t>% جيد)</w:t>
            </w:r>
          </w:p>
        </w:tc>
        <w:tc>
          <w:tcPr>
            <w:tcW w:w="452" w:type="pct"/>
            <w:shd w:val="clear" w:color="auto" w:fill="auto"/>
            <w:tcMar>
              <w:top w:w="110" w:type="dxa"/>
              <w:left w:w="108" w:type="dxa"/>
              <w:bottom w:w="0" w:type="dxa"/>
              <w:right w:w="108" w:type="dxa"/>
            </w:tcMar>
          </w:tcPr>
          <w:p w:rsidR="00B31868" w:rsidRPr="00211D55" w:rsidRDefault="004E4FF2" w:rsidP="00086C3F">
            <w:pPr>
              <w:keepLines/>
              <w:bidi/>
              <w:spacing w:before="60" w:after="60" w:line="280" w:lineRule="exact"/>
              <w:jc w:val="center"/>
              <w:rPr>
                <w:rFonts w:ascii="Arabic Typesetting" w:hAnsi="Arabic Typesetting" w:cs="Arabic Typesetting"/>
                <w:bCs/>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B31868" w:rsidRPr="00211D55" w:rsidTr="00AF196E">
        <w:trPr>
          <w:cantSplit/>
        </w:trPr>
        <w:tc>
          <w:tcPr>
            <w:tcW w:w="1079"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النسبة المئوية لمن أجابوا على الاستبيان الذين يعتبرون الويبو مسؤولة عن النتائج التي تحققها</w:t>
            </w:r>
          </w:p>
        </w:tc>
        <w:tc>
          <w:tcPr>
            <w:tcW w:w="957" w:type="pct"/>
          </w:tcPr>
          <w:p w:rsidR="00B31868" w:rsidRPr="00211D55" w:rsidRDefault="00B3186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80.7%</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 75%</w:t>
            </w:r>
          </w:p>
        </w:tc>
        <w:tc>
          <w:tcPr>
            <w:tcW w:w="1015" w:type="pct"/>
            <w:tcMar>
              <w:top w:w="110" w:type="dxa"/>
              <w:left w:w="108" w:type="dxa"/>
              <w:bottom w:w="0" w:type="dxa"/>
              <w:right w:w="108" w:type="dxa"/>
            </w:tcMar>
          </w:tcPr>
          <w:p w:rsidR="00B31868" w:rsidRPr="00211D55" w:rsidRDefault="00B31868" w:rsidP="00086C3F">
            <w:pPr>
              <w:keepNext/>
              <w:keepLines/>
              <w:bidi/>
              <w:spacing w:before="60" w:after="60" w:line="280" w:lineRule="exact"/>
              <w:ind w:right="161"/>
              <w:rPr>
                <w:rFonts w:ascii="Arabic Typesetting" w:hAnsi="Arabic Typesetting" w:cs="Arabic Typesetting"/>
                <w:b/>
                <w:sz w:val="28"/>
                <w:szCs w:val="28"/>
              </w:rPr>
            </w:pPr>
            <w:r w:rsidRPr="00211D55">
              <w:rPr>
                <w:rFonts w:ascii="Arabic Typesetting" w:hAnsi="Arabic Typesetting" w:cs="Arabic Typesetting"/>
                <w:b/>
                <w:sz w:val="28"/>
                <w:szCs w:val="28"/>
                <w:rtl/>
              </w:rPr>
              <w:t>80%</w:t>
            </w:r>
          </w:p>
        </w:tc>
        <w:tc>
          <w:tcPr>
            <w:tcW w:w="1497" w:type="pct"/>
            <w:shd w:val="clear" w:color="auto" w:fill="FFFFFF"/>
            <w:tcMar>
              <w:top w:w="110" w:type="dxa"/>
              <w:left w:w="108" w:type="dxa"/>
              <w:bottom w:w="0" w:type="dxa"/>
              <w:right w:w="108" w:type="dxa"/>
            </w:tcMar>
          </w:tcPr>
          <w:p w:rsidR="00B31868" w:rsidRPr="00211D55" w:rsidRDefault="00802E50" w:rsidP="00802E50">
            <w:pPr>
              <w:bidi/>
              <w:spacing w:before="60" w:after="60" w:line="280" w:lineRule="exact"/>
              <w:rPr>
                <w:rFonts w:ascii="Arabic Typesetting" w:hAnsi="Arabic Typesetting" w:cs="Arabic Typesetting"/>
                <w:sz w:val="28"/>
                <w:szCs w:val="28"/>
                <w:lang w:bidi="th-TH"/>
              </w:rPr>
            </w:pPr>
            <w:r w:rsidRPr="00802E50">
              <w:rPr>
                <w:rFonts w:ascii="Arabic Typesetting" w:hAnsi="Arabic Typesetting" w:cs="Arabic Typesetting" w:hint="cs"/>
                <w:sz w:val="28"/>
                <w:szCs w:val="28"/>
                <w:rtl/>
              </w:rPr>
              <w:t>94% من المجيبين</w:t>
            </w:r>
            <w:r w:rsidRPr="00F96634">
              <w:rPr>
                <w:rFonts w:ascii="Arabic Typesetting" w:hAnsi="Arabic Typesetting" w:cs="Arabic Typesetting"/>
                <w:sz w:val="28"/>
                <w:szCs w:val="28"/>
                <w:vertAlign w:val="superscript"/>
                <w:rtl/>
              </w:rPr>
              <w:footnoteReference w:id="124"/>
            </w:r>
            <w:r w:rsidRPr="00802E50">
              <w:rPr>
                <w:rFonts w:ascii="Arabic Typesetting" w:hAnsi="Arabic Typesetting" w:cs="Arabic Typesetting" w:hint="cs"/>
                <w:sz w:val="28"/>
                <w:szCs w:val="28"/>
                <w:rtl/>
              </w:rPr>
              <w:t xml:space="preserve"> (30% موافقون للغاية و64% موافقون) ذكروا أن بيانات الأداء مستخدمة لأغراض المساءلة أمام الدول الأعضاء (وفقاً لتثبيت تقرير أداء البرنامج 2014/15)</w:t>
            </w:r>
          </w:p>
        </w:tc>
        <w:tc>
          <w:tcPr>
            <w:tcW w:w="452" w:type="pct"/>
            <w:shd w:val="clear" w:color="auto" w:fill="auto"/>
            <w:tcMar>
              <w:top w:w="110" w:type="dxa"/>
              <w:left w:w="108" w:type="dxa"/>
              <w:bottom w:w="0" w:type="dxa"/>
              <w:right w:w="108" w:type="dxa"/>
            </w:tcMar>
          </w:tcPr>
          <w:p w:rsidR="00B31868" w:rsidRPr="00211D55" w:rsidRDefault="00925848" w:rsidP="00086C3F">
            <w:pPr>
              <w:keepLines/>
              <w:bidi/>
              <w:spacing w:before="60" w:after="60" w:line="280" w:lineRule="exact"/>
              <w:jc w:val="center"/>
              <w:rPr>
                <w:rFonts w:ascii="Arabic Typesetting" w:hAnsi="Arabic Typesetting" w:cs="Arabic Typesetting"/>
                <w:bCs/>
                <w:color w:val="0070C0"/>
                <w:sz w:val="28"/>
                <w:szCs w:val="28"/>
                <w:lang w:bidi="ar-EG"/>
              </w:rPr>
            </w:pPr>
            <w:r w:rsidRPr="00211D55">
              <w:rPr>
                <w:rFonts w:ascii="Arabic Typesetting" w:hAnsi="Arabic Typesetting" w:cs="Arabic Typesetting"/>
                <w:b/>
                <w:bCs/>
                <w:color w:val="00B050"/>
                <w:sz w:val="28"/>
                <w:szCs w:val="28"/>
                <w:rtl/>
              </w:rPr>
              <w:t>محقق كلياً</w:t>
            </w:r>
          </w:p>
        </w:tc>
      </w:tr>
      <w:tr w:rsidR="00B31868" w:rsidRPr="00211D55" w:rsidTr="00AF196E">
        <w:trPr>
          <w:cantSplit/>
        </w:trPr>
        <w:tc>
          <w:tcPr>
            <w:tcW w:w="1079"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lastRenderedPageBreak/>
              <w:t>النسبة المئوية لبرامج الويبو التي تستخدم البيانات المتعلقة بالأداء لإدارة أداء البرنامج</w:t>
            </w:r>
          </w:p>
        </w:tc>
        <w:tc>
          <w:tcPr>
            <w:tcW w:w="957" w:type="pct"/>
          </w:tcPr>
          <w:p w:rsidR="00802E50" w:rsidRDefault="00B31868" w:rsidP="00802E50">
            <w:pPr>
              <w:bidi/>
              <w:adjustRightInd w:val="0"/>
              <w:snapToGrid w:val="0"/>
              <w:spacing w:before="60" w:after="60" w:line="280" w:lineRule="exact"/>
              <w:rPr>
                <w:rFonts w:ascii="Arabic Typesetting" w:hAnsi="Arabic Typesetting" w:cs="Arabic Typesetting"/>
                <w:iCs/>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00802E50">
              <w:rPr>
                <w:rFonts w:ascii="Arabic Typesetting" w:hAnsi="Arabic Typesetting" w:cs="Arabic Typesetting" w:hint="cs"/>
                <w:iCs/>
                <w:color w:val="002060"/>
                <w:sz w:val="28"/>
                <w:szCs w:val="28"/>
                <w:rtl/>
                <w:lang w:bidi="ar-EG"/>
              </w:rPr>
              <w:t xml:space="preserve"> 79% (وفقاً لتثبيت تقرير أداء البرنامج 2012/13)</w:t>
            </w:r>
          </w:p>
          <w:p w:rsidR="00B31868" w:rsidRPr="00211D55" w:rsidRDefault="00B31868" w:rsidP="00802E50">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
                <w:color w:val="002060"/>
                <w:sz w:val="28"/>
                <w:szCs w:val="28"/>
                <w:rtl/>
                <w:lang w:bidi="ar-EG"/>
              </w:rPr>
              <w:t>55%</w:t>
            </w:r>
            <w:r w:rsidRPr="00F96634">
              <w:rPr>
                <w:rFonts w:ascii="Arabic Typesetting" w:hAnsi="Arabic Typesetting" w:cs="Arabic Typesetting"/>
                <w:i/>
                <w:color w:val="002060"/>
                <w:sz w:val="28"/>
                <w:szCs w:val="28"/>
                <w:vertAlign w:val="superscript"/>
                <w:rtl/>
                <w:lang w:bidi="ar-EG"/>
              </w:rPr>
              <w:footnoteReference w:id="125"/>
            </w:r>
            <w:r w:rsidRPr="00211D55">
              <w:rPr>
                <w:rFonts w:ascii="Arabic Typesetting" w:hAnsi="Arabic Typesetting" w:cs="Arabic Typesetting"/>
                <w:i/>
                <w:color w:val="002060"/>
                <w:sz w:val="28"/>
                <w:szCs w:val="28"/>
                <w:rtl/>
                <w:lang w:bidi="ar-EG"/>
              </w:rPr>
              <w:t xml:space="preserve"> (مقارنة بتقرير تثبيت تقرير أداء البرنامج 2010/11)</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 50%</w:t>
            </w:r>
          </w:p>
        </w:tc>
        <w:tc>
          <w:tcPr>
            <w:tcW w:w="1015" w:type="pct"/>
            <w:tcMar>
              <w:top w:w="110" w:type="dxa"/>
              <w:left w:w="108" w:type="dxa"/>
              <w:bottom w:w="0" w:type="dxa"/>
              <w:right w:w="108" w:type="dxa"/>
            </w:tcMar>
          </w:tcPr>
          <w:p w:rsidR="00B31868" w:rsidRPr="00211D55" w:rsidRDefault="00B31868" w:rsidP="00086C3F">
            <w:pPr>
              <w:keepNext/>
              <w:keepLines/>
              <w:bidi/>
              <w:spacing w:before="60" w:after="60" w:line="280" w:lineRule="exact"/>
              <w:ind w:right="161"/>
              <w:rPr>
                <w:rFonts w:ascii="Arabic Typesetting" w:hAnsi="Arabic Typesetting" w:cs="Arabic Typesetting"/>
                <w:b/>
                <w:sz w:val="28"/>
                <w:szCs w:val="28"/>
              </w:rPr>
            </w:pPr>
            <w:r w:rsidRPr="00211D55">
              <w:rPr>
                <w:rFonts w:ascii="Arabic Typesetting" w:hAnsi="Arabic Typesetting" w:cs="Arabic Typesetting"/>
                <w:b/>
                <w:sz w:val="28"/>
                <w:szCs w:val="28"/>
                <w:rtl/>
              </w:rPr>
              <w:t>70%</w:t>
            </w:r>
          </w:p>
        </w:tc>
        <w:tc>
          <w:tcPr>
            <w:tcW w:w="1497" w:type="pct"/>
            <w:shd w:val="clear" w:color="auto" w:fill="FFFFFF"/>
            <w:tcMar>
              <w:top w:w="110" w:type="dxa"/>
              <w:left w:w="108" w:type="dxa"/>
              <w:bottom w:w="0" w:type="dxa"/>
              <w:right w:w="108" w:type="dxa"/>
            </w:tcMar>
          </w:tcPr>
          <w:p w:rsidR="00B31868" w:rsidRPr="00925848" w:rsidRDefault="00925848" w:rsidP="00086C3F">
            <w:pPr>
              <w:bidi/>
              <w:spacing w:before="60" w:after="60" w:line="280" w:lineRule="exact"/>
              <w:rPr>
                <w:rFonts w:ascii="Arabic Typesetting" w:hAnsi="Arabic Typesetting" w:cs="Arabic Typesetting"/>
                <w:sz w:val="28"/>
                <w:szCs w:val="28"/>
                <w:rtl/>
              </w:rPr>
            </w:pPr>
            <w:r w:rsidRPr="00925848">
              <w:rPr>
                <w:rFonts w:ascii="Arabic Typesetting" w:hAnsi="Arabic Typesetting" w:cs="Arabic Typesetting" w:hint="cs"/>
                <w:sz w:val="28"/>
                <w:szCs w:val="28"/>
                <w:rtl/>
              </w:rPr>
              <w:t>94% من المجيبين</w:t>
            </w:r>
            <w:r w:rsidRPr="00F96634">
              <w:rPr>
                <w:rStyle w:val="FootnoteReference"/>
                <w:rFonts w:ascii="Arabic Typesetting" w:hAnsi="Arabic Typesetting" w:cs="Arabic Typesetting"/>
                <w:sz w:val="28"/>
                <w:szCs w:val="28"/>
                <w:rtl/>
              </w:rPr>
              <w:footnoteReference w:id="126"/>
            </w:r>
            <w:r w:rsidRPr="00925848">
              <w:rPr>
                <w:rFonts w:ascii="Arabic Typesetting" w:hAnsi="Arabic Typesetting" w:cs="Arabic Typesetting" w:hint="cs"/>
                <w:sz w:val="28"/>
                <w:szCs w:val="28"/>
                <w:rtl/>
              </w:rPr>
              <w:t xml:space="preserve"> (30% موافقون للغاية و64% موافقون) ذكروا أن بيانات الأداء مستخدمة لرصد تنفيذ أنشطة البرنامج بانتظام</w:t>
            </w:r>
          </w:p>
          <w:p w:rsidR="00925848" w:rsidRPr="00925848" w:rsidRDefault="00925848" w:rsidP="00925848">
            <w:pPr>
              <w:bidi/>
              <w:spacing w:before="60" w:after="60" w:line="280" w:lineRule="exact"/>
              <w:rPr>
                <w:rFonts w:ascii="Arabic Typesetting" w:hAnsi="Arabic Typesetting" w:cs="Arabic Typesetting"/>
                <w:sz w:val="28"/>
                <w:szCs w:val="28"/>
                <w:rtl/>
              </w:rPr>
            </w:pPr>
            <w:r w:rsidRPr="00925848">
              <w:rPr>
                <w:rFonts w:ascii="Arabic Typesetting" w:hAnsi="Arabic Typesetting" w:cs="Arabic Typesetting" w:hint="cs"/>
                <w:sz w:val="28"/>
                <w:szCs w:val="28"/>
                <w:rtl/>
              </w:rPr>
              <w:t>85% من المجيبين</w:t>
            </w:r>
            <w:r w:rsidRPr="00F96634">
              <w:rPr>
                <w:rStyle w:val="FootnoteReference"/>
                <w:rFonts w:ascii="Arabic Typesetting" w:hAnsi="Arabic Typesetting" w:cs="Arabic Typesetting"/>
                <w:sz w:val="28"/>
                <w:szCs w:val="28"/>
                <w:rtl/>
              </w:rPr>
              <w:footnoteReference w:id="127"/>
            </w:r>
            <w:r w:rsidRPr="00925848">
              <w:rPr>
                <w:rFonts w:ascii="Arabic Typesetting" w:hAnsi="Arabic Typesetting" w:cs="Arabic Typesetting" w:hint="cs"/>
                <w:sz w:val="28"/>
                <w:szCs w:val="28"/>
                <w:rtl/>
              </w:rPr>
              <w:t xml:space="preserve"> (27% موافقون بشدة و58% موافقون) ذكروا أن بيانات الأداء مستخدمة لأغراض اتخاذ القرارات</w:t>
            </w:r>
          </w:p>
          <w:p w:rsidR="00925848" w:rsidRPr="00925848" w:rsidRDefault="00925848" w:rsidP="00925848">
            <w:pPr>
              <w:bidi/>
              <w:spacing w:before="60" w:after="60" w:line="280" w:lineRule="exact"/>
              <w:rPr>
                <w:rFonts w:ascii="Arabic Typesetting" w:hAnsi="Arabic Typesetting" w:cs="Arabic Typesetting"/>
                <w:i/>
                <w:iCs/>
                <w:sz w:val="28"/>
                <w:szCs w:val="28"/>
                <w:rtl/>
                <w:cs/>
                <w:lang w:bidi="th-TH"/>
              </w:rPr>
            </w:pPr>
            <w:r w:rsidRPr="00925848">
              <w:rPr>
                <w:rFonts w:ascii="Arabic Typesetting" w:hAnsi="Arabic Typesetting" w:cs="Arabic Typesetting" w:hint="cs"/>
                <w:i/>
                <w:iCs/>
                <w:sz w:val="28"/>
                <w:szCs w:val="28"/>
                <w:rtl/>
              </w:rPr>
              <w:t>(كما وردت البيانات في تثبيت تقرير أداء البرنامج 2014/15)</w:t>
            </w:r>
          </w:p>
        </w:tc>
        <w:tc>
          <w:tcPr>
            <w:tcW w:w="452" w:type="pct"/>
            <w:shd w:val="clear" w:color="auto" w:fill="auto"/>
            <w:tcMar>
              <w:top w:w="110" w:type="dxa"/>
              <w:left w:w="108" w:type="dxa"/>
              <w:bottom w:w="0" w:type="dxa"/>
              <w:right w:w="108" w:type="dxa"/>
            </w:tcMar>
          </w:tcPr>
          <w:p w:rsidR="00B31868" w:rsidRPr="00211D55" w:rsidRDefault="00925848" w:rsidP="00086C3F">
            <w:pPr>
              <w:keepLines/>
              <w:bidi/>
              <w:spacing w:before="60" w:after="60" w:line="280" w:lineRule="exact"/>
              <w:jc w:val="center"/>
              <w:rPr>
                <w:rFonts w:ascii="Arabic Typesetting" w:hAnsi="Arabic Typesetting" w:cs="Arabic Typesetting"/>
                <w:bCs/>
                <w:color w:val="808080"/>
                <w:sz w:val="28"/>
                <w:szCs w:val="28"/>
                <w:lang w:bidi="ar-EG"/>
              </w:rPr>
            </w:pPr>
            <w:r w:rsidRPr="00211D55">
              <w:rPr>
                <w:rFonts w:ascii="Arabic Typesetting" w:hAnsi="Arabic Typesetting" w:cs="Arabic Typesetting"/>
                <w:b/>
                <w:bCs/>
                <w:color w:val="00B050"/>
                <w:sz w:val="28"/>
                <w:szCs w:val="28"/>
                <w:rtl/>
              </w:rPr>
              <w:t>محقق كلياً</w:t>
            </w:r>
          </w:p>
        </w:tc>
      </w:tr>
      <w:tr w:rsidR="00B31868" w:rsidRPr="00211D55" w:rsidTr="00CD5FB4">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t>النتيجة المرتقبة:</w:t>
            </w:r>
            <w:r w:rsidRPr="00211D55">
              <w:rPr>
                <w:rFonts w:ascii="Arabic Typesetting" w:eastAsia="Arial" w:hAnsi="Arabic Typesetting" w:cs="Arabic Typesetting"/>
                <w:b/>
                <w:bCs/>
                <w:sz w:val="28"/>
                <w:szCs w:val="28"/>
                <w:rtl/>
                <w:lang w:bidi="ar-EG"/>
              </w:rPr>
              <w:tab/>
            </w:r>
            <w:r w:rsidRPr="00211D55">
              <w:rPr>
                <w:rFonts w:ascii="Arabic Typesetting" w:eastAsia="Arial" w:hAnsi="Arabic Typesetting" w:cs="Arabic Typesetting"/>
                <w:sz w:val="28"/>
                <w:szCs w:val="28"/>
                <w:rtl/>
                <w:lang w:bidi="ar-EG"/>
              </w:rPr>
              <w:t xml:space="preserve">ه3.9 </w:t>
            </w:r>
            <w:r w:rsidR="003F15BC">
              <w:rPr>
                <w:rFonts w:ascii="Arabic Typesetting" w:eastAsia="Arial" w:hAnsi="Arabic Typesetting" w:cs="Arabic Typesetting"/>
                <w:sz w:val="28"/>
                <w:szCs w:val="28"/>
                <w:rtl/>
                <w:lang w:bidi="ar-EG"/>
              </w:rPr>
              <w:t>بيئة عمل داعمة ومسنودة بإطار تنظيمي فعال وقنوات فعالة لمعالجة مشاغل الموظفين</w:t>
            </w:r>
          </w:p>
        </w:tc>
      </w:tr>
      <w:tr w:rsidR="00B31868" w:rsidRPr="00211D55" w:rsidTr="00AF196E">
        <w:trPr>
          <w:cantSplit/>
        </w:trPr>
        <w:tc>
          <w:tcPr>
            <w:tcW w:w="1079"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
                <w:bCs/>
                <w:sz w:val="28"/>
                <w:szCs w:val="28"/>
                <w:rtl/>
                <w:lang w:bidi="ar-EG"/>
              </w:rPr>
              <w:t>مؤشرات الأداء</w:t>
            </w:r>
          </w:p>
        </w:tc>
        <w:tc>
          <w:tcPr>
            <w:tcW w:w="957"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t>أسس المقارنة</w:t>
            </w:r>
          </w:p>
        </w:tc>
        <w:tc>
          <w:tcPr>
            <w:tcW w:w="1015" w:type="pct"/>
            <w:tcBorders>
              <w:top w:val="single" w:sz="4" w:space="0" w:color="auto"/>
            </w:tcBorders>
            <w:tcMar>
              <w:top w:w="110" w:type="dxa"/>
              <w:left w:w="108" w:type="dxa"/>
              <w:bottom w:w="0" w:type="dxa"/>
              <w:right w:w="108" w:type="dxa"/>
            </w:tcMar>
            <w:vAlign w:val="center"/>
          </w:tcPr>
          <w:p w:rsidR="00B31868" w:rsidRPr="00211D55" w:rsidRDefault="00B31868" w:rsidP="00086C3F">
            <w:pPr>
              <w:keepNext/>
              <w:bidi/>
              <w:spacing w:before="60" w:after="60" w:line="280" w:lineRule="exact"/>
              <w:rPr>
                <w:rFonts w:ascii="Arabic Typesetting" w:hAnsi="Arabic Typesetting" w:cs="Arabic Typesetting"/>
                <w:b/>
                <w:sz w:val="28"/>
                <w:szCs w:val="28"/>
                <w:lang w:bidi="ar-EG"/>
              </w:rPr>
            </w:pPr>
            <w:r w:rsidRPr="00211D55">
              <w:rPr>
                <w:rFonts w:ascii="Arabic Typesetting" w:eastAsia="Arial" w:hAnsi="Arabic Typesetting" w:cs="Arabic Typesetting"/>
                <w:b/>
                <w:bCs/>
                <w:sz w:val="28"/>
                <w:szCs w:val="28"/>
                <w:rtl/>
                <w:lang w:bidi="ar-EG"/>
              </w:rPr>
              <w:t xml:space="preserve">الأهداف </w:t>
            </w:r>
          </w:p>
        </w:tc>
        <w:tc>
          <w:tcPr>
            <w:tcW w:w="1497" w:type="pct"/>
            <w:tcBorders>
              <w:top w:val="single" w:sz="4" w:space="0" w:color="auto"/>
            </w:tcBorders>
            <w:shd w:val="clear" w:color="auto" w:fill="FFFFFF"/>
            <w:tcMar>
              <w:top w:w="110" w:type="dxa"/>
              <w:left w:w="108" w:type="dxa"/>
              <w:bottom w:w="0" w:type="dxa"/>
              <w:right w:w="108"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452" w:type="pct"/>
            <w:tcBorders>
              <w:top w:val="single" w:sz="4" w:space="0" w:color="auto"/>
            </w:tcBorders>
            <w:shd w:val="clear" w:color="auto" w:fill="auto"/>
            <w:tcMar>
              <w:top w:w="110" w:type="dxa"/>
              <w:left w:w="108" w:type="dxa"/>
              <w:bottom w:w="0" w:type="dxa"/>
              <w:right w:w="108" w:type="dxa"/>
            </w:tcMar>
            <w:vAlign w:val="center"/>
          </w:tcPr>
          <w:p w:rsidR="00B31868" w:rsidRPr="00211D55" w:rsidRDefault="00B31868" w:rsidP="00086C3F">
            <w:pPr>
              <w:keepNext/>
              <w:keepLines/>
              <w:bidi/>
              <w:spacing w:before="60" w:after="60" w:line="280" w:lineRule="exact"/>
              <w:jc w:val="center"/>
              <w:rPr>
                <w:rFonts w:ascii="Arabic Typesetting" w:hAnsi="Arabic Typesetting" w:cs="Arabic Typesetting"/>
                <w:b/>
                <w:bCs/>
                <w:sz w:val="28"/>
                <w:szCs w:val="28"/>
                <w:lang w:bidi="ar-EG"/>
              </w:rPr>
            </w:pPr>
            <w:r w:rsidRPr="00211D55">
              <w:rPr>
                <w:rFonts w:ascii="Arabic Typesetting" w:eastAsia="Arial" w:hAnsi="Arabic Typesetting" w:cs="Arabic Typesetting"/>
                <w:b/>
                <w:bCs/>
                <w:sz w:val="28"/>
                <w:szCs w:val="28"/>
                <w:rtl/>
                <w:lang w:bidi="ar-EG"/>
              </w:rPr>
              <w:t>السير</w:t>
            </w:r>
          </w:p>
        </w:tc>
      </w:tr>
      <w:tr w:rsidR="00B31868" w:rsidRPr="00211D55" w:rsidTr="00AF196E">
        <w:trPr>
          <w:cantSplit/>
        </w:trPr>
        <w:tc>
          <w:tcPr>
            <w:tcW w:w="1079" w:type="pct"/>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تحديث النظام المالي ولائحته والتعميمات الإدارية المعنية</w:t>
            </w:r>
          </w:p>
        </w:tc>
        <w:tc>
          <w:tcPr>
            <w:tcW w:w="957" w:type="pct"/>
          </w:tcPr>
          <w:p w:rsidR="00B31868" w:rsidRPr="00211D55" w:rsidRDefault="00B3186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التعميمات الإدارية الصادرة في 2012 و2013. النظام المالي ولائحته المعدل في </w:t>
            </w:r>
            <w:r w:rsidR="008A6D4E" w:rsidRPr="00211D55">
              <w:rPr>
                <w:rFonts w:ascii="Arabic Typesetting" w:hAnsi="Arabic Typesetting" w:cs="Arabic Typesetting"/>
                <w:i/>
                <w:color w:val="002060"/>
                <w:sz w:val="28"/>
                <w:szCs w:val="28"/>
                <w:rtl/>
                <w:lang w:bidi="ar-EG"/>
              </w:rPr>
              <w:t>عام</w:t>
            </w:r>
            <w:r w:rsidRPr="00211D55">
              <w:rPr>
                <w:rFonts w:ascii="Arabic Typesetting" w:hAnsi="Arabic Typesetting" w:cs="Arabic Typesetting"/>
                <w:i/>
                <w:color w:val="002060"/>
                <w:sz w:val="28"/>
                <w:szCs w:val="28"/>
                <w:rtl/>
                <w:lang w:bidi="ar-EG"/>
              </w:rPr>
              <w:t xml:space="preserve"> 2012 حسب الضرورة</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 xml:space="preserve">: </w:t>
            </w:r>
            <w:r w:rsidRPr="00211D55">
              <w:rPr>
                <w:rFonts w:ascii="Arabic Typesetting" w:hAnsi="Arabic Typesetting" w:cs="Arabic Typesetting"/>
                <w:sz w:val="28"/>
                <w:szCs w:val="28"/>
                <w:rtl/>
              </w:rPr>
              <w:t xml:space="preserve">التعميمات الإدارية الصادرة في 2012 و2013. النظام المالي ولائحته المعدل في </w:t>
            </w:r>
            <w:r w:rsidR="008A6D4E" w:rsidRPr="00211D55">
              <w:rPr>
                <w:rFonts w:ascii="Arabic Typesetting" w:hAnsi="Arabic Typesetting" w:cs="Arabic Typesetting"/>
                <w:sz w:val="28"/>
                <w:szCs w:val="28"/>
                <w:rtl/>
              </w:rPr>
              <w:t>عام</w:t>
            </w:r>
            <w:r w:rsidRPr="00211D55">
              <w:rPr>
                <w:rFonts w:ascii="Arabic Typesetting" w:hAnsi="Arabic Typesetting" w:cs="Arabic Typesetting"/>
                <w:sz w:val="28"/>
                <w:szCs w:val="28"/>
                <w:rtl/>
              </w:rPr>
              <w:t xml:space="preserve"> 2012 حسب الضرورة</w:t>
            </w:r>
          </w:p>
        </w:tc>
        <w:tc>
          <w:tcPr>
            <w:tcW w:w="1015" w:type="pct"/>
            <w:tcMar>
              <w:top w:w="110" w:type="dxa"/>
              <w:left w:w="108" w:type="dxa"/>
              <w:bottom w:w="0" w:type="dxa"/>
              <w:right w:w="108" w:type="dxa"/>
            </w:tcMar>
          </w:tcPr>
          <w:p w:rsidR="00B31868" w:rsidRPr="00211D55" w:rsidRDefault="00B31868" w:rsidP="00086C3F">
            <w:pPr>
              <w:keepNext/>
              <w:keepLines/>
              <w:bidi/>
              <w:spacing w:before="60" w:after="60" w:line="280" w:lineRule="exact"/>
              <w:ind w:right="161"/>
              <w:rPr>
                <w:rFonts w:ascii="Arabic Typesetting" w:hAnsi="Arabic Typesetting" w:cs="Arabic Typesetting"/>
                <w:b/>
                <w:sz w:val="28"/>
                <w:szCs w:val="28"/>
              </w:rPr>
            </w:pPr>
            <w:r w:rsidRPr="00211D55">
              <w:rPr>
                <w:rFonts w:ascii="Arabic Typesetting" w:hAnsi="Arabic Typesetting" w:cs="Arabic Typesetting"/>
                <w:b/>
                <w:sz w:val="28"/>
                <w:szCs w:val="28"/>
                <w:rtl/>
              </w:rPr>
              <w:t>استعراض ومراجعة الإطار التنظيمي حسب الحاجة</w:t>
            </w:r>
          </w:p>
        </w:tc>
        <w:tc>
          <w:tcPr>
            <w:tcW w:w="1497" w:type="pct"/>
            <w:shd w:val="clear" w:color="auto" w:fill="FFFFFF"/>
            <w:tcMar>
              <w:top w:w="110" w:type="dxa"/>
              <w:left w:w="108" w:type="dxa"/>
              <w:bottom w:w="0" w:type="dxa"/>
              <w:right w:w="108" w:type="dxa"/>
            </w:tcMar>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مراجعة و/أو إصدار التعميمات الإدارية، بما فيها تلك التي تتناول ما يلي:</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المبادئ العامة والقواعد الأساسية للمشتريات</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سلف المرتبات</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سياسة استخدام أجهزة الاتصالات المحمولة</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إنشاء فريق إدارة المخاطر</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إجازة زيارة الوطن</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سياسة الويبو بشأن إدارة المخاطر</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المبادئ التوجيهية بشأن الإدارة النقدية والشؤون المالية للمكاتب الخارجية، النطاق والغرض</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الضيافة الرسمية</w:t>
            </w:r>
          </w:p>
          <w:p w:rsidR="00B31868" w:rsidRPr="00211D55" w:rsidRDefault="00B31868" w:rsidP="00086C3F">
            <w:pPr>
              <w:bidi/>
              <w:spacing w:before="60" w:after="60" w:line="280" w:lineRule="exact"/>
              <w:ind w:left="222"/>
              <w:contextualSpacing/>
              <w:rPr>
                <w:rFonts w:ascii="Arabic Typesetting" w:hAnsi="Arabic Typesetting" w:cs="Arabic Typesetting"/>
                <w:sz w:val="28"/>
                <w:szCs w:val="28"/>
                <w:rtl/>
              </w:rPr>
            </w:pPr>
            <w:r w:rsidRPr="00211D55">
              <w:rPr>
                <w:rFonts w:ascii="Arabic Typesetting" w:hAnsi="Arabic Typesetting" w:cs="Arabic Typesetting"/>
                <w:sz w:val="28"/>
                <w:szCs w:val="28"/>
                <w:rtl/>
              </w:rPr>
              <w:t>• السفر في مهام رسمية والمصاريف المرتبطة به</w:t>
            </w:r>
          </w:p>
          <w:p w:rsidR="00B31868" w:rsidRPr="00211D55" w:rsidRDefault="00B31868" w:rsidP="00086C3F">
            <w:pPr>
              <w:bidi/>
              <w:spacing w:before="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مراجعة وتعديل النظام المالي</w:t>
            </w:r>
            <w:r w:rsidR="004E4FF2" w:rsidRPr="00211D55">
              <w:rPr>
                <w:rFonts w:ascii="Arabic Typesetting" w:hAnsi="Arabic Typesetting" w:cs="Arabic Typesetting"/>
                <w:sz w:val="28"/>
                <w:szCs w:val="28"/>
                <w:rtl/>
              </w:rPr>
              <w:t xml:space="preserve"> ولائحته</w:t>
            </w:r>
            <w:r w:rsidRPr="00211D55">
              <w:rPr>
                <w:rFonts w:ascii="Arabic Typesetting" w:hAnsi="Arabic Typesetting" w:cs="Arabic Typesetting"/>
                <w:sz w:val="28"/>
                <w:szCs w:val="28"/>
                <w:rtl/>
              </w:rPr>
              <w:t xml:space="preserve"> في </w:t>
            </w:r>
            <w:r w:rsidR="00527833" w:rsidRPr="00211D55">
              <w:rPr>
                <w:rFonts w:ascii="Arabic Typesetting" w:hAnsi="Arabic Typesetting" w:cs="Arabic Typesetting"/>
                <w:sz w:val="28"/>
                <w:szCs w:val="28"/>
                <w:rtl/>
              </w:rPr>
              <w:t>أكتوبر </w:t>
            </w:r>
            <w:r w:rsidRPr="00211D55">
              <w:rPr>
                <w:rFonts w:ascii="Arabic Typesetting" w:hAnsi="Arabic Typesetting" w:cs="Arabic Typesetting"/>
                <w:sz w:val="28"/>
                <w:szCs w:val="28"/>
                <w:rtl/>
              </w:rPr>
              <w:t>2014</w:t>
            </w:r>
            <w:r w:rsidR="00527833" w:rsidRPr="00211D55">
              <w:rPr>
                <w:rFonts w:ascii="Arabic Typesetting" w:hAnsi="Arabic Typesetting" w:cs="Arabic Typesetting"/>
                <w:sz w:val="28"/>
                <w:szCs w:val="28"/>
                <w:rtl/>
              </w:rPr>
              <w:t xml:space="preserve"> وأكتوبر 2015</w:t>
            </w:r>
          </w:p>
          <w:p w:rsidR="00B31868" w:rsidRPr="00211D55" w:rsidRDefault="00B31868" w:rsidP="00086C3F">
            <w:pPr>
              <w:bidi/>
              <w:spacing w:before="12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 xml:space="preserve">استعراض التسميات </w:t>
            </w:r>
            <w:proofErr w:type="spellStart"/>
            <w:r w:rsidRPr="00211D55">
              <w:rPr>
                <w:rFonts w:ascii="Arabic Typesetting" w:hAnsi="Arabic Typesetting" w:cs="Arabic Typesetting"/>
                <w:sz w:val="28"/>
                <w:szCs w:val="28"/>
                <w:rtl/>
              </w:rPr>
              <w:t>البرنامجية</w:t>
            </w:r>
            <w:proofErr w:type="spellEnd"/>
            <w:r w:rsidRPr="00211D55">
              <w:rPr>
                <w:rFonts w:ascii="Arabic Typesetting" w:hAnsi="Arabic Typesetting" w:cs="Arabic Typesetting"/>
                <w:sz w:val="28"/>
                <w:szCs w:val="28"/>
                <w:rtl/>
              </w:rPr>
              <w:t xml:space="preserve"> والإدارية، و</w:t>
            </w:r>
            <w:r w:rsidR="00AF196E" w:rsidRPr="00211D55">
              <w:rPr>
                <w:rFonts w:ascii="Arabic Typesetting" w:hAnsi="Arabic Typesetting" w:cs="Arabic Typesetting"/>
                <w:sz w:val="28"/>
                <w:szCs w:val="28"/>
                <w:rtl/>
              </w:rPr>
              <w:t>الدول الموقعة في برنامج الأمم المتحدة الإنمائي و</w:t>
            </w:r>
            <w:r w:rsidRPr="00211D55">
              <w:rPr>
                <w:rFonts w:ascii="Arabic Typesetting" w:hAnsi="Arabic Typesetting" w:cs="Arabic Typesetting"/>
                <w:sz w:val="28"/>
                <w:szCs w:val="28"/>
                <w:rtl/>
              </w:rPr>
              <w:t>تطوير تطبيق إلكتروني لإدارة تسميات البرامج</w:t>
            </w:r>
          </w:p>
        </w:tc>
        <w:tc>
          <w:tcPr>
            <w:tcW w:w="452" w:type="pct"/>
            <w:shd w:val="clear" w:color="auto" w:fill="auto"/>
            <w:tcMar>
              <w:top w:w="110" w:type="dxa"/>
              <w:left w:w="108" w:type="dxa"/>
              <w:bottom w:w="0" w:type="dxa"/>
              <w:right w:w="108" w:type="dxa"/>
            </w:tcMar>
          </w:tcPr>
          <w:p w:rsidR="00B31868" w:rsidRPr="00211D55" w:rsidRDefault="00527833" w:rsidP="00086C3F">
            <w:pPr>
              <w:keepLines/>
              <w:bidi/>
              <w:spacing w:before="60" w:after="60" w:line="280" w:lineRule="exact"/>
              <w:jc w:val="center"/>
              <w:rPr>
                <w:rFonts w:ascii="Arabic Typesetting" w:hAnsi="Arabic Typesetting" w:cs="Arabic Typesetting"/>
                <w:bCs/>
                <w:color w:val="808080"/>
                <w:sz w:val="28"/>
                <w:szCs w:val="28"/>
                <w:lang w:bidi="ar-EG"/>
              </w:rPr>
            </w:pPr>
            <w:r w:rsidRPr="00211D55">
              <w:rPr>
                <w:rFonts w:ascii="Arabic Typesetting" w:hAnsi="Arabic Typesetting" w:cs="Arabic Typesetting"/>
                <w:b/>
                <w:bCs/>
                <w:color w:val="00B050"/>
                <w:sz w:val="28"/>
                <w:szCs w:val="28"/>
                <w:rtl/>
              </w:rPr>
              <w:t>محقق كلياً</w:t>
            </w:r>
          </w:p>
        </w:tc>
      </w:tr>
    </w:tbl>
    <w:p w:rsidR="00AF196E" w:rsidRPr="00141A0B"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AF196E" w:rsidRPr="00211D55" w:rsidTr="00EA50DF">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AF196E" w:rsidRPr="00211D55" w:rsidRDefault="00AF196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AF196E" w:rsidRPr="00211D55" w:rsidRDefault="00AF196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AF196E" w:rsidRPr="00211D55" w:rsidRDefault="00AF196E"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AF196E"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AF196E" w:rsidRPr="00211D55" w:rsidTr="008A6D4E">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AF196E" w:rsidRPr="003B526C" w:rsidRDefault="00AF196E"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قد ينتج عن استمرار الأزمة الاقتصادية والمالية العالمية انخفاض مستويات الإيرادات </w:t>
            </w:r>
            <w:r w:rsidR="004E4FF2" w:rsidRPr="00211D55">
              <w:rPr>
                <w:rFonts w:ascii="Arabic Typesetting" w:hAnsi="Arabic Typesetting" w:cs="Arabic Typesetting" w:hint="cs"/>
                <w:sz w:val="28"/>
                <w:szCs w:val="28"/>
                <w:rtl/>
              </w:rPr>
              <w:t>انخفاضاً</w:t>
            </w:r>
            <w:r w:rsidRPr="00211D55">
              <w:rPr>
                <w:rFonts w:ascii="Arabic Typesetting" w:hAnsi="Arabic Typesetting" w:cs="Arabic Typesetting"/>
                <w:sz w:val="28"/>
                <w:szCs w:val="28"/>
                <w:rtl/>
              </w:rPr>
              <w:t xml:space="preserve"> كبير</w:t>
            </w:r>
            <w:r w:rsidR="004E4FF2" w:rsidRPr="00211D55">
              <w:rPr>
                <w:rFonts w:ascii="Arabic Typesetting" w:hAnsi="Arabic Typesetting" w:cs="Arabic Typesetting" w:hint="cs"/>
                <w:sz w:val="28"/>
                <w:szCs w:val="28"/>
                <w:rtl/>
              </w:rPr>
              <w:t>اً</w:t>
            </w:r>
            <w:r w:rsidRPr="00211D55">
              <w:rPr>
                <w:rFonts w:ascii="Arabic Typesetting" w:hAnsi="Arabic Typesetting" w:cs="Arabic Typesetting"/>
                <w:sz w:val="28"/>
                <w:szCs w:val="28"/>
                <w:rtl/>
              </w:rPr>
              <w:t xml:space="preserve"> عمّا هو مخطط. وقد يؤدي ذلك </w:t>
            </w:r>
            <w:r w:rsidR="004E4FF2" w:rsidRPr="00211D55">
              <w:rPr>
                <w:rFonts w:ascii="Arabic Typesetting" w:hAnsi="Arabic Typesetting" w:cs="Arabic Typesetting" w:hint="cs"/>
                <w:sz w:val="28"/>
                <w:szCs w:val="28"/>
                <w:rtl/>
              </w:rPr>
              <w:t>و</w:t>
            </w:r>
            <w:r w:rsidRPr="00211D55">
              <w:rPr>
                <w:rFonts w:ascii="Arabic Typesetting" w:hAnsi="Arabic Typesetting" w:cs="Arabic Typesetting"/>
                <w:sz w:val="28"/>
                <w:szCs w:val="28"/>
                <w:rtl/>
              </w:rPr>
              <w:t xml:space="preserve">عدم القدرة على التصرف بسرعة </w:t>
            </w:r>
            <w:r w:rsidR="004E4FF2" w:rsidRPr="00211D55">
              <w:rPr>
                <w:rFonts w:ascii="Arabic Typesetting" w:hAnsi="Arabic Typesetting" w:cs="Arabic Typesetting" w:hint="cs"/>
                <w:sz w:val="28"/>
                <w:szCs w:val="28"/>
                <w:rtl/>
              </w:rPr>
              <w:t>ل</w:t>
            </w:r>
            <w:r w:rsidRPr="00211D55">
              <w:rPr>
                <w:rFonts w:ascii="Arabic Typesetting" w:hAnsi="Arabic Typesetting" w:cs="Arabic Typesetting"/>
                <w:sz w:val="28"/>
                <w:szCs w:val="28"/>
                <w:rtl/>
              </w:rPr>
              <w:t xml:space="preserve">تقليص النفقات لمستوى مناسب، إلى </w:t>
            </w:r>
            <w:r w:rsidR="004E4FF2" w:rsidRPr="00211D55">
              <w:rPr>
                <w:rFonts w:ascii="Arabic Typesetting" w:hAnsi="Arabic Typesetting" w:cs="Arabic Typesetting" w:hint="cs"/>
                <w:sz w:val="28"/>
                <w:szCs w:val="28"/>
                <w:rtl/>
              </w:rPr>
              <w:t xml:space="preserve">تسجيل </w:t>
            </w:r>
            <w:r w:rsidR="004E4FF2" w:rsidRPr="00211D55">
              <w:rPr>
                <w:rFonts w:ascii="Arabic Typesetting" w:hAnsi="Arabic Typesetting" w:cs="Arabic Typesetting"/>
                <w:sz w:val="28"/>
                <w:szCs w:val="28"/>
                <w:rtl/>
              </w:rPr>
              <w:t>عجز والتأثير سلب</w:t>
            </w:r>
            <w:r w:rsidRPr="00211D55">
              <w:rPr>
                <w:rFonts w:ascii="Arabic Typesetting" w:hAnsi="Arabic Typesetting" w:cs="Arabic Typesetting"/>
                <w:sz w:val="28"/>
                <w:szCs w:val="28"/>
                <w:rtl/>
              </w:rPr>
              <w:t xml:space="preserve">ا </w:t>
            </w:r>
            <w:r w:rsidR="004E4FF2" w:rsidRPr="00211D55">
              <w:rPr>
                <w:rFonts w:ascii="Arabic Typesetting" w:hAnsi="Arabic Typesetting" w:cs="Arabic Typesetting" w:hint="cs"/>
                <w:sz w:val="28"/>
                <w:szCs w:val="28"/>
                <w:rtl/>
              </w:rPr>
              <w:t>في</w:t>
            </w:r>
            <w:r w:rsidRPr="00211D55">
              <w:rPr>
                <w:rFonts w:ascii="Arabic Typesetting" w:hAnsi="Arabic Typesetting" w:cs="Arabic Typesetting"/>
                <w:sz w:val="28"/>
                <w:szCs w:val="28"/>
                <w:rtl/>
              </w:rPr>
              <w:t xml:space="preserve"> إنجاز البرنامج.</w:t>
            </w:r>
          </w:p>
        </w:tc>
        <w:tc>
          <w:tcPr>
            <w:tcW w:w="2200" w:type="dxa"/>
            <w:tcBorders>
              <w:top w:val="single" w:sz="4" w:space="0" w:color="auto"/>
              <w:bottom w:val="single" w:sz="4" w:space="0" w:color="auto"/>
            </w:tcBorders>
            <w:shd w:val="clear" w:color="auto" w:fill="auto"/>
            <w:tcMar>
              <w:top w:w="113" w:type="dxa"/>
              <w:bottom w:w="113" w:type="dxa"/>
            </w:tcMar>
          </w:tcPr>
          <w:p w:rsidR="00AF196E" w:rsidRPr="00211D55" w:rsidRDefault="00AF196E" w:rsidP="00990AC7">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تحافظ المنظمة على مستوى مناسب من الأموال الاحتياطية (</w:t>
            </w:r>
            <w:r w:rsidR="004E4FF2" w:rsidRPr="00211D55">
              <w:rPr>
                <w:rFonts w:ascii="Arabic Typesetting" w:hAnsi="Arabic Typesetting" w:cs="Arabic Typesetting" w:hint="cs"/>
                <w:sz w:val="28"/>
                <w:szCs w:val="28"/>
                <w:rtl/>
              </w:rPr>
              <w:t>نحو</w:t>
            </w:r>
            <w:r w:rsidRPr="00211D55">
              <w:rPr>
                <w:rFonts w:ascii="Arabic Typesetting" w:hAnsi="Arabic Typesetting" w:cs="Arabic Typesetting"/>
                <w:sz w:val="28"/>
                <w:szCs w:val="28"/>
                <w:rtl/>
              </w:rPr>
              <w:t xml:space="preserve"> 18</w:t>
            </w:r>
            <w:r w:rsidR="00990AC7">
              <w:rPr>
                <w:rFonts w:ascii="Arabic Typesetting" w:hAnsi="Arabic Typesetting" w:cs="Arabic Typesetting" w:hint="cs"/>
                <w:sz w:val="28"/>
                <w:szCs w:val="28"/>
                <w:rtl/>
              </w:rPr>
              <w:t xml:space="preserve"> بالمئة</w:t>
            </w:r>
            <w:r w:rsidRPr="00211D55">
              <w:rPr>
                <w:rFonts w:ascii="Arabic Typesetting" w:hAnsi="Arabic Typesetting" w:cs="Arabic Typesetting"/>
                <w:sz w:val="28"/>
                <w:szCs w:val="28"/>
                <w:rtl/>
              </w:rPr>
              <w:t xml:space="preserve"> من ميزانية الثنائية) لكي تكون قادرة على مواجهة أي احتمال لانخفاض الإيرادات.</w:t>
            </w:r>
          </w:p>
          <w:p w:rsidR="00AF196E" w:rsidRPr="00211D55" w:rsidRDefault="00AF196E"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وترصد الأمانة النفقات عن كثب من خلال عملية رصد الإيرادات والنفقات المعززة وعن طريق فريق إدارة الأزمات.</w:t>
            </w:r>
          </w:p>
        </w:tc>
        <w:tc>
          <w:tcPr>
            <w:tcW w:w="2310" w:type="dxa"/>
            <w:tcBorders>
              <w:top w:val="single" w:sz="4" w:space="0" w:color="auto"/>
              <w:bottom w:val="single" w:sz="4" w:space="0" w:color="auto"/>
            </w:tcBorders>
          </w:tcPr>
          <w:p w:rsidR="00AF196E" w:rsidRPr="003B526C" w:rsidRDefault="00AF196E" w:rsidP="003B526C">
            <w:pPr>
              <w:bidi/>
              <w:spacing w:before="60" w:after="60" w:line="280" w:lineRule="exact"/>
              <w:rPr>
                <w:rFonts w:ascii="Arabic Typesetting" w:hAnsi="Arabic Typesetting" w:cs="Arabic Typesetting"/>
                <w:sz w:val="28"/>
                <w:szCs w:val="28"/>
                <w:rtl/>
              </w:rPr>
            </w:pPr>
            <w:r w:rsidRPr="003B526C">
              <w:rPr>
                <w:rFonts w:ascii="Arabic Typesetting" w:hAnsi="Arabic Typesetting" w:cs="Arabic Typesetting" w:hint="cs"/>
                <w:sz w:val="28"/>
                <w:szCs w:val="28"/>
                <w:rtl/>
              </w:rPr>
              <w:t>كانت مستويات الإيرادات أعلى من المتوقع على مدار الثنائية وتواصل اتخاذ التدابير الملائمة للحد من وطأة الخطر المحدد.</w:t>
            </w:r>
          </w:p>
          <w:p w:rsidR="00AF196E" w:rsidRPr="003B526C" w:rsidRDefault="004E4FF2" w:rsidP="00990AC7">
            <w:pPr>
              <w:bidi/>
              <w:spacing w:before="60" w:after="60" w:line="280" w:lineRule="exact"/>
              <w:rPr>
                <w:rFonts w:ascii="Arabic Typesetting" w:hAnsi="Arabic Typesetting" w:cs="Arabic Typesetting"/>
                <w:sz w:val="28"/>
                <w:szCs w:val="28"/>
                <w:rtl/>
              </w:rPr>
            </w:pPr>
            <w:r w:rsidRPr="003B526C">
              <w:rPr>
                <w:rFonts w:ascii="Arabic Typesetting" w:hAnsi="Arabic Typesetting" w:cs="Arabic Typesetting" w:hint="cs"/>
                <w:sz w:val="28"/>
                <w:szCs w:val="28"/>
                <w:rtl/>
              </w:rPr>
              <w:t>و</w:t>
            </w:r>
            <w:r w:rsidR="00AF196E" w:rsidRPr="003B526C">
              <w:rPr>
                <w:rFonts w:ascii="Arabic Typesetting" w:hAnsi="Arabic Typesetting" w:cs="Arabic Typesetting" w:hint="cs"/>
                <w:sz w:val="28"/>
                <w:szCs w:val="28"/>
                <w:rtl/>
              </w:rPr>
              <w:t xml:space="preserve">نظرت الدول الأعضاء في مستوى الاحتياطي المنشود كجزء من مراجعة سياسة الويبو </w:t>
            </w:r>
            <w:r w:rsidRPr="003B526C">
              <w:rPr>
                <w:rFonts w:ascii="Arabic Typesetting" w:hAnsi="Arabic Typesetting" w:cs="Arabic Typesetting" w:hint="cs"/>
                <w:sz w:val="28"/>
                <w:szCs w:val="28"/>
                <w:rtl/>
              </w:rPr>
              <w:t xml:space="preserve">المتعلقة بالأموال الاحتياطية ورُفع مستواها </w:t>
            </w:r>
            <w:r w:rsidR="00AF196E" w:rsidRPr="003B526C">
              <w:rPr>
                <w:rFonts w:ascii="Arabic Typesetting" w:hAnsi="Arabic Typesetting" w:cs="Arabic Typesetting" w:hint="cs"/>
                <w:sz w:val="28"/>
                <w:szCs w:val="28"/>
                <w:rtl/>
              </w:rPr>
              <w:t>إلى 22</w:t>
            </w:r>
            <w:r w:rsidR="00990AC7">
              <w:rPr>
                <w:rFonts w:ascii="Arabic Typesetting" w:hAnsi="Arabic Typesetting" w:cs="Arabic Typesetting" w:hint="cs"/>
                <w:sz w:val="28"/>
                <w:szCs w:val="28"/>
                <w:rtl/>
              </w:rPr>
              <w:t xml:space="preserve"> بالمئة</w:t>
            </w:r>
            <w:r w:rsidR="00AF196E" w:rsidRPr="003B526C">
              <w:rPr>
                <w:rFonts w:ascii="Arabic Typesetting" w:hAnsi="Arabic Typesetting" w:cs="Arabic Typesetting" w:hint="cs"/>
                <w:sz w:val="28"/>
                <w:szCs w:val="28"/>
                <w:rtl/>
              </w:rPr>
              <w:t xml:space="preserve"> بغية تعزيز الحد من وطأة هذا الخطر.</w:t>
            </w:r>
          </w:p>
          <w:p w:rsidR="00AF196E" w:rsidRPr="003B526C" w:rsidRDefault="00AF196E" w:rsidP="003B526C">
            <w:pPr>
              <w:bidi/>
              <w:spacing w:before="60" w:after="60" w:line="280" w:lineRule="exact"/>
              <w:rPr>
                <w:rFonts w:ascii="Arabic Typesetting" w:hAnsi="Arabic Typesetting" w:cs="Arabic Typesetting"/>
                <w:sz w:val="28"/>
                <w:szCs w:val="28"/>
                <w:rtl/>
              </w:rPr>
            </w:pPr>
            <w:r w:rsidRPr="003B526C">
              <w:rPr>
                <w:rFonts w:ascii="Arabic Typesetting" w:hAnsi="Arabic Typesetting" w:cs="Arabic Typesetting" w:hint="cs"/>
                <w:sz w:val="28"/>
                <w:szCs w:val="28"/>
                <w:rtl/>
              </w:rPr>
              <w:t>واستمرت المنظمة في مراقبة تطور الإيرادات والنفقات عن كثب عن طريق فريق إدارة المخاطر الحديث الإنشاء.</w:t>
            </w:r>
          </w:p>
          <w:p w:rsidR="00AF196E" w:rsidRPr="003B526C" w:rsidRDefault="00AF196E" w:rsidP="003B526C">
            <w:pPr>
              <w:bidi/>
              <w:spacing w:before="60" w:after="60" w:line="280" w:lineRule="exact"/>
              <w:rPr>
                <w:rFonts w:ascii="Arabic Typesetting" w:hAnsi="Arabic Typesetting" w:cs="Arabic Typesetting"/>
                <w:sz w:val="28"/>
                <w:szCs w:val="28"/>
              </w:rPr>
            </w:pPr>
            <w:proofErr w:type="spellStart"/>
            <w:r w:rsidRPr="003B526C">
              <w:rPr>
                <w:rFonts w:ascii="Arabic Typesetting" w:hAnsi="Arabic Typesetting" w:cs="Arabic Typesetting" w:hint="cs"/>
                <w:sz w:val="28"/>
                <w:szCs w:val="28"/>
                <w:rtl/>
              </w:rPr>
              <w:t>و</w:t>
            </w:r>
            <w:r w:rsidRPr="003B526C">
              <w:rPr>
                <w:rFonts w:ascii="Arabic Typesetting" w:hAnsi="Arabic Typesetting" w:cs="Arabic Typesetting"/>
                <w:sz w:val="28"/>
                <w:szCs w:val="28"/>
                <w:rtl/>
              </w:rPr>
              <w:t>‏في</w:t>
            </w:r>
            <w:proofErr w:type="spellEnd"/>
            <w:r w:rsidRPr="003B526C">
              <w:rPr>
                <w:rFonts w:ascii="Arabic Typesetting" w:hAnsi="Arabic Typesetting" w:cs="Arabic Typesetting"/>
                <w:sz w:val="28"/>
                <w:szCs w:val="28"/>
                <w:rtl/>
              </w:rPr>
              <w:t xml:space="preserve"> 15 يناير 2015، أعلن البنك الوطني السويسري (البنك المركزي السويسري) </w:t>
            </w:r>
            <w:r w:rsidRPr="003B526C">
              <w:rPr>
                <w:rFonts w:ascii="Arabic Typesetting" w:hAnsi="Arabic Typesetting" w:cs="Arabic Typesetting" w:hint="cs"/>
                <w:sz w:val="28"/>
                <w:szCs w:val="28"/>
                <w:rtl/>
              </w:rPr>
              <w:t>إيقاف</w:t>
            </w:r>
            <w:r w:rsidRPr="003B526C">
              <w:rPr>
                <w:rFonts w:ascii="Arabic Typesetting" w:hAnsi="Arabic Typesetting" w:cs="Arabic Typesetting"/>
                <w:sz w:val="28"/>
                <w:szCs w:val="28"/>
                <w:rtl/>
              </w:rPr>
              <w:t xml:space="preserve"> سياسة الحفاظ على سعر الصرف الأدنى البالغ 1.20 فرنك سويسري لليورو الواحد</w:t>
            </w:r>
            <w:r w:rsidRPr="003B526C">
              <w:rPr>
                <w:rFonts w:ascii="Arabic Typesetting" w:hAnsi="Arabic Typesetting" w:cs="Arabic Typesetting" w:hint="cs"/>
                <w:sz w:val="28"/>
                <w:szCs w:val="28"/>
                <w:rtl/>
              </w:rPr>
              <w:t xml:space="preserve">، وطبق معدلات فائدة سلبية على </w:t>
            </w:r>
            <w:r w:rsidR="009F5F08" w:rsidRPr="003B526C">
              <w:rPr>
                <w:rFonts w:ascii="Arabic Typesetting" w:hAnsi="Arabic Typesetting" w:cs="Arabic Typesetting" w:hint="cs"/>
                <w:sz w:val="28"/>
                <w:szCs w:val="28"/>
                <w:rtl/>
              </w:rPr>
              <w:t>زبائن</w:t>
            </w:r>
            <w:r w:rsidRPr="003B526C">
              <w:rPr>
                <w:rFonts w:ascii="Arabic Typesetting" w:hAnsi="Arabic Typesetting" w:cs="Arabic Typesetting" w:hint="cs"/>
                <w:sz w:val="28"/>
                <w:szCs w:val="28"/>
                <w:rtl/>
              </w:rPr>
              <w:t xml:space="preserve"> خدمات التجزئة المصرفية. واعتمدت إجراءات معززة لإدارة النقد بغية الحد من أثر معدلات الفائدة السلبية في أرصدة الويبو النقدية.</w:t>
            </w:r>
          </w:p>
        </w:tc>
        <w:tc>
          <w:tcPr>
            <w:tcW w:w="2306" w:type="dxa"/>
            <w:tcBorders>
              <w:top w:val="single" w:sz="4" w:space="0" w:color="auto"/>
              <w:bottom w:val="single" w:sz="4" w:space="0" w:color="auto"/>
              <w:right w:val="single" w:sz="4" w:space="0" w:color="auto"/>
            </w:tcBorders>
          </w:tcPr>
          <w:p w:rsidR="00AF196E" w:rsidRPr="003B526C" w:rsidRDefault="00AF196E" w:rsidP="002F200B">
            <w:pPr>
              <w:bidi/>
              <w:spacing w:before="60" w:after="60" w:line="280" w:lineRule="exact"/>
              <w:rPr>
                <w:rFonts w:ascii="Arabic Typesetting" w:hAnsi="Arabic Typesetting" w:cs="Arabic Typesetting"/>
                <w:sz w:val="28"/>
                <w:szCs w:val="28"/>
                <w:rtl/>
              </w:rPr>
            </w:pPr>
            <w:r w:rsidRPr="003B526C">
              <w:rPr>
                <w:rFonts w:ascii="Arabic Typesetting" w:hAnsi="Arabic Typesetting" w:cs="Arabic Typesetting" w:hint="cs"/>
                <w:sz w:val="28"/>
                <w:szCs w:val="28"/>
                <w:rtl/>
              </w:rPr>
              <w:t xml:space="preserve">لم يؤثر هذا الخطر ولا تطوره </w:t>
            </w:r>
            <w:r w:rsidR="002F200B">
              <w:rPr>
                <w:rFonts w:ascii="Arabic Typesetting" w:hAnsi="Arabic Typesetting" w:cs="Arabic Typesetting" w:hint="cs"/>
                <w:sz w:val="28"/>
                <w:szCs w:val="28"/>
                <w:rtl/>
              </w:rPr>
              <w:t>تأثيراً مادياً</w:t>
            </w:r>
            <w:r w:rsidRPr="003B526C">
              <w:rPr>
                <w:rFonts w:ascii="Arabic Typesetting" w:hAnsi="Arabic Typesetting" w:cs="Arabic Typesetting" w:hint="cs"/>
                <w:sz w:val="28"/>
                <w:szCs w:val="28"/>
                <w:rtl/>
              </w:rPr>
              <w:t xml:space="preserve"> في أداء البرنامج </w:t>
            </w:r>
            <w:r w:rsidR="00520275" w:rsidRPr="003B526C">
              <w:rPr>
                <w:rFonts w:ascii="Arabic Typesetting" w:hAnsi="Arabic Typesetting" w:cs="Arabic Typesetting" w:hint="cs"/>
                <w:sz w:val="28"/>
                <w:szCs w:val="28"/>
                <w:rtl/>
              </w:rPr>
              <w:t xml:space="preserve">للفترة </w:t>
            </w:r>
            <w:r w:rsidR="00507DE2">
              <w:rPr>
                <w:rFonts w:ascii="Arabic Typesetting" w:hAnsi="Arabic Typesetting" w:cs="Arabic Typesetting" w:hint="cs"/>
                <w:sz w:val="28"/>
                <w:szCs w:val="28"/>
                <w:rtl/>
              </w:rPr>
              <w:t>2014/15</w:t>
            </w:r>
            <w:r w:rsidRPr="003B526C">
              <w:rPr>
                <w:rFonts w:ascii="Arabic Typesetting" w:hAnsi="Arabic Typesetting" w:cs="Arabic Typesetting" w:hint="cs"/>
                <w:sz w:val="28"/>
                <w:szCs w:val="28"/>
                <w:rtl/>
              </w:rPr>
              <w:t>.</w:t>
            </w: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60" w:after="60" w:line="280" w:lineRule="exact"/>
              <w:rPr>
                <w:rFonts w:ascii="Arabic Typesetting" w:hAnsi="Arabic Typesetting" w:cs="Arabic Typesetting"/>
                <w:sz w:val="28"/>
                <w:szCs w:val="28"/>
                <w:rtl/>
              </w:rPr>
            </w:pPr>
          </w:p>
          <w:p w:rsidR="00AF196E" w:rsidRPr="003B526C" w:rsidRDefault="00AF196E" w:rsidP="003B526C">
            <w:pPr>
              <w:bidi/>
              <w:spacing w:before="200" w:after="60" w:line="280" w:lineRule="exact"/>
              <w:rPr>
                <w:rFonts w:ascii="Arabic Typesetting" w:hAnsi="Arabic Typesetting" w:cs="Arabic Typesetting"/>
                <w:sz w:val="28"/>
                <w:szCs w:val="28"/>
              </w:rPr>
            </w:pPr>
            <w:r w:rsidRPr="003B526C">
              <w:rPr>
                <w:rFonts w:ascii="Arabic Typesetting" w:hAnsi="Arabic Typesetting" w:cs="Arabic Typesetting" w:hint="cs"/>
                <w:sz w:val="28"/>
                <w:szCs w:val="28"/>
                <w:rtl/>
              </w:rPr>
              <w:t>أدى فصل سعر صرف العملتين إلى أثر سلبي عام على الإيرادات الواردة باليورو والمحولة إلى الفرنك السويسري فضلاً عن تقليص فرص الحصول على فائدة على فائض النقد</w:t>
            </w:r>
            <w:r w:rsidR="004E30B6" w:rsidRPr="003B526C">
              <w:rPr>
                <w:rFonts w:ascii="Arabic Typesetting" w:hAnsi="Arabic Typesetting" w:cs="Arabic Typesetting" w:hint="cs"/>
                <w:sz w:val="28"/>
                <w:szCs w:val="28"/>
                <w:rtl/>
              </w:rPr>
              <w:t xml:space="preserve"> تقليصاً كبيراً.</w:t>
            </w:r>
          </w:p>
        </w:tc>
      </w:tr>
    </w:tbl>
    <w:p w:rsidR="00B264F9" w:rsidRPr="00B264F9" w:rsidRDefault="00B264F9" w:rsidP="002C5322">
      <w:pPr>
        <w:keepNext/>
        <w:bidi/>
        <w:spacing w:before="120" w:after="120" w:line="340" w:lineRule="exact"/>
        <w:rPr>
          <w:rFonts w:ascii="Arabic Typesetting" w:hAnsi="Arabic Typesetting" w:cs="Arabic Typesetting"/>
          <w:sz w:val="34"/>
          <w:szCs w:val="34"/>
          <w:lang w:bidi="ar-EG"/>
        </w:rPr>
      </w:pPr>
      <w:r w:rsidRPr="002C5322">
        <w:rPr>
          <w:rFonts w:ascii="Arabic Typesetting" w:hAnsi="Arabic Typesetting" w:cs="Arabic Typesetting" w:hint="cs"/>
          <w:sz w:val="34"/>
          <w:szCs w:val="34"/>
          <w:rtl/>
          <w:lang w:bidi="ar-EG"/>
        </w:rPr>
        <w:t>استخدام الموارد</w:t>
      </w:r>
    </w:p>
    <w:p w:rsidR="00141A0B" w:rsidRPr="00B31868" w:rsidRDefault="00774E37" w:rsidP="00B05B47">
      <w:pPr>
        <w:keepNext/>
        <w:bidi/>
        <w:spacing w:line="340" w:lineRule="exact"/>
        <w:jc w:val="center"/>
        <w:rPr>
          <w:rFonts w:ascii="Arabic Typesetting" w:hAnsi="Arabic Typesetting" w:cs="Arabic Typesetting"/>
          <w:sz w:val="34"/>
          <w:szCs w:val="34"/>
          <w:rtl/>
          <w:lang w:bidi="ar-EG"/>
        </w:rPr>
      </w:pPr>
      <w:r w:rsidRPr="00774E37">
        <w:rPr>
          <w:rFonts w:ascii="Arabic Typesetting" w:hAnsi="Arabic Typesetting" w:cs="Arabic Typesetting"/>
          <w:color w:val="000000"/>
          <w:sz w:val="34"/>
          <w:szCs w:val="34"/>
          <w:rtl/>
        </w:rPr>
        <w:t>الميزانية والنفقات الفعلية (بحسب النتائج)</w:t>
      </w:r>
    </w:p>
    <w:p w:rsidR="00141A0B" w:rsidRPr="00B31868" w:rsidRDefault="00141A0B" w:rsidP="00141A0B">
      <w:pPr>
        <w:keepNext/>
        <w:bidi/>
        <w:spacing w:after="120" w:line="340" w:lineRule="exact"/>
        <w:jc w:val="center"/>
        <w:rPr>
          <w:rFonts w:ascii="Arabic Typesetting" w:hAnsi="Arabic Typesetting" w:cs="Arabic Typesetting"/>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4E30B6" w:rsidRPr="00211D55" w:rsidTr="00EA50DF">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4E30B6" w:rsidRPr="00211D55" w:rsidRDefault="004E30B6"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E30B6" w:rsidRPr="00211D55" w:rsidRDefault="004E30B6"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E30B6" w:rsidRPr="00211D55" w:rsidRDefault="004E30B6"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4E30B6" w:rsidRPr="00211D55" w:rsidRDefault="004E30B6"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4E30B6" w:rsidRPr="00211D55" w:rsidTr="00815916">
        <w:trPr>
          <w:cantSplit/>
          <w:trHeight w:val="710"/>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4E30B6" w:rsidRPr="00211D55" w:rsidRDefault="004E30B6" w:rsidP="002C5322">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ھ1.9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3F15BC" w:rsidP="002C5322">
            <w:pPr>
              <w:keepNext/>
              <w:bidi/>
              <w:rPr>
                <w:rFonts w:ascii="Arabic Typesetting" w:hAnsi="Arabic Typesetting" w:cs="Arabic Typesetting"/>
                <w:sz w:val="28"/>
                <w:szCs w:val="28"/>
              </w:rPr>
            </w:pPr>
            <w:r>
              <w:rPr>
                <w:rFonts w:ascii="Arabic Typesetting" w:hAnsi="Arabic Typesetting" w:cs="Arabic Typesetting"/>
                <w:sz w:val="28"/>
                <w:szCs w:val="28"/>
                <w:rtl/>
              </w:rPr>
              <w:t>خدمات دعم فعالة وناجعة وذات جودة موجهة نحو الزبائن لفائدة الزبائن الداخليين وأصحاب المصالح الخارجيين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8,212</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11,954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11,933</w:t>
            </w:r>
          </w:p>
        </w:tc>
      </w:tr>
      <w:tr w:rsidR="004E30B6" w:rsidRPr="00211D55" w:rsidTr="00815916">
        <w:trPr>
          <w:cantSplit/>
          <w:trHeight w:val="51"/>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4E30B6" w:rsidRPr="00211D55" w:rsidRDefault="004E30B6" w:rsidP="002C5322">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ھ2.9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3F15BC" w:rsidP="002C5322">
            <w:pPr>
              <w:keepNext/>
              <w:bidi/>
              <w:rPr>
                <w:rFonts w:ascii="Arabic Typesetting" w:hAnsi="Arabic Typesetting" w:cs="Arabic Typesetting"/>
                <w:sz w:val="28"/>
                <w:szCs w:val="28"/>
              </w:rPr>
            </w:pPr>
            <w:r>
              <w:rPr>
                <w:rFonts w:ascii="Arabic Typesetting" w:hAnsi="Arabic Typesetting" w:cs="Arabic Typesetting"/>
                <w:sz w:val="28"/>
                <w:szCs w:val="28"/>
                <w:rtl/>
              </w:rPr>
              <w:t>أمانة تعمل بنشاط وسلاسة بقوى عاملة حسنة الإدارة وذات مهارات مناسبة وتحقق النتائج بكفاءة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16,372</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12,347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11,757</w:t>
            </w:r>
          </w:p>
        </w:tc>
      </w:tr>
      <w:tr w:rsidR="004E30B6" w:rsidRPr="00211D55" w:rsidTr="00815916">
        <w:trPr>
          <w:cantSplit/>
          <w:trHeight w:val="51"/>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4E30B6" w:rsidRPr="00211D55" w:rsidRDefault="004E30B6" w:rsidP="002C5322">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ھ3.9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3F15BC" w:rsidP="002C5322">
            <w:pPr>
              <w:keepNext/>
              <w:bidi/>
              <w:rPr>
                <w:rFonts w:ascii="Arabic Typesetting" w:hAnsi="Arabic Typesetting" w:cs="Arabic Typesetting"/>
                <w:sz w:val="28"/>
                <w:szCs w:val="28"/>
              </w:rPr>
            </w:pPr>
            <w:r>
              <w:rPr>
                <w:rFonts w:ascii="Arabic Typesetting" w:hAnsi="Arabic Typesetting" w:cs="Arabic Typesetting"/>
                <w:sz w:val="28"/>
                <w:szCs w:val="28"/>
                <w:rtl/>
              </w:rPr>
              <w:t>بيئة عمل داعمة ومسنودة بإطار تنظيمي فعال وقنوات فعالة لمعالجة مشاغل الموظفين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1,923</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1,238</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E30B6" w:rsidRPr="00211D55" w:rsidRDefault="004E30B6" w:rsidP="002C5322">
            <w:pPr>
              <w:keepNext/>
              <w:rPr>
                <w:rFonts w:ascii="Arabic Typesetting" w:hAnsi="Arabic Typesetting" w:cs="Arabic Typesetting"/>
                <w:sz w:val="28"/>
                <w:szCs w:val="28"/>
              </w:rPr>
            </w:pPr>
            <w:r w:rsidRPr="00211D55">
              <w:rPr>
                <w:rFonts w:ascii="Arabic Typesetting" w:hAnsi="Arabic Typesetting" w:cs="Arabic Typesetting"/>
                <w:sz w:val="28"/>
                <w:szCs w:val="28"/>
              </w:rPr>
              <w:t>1,165</w:t>
            </w:r>
          </w:p>
        </w:tc>
      </w:tr>
      <w:tr w:rsidR="004E30B6" w:rsidRPr="00211D55" w:rsidTr="00815916">
        <w:trPr>
          <w:cantSplit/>
          <w:trHeight w:val="231"/>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4E30B6" w:rsidRPr="00211D55" w:rsidRDefault="004E30B6"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ھ8.9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3F15BC" w:rsidP="00086C3F">
            <w:pPr>
              <w:bidi/>
              <w:rPr>
                <w:rFonts w:ascii="Arabic Typesetting" w:hAnsi="Arabic Typesetting" w:cs="Arabic Typesetting"/>
                <w:sz w:val="28"/>
                <w:szCs w:val="28"/>
              </w:rPr>
            </w:pPr>
            <w:r>
              <w:rPr>
                <w:rFonts w:ascii="Arabic Typesetting" w:hAnsi="Arabic Typesetting" w:cs="Arabic Typesetting"/>
                <w:sz w:val="28"/>
                <w:szCs w:val="28"/>
                <w:rtl/>
              </w:rPr>
              <w:t>تحسين المساءلة والتعلم المؤسسي والقيمة المالية والريادة والمراقبة الداخلية والحوكمة المؤسسية من خلال الاستعانة برقابة فعالة ومستقلة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4E30B6" w:rsidP="00086C3F">
            <w:pPr>
              <w:rPr>
                <w:rFonts w:ascii="Arabic Typesetting" w:hAnsi="Arabic Typesetting" w:cs="Arabic Typesetting"/>
                <w:sz w:val="28"/>
                <w:szCs w:val="28"/>
              </w:rPr>
            </w:pPr>
            <w:r w:rsidRPr="00211D55">
              <w:rPr>
                <w:rFonts w:ascii="Arabic Typesetting" w:hAnsi="Arabic Typesetting" w:cs="Arabic Typesetting"/>
                <w:sz w:val="28"/>
                <w:szCs w:val="28"/>
              </w:rPr>
              <w:t>1,524</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E30B6" w:rsidRPr="00211D55" w:rsidRDefault="004E30B6" w:rsidP="00086C3F">
            <w:pPr>
              <w:rPr>
                <w:rFonts w:ascii="Arabic Typesetting" w:hAnsi="Arabic Typesetting" w:cs="Arabic Typesetting"/>
                <w:sz w:val="28"/>
                <w:szCs w:val="28"/>
              </w:rPr>
            </w:pPr>
            <w:r w:rsidRPr="00211D55">
              <w:rPr>
                <w:rFonts w:ascii="Arabic Typesetting" w:hAnsi="Arabic Typesetting" w:cs="Arabic Typesetting"/>
                <w:sz w:val="28"/>
                <w:szCs w:val="28"/>
              </w:rPr>
              <w:t>2,622</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E30B6" w:rsidRPr="00211D55" w:rsidRDefault="004E30B6" w:rsidP="00086C3F">
            <w:pPr>
              <w:rPr>
                <w:rFonts w:ascii="Arabic Typesetting" w:hAnsi="Arabic Typesetting" w:cs="Arabic Typesetting"/>
                <w:sz w:val="28"/>
                <w:szCs w:val="28"/>
              </w:rPr>
            </w:pPr>
            <w:r w:rsidRPr="00211D55">
              <w:rPr>
                <w:rFonts w:ascii="Arabic Typesetting" w:hAnsi="Arabic Typesetting" w:cs="Arabic Typesetting"/>
                <w:sz w:val="28"/>
                <w:szCs w:val="28"/>
              </w:rPr>
              <w:t>2,542</w:t>
            </w:r>
          </w:p>
        </w:tc>
      </w:tr>
      <w:tr w:rsidR="004E30B6" w:rsidRPr="00211D55" w:rsidTr="00815916">
        <w:trPr>
          <w:cantSplit/>
          <w:trHeight w:val="41"/>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4E30B6" w:rsidRPr="00211D55" w:rsidRDefault="004E30B6"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4E30B6" w:rsidRPr="00211D55" w:rsidRDefault="004E30B6"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E30B6" w:rsidRPr="00211D55" w:rsidRDefault="004E30B6"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28,032</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E30B6" w:rsidRPr="00211D55" w:rsidRDefault="004E30B6"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28,162</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E30B6" w:rsidRPr="00211D55" w:rsidRDefault="004E30B6"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27,397</w:t>
            </w:r>
          </w:p>
        </w:tc>
      </w:tr>
    </w:tbl>
    <w:p w:rsidR="00141A0B" w:rsidRDefault="00774E37" w:rsidP="00B05B47">
      <w:pPr>
        <w:keepNext/>
        <w:keepLines/>
        <w:bidi/>
        <w:spacing w:before="240" w:line="340" w:lineRule="exact"/>
        <w:jc w:val="center"/>
        <w:rPr>
          <w:rFonts w:ascii="Arabic Typesetting" w:hAnsi="Arabic Typesetting" w:cs="Arabic Typesetting"/>
          <w:color w:val="000000"/>
          <w:sz w:val="34"/>
          <w:szCs w:val="34"/>
        </w:rPr>
      </w:pPr>
      <w:r w:rsidRPr="00774E37">
        <w:rPr>
          <w:rFonts w:ascii="Arabic Typesetting" w:hAnsi="Arabic Typesetting" w:cs="Arabic Typesetting"/>
          <w:color w:val="000000"/>
          <w:sz w:val="34"/>
          <w:szCs w:val="34"/>
          <w:rtl/>
        </w:rPr>
        <w:lastRenderedPageBreak/>
        <w:t>الميزانية والنفقات الفعلية (موارد الموظفين وخلاف موارد الموظفين)</w:t>
      </w:r>
    </w:p>
    <w:p w:rsidR="00141A0B" w:rsidRPr="00B31868" w:rsidRDefault="00141A0B" w:rsidP="00141A0B">
      <w:pPr>
        <w:keepNext/>
        <w:keepLines/>
        <w:bidi/>
        <w:spacing w:after="120" w:line="340" w:lineRule="exact"/>
        <w:jc w:val="center"/>
        <w:rPr>
          <w:rFonts w:ascii="Arabic Typesetting" w:hAnsi="Arabic Typesetting" w:cs="Arabic Typesetting"/>
          <w:i/>
          <w:iCs/>
          <w:color w:val="000000"/>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4E30B6" w:rsidRPr="00211D55" w:rsidTr="004E30B6">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4E30B6" w:rsidRPr="00211D55" w:rsidRDefault="004E30B6"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E30B6" w:rsidRPr="00211D55" w:rsidRDefault="004E30B6"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E30B6" w:rsidRPr="00211D55" w:rsidRDefault="004E30B6"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E30B6" w:rsidRPr="00211D55" w:rsidRDefault="004E30B6"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E30B6"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4E30B6" w:rsidRPr="00211D55">
              <w:rPr>
                <w:rFonts w:ascii="Arabic Typesetting" w:hAnsi="Arabic Typesetting" w:cs="Arabic Typesetting"/>
                <w:b/>
                <w:bCs/>
                <w:i/>
                <w:iCs/>
                <w:sz w:val="28"/>
                <w:szCs w:val="28"/>
                <w:rtl/>
              </w:rPr>
              <w:t xml:space="preserve"> (%)</w:t>
            </w:r>
          </w:p>
        </w:tc>
      </w:tr>
      <w:tr w:rsidR="004E30B6" w:rsidRPr="00211D55" w:rsidTr="004E30B6">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4E30B6" w:rsidRPr="00211D55" w:rsidRDefault="004E30B6"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22,572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22,697</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22,268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98%</w:t>
            </w:r>
          </w:p>
        </w:tc>
      </w:tr>
      <w:tr w:rsidR="004E30B6" w:rsidRPr="00211D55" w:rsidTr="004E30B6">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4E30B6" w:rsidRPr="00211D55" w:rsidRDefault="004E30B6"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5,460</w:t>
            </w:r>
          </w:p>
        </w:tc>
        <w:tc>
          <w:tcPr>
            <w:tcW w:w="970" w:type="pct"/>
            <w:tcBorders>
              <w:top w:val="nil"/>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5,465</w:t>
            </w:r>
          </w:p>
        </w:tc>
        <w:tc>
          <w:tcPr>
            <w:tcW w:w="970" w:type="pct"/>
            <w:tcBorders>
              <w:top w:val="nil"/>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5,129</w:t>
            </w:r>
          </w:p>
        </w:tc>
        <w:tc>
          <w:tcPr>
            <w:tcW w:w="970" w:type="pct"/>
            <w:tcBorders>
              <w:top w:val="nil"/>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94%</w:t>
            </w:r>
          </w:p>
        </w:tc>
      </w:tr>
      <w:tr w:rsidR="004E30B6" w:rsidRPr="00211D55" w:rsidTr="008A6D4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4E30B6" w:rsidRPr="00211D55" w:rsidRDefault="004E30B6"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28,032</w:t>
            </w:r>
          </w:p>
        </w:tc>
        <w:tc>
          <w:tcPr>
            <w:tcW w:w="970" w:type="pct"/>
            <w:tcBorders>
              <w:top w:val="nil"/>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28,162</w:t>
            </w:r>
          </w:p>
        </w:tc>
        <w:tc>
          <w:tcPr>
            <w:tcW w:w="970" w:type="pct"/>
            <w:tcBorders>
              <w:top w:val="nil"/>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27,397</w:t>
            </w:r>
          </w:p>
        </w:tc>
        <w:tc>
          <w:tcPr>
            <w:tcW w:w="970" w:type="pct"/>
            <w:tcBorders>
              <w:top w:val="nil"/>
              <w:left w:val="single" w:sz="4" w:space="0" w:color="auto"/>
              <w:bottom w:val="single" w:sz="4" w:space="0" w:color="auto"/>
              <w:right w:val="single" w:sz="4" w:space="0" w:color="auto"/>
            </w:tcBorders>
            <w:shd w:val="clear" w:color="auto" w:fill="auto"/>
            <w:vAlign w:val="center"/>
          </w:tcPr>
          <w:p w:rsidR="004E30B6" w:rsidRPr="00211D55" w:rsidRDefault="004E30B6"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97%</w:t>
            </w:r>
          </w:p>
        </w:tc>
      </w:tr>
    </w:tbl>
    <w:p w:rsidR="00B31868" w:rsidRPr="00706F20" w:rsidRDefault="004E30B6" w:rsidP="00086C3F">
      <w:pPr>
        <w:keepNext/>
        <w:bidi/>
        <w:spacing w:before="120" w:after="120" w:line="340" w:lineRule="exact"/>
        <w:rPr>
          <w:rFonts w:ascii="Arabic Typesetting" w:hAnsi="Arabic Typesetting" w:cs="Arabic Typesetting"/>
          <w:sz w:val="34"/>
          <w:szCs w:val="34"/>
          <w:u w:val="single"/>
          <w:rtl/>
        </w:rPr>
      </w:pPr>
      <w:r w:rsidRPr="00706F20">
        <w:rPr>
          <w:rFonts w:ascii="Arabic Typesetting" w:hAnsi="Arabic Typesetting" w:cs="Arabic Typesetting" w:hint="cs"/>
          <w:sz w:val="34"/>
          <w:szCs w:val="34"/>
          <w:rtl/>
          <w:lang w:bidi="ar-EG"/>
        </w:rPr>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B31868" w:rsidRPr="00B31868" w:rsidRDefault="000036F7" w:rsidP="009A3712">
      <w:pPr>
        <w:numPr>
          <w:ilvl w:val="0"/>
          <w:numId w:val="20"/>
        </w:numPr>
        <w:autoSpaceDE w:val="0"/>
        <w:autoSpaceDN w:val="0"/>
        <w:bidi/>
        <w:adjustRightInd w:val="0"/>
        <w:spacing w:before="120" w:after="120" w:line="340" w:lineRule="exact"/>
        <w:ind w:left="0" w:firstLine="0"/>
        <w:jc w:val="both"/>
        <w:rPr>
          <w:rFonts w:ascii="Arabic Typesetting" w:hAnsi="Arabic Typesetting" w:cs="Arabic Typesetting"/>
          <w:sz w:val="34"/>
          <w:szCs w:val="34"/>
          <w:rtl/>
          <w:lang w:bidi="ar-EG"/>
        </w:rPr>
      </w:pPr>
      <w:r>
        <w:rPr>
          <w:rFonts w:ascii="Arabic Typesetting" w:hAnsi="Arabic Typesetting" w:cs="Arabic Typesetting" w:hint="cs"/>
          <w:sz w:val="34"/>
          <w:szCs w:val="34"/>
          <w:rtl/>
          <w:lang w:bidi="ar-EG"/>
        </w:rPr>
        <w:t xml:space="preserve">تعزى أساساً </w:t>
      </w:r>
      <w:r w:rsidR="00B31868" w:rsidRPr="00B31868">
        <w:rPr>
          <w:rFonts w:ascii="Arabic Typesetting" w:hAnsi="Arabic Typesetting" w:cs="Arabic Typesetting"/>
          <w:sz w:val="34"/>
          <w:szCs w:val="34"/>
          <w:rtl/>
          <w:lang w:bidi="ar-EG"/>
        </w:rPr>
        <w:t xml:space="preserve">الزيادة </w:t>
      </w:r>
      <w:r w:rsidR="00EA50DF">
        <w:rPr>
          <w:rFonts w:ascii="Arabic Typesetting" w:hAnsi="Arabic Typesetting" w:cs="Arabic Typesetting" w:hint="cs"/>
          <w:sz w:val="34"/>
          <w:szCs w:val="34"/>
          <w:rtl/>
          <w:lang w:bidi="ar-EG"/>
        </w:rPr>
        <w:t>الإجمالية في موارد الموظفين في</w:t>
      </w:r>
      <w:r w:rsidR="00EA50DF" w:rsidRPr="00B31868">
        <w:rPr>
          <w:rFonts w:ascii="Arabic Typesetting" w:hAnsi="Arabic Typesetting" w:cs="Arabic Typesetting"/>
          <w:sz w:val="34"/>
          <w:szCs w:val="34"/>
          <w:rtl/>
          <w:lang w:bidi="ar-EG"/>
        </w:rPr>
        <w:t xml:space="preserve"> </w:t>
      </w:r>
      <w:r w:rsidR="00EA50DF" w:rsidRPr="00EA50DF">
        <w:rPr>
          <w:rFonts w:ascii="Arabic Typesetting" w:hAnsi="Arabic Typesetting" w:cs="Arabic Typesetting"/>
          <w:sz w:val="34"/>
          <w:szCs w:val="34"/>
          <w:rtl/>
          <w:lang w:bidi="ar-EG"/>
        </w:rPr>
        <w:t xml:space="preserve">الميزانية النهائية بعد التحويلات </w:t>
      </w:r>
      <w:r w:rsidR="00507DE2">
        <w:rPr>
          <w:rFonts w:ascii="Arabic Typesetting" w:hAnsi="Arabic Typesetting" w:cs="Arabic Typesetting"/>
          <w:sz w:val="34"/>
          <w:szCs w:val="34"/>
          <w:rtl/>
          <w:lang w:bidi="ar-EG"/>
        </w:rPr>
        <w:t>2014/15</w:t>
      </w:r>
      <w:r w:rsidR="00EA50DF">
        <w:rPr>
          <w:rFonts w:ascii="Arabic Typesetting" w:hAnsi="Arabic Typesetting" w:cs="Arabic Typesetting" w:hint="cs"/>
          <w:sz w:val="34"/>
          <w:szCs w:val="34"/>
          <w:rtl/>
          <w:lang w:bidi="ar-EG"/>
        </w:rPr>
        <w:t xml:space="preserve"> إلى النتيجة الصافية </w:t>
      </w:r>
      <w:r w:rsidR="00B31868" w:rsidRPr="00B31868">
        <w:rPr>
          <w:rFonts w:ascii="Arabic Typesetting" w:hAnsi="Arabic Typesetting" w:cs="Arabic Typesetting" w:hint="cs"/>
          <w:sz w:val="34"/>
          <w:szCs w:val="34"/>
          <w:rtl/>
          <w:lang w:bidi="ar-EG"/>
        </w:rPr>
        <w:t>ل</w:t>
      </w:r>
      <w:r w:rsidR="00B31868" w:rsidRPr="00B31868">
        <w:rPr>
          <w:rFonts w:ascii="Arabic Typesetting" w:hAnsi="Arabic Typesetting" w:cs="Arabic Typesetting"/>
          <w:sz w:val="34"/>
          <w:szCs w:val="34"/>
          <w:rtl/>
          <w:lang w:bidi="ar-EG"/>
        </w:rPr>
        <w:t xml:space="preserve">لتسوية </w:t>
      </w:r>
      <w:r w:rsidR="00B31868" w:rsidRPr="00B31868">
        <w:rPr>
          <w:rFonts w:ascii="Arabic Typesetting" w:hAnsi="Arabic Typesetting" w:cs="Arabic Typesetting" w:hint="cs"/>
          <w:sz w:val="34"/>
          <w:szCs w:val="34"/>
          <w:rtl/>
          <w:lang w:bidi="ar-EG"/>
        </w:rPr>
        <w:t>المتواصلة</w:t>
      </w:r>
      <w:r w:rsidR="00B31868" w:rsidRPr="00B31868">
        <w:rPr>
          <w:rFonts w:ascii="Arabic Typesetting" w:hAnsi="Arabic Typesetting" w:cs="Arabic Typesetting"/>
          <w:sz w:val="34"/>
          <w:szCs w:val="34"/>
          <w:rtl/>
          <w:lang w:bidi="ar-EG"/>
        </w:rPr>
        <w:t xml:space="preserve"> </w:t>
      </w:r>
      <w:r w:rsidR="00B31868" w:rsidRPr="00B31868">
        <w:rPr>
          <w:rFonts w:ascii="Arabic Typesetting" w:hAnsi="Arabic Typesetting" w:cs="Arabic Typesetting" w:hint="cs"/>
          <w:sz w:val="34"/>
          <w:szCs w:val="34"/>
          <w:rtl/>
          <w:lang w:bidi="ar-EG"/>
        </w:rPr>
        <w:t>ل</w:t>
      </w:r>
      <w:r w:rsidR="00B31868" w:rsidRPr="00B31868">
        <w:rPr>
          <w:rFonts w:ascii="Arabic Typesetting" w:hAnsi="Arabic Typesetting" w:cs="Arabic Typesetting"/>
          <w:sz w:val="34"/>
          <w:szCs w:val="34"/>
          <w:rtl/>
          <w:lang w:bidi="ar-EG"/>
        </w:rPr>
        <w:t xml:space="preserve">لمهام </w:t>
      </w:r>
      <w:r w:rsidR="00B31868" w:rsidRPr="00B31868">
        <w:rPr>
          <w:rFonts w:ascii="Arabic Typesetting" w:hAnsi="Arabic Typesetting" w:cs="Arabic Typesetting" w:hint="cs"/>
          <w:sz w:val="34"/>
          <w:szCs w:val="34"/>
          <w:rtl/>
          <w:lang w:bidi="ar-EG"/>
        </w:rPr>
        <w:t>ال</w:t>
      </w:r>
      <w:r w:rsidR="00B31868" w:rsidRPr="00B31868">
        <w:rPr>
          <w:rFonts w:ascii="Arabic Typesetting" w:hAnsi="Arabic Typesetting" w:cs="Arabic Typesetting"/>
          <w:sz w:val="34"/>
          <w:szCs w:val="34"/>
          <w:rtl/>
          <w:lang w:bidi="ar-EG"/>
        </w:rPr>
        <w:t xml:space="preserve">مستمرة </w:t>
      </w:r>
      <w:r w:rsidR="00EA50DF">
        <w:rPr>
          <w:rFonts w:ascii="Arabic Typesetting" w:hAnsi="Arabic Typesetting" w:cs="Arabic Typesetting" w:hint="cs"/>
          <w:sz w:val="34"/>
          <w:szCs w:val="34"/>
          <w:rtl/>
          <w:lang w:bidi="ar-EG"/>
        </w:rPr>
        <w:t xml:space="preserve">وإعادة توزيع وظيفة مؤقتة واحدة (وظيفة إدارة الأصول) </w:t>
      </w:r>
      <w:r w:rsidR="006E7FC6">
        <w:rPr>
          <w:rFonts w:ascii="Arabic Typesetting" w:hAnsi="Arabic Typesetting" w:cs="Arabic Typesetting" w:hint="cs"/>
          <w:sz w:val="34"/>
          <w:szCs w:val="34"/>
          <w:rtl/>
          <w:lang w:bidi="ar-EG"/>
        </w:rPr>
        <w:t>بنقلها إلى</w:t>
      </w:r>
      <w:r w:rsidR="00EA50DF">
        <w:rPr>
          <w:rFonts w:ascii="Arabic Typesetting" w:hAnsi="Arabic Typesetting" w:cs="Arabic Typesetting" w:hint="cs"/>
          <w:sz w:val="34"/>
          <w:szCs w:val="34"/>
          <w:rtl/>
          <w:lang w:bidi="ar-EG"/>
        </w:rPr>
        <w:t xml:space="preserve"> البرنامج</w:t>
      </w:r>
      <w:r w:rsidR="006E7FC6">
        <w:rPr>
          <w:rFonts w:ascii="Arabic Typesetting" w:hAnsi="Arabic Typesetting" w:cs="Arabic Typesetting" w:hint="cs"/>
          <w:sz w:val="34"/>
          <w:szCs w:val="34"/>
          <w:rtl/>
          <w:lang w:bidi="ar-EG"/>
        </w:rPr>
        <w:t xml:space="preserve"> 22</w:t>
      </w:r>
      <w:r w:rsidR="00B31868" w:rsidRPr="00B31868">
        <w:rPr>
          <w:rFonts w:ascii="Arabic Typesetting" w:hAnsi="Arabic Typesetting" w:cs="Arabic Typesetting"/>
          <w:sz w:val="34"/>
          <w:szCs w:val="34"/>
          <w:lang w:bidi="ar-EG"/>
        </w:rPr>
        <w:t>.</w:t>
      </w:r>
    </w:p>
    <w:p w:rsidR="00B31868" w:rsidRPr="00EA50DF" w:rsidRDefault="000036F7" w:rsidP="00AD17C3">
      <w:pPr>
        <w:numPr>
          <w:ilvl w:val="0"/>
          <w:numId w:val="20"/>
        </w:numPr>
        <w:autoSpaceDE w:val="0"/>
        <w:autoSpaceDN w:val="0"/>
        <w:bidi/>
        <w:adjustRightInd w:val="0"/>
        <w:spacing w:before="120"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ويعزى أساساً</w:t>
      </w:r>
      <w:r w:rsidR="00B31868" w:rsidRPr="00EA50DF">
        <w:rPr>
          <w:rFonts w:ascii="Arabic Typesetting" w:hAnsi="Arabic Typesetting" w:cs="Arabic Typesetting" w:hint="cs"/>
          <w:sz w:val="34"/>
          <w:szCs w:val="34"/>
          <w:rtl/>
          <w:lang w:bidi="ar-EG"/>
        </w:rPr>
        <w:t xml:space="preserve"> نقل </w:t>
      </w:r>
      <w:r w:rsidR="00B31868" w:rsidRPr="00EA50DF">
        <w:rPr>
          <w:rFonts w:ascii="Arabic Typesetting" w:hAnsi="Arabic Typesetting" w:cs="Arabic Typesetting"/>
          <w:sz w:val="34"/>
          <w:szCs w:val="34"/>
          <w:rtl/>
          <w:lang w:bidi="ar-EG"/>
        </w:rPr>
        <w:t>الموارد بين النتائج المتوقعة</w:t>
      </w:r>
      <w:r w:rsidR="00B31868" w:rsidRPr="00EA50DF">
        <w:rPr>
          <w:rFonts w:ascii="Arabic Typesetting" w:hAnsi="Arabic Typesetting" w:cs="Arabic Typesetting" w:hint="cs"/>
          <w:sz w:val="34"/>
          <w:szCs w:val="34"/>
          <w:rtl/>
          <w:lang w:bidi="ar-EG"/>
        </w:rPr>
        <w:t xml:space="preserve"> </w:t>
      </w:r>
      <w:r w:rsidR="00B31868" w:rsidRPr="00EA50DF">
        <w:rPr>
          <w:rFonts w:ascii="Arabic Typesetting" w:hAnsi="Arabic Typesetting" w:cs="Arabic Typesetting"/>
          <w:sz w:val="34"/>
          <w:szCs w:val="34"/>
          <w:rtl/>
          <w:lang w:bidi="ar-EG"/>
        </w:rPr>
        <w:t>إلى أن الموارد المخصصة لتعميم الوحدات و</w:t>
      </w:r>
      <w:r w:rsidR="00B31868" w:rsidRPr="00EA50DF">
        <w:rPr>
          <w:rFonts w:ascii="Arabic Typesetting" w:hAnsi="Arabic Typesetting" w:cs="Arabic Typesetting" w:hint="cs"/>
          <w:sz w:val="34"/>
          <w:szCs w:val="34"/>
          <w:rtl/>
          <w:lang w:bidi="ar-EG"/>
        </w:rPr>
        <w:t>ال</w:t>
      </w:r>
      <w:r w:rsidR="00B31868" w:rsidRPr="00EA50DF">
        <w:rPr>
          <w:rFonts w:ascii="Arabic Typesetting" w:hAnsi="Arabic Typesetting" w:cs="Arabic Typesetting"/>
          <w:sz w:val="34"/>
          <w:szCs w:val="34"/>
          <w:rtl/>
          <w:lang w:bidi="ar-EG"/>
        </w:rPr>
        <w:t>قدرات</w:t>
      </w:r>
      <w:r w:rsidR="00B31868" w:rsidRPr="00EA50DF">
        <w:rPr>
          <w:rFonts w:ascii="Arabic Typesetting" w:hAnsi="Arabic Typesetting" w:cs="Arabic Typesetting" w:hint="cs"/>
          <w:sz w:val="34"/>
          <w:szCs w:val="34"/>
          <w:rtl/>
          <w:lang w:bidi="ar-EG"/>
        </w:rPr>
        <w:t xml:space="preserve"> الجديدة</w:t>
      </w:r>
      <w:r w:rsidR="00B31868" w:rsidRPr="00EA50DF">
        <w:rPr>
          <w:rFonts w:ascii="Arabic Typesetting" w:hAnsi="Arabic Typesetting" w:cs="Arabic Typesetting"/>
          <w:sz w:val="34"/>
          <w:szCs w:val="34"/>
          <w:rtl/>
          <w:lang w:bidi="ar-EG"/>
        </w:rPr>
        <w:t xml:space="preserve"> </w:t>
      </w:r>
      <w:r w:rsidR="00B31868" w:rsidRPr="00EA50DF">
        <w:rPr>
          <w:rFonts w:ascii="Arabic Typesetting" w:hAnsi="Arabic Typesetting" w:cs="Arabic Typesetting" w:hint="cs"/>
          <w:sz w:val="34"/>
          <w:szCs w:val="34"/>
          <w:rtl/>
          <w:lang w:bidi="ar-EG"/>
        </w:rPr>
        <w:t>ل</w:t>
      </w:r>
      <w:r w:rsidR="00B31868" w:rsidRPr="00EA50DF">
        <w:rPr>
          <w:rFonts w:ascii="Arabic Typesetting" w:hAnsi="Arabic Typesetting" w:cs="Arabic Typesetting"/>
          <w:sz w:val="34"/>
          <w:szCs w:val="34"/>
          <w:rtl/>
          <w:lang w:bidi="ar-EG"/>
        </w:rPr>
        <w:t xml:space="preserve">نظام </w:t>
      </w:r>
      <w:r w:rsidR="00B31868" w:rsidRPr="00EA50DF">
        <w:rPr>
          <w:rFonts w:ascii="Arabic Typesetting" w:hAnsi="Arabic Typesetting" w:cs="Arabic Typesetting" w:hint="cs"/>
          <w:sz w:val="34"/>
          <w:szCs w:val="34"/>
          <w:rtl/>
          <w:lang w:bidi="ar-EG"/>
        </w:rPr>
        <w:t>ال</w:t>
      </w:r>
      <w:r w:rsidR="00B31868" w:rsidRPr="00EA50DF">
        <w:rPr>
          <w:rFonts w:ascii="Arabic Typesetting" w:hAnsi="Arabic Typesetting" w:cs="Arabic Typesetting"/>
          <w:sz w:val="34"/>
          <w:szCs w:val="34"/>
          <w:rtl/>
          <w:lang w:bidi="ar-EG"/>
        </w:rPr>
        <w:t xml:space="preserve">تخطيط </w:t>
      </w:r>
      <w:r w:rsidR="00B31868" w:rsidRPr="00EA50DF">
        <w:rPr>
          <w:rFonts w:ascii="Arabic Typesetting" w:hAnsi="Arabic Typesetting" w:cs="Arabic Typesetting" w:hint="cs"/>
          <w:sz w:val="34"/>
          <w:szCs w:val="34"/>
          <w:rtl/>
          <w:lang w:bidi="ar-EG"/>
        </w:rPr>
        <w:t>لل</w:t>
      </w:r>
      <w:r w:rsidR="00B31868" w:rsidRPr="00EA50DF">
        <w:rPr>
          <w:rFonts w:ascii="Arabic Typesetting" w:hAnsi="Arabic Typesetting" w:cs="Arabic Typesetting"/>
          <w:sz w:val="34"/>
          <w:szCs w:val="34"/>
          <w:rtl/>
          <w:lang w:bidi="ar-EG"/>
        </w:rPr>
        <w:t>موارد المؤسس</w:t>
      </w:r>
      <w:r w:rsidR="00B31868" w:rsidRPr="00EA50DF">
        <w:rPr>
          <w:rFonts w:ascii="Arabic Typesetting" w:hAnsi="Arabic Typesetting" w:cs="Arabic Typesetting" w:hint="cs"/>
          <w:sz w:val="34"/>
          <w:szCs w:val="34"/>
          <w:rtl/>
          <w:lang w:bidi="ar-EG"/>
        </w:rPr>
        <w:t>ية م</w:t>
      </w:r>
      <w:r w:rsidR="00B31868" w:rsidRPr="00EA50DF">
        <w:rPr>
          <w:rFonts w:ascii="Arabic Typesetting" w:hAnsi="Arabic Typesetting" w:cs="Arabic Typesetting"/>
          <w:sz w:val="34"/>
          <w:szCs w:val="34"/>
          <w:rtl/>
          <w:lang w:bidi="ar-EG"/>
        </w:rPr>
        <w:t>رتبط</w:t>
      </w:r>
      <w:r w:rsidR="00B31868" w:rsidRPr="00EA50DF">
        <w:rPr>
          <w:rFonts w:ascii="Arabic Typesetting" w:hAnsi="Arabic Typesetting" w:cs="Arabic Typesetting" w:hint="cs"/>
          <w:sz w:val="34"/>
          <w:szCs w:val="34"/>
          <w:rtl/>
          <w:lang w:bidi="ar-EG"/>
        </w:rPr>
        <w:t xml:space="preserve">ة بالنتيجة المتوقعة ه2.9 </w:t>
      </w:r>
      <w:r w:rsidR="00EA50DF" w:rsidRPr="00EA50DF">
        <w:rPr>
          <w:rFonts w:ascii="Arabic Typesetting" w:hAnsi="Arabic Typesetting" w:cs="Arabic Typesetting" w:hint="cs"/>
          <w:sz w:val="34"/>
          <w:szCs w:val="34"/>
          <w:rtl/>
          <w:lang w:bidi="ar-EG"/>
        </w:rPr>
        <w:t>(</w:t>
      </w:r>
      <w:r w:rsidR="00AD17C3" w:rsidRPr="00AD17C3">
        <w:rPr>
          <w:rFonts w:ascii="Arabic Typesetting" w:hAnsi="Arabic Typesetting" w:cs="Arabic Typesetting"/>
          <w:sz w:val="34"/>
          <w:szCs w:val="34"/>
          <w:rtl/>
          <w:lang w:bidi="ar-EG"/>
        </w:rPr>
        <w:t>أمانة تعمل بنشاط وسلاسة</w:t>
      </w:r>
      <w:r w:rsidR="00EA50DF" w:rsidRPr="00EA50DF">
        <w:rPr>
          <w:rFonts w:ascii="Arabic Typesetting" w:hAnsi="Arabic Typesetting" w:cs="Arabic Typesetting" w:hint="cs"/>
          <w:sz w:val="34"/>
          <w:szCs w:val="34"/>
          <w:rtl/>
          <w:lang w:bidi="ar-EG"/>
        </w:rPr>
        <w:t xml:space="preserve">) في الميزانية المعتمدة </w:t>
      </w:r>
      <w:r w:rsidR="00507DE2">
        <w:rPr>
          <w:rFonts w:ascii="Arabic Typesetting" w:hAnsi="Arabic Typesetting" w:cs="Arabic Typesetting" w:hint="cs"/>
          <w:sz w:val="34"/>
          <w:szCs w:val="34"/>
          <w:rtl/>
          <w:lang w:bidi="ar-EG"/>
        </w:rPr>
        <w:t>2014/15</w:t>
      </w:r>
      <w:r w:rsidR="00EA50DF" w:rsidRPr="00EA50DF">
        <w:rPr>
          <w:rFonts w:ascii="Arabic Typesetting" w:hAnsi="Arabic Typesetting" w:cs="Arabic Typesetting" w:hint="cs"/>
          <w:sz w:val="34"/>
          <w:szCs w:val="34"/>
          <w:rtl/>
          <w:lang w:bidi="ar-EG"/>
        </w:rPr>
        <w:t xml:space="preserve">. </w:t>
      </w:r>
      <w:r w:rsidR="00B31868" w:rsidRPr="00EA50DF">
        <w:rPr>
          <w:rFonts w:ascii="Arabic Typesetting" w:hAnsi="Arabic Typesetting" w:cs="Arabic Typesetting"/>
          <w:sz w:val="34"/>
          <w:szCs w:val="34"/>
          <w:rtl/>
          <w:lang w:bidi="ar-EG"/>
        </w:rPr>
        <w:t>و</w:t>
      </w:r>
      <w:r w:rsidR="00B31868" w:rsidRPr="00EA50DF">
        <w:rPr>
          <w:rFonts w:ascii="Arabic Typesetting" w:hAnsi="Arabic Typesetting" w:cs="Arabic Typesetting" w:hint="cs"/>
          <w:sz w:val="34"/>
          <w:szCs w:val="34"/>
          <w:rtl/>
          <w:lang w:bidi="ar-EG"/>
        </w:rPr>
        <w:t>بما</w:t>
      </w:r>
      <w:r w:rsidR="00EA50DF" w:rsidRPr="00EA50DF">
        <w:rPr>
          <w:rFonts w:ascii="Arabic Typesetting" w:hAnsi="Arabic Typesetting" w:cs="Arabic Typesetting" w:hint="eastAsia"/>
          <w:sz w:val="34"/>
          <w:szCs w:val="34"/>
          <w:rtl/>
          <w:lang w:bidi="ar-EG"/>
        </w:rPr>
        <w:t> </w:t>
      </w:r>
      <w:r w:rsidR="00B31868" w:rsidRPr="00EA50DF">
        <w:rPr>
          <w:rFonts w:ascii="Arabic Typesetting" w:hAnsi="Arabic Typesetting" w:cs="Arabic Typesetting" w:hint="cs"/>
          <w:sz w:val="34"/>
          <w:szCs w:val="34"/>
          <w:rtl/>
          <w:lang w:bidi="ar-EG"/>
        </w:rPr>
        <w:t xml:space="preserve">أن تلك </w:t>
      </w:r>
      <w:r w:rsidR="00B31868" w:rsidRPr="00EA50DF">
        <w:rPr>
          <w:rFonts w:ascii="Arabic Typesetting" w:hAnsi="Arabic Typesetting" w:cs="Arabic Typesetting"/>
          <w:sz w:val="34"/>
          <w:szCs w:val="34"/>
          <w:rtl/>
          <w:lang w:bidi="ar-EG"/>
        </w:rPr>
        <w:t xml:space="preserve">الأنشطة هي </w:t>
      </w:r>
      <w:r w:rsidR="00B31868" w:rsidRPr="00EA50DF">
        <w:rPr>
          <w:rFonts w:ascii="Arabic Typesetting" w:hAnsi="Arabic Typesetting" w:cs="Arabic Typesetting" w:hint="cs"/>
          <w:sz w:val="34"/>
          <w:szCs w:val="34"/>
          <w:rtl/>
          <w:lang w:bidi="ar-EG"/>
        </w:rPr>
        <w:t>أساسا</w:t>
      </w:r>
      <w:r w:rsidR="00B31868" w:rsidRPr="00EA50DF">
        <w:rPr>
          <w:rFonts w:ascii="Arabic Typesetting" w:hAnsi="Arabic Typesetting" w:cs="Arabic Typesetting"/>
          <w:sz w:val="34"/>
          <w:szCs w:val="34"/>
          <w:rtl/>
          <w:lang w:bidi="ar-EG"/>
        </w:rPr>
        <w:t xml:space="preserve"> </w:t>
      </w:r>
      <w:r w:rsidR="00B31868" w:rsidRPr="00EA50DF">
        <w:rPr>
          <w:rFonts w:ascii="Arabic Typesetting" w:hAnsi="Arabic Typesetting" w:cs="Arabic Typesetting" w:hint="cs"/>
          <w:sz w:val="34"/>
          <w:szCs w:val="34"/>
          <w:rtl/>
          <w:lang w:bidi="ar-EG"/>
        </w:rPr>
        <w:t>مرتبطة ب</w:t>
      </w:r>
      <w:r w:rsidR="00B31868" w:rsidRPr="00EA50DF">
        <w:rPr>
          <w:rFonts w:ascii="Arabic Typesetting" w:hAnsi="Arabic Typesetting" w:cs="Arabic Typesetting"/>
          <w:sz w:val="34"/>
          <w:szCs w:val="34"/>
          <w:rtl/>
          <w:lang w:bidi="ar-EG"/>
        </w:rPr>
        <w:t xml:space="preserve">الخدمات، </w:t>
      </w:r>
      <w:r w:rsidR="00B31868" w:rsidRPr="00EA50DF">
        <w:rPr>
          <w:rFonts w:ascii="Arabic Typesetting" w:hAnsi="Arabic Typesetting" w:cs="Arabic Typesetting" w:hint="cs"/>
          <w:sz w:val="34"/>
          <w:szCs w:val="34"/>
          <w:rtl/>
          <w:lang w:bidi="ar-EG"/>
        </w:rPr>
        <w:t xml:space="preserve">فقد </w:t>
      </w:r>
      <w:proofErr w:type="spellStart"/>
      <w:r w:rsidR="00B31868" w:rsidRPr="00EA50DF">
        <w:rPr>
          <w:rFonts w:ascii="Arabic Typesetting" w:hAnsi="Arabic Typesetting" w:cs="Arabic Typesetting" w:hint="cs"/>
          <w:sz w:val="34"/>
          <w:szCs w:val="34"/>
          <w:rtl/>
          <w:lang w:bidi="ar-EG"/>
        </w:rPr>
        <w:t>أُردجت</w:t>
      </w:r>
      <w:proofErr w:type="spellEnd"/>
      <w:r w:rsidR="00B31868" w:rsidRPr="00EA50DF">
        <w:rPr>
          <w:rFonts w:ascii="Arabic Typesetting" w:hAnsi="Arabic Typesetting" w:cs="Arabic Typesetting" w:hint="cs"/>
          <w:sz w:val="34"/>
          <w:szCs w:val="34"/>
          <w:rtl/>
          <w:lang w:bidi="ar-EG"/>
        </w:rPr>
        <w:t xml:space="preserve"> بشكل </w:t>
      </w:r>
      <w:r w:rsidR="00B31868" w:rsidRPr="00EA50DF">
        <w:rPr>
          <w:rFonts w:ascii="Arabic Typesetting" w:hAnsi="Arabic Typesetting" w:cs="Arabic Typesetting"/>
          <w:sz w:val="34"/>
          <w:szCs w:val="34"/>
          <w:rtl/>
          <w:lang w:bidi="ar-EG"/>
        </w:rPr>
        <w:t>أكثر دقة تحت</w:t>
      </w:r>
      <w:r w:rsidR="00B31868" w:rsidRPr="00EA50DF">
        <w:rPr>
          <w:rFonts w:ascii="Arabic Typesetting" w:hAnsi="Arabic Typesetting" w:cs="Arabic Typesetting" w:hint="cs"/>
          <w:sz w:val="34"/>
          <w:szCs w:val="34"/>
          <w:rtl/>
          <w:lang w:bidi="ar-EG"/>
        </w:rPr>
        <w:t xml:space="preserve"> النتيجة المرتقبة ه1.9 </w:t>
      </w:r>
      <w:r w:rsidR="00EA50DF" w:rsidRPr="00EA50DF">
        <w:rPr>
          <w:rFonts w:ascii="Arabic Typesetting" w:hAnsi="Arabic Typesetting" w:cs="Arabic Typesetting" w:hint="cs"/>
          <w:sz w:val="34"/>
          <w:szCs w:val="34"/>
          <w:rtl/>
          <w:lang w:bidi="ar-EG"/>
        </w:rPr>
        <w:t>(</w:t>
      </w:r>
      <w:r w:rsidR="003E55BA" w:rsidRPr="003E55BA">
        <w:rPr>
          <w:rFonts w:ascii="Arabic Typesetting" w:hAnsi="Arabic Typesetting" w:cs="Arabic Typesetting"/>
          <w:sz w:val="34"/>
          <w:szCs w:val="34"/>
          <w:rtl/>
          <w:lang w:bidi="ar-EG"/>
        </w:rPr>
        <w:t>خدمات دعم فعالة وناجعة وذات جودة موجهة نحو الزبائن</w:t>
      </w:r>
      <w:r w:rsidR="00EA50DF" w:rsidRPr="00EA50DF">
        <w:rPr>
          <w:rFonts w:ascii="Arabic Typesetting" w:hAnsi="Arabic Typesetting" w:cs="Arabic Typesetting" w:hint="cs"/>
          <w:sz w:val="34"/>
          <w:szCs w:val="34"/>
          <w:rtl/>
          <w:lang w:bidi="ar-EG"/>
        </w:rPr>
        <w:t xml:space="preserve">) </w:t>
      </w:r>
      <w:r w:rsidR="00B31868" w:rsidRPr="00EA50DF">
        <w:rPr>
          <w:rFonts w:ascii="Arabic Typesetting" w:hAnsi="Arabic Typesetting" w:cs="Arabic Typesetting"/>
          <w:sz w:val="34"/>
          <w:szCs w:val="34"/>
          <w:rtl/>
          <w:lang w:bidi="ar-EG"/>
        </w:rPr>
        <w:t xml:space="preserve">في </w:t>
      </w:r>
      <w:r w:rsidR="00EA50DF" w:rsidRPr="00EA50DF">
        <w:rPr>
          <w:rFonts w:ascii="Arabic Typesetting" w:hAnsi="Arabic Typesetting" w:cs="Arabic Typesetting"/>
          <w:sz w:val="34"/>
          <w:szCs w:val="34"/>
          <w:rtl/>
          <w:lang w:bidi="ar-EG"/>
        </w:rPr>
        <w:t xml:space="preserve">الميزانية النهائية بعد التحويلات </w:t>
      </w:r>
      <w:r w:rsidR="00507DE2">
        <w:rPr>
          <w:rFonts w:ascii="Arabic Typesetting" w:hAnsi="Arabic Typesetting" w:cs="Arabic Typesetting"/>
          <w:sz w:val="34"/>
          <w:szCs w:val="34"/>
          <w:rtl/>
          <w:lang w:bidi="ar-EG"/>
        </w:rPr>
        <w:t>2014/15</w:t>
      </w:r>
      <w:r w:rsidR="00B31868" w:rsidRPr="00EA50DF">
        <w:rPr>
          <w:rFonts w:ascii="Arabic Typesetting" w:hAnsi="Arabic Typesetting" w:cs="Arabic Typesetting"/>
          <w:sz w:val="34"/>
          <w:szCs w:val="34"/>
          <w:rtl/>
          <w:lang w:bidi="ar-EG"/>
        </w:rPr>
        <w:t>. و</w:t>
      </w:r>
      <w:r w:rsidR="00B31868" w:rsidRPr="00EA50DF">
        <w:rPr>
          <w:rFonts w:ascii="Arabic Typesetting" w:hAnsi="Arabic Typesetting" w:cs="Arabic Typesetting" w:hint="cs"/>
          <w:sz w:val="34"/>
          <w:szCs w:val="34"/>
          <w:rtl/>
          <w:lang w:bidi="ar-EG"/>
        </w:rPr>
        <w:t>تعزي</w:t>
      </w:r>
      <w:r>
        <w:rPr>
          <w:rFonts w:ascii="Arabic Typesetting" w:hAnsi="Arabic Typesetting" w:cs="Arabic Typesetting" w:hint="cs"/>
          <w:sz w:val="34"/>
          <w:szCs w:val="34"/>
          <w:rtl/>
          <w:lang w:bidi="ar-EG"/>
        </w:rPr>
        <w:t xml:space="preserve"> أساساً</w:t>
      </w:r>
      <w:r w:rsidR="00B31868" w:rsidRPr="00EA50DF">
        <w:rPr>
          <w:rFonts w:ascii="Arabic Typesetting" w:hAnsi="Arabic Typesetting" w:cs="Arabic Typesetting" w:hint="cs"/>
          <w:sz w:val="34"/>
          <w:szCs w:val="34"/>
          <w:rtl/>
          <w:lang w:bidi="ar-EG"/>
        </w:rPr>
        <w:t xml:space="preserve"> ال</w:t>
      </w:r>
      <w:r w:rsidR="00B31868" w:rsidRPr="00EA50DF">
        <w:rPr>
          <w:rFonts w:ascii="Arabic Typesetting" w:hAnsi="Arabic Typesetting" w:cs="Arabic Typesetting"/>
          <w:sz w:val="34"/>
          <w:szCs w:val="34"/>
          <w:rtl/>
          <w:lang w:bidi="ar-EG"/>
        </w:rPr>
        <w:t>زيادة</w:t>
      </w:r>
      <w:r w:rsidR="00B31868" w:rsidRPr="00EA50DF">
        <w:rPr>
          <w:rFonts w:ascii="Arabic Typesetting" w:hAnsi="Arabic Typesetting" w:cs="Arabic Typesetting" w:hint="cs"/>
          <w:sz w:val="34"/>
          <w:szCs w:val="34"/>
          <w:rtl/>
          <w:lang w:bidi="ar-EG"/>
        </w:rPr>
        <w:t xml:space="preserve"> في النتيجة المرتقبة ه8.9</w:t>
      </w:r>
      <w:r w:rsidR="00EA50DF" w:rsidRPr="00EA50DF">
        <w:rPr>
          <w:rFonts w:ascii="Arabic Typesetting" w:hAnsi="Arabic Typesetting" w:cs="Arabic Typesetting"/>
          <w:sz w:val="34"/>
          <w:szCs w:val="34"/>
          <w:rtl/>
          <w:lang w:bidi="ar-EG"/>
        </w:rPr>
        <w:t xml:space="preserve"> </w:t>
      </w:r>
      <w:r w:rsidR="00EA50DF" w:rsidRPr="00EA50DF">
        <w:rPr>
          <w:rFonts w:ascii="Arabic Typesetting" w:hAnsi="Arabic Typesetting" w:cs="Arabic Typesetting" w:hint="cs"/>
          <w:sz w:val="34"/>
          <w:szCs w:val="34"/>
          <w:rtl/>
          <w:lang w:bidi="ar-EG"/>
        </w:rPr>
        <w:t>(</w:t>
      </w:r>
      <w:r w:rsidR="003E55BA" w:rsidRPr="003E55BA">
        <w:rPr>
          <w:rFonts w:ascii="Arabic Typesetting" w:hAnsi="Arabic Typesetting" w:cs="Arabic Typesetting"/>
          <w:sz w:val="34"/>
          <w:szCs w:val="34"/>
          <w:rtl/>
          <w:lang w:bidi="ar-EG"/>
        </w:rPr>
        <w:t>تحسين المساءلة</w:t>
      </w:r>
      <w:r w:rsidR="003E55BA">
        <w:rPr>
          <w:rFonts w:ascii="Arabic Typesetting" w:hAnsi="Arabic Typesetting" w:cs="Arabic Typesetting" w:hint="cs"/>
          <w:sz w:val="34"/>
          <w:szCs w:val="34"/>
          <w:rtl/>
          <w:lang w:bidi="ar-EG"/>
        </w:rPr>
        <w:t xml:space="preserve"> والمراقبة الداخلية والحوكمة المؤسسية</w:t>
      </w:r>
      <w:r w:rsidR="00EA50DF" w:rsidRPr="00EA50DF">
        <w:rPr>
          <w:rFonts w:ascii="Arabic Typesetting" w:hAnsi="Arabic Typesetting" w:cs="Arabic Typesetting" w:hint="cs"/>
          <w:sz w:val="34"/>
          <w:szCs w:val="34"/>
          <w:rtl/>
          <w:lang w:bidi="ar-EG"/>
        </w:rPr>
        <w:t>)</w:t>
      </w:r>
      <w:r w:rsidR="00B31868" w:rsidRPr="00EA50DF">
        <w:rPr>
          <w:rFonts w:ascii="Arabic Typesetting" w:hAnsi="Arabic Typesetting" w:cs="Arabic Typesetting" w:hint="cs"/>
          <w:sz w:val="34"/>
          <w:szCs w:val="34"/>
          <w:rtl/>
          <w:lang w:bidi="ar-EG"/>
        </w:rPr>
        <w:t xml:space="preserve"> إلى </w:t>
      </w:r>
      <w:r w:rsidR="00B31868" w:rsidRPr="00EA50DF">
        <w:rPr>
          <w:rFonts w:ascii="Arabic Typesetting" w:hAnsi="Arabic Typesetting" w:cs="Arabic Typesetting"/>
          <w:sz w:val="34"/>
          <w:szCs w:val="34"/>
          <w:rtl/>
          <w:lang w:bidi="ar-EG"/>
        </w:rPr>
        <w:t xml:space="preserve">الدعم </w:t>
      </w:r>
      <w:r w:rsidR="00B31868" w:rsidRPr="00EA50DF">
        <w:rPr>
          <w:rFonts w:ascii="Arabic Typesetting" w:hAnsi="Arabic Typesetting" w:cs="Arabic Typesetting" w:hint="cs"/>
          <w:sz w:val="34"/>
          <w:szCs w:val="34"/>
          <w:rtl/>
          <w:lang w:bidi="ar-EG"/>
        </w:rPr>
        <w:t>المتزايد الذي يقدمه ال</w:t>
      </w:r>
      <w:r w:rsidR="00B31868" w:rsidRPr="00EA50DF">
        <w:rPr>
          <w:rFonts w:ascii="Arabic Typesetting" w:hAnsi="Arabic Typesetting" w:cs="Arabic Typesetting"/>
          <w:sz w:val="34"/>
          <w:szCs w:val="34"/>
          <w:rtl/>
          <w:lang w:bidi="ar-EG"/>
        </w:rPr>
        <w:t>برنامج لعمل مراجعي الحسابات الخارجيين</w:t>
      </w:r>
      <w:r w:rsidR="00B31868" w:rsidRPr="00EA50DF">
        <w:rPr>
          <w:rFonts w:ascii="Arabic Typesetting" w:hAnsi="Arabic Typesetting" w:cs="Arabic Typesetting" w:hint="cs"/>
          <w:sz w:val="34"/>
          <w:szCs w:val="34"/>
          <w:rtl/>
          <w:lang w:bidi="ar-EG"/>
        </w:rPr>
        <w:t>.</w:t>
      </w:r>
    </w:p>
    <w:p w:rsidR="00B31868" w:rsidRPr="00706F20" w:rsidRDefault="004E30B6" w:rsidP="00FD7897">
      <w:pPr>
        <w:keepNext/>
        <w:bidi/>
        <w:spacing w:before="120" w:after="120" w:line="340" w:lineRule="exact"/>
        <w:rPr>
          <w:rFonts w:ascii="Arabic Typesetting" w:hAnsi="Arabic Typesetting" w:cs="Arabic Typesetting"/>
          <w:sz w:val="34"/>
          <w:szCs w:val="34"/>
          <w:u w:val="single"/>
          <w:rtl/>
          <w:lang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B264F9" w:rsidRDefault="00EA50DF" w:rsidP="009A3712">
      <w:pPr>
        <w:numPr>
          <w:ilvl w:val="0"/>
          <w:numId w:val="20"/>
        </w:numPr>
        <w:autoSpaceDE w:val="0"/>
        <w:autoSpaceDN w:val="0"/>
        <w:bidi/>
        <w:adjustRightInd w:val="0"/>
        <w:spacing w:before="120" w:after="120" w:line="340" w:lineRule="exact"/>
        <w:ind w:left="0" w:firstLine="0"/>
        <w:jc w:val="both"/>
        <w:rPr>
          <w:rFonts w:ascii="Arabic Typesetting" w:hAnsi="Arabic Typesetting" w:cs="Arabic Typesetting"/>
          <w:sz w:val="34"/>
          <w:szCs w:val="34"/>
          <w:lang w:bidi="ar-EG"/>
        </w:rPr>
      </w:pPr>
      <w:r w:rsidRPr="00E23F60">
        <w:rPr>
          <w:rFonts w:ascii="Arabic Typesetting" w:hAnsi="Arabic Typesetting" w:cs="Arabic Typesetting" w:hint="cs"/>
          <w:sz w:val="34"/>
          <w:szCs w:val="34"/>
          <w:rtl/>
          <w:lang w:val="fr-CH"/>
        </w:rPr>
        <w:t xml:space="preserve">لم يتجاوز </w:t>
      </w:r>
      <w:r w:rsidR="00C45BBE">
        <w:rPr>
          <w:rFonts w:ascii="Arabic Typesetting" w:hAnsi="Arabic Typesetting" w:cs="Arabic Typesetting" w:hint="cs"/>
          <w:sz w:val="34"/>
          <w:szCs w:val="34"/>
          <w:rtl/>
          <w:lang w:val="fr-CH"/>
        </w:rPr>
        <w:t>استخدام</w:t>
      </w:r>
      <w:r w:rsidR="00C45BBE" w:rsidRPr="00E23F60">
        <w:rPr>
          <w:rFonts w:ascii="Arabic Typesetting" w:hAnsi="Arabic Typesetting" w:cs="Arabic Typesetting" w:hint="cs"/>
          <w:sz w:val="34"/>
          <w:szCs w:val="34"/>
          <w:rtl/>
          <w:lang w:val="fr-CH"/>
        </w:rPr>
        <w:t xml:space="preserve"> </w:t>
      </w:r>
      <w:r w:rsidRPr="00E23F60">
        <w:rPr>
          <w:rFonts w:ascii="Arabic Typesetting" w:hAnsi="Arabic Typesetting" w:cs="Arabic Typesetting" w:hint="cs"/>
          <w:sz w:val="34"/>
          <w:szCs w:val="34"/>
          <w:rtl/>
          <w:lang w:val="fr-CH"/>
        </w:rPr>
        <w:t>الميزانية النسبة المتوقعة للثنائية.</w:t>
      </w:r>
    </w:p>
    <w:p w:rsidR="00B31868" w:rsidRPr="00385CA0" w:rsidRDefault="00B31868" w:rsidP="00285760">
      <w:pPr>
        <w:pStyle w:val="Heading3AR"/>
        <w:spacing w:after="120"/>
      </w:pPr>
      <w:bookmarkStart w:id="117" w:name="_Toc450635430"/>
      <w:bookmarkStart w:id="118" w:name="_Toc455393399"/>
      <w:r w:rsidRPr="00385CA0">
        <w:rPr>
          <w:rtl/>
        </w:rPr>
        <w:lastRenderedPageBreak/>
        <w:t>البرنامج 23</w:t>
      </w:r>
      <w:r w:rsidR="00365D19">
        <w:rPr>
          <w:rFonts w:hint="cs"/>
          <w:rtl/>
        </w:rPr>
        <w:t>:</w:t>
      </w:r>
      <w:r w:rsidRPr="00385CA0">
        <w:rPr>
          <w:rtl/>
        </w:rPr>
        <w:tab/>
        <w:t>إدارة الموارد البشرية وتطويرها</w:t>
      </w:r>
      <w:bookmarkEnd w:id="117"/>
      <w:bookmarkEnd w:id="118"/>
    </w:p>
    <w:p w:rsidR="00B31868" w:rsidRDefault="00086C3F" w:rsidP="00285760">
      <w:pPr>
        <w:keepNext/>
        <w:bidi/>
        <w:spacing w:after="240" w:line="340" w:lineRule="exact"/>
        <w:ind w:left="1984" w:hanging="1984"/>
        <w:rPr>
          <w:rFonts w:ascii="Arabic Typesetting" w:hAnsi="Arabic Typesetting" w:cs="Arabic Typesetting"/>
          <w:b/>
          <w:bCs/>
          <w:sz w:val="36"/>
          <w:szCs w:val="36"/>
          <w:rtl/>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lang w:val="fr-CH"/>
        </w:rPr>
        <w:tab/>
      </w:r>
      <w:r w:rsidR="00B31868" w:rsidRPr="00086C3F">
        <w:rPr>
          <w:rFonts w:ascii="Arabic Typesetting" w:hAnsi="Arabic Typesetting" w:cs="Arabic Typesetting"/>
          <w:b/>
          <w:bCs/>
          <w:sz w:val="36"/>
          <w:szCs w:val="36"/>
          <w:rtl/>
          <w:lang w:val="fr-CH"/>
        </w:rPr>
        <w:t>المدير العام</w:t>
      </w:r>
    </w:p>
    <w:p w:rsidR="00086C3F" w:rsidRDefault="00086C3F" w:rsidP="00285760">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4226D7" w:rsidRPr="00DF7909" w:rsidRDefault="004226D7"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DF7909">
        <w:rPr>
          <w:rFonts w:ascii="Arabic Typesetting" w:hAnsi="Arabic Typesetting" w:cs="Arabic Typesetting"/>
          <w:sz w:val="34"/>
          <w:szCs w:val="34"/>
          <w:rtl/>
          <w:lang w:bidi="ar-EG"/>
        </w:rPr>
        <w:t>كان</w:t>
      </w:r>
      <w:r w:rsidRPr="00DF7909">
        <w:rPr>
          <w:rFonts w:ascii="Arabic Typesetting" w:hAnsi="Arabic Typesetting" w:cs="Arabic Typesetting" w:hint="cs"/>
          <w:sz w:val="34"/>
          <w:szCs w:val="34"/>
          <w:rtl/>
        </w:rPr>
        <w:t>ت الثنائية</w:t>
      </w:r>
      <w:r w:rsidRPr="00DF7909">
        <w:rPr>
          <w:rFonts w:ascii="Arabic Typesetting" w:hAnsi="Arabic Typesetting" w:cs="Arabic Typesetting" w:hint="cs"/>
          <w:sz w:val="34"/>
          <w:szCs w:val="34"/>
          <w:rtl/>
          <w:lang w:bidi="ar-EG"/>
        </w:rPr>
        <w:t> 2014/15</w:t>
      </w:r>
      <w:r w:rsidRPr="00DF7909">
        <w:rPr>
          <w:rFonts w:ascii="Arabic Typesetting" w:hAnsi="Arabic Typesetting" w:cs="Arabic Typesetting"/>
          <w:sz w:val="34"/>
          <w:szCs w:val="34"/>
          <w:rtl/>
          <w:lang w:bidi="ar-EG"/>
        </w:rPr>
        <w:t xml:space="preserve"> أول </w:t>
      </w:r>
      <w:r w:rsidRPr="00DF7909">
        <w:rPr>
          <w:rFonts w:ascii="Arabic Typesetting" w:hAnsi="Arabic Typesetting" w:cs="Arabic Typesetting" w:hint="cs"/>
          <w:sz w:val="34"/>
          <w:szCs w:val="34"/>
          <w:rtl/>
          <w:lang w:bidi="ar-EG"/>
        </w:rPr>
        <w:t>ثنائية</w:t>
      </w:r>
      <w:r w:rsidRPr="00DF7909">
        <w:rPr>
          <w:rFonts w:ascii="Arabic Typesetting" w:hAnsi="Arabic Typesetting" w:cs="Arabic Typesetting"/>
          <w:sz w:val="34"/>
          <w:szCs w:val="34"/>
          <w:rtl/>
          <w:lang w:bidi="ar-EG"/>
        </w:rPr>
        <w:t xml:space="preserve"> تُنفَّذ فيه</w:t>
      </w:r>
      <w:r w:rsidRPr="00DF7909">
        <w:rPr>
          <w:rFonts w:ascii="Arabic Typesetting" w:hAnsi="Arabic Typesetting" w:cs="Arabic Typesetting" w:hint="cs"/>
          <w:sz w:val="34"/>
          <w:szCs w:val="34"/>
          <w:rtl/>
          <w:lang w:bidi="ar-EG"/>
        </w:rPr>
        <w:t>ا</w:t>
      </w:r>
      <w:r w:rsidRPr="00DF7909">
        <w:rPr>
          <w:rFonts w:ascii="Arabic Typesetting" w:hAnsi="Arabic Typesetting" w:cs="Arabic Typesetting"/>
          <w:sz w:val="34"/>
          <w:szCs w:val="34"/>
          <w:rtl/>
          <w:lang w:bidi="ar-EG"/>
        </w:rPr>
        <w:t xml:space="preserve"> استراتيجية الموارد البشرية التي اعتمدتها الدول الأعضاء في عام 2013</w:t>
      </w:r>
      <w:r w:rsidRPr="00DF7909">
        <w:rPr>
          <w:rFonts w:ascii="Arabic Typesetting" w:hAnsi="Arabic Typesetting" w:cs="Arabic Typesetting" w:hint="cs"/>
          <w:sz w:val="34"/>
          <w:szCs w:val="34"/>
          <w:rtl/>
          <w:lang w:bidi="ar-EG"/>
        </w:rPr>
        <w:t>. وعلى الرغم من استمرار البرنامج في تأدية عمله على نحو يفي بالغرض إلى حد كبير</w:t>
      </w:r>
      <w:r w:rsidRPr="00DF7909">
        <w:rPr>
          <w:rFonts w:ascii="Arabic Typesetting" w:hAnsi="Arabic Typesetting" w:cs="Arabic Typesetting"/>
          <w:sz w:val="34"/>
          <w:szCs w:val="34"/>
          <w:rtl/>
          <w:lang w:bidi="ar-EG"/>
        </w:rPr>
        <w:t xml:space="preserve">، </w:t>
      </w:r>
      <w:r w:rsidRPr="00DF7909">
        <w:rPr>
          <w:rFonts w:ascii="Arabic Typesetting" w:hAnsi="Arabic Typesetting" w:cs="Arabic Typesetting" w:hint="cs"/>
          <w:sz w:val="34"/>
          <w:szCs w:val="34"/>
          <w:rtl/>
          <w:lang w:bidi="ar-EG"/>
        </w:rPr>
        <w:t>فإنه واصل التزامه مع الموظفين والمديرين لضمان تحقيق النتائج بفعالية وكفاءة.</w:t>
      </w:r>
    </w:p>
    <w:p w:rsidR="004226D7" w:rsidRPr="00DF7909" w:rsidRDefault="004226D7"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DF7909">
        <w:rPr>
          <w:rFonts w:ascii="Arabic Typesetting" w:hAnsi="Arabic Typesetting" w:cs="Arabic Typesetting" w:hint="cs"/>
          <w:sz w:val="34"/>
          <w:szCs w:val="34"/>
          <w:rtl/>
          <w:lang w:bidi="ar-EG"/>
        </w:rPr>
        <w:t>وشهدت الثنائية</w:t>
      </w:r>
      <w:r w:rsidRPr="00DF7909">
        <w:rPr>
          <w:rFonts w:ascii="Arabic Typesetting" w:hAnsi="Arabic Typesetting" w:cs="Arabic Typesetting" w:hint="eastAsia"/>
          <w:sz w:val="34"/>
          <w:szCs w:val="34"/>
          <w:rtl/>
          <w:lang w:bidi="ar-EG"/>
        </w:rPr>
        <w:t> </w:t>
      </w:r>
      <w:r w:rsidRPr="00DF7909">
        <w:rPr>
          <w:rFonts w:ascii="Arabic Typesetting" w:hAnsi="Arabic Typesetting" w:cs="Arabic Typesetting" w:hint="cs"/>
          <w:sz w:val="34"/>
          <w:szCs w:val="34"/>
          <w:rtl/>
          <w:lang w:bidi="ar-EG"/>
        </w:rPr>
        <w:t xml:space="preserve">2014/15 تكثيف </w:t>
      </w:r>
      <w:r w:rsidRPr="00DF7909">
        <w:rPr>
          <w:rFonts w:ascii="Arabic Typesetting" w:hAnsi="Arabic Typesetting" w:cs="Arabic Typesetting"/>
          <w:sz w:val="34"/>
          <w:szCs w:val="34"/>
          <w:rtl/>
          <w:lang w:bidi="ar-EG"/>
        </w:rPr>
        <w:t xml:space="preserve">الجهود الرامية إلى زيادة التنوع الجغرافي </w:t>
      </w:r>
      <w:proofErr w:type="spellStart"/>
      <w:r w:rsidRPr="00DF7909">
        <w:rPr>
          <w:rFonts w:ascii="Arabic Typesetting" w:hAnsi="Arabic Typesetting" w:cs="Arabic Typesetting"/>
          <w:sz w:val="34"/>
          <w:szCs w:val="34"/>
          <w:rtl/>
          <w:lang w:bidi="ar-EG"/>
        </w:rPr>
        <w:t>والجنساني</w:t>
      </w:r>
      <w:proofErr w:type="spellEnd"/>
      <w:r w:rsidRPr="00DF7909">
        <w:rPr>
          <w:rFonts w:ascii="Arabic Typesetting" w:hAnsi="Arabic Typesetting" w:cs="Arabic Typesetting"/>
          <w:sz w:val="34"/>
          <w:szCs w:val="34"/>
          <w:rtl/>
          <w:lang w:bidi="ar-EG"/>
        </w:rPr>
        <w:t xml:space="preserve"> عند التوظيف. </w:t>
      </w:r>
      <w:r w:rsidRPr="00DF7909">
        <w:rPr>
          <w:rFonts w:ascii="Arabic Typesetting" w:hAnsi="Arabic Typesetting" w:cs="Arabic Typesetting" w:hint="cs"/>
          <w:sz w:val="34"/>
          <w:szCs w:val="34"/>
          <w:rtl/>
          <w:lang w:bidi="ar-EG"/>
        </w:rPr>
        <w:t>وأدخلت تعديلات على نظام الموظفين ولائحته اعتبارا من 1</w:t>
      </w:r>
      <w:r w:rsidRPr="00DF7909">
        <w:rPr>
          <w:rFonts w:ascii="Arabic Typesetting" w:hAnsi="Arabic Typesetting" w:cs="Arabic Typesetting" w:hint="eastAsia"/>
          <w:sz w:val="34"/>
          <w:szCs w:val="34"/>
          <w:rtl/>
          <w:lang w:bidi="ar-EG"/>
        </w:rPr>
        <w:t> </w:t>
      </w:r>
      <w:r w:rsidRPr="00DF7909">
        <w:rPr>
          <w:rFonts w:ascii="Arabic Typesetting" w:hAnsi="Arabic Typesetting" w:cs="Arabic Typesetting" w:hint="cs"/>
          <w:sz w:val="34"/>
          <w:szCs w:val="34"/>
          <w:rtl/>
          <w:lang w:bidi="ar-EG"/>
        </w:rPr>
        <w:t>نوفمبر</w:t>
      </w:r>
      <w:r w:rsidRPr="00DF7909">
        <w:rPr>
          <w:rFonts w:ascii="Arabic Typesetting" w:hAnsi="Arabic Typesetting" w:cs="Arabic Typesetting" w:hint="eastAsia"/>
          <w:sz w:val="34"/>
          <w:szCs w:val="34"/>
          <w:rtl/>
          <w:lang w:bidi="ar-EG"/>
        </w:rPr>
        <w:t> </w:t>
      </w:r>
      <w:r w:rsidRPr="00DF7909">
        <w:rPr>
          <w:rFonts w:ascii="Arabic Typesetting" w:hAnsi="Arabic Typesetting" w:cs="Arabic Typesetting" w:hint="cs"/>
          <w:sz w:val="34"/>
          <w:szCs w:val="34"/>
          <w:rtl/>
          <w:lang w:bidi="ar-EG"/>
        </w:rPr>
        <w:t xml:space="preserve">2014 تقتضي من هيئات التعيين أن تعدّ قائمة </w:t>
      </w:r>
      <w:r w:rsidR="00322324">
        <w:rPr>
          <w:rFonts w:ascii="Arabic Typesetting" w:hAnsi="Arabic Typesetting" w:cs="Arabic Typesetting" w:hint="cs"/>
          <w:sz w:val="34"/>
          <w:szCs w:val="34"/>
          <w:rtl/>
          <w:lang w:bidi="ar-EG"/>
        </w:rPr>
        <w:t>ب</w:t>
      </w:r>
      <w:r w:rsidRPr="00DF7909">
        <w:rPr>
          <w:rFonts w:ascii="Arabic Typesetting" w:hAnsi="Arabic Typesetting" w:cs="Arabic Typesetting" w:hint="cs"/>
          <w:sz w:val="34"/>
          <w:szCs w:val="34"/>
          <w:rtl/>
          <w:lang w:bidi="ar-EG"/>
        </w:rPr>
        <w:t xml:space="preserve">المرشحين </w:t>
      </w:r>
      <w:proofErr w:type="spellStart"/>
      <w:r w:rsidRPr="00DF7909">
        <w:rPr>
          <w:rFonts w:ascii="Arabic Typesetting" w:hAnsi="Arabic Typesetting" w:cs="Arabic Typesetting" w:hint="cs"/>
          <w:sz w:val="34"/>
          <w:szCs w:val="34"/>
          <w:rtl/>
          <w:lang w:bidi="ar-EG"/>
        </w:rPr>
        <w:t>الموصى</w:t>
      </w:r>
      <w:proofErr w:type="spellEnd"/>
      <w:r w:rsidRPr="00DF7909">
        <w:rPr>
          <w:rFonts w:ascii="Arabic Typesetting" w:hAnsi="Arabic Typesetting" w:cs="Arabic Typesetting" w:hint="cs"/>
          <w:sz w:val="34"/>
          <w:szCs w:val="34"/>
          <w:rtl/>
          <w:lang w:bidi="ar-EG"/>
        </w:rPr>
        <w:t xml:space="preserve"> بهم مصحوبة بمسبّبات التوصية وليس قائمة بالأسماء التي وقع عليها الاختيار وترتيبها بحسب التفضيل، مما </w:t>
      </w:r>
      <w:r w:rsidRPr="00DF7909">
        <w:rPr>
          <w:rFonts w:ascii="Arabic Typesetting" w:hAnsi="Arabic Typesetting" w:cs="Arabic Typesetting"/>
          <w:sz w:val="34"/>
          <w:szCs w:val="34"/>
          <w:rtl/>
          <w:lang w:bidi="ar-EG"/>
        </w:rPr>
        <w:t xml:space="preserve">يسمح للمدير العام بممارسة سلطته التقديرية عند شغل الوظائف لمعالجة اختلال التوازن </w:t>
      </w:r>
      <w:r w:rsidRPr="00DF7909">
        <w:rPr>
          <w:rFonts w:ascii="Arabic Typesetting" w:hAnsi="Arabic Typesetting" w:cs="Arabic Typesetting" w:hint="cs"/>
          <w:sz w:val="34"/>
          <w:szCs w:val="34"/>
          <w:rtl/>
          <w:lang w:bidi="ar-EG"/>
        </w:rPr>
        <w:t xml:space="preserve">في التنوع </w:t>
      </w:r>
      <w:r w:rsidRPr="00DF7909">
        <w:rPr>
          <w:rFonts w:ascii="Arabic Typesetting" w:hAnsi="Arabic Typesetting" w:cs="Arabic Typesetting"/>
          <w:sz w:val="34"/>
          <w:szCs w:val="34"/>
          <w:rtl/>
          <w:lang w:bidi="ar-EG"/>
        </w:rPr>
        <w:t xml:space="preserve">وبين الجنسين. وطُلب </w:t>
      </w:r>
      <w:r w:rsidR="00322324">
        <w:rPr>
          <w:rFonts w:ascii="Arabic Typesetting" w:hAnsi="Arabic Typesetting" w:cs="Arabic Typesetting" w:hint="cs"/>
          <w:sz w:val="34"/>
          <w:szCs w:val="34"/>
          <w:rtl/>
          <w:lang w:bidi="ar-EG"/>
        </w:rPr>
        <w:t>من</w:t>
      </w:r>
      <w:r w:rsidR="00322324" w:rsidRPr="00DF7909">
        <w:rPr>
          <w:rFonts w:ascii="Arabic Typesetting" w:hAnsi="Arabic Typesetting" w:cs="Arabic Typesetting"/>
          <w:sz w:val="34"/>
          <w:szCs w:val="34"/>
          <w:rtl/>
          <w:lang w:bidi="ar-EG"/>
        </w:rPr>
        <w:t xml:space="preserve"> </w:t>
      </w:r>
      <w:r w:rsidRPr="00DF7909">
        <w:rPr>
          <w:rFonts w:ascii="Arabic Typesetting" w:hAnsi="Arabic Typesetting" w:cs="Arabic Typesetting"/>
          <w:sz w:val="34"/>
          <w:szCs w:val="34"/>
          <w:rtl/>
          <w:lang w:bidi="ar-EG"/>
        </w:rPr>
        <w:t>الدول الأعضاء أن تشارك</w:t>
      </w:r>
      <w:r w:rsidRPr="00DF7909">
        <w:rPr>
          <w:rFonts w:ascii="Arabic Typesetting" w:hAnsi="Arabic Typesetting" w:cs="Arabic Typesetting" w:hint="cs"/>
          <w:sz w:val="34"/>
          <w:szCs w:val="34"/>
          <w:rtl/>
          <w:lang w:bidi="ar-EG"/>
        </w:rPr>
        <w:t xml:space="preserve"> في </w:t>
      </w:r>
      <w:r w:rsidR="00322324" w:rsidRPr="00DF7909">
        <w:rPr>
          <w:rFonts w:ascii="Arabic Typesetting" w:hAnsi="Arabic Typesetting" w:cs="Arabic Typesetting" w:hint="cs"/>
          <w:sz w:val="34"/>
          <w:szCs w:val="34"/>
          <w:rtl/>
          <w:lang w:bidi="ar-EG"/>
        </w:rPr>
        <w:t>إ</w:t>
      </w:r>
      <w:r w:rsidR="00322324">
        <w:rPr>
          <w:rFonts w:ascii="Arabic Typesetting" w:hAnsi="Arabic Typesetting" w:cs="Arabic Typesetting" w:hint="cs"/>
          <w:sz w:val="34"/>
          <w:szCs w:val="34"/>
          <w:rtl/>
          <w:lang w:bidi="ar-EG"/>
        </w:rPr>
        <w:t>ز</w:t>
      </w:r>
      <w:r w:rsidR="00322324" w:rsidRPr="00DF7909">
        <w:rPr>
          <w:rFonts w:ascii="Arabic Typesetting" w:hAnsi="Arabic Typesetting" w:cs="Arabic Typesetting" w:hint="cs"/>
          <w:sz w:val="34"/>
          <w:szCs w:val="34"/>
          <w:rtl/>
          <w:lang w:bidi="ar-EG"/>
        </w:rPr>
        <w:t xml:space="preserve">كاء </w:t>
      </w:r>
      <w:r w:rsidRPr="00DF7909">
        <w:rPr>
          <w:rFonts w:ascii="Arabic Typesetting" w:hAnsi="Arabic Typesetting" w:cs="Arabic Typesetting" w:hint="cs"/>
          <w:sz w:val="34"/>
          <w:szCs w:val="34"/>
          <w:rtl/>
          <w:lang w:bidi="ar-EG"/>
        </w:rPr>
        <w:t>الوعي</w:t>
      </w:r>
      <w:r w:rsidRPr="00DF7909">
        <w:rPr>
          <w:rFonts w:ascii="Arabic Typesetting" w:hAnsi="Arabic Typesetting" w:cs="Arabic Typesetting"/>
          <w:sz w:val="34"/>
          <w:szCs w:val="34"/>
          <w:rtl/>
          <w:lang w:bidi="ar-EG"/>
        </w:rPr>
        <w:t xml:space="preserve">، </w:t>
      </w:r>
      <w:r w:rsidR="000B23B7">
        <w:rPr>
          <w:rFonts w:ascii="Arabic Typesetting" w:hAnsi="Arabic Typesetting" w:cs="Arabic Typesetting" w:hint="cs"/>
          <w:sz w:val="34"/>
          <w:szCs w:val="34"/>
          <w:rtl/>
          <w:lang w:bidi="ar-EG"/>
        </w:rPr>
        <w:t>وبادرت المنظمة بحث</w:t>
      </w:r>
      <w:r w:rsidRPr="00DF7909">
        <w:rPr>
          <w:rFonts w:ascii="Arabic Typesetting" w:hAnsi="Arabic Typesetting" w:cs="Arabic Typesetting"/>
          <w:sz w:val="34"/>
          <w:szCs w:val="34"/>
          <w:rtl/>
          <w:lang w:bidi="ar-EG"/>
        </w:rPr>
        <w:t xml:space="preserve"> مكاتب الويبو الخارجية على </w:t>
      </w:r>
      <w:r w:rsidRPr="00DF7909">
        <w:rPr>
          <w:rFonts w:ascii="Arabic Typesetting" w:hAnsi="Arabic Typesetting" w:cs="Arabic Typesetting" w:hint="cs"/>
          <w:sz w:val="34"/>
          <w:szCs w:val="34"/>
          <w:rtl/>
          <w:lang w:bidi="ar-EG"/>
        </w:rPr>
        <w:t xml:space="preserve">ترويج </w:t>
      </w:r>
      <w:r w:rsidR="000B23B7">
        <w:rPr>
          <w:rFonts w:ascii="Arabic Typesetting" w:hAnsi="Arabic Typesetting" w:cs="Arabic Typesetting" w:hint="cs"/>
          <w:sz w:val="34"/>
          <w:szCs w:val="34"/>
          <w:rtl/>
          <w:lang w:bidi="ar-EG"/>
        </w:rPr>
        <w:t xml:space="preserve">مكانتها </w:t>
      </w:r>
      <w:r w:rsidRPr="00DF7909">
        <w:rPr>
          <w:rFonts w:ascii="Arabic Typesetting" w:hAnsi="Arabic Typesetting" w:cs="Arabic Typesetting"/>
          <w:sz w:val="34"/>
          <w:szCs w:val="34"/>
          <w:rtl/>
          <w:lang w:bidi="ar-EG"/>
        </w:rPr>
        <w:t xml:space="preserve">بوصفها "جهة عمل مُفضَّلة". وتحقيقاً </w:t>
      </w:r>
      <w:r w:rsidR="000B23B7">
        <w:rPr>
          <w:rFonts w:ascii="Arabic Typesetting" w:hAnsi="Arabic Typesetting" w:cs="Arabic Typesetting" w:hint="cs"/>
          <w:sz w:val="34"/>
          <w:szCs w:val="34"/>
          <w:rtl/>
          <w:lang w:bidi="ar-EG"/>
        </w:rPr>
        <w:t>لذلك</w:t>
      </w:r>
      <w:r w:rsidRPr="00DF7909">
        <w:rPr>
          <w:rFonts w:ascii="Arabic Typesetting" w:hAnsi="Arabic Typesetting" w:cs="Arabic Typesetting"/>
          <w:sz w:val="34"/>
          <w:szCs w:val="34"/>
          <w:rtl/>
          <w:lang w:bidi="ar-EG"/>
        </w:rPr>
        <w:t xml:space="preserve">، أُقيمت جلسة ومنصة للمعلومات خلال </w:t>
      </w:r>
      <w:r w:rsidRPr="00DF7909">
        <w:rPr>
          <w:rFonts w:ascii="Arabic Typesetting" w:hAnsi="Arabic Typesetting" w:cs="Arabic Typesetting" w:hint="cs"/>
          <w:sz w:val="34"/>
          <w:szCs w:val="34"/>
          <w:rtl/>
          <w:lang w:bidi="ar-EG"/>
        </w:rPr>
        <w:t>ال</w:t>
      </w:r>
      <w:r w:rsidRPr="00DF7909">
        <w:rPr>
          <w:rFonts w:ascii="Arabic Typesetting" w:hAnsi="Arabic Typesetting" w:cs="Arabic Typesetting"/>
          <w:sz w:val="34"/>
          <w:szCs w:val="34"/>
          <w:rtl/>
          <w:lang w:bidi="ar-EG"/>
        </w:rPr>
        <w:t>جمعيات</w:t>
      </w:r>
      <w:r w:rsidRPr="00DF7909">
        <w:rPr>
          <w:rFonts w:ascii="Arabic Typesetting" w:hAnsi="Arabic Typesetting" w:cs="Arabic Typesetting" w:hint="cs"/>
          <w:sz w:val="34"/>
          <w:szCs w:val="34"/>
          <w:rtl/>
          <w:lang w:bidi="ar-EG"/>
        </w:rPr>
        <w:t xml:space="preserve"> في عام</w:t>
      </w:r>
      <w:r w:rsidRPr="00DF7909">
        <w:rPr>
          <w:rFonts w:ascii="Arabic Typesetting" w:hAnsi="Arabic Typesetting" w:cs="Arabic Typesetting" w:hint="eastAsia"/>
          <w:sz w:val="34"/>
          <w:szCs w:val="34"/>
          <w:rtl/>
          <w:lang w:bidi="ar-EG"/>
        </w:rPr>
        <w:t> </w:t>
      </w:r>
      <w:r w:rsidRPr="00DF7909">
        <w:rPr>
          <w:rFonts w:ascii="Arabic Typesetting" w:hAnsi="Arabic Typesetting" w:cs="Arabic Typesetting" w:hint="cs"/>
          <w:sz w:val="34"/>
          <w:szCs w:val="34"/>
          <w:rtl/>
          <w:lang w:bidi="ar-EG"/>
        </w:rPr>
        <w:t>2014</w:t>
      </w:r>
      <w:r w:rsidRPr="00DF7909">
        <w:rPr>
          <w:rFonts w:ascii="Arabic Typesetting" w:hAnsi="Arabic Typesetting" w:cs="Arabic Typesetting"/>
          <w:sz w:val="34"/>
          <w:szCs w:val="34"/>
          <w:rtl/>
          <w:lang w:bidi="ar-EG"/>
        </w:rPr>
        <w:t xml:space="preserve">. ووُضِعت قائمة متنوعة من المرشحين تتضمن مرشحين مؤهلين سبق فرزهم من دول أعضاء غير مُمثَّلة لشغل مناصب مؤقتة ومُحدَّدة المدة. وإضافةً إلى ذلك، واصلت الويبو تعزيز تواصلها من خلال الحملات ووسائل التواصل الاجتماعي (مثل موقع </w:t>
      </w:r>
      <w:r w:rsidRPr="00DF7909">
        <w:rPr>
          <w:rFonts w:ascii="Arabic Typesetting" w:hAnsi="Arabic Typesetting" w:cs="Arabic Typesetting"/>
          <w:sz w:val="34"/>
          <w:szCs w:val="34"/>
          <w:lang w:bidi="ar-EG"/>
        </w:rPr>
        <w:t>LinkedIn</w:t>
      </w:r>
      <w:r w:rsidRPr="00DF7909">
        <w:rPr>
          <w:rFonts w:ascii="Arabic Typesetting" w:hAnsi="Arabic Typesetting" w:cs="Arabic Typesetting"/>
          <w:sz w:val="34"/>
          <w:szCs w:val="34"/>
          <w:rtl/>
          <w:lang w:bidi="ar-EG"/>
        </w:rPr>
        <w:t xml:space="preserve">). وتضمنت المبادرات الأخرى </w:t>
      </w:r>
      <w:r w:rsidRPr="00DF7909">
        <w:rPr>
          <w:rFonts w:ascii="Arabic Typesetting" w:hAnsi="Arabic Typesetting" w:cs="Arabic Typesetting" w:hint="cs"/>
          <w:sz w:val="34"/>
          <w:szCs w:val="34"/>
          <w:rtl/>
          <w:lang w:bidi="ar-EG"/>
        </w:rPr>
        <w:t xml:space="preserve">ما يلي: </w:t>
      </w:r>
      <w:r w:rsidRPr="00DF7909">
        <w:rPr>
          <w:rFonts w:ascii="Arabic Typesetting" w:hAnsi="Arabic Typesetting" w:cs="Arabic Typesetting"/>
          <w:sz w:val="34"/>
          <w:szCs w:val="34"/>
          <w:rtl/>
          <w:lang w:bidi="ar-EG"/>
        </w:rPr>
        <w:t>إنشاء موقع إلكتروني ل</w:t>
      </w:r>
      <w:r w:rsidRPr="00DF7909">
        <w:rPr>
          <w:rFonts w:ascii="Arabic Typesetting" w:hAnsi="Arabic Typesetting" w:cs="Arabic Typesetting" w:hint="cs"/>
          <w:sz w:val="34"/>
          <w:szCs w:val="34"/>
          <w:rtl/>
          <w:lang w:bidi="ar-EG"/>
        </w:rPr>
        <w:t>لمسارات المهنية في الويبو</w:t>
      </w:r>
      <w:r w:rsidRPr="00F96634">
        <w:rPr>
          <w:rFonts w:ascii="Arabic Typesetting" w:hAnsi="Arabic Typesetting" w:cs="Arabic Typesetting"/>
          <w:sz w:val="28"/>
          <w:szCs w:val="28"/>
          <w:vertAlign w:val="superscript"/>
          <w:rtl/>
          <w:lang w:bidi="ar-EG"/>
        </w:rPr>
        <w:footnoteReference w:id="128"/>
      </w:r>
      <w:r w:rsidRPr="00DF7909">
        <w:rPr>
          <w:rFonts w:ascii="Arabic Typesetting" w:hAnsi="Arabic Typesetting" w:cs="Arabic Typesetting" w:hint="cs"/>
          <w:sz w:val="34"/>
          <w:szCs w:val="34"/>
          <w:rtl/>
          <w:lang w:bidi="ar-EG"/>
        </w:rPr>
        <w:t xml:space="preserve">؛ "2" </w:t>
      </w:r>
      <w:r w:rsidRPr="00DF7909">
        <w:rPr>
          <w:rFonts w:ascii="Arabic Typesetting" w:hAnsi="Arabic Typesetting" w:cs="Arabic Typesetting"/>
          <w:sz w:val="34"/>
          <w:szCs w:val="34"/>
          <w:rtl/>
          <w:lang w:bidi="ar-EG"/>
        </w:rPr>
        <w:t>واستحداث أداة توظيف أكثر ملاءمة للمستخدم</w:t>
      </w:r>
      <w:r w:rsidRPr="00DF7909">
        <w:rPr>
          <w:rFonts w:ascii="Arabic Typesetting" w:hAnsi="Arabic Typesetting" w:cs="Arabic Typesetting" w:hint="cs"/>
          <w:sz w:val="34"/>
          <w:szCs w:val="34"/>
          <w:rtl/>
          <w:lang w:bidi="ar-EG"/>
        </w:rPr>
        <w:t xml:space="preserve">ين؛ "3" وتحديد </w:t>
      </w:r>
      <w:r w:rsidR="009E79FF">
        <w:rPr>
          <w:rFonts w:ascii="Arabic Typesetting" w:hAnsi="Arabic Typesetting" w:cs="Arabic Typesetting" w:hint="cs"/>
          <w:sz w:val="34"/>
          <w:szCs w:val="34"/>
          <w:rtl/>
          <w:lang w:bidi="ar-EG"/>
        </w:rPr>
        <w:t>جهات</w:t>
      </w:r>
      <w:r w:rsidR="009E79FF" w:rsidRPr="00DF7909">
        <w:rPr>
          <w:rFonts w:ascii="Arabic Typesetting" w:hAnsi="Arabic Typesetting" w:cs="Arabic Typesetting" w:hint="cs"/>
          <w:sz w:val="34"/>
          <w:szCs w:val="34"/>
          <w:rtl/>
          <w:lang w:bidi="ar-EG"/>
        </w:rPr>
        <w:t xml:space="preserve"> </w:t>
      </w:r>
      <w:r w:rsidRPr="00DF7909">
        <w:rPr>
          <w:rFonts w:ascii="Arabic Typesetting" w:hAnsi="Arabic Typesetting" w:cs="Arabic Typesetting" w:hint="cs"/>
          <w:sz w:val="34"/>
          <w:szCs w:val="34"/>
          <w:rtl/>
          <w:lang w:bidi="ar-EG"/>
        </w:rPr>
        <w:t xml:space="preserve">اتصال في المكاتب الوطنية للملكية الفكرية ومنصات وطنية استراتيجية </w:t>
      </w:r>
      <w:r w:rsidR="009E79FF">
        <w:rPr>
          <w:rFonts w:ascii="Arabic Typesetting" w:hAnsi="Arabic Typesetting" w:cs="Arabic Typesetting" w:hint="cs"/>
          <w:sz w:val="34"/>
          <w:szCs w:val="34"/>
          <w:rtl/>
          <w:lang w:bidi="ar-EG"/>
        </w:rPr>
        <w:t>لإعلان</w:t>
      </w:r>
      <w:r w:rsidRPr="00DF7909">
        <w:rPr>
          <w:rFonts w:ascii="Arabic Typesetting" w:hAnsi="Arabic Typesetting" w:cs="Arabic Typesetting" w:hint="cs"/>
          <w:sz w:val="34"/>
          <w:szCs w:val="34"/>
          <w:rtl/>
          <w:lang w:bidi="ar-EG"/>
        </w:rPr>
        <w:t xml:space="preserve"> مناصب الويبو</w:t>
      </w:r>
      <w:r w:rsidR="009E79FF">
        <w:rPr>
          <w:rFonts w:ascii="Arabic Typesetting" w:hAnsi="Arabic Typesetting" w:cs="Arabic Typesetting" w:hint="cs"/>
          <w:sz w:val="34"/>
          <w:szCs w:val="34"/>
          <w:rtl/>
          <w:lang w:bidi="ar-EG"/>
        </w:rPr>
        <w:t xml:space="preserve"> إعلانا هادفا</w:t>
      </w:r>
      <w:r w:rsidRPr="00DF7909">
        <w:rPr>
          <w:rFonts w:ascii="Arabic Typesetting" w:hAnsi="Arabic Typesetting" w:cs="Arabic Typesetting" w:hint="cs"/>
          <w:sz w:val="34"/>
          <w:szCs w:val="34"/>
          <w:rtl/>
          <w:lang w:bidi="ar-EG"/>
        </w:rPr>
        <w:t>؛ "4" وإنشاء قوائم بريدية مباشرة بمرشحين من الدول الأعضاء غير الممثَّلة أو تلك الممثَّلة بصورة غير كافية. ونتيجة تلك الجهود المكثّفة</w:t>
      </w:r>
      <w:r w:rsidR="009E79FF">
        <w:rPr>
          <w:rFonts w:ascii="Arabic Typesetting" w:hAnsi="Arabic Typesetting" w:cs="Arabic Typesetting" w:hint="cs"/>
          <w:sz w:val="34"/>
          <w:szCs w:val="34"/>
          <w:rtl/>
          <w:lang w:bidi="ar-EG"/>
        </w:rPr>
        <w:t>،</w:t>
      </w:r>
      <w:r w:rsidRPr="00DF7909">
        <w:rPr>
          <w:rFonts w:ascii="Arabic Typesetting" w:hAnsi="Arabic Typesetting" w:cs="Arabic Typesetting" w:hint="cs"/>
          <w:sz w:val="34"/>
          <w:szCs w:val="34"/>
          <w:rtl/>
          <w:lang w:bidi="ar-EG"/>
        </w:rPr>
        <w:t xml:space="preserve"> سُجّل في أواخر عام 2015 انخفاض </w:t>
      </w:r>
      <w:r w:rsidR="009E79FF">
        <w:rPr>
          <w:rFonts w:ascii="Arabic Typesetting" w:hAnsi="Arabic Typesetting" w:cs="Arabic Typesetting" w:hint="cs"/>
          <w:sz w:val="34"/>
          <w:szCs w:val="34"/>
          <w:rtl/>
          <w:lang w:bidi="ar-EG"/>
        </w:rPr>
        <w:t xml:space="preserve">في </w:t>
      </w:r>
      <w:r w:rsidRPr="00DF7909">
        <w:rPr>
          <w:rFonts w:ascii="Arabic Typesetting" w:hAnsi="Arabic Typesetting" w:cs="Arabic Typesetting" w:hint="cs"/>
          <w:sz w:val="34"/>
          <w:szCs w:val="34"/>
          <w:rtl/>
          <w:lang w:bidi="ar-EG"/>
        </w:rPr>
        <w:t>نسبة الموظفين من أوروبا الغربية إلى أقلّ من النصف فيما يخص موظفي الفئة الفنية والفئات العليا، في حين زادت نسبة الموظفين من مواطني المناطق الأخرى، ولا سيما آسيا والمحيط الهادئ وأوروبا الشرقية والوسطى وآسيا الوسطى وأمريكا الشمالية.</w:t>
      </w:r>
    </w:p>
    <w:p w:rsidR="004226D7" w:rsidRPr="000429DF" w:rsidRDefault="004226D7" w:rsidP="009E79FF">
      <w:pPr>
        <w:keepNext/>
        <w:tabs>
          <w:tab w:val="left" w:pos="625"/>
        </w:tabs>
        <w:bidi/>
        <w:spacing w:after="120" w:line="340" w:lineRule="exact"/>
        <w:jc w:val="center"/>
        <w:rPr>
          <w:rFonts w:ascii="Arabic Typesetting" w:hAnsi="Arabic Typesetting" w:cs="Arabic Typesetting"/>
          <w:i/>
          <w:iCs/>
          <w:sz w:val="34"/>
          <w:szCs w:val="34"/>
          <w:rtl/>
        </w:rPr>
      </w:pPr>
      <w:r w:rsidRPr="000429DF">
        <w:rPr>
          <w:rFonts w:ascii="Arabic Typesetting" w:hAnsi="Arabic Typesetting" w:cs="Arabic Typesetting" w:hint="cs"/>
          <w:i/>
          <w:iCs/>
          <w:sz w:val="34"/>
          <w:szCs w:val="34"/>
          <w:rtl/>
        </w:rPr>
        <w:t xml:space="preserve">النسبة المئوية لموظفي الفئة الفنية والفئات العليا بحسب </w:t>
      </w:r>
      <w:r w:rsidR="009E79FF">
        <w:rPr>
          <w:rFonts w:ascii="Arabic Typesetting" w:hAnsi="Arabic Typesetting" w:cs="Arabic Typesetting" w:hint="cs"/>
          <w:i/>
          <w:iCs/>
          <w:sz w:val="34"/>
          <w:szCs w:val="34"/>
          <w:rtl/>
        </w:rPr>
        <w:t>ال</w:t>
      </w:r>
      <w:r w:rsidRPr="000429DF">
        <w:rPr>
          <w:rFonts w:ascii="Arabic Typesetting" w:hAnsi="Arabic Typesetting" w:cs="Arabic Typesetting" w:hint="cs"/>
          <w:i/>
          <w:iCs/>
          <w:sz w:val="34"/>
          <w:szCs w:val="34"/>
          <w:rtl/>
        </w:rPr>
        <w:t>إقليم 2012-2015</w:t>
      </w:r>
    </w:p>
    <w:p w:rsidR="004226D7" w:rsidRPr="000429DF" w:rsidRDefault="00BB1DA3" w:rsidP="004226D7">
      <w:pPr>
        <w:tabs>
          <w:tab w:val="left" w:pos="625"/>
        </w:tabs>
        <w:bidi/>
        <w:spacing w:after="120"/>
        <w:jc w:val="both"/>
        <w:rPr>
          <w:rFonts w:ascii="Arabic Typesetting" w:hAnsi="Arabic Typesetting" w:cs="Arabic Typesetting"/>
          <w:sz w:val="34"/>
          <w:szCs w:val="34"/>
          <w:rtl/>
        </w:rPr>
      </w:pPr>
      <w:r>
        <w:rPr>
          <w:noProof/>
        </w:rPr>
        <w:drawing>
          <wp:inline distT="0" distB="0" distL="0" distR="0" wp14:anchorId="6306DDC3" wp14:editId="1976619A">
            <wp:extent cx="5940425" cy="2810913"/>
            <wp:effectExtent l="0" t="0" r="22225" b="2794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4226D7" w:rsidRPr="000429DF" w:rsidRDefault="004226D7" w:rsidP="009A3712">
      <w:pPr>
        <w:keepLines/>
        <w:numPr>
          <w:ilvl w:val="0"/>
          <w:numId w:val="40"/>
        </w:numPr>
        <w:tabs>
          <w:tab w:val="left" w:pos="625"/>
        </w:tabs>
        <w:bidi/>
        <w:spacing w:after="120" w:line="340" w:lineRule="exact"/>
        <w:ind w:left="0" w:firstLine="0"/>
        <w:jc w:val="both"/>
        <w:rPr>
          <w:rFonts w:ascii="Arabic Typesetting" w:hAnsi="Arabic Typesetting" w:cs="Arabic Typesetting"/>
          <w:sz w:val="34"/>
          <w:szCs w:val="34"/>
        </w:rPr>
      </w:pPr>
      <w:r w:rsidRPr="000429DF">
        <w:rPr>
          <w:rFonts w:ascii="Arabic Typesetting" w:hAnsi="Arabic Typesetting" w:cs="Arabic Typesetting" w:hint="cs"/>
          <w:sz w:val="34"/>
          <w:szCs w:val="34"/>
          <w:rtl/>
        </w:rPr>
        <w:lastRenderedPageBreak/>
        <w:t>وفي عام</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 xml:space="preserve">2014، أصدرت الويبو أول سياسة لها بشأن المساواة بين الجنسين من أجل تحقيق هدفين أولهما تعميم المنظور الجنساني في أنشطة الويبو، وثانيهما محدّد المدة </w:t>
      </w:r>
      <w:r w:rsidR="009E79FF">
        <w:rPr>
          <w:rFonts w:ascii="Arabic Typesetting" w:hAnsi="Arabic Typesetting" w:cs="Arabic Typesetting" w:hint="cs"/>
          <w:sz w:val="34"/>
          <w:szCs w:val="34"/>
          <w:rtl/>
        </w:rPr>
        <w:t>وهو</w:t>
      </w:r>
      <w:r w:rsidRPr="000429DF">
        <w:rPr>
          <w:rFonts w:ascii="Arabic Typesetting" w:hAnsi="Arabic Typesetting" w:cs="Arabic Typesetting" w:hint="cs"/>
          <w:sz w:val="34"/>
          <w:szCs w:val="34"/>
          <w:rtl/>
        </w:rPr>
        <w:t xml:space="preserve"> تحقيق التوازن بين الجنسين في كل مستويات التوظيف. وبناء عليه، أنشئت شبكة من </w:t>
      </w:r>
      <w:r w:rsidR="009E79FF">
        <w:rPr>
          <w:rFonts w:ascii="Arabic Typesetting" w:hAnsi="Arabic Typesetting" w:cs="Arabic Typesetting" w:hint="cs"/>
          <w:sz w:val="34"/>
          <w:szCs w:val="34"/>
          <w:rtl/>
        </w:rPr>
        <w:t>جهات</w:t>
      </w:r>
      <w:r w:rsidR="009E79FF" w:rsidRPr="000429DF">
        <w:rPr>
          <w:rFonts w:ascii="Arabic Typesetting" w:hAnsi="Arabic Typesetting" w:cs="Arabic Typesetting" w:hint="cs"/>
          <w:sz w:val="34"/>
          <w:szCs w:val="34"/>
          <w:rtl/>
        </w:rPr>
        <w:t xml:space="preserve"> </w:t>
      </w:r>
      <w:r w:rsidRPr="000429DF">
        <w:rPr>
          <w:rFonts w:ascii="Arabic Typesetting" w:hAnsi="Arabic Typesetting" w:cs="Arabic Typesetting" w:hint="cs"/>
          <w:sz w:val="34"/>
          <w:szCs w:val="34"/>
          <w:rtl/>
        </w:rPr>
        <w:t xml:space="preserve">الاتصال تغطي كل برامج الويبو، وانضمت الويبو إلى شبكة أبطال جنيف في التزامها الجماعي بتعزيز وجود المرأة في مكان العمل. </w:t>
      </w:r>
      <w:r w:rsidR="009E79FF">
        <w:rPr>
          <w:rFonts w:ascii="Arabic Typesetting" w:hAnsi="Arabic Typesetting" w:cs="Arabic Typesetting" w:hint="cs"/>
          <w:sz w:val="34"/>
          <w:szCs w:val="34"/>
          <w:rtl/>
        </w:rPr>
        <w:t>و</w:t>
      </w:r>
      <w:r w:rsidRPr="000429DF">
        <w:rPr>
          <w:rFonts w:ascii="Arabic Typesetting" w:hAnsi="Arabic Typesetting" w:cs="Arabic Typesetting" w:hint="cs"/>
          <w:sz w:val="34"/>
          <w:szCs w:val="34"/>
          <w:rtl/>
        </w:rPr>
        <w:t xml:space="preserve">على الصعيد الداخلي، </w:t>
      </w:r>
      <w:r w:rsidR="009E79FF">
        <w:rPr>
          <w:rFonts w:ascii="Arabic Typesetting" w:hAnsi="Arabic Typesetting" w:cs="Arabic Typesetting" w:hint="cs"/>
          <w:sz w:val="34"/>
          <w:szCs w:val="34"/>
          <w:rtl/>
        </w:rPr>
        <w:t>كثِّفت</w:t>
      </w:r>
      <w:r w:rsidR="009E79FF" w:rsidRPr="000429DF">
        <w:rPr>
          <w:rFonts w:ascii="Arabic Typesetting" w:hAnsi="Arabic Typesetting" w:cs="Arabic Typesetting" w:hint="cs"/>
          <w:sz w:val="34"/>
          <w:szCs w:val="34"/>
          <w:rtl/>
        </w:rPr>
        <w:t xml:space="preserve"> </w:t>
      </w:r>
      <w:r w:rsidRPr="000429DF">
        <w:rPr>
          <w:rFonts w:ascii="Arabic Typesetting" w:hAnsi="Arabic Typesetting" w:cs="Arabic Typesetting" w:hint="cs"/>
          <w:sz w:val="34"/>
          <w:szCs w:val="34"/>
          <w:rtl/>
        </w:rPr>
        <w:t>جهود التوظيف لتسوية اختلال التوازن بين الجنسين في التوظيف. وأطلِقت مبادرات، من قبيل المحادثات عن المنظور الجنساني وقت الغداء ومشروع رائد بشأن التطوير المهني للنساء اللاتي يعمل</w:t>
      </w:r>
      <w:r w:rsidR="009E79FF">
        <w:rPr>
          <w:rFonts w:ascii="Arabic Typesetting" w:hAnsi="Arabic Typesetting" w:cs="Arabic Typesetting" w:hint="cs"/>
          <w:sz w:val="34"/>
          <w:szCs w:val="34"/>
          <w:rtl/>
        </w:rPr>
        <w:t>ن</w:t>
      </w:r>
      <w:r w:rsidRPr="000429DF">
        <w:rPr>
          <w:rFonts w:ascii="Arabic Typesetting" w:hAnsi="Arabic Typesetting" w:cs="Arabic Typesetting" w:hint="cs"/>
          <w:sz w:val="34"/>
          <w:szCs w:val="34"/>
          <w:rtl/>
        </w:rPr>
        <w:t xml:space="preserve"> في المستوى الإداري المتوسط، من أجل تعزيز المساواة بين الجنسين في مكان العمل. وشمل المشروع المذكور أربع إناث من الرتبة</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ف</w:t>
      </w:r>
      <w:r w:rsidR="009E79FF">
        <w:rPr>
          <w:rFonts w:ascii="Arabic Typesetting" w:hAnsi="Arabic Typesetting" w:cs="Arabic Typesetting"/>
          <w:sz w:val="34"/>
          <w:szCs w:val="34"/>
          <w:rtl/>
        </w:rPr>
        <w:noBreakHyphen/>
      </w:r>
      <w:r w:rsidRPr="000429DF">
        <w:rPr>
          <w:rFonts w:ascii="Arabic Typesetting" w:hAnsi="Arabic Typesetting" w:cs="Arabic Typesetting" w:hint="cs"/>
          <w:sz w:val="34"/>
          <w:szCs w:val="34"/>
          <w:rtl/>
        </w:rPr>
        <w:t>4 من الموظفين المشرفين ممن لديهم أداء متميّز. وكانت التعقيبات الأولية مشجعة للغاية، وخضع المشروع لتقييم شعبة الرقابة الداخلية ومن المتوقع صدور تقرير عن ذلك التقييم في عام</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2016. وفي حين شهدت النسبة المئوية للنساء اللاتي يشغلن مناصب من رتبة</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ف-</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4 (46.1%) زيادة بنسبة</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2.7% على مدى عام</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 xml:space="preserve">2013، </w:t>
      </w:r>
      <w:r w:rsidR="009E79FF">
        <w:rPr>
          <w:rFonts w:ascii="Arabic Typesetting" w:hAnsi="Arabic Typesetting" w:cs="Arabic Typesetting" w:hint="cs"/>
          <w:sz w:val="34"/>
          <w:szCs w:val="34"/>
          <w:rtl/>
        </w:rPr>
        <w:t>محققةً بذلك الغرض المنشود كلياً</w:t>
      </w:r>
      <w:r w:rsidRPr="000429DF">
        <w:rPr>
          <w:rFonts w:ascii="Arabic Typesetting" w:hAnsi="Arabic Typesetting" w:cs="Arabic Typesetting" w:hint="cs"/>
          <w:sz w:val="34"/>
          <w:szCs w:val="34"/>
          <w:rtl/>
        </w:rPr>
        <w:t>، فإن الأغراض المتعلقة بتحقيق التوازن بين الجنسين تظلّ من الأمور الصعبة في المستويات الإدارية الأعلى. ومكّنت التعيينات الجديدة للنساء في رتبتي</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 xml:space="preserve">ف-5 ود-1 من تلافي أي اتساع للفجوة الجنسانية عقب حالات انتهاء الخدمة </w:t>
      </w:r>
      <w:r w:rsidR="009E79FF">
        <w:rPr>
          <w:rFonts w:ascii="Arabic Typesetting" w:hAnsi="Arabic Typesetting" w:cs="Arabic Typesetting" w:hint="cs"/>
          <w:sz w:val="34"/>
          <w:szCs w:val="34"/>
          <w:rtl/>
        </w:rPr>
        <w:t>لموظفات</w:t>
      </w:r>
      <w:r w:rsidRPr="000429DF">
        <w:rPr>
          <w:rFonts w:ascii="Arabic Typesetting" w:hAnsi="Arabic Typesetting" w:cs="Arabic Typesetting" w:hint="cs"/>
          <w:sz w:val="34"/>
          <w:szCs w:val="34"/>
          <w:rtl/>
        </w:rPr>
        <w:t xml:space="preserve"> في المستويين المذكورين، غير أن عدد النساء اللاتي يشغلن مناصب في رتبة د-2 شهد انخفاضا بنسبة 11.1%، مقارنة بعام</w:t>
      </w:r>
      <w:r w:rsidRPr="000429DF">
        <w:rPr>
          <w:rFonts w:ascii="Arabic Typesetting" w:hAnsi="Arabic Typesetting" w:cs="Arabic Typesetting" w:hint="eastAsia"/>
          <w:sz w:val="34"/>
          <w:szCs w:val="34"/>
          <w:rtl/>
        </w:rPr>
        <w:t> </w:t>
      </w:r>
      <w:r w:rsidRPr="000429DF">
        <w:rPr>
          <w:rFonts w:ascii="Arabic Typesetting" w:hAnsi="Arabic Typesetting" w:cs="Arabic Typesetting" w:hint="cs"/>
          <w:sz w:val="34"/>
          <w:szCs w:val="34"/>
          <w:rtl/>
        </w:rPr>
        <w:t>2013.</w:t>
      </w:r>
    </w:p>
    <w:p w:rsidR="004226D7" w:rsidRPr="000429DF" w:rsidRDefault="004226D7" w:rsidP="00BE6BF4">
      <w:pPr>
        <w:keepNext/>
        <w:tabs>
          <w:tab w:val="left" w:pos="625"/>
        </w:tabs>
        <w:bidi/>
        <w:spacing w:after="120" w:line="340" w:lineRule="exact"/>
        <w:jc w:val="center"/>
        <w:rPr>
          <w:rFonts w:ascii="Arabic Typesetting" w:hAnsi="Arabic Typesetting" w:cs="Arabic Typesetting"/>
          <w:i/>
          <w:iCs/>
          <w:sz w:val="34"/>
          <w:szCs w:val="34"/>
          <w:rtl/>
        </w:rPr>
      </w:pPr>
      <w:r w:rsidRPr="000429DF">
        <w:rPr>
          <w:rFonts w:ascii="Arabic Typesetting" w:hAnsi="Arabic Typesetting" w:cs="Arabic Typesetting"/>
          <w:i/>
          <w:iCs/>
          <w:sz w:val="34"/>
          <w:szCs w:val="34"/>
          <w:rtl/>
        </w:rPr>
        <w:t xml:space="preserve">النسبة المئوية لموظفي الفئة الفنية والفئات العليا بحسب </w:t>
      </w:r>
      <w:r w:rsidRPr="000429DF">
        <w:rPr>
          <w:rFonts w:ascii="Arabic Typesetting" w:hAnsi="Arabic Typesetting" w:cs="Arabic Typesetting" w:hint="cs"/>
          <w:i/>
          <w:iCs/>
          <w:sz w:val="34"/>
          <w:szCs w:val="34"/>
          <w:rtl/>
        </w:rPr>
        <w:t>نوع الجنس</w:t>
      </w:r>
      <w:r w:rsidRPr="000429DF">
        <w:rPr>
          <w:rFonts w:ascii="Arabic Typesetting" w:hAnsi="Arabic Typesetting" w:cs="Arabic Typesetting"/>
          <w:i/>
          <w:iCs/>
          <w:sz w:val="34"/>
          <w:szCs w:val="34"/>
          <w:rtl/>
        </w:rPr>
        <w:t xml:space="preserve"> 2012-2015</w:t>
      </w:r>
    </w:p>
    <w:p w:rsidR="004226D7" w:rsidRPr="000429DF" w:rsidRDefault="00BE6BF4" w:rsidP="00BE6BF4">
      <w:pPr>
        <w:tabs>
          <w:tab w:val="left" w:pos="625"/>
        </w:tabs>
        <w:bidi/>
        <w:spacing w:after="120"/>
        <w:jc w:val="center"/>
        <w:rPr>
          <w:rFonts w:ascii="Arabic Typesetting" w:hAnsi="Arabic Typesetting" w:cs="Arabic Typesetting"/>
          <w:sz w:val="34"/>
          <w:szCs w:val="34"/>
          <w:rtl/>
        </w:rPr>
      </w:pPr>
      <w:r>
        <w:rPr>
          <w:noProof/>
        </w:rPr>
        <w:drawing>
          <wp:inline distT="0" distB="0" distL="0" distR="0" wp14:anchorId="6D8B1521" wp14:editId="0BB67812">
            <wp:extent cx="5372100" cy="2986088"/>
            <wp:effectExtent l="0" t="0" r="19050" b="2413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4226D7" w:rsidRPr="00B61F74" w:rsidRDefault="00541E4A"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6204D5">
        <w:rPr>
          <w:rFonts w:ascii="Arabic Typesetting" w:hAnsi="Arabic Typesetting" w:cs="Arabic Typesetting" w:hint="cs"/>
          <w:sz w:val="34"/>
          <w:szCs w:val="34"/>
          <w:rtl/>
          <w:lang w:bidi="ar-EG"/>
        </w:rPr>
        <w:t>و</w:t>
      </w:r>
      <w:r w:rsidR="004226D7" w:rsidRPr="006204D5">
        <w:rPr>
          <w:rFonts w:ascii="Arabic Typesetting" w:hAnsi="Arabic Typesetting" w:cs="Arabic Typesetting" w:hint="cs"/>
          <w:sz w:val="34"/>
          <w:szCs w:val="34"/>
          <w:rtl/>
          <w:lang w:bidi="ar-EG"/>
        </w:rPr>
        <w:t xml:space="preserve">تواصل </w:t>
      </w:r>
      <w:r w:rsidR="004226D7" w:rsidRPr="006204D5">
        <w:rPr>
          <w:rFonts w:ascii="Arabic Typesetting" w:hAnsi="Arabic Typesetting" w:cs="Arabic Typesetting"/>
          <w:sz w:val="34"/>
          <w:szCs w:val="34"/>
          <w:rtl/>
          <w:lang w:bidi="ar-EG"/>
        </w:rPr>
        <w:t xml:space="preserve">إحراز تقدم في تعميم التصميم التنظيمي والتخطيط للقوة العاملة بوصفهما من </w:t>
      </w:r>
      <w:r w:rsidR="004226D7" w:rsidRPr="006204D5">
        <w:rPr>
          <w:rFonts w:ascii="Arabic Typesetting" w:hAnsi="Arabic Typesetting" w:cs="Arabic Typesetting" w:hint="cs"/>
          <w:sz w:val="34"/>
          <w:szCs w:val="34"/>
          <w:rtl/>
          <w:lang w:bidi="ar-EG"/>
        </w:rPr>
        <w:t>ال</w:t>
      </w:r>
      <w:r w:rsidR="004226D7" w:rsidRPr="006204D5">
        <w:rPr>
          <w:rFonts w:ascii="Arabic Typesetting" w:hAnsi="Arabic Typesetting" w:cs="Arabic Typesetting"/>
          <w:sz w:val="34"/>
          <w:szCs w:val="34"/>
          <w:rtl/>
          <w:lang w:bidi="ar-EG"/>
        </w:rPr>
        <w:t xml:space="preserve">أنشطة </w:t>
      </w:r>
      <w:r w:rsidR="004226D7" w:rsidRPr="006204D5">
        <w:rPr>
          <w:rFonts w:ascii="Arabic Typesetting" w:hAnsi="Arabic Typesetting" w:cs="Arabic Typesetting" w:hint="cs"/>
          <w:sz w:val="34"/>
          <w:szCs w:val="34"/>
          <w:rtl/>
          <w:lang w:bidi="ar-EG"/>
        </w:rPr>
        <w:t>المؤسسية</w:t>
      </w:r>
      <w:r w:rsidR="004226D7" w:rsidRPr="006204D5">
        <w:rPr>
          <w:rFonts w:ascii="Arabic Typesetting" w:hAnsi="Arabic Typesetting" w:cs="Arabic Typesetting"/>
          <w:sz w:val="34"/>
          <w:szCs w:val="34"/>
          <w:rtl/>
          <w:lang w:bidi="ar-EG"/>
        </w:rPr>
        <w:t xml:space="preserve"> الرئيسية المتكاملة تماماً. وتضمنت الإنجازات المحققة في </w:t>
      </w:r>
      <w:r w:rsidR="004226D7" w:rsidRPr="00E52F29">
        <w:rPr>
          <w:rFonts w:ascii="Arabic Typesetting" w:hAnsi="Arabic Typesetting" w:cs="Arabic Typesetting" w:hint="cs"/>
          <w:sz w:val="34"/>
          <w:szCs w:val="34"/>
          <w:rtl/>
          <w:lang w:bidi="ar-EG"/>
        </w:rPr>
        <w:t>الثنائية م</w:t>
      </w:r>
      <w:r w:rsidR="004226D7" w:rsidRPr="00155CBF">
        <w:rPr>
          <w:rFonts w:ascii="Arabic Typesetting" w:hAnsi="Arabic Typesetting" w:cs="Arabic Typesetting"/>
          <w:sz w:val="34"/>
          <w:szCs w:val="34"/>
          <w:rtl/>
          <w:lang w:bidi="ar-EG"/>
        </w:rPr>
        <w:t xml:space="preserve">ا </w:t>
      </w:r>
      <w:r w:rsidR="004226D7" w:rsidRPr="00B61F74">
        <w:rPr>
          <w:rFonts w:ascii="Arabic Typesetting" w:hAnsi="Arabic Typesetting" w:cs="Arabic Typesetting" w:hint="cs"/>
          <w:sz w:val="34"/>
          <w:szCs w:val="34"/>
          <w:rtl/>
          <w:lang w:bidi="ar-EG"/>
        </w:rPr>
        <w:t>يلي</w:t>
      </w:r>
      <w:r w:rsidR="004226D7" w:rsidRPr="00B61F74">
        <w:rPr>
          <w:rFonts w:ascii="Arabic Typesetting" w:hAnsi="Arabic Typesetting" w:cs="Arabic Typesetting"/>
          <w:sz w:val="34"/>
          <w:szCs w:val="34"/>
          <w:rtl/>
          <w:lang w:bidi="ar-EG"/>
        </w:rPr>
        <w:t xml:space="preserve">: "1" زيادة مشاركة المديرين </w:t>
      </w:r>
      <w:r w:rsidR="004226D7" w:rsidRPr="00B61F74">
        <w:rPr>
          <w:rFonts w:ascii="Arabic Typesetting" w:hAnsi="Arabic Typesetting" w:cs="Arabic Typesetting" w:hint="cs"/>
          <w:sz w:val="34"/>
          <w:szCs w:val="34"/>
          <w:rtl/>
          <w:lang w:bidi="ar-EG"/>
        </w:rPr>
        <w:t xml:space="preserve">في التخطيط للقوة العاملة </w:t>
      </w:r>
      <w:r w:rsidR="004226D7" w:rsidRPr="00B61F74">
        <w:rPr>
          <w:rFonts w:ascii="Arabic Typesetting" w:hAnsi="Arabic Typesetting" w:cs="Arabic Typesetting"/>
          <w:sz w:val="34"/>
          <w:szCs w:val="34"/>
          <w:rtl/>
          <w:lang w:bidi="ar-EG"/>
        </w:rPr>
        <w:t xml:space="preserve">من خلال تنظيم حلقات عمل تمهيدية ووضع مبادئ توجيهية </w:t>
      </w:r>
      <w:r w:rsidRPr="00B61F74">
        <w:rPr>
          <w:rFonts w:ascii="Arabic Typesetting" w:hAnsi="Arabic Typesetting" w:cs="Arabic Typesetting" w:hint="cs"/>
          <w:sz w:val="34"/>
          <w:szCs w:val="34"/>
          <w:rtl/>
          <w:lang w:bidi="ar-EG"/>
        </w:rPr>
        <w:t>في هذا المجال</w:t>
      </w:r>
      <w:r w:rsidR="004226D7" w:rsidRPr="00B61F74">
        <w:rPr>
          <w:rFonts w:ascii="Arabic Typesetting" w:hAnsi="Arabic Typesetting" w:cs="Arabic Typesetting" w:hint="cs"/>
          <w:sz w:val="34"/>
          <w:szCs w:val="34"/>
          <w:rtl/>
          <w:lang w:bidi="ar-EG"/>
        </w:rPr>
        <w:t>؛</w:t>
      </w:r>
      <w:r w:rsidR="004226D7" w:rsidRPr="00B61F74">
        <w:rPr>
          <w:rFonts w:ascii="Arabic Typesetting" w:hAnsi="Arabic Typesetting" w:cs="Arabic Typesetting"/>
          <w:sz w:val="34"/>
          <w:szCs w:val="34"/>
          <w:rtl/>
          <w:lang w:bidi="ar-EG"/>
        </w:rPr>
        <w:t xml:space="preserve"> "2" ووضع خطط عمل للقوة العاملة في الثنائية</w:t>
      </w:r>
      <w:r w:rsidR="004226D7" w:rsidRPr="00B61F74">
        <w:rPr>
          <w:rFonts w:ascii="Arabic Typesetting" w:hAnsi="Arabic Typesetting" w:cs="Arabic Typesetting" w:hint="cs"/>
          <w:sz w:val="34"/>
          <w:szCs w:val="34"/>
          <w:rtl/>
          <w:lang w:bidi="ar-EG"/>
        </w:rPr>
        <w:t> </w:t>
      </w:r>
      <w:r w:rsidR="004226D7" w:rsidRPr="00B61F74">
        <w:rPr>
          <w:rFonts w:ascii="Arabic Typesetting" w:hAnsi="Arabic Typesetting" w:cs="Arabic Typesetting"/>
          <w:sz w:val="34"/>
          <w:szCs w:val="34"/>
          <w:rtl/>
          <w:lang w:bidi="ar-EG"/>
        </w:rPr>
        <w:t xml:space="preserve">2014/15 لكل وحدة تنظيمية من أجل رصد الإجراءات الرئيسية المتعلقة بالموارد البشرية لتلبية </w:t>
      </w:r>
      <w:r w:rsidR="004226D7" w:rsidRPr="00B61F74">
        <w:rPr>
          <w:rFonts w:ascii="Arabic Typesetting" w:hAnsi="Arabic Typesetting" w:cs="Arabic Typesetting" w:hint="cs"/>
          <w:sz w:val="34"/>
          <w:szCs w:val="34"/>
          <w:rtl/>
          <w:lang w:bidi="ar-EG"/>
        </w:rPr>
        <w:t>الا</w:t>
      </w:r>
      <w:r w:rsidR="004226D7" w:rsidRPr="00B61F74">
        <w:rPr>
          <w:rFonts w:ascii="Arabic Typesetting" w:hAnsi="Arabic Typesetting" w:cs="Arabic Typesetting"/>
          <w:sz w:val="34"/>
          <w:szCs w:val="34"/>
          <w:rtl/>
          <w:lang w:bidi="ar-EG"/>
        </w:rPr>
        <w:t xml:space="preserve">حتياجات </w:t>
      </w:r>
      <w:r w:rsidR="004226D7" w:rsidRPr="00B61F74">
        <w:rPr>
          <w:rFonts w:ascii="Arabic Typesetting" w:hAnsi="Arabic Typesetting" w:cs="Arabic Typesetting" w:hint="cs"/>
          <w:sz w:val="34"/>
          <w:szCs w:val="34"/>
          <w:rtl/>
          <w:lang w:bidi="ar-EG"/>
        </w:rPr>
        <w:t xml:space="preserve">المؤسسية؛ "3" والاضطلاع، على صعيد المنظمة عموما، بعملية تحديث لكل التوصيفات الوظيفية بما يضمن </w:t>
      </w:r>
      <w:r w:rsidRPr="00B61F74">
        <w:rPr>
          <w:rFonts w:ascii="Arabic Typesetting" w:hAnsi="Arabic Typesetting" w:cs="Arabic Typesetting" w:hint="cs"/>
          <w:sz w:val="34"/>
          <w:szCs w:val="34"/>
          <w:rtl/>
          <w:lang w:bidi="ar-EG"/>
        </w:rPr>
        <w:t>المراعاة الواجبة</w:t>
      </w:r>
      <w:r w:rsidR="004226D7" w:rsidRPr="00B61F74">
        <w:rPr>
          <w:rFonts w:ascii="Arabic Typesetting" w:hAnsi="Arabic Typesetting" w:cs="Arabic Typesetting" w:hint="cs"/>
          <w:sz w:val="34"/>
          <w:szCs w:val="34"/>
          <w:rtl/>
          <w:lang w:bidi="ar-EG"/>
        </w:rPr>
        <w:t xml:space="preserve"> للأولويات المؤسسية؛</w:t>
      </w:r>
      <w:r w:rsidR="004226D7" w:rsidRPr="00B61F74">
        <w:rPr>
          <w:rFonts w:ascii="Arabic Typesetting" w:hAnsi="Arabic Typesetting" w:cs="Arabic Typesetting"/>
          <w:sz w:val="34"/>
          <w:szCs w:val="34"/>
          <w:rtl/>
          <w:lang w:bidi="ar-EG"/>
        </w:rPr>
        <w:t xml:space="preserve"> "3" وزيادة المواءمة </w:t>
      </w:r>
      <w:r w:rsidR="004226D7" w:rsidRPr="00B61F74">
        <w:rPr>
          <w:rFonts w:ascii="Arabic Typesetting" w:hAnsi="Arabic Typesetting" w:cs="Arabic Typesetting" w:hint="cs"/>
          <w:sz w:val="34"/>
          <w:szCs w:val="34"/>
          <w:rtl/>
          <w:lang w:bidi="ar-EG"/>
        </w:rPr>
        <w:t xml:space="preserve">المنهجية والوثيقة </w:t>
      </w:r>
      <w:r w:rsidR="004226D7" w:rsidRPr="00B61F74">
        <w:rPr>
          <w:rFonts w:ascii="Arabic Typesetting" w:hAnsi="Arabic Typesetting" w:cs="Arabic Typesetting"/>
          <w:sz w:val="34"/>
          <w:szCs w:val="34"/>
          <w:rtl/>
          <w:lang w:bidi="ar-EG"/>
        </w:rPr>
        <w:t>بين التوصيفات الوظيفية وخطط العمل السنوية. و</w:t>
      </w:r>
      <w:r w:rsidR="004226D7" w:rsidRPr="00B61F74">
        <w:rPr>
          <w:rFonts w:ascii="Arabic Typesetting" w:hAnsi="Arabic Typesetting" w:cs="Arabic Typesetting" w:hint="cs"/>
          <w:sz w:val="34"/>
          <w:szCs w:val="34"/>
          <w:rtl/>
          <w:lang w:bidi="ar-EG"/>
        </w:rPr>
        <w:t>أ</w:t>
      </w:r>
      <w:r w:rsidR="004226D7" w:rsidRPr="00B61F74">
        <w:rPr>
          <w:rFonts w:ascii="Arabic Typesetting" w:hAnsi="Arabic Typesetting" w:cs="Arabic Typesetting"/>
          <w:sz w:val="34"/>
          <w:szCs w:val="34"/>
          <w:rtl/>
          <w:lang w:bidi="ar-EG"/>
        </w:rPr>
        <w:t>صد</w:t>
      </w:r>
      <w:r w:rsidR="004226D7" w:rsidRPr="00B61F74">
        <w:rPr>
          <w:rFonts w:ascii="Arabic Typesetting" w:hAnsi="Arabic Typesetting" w:cs="Arabic Typesetting" w:hint="cs"/>
          <w:sz w:val="34"/>
          <w:szCs w:val="34"/>
          <w:rtl/>
          <w:lang w:bidi="ar-EG"/>
        </w:rPr>
        <w:t>ِ</w:t>
      </w:r>
      <w:r w:rsidR="004226D7" w:rsidRPr="00B61F74">
        <w:rPr>
          <w:rFonts w:ascii="Arabic Typesetting" w:hAnsi="Arabic Typesetting" w:cs="Arabic Typesetting"/>
          <w:sz w:val="34"/>
          <w:szCs w:val="34"/>
          <w:rtl/>
          <w:lang w:bidi="ar-EG"/>
        </w:rPr>
        <w:t>رت</w:t>
      </w:r>
      <w:r w:rsidR="004226D7" w:rsidRPr="00B61F74">
        <w:rPr>
          <w:rFonts w:ascii="Arabic Typesetting" w:hAnsi="Arabic Typesetting" w:cs="Arabic Typesetting" w:hint="cs"/>
          <w:sz w:val="34"/>
          <w:szCs w:val="34"/>
          <w:rtl/>
          <w:lang w:bidi="ar-EG"/>
        </w:rPr>
        <w:t xml:space="preserve"> أيضا</w:t>
      </w:r>
      <w:r w:rsidR="004226D7" w:rsidRPr="00B61F74">
        <w:rPr>
          <w:rFonts w:ascii="Arabic Typesetting" w:hAnsi="Arabic Typesetting" w:cs="Arabic Typesetting"/>
          <w:sz w:val="34"/>
          <w:szCs w:val="34"/>
          <w:rtl/>
          <w:lang w:bidi="ar-EG"/>
        </w:rPr>
        <w:t xml:space="preserve"> المبادئ التوجيهية الجديدة لإدارة المناصب بغية ضمان إعادة التحقق من صلاحية افتراضات التخطيط على نحو منهجي والنظر في الأولويات القادمة على مستوى المنظمة كلما أصبح أي منصب شاغرا</w:t>
      </w:r>
      <w:r w:rsidRPr="00B61F74">
        <w:rPr>
          <w:rFonts w:ascii="Arabic Typesetting" w:hAnsi="Arabic Typesetting" w:cs="Arabic Typesetting" w:hint="cs"/>
          <w:sz w:val="34"/>
          <w:szCs w:val="34"/>
          <w:rtl/>
          <w:lang w:bidi="ar-EG"/>
        </w:rPr>
        <w:t>ً</w:t>
      </w:r>
      <w:r w:rsidR="004226D7" w:rsidRPr="00B61F74">
        <w:rPr>
          <w:rFonts w:ascii="Arabic Typesetting" w:hAnsi="Arabic Typesetting" w:cs="Arabic Typesetting"/>
          <w:sz w:val="34"/>
          <w:szCs w:val="34"/>
          <w:rtl/>
          <w:lang w:bidi="ar-EG"/>
        </w:rPr>
        <w:t>. وكان من ضمن عملية التخطيط للقوة العاملة تشجيع المديرين على التفكير في المزج الأمثل للموارد من أجل تلبية احتياجات</w:t>
      </w:r>
      <w:r w:rsidR="004226D7" w:rsidRPr="00B61F74">
        <w:rPr>
          <w:rFonts w:ascii="Arabic Typesetting" w:hAnsi="Arabic Typesetting" w:cs="Arabic Typesetting" w:hint="cs"/>
          <w:sz w:val="34"/>
          <w:szCs w:val="34"/>
          <w:rtl/>
          <w:lang w:bidi="ar-EG"/>
        </w:rPr>
        <w:t xml:space="preserve">هم المؤسسية </w:t>
      </w:r>
      <w:r w:rsidR="004226D7" w:rsidRPr="00B61F74">
        <w:rPr>
          <w:rFonts w:ascii="Arabic Typesetting" w:hAnsi="Arabic Typesetting" w:cs="Arabic Typesetting"/>
          <w:sz w:val="34"/>
          <w:szCs w:val="34"/>
          <w:rtl/>
          <w:lang w:bidi="ar-EG"/>
        </w:rPr>
        <w:t>بكفاءة.</w:t>
      </w:r>
    </w:p>
    <w:p w:rsidR="004226D7" w:rsidRPr="00B61F74" w:rsidRDefault="004226D7"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B61F74">
        <w:rPr>
          <w:rFonts w:ascii="Arabic Typesetting" w:hAnsi="Arabic Typesetting" w:cs="Arabic Typesetting"/>
          <w:sz w:val="34"/>
          <w:szCs w:val="34"/>
          <w:rtl/>
          <w:lang w:bidi="ar-EG"/>
        </w:rPr>
        <w:t>واكتملت في عام</w:t>
      </w:r>
      <w:r w:rsidRPr="00B61F74">
        <w:rPr>
          <w:rFonts w:ascii="Arabic Typesetting" w:hAnsi="Arabic Typesetting" w:cs="Arabic Typesetting" w:hint="cs"/>
          <w:sz w:val="34"/>
          <w:szCs w:val="34"/>
          <w:rtl/>
          <w:lang w:bidi="ar-EG"/>
        </w:rPr>
        <w:t> </w:t>
      </w:r>
      <w:r w:rsidRPr="00B61F74">
        <w:rPr>
          <w:rFonts w:ascii="Arabic Typesetting" w:hAnsi="Arabic Typesetting" w:cs="Arabic Typesetting"/>
          <w:sz w:val="34"/>
          <w:szCs w:val="34"/>
          <w:rtl/>
          <w:lang w:bidi="ar-EG"/>
        </w:rPr>
        <w:t xml:space="preserve">2014 عملية تثبيت الموظفين المؤقتين العاملين لفترة طويلة، إذ </w:t>
      </w:r>
      <w:r w:rsidR="00541E4A" w:rsidRPr="00B61F74">
        <w:rPr>
          <w:rFonts w:ascii="Arabic Typesetting" w:hAnsi="Arabic Typesetting" w:cs="Arabic Typesetting" w:hint="cs"/>
          <w:sz w:val="34"/>
          <w:szCs w:val="34"/>
          <w:rtl/>
          <w:lang w:bidi="ar-EG"/>
        </w:rPr>
        <w:t>ثبتت</w:t>
      </w:r>
      <w:r w:rsidRPr="00B61F74">
        <w:rPr>
          <w:rFonts w:ascii="Arabic Typesetting" w:hAnsi="Arabic Typesetting" w:cs="Arabic Typesetting"/>
          <w:sz w:val="34"/>
          <w:szCs w:val="34"/>
          <w:rtl/>
          <w:lang w:bidi="ar-EG"/>
        </w:rPr>
        <w:t xml:space="preserve"> 31</w:t>
      </w:r>
      <w:r w:rsidRPr="00B61F74">
        <w:rPr>
          <w:rFonts w:ascii="Arabic Typesetting" w:hAnsi="Arabic Typesetting" w:cs="Arabic Typesetting" w:hint="cs"/>
          <w:sz w:val="34"/>
          <w:szCs w:val="34"/>
          <w:rtl/>
          <w:lang w:bidi="ar-EG"/>
        </w:rPr>
        <w:t> </w:t>
      </w:r>
      <w:r w:rsidRPr="00B61F74">
        <w:rPr>
          <w:rFonts w:ascii="Arabic Typesetting" w:hAnsi="Arabic Typesetting" w:cs="Arabic Typesetting"/>
          <w:sz w:val="34"/>
          <w:szCs w:val="34"/>
          <w:rtl/>
          <w:lang w:bidi="ar-EG"/>
        </w:rPr>
        <w:t xml:space="preserve">موظفاً </w:t>
      </w:r>
      <w:r w:rsidRPr="00B61F74">
        <w:rPr>
          <w:rFonts w:ascii="Arabic Typesetting" w:hAnsi="Arabic Typesetting" w:cs="Arabic Typesetting" w:hint="cs"/>
          <w:sz w:val="34"/>
          <w:szCs w:val="34"/>
          <w:rtl/>
          <w:lang w:bidi="ar-EG"/>
        </w:rPr>
        <w:t>من تلك الفئة في عام</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2014</w:t>
      </w:r>
      <w:r w:rsidRPr="00B61F74">
        <w:rPr>
          <w:rFonts w:ascii="Arabic Typesetting" w:hAnsi="Arabic Typesetting" w:cs="Arabic Typesetting"/>
          <w:sz w:val="34"/>
          <w:szCs w:val="34"/>
          <w:rtl/>
          <w:lang w:bidi="ar-EG"/>
        </w:rPr>
        <w:t xml:space="preserve"> بعد إجراء م</w:t>
      </w:r>
      <w:r w:rsidRPr="00B61F74">
        <w:rPr>
          <w:rFonts w:ascii="Arabic Typesetting" w:hAnsi="Arabic Typesetting" w:cs="Arabic Typesetting" w:hint="cs"/>
          <w:sz w:val="34"/>
          <w:szCs w:val="34"/>
          <w:rtl/>
          <w:lang w:bidi="ar-EG"/>
        </w:rPr>
        <w:t>نافسة</w:t>
      </w:r>
      <w:r w:rsidRPr="00B61F74">
        <w:rPr>
          <w:rFonts w:ascii="Arabic Typesetting" w:hAnsi="Arabic Typesetting" w:cs="Arabic Typesetting"/>
          <w:sz w:val="34"/>
          <w:szCs w:val="34"/>
          <w:rtl/>
          <w:lang w:bidi="ar-EG"/>
        </w:rPr>
        <w:t>. و</w:t>
      </w:r>
      <w:r w:rsidRPr="00B61F74">
        <w:rPr>
          <w:rFonts w:ascii="Arabic Typesetting" w:hAnsi="Arabic Typesetting" w:cs="Arabic Typesetting" w:hint="cs"/>
          <w:sz w:val="34"/>
          <w:szCs w:val="34"/>
          <w:rtl/>
          <w:lang w:bidi="ar-EG"/>
        </w:rPr>
        <w:t>إضافة إلى ذلك، أعلِن</w:t>
      </w:r>
      <w:r w:rsidR="00541E4A" w:rsidRPr="00B61F74">
        <w:rPr>
          <w:rFonts w:ascii="Arabic Typesetting" w:hAnsi="Arabic Typesetting" w:cs="Arabic Typesetting" w:hint="cs"/>
          <w:sz w:val="34"/>
          <w:szCs w:val="34"/>
          <w:rtl/>
          <w:lang w:bidi="ar-EG"/>
        </w:rPr>
        <w:t>ت</w:t>
      </w:r>
      <w:r w:rsidRPr="00B61F74">
        <w:rPr>
          <w:rFonts w:ascii="Arabic Typesetting" w:hAnsi="Arabic Typesetting" w:cs="Arabic Typesetting" w:hint="cs"/>
          <w:sz w:val="34"/>
          <w:szCs w:val="34"/>
          <w:rtl/>
          <w:lang w:bidi="ar-EG"/>
        </w:rPr>
        <w:t xml:space="preserve"> 40</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 xml:space="preserve">وظيفة محدّدة المدة </w:t>
      </w:r>
      <w:r w:rsidR="00541E4A" w:rsidRPr="00B61F74">
        <w:rPr>
          <w:rFonts w:ascii="Arabic Typesetting" w:hAnsi="Arabic Typesetting" w:cs="Arabic Typesetting" w:hint="cs"/>
          <w:sz w:val="34"/>
          <w:szCs w:val="34"/>
          <w:rtl/>
          <w:lang w:bidi="ar-EG"/>
        </w:rPr>
        <w:t xml:space="preserve">بغية </w:t>
      </w:r>
      <w:r w:rsidRPr="00B61F74">
        <w:rPr>
          <w:rFonts w:ascii="Arabic Typesetting" w:hAnsi="Arabic Typesetting" w:cs="Arabic Typesetting" w:hint="cs"/>
          <w:sz w:val="34"/>
          <w:szCs w:val="34"/>
          <w:rtl/>
          <w:lang w:bidi="ar-EG"/>
        </w:rPr>
        <w:t>تثبيت وظائف مستمرة خلال الثنائية (</w:t>
      </w:r>
      <w:r w:rsidR="00541E4A" w:rsidRPr="00B61F74">
        <w:rPr>
          <w:rFonts w:ascii="Arabic Typesetting" w:hAnsi="Arabic Typesetting" w:cs="Arabic Typesetting" w:hint="cs"/>
          <w:sz w:val="34"/>
          <w:szCs w:val="34"/>
          <w:rtl/>
          <w:lang w:bidi="ar-EG"/>
        </w:rPr>
        <w:t>17</w:t>
      </w:r>
      <w:r w:rsidR="00541E4A"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في عام</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2014 و</w:t>
      </w:r>
      <w:r w:rsidR="00925848">
        <w:rPr>
          <w:rFonts w:ascii="Arabic Typesetting" w:hAnsi="Arabic Typesetting" w:cs="Arabic Typesetting" w:hint="cs"/>
          <w:sz w:val="34"/>
          <w:szCs w:val="34"/>
          <w:rtl/>
          <w:lang w:bidi="ar-EG"/>
        </w:rPr>
        <w:t>23</w:t>
      </w:r>
      <w:r w:rsidRPr="00B61F74">
        <w:rPr>
          <w:rFonts w:ascii="Arabic Typesetting" w:hAnsi="Arabic Typesetting" w:cs="Arabic Typesetting" w:hint="cs"/>
          <w:sz w:val="34"/>
          <w:szCs w:val="34"/>
          <w:rtl/>
          <w:lang w:bidi="ar-EG"/>
        </w:rPr>
        <w:t xml:space="preserve"> في عام</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2015)، استُكملت إجراءات 30</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وظيفة منها في نهاية عام</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2015.</w:t>
      </w:r>
    </w:p>
    <w:p w:rsidR="004226D7" w:rsidRPr="00B61F74" w:rsidRDefault="004226D7"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B61F74">
        <w:rPr>
          <w:rFonts w:ascii="Arabic Typesetting" w:hAnsi="Arabic Typesetting" w:cs="Arabic Typesetting" w:hint="cs"/>
          <w:sz w:val="34"/>
          <w:szCs w:val="34"/>
          <w:rtl/>
          <w:lang w:bidi="ar-EG"/>
        </w:rPr>
        <w:lastRenderedPageBreak/>
        <w:t>وظلّت الثنائية تشهد مستوى عاليا من ال</w:t>
      </w:r>
      <w:r w:rsidRPr="00B61F74">
        <w:rPr>
          <w:rFonts w:ascii="Arabic Typesetting" w:hAnsi="Arabic Typesetting" w:cs="Arabic Typesetting"/>
          <w:sz w:val="34"/>
          <w:szCs w:val="34"/>
          <w:rtl/>
          <w:lang w:bidi="ar-EG"/>
        </w:rPr>
        <w:t xml:space="preserve">نشاط </w:t>
      </w:r>
      <w:r w:rsidRPr="00B61F74">
        <w:rPr>
          <w:rFonts w:ascii="Arabic Typesetting" w:hAnsi="Arabic Typesetting" w:cs="Arabic Typesetting" w:hint="cs"/>
          <w:sz w:val="34"/>
          <w:szCs w:val="34"/>
          <w:rtl/>
          <w:lang w:bidi="ar-EG"/>
        </w:rPr>
        <w:t>ال</w:t>
      </w:r>
      <w:r w:rsidRPr="00B61F74">
        <w:rPr>
          <w:rFonts w:ascii="Arabic Typesetting" w:hAnsi="Arabic Typesetting" w:cs="Arabic Typesetting"/>
          <w:sz w:val="34"/>
          <w:szCs w:val="34"/>
          <w:rtl/>
          <w:lang w:bidi="ar-EG"/>
        </w:rPr>
        <w:t xml:space="preserve">توظيفي، </w:t>
      </w:r>
      <w:r w:rsidRPr="00B61F74">
        <w:rPr>
          <w:rFonts w:ascii="Arabic Typesetting" w:hAnsi="Arabic Typesetting" w:cs="Arabic Typesetting" w:hint="cs"/>
          <w:sz w:val="34"/>
          <w:szCs w:val="34"/>
          <w:rtl/>
          <w:lang w:bidi="ar-EG"/>
        </w:rPr>
        <w:t>مما أسفر عن تباطؤ في متوسط مدة التوظيف في الثنائية ليبلغ 19.77</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أسبوع، مقابل 16.03</w:t>
      </w:r>
      <w:r w:rsidRPr="00B61F74">
        <w:rPr>
          <w:rFonts w:ascii="Arabic Typesetting" w:hAnsi="Arabic Typesetting" w:cs="Arabic Typesetting" w:hint="eastAsia"/>
          <w:sz w:val="34"/>
          <w:szCs w:val="34"/>
          <w:rtl/>
          <w:lang w:bidi="ar-EG"/>
        </w:rPr>
        <w:t> </w:t>
      </w:r>
      <w:r w:rsidR="00541E4A" w:rsidRPr="00B61F74">
        <w:rPr>
          <w:rFonts w:ascii="Arabic Typesetting" w:hAnsi="Arabic Typesetting" w:cs="Arabic Typesetting" w:hint="cs"/>
          <w:sz w:val="34"/>
          <w:szCs w:val="34"/>
          <w:rtl/>
          <w:lang w:bidi="ar-EG"/>
        </w:rPr>
        <w:t xml:space="preserve">أسبوع </w:t>
      </w:r>
      <w:r w:rsidRPr="00B61F74">
        <w:rPr>
          <w:rFonts w:ascii="Arabic Typesetting" w:hAnsi="Arabic Typesetting" w:cs="Arabic Typesetting" w:hint="cs"/>
          <w:sz w:val="34"/>
          <w:szCs w:val="34"/>
          <w:rtl/>
          <w:lang w:bidi="ar-EG"/>
        </w:rPr>
        <w:t>في الثنائية</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2012/13. وخلال الثنائية أجري ما مجموعه 255</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مسابقة (منها 183</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 xml:space="preserve">مسابقة لشغل مناصب محدّدة المدة، </w:t>
      </w:r>
      <w:r w:rsidR="00541E4A" w:rsidRPr="00B61F74">
        <w:rPr>
          <w:rFonts w:ascii="Arabic Typesetting" w:hAnsi="Arabic Typesetting" w:cs="Arabic Typesetting" w:hint="cs"/>
          <w:sz w:val="34"/>
          <w:szCs w:val="34"/>
          <w:rtl/>
          <w:lang w:bidi="ar-EG"/>
        </w:rPr>
        <w:t>أي ب</w:t>
      </w:r>
      <w:r w:rsidRPr="00B61F74">
        <w:rPr>
          <w:rFonts w:ascii="Arabic Typesetting" w:hAnsi="Arabic Typesetting" w:cs="Arabic Typesetting" w:hint="cs"/>
          <w:sz w:val="34"/>
          <w:szCs w:val="34"/>
          <w:rtl/>
          <w:lang w:bidi="ar-EG"/>
        </w:rPr>
        <w:t>زيادة نسب</w:t>
      </w:r>
      <w:r w:rsidR="00541E4A" w:rsidRPr="00B61F74">
        <w:rPr>
          <w:rFonts w:ascii="Arabic Typesetting" w:hAnsi="Arabic Typesetting" w:cs="Arabic Typesetting" w:hint="cs"/>
          <w:sz w:val="34"/>
          <w:szCs w:val="34"/>
          <w:rtl/>
          <w:lang w:bidi="ar-EG"/>
        </w:rPr>
        <w:t>تها</w:t>
      </w:r>
      <w:r w:rsidRPr="00B61F74">
        <w:rPr>
          <w:rFonts w:ascii="Arabic Typesetting" w:hAnsi="Arabic Typesetting" w:cs="Arabic Typesetting" w:hint="cs"/>
          <w:sz w:val="34"/>
          <w:szCs w:val="34"/>
          <w:rtl/>
          <w:lang w:bidi="ar-EG"/>
        </w:rPr>
        <w:t xml:space="preserve"> 29% مقارنة بالثنائية</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2012/13، و72</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مسابقة لشغل مناصب مؤقتة.</w:t>
      </w:r>
      <w:r w:rsidRPr="00B61F74">
        <w:rPr>
          <w:rFonts w:ascii="Arabic Typesetting" w:hAnsi="Arabic Typesetting" w:cs="Arabic Typesetting"/>
          <w:sz w:val="34"/>
          <w:szCs w:val="34"/>
          <w:rtl/>
          <w:lang w:bidi="ar-EG"/>
        </w:rPr>
        <w:t xml:space="preserve"> </w:t>
      </w:r>
      <w:r w:rsidRPr="00B61F74">
        <w:rPr>
          <w:rFonts w:ascii="Arabic Typesetting" w:hAnsi="Arabic Typesetting" w:cs="Arabic Typesetting"/>
          <w:sz w:val="34"/>
          <w:szCs w:val="34"/>
          <w:rtl/>
        </w:rPr>
        <w:t xml:space="preserve">وبلغ إجمالي عدد الطلبات </w:t>
      </w:r>
      <w:r w:rsidR="00541E4A" w:rsidRPr="00B61F74">
        <w:rPr>
          <w:rFonts w:ascii="Arabic Typesetting" w:hAnsi="Arabic Typesetting" w:cs="Arabic Typesetting" w:hint="cs"/>
          <w:sz w:val="34"/>
          <w:szCs w:val="34"/>
          <w:rtl/>
        </w:rPr>
        <w:t>الواردة</w:t>
      </w:r>
      <w:r w:rsidR="00541E4A" w:rsidRPr="00B61F74">
        <w:rPr>
          <w:rFonts w:ascii="Arabic Typesetting" w:hAnsi="Arabic Typesetting" w:cs="Arabic Typesetting"/>
          <w:sz w:val="34"/>
          <w:szCs w:val="34"/>
          <w:rtl/>
        </w:rPr>
        <w:t xml:space="preserve"> </w:t>
      </w:r>
      <w:r w:rsidRPr="00B61F74">
        <w:rPr>
          <w:rFonts w:ascii="Arabic Typesetting" w:hAnsi="Arabic Typesetting" w:cs="Arabic Typesetting"/>
          <w:sz w:val="34"/>
          <w:szCs w:val="34"/>
          <w:rtl/>
        </w:rPr>
        <w:t xml:space="preserve">نحو </w:t>
      </w:r>
      <w:r w:rsidR="00541E4A" w:rsidRPr="00B61F74">
        <w:rPr>
          <w:rFonts w:ascii="Arabic Typesetting" w:hAnsi="Arabic Typesetting" w:cs="Arabic Typesetting" w:hint="cs"/>
          <w:sz w:val="34"/>
          <w:szCs w:val="34"/>
          <w:rtl/>
        </w:rPr>
        <w:t>320 </w:t>
      </w:r>
      <w:r w:rsidRPr="00B61F74">
        <w:rPr>
          <w:rFonts w:ascii="Arabic Typesetting" w:hAnsi="Arabic Typesetting" w:cs="Arabic Typesetting" w:hint="cs"/>
          <w:sz w:val="34"/>
          <w:szCs w:val="34"/>
          <w:rtl/>
        </w:rPr>
        <w:t>30</w:t>
      </w:r>
      <w:r w:rsidRPr="00B61F74">
        <w:rPr>
          <w:rFonts w:ascii="Arabic Typesetting" w:hAnsi="Arabic Typesetting" w:cs="Arabic Typesetting"/>
          <w:sz w:val="34"/>
          <w:szCs w:val="34"/>
          <w:rtl/>
        </w:rPr>
        <w:t xml:space="preserve"> طلباً</w:t>
      </w:r>
      <w:r w:rsidRPr="00B61F74">
        <w:rPr>
          <w:rFonts w:ascii="Arabic Typesetting" w:hAnsi="Arabic Typesetting" w:cs="Arabic Typesetting" w:hint="cs"/>
          <w:sz w:val="34"/>
          <w:szCs w:val="34"/>
          <w:rtl/>
        </w:rPr>
        <w:t>.</w:t>
      </w:r>
    </w:p>
    <w:p w:rsidR="004226D7" w:rsidRPr="00B61F74" w:rsidRDefault="004226D7"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B61F74">
        <w:rPr>
          <w:rFonts w:ascii="Arabic Typesetting" w:hAnsi="Arabic Typesetting" w:cs="Arabic Typesetting" w:hint="cs"/>
          <w:sz w:val="34"/>
          <w:szCs w:val="34"/>
          <w:rtl/>
        </w:rPr>
        <w:t>وتواصل خلال الثنائية تحديث أنظمة وإجراءات إدارة الموارد البشرية. واستُهل في عام 2015 وضع منصة توظيف متكاملة جديدة (باستخدام أداة</w:t>
      </w:r>
      <w:r w:rsidRPr="00B61F74">
        <w:rPr>
          <w:rFonts w:ascii="Arabic Typesetting" w:hAnsi="Arabic Typesetting" w:cs="Arabic Typesetting" w:hint="eastAsia"/>
          <w:sz w:val="34"/>
          <w:szCs w:val="34"/>
          <w:rtl/>
        </w:rPr>
        <w:t> </w:t>
      </w:r>
      <w:proofErr w:type="spellStart"/>
      <w:r w:rsidRPr="00B61F74">
        <w:rPr>
          <w:rFonts w:ascii="Arabic Typesetting" w:hAnsi="Arabic Typesetting" w:cs="Arabic Typesetting"/>
          <w:sz w:val="34"/>
          <w:szCs w:val="34"/>
        </w:rPr>
        <w:t>Taleo</w:t>
      </w:r>
      <w:proofErr w:type="spellEnd"/>
      <w:r w:rsidRPr="00B61F74">
        <w:rPr>
          <w:rFonts w:ascii="Arabic Typesetting" w:hAnsi="Arabic Typesetting" w:cs="Arabic Typesetting" w:hint="cs"/>
          <w:sz w:val="34"/>
          <w:szCs w:val="34"/>
          <w:rtl/>
        </w:rPr>
        <w:t>) ومن المتوقّع أن تسهم تلك المنصة في زيادة كفاءة التوظيف. وفي أوائل عام</w:t>
      </w:r>
      <w:r w:rsidRPr="00B61F74">
        <w:rPr>
          <w:rFonts w:ascii="Arabic Typesetting" w:hAnsi="Arabic Typesetting" w:cs="Arabic Typesetting" w:hint="eastAsia"/>
          <w:sz w:val="34"/>
          <w:szCs w:val="34"/>
          <w:rtl/>
        </w:rPr>
        <w:t> </w:t>
      </w:r>
      <w:r w:rsidRPr="00B61F74">
        <w:rPr>
          <w:rFonts w:ascii="Arabic Typesetting" w:hAnsi="Arabic Typesetting" w:cs="Arabic Typesetting" w:hint="cs"/>
          <w:sz w:val="34"/>
          <w:szCs w:val="34"/>
          <w:rtl/>
        </w:rPr>
        <w:t xml:space="preserve">2014، استُكملت </w:t>
      </w:r>
      <w:r w:rsidRPr="00B61F74">
        <w:rPr>
          <w:rFonts w:ascii="Arabic Typesetting" w:hAnsi="Arabic Typesetting" w:cs="Arabic Typesetting"/>
          <w:sz w:val="34"/>
          <w:szCs w:val="34"/>
          <w:rtl/>
          <w:lang w:bidi="ar-EG"/>
        </w:rPr>
        <w:t>المرحلة الأولى من التخطيط للموارد المؤسسية</w:t>
      </w:r>
      <w:r w:rsidRPr="00B61F74">
        <w:rPr>
          <w:rFonts w:ascii="Arabic Typesetting" w:hAnsi="Arabic Typesetting" w:cs="Arabic Typesetting" w:hint="cs"/>
          <w:sz w:val="34"/>
          <w:szCs w:val="34"/>
          <w:rtl/>
          <w:lang w:bidi="ar-EG"/>
        </w:rPr>
        <w:t xml:space="preserve">، الرامية </w:t>
      </w:r>
      <w:r w:rsidRPr="00B61F74">
        <w:rPr>
          <w:rFonts w:ascii="Arabic Typesetting" w:hAnsi="Arabic Typesetting" w:cs="Arabic Typesetting"/>
          <w:sz w:val="34"/>
          <w:szCs w:val="34"/>
          <w:rtl/>
          <w:lang w:bidi="ar-EG"/>
        </w:rPr>
        <w:t>إلى دمج البيانات والعمليات</w:t>
      </w:r>
      <w:r w:rsidRPr="00B61F74">
        <w:rPr>
          <w:rFonts w:ascii="Arabic Typesetting" w:hAnsi="Arabic Typesetting" w:cs="Arabic Typesetting" w:hint="cs"/>
          <w:sz w:val="34"/>
          <w:szCs w:val="34"/>
          <w:rtl/>
          <w:lang w:bidi="ar-EG"/>
        </w:rPr>
        <w:t xml:space="preserve"> </w:t>
      </w:r>
      <w:r w:rsidRPr="00B61F74">
        <w:rPr>
          <w:rFonts w:ascii="Arabic Typesetting" w:hAnsi="Arabic Typesetting" w:cs="Arabic Typesetting"/>
          <w:sz w:val="34"/>
          <w:szCs w:val="34"/>
          <w:rtl/>
          <w:lang w:bidi="ar-EG"/>
        </w:rPr>
        <w:t xml:space="preserve">داخل إدارة الموارد البشرية </w:t>
      </w:r>
      <w:r w:rsidRPr="00B61F74">
        <w:rPr>
          <w:rFonts w:ascii="Arabic Typesetting" w:hAnsi="Arabic Typesetting" w:cs="Arabic Typesetting" w:hint="cs"/>
          <w:sz w:val="34"/>
          <w:szCs w:val="34"/>
          <w:rtl/>
          <w:lang w:bidi="ar-EG"/>
        </w:rPr>
        <w:t>ومع وظائف الويبو</w:t>
      </w:r>
      <w:r w:rsidRPr="00B61F74">
        <w:rPr>
          <w:rFonts w:ascii="Arabic Typesetting" w:hAnsi="Arabic Typesetting" w:cs="Arabic Typesetting"/>
          <w:sz w:val="34"/>
          <w:szCs w:val="34"/>
          <w:rtl/>
          <w:lang w:bidi="ar-EG"/>
        </w:rPr>
        <w:t xml:space="preserve"> </w:t>
      </w:r>
      <w:r w:rsidRPr="00B61F74">
        <w:rPr>
          <w:rFonts w:ascii="Arabic Typesetting" w:hAnsi="Arabic Typesetting" w:cs="Arabic Typesetting" w:hint="cs"/>
          <w:sz w:val="34"/>
          <w:szCs w:val="34"/>
          <w:rtl/>
          <w:lang w:bidi="ar-EG"/>
        </w:rPr>
        <w:t>الأخرى الخاصة بالإدارة والتسيير الإداري</w:t>
      </w:r>
      <w:r w:rsidRPr="00B61F74">
        <w:rPr>
          <w:rFonts w:ascii="Arabic Typesetting" w:hAnsi="Arabic Typesetting" w:cs="Arabic Typesetting"/>
          <w:sz w:val="34"/>
          <w:szCs w:val="34"/>
          <w:rtl/>
          <w:lang w:bidi="ar-EG"/>
        </w:rPr>
        <w:t>. و</w:t>
      </w:r>
      <w:r w:rsidRPr="00B61F74">
        <w:rPr>
          <w:rFonts w:ascii="Arabic Typesetting" w:hAnsi="Arabic Typesetting" w:cs="Arabic Typesetting" w:hint="cs"/>
          <w:sz w:val="34"/>
          <w:szCs w:val="34"/>
          <w:rtl/>
          <w:lang w:bidi="ar-EG"/>
        </w:rPr>
        <w:t>من التحسينات الأخرى المنجزة خلال الثنائية استحداث وإطلاق</w:t>
      </w:r>
      <w:r w:rsidRPr="00B61F74">
        <w:rPr>
          <w:rFonts w:ascii="Arabic Typesetting" w:hAnsi="Arabic Typesetting" w:cs="Arabic Typesetting"/>
          <w:sz w:val="34"/>
          <w:szCs w:val="34"/>
          <w:rtl/>
          <w:lang w:bidi="ar-EG"/>
        </w:rPr>
        <w:t xml:space="preserve"> </w:t>
      </w:r>
      <w:r w:rsidRPr="00B61F74">
        <w:rPr>
          <w:rFonts w:ascii="Arabic Typesetting" w:hAnsi="Arabic Typesetting" w:cs="Arabic Typesetting" w:hint="cs"/>
          <w:sz w:val="34"/>
          <w:szCs w:val="34"/>
          <w:rtl/>
          <w:lang w:bidi="ar-EG"/>
        </w:rPr>
        <w:t>لوحة بيانات</w:t>
      </w:r>
      <w:r w:rsidRPr="00B61F74">
        <w:rPr>
          <w:rFonts w:ascii="Arabic Typesetting" w:hAnsi="Arabic Typesetting" w:cs="Arabic Typesetting"/>
          <w:sz w:val="34"/>
          <w:szCs w:val="34"/>
          <w:rtl/>
          <w:lang w:bidi="ar-EG"/>
        </w:rPr>
        <w:t xml:space="preserve"> "استخبارات الأعمال" لإدارة الموارد البشرية، ووظائف الخدمة الذاتية</w:t>
      </w:r>
      <w:r w:rsidRPr="00B61F74">
        <w:rPr>
          <w:rFonts w:ascii="Arabic Typesetting" w:hAnsi="Arabic Typesetting" w:cs="Arabic Typesetting" w:hint="cs"/>
          <w:sz w:val="34"/>
          <w:szCs w:val="34"/>
          <w:rtl/>
          <w:lang w:bidi="ar-EG"/>
        </w:rPr>
        <w:t xml:space="preserve"> من قبيل تحديث المعلومات الشخصية وتقديم طلبات منحة التعليم إلكترونيا، مما أسهم في تعزيز المسؤولية الذاتية والحد إلى أدنى مستوى ممكن من مهام الموارد البشرية التي تقتضي الكثير من</w:t>
      </w:r>
      <w:r w:rsidR="006204D5"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العمل</w:t>
      </w:r>
      <w:r w:rsidRPr="00B61F74">
        <w:rPr>
          <w:rFonts w:ascii="Arabic Typesetting" w:hAnsi="Arabic Typesetting" w:cs="Arabic Typesetting"/>
          <w:sz w:val="34"/>
          <w:szCs w:val="34"/>
          <w:rtl/>
          <w:lang w:bidi="ar-EG"/>
        </w:rPr>
        <w:t>.</w:t>
      </w:r>
    </w:p>
    <w:p w:rsidR="004226D7" w:rsidRPr="00B61F74" w:rsidRDefault="006204D5"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B61F74">
        <w:rPr>
          <w:rFonts w:ascii="Arabic Typesetting" w:hAnsi="Arabic Typesetting" w:cs="Arabic Typesetting" w:hint="cs"/>
          <w:sz w:val="34"/>
          <w:szCs w:val="34"/>
          <w:rtl/>
          <w:lang w:bidi="ar-EG"/>
        </w:rPr>
        <w:t>و</w:t>
      </w:r>
      <w:r w:rsidR="004226D7" w:rsidRPr="00B61F74">
        <w:rPr>
          <w:rFonts w:ascii="Arabic Typesetting" w:hAnsi="Arabic Typesetting" w:cs="Arabic Typesetting" w:hint="cs"/>
          <w:sz w:val="34"/>
          <w:szCs w:val="34"/>
          <w:rtl/>
          <w:lang w:bidi="ar-EG"/>
        </w:rPr>
        <w:t xml:space="preserve">أسفرت </w:t>
      </w:r>
      <w:r w:rsidR="004226D7" w:rsidRPr="00B61F74">
        <w:rPr>
          <w:rFonts w:ascii="Arabic Typesetting" w:hAnsi="Arabic Typesetting" w:cs="Arabic Typesetting"/>
          <w:sz w:val="34"/>
          <w:szCs w:val="34"/>
          <w:rtl/>
          <w:lang w:bidi="ar-EG"/>
        </w:rPr>
        <w:t xml:space="preserve">مناقصة للتأمين على </w:t>
      </w:r>
      <w:r w:rsidR="004226D7" w:rsidRPr="00B61F74">
        <w:rPr>
          <w:rFonts w:ascii="Arabic Typesetting" w:hAnsi="Arabic Typesetting" w:cs="Arabic Typesetting" w:hint="cs"/>
          <w:sz w:val="34"/>
          <w:szCs w:val="34"/>
          <w:rtl/>
          <w:lang w:bidi="ar-EG"/>
        </w:rPr>
        <w:t xml:space="preserve">صحة </w:t>
      </w:r>
      <w:r w:rsidR="004226D7" w:rsidRPr="00B61F74">
        <w:rPr>
          <w:rFonts w:ascii="Arabic Typesetting" w:hAnsi="Arabic Typesetting" w:cs="Arabic Typesetting"/>
          <w:sz w:val="34"/>
          <w:szCs w:val="34"/>
          <w:rtl/>
          <w:lang w:bidi="ar-EG"/>
        </w:rPr>
        <w:t>الموظفين</w:t>
      </w:r>
      <w:r w:rsidR="004226D7" w:rsidRPr="00B61F74">
        <w:rPr>
          <w:rFonts w:ascii="Arabic Typesetting" w:hAnsi="Arabic Typesetting" w:cs="Arabic Typesetting" w:hint="cs"/>
          <w:sz w:val="34"/>
          <w:szCs w:val="34"/>
          <w:rtl/>
          <w:lang w:bidi="ar-EG"/>
        </w:rPr>
        <w:t xml:space="preserve"> وضد الحوادث وحالات فقدان الدخل عن </w:t>
      </w:r>
      <w:r w:rsidR="004226D7" w:rsidRPr="00B61F74">
        <w:rPr>
          <w:rFonts w:ascii="Arabic Typesetting" w:hAnsi="Arabic Typesetting" w:cs="Arabic Typesetting"/>
          <w:sz w:val="34"/>
          <w:szCs w:val="34"/>
          <w:rtl/>
          <w:lang w:bidi="ar-EG"/>
        </w:rPr>
        <w:t>عقد جديد ذي أقساط أقل.</w:t>
      </w:r>
      <w:r w:rsidR="004226D7" w:rsidRPr="00B61F74">
        <w:rPr>
          <w:rFonts w:ascii="Arabic Typesetting" w:hAnsi="Arabic Typesetting" w:cs="Arabic Typesetting" w:hint="cs"/>
          <w:sz w:val="34"/>
          <w:szCs w:val="34"/>
          <w:rtl/>
          <w:lang w:bidi="ar-EG"/>
        </w:rPr>
        <w:t xml:space="preserve"> وفي عام</w:t>
      </w:r>
      <w:r w:rsidR="004226D7" w:rsidRPr="00B61F74">
        <w:rPr>
          <w:rFonts w:ascii="Arabic Typesetting" w:hAnsi="Arabic Typesetting" w:cs="Arabic Typesetting" w:hint="eastAsia"/>
          <w:sz w:val="34"/>
          <w:szCs w:val="34"/>
          <w:rtl/>
          <w:lang w:bidi="ar-EG"/>
        </w:rPr>
        <w:t> </w:t>
      </w:r>
      <w:r w:rsidR="004226D7" w:rsidRPr="00B61F74">
        <w:rPr>
          <w:rFonts w:ascii="Arabic Typesetting" w:hAnsi="Arabic Typesetting" w:cs="Arabic Typesetting" w:hint="cs"/>
          <w:sz w:val="34"/>
          <w:szCs w:val="34"/>
          <w:rtl/>
          <w:lang w:bidi="ar-EG"/>
        </w:rPr>
        <w:t xml:space="preserve">2015، </w:t>
      </w:r>
      <w:r w:rsidRPr="00B61F74">
        <w:rPr>
          <w:rFonts w:ascii="Arabic Typesetting" w:hAnsi="Arabic Typesetting" w:cs="Arabic Typesetting" w:hint="cs"/>
          <w:sz w:val="34"/>
          <w:szCs w:val="34"/>
          <w:rtl/>
          <w:lang w:bidi="ar-EG"/>
        </w:rPr>
        <w:t>أعيد التفاوض</w:t>
      </w:r>
      <w:r w:rsidR="004226D7" w:rsidRPr="00B61F74">
        <w:rPr>
          <w:rFonts w:ascii="Arabic Typesetting" w:hAnsi="Arabic Typesetting" w:cs="Arabic Typesetting" w:hint="cs"/>
          <w:sz w:val="34"/>
          <w:szCs w:val="34"/>
          <w:rtl/>
          <w:lang w:bidi="ar-EG"/>
        </w:rPr>
        <w:t xml:space="preserve"> على العقد الخاص بالتأمين على الحياة بما أدى إلى قسط أقل </w:t>
      </w:r>
      <w:r w:rsidRPr="00B61F74">
        <w:rPr>
          <w:rFonts w:ascii="Arabic Typesetting" w:hAnsi="Arabic Typesetting" w:cs="Arabic Typesetting" w:hint="cs"/>
          <w:sz w:val="34"/>
          <w:szCs w:val="34"/>
          <w:rtl/>
          <w:lang w:bidi="ar-EG"/>
        </w:rPr>
        <w:t>يُستحق</w:t>
      </w:r>
      <w:r w:rsidR="004226D7" w:rsidRPr="00B61F74">
        <w:rPr>
          <w:rFonts w:ascii="Arabic Typesetting" w:hAnsi="Arabic Typesetting" w:cs="Arabic Typesetting" w:hint="cs"/>
          <w:sz w:val="34"/>
          <w:szCs w:val="34"/>
          <w:rtl/>
          <w:lang w:bidi="ar-EG"/>
        </w:rPr>
        <w:t xml:space="preserve"> في عام</w:t>
      </w:r>
      <w:r w:rsidR="004226D7" w:rsidRPr="00B61F74">
        <w:rPr>
          <w:rFonts w:ascii="Arabic Typesetting" w:hAnsi="Arabic Typesetting" w:cs="Arabic Typesetting" w:hint="eastAsia"/>
          <w:sz w:val="34"/>
          <w:szCs w:val="34"/>
          <w:rtl/>
          <w:lang w:bidi="ar-EG"/>
        </w:rPr>
        <w:t> </w:t>
      </w:r>
      <w:r w:rsidR="004226D7" w:rsidRPr="00B61F74">
        <w:rPr>
          <w:rFonts w:ascii="Arabic Typesetting" w:hAnsi="Arabic Typesetting" w:cs="Arabic Typesetting" w:hint="cs"/>
          <w:sz w:val="34"/>
          <w:szCs w:val="34"/>
          <w:rtl/>
          <w:lang w:bidi="ar-EG"/>
        </w:rPr>
        <w:t xml:space="preserve">2016. </w:t>
      </w:r>
      <w:r w:rsidRPr="00B61F74">
        <w:rPr>
          <w:rFonts w:ascii="Arabic Typesetting" w:hAnsi="Arabic Typesetting" w:cs="Arabic Typesetting" w:hint="cs"/>
          <w:sz w:val="34"/>
          <w:szCs w:val="34"/>
          <w:rtl/>
          <w:lang w:bidi="ar-EG"/>
        </w:rPr>
        <w:t>وإضافة إلى ذلك، وفرت</w:t>
      </w:r>
      <w:r w:rsidR="004226D7" w:rsidRPr="00B61F74">
        <w:rPr>
          <w:rFonts w:ascii="Arabic Typesetting" w:hAnsi="Arabic Typesetting" w:cs="Arabic Typesetting" w:hint="cs"/>
          <w:sz w:val="34"/>
          <w:szCs w:val="34"/>
          <w:rtl/>
          <w:lang w:bidi="ar-EG"/>
        </w:rPr>
        <w:t xml:space="preserve"> خدمات الصحة المهنية </w:t>
      </w:r>
      <w:r w:rsidRPr="00B61F74">
        <w:rPr>
          <w:rFonts w:ascii="Arabic Typesetting" w:hAnsi="Arabic Typesetting" w:cs="Arabic Typesetting" w:hint="cs"/>
          <w:sz w:val="34"/>
          <w:szCs w:val="34"/>
          <w:rtl/>
          <w:lang w:bidi="ar-EG"/>
        </w:rPr>
        <w:t>إما عن طريق</w:t>
      </w:r>
      <w:r w:rsidR="004226D7" w:rsidRPr="00B61F74">
        <w:rPr>
          <w:rFonts w:ascii="Arabic Typesetting" w:hAnsi="Arabic Typesetting" w:cs="Arabic Typesetting" w:hint="cs"/>
          <w:sz w:val="34"/>
          <w:szCs w:val="34"/>
          <w:rtl/>
          <w:lang w:bidi="ar-EG"/>
        </w:rPr>
        <w:t xml:space="preserve"> وحدة الويبو للرعاية الطبية والاجتماعية أو بالتعاون مع قسم الخدمات الطبية في مكتب الأمم المتحدة بجنيف.</w:t>
      </w:r>
    </w:p>
    <w:p w:rsidR="004226D7" w:rsidRPr="00B61F74" w:rsidRDefault="004226D7"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B61F74">
        <w:rPr>
          <w:rFonts w:ascii="Arabic Typesetting" w:hAnsi="Arabic Typesetting" w:cs="Arabic Typesetting" w:hint="cs"/>
          <w:sz w:val="34"/>
          <w:szCs w:val="34"/>
          <w:rtl/>
          <w:lang w:bidi="ar-EG"/>
        </w:rPr>
        <w:t>وأدى تزايد نضج العمليات الخاصة بإدارة الأداء في الويبو</w:t>
      </w:r>
      <w:r w:rsidRPr="00B61F74">
        <w:rPr>
          <w:rFonts w:ascii="Arabic Typesetting" w:hAnsi="Arabic Typesetting" w:cs="Arabic Typesetting"/>
          <w:sz w:val="34"/>
          <w:szCs w:val="34"/>
          <w:rtl/>
          <w:lang w:bidi="ar-EG"/>
        </w:rPr>
        <w:t xml:space="preserve"> </w:t>
      </w:r>
      <w:r w:rsidRPr="00B61F74">
        <w:rPr>
          <w:rFonts w:ascii="Arabic Typesetting" w:hAnsi="Arabic Typesetting" w:cs="Arabic Typesetting" w:hint="cs"/>
          <w:sz w:val="34"/>
          <w:szCs w:val="34"/>
          <w:rtl/>
          <w:lang w:bidi="ar-EG"/>
        </w:rPr>
        <w:t xml:space="preserve">إلى زيادة تحسين </w:t>
      </w:r>
      <w:r w:rsidRPr="00B61F74">
        <w:rPr>
          <w:rFonts w:ascii="Arabic Typesetting" w:hAnsi="Arabic Typesetting" w:cs="Arabic Typesetting"/>
          <w:sz w:val="34"/>
          <w:szCs w:val="34"/>
          <w:rtl/>
          <w:lang w:bidi="ar-EG"/>
        </w:rPr>
        <w:t xml:space="preserve">نظام إدارة الأداء وتطوير الموظفين. واستُعِيضَ عن مبادئ النظام التوجيهية </w:t>
      </w:r>
      <w:r w:rsidRPr="00B61F74">
        <w:rPr>
          <w:rFonts w:ascii="Arabic Typesetting" w:hAnsi="Arabic Typesetting" w:cs="Arabic Typesetting" w:hint="cs"/>
          <w:sz w:val="34"/>
          <w:szCs w:val="34"/>
          <w:rtl/>
          <w:lang w:bidi="ar-EG"/>
        </w:rPr>
        <w:t>القائمة</w:t>
      </w:r>
      <w:r w:rsidRPr="00B61F74">
        <w:rPr>
          <w:rFonts w:ascii="Arabic Typesetting" w:hAnsi="Arabic Typesetting" w:cs="Arabic Typesetting"/>
          <w:sz w:val="34"/>
          <w:szCs w:val="34"/>
          <w:rtl/>
          <w:lang w:bidi="ar-EG"/>
        </w:rPr>
        <w:t xml:space="preserve"> بتعميم إداري جديد وكتيبات تتعلق ب</w:t>
      </w:r>
      <w:r w:rsidRPr="00B61F74">
        <w:rPr>
          <w:rFonts w:ascii="Arabic Typesetting" w:hAnsi="Arabic Typesetting" w:cs="Arabic Typesetting" w:hint="cs"/>
          <w:sz w:val="34"/>
          <w:szCs w:val="34"/>
          <w:rtl/>
          <w:lang w:bidi="ar-EG"/>
        </w:rPr>
        <w:t>ذلك ال</w:t>
      </w:r>
      <w:r w:rsidRPr="00B61F74">
        <w:rPr>
          <w:rFonts w:ascii="Arabic Typesetting" w:hAnsi="Arabic Typesetting" w:cs="Arabic Typesetting"/>
          <w:sz w:val="34"/>
          <w:szCs w:val="34"/>
          <w:rtl/>
          <w:lang w:bidi="ar-EG"/>
        </w:rPr>
        <w:t xml:space="preserve">نظام </w:t>
      </w:r>
      <w:r w:rsidR="006204D5" w:rsidRPr="00B61F74">
        <w:rPr>
          <w:rFonts w:ascii="Arabic Typesetting" w:hAnsi="Arabic Typesetting" w:cs="Arabic Typesetting" w:hint="cs"/>
          <w:sz w:val="34"/>
          <w:szCs w:val="34"/>
          <w:rtl/>
          <w:lang w:bidi="ar-EG"/>
        </w:rPr>
        <w:t xml:space="preserve">بغية </w:t>
      </w:r>
      <w:r w:rsidRPr="00B61F74">
        <w:rPr>
          <w:rFonts w:ascii="Arabic Typesetting" w:hAnsi="Arabic Typesetting" w:cs="Arabic Typesetting"/>
          <w:sz w:val="34"/>
          <w:szCs w:val="34"/>
          <w:rtl/>
          <w:lang w:bidi="ar-EG"/>
        </w:rPr>
        <w:t xml:space="preserve">فصل الأحكام التنظيمية عن </w:t>
      </w:r>
      <w:r w:rsidRPr="00B61F74">
        <w:rPr>
          <w:rFonts w:ascii="Arabic Typesetting" w:hAnsi="Arabic Typesetting" w:cs="Arabic Typesetting" w:hint="cs"/>
          <w:sz w:val="34"/>
          <w:szCs w:val="34"/>
          <w:rtl/>
          <w:lang w:bidi="ar-EG"/>
        </w:rPr>
        <w:t>التوجيهات</w:t>
      </w:r>
      <w:r w:rsidRPr="00B61F74">
        <w:rPr>
          <w:rFonts w:ascii="Arabic Typesetting" w:hAnsi="Arabic Typesetting" w:cs="Arabic Typesetting"/>
          <w:sz w:val="34"/>
          <w:szCs w:val="34"/>
          <w:rtl/>
          <w:lang w:bidi="ar-EG"/>
        </w:rPr>
        <w:t>. و</w:t>
      </w:r>
      <w:r w:rsidRPr="00B61F74">
        <w:rPr>
          <w:rFonts w:ascii="Arabic Typesetting" w:hAnsi="Arabic Typesetting" w:cs="Arabic Typesetting" w:hint="cs"/>
          <w:sz w:val="34"/>
          <w:szCs w:val="34"/>
          <w:rtl/>
          <w:lang w:bidi="ar-EG"/>
        </w:rPr>
        <w:t>إ</w:t>
      </w:r>
      <w:r w:rsidRPr="00B61F74">
        <w:rPr>
          <w:rFonts w:ascii="Arabic Typesetting" w:hAnsi="Arabic Typesetting" w:cs="Arabic Typesetting"/>
          <w:sz w:val="34"/>
          <w:szCs w:val="34"/>
          <w:rtl/>
          <w:lang w:bidi="ar-EG"/>
        </w:rPr>
        <w:t xml:space="preserve">ضافة إلى ذلك، أُدخلت تغييرات لجعل </w:t>
      </w:r>
      <w:r w:rsidRPr="00B61F74">
        <w:rPr>
          <w:rFonts w:ascii="Arabic Typesetting" w:hAnsi="Arabic Typesetting" w:cs="Arabic Typesetting" w:hint="cs"/>
          <w:sz w:val="34"/>
          <w:szCs w:val="34"/>
          <w:rtl/>
          <w:lang w:bidi="ar-EG"/>
        </w:rPr>
        <w:t>ال</w:t>
      </w:r>
      <w:r w:rsidRPr="00B61F74">
        <w:rPr>
          <w:rFonts w:ascii="Arabic Typesetting" w:hAnsi="Arabic Typesetting" w:cs="Arabic Typesetting"/>
          <w:sz w:val="34"/>
          <w:szCs w:val="34"/>
          <w:rtl/>
          <w:lang w:bidi="ar-EG"/>
        </w:rPr>
        <w:t>نظام متوافقاً مع نظام الموظفين ولائحته، ومع التعم</w:t>
      </w:r>
      <w:r w:rsidRPr="00B61F74">
        <w:rPr>
          <w:rFonts w:ascii="Arabic Typesetting" w:hAnsi="Arabic Typesetting" w:cs="Arabic Typesetting" w:hint="cs"/>
          <w:sz w:val="34"/>
          <w:szCs w:val="34"/>
          <w:rtl/>
          <w:lang w:bidi="ar-EG"/>
        </w:rPr>
        <w:t>يم</w:t>
      </w:r>
      <w:r w:rsidRPr="00B61F74">
        <w:rPr>
          <w:rFonts w:ascii="Arabic Typesetting" w:hAnsi="Arabic Typesetting" w:cs="Arabic Typesetting"/>
          <w:sz w:val="34"/>
          <w:szCs w:val="34"/>
          <w:rtl/>
          <w:lang w:bidi="ar-EG"/>
        </w:rPr>
        <w:t>ات الإدارية ذات الصلة، وتقديم مزيد من التوضيح بشأن الأمور المتعلقة ب</w:t>
      </w:r>
      <w:r w:rsidRPr="00B61F74">
        <w:rPr>
          <w:rFonts w:ascii="Arabic Typesetting" w:hAnsi="Arabic Typesetting" w:cs="Arabic Typesetting" w:hint="cs"/>
          <w:sz w:val="34"/>
          <w:szCs w:val="34"/>
          <w:rtl/>
          <w:lang w:bidi="ar-EG"/>
        </w:rPr>
        <w:t>ال</w:t>
      </w:r>
      <w:r w:rsidRPr="00B61F74">
        <w:rPr>
          <w:rFonts w:ascii="Arabic Typesetting" w:hAnsi="Arabic Typesetting" w:cs="Arabic Typesetting"/>
          <w:sz w:val="34"/>
          <w:szCs w:val="34"/>
          <w:rtl/>
          <w:lang w:bidi="ar-EG"/>
        </w:rPr>
        <w:t>نظام بناء على الخبرة المُكتسبة من تطبيق</w:t>
      </w:r>
      <w:r w:rsidRPr="00B61F74">
        <w:rPr>
          <w:rFonts w:ascii="Arabic Typesetting" w:hAnsi="Arabic Typesetting" w:cs="Arabic Typesetting" w:hint="cs"/>
          <w:sz w:val="34"/>
          <w:szCs w:val="34"/>
          <w:rtl/>
          <w:lang w:bidi="ar-EG"/>
        </w:rPr>
        <w:t>ه</w:t>
      </w:r>
      <w:r w:rsidRPr="00B61F74">
        <w:rPr>
          <w:rFonts w:ascii="Arabic Typesetting" w:hAnsi="Arabic Typesetting" w:cs="Arabic Typesetting"/>
          <w:sz w:val="34"/>
          <w:szCs w:val="34"/>
          <w:rtl/>
          <w:lang w:bidi="ar-EG"/>
        </w:rPr>
        <w:t>. وظل</w:t>
      </w:r>
      <w:r w:rsidRPr="00B61F74">
        <w:rPr>
          <w:rFonts w:ascii="Arabic Typesetting" w:hAnsi="Arabic Typesetting" w:cs="Arabic Typesetting" w:hint="cs"/>
          <w:sz w:val="34"/>
          <w:szCs w:val="34"/>
          <w:rtl/>
          <w:lang w:bidi="ar-EG"/>
        </w:rPr>
        <w:t>ت درجة</w:t>
      </w:r>
      <w:r w:rsidRPr="00B61F74">
        <w:rPr>
          <w:rFonts w:ascii="Arabic Typesetting" w:hAnsi="Arabic Typesetting" w:cs="Arabic Typesetting"/>
          <w:sz w:val="34"/>
          <w:szCs w:val="34"/>
          <w:rtl/>
          <w:lang w:bidi="ar-EG"/>
        </w:rPr>
        <w:t xml:space="preserve"> الامتثال للنظام مرتفع</w:t>
      </w:r>
      <w:r w:rsidRPr="00B61F74">
        <w:rPr>
          <w:rFonts w:ascii="Arabic Typesetting" w:hAnsi="Arabic Typesetting" w:cs="Arabic Typesetting" w:hint="cs"/>
          <w:sz w:val="34"/>
          <w:szCs w:val="34"/>
          <w:rtl/>
          <w:lang w:bidi="ar-EG"/>
        </w:rPr>
        <w:t>ة</w:t>
      </w:r>
      <w:r w:rsidRPr="00B61F74">
        <w:rPr>
          <w:rFonts w:ascii="Arabic Typesetting" w:hAnsi="Arabic Typesetting" w:cs="Arabic Typesetting"/>
          <w:sz w:val="34"/>
          <w:szCs w:val="34"/>
          <w:rtl/>
          <w:lang w:bidi="ar-EG"/>
        </w:rPr>
        <w:t xml:space="preserve"> جدا، إذ </w:t>
      </w:r>
      <w:r w:rsidRPr="00B61F74">
        <w:rPr>
          <w:rFonts w:ascii="Arabic Typesetting" w:hAnsi="Arabic Typesetting" w:cs="Arabic Typesetting" w:hint="cs"/>
          <w:sz w:val="34"/>
          <w:szCs w:val="34"/>
          <w:rtl/>
          <w:lang w:bidi="ar-EG"/>
        </w:rPr>
        <w:t>خضع</w:t>
      </w:r>
      <w:r w:rsidRPr="00B61F74">
        <w:rPr>
          <w:rFonts w:ascii="Arabic Typesetting" w:hAnsi="Arabic Typesetting" w:cs="Arabic Typesetting"/>
          <w:sz w:val="34"/>
          <w:szCs w:val="34"/>
          <w:rtl/>
          <w:lang w:bidi="ar-EG"/>
        </w:rPr>
        <w:t xml:space="preserve"> 93.1% من الموظفين المشمولين ب</w:t>
      </w:r>
      <w:r w:rsidRPr="00B61F74">
        <w:rPr>
          <w:rFonts w:ascii="Arabic Typesetting" w:hAnsi="Arabic Typesetting" w:cs="Arabic Typesetting" w:hint="cs"/>
          <w:sz w:val="34"/>
          <w:szCs w:val="34"/>
          <w:rtl/>
          <w:lang w:bidi="ar-EG"/>
        </w:rPr>
        <w:t>ال</w:t>
      </w:r>
      <w:r w:rsidRPr="00B61F74">
        <w:rPr>
          <w:rFonts w:ascii="Arabic Typesetting" w:hAnsi="Arabic Typesetting" w:cs="Arabic Typesetting"/>
          <w:sz w:val="34"/>
          <w:szCs w:val="34"/>
          <w:rtl/>
          <w:lang w:bidi="ar-EG"/>
        </w:rPr>
        <w:t>نظام</w:t>
      </w:r>
      <w:r w:rsidRPr="00B61F74">
        <w:rPr>
          <w:rFonts w:ascii="Arabic Typesetting" w:hAnsi="Arabic Typesetting" w:cs="Arabic Typesetting" w:hint="cs"/>
          <w:sz w:val="34"/>
          <w:szCs w:val="34"/>
          <w:rtl/>
          <w:lang w:bidi="ar-EG"/>
        </w:rPr>
        <w:t xml:space="preserve"> في عام 2014 و92.8% من أولئك الموظفين في عام</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 xml:space="preserve">2015 لتقييم </w:t>
      </w:r>
      <w:r w:rsidR="006204D5" w:rsidRPr="00B61F74">
        <w:rPr>
          <w:rFonts w:ascii="Arabic Typesetting" w:hAnsi="Arabic Typesetting" w:cs="Arabic Typesetting" w:hint="cs"/>
          <w:sz w:val="34"/>
          <w:szCs w:val="34"/>
          <w:rtl/>
          <w:lang w:bidi="ar-EG"/>
        </w:rPr>
        <w:t>على أساس</w:t>
      </w:r>
      <w:r w:rsidR="006204D5" w:rsidRPr="00B61F74">
        <w:rPr>
          <w:rFonts w:ascii="Arabic Typesetting" w:hAnsi="Arabic Typesetting" w:cs="Arabic Typesetting"/>
          <w:sz w:val="34"/>
          <w:szCs w:val="34"/>
          <w:rtl/>
          <w:lang w:bidi="ar-EG"/>
        </w:rPr>
        <w:t xml:space="preserve"> </w:t>
      </w:r>
      <w:r w:rsidRPr="00B61F74">
        <w:rPr>
          <w:rFonts w:ascii="Arabic Typesetting" w:hAnsi="Arabic Typesetting" w:cs="Arabic Typesetting"/>
          <w:sz w:val="34"/>
          <w:szCs w:val="34"/>
          <w:rtl/>
          <w:lang w:bidi="ar-EG"/>
        </w:rPr>
        <w:t>أهدافهم وكفاءاتهم الفردية.</w:t>
      </w:r>
    </w:p>
    <w:p w:rsidR="004226D7" w:rsidRPr="00B61F74" w:rsidRDefault="004226D7" w:rsidP="00E14A59">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B61F74">
        <w:rPr>
          <w:rFonts w:ascii="Arabic Typesetting" w:hAnsi="Arabic Typesetting" w:cs="Arabic Typesetting" w:hint="cs"/>
          <w:sz w:val="34"/>
          <w:szCs w:val="34"/>
          <w:rtl/>
          <w:lang w:bidi="ar-EG"/>
        </w:rPr>
        <w:t>واستمر برنامج الويبو للمكافآت والتقدير بمشروع تجريبي ثان اضطُلع به في عام</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 xml:space="preserve">2014 وخضع لاحقا لتقييم </w:t>
      </w:r>
      <w:r w:rsidR="00E14A59">
        <w:rPr>
          <w:rFonts w:ascii="Arabic Typesetting" w:hAnsi="Arabic Typesetting" w:cs="Arabic Typesetting" w:hint="cs"/>
          <w:sz w:val="34"/>
          <w:szCs w:val="34"/>
          <w:rtl/>
          <w:lang w:bidi="ar-EG"/>
        </w:rPr>
        <w:t xml:space="preserve">أجرته </w:t>
      </w:r>
      <w:r w:rsidRPr="00B61F74">
        <w:rPr>
          <w:rFonts w:ascii="Arabic Typesetting" w:hAnsi="Arabic Typesetting" w:cs="Arabic Typesetting" w:hint="cs"/>
          <w:sz w:val="34"/>
          <w:szCs w:val="34"/>
          <w:rtl/>
          <w:lang w:bidi="ar-EG"/>
        </w:rPr>
        <w:t>شعبة الرقابة الداخلية. وأشار ثلثا المجيبين إلى أن البرنامج يُعد وجيها لإبداء التقدير حيال حسن الأداء. واستنادا إلى توصيات شعبة الرقابة الداخلية لتحسين الشفافية ومشاركة الموظفين، أصدر كتيّب جديد حول "إظهار التقدير"، واستُحدثت صفحة في هذا الشأن على الشبكة الداخلية (إنترانت). وأنشئت فئة جديدة من المكافآت بمشاركة مباشرة من الموظفين في اقتراح المرشحين واختيار الفائزين. وعقب تنفيذ المشروعين التجريبيين أصدِرت، في عام 2015، سياسة رسمية بشأن برنامج المكافآت والتقدير.</w:t>
      </w:r>
    </w:p>
    <w:p w:rsidR="004226D7" w:rsidRPr="006204D5" w:rsidRDefault="004226D7" w:rsidP="009A3712">
      <w:pPr>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B61F74">
        <w:rPr>
          <w:rFonts w:ascii="Arabic Typesetting" w:hAnsi="Arabic Typesetting" w:cs="Arabic Typesetting"/>
          <w:sz w:val="34"/>
          <w:szCs w:val="34"/>
          <w:rtl/>
          <w:lang w:bidi="ar-EG"/>
        </w:rPr>
        <w:t>وفي عام</w:t>
      </w:r>
      <w:r w:rsidRPr="00B61F74">
        <w:rPr>
          <w:rFonts w:ascii="Arabic Typesetting" w:hAnsi="Arabic Typesetting" w:cs="Arabic Typesetting" w:hint="cs"/>
          <w:sz w:val="34"/>
          <w:szCs w:val="34"/>
          <w:rtl/>
          <w:lang w:bidi="ar-EG"/>
        </w:rPr>
        <w:t> </w:t>
      </w:r>
      <w:r w:rsidRPr="00B61F74">
        <w:rPr>
          <w:rFonts w:ascii="Arabic Typesetting" w:hAnsi="Arabic Typesetting" w:cs="Arabic Typesetting"/>
          <w:sz w:val="34"/>
          <w:szCs w:val="34"/>
          <w:rtl/>
          <w:lang w:bidi="ar-EG"/>
        </w:rPr>
        <w:t xml:space="preserve">2014، بدأ تنفيذ </w:t>
      </w:r>
      <w:r w:rsidRPr="00B61F74">
        <w:rPr>
          <w:rFonts w:ascii="Arabic Typesetting" w:hAnsi="Arabic Typesetting" w:cs="Arabic Typesetting" w:hint="cs"/>
          <w:sz w:val="34"/>
          <w:szCs w:val="34"/>
          <w:rtl/>
          <w:lang w:bidi="ar-EG"/>
        </w:rPr>
        <w:t>ال</w:t>
      </w:r>
      <w:r w:rsidRPr="00B61F74">
        <w:rPr>
          <w:rFonts w:ascii="Arabic Typesetting" w:hAnsi="Arabic Typesetting" w:cs="Arabic Typesetting"/>
          <w:sz w:val="34"/>
          <w:szCs w:val="34"/>
          <w:rtl/>
          <w:lang w:bidi="ar-EG"/>
        </w:rPr>
        <w:t xml:space="preserve">سياسة </w:t>
      </w:r>
      <w:r w:rsidRPr="00B61F74">
        <w:rPr>
          <w:rFonts w:ascii="Arabic Typesetting" w:hAnsi="Arabic Typesetting" w:cs="Arabic Typesetting" w:hint="cs"/>
          <w:sz w:val="34"/>
          <w:szCs w:val="34"/>
          <w:rtl/>
          <w:lang w:bidi="ar-EG"/>
        </w:rPr>
        <w:t>ال</w:t>
      </w:r>
      <w:r w:rsidRPr="00B61F74">
        <w:rPr>
          <w:rFonts w:ascii="Arabic Typesetting" w:hAnsi="Arabic Typesetting" w:cs="Arabic Typesetting"/>
          <w:sz w:val="34"/>
          <w:szCs w:val="34"/>
          <w:rtl/>
          <w:lang w:bidi="ar-EG"/>
        </w:rPr>
        <w:t>جديدة بشأن التعلم و</w:t>
      </w:r>
      <w:r w:rsidRPr="00B61F74">
        <w:rPr>
          <w:rFonts w:ascii="Arabic Typesetting" w:hAnsi="Arabic Typesetting" w:cs="Arabic Typesetting" w:hint="cs"/>
          <w:sz w:val="34"/>
          <w:szCs w:val="34"/>
          <w:rtl/>
          <w:lang w:bidi="ar-EG"/>
        </w:rPr>
        <w:t>التطور</w:t>
      </w:r>
      <w:r w:rsidRPr="00B61F74">
        <w:rPr>
          <w:rFonts w:ascii="Arabic Typesetting" w:hAnsi="Arabic Typesetting" w:cs="Arabic Typesetting"/>
          <w:sz w:val="34"/>
          <w:szCs w:val="34"/>
          <w:rtl/>
          <w:lang w:bidi="ar-EG"/>
        </w:rPr>
        <w:t xml:space="preserve"> </w:t>
      </w:r>
      <w:r w:rsidR="006204D5" w:rsidRPr="00B61F74">
        <w:rPr>
          <w:rFonts w:ascii="Arabic Typesetting" w:hAnsi="Arabic Typesetting" w:cs="Arabic Typesetting" w:hint="cs"/>
          <w:sz w:val="34"/>
          <w:szCs w:val="34"/>
          <w:rtl/>
          <w:lang w:bidi="ar-EG"/>
        </w:rPr>
        <w:t>بغية</w:t>
      </w:r>
      <w:r w:rsidR="006204D5" w:rsidRPr="00B61F74">
        <w:rPr>
          <w:rFonts w:ascii="Arabic Typesetting" w:hAnsi="Arabic Typesetting" w:cs="Arabic Typesetting"/>
          <w:sz w:val="34"/>
          <w:szCs w:val="34"/>
          <w:rtl/>
          <w:lang w:bidi="ar-EG"/>
        </w:rPr>
        <w:t xml:space="preserve"> </w:t>
      </w:r>
      <w:r w:rsidRPr="00B61F74">
        <w:rPr>
          <w:rFonts w:ascii="Arabic Typesetting" w:hAnsi="Arabic Typesetting" w:cs="Arabic Typesetting" w:hint="cs"/>
          <w:sz w:val="34"/>
          <w:szCs w:val="34"/>
          <w:rtl/>
          <w:lang w:bidi="ar-EG"/>
        </w:rPr>
        <w:t>تيسير تطوّر</w:t>
      </w:r>
      <w:r w:rsidRPr="00B61F74">
        <w:rPr>
          <w:rFonts w:ascii="Arabic Typesetting" w:hAnsi="Arabic Typesetting" w:cs="Arabic Typesetting"/>
          <w:sz w:val="34"/>
          <w:szCs w:val="34"/>
          <w:rtl/>
          <w:lang w:bidi="ar-EG"/>
        </w:rPr>
        <w:t xml:space="preserve"> الموظفين وسد</w:t>
      </w:r>
      <w:r w:rsidRPr="00B61F74">
        <w:rPr>
          <w:rFonts w:ascii="Arabic Typesetting" w:hAnsi="Arabic Typesetting" w:cs="Arabic Typesetting" w:hint="cs"/>
          <w:sz w:val="34"/>
          <w:szCs w:val="34"/>
          <w:rtl/>
          <w:lang w:bidi="ar-EG"/>
        </w:rPr>
        <w:t>ّ</w:t>
      </w:r>
      <w:r w:rsidRPr="00B61F74">
        <w:rPr>
          <w:rFonts w:ascii="Arabic Typesetting" w:hAnsi="Arabic Typesetting" w:cs="Arabic Typesetting"/>
          <w:sz w:val="34"/>
          <w:szCs w:val="34"/>
          <w:rtl/>
          <w:lang w:bidi="ar-EG"/>
        </w:rPr>
        <w:t xml:space="preserve"> </w:t>
      </w:r>
      <w:r w:rsidRPr="00B61F74">
        <w:rPr>
          <w:rFonts w:ascii="Arabic Typesetting" w:hAnsi="Arabic Typesetting" w:cs="Arabic Typesetting" w:hint="cs"/>
          <w:sz w:val="34"/>
          <w:szCs w:val="34"/>
          <w:rtl/>
          <w:lang w:bidi="ar-EG"/>
        </w:rPr>
        <w:t>ال</w:t>
      </w:r>
      <w:r w:rsidRPr="00B61F74">
        <w:rPr>
          <w:rFonts w:ascii="Arabic Typesetting" w:hAnsi="Arabic Typesetting" w:cs="Arabic Typesetting"/>
          <w:sz w:val="34"/>
          <w:szCs w:val="34"/>
          <w:rtl/>
          <w:lang w:bidi="ar-EG"/>
        </w:rPr>
        <w:t xml:space="preserve">فجوات </w:t>
      </w:r>
      <w:r w:rsidRPr="00B61F74">
        <w:rPr>
          <w:rFonts w:ascii="Arabic Typesetting" w:hAnsi="Arabic Typesetting" w:cs="Arabic Typesetting" w:hint="cs"/>
          <w:sz w:val="34"/>
          <w:szCs w:val="34"/>
          <w:rtl/>
          <w:lang w:bidi="ar-EG"/>
        </w:rPr>
        <w:t xml:space="preserve">القائمة في مجال </w:t>
      </w:r>
      <w:r w:rsidRPr="00B61F74">
        <w:rPr>
          <w:rFonts w:ascii="Arabic Typesetting" w:hAnsi="Arabic Typesetting" w:cs="Arabic Typesetting"/>
          <w:sz w:val="34"/>
          <w:szCs w:val="34"/>
          <w:rtl/>
          <w:lang w:bidi="ar-EG"/>
        </w:rPr>
        <w:t xml:space="preserve">المهارات. </w:t>
      </w:r>
      <w:r w:rsidR="00925848">
        <w:rPr>
          <w:rFonts w:ascii="Arabic Typesetting" w:hAnsi="Arabic Typesetting" w:cs="Arabic Typesetting" w:hint="cs"/>
          <w:sz w:val="34"/>
          <w:szCs w:val="34"/>
          <w:rtl/>
          <w:lang w:bidi="ar-EG"/>
        </w:rPr>
        <w:t>و</w:t>
      </w:r>
      <w:r w:rsidRPr="00B61F74">
        <w:rPr>
          <w:rFonts w:ascii="Arabic Typesetting" w:hAnsi="Arabic Typesetting" w:cs="Arabic Typesetting"/>
          <w:sz w:val="34"/>
          <w:szCs w:val="34"/>
          <w:rtl/>
          <w:lang w:bidi="ar-EG"/>
        </w:rPr>
        <w:t xml:space="preserve">أُطلِقت مبادرات جديدة بشأن تسوية النزاعات ومعالجة الإجهاد وإدارة الجودة </w:t>
      </w:r>
      <w:r w:rsidRPr="00B61F74">
        <w:rPr>
          <w:rFonts w:ascii="Arabic Typesetting" w:hAnsi="Arabic Typesetting" w:cs="Arabic Typesetting" w:hint="cs"/>
          <w:sz w:val="34"/>
          <w:szCs w:val="34"/>
          <w:rtl/>
          <w:lang w:bidi="ar-EG"/>
        </w:rPr>
        <w:t xml:space="preserve">وإدارة المشروعات </w:t>
      </w:r>
      <w:r w:rsidRPr="00B61F74">
        <w:rPr>
          <w:rFonts w:ascii="Arabic Typesetting" w:hAnsi="Arabic Typesetting" w:cs="Arabic Typesetting"/>
          <w:sz w:val="34"/>
          <w:szCs w:val="34"/>
          <w:rtl/>
          <w:lang w:bidi="ar-EG"/>
        </w:rPr>
        <w:t>واعتماد التعلم السابق، وذلك من أجل زيادة القدرة الإدارية</w:t>
      </w:r>
      <w:r w:rsidR="00925848">
        <w:rPr>
          <w:rFonts w:ascii="Arabic Typesetting" w:hAnsi="Arabic Typesetting" w:cs="Arabic Typesetting" w:hint="cs"/>
          <w:sz w:val="34"/>
          <w:szCs w:val="34"/>
          <w:rtl/>
          <w:lang w:bidi="ar-EG"/>
        </w:rPr>
        <w:t xml:space="preserve"> ودعم التقدم المهني</w:t>
      </w:r>
      <w:r w:rsidRPr="00B61F74">
        <w:rPr>
          <w:rFonts w:ascii="Arabic Typesetting" w:hAnsi="Arabic Typesetting" w:cs="Arabic Typesetting"/>
          <w:sz w:val="34"/>
          <w:szCs w:val="34"/>
          <w:rtl/>
          <w:lang w:bidi="ar-EG"/>
        </w:rPr>
        <w:t>.</w:t>
      </w:r>
      <w:r w:rsidRPr="00B61F74">
        <w:rPr>
          <w:rFonts w:ascii="Arabic Typesetting" w:hAnsi="Arabic Typesetting" w:cs="Arabic Typesetting" w:hint="cs"/>
          <w:sz w:val="34"/>
          <w:szCs w:val="34"/>
          <w:rtl/>
          <w:lang w:bidi="ar-EG"/>
        </w:rPr>
        <w:t xml:space="preserve"> ولأول مرّة في عام</w:t>
      </w:r>
      <w:r w:rsidRPr="00B61F74">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2015، زاد متوسط عدد أيام التدريب لكل موظف</w:t>
      </w:r>
      <w:r w:rsidRPr="00F96634">
        <w:rPr>
          <w:rFonts w:ascii="Arabic Typesetting" w:hAnsi="Arabic Typesetting" w:cs="Arabic Typesetting"/>
          <w:sz w:val="28"/>
          <w:szCs w:val="28"/>
          <w:vertAlign w:val="superscript"/>
          <w:rtl/>
          <w:lang w:bidi="ar-EG"/>
        </w:rPr>
        <w:footnoteReference w:id="129"/>
      </w:r>
      <w:r w:rsidRPr="006204D5">
        <w:rPr>
          <w:rFonts w:ascii="Arabic Typesetting" w:hAnsi="Arabic Typesetting" w:cs="Arabic Typesetting" w:hint="cs"/>
          <w:sz w:val="34"/>
          <w:szCs w:val="34"/>
          <w:rtl/>
          <w:lang w:bidi="ar-EG"/>
        </w:rPr>
        <w:t xml:space="preserve"> ليبلغ ستة</w:t>
      </w:r>
      <w:r w:rsidRPr="006204D5">
        <w:rPr>
          <w:rFonts w:ascii="Arabic Typesetting" w:hAnsi="Arabic Typesetting" w:cs="Arabic Typesetting" w:hint="eastAsia"/>
          <w:sz w:val="34"/>
          <w:szCs w:val="34"/>
          <w:rtl/>
          <w:lang w:bidi="ar-EG"/>
        </w:rPr>
        <w:t> </w:t>
      </w:r>
      <w:r w:rsidRPr="006204D5">
        <w:rPr>
          <w:rFonts w:ascii="Arabic Typesetting" w:hAnsi="Arabic Typesetting" w:cs="Arabic Typesetting" w:hint="cs"/>
          <w:sz w:val="34"/>
          <w:szCs w:val="34"/>
          <w:rtl/>
          <w:lang w:bidi="ar-EG"/>
        </w:rPr>
        <w:t>أيام، مقابل خمسة</w:t>
      </w:r>
      <w:r w:rsidRPr="006204D5">
        <w:rPr>
          <w:rFonts w:ascii="Arabic Typesetting" w:hAnsi="Arabic Typesetting" w:cs="Arabic Typesetting" w:hint="eastAsia"/>
          <w:sz w:val="34"/>
          <w:szCs w:val="34"/>
          <w:rtl/>
          <w:lang w:bidi="ar-EG"/>
        </w:rPr>
        <w:t> </w:t>
      </w:r>
      <w:r w:rsidRPr="006204D5">
        <w:rPr>
          <w:rFonts w:ascii="Arabic Typesetting" w:hAnsi="Arabic Typesetting" w:cs="Arabic Typesetting" w:hint="cs"/>
          <w:sz w:val="34"/>
          <w:szCs w:val="34"/>
          <w:rtl/>
          <w:lang w:bidi="ar-EG"/>
        </w:rPr>
        <w:t>أيام في عام</w:t>
      </w:r>
      <w:r w:rsidRPr="006204D5">
        <w:rPr>
          <w:rFonts w:ascii="Arabic Typesetting" w:hAnsi="Arabic Typesetting" w:cs="Arabic Typesetting" w:hint="eastAsia"/>
          <w:sz w:val="34"/>
          <w:szCs w:val="34"/>
          <w:rtl/>
          <w:lang w:bidi="ar-EG"/>
        </w:rPr>
        <w:t> </w:t>
      </w:r>
      <w:r w:rsidRPr="006204D5">
        <w:rPr>
          <w:rFonts w:ascii="Arabic Typesetting" w:hAnsi="Arabic Typesetting" w:cs="Arabic Typesetting" w:hint="cs"/>
          <w:sz w:val="34"/>
          <w:szCs w:val="34"/>
          <w:rtl/>
          <w:lang w:bidi="ar-EG"/>
        </w:rPr>
        <w:t>2014 (زيادة بيوم واحد على ممارسة الأمم المتحدة البالغة خمسة أيام). وتلك الزيادة ناجمة، جزئيا، عن إطلاق التدريب الخاص بإ</w:t>
      </w:r>
      <w:r w:rsidRPr="00E52F29">
        <w:rPr>
          <w:rFonts w:ascii="Arabic Typesetting" w:hAnsi="Arabic Typesetting" w:cs="Arabic Typesetting" w:hint="cs"/>
          <w:sz w:val="34"/>
          <w:szCs w:val="34"/>
          <w:rtl/>
          <w:lang w:bidi="ar-EG"/>
        </w:rPr>
        <w:t>دارة النزاعات في عام</w:t>
      </w:r>
      <w:r w:rsidRPr="00155CBF">
        <w:rPr>
          <w:rFonts w:ascii="Arabic Typesetting" w:hAnsi="Arabic Typesetting" w:cs="Arabic Typesetting" w:hint="eastAsia"/>
          <w:sz w:val="34"/>
          <w:szCs w:val="34"/>
          <w:rtl/>
          <w:lang w:bidi="ar-EG"/>
        </w:rPr>
        <w:t> </w:t>
      </w:r>
      <w:r w:rsidRPr="00B61F74">
        <w:rPr>
          <w:rFonts w:ascii="Arabic Typesetting" w:hAnsi="Arabic Typesetting" w:cs="Arabic Typesetting" w:hint="cs"/>
          <w:sz w:val="34"/>
          <w:szCs w:val="34"/>
          <w:rtl/>
          <w:lang w:bidi="ar-EG"/>
        </w:rPr>
        <w:t xml:space="preserve">2015، </w:t>
      </w:r>
      <w:r w:rsidR="00925848">
        <w:rPr>
          <w:rFonts w:ascii="Arabic Typesetting" w:hAnsi="Arabic Typesetting" w:cs="Arabic Typesetting" w:hint="cs"/>
          <w:sz w:val="34"/>
          <w:szCs w:val="34"/>
          <w:rtl/>
          <w:lang w:bidi="ar-EG"/>
        </w:rPr>
        <w:t>شارك فيه نصف</w:t>
      </w:r>
      <w:r w:rsidRPr="00B61F74">
        <w:rPr>
          <w:rFonts w:ascii="Arabic Typesetting" w:hAnsi="Arabic Typesetting" w:cs="Arabic Typesetting" w:hint="cs"/>
          <w:sz w:val="34"/>
          <w:szCs w:val="34"/>
          <w:rtl/>
          <w:lang w:bidi="ar-EG"/>
        </w:rPr>
        <w:t xml:space="preserve"> موظفي الويبو</w:t>
      </w:r>
      <w:r w:rsidR="00925848">
        <w:rPr>
          <w:rFonts w:ascii="Arabic Typesetting" w:hAnsi="Arabic Typesetting" w:cs="Arabic Typesetting" w:hint="cs"/>
          <w:sz w:val="34"/>
          <w:szCs w:val="34"/>
          <w:rtl/>
          <w:lang w:bidi="ar-EG"/>
        </w:rPr>
        <w:t xml:space="preserve"> تقريباً</w:t>
      </w:r>
      <w:r w:rsidRPr="006204D5">
        <w:rPr>
          <w:rFonts w:ascii="Arabic Typesetting" w:hAnsi="Arabic Typesetting" w:cs="Arabic Typesetting"/>
          <w:sz w:val="34"/>
          <w:szCs w:val="34"/>
          <w:rtl/>
          <w:lang w:bidi="ar-EG"/>
        </w:rPr>
        <w:t>.</w:t>
      </w:r>
    </w:p>
    <w:p w:rsidR="004226D7" w:rsidRPr="000429DF" w:rsidRDefault="004226D7" w:rsidP="009A3712">
      <w:pPr>
        <w:keepLines/>
        <w:numPr>
          <w:ilvl w:val="0"/>
          <w:numId w:val="40"/>
        </w:numPr>
        <w:tabs>
          <w:tab w:val="left" w:pos="625"/>
        </w:tabs>
        <w:bidi/>
        <w:spacing w:after="120" w:line="340" w:lineRule="exact"/>
        <w:ind w:left="0" w:firstLine="0"/>
        <w:jc w:val="both"/>
        <w:rPr>
          <w:rFonts w:ascii="Arabic Typesetting" w:hAnsi="Arabic Typesetting" w:cs="Arabic Typesetting"/>
          <w:sz w:val="34"/>
          <w:szCs w:val="34"/>
          <w:lang w:bidi="ar-EG"/>
        </w:rPr>
      </w:pPr>
      <w:r w:rsidRPr="000429DF">
        <w:rPr>
          <w:rFonts w:ascii="Arabic Typesetting" w:hAnsi="Arabic Typesetting" w:cs="Arabic Typesetting" w:hint="cs"/>
          <w:sz w:val="34"/>
          <w:szCs w:val="34"/>
          <w:rtl/>
          <w:lang w:bidi="ar-EG"/>
        </w:rPr>
        <w:t>وفي سياق نشر سياسة الموارد البشرية وعقب أول تعديل شامل لنظام الموظفين ولائحته منذ أكثر من 40</w:t>
      </w:r>
      <w:r w:rsidRPr="000429DF">
        <w:rPr>
          <w:rFonts w:ascii="Arabic Typesetting" w:hAnsi="Arabic Typesetting" w:cs="Arabic Typesetting" w:hint="eastAsia"/>
          <w:sz w:val="34"/>
          <w:szCs w:val="34"/>
          <w:rtl/>
          <w:lang w:bidi="ar-EG"/>
        </w:rPr>
        <w:t> </w:t>
      </w:r>
      <w:r w:rsidRPr="000429DF">
        <w:rPr>
          <w:rFonts w:ascii="Arabic Typesetting" w:hAnsi="Arabic Typesetting" w:cs="Arabic Typesetting" w:hint="cs"/>
          <w:sz w:val="34"/>
          <w:szCs w:val="34"/>
          <w:rtl/>
          <w:lang w:bidi="ar-EG"/>
        </w:rPr>
        <w:t>عاما في عام</w:t>
      </w:r>
      <w:r w:rsidRPr="000429DF">
        <w:rPr>
          <w:rFonts w:ascii="Arabic Typesetting" w:hAnsi="Arabic Typesetting" w:cs="Arabic Typesetting" w:hint="eastAsia"/>
          <w:sz w:val="34"/>
          <w:szCs w:val="34"/>
          <w:rtl/>
          <w:lang w:bidi="ar-EG"/>
        </w:rPr>
        <w:t> </w:t>
      </w:r>
      <w:r w:rsidRPr="000429DF">
        <w:rPr>
          <w:rFonts w:ascii="Arabic Typesetting" w:hAnsi="Arabic Typesetting" w:cs="Arabic Typesetting" w:hint="cs"/>
          <w:sz w:val="34"/>
          <w:szCs w:val="34"/>
          <w:rtl/>
          <w:lang w:bidi="ar-EG"/>
        </w:rPr>
        <w:t>2012، اضطُلع بمراجعات وتسويات أخرى للنظام واللائحة طيلة عامي</w:t>
      </w:r>
      <w:r w:rsidRPr="000429DF">
        <w:rPr>
          <w:rFonts w:ascii="Arabic Typesetting" w:hAnsi="Arabic Typesetting" w:cs="Arabic Typesetting" w:hint="eastAsia"/>
          <w:sz w:val="34"/>
          <w:szCs w:val="34"/>
          <w:rtl/>
          <w:lang w:bidi="ar-EG"/>
        </w:rPr>
        <w:t> </w:t>
      </w:r>
      <w:r w:rsidRPr="000429DF">
        <w:rPr>
          <w:rFonts w:ascii="Arabic Typesetting" w:hAnsi="Arabic Typesetting" w:cs="Arabic Typesetting" w:hint="cs"/>
          <w:sz w:val="34"/>
          <w:szCs w:val="34"/>
          <w:rtl/>
          <w:lang w:bidi="ar-EG"/>
        </w:rPr>
        <w:t xml:space="preserve">2014 و2015 وأنشئ الإطار </w:t>
      </w:r>
      <w:r w:rsidR="00E52F29" w:rsidRPr="000429DF">
        <w:rPr>
          <w:rFonts w:ascii="Arabic Typesetting" w:hAnsi="Arabic Typesetting" w:cs="Arabic Typesetting" w:hint="cs"/>
          <w:sz w:val="34"/>
          <w:szCs w:val="34"/>
          <w:rtl/>
          <w:lang w:bidi="ar-EG"/>
        </w:rPr>
        <w:t>ذ</w:t>
      </w:r>
      <w:r w:rsidR="00E52F29">
        <w:rPr>
          <w:rFonts w:ascii="Arabic Typesetting" w:hAnsi="Arabic Typesetting" w:cs="Arabic Typesetting" w:hint="cs"/>
          <w:sz w:val="34"/>
          <w:szCs w:val="34"/>
          <w:rtl/>
          <w:lang w:bidi="ar-EG"/>
        </w:rPr>
        <w:t>و</w:t>
      </w:r>
      <w:r w:rsidR="00E52F29" w:rsidRPr="000429DF">
        <w:rPr>
          <w:rFonts w:ascii="Arabic Typesetting" w:hAnsi="Arabic Typesetting" w:cs="Arabic Typesetting" w:hint="cs"/>
          <w:sz w:val="34"/>
          <w:szCs w:val="34"/>
          <w:rtl/>
          <w:lang w:bidi="ar-EG"/>
        </w:rPr>
        <w:t xml:space="preserve"> </w:t>
      </w:r>
      <w:r w:rsidRPr="000429DF">
        <w:rPr>
          <w:rFonts w:ascii="Arabic Typesetting" w:hAnsi="Arabic Typesetting" w:cs="Arabic Typesetting" w:hint="cs"/>
          <w:sz w:val="34"/>
          <w:szCs w:val="34"/>
          <w:rtl/>
          <w:lang w:bidi="ar-EG"/>
        </w:rPr>
        <w:t>الصلة لسياسة الموارد البشرية. ومكّنت التغييرات المُدخلة خلال الثنائية الويبو من الحفاظ على إطار تنظيمي سليم ومتسق مع أفضل الممارسات في نظام الأمم المتحدة الموحد ومكيّف تماما لدعم احتياجات المنظمة وأولوياتها المتغيرة. وفي عام</w:t>
      </w:r>
      <w:r w:rsidRPr="000429DF">
        <w:rPr>
          <w:rFonts w:ascii="Arabic Typesetting" w:hAnsi="Arabic Typesetting" w:cs="Arabic Typesetting" w:hint="eastAsia"/>
          <w:sz w:val="34"/>
          <w:szCs w:val="34"/>
          <w:rtl/>
          <w:lang w:bidi="ar-EG"/>
        </w:rPr>
        <w:t> </w:t>
      </w:r>
      <w:r w:rsidRPr="000429DF">
        <w:rPr>
          <w:rFonts w:ascii="Arabic Typesetting" w:hAnsi="Arabic Typesetting" w:cs="Arabic Typesetting" w:hint="cs"/>
          <w:sz w:val="34"/>
          <w:szCs w:val="34"/>
          <w:rtl/>
          <w:lang w:bidi="ar-EG"/>
        </w:rPr>
        <w:t>2014، أدرجت فئة الموظفين الفنيين الوطنيين في نظام الموظفين ولائحته لتلبية احتياجات مكاتب الويبو الخارجية. وشهد عام</w:t>
      </w:r>
      <w:r w:rsidRPr="000429DF">
        <w:rPr>
          <w:rFonts w:ascii="Arabic Typesetting" w:hAnsi="Arabic Typesetting" w:cs="Arabic Typesetting" w:hint="eastAsia"/>
          <w:sz w:val="34"/>
          <w:szCs w:val="34"/>
          <w:rtl/>
          <w:lang w:bidi="ar-EG"/>
        </w:rPr>
        <w:t> </w:t>
      </w:r>
      <w:r w:rsidRPr="000429DF">
        <w:rPr>
          <w:rFonts w:ascii="Arabic Typesetting" w:hAnsi="Arabic Typesetting" w:cs="Arabic Typesetting" w:hint="cs"/>
          <w:sz w:val="34"/>
          <w:szCs w:val="34"/>
          <w:rtl/>
          <w:lang w:bidi="ar-EG"/>
        </w:rPr>
        <w:t>2015 تعيين أول موظف من تلك الفئة في مكتب الويبو في البرازيل.</w:t>
      </w:r>
    </w:p>
    <w:p w:rsidR="004226D7" w:rsidRPr="000429DF" w:rsidRDefault="004226D7" w:rsidP="009A3712">
      <w:pPr>
        <w:numPr>
          <w:ilvl w:val="0"/>
          <w:numId w:val="40"/>
        </w:numPr>
        <w:tabs>
          <w:tab w:val="left" w:pos="265"/>
        </w:tabs>
        <w:bidi/>
        <w:spacing w:after="120" w:line="340" w:lineRule="exact"/>
        <w:ind w:left="0" w:firstLine="0"/>
        <w:jc w:val="both"/>
        <w:rPr>
          <w:rFonts w:ascii="Arabic Typesetting" w:hAnsi="Arabic Typesetting" w:cs="Arabic Typesetting"/>
          <w:sz w:val="34"/>
          <w:szCs w:val="34"/>
          <w:lang w:bidi="ar-EG"/>
        </w:rPr>
      </w:pPr>
      <w:r w:rsidRPr="000429DF">
        <w:rPr>
          <w:rFonts w:ascii="Arabic Typesetting" w:hAnsi="Arabic Typesetting" w:cs="Arabic Typesetting"/>
          <w:sz w:val="34"/>
          <w:szCs w:val="34"/>
          <w:rtl/>
          <w:lang w:bidi="ar-EG"/>
        </w:rPr>
        <w:lastRenderedPageBreak/>
        <w:t>وأُنشئ الفريق الاستشاري المشترك الجديد، الذي توفر له إدارةُ الموارد البشرية الأمانةَ، في يونيو</w:t>
      </w:r>
      <w:r w:rsidRPr="000429DF">
        <w:rPr>
          <w:rFonts w:ascii="Arabic Typesetting" w:hAnsi="Arabic Typesetting" w:cs="Arabic Typesetting" w:hint="cs"/>
          <w:sz w:val="34"/>
          <w:szCs w:val="34"/>
          <w:rtl/>
          <w:lang w:bidi="ar-EG"/>
        </w:rPr>
        <w:t> </w:t>
      </w:r>
      <w:r w:rsidRPr="000429DF">
        <w:rPr>
          <w:rFonts w:ascii="Arabic Typesetting" w:hAnsi="Arabic Typesetting" w:cs="Arabic Typesetting"/>
          <w:sz w:val="34"/>
          <w:szCs w:val="34"/>
          <w:rtl/>
          <w:lang w:bidi="ar-EG"/>
        </w:rPr>
        <w:t xml:space="preserve">2014 لتقديم المشورة إلى المدير العام بشأن مسائل الموظفين أو المسائل الإدارية. ويجوز للموظفين توجيه عريضة مباشرة إلى الفريق الاستشاري المشترك، </w:t>
      </w:r>
      <w:r w:rsidRPr="000429DF">
        <w:rPr>
          <w:rFonts w:ascii="Arabic Typesetting" w:hAnsi="Arabic Typesetting" w:cs="Arabic Typesetting" w:hint="cs"/>
          <w:sz w:val="34"/>
          <w:szCs w:val="34"/>
          <w:rtl/>
          <w:lang w:bidi="ar-EG"/>
        </w:rPr>
        <w:t>مما</w:t>
      </w:r>
      <w:r w:rsidRPr="000429DF">
        <w:rPr>
          <w:rFonts w:ascii="Arabic Typesetting" w:hAnsi="Arabic Typesetting" w:cs="Arabic Typesetting" w:hint="eastAsia"/>
          <w:sz w:val="34"/>
          <w:szCs w:val="34"/>
          <w:rtl/>
          <w:lang w:bidi="ar-EG"/>
        </w:rPr>
        <w:t> </w:t>
      </w:r>
      <w:r w:rsidRPr="000429DF">
        <w:rPr>
          <w:rFonts w:ascii="Arabic Typesetting" w:hAnsi="Arabic Typesetting" w:cs="Arabic Typesetting" w:hint="cs"/>
          <w:sz w:val="34"/>
          <w:szCs w:val="34"/>
          <w:rtl/>
          <w:lang w:bidi="ar-EG"/>
        </w:rPr>
        <w:t>يتيح</w:t>
      </w:r>
      <w:r w:rsidRPr="000429DF">
        <w:rPr>
          <w:rFonts w:ascii="Arabic Typesetting" w:hAnsi="Arabic Typesetting" w:cs="Arabic Typesetting"/>
          <w:sz w:val="34"/>
          <w:szCs w:val="34"/>
          <w:rtl/>
          <w:lang w:bidi="ar-EG"/>
        </w:rPr>
        <w:t xml:space="preserve"> قناة إضافية للتواصل بين الموظفين والإدارة.</w:t>
      </w:r>
    </w:p>
    <w:p w:rsidR="004226D7" w:rsidRPr="000429DF" w:rsidRDefault="004226D7" w:rsidP="004226D7">
      <w:pPr>
        <w:keepNext/>
        <w:bidi/>
        <w:spacing w:after="120" w:line="340" w:lineRule="exact"/>
        <w:rPr>
          <w:rFonts w:ascii="Arabic Typesetting" w:hAnsi="Arabic Typesetting" w:cs="Arabic Typesetting"/>
          <w:sz w:val="34"/>
          <w:szCs w:val="36"/>
          <w:rtl/>
          <w:lang w:bidi="ar-EG"/>
        </w:rPr>
      </w:pPr>
      <w:r w:rsidRPr="000429DF">
        <w:rPr>
          <w:rFonts w:ascii="Arabic Typesetting" w:hAnsi="Arabic Typesetting" w:cs="Arabic Typesetting"/>
          <w:sz w:val="34"/>
          <w:szCs w:val="34"/>
          <w:rtl/>
          <w:lang w:bidi="ar-EG"/>
        </w:rPr>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794"/>
        <w:gridCol w:w="2742"/>
        <w:gridCol w:w="1705"/>
        <w:gridCol w:w="2270"/>
        <w:gridCol w:w="846"/>
      </w:tblGrid>
      <w:tr w:rsidR="004226D7" w:rsidRPr="000429DF" w:rsidTr="00B31F9D">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4226D7" w:rsidRPr="000429DF" w:rsidRDefault="004226D7" w:rsidP="00285760">
            <w:pPr>
              <w:keepNext/>
              <w:bidi/>
              <w:spacing w:after="60" w:line="280" w:lineRule="exact"/>
              <w:ind w:left="1167" w:hanging="1167"/>
              <w:rPr>
                <w:rFonts w:ascii="Arabic Typesetting" w:hAnsi="Arabic Typesetting" w:cs="Arabic Typesetting"/>
                <w:bCs/>
                <w:sz w:val="28"/>
                <w:szCs w:val="28"/>
                <w:lang w:bidi="ar-EG"/>
              </w:rPr>
            </w:pPr>
            <w:r w:rsidRPr="000429DF">
              <w:rPr>
                <w:rFonts w:ascii="Arabic Typesetting" w:hAnsi="Arabic Typesetting" w:cs="Arabic Typesetting"/>
                <w:bCs/>
                <w:sz w:val="28"/>
                <w:szCs w:val="28"/>
                <w:rtl/>
                <w:lang w:bidi="ar-EG"/>
              </w:rPr>
              <w:t>النتيجة المرتقبة</w:t>
            </w:r>
            <w:r w:rsidRPr="000429DF">
              <w:rPr>
                <w:rFonts w:ascii="Arabic Typesetting" w:hAnsi="Arabic Typesetting" w:cs="Arabic Typesetting"/>
                <w:bCs/>
                <w:sz w:val="28"/>
                <w:szCs w:val="28"/>
                <w:lang w:bidi="ar-EG"/>
              </w:rPr>
              <w:t>:</w:t>
            </w:r>
            <w:r w:rsidRPr="000429DF">
              <w:rPr>
                <w:rFonts w:ascii="Arabic Typesetting" w:hAnsi="Arabic Typesetting" w:cs="Arabic Typesetting"/>
                <w:bCs/>
                <w:sz w:val="28"/>
                <w:szCs w:val="28"/>
                <w:lang w:bidi="ar-EG"/>
              </w:rPr>
              <w:tab/>
            </w:r>
            <w:r w:rsidRPr="000429DF">
              <w:rPr>
                <w:rFonts w:ascii="Arabic Typesetting" w:hAnsi="Arabic Typesetting" w:cs="Arabic Typesetting"/>
                <w:b/>
                <w:sz w:val="28"/>
                <w:szCs w:val="28"/>
                <w:rtl/>
                <w:lang w:bidi="ar-EG"/>
              </w:rPr>
              <w:t xml:space="preserve">ھ1.9 </w:t>
            </w:r>
            <w:r w:rsidR="003F15BC">
              <w:rPr>
                <w:rFonts w:ascii="Arabic Typesetting" w:hAnsi="Arabic Typesetting" w:cs="Arabic Typesetting"/>
                <w:b/>
                <w:sz w:val="28"/>
                <w:szCs w:val="28"/>
                <w:rtl/>
                <w:lang w:bidi="ar-EG"/>
              </w:rPr>
              <w:t>خدمات دعم فعالة وناجعة وذات جودة موجهة نحو الزبائن لفائدة الزبائن الداخليين وأصحاب المصالح الخارجيين</w:t>
            </w:r>
          </w:p>
        </w:tc>
      </w:tr>
      <w:tr w:rsidR="004226D7" w:rsidRPr="000429DF" w:rsidTr="00B31F9D">
        <w:trPr>
          <w:cantSplit/>
        </w:trPr>
        <w:tc>
          <w:tcPr>
            <w:tcW w:w="959" w:type="pct"/>
            <w:tcBorders>
              <w:top w:val="single" w:sz="4" w:space="0" w:color="auto"/>
            </w:tcBorders>
            <w:shd w:val="clear" w:color="auto" w:fill="auto"/>
            <w:vAlign w:val="cente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b/>
                <w:bCs/>
                <w:sz w:val="28"/>
                <w:szCs w:val="28"/>
                <w:rtl/>
              </w:rPr>
              <w:t>مؤشرات الأداء</w:t>
            </w:r>
          </w:p>
        </w:tc>
        <w:tc>
          <w:tcPr>
            <w:tcW w:w="1465" w:type="pct"/>
            <w:tcBorders>
              <w:top w:val="single" w:sz="4" w:space="0" w:color="auto"/>
            </w:tcBorders>
            <w:shd w:val="clear" w:color="auto" w:fill="auto"/>
            <w:vAlign w:val="center"/>
          </w:tcPr>
          <w:p w:rsidR="004226D7" w:rsidRPr="000429DF" w:rsidRDefault="004226D7" w:rsidP="00E16D63">
            <w:pPr>
              <w:bidi/>
              <w:spacing w:before="60" w:after="60" w:line="280" w:lineRule="exact"/>
              <w:rPr>
                <w:rFonts w:ascii="Arabic Typesetting" w:hAnsi="Arabic Typesetting" w:cs="Arabic Typesetting"/>
                <w:b/>
                <w:bCs/>
                <w:sz w:val="28"/>
                <w:szCs w:val="28"/>
              </w:rPr>
            </w:pPr>
            <w:r w:rsidRPr="000429DF">
              <w:rPr>
                <w:rFonts w:ascii="Arabic Typesetting" w:hAnsi="Arabic Typesetting" w:cs="Arabic Typesetting"/>
                <w:b/>
                <w:bCs/>
                <w:sz w:val="28"/>
                <w:szCs w:val="28"/>
                <w:rtl/>
              </w:rPr>
              <w:t>أسس المقارنة</w:t>
            </w:r>
          </w:p>
        </w:tc>
        <w:tc>
          <w:tcPr>
            <w:tcW w:w="911" w:type="pct"/>
            <w:tcBorders>
              <w:top w:val="single" w:sz="4" w:space="0" w:color="auto"/>
            </w:tcBorders>
            <w:shd w:val="clear" w:color="auto" w:fill="auto"/>
            <w:tcMar>
              <w:top w:w="110" w:type="dxa"/>
            </w:tcMar>
            <w:vAlign w:val="center"/>
          </w:tcPr>
          <w:p w:rsidR="004226D7" w:rsidRPr="000429DF" w:rsidRDefault="004226D7" w:rsidP="00E16D63">
            <w:pPr>
              <w:bidi/>
              <w:spacing w:before="60" w:after="60" w:line="280" w:lineRule="exact"/>
              <w:rPr>
                <w:rFonts w:ascii="Arabic Typesetting" w:hAnsi="Arabic Typesetting" w:cs="Arabic Typesetting"/>
                <w:bCs/>
                <w:sz w:val="28"/>
                <w:szCs w:val="28"/>
              </w:rPr>
            </w:pPr>
            <w:r w:rsidRPr="000429DF">
              <w:rPr>
                <w:rFonts w:ascii="Arabic Typesetting" w:hAnsi="Arabic Typesetting" w:cs="Arabic Typesetting"/>
                <w:bCs/>
                <w:sz w:val="28"/>
                <w:szCs w:val="28"/>
                <w:rtl/>
              </w:rPr>
              <w:t>الأهداف</w:t>
            </w:r>
          </w:p>
        </w:tc>
        <w:tc>
          <w:tcPr>
            <w:tcW w:w="1213" w:type="pct"/>
            <w:tcBorders>
              <w:top w:val="single" w:sz="4" w:space="0" w:color="auto"/>
            </w:tcBorders>
            <w:shd w:val="clear" w:color="auto" w:fill="FFFFFF"/>
            <w:tcMar>
              <w:top w:w="110" w:type="dxa"/>
            </w:tcMar>
            <w:vAlign w:val="cente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b/>
                <w:bCs/>
                <w:sz w:val="28"/>
                <w:szCs w:val="28"/>
                <w:rtl/>
              </w:rPr>
              <w:t>بيانات الأداء</w:t>
            </w:r>
          </w:p>
        </w:tc>
        <w:tc>
          <w:tcPr>
            <w:tcW w:w="452" w:type="pct"/>
            <w:tcBorders>
              <w:top w:val="single" w:sz="4" w:space="0" w:color="auto"/>
            </w:tcBorders>
            <w:shd w:val="clear" w:color="auto" w:fill="auto"/>
            <w:tcMar>
              <w:top w:w="110" w:type="dxa"/>
            </w:tcMar>
            <w:vAlign w:val="center"/>
          </w:tcPr>
          <w:p w:rsidR="004226D7" w:rsidRPr="000429DF" w:rsidRDefault="004226D7" w:rsidP="00E16D63">
            <w:pPr>
              <w:bidi/>
              <w:spacing w:before="60" w:after="60" w:line="280" w:lineRule="exact"/>
              <w:jc w:val="center"/>
              <w:rPr>
                <w:rFonts w:ascii="Arabic Typesetting" w:hAnsi="Arabic Typesetting" w:cs="Arabic Typesetting"/>
                <w:b/>
                <w:bCs/>
                <w:sz w:val="28"/>
                <w:szCs w:val="28"/>
              </w:rPr>
            </w:pPr>
            <w:r w:rsidRPr="000429DF">
              <w:rPr>
                <w:rFonts w:ascii="Arabic Typesetting" w:hAnsi="Arabic Typesetting" w:cs="Arabic Typesetting"/>
                <w:b/>
                <w:bCs/>
                <w:sz w:val="28"/>
                <w:szCs w:val="28"/>
                <w:rtl/>
              </w:rPr>
              <w:t>السير</w:t>
            </w:r>
          </w:p>
        </w:tc>
      </w:tr>
      <w:tr w:rsidR="004226D7" w:rsidRPr="000429DF" w:rsidTr="00B31F9D">
        <w:trPr>
          <w:cantSplit/>
        </w:trPr>
        <w:tc>
          <w:tcPr>
            <w:tcW w:w="959" w:type="pct"/>
            <w:shd w:val="clear" w:color="auto" w:fill="auto"/>
          </w:tcPr>
          <w:p w:rsidR="004226D7" w:rsidRPr="000429DF" w:rsidRDefault="004226D7" w:rsidP="00E16D63">
            <w:pPr>
              <w:bidi/>
              <w:spacing w:before="60" w:after="60" w:line="280" w:lineRule="exact"/>
              <w:rPr>
                <w:rFonts w:ascii="Arabic Typesetting" w:hAnsi="Arabic Typesetting" w:cs="Arabic Typesetting"/>
                <w:sz w:val="28"/>
                <w:szCs w:val="28"/>
                <w:rtl/>
                <w:lang w:bidi="ar-EG"/>
              </w:rPr>
            </w:pPr>
            <w:r w:rsidRPr="000429DF">
              <w:rPr>
                <w:rFonts w:ascii="Arabic Typesetting" w:hAnsi="Arabic Typesetting" w:cs="Arabic Typesetting"/>
                <w:sz w:val="28"/>
                <w:szCs w:val="28"/>
                <w:rtl/>
              </w:rPr>
              <w:t>النسبة المئوية للموظفين الراضين عن خدمات الموارد البشرية</w:t>
            </w:r>
          </w:p>
        </w:tc>
        <w:tc>
          <w:tcPr>
            <w:tcW w:w="1465" w:type="pct"/>
            <w:shd w:val="clear" w:color="auto" w:fill="auto"/>
          </w:tcPr>
          <w:p w:rsidR="004226D7" w:rsidRPr="000429DF" w:rsidRDefault="004226D7" w:rsidP="00E16D63">
            <w:pPr>
              <w:bidi/>
              <w:spacing w:before="60" w:after="60" w:line="280" w:lineRule="exact"/>
              <w:rPr>
                <w:rFonts w:ascii="Arabic Typesetting" w:hAnsi="Arabic Typesetting" w:cs="Arabic Typesetting"/>
                <w:color w:val="002060"/>
                <w:sz w:val="28"/>
                <w:szCs w:val="28"/>
                <w:lang w:bidi="th-TH"/>
              </w:rPr>
            </w:pPr>
            <w:r w:rsidRPr="000429DF">
              <w:rPr>
                <w:rFonts w:ascii="Arabic Typesetting" w:hAnsi="Arabic Typesetting" w:cs="Arabic Typesetting"/>
                <w:iCs/>
                <w:color w:val="002060"/>
                <w:sz w:val="28"/>
                <w:szCs w:val="28"/>
                <w:rtl/>
              </w:rPr>
              <w:t>أساس المقارنة المُحدَّث في نهاية 2013</w:t>
            </w:r>
            <w:r w:rsidRPr="000429DF">
              <w:rPr>
                <w:rFonts w:ascii="Arabic Typesetting" w:hAnsi="Arabic Typesetting" w:cs="Arabic Typesetting" w:hint="cs"/>
                <w:iCs/>
                <w:color w:val="002060"/>
                <w:sz w:val="28"/>
                <w:szCs w:val="28"/>
                <w:rtl/>
              </w:rPr>
              <w:t>:</w:t>
            </w:r>
            <w:r w:rsidRPr="000429DF">
              <w:rPr>
                <w:rFonts w:ascii="Arabic Typesetting" w:hAnsi="Arabic Typesetting" w:cs="Arabic Typesetting" w:hint="cs"/>
                <w:i/>
                <w:color w:val="002060"/>
                <w:sz w:val="28"/>
                <w:szCs w:val="28"/>
                <w:rtl/>
              </w:rPr>
              <w:t xml:space="preserve"> </w:t>
            </w:r>
            <w:r w:rsidRPr="000429DF">
              <w:rPr>
                <w:rFonts w:ascii="Arabic Typesetting" w:hAnsi="Arabic Typesetting" w:cs="Arabic Typesetting"/>
                <w:color w:val="002060"/>
                <w:sz w:val="28"/>
                <w:szCs w:val="28"/>
                <w:rtl/>
              </w:rPr>
              <w:t>راضون للغاية: 31.2%</w:t>
            </w:r>
          </w:p>
          <w:p w:rsidR="004226D7" w:rsidRPr="000429DF" w:rsidRDefault="004226D7" w:rsidP="00E16D63">
            <w:pPr>
              <w:bidi/>
              <w:spacing w:before="60" w:after="60" w:line="280" w:lineRule="exact"/>
              <w:rPr>
                <w:rFonts w:ascii="Arabic Typesetting" w:hAnsi="Arabic Typesetting" w:cs="Arabic Typesetting"/>
                <w:color w:val="002060"/>
                <w:sz w:val="28"/>
                <w:szCs w:val="28"/>
                <w:lang w:bidi="th-TH"/>
              </w:rPr>
            </w:pPr>
            <w:r w:rsidRPr="000429DF">
              <w:rPr>
                <w:rFonts w:ascii="Arabic Typesetting" w:hAnsi="Arabic Typesetting" w:cs="Arabic Typesetting"/>
                <w:color w:val="002060"/>
                <w:sz w:val="28"/>
                <w:szCs w:val="28"/>
                <w:rtl/>
              </w:rPr>
              <w:t>راضون: 46.2%</w:t>
            </w:r>
          </w:p>
          <w:p w:rsidR="004226D7" w:rsidRPr="000429DF" w:rsidRDefault="004226D7" w:rsidP="00E16D63">
            <w:pPr>
              <w:bidi/>
              <w:spacing w:before="60" w:after="60" w:line="280" w:lineRule="exact"/>
              <w:rPr>
                <w:rFonts w:ascii="Arabic Typesetting" w:hAnsi="Arabic Typesetting" w:cs="Arabic Typesetting"/>
                <w:color w:val="002060"/>
                <w:sz w:val="28"/>
                <w:szCs w:val="28"/>
                <w:lang w:bidi="th-TH"/>
              </w:rPr>
            </w:pPr>
            <w:r w:rsidRPr="000429DF">
              <w:rPr>
                <w:rFonts w:ascii="Arabic Typesetting" w:hAnsi="Arabic Typesetting" w:cs="Arabic Typesetting"/>
                <w:color w:val="002060"/>
                <w:sz w:val="28"/>
                <w:szCs w:val="28"/>
                <w:rtl/>
              </w:rPr>
              <w:t>غير راضين: 18.9%</w:t>
            </w:r>
          </w:p>
          <w:p w:rsidR="004226D7" w:rsidRPr="000429DF" w:rsidRDefault="004226D7" w:rsidP="00E16D63">
            <w:pPr>
              <w:bidi/>
              <w:spacing w:before="60" w:after="60" w:line="280" w:lineRule="exact"/>
              <w:rPr>
                <w:rFonts w:ascii="Arabic Typesetting" w:hAnsi="Arabic Typesetting" w:cs="Arabic Typesetting"/>
                <w:i/>
                <w:color w:val="002060"/>
                <w:sz w:val="28"/>
                <w:szCs w:val="28"/>
              </w:rPr>
            </w:pPr>
            <w:r w:rsidRPr="000429DF">
              <w:rPr>
                <w:rFonts w:ascii="Arabic Typesetting" w:hAnsi="Arabic Typesetting" w:cs="Arabic Typesetting"/>
                <w:color w:val="002060"/>
                <w:sz w:val="28"/>
                <w:szCs w:val="28"/>
                <w:rtl/>
              </w:rPr>
              <w:t>غير راضين للغاية: 3.7%</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iCs/>
                <w:sz w:val="28"/>
                <w:szCs w:val="28"/>
                <w:rtl/>
              </w:rPr>
              <w:t>أساس المقارنة الأصلي في البرنامج والميزانية 2014/15</w:t>
            </w:r>
            <w:r w:rsidRPr="000429DF">
              <w:rPr>
                <w:rFonts w:ascii="Arabic Typesetting" w:hAnsi="Arabic Typesetting" w:cs="Arabic Typesetting" w:hint="cs"/>
                <w:iCs/>
                <w:sz w:val="28"/>
                <w:szCs w:val="28"/>
                <w:rtl/>
              </w:rPr>
              <w:t>:</w:t>
            </w:r>
            <w:r w:rsidRPr="000429DF">
              <w:rPr>
                <w:rFonts w:ascii="Arabic Typesetting" w:hAnsi="Arabic Typesetting" w:cs="Arabic Typesetting" w:hint="cs"/>
                <w:i/>
                <w:sz w:val="28"/>
                <w:szCs w:val="28"/>
                <w:rtl/>
              </w:rPr>
              <w:t xml:space="preserve"> </w:t>
            </w:r>
            <w:r w:rsidRPr="000429DF">
              <w:rPr>
                <w:rFonts w:ascii="Arabic Typesetting" w:hAnsi="Arabic Typesetting" w:cs="Arabic Typesetting"/>
                <w:sz w:val="28"/>
                <w:szCs w:val="28"/>
                <w:rtl/>
              </w:rPr>
              <w:t>راضون للغاية: 31.2%</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راضون: 48.8%</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غير راضين: 17.1%</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غير راضين للغاية: 2.9%</w:t>
            </w:r>
          </w:p>
        </w:tc>
        <w:tc>
          <w:tcPr>
            <w:tcW w:w="911"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lang w:bidi="th-TH"/>
              </w:rPr>
            </w:pPr>
            <w:r w:rsidRPr="000429DF">
              <w:rPr>
                <w:rFonts w:ascii="Arabic Typesetting" w:hAnsi="Arabic Typesetting" w:cs="Arabic Typesetting"/>
                <w:sz w:val="28"/>
                <w:szCs w:val="28"/>
                <w:rtl/>
              </w:rPr>
              <w:t>85% راضون للغاية أو راضون</w:t>
            </w:r>
          </w:p>
        </w:tc>
        <w:tc>
          <w:tcPr>
            <w:tcW w:w="1213" w:type="pct"/>
            <w:shd w:val="clear" w:color="auto" w:fill="FFFFFF"/>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لم يُجر أي استقصاء في 2014/15.</w:t>
            </w:r>
          </w:p>
        </w:tc>
        <w:tc>
          <w:tcPr>
            <w:tcW w:w="452" w:type="pct"/>
            <w:shd w:val="clear" w:color="auto" w:fill="auto"/>
            <w:tcMar>
              <w:top w:w="110" w:type="dxa"/>
            </w:tcMar>
          </w:tcPr>
          <w:p w:rsidR="004226D7" w:rsidRPr="000429DF" w:rsidRDefault="004226D7" w:rsidP="00E16D63">
            <w:pPr>
              <w:bidi/>
              <w:spacing w:before="60" w:after="60" w:line="280" w:lineRule="exact"/>
              <w:jc w:val="center"/>
              <w:rPr>
                <w:rFonts w:ascii="Arabic Typesetting" w:hAnsi="Arabic Typesetting" w:cs="Arabic Typesetting"/>
                <w:b/>
                <w:bCs/>
                <w:color w:val="808080"/>
                <w:sz w:val="28"/>
                <w:szCs w:val="28"/>
              </w:rPr>
            </w:pPr>
            <w:r w:rsidRPr="000429DF">
              <w:rPr>
                <w:rFonts w:ascii="Arabic Typesetting" w:hAnsi="Arabic Typesetting" w:cs="Arabic Typesetting" w:hint="cs"/>
                <w:b/>
                <w:bCs/>
                <w:color w:val="808080"/>
                <w:sz w:val="28"/>
                <w:szCs w:val="28"/>
                <w:rtl/>
              </w:rPr>
              <w:t>غير قابل للقياس</w:t>
            </w:r>
          </w:p>
        </w:tc>
      </w:tr>
      <w:tr w:rsidR="004226D7" w:rsidRPr="000429DF" w:rsidTr="00B31F9D">
        <w:trPr>
          <w:cantSplit/>
        </w:trPr>
        <w:tc>
          <w:tcPr>
            <w:tcW w:w="959" w:type="pct"/>
            <w:tcBorders>
              <w:bottom w:val="single" w:sz="4" w:space="0" w:color="auto"/>
            </w:tcBorders>
            <w:shd w:val="clear" w:color="auto" w:fill="auto"/>
          </w:tcPr>
          <w:p w:rsidR="004226D7" w:rsidRPr="000429DF" w:rsidRDefault="004226D7" w:rsidP="00E14A59">
            <w:pPr>
              <w:bidi/>
              <w:spacing w:before="60" w:after="60" w:line="280" w:lineRule="exact"/>
              <w:rPr>
                <w:rFonts w:ascii="Arabic Typesetting" w:hAnsi="Arabic Typesetting" w:cs="Arabic Typesetting"/>
                <w:sz w:val="28"/>
                <w:szCs w:val="28"/>
                <w:lang w:bidi="ar-EG"/>
              </w:rPr>
            </w:pPr>
            <w:r w:rsidRPr="000429DF">
              <w:rPr>
                <w:rFonts w:ascii="Arabic Typesetting" w:hAnsi="Arabic Typesetting" w:cs="Arabic Typesetting"/>
                <w:sz w:val="28"/>
                <w:szCs w:val="28"/>
                <w:rtl/>
              </w:rPr>
              <w:t xml:space="preserve">تقديم </w:t>
            </w:r>
            <w:r w:rsidR="00E14A59">
              <w:rPr>
                <w:rFonts w:ascii="Arabic Typesetting" w:hAnsi="Arabic Typesetting" w:cs="Arabic Typesetting" w:hint="cs"/>
                <w:sz w:val="28"/>
                <w:szCs w:val="28"/>
                <w:rtl/>
              </w:rPr>
              <w:t>عمليات الموارد البشرية ل</w:t>
            </w:r>
            <w:r w:rsidRPr="000429DF">
              <w:rPr>
                <w:rFonts w:ascii="Arabic Typesetting" w:hAnsi="Arabic Typesetting" w:cs="Arabic Typesetting"/>
                <w:sz w:val="28"/>
                <w:szCs w:val="28"/>
                <w:rtl/>
              </w:rPr>
              <w:t>خدما</w:t>
            </w:r>
            <w:r w:rsidR="00E14A59">
              <w:rPr>
                <w:rFonts w:ascii="Arabic Typesetting" w:hAnsi="Arabic Typesetting" w:cs="Arabic Typesetting"/>
                <w:sz w:val="28"/>
                <w:szCs w:val="28"/>
                <w:rtl/>
              </w:rPr>
              <w:t>ت فعالة ودقيقة في الوقت المناسب</w:t>
            </w:r>
          </w:p>
        </w:tc>
        <w:tc>
          <w:tcPr>
            <w:tcW w:w="1465" w:type="pct"/>
            <w:tcBorders>
              <w:bottom w:val="single" w:sz="4" w:space="0" w:color="auto"/>
            </w:tcBorders>
            <w:shd w:val="clear" w:color="auto" w:fill="auto"/>
          </w:tcPr>
          <w:p w:rsidR="004226D7" w:rsidRPr="000429DF" w:rsidRDefault="004226D7" w:rsidP="006D77A9">
            <w:pPr>
              <w:bidi/>
              <w:spacing w:before="60" w:after="60" w:line="280" w:lineRule="exact"/>
              <w:rPr>
                <w:rFonts w:ascii="Arabic Typesetting" w:hAnsi="Arabic Typesetting" w:cs="Arabic Typesetting"/>
                <w:sz w:val="28"/>
                <w:szCs w:val="28"/>
                <w:lang w:bidi="ar-EG"/>
              </w:rPr>
            </w:pPr>
            <w:r w:rsidRPr="000429DF">
              <w:rPr>
                <w:rFonts w:ascii="Arabic Typesetting" w:hAnsi="Arabic Typesetting" w:cs="Arabic Typesetting"/>
                <w:sz w:val="28"/>
                <w:szCs w:val="28"/>
                <w:rtl/>
              </w:rPr>
              <w:t>سبعة أيام عمل</w:t>
            </w:r>
          </w:p>
        </w:tc>
        <w:tc>
          <w:tcPr>
            <w:tcW w:w="911" w:type="pct"/>
            <w:tcBorders>
              <w:bottom w:val="single" w:sz="4" w:space="0" w:color="auto"/>
            </w:tcBorders>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خمسة أيام عمل</w:t>
            </w:r>
          </w:p>
        </w:tc>
        <w:tc>
          <w:tcPr>
            <w:tcW w:w="1213" w:type="pct"/>
            <w:tcBorders>
              <w:bottom w:val="single" w:sz="4" w:space="0" w:color="auto"/>
            </w:tcBorders>
            <w:shd w:val="clear" w:color="auto" w:fill="FFFFFF"/>
            <w:tcMar>
              <w:top w:w="110" w:type="dxa"/>
            </w:tcMar>
          </w:tcPr>
          <w:p w:rsidR="004226D7" w:rsidRPr="000429DF" w:rsidRDefault="004226D7" w:rsidP="00E52F29">
            <w:pPr>
              <w:bidi/>
              <w:spacing w:before="60" w:after="60" w:line="280" w:lineRule="exact"/>
              <w:rPr>
                <w:rFonts w:ascii="Arabic Typesetting" w:hAnsi="Arabic Typesetting" w:cs="Arabic Typesetting"/>
                <w:sz w:val="28"/>
                <w:szCs w:val="28"/>
                <w:rtl/>
              </w:rPr>
            </w:pPr>
            <w:r w:rsidRPr="000429DF">
              <w:rPr>
                <w:rFonts w:ascii="Arabic Typesetting" w:hAnsi="Arabic Typesetting" w:cs="Arabic Typesetting" w:hint="cs"/>
                <w:sz w:val="28"/>
                <w:szCs w:val="28"/>
                <w:rtl/>
              </w:rPr>
              <w:t xml:space="preserve">أجيب </w:t>
            </w:r>
            <w:r w:rsidR="00E52F29">
              <w:rPr>
                <w:rFonts w:ascii="Arabic Typesetting" w:hAnsi="Arabic Typesetting" w:cs="Arabic Typesetting" w:hint="cs"/>
                <w:sz w:val="28"/>
                <w:szCs w:val="28"/>
                <w:rtl/>
              </w:rPr>
              <w:t>عن</w:t>
            </w:r>
            <w:r w:rsidR="00E52F29" w:rsidRPr="000429DF">
              <w:rPr>
                <w:rFonts w:ascii="Arabic Typesetting" w:hAnsi="Arabic Typesetting" w:cs="Arabic Typesetting" w:hint="cs"/>
                <w:sz w:val="28"/>
                <w:szCs w:val="28"/>
                <w:rtl/>
              </w:rPr>
              <w:t xml:space="preserve"> </w:t>
            </w:r>
            <w:r w:rsidRPr="000429DF">
              <w:rPr>
                <w:rFonts w:ascii="Arabic Typesetting" w:hAnsi="Arabic Typesetting" w:cs="Arabic Typesetting" w:hint="cs"/>
                <w:sz w:val="28"/>
                <w:szCs w:val="28"/>
                <w:rtl/>
              </w:rPr>
              <w:t xml:space="preserve">100% من الاستفسارات المُسجلة في نظام </w:t>
            </w:r>
            <w:r w:rsidRPr="000429DF">
              <w:rPr>
                <w:rFonts w:ascii="Arabic Typesetting" w:hAnsi="Arabic Typesetting" w:cs="Arabic Typesetting"/>
                <w:sz w:val="28"/>
                <w:szCs w:val="28"/>
              </w:rPr>
              <w:t>WINS</w:t>
            </w:r>
            <w:r w:rsidRPr="000429DF">
              <w:rPr>
                <w:rFonts w:ascii="Arabic Typesetting" w:hAnsi="Arabic Typesetting" w:cs="Arabic Typesetting" w:hint="cs"/>
                <w:sz w:val="28"/>
                <w:szCs w:val="28"/>
                <w:rtl/>
              </w:rPr>
              <w:t xml:space="preserve"> لتعقب الخدمات في غضون خمسة أيام عمل</w:t>
            </w:r>
          </w:p>
        </w:tc>
        <w:tc>
          <w:tcPr>
            <w:tcW w:w="452" w:type="pct"/>
            <w:tcBorders>
              <w:bottom w:val="single" w:sz="4" w:space="0" w:color="auto"/>
            </w:tcBorders>
            <w:shd w:val="clear" w:color="auto" w:fill="auto"/>
            <w:tcMar>
              <w:top w:w="110" w:type="dxa"/>
            </w:tcMar>
          </w:tcPr>
          <w:p w:rsidR="004226D7" w:rsidRPr="000429DF" w:rsidRDefault="004226D7" w:rsidP="00E16D63">
            <w:pPr>
              <w:bidi/>
              <w:spacing w:before="60" w:after="60" w:line="280" w:lineRule="exact"/>
              <w:jc w:val="center"/>
              <w:rPr>
                <w:rFonts w:ascii="Arabic Typesetting" w:hAnsi="Arabic Typesetting" w:cs="Arabic Typesetting"/>
                <w:bCs/>
                <w:color w:val="00B050"/>
                <w:sz w:val="28"/>
                <w:szCs w:val="28"/>
              </w:rPr>
            </w:pPr>
            <w:r w:rsidRPr="000429DF">
              <w:rPr>
                <w:rFonts w:ascii="Arabic Typesetting" w:hAnsi="Arabic Typesetting" w:cs="Arabic Typesetting" w:hint="cs"/>
                <w:bCs/>
                <w:color w:val="00B050"/>
                <w:sz w:val="28"/>
                <w:szCs w:val="28"/>
                <w:rtl/>
              </w:rPr>
              <w:t>محقق كليا</w:t>
            </w:r>
            <w:r w:rsidR="00E52F29">
              <w:rPr>
                <w:rFonts w:ascii="Arabic Typesetting" w:hAnsi="Arabic Typesetting" w:cs="Arabic Typesetting" w:hint="cs"/>
                <w:bCs/>
                <w:color w:val="00B050"/>
                <w:sz w:val="28"/>
                <w:szCs w:val="28"/>
                <w:rtl/>
              </w:rPr>
              <w:t>ً</w:t>
            </w:r>
          </w:p>
        </w:tc>
      </w:tr>
      <w:tr w:rsidR="004226D7" w:rsidRPr="000429DF" w:rsidTr="00B31F9D">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4226D7" w:rsidRPr="000429DF" w:rsidRDefault="004226D7" w:rsidP="00285760">
            <w:pPr>
              <w:keepNext/>
              <w:bidi/>
              <w:spacing w:after="60" w:line="280" w:lineRule="exact"/>
              <w:ind w:left="1167" w:hanging="1167"/>
              <w:rPr>
                <w:rFonts w:ascii="Arabic Typesetting" w:hAnsi="Arabic Typesetting" w:cs="Arabic Typesetting"/>
                <w:b/>
                <w:bCs/>
                <w:sz w:val="28"/>
                <w:szCs w:val="28"/>
                <w:rtl/>
                <w:lang w:bidi="ar-EG"/>
              </w:rPr>
            </w:pPr>
            <w:r w:rsidRPr="000429DF">
              <w:rPr>
                <w:rFonts w:ascii="Arabic Typesetting" w:hAnsi="Arabic Typesetting" w:cs="Arabic Typesetting"/>
                <w:b/>
                <w:bCs/>
                <w:sz w:val="28"/>
                <w:szCs w:val="28"/>
                <w:rtl/>
              </w:rPr>
              <w:t>النتيجة المرتقبة</w:t>
            </w:r>
            <w:r w:rsidRPr="000429DF">
              <w:rPr>
                <w:rFonts w:ascii="Arabic Typesetting" w:hAnsi="Arabic Typesetting" w:cs="Arabic Typesetting"/>
                <w:b/>
                <w:bCs/>
                <w:sz w:val="28"/>
                <w:szCs w:val="28"/>
              </w:rPr>
              <w:t>:</w:t>
            </w:r>
            <w:r w:rsidRPr="000429DF">
              <w:rPr>
                <w:rFonts w:ascii="Arabic Typesetting" w:hAnsi="Arabic Typesetting" w:cs="Arabic Typesetting"/>
                <w:b/>
                <w:bCs/>
                <w:sz w:val="28"/>
                <w:szCs w:val="28"/>
              </w:rPr>
              <w:tab/>
            </w:r>
            <w:r w:rsidRPr="000429DF">
              <w:rPr>
                <w:rFonts w:ascii="Arabic Typesetting" w:hAnsi="Arabic Typesetting" w:cs="Arabic Typesetting"/>
                <w:sz w:val="28"/>
                <w:szCs w:val="28"/>
                <w:rtl/>
              </w:rPr>
              <w:t xml:space="preserve">ھ2.9 </w:t>
            </w:r>
            <w:r w:rsidR="003F15BC">
              <w:rPr>
                <w:rFonts w:ascii="Arabic Typesetting" w:hAnsi="Arabic Typesetting" w:cs="Arabic Typesetting"/>
                <w:sz w:val="28"/>
                <w:szCs w:val="28"/>
                <w:rtl/>
              </w:rPr>
              <w:t>أمانة تعمل بنشاط وسلاسة بقوى عاملة حسنة الإدارة وذات مهارات مناسبة وتحقق النتائج بكفاءة</w:t>
            </w:r>
          </w:p>
        </w:tc>
      </w:tr>
      <w:tr w:rsidR="004226D7" w:rsidRPr="000429DF" w:rsidTr="00B31F9D">
        <w:trPr>
          <w:cantSplit/>
        </w:trPr>
        <w:tc>
          <w:tcPr>
            <w:tcW w:w="959" w:type="pct"/>
            <w:tcBorders>
              <w:top w:val="single" w:sz="4" w:space="0" w:color="auto"/>
            </w:tcBorders>
            <w:shd w:val="clear" w:color="auto" w:fill="auto"/>
            <w:vAlign w:val="cente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b/>
                <w:bCs/>
                <w:sz w:val="28"/>
                <w:szCs w:val="28"/>
                <w:rtl/>
              </w:rPr>
              <w:t>مؤشرات الأداء</w:t>
            </w:r>
          </w:p>
        </w:tc>
        <w:tc>
          <w:tcPr>
            <w:tcW w:w="1465" w:type="pct"/>
            <w:tcBorders>
              <w:top w:val="single" w:sz="4" w:space="0" w:color="auto"/>
            </w:tcBorders>
            <w:shd w:val="clear" w:color="auto" w:fill="auto"/>
            <w:vAlign w:val="center"/>
          </w:tcPr>
          <w:p w:rsidR="004226D7" w:rsidRPr="000429DF" w:rsidRDefault="004226D7" w:rsidP="00E16D63">
            <w:pPr>
              <w:bidi/>
              <w:spacing w:before="60" w:after="60" w:line="280" w:lineRule="exact"/>
              <w:rPr>
                <w:rFonts w:ascii="Arabic Typesetting" w:hAnsi="Arabic Typesetting" w:cs="Arabic Typesetting"/>
                <w:b/>
                <w:bCs/>
                <w:sz w:val="28"/>
                <w:szCs w:val="28"/>
              </w:rPr>
            </w:pPr>
            <w:r w:rsidRPr="000429DF">
              <w:rPr>
                <w:rFonts w:ascii="Arabic Typesetting" w:hAnsi="Arabic Typesetting" w:cs="Arabic Typesetting"/>
                <w:b/>
                <w:bCs/>
                <w:sz w:val="28"/>
                <w:szCs w:val="28"/>
                <w:rtl/>
              </w:rPr>
              <w:t>أسس المقارنة</w:t>
            </w:r>
          </w:p>
        </w:tc>
        <w:tc>
          <w:tcPr>
            <w:tcW w:w="911" w:type="pct"/>
            <w:tcBorders>
              <w:top w:val="single" w:sz="4" w:space="0" w:color="auto"/>
            </w:tcBorders>
            <w:shd w:val="clear" w:color="auto" w:fill="auto"/>
            <w:tcMar>
              <w:top w:w="110" w:type="dxa"/>
            </w:tcMar>
            <w:vAlign w:val="center"/>
          </w:tcPr>
          <w:p w:rsidR="004226D7" w:rsidRPr="000429DF" w:rsidRDefault="004226D7" w:rsidP="00E16D63">
            <w:pPr>
              <w:bidi/>
              <w:spacing w:before="60" w:after="60" w:line="280" w:lineRule="exact"/>
              <w:rPr>
                <w:rFonts w:ascii="Arabic Typesetting" w:hAnsi="Arabic Typesetting" w:cs="Arabic Typesetting"/>
                <w:bCs/>
                <w:sz w:val="28"/>
                <w:szCs w:val="28"/>
              </w:rPr>
            </w:pPr>
            <w:r w:rsidRPr="000429DF">
              <w:rPr>
                <w:rFonts w:ascii="Arabic Typesetting" w:hAnsi="Arabic Typesetting" w:cs="Arabic Typesetting"/>
                <w:bCs/>
                <w:sz w:val="28"/>
                <w:szCs w:val="28"/>
                <w:rtl/>
              </w:rPr>
              <w:t>الأهداف</w:t>
            </w:r>
          </w:p>
        </w:tc>
        <w:tc>
          <w:tcPr>
            <w:tcW w:w="1213" w:type="pct"/>
            <w:tcBorders>
              <w:top w:val="single" w:sz="4" w:space="0" w:color="auto"/>
            </w:tcBorders>
            <w:shd w:val="clear" w:color="auto" w:fill="FFFFFF"/>
            <w:tcMar>
              <w:top w:w="110" w:type="dxa"/>
            </w:tcMar>
            <w:vAlign w:val="cente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b/>
                <w:bCs/>
                <w:sz w:val="28"/>
                <w:szCs w:val="28"/>
                <w:rtl/>
              </w:rPr>
              <w:t>بيانات الأداء</w:t>
            </w:r>
          </w:p>
        </w:tc>
        <w:tc>
          <w:tcPr>
            <w:tcW w:w="452" w:type="pct"/>
            <w:tcBorders>
              <w:top w:val="single" w:sz="4" w:space="0" w:color="auto"/>
            </w:tcBorders>
            <w:shd w:val="clear" w:color="auto" w:fill="auto"/>
            <w:tcMar>
              <w:top w:w="110" w:type="dxa"/>
            </w:tcMar>
            <w:vAlign w:val="center"/>
          </w:tcPr>
          <w:p w:rsidR="004226D7" w:rsidRPr="000429DF" w:rsidRDefault="004226D7" w:rsidP="00E16D63">
            <w:pPr>
              <w:bidi/>
              <w:spacing w:before="60" w:after="60" w:line="280" w:lineRule="exact"/>
              <w:jc w:val="center"/>
              <w:rPr>
                <w:rFonts w:ascii="Arabic Typesetting" w:hAnsi="Arabic Typesetting" w:cs="Arabic Typesetting"/>
                <w:b/>
                <w:bCs/>
                <w:sz w:val="28"/>
                <w:szCs w:val="28"/>
              </w:rPr>
            </w:pPr>
            <w:r w:rsidRPr="000429DF">
              <w:rPr>
                <w:rFonts w:ascii="Arabic Typesetting" w:hAnsi="Arabic Typesetting" w:cs="Arabic Typesetting"/>
                <w:b/>
                <w:bCs/>
                <w:sz w:val="28"/>
                <w:szCs w:val="28"/>
                <w:rtl/>
              </w:rPr>
              <w:t>السير</w:t>
            </w:r>
          </w:p>
        </w:tc>
      </w:tr>
      <w:tr w:rsidR="004226D7" w:rsidRPr="000429DF" w:rsidTr="00B31F9D">
        <w:trPr>
          <w:cantSplit/>
        </w:trPr>
        <w:tc>
          <w:tcPr>
            <w:tcW w:w="959" w:type="pct"/>
            <w:shd w:val="clear" w:color="auto" w:fill="auto"/>
          </w:tcPr>
          <w:p w:rsidR="004226D7" w:rsidRPr="000429DF" w:rsidRDefault="004226D7" w:rsidP="00E16D63">
            <w:pPr>
              <w:bidi/>
              <w:spacing w:before="60" w:after="60" w:line="280" w:lineRule="exact"/>
              <w:rPr>
                <w:rFonts w:ascii="Arabic Typesetting" w:hAnsi="Arabic Typesetting" w:cs="Arabic Typesetting"/>
                <w:sz w:val="28"/>
                <w:szCs w:val="28"/>
                <w:rtl/>
                <w:lang w:bidi="ar-EG"/>
              </w:rPr>
            </w:pPr>
            <w:r w:rsidRPr="000429DF">
              <w:rPr>
                <w:rFonts w:ascii="Arabic Typesetting" w:hAnsi="Arabic Typesetting" w:cs="Arabic Typesetting"/>
                <w:sz w:val="28"/>
                <w:szCs w:val="28"/>
                <w:rtl/>
              </w:rPr>
              <w:t>الوقت المستغرق في التعيين</w:t>
            </w:r>
          </w:p>
        </w:tc>
        <w:tc>
          <w:tcPr>
            <w:tcW w:w="1465" w:type="pct"/>
            <w:shd w:val="clear" w:color="auto" w:fill="auto"/>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iCs/>
                <w:color w:val="002060"/>
                <w:sz w:val="28"/>
                <w:szCs w:val="28"/>
                <w:rtl/>
              </w:rPr>
              <w:t>أساس المقارنة المُحدَّث في نهاية 2013</w:t>
            </w:r>
            <w:r w:rsidRPr="000429DF">
              <w:rPr>
                <w:rFonts w:ascii="Arabic Typesetting" w:hAnsi="Arabic Typesetting" w:cs="Arabic Typesetting" w:hint="cs"/>
                <w:iCs/>
                <w:color w:val="002060"/>
                <w:sz w:val="28"/>
                <w:szCs w:val="28"/>
                <w:rtl/>
              </w:rPr>
              <w:t>:</w:t>
            </w:r>
            <w:r w:rsidRPr="000429DF">
              <w:rPr>
                <w:rFonts w:ascii="Arabic Typesetting" w:hAnsi="Arabic Typesetting" w:cs="Arabic Typesetting" w:hint="cs"/>
                <w:i/>
                <w:color w:val="002060"/>
                <w:sz w:val="28"/>
                <w:szCs w:val="28"/>
                <w:rtl/>
              </w:rPr>
              <w:t xml:space="preserve"> </w:t>
            </w:r>
            <w:r w:rsidRPr="000429DF">
              <w:rPr>
                <w:rFonts w:ascii="Arabic Typesetting" w:hAnsi="Arabic Typesetting" w:cs="Arabic Typesetting"/>
                <w:color w:val="002060"/>
                <w:sz w:val="28"/>
                <w:szCs w:val="28"/>
                <w:rtl/>
              </w:rPr>
              <w:t xml:space="preserve">المتوسط في الثنائية: 16.03 </w:t>
            </w:r>
            <w:r w:rsidRPr="000429DF">
              <w:rPr>
                <w:rFonts w:ascii="Arabic Typesetting" w:hAnsi="Arabic Typesetting" w:cs="Arabic Typesetting" w:hint="cs"/>
                <w:color w:val="002060"/>
                <w:sz w:val="28"/>
                <w:szCs w:val="28"/>
                <w:rtl/>
              </w:rPr>
              <w:t>أسبوع</w:t>
            </w:r>
            <w:r w:rsidRPr="000429DF">
              <w:rPr>
                <w:rFonts w:ascii="Arabic Typesetting" w:hAnsi="Arabic Typesetting" w:cs="Arabic Typesetting"/>
                <w:color w:val="002060"/>
                <w:sz w:val="28"/>
                <w:szCs w:val="28"/>
                <w:rtl/>
              </w:rPr>
              <w:t xml:space="preserve"> (في 19 مارس 2014)</w:t>
            </w:r>
          </w:p>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2012: 16.5 أسبوع</w:t>
            </w:r>
          </w:p>
          <w:p w:rsidR="004226D7" w:rsidRPr="000429DF" w:rsidRDefault="004226D7" w:rsidP="00E16D63">
            <w:pPr>
              <w:bidi/>
              <w:spacing w:before="60" w:after="60" w:line="280" w:lineRule="exact"/>
              <w:contextualSpacing/>
              <w:rPr>
                <w:rFonts w:ascii="Arabic Typesetting" w:hAnsi="Arabic Typesetting" w:cs="Arabic Typesetting"/>
                <w:i/>
                <w:sz w:val="28"/>
                <w:szCs w:val="28"/>
                <w:lang w:bidi="ar-EG"/>
              </w:rPr>
            </w:pPr>
            <w:r w:rsidRPr="000429DF">
              <w:rPr>
                <w:rFonts w:ascii="Arabic Typesetting" w:hAnsi="Arabic Typesetting" w:cs="Arabic Typesetting"/>
                <w:color w:val="002060"/>
                <w:sz w:val="28"/>
                <w:szCs w:val="28"/>
                <w:rtl/>
                <w:lang w:bidi="ar-EG"/>
              </w:rPr>
              <w:t>2013: 15.56 أسبوع</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iCs/>
                <w:sz w:val="28"/>
                <w:szCs w:val="28"/>
                <w:rtl/>
              </w:rPr>
              <w:t>أساس المقارنة الأصلي في البرنامج والميزانية 2014/15</w:t>
            </w:r>
            <w:r w:rsidRPr="000429DF">
              <w:rPr>
                <w:rFonts w:ascii="Arabic Typesetting" w:hAnsi="Arabic Typesetting" w:cs="Arabic Typesetting" w:hint="cs"/>
                <w:iCs/>
                <w:sz w:val="28"/>
                <w:szCs w:val="28"/>
                <w:rtl/>
              </w:rPr>
              <w:t>:</w:t>
            </w:r>
            <w:r w:rsidRPr="000429DF">
              <w:rPr>
                <w:rFonts w:ascii="Arabic Typesetting" w:hAnsi="Arabic Typesetting" w:cs="Arabic Typesetting" w:hint="cs"/>
                <w:i/>
                <w:sz w:val="28"/>
                <w:szCs w:val="28"/>
                <w:rtl/>
              </w:rPr>
              <w:t xml:space="preserve"> </w:t>
            </w:r>
            <w:r w:rsidRPr="000429DF">
              <w:rPr>
                <w:rFonts w:ascii="Arabic Typesetting" w:hAnsi="Arabic Typesetting" w:cs="Arabic Typesetting"/>
                <w:i/>
                <w:sz w:val="28"/>
                <w:szCs w:val="28"/>
                <w:rtl/>
              </w:rPr>
              <w:t>21 أسبوعاً</w:t>
            </w:r>
          </w:p>
        </w:tc>
        <w:tc>
          <w:tcPr>
            <w:tcW w:w="911"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19 أسبوعاً</w:t>
            </w:r>
          </w:p>
        </w:tc>
        <w:tc>
          <w:tcPr>
            <w:tcW w:w="1213" w:type="pct"/>
            <w:shd w:val="clear" w:color="auto" w:fill="FFFFFF"/>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tl/>
              </w:rPr>
            </w:pPr>
            <w:r w:rsidRPr="000429DF">
              <w:rPr>
                <w:rFonts w:ascii="Arabic Typesetting" w:hAnsi="Arabic Typesetting" w:cs="Arabic Typesetting" w:hint="cs"/>
                <w:sz w:val="28"/>
                <w:szCs w:val="28"/>
                <w:rtl/>
              </w:rPr>
              <w:t>الوقت المتوسط في الثنائية: 19.77 أسبوع</w:t>
            </w:r>
          </w:p>
          <w:p w:rsidR="004226D7" w:rsidRPr="000429DF" w:rsidRDefault="004226D7" w:rsidP="00E16D63">
            <w:pPr>
              <w:bidi/>
              <w:spacing w:before="60" w:after="60" w:line="280" w:lineRule="exact"/>
              <w:rPr>
                <w:rFonts w:ascii="Arabic Typesetting" w:hAnsi="Arabic Typesetting" w:cs="Arabic Typesetting"/>
                <w:sz w:val="28"/>
                <w:szCs w:val="28"/>
                <w:rtl/>
              </w:rPr>
            </w:pPr>
            <w:r w:rsidRPr="000429DF">
              <w:rPr>
                <w:rFonts w:ascii="Arabic Typesetting" w:hAnsi="Arabic Typesetting" w:cs="Arabic Typesetting" w:hint="cs"/>
                <w:sz w:val="28"/>
                <w:szCs w:val="28"/>
                <w:rtl/>
              </w:rPr>
              <w:t>2014: 17.28 أسبوع</w:t>
            </w:r>
            <w:r w:rsidRPr="00F96634">
              <w:rPr>
                <w:rFonts w:ascii="Arabic Typesetting" w:hAnsi="Arabic Typesetting" w:cs="Arabic Typesetting"/>
                <w:sz w:val="28"/>
                <w:szCs w:val="28"/>
                <w:vertAlign w:val="superscript"/>
                <w:rtl/>
              </w:rPr>
              <w:footnoteReference w:id="130"/>
            </w:r>
          </w:p>
          <w:p w:rsidR="004226D7" w:rsidRPr="000429DF" w:rsidRDefault="004226D7" w:rsidP="00E16D63">
            <w:pPr>
              <w:bidi/>
              <w:spacing w:before="60" w:after="60" w:line="280" w:lineRule="exact"/>
              <w:rPr>
                <w:rFonts w:ascii="Arabic Typesetting" w:hAnsi="Arabic Typesetting" w:cs="Arabic Typesetting"/>
                <w:sz w:val="28"/>
                <w:szCs w:val="28"/>
                <w:rtl/>
              </w:rPr>
            </w:pPr>
            <w:r w:rsidRPr="000429DF">
              <w:rPr>
                <w:rFonts w:ascii="Arabic Typesetting" w:hAnsi="Arabic Typesetting" w:cs="Arabic Typesetting"/>
                <w:sz w:val="28"/>
                <w:szCs w:val="28"/>
                <w:rtl/>
              </w:rPr>
              <w:t>(ب</w:t>
            </w:r>
            <w:r w:rsidRPr="000429DF">
              <w:rPr>
                <w:rFonts w:ascii="Arabic Typesetting" w:hAnsi="Arabic Typesetting" w:cs="Arabic Typesetting" w:hint="cs"/>
                <w:sz w:val="28"/>
                <w:szCs w:val="28"/>
                <w:rtl/>
              </w:rPr>
              <w:t xml:space="preserve">ما يشمل 29 موظفا من </w:t>
            </w:r>
            <w:r w:rsidRPr="000429DF">
              <w:rPr>
                <w:rFonts w:ascii="Arabic Typesetting" w:hAnsi="Arabic Typesetting" w:cs="Arabic Typesetting"/>
                <w:sz w:val="28"/>
                <w:szCs w:val="28"/>
                <w:rtl/>
              </w:rPr>
              <w:t>الموظفين المؤقتين العاملين لفترة طويلة)</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2015: 22.29 أسبوع</w:t>
            </w:r>
            <w:r w:rsidRPr="00F96634">
              <w:rPr>
                <w:rFonts w:ascii="Arabic Typesetting" w:hAnsi="Arabic Typesetting" w:cs="Arabic Typesetting"/>
                <w:sz w:val="28"/>
                <w:szCs w:val="28"/>
                <w:vertAlign w:val="superscript"/>
                <w:rtl/>
              </w:rPr>
              <w:footnoteReference w:id="131"/>
            </w:r>
          </w:p>
          <w:p w:rsidR="004226D7" w:rsidRPr="000429DF" w:rsidRDefault="004226D7" w:rsidP="00E52F29">
            <w:pPr>
              <w:bidi/>
              <w:spacing w:before="60" w:after="60" w:line="280" w:lineRule="exact"/>
              <w:rPr>
                <w:rFonts w:ascii="Arabic Typesetting" w:hAnsi="Arabic Typesetting" w:cs="Arabic Typesetting"/>
                <w:sz w:val="28"/>
                <w:szCs w:val="28"/>
                <w:lang w:bidi="ar-EG"/>
              </w:rPr>
            </w:pP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لا يوجد</w:t>
            </w:r>
            <w:r w:rsidRPr="000429DF">
              <w:rPr>
                <w:rFonts w:ascii="Arabic Typesetting" w:hAnsi="Arabic Typesetting" w:cs="Arabic Typesetting"/>
                <w:sz w:val="28"/>
                <w:szCs w:val="28"/>
                <w:rtl/>
              </w:rPr>
              <w:t xml:space="preserve"> موظف</w:t>
            </w:r>
            <w:r w:rsidRPr="000429DF">
              <w:rPr>
                <w:rFonts w:ascii="Arabic Typesetting" w:hAnsi="Arabic Typesetting" w:cs="Arabic Typesetting" w:hint="cs"/>
                <w:sz w:val="28"/>
                <w:szCs w:val="28"/>
                <w:rtl/>
              </w:rPr>
              <w:t>و</w:t>
            </w:r>
            <w:r w:rsidRPr="000429DF">
              <w:rPr>
                <w:rFonts w:ascii="Arabic Typesetting" w:hAnsi="Arabic Typesetting" w:cs="Arabic Typesetting"/>
                <w:sz w:val="28"/>
                <w:szCs w:val="28"/>
                <w:rtl/>
              </w:rPr>
              <w:t xml:space="preserve">ن </w:t>
            </w:r>
            <w:r w:rsidRPr="000429DF">
              <w:rPr>
                <w:rFonts w:ascii="Arabic Typesetting" w:hAnsi="Arabic Typesetting" w:cs="Arabic Typesetting" w:hint="cs"/>
                <w:sz w:val="28"/>
                <w:szCs w:val="28"/>
                <w:rtl/>
              </w:rPr>
              <w:t>م</w:t>
            </w:r>
            <w:r w:rsidRPr="000429DF">
              <w:rPr>
                <w:rFonts w:ascii="Arabic Typesetting" w:hAnsi="Arabic Typesetting" w:cs="Arabic Typesetting"/>
                <w:sz w:val="28"/>
                <w:szCs w:val="28"/>
                <w:rtl/>
              </w:rPr>
              <w:t>ؤقت</w:t>
            </w:r>
            <w:r w:rsidRPr="000429DF">
              <w:rPr>
                <w:rFonts w:ascii="Arabic Typesetting" w:hAnsi="Arabic Typesetting" w:cs="Arabic Typesetting" w:hint="cs"/>
                <w:sz w:val="28"/>
                <w:szCs w:val="28"/>
                <w:rtl/>
              </w:rPr>
              <w:t>و</w:t>
            </w:r>
            <w:r w:rsidRPr="000429DF">
              <w:rPr>
                <w:rFonts w:ascii="Arabic Typesetting" w:hAnsi="Arabic Typesetting" w:cs="Arabic Typesetting"/>
                <w:sz w:val="28"/>
                <w:szCs w:val="28"/>
                <w:rtl/>
              </w:rPr>
              <w:t xml:space="preserve">ن </w:t>
            </w:r>
            <w:r w:rsidRPr="000429DF">
              <w:rPr>
                <w:rFonts w:ascii="Arabic Typesetting" w:hAnsi="Arabic Typesetting" w:cs="Arabic Typesetting" w:hint="cs"/>
                <w:sz w:val="28"/>
                <w:szCs w:val="28"/>
                <w:rtl/>
              </w:rPr>
              <w:t>عاملون</w:t>
            </w:r>
            <w:r w:rsidRPr="000429DF">
              <w:rPr>
                <w:rFonts w:ascii="Arabic Typesetting" w:hAnsi="Arabic Typesetting" w:cs="Arabic Typesetting"/>
                <w:sz w:val="28"/>
                <w:szCs w:val="28"/>
                <w:rtl/>
              </w:rPr>
              <w:t xml:space="preserve"> لفترة طويلة</w:t>
            </w:r>
            <w:r w:rsidRPr="000429DF">
              <w:rPr>
                <w:rFonts w:ascii="Arabic Typesetting" w:hAnsi="Arabic Typesetting" w:cs="Arabic Typesetting" w:hint="cs"/>
                <w:sz w:val="28"/>
                <w:szCs w:val="28"/>
                <w:rtl/>
              </w:rPr>
              <w:t xml:space="preserve"> في</w:t>
            </w:r>
            <w:r w:rsidRPr="000429DF">
              <w:rPr>
                <w:rFonts w:ascii="Arabic Typesetting" w:hAnsi="Arabic Typesetting" w:cs="Arabic Typesetting" w:hint="eastAsia"/>
                <w:sz w:val="28"/>
                <w:szCs w:val="28"/>
                <w:rtl/>
              </w:rPr>
              <w:t> </w:t>
            </w:r>
            <w:r w:rsidRPr="000429DF">
              <w:rPr>
                <w:rFonts w:ascii="Arabic Typesetting" w:hAnsi="Arabic Typesetting" w:cs="Arabic Typesetting" w:hint="cs"/>
                <w:sz w:val="28"/>
                <w:szCs w:val="28"/>
                <w:rtl/>
              </w:rPr>
              <w:t>2015</w:t>
            </w:r>
            <w:r w:rsidRPr="000429DF">
              <w:rPr>
                <w:rFonts w:ascii="Arabic Typesetting" w:hAnsi="Arabic Typesetting" w:cs="Arabic Typesetting"/>
                <w:sz w:val="28"/>
                <w:szCs w:val="28"/>
                <w:rtl/>
              </w:rPr>
              <w:t>)</w:t>
            </w:r>
          </w:p>
        </w:tc>
        <w:tc>
          <w:tcPr>
            <w:tcW w:w="452" w:type="pct"/>
            <w:shd w:val="clear" w:color="auto" w:fill="auto"/>
            <w:tcMar>
              <w:top w:w="110" w:type="dxa"/>
            </w:tcMar>
          </w:tcPr>
          <w:p w:rsidR="004226D7" w:rsidRPr="000429DF" w:rsidRDefault="004226D7" w:rsidP="00E16D63">
            <w:pPr>
              <w:bidi/>
              <w:spacing w:before="60" w:after="60" w:line="280" w:lineRule="exact"/>
              <w:jc w:val="center"/>
              <w:rPr>
                <w:rFonts w:ascii="Arabic Typesetting" w:hAnsi="Arabic Typesetting" w:cs="Arabic Typesetting"/>
                <w:bCs/>
                <w:color w:val="00B050"/>
                <w:sz w:val="28"/>
                <w:szCs w:val="28"/>
              </w:rPr>
            </w:pPr>
            <w:r w:rsidRPr="000429DF">
              <w:rPr>
                <w:rFonts w:ascii="Arabic Typesetting" w:hAnsi="Arabic Typesetting" w:cs="Arabic Typesetting" w:hint="cs"/>
                <w:bCs/>
                <w:color w:val="00B050"/>
                <w:sz w:val="28"/>
                <w:szCs w:val="28"/>
                <w:rtl/>
              </w:rPr>
              <w:t>محقق كليا</w:t>
            </w:r>
            <w:r w:rsidR="00E52F29">
              <w:rPr>
                <w:rFonts w:ascii="Arabic Typesetting" w:hAnsi="Arabic Typesetting" w:cs="Arabic Typesetting" w:hint="cs"/>
                <w:bCs/>
                <w:color w:val="00B050"/>
                <w:sz w:val="28"/>
                <w:szCs w:val="28"/>
                <w:rtl/>
              </w:rPr>
              <w:t>ً</w:t>
            </w:r>
          </w:p>
        </w:tc>
      </w:tr>
      <w:tr w:rsidR="004226D7" w:rsidRPr="000429DF" w:rsidTr="00B31F9D">
        <w:trPr>
          <w:cantSplit/>
          <w:trHeight w:val="1078"/>
        </w:trPr>
        <w:tc>
          <w:tcPr>
            <w:tcW w:w="959" w:type="pct"/>
            <w:shd w:val="clear" w:color="auto" w:fill="auto"/>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النسبة المئوية للوحدات التنظيمية التي لديها حالياً خطط للقوى العاملة مرتبطة بخطط العمل السنوية</w:t>
            </w:r>
          </w:p>
        </w:tc>
        <w:tc>
          <w:tcPr>
            <w:tcW w:w="1465" w:type="pct"/>
            <w:shd w:val="clear" w:color="auto" w:fill="auto"/>
          </w:tcPr>
          <w:p w:rsidR="004226D7" w:rsidRPr="000429DF" w:rsidRDefault="004226D7" w:rsidP="00E16D63">
            <w:pPr>
              <w:bidi/>
              <w:spacing w:before="60" w:after="60" w:line="280" w:lineRule="exact"/>
              <w:rPr>
                <w:rFonts w:ascii="Arabic Typesetting" w:hAnsi="Arabic Typesetting" w:cs="Arabic Typesetting"/>
                <w:color w:val="002060"/>
                <w:sz w:val="28"/>
                <w:szCs w:val="28"/>
                <w:lang w:bidi="th-TH"/>
              </w:rPr>
            </w:pPr>
            <w:r w:rsidRPr="000429DF">
              <w:rPr>
                <w:rFonts w:ascii="Arabic Typesetting" w:hAnsi="Arabic Typesetting" w:cs="Arabic Typesetting"/>
                <w:iCs/>
                <w:color w:val="002060"/>
                <w:sz w:val="28"/>
                <w:szCs w:val="28"/>
                <w:rtl/>
              </w:rPr>
              <w:t>أساس المقارنة المُحدَّث في نهاية 2013</w:t>
            </w:r>
            <w:r w:rsidRPr="000429DF">
              <w:rPr>
                <w:rFonts w:ascii="Arabic Typesetting" w:hAnsi="Arabic Typesetting" w:cs="Arabic Typesetting" w:hint="cs"/>
                <w:iCs/>
                <w:color w:val="002060"/>
                <w:sz w:val="28"/>
                <w:szCs w:val="28"/>
                <w:rtl/>
              </w:rPr>
              <w:t>:</w:t>
            </w:r>
            <w:r w:rsidRPr="000429DF">
              <w:rPr>
                <w:rFonts w:ascii="Arabic Typesetting" w:hAnsi="Arabic Typesetting" w:cs="Arabic Typesetting" w:hint="cs"/>
                <w:i/>
                <w:color w:val="002060"/>
                <w:sz w:val="28"/>
                <w:szCs w:val="28"/>
                <w:rtl/>
              </w:rPr>
              <w:t xml:space="preserve"> </w:t>
            </w:r>
            <w:r w:rsidRPr="000429DF">
              <w:rPr>
                <w:rFonts w:ascii="Arabic Typesetting" w:hAnsi="Arabic Typesetting" w:cs="Arabic Typesetting" w:hint="cs"/>
                <w:color w:val="002060"/>
                <w:sz w:val="28"/>
                <w:szCs w:val="28"/>
                <w:rtl/>
              </w:rPr>
              <w:t>صفر</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iCs/>
                <w:sz w:val="28"/>
                <w:szCs w:val="28"/>
                <w:rtl/>
              </w:rPr>
              <w:t>أساس المقارنة الأصلي في البرنامج والميزانية 2014/15</w:t>
            </w:r>
            <w:r w:rsidRPr="000429DF">
              <w:rPr>
                <w:rFonts w:ascii="Arabic Typesetting" w:hAnsi="Arabic Typesetting" w:cs="Arabic Typesetting" w:hint="cs"/>
                <w:iCs/>
                <w:sz w:val="28"/>
                <w:szCs w:val="28"/>
                <w:rtl/>
              </w:rPr>
              <w:t>:</w:t>
            </w:r>
            <w:r w:rsidRPr="000429DF">
              <w:rPr>
                <w:rFonts w:ascii="Arabic Typesetting" w:hAnsi="Arabic Typesetting" w:cs="Arabic Typesetting" w:hint="cs"/>
                <w:i/>
                <w:sz w:val="28"/>
                <w:szCs w:val="28"/>
                <w:rtl/>
              </w:rPr>
              <w:t xml:space="preserve"> </w:t>
            </w:r>
            <w:r w:rsidRPr="000429DF">
              <w:rPr>
                <w:rFonts w:ascii="Arabic Typesetting" w:hAnsi="Arabic Typesetting" w:cs="Arabic Typesetting" w:hint="cs"/>
                <w:sz w:val="28"/>
                <w:szCs w:val="28"/>
                <w:rtl/>
              </w:rPr>
              <w:t>يُحدَّد لاحقاً</w:t>
            </w:r>
          </w:p>
        </w:tc>
        <w:tc>
          <w:tcPr>
            <w:tcW w:w="911" w:type="pct"/>
            <w:shd w:val="clear" w:color="auto" w:fill="auto"/>
            <w:tcMar>
              <w:top w:w="110" w:type="dxa"/>
            </w:tcMar>
          </w:tcPr>
          <w:p w:rsidR="004226D7" w:rsidRPr="000429DF" w:rsidRDefault="004226D7" w:rsidP="00B31F9D">
            <w:pPr>
              <w:autoSpaceDE w:val="0"/>
              <w:autoSpaceDN w:val="0"/>
              <w:bidi/>
              <w:adjustRightInd w:val="0"/>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70%</w:t>
            </w:r>
          </w:p>
        </w:tc>
        <w:tc>
          <w:tcPr>
            <w:tcW w:w="1213" w:type="pct"/>
            <w:shd w:val="clear" w:color="auto" w:fill="FFFFFF"/>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90%</w:t>
            </w:r>
          </w:p>
        </w:tc>
        <w:tc>
          <w:tcPr>
            <w:tcW w:w="452" w:type="pct"/>
            <w:shd w:val="clear" w:color="auto" w:fill="auto"/>
            <w:tcMar>
              <w:top w:w="110" w:type="dxa"/>
            </w:tcMar>
          </w:tcPr>
          <w:p w:rsidR="004226D7" w:rsidRPr="000429DF" w:rsidRDefault="004226D7" w:rsidP="00E16D63">
            <w:pPr>
              <w:bidi/>
              <w:spacing w:before="60" w:after="60" w:line="280" w:lineRule="exact"/>
              <w:jc w:val="center"/>
              <w:rPr>
                <w:rFonts w:ascii="Arabic Typesetting" w:hAnsi="Arabic Typesetting" w:cs="Arabic Typesetting"/>
                <w:bCs/>
                <w:color w:val="00B050"/>
                <w:sz w:val="28"/>
                <w:szCs w:val="28"/>
              </w:rPr>
            </w:pPr>
            <w:r w:rsidRPr="000429DF">
              <w:rPr>
                <w:rFonts w:ascii="Arabic Typesetting" w:hAnsi="Arabic Typesetting" w:cs="Arabic Typesetting" w:hint="cs"/>
                <w:bCs/>
                <w:color w:val="00B050"/>
                <w:sz w:val="28"/>
                <w:szCs w:val="28"/>
                <w:rtl/>
              </w:rPr>
              <w:t>محقق كليا</w:t>
            </w:r>
            <w:r w:rsidR="00E52F29">
              <w:rPr>
                <w:rFonts w:ascii="Arabic Typesetting" w:hAnsi="Arabic Typesetting" w:cs="Arabic Typesetting" w:hint="cs"/>
                <w:bCs/>
                <w:color w:val="00B050"/>
                <w:sz w:val="28"/>
                <w:szCs w:val="28"/>
                <w:rtl/>
              </w:rPr>
              <w:t>ً</w:t>
            </w:r>
          </w:p>
        </w:tc>
      </w:tr>
      <w:tr w:rsidR="004226D7" w:rsidRPr="000429DF" w:rsidTr="00B31F9D">
        <w:trPr>
          <w:cantSplit/>
        </w:trPr>
        <w:tc>
          <w:tcPr>
            <w:tcW w:w="959" w:type="pct"/>
            <w:shd w:val="clear" w:color="auto" w:fill="auto"/>
          </w:tcPr>
          <w:p w:rsidR="004226D7" w:rsidRPr="000429DF" w:rsidRDefault="004226D7" w:rsidP="00E16D63">
            <w:pPr>
              <w:bidi/>
              <w:spacing w:before="60" w:after="60" w:line="280" w:lineRule="exact"/>
              <w:rPr>
                <w:rFonts w:ascii="Arabic Typesetting" w:hAnsi="Arabic Typesetting" w:cs="Arabic Typesetting"/>
                <w:sz w:val="28"/>
                <w:szCs w:val="28"/>
                <w:rtl/>
                <w:lang w:bidi="ar-EG"/>
              </w:rPr>
            </w:pPr>
            <w:r w:rsidRPr="000429DF">
              <w:rPr>
                <w:rFonts w:ascii="Arabic Typesetting" w:hAnsi="Arabic Typesetting" w:cs="Arabic Typesetting"/>
                <w:sz w:val="28"/>
                <w:szCs w:val="28"/>
                <w:rtl/>
              </w:rPr>
              <w:lastRenderedPageBreak/>
              <w:t>النسبة المئوية للموظفين المعينين حديثاً الملائمين لاحتياجات المنظمة</w:t>
            </w:r>
          </w:p>
        </w:tc>
        <w:tc>
          <w:tcPr>
            <w:tcW w:w="1465" w:type="pct"/>
            <w:shd w:val="clear" w:color="auto" w:fill="auto"/>
          </w:tcPr>
          <w:p w:rsidR="004226D7" w:rsidRPr="00B31F9D" w:rsidRDefault="004226D7" w:rsidP="00B31F9D">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تُحدَّد لاحقاً</w:t>
            </w:r>
          </w:p>
        </w:tc>
        <w:tc>
          <w:tcPr>
            <w:tcW w:w="911"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lang w:bidi="ar-EG"/>
              </w:rPr>
            </w:pPr>
            <w:r w:rsidRPr="000429DF">
              <w:rPr>
                <w:rFonts w:ascii="Arabic Typesetting" w:hAnsi="Arabic Typesetting" w:cs="Arabic Typesetting"/>
                <w:sz w:val="28"/>
                <w:szCs w:val="28"/>
                <w:rtl/>
              </w:rPr>
              <w:t>80% أداء م</w:t>
            </w:r>
            <w:r w:rsidRPr="000429DF">
              <w:rPr>
                <w:rFonts w:ascii="Arabic Typesetting" w:hAnsi="Arabic Typesetting" w:cs="Arabic Typesetting" w:hint="cs"/>
                <w:sz w:val="28"/>
                <w:szCs w:val="28"/>
                <w:rtl/>
              </w:rPr>
              <w:t>ُ</w:t>
            </w:r>
            <w:r w:rsidRPr="000429DF">
              <w:rPr>
                <w:rFonts w:ascii="Arabic Typesetting" w:hAnsi="Arabic Typesetting" w:cs="Arabic Typesetting"/>
                <w:sz w:val="28"/>
                <w:szCs w:val="28"/>
                <w:rtl/>
              </w:rPr>
              <w:t>رض</w:t>
            </w:r>
            <w:r w:rsidRPr="000429DF">
              <w:rPr>
                <w:rFonts w:ascii="Arabic Typesetting" w:hAnsi="Arabic Typesetting" w:cs="Arabic Typesetting" w:hint="cs"/>
                <w:sz w:val="28"/>
                <w:szCs w:val="28"/>
                <w:rtl/>
              </w:rPr>
              <w:t>ٍ</w:t>
            </w:r>
            <w:r w:rsidRPr="000429DF">
              <w:rPr>
                <w:rFonts w:ascii="Arabic Typesetting" w:hAnsi="Arabic Typesetting" w:cs="Arabic Typesetting"/>
                <w:sz w:val="28"/>
                <w:szCs w:val="28"/>
                <w:rtl/>
              </w:rPr>
              <w:t xml:space="preserve"> بعد فترة التجربة</w:t>
            </w:r>
          </w:p>
        </w:tc>
        <w:tc>
          <w:tcPr>
            <w:tcW w:w="1213" w:type="pct"/>
            <w:shd w:val="clear" w:color="auto" w:fill="FFFFFF"/>
            <w:tcMar>
              <w:top w:w="110" w:type="dxa"/>
            </w:tcMar>
          </w:tcPr>
          <w:p w:rsidR="004226D7" w:rsidRPr="000429DF" w:rsidRDefault="004226D7" w:rsidP="00B31F9D">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94</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4</w:t>
            </w:r>
            <w:r w:rsidRPr="000429DF">
              <w:rPr>
                <w:rFonts w:ascii="Arabic Typesetting" w:hAnsi="Arabic Typesetting" w:cs="Arabic Typesetting"/>
                <w:sz w:val="28"/>
                <w:szCs w:val="28"/>
                <w:rtl/>
              </w:rPr>
              <w:t>% من الموظفين الذي</w:t>
            </w:r>
            <w:r w:rsidRPr="000429DF">
              <w:rPr>
                <w:rFonts w:ascii="Arabic Typesetting" w:hAnsi="Arabic Typesetting" w:cs="Arabic Typesetting" w:hint="cs"/>
                <w:sz w:val="28"/>
                <w:szCs w:val="28"/>
                <w:rtl/>
              </w:rPr>
              <w:t>ن</w:t>
            </w:r>
            <w:r w:rsidRPr="000429DF">
              <w:rPr>
                <w:rFonts w:ascii="Arabic Typesetting" w:hAnsi="Arabic Typesetting" w:cs="Arabic Typesetting"/>
                <w:sz w:val="28"/>
                <w:szCs w:val="28"/>
                <w:rtl/>
              </w:rPr>
              <w:t xml:space="preserve"> </w:t>
            </w:r>
            <w:r w:rsidRPr="000429DF">
              <w:rPr>
                <w:rFonts w:ascii="Arabic Typesetting" w:hAnsi="Arabic Typesetting" w:cs="Arabic Typesetting" w:hint="cs"/>
                <w:sz w:val="28"/>
                <w:szCs w:val="28"/>
                <w:rtl/>
              </w:rPr>
              <w:t>التحقوا بالمنظمة</w:t>
            </w:r>
            <w:r w:rsidRPr="000429DF">
              <w:rPr>
                <w:rFonts w:ascii="Arabic Typesetting" w:hAnsi="Arabic Typesetting" w:cs="Arabic Typesetting"/>
                <w:sz w:val="28"/>
                <w:szCs w:val="28"/>
                <w:rtl/>
              </w:rPr>
              <w:t xml:space="preserve"> في عام</w:t>
            </w:r>
            <w:r w:rsidRPr="000429DF">
              <w:rPr>
                <w:rFonts w:ascii="Arabic Typesetting" w:hAnsi="Arabic Typesetting" w:cs="Arabic Typesetting" w:hint="cs"/>
                <w:sz w:val="28"/>
                <w:szCs w:val="28"/>
                <w:rtl/>
              </w:rPr>
              <w:t>ي </w:t>
            </w:r>
            <w:r w:rsidRPr="000429DF">
              <w:rPr>
                <w:rFonts w:ascii="Arabic Typesetting" w:hAnsi="Arabic Typesetting" w:cs="Arabic Typesetting"/>
                <w:sz w:val="28"/>
                <w:szCs w:val="28"/>
                <w:rtl/>
              </w:rPr>
              <w:t xml:space="preserve">2013 </w:t>
            </w:r>
            <w:r w:rsidRPr="000429DF">
              <w:rPr>
                <w:rFonts w:ascii="Arabic Typesetting" w:hAnsi="Arabic Typesetting" w:cs="Arabic Typesetting" w:hint="cs"/>
                <w:sz w:val="28"/>
                <w:szCs w:val="28"/>
                <w:rtl/>
              </w:rPr>
              <w:t xml:space="preserve">و2014 </w:t>
            </w:r>
            <w:r w:rsidRPr="000429DF">
              <w:rPr>
                <w:rFonts w:ascii="Arabic Typesetting" w:hAnsi="Arabic Typesetting" w:cs="Arabic Typesetting"/>
                <w:sz w:val="28"/>
                <w:szCs w:val="28"/>
                <w:rtl/>
              </w:rPr>
              <w:t xml:space="preserve">كان أداؤهم مُرضياً </w:t>
            </w:r>
            <w:r w:rsidRPr="000429DF">
              <w:rPr>
                <w:rFonts w:ascii="Arabic Typesetting" w:hAnsi="Arabic Typesetting" w:cs="Arabic Typesetting" w:hint="cs"/>
                <w:sz w:val="28"/>
                <w:szCs w:val="28"/>
                <w:rtl/>
              </w:rPr>
              <w:t xml:space="preserve">ضمن </w:t>
            </w:r>
            <w:r w:rsidRPr="000429DF">
              <w:rPr>
                <w:rFonts w:ascii="Arabic Typesetting" w:hAnsi="Arabic Typesetting" w:cs="Arabic Typesetting"/>
                <w:sz w:val="28"/>
                <w:szCs w:val="28"/>
                <w:rtl/>
              </w:rPr>
              <w:t>نظام إدارة الأداء وتطوير الموظفين</w:t>
            </w:r>
          </w:p>
        </w:tc>
        <w:tc>
          <w:tcPr>
            <w:tcW w:w="452" w:type="pct"/>
            <w:shd w:val="clear" w:color="auto" w:fill="auto"/>
            <w:tcMar>
              <w:top w:w="110" w:type="dxa"/>
            </w:tcMar>
          </w:tcPr>
          <w:p w:rsidR="004226D7" w:rsidRPr="000429DF" w:rsidRDefault="004226D7" w:rsidP="00E16D63">
            <w:pPr>
              <w:bidi/>
              <w:spacing w:before="60" w:after="60" w:line="280" w:lineRule="exact"/>
              <w:jc w:val="center"/>
              <w:rPr>
                <w:rFonts w:ascii="Arabic Typesetting" w:hAnsi="Arabic Typesetting" w:cs="Arabic Typesetting"/>
                <w:bCs/>
                <w:color w:val="00B050"/>
                <w:sz w:val="28"/>
                <w:szCs w:val="28"/>
              </w:rPr>
            </w:pPr>
            <w:r w:rsidRPr="000429DF">
              <w:rPr>
                <w:rFonts w:ascii="Arabic Typesetting" w:hAnsi="Arabic Typesetting" w:cs="Arabic Typesetting" w:hint="cs"/>
                <w:bCs/>
                <w:color w:val="00B050"/>
                <w:sz w:val="28"/>
                <w:szCs w:val="28"/>
                <w:rtl/>
              </w:rPr>
              <w:t>محقق كليا</w:t>
            </w:r>
            <w:r w:rsidR="00E52F29">
              <w:rPr>
                <w:rFonts w:ascii="Arabic Typesetting" w:hAnsi="Arabic Typesetting" w:cs="Arabic Typesetting" w:hint="cs"/>
                <w:bCs/>
                <w:color w:val="00B050"/>
                <w:sz w:val="28"/>
                <w:szCs w:val="28"/>
                <w:rtl/>
              </w:rPr>
              <w:t>ً</w:t>
            </w:r>
          </w:p>
        </w:tc>
      </w:tr>
      <w:tr w:rsidR="004226D7" w:rsidRPr="000429DF" w:rsidTr="00B31F9D">
        <w:trPr>
          <w:cantSplit/>
        </w:trPr>
        <w:tc>
          <w:tcPr>
            <w:tcW w:w="959" w:type="pct"/>
            <w:shd w:val="clear" w:color="auto" w:fill="auto"/>
          </w:tcPr>
          <w:p w:rsidR="004226D7" w:rsidRPr="000429DF" w:rsidRDefault="004226D7" w:rsidP="00E52F29">
            <w:pPr>
              <w:bidi/>
              <w:spacing w:before="60" w:after="60" w:line="280" w:lineRule="exact"/>
              <w:rPr>
                <w:rFonts w:ascii="Arabic Typesetting" w:hAnsi="Arabic Typesetting" w:cs="Arabic Typesetting"/>
                <w:sz w:val="28"/>
                <w:szCs w:val="28"/>
                <w:rtl/>
                <w:lang w:bidi="ar-EG"/>
              </w:rPr>
            </w:pPr>
            <w:r w:rsidRPr="000429DF">
              <w:rPr>
                <w:rFonts w:ascii="Arabic Typesetting" w:hAnsi="Arabic Typesetting" w:cs="Arabic Typesetting"/>
                <w:sz w:val="28"/>
                <w:szCs w:val="28"/>
                <w:rtl/>
              </w:rPr>
              <w:t xml:space="preserve">النسبة المئوية للموظفين الذين يقيم أداؤهم </w:t>
            </w:r>
            <w:r w:rsidR="00E52F29">
              <w:rPr>
                <w:rFonts w:ascii="Arabic Typesetting" w:hAnsi="Arabic Typesetting" w:cs="Arabic Typesetting" w:hint="cs"/>
                <w:sz w:val="28"/>
                <w:szCs w:val="28"/>
                <w:rtl/>
              </w:rPr>
              <w:t>على أساس</w:t>
            </w:r>
            <w:r w:rsidR="00E52F29" w:rsidRPr="000429DF">
              <w:rPr>
                <w:rFonts w:ascii="Arabic Typesetting" w:hAnsi="Arabic Typesetting" w:cs="Arabic Typesetting"/>
                <w:sz w:val="28"/>
                <w:szCs w:val="28"/>
                <w:rtl/>
              </w:rPr>
              <w:t xml:space="preserve"> </w:t>
            </w:r>
            <w:r w:rsidRPr="000429DF">
              <w:rPr>
                <w:rFonts w:ascii="Arabic Typesetting" w:hAnsi="Arabic Typesetting" w:cs="Arabic Typesetting"/>
                <w:sz w:val="28"/>
                <w:szCs w:val="28"/>
                <w:rtl/>
              </w:rPr>
              <w:t>أهدافهم وكفاءاتهم الفردية</w:t>
            </w:r>
          </w:p>
        </w:tc>
        <w:tc>
          <w:tcPr>
            <w:tcW w:w="1465" w:type="pct"/>
            <w:shd w:val="clear" w:color="auto" w:fill="auto"/>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iCs/>
                <w:color w:val="002060"/>
                <w:sz w:val="28"/>
                <w:szCs w:val="28"/>
                <w:rtl/>
              </w:rPr>
              <w:t>أساس المقارنة المُحدَّث في نهاية 2013</w:t>
            </w:r>
            <w:r w:rsidRPr="000429DF">
              <w:rPr>
                <w:rFonts w:ascii="Arabic Typesetting" w:hAnsi="Arabic Typesetting" w:cs="Arabic Typesetting" w:hint="cs"/>
                <w:iCs/>
                <w:color w:val="002060"/>
                <w:sz w:val="28"/>
                <w:szCs w:val="28"/>
                <w:rtl/>
              </w:rPr>
              <w:t>:</w:t>
            </w:r>
            <w:r w:rsidRPr="000429DF">
              <w:rPr>
                <w:rFonts w:ascii="Arabic Typesetting" w:hAnsi="Arabic Typesetting" w:cs="Arabic Typesetting" w:hint="cs"/>
                <w:i/>
                <w:color w:val="002060"/>
                <w:sz w:val="28"/>
                <w:szCs w:val="28"/>
                <w:rtl/>
              </w:rPr>
              <w:t xml:space="preserve"> </w:t>
            </w:r>
            <w:r w:rsidRPr="000429DF">
              <w:rPr>
                <w:rFonts w:ascii="Arabic Typesetting" w:hAnsi="Arabic Typesetting" w:cs="Arabic Typesetting"/>
                <w:color w:val="002060"/>
                <w:sz w:val="28"/>
                <w:szCs w:val="28"/>
                <w:rtl/>
              </w:rPr>
              <w:t>الثنائية: قُيّم 90.75% من الموظفين المشمولين بنظام إدارة الأداء وتطوير الموظفين مقارنةً بأهدافهم وكفاءاتهم الفردية</w:t>
            </w:r>
          </w:p>
          <w:p w:rsidR="004226D7" w:rsidRPr="000429DF" w:rsidRDefault="004226D7" w:rsidP="00E52F29">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 xml:space="preserve">2012: قُيّم 91% من الموظفين المشمولين بنظام إدارة الأداء وتطوير الموظفين </w:t>
            </w:r>
            <w:r w:rsidR="00E52F29">
              <w:rPr>
                <w:rFonts w:ascii="Arabic Typesetting" w:hAnsi="Arabic Typesetting" w:cs="Arabic Typesetting" w:hint="cs"/>
                <w:color w:val="002060"/>
                <w:sz w:val="28"/>
                <w:szCs w:val="28"/>
                <w:rtl/>
              </w:rPr>
              <w:t>على أساس</w:t>
            </w:r>
            <w:r w:rsidR="00E52F29" w:rsidRPr="000429DF">
              <w:rPr>
                <w:rFonts w:ascii="Arabic Typesetting" w:hAnsi="Arabic Typesetting" w:cs="Arabic Typesetting"/>
                <w:color w:val="002060"/>
                <w:sz w:val="28"/>
                <w:szCs w:val="28"/>
                <w:rtl/>
              </w:rPr>
              <w:t xml:space="preserve"> </w:t>
            </w:r>
            <w:r w:rsidRPr="000429DF">
              <w:rPr>
                <w:rFonts w:ascii="Arabic Typesetting" w:hAnsi="Arabic Typesetting" w:cs="Arabic Typesetting"/>
                <w:color w:val="002060"/>
                <w:sz w:val="28"/>
                <w:szCs w:val="28"/>
                <w:rtl/>
              </w:rPr>
              <w:t>بأهدافهم وكفاءاتهم الفردية (في نهاية شهر أبريل 2012)</w:t>
            </w:r>
          </w:p>
          <w:p w:rsidR="004226D7" w:rsidRPr="000429DF" w:rsidRDefault="004226D7" w:rsidP="00E52F29">
            <w:pPr>
              <w:bidi/>
              <w:spacing w:before="60" w:after="60" w:line="280" w:lineRule="exact"/>
              <w:rPr>
                <w:rFonts w:ascii="Arabic Typesetting" w:hAnsi="Arabic Typesetting" w:cs="Arabic Typesetting"/>
                <w:color w:val="002060"/>
                <w:sz w:val="28"/>
                <w:szCs w:val="28"/>
                <w:lang w:bidi="th-TH"/>
              </w:rPr>
            </w:pPr>
            <w:r w:rsidRPr="000429DF">
              <w:rPr>
                <w:rFonts w:ascii="Arabic Typesetting" w:hAnsi="Arabic Typesetting" w:cs="Arabic Typesetting"/>
                <w:color w:val="002060"/>
                <w:sz w:val="28"/>
                <w:szCs w:val="28"/>
                <w:rtl/>
              </w:rPr>
              <w:t xml:space="preserve">2013: قُيّم 90.5% من الموظفين المشمولين بنظام إدارة الأداء وتطوير الموظفين </w:t>
            </w:r>
            <w:r w:rsidR="00E52F29">
              <w:rPr>
                <w:rFonts w:ascii="Arabic Typesetting" w:hAnsi="Arabic Typesetting" w:cs="Arabic Typesetting" w:hint="cs"/>
                <w:color w:val="002060"/>
                <w:sz w:val="28"/>
                <w:szCs w:val="28"/>
                <w:rtl/>
              </w:rPr>
              <w:t>على أساس</w:t>
            </w:r>
            <w:r w:rsidR="00E52F29" w:rsidRPr="000429DF">
              <w:rPr>
                <w:rFonts w:ascii="Arabic Typesetting" w:hAnsi="Arabic Typesetting" w:cs="Arabic Typesetting"/>
                <w:color w:val="002060"/>
                <w:sz w:val="28"/>
                <w:szCs w:val="28"/>
                <w:rtl/>
              </w:rPr>
              <w:t xml:space="preserve"> </w:t>
            </w:r>
            <w:r w:rsidRPr="000429DF">
              <w:rPr>
                <w:rFonts w:ascii="Arabic Typesetting" w:hAnsi="Arabic Typesetting" w:cs="Arabic Typesetting"/>
                <w:color w:val="002060"/>
                <w:sz w:val="28"/>
                <w:szCs w:val="28"/>
                <w:rtl/>
              </w:rPr>
              <w:t>أهدافهم وكفاءاتهم الفردية (في نهاية شهر أبريل 2013)</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iCs/>
                <w:sz w:val="28"/>
                <w:szCs w:val="28"/>
                <w:rtl/>
              </w:rPr>
              <w:t>أساس المقارنة الأصلي في البرنامج والميزانية 2014/15</w:t>
            </w:r>
            <w:r w:rsidRPr="000429DF">
              <w:rPr>
                <w:rFonts w:ascii="Arabic Typesetting" w:hAnsi="Arabic Typesetting" w:cs="Arabic Typesetting" w:hint="cs"/>
                <w:iCs/>
                <w:sz w:val="28"/>
                <w:szCs w:val="28"/>
                <w:rtl/>
              </w:rPr>
              <w:t>:</w:t>
            </w:r>
            <w:r w:rsidRPr="000429DF">
              <w:rPr>
                <w:rFonts w:ascii="Arabic Typesetting" w:hAnsi="Arabic Typesetting" w:cs="Arabic Typesetting" w:hint="cs"/>
                <w:i/>
                <w:sz w:val="28"/>
                <w:szCs w:val="28"/>
                <w:rtl/>
              </w:rPr>
              <w:t xml:space="preserve"> </w:t>
            </w:r>
            <w:r w:rsidRPr="000429DF">
              <w:rPr>
                <w:rFonts w:ascii="Arabic Typesetting" w:hAnsi="Arabic Typesetting" w:cs="Arabic Typesetting" w:hint="cs"/>
                <w:sz w:val="28"/>
                <w:szCs w:val="28"/>
                <w:rtl/>
              </w:rPr>
              <w:t>81%</w:t>
            </w:r>
            <w:r w:rsidRPr="000429DF">
              <w:rPr>
                <w:rFonts w:ascii="Arabic Typesetting" w:hAnsi="Arabic Typesetting" w:cs="Arabic Typesetting"/>
                <w:sz w:val="28"/>
                <w:szCs w:val="28"/>
              </w:rPr>
              <w:t xml:space="preserve"> </w:t>
            </w:r>
            <w:r w:rsidRPr="000429DF">
              <w:rPr>
                <w:rFonts w:ascii="Arabic Typesetting" w:hAnsi="Arabic Typesetting" w:cs="Arabic Typesetting" w:hint="cs"/>
                <w:sz w:val="28"/>
                <w:szCs w:val="28"/>
                <w:rtl/>
              </w:rPr>
              <w:t>(2012)</w:t>
            </w:r>
          </w:p>
        </w:tc>
        <w:tc>
          <w:tcPr>
            <w:tcW w:w="911"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90%</w:t>
            </w:r>
          </w:p>
        </w:tc>
        <w:tc>
          <w:tcPr>
            <w:tcW w:w="1213" w:type="pct"/>
            <w:shd w:val="clear" w:color="auto" w:fill="FFFFFF"/>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tl/>
              </w:rPr>
            </w:pPr>
            <w:r w:rsidRPr="000429DF">
              <w:rPr>
                <w:rFonts w:ascii="Arabic Typesetting" w:hAnsi="Arabic Typesetting" w:cs="Arabic Typesetting" w:hint="cs"/>
                <w:sz w:val="28"/>
                <w:szCs w:val="28"/>
                <w:rtl/>
              </w:rPr>
              <w:t>2014: 93.1%</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2015: 92.8%</w:t>
            </w:r>
          </w:p>
        </w:tc>
        <w:tc>
          <w:tcPr>
            <w:tcW w:w="452" w:type="pct"/>
            <w:shd w:val="clear" w:color="auto" w:fill="auto"/>
            <w:tcMar>
              <w:top w:w="110" w:type="dxa"/>
            </w:tcMar>
          </w:tcPr>
          <w:p w:rsidR="004226D7" w:rsidRPr="000429DF" w:rsidRDefault="004226D7" w:rsidP="00E16D63">
            <w:pPr>
              <w:bidi/>
              <w:spacing w:before="60" w:after="60" w:line="280" w:lineRule="exact"/>
              <w:jc w:val="center"/>
              <w:rPr>
                <w:rFonts w:ascii="Arabic Typesetting" w:hAnsi="Arabic Typesetting" w:cs="Arabic Typesetting"/>
                <w:b/>
                <w:bCs/>
                <w:color w:val="00B050"/>
                <w:sz w:val="28"/>
                <w:szCs w:val="28"/>
              </w:rPr>
            </w:pPr>
            <w:r w:rsidRPr="000429DF">
              <w:rPr>
                <w:rFonts w:ascii="Arabic Typesetting" w:hAnsi="Arabic Typesetting" w:cs="Arabic Typesetting" w:hint="cs"/>
                <w:b/>
                <w:bCs/>
                <w:color w:val="00B050"/>
                <w:sz w:val="28"/>
                <w:szCs w:val="28"/>
                <w:rtl/>
              </w:rPr>
              <w:t>محقق كليا</w:t>
            </w:r>
            <w:r w:rsidR="00E52F29">
              <w:rPr>
                <w:rFonts w:ascii="Arabic Typesetting" w:hAnsi="Arabic Typesetting" w:cs="Arabic Typesetting" w:hint="cs"/>
                <w:b/>
                <w:bCs/>
                <w:color w:val="00B050"/>
                <w:sz w:val="28"/>
                <w:szCs w:val="28"/>
                <w:rtl/>
              </w:rPr>
              <w:t>ً</w:t>
            </w:r>
          </w:p>
        </w:tc>
      </w:tr>
      <w:tr w:rsidR="004226D7" w:rsidRPr="000429DF" w:rsidTr="00B31F9D">
        <w:trPr>
          <w:cantSplit/>
        </w:trPr>
        <w:tc>
          <w:tcPr>
            <w:tcW w:w="959" w:type="pct"/>
            <w:shd w:val="clear" w:color="auto" w:fill="auto"/>
          </w:tcPr>
          <w:p w:rsidR="004226D7" w:rsidRPr="000429DF" w:rsidRDefault="004226D7" w:rsidP="00E16D63">
            <w:pPr>
              <w:bidi/>
              <w:spacing w:before="60" w:after="60" w:line="280" w:lineRule="exact"/>
              <w:rPr>
                <w:rFonts w:ascii="Arabic Typesetting" w:hAnsi="Arabic Typesetting" w:cs="Arabic Typesetting"/>
                <w:sz w:val="28"/>
                <w:szCs w:val="28"/>
                <w:rtl/>
                <w:lang w:bidi="ar-EG"/>
              </w:rPr>
            </w:pPr>
            <w:r w:rsidRPr="000429DF">
              <w:rPr>
                <w:rFonts w:ascii="Arabic Typesetting" w:hAnsi="Arabic Typesetting" w:cs="Arabic Typesetting"/>
                <w:sz w:val="28"/>
                <w:szCs w:val="28"/>
                <w:rtl/>
              </w:rPr>
              <w:t>النسبة المئوية لما استوفي من احتياجات التدريب الفردية والجماعية المهمة</w:t>
            </w:r>
          </w:p>
        </w:tc>
        <w:tc>
          <w:tcPr>
            <w:tcW w:w="1465" w:type="pct"/>
            <w:shd w:val="clear" w:color="auto" w:fill="auto"/>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iCs/>
                <w:color w:val="002060"/>
                <w:sz w:val="28"/>
                <w:szCs w:val="28"/>
                <w:rtl/>
              </w:rPr>
              <w:t>أساس المقارنة المُحدَّث في نهاية 2013</w:t>
            </w:r>
            <w:r w:rsidRPr="000429DF">
              <w:rPr>
                <w:rFonts w:ascii="Arabic Typesetting" w:hAnsi="Arabic Typesetting" w:cs="Arabic Typesetting" w:hint="cs"/>
                <w:iCs/>
                <w:color w:val="002060"/>
                <w:sz w:val="28"/>
                <w:szCs w:val="28"/>
                <w:rtl/>
              </w:rPr>
              <w:t>:</w:t>
            </w:r>
            <w:r w:rsidRPr="000429DF">
              <w:rPr>
                <w:rFonts w:ascii="Arabic Typesetting" w:hAnsi="Arabic Typesetting" w:cs="Arabic Typesetting" w:hint="cs"/>
                <w:i/>
                <w:color w:val="002060"/>
                <w:sz w:val="28"/>
                <w:szCs w:val="28"/>
                <w:rtl/>
              </w:rPr>
              <w:t xml:space="preserve"> </w:t>
            </w:r>
            <w:r w:rsidRPr="000429DF">
              <w:rPr>
                <w:rFonts w:ascii="Arabic Typesetting" w:hAnsi="Arabic Typesetting" w:cs="Arabic Typesetting"/>
                <w:color w:val="002060"/>
                <w:sz w:val="28"/>
                <w:szCs w:val="28"/>
                <w:rtl/>
              </w:rPr>
              <w:t>لا يوجد أي تقييم متاح</w:t>
            </w:r>
          </w:p>
          <w:p w:rsidR="004226D7" w:rsidRPr="00B31F9D" w:rsidRDefault="004226D7" w:rsidP="00B31F9D">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iCs/>
                <w:sz w:val="28"/>
                <w:szCs w:val="28"/>
                <w:rtl/>
              </w:rPr>
              <w:t>أساس المقارنة الأصلي في البرنامج والميزانية 2014/15</w:t>
            </w:r>
            <w:r w:rsidRPr="000429DF">
              <w:rPr>
                <w:rFonts w:ascii="Arabic Typesetting" w:hAnsi="Arabic Typesetting" w:cs="Arabic Typesetting" w:hint="cs"/>
                <w:iCs/>
                <w:sz w:val="28"/>
                <w:szCs w:val="28"/>
                <w:rtl/>
              </w:rPr>
              <w:t>:</w:t>
            </w:r>
            <w:r w:rsidRPr="000429DF">
              <w:rPr>
                <w:rFonts w:ascii="Arabic Typesetting" w:hAnsi="Arabic Typesetting" w:cs="Arabic Typesetting" w:hint="cs"/>
                <w:i/>
                <w:sz w:val="28"/>
                <w:szCs w:val="28"/>
                <w:rtl/>
              </w:rPr>
              <w:t xml:space="preserve"> </w:t>
            </w:r>
            <w:r w:rsidRPr="000429DF">
              <w:rPr>
                <w:rFonts w:ascii="Arabic Typesetting" w:hAnsi="Arabic Typesetting" w:cs="Arabic Typesetting"/>
                <w:sz w:val="28"/>
                <w:szCs w:val="28"/>
                <w:rtl/>
              </w:rPr>
              <w:t>لا يوجد أي تقييم متاح (سوف يكون متاحاً في نهاية 2013)</w:t>
            </w:r>
          </w:p>
        </w:tc>
        <w:tc>
          <w:tcPr>
            <w:tcW w:w="911"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استيفاء 80% من احتياجات التدريب الفردية المهمة</w:t>
            </w:r>
          </w:p>
          <w:p w:rsidR="004226D7" w:rsidRPr="000429DF" w:rsidRDefault="004226D7" w:rsidP="00E16D63">
            <w:pPr>
              <w:bidi/>
              <w:spacing w:before="60" w:after="60" w:line="280" w:lineRule="exact"/>
              <w:rPr>
                <w:rFonts w:ascii="Arabic Typesetting" w:hAnsi="Arabic Typesetting" w:cs="Arabic Typesetting"/>
                <w:sz w:val="28"/>
                <w:szCs w:val="28"/>
              </w:rPr>
            </w:pP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احتياجات التدريب الجماعية المهمة: تلبية 80% من الاحتياجات من خلال برنامج تدريبي</w:t>
            </w:r>
          </w:p>
        </w:tc>
        <w:tc>
          <w:tcPr>
            <w:tcW w:w="1213" w:type="pct"/>
            <w:shd w:val="clear" w:color="auto" w:fill="FFFFFF"/>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60.94</w:t>
            </w:r>
            <w:r w:rsidRPr="000429DF">
              <w:rPr>
                <w:rFonts w:ascii="Arabic Typesetting" w:hAnsi="Arabic Typesetting" w:cs="Arabic Typesetting"/>
                <w:sz w:val="28"/>
                <w:szCs w:val="28"/>
                <w:rtl/>
              </w:rPr>
              <w:t>%</w:t>
            </w:r>
          </w:p>
          <w:p w:rsidR="004226D7" w:rsidRPr="000429DF" w:rsidRDefault="004226D7" w:rsidP="00E16D63">
            <w:pPr>
              <w:bidi/>
              <w:spacing w:before="60" w:after="60" w:line="280" w:lineRule="exact"/>
              <w:rPr>
                <w:rFonts w:ascii="Arabic Typesetting" w:hAnsi="Arabic Typesetting" w:cs="Arabic Typesetting"/>
                <w:sz w:val="28"/>
                <w:szCs w:val="28"/>
              </w:rPr>
            </w:pPr>
          </w:p>
          <w:p w:rsidR="004226D7" w:rsidRPr="000429DF" w:rsidRDefault="004226D7" w:rsidP="00E16D63">
            <w:pPr>
              <w:bidi/>
              <w:spacing w:before="60" w:after="60" w:line="280" w:lineRule="exact"/>
              <w:rPr>
                <w:rFonts w:ascii="Arabic Typesetting" w:hAnsi="Arabic Typesetting" w:cs="Arabic Typesetting"/>
                <w:sz w:val="28"/>
                <w:szCs w:val="28"/>
                <w:rtl/>
              </w:rPr>
            </w:pPr>
          </w:p>
          <w:p w:rsidR="004226D7" w:rsidRPr="000429DF" w:rsidRDefault="004226D7" w:rsidP="00E16D63">
            <w:pPr>
              <w:bidi/>
              <w:spacing w:before="60" w:after="60" w:line="280" w:lineRule="exact"/>
              <w:rPr>
                <w:rFonts w:ascii="Arabic Typesetting" w:hAnsi="Arabic Typesetting" w:cs="Arabic Typesetting"/>
                <w:sz w:val="28"/>
                <w:szCs w:val="28"/>
                <w:rtl/>
              </w:rPr>
            </w:pPr>
          </w:p>
          <w:p w:rsidR="004226D7" w:rsidRPr="000429DF" w:rsidRDefault="004226D7" w:rsidP="00E16D63">
            <w:pPr>
              <w:bidi/>
              <w:spacing w:before="60" w:after="60" w:line="280" w:lineRule="exact"/>
              <w:rPr>
                <w:rFonts w:ascii="Arabic Typesetting" w:hAnsi="Arabic Typesetting" w:cs="Arabic Typesetting"/>
                <w:sz w:val="28"/>
                <w:szCs w:val="28"/>
              </w:rPr>
            </w:pP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81</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04</w:t>
            </w:r>
            <w:r w:rsidRPr="000429DF">
              <w:rPr>
                <w:rFonts w:ascii="Arabic Typesetting" w:hAnsi="Arabic Typesetting" w:cs="Arabic Typesetting"/>
                <w:sz w:val="28"/>
                <w:szCs w:val="28"/>
                <w:rtl/>
              </w:rPr>
              <w:t>%</w:t>
            </w:r>
          </w:p>
        </w:tc>
        <w:tc>
          <w:tcPr>
            <w:tcW w:w="452" w:type="pct"/>
            <w:shd w:val="clear" w:color="auto" w:fill="auto"/>
            <w:tcMar>
              <w:top w:w="110" w:type="dxa"/>
            </w:tcMar>
          </w:tcPr>
          <w:p w:rsidR="004226D7" w:rsidRPr="000429DF" w:rsidRDefault="004226D7" w:rsidP="00E16D63">
            <w:pPr>
              <w:bidi/>
              <w:spacing w:before="60" w:after="60" w:line="280" w:lineRule="exact"/>
              <w:jc w:val="center"/>
              <w:rPr>
                <w:rFonts w:ascii="Arabic Typesetting" w:hAnsi="Arabic Typesetting" w:cs="Arabic Typesetting"/>
                <w:b/>
                <w:bCs/>
                <w:color w:val="D56509"/>
                <w:sz w:val="28"/>
                <w:szCs w:val="28"/>
                <w:rtl/>
              </w:rPr>
            </w:pPr>
            <w:r w:rsidRPr="000429DF">
              <w:rPr>
                <w:rFonts w:ascii="Arabic Typesetting" w:hAnsi="Arabic Typesetting" w:cs="Arabic Typesetting" w:hint="cs"/>
                <w:b/>
                <w:bCs/>
                <w:color w:val="D56509"/>
                <w:sz w:val="28"/>
                <w:szCs w:val="28"/>
                <w:rtl/>
              </w:rPr>
              <w:t>محقق جزئياً</w:t>
            </w:r>
          </w:p>
          <w:p w:rsidR="004226D7" w:rsidRPr="000429DF" w:rsidRDefault="004226D7" w:rsidP="00E16D63">
            <w:pPr>
              <w:bidi/>
              <w:spacing w:before="60" w:after="60" w:line="280" w:lineRule="exact"/>
              <w:jc w:val="center"/>
              <w:rPr>
                <w:rFonts w:ascii="Arabic Typesetting" w:hAnsi="Arabic Typesetting" w:cs="Arabic Typesetting"/>
                <w:b/>
                <w:bCs/>
                <w:color w:val="D56509"/>
                <w:sz w:val="28"/>
                <w:szCs w:val="28"/>
                <w:rtl/>
              </w:rPr>
            </w:pPr>
          </w:p>
          <w:p w:rsidR="004226D7" w:rsidRPr="000429DF" w:rsidRDefault="004226D7" w:rsidP="00E16D63">
            <w:pPr>
              <w:bidi/>
              <w:spacing w:before="60" w:after="60" w:line="280" w:lineRule="exact"/>
              <w:jc w:val="center"/>
              <w:rPr>
                <w:rFonts w:ascii="Arabic Typesetting" w:hAnsi="Arabic Typesetting" w:cs="Arabic Typesetting"/>
                <w:b/>
                <w:bCs/>
                <w:color w:val="D56509"/>
                <w:sz w:val="28"/>
                <w:szCs w:val="28"/>
                <w:rtl/>
              </w:rPr>
            </w:pPr>
          </w:p>
          <w:p w:rsidR="004226D7" w:rsidRPr="000429DF" w:rsidRDefault="004226D7" w:rsidP="00E16D63">
            <w:pPr>
              <w:bidi/>
              <w:spacing w:before="60" w:after="60" w:line="280" w:lineRule="exact"/>
              <w:jc w:val="center"/>
              <w:rPr>
                <w:rFonts w:ascii="Arabic Typesetting" w:hAnsi="Arabic Typesetting" w:cs="Arabic Typesetting"/>
                <w:b/>
                <w:bCs/>
                <w:color w:val="D56509"/>
                <w:sz w:val="28"/>
                <w:szCs w:val="28"/>
                <w:rtl/>
              </w:rPr>
            </w:pPr>
          </w:p>
          <w:p w:rsidR="004226D7" w:rsidRPr="000429DF" w:rsidDel="00AF185F" w:rsidRDefault="004226D7" w:rsidP="00E16D63">
            <w:pPr>
              <w:bidi/>
              <w:spacing w:before="60" w:after="60" w:line="280" w:lineRule="exact"/>
              <w:jc w:val="center"/>
              <w:rPr>
                <w:rFonts w:ascii="Arabic Typesetting" w:hAnsi="Arabic Typesetting" w:cs="Arabic Typesetting"/>
                <w:b/>
                <w:bCs/>
                <w:color w:val="FF0000"/>
                <w:sz w:val="28"/>
                <w:szCs w:val="28"/>
              </w:rPr>
            </w:pPr>
            <w:r w:rsidRPr="000429DF">
              <w:rPr>
                <w:rFonts w:ascii="Arabic Typesetting" w:hAnsi="Arabic Typesetting" w:cs="Arabic Typesetting" w:hint="cs"/>
                <w:b/>
                <w:bCs/>
                <w:color w:val="00B050"/>
                <w:sz w:val="28"/>
                <w:szCs w:val="28"/>
                <w:rtl/>
              </w:rPr>
              <w:t>محقق كليا</w:t>
            </w:r>
            <w:r w:rsidR="00E52F29">
              <w:rPr>
                <w:rFonts w:ascii="Arabic Typesetting" w:hAnsi="Arabic Typesetting" w:cs="Arabic Typesetting" w:hint="cs"/>
                <w:b/>
                <w:bCs/>
                <w:color w:val="00B050"/>
                <w:sz w:val="28"/>
                <w:szCs w:val="28"/>
                <w:rtl/>
              </w:rPr>
              <w:t>ً</w:t>
            </w:r>
          </w:p>
        </w:tc>
      </w:tr>
      <w:tr w:rsidR="004226D7" w:rsidRPr="000429DF" w:rsidTr="00B31F9D">
        <w:trPr>
          <w:cantSplit/>
        </w:trPr>
        <w:tc>
          <w:tcPr>
            <w:tcW w:w="959" w:type="pct"/>
            <w:shd w:val="clear" w:color="auto" w:fill="auto"/>
          </w:tcPr>
          <w:p w:rsidR="004226D7" w:rsidRPr="000429DF" w:rsidRDefault="004226D7" w:rsidP="00E16D63">
            <w:pPr>
              <w:bidi/>
              <w:spacing w:before="60" w:after="60" w:line="280" w:lineRule="exact"/>
              <w:rPr>
                <w:rFonts w:ascii="Arabic Typesetting" w:hAnsi="Arabic Typesetting" w:cs="Arabic Typesetting"/>
                <w:sz w:val="28"/>
                <w:szCs w:val="28"/>
                <w:rtl/>
                <w:lang w:bidi="ar-EG"/>
              </w:rPr>
            </w:pPr>
            <w:r w:rsidRPr="000429DF">
              <w:rPr>
                <w:rFonts w:ascii="Arabic Typesetting" w:hAnsi="Arabic Typesetting" w:cs="Arabic Typesetting"/>
                <w:sz w:val="28"/>
                <w:szCs w:val="28"/>
                <w:rtl/>
              </w:rPr>
              <w:t>متوسط عدد أيام الإجازات المرضية لكل موظف (التغيب)</w:t>
            </w:r>
          </w:p>
        </w:tc>
        <w:tc>
          <w:tcPr>
            <w:tcW w:w="1465" w:type="pct"/>
            <w:shd w:val="clear" w:color="auto" w:fill="auto"/>
          </w:tcPr>
          <w:p w:rsidR="004226D7" w:rsidRPr="000429DF" w:rsidRDefault="004226D7" w:rsidP="00E16D63">
            <w:pPr>
              <w:bidi/>
              <w:spacing w:before="60" w:after="60" w:line="280" w:lineRule="exact"/>
              <w:rPr>
                <w:rFonts w:ascii="Arabic Typesetting" w:hAnsi="Arabic Typesetting" w:cs="Arabic Typesetting"/>
                <w:color w:val="002060"/>
                <w:sz w:val="28"/>
                <w:szCs w:val="28"/>
                <w:lang w:bidi="ar-EG"/>
              </w:rPr>
            </w:pPr>
            <w:r w:rsidRPr="000429DF">
              <w:rPr>
                <w:rFonts w:ascii="Arabic Typesetting" w:hAnsi="Arabic Typesetting" w:cs="Arabic Typesetting"/>
                <w:iCs/>
                <w:color w:val="002060"/>
                <w:sz w:val="28"/>
                <w:szCs w:val="28"/>
                <w:rtl/>
              </w:rPr>
              <w:t>أساس المقارنة المُحدَّث في نهاية 2013</w:t>
            </w:r>
            <w:r w:rsidRPr="000429DF">
              <w:rPr>
                <w:rFonts w:ascii="Arabic Typesetting" w:hAnsi="Arabic Typesetting" w:cs="Arabic Typesetting" w:hint="cs"/>
                <w:iCs/>
                <w:color w:val="002060"/>
                <w:sz w:val="28"/>
                <w:szCs w:val="28"/>
                <w:rtl/>
              </w:rPr>
              <w:t>:</w:t>
            </w:r>
            <w:r w:rsidRPr="000429DF">
              <w:rPr>
                <w:rFonts w:ascii="Arabic Typesetting" w:hAnsi="Arabic Typesetting" w:cs="Arabic Typesetting" w:hint="cs"/>
                <w:i/>
                <w:color w:val="002060"/>
                <w:sz w:val="28"/>
                <w:szCs w:val="28"/>
                <w:rtl/>
              </w:rPr>
              <w:t xml:space="preserve"> </w:t>
            </w:r>
            <w:r w:rsidRPr="000429DF">
              <w:rPr>
                <w:rFonts w:ascii="Arabic Typesetting" w:hAnsi="Arabic Typesetting" w:cs="Arabic Typesetting"/>
                <w:color w:val="002060"/>
                <w:sz w:val="28"/>
                <w:szCs w:val="28"/>
                <w:rtl/>
              </w:rPr>
              <w:t>في الثنائية:</w:t>
            </w:r>
            <w:r w:rsidRPr="000429DF">
              <w:rPr>
                <w:rFonts w:ascii="Arabic Typesetting" w:hAnsi="Arabic Typesetting" w:cs="Arabic Typesetting" w:hint="cs"/>
                <w:color w:val="002060"/>
                <w:sz w:val="28"/>
                <w:szCs w:val="28"/>
                <w:rtl/>
                <w:lang w:bidi="ar-EG"/>
              </w:rPr>
              <w:t xml:space="preserve"> 10.34</w:t>
            </w:r>
          </w:p>
          <w:p w:rsidR="004226D7" w:rsidRPr="000429DF" w:rsidRDefault="004226D7" w:rsidP="009A3712">
            <w:pPr>
              <w:numPr>
                <w:ilvl w:val="0"/>
                <w:numId w:val="39"/>
              </w:numPr>
              <w:bidi/>
              <w:spacing w:before="60" w:after="60" w:line="280" w:lineRule="exact"/>
              <w:rPr>
                <w:rFonts w:ascii="Arabic Typesetting" w:hAnsi="Arabic Typesetting" w:cs="Arabic Typesetting"/>
                <w:color w:val="002060"/>
                <w:sz w:val="28"/>
                <w:szCs w:val="28"/>
                <w:lang w:bidi="th-TH"/>
              </w:rPr>
            </w:pPr>
            <w:r w:rsidRPr="000429DF">
              <w:rPr>
                <w:rFonts w:ascii="Arabic Typesetting" w:hAnsi="Arabic Typesetting" w:cs="Arabic Typesetting"/>
                <w:color w:val="002060"/>
                <w:sz w:val="28"/>
                <w:szCs w:val="28"/>
                <w:rtl/>
                <w:lang w:bidi="ar-EG"/>
              </w:rPr>
              <w:t>2012: 9.07</w:t>
            </w:r>
          </w:p>
          <w:p w:rsidR="004226D7" w:rsidRPr="000429DF" w:rsidRDefault="004226D7" w:rsidP="009A3712">
            <w:pPr>
              <w:numPr>
                <w:ilvl w:val="0"/>
                <w:numId w:val="39"/>
              </w:numPr>
              <w:bidi/>
              <w:spacing w:before="60" w:after="60" w:line="280" w:lineRule="exact"/>
              <w:rPr>
                <w:rFonts w:ascii="Arabic Typesetting" w:hAnsi="Arabic Typesetting" w:cs="Arabic Typesetting"/>
                <w:color w:val="002060"/>
                <w:sz w:val="28"/>
                <w:szCs w:val="28"/>
                <w:lang w:bidi="th-TH"/>
              </w:rPr>
            </w:pPr>
            <w:r w:rsidRPr="000429DF">
              <w:rPr>
                <w:rFonts w:ascii="Arabic Typesetting" w:hAnsi="Arabic Typesetting" w:cs="Arabic Typesetting"/>
                <w:color w:val="002060"/>
                <w:sz w:val="28"/>
                <w:szCs w:val="28"/>
                <w:rtl/>
                <w:lang w:bidi="ar-EG"/>
              </w:rPr>
              <w:t>2013: 11.6</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iCs/>
                <w:sz w:val="28"/>
                <w:szCs w:val="28"/>
                <w:rtl/>
              </w:rPr>
              <w:t>أساس المقارنة الأصلي في البرنامج والميزانية 2014/15</w:t>
            </w:r>
            <w:r w:rsidRPr="000429DF">
              <w:rPr>
                <w:rFonts w:ascii="Arabic Typesetting" w:hAnsi="Arabic Typesetting" w:cs="Arabic Typesetting" w:hint="cs"/>
                <w:iCs/>
                <w:sz w:val="28"/>
                <w:szCs w:val="28"/>
                <w:rtl/>
              </w:rPr>
              <w:t>:</w:t>
            </w:r>
            <w:r w:rsidRPr="000429DF">
              <w:rPr>
                <w:rFonts w:ascii="Arabic Typesetting" w:hAnsi="Arabic Typesetting" w:cs="Arabic Typesetting" w:hint="cs"/>
                <w:i/>
                <w:sz w:val="28"/>
                <w:szCs w:val="28"/>
                <w:rtl/>
              </w:rPr>
              <w:t xml:space="preserve"> </w:t>
            </w:r>
            <w:r w:rsidRPr="000429DF">
              <w:rPr>
                <w:rFonts w:ascii="Arabic Typesetting" w:hAnsi="Arabic Typesetting" w:cs="Arabic Typesetting" w:hint="cs"/>
                <w:sz w:val="28"/>
                <w:szCs w:val="28"/>
                <w:rtl/>
              </w:rPr>
              <w:t xml:space="preserve">9.07 </w:t>
            </w:r>
            <w:r w:rsidRPr="000429DF">
              <w:rPr>
                <w:rFonts w:ascii="Arabic Typesetting" w:hAnsi="Arabic Typesetting" w:cs="Arabic Typesetting"/>
                <w:sz w:val="28"/>
                <w:szCs w:val="28"/>
                <w:rtl/>
              </w:rPr>
              <w:t>(ديسمبر</w:t>
            </w:r>
            <w:r w:rsidRPr="000429DF">
              <w:rPr>
                <w:rFonts w:ascii="Arabic Typesetting" w:hAnsi="Arabic Typesetting" w:cs="Arabic Typesetting" w:hint="cs"/>
                <w:sz w:val="28"/>
                <w:szCs w:val="28"/>
                <w:rtl/>
              </w:rPr>
              <w:t> </w:t>
            </w:r>
            <w:r w:rsidRPr="000429DF">
              <w:rPr>
                <w:rFonts w:ascii="Arabic Typesetting" w:hAnsi="Arabic Typesetting" w:cs="Arabic Typesetting"/>
                <w:sz w:val="28"/>
                <w:szCs w:val="28"/>
                <w:rtl/>
              </w:rPr>
              <w:t>2012)</w:t>
            </w:r>
          </w:p>
        </w:tc>
        <w:tc>
          <w:tcPr>
            <w:tcW w:w="911"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9</w:t>
            </w:r>
          </w:p>
        </w:tc>
        <w:tc>
          <w:tcPr>
            <w:tcW w:w="1213" w:type="pct"/>
            <w:shd w:val="clear" w:color="auto" w:fill="FFFFFF"/>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tl/>
              </w:rPr>
            </w:pPr>
            <w:r w:rsidRPr="000429DF">
              <w:rPr>
                <w:rFonts w:ascii="Arabic Typesetting" w:hAnsi="Arabic Typesetting" w:cs="Arabic Typesetting" w:hint="cs"/>
                <w:sz w:val="28"/>
                <w:szCs w:val="28"/>
                <w:rtl/>
              </w:rPr>
              <w:t>2014: 11.2</w:t>
            </w:r>
            <w:r w:rsidRPr="00F96634">
              <w:rPr>
                <w:rFonts w:ascii="Arabic Typesetting" w:hAnsi="Arabic Typesetting" w:cs="Arabic Typesetting"/>
                <w:sz w:val="28"/>
                <w:szCs w:val="28"/>
                <w:vertAlign w:val="superscript"/>
                <w:rtl/>
              </w:rPr>
              <w:footnoteReference w:id="132"/>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2015: 10.5</w:t>
            </w:r>
          </w:p>
        </w:tc>
        <w:tc>
          <w:tcPr>
            <w:tcW w:w="452" w:type="pct"/>
            <w:shd w:val="clear" w:color="auto" w:fill="auto"/>
            <w:tcMar>
              <w:top w:w="110" w:type="dxa"/>
            </w:tcMar>
          </w:tcPr>
          <w:p w:rsidR="004226D7" w:rsidRPr="000429DF" w:rsidDel="00AF185F" w:rsidRDefault="004226D7" w:rsidP="00E16D63">
            <w:pPr>
              <w:bidi/>
              <w:spacing w:before="60" w:after="60" w:line="280" w:lineRule="exact"/>
              <w:jc w:val="center"/>
              <w:rPr>
                <w:rFonts w:ascii="Arabic Typesetting" w:hAnsi="Arabic Typesetting" w:cs="Arabic Typesetting"/>
                <w:b/>
                <w:bCs/>
                <w:color w:val="D56509"/>
                <w:sz w:val="28"/>
                <w:szCs w:val="28"/>
              </w:rPr>
            </w:pPr>
            <w:r w:rsidRPr="000429DF">
              <w:rPr>
                <w:rFonts w:ascii="Arabic Typesetting" w:hAnsi="Arabic Typesetting" w:cs="Arabic Typesetting" w:hint="cs"/>
                <w:b/>
                <w:bCs/>
                <w:color w:val="D56509"/>
                <w:sz w:val="28"/>
                <w:szCs w:val="28"/>
                <w:rtl/>
              </w:rPr>
              <w:t>محقق جزئياً</w:t>
            </w:r>
          </w:p>
        </w:tc>
      </w:tr>
      <w:tr w:rsidR="004226D7" w:rsidRPr="000429DF" w:rsidTr="00B31F9D">
        <w:trPr>
          <w:cantSplit/>
        </w:trPr>
        <w:tc>
          <w:tcPr>
            <w:tcW w:w="959" w:type="pct"/>
            <w:shd w:val="clear" w:color="auto" w:fill="auto"/>
          </w:tcPr>
          <w:p w:rsidR="004226D7" w:rsidRPr="000429DF" w:rsidRDefault="004226D7" w:rsidP="00E16D63">
            <w:pPr>
              <w:bidi/>
              <w:spacing w:before="60" w:after="60" w:line="280" w:lineRule="exact"/>
              <w:rPr>
                <w:rFonts w:ascii="Arabic Typesetting" w:hAnsi="Arabic Typesetting" w:cs="Arabic Typesetting"/>
                <w:sz w:val="28"/>
                <w:szCs w:val="28"/>
                <w:rtl/>
                <w:lang w:bidi="ar-EG"/>
              </w:rPr>
            </w:pPr>
            <w:r w:rsidRPr="000429DF">
              <w:rPr>
                <w:rFonts w:ascii="Arabic Typesetting" w:hAnsi="Arabic Typesetting" w:cs="Arabic Typesetting"/>
                <w:sz w:val="28"/>
                <w:szCs w:val="28"/>
                <w:rtl/>
              </w:rPr>
              <w:lastRenderedPageBreak/>
              <w:t>النسبة المئوية للنساء اللائي يشغلن مناصب من الفئتين المهنية والعليا</w:t>
            </w:r>
          </w:p>
        </w:tc>
        <w:tc>
          <w:tcPr>
            <w:tcW w:w="1465" w:type="pct"/>
            <w:shd w:val="clear" w:color="auto" w:fill="auto"/>
          </w:tcPr>
          <w:p w:rsidR="004226D7" w:rsidRPr="000429DF" w:rsidDel="00A15D98" w:rsidRDefault="004226D7" w:rsidP="00E16D63">
            <w:pPr>
              <w:bidi/>
              <w:spacing w:before="60" w:after="60" w:line="280" w:lineRule="exact"/>
              <w:rPr>
                <w:rFonts w:ascii="Arabic Typesetting" w:hAnsi="Arabic Typesetting" w:cs="Arabic Typesetting"/>
                <w:iCs/>
                <w:color w:val="002060"/>
                <w:sz w:val="28"/>
                <w:szCs w:val="28"/>
              </w:rPr>
            </w:pPr>
            <w:r w:rsidRPr="000429DF">
              <w:rPr>
                <w:rFonts w:ascii="Arabic Typesetting" w:hAnsi="Arabic Typesetting" w:cs="Arabic Typesetting"/>
                <w:iCs/>
                <w:color w:val="002060"/>
                <w:sz w:val="28"/>
                <w:szCs w:val="28"/>
                <w:rtl/>
              </w:rPr>
              <w:t>أساس المقارنة المُحدَّث في نهاية 2013</w:t>
            </w:r>
            <w:r w:rsidRPr="000429DF">
              <w:rPr>
                <w:rFonts w:ascii="Arabic Typesetting" w:hAnsi="Arabic Typesetting" w:cs="Arabic Typesetting" w:hint="cs"/>
                <w:iCs/>
                <w:color w:val="002060"/>
                <w:sz w:val="28"/>
                <w:szCs w:val="28"/>
                <w:rtl/>
              </w:rPr>
              <w:t>:</w:t>
            </w:r>
          </w:p>
          <w:tbl>
            <w:tblPr>
              <w:bidiVisual/>
              <w:tblW w:w="3159" w:type="dxa"/>
              <w:tblLayout w:type="fixed"/>
              <w:tblLook w:val="04A0" w:firstRow="1" w:lastRow="0" w:firstColumn="1" w:lastColumn="0" w:noHBand="0" w:noVBand="1"/>
            </w:tblPr>
            <w:tblGrid>
              <w:gridCol w:w="724"/>
              <w:gridCol w:w="810"/>
              <w:gridCol w:w="1625"/>
            </w:tblGrid>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hint="cs"/>
                      <w:color w:val="002060"/>
                      <w:sz w:val="28"/>
                      <w:szCs w:val="28"/>
                      <w:rtl/>
                    </w:rPr>
                    <w:t>2012:</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tl/>
                      <w:lang w:bidi="ar-EG"/>
                    </w:rPr>
                  </w:pPr>
                  <w:r w:rsidRPr="000429DF">
                    <w:rPr>
                      <w:rFonts w:ascii="Arabic Typesetting" w:hAnsi="Arabic Typesetting" w:cs="Arabic Typesetting" w:hint="cs"/>
                      <w:color w:val="002060"/>
                      <w:sz w:val="28"/>
                      <w:szCs w:val="28"/>
                      <w:rtl/>
                    </w:rPr>
                    <w:t>2013:</w:t>
                  </w:r>
                </w:p>
              </w:tc>
            </w:tr>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ف-4</w:t>
                  </w:r>
                  <w:r w:rsidRPr="000429DF">
                    <w:rPr>
                      <w:rFonts w:ascii="Arabic Typesetting" w:hAnsi="Arabic Typesetting" w:cs="Arabic Typesetting" w:hint="cs"/>
                      <w:color w:val="002060"/>
                      <w:sz w:val="28"/>
                      <w:szCs w:val="28"/>
                      <w:rtl/>
                    </w:rPr>
                    <w:t xml:space="preserve"> -</w:t>
                  </w:r>
                  <w:r w:rsidRPr="000429DF">
                    <w:rPr>
                      <w:rFonts w:ascii="Arabic Typesetting" w:hAnsi="Arabic Typesetting" w:cs="Arabic Typesetting"/>
                      <w:color w:val="002060"/>
                      <w:sz w:val="28"/>
                      <w:szCs w:val="28"/>
                    </w:rPr>
                    <w:t xml:space="preserve"> </w:t>
                  </w: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44.4%</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43.4%</w:t>
                  </w:r>
                </w:p>
              </w:tc>
            </w:tr>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ف-5</w:t>
                  </w:r>
                  <w:r w:rsidRPr="000429DF">
                    <w:rPr>
                      <w:rFonts w:ascii="Arabic Typesetting" w:hAnsi="Arabic Typesetting" w:cs="Arabic Typesetting"/>
                      <w:color w:val="002060"/>
                      <w:sz w:val="28"/>
                      <w:szCs w:val="28"/>
                    </w:rPr>
                    <w:t xml:space="preserve"> - </w:t>
                  </w: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30.3%</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34.3%</w:t>
                  </w:r>
                </w:p>
              </w:tc>
            </w:tr>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د-1</w:t>
                  </w:r>
                  <w:r w:rsidRPr="000429DF">
                    <w:rPr>
                      <w:rFonts w:ascii="Arabic Typesetting" w:hAnsi="Arabic Typesetting" w:cs="Arabic Typesetting"/>
                      <w:color w:val="002060"/>
                      <w:sz w:val="28"/>
                      <w:szCs w:val="28"/>
                    </w:rPr>
                    <w:t xml:space="preserve"> - </w:t>
                  </w: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24.4%</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26.8%</w:t>
                  </w:r>
                </w:p>
              </w:tc>
            </w:tr>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د-2</w:t>
                  </w:r>
                  <w:r w:rsidRPr="000429DF">
                    <w:rPr>
                      <w:rFonts w:ascii="Arabic Typesetting" w:hAnsi="Arabic Typesetting" w:cs="Arabic Typesetting"/>
                      <w:color w:val="002060"/>
                      <w:sz w:val="28"/>
                      <w:szCs w:val="28"/>
                    </w:rPr>
                    <w:t xml:space="preserve"> - </w:t>
                  </w: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23.1%</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33.3%</w:t>
                  </w:r>
                </w:p>
              </w:tc>
            </w:tr>
          </w:tbl>
          <w:p w:rsidR="004226D7" w:rsidRPr="000429DF" w:rsidRDefault="004226D7" w:rsidP="00E16D63">
            <w:pPr>
              <w:bidi/>
              <w:spacing w:before="60" w:after="60" w:line="280" w:lineRule="exact"/>
              <w:rPr>
                <w:rFonts w:ascii="Arabic Typesetting" w:hAnsi="Arabic Typesetting" w:cs="Arabic Typesetting"/>
                <w:iCs/>
                <w:sz w:val="28"/>
                <w:szCs w:val="28"/>
              </w:rPr>
            </w:pPr>
            <w:r w:rsidRPr="000429DF">
              <w:rPr>
                <w:rFonts w:ascii="Arabic Typesetting" w:hAnsi="Arabic Typesetting" w:cs="Arabic Typesetting"/>
                <w:iCs/>
                <w:sz w:val="28"/>
                <w:szCs w:val="28"/>
                <w:rtl/>
              </w:rPr>
              <w:t>أساس المقارنة الأصلي في البرنامج والميزانية 2014/15</w:t>
            </w:r>
            <w:r w:rsidRPr="000429DF">
              <w:rPr>
                <w:rFonts w:ascii="Arabic Typesetting" w:hAnsi="Arabic Typesetting" w:cs="Arabic Typesetting" w:hint="cs"/>
                <w:iCs/>
                <w:sz w:val="28"/>
                <w:szCs w:val="28"/>
                <w:rtl/>
              </w:rPr>
              <w:t xml:space="preserve">: </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ف-4 – 44.1%</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ف-5 – 31.8%</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د-1 – 26.2%</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د-2 – 23.1%</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w:t>
            </w:r>
            <w:r w:rsidRPr="000429DF">
              <w:rPr>
                <w:rFonts w:ascii="Arabic Typesetting" w:hAnsi="Arabic Typesetting" w:cs="Arabic Typesetting"/>
                <w:sz w:val="28"/>
                <w:szCs w:val="28"/>
                <w:rtl/>
              </w:rPr>
              <w:t>ديسمبر 2012</w:t>
            </w:r>
            <w:r w:rsidRPr="000429DF">
              <w:rPr>
                <w:rFonts w:ascii="Arabic Typesetting" w:hAnsi="Arabic Typesetting" w:cs="Arabic Typesetting" w:hint="cs"/>
                <w:sz w:val="28"/>
                <w:szCs w:val="28"/>
                <w:rtl/>
              </w:rPr>
              <w:t>)</w:t>
            </w:r>
          </w:p>
        </w:tc>
        <w:tc>
          <w:tcPr>
            <w:tcW w:w="911"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ف-4 – 46%</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ف-5 – 35%</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د-1 – 30%</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د-2 – 30%</w:t>
            </w:r>
          </w:p>
        </w:tc>
        <w:tc>
          <w:tcPr>
            <w:tcW w:w="1213" w:type="pct"/>
            <w:shd w:val="clear" w:color="auto" w:fill="FFFFFF"/>
            <w:tcMar>
              <w:top w:w="110" w:type="dxa"/>
            </w:tcMar>
          </w:tcPr>
          <w:tbl>
            <w:tblPr>
              <w:bidiVisual/>
              <w:tblW w:w="3159" w:type="dxa"/>
              <w:tblLayout w:type="fixed"/>
              <w:tblLook w:val="04A0" w:firstRow="1" w:lastRow="0" w:firstColumn="1" w:lastColumn="0" w:noHBand="0" w:noVBand="1"/>
            </w:tblPr>
            <w:tblGrid>
              <w:gridCol w:w="724"/>
              <w:gridCol w:w="810"/>
              <w:gridCol w:w="1625"/>
            </w:tblGrid>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2014:</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tl/>
                      <w:lang w:bidi="ar-EG"/>
                    </w:rPr>
                  </w:pPr>
                  <w:r w:rsidRPr="000429DF">
                    <w:rPr>
                      <w:rFonts w:ascii="Arabic Typesetting" w:hAnsi="Arabic Typesetting" w:cs="Arabic Typesetting" w:hint="cs"/>
                      <w:sz w:val="28"/>
                      <w:szCs w:val="28"/>
                      <w:rtl/>
                    </w:rPr>
                    <w:t>2015:</w:t>
                  </w:r>
                </w:p>
              </w:tc>
            </w:tr>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ف-4</w:t>
                  </w:r>
                  <w:r w:rsidRPr="000429DF">
                    <w:rPr>
                      <w:rFonts w:ascii="Arabic Typesetting" w:hAnsi="Arabic Typesetting" w:cs="Arabic Typesetting" w:hint="cs"/>
                      <w:sz w:val="28"/>
                      <w:szCs w:val="28"/>
                      <w:rtl/>
                    </w:rPr>
                    <w:t xml:space="preserve"> -</w:t>
                  </w:r>
                  <w:r w:rsidRPr="000429DF">
                    <w:rPr>
                      <w:rFonts w:ascii="Arabic Typesetting" w:hAnsi="Arabic Typesetting" w:cs="Arabic Typesetting"/>
                      <w:sz w:val="28"/>
                      <w:szCs w:val="28"/>
                    </w:rPr>
                    <w:t xml:space="preserve"> </w:t>
                  </w: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44.4%</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46</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1</w:t>
                  </w:r>
                  <w:r w:rsidRPr="000429DF">
                    <w:rPr>
                      <w:rFonts w:ascii="Arabic Typesetting" w:hAnsi="Arabic Typesetting" w:cs="Arabic Typesetting"/>
                      <w:sz w:val="28"/>
                      <w:szCs w:val="28"/>
                      <w:rtl/>
                    </w:rPr>
                    <w:t>%</w:t>
                  </w:r>
                </w:p>
              </w:tc>
            </w:tr>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ف-5</w:t>
                  </w:r>
                  <w:r w:rsidRPr="000429DF">
                    <w:rPr>
                      <w:rFonts w:ascii="Arabic Typesetting" w:hAnsi="Arabic Typesetting" w:cs="Arabic Typesetting"/>
                      <w:sz w:val="28"/>
                      <w:szCs w:val="28"/>
                    </w:rPr>
                    <w:t xml:space="preserve"> - </w:t>
                  </w: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34</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4</w:t>
                  </w:r>
                  <w:r w:rsidRPr="000429DF">
                    <w:rPr>
                      <w:rFonts w:ascii="Arabic Typesetting" w:hAnsi="Arabic Typesetting" w:cs="Arabic Typesetting"/>
                      <w:sz w:val="28"/>
                      <w:szCs w:val="28"/>
                      <w:rtl/>
                    </w:rPr>
                    <w:t>%</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34.</w:t>
                  </w:r>
                  <w:r w:rsidRPr="000429DF">
                    <w:rPr>
                      <w:rFonts w:ascii="Arabic Typesetting" w:hAnsi="Arabic Typesetting" w:cs="Arabic Typesetting" w:hint="cs"/>
                      <w:sz w:val="28"/>
                      <w:szCs w:val="28"/>
                      <w:rtl/>
                    </w:rPr>
                    <w:t>1</w:t>
                  </w:r>
                  <w:r w:rsidRPr="000429DF">
                    <w:rPr>
                      <w:rFonts w:ascii="Arabic Typesetting" w:hAnsi="Arabic Typesetting" w:cs="Arabic Typesetting"/>
                      <w:sz w:val="28"/>
                      <w:szCs w:val="28"/>
                      <w:rtl/>
                    </w:rPr>
                    <w:t>%</w:t>
                  </w:r>
                </w:p>
              </w:tc>
            </w:tr>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د-1</w:t>
                  </w:r>
                  <w:r w:rsidRPr="000429DF">
                    <w:rPr>
                      <w:rFonts w:ascii="Arabic Typesetting" w:hAnsi="Arabic Typesetting" w:cs="Arabic Typesetting"/>
                      <w:sz w:val="28"/>
                      <w:szCs w:val="28"/>
                    </w:rPr>
                    <w:t xml:space="preserve"> - </w:t>
                  </w: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26</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7</w:t>
                  </w:r>
                  <w:r w:rsidRPr="000429DF">
                    <w:rPr>
                      <w:rFonts w:ascii="Arabic Typesetting" w:hAnsi="Arabic Typesetting" w:cs="Arabic Typesetting"/>
                      <w:sz w:val="28"/>
                      <w:szCs w:val="28"/>
                      <w:rtl/>
                    </w:rPr>
                    <w:t>%</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26.</w:t>
                  </w:r>
                  <w:r w:rsidRPr="000429DF">
                    <w:rPr>
                      <w:rFonts w:ascii="Arabic Typesetting" w:hAnsi="Arabic Typesetting" w:cs="Arabic Typesetting" w:hint="cs"/>
                      <w:sz w:val="28"/>
                      <w:szCs w:val="28"/>
                      <w:rtl/>
                    </w:rPr>
                    <w:t>5</w:t>
                  </w:r>
                  <w:r w:rsidRPr="000429DF">
                    <w:rPr>
                      <w:rFonts w:ascii="Arabic Typesetting" w:hAnsi="Arabic Typesetting" w:cs="Arabic Typesetting"/>
                      <w:sz w:val="28"/>
                      <w:szCs w:val="28"/>
                      <w:rtl/>
                    </w:rPr>
                    <w:t>%</w:t>
                  </w:r>
                </w:p>
              </w:tc>
            </w:tr>
            <w:tr w:rsidR="004226D7" w:rsidRPr="000429DF" w:rsidTr="00E16D63">
              <w:trPr>
                <w:trHeight w:val="255"/>
              </w:trPr>
              <w:tc>
                <w:tcPr>
                  <w:tcW w:w="724"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د-2</w:t>
                  </w:r>
                  <w:r w:rsidRPr="000429DF">
                    <w:rPr>
                      <w:rFonts w:ascii="Arabic Typesetting" w:hAnsi="Arabic Typesetting" w:cs="Arabic Typesetting"/>
                      <w:sz w:val="28"/>
                      <w:szCs w:val="28"/>
                    </w:rPr>
                    <w:t xml:space="preserve"> - </w:t>
                  </w:r>
                </w:p>
              </w:tc>
              <w:tc>
                <w:tcPr>
                  <w:tcW w:w="810"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22</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2</w:t>
                  </w:r>
                  <w:r w:rsidRPr="000429DF">
                    <w:rPr>
                      <w:rFonts w:ascii="Arabic Typesetting" w:hAnsi="Arabic Typesetting" w:cs="Arabic Typesetting"/>
                      <w:sz w:val="28"/>
                      <w:szCs w:val="28"/>
                      <w:rtl/>
                    </w:rPr>
                    <w:t>%</w:t>
                  </w:r>
                </w:p>
              </w:tc>
              <w:tc>
                <w:tcPr>
                  <w:tcW w:w="1625" w:type="dxa"/>
                  <w:shd w:val="clear" w:color="auto" w:fill="auto"/>
                  <w:noWrap/>
                  <w:vAlign w:val="bottom"/>
                  <w:hideMark/>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22</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2</w:t>
                  </w:r>
                  <w:r w:rsidRPr="000429DF">
                    <w:rPr>
                      <w:rFonts w:ascii="Arabic Typesetting" w:hAnsi="Arabic Typesetting" w:cs="Arabic Typesetting"/>
                      <w:sz w:val="28"/>
                      <w:szCs w:val="28"/>
                      <w:rtl/>
                    </w:rPr>
                    <w:t>%</w:t>
                  </w:r>
                </w:p>
              </w:tc>
            </w:tr>
          </w:tbl>
          <w:p w:rsidR="004226D7" w:rsidRPr="000429DF" w:rsidRDefault="004226D7" w:rsidP="00E16D63">
            <w:pPr>
              <w:bidi/>
              <w:spacing w:before="60" w:after="60" w:line="280" w:lineRule="exact"/>
              <w:rPr>
                <w:rFonts w:ascii="Arabic Typesetting" w:hAnsi="Arabic Typesetting" w:cs="Arabic Typesetting"/>
                <w:sz w:val="28"/>
                <w:szCs w:val="28"/>
              </w:rPr>
            </w:pPr>
          </w:p>
        </w:tc>
        <w:tc>
          <w:tcPr>
            <w:tcW w:w="452" w:type="pct"/>
            <w:shd w:val="clear" w:color="auto" w:fill="auto"/>
            <w:tcMar>
              <w:top w:w="110" w:type="dxa"/>
            </w:tcMar>
          </w:tcPr>
          <w:p w:rsidR="004226D7" w:rsidRPr="000429DF" w:rsidRDefault="004226D7" w:rsidP="00E16D63">
            <w:pPr>
              <w:bidi/>
              <w:spacing w:before="60" w:after="60" w:line="280" w:lineRule="exact"/>
              <w:jc w:val="center"/>
              <w:rPr>
                <w:rFonts w:ascii="Arabic Typesetting" w:hAnsi="Arabic Typesetting" w:cs="Arabic Typesetting"/>
                <w:b/>
                <w:bCs/>
                <w:sz w:val="28"/>
                <w:szCs w:val="28"/>
                <w:rtl/>
              </w:rPr>
            </w:pPr>
          </w:p>
          <w:p w:rsidR="004226D7" w:rsidRPr="000429DF" w:rsidRDefault="004226D7" w:rsidP="00E16D63">
            <w:pPr>
              <w:bidi/>
              <w:spacing w:before="60" w:after="60" w:line="280" w:lineRule="exact"/>
              <w:jc w:val="center"/>
              <w:rPr>
                <w:rFonts w:ascii="Arabic Typesetting" w:hAnsi="Arabic Typesetting" w:cs="Arabic Typesetting"/>
                <w:b/>
                <w:bCs/>
                <w:color w:val="00B050"/>
                <w:sz w:val="28"/>
                <w:szCs w:val="28"/>
                <w:rtl/>
              </w:rPr>
            </w:pPr>
            <w:r w:rsidRPr="000429DF">
              <w:rPr>
                <w:rFonts w:ascii="Arabic Typesetting" w:hAnsi="Arabic Typesetting" w:cs="Arabic Typesetting" w:hint="cs"/>
                <w:b/>
                <w:bCs/>
                <w:color w:val="00B050"/>
                <w:sz w:val="28"/>
                <w:szCs w:val="28"/>
                <w:rtl/>
              </w:rPr>
              <w:t>محقق كليا</w:t>
            </w:r>
            <w:r w:rsidR="00E52F29">
              <w:rPr>
                <w:rFonts w:ascii="Arabic Typesetting" w:hAnsi="Arabic Typesetting" w:cs="Arabic Typesetting" w:hint="cs"/>
                <w:b/>
                <w:bCs/>
                <w:color w:val="00B050"/>
                <w:sz w:val="28"/>
                <w:szCs w:val="28"/>
                <w:rtl/>
              </w:rPr>
              <w:t>ً</w:t>
            </w:r>
          </w:p>
          <w:p w:rsidR="004226D7" w:rsidRPr="000429DF" w:rsidRDefault="004226D7" w:rsidP="00E16D63">
            <w:pPr>
              <w:bidi/>
              <w:spacing w:before="60" w:after="60" w:line="280" w:lineRule="exact"/>
              <w:jc w:val="center"/>
              <w:rPr>
                <w:rFonts w:ascii="Arabic Typesetting" w:hAnsi="Arabic Typesetting" w:cs="Arabic Typesetting"/>
                <w:b/>
                <w:bCs/>
                <w:color w:val="FF0000"/>
                <w:sz w:val="28"/>
                <w:szCs w:val="28"/>
              </w:rPr>
            </w:pPr>
            <w:r w:rsidRPr="000429DF">
              <w:rPr>
                <w:rFonts w:ascii="Arabic Typesetting" w:hAnsi="Arabic Typesetting" w:cs="Arabic Typesetting"/>
                <w:b/>
                <w:bCs/>
                <w:color w:val="FF0000"/>
                <w:sz w:val="28"/>
                <w:szCs w:val="28"/>
                <w:rtl/>
              </w:rPr>
              <w:t xml:space="preserve">غير </w:t>
            </w:r>
            <w:r w:rsidRPr="000429DF">
              <w:rPr>
                <w:rFonts w:ascii="Arabic Typesetting" w:hAnsi="Arabic Typesetting" w:cs="Arabic Typesetting" w:hint="cs"/>
                <w:b/>
                <w:bCs/>
                <w:color w:val="FF0000"/>
                <w:sz w:val="28"/>
                <w:szCs w:val="28"/>
                <w:rtl/>
              </w:rPr>
              <w:t>محقق</w:t>
            </w:r>
          </w:p>
          <w:p w:rsidR="004226D7" w:rsidRPr="000429DF" w:rsidRDefault="004226D7" w:rsidP="00E16D63">
            <w:pPr>
              <w:bidi/>
              <w:spacing w:before="60" w:after="60" w:line="280" w:lineRule="exact"/>
              <w:jc w:val="center"/>
              <w:rPr>
                <w:rFonts w:ascii="Arabic Typesetting" w:hAnsi="Arabic Typesetting" w:cs="Arabic Typesetting"/>
                <w:b/>
                <w:bCs/>
                <w:color w:val="FF0000"/>
                <w:sz w:val="28"/>
                <w:szCs w:val="28"/>
              </w:rPr>
            </w:pPr>
            <w:r w:rsidRPr="000429DF">
              <w:rPr>
                <w:rFonts w:ascii="Arabic Typesetting" w:hAnsi="Arabic Typesetting" w:cs="Arabic Typesetting"/>
                <w:b/>
                <w:bCs/>
                <w:color w:val="FF0000"/>
                <w:sz w:val="28"/>
                <w:szCs w:val="28"/>
                <w:rtl/>
              </w:rPr>
              <w:t xml:space="preserve">غير </w:t>
            </w:r>
            <w:r w:rsidRPr="000429DF">
              <w:rPr>
                <w:rFonts w:ascii="Arabic Typesetting" w:hAnsi="Arabic Typesetting" w:cs="Arabic Typesetting" w:hint="cs"/>
                <w:b/>
                <w:bCs/>
                <w:color w:val="FF0000"/>
                <w:sz w:val="28"/>
                <w:szCs w:val="28"/>
                <w:rtl/>
              </w:rPr>
              <w:t>محقق</w:t>
            </w:r>
          </w:p>
          <w:p w:rsidR="004226D7" w:rsidRPr="000429DF" w:rsidRDefault="004226D7" w:rsidP="00E16D63">
            <w:pPr>
              <w:bidi/>
              <w:spacing w:before="60" w:after="60" w:line="280" w:lineRule="exact"/>
              <w:jc w:val="center"/>
              <w:rPr>
                <w:rFonts w:ascii="Arabic Typesetting" w:hAnsi="Arabic Typesetting" w:cs="Arabic Typesetting"/>
                <w:bCs/>
                <w:color w:val="808080"/>
                <w:sz w:val="28"/>
                <w:szCs w:val="28"/>
              </w:rPr>
            </w:pPr>
            <w:r w:rsidRPr="000429DF">
              <w:rPr>
                <w:rFonts w:ascii="Arabic Typesetting" w:hAnsi="Arabic Typesetting" w:cs="Arabic Typesetting"/>
                <w:b/>
                <w:bCs/>
                <w:color w:val="FF0000"/>
                <w:sz w:val="28"/>
                <w:szCs w:val="28"/>
                <w:rtl/>
              </w:rPr>
              <w:t xml:space="preserve">غير </w:t>
            </w:r>
            <w:r w:rsidRPr="000429DF">
              <w:rPr>
                <w:rFonts w:ascii="Arabic Typesetting" w:hAnsi="Arabic Typesetting" w:cs="Arabic Typesetting" w:hint="cs"/>
                <w:b/>
                <w:bCs/>
                <w:color w:val="FF0000"/>
                <w:sz w:val="28"/>
                <w:szCs w:val="28"/>
                <w:rtl/>
              </w:rPr>
              <w:t>محقق</w:t>
            </w:r>
          </w:p>
        </w:tc>
      </w:tr>
      <w:tr w:rsidR="004226D7" w:rsidRPr="000429DF" w:rsidTr="00B31F9D">
        <w:trPr>
          <w:cantSplit/>
        </w:trPr>
        <w:tc>
          <w:tcPr>
            <w:tcW w:w="959" w:type="pct"/>
            <w:shd w:val="clear" w:color="auto" w:fill="auto"/>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التنوع الجغرافي – النسبة المئوية للموظفين</w:t>
            </w:r>
            <w:r w:rsidRPr="00F96634">
              <w:rPr>
                <w:rFonts w:ascii="Arabic Typesetting" w:hAnsi="Arabic Typesetting" w:cs="Arabic Typesetting"/>
                <w:sz w:val="28"/>
                <w:szCs w:val="28"/>
                <w:vertAlign w:val="superscript"/>
                <w:rtl/>
              </w:rPr>
              <w:footnoteReference w:id="133"/>
            </w:r>
            <w:r w:rsidRPr="000429DF">
              <w:rPr>
                <w:rFonts w:ascii="Arabic Typesetting" w:hAnsi="Arabic Typesetting" w:cs="Arabic Typesetting"/>
                <w:sz w:val="28"/>
                <w:szCs w:val="28"/>
                <w:rtl/>
              </w:rPr>
              <w:t xml:space="preserve"> بحسب المناطق</w:t>
            </w:r>
          </w:p>
        </w:tc>
        <w:tc>
          <w:tcPr>
            <w:tcW w:w="1465" w:type="pct"/>
            <w:shd w:val="clear" w:color="auto" w:fill="auto"/>
          </w:tcPr>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iCs/>
                <w:color w:val="002060"/>
                <w:sz w:val="28"/>
                <w:szCs w:val="28"/>
                <w:rtl/>
              </w:rPr>
              <w:t>أساس المقارنة المُحدَّث في نهاية 2013</w:t>
            </w:r>
            <w:r w:rsidRPr="000429DF">
              <w:rPr>
                <w:rFonts w:ascii="Arabic Typesetting" w:hAnsi="Arabic Typesetting" w:cs="Arabic Typesetting" w:hint="cs"/>
                <w:iCs/>
                <w:color w:val="002060"/>
                <w:sz w:val="28"/>
                <w:szCs w:val="28"/>
                <w:rtl/>
              </w:rPr>
              <w:t>:</w:t>
            </w:r>
            <w:r w:rsidRPr="000429DF">
              <w:rPr>
                <w:rFonts w:ascii="Arabic Typesetting" w:hAnsi="Arabic Typesetting" w:cs="Arabic Typesetting"/>
                <w:i/>
                <w:color w:val="002060"/>
                <w:sz w:val="28"/>
                <w:szCs w:val="28"/>
              </w:rPr>
              <w:t xml:space="preserve"> </w:t>
            </w:r>
            <w:r w:rsidRPr="000429DF">
              <w:rPr>
                <w:rFonts w:ascii="Arabic Typesetting" w:hAnsi="Arabic Typesetting" w:cs="Arabic Typesetting"/>
                <w:color w:val="002060"/>
                <w:sz w:val="28"/>
                <w:szCs w:val="28"/>
                <w:rtl/>
              </w:rPr>
              <w:t>أفريقيا 11.</w:t>
            </w:r>
            <w:r w:rsidRPr="000429DF">
              <w:rPr>
                <w:rFonts w:ascii="Arabic Typesetting" w:hAnsi="Arabic Typesetting" w:cs="Arabic Typesetting" w:hint="cs"/>
                <w:color w:val="002060"/>
                <w:sz w:val="28"/>
                <w:szCs w:val="28"/>
                <w:rtl/>
              </w:rPr>
              <w:t>4</w:t>
            </w:r>
            <w:r w:rsidRPr="000429DF">
              <w:rPr>
                <w:rFonts w:ascii="Arabic Typesetting" w:hAnsi="Arabic Typesetting" w:cs="Arabic Typesetting"/>
                <w:color w:val="002060"/>
                <w:sz w:val="28"/>
                <w:szCs w:val="28"/>
              </w:rPr>
              <w:t>%</w:t>
            </w:r>
          </w:p>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آسيا والمحيط الهادئ 13.7</w:t>
            </w:r>
            <w:r w:rsidRPr="000429DF">
              <w:rPr>
                <w:rFonts w:ascii="Arabic Typesetting" w:hAnsi="Arabic Typesetting" w:cs="Arabic Typesetting"/>
                <w:color w:val="002060"/>
                <w:sz w:val="28"/>
                <w:szCs w:val="28"/>
              </w:rPr>
              <w:t>%</w:t>
            </w:r>
          </w:p>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 xml:space="preserve">أوروبا الشرقية والوسطى وآسيا الوسطى </w:t>
            </w:r>
            <w:r w:rsidRPr="000429DF">
              <w:rPr>
                <w:rFonts w:ascii="Arabic Typesetting" w:hAnsi="Arabic Typesetting" w:cs="Arabic Typesetting" w:hint="cs"/>
                <w:color w:val="002060"/>
                <w:sz w:val="28"/>
                <w:szCs w:val="28"/>
                <w:rtl/>
              </w:rPr>
              <w:t>5</w:t>
            </w:r>
            <w:r w:rsidRPr="000429DF">
              <w:rPr>
                <w:rFonts w:ascii="Arabic Typesetting" w:hAnsi="Arabic Typesetting" w:cs="Arabic Typesetting"/>
                <w:color w:val="002060"/>
                <w:sz w:val="28"/>
                <w:szCs w:val="28"/>
                <w:rtl/>
              </w:rPr>
              <w:t>.</w:t>
            </w:r>
            <w:r w:rsidRPr="000429DF">
              <w:rPr>
                <w:rFonts w:ascii="Arabic Typesetting" w:hAnsi="Arabic Typesetting" w:cs="Arabic Typesetting" w:hint="cs"/>
                <w:color w:val="002060"/>
                <w:sz w:val="28"/>
                <w:szCs w:val="28"/>
                <w:rtl/>
              </w:rPr>
              <w:t>9</w:t>
            </w:r>
            <w:r w:rsidRPr="000429DF">
              <w:rPr>
                <w:rFonts w:ascii="Arabic Typesetting" w:hAnsi="Arabic Typesetting" w:cs="Arabic Typesetting"/>
                <w:color w:val="002060"/>
                <w:sz w:val="28"/>
                <w:szCs w:val="28"/>
              </w:rPr>
              <w:t>%</w:t>
            </w:r>
          </w:p>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أمريكا اللاتينية والكاريبي 8.6</w:t>
            </w:r>
            <w:r w:rsidRPr="000429DF">
              <w:rPr>
                <w:rFonts w:ascii="Arabic Typesetting" w:hAnsi="Arabic Typesetting" w:cs="Arabic Typesetting"/>
                <w:color w:val="002060"/>
                <w:sz w:val="28"/>
                <w:szCs w:val="28"/>
              </w:rPr>
              <w:t>%</w:t>
            </w:r>
          </w:p>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الشرق الأوسط 1.2</w:t>
            </w:r>
            <w:r w:rsidRPr="000429DF">
              <w:rPr>
                <w:rFonts w:ascii="Arabic Typesetting" w:hAnsi="Arabic Typesetting" w:cs="Arabic Typesetting"/>
                <w:color w:val="002060"/>
                <w:sz w:val="28"/>
                <w:szCs w:val="28"/>
              </w:rPr>
              <w:t>%</w:t>
            </w:r>
          </w:p>
          <w:p w:rsidR="004226D7" w:rsidRPr="000429DF" w:rsidRDefault="004226D7" w:rsidP="00E16D63">
            <w:pPr>
              <w:bidi/>
              <w:spacing w:before="60" w:after="60" w:line="280" w:lineRule="exact"/>
              <w:rPr>
                <w:rFonts w:ascii="Arabic Typesetting" w:hAnsi="Arabic Typesetting" w:cs="Arabic Typesetting"/>
                <w:color w:val="002060"/>
                <w:sz w:val="28"/>
                <w:szCs w:val="28"/>
              </w:rPr>
            </w:pPr>
            <w:r w:rsidRPr="000429DF">
              <w:rPr>
                <w:rFonts w:ascii="Arabic Typesetting" w:hAnsi="Arabic Typesetting" w:cs="Arabic Typesetting"/>
                <w:color w:val="002060"/>
                <w:sz w:val="28"/>
                <w:szCs w:val="28"/>
                <w:rtl/>
              </w:rPr>
              <w:t>أمريكا الشمالية 8.</w:t>
            </w:r>
            <w:r w:rsidRPr="000429DF">
              <w:rPr>
                <w:rFonts w:ascii="Arabic Typesetting" w:hAnsi="Arabic Typesetting" w:cs="Arabic Typesetting" w:hint="cs"/>
                <w:color w:val="002060"/>
                <w:sz w:val="28"/>
                <w:szCs w:val="28"/>
                <w:rtl/>
              </w:rPr>
              <w:t>2</w:t>
            </w:r>
            <w:r w:rsidRPr="000429DF">
              <w:rPr>
                <w:rFonts w:ascii="Arabic Typesetting" w:hAnsi="Arabic Typesetting" w:cs="Arabic Typesetting"/>
                <w:color w:val="002060"/>
                <w:sz w:val="28"/>
                <w:szCs w:val="28"/>
              </w:rPr>
              <w:t>%</w:t>
            </w:r>
          </w:p>
          <w:p w:rsidR="004226D7" w:rsidRPr="000429DF" w:rsidRDefault="004226D7" w:rsidP="00E16D63">
            <w:pPr>
              <w:bidi/>
              <w:spacing w:before="60" w:after="60" w:line="280" w:lineRule="exact"/>
              <w:rPr>
                <w:rFonts w:ascii="Arabic Typesetting" w:hAnsi="Arabic Typesetting" w:cs="Arabic Typesetting"/>
                <w:color w:val="002060"/>
                <w:sz w:val="28"/>
                <w:szCs w:val="28"/>
                <w:lang w:bidi="th-TH"/>
              </w:rPr>
            </w:pPr>
            <w:r w:rsidRPr="000429DF">
              <w:rPr>
                <w:rFonts w:ascii="Arabic Typesetting" w:hAnsi="Arabic Typesetting" w:cs="Arabic Typesetting"/>
                <w:color w:val="002060"/>
                <w:sz w:val="28"/>
                <w:szCs w:val="28"/>
                <w:rtl/>
              </w:rPr>
              <w:t>أوروبا الغربية 51.</w:t>
            </w:r>
            <w:r w:rsidRPr="000429DF">
              <w:rPr>
                <w:rFonts w:ascii="Arabic Typesetting" w:hAnsi="Arabic Typesetting" w:cs="Arabic Typesetting" w:hint="cs"/>
                <w:color w:val="002060"/>
                <w:sz w:val="28"/>
                <w:szCs w:val="28"/>
                <w:rtl/>
              </w:rPr>
              <w:t>0</w:t>
            </w:r>
            <w:r w:rsidRPr="000429DF">
              <w:rPr>
                <w:rFonts w:ascii="Arabic Typesetting" w:hAnsi="Arabic Typesetting" w:cs="Arabic Typesetting"/>
                <w:color w:val="002060"/>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iCs/>
                <w:sz w:val="28"/>
                <w:szCs w:val="28"/>
                <w:rtl/>
              </w:rPr>
              <w:t>أساس المقارنة الأصلي في البرنامج والميزانية 2014/15</w:t>
            </w:r>
            <w:r w:rsidRPr="000429DF">
              <w:rPr>
                <w:rFonts w:ascii="Arabic Typesetting" w:hAnsi="Arabic Typesetting" w:cs="Arabic Typesetting" w:hint="cs"/>
                <w:iCs/>
                <w:sz w:val="28"/>
                <w:szCs w:val="28"/>
                <w:rtl/>
              </w:rPr>
              <w:t>:</w:t>
            </w:r>
            <w:r w:rsidRPr="000429DF">
              <w:rPr>
                <w:rFonts w:ascii="Arabic Typesetting" w:hAnsi="Arabic Typesetting" w:cs="Arabic Typesetting" w:hint="cs"/>
                <w:i/>
                <w:sz w:val="28"/>
                <w:szCs w:val="28"/>
                <w:rtl/>
              </w:rPr>
              <w:t xml:space="preserve"> </w:t>
            </w:r>
            <w:r w:rsidRPr="000429DF">
              <w:rPr>
                <w:rFonts w:ascii="Arabic Typesetting" w:hAnsi="Arabic Typesetting" w:cs="Arabic Typesetting"/>
                <w:sz w:val="28"/>
                <w:szCs w:val="28"/>
                <w:rtl/>
              </w:rPr>
              <w:t>أفريقيا 11.0</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آسيا والمحيط الهادئ 13.7</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أوروبا الشرقية والوسطى وآسيا الوسطى 6.2</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أمريكا اللاتينية والكاريبي 8.6</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الشرق الأوسط 1.2</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أمريكا الشمالية 8.0</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أوروبا الغربية 51.2</w:t>
            </w:r>
            <w:r w:rsidRPr="000429DF">
              <w:rPr>
                <w:rFonts w:ascii="Arabic Typesetting" w:hAnsi="Arabic Typesetting" w:cs="Arabic Typesetting"/>
                <w:sz w:val="28"/>
                <w:szCs w:val="28"/>
              </w:rPr>
              <w:t>%</w:t>
            </w:r>
          </w:p>
        </w:tc>
        <w:tc>
          <w:tcPr>
            <w:tcW w:w="911"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تُحدَّد لاحقاً</w:t>
            </w:r>
            <w:r w:rsidRPr="00F96634">
              <w:rPr>
                <w:rFonts w:ascii="Arabic Typesetting" w:hAnsi="Arabic Typesetting" w:cs="Arabic Typesetting"/>
                <w:sz w:val="28"/>
                <w:szCs w:val="28"/>
                <w:vertAlign w:val="superscript"/>
              </w:rPr>
              <w:footnoteReference w:id="134"/>
            </w:r>
          </w:p>
        </w:tc>
        <w:tc>
          <w:tcPr>
            <w:tcW w:w="1213" w:type="pct"/>
            <w:shd w:val="clear" w:color="auto" w:fill="FFFFFF"/>
            <w:tcMar>
              <w:top w:w="110" w:type="dxa"/>
            </w:tcMar>
          </w:tcPr>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أفريقيا 10.</w:t>
            </w:r>
            <w:r w:rsidRPr="000429DF">
              <w:rPr>
                <w:rFonts w:ascii="Arabic Typesetting" w:hAnsi="Arabic Typesetting" w:cs="Arabic Typesetting" w:hint="cs"/>
                <w:sz w:val="28"/>
                <w:szCs w:val="28"/>
                <w:rtl/>
              </w:rPr>
              <w:t>7</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 xml:space="preserve">آسيا والمحيط الهادئ </w:t>
            </w:r>
            <w:r w:rsidRPr="000429DF">
              <w:rPr>
                <w:rFonts w:ascii="Arabic Typesetting" w:hAnsi="Arabic Typesetting" w:cs="Arabic Typesetting" w:hint="cs"/>
                <w:sz w:val="28"/>
                <w:szCs w:val="28"/>
                <w:rtl/>
              </w:rPr>
              <w:t>14</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3</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أوروبا الشرقية والوسطى وآسيا الوسطى 6.</w:t>
            </w:r>
            <w:r w:rsidRPr="000429DF">
              <w:rPr>
                <w:rFonts w:ascii="Arabic Typesetting" w:hAnsi="Arabic Typesetting" w:cs="Arabic Typesetting" w:hint="cs"/>
                <w:sz w:val="28"/>
                <w:szCs w:val="28"/>
                <w:rtl/>
              </w:rPr>
              <w:t>9</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أمريكا اللاتينية والكاريبي 8.</w:t>
            </w:r>
            <w:r w:rsidRPr="000429DF">
              <w:rPr>
                <w:rFonts w:ascii="Arabic Typesetting" w:hAnsi="Arabic Typesetting" w:cs="Arabic Typesetting" w:hint="cs"/>
                <w:sz w:val="28"/>
                <w:szCs w:val="28"/>
                <w:rtl/>
              </w:rPr>
              <w:t>4</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الشرق الأوسط 1.</w:t>
            </w:r>
            <w:r w:rsidRPr="000429DF">
              <w:rPr>
                <w:rFonts w:ascii="Arabic Typesetting" w:hAnsi="Arabic Typesetting" w:cs="Arabic Typesetting" w:hint="cs"/>
                <w:sz w:val="28"/>
                <w:szCs w:val="28"/>
                <w:rtl/>
              </w:rPr>
              <w:t>1</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sz w:val="28"/>
                <w:szCs w:val="28"/>
                <w:rtl/>
              </w:rPr>
              <w:t xml:space="preserve">أمريكا الشمالية </w:t>
            </w:r>
            <w:r w:rsidRPr="000429DF">
              <w:rPr>
                <w:rFonts w:ascii="Arabic Typesetting" w:hAnsi="Arabic Typesetting" w:cs="Arabic Typesetting" w:hint="cs"/>
                <w:sz w:val="28"/>
                <w:szCs w:val="28"/>
                <w:rtl/>
              </w:rPr>
              <w:t>9</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0</w:t>
            </w:r>
            <w:r w:rsidRPr="000429DF">
              <w:rPr>
                <w:rFonts w:ascii="Arabic Typesetting" w:hAnsi="Arabic Typesetting" w:cs="Arabic Typesetting"/>
                <w:sz w:val="28"/>
                <w:szCs w:val="28"/>
              </w:rPr>
              <w:t>%</w:t>
            </w:r>
          </w:p>
          <w:p w:rsidR="004226D7" w:rsidRPr="000429DF" w:rsidRDefault="004226D7" w:rsidP="00E16D63">
            <w:pPr>
              <w:bidi/>
              <w:spacing w:before="60" w:after="60" w:line="280" w:lineRule="exact"/>
              <w:rPr>
                <w:rFonts w:ascii="Arabic Typesetting" w:hAnsi="Arabic Typesetting" w:cs="Arabic Typesetting"/>
                <w:sz w:val="28"/>
                <w:szCs w:val="28"/>
                <w:rtl/>
              </w:rPr>
            </w:pPr>
            <w:r w:rsidRPr="000429DF">
              <w:rPr>
                <w:rFonts w:ascii="Arabic Typesetting" w:hAnsi="Arabic Typesetting" w:cs="Arabic Typesetting"/>
                <w:sz w:val="28"/>
                <w:szCs w:val="28"/>
                <w:rtl/>
              </w:rPr>
              <w:t xml:space="preserve">أوروبا الغربية </w:t>
            </w:r>
            <w:r w:rsidRPr="000429DF">
              <w:rPr>
                <w:rFonts w:ascii="Arabic Typesetting" w:hAnsi="Arabic Typesetting" w:cs="Arabic Typesetting" w:hint="cs"/>
                <w:sz w:val="28"/>
                <w:szCs w:val="28"/>
                <w:rtl/>
              </w:rPr>
              <w:t>49</w:t>
            </w:r>
            <w:r w:rsidRPr="000429DF">
              <w:rPr>
                <w:rFonts w:ascii="Arabic Typesetting" w:hAnsi="Arabic Typesetting" w:cs="Arabic Typesetting"/>
                <w:sz w:val="28"/>
                <w:szCs w:val="28"/>
                <w:rtl/>
              </w:rPr>
              <w:t>.</w:t>
            </w:r>
            <w:r w:rsidRPr="000429DF">
              <w:rPr>
                <w:rFonts w:ascii="Arabic Typesetting" w:hAnsi="Arabic Typesetting" w:cs="Arabic Typesetting" w:hint="cs"/>
                <w:sz w:val="28"/>
                <w:szCs w:val="28"/>
                <w:rtl/>
              </w:rPr>
              <w:t>5</w:t>
            </w:r>
            <w:r w:rsidRPr="000429DF">
              <w:rPr>
                <w:rFonts w:ascii="Arabic Typesetting" w:hAnsi="Arabic Typesetting" w:cs="Arabic Typesetting"/>
                <w:sz w:val="28"/>
                <w:szCs w:val="28"/>
              </w:rPr>
              <w:t>%</w:t>
            </w:r>
          </w:p>
          <w:p w:rsidR="004226D7" w:rsidRPr="000429DF" w:rsidRDefault="004226D7" w:rsidP="00B31F9D">
            <w:pPr>
              <w:bidi/>
              <w:spacing w:before="60" w:after="60" w:line="280" w:lineRule="exact"/>
              <w:rPr>
                <w:rFonts w:ascii="Arabic Typesetting" w:hAnsi="Arabic Typesetting" w:cs="Arabic Typesetting"/>
                <w:sz w:val="28"/>
                <w:szCs w:val="28"/>
              </w:rPr>
            </w:pPr>
            <w:r w:rsidRPr="000429DF">
              <w:rPr>
                <w:rFonts w:ascii="Arabic Typesetting" w:hAnsi="Arabic Typesetting" w:cs="Arabic Typesetting" w:hint="cs"/>
                <w:sz w:val="28"/>
                <w:szCs w:val="28"/>
                <w:rtl/>
              </w:rPr>
              <w:t>(ديسمبر 2015)</w:t>
            </w:r>
          </w:p>
        </w:tc>
        <w:tc>
          <w:tcPr>
            <w:tcW w:w="452" w:type="pct"/>
            <w:shd w:val="clear" w:color="auto" w:fill="auto"/>
            <w:tcMar>
              <w:top w:w="110" w:type="dxa"/>
            </w:tcMar>
          </w:tcPr>
          <w:p w:rsidR="004226D7" w:rsidRPr="000429DF" w:rsidRDefault="004226D7" w:rsidP="00E16D63">
            <w:pPr>
              <w:bidi/>
              <w:spacing w:before="60" w:after="60" w:line="280" w:lineRule="exact"/>
              <w:rPr>
                <w:rFonts w:ascii="Arabic Typesetting" w:hAnsi="Arabic Typesetting" w:cs="Arabic Typesetting"/>
                <w:b/>
                <w:bCs/>
                <w:color w:val="808080"/>
                <w:sz w:val="28"/>
                <w:szCs w:val="28"/>
              </w:rPr>
            </w:pPr>
            <w:r w:rsidRPr="000429DF">
              <w:rPr>
                <w:rFonts w:ascii="Arabic Typesetting" w:hAnsi="Arabic Typesetting" w:cs="Arabic Typesetting" w:hint="cs"/>
                <w:b/>
                <w:bCs/>
                <w:color w:val="808080"/>
                <w:sz w:val="28"/>
                <w:szCs w:val="28"/>
                <w:rtl/>
              </w:rPr>
              <w:t>غير قابل للقياس</w:t>
            </w:r>
          </w:p>
        </w:tc>
      </w:tr>
    </w:tbl>
    <w:p w:rsidR="004226D7" w:rsidRPr="000429DF" w:rsidRDefault="004226D7" w:rsidP="004226D7">
      <w:pPr>
        <w:keepNext/>
        <w:bidi/>
        <w:spacing w:before="120" w:after="120" w:line="340" w:lineRule="exact"/>
        <w:jc w:val="both"/>
        <w:rPr>
          <w:rFonts w:ascii="Arabic Typesetting" w:hAnsi="Arabic Typesetting" w:cs="Arabic Typesetting"/>
          <w:sz w:val="34"/>
          <w:szCs w:val="34"/>
          <w:rtl/>
          <w:lang w:bidi="ar-EG"/>
        </w:rPr>
      </w:pPr>
      <w:r w:rsidRPr="000429DF">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4226D7" w:rsidRPr="000429DF" w:rsidTr="00E16D63">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4226D7" w:rsidRPr="000429DF" w:rsidRDefault="004226D7" w:rsidP="00E16D63">
            <w:pPr>
              <w:keepNext/>
              <w:bidi/>
              <w:spacing w:before="60" w:after="60" w:line="280" w:lineRule="exact"/>
              <w:jc w:val="center"/>
              <w:rPr>
                <w:rFonts w:ascii="Arabic Typesetting" w:hAnsi="Arabic Typesetting" w:cs="Arabic Typesetting"/>
                <w:bCs/>
                <w:sz w:val="28"/>
                <w:szCs w:val="28"/>
                <w:lang w:bidi="ar-EG"/>
              </w:rPr>
            </w:pPr>
            <w:r w:rsidRPr="000429DF">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4226D7" w:rsidRPr="000429DF" w:rsidRDefault="004226D7" w:rsidP="00E16D63">
            <w:pPr>
              <w:keepNext/>
              <w:bidi/>
              <w:spacing w:before="60" w:after="60" w:line="280" w:lineRule="exact"/>
              <w:jc w:val="center"/>
              <w:rPr>
                <w:rFonts w:ascii="Arabic Typesetting" w:hAnsi="Arabic Typesetting" w:cs="Arabic Typesetting"/>
                <w:bCs/>
                <w:sz w:val="28"/>
                <w:szCs w:val="28"/>
                <w:lang w:bidi="ar-EG"/>
              </w:rPr>
            </w:pPr>
            <w:r w:rsidRPr="000429DF">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4226D7" w:rsidRPr="000429DF" w:rsidRDefault="004226D7" w:rsidP="00E16D63">
            <w:pPr>
              <w:keepNext/>
              <w:bidi/>
              <w:spacing w:before="60" w:after="60" w:line="280" w:lineRule="exact"/>
              <w:jc w:val="center"/>
              <w:rPr>
                <w:rFonts w:ascii="Arabic Typesetting" w:hAnsi="Arabic Typesetting" w:cs="Arabic Typesetting"/>
                <w:bCs/>
                <w:sz w:val="28"/>
                <w:szCs w:val="28"/>
                <w:lang w:bidi="ar-EG"/>
              </w:rPr>
            </w:pPr>
            <w:r w:rsidRPr="000429DF">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4226D7" w:rsidRPr="000429DF" w:rsidRDefault="004226D7" w:rsidP="00E16D63">
            <w:pPr>
              <w:keepNext/>
              <w:bidi/>
              <w:spacing w:before="60" w:after="60" w:line="280" w:lineRule="exact"/>
              <w:jc w:val="center"/>
              <w:rPr>
                <w:rFonts w:ascii="Arabic Typesetting" w:hAnsi="Arabic Typesetting" w:cs="Arabic Typesetting"/>
                <w:bCs/>
                <w:sz w:val="28"/>
                <w:szCs w:val="28"/>
                <w:lang w:bidi="ar-EG"/>
              </w:rPr>
            </w:pPr>
            <w:r w:rsidRPr="000429DF">
              <w:rPr>
                <w:rFonts w:ascii="Arabic Typesetting" w:hAnsi="Arabic Typesetting" w:cs="Arabic Typesetting" w:hint="cs"/>
                <w:bCs/>
                <w:sz w:val="28"/>
                <w:szCs w:val="28"/>
                <w:rtl/>
                <w:lang w:bidi="ar-EG"/>
              </w:rPr>
              <w:t>التأثير في أداء البرنامج</w:t>
            </w:r>
          </w:p>
        </w:tc>
      </w:tr>
      <w:tr w:rsidR="004226D7" w:rsidRPr="000429DF" w:rsidTr="006D77A9">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4226D7" w:rsidRPr="000429DF" w:rsidRDefault="004226D7" w:rsidP="00E16D63">
            <w:pPr>
              <w:autoSpaceDE w:val="0"/>
              <w:autoSpaceDN w:val="0"/>
              <w:bidi/>
              <w:adjustRightInd w:val="0"/>
              <w:jc w:val="both"/>
              <w:rPr>
                <w:rFonts w:ascii="Arabic Typesetting" w:hAnsi="Arabic Typesetting" w:cs="Arabic Typesetting"/>
                <w:b/>
                <w:sz w:val="28"/>
                <w:szCs w:val="28"/>
                <w:lang w:bidi="ar-EG"/>
              </w:rPr>
            </w:pPr>
            <w:r w:rsidRPr="000429DF">
              <w:rPr>
                <w:rFonts w:ascii="Arabic Typesetting" w:hAnsi="Arabic Typesetting" w:cs="Arabic Typesetting"/>
                <w:b/>
                <w:sz w:val="28"/>
                <w:szCs w:val="28"/>
                <w:rtl/>
                <w:lang w:bidi="ar-EG"/>
              </w:rPr>
              <w:t xml:space="preserve">‏تتطلب بيئة الأعمال الخارجية </w:t>
            </w:r>
            <w:r w:rsidR="00E52F29">
              <w:rPr>
                <w:rFonts w:ascii="Arabic Typesetting" w:hAnsi="Arabic Typesetting" w:cs="Arabic Typesetting" w:hint="cs"/>
                <w:b/>
                <w:sz w:val="28"/>
                <w:szCs w:val="28"/>
                <w:rtl/>
                <w:lang w:bidi="ar-EG"/>
              </w:rPr>
              <w:t>ال</w:t>
            </w:r>
            <w:r w:rsidRPr="000429DF">
              <w:rPr>
                <w:rFonts w:ascii="Arabic Typesetting" w:hAnsi="Arabic Typesetting" w:cs="Arabic Typesetting"/>
                <w:b/>
                <w:sz w:val="28"/>
                <w:szCs w:val="28"/>
                <w:rtl/>
                <w:lang w:bidi="ar-EG"/>
              </w:rPr>
              <w:t>سريعة التطور عمليات ومهارات وحلولا جديدة في مجال تكنولوجيا المعلومات، ما قد يؤدي إلى عدم مواءمة القوى العامل</w:t>
            </w:r>
            <w:r w:rsidRPr="000429DF">
              <w:rPr>
                <w:rFonts w:ascii="Arabic Typesetting" w:hAnsi="Arabic Typesetting" w:cs="Arabic Typesetting" w:hint="cs"/>
                <w:b/>
                <w:sz w:val="28"/>
                <w:szCs w:val="28"/>
                <w:rtl/>
                <w:lang w:bidi="ar-EG"/>
              </w:rPr>
              <w:t>ة</w:t>
            </w:r>
            <w:r w:rsidRPr="000429DF">
              <w:rPr>
                <w:rFonts w:ascii="Arabic Typesetting" w:hAnsi="Arabic Typesetting" w:cs="Arabic Typesetting"/>
                <w:b/>
                <w:sz w:val="28"/>
                <w:szCs w:val="28"/>
                <w:rtl/>
                <w:lang w:bidi="ar-EG"/>
              </w:rPr>
              <w:t xml:space="preserve"> في مجالات حيوية في قطاع الأعمال بالويبو، وقد يؤدي ذلك إلى ارتفاع التكاليف لجلب موظفين إضافيين بأجل قصير وأوجه عدم الكفاءة في العمليات وتراكم الطلبات المتأخرة في مجالات الأعمال الحيوية وتدهور سمعة الويبو</w:t>
            </w:r>
            <w:r w:rsidRPr="000429DF">
              <w:rPr>
                <w:rFonts w:ascii="Arabic Typesetting" w:hAnsi="Arabic Typesetting" w:cs="Arabic Typesetting" w:hint="cs"/>
                <w:b/>
                <w:sz w:val="28"/>
                <w:szCs w:val="28"/>
                <w:rtl/>
                <w:lang w:bidi="ar-EG"/>
              </w:rPr>
              <w:t>.</w:t>
            </w:r>
          </w:p>
        </w:tc>
        <w:tc>
          <w:tcPr>
            <w:tcW w:w="2200" w:type="dxa"/>
            <w:tcBorders>
              <w:top w:val="single" w:sz="4" w:space="0" w:color="auto"/>
            </w:tcBorders>
            <w:shd w:val="clear" w:color="auto" w:fill="auto"/>
            <w:tcMar>
              <w:top w:w="113" w:type="dxa"/>
              <w:bottom w:w="113" w:type="dxa"/>
            </w:tcMar>
          </w:tcPr>
          <w:p w:rsidR="004226D7" w:rsidRPr="000429DF" w:rsidRDefault="004226D7" w:rsidP="00E16D63">
            <w:pPr>
              <w:autoSpaceDE w:val="0"/>
              <w:autoSpaceDN w:val="0"/>
              <w:bidi/>
              <w:adjustRightInd w:val="0"/>
              <w:jc w:val="both"/>
              <w:rPr>
                <w:rFonts w:ascii="Arabic Typesetting" w:hAnsi="Arabic Typesetting" w:cs="Arabic Typesetting"/>
                <w:b/>
                <w:sz w:val="28"/>
                <w:szCs w:val="28"/>
                <w:lang w:bidi="ar-EG"/>
              </w:rPr>
            </w:pPr>
            <w:r w:rsidRPr="000429DF">
              <w:rPr>
                <w:rFonts w:ascii="Arabic Typesetting" w:hAnsi="Arabic Typesetting" w:cs="Arabic Typesetting" w:hint="cs"/>
                <w:b/>
                <w:sz w:val="28"/>
                <w:szCs w:val="28"/>
                <w:rtl/>
                <w:lang w:bidi="ar-EG"/>
              </w:rPr>
              <w:t>ا</w:t>
            </w:r>
            <w:r w:rsidRPr="000429DF">
              <w:rPr>
                <w:rFonts w:ascii="Arabic Typesetting" w:hAnsi="Arabic Typesetting" w:cs="Arabic Typesetting"/>
                <w:b/>
                <w:sz w:val="28"/>
                <w:szCs w:val="28"/>
                <w:rtl/>
                <w:lang w:bidi="ar-EG"/>
              </w:rPr>
              <w:t>لتطوير التدريجي لقوة عاملة أكثر مرونة وإيجابية مع هيكل قادر على الاستجابة لتقلبات الطلب؛ وتحليل مفصل وتقييم الاحتياجات من ناحية المهارات ومواضع قوة القوة العاملة، يلي ذلك خطط تنفيذ تشمل إعادة تخصيص الموظفين وتدريب الموظفين تدريبا</w:t>
            </w:r>
            <w:r w:rsidR="00E52F29">
              <w:rPr>
                <w:rFonts w:ascii="Arabic Typesetting" w:hAnsi="Arabic Typesetting" w:cs="Arabic Typesetting" w:hint="cs"/>
                <w:b/>
                <w:sz w:val="28"/>
                <w:szCs w:val="28"/>
                <w:rtl/>
                <w:lang w:bidi="ar-EG"/>
              </w:rPr>
              <w:t>ً</w:t>
            </w:r>
            <w:r w:rsidRPr="000429DF">
              <w:rPr>
                <w:rFonts w:ascii="Arabic Typesetting" w:hAnsi="Arabic Typesetting" w:cs="Arabic Typesetting"/>
                <w:b/>
                <w:sz w:val="28"/>
                <w:szCs w:val="28"/>
                <w:rtl/>
                <w:lang w:bidi="ar-EG"/>
              </w:rPr>
              <w:t xml:space="preserve"> كافيا</w:t>
            </w:r>
            <w:r w:rsidR="00E52F29">
              <w:rPr>
                <w:rFonts w:ascii="Arabic Typesetting" w:hAnsi="Arabic Typesetting" w:cs="Arabic Typesetting" w:hint="cs"/>
                <w:b/>
                <w:sz w:val="28"/>
                <w:szCs w:val="28"/>
                <w:rtl/>
                <w:lang w:bidi="ar-EG"/>
              </w:rPr>
              <w:t>ً</w:t>
            </w:r>
            <w:r w:rsidRPr="000429DF">
              <w:rPr>
                <w:rFonts w:ascii="Arabic Typesetting" w:hAnsi="Arabic Typesetting" w:cs="Arabic Typesetting"/>
                <w:b/>
                <w:sz w:val="28"/>
                <w:szCs w:val="28"/>
                <w:rtl/>
                <w:lang w:bidi="ar-EG"/>
              </w:rPr>
              <w:t xml:space="preserve"> وتوظيف ذوي المهارات المهمة والاستعانة بالمصادر الخارجية</w:t>
            </w:r>
            <w:r w:rsidRPr="000429DF">
              <w:rPr>
                <w:rFonts w:ascii="Arabic Typesetting" w:hAnsi="Arabic Typesetting" w:cs="Arabic Typesetting" w:hint="cs"/>
                <w:b/>
                <w:sz w:val="28"/>
                <w:szCs w:val="28"/>
                <w:rtl/>
                <w:lang w:bidi="ar-EG"/>
              </w:rPr>
              <w:t>.</w:t>
            </w:r>
          </w:p>
        </w:tc>
        <w:tc>
          <w:tcPr>
            <w:tcW w:w="2310" w:type="dxa"/>
            <w:tcBorders>
              <w:top w:val="single" w:sz="4" w:space="0" w:color="auto"/>
            </w:tcBorders>
          </w:tcPr>
          <w:p w:rsidR="004226D7" w:rsidRPr="000429DF" w:rsidRDefault="004226D7" w:rsidP="00E16D63">
            <w:pPr>
              <w:autoSpaceDE w:val="0"/>
              <w:autoSpaceDN w:val="0"/>
              <w:bidi/>
              <w:adjustRightInd w:val="0"/>
              <w:spacing w:after="60"/>
              <w:jc w:val="both"/>
              <w:rPr>
                <w:rFonts w:ascii="Arabic Typesetting" w:hAnsi="Arabic Typesetting" w:cs="Arabic Typesetting"/>
                <w:b/>
                <w:sz w:val="28"/>
                <w:szCs w:val="28"/>
              </w:rPr>
            </w:pPr>
            <w:r w:rsidRPr="000429DF">
              <w:rPr>
                <w:rFonts w:ascii="Arabic Typesetting" w:hAnsi="Arabic Typesetting" w:cs="Arabic Typesetting" w:hint="cs"/>
                <w:b/>
                <w:sz w:val="28"/>
                <w:szCs w:val="28"/>
                <w:rtl/>
              </w:rPr>
              <w:t>مكّن إضفاء الطابع المؤسسي على التخطيط للقوة العاملة، إلى جانب المبادئ التوجيهية الجديدة لإدارة المناصب، من ضمان مراعاة المنظمة بانتظام لحاجتها المتطورة إلى الموارد البشرية، ومعالجة الاحتياجات الجديدة/المتغيرة بطريقة استباقية من خلال التقويم والتدريب والاستعانة بالمصادر الخارجية حسب الاقتضاء.</w:t>
            </w:r>
          </w:p>
        </w:tc>
        <w:tc>
          <w:tcPr>
            <w:tcW w:w="2306" w:type="dxa"/>
            <w:tcBorders>
              <w:top w:val="single" w:sz="4" w:space="0" w:color="auto"/>
              <w:right w:val="single" w:sz="4" w:space="0" w:color="auto"/>
            </w:tcBorders>
          </w:tcPr>
          <w:p w:rsidR="004226D7" w:rsidRPr="000429DF" w:rsidRDefault="00E52F29" w:rsidP="00E16D63">
            <w:pPr>
              <w:bidi/>
              <w:rPr>
                <w:rFonts w:ascii="Arabic Typesetting" w:hAnsi="Arabic Typesetting" w:cs="Arabic Typesetting"/>
                <w:b/>
                <w:sz w:val="28"/>
                <w:szCs w:val="28"/>
                <w:lang w:bidi="ar-EG"/>
              </w:rPr>
            </w:pPr>
            <w:r>
              <w:rPr>
                <w:rFonts w:ascii="Arabic Typesetting" w:hAnsi="Arabic Typesetting" w:cs="Arabic Typesetting" w:hint="cs"/>
                <w:b/>
                <w:sz w:val="28"/>
                <w:szCs w:val="28"/>
                <w:rtl/>
                <w:lang w:bidi="ar-EG"/>
              </w:rPr>
              <w:t>عُزز</w:t>
            </w:r>
            <w:r w:rsidRPr="000429DF">
              <w:rPr>
                <w:rFonts w:ascii="Arabic Typesetting" w:hAnsi="Arabic Typesetting" w:cs="Arabic Typesetting" w:hint="cs"/>
                <w:b/>
                <w:sz w:val="28"/>
                <w:szCs w:val="28"/>
                <w:rtl/>
                <w:lang w:bidi="ar-EG"/>
              </w:rPr>
              <w:t xml:space="preserve"> </w:t>
            </w:r>
            <w:r w:rsidR="004226D7" w:rsidRPr="000429DF">
              <w:rPr>
                <w:rFonts w:ascii="Arabic Typesetting" w:hAnsi="Arabic Typesetting" w:cs="Arabic Typesetting" w:hint="cs"/>
                <w:b/>
                <w:sz w:val="28"/>
                <w:szCs w:val="28"/>
                <w:rtl/>
                <w:lang w:bidi="ar-EG"/>
              </w:rPr>
              <w:t>أداء البرنامج خلال الثنائية بفضل ما وُضع من تدابير للحد من وطأة المخاطر، مما أسهم في زيادة فعالية استراتيجيات إدارة الموارد البشرية والوصول إلى المواهب.</w:t>
            </w:r>
          </w:p>
        </w:tc>
      </w:tr>
      <w:tr w:rsidR="004226D7" w:rsidRPr="000429DF" w:rsidTr="006D77A9">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4226D7" w:rsidRPr="000429DF" w:rsidRDefault="004226D7" w:rsidP="00E52F29">
            <w:pPr>
              <w:autoSpaceDE w:val="0"/>
              <w:autoSpaceDN w:val="0"/>
              <w:bidi/>
              <w:adjustRightInd w:val="0"/>
              <w:jc w:val="both"/>
              <w:rPr>
                <w:rFonts w:ascii="Arabic Typesetting" w:hAnsi="Arabic Typesetting" w:cs="Arabic Typesetting"/>
                <w:b/>
                <w:sz w:val="28"/>
                <w:szCs w:val="28"/>
                <w:rtl/>
                <w:lang w:bidi="ar-EG"/>
              </w:rPr>
            </w:pPr>
            <w:r w:rsidRPr="000429DF">
              <w:rPr>
                <w:rFonts w:ascii="Arabic Typesetting" w:hAnsi="Arabic Typesetting" w:cs="Arabic Typesetting"/>
                <w:b/>
                <w:sz w:val="28"/>
                <w:szCs w:val="28"/>
                <w:rtl/>
                <w:lang w:bidi="ar-EG"/>
              </w:rPr>
              <w:t>قد تؤدي الوظائف الجديدة الناتجة عن تنفيذ مشروع تخطيط الموارد المؤسسية إلى تعطل الخدمات لأن الموظفين يتعلمون إجراءات جديدة. وقد لا يشمل التنفيذ مراجعة كافية لإجراءات الأعمال وإعادة تصميمها، بحيث يكون بالأساس مشروع استبدال تطبيق النظام.</w:t>
            </w:r>
          </w:p>
        </w:tc>
        <w:tc>
          <w:tcPr>
            <w:tcW w:w="2200" w:type="dxa"/>
            <w:tcBorders>
              <w:bottom w:val="single" w:sz="4" w:space="0" w:color="auto"/>
            </w:tcBorders>
            <w:shd w:val="clear" w:color="auto" w:fill="auto"/>
            <w:tcMar>
              <w:top w:w="113" w:type="dxa"/>
              <w:bottom w:w="113" w:type="dxa"/>
            </w:tcMar>
          </w:tcPr>
          <w:p w:rsidR="004226D7" w:rsidRPr="000429DF" w:rsidRDefault="004226D7" w:rsidP="00E14A59">
            <w:pPr>
              <w:autoSpaceDE w:val="0"/>
              <w:autoSpaceDN w:val="0"/>
              <w:bidi/>
              <w:adjustRightInd w:val="0"/>
              <w:jc w:val="both"/>
              <w:rPr>
                <w:rFonts w:ascii="Arabic Typesetting" w:hAnsi="Arabic Typesetting" w:cs="Arabic Typesetting"/>
                <w:b/>
                <w:sz w:val="28"/>
                <w:szCs w:val="28"/>
                <w:rtl/>
                <w:lang w:bidi="ar-EG"/>
              </w:rPr>
            </w:pPr>
            <w:r w:rsidRPr="000429DF">
              <w:rPr>
                <w:rFonts w:ascii="Arabic Typesetting" w:hAnsi="Arabic Typesetting" w:cs="Arabic Typesetting"/>
                <w:b/>
                <w:sz w:val="28"/>
                <w:szCs w:val="28"/>
                <w:rtl/>
                <w:lang w:bidi="ar-EG"/>
              </w:rPr>
              <w:t xml:space="preserve">تدريب كاف لموظفي الموارد البشرية والمستخدمين النهائيين وخطط منتظمة للاتصالات ورصد وثيق لتقدم فريق مشروع تخطيط الموارد المؤسسية، والتحذير المبكر من </w:t>
            </w:r>
            <w:r w:rsidR="00E14A59">
              <w:rPr>
                <w:rFonts w:ascii="Arabic Typesetting" w:hAnsi="Arabic Typesetting" w:cs="Arabic Typesetting" w:hint="cs"/>
                <w:b/>
                <w:sz w:val="28"/>
                <w:szCs w:val="28"/>
                <w:rtl/>
                <w:lang w:bidi="ar-EG"/>
              </w:rPr>
              <w:t>المشكلات</w:t>
            </w:r>
            <w:r w:rsidRPr="000429DF">
              <w:rPr>
                <w:rFonts w:ascii="Arabic Typesetting" w:hAnsi="Arabic Typesetting" w:cs="Arabic Typesetting"/>
                <w:b/>
                <w:sz w:val="28"/>
                <w:szCs w:val="28"/>
                <w:rtl/>
                <w:lang w:bidi="ar-EG"/>
              </w:rPr>
              <w:t xml:space="preserve"> التي تحتاج إلى المعالجة. التحسين المستمر لإجراءات الأعمال كجزء من تهيئة حل تقني وتطويره.</w:t>
            </w:r>
          </w:p>
        </w:tc>
        <w:tc>
          <w:tcPr>
            <w:tcW w:w="2310" w:type="dxa"/>
            <w:tcBorders>
              <w:bottom w:val="single" w:sz="4" w:space="0" w:color="auto"/>
            </w:tcBorders>
          </w:tcPr>
          <w:p w:rsidR="004226D7" w:rsidRPr="000429DF" w:rsidRDefault="004226D7" w:rsidP="00E16D63">
            <w:pPr>
              <w:autoSpaceDE w:val="0"/>
              <w:autoSpaceDN w:val="0"/>
              <w:bidi/>
              <w:adjustRightInd w:val="0"/>
              <w:spacing w:after="60"/>
              <w:jc w:val="both"/>
              <w:rPr>
                <w:rFonts w:ascii="Arabic Typesetting" w:hAnsi="Arabic Typesetting" w:cs="Arabic Typesetting"/>
                <w:b/>
                <w:sz w:val="28"/>
                <w:szCs w:val="28"/>
                <w:rtl/>
              </w:rPr>
            </w:pPr>
            <w:r w:rsidRPr="000429DF">
              <w:rPr>
                <w:rFonts w:ascii="Arabic Typesetting" w:hAnsi="Arabic Typesetting" w:cs="Arabic Typesetting" w:hint="cs"/>
                <w:b/>
                <w:sz w:val="28"/>
                <w:szCs w:val="28"/>
                <w:rtl/>
              </w:rPr>
              <w:t>تجسّد الخطر بسبب لزوم التسوية الداخلية للعقبات المطروحة في تنفيذ المشروع. ولمعالجة ذلك، اتُخذت تدابير إضافية، لا</w:t>
            </w:r>
            <w:r w:rsidRPr="000429DF">
              <w:rPr>
                <w:rFonts w:ascii="Arabic Typesetting" w:hAnsi="Arabic Typesetting" w:cs="Arabic Typesetting" w:hint="eastAsia"/>
                <w:b/>
                <w:sz w:val="28"/>
                <w:szCs w:val="28"/>
                <w:rtl/>
              </w:rPr>
              <w:t> </w:t>
            </w:r>
            <w:r w:rsidRPr="000429DF">
              <w:rPr>
                <w:rFonts w:ascii="Arabic Typesetting" w:hAnsi="Arabic Typesetting" w:cs="Arabic Typesetting" w:hint="cs"/>
                <w:b/>
                <w:sz w:val="28"/>
                <w:szCs w:val="28"/>
                <w:rtl/>
              </w:rPr>
              <w:t>سيما الاستعانة بمحلّل للأعمال.</w:t>
            </w:r>
          </w:p>
        </w:tc>
        <w:tc>
          <w:tcPr>
            <w:tcW w:w="2306" w:type="dxa"/>
            <w:tcBorders>
              <w:bottom w:val="single" w:sz="4" w:space="0" w:color="auto"/>
              <w:right w:val="single" w:sz="4" w:space="0" w:color="auto"/>
            </w:tcBorders>
          </w:tcPr>
          <w:p w:rsidR="004226D7" w:rsidRPr="000429DF" w:rsidRDefault="004226D7" w:rsidP="00E52F29">
            <w:pPr>
              <w:bidi/>
              <w:rPr>
                <w:rFonts w:ascii="Arabic Typesetting" w:hAnsi="Arabic Typesetting" w:cs="Arabic Typesetting"/>
                <w:b/>
                <w:sz w:val="28"/>
                <w:szCs w:val="28"/>
                <w:rtl/>
                <w:lang w:bidi="ar-EG"/>
              </w:rPr>
            </w:pPr>
            <w:r w:rsidRPr="000429DF">
              <w:rPr>
                <w:rFonts w:ascii="Arabic Typesetting" w:hAnsi="Arabic Typesetting" w:cs="Arabic Typesetting" w:hint="cs"/>
                <w:b/>
                <w:sz w:val="28"/>
                <w:szCs w:val="28"/>
                <w:rtl/>
                <w:lang w:bidi="ar-EG"/>
              </w:rPr>
              <w:t xml:space="preserve">أدى </w:t>
            </w:r>
            <w:r w:rsidR="001B6640">
              <w:rPr>
                <w:rFonts w:ascii="Arabic Typesetting" w:hAnsi="Arabic Typesetting" w:cs="Arabic Typesetting" w:hint="cs"/>
                <w:b/>
                <w:sz w:val="28"/>
                <w:szCs w:val="28"/>
                <w:rtl/>
              </w:rPr>
              <w:t>التعرض ل</w:t>
            </w:r>
            <w:r w:rsidR="00E52F29">
              <w:rPr>
                <w:rFonts w:ascii="Arabic Typesetting" w:hAnsi="Arabic Typesetting" w:cs="Arabic Typesetting" w:hint="cs"/>
                <w:b/>
                <w:sz w:val="28"/>
                <w:szCs w:val="28"/>
                <w:rtl/>
                <w:lang w:bidi="ar-EG"/>
              </w:rPr>
              <w:t xml:space="preserve">هذا </w:t>
            </w:r>
            <w:r w:rsidRPr="000429DF">
              <w:rPr>
                <w:rFonts w:ascii="Arabic Typesetting" w:hAnsi="Arabic Typesetting" w:cs="Arabic Typesetting" w:hint="cs"/>
                <w:b/>
                <w:sz w:val="28"/>
                <w:szCs w:val="28"/>
                <w:rtl/>
                <w:lang w:bidi="ar-EG"/>
              </w:rPr>
              <w:t>الخطر إلى حدوث بعض التأخيرات في التوظيف، ولكن إجراءات الحد من وطأته خفّفت من أثره إلى أدنى مستوى.</w:t>
            </w:r>
          </w:p>
        </w:tc>
      </w:tr>
    </w:tbl>
    <w:p w:rsidR="004226D7" w:rsidRPr="000429DF" w:rsidRDefault="004226D7" w:rsidP="004226D7">
      <w:pPr>
        <w:keepNext/>
        <w:bidi/>
        <w:spacing w:before="120" w:after="120" w:line="340" w:lineRule="exact"/>
        <w:jc w:val="both"/>
        <w:rPr>
          <w:rFonts w:ascii="Arabic Typesetting" w:hAnsi="Arabic Typesetting" w:cs="Arabic Typesetting"/>
          <w:sz w:val="34"/>
          <w:szCs w:val="34"/>
          <w:lang w:bidi="ar-EG"/>
        </w:rPr>
      </w:pPr>
      <w:r w:rsidRPr="000429DF">
        <w:rPr>
          <w:rFonts w:ascii="Arabic Typesetting" w:hAnsi="Arabic Typesetting" w:cs="Arabic Typesetting"/>
          <w:sz w:val="34"/>
          <w:szCs w:val="34"/>
          <w:rtl/>
          <w:lang w:bidi="ar-EG"/>
        </w:rPr>
        <w:t>استخدام الموارد</w:t>
      </w:r>
    </w:p>
    <w:p w:rsidR="004226D7" w:rsidRPr="000429DF" w:rsidRDefault="004226D7" w:rsidP="004226D7">
      <w:pPr>
        <w:keepNext/>
        <w:bidi/>
        <w:spacing w:line="340" w:lineRule="exact"/>
        <w:jc w:val="center"/>
        <w:rPr>
          <w:rFonts w:ascii="Arabic Typesetting" w:hAnsi="Arabic Typesetting" w:cs="Arabic Typesetting"/>
          <w:sz w:val="34"/>
          <w:szCs w:val="34"/>
          <w:rtl/>
          <w:lang w:bidi="ar-EG"/>
        </w:rPr>
      </w:pPr>
      <w:r w:rsidRPr="000429DF">
        <w:rPr>
          <w:rFonts w:ascii="Arabic Typesetting" w:hAnsi="Arabic Typesetting" w:cs="Arabic Typesetting" w:hint="cs"/>
          <w:sz w:val="34"/>
          <w:szCs w:val="34"/>
          <w:rtl/>
          <w:lang w:bidi="ar-EG"/>
        </w:rPr>
        <w:t>الميزانية والنفقات الفعلية (بحسب النتائج)</w:t>
      </w:r>
    </w:p>
    <w:p w:rsidR="004226D7" w:rsidRPr="000429DF" w:rsidRDefault="004226D7" w:rsidP="004226D7">
      <w:pPr>
        <w:keepNext/>
        <w:bidi/>
        <w:spacing w:after="120" w:line="340" w:lineRule="exact"/>
        <w:jc w:val="center"/>
        <w:rPr>
          <w:rFonts w:ascii="Arabic Typesetting" w:hAnsi="Arabic Typesetting" w:cs="Arabic Typesetting"/>
          <w:i/>
          <w:iCs/>
          <w:sz w:val="34"/>
          <w:szCs w:val="34"/>
          <w:rtl/>
          <w:lang w:bidi="ar-EG"/>
        </w:rPr>
      </w:pPr>
      <w:r w:rsidRPr="000429DF">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4226D7" w:rsidRPr="000429DF" w:rsidTr="00E16D63">
        <w:trPr>
          <w:cantSplit/>
          <w:trHeight w:val="825"/>
        </w:trPr>
        <w:tc>
          <w:tcPr>
            <w:tcW w:w="2752"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4226D7" w:rsidRPr="000429DF" w:rsidRDefault="004226D7" w:rsidP="00E16D63">
            <w:pPr>
              <w:keepNext/>
              <w:bidi/>
              <w:jc w:val="center"/>
              <w:rPr>
                <w:rFonts w:ascii="Arabic Typesetting" w:hAnsi="Arabic Typesetting" w:cs="Arabic Typesetting"/>
                <w:i/>
                <w:iCs/>
                <w:sz w:val="28"/>
                <w:szCs w:val="28"/>
              </w:rPr>
            </w:pPr>
            <w:r w:rsidRPr="000429DF">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226D7" w:rsidRPr="000429DF" w:rsidRDefault="004226D7" w:rsidP="00E16D63">
            <w:pPr>
              <w:keepNext/>
              <w:bidi/>
              <w:jc w:val="center"/>
              <w:rPr>
                <w:rFonts w:ascii="Arabic Typesetting" w:hAnsi="Arabic Typesetting" w:cs="Arabic Typesetting"/>
                <w:i/>
                <w:iCs/>
                <w:sz w:val="28"/>
                <w:szCs w:val="28"/>
              </w:rPr>
            </w:pPr>
            <w:r w:rsidRPr="000429DF">
              <w:rPr>
                <w:rFonts w:ascii="Arabic Typesetting" w:hAnsi="Arabic Typesetting" w:cs="Arabic Typesetting"/>
                <w:i/>
                <w:iCs/>
                <w:sz w:val="28"/>
                <w:szCs w:val="28"/>
                <w:rtl/>
              </w:rPr>
              <w:t xml:space="preserve">الميزانية المعتمدة </w:t>
            </w:r>
            <w:r w:rsidRPr="000429DF">
              <w:rPr>
                <w:rFonts w:ascii="Arabic Typesetting" w:hAnsi="Arabic Typesetting" w:cs="Arabic Typesetting" w:hint="cs"/>
                <w:i/>
                <w:iCs/>
                <w:sz w:val="28"/>
                <w:szCs w:val="28"/>
                <w:rtl/>
              </w:rPr>
              <w:t>2014</w:t>
            </w:r>
            <w:r w:rsidRPr="000429DF">
              <w:rPr>
                <w:rFonts w:ascii="Arabic Typesetting" w:hAnsi="Arabic Typesetting" w:cs="Arabic Typesetting"/>
                <w:i/>
                <w:iCs/>
                <w:sz w:val="28"/>
                <w:szCs w:val="28"/>
                <w:rtl/>
              </w:rPr>
              <w:t>/</w:t>
            </w:r>
            <w:r w:rsidRPr="000429DF">
              <w:rPr>
                <w:rFonts w:ascii="Arabic Typesetting" w:hAnsi="Arabic Typesetting" w:cs="Arabic Typesetting" w:hint="cs"/>
                <w:i/>
                <w:iCs/>
                <w:sz w:val="28"/>
                <w:szCs w:val="28"/>
                <w:rtl/>
              </w:rPr>
              <w:t>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4226D7" w:rsidRPr="000429DF" w:rsidRDefault="004226D7" w:rsidP="00E16D63">
            <w:pPr>
              <w:keepNext/>
              <w:bidi/>
              <w:jc w:val="center"/>
              <w:rPr>
                <w:rFonts w:ascii="Arabic Typesetting" w:hAnsi="Arabic Typesetting" w:cs="Arabic Typesetting"/>
                <w:i/>
                <w:iCs/>
                <w:sz w:val="28"/>
                <w:szCs w:val="28"/>
              </w:rPr>
            </w:pPr>
            <w:r w:rsidRPr="000429DF">
              <w:rPr>
                <w:rFonts w:ascii="Arabic Typesetting" w:hAnsi="Arabic Typesetting" w:cs="Arabic Typesetting" w:hint="cs"/>
                <w:i/>
                <w:iCs/>
                <w:sz w:val="28"/>
                <w:szCs w:val="28"/>
                <w:rtl/>
              </w:rPr>
              <w:t>الميزانية النهائية</w:t>
            </w:r>
            <w:r w:rsidRPr="000429DF">
              <w:rPr>
                <w:rFonts w:ascii="Arabic Typesetting" w:hAnsi="Arabic Typesetting" w:cs="Arabic Typesetting"/>
                <w:i/>
                <w:iCs/>
                <w:sz w:val="28"/>
                <w:szCs w:val="28"/>
                <w:rtl/>
              </w:rPr>
              <w:t xml:space="preserve"> بعد التحويلات</w:t>
            </w:r>
            <w:r w:rsidRPr="000429DF">
              <w:rPr>
                <w:rFonts w:ascii="Arabic Typesetting" w:hAnsi="Arabic Typesetting" w:cs="Arabic Typesetting" w:hint="cs"/>
                <w:i/>
                <w:iCs/>
                <w:sz w:val="28"/>
                <w:szCs w:val="28"/>
                <w:rtl/>
              </w:rPr>
              <w:t xml:space="preserve"> 2014</w:t>
            </w:r>
            <w:r w:rsidRPr="000429DF">
              <w:rPr>
                <w:rFonts w:ascii="Arabic Typesetting" w:hAnsi="Arabic Typesetting" w:cs="Arabic Typesetting"/>
                <w:i/>
                <w:iCs/>
                <w:sz w:val="28"/>
                <w:szCs w:val="28"/>
                <w:rtl/>
              </w:rPr>
              <w:t>/</w:t>
            </w:r>
            <w:r w:rsidRPr="000429DF">
              <w:rPr>
                <w:rFonts w:ascii="Arabic Typesetting" w:hAnsi="Arabic Typesetting" w:cs="Arabic Typesetting" w:hint="cs"/>
                <w:i/>
                <w:iCs/>
                <w:sz w:val="28"/>
                <w:szCs w:val="28"/>
                <w:rtl/>
              </w:rPr>
              <w:t>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4226D7" w:rsidRPr="000429DF" w:rsidRDefault="004226D7" w:rsidP="00E16D63">
            <w:pPr>
              <w:keepNext/>
              <w:bidi/>
              <w:jc w:val="center"/>
              <w:rPr>
                <w:rFonts w:ascii="Arabic Typesetting" w:hAnsi="Arabic Typesetting" w:cs="Arabic Typesetting"/>
                <w:i/>
                <w:iCs/>
                <w:sz w:val="28"/>
                <w:szCs w:val="28"/>
              </w:rPr>
            </w:pPr>
            <w:r w:rsidRPr="000429DF">
              <w:rPr>
                <w:rFonts w:ascii="Arabic Typesetting" w:hAnsi="Arabic Typesetting" w:cs="Arabic Typesetting"/>
                <w:i/>
                <w:iCs/>
                <w:sz w:val="28"/>
                <w:szCs w:val="28"/>
                <w:rtl/>
              </w:rPr>
              <w:t xml:space="preserve">نفقات </w:t>
            </w:r>
            <w:r w:rsidRPr="000429DF">
              <w:rPr>
                <w:rFonts w:ascii="Arabic Typesetting" w:hAnsi="Arabic Typesetting" w:cs="Arabic Typesetting" w:hint="cs"/>
                <w:i/>
                <w:iCs/>
                <w:sz w:val="28"/>
                <w:szCs w:val="28"/>
                <w:rtl/>
              </w:rPr>
              <w:t>2014</w:t>
            </w:r>
            <w:r w:rsidRPr="000429DF">
              <w:rPr>
                <w:rFonts w:ascii="Arabic Typesetting" w:hAnsi="Arabic Typesetting" w:cs="Arabic Typesetting"/>
                <w:i/>
                <w:iCs/>
                <w:sz w:val="28"/>
                <w:szCs w:val="28"/>
                <w:rtl/>
              </w:rPr>
              <w:t>/</w:t>
            </w:r>
            <w:r w:rsidRPr="000429DF">
              <w:rPr>
                <w:rFonts w:ascii="Arabic Typesetting" w:hAnsi="Arabic Typesetting" w:cs="Arabic Typesetting" w:hint="cs"/>
                <w:i/>
                <w:iCs/>
                <w:sz w:val="28"/>
                <w:szCs w:val="28"/>
                <w:rtl/>
              </w:rPr>
              <w:t>15</w:t>
            </w:r>
          </w:p>
        </w:tc>
      </w:tr>
      <w:tr w:rsidR="004226D7" w:rsidRPr="000429DF" w:rsidTr="00E16D63">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4226D7" w:rsidRPr="000429DF" w:rsidRDefault="004226D7" w:rsidP="00E16D63">
            <w:pPr>
              <w:bidi/>
              <w:rPr>
                <w:rFonts w:ascii="Arabic Typesetting" w:hAnsi="Arabic Typesetting" w:cs="Arabic Typesetting"/>
                <w:sz w:val="28"/>
                <w:szCs w:val="28"/>
              </w:rPr>
            </w:pPr>
            <w:r w:rsidRPr="000429DF">
              <w:rPr>
                <w:rFonts w:ascii="Arabic Typesetting" w:hAnsi="Arabic Typesetting" w:cs="Arabic Typesetting"/>
                <w:sz w:val="28"/>
                <w:szCs w:val="28"/>
                <w:rtl/>
              </w:rPr>
              <w:t>ھ1.9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226D7" w:rsidRPr="000429DF" w:rsidRDefault="003F15BC" w:rsidP="00E16D63">
            <w:pPr>
              <w:bidi/>
              <w:rPr>
                <w:rFonts w:ascii="Arabic Typesetting" w:hAnsi="Arabic Typesetting" w:cs="Arabic Typesetting"/>
                <w:sz w:val="28"/>
                <w:szCs w:val="28"/>
              </w:rPr>
            </w:pPr>
            <w:r>
              <w:rPr>
                <w:rFonts w:ascii="Arabic Typesetting" w:hAnsi="Arabic Typesetting" w:cs="Arabic Typesetting"/>
                <w:sz w:val="28"/>
                <w:szCs w:val="28"/>
                <w:rtl/>
              </w:rPr>
              <w:t>خدمات دعم فعالة وناجعة وذات جودة موجهة نحو الزبائن لفائدة الزبائن الداخليين وأصحاب المصالح الخارجيين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226D7" w:rsidRPr="000429DF" w:rsidRDefault="004226D7" w:rsidP="00E16D63">
            <w:pPr>
              <w:bidi/>
              <w:jc w:val="right"/>
              <w:rPr>
                <w:rFonts w:ascii="Arabic Typesetting" w:hAnsi="Arabic Typesetting" w:cs="Arabic Typesetting"/>
                <w:sz w:val="28"/>
                <w:szCs w:val="28"/>
              </w:rPr>
            </w:pPr>
            <w:r w:rsidRPr="000429DF">
              <w:rPr>
                <w:rFonts w:ascii="Arabic Typesetting" w:hAnsi="Arabic Typesetting" w:cs="Arabic Typesetting" w:hint="cs"/>
                <w:sz w:val="28"/>
                <w:szCs w:val="28"/>
                <w:rtl/>
              </w:rPr>
              <w:t>12.276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226D7" w:rsidRPr="000429DF" w:rsidRDefault="004226D7" w:rsidP="00E16D63">
            <w:pPr>
              <w:bidi/>
              <w:jc w:val="right"/>
              <w:rPr>
                <w:rFonts w:ascii="Arabic Typesetting" w:hAnsi="Arabic Typesetting" w:cs="Arabic Typesetting"/>
                <w:sz w:val="28"/>
                <w:szCs w:val="28"/>
              </w:rPr>
            </w:pPr>
            <w:r w:rsidRPr="000429DF">
              <w:rPr>
                <w:rFonts w:ascii="Arabic Typesetting" w:hAnsi="Arabic Typesetting" w:cs="Arabic Typesetting" w:hint="cs"/>
                <w:sz w:val="28"/>
                <w:szCs w:val="28"/>
                <w:rtl/>
              </w:rPr>
              <w:t>12,415</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226D7" w:rsidRPr="000429DF" w:rsidRDefault="004226D7" w:rsidP="00E16D63">
            <w:pPr>
              <w:bidi/>
              <w:jc w:val="right"/>
              <w:rPr>
                <w:rFonts w:ascii="Arabic Typesetting" w:hAnsi="Arabic Typesetting" w:cs="Arabic Typesetting"/>
                <w:sz w:val="28"/>
                <w:szCs w:val="28"/>
              </w:rPr>
            </w:pPr>
            <w:r w:rsidRPr="000429DF">
              <w:rPr>
                <w:rFonts w:ascii="Arabic Typesetting" w:hAnsi="Arabic Typesetting" w:cs="Arabic Typesetting" w:hint="cs"/>
                <w:sz w:val="28"/>
                <w:szCs w:val="28"/>
                <w:rtl/>
              </w:rPr>
              <w:t>12,069</w:t>
            </w:r>
          </w:p>
        </w:tc>
      </w:tr>
      <w:tr w:rsidR="004226D7" w:rsidRPr="000429DF" w:rsidTr="00E16D63">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4226D7" w:rsidRPr="000429DF" w:rsidRDefault="004226D7" w:rsidP="00E16D63">
            <w:pPr>
              <w:bidi/>
              <w:rPr>
                <w:rFonts w:ascii="Arabic Typesetting" w:hAnsi="Arabic Typesetting" w:cs="Arabic Typesetting"/>
                <w:sz w:val="28"/>
                <w:szCs w:val="28"/>
              </w:rPr>
            </w:pPr>
            <w:r w:rsidRPr="000429DF">
              <w:rPr>
                <w:rFonts w:ascii="Arabic Typesetting" w:hAnsi="Arabic Typesetting" w:cs="Arabic Typesetting"/>
                <w:sz w:val="28"/>
                <w:szCs w:val="28"/>
                <w:rtl/>
              </w:rPr>
              <w:t>ھ2.9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4226D7" w:rsidRPr="000429DF" w:rsidRDefault="003F15BC" w:rsidP="00E16D63">
            <w:pPr>
              <w:bidi/>
              <w:rPr>
                <w:rFonts w:ascii="Arabic Typesetting" w:hAnsi="Arabic Typesetting" w:cs="Arabic Typesetting"/>
                <w:sz w:val="28"/>
                <w:szCs w:val="28"/>
              </w:rPr>
            </w:pPr>
            <w:r>
              <w:rPr>
                <w:rFonts w:ascii="Arabic Typesetting" w:hAnsi="Arabic Typesetting" w:cs="Arabic Typesetting"/>
                <w:sz w:val="28"/>
                <w:szCs w:val="28"/>
                <w:rtl/>
              </w:rPr>
              <w:t>أمانة تعمل بنشاط وسلاسة بقوى عاملة حسنة الإدارة وذات مهارات مناسبة وتحقق النتائج بكفاءة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226D7" w:rsidRPr="000429DF" w:rsidRDefault="004226D7" w:rsidP="00E16D63">
            <w:pPr>
              <w:bidi/>
              <w:jc w:val="right"/>
              <w:rPr>
                <w:rFonts w:ascii="Arabic Typesetting" w:hAnsi="Arabic Typesetting" w:cs="Arabic Typesetting"/>
                <w:sz w:val="28"/>
                <w:szCs w:val="28"/>
              </w:rPr>
            </w:pPr>
            <w:r w:rsidRPr="000429DF">
              <w:rPr>
                <w:rFonts w:ascii="Arabic Typesetting" w:hAnsi="Arabic Typesetting" w:cs="Arabic Typesetting" w:hint="cs"/>
                <w:sz w:val="28"/>
                <w:szCs w:val="28"/>
                <w:rtl/>
              </w:rPr>
              <w:t>11,285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4226D7" w:rsidRPr="000429DF" w:rsidRDefault="004226D7" w:rsidP="00E16D63">
            <w:pPr>
              <w:bidi/>
              <w:jc w:val="right"/>
              <w:rPr>
                <w:rFonts w:ascii="Arabic Typesetting" w:hAnsi="Arabic Typesetting" w:cs="Arabic Typesetting"/>
                <w:sz w:val="28"/>
                <w:szCs w:val="28"/>
              </w:rPr>
            </w:pPr>
            <w:r w:rsidRPr="000429DF">
              <w:rPr>
                <w:rFonts w:ascii="Arabic Typesetting" w:hAnsi="Arabic Typesetting" w:cs="Arabic Typesetting" w:hint="cs"/>
                <w:sz w:val="28"/>
                <w:szCs w:val="28"/>
                <w:rtl/>
              </w:rPr>
              <w:t>12,774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4226D7" w:rsidRPr="000429DF" w:rsidRDefault="004226D7" w:rsidP="00E16D63">
            <w:pPr>
              <w:bidi/>
              <w:jc w:val="right"/>
              <w:rPr>
                <w:rFonts w:ascii="Arabic Typesetting" w:hAnsi="Arabic Typesetting" w:cs="Arabic Typesetting"/>
                <w:sz w:val="28"/>
                <w:szCs w:val="28"/>
              </w:rPr>
            </w:pPr>
            <w:r w:rsidRPr="000429DF">
              <w:rPr>
                <w:rFonts w:ascii="Arabic Typesetting" w:hAnsi="Arabic Typesetting" w:cs="Arabic Typesetting" w:hint="cs"/>
                <w:sz w:val="28"/>
                <w:szCs w:val="28"/>
                <w:rtl/>
              </w:rPr>
              <w:t>12,631</w:t>
            </w:r>
          </w:p>
        </w:tc>
      </w:tr>
      <w:tr w:rsidR="004226D7" w:rsidRPr="000429DF" w:rsidTr="00E16D63">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4226D7" w:rsidRPr="000429DF" w:rsidRDefault="004226D7" w:rsidP="00E16D63">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4226D7" w:rsidRPr="000429DF" w:rsidRDefault="004226D7" w:rsidP="00E16D63">
            <w:pPr>
              <w:bidi/>
              <w:rPr>
                <w:rFonts w:ascii="Arabic Typesetting" w:hAnsi="Arabic Typesetting" w:cs="Arabic Typesetting"/>
                <w:b/>
                <w:bCs/>
                <w:sz w:val="28"/>
                <w:szCs w:val="28"/>
              </w:rPr>
            </w:pPr>
            <w:r w:rsidRPr="000429DF">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226D7" w:rsidRPr="000429DF" w:rsidRDefault="004226D7" w:rsidP="00E16D63">
            <w:pPr>
              <w:bidi/>
              <w:jc w:val="right"/>
              <w:rPr>
                <w:rFonts w:ascii="Arabic Typesetting" w:hAnsi="Arabic Typesetting" w:cs="Arabic Typesetting"/>
                <w:b/>
                <w:bCs/>
                <w:sz w:val="28"/>
                <w:szCs w:val="28"/>
              </w:rPr>
            </w:pPr>
            <w:r w:rsidRPr="000429DF">
              <w:rPr>
                <w:rFonts w:ascii="Arabic Typesetting" w:hAnsi="Arabic Typesetting" w:cs="Arabic Typesetting" w:hint="cs"/>
                <w:b/>
                <w:bCs/>
                <w:sz w:val="28"/>
                <w:szCs w:val="28"/>
                <w:rtl/>
              </w:rPr>
              <w:t>23,561</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226D7" w:rsidRPr="000429DF" w:rsidRDefault="004226D7" w:rsidP="00E16D63">
            <w:pPr>
              <w:bidi/>
              <w:jc w:val="right"/>
              <w:rPr>
                <w:rFonts w:ascii="Arabic Typesetting" w:hAnsi="Arabic Typesetting" w:cs="Arabic Typesetting"/>
                <w:b/>
                <w:bCs/>
                <w:sz w:val="28"/>
                <w:szCs w:val="28"/>
              </w:rPr>
            </w:pPr>
            <w:r w:rsidRPr="000429DF">
              <w:rPr>
                <w:rFonts w:ascii="Arabic Typesetting" w:hAnsi="Arabic Typesetting" w:cs="Arabic Typesetting" w:hint="cs"/>
                <w:b/>
                <w:bCs/>
                <w:sz w:val="28"/>
                <w:szCs w:val="28"/>
                <w:rtl/>
              </w:rPr>
              <w:t>25,189</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4226D7" w:rsidRPr="000429DF" w:rsidRDefault="004226D7" w:rsidP="00E16D63">
            <w:pPr>
              <w:bidi/>
              <w:jc w:val="right"/>
              <w:rPr>
                <w:rFonts w:ascii="Arabic Typesetting" w:hAnsi="Arabic Typesetting" w:cs="Arabic Typesetting"/>
                <w:b/>
                <w:bCs/>
                <w:sz w:val="28"/>
                <w:szCs w:val="28"/>
              </w:rPr>
            </w:pPr>
            <w:r w:rsidRPr="000429DF">
              <w:rPr>
                <w:rFonts w:ascii="Arabic Typesetting" w:hAnsi="Arabic Typesetting" w:cs="Arabic Typesetting" w:hint="cs"/>
                <w:b/>
                <w:bCs/>
                <w:sz w:val="28"/>
                <w:szCs w:val="28"/>
                <w:rtl/>
              </w:rPr>
              <w:t>24,699</w:t>
            </w:r>
          </w:p>
        </w:tc>
      </w:tr>
    </w:tbl>
    <w:p w:rsidR="004226D7" w:rsidRPr="000429DF" w:rsidRDefault="004226D7" w:rsidP="004226D7">
      <w:pPr>
        <w:keepNext/>
        <w:bidi/>
        <w:spacing w:before="240" w:line="340" w:lineRule="exact"/>
        <w:jc w:val="center"/>
        <w:rPr>
          <w:rFonts w:ascii="Arabic Typesetting" w:hAnsi="Arabic Typesetting" w:cs="Arabic Typesetting"/>
          <w:sz w:val="34"/>
          <w:szCs w:val="34"/>
          <w:rtl/>
          <w:lang w:bidi="ar-EG"/>
        </w:rPr>
      </w:pPr>
      <w:r w:rsidRPr="000429DF">
        <w:rPr>
          <w:rFonts w:ascii="Arabic Typesetting" w:hAnsi="Arabic Typesetting" w:cs="Arabic Typesetting" w:hint="cs"/>
          <w:sz w:val="34"/>
          <w:szCs w:val="34"/>
          <w:rtl/>
          <w:lang w:bidi="ar-EG"/>
        </w:rPr>
        <w:lastRenderedPageBreak/>
        <w:t>الميزانية والنفقات الفعلية (موارد الموظفين وخلاف موارد الموظفين)</w:t>
      </w:r>
    </w:p>
    <w:p w:rsidR="004226D7" w:rsidRPr="000429DF" w:rsidRDefault="004226D7" w:rsidP="004226D7">
      <w:pPr>
        <w:keepNext/>
        <w:bidi/>
        <w:spacing w:after="120"/>
        <w:jc w:val="center"/>
        <w:rPr>
          <w:rFonts w:ascii="Arabic Typesetting" w:hAnsi="Arabic Typesetting" w:cs="Arabic Typesetting"/>
          <w:sz w:val="34"/>
          <w:szCs w:val="34"/>
          <w:rtl/>
          <w:lang w:bidi="ar-EG"/>
        </w:rPr>
      </w:pPr>
      <w:r w:rsidRPr="000429DF">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4226D7" w:rsidRPr="000429DF" w:rsidTr="00E16D63">
        <w:trPr>
          <w:cantSplit/>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4226D7" w:rsidRPr="000429DF" w:rsidRDefault="004226D7" w:rsidP="00E16D63">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226D7" w:rsidRPr="000429DF" w:rsidRDefault="004226D7" w:rsidP="00E16D63">
            <w:pPr>
              <w:keepNext/>
              <w:bidi/>
              <w:jc w:val="center"/>
              <w:rPr>
                <w:rFonts w:ascii="Arabic Typesetting" w:hAnsi="Arabic Typesetting" w:cs="Arabic Typesetting"/>
                <w:b/>
                <w:bCs/>
                <w:i/>
                <w:iCs/>
                <w:sz w:val="28"/>
                <w:szCs w:val="28"/>
              </w:rPr>
            </w:pPr>
            <w:r w:rsidRPr="000429DF">
              <w:rPr>
                <w:rFonts w:ascii="Arabic Typesetting" w:hAnsi="Arabic Typesetting" w:cs="Arabic Typesetting"/>
                <w:b/>
                <w:bCs/>
                <w:i/>
                <w:iCs/>
                <w:sz w:val="28"/>
                <w:szCs w:val="28"/>
                <w:rtl/>
              </w:rPr>
              <w:t xml:space="preserve">الميزانية المعتمدة </w:t>
            </w:r>
            <w:r w:rsidRPr="000429DF">
              <w:rPr>
                <w:rFonts w:ascii="Arabic Typesetting" w:hAnsi="Arabic Typesetting" w:cs="Arabic Typesetting" w:hint="cs"/>
                <w:b/>
                <w:bCs/>
                <w:i/>
                <w:iCs/>
                <w:sz w:val="28"/>
                <w:szCs w:val="28"/>
                <w:rtl/>
              </w:rPr>
              <w:t>2014</w:t>
            </w:r>
            <w:r w:rsidRPr="000429DF">
              <w:rPr>
                <w:rFonts w:ascii="Arabic Typesetting" w:hAnsi="Arabic Typesetting" w:cs="Arabic Typesetting"/>
                <w:b/>
                <w:bCs/>
                <w:i/>
                <w:iCs/>
                <w:sz w:val="28"/>
                <w:szCs w:val="28"/>
                <w:rtl/>
              </w:rPr>
              <w:t>/</w:t>
            </w:r>
            <w:r w:rsidRPr="000429DF">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226D7" w:rsidRPr="000429DF" w:rsidRDefault="004226D7" w:rsidP="00E16D63">
            <w:pPr>
              <w:keepNext/>
              <w:bidi/>
              <w:jc w:val="center"/>
              <w:rPr>
                <w:rFonts w:ascii="Arabic Typesetting" w:hAnsi="Arabic Typesetting" w:cs="Arabic Typesetting"/>
                <w:b/>
                <w:bCs/>
                <w:i/>
                <w:iCs/>
                <w:sz w:val="28"/>
                <w:szCs w:val="28"/>
              </w:rPr>
            </w:pPr>
            <w:r w:rsidRPr="000429DF">
              <w:rPr>
                <w:rFonts w:ascii="Arabic Typesetting" w:hAnsi="Arabic Typesetting" w:cs="Arabic Typesetting" w:hint="cs"/>
                <w:b/>
                <w:bCs/>
                <w:i/>
                <w:iCs/>
                <w:sz w:val="28"/>
                <w:szCs w:val="28"/>
                <w:rtl/>
              </w:rPr>
              <w:t>الميزانية النهائية</w:t>
            </w:r>
            <w:r w:rsidRPr="000429DF">
              <w:rPr>
                <w:rFonts w:ascii="Arabic Typesetting" w:hAnsi="Arabic Typesetting" w:cs="Arabic Typesetting"/>
                <w:b/>
                <w:bCs/>
                <w:i/>
                <w:iCs/>
                <w:sz w:val="28"/>
                <w:szCs w:val="28"/>
                <w:rtl/>
              </w:rPr>
              <w:t xml:space="preserve"> بعد التحويلات</w:t>
            </w:r>
            <w:r w:rsidRPr="000429DF">
              <w:rPr>
                <w:rFonts w:ascii="Arabic Typesetting" w:hAnsi="Arabic Typesetting" w:cs="Arabic Typesetting" w:hint="cs"/>
                <w:b/>
                <w:bCs/>
                <w:i/>
                <w:iCs/>
                <w:sz w:val="28"/>
                <w:szCs w:val="28"/>
                <w:rtl/>
              </w:rPr>
              <w:t xml:space="preserve"> 2014</w:t>
            </w:r>
            <w:r w:rsidRPr="000429DF">
              <w:rPr>
                <w:rFonts w:ascii="Arabic Typesetting" w:hAnsi="Arabic Typesetting" w:cs="Arabic Typesetting"/>
                <w:b/>
                <w:bCs/>
                <w:i/>
                <w:iCs/>
                <w:sz w:val="28"/>
                <w:szCs w:val="28"/>
                <w:rtl/>
              </w:rPr>
              <w:t>/</w:t>
            </w:r>
            <w:r w:rsidRPr="000429DF">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226D7" w:rsidRPr="000429DF" w:rsidRDefault="004226D7" w:rsidP="00E16D63">
            <w:pPr>
              <w:keepNext/>
              <w:bidi/>
              <w:jc w:val="center"/>
              <w:rPr>
                <w:rFonts w:ascii="Arabic Typesetting" w:hAnsi="Arabic Typesetting" w:cs="Arabic Typesetting"/>
                <w:b/>
                <w:bCs/>
                <w:i/>
                <w:iCs/>
                <w:sz w:val="28"/>
                <w:szCs w:val="28"/>
              </w:rPr>
            </w:pPr>
            <w:r w:rsidRPr="000429DF">
              <w:rPr>
                <w:rFonts w:ascii="Arabic Typesetting" w:hAnsi="Arabic Typesetting" w:cs="Arabic Typesetting"/>
                <w:b/>
                <w:bCs/>
                <w:i/>
                <w:iCs/>
                <w:sz w:val="28"/>
                <w:szCs w:val="28"/>
                <w:rtl/>
              </w:rPr>
              <w:t xml:space="preserve">نفقات </w:t>
            </w:r>
            <w:r w:rsidRPr="000429DF">
              <w:rPr>
                <w:rFonts w:ascii="Arabic Typesetting" w:hAnsi="Arabic Typesetting" w:cs="Arabic Typesetting" w:hint="cs"/>
                <w:b/>
                <w:bCs/>
                <w:i/>
                <w:iCs/>
                <w:sz w:val="28"/>
                <w:szCs w:val="28"/>
                <w:rtl/>
              </w:rPr>
              <w:t>2014</w:t>
            </w:r>
            <w:r w:rsidRPr="000429DF">
              <w:rPr>
                <w:rFonts w:ascii="Arabic Typesetting" w:hAnsi="Arabic Typesetting" w:cs="Arabic Typesetting"/>
                <w:b/>
                <w:bCs/>
                <w:i/>
                <w:iCs/>
                <w:sz w:val="28"/>
                <w:szCs w:val="28"/>
                <w:rtl/>
              </w:rPr>
              <w:t>/</w:t>
            </w:r>
            <w:r w:rsidRPr="000429DF">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4226D7" w:rsidRPr="000429DF" w:rsidRDefault="004226D7" w:rsidP="00E16D63">
            <w:pPr>
              <w:keepNext/>
              <w:bidi/>
              <w:jc w:val="center"/>
              <w:rPr>
                <w:rFonts w:ascii="Arabic Typesetting" w:hAnsi="Arabic Typesetting" w:cs="Arabic Typesetting"/>
                <w:b/>
                <w:bCs/>
                <w:i/>
                <w:iCs/>
                <w:sz w:val="28"/>
                <w:szCs w:val="28"/>
              </w:rPr>
            </w:pPr>
            <w:r w:rsidRPr="000429DF">
              <w:rPr>
                <w:rFonts w:ascii="Arabic Typesetting" w:hAnsi="Arabic Typesetting" w:cs="Arabic Typesetting"/>
                <w:b/>
                <w:bCs/>
                <w:i/>
                <w:iCs/>
                <w:sz w:val="28"/>
                <w:szCs w:val="28"/>
                <w:rtl/>
              </w:rPr>
              <w:t xml:space="preserve">نسبة </w:t>
            </w:r>
            <w:r w:rsidRPr="000429DF">
              <w:rPr>
                <w:rFonts w:ascii="Arabic Typesetting" w:hAnsi="Arabic Typesetting" w:cs="Arabic Typesetting" w:hint="cs"/>
                <w:b/>
                <w:bCs/>
                <w:i/>
                <w:iCs/>
                <w:sz w:val="28"/>
                <w:szCs w:val="28"/>
                <w:rtl/>
              </w:rPr>
              <w:t>الاستخدام</w:t>
            </w:r>
            <w:r w:rsidRPr="000429DF">
              <w:rPr>
                <w:rFonts w:ascii="Arabic Typesetting" w:hAnsi="Arabic Typesetting" w:cs="Arabic Typesetting"/>
                <w:b/>
                <w:bCs/>
                <w:i/>
                <w:iCs/>
                <w:sz w:val="28"/>
                <w:szCs w:val="28"/>
                <w:rtl/>
              </w:rPr>
              <w:t xml:space="preserve"> (%)</w:t>
            </w:r>
          </w:p>
        </w:tc>
      </w:tr>
      <w:tr w:rsidR="004226D7" w:rsidRPr="000429DF" w:rsidTr="00E16D63">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4226D7" w:rsidRPr="000429DF" w:rsidRDefault="004226D7" w:rsidP="00E16D63">
            <w:pPr>
              <w:bidi/>
              <w:rPr>
                <w:rFonts w:ascii="Arabic Typesetting" w:hAnsi="Arabic Typesetting" w:cs="Arabic Typesetting"/>
                <w:sz w:val="28"/>
                <w:szCs w:val="28"/>
              </w:rPr>
            </w:pPr>
            <w:r w:rsidRPr="000429DF">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sz w:val="28"/>
                <w:szCs w:val="28"/>
              </w:rPr>
            </w:pPr>
            <w:r w:rsidRPr="000429DF">
              <w:rPr>
                <w:rFonts w:ascii="Arabic Typesetting" w:hAnsi="Arabic Typesetting" w:cs="Arabic Typesetting" w:hint="cs"/>
                <w:sz w:val="28"/>
                <w:szCs w:val="28"/>
                <w:rtl/>
              </w:rPr>
              <w:t>18,248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sz w:val="28"/>
                <w:szCs w:val="28"/>
              </w:rPr>
            </w:pPr>
            <w:r w:rsidRPr="000429DF">
              <w:rPr>
                <w:rFonts w:ascii="Arabic Typesetting" w:hAnsi="Arabic Typesetting" w:cs="Arabic Typesetting" w:hint="cs"/>
                <w:sz w:val="28"/>
                <w:szCs w:val="28"/>
                <w:rtl/>
              </w:rPr>
              <w:t>18,890</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sz w:val="28"/>
                <w:szCs w:val="28"/>
              </w:rPr>
            </w:pPr>
            <w:r w:rsidRPr="000429DF">
              <w:rPr>
                <w:rFonts w:ascii="Arabic Typesetting" w:hAnsi="Arabic Typesetting" w:cs="Arabic Typesetting" w:hint="cs"/>
                <w:sz w:val="28"/>
                <w:szCs w:val="28"/>
                <w:rtl/>
              </w:rPr>
              <w:t>18,897</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sz w:val="28"/>
                <w:szCs w:val="28"/>
              </w:rPr>
            </w:pPr>
            <w:r w:rsidRPr="000429DF">
              <w:rPr>
                <w:rFonts w:ascii="Arabic Typesetting" w:hAnsi="Arabic Typesetting" w:cs="Arabic Typesetting" w:hint="cs"/>
                <w:sz w:val="28"/>
                <w:szCs w:val="28"/>
                <w:rtl/>
              </w:rPr>
              <w:t>100%</w:t>
            </w:r>
          </w:p>
        </w:tc>
      </w:tr>
      <w:tr w:rsidR="004226D7" w:rsidRPr="000429DF" w:rsidTr="00E16D63">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4226D7" w:rsidRPr="000429DF" w:rsidRDefault="004226D7" w:rsidP="00E16D63">
            <w:pPr>
              <w:bidi/>
              <w:rPr>
                <w:rFonts w:ascii="Arabic Typesetting" w:hAnsi="Arabic Typesetting" w:cs="Arabic Typesetting"/>
                <w:sz w:val="28"/>
                <w:szCs w:val="28"/>
              </w:rPr>
            </w:pPr>
            <w:r w:rsidRPr="000429DF">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sz w:val="28"/>
                <w:szCs w:val="28"/>
              </w:rPr>
            </w:pPr>
            <w:r w:rsidRPr="000429DF">
              <w:rPr>
                <w:rFonts w:ascii="Arabic Typesetting" w:hAnsi="Arabic Typesetting" w:cs="Arabic Typesetting" w:hint="cs"/>
                <w:sz w:val="28"/>
                <w:szCs w:val="28"/>
                <w:rtl/>
              </w:rPr>
              <w:t>5,313</w:t>
            </w:r>
          </w:p>
        </w:tc>
        <w:tc>
          <w:tcPr>
            <w:tcW w:w="970" w:type="pct"/>
            <w:tcBorders>
              <w:top w:val="nil"/>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sz w:val="28"/>
                <w:szCs w:val="28"/>
              </w:rPr>
            </w:pPr>
            <w:r w:rsidRPr="000429DF">
              <w:rPr>
                <w:rFonts w:ascii="Arabic Typesetting" w:hAnsi="Arabic Typesetting" w:cs="Arabic Typesetting" w:hint="cs"/>
                <w:sz w:val="28"/>
                <w:szCs w:val="28"/>
                <w:rtl/>
              </w:rPr>
              <w:t>6,298</w:t>
            </w:r>
          </w:p>
        </w:tc>
        <w:tc>
          <w:tcPr>
            <w:tcW w:w="970" w:type="pct"/>
            <w:tcBorders>
              <w:top w:val="nil"/>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sz w:val="28"/>
                <w:szCs w:val="28"/>
              </w:rPr>
            </w:pPr>
            <w:r w:rsidRPr="000429DF">
              <w:rPr>
                <w:rFonts w:ascii="Arabic Typesetting" w:hAnsi="Arabic Typesetting" w:cs="Arabic Typesetting" w:hint="cs"/>
                <w:sz w:val="28"/>
                <w:szCs w:val="28"/>
                <w:rtl/>
              </w:rPr>
              <w:t>5,802</w:t>
            </w:r>
          </w:p>
        </w:tc>
        <w:tc>
          <w:tcPr>
            <w:tcW w:w="970" w:type="pct"/>
            <w:tcBorders>
              <w:top w:val="nil"/>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sz w:val="28"/>
                <w:szCs w:val="28"/>
              </w:rPr>
            </w:pPr>
            <w:r w:rsidRPr="000429DF">
              <w:rPr>
                <w:rFonts w:ascii="Arabic Typesetting" w:hAnsi="Arabic Typesetting" w:cs="Arabic Typesetting" w:hint="cs"/>
                <w:sz w:val="28"/>
                <w:szCs w:val="28"/>
                <w:rtl/>
              </w:rPr>
              <w:t>92%</w:t>
            </w:r>
          </w:p>
        </w:tc>
      </w:tr>
      <w:tr w:rsidR="004226D7" w:rsidRPr="000429DF" w:rsidTr="00E16D63">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4226D7" w:rsidRPr="000429DF" w:rsidRDefault="004226D7" w:rsidP="00E16D63">
            <w:pPr>
              <w:bidi/>
              <w:jc w:val="right"/>
              <w:rPr>
                <w:rFonts w:ascii="Arabic Typesetting" w:hAnsi="Arabic Typesetting" w:cs="Arabic Typesetting"/>
                <w:b/>
                <w:bCs/>
                <w:sz w:val="28"/>
                <w:szCs w:val="28"/>
              </w:rPr>
            </w:pPr>
            <w:r w:rsidRPr="000429DF">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b/>
                <w:bCs/>
                <w:sz w:val="28"/>
                <w:szCs w:val="28"/>
              </w:rPr>
            </w:pPr>
            <w:r w:rsidRPr="000429DF">
              <w:rPr>
                <w:rFonts w:ascii="Arabic Typesetting" w:hAnsi="Arabic Typesetting" w:cs="Arabic Typesetting" w:hint="cs"/>
                <w:b/>
                <w:bCs/>
                <w:sz w:val="28"/>
                <w:szCs w:val="28"/>
                <w:rtl/>
              </w:rPr>
              <w:t>23,561</w:t>
            </w:r>
          </w:p>
        </w:tc>
        <w:tc>
          <w:tcPr>
            <w:tcW w:w="970" w:type="pct"/>
            <w:tcBorders>
              <w:top w:val="nil"/>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b/>
                <w:bCs/>
                <w:sz w:val="28"/>
                <w:szCs w:val="28"/>
              </w:rPr>
            </w:pPr>
            <w:r w:rsidRPr="000429DF">
              <w:rPr>
                <w:rFonts w:ascii="Arabic Typesetting" w:hAnsi="Arabic Typesetting" w:cs="Arabic Typesetting" w:hint="cs"/>
                <w:b/>
                <w:bCs/>
                <w:sz w:val="28"/>
                <w:szCs w:val="28"/>
                <w:rtl/>
              </w:rPr>
              <w:t>25,189</w:t>
            </w:r>
          </w:p>
        </w:tc>
        <w:tc>
          <w:tcPr>
            <w:tcW w:w="970" w:type="pct"/>
            <w:tcBorders>
              <w:top w:val="nil"/>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b/>
                <w:bCs/>
                <w:sz w:val="28"/>
                <w:szCs w:val="28"/>
              </w:rPr>
            </w:pPr>
            <w:r w:rsidRPr="000429DF">
              <w:rPr>
                <w:rFonts w:ascii="Arabic Typesetting" w:hAnsi="Arabic Typesetting" w:cs="Arabic Typesetting" w:hint="cs"/>
                <w:b/>
                <w:bCs/>
                <w:sz w:val="28"/>
                <w:szCs w:val="28"/>
                <w:rtl/>
              </w:rPr>
              <w:t>24,699</w:t>
            </w:r>
          </w:p>
        </w:tc>
        <w:tc>
          <w:tcPr>
            <w:tcW w:w="970" w:type="pct"/>
            <w:tcBorders>
              <w:top w:val="nil"/>
              <w:left w:val="single" w:sz="4" w:space="0" w:color="auto"/>
              <w:bottom w:val="single" w:sz="4" w:space="0" w:color="auto"/>
              <w:right w:val="single" w:sz="4" w:space="0" w:color="auto"/>
            </w:tcBorders>
            <w:shd w:val="clear" w:color="auto" w:fill="auto"/>
            <w:vAlign w:val="center"/>
          </w:tcPr>
          <w:p w:rsidR="004226D7" w:rsidRPr="000429DF" w:rsidRDefault="004226D7" w:rsidP="00E16D63">
            <w:pPr>
              <w:bidi/>
              <w:jc w:val="center"/>
              <w:rPr>
                <w:rFonts w:ascii="Arabic Typesetting" w:hAnsi="Arabic Typesetting" w:cs="Arabic Typesetting"/>
                <w:b/>
                <w:bCs/>
                <w:sz w:val="28"/>
                <w:szCs w:val="28"/>
              </w:rPr>
            </w:pPr>
            <w:r w:rsidRPr="000429DF">
              <w:rPr>
                <w:rFonts w:ascii="Arabic Typesetting" w:hAnsi="Arabic Typesetting" w:cs="Arabic Typesetting" w:hint="cs"/>
                <w:b/>
                <w:bCs/>
                <w:sz w:val="28"/>
                <w:szCs w:val="28"/>
                <w:rtl/>
              </w:rPr>
              <w:t>98%</w:t>
            </w:r>
          </w:p>
        </w:tc>
      </w:tr>
    </w:tbl>
    <w:p w:rsidR="004226D7" w:rsidRPr="000429DF" w:rsidRDefault="004226D7" w:rsidP="004226D7">
      <w:pPr>
        <w:keepNext/>
        <w:bidi/>
        <w:spacing w:before="240" w:after="120" w:line="340" w:lineRule="exact"/>
        <w:rPr>
          <w:rFonts w:ascii="Arabic Typesetting" w:hAnsi="Arabic Typesetting" w:cs="Arabic Typesetting"/>
          <w:sz w:val="34"/>
          <w:szCs w:val="34"/>
          <w:lang w:bidi="ar-EG"/>
        </w:rPr>
      </w:pPr>
      <w:r w:rsidRPr="000429DF">
        <w:rPr>
          <w:rFonts w:ascii="Arabic Typesetting" w:hAnsi="Arabic Typesetting" w:cs="Arabic Typesetting" w:hint="cs"/>
          <w:sz w:val="34"/>
          <w:szCs w:val="34"/>
          <w:rtl/>
          <w:lang w:bidi="ar-EG"/>
        </w:rPr>
        <w:t>ألف</w:t>
      </w:r>
      <w:r w:rsidRPr="000429DF">
        <w:rPr>
          <w:rFonts w:ascii="Arabic Typesetting" w:hAnsi="Arabic Typesetting" w:cs="Arabic Typesetting"/>
          <w:sz w:val="34"/>
          <w:szCs w:val="34"/>
          <w:lang w:bidi="ar-EG"/>
        </w:rPr>
        <w:t>.</w:t>
      </w:r>
      <w:r w:rsidRPr="000429DF">
        <w:rPr>
          <w:rFonts w:ascii="Arabic Typesetting" w:hAnsi="Arabic Typesetting" w:cs="Arabic Typesetting" w:hint="cs"/>
          <w:sz w:val="34"/>
          <w:szCs w:val="34"/>
          <w:rtl/>
          <w:lang w:bidi="ar-EG"/>
        </w:rPr>
        <w:tab/>
      </w:r>
      <w:r w:rsidRPr="000429DF">
        <w:rPr>
          <w:rFonts w:ascii="Arabic Typesetting" w:hAnsi="Arabic Typesetting" w:cs="Arabic Typesetting" w:hint="cs"/>
          <w:sz w:val="34"/>
          <w:szCs w:val="34"/>
          <w:u w:val="single"/>
          <w:rtl/>
          <w:lang w:bidi="ar-EG"/>
        </w:rPr>
        <w:t>الميزانية النهائية بعد التحويلات 2014/15</w:t>
      </w:r>
    </w:p>
    <w:p w:rsidR="004226D7" w:rsidRPr="000429DF" w:rsidRDefault="004226D7" w:rsidP="009A3712">
      <w:pPr>
        <w:numPr>
          <w:ilvl w:val="0"/>
          <w:numId w:val="40"/>
        </w:numPr>
        <w:tabs>
          <w:tab w:val="left" w:pos="445"/>
        </w:tabs>
        <w:bidi/>
        <w:spacing w:after="120" w:line="340" w:lineRule="exact"/>
        <w:ind w:left="-5" w:firstLine="0"/>
        <w:jc w:val="both"/>
        <w:rPr>
          <w:rFonts w:ascii="Arabic Typesetting" w:hAnsi="Arabic Typesetting" w:cs="Arabic Typesetting"/>
          <w:sz w:val="34"/>
          <w:szCs w:val="34"/>
          <w:lang w:eastAsia="ko-KR" w:bidi="ar-EG"/>
        </w:rPr>
      </w:pPr>
      <w:r w:rsidRPr="000429DF">
        <w:rPr>
          <w:rFonts w:ascii="Arabic Typesetting" w:hAnsi="Arabic Typesetting" w:cs="Arabic Typesetting"/>
          <w:sz w:val="34"/>
          <w:szCs w:val="34"/>
          <w:rtl/>
          <w:lang w:bidi="ar-EG"/>
        </w:rPr>
        <w:t xml:space="preserve">إن الزيادة الإجمالية في </w:t>
      </w:r>
      <w:r w:rsidRPr="000429DF">
        <w:rPr>
          <w:rFonts w:ascii="Arabic Typesetting" w:hAnsi="Arabic Typesetting" w:cs="Arabic Typesetting" w:hint="cs"/>
          <w:sz w:val="34"/>
          <w:szCs w:val="34"/>
          <w:rtl/>
          <w:lang w:bidi="ar-EG"/>
        </w:rPr>
        <w:t>ال</w:t>
      </w:r>
      <w:r w:rsidRPr="000429DF">
        <w:rPr>
          <w:rFonts w:ascii="Arabic Typesetting" w:hAnsi="Arabic Typesetting" w:cs="Arabic Typesetting"/>
          <w:sz w:val="34"/>
          <w:szCs w:val="34"/>
          <w:rtl/>
          <w:lang w:bidi="ar-EG"/>
        </w:rPr>
        <w:t xml:space="preserve">ميزانية </w:t>
      </w:r>
      <w:r w:rsidRPr="000429DF">
        <w:rPr>
          <w:rFonts w:ascii="Arabic Typesetting" w:hAnsi="Arabic Typesetting" w:cs="Arabic Typesetting" w:hint="cs"/>
          <w:sz w:val="34"/>
          <w:szCs w:val="34"/>
          <w:rtl/>
          <w:lang w:bidi="ar-EG"/>
        </w:rPr>
        <w:t xml:space="preserve">النهائية </w:t>
      </w:r>
      <w:r w:rsidRPr="000429DF">
        <w:rPr>
          <w:rFonts w:ascii="Arabic Typesetting" w:hAnsi="Arabic Typesetting" w:cs="Arabic Typesetting"/>
          <w:sz w:val="34"/>
          <w:szCs w:val="34"/>
          <w:rtl/>
          <w:lang w:bidi="ar-EG"/>
        </w:rPr>
        <w:t>بعد التحويلات</w:t>
      </w:r>
      <w:r w:rsidRPr="000429DF">
        <w:rPr>
          <w:rFonts w:ascii="Arabic Typesetting" w:hAnsi="Arabic Typesetting" w:cs="Arabic Typesetting" w:hint="cs"/>
          <w:sz w:val="34"/>
          <w:szCs w:val="34"/>
          <w:rtl/>
          <w:lang w:bidi="ar-EG"/>
        </w:rPr>
        <w:t> </w:t>
      </w:r>
      <w:r w:rsidRPr="000429DF">
        <w:rPr>
          <w:rFonts w:ascii="Arabic Typesetting" w:hAnsi="Arabic Typesetting" w:cs="Arabic Typesetting"/>
          <w:sz w:val="34"/>
          <w:szCs w:val="34"/>
          <w:rtl/>
          <w:lang w:bidi="ar-EG"/>
        </w:rPr>
        <w:t xml:space="preserve">2014/15 </w:t>
      </w:r>
      <w:r w:rsidRPr="000429DF">
        <w:rPr>
          <w:rFonts w:ascii="Arabic Typesetting" w:hAnsi="Arabic Typesetting" w:cs="Arabic Typesetting" w:hint="cs"/>
          <w:sz w:val="34"/>
          <w:szCs w:val="34"/>
          <w:rtl/>
          <w:lang w:bidi="ar-EG"/>
        </w:rPr>
        <w:t>تُعزى أساسا</w:t>
      </w:r>
      <w:r w:rsidRPr="000429DF">
        <w:rPr>
          <w:rFonts w:ascii="Arabic Typesetting" w:hAnsi="Arabic Typesetting" w:cs="Arabic Typesetting"/>
          <w:sz w:val="34"/>
          <w:szCs w:val="34"/>
          <w:rtl/>
          <w:lang w:bidi="ar-EG"/>
        </w:rPr>
        <w:t xml:space="preserve"> إلى: "1" تمويل حلول توفير الموارد المؤقتة لتغطية حالات الغياب الطويل الأمد</w:t>
      </w:r>
      <w:r w:rsidRPr="000429DF">
        <w:rPr>
          <w:rFonts w:ascii="Arabic Typesetting" w:hAnsi="Arabic Typesetting" w:cs="Arabic Typesetting" w:hint="cs"/>
          <w:sz w:val="34"/>
          <w:szCs w:val="34"/>
          <w:rtl/>
          <w:lang w:bidi="ar-EG"/>
        </w:rPr>
        <w:t>؛</w:t>
      </w:r>
      <w:r w:rsidRPr="000429DF">
        <w:rPr>
          <w:rFonts w:ascii="Arabic Typesetting" w:hAnsi="Arabic Typesetting" w:cs="Arabic Typesetting"/>
          <w:sz w:val="34"/>
          <w:szCs w:val="34"/>
          <w:rtl/>
          <w:lang w:bidi="ar-EG"/>
        </w:rPr>
        <w:t xml:space="preserve"> "2" وزيادة تكاليف </w:t>
      </w:r>
      <w:r w:rsidRPr="000429DF">
        <w:rPr>
          <w:rFonts w:ascii="Arabic Typesetting" w:hAnsi="Arabic Typesetting" w:cs="Arabic Typesetting" w:hint="cs"/>
          <w:sz w:val="34"/>
          <w:szCs w:val="34"/>
          <w:rtl/>
          <w:lang w:bidi="ar-EG"/>
        </w:rPr>
        <w:t>ال</w:t>
      </w:r>
      <w:r w:rsidRPr="000429DF">
        <w:rPr>
          <w:rFonts w:ascii="Arabic Typesetting" w:hAnsi="Arabic Typesetting" w:cs="Arabic Typesetting"/>
          <w:sz w:val="34"/>
          <w:szCs w:val="34"/>
          <w:rtl/>
          <w:lang w:bidi="ar-EG"/>
        </w:rPr>
        <w:t xml:space="preserve">أنشطة المشتركة </w:t>
      </w:r>
      <w:r w:rsidRPr="000429DF">
        <w:rPr>
          <w:rFonts w:ascii="Arabic Typesetting" w:hAnsi="Arabic Typesetting" w:cs="Arabic Typesetting" w:hint="cs"/>
          <w:sz w:val="34"/>
          <w:szCs w:val="34"/>
          <w:rtl/>
          <w:lang w:bidi="ar-EG"/>
        </w:rPr>
        <w:t xml:space="preserve">مع </w:t>
      </w:r>
      <w:r w:rsidRPr="000429DF">
        <w:rPr>
          <w:rFonts w:ascii="Arabic Typesetting" w:hAnsi="Arabic Typesetting" w:cs="Arabic Typesetting"/>
          <w:sz w:val="34"/>
          <w:szCs w:val="34"/>
          <w:rtl/>
          <w:lang w:bidi="ar-EG"/>
        </w:rPr>
        <w:t>الأمم المتحدة</w:t>
      </w:r>
      <w:r w:rsidRPr="000429DF">
        <w:rPr>
          <w:rFonts w:ascii="Arabic Typesetting" w:hAnsi="Arabic Typesetting" w:cs="Arabic Typesetting" w:hint="cs"/>
          <w:sz w:val="34"/>
          <w:szCs w:val="34"/>
          <w:rtl/>
          <w:lang w:bidi="ar-EG"/>
        </w:rPr>
        <w:t>؛</w:t>
      </w:r>
      <w:r w:rsidRPr="000429DF">
        <w:rPr>
          <w:rFonts w:ascii="Arabic Typesetting" w:hAnsi="Arabic Typesetting" w:cs="Arabic Typesetting"/>
          <w:sz w:val="34"/>
          <w:szCs w:val="34"/>
          <w:rtl/>
          <w:lang w:bidi="ar-EG"/>
        </w:rPr>
        <w:t xml:space="preserve"> "3" </w:t>
      </w:r>
      <w:r w:rsidRPr="000429DF">
        <w:rPr>
          <w:rFonts w:ascii="Arabic Typesetting" w:hAnsi="Arabic Typesetting" w:cs="Arabic Typesetting" w:hint="cs"/>
          <w:sz w:val="34"/>
          <w:szCs w:val="34"/>
          <w:rtl/>
          <w:lang w:bidi="ar-EG"/>
        </w:rPr>
        <w:t>وتوفير موارد إضافية ل</w:t>
      </w:r>
      <w:r w:rsidRPr="000429DF">
        <w:rPr>
          <w:rFonts w:ascii="Arabic Typesetting" w:hAnsi="Arabic Typesetting" w:cs="Arabic Typesetting"/>
          <w:sz w:val="34"/>
          <w:szCs w:val="34"/>
          <w:rtl/>
          <w:lang w:bidi="ar-EG"/>
        </w:rPr>
        <w:t xml:space="preserve">مجلس الويبو </w:t>
      </w:r>
      <w:r w:rsidRPr="000429DF">
        <w:rPr>
          <w:rFonts w:ascii="Arabic Typesetting" w:hAnsi="Arabic Typesetting" w:cs="Arabic Typesetting" w:hint="cs"/>
          <w:sz w:val="34"/>
          <w:szCs w:val="34"/>
          <w:rtl/>
          <w:lang w:bidi="ar-EG"/>
        </w:rPr>
        <w:t>للطعون</w:t>
      </w:r>
      <w:r w:rsidRPr="000429DF">
        <w:rPr>
          <w:rFonts w:ascii="Arabic Typesetting" w:hAnsi="Arabic Typesetting" w:cs="Arabic Typesetting"/>
          <w:sz w:val="34"/>
          <w:szCs w:val="34"/>
          <w:rtl/>
          <w:lang w:bidi="ar-EG"/>
        </w:rPr>
        <w:t>، "4" وإطلاق مبادرات جديدة، بما في ذلك برنامج الويبو للمكافآت والتقدير</w:t>
      </w:r>
      <w:r w:rsidRPr="000429DF">
        <w:rPr>
          <w:rFonts w:ascii="Arabic Typesetting" w:hAnsi="Arabic Typesetting" w:cs="Arabic Typesetting" w:hint="cs"/>
          <w:sz w:val="34"/>
          <w:szCs w:val="34"/>
          <w:rtl/>
          <w:lang w:bidi="ar-EG"/>
        </w:rPr>
        <w:t>؛</w:t>
      </w:r>
      <w:r w:rsidRPr="000429DF">
        <w:rPr>
          <w:rFonts w:ascii="Arabic Typesetting" w:hAnsi="Arabic Typesetting" w:cs="Arabic Typesetting"/>
          <w:sz w:val="34"/>
          <w:szCs w:val="34"/>
          <w:rtl/>
          <w:lang w:bidi="ar-EG"/>
        </w:rPr>
        <w:t xml:space="preserve"> "5" وزيادة تكاليف التأمين </w:t>
      </w:r>
      <w:r w:rsidRPr="000429DF">
        <w:rPr>
          <w:rFonts w:ascii="Arabic Typesetting" w:hAnsi="Arabic Typesetting" w:cs="Arabic Typesetting" w:hint="cs"/>
          <w:sz w:val="34"/>
          <w:szCs w:val="34"/>
          <w:rtl/>
          <w:lang w:bidi="ar-EG"/>
        </w:rPr>
        <w:t>الخاص</w:t>
      </w:r>
      <w:r w:rsidRPr="000429DF">
        <w:rPr>
          <w:rFonts w:ascii="Arabic Typesetting" w:hAnsi="Arabic Typesetting" w:cs="Arabic Typesetting"/>
          <w:sz w:val="34"/>
          <w:szCs w:val="34"/>
          <w:rtl/>
          <w:lang w:bidi="ar-EG"/>
        </w:rPr>
        <w:t xml:space="preserve"> </w:t>
      </w:r>
      <w:r w:rsidRPr="000429DF">
        <w:rPr>
          <w:rFonts w:ascii="Arabic Typesetting" w:hAnsi="Arabic Typesetting" w:cs="Arabic Typesetting" w:hint="cs"/>
          <w:sz w:val="34"/>
          <w:szCs w:val="34"/>
          <w:rtl/>
          <w:lang w:bidi="ar-EG"/>
        </w:rPr>
        <w:t>ب</w:t>
      </w:r>
      <w:r w:rsidRPr="000429DF">
        <w:rPr>
          <w:rFonts w:ascii="Arabic Typesetting" w:hAnsi="Arabic Typesetting" w:cs="Arabic Typesetting"/>
          <w:sz w:val="34"/>
          <w:szCs w:val="34"/>
          <w:rtl/>
          <w:lang w:bidi="ar-EG"/>
        </w:rPr>
        <w:t>المندوبين والمشاركين في اجتماعات الويبو</w:t>
      </w:r>
      <w:r w:rsidRPr="000429DF">
        <w:rPr>
          <w:rFonts w:ascii="Arabic Typesetting" w:hAnsi="Arabic Typesetting" w:cs="Arabic Typesetting" w:hint="cs"/>
          <w:sz w:val="34"/>
          <w:szCs w:val="34"/>
          <w:rtl/>
          <w:lang w:bidi="ar-EG"/>
        </w:rPr>
        <w:t>؛ "6" وإعادة توزيع موارد التدريب المتخصص في مجال تكنولوجيا المعلومات والاتصالات المرصودة سابقا تحت البرنامج 25.</w:t>
      </w:r>
    </w:p>
    <w:p w:rsidR="004226D7" w:rsidRPr="000429DF" w:rsidRDefault="004226D7" w:rsidP="004226D7">
      <w:pPr>
        <w:keepNext/>
        <w:bidi/>
        <w:spacing w:after="120" w:line="340" w:lineRule="exact"/>
        <w:jc w:val="both"/>
        <w:rPr>
          <w:rFonts w:ascii="Arabic Typesetting" w:hAnsi="Arabic Typesetting" w:cs="Arabic Typesetting"/>
          <w:sz w:val="34"/>
          <w:szCs w:val="34"/>
          <w:u w:val="single"/>
          <w:rtl/>
          <w:lang w:eastAsia="ko-KR" w:bidi="ar-EG"/>
        </w:rPr>
      </w:pPr>
      <w:r w:rsidRPr="000429DF">
        <w:rPr>
          <w:rFonts w:ascii="Arabic Typesetting" w:hAnsi="Arabic Typesetting" w:cs="Arabic Typesetting"/>
          <w:sz w:val="34"/>
          <w:szCs w:val="34"/>
          <w:rtl/>
          <w:lang w:eastAsia="ko-KR"/>
        </w:rPr>
        <w:t>باء</w:t>
      </w:r>
      <w:r w:rsidRPr="000429DF">
        <w:rPr>
          <w:rFonts w:ascii="Arabic Typesetting" w:hAnsi="Arabic Typesetting" w:cs="Arabic Typesetting"/>
          <w:sz w:val="34"/>
          <w:szCs w:val="34"/>
          <w:lang w:eastAsia="ko-KR"/>
        </w:rPr>
        <w:t>.</w:t>
      </w:r>
      <w:r w:rsidRPr="000429DF">
        <w:rPr>
          <w:rFonts w:ascii="Arabic Typesetting" w:hAnsi="Arabic Typesetting" w:cs="Arabic Typesetting"/>
          <w:sz w:val="34"/>
          <w:szCs w:val="34"/>
          <w:lang w:eastAsia="ko-KR"/>
        </w:rPr>
        <w:tab/>
      </w:r>
      <w:r w:rsidRPr="000429DF">
        <w:rPr>
          <w:rFonts w:ascii="Arabic Typesetting" w:hAnsi="Arabic Typesetting" w:cs="Arabic Typesetting"/>
          <w:sz w:val="34"/>
          <w:szCs w:val="34"/>
          <w:u w:val="single"/>
          <w:rtl/>
          <w:lang w:eastAsia="ko-KR"/>
        </w:rPr>
        <w:t>استخدام ميزانية</w:t>
      </w:r>
      <w:r w:rsidRPr="000429DF">
        <w:rPr>
          <w:rFonts w:ascii="Arabic Typesetting" w:hAnsi="Arabic Typesetting" w:cs="Arabic Typesetting" w:hint="cs"/>
          <w:sz w:val="34"/>
          <w:szCs w:val="34"/>
          <w:u w:val="single"/>
          <w:rtl/>
          <w:lang w:eastAsia="ko-KR"/>
        </w:rPr>
        <w:t> 2014/15</w:t>
      </w:r>
    </w:p>
    <w:p w:rsidR="00086C3F" w:rsidRPr="004226D7" w:rsidRDefault="004226D7" w:rsidP="009A3712">
      <w:pPr>
        <w:numPr>
          <w:ilvl w:val="0"/>
          <w:numId w:val="40"/>
        </w:numPr>
        <w:tabs>
          <w:tab w:val="left" w:pos="625"/>
        </w:tabs>
        <w:bidi/>
        <w:spacing w:before="120" w:after="120" w:line="340" w:lineRule="exact"/>
        <w:ind w:left="0" w:firstLine="0"/>
        <w:jc w:val="both"/>
        <w:rPr>
          <w:rFonts w:ascii="Arabic Typesetting" w:hAnsi="Arabic Typesetting" w:cs="Arabic Typesetting"/>
          <w:sz w:val="36"/>
          <w:szCs w:val="36"/>
          <w:rtl/>
          <w:lang w:val="fr-CH"/>
        </w:rPr>
      </w:pPr>
      <w:r w:rsidRPr="004226D7">
        <w:rPr>
          <w:rFonts w:ascii="Arabic Typesetting" w:hAnsi="Arabic Typesetting" w:cs="Arabic Typesetting" w:hint="cs"/>
          <w:sz w:val="34"/>
          <w:szCs w:val="34"/>
          <w:rtl/>
          <w:lang w:bidi="ar-EG"/>
        </w:rPr>
        <w:t xml:space="preserve">بلغت نسبة استخدام </w:t>
      </w:r>
      <w:r w:rsidR="00C45BBE">
        <w:rPr>
          <w:rFonts w:ascii="Arabic Typesetting" w:hAnsi="Arabic Typesetting" w:cs="Arabic Typesetting" w:hint="cs"/>
          <w:sz w:val="34"/>
          <w:szCs w:val="34"/>
          <w:rtl/>
          <w:lang w:bidi="ar-EG"/>
        </w:rPr>
        <w:t>مخصصات</w:t>
      </w:r>
      <w:r w:rsidR="00E52F29">
        <w:rPr>
          <w:rFonts w:ascii="Arabic Typesetting" w:hAnsi="Arabic Typesetting" w:cs="Arabic Typesetting" w:hint="cs"/>
          <w:sz w:val="34"/>
          <w:szCs w:val="34"/>
          <w:rtl/>
          <w:lang w:bidi="ar-EG"/>
        </w:rPr>
        <w:t xml:space="preserve"> </w:t>
      </w:r>
      <w:r w:rsidRPr="004226D7">
        <w:rPr>
          <w:rFonts w:ascii="Arabic Typesetting" w:hAnsi="Arabic Typesetting" w:cs="Arabic Typesetting" w:hint="cs"/>
          <w:sz w:val="34"/>
          <w:szCs w:val="34"/>
          <w:rtl/>
          <w:lang w:bidi="ar-EG"/>
        </w:rPr>
        <w:t xml:space="preserve">خلاف موارد الموظفين 91% </w:t>
      </w:r>
      <w:r w:rsidR="00E52F29">
        <w:rPr>
          <w:rFonts w:ascii="Arabic Typesetting" w:hAnsi="Arabic Typesetting" w:cs="Arabic Typesetting" w:hint="cs"/>
          <w:sz w:val="34"/>
          <w:szCs w:val="34"/>
          <w:rtl/>
          <w:lang w:bidi="ar-EG"/>
        </w:rPr>
        <w:t>بفضل</w:t>
      </w:r>
      <w:r w:rsidRPr="004226D7">
        <w:rPr>
          <w:rFonts w:ascii="Arabic Typesetting" w:hAnsi="Arabic Typesetting" w:cs="Arabic Typesetting" w:hint="cs"/>
          <w:sz w:val="34"/>
          <w:szCs w:val="34"/>
          <w:rtl/>
          <w:lang w:bidi="ar-EG"/>
        </w:rPr>
        <w:t xml:space="preserve"> الوفورات الناجمة أساسا عن إعادة التفاوض على عقود تأمين جديدة وإنفاق أدنى من المتوقّع على ما يلي: "1" تغطية حالات الغياب بسبب الأمومة والمرض؛ "2" والمحكمة الإدارية لمنظمة العمل الدولية؛ "3" والتدريب اللغوي؛ "4" وأنشطة التصنيف.</w:t>
      </w:r>
    </w:p>
    <w:p w:rsidR="00B31868" w:rsidRPr="00385CA0" w:rsidRDefault="00B31868" w:rsidP="00285760">
      <w:pPr>
        <w:pStyle w:val="Heading3AR"/>
        <w:spacing w:after="120"/>
      </w:pPr>
      <w:bookmarkStart w:id="119" w:name="_Toc392610059"/>
      <w:bookmarkStart w:id="120" w:name="_Toc393807107"/>
      <w:bookmarkStart w:id="121" w:name="_Toc393807233"/>
      <w:bookmarkStart w:id="122" w:name="_Toc393807982"/>
      <w:bookmarkStart w:id="123" w:name="_Toc393817960"/>
      <w:bookmarkStart w:id="124" w:name="_Toc450635431"/>
      <w:bookmarkStart w:id="125" w:name="_Toc455393400"/>
      <w:r w:rsidRPr="00385CA0">
        <w:rPr>
          <w:rtl/>
        </w:rPr>
        <w:lastRenderedPageBreak/>
        <w:t xml:space="preserve">البرنامج </w:t>
      </w:r>
      <w:r w:rsidR="00385CA0">
        <w:rPr>
          <w:rFonts w:hint="cs"/>
          <w:rtl/>
        </w:rPr>
        <w:t>24</w:t>
      </w:r>
      <w:r w:rsidRPr="00385CA0">
        <w:rPr>
          <w:rtl/>
        </w:rPr>
        <w:t>:</w:t>
      </w:r>
      <w:r w:rsidRPr="00385CA0">
        <w:rPr>
          <w:rtl/>
        </w:rPr>
        <w:tab/>
        <w:t>خدمات الدعم العامة</w:t>
      </w:r>
      <w:bookmarkEnd w:id="119"/>
      <w:bookmarkEnd w:id="120"/>
      <w:bookmarkEnd w:id="121"/>
      <w:bookmarkEnd w:id="122"/>
      <w:bookmarkEnd w:id="123"/>
      <w:bookmarkEnd w:id="124"/>
      <w:bookmarkEnd w:id="125"/>
    </w:p>
    <w:p w:rsidR="00B31868" w:rsidRPr="00B31868" w:rsidRDefault="00B31868" w:rsidP="00285760">
      <w:pPr>
        <w:keepNext/>
        <w:bidi/>
        <w:spacing w:after="240" w:line="340" w:lineRule="exact"/>
        <w:ind w:left="1984" w:hanging="1984"/>
        <w:rPr>
          <w:rFonts w:ascii="Arabic Typesetting" w:hAnsi="Arabic Typesetting" w:cs="Arabic Typesetting"/>
          <w:b/>
          <w:bCs/>
          <w:sz w:val="36"/>
          <w:szCs w:val="36"/>
          <w:lang w:val="fr-CH"/>
        </w:rPr>
      </w:pPr>
      <w:r w:rsidRPr="00B31868">
        <w:rPr>
          <w:rFonts w:ascii="Arabic Typesetting" w:hAnsi="Arabic Typesetting" w:cs="Arabic Typesetting"/>
          <w:b/>
          <w:bCs/>
          <w:sz w:val="36"/>
          <w:szCs w:val="36"/>
          <w:rtl/>
          <w:lang w:val="fr-CH"/>
        </w:rPr>
        <w:t>المسؤول عن البرنامج:</w:t>
      </w:r>
      <w:r w:rsidR="00A214AF">
        <w:rPr>
          <w:rFonts w:ascii="Arabic Typesetting" w:hAnsi="Arabic Typesetting" w:cs="Arabic Typesetting"/>
          <w:b/>
          <w:bCs/>
          <w:sz w:val="36"/>
          <w:szCs w:val="36"/>
          <w:rtl/>
          <w:lang w:val="fr-CH"/>
        </w:rPr>
        <w:tab/>
      </w:r>
      <w:r w:rsidRPr="00B31868">
        <w:rPr>
          <w:rFonts w:ascii="Arabic Typesetting" w:hAnsi="Arabic Typesetting" w:cs="Arabic Typesetting"/>
          <w:b/>
          <w:bCs/>
          <w:sz w:val="36"/>
          <w:szCs w:val="36"/>
          <w:rtl/>
          <w:lang w:val="fr-CH"/>
        </w:rPr>
        <w:t xml:space="preserve">السيد </w:t>
      </w:r>
      <w:proofErr w:type="spellStart"/>
      <w:r w:rsidRPr="00B31868">
        <w:rPr>
          <w:rFonts w:ascii="Arabic Typesetting" w:hAnsi="Arabic Typesetting" w:cs="Arabic Typesetting"/>
          <w:b/>
          <w:bCs/>
          <w:sz w:val="36"/>
          <w:szCs w:val="36"/>
          <w:rtl/>
          <w:lang w:val="fr-CH"/>
        </w:rPr>
        <w:t>أ</w:t>
      </w:r>
      <w:r w:rsidR="009A48D1">
        <w:rPr>
          <w:rFonts w:ascii="Arabic Typesetting" w:hAnsi="Arabic Typesetting" w:cs="Arabic Typesetting" w:hint="cs"/>
          <w:b/>
          <w:bCs/>
          <w:sz w:val="36"/>
          <w:szCs w:val="36"/>
          <w:rtl/>
          <w:lang w:val="fr-CH"/>
        </w:rPr>
        <w:t>مبي</w:t>
      </w:r>
      <w:proofErr w:type="spellEnd"/>
      <w:r w:rsidRPr="00B31868">
        <w:rPr>
          <w:rFonts w:ascii="Arabic Typesetting" w:hAnsi="Arabic Typesetting" w:cs="Arabic Typesetting"/>
          <w:b/>
          <w:bCs/>
          <w:sz w:val="36"/>
          <w:szCs w:val="36"/>
          <w:rtl/>
          <w:lang w:val="fr-CH"/>
        </w:rPr>
        <w:t xml:space="preserve"> </w:t>
      </w:r>
      <w:proofErr w:type="spellStart"/>
      <w:r w:rsidRPr="00B31868">
        <w:rPr>
          <w:rFonts w:ascii="Arabic Typesetting" w:hAnsi="Arabic Typesetting" w:cs="Arabic Typesetting"/>
          <w:b/>
          <w:bCs/>
          <w:sz w:val="36"/>
          <w:szCs w:val="36"/>
          <w:rtl/>
          <w:lang w:val="fr-CH"/>
        </w:rPr>
        <w:t>سوندارام</w:t>
      </w:r>
      <w:proofErr w:type="spellEnd"/>
    </w:p>
    <w:p w:rsidR="00B31868" w:rsidRPr="00B31868" w:rsidRDefault="006E7FC6" w:rsidP="00285760">
      <w:pPr>
        <w:keepNext/>
        <w:bidi/>
        <w:spacing w:after="240" w:line="340" w:lineRule="exact"/>
        <w:rPr>
          <w:rFonts w:ascii="Arabic Typesetting" w:hAnsi="Arabic Typesetting" w:cs="Arabic Typesetting"/>
          <w:sz w:val="36"/>
          <w:szCs w:val="36"/>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796E70" w:rsidRPr="00796E70" w:rsidRDefault="00796E70"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sidRPr="00796E70">
        <w:rPr>
          <w:rFonts w:ascii="Arabic Typesetting" w:hAnsi="Arabic Typesetting" w:cs="Arabic Typesetting" w:hint="cs"/>
          <w:sz w:val="34"/>
          <w:szCs w:val="34"/>
          <w:rtl/>
          <w:lang w:val="fr-CH"/>
        </w:rPr>
        <w:t>إضافة إلى تقديم توجيه ودعم استراتيجيين في مجالي الإدارة والتنظيم الإداري في الويبو، يشمل البرنامج</w:t>
      </w:r>
      <w:r w:rsidR="00745466">
        <w:rPr>
          <w:rFonts w:ascii="Arabic Typesetting" w:hAnsi="Arabic Typesetting" w:cs="Arabic Typesetting" w:hint="cs"/>
          <w:sz w:val="34"/>
          <w:szCs w:val="34"/>
          <w:rtl/>
          <w:lang w:val="fr-CH"/>
        </w:rPr>
        <w:t xml:space="preserve"> 24</w:t>
      </w:r>
      <w:r w:rsidRPr="00796E70">
        <w:rPr>
          <w:rFonts w:ascii="Arabic Typesetting" w:hAnsi="Arabic Typesetting" w:cs="Arabic Typesetting" w:hint="cs"/>
          <w:sz w:val="34"/>
          <w:szCs w:val="34"/>
          <w:rtl/>
          <w:lang w:val="fr-CH"/>
        </w:rPr>
        <w:t xml:space="preserve"> خدمات المشتريات وال</w:t>
      </w:r>
      <w:r w:rsidR="00745466">
        <w:rPr>
          <w:rFonts w:ascii="Arabic Typesetting" w:hAnsi="Arabic Typesetting" w:cs="Arabic Typesetting" w:hint="cs"/>
          <w:sz w:val="34"/>
          <w:szCs w:val="34"/>
          <w:rtl/>
          <w:lang w:val="fr-CH"/>
        </w:rPr>
        <w:t>أسفار</w:t>
      </w:r>
      <w:r w:rsidRPr="00796E70">
        <w:rPr>
          <w:rFonts w:ascii="Arabic Typesetting" w:hAnsi="Arabic Typesetting" w:cs="Arabic Typesetting" w:hint="cs"/>
          <w:sz w:val="34"/>
          <w:szCs w:val="34"/>
          <w:rtl/>
          <w:lang w:val="fr-CH"/>
        </w:rPr>
        <w:t xml:space="preserve"> </w:t>
      </w:r>
      <w:r w:rsidRPr="00796E70">
        <w:rPr>
          <w:rFonts w:ascii="Arabic Typesetting" w:hAnsi="Arabic Typesetting" w:cs="Arabic Typesetting" w:hint="cs"/>
          <w:sz w:val="34"/>
          <w:szCs w:val="34"/>
          <w:rtl/>
          <w:lang w:bidi="ar-EG"/>
        </w:rPr>
        <w:t>والبنى</w:t>
      </w:r>
      <w:r w:rsidRPr="00796E70">
        <w:rPr>
          <w:rFonts w:ascii="Arabic Typesetting" w:hAnsi="Arabic Typesetting" w:cs="Arabic Typesetting" w:hint="cs"/>
          <w:sz w:val="34"/>
          <w:szCs w:val="34"/>
          <w:rtl/>
          <w:lang w:val="fr-CH"/>
        </w:rPr>
        <w:t xml:space="preserve"> التحتية للمباني.</w:t>
      </w:r>
    </w:p>
    <w:p w:rsidR="00D07943" w:rsidRDefault="00796E70" w:rsidP="003C2A9C">
      <w:pPr>
        <w:numPr>
          <w:ilvl w:val="0"/>
          <w:numId w:val="34"/>
        </w:numPr>
        <w:bidi/>
        <w:spacing w:after="120" w:line="340" w:lineRule="exact"/>
        <w:ind w:left="-1" w:firstLine="1"/>
        <w:jc w:val="both"/>
        <w:rPr>
          <w:rFonts w:ascii="Arabic Typesetting" w:hAnsi="Arabic Typesetting" w:cs="Arabic Typesetting"/>
          <w:sz w:val="34"/>
          <w:szCs w:val="34"/>
          <w:lang w:val="fr-CH"/>
        </w:rPr>
      </w:pPr>
      <w:r w:rsidRPr="00796E70">
        <w:rPr>
          <w:rFonts w:ascii="Arabic Typesetting" w:hAnsi="Arabic Typesetting" w:cs="Arabic Typesetting" w:hint="cs"/>
          <w:sz w:val="34"/>
          <w:szCs w:val="34"/>
          <w:rtl/>
          <w:lang w:val="fr-CH"/>
        </w:rPr>
        <w:t>و</w:t>
      </w:r>
      <w:r w:rsidR="008D3269">
        <w:rPr>
          <w:rFonts w:ascii="Arabic Typesetting" w:hAnsi="Arabic Typesetting" w:cs="Arabic Typesetting" w:hint="cs"/>
          <w:sz w:val="34"/>
          <w:szCs w:val="34"/>
          <w:rtl/>
          <w:lang w:val="fr-CH"/>
        </w:rPr>
        <w:t xml:space="preserve">خلال الثنائية </w:t>
      </w:r>
      <w:r w:rsidR="00507DE2">
        <w:rPr>
          <w:rFonts w:ascii="Arabic Typesetting" w:hAnsi="Arabic Typesetting" w:cs="Arabic Typesetting" w:hint="cs"/>
          <w:sz w:val="34"/>
          <w:szCs w:val="34"/>
          <w:rtl/>
          <w:lang w:val="fr-CH"/>
        </w:rPr>
        <w:t>2014/15</w:t>
      </w:r>
      <w:r w:rsidRPr="00796E70">
        <w:rPr>
          <w:rFonts w:ascii="Arabic Typesetting" w:hAnsi="Arabic Typesetting" w:cs="Arabic Typesetting" w:hint="cs"/>
          <w:sz w:val="34"/>
          <w:szCs w:val="34"/>
          <w:rtl/>
          <w:lang w:val="fr-CH"/>
        </w:rPr>
        <w:t xml:space="preserve">، أحرزت خدمات المشتريات والسفر تقدما جيدا </w:t>
      </w:r>
      <w:r w:rsidR="008D3269">
        <w:rPr>
          <w:rFonts w:ascii="Arabic Typesetting" w:hAnsi="Arabic Typesetting" w:cs="Arabic Typesetting" w:hint="cs"/>
          <w:sz w:val="34"/>
          <w:szCs w:val="34"/>
          <w:rtl/>
          <w:lang w:val="fr-CH"/>
        </w:rPr>
        <w:t>في</w:t>
      </w:r>
      <w:r w:rsidRPr="00796E70">
        <w:rPr>
          <w:rFonts w:ascii="Arabic Typesetting" w:hAnsi="Arabic Typesetting" w:cs="Arabic Typesetting" w:hint="cs"/>
          <w:sz w:val="34"/>
          <w:szCs w:val="34"/>
          <w:rtl/>
          <w:lang w:val="fr-CH"/>
        </w:rPr>
        <w:t xml:space="preserve"> تحقيق الأهداف </w:t>
      </w:r>
      <w:r w:rsidR="00745466">
        <w:rPr>
          <w:rFonts w:ascii="Arabic Typesetting" w:hAnsi="Arabic Typesetting" w:cs="Arabic Typesetting" w:hint="cs"/>
          <w:sz w:val="34"/>
          <w:szCs w:val="34"/>
          <w:rtl/>
          <w:lang w:val="fr-CH"/>
        </w:rPr>
        <w:t>المرتقبة بفضل</w:t>
      </w:r>
      <w:r w:rsidRPr="00796E70">
        <w:rPr>
          <w:rFonts w:ascii="Arabic Typesetting" w:hAnsi="Arabic Typesetting" w:cs="Arabic Typesetting" w:hint="cs"/>
          <w:sz w:val="34"/>
          <w:szCs w:val="34"/>
          <w:rtl/>
          <w:lang w:val="fr-CH"/>
        </w:rPr>
        <w:t xml:space="preserve"> عدة تدابير ترمي إلى </w:t>
      </w:r>
      <w:r w:rsidR="0068388B">
        <w:rPr>
          <w:rFonts w:ascii="Arabic Typesetting" w:hAnsi="Arabic Typesetting" w:cs="Arabic Typesetting" w:hint="cs"/>
          <w:sz w:val="34"/>
          <w:szCs w:val="34"/>
          <w:rtl/>
          <w:lang w:val="fr-CH"/>
        </w:rPr>
        <w:t xml:space="preserve">تقليص تكاليف خدمات مشتريات السلع والخدمات وتبسيط عملياتها. وشملت هذه التدابير ما يلي: "1" اعتماد سياسة جديدة لخدمات التعاقد الفردي وتكليف شعبة المشتريات والأسفار بإدارة هذه الخدمات؛ "2" ووضع إطار قانوني جديد وإصدار تعميم إداري جديد في عام 2014 بشأن المبادئ العامة والقواعد الأساسية للمشتريات ودليل المشتريات؛ "3" وإنشاء قاعدة بيانات لعقود البائعين؛ "4" وتنفيذ خطط سنوية للمشتريات؛ "5" وإطلاق أداة الحجز </w:t>
      </w:r>
      <w:r w:rsidR="003C2A9C">
        <w:rPr>
          <w:rFonts w:ascii="Arabic Typesetting" w:hAnsi="Arabic Typesetting" w:cs="Arabic Typesetting" w:hint="cs"/>
          <w:sz w:val="34"/>
          <w:szCs w:val="34"/>
          <w:rtl/>
          <w:lang w:val="fr-CH"/>
        </w:rPr>
        <w:t>الشبكية</w:t>
      </w:r>
      <w:r w:rsidR="0068388B">
        <w:rPr>
          <w:rFonts w:ascii="Arabic Typesetting" w:hAnsi="Arabic Typesetting" w:cs="Arabic Typesetting" w:hint="cs"/>
          <w:sz w:val="34"/>
          <w:szCs w:val="34"/>
          <w:rtl/>
          <w:lang w:val="fr-CH"/>
        </w:rPr>
        <w:t xml:space="preserve"> للأسفار بغية تقليص تكلفة المعاملات ومتوسط تذاكر السفر عن طريق حجز تذاكر أقل مرونة حجزاً مبكراً.</w:t>
      </w:r>
    </w:p>
    <w:p w:rsidR="0068388B" w:rsidRDefault="0068388B" w:rsidP="003C2A9C">
      <w:pPr>
        <w:numPr>
          <w:ilvl w:val="0"/>
          <w:numId w:val="34"/>
        </w:numPr>
        <w:bidi/>
        <w:spacing w:after="120" w:line="340" w:lineRule="exact"/>
        <w:ind w:left="-1" w:firstLine="1"/>
        <w:jc w:val="both"/>
        <w:rPr>
          <w:rFonts w:ascii="Arabic Typesetting" w:hAnsi="Arabic Typesetting" w:cs="Arabic Typesetting"/>
          <w:sz w:val="34"/>
          <w:szCs w:val="34"/>
          <w:lang w:val="fr-CH"/>
        </w:rPr>
      </w:pPr>
      <w:r w:rsidRPr="003C7C62">
        <w:rPr>
          <w:rFonts w:ascii="Arabic Typesetting" w:hAnsi="Arabic Typesetting" w:cs="Arabic Typesetting" w:hint="cs"/>
          <w:sz w:val="34"/>
          <w:szCs w:val="34"/>
          <w:rtl/>
          <w:lang w:val="fr-CH"/>
        </w:rPr>
        <w:t xml:space="preserve">ونتيجة لهذه التدابير، حُققت وفورات في مشتريات السلع والخدمات باتباع نهج أكثر صرامة في التفاوض على الأسعار مباشرةً ما أدى إلى </w:t>
      </w:r>
      <w:r w:rsidR="003C7C62" w:rsidRPr="003C7C62">
        <w:rPr>
          <w:rFonts w:ascii="Arabic Typesetting" w:hAnsi="Arabic Typesetting" w:cs="Arabic Typesetting" w:hint="cs"/>
          <w:sz w:val="34"/>
          <w:szCs w:val="34"/>
          <w:rtl/>
          <w:lang w:val="fr-CH"/>
        </w:rPr>
        <w:t>وفورات إجمالية قدرها 3.8 مليون فرنك سويسري في عام 2015 و2.6 مليون فرنك سويسري في عام</w:t>
      </w:r>
      <w:r w:rsidR="003C7C62" w:rsidRPr="003C7C62">
        <w:rPr>
          <w:rFonts w:ascii="Arabic Typesetting" w:hAnsi="Arabic Typesetting" w:cs="Arabic Typesetting" w:hint="eastAsia"/>
          <w:sz w:val="34"/>
          <w:szCs w:val="34"/>
          <w:rtl/>
          <w:lang w:val="fr-CH"/>
        </w:rPr>
        <w:t> </w:t>
      </w:r>
      <w:r w:rsidR="003C7C62" w:rsidRPr="003C7C62">
        <w:rPr>
          <w:rFonts w:ascii="Arabic Typesetting" w:hAnsi="Arabic Typesetting" w:cs="Arabic Typesetting" w:hint="cs"/>
          <w:sz w:val="34"/>
          <w:szCs w:val="34"/>
          <w:rtl/>
          <w:lang w:val="fr-CH"/>
        </w:rPr>
        <w:t xml:space="preserve">2014. وازدادت نسبة المشتريات المشتركة بالتعاون مع </w:t>
      </w:r>
      <w:r w:rsidR="003C7C62" w:rsidRPr="003C7C62">
        <w:rPr>
          <w:rFonts w:ascii="Arabic Typesetting" w:hAnsi="Arabic Typesetting" w:cs="Arabic Typesetting"/>
          <w:sz w:val="34"/>
          <w:szCs w:val="34"/>
          <w:rtl/>
          <w:lang w:val="fr-CH"/>
        </w:rPr>
        <w:t>فريق الأمم المتحدة المعني بأنشطة المشتريات المشتركة (</w:t>
      </w:r>
      <w:r w:rsidR="003C7C62" w:rsidRPr="003C7C62">
        <w:rPr>
          <w:rFonts w:ascii="Arabic Typesetting" w:hAnsi="Arabic Typesetting" w:cs="Arabic Typesetting"/>
          <w:sz w:val="34"/>
          <w:szCs w:val="34"/>
          <w:cs/>
          <w:lang w:val="fr-CH"/>
        </w:rPr>
        <w:t>‎</w:t>
      </w:r>
      <w:r w:rsidR="003C7C62" w:rsidRPr="003C7C62">
        <w:rPr>
          <w:rFonts w:ascii="Arabic Typesetting" w:hAnsi="Arabic Typesetting" w:cs="Arabic Typesetting"/>
          <w:sz w:val="34"/>
          <w:szCs w:val="34"/>
          <w:lang w:val="fr-CH"/>
        </w:rPr>
        <w:t>CPAG</w:t>
      </w:r>
      <w:r w:rsidR="003C7C62" w:rsidRPr="003C7C62">
        <w:rPr>
          <w:rFonts w:ascii="Arabic Typesetting" w:hAnsi="Arabic Typesetting" w:cs="Arabic Typesetting"/>
          <w:sz w:val="34"/>
          <w:szCs w:val="34"/>
          <w:rtl/>
          <w:lang w:val="fr-CH"/>
        </w:rPr>
        <w:t>‏)</w:t>
      </w:r>
      <w:r w:rsidR="003C7C62">
        <w:rPr>
          <w:rFonts w:ascii="Arabic Typesetting" w:hAnsi="Arabic Typesetting" w:cs="Arabic Typesetting" w:hint="cs"/>
          <w:sz w:val="34"/>
          <w:szCs w:val="34"/>
          <w:rtl/>
          <w:lang w:val="fr-CH"/>
        </w:rPr>
        <w:t xml:space="preserve"> بنسبة 5.8 بالمئة. وفيما يخص نفقات الأسفار، قلصت تكلفة التذكرة المتوسطة </w:t>
      </w:r>
      <w:r w:rsidR="00F466DA">
        <w:rPr>
          <w:rFonts w:ascii="Arabic Typesetting" w:hAnsi="Arabic Typesetting" w:cs="Arabic Typesetting" w:hint="cs"/>
          <w:sz w:val="34"/>
          <w:szCs w:val="34"/>
          <w:rtl/>
          <w:lang w:val="fr-CH"/>
        </w:rPr>
        <w:t xml:space="preserve">تقليصاً ملحوظاً </w:t>
      </w:r>
      <w:r w:rsidR="003C7C62">
        <w:rPr>
          <w:rFonts w:ascii="Arabic Typesetting" w:hAnsi="Arabic Typesetting" w:cs="Arabic Typesetting" w:hint="cs"/>
          <w:sz w:val="34"/>
          <w:szCs w:val="34"/>
          <w:rtl/>
          <w:lang w:val="fr-CH"/>
        </w:rPr>
        <w:t>بنسبة 14 بالمئة في عام 2015 أي من 1728 فرنكاً سويسرياً في عام 2013 إلى 1484 فرنكاً سويسرياً</w:t>
      </w:r>
      <w:r w:rsidR="00F466DA">
        <w:rPr>
          <w:rFonts w:ascii="Arabic Typesetting" w:hAnsi="Arabic Typesetting" w:cs="Arabic Typesetting" w:hint="cs"/>
          <w:sz w:val="34"/>
          <w:szCs w:val="34"/>
          <w:rtl/>
          <w:lang w:val="fr-CH"/>
        </w:rPr>
        <w:t xml:space="preserve"> في نهاية عام 2015. ومنذ </w:t>
      </w:r>
      <w:r w:rsidR="00CA7968">
        <w:rPr>
          <w:rFonts w:ascii="Arabic Typesetting" w:hAnsi="Arabic Typesetting" w:cs="Arabic Typesetting" w:hint="cs"/>
          <w:sz w:val="34"/>
          <w:szCs w:val="34"/>
          <w:rtl/>
          <w:lang w:val="fr-CH"/>
        </w:rPr>
        <w:t>اعتماد</w:t>
      </w:r>
      <w:r w:rsidR="00F466DA">
        <w:rPr>
          <w:rFonts w:ascii="Arabic Typesetting" w:hAnsi="Arabic Typesetting" w:cs="Arabic Typesetting" w:hint="cs"/>
          <w:sz w:val="34"/>
          <w:szCs w:val="34"/>
          <w:rtl/>
          <w:lang w:val="fr-CH"/>
        </w:rPr>
        <w:t xml:space="preserve"> أداة الحجز </w:t>
      </w:r>
      <w:r w:rsidR="003C2A9C">
        <w:rPr>
          <w:rFonts w:ascii="Arabic Typesetting" w:hAnsi="Arabic Typesetting" w:cs="Arabic Typesetting" w:hint="cs"/>
          <w:sz w:val="34"/>
          <w:szCs w:val="34"/>
          <w:rtl/>
          <w:lang w:val="fr-CH"/>
        </w:rPr>
        <w:t>الشبكية</w:t>
      </w:r>
      <w:r w:rsidR="00F466DA">
        <w:rPr>
          <w:rFonts w:ascii="Arabic Typesetting" w:hAnsi="Arabic Typesetting" w:cs="Arabic Typesetting" w:hint="cs"/>
          <w:sz w:val="34"/>
          <w:szCs w:val="34"/>
          <w:rtl/>
          <w:lang w:val="fr-CH"/>
        </w:rPr>
        <w:t xml:space="preserve"> الجديدة في ديسمبر 2014، انخفض متوسط رسوم المعاملات الإجمالية بنسبة 20 بالمئة على الرغم </w:t>
      </w:r>
      <w:r w:rsidR="00EA5BAC">
        <w:rPr>
          <w:rFonts w:ascii="Arabic Typesetting" w:hAnsi="Arabic Typesetting" w:cs="Arabic Typesetting" w:hint="cs"/>
          <w:sz w:val="34"/>
          <w:szCs w:val="34"/>
          <w:rtl/>
          <w:lang w:val="fr-CH"/>
        </w:rPr>
        <w:t xml:space="preserve">من زيادة الرسوم المستحقة لوكالة السفر بسبب تغيير المزود. ويبيِّن الجدولان التاليان الإنجازات المحققة خلال الثنائية </w:t>
      </w:r>
      <w:r w:rsidR="00507DE2">
        <w:rPr>
          <w:rFonts w:ascii="Arabic Typesetting" w:hAnsi="Arabic Typesetting" w:cs="Arabic Typesetting" w:hint="cs"/>
          <w:sz w:val="34"/>
          <w:szCs w:val="34"/>
          <w:rtl/>
          <w:lang w:val="fr-CH"/>
        </w:rPr>
        <w:t>2014/15</w:t>
      </w:r>
      <w:r w:rsidR="00EA5BAC">
        <w:rPr>
          <w:rFonts w:ascii="Arabic Typesetting" w:hAnsi="Arabic Typesetting" w:cs="Arabic Typesetting" w:hint="cs"/>
          <w:sz w:val="34"/>
          <w:szCs w:val="34"/>
          <w:rtl/>
          <w:lang w:val="fr-CH"/>
        </w:rPr>
        <w:t xml:space="preserve"> فيما يخص المشتريات</w:t>
      </w:r>
      <w:r w:rsidR="00EA5BAC">
        <w:rPr>
          <w:rFonts w:ascii="Arabic Typesetting" w:hAnsi="Arabic Typesetting" w:cs="Arabic Typesetting" w:hint="eastAsia"/>
          <w:sz w:val="34"/>
          <w:szCs w:val="34"/>
          <w:rtl/>
          <w:lang w:val="fr-CH"/>
        </w:rPr>
        <w:t> </w:t>
      </w:r>
      <w:r w:rsidR="00EA5BAC">
        <w:rPr>
          <w:rFonts w:ascii="Arabic Typesetting" w:hAnsi="Arabic Typesetting" w:cs="Arabic Typesetting" w:hint="cs"/>
          <w:sz w:val="34"/>
          <w:szCs w:val="34"/>
          <w:rtl/>
          <w:lang w:val="fr-CH"/>
        </w:rPr>
        <w:t>والأسفار.</w:t>
      </w:r>
    </w:p>
    <w:tbl>
      <w:tblPr>
        <w:bidiVisual/>
        <w:tblW w:w="5000" w:type="pct"/>
        <w:tblLook w:val="04A0" w:firstRow="1" w:lastRow="0" w:firstColumn="1" w:lastColumn="0" w:noHBand="0" w:noVBand="1"/>
      </w:tblPr>
      <w:tblGrid>
        <w:gridCol w:w="4785"/>
        <w:gridCol w:w="4786"/>
      </w:tblGrid>
      <w:tr w:rsidR="00EA5BAC" w:rsidRPr="00211D55" w:rsidTr="00DB301D">
        <w:tc>
          <w:tcPr>
            <w:tcW w:w="2500" w:type="pct"/>
          </w:tcPr>
          <w:p w:rsidR="00EA5BAC" w:rsidRPr="00211D55" w:rsidRDefault="00EA5BAC" w:rsidP="00EA5BAC">
            <w:pPr>
              <w:pStyle w:val="NormalParaAR"/>
              <w:spacing w:before="120" w:after="120" w:line="240" w:lineRule="auto"/>
              <w:jc w:val="center"/>
              <w:rPr>
                <w:sz w:val="28"/>
                <w:szCs w:val="28"/>
                <w:rtl/>
                <w:lang w:val="fr-CH"/>
              </w:rPr>
            </w:pPr>
            <w:r w:rsidRPr="00211D55">
              <w:rPr>
                <w:noProof/>
                <w:sz w:val="28"/>
                <w:szCs w:val="28"/>
              </w:rPr>
              <w:drawing>
                <wp:inline distT="0" distB="0" distL="0" distR="0" wp14:anchorId="15F4B1C9" wp14:editId="6755361F">
                  <wp:extent cx="2908673" cy="1732713"/>
                  <wp:effectExtent l="0" t="0" r="635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915589" cy="1736833"/>
                          </a:xfrm>
                          <a:prstGeom prst="rect">
                            <a:avLst/>
                          </a:prstGeom>
                          <a:noFill/>
                        </pic:spPr>
                      </pic:pic>
                    </a:graphicData>
                  </a:graphic>
                </wp:inline>
              </w:drawing>
            </w:r>
          </w:p>
        </w:tc>
        <w:tc>
          <w:tcPr>
            <w:tcW w:w="2500" w:type="pct"/>
          </w:tcPr>
          <w:p w:rsidR="00EA5BAC" w:rsidRPr="00211D55" w:rsidRDefault="00EA5BAC" w:rsidP="00EA5BAC">
            <w:pPr>
              <w:pStyle w:val="NormalParaAR"/>
              <w:spacing w:before="120" w:after="120" w:line="240" w:lineRule="auto"/>
              <w:jc w:val="center"/>
              <w:rPr>
                <w:sz w:val="28"/>
                <w:szCs w:val="28"/>
                <w:rtl/>
                <w:lang w:val="fr-CH"/>
              </w:rPr>
            </w:pPr>
            <w:r w:rsidRPr="00211D55">
              <w:rPr>
                <w:noProof/>
                <w:sz w:val="28"/>
                <w:szCs w:val="28"/>
              </w:rPr>
              <w:drawing>
                <wp:inline distT="0" distB="0" distL="0" distR="0" wp14:anchorId="4B0A35C0" wp14:editId="61BCF591">
                  <wp:extent cx="2906641" cy="1735530"/>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909382" cy="1737167"/>
                          </a:xfrm>
                          <a:prstGeom prst="rect">
                            <a:avLst/>
                          </a:prstGeom>
                          <a:noFill/>
                        </pic:spPr>
                      </pic:pic>
                    </a:graphicData>
                  </a:graphic>
                </wp:inline>
              </w:drawing>
            </w:r>
          </w:p>
        </w:tc>
      </w:tr>
    </w:tbl>
    <w:p w:rsidR="00EA5BAC" w:rsidRPr="00DB301D" w:rsidRDefault="00DB301D" w:rsidP="009A3712">
      <w:pPr>
        <w:numPr>
          <w:ilvl w:val="0"/>
          <w:numId w:val="34"/>
        </w:numPr>
        <w:bidi/>
        <w:spacing w:after="120" w:line="340" w:lineRule="exact"/>
        <w:ind w:left="-1" w:firstLine="1"/>
        <w:jc w:val="both"/>
        <w:rPr>
          <w:rFonts w:ascii="Arabic Typesetting" w:hAnsi="Arabic Typesetting" w:cs="Arabic Typesetting"/>
          <w:sz w:val="34"/>
          <w:szCs w:val="34"/>
          <w:rtl/>
          <w:lang w:val="fr-CH"/>
        </w:rPr>
      </w:pPr>
      <w:r>
        <w:rPr>
          <w:rFonts w:ascii="Arabic Typesetting" w:hAnsi="Arabic Typesetting" w:cs="Arabic Typesetting" w:hint="cs"/>
          <w:sz w:val="34"/>
          <w:szCs w:val="34"/>
          <w:rtl/>
          <w:lang w:val="fr-CH"/>
        </w:rPr>
        <w:t>وب</w:t>
      </w:r>
      <w:r w:rsidR="00CA7968">
        <w:rPr>
          <w:rFonts w:ascii="Arabic Typesetting" w:hAnsi="Arabic Typesetting" w:cs="Arabic Typesetting" w:hint="cs"/>
          <w:sz w:val="34"/>
          <w:szCs w:val="34"/>
          <w:rtl/>
          <w:lang w:val="fr-CH"/>
        </w:rPr>
        <w:t>ُ</w:t>
      </w:r>
      <w:r>
        <w:rPr>
          <w:rFonts w:ascii="Arabic Typesetting" w:hAnsi="Arabic Typesetting" w:cs="Arabic Typesetting" w:hint="cs"/>
          <w:sz w:val="34"/>
          <w:szCs w:val="34"/>
          <w:rtl/>
          <w:lang w:val="fr-CH"/>
        </w:rPr>
        <w:t>ذلت جهود كبيرة خلال الثنائية ل</w:t>
      </w:r>
      <w:r w:rsidRPr="00DB301D">
        <w:rPr>
          <w:rFonts w:ascii="Arabic Typesetting" w:hAnsi="Arabic Typesetting" w:cs="Arabic Typesetting"/>
          <w:sz w:val="34"/>
          <w:szCs w:val="34"/>
          <w:rtl/>
          <w:lang w:val="fr-CH"/>
        </w:rPr>
        <w:t>تخفيض نفقات السفر</w:t>
      </w:r>
      <w:r w:rsidR="00CB5E67">
        <w:rPr>
          <w:rFonts w:ascii="Arabic Typesetting" w:hAnsi="Arabic Typesetting" w:cs="Arabic Typesetting" w:hint="cs"/>
          <w:sz w:val="34"/>
          <w:szCs w:val="34"/>
          <w:rtl/>
          <w:lang w:val="fr-CH"/>
        </w:rPr>
        <w:t>،</w:t>
      </w:r>
      <w:r w:rsidRPr="00DB301D">
        <w:rPr>
          <w:rFonts w:ascii="Arabic Typesetting" w:hAnsi="Arabic Typesetting" w:cs="Arabic Typesetting"/>
          <w:sz w:val="34"/>
          <w:szCs w:val="34"/>
          <w:rtl/>
          <w:lang w:val="fr-CH"/>
        </w:rPr>
        <w:t xml:space="preserve"> ما أفضى إلى تقليص عدد التذاكر الصادرة وعدد طلبات السفر المتأخرة على حد سواء. ومن خلال الرصد الدقيق للعملية الإدارية</w:t>
      </w:r>
      <w:r>
        <w:rPr>
          <w:rFonts w:ascii="Arabic Typesetting" w:hAnsi="Arabic Typesetting" w:cs="Arabic Typesetting" w:hint="cs"/>
          <w:sz w:val="34"/>
          <w:szCs w:val="34"/>
          <w:rtl/>
          <w:lang w:val="fr-CH"/>
        </w:rPr>
        <w:t xml:space="preserve"> المتعلقة بالمشتريات والأسفار</w:t>
      </w:r>
      <w:r w:rsidRPr="00DB301D">
        <w:rPr>
          <w:rFonts w:ascii="Arabic Typesetting" w:hAnsi="Arabic Typesetting" w:cs="Arabic Typesetting"/>
          <w:sz w:val="34"/>
          <w:szCs w:val="34"/>
          <w:rtl/>
          <w:lang w:val="fr-CH"/>
        </w:rPr>
        <w:t xml:space="preserve">، تقلّصت المدة المستغرقة في معالجة طلبات الاقتناء بالنصف في المتوسط </w:t>
      </w:r>
      <w:r>
        <w:rPr>
          <w:rFonts w:ascii="Arabic Typesetting" w:hAnsi="Arabic Typesetting" w:cs="Arabic Typesetting" w:hint="cs"/>
          <w:sz w:val="34"/>
          <w:szCs w:val="34"/>
          <w:rtl/>
          <w:lang w:val="fr-CH"/>
        </w:rPr>
        <w:t>على مدار السنوات الخمس السابقة</w:t>
      </w:r>
      <w:r w:rsidRPr="00DB301D">
        <w:rPr>
          <w:rFonts w:ascii="Arabic Typesetting" w:hAnsi="Arabic Typesetting" w:cs="Arabic Typesetting"/>
          <w:sz w:val="34"/>
          <w:szCs w:val="34"/>
          <w:rtl/>
          <w:lang w:val="fr-CH"/>
        </w:rPr>
        <w:t xml:space="preserve">، مما أفضى إلى فعالية عالية ومهارة </w:t>
      </w:r>
      <w:r>
        <w:rPr>
          <w:rFonts w:ascii="Arabic Typesetting" w:hAnsi="Arabic Typesetting" w:cs="Arabic Typesetting"/>
          <w:sz w:val="34"/>
          <w:szCs w:val="34"/>
          <w:rtl/>
          <w:lang w:val="fr-CH"/>
        </w:rPr>
        <w:t>رفيعة في اقتناء السلع والخدما</w:t>
      </w:r>
      <w:r>
        <w:rPr>
          <w:rFonts w:ascii="Arabic Typesetting" w:hAnsi="Arabic Typesetting" w:cs="Arabic Typesetting" w:hint="cs"/>
          <w:sz w:val="34"/>
          <w:szCs w:val="34"/>
          <w:rtl/>
          <w:lang w:val="fr-CH"/>
        </w:rPr>
        <w:t>ت. وتجدر الإشارة إلى أن النسبة المئوية للسلع والخدمات المحلية المستخدمة في أنشطة التنمية بلغت 57 بالمئة في عام 2015 أي بزيادة نسبتها 9 بالمئة على عام 2013 و12 بالمئة على عام 2014.</w:t>
      </w:r>
    </w:p>
    <w:p w:rsidR="00EA5BAC" w:rsidRDefault="001D1CEA"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sidRPr="00551B5E">
        <w:rPr>
          <w:rFonts w:ascii="Arabic Typesetting" w:hAnsi="Arabic Typesetting" w:cs="Arabic Typesetting" w:hint="cs"/>
          <w:sz w:val="34"/>
          <w:szCs w:val="34"/>
          <w:rtl/>
          <w:lang w:val="fr-CH"/>
        </w:rPr>
        <w:t xml:space="preserve">وفيما يخص إدارة الأماكن في مباني المقر الرئيسي </w:t>
      </w:r>
      <w:r w:rsidR="007642ED">
        <w:rPr>
          <w:rFonts w:ascii="Arabic Typesetting" w:hAnsi="Arabic Typesetting" w:cs="Arabic Typesetting" w:hint="cs"/>
          <w:sz w:val="34"/>
          <w:szCs w:val="34"/>
          <w:rtl/>
          <w:lang w:val="fr-CH"/>
        </w:rPr>
        <w:t>حُقق</w:t>
      </w:r>
      <w:r w:rsidRPr="00551B5E">
        <w:rPr>
          <w:rFonts w:ascii="Arabic Typesetting" w:hAnsi="Arabic Typesetting" w:cs="Arabic Typesetting" w:hint="cs"/>
          <w:sz w:val="34"/>
          <w:szCs w:val="34"/>
          <w:rtl/>
          <w:lang w:val="fr-CH"/>
        </w:rPr>
        <w:t>، في نهاية عام 2015، توازن مناسب بين أماكن العمل المشغولة (نحو</w:t>
      </w:r>
      <w:r w:rsidR="007642ED">
        <w:rPr>
          <w:rFonts w:ascii="Arabic Typesetting" w:hAnsi="Arabic Typesetting" w:cs="Arabic Typesetting" w:hint="eastAsia"/>
          <w:sz w:val="34"/>
          <w:szCs w:val="34"/>
          <w:rtl/>
          <w:lang w:val="fr-CH"/>
        </w:rPr>
        <w:t> </w:t>
      </w:r>
      <w:r w:rsidRPr="00551B5E">
        <w:rPr>
          <w:rFonts w:ascii="Arabic Typesetting" w:hAnsi="Arabic Typesetting" w:cs="Arabic Typesetting" w:hint="cs"/>
          <w:sz w:val="34"/>
          <w:szCs w:val="34"/>
          <w:rtl/>
          <w:lang w:val="fr-CH"/>
        </w:rPr>
        <w:t>85</w:t>
      </w:r>
      <w:r w:rsidRPr="00551B5E">
        <w:rPr>
          <w:rFonts w:ascii="Arabic Typesetting" w:hAnsi="Arabic Typesetting" w:cs="Arabic Typesetting" w:hint="eastAsia"/>
          <w:sz w:val="34"/>
          <w:szCs w:val="34"/>
          <w:rtl/>
          <w:lang w:val="fr-CH"/>
        </w:rPr>
        <w:t> </w:t>
      </w:r>
      <w:r w:rsidRPr="00551B5E">
        <w:rPr>
          <w:rFonts w:ascii="Arabic Typesetting" w:hAnsi="Arabic Typesetting" w:cs="Arabic Typesetting" w:hint="cs"/>
          <w:sz w:val="34"/>
          <w:szCs w:val="34"/>
          <w:rtl/>
          <w:lang w:val="fr-CH"/>
        </w:rPr>
        <w:t>بالمئة) وأماكن العمل غير المشغولة (نحو 15</w:t>
      </w:r>
      <w:r w:rsidRPr="00551B5E">
        <w:rPr>
          <w:rFonts w:ascii="Arabic Typesetting" w:hAnsi="Arabic Typesetting" w:cs="Arabic Typesetting" w:hint="eastAsia"/>
          <w:sz w:val="34"/>
          <w:szCs w:val="34"/>
          <w:rtl/>
          <w:lang w:val="fr-CH"/>
        </w:rPr>
        <w:t> </w:t>
      </w:r>
      <w:r w:rsidR="0055755E">
        <w:rPr>
          <w:rFonts w:ascii="Arabic Typesetting" w:hAnsi="Arabic Typesetting" w:cs="Arabic Typesetting" w:hint="cs"/>
          <w:sz w:val="34"/>
          <w:szCs w:val="34"/>
          <w:rtl/>
          <w:lang w:val="fr-CH"/>
        </w:rPr>
        <w:t>بالم</w:t>
      </w:r>
      <w:r w:rsidRPr="00551B5E">
        <w:rPr>
          <w:rFonts w:ascii="Arabic Typesetting" w:hAnsi="Arabic Typesetting" w:cs="Arabic Typesetting" w:hint="cs"/>
          <w:sz w:val="34"/>
          <w:szCs w:val="34"/>
          <w:rtl/>
          <w:lang w:val="fr-CH"/>
        </w:rPr>
        <w:t>ئة) للعام الثا</w:t>
      </w:r>
      <w:r w:rsidR="00BA06C0" w:rsidRPr="00551B5E">
        <w:rPr>
          <w:rFonts w:ascii="Arabic Typesetting" w:hAnsi="Arabic Typesetting" w:cs="Arabic Typesetting" w:hint="cs"/>
          <w:sz w:val="34"/>
          <w:szCs w:val="34"/>
          <w:rtl/>
          <w:lang w:val="fr-CH"/>
        </w:rPr>
        <w:t>لث</w:t>
      </w:r>
      <w:r w:rsidRPr="00551B5E">
        <w:rPr>
          <w:rFonts w:ascii="Arabic Typesetting" w:hAnsi="Arabic Typesetting" w:cs="Arabic Typesetting" w:hint="cs"/>
          <w:sz w:val="34"/>
          <w:szCs w:val="34"/>
          <w:rtl/>
          <w:lang w:val="fr-CH"/>
        </w:rPr>
        <w:t xml:space="preserve"> على التوالي، </w:t>
      </w:r>
      <w:r w:rsidR="00CA7968">
        <w:rPr>
          <w:rFonts w:ascii="Arabic Typesetting" w:hAnsi="Arabic Typesetting" w:cs="Arabic Typesetting" w:hint="cs"/>
          <w:sz w:val="34"/>
          <w:szCs w:val="34"/>
          <w:rtl/>
          <w:lang w:val="fr-CH"/>
        </w:rPr>
        <w:t>وإن لم يحقق التوازن نفسه</w:t>
      </w:r>
      <w:r w:rsidRPr="00551B5E">
        <w:rPr>
          <w:rFonts w:ascii="Arabic Typesetting" w:hAnsi="Arabic Typesetting" w:cs="Arabic Typesetting" w:hint="cs"/>
          <w:sz w:val="34"/>
          <w:szCs w:val="34"/>
          <w:rtl/>
          <w:lang w:val="fr-CH"/>
        </w:rPr>
        <w:t xml:space="preserve"> في كل المباني، كما </w:t>
      </w:r>
      <w:r w:rsidR="00CA7968">
        <w:rPr>
          <w:rFonts w:ascii="Arabic Typesetting" w:hAnsi="Arabic Typesetting" w:cs="Arabic Typesetting" w:hint="cs"/>
          <w:sz w:val="34"/>
          <w:szCs w:val="34"/>
          <w:rtl/>
          <w:lang w:val="fr-CH"/>
        </w:rPr>
        <w:t>وضِّح</w:t>
      </w:r>
      <w:r w:rsidRPr="00551B5E">
        <w:rPr>
          <w:rFonts w:ascii="Arabic Typesetting" w:hAnsi="Arabic Typesetting" w:cs="Arabic Typesetting" w:hint="cs"/>
          <w:sz w:val="34"/>
          <w:szCs w:val="34"/>
          <w:rtl/>
          <w:lang w:val="fr-CH"/>
        </w:rPr>
        <w:t xml:space="preserve"> في التقارير السابقة. وقد مكّن استخدام أماكن التخزين وتوقيف السيارات داخل الموقع وخارجه </w:t>
      </w:r>
      <w:r w:rsidR="00551B5E" w:rsidRPr="00551B5E">
        <w:rPr>
          <w:rFonts w:ascii="Arabic Typesetting" w:hAnsi="Arabic Typesetting" w:cs="Arabic Typesetting" w:hint="cs"/>
          <w:sz w:val="34"/>
          <w:szCs w:val="34"/>
          <w:rtl/>
          <w:lang w:val="fr-CH"/>
        </w:rPr>
        <w:t xml:space="preserve">بنجاعة وفعالية من حيث التكلفة </w:t>
      </w:r>
      <w:r w:rsidRPr="00551B5E">
        <w:rPr>
          <w:rFonts w:ascii="Arabic Typesetting" w:hAnsi="Arabic Typesetting" w:cs="Arabic Typesetting" w:hint="cs"/>
          <w:sz w:val="34"/>
          <w:szCs w:val="34"/>
          <w:rtl/>
          <w:lang w:val="fr-CH"/>
        </w:rPr>
        <w:t xml:space="preserve">من إنهاء عقد استئجار </w:t>
      </w:r>
      <w:r w:rsidR="00551B5E" w:rsidRPr="00551B5E">
        <w:rPr>
          <w:rFonts w:ascii="Arabic Typesetting" w:hAnsi="Arabic Typesetting" w:cs="Arabic Typesetting" w:hint="cs"/>
          <w:sz w:val="34"/>
          <w:szCs w:val="34"/>
          <w:rtl/>
          <w:lang w:bidi="ar-EG"/>
        </w:rPr>
        <w:t>ثلاث مساحات</w:t>
      </w:r>
      <w:r w:rsidRPr="00551B5E">
        <w:rPr>
          <w:rFonts w:ascii="Arabic Typesetting" w:hAnsi="Arabic Typesetting" w:cs="Arabic Typesetting" w:hint="cs"/>
          <w:sz w:val="34"/>
          <w:szCs w:val="34"/>
          <w:rtl/>
          <w:lang w:val="fr-CH"/>
        </w:rPr>
        <w:t xml:space="preserve"> للتخزين وتوقيف السيارات خارج الموقع، وتقليص كميات </w:t>
      </w:r>
      <w:r w:rsidR="006C1221">
        <w:rPr>
          <w:rFonts w:ascii="Arabic Typesetting" w:hAnsi="Arabic Typesetting" w:cs="Arabic Typesetting" w:hint="cs"/>
          <w:sz w:val="34"/>
          <w:szCs w:val="34"/>
          <w:rtl/>
          <w:lang w:val="fr-CH"/>
        </w:rPr>
        <w:t xml:space="preserve">اللوازم </w:t>
      </w:r>
      <w:r w:rsidRPr="00551B5E">
        <w:rPr>
          <w:rFonts w:ascii="Arabic Typesetting" w:hAnsi="Arabic Typesetting" w:cs="Arabic Typesetting" w:hint="cs"/>
          <w:sz w:val="34"/>
          <w:szCs w:val="34"/>
          <w:rtl/>
          <w:lang w:val="fr-CH"/>
        </w:rPr>
        <w:t xml:space="preserve">المكتبية بما أسفر عن وفورات إجمالية بلغت </w:t>
      </w:r>
      <w:r w:rsidR="00551B5E" w:rsidRPr="00551B5E">
        <w:rPr>
          <w:rFonts w:ascii="Arabic Typesetting" w:hAnsi="Arabic Typesetting" w:cs="Arabic Typesetting" w:hint="cs"/>
          <w:sz w:val="34"/>
          <w:szCs w:val="34"/>
          <w:rtl/>
          <w:lang w:val="fr-CH"/>
        </w:rPr>
        <w:t>000 219</w:t>
      </w:r>
      <w:r w:rsidRPr="00551B5E">
        <w:rPr>
          <w:rFonts w:ascii="Arabic Typesetting" w:hAnsi="Arabic Typesetting" w:cs="Arabic Typesetting" w:hint="cs"/>
          <w:sz w:val="34"/>
          <w:szCs w:val="34"/>
          <w:rtl/>
          <w:lang w:val="fr-CH"/>
        </w:rPr>
        <w:t xml:space="preserve"> فرنك سويسري </w:t>
      </w:r>
      <w:r w:rsidR="00551B5E" w:rsidRPr="00551B5E">
        <w:rPr>
          <w:rFonts w:ascii="Arabic Typesetting" w:hAnsi="Arabic Typesetting" w:cs="Arabic Typesetting" w:hint="cs"/>
          <w:sz w:val="34"/>
          <w:szCs w:val="34"/>
          <w:rtl/>
          <w:lang w:val="fr-CH"/>
        </w:rPr>
        <w:t xml:space="preserve">في الثنائية </w:t>
      </w:r>
      <w:r w:rsidR="00507DE2">
        <w:rPr>
          <w:rFonts w:ascii="Arabic Typesetting" w:hAnsi="Arabic Typesetting" w:cs="Arabic Typesetting" w:hint="cs"/>
          <w:sz w:val="34"/>
          <w:szCs w:val="34"/>
          <w:rtl/>
          <w:lang w:val="fr-CH"/>
        </w:rPr>
        <w:t>2014/15</w:t>
      </w:r>
      <w:r w:rsidRPr="00551B5E">
        <w:rPr>
          <w:rFonts w:ascii="Arabic Typesetting" w:hAnsi="Arabic Typesetting" w:cs="Arabic Typesetting" w:hint="cs"/>
          <w:sz w:val="34"/>
          <w:szCs w:val="34"/>
          <w:rtl/>
          <w:lang w:val="fr-CH"/>
        </w:rPr>
        <w:t xml:space="preserve">. </w:t>
      </w:r>
      <w:r w:rsidR="00551B5E">
        <w:rPr>
          <w:rFonts w:ascii="Arabic Typesetting" w:hAnsi="Arabic Typesetting" w:cs="Arabic Typesetting" w:hint="cs"/>
          <w:sz w:val="34"/>
          <w:szCs w:val="34"/>
          <w:rtl/>
          <w:lang w:val="fr-CH"/>
        </w:rPr>
        <w:t>و</w:t>
      </w:r>
      <w:r w:rsidRPr="00551B5E">
        <w:rPr>
          <w:rFonts w:ascii="Arabic Typesetting" w:hAnsi="Arabic Typesetting" w:cs="Arabic Typesetting" w:hint="cs"/>
          <w:sz w:val="34"/>
          <w:szCs w:val="34"/>
          <w:rtl/>
          <w:lang w:val="fr-CH"/>
        </w:rPr>
        <w:t xml:space="preserve">تسنى </w:t>
      </w:r>
      <w:r w:rsidR="00551B5E">
        <w:rPr>
          <w:rFonts w:ascii="Arabic Typesetting" w:hAnsi="Arabic Typesetting" w:cs="Arabic Typesetting" w:hint="cs"/>
          <w:sz w:val="34"/>
          <w:szCs w:val="34"/>
          <w:rtl/>
          <w:lang w:val="fr-CH"/>
        </w:rPr>
        <w:t>أيضاً خلال الثنائية</w:t>
      </w:r>
      <w:r w:rsidRPr="00551B5E">
        <w:rPr>
          <w:rFonts w:ascii="Arabic Typesetting" w:hAnsi="Arabic Typesetting" w:cs="Arabic Typesetting" w:hint="cs"/>
          <w:sz w:val="34"/>
          <w:szCs w:val="34"/>
          <w:rtl/>
          <w:lang w:val="fr-CH"/>
        </w:rPr>
        <w:t xml:space="preserve"> </w:t>
      </w:r>
      <w:r w:rsidR="00551B5E">
        <w:rPr>
          <w:rFonts w:ascii="Arabic Typesetting" w:hAnsi="Arabic Typesetting" w:cs="Arabic Typesetting" w:hint="cs"/>
          <w:sz w:val="34"/>
          <w:szCs w:val="34"/>
          <w:rtl/>
          <w:lang w:val="fr-CH"/>
        </w:rPr>
        <w:t>درّ</w:t>
      </w:r>
      <w:r w:rsidRPr="00551B5E">
        <w:rPr>
          <w:rFonts w:ascii="Arabic Typesetting" w:hAnsi="Arabic Typesetting" w:cs="Arabic Typesetting" w:hint="cs"/>
          <w:sz w:val="34"/>
          <w:szCs w:val="34"/>
          <w:rtl/>
          <w:lang w:val="fr-CH"/>
        </w:rPr>
        <w:t xml:space="preserve"> إيرادات بقيمة إجمالية تساوي 000</w:t>
      </w:r>
      <w:r w:rsidRPr="00551B5E">
        <w:rPr>
          <w:rFonts w:ascii="Arabic Typesetting" w:hAnsi="Arabic Typesetting" w:cs="Arabic Typesetting" w:hint="eastAsia"/>
          <w:sz w:val="34"/>
          <w:szCs w:val="34"/>
          <w:rtl/>
          <w:lang w:val="fr-CH"/>
        </w:rPr>
        <w:t> </w:t>
      </w:r>
      <w:r w:rsidR="00551B5E">
        <w:rPr>
          <w:rFonts w:ascii="Arabic Typesetting" w:hAnsi="Arabic Typesetting" w:cs="Arabic Typesetting" w:hint="cs"/>
          <w:sz w:val="34"/>
          <w:szCs w:val="34"/>
          <w:rtl/>
          <w:lang w:val="fr-CH"/>
        </w:rPr>
        <w:t>390</w:t>
      </w:r>
      <w:r w:rsidRPr="00551B5E">
        <w:rPr>
          <w:rFonts w:ascii="Arabic Typesetting" w:hAnsi="Arabic Typesetting" w:cs="Arabic Typesetting" w:hint="cs"/>
          <w:sz w:val="34"/>
          <w:szCs w:val="34"/>
          <w:rtl/>
          <w:lang w:val="fr-CH"/>
        </w:rPr>
        <w:t xml:space="preserve"> فرنك سويسري بفضل تأجير بعض الأماكن لكيانات أخرى (مركز البيانات، والأماكن الموجودة في الأسطح </w:t>
      </w:r>
      <w:r w:rsidRPr="00551B5E">
        <w:rPr>
          <w:rFonts w:ascii="Arabic Typesetting" w:hAnsi="Arabic Typesetting" w:cs="Arabic Typesetting" w:hint="cs"/>
          <w:sz w:val="34"/>
          <w:szCs w:val="34"/>
          <w:rtl/>
          <w:lang w:val="fr-CH"/>
        </w:rPr>
        <w:lastRenderedPageBreak/>
        <w:t>لأغراض هوائيات الاتصالات الهاتفية، وآلة صرف الأوراق النقدية، ومكتب واحد لفائدة الجمعية</w:t>
      </w:r>
      <w:r w:rsidR="00551B5E">
        <w:rPr>
          <w:rFonts w:ascii="Arabic Typesetting" w:hAnsi="Arabic Typesetting" w:cs="Arabic Typesetting" w:hint="cs"/>
          <w:sz w:val="34"/>
          <w:szCs w:val="34"/>
          <w:rtl/>
          <w:lang w:val="fr-CH"/>
        </w:rPr>
        <w:t xml:space="preserve"> الأوروبية</w:t>
      </w:r>
      <w:r w:rsidRPr="00551B5E">
        <w:rPr>
          <w:rFonts w:ascii="Arabic Typesetting" w:hAnsi="Arabic Typesetting" w:cs="Arabic Typesetting" w:hint="cs"/>
          <w:sz w:val="34"/>
          <w:szCs w:val="34"/>
          <w:rtl/>
          <w:lang w:val="fr-CH"/>
        </w:rPr>
        <w:t xml:space="preserve"> التعاونية الدولية للموظفين الدوليين).</w:t>
      </w:r>
    </w:p>
    <w:p w:rsidR="00551B5E" w:rsidRPr="00796E70" w:rsidRDefault="00551B5E"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sidRPr="00796E70">
        <w:rPr>
          <w:rFonts w:ascii="Arabic Typesetting" w:hAnsi="Arabic Typesetting" w:cs="Arabic Typesetting" w:hint="cs"/>
          <w:sz w:val="34"/>
          <w:szCs w:val="34"/>
          <w:rtl/>
          <w:lang w:val="fr-CH"/>
        </w:rPr>
        <w:t xml:space="preserve">وفيما يتصل بالتجهيزات التقنية اضطُلع، طوال السنة، بصيانة منتظمة للتجهيزات التقنية الرئيسية و/أو </w:t>
      </w:r>
      <w:r w:rsidR="00CA7968">
        <w:rPr>
          <w:rFonts w:ascii="Arabic Typesetting" w:hAnsi="Arabic Typesetting" w:cs="Arabic Typesetting" w:hint="cs"/>
          <w:sz w:val="34"/>
          <w:szCs w:val="34"/>
          <w:rtl/>
          <w:lang w:val="fr-CH"/>
        </w:rPr>
        <w:t>المهمة</w:t>
      </w:r>
      <w:r w:rsidRPr="00796E70">
        <w:rPr>
          <w:rFonts w:ascii="Arabic Typesetting" w:hAnsi="Arabic Typesetting" w:cs="Arabic Typesetting" w:hint="cs"/>
          <w:sz w:val="34"/>
          <w:szCs w:val="34"/>
          <w:rtl/>
          <w:lang w:val="fr-CH"/>
        </w:rPr>
        <w:t xml:space="preserve"> طبقا </w:t>
      </w:r>
      <w:r>
        <w:rPr>
          <w:rFonts w:ascii="Arabic Typesetting" w:hAnsi="Arabic Typesetting" w:cs="Arabic Typesetting" w:hint="cs"/>
          <w:sz w:val="34"/>
          <w:szCs w:val="34"/>
          <w:rtl/>
          <w:lang w:val="fr-CH"/>
        </w:rPr>
        <w:t>للخطة</w:t>
      </w:r>
      <w:r w:rsidRPr="00796E70">
        <w:rPr>
          <w:rFonts w:ascii="Arabic Typesetting" w:hAnsi="Arabic Typesetting" w:cs="Arabic Typesetting" w:hint="cs"/>
          <w:sz w:val="34"/>
          <w:szCs w:val="34"/>
          <w:rtl/>
          <w:lang w:val="fr-CH"/>
        </w:rPr>
        <w:t xml:space="preserve"> المحدّد</w:t>
      </w:r>
      <w:r>
        <w:rPr>
          <w:rFonts w:ascii="Arabic Typesetting" w:hAnsi="Arabic Typesetting" w:cs="Arabic Typesetting" w:hint="cs"/>
          <w:sz w:val="34"/>
          <w:szCs w:val="34"/>
          <w:rtl/>
          <w:lang w:val="fr-CH"/>
        </w:rPr>
        <w:t>ة</w:t>
      </w:r>
      <w:r w:rsidRPr="00796E70">
        <w:rPr>
          <w:rFonts w:ascii="Arabic Typesetting" w:hAnsi="Arabic Typesetting" w:cs="Arabic Typesetting" w:hint="cs"/>
          <w:sz w:val="34"/>
          <w:szCs w:val="34"/>
          <w:rtl/>
          <w:lang w:val="fr-CH"/>
        </w:rPr>
        <w:t xml:space="preserve">. واستُكمل الجرد المفصّل الأول لجميع التجهيزات </w:t>
      </w:r>
      <w:r w:rsidR="00FB2BCA">
        <w:rPr>
          <w:rFonts w:ascii="Arabic Typesetting" w:hAnsi="Arabic Typesetting" w:cs="Arabic Typesetting" w:hint="cs"/>
          <w:sz w:val="34"/>
          <w:szCs w:val="34"/>
          <w:rtl/>
          <w:lang w:val="fr-CH"/>
        </w:rPr>
        <w:t>المهمة</w:t>
      </w:r>
      <w:r w:rsidRPr="00796E70">
        <w:rPr>
          <w:rFonts w:ascii="Arabic Typesetting" w:hAnsi="Arabic Typesetting" w:cs="Arabic Typesetting" w:hint="cs"/>
          <w:sz w:val="34"/>
          <w:szCs w:val="34"/>
          <w:rtl/>
          <w:lang w:val="fr-CH"/>
        </w:rPr>
        <w:t xml:space="preserve"> في عام 2014، مما يسهم في تعزيز التحليل الذي سيجريه البرنامج الأوسع نطاقا الخاص بالصيانة الوقائية للبنية التحتية والتجهيزات.</w:t>
      </w:r>
      <w:r>
        <w:rPr>
          <w:rFonts w:ascii="Arabic Typesetting" w:hAnsi="Arabic Typesetting" w:cs="Arabic Typesetting" w:hint="cs"/>
          <w:sz w:val="34"/>
          <w:szCs w:val="34"/>
          <w:rtl/>
          <w:lang w:val="fr-CH"/>
        </w:rPr>
        <w:t xml:space="preserve"> وشهد عام 2015 أول تحديث دوري للجرد ما أرسى أساساً للتحديثات الدورية المقبلة.</w:t>
      </w:r>
    </w:p>
    <w:p w:rsidR="00551B5E" w:rsidRPr="00796E70" w:rsidRDefault="00551B5E"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sidRPr="00796E70">
        <w:rPr>
          <w:rFonts w:ascii="Arabic Typesetting" w:hAnsi="Arabic Typesetting" w:cs="Arabic Typesetting" w:hint="cs"/>
          <w:sz w:val="34"/>
          <w:szCs w:val="34"/>
          <w:rtl/>
          <w:lang w:val="fr-CH"/>
        </w:rPr>
        <w:t>وفيما</w:t>
      </w:r>
      <w:r w:rsidRPr="00796E70">
        <w:rPr>
          <w:rFonts w:ascii="Arabic Typesetting" w:hAnsi="Arabic Typesetting" w:cs="Arabic Typesetting" w:hint="cs"/>
          <w:sz w:val="34"/>
          <w:szCs w:val="34"/>
          <w:rtl/>
          <w:lang w:val="fr-CH" w:bidi="ar-EG"/>
        </w:rPr>
        <w:t xml:space="preserve"> يخص تحديث المرافق القديمة، أحرز تقدم كبير </w:t>
      </w:r>
      <w:r w:rsidRPr="00796E70">
        <w:rPr>
          <w:rFonts w:ascii="Arabic Typesetting" w:hAnsi="Arabic Typesetting" w:cs="Arabic Typesetting" w:hint="cs"/>
          <w:sz w:val="34"/>
          <w:szCs w:val="34"/>
          <w:rtl/>
          <w:lang w:val="fr-CH"/>
        </w:rPr>
        <w:t xml:space="preserve">من </w:t>
      </w:r>
      <w:r w:rsidRPr="00796E70">
        <w:rPr>
          <w:rFonts w:ascii="Arabic Typesetting" w:hAnsi="Arabic Typesetting" w:cs="Arabic Typesetting" w:hint="cs"/>
          <w:sz w:val="34"/>
          <w:szCs w:val="34"/>
          <w:rtl/>
          <w:lang w:val="fr-CH" w:bidi="ar-EG"/>
        </w:rPr>
        <w:t>خلال مشروعات الخطة الرأسمالية الرئيسية المموّلة من الأموال الاحتياطية، وعدد من التحسينات الأقل حجما والأكثر تقنية (</w:t>
      </w:r>
      <w:r w:rsidR="00CA7968">
        <w:rPr>
          <w:rFonts w:ascii="Arabic Typesetting" w:hAnsi="Arabic Typesetting" w:cs="Arabic Typesetting" w:hint="cs"/>
          <w:sz w:val="34"/>
          <w:szCs w:val="34"/>
          <w:rtl/>
          <w:lang w:val="fr-CH" w:bidi="ar-EG"/>
        </w:rPr>
        <w:t>ترد</w:t>
      </w:r>
      <w:r w:rsidRPr="00796E70">
        <w:rPr>
          <w:rFonts w:ascii="Arabic Typesetting" w:hAnsi="Arabic Typesetting" w:cs="Arabic Typesetting" w:hint="cs"/>
          <w:sz w:val="34"/>
          <w:szCs w:val="34"/>
          <w:rtl/>
          <w:lang w:val="fr-CH" w:bidi="ar-EG"/>
        </w:rPr>
        <w:t xml:space="preserve"> التفاصيل في جدول </w:t>
      </w:r>
      <w:r w:rsidRPr="00796E70">
        <w:rPr>
          <w:rFonts w:ascii="Arabic Typesetting" w:hAnsi="Arabic Typesetting" w:cs="Arabic Typesetting" w:hint="cs"/>
          <w:sz w:val="34"/>
          <w:szCs w:val="34"/>
          <w:rtl/>
          <w:lang w:val="fr-CH"/>
        </w:rPr>
        <w:t>الأداء).</w:t>
      </w:r>
    </w:p>
    <w:p w:rsidR="00551B5E" w:rsidRPr="00551B5E" w:rsidRDefault="00551B5E"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sidRPr="00551B5E">
        <w:rPr>
          <w:rFonts w:ascii="Arabic Typesetting" w:hAnsi="Arabic Typesetting" w:cs="Arabic Typesetting"/>
          <w:sz w:val="34"/>
          <w:szCs w:val="34"/>
          <w:rtl/>
          <w:lang w:val="fr-CH"/>
        </w:rPr>
        <w:t>وانخفض استهلاك الطاقة</w:t>
      </w:r>
      <w:r w:rsidR="00925848">
        <w:rPr>
          <w:rFonts w:ascii="Arabic Typesetting" w:hAnsi="Arabic Typesetting" w:cs="Arabic Typesetting" w:hint="cs"/>
          <w:sz w:val="34"/>
          <w:szCs w:val="34"/>
          <w:rtl/>
          <w:lang w:val="fr-CH"/>
        </w:rPr>
        <w:t>، ولا</w:t>
      </w:r>
      <w:r w:rsidR="00925848" w:rsidRPr="00925848">
        <w:rPr>
          <w:rFonts w:ascii="Arabic Typesetting" w:hAnsi="Arabic Typesetting" w:cs="Arabic Typesetting" w:hint="eastAsia"/>
          <w:sz w:val="34"/>
          <w:szCs w:val="34"/>
          <w:rtl/>
          <w:lang w:val="fr-CH"/>
        </w:rPr>
        <w:t> سيما</w:t>
      </w:r>
      <w:r w:rsidR="00925848" w:rsidRPr="00925848">
        <w:rPr>
          <w:rFonts w:ascii="Arabic Typesetting" w:hAnsi="Arabic Typesetting" w:cs="Arabic Typesetting" w:hint="cs"/>
          <w:sz w:val="34"/>
          <w:szCs w:val="34"/>
          <w:rtl/>
          <w:lang w:val="fr-CH"/>
        </w:rPr>
        <w:t xml:space="preserve"> </w:t>
      </w:r>
      <w:r w:rsidRPr="00551B5E">
        <w:rPr>
          <w:rFonts w:ascii="Arabic Typesetting" w:hAnsi="Arabic Typesetting" w:cs="Arabic Typesetting"/>
          <w:sz w:val="34"/>
          <w:szCs w:val="34"/>
          <w:rtl/>
          <w:lang w:val="fr-CH"/>
        </w:rPr>
        <w:t>الكهرباء والمياه</w:t>
      </w:r>
      <w:r w:rsidR="00925848">
        <w:rPr>
          <w:rFonts w:ascii="Arabic Typesetting" w:hAnsi="Arabic Typesetting" w:cs="Arabic Typesetting" w:hint="cs"/>
          <w:sz w:val="34"/>
          <w:szCs w:val="34"/>
          <w:rtl/>
          <w:lang w:val="fr-CH"/>
        </w:rPr>
        <w:t>،</w:t>
      </w:r>
      <w:r w:rsidRPr="00551B5E">
        <w:rPr>
          <w:rFonts w:ascii="Arabic Typesetting" w:hAnsi="Arabic Typesetting" w:cs="Arabic Typesetting"/>
          <w:sz w:val="34"/>
          <w:szCs w:val="34"/>
          <w:rtl/>
          <w:lang w:val="fr-CH"/>
        </w:rPr>
        <w:t xml:space="preserve"> بنسبة </w:t>
      </w:r>
      <w:r w:rsidR="00B4144D">
        <w:rPr>
          <w:rFonts w:ascii="Arabic Typesetting" w:hAnsi="Arabic Typesetting" w:cs="Arabic Typesetting" w:hint="cs"/>
          <w:sz w:val="34"/>
          <w:szCs w:val="34"/>
          <w:rtl/>
          <w:lang w:val="fr-CH"/>
        </w:rPr>
        <w:t xml:space="preserve">5 بالمئة </w:t>
      </w:r>
      <w:r w:rsidRPr="00551B5E">
        <w:rPr>
          <w:rFonts w:ascii="Arabic Typesetting" w:hAnsi="Arabic Typesetting" w:cs="Arabic Typesetting"/>
          <w:sz w:val="34"/>
          <w:szCs w:val="34"/>
          <w:rtl/>
          <w:lang w:val="fr-CH"/>
        </w:rPr>
        <w:t xml:space="preserve">و33 </w:t>
      </w:r>
      <w:r w:rsidR="00C56FBB">
        <w:rPr>
          <w:rFonts w:ascii="Arabic Typesetting" w:hAnsi="Arabic Typesetting" w:cs="Arabic Typesetting" w:hint="cs"/>
          <w:sz w:val="34"/>
          <w:szCs w:val="34"/>
          <w:rtl/>
          <w:lang w:val="fr-CH"/>
        </w:rPr>
        <w:t>ب</w:t>
      </w:r>
      <w:r w:rsidRPr="00551B5E">
        <w:rPr>
          <w:rFonts w:ascii="Arabic Typesetting" w:hAnsi="Arabic Typesetting" w:cs="Arabic Typesetting"/>
          <w:sz w:val="34"/>
          <w:szCs w:val="34"/>
          <w:rtl/>
          <w:lang w:val="fr-CH"/>
        </w:rPr>
        <w:t xml:space="preserve">المئة على التوالي مقارنة </w:t>
      </w:r>
      <w:r w:rsidR="00C56FBB">
        <w:rPr>
          <w:rFonts w:ascii="Arabic Typesetting" w:hAnsi="Arabic Typesetting" w:cs="Arabic Typesetting" w:hint="cs"/>
          <w:sz w:val="34"/>
          <w:szCs w:val="34"/>
          <w:rtl/>
          <w:lang w:val="fr-CH"/>
        </w:rPr>
        <w:t xml:space="preserve">بالثنائية </w:t>
      </w:r>
      <w:r w:rsidR="00507DE2">
        <w:rPr>
          <w:rFonts w:ascii="Arabic Typesetting" w:hAnsi="Arabic Typesetting" w:cs="Arabic Typesetting" w:hint="cs"/>
          <w:sz w:val="34"/>
          <w:szCs w:val="34"/>
          <w:rtl/>
          <w:lang w:val="fr-CH"/>
        </w:rPr>
        <w:t>2012/13</w:t>
      </w:r>
      <w:r w:rsidRPr="00551B5E">
        <w:rPr>
          <w:rFonts w:ascii="Arabic Typesetting" w:hAnsi="Arabic Typesetting" w:cs="Arabic Typesetting"/>
          <w:sz w:val="34"/>
          <w:szCs w:val="34"/>
          <w:rtl/>
          <w:lang w:val="fr-CH"/>
        </w:rPr>
        <w:t xml:space="preserve">، على الرغم من </w:t>
      </w:r>
      <w:r w:rsidR="00C56FBB">
        <w:rPr>
          <w:rFonts w:ascii="Arabic Typesetting" w:hAnsi="Arabic Typesetting" w:cs="Arabic Typesetting" w:hint="cs"/>
          <w:sz w:val="34"/>
          <w:szCs w:val="34"/>
          <w:rtl/>
          <w:lang w:val="fr-CH"/>
        </w:rPr>
        <w:t>ال</w:t>
      </w:r>
      <w:r w:rsidRPr="00551B5E">
        <w:rPr>
          <w:rFonts w:ascii="Arabic Typesetting" w:hAnsi="Arabic Typesetting" w:cs="Arabic Typesetting"/>
          <w:sz w:val="34"/>
          <w:szCs w:val="34"/>
          <w:rtl/>
          <w:lang w:val="fr-CH"/>
        </w:rPr>
        <w:t xml:space="preserve">استهلاك </w:t>
      </w:r>
      <w:r w:rsidR="00C56FBB">
        <w:rPr>
          <w:rFonts w:ascii="Arabic Typesetting" w:hAnsi="Arabic Typesetting" w:cs="Arabic Typesetting" w:hint="cs"/>
          <w:sz w:val="34"/>
          <w:szCs w:val="34"/>
          <w:rtl/>
          <w:lang w:val="fr-CH"/>
        </w:rPr>
        <w:t>ال</w:t>
      </w:r>
      <w:r w:rsidRPr="00551B5E">
        <w:rPr>
          <w:rFonts w:ascii="Arabic Typesetting" w:hAnsi="Arabic Typesetting" w:cs="Arabic Typesetting"/>
          <w:sz w:val="34"/>
          <w:szCs w:val="34"/>
          <w:rtl/>
          <w:lang w:val="fr-CH"/>
        </w:rPr>
        <w:t xml:space="preserve">إضافي </w:t>
      </w:r>
      <w:r w:rsidR="00C56FBB">
        <w:rPr>
          <w:rFonts w:ascii="Arabic Typesetting" w:hAnsi="Arabic Typesetting" w:cs="Arabic Typesetting" w:hint="cs"/>
          <w:sz w:val="34"/>
          <w:szCs w:val="34"/>
          <w:rtl/>
          <w:lang w:val="fr-CH"/>
        </w:rPr>
        <w:t>ل</w:t>
      </w:r>
      <w:r w:rsidRPr="00551B5E">
        <w:rPr>
          <w:rFonts w:ascii="Arabic Typesetting" w:hAnsi="Arabic Typesetting" w:cs="Arabic Typesetting"/>
          <w:sz w:val="34"/>
          <w:szCs w:val="34"/>
          <w:rtl/>
          <w:lang w:val="fr-CH"/>
        </w:rPr>
        <w:t xml:space="preserve">قاعة </w:t>
      </w:r>
      <w:r w:rsidR="00C56FBB">
        <w:rPr>
          <w:rFonts w:ascii="Arabic Typesetting" w:hAnsi="Arabic Typesetting" w:cs="Arabic Typesetting" w:hint="cs"/>
          <w:sz w:val="34"/>
          <w:szCs w:val="34"/>
          <w:rtl/>
          <w:lang w:val="fr-CH"/>
        </w:rPr>
        <w:t>ال</w:t>
      </w:r>
      <w:r w:rsidRPr="00551B5E">
        <w:rPr>
          <w:rFonts w:ascii="Arabic Typesetting" w:hAnsi="Arabic Typesetting" w:cs="Arabic Typesetting"/>
          <w:sz w:val="34"/>
          <w:szCs w:val="34"/>
          <w:rtl/>
          <w:lang w:val="fr-CH"/>
        </w:rPr>
        <w:t>مؤتمر</w:t>
      </w:r>
      <w:r w:rsidR="00C56FBB">
        <w:rPr>
          <w:rFonts w:ascii="Arabic Typesetting" w:hAnsi="Arabic Typesetting" w:cs="Arabic Typesetting" w:hint="cs"/>
          <w:sz w:val="34"/>
          <w:szCs w:val="34"/>
          <w:rtl/>
          <w:lang w:val="fr-CH"/>
        </w:rPr>
        <w:t>ات</w:t>
      </w:r>
      <w:r w:rsidRPr="00551B5E">
        <w:rPr>
          <w:rFonts w:ascii="Arabic Typesetting" w:hAnsi="Arabic Typesetting" w:cs="Arabic Typesetting"/>
          <w:sz w:val="34"/>
          <w:szCs w:val="34"/>
          <w:rtl/>
          <w:lang w:val="fr-CH"/>
        </w:rPr>
        <w:t xml:space="preserve"> الجديدة </w:t>
      </w:r>
      <w:r w:rsidR="00C56FBB">
        <w:rPr>
          <w:rFonts w:ascii="Arabic Typesetting" w:hAnsi="Arabic Typesetting" w:cs="Arabic Typesetting" w:hint="cs"/>
          <w:sz w:val="34"/>
          <w:szCs w:val="34"/>
          <w:rtl/>
          <w:lang w:val="fr-CH"/>
        </w:rPr>
        <w:t>منذ</w:t>
      </w:r>
      <w:r w:rsidRPr="00551B5E">
        <w:rPr>
          <w:rFonts w:ascii="Arabic Typesetting" w:hAnsi="Arabic Typesetting" w:cs="Arabic Typesetting"/>
          <w:sz w:val="34"/>
          <w:szCs w:val="34"/>
          <w:rtl/>
          <w:lang w:val="fr-CH"/>
        </w:rPr>
        <w:t xml:space="preserve"> سبتمبر 2014. أما المرحلة الأخيرة من </w:t>
      </w:r>
      <w:r w:rsidR="00C56FBB">
        <w:rPr>
          <w:rFonts w:ascii="Arabic Typesetting" w:hAnsi="Arabic Typesetting" w:cs="Arabic Typesetting" w:hint="cs"/>
          <w:sz w:val="34"/>
          <w:szCs w:val="34"/>
          <w:rtl/>
          <w:lang w:val="fr-CH"/>
        </w:rPr>
        <w:t>الانتقال إلى</w:t>
      </w:r>
      <w:r w:rsidRPr="00551B5E">
        <w:rPr>
          <w:rFonts w:ascii="Arabic Typesetting" w:hAnsi="Arabic Typesetting" w:cs="Arabic Typesetting"/>
          <w:sz w:val="34"/>
          <w:szCs w:val="34"/>
          <w:rtl/>
          <w:lang w:val="fr-CH"/>
        </w:rPr>
        <w:t xml:space="preserve"> </w:t>
      </w:r>
      <w:r w:rsidR="00C56FBB">
        <w:rPr>
          <w:rFonts w:ascii="Arabic Typesetting" w:hAnsi="Arabic Typesetting" w:cs="Arabic Typesetting" w:hint="cs"/>
          <w:sz w:val="34"/>
          <w:szCs w:val="34"/>
          <w:rtl/>
          <w:lang w:val="fr-CH"/>
        </w:rPr>
        <w:t>تكنولوجيا تبريد محلية</w:t>
      </w:r>
      <w:r w:rsidRPr="00551B5E">
        <w:rPr>
          <w:rFonts w:ascii="Arabic Typesetting" w:hAnsi="Arabic Typesetting" w:cs="Arabic Typesetting"/>
          <w:sz w:val="34"/>
          <w:szCs w:val="34"/>
          <w:rtl/>
          <w:lang w:val="fr-CH"/>
        </w:rPr>
        <w:t xml:space="preserve"> وأكثر </w:t>
      </w:r>
      <w:r w:rsidR="00C56FBB">
        <w:rPr>
          <w:rFonts w:ascii="Arabic Typesetting" w:hAnsi="Arabic Typesetting" w:cs="Arabic Typesetting" w:hint="cs"/>
          <w:sz w:val="34"/>
          <w:szCs w:val="34"/>
          <w:rtl/>
          <w:lang w:val="fr-CH"/>
        </w:rPr>
        <w:t>مراعاة</w:t>
      </w:r>
      <w:r w:rsidRPr="00551B5E">
        <w:rPr>
          <w:rFonts w:ascii="Arabic Typesetting" w:hAnsi="Arabic Typesetting" w:cs="Arabic Typesetting"/>
          <w:sz w:val="34"/>
          <w:szCs w:val="34"/>
          <w:rtl/>
          <w:lang w:val="fr-CH"/>
        </w:rPr>
        <w:t xml:space="preserve"> للبيئة </w:t>
      </w:r>
      <w:r w:rsidR="00CA7968">
        <w:rPr>
          <w:rFonts w:ascii="Arabic Typesetting" w:hAnsi="Arabic Typesetting" w:cs="Arabic Typesetting" w:hint="cs"/>
          <w:sz w:val="34"/>
          <w:szCs w:val="34"/>
          <w:rtl/>
          <w:lang w:val="fr-CH"/>
        </w:rPr>
        <w:t>عن طريق</w:t>
      </w:r>
      <w:r w:rsidR="00C56FBB">
        <w:rPr>
          <w:rFonts w:ascii="Arabic Typesetting" w:hAnsi="Arabic Typesetting" w:cs="Arabic Typesetting" w:hint="cs"/>
          <w:sz w:val="34"/>
          <w:szCs w:val="34"/>
          <w:rtl/>
          <w:lang w:val="fr-CH"/>
        </w:rPr>
        <w:t xml:space="preserve"> نظام التبريد باستخدام مياه بحيرة جنيف المبردة، فقد استكملت في </w:t>
      </w:r>
      <w:r w:rsidR="0023721A">
        <w:rPr>
          <w:rFonts w:ascii="Arabic Typesetting" w:hAnsi="Arabic Typesetting" w:cs="Arabic Typesetting" w:hint="cs"/>
          <w:sz w:val="34"/>
          <w:szCs w:val="34"/>
          <w:rtl/>
          <w:lang w:val="fr-CH"/>
        </w:rPr>
        <w:t>مجمع</w:t>
      </w:r>
      <w:r w:rsidR="00C56FBB">
        <w:rPr>
          <w:rFonts w:ascii="Arabic Typesetting" w:hAnsi="Arabic Typesetting" w:cs="Arabic Typesetting" w:hint="cs"/>
          <w:sz w:val="34"/>
          <w:szCs w:val="34"/>
          <w:rtl/>
          <w:lang w:val="fr-CH"/>
        </w:rPr>
        <w:t xml:space="preserve"> الويبو خلال الثنائية عن طريق توصيل المرافق أو تحديثها. وبينما</w:t>
      </w:r>
      <w:r w:rsidRPr="00551B5E">
        <w:rPr>
          <w:rFonts w:ascii="Arabic Typesetting" w:hAnsi="Arabic Typesetting" w:cs="Arabic Typesetting"/>
          <w:sz w:val="34"/>
          <w:szCs w:val="34"/>
          <w:rtl/>
          <w:lang w:val="fr-CH"/>
        </w:rPr>
        <w:t xml:space="preserve"> </w:t>
      </w:r>
      <w:r w:rsidR="00C56FBB">
        <w:rPr>
          <w:rFonts w:ascii="Arabic Typesetting" w:hAnsi="Arabic Typesetting" w:cs="Arabic Typesetting" w:hint="cs"/>
          <w:sz w:val="34"/>
          <w:szCs w:val="34"/>
          <w:rtl/>
          <w:lang w:val="fr-CH"/>
        </w:rPr>
        <w:t>ازداد</w:t>
      </w:r>
      <w:r w:rsidRPr="00551B5E">
        <w:rPr>
          <w:rFonts w:ascii="Arabic Typesetting" w:hAnsi="Arabic Typesetting" w:cs="Arabic Typesetting"/>
          <w:sz w:val="34"/>
          <w:szCs w:val="34"/>
          <w:rtl/>
          <w:lang w:val="fr-CH"/>
        </w:rPr>
        <w:t xml:space="preserve"> استهلاك الطاقة</w:t>
      </w:r>
      <w:r w:rsidR="00C56FBB">
        <w:rPr>
          <w:rFonts w:ascii="Arabic Typesetting" w:hAnsi="Arabic Typesetting" w:cs="Arabic Typesetting" w:hint="cs"/>
          <w:sz w:val="34"/>
          <w:szCs w:val="34"/>
          <w:rtl/>
          <w:lang w:val="fr-CH"/>
        </w:rPr>
        <w:t xml:space="preserve"> بنسبة 35 بالمئة</w:t>
      </w:r>
      <w:r w:rsidRPr="00551B5E">
        <w:rPr>
          <w:rFonts w:ascii="Arabic Typesetting" w:hAnsi="Arabic Typesetting" w:cs="Arabic Typesetting"/>
          <w:sz w:val="34"/>
          <w:szCs w:val="34"/>
          <w:rtl/>
          <w:lang w:val="fr-CH"/>
        </w:rPr>
        <w:t xml:space="preserve"> و</w:t>
      </w:r>
      <w:r w:rsidR="00C56FBB">
        <w:rPr>
          <w:rFonts w:ascii="Arabic Typesetting" w:hAnsi="Arabic Typesetting" w:cs="Arabic Typesetting" w:hint="cs"/>
          <w:sz w:val="34"/>
          <w:szCs w:val="34"/>
          <w:rtl/>
          <w:lang w:val="fr-CH"/>
        </w:rPr>
        <w:t xml:space="preserve">ارتفعت </w:t>
      </w:r>
      <w:r w:rsidRPr="00551B5E">
        <w:rPr>
          <w:rFonts w:ascii="Arabic Typesetting" w:hAnsi="Arabic Typesetting" w:cs="Arabic Typesetting"/>
          <w:sz w:val="34"/>
          <w:szCs w:val="34"/>
          <w:rtl/>
          <w:lang w:val="fr-CH"/>
        </w:rPr>
        <w:t xml:space="preserve">التكاليف المرتبطة </w:t>
      </w:r>
      <w:r w:rsidR="00C56FBB">
        <w:rPr>
          <w:rFonts w:ascii="Arabic Typesetting" w:hAnsi="Arabic Typesetting" w:cs="Arabic Typesetting" w:hint="cs"/>
          <w:sz w:val="34"/>
          <w:szCs w:val="34"/>
          <w:rtl/>
          <w:lang w:val="fr-CH"/>
        </w:rPr>
        <w:t xml:space="preserve">بتكنولوجيا التبريد المذكورة بنسبة 34 بالمئة فيما يخص جميع المباني مقارنة بالثنائية السابقة، </w:t>
      </w:r>
      <w:r w:rsidRPr="00551B5E">
        <w:rPr>
          <w:rFonts w:ascii="Arabic Typesetting" w:hAnsi="Arabic Typesetting" w:cs="Arabic Typesetting"/>
          <w:sz w:val="34"/>
          <w:szCs w:val="34"/>
          <w:rtl/>
          <w:lang w:val="fr-CH"/>
        </w:rPr>
        <w:t xml:space="preserve">تضاعف حجم </w:t>
      </w:r>
      <w:r w:rsidR="00C56FBB">
        <w:rPr>
          <w:rFonts w:ascii="Arabic Typesetting" w:hAnsi="Arabic Typesetting" w:cs="Arabic Typesetting" w:hint="cs"/>
          <w:sz w:val="34"/>
          <w:szCs w:val="34"/>
          <w:rtl/>
          <w:lang w:val="fr-CH"/>
        </w:rPr>
        <w:t>ال</w:t>
      </w:r>
      <w:r w:rsidRPr="00551B5E">
        <w:rPr>
          <w:rFonts w:ascii="Arabic Typesetting" w:hAnsi="Arabic Typesetting" w:cs="Arabic Typesetting"/>
          <w:sz w:val="34"/>
          <w:szCs w:val="34"/>
          <w:rtl/>
          <w:lang w:val="fr-CH"/>
        </w:rPr>
        <w:t xml:space="preserve">مبنى </w:t>
      </w:r>
      <w:r w:rsidR="00C56FBB">
        <w:rPr>
          <w:rFonts w:ascii="Arabic Typesetting" w:hAnsi="Arabic Typesetting" w:cs="Arabic Typesetting" w:hint="cs"/>
          <w:sz w:val="34"/>
          <w:szCs w:val="34"/>
          <w:rtl/>
          <w:lang w:val="fr-CH"/>
        </w:rPr>
        <w:t>ال</w:t>
      </w:r>
      <w:r w:rsidRPr="00551B5E">
        <w:rPr>
          <w:rFonts w:ascii="Arabic Typesetting" w:hAnsi="Arabic Typesetting" w:cs="Arabic Typesetting"/>
          <w:sz w:val="34"/>
          <w:szCs w:val="34"/>
          <w:rtl/>
          <w:lang w:val="fr-CH"/>
        </w:rPr>
        <w:t>مغطى تقريبا</w:t>
      </w:r>
      <w:r w:rsidR="00C56FBB">
        <w:rPr>
          <w:rFonts w:ascii="Arabic Typesetting" w:hAnsi="Arabic Typesetting" w:cs="Arabic Typesetting" w:hint="cs"/>
          <w:sz w:val="34"/>
          <w:szCs w:val="34"/>
          <w:rtl/>
          <w:lang w:val="fr-CH"/>
        </w:rPr>
        <w:t>ً</w:t>
      </w:r>
      <w:r w:rsidRPr="00551B5E">
        <w:rPr>
          <w:rFonts w:ascii="Arabic Typesetting" w:hAnsi="Arabic Typesetting" w:cs="Arabic Typesetting"/>
          <w:sz w:val="34"/>
          <w:szCs w:val="34"/>
          <w:rtl/>
          <w:lang w:val="fr-CH"/>
        </w:rPr>
        <w:t xml:space="preserve"> خلال </w:t>
      </w:r>
      <w:r w:rsidR="00C56FBB">
        <w:rPr>
          <w:rFonts w:ascii="Arabic Typesetting" w:hAnsi="Arabic Typesetting" w:cs="Arabic Typesetting" w:hint="cs"/>
          <w:sz w:val="34"/>
          <w:szCs w:val="34"/>
          <w:rtl/>
          <w:lang w:val="fr-CH"/>
        </w:rPr>
        <w:t>الفترة ذاتها</w:t>
      </w:r>
      <w:r w:rsidRPr="00551B5E">
        <w:rPr>
          <w:rFonts w:ascii="Arabic Typesetting" w:hAnsi="Arabic Typesetting" w:cs="Arabic Typesetting"/>
          <w:sz w:val="34"/>
          <w:szCs w:val="34"/>
          <w:rtl/>
          <w:lang w:val="fr-CH"/>
        </w:rPr>
        <w:t>. و</w:t>
      </w:r>
      <w:r w:rsidR="00C56FBB">
        <w:rPr>
          <w:rFonts w:ascii="Arabic Typesetting" w:hAnsi="Arabic Typesetting" w:cs="Arabic Typesetting" w:hint="cs"/>
          <w:sz w:val="34"/>
          <w:szCs w:val="34"/>
          <w:rtl/>
          <w:lang w:val="fr-CH"/>
        </w:rPr>
        <w:t>إضافة</w:t>
      </w:r>
      <w:r w:rsidR="00CA7968">
        <w:rPr>
          <w:rFonts w:ascii="Arabic Typesetting" w:hAnsi="Arabic Typesetting" w:cs="Arabic Typesetting" w:hint="eastAsia"/>
          <w:sz w:val="34"/>
          <w:szCs w:val="34"/>
          <w:rtl/>
          <w:lang w:val="fr-CH"/>
        </w:rPr>
        <w:t> </w:t>
      </w:r>
      <w:r w:rsidR="00C56FBB">
        <w:rPr>
          <w:rFonts w:ascii="Arabic Typesetting" w:hAnsi="Arabic Typesetting" w:cs="Arabic Typesetting" w:hint="cs"/>
          <w:sz w:val="34"/>
          <w:szCs w:val="34"/>
          <w:rtl/>
          <w:lang w:val="fr-CH"/>
        </w:rPr>
        <w:t xml:space="preserve">إلى </w:t>
      </w:r>
      <w:r w:rsidRPr="00551B5E">
        <w:rPr>
          <w:rFonts w:ascii="Arabic Typesetting" w:hAnsi="Arabic Typesetting" w:cs="Arabic Typesetting"/>
          <w:sz w:val="34"/>
          <w:szCs w:val="34"/>
          <w:rtl/>
          <w:lang w:val="fr-CH"/>
        </w:rPr>
        <w:t xml:space="preserve">ذلك، </w:t>
      </w:r>
      <w:r w:rsidR="00C56FBB">
        <w:rPr>
          <w:rFonts w:ascii="Arabic Typesetting" w:hAnsi="Arabic Typesetting" w:cs="Arabic Typesetting" w:hint="cs"/>
          <w:sz w:val="34"/>
          <w:szCs w:val="34"/>
          <w:rtl/>
          <w:lang w:val="fr-CH"/>
        </w:rPr>
        <w:t>ع</w:t>
      </w:r>
      <w:r w:rsidR="00CA7968">
        <w:rPr>
          <w:rFonts w:ascii="Arabic Typesetting" w:hAnsi="Arabic Typesetting" w:cs="Arabic Typesetting" w:hint="cs"/>
          <w:sz w:val="34"/>
          <w:szCs w:val="34"/>
          <w:rtl/>
          <w:lang w:val="fr-CH"/>
        </w:rPr>
        <w:t>ُ</w:t>
      </w:r>
      <w:r w:rsidR="00C56FBB">
        <w:rPr>
          <w:rFonts w:ascii="Arabic Typesetting" w:hAnsi="Arabic Typesetting" w:cs="Arabic Typesetting" w:hint="cs"/>
          <w:sz w:val="34"/>
          <w:szCs w:val="34"/>
          <w:rtl/>
          <w:lang w:val="fr-CH"/>
        </w:rPr>
        <w:t>وضت</w:t>
      </w:r>
      <w:r w:rsidR="00FB2BCA">
        <w:rPr>
          <w:rFonts w:ascii="Arabic Typesetting" w:hAnsi="Arabic Typesetting" w:cs="Arabic Typesetting" w:hint="cs"/>
          <w:sz w:val="34"/>
          <w:szCs w:val="34"/>
          <w:rtl/>
          <w:lang w:val="fr-CH"/>
        </w:rPr>
        <w:t xml:space="preserve"> جزء كبير من</w:t>
      </w:r>
      <w:r w:rsidRPr="00551B5E">
        <w:rPr>
          <w:rFonts w:ascii="Arabic Typesetting" w:hAnsi="Arabic Typesetting" w:cs="Arabic Typesetting"/>
          <w:sz w:val="34"/>
          <w:szCs w:val="34"/>
          <w:rtl/>
          <w:lang w:val="fr-CH"/>
        </w:rPr>
        <w:t xml:space="preserve"> زيادة التكلفة </w:t>
      </w:r>
      <w:r w:rsidR="00C56FBB">
        <w:rPr>
          <w:rFonts w:ascii="Arabic Typesetting" w:hAnsi="Arabic Typesetting" w:cs="Arabic Typesetting" w:hint="cs"/>
          <w:sz w:val="34"/>
          <w:szCs w:val="34"/>
          <w:rtl/>
          <w:lang w:val="fr-CH"/>
        </w:rPr>
        <w:t>بفضل</w:t>
      </w:r>
      <w:r w:rsidRPr="00551B5E">
        <w:rPr>
          <w:rFonts w:ascii="Arabic Typesetting" w:hAnsi="Arabic Typesetting" w:cs="Arabic Typesetting"/>
          <w:sz w:val="34"/>
          <w:szCs w:val="34"/>
          <w:rtl/>
          <w:lang w:val="fr-CH"/>
        </w:rPr>
        <w:t xml:space="preserve"> التخفيضات في استهلاك </w:t>
      </w:r>
      <w:r w:rsidR="00C56FBB">
        <w:rPr>
          <w:rFonts w:ascii="Arabic Typesetting" w:hAnsi="Arabic Typesetting" w:cs="Arabic Typesetting" w:hint="cs"/>
          <w:sz w:val="34"/>
          <w:szCs w:val="34"/>
          <w:rtl/>
          <w:lang w:val="fr-CH"/>
        </w:rPr>
        <w:t>ال</w:t>
      </w:r>
      <w:r w:rsidRPr="00551B5E">
        <w:rPr>
          <w:rFonts w:ascii="Arabic Typesetting" w:hAnsi="Arabic Typesetting" w:cs="Arabic Typesetting"/>
          <w:sz w:val="34"/>
          <w:szCs w:val="34"/>
          <w:rtl/>
          <w:lang w:val="fr-CH"/>
        </w:rPr>
        <w:t xml:space="preserve">مصادر </w:t>
      </w:r>
      <w:r w:rsidR="00C56FBB">
        <w:rPr>
          <w:rFonts w:ascii="Arabic Typesetting" w:hAnsi="Arabic Typesetting" w:cs="Arabic Typesetting" w:hint="cs"/>
          <w:sz w:val="34"/>
          <w:szCs w:val="34"/>
          <w:rtl/>
          <w:lang w:val="fr-CH"/>
        </w:rPr>
        <w:t>ال</w:t>
      </w:r>
      <w:r w:rsidRPr="00551B5E">
        <w:rPr>
          <w:rFonts w:ascii="Arabic Typesetting" w:hAnsi="Arabic Typesetting" w:cs="Arabic Typesetting"/>
          <w:sz w:val="34"/>
          <w:szCs w:val="34"/>
          <w:rtl/>
          <w:lang w:val="fr-CH"/>
        </w:rPr>
        <w:t>أخرى للطاقة (الكهرباء والماء) واستقر استهلاك الغاز الطبيعي للتدفئة، م</w:t>
      </w:r>
      <w:r w:rsidR="00C56FBB">
        <w:rPr>
          <w:rFonts w:ascii="Arabic Typesetting" w:hAnsi="Arabic Typesetting" w:cs="Arabic Typesetting"/>
          <w:sz w:val="34"/>
          <w:szCs w:val="34"/>
          <w:rtl/>
          <w:lang w:val="fr-CH"/>
        </w:rPr>
        <w:t xml:space="preserve">ا أدى إلى تحقيق وفورات </w:t>
      </w:r>
      <w:r w:rsidR="00C56FBB">
        <w:rPr>
          <w:rFonts w:ascii="Arabic Typesetting" w:hAnsi="Arabic Typesetting" w:cs="Arabic Typesetting" w:hint="cs"/>
          <w:sz w:val="34"/>
          <w:szCs w:val="34"/>
          <w:rtl/>
          <w:lang w:val="fr-CH"/>
        </w:rPr>
        <w:t>إجمالية تناهز 000 479</w:t>
      </w:r>
      <w:r w:rsidRPr="00551B5E">
        <w:rPr>
          <w:rFonts w:ascii="Arabic Typesetting" w:hAnsi="Arabic Typesetting" w:cs="Arabic Typesetting"/>
          <w:sz w:val="34"/>
          <w:szCs w:val="34"/>
          <w:rtl/>
          <w:lang w:val="fr-CH"/>
        </w:rPr>
        <w:t xml:space="preserve"> فرنك سويسري</w:t>
      </w:r>
      <w:r w:rsidR="00C56FBB">
        <w:rPr>
          <w:rFonts w:ascii="Arabic Typesetting" w:hAnsi="Arabic Typesetting" w:cs="Arabic Typesetting" w:hint="cs"/>
          <w:sz w:val="34"/>
          <w:szCs w:val="34"/>
          <w:rtl/>
          <w:lang w:val="fr-CH"/>
        </w:rPr>
        <w:t xml:space="preserve"> </w:t>
      </w:r>
      <w:r w:rsidRPr="00551B5E">
        <w:rPr>
          <w:rFonts w:ascii="Arabic Typesetting" w:hAnsi="Arabic Typesetting" w:cs="Arabic Typesetting"/>
          <w:sz w:val="34"/>
          <w:szCs w:val="34"/>
          <w:rtl/>
          <w:lang w:val="fr-CH"/>
        </w:rPr>
        <w:t xml:space="preserve">مقارنة </w:t>
      </w:r>
      <w:r w:rsidR="00C56FBB">
        <w:rPr>
          <w:rFonts w:ascii="Arabic Typesetting" w:hAnsi="Arabic Typesetting" w:cs="Arabic Typesetting" w:hint="cs"/>
          <w:sz w:val="34"/>
          <w:szCs w:val="34"/>
          <w:rtl/>
          <w:lang w:val="fr-CH"/>
        </w:rPr>
        <w:t>بالثنائية</w:t>
      </w:r>
      <w:r w:rsidRPr="00551B5E">
        <w:rPr>
          <w:rFonts w:ascii="Arabic Typesetting" w:hAnsi="Arabic Typesetting" w:cs="Arabic Typesetting"/>
          <w:sz w:val="34"/>
          <w:szCs w:val="34"/>
          <w:rtl/>
          <w:lang w:val="fr-CH"/>
        </w:rPr>
        <w:t xml:space="preserve"> السابقة. </w:t>
      </w:r>
      <w:r w:rsidR="00C56FBB">
        <w:rPr>
          <w:rFonts w:ascii="Arabic Typesetting" w:hAnsi="Arabic Typesetting" w:cs="Arabic Typesetting" w:hint="cs"/>
          <w:sz w:val="34"/>
          <w:szCs w:val="34"/>
          <w:rtl/>
          <w:lang w:val="fr-CH"/>
        </w:rPr>
        <w:t xml:space="preserve">وفضلاً عن ذلك، </w:t>
      </w:r>
      <w:r w:rsidR="00CA7968">
        <w:rPr>
          <w:rFonts w:ascii="Arabic Typesetting" w:hAnsi="Arabic Typesetting" w:cs="Arabic Typesetting" w:hint="cs"/>
          <w:sz w:val="34"/>
          <w:szCs w:val="34"/>
          <w:rtl/>
          <w:lang w:val="fr-CH"/>
        </w:rPr>
        <w:t>ردَّ</w:t>
      </w:r>
      <w:r w:rsidR="00C56FBB">
        <w:rPr>
          <w:rFonts w:ascii="Arabic Typesetting" w:hAnsi="Arabic Typesetting" w:cs="Arabic Typesetting" w:hint="cs"/>
          <w:sz w:val="34"/>
          <w:szCs w:val="34"/>
          <w:rtl/>
          <w:lang w:val="fr-CH"/>
        </w:rPr>
        <w:t xml:space="preserve"> </w:t>
      </w:r>
      <w:r w:rsidRPr="00551B5E">
        <w:rPr>
          <w:rFonts w:ascii="Arabic Typesetting" w:hAnsi="Arabic Typesetting" w:cs="Arabic Typesetting"/>
          <w:sz w:val="34"/>
          <w:szCs w:val="34"/>
          <w:rtl/>
          <w:lang w:val="fr-CH"/>
        </w:rPr>
        <w:t xml:space="preserve">مزود الطاقة الكهربائية </w:t>
      </w:r>
      <w:r w:rsidR="00C56FBB">
        <w:rPr>
          <w:rFonts w:ascii="Arabic Typesetting" w:hAnsi="Arabic Typesetting" w:cs="Arabic Typesetting" w:hint="cs"/>
          <w:sz w:val="34"/>
          <w:szCs w:val="34"/>
          <w:rtl/>
          <w:lang w:val="fr-CH"/>
        </w:rPr>
        <w:t>المتعاقد</w:t>
      </w:r>
      <w:r w:rsidRPr="00551B5E">
        <w:rPr>
          <w:rFonts w:ascii="Arabic Typesetting" w:hAnsi="Arabic Typesetting" w:cs="Arabic Typesetting"/>
          <w:sz w:val="34"/>
          <w:szCs w:val="34"/>
          <w:rtl/>
          <w:lang w:val="fr-CH"/>
        </w:rPr>
        <w:t xml:space="preserve"> مع الويبو حتى نهاية عام 2014</w:t>
      </w:r>
      <w:r w:rsidR="00C56FBB">
        <w:rPr>
          <w:rFonts w:ascii="Arabic Typesetting" w:hAnsi="Arabic Typesetting" w:cs="Arabic Typesetting" w:hint="cs"/>
          <w:sz w:val="34"/>
          <w:szCs w:val="34"/>
          <w:rtl/>
          <w:lang w:val="fr-CH"/>
        </w:rPr>
        <w:t xml:space="preserve"> </w:t>
      </w:r>
      <w:r w:rsidR="00CA7968">
        <w:rPr>
          <w:rFonts w:ascii="Arabic Typesetting" w:hAnsi="Arabic Typesetting" w:cs="Arabic Typesetting" w:hint="cs"/>
          <w:sz w:val="34"/>
          <w:szCs w:val="34"/>
          <w:rtl/>
          <w:lang w:val="fr-CH"/>
        </w:rPr>
        <w:t>المبلغ المعادل</w:t>
      </w:r>
      <w:r w:rsidR="00C56FBB">
        <w:rPr>
          <w:rFonts w:ascii="Arabic Typesetting" w:hAnsi="Arabic Typesetting" w:cs="Arabic Typesetting" w:hint="cs"/>
          <w:sz w:val="34"/>
          <w:szCs w:val="34"/>
          <w:rtl/>
          <w:lang w:val="fr-CH"/>
        </w:rPr>
        <w:t xml:space="preserve"> </w:t>
      </w:r>
      <w:r w:rsidR="00CA7968">
        <w:rPr>
          <w:rFonts w:ascii="Arabic Typesetting" w:hAnsi="Arabic Typesetting" w:cs="Arabic Typesetting" w:hint="cs"/>
          <w:sz w:val="34"/>
          <w:szCs w:val="34"/>
          <w:rtl/>
          <w:lang w:val="fr-CH"/>
        </w:rPr>
        <w:t>ل</w:t>
      </w:r>
      <w:r w:rsidR="00C56FBB">
        <w:rPr>
          <w:rFonts w:ascii="Arabic Typesetting" w:hAnsi="Arabic Typesetting" w:cs="Arabic Typesetting" w:hint="cs"/>
          <w:sz w:val="34"/>
          <w:szCs w:val="34"/>
          <w:rtl/>
          <w:lang w:val="fr-CH"/>
        </w:rPr>
        <w:t>ن</w:t>
      </w:r>
      <w:r w:rsidRPr="00551B5E">
        <w:rPr>
          <w:rFonts w:ascii="Arabic Typesetting" w:hAnsi="Arabic Typesetting" w:cs="Arabic Typesetting"/>
          <w:sz w:val="34"/>
          <w:szCs w:val="34"/>
          <w:rtl/>
          <w:lang w:val="fr-CH"/>
        </w:rPr>
        <w:t xml:space="preserve">سبة الطاقة الكهربائية غير المستخدمة خلال </w:t>
      </w:r>
      <w:r w:rsidR="00C56FBB">
        <w:rPr>
          <w:rFonts w:ascii="Arabic Typesetting" w:hAnsi="Arabic Typesetting" w:cs="Arabic Typesetting" w:hint="cs"/>
          <w:sz w:val="34"/>
          <w:szCs w:val="34"/>
          <w:rtl/>
          <w:lang w:val="fr-CH"/>
        </w:rPr>
        <w:t>العام المرجعي</w:t>
      </w:r>
      <w:r w:rsidRPr="00551B5E">
        <w:rPr>
          <w:rFonts w:ascii="Arabic Typesetting" w:hAnsi="Arabic Typesetting" w:cs="Arabic Typesetting"/>
          <w:sz w:val="34"/>
          <w:szCs w:val="34"/>
          <w:rtl/>
          <w:lang w:val="fr-CH"/>
        </w:rPr>
        <w:t xml:space="preserve"> (2014) </w:t>
      </w:r>
      <w:r w:rsidR="00C56FBB">
        <w:rPr>
          <w:rFonts w:ascii="Arabic Typesetting" w:hAnsi="Arabic Typesetting" w:cs="Arabic Typesetting" w:hint="cs"/>
          <w:sz w:val="34"/>
          <w:szCs w:val="34"/>
          <w:rtl/>
          <w:lang w:val="fr-CH"/>
        </w:rPr>
        <w:t>وقدره 300 24</w:t>
      </w:r>
      <w:r w:rsidRPr="00551B5E">
        <w:rPr>
          <w:rFonts w:ascii="Arabic Typesetting" w:hAnsi="Arabic Typesetting" w:cs="Arabic Typesetting"/>
          <w:sz w:val="34"/>
          <w:szCs w:val="34"/>
          <w:rtl/>
          <w:lang w:val="fr-CH"/>
        </w:rPr>
        <w:t xml:space="preserve"> فرنك سويسري.</w:t>
      </w:r>
    </w:p>
    <w:p w:rsidR="00551B5E" w:rsidRPr="00551B5E" w:rsidRDefault="005665B9"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وفيما يخص إ</w:t>
      </w:r>
      <w:r w:rsidRPr="00796E70">
        <w:rPr>
          <w:rFonts w:ascii="Arabic Typesetting" w:hAnsi="Arabic Typesetting" w:cs="Arabic Typesetting" w:hint="cs"/>
          <w:sz w:val="34"/>
          <w:szCs w:val="34"/>
          <w:rtl/>
          <w:lang w:val="fr-CH"/>
        </w:rPr>
        <w:t xml:space="preserve">دارة الأصول، </w:t>
      </w:r>
      <w:r>
        <w:rPr>
          <w:rFonts w:ascii="Arabic Typesetting" w:hAnsi="Arabic Typesetting" w:cs="Arabic Typesetting" w:hint="cs"/>
          <w:sz w:val="34"/>
          <w:szCs w:val="34"/>
          <w:rtl/>
          <w:lang w:val="fr-CH"/>
        </w:rPr>
        <w:t>شهدت الثنائية استهلال تطبيق</w:t>
      </w:r>
      <w:r w:rsidRPr="00796E70">
        <w:rPr>
          <w:rFonts w:ascii="Arabic Typesetting" w:hAnsi="Arabic Typesetting" w:cs="Arabic Typesetting" w:hint="cs"/>
          <w:sz w:val="34"/>
          <w:szCs w:val="34"/>
          <w:rtl/>
          <w:lang w:val="fr-CH"/>
        </w:rPr>
        <w:t xml:space="preserve"> الإجراء الجديد </w:t>
      </w:r>
      <w:r>
        <w:rPr>
          <w:rFonts w:ascii="Arabic Typesetting" w:hAnsi="Arabic Typesetting" w:cs="Arabic Typesetting" w:hint="cs"/>
          <w:sz w:val="34"/>
          <w:szCs w:val="34"/>
          <w:rtl/>
          <w:lang w:val="fr-CH"/>
        </w:rPr>
        <w:t>ل</w:t>
      </w:r>
      <w:r w:rsidRPr="00796E70">
        <w:rPr>
          <w:rFonts w:ascii="Arabic Typesetting" w:hAnsi="Arabic Typesetting" w:cs="Arabic Typesetting" w:hint="cs"/>
          <w:sz w:val="34"/>
          <w:szCs w:val="34"/>
          <w:rtl/>
          <w:lang w:val="fr-CH"/>
        </w:rPr>
        <w:t>لاستعانة بجهة خارجية لجرد الأصول. و</w:t>
      </w:r>
      <w:r>
        <w:rPr>
          <w:rFonts w:ascii="Arabic Typesetting" w:hAnsi="Arabic Typesetting" w:cs="Arabic Typesetting" w:hint="cs"/>
          <w:sz w:val="34"/>
          <w:szCs w:val="34"/>
          <w:rtl/>
          <w:lang w:val="fr-CH"/>
        </w:rPr>
        <w:t xml:space="preserve">كانت </w:t>
      </w:r>
      <w:r w:rsidRPr="00796E70">
        <w:rPr>
          <w:rFonts w:ascii="Arabic Typesetting" w:hAnsi="Arabic Typesetting" w:cs="Arabic Typesetting" w:hint="cs"/>
          <w:sz w:val="34"/>
          <w:szCs w:val="34"/>
          <w:rtl/>
          <w:lang w:val="fr-CH"/>
        </w:rPr>
        <w:t>الأصول المعنية</w:t>
      </w:r>
      <w:r>
        <w:rPr>
          <w:rFonts w:ascii="Arabic Typesetting" w:hAnsi="Arabic Typesetting" w:cs="Arabic Typesetting" w:hint="cs"/>
          <w:sz w:val="34"/>
          <w:szCs w:val="34"/>
          <w:rtl/>
          <w:lang w:val="fr-CH"/>
        </w:rPr>
        <w:t xml:space="preserve"> في عام 2014</w:t>
      </w:r>
      <w:r w:rsidRPr="00796E70">
        <w:rPr>
          <w:rFonts w:ascii="Arabic Typesetting" w:hAnsi="Arabic Typesetting" w:cs="Arabic Typesetting" w:hint="cs"/>
          <w:sz w:val="34"/>
          <w:szCs w:val="34"/>
          <w:rtl/>
          <w:lang w:val="fr-CH"/>
        </w:rPr>
        <w:t xml:space="preserve"> هي تلك التي تتجاوز قيمتها 000</w:t>
      </w:r>
      <w:r w:rsidRPr="00796E70">
        <w:rPr>
          <w:rFonts w:ascii="Arabic Typesetting" w:hAnsi="Arabic Typesetting" w:cs="Arabic Typesetting" w:hint="eastAsia"/>
          <w:sz w:val="34"/>
          <w:szCs w:val="34"/>
          <w:rtl/>
          <w:lang w:val="fr-CH"/>
        </w:rPr>
        <w:t> </w:t>
      </w:r>
      <w:r w:rsidRPr="00796E70">
        <w:rPr>
          <w:rFonts w:ascii="Arabic Typesetting" w:hAnsi="Arabic Typesetting" w:cs="Arabic Typesetting" w:hint="cs"/>
          <w:sz w:val="34"/>
          <w:szCs w:val="34"/>
          <w:rtl/>
          <w:lang w:val="fr-CH"/>
        </w:rPr>
        <w:t>1 فرنك سويسري، فضلا</w:t>
      </w:r>
      <w:r w:rsidR="00CA7968">
        <w:rPr>
          <w:rFonts w:ascii="Arabic Typesetting" w:hAnsi="Arabic Typesetting" w:cs="Arabic Typesetting" w:hint="cs"/>
          <w:sz w:val="34"/>
          <w:szCs w:val="34"/>
          <w:rtl/>
          <w:lang w:val="fr-CH"/>
        </w:rPr>
        <w:t>ً</w:t>
      </w:r>
      <w:r w:rsidRPr="00796E70">
        <w:rPr>
          <w:rFonts w:ascii="Arabic Typesetting" w:hAnsi="Arabic Typesetting" w:cs="Arabic Typesetting" w:hint="cs"/>
          <w:sz w:val="34"/>
          <w:szCs w:val="34"/>
          <w:rtl/>
          <w:lang w:val="fr-CH"/>
        </w:rPr>
        <w:t xml:space="preserve"> عن المصنفات الفنية والعناصر الجذّابة بصرف النظر عن قيمتها. </w:t>
      </w:r>
      <w:r>
        <w:rPr>
          <w:rFonts w:ascii="Arabic Typesetting" w:hAnsi="Arabic Typesetting" w:cs="Arabic Typesetting" w:hint="cs"/>
          <w:sz w:val="34"/>
          <w:szCs w:val="34"/>
          <w:rtl/>
          <w:lang w:val="fr-CH"/>
        </w:rPr>
        <w:t>وأما في عام 2015، فقد كانت</w:t>
      </w:r>
      <w:r w:rsidRPr="00796E70">
        <w:rPr>
          <w:rFonts w:ascii="Arabic Typesetting" w:hAnsi="Arabic Typesetting" w:cs="Arabic Typesetting" w:hint="cs"/>
          <w:sz w:val="34"/>
          <w:szCs w:val="34"/>
          <w:rtl/>
          <w:lang w:val="fr-CH"/>
        </w:rPr>
        <w:t xml:space="preserve"> الأصول </w:t>
      </w:r>
      <w:r>
        <w:rPr>
          <w:rFonts w:ascii="Arabic Typesetting" w:hAnsi="Arabic Typesetting" w:cs="Arabic Typesetting" w:hint="cs"/>
          <w:sz w:val="34"/>
          <w:szCs w:val="34"/>
          <w:rtl/>
          <w:lang w:val="fr-CH"/>
        </w:rPr>
        <w:t>المعنية هي</w:t>
      </w:r>
      <w:r w:rsidRPr="00796E70">
        <w:rPr>
          <w:rFonts w:ascii="Arabic Typesetting" w:hAnsi="Arabic Typesetting" w:cs="Arabic Typesetting" w:hint="cs"/>
          <w:sz w:val="34"/>
          <w:szCs w:val="34"/>
          <w:rtl/>
          <w:lang w:val="fr-CH"/>
        </w:rPr>
        <w:t xml:space="preserve"> تلك التي تتجاوز قيمتها 000</w:t>
      </w:r>
      <w:r w:rsidRPr="00796E70">
        <w:rPr>
          <w:rFonts w:ascii="Arabic Typesetting" w:hAnsi="Arabic Typesetting" w:cs="Arabic Typesetting" w:hint="eastAsia"/>
          <w:sz w:val="34"/>
          <w:szCs w:val="34"/>
          <w:rtl/>
          <w:lang w:val="fr-CH"/>
        </w:rPr>
        <w:t> </w:t>
      </w:r>
      <w:r w:rsidRPr="00796E70">
        <w:rPr>
          <w:rFonts w:ascii="Arabic Typesetting" w:hAnsi="Arabic Typesetting" w:cs="Arabic Typesetting" w:hint="cs"/>
          <w:sz w:val="34"/>
          <w:szCs w:val="34"/>
          <w:rtl/>
          <w:lang w:val="fr-CH"/>
        </w:rPr>
        <w:t>5 فرنك سويسري. والغرض من هذا النهج ذي مرحلتين المتفق مع إطار الثنائية هو هيكلة إدارة الأصول لأغراض التسجيل والإبلاغ الماديين ولأغراض الإبلاغ المالي.</w:t>
      </w:r>
      <w:r>
        <w:rPr>
          <w:rFonts w:ascii="Arabic Typesetting" w:hAnsi="Arabic Typesetting" w:cs="Arabic Typesetting" w:hint="cs"/>
          <w:sz w:val="34"/>
          <w:szCs w:val="34"/>
          <w:rtl/>
          <w:lang w:val="fr-CH"/>
        </w:rPr>
        <w:t xml:space="preserve"> وأُصدرت سياسة جديدة بشأن إدارة الأصول في نهاية الثنائية لتصبح أساساً لنظام أكثر إحكاماً يندرج في إطار النظام المالي ولائحته.</w:t>
      </w:r>
    </w:p>
    <w:p w:rsidR="00E517F9" w:rsidRDefault="00E517F9"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Pr>
          <w:rFonts w:ascii="Arabic Typesetting" w:hAnsi="Arabic Typesetting" w:cs="Arabic Typesetting" w:hint="cs"/>
          <w:sz w:val="34"/>
          <w:szCs w:val="34"/>
          <w:rtl/>
          <w:lang w:val="fr-CH"/>
        </w:rPr>
        <w:t>وكان عام 2015 أول عام يشهد زيادة كبيرة في</w:t>
      </w:r>
      <w:r w:rsidR="002C5322">
        <w:rPr>
          <w:rFonts w:ascii="Arabic Typesetting" w:hAnsi="Arabic Typesetting" w:cs="Arabic Typesetting" w:hint="cs"/>
          <w:sz w:val="34"/>
          <w:szCs w:val="34"/>
          <w:rtl/>
          <w:lang w:val="fr-CH"/>
        </w:rPr>
        <w:t xml:space="preserve"> عدد</w:t>
      </w:r>
      <w:r>
        <w:rPr>
          <w:rFonts w:ascii="Arabic Typesetting" w:hAnsi="Arabic Typesetting" w:cs="Arabic Typesetting" w:hint="cs"/>
          <w:sz w:val="34"/>
          <w:szCs w:val="34"/>
          <w:rtl/>
          <w:lang w:val="fr-CH"/>
        </w:rPr>
        <w:t xml:space="preserve"> </w:t>
      </w:r>
      <w:r w:rsidR="002C5322">
        <w:rPr>
          <w:rFonts w:ascii="Arabic Typesetting" w:hAnsi="Arabic Typesetting" w:cs="Arabic Typesetting" w:hint="cs"/>
          <w:sz w:val="34"/>
          <w:szCs w:val="34"/>
          <w:rtl/>
          <w:lang w:val="fr-CH"/>
        </w:rPr>
        <w:t>الفعاليات</w:t>
      </w:r>
      <w:r>
        <w:rPr>
          <w:rFonts w:ascii="Arabic Typesetting" w:hAnsi="Arabic Typesetting" w:cs="Arabic Typesetting" w:hint="cs"/>
          <w:sz w:val="34"/>
          <w:szCs w:val="34"/>
          <w:rtl/>
          <w:lang w:val="fr-CH"/>
        </w:rPr>
        <w:t xml:space="preserve"> </w:t>
      </w:r>
      <w:r w:rsidR="002C5322">
        <w:rPr>
          <w:rFonts w:ascii="Arabic Typesetting" w:hAnsi="Arabic Typesetting" w:cs="Arabic Typesetting" w:hint="cs"/>
          <w:sz w:val="34"/>
          <w:szCs w:val="34"/>
          <w:rtl/>
          <w:lang w:val="fr-CH"/>
        </w:rPr>
        <w:t>وتعقيدها سواء أكانت هذه الفعاليات ثقافية أم غير</w:t>
      </w:r>
      <w:r w:rsidR="002C5322">
        <w:rPr>
          <w:rFonts w:ascii="Arabic Typesetting" w:hAnsi="Arabic Typesetting" w:cs="Arabic Typesetting" w:hint="eastAsia"/>
          <w:sz w:val="34"/>
          <w:szCs w:val="34"/>
          <w:rtl/>
          <w:lang w:val="fr-CH"/>
        </w:rPr>
        <w:t> </w:t>
      </w:r>
      <w:r w:rsidR="002C5322">
        <w:rPr>
          <w:rFonts w:ascii="Arabic Typesetting" w:hAnsi="Arabic Typesetting" w:cs="Arabic Typesetting" w:hint="cs"/>
          <w:sz w:val="34"/>
          <w:szCs w:val="34"/>
          <w:rtl/>
          <w:lang w:val="fr-CH"/>
        </w:rPr>
        <w:t xml:space="preserve">ثقافية </w:t>
      </w:r>
      <w:r>
        <w:rPr>
          <w:rFonts w:ascii="Arabic Typesetting" w:hAnsi="Arabic Typesetting" w:cs="Arabic Typesetting" w:hint="cs"/>
          <w:sz w:val="34"/>
          <w:szCs w:val="34"/>
          <w:rtl/>
          <w:lang w:val="fr-CH"/>
        </w:rPr>
        <w:t>(</w:t>
      </w:r>
      <w:r w:rsidR="002C5322">
        <w:rPr>
          <w:rFonts w:ascii="Arabic Typesetting" w:hAnsi="Arabic Typesetting" w:cs="Arabic Typesetting" w:hint="cs"/>
          <w:sz w:val="34"/>
          <w:szCs w:val="34"/>
          <w:rtl/>
          <w:lang w:val="fr-CH"/>
        </w:rPr>
        <w:t>أو حتى</w:t>
      </w:r>
      <w:r>
        <w:rPr>
          <w:rFonts w:ascii="Arabic Typesetting" w:hAnsi="Arabic Typesetting" w:cs="Arabic Typesetting" w:hint="cs"/>
          <w:sz w:val="34"/>
          <w:szCs w:val="34"/>
          <w:rtl/>
          <w:lang w:val="fr-CH"/>
        </w:rPr>
        <w:t xml:space="preserve"> </w:t>
      </w:r>
      <w:r w:rsidR="002C5322">
        <w:rPr>
          <w:rFonts w:ascii="Arabic Typesetting" w:hAnsi="Arabic Typesetting" w:cs="Arabic Typesetting" w:hint="cs"/>
          <w:sz w:val="34"/>
          <w:szCs w:val="34"/>
          <w:rtl/>
          <w:lang w:val="fr-CH"/>
        </w:rPr>
        <w:t>فعاليات</w:t>
      </w:r>
      <w:r>
        <w:rPr>
          <w:rFonts w:ascii="Arabic Typesetting" w:hAnsi="Arabic Typesetting" w:cs="Arabic Typesetting" w:hint="cs"/>
          <w:sz w:val="34"/>
          <w:szCs w:val="34"/>
          <w:rtl/>
          <w:lang w:val="fr-CH"/>
        </w:rPr>
        <w:t xml:space="preserve"> ثقافية متزامنة). </w:t>
      </w:r>
      <w:r w:rsidR="001A0CAA">
        <w:rPr>
          <w:rFonts w:ascii="Arabic Typesetting" w:hAnsi="Arabic Typesetting" w:cs="Arabic Typesetting" w:hint="cs"/>
          <w:sz w:val="34"/>
          <w:szCs w:val="34"/>
          <w:rtl/>
          <w:lang w:val="fr-CH"/>
        </w:rPr>
        <w:t xml:space="preserve">واستضافت الويبو في </w:t>
      </w:r>
      <w:r w:rsidR="005C60D6">
        <w:rPr>
          <w:rFonts w:ascii="Arabic Typesetting" w:hAnsi="Arabic Typesetting" w:cs="Arabic Typesetting" w:hint="cs"/>
          <w:sz w:val="34"/>
          <w:szCs w:val="34"/>
          <w:rtl/>
          <w:lang w:val="fr-CH"/>
        </w:rPr>
        <w:t>مبانيها ستة احتفالات بمناسبات وطنية. وفضلاً عن ذلك، أج</w:t>
      </w:r>
      <w:r w:rsidR="00CA7968">
        <w:rPr>
          <w:rFonts w:ascii="Arabic Typesetting" w:hAnsi="Arabic Typesetting" w:cs="Arabic Typesetting" w:hint="cs"/>
          <w:sz w:val="34"/>
          <w:szCs w:val="34"/>
          <w:rtl/>
          <w:lang w:val="fr-CH"/>
        </w:rPr>
        <w:t>َّ</w:t>
      </w:r>
      <w:r w:rsidR="005C60D6">
        <w:rPr>
          <w:rFonts w:ascii="Arabic Typesetting" w:hAnsi="Arabic Typesetting" w:cs="Arabic Typesetting" w:hint="cs"/>
          <w:sz w:val="34"/>
          <w:szCs w:val="34"/>
          <w:rtl/>
          <w:lang w:val="fr-CH"/>
        </w:rPr>
        <w:t xml:space="preserve">رت الويبو أماكن مختلفة (منها قاعة المؤتمرات الجديدة) لكيانات خارجية في عدة مناسبات مقابل إيجار و/أو تسديد النفقات المتكبدة خلال هذه </w:t>
      </w:r>
      <w:r w:rsidR="002C5322">
        <w:rPr>
          <w:rFonts w:ascii="Arabic Typesetting" w:hAnsi="Arabic Typesetting" w:cs="Arabic Typesetting" w:hint="cs"/>
          <w:sz w:val="34"/>
          <w:szCs w:val="34"/>
          <w:rtl/>
          <w:lang w:val="fr-CH"/>
        </w:rPr>
        <w:t>الفعاليات</w:t>
      </w:r>
      <w:r w:rsidR="005C60D6">
        <w:rPr>
          <w:rFonts w:ascii="Arabic Typesetting" w:hAnsi="Arabic Typesetting" w:cs="Arabic Typesetting" w:hint="cs"/>
          <w:sz w:val="34"/>
          <w:szCs w:val="34"/>
          <w:rtl/>
          <w:lang w:val="fr-CH"/>
        </w:rPr>
        <w:t>.</w:t>
      </w:r>
      <w:r w:rsidR="005C60D6" w:rsidRPr="00F96634">
        <w:rPr>
          <w:rFonts w:ascii="Arabic Typesetting" w:hAnsi="Arabic Typesetting" w:cs="Arabic Typesetting"/>
          <w:sz w:val="28"/>
          <w:szCs w:val="28"/>
          <w:vertAlign w:val="superscript"/>
          <w:rtl/>
          <w:lang w:val="fr-CH"/>
        </w:rPr>
        <w:footnoteReference w:id="135"/>
      </w:r>
    </w:p>
    <w:p w:rsidR="00E517F9" w:rsidRDefault="005C60D6" w:rsidP="009A3712">
      <w:pPr>
        <w:numPr>
          <w:ilvl w:val="0"/>
          <w:numId w:val="34"/>
        </w:numPr>
        <w:bidi/>
        <w:spacing w:after="120" w:line="340" w:lineRule="exact"/>
        <w:ind w:left="-1" w:firstLine="1"/>
        <w:jc w:val="both"/>
        <w:rPr>
          <w:rFonts w:ascii="Arabic Typesetting" w:hAnsi="Arabic Typesetting" w:cs="Arabic Typesetting"/>
          <w:sz w:val="34"/>
          <w:szCs w:val="34"/>
          <w:rtl/>
          <w:lang w:val="fr-CH"/>
        </w:rPr>
      </w:pPr>
      <w:r w:rsidRPr="00796E70">
        <w:rPr>
          <w:rFonts w:ascii="Arabic Typesetting" w:hAnsi="Arabic Typesetting" w:cs="Arabic Typesetting" w:hint="cs"/>
          <w:sz w:val="34"/>
          <w:szCs w:val="34"/>
          <w:rtl/>
          <w:lang w:val="fr-CH"/>
        </w:rPr>
        <w:t xml:space="preserve">وفي إطار مشروع إمكانية النفاذ إلى مباني الويبو واستنادا إلى التوصيات الناجمة عن عمليات التدقيق التي أجريت في عامي 2012 و2013، نُفذ عدد من تدابير التحسين في عدة مباني </w:t>
      </w:r>
      <w:r>
        <w:rPr>
          <w:rFonts w:ascii="Arabic Typesetting" w:hAnsi="Arabic Typesetting" w:cs="Arabic Typesetting" w:hint="cs"/>
          <w:sz w:val="34"/>
          <w:szCs w:val="34"/>
          <w:rtl/>
          <w:lang w:val="fr-CH"/>
        </w:rPr>
        <w:t>خلال الثنائية</w:t>
      </w:r>
      <w:r w:rsidRPr="00796E70">
        <w:rPr>
          <w:rFonts w:ascii="Arabic Typesetting" w:hAnsi="Arabic Typesetting" w:cs="Arabic Typesetting" w:hint="cs"/>
          <w:sz w:val="34"/>
          <w:szCs w:val="34"/>
          <w:rtl/>
          <w:lang w:val="fr-CH"/>
        </w:rPr>
        <w:t xml:space="preserve">. </w:t>
      </w:r>
      <w:r>
        <w:rPr>
          <w:rFonts w:ascii="Arabic Typesetting" w:hAnsi="Arabic Typesetting" w:cs="Arabic Typesetting" w:hint="cs"/>
          <w:sz w:val="34"/>
          <w:szCs w:val="34"/>
          <w:rtl/>
          <w:lang w:val="fr-CH"/>
        </w:rPr>
        <w:t>و</w:t>
      </w:r>
      <w:r w:rsidRPr="00796E70">
        <w:rPr>
          <w:rFonts w:ascii="Arabic Typesetting" w:hAnsi="Arabic Typesetting" w:cs="Arabic Typesetting" w:hint="cs"/>
          <w:sz w:val="34"/>
          <w:szCs w:val="34"/>
          <w:rtl/>
          <w:lang w:val="fr-CH"/>
        </w:rPr>
        <w:t>نُفذت</w:t>
      </w:r>
      <w:r>
        <w:rPr>
          <w:rFonts w:ascii="Arabic Typesetting" w:hAnsi="Arabic Typesetting" w:cs="Arabic Typesetting" w:hint="cs"/>
          <w:sz w:val="34"/>
          <w:szCs w:val="34"/>
          <w:rtl/>
          <w:lang w:val="fr-CH"/>
        </w:rPr>
        <w:t xml:space="preserve"> في عام 2014</w:t>
      </w:r>
      <w:r w:rsidRPr="00796E70">
        <w:rPr>
          <w:rFonts w:ascii="Arabic Typesetting" w:hAnsi="Arabic Typesetting" w:cs="Arabic Typesetting" w:hint="cs"/>
          <w:sz w:val="34"/>
          <w:szCs w:val="34"/>
          <w:rtl/>
          <w:lang w:val="fr-CH"/>
        </w:rPr>
        <w:t xml:space="preserve"> خلال مراحل البناء و/أو</w:t>
      </w:r>
      <w:r w:rsidRPr="00796E70">
        <w:rPr>
          <w:rFonts w:ascii="Arabic Typesetting" w:hAnsi="Arabic Typesetting" w:cs="Arabic Typesetting" w:hint="eastAsia"/>
          <w:sz w:val="34"/>
          <w:szCs w:val="34"/>
          <w:rtl/>
          <w:lang w:val="fr-CH"/>
        </w:rPr>
        <w:t> </w:t>
      </w:r>
      <w:r w:rsidRPr="00796E70">
        <w:rPr>
          <w:rFonts w:ascii="Arabic Typesetting" w:hAnsi="Arabic Typesetting" w:cs="Arabic Typesetting" w:hint="cs"/>
          <w:sz w:val="34"/>
          <w:szCs w:val="34"/>
          <w:rtl/>
          <w:lang w:val="fr-CH"/>
        </w:rPr>
        <w:t>التجديد عدة خصائص أدرجت في نطاق قاعة الويبو الجديدة للمؤتمرات وتجديد عدة طوابق من مبنى</w:t>
      </w:r>
      <w:r w:rsidRPr="00796E70">
        <w:rPr>
          <w:rFonts w:ascii="Arabic Typesetting" w:hAnsi="Arabic Typesetting" w:cs="Arabic Typesetting" w:hint="eastAsia"/>
          <w:sz w:val="34"/>
          <w:szCs w:val="34"/>
          <w:rtl/>
          <w:lang w:val="fr-CH"/>
        </w:rPr>
        <w:t> </w:t>
      </w:r>
      <w:proofErr w:type="spellStart"/>
      <w:r>
        <w:rPr>
          <w:rFonts w:ascii="Arabic Typesetting" w:hAnsi="Arabic Typesetting" w:cs="Arabic Typesetting" w:hint="cs"/>
          <w:sz w:val="34"/>
          <w:szCs w:val="34"/>
          <w:rtl/>
          <w:lang w:val="fr-CH"/>
        </w:rPr>
        <w:t>أرباد</w:t>
      </w:r>
      <w:proofErr w:type="spellEnd"/>
      <w:r>
        <w:rPr>
          <w:rFonts w:ascii="Arabic Typesetting" w:hAnsi="Arabic Typesetting" w:cs="Arabic Typesetting" w:hint="cs"/>
          <w:sz w:val="34"/>
          <w:szCs w:val="34"/>
          <w:rtl/>
          <w:lang w:val="fr-CH"/>
        </w:rPr>
        <w:t xml:space="preserve"> </w:t>
      </w:r>
      <w:proofErr w:type="spellStart"/>
      <w:r>
        <w:rPr>
          <w:rFonts w:ascii="Arabic Typesetting" w:hAnsi="Arabic Typesetting" w:cs="Arabic Typesetting" w:hint="cs"/>
          <w:sz w:val="34"/>
          <w:szCs w:val="34"/>
          <w:rtl/>
          <w:lang w:val="fr-CH"/>
        </w:rPr>
        <w:t>بوكش</w:t>
      </w:r>
      <w:proofErr w:type="spellEnd"/>
      <w:r w:rsidRPr="00796E70">
        <w:rPr>
          <w:rFonts w:ascii="Arabic Typesetting" w:hAnsi="Arabic Typesetting" w:cs="Arabic Typesetting" w:hint="cs"/>
          <w:sz w:val="34"/>
          <w:szCs w:val="34"/>
          <w:rtl/>
          <w:lang w:val="fr-CH"/>
        </w:rPr>
        <w:t>. وشملت</w:t>
      </w:r>
      <w:r w:rsidR="00781F2F">
        <w:rPr>
          <w:rFonts w:ascii="Arabic Typesetting" w:hAnsi="Arabic Typesetting" w:cs="Arabic Typesetting" w:hint="eastAsia"/>
          <w:sz w:val="34"/>
          <w:szCs w:val="34"/>
          <w:rtl/>
          <w:lang w:val="fr-CH"/>
        </w:rPr>
        <w:t> </w:t>
      </w:r>
      <w:r w:rsidRPr="00796E70">
        <w:rPr>
          <w:rFonts w:ascii="Arabic Typesetting" w:hAnsi="Arabic Typesetting" w:cs="Arabic Typesetting" w:hint="cs"/>
          <w:sz w:val="34"/>
          <w:szCs w:val="34"/>
          <w:rtl/>
          <w:lang w:val="fr-CH"/>
        </w:rPr>
        <w:t>التحسينات ما</w:t>
      </w:r>
      <w:r w:rsidRPr="00796E70">
        <w:rPr>
          <w:rFonts w:ascii="Arabic Typesetting" w:hAnsi="Arabic Typesetting" w:cs="Arabic Typesetting" w:hint="eastAsia"/>
          <w:sz w:val="34"/>
          <w:szCs w:val="34"/>
          <w:rtl/>
          <w:lang w:val="fr-CH"/>
        </w:rPr>
        <w:t> </w:t>
      </w:r>
      <w:r w:rsidRPr="00796E70">
        <w:rPr>
          <w:rFonts w:ascii="Arabic Typesetting" w:hAnsi="Arabic Typesetting" w:cs="Arabic Typesetting" w:hint="cs"/>
          <w:sz w:val="34"/>
          <w:szCs w:val="34"/>
          <w:rtl/>
          <w:lang w:val="fr-CH"/>
        </w:rPr>
        <w:t>يلي: "1"</w:t>
      </w:r>
      <w:r w:rsidR="00781F2F">
        <w:rPr>
          <w:rFonts w:ascii="Arabic Typesetting" w:hAnsi="Arabic Typesetting" w:cs="Arabic Typesetting" w:hint="eastAsia"/>
          <w:sz w:val="34"/>
          <w:szCs w:val="34"/>
          <w:rtl/>
          <w:lang w:val="fr-CH"/>
        </w:rPr>
        <w:t> </w:t>
      </w:r>
      <w:r w:rsidRPr="00796E70">
        <w:rPr>
          <w:rFonts w:ascii="Arabic Typesetting" w:hAnsi="Arabic Typesetting" w:cs="Arabic Typesetting"/>
          <w:sz w:val="34"/>
          <w:szCs w:val="34"/>
          <w:rtl/>
          <w:lang w:val="fr-CH"/>
        </w:rPr>
        <w:t xml:space="preserve">مسارات </w:t>
      </w:r>
      <w:r w:rsidRPr="00796E70">
        <w:rPr>
          <w:rFonts w:ascii="Arabic Typesetting" w:hAnsi="Arabic Typesetting" w:cs="Arabic Typesetting" w:hint="cs"/>
          <w:sz w:val="34"/>
          <w:szCs w:val="34"/>
          <w:rtl/>
          <w:lang w:val="fr-CH"/>
        </w:rPr>
        <w:t xml:space="preserve">إضافية </w:t>
      </w:r>
      <w:r w:rsidRPr="00796E70">
        <w:rPr>
          <w:rFonts w:ascii="Arabic Typesetting" w:hAnsi="Arabic Typesetting" w:cs="Arabic Typesetting"/>
          <w:sz w:val="34"/>
          <w:szCs w:val="34"/>
          <w:rtl/>
          <w:lang w:val="fr-CH"/>
        </w:rPr>
        <w:t xml:space="preserve">لنفاذ الكراسي المتحركة </w:t>
      </w:r>
      <w:r w:rsidRPr="00796E70">
        <w:rPr>
          <w:rFonts w:ascii="Arabic Typesetting" w:hAnsi="Arabic Typesetting" w:cs="Arabic Typesetting" w:hint="cs"/>
          <w:sz w:val="34"/>
          <w:szCs w:val="34"/>
          <w:rtl/>
          <w:lang w:val="fr-CH"/>
        </w:rPr>
        <w:t xml:space="preserve">(النفاذ </w:t>
      </w:r>
      <w:r w:rsidRPr="00796E70">
        <w:rPr>
          <w:rFonts w:ascii="Arabic Typesetting" w:hAnsi="Arabic Typesetting" w:cs="Arabic Typesetting"/>
          <w:sz w:val="34"/>
          <w:szCs w:val="34"/>
          <w:rtl/>
          <w:lang w:val="fr-CH"/>
        </w:rPr>
        <w:t xml:space="preserve">إلى مقصورات المترجمين الفوريين في قاعة اجتماعات جديدة </w:t>
      </w:r>
      <w:r w:rsidRPr="00796E70">
        <w:rPr>
          <w:rFonts w:ascii="Arabic Typesetting" w:hAnsi="Arabic Typesetting" w:cs="Arabic Typesetting" w:hint="cs"/>
          <w:sz w:val="34"/>
          <w:szCs w:val="34"/>
          <w:rtl/>
          <w:lang w:val="fr-CH"/>
        </w:rPr>
        <w:t>في</w:t>
      </w:r>
      <w:r w:rsidRPr="00796E70">
        <w:rPr>
          <w:rFonts w:ascii="Arabic Typesetting" w:hAnsi="Arabic Typesetting" w:cs="Arabic Typesetting"/>
          <w:sz w:val="34"/>
          <w:szCs w:val="34"/>
          <w:rtl/>
          <w:lang w:val="fr-CH"/>
        </w:rPr>
        <w:t xml:space="preserve"> المبنى الجديد</w:t>
      </w:r>
      <w:r w:rsidRPr="00796E70">
        <w:rPr>
          <w:rFonts w:ascii="Arabic Typesetting" w:hAnsi="Arabic Typesetting" w:cs="Arabic Typesetting" w:hint="cs"/>
          <w:sz w:val="34"/>
          <w:szCs w:val="34"/>
          <w:rtl/>
          <w:lang w:val="fr-CH"/>
        </w:rPr>
        <w:t xml:space="preserve">، والنفاذ إلى المنصة في قاعة الويبو الجديدة للمؤتمرات، والنفاذ إلى مقصورات المترجمين الفوريين في قاعتي اجتماعات جديدتين في </w:t>
      </w:r>
      <w:r w:rsidRPr="00796E70">
        <w:rPr>
          <w:rFonts w:ascii="Arabic Typesetting" w:hAnsi="Arabic Typesetting" w:cs="Arabic Typesetting" w:hint="cs"/>
          <w:sz w:val="34"/>
          <w:szCs w:val="34"/>
          <w:rtl/>
          <w:lang w:bidi="ar-EG"/>
        </w:rPr>
        <w:t>الطابق</w:t>
      </w:r>
      <w:r w:rsidRPr="00796E70">
        <w:rPr>
          <w:rFonts w:ascii="Arabic Typesetting" w:hAnsi="Arabic Typesetting" w:cs="Arabic Typesetting" w:hint="cs"/>
          <w:sz w:val="34"/>
          <w:szCs w:val="34"/>
          <w:rtl/>
          <w:lang w:val="fr-CH"/>
        </w:rPr>
        <w:t xml:space="preserve"> المجدَّد من مبنى</w:t>
      </w:r>
      <w:r w:rsidRPr="00796E70">
        <w:rPr>
          <w:rFonts w:ascii="Arabic Typesetting" w:hAnsi="Arabic Typesetting" w:cs="Arabic Typesetting" w:hint="eastAsia"/>
          <w:sz w:val="34"/>
          <w:szCs w:val="34"/>
          <w:rtl/>
          <w:lang w:val="fr-CH"/>
        </w:rPr>
        <w:t> </w:t>
      </w:r>
      <w:proofErr w:type="spellStart"/>
      <w:r>
        <w:rPr>
          <w:rFonts w:ascii="Arabic Typesetting" w:hAnsi="Arabic Typesetting" w:cs="Arabic Typesetting" w:hint="cs"/>
          <w:sz w:val="34"/>
          <w:szCs w:val="34"/>
          <w:rtl/>
          <w:lang w:val="fr-CH"/>
        </w:rPr>
        <w:t>أرباد</w:t>
      </w:r>
      <w:proofErr w:type="spellEnd"/>
      <w:r>
        <w:rPr>
          <w:rFonts w:ascii="Arabic Typesetting" w:hAnsi="Arabic Typesetting" w:cs="Arabic Typesetting" w:hint="cs"/>
          <w:sz w:val="34"/>
          <w:szCs w:val="34"/>
          <w:rtl/>
          <w:lang w:val="fr-CH"/>
        </w:rPr>
        <w:t xml:space="preserve"> </w:t>
      </w:r>
      <w:proofErr w:type="spellStart"/>
      <w:r>
        <w:rPr>
          <w:rFonts w:ascii="Arabic Typesetting" w:hAnsi="Arabic Typesetting" w:cs="Arabic Typesetting" w:hint="cs"/>
          <w:sz w:val="34"/>
          <w:szCs w:val="34"/>
          <w:rtl/>
          <w:lang w:val="fr-CH"/>
        </w:rPr>
        <w:t>بوكش</w:t>
      </w:r>
      <w:proofErr w:type="spellEnd"/>
      <w:r w:rsidRPr="00796E70">
        <w:rPr>
          <w:rFonts w:ascii="Arabic Typesetting" w:hAnsi="Arabic Typesetting" w:cs="Arabic Typesetting" w:hint="cs"/>
          <w:sz w:val="34"/>
          <w:szCs w:val="34"/>
          <w:rtl/>
          <w:lang w:val="fr-CH"/>
        </w:rPr>
        <w:t>)، "2"</w:t>
      </w:r>
      <w:r w:rsidR="00781F2F">
        <w:rPr>
          <w:rFonts w:ascii="Arabic Typesetting" w:hAnsi="Arabic Typesetting" w:cs="Arabic Typesetting" w:hint="eastAsia"/>
          <w:sz w:val="34"/>
          <w:szCs w:val="34"/>
          <w:rtl/>
          <w:lang w:val="fr-CH"/>
        </w:rPr>
        <w:t> </w:t>
      </w:r>
      <w:r w:rsidRPr="00796E70">
        <w:rPr>
          <w:rFonts w:ascii="Arabic Typesetting" w:hAnsi="Arabic Typesetting" w:cs="Arabic Typesetting" w:hint="cs"/>
          <w:sz w:val="34"/>
          <w:szCs w:val="34"/>
          <w:rtl/>
          <w:lang w:val="fr-CH"/>
        </w:rPr>
        <w:t>وخفض أجهزة قراءة بطاقات الدخول لتكون في المستوى المناسب لنفاذ الكراسي المتحركة في مبنى</w:t>
      </w:r>
      <w:r w:rsidRPr="00796E70">
        <w:rPr>
          <w:rFonts w:ascii="Arabic Typesetting" w:hAnsi="Arabic Typesetting" w:cs="Arabic Typesetting" w:hint="eastAsia"/>
          <w:sz w:val="34"/>
          <w:szCs w:val="34"/>
          <w:rtl/>
          <w:lang w:val="fr-CH"/>
        </w:rPr>
        <w:t> </w:t>
      </w:r>
      <w:proofErr w:type="spellStart"/>
      <w:r>
        <w:rPr>
          <w:rFonts w:ascii="Arabic Typesetting" w:hAnsi="Arabic Typesetting" w:cs="Arabic Typesetting" w:hint="cs"/>
          <w:sz w:val="34"/>
          <w:szCs w:val="34"/>
          <w:rtl/>
        </w:rPr>
        <w:t>أرباد</w:t>
      </w:r>
      <w:proofErr w:type="spellEnd"/>
      <w:r>
        <w:rPr>
          <w:rFonts w:ascii="Arabic Typesetting" w:hAnsi="Arabic Typesetting" w:cs="Arabic Typesetting" w:hint="cs"/>
          <w:sz w:val="34"/>
          <w:szCs w:val="34"/>
          <w:rtl/>
        </w:rPr>
        <w:t xml:space="preserve"> </w:t>
      </w:r>
      <w:proofErr w:type="spellStart"/>
      <w:r>
        <w:rPr>
          <w:rFonts w:ascii="Arabic Typesetting" w:hAnsi="Arabic Typesetting" w:cs="Arabic Typesetting" w:hint="cs"/>
          <w:sz w:val="34"/>
          <w:szCs w:val="34"/>
          <w:rtl/>
        </w:rPr>
        <w:t>بوكش</w:t>
      </w:r>
      <w:proofErr w:type="spellEnd"/>
      <w:r w:rsidRPr="00796E70">
        <w:rPr>
          <w:rFonts w:ascii="Arabic Typesetting" w:hAnsi="Arabic Typesetting" w:cs="Arabic Typesetting" w:hint="cs"/>
          <w:sz w:val="34"/>
          <w:szCs w:val="34"/>
          <w:rtl/>
        </w:rPr>
        <w:t xml:space="preserve"> ومبنى معاهدة التعاون بشأن البراءات والمبنى الجديد و</w:t>
      </w:r>
      <w:r w:rsidRPr="00796E70">
        <w:rPr>
          <w:rFonts w:ascii="Arabic Typesetting" w:hAnsi="Arabic Typesetting" w:cs="Arabic Typesetting" w:hint="cs"/>
          <w:sz w:val="34"/>
          <w:szCs w:val="34"/>
          <w:rtl/>
          <w:lang w:val="fr-CH"/>
        </w:rPr>
        <w:t>قاعة الويبو الجديدة للمؤتمرات</w:t>
      </w:r>
      <w:r w:rsidRPr="00796E70">
        <w:rPr>
          <w:rFonts w:ascii="Arabic Typesetting" w:hAnsi="Arabic Typesetting" w:cs="Arabic Typesetting" w:hint="cs"/>
          <w:sz w:val="34"/>
          <w:szCs w:val="34"/>
          <w:rtl/>
        </w:rPr>
        <w:t xml:space="preserve">، وقد </w:t>
      </w:r>
      <w:r w:rsidR="007642ED">
        <w:rPr>
          <w:rFonts w:ascii="Arabic Typesetting" w:hAnsi="Arabic Typesetting" w:cs="Arabic Typesetting" w:hint="cs"/>
          <w:sz w:val="34"/>
          <w:szCs w:val="34"/>
          <w:rtl/>
        </w:rPr>
        <w:t>تسنى خفض</w:t>
      </w:r>
      <w:r w:rsidRPr="00796E70">
        <w:rPr>
          <w:rFonts w:ascii="Arabic Typesetting" w:hAnsi="Arabic Typesetting" w:cs="Arabic Typesetting" w:hint="cs"/>
          <w:sz w:val="34"/>
          <w:szCs w:val="34"/>
          <w:rtl/>
        </w:rPr>
        <w:t xml:space="preserve"> البعض منها دون تحمّل تكاليف كبيرة و/أو بتحمّل أدنى التكاليف في الحالات التي أمكن فيها إدراج ذلك ضمن تحسين بنية تحتية أو تجهيزات</w:t>
      </w:r>
      <w:r w:rsidRPr="00796E70">
        <w:rPr>
          <w:rFonts w:ascii="Arabic Typesetting" w:hAnsi="Arabic Typesetting" w:cs="Arabic Typesetting" w:hint="eastAsia"/>
          <w:sz w:val="34"/>
          <w:szCs w:val="34"/>
          <w:rtl/>
        </w:rPr>
        <w:t> </w:t>
      </w:r>
      <w:r w:rsidRPr="00796E70">
        <w:rPr>
          <w:rFonts w:ascii="Arabic Typesetting" w:hAnsi="Arabic Typesetting" w:cs="Arabic Typesetting" w:hint="cs"/>
          <w:sz w:val="34"/>
          <w:szCs w:val="34"/>
          <w:rtl/>
        </w:rPr>
        <w:t>أخرى.</w:t>
      </w:r>
      <w:r>
        <w:rPr>
          <w:rFonts w:ascii="Arabic Typesetting" w:hAnsi="Arabic Typesetting" w:cs="Arabic Typesetting" w:hint="cs"/>
          <w:sz w:val="34"/>
          <w:szCs w:val="34"/>
          <w:rtl/>
        </w:rPr>
        <w:t xml:space="preserve"> وفضلاً عن ذلك، نظم عرض في عام 2015 للموظفين وممثلي الوكالات الأخرى التابعة للأمم المتحدة والقائمة في جنيف بشأن التحسينات المدخلة في مختلف المباني وتبادل الخبرات عن المنهجية المستخدمة لانتقاء التدابير وتنفيذها.</w:t>
      </w:r>
    </w:p>
    <w:p w:rsidR="005C60D6" w:rsidRPr="00526915" w:rsidRDefault="005C60D6"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sidRPr="00526915">
        <w:rPr>
          <w:rFonts w:ascii="Arabic Typesetting" w:hAnsi="Arabic Typesetting" w:cs="Arabic Typesetting" w:hint="cs"/>
          <w:sz w:val="34"/>
          <w:szCs w:val="34"/>
          <w:rtl/>
          <w:lang w:val="fr-CH"/>
        </w:rPr>
        <w:lastRenderedPageBreak/>
        <w:t xml:space="preserve">وفي إطار </w:t>
      </w:r>
      <w:r w:rsidR="00F745D6" w:rsidRPr="00526915">
        <w:rPr>
          <w:rFonts w:ascii="Arabic Typesetting" w:hAnsi="Arabic Typesetting" w:cs="Arabic Typesetting" w:hint="cs"/>
          <w:sz w:val="34"/>
          <w:szCs w:val="34"/>
          <w:rtl/>
          <w:lang w:val="fr-CH"/>
        </w:rPr>
        <w:t xml:space="preserve">مبادرة </w:t>
      </w:r>
      <w:r w:rsidRPr="00526915">
        <w:rPr>
          <w:rFonts w:ascii="Arabic Typesetting" w:hAnsi="Arabic Typesetting" w:cs="Arabic Typesetting" w:hint="cs"/>
          <w:sz w:val="34"/>
          <w:szCs w:val="34"/>
          <w:rtl/>
          <w:lang w:val="fr-CH"/>
        </w:rPr>
        <w:t xml:space="preserve">مسؤولية الويبو البيئية اضطُلع، </w:t>
      </w:r>
      <w:r w:rsidR="00F745D6" w:rsidRPr="00526915">
        <w:rPr>
          <w:rFonts w:ascii="Arabic Typesetting" w:hAnsi="Arabic Typesetting" w:cs="Arabic Typesetting" w:hint="cs"/>
          <w:sz w:val="34"/>
          <w:szCs w:val="34"/>
          <w:rtl/>
          <w:lang w:val="fr-CH"/>
        </w:rPr>
        <w:t>خلال الثنائية</w:t>
      </w:r>
      <w:r w:rsidRPr="00526915">
        <w:rPr>
          <w:rFonts w:ascii="Arabic Typesetting" w:hAnsi="Arabic Typesetting" w:cs="Arabic Typesetting" w:hint="cs"/>
          <w:sz w:val="34"/>
          <w:szCs w:val="34"/>
          <w:rtl/>
          <w:lang w:val="fr-CH"/>
        </w:rPr>
        <w:t xml:space="preserve">، بعدد من الأنشطة الرامية إلى </w:t>
      </w:r>
      <w:r w:rsidR="00F745D6" w:rsidRPr="00526915">
        <w:rPr>
          <w:rFonts w:ascii="Arabic Typesetting" w:hAnsi="Arabic Typesetting" w:cs="Arabic Typesetting" w:hint="cs"/>
          <w:sz w:val="34"/>
          <w:szCs w:val="34"/>
          <w:rtl/>
          <w:lang w:val="fr-CH"/>
        </w:rPr>
        <w:t>توعية</w:t>
      </w:r>
      <w:r w:rsidRPr="00526915">
        <w:rPr>
          <w:rFonts w:ascii="Arabic Typesetting" w:hAnsi="Arabic Typesetting" w:cs="Arabic Typesetting" w:hint="cs"/>
          <w:sz w:val="34"/>
          <w:szCs w:val="34"/>
          <w:rtl/>
          <w:lang w:val="fr-CH"/>
        </w:rPr>
        <w:t xml:space="preserve"> الموظفين بالبيئة و/أو اتخاذ إجراءات ملموسة وعملية.</w:t>
      </w:r>
      <w:r w:rsidR="00F745D6" w:rsidRPr="00526915">
        <w:rPr>
          <w:rFonts w:ascii="Arabic Typesetting" w:hAnsi="Arabic Typesetting" w:cs="Arabic Typesetting" w:hint="cs"/>
          <w:sz w:val="34"/>
          <w:szCs w:val="34"/>
          <w:rtl/>
          <w:lang w:val="fr-CH"/>
        </w:rPr>
        <w:t xml:space="preserve"> وتعلقت تلك الإجراءات بمسائل مرتبطة بالمباني واستخدام وسائل بديلة للتنقل إلى العمل ومنه. وشملت المسائل المرتبطة بالمباني ما يلي: "1" </w:t>
      </w:r>
      <w:r w:rsidRPr="00526915">
        <w:rPr>
          <w:rFonts w:ascii="Arabic Typesetting" w:hAnsi="Arabic Typesetting" w:cs="Arabic Typesetting" w:hint="cs"/>
          <w:sz w:val="34"/>
          <w:szCs w:val="34"/>
          <w:rtl/>
          <w:lang w:val="fr-CH"/>
        </w:rPr>
        <w:t>تحديث التجهيزات التقنية لتمكينها من توفير حلول تراعي أكثر الجانب البيئي</w:t>
      </w:r>
      <w:r w:rsidR="00F745D6" w:rsidRPr="00526915">
        <w:rPr>
          <w:rFonts w:ascii="Arabic Typesetting" w:hAnsi="Arabic Typesetting" w:cs="Arabic Typesetting" w:hint="cs"/>
          <w:sz w:val="34"/>
          <w:szCs w:val="34"/>
          <w:rtl/>
          <w:lang w:val="fr-CH"/>
        </w:rPr>
        <w:t>؛ "2" </w:t>
      </w:r>
      <w:r w:rsidRPr="00526915">
        <w:rPr>
          <w:rFonts w:ascii="Arabic Typesetting" w:hAnsi="Arabic Typesetting" w:cs="Arabic Typesetting" w:hint="cs"/>
          <w:sz w:val="34"/>
          <w:szCs w:val="34"/>
          <w:rtl/>
          <w:lang w:val="fr-CH"/>
        </w:rPr>
        <w:t>وتحديث التجهيزات الكهربائية، والحد من استهلاك الكهرباء في ظلّ اتفاق مع مورّد الكهرباء المحلي</w:t>
      </w:r>
      <w:r w:rsidR="00F745D6" w:rsidRPr="00526915">
        <w:rPr>
          <w:rFonts w:ascii="Arabic Typesetting" w:hAnsi="Arabic Typesetting" w:cs="Arabic Typesetting" w:hint="cs"/>
          <w:sz w:val="34"/>
          <w:szCs w:val="34"/>
          <w:rtl/>
          <w:lang w:val="fr-CH"/>
        </w:rPr>
        <w:t xml:space="preserve"> حتى عام 2014؛</w:t>
      </w:r>
      <w:r w:rsidRPr="00526915">
        <w:rPr>
          <w:rFonts w:ascii="Arabic Typesetting" w:hAnsi="Arabic Typesetting" w:cs="Arabic Typesetting" w:hint="cs"/>
          <w:sz w:val="34"/>
          <w:szCs w:val="34"/>
          <w:rtl/>
          <w:lang w:val="fr-CH"/>
        </w:rPr>
        <w:t xml:space="preserve"> </w:t>
      </w:r>
      <w:r w:rsidR="00F745D6" w:rsidRPr="00526915">
        <w:rPr>
          <w:rFonts w:ascii="Arabic Typesetting" w:hAnsi="Arabic Typesetting" w:cs="Arabic Typesetting" w:hint="cs"/>
          <w:sz w:val="34"/>
          <w:szCs w:val="34"/>
          <w:rtl/>
          <w:lang w:val="fr-CH"/>
        </w:rPr>
        <w:t>"3" </w:t>
      </w:r>
      <w:r w:rsidRPr="00526915">
        <w:rPr>
          <w:rFonts w:ascii="Arabic Typesetting" w:hAnsi="Arabic Typesetting" w:cs="Arabic Typesetting" w:hint="cs"/>
          <w:sz w:val="34"/>
          <w:szCs w:val="34"/>
          <w:rtl/>
          <w:lang w:val="fr-CH"/>
        </w:rPr>
        <w:t>وتجديد التعريفة الكهربائية الخاصة بالمبنى الجديد بتوخي أعلى نسبة من المساهمة في إنتاج الكهرباء المتجددة في كانتون جنيف</w:t>
      </w:r>
      <w:r w:rsidR="00F745D6" w:rsidRPr="00526915">
        <w:rPr>
          <w:rFonts w:ascii="Arabic Typesetting" w:hAnsi="Arabic Typesetting" w:cs="Arabic Typesetting" w:hint="cs"/>
          <w:sz w:val="34"/>
          <w:szCs w:val="34"/>
          <w:rtl/>
          <w:lang w:val="fr-CH"/>
        </w:rPr>
        <w:t xml:space="preserve"> في عام 2014؛ "4" ووضع خطة جديدة مراعية للبيئة مع مزود كهرباء جديد منذ عام 2015. وشملت الأنشطة المتعلقة بالوسائل البديلة للتنقل ما يلي: "1" </w:t>
      </w:r>
      <w:r w:rsidRPr="00526915">
        <w:rPr>
          <w:rFonts w:ascii="Arabic Typesetting" w:hAnsi="Arabic Typesetting" w:cs="Arabic Typesetting"/>
          <w:sz w:val="34"/>
          <w:szCs w:val="34"/>
          <w:rtl/>
          <w:lang w:val="fr-CH"/>
        </w:rPr>
        <w:t xml:space="preserve">تحديد أيام أو </w:t>
      </w:r>
      <w:r w:rsidRPr="00526915">
        <w:rPr>
          <w:rFonts w:ascii="Arabic Typesetting" w:hAnsi="Arabic Typesetting" w:cs="Arabic Typesetting" w:hint="cs"/>
          <w:sz w:val="34"/>
          <w:szCs w:val="34"/>
          <w:rtl/>
          <w:lang w:val="fr-CH"/>
        </w:rPr>
        <w:t>أ</w:t>
      </w:r>
      <w:r w:rsidRPr="00526915">
        <w:rPr>
          <w:rFonts w:ascii="Arabic Typesetting" w:hAnsi="Arabic Typesetting" w:cs="Arabic Typesetting"/>
          <w:sz w:val="34"/>
          <w:szCs w:val="34"/>
          <w:rtl/>
          <w:lang w:val="fr-CH"/>
        </w:rPr>
        <w:t>شهر لاستخدام وسائل النقل العمومي</w:t>
      </w:r>
      <w:r w:rsidR="00F745D6" w:rsidRPr="00526915">
        <w:rPr>
          <w:rFonts w:ascii="Arabic Typesetting" w:hAnsi="Arabic Typesetting" w:cs="Arabic Typesetting" w:hint="cs"/>
          <w:sz w:val="34"/>
          <w:szCs w:val="34"/>
          <w:rtl/>
          <w:lang w:val="fr-CH"/>
        </w:rPr>
        <w:t>؛ "2" </w:t>
      </w:r>
      <w:r w:rsidRPr="00526915">
        <w:rPr>
          <w:rFonts w:ascii="Arabic Typesetting" w:hAnsi="Arabic Typesetting" w:cs="Arabic Typesetting"/>
          <w:sz w:val="34"/>
          <w:szCs w:val="34"/>
          <w:rtl/>
          <w:lang w:val="fr-CH"/>
        </w:rPr>
        <w:t>وتقديم خدمات مجانية لاستئجار الدراجات الكهربائية</w:t>
      </w:r>
      <w:r w:rsidR="00F745D6" w:rsidRPr="00526915">
        <w:rPr>
          <w:rFonts w:ascii="Arabic Typesetting" w:hAnsi="Arabic Typesetting" w:cs="Arabic Typesetting" w:hint="cs"/>
          <w:sz w:val="34"/>
          <w:szCs w:val="34"/>
          <w:rtl/>
          <w:lang w:val="fr-CH"/>
        </w:rPr>
        <w:t>؛ "3" </w:t>
      </w:r>
      <w:r w:rsidRPr="00526915">
        <w:rPr>
          <w:rFonts w:ascii="Arabic Typesetting" w:hAnsi="Arabic Typesetting" w:cs="Arabic Typesetting"/>
          <w:sz w:val="34"/>
          <w:szCs w:val="34"/>
          <w:rtl/>
          <w:lang w:val="fr-CH"/>
        </w:rPr>
        <w:t>وإصلاح</w:t>
      </w:r>
      <w:r w:rsidRPr="00526915">
        <w:rPr>
          <w:rFonts w:ascii="Arabic Typesetting" w:hAnsi="Arabic Typesetting" w:cs="Arabic Typesetting" w:hint="cs"/>
          <w:sz w:val="34"/>
          <w:szCs w:val="34"/>
          <w:rtl/>
          <w:lang w:val="fr-CH"/>
        </w:rPr>
        <w:t xml:space="preserve"> الدراجات</w:t>
      </w:r>
      <w:r w:rsidRPr="00526915">
        <w:rPr>
          <w:rFonts w:ascii="Arabic Typesetting" w:hAnsi="Arabic Typesetting" w:cs="Arabic Typesetting"/>
          <w:sz w:val="34"/>
          <w:szCs w:val="34"/>
          <w:rtl/>
          <w:lang w:val="fr-CH"/>
        </w:rPr>
        <w:t>.</w:t>
      </w:r>
      <w:r w:rsidRPr="00526915">
        <w:rPr>
          <w:rFonts w:ascii="Arabic Typesetting" w:hAnsi="Arabic Typesetting" w:cs="Arabic Typesetting" w:hint="cs"/>
          <w:sz w:val="34"/>
          <w:szCs w:val="34"/>
          <w:rtl/>
          <w:lang w:val="fr-CH"/>
        </w:rPr>
        <w:t xml:space="preserve"> </w:t>
      </w:r>
      <w:r w:rsidR="00F745D6" w:rsidRPr="00526915">
        <w:rPr>
          <w:rFonts w:ascii="Arabic Typesetting" w:hAnsi="Arabic Typesetting" w:cs="Arabic Typesetting" w:hint="cs"/>
          <w:sz w:val="34"/>
          <w:szCs w:val="34"/>
          <w:rtl/>
          <w:lang w:val="fr-CH"/>
        </w:rPr>
        <w:t>و</w:t>
      </w:r>
      <w:r w:rsidRPr="00526915">
        <w:rPr>
          <w:rFonts w:ascii="Arabic Typesetting" w:hAnsi="Arabic Typesetting" w:cs="Arabic Typesetting"/>
          <w:sz w:val="34"/>
          <w:szCs w:val="34"/>
          <w:rtl/>
          <w:lang w:val="fr-CH"/>
        </w:rPr>
        <w:t>شاركت الويبو</w:t>
      </w:r>
      <w:r w:rsidR="00F745D6" w:rsidRPr="00526915">
        <w:rPr>
          <w:rFonts w:ascii="Arabic Typesetting" w:hAnsi="Arabic Typesetting" w:cs="Arabic Typesetting" w:hint="cs"/>
          <w:sz w:val="34"/>
          <w:szCs w:val="34"/>
          <w:rtl/>
          <w:lang w:val="fr-CH"/>
        </w:rPr>
        <w:t xml:space="preserve"> أيضاً</w:t>
      </w:r>
      <w:r w:rsidRPr="00526915">
        <w:rPr>
          <w:rFonts w:ascii="Arabic Typesetting" w:hAnsi="Arabic Typesetting" w:cs="Arabic Typesetting"/>
          <w:sz w:val="34"/>
          <w:szCs w:val="34"/>
          <w:rtl/>
          <w:lang w:val="fr-CH"/>
        </w:rPr>
        <w:t xml:space="preserve"> في عدد من المبادرات المشتركة بين وكالات الأمم المتحدة، عن طريق برنامج الأمم المتحدة للبيئة ومبادرة الأمم المتحدة المستدامة (</w:t>
      </w:r>
      <w:r w:rsidRPr="00526915">
        <w:rPr>
          <w:rFonts w:ascii="Arabic Typesetting" w:hAnsi="Arabic Typesetting" w:cs="Arabic Typesetting" w:hint="cs"/>
          <w:sz w:val="34"/>
          <w:szCs w:val="34"/>
          <w:rtl/>
          <w:lang w:val="fr-CH"/>
        </w:rPr>
        <w:t>"</w:t>
      </w:r>
      <w:r w:rsidRPr="00526915">
        <w:rPr>
          <w:rFonts w:ascii="Arabic Typesetting" w:hAnsi="Arabic Typesetting" w:cs="Arabic Typesetting"/>
          <w:sz w:val="34"/>
          <w:szCs w:val="34"/>
          <w:lang w:val="fr-CH"/>
        </w:rPr>
        <w:t>SUN</w:t>
      </w:r>
      <w:r w:rsidRPr="00526915">
        <w:rPr>
          <w:rFonts w:ascii="Arabic Typesetting" w:hAnsi="Arabic Typesetting" w:cs="Arabic Typesetting" w:hint="cs"/>
          <w:sz w:val="34"/>
          <w:szCs w:val="34"/>
          <w:rtl/>
          <w:lang w:val="fr-CH"/>
        </w:rPr>
        <w:t>"</w:t>
      </w:r>
      <w:r w:rsidRPr="00526915">
        <w:rPr>
          <w:rFonts w:ascii="Arabic Typesetting" w:hAnsi="Arabic Typesetting" w:cs="Arabic Typesetting"/>
          <w:sz w:val="34"/>
          <w:szCs w:val="34"/>
          <w:rtl/>
          <w:lang w:val="fr-CH"/>
        </w:rPr>
        <w:t>)</w:t>
      </w:r>
      <w:r w:rsidR="00F745D6" w:rsidRPr="00526915">
        <w:rPr>
          <w:rFonts w:ascii="Arabic Typesetting" w:hAnsi="Arabic Typesetting" w:cs="Arabic Typesetting" w:hint="cs"/>
          <w:sz w:val="34"/>
          <w:szCs w:val="34"/>
          <w:rtl/>
          <w:lang w:val="fr-CH"/>
        </w:rPr>
        <w:t xml:space="preserve"> ولا سيما </w:t>
      </w:r>
      <w:r w:rsidRPr="00526915">
        <w:rPr>
          <w:rFonts w:ascii="Arabic Typesetting" w:hAnsi="Arabic Typesetting" w:cs="Arabic Typesetting"/>
          <w:sz w:val="34"/>
          <w:szCs w:val="34"/>
          <w:rtl/>
          <w:lang w:val="fr-CH"/>
        </w:rPr>
        <w:t xml:space="preserve">المشاركة في </w:t>
      </w:r>
      <w:r w:rsidRPr="00526915">
        <w:rPr>
          <w:rFonts w:ascii="Arabic Typesetting" w:hAnsi="Arabic Typesetting" w:cs="Arabic Typesetting" w:hint="cs"/>
          <w:sz w:val="34"/>
          <w:szCs w:val="34"/>
          <w:rtl/>
          <w:lang w:val="fr-CH"/>
        </w:rPr>
        <w:t>ال</w:t>
      </w:r>
      <w:r w:rsidRPr="00526915">
        <w:rPr>
          <w:rFonts w:ascii="Arabic Typesetting" w:hAnsi="Arabic Typesetting" w:cs="Arabic Typesetting"/>
          <w:sz w:val="34"/>
          <w:szCs w:val="34"/>
          <w:rtl/>
          <w:lang w:val="fr-CH"/>
        </w:rPr>
        <w:t xml:space="preserve">جمع </w:t>
      </w:r>
      <w:r w:rsidRPr="00526915">
        <w:rPr>
          <w:rFonts w:ascii="Arabic Typesetting" w:hAnsi="Arabic Typesetting" w:cs="Arabic Typesetting" w:hint="cs"/>
          <w:sz w:val="34"/>
          <w:szCs w:val="34"/>
          <w:rtl/>
          <w:lang w:val="fr-CH"/>
        </w:rPr>
        <w:t>السنوي لل</w:t>
      </w:r>
      <w:r w:rsidRPr="00526915">
        <w:rPr>
          <w:rFonts w:ascii="Arabic Typesetting" w:hAnsi="Arabic Typesetting" w:cs="Arabic Typesetting"/>
          <w:sz w:val="34"/>
          <w:szCs w:val="34"/>
          <w:rtl/>
          <w:lang w:val="fr-CH"/>
        </w:rPr>
        <w:t>بيانات ل</w:t>
      </w:r>
      <w:r w:rsidRPr="00526915">
        <w:rPr>
          <w:rFonts w:ascii="Arabic Typesetting" w:hAnsi="Arabic Typesetting" w:cs="Arabic Typesetting" w:hint="cs"/>
          <w:sz w:val="34"/>
          <w:szCs w:val="34"/>
          <w:rtl/>
          <w:lang w:val="fr-CH"/>
        </w:rPr>
        <w:t xml:space="preserve">حاسب </w:t>
      </w:r>
      <w:r w:rsidR="00781F2F">
        <w:rPr>
          <w:rFonts w:ascii="Arabic Typesetting" w:hAnsi="Arabic Typesetting" w:cs="Arabic Typesetting" w:hint="cs"/>
          <w:sz w:val="34"/>
          <w:szCs w:val="34"/>
          <w:rtl/>
          <w:lang w:val="fr-CH"/>
        </w:rPr>
        <w:t>ال</w:t>
      </w:r>
      <w:r w:rsidRPr="00526915">
        <w:rPr>
          <w:rFonts w:ascii="Arabic Typesetting" w:hAnsi="Arabic Typesetting" w:cs="Arabic Typesetting"/>
          <w:sz w:val="34"/>
          <w:szCs w:val="34"/>
          <w:rtl/>
          <w:lang w:val="fr-CH"/>
        </w:rPr>
        <w:t xml:space="preserve">غازات </w:t>
      </w:r>
      <w:r w:rsidRPr="00526915">
        <w:rPr>
          <w:rFonts w:ascii="Arabic Typesetting" w:hAnsi="Arabic Typesetting" w:cs="Arabic Typesetting" w:hint="cs"/>
          <w:sz w:val="34"/>
          <w:szCs w:val="34"/>
          <w:rtl/>
          <w:lang w:val="fr-CH"/>
        </w:rPr>
        <w:t>الدفيئة</w:t>
      </w:r>
      <w:r w:rsidRPr="00526915">
        <w:rPr>
          <w:rFonts w:ascii="Arabic Typesetting" w:hAnsi="Arabic Typesetting" w:cs="Arabic Typesetting"/>
          <w:sz w:val="34"/>
          <w:szCs w:val="34"/>
          <w:rtl/>
          <w:lang w:val="fr-CH"/>
        </w:rPr>
        <w:t>،</w:t>
      </w:r>
      <w:r w:rsidRPr="00526915">
        <w:rPr>
          <w:rFonts w:ascii="Arabic Typesetting" w:hAnsi="Arabic Typesetting" w:cs="Arabic Typesetting" w:hint="cs"/>
          <w:sz w:val="34"/>
          <w:szCs w:val="34"/>
          <w:rtl/>
          <w:lang w:val="fr-CH"/>
        </w:rPr>
        <w:t xml:space="preserve"> فضلا</w:t>
      </w:r>
      <w:r w:rsidR="00F745D6" w:rsidRPr="00526915">
        <w:rPr>
          <w:rFonts w:ascii="Arabic Typesetting" w:hAnsi="Arabic Typesetting" w:cs="Arabic Typesetting" w:hint="cs"/>
          <w:sz w:val="34"/>
          <w:szCs w:val="34"/>
          <w:rtl/>
          <w:lang w:val="fr-CH"/>
        </w:rPr>
        <w:t>ً</w:t>
      </w:r>
      <w:r w:rsidRPr="00526915">
        <w:rPr>
          <w:rFonts w:ascii="Arabic Typesetting" w:hAnsi="Arabic Typesetting" w:cs="Arabic Typesetting" w:hint="cs"/>
          <w:sz w:val="34"/>
          <w:szCs w:val="34"/>
          <w:rtl/>
          <w:lang w:val="fr-CH"/>
        </w:rPr>
        <w:t xml:space="preserve"> عن المشاركة في اجتماعات ومنتديات مختلفة.</w:t>
      </w:r>
      <w:r w:rsidR="00F745D6" w:rsidRPr="00526915">
        <w:rPr>
          <w:rFonts w:ascii="Arabic Typesetting" w:hAnsi="Arabic Typesetting" w:cs="Arabic Typesetting" w:hint="cs"/>
          <w:sz w:val="34"/>
          <w:szCs w:val="34"/>
          <w:rtl/>
          <w:lang w:val="fr-CH"/>
        </w:rPr>
        <w:t xml:space="preserve"> ووفاءً بالتزام الويبو بخفض انبعاثات الكربون، عُقد الاجتماع السنوي</w:t>
      </w:r>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sz w:val="34"/>
          <w:szCs w:val="34"/>
          <w:rtl/>
          <w:lang w:val="fr-CH"/>
        </w:rPr>
        <w:t>ا</w:t>
      </w:r>
      <w:r w:rsidR="00781F2F">
        <w:rPr>
          <w:rFonts w:ascii="Arabic Typesetting" w:hAnsi="Arabic Typesetting" w:cs="Arabic Typesetting" w:hint="cs"/>
          <w:sz w:val="34"/>
          <w:szCs w:val="34"/>
          <w:rtl/>
          <w:lang w:val="fr-CH"/>
        </w:rPr>
        <w:t>ﳌﺸﺘﺮك</w:t>
      </w:r>
      <w:proofErr w:type="spellEnd"/>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hint="cs"/>
          <w:sz w:val="34"/>
          <w:szCs w:val="34"/>
          <w:rtl/>
          <w:lang w:val="fr-CH"/>
        </w:rPr>
        <w:t>ﺑﲔ</w:t>
      </w:r>
      <w:proofErr w:type="spellEnd"/>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sz w:val="34"/>
          <w:szCs w:val="34"/>
          <w:rtl/>
          <w:lang w:val="fr-CH"/>
        </w:rPr>
        <w:t>ا</w:t>
      </w:r>
      <w:r w:rsidR="00F745D6" w:rsidRPr="00526915">
        <w:rPr>
          <w:rFonts w:ascii="Arabic Typesetting" w:hAnsi="Arabic Typesetting" w:cs="Arabic Typesetting" w:hint="cs"/>
          <w:sz w:val="34"/>
          <w:szCs w:val="34"/>
          <w:rtl/>
          <w:lang w:val="fr-CH"/>
        </w:rPr>
        <w:t>ﻟﻮﻛﺎﻻ</w:t>
      </w:r>
      <w:r w:rsidR="00F745D6" w:rsidRPr="00526915">
        <w:rPr>
          <w:rFonts w:ascii="Arabic Typesetting" w:hAnsi="Arabic Typesetting" w:cs="Arabic Typesetting" w:hint="eastAsia"/>
          <w:sz w:val="34"/>
          <w:szCs w:val="34"/>
          <w:rtl/>
          <w:lang w:val="fr-CH"/>
        </w:rPr>
        <w:t>ت</w:t>
      </w:r>
      <w:proofErr w:type="spellEnd"/>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hint="cs"/>
          <w:sz w:val="34"/>
          <w:szCs w:val="34"/>
          <w:rtl/>
          <w:lang w:val="fr-CH"/>
        </w:rPr>
        <w:t>ﺑﺸﺄ</w:t>
      </w:r>
      <w:r w:rsidR="00F745D6" w:rsidRPr="00526915">
        <w:rPr>
          <w:rFonts w:ascii="Arabic Typesetting" w:hAnsi="Arabic Typesetting" w:cs="Arabic Typesetting" w:hint="eastAsia"/>
          <w:sz w:val="34"/>
          <w:szCs w:val="34"/>
          <w:rtl/>
          <w:lang w:val="fr-CH"/>
        </w:rPr>
        <w:t>ن</w:t>
      </w:r>
      <w:proofErr w:type="spellEnd"/>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sz w:val="34"/>
          <w:szCs w:val="34"/>
          <w:rtl/>
          <w:lang w:val="fr-CH"/>
        </w:rPr>
        <w:t>ا</w:t>
      </w:r>
      <w:r w:rsidR="00F745D6" w:rsidRPr="00526915">
        <w:rPr>
          <w:rFonts w:ascii="Arabic Typesetting" w:hAnsi="Arabic Typesetting" w:cs="Arabic Typesetting" w:hint="cs"/>
          <w:sz w:val="34"/>
          <w:szCs w:val="34"/>
          <w:rtl/>
          <w:lang w:val="fr-CH"/>
        </w:rPr>
        <w:t>ﻟﺘﺮﺗﻴﺒﺎ</w:t>
      </w:r>
      <w:r w:rsidR="00F745D6" w:rsidRPr="00526915">
        <w:rPr>
          <w:rFonts w:ascii="Arabic Typesetting" w:hAnsi="Arabic Typesetting" w:cs="Arabic Typesetting" w:hint="eastAsia"/>
          <w:sz w:val="34"/>
          <w:szCs w:val="34"/>
          <w:rtl/>
          <w:lang w:val="fr-CH"/>
        </w:rPr>
        <w:t>ت</w:t>
      </w:r>
      <w:proofErr w:type="spellEnd"/>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sz w:val="34"/>
          <w:szCs w:val="34"/>
          <w:rtl/>
          <w:lang w:val="fr-CH"/>
        </w:rPr>
        <w:t>ا</w:t>
      </w:r>
      <w:r w:rsidR="00F745D6" w:rsidRPr="00526915">
        <w:rPr>
          <w:rFonts w:ascii="Arabic Typesetting" w:hAnsi="Arabic Typesetting" w:cs="Arabic Typesetting" w:hint="cs"/>
          <w:sz w:val="34"/>
          <w:szCs w:val="34"/>
          <w:rtl/>
          <w:lang w:val="fr-CH"/>
        </w:rPr>
        <w:t>ﳋﺎﺻﺔ</w:t>
      </w:r>
      <w:proofErr w:type="spellEnd"/>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hint="cs"/>
          <w:sz w:val="34"/>
          <w:szCs w:val="34"/>
          <w:rtl/>
          <w:lang w:val="fr-CH"/>
        </w:rPr>
        <w:t>ﺑﺎﻟﻠﻐﺎ</w:t>
      </w:r>
      <w:r w:rsidR="00F745D6" w:rsidRPr="00526915">
        <w:rPr>
          <w:rFonts w:ascii="Arabic Typesetting" w:hAnsi="Arabic Typesetting" w:cs="Arabic Typesetting" w:hint="eastAsia"/>
          <w:sz w:val="34"/>
          <w:szCs w:val="34"/>
          <w:rtl/>
          <w:lang w:val="fr-CH"/>
        </w:rPr>
        <w:t>ت</w:t>
      </w:r>
      <w:proofErr w:type="spellEnd"/>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sz w:val="34"/>
          <w:szCs w:val="34"/>
          <w:rtl/>
          <w:lang w:val="fr-CH"/>
        </w:rPr>
        <w:t>وا</w:t>
      </w:r>
      <w:r w:rsidR="00F745D6" w:rsidRPr="00526915">
        <w:rPr>
          <w:rFonts w:ascii="Arabic Typesetting" w:hAnsi="Arabic Typesetting" w:cs="Arabic Typesetting" w:hint="cs"/>
          <w:sz w:val="34"/>
          <w:szCs w:val="34"/>
          <w:rtl/>
          <w:lang w:val="fr-CH"/>
        </w:rPr>
        <w:t>ﻟﻮﺛﺎﺋﻖ</w:t>
      </w:r>
      <w:proofErr w:type="spellEnd"/>
      <w:r w:rsidR="00F745D6" w:rsidRPr="00526915">
        <w:rPr>
          <w:rFonts w:ascii="Arabic Typesetting" w:hAnsi="Arabic Typesetting" w:cs="Arabic Typesetting"/>
          <w:sz w:val="34"/>
          <w:szCs w:val="34"/>
          <w:rtl/>
          <w:lang w:val="fr-CH"/>
        </w:rPr>
        <w:t xml:space="preserve"> </w:t>
      </w:r>
      <w:proofErr w:type="spellStart"/>
      <w:r w:rsidR="00F745D6" w:rsidRPr="00526915">
        <w:rPr>
          <w:rFonts w:ascii="Arabic Typesetting" w:hAnsi="Arabic Typesetting" w:cs="Arabic Typesetting"/>
          <w:sz w:val="34"/>
          <w:szCs w:val="34"/>
          <w:rtl/>
          <w:lang w:val="fr-CH"/>
        </w:rPr>
        <w:t>وا</w:t>
      </w:r>
      <w:r w:rsidR="00F745D6" w:rsidRPr="00526915">
        <w:rPr>
          <w:rFonts w:ascii="Arabic Typesetting" w:hAnsi="Arabic Typesetting" w:cs="Arabic Typesetting" w:hint="cs"/>
          <w:sz w:val="34"/>
          <w:szCs w:val="34"/>
          <w:rtl/>
          <w:lang w:val="fr-CH"/>
        </w:rPr>
        <w:t>ﳌﻄﺒﻮﻋﺎ</w:t>
      </w:r>
      <w:r w:rsidR="00F745D6" w:rsidRPr="00526915">
        <w:rPr>
          <w:rFonts w:ascii="Arabic Typesetting" w:hAnsi="Arabic Typesetting" w:cs="Arabic Typesetting" w:hint="eastAsia"/>
          <w:sz w:val="34"/>
          <w:szCs w:val="34"/>
          <w:rtl/>
          <w:lang w:val="fr-CH"/>
        </w:rPr>
        <w:t>ت</w:t>
      </w:r>
      <w:proofErr w:type="spellEnd"/>
      <w:r w:rsidR="00F745D6" w:rsidRPr="00526915">
        <w:rPr>
          <w:rFonts w:ascii="Arabic Typesetting" w:hAnsi="Arabic Typesetting" w:cs="Arabic Typesetting" w:hint="cs"/>
          <w:sz w:val="34"/>
          <w:szCs w:val="34"/>
          <w:rtl/>
          <w:lang w:val="fr-CH"/>
        </w:rPr>
        <w:t xml:space="preserve">‬ في يونيو 2015 في </w:t>
      </w:r>
      <w:r w:rsidR="0023721A">
        <w:rPr>
          <w:rFonts w:ascii="Arabic Typesetting" w:hAnsi="Arabic Typesetting" w:cs="Arabic Typesetting" w:hint="cs"/>
          <w:sz w:val="34"/>
          <w:szCs w:val="34"/>
          <w:rtl/>
          <w:lang w:val="fr-CH"/>
        </w:rPr>
        <w:t>مجمع</w:t>
      </w:r>
      <w:r w:rsidR="00F745D6" w:rsidRPr="00526915">
        <w:rPr>
          <w:rFonts w:ascii="Arabic Typesetting" w:hAnsi="Arabic Typesetting" w:cs="Arabic Typesetting" w:hint="cs"/>
          <w:sz w:val="34"/>
          <w:szCs w:val="34"/>
          <w:rtl/>
          <w:lang w:val="fr-CH"/>
        </w:rPr>
        <w:t xml:space="preserve"> الويبو</w:t>
      </w:r>
      <w:r w:rsidR="00781F2F">
        <w:rPr>
          <w:rFonts w:ascii="Arabic Typesetting" w:hAnsi="Arabic Typesetting" w:cs="Arabic Typesetting" w:hint="cs"/>
          <w:sz w:val="34"/>
          <w:szCs w:val="34"/>
          <w:rtl/>
          <w:lang w:val="fr-CH"/>
        </w:rPr>
        <w:t>؛</w:t>
      </w:r>
      <w:r w:rsidR="00F745D6" w:rsidRPr="00526915">
        <w:rPr>
          <w:rFonts w:ascii="Arabic Typesetting" w:hAnsi="Arabic Typesetting" w:cs="Arabic Typesetting" w:hint="cs"/>
          <w:sz w:val="34"/>
          <w:szCs w:val="34"/>
          <w:rtl/>
          <w:lang w:val="fr-CH"/>
        </w:rPr>
        <w:t xml:space="preserve"> وأعلن برنامج الأمم المتحدة </w:t>
      </w:r>
      <w:proofErr w:type="spellStart"/>
      <w:r w:rsidR="00F745D6" w:rsidRPr="00526915">
        <w:rPr>
          <w:rFonts w:ascii="Arabic Typesetting" w:hAnsi="Arabic Typesetting" w:cs="Arabic Typesetting" w:hint="cs"/>
          <w:sz w:val="34"/>
          <w:szCs w:val="34"/>
          <w:rtl/>
          <w:lang w:val="fr-CH"/>
        </w:rPr>
        <w:t>للبئة</w:t>
      </w:r>
      <w:proofErr w:type="spellEnd"/>
      <w:r w:rsidR="00F745D6" w:rsidRPr="00526915">
        <w:rPr>
          <w:rFonts w:ascii="Arabic Typesetting" w:hAnsi="Arabic Typesetting" w:cs="Arabic Typesetting" w:hint="cs"/>
          <w:sz w:val="34"/>
          <w:szCs w:val="34"/>
          <w:rtl/>
          <w:lang w:val="fr-CH"/>
        </w:rPr>
        <w:t xml:space="preserve"> أنه اجتماع "أخضر" وفقاً لمعايير الأمم المتحدة. وفضلاً عن ذلك وفي سياق هدف الأمم المتحدة الرامي إلى </w:t>
      </w:r>
      <w:r w:rsidR="00526915" w:rsidRPr="00526915">
        <w:rPr>
          <w:rFonts w:ascii="Arabic Typesetting" w:hAnsi="Arabic Typesetting" w:cs="Arabic Typesetting" w:hint="cs"/>
          <w:sz w:val="34"/>
          <w:szCs w:val="34"/>
          <w:rtl/>
          <w:lang w:val="fr-CH"/>
        </w:rPr>
        <w:t xml:space="preserve">تحييد الكربون بحلول عام 2020 الذي التزمت به الويبو في سبتمبر 2014، اشترت </w:t>
      </w:r>
      <w:r w:rsidR="005E277C">
        <w:rPr>
          <w:rFonts w:ascii="Arabic Typesetting" w:hAnsi="Arabic Typesetting" w:cs="Arabic Typesetting" w:hint="cs"/>
          <w:sz w:val="34"/>
          <w:szCs w:val="34"/>
          <w:rtl/>
          <w:lang w:val="fr-CH"/>
        </w:rPr>
        <w:t>المنظمة</w:t>
      </w:r>
      <w:r w:rsidR="00526915" w:rsidRPr="00526915">
        <w:rPr>
          <w:rFonts w:ascii="Arabic Typesetting" w:hAnsi="Arabic Typesetting" w:cs="Arabic Typesetting" w:hint="cs"/>
          <w:sz w:val="34"/>
          <w:szCs w:val="34"/>
          <w:rtl/>
          <w:lang w:val="fr-CH"/>
        </w:rPr>
        <w:t xml:space="preserve"> شهادات </w:t>
      </w:r>
      <w:r w:rsidR="005E277C">
        <w:rPr>
          <w:rFonts w:ascii="Arabic Typesetting" w:hAnsi="Arabic Typesetting" w:cs="Arabic Typesetting" w:hint="cs"/>
          <w:sz w:val="34"/>
          <w:szCs w:val="34"/>
          <w:rtl/>
          <w:lang w:val="fr-CH"/>
        </w:rPr>
        <w:t>موازنة الكربون عن الفترة 2014-2020</w:t>
      </w:r>
      <w:r w:rsidR="00526915" w:rsidRPr="00526915">
        <w:rPr>
          <w:rFonts w:ascii="Arabic Typesetting" w:hAnsi="Arabic Typesetting" w:cs="Arabic Typesetting" w:hint="cs"/>
          <w:sz w:val="34"/>
          <w:szCs w:val="34"/>
          <w:rtl/>
          <w:lang w:val="fr-CH"/>
        </w:rPr>
        <w:t xml:space="preserve"> </w:t>
      </w:r>
      <w:r w:rsidR="005E277C">
        <w:rPr>
          <w:rFonts w:ascii="Arabic Typesetting" w:hAnsi="Arabic Typesetting" w:cs="Arabic Typesetting" w:hint="cs"/>
          <w:sz w:val="34"/>
          <w:szCs w:val="34"/>
          <w:rtl/>
          <w:lang w:val="fr-CH"/>
        </w:rPr>
        <w:t>بناء على</w:t>
      </w:r>
      <w:r w:rsidR="00526915" w:rsidRPr="00526915">
        <w:rPr>
          <w:rFonts w:ascii="Arabic Typesetting" w:hAnsi="Arabic Typesetting" w:cs="Arabic Typesetting" w:hint="cs"/>
          <w:sz w:val="34"/>
          <w:szCs w:val="34"/>
          <w:rtl/>
          <w:lang w:val="fr-CH"/>
        </w:rPr>
        <w:t xml:space="preserve"> </w:t>
      </w:r>
      <w:r w:rsidR="00526915" w:rsidRPr="00526915">
        <w:rPr>
          <w:rFonts w:ascii="Arabic Typesetting" w:hAnsi="Arabic Typesetting" w:cs="Arabic Typesetting"/>
          <w:sz w:val="34"/>
          <w:szCs w:val="34"/>
          <w:rtl/>
          <w:lang w:val="fr-CH"/>
        </w:rPr>
        <w:t>اتفاقية ال</w:t>
      </w:r>
      <w:r w:rsidR="00B774EF">
        <w:rPr>
          <w:rFonts w:ascii="Arabic Typesetting" w:hAnsi="Arabic Typesetting" w:cs="Arabic Typesetting"/>
          <w:sz w:val="34"/>
          <w:szCs w:val="34"/>
          <w:rtl/>
          <w:lang w:val="fr-CH"/>
        </w:rPr>
        <w:t>أمم المتحدة ال</w:t>
      </w:r>
      <w:r w:rsidR="00B774EF">
        <w:rPr>
          <w:rFonts w:ascii="Arabic Typesetting" w:hAnsi="Arabic Typesetting" w:cs="Arabic Typesetting" w:hint="cs"/>
          <w:sz w:val="34"/>
          <w:szCs w:val="34"/>
          <w:rtl/>
          <w:lang w:val="fr-CH"/>
        </w:rPr>
        <w:t>إ</w:t>
      </w:r>
      <w:r w:rsidR="00526915" w:rsidRPr="00526915">
        <w:rPr>
          <w:rFonts w:ascii="Arabic Typesetting" w:hAnsi="Arabic Typesetting" w:cs="Arabic Typesetting"/>
          <w:sz w:val="34"/>
          <w:szCs w:val="34"/>
          <w:rtl/>
          <w:lang w:val="fr-CH"/>
        </w:rPr>
        <w:t xml:space="preserve">طارية بشأن تغير </w:t>
      </w:r>
      <w:r w:rsidR="005E277C">
        <w:rPr>
          <w:rFonts w:ascii="Arabic Typesetting" w:hAnsi="Arabic Typesetting" w:cs="Arabic Typesetting" w:hint="cs"/>
          <w:sz w:val="34"/>
          <w:szCs w:val="34"/>
          <w:rtl/>
          <w:lang w:val="fr-CH"/>
        </w:rPr>
        <w:t>المناخ</w:t>
      </w:r>
      <w:r w:rsidR="00526915" w:rsidRPr="00526915">
        <w:rPr>
          <w:rFonts w:ascii="Arabic Typesetting" w:hAnsi="Arabic Typesetting" w:cs="Arabic Typesetting" w:hint="cs"/>
          <w:sz w:val="34"/>
          <w:szCs w:val="34"/>
          <w:rtl/>
          <w:lang w:val="fr-CH"/>
        </w:rPr>
        <w:t>.</w:t>
      </w:r>
      <w:r w:rsidR="00526915">
        <w:rPr>
          <w:rFonts w:ascii="Arabic Typesetting" w:hAnsi="Arabic Typesetting" w:cs="Arabic Typesetting" w:hint="cs"/>
          <w:sz w:val="34"/>
          <w:szCs w:val="34"/>
          <w:rtl/>
          <w:lang w:val="fr-CH"/>
        </w:rPr>
        <w:t xml:space="preserve"> وحُسبت هذه الشهادات على أساس البيانات المستخدمة في حاسب الغازات الدفيئة لعام 2014 الذي وضعه برنامج الأمم المتحدة للبيئة لأغراض إسهام الأمم المتحدة في الدورة الحادية والعشرين ل</w:t>
      </w:r>
      <w:r w:rsidR="00526915" w:rsidRPr="00526915">
        <w:rPr>
          <w:rFonts w:ascii="Arabic Typesetting" w:hAnsi="Arabic Typesetting" w:cs="Arabic Typesetting"/>
          <w:sz w:val="34"/>
          <w:szCs w:val="34"/>
          <w:rtl/>
          <w:lang w:val="fr-CH"/>
        </w:rPr>
        <w:t>اتفاقية الأمم ال</w:t>
      </w:r>
      <w:r w:rsidR="00B774EF">
        <w:rPr>
          <w:rFonts w:ascii="Arabic Typesetting" w:hAnsi="Arabic Typesetting" w:cs="Arabic Typesetting"/>
          <w:sz w:val="34"/>
          <w:szCs w:val="34"/>
          <w:rtl/>
          <w:lang w:val="fr-CH"/>
        </w:rPr>
        <w:t>متحدة ال</w:t>
      </w:r>
      <w:r w:rsidR="00B774EF">
        <w:rPr>
          <w:rFonts w:ascii="Arabic Typesetting" w:hAnsi="Arabic Typesetting" w:cs="Arabic Typesetting" w:hint="cs"/>
          <w:sz w:val="34"/>
          <w:szCs w:val="34"/>
          <w:rtl/>
          <w:lang w:val="fr-CH"/>
        </w:rPr>
        <w:t>إ</w:t>
      </w:r>
      <w:r w:rsidR="00526915" w:rsidRPr="00526915">
        <w:rPr>
          <w:rFonts w:ascii="Arabic Typesetting" w:hAnsi="Arabic Typesetting" w:cs="Arabic Typesetting"/>
          <w:sz w:val="34"/>
          <w:szCs w:val="34"/>
          <w:rtl/>
          <w:lang w:val="fr-CH"/>
        </w:rPr>
        <w:t>طارية بشأن تغير المناخ</w:t>
      </w:r>
      <w:r w:rsidR="00526915">
        <w:rPr>
          <w:rFonts w:ascii="Arabic Typesetting" w:hAnsi="Arabic Typesetting" w:cs="Arabic Typesetting" w:hint="cs"/>
          <w:sz w:val="34"/>
          <w:szCs w:val="34"/>
          <w:rtl/>
          <w:lang w:val="fr-CH"/>
        </w:rPr>
        <w:t xml:space="preserve"> التي عُقدت في نوفمبر 2015. ونتيجة لذلك، تمكنت الويبو من إعلان تعويضها لانبعاثات الكربون الخاصة بها حتى عام 2020. وعليه، شهدت الثنائية </w:t>
      </w:r>
      <w:r w:rsidR="00507DE2">
        <w:rPr>
          <w:rFonts w:ascii="Arabic Typesetting" w:hAnsi="Arabic Typesetting" w:cs="Arabic Typesetting" w:hint="cs"/>
          <w:sz w:val="34"/>
          <w:szCs w:val="34"/>
          <w:rtl/>
          <w:lang w:val="fr-CH"/>
        </w:rPr>
        <w:t>2014/15</w:t>
      </w:r>
      <w:r w:rsidR="00526915">
        <w:rPr>
          <w:rFonts w:ascii="Arabic Typesetting" w:hAnsi="Arabic Typesetting" w:cs="Arabic Typesetting" w:hint="cs"/>
          <w:sz w:val="34"/>
          <w:szCs w:val="34"/>
          <w:rtl/>
          <w:lang w:val="fr-CH"/>
        </w:rPr>
        <w:t xml:space="preserve"> أول إنجاز للويبو في إطار أهداف منظومة الأمم المتحدة لعام 2020.</w:t>
      </w:r>
    </w:p>
    <w:p w:rsidR="00796E70" w:rsidRPr="00E439F5" w:rsidRDefault="00796E70" w:rsidP="00781F2F">
      <w:pPr>
        <w:keepNext/>
        <w:bidi/>
        <w:spacing w:before="120" w:after="120"/>
        <w:rPr>
          <w:rFonts w:ascii="Arabic Typesetting" w:hAnsi="Arabic Typesetting" w:cs="Arabic Typesetting"/>
          <w:sz w:val="34"/>
          <w:szCs w:val="34"/>
          <w:lang w:bidi="ar-EG"/>
        </w:rPr>
      </w:pPr>
      <w:r w:rsidRPr="00E439F5">
        <w:rPr>
          <w:rFonts w:ascii="Arabic Typesetting" w:eastAsia="Arial" w:hAnsi="Arabic Typesetting" w:cs="Arabic Typesetting"/>
          <w:sz w:val="34"/>
          <w:szCs w:val="34"/>
          <w:rtl/>
          <w:lang w:bidi="ar-EG"/>
        </w:rPr>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128"/>
        <w:gridCol w:w="2240"/>
        <w:gridCol w:w="1585"/>
        <w:gridCol w:w="2553"/>
        <w:gridCol w:w="851"/>
      </w:tblGrid>
      <w:tr w:rsidR="00796E70" w:rsidRPr="00211D55" w:rsidTr="008B6CC8">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796E70" w:rsidRPr="00211D55" w:rsidRDefault="00796E70" w:rsidP="00285760">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 xml:space="preserve">النتيجة المرتقبة: </w:t>
            </w:r>
            <w:r w:rsidRPr="00211D55">
              <w:rPr>
                <w:rFonts w:ascii="Arabic Typesetting" w:hAnsi="Arabic Typesetting" w:cs="Arabic Typesetting"/>
                <w:bCs/>
                <w:sz w:val="28"/>
                <w:szCs w:val="28"/>
                <w:rtl/>
                <w:lang w:bidi="ar-EG"/>
              </w:rPr>
              <w:tab/>
            </w:r>
            <w:r w:rsidRPr="00211D55">
              <w:rPr>
                <w:rFonts w:ascii="Arabic Typesetting" w:hAnsi="Arabic Typesetting" w:cs="Arabic Typesetting"/>
                <w:sz w:val="28"/>
                <w:szCs w:val="28"/>
                <w:rtl/>
                <w:lang w:bidi="ar-EG"/>
              </w:rPr>
              <w:t xml:space="preserve">ه5.8 </w:t>
            </w:r>
            <w:r w:rsidR="0099688F">
              <w:rPr>
                <w:rFonts w:ascii="Arabic Typesetting" w:hAnsi="Arabic Typesetting" w:cs="Arabic Typesetting"/>
                <w:sz w:val="28"/>
                <w:szCs w:val="28"/>
                <w:rtl/>
                <w:lang w:bidi="ar-EG"/>
              </w:rPr>
              <w:t>تفاعل الويبو وتشاركها بفعالية مع مسارات ومفاوضات الأمم المتحدة وسائر المنظمات الحكومية الدولية</w:t>
            </w:r>
          </w:p>
        </w:tc>
      </w:tr>
      <w:tr w:rsidR="00796E70" w:rsidRPr="00211D55" w:rsidTr="008B6CC8">
        <w:trPr>
          <w:cantSplit/>
        </w:trPr>
        <w:tc>
          <w:tcPr>
            <w:tcW w:w="1137" w:type="pct"/>
            <w:tcBorders>
              <w:top w:val="single" w:sz="4" w:space="0" w:color="auto"/>
            </w:tcBorders>
            <w:vAlign w:val="center"/>
          </w:tcPr>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مؤشرات الأداء</w:t>
            </w:r>
          </w:p>
        </w:tc>
        <w:tc>
          <w:tcPr>
            <w:tcW w:w="1197" w:type="pct"/>
            <w:tcBorders>
              <w:top w:val="single" w:sz="4" w:space="0" w:color="auto"/>
            </w:tcBorders>
            <w:vAlign w:val="center"/>
          </w:tcPr>
          <w:p w:rsidR="00796E70" w:rsidRPr="00211D55" w:rsidRDefault="00796E70" w:rsidP="00796E70">
            <w:pPr>
              <w:widowControl w:val="0"/>
              <w:bidi/>
              <w:spacing w:before="60" w:after="60" w:line="280" w:lineRule="exact"/>
              <w:rPr>
                <w:rFonts w:ascii="Arabic Typesetting" w:hAnsi="Arabic Typesetting" w:cs="Arabic Typesetting"/>
                <w:bCs/>
                <w:sz w:val="28"/>
                <w:szCs w:val="28"/>
                <w:lang w:bidi="ar-EG"/>
              </w:rPr>
            </w:pPr>
            <w:r w:rsidRPr="00211D55">
              <w:rPr>
                <w:rFonts w:ascii="Arabic Typesetting" w:eastAsia="Arial" w:hAnsi="Arabic Typesetting" w:cs="Arabic Typesetting"/>
                <w:bCs/>
                <w:sz w:val="28"/>
                <w:szCs w:val="28"/>
                <w:rtl/>
                <w:lang w:bidi="ar-EG"/>
              </w:rPr>
              <w:t>أسس المقارنة</w:t>
            </w:r>
          </w:p>
        </w:tc>
        <w:tc>
          <w:tcPr>
            <w:tcW w:w="847" w:type="pct"/>
            <w:tcBorders>
              <w:top w:val="single" w:sz="4" w:space="0" w:color="auto"/>
            </w:tcBorders>
            <w:tcMar>
              <w:top w:w="110" w:type="dxa"/>
            </w:tcMar>
            <w:vAlign w:val="center"/>
          </w:tcPr>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الأهداف</w:t>
            </w:r>
          </w:p>
        </w:tc>
        <w:tc>
          <w:tcPr>
            <w:tcW w:w="1364" w:type="pct"/>
            <w:tcBorders>
              <w:top w:val="single" w:sz="4" w:space="0" w:color="auto"/>
            </w:tcBorders>
            <w:shd w:val="clear" w:color="auto" w:fill="FFFFFF"/>
            <w:tcMar>
              <w:top w:w="110" w:type="dxa"/>
            </w:tcMar>
            <w:vAlign w:val="center"/>
          </w:tcPr>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بيانات الأداء</w:t>
            </w:r>
          </w:p>
        </w:tc>
        <w:tc>
          <w:tcPr>
            <w:tcW w:w="455" w:type="pct"/>
            <w:tcBorders>
              <w:top w:val="single" w:sz="4" w:space="0" w:color="auto"/>
            </w:tcBorders>
            <w:shd w:val="clear" w:color="auto" w:fill="auto"/>
            <w:tcMar>
              <w:top w:w="110" w:type="dxa"/>
            </w:tcMar>
            <w:vAlign w:val="center"/>
          </w:tcPr>
          <w:p w:rsidR="00796E70" w:rsidRPr="00211D55" w:rsidRDefault="00796E70" w:rsidP="00796E70">
            <w:pPr>
              <w:widowControl w:val="0"/>
              <w:bidi/>
              <w:spacing w:before="60" w:after="60" w:line="280" w:lineRule="exact"/>
              <w:jc w:val="center"/>
              <w:rPr>
                <w:rFonts w:ascii="Arabic Typesetting" w:hAnsi="Arabic Typesetting" w:cs="Arabic Typesetting"/>
                <w:bCs/>
                <w:sz w:val="28"/>
                <w:szCs w:val="28"/>
                <w:lang w:bidi="ar-EG"/>
              </w:rPr>
            </w:pPr>
            <w:r w:rsidRPr="00211D55">
              <w:rPr>
                <w:rFonts w:ascii="Arabic Typesetting" w:eastAsia="Arial" w:hAnsi="Arabic Typesetting" w:cs="Arabic Typesetting"/>
                <w:bCs/>
                <w:sz w:val="28"/>
                <w:szCs w:val="28"/>
                <w:rtl/>
                <w:lang w:bidi="ar-EG"/>
              </w:rPr>
              <w:t>السير</w:t>
            </w:r>
          </w:p>
        </w:tc>
      </w:tr>
      <w:tr w:rsidR="00796E70" w:rsidRPr="00211D55" w:rsidTr="008B6CC8">
        <w:trPr>
          <w:cantSplit/>
        </w:trPr>
        <w:tc>
          <w:tcPr>
            <w:tcW w:w="1137" w:type="pct"/>
          </w:tcPr>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sz w:val="28"/>
                <w:szCs w:val="28"/>
                <w:rtl/>
              </w:rPr>
              <w:t>اللجنة الرفيعة المستوى المعنية بالإدارة وتوصيات الشبكات الفرعية المغلقة</w:t>
            </w:r>
          </w:p>
        </w:tc>
        <w:tc>
          <w:tcPr>
            <w:tcW w:w="1197" w:type="pct"/>
          </w:tcPr>
          <w:p w:rsidR="00796E70" w:rsidRPr="00211D55" w:rsidRDefault="00796E70" w:rsidP="00F60B87">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أغلقت، في عام 2013، 13 توصية من أصل 36 توصية (</w:t>
            </w:r>
            <w:r w:rsidR="00671C0B" w:rsidRPr="00211D55">
              <w:rPr>
                <w:rFonts w:ascii="Arabic Typesetting" w:hAnsi="Arabic Typesetting" w:cs="Arabic Typesetting"/>
                <w:color w:val="002060"/>
                <w:sz w:val="28"/>
                <w:szCs w:val="28"/>
                <w:rtl/>
                <w:lang w:bidi="ar-EG"/>
              </w:rPr>
              <w:t>36</w:t>
            </w:r>
            <w:r w:rsidRPr="00211D55">
              <w:rPr>
                <w:rFonts w:ascii="Arabic Typesetting" w:hAnsi="Arabic Typesetting" w:cs="Arabic Typesetting"/>
                <w:color w:val="002060"/>
                <w:sz w:val="28"/>
                <w:szCs w:val="28"/>
                <w:rtl/>
                <w:lang w:bidi="ar-EG"/>
              </w:rPr>
              <w:t xml:space="preserve">%) معلّقة </w:t>
            </w:r>
            <w:r w:rsidR="008B6CC8" w:rsidRPr="00211D55">
              <w:rPr>
                <w:rFonts w:ascii="Arabic Typesetting" w:hAnsi="Arabic Typesetting" w:cs="Arabic Typesetting"/>
                <w:color w:val="002060"/>
                <w:sz w:val="28"/>
                <w:szCs w:val="28"/>
                <w:rtl/>
                <w:lang w:bidi="ar-EG"/>
              </w:rPr>
              <w:t>وجهتها</w:t>
            </w:r>
            <w:r w:rsidRPr="00211D55">
              <w:rPr>
                <w:rFonts w:ascii="Arabic Typesetting" w:hAnsi="Arabic Typesetting" w:cs="Arabic Typesetting"/>
                <w:color w:val="002060"/>
                <w:sz w:val="28"/>
                <w:szCs w:val="28"/>
                <w:rtl/>
                <w:lang w:bidi="ar-EG"/>
              </w:rPr>
              <w:t xml:space="preserve"> وحدة التفتيش المشتركة</w:t>
            </w:r>
            <w:r w:rsidR="008B6CC8" w:rsidRPr="00211D55">
              <w:rPr>
                <w:rFonts w:ascii="Arabic Typesetting" w:hAnsi="Arabic Typesetting" w:cs="Arabic Typesetting"/>
                <w:color w:val="002060"/>
                <w:sz w:val="28"/>
                <w:szCs w:val="28"/>
                <w:rtl/>
                <w:lang w:bidi="ar-EG"/>
              </w:rPr>
              <w:t xml:space="preserve"> إلى الهيئات التشريعية</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نسبة التوصيات المغلقة في 1 يناير 2013</w:t>
            </w:r>
          </w:p>
        </w:tc>
        <w:tc>
          <w:tcPr>
            <w:tcW w:w="847" w:type="pct"/>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sz w:val="28"/>
                <w:szCs w:val="28"/>
                <w:lang w:bidi="th-TH"/>
              </w:rPr>
            </w:pPr>
            <w:r w:rsidRPr="00211D55">
              <w:rPr>
                <w:rFonts w:ascii="Arabic Typesetting" w:eastAsia="ArialMT" w:hAnsi="Arabic Typesetting" w:cs="Arabic Typesetting"/>
                <w:sz w:val="28"/>
                <w:szCs w:val="28"/>
                <w:rtl/>
                <w:lang w:bidi="ar-EG"/>
              </w:rPr>
              <w:t>نسبة التوصيات المغلقة في 31 ديسمبر 2015</w:t>
            </w:r>
            <w:r w:rsidRPr="00F96634">
              <w:rPr>
                <w:rFonts w:ascii="Arabic Typesetting" w:eastAsia="ArialMT" w:hAnsi="Arabic Typesetting" w:cs="Arabic Typesetting"/>
                <w:sz w:val="28"/>
                <w:szCs w:val="28"/>
                <w:vertAlign w:val="superscript"/>
                <w:rtl/>
                <w:lang w:bidi="ar-EG"/>
              </w:rPr>
              <w:footnoteReference w:id="136"/>
            </w:r>
          </w:p>
        </w:tc>
        <w:tc>
          <w:tcPr>
            <w:tcW w:w="1364" w:type="pct"/>
            <w:shd w:val="clear" w:color="auto" w:fill="FFFFFF"/>
            <w:tcMar>
              <w:top w:w="110" w:type="dxa"/>
            </w:tcMar>
          </w:tcPr>
          <w:p w:rsidR="00796E70" w:rsidRPr="00211D55" w:rsidRDefault="00781F2F" w:rsidP="00781F2F">
            <w:pPr>
              <w:widowControl w:val="0"/>
              <w:bidi/>
              <w:spacing w:before="60" w:after="60" w:line="280" w:lineRule="exact"/>
              <w:rPr>
                <w:rFonts w:ascii="Arabic Typesetting" w:hAnsi="Arabic Typesetting" w:cs="Arabic Typesetting"/>
                <w:sz w:val="28"/>
                <w:szCs w:val="28"/>
                <w:lang w:bidi="th-TH"/>
              </w:rPr>
            </w:pPr>
            <w:r>
              <w:rPr>
                <w:rFonts w:ascii="Arabic Typesetting" w:hAnsi="Arabic Typesetting" w:cs="Arabic Typesetting" w:hint="cs"/>
                <w:color w:val="002060"/>
                <w:sz w:val="28"/>
                <w:szCs w:val="28"/>
                <w:rtl/>
                <w:lang w:bidi="ar-EG"/>
              </w:rPr>
              <w:t>في</w:t>
            </w:r>
            <w:r w:rsidRPr="00211D55">
              <w:rPr>
                <w:rFonts w:ascii="Arabic Typesetting" w:hAnsi="Arabic Typesetting" w:cs="Arabic Typesetting"/>
                <w:color w:val="002060"/>
                <w:sz w:val="28"/>
                <w:szCs w:val="28"/>
                <w:rtl/>
                <w:lang w:bidi="ar-EG"/>
              </w:rPr>
              <w:t xml:space="preserve"> </w:t>
            </w:r>
            <w:r w:rsidR="00507DE2">
              <w:rPr>
                <w:rFonts w:ascii="Arabic Typesetting" w:hAnsi="Arabic Typesetting" w:cs="Arabic Typesetting"/>
                <w:color w:val="002060"/>
                <w:sz w:val="28"/>
                <w:szCs w:val="28"/>
                <w:rtl/>
                <w:lang w:bidi="ar-EG"/>
              </w:rPr>
              <w:t>2014/15</w:t>
            </w:r>
            <w:r w:rsidRPr="00211D55">
              <w:rPr>
                <w:rFonts w:ascii="Arabic Typesetting" w:hAnsi="Arabic Typesetting" w:cs="Arabic Typesetting"/>
                <w:color w:val="002060"/>
                <w:sz w:val="28"/>
                <w:szCs w:val="28"/>
                <w:rtl/>
                <w:lang w:bidi="ar-EG"/>
              </w:rPr>
              <w:t>،</w:t>
            </w:r>
            <w:r>
              <w:rPr>
                <w:rFonts w:ascii="Arabic Typesetting" w:hAnsi="Arabic Typesetting" w:cs="Arabic Typesetting" w:hint="cs"/>
                <w:color w:val="002060"/>
                <w:sz w:val="28"/>
                <w:szCs w:val="28"/>
                <w:rtl/>
                <w:lang w:bidi="ar-EG"/>
              </w:rPr>
              <w:t xml:space="preserve"> </w:t>
            </w:r>
            <w:r>
              <w:rPr>
                <w:rFonts w:ascii="Arabic Typesetting" w:hAnsi="Arabic Typesetting" w:cs="Arabic Typesetting"/>
                <w:color w:val="002060"/>
                <w:sz w:val="28"/>
                <w:szCs w:val="28"/>
                <w:rtl/>
                <w:lang w:bidi="ar-EG"/>
              </w:rPr>
              <w:t>أغلقت</w:t>
            </w:r>
            <w:r w:rsidR="00796E70" w:rsidRPr="00211D55">
              <w:rPr>
                <w:rFonts w:ascii="Arabic Typesetting" w:hAnsi="Arabic Typesetting" w:cs="Arabic Typesetting"/>
                <w:color w:val="002060"/>
                <w:sz w:val="28"/>
                <w:szCs w:val="28"/>
                <w:rtl/>
                <w:lang w:bidi="ar-EG"/>
              </w:rPr>
              <w:t xml:space="preserve"> </w:t>
            </w:r>
            <w:r w:rsidR="008B6CC8" w:rsidRPr="00211D55">
              <w:rPr>
                <w:rFonts w:ascii="Arabic Typesetting" w:hAnsi="Arabic Typesetting" w:cs="Arabic Typesetting"/>
                <w:color w:val="002060"/>
                <w:sz w:val="28"/>
                <w:szCs w:val="28"/>
                <w:rtl/>
                <w:lang w:bidi="ar-EG"/>
              </w:rPr>
              <w:t>23</w:t>
            </w:r>
            <w:r w:rsidR="00796E70" w:rsidRPr="00211D55">
              <w:rPr>
                <w:rFonts w:ascii="Arabic Typesetting" w:hAnsi="Arabic Typesetting" w:cs="Arabic Typesetting"/>
                <w:color w:val="002060"/>
                <w:sz w:val="28"/>
                <w:szCs w:val="28"/>
                <w:rtl/>
                <w:lang w:bidi="ar-EG"/>
              </w:rPr>
              <w:t xml:space="preserve"> توصية من أصل </w:t>
            </w:r>
            <w:r w:rsidR="008B6CC8" w:rsidRPr="00211D55">
              <w:rPr>
                <w:rFonts w:ascii="Arabic Typesetting" w:hAnsi="Arabic Typesetting" w:cs="Arabic Typesetting"/>
                <w:color w:val="002060"/>
                <w:sz w:val="28"/>
                <w:szCs w:val="28"/>
                <w:rtl/>
                <w:lang w:bidi="ar-EG"/>
              </w:rPr>
              <w:t>36</w:t>
            </w:r>
            <w:r w:rsidR="00796E70" w:rsidRPr="00211D55">
              <w:rPr>
                <w:rFonts w:ascii="Arabic Typesetting" w:hAnsi="Arabic Typesetting" w:cs="Arabic Typesetting"/>
                <w:color w:val="002060"/>
                <w:sz w:val="28"/>
                <w:szCs w:val="28"/>
                <w:rtl/>
                <w:lang w:bidi="ar-EG"/>
              </w:rPr>
              <w:t> توصية (</w:t>
            </w:r>
            <w:r w:rsidR="008B6CC8" w:rsidRPr="00211D55">
              <w:rPr>
                <w:rFonts w:ascii="Arabic Typesetting" w:hAnsi="Arabic Typesetting" w:cs="Arabic Typesetting"/>
                <w:color w:val="002060"/>
                <w:sz w:val="28"/>
                <w:szCs w:val="28"/>
                <w:rtl/>
                <w:lang w:bidi="ar-EG"/>
              </w:rPr>
              <w:t>64</w:t>
            </w:r>
            <w:r w:rsidR="00796E70" w:rsidRPr="00211D55">
              <w:rPr>
                <w:rFonts w:ascii="Arabic Typesetting" w:hAnsi="Arabic Typesetting" w:cs="Arabic Typesetting"/>
                <w:color w:val="002060"/>
                <w:sz w:val="28"/>
                <w:szCs w:val="28"/>
                <w:rtl/>
                <w:lang w:bidi="ar-EG"/>
              </w:rPr>
              <w:t xml:space="preserve">%) معلّقة </w:t>
            </w:r>
            <w:r w:rsidR="008B6CC8" w:rsidRPr="00211D55">
              <w:rPr>
                <w:rFonts w:ascii="Arabic Typesetting" w:hAnsi="Arabic Typesetting" w:cs="Arabic Typesetting"/>
                <w:color w:val="002060"/>
                <w:sz w:val="28"/>
                <w:szCs w:val="28"/>
                <w:rtl/>
                <w:lang w:bidi="ar-EG"/>
              </w:rPr>
              <w:t xml:space="preserve">وجهتها </w:t>
            </w:r>
            <w:r w:rsidR="00796E70" w:rsidRPr="00211D55">
              <w:rPr>
                <w:rFonts w:ascii="Arabic Typesetting" w:hAnsi="Arabic Typesetting" w:cs="Arabic Typesetting"/>
                <w:color w:val="002060"/>
                <w:sz w:val="28"/>
                <w:szCs w:val="28"/>
                <w:rtl/>
                <w:lang w:bidi="ar-EG"/>
              </w:rPr>
              <w:t>وحدة التفتيش المشتركة</w:t>
            </w:r>
            <w:r w:rsidR="008B6CC8" w:rsidRPr="00211D55">
              <w:rPr>
                <w:rFonts w:ascii="Arabic Typesetting" w:hAnsi="Arabic Typesetting" w:cs="Arabic Typesetting"/>
                <w:color w:val="002060"/>
                <w:sz w:val="28"/>
                <w:szCs w:val="28"/>
                <w:rtl/>
                <w:lang w:bidi="ar-EG"/>
              </w:rPr>
              <w:t xml:space="preserve"> إلى الهيئات التشريعية للويبو.</w:t>
            </w:r>
          </w:p>
        </w:tc>
        <w:tc>
          <w:tcPr>
            <w:tcW w:w="455" w:type="pct"/>
            <w:shd w:val="clear" w:color="auto" w:fill="auto"/>
            <w:tcMar>
              <w:top w:w="110" w:type="dxa"/>
            </w:tcMar>
          </w:tcPr>
          <w:p w:rsidR="00796E70" w:rsidRPr="00211D55" w:rsidRDefault="008B6CC8" w:rsidP="00796E70">
            <w:pPr>
              <w:widowControl w:val="0"/>
              <w:bidi/>
              <w:spacing w:before="60" w:after="60" w:line="280" w:lineRule="exact"/>
              <w:jc w:val="center"/>
              <w:rPr>
                <w:rFonts w:ascii="Arabic Typesetting" w:hAnsi="Arabic Typesetting" w:cs="Arabic Typesetting"/>
                <w:bCs/>
                <w:color w:val="808080" w:themeColor="background1" w:themeShade="80"/>
                <w:sz w:val="28"/>
                <w:szCs w:val="28"/>
              </w:rPr>
            </w:pPr>
            <w:r w:rsidRPr="00211D55">
              <w:rPr>
                <w:rFonts w:ascii="Arabic Typesetting" w:hAnsi="Arabic Typesetting" w:cs="Arabic Typesetting"/>
                <w:bCs/>
                <w:color w:val="808080" w:themeColor="background1" w:themeShade="80"/>
                <w:sz w:val="28"/>
                <w:szCs w:val="28"/>
                <w:rtl/>
              </w:rPr>
              <w:t>غير قابل للقياس</w:t>
            </w:r>
          </w:p>
        </w:tc>
      </w:tr>
      <w:tr w:rsidR="00796E70" w:rsidRPr="00211D55" w:rsidTr="008B6CC8">
        <w:trPr>
          <w:cantSplit/>
        </w:trPr>
        <w:tc>
          <w:tcPr>
            <w:tcW w:w="1137" w:type="pct"/>
          </w:tcPr>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sz w:val="28"/>
                <w:szCs w:val="28"/>
                <w:rtl/>
              </w:rPr>
              <w:t>النسبة المئوية للسلع والخدمات التي وفرها مزودون محليون، مقارنة بالمبلغ الإجمالي لعمليات الشراء المتعلقة بنشاط التنمية</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48%</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sz w:val="28"/>
                <w:szCs w:val="28"/>
                <w:lang w:val="de-CH"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نتيجة عام 2013</w:t>
            </w:r>
          </w:p>
        </w:tc>
        <w:tc>
          <w:tcPr>
            <w:tcW w:w="847" w:type="pct"/>
            <w:tcMar>
              <w:top w:w="110" w:type="dxa"/>
            </w:tcMar>
          </w:tcPr>
          <w:p w:rsidR="00796E70" w:rsidRPr="00211D55" w:rsidRDefault="00781F2F" w:rsidP="00781F2F">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MT" w:hAnsi="Arabic Typesetting" w:cs="Arabic Typesetting"/>
                <w:sz w:val="28"/>
                <w:szCs w:val="28"/>
                <w:rtl/>
                <w:lang w:bidi="ar-EG"/>
              </w:rPr>
              <w:t>+ 5%</w:t>
            </w:r>
            <w:r>
              <w:rPr>
                <w:rFonts w:ascii="Arabic Typesetting" w:eastAsia="ArialMT" w:hAnsi="Arabic Typesetting" w:cs="Arabic Typesetting" w:hint="cs"/>
                <w:sz w:val="28"/>
                <w:szCs w:val="28"/>
                <w:rtl/>
                <w:lang w:bidi="ar-EG"/>
              </w:rPr>
              <w:t xml:space="preserve"> على عام</w:t>
            </w:r>
            <w:r>
              <w:rPr>
                <w:rFonts w:ascii="Arabic Typesetting" w:eastAsia="ArialMT" w:hAnsi="Arabic Typesetting" w:cs="Arabic Typesetting" w:hint="eastAsia"/>
                <w:sz w:val="28"/>
                <w:szCs w:val="28"/>
                <w:rtl/>
                <w:lang w:bidi="ar-EG"/>
              </w:rPr>
              <w:t> </w:t>
            </w:r>
            <w:r w:rsidR="00796E70" w:rsidRPr="00211D55">
              <w:rPr>
                <w:rFonts w:ascii="Arabic Typesetting" w:eastAsia="ArialMT" w:hAnsi="Arabic Typesetting" w:cs="Arabic Typesetting"/>
                <w:sz w:val="28"/>
                <w:szCs w:val="28"/>
                <w:rtl/>
                <w:lang w:bidi="ar-EG"/>
              </w:rPr>
              <w:t>2013</w:t>
            </w:r>
          </w:p>
        </w:tc>
        <w:tc>
          <w:tcPr>
            <w:tcW w:w="1364" w:type="pct"/>
            <w:shd w:val="clear" w:color="auto" w:fill="FFFFFF"/>
            <w:tcMar>
              <w:top w:w="110" w:type="dxa"/>
            </w:tcMar>
          </w:tcPr>
          <w:p w:rsidR="00796E70" w:rsidRPr="00211D55" w:rsidRDefault="008B6CC8"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 xml:space="preserve">2014: </w:t>
            </w:r>
            <w:r w:rsidR="00796E70" w:rsidRPr="00211D55">
              <w:rPr>
                <w:rFonts w:ascii="Arabic Typesetting" w:eastAsia="Arial" w:hAnsi="Arabic Typesetting" w:cs="Arabic Typesetting"/>
                <w:sz w:val="28"/>
                <w:szCs w:val="28"/>
                <w:rtl/>
                <w:lang w:bidi="ar-EG"/>
              </w:rPr>
              <w:t>45%</w:t>
            </w:r>
          </w:p>
          <w:p w:rsidR="008B6CC8" w:rsidRPr="00211D55" w:rsidRDefault="008B6CC8" w:rsidP="008B6CC8">
            <w:pPr>
              <w:widowControl w:val="0"/>
              <w:bidi/>
              <w:spacing w:before="60" w:after="60" w:line="280" w:lineRule="exact"/>
              <w:rPr>
                <w:rFonts w:ascii="Arabic Typesetting" w:eastAsia="Arial" w:hAnsi="Arabic Typesetting" w:cs="Arabic Typesetting"/>
                <w:sz w:val="28"/>
                <w:szCs w:val="28"/>
                <w:rtl/>
                <w:lang w:bidi="ar-EG"/>
              </w:rPr>
            </w:pPr>
          </w:p>
          <w:p w:rsidR="008B6CC8" w:rsidRPr="00211D55" w:rsidRDefault="008B6CC8" w:rsidP="008B6CC8">
            <w:pPr>
              <w:widowControl w:val="0"/>
              <w:bidi/>
              <w:spacing w:before="60" w:after="60" w:line="280" w:lineRule="exact"/>
              <w:rPr>
                <w:rFonts w:ascii="Arabic Typesetting" w:hAnsi="Arabic Typesetting" w:cs="Arabic Typesetting"/>
                <w:sz w:val="28"/>
                <w:szCs w:val="28"/>
                <w:lang w:bidi="th-TH"/>
              </w:rPr>
            </w:pPr>
            <w:r w:rsidRPr="00211D55">
              <w:rPr>
                <w:rFonts w:ascii="Arabic Typesetting" w:eastAsia="Arial" w:hAnsi="Arabic Typesetting" w:cs="Arabic Typesetting"/>
                <w:sz w:val="28"/>
                <w:szCs w:val="28"/>
                <w:rtl/>
                <w:lang w:bidi="ar-EG"/>
              </w:rPr>
              <w:t>2015: 57%</w:t>
            </w:r>
          </w:p>
        </w:tc>
        <w:tc>
          <w:tcPr>
            <w:tcW w:w="455" w:type="pct"/>
            <w:shd w:val="clear" w:color="auto" w:fill="auto"/>
            <w:tcMar>
              <w:top w:w="110" w:type="dxa"/>
            </w:tcMar>
          </w:tcPr>
          <w:p w:rsidR="00796E70" w:rsidRPr="00211D55" w:rsidRDefault="008B6CC8" w:rsidP="00796E70">
            <w:pPr>
              <w:widowControl w:val="0"/>
              <w:bidi/>
              <w:spacing w:before="60" w:after="60" w:line="280" w:lineRule="exact"/>
              <w:jc w:val="center"/>
              <w:rPr>
                <w:rFonts w:ascii="Arabic Typesetting" w:eastAsia="Arial" w:hAnsi="Arabic Typesetting" w:cs="Arabic Typesetting"/>
                <w:b/>
                <w:bCs/>
                <w:color w:val="FF0000"/>
                <w:sz w:val="28"/>
                <w:szCs w:val="28"/>
                <w:rtl/>
                <w:lang w:bidi="ar-EG"/>
              </w:rPr>
            </w:pPr>
            <w:r w:rsidRPr="00211D55">
              <w:rPr>
                <w:rFonts w:ascii="Arabic Typesetting" w:eastAsia="Arial" w:hAnsi="Arabic Typesetting" w:cs="Arabic Typesetting"/>
                <w:b/>
                <w:bCs/>
                <w:color w:val="FF0000"/>
                <w:sz w:val="28"/>
                <w:szCs w:val="28"/>
                <w:rtl/>
                <w:lang w:bidi="ar-EG"/>
              </w:rPr>
              <w:t>غير محقق</w:t>
            </w:r>
          </w:p>
          <w:p w:rsidR="008B6CC8" w:rsidRPr="00211D55" w:rsidRDefault="008B6CC8" w:rsidP="008B6CC8">
            <w:pPr>
              <w:widowControl w:val="0"/>
              <w:bidi/>
              <w:spacing w:before="60" w:after="60" w:line="280" w:lineRule="exact"/>
              <w:jc w:val="center"/>
              <w:rPr>
                <w:rFonts w:ascii="Arabic Typesetting" w:hAnsi="Arabic Typesetting" w:cs="Arabic Typesetting"/>
                <w:bCs/>
                <w:color w:val="008000"/>
                <w:sz w:val="28"/>
                <w:szCs w:val="28"/>
                <w:rtl/>
                <w:lang w:bidi="ar-EG"/>
              </w:rPr>
            </w:pPr>
          </w:p>
          <w:p w:rsidR="008B6CC8" w:rsidRPr="00211D55" w:rsidRDefault="008B6CC8" w:rsidP="008B6CC8">
            <w:pPr>
              <w:widowControl w:val="0"/>
              <w:bidi/>
              <w:spacing w:before="60" w:after="60" w:line="280" w:lineRule="exact"/>
              <w:jc w:val="center"/>
              <w:rPr>
                <w:rFonts w:ascii="Arabic Typesetting" w:eastAsia="Arial" w:hAnsi="Arabic Typesetting" w:cs="Arabic Typesetting"/>
                <w:b/>
                <w:bCs/>
                <w:color w:val="FF0000"/>
                <w:sz w:val="28"/>
                <w:szCs w:val="28"/>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1137" w:type="pct"/>
          </w:tcPr>
          <w:p w:rsidR="00796E70" w:rsidRPr="00211D55" w:rsidRDefault="00796E70" w:rsidP="008B6CC8">
            <w:pPr>
              <w:widowControl w:val="0"/>
              <w:bidi/>
              <w:spacing w:before="60" w:after="60" w:line="280" w:lineRule="exact"/>
              <w:rPr>
                <w:rFonts w:ascii="Arabic Typesetting" w:eastAsia="Arial" w:hAnsi="Arabic Typesetting" w:cs="Arabic Typesetting"/>
                <w:sz w:val="28"/>
                <w:szCs w:val="28"/>
              </w:rPr>
            </w:pPr>
            <w:r w:rsidRPr="00211D55">
              <w:rPr>
                <w:rFonts w:ascii="Arabic Typesetting" w:eastAsia="Arial" w:hAnsi="Arabic Typesetting" w:cs="Arabic Typesetting"/>
                <w:sz w:val="28"/>
                <w:szCs w:val="28"/>
                <w:rtl/>
              </w:rPr>
              <w:lastRenderedPageBreak/>
              <w:t>النسبة المئوية للنفقات التي تخضع لنظام استفادة الأمم المتحدة (سواء عبر طلبات العروض العامة أو عقود المحمولة التجارية)</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4%</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نتيجة عام 2013</w:t>
            </w:r>
          </w:p>
        </w:tc>
        <w:tc>
          <w:tcPr>
            <w:tcW w:w="847" w:type="pct"/>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color w:val="002060"/>
                <w:sz w:val="28"/>
                <w:szCs w:val="28"/>
                <w:rtl/>
                <w:lang w:bidi="ar-EG"/>
              </w:rPr>
              <w:t>الهدف المحدّد: 4%</w:t>
            </w:r>
          </w:p>
          <w:p w:rsidR="00796E70" w:rsidRPr="00211D55" w:rsidRDefault="00796E70" w:rsidP="00796E70">
            <w:pPr>
              <w:widowControl w:val="0"/>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 xml:space="preserve">الهدف الأصلي المحدّد في ميزانية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يحدّد لاحقا</w:t>
            </w:r>
          </w:p>
        </w:tc>
        <w:tc>
          <w:tcPr>
            <w:tcW w:w="1364" w:type="pct"/>
            <w:shd w:val="clear" w:color="auto" w:fill="FFFFFF"/>
            <w:tcMar>
              <w:top w:w="110" w:type="dxa"/>
            </w:tcMar>
          </w:tcPr>
          <w:p w:rsidR="00796E70" w:rsidRPr="00211D55" w:rsidRDefault="008B6CC8"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 xml:space="preserve">2014: </w:t>
            </w:r>
            <w:r w:rsidR="00796E70" w:rsidRPr="00211D55">
              <w:rPr>
                <w:rFonts w:ascii="Arabic Typesetting" w:eastAsia="Arial" w:hAnsi="Arabic Typesetting" w:cs="Arabic Typesetting"/>
                <w:sz w:val="28"/>
                <w:szCs w:val="28"/>
                <w:rtl/>
                <w:lang w:bidi="ar-EG"/>
              </w:rPr>
              <w:t>4.15%</w:t>
            </w:r>
          </w:p>
          <w:p w:rsidR="008B6CC8" w:rsidRPr="00211D55" w:rsidRDefault="008B6CC8" w:rsidP="008B6CC8">
            <w:pPr>
              <w:widowControl w:val="0"/>
              <w:bidi/>
              <w:spacing w:before="60" w:after="60" w:line="280" w:lineRule="exact"/>
              <w:rPr>
                <w:rFonts w:ascii="Arabic Typesetting" w:hAnsi="Arabic Typesetting" w:cs="Arabic Typesetting"/>
                <w:sz w:val="28"/>
                <w:szCs w:val="28"/>
                <w:lang w:bidi="th-TH"/>
              </w:rPr>
            </w:pPr>
            <w:r w:rsidRPr="00211D55">
              <w:rPr>
                <w:rFonts w:ascii="Arabic Typesetting" w:eastAsia="Arial" w:hAnsi="Arabic Typesetting" w:cs="Arabic Typesetting"/>
                <w:sz w:val="28"/>
                <w:szCs w:val="28"/>
                <w:rtl/>
                <w:lang w:bidi="ar-EG"/>
              </w:rPr>
              <w:t>2015: 5.8%</w:t>
            </w:r>
          </w:p>
        </w:tc>
        <w:tc>
          <w:tcPr>
            <w:tcW w:w="455" w:type="pct"/>
            <w:shd w:val="clear" w:color="auto" w:fill="auto"/>
          </w:tcPr>
          <w:p w:rsidR="00796E70" w:rsidRPr="00211D55" w:rsidRDefault="008B6CC8" w:rsidP="00796E70">
            <w:pPr>
              <w:widowControl w:val="0"/>
              <w:bidi/>
              <w:spacing w:before="60" w:after="60" w:line="280" w:lineRule="exact"/>
              <w:jc w:val="center"/>
              <w:rPr>
                <w:rFonts w:ascii="Arabic Typesetting" w:hAnsi="Arabic Typesetting" w:cs="Arabic Typesetting"/>
                <w:bCs/>
                <w:color w:val="008000"/>
                <w:sz w:val="28"/>
                <w:szCs w:val="28"/>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796E70" w:rsidRPr="00211D55" w:rsidRDefault="00796E70" w:rsidP="00285760">
            <w:pPr>
              <w:keepNext/>
              <w:bidi/>
              <w:spacing w:after="60" w:line="280" w:lineRule="exact"/>
              <w:ind w:left="1167" w:hanging="1167"/>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 xml:space="preserve">النتيجة المرتقبة: </w:t>
            </w:r>
            <w:r w:rsidRPr="00211D55">
              <w:rPr>
                <w:rFonts w:ascii="Arabic Typesetting" w:hAnsi="Arabic Typesetting" w:cs="Arabic Typesetting"/>
                <w:bCs/>
                <w:sz w:val="28"/>
                <w:szCs w:val="28"/>
                <w:rtl/>
                <w:lang w:bidi="ar-EG"/>
              </w:rPr>
              <w:tab/>
            </w:r>
            <w:r w:rsidRPr="00211D55">
              <w:rPr>
                <w:rFonts w:ascii="Arabic Typesetting" w:hAnsi="Arabic Typesetting" w:cs="Arabic Typesetting"/>
                <w:sz w:val="28"/>
                <w:szCs w:val="28"/>
                <w:rtl/>
                <w:lang w:bidi="ar-EG"/>
              </w:rPr>
              <w:t xml:space="preserve">ه1.9 </w:t>
            </w:r>
            <w:r w:rsidR="003F15BC">
              <w:rPr>
                <w:rFonts w:ascii="Arabic Typesetting" w:hAnsi="Arabic Typesetting" w:cs="Arabic Typesetting"/>
                <w:sz w:val="28"/>
                <w:szCs w:val="28"/>
                <w:rtl/>
                <w:lang w:bidi="ar-EG"/>
              </w:rPr>
              <w:t>خدمات دعم فعالة وناجعة وذات جودة موجهة نحو الزبائن لفائدة الزبائن الداخليين وأصحاب المصالح الخارجيين</w:t>
            </w:r>
          </w:p>
        </w:tc>
      </w:tr>
      <w:tr w:rsidR="00E439F5" w:rsidRPr="00211D55" w:rsidTr="00B05B47">
        <w:trPr>
          <w:cantSplit/>
        </w:trPr>
        <w:tc>
          <w:tcPr>
            <w:tcW w:w="1137" w:type="pct"/>
            <w:vAlign w:val="center"/>
          </w:tcPr>
          <w:p w:rsidR="00E439F5" w:rsidRPr="00211D55" w:rsidRDefault="00E439F5" w:rsidP="00B05B47">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مؤشرات الأداء</w:t>
            </w:r>
          </w:p>
        </w:tc>
        <w:tc>
          <w:tcPr>
            <w:tcW w:w="1197" w:type="pct"/>
            <w:vAlign w:val="center"/>
          </w:tcPr>
          <w:p w:rsidR="00E439F5" w:rsidRPr="00211D55" w:rsidRDefault="00E439F5" w:rsidP="00B05B47">
            <w:pPr>
              <w:widowControl w:val="0"/>
              <w:bidi/>
              <w:spacing w:before="60" w:after="60" w:line="280" w:lineRule="exact"/>
              <w:rPr>
                <w:rFonts w:ascii="Arabic Typesetting" w:hAnsi="Arabic Typesetting" w:cs="Arabic Typesetting"/>
                <w:bCs/>
                <w:sz w:val="28"/>
                <w:szCs w:val="28"/>
                <w:lang w:bidi="ar-EG"/>
              </w:rPr>
            </w:pPr>
            <w:r w:rsidRPr="00211D55">
              <w:rPr>
                <w:rFonts w:ascii="Arabic Typesetting" w:eastAsia="Arial" w:hAnsi="Arabic Typesetting" w:cs="Arabic Typesetting"/>
                <w:bCs/>
                <w:sz w:val="28"/>
                <w:szCs w:val="28"/>
                <w:rtl/>
                <w:lang w:bidi="ar-EG"/>
              </w:rPr>
              <w:t>أسس المقارنة</w:t>
            </w:r>
          </w:p>
        </w:tc>
        <w:tc>
          <w:tcPr>
            <w:tcW w:w="847" w:type="pct"/>
            <w:tcMar>
              <w:top w:w="110" w:type="dxa"/>
            </w:tcMar>
            <w:vAlign w:val="center"/>
          </w:tcPr>
          <w:p w:rsidR="00E439F5" w:rsidRPr="00211D55" w:rsidRDefault="00E439F5" w:rsidP="00B05B47">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الأهداف</w:t>
            </w:r>
          </w:p>
        </w:tc>
        <w:tc>
          <w:tcPr>
            <w:tcW w:w="1364" w:type="pct"/>
            <w:shd w:val="clear" w:color="auto" w:fill="FFFFFF"/>
            <w:tcMar>
              <w:top w:w="110" w:type="dxa"/>
            </w:tcMar>
            <w:vAlign w:val="center"/>
          </w:tcPr>
          <w:p w:rsidR="00E439F5" w:rsidRPr="00211D55" w:rsidRDefault="00E439F5" w:rsidP="00B05B47">
            <w:pPr>
              <w:widowControl w:val="0"/>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بيانات الأداء</w:t>
            </w:r>
          </w:p>
        </w:tc>
        <w:tc>
          <w:tcPr>
            <w:tcW w:w="455" w:type="pct"/>
            <w:shd w:val="clear" w:color="auto" w:fill="auto"/>
            <w:vAlign w:val="center"/>
          </w:tcPr>
          <w:p w:rsidR="00E439F5" w:rsidRPr="00211D55" w:rsidRDefault="00E439F5" w:rsidP="00B05B47">
            <w:pPr>
              <w:widowControl w:val="0"/>
              <w:bidi/>
              <w:spacing w:before="60" w:after="60" w:line="280" w:lineRule="exact"/>
              <w:jc w:val="center"/>
              <w:rPr>
                <w:rFonts w:ascii="Arabic Typesetting" w:hAnsi="Arabic Typesetting" w:cs="Arabic Typesetting"/>
                <w:bCs/>
                <w:sz w:val="28"/>
                <w:szCs w:val="28"/>
                <w:lang w:bidi="ar-EG"/>
              </w:rPr>
            </w:pPr>
            <w:r w:rsidRPr="00211D55">
              <w:rPr>
                <w:rFonts w:ascii="Arabic Typesetting" w:eastAsia="Arial" w:hAnsi="Arabic Typesetting" w:cs="Arabic Typesetting"/>
                <w:bCs/>
                <w:sz w:val="28"/>
                <w:szCs w:val="28"/>
                <w:rtl/>
                <w:lang w:bidi="ar-EG"/>
              </w:rPr>
              <w:t>السير</w:t>
            </w:r>
          </w:p>
        </w:tc>
      </w:tr>
      <w:tr w:rsidR="00796E70" w:rsidRPr="00211D55" w:rsidTr="008B6CC8">
        <w:trPr>
          <w:cantSplit/>
        </w:trPr>
        <w:tc>
          <w:tcPr>
            <w:tcW w:w="1137" w:type="pct"/>
          </w:tcPr>
          <w:p w:rsidR="00796E70" w:rsidRPr="00211D55" w:rsidRDefault="00796E70" w:rsidP="00796E70">
            <w:pPr>
              <w:widowControl w:val="0"/>
              <w:bidi/>
              <w:spacing w:before="60" w:after="60" w:line="280" w:lineRule="exact"/>
              <w:rPr>
                <w:rFonts w:ascii="Arabic Typesetting" w:eastAsia="Arial" w:hAnsi="Arabic Typesetting" w:cs="Arabic Typesetting"/>
                <w:sz w:val="28"/>
                <w:szCs w:val="28"/>
                <w:rtl/>
              </w:rPr>
            </w:pPr>
            <w:r w:rsidRPr="00211D55">
              <w:rPr>
                <w:rFonts w:ascii="Arabic Typesetting" w:eastAsia="Arial" w:hAnsi="Arabic Typesetting" w:cs="Arabic Typesetting"/>
                <w:sz w:val="28"/>
                <w:szCs w:val="28"/>
                <w:rtl/>
                <w:lang w:bidi="ar-EG"/>
              </w:rPr>
              <w:t>تحقيق وفورات في السلع والخدمات التي تشتريها الويبو (مستمدة من طلبات العطاءات أو المفاوضات المباشرة)</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000 531 فرنك سويسري</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نتيجة عام 2013</w:t>
            </w:r>
          </w:p>
        </w:tc>
        <w:tc>
          <w:tcPr>
            <w:tcW w:w="847" w:type="pct"/>
            <w:tcMar>
              <w:top w:w="110" w:type="dxa"/>
            </w:tcMar>
          </w:tcPr>
          <w:p w:rsidR="00796E70" w:rsidRPr="00781F2F" w:rsidRDefault="00781F2F" w:rsidP="00781F2F">
            <w:pPr>
              <w:widowControl w:val="0"/>
              <w:bidi/>
              <w:spacing w:before="60" w:after="60" w:line="280" w:lineRule="exact"/>
              <w:rPr>
                <w:rFonts w:ascii="Arabic Typesetting" w:eastAsia="Arial" w:hAnsi="Arabic Typesetting" w:cs="Arabic Typesetting"/>
                <w:sz w:val="28"/>
                <w:szCs w:val="28"/>
                <w:rtl/>
                <w:lang w:bidi="ar-EG"/>
              </w:rPr>
            </w:pPr>
            <w:r w:rsidRPr="00781F2F">
              <w:rPr>
                <w:rFonts w:ascii="Arabic Typesetting" w:eastAsia="Arial" w:hAnsi="Arabic Typesetting" w:cs="Arabic Typesetting" w:hint="cs"/>
                <w:sz w:val="28"/>
                <w:szCs w:val="28"/>
                <w:rtl/>
                <w:lang w:bidi="ar-EG"/>
              </w:rPr>
              <w:t>+5% على عام</w:t>
            </w:r>
            <w:r w:rsidRPr="00781F2F">
              <w:rPr>
                <w:rFonts w:ascii="Arabic Typesetting" w:eastAsia="Arial" w:hAnsi="Arabic Typesetting" w:cs="Arabic Typesetting" w:hint="eastAsia"/>
                <w:sz w:val="28"/>
                <w:szCs w:val="28"/>
                <w:rtl/>
                <w:lang w:bidi="ar-EG"/>
              </w:rPr>
              <w:t> </w:t>
            </w:r>
            <w:r w:rsidRPr="00781F2F">
              <w:rPr>
                <w:rFonts w:ascii="Arabic Typesetting" w:eastAsia="Arial" w:hAnsi="Arabic Typesetting" w:cs="Arabic Typesetting" w:hint="cs"/>
                <w:sz w:val="28"/>
                <w:szCs w:val="28"/>
                <w:rtl/>
                <w:lang w:bidi="ar-EG"/>
              </w:rPr>
              <w:t>2013</w:t>
            </w:r>
          </w:p>
        </w:tc>
        <w:tc>
          <w:tcPr>
            <w:tcW w:w="1364" w:type="pct"/>
            <w:shd w:val="clear" w:color="auto" w:fill="FFFFFF"/>
            <w:tcMar>
              <w:top w:w="110" w:type="dxa"/>
            </w:tcMar>
          </w:tcPr>
          <w:p w:rsidR="00796E70" w:rsidRPr="00211D55" w:rsidRDefault="00796E70"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000 663 2 فرنك سويسري</w:t>
            </w:r>
            <w:r w:rsidR="008B6CC8" w:rsidRPr="00211D55">
              <w:rPr>
                <w:rFonts w:ascii="Arabic Typesetting" w:eastAsia="Arial" w:hAnsi="Arabic Typesetting" w:cs="Arabic Typesetting"/>
                <w:sz w:val="28"/>
                <w:szCs w:val="28"/>
                <w:rtl/>
                <w:lang w:bidi="ar-EG"/>
              </w:rPr>
              <w:t xml:space="preserve"> (2014)</w:t>
            </w:r>
          </w:p>
          <w:p w:rsidR="008B6CC8" w:rsidRPr="00211D55" w:rsidRDefault="008B6CC8" w:rsidP="008B6CC8">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361 826 3 فرنكاً سويسرياً (2015)</w:t>
            </w:r>
          </w:p>
        </w:tc>
        <w:tc>
          <w:tcPr>
            <w:tcW w:w="455" w:type="pct"/>
            <w:shd w:val="clear" w:color="auto" w:fill="auto"/>
          </w:tcPr>
          <w:p w:rsidR="00796E70" w:rsidRPr="00211D55" w:rsidRDefault="008B6CC8"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1137" w:type="pct"/>
          </w:tcPr>
          <w:p w:rsidR="00796E70" w:rsidRPr="00211D55" w:rsidRDefault="00796E70"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النسبة المئوية للزبائن الداخليين الراضين عن خدمات المشتريات</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73%</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نتيجة عام 2012</w:t>
            </w:r>
          </w:p>
        </w:tc>
        <w:tc>
          <w:tcPr>
            <w:tcW w:w="847" w:type="pct"/>
            <w:tcMar>
              <w:top w:w="110" w:type="dxa"/>
            </w:tcMar>
          </w:tcPr>
          <w:p w:rsidR="00796E70" w:rsidRPr="00211D55" w:rsidRDefault="006536BF" w:rsidP="006536BF">
            <w:pPr>
              <w:widowControl w:val="0"/>
              <w:bidi/>
              <w:spacing w:before="60" w:after="60" w:line="280" w:lineRule="exact"/>
              <w:rPr>
                <w:rFonts w:ascii="Arabic Typesetting" w:hAnsi="Arabic Typesetting" w:cs="Arabic Typesetting"/>
                <w:color w:val="002060"/>
                <w:sz w:val="28"/>
                <w:szCs w:val="28"/>
                <w:rtl/>
                <w:lang w:bidi="ar-EG"/>
              </w:rPr>
            </w:pPr>
            <w:r w:rsidRPr="00781F2F">
              <w:rPr>
                <w:rFonts w:ascii="Arabic Typesetting" w:eastAsia="Arial" w:hAnsi="Arabic Typesetting" w:cs="Arabic Typesetting" w:hint="cs"/>
                <w:sz w:val="28"/>
                <w:szCs w:val="28"/>
                <w:rtl/>
                <w:lang w:bidi="ar-EG"/>
              </w:rPr>
              <w:t>+5% على عام</w:t>
            </w:r>
            <w:r w:rsidRPr="00781F2F">
              <w:rPr>
                <w:rFonts w:ascii="Arabic Typesetting" w:eastAsia="Arial" w:hAnsi="Arabic Typesetting" w:cs="Arabic Typesetting" w:hint="eastAsia"/>
                <w:sz w:val="28"/>
                <w:szCs w:val="28"/>
                <w:rtl/>
                <w:lang w:bidi="ar-EG"/>
              </w:rPr>
              <w:t> </w:t>
            </w:r>
            <w:r>
              <w:rPr>
                <w:rFonts w:ascii="Arabic Typesetting" w:eastAsia="Arial" w:hAnsi="Arabic Typesetting" w:cs="Arabic Typesetting" w:hint="cs"/>
                <w:sz w:val="28"/>
                <w:szCs w:val="28"/>
                <w:rtl/>
                <w:lang w:bidi="ar-EG"/>
              </w:rPr>
              <w:t>2012</w:t>
            </w:r>
          </w:p>
        </w:tc>
        <w:tc>
          <w:tcPr>
            <w:tcW w:w="1364" w:type="pct"/>
            <w:shd w:val="clear" w:color="auto" w:fill="FFFFFF"/>
            <w:tcMar>
              <w:top w:w="110" w:type="dxa"/>
            </w:tcMar>
          </w:tcPr>
          <w:p w:rsidR="00796E70" w:rsidRPr="00211D55" w:rsidRDefault="00796E70"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89%</w:t>
            </w:r>
          </w:p>
        </w:tc>
        <w:tc>
          <w:tcPr>
            <w:tcW w:w="455" w:type="pct"/>
            <w:shd w:val="clear" w:color="auto" w:fill="auto"/>
          </w:tcPr>
          <w:p w:rsidR="00796E70" w:rsidRPr="00211D55" w:rsidRDefault="008B6CC8"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1137" w:type="pct"/>
          </w:tcPr>
          <w:p w:rsidR="00796E70" w:rsidRPr="00211D55" w:rsidRDefault="00796E70" w:rsidP="008B6CC8">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الوقت المستغرق لمعالجة الطلبات المتعلقة بالسفر (تصريحات السفر الإلكترونية وطلبات التظاهرات الإلكترونية والتأشيرات)</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 xml:space="preserve">الوقت المستغرق لمعالجة الطلبات المتعلقة بالسفر: </w:t>
            </w:r>
          </w:p>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تصريح السفر الإلكتروني = يوم واحد</w:t>
            </w:r>
          </w:p>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طلب التظاهرة الإلكتروني = ساعتان</w:t>
            </w:r>
          </w:p>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تأشيرة الغير = يومان (أسس المقارنة 2013)</w:t>
            </w:r>
          </w:p>
        </w:tc>
        <w:tc>
          <w:tcPr>
            <w:tcW w:w="847" w:type="pct"/>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تصريح السفر الإلكتروني = نصف يوم واحد</w:t>
            </w:r>
          </w:p>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طلب التظاهرة الإلكتروني = ساعة واحدة</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sz w:val="28"/>
                <w:szCs w:val="28"/>
                <w:rtl/>
                <w:lang w:bidi="ar-EG"/>
              </w:rPr>
              <w:t>التأشيرات= يومان</w:t>
            </w:r>
          </w:p>
        </w:tc>
        <w:tc>
          <w:tcPr>
            <w:tcW w:w="1364" w:type="pct"/>
            <w:shd w:val="clear" w:color="auto" w:fill="FFFFFF"/>
            <w:tcMar>
              <w:top w:w="110" w:type="dxa"/>
            </w:tcMar>
          </w:tcPr>
          <w:p w:rsidR="00796E70" w:rsidRPr="00211D55" w:rsidRDefault="00796E70" w:rsidP="008B6CC8">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تصريح السفر الإلكتروني = نصف </w:t>
            </w:r>
            <w:r w:rsidR="008B6CC8" w:rsidRPr="00211D55">
              <w:rPr>
                <w:rFonts w:ascii="Arabic Typesetting" w:hAnsi="Arabic Typesetting" w:cs="Arabic Typesetting"/>
                <w:sz w:val="28"/>
                <w:szCs w:val="28"/>
                <w:rtl/>
                <w:lang w:bidi="ar-EG"/>
              </w:rPr>
              <w:t>يوم</w:t>
            </w:r>
          </w:p>
          <w:p w:rsidR="00796E70" w:rsidRPr="00211D55" w:rsidRDefault="00796E70" w:rsidP="00796E70">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طلب التظاهرة الإلكتروني = ساعة واحدة أو أقل من ذلك</w:t>
            </w:r>
          </w:p>
          <w:p w:rsidR="00796E70" w:rsidRPr="00211D55" w:rsidRDefault="00796E70" w:rsidP="008B6CC8">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hAnsi="Arabic Typesetting" w:cs="Arabic Typesetting"/>
                <w:sz w:val="28"/>
                <w:szCs w:val="28"/>
                <w:rtl/>
                <w:lang w:bidi="ar-EG"/>
              </w:rPr>
              <w:t xml:space="preserve">التأشيرات= أقل من </w:t>
            </w:r>
            <w:r w:rsidR="008B6CC8" w:rsidRPr="00211D55">
              <w:rPr>
                <w:rFonts w:ascii="Arabic Typesetting" w:hAnsi="Arabic Typesetting" w:cs="Arabic Typesetting"/>
                <w:sz w:val="28"/>
                <w:szCs w:val="28"/>
                <w:rtl/>
                <w:lang w:bidi="ar-EG"/>
              </w:rPr>
              <w:t>يوم واحد</w:t>
            </w:r>
          </w:p>
        </w:tc>
        <w:tc>
          <w:tcPr>
            <w:tcW w:w="455" w:type="pct"/>
            <w:shd w:val="clear" w:color="auto" w:fill="auto"/>
          </w:tcPr>
          <w:p w:rsidR="00796E70" w:rsidRPr="00211D55" w:rsidRDefault="008B6CC8"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1137" w:type="pct"/>
          </w:tcPr>
          <w:p w:rsidR="00796E70" w:rsidRPr="00211D55" w:rsidRDefault="00796E70"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 xml:space="preserve">متوسط سعر التذاكر (تذاكر </w:t>
            </w:r>
            <w:r w:rsidRPr="00211D55">
              <w:rPr>
                <w:rFonts w:ascii="Arabic Typesetting" w:eastAsia="Arial" w:hAnsi="Arabic Typesetting" w:cs="Arabic Typesetting"/>
                <w:sz w:val="28"/>
                <w:szCs w:val="28"/>
                <w:lang w:bidi="ar-EG"/>
              </w:rPr>
              <w:t>TMC</w:t>
            </w:r>
            <w:r w:rsidRPr="00211D55">
              <w:rPr>
                <w:rFonts w:ascii="Arabic Typesetting" w:eastAsia="Arial" w:hAnsi="Arabic Typesetting" w:cs="Arabic Typesetting"/>
                <w:sz w:val="28"/>
                <w:szCs w:val="28"/>
                <w:rtl/>
                <w:lang w:bidi="ar-EG"/>
              </w:rPr>
              <w:t xml:space="preserve"> و</w:t>
            </w:r>
            <w:r w:rsidRPr="00211D55">
              <w:rPr>
                <w:rFonts w:ascii="Arabic Typesetting" w:eastAsia="Arial" w:hAnsi="Arabic Typesetting" w:cs="Arabic Typesetting"/>
                <w:sz w:val="28"/>
                <w:szCs w:val="28"/>
                <w:lang w:bidi="ar-EG"/>
              </w:rPr>
              <w:t>UNDP</w:t>
            </w:r>
            <w:r w:rsidRPr="00211D55">
              <w:rPr>
                <w:rFonts w:ascii="Arabic Typesetting" w:eastAsia="Arial" w:hAnsi="Arabic Typesetting" w:cs="Arabic Typesetting"/>
                <w:sz w:val="28"/>
                <w:szCs w:val="28"/>
                <w:rtl/>
                <w:lang w:bidi="ar-EG"/>
              </w:rPr>
              <w:t>)</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728 1 فرنكا سويسريا</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التكلفة (أساس المقارنة 2013)</w:t>
            </w:r>
          </w:p>
        </w:tc>
        <w:tc>
          <w:tcPr>
            <w:tcW w:w="847" w:type="pct"/>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sz w:val="28"/>
                <w:szCs w:val="28"/>
                <w:rtl/>
                <w:lang w:bidi="ar-EG"/>
              </w:rPr>
              <w:t>خفض متوسط سعر التذاكر</w:t>
            </w:r>
          </w:p>
        </w:tc>
        <w:tc>
          <w:tcPr>
            <w:tcW w:w="1364" w:type="pct"/>
            <w:shd w:val="clear" w:color="auto" w:fill="FFFFFF"/>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598 1 فرنكا سويسريا</w:t>
            </w:r>
            <w:r w:rsidR="008B6CC8" w:rsidRPr="00211D55">
              <w:rPr>
                <w:rFonts w:ascii="Arabic Typesetting" w:hAnsi="Arabic Typesetting" w:cs="Arabic Typesetting"/>
                <w:sz w:val="28"/>
                <w:szCs w:val="28"/>
                <w:rtl/>
                <w:lang w:bidi="ar-EG"/>
              </w:rPr>
              <w:t xml:space="preserve"> (2014)</w:t>
            </w:r>
          </w:p>
          <w:p w:rsidR="008B6CC8" w:rsidRPr="00211D55" w:rsidRDefault="008B6CC8" w:rsidP="008B6CC8">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481 1 فرنكا سويسريا (2015)</w:t>
            </w:r>
          </w:p>
        </w:tc>
        <w:tc>
          <w:tcPr>
            <w:tcW w:w="455" w:type="pct"/>
            <w:shd w:val="clear" w:color="auto" w:fill="auto"/>
          </w:tcPr>
          <w:p w:rsidR="00796E70" w:rsidRPr="00211D55" w:rsidRDefault="008B6CC8"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1137" w:type="pct"/>
          </w:tcPr>
          <w:p w:rsidR="00796E70" w:rsidRPr="00211D55" w:rsidRDefault="00796E70" w:rsidP="006536BF">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lastRenderedPageBreak/>
              <w:t xml:space="preserve">إدارة جميع أنواع الأماكن في مجمع الويبو بفعالية (أماكن العمل والتخزين </w:t>
            </w:r>
            <w:r w:rsidR="006536BF">
              <w:rPr>
                <w:rFonts w:ascii="Arabic Typesetting" w:eastAsia="Arial" w:hAnsi="Arabic Typesetting" w:cs="Arabic Typesetting" w:hint="cs"/>
                <w:sz w:val="28"/>
                <w:szCs w:val="28"/>
                <w:rtl/>
                <w:lang w:bidi="ar-EG"/>
              </w:rPr>
              <w:t>والمحفوظات</w:t>
            </w:r>
            <w:r w:rsidRPr="00211D55">
              <w:rPr>
                <w:rFonts w:ascii="Arabic Typesetting" w:eastAsia="Arial" w:hAnsi="Arabic Typesetting" w:cs="Arabic Typesetting"/>
                <w:sz w:val="28"/>
                <w:szCs w:val="28"/>
                <w:rtl/>
                <w:lang w:bidi="ar-EG"/>
              </w:rPr>
              <w:t>)</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80 مكان عمل (لم يلزم استئجار أمكان عمل إضافية خلال الثنائية)</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6536BF">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الحفاظ على عدد أماكن العمل في جميع المباني لاستيعاب التوسع في الخدمات والتغييرات في أنشطة الويبو (عدد الموظفين في نهاية 2013)؛ 80 مكان عمل مستأجر كحد أقصى (نهاية 2013)؛ 6 أماكن تخزين/</w:t>
            </w:r>
            <w:r w:rsidR="006536BF">
              <w:rPr>
                <w:rFonts w:ascii="Arabic Typesetting" w:hAnsi="Arabic Typesetting" w:cs="Arabic Typesetting" w:hint="cs"/>
                <w:sz w:val="28"/>
                <w:szCs w:val="28"/>
                <w:rtl/>
                <w:lang w:bidi="ar-EG"/>
              </w:rPr>
              <w:t>حفظ</w:t>
            </w:r>
            <w:r w:rsidRPr="00211D55">
              <w:rPr>
                <w:rFonts w:ascii="Arabic Typesetting" w:hAnsi="Arabic Typesetting" w:cs="Arabic Typesetting"/>
                <w:sz w:val="28"/>
                <w:szCs w:val="28"/>
                <w:rtl/>
                <w:lang w:bidi="ar-EG"/>
              </w:rPr>
              <w:t xml:space="preserve"> خارج الموقع (نهاية</w:t>
            </w:r>
            <w:r w:rsidR="001C7B7C" w:rsidRPr="00211D55">
              <w:rPr>
                <w:rFonts w:ascii="Arabic Typesetting" w:hAnsi="Arabic Typesetting" w:cs="Arabic Typesetting"/>
                <w:sz w:val="28"/>
                <w:szCs w:val="28"/>
                <w:rtl/>
                <w:lang w:bidi="ar-EG"/>
              </w:rPr>
              <w:t> </w:t>
            </w:r>
            <w:r w:rsidRPr="00211D55">
              <w:rPr>
                <w:rFonts w:ascii="Arabic Typesetting" w:hAnsi="Arabic Typesetting" w:cs="Arabic Typesetting"/>
                <w:sz w:val="28"/>
                <w:szCs w:val="28"/>
                <w:rtl/>
                <w:lang w:bidi="ar-EG"/>
              </w:rPr>
              <w:t>2013)</w:t>
            </w:r>
          </w:p>
        </w:tc>
        <w:tc>
          <w:tcPr>
            <w:tcW w:w="847" w:type="pct"/>
            <w:tcMar>
              <w:top w:w="110" w:type="dxa"/>
            </w:tcMar>
          </w:tcPr>
          <w:p w:rsidR="00796E70" w:rsidRPr="00211D55" w:rsidRDefault="00796E70" w:rsidP="006536BF">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sz w:val="28"/>
                <w:szCs w:val="28"/>
                <w:rtl/>
                <w:lang w:bidi="ar-EG"/>
              </w:rPr>
              <w:t>80 مكان عمل مستأجر كحد أقصى (من أصل 582 1 مكان عمل إجمالا)؛ 6 أماكن تخزين/</w:t>
            </w:r>
            <w:r w:rsidR="006536BF">
              <w:rPr>
                <w:rFonts w:ascii="Arabic Typesetting" w:hAnsi="Arabic Typesetting" w:cs="Arabic Typesetting" w:hint="cs"/>
                <w:sz w:val="28"/>
                <w:szCs w:val="28"/>
                <w:rtl/>
                <w:lang w:bidi="ar-EG"/>
              </w:rPr>
              <w:t>حفظ</w:t>
            </w:r>
          </w:p>
        </w:tc>
        <w:tc>
          <w:tcPr>
            <w:tcW w:w="1364" w:type="pct"/>
            <w:shd w:val="clear" w:color="auto" w:fill="FFFFFF"/>
            <w:tcMar>
              <w:top w:w="110" w:type="dxa"/>
            </w:tcMar>
          </w:tcPr>
          <w:p w:rsidR="00796E70" w:rsidRPr="00211D55" w:rsidRDefault="00796E70" w:rsidP="007642ED">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80 مكان عمل مستأجر (من أصل </w:t>
            </w:r>
            <w:r w:rsidR="008B6CC8" w:rsidRPr="00211D55">
              <w:rPr>
                <w:rFonts w:ascii="Arabic Typesetting" w:hAnsi="Arabic Typesetting" w:cs="Arabic Typesetting"/>
                <w:sz w:val="28"/>
                <w:szCs w:val="28"/>
                <w:rtl/>
                <w:lang w:bidi="ar-EG"/>
              </w:rPr>
              <w:t>645</w:t>
            </w:r>
            <w:r w:rsidRPr="00211D55">
              <w:rPr>
                <w:rFonts w:ascii="Arabic Typesetting" w:hAnsi="Arabic Typesetting" w:cs="Arabic Typesetting"/>
                <w:sz w:val="28"/>
                <w:szCs w:val="28"/>
                <w:rtl/>
                <w:lang w:bidi="ar-EG"/>
              </w:rPr>
              <w:t xml:space="preserve"> 1 مكان عمل إجمالا)؛ </w:t>
            </w:r>
            <w:r w:rsidR="008B6CC8" w:rsidRPr="00211D55">
              <w:rPr>
                <w:rFonts w:ascii="Arabic Typesetting" w:hAnsi="Arabic Typesetting" w:cs="Arabic Typesetting"/>
                <w:sz w:val="28"/>
                <w:szCs w:val="28"/>
                <w:rtl/>
                <w:lang w:bidi="ar-EG"/>
              </w:rPr>
              <w:t>4</w:t>
            </w:r>
            <w:r w:rsidRPr="00211D55">
              <w:rPr>
                <w:rFonts w:ascii="Arabic Typesetting" w:hAnsi="Arabic Typesetting" w:cs="Arabic Typesetting"/>
                <w:sz w:val="28"/>
                <w:szCs w:val="28"/>
                <w:rtl/>
                <w:lang w:bidi="ar-EG"/>
              </w:rPr>
              <w:t xml:space="preserve"> أماكن تخزين/</w:t>
            </w:r>
            <w:r w:rsidR="006536BF">
              <w:rPr>
                <w:rFonts w:ascii="Arabic Typesetting" w:hAnsi="Arabic Typesetting" w:cs="Arabic Typesetting" w:hint="cs"/>
                <w:sz w:val="28"/>
                <w:szCs w:val="28"/>
                <w:rtl/>
                <w:lang w:bidi="ar-EG"/>
              </w:rPr>
              <w:t>حفظ</w:t>
            </w:r>
            <w:r w:rsidRPr="00211D55">
              <w:rPr>
                <w:rFonts w:ascii="Arabic Typesetting" w:hAnsi="Arabic Typesetting" w:cs="Arabic Typesetting"/>
                <w:sz w:val="28"/>
                <w:szCs w:val="28"/>
                <w:rtl/>
                <w:lang w:bidi="ar-EG"/>
              </w:rPr>
              <w:t xml:space="preserve"> نظرا </w:t>
            </w:r>
            <w:r w:rsidR="006536BF">
              <w:rPr>
                <w:rFonts w:ascii="Arabic Typesetting" w:hAnsi="Arabic Typesetting" w:cs="Arabic Typesetting" w:hint="cs"/>
                <w:sz w:val="28"/>
                <w:szCs w:val="28"/>
                <w:rtl/>
                <w:lang w:bidi="ar-EG"/>
              </w:rPr>
              <w:t xml:space="preserve">إلى </w:t>
            </w:r>
            <w:r w:rsidRPr="00211D55">
              <w:rPr>
                <w:rFonts w:ascii="Arabic Typesetting" w:hAnsi="Arabic Typesetting" w:cs="Arabic Typesetting"/>
                <w:sz w:val="28"/>
                <w:szCs w:val="28"/>
                <w:rtl/>
                <w:lang w:bidi="ar-EG"/>
              </w:rPr>
              <w:t xml:space="preserve">إنهاء عقد استئجار </w:t>
            </w:r>
            <w:r w:rsidR="008B6CC8" w:rsidRPr="00211D55">
              <w:rPr>
                <w:rFonts w:ascii="Arabic Typesetting" w:hAnsi="Arabic Typesetting" w:cs="Arabic Typesetting"/>
                <w:sz w:val="28"/>
                <w:szCs w:val="28"/>
                <w:rtl/>
                <w:lang w:bidi="ar-EG"/>
              </w:rPr>
              <w:t>مكانين</w:t>
            </w:r>
            <w:r w:rsidRPr="00211D55">
              <w:rPr>
                <w:rFonts w:ascii="Arabic Typesetting" w:hAnsi="Arabic Typesetting" w:cs="Arabic Typesetting"/>
                <w:sz w:val="28"/>
                <w:szCs w:val="28"/>
                <w:rtl/>
                <w:lang w:bidi="ar-EG"/>
              </w:rPr>
              <w:t xml:space="preserve"> للتخزين خارج الموقع. وإضافة إلى ذلك، </w:t>
            </w:r>
            <w:r w:rsidR="007642ED">
              <w:rPr>
                <w:rFonts w:ascii="Arabic Typesetting" w:hAnsi="Arabic Typesetting" w:cs="Arabic Typesetting" w:hint="cs"/>
                <w:sz w:val="28"/>
                <w:szCs w:val="28"/>
                <w:rtl/>
                <w:lang w:bidi="ar-EG"/>
              </w:rPr>
              <w:t>أنهي</w:t>
            </w:r>
            <w:r w:rsidRPr="00211D55">
              <w:rPr>
                <w:rFonts w:ascii="Arabic Typesetting" w:hAnsi="Arabic Typesetting" w:cs="Arabic Typesetting"/>
                <w:sz w:val="28"/>
                <w:szCs w:val="28"/>
                <w:rtl/>
                <w:lang w:bidi="ar-EG"/>
              </w:rPr>
              <w:t xml:space="preserve"> عقد استئجار مكان مستقل في أحد مستودعات التخزين، ووقف استئجار </w:t>
            </w:r>
            <w:r w:rsidR="008B6CC8" w:rsidRPr="00211D55">
              <w:rPr>
                <w:rFonts w:ascii="Arabic Typesetting" w:hAnsi="Arabic Typesetting" w:cs="Arabic Typesetting"/>
                <w:sz w:val="28"/>
                <w:szCs w:val="28"/>
                <w:rtl/>
                <w:lang w:bidi="ar-EG"/>
              </w:rPr>
              <w:t>57</w:t>
            </w:r>
            <w:r w:rsidRPr="00211D55">
              <w:rPr>
                <w:rFonts w:ascii="Arabic Typesetting" w:hAnsi="Arabic Typesetting" w:cs="Arabic Typesetting"/>
                <w:sz w:val="28"/>
                <w:szCs w:val="28"/>
                <w:rtl/>
                <w:lang w:bidi="ar-EG"/>
              </w:rPr>
              <w:t xml:space="preserve"> مكانا لتوقيف السيارات خارج الموقع.</w:t>
            </w:r>
          </w:p>
        </w:tc>
        <w:tc>
          <w:tcPr>
            <w:tcW w:w="455" w:type="pct"/>
            <w:shd w:val="clear" w:color="auto" w:fill="auto"/>
          </w:tcPr>
          <w:p w:rsidR="00796E70" w:rsidRPr="00211D55" w:rsidRDefault="008B6CC8"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1137" w:type="pct"/>
          </w:tcPr>
          <w:p w:rsidR="00796E70" w:rsidRPr="00211D55" w:rsidRDefault="00796E70"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lastRenderedPageBreak/>
              <w:t>تجديد/تحديث/تحويل المباني في مجمع الويبو</w:t>
            </w:r>
            <w:r w:rsidRPr="00211D55">
              <w:rPr>
                <w:rFonts w:ascii="Arabic Typesetting" w:eastAsia="Arial" w:hAnsi="Arabic Typesetting" w:cs="Arabic Typesetting"/>
                <w:sz w:val="28"/>
                <w:szCs w:val="28"/>
                <w:rtl/>
              </w:rPr>
              <w:t xml:space="preserve"> </w:t>
            </w:r>
            <w:r w:rsidRPr="00211D55">
              <w:rPr>
                <w:rFonts w:ascii="Arabic Typesetting" w:eastAsia="Arial" w:hAnsi="Arabic Typesetting" w:cs="Arabic Typesetting"/>
                <w:sz w:val="28"/>
                <w:szCs w:val="28"/>
                <w:rtl/>
                <w:lang w:bidi="ar-EG"/>
              </w:rPr>
              <w:t>لكي تظل ملائمة للغرض من إنشائها</w:t>
            </w:r>
          </w:p>
        </w:tc>
        <w:tc>
          <w:tcPr>
            <w:tcW w:w="1197" w:type="pct"/>
          </w:tcPr>
          <w:p w:rsidR="00796E70" w:rsidRPr="00211D55" w:rsidRDefault="00796E70" w:rsidP="007642ED">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w:t>
            </w:r>
            <w:r w:rsidR="007642ED">
              <w:rPr>
                <w:rFonts w:ascii="Arabic Typesetting" w:hAnsi="Arabic Typesetting" w:cs="Arabic Typesetting" w:hint="cs"/>
                <w:color w:val="002060"/>
                <w:sz w:val="28"/>
                <w:szCs w:val="28"/>
                <w:rtl/>
                <w:lang w:bidi="ar-EG"/>
              </w:rPr>
              <w:t>حدِّثت</w:t>
            </w:r>
            <w:r w:rsidRPr="00211D55">
              <w:rPr>
                <w:rFonts w:ascii="Arabic Typesetting" w:hAnsi="Arabic Typesetting" w:cs="Arabic Typesetting"/>
                <w:color w:val="002060"/>
                <w:sz w:val="28"/>
                <w:szCs w:val="28"/>
                <w:rtl/>
                <w:lang w:bidi="ar-EG"/>
              </w:rPr>
              <w:t xml:space="preserve"> تجهيزات التبريد الموجودة في المبنيين </w:t>
            </w:r>
            <w:r w:rsidR="00781F2F" w:rsidRPr="00211D55">
              <w:rPr>
                <w:rFonts w:ascii="Arabic Typesetting" w:hAnsi="Arabic Typesetting" w:cs="Arabic Typesetting"/>
                <w:color w:val="002060"/>
                <w:sz w:val="28"/>
                <w:szCs w:val="28"/>
                <w:lang w:bidi="ar-EG"/>
              </w:rPr>
              <w:t>GBI</w:t>
            </w:r>
            <w:r w:rsidR="00781F2F">
              <w:rPr>
                <w:rFonts w:ascii="Arabic Typesetting" w:hAnsi="Arabic Typesetting" w:cs="Arabic Typesetting" w:hint="cs"/>
                <w:color w:val="002060"/>
                <w:sz w:val="28"/>
                <w:szCs w:val="28"/>
                <w:rtl/>
                <w:lang w:bidi="ar-EG"/>
              </w:rPr>
              <w:t xml:space="preserve"> و</w:t>
            </w:r>
            <w:r w:rsidR="00781F2F" w:rsidRPr="00211D55">
              <w:rPr>
                <w:rFonts w:ascii="Arabic Typesetting" w:hAnsi="Arabic Typesetting" w:cs="Arabic Typesetting"/>
                <w:color w:val="002060"/>
                <w:sz w:val="28"/>
                <w:szCs w:val="28"/>
                <w:lang w:bidi="ar-EG"/>
              </w:rPr>
              <w:t>GB</w:t>
            </w:r>
            <w:r w:rsidR="00781F2F">
              <w:rPr>
                <w:rFonts w:ascii="Arabic Typesetting" w:hAnsi="Arabic Typesetting" w:cs="Arabic Typesetting"/>
                <w:color w:val="002060"/>
                <w:sz w:val="28"/>
                <w:szCs w:val="28"/>
                <w:lang w:bidi="ar-EG"/>
              </w:rPr>
              <w:t> </w:t>
            </w:r>
            <w:r w:rsidR="00781F2F" w:rsidRPr="00211D55">
              <w:rPr>
                <w:rFonts w:ascii="Arabic Typesetting" w:hAnsi="Arabic Typesetting" w:cs="Arabic Typesetting"/>
                <w:color w:val="002060"/>
                <w:sz w:val="28"/>
                <w:szCs w:val="28"/>
                <w:lang w:bidi="ar-EG"/>
              </w:rPr>
              <w:t>II</w:t>
            </w:r>
            <w:r w:rsidR="00781F2F">
              <w:rPr>
                <w:rFonts w:ascii="Arabic Typesetting" w:hAnsi="Arabic Typesetting" w:cs="Arabic Typesetting" w:hint="cs"/>
                <w:color w:val="002060"/>
                <w:sz w:val="28"/>
                <w:szCs w:val="28"/>
                <w:rtl/>
                <w:lang w:bidi="ar-EG"/>
              </w:rPr>
              <w:t xml:space="preserve"> </w:t>
            </w:r>
            <w:r w:rsidRPr="00211D55">
              <w:rPr>
                <w:rFonts w:ascii="Arabic Typesetting" w:hAnsi="Arabic Typesetting" w:cs="Arabic Typesetting"/>
                <w:color w:val="002060"/>
                <w:sz w:val="28"/>
                <w:szCs w:val="28"/>
                <w:rtl/>
                <w:lang w:bidi="ar-EG"/>
              </w:rPr>
              <w:t>والتي تستخدم نظام مياه بحيرة جنيف، واستكمالها في عام 2012 ويونيو 2013 على التوالي.</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6536BF">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color w:val="002060"/>
                <w:sz w:val="28"/>
                <w:szCs w:val="28"/>
                <w:rtl/>
                <w:lang w:bidi="ar-EG"/>
              </w:rPr>
              <w:t>وبدأ تحديث التجهيزات الكهربائية في أقدم المباني (</w:t>
            </w:r>
            <w:r w:rsidRPr="00211D55">
              <w:rPr>
                <w:rFonts w:ascii="Arabic Typesetting" w:hAnsi="Arabic Typesetting" w:cs="Arabic Typesetting"/>
                <w:color w:val="002060"/>
                <w:sz w:val="28"/>
                <w:szCs w:val="28"/>
                <w:lang w:bidi="ar-EG"/>
              </w:rPr>
              <w:t>GBI</w:t>
            </w:r>
            <w:r w:rsidRPr="00211D55">
              <w:rPr>
                <w:rFonts w:ascii="Arabic Typesetting" w:hAnsi="Arabic Typesetting" w:cs="Arabic Typesetting"/>
                <w:color w:val="002060"/>
                <w:sz w:val="28"/>
                <w:szCs w:val="28"/>
                <w:rtl/>
                <w:lang w:bidi="ar-EG"/>
              </w:rPr>
              <w:t xml:space="preserve">) في عام 2012 لضمان امتثالها للتشريعات المحلية الصادرة مؤخرا، مع جني منفعة إضافية </w:t>
            </w:r>
            <w:r w:rsidR="006536BF">
              <w:rPr>
                <w:rFonts w:ascii="Arabic Typesetting" w:hAnsi="Arabic Typesetting" w:cs="Arabic Typesetting" w:hint="cs"/>
                <w:color w:val="002060"/>
                <w:sz w:val="28"/>
                <w:szCs w:val="28"/>
                <w:rtl/>
                <w:lang w:bidi="ar-EG"/>
              </w:rPr>
              <w:t>هي</w:t>
            </w:r>
            <w:r w:rsidRPr="00211D55">
              <w:rPr>
                <w:rFonts w:ascii="Arabic Typesetting" w:hAnsi="Arabic Typesetting" w:cs="Arabic Typesetting"/>
                <w:color w:val="002060"/>
                <w:sz w:val="28"/>
                <w:szCs w:val="28"/>
                <w:rtl/>
                <w:lang w:bidi="ar-EG"/>
              </w:rPr>
              <w:t xml:space="preserve"> وضع إطار تقني لخفض استهلاك الكهرباء. واستُكمل ذلك في عام</w:t>
            </w:r>
            <w:r w:rsidR="006536BF">
              <w:rPr>
                <w:rFonts w:ascii="Arabic Typesetting" w:hAnsi="Arabic Typesetting" w:cs="Arabic Typesetting" w:hint="cs"/>
                <w:color w:val="002060"/>
                <w:sz w:val="28"/>
                <w:szCs w:val="28"/>
                <w:rtl/>
                <w:lang w:bidi="ar-EG"/>
              </w:rPr>
              <w:t> </w:t>
            </w:r>
            <w:r w:rsidRPr="00211D55">
              <w:rPr>
                <w:rFonts w:ascii="Arabic Typesetting" w:hAnsi="Arabic Typesetting" w:cs="Arabic Typesetting"/>
                <w:color w:val="002060"/>
                <w:sz w:val="28"/>
                <w:szCs w:val="28"/>
                <w:rtl/>
                <w:lang w:bidi="ar-EG"/>
              </w:rPr>
              <w:t>2013.</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خطة لمدة 6 سنوات للمرحلة الأولى من تنفيذ ال</w:t>
            </w:r>
            <w:r w:rsidR="00FB2BCA">
              <w:rPr>
                <w:rFonts w:ascii="Arabic Typesetting" w:hAnsi="Arabic Typesetting" w:cs="Arabic Typesetting"/>
                <w:sz w:val="28"/>
                <w:szCs w:val="28"/>
                <w:rtl/>
                <w:lang w:bidi="ar-EG"/>
              </w:rPr>
              <w:t>مشروعات</w:t>
            </w:r>
            <w:r w:rsidRPr="00211D55">
              <w:rPr>
                <w:rFonts w:ascii="Arabic Typesetting" w:hAnsi="Arabic Typesetting" w:cs="Arabic Typesetting"/>
                <w:sz w:val="28"/>
                <w:szCs w:val="28"/>
                <w:rtl/>
                <w:lang w:bidi="ar-EG"/>
              </w:rPr>
              <w:t xml:space="preserve"> الكبرى الخاصة بتجديد مباني الويبو في المجمع و/أو تحويلها و/أو تحديثها</w:t>
            </w:r>
          </w:p>
        </w:tc>
        <w:tc>
          <w:tcPr>
            <w:tcW w:w="847" w:type="pct"/>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sz w:val="28"/>
                <w:szCs w:val="28"/>
                <w:rtl/>
                <w:lang w:bidi="ar-EG"/>
              </w:rPr>
              <w:t>تنفيذ ال</w:t>
            </w:r>
            <w:r w:rsidR="00FB2BCA">
              <w:rPr>
                <w:rFonts w:ascii="Arabic Typesetting" w:hAnsi="Arabic Typesetting" w:cs="Arabic Typesetting"/>
                <w:b/>
                <w:sz w:val="28"/>
                <w:szCs w:val="28"/>
                <w:rtl/>
                <w:lang w:bidi="ar-EG"/>
              </w:rPr>
              <w:t>مشروعات</w:t>
            </w:r>
            <w:r w:rsidRPr="00211D55">
              <w:rPr>
                <w:rFonts w:ascii="Arabic Typesetting" w:hAnsi="Arabic Typesetting" w:cs="Arabic Typesetting"/>
                <w:b/>
                <w:sz w:val="28"/>
                <w:szCs w:val="28"/>
                <w:rtl/>
                <w:lang w:bidi="ar-EG"/>
              </w:rPr>
              <w:t xml:space="preserve"> الكبرى الخاصة بالتجديد و/أو التحويل و/أو التحديث وفقا لخطة مدتها 6 سنوات</w:t>
            </w:r>
          </w:p>
        </w:tc>
        <w:tc>
          <w:tcPr>
            <w:tcW w:w="1364" w:type="pct"/>
            <w:shd w:val="clear" w:color="auto" w:fill="FFFFFF"/>
            <w:tcMar>
              <w:top w:w="110" w:type="dxa"/>
            </w:tcMar>
          </w:tcPr>
          <w:p w:rsidR="00796E70" w:rsidRPr="00211D55" w:rsidRDefault="00796E70" w:rsidP="006C5F82">
            <w:pPr>
              <w:widowControl w:val="0"/>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lang w:bidi="ar-EG"/>
              </w:rPr>
              <w:t xml:space="preserve">انظر الملحق الثالث المتضمن </w:t>
            </w:r>
            <w:r w:rsidRPr="00211D55">
              <w:rPr>
                <w:rFonts w:ascii="Arabic Typesetting" w:hAnsi="Arabic Typesetting" w:cs="Arabic Typesetting"/>
                <w:sz w:val="28"/>
                <w:szCs w:val="28"/>
                <w:rtl/>
              </w:rPr>
              <w:t>التقرير المرحلي بشأن الخطة الرأسمالية الرئيسية في عام</w:t>
            </w:r>
            <w:r w:rsidR="006C5F82" w:rsidRPr="00211D55">
              <w:rPr>
                <w:rFonts w:ascii="Arabic Typesetting" w:hAnsi="Arabic Typesetting" w:cs="Arabic Typesetting"/>
                <w:sz w:val="28"/>
                <w:szCs w:val="28"/>
                <w:rtl/>
              </w:rPr>
              <w:t>ي</w:t>
            </w:r>
            <w:r w:rsidRPr="00211D55">
              <w:rPr>
                <w:rFonts w:ascii="Arabic Typesetting" w:hAnsi="Arabic Typesetting" w:cs="Arabic Typesetting"/>
                <w:sz w:val="28"/>
                <w:szCs w:val="28"/>
                <w:rtl/>
              </w:rPr>
              <w:t xml:space="preserve"> 2014</w:t>
            </w:r>
            <w:r w:rsidR="006C5F82" w:rsidRPr="00F96634">
              <w:rPr>
                <w:rFonts w:ascii="Arabic Typesetting" w:hAnsi="Arabic Typesetting" w:cs="Arabic Typesetting"/>
                <w:sz w:val="28"/>
                <w:szCs w:val="28"/>
                <w:vertAlign w:val="superscript"/>
                <w:rtl/>
              </w:rPr>
              <w:footnoteReference w:id="137"/>
            </w:r>
            <w:r w:rsidR="006C5F82" w:rsidRPr="00211D55">
              <w:rPr>
                <w:rFonts w:ascii="Arabic Typesetting" w:hAnsi="Arabic Typesetting" w:cs="Arabic Typesetting"/>
                <w:sz w:val="28"/>
                <w:szCs w:val="28"/>
                <w:rtl/>
              </w:rPr>
              <w:t xml:space="preserve"> و2015</w:t>
            </w:r>
            <w:r w:rsidRPr="00211D55">
              <w:rPr>
                <w:rFonts w:ascii="Arabic Typesetting" w:hAnsi="Arabic Typesetting" w:cs="Arabic Typesetting"/>
                <w:sz w:val="28"/>
                <w:szCs w:val="28"/>
                <w:rtl/>
              </w:rPr>
              <w:t>.</w:t>
            </w:r>
          </w:p>
          <w:p w:rsidR="00796E70" w:rsidRPr="00211D55" w:rsidRDefault="00796E70" w:rsidP="00796E70">
            <w:pPr>
              <w:widowControl w:val="0"/>
              <w:bidi/>
              <w:spacing w:before="60" w:after="60" w:line="280" w:lineRule="exact"/>
              <w:rPr>
                <w:rFonts w:ascii="Arabic Typesetting" w:hAnsi="Arabic Typesetting" w:cs="Arabic Typesetting"/>
                <w:sz w:val="28"/>
                <w:szCs w:val="28"/>
                <w:rtl/>
              </w:rPr>
            </w:pPr>
          </w:p>
          <w:p w:rsidR="00796E70" w:rsidRPr="00211D55" w:rsidRDefault="00796E70" w:rsidP="006C5F82">
            <w:pPr>
              <w:widowControl w:val="0"/>
              <w:bidi/>
              <w:spacing w:before="60" w:after="12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إضافة إلى الخطة الرأسمالية الرئيسية، نُفذت </w:t>
            </w:r>
            <w:r w:rsidR="00FB2BCA">
              <w:rPr>
                <w:rFonts w:ascii="Arabic Typesetting" w:hAnsi="Arabic Typesetting" w:cs="Arabic Typesetting"/>
                <w:sz w:val="28"/>
                <w:szCs w:val="28"/>
                <w:rtl/>
              </w:rPr>
              <w:t>مشروعات</w:t>
            </w:r>
            <w:r w:rsidRPr="00211D55">
              <w:rPr>
                <w:rFonts w:ascii="Arabic Typesetting" w:hAnsi="Arabic Typesetting" w:cs="Arabic Typesetting"/>
                <w:sz w:val="28"/>
                <w:szCs w:val="28"/>
                <w:rtl/>
              </w:rPr>
              <w:t xml:space="preserve"> التحديث والتحويل التالية في عام 2014: "1" العمل الهيكلي الرئيسي الخاص بالاستديو المتعدد الوسائط؛ "2" وتحديث التجهيزات التقنية والأنظمة الإدارية التقنية (الكهرباء؛ ونظام توزيع المياه؛ وزيادة في الطاقة وقدرة التبريد في مركز البيانات للمبنى الجديد؛ واستبدال برج التبريد لأغراض مضاعفة التبريد؛ وتحديث مانعة الصواعق في مبنى معاهدة التعاون بشأن البراءات ومبنى </w:t>
            </w:r>
            <w:r w:rsidRPr="00211D55">
              <w:rPr>
                <w:rFonts w:ascii="Arabic Typesetting" w:hAnsi="Arabic Typesetting" w:cs="Arabic Typesetting"/>
                <w:sz w:val="28"/>
                <w:szCs w:val="28"/>
              </w:rPr>
              <w:t>GBII</w:t>
            </w:r>
            <w:r w:rsidRPr="00211D55">
              <w:rPr>
                <w:rFonts w:ascii="Arabic Typesetting" w:hAnsi="Arabic Typesetting" w:cs="Arabic Typesetting"/>
                <w:sz w:val="28"/>
                <w:szCs w:val="28"/>
                <w:rtl/>
              </w:rPr>
              <w:t>)؛ "3"</w:t>
            </w:r>
            <w:r w:rsidR="006C5F82" w:rsidRPr="00211D55">
              <w:rPr>
                <w:rFonts w:ascii="Arabic Typesetting" w:hAnsi="Arabic Typesetting" w:cs="Arabic Typesetting"/>
                <w:sz w:val="28"/>
                <w:szCs w:val="28"/>
                <w:rtl/>
              </w:rPr>
              <w:t> </w:t>
            </w:r>
            <w:r w:rsidRPr="00211D55">
              <w:rPr>
                <w:rFonts w:ascii="Arabic Typesetting" w:hAnsi="Arabic Typesetting" w:cs="Arabic Typesetting"/>
                <w:sz w:val="28"/>
                <w:szCs w:val="28"/>
                <w:rtl/>
              </w:rPr>
              <w:t>وتحديث نظام التهوية لمبنى </w:t>
            </w:r>
            <w:r w:rsidRPr="00211D55">
              <w:rPr>
                <w:rFonts w:ascii="Arabic Typesetting" w:hAnsi="Arabic Typesetting" w:cs="Arabic Typesetting"/>
                <w:sz w:val="28"/>
                <w:szCs w:val="28"/>
              </w:rPr>
              <w:t>AB</w:t>
            </w:r>
            <w:r w:rsidRPr="00211D55">
              <w:rPr>
                <w:rFonts w:ascii="Arabic Typesetting" w:hAnsi="Arabic Typesetting" w:cs="Arabic Typesetting"/>
                <w:sz w:val="28"/>
                <w:szCs w:val="28"/>
                <w:rtl/>
              </w:rPr>
              <w:t xml:space="preserve"> (الطابقان 11 و13)؛ "4" وتحديث أجهزة الإنذار التقنية في المبنى الجديد.</w:t>
            </w:r>
          </w:p>
          <w:p w:rsidR="006C5F82" w:rsidRPr="00211D55" w:rsidRDefault="006C5F82" w:rsidP="006C5F82">
            <w:pPr>
              <w:widowControl w:val="0"/>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ونُفذت </w:t>
            </w:r>
            <w:r w:rsidR="00FB2BCA">
              <w:rPr>
                <w:rFonts w:ascii="Arabic Typesetting" w:hAnsi="Arabic Typesetting" w:cs="Arabic Typesetting"/>
                <w:sz w:val="28"/>
                <w:szCs w:val="28"/>
                <w:rtl/>
              </w:rPr>
              <w:t>مشروعات</w:t>
            </w:r>
            <w:r w:rsidRPr="00211D55">
              <w:rPr>
                <w:rFonts w:ascii="Arabic Typesetting" w:hAnsi="Arabic Typesetting" w:cs="Arabic Typesetting"/>
                <w:sz w:val="28"/>
                <w:szCs w:val="28"/>
                <w:rtl/>
              </w:rPr>
              <w:t xml:space="preserve"> التحديث والتحويل التالية في عام 2015:</w:t>
            </w:r>
          </w:p>
          <w:p w:rsidR="006C5F82" w:rsidRPr="00211D55" w:rsidRDefault="006C5F82" w:rsidP="001C7B7C">
            <w:pPr>
              <w:widowControl w:val="0"/>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"1" تحديث المرافق الكهربائ</w:t>
            </w:r>
            <w:r w:rsidR="006536BF">
              <w:rPr>
                <w:rFonts w:ascii="Arabic Typesetting" w:hAnsi="Arabic Typesetting" w:cs="Arabic Typesetting" w:hint="cs"/>
                <w:sz w:val="28"/>
                <w:szCs w:val="28"/>
                <w:rtl/>
              </w:rPr>
              <w:t>ي</w:t>
            </w:r>
            <w:r w:rsidRPr="00211D55">
              <w:rPr>
                <w:rFonts w:ascii="Arabic Typesetting" w:hAnsi="Arabic Typesetting" w:cs="Arabic Typesetting"/>
                <w:sz w:val="28"/>
                <w:szCs w:val="28"/>
                <w:rtl/>
              </w:rPr>
              <w:t xml:space="preserve">ة واستبدال </w:t>
            </w:r>
            <w:r w:rsidR="001C7B7C" w:rsidRPr="00211D55">
              <w:rPr>
                <w:rFonts w:ascii="Arabic Typesetting" w:hAnsi="Arabic Typesetting" w:cs="Arabic Typesetting"/>
                <w:sz w:val="28"/>
                <w:szCs w:val="28"/>
                <w:rtl/>
              </w:rPr>
              <w:t xml:space="preserve">المصابيح </w:t>
            </w:r>
            <w:proofErr w:type="spellStart"/>
            <w:r w:rsidR="001C7B7C" w:rsidRPr="00211D55">
              <w:rPr>
                <w:rFonts w:ascii="Arabic Typesetting" w:hAnsi="Arabic Typesetting" w:cs="Arabic Typesetting"/>
                <w:sz w:val="28"/>
                <w:szCs w:val="28"/>
                <w:rtl/>
              </w:rPr>
              <w:t>الكهرابئ</w:t>
            </w:r>
            <w:r w:rsidR="006536BF">
              <w:rPr>
                <w:rFonts w:ascii="Arabic Typesetting" w:hAnsi="Arabic Typesetting" w:cs="Arabic Typesetting" w:hint="cs"/>
                <w:sz w:val="28"/>
                <w:szCs w:val="28"/>
                <w:rtl/>
              </w:rPr>
              <w:t>ي</w:t>
            </w:r>
            <w:r w:rsidR="001C7B7C" w:rsidRPr="00211D55">
              <w:rPr>
                <w:rFonts w:ascii="Arabic Typesetting" w:hAnsi="Arabic Typesetting" w:cs="Arabic Typesetting"/>
                <w:sz w:val="28"/>
                <w:szCs w:val="28"/>
                <w:rtl/>
              </w:rPr>
              <w:t>ة</w:t>
            </w:r>
            <w:proofErr w:type="spellEnd"/>
            <w:r w:rsidR="001C7B7C" w:rsidRPr="00211D55">
              <w:rPr>
                <w:rFonts w:ascii="Arabic Typesetting" w:hAnsi="Arabic Typesetting" w:cs="Arabic Typesetting"/>
                <w:sz w:val="28"/>
                <w:szCs w:val="28"/>
                <w:rtl/>
              </w:rPr>
              <w:t xml:space="preserve"> في مختلف الطوابق والطوابق تحت الأرض لمبنى </w:t>
            </w:r>
            <w:proofErr w:type="spellStart"/>
            <w:r w:rsidR="001C7B7C" w:rsidRPr="00211D55">
              <w:rPr>
                <w:rFonts w:ascii="Arabic Typesetting" w:hAnsi="Arabic Typesetting" w:cs="Arabic Typesetting"/>
                <w:sz w:val="28"/>
                <w:szCs w:val="28"/>
                <w:rtl/>
              </w:rPr>
              <w:t>أرباد</w:t>
            </w:r>
            <w:proofErr w:type="spellEnd"/>
            <w:r w:rsidR="001C7B7C" w:rsidRPr="00211D55">
              <w:rPr>
                <w:rFonts w:ascii="Arabic Typesetting" w:hAnsi="Arabic Typesetting" w:cs="Arabic Typesetting"/>
                <w:sz w:val="28"/>
                <w:szCs w:val="28"/>
                <w:rtl/>
              </w:rPr>
              <w:t xml:space="preserve"> </w:t>
            </w:r>
            <w:proofErr w:type="spellStart"/>
            <w:r w:rsidR="001C7B7C" w:rsidRPr="00211D55">
              <w:rPr>
                <w:rFonts w:ascii="Arabic Typesetting" w:hAnsi="Arabic Typesetting" w:cs="Arabic Typesetting"/>
                <w:sz w:val="28"/>
                <w:szCs w:val="28"/>
                <w:rtl/>
              </w:rPr>
              <w:t>بوكش</w:t>
            </w:r>
            <w:proofErr w:type="spellEnd"/>
            <w:r w:rsidR="001C7B7C" w:rsidRPr="00211D55">
              <w:rPr>
                <w:rFonts w:ascii="Arabic Typesetting" w:hAnsi="Arabic Typesetting" w:cs="Arabic Typesetting"/>
                <w:sz w:val="28"/>
                <w:szCs w:val="28"/>
                <w:rtl/>
              </w:rPr>
              <w:t xml:space="preserve">؛ "2" وإنشاء أبواب خدمة جديدة لتيسير النفاذ بالسيارات إلى الطابق الأرضي للمبنى الجديد؛ "3" وتحديث نظام التهوية والتبريد في مبنى </w:t>
            </w:r>
            <w:proofErr w:type="spellStart"/>
            <w:r w:rsidR="001C7B7C" w:rsidRPr="00211D55">
              <w:rPr>
                <w:rFonts w:ascii="Arabic Typesetting" w:hAnsi="Arabic Typesetting" w:cs="Arabic Typesetting"/>
                <w:sz w:val="28"/>
                <w:szCs w:val="28"/>
                <w:rtl/>
              </w:rPr>
              <w:t>أرباد</w:t>
            </w:r>
            <w:proofErr w:type="spellEnd"/>
            <w:r w:rsidR="001C7B7C" w:rsidRPr="00211D55">
              <w:rPr>
                <w:rFonts w:ascii="Arabic Typesetting" w:hAnsi="Arabic Typesetting" w:cs="Arabic Typesetting"/>
                <w:sz w:val="28"/>
                <w:szCs w:val="28"/>
                <w:rtl/>
              </w:rPr>
              <w:t xml:space="preserve"> </w:t>
            </w:r>
            <w:proofErr w:type="spellStart"/>
            <w:r w:rsidR="001C7B7C" w:rsidRPr="00211D55">
              <w:rPr>
                <w:rFonts w:ascii="Arabic Typesetting" w:hAnsi="Arabic Typesetting" w:cs="Arabic Typesetting"/>
                <w:sz w:val="28"/>
                <w:szCs w:val="28"/>
                <w:rtl/>
              </w:rPr>
              <w:t>بوكش</w:t>
            </w:r>
            <w:proofErr w:type="spellEnd"/>
            <w:r w:rsidR="001C7B7C" w:rsidRPr="00211D55">
              <w:rPr>
                <w:rFonts w:ascii="Arabic Typesetting" w:hAnsi="Arabic Typesetting" w:cs="Arabic Typesetting"/>
                <w:sz w:val="28"/>
                <w:szCs w:val="28"/>
                <w:rtl/>
              </w:rPr>
              <w:t xml:space="preserve"> ومبنى البراءات؛ "4" تغيير مجموعة من أنابيب مياه الصرف في مبنى </w:t>
            </w:r>
            <w:proofErr w:type="spellStart"/>
            <w:r w:rsidR="001C7B7C" w:rsidRPr="00211D55">
              <w:rPr>
                <w:rFonts w:ascii="Arabic Typesetting" w:hAnsi="Arabic Typesetting" w:cs="Arabic Typesetting"/>
                <w:sz w:val="28"/>
                <w:szCs w:val="28"/>
                <w:rtl/>
              </w:rPr>
              <w:t>أرباد</w:t>
            </w:r>
            <w:proofErr w:type="spellEnd"/>
            <w:r w:rsidR="001C7B7C" w:rsidRPr="00211D55">
              <w:rPr>
                <w:rFonts w:ascii="Arabic Typesetting" w:hAnsi="Arabic Typesetting" w:cs="Arabic Typesetting"/>
                <w:sz w:val="28"/>
                <w:szCs w:val="28"/>
                <w:rtl/>
              </w:rPr>
              <w:t xml:space="preserve"> </w:t>
            </w:r>
            <w:proofErr w:type="spellStart"/>
            <w:r w:rsidR="001C7B7C" w:rsidRPr="00211D55">
              <w:rPr>
                <w:rFonts w:ascii="Arabic Typesetting" w:hAnsi="Arabic Typesetting" w:cs="Arabic Typesetting"/>
                <w:sz w:val="28"/>
                <w:szCs w:val="28"/>
                <w:rtl/>
              </w:rPr>
              <w:t>بوكش</w:t>
            </w:r>
            <w:proofErr w:type="spellEnd"/>
            <w:r w:rsidR="001C7B7C" w:rsidRPr="00211D55">
              <w:rPr>
                <w:rFonts w:ascii="Arabic Typesetting" w:hAnsi="Arabic Typesetting" w:cs="Arabic Typesetting"/>
                <w:sz w:val="28"/>
                <w:szCs w:val="28"/>
                <w:rtl/>
              </w:rPr>
              <w:t>؛ "5" استبدال غسالة صحون</w:t>
            </w:r>
            <w:r w:rsidR="006536BF">
              <w:rPr>
                <w:rFonts w:ascii="Arabic Typesetting" w:hAnsi="Arabic Typesetting" w:cs="Arabic Typesetting" w:hint="cs"/>
                <w:sz w:val="28"/>
                <w:szCs w:val="28"/>
                <w:rtl/>
              </w:rPr>
              <w:t xml:space="preserve"> كبيرة</w:t>
            </w:r>
            <w:r w:rsidR="001C7B7C" w:rsidRPr="00211D55">
              <w:rPr>
                <w:rFonts w:ascii="Arabic Typesetting" w:hAnsi="Arabic Typesetting" w:cs="Arabic Typesetting"/>
                <w:sz w:val="28"/>
                <w:szCs w:val="28"/>
                <w:rtl/>
              </w:rPr>
              <w:t xml:space="preserve"> في </w:t>
            </w:r>
            <w:proofErr w:type="spellStart"/>
            <w:r w:rsidR="001C7B7C" w:rsidRPr="00211D55">
              <w:rPr>
                <w:rFonts w:ascii="Arabic Typesetting" w:hAnsi="Arabic Typesetting" w:cs="Arabic Typesetting"/>
                <w:sz w:val="28"/>
                <w:szCs w:val="28"/>
                <w:rtl/>
              </w:rPr>
              <w:t>كافيتيريا</w:t>
            </w:r>
            <w:proofErr w:type="spellEnd"/>
            <w:r w:rsidR="001C7B7C" w:rsidRPr="00211D55">
              <w:rPr>
                <w:rFonts w:ascii="Arabic Typesetting" w:hAnsi="Arabic Typesetting" w:cs="Arabic Typesetting"/>
                <w:sz w:val="28"/>
                <w:szCs w:val="28"/>
                <w:rtl/>
              </w:rPr>
              <w:t xml:space="preserve"> مبنى البراءات.</w:t>
            </w:r>
          </w:p>
        </w:tc>
        <w:tc>
          <w:tcPr>
            <w:tcW w:w="455" w:type="pct"/>
            <w:shd w:val="clear" w:color="auto" w:fill="auto"/>
          </w:tcPr>
          <w:p w:rsidR="00796E70" w:rsidRPr="00211D55" w:rsidRDefault="006C5F82"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1137" w:type="pct"/>
          </w:tcPr>
          <w:p w:rsidR="00796E70" w:rsidRPr="00211D55" w:rsidRDefault="00796E70" w:rsidP="00FB2BCA">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 xml:space="preserve">تماشي جميع أنواع التجهيزات التقنية </w:t>
            </w:r>
            <w:r w:rsidR="00FB2BCA">
              <w:rPr>
                <w:rFonts w:ascii="Arabic Typesetting" w:eastAsia="Arial" w:hAnsi="Arabic Typesetting" w:cs="Arabic Typesetting" w:hint="cs"/>
                <w:sz w:val="28"/>
                <w:szCs w:val="28"/>
                <w:rtl/>
                <w:lang w:bidi="ar-EG"/>
              </w:rPr>
              <w:t>المهمة</w:t>
            </w:r>
            <w:r w:rsidRPr="00211D55">
              <w:rPr>
                <w:rFonts w:ascii="Arabic Typesetting" w:eastAsia="Arial" w:hAnsi="Arabic Typesetting" w:cs="Arabic Typesetting"/>
                <w:sz w:val="28"/>
                <w:szCs w:val="28"/>
                <w:rtl/>
                <w:lang w:bidi="ar-EG"/>
              </w:rPr>
              <w:t xml:space="preserve"> مع المعايير التقنية المطبقة</w:t>
            </w:r>
          </w:p>
        </w:tc>
        <w:tc>
          <w:tcPr>
            <w:tcW w:w="1197" w:type="pct"/>
          </w:tcPr>
          <w:p w:rsidR="00796E70" w:rsidRPr="00211D55" w:rsidRDefault="00796E70" w:rsidP="00FB2BCA">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امتثال التجهيزات التقنية للمعايير المطبقة وتحديد التجهيزات </w:t>
            </w:r>
            <w:r w:rsidR="00FB2BCA">
              <w:rPr>
                <w:rFonts w:ascii="Arabic Typesetting" w:hAnsi="Arabic Typesetting" w:cs="Arabic Typesetting" w:hint="cs"/>
                <w:b/>
                <w:sz w:val="28"/>
                <w:szCs w:val="28"/>
                <w:rtl/>
                <w:lang w:bidi="ar-EG"/>
              </w:rPr>
              <w:t>المهمة</w:t>
            </w:r>
          </w:p>
        </w:tc>
        <w:tc>
          <w:tcPr>
            <w:tcW w:w="847" w:type="pct"/>
            <w:tcMar>
              <w:top w:w="110" w:type="dxa"/>
            </w:tcMar>
          </w:tcPr>
          <w:p w:rsidR="00796E70" w:rsidRPr="00211D55" w:rsidRDefault="00796E70" w:rsidP="00FB2BCA">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التحقق من التجهيزات التقنية </w:t>
            </w:r>
            <w:r w:rsidR="00FB2BCA">
              <w:rPr>
                <w:rFonts w:ascii="Arabic Typesetting" w:hAnsi="Arabic Typesetting" w:cs="Arabic Typesetting" w:hint="cs"/>
                <w:b/>
                <w:sz w:val="28"/>
                <w:szCs w:val="28"/>
                <w:rtl/>
                <w:lang w:bidi="ar-EG"/>
              </w:rPr>
              <w:t>المهمة</w:t>
            </w:r>
            <w:r w:rsidRPr="00211D55">
              <w:rPr>
                <w:rFonts w:ascii="Arabic Typesetting" w:hAnsi="Arabic Typesetting" w:cs="Arabic Typesetting"/>
                <w:b/>
                <w:sz w:val="28"/>
                <w:szCs w:val="28"/>
                <w:rtl/>
                <w:lang w:bidi="ar-EG"/>
              </w:rPr>
              <w:t xml:space="preserve"> و/أو تحسينها/استبدالها (حسب الضرورة)</w:t>
            </w:r>
          </w:p>
        </w:tc>
        <w:tc>
          <w:tcPr>
            <w:tcW w:w="1364" w:type="pct"/>
            <w:shd w:val="clear" w:color="auto" w:fill="FFFFFF"/>
            <w:tcMar>
              <w:top w:w="110" w:type="dxa"/>
            </w:tcMar>
          </w:tcPr>
          <w:p w:rsidR="00796E70" w:rsidRPr="00211D55" w:rsidRDefault="00796E70" w:rsidP="00FB2BCA">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 xml:space="preserve">تم التحقق </w:t>
            </w:r>
            <w:r w:rsidR="007642ED">
              <w:rPr>
                <w:rFonts w:ascii="Arabic Typesetting" w:hAnsi="Arabic Typesetting" w:cs="Arabic Typesetting" w:hint="cs"/>
                <w:b/>
                <w:sz w:val="28"/>
                <w:szCs w:val="28"/>
                <w:rtl/>
                <w:lang w:bidi="ar-EG"/>
              </w:rPr>
              <w:t>دورياً</w:t>
            </w:r>
            <w:r w:rsidRPr="00211D55">
              <w:rPr>
                <w:rFonts w:ascii="Arabic Typesetting" w:hAnsi="Arabic Typesetting" w:cs="Arabic Typesetting"/>
                <w:b/>
                <w:sz w:val="28"/>
                <w:szCs w:val="28"/>
                <w:rtl/>
                <w:lang w:bidi="ar-EG"/>
              </w:rPr>
              <w:t xml:space="preserve"> من التجهيزات </w:t>
            </w:r>
            <w:r w:rsidR="00FB2BCA">
              <w:rPr>
                <w:rFonts w:ascii="Arabic Typesetting" w:hAnsi="Arabic Typesetting" w:cs="Arabic Typesetting" w:hint="cs"/>
                <w:b/>
                <w:sz w:val="28"/>
                <w:szCs w:val="28"/>
                <w:rtl/>
                <w:lang w:bidi="ar-EG"/>
              </w:rPr>
              <w:t>المهمة</w:t>
            </w:r>
            <w:r w:rsidRPr="00211D55">
              <w:rPr>
                <w:rFonts w:ascii="Arabic Typesetting" w:hAnsi="Arabic Typesetting" w:cs="Arabic Typesetting"/>
                <w:b/>
                <w:sz w:val="28"/>
                <w:szCs w:val="28"/>
                <w:rtl/>
                <w:lang w:bidi="ar-EG"/>
              </w:rPr>
              <w:t xml:space="preserve">. واستُكمل الجرد المفصل الأول لجميع التجهيزات </w:t>
            </w:r>
            <w:r w:rsidR="00FB2BCA">
              <w:rPr>
                <w:rFonts w:ascii="Arabic Typesetting" w:hAnsi="Arabic Typesetting" w:cs="Arabic Typesetting" w:hint="cs"/>
                <w:b/>
                <w:sz w:val="28"/>
                <w:szCs w:val="28"/>
                <w:rtl/>
                <w:lang w:bidi="ar-EG"/>
              </w:rPr>
              <w:t>المهمة</w:t>
            </w:r>
            <w:r w:rsidR="001C7B7C" w:rsidRPr="00211D55">
              <w:rPr>
                <w:rFonts w:ascii="Arabic Typesetting" w:hAnsi="Arabic Typesetting" w:cs="Arabic Typesetting"/>
                <w:b/>
                <w:sz w:val="28"/>
                <w:szCs w:val="28"/>
                <w:rtl/>
                <w:lang w:bidi="ar-EG"/>
              </w:rPr>
              <w:t xml:space="preserve"> في عام 2014. وتحدث قائمة الجرد بانتظام حسب الحاجة منذ عام 2015.</w:t>
            </w:r>
          </w:p>
        </w:tc>
        <w:tc>
          <w:tcPr>
            <w:tcW w:w="455" w:type="pct"/>
            <w:shd w:val="clear" w:color="auto" w:fill="auto"/>
          </w:tcPr>
          <w:p w:rsidR="00796E70" w:rsidRPr="00211D55" w:rsidRDefault="001C7B7C"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796E70" w:rsidRPr="00211D55" w:rsidRDefault="00796E70" w:rsidP="001C7B7C">
            <w:pPr>
              <w:keepNext/>
              <w:bidi/>
              <w:spacing w:before="60" w:after="60" w:line="280" w:lineRule="exact"/>
              <w:ind w:left="1168" w:hanging="1168"/>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lastRenderedPageBreak/>
              <w:t xml:space="preserve">النتيجة المرتقبة: </w:t>
            </w:r>
            <w:r w:rsidRPr="00211D55">
              <w:rPr>
                <w:rFonts w:ascii="Arabic Typesetting" w:hAnsi="Arabic Typesetting" w:cs="Arabic Typesetting"/>
                <w:bCs/>
                <w:sz w:val="28"/>
                <w:szCs w:val="28"/>
                <w:rtl/>
                <w:lang w:bidi="ar-EG"/>
              </w:rPr>
              <w:tab/>
            </w:r>
            <w:r w:rsidRPr="00211D55">
              <w:rPr>
                <w:rFonts w:ascii="Arabic Typesetting" w:hAnsi="Arabic Typesetting" w:cs="Arabic Typesetting"/>
                <w:sz w:val="28"/>
                <w:szCs w:val="28"/>
                <w:rtl/>
                <w:lang w:bidi="ar-EG"/>
              </w:rPr>
              <w:t xml:space="preserve">ه4.9 </w:t>
            </w:r>
            <w:r w:rsidR="003F15BC">
              <w:rPr>
                <w:rFonts w:ascii="Arabic Typesetting" w:hAnsi="Arabic Typesetting" w:cs="Arabic Typesetting"/>
                <w:sz w:val="28"/>
                <w:szCs w:val="28"/>
                <w:rtl/>
                <w:lang w:bidi="ar-EG"/>
              </w:rPr>
              <w:t>منظمة ذات مسؤولية بيئية واجتماعية تكفل سلامة وأمن موظفي الويبو والمندوبين والزائرين والممتلكات المادية والمعلومات</w:t>
            </w:r>
          </w:p>
        </w:tc>
      </w:tr>
      <w:tr w:rsidR="00E439F5" w:rsidRPr="00211D55" w:rsidTr="00B05B47">
        <w:trPr>
          <w:cantSplit/>
        </w:trPr>
        <w:tc>
          <w:tcPr>
            <w:tcW w:w="1137" w:type="pct"/>
            <w:vAlign w:val="center"/>
          </w:tcPr>
          <w:p w:rsidR="00E439F5" w:rsidRPr="00211D55" w:rsidRDefault="00E439F5" w:rsidP="00E439F5">
            <w:pPr>
              <w:keepNext/>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مؤشرات الأداء</w:t>
            </w:r>
          </w:p>
        </w:tc>
        <w:tc>
          <w:tcPr>
            <w:tcW w:w="1197" w:type="pct"/>
            <w:vAlign w:val="center"/>
          </w:tcPr>
          <w:p w:rsidR="00E439F5" w:rsidRPr="00211D55" w:rsidRDefault="00E439F5" w:rsidP="00E439F5">
            <w:pPr>
              <w:keepNext/>
              <w:bidi/>
              <w:spacing w:before="60" w:after="60" w:line="280" w:lineRule="exact"/>
              <w:rPr>
                <w:rFonts w:ascii="Arabic Typesetting" w:hAnsi="Arabic Typesetting" w:cs="Arabic Typesetting"/>
                <w:bCs/>
                <w:sz w:val="28"/>
                <w:szCs w:val="28"/>
                <w:lang w:bidi="ar-EG"/>
              </w:rPr>
            </w:pPr>
            <w:r w:rsidRPr="00211D55">
              <w:rPr>
                <w:rFonts w:ascii="Arabic Typesetting" w:eastAsia="Arial" w:hAnsi="Arabic Typesetting" w:cs="Arabic Typesetting"/>
                <w:bCs/>
                <w:sz w:val="28"/>
                <w:szCs w:val="28"/>
                <w:rtl/>
                <w:lang w:bidi="ar-EG"/>
              </w:rPr>
              <w:t>أسس المقارنة</w:t>
            </w:r>
          </w:p>
        </w:tc>
        <w:tc>
          <w:tcPr>
            <w:tcW w:w="847" w:type="pct"/>
            <w:tcMar>
              <w:top w:w="110" w:type="dxa"/>
            </w:tcMar>
            <w:vAlign w:val="center"/>
          </w:tcPr>
          <w:p w:rsidR="00E439F5" w:rsidRPr="00211D55" w:rsidRDefault="00E439F5" w:rsidP="00E439F5">
            <w:pPr>
              <w:keepNext/>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الأهداف</w:t>
            </w:r>
          </w:p>
        </w:tc>
        <w:tc>
          <w:tcPr>
            <w:tcW w:w="1364" w:type="pct"/>
            <w:shd w:val="clear" w:color="auto" w:fill="FFFFFF"/>
            <w:tcMar>
              <w:top w:w="110" w:type="dxa"/>
            </w:tcMar>
            <w:vAlign w:val="center"/>
          </w:tcPr>
          <w:p w:rsidR="00E439F5" w:rsidRPr="00211D55" w:rsidRDefault="00E439F5" w:rsidP="00E439F5">
            <w:pPr>
              <w:keepNext/>
              <w:bidi/>
              <w:spacing w:before="60" w:after="60" w:line="280" w:lineRule="exact"/>
              <w:rPr>
                <w:rFonts w:ascii="Arabic Typesetting" w:hAnsi="Arabic Typesetting" w:cs="Arabic Typesetting"/>
                <w:sz w:val="28"/>
                <w:szCs w:val="28"/>
                <w:lang w:bidi="ar-EG"/>
              </w:rPr>
            </w:pPr>
            <w:r w:rsidRPr="00211D55">
              <w:rPr>
                <w:rFonts w:ascii="Arabic Typesetting" w:eastAsia="Arial" w:hAnsi="Arabic Typesetting" w:cs="Arabic Typesetting"/>
                <w:bCs/>
                <w:sz w:val="28"/>
                <w:szCs w:val="28"/>
                <w:rtl/>
                <w:lang w:bidi="ar-EG"/>
              </w:rPr>
              <w:t>بيانات الأداء</w:t>
            </w:r>
          </w:p>
        </w:tc>
        <w:tc>
          <w:tcPr>
            <w:tcW w:w="455" w:type="pct"/>
            <w:shd w:val="clear" w:color="auto" w:fill="auto"/>
            <w:vAlign w:val="center"/>
          </w:tcPr>
          <w:p w:rsidR="00E439F5" w:rsidRPr="00211D55" w:rsidRDefault="00E439F5" w:rsidP="00E439F5">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eastAsia="Arial" w:hAnsi="Arabic Typesetting" w:cs="Arabic Typesetting"/>
                <w:bCs/>
                <w:sz w:val="28"/>
                <w:szCs w:val="28"/>
                <w:rtl/>
                <w:lang w:bidi="ar-EG"/>
              </w:rPr>
              <w:t>السير</w:t>
            </w:r>
          </w:p>
        </w:tc>
      </w:tr>
      <w:tr w:rsidR="00796E70" w:rsidRPr="00211D55" w:rsidTr="008B6CC8">
        <w:trPr>
          <w:cantSplit/>
        </w:trPr>
        <w:tc>
          <w:tcPr>
            <w:tcW w:w="1137" w:type="pct"/>
          </w:tcPr>
          <w:p w:rsidR="00796E70" w:rsidRPr="00211D55" w:rsidRDefault="00796E70"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نفاذ محسن إلى مجمع الويبو</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لم توضع الخطة الخمسية في نهاية 2013</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خطة خمسية لتنفيذ توصيات التدقيق لعام 2012 الخاصة بالنفاذ المادي (توضع الخطة في نهاية 2013)</w:t>
            </w:r>
          </w:p>
        </w:tc>
        <w:tc>
          <w:tcPr>
            <w:tcW w:w="847" w:type="pct"/>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تنفيذ توصيات التدقيق وفقا للخطة الخمسية</w:t>
            </w:r>
          </w:p>
        </w:tc>
        <w:tc>
          <w:tcPr>
            <w:tcW w:w="1364" w:type="pct"/>
            <w:shd w:val="clear" w:color="auto" w:fill="FFFFFF"/>
            <w:tcMar>
              <w:top w:w="110" w:type="dxa"/>
            </w:tcMar>
          </w:tcPr>
          <w:p w:rsidR="00796E70" w:rsidRPr="00211D55" w:rsidRDefault="00796E70" w:rsidP="007511C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sz w:val="28"/>
                <w:szCs w:val="28"/>
                <w:rtl/>
                <w:lang w:bidi="ar-EG"/>
              </w:rPr>
              <w:t xml:space="preserve">لم </w:t>
            </w:r>
            <w:r w:rsidRPr="00211D55">
              <w:rPr>
                <w:rFonts w:ascii="Arabic Typesetting" w:hAnsi="Arabic Typesetting" w:cs="Arabic Typesetting"/>
                <w:sz w:val="28"/>
                <w:szCs w:val="28"/>
                <w:rtl/>
                <w:lang w:bidi="ar-EG"/>
              </w:rPr>
              <w:t xml:space="preserve">توضع الخطة الخمسية في نهاية </w:t>
            </w:r>
            <w:r w:rsidR="007511CF" w:rsidRPr="00211D55">
              <w:rPr>
                <w:rFonts w:ascii="Arabic Typesetting" w:hAnsi="Arabic Typesetting" w:cs="Arabic Typesetting"/>
                <w:sz w:val="28"/>
                <w:szCs w:val="28"/>
                <w:rtl/>
                <w:lang w:bidi="ar-EG"/>
              </w:rPr>
              <w:t>2015</w:t>
            </w:r>
            <w:r w:rsidRPr="00211D55">
              <w:rPr>
                <w:rFonts w:ascii="Arabic Typesetting" w:hAnsi="Arabic Typesetting" w:cs="Arabic Typesetting"/>
                <w:sz w:val="28"/>
                <w:szCs w:val="28"/>
                <w:rtl/>
                <w:lang w:bidi="ar-EG"/>
              </w:rPr>
              <w:t xml:space="preserve"> بسبب نقص الموارد المتاحة وورشة قاعة الويبو الجديدة للمؤتمرات.</w:t>
            </w:r>
          </w:p>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p>
          <w:p w:rsidR="00796E70" w:rsidRPr="00211D55" w:rsidRDefault="00796E70" w:rsidP="00842737">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sz w:val="28"/>
                <w:szCs w:val="28"/>
                <w:rtl/>
                <w:lang w:bidi="ar-EG"/>
              </w:rPr>
              <w:t xml:space="preserve">شملت التحسينات ما يلي: "1" مسارات إضافية لنفاذ الكراسي المتحركة (النفاذ إلى مقصورات المترجمين الفوريين في قاعة اجتماعات جديدة في المبنى الجديد؛ </w:t>
            </w:r>
            <w:r w:rsidRPr="00211D55">
              <w:rPr>
                <w:rFonts w:ascii="Arabic Typesetting" w:hAnsi="Arabic Typesetting" w:cs="Arabic Typesetting"/>
                <w:sz w:val="28"/>
                <w:szCs w:val="28"/>
                <w:lang w:bidi="ar-EG"/>
              </w:rPr>
              <w:t>"</w:t>
            </w:r>
            <w:r w:rsidRPr="00211D55">
              <w:rPr>
                <w:rFonts w:ascii="Arabic Typesetting" w:hAnsi="Arabic Typesetting" w:cs="Arabic Typesetting"/>
                <w:sz w:val="28"/>
                <w:szCs w:val="28"/>
                <w:rtl/>
                <w:lang w:bidi="ar-EG"/>
              </w:rPr>
              <w:t xml:space="preserve">2" وخفض أجهزة قراءة بطاقات الدخول لتكون في المستوى المناسب لنفاذ الكراسي المتحركة في مبنى </w:t>
            </w:r>
            <w:proofErr w:type="spellStart"/>
            <w:r w:rsidR="00842737">
              <w:rPr>
                <w:rFonts w:ascii="Arabic Typesetting" w:hAnsi="Arabic Typesetting" w:cs="Arabic Typesetting" w:hint="cs"/>
                <w:sz w:val="28"/>
                <w:szCs w:val="28"/>
                <w:rtl/>
                <w:lang w:bidi="ar-EG"/>
              </w:rPr>
              <w:t>أرباد</w:t>
            </w:r>
            <w:proofErr w:type="spellEnd"/>
            <w:r w:rsidR="00842737">
              <w:rPr>
                <w:rFonts w:ascii="Arabic Typesetting" w:hAnsi="Arabic Typesetting" w:cs="Arabic Typesetting" w:hint="cs"/>
                <w:sz w:val="28"/>
                <w:szCs w:val="28"/>
                <w:rtl/>
                <w:lang w:bidi="ar-EG"/>
              </w:rPr>
              <w:t xml:space="preserve"> </w:t>
            </w:r>
            <w:proofErr w:type="spellStart"/>
            <w:r w:rsidR="00842737">
              <w:rPr>
                <w:rFonts w:ascii="Arabic Typesetting" w:hAnsi="Arabic Typesetting" w:cs="Arabic Typesetting" w:hint="cs"/>
                <w:sz w:val="28"/>
                <w:szCs w:val="28"/>
                <w:rtl/>
                <w:lang w:bidi="ar-EG"/>
              </w:rPr>
              <w:t>بوكش</w:t>
            </w:r>
            <w:proofErr w:type="spellEnd"/>
            <w:r w:rsidRPr="00211D55">
              <w:rPr>
                <w:rFonts w:ascii="Arabic Typesetting" w:hAnsi="Arabic Typesetting" w:cs="Arabic Typesetting"/>
                <w:sz w:val="28"/>
                <w:szCs w:val="28"/>
                <w:rtl/>
                <w:lang w:bidi="ar-EG"/>
              </w:rPr>
              <w:t xml:space="preserve"> ومبنى معاهدة التعاون بشأن البراءات والمبنى الجديد، وقد </w:t>
            </w:r>
            <w:r w:rsidR="007642ED">
              <w:rPr>
                <w:rFonts w:ascii="Arabic Typesetting" w:hAnsi="Arabic Typesetting" w:cs="Arabic Typesetting" w:hint="cs"/>
                <w:sz w:val="28"/>
                <w:szCs w:val="28"/>
                <w:rtl/>
                <w:lang w:bidi="ar-EG"/>
              </w:rPr>
              <w:t>طبِّقت</w:t>
            </w:r>
            <w:r w:rsidRPr="00211D55">
              <w:rPr>
                <w:rFonts w:ascii="Arabic Typesetting" w:hAnsi="Arabic Typesetting" w:cs="Arabic Typesetting"/>
                <w:sz w:val="28"/>
                <w:szCs w:val="28"/>
                <w:rtl/>
                <w:lang w:bidi="ar-EG"/>
              </w:rPr>
              <w:t xml:space="preserve"> بعض من تلك الخصائص دون تحمّل تكاليف كبيرة و/أو بتحمّل أدنى التكاليف في الحالات التي أمكن فيها إدراجها ضمن تحسين بنية تحتية أو تجهيزات أخرى.</w:t>
            </w:r>
          </w:p>
        </w:tc>
        <w:tc>
          <w:tcPr>
            <w:tcW w:w="455" w:type="pct"/>
            <w:shd w:val="clear" w:color="auto" w:fill="auto"/>
          </w:tcPr>
          <w:p w:rsidR="00796E70" w:rsidRPr="00211D55" w:rsidRDefault="00796E70" w:rsidP="007511CF">
            <w:pPr>
              <w:widowControl w:val="0"/>
              <w:bidi/>
              <w:spacing w:before="60" w:after="60" w:line="280" w:lineRule="exact"/>
              <w:jc w:val="center"/>
              <w:rPr>
                <w:rFonts w:ascii="Arabic Typesetting" w:hAnsi="Arabic Typesetting" w:cs="Arabic Typesetting"/>
                <w:bCs/>
                <w:color w:val="FF0000"/>
                <w:sz w:val="28"/>
                <w:szCs w:val="28"/>
                <w:rtl/>
                <w:lang w:bidi="ar-EG"/>
              </w:rPr>
            </w:pPr>
            <w:r w:rsidRPr="00211D55">
              <w:rPr>
                <w:rFonts w:ascii="Arabic Typesetting" w:hAnsi="Arabic Typesetting" w:cs="Arabic Typesetting"/>
                <w:bCs/>
                <w:color w:val="FF0000"/>
                <w:sz w:val="28"/>
                <w:szCs w:val="28"/>
                <w:rtl/>
                <w:lang w:bidi="ar-EG"/>
              </w:rPr>
              <w:t xml:space="preserve">غير </w:t>
            </w:r>
            <w:r w:rsidR="007511CF" w:rsidRPr="00211D55">
              <w:rPr>
                <w:rFonts w:ascii="Arabic Typesetting" w:hAnsi="Arabic Typesetting" w:cs="Arabic Typesetting"/>
                <w:bCs/>
                <w:color w:val="FF0000"/>
                <w:sz w:val="28"/>
                <w:szCs w:val="28"/>
                <w:rtl/>
                <w:lang w:bidi="ar-EG"/>
              </w:rPr>
              <w:t>محقق</w:t>
            </w:r>
          </w:p>
        </w:tc>
      </w:tr>
      <w:tr w:rsidR="00796E70" w:rsidRPr="00211D55" w:rsidTr="008B6CC8">
        <w:trPr>
          <w:cantSplit/>
        </w:trPr>
        <w:tc>
          <w:tcPr>
            <w:tcW w:w="1137" w:type="pct"/>
          </w:tcPr>
          <w:p w:rsidR="00796E70" w:rsidRPr="00211D55" w:rsidRDefault="00796E70" w:rsidP="00796E70">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t>تقليص أثر أنشطة الويبو في البيئة</w:t>
            </w:r>
          </w:p>
        </w:tc>
        <w:tc>
          <w:tcPr>
            <w:tcW w:w="1197" w:type="pct"/>
          </w:tcPr>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color w:val="002060"/>
                <w:sz w:val="28"/>
                <w:szCs w:val="28"/>
                <w:rtl/>
                <w:lang w:bidi="ar-EG"/>
              </w:rPr>
              <w:t xml:space="preserve"> تحقيق انخفاض بنسبة 2% في استهلاك الكهرباء بفضل تنفيذ مجموعة مختلفة من التدابير الرامية إلى تحديث التجهيزات؛ وتحقيق انخفاض بنسبة 7% في استهلاك الماء بفضل تحديث نظام التبريد في أحد مراكز البيانات</w:t>
            </w:r>
          </w:p>
          <w:p w:rsidR="00796E70" w:rsidRPr="00211D55" w:rsidRDefault="00796E70" w:rsidP="00796E70">
            <w:pPr>
              <w:widowControl w:val="0"/>
              <w:bidi/>
              <w:spacing w:before="60" w:after="60" w:line="280" w:lineRule="exact"/>
              <w:rPr>
                <w:rFonts w:ascii="Arabic Typesetting" w:hAnsi="Arabic Typesetting" w:cs="Arabic Typesetting"/>
                <w:color w:val="002060"/>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iCs/>
                <w:sz w:val="28"/>
                <w:szCs w:val="28"/>
                <w:rtl/>
                <w:lang w:bidi="ar-EG"/>
              </w:rPr>
              <w:t xml:space="preserve">أسس المقارنة الأصلية: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Cs/>
                <w:sz w:val="28"/>
                <w:szCs w:val="28"/>
                <w:rtl/>
                <w:lang w:bidi="ar-EG"/>
              </w:rPr>
              <w:t>:</w:t>
            </w:r>
            <w:r w:rsidRPr="00211D55">
              <w:rPr>
                <w:rFonts w:ascii="Arabic Typesetting" w:hAnsi="Arabic Typesetting" w:cs="Arabic Typesetting"/>
                <w:sz w:val="28"/>
                <w:szCs w:val="28"/>
                <w:rtl/>
                <w:lang w:bidi="ar-EG"/>
              </w:rPr>
              <w:t xml:space="preserve"> الاستهلاك السنوي للكهرباء والماء (في نهاية 2013)</w:t>
            </w:r>
          </w:p>
        </w:tc>
        <w:tc>
          <w:tcPr>
            <w:tcW w:w="847" w:type="pct"/>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تقليل استهلاك الكهرباء بنسبة 4% والماء بنسبة 10% في نهاية 2015</w:t>
            </w:r>
          </w:p>
        </w:tc>
        <w:tc>
          <w:tcPr>
            <w:tcW w:w="1364" w:type="pct"/>
            <w:shd w:val="clear" w:color="auto" w:fill="FFFFFF"/>
            <w:tcMar>
              <w:top w:w="110" w:type="dxa"/>
            </w:tcMar>
          </w:tcPr>
          <w:p w:rsidR="00796E70" w:rsidRPr="00211D55" w:rsidRDefault="00796E70" w:rsidP="007511C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تقليل استهلاك الكهرباء بنسبة </w:t>
            </w:r>
            <w:r w:rsidR="007511CF" w:rsidRPr="00211D55">
              <w:rPr>
                <w:rFonts w:ascii="Arabic Typesetting" w:hAnsi="Arabic Typesetting" w:cs="Arabic Typesetting"/>
                <w:sz w:val="28"/>
                <w:szCs w:val="28"/>
                <w:rtl/>
                <w:lang w:bidi="ar-EG"/>
              </w:rPr>
              <w:t>5</w:t>
            </w:r>
            <w:r w:rsidRPr="00211D55">
              <w:rPr>
                <w:rFonts w:ascii="Arabic Typesetting" w:hAnsi="Arabic Typesetting" w:cs="Arabic Typesetting"/>
                <w:sz w:val="28"/>
                <w:szCs w:val="28"/>
                <w:rtl/>
                <w:lang w:bidi="ar-EG"/>
              </w:rPr>
              <w:t xml:space="preserve">% والماء بنسبة </w:t>
            </w:r>
            <w:r w:rsidR="007511CF" w:rsidRPr="00211D55">
              <w:rPr>
                <w:rFonts w:ascii="Arabic Typesetting" w:hAnsi="Arabic Typesetting" w:cs="Arabic Typesetting"/>
                <w:sz w:val="28"/>
                <w:szCs w:val="28"/>
                <w:rtl/>
                <w:lang w:bidi="ar-EG"/>
              </w:rPr>
              <w:t>33</w:t>
            </w:r>
            <w:r w:rsidRPr="00211D55">
              <w:rPr>
                <w:rFonts w:ascii="Arabic Typesetting" w:hAnsi="Arabic Typesetting" w:cs="Arabic Typesetting"/>
                <w:sz w:val="28"/>
                <w:szCs w:val="28"/>
                <w:rtl/>
                <w:lang w:bidi="ar-EG"/>
              </w:rPr>
              <w:t xml:space="preserve">% </w:t>
            </w:r>
            <w:r w:rsidR="007511CF" w:rsidRPr="00211D55">
              <w:rPr>
                <w:rFonts w:ascii="Arabic Typesetting" w:hAnsi="Arabic Typesetting" w:cs="Arabic Typesetting"/>
                <w:sz w:val="28"/>
                <w:szCs w:val="28"/>
                <w:rtl/>
                <w:lang w:bidi="ar-EG"/>
              </w:rPr>
              <w:t xml:space="preserve">في الثنائية </w:t>
            </w:r>
            <w:r w:rsidR="00507DE2">
              <w:rPr>
                <w:rFonts w:ascii="Arabic Typesetting" w:hAnsi="Arabic Typesetting" w:cs="Arabic Typesetting"/>
                <w:sz w:val="28"/>
                <w:szCs w:val="28"/>
                <w:rtl/>
                <w:lang w:bidi="ar-EG"/>
              </w:rPr>
              <w:t>2014/15</w:t>
            </w:r>
            <w:r w:rsidR="007511CF" w:rsidRPr="00211D55">
              <w:rPr>
                <w:rFonts w:ascii="Arabic Typesetting" w:hAnsi="Arabic Typesetting" w:cs="Arabic Typesetting"/>
                <w:sz w:val="28"/>
                <w:szCs w:val="28"/>
                <w:rtl/>
                <w:lang w:bidi="ar-EG"/>
              </w:rPr>
              <w:t xml:space="preserve"> مقارنة بالثنائية </w:t>
            </w:r>
            <w:r w:rsidR="00507DE2">
              <w:rPr>
                <w:rFonts w:ascii="Arabic Typesetting" w:hAnsi="Arabic Typesetting" w:cs="Arabic Typesetting"/>
                <w:sz w:val="28"/>
                <w:szCs w:val="28"/>
                <w:rtl/>
                <w:lang w:bidi="ar-EG"/>
              </w:rPr>
              <w:t>2012/13</w:t>
            </w:r>
            <w:r w:rsidR="007511CF" w:rsidRPr="00211D55">
              <w:rPr>
                <w:rFonts w:ascii="Arabic Typesetting" w:hAnsi="Arabic Typesetting" w:cs="Arabic Typesetting"/>
                <w:sz w:val="28"/>
                <w:szCs w:val="28"/>
                <w:rtl/>
                <w:lang w:bidi="ar-EG"/>
              </w:rPr>
              <w:t xml:space="preserve"> على الرغم من افتتاح قاعدة المؤتمرات الجديدة في سبتمبر 2014.</w:t>
            </w:r>
          </w:p>
          <w:p w:rsidR="007511CF" w:rsidRPr="00211D55" w:rsidRDefault="007511CF" w:rsidP="006536B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ونفذ نظام التبريد باستخدام مياه بحيرة جنيف المبردة في مبنى </w:t>
            </w:r>
            <w:proofErr w:type="spellStart"/>
            <w:r w:rsidRPr="00211D55">
              <w:rPr>
                <w:rFonts w:ascii="Arabic Typesetting" w:hAnsi="Arabic Typesetting" w:cs="Arabic Typesetting"/>
                <w:sz w:val="28"/>
                <w:szCs w:val="28"/>
                <w:rtl/>
                <w:lang w:bidi="ar-EG"/>
              </w:rPr>
              <w:t>أرباد</w:t>
            </w:r>
            <w:proofErr w:type="spellEnd"/>
            <w:r w:rsidRPr="00211D55">
              <w:rPr>
                <w:rFonts w:ascii="Arabic Typesetting" w:hAnsi="Arabic Typesetting" w:cs="Arabic Typesetting"/>
                <w:sz w:val="28"/>
                <w:szCs w:val="28"/>
                <w:rtl/>
                <w:lang w:bidi="ar-EG"/>
              </w:rPr>
              <w:t xml:space="preserve"> </w:t>
            </w:r>
            <w:proofErr w:type="spellStart"/>
            <w:r w:rsidRPr="00211D55">
              <w:rPr>
                <w:rFonts w:ascii="Arabic Typesetting" w:hAnsi="Arabic Typesetting" w:cs="Arabic Typesetting"/>
                <w:sz w:val="28"/>
                <w:szCs w:val="28"/>
                <w:rtl/>
                <w:lang w:bidi="ar-EG"/>
              </w:rPr>
              <w:t>بوكش</w:t>
            </w:r>
            <w:proofErr w:type="spellEnd"/>
            <w:r w:rsidRPr="00211D55">
              <w:rPr>
                <w:rFonts w:ascii="Arabic Typesetting" w:hAnsi="Arabic Typesetting" w:cs="Arabic Typesetting"/>
                <w:sz w:val="28"/>
                <w:szCs w:val="28"/>
                <w:rtl/>
                <w:lang w:bidi="ar-EG"/>
              </w:rPr>
              <w:t xml:space="preserve"> ومبنى البراءات (في إطار الخطة الرأسمالية الرئيسية، انظر الملحقات) وسلِّم في عامي 2014 و2015 على التوالي وأدمجا بالكامل في خطة صيانة</w:t>
            </w:r>
            <w:r w:rsidR="006536BF">
              <w:rPr>
                <w:rFonts w:ascii="Arabic Typesetting" w:hAnsi="Arabic Typesetting" w:cs="Arabic Typesetting" w:hint="cs"/>
                <w:sz w:val="28"/>
                <w:szCs w:val="28"/>
                <w:rtl/>
                <w:lang w:bidi="ar-EG"/>
              </w:rPr>
              <w:t> </w:t>
            </w:r>
            <w:r w:rsidRPr="00211D55">
              <w:rPr>
                <w:rFonts w:ascii="Arabic Typesetting" w:hAnsi="Arabic Typesetting" w:cs="Arabic Typesetting"/>
                <w:sz w:val="28"/>
                <w:szCs w:val="28"/>
                <w:rtl/>
                <w:lang w:bidi="ar-EG"/>
              </w:rPr>
              <w:t>المباني.</w:t>
            </w:r>
          </w:p>
          <w:p w:rsidR="007511CF" w:rsidRPr="00211D55" w:rsidRDefault="007511CF" w:rsidP="00796E70">
            <w:pPr>
              <w:widowControl w:val="0"/>
              <w:bidi/>
              <w:spacing w:before="60" w:after="60" w:line="280" w:lineRule="exact"/>
              <w:rPr>
                <w:rFonts w:ascii="Arabic Typesetting" w:hAnsi="Arabic Typesetting" w:cs="Arabic Typesetting"/>
                <w:sz w:val="28"/>
                <w:szCs w:val="28"/>
                <w:rtl/>
                <w:lang w:bidi="ar-EG"/>
              </w:rPr>
            </w:pPr>
          </w:p>
          <w:p w:rsidR="00796E70" w:rsidRPr="00211D55" w:rsidRDefault="00796E70" w:rsidP="006536B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أدخل، في المبنى الجديد، تحديث على نظام التبريد الذي يستخدم المياه المبرّدة </w:t>
            </w:r>
            <w:proofErr w:type="spellStart"/>
            <w:r w:rsidRPr="00211D55">
              <w:rPr>
                <w:rFonts w:ascii="Arabic Typesetting" w:hAnsi="Arabic Typesetting" w:cs="Arabic Typesetting"/>
                <w:sz w:val="28"/>
                <w:szCs w:val="28"/>
                <w:rtl/>
                <w:lang w:bidi="ar-EG"/>
              </w:rPr>
              <w:t>المستقاة</w:t>
            </w:r>
            <w:proofErr w:type="spellEnd"/>
            <w:r w:rsidRPr="00211D55">
              <w:rPr>
                <w:rFonts w:ascii="Arabic Typesetting" w:hAnsi="Arabic Typesetting" w:cs="Arabic Typesetting"/>
                <w:sz w:val="28"/>
                <w:szCs w:val="28"/>
                <w:rtl/>
                <w:lang w:bidi="ar-EG"/>
              </w:rPr>
              <w:t xml:space="preserve"> من بحيرة جنيف</w:t>
            </w:r>
            <w:r w:rsidR="007511CF" w:rsidRPr="00211D55">
              <w:rPr>
                <w:rFonts w:ascii="Arabic Typesetting" w:hAnsi="Arabic Typesetting" w:cs="Arabic Typesetting"/>
                <w:sz w:val="28"/>
                <w:szCs w:val="28"/>
                <w:rtl/>
                <w:lang w:bidi="ar-EG"/>
              </w:rPr>
              <w:t xml:space="preserve"> في عام</w:t>
            </w:r>
            <w:r w:rsidR="006536BF">
              <w:rPr>
                <w:rFonts w:ascii="Arabic Typesetting" w:hAnsi="Arabic Typesetting" w:cs="Arabic Typesetting" w:hint="cs"/>
                <w:sz w:val="28"/>
                <w:szCs w:val="28"/>
                <w:rtl/>
                <w:lang w:bidi="ar-EG"/>
              </w:rPr>
              <w:t> </w:t>
            </w:r>
            <w:r w:rsidR="007511CF" w:rsidRPr="00211D55">
              <w:rPr>
                <w:rFonts w:ascii="Arabic Typesetting" w:hAnsi="Arabic Typesetting" w:cs="Arabic Typesetting"/>
                <w:sz w:val="28"/>
                <w:szCs w:val="28"/>
                <w:rtl/>
                <w:lang w:bidi="ar-EG"/>
              </w:rPr>
              <w:t>2014</w:t>
            </w:r>
            <w:r w:rsidRPr="00211D55">
              <w:rPr>
                <w:rFonts w:ascii="Arabic Typesetting" w:hAnsi="Arabic Typesetting" w:cs="Arabic Typesetting"/>
                <w:sz w:val="28"/>
                <w:szCs w:val="28"/>
                <w:rtl/>
                <w:lang w:bidi="ar-EG"/>
              </w:rPr>
              <w:t>.</w:t>
            </w:r>
          </w:p>
          <w:p w:rsidR="00796E70" w:rsidRPr="00211D55" w:rsidRDefault="00796E70" w:rsidP="00796E70">
            <w:pPr>
              <w:widowControl w:val="0"/>
              <w:bidi/>
              <w:spacing w:before="60" w:after="60" w:line="280" w:lineRule="exact"/>
              <w:rPr>
                <w:rFonts w:ascii="Arabic Typesetting" w:hAnsi="Arabic Typesetting" w:cs="Arabic Typesetting"/>
                <w:sz w:val="28"/>
                <w:szCs w:val="28"/>
                <w:rtl/>
                <w:lang w:bidi="ar-EG"/>
              </w:rPr>
            </w:pPr>
          </w:p>
          <w:p w:rsidR="00796E70" w:rsidRPr="00211D55" w:rsidRDefault="00796E70" w:rsidP="00796E70">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sz w:val="28"/>
                <w:szCs w:val="28"/>
                <w:rtl/>
                <w:lang w:bidi="ar-EG"/>
              </w:rPr>
              <w:t>شملت التدابير الإضافية السليمة بيئيا التدابير الرئيسية التالية: "1" تقليل استهلاك الضوء الاصطناعي عن طريق استبدال المصابيح التقليدية بمصابيح جديدة تستخدم تكنولوجيا </w:t>
            </w:r>
            <w:r w:rsidRPr="00211D55">
              <w:rPr>
                <w:rFonts w:ascii="Arabic Typesetting" w:hAnsi="Arabic Typesetting" w:cs="Arabic Typesetting"/>
                <w:sz w:val="28"/>
                <w:szCs w:val="28"/>
                <w:lang w:bidi="ar-EG"/>
              </w:rPr>
              <w:t>LED</w:t>
            </w:r>
            <w:r w:rsidRPr="00211D55">
              <w:rPr>
                <w:rFonts w:ascii="Arabic Typesetting" w:hAnsi="Arabic Typesetting" w:cs="Arabic Typesetting"/>
                <w:sz w:val="28"/>
                <w:szCs w:val="28"/>
                <w:rtl/>
                <w:lang w:bidi="ar-EG"/>
              </w:rPr>
              <w:t>، "2" والإضاءة المُستحدثة بالحركة خارج ساعات العمل في الطوابق التي توجد فيها المكاتب في مختلف المباني القديمة.</w:t>
            </w:r>
          </w:p>
        </w:tc>
        <w:tc>
          <w:tcPr>
            <w:tcW w:w="455" w:type="pct"/>
            <w:shd w:val="clear" w:color="auto" w:fill="auto"/>
          </w:tcPr>
          <w:p w:rsidR="00796E70" w:rsidRPr="00211D55" w:rsidRDefault="007511CF"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r w:rsidR="00796E70" w:rsidRPr="00211D55" w:rsidTr="008B6CC8">
        <w:trPr>
          <w:cantSplit/>
        </w:trPr>
        <w:tc>
          <w:tcPr>
            <w:tcW w:w="1137" w:type="pct"/>
          </w:tcPr>
          <w:p w:rsidR="00796E70" w:rsidRPr="00211D55" w:rsidRDefault="00796E70" w:rsidP="0055755E">
            <w:pPr>
              <w:widowControl w:val="0"/>
              <w:bidi/>
              <w:spacing w:before="60" w:after="60" w:line="280" w:lineRule="exact"/>
              <w:rPr>
                <w:rFonts w:ascii="Arabic Typesetting" w:eastAsia="Arial" w:hAnsi="Arabic Typesetting" w:cs="Arabic Typesetting"/>
                <w:sz w:val="28"/>
                <w:szCs w:val="28"/>
                <w:rtl/>
                <w:lang w:bidi="ar-EG"/>
              </w:rPr>
            </w:pPr>
            <w:r w:rsidRPr="00211D55">
              <w:rPr>
                <w:rFonts w:ascii="Arabic Typesetting" w:eastAsia="Arial" w:hAnsi="Arabic Typesetting" w:cs="Arabic Typesetting"/>
                <w:sz w:val="28"/>
                <w:szCs w:val="28"/>
                <w:rtl/>
                <w:lang w:bidi="ar-EG"/>
              </w:rPr>
              <w:lastRenderedPageBreak/>
              <w:t>امتثال مباني الويبو لتوصيات عملية التدقيق التي أجراها معهد السلامة والأمن (</w:t>
            </w:r>
            <w:proofErr w:type="spellStart"/>
            <w:r w:rsidRPr="00211D55">
              <w:rPr>
                <w:rFonts w:ascii="Arabic Typesetting" w:eastAsia="Arial" w:hAnsi="Arabic Typesetting" w:cs="Arabic Typesetting"/>
                <w:sz w:val="28"/>
                <w:szCs w:val="28"/>
                <w:rtl/>
                <w:lang w:bidi="ar-EG"/>
              </w:rPr>
              <w:t>نوشاتل</w:t>
            </w:r>
            <w:proofErr w:type="spellEnd"/>
            <w:r w:rsidRPr="00211D55">
              <w:rPr>
                <w:rFonts w:ascii="Arabic Typesetting" w:eastAsia="Arial" w:hAnsi="Arabic Typesetting" w:cs="Arabic Typesetting"/>
                <w:sz w:val="28"/>
                <w:szCs w:val="28"/>
                <w:rtl/>
                <w:lang w:bidi="ar-EG"/>
              </w:rPr>
              <w:t>) في 2009 وإجراءات تأمين المحيط حسب معايير الأمن التشغيلي الدنيا في المقار (</w:t>
            </w:r>
            <w:r w:rsidRPr="00211D55">
              <w:rPr>
                <w:rFonts w:ascii="Arabic Typesetting" w:eastAsia="Arial" w:hAnsi="Arabic Typesetting" w:cs="Arabic Typesetting"/>
                <w:sz w:val="28"/>
                <w:szCs w:val="28"/>
                <w:lang w:bidi="ar-EG"/>
              </w:rPr>
              <w:t>UN</w:t>
            </w:r>
            <w:r w:rsidR="006536BF">
              <w:rPr>
                <w:rFonts w:ascii="Arabic Typesetting" w:eastAsia="Arial" w:hAnsi="Arabic Typesetting" w:cs="Arabic Typesetting"/>
                <w:sz w:val="28"/>
                <w:szCs w:val="28"/>
                <w:lang w:bidi="ar-EG"/>
              </w:rPr>
              <w:t> </w:t>
            </w:r>
            <w:r w:rsidRPr="00211D55">
              <w:rPr>
                <w:rFonts w:ascii="Arabic Typesetting" w:eastAsia="Arial" w:hAnsi="Arabic Typesetting" w:cs="Arabic Typesetting"/>
                <w:sz w:val="28"/>
                <w:szCs w:val="28"/>
                <w:lang w:bidi="ar-EG"/>
              </w:rPr>
              <w:t>H-MOSS</w:t>
            </w:r>
            <w:r w:rsidRPr="00211D55">
              <w:rPr>
                <w:rFonts w:ascii="Arabic Typesetting" w:eastAsia="Arial" w:hAnsi="Arabic Typesetting" w:cs="Arabic Typesetting"/>
                <w:sz w:val="28"/>
                <w:szCs w:val="28"/>
                <w:rtl/>
                <w:lang w:bidi="ar-EG"/>
              </w:rPr>
              <w:t>)</w:t>
            </w:r>
          </w:p>
        </w:tc>
        <w:tc>
          <w:tcPr>
            <w:tcW w:w="1197" w:type="pct"/>
          </w:tcPr>
          <w:p w:rsidR="00796E70" w:rsidRPr="00211D55" w:rsidRDefault="00796E70" w:rsidP="0055755E">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خطة مدتها 6 سنوات لتنفيذ توصيات عملية التدقيق التي أجراها معهد السلامة والأمن (</w:t>
            </w:r>
            <w:proofErr w:type="spellStart"/>
            <w:r w:rsidRPr="00211D55">
              <w:rPr>
                <w:rFonts w:ascii="Arabic Typesetting" w:hAnsi="Arabic Typesetting" w:cs="Arabic Typesetting"/>
                <w:b/>
                <w:sz w:val="28"/>
                <w:szCs w:val="28"/>
                <w:rtl/>
                <w:lang w:bidi="ar-EG"/>
              </w:rPr>
              <w:t>نوشاتل</w:t>
            </w:r>
            <w:proofErr w:type="spellEnd"/>
            <w:r w:rsidRPr="00211D55">
              <w:rPr>
                <w:rFonts w:ascii="Arabic Typesetting" w:hAnsi="Arabic Typesetting" w:cs="Arabic Typesetting"/>
                <w:b/>
                <w:sz w:val="28"/>
                <w:szCs w:val="28"/>
                <w:rtl/>
                <w:lang w:bidi="ar-EG"/>
              </w:rPr>
              <w:t>) في 2009</w:t>
            </w:r>
          </w:p>
        </w:tc>
        <w:tc>
          <w:tcPr>
            <w:tcW w:w="847" w:type="pct"/>
            <w:tcMar>
              <w:top w:w="110" w:type="dxa"/>
            </w:tcMar>
          </w:tcPr>
          <w:p w:rsidR="00796E70" w:rsidRPr="00211D55" w:rsidRDefault="00796E70" w:rsidP="006536BF">
            <w:pPr>
              <w:widowControl w:val="0"/>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تنفيذ توصيات عملية التدقيق وفقا للخطة التدرجية البالغة مدتها 6 سنوات ولإجراءات تأمين المحيط في نهاية</w:t>
            </w:r>
            <w:r w:rsidR="006536BF">
              <w:rPr>
                <w:rFonts w:ascii="Arabic Typesetting" w:hAnsi="Arabic Typesetting" w:cs="Arabic Typesetting" w:hint="cs"/>
                <w:b/>
                <w:sz w:val="28"/>
                <w:szCs w:val="28"/>
                <w:rtl/>
                <w:lang w:bidi="ar-EG"/>
              </w:rPr>
              <w:t> </w:t>
            </w:r>
            <w:r w:rsidRPr="00211D55">
              <w:rPr>
                <w:rFonts w:ascii="Arabic Typesetting" w:hAnsi="Arabic Typesetting" w:cs="Arabic Typesetting"/>
                <w:b/>
                <w:sz w:val="28"/>
                <w:szCs w:val="28"/>
                <w:rtl/>
                <w:lang w:bidi="ar-EG"/>
              </w:rPr>
              <w:t>2015</w:t>
            </w:r>
          </w:p>
        </w:tc>
        <w:tc>
          <w:tcPr>
            <w:tcW w:w="1364" w:type="pct"/>
            <w:shd w:val="clear" w:color="auto" w:fill="FFFFFF"/>
            <w:tcMar>
              <w:top w:w="110" w:type="dxa"/>
            </w:tcMar>
          </w:tcPr>
          <w:p w:rsidR="00796E70" w:rsidRPr="00211D55" w:rsidRDefault="00796E70" w:rsidP="00796E70">
            <w:pPr>
              <w:widowControl w:val="0"/>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lang w:bidi="ar-EG"/>
              </w:rPr>
              <w:t xml:space="preserve">انظر الملحق الثالث المتضمن </w:t>
            </w:r>
            <w:r w:rsidRPr="00211D55">
              <w:rPr>
                <w:rFonts w:ascii="Arabic Typesetting" w:hAnsi="Arabic Typesetting" w:cs="Arabic Typesetting"/>
                <w:sz w:val="28"/>
                <w:szCs w:val="28"/>
                <w:rtl/>
              </w:rPr>
              <w:t>التقرير المرحلي بشأن الخطة الرأسمالية الرئيسية في عام</w:t>
            </w:r>
            <w:r w:rsidR="007511CF" w:rsidRPr="00211D55">
              <w:rPr>
                <w:rFonts w:ascii="Arabic Typesetting" w:hAnsi="Arabic Typesetting" w:cs="Arabic Typesetting"/>
                <w:sz w:val="28"/>
                <w:szCs w:val="28"/>
                <w:rtl/>
              </w:rPr>
              <w:t>ي</w:t>
            </w:r>
            <w:r w:rsidRPr="00211D55">
              <w:rPr>
                <w:rFonts w:ascii="Arabic Typesetting" w:hAnsi="Arabic Typesetting" w:cs="Arabic Typesetting"/>
                <w:sz w:val="28"/>
                <w:szCs w:val="28"/>
                <w:rtl/>
              </w:rPr>
              <w:t xml:space="preserve"> 2014</w:t>
            </w:r>
            <w:r w:rsidR="007511CF" w:rsidRPr="00211D55">
              <w:rPr>
                <w:rFonts w:ascii="Arabic Typesetting" w:hAnsi="Arabic Typesetting" w:cs="Arabic Typesetting"/>
                <w:sz w:val="28"/>
                <w:szCs w:val="28"/>
                <w:rtl/>
              </w:rPr>
              <w:t xml:space="preserve"> و2015</w:t>
            </w:r>
            <w:r w:rsidRPr="00211D55">
              <w:rPr>
                <w:rFonts w:ascii="Arabic Typesetting" w:hAnsi="Arabic Typesetting" w:cs="Arabic Typesetting"/>
                <w:sz w:val="28"/>
                <w:szCs w:val="28"/>
                <w:rtl/>
              </w:rPr>
              <w:t>.</w:t>
            </w:r>
          </w:p>
          <w:p w:rsidR="00796E70" w:rsidRPr="00211D55" w:rsidRDefault="00796E70" w:rsidP="00796E70">
            <w:pPr>
              <w:widowControl w:val="0"/>
              <w:bidi/>
              <w:spacing w:before="60" w:after="60" w:line="280" w:lineRule="exact"/>
              <w:rPr>
                <w:rFonts w:ascii="Arabic Typesetting" w:hAnsi="Arabic Typesetting" w:cs="Arabic Typesetting"/>
                <w:sz w:val="28"/>
                <w:szCs w:val="28"/>
                <w:rtl/>
              </w:rPr>
            </w:pPr>
          </w:p>
          <w:p w:rsidR="007511CF" w:rsidRPr="00211D55" w:rsidRDefault="00796E70" w:rsidP="007511CF">
            <w:pPr>
              <w:widowControl w:val="0"/>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إضافة إلى تنفيذ التوصية المشمولة بالخطة الرأسمالية الرئيسية، نُفذت التوصية التالية:</w:t>
            </w:r>
          </w:p>
          <w:p w:rsidR="00796E70" w:rsidRPr="00211D55" w:rsidRDefault="007511CF" w:rsidP="00331C24">
            <w:pPr>
              <w:widowControl w:val="0"/>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"1" </w:t>
            </w:r>
            <w:r w:rsidR="00796E70" w:rsidRPr="00211D55">
              <w:rPr>
                <w:rFonts w:ascii="Arabic Typesetting" w:hAnsi="Arabic Typesetting" w:cs="Arabic Typesetting"/>
                <w:sz w:val="28"/>
                <w:szCs w:val="28"/>
                <w:rtl/>
              </w:rPr>
              <w:t xml:space="preserve">تحديث نظام الكشف عن الحريق (آخر جيل لأجهزة الكشف عن الحريق) في </w:t>
            </w:r>
            <w:r w:rsidRPr="00211D55">
              <w:rPr>
                <w:rFonts w:ascii="Arabic Typesetting" w:hAnsi="Arabic Typesetting" w:cs="Arabic Typesetting"/>
                <w:sz w:val="28"/>
                <w:szCs w:val="28"/>
                <w:rtl/>
              </w:rPr>
              <w:t>الطوابق السفلية الأربعة</w:t>
            </w:r>
            <w:r w:rsidR="00796E70" w:rsidRPr="00211D55">
              <w:rPr>
                <w:rFonts w:ascii="Arabic Typesetting" w:hAnsi="Arabic Typesetting" w:cs="Arabic Typesetting"/>
                <w:sz w:val="28"/>
                <w:szCs w:val="28"/>
                <w:rtl/>
              </w:rPr>
              <w:t xml:space="preserve"> من </w:t>
            </w:r>
            <w:r w:rsidR="00331C24">
              <w:rPr>
                <w:rFonts w:ascii="Arabic Typesetting" w:hAnsi="Arabic Typesetting" w:cs="Arabic Typesetting" w:hint="cs"/>
                <w:sz w:val="28"/>
                <w:szCs w:val="28"/>
                <w:rtl/>
              </w:rPr>
              <w:t>مرآب</w:t>
            </w:r>
            <w:r w:rsidR="00796E70" w:rsidRPr="00211D55">
              <w:rPr>
                <w:rFonts w:ascii="Arabic Typesetting" w:hAnsi="Arabic Typesetting" w:cs="Arabic Typesetting"/>
                <w:sz w:val="28"/>
                <w:szCs w:val="28"/>
                <w:rtl/>
              </w:rPr>
              <w:t xml:space="preserve"> السيارات بمبنى </w:t>
            </w:r>
            <w:proofErr w:type="spellStart"/>
            <w:r w:rsidR="006536BF">
              <w:rPr>
                <w:rFonts w:ascii="Arabic Typesetting" w:hAnsi="Arabic Typesetting" w:cs="Arabic Typesetting" w:hint="cs"/>
                <w:sz w:val="28"/>
                <w:szCs w:val="28"/>
                <w:rtl/>
              </w:rPr>
              <w:t>أرباد</w:t>
            </w:r>
            <w:proofErr w:type="spellEnd"/>
            <w:r w:rsidR="006536BF">
              <w:rPr>
                <w:rFonts w:ascii="Arabic Typesetting" w:hAnsi="Arabic Typesetting" w:cs="Arabic Typesetting" w:hint="cs"/>
                <w:sz w:val="28"/>
                <w:szCs w:val="28"/>
                <w:rtl/>
              </w:rPr>
              <w:t xml:space="preserve"> </w:t>
            </w:r>
            <w:proofErr w:type="spellStart"/>
            <w:r w:rsidR="006536BF">
              <w:rPr>
                <w:rFonts w:ascii="Arabic Typesetting" w:hAnsi="Arabic Typesetting" w:cs="Arabic Typesetting" w:hint="cs"/>
                <w:sz w:val="28"/>
                <w:szCs w:val="28"/>
                <w:rtl/>
              </w:rPr>
              <w:t>بوكش</w:t>
            </w:r>
            <w:proofErr w:type="spellEnd"/>
            <w:r w:rsidRPr="00211D55">
              <w:rPr>
                <w:rFonts w:ascii="Arabic Typesetting" w:hAnsi="Arabic Typesetting" w:cs="Arabic Typesetting"/>
                <w:sz w:val="28"/>
                <w:szCs w:val="28"/>
                <w:rtl/>
              </w:rPr>
              <w:t xml:space="preserve">؛ "2" تحديث نظام الأضواء في حالات الطوارئ في بعض الطوابق من مبنى </w:t>
            </w:r>
            <w:r w:rsidRPr="00211D55">
              <w:rPr>
                <w:rFonts w:ascii="Arabic Typesetting" w:hAnsi="Arabic Typesetting" w:cs="Arabic Typesetting"/>
                <w:sz w:val="28"/>
                <w:szCs w:val="28"/>
              </w:rPr>
              <w:t>GBI</w:t>
            </w:r>
            <w:r w:rsidR="00796E70" w:rsidRPr="00211D55">
              <w:rPr>
                <w:rFonts w:ascii="Arabic Typesetting" w:hAnsi="Arabic Typesetting" w:cs="Arabic Typesetting"/>
                <w:sz w:val="28"/>
                <w:szCs w:val="28"/>
                <w:rtl/>
              </w:rPr>
              <w:t>.</w:t>
            </w:r>
          </w:p>
        </w:tc>
        <w:tc>
          <w:tcPr>
            <w:tcW w:w="455" w:type="pct"/>
            <w:shd w:val="clear" w:color="auto" w:fill="auto"/>
          </w:tcPr>
          <w:p w:rsidR="00796E70" w:rsidRPr="00211D55" w:rsidRDefault="007511CF" w:rsidP="00796E70">
            <w:pPr>
              <w:widowControl w:val="0"/>
              <w:bidi/>
              <w:spacing w:before="60" w:after="60" w:line="280" w:lineRule="exact"/>
              <w:jc w:val="center"/>
              <w:rPr>
                <w:rFonts w:ascii="Arabic Typesetting" w:hAnsi="Arabic Typesetting" w:cs="Arabic Typesetting"/>
                <w:bCs/>
                <w:color w:val="008000"/>
                <w:sz w:val="28"/>
                <w:szCs w:val="28"/>
                <w:rtl/>
                <w:lang w:bidi="ar-EG"/>
              </w:rPr>
            </w:pPr>
            <w:r w:rsidRPr="00211D55">
              <w:rPr>
                <w:rFonts w:ascii="Arabic Typesetting" w:hAnsi="Arabic Typesetting" w:cs="Arabic Typesetting"/>
                <w:bCs/>
                <w:color w:val="008000"/>
                <w:sz w:val="28"/>
                <w:szCs w:val="28"/>
                <w:rtl/>
                <w:lang w:bidi="ar-EG"/>
              </w:rPr>
              <w:t>محقق كلياً</w:t>
            </w:r>
          </w:p>
        </w:tc>
      </w:tr>
    </w:tbl>
    <w:p w:rsidR="00004A86" w:rsidRPr="00A16E11" w:rsidRDefault="00004A86" w:rsidP="00781F2F">
      <w:pPr>
        <w:keepNext/>
        <w:bidi/>
        <w:spacing w:before="120" w:after="120" w:line="340" w:lineRule="exact"/>
        <w:rPr>
          <w:rFonts w:ascii="Arabic Typesetting" w:hAnsi="Arabic Typesetting" w:cs="Arabic Typesetting"/>
          <w:sz w:val="34"/>
          <w:szCs w:val="34"/>
          <w:rtl/>
          <w:lang w:bidi="ar-EG"/>
        </w:rPr>
      </w:pPr>
      <w:r w:rsidRPr="00A16E11">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2200"/>
        <w:gridCol w:w="2310"/>
        <w:gridCol w:w="2306"/>
      </w:tblGrid>
      <w:tr w:rsidR="00004A86" w:rsidRPr="00211D55" w:rsidTr="006536BF">
        <w:trPr>
          <w:cantSplit/>
          <w:trHeight w:val="577"/>
        </w:trPr>
        <w:tc>
          <w:tcPr>
            <w:tcW w:w="2420" w:type="dxa"/>
            <w:tcBorders>
              <w:bottom w:val="single" w:sz="4" w:space="0" w:color="auto"/>
              <w:right w:val="nil"/>
            </w:tcBorders>
            <w:shd w:val="clear" w:color="auto" w:fill="C6D9F1" w:themeFill="text2" w:themeFillTint="33"/>
            <w:vAlign w:val="center"/>
          </w:tcPr>
          <w:p w:rsidR="00004A86" w:rsidRPr="00211D55" w:rsidRDefault="00004A86" w:rsidP="008B6CC8">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left w:val="nil"/>
              <w:bottom w:val="single" w:sz="4" w:space="0" w:color="auto"/>
              <w:right w:val="nil"/>
            </w:tcBorders>
            <w:shd w:val="clear" w:color="auto" w:fill="C6D9F1" w:themeFill="text2" w:themeFillTint="33"/>
            <w:vAlign w:val="center"/>
          </w:tcPr>
          <w:p w:rsidR="00004A86" w:rsidRPr="00211D55" w:rsidRDefault="00004A86" w:rsidP="008B6CC8">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left w:val="nil"/>
              <w:bottom w:val="single" w:sz="4" w:space="0" w:color="auto"/>
              <w:right w:val="nil"/>
            </w:tcBorders>
            <w:shd w:val="clear" w:color="auto" w:fill="C6D9F1" w:themeFill="text2" w:themeFillTint="33"/>
          </w:tcPr>
          <w:p w:rsidR="00004A86" w:rsidRPr="00211D55" w:rsidRDefault="00004A86" w:rsidP="008B6CC8">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left w:val="nil"/>
              <w:bottom w:val="single" w:sz="4" w:space="0" w:color="auto"/>
            </w:tcBorders>
            <w:shd w:val="clear" w:color="auto" w:fill="C6D9F1" w:themeFill="text2" w:themeFillTint="33"/>
          </w:tcPr>
          <w:p w:rsidR="00004A86" w:rsidRPr="00211D55" w:rsidRDefault="00004A86" w:rsidP="008B6CC8">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8D3269" w:rsidRPr="00211D55" w:rsidTr="00E439F5">
        <w:trPr>
          <w:cantSplit/>
          <w:trHeight w:val="1306"/>
        </w:trPr>
        <w:tc>
          <w:tcPr>
            <w:tcW w:w="2420" w:type="dxa"/>
            <w:tcBorders>
              <w:bottom w:val="nil"/>
              <w:right w:val="nil"/>
            </w:tcBorders>
            <w:shd w:val="clear" w:color="auto" w:fill="auto"/>
            <w:tcMar>
              <w:top w:w="113" w:type="dxa"/>
              <w:bottom w:w="113" w:type="dxa"/>
            </w:tcMar>
          </w:tcPr>
          <w:p w:rsidR="008D3269" w:rsidRPr="00211D55" w:rsidRDefault="008D3269" w:rsidP="003B526C">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إخفاق مزودي الخدمات الرئيسيين سيتسبب في تعطل الخدمات المقدمة لزبائننا الخارجيين</w:t>
            </w:r>
          </w:p>
        </w:tc>
        <w:tc>
          <w:tcPr>
            <w:tcW w:w="2200" w:type="dxa"/>
            <w:tcBorders>
              <w:left w:val="nil"/>
              <w:bottom w:val="nil"/>
              <w:right w:val="nil"/>
            </w:tcBorders>
            <w:shd w:val="clear" w:color="auto" w:fill="auto"/>
            <w:tcMar>
              <w:top w:w="113" w:type="dxa"/>
              <w:bottom w:w="113" w:type="dxa"/>
            </w:tcMar>
          </w:tcPr>
          <w:p w:rsidR="008D3269" w:rsidRPr="00211D55" w:rsidRDefault="008D3269" w:rsidP="003B526C">
            <w:pPr>
              <w:autoSpaceDE w:val="0"/>
              <w:autoSpaceDN w:val="0"/>
              <w:bidi/>
              <w:adjustRightIn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ينبغي أن تضع شعبة المشتريات والسفر وبرامج الويبو خطة طوارئ بالنسبة للعقود التي تعد عالية المخاطر وحيوية بالنسبة لاستمرار العمل</w:t>
            </w:r>
          </w:p>
        </w:tc>
        <w:tc>
          <w:tcPr>
            <w:tcW w:w="2310" w:type="dxa"/>
            <w:tcBorders>
              <w:left w:val="nil"/>
              <w:bottom w:val="nil"/>
              <w:right w:val="nil"/>
            </w:tcBorders>
          </w:tcPr>
          <w:p w:rsidR="008D3269" w:rsidRPr="00211D55" w:rsidRDefault="00671C0B" w:rsidP="003B526C">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rPr>
              <w:t>هذا الخطر متواصل على المنظمة وحددت معالمه تحديداً أفضل عن طريق جرد المزودين "المحوريين" في خطط المشتريات الخاصة بالبرامج بالتعاون مع شعبة المشتريات والأسفار. وتولى العناية اللازمة لمعالجة تعطل الخدمات في إطار استعراض خطط المشتريات كما يتبين في الشروط التعاقدية.</w:t>
            </w:r>
          </w:p>
        </w:tc>
        <w:tc>
          <w:tcPr>
            <w:tcW w:w="2306" w:type="dxa"/>
            <w:tcBorders>
              <w:left w:val="nil"/>
              <w:bottom w:val="nil"/>
            </w:tcBorders>
          </w:tcPr>
          <w:p w:rsidR="008D3269" w:rsidRPr="003B526C" w:rsidRDefault="002F200B" w:rsidP="003B526C">
            <w:pPr>
              <w:bidi/>
              <w:spacing w:before="60" w:after="60" w:line="280" w:lineRule="exact"/>
              <w:rPr>
                <w:rFonts w:ascii="Arabic Typesetting" w:hAnsi="Arabic Typesetting" w:cs="Arabic Typesetting"/>
                <w:sz w:val="28"/>
                <w:szCs w:val="28"/>
              </w:rPr>
            </w:pPr>
            <w:r>
              <w:rPr>
                <w:rFonts w:ascii="Arabic Typesetting" w:hAnsi="Arabic Typesetting" w:cs="Arabic Typesetting" w:hint="cs"/>
                <w:sz w:val="28"/>
                <w:szCs w:val="28"/>
                <w:rtl/>
              </w:rPr>
              <w:t>لم يؤثر هذا الخطر ولا تطوره تأثيراً مادياً في أداء البرنامج للفترة 2014/15.</w:t>
            </w:r>
          </w:p>
        </w:tc>
      </w:tr>
      <w:tr w:rsidR="008D3269" w:rsidRPr="00211D55" w:rsidTr="00E439F5">
        <w:trPr>
          <w:cantSplit/>
          <w:trHeight w:val="1332"/>
        </w:trPr>
        <w:tc>
          <w:tcPr>
            <w:tcW w:w="2420" w:type="dxa"/>
            <w:tcBorders>
              <w:top w:val="nil"/>
              <w:right w:val="nil"/>
            </w:tcBorders>
            <w:shd w:val="clear" w:color="auto" w:fill="auto"/>
            <w:tcMar>
              <w:top w:w="113" w:type="dxa"/>
              <w:bottom w:w="113" w:type="dxa"/>
            </w:tcMar>
          </w:tcPr>
          <w:p w:rsidR="008D3269" w:rsidRPr="00211D55" w:rsidRDefault="008D3269" w:rsidP="003B526C">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الحوادث أو العوارض الخارجية التي تحول دون إشغال مبنى أو أكثر لمدة طويلة، مما قد يتسبب في تعطل الخدمات الخارجية وإهدار الموارد مما يؤثر سلبا</w:t>
            </w:r>
            <w:r w:rsidR="000A7484">
              <w:rPr>
                <w:rFonts w:ascii="Arabic Typesetting" w:hAnsi="Arabic Typesetting" w:cs="Arabic Typesetting" w:hint="cs"/>
                <w:sz w:val="28"/>
                <w:szCs w:val="28"/>
                <w:rtl/>
              </w:rPr>
              <w:t>ً</w:t>
            </w:r>
            <w:r w:rsidRPr="00211D55">
              <w:rPr>
                <w:rFonts w:ascii="Arabic Typesetting" w:hAnsi="Arabic Typesetting" w:cs="Arabic Typesetting"/>
                <w:sz w:val="28"/>
                <w:szCs w:val="28"/>
                <w:rtl/>
              </w:rPr>
              <w:t xml:space="preserve"> </w:t>
            </w:r>
            <w:r w:rsidR="000A7484">
              <w:rPr>
                <w:rFonts w:ascii="Arabic Typesetting" w:hAnsi="Arabic Typesetting" w:cs="Arabic Typesetting" w:hint="cs"/>
                <w:sz w:val="28"/>
                <w:szCs w:val="28"/>
                <w:rtl/>
              </w:rPr>
              <w:t>في</w:t>
            </w:r>
            <w:r w:rsidRPr="00211D55">
              <w:rPr>
                <w:rFonts w:ascii="Arabic Typesetting" w:hAnsi="Arabic Typesetting" w:cs="Arabic Typesetting"/>
                <w:sz w:val="28"/>
                <w:szCs w:val="28"/>
                <w:rtl/>
              </w:rPr>
              <w:t xml:space="preserve"> إنجاز البرنامج</w:t>
            </w:r>
          </w:p>
        </w:tc>
        <w:tc>
          <w:tcPr>
            <w:tcW w:w="2200" w:type="dxa"/>
            <w:tcBorders>
              <w:top w:val="nil"/>
              <w:left w:val="nil"/>
              <w:right w:val="nil"/>
            </w:tcBorders>
            <w:shd w:val="clear" w:color="auto" w:fill="auto"/>
            <w:tcMar>
              <w:top w:w="113" w:type="dxa"/>
              <w:bottom w:w="113" w:type="dxa"/>
            </w:tcMar>
          </w:tcPr>
          <w:p w:rsidR="008D3269" w:rsidRPr="00211D55" w:rsidRDefault="008D3269" w:rsidP="003B526C">
            <w:pPr>
              <w:autoSpaceDE w:val="0"/>
              <w:autoSpaceDN w:val="0"/>
              <w:bidi/>
              <w:adjustRightIn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وضع خطة للتجديد والصيانة على نطاق واسع لجميع المباني والاستمرار في إجراء الصيانة المنتظمة لجميع التجهيزات التقنية الرئيسية، أو تعزيزها حسب الضرورة. مراجعة خطة استمرارية الأعمال بانتظام وتحديثها وتفعيلها حسب الضرورة. تحديد خيارات المكاتب الاحتياطية</w:t>
            </w:r>
            <w:r w:rsidR="000A7484">
              <w:rPr>
                <w:rFonts w:ascii="Arabic Typesetting" w:hAnsi="Arabic Typesetting" w:cs="Arabic Typesetting" w:hint="cs"/>
                <w:sz w:val="28"/>
                <w:szCs w:val="28"/>
                <w:rtl/>
              </w:rPr>
              <w:t>.</w:t>
            </w:r>
          </w:p>
        </w:tc>
        <w:tc>
          <w:tcPr>
            <w:tcW w:w="2310" w:type="dxa"/>
            <w:tcBorders>
              <w:top w:val="nil"/>
              <w:left w:val="nil"/>
              <w:right w:val="nil"/>
            </w:tcBorders>
          </w:tcPr>
          <w:p w:rsidR="008D3269" w:rsidRPr="00211D55" w:rsidRDefault="00671C0B" w:rsidP="003B526C">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rPr>
              <w:t>هذا الخطر متواصل على المنظمة ووُضعت الاستراتيجيات الملائمة لمواجهتها. وأدرج هذا الموضوع أيضاً في إطار خطة الويبو لاستمرارية الأعمال وخطة الويبو لمواجهة الطوارئ.</w:t>
            </w:r>
          </w:p>
          <w:p w:rsidR="00671C0B" w:rsidRPr="00211D55" w:rsidRDefault="00671C0B" w:rsidP="003B526C">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hint="cs"/>
                <w:sz w:val="28"/>
                <w:szCs w:val="28"/>
                <w:rtl/>
              </w:rPr>
              <w:t>ووضعت المرحلة الأولى لخطة التجديد والصيانة الرئيسية.</w:t>
            </w:r>
          </w:p>
          <w:p w:rsidR="00671C0B" w:rsidRPr="00211D55" w:rsidRDefault="00842737" w:rsidP="00842737">
            <w:pPr>
              <w:bidi/>
              <w:spacing w:before="60" w:after="60" w:line="280" w:lineRule="exact"/>
              <w:rPr>
                <w:rFonts w:ascii="Arabic Typesetting" w:hAnsi="Arabic Typesetting" w:cs="Arabic Typesetting"/>
                <w:sz w:val="28"/>
                <w:szCs w:val="28"/>
                <w:rtl/>
              </w:rPr>
            </w:pPr>
            <w:r>
              <w:rPr>
                <w:rFonts w:ascii="Arabic Typesetting" w:hAnsi="Arabic Typesetting" w:cs="Arabic Typesetting" w:hint="cs"/>
                <w:sz w:val="28"/>
                <w:szCs w:val="28"/>
                <w:rtl/>
              </w:rPr>
              <w:t>والخيار الأول ل</w:t>
            </w:r>
            <w:r w:rsidR="00671C0B" w:rsidRPr="00211D55">
              <w:rPr>
                <w:rFonts w:ascii="Arabic Typesetting" w:hAnsi="Arabic Typesetting" w:cs="Arabic Typesetting" w:hint="cs"/>
                <w:sz w:val="28"/>
                <w:szCs w:val="28"/>
                <w:rtl/>
              </w:rPr>
              <w:t xml:space="preserve">لمكاتب الاحتياطية </w:t>
            </w:r>
            <w:r>
              <w:rPr>
                <w:rFonts w:ascii="Arabic Typesetting" w:hAnsi="Arabic Typesetting" w:cs="Arabic Typesetting" w:hint="cs"/>
                <w:sz w:val="28"/>
                <w:szCs w:val="28"/>
                <w:rtl/>
              </w:rPr>
              <w:t>هو المرافق المؤجرة خارج المقر؛ ويزمع تحديد</w:t>
            </w:r>
            <w:r w:rsidR="00671C0B" w:rsidRPr="00211D55">
              <w:rPr>
                <w:rFonts w:ascii="Arabic Typesetting" w:hAnsi="Arabic Typesetting" w:cs="Arabic Typesetting" w:hint="cs"/>
                <w:sz w:val="28"/>
                <w:szCs w:val="28"/>
                <w:rtl/>
              </w:rPr>
              <w:t xml:space="preserve"> </w:t>
            </w:r>
            <w:r>
              <w:rPr>
                <w:rFonts w:ascii="Arabic Typesetting" w:hAnsi="Arabic Typesetting" w:cs="Arabic Typesetting" w:hint="cs"/>
                <w:sz w:val="28"/>
                <w:szCs w:val="28"/>
                <w:rtl/>
              </w:rPr>
              <w:t>المزيد من ال</w:t>
            </w:r>
            <w:r w:rsidR="00671C0B" w:rsidRPr="00211D55">
              <w:rPr>
                <w:rFonts w:ascii="Arabic Typesetting" w:hAnsi="Arabic Typesetting" w:cs="Arabic Typesetting" w:hint="cs"/>
                <w:sz w:val="28"/>
                <w:szCs w:val="28"/>
                <w:rtl/>
              </w:rPr>
              <w:t>مرافق</w:t>
            </w:r>
            <w:r>
              <w:rPr>
                <w:rFonts w:ascii="Arabic Typesetting" w:hAnsi="Arabic Typesetting" w:cs="Arabic Typesetting" w:hint="cs"/>
                <w:sz w:val="28"/>
                <w:szCs w:val="28"/>
                <w:rtl/>
              </w:rPr>
              <w:t xml:space="preserve"> الخارجية في مرحلة لاحقة</w:t>
            </w:r>
            <w:r w:rsidR="00671C0B" w:rsidRPr="00211D55">
              <w:rPr>
                <w:rFonts w:ascii="Arabic Typesetting" w:hAnsi="Arabic Typesetting" w:cs="Arabic Typesetting" w:hint="cs"/>
                <w:sz w:val="28"/>
                <w:szCs w:val="28"/>
                <w:rtl/>
              </w:rPr>
              <w:t>.</w:t>
            </w:r>
          </w:p>
        </w:tc>
        <w:tc>
          <w:tcPr>
            <w:tcW w:w="2306" w:type="dxa"/>
            <w:tcBorders>
              <w:top w:val="nil"/>
              <w:left w:val="nil"/>
            </w:tcBorders>
          </w:tcPr>
          <w:p w:rsidR="008D3269" w:rsidRPr="003B526C" w:rsidRDefault="002F200B" w:rsidP="003B526C">
            <w:pPr>
              <w:bidi/>
              <w:spacing w:before="60" w:after="60" w:line="280" w:lineRule="exact"/>
              <w:rPr>
                <w:rFonts w:ascii="Arabic Typesetting" w:hAnsi="Arabic Typesetting" w:cs="Arabic Typesetting"/>
                <w:sz w:val="28"/>
                <w:szCs w:val="28"/>
              </w:rPr>
            </w:pPr>
            <w:r>
              <w:rPr>
                <w:rFonts w:ascii="Arabic Typesetting" w:hAnsi="Arabic Typesetting" w:cs="Arabic Typesetting" w:hint="cs"/>
                <w:sz w:val="28"/>
                <w:szCs w:val="28"/>
                <w:rtl/>
              </w:rPr>
              <w:t>لم يؤثر هذا الخطر ولا تطوره تأثيراً مادياً في أداء البرنامج للفترة 2014/15.</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lastRenderedPageBreak/>
        <w:t>استخدام الموارد</w:t>
      </w:r>
    </w:p>
    <w:p w:rsidR="00004A86" w:rsidRPr="00FE3908" w:rsidRDefault="00774E37" w:rsidP="00004A86">
      <w:pPr>
        <w:keepNext/>
        <w:bidi/>
        <w:spacing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(بحسب النتائج)</w:t>
      </w:r>
    </w:p>
    <w:p w:rsidR="00004A86" w:rsidRDefault="00004A86" w:rsidP="00004A86">
      <w:pPr>
        <w:keepNext/>
        <w:bidi/>
        <w:spacing w:after="120" w:line="340" w:lineRule="exact"/>
        <w:jc w:val="center"/>
        <w:rPr>
          <w:rFonts w:ascii="Arabic Typesetting" w:hAnsi="Arabic Typesetting" w:cs="Arabic Typesetting"/>
          <w:i/>
          <w:iCs/>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004A86" w:rsidRPr="00211D55" w:rsidTr="00004A86">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004A86" w:rsidRPr="00211D55" w:rsidRDefault="00004A86" w:rsidP="008B6CC8">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004A86" w:rsidRPr="00211D55" w:rsidRDefault="00004A86" w:rsidP="008B6CC8">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004A86" w:rsidRPr="00211D55" w:rsidRDefault="00004A86" w:rsidP="008B6CC8">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004A86" w:rsidRPr="00211D55" w:rsidRDefault="00004A86" w:rsidP="008B6CC8">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004A86" w:rsidRPr="00211D55" w:rsidTr="008B6CC8">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004A86" w:rsidRPr="00211D55" w:rsidRDefault="00004A86">
            <w:pPr>
              <w:bidi/>
              <w:rPr>
                <w:rFonts w:ascii="Arabic Typesetting" w:hAnsi="Arabic Typesetting" w:cs="Arabic Typesetting"/>
                <w:sz w:val="28"/>
                <w:szCs w:val="28"/>
              </w:rPr>
            </w:pPr>
            <w:r w:rsidRPr="00211D55">
              <w:rPr>
                <w:rFonts w:ascii="Arabic Typesetting" w:hAnsi="Arabic Typesetting" w:cs="Arabic Typesetting"/>
                <w:sz w:val="28"/>
                <w:szCs w:val="28"/>
                <w:rtl/>
              </w:rPr>
              <w:t>ھ5.8</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99688F">
            <w:pPr>
              <w:bidi/>
              <w:rPr>
                <w:rFonts w:ascii="Arabic Typesetting" w:hAnsi="Arabic Typesetting" w:cs="Arabic Typesetting"/>
                <w:sz w:val="28"/>
                <w:szCs w:val="28"/>
              </w:rPr>
            </w:pPr>
            <w:r>
              <w:rPr>
                <w:rFonts w:ascii="Arabic Typesetting" w:hAnsi="Arabic Typesetting" w:cs="Arabic Typesetting"/>
                <w:sz w:val="28"/>
                <w:szCs w:val="28"/>
                <w:rtl/>
              </w:rPr>
              <w:t>تفاعل الويبو وتشاركها بفعالية مع مسارات ومفاوضات الأمم المتحدة وسائر المنظمات الحكومية الدولية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1,105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2,929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2,663</w:t>
            </w:r>
          </w:p>
        </w:tc>
      </w:tr>
      <w:tr w:rsidR="00004A86" w:rsidRPr="00211D55" w:rsidTr="008B6CC8">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004A86" w:rsidRPr="00211D55" w:rsidRDefault="00004A86">
            <w:pPr>
              <w:bidi/>
              <w:rPr>
                <w:rFonts w:ascii="Arabic Typesetting" w:hAnsi="Arabic Typesetting" w:cs="Arabic Typesetting"/>
                <w:sz w:val="28"/>
                <w:szCs w:val="28"/>
              </w:rPr>
            </w:pPr>
            <w:r w:rsidRPr="00211D55">
              <w:rPr>
                <w:rFonts w:ascii="Arabic Typesetting" w:hAnsi="Arabic Typesetting" w:cs="Arabic Typesetting"/>
                <w:sz w:val="28"/>
                <w:szCs w:val="28"/>
                <w:rtl/>
              </w:rPr>
              <w:t>ھ1.9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3F15BC">
            <w:pPr>
              <w:bidi/>
              <w:rPr>
                <w:rFonts w:ascii="Arabic Typesetting" w:hAnsi="Arabic Typesetting" w:cs="Arabic Typesetting"/>
                <w:sz w:val="28"/>
                <w:szCs w:val="28"/>
              </w:rPr>
            </w:pPr>
            <w:r>
              <w:rPr>
                <w:rFonts w:ascii="Arabic Typesetting" w:hAnsi="Arabic Typesetting" w:cs="Arabic Typesetting"/>
                <w:sz w:val="28"/>
                <w:szCs w:val="28"/>
                <w:rtl/>
              </w:rPr>
              <w:t>خدمات دعم فعالة وناجعة وذات جودة موجهة نحو الزبائن لفائدة الزبائن الداخليين وأصحاب المصالح الخارجيين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44,878</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42,027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41,098</w:t>
            </w:r>
          </w:p>
        </w:tc>
      </w:tr>
      <w:tr w:rsidR="00004A86" w:rsidRPr="00211D55" w:rsidTr="008B6CC8">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004A86" w:rsidRPr="00211D55" w:rsidRDefault="00004A86">
            <w:pPr>
              <w:bidi/>
              <w:rPr>
                <w:rFonts w:ascii="Arabic Typesetting" w:hAnsi="Arabic Typesetting" w:cs="Arabic Typesetting"/>
                <w:sz w:val="28"/>
                <w:szCs w:val="28"/>
              </w:rPr>
            </w:pPr>
            <w:r w:rsidRPr="00211D55">
              <w:rPr>
                <w:rFonts w:ascii="Arabic Typesetting" w:hAnsi="Arabic Typesetting" w:cs="Arabic Typesetting"/>
                <w:sz w:val="28"/>
                <w:szCs w:val="28"/>
                <w:rtl/>
              </w:rPr>
              <w:t>ھ4.9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3F15BC">
            <w:pPr>
              <w:bidi/>
              <w:rPr>
                <w:rFonts w:ascii="Arabic Typesetting" w:hAnsi="Arabic Typesetting" w:cs="Arabic Typesetting"/>
                <w:sz w:val="28"/>
                <w:szCs w:val="28"/>
              </w:rPr>
            </w:pPr>
            <w:r>
              <w:rPr>
                <w:rFonts w:ascii="Arabic Typesetting" w:hAnsi="Arabic Typesetting" w:cs="Arabic Typesetting"/>
                <w:sz w:val="28"/>
                <w:szCs w:val="28"/>
                <w:rtl/>
              </w:rPr>
              <w:t>منظمة ذات مسؤولية بيئية واجتماعية تكفل سلامة وأمن موظفي الويبو والمندوبين والزائرين والممتلكات المادية والمعلومات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1,417</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2,926</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004A86" w:rsidRPr="00211D55" w:rsidRDefault="00526915" w:rsidP="008B6CC8">
            <w:pPr>
              <w:rPr>
                <w:rFonts w:ascii="Arabic Typesetting" w:hAnsi="Arabic Typesetting" w:cs="Arabic Typesetting"/>
                <w:sz w:val="28"/>
                <w:szCs w:val="28"/>
              </w:rPr>
            </w:pPr>
            <w:r w:rsidRPr="00211D55">
              <w:rPr>
                <w:rFonts w:ascii="Arabic Typesetting" w:hAnsi="Arabic Typesetting" w:cs="Arabic Typesetting"/>
                <w:sz w:val="28"/>
                <w:szCs w:val="28"/>
              </w:rPr>
              <w:t>2,764</w:t>
            </w:r>
          </w:p>
        </w:tc>
      </w:tr>
      <w:tr w:rsidR="00004A86" w:rsidRPr="00211D55" w:rsidTr="008B6CC8">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004A86" w:rsidRPr="00211D55" w:rsidRDefault="00004A86" w:rsidP="008B6CC8">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004A86" w:rsidRPr="00211D55" w:rsidRDefault="00004A86" w:rsidP="008B6CC8">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004A86" w:rsidRPr="00211D55" w:rsidRDefault="00526915" w:rsidP="008B6CC8">
            <w:pPr>
              <w:rPr>
                <w:rFonts w:ascii="Arabic Typesetting" w:hAnsi="Arabic Typesetting" w:cs="Arabic Typesetting"/>
                <w:b/>
                <w:bCs/>
                <w:sz w:val="28"/>
                <w:szCs w:val="28"/>
              </w:rPr>
            </w:pPr>
            <w:r w:rsidRPr="00211D55">
              <w:rPr>
                <w:rFonts w:ascii="Arabic Typesetting" w:hAnsi="Arabic Typesetting" w:cs="Arabic Typesetting"/>
                <w:b/>
                <w:bCs/>
                <w:sz w:val="28"/>
                <w:szCs w:val="28"/>
              </w:rPr>
              <w:t>47,400</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004A86" w:rsidRPr="00211D55" w:rsidRDefault="00526915" w:rsidP="008B6CC8">
            <w:pPr>
              <w:rPr>
                <w:rFonts w:ascii="Arabic Typesetting" w:hAnsi="Arabic Typesetting" w:cs="Arabic Typesetting"/>
                <w:b/>
                <w:bCs/>
                <w:sz w:val="28"/>
                <w:szCs w:val="28"/>
              </w:rPr>
            </w:pPr>
            <w:r w:rsidRPr="00211D55">
              <w:rPr>
                <w:rFonts w:ascii="Arabic Typesetting" w:hAnsi="Arabic Typesetting" w:cs="Arabic Typesetting"/>
                <w:b/>
                <w:bCs/>
                <w:sz w:val="28"/>
                <w:szCs w:val="28"/>
              </w:rPr>
              <w:t>47,883</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004A86" w:rsidRPr="00211D55" w:rsidRDefault="00526915" w:rsidP="008B6CC8">
            <w:pPr>
              <w:rPr>
                <w:rFonts w:ascii="Arabic Typesetting" w:hAnsi="Arabic Typesetting" w:cs="Arabic Typesetting"/>
                <w:b/>
                <w:bCs/>
                <w:sz w:val="28"/>
                <w:szCs w:val="28"/>
              </w:rPr>
            </w:pPr>
            <w:r w:rsidRPr="00211D55">
              <w:rPr>
                <w:rFonts w:ascii="Arabic Typesetting" w:hAnsi="Arabic Typesetting" w:cs="Arabic Typesetting"/>
                <w:b/>
                <w:bCs/>
                <w:sz w:val="28"/>
                <w:szCs w:val="28"/>
              </w:rPr>
              <w:t>46,526</w:t>
            </w:r>
          </w:p>
        </w:tc>
      </w:tr>
    </w:tbl>
    <w:p w:rsidR="00004A86" w:rsidRPr="00252762" w:rsidRDefault="00774E37" w:rsidP="00004A86">
      <w:pPr>
        <w:keepNext/>
        <w:bidi/>
        <w:spacing w:before="240" w:line="340" w:lineRule="exact"/>
        <w:jc w:val="center"/>
        <w:rPr>
          <w:rFonts w:ascii="Arabic Typesetting" w:hAnsi="Arabic Typesetting" w:cs="Arabic Typesetting"/>
          <w:i/>
          <w:iCs/>
          <w:sz w:val="34"/>
          <w:szCs w:val="34"/>
          <w:rtl/>
          <w:lang w:bidi="ar-EG"/>
        </w:rPr>
      </w:pPr>
      <w:r w:rsidRPr="00774E37">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004A86" w:rsidRPr="00DF1D8A" w:rsidRDefault="00004A86" w:rsidP="00004A86">
      <w:pPr>
        <w:keepNext/>
        <w:bidi/>
        <w:spacing w:after="120"/>
        <w:jc w:val="center"/>
        <w:rPr>
          <w:rFonts w:ascii="Arabic Typesetting" w:hAnsi="Arabic Typesetting" w:cs="Arabic Typesetting"/>
          <w:sz w:val="34"/>
          <w:szCs w:val="34"/>
          <w:rtl/>
          <w:lang w:bidi="ar-EG"/>
        </w:rPr>
      </w:pPr>
      <w:r w:rsidRPr="00FE390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004A86" w:rsidRPr="00211D55" w:rsidTr="00526915">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004A86" w:rsidRPr="00211D55" w:rsidRDefault="00004A86" w:rsidP="008B6CC8">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004A86" w:rsidRPr="00211D55" w:rsidRDefault="00004A86" w:rsidP="008B6CC8">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004A86" w:rsidRPr="00211D55" w:rsidRDefault="00004A86" w:rsidP="008B6CC8">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004A86" w:rsidRPr="00211D55" w:rsidRDefault="00004A86" w:rsidP="008B6CC8">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004A86" w:rsidRPr="00211D55" w:rsidRDefault="009E57D2" w:rsidP="008B6CC8">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004A86" w:rsidRPr="00211D55">
              <w:rPr>
                <w:rFonts w:ascii="Arabic Typesetting" w:hAnsi="Arabic Typesetting" w:cs="Arabic Typesetting"/>
                <w:b/>
                <w:bCs/>
                <w:i/>
                <w:iCs/>
                <w:sz w:val="28"/>
                <w:szCs w:val="28"/>
                <w:rtl/>
              </w:rPr>
              <w:t xml:space="preserve"> (%)</w:t>
            </w:r>
          </w:p>
        </w:tc>
      </w:tr>
      <w:tr w:rsidR="00004A86" w:rsidRPr="00211D55" w:rsidTr="00526915">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004A86" w:rsidRPr="00211D55" w:rsidRDefault="00004A86" w:rsidP="008B6CC8">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004A86" w:rsidRPr="00211D55" w:rsidRDefault="00526915" w:rsidP="008B6CC8">
            <w:pPr>
              <w:jc w:val="center"/>
              <w:rPr>
                <w:rFonts w:ascii="Arabic Typesetting" w:hAnsi="Arabic Typesetting" w:cs="Arabic Typesetting"/>
                <w:sz w:val="28"/>
                <w:szCs w:val="28"/>
              </w:rPr>
            </w:pPr>
            <w:r w:rsidRPr="00211D55">
              <w:rPr>
                <w:rFonts w:ascii="Arabic Typesetting" w:hAnsi="Arabic Typesetting" w:cs="Arabic Typesetting"/>
                <w:sz w:val="28"/>
                <w:szCs w:val="28"/>
              </w:rPr>
              <w:t>19,429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004A86" w:rsidRPr="00211D55" w:rsidRDefault="00526915" w:rsidP="008B6CC8">
            <w:pPr>
              <w:jc w:val="center"/>
              <w:rPr>
                <w:rFonts w:ascii="Arabic Typesetting" w:hAnsi="Arabic Typesetting" w:cs="Arabic Typesetting"/>
                <w:sz w:val="28"/>
                <w:szCs w:val="28"/>
              </w:rPr>
            </w:pPr>
            <w:r w:rsidRPr="00211D55">
              <w:rPr>
                <w:rFonts w:ascii="Arabic Typesetting" w:hAnsi="Arabic Typesetting" w:cs="Arabic Typesetting"/>
                <w:sz w:val="28"/>
                <w:szCs w:val="28"/>
              </w:rPr>
              <w:t>19,525</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004A86" w:rsidRPr="00211D55" w:rsidRDefault="00526915" w:rsidP="008B6CC8">
            <w:pPr>
              <w:jc w:val="center"/>
              <w:rPr>
                <w:rFonts w:ascii="Arabic Typesetting" w:hAnsi="Arabic Typesetting" w:cs="Arabic Typesetting"/>
                <w:sz w:val="28"/>
                <w:szCs w:val="28"/>
              </w:rPr>
            </w:pPr>
            <w:r w:rsidRPr="00211D55">
              <w:rPr>
                <w:rFonts w:ascii="Arabic Typesetting" w:hAnsi="Arabic Typesetting" w:cs="Arabic Typesetting"/>
                <w:sz w:val="28"/>
                <w:szCs w:val="28"/>
              </w:rPr>
              <w:t>18,984</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004A86" w:rsidRPr="00211D55" w:rsidRDefault="00526915" w:rsidP="008B6CC8">
            <w:pPr>
              <w:jc w:val="center"/>
              <w:rPr>
                <w:rFonts w:ascii="Arabic Typesetting" w:hAnsi="Arabic Typesetting" w:cs="Arabic Typesetting"/>
                <w:sz w:val="28"/>
                <w:szCs w:val="28"/>
              </w:rPr>
            </w:pPr>
            <w:r w:rsidRPr="00211D55">
              <w:rPr>
                <w:rFonts w:ascii="Arabic Typesetting" w:hAnsi="Arabic Typesetting" w:cs="Arabic Typesetting"/>
                <w:sz w:val="28"/>
                <w:szCs w:val="28"/>
              </w:rPr>
              <w:t>97%</w:t>
            </w:r>
          </w:p>
        </w:tc>
      </w:tr>
      <w:tr w:rsidR="00004A86" w:rsidRPr="00211D55" w:rsidTr="00526915">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004A86" w:rsidRPr="00211D55" w:rsidRDefault="00004A86" w:rsidP="008B6CC8">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004A86" w:rsidRPr="00211D55" w:rsidRDefault="00526915" w:rsidP="008B6CC8">
            <w:pPr>
              <w:jc w:val="center"/>
              <w:rPr>
                <w:rFonts w:ascii="Arabic Typesetting" w:hAnsi="Arabic Typesetting" w:cs="Arabic Typesetting"/>
                <w:sz w:val="28"/>
                <w:szCs w:val="28"/>
              </w:rPr>
            </w:pPr>
            <w:r w:rsidRPr="00211D55">
              <w:rPr>
                <w:rFonts w:ascii="Arabic Typesetting" w:hAnsi="Arabic Typesetting" w:cs="Arabic Typesetting"/>
                <w:sz w:val="28"/>
                <w:szCs w:val="28"/>
              </w:rPr>
              <w:t>27,970</w:t>
            </w:r>
          </w:p>
        </w:tc>
        <w:tc>
          <w:tcPr>
            <w:tcW w:w="970" w:type="pct"/>
            <w:tcBorders>
              <w:top w:val="nil"/>
              <w:left w:val="single" w:sz="4" w:space="0" w:color="auto"/>
              <w:bottom w:val="single" w:sz="4" w:space="0" w:color="auto"/>
              <w:right w:val="single" w:sz="4" w:space="0" w:color="auto"/>
            </w:tcBorders>
            <w:shd w:val="clear" w:color="auto" w:fill="auto"/>
            <w:vAlign w:val="center"/>
          </w:tcPr>
          <w:p w:rsidR="00004A86" w:rsidRPr="00211D55" w:rsidRDefault="00526915" w:rsidP="008B6CC8">
            <w:pPr>
              <w:jc w:val="center"/>
              <w:rPr>
                <w:rFonts w:ascii="Arabic Typesetting" w:hAnsi="Arabic Typesetting" w:cs="Arabic Typesetting"/>
                <w:sz w:val="28"/>
                <w:szCs w:val="28"/>
              </w:rPr>
            </w:pPr>
            <w:r w:rsidRPr="00211D55">
              <w:rPr>
                <w:rFonts w:ascii="Arabic Typesetting" w:hAnsi="Arabic Typesetting" w:cs="Arabic Typesetting"/>
                <w:sz w:val="28"/>
                <w:szCs w:val="28"/>
              </w:rPr>
              <w:t>28,359</w:t>
            </w:r>
          </w:p>
        </w:tc>
        <w:tc>
          <w:tcPr>
            <w:tcW w:w="970" w:type="pct"/>
            <w:tcBorders>
              <w:top w:val="nil"/>
              <w:left w:val="single" w:sz="4" w:space="0" w:color="auto"/>
              <w:bottom w:val="single" w:sz="4" w:space="0" w:color="auto"/>
              <w:right w:val="single" w:sz="4" w:space="0" w:color="auto"/>
            </w:tcBorders>
            <w:shd w:val="clear" w:color="auto" w:fill="auto"/>
            <w:vAlign w:val="center"/>
          </w:tcPr>
          <w:p w:rsidR="00004A86" w:rsidRPr="00211D55" w:rsidRDefault="00526915" w:rsidP="008B6CC8">
            <w:pPr>
              <w:jc w:val="center"/>
              <w:rPr>
                <w:rFonts w:ascii="Arabic Typesetting" w:hAnsi="Arabic Typesetting" w:cs="Arabic Typesetting"/>
                <w:sz w:val="28"/>
                <w:szCs w:val="28"/>
              </w:rPr>
            </w:pPr>
            <w:r w:rsidRPr="00211D55">
              <w:rPr>
                <w:rFonts w:ascii="Arabic Typesetting" w:hAnsi="Arabic Typesetting" w:cs="Arabic Typesetting"/>
                <w:sz w:val="28"/>
                <w:szCs w:val="28"/>
              </w:rPr>
              <w:t>27,542</w:t>
            </w:r>
          </w:p>
        </w:tc>
        <w:tc>
          <w:tcPr>
            <w:tcW w:w="970" w:type="pct"/>
            <w:tcBorders>
              <w:top w:val="nil"/>
              <w:left w:val="single" w:sz="4" w:space="0" w:color="auto"/>
              <w:bottom w:val="single" w:sz="4" w:space="0" w:color="auto"/>
              <w:right w:val="single" w:sz="4" w:space="0" w:color="auto"/>
            </w:tcBorders>
            <w:shd w:val="clear" w:color="auto" w:fill="auto"/>
            <w:vAlign w:val="center"/>
          </w:tcPr>
          <w:p w:rsidR="00004A86" w:rsidRPr="00211D55" w:rsidRDefault="00526915" w:rsidP="008B6CC8">
            <w:pPr>
              <w:jc w:val="center"/>
              <w:rPr>
                <w:rFonts w:ascii="Arabic Typesetting" w:hAnsi="Arabic Typesetting" w:cs="Arabic Typesetting"/>
                <w:sz w:val="28"/>
                <w:szCs w:val="28"/>
              </w:rPr>
            </w:pPr>
            <w:r w:rsidRPr="00211D55">
              <w:rPr>
                <w:rFonts w:ascii="Arabic Typesetting" w:hAnsi="Arabic Typesetting" w:cs="Arabic Typesetting"/>
                <w:sz w:val="28"/>
                <w:szCs w:val="28"/>
              </w:rPr>
              <w:t>97%</w:t>
            </w:r>
          </w:p>
        </w:tc>
      </w:tr>
      <w:tr w:rsidR="00526915" w:rsidRPr="00211D55" w:rsidTr="00526915">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526915" w:rsidRPr="00211D55" w:rsidRDefault="00526915" w:rsidP="008B6CC8">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526915" w:rsidRPr="00211D55" w:rsidRDefault="00526915" w:rsidP="00526915">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47,400</w:t>
            </w:r>
          </w:p>
        </w:tc>
        <w:tc>
          <w:tcPr>
            <w:tcW w:w="970" w:type="pct"/>
            <w:tcBorders>
              <w:top w:val="nil"/>
              <w:left w:val="single" w:sz="4" w:space="0" w:color="auto"/>
              <w:bottom w:val="single" w:sz="4" w:space="0" w:color="auto"/>
              <w:right w:val="single" w:sz="4" w:space="0" w:color="auto"/>
            </w:tcBorders>
            <w:shd w:val="clear" w:color="auto" w:fill="auto"/>
            <w:vAlign w:val="center"/>
          </w:tcPr>
          <w:p w:rsidR="00526915" w:rsidRPr="00211D55" w:rsidRDefault="00526915" w:rsidP="00526915">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47,883</w:t>
            </w:r>
          </w:p>
        </w:tc>
        <w:tc>
          <w:tcPr>
            <w:tcW w:w="970" w:type="pct"/>
            <w:tcBorders>
              <w:top w:val="nil"/>
              <w:left w:val="single" w:sz="4" w:space="0" w:color="auto"/>
              <w:bottom w:val="single" w:sz="4" w:space="0" w:color="auto"/>
              <w:right w:val="single" w:sz="4" w:space="0" w:color="auto"/>
            </w:tcBorders>
            <w:shd w:val="clear" w:color="auto" w:fill="auto"/>
            <w:vAlign w:val="center"/>
          </w:tcPr>
          <w:p w:rsidR="00526915" w:rsidRPr="00211D55" w:rsidRDefault="00526915" w:rsidP="00526915">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46,526</w:t>
            </w:r>
          </w:p>
        </w:tc>
        <w:tc>
          <w:tcPr>
            <w:tcW w:w="970" w:type="pct"/>
            <w:tcBorders>
              <w:top w:val="nil"/>
              <w:left w:val="single" w:sz="4" w:space="0" w:color="auto"/>
              <w:bottom w:val="single" w:sz="4" w:space="0" w:color="auto"/>
              <w:right w:val="single" w:sz="4" w:space="0" w:color="auto"/>
            </w:tcBorders>
            <w:shd w:val="clear" w:color="auto" w:fill="auto"/>
            <w:vAlign w:val="center"/>
          </w:tcPr>
          <w:p w:rsidR="00526915" w:rsidRPr="00211D55" w:rsidRDefault="00526915" w:rsidP="008B6CC8">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97%</w:t>
            </w:r>
          </w:p>
        </w:tc>
      </w:tr>
    </w:tbl>
    <w:p w:rsidR="00B264F9" w:rsidRPr="00B264F9" w:rsidRDefault="00526915" w:rsidP="00B264F9">
      <w:pPr>
        <w:keepNext/>
        <w:bidi/>
        <w:spacing w:before="120" w:after="120" w:line="340" w:lineRule="exact"/>
        <w:rPr>
          <w:rFonts w:ascii="Arabic Typesetting" w:hAnsi="Arabic Typesetting" w:cs="Arabic Typesetting"/>
          <w:sz w:val="34"/>
          <w:szCs w:val="34"/>
          <w:u w:val="single"/>
          <w:rtl/>
          <w:lang w:bidi="ar-EG"/>
        </w:rPr>
      </w:pPr>
      <w:r w:rsidRPr="00A16E11">
        <w:rPr>
          <w:rFonts w:ascii="Arabic Typesetting" w:hAnsi="Arabic Typesetting" w:cs="Arabic Typesetting" w:hint="cs"/>
          <w:sz w:val="34"/>
          <w:szCs w:val="34"/>
          <w:rtl/>
          <w:lang w:bidi="ar-EG"/>
        </w:rPr>
        <w:t>ألف</w:t>
      </w:r>
      <w:r w:rsidRPr="00A16E11">
        <w:rPr>
          <w:rFonts w:ascii="Arabic Typesetting" w:hAnsi="Arabic Typesetting" w:cs="Arabic Typesetting"/>
          <w:sz w:val="34"/>
          <w:szCs w:val="34"/>
          <w:lang w:bidi="ar-EG"/>
        </w:rPr>
        <w:t>.</w:t>
      </w:r>
      <w:r w:rsidRPr="00A16E11">
        <w:rPr>
          <w:rFonts w:ascii="Arabic Typesetting" w:hAnsi="Arabic Typesetting" w:cs="Arabic Typesetting" w:hint="cs"/>
          <w:sz w:val="34"/>
          <w:szCs w:val="34"/>
          <w:rtl/>
          <w:lang w:bidi="ar-EG"/>
        </w:rPr>
        <w:tab/>
      </w:r>
      <w:r w:rsidRPr="00A16E11">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526915" w:rsidRDefault="00526915" w:rsidP="009A3712">
      <w:pPr>
        <w:numPr>
          <w:ilvl w:val="0"/>
          <w:numId w:val="34"/>
        </w:numPr>
        <w:bidi/>
        <w:spacing w:after="120" w:line="340" w:lineRule="exact"/>
        <w:ind w:left="-1" w:firstLine="1"/>
        <w:jc w:val="both"/>
        <w:rPr>
          <w:rFonts w:ascii="Arabic Typesetting" w:hAnsi="Arabic Typesetting" w:cs="Arabic Typesetting"/>
          <w:sz w:val="34"/>
          <w:szCs w:val="34"/>
          <w:lang w:bidi="ar-EG"/>
        </w:rPr>
      </w:pPr>
      <w:r>
        <w:rPr>
          <w:rFonts w:ascii="Arabic Typesetting" w:hAnsi="Arabic Typesetting" w:cs="Arabic Typesetting" w:hint="cs"/>
          <w:sz w:val="34"/>
          <w:szCs w:val="34"/>
          <w:rtl/>
        </w:rPr>
        <w:t>تعزى الزيادة في</w:t>
      </w:r>
      <w:r w:rsidR="00E77C35">
        <w:rPr>
          <w:rFonts w:ascii="Arabic Typesetting" w:hAnsi="Arabic Typesetting" w:cs="Arabic Typesetting" w:hint="cs"/>
          <w:sz w:val="34"/>
          <w:szCs w:val="34"/>
          <w:rtl/>
        </w:rPr>
        <w:t xml:space="preserve"> </w:t>
      </w:r>
      <w:r w:rsidR="0023721A">
        <w:rPr>
          <w:rFonts w:ascii="Arabic Typesetting" w:hAnsi="Arabic Typesetting" w:cs="Arabic Typesetting" w:hint="cs"/>
          <w:sz w:val="34"/>
          <w:szCs w:val="34"/>
          <w:rtl/>
        </w:rPr>
        <w:t>مخصصات</w:t>
      </w:r>
      <w:r w:rsidR="00E77C35">
        <w:rPr>
          <w:rFonts w:ascii="Arabic Typesetting" w:hAnsi="Arabic Typesetting" w:cs="Arabic Typesetting" w:hint="cs"/>
          <w:sz w:val="34"/>
          <w:szCs w:val="34"/>
          <w:rtl/>
        </w:rPr>
        <w:t xml:space="preserve"> خلاف</w:t>
      </w:r>
      <w:r w:rsidR="0055755E">
        <w:rPr>
          <w:rFonts w:ascii="Arabic Typesetting" w:hAnsi="Arabic Typesetting" w:cs="Arabic Typesetting" w:hint="cs"/>
          <w:sz w:val="34"/>
          <w:szCs w:val="34"/>
          <w:rtl/>
        </w:rPr>
        <w:t xml:space="preserve"> موارد</w:t>
      </w:r>
      <w:r w:rsidR="00E77C35">
        <w:rPr>
          <w:rFonts w:ascii="Arabic Typesetting" w:hAnsi="Arabic Typesetting" w:cs="Arabic Typesetting" w:hint="cs"/>
          <w:sz w:val="34"/>
          <w:szCs w:val="34"/>
          <w:rtl/>
        </w:rPr>
        <w:t xml:space="preserve"> الموظفين في إطار</w:t>
      </w:r>
      <w:r>
        <w:rPr>
          <w:rFonts w:ascii="Arabic Typesetting" w:hAnsi="Arabic Typesetting" w:cs="Arabic Typesetting" w:hint="cs"/>
          <w:sz w:val="34"/>
          <w:szCs w:val="34"/>
          <w:rtl/>
        </w:rPr>
        <w:t xml:space="preserve"> </w:t>
      </w:r>
      <w:r w:rsidRPr="00526915">
        <w:rPr>
          <w:rFonts w:ascii="Arabic Typesetting" w:hAnsi="Arabic Typesetting" w:cs="Arabic Typesetting"/>
          <w:sz w:val="34"/>
          <w:szCs w:val="34"/>
          <w:rtl/>
        </w:rPr>
        <w:t xml:space="preserve">الميزانية النهائية بعد التحويلات </w:t>
      </w:r>
      <w:r w:rsidR="00507DE2">
        <w:rPr>
          <w:rFonts w:ascii="Arabic Typesetting" w:hAnsi="Arabic Typesetting" w:cs="Arabic Typesetting"/>
          <w:sz w:val="34"/>
          <w:szCs w:val="34"/>
          <w:rtl/>
        </w:rPr>
        <w:t>2014/15</w:t>
      </w:r>
      <w:r>
        <w:rPr>
          <w:rFonts w:ascii="Arabic Typesetting" w:hAnsi="Arabic Typesetting" w:cs="Arabic Typesetting" w:hint="cs"/>
          <w:sz w:val="34"/>
          <w:szCs w:val="34"/>
          <w:rtl/>
        </w:rPr>
        <w:t xml:space="preserve"> إلى </w:t>
      </w:r>
      <w:r w:rsidR="00FC3B9C">
        <w:rPr>
          <w:rFonts w:ascii="Arabic Typesetting" w:hAnsi="Arabic Typesetting" w:cs="Arabic Typesetting" w:hint="cs"/>
          <w:sz w:val="34"/>
          <w:szCs w:val="34"/>
          <w:rtl/>
        </w:rPr>
        <w:t>تخصيص</w:t>
      </w:r>
      <w:r>
        <w:rPr>
          <w:rFonts w:ascii="Arabic Typesetting" w:hAnsi="Arabic Typesetting" w:cs="Arabic Typesetting" w:hint="cs"/>
          <w:sz w:val="34"/>
          <w:szCs w:val="34"/>
          <w:rtl/>
        </w:rPr>
        <w:t xml:space="preserve"> موارد إضافية </w:t>
      </w:r>
      <w:r w:rsidR="00FC3B9C">
        <w:rPr>
          <w:rFonts w:ascii="Arabic Typesetting" w:hAnsi="Arabic Typesetting" w:cs="Arabic Typesetting" w:hint="cs"/>
          <w:sz w:val="34"/>
          <w:szCs w:val="34"/>
          <w:rtl/>
        </w:rPr>
        <w:t>ل</w:t>
      </w:r>
      <w:r>
        <w:rPr>
          <w:rFonts w:ascii="Arabic Typesetting" w:hAnsi="Arabic Typesetting" w:cs="Arabic Typesetting" w:hint="cs"/>
          <w:sz w:val="34"/>
          <w:szCs w:val="34"/>
          <w:rtl/>
        </w:rPr>
        <w:t xml:space="preserve">هذا البرنامج للأغراض التالية: "1" تجهيز مبنى </w:t>
      </w:r>
      <w:r w:rsidR="00443AFB">
        <w:rPr>
          <w:rFonts w:ascii="Arabic Typesetting" w:hAnsi="Arabic Typesetting" w:cs="Arabic Typesetting"/>
          <w:sz w:val="34"/>
          <w:szCs w:val="34"/>
        </w:rPr>
        <w:t>CA</w:t>
      </w:r>
      <w:r>
        <w:rPr>
          <w:rFonts w:ascii="Arabic Typesetting" w:hAnsi="Arabic Typesetting" w:cs="Arabic Typesetting"/>
          <w:sz w:val="34"/>
          <w:szCs w:val="34"/>
        </w:rPr>
        <w:t>M</w:t>
      </w:r>
      <w:r>
        <w:rPr>
          <w:rFonts w:ascii="Arabic Typesetting" w:hAnsi="Arabic Typesetting" w:cs="Arabic Typesetting" w:hint="cs"/>
          <w:sz w:val="34"/>
          <w:szCs w:val="34"/>
          <w:rtl/>
        </w:rPr>
        <w:t xml:space="preserve">؛ </w:t>
      </w:r>
      <w:r w:rsidR="000A7484">
        <w:rPr>
          <w:rFonts w:ascii="Arabic Typesetting" w:hAnsi="Arabic Typesetting" w:cs="Arabic Typesetting" w:hint="cs"/>
          <w:sz w:val="34"/>
          <w:szCs w:val="34"/>
          <w:rtl/>
        </w:rPr>
        <w:t>"2" </w:t>
      </w:r>
      <w:r>
        <w:rPr>
          <w:rFonts w:ascii="Arabic Typesetting" w:hAnsi="Arabic Typesetting" w:cs="Arabic Typesetting" w:hint="cs"/>
          <w:sz w:val="34"/>
          <w:szCs w:val="34"/>
          <w:rtl/>
        </w:rPr>
        <w:t>وتجديد مختلف المعدات والمخزونات مثل شاشات العرض المحمولة والمعدات الكهربائية وتقسيم المكاتب والسجاد</w:t>
      </w:r>
      <w:r w:rsidR="00E77C35">
        <w:rPr>
          <w:rFonts w:ascii="Arabic Typesetting" w:hAnsi="Arabic Typesetting" w:cs="Arabic Typesetting" w:hint="cs"/>
          <w:sz w:val="34"/>
          <w:szCs w:val="34"/>
          <w:rtl/>
        </w:rPr>
        <w:t xml:space="preserve">. </w:t>
      </w:r>
      <w:r w:rsidR="00FC3B9C">
        <w:rPr>
          <w:rFonts w:ascii="Arabic Typesetting" w:hAnsi="Arabic Typesetting" w:cs="Arabic Typesetting" w:hint="cs"/>
          <w:sz w:val="34"/>
          <w:szCs w:val="34"/>
          <w:rtl/>
        </w:rPr>
        <w:t>واستخدمت</w:t>
      </w:r>
      <w:r w:rsidR="00E77C35">
        <w:rPr>
          <w:rFonts w:ascii="Arabic Typesetting" w:hAnsi="Arabic Typesetting" w:cs="Arabic Typesetting" w:hint="cs"/>
          <w:sz w:val="34"/>
          <w:szCs w:val="34"/>
          <w:rtl/>
        </w:rPr>
        <w:t xml:space="preserve"> هذه الزيادة </w:t>
      </w:r>
      <w:r w:rsidR="00FC3B9C">
        <w:rPr>
          <w:rFonts w:ascii="Arabic Typesetting" w:hAnsi="Arabic Typesetting" w:cs="Arabic Typesetting" w:hint="cs"/>
          <w:sz w:val="34"/>
          <w:szCs w:val="34"/>
          <w:rtl/>
        </w:rPr>
        <w:t>في</w:t>
      </w:r>
      <w:r w:rsidR="00E77C35">
        <w:rPr>
          <w:rFonts w:ascii="Arabic Typesetting" w:hAnsi="Arabic Typesetting" w:cs="Arabic Typesetting" w:hint="cs"/>
          <w:sz w:val="34"/>
          <w:szCs w:val="34"/>
          <w:rtl/>
        </w:rPr>
        <w:t xml:space="preserve"> تنفيذ تدابير لتحقيق الفعالية من حيث التكلفة ونقل</w:t>
      </w:r>
      <w:r w:rsidR="00E77C35">
        <w:rPr>
          <w:rFonts w:ascii="Arabic Typesetting" w:hAnsi="Arabic Typesetting" w:cs="Arabic Typesetting" w:hint="eastAsia"/>
          <w:sz w:val="34"/>
          <w:szCs w:val="34"/>
          <w:rtl/>
        </w:rPr>
        <w:t> </w:t>
      </w:r>
      <w:r w:rsidR="00E77C35">
        <w:rPr>
          <w:rFonts w:ascii="Arabic Typesetting" w:hAnsi="Arabic Typesetting" w:cs="Arabic Typesetting" w:hint="cs"/>
          <w:sz w:val="34"/>
          <w:szCs w:val="34"/>
          <w:rtl/>
        </w:rPr>
        <w:t>موارد إلى البرنامج 28 لوضع جدار تحت قاعة المؤتمرات الجديدة لمنع التسلل إليها.</w:t>
      </w:r>
    </w:p>
    <w:p w:rsidR="00E77C35" w:rsidRDefault="00E77C35" w:rsidP="009A3712">
      <w:pPr>
        <w:numPr>
          <w:ilvl w:val="0"/>
          <w:numId w:val="34"/>
        </w:numPr>
        <w:bidi/>
        <w:spacing w:after="120" w:line="340" w:lineRule="exact"/>
        <w:ind w:left="-1" w:firstLine="1"/>
        <w:jc w:val="both"/>
        <w:rPr>
          <w:rFonts w:ascii="Arabic Typesetting" w:hAnsi="Arabic Typesetting" w:cs="Arabic Typesetting"/>
          <w:sz w:val="34"/>
          <w:szCs w:val="34"/>
          <w:lang w:bidi="ar-EG"/>
        </w:rPr>
      </w:pPr>
      <w:r>
        <w:rPr>
          <w:rFonts w:ascii="Arabic Typesetting" w:hAnsi="Arabic Typesetting" w:cs="Arabic Typesetting" w:hint="cs"/>
          <w:sz w:val="34"/>
          <w:szCs w:val="34"/>
          <w:rtl/>
        </w:rPr>
        <w:t xml:space="preserve">وتعزى الزيادة الطفيفة في موارد الموظفين في إطار الميزانية النهائية بعد التحويلات </w:t>
      </w:r>
      <w:r w:rsidR="00507DE2">
        <w:rPr>
          <w:rFonts w:ascii="Arabic Typesetting" w:hAnsi="Arabic Typesetting" w:cs="Arabic Typesetting" w:hint="cs"/>
          <w:sz w:val="34"/>
          <w:szCs w:val="34"/>
          <w:rtl/>
        </w:rPr>
        <w:t>2014/15</w:t>
      </w:r>
      <w:r>
        <w:rPr>
          <w:rFonts w:ascii="Arabic Typesetting" w:hAnsi="Arabic Typesetting" w:cs="Arabic Typesetting" w:hint="cs"/>
          <w:sz w:val="34"/>
          <w:szCs w:val="34"/>
          <w:rtl/>
        </w:rPr>
        <w:t xml:space="preserve"> إلى </w:t>
      </w:r>
      <w:r w:rsidR="00FC3B9C">
        <w:rPr>
          <w:rFonts w:ascii="Arabic Typesetting" w:hAnsi="Arabic Typesetting" w:cs="Arabic Typesetting" w:hint="cs"/>
          <w:sz w:val="34"/>
          <w:szCs w:val="34"/>
          <w:rtl/>
        </w:rPr>
        <w:t>تخصيص</w:t>
      </w:r>
      <w:r>
        <w:rPr>
          <w:rFonts w:ascii="Arabic Typesetting" w:hAnsi="Arabic Typesetting" w:cs="Arabic Typesetting" w:hint="cs"/>
          <w:sz w:val="34"/>
          <w:szCs w:val="34"/>
          <w:rtl/>
        </w:rPr>
        <w:t xml:space="preserve"> موارد إضافية في هذا البرنامج للأغراض التالية: "1" دعم مجلس الويبو للطعون؛ "2" وإنشاء وظيفة مصدر على خدمات التعاقد الفردي الخاص بالمشتريات؛ "3" وتعزيز الدعم الإداري ل</w:t>
      </w:r>
      <w:r w:rsidR="00FB2BCA">
        <w:rPr>
          <w:rFonts w:ascii="Arabic Typesetting" w:hAnsi="Arabic Typesetting" w:cs="Arabic Typesetting" w:hint="cs"/>
          <w:sz w:val="34"/>
          <w:szCs w:val="34"/>
          <w:rtl/>
        </w:rPr>
        <w:t>مشروعات</w:t>
      </w:r>
      <w:r>
        <w:rPr>
          <w:rFonts w:ascii="Arabic Typesetting" w:hAnsi="Arabic Typesetting" w:cs="Arabic Typesetting" w:hint="cs"/>
          <w:sz w:val="34"/>
          <w:szCs w:val="34"/>
          <w:rtl/>
        </w:rPr>
        <w:t xml:space="preserve"> التجديد. وانخفضت هذه الزيادة جزئياً بسبب تحويل موارد من هذا البرنامج إلى البرامج 16 و22 و28 لدعم احتياجات الأعمال.</w:t>
      </w:r>
    </w:p>
    <w:p w:rsidR="00796E70" w:rsidRPr="00E45FE7" w:rsidRDefault="00E77C35" w:rsidP="009A3712">
      <w:pPr>
        <w:numPr>
          <w:ilvl w:val="0"/>
          <w:numId w:val="34"/>
        </w:numPr>
        <w:bidi/>
        <w:spacing w:after="120" w:line="340" w:lineRule="exact"/>
        <w:ind w:left="-1" w:firstLine="1"/>
        <w:jc w:val="both"/>
        <w:rPr>
          <w:rFonts w:ascii="Arabic Typesetting" w:hAnsi="Arabic Typesetting" w:cs="Arabic Typesetting"/>
          <w:sz w:val="34"/>
          <w:szCs w:val="34"/>
          <w:lang w:bidi="ar-EG"/>
        </w:rPr>
      </w:pPr>
      <w:r w:rsidRPr="00E45FE7">
        <w:rPr>
          <w:rFonts w:ascii="Arabic Typesetting" w:hAnsi="Arabic Typesetting" w:cs="Arabic Typesetting" w:hint="cs"/>
          <w:sz w:val="34"/>
          <w:szCs w:val="34"/>
          <w:rtl/>
          <w:lang w:bidi="ar-EG"/>
        </w:rPr>
        <w:t>ويُعزى أساسا تحويل الموارد بين النتائج المرتقبة إلى إعادة توزيع موارد الموظفين من النتيجة المرتقبة ه1.9 (</w:t>
      </w:r>
      <w:r w:rsidR="003E55BA" w:rsidRPr="003E55BA">
        <w:rPr>
          <w:rFonts w:ascii="Arabic Typesetting" w:hAnsi="Arabic Typesetting" w:cs="Arabic Typesetting"/>
          <w:sz w:val="34"/>
          <w:szCs w:val="34"/>
          <w:rtl/>
          <w:lang w:bidi="ar-EG"/>
        </w:rPr>
        <w:t>خدمات دعم فعالة وناجعة وذات جودة موجهة نحو الزبائن</w:t>
      </w:r>
      <w:r w:rsidRPr="00E45FE7">
        <w:rPr>
          <w:rFonts w:ascii="Arabic Typesetting" w:hAnsi="Arabic Typesetting" w:cs="Arabic Typesetting" w:hint="cs"/>
          <w:sz w:val="34"/>
          <w:szCs w:val="34"/>
          <w:rtl/>
          <w:lang w:bidi="ar-EG"/>
        </w:rPr>
        <w:t xml:space="preserve">) إلى النتيجة المرتقبة </w:t>
      </w:r>
      <w:r w:rsidR="000A7484">
        <w:rPr>
          <w:rFonts w:ascii="Arabic Typesetting" w:hAnsi="Arabic Typesetting" w:cs="Arabic Typesetting" w:hint="cs"/>
          <w:sz w:val="34"/>
          <w:szCs w:val="34"/>
          <w:rtl/>
          <w:lang w:bidi="ar-EG"/>
        </w:rPr>
        <w:t>ه</w:t>
      </w:r>
      <w:r w:rsidRPr="00E45FE7">
        <w:rPr>
          <w:rFonts w:ascii="Arabic Typesetting" w:hAnsi="Arabic Typesetting" w:cs="Arabic Typesetting" w:hint="cs"/>
          <w:sz w:val="34"/>
          <w:szCs w:val="34"/>
          <w:rtl/>
          <w:lang w:bidi="ar-EG"/>
        </w:rPr>
        <w:t>4.9 (</w:t>
      </w:r>
      <w:r w:rsidR="00E45FE7" w:rsidRPr="00E45FE7">
        <w:rPr>
          <w:rFonts w:ascii="Arabic Typesetting" w:hAnsi="Arabic Typesetting" w:cs="Arabic Typesetting"/>
          <w:sz w:val="34"/>
          <w:szCs w:val="34"/>
          <w:rtl/>
          <w:lang w:bidi="ar-EG"/>
        </w:rPr>
        <w:t>منظمة ذات مسؤولية بيئية واجتماعية</w:t>
      </w:r>
      <w:r w:rsidRPr="00E45FE7">
        <w:rPr>
          <w:rFonts w:ascii="Arabic Typesetting" w:hAnsi="Arabic Typesetting" w:cs="Arabic Typesetting" w:hint="cs"/>
          <w:sz w:val="34"/>
          <w:szCs w:val="34"/>
          <w:rtl/>
          <w:lang w:bidi="ar-EG"/>
        </w:rPr>
        <w:t xml:space="preserve">) بغية تنفيذ أنشطة بيئية وتعزيز سلامة الموظفين والزوار والأصول وإلى النتيجة المرتقبة </w:t>
      </w:r>
      <w:r w:rsidR="000A7484">
        <w:rPr>
          <w:rFonts w:ascii="Arabic Typesetting" w:hAnsi="Arabic Typesetting" w:cs="Arabic Typesetting" w:hint="cs"/>
          <w:sz w:val="34"/>
          <w:szCs w:val="34"/>
          <w:rtl/>
          <w:lang w:bidi="ar-EG"/>
        </w:rPr>
        <w:t>ه</w:t>
      </w:r>
      <w:r w:rsidRPr="00E45FE7">
        <w:rPr>
          <w:rFonts w:ascii="Arabic Typesetting" w:hAnsi="Arabic Typesetting" w:cs="Arabic Typesetting" w:hint="cs"/>
          <w:sz w:val="34"/>
          <w:szCs w:val="34"/>
          <w:rtl/>
          <w:lang w:bidi="ar-EG"/>
        </w:rPr>
        <w:t>5.8 (</w:t>
      </w:r>
      <w:r w:rsidR="0099688F">
        <w:rPr>
          <w:rFonts w:ascii="Arabic Typesetting" w:hAnsi="Arabic Typesetting" w:cs="Arabic Typesetting"/>
          <w:sz w:val="34"/>
          <w:szCs w:val="34"/>
          <w:rtl/>
          <w:lang w:bidi="ar-EG"/>
        </w:rPr>
        <w:t>تفاعل الويبو وتشاركها بفعالية مع مسارات ومفاوضات الأمم المتحدة وسائر المنظمات الحكومية الدولية</w:t>
      </w:r>
      <w:r w:rsidR="003E55BA">
        <w:rPr>
          <w:rFonts w:ascii="Arabic Typesetting" w:hAnsi="Arabic Typesetting" w:cs="Arabic Typesetting" w:hint="cs"/>
          <w:sz w:val="34"/>
          <w:szCs w:val="34"/>
          <w:rtl/>
          <w:lang w:bidi="ar-EG"/>
        </w:rPr>
        <w:t>)</w:t>
      </w:r>
      <w:r w:rsidR="00B246E1" w:rsidRPr="00B246E1">
        <w:rPr>
          <w:rFonts w:ascii="Arabic Typesetting" w:hAnsi="Arabic Typesetting" w:cs="Arabic Typesetting" w:hint="cs"/>
          <w:sz w:val="34"/>
          <w:szCs w:val="34"/>
          <w:rtl/>
          <w:lang w:bidi="ar-EG"/>
        </w:rPr>
        <w:t xml:space="preserve"> </w:t>
      </w:r>
      <w:r w:rsidRPr="00E45FE7">
        <w:rPr>
          <w:rFonts w:ascii="Arabic Typesetting" w:hAnsi="Arabic Typesetting" w:cs="Arabic Typesetting" w:hint="cs"/>
          <w:sz w:val="34"/>
          <w:szCs w:val="34"/>
          <w:rtl/>
          <w:lang w:bidi="ar-EG"/>
        </w:rPr>
        <w:t>لتوطيد التعاون مع وكالات الأمم المتحدة الأخرى فيما يخص "1" المشتريات؛ "2" وصيانة المباني وتجديدها.</w:t>
      </w:r>
    </w:p>
    <w:p w:rsidR="00B264F9" w:rsidRPr="00B264F9" w:rsidRDefault="00526915" w:rsidP="00B264F9">
      <w:pPr>
        <w:keepNext/>
        <w:bidi/>
        <w:spacing w:before="120" w:after="120" w:line="340" w:lineRule="exact"/>
        <w:rPr>
          <w:rFonts w:ascii="Arabic Typesetting" w:hAnsi="Arabic Typesetting" w:cs="Arabic Typesetting"/>
          <w:sz w:val="34"/>
          <w:szCs w:val="34"/>
          <w:u w:val="single"/>
          <w:rtl/>
          <w:lang w:bidi="ar-EG"/>
        </w:rPr>
      </w:pPr>
      <w:r w:rsidRPr="00A16E11">
        <w:rPr>
          <w:rFonts w:ascii="Arabic Typesetting" w:hAnsi="Arabic Typesetting" w:cs="Arabic Typesetting" w:hint="cs"/>
          <w:sz w:val="34"/>
          <w:szCs w:val="34"/>
          <w:rtl/>
          <w:lang w:bidi="ar-EG"/>
        </w:rPr>
        <w:lastRenderedPageBreak/>
        <w:t>باء</w:t>
      </w:r>
      <w:r w:rsidRPr="00A16E11">
        <w:rPr>
          <w:rFonts w:ascii="Arabic Typesetting" w:hAnsi="Arabic Typesetting" w:cs="Arabic Typesetting"/>
          <w:sz w:val="34"/>
          <w:szCs w:val="34"/>
          <w:lang w:bidi="ar-EG"/>
        </w:rPr>
        <w:t>.</w:t>
      </w:r>
      <w:r w:rsidRPr="00A16E11">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796E70" w:rsidRDefault="00E45FE7" w:rsidP="009A3712">
      <w:pPr>
        <w:numPr>
          <w:ilvl w:val="0"/>
          <w:numId w:val="34"/>
        </w:numPr>
        <w:bidi/>
        <w:spacing w:after="120" w:line="340" w:lineRule="exact"/>
        <w:ind w:left="-1" w:firstLine="1"/>
        <w:jc w:val="both"/>
        <w:rPr>
          <w:rFonts w:ascii="Arabic Typesetting" w:hAnsi="Arabic Typesetting" w:cs="Arabic Typesetting"/>
          <w:sz w:val="34"/>
          <w:szCs w:val="34"/>
          <w:lang w:val="fr-CH"/>
        </w:rPr>
      </w:pPr>
      <w:r w:rsidRPr="00EA50DF">
        <w:rPr>
          <w:rFonts w:ascii="Arabic Typesetting" w:hAnsi="Arabic Typesetting" w:cs="Arabic Typesetting" w:hint="cs"/>
          <w:sz w:val="34"/>
          <w:szCs w:val="34"/>
          <w:rtl/>
          <w:lang w:val="fr-CH"/>
        </w:rPr>
        <w:t xml:space="preserve">لم يتجاوز </w:t>
      </w:r>
      <w:r w:rsidR="00C45BBE">
        <w:rPr>
          <w:rFonts w:ascii="Arabic Typesetting" w:eastAsia="Arial" w:hAnsi="Arabic Typesetting" w:cs="Arabic Typesetting" w:hint="cs"/>
          <w:color w:val="000000"/>
          <w:sz w:val="34"/>
          <w:szCs w:val="34"/>
          <w:rtl/>
          <w:lang w:bidi="ar-EG"/>
        </w:rPr>
        <w:t>استخدام</w:t>
      </w:r>
      <w:r w:rsidR="00C45BBE" w:rsidRPr="00EA50DF">
        <w:rPr>
          <w:rFonts w:ascii="Arabic Typesetting" w:hAnsi="Arabic Typesetting" w:cs="Arabic Typesetting" w:hint="cs"/>
          <w:sz w:val="34"/>
          <w:szCs w:val="34"/>
          <w:rtl/>
          <w:lang w:val="fr-CH"/>
        </w:rPr>
        <w:t xml:space="preserve"> </w:t>
      </w:r>
      <w:r w:rsidRPr="00EA50DF">
        <w:rPr>
          <w:rFonts w:ascii="Arabic Typesetting" w:hAnsi="Arabic Typesetting" w:cs="Arabic Typesetting" w:hint="cs"/>
          <w:sz w:val="34"/>
          <w:szCs w:val="34"/>
          <w:rtl/>
          <w:lang w:val="fr-CH"/>
        </w:rPr>
        <w:t>الميزانية النسبة المتوقعة للثنائية.</w:t>
      </w:r>
    </w:p>
    <w:p w:rsidR="00B31868" w:rsidRPr="00385CA0" w:rsidRDefault="00B31868" w:rsidP="00285760">
      <w:pPr>
        <w:pStyle w:val="Heading3AR"/>
        <w:spacing w:after="120"/>
      </w:pPr>
      <w:bookmarkStart w:id="126" w:name="_Toc392610060"/>
      <w:bookmarkStart w:id="127" w:name="_Toc393817961"/>
      <w:bookmarkStart w:id="128" w:name="_Toc450635432"/>
      <w:bookmarkStart w:id="129" w:name="_Toc455393401"/>
      <w:r w:rsidRPr="00385CA0">
        <w:rPr>
          <w:rtl/>
        </w:rPr>
        <w:lastRenderedPageBreak/>
        <w:t xml:space="preserve">البرنامج </w:t>
      </w:r>
      <w:r w:rsidRPr="00385CA0">
        <w:rPr>
          <w:rFonts w:hint="cs"/>
          <w:rtl/>
        </w:rPr>
        <w:t>25</w:t>
      </w:r>
      <w:r w:rsidRPr="00385CA0">
        <w:rPr>
          <w:rtl/>
        </w:rPr>
        <w:t>:</w:t>
      </w:r>
      <w:r w:rsidRPr="00385CA0">
        <w:rPr>
          <w:rtl/>
        </w:rPr>
        <w:tab/>
        <w:t>تكنولوجيا المعلومات والاتصالات</w:t>
      </w:r>
      <w:bookmarkEnd w:id="126"/>
      <w:bookmarkEnd w:id="127"/>
      <w:bookmarkEnd w:id="128"/>
      <w:bookmarkEnd w:id="129"/>
    </w:p>
    <w:p w:rsidR="00B31868" w:rsidRPr="009A48D1" w:rsidRDefault="00B31868" w:rsidP="00285760">
      <w:pPr>
        <w:keepNext/>
        <w:bidi/>
        <w:spacing w:after="240" w:line="340" w:lineRule="exact"/>
        <w:ind w:left="1984" w:hanging="1984"/>
        <w:rPr>
          <w:rFonts w:ascii="Arabic Typesetting" w:hAnsi="Arabic Typesetting" w:cs="Arabic Typesetting"/>
          <w:b/>
          <w:bCs/>
          <w:sz w:val="36"/>
          <w:szCs w:val="36"/>
          <w:lang w:val="fr-CH"/>
        </w:rPr>
      </w:pPr>
      <w:r w:rsidRPr="009A48D1">
        <w:rPr>
          <w:rFonts w:ascii="Arabic Typesetting" w:hAnsi="Arabic Typesetting" w:cs="Arabic Typesetting"/>
          <w:b/>
          <w:bCs/>
          <w:sz w:val="36"/>
          <w:szCs w:val="36"/>
          <w:rtl/>
          <w:lang w:val="fr-CH"/>
        </w:rPr>
        <w:t>المسؤول عن البرنامج:</w:t>
      </w:r>
      <w:r w:rsidR="00A214AF" w:rsidRPr="009A48D1">
        <w:rPr>
          <w:rFonts w:ascii="Arabic Typesetting" w:hAnsi="Arabic Typesetting" w:cs="Arabic Typesetting"/>
          <w:b/>
          <w:bCs/>
          <w:sz w:val="36"/>
          <w:szCs w:val="36"/>
          <w:rtl/>
          <w:lang w:val="fr-CH"/>
        </w:rPr>
        <w:tab/>
      </w:r>
      <w:r w:rsidRPr="009A48D1">
        <w:rPr>
          <w:rFonts w:ascii="Arabic Typesetting" w:hAnsi="Arabic Typesetting" w:cs="Arabic Typesetting"/>
          <w:b/>
          <w:bCs/>
          <w:sz w:val="36"/>
          <w:szCs w:val="36"/>
          <w:rtl/>
          <w:lang w:val="fr-CH"/>
        </w:rPr>
        <w:t xml:space="preserve">السيد </w:t>
      </w:r>
      <w:proofErr w:type="spellStart"/>
      <w:r w:rsidRPr="009A48D1">
        <w:rPr>
          <w:rFonts w:ascii="Arabic Typesetting" w:hAnsi="Arabic Typesetting" w:cs="Arabic Typesetting"/>
          <w:b/>
          <w:bCs/>
          <w:sz w:val="36"/>
          <w:szCs w:val="36"/>
          <w:rtl/>
          <w:lang w:val="fr-CH"/>
        </w:rPr>
        <w:t>أ</w:t>
      </w:r>
      <w:r w:rsidRPr="009A48D1">
        <w:rPr>
          <w:rFonts w:ascii="Arabic Typesetting" w:hAnsi="Arabic Typesetting" w:cs="Arabic Typesetting" w:hint="cs"/>
          <w:b/>
          <w:bCs/>
          <w:sz w:val="36"/>
          <w:szCs w:val="36"/>
          <w:rtl/>
          <w:lang w:val="fr-CH"/>
        </w:rPr>
        <w:t>مبي</w:t>
      </w:r>
      <w:proofErr w:type="spellEnd"/>
      <w:r w:rsidRPr="009A48D1">
        <w:rPr>
          <w:rFonts w:ascii="Arabic Typesetting" w:hAnsi="Arabic Typesetting" w:cs="Arabic Typesetting"/>
          <w:b/>
          <w:bCs/>
          <w:sz w:val="36"/>
          <w:szCs w:val="36"/>
          <w:rtl/>
          <w:lang w:val="fr-CH"/>
        </w:rPr>
        <w:t xml:space="preserve"> </w:t>
      </w:r>
      <w:proofErr w:type="spellStart"/>
      <w:r w:rsidRPr="009A48D1">
        <w:rPr>
          <w:rFonts w:ascii="Arabic Typesetting" w:hAnsi="Arabic Typesetting" w:cs="Arabic Typesetting"/>
          <w:b/>
          <w:bCs/>
          <w:sz w:val="36"/>
          <w:szCs w:val="36"/>
          <w:rtl/>
          <w:lang w:val="fr-CH"/>
        </w:rPr>
        <w:t>سوندارام</w:t>
      </w:r>
      <w:proofErr w:type="spellEnd"/>
    </w:p>
    <w:p w:rsidR="00B31868" w:rsidRPr="00B31868" w:rsidRDefault="006D1A45" w:rsidP="00285760">
      <w:pPr>
        <w:keepNext/>
        <w:bidi/>
        <w:spacing w:after="240" w:line="340" w:lineRule="exact"/>
        <w:rPr>
          <w:rFonts w:ascii="Arabic Typesetting" w:hAnsi="Arabic Typesetting" w:cs="Arabic Typesetting"/>
          <w:sz w:val="36"/>
          <w:szCs w:val="36"/>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A618F7" w:rsidRDefault="00A618F7"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Pr>
          <w:rFonts w:ascii="Arabic Typesetting" w:eastAsia="Arial" w:hAnsi="Arabic Typesetting" w:cs="Arabic Typesetting" w:hint="cs"/>
          <w:color w:val="000000"/>
          <w:sz w:val="34"/>
          <w:szCs w:val="34"/>
          <w:rtl/>
          <w:lang w:bidi="ar-EG"/>
        </w:rPr>
        <w:t>ما انفكت تكنولوجيات المعلومات والاتصالات تؤدي دورين محوريين خلال الثنائية. أما على الصعيد الخارجي، فهي توفر منصات آمنة وتفاعلية وموثوق بها لتقديم الخدمات العالمية للملكية الفكرية فضلاً عن المرافق التقنية اللازمة لقاعة المؤتمرات الجديدة في الويبو وغيرها من مرافق المؤتمرات. وأما على الصعيد الداخلي، فهي توفر حلولاً ناجعة وفعالة من حيث التكلفة لدعم عمليات الويبو اليومية في المقر والمكاتب الخارجية.</w:t>
      </w:r>
    </w:p>
    <w:p w:rsidR="00B31868" w:rsidRPr="00B31868" w:rsidRDefault="00A618F7"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Pr>
          <w:rFonts w:ascii="Arabic Typesetting" w:eastAsia="Arial" w:hAnsi="Arabic Typesetting" w:cs="Arabic Typesetting" w:hint="cs"/>
          <w:color w:val="000000"/>
          <w:sz w:val="34"/>
          <w:szCs w:val="34"/>
          <w:rtl/>
          <w:lang w:bidi="ar-EG"/>
        </w:rPr>
        <w:t>واستناداً إلى التقدم المحرز في الثنائية السابقة، تبرز الإنجازات التالية التقدم المحرز في مجال</w:t>
      </w:r>
      <w:r w:rsidR="00B31868" w:rsidRPr="00B31868">
        <w:rPr>
          <w:rFonts w:ascii="Arabic Typesetting" w:eastAsia="Arial" w:hAnsi="Arabic Typesetting" w:cs="Arabic Typesetting" w:hint="cs"/>
          <w:color w:val="000000"/>
          <w:sz w:val="34"/>
          <w:szCs w:val="34"/>
          <w:rtl/>
          <w:lang w:bidi="ar-EG"/>
        </w:rPr>
        <w:t xml:space="preserve"> </w:t>
      </w:r>
      <w:r w:rsidR="00B31868" w:rsidRPr="00B31868">
        <w:rPr>
          <w:rFonts w:ascii="Arabic Typesetting" w:eastAsia="Arial" w:hAnsi="Arabic Typesetting" w:cs="Arabic Typesetting"/>
          <w:color w:val="000000"/>
          <w:sz w:val="34"/>
          <w:szCs w:val="34"/>
          <w:rtl/>
          <w:lang w:bidi="ar-EG"/>
        </w:rPr>
        <w:t>خدمات البنية التحتية</w:t>
      </w:r>
      <w:r w:rsidR="00B31868" w:rsidRPr="00B31868">
        <w:rPr>
          <w:rFonts w:ascii="Arabic Typesetting" w:eastAsia="Arial" w:hAnsi="Arabic Typesetting" w:cs="Arabic Typesetting" w:hint="cs"/>
          <w:color w:val="000000"/>
          <w:sz w:val="34"/>
          <w:szCs w:val="34"/>
          <w:rtl/>
          <w:lang w:bidi="ar-EG"/>
        </w:rPr>
        <w:t xml:space="preserve"> </w:t>
      </w:r>
      <w:r w:rsidR="00B31868" w:rsidRPr="00B31868">
        <w:rPr>
          <w:rFonts w:ascii="Arabic Typesetting" w:eastAsia="Arial" w:hAnsi="Arabic Typesetting" w:cs="Arabic Typesetting"/>
          <w:color w:val="000000"/>
          <w:sz w:val="34"/>
          <w:szCs w:val="34"/>
          <w:rtl/>
          <w:lang w:bidi="ar-EG"/>
        </w:rPr>
        <w:t>وخدمات</w:t>
      </w:r>
      <w:r w:rsidR="00B31868" w:rsidRPr="00B31868">
        <w:rPr>
          <w:rFonts w:ascii="Arabic Typesetting" w:eastAsia="Arial" w:hAnsi="Arabic Typesetting" w:cs="Arabic Typesetting" w:hint="cs"/>
          <w:color w:val="000000"/>
          <w:sz w:val="34"/>
          <w:szCs w:val="34"/>
          <w:rtl/>
          <w:lang w:bidi="ar-EG"/>
        </w:rPr>
        <w:t xml:space="preserve"> </w:t>
      </w:r>
      <w:r w:rsidR="00B31868" w:rsidRPr="00B31868">
        <w:rPr>
          <w:rFonts w:ascii="Arabic Typesetting" w:eastAsia="Arial" w:hAnsi="Arabic Typesetting" w:cs="Arabic Typesetting"/>
          <w:color w:val="000000"/>
          <w:sz w:val="34"/>
          <w:szCs w:val="34"/>
          <w:rtl/>
          <w:lang w:bidi="ar-EG"/>
        </w:rPr>
        <w:t>الحلول المؤسسية (بما في ذلك خدمات الإنترنت)</w:t>
      </w:r>
      <w:r w:rsidR="00B31868" w:rsidRPr="00B31868">
        <w:rPr>
          <w:rFonts w:ascii="Arabic Typesetting" w:eastAsia="Arial" w:hAnsi="Arabic Typesetting" w:cs="Arabic Typesetting" w:hint="cs"/>
          <w:color w:val="000000"/>
          <w:sz w:val="34"/>
          <w:szCs w:val="34"/>
          <w:rtl/>
          <w:lang w:bidi="ar-EG"/>
        </w:rPr>
        <w:t xml:space="preserve"> في </w:t>
      </w:r>
      <w:r w:rsidR="00507DE2">
        <w:rPr>
          <w:rFonts w:ascii="Arabic Typesetting" w:eastAsia="Arial" w:hAnsi="Arabic Typesetting" w:cs="Arabic Typesetting" w:hint="cs"/>
          <w:color w:val="000000"/>
          <w:sz w:val="34"/>
          <w:szCs w:val="34"/>
          <w:rtl/>
          <w:lang w:bidi="ar-EG"/>
        </w:rPr>
        <w:t>2014/15</w:t>
      </w:r>
      <w:r w:rsidR="00B31868" w:rsidRPr="00B31868">
        <w:rPr>
          <w:rFonts w:ascii="Arabic Typesetting" w:eastAsia="Arial" w:hAnsi="Arabic Typesetting" w:cs="Arabic Typesetting"/>
          <w:color w:val="000000"/>
          <w:sz w:val="34"/>
          <w:szCs w:val="34"/>
          <w:rtl/>
          <w:lang w:bidi="ar-EG"/>
        </w:rPr>
        <w:t>:</w:t>
      </w:r>
    </w:p>
    <w:p w:rsidR="00B4424E" w:rsidRDefault="00A618F7" w:rsidP="005F37C8">
      <w:pPr>
        <w:bidi/>
        <w:spacing w:after="120" w:line="340" w:lineRule="exact"/>
        <w:ind w:left="566"/>
        <w:rPr>
          <w:rFonts w:ascii="Arabic Typesetting" w:eastAsia="Arial" w:hAnsi="Arabic Typesetting" w:cs="Arabic Typesetting"/>
          <w:color w:val="000000"/>
          <w:sz w:val="34"/>
          <w:szCs w:val="34"/>
          <w:rtl/>
          <w:lang w:bidi="ar-EG"/>
        </w:rPr>
      </w:pPr>
      <w:r>
        <w:rPr>
          <w:rFonts w:ascii="Arabic Typesetting" w:eastAsia="Arial" w:hAnsi="Arabic Typesetting" w:cs="Arabic Typesetting" w:hint="cs"/>
          <w:color w:val="000000"/>
          <w:sz w:val="34"/>
          <w:szCs w:val="34"/>
          <w:rtl/>
        </w:rPr>
        <w:t>(أ)</w:t>
      </w:r>
      <w:r>
        <w:rPr>
          <w:rFonts w:ascii="Arabic Typesetting" w:eastAsia="Arial" w:hAnsi="Arabic Typesetting" w:cs="Arabic Typesetting"/>
          <w:color w:val="000000"/>
          <w:sz w:val="34"/>
          <w:szCs w:val="34"/>
          <w:rtl/>
        </w:rPr>
        <w:tab/>
      </w:r>
      <w:r w:rsidR="00B31868" w:rsidRPr="00B31868">
        <w:rPr>
          <w:rFonts w:ascii="Arabic Typesetting" w:eastAsia="Arial" w:hAnsi="Arabic Typesetting" w:cs="Arabic Typesetting"/>
          <w:color w:val="000000"/>
          <w:sz w:val="34"/>
          <w:szCs w:val="34"/>
          <w:rtl/>
          <w:lang w:bidi="ar-EG"/>
        </w:rPr>
        <w:t>ع</w:t>
      </w:r>
      <w:r w:rsidR="00B4424E">
        <w:rPr>
          <w:rFonts w:ascii="Arabic Typesetting" w:eastAsia="Arial" w:hAnsi="Arabic Typesetting" w:cs="Arabic Typesetting" w:hint="cs"/>
          <w:color w:val="000000"/>
          <w:sz w:val="34"/>
          <w:szCs w:val="34"/>
          <w:rtl/>
          <w:lang w:bidi="ar-EG"/>
        </w:rPr>
        <w:t>ُ</w:t>
      </w:r>
      <w:r w:rsidR="00B31868" w:rsidRPr="00B31868">
        <w:rPr>
          <w:rFonts w:ascii="Arabic Typesetting" w:eastAsia="Arial" w:hAnsi="Arabic Typesetting" w:cs="Arabic Typesetting"/>
          <w:color w:val="000000"/>
          <w:sz w:val="34"/>
          <w:szCs w:val="34"/>
          <w:rtl/>
          <w:lang w:bidi="ar-EG"/>
        </w:rPr>
        <w:t>ززت</w:t>
      </w:r>
      <w:r w:rsidR="00B31868" w:rsidRPr="00B31868">
        <w:rPr>
          <w:rFonts w:ascii="Arabic Typesetting" w:eastAsia="Arial" w:hAnsi="Arabic Typesetting" w:cs="Arabic Typesetting" w:hint="cs"/>
          <w:color w:val="000000"/>
          <w:sz w:val="34"/>
          <w:szCs w:val="34"/>
          <w:rtl/>
          <w:lang w:bidi="ar-EG"/>
        </w:rPr>
        <w:t xml:space="preserve"> </w:t>
      </w:r>
      <w:r w:rsidR="00B31868" w:rsidRPr="00B31868">
        <w:rPr>
          <w:rFonts w:ascii="Arabic Typesetting" w:eastAsia="Arial" w:hAnsi="Arabic Typesetting" w:cs="Arabic Typesetting"/>
          <w:color w:val="000000"/>
          <w:sz w:val="34"/>
          <w:szCs w:val="34"/>
          <w:rtl/>
          <w:lang w:bidi="ar-EG"/>
        </w:rPr>
        <w:t xml:space="preserve">مرونة البنية التحتية </w:t>
      </w:r>
      <w:r w:rsidR="00B31868" w:rsidRPr="00B31868">
        <w:rPr>
          <w:rFonts w:ascii="Arabic Typesetting" w:eastAsia="Arial" w:hAnsi="Arabic Typesetting" w:cs="Arabic Typesetting" w:hint="cs"/>
          <w:color w:val="000000"/>
          <w:sz w:val="34"/>
          <w:szCs w:val="34"/>
          <w:rtl/>
          <w:lang w:bidi="ar-EG"/>
        </w:rPr>
        <w:t>ل</w:t>
      </w:r>
      <w:r w:rsidR="00B31868" w:rsidRPr="00B31868">
        <w:rPr>
          <w:rFonts w:ascii="Arabic Typesetting" w:eastAsia="Arial" w:hAnsi="Arabic Typesetting" w:cs="Arabic Typesetting"/>
          <w:color w:val="000000"/>
          <w:sz w:val="34"/>
          <w:szCs w:val="34"/>
          <w:rtl/>
          <w:lang w:bidi="ar-EG"/>
        </w:rPr>
        <w:t>تكنولوجيا المعلومات والاتصالات واستمرارية الخدم</w:t>
      </w:r>
      <w:r w:rsidR="00B31868" w:rsidRPr="00B31868">
        <w:rPr>
          <w:rFonts w:ascii="Arabic Typesetting" w:eastAsia="Arial" w:hAnsi="Arabic Typesetting" w:cs="Arabic Typesetting" w:hint="cs"/>
          <w:color w:val="000000"/>
          <w:sz w:val="34"/>
          <w:szCs w:val="34"/>
          <w:rtl/>
          <w:lang w:bidi="ar-EG"/>
        </w:rPr>
        <w:t>ات</w:t>
      </w:r>
      <w:r w:rsidR="00B4424E">
        <w:rPr>
          <w:rFonts w:ascii="Arabic Typesetting" w:eastAsia="Arial" w:hAnsi="Arabic Typesetting" w:cs="Arabic Typesetting" w:hint="cs"/>
          <w:color w:val="000000"/>
          <w:sz w:val="34"/>
          <w:szCs w:val="34"/>
          <w:rtl/>
          <w:lang w:bidi="ar-EG"/>
        </w:rPr>
        <w:t xml:space="preserve"> ولا سيما عن طريق النجاح في إنشاء واختبار خدمة عالية المستوى للتعافي من الكوارث المعلوماتية لدعم نظام معاهدة البراءات حيث لا تتأثر أنظمة وعمليات معاهدة البراءات إذا أصيب مركز بيانات الويبو بخلل. وستطبق خصائص مماثلة على العمليات الجوهرية الأخرى في المستقبل.</w:t>
      </w:r>
    </w:p>
    <w:p w:rsidR="00B4424E" w:rsidRDefault="00B4424E" w:rsidP="00086C3F">
      <w:pPr>
        <w:bidi/>
        <w:spacing w:after="120" w:line="340" w:lineRule="exact"/>
        <w:ind w:left="566"/>
        <w:rPr>
          <w:rFonts w:ascii="Arabic Typesetting" w:eastAsia="Arial" w:hAnsi="Arabic Typesetting" w:cs="Arabic Typesetting"/>
          <w:color w:val="000000"/>
          <w:sz w:val="34"/>
          <w:szCs w:val="34"/>
          <w:rtl/>
          <w:lang w:bidi="ar-EG"/>
        </w:rPr>
      </w:pPr>
      <w:r>
        <w:rPr>
          <w:rFonts w:ascii="Arabic Typesetting" w:eastAsia="Arial" w:hAnsi="Arabic Typesetting" w:cs="Arabic Typesetting" w:hint="cs"/>
          <w:color w:val="000000"/>
          <w:sz w:val="34"/>
          <w:szCs w:val="34"/>
          <w:rtl/>
          <w:lang w:bidi="ar-EG"/>
        </w:rPr>
        <w:t>(ب)</w:t>
      </w:r>
      <w:r>
        <w:rPr>
          <w:rFonts w:ascii="Arabic Typesetting" w:eastAsia="Arial" w:hAnsi="Arabic Typesetting" w:cs="Arabic Typesetting"/>
          <w:color w:val="000000"/>
          <w:sz w:val="34"/>
          <w:szCs w:val="34"/>
          <w:rtl/>
          <w:lang w:bidi="ar-EG"/>
        </w:rPr>
        <w:tab/>
      </w:r>
      <w:r>
        <w:rPr>
          <w:rFonts w:ascii="Arabic Typesetting" w:eastAsia="Arial" w:hAnsi="Arabic Typesetting" w:cs="Arabic Typesetting" w:hint="cs"/>
          <w:color w:val="000000"/>
          <w:sz w:val="34"/>
          <w:szCs w:val="34"/>
          <w:rtl/>
          <w:lang w:bidi="ar-EG"/>
        </w:rPr>
        <w:t xml:space="preserve">استُحدثت بنية عالمية جديدة للمكاتب طبقت في مكاتب الويبو الخارجية بغية </w:t>
      </w:r>
      <w:r w:rsidRPr="00B4424E">
        <w:rPr>
          <w:rFonts w:ascii="Arabic Typesetting" w:eastAsia="Arial" w:hAnsi="Arabic Typesetting" w:cs="Arabic Typesetting"/>
          <w:color w:val="000000"/>
          <w:sz w:val="34"/>
          <w:szCs w:val="34"/>
          <w:rtl/>
          <w:lang w:bidi="ar-EG"/>
        </w:rPr>
        <w:t xml:space="preserve">توفير وسيلة آمنة لنفاذ </w:t>
      </w:r>
      <w:r>
        <w:rPr>
          <w:rFonts w:ascii="Arabic Typesetting" w:eastAsia="Arial" w:hAnsi="Arabic Typesetting" w:cs="Arabic Typesetting" w:hint="cs"/>
          <w:color w:val="000000"/>
          <w:sz w:val="34"/>
          <w:szCs w:val="34"/>
          <w:rtl/>
          <w:lang w:bidi="ar-EG"/>
        </w:rPr>
        <w:t xml:space="preserve">تلك </w:t>
      </w:r>
      <w:r w:rsidRPr="00B4424E">
        <w:rPr>
          <w:rFonts w:ascii="Arabic Typesetting" w:eastAsia="Arial" w:hAnsi="Arabic Typesetting" w:cs="Arabic Typesetting"/>
          <w:color w:val="000000"/>
          <w:sz w:val="34"/>
          <w:szCs w:val="34"/>
          <w:rtl/>
          <w:lang w:bidi="ar-EG"/>
        </w:rPr>
        <w:t>المكاتب إلى الأنظمة المعلوماتية الإدارية التي يستضيفها المقر الرئيسي مع تقديم خدمة مركزية ومتسقة</w:t>
      </w:r>
      <w:r>
        <w:rPr>
          <w:rFonts w:ascii="Arabic Typesetting" w:eastAsia="Arial" w:hAnsi="Arabic Typesetting" w:cs="Arabic Typesetting" w:hint="cs"/>
          <w:color w:val="000000"/>
          <w:sz w:val="34"/>
          <w:szCs w:val="34"/>
          <w:rtl/>
          <w:lang w:bidi="ar-EG"/>
        </w:rPr>
        <w:t>. وبحلول نهاية عام 2015، طب</w:t>
      </w:r>
      <w:r w:rsidR="005F37C8">
        <w:rPr>
          <w:rFonts w:ascii="Arabic Typesetting" w:eastAsia="Arial" w:hAnsi="Arabic Typesetting" w:cs="Arabic Typesetting" w:hint="cs"/>
          <w:color w:val="000000"/>
          <w:sz w:val="34"/>
          <w:szCs w:val="34"/>
          <w:rtl/>
          <w:lang w:bidi="ar-EG"/>
        </w:rPr>
        <w:t>ِّ</w:t>
      </w:r>
      <w:r>
        <w:rPr>
          <w:rFonts w:ascii="Arabic Typesetting" w:eastAsia="Arial" w:hAnsi="Arabic Typesetting" w:cs="Arabic Typesetting" w:hint="cs"/>
          <w:color w:val="000000"/>
          <w:sz w:val="34"/>
          <w:szCs w:val="34"/>
          <w:rtl/>
          <w:lang w:bidi="ar-EG"/>
        </w:rPr>
        <w:t>قت البنية العالمية الجديدة في ثلاثة مكاتب خارجية (مكتب الويبو في اليابان ومكتب الويبو في سنغافورة ومكتب الويبو في روسيا).</w:t>
      </w:r>
    </w:p>
    <w:p w:rsidR="00B31868" w:rsidRPr="00B31868" w:rsidRDefault="00B4424E" w:rsidP="00086C3F">
      <w:pPr>
        <w:bidi/>
        <w:spacing w:after="120" w:line="340" w:lineRule="exact"/>
        <w:ind w:left="566"/>
        <w:rPr>
          <w:rFonts w:ascii="Arabic Typesetting" w:eastAsia="Arial" w:hAnsi="Arabic Typesetting" w:cs="Arabic Typesetting"/>
          <w:color w:val="000000"/>
          <w:sz w:val="34"/>
          <w:szCs w:val="34"/>
          <w:rtl/>
          <w:lang w:bidi="ar-EG"/>
        </w:rPr>
      </w:pPr>
      <w:r>
        <w:rPr>
          <w:rFonts w:ascii="Arabic Typesetting" w:eastAsia="Arial" w:hAnsi="Arabic Typesetting" w:cs="Arabic Typesetting" w:hint="cs"/>
          <w:color w:val="000000"/>
          <w:sz w:val="34"/>
          <w:szCs w:val="34"/>
          <w:rtl/>
          <w:lang w:bidi="ar-EG"/>
        </w:rPr>
        <w:t>(ج)</w:t>
      </w:r>
      <w:r w:rsidR="00B31868" w:rsidRPr="00B31868">
        <w:rPr>
          <w:rFonts w:ascii="Arabic Typesetting" w:eastAsia="Arial" w:hAnsi="Arabic Typesetting" w:cs="Arabic Typesetting" w:hint="cs"/>
          <w:color w:val="000000"/>
          <w:sz w:val="34"/>
          <w:szCs w:val="34"/>
          <w:rtl/>
        </w:rPr>
        <w:tab/>
        <w:t>استكملت</w:t>
      </w:r>
      <w:r w:rsidR="00B31868" w:rsidRPr="00B31868">
        <w:rPr>
          <w:rFonts w:ascii="Arabic Typesetting" w:eastAsia="Arial" w:hAnsi="Arabic Typesetting" w:cs="Arabic Typesetting"/>
          <w:color w:val="000000"/>
          <w:sz w:val="34"/>
          <w:szCs w:val="34"/>
          <w:rtl/>
          <w:lang w:bidi="ar-EG"/>
        </w:rPr>
        <w:t xml:space="preserve"> البنية التحتية لتكنولوجيا المعلومات والاتصالات </w:t>
      </w:r>
      <w:r w:rsidR="00B31868" w:rsidRPr="00B31868">
        <w:rPr>
          <w:rFonts w:ascii="Arabic Typesetting" w:eastAsia="Arial" w:hAnsi="Arabic Typesetting" w:cs="Arabic Typesetting" w:hint="cs"/>
          <w:color w:val="000000"/>
          <w:sz w:val="34"/>
          <w:szCs w:val="34"/>
          <w:rtl/>
          <w:lang w:bidi="ar-EG"/>
        </w:rPr>
        <w:t>ل</w:t>
      </w:r>
      <w:r w:rsidR="00B31868" w:rsidRPr="00B31868">
        <w:rPr>
          <w:rFonts w:ascii="Arabic Typesetting" w:eastAsia="Arial" w:hAnsi="Arabic Typesetting" w:cs="Arabic Typesetting"/>
          <w:color w:val="000000"/>
          <w:sz w:val="34"/>
          <w:szCs w:val="34"/>
          <w:rtl/>
          <w:lang w:bidi="ar-EG"/>
        </w:rPr>
        <w:t>قاعة</w:t>
      </w:r>
      <w:r w:rsidR="00B31868" w:rsidRPr="00B31868">
        <w:rPr>
          <w:rFonts w:ascii="Arabic Typesetting" w:eastAsia="Arial" w:hAnsi="Arabic Typesetting" w:cs="Arabic Typesetting" w:hint="cs"/>
          <w:color w:val="000000"/>
          <w:sz w:val="34"/>
          <w:szCs w:val="34"/>
          <w:rtl/>
          <w:lang w:bidi="ar-EG"/>
        </w:rPr>
        <w:t xml:space="preserve"> </w:t>
      </w:r>
      <w:r w:rsidR="00B31868" w:rsidRPr="00B31868">
        <w:rPr>
          <w:rFonts w:ascii="Arabic Typesetting" w:eastAsia="Arial" w:hAnsi="Arabic Typesetting" w:cs="Arabic Typesetting"/>
          <w:color w:val="000000"/>
          <w:sz w:val="34"/>
          <w:szCs w:val="34"/>
          <w:rtl/>
          <w:lang w:bidi="ar-EG"/>
        </w:rPr>
        <w:t>المؤتمرات الجديد</w:t>
      </w:r>
      <w:r w:rsidR="00B31868" w:rsidRPr="00B31868">
        <w:rPr>
          <w:rFonts w:ascii="Arabic Typesetting" w:eastAsia="Arial" w:hAnsi="Arabic Typesetting" w:cs="Arabic Typesetting" w:hint="cs"/>
          <w:color w:val="000000"/>
          <w:sz w:val="34"/>
          <w:szCs w:val="34"/>
          <w:rtl/>
          <w:lang w:bidi="ar-EG"/>
        </w:rPr>
        <w:t>ة</w:t>
      </w:r>
      <w:r w:rsidR="00B31868" w:rsidRPr="00B31868">
        <w:rPr>
          <w:rFonts w:ascii="Arabic Typesetting" w:eastAsia="Arial" w:hAnsi="Arabic Typesetting" w:cs="Arabic Typesetting"/>
          <w:color w:val="000000"/>
          <w:sz w:val="34"/>
          <w:szCs w:val="34"/>
          <w:rtl/>
          <w:lang w:bidi="ar-EG"/>
        </w:rPr>
        <w:t xml:space="preserve"> في الوقت المناسب </w:t>
      </w:r>
      <w:r>
        <w:rPr>
          <w:rFonts w:ascii="Arabic Typesetting" w:eastAsia="Arial" w:hAnsi="Arabic Typesetting" w:cs="Arabic Typesetting" w:hint="cs"/>
          <w:color w:val="000000"/>
          <w:sz w:val="34"/>
          <w:szCs w:val="34"/>
          <w:rtl/>
          <w:lang w:bidi="ar-EG"/>
        </w:rPr>
        <w:t xml:space="preserve">لعقد </w:t>
      </w:r>
      <w:r w:rsidR="00B31868" w:rsidRPr="00B31868">
        <w:rPr>
          <w:rFonts w:ascii="Arabic Typesetting" w:eastAsia="Arial" w:hAnsi="Arabic Typesetting" w:cs="Arabic Typesetting" w:hint="cs"/>
          <w:color w:val="000000"/>
          <w:sz w:val="34"/>
          <w:szCs w:val="34"/>
          <w:rtl/>
          <w:lang w:bidi="ar-EG"/>
        </w:rPr>
        <w:t>ا</w:t>
      </w:r>
      <w:r w:rsidR="00B31868" w:rsidRPr="00B31868">
        <w:rPr>
          <w:rFonts w:ascii="Arabic Typesetting" w:eastAsia="Arial" w:hAnsi="Arabic Typesetting" w:cs="Arabic Typesetting"/>
          <w:color w:val="000000"/>
          <w:sz w:val="34"/>
          <w:szCs w:val="34"/>
          <w:rtl/>
          <w:lang w:bidi="ar-EG"/>
        </w:rPr>
        <w:t xml:space="preserve">لدورة الثانية </w:t>
      </w:r>
      <w:r w:rsidRPr="00B31868">
        <w:rPr>
          <w:rFonts w:ascii="Arabic Typesetting" w:eastAsia="Arial" w:hAnsi="Arabic Typesetting" w:cs="Arabic Typesetting"/>
          <w:color w:val="000000"/>
          <w:sz w:val="34"/>
          <w:szCs w:val="34"/>
          <w:rtl/>
          <w:lang w:bidi="ar-EG"/>
        </w:rPr>
        <w:t>والعشر</w:t>
      </w:r>
      <w:r>
        <w:rPr>
          <w:rFonts w:ascii="Arabic Typesetting" w:eastAsia="Arial" w:hAnsi="Arabic Typesetting" w:cs="Arabic Typesetting" w:hint="cs"/>
          <w:color w:val="000000"/>
          <w:sz w:val="34"/>
          <w:szCs w:val="34"/>
          <w:rtl/>
          <w:lang w:bidi="ar-EG"/>
        </w:rPr>
        <w:t>ي</w:t>
      </w:r>
      <w:r w:rsidRPr="00B31868">
        <w:rPr>
          <w:rFonts w:ascii="Arabic Typesetting" w:eastAsia="Arial" w:hAnsi="Arabic Typesetting" w:cs="Arabic Typesetting"/>
          <w:color w:val="000000"/>
          <w:sz w:val="34"/>
          <w:szCs w:val="34"/>
          <w:rtl/>
          <w:lang w:bidi="ar-EG"/>
        </w:rPr>
        <w:t xml:space="preserve">ن </w:t>
      </w:r>
      <w:r w:rsidR="00B31868" w:rsidRPr="00B31868">
        <w:rPr>
          <w:rFonts w:ascii="Arabic Typesetting" w:eastAsia="Arial" w:hAnsi="Arabic Typesetting" w:cs="Arabic Typesetting"/>
          <w:color w:val="000000"/>
          <w:sz w:val="34"/>
          <w:szCs w:val="34"/>
          <w:rtl/>
          <w:lang w:bidi="ar-EG"/>
        </w:rPr>
        <w:t>للجنة البرنامج والميزانية وسلسلة</w:t>
      </w:r>
      <w:r w:rsidR="00B31868" w:rsidRPr="00B31868">
        <w:rPr>
          <w:rFonts w:ascii="Arabic Typesetting" w:eastAsia="Arial" w:hAnsi="Arabic Typesetting" w:cs="Arabic Typesetting" w:hint="cs"/>
          <w:color w:val="000000"/>
          <w:sz w:val="34"/>
          <w:szCs w:val="34"/>
          <w:rtl/>
          <w:lang w:bidi="ar-EG"/>
        </w:rPr>
        <w:t xml:space="preserve"> الاجتماعات</w:t>
      </w:r>
      <w:r w:rsidR="00B31868" w:rsidRPr="00B31868">
        <w:rPr>
          <w:rFonts w:ascii="Arabic Typesetting" w:eastAsia="Arial" w:hAnsi="Arabic Typesetting" w:cs="Arabic Typesetting"/>
          <w:color w:val="000000"/>
          <w:sz w:val="34"/>
          <w:szCs w:val="34"/>
          <w:rtl/>
          <w:lang w:bidi="ar-EG"/>
        </w:rPr>
        <w:t xml:space="preserve"> الرابعة والخمس</w:t>
      </w:r>
      <w:r w:rsidR="00B31868" w:rsidRPr="00B31868">
        <w:rPr>
          <w:rFonts w:ascii="Arabic Typesetting" w:eastAsia="Arial" w:hAnsi="Arabic Typesetting" w:cs="Arabic Typesetting" w:hint="cs"/>
          <w:color w:val="000000"/>
          <w:sz w:val="34"/>
          <w:szCs w:val="34"/>
          <w:rtl/>
          <w:lang w:bidi="ar-EG"/>
        </w:rPr>
        <w:t>و</w:t>
      </w:r>
      <w:r w:rsidR="00B31868" w:rsidRPr="00B31868">
        <w:rPr>
          <w:rFonts w:ascii="Arabic Typesetting" w:eastAsia="Arial" w:hAnsi="Arabic Typesetting" w:cs="Arabic Typesetting"/>
          <w:color w:val="000000"/>
          <w:sz w:val="34"/>
          <w:szCs w:val="34"/>
          <w:rtl/>
          <w:lang w:bidi="ar-EG"/>
        </w:rPr>
        <w:t xml:space="preserve">ن </w:t>
      </w:r>
      <w:r w:rsidR="00B31868" w:rsidRPr="00B31868">
        <w:rPr>
          <w:rFonts w:ascii="Arabic Typesetting" w:eastAsia="Arial" w:hAnsi="Arabic Typesetting" w:cs="Arabic Typesetting" w:hint="cs"/>
          <w:color w:val="000000"/>
          <w:sz w:val="34"/>
          <w:szCs w:val="34"/>
          <w:rtl/>
          <w:lang w:bidi="ar-EG"/>
        </w:rPr>
        <w:t>ل</w:t>
      </w:r>
      <w:r w:rsidR="00B31868" w:rsidRPr="00B31868">
        <w:rPr>
          <w:rFonts w:ascii="Arabic Typesetting" w:eastAsia="Arial" w:hAnsi="Arabic Typesetting" w:cs="Arabic Typesetting"/>
          <w:color w:val="000000"/>
          <w:sz w:val="34"/>
          <w:szCs w:val="34"/>
          <w:rtl/>
          <w:lang w:bidi="ar-EG"/>
        </w:rPr>
        <w:t>جمعيات الويبو؛</w:t>
      </w:r>
    </w:p>
    <w:p w:rsidR="00B4424E" w:rsidRDefault="00B4424E" w:rsidP="00650B8D">
      <w:pPr>
        <w:bidi/>
        <w:spacing w:after="120" w:line="340" w:lineRule="exact"/>
        <w:ind w:left="566"/>
        <w:rPr>
          <w:rFonts w:ascii="Arabic Typesetting" w:eastAsia="Arial" w:hAnsi="Arabic Typesetting" w:cs="Arabic Typesetting"/>
          <w:color w:val="000000"/>
          <w:sz w:val="34"/>
          <w:szCs w:val="34"/>
          <w:rtl/>
          <w:lang w:bidi="ar-EG"/>
        </w:rPr>
      </w:pPr>
      <w:r>
        <w:rPr>
          <w:rFonts w:ascii="Arabic Typesetting" w:eastAsia="Arial" w:hAnsi="Arabic Typesetting" w:cs="Arabic Typesetting" w:hint="cs"/>
          <w:color w:val="000000"/>
          <w:sz w:val="34"/>
          <w:szCs w:val="34"/>
          <w:rtl/>
          <w:lang w:bidi="ar-EG"/>
        </w:rPr>
        <w:t>(د)</w:t>
      </w:r>
      <w:r>
        <w:rPr>
          <w:rFonts w:ascii="Arabic Typesetting" w:eastAsia="Arial" w:hAnsi="Arabic Typesetting" w:cs="Arabic Typesetting"/>
          <w:color w:val="000000"/>
          <w:sz w:val="34"/>
          <w:szCs w:val="34"/>
          <w:rtl/>
          <w:lang w:bidi="ar-EG"/>
        </w:rPr>
        <w:tab/>
      </w:r>
      <w:r w:rsidR="00650B8D">
        <w:rPr>
          <w:rFonts w:ascii="Arabic Typesetting" w:eastAsia="Arial" w:hAnsi="Arabic Typesetting" w:cs="Arabic Typesetting" w:hint="cs"/>
          <w:color w:val="000000"/>
          <w:sz w:val="34"/>
          <w:szCs w:val="34"/>
          <w:rtl/>
          <w:lang w:bidi="ar-EG"/>
        </w:rPr>
        <w:t>استعين</w:t>
      </w:r>
      <w:r>
        <w:rPr>
          <w:rFonts w:ascii="Arabic Typesetting" w:eastAsia="Arial" w:hAnsi="Arabic Typesetting" w:cs="Arabic Typesetting" w:hint="cs"/>
          <w:color w:val="000000"/>
          <w:sz w:val="34"/>
          <w:szCs w:val="34"/>
          <w:rtl/>
          <w:lang w:bidi="ar-EG"/>
        </w:rPr>
        <w:t xml:space="preserve"> ب</w:t>
      </w:r>
      <w:r w:rsidRPr="00B4424E">
        <w:rPr>
          <w:rFonts w:ascii="Arabic Typesetting" w:eastAsia="Arial" w:hAnsi="Arabic Typesetting" w:cs="Arabic Typesetting"/>
          <w:color w:val="000000"/>
          <w:sz w:val="34"/>
          <w:szCs w:val="34"/>
          <w:rtl/>
          <w:lang w:bidi="ar-EG"/>
        </w:rPr>
        <w:t>المركز الدولي للحوسبة</w:t>
      </w:r>
      <w:r>
        <w:rPr>
          <w:rFonts w:ascii="Arabic Typesetting" w:eastAsia="Arial" w:hAnsi="Arabic Typesetting" w:cs="Arabic Typesetting" w:hint="cs"/>
          <w:color w:val="000000"/>
          <w:sz w:val="34"/>
          <w:szCs w:val="34"/>
          <w:rtl/>
          <w:lang w:bidi="ar-EG"/>
        </w:rPr>
        <w:t xml:space="preserve"> التابع للأمم المتحدة لإدارة الشبكة والخوادم المعلوماتية لضمان تغطية على مدار الساعة وتحديثات في الوقت المناسب.</w:t>
      </w:r>
    </w:p>
    <w:p w:rsidR="00B31868" w:rsidRPr="00B31868" w:rsidRDefault="00B4424E" w:rsidP="00650B8D">
      <w:pPr>
        <w:bidi/>
        <w:spacing w:after="120" w:line="340" w:lineRule="exact"/>
        <w:ind w:left="566"/>
        <w:rPr>
          <w:rFonts w:ascii="Arabic Typesetting" w:eastAsia="Arial" w:hAnsi="Arabic Typesetting" w:cs="Arabic Typesetting"/>
          <w:color w:val="000000"/>
          <w:sz w:val="34"/>
          <w:szCs w:val="34"/>
          <w:rtl/>
          <w:lang w:bidi="ar-EG"/>
        </w:rPr>
      </w:pPr>
      <w:r>
        <w:rPr>
          <w:rFonts w:ascii="Arabic Typesetting" w:eastAsia="Arial" w:hAnsi="Arabic Typesetting" w:cs="Arabic Typesetting" w:hint="cs"/>
          <w:color w:val="000000"/>
          <w:sz w:val="34"/>
          <w:szCs w:val="34"/>
          <w:rtl/>
          <w:lang w:bidi="ar-EG"/>
        </w:rPr>
        <w:t>(ه)</w:t>
      </w:r>
      <w:r>
        <w:rPr>
          <w:rFonts w:ascii="Arabic Typesetting" w:eastAsia="Arial" w:hAnsi="Arabic Typesetting" w:cs="Arabic Typesetting" w:hint="cs"/>
          <w:color w:val="000000"/>
          <w:sz w:val="34"/>
          <w:szCs w:val="34"/>
          <w:rtl/>
          <w:lang w:bidi="ar-EG"/>
        </w:rPr>
        <w:tab/>
      </w:r>
      <w:r w:rsidR="00B31868" w:rsidRPr="00B31868">
        <w:rPr>
          <w:rFonts w:ascii="Arabic Typesetting" w:eastAsia="Arial" w:hAnsi="Arabic Typesetting" w:cs="Arabic Typesetting"/>
          <w:color w:val="000000"/>
          <w:sz w:val="34"/>
          <w:szCs w:val="34"/>
          <w:rtl/>
          <w:lang w:bidi="ar-EG"/>
        </w:rPr>
        <w:t>أ</w:t>
      </w:r>
      <w:r w:rsidR="00B31868" w:rsidRPr="00B31868">
        <w:rPr>
          <w:rFonts w:ascii="Arabic Typesetting" w:eastAsia="Arial" w:hAnsi="Arabic Typesetting" w:cs="Arabic Typesetting" w:hint="cs"/>
          <w:color w:val="000000"/>
          <w:sz w:val="34"/>
          <w:szCs w:val="34"/>
          <w:rtl/>
          <w:lang w:bidi="ar-EG"/>
        </w:rPr>
        <w:t xml:space="preserve">برمت </w:t>
      </w:r>
      <w:r w:rsidR="00B31868" w:rsidRPr="00B31868">
        <w:rPr>
          <w:rFonts w:ascii="Arabic Typesetting" w:eastAsia="Arial" w:hAnsi="Arabic Typesetting" w:cs="Arabic Typesetting"/>
          <w:color w:val="000000"/>
          <w:sz w:val="34"/>
          <w:szCs w:val="34"/>
          <w:rtl/>
          <w:lang w:bidi="ar-EG"/>
        </w:rPr>
        <w:t>اتفاقات تسليم الخدمات (</w:t>
      </w:r>
      <w:r w:rsidR="00B31868" w:rsidRPr="00B31868">
        <w:rPr>
          <w:rFonts w:ascii="Arabic Typesetting" w:eastAsia="Arial" w:hAnsi="Arabic Typesetting" w:cs="Arabic Typesetting"/>
          <w:color w:val="000000"/>
          <w:sz w:val="34"/>
          <w:szCs w:val="34"/>
          <w:lang w:bidi="ar-EG"/>
        </w:rPr>
        <w:t>SDAs</w:t>
      </w:r>
      <w:r w:rsidR="00B31868" w:rsidRPr="00B31868">
        <w:rPr>
          <w:rFonts w:ascii="Arabic Typesetting" w:eastAsia="Arial" w:hAnsi="Arabic Typesetting" w:cs="Arabic Typesetting"/>
          <w:color w:val="000000"/>
          <w:sz w:val="34"/>
          <w:szCs w:val="34"/>
          <w:rtl/>
          <w:lang w:bidi="ar-EG"/>
        </w:rPr>
        <w:t>)</w:t>
      </w:r>
      <w:r>
        <w:rPr>
          <w:rFonts w:ascii="Arabic Typesetting" w:eastAsia="Arial" w:hAnsi="Arabic Typesetting" w:cs="Arabic Typesetting" w:hint="cs"/>
          <w:color w:val="000000"/>
          <w:sz w:val="34"/>
          <w:szCs w:val="34"/>
          <w:rtl/>
          <w:lang w:bidi="ar-EG"/>
        </w:rPr>
        <w:t xml:space="preserve"> في عام</w:t>
      </w:r>
      <w:r>
        <w:rPr>
          <w:rFonts w:ascii="Arabic Typesetting" w:eastAsia="Arial" w:hAnsi="Arabic Typesetting" w:cs="Arabic Typesetting" w:hint="eastAsia"/>
          <w:color w:val="000000"/>
          <w:sz w:val="34"/>
          <w:szCs w:val="34"/>
          <w:rtl/>
          <w:lang w:bidi="ar-EG"/>
        </w:rPr>
        <w:t> </w:t>
      </w:r>
      <w:r>
        <w:rPr>
          <w:rFonts w:ascii="Arabic Typesetting" w:eastAsia="Arial" w:hAnsi="Arabic Typesetting" w:cs="Arabic Typesetting" w:hint="cs"/>
          <w:color w:val="000000"/>
          <w:sz w:val="34"/>
          <w:szCs w:val="34"/>
          <w:rtl/>
          <w:lang w:bidi="ar-EG"/>
        </w:rPr>
        <w:t>2014</w:t>
      </w:r>
      <w:r w:rsidR="00B31868" w:rsidRPr="00B31868">
        <w:rPr>
          <w:rFonts w:ascii="Arabic Typesetting" w:eastAsia="Arial" w:hAnsi="Arabic Typesetting" w:cs="Arabic Typesetting"/>
          <w:color w:val="000000"/>
          <w:sz w:val="34"/>
          <w:szCs w:val="34"/>
          <w:rtl/>
          <w:lang w:bidi="ar-EG"/>
        </w:rPr>
        <w:t xml:space="preserve"> </w:t>
      </w:r>
      <w:r w:rsidR="00650B8D">
        <w:rPr>
          <w:rFonts w:ascii="Arabic Typesetting" w:eastAsia="Arial" w:hAnsi="Arabic Typesetting" w:cs="Arabic Typesetting" w:hint="cs"/>
          <w:color w:val="000000"/>
          <w:sz w:val="34"/>
          <w:szCs w:val="34"/>
          <w:rtl/>
          <w:lang w:bidi="ar-EG"/>
        </w:rPr>
        <w:t>بفضل</w:t>
      </w:r>
      <w:r w:rsidR="00650B8D" w:rsidRPr="00B31868">
        <w:rPr>
          <w:rFonts w:ascii="Arabic Typesetting" w:eastAsia="Arial" w:hAnsi="Arabic Typesetting" w:cs="Arabic Typesetting"/>
          <w:color w:val="000000"/>
          <w:sz w:val="34"/>
          <w:szCs w:val="34"/>
          <w:rtl/>
          <w:lang w:bidi="ar-EG"/>
        </w:rPr>
        <w:t xml:space="preserve"> </w:t>
      </w:r>
      <w:r w:rsidR="00650B8D" w:rsidRPr="00B31868">
        <w:rPr>
          <w:rFonts w:ascii="Arabic Typesetting" w:eastAsia="Arial" w:hAnsi="Arabic Typesetting" w:cs="Arabic Typesetting" w:hint="cs"/>
          <w:color w:val="000000"/>
          <w:sz w:val="34"/>
          <w:szCs w:val="34"/>
          <w:rtl/>
          <w:lang w:bidi="ar-EG"/>
        </w:rPr>
        <w:t>ال</w:t>
      </w:r>
      <w:r w:rsidR="00650B8D" w:rsidRPr="00B31868">
        <w:rPr>
          <w:rFonts w:ascii="Arabic Typesetting" w:eastAsia="Arial" w:hAnsi="Arabic Typesetting" w:cs="Arabic Typesetting"/>
          <w:color w:val="000000"/>
          <w:sz w:val="34"/>
          <w:szCs w:val="34"/>
          <w:rtl/>
          <w:lang w:bidi="ar-EG"/>
        </w:rPr>
        <w:t xml:space="preserve">تعاون </w:t>
      </w:r>
      <w:r w:rsidR="00650B8D" w:rsidRPr="00B31868">
        <w:rPr>
          <w:rFonts w:ascii="Arabic Typesetting" w:eastAsia="Arial" w:hAnsi="Arabic Typesetting" w:cs="Arabic Typesetting" w:hint="cs"/>
          <w:color w:val="000000"/>
          <w:sz w:val="34"/>
          <w:szCs w:val="34"/>
          <w:rtl/>
          <w:lang w:bidi="ar-EG"/>
        </w:rPr>
        <w:t>ال</w:t>
      </w:r>
      <w:r w:rsidR="00650B8D" w:rsidRPr="00B31868">
        <w:rPr>
          <w:rFonts w:ascii="Arabic Typesetting" w:eastAsia="Arial" w:hAnsi="Arabic Typesetting" w:cs="Arabic Typesetting"/>
          <w:color w:val="000000"/>
          <w:sz w:val="34"/>
          <w:szCs w:val="34"/>
          <w:rtl/>
          <w:lang w:bidi="ar-EG"/>
        </w:rPr>
        <w:t>وثيق</w:t>
      </w:r>
      <w:r w:rsidR="00650B8D">
        <w:rPr>
          <w:rFonts w:ascii="Arabic Typesetting" w:eastAsia="Arial" w:hAnsi="Arabic Typesetting" w:cs="Arabic Typesetting" w:hint="cs"/>
          <w:color w:val="000000"/>
          <w:sz w:val="34"/>
          <w:szCs w:val="34"/>
          <w:rtl/>
          <w:lang w:bidi="ar-EG"/>
        </w:rPr>
        <w:t xml:space="preserve"> مع الأطراف التجارية الرئيسية المعنية</w:t>
      </w:r>
      <w:r w:rsidR="00650B8D" w:rsidRPr="00B31868">
        <w:rPr>
          <w:rFonts w:ascii="Arabic Typesetting" w:eastAsia="Arial" w:hAnsi="Arabic Typesetting" w:cs="Arabic Typesetting"/>
          <w:color w:val="000000"/>
          <w:sz w:val="34"/>
          <w:szCs w:val="34"/>
          <w:rtl/>
          <w:lang w:bidi="ar-EG"/>
        </w:rPr>
        <w:t xml:space="preserve"> </w:t>
      </w:r>
      <w:r w:rsidR="00B31868" w:rsidRPr="00B31868">
        <w:rPr>
          <w:rFonts w:ascii="Arabic Typesetting" w:eastAsia="Arial" w:hAnsi="Arabic Typesetting" w:cs="Arabic Typesetting" w:hint="cs"/>
          <w:color w:val="000000"/>
          <w:sz w:val="34"/>
          <w:szCs w:val="34"/>
          <w:rtl/>
          <w:lang w:bidi="ar-EG"/>
        </w:rPr>
        <w:t>من أجل تحديد أوضح لا</w:t>
      </w:r>
      <w:r w:rsidR="00B31868" w:rsidRPr="00B31868">
        <w:rPr>
          <w:rFonts w:ascii="Arabic Typesetting" w:eastAsia="Arial" w:hAnsi="Arabic Typesetting" w:cs="Arabic Typesetting"/>
          <w:color w:val="000000"/>
          <w:sz w:val="34"/>
          <w:szCs w:val="34"/>
          <w:rtl/>
          <w:lang w:bidi="ar-EG"/>
        </w:rPr>
        <w:t xml:space="preserve">حتياجات </w:t>
      </w:r>
      <w:r w:rsidR="00B31868" w:rsidRPr="00B31868">
        <w:rPr>
          <w:rFonts w:ascii="Arabic Typesetting" w:eastAsia="Arial" w:hAnsi="Arabic Typesetting" w:cs="Arabic Typesetting" w:hint="cs"/>
          <w:color w:val="000000"/>
          <w:sz w:val="34"/>
          <w:szCs w:val="34"/>
          <w:rtl/>
          <w:lang w:bidi="ar-EG"/>
        </w:rPr>
        <w:t>قطاعات العمل ال</w:t>
      </w:r>
      <w:r w:rsidR="00B31868" w:rsidRPr="00B31868">
        <w:rPr>
          <w:rFonts w:ascii="Arabic Typesetting" w:eastAsia="Arial" w:hAnsi="Arabic Typesetting" w:cs="Arabic Typesetting"/>
          <w:color w:val="000000"/>
          <w:sz w:val="34"/>
          <w:szCs w:val="34"/>
          <w:rtl/>
          <w:lang w:bidi="ar-EG"/>
        </w:rPr>
        <w:t xml:space="preserve">محددة </w:t>
      </w:r>
      <w:r w:rsidR="00B31868" w:rsidRPr="00B31868">
        <w:rPr>
          <w:rFonts w:ascii="Arabic Typesetting" w:eastAsia="Arial" w:hAnsi="Arabic Typesetting" w:cs="Arabic Typesetting" w:hint="cs"/>
          <w:color w:val="000000"/>
          <w:sz w:val="34"/>
          <w:szCs w:val="34"/>
          <w:rtl/>
          <w:lang w:bidi="ar-EG"/>
        </w:rPr>
        <w:t xml:space="preserve">من حيث </w:t>
      </w:r>
      <w:r w:rsidR="00B31868" w:rsidRPr="00B31868">
        <w:rPr>
          <w:rFonts w:ascii="Arabic Typesetting" w:eastAsia="Arial" w:hAnsi="Arabic Typesetting" w:cs="Arabic Typesetting"/>
          <w:color w:val="000000"/>
          <w:sz w:val="34"/>
          <w:szCs w:val="34"/>
          <w:rtl/>
          <w:lang w:bidi="ar-EG"/>
        </w:rPr>
        <w:t>تكنولوجيا المعلومات والاتصالات</w:t>
      </w:r>
      <w:r w:rsidR="00B31868" w:rsidRPr="00B31868">
        <w:rPr>
          <w:rFonts w:ascii="Arabic Typesetting" w:eastAsia="Arial" w:hAnsi="Arabic Typesetting" w:cs="Arabic Typesetting" w:hint="cs"/>
          <w:color w:val="000000"/>
          <w:sz w:val="34"/>
          <w:szCs w:val="34"/>
          <w:rtl/>
          <w:lang w:bidi="ar-EG"/>
        </w:rPr>
        <w:t xml:space="preserve"> </w:t>
      </w:r>
      <w:r>
        <w:rPr>
          <w:rFonts w:ascii="Arabic Typesetting" w:eastAsia="Arial" w:hAnsi="Arabic Typesetting" w:cs="Arabic Typesetting" w:hint="cs"/>
          <w:color w:val="000000"/>
          <w:sz w:val="34"/>
          <w:szCs w:val="34"/>
          <w:rtl/>
          <w:lang w:bidi="ar-EG"/>
        </w:rPr>
        <w:t xml:space="preserve">فضلاً عن </w:t>
      </w:r>
      <w:r w:rsidR="00B31868" w:rsidRPr="00B31868">
        <w:rPr>
          <w:rFonts w:ascii="Arabic Typesetting" w:eastAsia="Arial" w:hAnsi="Arabic Typesetting" w:cs="Arabic Typesetting" w:hint="cs"/>
          <w:color w:val="000000"/>
          <w:sz w:val="34"/>
          <w:szCs w:val="34"/>
          <w:rtl/>
          <w:lang w:bidi="ar-EG"/>
        </w:rPr>
        <w:t>التمكن من إجراء متابعة ورصد</w:t>
      </w:r>
      <w:r w:rsidR="00B31868" w:rsidRPr="00B31868">
        <w:rPr>
          <w:rFonts w:ascii="Arabic Typesetting" w:eastAsia="Arial" w:hAnsi="Arabic Typesetting" w:cs="Arabic Typesetting"/>
          <w:color w:val="000000"/>
          <w:sz w:val="34"/>
          <w:szCs w:val="34"/>
          <w:rtl/>
          <w:lang w:bidi="ar-EG"/>
        </w:rPr>
        <w:t xml:space="preserve"> أكثر انتظاما؛</w:t>
      </w:r>
    </w:p>
    <w:p w:rsidR="00CC2D44" w:rsidRDefault="00CC2D44" w:rsidP="00650B8D">
      <w:pPr>
        <w:bidi/>
        <w:spacing w:after="120" w:line="340" w:lineRule="exact"/>
        <w:ind w:left="566"/>
        <w:rPr>
          <w:rFonts w:ascii="Arabic Typesetting" w:eastAsia="Arial" w:hAnsi="Arabic Typesetting" w:cs="Arabic Typesetting"/>
          <w:color w:val="000000"/>
          <w:sz w:val="34"/>
          <w:szCs w:val="34"/>
          <w:rtl/>
        </w:rPr>
      </w:pPr>
      <w:r>
        <w:rPr>
          <w:rFonts w:ascii="Arabic Typesetting" w:eastAsia="Arial" w:hAnsi="Arabic Typesetting" w:cs="Arabic Typesetting" w:hint="cs"/>
          <w:color w:val="000000"/>
          <w:sz w:val="34"/>
          <w:szCs w:val="34"/>
          <w:rtl/>
        </w:rPr>
        <w:t>(و)</w:t>
      </w:r>
      <w:r>
        <w:rPr>
          <w:rFonts w:ascii="Arabic Typesetting" w:eastAsia="Arial" w:hAnsi="Arabic Typesetting" w:cs="Arabic Typesetting"/>
          <w:color w:val="000000"/>
          <w:sz w:val="34"/>
          <w:szCs w:val="34"/>
          <w:rtl/>
        </w:rPr>
        <w:tab/>
      </w:r>
      <w:r w:rsidR="00650B8D">
        <w:rPr>
          <w:rFonts w:ascii="Arabic Typesetting" w:eastAsia="Arial" w:hAnsi="Arabic Typesetting" w:cs="Arabic Typesetting" w:hint="cs"/>
          <w:color w:val="000000"/>
          <w:sz w:val="34"/>
          <w:szCs w:val="34"/>
          <w:rtl/>
        </w:rPr>
        <w:t>أُدرج</w:t>
      </w:r>
      <w:r>
        <w:rPr>
          <w:rFonts w:ascii="Arabic Typesetting" w:eastAsia="Arial" w:hAnsi="Arabic Typesetting" w:cs="Arabic Typesetting" w:hint="cs"/>
          <w:color w:val="000000"/>
          <w:sz w:val="34"/>
          <w:szCs w:val="34"/>
          <w:rtl/>
        </w:rPr>
        <w:t xml:space="preserve"> نظام فاكس متطور كي يتكامل بسلاسة مع الأنظمة الحاسوبية لنظام مدريد فضلاً عن الأنظمة الإدارية الداخلية، ما أدى إلى زيادة الفعالية وتقليص معدلات أخطاء الفاكس التي كان يتطلب تصحيحها وقتاً طويلاً </w:t>
      </w:r>
      <w:r w:rsidR="005F37C8">
        <w:rPr>
          <w:rFonts w:ascii="Arabic Typesetting" w:eastAsia="Arial" w:hAnsi="Arabic Typesetting" w:cs="Arabic Typesetting" w:hint="cs"/>
          <w:color w:val="000000"/>
          <w:sz w:val="34"/>
          <w:szCs w:val="34"/>
          <w:rtl/>
        </w:rPr>
        <w:t>و</w:t>
      </w:r>
      <w:r>
        <w:rPr>
          <w:rFonts w:ascii="Arabic Typesetting" w:eastAsia="Arial" w:hAnsi="Arabic Typesetting" w:cs="Arabic Typesetting" w:hint="cs"/>
          <w:color w:val="000000"/>
          <w:sz w:val="34"/>
          <w:szCs w:val="34"/>
          <w:rtl/>
        </w:rPr>
        <w:t xml:space="preserve">إعادة إرسال رسائل الفاكس </w:t>
      </w:r>
      <w:r w:rsidR="007B7BE8">
        <w:rPr>
          <w:rFonts w:ascii="Arabic Typesetting" w:eastAsia="Arial" w:hAnsi="Arabic Typesetting" w:cs="Arabic Typesetting" w:hint="cs"/>
          <w:color w:val="000000"/>
          <w:sz w:val="34"/>
          <w:szCs w:val="34"/>
          <w:rtl/>
        </w:rPr>
        <w:t>عدة مرات؛</w:t>
      </w:r>
    </w:p>
    <w:p w:rsidR="0005678D" w:rsidRDefault="00CC2D44" w:rsidP="00650B8D">
      <w:pPr>
        <w:bidi/>
        <w:spacing w:after="120" w:line="340" w:lineRule="exact"/>
        <w:ind w:left="566"/>
        <w:rPr>
          <w:rFonts w:ascii="Arabic Typesetting" w:eastAsia="Arial" w:hAnsi="Arabic Typesetting" w:cs="Arabic Typesetting"/>
          <w:color w:val="000000"/>
          <w:sz w:val="34"/>
          <w:szCs w:val="34"/>
          <w:rtl/>
        </w:rPr>
      </w:pPr>
      <w:r>
        <w:rPr>
          <w:rFonts w:ascii="Arabic Typesetting" w:eastAsia="Arial" w:hAnsi="Arabic Typesetting" w:cs="Arabic Typesetting" w:hint="cs"/>
          <w:color w:val="000000"/>
          <w:sz w:val="34"/>
          <w:szCs w:val="34"/>
          <w:rtl/>
        </w:rPr>
        <w:t>(ز)</w:t>
      </w:r>
      <w:r>
        <w:rPr>
          <w:rFonts w:ascii="Arabic Typesetting" w:eastAsia="Arial" w:hAnsi="Arabic Typesetting" w:cs="Arabic Typesetting" w:hint="cs"/>
          <w:color w:val="000000"/>
          <w:sz w:val="34"/>
          <w:szCs w:val="34"/>
          <w:rtl/>
        </w:rPr>
        <w:tab/>
      </w:r>
      <w:r w:rsidR="00650B8D">
        <w:rPr>
          <w:rFonts w:ascii="Arabic Typesetting" w:eastAsia="Arial" w:hAnsi="Arabic Typesetting" w:cs="Arabic Typesetting" w:hint="cs"/>
          <w:color w:val="000000"/>
          <w:sz w:val="34"/>
          <w:szCs w:val="34"/>
          <w:rtl/>
        </w:rPr>
        <w:t>وُضعت استراتيجية لإدارة المعارف</w:t>
      </w:r>
      <w:r w:rsidR="00650B8D" w:rsidRPr="00F96634">
        <w:rPr>
          <w:rFonts w:ascii="Arabic Typesetting" w:eastAsia="Arial" w:hAnsi="Arabic Typesetting" w:cs="Arabic Typesetting"/>
          <w:color w:val="000000"/>
          <w:sz w:val="28"/>
          <w:szCs w:val="28"/>
          <w:vertAlign w:val="superscript"/>
          <w:rtl/>
        </w:rPr>
        <w:footnoteReference w:id="138"/>
      </w:r>
      <w:r w:rsidR="00650B8D">
        <w:rPr>
          <w:rFonts w:ascii="Arabic Typesetting" w:eastAsia="Arial" w:hAnsi="Arabic Typesetting" w:cs="Arabic Typesetting" w:hint="cs"/>
          <w:color w:val="000000"/>
          <w:sz w:val="34"/>
          <w:szCs w:val="34"/>
          <w:rtl/>
        </w:rPr>
        <w:t xml:space="preserve"> في عام</w:t>
      </w:r>
      <w:r w:rsidR="00650B8D">
        <w:rPr>
          <w:rFonts w:ascii="Arabic Typesetting" w:eastAsia="Arial" w:hAnsi="Arabic Typesetting" w:cs="Arabic Typesetting" w:hint="eastAsia"/>
          <w:color w:val="000000"/>
          <w:sz w:val="34"/>
          <w:szCs w:val="34"/>
          <w:rtl/>
        </w:rPr>
        <w:t> </w:t>
      </w:r>
      <w:r w:rsidR="00650B8D">
        <w:rPr>
          <w:rFonts w:ascii="Arabic Typesetting" w:eastAsia="Arial" w:hAnsi="Arabic Typesetting" w:cs="Arabic Typesetting" w:hint="cs"/>
          <w:color w:val="000000"/>
          <w:sz w:val="34"/>
          <w:szCs w:val="34"/>
          <w:rtl/>
        </w:rPr>
        <w:t xml:space="preserve">2015 لتحقيق الأهداف التالية </w:t>
      </w:r>
      <w:r>
        <w:rPr>
          <w:rFonts w:ascii="Arabic Typesetting" w:eastAsia="Arial" w:hAnsi="Arabic Typesetting" w:cs="Arabic Typesetting" w:hint="cs"/>
          <w:color w:val="000000"/>
          <w:sz w:val="34"/>
          <w:szCs w:val="34"/>
          <w:rtl/>
        </w:rPr>
        <w:t>استجابة</w:t>
      </w:r>
      <w:r w:rsidR="005F37C8">
        <w:rPr>
          <w:rFonts w:ascii="Arabic Typesetting" w:eastAsia="Arial" w:hAnsi="Arabic Typesetting" w:cs="Arabic Typesetting" w:hint="cs"/>
          <w:color w:val="000000"/>
          <w:sz w:val="34"/>
          <w:szCs w:val="34"/>
          <w:rtl/>
        </w:rPr>
        <w:t>ً</w:t>
      </w:r>
      <w:r>
        <w:rPr>
          <w:rFonts w:ascii="Arabic Typesetting" w:eastAsia="Arial" w:hAnsi="Arabic Typesetting" w:cs="Arabic Typesetting" w:hint="cs"/>
          <w:color w:val="000000"/>
          <w:sz w:val="34"/>
          <w:szCs w:val="34"/>
          <w:rtl/>
        </w:rPr>
        <w:t xml:space="preserve"> للتوصيات المنبثقة عن </w:t>
      </w:r>
      <w:r w:rsidRPr="00CC2D44">
        <w:rPr>
          <w:rFonts w:ascii="Arabic Typesetting" w:eastAsia="Arial" w:hAnsi="Arabic Typesetting" w:cs="Arabic Typesetting"/>
          <w:color w:val="000000"/>
          <w:sz w:val="34"/>
          <w:szCs w:val="34"/>
          <w:rtl/>
        </w:rPr>
        <w:t>استعراض الإدارة والتسيير في المنظمة العالمية للملكية الفكرية (الويبو) لعام 2014 الذي أعدته وحدة التفتيش المشتركة</w:t>
      </w:r>
      <w:r>
        <w:rPr>
          <w:rFonts w:ascii="Arabic Typesetting" w:eastAsia="Arial" w:hAnsi="Arabic Typesetting" w:cs="Arabic Typesetting" w:hint="cs"/>
          <w:color w:val="000000"/>
          <w:sz w:val="34"/>
          <w:szCs w:val="34"/>
          <w:rtl/>
        </w:rPr>
        <w:t xml:space="preserve"> وما تبعها من عمليات تقييم داخلية</w:t>
      </w:r>
      <w:r w:rsidR="00650B8D">
        <w:rPr>
          <w:rFonts w:ascii="Arabic Typesetting" w:eastAsia="Arial" w:hAnsi="Arabic Typesetting" w:cs="Arabic Typesetting" w:hint="cs"/>
          <w:color w:val="000000"/>
          <w:sz w:val="34"/>
          <w:szCs w:val="34"/>
          <w:rtl/>
        </w:rPr>
        <w:t>:</w:t>
      </w:r>
      <w:r>
        <w:rPr>
          <w:rFonts w:ascii="Arabic Typesetting" w:eastAsia="Arial" w:hAnsi="Arabic Typesetting" w:cs="Arabic Typesetting" w:hint="cs"/>
          <w:color w:val="000000"/>
          <w:sz w:val="34"/>
          <w:szCs w:val="34"/>
          <w:rtl/>
        </w:rPr>
        <w:t xml:space="preserve"> "1" </w:t>
      </w:r>
      <w:r w:rsidR="0005678D" w:rsidRPr="0005678D">
        <w:rPr>
          <w:rFonts w:ascii="Arabic Typesetting" w:eastAsia="Arial" w:hAnsi="Arabic Typesetting" w:cs="Arabic Typesetting"/>
          <w:color w:val="000000"/>
          <w:sz w:val="34"/>
          <w:szCs w:val="34"/>
          <w:rtl/>
        </w:rPr>
        <w:t>بناء ثقافة "إدارة المعارف"؛</w:t>
      </w:r>
      <w:r w:rsidR="00AB75D8">
        <w:rPr>
          <w:rFonts w:ascii="Arabic Typesetting" w:eastAsia="Arial" w:hAnsi="Arabic Typesetting" w:cs="Arabic Typesetting" w:hint="cs"/>
          <w:color w:val="000000"/>
          <w:sz w:val="34"/>
          <w:szCs w:val="34"/>
          <w:rtl/>
        </w:rPr>
        <w:t xml:space="preserve"> "2" </w:t>
      </w:r>
      <w:r w:rsidR="0005678D" w:rsidRPr="0005678D">
        <w:rPr>
          <w:rFonts w:ascii="Arabic Typesetting" w:eastAsia="Arial" w:hAnsi="Arabic Typesetting" w:cs="Arabic Typesetting"/>
          <w:color w:val="000000"/>
          <w:sz w:val="34"/>
          <w:szCs w:val="34"/>
          <w:rtl/>
        </w:rPr>
        <w:t>وتنفيذ عمليات</w:t>
      </w:r>
      <w:r w:rsidR="0005678D">
        <w:rPr>
          <w:rFonts w:ascii="Arabic Typesetting" w:eastAsia="Arial" w:hAnsi="Arabic Typesetting" w:cs="Arabic Typesetting"/>
          <w:color w:val="000000"/>
          <w:sz w:val="34"/>
          <w:szCs w:val="34"/>
          <w:rtl/>
        </w:rPr>
        <w:t xml:space="preserve"> إدارة المعارف على نطاق المنظمة</w:t>
      </w:r>
      <w:r w:rsidR="0005678D">
        <w:rPr>
          <w:rFonts w:ascii="Arabic Typesetting" w:eastAsia="Arial" w:hAnsi="Arabic Typesetting" w:cs="Arabic Typesetting" w:hint="cs"/>
          <w:color w:val="000000"/>
          <w:sz w:val="34"/>
          <w:szCs w:val="34"/>
          <w:rtl/>
        </w:rPr>
        <w:t>؛ و"3" </w:t>
      </w:r>
      <w:r w:rsidR="0005678D" w:rsidRPr="0005678D">
        <w:rPr>
          <w:rFonts w:ascii="Arabic Typesetting" w:eastAsia="Arial" w:hAnsi="Arabic Typesetting" w:cs="Arabic Typesetting"/>
          <w:color w:val="000000"/>
          <w:sz w:val="34"/>
          <w:szCs w:val="34"/>
          <w:rtl/>
        </w:rPr>
        <w:t>وتحديد ونشر "المصدر الوحيد للحقيقة" لأصول المعارف والمعلومات</w:t>
      </w:r>
      <w:r w:rsidR="0005678D">
        <w:rPr>
          <w:rFonts w:ascii="Arabic Typesetting" w:eastAsia="Arial" w:hAnsi="Arabic Typesetting" w:cs="Arabic Typesetting" w:hint="cs"/>
          <w:color w:val="000000"/>
          <w:sz w:val="34"/>
          <w:szCs w:val="34"/>
          <w:rtl/>
        </w:rPr>
        <w:t>؛ "4" </w:t>
      </w:r>
      <w:r w:rsidR="0005678D" w:rsidRPr="0005678D">
        <w:rPr>
          <w:rFonts w:ascii="Arabic Typesetting" w:eastAsia="Arial" w:hAnsi="Arabic Typesetting" w:cs="Arabic Typesetting"/>
          <w:color w:val="000000"/>
          <w:sz w:val="34"/>
          <w:szCs w:val="34"/>
          <w:rtl/>
        </w:rPr>
        <w:t>والمواءمة والتكامل بين استراتيجية إدارة المعارف هذه واستراتيجية المرونة المؤسسية</w:t>
      </w:r>
      <w:r w:rsidR="0005678D">
        <w:rPr>
          <w:rFonts w:ascii="Arabic Typesetting" w:eastAsia="Arial" w:hAnsi="Arabic Typesetting" w:cs="Arabic Typesetting" w:hint="cs"/>
          <w:color w:val="000000"/>
          <w:sz w:val="34"/>
          <w:szCs w:val="34"/>
          <w:rtl/>
        </w:rPr>
        <w:t>؛</w:t>
      </w:r>
    </w:p>
    <w:p w:rsidR="0005678D" w:rsidRDefault="0005678D" w:rsidP="00086C3F">
      <w:pPr>
        <w:bidi/>
        <w:spacing w:after="120" w:line="340" w:lineRule="exact"/>
        <w:ind w:left="566"/>
        <w:rPr>
          <w:rFonts w:ascii="Arabic Typesetting" w:eastAsia="Arial" w:hAnsi="Arabic Typesetting" w:cs="Arabic Typesetting"/>
          <w:color w:val="000000"/>
          <w:sz w:val="34"/>
          <w:szCs w:val="34"/>
          <w:rtl/>
        </w:rPr>
      </w:pPr>
      <w:r>
        <w:rPr>
          <w:rFonts w:ascii="Arabic Typesetting" w:eastAsia="Arial" w:hAnsi="Arabic Typesetting" w:cs="Arabic Typesetting" w:hint="cs"/>
          <w:color w:val="000000"/>
          <w:sz w:val="34"/>
          <w:szCs w:val="34"/>
          <w:rtl/>
        </w:rPr>
        <w:t>(ح)</w:t>
      </w:r>
      <w:r>
        <w:rPr>
          <w:rFonts w:ascii="Arabic Typesetting" w:eastAsia="Arial" w:hAnsi="Arabic Typesetting" w:cs="Arabic Typesetting" w:hint="cs"/>
          <w:color w:val="000000"/>
          <w:sz w:val="34"/>
          <w:szCs w:val="34"/>
          <w:rtl/>
        </w:rPr>
        <w:tab/>
        <w:t>ح</w:t>
      </w:r>
      <w:r w:rsidR="00650B8D">
        <w:rPr>
          <w:rFonts w:ascii="Arabic Typesetting" w:eastAsia="Arial" w:hAnsi="Arabic Typesetting" w:cs="Arabic Typesetting" w:hint="cs"/>
          <w:color w:val="000000"/>
          <w:sz w:val="34"/>
          <w:szCs w:val="34"/>
          <w:rtl/>
        </w:rPr>
        <w:t>ُ</w:t>
      </w:r>
      <w:r>
        <w:rPr>
          <w:rFonts w:ascii="Arabic Typesetting" w:eastAsia="Arial" w:hAnsi="Arabic Typesetting" w:cs="Arabic Typesetting" w:hint="cs"/>
          <w:color w:val="000000"/>
          <w:sz w:val="34"/>
          <w:szCs w:val="34"/>
          <w:rtl/>
        </w:rPr>
        <w:t xml:space="preserve">ددت رسمياً عمليات للانتقال إلى </w:t>
      </w:r>
      <w:r w:rsidR="00FB2BCA">
        <w:rPr>
          <w:rFonts w:ascii="Arabic Typesetting" w:eastAsia="Arial" w:hAnsi="Arabic Typesetting" w:cs="Arabic Typesetting" w:hint="cs"/>
          <w:color w:val="000000"/>
          <w:sz w:val="34"/>
          <w:szCs w:val="34"/>
          <w:rtl/>
        </w:rPr>
        <w:t>مشروعات</w:t>
      </w:r>
      <w:r>
        <w:rPr>
          <w:rFonts w:ascii="Arabic Typesetting" w:eastAsia="Arial" w:hAnsi="Arabic Typesetting" w:cs="Arabic Typesetting" w:hint="cs"/>
          <w:color w:val="000000"/>
          <w:sz w:val="34"/>
          <w:szCs w:val="34"/>
          <w:rtl/>
        </w:rPr>
        <w:t xml:space="preserve"> تكنولوجيا المعلومات والاتصالات وتشغيلها وتعميمها بغية ضمان انتهاج تدفق انتقالي يتسم بالمزيد من الانتظام والسلاسة؛</w:t>
      </w:r>
    </w:p>
    <w:p w:rsidR="0005678D" w:rsidRDefault="0005678D" w:rsidP="00086C3F">
      <w:pPr>
        <w:bidi/>
        <w:spacing w:after="120" w:line="340" w:lineRule="exact"/>
        <w:ind w:left="566"/>
        <w:rPr>
          <w:rFonts w:ascii="Arabic Typesetting" w:eastAsia="Arial" w:hAnsi="Arabic Typesetting" w:cs="Arabic Typesetting"/>
          <w:color w:val="000000"/>
          <w:sz w:val="34"/>
          <w:szCs w:val="34"/>
          <w:rtl/>
        </w:rPr>
      </w:pPr>
      <w:r>
        <w:rPr>
          <w:rFonts w:ascii="Arabic Typesetting" w:eastAsia="Arial" w:hAnsi="Arabic Typesetting" w:cs="Arabic Typesetting" w:hint="cs"/>
          <w:color w:val="000000"/>
          <w:sz w:val="34"/>
          <w:szCs w:val="34"/>
          <w:rtl/>
        </w:rPr>
        <w:lastRenderedPageBreak/>
        <w:t>(ط)</w:t>
      </w:r>
      <w:r>
        <w:rPr>
          <w:rFonts w:ascii="Arabic Typesetting" w:eastAsia="Arial" w:hAnsi="Arabic Typesetting" w:cs="Arabic Typesetting"/>
          <w:color w:val="000000"/>
          <w:sz w:val="34"/>
          <w:szCs w:val="34"/>
          <w:rtl/>
        </w:rPr>
        <w:tab/>
      </w:r>
      <w:r>
        <w:rPr>
          <w:rFonts w:ascii="Arabic Typesetting" w:eastAsia="Arial" w:hAnsi="Arabic Typesetting" w:cs="Arabic Typesetting" w:hint="cs"/>
          <w:color w:val="000000"/>
          <w:sz w:val="34"/>
          <w:szCs w:val="34"/>
          <w:rtl/>
        </w:rPr>
        <w:t>روجعت عقود الخدمات والمسارات التشغيلية واتخذت تدابير لضمان المزيد من الفعالية من حيث التكلفة ما أدى إلى وفورات تبلغ نحو 000 460 فرنك سويسري مقارنة بعام 2013.</w:t>
      </w:r>
    </w:p>
    <w:p w:rsidR="0005678D" w:rsidRDefault="00294474" w:rsidP="001814D1">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Pr>
          <w:rFonts w:ascii="Arabic Typesetting" w:eastAsia="Arial" w:hAnsi="Arabic Typesetting" w:cs="Arabic Typesetting" w:hint="cs"/>
          <w:color w:val="000000"/>
          <w:sz w:val="34"/>
          <w:szCs w:val="34"/>
          <w:rtl/>
          <w:lang w:bidi="ar-EG"/>
        </w:rPr>
        <w:t xml:space="preserve">وفيما يخص أمن المعلومات، شهدت الثنائية </w:t>
      </w:r>
      <w:r w:rsidR="00507DE2">
        <w:rPr>
          <w:rFonts w:ascii="Arabic Typesetting" w:eastAsia="Arial" w:hAnsi="Arabic Typesetting" w:cs="Arabic Typesetting" w:hint="cs"/>
          <w:color w:val="000000"/>
          <w:sz w:val="34"/>
          <w:szCs w:val="34"/>
          <w:rtl/>
          <w:lang w:bidi="ar-EG"/>
        </w:rPr>
        <w:t>2014/15</w:t>
      </w:r>
      <w:r>
        <w:rPr>
          <w:rFonts w:ascii="Arabic Typesetting" w:eastAsia="Arial" w:hAnsi="Arabic Typesetting" w:cs="Arabic Typesetting" w:hint="cs"/>
          <w:color w:val="000000"/>
          <w:sz w:val="34"/>
          <w:szCs w:val="34"/>
          <w:rtl/>
          <w:lang w:bidi="ar-EG"/>
        </w:rPr>
        <w:t xml:space="preserve"> إعادة هيكلة تنظيمية استراتيجية بإدماج شعبة أمن المعلومات في إطار </w:t>
      </w:r>
      <w:r w:rsidRPr="00294474">
        <w:rPr>
          <w:rFonts w:ascii="Arabic Typesetting" w:eastAsia="Arial" w:hAnsi="Arabic Typesetting" w:cs="Arabic Typesetting"/>
          <w:color w:val="000000"/>
          <w:sz w:val="34"/>
          <w:szCs w:val="34"/>
          <w:rtl/>
          <w:lang w:bidi="ar-EG"/>
        </w:rPr>
        <w:t>شعبة الأمن وتأمين المعلومات</w:t>
      </w:r>
      <w:r>
        <w:rPr>
          <w:rFonts w:ascii="Arabic Typesetting" w:eastAsia="Arial" w:hAnsi="Arabic Typesetting" w:cs="Arabic Typesetting" w:hint="cs"/>
          <w:color w:val="000000"/>
          <w:sz w:val="34"/>
          <w:szCs w:val="34"/>
          <w:rtl/>
          <w:lang w:bidi="ar-EG"/>
        </w:rPr>
        <w:t xml:space="preserve"> الحديث</w:t>
      </w:r>
      <w:r w:rsidR="001814D1">
        <w:rPr>
          <w:rFonts w:ascii="Arabic Typesetting" w:eastAsia="Arial" w:hAnsi="Arabic Typesetting" w:cs="Arabic Typesetting" w:hint="cs"/>
          <w:color w:val="000000"/>
          <w:sz w:val="34"/>
          <w:szCs w:val="34"/>
          <w:rtl/>
          <w:lang w:bidi="ar-EG"/>
        </w:rPr>
        <w:t>ة</w:t>
      </w:r>
      <w:r>
        <w:rPr>
          <w:rFonts w:ascii="Arabic Typesetting" w:eastAsia="Arial" w:hAnsi="Arabic Typesetting" w:cs="Arabic Typesetting" w:hint="cs"/>
          <w:color w:val="000000"/>
          <w:sz w:val="34"/>
          <w:szCs w:val="34"/>
          <w:rtl/>
          <w:lang w:bidi="ar-EG"/>
        </w:rPr>
        <w:t xml:space="preserve"> المنشأ ما أتاح تحسين التكامل بين الأمن المادي والمعلوماتي.</w:t>
      </w:r>
    </w:p>
    <w:p w:rsidR="00B31868" w:rsidRPr="00B31868" w:rsidRDefault="00B31868"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rtl/>
          <w:lang w:bidi="ar-EG"/>
        </w:rPr>
      </w:pPr>
      <w:r w:rsidRPr="00B31868">
        <w:rPr>
          <w:rFonts w:ascii="Arabic Typesetting" w:eastAsia="Arial" w:hAnsi="Arabic Typesetting" w:cs="Arabic Typesetting" w:hint="cs"/>
          <w:color w:val="000000"/>
          <w:sz w:val="34"/>
          <w:szCs w:val="34"/>
          <w:rtl/>
          <w:lang w:bidi="ar-EG"/>
        </w:rPr>
        <w:t>و</w:t>
      </w:r>
      <w:r w:rsidR="00294474">
        <w:rPr>
          <w:rFonts w:ascii="Arabic Typesetting" w:eastAsia="Arial" w:hAnsi="Arabic Typesetting" w:cs="Arabic Typesetting" w:hint="cs"/>
          <w:color w:val="000000"/>
          <w:sz w:val="34"/>
          <w:szCs w:val="34"/>
          <w:rtl/>
          <w:lang w:bidi="ar-EG"/>
        </w:rPr>
        <w:t>بين</w:t>
      </w:r>
      <w:r w:rsidRPr="00B31868">
        <w:rPr>
          <w:rFonts w:ascii="Arabic Typesetting" w:eastAsia="Arial" w:hAnsi="Arabic Typesetting" w:cs="Arabic Typesetting" w:hint="cs"/>
          <w:color w:val="000000"/>
          <w:sz w:val="34"/>
          <w:szCs w:val="34"/>
          <w:rtl/>
          <w:lang w:bidi="ar-EG"/>
        </w:rPr>
        <w:t xml:space="preserve">ما أنجز </w:t>
      </w:r>
      <w:r w:rsidRPr="00B31868">
        <w:rPr>
          <w:rFonts w:ascii="Arabic Typesetting" w:eastAsia="Arial" w:hAnsi="Arabic Typesetting" w:cs="Arabic Typesetting"/>
          <w:color w:val="000000"/>
          <w:sz w:val="34"/>
          <w:szCs w:val="34"/>
          <w:rtl/>
          <w:lang w:bidi="ar-EG"/>
        </w:rPr>
        <w:t xml:space="preserve">الكثير من العمل فيما يتعلق </w:t>
      </w:r>
      <w:r w:rsidRPr="00B31868">
        <w:rPr>
          <w:rFonts w:ascii="Arabic Typesetting" w:eastAsia="Arial" w:hAnsi="Arabic Typesetting" w:cs="Arabic Typesetting" w:hint="cs"/>
          <w:color w:val="000000"/>
          <w:sz w:val="34"/>
          <w:szCs w:val="34"/>
          <w:rtl/>
          <w:lang w:bidi="ar-EG"/>
        </w:rPr>
        <w:t>ب</w:t>
      </w:r>
      <w:r w:rsidRPr="00B31868">
        <w:rPr>
          <w:rFonts w:ascii="Arabic Typesetting" w:eastAsia="Arial" w:hAnsi="Arabic Typesetting" w:cs="Arabic Typesetting"/>
          <w:color w:val="000000"/>
          <w:sz w:val="34"/>
          <w:szCs w:val="34"/>
          <w:rtl/>
          <w:lang w:bidi="ar-EG"/>
        </w:rPr>
        <w:t>أمن المعلومات، شهد</w:t>
      </w:r>
      <w:r w:rsidR="00294474">
        <w:rPr>
          <w:rFonts w:ascii="Arabic Typesetting" w:eastAsia="Arial" w:hAnsi="Arabic Typesetting" w:cs="Arabic Typesetting" w:hint="cs"/>
          <w:color w:val="000000"/>
          <w:sz w:val="34"/>
          <w:szCs w:val="34"/>
          <w:rtl/>
          <w:lang w:bidi="ar-EG"/>
        </w:rPr>
        <w:t xml:space="preserve">ت الثنائية </w:t>
      </w:r>
      <w:r w:rsidR="00507DE2">
        <w:rPr>
          <w:rFonts w:ascii="Arabic Typesetting" w:eastAsia="Arial" w:hAnsi="Arabic Typesetting" w:cs="Arabic Typesetting" w:hint="cs"/>
          <w:color w:val="000000"/>
          <w:sz w:val="34"/>
          <w:szCs w:val="34"/>
          <w:rtl/>
          <w:lang w:bidi="ar-EG"/>
        </w:rPr>
        <w:t>2014/15</w:t>
      </w:r>
      <w:r w:rsidRPr="00B31868">
        <w:rPr>
          <w:rFonts w:ascii="Arabic Typesetting" w:eastAsia="Arial" w:hAnsi="Arabic Typesetting" w:cs="Arabic Typesetting"/>
          <w:color w:val="000000"/>
          <w:sz w:val="34"/>
          <w:szCs w:val="34"/>
          <w:rtl/>
          <w:lang w:bidi="ar-EG"/>
        </w:rPr>
        <w:t xml:space="preserve"> العديد من الإنجازات الرئيسية التي ساهمت </w:t>
      </w:r>
      <w:r w:rsidR="00FB2BCA">
        <w:rPr>
          <w:rFonts w:ascii="Arabic Typesetting" w:eastAsia="Arial" w:hAnsi="Arabic Typesetting" w:cs="Arabic Typesetting" w:hint="cs"/>
          <w:color w:val="000000"/>
          <w:sz w:val="34"/>
          <w:szCs w:val="34"/>
          <w:rtl/>
          <w:lang w:bidi="ar-EG"/>
        </w:rPr>
        <w:t>مساهمة كبيرة</w:t>
      </w:r>
      <w:r w:rsidRPr="00B31868">
        <w:rPr>
          <w:rFonts w:ascii="Arabic Typesetting" w:eastAsia="Arial" w:hAnsi="Arabic Typesetting" w:cs="Arabic Typesetting"/>
          <w:color w:val="000000"/>
          <w:sz w:val="34"/>
          <w:szCs w:val="34"/>
          <w:rtl/>
          <w:lang w:bidi="ar-EG"/>
        </w:rPr>
        <w:t xml:space="preserve"> في تعزيز حماية وأمن معلومات الويبو وأنظم</w:t>
      </w:r>
      <w:r w:rsidRPr="00B31868">
        <w:rPr>
          <w:rFonts w:ascii="Arabic Typesetting" w:eastAsia="Arial" w:hAnsi="Arabic Typesetting" w:cs="Arabic Typesetting" w:hint="cs"/>
          <w:color w:val="000000"/>
          <w:sz w:val="34"/>
          <w:szCs w:val="34"/>
          <w:rtl/>
          <w:lang w:bidi="ar-EG"/>
        </w:rPr>
        <w:t>تها</w:t>
      </w:r>
      <w:r w:rsidRPr="00B31868">
        <w:rPr>
          <w:rFonts w:ascii="Arabic Typesetting" w:eastAsia="Arial" w:hAnsi="Arabic Typesetting" w:cs="Arabic Typesetting"/>
          <w:color w:val="000000"/>
          <w:sz w:val="34"/>
          <w:szCs w:val="34"/>
          <w:lang w:bidi="ar-EG"/>
        </w:rPr>
        <w:t>.</w:t>
      </w:r>
    </w:p>
    <w:p w:rsidR="00294474" w:rsidRDefault="00B31868"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sidRPr="00B31868">
        <w:rPr>
          <w:rFonts w:ascii="Arabic Typesetting" w:eastAsia="Arial" w:hAnsi="Arabic Typesetting" w:cs="Arabic Typesetting" w:hint="cs"/>
          <w:color w:val="000000"/>
          <w:sz w:val="34"/>
          <w:szCs w:val="34"/>
          <w:rtl/>
          <w:lang w:bidi="ar-EG"/>
        </w:rPr>
        <w:t>و</w:t>
      </w:r>
      <w:r w:rsidRPr="00B31868">
        <w:rPr>
          <w:rFonts w:ascii="Arabic Typesetting" w:eastAsia="Arial" w:hAnsi="Arabic Typesetting" w:cs="Arabic Typesetting"/>
          <w:color w:val="000000"/>
          <w:sz w:val="34"/>
          <w:szCs w:val="34"/>
          <w:rtl/>
          <w:lang w:bidi="ar-EG"/>
        </w:rPr>
        <w:t xml:space="preserve">كجزء من عملية التحسين المستمر التي </w:t>
      </w:r>
      <w:r w:rsidRPr="00B31868">
        <w:rPr>
          <w:rFonts w:ascii="Arabic Typesetting" w:eastAsia="Arial" w:hAnsi="Arabic Typesetting" w:cs="Arabic Typesetting" w:hint="cs"/>
          <w:color w:val="000000"/>
          <w:sz w:val="34"/>
          <w:szCs w:val="34"/>
          <w:rtl/>
          <w:lang w:bidi="ar-EG"/>
        </w:rPr>
        <w:t>عززها المعيار</w:t>
      </w:r>
      <w:r w:rsidR="00294474">
        <w:rPr>
          <w:rFonts w:ascii="Arabic Typesetting" w:eastAsia="Arial" w:hAnsi="Arabic Typesetting" w:cs="Arabic Typesetting" w:hint="cs"/>
          <w:color w:val="000000"/>
          <w:sz w:val="34"/>
          <w:szCs w:val="34"/>
          <w:rtl/>
          <w:lang w:bidi="ar-EG"/>
        </w:rPr>
        <w:t xml:space="preserve"> </w:t>
      </w:r>
      <w:r w:rsidRPr="00B31868">
        <w:rPr>
          <w:rFonts w:ascii="Arabic Typesetting" w:eastAsia="Arial" w:hAnsi="Arabic Typesetting" w:cs="Arabic Typesetting"/>
          <w:color w:val="000000"/>
          <w:sz w:val="34"/>
          <w:szCs w:val="34"/>
          <w:lang w:bidi="ar-EG"/>
        </w:rPr>
        <w:t>ISO 27001</w:t>
      </w:r>
      <w:r w:rsidRPr="00B31868">
        <w:rPr>
          <w:rFonts w:ascii="Arabic Typesetting" w:eastAsia="Arial" w:hAnsi="Arabic Typesetting" w:cs="Arabic Typesetting"/>
          <w:color w:val="000000"/>
          <w:sz w:val="34"/>
          <w:szCs w:val="34"/>
          <w:rtl/>
          <w:lang w:bidi="ar-EG"/>
        </w:rPr>
        <w:t xml:space="preserve">، </w:t>
      </w:r>
      <w:r w:rsidR="00294474">
        <w:rPr>
          <w:rFonts w:ascii="Arabic Typesetting" w:eastAsia="Arial" w:hAnsi="Arabic Typesetting" w:cs="Arabic Typesetting" w:hint="cs"/>
          <w:color w:val="000000"/>
          <w:sz w:val="34"/>
          <w:szCs w:val="34"/>
          <w:rtl/>
          <w:lang w:bidi="ar-EG"/>
        </w:rPr>
        <w:t>خضع نظام</w:t>
      </w:r>
      <w:r w:rsidR="00294474" w:rsidRPr="00B31868">
        <w:rPr>
          <w:rFonts w:ascii="Arabic Typesetting" w:eastAsia="Arial" w:hAnsi="Arabic Typesetting" w:cs="Arabic Typesetting" w:hint="cs"/>
          <w:color w:val="000000"/>
          <w:sz w:val="34"/>
          <w:szCs w:val="34"/>
          <w:rtl/>
          <w:lang w:bidi="ar-EG"/>
        </w:rPr>
        <w:t xml:space="preserve"> </w:t>
      </w:r>
      <w:r w:rsidRPr="00B31868">
        <w:rPr>
          <w:rFonts w:ascii="Arabic Typesetting" w:eastAsia="Arial" w:hAnsi="Arabic Typesetting" w:cs="Arabic Typesetting"/>
          <w:color w:val="000000"/>
          <w:sz w:val="34"/>
          <w:szCs w:val="34"/>
          <w:rtl/>
          <w:lang w:bidi="ar-EG"/>
        </w:rPr>
        <w:t xml:space="preserve">معاهدة التعاون بشأن البراءات </w:t>
      </w:r>
      <w:r w:rsidR="00294474">
        <w:rPr>
          <w:rFonts w:ascii="Arabic Typesetting" w:eastAsia="Arial" w:hAnsi="Arabic Typesetting" w:cs="Arabic Typesetting" w:hint="cs"/>
          <w:color w:val="000000"/>
          <w:sz w:val="34"/>
          <w:szCs w:val="34"/>
          <w:rtl/>
          <w:lang w:bidi="ar-EG"/>
        </w:rPr>
        <w:t xml:space="preserve">في أكتوبر 2014 للمرحلة الثانية من التدقيق الخارجي للحصول على </w:t>
      </w:r>
      <w:r w:rsidRPr="00B31868">
        <w:rPr>
          <w:rFonts w:ascii="Arabic Typesetting" w:eastAsia="Arial" w:hAnsi="Arabic Typesetting" w:cs="Arabic Typesetting"/>
          <w:color w:val="000000"/>
          <w:sz w:val="34"/>
          <w:szCs w:val="34"/>
          <w:rtl/>
          <w:lang w:bidi="ar-EG"/>
        </w:rPr>
        <w:t>شهادة نسخة</w:t>
      </w:r>
      <w:r w:rsidRPr="00B31868">
        <w:rPr>
          <w:rFonts w:ascii="Arabic Typesetting" w:eastAsia="Arial" w:hAnsi="Arabic Typesetting" w:cs="Arabic Typesetting" w:hint="cs"/>
          <w:color w:val="000000"/>
          <w:sz w:val="34"/>
          <w:szCs w:val="34"/>
          <w:rtl/>
          <w:lang w:bidi="ar-EG"/>
        </w:rPr>
        <w:t xml:space="preserve"> </w:t>
      </w:r>
      <w:r w:rsidRPr="00B31868">
        <w:rPr>
          <w:rFonts w:ascii="Arabic Typesetting" w:eastAsia="Arial" w:hAnsi="Arabic Typesetting" w:cs="Arabic Typesetting"/>
          <w:color w:val="000000"/>
          <w:sz w:val="34"/>
          <w:szCs w:val="34"/>
          <w:rtl/>
          <w:lang w:bidi="ar-EG"/>
        </w:rPr>
        <w:t xml:space="preserve">2013 </w:t>
      </w:r>
      <w:r w:rsidRPr="00B31868">
        <w:rPr>
          <w:rFonts w:ascii="Arabic Typesetting" w:eastAsia="Arial" w:hAnsi="Arabic Typesetting" w:cs="Arabic Typesetting" w:hint="cs"/>
          <w:color w:val="000000"/>
          <w:sz w:val="34"/>
          <w:szCs w:val="34"/>
          <w:rtl/>
          <w:lang w:bidi="ar-EG"/>
        </w:rPr>
        <w:t>المحدثة ل</w:t>
      </w:r>
      <w:r w:rsidRPr="00B31868">
        <w:rPr>
          <w:rFonts w:ascii="Arabic Typesetting" w:eastAsia="Arial" w:hAnsi="Arabic Typesetting" w:cs="Arabic Typesetting"/>
          <w:color w:val="000000"/>
          <w:sz w:val="34"/>
          <w:szCs w:val="34"/>
          <w:rtl/>
          <w:lang w:bidi="ar-EG"/>
        </w:rPr>
        <w:t>لمعيار</w:t>
      </w:r>
      <w:r w:rsidRPr="00B31868">
        <w:rPr>
          <w:rFonts w:ascii="Arabic Typesetting" w:eastAsia="Arial" w:hAnsi="Arabic Typesetting" w:cs="Arabic Typesetting" w:hint="cs"/>
          <w:color w:val="000000"/>
          <w:sz w:val="34"/>
          <w:szCs w:val="34"/>
          <w:rtl/>
          <w:lang w:bidi="ar-EG"/>
        </w:rPr>
        <w:t xml:space="preserve"> </w:t>
      </w:r>
      <w:r w:rsidRPr="00B31868">
        <w:rPr>
          <w:rFonts w:ascii="Arabic Typesetting" w:eastAsia="Arial" w:hAnsi="Arabic Typesetting" w:cs="Arabic Typesetting"/>
          <w:color w:val="000000"/>
          <w:sz w:val="34"/>
          <w:szCs w:val="34"/>
          <w:lang w:bidi="ar-EG"/>
        </w:rPr>
        <w:t>(ISO 27001: 2013)</w:t>
      </w:r>
      <w:r w:rsidR="00621553">
        <w:rPr>
          <w:rFonts w:ascii="Arabic Typesetting" w:eastAsia="Arial" w:hAnsi="Arabic Typesetting" w:cs="Arabic Typesetting" w:hint="cs"/>
          <w:color w:val="000000"/>
          <w:sz w:val="34"/>
          <w:szCs w:val="34"/>
          <w:rtl/>
          <w:lang w:bidi="ar-EG"/>
        </w:rPr>
        <w:t xml:space="preserve"> انتقالاً من نسخة 2005. وفي أكتوبر 2015، وس</w:t>
      </w:r>
      <w:r w:rsidR="00650B8D">
        <w:rPr>
          <w:rFonts w:ascii="Arabic Typesetting" w:eastAsia="Arial" w:hAnsi="Arabic Typesetting" w:cs="Arabic Typesetting" w:hint="cs"/>
          <w:color w:val="000000"/>
          <w:sz w:val="34"/>
          <w:szCs w:val="34"/>
          <w:rtl/>
          <w:lang w:bidi="ar-EG"/>
        </w:rPr>
        <w:t>ِّ</w:t>
      </w:r>
      <w:r w:rsidR="00621553">
        <w:rPr>
          <w:rFonts w:ascii="Arabic Typesetting" w:eastAsia="Arial" w:hAnsi="Arabic Typesetting" w:cs="Arabic Typesetting" w:hint="cs"/>
          <w:color w:val="000000"/>
          <w:sz w:val="34"/>
          <w:szCs w:val="34"/>
          <w:rtl/>
          <w:lang w:bidi="ar-EG"/>
        </w:rPr>
        <w:t xml:space="preserve">ع نطاق الشهادة ليشمل عمليات مدريد ولاهاي كليهما إضافة إلى معاهدة البراءات. </w:t>
      </w:r>
      <w:r w:rsidR="00621553" w:rsidRPr="00621553">
        <w:rPr>
          <w:rFonts w:ascii="Arabic Typesetting" w:eastAsia="Arial" w:hAnsi="Arabic Typesetting" w:cs="Arabic Typesetting"/>
          <w:color w:val="000000"/>
          <w:sz w:val="34"/>
          <w:szCs w:val="34"/>
          <w:rtl/>
          <w:lang w:bidi="ar-EG"/>
        </w:rPr>
        <w:t xml:space="preserve">ولم </w:t>
      </w:r>
      <w:r w:rsidR="00621553">
        <w:rPr>
          <w:rFonts w:ascii="Arabic Typesetting" w:eastAsia="Arial" w:hAnsi="Arabic Typesetting" w:cs="Arabic Typesetting" w:hint="cs"/>
          <w:color w:val="000000"/>
          <w:sz w:val="34"/>
          <w:szCs w:val="34"/>
          <w:rtl/>
          <w:lang w:bidi="ar-EG"/>
        </w:rPr>
        <w:t>ترصد</w:t>
      </w:r>
      <w:r w:rsidR="00621553" w:rsidRPr="00621553">
        <w:rPr>
          <w:rFonts w:ascii="Arabic Typesetting" w:eastAsia="Arial" w:hAnsi="Arabic Typesetting" w:cs="Arabic Typesetting"/>
          <w:color w:val="000000"/>
          <w:sz w:val="34"/>
          <w:szCs w:val="34"/>
          <w:rtl/>
          <w:lang w:bidi="ar-EG"/>
        </w:rPr>
        <w:t xml:space="preserve"> أي أوجه رئيسية أو ثانوية لعدم الامتثال</w:t>
      </w:r>
      <w:r w:rsidR="00621553">
        <w:rPr>
          <w:rFonts w:ascii="Arabic Typesetting" w:eastAsia="Arial" w:hAnsi="Arabic Typesetting" w:cs="Arabic Typesetting" w:hint="cs"/>
          <w:color w:val="000000"/>
          <w:sz w:val="34"/>
          <w:szCs w:val="34"/>
          <w:rtl/>
          <w:lang w:bidi="ar-EG"/>
        </w:rPr>
        <w:t>.</w:t>
      </w:r>
    </w:p>
    <w:p w:rsidR="00621553" w:rsidRDefault="00621553"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Pr>
          <w:rFonts w:ascii="Arabic Typesetting" w:eastAsia="Arial" w:hAnsi="Arabic Typesetting" w:cs="Arabic Typesetting" w:hint="cs"/>
          <w:color w:val="000000"/>
          <w:sz w:val="34"/>
          <w:szCs w:val="34"/>
          <w:rtl/>
          <w:lang w:bidi="ar-EG"/>
        </w:rPr>
        <w:t>وعقب إعادة الهيكلة التنظيمية</w:t>
      </w:r>
      <w:r w:rsidR="00925848">
        <w:rPr>
          <w:rFonts w:ascii="Arabic Typesetting" w:eastAsia="Arial" w:hAnsi="Arabic Typesetting" w:cs="Arabic Typesetting" w:hint="cs"/>
          <w:color w:val="000000"/>
          <w:sz w:val="34"/>
          <w:szCs w:val="34"/>
          <w:rtl/>
          <w:lang w:bidi="ar-EG"/>
        </w:rPr>
        <w:t xml:space="preserve"> التي أفضت إلى إنشاء شعبة جديدة هي </w:t>
      </w:r>
      <w:r w:rsidR="00925848" w:rsidRPr="00925848">
        <w:rPr>
          <w:rFonts w:ascii="Arabic Typesetting" w:eastAsia="Arial" w:hAnsi="Arabic Typesetting" w:cs="Arabic Typesetting"/>
          <w:color w:val="000000"/>
          <w:sz w:val="34"/>
          <w:szCs w:val="34"/>
          <w:rtl/>
          <w:lang w:bidi="ar-EG"/>
        </w:rPr>
        <w:t>‏شعبة الأمن وتأمين المعلومات</w:t>
      </w:r>
      <w:r>
        <w:rPr>
          <w:rFonts w:ascii="Arabic Typesetting" w:eastAsia="Arial" w:hAnsi="Arabic Typesetting" w:cs="Arabic Typesetting" w:hint="cs"/>
          <w:color w:val="000000"/>
          <w:sz w:val="34"/>
          <w:szCs w:val="34"/>
          <w:rtl/>
          <w:lang w:bidi="ar-EG"/>
        </w:rPr>
        <w:t xml:space="preserve">، وضعت استراتيجيات تأمين المعلومات في عام 2015 ووفق عليها بغية ضمان توفير حلول عالية الجودة وآمنة للدول الأعضاء </w:t>
      </w:r>
      <w:r w:rsidR="009F5F08">
        <w:rPr>
          <w:rFonts w:ascii="Arabic Typesetting" w:eastAsia="Arial" w:hAnsi="Arabic Typesetting" w:cs="Arabic Typesetting" w:hint="cs"/>
          <w:color w:val="000000"/>
          <w:sz w:val="34"/>
          <w:szCs w:val="34"/>
          <w:rtl/>
          <w:lang w:bidi="ar-EG"/>
        </w:rPr>
        <w:t>والزبائن</w:t>
      </w:r>
      <w:r>
        <w:rPr>
          <w:rFonts w:ascii="Arabic Typesetting" w:eastAsia="Arial" w:hAnsi="Arabic Typesetting" w:cs="Arabic Typesetting" w:hint="cs"/>
          <w:color w:val="000000"/>
          <w:sz w:val="34"/>
          <w:szCs w:val="34"/>
          <w:rtl/>
          <w:lang w:bidi="ar-EG"/>
        </w:rPr>
        <w:t>.</w:t>
      </w:r>
    </w:p>
    <w:p w:rsidR="00621553" w:rsidRDefault="00621553"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Pr>
          <w:rFonts w:ascii="Arabic Typesetting" w:eastAsia="Arial" w:hAnsi="Arabic Typesetting" w:cs="Arabic Typesetting" w:hint="cs"/>
          <w:color w:val="000000"/>
          <w:sz w:val="34"/>
          <w:szCs w:val="34"/>
          <w:rtl/>
          <w:lang w:bidi="ar-EG"/>
        </w:rPr>
        <w:t xml:space="preserve">وفضلاً عن ذلك، اتخذت تدابير رئيسية لتحسين قدرات التأمين التقنية في مجالات إدارة الحسابات ذات الامتيازات وإدارة الأحداث والمعلومات الأمنية ورصد مؤشرات الخطر والإنذار بها والاستجابة للأحداث واحتوائها. واستُكمل في عام 2014 </w:t>
      </w:r>
      <w:r w:rsidRPr="00B31868">
        <w:rPr>
          <w:rFonts w:ascii="Arabic Typesetting" w:eastAsia="Arial" w:hAnsi="Arabic Typesetting" w:cs="Arabic Typesetting" w:hint="cs"/>
          <w:color w:val="000000"/>
          <w:sz w:val="34"/>
          <w:szCs w:val="34"/>
          <w:rtl/>
          <w:lang w:bidi="ar-EG"/>
        </w:rPr>
        <w:t>م</w:t>
      </w:r>
      <w:r w:rsidRPr="00B31868">
        <w:rPr>
          <w:rFonts w:ascii="Arabic Typesetting" w:eastAsia="Arial" w:hAnsi="Arabic Typesetting" w:cs="Arabic Typesetting"/>
          <w:color w:val="000000"/>
          <w:sz w:val="34"/>
          <w:szCs w:val="34"/>
          <w:rtl/>
          <w:lang w:bidi="ar-EG"/>
        </w:rPr>
        <w:t xml:space="preserve">شروع </w:t>
      </w:r>
      <w:r w:rsidRPr="00B31868">
        <w:rPr>
          <w:rFonts w:ascii="Arabic Typesetting" w:eastAsia="Arial" w:hAnsi="Arabic Typesetting" w:cs="Arabic Typesetting" w:hint="cs"/>
          <w:color w:val="000000"/>
          <w:sz w:val="34"/>
          <w:szCs w:val="34"/>
          <w:rtl/>
          <w:lang w:bidi="ar-EG"/>
        </w:rPr>
        <w:t>ا</w:t>
      </w:r>
      <w:r w:rsidRPr="00B31868">
        <w:rPr>
          <w:rFonts w:ascii="Arabic Typesetting" w:eastAsia="Arial" w:hAnsi="Arabic Typesetting" w:cs="Arabic Typesetting"/>
          <w:color w:val="000000"/>
          <w:sz w:val="34"/>
          <w:szCs w:val="34"/>
          <w:rtl/>
          <w:lang w:bidi="ar-EG"/>
        </w:rPr>
        <w:t xml:space="preserve">لتنفيذ الكامل </w:t>
      </w:r>
      <w:r w:rsidRPr="00B31868">
        <w:rPr>
          <w:rFonts w:ascii="Arabic Typesetting" w:eastAsia="Arial" w:hAnsi="Arabic Typesetting" w:cs="Arabic Typesetting" w:hint="cs"/>
          <w:color w:val="000000"/>
          <w:sz w:val="34"/>
          <w:szCs w:val="34"/>
          <w:rtl/>
          <w:lang w:bidi="ar-EG"/>
        </w:rPr>
        <w:t xml:space="preserve">لنظام شركة </w:t>
      </w:r>
      <w:proofErr w:type="spellStart"/>
      <w:r w:rsidRPr="00B31868">
        <w:rPr>
          <w:rFonts w:ascii="Arabic Typesetting" w:eastAsia="Arial" w:hAnsi="Arabic Typesetting" w:cs="Arabic Typesetting"/>
          <w:color w:val="000000"/>
          <w:sz w:val="34"/>
          <w:szCs w:val="34"/>
          <w:lang w:bidi="ar-EG"/>
        </w:rPr>
        <w:t>ArcSight</w:t>
      </w:r>
      <w:proofErr w:type="spellEnd"/>
      <w:r w:rsidRPr="00B31868">
        <w:rPr>
          <w:rFonts w:ascii="Arabic Typesetting" w:eastAsia="Arial" w:hAnsi="Arabic Typesetting" w:cs="Arabic Typesetting" w:hint="cs"/>
          <w:color w:val="000000"/>
          <w:sz w:val="34"/>
          <w:szCs w:val="34"/>
          <w:rtl/>
          <w:lang w:bidi="ar-EG"/>
        </w:rPr>
        <w:t xml:space="preserve"> بشأن إدارة أمن المعلومات والأحداث</w:t>
      </w:r>
      <w:r w:rsidRPr="00B31868">
        <w:rPr>
          <w:rFonts w:ascii="Arabic Typesetting" w:eastAsia="Arial" w:hAnsi="Arabic Typesetting" w:cs="Arabic Typesetting"/>
          <w:color w:val="000000"/>
          <w:sz w:val="34"/>
          <w:szCs w:val="34"/>
          <w:rtl/>
          <w:lang w:bidi="ar-EG"/>
        </w:rPr>
        <w:t xml:space="preserve"> </w:t>
      </w:r>
      <w:r w:rsidRPr="00B31868">
        <w:rPr>
          <w:rFonts w:ascii="Arabic Typesetting" w:eastAsia="Arial" w:hAnsi="Arabic Typesetting" w:cs="Arabic Typesetting"/>
          <w:color w:val="000000"/>
          <w:sz w:val="34"/>
          <w:szCs w:val="34"/>
          <w:lang w:bidi="ar-EG"/>
        </w:rPr>
        <w:t>(SEIM)</w:t>
      </w:r>
      <w:r w:rsidRPr="00B31868">
        <w:rPr>
          <w:rFonts w:ascii="Arabic Typesetting" w:eastAsia="Arial" w:hAnsi="Arabic Typesetting" w:cs="Arabic Typesetting"/>
          <w:color w:val="000000"/>
          <w:sz w:val="34"/>
          <w:szCs w:val="34"/>
          <w:rtl/>
          <w:lang w:bidi="ar-EG"/>
        </w:rPr>
        <w:t xml:space="preserve">، </w:t>
      </w:r>
      <w:r w:rsidRPr="00B31868">
        <w:rPr>
          <w:rFonts w:ascii="Arabic Typesetting" w:eastAsia="Arial" w:hAnsi="Arabic Typesetting" w:cs="Arabic Typesetting" w:hint="cs"/>
          <w:color w:val="000000"/>
          <w:sz w:val="34"/>
          <w:szCs w:val="34"/>
          <w:rtl/>
          <w:lang w:bidi="ar-EG"/>
        </w:rPr>
        <w:t>مما ي</w:t>
      </w:r>
      <w:r w:rsidRPr="00B31868">
        <w:rPr>
          <w:rFonts w:ascii="Arabic Typesetting" w:eastAsia="Arial" w:hAnsi="Arabic Typesetting" w:cs="Arabic Typesetting"/>
          <w:color w:val="000000"/>
          <w:sz w:val="34"/>
          <w:szCs w:val="34"/>
          <w:rtl/>
          <w:lang w:bidi="ar-EG"/>
        </w:rPr>
        <w:t>وفر مزيد</w:t>
      </w:r>
      <w:r w:rsidRPr="00B31868">
        <w:rPr>
          <w:rFonts w:ascii="Arabic Typesetting" w:eastAsia="Arial" w:hAnsi="Arabic Typesetting" w:cs="Arabic Typesetting" w:hint="cs"/>
          <w:color w:val="000000"/>
          <w:sz w:val="34"/>
          <w:szCs w:val="34"/>
          <w:rtl/>
          <w:lang w:bidi="ar-EG"/>
        </w:rPr>
        <w:t>ا</w:t>
      </w:r>
      <w:r w:rsidRPr="00B31868">
        <w:rPr>
          <w:rFonts w:ascii="Arabic Typesetting" w:eastAsia="Arial" w:hAnsi="Arabic Typesetting" w:cs="Arabic Typesetting"/>
          <w:color w:val="000000"/>
          <w:sz w:val="34"/>
          <w:szCs w:val="34"/>
          <w:rtl/>
          <w:lang w:bidi="ar-EG"/>
        </w:rPr>
        <w:t xml:space="preserve"> من الوضوح </w:t>
      </w:r>
      <w:r w:rsidRPr="00B31868">
        <w:rPr>
          <w:rFonts w:ascii="Arabic Typesetting" w:eastAsia="Arial" w:hAnsi="Arabic Typesetting" w:cs="Arabic Typesetting" w:hint="cs"/>
          <w:color w:val="000000"/>
          <w:sz w:val="34"/>
          <w:szCs w:val="34"/>
          <w:rtl/>
          <w:lang w:bidi="ar-EG"/>
        </w:rPr>
        <w:t>بخصوص</w:t>
      </w:r>
      <w:r w:rsidRPr="00B31868">
        <w:rPr>
          <w:rFonts w:ascii="Arabic Typesetting" w:eastAsia="Arial" w:hAnsi="Arabic Typesetting" w:cs="Arabic Typesetting"/>
          <w:color w:val="000000"/>
          <w:sz w:val="34"/>
          <w:szCs w:val="34"/>
          <w:rtl/>
          <w:lang w:bidi="ar-EG"/>
        </w:rPr>
        <w:t xml:space="preserve"> الأحداث الأمنية المحتملة ضمن شبكة الويبو </w:t>
      </w:r>
      <w:r w:rsidRPr="00B31868">
        <w:rPr>
          <w:rFonts w:ascii="Arabic Typesetting" w:eastAsia="Arial" w:hAnsi="Arabic Typesetting" w:cs="Arabic Typesetting" w:hint="cs"/>
          <w:color w:val="000000"/>
          <w:sz w:val="34"/>
          <w:szCs w:val="34"/>
          <w:rtl/>
          <w:lang w:bidi="ar-EG"/>
        </w:rPr>
        <w:t>و</w:t>
      </w:r>
      <w:r w:rsidRPr="00B31868">
        <w:rPr>
          <w:rFonts w:ascii="Arabic Typesetting" w:eastAsia="Arial" w:hAnsi="Arabic Typesetting" w:cs="Arabic Typesetting"/>
          <w:color w:val="000000"/>
          <w:sz w:val="34"/>
          <w:szCs w:val="34"/>
          <w:rtl/>
          <w:lang w:bidi="ar-EG"/>
        </w:rPr>
        <w:t xml:space="preserve">استجابة أكثر فعالية وكفاءة </w:t>
      </w:r>
      <w:r w:rsidRPr="00B31868">
        <w:rPr>
          <w:rFonts w:ascii="Arabic Typesetting" w:eastAsia="Arial" w:hAnsi="Arabic Typesetting" w:cs="Arabic Typesetting" w:hint="cs"/>
          <w:color w:val="000000"/>
          <w:sz w:val="34"/>
          <w:szCs w:val="34"/>
          <w:rtl/>
          <w:lang w:bidi="ar-EG"/>
        </w:rPr>
        <w:t>ل</w:t>
      </w:r>
      <w:r w:rsidRPr="00B31868">
        <w:rPr>
          <w:rFonts w:ascii="Arabic Typesetting" w:eastAsia="Arial" w:hAnsi="Arabic Typesetting" w:cs="Arabic Typesetting"/>
          <w:color w:val="000000"/>
          <w:sz w:val="34"/>
          <w:szCs w:val="34"/>
          <w:rtl/>
          <w:lang w:bidi="ar-EG"/>
        </w:rPr>
        <w:t>لح</w:t>
      </w:r>
      <w:r w:rsidRPr="00B31868">
        <w:rPr>
          <w:rFonts w:ascii="Arabic Typesetting" w:eastAsia="Arial" w:hAnsi="Arabic Typesetting" w:cs="Arabic Typesetting" w:hint="cs"/>
          <w:color w:val="000000"/>
          <w:sz w:val="34"/>
          <w:szCs w:val="34"/>
          <w:rtl/>
          <w:lang w:bidi="ar-EG"/>
        </w:rPr>
        <w:t>و</w:t>
      </w:r>
      <w:r w:rsidRPr="00B31868">
        <w:rPr>
          <w:rFonts w:ascii="Arabic Typesetting" w:eastAsia="Arial" w:hAnsi="Arabic Typesetting" w:cs="Arabic Typesetting"/>
          <w:color w:val="000000"/>
          <w:sz w:val="34"/>
          <w:szCs w:val="34"/>
          <w:rtl/>
          <w:lang w:bidi="ar-EG"/>
        </w:rPr>
        <w:t>ادث</w:t>
      </w:r>
      <w:r w:rsidRPr="00B31868">
        <w:rPr>
          <w:rFonts w:ascii="Arabic Typesetting" w:eastAsia="Arial" w:hAnsi="Arabic Typesetting" w:cs="Arabic Typesetting"/>
          <w:color w:val="000000"/>
          <w:sz w:val="34"/>
          <w:szCs w:val="34"/>
          <w:lang w:bidi="ar-EG"/>
        </w:rPr>
        <w:t>.</w:t>
      </w:r>
      <w:r>
        <w:rPr>
          <w:rFonts w:ascii="Arabic Typesetting" w:eastAsia="Arial" w:hAnsi="Arabic Typesetting" w:cs="Arabic Typesetting" w:hint="cs"/>
          <w:color w:val="000000"/>
          <w:sz w:val="34"/>
          <w:szCs w:val="34"/>
          <w:rtl/>
          <w:lang w:bidi="ar-EG"/>
        </w:rPr>
        <w:t xml:space="preserve"> وأدى تنفيذ هذه الحلول التقنية وإدماجها إلى تقليص المهلة اللازمة لكشف الهجمات </w:t>
      </w:r>
      <w:proofErr w:type="spellStart"/>
      <w:r>
        <w:rPr>
          <w:rFonts w:ascii="Arabic Typesetting" w:eastAsia="Arial" w:hAnsi="Arabic Typesetting" w:cs="Arabic Typesetting" w:hint="cs"/>
          <w:color w:val="000000"/>
          <w:sz w:val="34"/>
          <w:szCs w:val="34"/>
          <w:rtl/>
          <w:lang w:bidi="ar-EG"/>
        </w:rPr>
        <w:t>السيبرانية</w:t>
      </w:r>
      <w:proofErr w:type="spellEnd"/>
      <w:r>
        <w:rPr>
          <w:rFonts w:ascii="Arabic Typesetting" w:eastAsia="Arial" w:hAnsi="Arabic Typesetting" w:cs="Arabic Typesetting" w:hint="cs"/>
          <w:color w:val="000000"/>
          <w:sz w:val="34"/>
          <w:szCs w:val="34"/>
          <w:rtl/>
          <w:lang w:bidi="ar-EG"/>
        </w:rPr>
        <w:t xml:space="preserve"> أو سلب البيانات المحتملة والتصدي لها. وأسفر ذلك عن تحديد عدد الحوادث الخطيرة بحادث رئيسي واحد كل سنة من الثنائية ولم يؤدي أي من الحادثين إلى فقدان أو سرقة بيانات.</w:t>
      </w:r>
    </w:p>
    <w:p w:rsidR="00621553" w:rsidRDefault="00B31868"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sidRPr="00621553">
        <w:rPr>
          <w:rFonts w:ascii="Arabic Typesetting" w:eastAsia="Arial" w:hAnsi="Arabic Typesetting" w:cs="Arabic Typesetting" w:hint="cs"/>
          <w:color w:val="000000"/>
          <w:sz w:val="34"/>
          <w:szCs w:val="34"/>
          <w:rtl/>
          <w:lang w:bidi="ar-EG"/>
        </w:rPr>
        <w:t>وساهم</w:t>
      </w:r>
      <w:r w:rsidR="00925848">
        <w:rPr>
          <w:rFonts w:ascii="Arabic Typesetting" w:eastAsia="Arial" w:hAnsi="Arabic Typesetting" w:cs="Arabic Typesetting" w:hint="cs"/>
          <w:color w:val="000000"/>
          <w:sz w:val="34"/>
          <w:szCs w:val="34"/>
          <w:rtl/>
          <w:lang w:bidi="ar-EG"/>
        </w:rPr>
        <w:t>ت</w:t>
      </w:r>
      <w:r w:rsidRPr="00621553">
        <w:rPr>
          <w:rFonts w:ascii="Arabic Typesetting" w:eastAsia="Arial" w:hAnsi="Arabic Typesetting" w:cs="Arabic Typesetting" w:hint="cs"/>
          <w:color w:val="000000"/>
          <w:sz w:val="34"/>
          <w:szCs w:val="34"/>
          <w:rtl/>
          <w:lang w:bidi="ar-EG"/>
        </w:rPr>
        <w:t xml:space="preserve"> أيضا </w:t>
      </w:r>
      <w:r w:rsidR="00925848" w:rsidRPr="00925848">
        <w:rPr>
          <w:rFonts w:ascii="Arabic Typesetting" w:eastAsia="Arial" w:hAnsi="Arabic Typesetting" w:cs="Arabic Typesetting"/>
          <w:color w:val="000000"/>
          <w:sz w:val="34"/>
          <w:szCs w:val="34"/>
          <w:rtl/>
          <w:lang w:bidi="ar-EG"/>
        </w:rPr>
        <w:t>‏شعبة الأمن وتأمين المعلومات</w:t>
      </w:r>
      <w:r w:rsidR="00925848">
        <w:rPr>
          <w:rFonts w:ascii="Arabic Typesetting" w:eastAsia="Arial" w:hAnsi="Arabic Typesetting" w:cs="Arabic Typesetting" w:hint="cs"/>
          <w:color w:val="000000"/>
          <w:sz w:val="34"/>
          <w:szCs w:val="34"/>
          <w:rtl/>
          <w:lang w:bidi="ar-EG"/>
        </w:rPr>
        <w:t xml:space="preserve"> </w:t>
      </w:r>
      <w:r w:rsidRPr="00621553">
        <w:rPr>
          <w:rFonts w:ascii="Arabic Typesetting" w:eastAsia="Arial" w:hAnsi="Arabic Typesetting" w:cs="Arabic Typesetting"/>
          <w:color w:val="000000"/>
          <w:sz w:val="34"/>
          <w:szCs w:val="34"/>
          <w:rtl/>
          <w:lang w:bidi="ar-EG"/>
        </w:rPr>
        <w:t>في اختيار</w:t>
      </w:r>
      <w:r w:rsidRPr="00621553">
        <w:rPr>
          <w:rFonts w:ascii="Arabic Typesetting" w:eastAsia="Arial" w:hAnsi="Arabic Typesetting" w:cs="Arabic Typesetting" w:hint="cs"/>
          <w:color w:val="000000"/>
          <w:sz w:val="34"/>
          <w:szCs w:val="34"/>
          <w:rtl/>
          <w:lang w:bidi="ar-EG"/>
        </w:rPr>
        <w:t xml:space="preserve"> نظام</w:t>
      </w:r>
      <w:r w:rsidRPr="00621553">
        <w:rPr>
          <w:rFonts w:ascii="Arabic Typesetting" w:eastAsia="Arial" w:hAnsi="Arabic Typesetting" w:cs="Arabic Typesetting"/>
          <w:color w:val="000000"/>
          <w:sz w:val="34"/>
          <w:szCs w:val="34"/>
          <w:rtl/>
          <w:lang w:bidi="ar-EG"/>
        </w:rPr>
        <w:t xml:space="preserve"> </w:t>
      </w:r>
      <w:r w:rsidRPr="00621553">
        <w:rPr>
          <w:rFonts w:ascii="Arabic Typesetting" w:eastAsia="Arial" w:hAnsi="Arabic Typesetting" w:cs="Arabic Typesetting" w:hint="cs"/>
          <w:color w:val="000000"/>
          <w:sz w:val="34"/>
          <w:szCs w:val="34"/>
          <w:rtl/>
          <w:lang w:bidi="ar-EG"/>
        </w:rPr>
        <w:t>ل</w:t>
      </w:r>
      <w:r w:rsidRPr="00621553">
        <w:rPr>
          <w:rFonts w:ascii="Arabic Typesetting" w:eastAsia="Arial" w:hAnsi="Arabic Typesetting" w:cs="Arabic Typesetting"/>
          <w:color w:val="000000"/>
          <w:sz w:val="34"/>
          <w:szCs w:val="34"/>
          <w:rtl/>
          <w:lang w:bidi="ar-EG"/>
        </w:rPr>
        <w:t>إدارة المخاطر المؤسسية (</w:t>
      </w:r>
      <w:r w:rsidRPr="00621553">
        <w:rPr>
          <w:rFonts w:ascii="Arabic Typesetting" w:eastAsia="Arial" w:hAnsi="Arabic Typesetting" w:cs="Arabic Typesetting"/>
          <w:color w:val="000000"/>
          <w:sz w:val="34"/>
          <w:szCs w:val="34"/>
          <w:lang w:bidi="ar-EG"/>
        </w:rPr>
        <w:t>Acuity Stream</w:t>
      </w:r>
      <w:r w:rsidRPr="00621553">
        <w:rPr>
          <w:rFonts w:ascii="Arabic Typesetting" w:eastAsia="Arial" w:hAnsi="Arabic Typesetting" w:cs="Arabic Typesetting"/>
          <w:color w:val="000000"/>
          <w:sz w:val="34"/>
          <w:szCs w:val="34"/>
          <w:rtl/>
          <w:lang w:bidi="ar-EG"/>
        </w:rPr>
        <w:t>) وتنفيذ</w:t>
      </w:r>
      <w:r w:rsidRPr="00621553">
        <w:rPr>
          <w:rFonts w:ascii="Arabic Typesetting" w:eastAsia="Arial" w:hAnsi="Arabic Typesetting" w:cs="Arabic Typesetting" w:hint="cs"/>
          <w:color w:val="000000"/>
          <w:sz w:val="34"/>
          <w:szCs w:val="34"/>
          <w:rtl/>
          <w:lang w:bidi="ar-EG"/>
        </w:rPr>
        <w:t>ه</w:t>
      </w:r>
      <w:r w:rsidR="00621553">
        <w:rPr>
          <w:rFonts w:ascii="Arabic Typesetting" w:eastAsia="Arial" w:hAnsi="Arabic Typesetting" w:cs="Arabic Typesetting" w:hint="cs"/>
          <w:color w:val="000000"/>
          <w:sz w:val="34"/>
          <w:szCs w:val="34"/>
          <w:rtl/>
          <w:lang w:bidi="ar-EG"/>
        </w:rPr>
        <w:t xml:space="preserve"> في عام</w:t>
      </w:r>
      <w:r w:rsidR="00621553">
        <w:rPr>
          <w:rFonts w:ascii="Arabic Typesetting" w:eastAsia="Arial" w:hAnsi="Arabic Typesetting" w:cs="Arabic Typesetting" w:hint="eastAsia"/>
          <w:color w:val="000000"/>
          <w:sz w:val="34"/>
          <w:szCs w:val="34"/>
          <w:rtl/>
          <w:lang w:bidi="ar-EG"/>
        </w:rPr>
        <w:t> </w:t>
      </w:r>
      <w:r w:rsidR="00621553">
        <w:rPr>
          <w:rFonts w:ascii="Arabic Typesetting" w:eastAsia="Arial" w:hAnsi="Arabic Typesetting" w:cs="Arabic Typesetting" w:hint="cs"/>
          <w:color w:val="000000"/>
          <w:sz w:val="34"/>
          <w:szCs w:val="34"/>
          <w:rtl/>
          <w:lang w:bidi="ar-EG"/>
        </w:rPr>
        <w:t>2014</w:t>
      </w:r>
      <w:r w:rsidRPr="00621553">
        <w:rPr>
          <w:rFonts w:ascii="Arabic Typesetting" w:eastAsia="Arial" w:hAnsi="Arabic Typesetting" w:cs="Arabic Typesetting" w:hint="cs"/>
          <w:color w:val="000000"/>
          <w:sz w:val="34"/>
          <w:szCs w:val="34"/>
          <w:rtl/>
          <w:lang w:bidi="ar-EG"/>
        </w:rPr>
        <w:t xml:space="preserve"> </w:t>
      </w:r>
      <w:r w:rsidRPr="00621553">
        <w:rPr>
          <w:rFonts w:ascii="Arabic Typesetting" w:eastAsia="Arial" w:hAnsi="Arabic Typesetting" w:cs="Arabic Typesetting"/>
          <w:color w:val="000000"/>
          <w:sz w:val="34"/>
          <w:szCs w:val="34"/>
          <w:rtl/>
          <w:lang w:bidi="ar-EG"/>
        </w:rPr>
        <w:t>لتعزيز قدرات إدارة المخاطر المؤسس</w:t>
      </w:r>
      <w:r w:rsidRPr="00621553">
        <w:rPr>
          <w:rFonts w:ascii="Arabic Typesetting" w:eastAsia="Arial" w:hAnsi="Arabic Typesetting" w:cs="Arabic Typesetting" w:hint="cs"/>
          <w:color w:val="000000"/>
          <w:sz w:val="34"/>
          <w:szCs w:val="34"/>
          <w:rtl/>
          <w:lang w:bidi="ar-EG"/>
        </w:rPr>
        <w:t>ي</w:t>
      </w:r>
      <w:r w:rsidRPr="00621553">
        <w:rPr>
          <w:rFonts w:ascii="Arabic Typesetting" w:eastAsia="Arial" w:hAnsi="Arabic Typesetting" w:cs="Arabic Typesetting"/>
          <w:color w:val="000000"/>
          <w:sz w:val="34"/>
          <w:szCs w:val="34"/>
          <w:rtl/>
          <w:lang w:bidi="ar-EG"/>
        </w:rPr>
        <w:t xml:space="preserve">ة داخل </w:t>
      </w:r>
      <w:r w:rsidRPr="00621553">
        <w:rPr>
          <w:rFonts w:ascii="Arabic Typesetting" w:eastAsia="Arial" w:hAnsi="Arabic Typesetting" w:cs="Arabic Typesetting" w:hint="cs"/>
          <w:color w:val="000000"/>
          <w:sz w:val="34"/>
          <w:szCs w:val="34"/>
          <w:rtl/>
          <w:lang w:bidi="ar-EG"/>
        </w:rPr>
        <w:t>الويبو</w:t>
      </w:r>
      <w:r w:rsidRPr="00621553">
        <w:rPr>
          <w:rFonts w:ascii="Arabic Typesetting" w:eastAsia="Arial" w:hAnsi="Arabic Typesetting" w:cs="Arabic Typesetting"/>
          <w:color w:val="000000"/>
          <w:sz w:val="34"/>
          <w:szCs w:val="34"/>
          <w:rtl/>
          <w:lang w:bidi="ar-EG"/>
        </w:rPr>
        <w:t xml:space="preserve">، </w:t>
      </w:r>
      <w:r w:rsidRPr="00621553">
        <w:rPr>
          <w:rFonts w:ascii="Arabic Typesetting" w:eastAsia="Arial" w:hAnsi="Arabic Typesetting" w:cs="Arabic Typesetting" w:hint="cs"/>
          <w:color w:val="000000"/>
          <w:sz w:val="34"/>
          <w:szCs w:val="34"/>
          <w:rtl/>
          <w:lang w:bidi="ar-EG"/>
        </w:rPr>
        <w:t>وإدماج</w:t>
      </w:r>
      <w:r w:rsidRPr="00621553">
        <w:rPr>
          <w:rFonts w:ascii="Arabic Typesetting" w:eastAsia="Arial" w:hAnsi="Arabic Typesetting" w:cs="Arabic Typesetting"/>
          <w:color w:val="000000"/>
          <w:sz w:val="34"/>
          <w:szCs w:val="34"/>
          <w:rtl/>
          <w:lang w:bidi="ar-EG"/>
        </w:rPr>
        <w:t xml:space="preserve"> تام لعمليات إدارة المخاطر </w:t>
      </w:r>
      <w:r w:rsidRPr="00621553">
        <w:rPr>
          <w:rFonts w:ascii="Arabic Typesetting" w:eastAsia="Arial" w:hAnsi="Arabic Typesetting" w:cs="Arabic Typesetting" w:hint="cs"/>
          <w:color w:val="000000"/>
          <w:sz w:val="34"/>
          <w:szCs w:val="34"/>
          <w:rtl/>
          <w:lang w:bidi="ar-EG"/>
        </w:rPr>
        <w:t xml:space="preserve">القائمة على معايير </w:t>
      </w:r>
      <w:r w:rsidRPr="00621553">
        <w:rPr>
          <w:rFonts w:ascii="Arabic Typesetting" w:eastAsia="Arial" w:hAnsi="Arabic Typesetting" w:cs="Arabic Typesetting"/>
          <w:color w:val="000000"/>
          <w:sz w:val="34"/>
          <w:szCs w:val="34"/>
          <w:rtl/>
          <w:lang w:bidi="ar-EG"/>
        </w:rPr>
        <w:t xml:space="preserve">منظمة توحيد المقاييس </w:t>
      </w:r>
      <w:r w:rsidRPr="00621553">
        <w:rPr>
          <w:rFonts w:ascii="Arabic Typesetting" w:eastAsia="Arial" w:hAnsi="Arabic Typesetting" w:cs="Arabic Typesetting" w:hint="cs"/>
          <w:color w:val="000000"/>
          <w:sz w:val="34"/>
          <w:szCs w:val="34"/>
          <w:rtl/>
          <w:lang w:bidi="ar-EG"/>
        </w:rPr>
        <w:t>ضمن</w:t>
      </w:r>
      <w:r w:rsidRPr="00621553">
        <w:rPr>
          <w:rFonts w:ascii="Arabic Typesetting" w:eastAsia="Arial" w:hAnsi="Arabic Typesetting" w:cs="Arabic Typesetting"/>
          <w:color w:val="000000"/>
          <w:sz w:val="34"/>
          <w:szCs w:val="34"/>
          <w:rtl/>
          <w:lang w:bidi="ar-EG"/>
        </w:rPr>
        <w:t xml:space="preserve"> نه</w:t>
      </w:r>
      <w:r w:rsidR="00621553">
        <w:rPr>
          <w:rFonts w:ascii="Arabic Typesetting" w:eastAsia="Arial" w:hAnsi="Arabic Typesetting" w:cs="Arabic Typesetting" w:hint="cs"/>
          <w:color w:val="000000"/>
          <w:sz w:val="34"/>
          <w:szCs w:val="34"/>
          <w:rtl/>
          <w:lang w:bidi="ar-EG"/>
        </w:rPr>
        <w:t>و</w:t>
      </w:r>
      <w:r w:rsidRPr="00621553">
        <w:rPr>
          <w:rFonts w:ascii="Arabic Typesetting" w:eastAsia="Arial" w:hAnsi="Arabic Typesetting" w:cs="Arabic Typesetting"/>
          <w:color w:val="000000"/>
          <w:sz w:val="34"/>
          <w:szCs w:val="34"/>
          <w:rtl/>
          <w:lang w:bidi="ar-EG"/>
        </w:rPr>
        <w:t xml:space="preserve">ج </w:t>
      </w:r>
      <w:r w:rsidRPr="00621553">
        <w:rPr>
          <w:rFonts w:ascii="Arabic Typesetting" w:eastAsia="Arial" w:hAnsi="Arabic Typesetting" w:cs="Arabic Typesetting" w:hint="cs"/>
          <w:color w:val="000000"/>
          <w:sz w:val="34"/>
          <w:szCs w:val="34"/>
          <w:rtl/>
          <w:lang w:bidi="ar-EG"/>
        </w:rPr>
        <w:t xml:space="preserve">المنظمة بشأن </w:t>
      </w:r>
      <w:r w:rsidRPr="00621553">
        <w:rPr>
          <w:rFonts w:ascii="Arabic Typesetting" w:eastAsia="Arial" w:hAnsi="Arabic Typesetting" w:cs="Arabic Typesetting"/>
          <w:color w:val="000000"/>
          <w:sz w:val="34"/>
          <w:szCs w:val="34"/>
          <w:rtl/>
          <w:lang w:bidi="ar-EG"/>
        </w:rPr>
        <w:t xml:space="preserve">إدارة المخاطر. </w:t>
      </w:r>
      <w:r w:rsidRPr="00621553">
        <w:rPr>
          <w:rFonts w:ascii="Arabic Typesetting" w:eastAsia="Arial" w:hAnsi="Arabic Typesetting" w:cs="Arabic Typesetting" w:hint="cs"/>
          <w:color w:val="000000"/>
          <w:sz w:val="34"/>
          <w:szCs w:val="34"/>
          <w:rtl/>
          <w:lang w:bidi="ar-EG"/>
        </w:rPr>
        <w:t>وحُسّن</w:t>
      </w:r>
      <w:r w:rsidR="00621553">
        <w:rPr>
          <w:rFonts w:ascii="Arabic Typesetting" w:eastAsia="Arial" w:hAnsi="Arabic Typesetting" w:cs="Arabic Typesetting" w:hint="cs"/>
          <w:color w:val="000000"/>
          <w:sz w:val="34"/>
          <w:szCs w:val="34"/>
          <w:rtl/>
          <w:lang w:bidi="ar-EG"/>
        </w:rPr>
        <w:t xml:space="preserve"> نظام إدارة المخاطر المؤسسية (</w:t>
      </w:r>
      <w:r w:rsidR="00621553">
        <w:rPr>
          <w:rFonts w:ascii="Arabic Typesetting" w:eastAsia="Arial" w:hAnsi="Arabic Typesetting" w:cs="Arabic Typesetting"/>
          <w:color w:val="000000"/>
          <w:sz w:val="34"/>
          <w:szCs w:val="34"/>
          <w:lang w:bidi="ar-EG"/>
        </w:rPr>
        <w:t>Acuity Stream</w:t>
      </w:r>
      <w:r w:rsidR="00621553">
        <w:rPr>
          <w:rFonts w:ascii="Arabic Typesetting" w:eastAsia="Arial" w:hAnsi="Arabic Typesetting" w:cs="Arabic Typesetting" w:hint="cs"/>
          <w:color w:val="000000"/>
          <w:sz w:val="34"/>
          <w:szCs w:val="34"/>
          <w:rtl/>
        </w:rPr>
        <w:t xml:space="preserve">) ليشمل إدارة مخاطر المعلومات القائمة على معايير منظمة توحيد المقاييس بوصفها جزءاً من توسيع نطاق شهادة المعيار </w:t>
      </w:r>
      <w:r w:rsidR="00621553">
        <w:rPr>
          <w:rFonts w:ascii="Arabic Typesetting" w:eastAsia="Arial" w:hAnsi="Arabic Typesetting" w:cs="Arabic Typesetting"/>
          <w:color w:val="000000"/>
          <w:sz w:val="34"/>
          <w:szCs w:val="34"/>
        </w:rPr>
        <w:t>ISO 27001</w:t>
      </w:r>
      <w:r w:rsidR="00621553">
        <w:rPr>
          <w:rFonts w:ascii="Arabic Typesetting" w:eastAsia="Arial" w:hAnsi="Arabic Typesetting" w:cs="Arabic Typesetting" w:hint="cs"/>
          <w:color w:val="000000"/>
          <w:sz w:val="34"/>
          <w:szCs w:val="34"/>
          <w:rtl/>
        </w:rPr>
        <w:t>.</w:t>
      </w:r>
    </w:p>
    <w:p w:rsidR="00621553" w:rsidRDefault="00621553"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Pr>
          <w:rFonts w:ascii="Arabic Typesetting" w:eastAsia="Arial" w:hAnsi="Arabic Typesetting" w:cs="Arabic Typesetting" w:hint="cs"/>
          <w:color w:val="000000"/>
          <w:sz w:val="34"/>
          <w:szCs w:val="34"/>
          <w:rtl/>
          <w:lang w:bidi="ar-EG"/>
        </w:rPr>
        <w:t xml:space="preserve">واستمرت محاكاة حملات </w:t>
      </w:r>
      <w:proofErr w:type="spellStart"/>
      <w:r w:rsidR="00650B8D">
        <w:rPr>
          <w:rFonts w:ascii="Arabic Typesetting" w:eastAsia="Arial" w:hAnsi="Arabic Typesetting" w:cs="Arabic Typesetting" w:hint="cs"/>
          <w:color w:val="000000"/>
          <w:sz w:val="34"/>
          <w:szCs w:val="34"/>
          <w:rtl/>
          <w:lang w:bidi="ar-EG"/>
        </w:rPr>
        <w:t>التصيد</w:t>
      </w:r>
      <w:proofErr w:type="spellEnd"/>
      <w:r w:rsidR="00650B8D">
        <w:rPr>
          <w:rFonts w:ascii="Arabic Typesetting" w:eastAsia="Arial" w:hAnsi="Arabic Typesetting" w:cs="Arabic Typesetting" w:hint="cs"/>
          <w:color w:val="000000"/>
          <w:sz w:val="34"/>
          <w:szCs w:val="34"/>
          <w:rtl/>
          <w:lang w:bidi="ar-EG"/>
        </w:rPr>
        <w:t xml:space="preserve"> الانتحالي</w:t>
      </w:r>
      <w:r>
        <w:rPr>
          <w:rFonts w:ascii="Arabic Typesetting" w:eastAsia="Arial" w:hAnsi="Arabic Typesetting" w:cs="Arabic Typesetting" w:hint="cs"/>
          <w:color w:val="000000"/>
          <w:sz w:val="34"/>
          <w:szCs w:val="34"/>
          <w:rtl/>
          <w:lang w:bidi="ar-EG"/>
        </w:rPr>
        <w:t xml:space="preserve"> التي استُهلت في عام 2014 </w:t>
      </w:r>
      <w:r w:rsidR="00650B8D">
        <w:rPr>
          <w:rFonts w:ascii="Arabic Typesetting" w:eastAsia="Arial" w:hAnsi="Arabic Typesetting" w:cs="Arabic Typesetting" w:hint="cs"/>
          <w:color w:val="000000"/>
          <w:sz w:val="34"/>
          <w:szCs w:val="34"/>
          <w:rtl/>
          <w:lang w:bidi="ar-EG"/>
        </w:rPr>
        <w:t>ل</w:t>
      </w:r>
      <w:r>
        <w:rPr>
          <w:rFonts w:ascii="Arabic Typesetting" w:eastAsia="Arial" w:hAnsi="Arabic Typesetting" w:cs="Arabic Typesetting" w:hint="cs"/>
          <w:color w:val="000000"/>
          <w:sz w:val="34"/>
          <w:szCs w:val="34"/>
          <w:rtl/>
          <w:lang w:bidi="ar-EG"/>
        </w:rPr>
        <w:t xml:space="preserve">توعية المستخدمين بشأن المخاطر التي تهدد أمن المعلومات؛ وتجلى ذلك في الزيادة الكبيرة التي شهدتها بلاغات المستخدمين </w:t>
      </w:r>
      <w:r w:rsidR="00650B8D">
        <w:rPr>
          <w:rFonts w:ascii="Arabic Typesetting" w:eastAsia="Arial" w:hAnsi="Arabic Typesetting" w:cs="Arabic Typesetting" w:hint="cs"/>
          <w:color w:val="000000"/>
          <w:sz w:val="34"/>
          <w:szCs w:val="34"/>
          <w:rtl/>
          <w:lang w:bidi="ar-EG"/>
        </w:rPr>
        <w:t xml:space="preserve">عن </w:t>
      </w:r>
      <w:r>
        <w:rPr>
          <w:rFonts w:ascii="Arabic Typesetting" w:eastAsia="Arial" w:hAnsi="Arabic Typesetting" w:cs="Arabic Typesetting" w:hint="cs"/>
          <w:color w:val="000000"/>
          <w:sz w:val="34"/>
          <w:szCs w:val="34"/>
          <w:rtl/>
          <w:lang w:bidi="ar-EG"/>
        </w:rPr>
        <w:t>حالات الانتحال (ارتفاعاً من واحد بالمئة في عام</w:t>
      </w:r>
      <w:r>
        <w:rPr>
          <w:rFonts w:ascii="Arabic Typesetting" w:eastAsia="Arial" w:hAnsi="Arabic Typesetting" w:cs="Arabic Typesetting" w:hint="eastAsia"/>
          <w:color w:val="000000"/>
          <w:sz w:val="34"/>
          <w:szCs w:val="34"/>
          <w:rtl/>
          <w:lang w:bidi="ar-EG"/>
        </w:rPr>
        <w:t> </w:t>
      </w:r>
      <w:r>
        <w:rPr>
          <w:rFonts w:ascii="Arabic Typesetting" w:eastAsia="Arial" w:hAnsi="Arabic Typesetting" w:cs="Arabic Typesetting" w:hint="cs"/>
          <w:color w:val="000000"/>
          <w:sz w:val="34"/>
          <w:szCs w:val="34"/>
          <w:rtl/>
          <w:lang w:bidi="ar-EG"/>
        </w:rPr>
        <w:t xml:space="preserve">2014 إلى 59 بالمئة في عام 2015) فضلاً عن انخفاض </w:t>
      </w:r>
      <w:r w:rsidR="00650B8D">
        <w:rPr>
          <w:rFonts w:ascii="Arabic Typesetting" w:eastAsia="Arial" w:hAnsi="Arabic Typesetting" w:cs="Arabic Typesetting" w:hint="cs"/>
          <w:color w:val="000000"/>
          <w:sz w:val="34"/>
          <w:szCs w:val="34"/>
          <w:rtl/>
          <w:lang w:bidi="ar-EG"/>
        </w:rPr>
        <w:t>قدره</w:t>
      </w:r>
      <w:r>
        <w:rPr>
          <w:rFonts w:ascii="Arabic Typesetting" w:eastAsia="Arial" w:hAnsi="Arabic Typesetting" w:cs="Arabic Typesetting" w:hint="cs"/>
          <w:color w:val="000000"/>
          <w:sz w:val="34"/>
          <w:szCs w:val="34"/>
          <w:rtl/>
          <w:lang w:bidi="ar-EG"/>
        </w:rPr>
        <w:t xml:space="preserve"> 10 بالمئة في</w:t>
      </w:r>
      <w:r w:rsidR="00650B8D">
        <w:rPr>
          <w:rFonts w:ascii="Arabic Typesetting" w:eastAsia="Arial" w:hAnsi="Arabic Typesetting" w:cs="Arabic Typesetting" w:hint="cs"/>
          <w:color w:val="000000"/>
          <w:sz w:val="34"/>
          <w:szCs w:val="34"/>
          <w:rtl/>
          <w:lang w:bidi="ar-EG"/>
        </w:rPr>
        <w:t xml:space="preserve"> عدد</w:t>
      </w:r>
      <w:r>
        <w:rPr>
          <w:rFonts w:ascii="Arabic Typesetting" w:eastAsia="Arial" w:hAnsi="Arabic Typesetting" w:cs="Arabic Typesetting" w:hint="cs"/>
          <w:color w:val="000000"/>
          <w:sz w:val="34"/>
          <w:szCs w:val="34"/>
          <w:rtl/>
          <w:lang w:bidi="ar-EG"/>
        </w:rPr>
        <w:t xml:space="preserve"> المستخدمين الذين </w:t>
      </w:r>
      <w:r w:rsidR="00650B8D">
        <w:rPr>
          <w:rFonts w:ascii="Arabic Typesetting" w:eastAsia="Arial" w:hAnsi="Arabic Typesetting" w:cs="Arabic Typesetting" w:hint="cs"/>
          <w:color w:val="000000"/>
          <w:sz w:val="34"/>
          <w:szCs w:val="34"/>
          <w:rtl/>
          <w:lang w:bidi="ar-EG"/>
        </w:rPr>
        <w:t>وقعوا في حبائل</w:t>
      </w:r>
      <w:r>
        <w:rPr>
          <w:rFonts w:ascii="Arabic Typesetting" w:eastAsia="Arial" w:hAnsi="Arabic Typesetting" w:cs="Arabic Typesetting" w:hint="cs"/>
          <w:color w:val="000000"/>
          <w:sz w:val="34"/>
          <w:szCs w:val="34"/>
          <w:rtl/>
          <w:lang w:bidi="ar-EG"/>
        </w:rPr>
        <w:t xml:space="preserve"> </w:t>
      </w:r>
      <w:proofErr w:type="spellStart"/>
      <w:r w:rsidR="00650B8D">
        <w:rPr>
          <w:rFonts w:ascii="Arabic Typesetting" w:eastAsia="Arial" w:hAnsi="Arabic Typesetting" w:cs="Arabic Typesetting" w:hint="cs"/>
          <w:color w:val="000000"/>
          <w:sz w:val="34"/>
          <w:szCs w:val="34"/>
          <w:rtl/>
          <w:lang w:bidi="ar-EG"/>
        </w:rPr>
        <w:t>التصيّد</w:t>
      </w:r>
      <w:proofErr w:type="spellEnd"/>
      <w:r w:rsidR="00650B8D">
        <w:rPr>
          <w:rFonts w:ascii="Arabic Typesetting" w:eastAsia="Arial" w:hAnsi="Arabic Typesetting" w:cs="Arabic Typesetting" w:hint="cs"/>
          <w:color w:val="000000"/>
          <w:sz w:val="34"/>
          <w:szCs w:val="34"/>
          <w:rtl/>
          <w:lang w:bidi="ar-EG"/>
        </w:rPr>
        <w:t xml:space="preserve"> الانتحالي</w:t>
      </w:r>
      <w:r>
        <w:rPr>
          <w:rFonts w:ascii="Arabic Typesetting" w:eastAsia="Arial" w:hAnsi="Arabic Typesetting" w:cs="Arabic Typesetting" w:hint="cs"/>
          <w:color w:val="000000"/>
          <w:sz w:val="34"/>
          <w:szCs w:val="34"/>
          <w:rtl/>
          <w:lang w:bidi="ar-EG"/>
        </w:rPr>
        <w:t xml:space="preserve"> (من متوسط نسبته 17 بالمئة في عام 2014 إلى 7 بالمئة في عام 2015).</w:t>
      </w:r>
    </w:p>
    <w:p w:rsidR="00B31868" w:rsidRPr="00B31868" w:rsidRDefault="00621553" w:rsidP="009A3712">
      <w:pPr>
        <w:numPr>
          <w:ilvl w:val="0"/>
          <w:numId w:val="12"/>
        </w:numPr>
        <w:tabs>
          <w:tab w:val="clear" w:pos="1040"/>
        </w:tabs>
        <w:bidi/>
        <w:spacing w:after="120" w:line="340" w:lineRule="exact"/>
        <w:ind w:left="0"/>
        <w:jc w:val="both"/>
        <w:rPr>
          <w:rFonts w:ascii="Arabic Typesetting" w:eastAsia="Arial" w:hAnsi="Arabic Typesetting" w:cs="Arabic Typesetting"/>
          <w:color w:val="000000"/>
          <w:sz w:val="34"/>
          <w:szCs w:val="34"/>
          <w:lang w:bidi="ar-EG"/>
        </w:rPr>
      </w:pPr>
      <w:r>
        <w:rPr>
          <w:rFonts w:ascii="Arabic Typesetting" w:eastAsia="Arial" w:hAnsi="Arabic Typesetting" w:cs="Arabic Typesetting" w:hint="cs"/>
          <w:color w:val="000000"/>
          <w:sz w:val="34"/>
          <w:szCs w:val="34"/>
          <w:rtl/>
          <w:lang w:bidi="ar-EG"/>
        </w:rPr>
        <w:t>و</w:t>
      </w:r>
      <w:r w:rsidR="004258F0">
        <w:rPr>
          <w:rFonts w:ascii="Arabic Typesetting" w:eastAsia="Arial" w:hAnsi="Arabic Typesetting" w:cs="Arabic Typesetting" w:hint="cs"/>
          <w:color w:val="000000"/>
          <w:sz w:val="34"/>
          <w:szCs w:val="34"/>
          <w:rtl/>
          <w:lang w:bidi="ar-EG"/>
        </w:rPr>
        <w:t xml:space="preserve">من خلال توفير </w:t>
      </w:r>
      <w:r w:rsidR="004258F0">
        <w:rPr>
          <w:rFonts w:ascii="Arabic Typesetting" w:eastAsia="Arial" w:hAnsi="Arabic Typesetting" w:cs="Arabic Typesetting" w:hint="cs"/>
          <w:color w:val="000000"/>
          <w:sz w:val="34"/>
          <w:szCs w:val="34"/>
          <w:rtl/>
        </w:rPr>
        <w:t>عمليات</w:t>
      </w:r>
      <w:r w:rsidR="004258F0">
        <w:rPr>
          <w:rFonts w:ascii="Arabic Typesetting" w:eastAsia="Arial" w:hAnsi="Arabic Typesetting" w:cs="Arabic Typesetting" w:hint="cs"/>
          <w:color w:val="000000"/>
          <w:sz w:val="34"/>
          <w:szCs w:val="34"/>
          <w:rtl/>
          <w:lang w:bidi="ar-EG"/>
        </w:rPr>
        <w:t xml:space="preserve"> تقييم عالية الجودة للمخاطر والمساعدة على مواجهتها، قدم</w:t>
      </w:r>
      <w:r w:rsidR="00925848">
        <w:rPr>
          <w:rFonts w:ascii="Arabic Typesetting" w:eastAsia="Arial" w:hAnsi="Arabic Typesetting" w:cs="Arabic Typesetting" w:hint="cs"/>
          <w:color w:val="000000"/>
          <w:sz w:val="34"/>
          <w:szCs w:val="34"/>
          <w:rtl/>
          <w:lang w:bidi="ar-EG"/>
        </w:rPr>
        <w:t>ت</w:t>
      </w:r>
      <w:r w:rsidR="004258F0">
        <w:rPr>
          <w:rFonts w:ascii="Arabic Typesetting" w:eastAsia="Arial" w:hAnsi="Arabic Typesetting" w:cs="Arabic Typesetting" w:hint="cs"/>
          <w:color w:val="000000"/>
          <w:sz w:val="34"/>
          <w:szCs w:val="34"/>
          <w:rtl/>
          <w:lang w:bidi="ar-EG"/>
        </w:rPr>
        <w:t xml:space="preserve"> </w:t>
      </w:r>
      <w:r w:rsidR="00925848" w:rsidRPr="00925848">
        <w:rPr>
          <w:rFonts w:ascii="Arabic Typesetting" w:eastAsia="Arial" w:hAnsi="Arabic Typesetting" w:cs="Arabic Typesetting"/>
          <w:color w:val="000000"/>
          <w:sz w:val="34"/>
          <w:szCs w:val="34"/>
          <w:rtl/>
          <w:lang w:bidi="ar-EG"/>
        </w:rPr>
        <w:t>‏شعبة الأمن وتأمين المعلومات</w:t>
      </w:r>
      <w:r w:rsidR="00925848">
        <w:rPr>
          <w:rFonts w:ascii="Arabic Typesetting" w:eastAsia="Arial" w:hAnsi="Arabic Typesetting" w:cs="Arabic Typesetting" w:hint="cs"/>
          <w:color w:val="000000"/>
          <w:sz w:val="34"/>
          <w:szCs w:val="34"/>
          <w:rtl/>
          <w:lang w:bidi="ar-EG"/>
        </w:rPr>
        <w:t xml:space="preserve"> </w:t>
      </w:r>
      <w:r w:rsidR="004258F0">
        <w:rPr>
          <w:rFonts w:ascii="Arabic Typesetting" w:eastAsia="Arial" w:hAnsi="Arabic Typesetting" w:cs="Arabic Typesetting" w:hint="cs"/>
          <w:color w:val="000000"/>
          <w:sz w:val="34"/>
          <w:szCs w:val="34"/>
          <w:rtl/>
          <w:lang w:bidi="ar-EG"/>
        </w:rPr>
        <w:t xml:space="preserve">الدعم أيضاً لعدة مبادرات في قطاع الأعمال مثل الشبكة العالمية للمكاتب وبيئة الويبو للأجهزة المحمولة وحلول التعيين السحابية وبرنامج التوظيف </w:t>
      </w:r>
      <w:proofErr w:type="spellStart"/>
      <w:r w:rsidR="004258F0">
        <w:rPr>
          <w:rFonts w:ascii="Arabic Typesetting" w:eastAsia="Arial" w:hAnsi="Arabic Typesetting" w:cs="Arabic Typesetting"/>
          <w:color w:val="000000"/>
          <w:sz w:val="34"/>
          <w:szCs w:val="34"/>
          <w:lang w:bidi="ar-EG"/>
        </w:rPr>
        <w:t>Taleo</w:t>
      </w:r>
      <w:proofErr w:type="spellEnd"/>
      <w:r w:rsidR="004258F0">
        <w:rPr>
          <w:rFonts w:ascii="Arabic Typesetting" w:eastAsia="Arial" w:hAnsi="Arabic Typesetting" w:cs="Arabic Typesetting" w:hint="cs"/>
          <w:color w:val="000000"/>
          <w:sz w:val="34"/>
          <w:szCs w:val="34"/>
          <w:rtl/>
        </w:rPr>
        <w:t>؛ و</w:t>
      </w:r>
      <w:r w:rsidR="00B31868" w:rsidRPr="004258F0">
        <w:rPr>
          <w:rFonts w:ascii="Arabic Typesetting" w:eastAsia="Arial" w:hAnsi="Arabic Typesetting" w:cs="Arabic Typesetting"/>
          <w:color w:val="000000"/>
          <w:sz w:val="34"/>
          <w:szCs w:val="34"/>
          <w:rtl/>
          <w:lang w:bidi="ar-EG"/>
        </w:rPr>
        <w:t>تعاون</w:t>
      </w:r>
      <w:r w:rsidR="00B31868" w:rsidRPr="004258F0">
        <w:rPr>
          <w:rFonts w:ascii="Arabic Typesetting" w:eastAsia="Arial" w:hAnsi="Arabic Typesetting" w:cs="Arabic Typesetting" w:hint="cs"/>
          <w:color w:val="000000"/>
          <w:sz w:val="34"/>
          <w:szCs w:val="34"/>
          <w:rtl/>
          <w:lang w:bidi="ar-EG"/>
        </w:rPr>
        <w:t xml:space="preserve"> </w:t>
      </w:r>
      <w:r w:rsidR="004258F0" w:rsidRPr="004258F0">
        <w:rPr>
          <w:rFonts w:ascii="Arabic Typesetting" w:eastAsia="Arial" w:hAnsi="Arabic Typesetting" w:cs="Arabic Typesetting" w:hint="cs"/>
          <w:color w:val="000000"/>
          <w:sz w:val="34"/>
          <w:szCs w:val="34"/>
          <w:rtl/>
          <w:lang w:bidi="ar-EG"/>
        </w:rPr>
        <w:t>تعاوناً</w:t>
      </w:r>
      <w:r w:rsidR="00B31868" w:rsidRPr="004258F0">
        <w:rPr>
          <w:rFonts w:ascii="Arabic Typesetting" w:eastAsia="Arial" w:hAnsi="Arabic Typesetting" w:cs="Arabic Typesetting"/>
          <w:color w:val="000000"/>
          <w:sz w:val="34"/>
          <w:szCs w:val="34"/>
          <w:rtl/>
          <w:lang w:bidi="ar-EG"/>
        </w:rPr>
        <w:t xml:space="preserve"> وثيق</w:t>
      </w:r>
      <w:r w:rsidR="004258F0" w:rsidRPr="004258F0">
        <w:rPr>
          <w:rFonts w:ascii="Arabic Typesetting" w:eastAsia="Arial" w:hAnsi="Arabic Typesetting" w:cs="Arabic Typesetting" w:hint="cs"/>
          <w:color w:val="000000"/>
          <w:sz w:val="34"/>
          <w:szCs w:val="34"/>
          <w:rtl/>
          <w:lang w:bidi="ar-EG"/>
        </w:rPr>
        <w:t>اً</w:t>
      </w:r>
      <w:r w:rsidR="00B31868" w:rsidRPr="004258F0">
        <w:rPr>
          <w:rFonts w:ascii="Arabic Typesetting" w:eastAsia="Arial" w:hAnsi="Arabic Typesetting" w:cs="Arabic Typesetting"/>
          <w:color w:val="000000"/>
          <w:sz w:val="34"/>
          <w:szCs w:val="34"/>
          <w:rtl/>
          <w:lang w:bidi="ar-EG"/>
        </w:rPr>
        <w:t xml:space="preserve"> مع فرق تطوير معاهدة البراءات </w:t>
      </w:r>
      <w:r w:rsidR="00B31868" w:rsidRPr="004258F0">
        <w:rPr>
          <w:rFonts w:ascii="Arabic Typesetting" w:eastAsia="Arial" w:hAnsi="Arabic Typesetting" w:cs="Arabic Typesetting" w:hint="cs"/>
          <w:color w:val="000000"/>
          <w:sz w:val="34"/>
          <w:szCs w:val="34"/>
          <w:rtl/>
          <w:lang w:bidi="ar-EG"/>
        </w:rPr>
        <w:t>ل</w:t>
      </w:r>
      <w:r w:rsidR="00B31868" w:rsidRPr="004258F0">
        <w:rPr>
          <w:rFonts w:ascii="Arabic Typesetting" w:eastAsia="Arial" w:hAnsi="Arabic Typesetting" w:cs="Arabic Typesetting"/>
          <w:color w:val="000000"/>
          <w:sz w:val="34"/>
          <w:szCs w:val="34"/>
          <w:rtl/>
          <w:lang w:bidi="ar-EG"/>
        </w:rPr>
        <w:t xml:space="preserve">صياغة وتنفيذ نهج </w:t>
      </w:r>
      <w:r w:rsidR="00B31868" w:rsidRPr="004258F0">
        <w:rPr>
          <w:rFonts w:ascii="Arabic Typesetting" w:eastAsia="Arial" w:hAnsi="Arabic Typesetting" w:cs="Arabic Typesetting" w:hint="cs"/>
          <w:color w:val="000000"/>
          <w:sz w:val="34"/>
          <w:szCs w:val="34"/>
          <w:rtl/>
          <w:lang w:bidi="ar-EG"/>
        </w:rPr>
        <w:t xml:space="preserve">آمن لتطوير التطبيقات على طول </w:t>
      </w:r>
      <w:r w:rsidR="00B31868" w:rsidRPr="004258F0">
        <w:rPr>
          <w:rFonts w:ascii="Arabic Typesetting" w:eastAsia="Arial" w:hAnsi="Arabic Typesetting" w:cs="Arabic Typesetting"/>
          <w:color w:val="000000"/>
          <w:sz w:val="34"/>
          <w:szCs w:val="34"/>
          <w:rtl/>
          <w:lang w:bidi="ar-EG"/>
        </w:rPr>
        <w:t>دورة حيا</w:t>
      </w:r>
      <w:r w:rsidR="00B31868" w:rsidRPr="004258F0">
        <w:rPr>
          <w:rFonts w:ascii="Arabic Typesetting" w:eastAsia="Arial" w:hAnsi="Arabic Typesetting" w:cs="Arabic Typesetting" w:hint="cs"/>
          <w:color w:val="000000"/>
          <w:sz w:val="34"/>
          <w:szCs w:val="34"/>
          <w:rtl/>
          <w:lang w:bidi="ar-EG"/>
        </w:rPr>
        <w:t>تها</w:t>
      </w:r>
      <w:r w:rsidR="00B31868" w:rsidRPr="004258F0">
        <w:rPr>
          <w:rFonts w:ascii="Arabic Typesetting" w:eastAsia="Arial" w:hAnsi="Arabic Typesetting" w:cs="Arabic Typesetting"/>
          <w:color w:val="000000"/>
          <w:sz w:val="34"/>
          <w:szCs w:val="34"/>
          <w:rtl/>
          <w:lang w:bidi="ar-EG"/>
        </w:rPr>
        <w:t xml:space="preserve">، </w:t>
      </w:r>
      <w:r w:rsidR="00B31868" w:rsidRPr="004258F0">
        <w:rPr>
          <w:rFonts w:ascii="Arabic Typesetting" w:eastAsia="Arial" w:hAnsi="Arabic Typesetting" w:cs="Arabic Typesetting" w:hint="cs"/>
          <w:color w:val="000000"/>
          <w:sz w:val="34"/>
          <w:szCs w:val="34"/>
          <w:rtl/>
          <w:lang w:bidi="ar-EG"/>
        </w:rPr>
        <w:t>بما ي</w:t>
      </w:r>
      <w:r w:rsidR="00B31868" w:rsidRPr="004258F0">
        <w:rPr>
          <w:rFonts w:ascii="Arabic Typesetting" w:eastAsia="Arial" w:hAnsi="Arabic Typesetting" w:cs="Arabic Typesetting"/>
          <w:color w:val="000000"/>
          <w:sz w:val="34"/>
          <w:szCs w:val="34"/>
          <w:rtl/>
          <w:lang w:bidi="ar-EG"/>
        </w:rPr>
        <w:t xml:space="preserve">ضمن </w:t>
      </w:r>
      <w:r w:rsidR="00B31868" w:rsidRPr="004258F0">
        <w:rPr>
          <w:rFonts w:ascii="Arabic Typesetting" w:eastAsia="Arial" w:hAnsi="Arabic Typesetting" w:cs="Arabic Typesetting" w:hint="cs"/>
          <w:color w:val="000000"/>
          <w:sz w:val="34"/>
          <w:szCs w:val="34"/>
          <w:rtl/>
          <w:lang w:bidi="ar-EG"/>
        </w:rPr>
        <w:t>معالجة</w:t>
      </w:r>
      <w:r w:rsidR="00B31868" w:rsidRPr="004258F0">
        <w:rPr>
          <w:rFonts w:ascii="Arabic Typesetting" w:eastAsia="Arial" w:hAnsi="Arabic Typesetting" w:cs="Arabic Typesetting"/>
          <w:color w:val="000000"/>
          <w:sz w:val="34"/>
          <w:szCs w:val="34"/>
          <w:rtl/>
          <w:lang w:bidi="ar-EG"/>
        </w:rPr>
        <w:t xml:space="preserve"> متطلبات وضوابط أمن المعلومات من بداية أي مشروع، </w:t>
      </w:r>
      <w:r w:rsidR="00C45BBE">
        <w:rPr>
          <w:rFonts w:ascii="Arabic Typesetting" w:eastAsia="Arial" w:hAnsi="Arabic Typesetting" w:cs="Arabic Typesetting" w:hint="cs"/>
          <w:color w:val="000000"/>
          <w:sz w:val="34"/>
          <w:szCs w:val="34"/>
          <w:rtl/>
          <w:lang w:bidi="ar-EG"/>
        </w:rPr>
        <w:t>من ثم</w:t>
      </w:r>
      <w:r w:rsidR="00C45BBE" w:rsidRPr="004258F0">
        <w:rPr>
          <w:rFonts w:ascii="Arabic Typesetting" w:eastAsia="Arial" w:hAnsi="Arabic Typesetting" w:cs="Arabic Typesetting"/>
          <w:color w:val="000000"/>
          <w:sz w:val="34"/>
          <w:szCs w:val="34"/>
          <w:rtl/>
          <w:lang w:bidi="ar-EG"/>
        </w:rPr>
        <w:t xml:space="preserve"> </w:t>
      </w:r>
      <w:r w:rsidR="00B31868" w:rsidRPr="004258F0">
        <w:rPr>
          <w:rFonts w:ascii="Arabic Typesetting" w:eastAsia="Arial" w:hAnsi="Arabic Typesetting" w:cs="Arabic Typesetting"/>
          <w:color w:val="000000"/>
          <w:sz w:val="34"/>
          <w:szCs w:val="34"/>
          <w:rtl/>
          <w:lang w:bidi="ar-EG"/>
        </w:rPr>
        <w:t>الحد بشكل كبير من كمية</w:t>
      </w:r>
      <w:r w:rsidR="00B31868" w:rsidRPr="004258F0">
        <w:rPr>
          <w:rFonts w:ascii="Arabic Typesetting" w:eastAsia="Arial" w:hAnsi="Arabic Typesetting" w:cs="Arabic Typesetting" w:hint="cs"/>
          <w:color w:val="000000"/>
          <w:sz w:val="34"/>
          <w:szCs w:val="34"/>
          <w:rtl/>
          <w:lang w:bidi="ar-EG"/>
        </w:rPr>
        <w:t xml:space="preserve"> </w:t>
      </w:r>
      <w:r w:rsidR="00B31868" w:rsidRPr="004258F0">
        <w:rPr>
          <w:rFonts w:ascii="Arabic Typesetting" w:eastAsia="Arial" w:hAnsi="Arabic Typesetting" w:cs="Arabic Typesetting"/>
          <w:color w:val="000000"/>
          <w:sz w:val="34"/>
          <w:szCs w:val="34"/>
          <w:rtl/>
          <w:lang w:bidi="ar-EG"/>
        </w:rPr>
        <w:t>العمل المطلوب</w:t>
      </w:r>
      <w:r w:rsidR="00B31868" w:rsidRPr="004258F0">
        <w:rPr>
          <w:rFonts w:ascii="Arabic Typesetting" w:eastAsia="Arial" w:hAnsi="Arabic Typesetting" w:cs="Arabic Typesetting" w:hint="cs"/>
          <w:color w:val="000000"/>
          <w:sz w:val="34"/>
          <w:szCs w:val="34"/>
          <w:rtl/>
          <w:lang w:bidi="ar-EG"/>
        </w:rPr>
        <w:t xml:space="preserve"> إعادته</w:t>
      </w:r>
      <w:r w:rsidR="00B31868" w:rsidRPr="004258F0">
        <w:rPr>
          <w:rFonts w:ascii="Arabic Typesetting" w:eastAsia="Arial" w:hAnsi="Arabic Typesetting" w:cs="Arabic Typesetting"/>
          <w:color w:val="000000"/>
          <w:sz w:val="34"/>
          <w:szCs w:val="34"/>
          <w:rtl/>
          <w:lang w:bidi="ar-EG"/>
        </w:rPr>
        <w:t xml:space="preserve"> </w:t>
      </w:r>
      <w:r w:rsidR="00B31868" w:rsidRPr="004258F0">
        <w:rPr>
          <w:rFonts w:ascii="Arabic Typesetting" w:eastAsia="Arial" w:hAnsi="Arabic Typesetting" w:cs="Arabic Typesetting" w:hint="cs"/>
          <w:color w:val="000000"/>
          <w:sz w:val="34"/>
          <w:szCs w:val="34"/>
          <w:rtl/>
          <w:lang w:bidi="ar-EG"/>
        </w:rPr>
        <w:t>ل</w:t>
      </w:r>
      <w:r w:rsidR="00B31868" w:rsidRPr="004258F0">
        <w:rPr>
          <w:rFonts w:ascii="Arabic Typesetting" w:eastAsia="Arial" w:hAnsi="Arabic Typesetting" w:cs="Arabic Typesetting"/>
          <w:color w:val="000000"/>
          <w:sz w:val="34"/>
          <w:szCs w:val="34"/>
          <w:rtl/>
          <w:lang w:bidi="ar-EG"/>
        </w:rPr>
        <w:t>اختبار أمن التطبيقا</w:t>
      </w:r>
      <w:r w:rsidR="004258F0">
        <w:rPr>
          <w:rFonts w:ascii="Arabic Typesetting" w:eastAsia="Arial" w:hAnsi="Arabic Typesetting" w:cs="Arabic Typesetting" w:hint="cs"/>
          <w:color w:val="000000"/>
          <w:sz w:val="34"/>
          <w:szCs w:val="34"/>
          <w:rtl/>
          <w:lang w:bidi="ar-EG"/>
        </w:rPr>
        <w:t>ت.</w:t>
      </w:r>
    </w:p>
    <w:p w:rsidR="00B31868" w:rsidRPr="00E439F5" w:rsidRDefault="00B31868" w:rsidP="00E439F5">
      <w:pPr>
        <w:keepNext/>
        <w:bidi/>
        <w:spacing w:before="120" w:after="120" w:line="340" w:lineRule="exact"/>
        <w:rPr>
          <w:rFonts w:ascii="Arabic Typesetting" w:hAnsi="Arabic Typesetting" w:cs="Arabic Typesetting"/>
          <w:sz w:val="34"/>
          <w:szCs w:val="34"/>
          <w:rtl/>
          <w:lang w:val="fr-CH"/>
        </w:rPr>
      </w:pPr>
      <w:r w:rsidRPr="00E439F5">
        <w:rPr>
          <w:rFonts w:ascii="Arabic Typesetting" w:hAnsi="Arabic Typesetting" w:cs="Arabic Typesetting" w:hint="cs"/>
          <w:sz w:val="34"/>
          <w:szCs w:val="34"/>
          <w:rtl/>
          <w:lang w:val="fr-CH"/>
        </w:rPr>
        <w:lastRenderedPageBreak/>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85"/>
        <w:gridCol w:w="2126"/>
        <w:gridCol w:w="1699"/>
        <w:gridCol w:w="2697"/>
        <w:gridCol w:w="850"/>
      </w:tblGrid>
      <w:tr w:rsidR="00B31868" w:rsidRPr="00211D55" w:rsidTr="004258F0">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hAnsi="Arabic Typesetting" w:cs="Arabic Typesetting"/>
                <w:b/>
                <w:bCs/>
                <w:color w:val="000000"/>
                <w:sz w:val="28"/>
                <w:szCs w:val="28"/>
                <w:lang w:bidi="ar-EG"/>
              </w:rPr>
            </w:pPr>
            <w:r w:rsidRPr="00211D55">
              <w:rPr>
                <w:rFonts w:ascii="Arabic Typesetting" w:eastAsia="Arial" w:hAnsi="Arabic Typesetting" w:cs="Arabic Typesetting"/>
                <w:b/>
                <w:bCs/>
                <w:color w:val="000000"/>
                <w:sz w:val="28"/>
                <w:szCs w:val="28"/>
                <w:rtl/>
                <w:lang w:bidi="ar-EG"/>
              </w:rPr>
              <w:t>النتيجة المرتقبة:</w:t>
            </w:r>
            <w:r w:rsidR="006E7FC6" w:rsidRPr="00211D55">
              <w:rPr>
                <w:rFonts w:ascii="Arabic Typesetting" w:eastAsia="Arial" w:hAnsi="Arabic Typesetting" w:cs="Arabic Typesetting"/>
                <w:b/>
                <w:color w:val="000000"/>
                <w:sz w:val="28"/>
                <w:szCs w:val="28"/>
                <w:rtl/>
                <w:lang w:bidi="ar-EG"/>
              </w:rPr>
              <w:tab/>
              <w:t>ه</w:t>
            </w:r>
            <w:r w:rsidRPr="00211D55">
              <w:rPr>
                <w:rFonts w:ascii="Arabic Typesetting" w:eastAsia="Arial" w:hAnsi="Arabic Typesetting" w:cs="Arabic Typesetting"/>
                <w:color w:val="000000"/>
                <w:sz w:val="28"/>
                <w:szCs w:val="28"/>
                <w:rtl/>
                <w:lang w:bidi="ar-EG"/>
              </w:rPr>
              <w:t xml:space="preserve">1.9 </w:t>
            </w:r>
            <w:r w:rsidR="003F15BC">
              <w:rPr>
                <w:rFonts w:ascii="Arabic Typesetting" w:hAnsi="Arabic Typesetting" w:cs="Arabic Typesetting"/>
                <w:sz w:val="28"/>
                <w:szCs w:val="28"/>
                <w:rtl/>
                <w:lang w:bidi="ar-EG"/>
              </w:rPr>
              <w:t>خدمات دعم فعالة وناجعة وذات جودة موجهة نحو الزبائن لفائدة الزبائن الداخليين وأصحاب المصالح الخارجيين</w:t>
            </w:r>
          </w:p>
        </w:tc>
      </w:tr>
      <w:tr w:rsidR="00B31868" w:rsidRPr="00211D55" w:rsidTr="009F0E15">
        <w:trPr>
          <w:cantSplit/>
        </w:trPr>
        <w:tc>
          <w:tcPr>
            <w:tcW w:w="1061"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color w:val="000000"/>
                <w:sz w:val="28"/>
                <w:szCs w:val="28"/>
                <w:lang w:bidi="ar-EG"/>
              </w:rPr>
            </w:pPr>
            <w:r w:rsidRPr="00211D55">
              <w:rPr>
                <w:rFonts w:ascii="Arabic Typesetting" w:eastAsia="Arial" w:hAnsi="Arabic Typesetting" w:cs="Arabic Typesetting"/>
                <w:b/>
                <w:bCs/>
                <w:color w:val="000000"/>
                <w:sz w:val="28"/>
                <w:szCs w:val="28"/>
                <w:rtl/>
                <w:lang w:bidi="ar-EG"/>
              </w:rPr>
              <w:t>مؤشرات الأداء</w:t>
            </w:r>
          </w:p>
        </w:tc>
        <w:tc>
          <w:tcPr>
            <w:tcW w:w="1136"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b/>
                <w:bCs/>
                <w:color w:val="000000"/>
                <w:sz w:val="28"/>
                <w:szCs w:val="28"/>
                <w:lang w:bidi="ar-EG"/>
              </w:rPr>
            </w:pPr>
            <w:r w:rsidRPr="00211D55">
              <w:rPr>
                <w:rFonts w:ascii="Arabic Typesetting" w:eastAsia="Arial" w:hAnsi="Arabic Typesetting" w:cs="Arabic Typesetting"/>
                <w:b/>
                <w:bCs/>
                <w:sz w:val="28"/>
                <w:szCs w:val="28"/>
                <w:rtl/>
                <w:lang w:bidi="ar-EG"/>
              </w:rPr>
              <w:t>أسس المقارنة</w:t>
            </w:r>
          </w:p>
        </w:tc>
        <w:tc>
          <w:tcPr>
            <w:tcW w:w="908" w:type="pct"/>
            <w:tcBorders>
              <w:top w:val="single" w:sz="4" w:space="0" w:color="auto"/>
            </w:tcBorders>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color w:val="000000"/>
                <w:sz w:val="28"/>
                <w:szCs w:val="28"/>
                <w:lang w:bidi="ar-EG"/>
              </w:rPr>
            </w:pPr>
            <w:r w:rsidRPr="00211D55">
              <w:rPr>
                <w:rFonts w:ascii="Arabic Typesetting" w:eastAsia="Arial" w:hAnsi="Arabic Typesetting" w:cs="Arabic Typesetting"/>
                <w:b/>
                <w:bCs/>
                <w:sz w:val="28"/>
                <w:szCs w:val="28"/>
                <w:rtl/>
                <w:lang w:bidi="ar-EG"/>
              </w:rPr>
              <w:t xml:space="preserve">الأهداف </w:t>
            </w:r>
          </w:p>
        </w:tc>
        <w:tc>
          <w:tcPr>
            <w:tcW w:w="1441" w:type="pct"/>
            <w:tcBorders>
              <w:top w:val="single" w:sz="4" w:space="0" w:color="auto"/>
            </w:tcBorders>
            <w:shd w:val="clear" w:color="auto" w:fill="FFFFFF"/>
            <w:tcMar>
              <w:top w:w="110"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eastAsia="Arial" w:hAnsi="Arabic Typesetting" w:cs="Arabic Typesetting"/>
                <w:b/>
                <w:bCs/>
                <w:sz w:val="28"/>
                <w:szCs w:val="28"/>
                <w:rtl/>
                <w:lang w:bidi="ar-EG"/>
              </w:rPr>
              <w:t>بيانات الأداء</w:t>
            </w:r>
          </w:p>
        </w:tc>
        <w:tc>
          <w:tcPr>
            <w:tcW w:w="454" w:type="pct"/>
            <w:tcBorders>
              <w:top w:val="single" w:sz="4" w:space="0" w:color="auto"/>
            </w:tcBorders>
            <w:shd w:val="clear" w:color="auto" w:fill="auto"/>
            <w:tcMar>
              <w:top w:w="110" w:type="dxa"/>
            </w:tcMar>
            <w:vAlign w:val="center"/>
          </w:tcPr>
          <w:p w:rsidR="00B31868" w:rsidRPr="00211D55" w:rsidRDefault="00B31868" w:rsidP="00086C3F">
            <w:pPr>
              <w:keepNext/>
              <w:keepLines/>
              <w:bidi/>
              <w:spacing w:before="60" w:after="60" w:line="280" w:lineRule="exact"/>
              <w:jc w:val="center"/>
              <w:rPr>
                <w:rFonts w:ascii="Arabic Typesetting" w:hAnsi="Arabic Typesetting" w:cs="Arabic Typesetting"/>
                <w:b/>
                <w:bCs/>
                <w:color w:val="000000"/>
                <w:sz w:val="28"/>
                <w:szCs w:val="28"/>
                <w:lang w:bidi="ar-EG"/>
              </w:rPr>
            </w:pPr>
            <w:r w:rsidRPr="00211D55">
              <w:rPr>
                <w:rFonts w:ascii="Arabic Typesetting" w:eastAsia="Arial" w:hAnsi="Arabic Typesetting" w:cs="Arabic Typesetting"/>
                <w:b/>
                <w:bCs/>
                <w:color w:val="000000"/>
                <w:sz w:val="28"/>
                <w:szCs w:val="28"/>
                <w:rtl/>
                <w:lang w:bidi="ar-EG"/>
              </w:rPr>
              <w:t>السير</w:t>
            </w:r>
          </w:p>
        </w:tc>
      </w:tr>
      <w:tr w:rsidR="00B31868" w:rsidRPr="00211D55" w:rsidTr="00815916">
        <w:trPr>
          <w:cantSplit/>
        </w:trPr>
        <w:tc>
          <w:tcPr>
            <w:tcW w:w="1061" w:type="pct"/>
            <w:tcBorders>
              <w:bottom w:val="nil"/>
            </w:tcBorders>
          </w:tcPr>
          <w:p w:rsidR="00B31868" w:rsidRPr="00211D55" w:rsidRDefault="00B31868" w:rsidP="00086C3F">
            <w:pPr>
              <w:bidi/>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color w:val="000000"/>
                <w:sz w:val="28"/>
                <w:szCs w:val="28"/>
                <w:rtl/>
              </w:rPr>
              <w:t>استضافة أنظمة تكنولوجيا المعلومات والاتصالات وإدارتها بطريقة فعالة من حيث التكلفة تماشيَا مع متطلبات المعاملات التجارية</w:t>
            </w:r>
          </w:p>
        </w:tc>
        <w:tc>
          <w:tcPr>
            <w:tcW w:w="1136" w:type="pct"/>
            <w:tcBorders>
              <w:bottom w:val="nil"/>
            </w:tcBorders>
          </w:tcPr>
          <w:p w:rsidR="004258F0" w:rsidRPr="00211D55" w:rsidRDefault="00B3186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p>
          <w:p w:rsidR="00B31868" w:rsidRPr="00211D55" w:rsidRDefault="00B3186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
                <w:color w:val="002060"/>
                <w:sz w:val="28"/>
                <w:szCs w:val="28"/>
                <w:rtl/>
                <w:lang w:bidi="ar-EG"/>
              </w:rPr>
              <w:t>التكلفة الشهرية لدعم الخوادم المؤسسية: 280 دولار؛</w:t>
            </w:r>
            <w:r w:rsidR="004258F0" w:rsidRPr="00211D55">
              <w:rPr>
                <w:rFonts w:ascii="Arabic Typesetting" w:hAnsi="Arabic Typesetting" w:cs="Arabic Typesetting"/>
                <w:i/>
                <w:color w:val="002060"/>
                <w:sz w:val="28"/>
                <w:szCs w:val="28"/>
                <w:rtl/>
                <w:lang w:bidi="ar-EG"/>
              </w:rPr>
              <w:t xml:space="preserve"> </w:t>
            </w:r>
            <w:r w:rsidRPr="00211D55">
              <w:rPr>
                <w:rFonts w:ascii="Arabic Typesetting" w:hAnsi="Arabic Typesetting" w:cs="Arabic Typesetting"/>
                <w:i/>
                <w:color w:val="002060"/>
                <w:sz w:val="28"/>
                <w:szCs w:val="28"/>
                <w:rtl/>
                <w:lang w:bidi="ar-EG"/>
              </w:rPr>
              <w:t xml:space="preserve">التكلفة الشهرية للخوادم السحابية (2 كور و8 </w:t>
            </w:r>
            <w:proofErr w:type="spellStart"/>
            <w:r w:rsidRPr="00211D55">
              <w:rPr>
                <w:rFonts w:ascii="Arabic Typesetting" w:hAnsi="Arabic Typesetting" w:cs="Arabic Typesetting"/>
                <w:i/>
                <w:color w:val="002060"/>
                <w:sz w:val="28"/>
                <w:szCs w:val="28"/>
                <w:rtl/>
                <w:lang w:bidi="ar-EG"/>
              </w:rPr>
              <w:t>جيغابايت</w:t>
            </w:r>
            <w:proofErr w:type="spellEnd"/>
            <w:r w:rsidRPr="00211D55">
              <w:rPr>
                <w:rFonts w:ascii="Arabic Typesetting" w:hAnsi="Arabic Typesetting" w:cs="Arabic Typesetting"/>
                <w:i/>
                <w:color w:val="002060"/>
                <w:sz w:val="28"/>
                <w:szCs w:val="28"/>
                <w:rtl/>
                <w:lang w:bidi="ar-EG"/>
              </w:rPr>
              <w:t>): 229 دولار؛</w:t>
            </w:r>
            <w:r w:rsidR="004258F0" w:rsidRPr="00211D55">
              <w:rPr>
                <w:rFonts w:ascii="Arabic Typesetting" w:hAnsi="Arabic Typesetting" w:cs="Arabic Typesetting"/>
                <w:i/>
                <w:color w:val="002060"/>
                <w:sz w:val="28"/>
                <w:szCs w:val="28"/>
                <w:rtl/>
                <w:lang w:bidi="ar-EG"/>
              </w:rPr>
              <w:t xml:space="preserve"> </w:t>
            </w:r>
            <w:r w:rsidRPr="00211D55">
              <w:rPr>
                <w:rFonts w:ascii="Arabic Typesetting" w:hAnsi="Arabic Typesetting" w:cs="Arabic Typesetting"/>
                <w:i/>
                <w:color w:val="002060"/>
                <w:sz w:val="28"/>
                <w:szCs w:val="28"/>
                <w:rtl/>
                <w:lang w:bidi="ar-EG"/>
              </w:rPr>
              <w:t>متوسط التكلفة الشهرية للتخزين</w:t>
            </w:r>
            <w:r w:rsidR="00051EFF" w:rsidRPr="00211D55">
              <w:rPr>
                <w:rFonts w:ascii="Arabic Typesetting" w:hAnsi="Arabic Typesetting" w:cs="Arabic Typesetting"/>
                <w:i/>
                <w:color w:val="002060"/>
                <w:sz w:val="28"/>
                <w:szCs w:val="28"/>
                <w:rtl/>
                <w:lang w:bidi="ar-EG"/>
              </w:rPr>
              <w:t xml:space="preserve"> العالي الأداء</w:t>
            </w:r>
            <w:r w:rsidRPr="00211D55">
              <w:rPr>
                <w:rFonts w:ascii="Arabic Typesetting" w:hAnsi="Arabic Typesetting" w:cs="Arabic Typesetting"/>
                <w:i/>
                <w:color w:val="002060"/>
                <w:sz w:val="28"/>
                <w:szCs w:val="28"/>
                <w:rtl/>
                <w:lang w:bidi="ar-EG"/>
              </w:rPr>
              <w:t>: 420 دولار/تيرابايت</w:t>
            </w:r>
            <w:r w:rsidR="004258F0" w:rsidRPr="00211D55">
              <w:rPr>
                <w:rFonts w:ascii="Arabic Typesetting" w:hAnsi="Arabic Typesetting" w:cs="Arabic Typesetting"/>
                <w:i/>
                <w:color w:val="002060"/>
                <w:sz w:val="28"/>
                <w:szCs w:val="28"/>
                <w:rtl/>
                <w:lang w:bidi="ar-EG"/>
              </w:rPr>
              <w:t xml:space="preserve">؛ </w:t>
            </w:r>
            <w:r w:rsidRPr="00211D55">
              <w:rPr>
                <w:rFonts w:ascii="Arabic Typesetting" w:hAnsi="Arabic Typesetting" w:cs="Arabic Typesetting"/>
                <w:i/>
                <w:color w:val="002060"/>
                <w:sz w:val="28"/>
                <w:szCs w:val="28"/>
                <w:rtl/>
                <w:lang w:bidi="ar-EG"/>
              </w:rPr>
              <w:t>متوسط التكلفة الشهرية للنسخ الاحتياطي: 53.9 دولار</w:t>
            </w:r>
          </w:p>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r w:rsidRPr="00211D55">
              <w:rPr>
                <w:rFonts w:ascii="Arabic Typesetting" w:hAnsi="Arabic Typesetting" w:cs="Arabic Typesetting"/>
                <w:sz w:val="28"/>
                <w:szCs w:val="28"/>
                <w:rtl/>
              </w:rPr>
              <w:t>تكاليف الوحدات بالنسبة للخوادم المادية والسحابية والتخزين والنسخ الاحتياطي</w:t>
            </w:r>
          </w:p>
        </w:tc>
        <w:tc>
          <w:tcPr>
            <w:tcW w:w="908" w:type="pct"/>
            <w:tcBorders>
              <w:bottom w:val="nil"/>
            </w:tcBorders>
            <w:tcMar>
              <w:top w:w="110" w:type="dxa"/>
            </w:tcMar>
          </w:tcPr>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Pr>
            </w:pPr>
            <w:r w:rsidRPr="00211D55">
              <w:rPr>
                <w:rFonts w:ascii="Arabic Typesetting" w:hAnsi="Arabic Typesetting" w:cs="Arabic Typesetting"/>
                <w:b/>
                <w:sz w:val="28"/>
                <w:szCs w:val="28"/>
                <w:rtl/>
              </w:rPr>
              <w:t>تكاليف الوحدات لاستضافة البنية التحتية تتماشى مع المستوى المحدد أو أقل من أساس المقارنة</w:t>
            </w:r>
          </w:p>
        </w:tc>
        <w:tc>
          <w:tcPr>
            <w:tcW w:w="1441" w:type="pct"/>
            <w:tcBorders>
              <w:bottom w:val="nil"/>
            </w:tcBorders>
            <w:shd w:val="clear" w:color="auto" w:fill="FFFFFF"/>
            <w:tcMar>
              <w:top w:w="110" w:type="dxa"/>
            </w:tcMar>
          </w:tcPr>
          <w:p w:rsidR="00B31868" w:rsidRPr="00211D55" w:rsidRDefault="004258F0" w:rsidP="00FF1820">
            <w:pPr>
              <w:bidi/>
              <w:spacing w:before="60" w:after="60" w:line="28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 xml:space="preserve">2014: </w:t>
            </w:r>
            <w:r w:rsidR="00B31868" w:rsidRPr="00211D55">
              <w:rPr>
                <w:rFonts w:ascii="Arabic Typesetting" w:hAnsi="Arabic Typesetting" w:cs="Arabic Typesetting"/>
                <w:color w:val="000000"/>
                <w:sz w:val="28"/>
                <w:szCs w:val="28"/>
                <w:rtl/>
                <w:lang w:bidi="ar-EG"/>
              </w:rPr>
              <w:t>لم تتغير الأسعار</w:t>
            </w:r>
            <w:r w:rsidRPr="00211D55">
              <w:rPr>
                <w:rFonts w:ascii="Arabic Typesetting" w:hAnsi="Arabic Typesetting" w:cs="Arabic Typesetting"/>
                <w:color w:val="000000"/>
                <w:sz w:val="28"/>
                <w:szCs w:val="28"/>
                <w:rtl/>
                <w:lang w:bidi="ar-EG"/>
              </w:rPr>
              <w:t xml:space="preserve"> </w:t>
            </w:r>
            <w:r w:rsidR="00B31868" w:rsidRPr="00211D55">
              <w:rPr>
                <w:rFonts w:ascii="Arabic Typesetting" w:hAnsi="Arabic Typesetting" w:cs="Arabic Typesetting"/>
                <w:color w:val="000000"/>
                <w:sz w:val="28"/>
                <w:szCs w:val="28"/>
                <w:rtl/>
                <w:lang w:bidi="ar-EG"/>
              </w:rPr>
              <w:t>مقارنة بأسس المقارنة</w:t>
            </w:r>
            <w:r w:rsidRPr="00211D55">
              <w:rPr>
                <w:rFonts w:ascii="Arabic Typesetting" w:hAnsi="Arabic Typesetting" w:cs="Arabic Typesetting"/>
                <w:color w:val="000000"/>
                <w:sz w:val="28"/>
                <w:szCs w:val="28"/>
                <w:rtl/>
                <w:lang w:bidi="ar-EG"/>
              </w:rPr>
              <w:t xml:space="preserve">. </w:t>
            </w:r>
            <w:r w:rsidR="00FF1820" w:rsidRPr="00211D55">
              <w:rPr>
                <w:rFonts w:ascii="Arabic Typesetting" w:hAnsi="Arabic Typesetting" w:cs="Arabic Typesetting"/>
                <w:color w:val="000000"/>
                <w:sz w:val="28"/>
                <w:szCs w:val="28"/>
                <w:rtl/>
                <w:lang w:bidi="ar-EG"/>
              </w:rPr>
              <w:t>وحدد</w:t>
            </w:r>
            <w:r w:rsidRPr="00211D55">
              <w:rPr>
                <w:rFonts w:ascii="Arabic Typesetting" w:hAnsi="Arabic Typesetting" w:cs="Arabic Typesetting"/>
                <w:color w:val="000000"/>
                <w:sz w:val="28"/>
                <w:szCs w:val="28"/>
                <w:rtl/>
                <w:lang w:bidi="ar-EG"/>
              </w:rPr>
              <w:t xml:space="preserve"> الأسعار الجديدة</w:t>
            </w:r>
            <w:r w:rsidR="00FF1820" w:rsidRPr="00211D55">
              <w:rPr>
                <w:rFonts w:ascii="Arabic Typesetting" w:hAnsi="Arabic Typesetting" w:cs="Arabic Typesetting"/>
                <w:color w:val="000000"/>
                <w:sz w:val="28"/>
                <w:szCs w:val="28"/>
                <w:rtl/>
                <w:lang w:bidi="ar-EG"/>
              </w:rPr>
              <w:t xml:space="preserve"> بالتفاوض</w:t>
            </w:r>
            <w:r w:rsidRPr="00211D55">
              <w:rPr>
                <w:rFonts w:ascii="Arabic Typesetting" w:hAnsi="Arabic Typesetting" w:cs="Arabic Typesetting"/>
                <w:color w:val="000000"/>
                <w:sz w:val="28"/>
                <w:szCs w:val="28"/>
                <w:rtl/>
                <w:lang w:bidi="ar-EG"/>
              </w:rPr>
              <w:t>.</w:t>
            </w:r>
          </w:p>
          <w:p w:rsidR="004258F0" w:rsidRPr="00211D55" w:rsidRDefault="004258F0" w:rsidP="00086C3F">
            <w:pPr>
              <w:bidi/>
              <w:spacing w:before="60" w:after="60" w:line="28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2015: التكلفة الشهرية لدعم الخوادم المؤسسية: 250 فرنكاً سويسرياً</w:t>
            </w:r>
          </w:p>
          <w:p w:rsidR="00051EFF" w:rsidRPr="00211D55" w:rsidRDefault="00051EFF" w:rsidP="00086C3F">
            <w:pPr>
              <w:bidi/>
              <w:spacing w:before="60" w:after="60" w:line="28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التكلفة الشهرية للخوادم السحابية: 189 فرنكاً سويسرياً</w:t>
            </w:r>
          </w:p>
          <w:p w:rsidR="00051EFF" w:rsidRPr="00211D55" w:rsidRDefault="00051EFF" w:rsidP="00086C3F">
            <w:pPr>
              <w:bidi/>
              <w:spacing w:before="60" w:after="60" w:line="28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متوسط التكلفة الشهرية للتخزين العالي الأداء: 240 فرنكا سويسريا/تيرابايت</w:t>
            </w:r>
          </w:p>
          <w:p w:rsidR="00051EFF" w:rsidRPr="00211D55" w:rsidRDefault="00051EFF" w:rsidP="00086C3F">
            <w:pPr>
              <w:bidi/>
              <w:spacing w:before="60" w:after="60" w:line="280" w:lineRule="exact"/>
              <w:rPr>
                <w:rFonts w:ascii="Arabic Typesetting" w:hAnsi="Arabic Typesetting" w:cs="Arabic Typesetting"/>
                <w:color w:val="000000"/>
                <w:sz w:val="28"/>
                <w:szCs w:val="28"/>
                <w:rtl/>
                <w:lang w:bidi="ar-EG"/>
              </w:rPr>
            </w:pPr>
            <w:r w:rsidRPr="00211D55">
              <w:rPr>
                <w:rFonts w:ascii="Arabic Typesetting" w:hAnsi="Arabic Typesetting" w:cs="Arabic Typesetting"/>
                <w:color w:val="000000"/>
                <w:sz w:val="28"/>
                <w:szCs w:val="28"/>
                <w:rtl/>
                <w:lang w:bidi="ar-EG"/>
              </w:rPr>
              <w:t>متوسط التكلفة الشهرية للنسخ الاحتياطي: 41.10 فرنك سويسري</w:t>
            </w:r>
          </w:p>
          <w:p w:rsidR="00B31868" w:rsidRPr="00211D55" w:rsidRDefault="00B31868" w:rsidP="00086C3F">
            <w:pPr>
              <w:bidi/>
              <w:spacing w:before="60" w:after="60" w:line="280" w:lineRule="exact"/>
              <w:rPr>
                <w:rFonts w:ascii="Arabic Typesetting" w:hAnsi="Arabic Typesetting" w:cs="Arabic Typesetting"/>
                <w:color w:val="000000"/>
                <w:sz w:val="28"/>
                <w:szCs w:val="28"/>
                <w:lang w:bidi="ar-EG"/>
              </w:rPr>
            </w:pPr>
            <w:r w:rsidRPr="00211D55">
              <w:rPr>
                <w:rFonts w:ascii="Arabic Typesetting" w:hAnsi="Arabic Typesetting" w:cs="Arabic Typesetting"/>
                <w:color w:val="000000"/>
                <w:sz w:val="28"/>
                <w:szCs w:val="28"/>
                <w:rtl/>
                <w:lang w:bidi="ar-EG"/>
              </w:rPr>
              <w:t xml:space="preserve">عدد الأحداث </w:t>
            </w:r>
            <w:r w:rsidR="00051EFF" w:rsidRPr="00211D55">
              <w:rPr>
                <w:rFonts w:ascii="Arabic Typesetting" w:hAnsi="Arabic Typesetting" w:cs="Arabic Typesetting"/>
                <w:color w:val="000000"/>
                <w:sz w:val="28"/>
                <w:szCs w:val="28"/>
                <w:rtl/>
                <w:lang w:bidi="ar-EG"/>
              </w:rPr>
              <w:t>ال</w:t>
            </w:r>
            <w:r w:rsidRPr="00211D55">
              <w:rPr>
                <w:rFonts w:ascii="Arabic Typesetting" w:hAnsi="Arabic Typesetting" w:cs="Arabic Typesetting"/>
                <w:color w:val="000000"/>
                <w:sz w:val="28"/>
                <w:szCs w:val="28"/>
                <w:rtl/>
                <w:lang w:bidi="ar-EG"/>
              </w:rPr>
              <w:t xml:space="preserve">متوسطة أو </w:t>
            </w:r>
            <w:r w:rsidR="00051EFF" w:rsidRPr="00211D55">
              <w:rPr>
                <w:rFonts w:ascii="Arabic Typesetting" w:hAnsi="Arabic Typesetting" w:cs="Arabic Typesetting"/>
                <w:color w:val="000000"/>
                <w:sz w:val="28"/>
                <w:szCs w:val="28"/>
                <w:rtl/>
                <w:lang w:bidi="ar-EG"/>
              </w:rPr>
              <w:t>ال</w:t>
            </w:r>
            <w:r w:rsidRPr="00211D55">
              <w:rPr>
                <w:rFonts w:ascii="Arabic Typesetting" w:hAnsi="Arabic Typesetting" w:cs="Arabic Typesetting"/>
                <w:color w:val="000000"/>
                <w:sz w:val="28"/>
                <w:szCs w:val="28"/>
                <w:rtl/>
                <w:lang w:bidi="ar-EG"/>
              </w:rPr>
              <w:t>عالية التأثير: 1.75 شهريا</w:t>
            </w:r>
          </w:p>
        </w:tc>
        <w:tc>
          <w:tcPr>
            <w:tcW w:w="454" w:type="pct"/>
            <w:tcBorders>
              <w:bottom w:val="nil"/>
            </w:tcBorders>
            <w:shd w:val="clear" w:color="auto" w:fill="auto"/>
            <w:tcMar>
              <w:top w:w="110" w:type="dxa"/>
            </w:tcMar>
          </w:tcPr>
          <w:p w:rsidR="00051EFF" w:rsidRPr="00211D55" w:rsidRDefault="00051EFF" w:rsidP="00086C3F">
            <w:pPr>
              <w:keepNext/>
              <w:keepLines/>
              <w:bidi/>
              <w:spacing w:before="60" w:after="60" w:line="280" w:lineRule="exact"/>
              <w:jc w:val="center"/>
              <w:rPr>
                <w:rFonts w:ascii="Arabic Typesetting" w:hAnsi="Arabic Typesetting" w:cs="Arabic Typesetting"/>
                <w:b/>
                <w:bCs/>
                <w:color w:val="00B050"/>
                <w:sz w:val="28"/>
                <w:szCs w:val="28"/>
                <w:rtl/>
              </w:rPr>
            </w:pPr>
          </w:p>
          <w:p w:rsidR="00051EFF" w:rsidRPr="00211D55" w:rsidRDefault="00051EFF" w:rsidP="00086C3F">
            <w:pPr>
              <w:keepNext/>
              <w:keepLines/>
              <w:bidi/>
              <w:spacing w:before="60" w:after="60" w:line="280" w:lineRule="exact"/>
              <w:jc w:val="center"/>
              <w:rPr>
                <w:rFonts w:ascii="Arabic Typesetting" w:hAnsi="Arabic Typesetting" w:cs="Arabic Typesetting"/>
                <w:b/>
                <w:bCs/>
                <w:color w:val="00B050"/>
                <w:sz w:val="28"/>
                <w:szCs w:val="28"/>
                <w:rtl/>
              </w:rPr>
            </w:pPr>
          </w:p>
          <w:p w:rsidR="00051EFF" w:rsidRPr="00211D55" w:rsidRDefault="00051EFF" w:rsidP="00086C3F">
            <w:pPr>
              <w:keepNext/>
              <w:keepLines/>
              <w:bidi/>
              <w:spacing w:before="60" w:after="60" w:line="280" w:lineRule="exact"/>
              <w:jc w:val="center"/>
              <w:rPr>
                <w:rFonts w:ascii="Arabic Typesetting" w:hAnsi="Arabic Typesetting" w:cs="Arabic Typesetting"/>
                <w:b/>
                <w:bCs/>
                <w:color w:val="00B050"/>
                <w:sz w:val="28"/>
                <w:szCs w:val="28"/>
                <w:rtl/>
              </w:rPr>
            </w:pPr>
          </w:p>
          <w:p w:rsidR="00B31868" w:rsidRPr="00211D55" w:rsidRDefault="004258F0" w:rsidP="00086C3F">
            <w:pPr>
              <w:keepNext/>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051EFF" w:rsidRPr="00211D55" w:rsidRDefault="00051EFF" w:rsidP="00086C3F">
            <w:pPr>
              <w:keepNext/>
              <w:keepLines/>
              <w:bidi/>
              <w:spacing w:before="60" w:after="60" w:line="280" w:lineRule="exact"/>
              <w:jc w:val="center"/>
              <w:rPr>
                <w:rFonts w:ascii="Arabic Typesetting" w:hAnsi="Arabic Typesetting" w:cs="Arabic Typesetting"/>
                <w:b/>
                <w:bCs/>
                <w:color w:val="00B050"/>
                <w:sz w:val="28"/>
                <w:szCs w:val="28"/>
                <w:rtl/>
              </w:rPr>
            </w:pPr>
          </w:p>
          <w:p w:rsidR="004258F0" w:rsidRPr="00211D55" w:rsidRDefault="004258F0" w:rsidP="00086C3F">
            <w:pPr>
              <w:keepNext/>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051EFF" w:rsidRPr="00211D55" w:rsidRDefault="00051EFF" w:rsidP="00086C3F">
            <w:pPr>
              <w:keepNext/>
              <w:keepLines/>
              <w:bidi/>
              <w:spacing w:before="60" w:after="60" w:line="280" w:lineRule="exact"/>
              <w:jc w:val="center"/>
              <w:rPr>
                <w:rFonts w:ascii="Arabic Typesetting" w:hAnsi="Arabic Typesetting" w:cs="Arabic Typesetting"/>
                <w:b/>
                <w:bCs/>
                <w:color w:val="00B050"/>
                <w:sz w:val="28"/>
                <w:szCs w:val="28"/>
                <w:rtl/>
              </w:rPr>
            </w:pPr>
          </w:p>
          <w:p w:rsidR="004258F0" w:rsidRPr="00211D55" w:rsidRDefault="004258F0" w:rsidP="00086C3F">
            <w:pPr>
              <w:keepNext/>
              <w:keepLines/>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051EFF" w:rsidRPr="00211D55" w:rsidRDefault="00051EFF" w:rsidP="00086C3F">
            <w:pPr>
              <w:keepNext/>
              <w:keepLines/>
              <w:bidi/>
              <w:spacing w:before="60" w:after="60" w:line="280" w:lineRule="exact"/>
              <w:jc w:val="center"/>
              <w:rPr>
                <w:rFonts w:ascii="Arabic Typesetting" w:hAnsi="Arabic Typesetting" w:cs="Arabic Typesetting"/>
                <w:b/>
                <w:bCs/>
                <w:color w:val="00B050"/>
                <w:sz w:val="28"/>
                <w:szCs w:val="28"/>
                <w:rtl/>
              </w:rPr>
            </w:pPr>
          </w:p>
          <w:p w:rsidR="004258F0" w:rsidRPr="00211D55" w:rsidRDefault="004258F0" w:rsidP="00086C3F">
            <w:pPr>
              <w:keepNext/>
              <w:keepLines/>
              <w:bidi/>
              <w:spacing w:before="60" w:after="60" w:line="28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815916">
        <w:trPr>
          <w:cantSplit/>
        </w:trPr>
        <w:tc>
          <w:tcPr>
            <w:tcW w:w="1061" w:type="pct"/>
            <w:tcBorders>
              <w:top w:val="nil"/>
              <w:bottom w:val="single" w:sz="4" w:space="0" w:color="auto"/>
            </w:tcBorders>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عدد اتفاقات مستوى الخدمة بالنسبة للأنظمة والخدمات </w:t>
            </w:r>
            <w:proofErr w:type="spellStart"/>
            <w:r w:rsidRPr="00211D55">
              <w:rPr>
                <w:rFonts w:ascii="Arabic Typesetting" w:hAnsi="Arabic Typesetting" w:cs="Arabic Typesetting"/>
                <w:sz w:val="28"/>
                <w:szCs w:val="28"/>
                <w:rtl/>
              </w:rPr>
              <w:t>المستضافة</w:t>
            </w:r>
            <w:proofErr w:type="spellEnd"/>
            <w:r w:rsidRPr="00211D55">
              <w:rPr>
                <w:rFonts w:ascii="Arabic Typesetting" w:hAnsi="Arabic Typesetting" w:cs="Arabic Typesetting"/>
                <w:sz w:val="28"/>
                <w:szCs w:val="28"/>
                <w:rtl/>
              </w:rPr>
              <w:t xml:space="preserve"> المتماشية مع إطار اتفاقات مستوى الخدمة بخصوص تكنولوجيا المعلومات والاتصالات </w:t>
            </w:r>
          </w:p>
        </w:tc>
        <w:tc>
          <w:tcPr>
            <w:tcW w:w="1136" w:type="pct"/>
            <w:tcBorders>
              <w:top w:val="nil"/>
              <w:bottom w:val="single" w:sz="4" w:space="0" w:color="auto"/>
            </w:tcBorders>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وجود إطار لاتفاقات مستوى الخدمة بخصوص تكنولوجيا المعلومات والاتصالات</w:t>
            </w:r>
          </w:p>
        </w:tc>
        <w:tc>
          <w:tcPr>
            <w:tcW w:w="908" w:type="pct"/>
            <w:tcBorders>
              <w:top w:val="nil"/>
              <w:bottom w:val="single" w:sz="4" w:space="0" w:color="auto"/>
            </w:tcBorders>
            <w:tcMar>
              <w:top w:w="110" w:type="dxa"/>
            </w:tcMar>
          </w:tcPr>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Pr>
            </w:pPr>
            <w:r w:rsidRPr="00211D55">
              <w:rPr>
                <w:rFonts w:ascii="Arabic Typesetting" w:hAnsi="Arabic Typesetting" w:cs="Arabic Typesetting"/>
                <w:b/>
                <w:sz w:val="28"/>
                <w:szCs w:val="28"/>
                <w:rtl/>
              </w:rPr>
              <w:t>النسبة المئوية لاتفاقات مستوى الخدمة المتسقة مع إطار تكنولوجيا المعلومات والاتصالات</w:t>
            </w:r>
          </w:p>
        </w:tc>
        <w:tc>
          <w:tcPr>
            <w:tcW w:w="1441" w:type="pct"/>
            <w:tcBorders>
              <w:top w:val="nil"/>
              <w:bottom w:val="single" w:sz="4" w:space="0" w:color="auto"/>
            </w:tcBorders>
            <w:shd w:val="clear" w:color="auto" w:fill="FFFFFF"/>
            <w:tcMar>
              <w:top w:w="110" w:type="dxa"/>
            </w:tcMar>
          </w:tcPr>
          <w:p w:rsidR="00B31868" w:rsidRPr="00211D55" w:rsidRDefault="00520275" w:rsidP="00086C3F">
            <w:pPr>
              <w:bidi/>
              <w:spacing w:before="60" w:after="60" w:line="280" w:lineRule="exact"/>
              <w:rPr>
                <w:rFonts w:ascii="Arabic Typesetting" w:hAnsi="Arabic Typesetting" w:cs="Arabic Typesetting"/>
                <w:color w:val="000000"/>
                <w:sz w:val="28"/>
                <w:szCs w:val="28"/>
                <w:lang w:bidi="ar-EG"/>
              </w:rPr>
            </w:pPr>
            <w:r w:rsidRPr="00211D55">
              <w:rPr>
                <w:rFonts w:ascii="Arabic Typesetting" w:hAnsi="Arabic Typesetting" w:cs="Arabic Typesetting"/>
                <w:color w:val="000000"/>
                <w:sz w:val="28"/>
                <w:szCs w:val="28"/>
                <w:rtl/>
                <w:lang w:bidi="ar-EG"/>
              </w:rPr>
              <w:t>أبرم</w:t>
            </w:r>
            <w:r w:rsidR="00B31868" w:rsidRPr="00211D55">
              <w:rPr>
                <w:rFonts w:ascii="Arabic Typesetting" w:hAnsi="Arabic Typesetting" w:cs="Arabic Typesetting"/>
                <w:color w:val="000000"/>
                <w:sz w:val="28"/>
                <w:szCs w:val="28"/>
                <w:rtl/>
                <w:lang w:bidi="ar-EG"/>
              </w:rPr>
              <w:t xml:space="preserve"> </w:t>
            </w:r>
            <w:r w:rsidR="00051EFF" w:rsidRPr="00211D55">
              <w:rPr>
                <w:rFonts w:ascii="Arabic Typesetting" w:hAnsi="Arabic Typesetting" w:cs="Arabic Typesetting"/>
                <w:color w:val="000000"/>
                <w:sz w:val="28"/>
                <w:szCs w:val="28"/>
                <w:rtl/>
                <w:lang w:bidi="ar-EG"/>
              </w:rPr>
              <w:t xml:space="preserve">11 </w:t>
            </w:r>
            <w:r w:rsidRPr="00211D55">
              <w:rPr>
                <w:rFonts w:ascii="Arabic Typesetting" w:hAnsi="Arabic Typesetting" w:cs="Arabic Typesetting"/>
                <w:color w:val="000000"/>
                <w:sz w:val="28"/>
                <w:szCs w:val="28"/>
                <w:rtl/>
                <w:lang w:bidi="ar-EG"/>
              </w:rPr>
              <w:t>اتفاقا</w:t>
            </w:r>
            <w:r w:rsidR="00051EFF" w:rsidRPr="00211D55">
              <w:rPr>
                <w:rFonts w:ascii="Arabic Typesetting" w:hAnsi="Arabic Typesetting" w:cs="Arabic Typesetting"/>
                <w:color w:val="000000"/>
                <w:sz w:val="28"/>
                <w:szCs w:val="28"/>
                <w:rtl/>
                <w:lang w:bidi="ar-EG"/>
              </w:rPr>
              <w:t xml:space="preserve"> جديدة</w:t>
            </w:r>
            <w:r w:rsidR="00B31868" w:rsidRPr="00211D55">
              <w:rPr>
                <w:rFonts w:ascii="Arabic Typesetting" w:hAnsi="Arabic Typesetting" w:cs="Arabic Typesetting"/>
                <w:color w:val="000000"/>
                <w:sz w:val="28"/>
                <w:szCs w:val="28"/>
                <w:rtl/>
                <w:lang w:bidi="ar-EG"/>
              </w:rPr>
              <w:t xml:space="preserve"> </w:t>
            </w:r>
            <w:r w:rsidR="00051EFF" w:rsidRPr="00211D55">
              <w:rPr>
                <w:rFonts w:ascii="Arabic Typesetting" w:hAnsi="Arabic Typesetting" w:cs="Arabic Typesetting"/>
                <w:color w:val="000000"/>
                <w:sz w:val="28"/>
                <w:szCs w:val="28"/>
                <w:rtl/>
                <w:lang w:bidi="ar-EG"/>
              </w:rPr>
              <w:t>ل</w:t>
            </w:r>
            <w:r w:rsidR="00B31868" w:rsidRPr="00211D55">
              <w:rPr>
                <w:rFonts w:ascii="Arabic Typesetting" w:hAnsi="Arabic Typesetting" w:cs="Arabic Typesetting"/>
                <w:color w:val="000000"/>
                <w:sz w:val="28"/>
                <w:szCs w:val="28"/>
                <w:rtl/>
                <w:lang w:bidi="ar-EG"/>
              </w:rPr>
              <w:t xml:space="preserve">تسليم الخدمات </w:t>
            </w:r>
            <w:r w:rsidR="00051EFF" w:rsidRPr="00211D55">
              <w:rPr>
                <w:rFonts w:ascii="Arabic Typesetting" w:hAnsi="Arabic Typesetting" w:cs="Arabic Typesetting"/>
                <w:color w:val="000000"/>
                <w:sz w:val="28"/>
                <w:szCs w:val="28"/>
                <w:rtl/>
                <w:lang w:bidi="ar-EG"/>
              </w:rPr>
              <w:t xml:space="preserve">في </w:t>
            </w:r>
            <w:r w:rsidR="00507DE2">
              <w:rPr>
                <w:rFonts w:ascii="Arabic Typesetting" w:hAnsi="Arabic Typesetting" w:cs="Arabic Typesetting"/>
                <w:color w:val="000000"/>
                <w:sz w:val="28"/>
                <w:szCs w:val="28"/>
                <w:rtl/>
                <w:lang w:bidi="ar-EG"/>
              </w:rPr>
              <w:t>2014/15</w:t>
            </w:r>
            <w:r w:rsidR="00051EFF" w:rsidRPr="00211D55">
              <w:rPr>
                <w:rFonts w:ascii="Arabic Typesetting" w:hAnsi="Arabic Typesetting" w:cs="Arabic Typesetting"/>
                <w:color w:val="000000"/>
                <w:sz w:val="28"/>
                <w:szCs w:val="28"/>
                <w:rtl/>
                <w:lang w:bidi="ar-EG"/>
              </w:rPr>
              <w:t xml:space="preserve"> </w:t>
            </w:r>
            <w:r w:rsidR="00B31868" w:rsidRPr="00211D55">
              <w:rPr>
                <w:rFonts w:ascii="Arabic Typesetting" w:hAnsi="Arabic Typesetting" w:cs="Arabic Typesetting"/>
                <w:color w:val="000000"/>
                <w:sz w:val="28"/>
                <w:szCs w:val="28"/>
                <w:rtl/>
                <w:lang w:bidi="ar-EG"/>
              </w:rPr>
              <w:t xml:space="preserve">(نظام الاتصالات المؤسسية، ونظام </w:t>
            </w:r>
            <w:r w:rsidR="00B31868" w:rsidRPr="00211D55">
              <w:rPr>
                <w:rFonts w:ascii="Arabic Typesetting" w:hAnsi="Arabic Typesetting" w:cs="Arabic Typesetting"/>
                <w:color w:val="000000"/>
                <w:sz w:val="28"/>
                <w:szCs w:val="28"/>
                <w:lang w:bidi="ar-EG"/>
              </w:rPr>
              <w:t>IRIS</w:t>
            </w:r>
            <w:r w:rsidR="00B31868" w:rsidRPr="00211D55">
              <w:rPr>
                <w:rFonts w:ascii="Arabic Typesetting" w:hAnsi="Arabic Typesetting" w:cs="Arabic Typesetting"/>
                <w:color w:val="000000"/>
                <w:sz w:val="28"/>
                <w:szCs w:val="28"/>
                <w:rtl/>
                <w:lang w:bidi="ar-EG"/>
              </w:rPr>
              <w:t xml:space="preserve">، ونظام </w:t>
            </w:r>
            <w:r w:rsidR="00B31868" w:rsidRPr="00211D55">
              <w:rPr>
                <w:rFonts w:ascii="Arabic Typesetting" w:hAnsi="Arabic Typesetting" w:cs="Arabic Typesetting"/>
                <w:color w:val="000000"/>
                <w:sz w:val="28"/>
                <w:szCs w:val="28"/>
                <w:lang w:bidi="ar-EG"/>
              </w:rPr>
              <w:t>IRPI</w:t>
            </w:r>
            <w:r w:rsidR="00B31868" w:rsidRPr="00211D55">
              <w:rPr>
                <w:rFonts w:ascii="Arabic Typesetting" w:hAnsi="Arabic Typesetting" w:cs="Arabic Typesetting"/>
                <w:color w:val="000000"/>
                <w:sz w:val="28"/>
                <w:szCs w:val="28"/>
                <w:rtl/>
                <w:lang w:bidi="ar-EG"/>
              </w:rPr>
              <w:t xml:space="preserve">، ومعاهدة البراءات، وقاعدة البيانات </w:t>
            </w:r>
            <w:r w:rsidR="00B31868" w:rsidRPr="00211D55">
              <w:rPr>
                <w:rFonts w:ascii="Arabic Typesetting" w:hAnsi="Arabic Typesetting" w:cs="Arabic Typesetting"/>
                <w:color w:val="000000"/>
                <w:sz w:val="28"/>
                <w:szCs w:val="28"/>
                <w:lang w:bidi="ar-EG"/>
              </w:rPr>
              <w:t>PEARL</w:t>
            </w:r>
            <w:r w:rsidR="00B31868" w:rsidRPr="00211D55">
              <w:rPr>
                <w:rFonts w:ascii="Arabic Typesetting" w:hAnsi="Arabic Typesetting" w:cs="Arabic Typesetting"/>
                <w:color w:val="000000"/>
                <w:sz w:val="28"/>
                <w:szCs w:val="28"/>
                <w:rtl/>
                <w:lang w:bidi="ar-EG"/>
              </w:rPr>
              <w:t xml:space="preserve">، </w:t>
            </w:r>
            <w:r w:rsidR="00051EFF" w:rsidRPr="00211D55">
              <w:rPr>
                <w:rFonts w:ascii="Arabic Typesetting" w:hAnsi="Arabic Typesetting" w:cs="Arabic Typesetting"/>
                <w:color w:val="000000"/>
                <w:sz w:val="28"/>
                <w:szCs w:val="28"/>
                <w:rtl/>
                <w:lang w:bidi="ar-EG"/>
              </w:rPr>
              <w:t>ونظم النفاذ المركزي إلى البحث والفحص (</w:t>
            </w:r>
            <w:r w:rsidR="00051EFF" w:rsidRPr="00211D55">
              <w:rPr>
                <w:rFonts w:ascii="Arabic Typesetting" w:hAnsi="Arabic Typesetting" w:cs="Arabic Typesetting"/>
                <w:color w:val="000000"/>
                <w:sz w:val="28"/>
                <w:szCs w:val="28"/>
                <w:cs/>
                <w:lang w:bidi="ar-EG"/>
              </w:rPr>
              <w:t>‎</w:t>
            </w:r>
            <w:r w:rsidR="00051EFF" w:rsidRPr="00211D55">
              <w:rPr>
                <w:rFonts w:ascii="Arabic Typesetting" w:hAnsi="Arabic Typesetting" w:cs="Arabic Typesetting"/>
                <w:color w:val="000000"/>
                <w:sz w:val="28"/>
                <w:szCs w:val="28"/>
                <w:lang w:bidi="ar-EG"/>
              </w:rPr>
              <w:t>CASE</w:t>
            </w:r>
            <w:r w:rsidR="00051EFF" w:rsidRPr="00211D55">
              <w:rPr>
                <w:rFonts w:ascii="Arabic Typesetting" w:hAnsi="Arabic Typesetting" w:cs="Arabic Typesetting"/>
                <w:color w:val="000000"/>
                <w:sz w:val="28"/>
                <w:szCs w:val="28"/>
                <w:rtl/>
                <w:lang w:bidi="ar-EG"/>
              </w:rPr>
              <w:t>‏)، وخدمات النفاذ الرقمي إلى وثائق الأولوية (</w:t>
            </w:r>
            <w:r w:rsidR="00051EFF" w:rsidRPr="00211D55">
              <w:rPr>
                <w:rFonts w:ascii="Arabic Typesetting" w:hAnsi="Arabic Typesetting" w:cs="Arabic Typesetting"/>
                <w:color w:val="000000"/>
                <w:sz w:val="28"/>
                <w:szCs w:val="28"/>
                <w:cs/>
                <w:lang w:bidi="ar-EG"/>
              </w:rPr>
              <w:t>‎</w:t>
            </w:r>
            <w:r w:rsidR="00051EFF" w:rsidRPr="00211D55">
              <w:rPr>
                <w:rFonts w:ascii="Arabic Typesetting" w:hAnsi="Arabic Typesetting" w:cs="Arabic Typesetting"/>
                <w:color w:val="000000"/>
                <w:sz w:val="28"/>
                <w:szCs w:val="28"/>
                <w:lang w:bidi="ar-EG"/>
              </w:rPr>
              <w:t>DAS</w:t>
            </w:r>
            <w:r w:rsidR="00051EFF" w:rsidRPr="00211D55">
              <w:rPr>
                <w:rFonts w:ascii="Arabic Typesetting" w:hAnsi="Arabic Typesetting" w:cs="Arabic Typesetting"/>
                <w:color w:val="000000"/>
                <w:sz w:val="28"/>
                <w:szCs w:val="28"/>
                <w:rtl/>
                <w:lang w:bidi="ar-EG"/>
              </w:rPr>
              <w:t>‏)، ومنصة التعاون الخارجي، والبنية العالمية للمكاتب) بما يتماشى مع إطار تكنولوجيا المعلومات والاتصالات (100%)</w:t>
            </w:r>
          </w:p>
        </w:tc>
        <w:tc>
          <w:tcPr>
            <w:tcW w:w="454" w:type="pct"/>
            <w:tcBorders>
              <w:top w:val="nil"/>
              <w:bottom w:val="single" w:sz="4" w:space="0" w:color="auto"/>
            </w:tcBorders>
            <w:shd w:val="clear" w:color="auto" w:fill="auto"/>
            <w:tcMar>
              <w:top w:w="110" w:type="dxa"/>
            </w:tcMar>
          </w:tcPr>
          <w:p w:rsidR="00B31868" w:rsidRPr="00211D55" w:rsidRDefault="00051EFF" w:rsidP="00086C3F">
            <w:pPr>
              <w:keepNext/>
              <w:keepLines/>
              <w:bidi/>
              <w:spacing w:before="60" w:after="60" w:line="280" w:lineRule="exact"/>
              <w:jc w:val="center"/>
              <w:rPr>
                <w:rFonts w:ascii="Arabic Typesetting" w:hAnsi="Arabic Typesetting" w:cs="Arabic Typesetting"/>
                <w:bCs/>
                <w:color w:val="000000"/>
                <w:sz w:val="28"/>
                <w:szCs w:val="28"/>
                <w:lang w:bidi="ar-EG"/>
              </w:rPr>
            </w:pPr>
            <w:r w:rsidRPr="00211D55">
              <w:rPr>
                <w:rFonts w:ascii="Arabic Typesetting" w:hAnsi="Arabic Typesetting" w:cs="Arabic Typesetting"/>
                <w:b/>
                <w:bCs/>
                <w:color w:val="00B050"/>
                <w:sz w:val="28"/>
                <w:szCs w:val="28"/>
                <w:rtl/>
              </w:rPr>
              <w:t>محقق كلياً</w:t>
            </w:r>
          </w:p>
        </w:tc>
      </w:tr>
      <w:tr w:rsidR="00B31868" w:rsidRPr="00211D55" w:rsidTr="00815916">
        <w:trPr>
          <w:cantSplit/>
        </w:trPr>
        <w:tc>
          <w:tcPr>
            <w:tcW w:w="1061" w:type="pct"/>
            <w:tcBorders>
              <w:top w:val="single" w:sz="4" w:space="0" w:color="auto"/>
              <w:bottom w:val="nil"/>
            </w:tcBorders>
          </w:tcPr>
          <w:p w:rsidR="00B31868" w:rsidRPr="00211D55" w:rsidRDefault="00B31868" w:rsidP="00FB2BCA">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استمرارية خدمات تكنولوجيا المعلومات والاتصالات بالنسبة للأنظمة </w:t>
            </w:r>
            <w:r w:rsidR="00FB2BCA">
              <w:rPr>
                <w:rFonts w:ascii="Arabic Typesetting" w:hAnsi="Arabic Typesetting" w:cs="Arabic Typesetting" w:hint="cs"/>
                <w:sz w:val="28"/>
                <w:szCs w:val="28"/>
                <w:rtl/>
              </w:rPr>
              <w:t>المهمة</w:t>
            </w:r>
          </w:p>
        </w:tc>
        <w:tc>
          <w:tcPr>
            <w:tcW w:w="1136" w:type="pct"/>
            <w:tcBorders>
              <w:top w:val="single" w:sz="4" w:space="0" w:color="auto"/>
              <w:bottom w:val="nil"/>
            </w:tcBorders>
          </w:tcPr>
          <w:p w:rsidR="00B31868" w:rsidRPr="00211D55" w:rsidRDefault="00B3186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أُنشئ مركزان للبيانات مترابطان بشكل كبير؛ وطُورا البينة التحتية للخوادم وبنية الشبكة بشكل جزئي لدعم المركزين؛ وقُيمت 38 خدمة من خدمات تكنولوجيا المعلومات والاتصالات واتُخذت التدابير المناسبة للتخفيف من آثار المخاطر وضمان توافر تلك الخدمات بشكل أفضل.</w:t>
            </w:r>
          </w:p>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p>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عمل نسخ احتياطية من البيانات دون اتصال بالإنترنت، قد تتطلب استعادة البيانات عدة أيام</w:t>
            </w:r>
          </w:p>
        </w:tc>
        <w:tc>
          <w:tcPr>
            <w:tcW w:w="908" w:type="pct"/>
            <w:tcBorders>
              <w:top w:val="single" w:sz="4" w:space="0" w:color="auto"/>
              <w:bottom w:val="nil"/>
            </w:tcBorders>
            <w:tcMar>
              <w:top w:w="110" w:type="dxa"/>
            </w:tcMar>
          </w:tcPr>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 xml:space="preserve">يمكن استعادة الأنظمة </w:t>
            </w:r>
            <w:r w:rsidR="00FB2BCA">
              <w:rPr>
                <w:rFonts w:ascii="Arabic Typesetting" w:hAnsi="Arabic Typesetting" w:cs="Arabic Typesetting" w:hint="cs"/>
                <w:sz w:val="28"/>
                <w:szCs w:val="28"/>
                <w:rtl/>
              </w:rPr>
              <w:t>المهمة</w:t>
            </w:r>
            <w:r w:rsidR="00FB2BCA" w:rsidRPr="00211D55">
              <w:rPr>
                <w:rFonts w:ascii="Arabic Typesetting" w:hAnsi="Arabic Typesetting" w:cs="Arabic Typesetting"/>
                <w:b/>
                <w:sz w:val="28"/>
                <w:szCs w:val="28"/>
                <w:rtl/>
              </w:rPr>
              <w:t xml:space="preserve"> </w:t>
            </w:r>
            <w:r w:rsidRPr="00211D55">
              <w:rPr>
                <w:rFonts w:ascii="Arabic Typesetting" w:hAnsi="Arabic Typesetting" w:cs="Arabic Typesetting"/>
                <w:b/>
                <w:sz w:val="28"/>
                <w:szCs w:val="28"/>
                <w:rtl/>
              </w:rPr>
              <w:t>في الوقت المناسب دون فقدان البيانات في حالة الأعطال الكبرى محليًا</w:t>
            </w:r>
          </w:p>
        </w:tc>
        <w:tc>
          <w:tcPr>
            <w:tcW w:w="1441" w:type="pct"/>
            <w:tcBorders>
              <w:top w:val="single" w:sz="4" w:space="0" w:color="auto"/>
              <w:bottom w:val="nil"/>
            </w:tcBorders>
            <w:shd w:val="clear" w:color="auto" w:fill="FFFFFF"/>
            <w:tcMar>
              <w:top w:w="110" w:type="dxa"/>
            </w:tcMar>
          </w:tcPr>
          <w:p w:rsidR="00051EFF" w:rsidRPr="00211D55" w:rsidRDefault="00051EFF" w:rsidP="00086C3F">
            <w:pPr>
              <w:bidi/>
              <w:spacing w:before="60" w:after="60" w:line="280" w:lineRule="exact"/>
              <w:rPr>
                <w:rFonts w:ascii="Arabic Typesetting" w:eastAsia="Arial" w:hAnsi="Arabic Typesetting" w:cs="Arabic Typesetting"/>
                <w:color w:val="000000"/>
                <w:sz w:val="28"/>
                <w:szCs w:val="28"/>
                <w:rtl/>
                <w:lang w:bidi="ar-EG"/>
              </w:rPr>
            </w:pPr>
            <w:r w:rsidRPr="00211D55">
              <w:rPr>
                <w:rFonts w:ascii="Arabic Typesetting" w:eastAsia="Arial" w:hAnsi="Arabic Typesetting" w:cs="Arabic Typesetting"/>
                <w:color w:val="000000"/>
                <w:sz w:val="28"/>
                <w:szCs w:val="28"/>
                <w:rtl/>
                <w:lang w:bidi="ar-EG"/>
              </w:rPr>
              <w:t xml:space="preserve">وسع نطاق البنية التحتية </w:t>
            </w:r>
            <w:proofErr w:type="spellStart"/>
            <w:r w:rsidRPr="00211D55">
              <w:rPr>
                <w:rFonts w:ascii="Arabic Typesetting" w:eastAsia="Arial" w:hAnsi="Arabic Typesetting" w:cs="Arabic Typesetting"/>
                <w:color w:val="000000"/>
                <w:sz w:val="28"/>
                <w:szCs w:val="28"/>
                <w:rtl/>
                <w:lang w:bidi="ar-EG"/>
              </w:rPr>
              <w:t>للخادوم</w:t>
            </w:r>
            <w:proofErr w:type="spellEnd"/>
            <w:r w:rsidRPr="00211D55">
              <w:rPr>
                <w:rFonts w:ascii="Arabic Typesetting" w:eastAsia="Arial" w:hAnsi="Arabic Typesetting" w:cs="Arabic Typesetting"/>
                <w:color w:val="000000"/>
                <w:sz w:val="28"/>
                <w:szCs w:val="28"/>
                <w:rtl/>
                <w:lang w:bidi="ar-EG"/>
              </w:rPr>
              <w:t xml:space="preserve"> والتخزين والنسخ الاحتياطي والشبكة لتشمل الخدمات المعلوماتية الأساسية. وأجري في </w:t>
            </w:r>
            <w:r w:rsidR="00507DE2">
              <w:rPr>
                <w:rFonts w:ascii="Arabic Typesetting" w:eastAsia="Arial" w:hAnsi="Arabic Typesetting" w:cs="Arabic Typesetting"/>
                <w:color w:val="000000"/>
                <w:sz w:val="28"/>
                <w:szCs w:val="28"/>
                <w:rtl/>
                <w:lang w:bidi="ar-EG"/>
              </w:rPr>
              <w:t>2014/15</w:t>
            </w:r>
            <w:r w:rsidRPr="00211D55">
              <w:rPr>
                <w:rFonts w:ascii="Arabic Typesetting" w:eastAsia="Arial" w:hAnsi="Arabic Typesetting" w:cs="Arabic Typesetting"/>
                <w:color w:val="000000"/>
                <w:sz w:val="28"/>
                <w:szCs w:val="28"/>
                <w:rtl/>
                <w:lang w:bidi="ar-EG"/>
              </w:rPr>
              <w:t xml:space="preserve"> تقييماً لاث</w:t>
            </w:r>
            <w:r w:rsidR="00520275" w:rsidRPr="00211D55">
              <w:rPr>
                <w:rFonts w:ascii="Arabic Typesetting" w:eastAsia="Arial" w:hAnsi="Arabic Typesetting" w:cs="Arabic Typesetting"/>
                <w:color w:val="000000"/>
                <w:sz w:val="28"/>
                <w:szCs w:val="28"/>
                <w:rtl/>
                <w:lang w:bidi="ar-EG"/>
              </w:rPr>
              <w:t>ن</w:t>
            </w:r>
            <w:r w:rsidRPr="00211D55">
              <w:rPr>
                <w:rFonts w:ascii="Arabic Typesetting" w:eastAsia="Arial" w:hAnsi="Arabic Typesetting" w:cs="Arabic Typesetting"/>
                <w:color w:val="000000"/>
                <w:sz w:val="28"/>
                <w:szCs w:val="28"/>
                <w:rtl/>
                <w:lang w:bidi="ar-EG"/>
              </w:rPr>
              <w:t>تي عشرة خدمة معلوماتية أساسية ونفذت تدابير ملائمة لضمان استمرارية الخدمات.</w:t>
            </w:r>
          </w:p>
          <w:p w:rsidR="00B31868" w:rsidRPr="00211D55" w:rsidRDefault="00051EFF" w:rsidP="00086C3F">
            <w:pPr>
              <w:bidi/>
              <w:spacing w:before="60" w:after="60" w:line="280" w:lineRule="exact"/>
              <w:rPr>
                <w:rFonts w:ascii="Arabic Typesetting" w:eastAsia="Arial" w:hAnsi="Arabic Typesetting" w:cs="Arabic Typesetting"/>
                <w:color w:val="000000"/>
                <w:sz w:val="28"/>
                <w:szCs w:val="28"/>
                <w:rtl/>
                <w:lang w:bidi="ar-EG"/>
              </w:rPr>
            </w:pPr>
            <w:r w:rsidRPr="00211D55">
              <w:rPr>
                <w:rFonts w:ascii="Arabic Typesetting" w:eastAsia="Arial" w:hAnsi="Arabic Typesetting" w:cs="Arabic Typesetting"/>
                <w:color w:val="000000"/>
                <w:sz w:val="28"/>
                <w:szCs w:val="28"/>
                <w:rtl/>
                <w:lang w:bidi="ar-EG"/>
              </w:rPr>
              <w:t xml:space="preserve">وأثبتت استمرارية الخدمات المعلوماتية </w:t>
            </w:r>
            <w:r w:rsidR="00302EEE" w:rsidRPr="00211D55">
              <w:rPr>
                <w:rFonts w:ascii="Arabic Typesetting" w:eastAsia="Arial" w:hAnsi="Arabic Typesetting" w:cs="Arabic Typesetting"/>
                <w:color w:val="000000"/>
                <w:sz w:val="28"/>
                <w:szCs w:val="28"/>
                <w:rtl/>
                <w:lang w:bidi="ar-EG"/>
              </w:rPr>
              <w:t>في عام 2015 عن طريق اختبار التعافي من الكوارث الذي دام يوماً واحداً؛ واستكمل تمرين تعطل نظام معاهدة البراءات في غضون 30 دقيقة</w:t>
            </w:r>
          </w:p>
        </w:tc>
        <w:tc>
          <w:tcPr>
            <w:tcW w:w="454" w:type="pct"/>
            <w:tcBorders>
              <w:top w:val="single" w:sz="4" w:space="0" w:color="auto"/>
              <w:bottom w:val="nil"/>
            </w:tcBorders>
            <w:shd w:val="clear" w:color="auto" w:fill="auto"/>
            <w:tcMar>
              <w:top w:w="110" w:type="dxa"/>
            </w:tcMar>
          </w:tcPr>
          <w:p w:rsidR="00B31868" w:rsidRPr="00211D55" w:rsidRDefault="00302EEE" w:rsidP="00086C3F">
            <w:pPr>
              <w:keepNext/>
              <w:keepLines/>
              <w:bidi/>
              <w:spacing w:before="60" w:after="60" w:line="280" w:lineRule="exact"/>
              <w:jc w:val="center"/>
              <w:rPr>
                <w:rFonts w:ascii="Arabic Typesetting" w:eastAsia="Arial" w:hAnsi="Arabic Typesetting" w:cs="Arabic Typesetting"/>
                <w:color w:val="00B050"/>
                <w:sz w:val="28"/>
                <w:szCs w:val="28"/>
                <w:rtl/>
                <w:lang w:bidi="ar-EG"/>
              </w:rPr>
            </w:pPr>
            <w:r w:rsidRPr="00211D55">
              <w:rPr>
                <w:rFonts w:ascii="Arabic Typesetting" w:hAnsi="Arabic Typesetting" w:cs="Arabic Typesetting"/>
                <w:b/>
                <w:bCs/>
                <w:color w:val="00B050"/>
                <w:sz w:val="28"/>
                <w:szCs w:val="28"/>
                <w:rtl/>
              </w:rPr>
              <w:t>محقق كلياً</w:t>
            </w:r>
          </w:p>
        </w:tc>
      </w:tr>
      <w:tr w:rsidR="00B31868" w:rsidRPr="00211D55" w:rsidTr="00051EFF">
        <w:trPr>
          <w:cantSplit/>
        </w:trPr>
        <w:tc>
          <w:tcPr>
            <w:tcW w:w="1061" w:type="pct"/>
            <w:tcBorders>
              <w:top w:val="nil"/>
              <w:bottom w:val="nil"/>
            </w:tcBorders>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lastRenderedPageBreak/>
              <w:t>النسبة المئوية للمستخدمين النهائيين وقطاعات الأعمال التجارية الراضين عن خدمات تكنولوجيا المعلومات والاتصالات</w:t>
            </w:r>
          </w:p>
        </w:tc>
        <w:tc>
          <w:tcPr>
            <w:tcW w:w="1136" w:type="pct"/>
            <w:tcBorders>
              <w:top w:val="nil"/>
              <w:bottom w:val="nil"/>
            </w:tcBorders>
          </w:tcPr>
          <w:p w:rsidR="00B31868" w:rsidRPr="00211D55" w:rsidRDefault="00B31868" w:rsidP="00086C3F">
            <w:pPr>
              <w:bidi/>
              <w:adjustRightInd w:val="0"/>
              <w:snapToGri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استقصاء مكتب المساعدة لعام 2013: أعرب 64% من المشاركين عن رضاهم الكامل</w:t>
            </w:r>
          </w:p>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p>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رضا مديري الأعمال في بداية الثنائية</w:t>
            </w:r>
          </w:p>
        </w:tc>
        <w:tc>
          <w:tcPr>
            <w:tcW w:w="908" w:type="pct"/>
            <w:tcBorders>
              <w:top w:val="nil"/>
              <w:bottom w:val="nil"/>
            </w:tcBorders>
            <w:tcMar>
              <w:top w:w="110" w:type="dxa"/>
            </w:tcMar>
          </w:tcPr>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الحفاظ على النسبة أو تحسينها بناء على أساس المقارنة</w:t>
            </w:r>
          </w:p>
        </w:tc>
        <w:tc>
          <w:tcPr>
            <w:tcW w:w="1441" w:type="pct"/>
            <w:tcBorders>
              <w:top w:val="nil"/>
              <w:bottom w:val="nil"/>
            </w:tcBorders>
            <w:shd w:val="clear" w:color="auto" w:fill="FFFFFF"/>
            <w:tcMar>
              <w:top w:w="110" w:type="dxa"/>
            </w:tcMar>
          </w:tcPr>
          <w:p w:rsidR="00B31868" w:rsidRPr="00211D55" w:rsidRDefault="00B31868" w:rsidP="00086C3F">
            <w:pPr>
              <w:bidi/>
              <w:spacing w:before="60" w:after="60" w:line="280" w:lineRule="exact"/>
              <w:rPr>
                <w:rFonts w:ascii="Arabic Typesetting" w:eastAsia="Arial" w:hAnsi="Arabic Typesetting" w:cs="Arabic Typesetting"/>
                <w:color w:val="000000"/>
                <w:sz w:val="28"/>
                <w:szCs w:val="28"/>
                <w:rtl/>
                <w:lang w:bidi="ar-EG"/>
              </w:rPr>
            </w:pPr>
            <w:r w:rsidRPr="00211D55">
              <w:rPr>
                <w:rFonts w:ascii="Arabic Typesetting" w:eastAsia="Arial" w:hAnsi="Arabic Typesetting" w:cs="Arabic Typesetting"/>
                <w:color w:val="000000"/>
                <w:sz w:val="28"/>
                <w:szCs w:val="28"/>
                <w:rtl/>
                <w:lang w:bidi="ar-EG"/>
              </w:rPr>
              <w:t>استقصاء مكتب المساعدة لعام 2014: أعرب 67% من المشاركين عن رضاهم الكامل</w:t>
            </w:r>
          </w:p>
          <w:p w:rsidR="00302EEE" w:rsidRPr="00211D55" w:rsidRDefault="00302EEE" w:rsidP="00086C3F">
            <w:pPr>
              <w:bidi/>
              <w:spacing w:before="60" w:after="60" w:line="280" w:lineRule="exact"/>
              <w:rPr>
                <w:rFonts w:ascii="Arabic Typesetting" w:eastAsia="Arial" w:hAnsi="Arabic Typesetting" w:cs="Arabic Typesetting"/>
                <w:color w:val="000000"/>
                <w:sz w:val="28"/>
                <w:szCs w:val="28"/>
                <w:rtl/>
                <w:lang w:bidi="ar-EG"/>
              </w:rPr>
            </w:pPr>
            <w:r w:rsidRPr="00211D55">
              <w:rPr>
                <w:rFonts w:ascii="Arabic Typesetting" w:eastAsia="Arial" w:hAnsi="Arabic Typesetting" w:cs="Arabic Typesetting"/>
                <w:color w:val="000000"/>
                <w:sz w:val="28"/>
                <w:szCs w:val="28"/>
                <w:rtl/>
                <w:lang w:bidi="ar-EG"/>
              </w:rPr>
              <w:t>استقصاء مكتب المساعدة لعام 2015: أعرب 97% من المشاركين عن رضاهم أو رضاهم الكامل ومنهم 70.5% أعربوا عن رضاهم الكامل</w:t>
            </w:r>
            <w:r w:rsidRPr="00F96634">
              <w:rPr>
                <w:rFonts w:ascii="Arabic Typesetting" w:eastAsia="Arial" w:hAnsi="Arabic Typesetting" w:cs="Arabic Typesetting"/>
                <w:color w:val="000000"/>
                <w:sz w:val="28"/>
                <w:szCs w:val="28"/>
                <w:vertAlign w:val="superscript"/>
                <w:rtl/>
                <w:lang w:bidi="ar-EG"/>
              </w:rPr>
              <w:footnoteReference w:id="139"/>
            </w:r>
          </w:p>
        </w:tc>
        <w:tc>
          <w:tcPr>
            <w:tcW w:w="454" w:type="pct"/>
            <w:tcBorders>
              <w:top w:val="nil"/>
              <w:bottom w:val="nil"/>
            </w:tcBorders>
            <w:shd w:val="clear" w:color="auto" w:fill="auto"/>
            <w:tcMar>
              <w:top w:w="110" w:type="dxa"/>
            </w:tcMar>
          </w:tcPr>
          <w:p w:rsidR="00B31868" w:rsidRPr="00211D55" w:rsidRDefault="00302EEE" w:rsidP="00086C3F">
            <w:pPr>
              <w:bidi/>
              <w:spacing w:before="60" w:after="60"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051EFF">
        <w:trPr>
          <w:cantSplit/>
        </w:trPr>
        <w:tc>
          <w:tcPr>
            <w:tcW w:w="1061" w:type="pct"/>
            <w:tcBorders>
              <w:top w:val="nil"/>
              <w:bottom w:val="single" w:sz="4" w:space="0" w:color="auto"/>
            </w:tcBorders>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color w:val="000000"/>
                <w:sz w:val="28"/>
                <w:szCs w:val="28"/>
                <w:rtl/>
              </w:rPr>
              <w:t xml:space="preserve">سهولة نفاذ الموظفين إلى تقنيات اتصالات شاملة ومتكاملة </w:t>
            </w:r>
          </w:p>
        </w:tc>
        <w:tc>
          <w:tcPr>
            <w:tcW w:w="1136" w:type="pct"/>
            <w:tcBorders>
              <w:top w:val="nil"/>
              <w:bottom w:val="single" w:sz="4" w:space="0" w:color="auto"/>
            </w:tcBorders>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التوفر من خلال حواسيب مكتبية (وحواسيب محمولة)</w:t>
            </w:r>
          </w:p>
        </w:tc>
        <w:tc>
          <w:tcPr>
            <w:tcW w:w="908" w:type="pct"/>
            <w:tcBorders>
              <w:top w:val="nil"/>
              <w:bottom w:val="single" w:sz="4" w:space="0" w:color="auto"/>
            </w:tcBorders>
            <w:tcMar>
              <w:top w:w="110" w:type="dxa"/>
            </w:tcMar>
          </w:tcPr>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 xml:space="preserve">التوفر </w:t>
            </w:r>
            <w:r w:rsidR="004258F0" w:rsidRPr="00211D55">
              <w:rPr>
                <w:rFonts w:ascii="Arabic Typesetting" w:hAnsi="Arabic Typesetting" w:cs="Arabic Typesetting"/>
                <w:b/>
                <w:sz w:val="28"/>
                <w:szCs w:val="28"/>
                <w:rtl/>
              </w:rPr>
              <w:t>على</w:t>
            </w:r>
            <w:r w:rsidRPr="00211D55">
              <w:rPr>
                <w:rFonts w:ascii="Arabic Typesetting" w:hAnsi="Arabic Typesetting" w:cs="Arabic Typesetting"/>
                <w:b/>
                <w:sz w:val="28"/>
                <w:szCs w:val="28"/>
                <w:rtl/>
              </w:rPr>
              <w:t xml:space="preserve"> أجهزة محمولة</w:t>
            </w:r>
            <w:r w:rsidR="004258F0" w:rsidRPr="00211D55">
              <w:rPr>
                <w:rFonts w:ascii="Arabic Typesetting" w:hAnsi="Arabic Typesetting" w:cs="Arabic Typesetting"/>
                <w:b/>
                <w:sz w:val="28"/>
                <w:szCs w:val="28"/>
                <w:rtl/>
              </w:rPr>
              <w:t xml:space="preserve"> أخرى</w:t>
            </w:r>
          </w:p>
        </w:tc>
        <w:tc>
          <w:tcPr>
            <w:tcW w:w="1441" w:type="pct"/>
            <w:tcBorders>
              <w:top w:val="nil"/>
              <w:bottom w:val="single" w:sz="4" w:space="0" w:color="auto"/>
            </w:tcBorders>
            <w:shd w:val="clear" w:color="auto" w:fill="FFFFFF"/>
            <w:tcMar>
              <w:top w:w="110" w:type="dxa"/>
            </w:tcMar>
          </w:tcPr>
          <w:p w:rsidR="00B31868" w:rsidRPr="00211D55" w:rsidRDefault="00B31868" w:rsidP="009F5F08">
            <w:pPr>
              <w:bidi/>
              <w:spacing w:before="60" w:after="60" w:line="280" w:lineRule="exact"/>
              <w:rPr>
                <w:rFonts w:ascii="Arabic Typesetting" w:eastAsia="Arial" w:hAnsi="Arabic Typesetting" w:cs="Arabic Typesetting"/>
                <w:color w:val="000000"/>
                <w:sz w:val="28"/>
                <w:szCs w:val="28"/>
                <w:rtl/>
                <w:lang w:bidi="ar-EG"/>
              </w:rPr>
            </w:pPr>
            <w:r w:rsidRPr="00211D55">
              <w:rPr>
                <w:rFonts w:ascii="Arabic Typesetting" w:eastAsia="Arial" w:hAnsi="Arabic Typesetting" w:cs="Arabic Typesetting"/>
                <w:color w:val="000000"/>
                <w:sz w:val="28"/>
                <w:szCs w:val="28"/>
                <w:rtl/>
                <w:lang w:bidi="ar-EG"/>
              </w:rPr>
              <w:t xml:space="preserve">النفاذ إلى الشبكة الداخلية </w:t>
            </w:r>
            <w:r w:rsidR="009F5F08" w:rsidRPr="00211D55">
              <w:rPr>
                <w:rFonts w:ascii="Arabic Typesetting" w:eastAsia="Arial" w:hAnsi="Arabic Typesetting" w:cs="Arabic Typesetting"/>
                <w:color w:val="000000"/>
                <w:sz w:val="28"/>
                <w:szCs w:val="28"/>
                <w:rtl/>
                <w:lang w:bidi="ar-EG"/>
              </w:rPr>
              <w:t>والمجيب الآلي</w:t>
            </w:r>
            <w:r w:rsidRPr="00211D55">
              <w:rPr>
                <w:rFonts w:ascii="Arabic Typesetting" w:eastAsia="Arial" w:hAnsi="Arabic Typesetting" w:cs="Arabic Typesetting"/>
                <w:color w:val="000000"/>
                <w:sz w:val="28"/>
                <w:szCs w:val="28"/>
                <w:rtl/>
                <w:lang w:bidi="ar-EG"/>
              </w:rPr>
              <w:t xml:space="preserve"> عبر أجهزة الويبو المحمولة</w:t>
            </w:r>
            <w:r w:rsidR="005C548F" w:rsidRPr="00211D55">
              <w:rPr>
                <w:rFonts w:ascii="Arabic Typesetting" w:eastAsia="Arial" w:hAnsi="Arabic Typesetting" w:cs="Arabic Typesetting"/>
                <w:color w:val="000000"/>
                <w:sz w:val="28"/>
                <w:szCs w:val="28"/>
                <w:rtl/>
                <w:lang w:bidi="ar-EG"/>
              </w:rPr>
              <w:t xml:space="preserve">؛ الاتصال الصوتي </w:t>
            </w:r>
            <w:proofErr w:type="spellStart"/>
            <w:r w:rsidR="005C548F" w:rsidRPr="00211D55">
              <w:rPr>
                <w:rFonts w:ascii="Arabic Typesetting" w:eastAsia="Arial" w:hAnsi="Arabic Typesetting" w:cs="Arabic Typesetting"/>
                <w:color w:val="000000"/>
                <w:sz w:val="28"/>
                <w:szCs w:val="28"/>
                <w:rtl/>
                <w:lang w:bidi="ar-EG"/>
              </w:rPr>
              <w:t>والمرئيس</w:t>
            </w:r>
            <w:proofErr w:type="spellEnd"/>
            <w:r w:rsidR="005C548F" w:rsidRPr="00211D55">
              <w:rPr>
                <w:rFonts w:ascii="Arabic Typesetting" w:eastAsia="Arial" w:hAnsi="Arabic Typesetting" w:cs="Arabic Typesetting"/>
                <w:color w:val="000000"/>
                <w:sz w:val="28"/>
                <w:szCs w:val="28"/>
                <w:rtl/>
                <w:lang w:bidi="ar-EG"/>
              </w:rPr>
              <w:t xml:space="preserve"> المباشر بين المكاتب الخارجية ومقر الويبو؛ الاتصال بالخطوط الأرضية عبر الحاسوب؛ إمكانية إرسال رسائل الفاكس وتلقيها عبر البريد الإلكتروني</w:t>
            </w:r>
          </w:p>
        </w:tc>
        <w:tc>
          <w:tcPr>
            <w:tcW w:w="454" w:type="pct"/>
            <w:tcBorders>
              <w:top w:val="nil"/>
              <w:bottom w:val="single" w:sz="4" w:space="0" w:color="auto"/>
            </w:tcBorders>
            <w:shd w:val="clear" w:color="auto" w:fill="auto"/>
            <w:tcMar>
              <w:top w:w="110" w:type="dxa"/>
            </w:tcMar>
          </w:tcPr>
          <w:p w:rsidR="00B31868" w:rsidRPr="00211D55" w:rsidRDefault="005C548F" w:rsidP="00086C3F">
            <w:pPr>
              <w:bidi/>
              <w:spacing w:before="60" w:after="60"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5C548F">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hAnsi="Arabic Typesetting" w:cs="Arabic Typesetting"/>
                <w:b/>
                <w:bCs/>
                <w:color w:val="000000"/>
                <w:sz w:val="28"/>
                <w:szCs w:val="28"/>
                <w:lang w:bidi="ar-EG"/>
              </w:rPr>
            </w:pPr>
            <w:r w:rsidRPr="00211D55">
              <w:rPr>
                <w:rFonts w:ascii="Arabic Typesetting" w:eastAsia="Arial" w:hAnsi="Arabic Typesetting" w:cs="Arabic Typesetting"/>
                <w:b/>
                <w:bCs/>
                <w:color w:val="000000"/>
                <w:sz w:val="28"/>
                <w:szCs w:val="28"/>
                <w:rtl/>
                <w:lang w:bidi="ar-EG"/>
              </w:rPr>
              <w:lastRenderedPageBreak/>
              <w:t>النتيجة المرتقبة:</w:t>
            </w:r>
            <w:r w:rsidR="006E7FC6" w:rsidRPr="00211D55">
              <w:rPr>
                <w:rFonts w:ascii="Arabic Typesetting" w:eastAsia="Arial" w:hAnsi="Arabic Typesetting" w:cs="Arabic Typesetting"/>
                <w:b/>
                <w:color w:val="000000"/>
                <w:sz w:val="28"/>
                <w:szCs w:val="28"/>
                <w:rtl/>
                <w:lang w:bidi="ar-EG"/>
              </w:rPr>
              <w:tab/>
              <w:t>ه</w:t>
            </w:r>
            <w:r w:rsidRPr="00211D55">
              <w:rPr>
                <w:rFonts w:ascii="Arabic Typesetting" w:eastAsia="Arial" w:hAnsi="Arabic Typesetting" w:cs="Arabic Typesetting"/>
                <w:color w:val="000000"/>
                <w:sz w:val="28"/>
                <w:szCs w:val="28"/>
                <w:rtl/>
                <w:lang w:bidi="ar-EG"/>
              </w:rPr>
              <w:t xml:space="preserve">4.9 </w:t>
            </w:r>
            <w:r w:rsidR="003F15BC">
              <w:rPr>
                <w:rFonts w:ascii="Arabic Typesetting" w:eastAsia="Arial" w:hAnsi="Arabic Typesetting" w:cs="Arabic Typesetting"/>
                <w:color w:val="000000"/>
                <w:sz w:val="28"/>
                <w:szCs w:val="28"/>
                <w:rtl/>
                <w:lang w:bidi="ar-EG"/>
              </w:rPr>
              <w:t>منظمة ذات مسؤولية بيئية واجتماعية تكفل سلامة وأمن موظفي الويبو والمندوبين والزائرين والممتلكات المادية والمعلومات</w:t>
            </w:r>
          </w:p>
        </w:tc>
      </w:tr>
      <w:tr w:rsidR="00B31868" w:rsidRPr="00211D55" w:rsidTr="009F0E15">
        <w:trPr>
          <w:cantSplit/>
        </w:trPr>
        <w:tc>
          <w:tcPr>
            <w:tcW w:w="1061"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color w:val="000000"/>
                <w:sz w:val="28"/>
                <w:szCs w:val="28"/>
                <w:lang w:bidi="ar-EG"/>
              </w:rPr>
            </w:pPr>
            <w:r w:rsidRPr="00211D55">
              <w:rPr>
                <w:rFonts w:ascii="Arabic Typesetting" w:eastAsia="Arial" w:hAnsi="Arabic Typesetting" w:cs="Arabic Typesetting"/>
                <w:b/>
                <w:bCs/>
                <w:color w:val="000000"/>
                <w:sz w:val="28"/>
                <w:szCs w:val="28"/>
                <w:rtl/>
                <w:lang w:bidi="ar-EG"/>
              </w:rPr>
              <w:t>مؤشرات الأداء</w:t>
            </w:r>
          </w:p>
        </w:tc>
        <w:tc>
          <w:tcPr>
            <w:tcW w:w="1136" w:type="pct"/>
            <w:tcBorders>
              <w:top w:val="single" w:sz="4" w:space="0" w:color="auto"/>
            </w:tcBorders>
            <w:vAlign w:val="center"/>
          </w:tcPr>
          <w:p w:rsidR="00B31868" w:rsidRPr="00211D55" w:rsidRDefault="00B31868" w:rsidP="00086C3F">
            <w:pPr>
              <w:keepNext/>
              <w:bidi/>
              <w:spacing w:before="60" w:after="60" w:line="280" w:lineRule="exact"/>
              <w:rPr>
                <w:rFonts w:ascii="Arabic Typesetting" w:hAnsi="Arabic Typesetting" w:cs="Arabic Typesetting"/>
                <w:b/>
                <w:bCs/>
                <w:color w:val="000000"/>
                <w:sz w:val="28"/>
                <w:szCs w:val="28"/>
                <w:lang w:bidi="ar-EG"/>
              </w:rPr>
            </w:pPr>
            <w:r w:rsidRPr="00211D55">
              <w:rPr>
                <w:rFonts w:ascii="Arabic Typesetting" w:eastAsia="Arial" w:hAnsi="Arabic Typesetting" w:cs="Arabic Typesetting"/>
                <w:b/>
                <w:bCs/>
                <w:sz w:val="28"/>
                <w:szCs w:val="28"/>
                <w:rtl/>
                <w:lang w:bidi="ar-EG"/>
              </w:rPr>
              <w:t>أسس المقارنة</w:t>
            </w:r>
          </w:p>
        </w:tc>
        <w:tc>
          <w:tcPr>
            <w:tcW w:w="908" w:type="pct"/>
            <w:tcBorders>
              <w:top w:val="single" w:sz="4" w:space="0" w:color="auto"/>
            </w:tcBorders>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color w:val="000000"/>
                <w:sz w:val="28"/>
                <w:szCs w:val="28"/>
                <w:lang w:bidi="ar-EG"/>
              </w:rPr>
            </w:pPr>
            <w:r w:rsidRPr="00211D55">
              <w:rPr>
                <w:rFonts w:ascii="Arabic Typesetting" w:eastAsia="Arial" w:hAnsi="Arabic Typesetting" w:cs="Arabic Typesetting"/>
                <w:b/>
                <w:bCs/>
                <w:sz w:val="28"/>
                <w:szCs w:val="28"/>
                <w:rtl/>
                <w:lang w:bidi="ar-EG"/>
              </w:rPr>
              <w:t xml:space="preserve">الأهداف </w:t>
            </w:r>
          </w:p>
        </w:tc>
        <w:tc>
          <w:tcPr>
            <w:tcW w:w="1441" w:type="pct"/>
            <w:tcBorders>
              <w:top w:val="single" w:sz="4" w:space="0" w:color="auto"/>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color w:val="000000"/>
                <w:sz w:val="28"/>
                <w:szCs w:val="28"/>
                <w:lang w:bidi="ar-EG"/>
              </w:rPr>
            </w:pPr>
            <w:r w:rsidRPr="00211D55">
              <w:rPr>
                <w:rFonts w:ascii="Arabic Typesetting" w:eastAsia="Arial" w:hAnsi="Arabic Typesetting" w:cs="Arabic Typesetting"/>
                <w:b/>
                <w:bCs/>
                <w:sz w:val="28"/>
                <w:szCs w:val="28"/>
                <w:rtl/>
                <w:lang w:bidi="ar-EG"/>
              </w:rPr>
              <w:t>بيانات الأداء</w:t>
            </w:r>
          </w:p>
        </w:tc>
        <w:tc>
          <w:tcPr>
            <w:tcW w:w="454" w:type="pct"/>
            <w:tcBorders>
              <w:top w:val="single" w:sz="4" w:space="0" w:color="auto"/>
            </w:tcBorders>
            <w:shd w:val="clear" w:color="auto" w:fill="auto"/>
            <w:tcMar>
              <w:top w:w="110" w:type="dxa"/>
            </w:tcMar>
            <w:vAlign w:val="center"/>
          </w:tcPr>
          <w:p w:rsidR="00B31868" w:rsidRPr="00211D55" w:rsidRDefault="00B31868" w:rsidP="00086C3F">
            <w:pPr>
              <w:keepNext/>
              <w:keepLines/>
              <w:bidi/>
              <w:spacing w:before="60" w:after="60" w:line="280" w:lineRule="exact"/>
              <w:jc w:val="center"/>
              <w:rPr>
                <w:rFonts w:ascii="Arabic Typesetting" w:hAnsi="Arabic Typesetting" w:cs="Arabic Typesetting"/>
                <w:b/>
                <w:bCs/>
                <w:color w:val="000000"/>
                <w:sz w:val="28"/>
                <w:szCs w:val="28"/>
                <w:lang w:bidi="ar-EG"/>
              </w:rPr>
            </w:pPr>
            <w:r w:rsidRPr="00211D55">
              <w:rPr>
                <w:rFonts w:ascii="Arabic Typesetting" w:eastAsia="Arial" w:hAnsi="Arabic Typesetting" w:cs="Arabic Typesetting"/>
                <w:b/>
                <w:bCs/>
                <w:color w:val="000000"/>
                <w:sz w:val="28"/>
                <w:szCs w:val="28"/>
                <w:rtl/>
                <w:lang w:bidi="ar-EG"/>
              </w:rPr>
              <w:t>السير</w:t>
            </w:r>
          </w:p>
        </w:tc>
      </w:tr>
      <w:tr w:rsidR="00B31868" w:rsidRPr="00211D55" w:rsidTr="009F0E15">
        <w:trPr>
          <w:cantSplit/>
        </w:trPr>
        <w:tc>
          <w:tcPr>
            <w:tcW w:w="1061" w:type="pct"/>
          </w:tcPr>
          <w:p w:rsidR="00B31868" w:rsidRPr="00211D55" w:rsidRDefault="00B31868" w:rsidP="00086C3F">
            <w:pPr>
              <w:keepNext/>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color w:val="000000"/>
                <w:sz w:val="28"/>
                <w:szCs w:val="28"/>
                <w:rtl/>
              </w:rPr>
              <w:t>تعزيز أمن المعلومات لحمايتها من الهجمات المتزايدة عبر الإنترنت</w:t>
            </w:r>
          </w:p>
        </w:tc>
        <w:tc>
          <w:tcPr>
            <w:tcW w:w="1136" w:type="pct"/>
          </w:tcPr>
          <w:p w:rsidR="00B31868" w:rsidRPr="00211D55" w:rsidRDefault="00B31868" w:rsidP="00086C3F">
            <w:pPr>
              <w:keepNext/>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ليس ثمة خروقات كبرى لأنظمة معلومات الويبو</w:t>
            </w:r>
          </w:p>
        </w:tc>
        <w:tc>
          <w:tcPr>
            <w:tcW w:w="908" w:type="pct"/>
            <w:tcMar>
              <w:top w:w="110" w:type="dxa"/>
            </w:tcMar>
          </w:tcPr>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ليس ثمة خروقات كبرى لأنظمة معلومات الويبو</w:t>
            </w:r>
          </w:p>
        </w:tc>
        <w:tc>
          <w:tcPr>
            <w:tcW w:w="1441" w:type="pct"/>
            <w:shd w:val="clear" w:color="auto" w:fill="FFFFFF"/>
            <w:tcMar>
              <w:top w:w="110" w:type="dxa"/>
            </w:tcMar>
          </w:tcPr>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ليس ثمة خروقات كبرى لأنظمة معلومات الويبو</w:t>
            </w:r>
            <w:r w:rsidR="004F5434" w:rsidRPr="00211D55">
              <w:rPr>
                <w:rFonts w:ascii="Arabic Typesetting" w:hAnsi="Arabic Typesetting" w:cs="Arabic Typesetting"/>
                <w:b/>
                <w:sz w:val="28"/>
                <w:szCs w:val="28"/>
                <w:rtl/>
              </w:rPr>
              <w:t xml:space="preserve"> خلال الثنائية </w:t>
            </w:r>
            <w:r w:rsidR="00507DE2">
              <w:rPr>
                <w:rFonts w:ascii="Arabic Typesetting" w:hAnsi="Arabic Typesetting" w:cs="Arabic Typesetting"/>
                <w:b/>
                <w:sz w:val="28"/>
                <w:szCs w:val="28"/>
                <w:rtl/>
              </w:rPr>
              <w:t>2014/15</w:t>
            </w:r>
          </w:p>
        </w:tc>
        <w:tc>
          <w:tcPr>
            <w:tcW w:w="454" w:type="pct"/>
            <w:shd w:val="clear" w:color="auto" w:fill="auto"/>
            <w:tcMar>
              <w:top w:w="110" w:type="dxa"/>
            </w:tcMar>
          </w:tcPr>
          <w:p w:rsidR="00B31868" w:rsidRPr="00211D55" w:rsidRDefault="004F5434" w:rsidP="00086C3F">
            <w:pPr>
              <w:keepNext/>
              <w:bidi/>
              <w:spacing w:before="60" w:after="60"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9F0E15">
        <w:trPr>
          <w:cantSplit/>
        </w:trPr>
        <w:tc>
          <w:tcPr>
            <w:tcW w:w="1061" w:type="pct"/>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color w:val="000000"/>
                <w:sz w:val="28"/>
                <w:szCs w:val="28"/>
                <w:rtl/>
              </w:rPr>
              <w:t xml:space="preserve">حالة شهادة </w:t>
            </w:r>
            <w:r w:rsidRPr="00211D55">
              <w:rPr>
                <w:rFonts w:ascii="Arabic Typesetting" w:hAnsi="Arabic Typesetting" w:cs="Arabic Typesetting"/>
                <w:color w:val="000000"/>
                <w:sz w:val="28"/>
                <w:szCs w:val="28"/>
              </w:rPr>
              <w:t>ISO 27001</w:t>
            </w:r>
            <w:r w:rsidRPr="00211D55">
              <w:rPr>
                <w:rFonts w:ascii="Arabic Typesetting" w:hAnsi="Arabic Typesetting" w:cs="Arabic Typesetting"/>
                <w:color w:val="000000"/>
                <w:sz w:val="28"/>
                <w:szCs w:val="28"/>
                <w:rtl/>
              </w:rPr>
              <w:t xml:space="preserve"> وعمليات إدارة مخاطر المعلومات</w:t>
            </w:r>
          </w:p>
        </w:tc>
        <w:tc>
          <w:tcPr>
            <w:tcW w:w="1136" w:type="pct"/>
          </w:tcPr>
          <w:p w:rsidR="00B31868" w:rsidRPr="00211D55" w:rsidRDefault="00B31868"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Cs/>
                <w:color w:val="002060"/>
                <w:sz w:val="28"/>
                <w:szCs w:val="28"/>
                <w:rtl/>
                <w:lang w:bidi="ar-EG"/>
              </w:rPr>
              <w:t>أسس المقارنة المحدثة في نهاية 2013:</w:t>
            </w:r>
            <w:r w:rsidRPr="00211D55">
              <w:rPr>
                <w:rFonts w:ascii="Arabic Typesetting" w:hAnsi="Arabic Typesetting" w:cs="Arabic Typesetting"/>
                <w:i/>
                <w:color w:val="002060"/>
                <w:sz w:val="28"/>
                <w:szCs w:val="28"/>
                <w:rtl/>
                <w:lang w:bidi="ar-EG"/>
              </w:rPr>
              <w:t xml:space="preserve"> 156 من الأنشطة الجارية للتخفيف من آثار المخاطر</w:t>
            </w:r>
          </w:p>
          <w:p w:rsidR="00B31868" w:rsidRPr="00211D55" w:rsidRDefault="00B37577" w:rsidP="00086C3F">
            <w:pPr>
              <w:bidi/>
              <w:adjustRightInd w:val="0"/>
              <w:snapToGrid w:val="0"/>
              <w:spacing w:before="60" w:after="60" w:line="280" w:lineRule="exact"/>
              <w:rPr>
                <w:rFonts w:ascii="Arabic Typesetting" w:hAnsi="Arabic Typesetting" w:cs="Arabic Typesetting"/>
                <w:iCs/>
                <w:color w:val="002060"/>
                <w:sz w:val="28"/>
                <w:szCs w:val="28"/>
                <w:rtl/>
                <w:lang w:bidi="ar-EG"/>
              </w:rPr>
            </w:pPr>
            <w:r w:rsidRPr="00211D55">
              <w:rPr>
                <w:rFonts w:ascii="Arabic Typesetting" w:hAnsi="Arabic Typesetting" w:cs="Arabic Typesetting"/>
                <w:i/>
                <w:color w:val="002060"/>
                <w:sz w:val="28"/>
                <w:szCs w:val="28"/>
                <w:rtl/>
                <w:lang w:bidi="ar-EG"/>
              </w:rPr>
              <w:t>حدِّث</w:t>
            </w:r>
            <w:r w:rsidR="00B31868" w:rsidRPr="00211D55">
              <w:rPr>
                <w:rFonts w:ascii="Arabic Typesetting" w:hAnsi="Arabic Typesetting" w:cs="Arabic Typesetting"/>
                <w:i/>
                <w:color w:val="002060"/>
                <w:sz w:val="28"/>
                <w:szCs w:val="28"/>
                <w:rtl/>
                <w:lang w:bidi="ar-EG"/>
              </w:rPr>
              <w:t xml:space="preserve"> سجل مخاطر أمن المعلومات مرتين في السنة واستُعرض بتفصيل في إطار حصول نظام معاهدة البراءات على شهادة </w:t>
            </w:r>
            <w:r w:rsidR="00B31868" w:rsidRPr="00211D55">
              <w:rPr>
                <w:rFonts w:ascii="Arabic Typesetting" w:hAnsi="Arabic Typesetting" w:cs="Arabic Typesetting"/>
                <w:iCs/>
                <w:color w:val="002060"/>
                <w:sz w:val="28"/>
                <w:szCs w:val="28"/>
                <w:lang w:bidi="ar-EG"/>
              </w:rPr>
              <w:t>ISO 27001</w:t>
            </w:r>
          </w:p>
          <w:p w:rsidR="00B37577" w:rsidRPr="00211D55" w:rsidRDefault="00B37577" w:rsidP="00086C3F">
            <w:pPr>
              <w:bidi/>
              <w:adjustRightInd w:val="0"/>
              <w:snapToGrid w:val="0"/>
              <w:spacing w:before="60" w:after="60" w:line="280" w:lineRule="exact"/>
              <w:rPr>
                <w:rFonts w:ascii="Arabic Typesetting" w:hAnsi="Arabic Typesetting" w:cs="Arabic Typesetting"/>
                <w:i/>
                <w:color w:val="002060"/>
                <w:sz w:val="28"/>
                <w:szCs w:val="28"/>
                <w:rtl/>
                <w:lang w:bidi="ar-EG"/>
              </w:rPr>
            </w:pPr>
            <w:r w:rsidRPr="00211D55">
              <w:rPr>
                <w:rFonts w:ascii="Arabic Typesetting" w:hAnsi="Arabic Typesetting" w:cs="Arabic Typesetting"/>
                <w:i/>
                <w:color w:val="002060"/>
                <w:sz w:val="28"/>
                <w:szCs w:val="28"/>
                <w:rtl/>
                <w:lang w:bidi="ar-EG"/>
              </w:rPr>
              <w:t xml:space="preserve">حصول نظام البراءات على شهادة </w:t>
            </w:r>
            <w:r w:rsidRPr="00211D55">
              <w:rPr>
                <w:rFonts w:ascii="Arabic Typesetting" w:hAnsi="Arabic Typesetting" w:cs="Arabic Typesetting"/>
                <w:iCs/>
                <w:color w:val="002060"/>
                <w:sz w:val="28"/>
                <w:szCs w:val="28"/>
                <w:lang w:bidi="ar-EG"/>
              </w:rPr>
              <w:t>ISO 27001:2005</w:t>
            </w:r>
            <w:r w:rsidRPr="00211D55">
              <w:rPr>
                <w:rFonts w:ascii="Arabic Typesetting" w:hAnsi="Arabic Typesetting" w:cs="Arabic Typesetting"/>
                <w:i/>
                <w:color w:val="002060"/>
                <w:sz w:val="28"/>
                <w:szCs w:val="28"/>
                <w:rtl/>
                <w:lang w:bidi="ar-EG"/>
              </w:rPr>
              <w:t xml:space="preserve"> (أكتوبر 2013)؛</w:t>
            </w:r>
          </w:p>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iCs/>
                <w:sz w:val="28"/>
                <w:szCs w:val="28"/>
                <w:rtl/>
                <w:lang w:bidi="ar-EG"/>
              </w:rPr>
              <w:t xml:space="preserve">أسس المقارنة الأصلية في برنامج وميزانية </w:t>
            </w:r>
            <w:r w:rsidR="00507DE2">
              <w:rPr>
                <w:rFonts w:ascii="Arabic Typesetting" w:hAnsi="Arabic Typesetting" w:cs="Arabic Typesetting"/>
                <w:iCs/>
                <w:sz w:val="28"/>
                <w:szCs w:val="28"/>
                <w:rtl/>
                <w:lang w:bidi="ar-EG"/>
              </w:rPr>
              <w:t>2014/15</w:t>
            </w:r>
            <w:r w:rsidRPr="00211D55">
              <w:rPr>
                <w:rFonts w:ascii="Arabic Typesetting" w:hAnsi="Arabic Typesetting" w:cs="Arabic Typesetting"/>
                <w:i/>
                <w:sz w:val="28"/>
                <w:szCs w:val="28"/>
                <w:rtl/>
                <w:lang w:bidi="ar-EG"/>
              </w:rPr>
              <w:t>:</w:t>
            </w:r>
          </w:p>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عدد الأنشطة الجارية للتخفيف من المخاطر في بداية الثنائية؛ حصول قسم معاهدة التعاون بشأن البراءات على شهادة </w:t>
            </w:r>
            <w:r w:rsidRPr="00211D55">
              <w:rPr>
                <w:rFonts w:ascii="Arabic Typesetting" w:hAnsi="Arabic Typesetting" w:cs="Arabic Typesetting"/>
                <w:sz w:val="28"/>
                <w:szCs w:val="28"/>
              </w:rPr>
              <w:t>ISO 27001</w:t>
            </w:r>
          </w:p>
        </w:tc>
        <w:tc>
          <w:tcPr>
            <w:tcW w:w="908" w:type="pct"/>
            <w:tcMar>
              <w:top w:w="110" w:type="dxa"/>
            </w:tcMar>
          </w:tcPr>
          <w:p w:rsidR="004F5434" w:rsidRPr="00211D55" w:rsidRDefault="00B31868" w:rsidP="00086C3F">
            <w:pPr>
              <w:keepNext/>
              <w:keepLines/>
              <w:bidi/>
              <w:spacing w:before="6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معالجة 90% من أساس المقارنة خلال الثنائية؛</w:t>
            </w:r>
          </w:p>
          <w:p w:rsidR="004F5434" w:rsidRPr="00211D55" w:rsidRDefault="004F5434" w:rsidP="00086C3F">
            <w:pPr>
              <w:keepNext/>
              <w:keepLines/>
              <w:bidi/>
              <w:spacing w:before="60" w:after="60" w:line="280" w:lineRule="exact"/>
              <w:ind w:right="221"/>
              <w:rPr>
                <w:rFonts w:ascii="Arabic Typesetting" w:hAnsi="Arabic Typesetting" w:cs="Arabic Typesetting"/>
                <w:b/>
                <w:sz w:val="28"/>
                <w:szCs w:val="28"/>
                <w:rtl/>
              </w:rPr>
            </w:pPr>
          </w:p>
          <w:p w:rsidR="004F5434" w:rsidRPr="00211D55" w:rsidRDefault="004F5434" w:rsidP="00086C3F">
            <w:pPr>
              <w:keepNext/>
              <w:keepLines/>
              <w:bidi/>
              <w:spacing w:before="60" w:after="60" w:line="280" w:lineRule="exact"/>
              <w:ind w:right="221"/>
              <w:rPr>
                <w:rFonts w:ascii="Arabic Typesetting" w:hAnsi="Arabic Typesetting" w:cs="Arabic Typesetting"/>
                <w:b/>
                <w:sz w:val="28"/>
                <w:szCs w:val="28"/>
                <w:rtl/>
              </w:rPr>
            </w:pPr>
          </w:p>
          <w:p w:rsidR="004F5434" w:rsidRPr="00211D55" w:rsidRDefault="004F5434" w:rsidP="00086C3F">
            <w:pPr>
              <w:keepNext/>
              <w:keepLines/>
              <w:bidi/>
              <w:spacing w:before="60" w:after="60" w:line="280" w:lineRule="exact"/>
              <w:ind w:right="221"/>
              <w:rPr>
                <w:rFonts w:ascii="Arabic Typesetting" w:hAnsi="Arabic Typesetting" w:cs="Arabic Typesetting"/>
                <w:b/>
                <w:sz w:val="28"/>
                <w:szCs w:val="28"/>
                <w:rtl/>
              </w:rPr>
            </w:pPr>
          </w:p>
          <w:p w:rsidR="004F5434" w:rsidRPr="00211D55" w:rsidRDefault="004F5434" w:rsidP="00086C3F">
            <w:pPr>
              <w:keepNext/>
              <w:keepLines/>
              <w:bidi/>
              <w:spacing w:before="60" w:after="60" w:line="280" w:lineRule="exact"/>
              <w:ind w:right="221"/>
              <w:rPr>
                <w:rFonts w:ascii="Arabic Typesetting" w:hAnsi="Arabic Typesetting" w:cs="Arabic Typesetting"/>
                <w:b/>
                <w:sz w:val="28"/>
                <w:szCs w:val="28"/>
                <w:rtl/>
              </w:rPr>
            </w:pPr>
          </w:p>
          <w:p w:rsidR="004F5434" w:rsidRPr="00211D55" w:rsidRDefault="00B31868" w:rsidP="00086C3F">
            <w:pPr>
              <w:keepNext/>
              <w:keepLines/>
              <w:bidi/>
              <w:spacing w:before="30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تخفيف 60% من المخاطر الجديدة خلال 3 أشهر من تحديدها؛ حصول الوحدات التنظيمية على الشهادة بحسب الحاجة؛</w:t>
            </w:r>
          </w:p>
          <w:p w:rsidR="004F5434" w:rsidRPr="00211D55" w:rsidRDefault="004F5434" w:rsidP="00086C3F">
            <w:pPr>
              <w:keepNext/>
              <w:keepLines/>
              <w:bidi/>
              <w:spacing w:before="60" w:after="60" w:line="280" w:lineRule="exact"/>
              <w:ind w:right="221"/>
              <w:rPr>
                <w:rFonts w:ascii="Arabic Typesetting" w:hAnsi="Arabic Typesetting" w:cs="Arabic Typesetting"/>
                <w:b/>
                <w:sz w:val="28"/>
                <w:szCs w:val="28"/>
                <w:rtl/>
              </w:rPr>
            </w:pPr>
          </w:p>
          <w:p w:rsidR="004F5434" w:rsidRPr="00211D55" w:rsidRDefault="004F5434" w:rsidP="00086C3F">
            <w:pPr>
              <w:keepNext/>
              <w:keepLines/>
              <w:bidi/>
              <w:spacing w:before="60" w:after="60" w:line="280" w:lineRule="exact"/>
              <w:ind w:right="221"/>
              <w:rPr>
                <w:rFonts w:ascii="Arabic Typesetting" w:hAnsi="Arabic Typesetting" w:cs="Arabic Typesetting"/>
                <w:b/>
                <w:sz w:val="28"/>
                <w:szCs w:val="28"/>
                <w:rtl/>
              </w:rPr>
            </w:pPr>
          </w:p>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احتفاظ نظام معاهدة البراءات بالشهادة</w:t>
            </w:r>
          </w:p>
        </w:tc>
        <w:tc>
          <w:tcPr>
            <w:tcW w:w="1441" w:type="pct"/>
            <w:shd w:val="clear" w:color="auto" w:fill="FFFFFF"/>
            <w:tcMar>
              <w:top w:w="110" w:type="dxa"/>
            </w:tcMar>
          </w:tcPr>
          <w:p w:rsidR="004F5434" w:rsidRPr="00211D55" w:rsidRDefault="00FF1820" w:rsidP="00086C3F">
            <w:pPr>
              <w:bidi/>
              <w:spacing w:before="60" w:after="60" w:line="280" w:lineRule="exact"/>
              <w:rPr>
                <w:rFonts w:ascii="Arabic Typesetting" w:eastAsia="Arial" w:hAnsi="Arabic Typesetting" w:cs="Arabic Typesetting"/>
                <w:color w:val="000000"/>
                <w:sz w:val="28"/>
                <w:szCs w:val="28"/>
                <w:rtl/>
              </w:rPr>
            </w:pPr>
            <w:r w:rsidRPr="00211D55">
              <w:rPr>
                <w:rFonts w:ascii="Arabic Typesetting" w:eastAsia="Arial" w:hAnsi="Arabic Typesetting" w:cs="Arabic Typesetting"/>
                <w:color w:val="000000"/>
                <w:sz w:val="28"/>
                <w:szCs w:val="28"/>
                <w:rtl/>
              </w:rPr>
              <w:t>تسنى</w:t>
            </w:r>
            <w:r w:rsidR="004F5434" w:rsidRPr="00211D55">
              <w:rPr>
                <w:rFonts w:ascii="Arabic Typesetting" w:eastAsia="Arial" w:hAnsi="Arabic Typesetting" w:cs="Arabic Typesetting"/>
                <w:color w:val="000000"/>
                <w:sz w:val="28"/>
                <w:szCs w:val="28"/>
                <w:rtl/>
              </w:rPr>
              <w:t xml:space="preserve"> الحد من وطأة 100% من المخاطر الجارية الواردة في أساس المقارنة بحلول نهاية الثنائية:</w:t>
            </w:r>
          </w:p>
          <w:p w:rsidR="004F5434" w:rsidRPr="00211D55" w:rsidRDefault="004F5434" w:rsidP="00086C3F">
            <w:pPr>
              <w:bidi/>
              <w:spacing w:before="60" w:after="60" w:line="280" w:lineRule="exact"/>
              <w:rPr>
                <w:rFonts w:ascii="Arabic Typesetting" w:eastAsia="Arial" w:hAnsi="Arabic Typesetting" w:cs="Arabic Typesetting"/>
                <w:color w:val="000000"/>
                <w:sz w:val="28"/>
                <w:szCs w:val="28"/>
                <w:rtl/>
              </w:rPr>
            </w:pPr>
            <w:r w:rsidRPr="00211D55">
              <w:rPr>
                <w:rFonts w:ascii="Arabic Typesetting" w:eastAsia="Arial" w:hAnsi="Arabic Typesetting" w:cs="Arabic Typesetting"/>
                <w:color w:val="000000"/>
                <w:sz w:val="28"/>
                <w:szCs w:val="28"/>
                <w:rtl/>
              </w:rPr>
              <w:t>2014: 89% من أصل 156 خطراً ورد في أساس المقارنة</w:t>
            </w:r>
          </w:p>
          <w:p w:rsidR="00B31868" w:rsidRPr="00211D55" w:rsidRDefault="004F5434" w:rsidP="00086C3F">
            <w:pPr>
              <w:bidi/>
              <w:spacing w:before="60" w:after="60" w:line="280" w:lineRule="exact"/>
              <w:rPr>
                <w:rFonts w:ascii="Arabic Typesetting" w:eastAsia="Arial" w:hAnsi="Arabic Typesetting" w:cs="Arabic Typesetting"/>
                <w:color w:val="000000"/>
                <w:sz w:val="28"/>
                <w:szCs w:val="28"/>
                <w:rtl/>
              </w:rPr>
            </w:pPr>
            <w:r w:rsidRPr="00211D55">
              <w:rPr>
                <w:rFonts w:ascii="Arabic Typesetting" w:eastAsia="Arial" w:hAnsi="Arabic Typesetting" w:cs="Arabic Typesetting"/>
                <w:color w:val="000000"/>
                <w:sz w:val="28"/>
                <w:szCs w:val="28"/>
                <w:rtl/>
              </w:rPr>
              <w:t>2015: 100% من أصل 23 خطراً (منها 17 خطر لا يزال قائماً)</w:t>
            </w:r>
          </w:p>
          <w:p w:rsidR="004F5434" w:rsidRPr="00211D55" w:rsidRDefault="004F5434" w:rsidP="00086C3F">
            <w:pPr>
              <w:bidi/>
              <w:spacing w:before="60" w:after="60" w:line="280" w:lineRule="exact"/>
              <w:rPr>
                <w:rFonts w:ascii="Arabic Typesetting" w:eastAsia="Arial" w:hAnsi="Arabic Typesetting" w:cs="Arabic Typesetting"/>
                <w:color w:val="000000"/>
                <w:sz w:val="28"/>
                <w:szCs w:val="28"/>
                <w:rtl/>
              </w:rPr>
            </w:pPr>
          </w:p>
          <w:p w:rsidR="00B31868" w:rsidRPr="00211D55" w:rsidRDefault="004F5434" w:rsidP="00086C3F">
            <w:pPr>
              <w:bidi/>
              <w:spacing w:before="60" w:after="60" w:line="280" w:lineRule="exact"/>
              <w:rPr>
                <w:rFonts w:ascii="Arabic Typesetting" w:eastAsia="Arial" w:hAnsi="Arabic Typesetting" w:cs="Arabic Typesetting"/>
                <w:color w:val="000000"/>
                <w:sz w:val="28"/>
                <w:szCs w:val="28"/>
                <w:rtl/>
              </w:rPr>
            </w:pPr>
            <w:r w:rsidRPr="00211D55">
              <w:rPr>
                <w:rFonts w:ascii="Arabic Typesetting" w:eastAsia="Arial" w:hAnsi="Arabic Typesetting" w:cs="Arabic Typesetting"/>
                <w:color w:val="000000"/>
                <w:sz w:val="28"/>
                <w:szCs w:val="28"/>
                <w:rtl/>
              </w:rPr>
              <w:t xml:space="preserve">في </w:t>
            </w:r>
            <w:r w:rsidR="00507DE2">
              <w:rPr>
                <w:rFonts w:ascii="Arabic Typesetting" w:eastAsia="Arial" w:hAnsi="Arabic Typesetting" w:cs="Arabic Typesetting"/>
                <w:color w:val="000000"/>
                <w:sz w:val="28"/>
                <w:szCs w:val="28"/>
                <w:rtl/>
              </w:rPr>
              <w:t>2014/15</w:t>
            </w:r>
            <w:r w:rsidRPr="00211D55">
              <w:rPr>
                <w:rFonts w:ascii="Arabic Typesetting" w:eastAsia="Arial" w:hAnsi="Arabic Typesetting" w:cs="Arabic Typesetting"/>
                <w:color w:val="000000"/>
                <w:sz w:val="28"/>
                <w:szCs w:val="28"/>
                <w:rtl/>
              </w:rPr>
              <w:t xml:space="preserve">، حدد 37 خطر جديد قائم على المعاير </w:t>
            </w:r>
            <w:r w:rsidRPr="00211D55">
              <w:rPr>
                <w:rFonts w:ascii="Arabic Typesetting" w:eastAsia="Arial" w:hAnsi="Arabic Typesetting" w:cs="Arabic Typesetting"/>
                <w:color w:val="000000"/>
                <w:sz w:val="28"/>
                <w:szCs w:val="28"/>
              </w:rPr>
              <w:t>ISO 27001</w:t>
            </w:r>
            <w:r w:rsidRPr="00211D55">
              <w:rPr>
                <w:rFonts w:ascii="Arabic Typesetting" w:eastAsia="Arial" w:hAnsi="Arabic Typesetting" w:cs="Arabic Typesetting"/>
                <w:color w:val="000000"/>
                <w:sz w:val="28"/>
                <w:szCs w:val="28"/>
                <w:rtl/>
              </w:rPr>
              <w:t xml:space="preserve"> منها 25 خطراً (67%) عولج في غضون 3 أشهر من تحديده</w:t>
            </w:r>
          </w:p>
          <w:p w:rsidR="004F5434" w:rsidRPr="00211D55" w:rsidRDefault="004F5434" w:rsidP="009A3712">
            <w:pPr>
              <w:numPr>
                <w:ilvl w:val="0"/>
                <w:numId w:val="17"/>
              </w:numPr>
              <w:bidi/>
              <w:spacing w:before="60" w:after="60" w:line="280" w:lineRule="exact"/>
              <w:ind w:left="284" w:hanging="284"/>
              <w:rPr>
                <w:rFonts w:ascii="Arabic Typesetting" w:eastAsia="Arial" w:hAnsi="Arabic Typesetting" w:cs="Arabic Typesetting"/>
                <w:color w:val="000000"/>
                <w:sz w:val="28"/>
                <w:szCs w:val="28"/>
              </w:rPr>
            </w:pPr>
            <w:r w:rsidRPr="00211D55">
              <w:rPr>
                <w:rFonts w:ascii="Arabic Typesetting" w:eastAsia="Arial" w:hAnsi="Arabic Typesetting" w:cs="Arabic Typesetting"/>
                <w:color w:val="000000"/>
                <w:sz w:val="28"/>
                <w:szCs w:val="28"/>
                <w:rtl/>
              </w:rPr>
              <w:t>8 من أصل 12 (66%) في 2014</w:t>
            </w:r>
          </w:p>
          <w:p w:rsidR="004F5434" w:rsidRPr="00211D55" w:rsidRDefault="004F5434" w:rsidP="009A3712">
            <w:pPr>
              <w:numPr>
                <w:ilvl w:val="0"/>
                <w:numId w:val="17"/>
              </w:numPr>
              <w:bidi/>
              <w:spacing w:before="60" w:after="60" w:line="280" w:lineRule="exact"/>
              <w:ind w:left="284" w:hanging="284"/>
              <w:rPr>
                <w:rFonts w:ascii="Arabic Typesetting" w:eastAsia="Arial" w:hAnsi="Arabic Typesetting" w:cs="Arabic Typesetting"/>
                <w:color w:val="000000"/>
                <w:sz w:val="28"/>
                <w:szCs w:val="28"/>
                <w:rtl/>
              </w:rPr>
            </w:pPr>
            <w:r w:rsidRPr="00211D55">
              <w:rPr>
                <w:rFonts w:ascii="Arabic Typesetting" w:eastAsia="Arial" w:hAnsi="Arabic Typesetting" w:cs="Arabic Typesetting"/>
                <w:color w:val="000000"/>
                <w:sz w:val="28"/>
                <w:szCs w:val="28"/>
                <w:rtl/>
              </w:rPr>
              <w:t>17 من أصل 25 (68%) في 2015</w:t>
            </w:r>
          </w:p>
          <w:p w:rsidR="004F5434" w:rsidRPr="00211D55" w:rsidRDefault="004F5434" w:rsidP="00086C3F">
            <w:pPr>
              <w:bidi/>
              <w:spacing w:before="60" w:after="60" w:line="280" w:lineRule="exact"/>
              <w:rPr>
                <w:rFonts w:ascii="Arabic Typesetting" w:eastAsia="Arial" w:hAnsi="Arabic Typesetting" w:cs="Arabic Typesetting"/>
                <w:color w:val="000000"/>
                <w:sz w:val="28"/>
                <w:szCs w:val="28"/>
                <w:rtl/>
              </w:rPr>
            </w:pPr>
          </w:p>
          <w:p w:rsidR="004F5434" w:rsidRPr="00211D55" w:rsidRDefault="004F5434" w:rsidP="00086C3F">
            <w:pPr>
              <w:bidi/>
              <w:spacing w:before="60" w:after="60" w:line="280" w:lineRule="exact"/>
              <w:rPr>
                <w:rFonts w:ascii="Arabic Typesetting" w:eastAsia="Arial" w:hAnsi="Arabic Typesetting" w:cs="Arabic Typesetting"/>
                <w:color w:val="000000"/>
                <w:sz w:val="28"/>
                <w:szCs w:val="28"/>
                <w:rtl/>
              </w:rPr>
            </w:pPr>
            <w:r w:rsidRPr="00211D55">
              <w:rPr>
                <w:rFonts w:ascii="Arabic Typesetting" w:eastAsia="Arial" w:hAnsi="Arabic Typesetting" w:cs="Arabic Typesetting"/>
                <w:color w:val="000000"/>
                <w:sz w:val="28"/>
                <w:szCs w:val="28"/>
                <w:rtl/>
              </w:rPr>
              <w:t>حدِّث سجل مخاطر أمن المعلومات مرتين في السنة ووسع نطاقه ليشمل مخاطر المعلومات المتعلقة بنظامي مدريد ولاهاي كجزء من عملية الحصول على الشهادة؛</w:t>
            </w:r>
          </w:p>
          <w:p w:rsidR="00B31868" w:rsidRPr="00211D55" w:rsidRDefault="00B31868" w:rsidP="00086C3F">
            <w:pPr>
              <w:bidi/>
              <w:spacing w:before="60" w:after="60" w:line="280" w:lineRule="exact"/>
              <w:rPr>
                <w:rFonts w:ascii="Arabic Typesetting" w:eastAsia="Arial" w:hAnsi="Arabic Typesetting" w:cs="Arabic Typesetting"/>
                <w:color w:val="000000"/>
                <w:sz w:val="28"/>
                <w:szCs w:val="28"/>
                <w:rtl/>
              </w:rPr>
            </w:pPr>
          </w:p>
          <w:p w:rsidR="00B31868" w:rsidRPr="00211D55" w:rsidRDefault="00B31868" w:rsidP="00086C3F">
            <w:pPr>
              <w:bidi/>
              <w:spacing w:before="60" w:after="60" w:line="280" w:lineRule="exact"/>
              <w:rPr>
                <w:rFonts w:ascii="Arabic Typesetting" w:eastAsia="Arial" w:hAnsi="Arabic Typesetting" w:cs="Arabic Typesetting"/>
                <w:color w:val="000000"/>
                <w:sz w:val="28"/>
                <w:szCs w:val="28"/>
              </w:rPr>
            </w:pPr>
            <w:r w:rsidRPr="00211D55">
              <w:rPr>
                <w:rFonts w:ascii="Arabic Typesetting" w:eastAsia="Arial" w:hAnsi="Arabic Typesetting" w:cs="Arabic Typesetting"/>
                <w:color w:val="000000"/>
                <w:sz w:val="28"/>
                <w:szCs w:val="28"/>
                <w:rtl/>
              </w:rPr>
              <w:t xml:space="preserve">انتقل نظام البراءات من المعيار </w:t>
            </w:r>
            <w:r w:rsidR="004F5434" w:rsidRPr="00211D55">
              <w:rPr>
                <w:rFonts w:ascii="Arabic Typesetting" w:eastAsia="Arial" w:hAnsi="Arabic Typesetting" w:cs="Arabic Typesetting"/>
                <w:color w:val="000000"/>
                <w:sz w:val="28"/>
                <w:szCs w:val="28"/>
              </w:rPr>
              <w:t>ISO 27001:2005</w:t>
            </w:r>
            <w:r w:rsidR="004F5434" w:rsidRPr="00211D55">
              <w:rPr>
                <w:rFonts w:ascii="Arabic Typesetting" w:eastAsia="Arial" w:hAnsi="Arabic Typesetting" w:cs="Arabic Typesetting"/>
                <w:color w:val="000000"/>
                <w:sz w:val="28"/>
                <w:szCs w:val="28"/>
                <w:rtl/>
              </w:rPr>
              <w:t xml:space="preserve"> إلى المعيار </w:t>
            </w:r>
            <w:r w:rsidR="004F5434" w:rsidRPr="00211D55">
              <w:rPr>
                <w:rFonts w:ascii="Arabic Typesetting" w:eastAsia="Arial" w:hAnsi="Arabic Typesetting" w:cs="Arabic Typesetting"/>
                <w:color w:val="000000"/>
                <w:sz w:val="28"/>
                <w:szCs w:val="28"/>
              </w:rPr>
              <w:t>27001:2013</w:t>
            </w:r>
            <w:r w:rsidR="004F5434" w:rsidRPr="00211D55">
              <w:rPr>
                <w:rFonts w:ascii="Arabic Typesetting" w:eastAsia="Arial" w:hAnsi="Arabic Typesetting" w:cs="Arabic Typesetting"/>
                <w:color w:val="000000"/>
                <w:sz w:val="28"/>
                <w:szCs w:val="28"/>
                <w:rtl/>
              </w:rPr>
              <w:t>. وحددت الشهادة في أكتوبر 2015 ووسع نطاقها لتشمل نظامي مدريد ولاهاي.</w:t>
            </w:r>
          </w:p>
        </w:tc>
        <w:tc>
          <w:tcPr>
            <w:tcW w:w="454" w:type="pct"/>
            <w:shd w:val="clear" w:color="auto" w:fill="auto"/>
            <w:tcMar>
              <w:top w:w="110" w:type="dxa"/>
            </w:tcMar>
          </w:tcPr>
          <w:p w:rsidR="00B31868" w:rsidRPr="00211D55" w:rsidRDefault="004F5434" w:rsidP="00086C3F">
            <w:pPr>
              <w:bidi/>
              <w:spacing w:before="60" w:after="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rPr>
            </w:pPr>
          </w:p>
          <w:p w:rsidR="004F5434" w:rsidRPr="00211D55" w:rsidRDefault="004F5434" w:rsidP="00086C3F">
            <w:pPr>
              <w:bidi/>
              <w:spacing w:before="60" w:after="60" w:line="280" w:lineRule="exact"/>
              <w:jc w:val="center"/>
              <w:rPr>
                <w:rFonts w:ascii="Arabic Typesetting" w:hAnsi="Arabic Typesetting" w:cs="Arabic Typesetting"/>
                <w:b/>
                <w:bCs/>
                <w:color w:val="00B050"/>
                <w:sz w:val="28"/>
                <w:szCs w:val="28"/>
                <w:rtl/>
              </w:rPr>
            </w:pPr>
          </w:p>
          <w:p w:rsidR="004F5434" w:rsidRPr="00211D55" w:rsidRDefault="004F5434" w:rsidP="00086C3F">
            <w:pPr>
              <w:bidi/>
              <w:spacing w:before="60" w:after="60" w:line="280" w:lineRule="exact"/>
              <w:jc w:val="center"/>
              <w:rPr>
                <w:rFonts w:ascii="Arabic Typesetting" w:hAnsi="Arabic Typesetting" w:cs="Arabic Typesetting"/>
                <w:b/>
                <w:bCs/>
                <w:color w:val="00B050"/>
                <w:sz w:val="28"/>
                <w:szCs w:val="28"/>
              </w:rPr>
            </w:pPr>
          </w:p>
          <w:p w:rsidR="004F5434" w:rsidRPr="00211D55" w:rsidRDefault="004F5434" w:rsidP="00086C3F">
            <w:pPr>
              <w:bidi/>
              <w:spacing w:before="60" w:after="60" w:line="280" w:lineRule="exact"/>
              <w:jc w:val="center"/>
              <w:rPr>
                <w:rFonts w:ascii="Arabic Typesetting" w:hAnsi="Arabic Typesetting" w:cs="Arabic Typesetting"/>
                <w:b/>
                <w:bCs/>
                <w:color w:val="00B050"/>
                <w:sz w:val="28"/>
                <w:szCs w:val="28"/>
              </w:rPr>
            </w:pPr>
          </w:p>
          <w:p w:rsidR="00B31868" w:rsidRPr="00211D55" w:rsidRDefault="004F5434" w:rsidP="00086C3F">
            <w:pPr>
              <w:bidi/>
              <w:spacing w:before="120" w:after="60" w:line="280" w:lineRule="exact"/>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rPr>
            </w:pPr>
          </w:p>
          <w:p w:rsidR="00B31868" w:rsidRPr="00211D55" w:rsidRDefault="00B31868" w:rsidP="00086C3F">
            <w:pPr>
              <w:bidi/>
              <w:spacing w:before="60" w:after="60" w:line="280" w:lineRule="exact"/>
              <w:jc w:val="center"/>
              <w:rPr>
                <w:rFonts w:ascii="Arabic Typesetting" w:hAnsi="Arabic Typesetting" w:cs="Arabic Typesetting"/>
                <w:b/>
                <w:bCs/>
                <w:color w:val="00B050"/>
                <w:sz w:val="28"/>
                <w:szCs w:val="28"/>
                <w:rtl/>
              </w:rPr>
            </w:pPr>
          </w:p>
          <w:p w:rsidR="00C329D2" w:rsidRPr="00211D55" w:rsidRDefault="00C329D2" w:rsidP="00086C3F">
            <w:pPr>
              <w:bidi/>
              <w:spacing w:before="60" w:after="60" w:line="280" w:lineRule="exact"/>
              <w:jc w:val="center"/>
              <w:rPr>
                <w:rFonts w:ascii="Arabic Typesetting" w:hAnsi="Arabic Typesetting" w:cs="Arabic Typesetting"/>
                <w:b/>
                <w:bCs/>
                <w:color w:val="00B050"/>
                <w:sz w:val="28"/>
                <w:szCs w:val="28"/>
                <w:rtl/>
              </w:rPr>
            </w:pPr>
          </w:p>
          <w:p w:rsidR="00C329D2" w:rsidRPr="00211D55" w:rsidRDefault="00C329D2" w:rsidP="00086C3F">
            <w:pPr>
              <w:bidi/>
              <w:spacing w:before="60" w:after="60" w:line="280" w:lineRule="exact"/>
              <w:jc w:val="center"/>
              <w:rPr>
                <w:rFonts w:ascii="Arabic Typesetting" w:hAnsi="Arabic Typesetting" w:cs="Arabic Typesetting"/>
                <w:b/>
                <w:bCs/>
                <w:color w:val="00B050"/>
                <w:sz w:val="28"/>
                <w:szCs w:val="28"/>
                <w:rtl/>
              </w:rPr>
            </w:pPr>
          </w:p>
          <w:p w:rsidR="00C329D2" w:rsidRPr="00211D55" w:rsidRDefault="00C329D2" w:rsidP="00086C3F">
            <w:pPr>
              <w:bidi/>
              <w:spacing w:before="60" w:after="60" w:line="280" w:lineRule="exact"/>
              <w:jc w:val="center"/>
              <w:rPr>
                <w:rFonts w:ascii="Arabic Typesetting" w:hAnsi="Arabic Typesetting" w:cs="Arabic Typesetting"/>
                <w:b/>
                <w:bCs/>
                <w:color w:val="00B050"/>
                <w:sz w:val="28"/>
                <w:szCs w:val="28"/>
                <w:rtl/>
              </w:rPr>
            </w:pPr>
          </w:p>
          <w:p w:rsidR="00C329D2" w:rsidRPr="00211D55" w:rsidRDefault="00C329D2" w:rsidP="00086C3F">
            <w:pPr>
              <w:bidi/>
              <w:spacing w:before="60" w:after="60" w:line="280" w:lineRule="exact"/>
              <w:jc w:val="center"/>
              <w:rPr>
                <w:rFonts w:ascii="Arabic Typesetting" w:hAnsi="Arabic Typesetting" w:cs="Arabic Typesetting"/>
                <w:b/>
                <w:bCs/>
                <w:color w:val="00B050"/>
                <w:sz w:val="28"/>
                <w:szCs w:val="28"/>
                <w:rtl/>
              </w:rPr>
            </w:pPr>
          </w:p>
          <w:p w:rsidR="00C329D2" w:rsidRPr="00211D55" w:rsidRDefault="00C329D2" w:rsidP="00086C3F">
            <w:pPr>
              <w:bidi/>
              <w:spacing w:before="60" w:after="60" w:line="280" w:lineRule="exact"/>
              <w:jc w:val="center"/>
              <w:rPr>
                <w:rFonts w:ascii="Arabic Typesetting" w:hAnsi="Arabic Typesetting" w:cs="Arabic Typesetting"/>
                <w:b/>
                <w:bCs/>
                <w:color w:val="00B050"/>
                <w:sz w:val="28"/>
                <w:szCs w:val="28"/>
                <w:rtl/>
              </w:rPr>
            </w:pPr>
          </w:p>
          <w:p w:rsidR="00C329D2" w:rsidRPr="00211D55" w:rsidRDefault="00C329D2" w:rsidP="00086C3F">
            <w:pPr>
              <w:bidi/>
              <w:spacing w:before="60" w:after="60" w:line="280" w:lineRule="exact"/>
              <w:jc w:val="center"/>
              <w:rPr>
                <w:rFonts w:ascii="Arabic Typesetting" w:hAnsi="Arabic Typesetting" w:cs="Arabic Typesetting"/>
                <w:b/>
                <w:bCs/>
                <w:color w:val="00B050"/>
                <w:sz w:val="28"/>
                <w:szCs w:val="28"/>
                <w:rtl/>
              </w:rPr>
            </w:pPr>
          </w:p>
          <w:p w:rsidR="00C329D2" w:rsidRPr="00211D55" w:rsidRDefault="00C329D2" w:rsidP="00086C3F">
            <w:pPr>
              <w:bidi/>
              <w:spacing w:before="60" w:after="60" w:line="280" w:lineRule="exact"/>
              <w:jc w:val="center"/>
              <w:rPr>
                <w:rFonts w:ascii="Arabic Typesetting" w:hAnsi="Arabic Typesetting" w:cs="Arabic Typesetting"/>
                <w:b/>
                <w:bCs/>
                <w:color w:val="00B050"/>
                <w:sz w:val="28"/>
                <w:szCs w:val="28"/>
                <w:rtl/>
              </w:rPr>
            </w:pPr>
          </w:p>
          <w:p w:rsidR="00C329D2" w:rsidRPr="00211D55" w:rsidRDefault="00C329D2" w:rsidP="00086C3F">
            <w:pPr>
              <w:bidi/>
              <w:spacing w:before="60" w:after="60" w:line="280" w:lineRule="exact"/>
              <w:jc w:val="center"/>
              <w:rPr>
                <w:rFonts w:ascii="Arabic Typesetting" w:hAnsi="Arabic Typesetting" w:cs="Arabic Typesetting"/>
                <w:b/>
                <w:bCs/>
                <w:color w:val="00B050"/>
                <w:sz w:val="28"/>
                <w:szCs w:val="28"/>
                <w:rtl/>
              </w:rPr>
            </w:pPr>
          </w:p>
          <w:p w:rsidR="00B31868" w:rsidRPr="00211D55" w:rsidRDefault="00C329D2" w:rsidP="00086C3F">
            <w:pPr>
              <w:bidi/>
              <w:spacing w:before="60" w:after="60"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9F0E15">
        <w:trPr>
          <w:cantSplit/>
        </w:trPr>
        <w:tc>
          <w:tcPr>
            <w:tcW w:w="1061" w:type="pct"/>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color w:val="000000"/>
                <w:sz w:val="28"/>
                <w:szCs w:val="28"/>
                <w:rtl/>
              </w:rPr>
              <w:t>فعالية عمليات مراقبة أمن المعلومات (الواجهات الداخلية والخارجية)</w:t>
            </w:r>
          </w:p>
        </w:tc>
        <w:tc>
          <w:tcPr>
            <w:tcW w:w="1136" w:type="pct"/>
          </w:tcPr>
          <w:p w:rsidR="00B31868" w:rsidRPr="00211D55" w:rsidRDefault="00B31868"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5 حوادث أو أقل في العام</w:t>
            </w:r>
          </w:p>
        </w:tc>
        <w:tc>
          <w:tcPr>
            <w:tcW w:w="908" w:type="pct"/>
            <w:tcMar>
              <w:top w:w="110" w:type="dxa"/>
            </w:tcMar>
          </w:tcPr>
          <w:p w:rsidR="00B31868" w:rsidRPr="00211D55" w:rsidRDefault="00B31868" w:rsidP="00086C3F">
            <w:pPr>
              <w:keepNext/>
              <w:keepLines/>
              <w:bidi/>
              <w:spacing w:before="60" w:after="60" w:line="280" w:lineRule="exact"/>
              <w:ind w:right="221"/>
              <w:rPr>
                <w:rFonts w:ascii="Arabic Typesetting" w:hAnsi="Arabic Typesetting" w:cs="Arabic Typesetting"/>
                <w:b/>
                <w:sz w:val="28"/>
                <w:szCs w:val="28"/>
                <w:rtl/>
              </w:rPr>
            </w:pPr>
            <w:r w:rsidRPr="00211D55">
              <w:rPr>
                <w:rFonts w:ascii="Arabic Typesetting" w:hAnsi="Arabic Typesetting" w:cs="Arabic Typesetting"/>
                <w:b/>
                <w:sz w:val="28"/>
                <w:szCs w:val="28"/>
                <w:rtl/>
              </w:rPr>
              <w:t>حادثتان أو أقل في العام</w:t>
            </w:r>
          </w:p>
        </w:tc>
        <w:tc>
          <w:tcPr>
            <w:tcW w:w="1441" w:type="pct"/>
            <w:shd w:val="clear" w:color="auto" w:fill="FFFFFF"/>
            <w:tcMar>
              <w:top w:w="110" w:type="dxa"/>
            </w:tcMar>
          </w:tcPr>
          <w:p w:rsidR="00B31868" w:rsidRPr="00211D55" w:rsidRDefault="00B31868" w:rsidP="00086C3F">
            <w:pPr>
              <w:bidi/>
              <w:spacing w:before="60" w:after="60" w:line="280" w:lineRule="exact"/>
              <w:rPr>
                <w:rFonts w:ascii="Arabic Typesetting" w:eastAsia="Arial" w:hAnsi="Arabic Typesetting" w:cs="Arabic Typesetting"/>
                <w:color w:val="000000"/>
                <w:sz w:val="28"/>
                <w:szCs w:val="28"/>
                <w:rtl/>
                <w:lang w:bidi="ar-EG"/>
              </w:rPr>
            </w:pPr>
            <w:r w:rsidRPr="00211D55">
              <w:rPr>
                <w:rFonts w:ascii="Arabic Typesetting" w:eastAsia="Arial" w:hAnsi="Arabic Typesetting" w:cs="Arabic Typesetting"/>
                <w:color w:val="000000"/>
                <w:sz w:val="28"/>
                <w:szCs w:val="28"/>
                <w:rtl/>
                <w:lang w:bidi="ar-EG"/>
              </w:rPr>
              <w:t xml:space="preserve">حادث واحد مهم في </w:t>
            </w:r>
            <w:r w:rsidR="004F5434" w:rsidRPr="00211D55">
              <w:rPr>
                <w:rFonts w:ascii="Arabic Typesetting" w:eastAsia="Arial" w:hAnsi="Arabic Typesetting" w:cs="Arabic Typesetting"/>
                <w:color w:val="000000"/>
                <w:sz w:val="28"/>
                <w:szCs w:val="28"/>
                <w:rtl/>
                <w:lang w:bidi="ar-EG"/>
              </w:rPr>
              <w:t>كل من عامي الثنائية</w:t>
            </w:r>
          </w:p>
          <w:p w:rsidR="004F5434" w:rsidRPr="00211D55" w:rsidRDefault="004F5434" w:rsidP="00086C3F">
            <w:pPr>
              <w:bidi/>
              <w:spacing w:before="60" w:after="60" w:line="280" w:lineRule="exact"/>
              <w:rPr>
                <w:rFonts w:ascii="Arabic Typesetting" w:eastAsia="Arial" w:hAnsi="Arabic Typesetting" w:cs="Arabic Typesetting"/>
                <w:color w:val="000000"/>
                <w:sz w:val="28"/>
                <w:szCs w:val="28"/>
                <w:lang w:bidi="ar-EG"/>
              </w:rPr>
            </w:pPr>
            <w:r w:rsidRPr="00211D55">
              <w:rPr>
                <w:rFonts w:ascii="Arabic Typesetting" w:eastAsia="Arial" w:hAnsi="Arabic Typesetting" w:cs="Arabic Typesetting"/>
                <w:color w:val="000000"/>
                <w:sz w:val="28"/>
                <w:szCs w:val="28"/>
                <w:rtl/>
                <w:lang w:bidi="ar-EG"/>
              </w:rPr>
              <w:t>احتويت الحوادث وعولجت في إطار مهل زمنية مقبولة بما يتفق مع سياسة إدارة الحوادث المتعلقة بأمن المعلومات</w:t>
            </w:r>
          </w:p>
        </w:tc>
        <w:tc>
          <w:tcPr>
            <w:tcW w:w="454" w:type="pct"/>
            <w:shd w:val="clear" w:color="auto" w:fill="auto"/>
            <w:tcMar>
              <w:top w:w="110" w:type="dxa"/>
            </w:tcMar>
          </w:tcPr>
          <w:p w:rsidR="00B31868" w:rsidRPr="00211D55" w:rsidRDefault="004F5434" w:rsidP="00086C3F">
            <w:pPr>
              <w:bidi/>
              <w:spacing w:before="60" w:after="60" w:line="280" w:lineRule="exact"/>
              <w:jc w:val="center"/>
              <w:rPr>
                <w:rFonts w:ascii="Arabic Typesetting" w:hAnsi="Arabic Typesetting" w:cs="Arabic Typesetting"/>
                <w:sz w:val="28"/>
                <w:szCs w:val="28"/>
              </w:rPr>
            </w:pPr>
            <w:r w:rsidRPr="00211D55">
              <w:rPr>
                <w:rFonts w:ascii="Arabic Typesetting" w:hAnsi="Arabic Typesetting" w:cs="Arabic Typesetting"/>
                <w:b/>
                <w:bCs/>
                <w:color w:val="00B050"/>
                <w:sz w:val="28"/>
                <w:szCs w:val="28"/>
                <w:rtl/>
              </w:rPr>
              <w:t>محقق كلياً</w:t>
            </w:r>
          </w:p>
        </w:tc>
      </w:tr>
    </w:tbl>
    <w:p w:rsidR="00C329D2" w:rsidRPr="00820425" w:rsidRDefault="00B264F9" w:rsidP="00B264F9">
      <w:pPr>
        <w:keepNext/>
        <w:bidi/>
        <w:spacing w:before="120" w:after="120" w:line="340" w:lineRule="exact"/>
        <w:rPr>
          <w:rFonts w:ascii="Arabic Typesetting" w:hAnsi="Arabic Typesetting" w:cs="Arabic Typesetting"/>
          <w:sz w:val="36"/>
          <w:szCs w:val="36"/>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C329D2" w:rsidRPr="00211D55" w:rsidTr="00531F2E">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C329D2" w:rsidRPr="00211D55" w:rsidRDefault="00C329D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C329D2" w:rsidRPr="00211D55" w:rsidRDefault="00C329D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C329D2" w:rsidRPr="00211D55" w:rsidRDefault="00C329D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C329D2"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C329D2" w:rsidRPr="00211D55" w:rsidTr="00520275">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C329D2" w:rsidRPr="003B526C" w:rsidRDefault="00C329D2"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يعاني نظام معاهدة التعاون بشأن البراءات وأنظمة المعلومات المرتبطة به من معدل غير مقبول من الانقطاعات ونتج عن ذلك عدم القدرة على قبول طلبات معاهدة التعاون بشأن البراءات ومن ثم أثر ذلك </w:t>
            </w:r>
            <w:r w:rsidR="00520275" w:rsidRPr="00211D55">
              <w:rPr>
                <w:rFonts w:ascii="Arabic Typesetting" w:hAnsi="Arabic Typesetting" w:cs="Arabic Typesetting" w:hint="cs"/>
                <w:sz w:val="28"/>
                <w:szCs w:val="28"/>
                <w:rtl/>
              </w:rPr>
              <w:t>في</w:t>
            </w:r>
            <w:r w:rsidRPr="00211D55">
              <w:rPr>
                <w:rFonts w:ascii="Arabic Typesetting" w:hAnsi="Arabic Typesetting" w:cs="Arabic Typesetting"/>
                <w:sz w:val="28"/>
                <w:szCs w:val="28"/>
                <w:rtl/>
              </w:rPr>
              <w:t xml:space="preserve"> معالجة هذه الطلبات ونشرها. </w:t>
            </w:r>
            <w:r w:rsidR="00520275" w:rsidRPr="00211D55">
              <w:rPr>
                <w:rFonts w:ascii="Arabic Typesetting" w:hAnsi="Arabic Typesetting" w:cs="Arabic Typesetting"/>
                <w:sz w:val="28"/>
                <w:szCs w:val="28"/>
                <w:rtl/>
              </w:rPr>
              <w:t>وستتأثر سمعة المنظمة سلب</w:t>
            </w:r>
            <w:r w:rsidRPr="00211D55">
              <w:rPr>
                <w:rFonts w:ascii="Arabic Typesetting" w:hAnsi="Arabic Typesetting" w:cs="Arabic Typesetting"/>
                <w:sz w:val="28"/>
                <w:szCs w:val="28"/>
                <w:rtl/>
              </w:rPr>
              <w:t>ا</w:t>
            </w:r>
            <w:r w:rsidR="00520275" w:rsidRPr="00211D55">
              <w:rPr>
                <w:rFonts w:ascii="Arabic Typesetting" w:hAnsi="Arabic Typesetting" w:cs="Arabic Typesetting" w:hint="cs"/>
                <w:sz w:val="28"/>
                <w:szCs w:val="28"/>
                <w:rtl/>
              </w:rPr>
              <w:t>ً</w:t>
            </w:r>
            <w:r w:rsidRPr="00211D55">
              <w:rPr>
                <w:rFonts w:ascii="Arabic Typesetting" w:hAnsi="Arabic Typesetting" w:cs="Arabic Typesetting"/>
                <w:sz w:val="28"/>
                <w:szCs w:val="28"/>
                <w:rtl/>
              </w:rPr>
              <w:t>.</w:t>
            </w:r>
          </w:p>
        </w:tc>
        <w:tc>
          <w:tcPr>
            <w:tcW w:w="2200" w:type="dxa"/>
            <w:tcBorders>
              <w:top w:val="single" w:sz="4" w:space="0" w:color="auto"/>
            </w:tcBorders>
            <w:shd w:val="clear" w:color="auto" w:fill="auto"/>
            <w:tcMar>
              <w:top w:w="113" w:type="dxa"/>
              <w:bottom w:w="113" w:type="dxa"/>
            </w:tcMar>
          </w:tcPr>
          <w:p w:rsidR="00C329D2" w:rsidRPr="00211D55" w:rsidRDefault="00C329D2"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استحداث بنى تحتية زائدة عن الحاجة في أماكن متفرقة وتطوير خطة استمرارية الأعمال وتنقيحها بدرجة أكبر</w:t>
            </w:r>
          </w:p>
        </w:tc>
        <w:tc>
          <w:tcPr>
            <w:tcW w:w="2310" w:type="dxa"/>
            <w:tcBorders>
              <w:top w:val="single" w:sz="4" w:space="0" w:color="auto"/>
            </w:tcBorders>
          </w:tcPr>
          <w:p w:rsidR="00C329D2" w:rsidRPr="003B526C" w:rsidRDefault="00C329D2" w:rsidP="003B526C">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hint="cs"/>
                <w:sz w:val="28"/>
                <w:szCs w:val="28"/>
                <w:rtl/>
              </w:rPr>
              <w:t>وضعت بنية معلوماتية زائدة عن الحاجة في مكانين ما مك</w:t>
            </w:r>
            <w:r w:rsidR="00520275" w:rsidRPr="003B526C">
              <w:rPr>
                <w:rFonts w:ascii="Arabic Typesetting" w:hAnsi="Arabic Typesetting" w:cs="Arabic Typesetting" w:hint="cs"/>
                <w:sz w:val="28"/>
                <w:szCs w:val="28"/>
                <w:rtl/>
              </w:rPr>
              <w:t>َّ</w:t>
            </w:r>
            <w:r w:rsidRPr="003B526C">
              <w:rPr>
                <w:rFonts w:ascii="Arabic Typesetting" w:hAnsi="Arabic Typesetting" w:cs="Arabic Typesetting" w:hint="cs"/>
                <w:sz w:val="28"/>
                <w:szCs w:val="28"/>
                <w:rtl/>
              </w:rPr>
              <w:t xml:space="preserve">ن نظام معاهدة البراءات من مواصلة عملياته في حال </w:t>
            </w:r>
            <w:r w:rsidR="00520275" w:rsidRPr="003B526C">
              <w:rPr>
                <w:rFonts w:ascii="Arabic Typesetting" w:hAnsi="Arabic Typesetting" w:cs="Arabic Typesetting" w:hint="cs"/>
                <w:sz w:val="28"/>
                <w:szCs w:val="28"/>
                <w:rtl/>
              </w:rPr>
              <w:t>تعرضت</w:t>
            </w:r>
            <w:r w:rsidRPr="003B526C">
              <w:rPr>
                <w:rFonts w:ascii="Arabic Typesetting" w:hAnsi="Arabic Typesetting" w:cs="Arabic Typesetting" w:hint="cs"/>
                <w:sz w:val="28"/>
                <w:szCs w:val="28"/>
                <w:rtl/>
              </w:rPr>
              <w:t xml:space="preserve"> المباني الرئيسية لل</w:t>
            </w:r>
            <w:r w:rsidR="00520275" w:rsidRPr="003B526C">
              <w:rPr>
                <w:rFonts w:ascii="Arabic Typesetting" w:hAnsi="Arabic Typesetting" w:cs="Arabic Typesetting" w:hint="cs"/>
                <w:sz w:val="28"/>
                <w:szCs w:val="28"/>
                <w:rtl/>
              </w:rPr>
              <w:t>ويبو ومركز البيانات التابع لها ل</w:t>
            </w:r>
            <w:r w:rsidRPr="003B526C">
              <w:rPr>
                <w:rFonts w:ascii="Arabic Typesetting" w:hAnsi="Arabic Typesetting" w:cs="Arabic Typesetting" w:hint="cs"/>
                <w:sz w:val="28"/>
                <w:szCs w:val="28"/>
                <w:rtl/>
              </w:rPr>
              <w:t>أي خلل.</w:t>
            </w:r>
          </w:p>
        </w:tc>
        <w:tc>
          <w:tcPr>
            <w:tcW w:w="2306" w:type="dxa"/>
            <w:tcBorders>
              <w:top w:val="single" w:sz="4" w:space="0" w:color="auto"/>
              <w:right w:val="single" w:sz="4" w:space="0" w:color="auto"/>
            </w:tcBorders>
          </w:tcPr>
          <w:p w:rsidR="00C329D2" w:rsidRPr="003B526C" w:rsidRDefault="00C329D2" w:rsidP="002F200B">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hint="cs"/>
                <w:sz w:val="28"/>
                <w:szCs w:val="28"/>
                <w:rtl/>
              </w:rPr>
              <w:t xml:space="preserve">لم يؤثر هذا الخطر ولا تطوره </w:t>
            </w:r>
            <w:r w:rsidR="002F200B">
              <w:rPr>
                <w:rFonts w:ascii="Arabic Typesetting" w:hAnsi="Arabic Typesetting" w:cs="Arabic Typesetting" w:hint="cs"/>
                <w:sz w:val="28"/>
                <w:szCs w:val="28"/>
                <w:rtl/>
              </w:rPr>
              <w:t>تأثيراً مادياً</w:t>
            </w:r>
            <w:r w:rsidRPr="003B526C">
              <w:rPr>
                <w:rFonts w:ascii="Arabic Typesetting" w:hAnsi="Arabic Typesetting" w:cs="Arabic Typesetting" w:hint="cs"/>
                <w:sz w:val="28"/>
                <w:szCs w:val="28"/>
                <w:rtl/>
              </w:rPr>
              <w:t xml:space="preserve"> في أداء البرنامج </w:t>
            </w:r>
            <w:r w:rsidR="00520275" w:rsidRPr="003B526C">
              <w:rPr>
                <w:rFonts w:ascii="Arabic Typesetting" w:hAnsi="Arabic Typesetting" w:cs="Arabic Typesetting" w:hint="cs"/>
                <w:sz w:val="28"/>
                <w:szCs w:val="28"/>
                <w:rtl/>
              </w:rPr>
              <w:t xml:space="preserve">للفترة </w:t>
            </w:r>
            <w:r w:rsidR="00507DE2">
              <w:rPr>
                <w:rFonts w:ascii="Arabic Typesetting" w:hAnsi="Arabic Typesetting" w:cs="Arabic Typesetting" w:hint="cs"/>
                <w:sz w:val="28"/>
                <w:szCs w:val="28"/>
                <w:rtl/>
              </w:rPr>
              <w:t>2014/15</w:t>
            </w:r>
            <w:r w:rsidR="002F200B">
              <w:rPr>
                <w:rFonts w:ascii="Arabic Typesetting" w:hAnsi="Arabic Typesetting" w:cs="Arabic Typesetting" w:hint="cs"/>
                <w:sz w:val="28"/>
                <w:szCs w:val="28"/>
                <w:rtl/>
              </w:rPr>
              <w:t>.</w:t>
            </w:r>
          </w:p>
        </w:tc>
      </w:tr>
      <w:tr w:rsidR="00C329D2" w:rsidRPr="00211D55" w:rsidTr="00520275">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C329D2" w:rsidRPr="003B526C" w:rsidRDefault="00C329D2"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تؤدي الهجمات الإلكترونية على أنظمة معلومات الويبو إلى تعريض أمن أنظمة المعلومات للخطر، خاصة خطر الكشف المتعمد أو غير المتعمد عن معلومات سرية. وستتأذى سمعة الويبو وعملياتها</w:t>
            </w:r>
            <w:r w:rsidR="00520275" w:rsidRPr="00211D55">
              <w:rPr>
                <w:rFonts w:ascii="Arabic Typesetting" w:hAnsi="Arabic Typesetting" w:cs="Arabic Typesetting" w:hint="cs"/>
                <w:sz w:val="28"/>
                <w:szCs w:val="28"/>
                <w:rtl/>
              </w:rPr>
              <w:t> </w:t>
            </w:r>
            <w:r w:rsidRPr="00211D55">
              <w:rPr>
                <w:rFonts w:ascii="Arabic Typesetting" w:hAnsi="Arabic Typesetting" w:cs="Arabic Typesetting"/>
                <w:sz w:val="28"/>
                <w:szCs w:val="28"/>
                <w:rtl/>
              </w:rPr>
              <w:t>بشدة</w:t>
            </w:r>
          </w:p>
        </w:tc>
        <w:tc>
          <w:tcPr>
            <w:tcW w:w="2200" w:type="dxa"/>
            <w:tcBorders>
              <w:bottom w:val="single" w:sz="4" w:space="0" w:color="auto"/>
            </w:tcBorders>
            <w:shd w:val="clear" w:color="auto" w:fill="auto"/>
            <w:tcMar>
              <w:top w:w="113" w:type="dxa"/>
              <w:bottom w:w="113" w:type="dxa"/>
            </w:tcMar>
          </w:tcPr>
          <w:p w:rsidR="00C329D2" w:rsidRPr="00211D55" w:rsidRDefault="00C329D2"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الفصل بين محتويات وتطبيقات الويبو على الإنترنت من خلال متطلبات سرية مختلفة والتفريق بين أغراض الاستخدام؛ استحداث بنية تحتية منفصلة لتكنولوجيا المعلومات ومن ثم إجراءات أمن منفصلة. زيادة كثافة أنشطة أمن تكنولوجيا</w:t>
            </w:r>
            <w:r w:rsidR="00520275" w:rsidRPr="00211D55">
              <w:rPr>
                <w:rFonts w:ascii="Arabic Typesetting" w:hAnsi="Arabic Typesetting" w:cs="Arabic Typesetting" w:hint="cs"/>
                <w:sz w:val="28"/>
                <w:szCs w:val="28"/>
                <w:rtl/>
              </w:rPr>
              <w:t> </w:t>
            </w:r>
            <w:r w:rsidRPr="00211D55">
              <w:rPr>
                <w:rFonts w:ascii="Arabic Typesetting" w:hAnsi="Arabic Typesetting" w:cs="Arabic Typesetting"/>
                <w:sz w:val="28"/>
                <w:szCs w:val="28"/>
                <w:rtl/>
              </w:rPr>
              <w:t>المعلومات</w:t>
            </w:r>
          </w:p>
        </w:tc>
        <w:tc>
          <w:tcPr>
            <w:tcW w:w="2310" w:type="dxa"/>
            <w:tcBorders>
              <w:bottom w:val="single" w:sz="4" w:space="0" w:color="auto"/>
            </w:tcBorders>
          </w:tcPr>
          <w:p w:rsidR="00C329D2" w:rsidRPr="003B526C" w:rsidRDefault="00C329D2" w:rsidP="003B526C">
            <w:pPr>
              <w:bidi/>
              <w:spacing w:before="60" w:after="60" w:line="280" w:lineRule="exact"/>
              <w:rPr>
                <w:rFonts w:ascii="Arabic Typesetting" w:hAnsi="Arabic Typesetting" w:cs="Arabic Typesetting"/>
                <w:sz w:val="28"/>
                <w:szCs w:val="28"/>
                <w:rtl/>
              </w:rPr>
            </w:pPr>
            <w:r w:rsidRPr="003B526C">
              <w:rPr>
                <w:rFonts w:ascii="Arabic Typesetting" w:hAnsi="Arabic Typesetting" w:cs="Arabic Typesetting" w:hint="cs"/>
                <w:sz w:val="28"/>
                <w:szCs w:val="28"/>
                <w:rtl/>
              </w:rPr>
              <w:t xml:space="preserve">شهدت الويبو هجمات </w:t>
            </w:r>
            <w:proofErr w:type="spellStart"/>
            <w:r w:rsidRPr="003B526C">
              <w:rPr>
                <w:rFonts w:ascii="Arabic Typesetting" w:hAnsi="Arabic Typesetting" w:cs="Arabic Typesetting" w:hint="cs"/>
                <w:sz w:val="28"/>
                <w:szCs w:val="28"/>
                <w:rtl/>
              </w:rPr>
              <w:t>سيبرانية</w:t>
            </w:r>
            <w:proofErr w:type="spellEnd"/>
            <w:r w:rsidRPr="003B526C">
              <w:rPr>
                <w:rFonts w:ascii="Arabic Typesetting" w:hAnsi="Arabic Typesetting" w:cs="Arabic Typesetting" w:hint="cs"/>
                <w:sz w:val="28"/>
                <w:szCs w:val="28"/>
                <w:rtl/>
              </w:rPr>
              <w:t xml:space="preserve"> انتهازية وهادفة من جهات مختلفة تسعى إلى سرقة معلومات الويبو</w:t>
            </w:r>
            <w:r w:rsidR="00520275" w:rsidRPr="003B526C">
              <w:rPr>
                <w:rFonts w:ascii="Arabic Typesetting" w:hAnsi="Arabic Typesetting" w:cs="Arabic Typesetting" w:hint="cs"/>
                <w:sz w:val="28"/>
                <w:szCs w:val="28"/>
                <w:rtl/>
              </w:rPr>
              <w:t xml:space="preserve"> وإتلافها</w:t>
            </w:r>
            <w:r w:rsidRPr="003B526C">
              <w:rPr>
                <w:rFonts w:ascii="Arabic Typesetting" w:hAnsi="Arabic Typesetting" w:cs="Arabic Typesetting" w:hint="cs"/>
                <w:sz w:val="28"/>
                <w:szCs w:val="28"/>
                <w:rtl/>
              </w:rPr>
              <w:t>.</w:t>
            </w:r>
          </w:p>
          <w:p w:rsidR="00C329D2" w:rsidRPr="003B526C" w:rsidRDefault="00C329D2" w:rsidP="003B526C">
            <w:pPr>
              <w:bidi/>
              <w:spacing w:before="60" w:after="60" w:line="280" w:lineRule="exact"/>
              <w:rPr>
                <w:rFonts w:ascii="Arabic Typesetting" w:hAnsi="Arabic Typesetting" w:cs="Arabic Typesetting"/>
                <w:sz w:val="28"/>
                <w:szCs w:val="28"/>
                <w:rtl/>
              </w:rPr>
            </w:pPr>
            <w:r w:rsidRPr="003B526C">
              <w:rPr>
                <w:rFonts w:ascii="Arabic Typesetting" w:hAnsi="Arabic Typesetting" w:cs="Arabic Typesetting" w:hint="cs"/>
                <w:sz w:val="28"/>
                <w:szCs w:val="28"/>
                <w:rtl/>
              </w:rPr>
              <w:t xml:space="preserve">ونفذت عدة ضوابط إجرائية وتقنية في </w:t>
            </w:r>
            <w:r w:rsidR="00507DE2">
              <w:rPr>
                <w:rFonts w:ascii="Arabic Typesetting" w:hAnsi="Arabic Typesetting" w:cs="Arabic Typesetting" w:hint="cs"/>
                <w:sz w:val="28"/>
                <w:szCs w:val="28"/>
                <w:rtl/>
              </w:rPr>
              <w:t>2014/15</w:t>
            </w:r>
            <w:r w:rsidRPr="003B526C">
              <w:rPr>
                <w:rFonts w:ascii="Arabic Typesetting" w:hAnsi="Arabic Typesetting" w:cs="Arabic Typesetting" w:hint="cs"/>
                <w:sz w:val="28"/>
                <w:szCs w:val="28"/>
                <w:rtl/>
              </w:rPr>
              <w:t xml:space="preserve"> لضمان مرونة أنظمة المعلومات في الويبو بغية مواجهة الهجمات </w:t>
            </w:r>
            <w:proofErr w:type="spellStart"/>
            <w:r w:rsidRPr="003B526C">
              <w:rPr>
                <w:rFonts w:ascii="Arabic Typesetting" w:hAnsi="Arabic Typesetting" w:cs="Arabic Typesetting" w:hint="cs"/>
                <w:sz w:val="28"/>
                <w:szCs w:val="28"/>
                <w:rtl/>
              </w:rPr>
              <w:t>السيبرانية</w:t>
            </w:r>
            <w:proofErr w:type="spellEnd"/>
            <w:r w:rsidRPr="003B526C">
              <w:rPr>
                <w:rFonts w:ascii="Arabic Typesetting" w:hAnsi="Arabic Typesetting" w:cs="Arabic Typesetting" w:hint="cs"/>
                <w:sz w:val="28"/>
                <w:szCs w:val="28"/>
                <w:rtl/>
              </w:rPr>
              <w:t>.</w:t>
            </w:r>
          </w:p>
          <w:p w:rsidR="00C329D2" w:rsidRPr="003B526C" w:rsidRDefault="00C329D2" w:rsidP="003B526C">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sz w:val="28"/>
                <w:szCs w:val="28"/>
                <w:rtl/>
              </w:rPr>
              <w:t xml:space="preserve">التنفيذ المرحلي لاستراتيجيةٍ لتأمين المعلومات تتناسب </w:t>
            </w:r>
            <w:r w:rsidR="00520275" w:rsidRPr="003B526C">
              <w:rPr>
                <w:rFonts w:ascii="Arabic Typesetting" w:hAnsi="Arabic Typesetting" w:cs="Arabic Typesetting" w:hint="cs"/>
                <w:sz w:val="28"/>
                <w:szCs w:val="28"/>
                <w:rtl/>
              </w:rPr>
              <w:t xml:space="preserve">مع </w:t>
            </w:r>
            <w:r w:rsidRPr="003B526C">
              <w:rPr>
                <w:rFonts w:ascii="Arabic Typesetting" w:hAnsi="Arabic Typesetting" w:cs="Arabic Typesetting"/>
                <w:sz w:val="28"/>
                <w:szCs w:val="28"/>
                <w:rtl/>
              </w:rPr>
              <w:t>الغرض</w:t>
            </w:r>
            <w:r w:rsidR="00520275" w:rsidRPr="003B526C">
              <w:rPr>
                <w:rFonts w:ascii="Arabic Typesetting" w:hAnsi="Arabic Typesetting" w:cs="Arabic Typesetting" w:hint="cs"/>
                <w:sz w:val="28"/>
                <w:szCs w:val="28"/>
                <w:rtl/>
              </w:rPr>
              <w:t xml:space="preserve"> المنشود</w:t>
            </w:r>
            <w:r w:rsidRPr="003B526C">
              <w:rPr>
                <w:rFonts w:ascii="Arabic Typesetting" w:hAnsi="Arabic Typesetting" w:cs="Arabic Typesetting"/>
                <w:sz w:val="28"/>
                <w:szCs w:val="28"/>
                <w:rtl/>
              </w:rPr>
              <w:t xml:space="preserve"> ستمكّن الويبو من مواصلة تعزيز أمن معلوماتها ومقاومتها للأعطال في مجالات إدارة تأمين المعلومات، والأشخاص، والعمليات والتكنولوجيات.</w:t>
            </w:r>
          </w:p>
        </w:tc>
        <w:tc>
          <w:tcPr>
            <w:tcW w:w="2306" w:type="dxa"/>
            <w:tcBorders>
              <w:bottom w:val="single" w:sz="4" w:space="0" w:color="auto"/>
              <w:right w:val="single" w:sz="4" w:space="0" w:color="auto"/>
            </w:tcBorders>
          </w:tcPr>
          <w:p w:rsidR="00C329D2" w:rsidRPr="003B526C" w:rsidRDefault="00C329D2" w:rsidP="002F200B">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hint="cs"/>
                <w:sz w:val="28"/>
                <w:szCs w:val="28"/>
                <w:rtl/>
              </w:rPr>
              <w:t xml:space="preserve">عالجت خطتا العمل لعامي 2014 و2015 وسجل المخاطر آثار المخاطر خلال الفترة المشمولة بالتقرير؛ </w:t>
            </w:r>
            <w:r w:rsidR="002F200B" w:rsidRPr="003B526C">
              <w:rPr>
                <w:rFonts w:ascii="Arabic Typesetting" w:hAnsi="Arabic Typesetting" w:cs="Arabic Typesetting" w:hint="cs"/>
                <w:sz w:val="28"/>
                <w:szCs w:val="28"/>
                <w:rtl/>
              </w:rPr>
              <w:t xml:space="preserve">لم </w:t>
            </w:r>
            <w:r w:rsidR="002F200B">
              <w:rPr>
                <w:rFonts w:ascii="Arabic Typesetting" w:hAnsi="Arabic Typesetting" w:cs="Arabic Typesetting" w:hint="cs"/>
                <w:sz w:val="28"/>
                <w:szCs w:val="28"/>
                <w:rtl/>
              </w:rPr>
              <w:t>تؤثر</w:t>
            </w:r>
            <w:r w:rsidR="002F200B" w:rsidRPr="003B526C">
              <w:rPr>
                <w:rFonts w:ascii="Arabic Typesetting" w:hAnsi="Arabic Typesetting" w:cs="Arabic Typesetting" w:hint="cs"/>
                <w:sz w:val="28"/>
                <w:szCs w:val="28"/>
                <w:rtl/>
              </w:rPr>
              <w:t xml:space="preserve"> </w:t>
            </w:r>
            <w:r w:rsidR="002F200B">
              <w:rPr>
                <w:rFonts w:ascii="Arabic Typesetting" w:hAnsi="Arabic Typesetting" w:cs="Arabic Typesetting" w:hint="cs"/>
                <w:sz w:val="28"/>
                <w:szCs w:val="28"/>
                <w:rtl/>
              </w:rPr>
              <w:t xml:space="preserve">هذه المخاطر </w:t>
            </w:r>
            <w:r w:rsidR="002F200B" w:rsidRPr="003B526C">
              <w:rPr>
                <w:rFonts w:ascii="Arabic Typesetting" w:hAnsi="Arabic Typesetting" w:cs="Arabic Typesetting" w:hint="cs"/>
                <w:sz w:val="28"/>
                <w:szCs w:val="28"/>
                <w:rtl/>
              </w:rPr>
              <w:t>ولا تطوره</w:t>
            </w:r>
            <w:r w:rsidR="002F200B">
              <w:rPr>
                <w:rFonts w:ascii="Arabic Typesetting" w:hAnsi="Arabic Typesetting" w:cs="Arabic Typesetting" w:hint="cs"/>
                <w:sz w:val="28"/>
                <w:szCs w:val="28"/>
                <w:rtl/>
              </w:rPr>
              <w:t>ا</w:t>
            </w:r>
            <w:r w:rsidR="002F200B" w:rsidRPr="003B526C">
              <w:rPr>
                <w:rFonts w:ascii="Arabic Typesetting" w:hAnsi="Arabic Typesetting" w:cs="Arabic Typesetting" w:hint="cs"/>
                <w:sz w:val="28"/>
                <w:szCs w:val="28"/>
                <w:rtl/>
              </w:rPr>
              <w:t xml:space="preserve"> </w:t>
            </w:r>
            <w:r w:rsidR="002F200B">
              <w:rPr>
                <w:rFonts w:ascii="Arabic Typesetting" w:hAnsi="Arabic Typesetting" w:cs="Arabic Typesetting" w:hint="cs"/>
                <w:sz w:val="28"/>
                <w:szCs w:val="28"/>
                <w:rtl/>
              </w:rPr>
              <w:t>تأثيراً مادياً</w:t>
            </w:r>
            <w:r w:rsidR="002F200B" w:rsidRPr="003B526C">
              <w:rPr>
                <w:rFonts w:ascii="Arabic Typesetting" w:hAnsi="Arabic Typesetting" w:cs="Arabic Typesetting" w:hint="cs"/>
                <w:sz w:val="28"/>
                <w:szCs w:val="28"/>
                <w:rtl/>
              </w:rPr>
              <w:t xml:space="preserve"> في أداء البرنامج للفترة </w:t>
            </w:r>
            <w:r w:rsidR="002F200B">
              <w:rPr>
                <w:rFonts w:ascii="Arabic Typesetting" w:hAnsi="Arabic Typesetting" w:cs="Arabic Typesetting" w:hint="cs"/>
                <w:sz w:val="28"/>
                <w:szCs w:val="28"/>
                <w:rtl/>
              </w:rPr>
              <w:t>2014/15.</w:t>
            </w:r>
          </w:p>
        </w:tc>
      </w:tr>
    </w:tbl>
    <w:p w:rsidR="00B264F9" w:rsidRPr="00B264F9" w:rsidRDefault="00B264F9" w:rsidP="00774E37">
      <w:pPr>
        <w:keepNext/>
        <w:bidi/>
        <w:spacing w:before="120" w:after="120" w:line="340" w:lineRule="exact"/>
        <w:rPr>
          <w:rFonts w:ascii="Arabic Typesetting" w:hAnsi="Arabic Typesetting" w:cs="Arabic Typesetting"/>
          <w:sz w:val="34"/>
          <w:szCs w:val="34"/>
          <w:rtl/>
          <w:lang w:val="fr-CH"/>
        </w:rPr>
      </w:pPr>
      <w:r w:rsidRPr="00B264F9">
        <w:rPr>
          <w:rFonts w:ascii="Arabic Typesetting" w:hAnsi="Arabic Typesetting" w:cs="Arabic Typesetting" w:hint="cs"/>
          <w:sz w:val="34"/>
          <w:szCs w:val="34"/>
          <w:rtl/>
          <w:lang w:val="fr-CH"/>
        </w:rPr>
        <w:t>استخدام الموارد</w:t>
      </w:r>
    </w:p>
    <w:p w:rsidR="00B31868" w:rsidRPr="00B31868" w:rsidRDefault="00774E37" w:rsidP="00252762">
      <w:pPr>
        <w:keepNext/>
        <w:bidi/>
        <w:spacing w:line="340" w:lineRule="exact"/>
        <w:jc w:val="center"/>
        <w:rPr>
          <w:rFonts w:ascii="Arabic Typesetting" w:hAnsi="Arabic Typesetting" w:cs="Arabic Typesetting"/>
          <w:sz w:val="34"/>
          <w:szCs w:val="34"/>
          <w:rtl/>
          <w:lang w:bidi="ar-EG"/>
        </w:rPr>
      </w:pPr>
      <w:r w:rsidRPr="00774E37">
        <w:rPr>
          <w:rFonts w:ascii="Arabic Typesetting" w:hAnsi="Arabic Typesetting" w:cs="Arabic Typesetting" w:hint="cs"/>
          <w:sz w:val="34"/>
          <w:szCs w:val="34"/>
          <w:rtl/>
          <w:lang w:val="en-CA" w:bidi="ar-LB"/>
        </w:rPr>
        <w:t>الميزانية والنفقات الفعلية (بحسب النتائج)</w:t>
      </w:r>
    </w:p>
    <w:p w:rsidR="00B31868" w:rsidRPr="00B31868" w:rsidRDefault="00B31868" w:rsidP="00086C3F">
      <w:pPr>
        <w:keepNext/>
        <w:bidi/>
        <w:spacing w:after="120" w:line="340" w:lineRule="exact"/>
        <w:jc w:val="center"/>
        <w:rPr>
          <w:rFonts w:ascii="Arabic Typesetting" w:hAnsi="Arabic Typesetting" w:cs="Arabic Typesetting"/>
          <w:i/>
          <w:iCs/>
          <w:sz w:val="34"/>
          <w:szCs w:val="34"/>
          <w:rtl/>
          <w:lang w:bidi="ar-EG"/>
        </w:rPr>
      </w:pPr>
      <w:r w:rsidRPr="00B3186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C329D2" w:rsidRPr="00211D55" w:rsidTr="00531F2E">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C329D2" w:rsidRPr="00211D55" w:rsidRDefault="00C329D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C329D2" w:rsidRPr="00211D55" w:rsidRDefault="00C329D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C329D2" w:rsidRPr="00211D55" w:rsidRDefault="00C329D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C329D2" w:rsidRPr="00211D55" w:rsidRDefault="00C329D2"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C329D2" w:rsidRPr="00211D55" w:rsidTr="00531F2E">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9D2" w:rsidRPr="00211D55" w:rsidRDefault="00C329D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ھ1.9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9D2" w:rsidRPr="00211D55" w:rsidRDefault="003F15BC" w:rsidP="00086C3F">
            <w:pPr>
              <w:bidi/>
              <w:rPr>
                <w:rFonts w:ascii="Arabic Typesetting" w:hAnsi="Arabic Typesetting" w:cs="Arabic Typesetting"/>
                <w:sz w:val="28"/>
                <w:szCs w:val="28"/>
              </w:rPr>
            </w:pPr>
            <w:r>
              <w:rPr>
                <w:rFonts w:ascii="Arabic Typesetting" w:hAnsi="Arabic Typesetting" w:cs="Arabic Typesetting"/>
                <w:sz w:val="28"/>
                <w:szCs w:val="28"/>
                <w:rtl/>
              </w:rPr>
              <w:t>خدمات دعم فعالة وناجعة وذات جودة موجهة نحو الزبائن لفائدة الزبائن الداخليين وأصحاب المصالح الخارجيين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9D2" w:rsidRPr="00211D55" w:rsidRDefault="00531F2E" w:rsidP="00086C3F">
            <w:pPr>
              <w:rPr>
                <w:rFonts w:ascii="Arabic Typesetting" w:hAnsi="Arabic Typesetting" w:cs="Arabic Typesetting"/>
                <w:sz w:val="28"/>
                <w:szCs w:val="28"/>
              </w:rPr>
            </w:pPr>
            <w:r w:rsidRPr="00211D55">
              <w:rPr>
                <w:rFonts w:ascii="Arabic Typesetting" w:hAnsi="Arabic Typesetting" w:cs="Arabic Typesetting"/>
                <w:sz w:val="28"/>
                <w:szCs w:val="28"/>
              </w:rPr>
              <w:t>43,549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9D2" w:rsidRPr="00211D55" w:rsidRDefault="00531F2E" w:rsidP="00086C3F">
            <w:pPr>
              <w:rPr>
                <w:rFonts w:ascii="Arabic Typesetting" w:hAnsi="Arabic Typesetting" w:cs="Arabic Typesetting"/>
                <w:sz w:val="28"/>
                <w:szCs w:val="28"/>
              </w:rPr>
            </w:pPr>
            <w:r w:rsidRPr="00211D55">
              <w:rPr>
                <w:rFonts w:ascii="Arabic Typesetting" w:hAnsi="Arabic Typesetting" w:cs="Arabic Typesetting"/>
                <w:sz w:val="28"/>
                <w:szCs w:val="28"/>
              </w:rPr>
              <w:t>46,789</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9D2" w:rsidRPr="00211D55" w:rsidRDefault="00531F2E" w:rsidP="00086C3F">
            <w:pPr>
              <w:rPr>
                <w:rFonts w:ascii="Arabic Typesetting" w:hAnsi="Arabic Typesetting" w:cs="Arabic Typesetting"/>
                <w:sz w:val="28"/>
                <w:szCs w:val="28"/>
              </w:rPr>
            </w:pPr>
            <w:r w:rsidRPr="00211D55">
              <w:rPr>
                <w:rFonts w:ascii="Arabic Typesetting" w:hAnsi="Arabic Typesetting" w:cs="Arabic Typesetting"/>
                <w:sz w:val="28"/>
                <w:szCs w:val="28"/>
              </w:rPr>
              <w:t>46,305</w:t>
            </w:r>
          </w:p>
        </w:tc>
      </w:tr>
      <w:tr w:rsidR="00C329D2" w:rsidRPr="00211D55" w:rsidTr="00531F2E">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329D2" w:rsidRPr="00211D55" w:rsidRDefault="00C329D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ھ4.9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329D2" w:rsidRPr="00211D55" w:rsidRDefault="003F15BC" w:rsidP="00086C3F">
            <w:pPr>
              <w:bidi/>
              <w:rPr>
                <w:rFonts w:ascii="Arabic Typesetting" w:hAnsi="Arabic Typesetting" w:cs="Arabic Typesetting"/>
                <w:sz w:val="28"/>
                <w:szCs w:val="28"/>
              </w:rPr>
            </w:pPr>
            <w:r>
              <w:rPr>
                <w:rFonts w:ascii="Arabic Typesetting" w:hAnsi="Arabic Typesetting" w:cs="Arabic Typesetting"/>
                <w:sz w:val="28"/>
                <w:szCs w:val="28"/>
                <w:rtl/>
              </w:rPr>
              <w:t>منظمة ذات مسؤولية بيئية واجتماعية تكفل سلامة وأمن موظفي الويبو والمندوبين والزائرين والممتلكات المادية والمعلومات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9D2" w:rsidRPr="00211D55" w:rsidRDefault="00531F2E" w:rsidP="00086C3F">
            <w:pPr>
              <w:rPr>
                <w:rFonts w:ascii="Arabic Typesetting" w:hAnsi="Arabic Typesetting" w:cs="Arabic Typesetting"/>
                <w:sz w:val="28"/>
                <w:szCs w:val="28"/>
              </w:rPr>
            </w:pPr>
            <w:r w:rsidRPr="00211D55">
              <w:rPr>
                <w:rFonts w:ascii="Arabic Typesetting" w:hAnsi="Arabic Typesetting" w:cs="Arabic Typesetting"/>
                <w:sz w:val="28"/>
                <w:szCs w:val="28"/>
              </w:rPr>
              <w:t>1,720</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329D2" w:rsidRPr="00211D55" w:rsidRDefault="00531F2E" w:rsidP="00086C3F">
            <w:pPr>
              <w:rPr>
                <w:rFonts w:ascii="Arabic Typesetting" w:hAnsi="Arabic Typesetting" w:cs="Arabic Typesetting"/>
                <w:sz w:val="28"/>
                <w:szCs w:val="28"/>
              </w:rPr>
            </w:pPr>
            <w:r w:rsidRPr="00211D55">
              <w:rPr>
                <w:rFonts w:ascii="Arabic Typesetting" w:hAnsi="Arabic Typesetting" w:cs="Arabic Typesetting"/>
                <w:sz w:val="28"/>
                <w:szCs w:val="28"/>
              </w:rPr>
              <w:t>1,887</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329D2" w:rsidRPr="00211D55" w:rsidRDefault="00531F2E" w:rsidP="00086C3F">
            <w:pPr>
              <w:rPr>
                <w:rFonts w:ascii="Arabic Typesetting" w:hAnsi="Arabic Typesetting" w:cs="Arabic Typesetting"/>
                <w:sz w:val="28"/>
                <w:szCs w:val="28"/>
              </w:rPr>
            </w:pPr>
            <w:r w:rsidRPr="00211D55">
              <w:rPr>
                <w:rFonts w:ascii="Arabic Typesetting" w:hAnsi="Arabic Typesetting" w:cs="Arabic Typesetting"/>
                <w:sz w:val="28"/>
                <w:szCs w:val="28"/>
              </w:rPr>
              <w:t>1,663</w:t>
            </w:r>
          </w:p>
        </w:tc>
      </w:tr>
      <w:tr w:rsidR="00C329D2" w:rsidRPr="00211D55" w:rsidTr="00531F2E">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C329D2" w:rsidRPr="00211D55" w:rsidRDefault="00C329D2"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C329D2" w:rsidRPr="00211D55" w:rsidRDefault="00C329D2"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C329D2" w:rsidRPr="00211D55" w:rsidRDefault="00531F2E"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45,269</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C329D2" w:rsidRPr="00211D55" w:rsidRDefault="00531F2E"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48,676</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C329D2" w:rsidRPr="00211D55" w:rsidRDefault="00531F2E"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47,968</w:t>
            </w:r>
          </w:p>
        </w:tc>
      </w:tr>
    </w:tbl>
    <w:p w:rsidR="00141A0B" w:rsidRDefault="00774E37" w:rsidP="00B05B47">
      <w:pPr>
        <w:keepNext/>
        <w:keepLines/>
        <w:bidi/>
        <w:spacing w:before="240" w:line="340" w:lineRule="exact"/>
        <w:jc w:val="center"/>
        <w:rPr>
          <w:rFonts w:ascii="Arabic Typesetting" w:hAnsi="Arabic Typesetting" w:cs="Arabic Typesetting"/>
          <w:color w:val="000000"/>
          <w:sz w:val="34"/>
          <w:szCs w:val="34"/>
        </w:rPr>
      </w:pPr>
      <w:r w:rsidRPr="00774E37">
        <w:rPr>
          <w:rFonts w:ascii="Arabic Typesetting" w:hAnsi="Arabic Typesetting" w:cs="Arabic Typesetting"/>
          <w:color w:val="000000"/>
          <w:sz w:val="34"/>
          <w:szCs w:val="34"/>
          <w:rtl/>
        </w:rPr>
        <w:lastRenderedPageBreak/>
        <w:t>الميزانية والنفقات الفعلية (موارد الموظفين وخلاف موارد الموظفين)</w:t>
      </w:r>
    </w:p>
    <w:p w:rsidR="00141A0B" w:rsidRPr="00B31868" w:rsidRDefault="00141A0B" w:rsidP="00141A0B">
      <w:pPr>
        <w:keepNext/>
        <w:keepLines/>
        <w:bidi/>
        <w:spacing w:after="120" w:line="340" w:lineRule="exact"/>
        <w:jc w:val="center"/>
        <w:rPr>
          <w:rFonts w:ascii="Arabic Typesetting" w:hAnsi="Arabic Typesetting" w:cs="Arabic Typesetting"/>
          <w:i/>
          <w:iCs/>
          <w:color w:val="000000"/>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C329D2" w:rsidRPr="00211D55" w:rsidTr="00531F2E">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C329D2" w:rsidRPr="00211D55" w:rsidRDefault="00C329D2"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329D2" w:rsidRPr="00211D55" w:rsidRDefault="00C329D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329D2" w:rsidRPr="00211D55" w:rsidRDefault="00C329D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329D2" w:rsidRPr="00211D55" w:rsidRDefault="00C329D2"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329D2"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C329D2" w:rsidRPr="00211D55">
              <w:rPr>
                <w:rFonts w:ascii="Arabic Typesetting" w:hAnsi="Arabic Typesetting" w:cs="Arabic Typesetting"/>
                <w:b/>
                <w:bCs/>
                <w:i/>
                <w:iCs/>
                <w:sz w:val="28"/>
                <w:szCs w:val="28"/>
                <w:rtl/>
              </w:rPr>
              <w:t xml:space="preserve"> (%)</w:t>
            </w:r>
          </w:p>
        </w:tc>
      </w:tr>
      <w:tr w:rsidR="00C329D2" w:rsidRPr="00211D55" w:rsidTr="00531F2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329D2" w:rsidRPr="00211D55" w:rsidRDefault="00C329D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329D2" w:rsidRPr="00211D55" w:rsidRDefault="00531F2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14,944</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329D2" w:rsidRPr="00211D55" w:rsidRDefault="00531F2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15,389</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329D2" w:rsidRPr="00211D55" w:rsidRDefault="00531F2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15,034</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329D2" w:rsidRPr="00211D55" w:rsidRDefault="00531F2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98%</w:t>
            </w:r>
          </w:p>
        </w:tc>
      </w:tr>
      <w:tr w:rsidR="00C329D2" w:rsidRPr="00211D55" w:rsidTr="00531F2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329D2" w:rsidRPr="00211D55" w:rsidRDefault="00C329D2"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C329D2" w:rsidRPr="00211D55" w:rsidRDefault="00531F2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30,325</w:t>
            </w:r>
          </w:p>
        </w:tc>
        <w:tc>
          <w:tcPr>
            <w:tcW w:w="970" w:type="pct"/>
            <w:tcBorders>
              <w:top w:val="nil"/>
              <w:left w:val="single" w:sz="4" w:space="0" w:color="auto"/>
              <w:bottom w:val="single" w:sz="4" w:space="0" w:color="auto"/>
              <w:right w:val="single" w:sz="4" w:space="0" w:color="auto"/>
            </w:tcBorders>
            <w:shd w:val="clear" w:color="auto" w:fill="auto"/>
            <w:vAlign w:val="center"/>
          </w:tcPr>
          <w:p w:rsidR="00C329D2" w:rsidRPr="00211D55" w:rsidRDefault="00531F2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33,287</w:t>
            </w:r>
          </w:p>
        </w:tc>
        <w:tc>
          <w:tcPr>
            <w:tcW w:w="970" w:type="pct"/>
            <w:tcBorders>
              <w:top w:val="nil"/>
              <w:left w:val="single" w:sz="4" w:space="0" w:color="auto"/>
              <w:bottom w:val="single" w:sz="4" w:space="0" w:color="auto"/>
              <w:right w:val="single" w:sz="4" w:space="0" w:color="auto"/>
            </w:tcBorders>
            <w:shd w:val="clear" w:color="auto" w:fill="auto"/>
            <w:vAlign w:val="center"/>
          </w:tcPr>
          <w:p w:rsidR="00C329D2" w:rsidRPr="00211D55" w:rsidRDefault="00531F2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32,934</w:t>
            </w:r>
          </w:p>
        </w:tc>
        <w:tc>
          <w:tcPr>
            <w:tcW w:w="970" w:type="pct"/>
            <w:tcBorders>
              <w:top w:val="nil"/>
              <w:left w:val="single" w:sz="4" w:space="0" w:color="auto"/>
              <w:bottom w:val="single" w:sz="4" w:space="0" w:color="auto"/>
              <w:right w:val="single" w:sz="4" w:space="0" w:color="auto"/>
            </w:tcBorders>
            <w:shd w:val="clear" w:color="auto" w:fill="auto"/>
            <w:vAlign w:val="center"/>
          </w:tcPr>
          <w:p w:rsidR="00C329D2" w:rsidRPr="00211D55" w:rsidRDefault="00531F2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99%</w:t>
            </w:r>
          </w:p>
        </w:tc>
      </w:tr>
      <w:tr w:rsidR="00531F2E" w:rsidRPr="00211D55" w:rsidTr="008A6D4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531F2E" w:rsidRPr="00211D55" w:rsidRDefault="00531F2E"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531F2E" w:rsidRPr="00211D55" w:rsidRDefault="00531F2E"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45,269</w:t>
            </w:r>
          </w:p>
        </w:tc>
        <w:tc>
          <w:tcPr>
            <w:tcW w:w="970" w:type="pct"/>
            <w:tcBorders>
              <w:top w:val="nil"/>
              <w:left w:val="single" w:sz="4" w:space="0" w:color="auto"/>
              <w:bottom w:val="single" w:sz="4" w:space="0" w:color="auto"/>
              <w:right w:val="single" w:sz="4" w:space="0" w:color="auto"/>
            </w:tcBorders>
            <w:shd w:val="clear" w:color="auto" w:fill="auto"/>
            <w:vAlign w:val="center"/>
          </w:tcPr>
          <w:p w:rsidR="00531F2E" w:rsidRPr="00211D55" w:rsidRDefault="00531F2E"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48,676</w:t>
            </w:r>
          </w:p>
        </w:tc>
        <w:tc>
          <w:tcPr>
            <w:tcW w:w="970" w:type="pct"/>
            <w:tcBorders>
              <w:top w:val="nil"/>
              <w:left w:val="single" w:sz="4" w:space="0" w:color="auto"/>
              <w:bottom w:val="single" w:sz="4" w:space="0" w:color="auto"/>
              <w:right w:val="single" w:sz="4" w:space="0" w:color="auto"/>
            </w:tcBorders>
            <w:shd w:val="clear" w:color="auto" w:fill="auto"/>
            <w:vAlign w:val="center"/>
          </w:tcPr>
          <w:p w:rsidR="00531F2E" w:rsidRPr="00211D55" w:rsidRDefault="00531F2E"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47,968</w:t>
            </w:r>
          </w:p>
        </w:tc>
        <w:tc>
          <w:tcPr>
            <w:tcW w:w="970" w:type="pct"/>
            <w:tcBorders>
              <w:top w:val="nil"/>
              <w:left w:val="single" w:sz="4" w:space="0" w:color="auto"/>
              <w:bottom w:val="single" w:sz="4" w:space="0" w:color="auto"/>
              <w:right w:val="single" w:sz="4" w:space="0" w:color="auto"/>
            </w:tcBorders>
            <w:shd w:val="clear" w:color="auto" w:fill="auto"/>
            <w:vAlign w:val="center"/>
          </w:tcPr>
          <w:p w:rsidR="00531F2E" w:rsidRPr="00211D55" w:rsidRDefault="00531F2E"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99%</w:t>
            </w:r>
          </w:p>
        </w:tc>
      </w:tr>
    </w:tbl>
    <w:p w:rsidR="00531F2E" w:rsidRPr="000036F7" w:rsidRDefault="00531F2E" w:rsidP="00FD7897">
      <w:pPr>
        <w:keepNext/>
        <w:bidi/>
        <w:spacing w:before="120" w:after="120" w:line="340" w:lineRule="exact"/>
        <w:rPr>
          <w:rFonts w:ascii="Arabic Typesetting" w:hAnsi="Arabic Typesetting" w:cs="Arabic Typesetting"/>
          <w:sz w:val="34"/>
          <w:szCs w:val="34"/>
          <w:lang w:bidi="ar-EG"/>
        </w:rPr>
      </w:pPr>
      <w:r w:rsidRPr="000036F7">
        <w:rPr>
          <w:rFonts w:ascii="Arabic Typesetting" w:hAnsi="Arabic Typesetting" w:cs="Arabic Typesetting" w:hint="cs"/>
          <w:sz w:val="34"/>
          <w:szCs w:val="34"/>
          <w:rtl/>
          <w:lang w:bidi="ar-EG"/>
        </w:rPr>
        <w:t>ألف</w:t>
      </w:r>
      <w:r w:rsidRPr="000036F7">
        <w:rPr>
          <w:rFonts w:ascii="Arabic Typesetting" w:hAnsi="Arabic Typesetting" w:cs="Arabic Typesetting"/>
          <w:sz w:val="34"/>
          <w:szCs w:val="34"/>
          <w:lang w:bidi="ar-EG"/>
        </w:rPr>
        <w:t>.</w:t>
      </w:r>
      <w:r w:rsidRPr="000036F7">
        <w:rPr>
          <w:rFonts w:ascii="Arabic Typesetting" w:hAnsi="Arabic Typesetting" w:cs="Arabic Typesetting" w:hint="cs"/>
          <w:sz w:val="34"/>
          <w:szCs w:val="34"/>
          <w:rtl/>
          <w:lang w:bidi="ar-EG"/>
        </w:rPr>
        <w:tab/>
      </w:r>
      <w:r w:rsidRPr="000036F7">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531F2E" w:rsidRDefault="00B31868" w:rsidP="009A3712">
      <w:pPr>
        <w:numPr>
          <w:ilvl w:val="0"/>
          <w:numId w:val="12"/>
        </w:numPr>
        <w:tabs>
          <w:tab w:val="clear" w:pos="1040"/>
        </w:tabs>
        <w:bidi/>
        <w:spacing w:before="120" w:after="120" w:line="340" w:lineRule="exact"/>
        <w:ind w:left="0"/>
        <w:jc w:val="both"/>
        <w:rPr>
          <w:rFonts w:ascii="Arabic Typesetting" w:eastAsia="Arial" w:hAnsi="Arabic Typesetting" w:cs="Arabic Typesetting"/>
          <w:color w:val="000000"/>
          <w:sz w:val="34"/>
          <w:szCs w:val="34"/>
          <w:lang w:bidi="ar-EG"/>
        </w:rPr>
      </w:pPr>
      <w:r w:rsidRPr="00531F2E">
        <w:rPr>
          <w:rFonts w:ascii="Arabic Typesetting" w:eastAsia="Arial" w:hAnsi="Arabic Typesetting" w:cs="Arabic Typesetting" w:hint="cs"/>
          <w:color w:val="000000"/>
          <w:sz w:val="34"/>
          <w:szCs w:val="34"/>
          <w:rtl/>
          <w:lang w:bidi="ar-EG"/>
        </w:rPr>
        <w:t xml:space="preserve">تُعزى </w:t>
      </w:r>
      <w:r w:rsidR="000036F7">
        <w:rPr>
          <w:rFonts w:ascii="Arabic Typesetting" w:eastAsia="Arial" w:hAnsi="Arabic Typesetting" w:cs="Arabic Typesetting" w:hint="cs"/>
          <w:color w:val="000000"/>
          <w:sz w:val="34"/>
          <w:szCs w:val="34"/>
          <w:rtl/>
          <w:lang w:bidi="ar-EG"/>
        </w:rPr>
        <w:t>أساساً</w:t>
      </w:r>
      <w:r w:rsidRPr="00531F2E">
        <w:rPr>
          <w:rFonts w:ascii="Arabic Typesetting" w:eastAsia="Arial" w:hAnsi="Arabic Typesetting" w:cs="Arabic Typesetting" w:hint="cs"/>
          <w:color w:val="000000"/>
          <w:sz w:val="34"/>
          <w:szCs w:val="34"/>
          <w:rtl/>
          <w:lang w:bidi="ar-EG"/>
        </w:rPr>
        <w:t xml:space="preserve"> </w:t>
      </w:r>
      <w:r w:rsidRPr="00531F2E">
        <w:rPr>
          <w:rFonts w:ascii="Arabic Typesetting" w:eastAsia="Arial" w:hAnsi="Arabic Typesetting" w:cs="Arabic Typesetting"/>
          <w:color w:val="000000"/>
          <w:sz w:val="34"/>
          <w:szCs w:val="34"/>
          <w:rtl/>
          <w:lang w:bidi="ar-EG"/>
        </w:rPr>
        <w:t>الزيادة الإجمالية</w:t>
      </w:r>
      <w:r w:rsidR="00531F2E" w:rsidRPr="00531F2E">
        <w:rPr>
          <w:rFonts w:ascii="Arabic Typesetting" w:eastAsia="Arial" w:hAnsi="Arabic Typesetting" w:cs="Arabic Typesetting" w:hint="cs"/>
          <w:color w:val="000000"/>
          <w:sz w:val="34"/>
          <w:szCs w:val="34"/>
          <w:rtl/>
          <w:lang w:bidi="ar-EG"/>
        </w:rPr>
        <w:t xml:space="preserve"> في </w:t>
      </w:r>
      <w:r w:rsidR="00531F2E" w:rsidRPr="00531F2E">
        <w:rPr>
          <w:rFonts w:ascii="Arabic Typesetting" w:eastAsia="Arial" w:hAnsi="Arabic Typesetting" w:cs="Arabic Typesetting"/>
          <w:color w:val="000000"/>
          <w:sz w:val="34"/>
          <w:szCs w:val="34"/>
          <w:rtl/>
          <w:lang w:bidi="ar-EG"/>
        </w:rPr>
        <w:t xml:space="preserve">الميزانية النهائية بعد التحويلات </w:t>
      </w:r>
      <w:r w:rsidR="00507DE2">
        <w:rPr>
          <w:rFonts w:ascii="Arabic Typesetting" w:eastAsia="Arial" w:hAnsi="Arabic Typesetting" w:cs="Arabic Typesetting"/>
          <w:color w:val="000000"/>
          <w:sz w:val="34"/>
          <w:szCs w:val="34"/>
          <w:rtl/>
          <w:lang w:bidi="ar-EG"/>
        </w:rPr>
        <w:t>2014/15</w:t>
      </w:r>
      <w:r w:rsidRPr="00531F2E">
        <w:rPr>
          <w:rFonts w:ascii="Arabic Typesetting" w:eastAsia="Arial" w:hAnsi="Arabic Typesetting" w:cs="Arabic Typesetting"/>
          <w:color w:val="000000"/>
          <w:sz w:val="34"/>
          <w:szCs w:val="34"/>
          <w:rtl/>
          <w:lang w:bidi="ar-EG"/>
        </w:rPr>
        <w:t xml:space="preserve"> إلى زيادة في </w:t>
      </w:r>
      <w:r w:rsidRPr="00531F2E">
        <w:rPr>
          <w:rFonts w:ascii="Arabic Typesetting" w:eastAsia="Arial" w:hAnsi="Arabic Typesetting" w:cs="Arabic Typesetting" w:hint="cs"/>
          <w:color w:val="000000"/>
          <w:sz w:val="34"/>
          <w:szCs w:val="34"/>
          <w:rtl/>
          <w:lang w:bidi="ar-EG"/>
        </w:rPr>
        <w:t xml:space="preserve">خلاف </w:t>
      </w:r>
      <w:r w:rsidRPr="00531F2E">
        <w:rPr>
          <w:rFonts w:ascii="Arabic Typesetting" w:eastAsia="Arial" w:hAnsi="Arabic Typesetting" w:cs="Arabic Typesetting"/>
          <w:color w:val="000000"/>
          <w:sz w:val="34"/>
          <w:szCs w:val="34"/>
          <w:rtl/>
          <w:lang w:bidi="ar-EG"/>
        </w:rPr>
        <w:t>موارد الموظفين</w:t>
      </w:r>
      <w:r w:rsidR="00531F2E">
        <w:rPr>
          <w:rFonts w:ascii="Arabic Typesetting" w:eastAsia="Arial" w:hAnsi="Arabic Typesetting" w:cs="Arabic Typesetting" w:hint="cs"/>
          <w:color w:val="000000"/>
          <w:sz w:val="34"/>
          <w:szCs w:val="34"/>
          <w:rtl/>
          <w:lang w:bidi="ar-EG"/>
        </w:rPr>
        <w:t xml:space="preserve"> المخصصة للنتيجة المنشودة 1.9 (</w:t>
      </w:r>
      <w:r w:rsidR="00531F2E" w:rsidRPr="00520275">
        <w:rPr>
          <w:rFonts w:ascii="Arabic Typesetting" w:eastAsia="Arial" w:hAnsi="Arabic Typesetting" w:cs="Arabic Typesetting"/>
          <w:color w:val="000000"/>
          <w:sz w:val="34"/>
          <w:szCs w:val="34"/>
          <w:rtl/>
          <w:lang w:bidi="ar-EG"/>
        </w:rPr>
        <w:t>خدمات دعم موجهة للزبون بفعالية وكفاءة وجودة لفائدة الزبائن</w:t>
      </w:r>
      <w:r w:rsidR="00531F2E" w:rsidRPr="00520275">
        <w:rPr>
          <w:rFonts w:ascii="Arabic Typesetting" w:eastAsia="Arial" w:hAnsi="Arabic Typesetting" w:cs="Arabic Typesetting" w:hint="cs"/>
          <w:color w:val="000000"/>
          <w:sz w:val="34"/>
          <w:szCs w:val="34"/>
          <w:rtl/>
          <w:lang w:bidi="ar-EG"/>
        </w:rPr>
        <w:t xml:space="preserve">) بغية تغطية ما يلي: "1" تنفيذ بنية مرنة لمكاتب الويبو الخارجية؛ "2" وشراء تراخيص لإدارة محتويات الشركات وقاعدة بيانات إدارة المواصفات؛ "3" وتزويد مبنى </w:t>
      </w:r>
      <w:proofErr w:type="spellStart"/>
      <w:r w:rsidR="00531F2E" w:rsidRPr="00520275">
        <w:rPr>
          <w:rFonts w:ascii="Arabic Typesetting" w:eastAsia="Arial" w:hAnsi="Arabic Typesetting" w:cs="Arabic Typesetting" w:hint="cs"/>
          <w:color w:val="000000"/>
          <w:sz w:val="34"/>
          <w:szCs w:val="34"/>
          <w:rtl/>
          <w:lang w:bidi="ar-EG"/>
        </w:rPr>
        <w:t>الكام</w:t>
      </w:r>
      <w:proofErr w:type="spellEnd"/>
      <w:r w:rsidR="00531F2E" w:rsidRPr="00520275">
        <w:rPr>
          <w:rFonts w:ascii="Arabic Typesetting" w:eastAsia="Arial" w:hAnsi="Arabic Typesetting" w:cs="Arabic Typesetting" w:hint="cs"/>
          <w:color w:val="000000"/>
          <w:sz w:val="34"/>
          <w:szCs w:val="34"/>
          <w:rtl/>
          <w:lang w:bidi="ar-EG"/>
        </w:rPr>
        <w:t xml:space="preserve"> في الويبو بحواسيب محملة كموقع "طوارئ" للاستخدام في حالات الطوارئ المحلية؛ "4" تكاليف تخص الدراسة الخاص بإدارة التحكم في النفاذ؛ "5" شراء حلول لأمن المعلومات بغية تعزيز سبل الحماية والتصدي للحوادث؛ "6" استبدال مختلف المعدات المعلوماتية مثل الهواتف المحمولة والحواسيب المحمولة والشاشات.</w:t>
      </w:r>
    </w:p>
    <w:p w:rsidR="00B31868" w:rsidRPr="00531F2E" w:rsidRDefault="00531F2E" w:rsidP="009A3712">
      <w:pPr>
        <w:numPr>
          <w:ilvl w:val="0"/>
          <w:numId w:val="12"/>
        </w:numPr>
        <w:tabs>
          <w:tab w:val="clear" w:pos="1040"/>
        </w:tabs>
        <w:bidi/>
        <w:spacing w:before="120" w:after="120" w:line="360" w:lineRule="exact"/>
        <w:ind w:left="-1"/>
        <w:jc w:val="both"/>
        <w:rPr>
          <w:rFonts w:ascii="Arabic Typesetting" w:eastAsia="Arial" w:hAnsi="Arabic Typesetting" w:cs="Arabic Typesetting"/>
          <w:color w:val="000000"/>
          <w:sz w:val="34"/>
          <w:szCs w:val="34"/>
          <w:rtl/>
          <w:lang w:bidi="ar-EG"/>
        </w:rPr>
      </w:pPr>
      <w:r w:rsidRPr="00531F2E">
        <w:rPr>
          <w:rFonts w:ascii="Arabic Typesetting" w:eastAsia="Arial" w:hAnsi="Arabic Typesetting" w:cs="Arabic Typesetting" w:hint="cs"/>
          <w:color w:val="000000"/>
          <w:sz w:val="34"/>
          <w:szCs w:val="34"/>
          <w:rtl/>
          <w:lang w:bidi="ar-EG"/>
        </w:rPr>
        <w:t xml:space="preserve">وتعزى </w:t>
      </w:r>
      <w:r w:rsidR="000036F7">
        <w:rPr>
          <w:rFonts w:ascii="Arabic Typesetting" w:eastAsia="Arial" w:hAnsi="Arabic Typesetting" w:cs="Arabic Typesetting" w:hint="cs"/>
          <w:color w:val="000000"/>
          <w:sz w:val="34"/>
          <w:szCs w:val="34"/>
          <w:rtl/>
          <w:lang w:bidi="ar-EG"/>
        </w:rPr>
        <w:t>أساساً</w:t>
      </w:r>
      <w:r w:rsidRPr="00531F2E">
        <w:rPr>
          <w:rFonts w:ascii="Arabic Typesetting" w:eastAsia="Arial" w:hAnsi="Arabic Typesetting" w:cs="Arabic Typesetting" w:hint="cs"/>
          <w:color w:val="000000"/>
          <w:sz w:val="34"/>
          <w:szCs w:val="34"/>
          <w:rtl/>
          <w:lang w:bidi="ar-EG"/>
        </w:rPr>
        <w:t xml:space="preserve"> الزيادة الصافية في موارد الموظفين إلى </w:t>
      </w:r>
      <w:r w:rsidRPr="00531F2E">
        <w:rPr>
          <w:rFonts w:ascii="Arabic Typesetting" w:eastAsia="Arial" w:hAnsi="Arabic Typesetting" w:cs="Arabic Typesetting"/>
          <w:color w:val="000000"/>
          <w:sz w:val="34"/>
          <w:szCs w:val="34"/>
          <w:rtl/>
          <w:lang w:bidi="ar-EG"/>
        </w:rPr>
        <w:t>حالات إعادة التصنيف واستكمال حالات التسوية</w:t>
      </w:r>
      <w:r w:rsidRPr="00531F2E">
        <w:rPr>
          <w:rFonts w:ascii="Arabic Typesetting" w:eastAsia="Arial" w:hAnsi="Arabic Typesetting" w:cs="Arabic Typesetting" w:hint="cs"/>
          <w:color w:val="000000"/>
          <w:sz w:val="34"/>
          <w:szCs w:val="34"/>
          <w:rtl/>
          <w:lang w:bidi="ar-EG"/>
        </w:rPr>
        <w:t xml:space="preserve"> الخاصة بالوظائف المستمرة </w:t>
      </w:r>
      <w:r w:rsidRPr="00531F2E">
        <w:rPr>
          <w:rFonts w:ascii="Arabic Typesetting" w:hAnsi="Arabic Typesetting" w:cs="Arabic Typesetting" w:hint="cs"/>
          <w:sz w:val="34"/>
          <w:szCs w:val="34"/>
          <w:rtl/>
          <w:lang w:val="fr-CH"/>
        </w:rPr>
        <w:t>من</w:t>
      </w:r>
      <w:r w:rsidRPr="00531F2E">
        <w:rPr>
          <w:rFonts w:ascii="Arabic Typesetting" w:eastAsia="Arial" w:hAnsi="Arabic Typesetting" w:cs="Arabic Typesetting" w:hint="cs"/>
          <w:color w:val="000000"/>
          <w:sz w:val="34"/>
          <w:szCs w:val="34"/>
          <w:rtl/>
          <w:lang w:bidi="ar-EG"/>
        </w:rPr>
        <w:t xml:space="preserve"> جهة ونقل وظيفة مؤقتة إلى المشتريات والأسفار في إطار البرنامج 24 بغية إقامة منصب موظف اعتماد خدمات التعاقد الفردي.</w:t>
      </w:r>
    </w:p>
    <w:p w:rsidR="00531F2E" w:rsidRPr="000036F7" w:rsidRDefault="00531F2E" w:rsidP="00FD7897">
      <w:pPr>
        <w:keepNext/>
        <w:bidi/>
        <w:spacing w:before="120" w:after="120" w:line="340" w:lineRule="exact"/>
        <w:rPr>
          <w:rFonts w:ascii="Arabic Typesetting" w:hAnsi="Arabic Typesetting" w:cs="Arabic Typesetting"/>
          <w:sz w:val="34"/>
          <w:szCs w:val="34"/>
          <w:rtl/>
          <w:lang w:bidi="ar-EG"/>
        </w:rPr>
      </w:pPr>
      <w:r w:rsidRPr="000036F7">
        <w:rPr>
          <w:rFonts w:ascii="Arabic Typesetting" w:hAnsi="Arabic Typesetting" w:cs="Arabic Typesetting" w:hint="cs"/>
          <w:sz w:val="34"/>
          <w:szCs w:val="34"/>
          <w:rtl/>
          <w:lang w:bidi="ar-EG"/>
        </w:rPr>
        <w:t>باء</w:t>
      </w:r>
      <w:r w:rsidRPr="000036F7">
        <w:rPr>
          <w:rFonts w:ascii="Arabic Typesetting" w:hAnsi="Arabic Typesetting" w:cs="Arabic Typesetting"/>
          <w:sz w:val="34"/>
          <w:szCs w:val="34"/>
          <w:lang w:bidi="ar-EG"/>
        </w:rPr>
        <w:t>.</w:t>
      </w:r>
      <w:r w:rsidRPr="000036F7">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B264F9" w:rsidRDefault="00EA50DF" w:rsidP="009A3712">
      <w:pPr>
        <w:numPr>
          <w:ilvl w:val="0"/>
          <w:numId w:val="12"/>
        </w:numPr>
        <w:tabs>
          <w:tab w:val="clear" w:pos="1040"/>
        </w:tabs>
        <w:bidi/>
        <w:spacing w:before="120" w:after="120" w:line="360" w:lineRule="exact"/>
        <w:ind w:left="-1"/>
        <w:jc w:val="both"/>
        <w:rPr>
          <w:rFonts w:ascii="Arabic Typesetting" w:hAnsi="Arabic Typesetting" w:cs="Arabic Typesetting"/>
          <w:sz w:val="34"/>
          <w:szCs w:val="34"/>
          <w:rtl/>
          <w:lang w:bidi="ar-EG"/>
        </w:rPr>
      </w:pPr>
      <w:r w:rsidRPr="00EA50DF">
        <w:rPr>
          <w:rFonts w:ascii="Arabic Typesetting" w:hAnsi="Arabic Typesetting" w:cs="Arabic Typesetting" w:hint="cs"/>
          <w:sz w:val="34"/>
          <w:szCs w:val="34"/>
          <w:rtl/>
          <w:lang w:val="fr-CH"/>
        </w:rPr>
        <w:t xml:space="preserve">لم يتجاوز </w:t>
      </w:r>
      <w:r w:rsidR="00C45BBE">
        <w:rPr>
          <w:rFonts w:ascii="Arabic Typesetting" w:eastAsia="Arial" w:hAnsi="Arabic Typesetting" w:cs="Arabic Typesetting" w:hint="cs"/>
          <w:color w:val="000000"/>
          <w:sz w:val="34"/>
          <w:szCs w:val="34"/>
          <w:rtl/>
          <w:lang w:bidi="ar-EG"/>
        </w:rPr>
        <w:t>استخدام</w:t>
      </w:r>
      <w:r w:rsidR="00C45BBE" w:rsidRPr="00EA50DF">
        <w:rPr>
          <w:rFonts w:ascii="Arabic Typesetting" w:hAnsi="Arabic Typesetting" w:cs="Arabic Typesetting" w:hint="cs"/>
          <w:sz w:val="34"/>
          <w:szCs w:val="34"/>
          <w:rtl/>
          <w:lang w:val="fr-CH"/>
        </w:rPr>
        <w:t xml:space="preserve"> </w:t>
      </w:r>
      <w:r w:rsidRPr="00EA50DF">
        <w:rPr>
          <w:rFonts w:ascii="Arabic Typesetting" w:hAnsi="Arabic Typesetting" w:cs="Arabic Typesetting" w:hint="cs"/>
          <w:sz w:val="34"/>
          <w:szCs w:val="34"/>
          <w:rtl/>
          <w:lang w:val="fr-CH"/>
        </w:rPr>
        <w:t>الميزانية النسبة المتوقعة للث</w:t>
      </w:r>
      <w:r w:rsidRPr="00B264F9">
        <w:rPr>
          <w:rFonts w:ascii="Arabic Typesetting" w:hAnsi="Arabic Typesetting" w:cs="Arabic Typesetting" w:hint="cs"/>
          <w:sz w:val="34"/>
          <w:szCs w:val="34"/>
          <w:rtl/>
          <w:lang w:val="fr-CH"/>
        </w:rPr>
        <w:t>نائية.</w:t>
      </w:r>
    </w:p>
    <w:p w:rsidR="00B31868" w:rsidRPr="00385CA0" w:rsidRDefault="00B31868" w:rsidP="00285760">
      <w:pPr>
        <w:pStyle w:val="Heading3AR"/>
        <w:spacing w:after="120"/>
        <w:rPr>
          <w:rtl/>
        </w:rPr>
      </w:pPr>
      <w:bookmarkStart w:id="130" w:name="_Toc450635433"/>
      <w:bookmarkStart w:id="131" w:name="_Toc455393402"/>
      <w:r w:rsidRPr="00385CA0">
        <w:rPr>
          <w:rtl/>
        </w:rPr>
        <w:lastRenderedPageBreak/>
        <w:t>البرنامج 26</w:t>
      </w:r>
      <w:r w:rsidR="00365D19">
        <w:rPr>
          <w:rFonts w:hint="cs"/>
          <w:rtl/>
        </w:rPr>
        <w:t>:</w:t>
      </w:r>
      <w:r w:rsidRPr="00385CA0">
        <w:rPr>
          <w:rtl/>
        </w:rPr>
        <w:tab/>
        <w:t>الرقابة الداخلية</w:t>
      </w:r>
      <w:bookmarkEnd w:id="130"/>
      <w:bookmarkEnd w:id="131"/>
    </w:p>
    <w:p w:rsidR="00B31868" w:rsidRPr="00086C3F" w:rsidRDefault="00086C3F" w:rsidP="00285760">
      <w:pPr>
        <w:keepNext/>
        <w:bidi/>
        <w:spacing w:after="240" w:line="340" w:lineRule="exact"/>
        <w:ind w:left="1984" w:hanging="1984"/>
        <w:rPr>
          <w:rFonts w:ascii="Arabic Typesetting" w:hAnsi="Arabic Typesetting" w:cs="Arabic Typesetting"/>
          <w:b/>
          <w:bCs/>
          <w:sz w:val="36"/>
          <w:szCs w:val="36"/>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rtl/>
          <w:lang w:val="fr-CH"/>
        </w:rPr>
        <w:tab/>
        <w:t xml:space="preserve">السيد </w:t>
      </w:r>
      <w:proofErr w:type="spellStart"/>
      <w:r w:rsidR="00B31868" w:rsidRPr="00086C3F">
        <w:rPr>
          <w:rFonts w:ascii="Arabic Typesetting" w:hAnsi="Arabic Typesetting" w:cs="Arabic Typesetting"/>
          <w:b/>
          <w:bCs/>
          <w:sz w:val="36"/>
          <w:szCs w:val="36"/>
          <w:rtl/>
          <w:lang w:val="fr-CH"/>
        </w:rPr>
        <w:t>ت</w:t>
      </w:r>
      <w:r w:rsidR="00650608">
        <w:rPr>
          <w:rFonts w:ascii="Arabic Typesetting" w:hAnsi="Arabic Typesetting" w:cs="Arabic Typesetting" w:hint="cs"/>
          <w:b/>
          <w:bCs/>
          <w:sz w:val="36"/>
          <w:szCs w:val="36"/>
          <w:rtl/>
          <w:lang w:val="fr-CH"/>
        </w:rPr>
        <w:t>و</w:t>
      </w:r>
      <w:r w:rsidRPr="00086C3F">
        <w:rPr>
          <w:rFonts w:ascii="Arabic Typesetting" w:hAnsi="Arabic Typesetting" w:cs="Arabic Typesetting" w:hint="cs"/>
          <w:b/>
          <w:bCs/>
          <w:sz w:val="36"/>
          <w:szCs w:val="36"/>
          <w:rtl/>
          <w:lang w:val="fr-CH"/>
        </w:rPr>
        <w:t>نكاي</w:t>
      </w:r>
      <w:proofErr w:type="spellEnd"/>
      <w:r w:rsidR="00B31868" w:rsidRPr="00086C3F">
        <w:rPr>
          <w:rFonts w:ascii="Arabic Typesetting" w:hAnsi="Arabic Typesetting" w:cs="Arabic Typesetting"/>
          <w:b/>
          <w:bCs/>
          <w:sz w:val="36"/>
          <w:szCs w:val="36"/>
          <w:rtl/>
          <w:lang w:val="fr-CH"/>
        </w:rPr>
        <w:t xml:space="preserve"> </w:t>
      </w:r>
      <w:proofErr w:type="spellStart"/>
      <w:r w:rsidR="00B31868" w:rsidRPr="00086C3F">
        <w:rPr>
          <w:rFonts w:ascii="Arabic Typesetting" w:hAnsi="Arabic Typesetting" w:cs="Arabic Typesetting"/>
          <w:b/>
          <w:bCs/>
          <w:sz w:val="36"/>
          <w:szCs w:val="36"/>
          <w:rtl/>
          <w:lang w:val="fr-CH"/>
        </w:rPr>
        <w:t>أفنديأوغلو</w:t>
      </w:r>
      <w:proofErr w:type="spellEnd"/>
      <w:r w:rsidR="00B31868" w:rsidRPr="00086C3F">
        <w:rPr>
          <w:rFonts w:ascii="Arabic Typesetting" w:hAnsi="Arabic Typesetting" w:cs="Arabic Typesetting"/>
          <w:b/>
          <w:bCs/>
          <w:sz w:val="36"/>
          <w:szCs w:val="36"/>
          <w:rtl/>
          <w:lang w:val="fr-CH"/>
        </w:rPr>
        <w:t xml:space="preserve"> (مدير شعبة الرقابة الداخلية</w:t>
      </w:r>
      <w:r w:rsidR="00B31868" w:rsidRPr="00086C3F">
        <w:rPr>
          <w:rFonts w:ascii="Arabic Typesetting" w:hAnsi="Arabic Typesetting" w:cs="Arabic Typesetting" w:hint="cs"/>
          <w:b/>
          <w:bCs/>
          <w:sz w:val="36"/>
          <w:szCs w:val="36"/>
          <w:rtl/>
          <w:lang w:val="fr-CH"/>
        </w:rPr>
        <w:t xml:space="preserve"> بالنيابة</w:t>
      </w:r>
      <w:r w:rsidR="00B31868" w:rsidRPr="00086C3F">
        <w:rPr>
          <w:rFonts w:ascii="Arabic Typesetting" w:hAnsi="Arabic Typesetting" w:cs="Arabic Typesetting"/>
          <w:b/>
          <w:bCs/>
          <w:sz w:val="36"/>
          <w:szCs w:val="36"/>
          <w:rtl/>
          <w:lang w:val="fr-CH"/>
        </w:rPr>
        <w:t>)</w:t>
      </w:r>
    </w:p>
    <w:p w:rsidR="00086C3F" w:rsidRDefault="00086C3F" w:rsidP="00285760">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B31868" w:rsidRDefault="00B31868" w:rsidP="009A3712">
      <w:pPr>
        <w:numPr>
          <w:ilvl w:val="0"/>
          <w:numId w:val="21"/>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 xml:space="preserve">اجتازت شعبة الرقابة الداخلية </w:t>
      </w:r>
      <w:r w:rsidR="00734715">
        <w:rPr>
          <w:rFonts w:ascii="Arabic Typesetting" w:hAnsi="Arabic Typesetting" w:cs="Arabic Typesetting" w:hint="cs"/>
          <w:sz w:val="34"/>
          <w:szCs w:val="34"/>
          <w:rtl/>
          <w:lang w:bidi="ar-EG"/>
        </w:rPr>
        <w:t>ثلاثة تقييمات</w:t>
      </w:r>
      <w:r w:rsidR="00734715"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sz w:val="34"/>
          <w:szCs w:val="34"/>
          <w:rtl/>
          <w:lang w:bidi="ar-EG"/>
        </w:rPr>
        <w:t xml:space="preserve">جودة </w:t>
      </w:r>
      <w:r w:rsidR="00734715" w:rsidRPr="00B31868">
        <w:rPr>
          <w:rFonts w:ascii="Arabic Typesetting" w:hAnsi="Arabic Typesetting" w:cs="Arabic Typesetting"/>
          <w:sz w:val="34"/>
          <w:szCs w:val="34"/>
          <w:rtl/>
          <w:lang w:bidi="ar-EG"/>
        </w:rPr>
        <w:t>خارجي</w:t>
      </w:r>
      <w:r w:rsidR="00734715">
        <w:rPr>
          <w:rFonts w:ascii="Arabic Typesetting" w:hAnsi="Arabic Typesetting" w:cs="Arabic Typesetting" w:hint="cs"/>
          <w:sz w:val="34"/>
          <w:szCs w:val="34"/>
          <w:rtl/>
          <w:lang w:bidi="ar-EG"/>
        </w:rPr>
        <w:t>ة</w:t>
      </w:r>
      <w:r w:rsidR="00734715" w:rsidRPr="00B31868">
        <w:rPr>
          <w:rFonts w:ascii="Arabic Typesetting" w:hAnsi="Arabic Typesetting" w:cs="Arabic Typesetting"/>
          <w:sz w:val="34"/>
          <w:szCs w:val="34"/>
          <w:rtl/>
          <w:lang w:bidi="ar-EG"/>
        </w:rPr>
        <w:t xml:space="preserve"> ناجح</w:t>
      </w:r>
      <w:r w:rsidR="00734715">
        <w:rPr>
          <w:rFonts w:ascii="Arabic Typesetting" w:hAnsi="Arabic Typesetting" w:cs="Arabic Typesetting" w:hint="cs"/>
          <w:sz w:val="34"/>
          <w:szCs w:val="34"/>
          <w:rtl/>
          <w:lang w:bidi="ar-EG"/>
        </w:rPr>
        <w:t>ة</w:t>
      </w:r>
      <w:r w:rsidR="00734715" w:rsidRPr="00B31868">
        <w:rPr>
          <w:rFonts w:ascii="Arabic Typesetting" w:hAnsi="Arabic Typesetting" w:cs="Arabic Typesetting"/>
          <w:sz w:val="34"/>
          <w:szCs w:val="34"/>
          <w:rtl/>
          <w:lang w:bidi="ar-EG"/>
        </w:rPr>
        <w:t xml:space="preserve"> </w:t>
      </w:r>
      <w:r w:rsidR="00734715">
        <w:rPr>
          <w:rFonts w:ascii="Arabic Typesetting" w:hAnsi="Arabic Typesetting" w:cs="Arabic Typesetting" w:hint="cs"/>
          <w:sz w:val="34"/>
          <w:szCs w:val="34"/>
          <w:rtl/>
          <w:lang w:bidi="ar-EG"/>
        </w:rPr>
        <w:t>لوظائف</w:t>
      </w:r>
      <w:r w:rsidR="00734715"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sz w:val="34"/>
          <w:szCs w:val="34"/>
          <w:rtl/>
          <w:lang w:bidi="ar-EG"/>
        </w:rPr>
        <w:t>التدقيق</w:t>
      </w:r>
      <w:r w:rsidR="00734715" w:rsidRPr="00F96634">
        <w:rPr>
          <w:rFonts w:ascii="Arabic Typesetting" w:hAnsi="Arabic Typesetting" w:cs="Arabic Typesetting"/>
          <w:sz w:val="28"/>
          <w:szCs w:val="28"/>
          <w:vertAlign w:val="superscript"/>
          <w:rtl/>
          <w:lang w:bidi="ar-EG"/>
        </w:rPr>
        <w:footnoteReference w:id="140"/>
      </w:r>
      <w:r w:rsidRPr="00B31868">
        <w:rPr>
          <w:rFonts w:ascii="Arabic Typesetting" w:hAnsi="Arabic Typesetting" w:cs="Arabic Typesetting"/>
          <w:sz w:val="34"/>
          <w:szCs w:val="34"/>
          <w:rtl/>
          <w:lang w:bidi="ar-EG"/>
        </w:rPr>
        <w:t xml:space="preserve"> والتقييم</w:t>
      </w:r>
      <w:r w:rsidR="00E63EDB" w:rsidRPr="00F96634">
        <w:rPr>
          <w:rFonts w:ascii="Arabic Typesetting" w:hAnsi="Arabic Typesetting" w:cs="Arabic Typesetting"/>
          <w:sz w:val="28"/>
          <w:szCs w:val="28"/>
          <w:vertAlign w:val="superscript"/>
          <w:rtl/>
          <w:lang w:bidi="ar-EG"/>
        </w:rPr>
        <w:footnoteReference w:id="141"/>
      </w:r>
      <w:r w:rsidRPr="00B31868">
        <w:rPr>
          <w:rFonts w:ascii="Arabic Typesetting" w:hAnsi="Arabic Typesetting" w:cs="Arabic Typesetting"/>
          <w:sz w:val="34"/>
          <w:szCs w:val="34"/>
          <w:rtl/>
          <w:lang w:bidi="ar-EG"/>
        </w:rPr>
        <w:t xml:space="preserve"> </w:t>
      </w:r>
      <w:r w:rsidR="00734715">
        <w:rPr>
          <w:rFonts w:ascii="Arabic Typesetting" w:hAnsi="Arabic Typesetting" w:cs="Arabic Typesetting" w:hint="cs"/>
          <w:sz w:val="34"/>
          <w:szCs w:val="34"/>
          <w:rtl/>
          <w:lang w:bidi="ar-EG"/>
        </w:rPr>
        <w:t>والتحقيق</w:t>
      </w:r>
      <w:r w:rsidR="00E63EDB" w:rsidRPr="00F96634">
        <w:rPr>
          <w:rFonts w:ascii="Arabic Typesetting" w:hAnsi="Arabic Typesetting" w:cs="Arabic Typesetting"/>
          <w:sz w:val="28"/>
          <w:szCs w:val="28"/>
          <w:vertAlign w:val="superscript"/>
          <w:rtl/>
          <w:lang w:bidi="ar-EG"/>
        </w:rPr>
        <w:footnoteReference w:id="142"/>
      </w:r>
      <w:r w:rsidR="00734715">
        <w:rPr>
          <w:rFonts w:ascii="Arabic Typesetting" w:hAnsi="Arabic Typesetting" w:cs="Arabic Typesetting" w:hint="cs"/>
          <w:sz w:val="34"/>
          <w:szCs w:val="34"/>
          <w:rtl/>
          <w:lang w:bidi="ar-EG"/>
        </w:rPr>
        <w:t xml:space="preserve"> </w:t>
      </w:r>
      <w:r w:rsidR="00B96D17">
        <w:rPr>
          <w:rFonts w:ascii="Arabic Typesetting" w:hAnsi="Arabic Typesetting" w:cs="Arabic Typesetting"/>
          <w:sz w:val="34"/>
          <w:szCs w:val="34"/>
          <w:rtl/>
          <w:lang w:bidi="ar-EG"/>
        </w:rPr>
        <w:t>ال</w:t>
      </w:r>
      <w:r w:rsidRPr="00B31868">
        <w:rPr>
          <w:rFonts w:ascii="Arabic Typesetting" w:hAnsi="Arabic Typesetting" w:cs="Arabic Typesetting"/>
          <w:sz w:val="34"/>
          <w:szCs w:val="34"/>
          <w:rtl/>
          <w:lang w:bidi="ar-EG"/>
        </w:rPr>
        <w:t>تي قامت بها في عام</w:t>
      </w:r>
      <w:r w:rsidR="00734715">
        <w:rPr>
          <w:rFonts w:ascii="Arabic Typesetting" w:hAnsi="Arabic Typesetting" w:cs="Arabic Typesetting" w:hint="cs"/>
          <w:sz w:val="34"/>
          <w:szCs w:val="34"/>
          <w:rtl/>
          <w:lang w:bidi="ar-EG"/>
        </w:rPr>
        <w:t>ي</w:t>
      </w:r>
      <w:r w:rsidRPr="00B31868">
        <w:rPr>
          <w:rFonts w:ascii="Arabic Typesetting" w:hAnsi="Arabic Typesetting" w:cs="Arabic Typesetting"/>
          <w:sz w:val="34"/>
          <w:szCs w:val="34"/>
          <w:rtl/>
          <w:lang w:bidi="ar-EG"/>
        </w:rPr>
        <w:t xml:space="preserve"> </w:t>
      </w:r>
      <w:r w:rsidR="00507DE2">
        <w:rPr>
          <w:rFonts w:ascii="Arabic Typesetting" w:hAnsi="Arabic Typesetting" w:cs="Arabic Typesetting" w:hint="cs"/>
          <w:sz w:val="34"/>
          <w:szCs w:val="34"/>
          <w:rtl/>
          <w:lang w:bidi="ar-EG"/>
        </w:rPr>
        <w:t>2014/15</w:t>
      </w:r>
      <w:r w:rsidRPr="00B31868">
        <w:rPr>
          <w:rFonts w:ascii="Arabic Typesetting" w:hAnsi="Arabic Typesetting" w:cs="Arabic Typesetting"/>
          <w:sz w:val="34"/>
          <w:szCs w:val="34"/>
          <w:rtl/>
          <w:lang w:bidi="ar-EG"/>
        </w:rPr>
        <w:t xml:space="preserve">. وقد </w:t>
      </w:r>
      <w:r w:rsidRPr="00B31868">
        <w:rPr>
          <w:rFonts w:ascii="Arabic Typesetting" w:hAnsi="Arabic Typesetting" w:cs="Arabic Typesetting" w:hint="cs"/>
          <w:sz w:val="34"/>
          <w:szCs w:val="34"/>
          <w:rtl/>
          <w:lang w:bidi="ar-EG"/>
        </w:rPr>
        <w:t>ثبت</w:t>
      </w:r>
      <w:r w:rsidRPr="00B31868">
        <w:rPr>
          <w:rFonts w:ascii="Arabic Typesetting" w:hAnsi="Arabic Typesetting" w:cs="Arabic Typesetting"/>
          <w:sz w:val="34"/>
          <w:szCs w:val="34"/>
          <w:rtl/>
          <w:lang w:bidi="ar-EG"/>
        </w:rPr>
        <w:t xml:space="preserve"> أن </w:t>
      </w:r>
      <w:r w:rsidR="00E63EDB">
        <w:rPr>
          <w:rFonts w:ascii="Arabic Typesetting" w:hAnsi="Arabic Typesetting" w:cs="Arabic Typesetting" w:hint="cs"/>
          <w:sz w:val="34"/>
          <w:szCs w:val="34"/>
          <w:rtl/>
          <w:lang w:bidi="ar-EG"/>
        </w:rPr>
        <w:t>الوظائف الثلاث</w:t>
      </w:r>
      <w:r w:rsidRPr="00B31868">
        <w:rPr>
          <w:rFonts w:ascii="Arabic Typesetting" w:hAnsi="Arabic Typesetting" w:cs="Arabic Typesetting"/>
          <w:sz w:val="34"/>
          <w:szCs w:val="34"/>
          <w:rtl/>
          <w:lang w:bidi="ar-EG"/>
        </w:rPr>
        <w:t xml:space="preserve"> تتفق عموماً مع قواعد ومعايير </w:t>
      </w:r>
      <w:r w:rsidR="00E63EDB">
        <w:rPr>
          <w:rFonts w:ascii="Arabic Typesetting" w:hAnsi="Arabic Typesetting" w:cs="Arabic Typesetting" w:hint="cs"/>
          <w:sz w:val="34"/>
          <w:szCs w:val="34"/>
          <w:rtl/>
          <w:lang w:bidi="ar-EG"/>
        </w:rPr>
        <w:t>كل مهنة</w:t>
      </w:r>
      <w:r w:rsidRPr="00B31868">
        <w:rPr>
          <w:rFonts w:ascii="Arabic Typesetting" w:hAnsi="Arabic Typesetting" w:cs="Arabic Typesetting"/>
          <w:sz w:val="34"/>
          <w:szCs w:val="34"/>
          <w:rtl/>
          <w:lang w:bidi="ar-EG"/>
        </w:rPr>
        <w:t>.</w:t>
      </w:r>
      <w:r w:rsidR="00E63EDB" w:rsidRPr="00F96634">
        <w:rPr>
          <w:rFonts w:ascii="Arabic Typesetting" w:hAnsi="Arabic Typesetting" w:cs="Arabic Typesetting"/>
          <w:sz w:val="28"/>
          <w:szCs w:val="28"/>
          <w:vertAlign w:val="superscript"/>
          <w:rtl/>
          <w:lang w:bidi="ar-EG"/>
        </w:rPr>
        <w:footnoteReference w:id="143"/>
      </w:r>
    </w:p>
    <w:p w:rsidR="00B31868" w:rsidRPr="00B31868" w:rsidRDefault="00B31868" w:rsidP="009A3712">
      <w:pPr>
        <w:numPr>
          <w:ilvl w:val="0"/>
          <w:numId w:val="21"/>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وأسهمت أيضاً شعبةُ الرقابة الداخلية في مراجعة ميثاق الويبو للرقابة الداخلية الذي اعتمدته الجمعية العامة في 30 سبتمبر 2014. وأ</w:t>
      </w:r>
      <w:r w:rsidRPr="00B31868">
        <w:rPr>
          <w:rFonts w:ascii="Arabic Typesetting" w:hAnsi="Arabic Typesetting" w:cs="Arabic Typesetting" w:hint="cs"/>
          <w:sz w:val="34"/>
          <w:szCs w:val="34"/>
          <w:rtl/>
          <w:lang w:bidi="ar-EG"/>
        </w:rPr>
        <w:t xml:space="preserve">سفرت </w:t>
      </w:r>
      <w:r w:rsidRPr="00B31868">
        <w:rPr>
          <w:rFonts w:ascii="Arabic Typesetting" w:hAnsi="Arabic Typesetting" w:cs="Arabic Typesetting"/>
          <w:sz w:val="34"/>
          <w:szCs w:val="34"/>
          <w:rtl/>
          <w:lang w:bidi="ar-EG"/>
        </w:rPr>
        <w:t xml:space="preserve">هذه المراجعة </w:t>
      </w:r>
      <w:r w:rsidRPr="00B31868">
        <w:rPr>
          <w:rFonts w:ascii="Arabic Typesetting" w:hAnsi="Arabic Typesetting" w:cs="Arabic Typesetting" w:hint="cs"/>
          <w:sz w:val="34"/>
          <w:szCs w:val="34"/>
          <w:rtl/>
          <w:lang w:bidi="ar-EG"/>
        </w:rPr>
        <w:t>عن</w:t>
      </w:r>
      <w:r w:rsidRPr="00B31868">
        <w:rPr>
          <w:rFonts w:ascii="Arabic Typesetting" w:hAnsi="Arabic Typesetting" w:cs="Arabic Typesetting"/>
          <w:sz w:val="34"/>
          <w:szCs w:val="34"/>
          <w:rtl/>
          <w:lang w:bidi="ar-EG"/>
        </w:rPr>
        <w:t>: "1" تغيير اسم</w:t>
      </w:r>
      <w:r w:rsidR="00E63EDB">
        <w:rPr>
          <w:rFonts w:ascii="Arabic Typesetting" w:hAnsi="Arabic Typesetting" w:cs="Arabic Typesetting" w:hint="cs"/>
          <w:sz w:val="34"/>
          <w:szCs w:val="34"/>
          <w:rtl/>
          <w:lang w:bidi="ar-EG"/>
        </w:rPr>
        <w:t xml:space="preserve"> الشعبة</w:t>
      </w:r>
      <w:r w:rsidRPr="00B31868">
        <w:rPr>
          <w:rFonts w:ascii="Arabic Typesetting" w:hAnsi="Arabic Typesetting" w:cs="Arabic Typesetting"/>
          <w:sz w:val="34"/>
          <w:szCs w:val="34"/>
          <w:rtl/>
          <w:lang w:bidi="ar-EG"/>
        </w:rPr>
        <w:t xml:space="preserve"> إلى "شعبة الرقابة الداخلية"، "2"</w:t>
      </w:r>
      <w:r w:rsidRPr="00B31868">
        <w:rPr>
          <w:rFonts w:ascii="Arabic Typesetting" w:hAnsi="Arabic Typesetting" w:cs="Arabic Typesetting" w:hint="cs"/>
          <w:sz w:val="34"/>
          <w:szCs w:val="34"/>
          <w:rtl/>
          <w:lang w:bidi="ar-EG"/>
        </w:rPr>
        <w:t xml:space="preserve"> وأصبحت </w:t>
      </w:r>
      <w:r w:rsidRPr="00B31868">
        <w:rPr>
          <w:rFonts w:ascii="Arabic Typesetting" w:hAnsi="Arabic Typesetting" w:cs="Arabic Typesetting"/>
          <w:sz w:val="34"/>
          <w:szCs w:val="34"/>
          <w:rtl/>
          <w:lang w:bidi="ar-EG"/>
        </w:rPr>
        <w:t>المعايير الدولية</w:t>
      </w:r>
      <w:r w:rsidRPr="00B31868">
        <w:rPr>
          <w:rFonts w:ascii="Arabic Typesetting" w:hAnsi="Arabic Typesetting" w:cs="Arabic Typesetting" w:hint="cs"/>
          <w:sz w:val="34"/>
          <w:szCs w:val="34"/>
          <w:rtl/>
          <w:lang w:bidi="ar-EG"/>
        </w:rPr>
        <w:t xml:space="preserve">/المبادئ التوجيهية للأمم المتحدة وقواعدها </w:t>
      </w:r>
      <w:r w:rsidRPr="00B31868">
        <w:rPr>
          <w:rFonts w:ascii="Arabic Typesetting" w:hAnsi="Arabic Typesetting" w:cs="Arabic Typesetting"/>
          <w:sz w:val="34"/>
          <w:szCs w:val="34"/>
          <w:rtl/>
          <w:lang w:bidi="ar-EG"/>
        </w:rPr>
        <w:t>إلزاميةً</w:t>
      </w:r>
      <w:r w:rsidRPr="00B31868">
        <w:rPr>
          <w:rFonts w:ascii="Arabic Typesetting" w:hAnsi="Arabic Typesetting" w:cs="Arabic Typesetting" w:hint="cs"/>
          <w:sz w:val="34"/>
          <w:szCs w:val="34"/>
          <w:rtl/>
          <w:lang w:bidi="ar-EG"/>
        </w:rPr>
        <w:t xml:space="preserve"> لأغراض التدقيق الداخلي والتقييم والتحقيق</w:t>
      </w:r>
      <w:r w:rsidRPr="00B31868">
        <w:rPr>
          <w:rFonts w:ascii="Arabic Typesetting" w:hAnsi="Arabic Typesetting" w:cs="Arabic Typesetting"/>
          <w:sz w:val="34"/>
          <w:szCs w:val="34"/>
          <w:rtl/>
          <w:lang w:bidi="ar-EG"/>
        </w:rPr>
        <w:t>، "3"</w:t>
      </w:r>
      <w:r w:rsidRPr="00B31868">
        <w:rPr>
          <w:rFonts w:ascii="Arabic Typesetting" w:hAnsi="Arabic Typesetting" w:cs="Arabic Typesetting" w:hint="cs"/>
          <w:sz w:val="34"/>
          <w:szCs w:val="34"/>
          <w:rtl/>
          <w:lang w:bidi="ar-EG"/>
        </w:rPr>
        <w:t> </w:t>
      </w:r>
      <w:r w:rsidRPr="00B31868">
        <w:rPr>
          <w:rFonts w:ascii="Arabic Typesetting" w:hAnsi="Arabic Typesetting" w:cs="Arabic Typesetting"/>
          <w:sz w:val="34"/>
          <w:szCs w:val="34"/>
          <w:rtl/>
          <w:lang w:bidi="ar-EG"/>
        </w:rPr>
        <w:t xml:space="preserve">وزيادة مشاركة اللجنة الاستشارية المستقلة للرقابة في إعداد خطة عمل شعبة الرقابة الداخلية، "4" </w:t>
      </w:r>
      <w:r w:rsidRPr="00B31868">
        <w:rPr>
          <w:rFonts w:ascii="Arabic Typesetting" w:hAnsi="Arabic Typesetting" w:cs="Arabic Typesetting" w:hint="cs"/>
          <w:sz w:val="34"/>
          <w:szCs w:val="34"/>
          <w:rtl/>
          <w:lang w:bidi="ar-EG"/>
        </w:rPr>
        <w:t>والكشف للعموم عن ال</w:t>
      </w:r>
      <w:r w:rsidRPr="00B31868">
        <w:rPr>
          <w:rFonts w:ascii="Arabic Typesetting" w:hAnsi="Arabic Typesetting" w:cs="Arabic Typesetting"/>
          <w:sz w:val="34"/>
          <w:szCs w:val="34"/>
          <w:rtl/>
          <w:lang w:bidi="ar-EG"/>
        </w:rPr>
        <w:t xml:space="preserve">تقارير </w:t>
      </w:r>
      <w:r w:rsidRPr="00B31868">
        <w:rPr>
          <w:rFonts w:ascii="Arabic Typesetting" w:hAnsi="Arabic Typesetting" w:cs="Arabic Typesetting" w:hint="cs"/>
          <w:sz w:val="34"/>
          <w:szCs w:val="34"/>
          <w:rtl/>
          <w:lang w:bidi="ar-EG"/>
        </w:rPr>
        <w:t>الداخلية ل</w:t>
      </w:r>
      <w:r w:rsidRPr="00B31868">
        <w:rPr>
          <w:rFonts w:ascii="Arabic Typesetting" w:hAnsi="Arabic Typesetting" w:cs="Arabic Typesetting"/>
          <w:sz w:val="34"/>
          <w:szCs w:val="34"/>
          <w:rtl/>
          <w:lang w:bidi="ar-EG"/>
        </w:rPr>
        <w:t xml:space="preserve">لتدقيق والتقييم </w:t>
      </w:r>
      <w:r w:rsidRPr="00B31868">
        <w:rPr>
          <w:rFonts w:ascii="Arabic Typesetting" w:hAnsi="Arabic Typesetting" w:cs="Arabic Typesetting" w:hint="cs"/>
          <w:sz w:val="34"/>
          <w:szCs w:val="34"/>
          <w:rtl/>
          <w:lang w:bidi="ar-EG"/>
        </w:rPr>
        <w:t>ودور الإدارة</w:t>
      </w:r>
      <w:r w:rsidRPr="00B31868">
        <w:rPr>
          <w:rFonts w:ascii="Arabic Typesetting" w:hAnsi="Arabic Typesetting" w:cs="Arabic Typesetting"/>
          <w:sz w:val="34"/>
          <w:szCs w:val="34"/>
          <w:rtl/>
          <w:lang w:bidi="ar-EG"/>
        </w:rPr>
        <w:t xml:space="preserve">. وتعد الويبو أول وكالة متخصصة </w:t>
      </w:r>
      <w:r w:rsidRPr="00B31868">
        <w:rPr>
          <w:rFonts w:ascii="Arabic Typesetting" w:hAnsi="Arabic Typesetting" w:cs="Arabic Typesetting" w:hint="cs"/>
          <w:sz w:val="34"/>
          <w:szCs w:val="34"/>
          <w:rtl/>
          <w:lang w:bidi="ar-EG"/>
        </w:rPr>
        <w:t>في ا</w:t>
      </w:r>
      <w:r w:rsidRPr="00B31868">
        <w:rPr>
          <w:rFonts w:ascii="Arabic Typesetting" w:hAnsi="Arabic Typesetting" w:cs="Arabic Typesetting"/>
          <w:sz w:val="34"/>
          <w:szCs w:val="34"/>
          <w:rtl/>
          <w:lang w:bidi="ar-EG"/>
        </w:rPr>
        <w:t>لأمم المتحدة ت</w:t>
      </w:r>
      <w:r w:rsidRPr="00B31868">
        <w:rPr>
          <w:rFonts w:ascii="Arabic Typesetting" w:hAnsi="Arabic Typesetting" w:cs="Arabic Typesetting" w:hint="cs"/>
          <w:sz w:val="34"/>
          <w:szCs w:val="34"/>
          <w:rtl/>
          <w:lang w:bidi="ar-EG"/>
        </w:rPr>
        <w:t xml:space="preserve">عتمد </w:t>
      </w:r>
      <w:r w:rsidRPr="00B31868">
        <w:rPr>
          <w:rFonts w:ascii="Arabic Typesetting" w:hAnsi="Arabic Typesetting" w:cs="Arabic Typesetting"/>
          <w:sz w:val="34"/>
          <w:szCs w:val="34"/>
          <w:rtl/>
          <w:lang w:bidi="ar-EG"/>
        </w:rPr>
        <w:t>هذه الممارسة التي صارت شائعةً الآن في الأمانة العامة للأمم المتحدة وصناديقها وبرامجها.</w:t>
      </w:r>
    </w:p>
    <w:p w:rsidR="00E63EDB" w:rsidRPr="005D067A" w:rsidRDefault="00B31868" w:rsidP="009A3712">
      <w:pPr>
        <w:numPr>
          <w:ilvl w:val="0"/>
          <w:numId w:val="21"/>
        </w:numPr>
        <w:bidi/>
        <w:spacing w:after="120" w:line="340" w:lineRule="exact"/>
        <w:ind w:left="0" w:firstLine="0"/>
        <w:jc w:val="both"/>
        <w:rPr>
          <w:rFonts w:ascii="Arabic Typesetting" w:hAnsi="Arabic Typesetting" w:cs="Arabic Typesetting"/>
          <w:sz w:val="34"/>
          <w:szCs w:val="34"/>
          <w:lang w:bidi="ar-EG"/>
        </w:rPr>
      </w:pPr>
      <w:r w:rsidRPr="005D067A">
        <w:rPr>
          <w:rFonts w:ascii="Arabic Typesetting" w:hAnsi="Arabic Typesetting" w:cs="Arabic Typesetting"/>
          <w:sz w:val="34"/>
          <w:szCs w:val="34"/>
          <w:rtl/>
          <w:lang w:bidi="ar-EG"/>
        </w:rPr>
        <w:t xml:space="preserve">وأصدرت شعبة الرقابة الداخلية </w:t>
      </w:r>
      <w:r w:rsidR="00E63EDB" w:rsidRPr="005D067A">
        <w:rPr>
          <w:rFonts w:ascii="Arabic Typesetting" w:hAnsi="Arabic Typesetting" w:cs="Arabic Typesetting" w:hint="cs"/>
          <w:sz w:val="34"/>
          <w:szCs w:val="34"/>
          <w:rtl/>
          <w:lang w:bidi="ar-EG"/>
        </w:rPr>
        <w:t>13</w:t>
      </w:r>
      <w:r w:rsidR="00E63EDB" w:rsidRPr="005D067A">
        <w:rPr>
          <w:rFonts w:ascii="Arabic Typesetting" w:hAnsi="Arabic Typesetting" w:cs="Arabic Typesetting"/>
          <w:sz w:val="34"/>
          <w:szCs w:val="34"/>
          <w:rtl/>
          <w:lang w:bidi="ar-EG"/>
        </w:rPr>
        <w:t xml:space="preserve"> </w:t>
      </w:r>
      <w:r w:rsidRPr="005D067A">
        <w:rPr>
          <w:rFonts w:ascii="Arabic Typesetting" w:hAnsi="Arabic Typesetting" w:cs="Arabic Typesetting"/>
          <w:sz w:val="34"/>
          <w:szCs w:val="34"/>
          <w:rtl/>
          <w:lang w:bidi="ar-EG"/>
        </w:rPr>
        <w:t>تقرير تدقيق، و</w:t>
      </w:r>
      <w:r w:rsidR="00E63EDB" w:rsidRPr="005D067A">
        <w:rPr>
          <w:rFonts w:ascii="Arabic Typesetting" w:hAnsi="Arabic Typesetting" w:cs="Arabic Typesetting" w:hint="cs"/>
          <w:sz w:val="34"/>
          <w:szCs w:val="34"/>
          <w:rtl/>
          <w:lang w:bidi="ar-EG"/>
        </w:rPr>
        <w:t>سبعة</w:t>
      </w:r>
      <w:r w:rsidRPr="005D067A">
        <w:rPr>
          <w:rFonts w:ascii="Arabic Typesetting" w:hAnsi="Arabic Typesetting" w:cs="Arabic Typesetting"/>
          <w:sz w:val="34"/>
          <w:szCs w:val="34"/>
          <w:rtl/>
          <w:lang w:bidi="ar-EG"/>
        </w:rPr>
        <w:t xml:space="preserve"> تقارير تقييم، وتقرير التثبيت الخاص بتقرير أداء البرنامج للثنائية </w:t>
      </w:r>
      <w:r w:rsidR="00507DE2">
        <w:rPr>
          <w:rFonts w:ascii="Arabic Typesetting" w:hAnsi="Arabic Typesetting" w:cs="Arabic Typesetting"/>
          <w:sz w:val="34"/>
          <w:szCs w:val="34"/>
          <w:rtl/>
          <w:lang w:bidi="ar-EG"/>
        </w:rPr>
        <w:t>2012/13</w:t>
      </w:r>
      <w:r w:rsidRPr="005D067A">
        <w:rPr>
          <w:rFonts w:ascii="Arabic Typesetting" w:hAnsi="Arabic Typesetting" w:cs="Arabic Typesetting"/>
          <w:sz w:val="34"/>
          <w:szCs w:val="34"/>
          <w:rtl/>
          <w:lang w:bidi="ar-EG"/>
        </w:rPr>
        <w:t xml:space="preserve"> </w:t>
      </w:r>
      <w:r w:rsidRPr="005D067A">
        <w:rPr>
          <w:rFonts w:ascii="Arabic Typesetting" w:hAnsi="Arabic Typesetting" w:cs="Arabic Typesetting"/>
          <w:sz w:val="34"/>
          <w:szCs w:val="34"/>
          <w:lang w:bidi="ar-EG"/>
        </w:rPr>
        <w:t>(WO/PBC/22/9)</w:t>
      </w:r>
      <w:r w:rsidRPr="005D067A">
        <w:rPr>
          <w:rFonts w:ascii="Arabic Typesetting" w:hAnsi="Arabic Typesetting" w:cs="Arabic Typesetting"/>
          <w:sz w:val="34"/>
          <w:szCs w:val="34"/>
          <w:rtl/>
          <w:lang w:bidi="ar-EG"/>
        </w:rPr>
        <w:t xml:space="preserve">، إضافةً إلى ما مجموعه </w:t>
      </w:r>
      <w:r w:rsidR="00E63EDB" w:rsidRPr="005D067A">
        <w:rPr>
          <w:rFonts w:ascii="Arabic Typesetting" w:hAnsi="Arabic Typesetting" w:cs="Arabic Typesetting" w:hint="cs"/>
          <w:sz w:val="34"/>
          <w:szCs w:val="34"/>
          <w:rtl/>
          <w:lang w:bidi="ar-EG"/>
        </w:rPr>
        <w:t>161</w:t>
      </w:r>
      <w:r w:rsidR="00E63EDB" w:rsidRPr="005D067A">
        <w:rPr>
          <w:rFonts w:ascii="Arabic Typesetting" w:hAnsi="Arabic Typesetting" w:cs="Arabic Typesetting"/>
          <w:sz w:val="34"/>
          <w:szCs w:val="34"/>
          <w:rtl/>
          <w:lang w:bidi="ar-EG"/>
        </w:rPr>
        <w:t xml:space="preserve"> </w:t>
      </w:r>
      <w:r w:rsidRPr="005D067A">
        <w:rPr>
          <w:rFonts w:ascii="Arabic Typesetting" w:hAnsi="Arabic Typesetting" w:cs="Arabic Typesetting"/>
          <w:sz w:val="34"/>
          <w:szCs w:val="34"/>
          <w:rtl/>
          <w:lang w:bidi="ar-EG"/>
        </w:rPr>
        <w:t>توصيةً لإجراء تحسينات</w:t>
      </w:r>
      <w:r w:rsidR="00E63EDB" w:rsidRPr="005D067A">
        <w:rPr>
          <w:rFonts w:ascii="Arabic Typesetting" w:hAnsi="Arabic Typesetting" w:cs="Arabic Typesetting" w:hint="cs"/>
          <w:sz w:val="34"/>
          <w:szCs w:val="34"/>
          <w:rtl/>
          <w:lang w:bidi="ar-EG"/>
        </w:rPr>
        <w:t xml:space="preserve"> (74 في عام 2014 و87 في عام 2015)</w:t>
      </w:r>
      <w:r w:rsidRPr="005D067A">
        <w:rPr>
          <w:rFonts w:ascii="Arabic Typesetting" w:hAnsi="Arabic Typesetting" w:cs="Arabic Typesetting"/>
          <w:sz w:val="34"/>
          <w:szCs w:val="34"/>
          <w:rtl/>
          <w:lang w:bidi="ar-EG"/>
        </w:rPr>
        <w:t xml:space="preserve">. وقد وُضِعت خطة الرقابة الخاصة بشعبة الرقابة الداخلية باستخدام منهجية الشعبة لتقييم المخاطر </w:t>
      </w:r>
      <w:r w:rsidR="005D067A" w:rsidRPr="005D067A">
        <w:rPr>
          <w:rFonts w:ascii="Arabic Typesetting" w:hAnsi="Arabic Typesetting" w:cs="Arabic Typesetting" w:hint="cs"/>
          <w:sz w:val="34"/>
          <w:szCs w:val="34"/>
          <w:rtl/>
          <w:lang w:bidi="ar-EG"/>
        </w:rPr>
        <w:t>و</w:t>
      </w:r>
      <w:r w:rsidR="005D067A" w:rsidRPr="005D067A">
        <w:rPr>
          <w:rFonts w:ascii="Arabic Typesetting" w:hAnsi="Arabic Typesetting" w:cs="Arabic Typesetting"/>
          <w:sz w:val="34"/>
          <w:szCs w:val="34"/>
          <w:rtl/>
          <w:lang w:bidi="ar-EG"/>
        </w:rPr>
        <w:t xml:space="preserve">سجل المخاطر المؤسسي للويبو </w:t>
      </w:r>
      <w:r w:rsidRPr="005D067A">
        <w:rPr>
          <w:rFonts w:ascii="Arabic Typesetting" w:hAnsi="Arabic Typesetting" w:cs="Arabic Typesetting"/>
          <w:sz w:val="34"/>
          <w:szCs w:val="34"/>
          <w:rtl/>
          <w:lang w:bidi="ar-EG"/>
        </w:rPr>
        <w:t>مع مراعاة كيانات الويبو التشغيلية وأساليب العمل ذات الصلة، فضلاً عن المدخلات الواردة من الدول الأعضاء واللجنة الاستشارية المستقلة للرقابة والإدارة العليا ومُراجع الحسابات الخارجي. وشملت أنشطةُ التدقيق والتقييم شتى مجالات إدارة البرامج والمشروعات، بما في ذلك الإدارة القائمة على النتائج، وإدارة البيانات،</w:t>
      </w:r>
      <w:r w:rsidR="005D067A" w:rsidRPr="005D067A">
        <w:rPr>
          <w:rFonts w:ascii="Arabic Typesetting" w:hAnsi="Arabic Typesetting" w:cs="Arabic Typesetting" w:hint="cs"/>
          <w:sz w:val="34"/>
          <w:szCs w:val="34"/>
          <w:rtl/>
          <w:lang w:bidi="ar-EG"/>
        </w:rPr>
        <w:t xml:space="preserve"> والسلامة والأمن، والمكافآت والتقدير،</w:t>
      </w:r>
      <w:r w:rsidRPr="005D067A">
        <w:rPr>
          <w:rFonts w:ascii="Arabic Typesetting" w:hAnsi="Arabic Typesetting" w:cs="Arabic Typesetting"/>
          <w:sz w:val="34"/>
          <w:szCs w:val="34"/>
          <w:rtl/>
          <w:lang w:bidi="ar-EG"/>
        </w:rPr>
        <w:t xml:space="preserve"> وإدارة المعرفة، وإدارة الأحداث</w:t>
      </w:r>
      <w:r w:rsidR="005D067A" w:rsidRPr="005D067A">
        <w:rPr>
          <w:rFonts w:ascii="Arabic Typesetting" w:hAnsi="Arabic Typesetting" w:cs="Arabic Typesetting" w:hint="cs"/>
          <w:sz w:val="34"/>
          <w:szCs w:val="34"/>
          <w:rtl/>
          <w:lang w:bidi="ar-EG"/>
        </w:rPr>
        <w:t>، وإدارة الأصول</w:t>
      </w:r>
      <w:r w:rsidRPr="005D067A">
        <w:rPr>
          <w:rFonts w:ascii="Arabic Typesetting" w:hAnsi="Arabic Typesetting" w:cs="Arabic Typesetting"/>
          <w:sz w:val="34"/>
          <w:szCs w:val="34"/>
          <w:rtl/>
          <w:lang w:bidi="ar-EG"/>
        </w:rPr>
        <w:t xml:space="preserve"> في المنظمة.</w:t>
      </w:r>
    </w:p>
    <w:p w:rsidR="00B31868" w:rsidRPr="00B31868" w:rsidRDefault="00B31868" w:rsidP="009A3712">
      <w:pPr>
        <w:numPr>
          <w:ilvl w:val="0"/>
          <w:numId w:val="21"/>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 xml:space="preserve">وسجَّلت شعبة الرقابة الداخلية </w:t>
      </w:r>
      <w:r w:rsidR="005D067A">
        <w:rPr>
          <w:rFonts w:ascii="Arabic Typesetting" w:hAnsi="Arabic Typesetting" w:cs="Arabic Typesetting" w:hint="cs"/>
          <w:sz w:val="34"/>
          <w:szCs w:val="34"/>
          <w:rtl/>
          <w:lang w:bidi="ar-EG"/>
        </w:rPr>
        <w:t>53</w:t>
      </w:r>
      <w:r w:rsidR="005D067A"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sz w:val="34"/>
          <w:szCs w:val="34"/>
          <w:rtl/>
          <w:lang w:bidi="ar-EG"/>
        </w:rPr>
        <w:t xml:space="preserve">حالة لأنشطة التحقيق، وأغلقت </w:t>
      </w:r>
      <w:r w:rsidR="005D067A">
        <w:rPr>
          <w:rFonts w:ascii="Arabic Typesetting" w:hAnsi="Arabic Typesetting" w:cs="Arabic Typesetting" w:hint="cs"/>
          <w:sz w:val="34"/>
          <w:szCs w:val="34"/>
          <w:rtl/>
          <w:lang w:bidi="ar-EG"/>
        </w:rPr>
        <w:t>43</w:t>
      </w:r>
      <w:r w:rsidR="005D067A"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sz w:val="34"/>
          <w:szCs w:val="34"/>
          <w:rtl/>
          <w:lang w:bidi="ar-EG"/>
        </w:rPr>
        <w:t xml:space="preserve">حالة في </w:t>
      </w:r>
      <w:r w:rsidR="005D067A">
        <w:rPr>
          <w:rFonts w:ascii="Arabic Typesetting" w:hAnsi="Arabic Typesetting" w:cs="Arabic Typesetting" w:hint="cs"/>
          <w:sz w:val="34"/>
          <w:szCs w:val="34"/>
          <w:rtl/>
          <w:lang w:bidi="ar-EG"/>
        </w:rPr>
        <w:t xml:space="preserve">الثنائية </w:t>
      </w:r>
      <w:r w:rsidR="00507DE2">
        <w:rPr>
          <w:rFonts w:ascii="Arabic Typesetting" w:hAnsi="Arabic Typesetting" w:cs="Arabic Typesetting" w:hint="cs"/>
          <w:sz w:val="34"/>
          <w:szCs w:val="34"/>
          <w:rtl/>
          <w:lang w:bidi="ar-EG"/>
        </w:rPr>
        <w:t>2014/15</w:t>
      </w:r>
      <w:r w:rsidRPr="00B31868">
        <w:rPr>
          <w:rFonts w:ascii="Arabic Typesetting" w:hAnsi="Arabic Typesetting" w:cs="Arabic Typesetting"/>
          <w:sz w:val="34"/>
          <w:szCs w:val="34"/>
          <w:rtl/>
          <w:lang w:bidi="ar-EG"/>
        </w:rPr>
        <w:t xml:space="preserve">. وفي </w:t>
      </w:r>
      <w:r w:rsidRPr="00B31868">
        <w:rPr>
          <w:rFonts w:ascii="Arabic Typesetting" w:hAnsi="Arabic Typesetting" w:cs="Arabic Typesetting" w:hint="cs"/>
          <w:sz w:val="34"/>
          <w:szCs w:val="34"/>
          <w:rtl/>
          <w:lang w:bidi="ar-EG"/>
        </w:rPr>
        <w:t>المتوسط</w:t>
      </w:r>
      <w:r w:rsidRPr="00B31868">
        <w:rPr>
          <w:rFonts w:ascii="Arabic Typesetting" w:hAnsi="Arabic Typesetting" w:cs="Arabic Typesetting"/>
          <w:sz w:val="34"/>
          <w:szCs w:val="34"/>
          <w:rtl/>
          <w:lang w:bidi="ar-EG"/>
        </w:rPr>
        <w:t>، أُغلِقت جميع الحالات في غضون الإطار الزمني الذي وضعته سياسة الويبو للتحقيقات. وكان أكثر من 50% من الحالات تتعلق بالتحرش، والبيانات/الأنشطة التي تتعارض مع التزامات الموظف المدني الدولي، والاحتيال على المزايا/الاستحقاقات.</w:t>
      </w:r>
    </w:p>
    <w:p w:rsidR="005D067A" w:rsidRDefault="005D067A" w:rsidP="009A3712">
      <w:pPr>
        <w:numPr>
          <w:ilvl w:val="0"/>
          <w:numId w:val="21"/>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ونظمت ندوة عن التقييم في الويبو في عام 2015 بغية إرساء وتعزيز ثقافة التعلّم والالتزام الراسخ بالمساءلة فضلاً عن الإسهام في تعزيز </w:t>
      </w:r>
      <w:r w:rsidRPr="005D067A">
        <w:rPr>
          <w:rFonts w:ascii="Arabic Typesetting" w:hAnsi="Arabic Typesetting" w:cs="Arabic Typesetting"/>
          <w:sz w:val="34"/>
          <w:szCs w:val="34"/>
          <w:rtl/>
          <w:lang w:bidi="ar-EG"/>
        </w:rPr>
        <w:t xml:space="preserve">تحسين المسارات والعمليات </w:t>
      </w:r>
      <w:proofErr w:type="spellStart"/>
      <w:r w:rsidRPr="005D067A">
        <w:rPr>
          <w:rFonts w:ascii="Arabic Typesetting" w:hAnsi="Arabic Typesetting" w:cs="Arabic Typesetting"/>
          <w:sz w:val="34"/>
          <w:szCs w:val="34"/>
          <w:rtl/>
          <w:lang w:bidi="ar-EG"/>
        </w:rPr>
        <w:t>المنظمية</w:t>
      </w:r>
      <w:proofErr w:type="spellEnd"/>
      <w:r>
        <w:rPr>
          <w:rFonts w:ascii="Arabic Typesetting" w:hAnsi="Arabic Typesetting" w:cs="Arabic Typesetting" w:hint="cs"/>
          <w:sz w:val="34"/>
          <w:szCs w:val="34"/>
          <w:rtl/>
          <w:lang w:bidi="ar-EG"/>
        </w:rPr>
        <w:t>. ولقيت الندوة صدى إيجابياً في صفوف المشاركين.</w:t>
      </w:r>
    </w:p>
    <w:p w:rsidR="00B31868" w:rsidRPr="00B31868" w:rsidRDefault="00B31868" w:rsidP="009A3712">
      <w:pPr>
        <w:numPr>
          <w:ilvl w:val="0"/>
          <w:numId w:val="21"/>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hint="cs"/>
          <w:sz w:val="34"/>
          <w:szCs w:val="34"/>
          <w:rtl/>
          <w:lang w:bidi="ar-EG"/>
        </w:rPr>
        <w:t>و</w:t>
      </w:r>
      <w:r w:rsidR="005D067A">
        <w:rPr>
          <w:rFonts w:ascii="Arabic Typesetting" w:hAnsi="Arabic Typesetting" w:cs="Arabic Typesetting" w:hint="cs"/>
          <w:sz w:val="34"/>
          <w:szCs w:val="34"/>
          <w:rtl/>
          <w:lang w:bidi="ar-EG"/>
        </w:rPr>
        <w:t xml:space="preserve">سعياً إلى </w:t>
      </w:r>
      <w:r w:rsidRPr="00B31868">
        <w:rPr>
          <w:rFonts w:ascii="Arabic Typesetting" w:hAnsi="Arabic Typesetting" w:cs="Arabic Typesetting" w:hint="cs"/>
          <w:sz w:val="34"/>
          <w:szCs w:val="34"/>
          <w:rtl/>
          <w:lang w:bidi="ar-EG"/>
        </w:rPr>
        <w:t>اكتساب فهم أحسن ل</w:t>
      </w:r>
      <w:r w:rsidRPr="00B31868">
        <w:rPr>
          <w:rFonts w:ascii="Arabic Typesetting" w:hAnsi="Arabic Typesetting" w:cs="Arabic Typesetting"/>
          <w:sz w:val="34"/>
          <w:szCs w:val="34"/>
          <w:rtl/>
          <w:lang w:bidi="ar-EG"/>
        </w:rPr>
        <w:t>توقعات الزملاء و</w:t>
      </w:r>
      <w:r w:rsidR="005D067A">
        <w:rPr>
          <w:rFonts w:ascii="Arabic Typesetting" w:hAnsi="Arabic Typesetting" w:cs="Arabic Typesetting" w:hint="cs"/>
          <w:sz w:val="34"/>
          <w:szCs w:val="34"/>
          <w:rtl/>
          <w:lang w:bidi="ar-EG"/>
        </w:rPr>
        <w:t>ا</w:t>
      </w:r>
      <w:r w:rsidRPr="00B31868">
        <w:rPr>
          <w:rFonts w:ascii="Arabic Typesetting" w:hAnsi="Arabic Typesetting" w:cs="Arabic Typesetting"/>
          <w:sz w:val="34"/>
          <w:szCs w:val="34"/>
          <w:rtl/>
          <w:lang w:bidi="ar-EG"/>
        </w:rPr>
        <w:t xml:space="preserve">لحصول على تعقيباتهم بشأن </w:t>
      </w:r>
      <w:r w:rsidRPr="00B31868">
        <w:rPr>
          <w:rFonts w:ascii="Arabic Typesetting" w:hAnsi="Arabic Typesetting" w:cs="Arabic Typesetting" w:hint="cs"/>
          <w:sz w:val="34"/>
          <w:szCs w:val="34"/>
          <w:rtl/>
          <w:lang w:bidi="ar-EG"/>
        </w:rPr>
        <w:t>العمل</w:t>
      </w:r>
      <w:r w:rsidRPr="00B31868">
        <w:rPr>
          <w:rFonts w:ascii="Arabic Typesetting" w:hAnsi="Arabic Typesetting" w:cs="Arabic Typesetting"/>
          <w:sz w:val="34"/>
          <w:szCs w:val="34"/>
          <w:rtl/>
          <w:lang w:bidi="ar-EG"/>
        </w:rPr>
        <w:t xml:space="preserve"> الرقاب</w:t>
      </w:r>
      <w:r w:rsidRPr="00B31868">
        <w:rPr>
          <w:rFonts w:ascii="Arabic Typesetting" w:hAnsi="Arabic Typesetting" w:cs="Arabic Typesetting" w:hint="cs"/>
          <w:sz w:val="34"/>
          <w:szCs w:val="34"/>
          <w:rtl/>
          <w:lang w:bidi="ar-EG"/>
        </w:rPr>
        <w:t>ي</w:t>
      </w:r>
      <w:r w:rsidRPr="00B31868">
        <w:rPr>
          <w:rFonts w:ascii="Arabic Typesetting" w:hAnsi="Arabic Typesetting" w:cs="Arabic Typesetting"/>
          <w:sz w:val="34"/>
          <w:szCs w:val="34"/>
          <w:rtl/>
          <w:lang w:bidi="ar-EG"/>
        </w:rPr>
        <w:t xml:space="preserve">، واصلت شعبة الرقابة الداخلية استخدام </w:t>
      </w:r>
      <w:proofErr w:type="spellStart"/>
      <w:r w:rsidRPr="00B31868">
        <w:rPr>
          <w:rFonts w:ascii="Arabic Typesetting" w:hAnsi="Arabic Typesetting" w:cs="Arabic Typesetting"/>
          <w:sz w:val="34"/>
          <w:szCs w:val="34"/>
          <w:rtl/>
          <w:lang w:bidi="ar-EG"/>
        </w:rPr>
        <w:t>استقصاءات</w:t>
      </w:r>
      <w:proofErr w:type="spellEnd"/>
      <w:r w:rsidRPr="00B31868">
        <w:rPr>
          <w:rFonts w:ascii="Arabic Typesetting" w:hAnsi="Arabic Typesetting" w:cs="Arabic Typesetting"/>
          <w:sz w:val="34"/>
          <w:szCs w:val="34"/>
          <w:rtl/>
          <w:lang w:bidi="ar-EG"/>
        </w:rPr>
        <w:t xml:space="preserve"> رضا </w:t>
      </w:r>
      <w:r w:rsidR="009F5F08">
        <w:rPr>
          <w:rFonts w:ascii="Arabic Typesetting" w:hAnsi="Arabic Typesetting" w:cs="Arabic Typesetting" w:hint="cs"/>
          <w:sz w:val="34"/>
          <w:szCs w:val="34"/>
          <w:rtl/>
          <w:lang w:bidi="ar-EG"/>
        </w:rPr>
        <w:t>الزبائن</w:t>
      </w:r>
      <w:r w:rsidRPr="00B31868">
        <w:rPr>
          <w:rFonts w:ascii="Arabic Typesetting" w:hAnsi="Arabic Typesetting" w:cs="Arabic Typesetting"/>
          <w:sz w:val="34"/>
          <w:szCs w:val="34"/>
          <w:rtl/>
          <w:lang w:bidi="ar-EG"/>
        </w:rPr>
        <w:t xml:space="preserve"> التي </w:t>
      </w:r>
      <w:r w:rsidR="005D067A">
        <w:rPr>
          <w:rFonts w:ascii="Arabic Typesetting" w:hAnsi="Arabic Typesetting" w:cs="Arabic Typesetting" w:hint="cs"/>
          <w:sz w:val="34"/>
          <w:szCs w:val="34"/>
          <w:rtl/>
          <w:lang w:bidi="ar-EG"/>
        </w:rPr>
        <w:t>استهلتها</w:t>
      </w:r>
      <w:r w:rsidRPr="00B31868">
        <w:rPr>
          <w:rFonts w:ascii="Arabic Typesetting" w:hAnsi="Arabic Typesetting" w:cs="Arabic Typesetting"/>
          <w:sz w:val="34"/>
          <w:szCs w:val="34"/>
          <w:rtl/>
          <w:lang w:bidi="ar-EG"/>
        </w:rPr>
        <w:t xml:space="preserve"> في عام 2013. وهذه </w:t>
      </w:r>
      <w:proofErr w:type="spellStart"/>
      <w:r w:rsidRPr="00B31868">
        <w:rPr>
          <w:rFonts w:ascii="Arabic Typesetting" w:hAnsi="Arabic Typesetting" w:cs="Arabic Typesetting"/>
          <w:sz w:val="34"/>
          <w:szCs w:val="34"/>
          <w:rtl/>
          <w:lang w:bidi="ar-EG"/>
        </w:rPr>
        <w:t>الاستقصاءات</w:t>
      </w:r>
      <w:proofErr w:type="spellEnd"/>
      <w:r w:rsidRPr="00B31868">
        <w:rPr>
          <w:rFonts w:ascii="Arabic Typesetting" w:hAnsi="Arabic Typesetting" w:cs="Arabic Typesetting"/>
          <w:sz w:val="34"/>
          <w:szCs w:val="34"/>
          <w:rtl/>
          <w:lang w:bidi="ar-EG"/>
        </w:rPr>
        <w:t xml:space="preserve">، التي أظهرت أن متوسط نسبة الرضا يبلغ 84%، مكَّنت الشعبةَ من قياس توقعات أصحاب </w:t>
      </w:r>
      <w:r w:rsidRPr="00B31868">
        <w:rPr>
          <w:rFonts w:ascii="Arabic Typesetting" w:hAnsi="Arabic Typesetting" w:cs="Arabic Typesetting" w:hint="cs"/>
          <w:sz w:val="34"/>
          <w:szCs w:val="34"/>
          <w:rtl/>
          <w:lang w:bidi="ar-EG"/>
        </w:rPr>
        <w:t>المصالح</w:t>
      </w:r>
      <w:r w:rsidRPr="00B31868">
        <w:rPr>
          <w:rFonts w:ascii="Arabic Typesetting" w:hAnsi="Arabic Typesetting" w:cs="Arabic Typesetting"/>
          <w:sz w:val="34"/>
          <w:szCs w:val="34"/>
          <w:rtl/>
          <w:lang w:bidi="ar-EG"/>
        </w:rPr>
        <w:t xml:space="preserve"> بشأن أدائها وتحديد مجالات التحسين على نحو أفضل</w:t>
      </w:r>
      <w:r w:rsidR="005D067A">
        <w:rPr>
          <w:rFonts w:ascii="Arabic Typesetting" w:hAnsi="Arabic Typesetting" w:cs="Arabic Typesetting" w:hint="cs"/>
          <w:sz w:val="34"/>
          <w:szCs w:val="34"/>
          <w:rtl/>
          <w:lang w:bidi="ar-EG"/>
        </w:rPr>
        <w:t xml:space="preserve"> بغية الارتقاء بجودة</w:t>
      </w:r>
      <w:r w:rsidR="00B96D17">
        <w:rPr>
          <w:rFonts w:ascii="Arabic Typesetting" w:hAnsi="Arabic Typesetting" w:cs="Arabic Typesetting" w:hint="eastAsia"/>
          <w:sz w:val="34"/>
          <w:szCs w:val="34"/>
          <w:rtl/>
          <w:lang w:bidi="ar-EG"/>
        </w:rPr>
        <w:t> </w:t>
      </w:r>
      <w:r w:rsidR="005D067A">
        <w:rPr>
          <w:rFonts w:ascii="Arabic Typesetting" w:hAnsi="Arabic Typesetting" w:cs="Arabic Typesetting" w:hint="cs"/>
          <w:sz w:val="34"/>
          <w:szCs w:val="34"/>
          <w:rtl/>
          <w:lang w:bidi="ar-EG"/>
        </w:rPr>
        <w:t>أعمالها</w:t>
      </w:r>
      <w:r w:rsidRPr="00B31868">
        <w:rPr>
          <w:rFonts w:ascii="Arabic Typesetting" w:hAnsi="Arabic Typesetting" w:cs="Arabic Typesetting"/>
          <w:sz w:val="34"/>
          <w:szCs w:val="34"/>
          <w:rtl/>
          <w:lang w:bidi="ar-EG"/>
        </w:rPr>
        <w:t>.</w:t>
      </w:r>
    </w:p>
    <w:p w:rsidR="00B31868" w:rsidRPr="00B31868" w:rsidRDefault="005D067A" w:rsidP="009A3712">
      <w:pPr>
        <w:numPr>
          <w:ilvl w:val="0"/>
          <w:numId w:val="21"/>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وخلال الثنائية</w:t>
      </w:r>
      <w:r w:rsidR="00B31868" w:rsidRPr="00B31868">
        <w:rPr>
          <w:rFonts w:ascii="Arabic Typesetting" w:hAnsi="Arabic Typesetting" w:cs="Arabic Typesetting"/>
          <w:sz w:val="34"/>
          <w:szCs w:val="34"/>
          <w:rtl/>
          <w:lang w:bidi="ar-EG"/>
        </w:rPr>
        <w:t>، استمرت شعبة الرقابة الداخلية في التواصل مع الموظفين و</w:t>
      </w:r>
      <w:r w:rsidR="00B31868" w:rsidRPr="00B31868">
        <w:rPr>
          <w:rFonts w:ascii="Arabic Typesetting" w:hAnsi="Arabic Typesetting" w:cs="Arabic Typesetting" w:hint="cs"/>
          <w:sz w:val="34"/>
          <w:szCs w:val="34"/>
          <w:rtl/>
          <w:lang w:bidi="ar-EG"/>
        </w:rPr>
        <w:t xml:space="preserve">الإدارة </w:t>
      </w:r>
      <w:r w:rsidR="00B31868" w:rsidRPr="00B31868">
        <w:rPr>
          <w:rFonts w:ascii="Arabic Typesetting" w:hAnsi="Arabic Typesetting" w:cs="Arabic Typesetting"/>
          <w:sz w:val="34"/>
          <w:szCs w:val="34"/>
          <w:rtl/>
          <w:lang w:bidi="ar-EG"/>
        </w:rPr>
        <w:t xml:space="preserve">والدول الأعضاء من خلال العروض التقديمية المختلفة ومن خلال إصدار </w:t>
      </w:r>
      <w:r>
        <w:rPr>
          <w:rFonts w:ascii="Arabic Typesetting" w:hAnsi="Arabic Typesetting" w:cs="Arabic Typesetting" w:hint="cs"/>
          <w:sz w:val="34"/>
          <w:szCs w:val="34"/>
          <w:rtl/>
          <w:lang w:bidi="ar-EG"/>
        </w:rPr>
        <w:t>أربع نشرات إخبارية</w:t>
      </w:r>
      <w:r w:rsidR="00B31868" w:rsidRPr="00B31868">
        <w:rPr>
          <w:rFonts w:ascii="Arabic Typesetting" w:hAnsi="Arabic Typesetting" w:cs="Arabic Typesetting"/>
          <w:sz w:val="34"/>
          <w:szCs w:val="34"/>
          <w:rtl/>
          <w:lang w:bidi="ar-EG"/>
        </w:rPr>
        <w:t xml:space="preserve">. ونظَّمت الشعبةُ أيضاً الاجتماع السنوي لرؤساء التدقيق الداخلي في </w:t>
      </w:r>
      <w:r w:rsidR="00B31868" w:rsidRPr="00B31868">
        <w:rPr>
          <w:rFonts w:ascii="Arabic Typesetting" w:hAnsi="Arabic Typesetting" w:cs="Arabic Typesetting" w:hint="cs"/>
          <w:sz w:val="34"/>
          <w:szCs w:val="34"/>
          <w:rtl/>
          <w:lang w:bidi="ar-EG"/>
        </w:rPr>
        <w:t>ال</w:t>
      </w:r>
      <w:r w:rsidR="00B31868" w:rsidRPr="00B31868">
        <w:rPr>
          <w:rFonts w:ascii="Arabic Typesetting" w:hAnsi="Arabic Typesetting" w:cs="Arabic Typesetting"/>
          <w:sz w:val="34"/>
          <w:szCs w:val="34"/>
          <w:rtl/>
          <w:lang w:bidi="ar-EG"/>
        </w:rPr>
        <w:t xml:space="preserve">منظمات </w:t>
      </w:r>
      <w:r w:rsidR="00B31868" w:rsidRPr="00B31868">
        <w:rPr>
          <w:rFonts w:ascii="Arabic Typesetting" w:hAnsi="Arabic Typesetting" w:cs="Arabic Typesetting" w:hint="cs"/>
          <w:sz w:val="34"/>
          <w:szCs w:val="34"/>
          <w:rtl/>
          <w:lang w:bidi="ar-EG"/>
        </w:rPr>
        <w:t>ذات المقر في أوروبا</w:t>
      </w:r>
      <w:r w:rsidR="00B31868" w:rsidRPr="00B31868">
        <w:rPr>
          <w:rFonts w:ascii="Arabic Typesetting" w:hAnsi="Arabic Typesetting" w:cs="Arabic Typesetting"/>
          <w:sz w:val="34"/>
          <w:szCs w:val="34"/>
          <w:rtl/>
          <w:lang w:bidi="ar-EG"/>
        </w:rPr>
        <w:t>.</w:t>
      </w:r>
    </w:p>
    <w:p w:rsidR="00B31868" w:rsidRPr="00B31868" w:rsidRDefault="00B31868" w:rsidP="009A3712">
      <w:pPr>
        <w:keepLines/>
        <w:numPr>
          <w:ilvl w:val="0"/>
          <w:numId w:val="21"/>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lastRenderedPageBreak/>
        <w:t>وتابعت شعبة الرقابة الداخلية توصيات الرقابة الخاصة بالسنوات السابقة لضمان متابعة المديرين لها بفعالية، فتأكدت</w:t>
      </w:r>
      <w:r w:rsidRPr="00B31868">
        <w:rPr>
          <w:rFonts w:ascii="Arabic Typesetting" w:hAnsi="Arabic Typesetting" w:cs="Arabic Typesetting" w:hint="cs"/>
          <w:sz w:val="34"/>
          <w:szCs w:val="34"/>
          <w:rtl/>
          <w:lang w:bidi="ar-EG"/>
        </w:rPr>
        <w:t xml:space="preserve"> من</w:t>
      </w:r>
      <w:r w:rsidRPr="00B31868">
        <w:rPr>
          <w:rFonts w:ascii="Arabic Typesetting" w:hAnsi="Arabic Typesetting" w:cs="Arabic Typesetting"/>
          <w:sz w:val="34"/>
          <w:szCs w:val="34"/>
          <w:rtl/>
          <w:lang w:bidi="ar-EG"/>
        </w:rPr>
        <w:t xml:space="preserve"> إغلاق</w:t>
      </w:r>
      <w:r w:rsidR="005D067A">
        <w:rPr>
          <w:rFonts w:ascii="Arabic Typesetting" w:hAnsi="Arabic Typesetting" w:cs="Arabic Typesetting" w:hint="cs"/>
          <w:sz w:val="34"/>
          <w:szCs w:val="34"/>
          <w:rtl/>
          <w:lang w:bidi="ar-EG"/>
        </w:rPr>
        <w:t xml:space="preserve"> ما مجموعه</w:t>
      </w:r>
      <w:r w:rsidRPr="00B31868">
        <w:rPr>
          <w:rFonts w:ascii="Arabic Typesetting" w:hAnsi="Arabic Typesetting" w:cs="Arabic Typesetting"/>
          <w:sz w:val="34"/>
          <w:szCs w:val="34"/>
          <w:rtl/>
          <w:lang w:bidi="ar-EG"/>
        </w:rPr>
        <w:t xml:space="preserve"> </w:t>
      </w:r>
      <w:r w:rsidR="005D067A">
        <w:rPr>
          <w:rFonts w:ascii="Arabic Typesetting" w:hAnsi="Arabic Typesetting" w:cs="Arabic Typesetting" w:hint="cs"/>
          <w:sz w:val="34"/>
          <w:szCs w:val="34"/>
          <w:rtl/>
          <w:lang w:bidi="ar-EG"/>
        </w:rPr>
        <w:t>186</w:t>
      </w:r>
      <w:r w:rsidR="005D067A"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sz w:val="34"/>
          <w:szCs w:val="34"/>
          <w:rtl/>
          <w:lang w:bidi="ar-EG"/>
        </w:rPr>
        <w:t>توصيةً</w:t>
      </w:r>
      <w:r w:rsidR="005D067A">
        <w:rPr>
          <w:rFonts w:ascii="Arabic Typesetting" w:hAnsi="Arabic Typesetting" w:cs="Arabic Typesetting" w:hint="cs"/>
          <w:sz w:val="34"/>
          <w:szCs w:val="34"/>
          <w:rtl/>
          <w:lang w:bidi="ar-EG"/>
        </w:rPr>
        <w:t xml:space="preserve"> (94</w:t>
      </w:r>
      <w:r w:rsidRPr="00B31868">
        <w:rPr>
          <w:rFonts w:ascii="Arabic Typesetting" w:hAnsi="Arabic Typesetting" w:cs="Arabic Typesetting"/>
          <w:sz w:val="34"/>
          <w:szCs w:val="34"/>
          <w:rtl/>
          <w:lang w:bidi="ar-EG"/>
        </w:rPr>
        <w:t xml:space="preserve"> في عام 2014</w:t>
      </w:r>
      <w:r w:rsidR="005D067A">
        <w:rPr>
          <w:rFonts w:ascii="Arabic Typesetting" w:hAnsi="Arabic Typesetting" w:cs="Arabic Typesetting" w:hint="cs"/>
          <w:sz w:val="34"/>
          <w:szCs w:val="34"/>
          <w:rtl/>
          <w:lang w:bidi="ar-EG"/>
        </w:rPr>
        <w:t xml:space="preserve"> و92 في عام 2015)</w:t>
      </w:r>
      <w:r w:rsidR="005D067A" w:rsidRPr="00F96634">
        <w:rPr>
          <w:rFonts w:ascii="Arabic Typesetting" w:hAnsi="Arabic Typesetting" w:cs="Arabic Typesetting"/>
          <w:sz w:val="28"/>
          <w:szCs w:val="28"/>
          <w:vertAlign w:val="superscript"/>
          <w:rtl/>
          <w:lang w:bidi="ar-EG"/>
        </w:rPr>
        <w:footnoteReference w:id="144"/>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bidi="ar-EG"/>
        </w:rPr>
        <w:t>وواصلت شعبة التدقيق الداخلي تزويد إدارة الويبو بالمشورة والتعقيبات المهنية بشأن المراقبة الداخلية وإدارة المخاطر و</w:t>
      </w:r>
      <w:r w:rsidRPr="00B31868">
        <w:rPr>
          <w:rFonts w:ascii="Arabic Typesetting" w:hAnsi="Arabic Typesetting" w:cs="Arabic Typesetting"/>
          <w:sz w:val="34"/>
          <w:szCs w:val="34"/>
          <w:rtl/>
          <w:lang w:bidi="ar-EG"/>
        </w:rPr>
        <w:t xml:space="preserve">قضايا أخرى مثل صياغة أو </w:t>
      </w:r>
      <w:r w:rsidR="009573C2" w:rsidRPr="00B31868">
        <w:rPr>
          <w:rFonts w:ascii="Arabic Typesetting" w:hAnsi="Arabic Typesetting" w:cs="Arabic Typesetting"/>
          <w:sz w:val="34"/>
          <w:szCs w:val="34"/>
          <w:rtl/>
          <w:lang w:bidi="ar-EG"/>
        </w:rPr>
        <w:t>مراجع</w:t>
      </w:r>
      <w:r w:rsidR="009573C2">
        <w:rPr>
          <w:rFonts w:ascii="Arabic Typesetting" w:hAnsi="Arabic Typesetting" w:cs="Arabic Typesetting" w:hint="cs"/>
          <w:sz w:val="34"/>
          <w:szCs w:val="34"/>
          <w:rtl/>
          <w:lang w:bidi="ar-EG"/>
        </w:rPr>
        <w:t>ة السياسات والتعليمات الإدارية والمبادئ التوجيهية</w:t>
      </w:r>
      <w:r w:rsidR="009573C2"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sz w:val="34"/>
          <w:szCs w:val="34"/>
          <w:rtl/>
          <w:lang w:bidi="ar-EG"/>
        </w:rPr>
        <w:t>وإعداد المراجعات الخارجية.</w:t>
      </w:r>
    </w:p>
    <w:p w:rsidR="00B31868" w:rsidRPr="00B31868" w:rsidRDefault="00B31868" w:rsidP="009A3712">
      <w:pPr>
        <w:numPr>
          <w:ilvl w:val="0"/>
          <w:numId w:val="21"/>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وواصلت اللجنة الاستشارية المستقلة للرقابة مراجعة عمل شعبة الرقابة الداخلية عن كثب. واستفادت الشعبة من توجيهات اللجنة في تنفيذ خطة الرقابة.</w:t>
      </w:r>
    </w:p>
    <w:p w:rsidR="00B31868" w:rsidRPr="00E439F5" w:rsidRDefault="00B31868" w:rsidP="00E439F5">
      <w:pPr>
        <w:keepNext/>
        <w:bidi/>
        <w:spacing w:before="120" w:after="120" w:line="340" w:lineRule="exact"/>
        <w:jc w:val="both"/>
        <w:rPr>
          <w:rFonts w:ascii="Arabic Typesetting" w:hAnsi="Arabic Typesetting" w:cs="Arabic Typesetting"/>
          <w:sz w:val="34"/>
          <w:szCs w:val="34"/>
          <w:rtl/>
          <w:lang w:bidi="ar-EG"/>
        </w:rPr>
      </w:pPr>
      <w:r w:rsidRPr="00E439F5">
        <w:rPr>
          <w:rFonts w:ascii="Arabic Typesetting" w:hAnsi="Arabic Typesetting" w:cs="Arabic Typesetting"/>
          <w:sz w:val="34"/>
          <w:szCs w:val="34"/>
          <w:rtl/>
        </w:rPr>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28"/>
        <w:gridCol w:w="1982"/>
        <w:gridCol w:w="1984"/>
        <w:gridCol w:w="2410"/>
        <w:gridCol w:w="853"/>
      </w:tblGrid>
      <w:tr w:rsidR="00B31868" w:rsidRPr="00211D55" w:rsidTr="00650608">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B31868" w:rsidRPr="00211D55" w:rsidRDefault="00B31868" w:rsidP="00086C3F">
            <w:pPr>
              <w:keepNext/>
              <w:keepLines/>
              <w:bidi/>
              <w:spacing w:before="60" w:after="60" w:line="280" w:lineRule="exact"/>
              <w:ind w:left="1134" w:hanging="1134"/>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rPr>
              <w:t>النتيجة المرتقبة:</w:t>
            </w:r>
            <w:r w:rsidRPr="00211D55">
              <w:rPr>
                <w:rFonts w:ascii="Arabic Typesetting" w:hAnsi="Arabic Typesetting" w:cs="Arabic Typesetting"/>
                <w:b/>
                <w:bCs/>
                <w:sz w:val="28"/>
                <w:szCs w:val="28"/>
                <w:rtl/>
              </w:rPr>
              <w:tab/>
            </w:r>
            <w:r w:rsidRPr="00211D55">
              <w:rPr>
                <w:rFonts w:ascii="Arabic Typesetting" w:hAnsi="Arabic Typesetting" w:cs="Arabic Typesetting"/>
                <w:sz w:val="28"/>
                <w:szCs w:val="28"/>
                <w:rtl/>
              </w:rPr>
              <w:t xml:space="preserve">ھ8.9 </w:t>
            </w:r>
            <w:r w:rsidR="003F15BC">
              <w:rPr>
                <w:rFonts w:ascii="Arabic Typesetting" w:hAnsi="Arabic Typesetting" w:cs="Arabic Typesetting"/>
                <w:sz w:val="28"/>
                <w:szCs w:val="28"/>
                <w:rtl/>
              </w:rPr>
              <w:t>تحسين المساءلة والتعلم المؤسسي والقيمة المالية والريادة والمراقبة الداخلية والحوكمة المؤسسية من خلال الاستعانة برقابة فعالة ومستقلة</w:t>
            </w:r>
          </w:p>
        </w:tc>
      </w:tr>
      <w:tr w:rsidR="00B31868" w:rsidRPr="00211D55" w:rsidTr="00650608">
        <w:trPr>
          <w:cantSplit/>
        </w:trPr>
        <w:tc>
          <w:tcPr>
            <w:tcW w:w="1137" w:type="pct"/>
            <w:tcBorders>
              <w:top w:val="single" w:sz="4" w:space="0" w:color="auto"/>
              <w:left w:val="single" w:sz="4" w:space="0" w:color="auto"/>
              <w:bottom w:val="nil"/>
            </w:tcBorders>
            <w:shd w:val="clear" w:color="auto" w:fill="auto"/>
            <w:vAlign w:val="center"/>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bCs/>
                <w:sz w:val="28"/>
                <w:szCs w:val="28"/>
                <w:rtl/>
              </w:rPr>
              <w:t>مؤشرات الأداء</w:t>
            </w:r>
          </w:p>
        </w:tc>
        <w:tc>
          <w:tcPr>
            <w:tcW w:w="1059" w:type="pct"/>
            <w:tcBorders>
              <w:top w:val="single" w:sz="4" w:space="0" w:color="auto"/>
              <w:bottom w:val="nil"/>
            </w:tcBorders>
            <w:shd w:val="clear" w:color="auto" w:fill="auto"/>
            <w:vAlign w:val="center"/>
          </w:tcPr>
          <w:p w:rsidR="00B31868" w:rsidRPr="00211D55" w:rsidRDefault="00B31868" w:rsidP="00086C3F">
            <w:pPr>
              <w:bidi/>
              <w:spacing w:before="60" w:after="60" w:line="28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1060" w:type="pct"/>
            <w:tcBorders>
              <w:top w:val="single" w:sz="4" w:space="0" w:color="auto"/>
              <w:bottom w:val="nil"/>
            </w:tcBorders>
            <w:shd w:val="clear" w:color="auto" w:fill="auto"/>
            <w:tcMar>
              <w:top w:w="110" w:type="dxa"/>
            </w:tcMar>
            <w:vAlign w:val="center"/>
          </w:tcPr>
          <w:p w:rsidR="00B31868" w:rsidRPr="00211D55" w:rsidRDefault="00B31868" w:rsidP="00086C3F">
            <w:pPr>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288" w:type="pct"/>
            <w:tcBorders>
              <w:top w:val="single" w:sz="4" w:space="0" w:color="auto"/>
              <w:bottom w:val="nil"/>
            </w:tcBorders>
            <w:shd w:val="clear" w:color="auto" w:fill="FFFFFF"/>
            <w:tcMar>
              <w:top w:w="110" w:type="dxa"/>
            </w:tcMar>
            <w:vAlign w:val="center"/>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b/>
                <w:bCs/>
                <w:sz w:val="28"/>
                <w:szCs w:val="28"/>
                <w:rtl/>
              </w:rPr>
              <w:t>بيانات الأداء</w:t>
            </w:r>
          </w:p>
        </w:tc>
        <w:tc>
          <w:tcPr>
            <w:tcW w:w="456" w:type="pct"/>
            <w:tcBorders>
              <w:top w:val="single" w:sz="4" w:space="0" w:color="auto"/>
              <w:bottom w:val="nil"/>
              <w:right w:val="single" w:sz="4" w:space="0" w:color="auto"/>
            </w:tcBorders>
            <w:shd w:val="clear" w:color="auto" w:fill="auto"/>
            <w:tcMar>
              <w:top w:w="110" w:type="dxa"/>
            </w:tcMar>
            <w:vAlign w:val="center"/>
          </w:tcPr>
          <w:p w:rsidR="00B31868" w:rsidRPr="00211D55" w:rsidRDefault="00B31868" w:rsidP="00086C3F">
            <w:pPr>
              <w:keepNext/>
              <w:keepLines/>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B31868" w:rsidRPr="00211D55" w:rsidTr="00650608">
        <w:trPr>
          <w:cantSplit/>
        </w:trPr>
        <w:tc>
          <w:tcPr>
            <w:tcW w:w="1137" w:type="pct"/>
            <w:tcBorders>
              <w:top w:val="nil"/>
              <w:left w:val="single" w:sz="4" w:space="0" w:color="auto"/>
              <w:bottom w:val="nil"/>
            </w:tcBorders>
            <w:shd w:val="clear" w:color="auto" w:fill="auto"/>
          </w:tcPr>
          <w:p w:rsidR="00B31868" w:rsidRPr="00211D55" w:rsidRDefault="00B31868" w:rsidP="00086C3F">
            <w:pPr>
              <w:keepNext/>
              <w:keepLines/>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عدم تدخل كبار أصحاب المصالح ومراعاتهم للاستقلالية</w:t>
            </w:r>
          </w:p>
        </w:tc>
        <w:tc>
          <w:tcPr>
            <w:tcW w:w="1059" w:type="pct"/>
            <w:tcBorders>
              <w:top w:val="nil"/>
              <w:bottom w:val="nil"/>
            </w:tcBorders>
            <w:shd w:val="clear" w:color="auto" w:fill="auto"/>
          </w:tcPr>
          <w:p w:rsidR="00B31868" w:rsidRPr="00211D55" w:rsidRDefault="00B31868" w:rsidP="00086C3F">
            <w:pPr>
              <w:keepNext/>
              <w:keepLines/>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sz w:val="28"/>
                <w:szCs w:val="28"/>
                <w:rtl/>
                <w:lang w:bidi="ar-EG"/>
              </w:rPr>
              <w:t xml:space="preserve"> عدم التدخل في عمل شعبة الرقابة الداخلية</w:t>
            </w:r>
          </w:p>
          <w:p w:rsidR="00B31868" w:rsidRPr="00211D55" w:rsidRDefault="00B31868" w:rsidP="00086C3F">
            <w:pPr>
              <w:keepNext/>
              <w:keepLines/>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sz w:val="28"/>
                <w:szCs w:val="28"/>
                <w:rtl/>
              </w:rPr>
              <w:t xml:space="preserve"> </w:t>
            </w:r>
            <w:r w:rsidRPr="00211D55">
              <w:rPr>
                <w:rFonts w:ascii="Arabic Typesetting" w:hAnsi="Arabic Typesetting" w:cs="Arabic Typesetting"/>
                <w:sz w:val="28"/>
                <w:szCs w:val="28"/>
                <w:rtl/>
                <w:lang w:bidi="ar-EG"/>
              </w:rPr>
              <w:t>عدم التدخل في عمل شعبة الرقابة الداخلية</w:t>
            </w:r>
          </w:p>
        </w:tc>
        <w:tc>
          <w:tcPr>
            <w:tcW w:w="1060" w:type="pct"/>
            <w:tcBorders>
              <w:top w:val="nil"/>
              <w:bottom w:val="nil"/>
            </w:tcBorders>
            <w:shd w:val="clear" w:color="auto" w:fill="auto"/>
            <w:tcMar>
              <w:top w:w="110" w:type="dxa"/>
            </w:tcMar>
          </w:tcPr>
          <w:p w:rsidR="00B31868" w:rsidRPr="00211D55" w:rsidRDefault="009F5F08" w:rsidP="009F5F08">
            <w:pPr>
              <w:keepNext/>
              <w:keepLines/>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 xml:space="preserve">تحقيق </w:t>
            </w:r>
            <w:r w:rsidR="00B31868" w:rsidRPr="00211D55">
              <w:rPr>
                <w:rFonts w:ascii="Arabic Typesetting" w:hAnsi="Arabic Typesetting" w:cs="Arabic Typesetting"/>
                <w:sz w:val="28"/>
                <w:szCs w:val="28"/>
                <w:rtl/>
              </w:rPr>
              <w:t>الاستقلالية التامة ومراعاتها كبار أصحاب المصالح (</w:t>
            </w:r>
            <w:r w:rsidRPr="00211D55">
              <w:rPr>
                <w:rFonts w:ascii="Arabic Typesetting" w:hAnsi="Arabic Typesetting" w:cs="Arabic Typesetting"/>
                <w:sz w:val="28"/>
                <w:szCs w:val="28"/>
                <w:rtl/>
              </w:rPr>
              <w:t>الزبائن</w:t>
            </w:r>
            <w:r w:rsidR="00B31868" w:rsidRPr="00211D55">
              <w:rPr>
                <w:rFonts w:ascii="Arabic Typesetting" w:hAnsi="Arabic Typesetting" w:cs="Arabic Typesetting"/>
                <w:sz w:val="28"/>
                <w:szCs w:val="28"/>
                <w:rtl/>
              </w:rPr>
              <w:t>/ اللجنة الاستشارية المستقلة للرقابة/ موظفو الإدارة)</w:t>
            </w:r>
            <w:r w:rsidRPr="00211D55">
              <w:rPr>
                <w:rFonts w:ascii="Arabic Typesetting" w:hAnsi="Arabic Typesetting" w:cs="Arabic Typesetting"/>
                <w:sz w:val="28"/>
                <w:szCs w:val="28"/>
                <w:rtl/>
              </w:rPr>
              <w:t xml:space="preserve"> لذلك</w:t>
            </w:r>
          </w:p>
        </w:tc>
        <w:tc>
          <w:tcPr>
            <w:tcW w:w="1288" w:type="pct"/>
            <w:tcBorders>
              <w:top w:val="nil"/>
              <w:bottom w:val="nil"/>
            </w:tcBorders>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عدم التدخل في عمل شعبة الرقابة الداخلية، على النحو الوارد في التقرير</w:t>
            </w:r>
            <w:r w:rsidR="009573C2" w:rsidRPr="00211D55">
              <w:rPr>
                <w:rFonts w:ascii="Arabic Typesetting" w:hAnsi="Arabic Typesetting" w:cs="Arabic Typesetting"/>
                <w:sz w:val="28"/>
                <w:szCs w:val="28"/>
                <w:rtl/>
              </w:rPr>
              <w:t>ين</w:t>
            </w:r>
            <w:r w:rsidRPr="00211D55">
              <w:rPr>
                <w:rFonts w:ascii="Arabic Typesetting" w:hAnsi="Arabic Typesetting" w:cs="Arabic Typesetting"/>
                <w:sz w:val="28"/>
                <w:szCs w:val="28"/>
                <w:rtl/>
              </w:rPr>
              <w:t xml:space="preserve"> السنوي</w:t>
            </w:r>
            <w:r w:rsidR="009573C2" w:rsidRPr="00211D55">
              <w:rPr>
                <w:rFonts w:ascii="Arabic Typesetting" w:hAnsi="Arabic Typesetting" w:cs="Arabic Typesetting"/>
                <w:sz w:val="28"/>
                <w:szCs w:val="28"/>
                <w:rtl/>
              </w:rPr>
              <w:t>ين</w:t>
            </w:r>
            <w:r w:rsidRPr="00211D55">
              <w:rPr>
                <w:rFonts w:ascii="Arabic Typesetting" w:hAnsi="Arabic Typesetting" w:cs="Arabic Typesetting"/>
                <w:sz w:val="28"/>
                <w:szCs w:val="28"/>
                <w:rtl/>
              </w:rPr>
              <w:t xml:space="preserve"> </w:t>
            </w:r>
            <w:r w:rsidRPr="00211D55">
              <w:rPr>
                <w:rFonts w:ascii="Arabic Typesetting" w:hAnsi="Arabic Typesetting" w:cs="Arabic Typesetting"/>
                <w:sz w:val="28"/>
                <w:szCs w:val="28"/>
                <w:lang w:bidi="th-TH"/>
              </w:rPr>
              <w:t>WO/PBC/22/4</w:t>
            </w:r>
            <w:r w:rsidR="009573C2" w:rsidRPr="00211D55">
              <w:rPr>
                <w:rFonts w:ascii="Arabic Typesetting" w:hAnsi="Arabic Typesetting" w:cs="Arabic Typesetting"/>
                <w:sz w:val="28"/>
                <w:szCs w:val="28"/>
                <w:rtl/>
              </w:rPr>
              <w:t xml:space="preserve"> و</w:t>
            </w:r>
            <w:r w:rsidR="009573C2" w:rsidRPr="00211D55">
              <w:rPr>
                <w:rFonts w:ascii="Arabic Typesetting" w:hAnsi="Arabic Typesetting" w:cs="Arabic Typesetting"/>
                <w:sz w:val="28"/>
                <w:szCs w:val="28"/>
              </w:rPr>
              <w:t>WO/PBC/24/6</w:t>
            </w:r>
            <w:r w:rsidRPr="00211D55">
              <w:rPr>
                <w:rFonts w:ascii="Arabic Typesetting" w:hAnsi="Arabic Typesetting" w:cs="Arabic Typesetting"/>
                <w:sz w:val="28"/>
                <w:szCs w:val="28"/>
                <w:rtl/>
                <w:lang w:bidi="ar-EG"/>
              </w:rPr>
              <w:t>.</w:t>
            </w:r>
          </w:p>
          <w:p w:rsidR="009573C2" w:rsidRPr="00211D55" w:rsidRDefault="009573C2"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اجتمع مدير شعبة الرقابة الداخلية بانتظام مع المدير العام واللجنة الاستشارية المستقلة للرقابة</w:t>
            </w:r>
            <w:r w:rsidR="002F6FBC" w:rsidRPr="00211D55">
              <w:rPr>
                <w:rFonts w:ascii="Arabic Typesetting" w:hAnsi="Arabic Typesetting" w:cs="Arabic Typesetting"/>
                <w:sz w:val="28"/>
                <w:szCs w:val="28"/>
                <w:rtl/>
                <w:lang w:bidi="ar-EG"/>
              </w:rPr>
              <w:t>، فضلاً عن ممثلي الدول الأعضاء عند الاقتضاء.</w:t>
            </w:r>
          </w:p>
          <w:p w:rsidR="00B31868" w:rsidRPr="00211D55" w:rsidRDefault="002F6FBC"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وأحيلت</w:t>
            </w:r>
            <w:r w:rsidR="00E461BC" w:rsidRPr="00211D55">
              <w:rPr>
                <w:rFonts w:ascii="Arabic Typesetting" w:hAnsi="Arabic Typesetting" w:cs="Arabic Typesetting"/>
                <w:sz w:val="28"/>
                <w:szCs w:val="28"/>
                <w:rtl/>
                <w:lang w:bidi="ar-EG"/>
              </w:rPr>
              <w:t xml:space="preserve"> </w:t>
            </w:r>
            <w:r w:rsidR="00B31868" w:rsidRPr="00211D55">
              <w:rPr>
                <w:rFonts w:ascii="Arabic Typesetting" w:hAnsi="Arabic Typesetting" w:cs="Arabic Typesetting"/>
                <w:sz w:val="28"/>
                <w:szCs w:val="28"/>
                <w:rtl/>
              </w:rPr>
              <w:t>حالات عدم مراعاة الاستقلالية إلى اللجنة الاستشارية المستقلة للرقابة وفقاً للفقرة 18 من الميثاق.</w:t>
            </w:r>
          </w:p>
        </w:tc>
        <w:tc>
          <w:tcPr>
            <w:tcW w:w="456" w:type="pct"/>
            <w:tcBorders>
              <w:top w:val="nil"/>
              <w:bottom w:val="nil"/>
              <w:right w:val="single" w:sz="4" w:space="0" w:color="auto"/>
            </w:tcBorders>
            <w:shd w:val="clear" w:color="auto" w:fill="auto"/>
            <w:tcMar>
              <w:top w:w="110" w:type="dxa"/>
            </w:tcMar>
          </w:tcPr>
          <w:p w:rsidR="00B31868" w:rsidRPr="00211D55" w:rsidRDefault="00B57DFA" w:rsidP="00086C3F">
            <w:pPr>
              <w:keepNext/>
              <w:keepLines/>
              <w:bidi/>
              <w:spacing w:before="60" w:after="60" w:line="280" w:lineRule="exact"/>
              <w:jc w:val="center"/>
              <w:rPr>
                <w:rFonts w:ascii="Arabic Typesetting" w:hAnsi="Arabic Typesetting" w:cs="Arabic Typesetting"/>
                <w:b/>
                <w:bCs/>
                <w:color w:val="FF0000"/>
                <w:sz w:val="28"/>
                <w:szCs w:val="28"/>
              </w:rPr>
            </w:pPr>
            <w:r w:rsidRPr="00211D55">
              <w:rPr>
                <w:rFonts w:ascii="Arabic Typesetting" w:hAnsi="Arabic Typesetting" w:cs="Arabic Typesetting"/>
                <w:b/>
                <w:bCs/>
                <w:color w:val="00B050"/>
                <w:sz w:val="28"/>
                <w:szCs w:val="28"/>
                <w:rtl/>
              </w:rPr>
              <w:t>م</w:t>
            </w:r>
            <w:r w:rsidR="009573C2" w:rsidRPr="00211D55">
              <w:rPr>
                <w:rFonts w:ascii="Arabic Typesetting" w:hAnsi="Arabic Typesetting" w:cs="Arabic Typesetting"/>
                <w:b/>
                <w:bCs/>
                <w:color w:val="00B050"/>
                <w:sz w:val="28"/>
                <w:szCs w:val="28"/>
                <w:rtl/>
              </w:rPr>
              <w:t>حقق كلياً</w:t>
            </w:r>
          </w:p>
        </w:tc>
      </w:tr>
      <w:tr w:rsidR="00B31868" w:rsidRPr="00211D55" w:rsidTr="00650608">
        <w:trPr>
          <w:cantSplit/>
        </w:trPr>
        <w:tc>
          <w:tcPr>
            <w:tcW w:w="1137" w:type="pct"/>
            <w:tcBorders>
              <w:top w:val="nil"/>
              <w:left w:val="single" w:sz="4" w:space="0" w:color="auto"/>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b/>
                <w:bCs/>
                <w:sz w:val="28"/>
                <w:szCs w:val="28"/>
                <w:lang w:bidi="ar-EG"/>
              </w:rPr>
            </w:pPr>
            <w:r w:rsidRPr="00211D55">
              <w:rPr>
                <w:rFonts w:ascii="Arabic Typesetting" w:hAnsi="Arabic Typesetting" w:cs="Arabic Typesetting"/>
                <w:b/>
                <w:bCs/>
                <w:sz w:val="28"/>
                <w:szCs w:val="28"/>
                <w:rtl/>
              </w:rPr>
              <w:t>الفعالية:</w:t>
            </w:r>
          </w:p>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النسبة المئوية لعمل شعبة الرقابة الداخلية الذي يتناول المجالات شديدة الخطورة/ وثيقة الصلة بالموضوع</w:t>
            </w:r>
          </w:p>
        </w:tc>
        <w:tc>
          <w:tcPr>
            <w:tcW w:w="1059" w:type="pct"/>
            <w:tcBorders>
              <w:top w:val="nil"/>
              <w:bottom w:val="single" w:sz="4" w:space="0" w:color="auto"/>
            </w:tcBorders>
            <w:shd w:val="clear" w:color="auto" w:fill="auto"/>
          </w:tcPr>
          <w:p w:rsidR="00B31868" w:rsidRPr="00211D55" w:rsidRDefault="00B31868" w:rsidP="00086C3F">
            <w:pPr>
              <w:keepNext/>
              <w:keepLines/>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sz w:val="28"/>
                <w:szCs w:val="28"/>
                <w:rtl/>
              </w:rPr>
              <w:t>جميع الأعمال (100%) تتناول مجالات شديدة الخطورة/ وثيقة الصلة بالموضوع</w:t>
            </w:r>
          </w:p>
          <w:p w:rsidR="00B31868" w:rsidRPr="00211D55" w:rsidRDefault="00B31868"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w:t>
            </w:r>
            <w:r w:rsidRPr="00211D55">
              <w:rPr>
                <w:rFonts w:ascii="Arabic Typesetting" w:hAnsi="Arabic Typesetting" w:cs="Arabic Typesetting"/>
                <w:sz w:val="28"/>
                <w:szCs w:val="28"/>
                <w:rtl/>
              </w:rPr>
              <w:t>جميع الأعمال (100%) تتناول مجالات شديدة الخطورة/ وثيقة الصلة بالموضوع</w:t>
            </w:r>
          </w:p>
        </w:tc>
        <w:tc>
          <w:tcPr>
            <w:tcW w:w="1060" w:type="pct"/>
            <w:tcBorders>
              <w:top w:val="nil"/>
              <w:bottom w:val="single" w:sz="4" w:space="0" w:color="auto"/>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جميع الأعمال (100%) تتناول مجالات شديدة الخطورة/ وثيقة الصلة بالموضوع</w:t>
            </w:r>
          </w:p>
        </w:tc>
        <w:tc>
          <w:tcPr>
            <w:tcW w:w="1288" w:type="pct"/>
            <w:tcBorders>
              <w:top w:val="nil"/>
              <w:bottom w:val="single" w:sz="4" w:space="0" w:color="auto"/>
            </w:tcBorders>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جميع الأعمال (100%) تتناول مجالات شديدة الخطورة/ وثيقة الصلة بالموضوع</w:t>
            </w:r>
          </w:p>
        </w:tc>
        <w:tc>
          <w:tcPr>
            <w:tcW w:w="456" w:type="pct"/>
            <w:tcBorders>
              <w:top w:val="nil"/>
              <w:bottom w:val="single" w:sz="4" w:space="0" w:color="auto"/>
              <w:right w:val="single" w:sz="4" w:space="0" w:color="auto"/>
            </w:tcBorders>
            <w:shd w:val="clear" w:color="auto" w:fill="auto"/>
            <w:tcMar>
              <w:top w:w="110" w:type="dxa"/>
            </w:tcMar>
          </w:tcPr>
          <w:p w:rsidR="00B31868" w:rsidRPr="00211D55" w:rsidRDefault="00B57DFA" w:rsidP="00086C3F">
            <w:pPr>
              <w:keepNext/>
              <w:keepLines/>
              <w:bidi/>
              <w:spacing w:before="60" w:after="60" w:line="280" w:lineRule="exact"/>
              <w:jc w:val="center"/>
              <w:rPr>
                <w:rFonts w:ascii="Arabic Typesetting" w:hAnsi="Arabic Typesetting" w:cs="Arabic Typesetting"/>
                <w:bCs/>
                <w:color w:val="808080"/>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650608">
        <w:trPr>
          <w:cantSplit/>
          <w:trHeight w:val="15"/>
        </w:trPr>
        <w:tc>
          <w:tcPr>
            <w:tcW w:w="1137" w:type="pct"/>
            <w:tcBorders>
              <w:top w:val="single" w:sz="4" w:space="0" w:color="auto"/>
              <w:left w:val="single" w:sz="4" w:space="0" w:color="auto"/>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b/>
                <w:bCs/>
                <w:sz w:val="28"/>
                <w:szCs w:val="28"/>
                <w:rtl/>
              </w:rPr>
              <w:lastRenderedPageBreak/>
              <w:t>الكفاءة</w:t>
            </w:r>
            <w:r w:rsidRPr="00211D55">
              <w:rPr>
                <w:rFonts w:ascii="Arabic Typesetting" w:hAnsi="Arabic Typesetting" w:cs="Arabic Typesetting"/>
                <w:sz w:val="28"/>
                <w:szCs w:val="28"/>
                <w:rtl/>
                <w:lang w:bidi="ar-EG"/>
              </w:rPr>
              <w:t>:</w:t>
            </w:r>
          </w:p>
          <w:p w:rsidR="00B31868" w:rsidRPr="00211D55" w:rsidRDefault="00B31868" w:rsidP="00086C3F">
            <w:pPr>
              <w:bidi/>
              <w:spacing w:before="60" w:after="3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(أ) الانتهاء من تقارير الرقابة في الوقت المناسب وبالجودة المطلوبة،</w:t>
            </w:r>
          </w:p>
          <w:p w:rsidR="00976425"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(ب) عدد عمليات التدقيق والتقييم التي أنجزت وفقاً لخطة عمل الرقابة،</w:t>
            </w:r>
          </w:p>
        </w:tc>
        <w:tc>
          <w:tcPr>
            <w:tcW w:w="1059" w:type="pct"/>
            <w:tcBorders>
              <w:top w:val="single" w:sz="4" w:space="0" w:color="auto"/>
              <w:bottom w:val="nil"/>
            </w:tcBorders>
            <w:shd w:val="clear" w:color="auto" w:fill="auto"/>
          </w:tcPr>
          <w:p w:rsidR="00B31868" w:rsidRPr="00211D55" w:rsidRDefault="00B31868" w:rsidP="00086C3F">
            <w:pPr>
              <w:keepNext/>
              <w:keepLines/>
              <w:bidi/>
              <w:spacing w:before="60" w:after="360" w:line="280" w:lineRule="exact"/>
              <w:rPr>
                <w:rFonts w:ascii="Arabic Typesetting" w:hAnsi="Arabic Typesetting" w:cs="Arabic Typesetting"/>
                <w:color w:val="002060"/>
                <w:sz w:val="28"/>
                <w:szCs w:val="28"/>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w:t>
            </w:r>
            <w:r w:rsidRPr="00211D55">
              <w:rPr>
                <w:rFonts w:ascii="Arabic Typesetting" w:hAnsi="Arabic Typesetting" w:cs="Arabic Typesetting"/>
                <w:color w:val="002060"/>
                <w:sz w:val="28"/>
                <w:szCs w:val="28"/>
                <w:rtl/>
              </w:rPr>
              <w:t>(أ) اكتمال التحقيقات في غضون 3 أشهر في المتوسط،</w:t>
            </w:r>
          </w:p>
          <w:p w:rsidR="00B31868" w:rsidRPr="00211D55" w:rsidRDefault="00B31868" w:rsidP="00086C3F">
            <w:pPr>
              <w:bidi/>
              <w:spacing w:before="200" w:after="60" w:line="280" w:lineRule="exact"/>
              <w:rPr>
                <w:rFonts w:ascii="Arabic Typesetting" w:hAnsi="Arabic Typesetting" w:cs="Arabic Typesetting"/>
                <w:sz w:val="28"/>
                <w:szCs w:val="28"/>
                <w:lang w:bidi="th-TH"/>
              </w:rPr>
            </w:pPr>
            <w:r w:rsidRPr="00211D55">
              <w:rPr>
                <w:rFonts w:ascii="Arabic Typesetting" w:hAnsi="Arabic Typesetting" w:cs="Arabic Typesetting"/>
                <w:color w:val="002060"/>
                <w:sz w:val="28"/>
                <w:szCs w:val="28"/>
                <w:rtl/>
              </w:rPr>
              <w:t>(ب) 7 عمليات تدقيق وتقييمان،</w:t>
            </w:r>
          </w:p>
        </w:tc>
        <w:tc>
          <w:tcPr>
            <w:tcW w:w="1060" w:type="pct"/>
            <w:tcBorders>
              <w:top w:val="single" w:sz="4" w:space="0" w:color="auto"/>
              <w:bottom w:val="nil"/>
            </w:tcBorders>
            <w:shd w:val="clear" w:color="auto" w:fill="auto"/>
            <w:tcMar>
              <w:top w:w="110" w:type="dxa"/>
            </w:tcMar>
          </w:tcPr>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(أ) اكتمال التحقيقات في غضون 6 أشهر في المتوسط، وانتهاء عمليات التدقيق والتقييم في غضون 5 أشهر،</w:t>
            </w:r>
          </w:p>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(ب) اكتمال 12 عملية تدقيق و6 تقييمات،</w:t>
            </w:r>
          </w:p>
        </w:tc>
        <w:tc>
          <w:tcPr>
            <w:tcW w:w="1288" w:type="pct"/>
            <w:tcBorders>
              <w:top w:val="single" w:sz="4" w:space="0" w:color="auto"/>
              <w:bottom w:val="nil"/>
            </w:tcBorders>
            <w:shd w:val="clear" w:color="auto" w:fill="FFFFFF"/>
            <w:tcMar>
              <w:top w:w="110" w:type="dxa"/>
            </w:tcMar>
          </w:tcPr>
          <w:p w:rsidR="00B57DFA" w:rsidRPr="00211D55" w:rsidRDefault="00B57DFA"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في عامي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w:t>
            </w:r>
          </w:p>
          <w:p w:rsidR="00B31868" w:rsidRPr="00211D55" w:rsidRDefault="00B31868" w:rsidP="00086C3F">
            <w:pPr>
              <w:bidi/>
              <w:spacing w:before="60" w:after="3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(أ) </w:t>
            </w:r>
            <w:r w:rsidR="00BE6881" w:rsidRPr="00211D55">
              <w:rPr>
                <w:rFonts w:ascii="Arabic Typesetting" w:hAnsi="Arabic Typesetting" w:cs="Arabic Typesetting"/>
                <w:sz w:val="28"/>
                <w:szCs w:val="28"/>
                <w:rtl/>
              </w:rPr>
              <w:t xml:space="preserve">استكملت </w:t>
            </w:r>
            <w:r w:rsidRPr="00211D55">
              <w:rPr>
                <w:rFonts w:ascii="Arabic Typesetting" w:hAnsi="Arabic Typesetting" w:cs="Arabic Typesetting"/>
                <w:sz w:val="28"/>
                <w:szCs w:val="28"/>
                <w:rtl/>
              </w:rPr>
              <w:t xml:space="preserve">التحقيقات </w:t>
            </w:r>
            <w:r w:rsidR="00BE6881" w:rsidRPr="00211D55">
              <w:rPr>
                <w:rFonts w:ascii="Arabic Typesetting" w:hAnsi="Arabic Typesetting" w:cs="Arabic Typesetting"/>
                <w:sz w:val="28"/>
                <w:szCs w:val="28"/>
                <w:rtl/>
              </w:rPr>
              <w:t xml:space="preserve">المفتوحة والمغلقة خلال هذه الفترة عامة </w:t>
            </w:r>
            <w:r w:rsidRPr="00211D55">
              <w:rPr>
                <w:rFonts w:ascii="Arabic Typesetting" w:hAnsi="Arabic Typesetting" w:cs="Arabic Typesetting"/>
                <w:sz w:val="28"/>
                <w:szCs w:val="28"/>
                <w:rtl/>
              </w:rPr>
              <w:t xml:space="preserve">في </w:t>
            </w:r>
            <w:r w:rsidR="00BE6881" w:rsidRPr="00211D55">
              <w:rPr>
                <w:rFonts w:ascii="Arabic Typesetting" w:hAnsi="Arabic Typesetting" w:cs="Arabic Typesetting"/>
                <w:sz w:val="28"/>
                <w:szCs w:val="28"/>
                <w:rtl/>
              </w:rPr>
              <w:t>أقل من خمسة أشهر</w:t>
            </w:r>
            <w:r w:rsidRPr="00211D55">
              <w:rPr>
                <w:rFonts w:ascii="Arabic Typesetting" w:hAnsi="Arabic Typesetting" w:cs="Arabic Typesetting"/>
                <w:sz w:val="28"/>
                <w:szCs w:val="28"/>
                <w:rtl/>
              </w:rPr>
              <w:t>،</w:t>
            </w:r>
          </w:p>
          <w:p w:rsidR="00B31868" w:rsidRPr="00211D55" w:rsidRDefault="00B31868" w:rsidP="00086C3F">
            <w:pPr>
              <w:keepLines/>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 xml:space="preserve">(ب) اكتمال </w:t>
            </w:r>
            <w:r w:rsidR="00BE6881" w:rsidRPr="00211D55">
              <w:rPr>
                <w:rFonts w:ascii="Arabic Typesetting" w:hAnsi="Arabic Typesetting" w:cs="Arabic Typesetting"/>
                <w:sz w:val="28"/>
                <w:szCs w:val="28"/>
                <w:rtl/>
              </w:rPr>
              <w:t xml:space="preserve">13 </w:t>
            </w:r>
            <w:r w:rsidRPr="00211D55">
              <w:rPr>
                <w:rFonts w:ascii="Arabic Typesetting" w:hAnsi="Arabic Typesetting" w:cs="Arabic Typesetting"/>
                <w:sz w:val="28"/>
                <w:szCs w:val="28"/>
                <w:rtl/>
              </w:rPr>
              <w:t>تقرير تدقيق</w:t>
            </w:r>
            <w:r w:rsidRPr="00211D55">
              <w:rPr>
                <w:rFonts w:ascii="Arabic Typesetting" w:hAnsi="Arabic Typesetting" w:cs="Arabic Typesetting"/>
                <w:sz w:val="28"/>
                <w:szCs w:val="28"/>
                <w:rtl/>
                <w:lang w:bidi="ar-EG"/>
              </w:rPr>
              <w:t xml:space="preserve">، </w:t>
            </w:r>
            <w:r w:rsidR="00BE6881" w:rsidRPr="00211D55">
              <w:rPr>
                <w:rFonts w:ascii="Arabic Typesetting" w:hAnsi="Arabic Typesetting" w:cs="Arabic Typesetting"/>
                <w:sz w:val="28"/>
                <w:szCs w:val="28"/>
                <w:rtl/>
              </w:rPr>
              <w:t xml:space="preserve">و7 </w:t>
            </w:r>
            <w:r w:rsidRPr="00211D55">
              <w:rPr>
                <w:rFonts w:ascii="Arabic Typesetting" w:hAnsi="Arabic Typesetting" w:cs="Arabic Typesetting"/>
                <w:sz w:val="28"/>
                <w:szCs w:val="28"/>
                <w:rtl/>
              </w:rPr>
              <w:t>تقارير تقييم</w:t>
            </w:r>
            <w:r w:rsidRPr="00211D55">
              <w:rPr>
                <w:rFonts w:ascii="Arabic Typesetting" w:hAnsi="Arabic Typesetting" w:cs="Arabic Typesetting"/>
                <w:sz w:val="28"/>
                <w:szCs w:val="28"/>
                <w:rtl/>
                <w:lang w:bidi="ar-EG"/>
              </w:rPr>
              <w:t>،</w:t>
            </w:r>
            <w:r w:rsidRPr="00211D55">
              <w:rPr>
                <w:rFonts w:ascii="Arabic Typesetting" w:hAnsi="Arabic Typesetting" w:cs="Arabic Typesetting"/>
                <w:sz w:val="28"/>
                <w:szCs w:val="28"/>
                <w:lang w:bidi="th-TH"/>
              </w:rPr>
              <w:t xml:space="preserve"> </w:t>
            </w:r>
            <w:r w:rsidRPr="00211D55">
              <w:rPr>
                <w:rFonts w:ascii="Arabic Typesetting" w:hAnsi="Arabic Typesetting" w:cs="Arabic Typesetting"/>
                <w:sz w:val="28"/>
                <w:szCs w:val="28"/>
                <w:rtl/>
              </w:rPr>
              <w:t xml:space="preserve">وتثبيت تقرير أداء البرنامج للثنائية </w:t>
            </w:r>
            <w:r w:rsidR="00507DE2">
              <w:rPr>
                <w:rFonts w:ascii="Arabic Typesetting" w:hAnsi="Arabic Typesetting" w:cs="Arabic Typesetting"/>
                <w:sz w:val="28"/>
                <w:szCs w:val="28"/>
                <w:rtl/>
              </w:rPr>
              <w:t>2012/13</w:t>
            </w:r>
            <w:r w:rsidRPr="00211D55">
              <w:rPr>
                <w:rFonts w:ascii="Arabic Typesetting" w:hAnsi="Arabic Typesetting" w:cs="Arabic Typesetting"/>
                <w:sz w:val="28"/>
                <w:szCs w:val="28"/>
                <w:rtl/>
              </w:rPr>
              <w:t>،</w:t>
            </w:r>
          </w:p>
        </w:tc>
        <w:tc>
          <w:tcPr>
            <w:tcW w:w="456" w:type="pct"/>
            <w:tcBorders>
              <w:top w:val="single" w:sz="4" w:space="0" w:color="auto"/>
              <w:bottom w:val="nil"/>
              <w:right w:val="single" w:sz="4" w:space="0" w:color="auto"/>
            </w:tcBorders>
            <w:shd w:val="clear" w:color="auto" w:fill="auto"/>
            <w:tcMar>
              <w:top w:w="110" w:type="dxa"/>
            </w:tcMar>
          </w:tcPr>
          <w:p w:rsidR="00B31868" w:rsidRPr="00211D55" w:rsidRDefault="00B57DFA" w:rsidP="00086C3F">
            <w:pPr>
              <w:keepNext/>
              <w:keepLines/>
              <w:bidi/>
              <w:spacing w:before="400" w:after="60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976425" w:rsidRPr="00211D55" w:rsidRDefault="00BE6881" w:rsidP="00086C3F">
            <w:pPr>
              <w:keepNext/>
              <w:keepLines/>
              <w:bidi/>
              <w:spacing w:before="60" w:after="360" w:line="280" w:lineRule="exact"/>
              <w:jc w:val="center"/>
              <w:rPr>
                <w:rFonts w:ascii="Arabic Typesetting" w:hAnsi="Arabic Typesetting" w:cs="Arabic Typesetting"/>
                <w:bCs/>
                <w:color w:val="808080"/>
                <w:sz w:val="28"/>
                <w:szCs w:val="28"/>
              </w:rPr>
            </w:pPr>
            <w:r w:rsidRPr="00211D55">
              <w:rPr>
                <w:rFonts w:ascii="Arabic Typesetting" w:hAnsi="Arabic Typesetting" w:cs="Arabic Typesetting"/>
                <w:b/>
                <w:bCs/>
                <w:color w:val="00B050"/>
                <w:sz w:val="28"/>
                <w:szCs w:val="28"/>
                <w:rtl/>
              </w:rPr>
              <w:t>محقق كلياً</w:t>
            </w:r>
          </w:p>
        </w:tc>
      </w:tr>
      <w:tr w:rsidR="00976425" w:rsidRPr="00211D55" w:rsidTr="00650608">
        <w:trPr>
          <w:cantSplit/>
        </w:trPr>
        <w:tc>
          <w:tcPr>
            <w:tcW w:w="1137" w:type="pct"/>
            <w:tcBorders>
              <w:top w:val="nil"/>
              <w:left w:val="single" w:sz="4" w:space="0" w:color="auto"/>
              <w:bottom w:val="nil"/>
            </w:tcBorders>
            <w:shd w:val="clear" w:color="auto" w:fill="auto"/>
          </w:tcPr>
          <w:p w:rsidR="00976425" w:rsidRPr="00211D55" w:rsidRDefault="00976425" w:rsidP="00086C3F">
            <w:pPr>
              <w:bidi/>
              <w:spacing w:before="60" w:after="60" w:line="280" w:lineRule="exact"/>
              <w:rPr>
                <w:rFonts w:ascii="Arabic Typesetting" w:hAnsi="Arabic Typesetting" w:cs="Arabic Typesetting"/>
                <w:b/>
                <w:bCs/>
                <w:sz w:val="28"/>
                <w:szCs w:val="28"/>
                <w:rtl/>
              </w:rPr>
            </w:pPr>
            <w:r w:rsidRPr="00211D55">
              <w:rPr>
                <w:rFonts w:ascii="Arabic Typesetting" w:hAnsi="Arabic Typesetting" w:cs="Arabic Typesetting"/>
                <w:sz w:val="28"/>
                <w:szCs w:val="28"/>
                <w:rtl/>
              </w:rPr>
              <w:t>(ج) عدد الشكاوى/التقارير بشأن التعامل مع سوء السلوك المحتمل</w:t>
            </w:r>
          </w:p>
        </w:tc>
        <w:tc>
          <w:tcPr>
            <w:tcW w:w="1059" w:type="pct"/>
            <w:tcBorders>
              <w:top w:val="nil"/>
              <w:bottom w:val="nil"/>
            </w:tcBorders>
            <w:shd w:val="clear" w:color="auto" w:fill="auto"/>
          </w:tcPr>
          <w:p w:rsidR="00976425" w:rsidRPr="00211D55" w:rsidRDefault="00976425" w:rsidP="00086C3F">
            <w:pPr>
              <w:keepNext/>
              <w:keepLines/>
              <w:bidi/>
              <w:spacing w:before="60" w:after="60" w:line="280" w:lineRule="exact"/>
              <w:rPr>
                <w:rFonts w:ascii="Arabic Typesetting" w:hAnsi="Arabic Typesetting" w:cs="Arabic Typesetting"/>
                <w:color w:val="002060"/>
                <w:sz w:val="28"/>
                <w:szCs w:val="28"/>
                <w:rtl/>
                <w:lang w:bidi="ar-EG"/>
              </w:rPr>
            </w:pPr>
            <w:r w:rsidRPr="00211D55">
              <w:rPr>
                <w:rFonts w:ascii="Arabic Typesetting" w:hAnsi="Arabic Typesetting" w:cs="Arabic Typesetting"/>
                <w:color w:val="002060"/>
                <w:sz w:val="28"/>
                <w:szCs w:val="28"/>
                <w:rtl/>
              </w:rPr>
              <w:t>(ج) 19 تحقيقاً،</w:t>
            </w:r>
          </w:p>
          <w:p w:rsidR="00976425" w:rsidRPr="00211D55" w:rsidRDefault="00976425" w:rsidP="00086C3F">
            <w:pPr>
              <w:keepNext/>
              <w:keepLines/>
              <w:bidi/>
              <w:spacing w:before="60" w:after="60" w:line="280" w:lineRule="exact"/>
              <w:rPr>
                <w:rFonts w:ascii="Arabic Typesetting" w:hAnsi="Arabic Typesetting" w:cs="Arabic Typesetting"/>
                <w:color w:val="002060"/>
                <w:sz w:val="28"/>
                <w:szCs w:val="28"/>
              </w:rPr>
            </w:pPr>
            <w:r w:rsidRPr="00211D55">
              <w:rPr>
                <w:rFonts w:ascii="Arabic Typesetting" w:hAnsi="Arabic Typesetting" w:cs="Arabic Typesetting"/>
                <w:color w:val="002060"/>
                <w:sz w:val="28"/>
                <w:szCs w:val="28"/>
                <w:rtl/>
              </w:rPr>
              <w:t>(د) إنجاز جميع الأعمال وفقاً للمعايير</w:t>
            </w:r>
            <w:r w:rsidRPr="00211D55">
              <w:rPr>
                <w:rFonts w:ascii="Arabic Typesetting" w:hAnsi="Arabic Typesetting" w:cs="Arabic Typesetting"/>
                <w:color w:val="002060"/>
                <w:sz w:val="28"/>
                <w:szCs w:val="28"/>
              </w:rPr>
              <w:t>.</w:t>
            </w:r>
          </w:p>
          <w:p w:rsidR="00976425" w:rsidRPr="00211D55" w:rsidRDefault="00976425" w:rsidP="00086C3F">
            <w:pPr>
              <w:keepNext/>
              <w:keepLines/>
              <w:bidi/>
              <w:spacing w:before="60" w:after="60" w:line="280" w:lineRule="exact"/>
              <w:rPr>
                <w:rFonts w:ascii="Arabic Typesetting" w:hAnsi="Arabic Typesetting" w:cs="Arabic Typesetting"/>
                <w:iCs/>
                <w:color w:val="002060"/>
                <w:sz w:val="28"/>
                <w:szCs w:val="28"/>
                <w:rtl/>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br/>
            </w:r>
            <w:r w:rsidRPr="00211D55">
              <w:rPr>
                <w:rFonts w:ascii="Arabic Typesetting" w:hAnsi="Arabic Typesetting" w:cs="Arabic Typesetting"/>
                <w:sz w:val="28"/>
                <w:szCs w:val="28"/>
                <w:rtl/>
              </w:rPr>
              <w:t>(أ) اكتمال التحقيقات وعمليات التدقيق/التقييم في المتوسط في غضون 10 و5 أشهر في 2012،</w:t>
            </w:r>
          </w:p>
        </w:tc>
        <w:tc>
          <w:tcPr>
            <w:tcW w:w="1060" w:type="pct"/>
            <w:tcBorders>
              <w:top w:val="nil"/>
              <w:bottom w:val="nil"/>
            </w:tcBorders>
            <w:shd w:val="clear" w:color="auto" w:fill="auto"/>
            <w:tcMar>
              <w:top w:w="110" w:type="dxa"/>
            </w:tcMar>
          </w:tcPr>
          <w:p w:rsidR="00976425" w:rsidRPr="00211D55" w:rsidRDefault="00976425"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(ج) إغلاق 15 تحقيقاً على الأقل،</w:t>
            </w:r>
          </w:p>
          <w:p w:rsidR="00976425" w:rsidRPr="00211D55" w:rsidRDefault="00976425" w:rsidP="00086C3F">
            <w:pPr>
              <w:autoSpaceDE w:val="0"/>
              <w:autoSpaceDN w:val="0"/>
              <w:bidi/>
              <w:adjustRightInd w:val="0"/>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(د) الامتثال للمعايير</w:t>
            </w:r>
          </w:p>
        </w:tc>
        <w:tc>
          <w:tcPr>
            <w:tcW w:w="1288" w:type="pct"/>
            <w:tcBorders>
              <w:top w:val="nil"/>
              <w:bottom w:val="nil"/>
            </w:tcBorders>
            <w:shd w:val="clear" w:color="auto" w:fill="FFFFFF"/>
            <w:tcMar>
              <w:top w:w="110" w:type="dxa"/>
            </w:tcMar>
          </w:tcPr>
          <w:p w:rsidR="00976425" w:rsidRPr="00211D55" w:rsidRDefault="00976425"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(ج) إغلاق 43 تحقيقاً خلال الفترة،</w:t>
            </w:r>
          </w:p>
          <w:p w:rsidR="00976425" w:rsidRPr="00211D55" w:rsidRDefault="00976425"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(د) الامتثال العام للمعايير التي أكدتها تقارير تقييم الجودة الخارجي للوظائف الثلاث</w:t>
            </w:r>
          </w:p>
        </w:tc>
        <w:tc>
          <w:tcPr>
            <w:tcW w:w="456" w:type="pct"/>
            <w:tcBorders>
              <w:top w:val="nil"/>
              <w:bottom w:val="nil"/>
              <w:right w:val="single" w:sz="4" w:space="0" w:color="auto"/>
            </w:tcBorders>
            <w:shd w:val="clear" w:color="auto" w:fill="auto"/>
            <w:tcMar>
              <w:top w:w="110" w:type="dxa"/>
            </w:tcMar>
          </w:tcPr>
          <w:p w:rsidR="00976425" w:rsidRPr="00211D55" w:rsidRDefault="00976425" w:rsidP="00086C3F">
            <w:pPr>
              <w:keepNext/>
              <w:keepLines/>
              <w:bidi/>
              <w:spacing w:after="3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976425" w:rsidRPr="00211D55" w:rsidDel="00B57DFA" w:rsidRDefault="00976425" w:rsidP="00086C3F">
            <w:pPr>
              <w:keepNext/>
              <w:keepLines/>
              <w:bidi/>
              <w:spacing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tc>
      </w:tr>
      <w:tr w:rsidR="00B31868" w:rsidRPr="00211D55" w:rsidTr="00650608">
        <w:trPr>
          <w:cantSplit/>
        </w:trPr>
        <w:tc>
          <w:tcPr>
            <w:tcW w:w="1137" w:type="pct"/>
            <w:tcBorders>
              <w:top w:val="nil"/>
              <w:left w:val="single" w:sz="4" w:space="0" w:color="auto"/>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b/>
                <w:bCs/>
                <w:sz w:val="28"/>
                <w:szCs w:val="28"/>
                <w:rtl/>
              </w:rPr>
            </w:pPr>
          </w:p>
        </w:tc>
        <w:tc>
          <w:tcPr>
            <w:tcW w:w="1059" w:type="pct"/>
            <w:tcBorders>
              <w:top w:val="nil"/>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(ب) إكمال 3 عمليات تدقيق و5 تقييمات في 2012،</w:t>
            </w:r>
          </w:p>
          <w:p w:rsidR="00B31868" w:rsidRPr="00211D55" w:rsidRDefault="00B31868" w:rsidP="00086C3F">
            <w:pPr>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(ج) إغلاق 15 تحقيقاً في 2011 و23 في 2012،</w:t>
            </w:r>
          </w:p>
          <w:p w:rsidR="00B31868" w:rsidRPr="00211D55" w:rsidRDefault="00B31868" w:rsidP="00086C3F">
            <w:pPr>
              <w:keepNext/>
              <w:keepLines/>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(د) إنجاز جميع أعمال الرقابة وفقاً للمعايير</w:t>
            </w:r>
            <w:r w:rsidRPr="00211D55">
              <w:rPr>
                <w:rFonts w:ascii="Arabic Typesetting" w:hAnsi="Arabic Typesetting" w:cs="Arabic Typesetting"/>
                <w:sz w:val="28"/>
                <w:szCs w:val="28"/>
                <w:lang w:bidi="th-TH"/>
              </w:rPr>
              <w:t>.</w:t>
            </w:r>
          </w:p>
        </w:tc>
        <w:tc>
          <w:tcPr>
            <w:tcW w:w="1060" w:type="pct"/>
            <w:tcBorders>
              <w:top w:val="nil"/>
              <w:bottom w:val="nil"/>
            </w:tcBorders>
            <w:shd w:val="clear" w:color="auto" w:fill="auto"/>
            <w:tcMar>
              <w:top w:w="110" w:type="dxa"/>
            </w:tcMar>
          </w:tcPr>
          <w:p w:rsidR="00B31868" w:rsidRPr="00211D55" w:rsidRDefault="00B31868" w:rsidP="00086C3F">
            <w:pPr>
              <w:bidi/>
              <w:spacing w:before="60" w:after="60" w:line="280" w:lineRule="exact"/>
              <w:jc w:val="center"/>
              <w:rPr>
                <w:rFonts w:ascii="Arabic Typesetting" w:hAnsi="Arabic Typesetting" w:cs="Arabic Typesetting"/>
                <w:sz w:val="28"/>
                <w:szCs w:val="28"/>
                <w:rtl/>
              </w:rPr>
            </w:pPr>
          </w:p>
        </w:tc>
        <w:tc>
          <w:tcPr>
            <w:tcW w:w="1288" w:type="pct"/>
            <w:tcBorders>
              <w:top w:val="nil"/>
              <w:bottom w:val="nil"/>
            </w:tcBorders>
            <w:shd w:val="clear" w:color="auto" w:fill="FFFFFF"/>
            <w:tcMar>
              <w:top w:w="110" w:type="dxa"/>
            </w:tcMar>
          </w:tcPr>
          <w:p w:rsidR="00B31868" w:rsidRPr="00211D55" w:rsidRDefault="00B31868" w:rsidP="00086C3F">
            <w:pPr>
              <w:bidi/>
              <w:spacing w:before="60" w:after="60" w:line="280" w:lineRule="exact"/>
              <w:rPr>
                <w:rFonts w:ascii="Arabic Typesetting" w:hAnsi="Arabic Typesetting" w:cs="Arabic Typesetting"/>
                <w:sz w:val="28"/>
                <w:szCs w:val="28"/>
                <w:rtl/>
              </w:rPr>
            </w:pPr>
          </w:p>
        </w:tc>
        <w:tc>
          <w:tcPr>
            <w:tcW w:w="456" w:type="pct"/>
            <w:tcBorders>
              <w:top w:val="nil"/>
              <w:bottom w:val="nil"/>
              <w:right w:val="single" w:sz="4" w:space="0" w:color="auto"/>
            </w:tcBorders>
            <w:shd w:val="clear" w:color="auto" w:fill="auto"/>
            <w:tcMar>
              <w:top w:w="110" w:type="dxa"/>
            </w:tcMar>
          </w:tcPr>
          <w:p w:rsidR="00B31868" w:rsidRPr="00211D55" w:rsidRDefault="00B31868" w:rsidP="00086C3F">
            <w:pPr>
              <w:keepNext/>
              <w:keepLines/>
              <w:bidi/>
              <w:spacing w:before="60" w:after="60" w:line="280" w:lineRule="exact"/>
              <w:jc w:val="center"/>
              <w:rPr>
                <w:rFonts w:ascii="Arabic Typesetting" w:hAnsi="Arabic Typesetting" w:cs="Arabic Typesetting"/>
                <w:b/>
                <w:bCs/>
                <w:color w:val="00B0F0"/>
                <w:sz w:val="28"/>
                <w:szCs w:val="28"/>
                <w:rtl/>
              </w:rPr>
            </w:pPr>
          </w:p>
        </w:tc>
      </w:tr>
      <w:tr w:rsidR="00B31868" w:rsidRPr="00211D55" w:rsidTr="00650608">
        <w:trPr>
          <w:cantSplit/>
        </w:trPr>
        <w:tc>
          <w:tcPr>
            <w:tcW w:w="1137" w:type="pct"/>
            <w:tcBorders>
              <w:top w:val="nil"/>
              <w:left w:val="single" w:sz="4" w:space="0" w:color="auto"/>
              <w:bottom w:val="nil"/>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bCs/>
                <w:sz w:val="28"/>
                <w:szCs w:val="28"/>
                <w:rtl/>
              </w:rPr>
              <w:t>الصلة بالموضوع والقيمة المضافة والإشراف</w:t>
            </w:r>
            <w:r w:rsidRPr="00211D55">
              <w:rPr>
                <w:rFonts w:ascii="Arabic Typesetting" w:hAnsi="Arabic Typesetting" w:cs="Arabic Typesetting"/>
                <w:sz w:val="28"/>
                <w:szCs w:val="28"/>
                <w:rtl/>
              </w:rPr>
              <w:t xml:space="preserve"> </w:t>
            </w:r>
            <w:r w:rsidR="00AD17C3">
              <w:rPr>
                <w:rFonts w:ascii="Arabic Typesetting" w:hAnsi="Arabic Typesetting" w:cs="Arabic Typesetting"/>
                <w:sz w:val="28"/>
                <w:szCs w:val="28"/>
                <w:rtl/>
              </w:rPr>
              <w:t>-</w:t>
            </w:r>
            <w:r w:rsidRPr="00211D55">
              <w:rPr>
                <w:rFonts w:ascii="Arabic Typesetting" w:hAnsi="Arabic Typesetting" w:cs="Arabic Typesetting"/>
                <w:sz w:val="28"/>
                <w:szCs w:val="28"/>
                <w:rtl/>
              </w:rPr>
              <w:t xml:space="preserve"> وفورات أو تحسينات ملموسة في العمليات والأنظمة التجارية</w:t>
            </w:r>
          </w:p>
        </w:tc>
        <w:tc>
          <w:tcPr>
            <w:tcW w:w="1059" w:type="pct"/>
            <w:tcBorders>
              <w:top w:val="nil"/>
              <w:bottom w:val="nil"/>
            </w:tcBorders>
            <w:shd w:val="clear" w:color="auto" w:fill="auto"/>
          </w:tcPr>
          <w:p w:rsidR="0040048A" w:rsidRPr="00211D55" w:rsidRDefault="0040048A" w:rsidP="00086C3F">
            <w:pPr>
              <w:keepNext/>
              <w:keepLines/>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أدت توصيات شعبة الرقابة الداخلية إلى إصدار 10 تعليمات إدارية/نشرات داخلية لتحسين المسارات والعمليات</w:t>
            </w:r>
          </w:p>
          <w:p w:rsidR="00B31868" w:rsidRPr="00211D55" w:rsidRDefault="00B31868" w:rsidP="00086C3F">
            <w:pPr>
              <w:keepNext/>
              <w:keepLines/>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sz w:val="28"/>
                <w:szCs w:val="28"/>
                <w:rtl/>
              </w:rPr>
              <w:t>غير متوفرة</w:t>
            </w:r>
          </w:p>
        </w:tc>
        <w:tc>
          <w:tcPr>
            <w:tcW w:w="1060" w:type="pct"/>
            <w:tcBorders>
              <w:top w:val="nil"/>
              <w:bottom w:val="nil"/>
            </w:tcBorders>
            <w:shd w:val="clear" w:color="auto" w:fill="auto"/>
            <w:tcMar>
              <w:top w:w="110" w:type="dxa"/>
            </w:tcMar>
          </w:tcPr>
          <w:p w:rsidR="00B31868" w:rsidRPr="00211D55" w:rsidRDefault="00B31868" w:rsidP="00086C3F">
            <w:pPr>
              <w:bidi/>
              <w:spacing w:before="60" w:after="60" w:line="280" w:lineRule="exact"/>
              <w:jc w:val="center"/>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تُحدَّد لاحقاً</w:t>
            </w:r>
          </w:p>
        </w:tc>
        <w:tc>
          <w:tcPr>
            <w:tcW w:w="1288" w:type="pct"/>
            <w:tcBorders>
              <w:top w:val="nil"/>
              <w:bottom w:val="nil"/>
            </w:tcBorders>
            <w:shd w:val="clear" w:color="auto" w:fill="FFFFFF"/>
            <w:tcMar>
              <w:top w:w="110" w:type="dxa"/>
            </w:tcMar>
          </w:tcPr>
          <w:p w:rsidR="00B31868" w:rsidRPr="00211D55" w:rsidRDefault="00E461BC" w:rsidP="00086C3F">
            <w:pPr>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أدت توصيات شعبة الرقابة الداخلية إلى إصدار 10 تعليمات إدارية/نشرات داخلية لتحسين المسارات والعمليات</w:t>
            </w:r>
          </w:p>
        </w:tc>
        <w:tc>
          <w:tcPr>
            <w:tcW w:w="456" w:type="pct"/>
            <w:tcBorders>
              <w:top w:val="nil"/>
              <w:bottom w:val="nil"/>
              <w:right w:val="single" w:sz="4" w:space="0" w:color="auto"/>
            </w:tcBorders>
            <w:shd w:val="clear" w:color="auto" w:fill="auto"/>
            <w:tcMar>
              <w:top w:w="110" w:type="dxa"/>
            </w:tcMar>
          </w:tcPr>
          <w:p w:rsidR="00B31868" w:rsidRPr="00211D55" w:rsidRDefault="00E461BC" w:rsidP="00086C3F">
            <w:pPr>
              <w:bidi/>
              <w:spacing w:line="280" w:lineRule="exact"/>
              <w:jc w:val="center"/>
              <w:rPr>
                <w:rFonts w:ascii="Arabic Typesetting" w:hAnsi="Arabic Typesetting" w:cs="Arabic Typesetting"/>
                <w:b/>
                <w:bCs/>
                <w:color w:val="808080"/>
                <w:sz w:val="28"/>
                <w:szCs w:val="28"/>
                <w:rtl/>
                <w:lang w:bidi="ar-EG"/>
              </w:rPr>
            </w:pPr>
            <w:r w:rsidRPr="00211D55">
              <w:rPr>
                <w:rFonts w:ascii="Arabic Typesetting" w:hAnsi="Arabic Typesetting" w:cs="Arabic Typesetting"/>
                <w:b/>
                <w:bCs/>
                <w:color w:val="808080"/>
                <w:sz w:val="28"/>
                <w:szCs w:val="28"/>
                <w:rtl/>
              </w:rPr>
              <w:t>غير قابل للقياس</w:t>
            </w:r>
          </w:p>
        </w:tc>
      </w:tr>
      <w:tr w:rsidR="00B31868" w:rsidRPr="00211D55" w:rsidTr="00650608">
        <w:trPr>
          <w:cantSplit/>
        </w:trPr>
        <w:tc>
          <w:tcPr>
            <w:tcW w:w="1137" w:type="pct"/>
            <w:tcBorders>
              <w:top w:val="nil"/>
              <w:left w:val="single" w:sz="4" w:space="0" w:color="auto"/>
              <w:bottom w:val="single" w:sz="4" w:space="0" w:color="auto"/>
            </w:tcBorders>
            <w:shd w:val="clear" w:color="auto" w:fill="auto"/>
          </w:tcPr>
          <w:p w:rsidR="00B31868" w:rsidRPr="00211D55" w:rsidRDefault="00B31868" w:rsidP="00086C3F">
            <w:pPr>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bCs/>
                <w:sz w:val="28"/>
                <w:szCs w:val="28"/>
                <w:rtl/>
              </w:rPr>
              <w:t>التعلم المؤسسي</w:t>
            </w:r>
            <w:r w:rsidRPr="00211D55">
              <w:rPr>
                <w:rFonts w:ascii="Arabic Typesetting" w:hAnsi="Arabic Typesetting" w:cs="Arabic Typesetting"/>
                <w:sz w:val="28"/>
                <w:szCs w:val="28"/>
                <w:rtl/>
              </w:rPr>
              <w:t xml:space="preserve"> </w:t>
            </w:r>
            <w:r w:rsidR="00AD17C3">
              <w:rPr>
                <w:rFonts w:ascii="Arabic Typesetting" w:hAnsi="Arabic Typesetting" w:cs="Arabic Typesetting"/>
                <w:sz w:val="28"/>
                <w:szCs w:val="28"/>
                <w:rtl/>
              </w:rPr>
              <w:t>-</w:t>
            </w:r>
            <w:r w:rsidRPr="00211D55">
              <w:rPr>
                <w:rFonts w:ascii="Arabic Typesetting" w:hAnsi="Arabic Typesetting" w:cs="Arabic Typesetting"/>
                <w:sz w:val="28"/>
                <w:szCs w:val="28"/>
                <w:rtl/>
              </w:rPr>
              <w:t xml:space="preserve"> تعلم الدروس والتوصيات من عمليات الرقابة</w:t>
            </w:r>
            <w:r w:rsidRPr="00211D55">
              <w:rPr>
                <w:rFonts w:ascii="Arabic Typesetting" w:hAnsi="Arabic Typesetting" w:cs="Arabic Typesetting"/>
                <w:sz w:val="28"/>
                <w:szCs w:val="28"/>
                <w:lang w:bidi="th-TH"/>
              </w:rPr>
              <w:t>.</w:t>
            </w:r>
          </w:p>
        </w:tc>
        <w:tc>
          <w:tcPr>
            <w:tcW w:w="1059" w:type="pct"/>
            <w:tcBorders>
              <w:top w:val="nil"/>
              <w:bottom w:val="single" w:sz="4" w:space="0" w:color="auto"/>
            </w:tcBorders>
            <w:shd w:val="clear" w:color="auto" w:fill="auto"/>
          </w:tcPr>
          <w:p w:rsidR="00B31868" w:rsidRPr="00211D55" w:rsidRDefault="00B31868" w:rsidP="00086C3F">
            <w:pPr>
              <w:keepNext/>
              <w:keepLines/>
              <w:bidi/>
              <w:spacing w:before="60" w:after="3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قبول 90% من التوصيات</w:t>
            </w:r>
          </w:p>
          <w:p w:rsidR="00B31868" w:rsidRPr="00211D55" w:rsidRDefault="00B31868" w:rsidP="00086C3F">
            <w:pPr>
              <w:keepNext/>
              <w:keepLines/>
              <w:bidi/>
              <w:spacing w:before="60" w:after="60" w:line="280" w:lineRule="exact"/>
              <w:rPr>
                <w:rFonts w:ascii="Arabic Typesetting" w:hAnsi="Arabic Typesetting" w:cs="Arabic Typesetting"/>
                <w:i/>
                <w:color w:val="002060"/>
                <w:sz w:val="28"/>
                <w:szCs w:val="28"/>
              </w:rPr>
            </w:pPr>
            <w:r w:rsidRPr="00211D55">
              <w:rPr>
                <w:rFonts w:ascii="Arabic Typesetting" w:hAnsi="Arabic Typesetting" w:cs="Arabic Typesetting"/>
                <w:sz w:val="28"/>
                <w:szCs w:val="28"/>
                <w:rtl/>
              </w:rPr>
              <w:t>تنفيذ 90% من التوصيات في غضون عامين</w:t>
            </w:r>
          </w:p>
        </w:tc>
        <w:tc>
          <w:tcPr>
            <w:tcW w:w="1060" w:type="pct"/>
            <w:tcBorders>
              <w:top w:val="nil"/>
              <w:bottom w:val="single" w:sz="4" w:space="0" w:color="auto"/>
            </w:tcBorders>
            <w:shd w:val="clear" w:color="auto" w:fill="auto"/>
            <w:tcMar>
              <w:top w:w="110" w:type="dxa"/>
            </w:tcMar>
          </w:tcPr>
          <w:p w:rsidR="00B31868" w:rsidRPr="00211D55" w:rsidRDefault="00B31868" w:rsidP="00086C3F">
            <w:pPr>
              <w:autoSpaceDE w:val="0"/>
              <w:autoSpaceDN w:val="0"/>
              <w:bidi/>
              <w:adjustRightInd w:val="0"/>
              <w:spacing w:before="60" w:after="3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قبول 90% من التوصيات</w:t>
            </w:r>
          </w:p>
          <w:p w:rsidR="00B31868" w:rsidRPr="00211D55" w:rsidRDefault="00B31868" w:rsidP="00086C3F">
            <w:pPr>
              <w:autoSpaceDE w:val="0"/>
              <w:autoSpaceDN w:val="0"/>
              <w:bidi/>
              <w:adjustRightInd w:val="0"/>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تنفيذ 90% من التوصيات في غضون عامين</w:t>
            </w:r>
          </w:p>
        </w:tc>
        <w:tc>
          <w:tcPr>
            <w:tcW w:w="1288" w:type="pct"/>
            <w:tcBorders>
              <w:top w:val="nil"/>
              <w:bottom w:val="single" w:sz="4" w:space="0" w:color="auto"/>
            </w:tcBorders>
            <w:shd w:val="clear" w:color="auto" w:fill="FFFFFF"/>
            <w:tcMar>
              <w:top w:w="110" w:type="dxa"/>
            </w:tcMar>
          </w:tcPr>
          <w:p w:rsidR="0040048A" w:rsidRPr="00211D55" w:rsidRDefault="0040048A" w:rsidP="00086C3F">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قبول أكثر من 95% من التوصيات</w:t>
            </w:r>
          </w:p>
          <w:p w:rsidR="00B31868" w:rsidRPr="00211D55" w:rsidRDefault="00B31868" w:rsidP="00086C3F">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تنفيذ </w:t>
            </w:r>
            <w:r w:rsidR="0040048A" w:rsidRPr="00211D55">
              <w:rPr>
                <w:rFonts w:ascii="Arabic Typesetting" w:hAnsi="Arabic Typesetting" w:cs="Arabic Typesetting"/>
                <w:sz w:val="28"/>
                <w:szCs w:val="28"/>
                <w:rtl/>
              </w:rPr>
              <w:t>40</w:t>
            </w:r>
            <w:r w:rsidRPr="00211D55">
              <w:rPr>
                <w:rFonts w:ascii="Arabic Typesetting" w:hAnsi="Arabic Typesetting" w:cs="Arabic Typesetting"/>
                <w:sz w:val="28"/>
                <w:szCs w:val="28"/>
                <w:rtl/>
              </w:rPr>
              <w:t>% من التوصيات في غضون عامين</w:t>
            </w:r>
          </w:p>
        </w:tc>
        <w:tc>
          <w:tcPr>
            <w:tcW w:w="456" w:type="pct"/>
            <w:tcBorders>
              <w:top w:val="nil"/>
              <w:bottom w:val="single" w:sz="4" w:space="0" w:color="auto"/>
              <w:right w:val="single" w:sz="4" w:space="0" w:color="auto"/>
            </w:tcBorders>
            <w:shd w:val="clear" w:color="auto" w:fill="auto"/>
            <w:tcMar>
              <w:top w:w="110" w:type="dxa"/>
            </w:tcMar>
          </w:tcPr>
          <w:p w:rsidR="00B31868" w:rsidRPr="00211D55" w:rsidRDefault="00E461BC" w:rsidP="00086C3F">
            <w:pPr>
              <w:keepNext/>
              <w:keepLines/>
              <w:bidi/>
              <w:spacing w:before="60" w:after="360" w:line="280" w:lineRule="exact"/>
              <w:jc w:val="center"/>
              <w:rPr>
                <w:rFonts w:ascii="Arabic Typesetting" w:hAnsi="Arabic Typesetting" w:cs="Arabic Typesetting"/>
                <w:b/>
                <w:bCs/>
                <w:color w:val="00B050"/>
                <w:sz w:val="28"/>
                <w:szCs w:val="28"/>
                <w:rtl/>
              </w:rPr>
            </w:pPr>
            <w:r w:rsidRPr="00211D55">
              <w:rPr>
                <w:rFonts w:ascii="Arabic Typesetting" w:hAnsi="Arabic Typesetting" w:cs="Arabic Typesetting"/>
                <w:b/>
                <w:bCs/>
                <w:color w:val="00B050"/>
                <w:sz w:val="28"/>
                <w:szCs w:val="28"/>
                <w:rtl/>
              </w:rPr>
              <w:t>محقق كلياً</w:t>
            </w:r>
          </w:p>
          <w:p w:rsidR="00E461BC" w:rsidRPr="00211D55" w:rsidRDefault="00E461BC" w:rsidP="00086C3F">
            <w:pPr>
              <w:keepNext/>
              <w:keepLines/>
              <w:bidi/>
              <w:spacing w:before="60" w:after="60" w:line="280" w:lineRule="exact"/>
              <w:jc w:val="center"/>
              <w:rPr>
                <w:rFonts w:ascii="Arabic Typesetting" w:hAnsi="Arabic Typesetting" w:cs="Arabic Typesetting"/>
                <w:b/>
                <w:bCs/>
                <w:color w:val="00B050"/>
                <w:sz w:val="28"/>
                <w:szCs w:val="28"/>
              </w:rPr>
            </w:pPr>
            <w:r w:rsidRPr="00211D55">
              <w:rPr>
                <w:rFonts w:ascii="Arabic Typesetting" w:hAnsi="Arabic Typesetting" w:cs="Arabic Typesetting"/>
                <w:b/>
                <w:bCs/>
                <w:color w:val="E26B0A"/>
                <w:sz w:val="28"/>
                <w:szCs w:val="28"/>
                <w:rtl/>
              </w:rPr>
              <w:t>محقق جزئياً</w:t>
            </w:r>
          </w:p>
        </w:tc>
      </w:tr>
    </w:tbl>
    <w:p w:rsidR="00E461BC" w:rsidRPr="00820425" w:rsidRDefault="00B264F9" w:rsidP="00B264F9">
      <w:pPr>
        <w:keepNext/>
        <w:bidi/>
        <w:spacing w:before="120" w:after="120" w:line="340" w:lineRule="exact"/>
        <w:rPr>
          <w:rFonts w:ascii="Arabic Typesetting" w:hAnsi="Arabic Typesetting" w:cs="Arabic Typesetting"/>
          <w:sz w:val="36"/>
          <w:szCs w:val="36"/>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E461BC" w:rsidRPr="00211D55" w:rsidTr="007B6E9E">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E461BC" w:rsidRPr="00211D55" w:rsidRDefault="00E461BC"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E461BC" w:rsidRPr="00211D55" w:rsidRDefault="00E461BC"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E461BC" w:rsidRPr="00211D55" w:rsidRDefault="00E461BC"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E461BC"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التأثير في أداء البرنامج</w:t>
            </w:r>
          </w:p>
        </w:tc>
      </w:tr>
      <w:tr w:rsidR="00E461BC" w:rsidRPr="00211D55" w:rsidTr="00E439F5">
        <w:trPr>
          <w:cantSplit/>
          <w:trHeight w:val="1332"/>
        </w:trPr>
        <w:tc>
          <w:tcPr>
            <w:tcW w:w="2420" w:type="dxa"/>
            <w:tcBorders>
              <w:top w:val="single" w:sz="4" w:space="0" w:color="auto"/>
              <w:left w:val="single" w:sz="4" w:space="0" w:color="auto"/>
            </w:tcBorders>
            <w:shd w:val="clear" w:color="auto" w:fill="auto"/>
            <w:tcMar>
              <w:top w:w="113" w:type="dxa"/>
              <w:bottom w:w="113" w:type="dxa"/>
            </w:tcMar>
          </w:tcPr>
          <w:p w:rsidR="00E461BC" w:rsidRPr="003B526C" w:rsidRDefault="00E461BC"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عدم استقلالية نشاط الرقابة الإدارية وعدم حيادية موظفي الشعبة في أداء عملهم. ومن ثم ستكون حيادية عمل الشعبة ومصداقيتها في خطر. وستزول الثقة في وظيفة الرقابة الإدارية.</w:t>
            </w:r>
          </w:p>
        </w:tc>
        <w:tc>
          <w:tcPr>
            <w:tcW w:w="2200" w:type="dxa"/>
            <w:tcBorders>
              <w:top w:val="single" w:sz="4" w:space="0" w:color="auto"/>
            </w:tcBorders>
            <w:shd w:val="clear" w:color="auto" w:fill="auto"/>
            <w:tcMar>
              <w:top w:w="113" w:type="dxa"/>
              <w:bottom w:w="113" w:type="dxa"/>
            </w:tcMar>
          </w:tcPr>
          <w:p w:rsidR="00E461BC" w:rsidRPr="00211D55" w:rsidRDefault="00E461BC"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ستتبع الشعبة وموظفوها ميثاق الرقابة الإدارية؛ وستصدر تقاريرها بانتظام للجنة الويبو الاستشارية المستقلة للرقابة؛ وستقدم تقارير سنوية للجمعية العامة للويبو حول استقلاليتها</w:t>
            </w:r>
          </w:p>
        </w:tc>
        <w:tc>
          <w:tcPr>
            <w:tcW w:w="2310" w:type="dxa"/>
            <w:tcBorders>
              <w:top w:val="single" w:sz="4" w:space="0" w:color="auto"/>
            </w:tcBorders>
          </w:tcPr>
          <w:p w:rsidR="00E461BC" w:rsidRPr="003B526C" w:rsidRDefault="00E461BC" w:rsidP="003B526C">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sz w:val="28"/>
                <w:szCs w:val="28"/>
                <w:rtl/>
              </w:rPr>
              <w:t xml:space="preserve">تمتثل الشعبة وموظفوها </w:t>
            </w:r>
            <w:r w:rsidR="00B96D17" w:rsidRPr="003B526C">
              <w:rPr>
                <w:rFonts w:ascii="Arabic Typesetting" w:hAnsi="Arabic Typesetting" w:cs="Arabic Typesetting"/>
                <w:sz w:val="28"/>
                <w:szCs w:val="28"/>
                <w:rtl/>
              </w:rPr>
              <w:t>ل</w:t>
            </w:r>
            <w:r w:rsidRPr="003B526C">
              <w:rPr>
                <w:rFonts w:ascii="Arabic Typesetting" w:hAnsi="Arabic Typesetting" w:cs="Arabic Typesetting"/>
                <w:sz w:val="28"/>
                <w:szCs w:val="28"/>
                <w:rtl/>
              </w:rPr>
              <w:t xml:space="preserve">ميثاق الرقابة الداخلية وبمدونات السلوك المهني اللازمة. وخلال الثنائية، </w:t>
            </w:r>
            <w:r w:rsidRPr="00211D55">
              <w:rPr>
                <w:rFonts w:ascii="Arabic Typesetting" w:hAnsi="Arabic Typesetting" w:cs="Arabic Typesetting"/>
                <w:sz w:val="28"/>
                <w:szCs w:val="28"/>
                <w:rtl/>
              </w:rPr>
              <w:t>أحيلت الحالات التي رأى مدير الشعبة أو الموظفون أنها تشتمل على تضارب في المصالح إلى اللجنة الاستشارية المستقلة للرقابة وفقاً للفقرة 18 من الميثاق كي تسدي هذه اللجنة المشورة في سبل معالجتها.</w:t>
            </w:r>
          </w:p>
        </w:tc>
        <w:tc>
          <w:tcPr>
            <w:tcW w:w="2306" w:type="dxa"/>
            <w:tcBorders>
              <w:top w:val="single" w:sz="4" w:space="0" w:color="auto"/>
              <w:right w:val="single" w:sz="4" w:space="0" w:color="auto"/>
            </w:tcBorders>
          </w:tcPr>
          <w:p w:rsidR="00E461BC" w:rsidRPr="003B526C" w:rsidRDefault="00E461BC" w:rsidP="003B526C">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sz w:val="28"/>
                <w:szCs w:val="28"/>
                <w:rtl/>
              </w:rPr>
              <w:t xml:space="preserve">أدت الخطط القائمة للحد من </w:t>
            </w:r>
            <w:r w:rsidR="00952D9E" w:rsidRPr="003B526C">
              <w:rPr>
                <w:rFonts w:ascii="Arabic Typesetting" w:hAnsi="Arabic Typesetting" w:cs="Arabic Typesetting"/>
                <w:sz w:val="28"/>
                <w:szCs w:val="28"/>
                <w:rtl/>
              </w:rPr>
              <w:t xml:space="preserve">وطأة </w:t>
            </w:r>
            <w:r w:rsidRPr="003B526C">
              <w:rPr>
                <w:rFonts w:ascii="Arabic Typesetting" w:hAnsi="Arabic Typesetting" w:cs="Arabic Typesetting"/>
                <w:sz w:val="28"/>
                <w:szCs w:val="28"/>
                <w:rtl/>
              </w:rPr>
              <w:t xml:space="preserve">المخاطر إلى تقليص </w:t>
            </w:r>
            <w:r w:rsidR="00952D9E" w:rsidRPr="003B526C">
              <w:rPr>
                <w:rFonts w:ascii="Arabic Typesetting" w:hAnsi="Arabic Typesetting" w:cs="Arabic Typesetting"/>
                <w:sz w:val="28"/>
                <w:szCs w:val="28"/>
                <w:rtl/>
              </w:rPr>
              <w:t>الأثر على تحقيق النتائج والغايات المرتقبة من البرنامج إلى الحد الأدنى</w:t>
            </w:r>
          </w:p>
        </w:tc>
      </w:tr>
      <w:tr w:rsidR="00E461BC" w:rsidRPr="00211D55" w:rsidTr="00E439F5">
        <w:trPr>
          <w:cantSplit/>
          <w:trHeight w:val="1332"/>
        </w:trPr>
        <w:tc>
          <w:tcPr>
            <w:tcW w:w="2420" w:type="dxa"/>
            <w:tcBorders>
              <w:left w:val="single" w:sz="4" w:space="0" w:color="auto"/>
              <w:bottom w:val="single" w:sz="4" w:space="0" w:color="auto"/>
            </w:tcBorders>
            <w:shd w:val="clear" w:color="auto" w:fill="auto"/>
            <w:tcMar>
              <w:top w:w="113" w:type="dxa"/>
              <w:bottom w:w="113" w:type="dxa"/>
            </w:tcMar>
          </w:tcPr>
          <w:p w:rsidR="00E461BC" w:rsidRPr="003B526C" w:rsidRDefault="00E461BC"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عمل الشعبة غير وجيه ولا يساعد المنظمة في تحقيق نتائجها. ولا تستهدف خطة الرقابة المجالات المهمة بخصوص تحقيق أهداف المنظمة. وعدم إتمام التحقيقات في الوقت المناسب.</w:t>
            </w:r>
          </w:p>
        </w:tc>
        <w:tc>
          <w:tcPr>
            <w:tcW w:w="2200" w:type="dxa"/>
            <w:tcBorders>
              <w:bottom w:val="single" w:sz="4" w:space="0" w:color="auto"/>
            </w:tcBorders>
            <w:shd w:val="clear" w:color="auto" w:fill="auto"/>
            <w:tcMar>
              <w:top w:w="113" w:type="dxa"/>
              <w:bottom w:w="113" w:type="dxa"/>
            </w:tcMar>
          </w:tcPr>
          <w:p w:rsidR="00E461BC" w:rsidRPr="00211D55" w:rsidRDefault="00E461BC"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التخطيط المهني للتدقيق والتقييم والتحقيقات؛ وأن يدلي كل من المدير العام والإدارة العليا والدول الأعضاء بدلوه في خطة الرقابة الإدارية؛ والتنسيق مع القطاعات الأخرى.</w:t>
            </w:r>
          </w:p>
        </w:tc>
        <w:tc>
          <w:tcPr>
            <w:tcW w:w="2310" w:type="dxa"/>
            <w:tcBorders>
              <w:bottom w:val="single" w:sz="4" w:space="0" w:color="auto"/>
            </w:tcBorders>
          </w:tcPr>
          <w:p w:rsidR="00E461BC" w:rsidRPr="00211D55" w:rsidRDefault="00952D9E" w:rsidP="003B526C">
            <w:pPr>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وُضِعت خطة الرقابة الخاصة بشعبة الرقابة الداخلية باستخدام منهجية الشعبة لتقييم المخاطر وسجل المخاطر المؤسسي للويبو مع مراعاة كيانات الويبو التشغيلية وأساليب العمل ذات الصلة، فضلاً عن المدخلات الواردة من الدول الأعضاء واللجنة الاستشارية المستقلة للرقابة والإدارة العليا ومُراجع الحسابات الخارجي.</w:t>
            </w:r>
          </w:p>
          <w:p w:rsidR="00952D9E" w:rsidRPr="003B526C" w:rsidRDefault="00952D9E"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واجهت شعبة الرقابة الداخلية في الثنائية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xml:space="preserve"> صعوبات في استكمال التحقيقات في الآجال المناسبة بسبب "1" زيادة عدد حالات التحقق؛ "2" وعدم تعاون الموظفين؛ "3" وعدم كفاية الموظفين مع تزايد عبء العمل. وسعياً إلى الحد من هذا الخطر، اعتمدت سياسة استعانة مرنة بالموظفين لإدارة عبء العمل المتزايد للتحقيقات.</w:t>
            </w:r>
          </w:p>
        </w:tc>
        <w:tc>
          <w:tcPr>
            <w:tcW w:w="2306" w:type="dxa"/>
            <w:tcBorders>
              <w:bottom w:val="single" w:sz="4" w:space="0" w:color="auto"/>
              <w:right w:val="single" w:sz="4" w:space="0" w:color="auto"/>
            </w:tcBorders>
          </w:tcPr>
          <w:p w:rsidR="00E461BC" w:rsidRPr="003B526C" w:rsidRDefault="00952D9E" w:rsidP="003B526C">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sz w:val="28"/>
                <w:szCs w:val="28"/>
                <w:rtl/>
              </w:rPr>
              <w:t>على الرغم من أن المهلة المتوسطة لاستكمال التحقيقات قد ازدادت مقارنة بأساس المقارنة لعام 2013، فقد أغلقت كل حالات التحقيق في غضون الفترة الزمنية المحددة في سياسة الويبو للتحقيقات وحُققت الغاية المحددة للثنائية تحقيقاً كلياً.</w:t>
            </w:r>
          </w:p>
        </w:tc>
      </w:tr>
    </w:tbl>
    <w:p w:rsidR="00B264F9" w:rsidRPr="00B264F9" w:rsidRDefault="00B264F9" w:rsidP="00B264F9">
      <w:pPr>
        <w:keepNext/>
        <w:bidi/>
        <w:spacing w:before="120" w:after="120" w:line="340" w:lineRule="exact"/>
        <w:rPr>
          <w:rFonts w:ascii="Arabic Typesetting" w:hAnsi="Arabic Typesetting" w:cs="Arabic Typesetting"/>
          <w:b/>
          <w:sz w:val="34"/>
          <w:szCs w:val="34"/>
        </w:rPr>
      </w:pPr>
      <w:r w:rsidRPr="00B264F9">
        <w:rPr>
          <w:rFonts w:ascii="Arabic Typesetting" w:hAnsi="Arabic Typesetting" w:cs="Arabic Typesetting"/>
          <w:color w:val="000000"/>
          <w:sz w:val="34"/>
          <w:szCs w:val="34"/>
          <w:rtl/>
        </w:rPr>
        <w:t>استخدام الموارد</w:t>
      </w:r>
    </w:p>
    <w:p w:rsidR="00B31868" w:rsidRPr="00B31868" w:rsidRDefault="00774E37" w:rsidP="00252762">
      <w:pPr>
        <w:keepNext/>
        <w:bidi/>
        <w:spacing w:line="340" w:lineRule="exact"/>
        <w:jc w:val="center"/>
        <w:rPr>
          <w:rFonts w:ascii="Arabic Typesetting" w:hAnsi="Arabic Typesetting" w:cs="Arabic Typesetting"/>
          <w:sz w:val="34"/>
          <w:szCs w:val="34"/>
        </w:rPr>
      </w:pPr>
      <w:r w:rsidRPr="00774E37">
        <w:rPr>
          <w:rFonts w:ascii="Arabic Typesetting" w:hAnsi="Arabic Typesetting" w:cs="Arabic Typesetting"/>
          <w:color w:val="000000"/>
          <w:sz w:val="34"/>
          <w:szCs w:val="34"/>
          <w:rtl/>
        </w:rPr>
        <w:t>الميزانية والنفقات الفعلية (بحسب النتائج)</w:t>
      </w:r>
    </w:p>
    <w:p w:rsidR="00B31868" w:rsidRPr="00B31868" w:rsidRDefault="00B31868" w:rsidP="00650608">
      <w:pPr>
        <w:keepNext/>
        <w:bidi/>
        <w:spacing w:after="120" w:line="340" w:lineRule="exact"/>
        <w:jc w:val="center"/>
        <w:rPr>
          <w:rFonts w:ascii="Arabic Typesetting" w:hAnsi="Arabic Typesetting" w:cs="Arabic Typesetting"/>
          <w:i/>
          <w:iCs/>
          <w:color w:val="000000"/>
          <w:sz w:val="34"/>
          <w:szCs w:val="34"/>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952D9E" w:rsidRPr="00211D55" w:rsidTr="007B6E9E">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952D9E" w:rsidRPr="00211D55" w:rsidRDefault="00952D9E" w:rsidP="00285760">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952D9E" w:rsidRPr="00211D55" w:rsidRDefault="00952D9E" w:rsidP="00285760">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952D9E" w:rsidRPr="00211D55" w:rsidRDefault="00952D9E" w:rsidP="00285760">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952D9E" w:rsidRPr="00211D55" w:rsidRDefault="00952D9E" w:rsidP="00285760">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952D9E" w:rsidRPr="00211D55" w:rsidTr="00815916">
        <w:trPr>
          <w:cantSplit/>
          <w:trHeight w:val="793"/>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952D9E" w:rsidRPr="00211D55" w:rsidRDefault="00952D9E" w:rsidP="00285760">
            <w:pPr>
              <w:keepNext/>
              <w:bidi/>
              <w:rPr>
                <w:rFonts w:ascii="Arabic Typesetting" w:hAnsi="Arabic Typesetting" w:cs="Arabic Typesetting"/>
                <w:sz w:val="28"/>
                <w:szCs w:val="28"/>
              </w:rPr>
            </w:pPr>
            <w:r w:rsidRPr="00211D55">
              <w:rPr>
                <w:rFonts w:ascii="Arabic Typesetting" w:hAnsi="Arabic Typesetting" w:cs="Arabic Typesetting"/>
                <w:sz w:val="28"/>
                <w:szCs w:val="28"/>
                <w:rtl/>
              </w:rPr>
              <w:t>ھ8.9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952D9E" w:rsidRPr="00211D55" w:rsidRDefault="003F15BC" w:rsidP="00285760">
            <w:pPr>
              <w:keepNext/>
              <w:bidi/>
              <w:rPr>
                <w:rFonts w:ascii="Arabic Typesetting" w:hAnsi="Arabic Typesetting" w:cs="Arabic Typesetting"/>
                <w:sz w:val="28"/>
                <w:szCs w:val="28"/>
              </w:rPr>
            </w:pPr>
            <w:r>
              <w:rPr>
                <w:rFonts w:ascii="Arabic Typesetting" w:hAnsi="Arabic Typesetting" w:cs="Arabic Typesetting"/>
                <w:sz w:val="28"/>
                <w:szCs w:val="28"/>
                <w:rtl/>
              </w:rPr>
              <w:t>تحسين المساءلة والتعلم المؤسسي والقيمة المالية والريادة والمراقبة الداخلية والحوكمة المؤسسية من خلال الاستعانة برقابة فعالة ومستقلة</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52D9E" w:rsidRPr="00211D55" w:rsidRDefault="00952D9E" w:rsidP="00285760">
            <w:pPr>
              <w:keepNext/>
              <w:rPr>
                <w:rFonts w:ascii="Arabic Typesetting" w:hAnsi="Arabic Typesetting" w:cs="Arabic Typesetting"/>
                <w:sz w:val="28"/>
                <w:szCs w:val="28"/>
              </w:rPr>
            </w:pPr>
            <w:r w:rsidRPr="00211D55">
              <w:rPr>
                <w:rFonts w:ascii="Arabic Typesetting" w:hAnsi="Arabic Typesetting" w:cs="Arabic Typesetting"/>
                <w:sz w:val="28"/>
                <w:szCs w:val="28"/>
              </w:rPr>
              <w:t>5,116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952D9E" w:rsidRPr="00211D55" w:rsidRDefault="00952D9E" w:rsidP="00285760">
            <w:pPr>
              <w:keepNext/>
              <w:rPr>
                <w:rFonts w:ascii="Arabic Typesetting" w:hAnsi="Arabic Typesetting" w:cs="Arabic Typesetting"/>
                <w:sz w:val="28"/>
                <w:szCs w:val="28"/>
              </w:rPr>
            </w:pPr>
            <w:r w:rsidRPr="00211D55">
              <w:rPr>
                <w:rFonts w:ascii="Arabic Typesetting" w:hAnsi="Arabic Typesetting" w:cs="Arabic Typesetting"/>
                <w:sz w:val="28"/>
                <w:szCs w:val="28"/>
              </w:rPr>
              <w:t>4,972</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952D9E" w:rsidRPr="00211D55" w:rsidRDefault="00952D9E" w:rsidP="00285760">
            <w:pPr>
              <w:keepNext/>
              <w:rPr>
                <w:rFonts w:ascii="Arabic Typesetting" w:hAnsi="Arabic Typesetting" w:cs="Arabic Typesetting"/>
                <w:sz w:val="28"/>
                <w:szCs w:val="28"/>
              </w:rPr>
            </w:pPr>
            <w:r w:rsidRPr="00211D55">
              <w:rPr>
                <w:rFonts w:ascii="Arabic Typesetting" w:hAnsi="Arabic Typesetting" w:cs="Arabic Typesetting"/>
                <w:sz w:val="28"/>
                <w:szCs w:val="28"/>
              </w:rPr>
              <w:t>4,550</w:t>
            </w:r>
          </w:p>
        </w:tc>
      </w:tr>
      <w:tr w:rsidR="00952D9E" w:rsidRPr="00211D55" w:rsidTr="00952D9E">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952D9E" w:rsidRPr="00211D55" w:rsidRDefault="00952D9E"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952D9E" w:rsidRPr="00211D55" w:rsidRDefault="00952D9E"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952D9E" w:rsidRPr="00211D55" w:rsidRDefault="00952D9E"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5,116</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952D9E" w:rsidRPr="00211D55" w:rsidRDefault="00952D9E"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4,972</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952D9E" w:rsidRPr="00211D55" w:rsidRDefault="00952D9E"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4,550</w:t>
            </w:r>
          </w:p>
        </w:tc>
      </w:tr>
    </w:tbl>
    <w:p w:rsidR="00A214AF" w:rsidRDefault="00774E37" w:rsidP="00252762">
      <w:pPr>
        <w:keepNext/>
        <w:keepLines/>
        <w:bidi/>
        <w:spacing w:before="240" w:line="340" w:lineRule="exact"/>
        <w:jc w:val="center"/>
        <w:rPr>
          <w:rFonts w:ascii="Arabic Typesetting" w:hAnsi="Arabic Typesetting" w:cs="Arabic Typesetting"/>
          <w:color w:val="000000"/>
          <w:sz w:val="34"/>
          <w:szCs w:val="34"/>
        </w:rPr>
      </w:pPr>
      <w:r w:rsidRPr="00774E37">
        <w:rPr>
          <w:rFonts w:ascii="Arabic Typesetting" w:hAnsi="Arabic Typesetting" w:cs="Arabic Typesetting"/>
          <w:color w:val="000000"/>
          <w:sz w:val="34"/>
          <w:szCs w:val="34"/>
          <w:rtl/>
        </w:rPr>
        <w:lastRenderedPageBreak/>
        <w:t>الميزانية والنفقات الفعلية (موارد الموظفين وخلاف موارد الموظفين)</w:t>
      </w:r>
    </w:p>
    <w:p w:rsidR="00952D9E" w:rsidRPr="00B31868" w:rsidRDefault="00B31868" w:rsidP="00086C3F">
      <w:pPr>
        <w:keepNext/>
        <w:keepLines/>
        <w:bidi/>
        <w:spacing w:after="120" w:line="340" w:lineRule="exact"/>
        <w:jc w:val="center"/>
        <w:rPr>
          <w:rFonts w:ascii="Arabic Typesetting" w:hAnsi="Arabic Typesetting" w:cs="Arabic Typesetting"/>
          <w:i/>
          <w:iCs/>
          <w:color w:val="000000"/>
          <w:sz w:val="34"/>
          <w:szCs w:val="34"/>
          <w:rtl/>
          <w:lang w:bidi="ar-EG"/>
        </w:rPr>
      </w:pPr>
      <w:r w:rsidRPr="00B31868">
        <w:rPr>
          <w:rFonts w:ascii="Arabic Typesetting" w:hAnsi="Arabic Typesetting" w:cs="Arabic Typesetting"/>
          <w:i/>
          <w:iCs/>
          <w:color w:val="000000"/>
          <w:sz w:val="34"/>
          <w:szCs w:val="34"/>
          <w:rtl/>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952D9E" w:rsidRPr="00211D55" w:rsidTr="00952D9E">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952D9E" w:rsidRPr="00211D55" w:rsidRDefault="00952D9E"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52D9E" w:rsidRPr="00211D55" w:rsidRDefault="00952D9E"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52D9E" w:rsidRPr="00211D55" w:rsidRDefault="00952D9E"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52D9E" w:rsidRPr="00211D55" w:rsidRDefault="00952D9E"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952D9E"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952D9E" w:rsidRPr="00211D55">
              <w:rPr>
                <w:rFonts w:ascii="Arabic Typesetting" w:hAnsi="Arabic Typesetting" w:cs="Arabic Typesetting"/>
                <w:b/>
                <w:bCs/>
                <w:i/>
                <w:iCs/>
                <w:sz w:val="28"/>
                <w:szCs w:val="28"/>
                <w:rtl/>
              </w:rPr>
              <w:t xml:space="preserve"> (%)</w:t>
            </w:r>
          </w:p>
        </w:tc>
      </w:tr>
      <w:tr w:rsidR="00952D9E" w:rsidRPr="00211D55" w:rsidTr="00952D9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52D9E" w:rsidRPr="00211D55" w:rsidRDefault="00952D9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4,396</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4,276</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3,938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92%</w:t>
            </w:r>
          </w:p>
        </w:tc>
      </w:tr>
      <w:tr w:rsidR="00952D9E" w:rsidRPr="00211D55" w:rsidTr="00952D9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52D9E" w:rsidRPr="00211D55" w:rsidRDefault="00952D9E"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720</w:t>
            </w:r>
          </w:p>
        </w:tc>
        <w:tc>
          <w:tcPr>
            <w:tcW w:w="970" w:type="pct"/>
            <w:tcBorders>
              <w:top w:val="nil"/>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696</w:t>
            </w:r>
          </w:p>
        </w:tc>
        <w:tc>
          <w:tcPr>
            <w:tcW w:w="970" w:type="pct"/>
            <w:tcBorders>
              <w:top w:val="nil"/>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611</w:t>
            </w:r>
          </w:p>
        </w:tc>
        <w:tc>
          <w:tcPr>
            <w:tcW w:w="970" w:type="pct"/>
            <w:tcBorders>
              <w:top w:val="nil"/>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88%</w:t>
            </w:r>
          </w:p>
        </w:tc>
      </w:tr>
      <w:tr w:rsidR="00952D9E" w:rsidRPr="00211D55" w:rsidTr="00952D9E">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952D9E" w:rsidRPr="00211D55" w:rsidRDefault="00952D9E"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5,116</w:t>
            </w:r>
          </w:p>
        </w:tc>
        <w:tc>
          <w:tcPr>
            <w:tcW w:w="970" w:type="pct"/>
            <w:tcBorders>
              <w:top w:val="nil"/>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4,972</w:t>
            </w:r>
          </w:p>
        </w:tc>
        <w:tc>
          <w:tcPr>
            <w:tcW w:w="970" w:type="pct"/>
            <w:tcBorders>
              <w:top w:val="nil"/>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4,550</w:t>
            </w:r>
          </w:p>
        </w:tc>
        <w:tc>
          <w:tcPr>
            <w:tcW w:w="970" w:type="pct"/>
            <w:tcBorders>
              <w:top w:val="nil"/>
              <w:left w:val="single" w:sz="4" w:space="0" w:color="auto"/>
              <w:bottom w:val="single" w:sz="4" w:space="0" w:color="auto"/>
              <w:right w:val="single" w:sz="4" w:space="0" w:color="auto"/>
            </w:tcBorders>
            <w:shd w:val="clear" w:color="auto" w:fill="auto"/>
            <w:vAlign w:val="center"/>
          </w:tcPr>
          <w:p w:rsidR="00952D9E" w:rsidRPr="00211D55" w:rsidRDefault="00952D9E"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92%</w:t>
            </w:r>
          </w:p>
        </w:tc>
      </w:tr>
    </w:tbl>
    <w:p w:rsidR="00B31868" w:rsidRPr="00706F20" w:rsidRDefault="00952D9E" w:rsidP="00086C3F">
      <w:pPr>
        <w:keepNext/>
        <w:bidi/>
        <w:spacing w:before="240" w:after="120" w:line="340" w:lineRule="exact"/>
        <w:rPr>
          <w:rFonts w:ascii="Arabic Typesetting" w:hAnsi="Arabic Typesetting" w:cs="Arabic Typesetting"/>
          <w:sz w:val="34"/>
          <w:szCs w:val="34"/>
          <w:u w:val="single"/>
        </w:rPr>
      </w:pPr>
      <w:r w:rsidRPr="00706F20">
        <w:rPr>
          <w:rFonts w:ascii="Arabic Typesetting" w:hAnsi="Arabic Typesetting" w:cs="Arabic Typesetting" w:hint="cs"/>
          <w:sz w:val="34"/>
          <w:szCs w:val="34"/>
          <w:rtl/>
          <w:lang w:bidi="ar-EG"/>
        </w:rPr>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B31868" w:rsidRPr="00706F20" w:rsidRDefault="00FF1820" w:rsidP="009A3712">
      <w:pPr>
        <w:numPr>
          <w:ilvl w:val="0"/>
          <w:numId w:val="21"/>
        </w:numPr>
        <w:bidi/>
        <w:spacing w:after="120" w:line="340" w:lineRule="exact"/>
        <w:ind w:left="0" w:firstLine="0"/>
        <w:jc w:val="both"/>
        <w:rPr>
          <w:rFonts w:ascii="Arabic Typesetting" w:hAnsi="Arabic Typesetting" w:cs="Arabic Typesetting"/>
          <w:sz w:val="34"/>
          <w:szCs w:val="34"/>
          <w:lang w:eastAsia="ko-KR" w:bidi="ar-EG"/>
        </w:rPr>
      </w:pPr>
      <w:r w:rsidRPr="00706F20">
        <w:rPr>
          <w:rFonts w:ascii="Arabic Typesetting" w:hAnsi="Arabic Typesetting" w:cs="Arabic Typesetting" w:hint="cs"/>
          <w:color w:val="000000"/>
          <w:sz w:val="34"/>
          <w:szCs w:val="34"/>
          <w:rtl/>
          <w:lang w:bidi="ar-EG"/>
        </w:rPr>
        <w:t>تظهر</w:t>
      </w:r>
      <w:r w:rsidR="00B31868" w:rsidRPr="00706F20">
        <w:rPr>
          <w:rFonts w:ascii="Arabic Typesetting" w:hAnsi="Arabic Typesetting" w:cs="Arabic Typesetting"/>
          <w:color w:val="000000"/>
          <w:sz w:val="34"/>
          <w:szCs w:val="34"/>
          <w:rtl/>
          <w:lang w:bidi="ar-EG"/>
        </w:rPr>
        <w:t xml:space="preserve"> </w:t>
      </w:r>
      <w:r w:rsidR="00B96D17" w:rsidRPr="00706F20">
        <w:rPr>
          <w:rFonts w:ascii="Arabic Typesetting" w:hAnsi="Arabic Typesetting" w:cs="Arabic Typesetting"/>
          <w:color w:val="000000"/>
          <w:sz w:val="34"/>
          <w:szCs w:val="34"/>
          <w:rtl/>
          <w:lang w:bidi="ar-EG"/>
        </w:rPr>
        <w:t xml:space="preserve">الميزانية النهائية بعد التحويلات </w:t>
      </w:r>
      <w:r w:rsidR="00507DE2">
        <w:rPr>
          <w:rFonts w:ascii="Arabic Typesetting" w:hAnsi="Arabic Typesetting" w:cs="Arabic Typesetting"/>
          <w:color w:val="000000"/>
          <w:sz w:val="34"/>
          <w:szCs w:val="34"/>
          <w:rtl/>
          <w:lang w:bidi="ar-EG"/>
        </w:rPr>
        <w:t>2014/15</w:t>
      </w:r>
      <w:r w:rsidR="00B31868" w:rsidRPr="00706F20">
        <w:rPr>
          <w:rFonts w:ascii="Arabic Typesetting" w:hAnsi="Arabic Typesetting" w:cs="Arabic Typesetting"/>
          <w:color w:val="000000"/>
          <w:sz w:val="34"/>
          <w:szCs w:val="34"/>
          <w:rtl/>
          <w:lang w:bidi="ar-EG"/>
        </w:rPr>
        <w:t xml:space="preserve"> بعد التحويلات تسوية </w:t>
      </w:r>
      <w:proofErr w:type="spellStart"/>
      <w:r w:rsidR="00B31868" w:rsidRPr="00706F20">
        <w:rPr>
          <w:rFonts w:ascii="Arabic Typesetting" w:hAnsi="Arabic Typesetting" w:cs="Arabic Typesetting"/>
          <w:color w:val="000000"/>
          <w:sz w:val="34"/>
          <w:szCs w:val="34"/>
          <w:rtl/>
          <w:lang w:bidi="ar-EG"/>
        </w:rPr>
        <w:t>تخفيضية</w:t>
      </w:r>
      <w:proofErr w:type="spellEnd"/>
      <w:r w:rsidR="00B31868" w:rsidRPr="00706F20">
        <w:rPr>
          <w:rFonts w:ascii="Arabic Typesetting" w:hAnsi="Arabic Typesetting" w:cs="Arabic Typesetting"/>
          <w:color w:val="000000"/>
          <w:sz w:val="34"/>
          <w:szCs w:val="34"/>
          <w:rtl/>
          <w:lang w:bidi="ar-EG"/>
        </w:rPr>
        <w:t xml:space="preserve"> طفيفة من أجل زيادة الفعالية من حيث التكلفة</w:t>
      </w:r>
      <w:r w:rsidR="00B31868" w:rsidRPr="00706F20">
        <w:rPr>
          <w:rFonts w:ascii="Arabic Typesetting" w:hAnsi="Arabic Typesetting" w:cs="Arabic Typesetting"/>
          <w:color w:val="000000"/>
          <w:sz w:val="34"/>
          <w:szCs w:val="34"/>
          <w:lang w:bidi="ar-EG"/>
        </w:rPr>
        <w:t>.</w:t>
      </w:r>
    </w:p>
    <w:p w:rsidR="00B31868" w:rsidRPr="00706F20" w:rsidRDefault="00952D9E" w:rsidP="00086C3F">
      <w:pPr>
        <w:keepNext/>
        <w:bidi/>
        <w:spacing w:after="120" w:line="340" w:lineRule="exact"/>
        <w:jc w:val="both"/>
        <w:rPr>
          <w:rFonts w:ascii="Arabic Typesetting" w:hAnsi="Arabic Typesetting" w:cs="Arabic Typesetting"/>
          <w:sz w:val="34"/>
          <w:szCs w:val="34"/>
          <w:u w:val="single"/>
          <w:rtl/>
          <w:lang w:eastAsia="ko-KR"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706F20" w:rsidRDefault="00992BD3" w:rsidP="009A3712">
      <w:pPr>
        <w:numPr>
          <w:ilvl w:val="0"/>
          <w:numId w:val="21"/>
        </w:numPr>
        <w:bidi/>
        <w:spacing w:after="120" w:line="340" w:lineRule="exact"/>
        <w:ind w:left="0" w:firstLine="0"/>
        <w:jc w:val="both"/>
        <w:rPr>
          <w:rFonts w:ascii="Arabic Typesetting" w:hAnsi="Arabic Typesetting" w:cs="Arabic Typesetting"/>
          <w:sz w:val="34"/>
          <w:szCs w:val="34"/>
          <w:rtl/>
          <w:lang w:bidi="ar-EG"/>
        </w:rPr>
      </w:pPr>
      <w:r w:rsidRPr="00706F20">
        <w:rPr>
          <w:rFonts w:ascii="Arabic Typesetting" w:hAnsi="Arabic Typesetting" w:cs="Arabic Typesetting" w:hint="cs"/>
          <w:sz w:val="34"/>
          <w:szCs w:val="34"/>
          <w:rtl/>
          <w:lang w:bidi="ar-EG"/>
        </w:rPr>
        <w:t xml:space="preserve">كانت نسبة </w:t>
      </w:r>
      <w:r w:rsidR="00C45BBE">
        <w:rPr>
          <w:rFonts w:ascii="Arabic Typesetting" w:hAnsi="Arabic Typesetting" w:cs="Arabic Typesetting" w:hint="cs"/>
          <w:sz w:val="34"/>
          <w:szCs w:val="34"/>
          <w:rtl/>
          <w:lang w:bidi="ar-EG"/>
        </w:rPr>
        <w:t>استخدام مخصصات</w:t>
      </w:r>
      <w:r w:rsidRPr="00706F20">
        <w:rPr>
          <w:rFonts w:ascii="Arabic Typesetting" w:hAnsi="Arabic Typesetting" w:cs="Arabic Typesetting" w:hint="cs"/>
          <w:sz w:val="34"/>
          <w:szCs w:val="34"/>
          <w:rtl/>
          <w:lang w:bidi="ar-EG"/>
        </w:rPr>
        <w:t xml:space="preserve"> موارد الموظفين أقل بقليل من النسبة المتوقعة نظراً إلى ترك مدير شعبة الرقابة الداخلية منصبه في أواخر شهر أبريل 2015. </w:t>
      </w:r>
      <w:r w:rsidR="00460504" w:rsidRPr="00706F20">
        <w:rPr>
          <w:rFonts w:ascii="Arabic Typesetting" w:hAnsi="Arabic Typesetting" w:cs="Arabic Typesetting" w:hint="cs"/>
          <w:sz w:val="34"/>
          <w:szCs w:val="34"/>
          <w:rtl/>
          <w:lang w:bidi="ar-EG"/>
        </w:rPr>
        <w:t xml:space="preserve">ويعزى </w:t>
      </w:r>
      <w:r w:rsidR="00C45BBE">
        <w:rPr>
          <w:rFonts w:ascii="Arabic Typesetting" w:hAnsi="Arabic Typesetting" w:cs="Arabic Typesetting" w:hint="cs"/>
          <w:sz w:val="34"/>
          <w:szCs w:val="34"/>
          <w:rtl/>
          <w:lang w:bidi="ar-EG"/>
        </w:rPr>
        <w:t xml:space="preserve">استخدام </w:t>
      </w:r>
      <w:r w:rsidR="0023721A">
        <w:rPr>
          <w:rFonts w:ascii="Arabic Typesetting" w:hAnsi="Arabic Typesetting" w:cs="Arabic Typesetting" w:hint="cs"/>
          <w:sz w:val="34"/>
          <w:szCs w:val="34"/>
          <w:rtl/>
          <w:lang w:bidi="ar-EG"/>
        </w:rPr>
        <w:t>مخصصات</w:t>
      </w:r>
      <w:r w:rsidR="00460504" w:rsidRPr="00706F20">
        <w:rPr>
          <w:rFonts w:ascii="Arabic Typesetting" w:hAnsi="Arabic Typesetting" w:cs="Arabic Typesetting" w:hint="cs"/>
          <w:sz w:val="34"/>
          <w:szCs w:val="34"/>
          <w:rtl/>
          <w:lang w:bidi="ar-EG"/>
        </w:rPr>
        <w:t xml:space="preserve"> </w:t>
      </w:r>
      <w:r w:rsidR="009F5F08" w:rsidRPr="00706F20">
        <w:rPr>
          <w:rFonts w:ascii="Arabic Typesetting" w:hAnsi="Arabic Typesetting" w:cs="Arabic Typesetting" w:hint="cs"/>
          <w:sz w:val="34"/>
          <w:szCs w:val="34"/>
          <w:rtl/>
          <w:lang w:bidi="ar-EG"/>
        </w:rPr>
        <w:t>خلاف موارد الموظفين</w:t>
      </w:r>
      <w:r w:rsidR="0023721A">
        <w:rPr>
          <w:rFonts w:ascii="Arabic Typesetting" w:hAnsi="Arabic Typesetting" w:cs="Arabic Typesetting" w:hint="cs"/>
          <w:sz w:val="34"/>
          <w:szCs w:val="34"/>
          <w:rtl/>
          <w:lang w:bidi="ar-EG"/>
        </w:rPr>
        <w:t xml:space="preserve"> إلى</w:t>
      </w:r>
      <w:r w:rsidR="00460504" w:rsidRPr="00706F20">
        <w:rPr>
          <w:rFonts w:ascii="Arabic Typesetting" w:hAnsi="Arabic Typesetting" w:cs="Arabic Typesetting" w:hint="cs"/>
          <w:sz w:val="34"/>
          <w:szCs w:val="34"/>
          <w:rtl/>
          <w:lang w:bidi="ar-EG"/>
        </w:rPr>
        <w:t xml:space="preserve"> إرجاء</w:t>
      </w:r>
      <w:r w:rsidRPr="00706F20">
        <w:rPr>
          <w:rFonts w:ascii="Arabic Typesetting" w:hAnsi="Arabic Typesetting" w:cs="Arabic Typesetting" w:hint="cs"/>
          <w:sz w:val="34"/>
          <w:szCs w:val="34"/>
          <w:rtl/>
          <w:lang w:bidi="ar-EG"/>
        </w:rPr>
        <w:t xml:space="preserve"> تسديد تحقيق كبير أجراه طرف ثالث إلى عام 2016 عوضاً عن عام 2015 كما كان متوقعاً.</w:t>
      </w:r>
    </w:p>
    <w:p w:rsidR="00B31868" w:rsidRPr="00385CA0" w:rsidRDefault="00B31868" w:rsidP="00285760">
      <w:pPr>
        <w:pStyle w:val="Heading3AR"/>
        <w:spacing w:after="120"/>
      </w:pPr>
      <w:bookmarkStart w:id="132" w:name="_Toc392610062"/>
      <w:bookmarkStart w:id="133" w:name="_Toc393807109"/>
      <w:bookmarkStart w:id="134" w:name="_Toc393807235"/>
      <w:bookmarkStart w:id="135" w:name="_Toc393807984"/>
      <w:bookmarkStart w:id="136" w:name="_Toc393817963"/>
      <w:bookmarkStart w:id="137" w:name="_Toc450635434"/>
      <w:bookmarkStart w:id="138" w:name="_Toc455393403"/>
      <w:r w:rsidRPr="00385CA0">
        <w:rPr>
          <w:rtl/>
        </w:rPr>
        <w:lastRenderedPageBreak/>
        <w:t xml:space="preserve">البرنامج </w:t>
      </w:r>
      <w:r w:rsidR="00385CA0" w:rsidRPr="00385CA0">
        <w:rPr>
          <w:rFonts w:hint="cs"/>
          <w:rtl/>
        </w:rPr>
        <w:t>27</w:t>
      </w:r>
      <w:r w:rsidRPr="00385CA0">
        <w:rPr>
          <w:rtl/>
        </w:rPr>
        <w:t>:</w:t>
      </w:r>
      <w:r w:rsidR="00A214AF">
        <w:rPr>
          <w:rtl/>
        </w:rPr>
        <w:tab/>
      </w:r>
      <w:r w:rsidRPr="00385CA0">
        <w:rPr>
          <w:rtl/>
        </w:rPr>
        <w:t>خدمات المؤتمرات واللغات</w:t>
      </w:r>
      <w:bookmarkEnd w:id="132"/>
      <w:bookmarkEnd w:id="133"/>
      <w:bookmarkEnd w:id="134"/>
      <w:bookmarkEnd w:id="135"/>
      <w:bookmarkEnd w:id="136"/>
      <w:bookmarkEnd w:id="137"/>
      <w:bookmarkEnd w:id="138"/>
    </w:p>
    <w:p w:rsidR="00B31868" w:rsidRDefault="00B31868" w:rsidP="00285760">
      <w:pPr>
        <w:keepNext/>
        <w:bidi/>
        <w:spacing w:after="240" w:line="340" w:lineRule="exact"/>
        <w:ind w:left="1984" w:hanging="1984"/>
        <w:rPr>
          <w:rFonts w:ascii="Arabic Typesetting" w:hAnsi="Arabic Typesetting" w:cs="Arabic Typesetting"/>
          <w:b/>
          <w:bCs/>
          <w:sz w:val="36"/>
          <w:szCs w:val="36"/>
          <w:rtl/>
          <w:lang w:val="fr-CH"/>
        </w:rPr>
      </w:pPr>
      <w:r w:rsidRPr="009A48D1">
        <w:rPr>
          <w:rFonts w:ascii="Arabic Typesetting" w:hAnsi="Arabic Typesetting" w:cs="Arabic Typesetting"/>
          <w:b/>
          <w:bCs/>
          <w:sz w:val="36"/>
          <w:szCs w:val="36"/>
          <w:rtl/>
          <w:lang w:val="fr-CH"/>
        </w:rPr>
        <w:t>المسؤول عن البرنامج:</w:t>
      </w:r>
      <w:r w:rsidR="00A214AF" w:rsidRPr="009A48D1">
        <w:rPr>
          <w:rFonts w:ascii="Arabic Typesetting" w:hAnsi="Arabic Typesetting" w:cs="Arabic Typesetting"/>
          <w:b/>
          <w:bCs/>
          <w:sz w:val="36"/>
          <w:szCs w:val="36"/>
          <w:rtl/>
          <w:lang w:val="fr-CH"/>
        </w:rPr>
        <w:tab/>
      </w:r>
      <w:r w:rsidRPr="009A48D1">
        <w:rPr>
          <w:rFonts w:ascii="Arabic Typesetting" w:hAnsi="Arabic Typesetting" w:cs="Arabic Typesetting"/>
          <w:b/>
          <w:bCs/>
          <w:sz w:val="36"/>
          <w:szCs w:val="36"/>
          <w:rtl/>
          <w:lang w:val="fr-CH"/>
        </w:rPr>
        <w:t xml:space="preserve">السيد </w:t>
      </w:r>
      <w:proofErr w:type="spellStart"/>
      <w:r w:rsidR="009A48D1">
        <w:rPr>
          <w:rFonts w:ascii="Arabic Typesetting" w:hAnsi="Arabic Typesetting" w:cs="Arabic Typesetting" w:hint="cs"/>
          <w:b/>
          <w:bCs/>
          <w:sz w:val="36"/>
          <w:szCs w:val="36"/>
          <w:rtl/>
          <w:lang w:val="fr-CH"/>
        </w:rPr>
        <w:t>أمبي</w:t>
      </w:r>
      <w:proofErr w:type="spellEnd"/>
      <w:r w:rsidRPr="009A48D1">
        <w:rPr>
          <w:rFonts w:ascii="Arabic Typesetting" w:hAnsi="Arabic Typesetting" w:cs="Arabic Typesetting"/>
          <w:b/>
          <w:bCs/>
          <w:sz w:val="36"/>
          <w:szCs w:val="36"/>
          <w:rtl/>
          <w:lang w:val="fr-CH"/>
        </w:rPr>
        <w:t xml:space="preserve"> </w:t>
      </w:r>
      <w:proofErr w:type="spellStart"/>
      <w:r w:rsidRPr="009A48D1">
        <w:rPr>
          <w:rFonts w:ascii="Arabic Typesetting" w:hAnsi="Arabic Typesetting" w:cs="Arabic Typesetting"/>
          <w:b/>
          <w:bCs/>
          <w:sz w:val="36"/>
          <w:szCs w:val="36"/>
          <w:rtl/>
          <w:lang w:val="fr-CH"/>
        </w:rPr>
        <w:t>سوندارام</w:t>
      </w:r>
      <w:proofErr w:type="spellEnd"/>
    </w:p>
    <w:p w:rsidR="00086C3F" w:rsidRDefault="00086C3F" w:rsidP="00285760">
      <w:pPr>
        <w:keepNext/>
        <w:bidi/>
        <w:spacing w:after="240" w:line="340" w:lineRule="exact"/>
        <w:rPr>
          <w:rFonts w:ascii="Arabic Typesetting" w:hAnsi="Arabic Typesetting" w:cs="Arabic Typesetting"/>
          <w:b/>
          <w:bCs/>
          <w:sz w:val="36"/>
          <w:szCs w:val="36"/>
          <w:rtl/>
          <w:lang w:val="fr-CH"/>
        </w:rPr>
      </w:pPr>
      <w:r>
        <w:rPr>
          <w:rFonts w:ascii="Arabic Typesetting" w:hAnsi="Arabic Typesetting" w:cs="Arabic Typesetting" w:hint="cs"/>
          <w:sz w:val="36"/>
          <w:szCs w:val="36"/>
          <w:rtl/>
          <w:lang w:val="fr-CH"/>
        </w:rPr>
        <w:t>الإنجازات المحققة خلال</w:t>
      </w:r>
      <w:r w:rsidRPr="00FE3908">
        <w:rPr>
          <w:rFonts w:ascii="Arabic Typesetting" w:hAnsi="Arabic Typesetting" w:cs="Arabic Typesetting" w:hint="cs"/>
          <w:sz w:val="36"/>
          <w:szCs w:val="36"/>
          <w:rtl/>
          <w:lang w:val="fr-CH"/>
        </w:rPr>
        <w:t xml:space="preserve"> </w:t>
      </w:r>
      <w:r>
        <w:rPr>
          <w:rFonts w:ascii="Arabic Typesetting" w:hAnsi="Arabic Typesetting" w:cs="Arabic Typesetting" w:hint="cs"/>
          <w:sz w:val="36"/>
          <w:szCs w:val="36"/>
          <w:rtl/>
          <w:lang w:val="fr-CH"/>
        </w:rPr>
        <w:t xml:space="preserve">الثنائية </w:t>
      </w:r>
      <w:r w:rsidR="00507DE2">
        <w:rPr>
          <w:rFonts w:ascii="Arabic Typesetting" w:hAnsi="Arabic Typesetting" w:cs="Arabic Typesetting" w:hint="cs"/>
          <w:sz w:val="36"/>
          <w:szCs w:val="36"/>
          <w:rtl/>
          <w:lang w:val="fr-CH"/>
        </w:rPr>
        <w:t>2014/15</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eastAsia="Batang" w:hAnsi="Arabic Typesetting" w:cs="Arabic Typesetting"/>
          <w:color w:val="000000"/>
          <w:sz w:val="34"/>
          <w:szCs w:val="34"/>
          <w:lang w:eastAsia="ja-JP" w:bidi="ar-EG"/>
        </w:rPr>
      </w:pPr>
      <w:r w:rsidRPr="001827C1">
        <w:rPr>
          <w:rFonts w:ascii="Arabic Typesetting" w:eastAsia="Arial" w:hAnsi="Arabic Typesetting" w:cs="Arabic Typesetting" w:hint="cs"/>
          <w:color w:val="000000"/>
          <w:sz w:val="34"/>
          <w:szCs w:val="34"/>
          <w:rtl/>
          <w:lang w:bidi="ar-EG"/>
        </w:rPr>
        <w:t>خلال الثنائية واصلت الأمانة تنفيذ سياسة الويبو للغات تنفيذا فعالا عن طريق تمديد التغطية باللغات الست لتشمل الأفرقة العاملة بانتهاج مقاربة مرحلية وفعالة من حيث التكاليف. وطبقا للجدول الزمني الذي حدّدته الدول الأعضاء، مُدّدت التغطية في الثنائية</w:t>
      </w:r>
      <w:r w:rsidRPr="001827C1">
        <w:rPr>
          <w:rFonts w:ascii="Arabic Typesetting" w:eastAsia="Arial" w:hAnsi="Arabic Typesetting" w:cs="Arabic Typesetting" w:hint="eastAsia"/>
          <w:color w:val="000000"/>
          <w:sz w:val="34"/>
          <w:szCs w:val="34"/>
          <w:rtl/>
          <w:lang w:bidi="ar-EG"/>
        </w:rPr>
        <w:t> </w:t>
      </w:r>
      <w:r w:rsidRPr="001827C1">
        <w:rPr>
          <w:rFonts w:ascii="Arabic Typesetting" w:eastAsia="Arial" w:hAnsi="Arabic Typesetting" w:cs="Arabic Typesetting" w:hint="cs"/>
          <w:color w:val="000000"/>
          <w:sz w:val="34"/>
          <w:szCs w:val="34"/>
          <w:rtl/>
          <w:lang w:bidi="ar-EG"/>
        </w:rPr>
        <w:t>2014/15 لتشمل ما يلي: "1" الفريق العامل لمعاهدة التعاون بشأن البراءات؛ "2" و</w:t>
      </w:r>
      <w:r w:rsidRPr="001827C1">
        <w:rPr>
          <w:rFonts w:ascii="Arabic Typesetting" w:eastAsia="Arial" w:hAnsi="Arabic Typesetting" w:cs="Arabic Typesetting"/>
          <w:color w:val="000000"/>
          <w:sz w:val="34"/>
          <w:szCs w:val="34"/>
          <w:rtl/>
          <w:lang w:bidi="ar-EG"/>
        </w:rPr>
        <w:t xml:space="preserve">الفريق العامل المعني بالتطوير القانوني لنظام لاهاي </w:t>
      </w:r>
      <w:r w:rsidRPr="001827C1">
        <w:rPr>
          <w:rFonts w:ascii="Arabic Typesetting" w:eastAsia="Arial" w:hAnsi="Arabic Typesetting" w:cs="Arabic Typesetting" w:hint="cs"/>
          <w:color w:val="000000"/>
          <w:sz w:val="34"/>
          <w:szCs w:val="34"/>
          <w:rtl/>
          <w:lang w:bidi="ar-EG"/>
        </w:rPr>
        <w:t>بشأن ال</w:t>
      </w:r>
      <w:r w:rsidRPr="001827C1">
        <w:rPr>
          <w:rFonts w:ascii="Arabic Typesetting" w:eastAsia="Arial" w:hAnsi="Arabic Typesetting" w:cs="Arabic Typesetting"/>
          <w:color w:val="000000"/>
          <w:sz w:val="34"/>
          <w:szCs w:val="34"/>
          <w:rtl/>
          <w:lang w:bidi="ar-EG"/>
        </w:rPr>
        <w:t>تسجيل الدولي للتصاميم الصناعية</w:t>
      </w:r>
      <w:r w:rsidRPr="001827C1">
        <w:rPr>
          <w:rFonts w:ascii="Arabic Typesetting" w:eastAsia="Arial" w:hAnsi="Arabic Typesetting" w:cs="Arabic Typesetting" w:hint="cs"/>
          <w:color w:val="000000"/>
          <w:sz w:val="34"/>
          <w:szCs w:val="34"/>
          <w:rtl/>
          <w:lang w:bidi="ar-EG"/>
        </w:rPr>
        <w:t>؛ "3" والفريق العامل المعني بالتطوير القانوني لنظام مدريد بشأن التسجيل الدولي للعلامات؛ "4" والفريق العامل المعني بمراجعة التصنيف الدولي للبراءات.</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eastAsia="Batang" w:hAnsi="Arabic Typesetting" w:cs="Arabic Typesetting"/>
          <w:color w:val="000000"/>
          <w:sz w:val="34"/>
          <w:szCs w:val="34"/>
          <w:lang w:eastAsia="ja-JP" w:bidi="ar-EG"/>
        </w:rPr>
      </w:pPr>
      <w:r w:rsidRPr="001827C1">
        <w:rPr>
          <w:rFonts w:ascii="Arabic Typesetting" w:eastAsia="Batang" w:hAnsi="Arabic Typesetting" w:cs="Arabic Typesetting" w:hint="cs"/>
          <w:color w:val="000000"/>
          <w:sz w:val="34"/>
          <w:szCs w:val="34"/>
          <w:rtl/>
          <w:lang w:eastAsia="ja-JP" w:bidi="ar-EG"/>
        </w:rPr>
        <w:t>وظلّت خدمات اللغات تعتمد بدرجة كبيرة على إسناد خدمات الترجمة إلى جهات خارجية في الثنائية 2014/15، بحيث أسنِد ما نسبته 59</w:t>
      </w:r>
      <w:r>
        <w:rPr>
          <w:rFonts w:ascii="Arabic Typesetting" w:eastAsia="Batang" w:hAnsi="Arabic Typesetting" w:cs="Arabic Typesetting" w:hint="cs"/>
          <w:color w:val="000000"/>
          <w:sz w:val="34"/>
          <w:szCs w:val="34"/>
          <w:rtl/>
          <w:lang w:eastAsia="ja-JP" w:bidi="ar-EG"/>
        </w:rPr>
        <w:t xml:space="preserve"> بالمئة</w:t>
      </w:r>
      <w:r w:rsidRPr="001827C1">
        <w:rPr>
          <w:rFonts w:ascii="Arabic Typesetting" w:eastAsia="Batang" w:hAnsi="Arabic Typesetting" w:cs="Arabic Typesetting" w:hint="cs"/>
          <w:color w:val="000000"/>
          <w:sz w:val="34"/>
          <w:szCs w:val="34"/>
          <w:rtl/>
          <w:lang w:eastAsia="ja-JP" w:bidi="ar-EG"/>
        </w:rPr>
        <w:t xml:space="preserve"> و54</w:t>
      </w:r>
      <w:r>
        <w:rPr>
          <w:rFonts w:ascii="Arabic Typesetting" w:eastAsia="Batang" w:hAnsi="Arabic Typesetting" w:cs="Arabic Typesetting" w:hint="cs"/>
          <w:color w:val="000000"/>
          <w:sz w:val="34"/>
          <w:szCs w:val="34"/>
          <w:rtl/>
          <w:lang w:eastAsia="ja-JP" w:bidi="ar-EG"/>
        </w:rPr>
        <w:t xml:space="preserve"> بالمئة</w:t>
      </w:r>
      <w:r w:rsidRPr="001827C1">
        <w:rPr>
          <w:rFonts w:ascii="Arabic Typesetting" w:eastAsia="Batang" w:hAnsi="Arabic Typesetting" w:cs="Arabic Typesetting" w:hint="cs"/>
          <w:color w:val="000000"/>
          <w:sz w:val="34"/>
          <w:szCs w:val="34"/>
          <w:rtl/>
          <w:lang w:eastAsia="ja-JP" w:bidi="ar-EG"/>
        </w:rPr>
        <w:t xml:space="preserve"> من عبء العمل إلى مترجمين فرديين ومترجمين يعملون في مؤسسات في عامي 2014 و 2015 على التوالي، مقابل 56</w:t>
      </w:r>
      <w:r>
        <w:rPr>
          <w:rFonts w:ascii="Arabic Typesetting" w:eastAsia="Batang" w:hAnsi="Arabic Typesetting" w:cs="Arabic Typesetting" w:hint="cs"/>
          <w:color w:val="000000"/>
          <w:sz w:val="34"/>
          <w:szCs w:val="34"/>
          <w:rtl/>
          <w:lang w:eastAsia="ja-JP" w:bidi="ar-EG"/>
        </w:rPr>
        <w:t xml:space="preserve"> بالمئة</w:t>
      </w:r>
      <w:r w:rsidRPr="001827C1">
        <w:rPr>
          <w:rFonts w:ascii="Arabic Typesetting" w:eastAsia="Batang" w:hAnsi="Arabic Typesetting" w:cs="Arabic Typesetting" w:hint="cs"/>
          <w:color w:val="000000"/>
          <w:sz w:val="34"/>
          <w:szCs w:val="34"/>
          <w:rtl/>
          <w:lang w:eastAsia="ja-JP" w:bidi="ar-EG"/>
        </w:rPr>
        <w:t xml:space="preserve"> في عام 2013. </w:t>
      </w:r>
      <w:r>
        <w:rPr>
          <w:rFonts w:ascii="Arabic Typesetting" w:eastAsia="Batang" w:hAnsi="Arabic Typesetting" w:cs="Arabic Typesetting" w:hint="cs"/>
          <w:color w:val="000000"/>
          <w:sz w:val="34"/>
          <w:szCs w:val="34"/>
          <w:rtl/>
          <w:lang w:eastAsia="ja-JP" w:bidi="ar-EG"/>
        </w:rPr>
        <w:t>وحرصا على</w:t>
      </w:r>
      <w:r w:rsidRPr="001827C1">
        <w:rPr>
          <w:rFonts w:ascii="Arabic Typesetting" w:eastAsia="Batang" w:hAnsi="Arabic Typesetting" w:cs="Arabic Typesetting" w:hint="cs"/>
          <w:color w:val="000000"/>
          <w:sz w:val="34"/>
          <w:szCs w:val="34"/>
          <w:rtl/>
          <w:lang w:eastAsia="ja-JP" w:bidi="ar-EG"/>
        </w:rPr>
        <w:t xml:space="preserve"> ضمان جودة الترجمة، تواصل تعزيز تدابير مراقبة الجودة بمساعدة الفريق الداخلي الرئيسي للمترجمين والمراجعين. وأعِدت تدابير وأساليب عمل جديدة وعمِمت على جميع اللغات.</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eastAsia="Batang" w:hAnsi="Arabic Typesetting" w:cs="Arabic Typesetting"/>
          <w:color w:val="000000"/>
          <w:sz w:val="34"/>
          <w:szCs w:val="34"/>
          <w:lang w:eastAsia="ja-JP" w:bidi="ar-EG"/>
        </w:rPr>
      </w:pPr>
      <w:r w:rsidRPr="001827C1">
        <w:rPr>
          <w:rFonts w:ascii="Arabic Typesetting" w:eastAsia="Batang" w:hAnsi="Arabic Typesetting" w:cs="Arabic Typesetting" w:hint="cs"/>
          <w:color w:val="000000"/>
          <w:sz w:val="34"/>
          <w:szCs w:val="34"/>
          <w:rtl/>
          <w:lang w:eastAsia="ja-JP" w:bidi="ar-EG"/>
        </w:rPr>
        <w:t>وفضلا عن ذلك تواصل، في الثنائية 2014/15، تعزيز إجراءات مراقبة جودة الترجمة، بما في ذلك مفهوم "</w:t>
      </w:r>
      <w:r w:rsidRPr="001827C1">
        <w:rPr>
          <w:rFonts w:ascii="Arabic Typesetting" w:eastAsia="Batang" w:hAnsi="Arabic Typesetting" w:cs="Arabic Typesetting"/>
          <w:color w:val="000000"/>
          <w:sz w:val="34"/>
          <w:szCs w:val="34"/>
          <w:rtl/>
          <w:lang w:eastAsia="ja-JP" w:bidi="ar-EG"/>
        </w:rPr>
        <w:t xml:space="preserve">الجودة </w:t>
      </w:r>
      <w:r w:rsidR="00772342">
        <w:rPr>
          <w:rFonts w:ascii="Arabic Typesetting" w:eastAsia="Batang" w:hAnsi="Arabic Typesetting" w:cs="Arabic Typesetting" w:hint="cs"/>
          <w:color w:val="000000"/>
          <w:sz w:val="34"/>
          <w:szCs w:val="34"/>
          <w:rtl/>
          <w:lang w:eastAsia="ja-JP" w:bidi="ar-EG"/>
        </w:rPr>
        <w:t>من المنبع</w:t>
      </w:r>
      <w:r w:rsidRPr="001827C1">
        <w:rPr>
          <w:rFonts w:ascii="Arabic Typesetting" w:eastAsia="Batang" w:hAnsi="Arabic Typesetting" w:cs="Arabic Typesetting" w:hint="cs"/>
          <w:color w:val="000000"/>
          <w:sz w:val="34"/>
          <w:szCs w:val="34"/>
          <w:rtl/>
          <w:lang w:eastAsia="ja-JP" w:bidi="ar-EG"/>
        </w:rPr>
        <w:t xml:space="preserve">"، عن طريق مراجعة العلاقات التعاقدية مع المترجمين الخارجيين عموما. </w:t>
      </w:r>
      <w:r w:rsidR="00772342">
        <w:rPr>
          <w:rFonts w:ascii="Arabic Typesetting" w:eastAsia="Batang" w:hAnsi="Arabic Typesetting" w:cs="Arabic Typesetting" w:hint="cs"/>
          <w:color w:val="000000"/>
          <w:sz w:val="34"/>
          <w:szCs w:val="34"/>
          <w:rtl/>
          <w:lang w:eastAsia="ja-JP" w:bidi="ar-EG"/>
        </w:rPr>
        <w:t>ولم يُحتفظ</w:t>
      </w:r>
      <w:r w:rsidRPr="001827C1">
        <w:rPr>
          <w:rFonts w:ascii="Arabic Typesetting" w:eastAsia="Batang" w:hAnsi="Arabic Typesetting" w:cs="Arabic Typesetting" w:hint="cs"/>
          <w:color w:val="000000"/>
          <w:sz w:val="34"/>
          <w:szCs w:val="34"/>
          <w:rtl/>
          <w:lang w:eastAsia="ja-JP" w:bidi="ar-EG"/>
        </w:rPr>
        <w:t xml:space="preserve"> سوى </w:t>
      </w:r>
      <w:r w:rsidR="00772342">
        <w:rPr>
          <w:rFonts w:ascii="Arabic Typesetting" w:eastAsia="Batang" w:hAnsi="Arabic Typesetting" w:cs="Arabic Typesetting" w:hint="cs"/>
          <w:color w:val="000000"/>
          <w:sz w:val="34"/>
          <w:szCs w:val="34"/>
          <w:rtl/>
          <w:lang w:eastAsia="ja-JP" w:bidi="ar-EG"/>
        </w:rPr>
        <w:t>ب</w:t>
      </w:r>
      <w:r w:rsidRPr="001827C1">
        <w:rPr>
          <w:rFonts w:ascii="Arabic Typesetting" w:eastAsia="Batang" w:hAnsi="Arabic Typesetting" w:cs="Arabic Typesetting" w:hint="cs"/>
          <w:color w:val="000000"/>
          <w:sz w:val="34"/>
          <w:szCs w:val="34"/>
          <w:rtl/>
          <w:lang w:eastAsia="ja-JP" w:bidi="ar-EG"/>
        </w:rPr>
        <w:t>المترجمين الذين يستوفون المعايير المحدّدة</w:t>
      </w:r>
      <w:r w:rsidR="00772342">
        <w:rPr>
          <w:rFonts w:ascii="Arabic Typesetting" w:eastAsia="Batang" w:hAnsi="Arabic Typesetting" w:cs="Arabic Typesetting" w:hint="cs"/>
          <w:color w:val="000000"/>
          <w:sz w:val="34"/>
          <w:szCs w:val="34"/>
          <w:rtl/>
          <w:lang w:eastAsia="ja-JP" w:bidi="ar-EG"/>
        </w:rPr>
        <w:t xml:space="preserve">، ويرتهن التعاقد </w:t>
      </w:r>
      <w:r w:rsidRPr="001827C1">
        <w:rPr>
          <w:rFonts w:ascii="Arabic Typesetting" w:eastAsia="Batang" w:hAnsi="Arabic Typesetting" w:cs="Arabic Typesetting" w:hint="cs"/>
          <w:color w:val="000000"/>
          <w:sz w:val="34"/>
          <w:szCs w:val="34"/>
          <w:rtl/>
          <w:lang w:eastAsia="ja-JP" w:bidi="ar-EG"/>
        </w:rPr>
        <w:t xml:space="preserve">مع مترجمين فرديين جدد </w:t>
      </w:r>
      <w:r w:rsidR="00772342">
        <w:rPr>
          <w:rFonts w:ascii="Arabic Typesetting" w:eastAsia="Batang" w:hAnsi="Arabic Typesetting" w:cs="Arabic Typesetting" w:hint="cs"/>
          <w:color w:val="000000"/>
          <w:sz w:val="34"/>
          <w:szCs w:val="34"/>
          <w:rtl/>
          <w:lang w:eastAsia="ja-JP" w:bidi="ar-EG"/>
        </w:rPr>
        <w:t>ب</w:t>
      </w:r>
      <w:r w:rsidRPr="001827C1">
        <w:rPr>
          <w:rFonts w:ascii="Arabic Typesetting" w:eastAsia="Batang" w:hAnsi="Arabic Typesetting" w:cs="Arabic Typesetting" w:hint="cs"/>
          <w:color w:val="000000"/>
          <w:sz w:val="34"/>
          <w:szCs w:val="34"/>
          <w:rtl/>
          <w:lang w:eastAsia="ja-JP" w:bidi="ar-EG"/>
        </w:rPr>
        <w:t xml:space="preserve">خضوعهم لعلمية اختبار مكثّفة. وإضافة إلى ذلك، اعتمدت أنظمة للربط بين الأجور المدفوعة </w:t>
      </w:r>
      <w:r w:rsidR="00C32761">
        <w:rPr>
          <w:rFonts w:ascii="Arabic Typesetting" w:eastAsia="Batang" w:hAnsi="Arabic Typesetting" w:cs="Arabic Typesetting" w:hint="cs"/>
          <w:color w:val="000000"/>
          <w:sz w:val="34"/>
          <w:szCs w:val="34"/>
          <w:rtl/>
          <w:lang w:eastAsia="ja-JP" w:bidi="ar-EG"/>
        </w:rPr>
        <w:t>وجودة</w:t>
      </w:r>
      <w:r w:rsidRPr="001827C1">
        <w:rPr>
          <w:rFonts w:ascii="Arabic Typesetting" w:eastAsia="Batang" w:hAnsi="Arabic Typesetting" w:cs="Arabic Typesetting" w:hint="cs"/>
          <w:color w:val="000000"/>
          <w:sz w:val="34"/>
          <w:szCs w:val="34"/>
          <w:rtl/>
          <w:lang w:eastAsia="ja-JP" w:bidi="ar-EG"/>
        </w:rPr>
        <w:t xml:space="preserve"> </w:t>
      </w:r>
      <w:r w:rsidR="00C32761">
        <w:rPr>
          <w:rFonts w:ascii="Arabic Typesetting" w:eastAsia="Batang" w:hAnsi="Arabic Typesetting" w:cs="Arabic Typesetting" w:hint="cs"/>
          <w:color w:val="000000"/>
          <w:sz w:val="34"/>
          <w:szCs w:val="34"/>
          <w:rtl/>
          <w:lang w:eastAsia="ja-JP" w:bidi="ar-EG"/>
        </w:rPr>
        <w:t>الترجمة الخارجية</w:t>
      </w:r>
      <w:r w:rsidRPr="001827C1">
        <w:rPr>
          <w:rFonts w:ascii="Arabic Typesetting" w:eastAsia="Batang" w:hAnsi="Arabic Typesetting" w:cs="Arabic Typesetting" w:hint="cs"/>
          <w:color w:val="000000"/>
          <w:sz w:val="34"/>
          <w:szCs w:val="34"/>
          <w:rtl/>
          <w:lang w:eastAsia="ja-JP" w:bidi="ar-EG"/>
        </w:rPr>
        <w:t xml:space="preserve"> </w:t>
      </w:r>
      <w:r w:rsidR="00C32761">
        <w:rPr>
          <w:rFonts w:ascii="Arabic Typesetting" w:eastAsia="Batang" w:hAnsi="Arabic Typesetting" w:cs="Arabic Typesetting" w:hint="cs"/>
          <w:color w:val="000000"/>
          <w:sz w:val="34"/>
          <w:szCs w:val="34"/>
          <w:rtl/>
          <w:lang w:eastAsia="ja-JP" w:bidi="ar-EG"/>
        </w:rPr>
        <w:t>وتسليمها</w:t>
      </w:r>
      <w:r w:rsidRPr="001827C1">
        <w:rPr>
          <w:rFonts w:ascii="Arabic Typesetting" w:eastAsia="Batang" w:hAnsi="Arabic Typesetting" w:cs="Arabic Typesetting" w:hint="cs"/>
          <w:color w:val="000000"/>
          <w:sz w:val="34"/>
          <w:szCs w:val="34"/>
          <w:rtl/>
          <w:lang w:eastAsia="ja-JP" w:bidi="ar-EG"/>
        </w:rPr>
        <w:t xml:space="preserve"> الوقت المناسب. ونتيجة لذلك، ارتفعت نسبة الترجمة الخاضعة لتدقيق من حيث الجودة من أقلّ من 10</w:t>
      </w:r>
      <w:r w:rsidR="00C32761">
        <w:rPr>
          <w:rFonts w:ascii="Arabic Typesetting" w:eastAsia="Batang" w:hAnsi="Arabic Typesetting" w:cs="Arabic Typesetting" w:hint="cs"/>
          <w:color w:val="000000"/>
          <w:sz w:val="34"/>
          <w:szCs w:val="34"/>
          <w:rtl/>
          <w:lang w:eastAsia="ja-JP" w:bidi="ar-EG"/>
        </w:rPr>
        <w:t xml:space="preserve"> بالمئة</w:t>
      </w:r>
      <w:r w:rsidR="00C32761" w:rsidRPr="001827C1">
        <w:rPr>
          <w:rFonts w:ascii="Arabic Typesetting" w:eastAsia="Batang" w:hAnsi="Arabic Typesetting" w:cs="Arabic Typesetting" w:hint="cs"/>
          <w:color w:val="000000"/>
          <w:sz w:val="34"/>
          <w:szCs w:val="34"/>
          <w:rtl/>
          <w:lang w:eastAsia="ja-JP" w:bidi="ar-EG"/>
        </w:rPr>
        <w:t xml:space="preserve"> </w:t>
      </w:r>
      <w:r w:rsidRPr="001827C1">
        <w:rPr>
          <w:rFonts w:ascii="Arabic Typesetting" w:eastAsia="Batang" w:hAnsi="Arabic Typesetting" w:cs="Arabic Typesetting" w:hint="cs"/>
          <w:color w:val="000000"/>
          <w:sz w:val="34"/>
          <w:szCs w:val="34"/>
          <w:rtl/>
          <w:lang w:eastAsia="ja-JP" w:bidi="ar-EG"/>
        </w:rPr>
        <w:t>قبل تنفيذ سياسة اللغات (نهاية عام 2011) إلى 39</w:t>
      </w:r>
      <w:r w:rsidR="00C32761">
        <w:rPr>
          <w:rFonts w:ascii="Arabic Typesetting" w:eastAsia="Batang" w:hAnsi="Arabic Typesetting" w:cs="Arabic Typesetting" w:hint="cs"/>
          <w:color w:val="000000"/>
          <w:sz w:val="34"/>
          <w:szCs w:val="34"/>
          <w:rtl/>
          <w:lang w:eastAsia="ja-JP" w:bidi="ar-EG"/>
        </w:rPr>
        <w:t xml:space="preserve"> بالمئة</w:t>
      </w:r>
      <w:r w:rsidR="00C32761" w:rsidRPr="001827C1">
        <w:rPr>
          <w:rFonts w:ascii="Arabic Typesetting" w:eastAsia="Batang" w:hAnsi="Arabic Typesetting" w:cs="Arabic Typesetting" w:hint="cs"/>
          <w:color w:val="000000"/>
          <w:sz w:val="34"/>
          <w:szCs w:val="34"/>
          <w:rtl/>
          <w:lang w:eastAsia="ja-JP" w:bidi="ar-EG"/>
        </w:rPr>
        <w:t xml:space="preserve"> </w:t>
      </w:r>
      <w:r w:rsidRPr="001827C1">
        <w:rPr>
          <w:rFonts w:ascii="Arabic Typesetting" w:eastAsia="Batang" w:hAnsi="Arabic Typesetting" w:cs="Arabic Typesetting" w:hint="cs"/>
          <w:color w:val="000000"/>
          <w:sz w:val="34"/>
          <w:szCs w:val="34"/>
          <w:rtl/>
          <w:lang w:eastAsia="ja-JP" w:bidi="ar-EG"/>
        </w:rPr>
        <w:t>في عام 2014 و60</w:t>
      </w:r>
      <w:r w:rsidR="00C32761">
        <w:rPr>
          <w:rFonts w:ascii="Arabic Typesetting" w:eastAsia="Batang" w:hAnsi="Arabic Typesetting" w:cs="Arabic Typesetting" w:hint="cs"/>
          <w:color w:val="000000"/>
          <w:sz w:val="34"/>
          <w:szCs w:val="34"/>
          <w:rtl/>
          <w:lang w:eastAsia="ja-JP" w:bidi="ar-EG"/>
        </w:rPr>
        <w:t xml:space="preserve"> بالمئة</w:t>
      </w:r>
      <w:r w:rsidR="00C32761" w:rsidRPr="001827C1">
        <w:rPr>
          <w:rFonts w:ascii="Arabic Typesetting" w:eastAsia="Batang" w:hAnsi="Arabic Typesetting" w:cs="Arabic Typesetting" w:hint="cs"/>
          <w:color w:val="000000"/>
          <w:sz w:val="34"/>
          <w:szCs w:val="34"/>
          <w:rtl/>
          <w:lang w:eastAsia="ja-JP" w:bidi="ar-EG"/>
        </w:rPr>
        <w:t xml:space="preserve"> </w:t>
      </w:r>
      <w:r w:rsidRPr="001827C1">
        <w:rPr>
          <w:rFonts w:ascii="Arabic Typesetting" w:eastAsia="Batang" w:hAnsi="Arabic Typesetting" w:cs="Arabic Typesetting" w:hint="cs"/>
          <w:color w:val="000000"/>
          <w:sz w:val="34"/>
          <w:szCs w:val="34"/>
          <w:rtl/>
          <w:lang w:eastAsia="ja-JP" w:bidi="ar-EG"/>
        </w:rPr>
        <w:t>بحلول نهاية الثنائية.</w:t>
      </w:r>
    </w:p>
    <w:p w:rsidR="00E43EC5" w:rsidRPr="001827C1" w:rsidRDefault="00C32761" w:rsidP="009A3712">
      <w:pPr>
        <w:numPr>
          <w:ilvl w:val="0"/>
          <w:numId w:val="42"/>
        </w:numPr>
        <w:tabs>
          <w:tab w:val="left" w:pos="709"/>
        </w:tabs>
        <w:autoSpaceDE w:val="0"/>
        <w:autoSpaceDN w:val="0"/>
        <w:bidi/>
        <w:adjustRightInd w:val="0"/>
        <w:spacing w:after="120" w:line="340" w:lineRule="exact"/>
        <w:ind w:left="0" w:firstLine="0"/>
        <w:rPr>
          <w:rFonts w:ascii="Arabic Typesetting" w:eastAsia="Batang" w:hAnsi="Arabic Typesetting" w:cs="Arabic Typesetting"/>
          <w:color w:val="000000"/>
          <w:sz w:val="34"/>
          <w:szCs w:val="34"/>
          <w:lang w:eastAsia="ja-JP" w:bidi="ar-EG"/>
        </w:rPr>
      </w:pPr>
      <w:r>
        <w:rPr>
          <w:rFonts w:ascii="Arabic Typesetting" w:eastAsia="Batang" w:hAnsi="Arabic Typesetting" w:cs="Arabic Typesetting" w:hint="cs"/>
          <w:color w:val="000000"/>
          <w:sz w:val="34"/>
          <w:szCs w:val="34"/>
          <w:rtl/>
          <w:lang w:eastAsia="ja-JP" w:bidi="ar-EG"/>
        </w:rPr>
        <w:t>و</w:t>
      </w:r>
      <w:r w:rsidR="00E43EC5" w:rsidRPr="001827C1">
        <w:rPr>
          <w:rFonts w:ascii="Arabic Typesetting" w:eastAsia="Batang" w:hAnsi="Arabic Typesetting" w:cs="Arabic Typesetting" w:hint="cs"/>
          <w:color w:val="000000"/>
          <w:sz w:val="34"/>
          <w:szCs w:val="34"/>
          <w:rtl/>
          <w:lang w:eastAsia="ja-JP" w:bidi="ar-EG"/>
        </w:rPr>
        <w:t xml:space="preserve">اختيرت </w:t>
      </w:r>
      <w:r>
        <w:rPr>
          <w:rFonts w:ascii="Arabic Typesetting" w:eastAsia="Batang" w:hAnsi="Arabic Typesetting" w:cs="Arabic Typesetting" w:hint="cs"/>
          <w:color w:val="000000"/>
          <w:sz w:val="34"/>
          <w:szCs w:val="34"/>
          <w:rtl/>
          <w:lang w:eastAsia="ja-JP" w:bidi="ar-EG"/>
        </w:rPr>
        <w:t>مكاتب ترجمة</w:t>
      </w:r>
      <w:r w:rsidRPr="001827C1">
        <w:rPr>
          <w:rFonts w:ascii="Arabic Typesetting" w:eastAsia="Batang" w:hAnsi="Arabic Typesetting" w:cs="Arabic Typesetting" w:hint="cs"/>
          <w:color w:val="000000"/>
          <w:sz w:val="34"/>
          <w:szCs w:val="34"/>
          <w:rtl/>
          <w:lang w:eastAsia="ja-JP" w:bidi="ar-EG"/>
        </w:rPr>
        <w:t xml:space="preserve"> </w:t>
      </w:r>
      <w:r w:rsidR="00E43EC5" w:rsidRPr="001827C1">
        <w:rPr>
          <w:rFonts w:ascii="Arabic Typesetting" w:eastAsia="Batang" w:hAnsi="Arabic Typesetting" w:cs="Arabic Typesetting" w:hint="cs"/>
          <w:color w:val="000000"/>
          <w:sz w:val="34"/>
          <w:szCs w:val="34"/>
          <w:rtl/>
          <w:lang w:eastAsia="ja-JP" w:bidi="ar-EG"/>
        </w:rPr>
        <w:t xml:space="preserve">إضافية </w:t>
      </w:r>
      <w:r>
        <w:rPr>
          <w:rFonts w:ascii="Arabic Typesetting" w:eastAsia="Batang" w:hAnsi="Arabic Typesetting" w:cs="Arabic Typesetting" w:hint="cs"/>
          <w:color w:val="000000"/>
          <w:sz w:val="34"/>
          <w:szCs w:val="34"/>
          <w:rtl/>
          <w:lang w:eastAsia="ja-JP" w:bidi="ar-EG"/>
        </w:rPr>
        <w:t>عن طريق</w:t>
      </w:r>
      <w:r w:rsidR="00E43EC5" w:rsidRPr="001827C1">
        <w:rPr>
          <w:rFonts w:ascii="Arabic Typesetting" w:eastAsia="Batang" w:hAnsi="Arabic Typesetting" w:cs="Arabic Typesetting" w:hint="cs"/>
          <w:color w:val="000000"/>
          <w:sz w:val="34"/>
          <w:szCs w:val="34"/>
          <w:rtl/>
          <w:lang w:eastAsia="ja-JP" w:bidi="ar-EG"/>
        </w:rPr>
        <w:t xml:space="preserve"> مناقصات دولية لتغطية الترجمات إلى اللغات العربية والصينية والروسية، مع مراعاة الخبرات المكتسبة في </w:t>
      </w:r>
      <w:r>
        <w:rPr>
          <w:rFonts w:ascii="Arabic Typesetting" w:eastAsia="Batang" w:hAnsi="Arabic Typesetting" w:cs="Arabic Typesetting" w:hint="cs"/>
          <w:color w:val="000000"/>
          <w:sz w:val="34"/>
          <w:szCs w:val="34"/>
          <w:rtl/>
          <w:lang w:eastAsia="ja-JP" w:bidi="ar-EG"/>
        </w:rPr>
        <w:t>التلزيم الخارجي</w:t>
      </w:r>
      <w:r w:rsidRPr="001827C1">
        <w:rPr>
          <w:rFonts w:ascii="Arabic Typesetting" w:eastAsia="Batang" w:hAnsi="Arabic Typesetting" w:cs="Arabic Typesetting" w:hint="cs"/>
          <w:color w:val="000000"/>
          <w:sz w:val="34"/>
          <w:szCs w:val="34"/>
          <w:rtl/>
          <w:lang w:eastAsia="ja-JP" w:bidi="ar-EG"/>
        </w:rPr>
        <w:t xml:space="preserve"> </w:t>
      </w:r>
      <w:r>
        <w:rPr>
          <w:rFonts w:ascii="Arabic Typesetting" w:eastAsia="Batang" w:hAnsi="Arabic Typesetting" w:cs="Arabic Typesetting" w:hint="cs"/>
          <w:color w:val="000000"/>
          <w:sz w:val="34"/>
          <w:szCs w:val="34"/>
          <w:rtl/>
          <w:lang w:eastAsia="ja-JP" w:bidi="ar-EG"/>
        </w:rPr>
        <w:t>ل</w:t>
      </w:r>
      <w:r w:rsidR="00E43EC5" w:rsidRPr="001827C1">
        <w:rPr>
          <w:rFonts w:ascii="Arabic Typesetting" w:eastAsia="Batang" w:hAnsi="Arabic Typesetting" w:cs="Arabic Typesetting" w:hint="cs"/>
          <w:color w:val="000000"/>
          <w:sz w:val="34"/>
          <w:szCs w:val="34"/>
          <w:rtl/>
          <w:lang w:eastAsia="ja-JP" w:bidi="ar-EG"/>
        </w:rPr>
        <w:t xml:space="preserve">أعمال الترجمة </w:t>
      </w:r>
      <w:r>
        <w:rPr>
          <w:rFonts w:ascii="Arabic Typesetting" w:eastAsia="Batang" w:hAnsi="Arabic Typesetting" w:cs="Arabic Typesetting" w:hint="cs"/>
          <w:color w:val="000000"/>
          <w:sz w:val="34"/>
          <w:szCs w:val="34"/>
          <w:rtl/>
          <w:lang w:eastAsia="ja-JP" w:bidi="ar-EG"/>
        </w:rPr>
        <w:t>ب</w:t>
      </w:r>
      <w:r w:rsidR="00E43EC5" w:rsidRPr="001827C1">
        <w:rPr>
          <w:rFonts w:ascii="Arabic Typesetting" w:eastAsia="Batang" w:hAnsi="Arabic Typesetting" w:cs="Arabic Typesetting" w:hint="cs"/>
          <w:color w:val="000000"/>
          <w:sz w:val="34"/>
          <w:szCs w:val="34"/>
          <w:rtl/>
          <w:lang w:eastAsia="ja-JP" w:bidi="ar-EG"/>
        </w:rPr>
        <w:t>اللغتين الفرنسية والإسبانية.</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eastAsia="Batang" w:hAnsi="Arabic Typesetting" w:cs="Arabic Typesetting"/>
          <w:color w:val="000000"/>
          <w:sz w:val="34"/>
          <w:szCs w:val="34"/>
          <w:lang w:eastAsia="ja-JP" w:bidi="ar-EG"/>
        </w:rPr>
      </w:pPr>
      <w:r w:rsidRPr="001827C1">
        <w:rPr>
          <w:rFonts w:ascii="Arabic Typesetting" w:eastAsia="Batang" w:hAnsi="Arabic Typesetting" w:cs="Arabic Typesetting" w:hint="cs"/>
          <w:color w:val="000000"/>
          <w:sz w:val="34"/>
          <w:szCs w:val="34"/>
          <w:rtl/>
          <w:lang w:eastAsia="ja-JP"/>
        </w:rPr>
        <w:t xml:space="preserve">واستنادا إلى </w:t>
      </w:r>
      <w:r w:rsidRPr="001827C1">
        <w:rPr>
          <w:rFonts w:ascii="Arabic Typesetting" w:eastAsia="Batang" w:hAnsi="Arabic Typesetting" w:cs="Arabic Typesetting"/>
          <w:color w:val="000000"/>
          <w:sz w:val="34"/>
          <w:szCs w:val="34"/>
          <w:rtl/>
          <w:lang w:eastAsia="ja-JP"/>
        </w:rPr>
        <w:t>أدوات الترجمة وحفظ المصطلحات بمساعدة الحاسوب</w:t>
      </w:r>
      <w:r w:rsidRPr="001827C1">
        <w:rPr>
          <w:rFonts w:ascii="Arabic Typesetting" w:eastAsia="Batang" w:hAnsi="Arabic Typesetting" w:cs="Arabic Typesetting" w:hint="cs"/>
          <w:color w:val="000000"/>
          <w:sz w:val="34"/>
          <w:szCs w:val="34"/>
          <w:rtl/>
          <w:lang w:eastAsia="ja-JP"/>
        </w:rPr>
        <w:t xml:space="preserve"> التي أدرجت في عام</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 xml:space="preserve">2014، استهل البرنامج مشروعا لحفظ المصطلحات يرمي إلى نشر أصول المصطلحات بجميع لغات الأمم المتحدة الست، لأول مرة، من خلال منصة </w:t>
      </w:r>
      <w:r w:rsidRPr="001827C1">
        <w:rPr>
          <w:rFonts w:ascii="Arabic Typesetting" w:eastAsia="Batang" w:hAnsi="Arabic Typesetting" w:cs="Arabic Typesetting"/>
          <w:color w:val="000000"/>
          <w:sz w:val="34"/>
          <w:szCs w:val="34"/>
          <w:lang w:eastAsia="ja-JP" w:bidi="ar-EG"/>
        </w:rPr>
        <w:t>WIPO Pearl</w:t>
      </w:r>
      <w:r w:rsidRPr="001827C1">
        <w:rPr>
          <w:rFonts w:ascii="Arabic Typesetting" w:eastAsia="Batang" w:hAnsi="Arabic Typesetting" w:cs="Arabic Typesetting" w:hint="cs"/>
          <w:color w:val="000000"/>
          <w:sz w:val="34"/>
          <w:szCs w:val="34"/>
          <w:rtl/>
          <w:lang w:eastAsia="ja-JP"/>
        </w:rPr>
        <w:t xml:space="preserve"> التي أطلقت حديثا والتي لا تشمل حاليا سوى مدخلات مصطلحية تتعلق بمعاهدة التعاون بشأن البراءات. وفي</w:t>
      </w:r>
      <w:r w:rsidR="00C3276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عام</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 xml:space="preserve">2015، اضطُلع بعمل كبير </w:t>
      </w:r>
      <w:r w:rsidR="00C32761">
        <w:rPr>
          <w:rFonts w:ascii="Arabic Typesetting" w:eastAsia="Batang" w:hAnsi="Arabic Typesetting" w:cs="Arabic Typesetting" w:hint="cs"/>
          <w:color w:val="000000"/>
          <w:sz w:val="34"/>
          <w:szCs w:val="34"/>
          <w:rtl/>
          <w:lang w:eastAsia="ja-JP"/>
        </w:rPr>
        <w:t>من أجل</w:t>
      </w:r>
      <w:r w:rsidR="00C32761" w:rsidRPr="001827C1">
        <w:rPr>
          <w:rFonts w:ascii="Arabic Typesetting" w:eastAsia="Batang" w:hAnsi="Arabic Typesetting" w:cs="Arabic Typesetting" w:hint="cs"/>
          <w:color w:val="000000"/>
          <w:sz w:val="34"/>
          <w:szCs w:val="34"/>
          <w:rtl/>
          <w:lang w:eastAsia="ja-JP"/>
        </w:rPr>
        <w:t xml:space="preserve"> </w:t>
      </w:r>
      <w:r w:rsidRPr="001827C1">
        <w:rPr>
          <w:rFonts w:ascii="Arabic Typesetting" w:eastAsia="Batang" w:hAnsi="Arabic Typesetting" w:cs="Arabic Typesetting" w:hint="cs"/>
          <w:color w:val="000000"/>
          <w:sz w:val="34"/>
          <w:szCs w:val="34"/>
          <w:rtl/>
          <w:lang w:eastAsia="ja-JP"/>
        </w:rPr>
        <w:t>استحداث قاعدة البيانات المصطلحية لتلك المنصة</w:t>
      </w:r>
      <w:r w:rsidR="00C32761">
        <w:rPr>
          <w:rFonts w:ascii="Arabic Typesetting" w:eastAsia="Batang" w:hAnsi="Arabic Typesetting" w:cs="Arabic Typesetting" w:hint="cs"/>
          <w:color w:val="000000"/>
          <w:sz w:val="34"/>
          <w:szCs w:val="34"/>
          <w:rtl/>
          <w:lang w:eastAsia="ja-JP"/>
        </w:rPr>
        <w:t xml:space="preserve"> </w:t>
      </w:r>
      <w:r w:rsidR="00C32761" w:rsidRPr="001827C1">
        <w:rPr>
          <w:rFonts w:ascii="Arabic Typesetting" w:eastAsia="Batang" w:hAnsi="Arabic Typesetting" w:cs="Arabic Typesetting" w:hint="cs"/>
          <w:color w:val="000000"/>
          <w:sz w:val="34"/>
          <w:szCs w:val="34"/>
          <w:rtl/>
          <w:lang w:eastAsia="ja-JP"/>
        </w:rPr>
        <w:t>وتثبيت</w:t>
      </w:r>
      <w:r w:rsidR="00C32761">
        <w:rPr>
          <w:rFonts w:ascii="Arabic Typesetting" w:eastAsia="Batang" w:hAnsi="Arabic Typesetting" w:cs="Arabic Typesetting" w:hint="cs"/>
          <w:color w:val="000000"/>
          <w:sz w:val="34"/>
          <w:szCs w:val="34"/>
          <w:rtl/>
          <w:lang w:eastAsia="ja-JP"/>
        </w:rPr>
        <w:t>ها</w:t>
      </w:r>
      <w:r w:rsidR="00C32761" w:rsidRPr="001827C1">
        <w:rPr>
          <w:rFonts w:ascii="Arabic Typesetting" w:eastAsia="Batang" w:hAnsi="Arabic Typesetting" w:cs="Arabic Typesetting" w:hint="cs"/>
          <w:color w:val="000000"/>
          <w:sz w:val="34"/>
          <w:szCs w:val="34"/>
          <w:rtl/>
          <w:lang w:eastAsia="ja-JP"/>
        </w:rPr>
        <w:t xml:space="preserve"> وتوسيع</w:t>
      </w:r>
      <w:r w:rsidR="00C32761">
        <w:rPr>
          <w:rFonts w:ascii="Arabic Typesetting" w:eastAsia="Batang" w:hAnsi="Arabic Typesetting" w:cs="Arabic Typesetting" w:hint="cs"/>
          <w:color w:val="000000"/>
          <w:sz w:val="34"/>
          <w:szCs w:val="34"/>
          <w:rtl/>
          <w:lang w:eastAsia="ja-JP"/>
        </w:rPr>
        <w:t>ها</w:t>
      </w:r>
      <w:r w:rsidRPr="001827C1">
        <w:rPr>
          <w:rFonts w:ascii="Arabic Typesetting" w:eastAsia="Batang" w:hAnsi="Arabic Typesetting" w:cs="Arabic Typesetting" w:hint="cs"/>
          <w:color w:val="000000"/>
          <w:sz w:val="34"/>
          <w:szCs w:val="34"/>
          <w:rtl/>
          <w:lang w:eastAsia="ja-JP"/>
        </w:rPr>
        <w:t>. وبحلول نهاية الثنائية، بلغ نحو 704</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12 مصطلح</w:t>
      </w:r>
      <w:r w:rsidR="003C2A9C">
        <w:rPr>
          <w:rFonts w:ascii="Arabic Typesetting" w:eastAsia="Batang" w:hAnsi="Arabic Typesetting" w:cs="Arabic Typesetting" w:hint="cs"/>
          <w:color w:val="000000"/>
          <w:sz w:val="34"/>
          <w:szCs w:val="34"/>
          <w:rtl/>
          <w:lang w:eastAsia="ja-JP"/>
        </w:rPr>
        <w:t>ات</w:t>
      </w:r>
      <w:r w:rsidRPr="001827C1">
        <w:rPr>
          <w:rFonts w:ascii="Arabic Typesetting" w:eastAsia="Batang" w:hAnsi="Arabic Typesetting" w:cs="Arabic Typesetting" w:hint="cs"/>
          <w:color w:val="000000"/>
          <w:sz w:val="34"/>
          <w:szCs w:val="34"/>
          <w:rtl/>
          <w:lang w:eastAsia="ja-JP"/>
        </w:rPr>
        <w:t xml:space="preserve"> وارد</w:t>
      </w:r>
      <w:r w:rsidR="003C2A9C">
        <w:rPr>
          <w:rFonts w:ascii="Arabic Typesetting" w:eastAsia="Batang" w:hAnsi="Arabic Typesetting" w:cs="Arabic Typesetting" w:hint="cs"/>
          <w:color w:val="000000"/>
          <w:sz w:val="34"/>
          <w:szCs w:val="34"/>
          <w:rtl/>
          <w:lang w:eastAsia="ja-JP"/>
        </w:rPr>
        <w:t>ة</w:t>
      </w:r>
      <w:r w:rsidRPr="001827C1">
        <w:rPr>
          <w:rFonts w:ascii="Arabic Typesetting" w:eastAsia="Batang" w:hAnsi="Arabic Typesetting" w:cs="Arabic Typesetting" w:hint="cs"/>
          <w:color w:val="000000"/>
          <w:sz w:val="34"/>
          <w:szCs w:val="34"/>
          <w:rtl/>
          <w:lang w:eastAsia="ja-JP"/>
        </w:rPr>
        <w:t xml:space="preserve"> بلغات الأمم المتحدة الرسمية الست مرحلة التثبيت الأولي لنشره على المنصة المصطلحية المشتركة رهن استكمال أعمال التصميم التقني والاختبار.</w:t>
      </w:r>
    </w:p>
    <w:p w:rsidR="00E43EC5"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eastAsia="Batang" w:hAnsi="Arabic Typesetting" w:cs="Arabic Typesetting"/>
          <w:color w:val="000000"/>
          <w:sz w:val="34"/>
          <w:szCs w:val="34"/>
          <w:rtl/>
          <w:lang w:eastAsia="ja-JP"/>
        </w:rPr>
      </w:pPr>
      <w:r w:rsidRPr="001827C1">
        <w:rPr>
          <w:rFonts w:ascii="Arabic Typesetting" w:eastAsia="Batang" w:hAnsi="Arabic Typesetting" w:cs="Arabic Typesetting" w:hint="cs"/>
          <w:color w:val="000000"/>
          <w:sz w:val="34"/>
          <w:szCs w:val="34"/>
          <w:rtl/>
          <w:lang w:eastAsia="ja-JP" w:bidi="ar-EG"/>
        </w:rPr>
        <w:t xml:space="preserve">وأخيرا </w:t>
      </w:r>
      <w:r w:rsidRPr="001827C1">
        <w:rPr>
          <w:rFonts w:ascii="Arabic Typesetting" w:eastAsia="Batang" w:hAnsi="Arabic Typesetting" w:cs="Arabic Typesetting" w:hint="cs"/>
          <w:color w:val="000000"/>
          <w:sz w:val="34"/>
          <w:szCs w:val="34"/>
          <w:rtl/>
          <w:lang w:eastAsia="ja-JP"/>
        </w:rPr>
        <w:t>وبتطبيق تدابير الترشيد والرقابة تطبيقا صارما على عدد الوثائق وحجمها في جميع الاجتماعات خلال الثنائية</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2014/15، شهد حجم الترجمة انخفاضا بنسبة</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8.5</w:t>
      </w:r>
      <w:r w:rsidR="00C32761">
        <w:rPr>
          <w:rFonts w:ascii="Arabic Typesetting" w:eastAsia="Batang" w:hAnsi="Arabic Typesetting" w:cs="Arabic Typesetting" w:hint="cs"/>
          <w:color w:val="000000"/>
          <w:sz w:val="34"/>
          <w:szCs w:val="34"/>
          <w:rtl/>
          <w:lang w:eastAsia="ja-JP"/>
        </w:rPr>
        <w:t xml:space="preserve"> بالمئة</w:t>
      </w:r>
      <w:r w:rsidR="00C32761" w:rsidRPr="001827C1">
        <w:rPr>
          <w:rFonts w:ascii="Arabic Typesetting" w:eastAsia="Batang" w:hAnsi="Arabic Typesetting" w:cs="Arabic Typesetting" w:hint="cs"/>
          <w:color w:val="000000"/>
          <w:sz w:val="34"/>
          <w:szCs w:val="34"/>
          <w:rtl/>
          <w:lang w:eastAsia="ja-JP"/>
        </w:rPr>
        <w:t xml:space="preserve"> </w:t>
      </w:r>
      <w:r w:rsidRPr="001827C1">
        <w:rPr>
          <w:rFonts w:ascii="Arabic Typesetting" w:eastAsia="Batang" w:hAnsi="Arabic Typesetting" w:cs="Arabic Typesetting" w:hint="cs"/>
          <w:color w:val="000000"/>
          <w:sz w:val="34"/>
          <w:szCs w:val="34"/>
          <w:rtl/>
          <w:lang w:eastAsia="ja-JP"/>
        </w:rPr>
        <w:t>(30.35</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مليون كلمة في الثنائية</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2014/15 مقابل 33.17</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مليون كلمة في الثنائية</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 xml:space="preserve">2012/13)، </w:t>
      </w:r>
      <w:r w:rsidR="00C32761">
        <w:rPr>
          <w:rFonts w:ascii="Arabic Typesetting" w:eastAsia="Batang" w:hAnsi="Arabic Typesetting" w:cs="Arabic Typesetting" w:hint="cs"/>
          <w:color w:val="000000"/>
          <w:sz w:val="34"/>
          <w:szCs w:val="34"/>
          <w:rtl/>
          <w:lang w:eastAsia="ja-JP"/>
        </w:rPr>
        <w:t xml:space="preserve">على </w:t>
      </w:r>
      <w:r w:rsidR="00C32761" w:rsidRPr="001827C1">
        <w:rPr>
          <w:rFonts w:ascii="Arabic Typesetting" w:eastAsia="Batang" w:hAnsi="Arabic Typesetting" w:cs="Arabic Typesetting" w:hint="cs"/>
          <w:color w:val="000000"/>
          <w:sz w:val="34"/>
          <w:szCs w:val="34"/>
          <w:rtl/>
          <w:lang w:eastAsia="ja-JP"/>
        </w:rPr>
        <w:t xml:space="preserve">الرغم </w:t>
      </w:r>
      <w:r w:rsidRPr="001827C1">
        <w:rPr>
          <w:rFonts w:ascii="Arabic Typesetting" w:eastAsia="Batang" w:hAnsi="Arabic Typesetting" w:cs="Arabic Typesetting" w:hint="cs"/>
          <w:color w:val="000000"/>
          <w:sz w:val="34"/>
          <w:szCs w:val="34"/>
          <w:rtl/>
          <w:lang w:eastAsia="ja-JP"/>
        </w:rPr>
        <w:t>من تمديد التغطية اللغوية لتشمل أربعة أفرقة عاملة رئيسية خلال الثنائية. وأسهمت هذه التدابير والمبادرات في تحقيق الفعالية من حيث التكاليف في الثنائية</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2014/15، إذ شهدت تكلفة الترجمة للكلمة الواحدة انخفاضا كبيرا من 0.63</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فرنك سويسري في عام</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2013 إلى 0.59 و0.57</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فرنك سويسري في عامي</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2014 و2015 على التوالي.</w:t>
      </w:r>
    </w:p>
    <w:tbl>
      <w:tblPr>
        <w:bidiVisual/>
        <w:tblW w:w="0" w:type="auto"/>
        <w:tblLook w:val="04A0" w:firstRow="1" w:lastRow="0" w:firstColumn="1" w:lastColumn="0" w:noHBand="0" w:noVBand="1"/>
      </w:tblPr>
      <w:tblGrid>
        <w:gridCol w:w="4785"/>
        <w:gridCol w:w="4786"/>
      </w:tblGrid>
      <w:tr w:rsidR="00330015" w:rsidTr="00330015">
        <w:tc>
          <w:tcPr>
            <w:tcW w:w="4785" w:type="dxa"/>
          </w:tcPr>
          <w:p w:rsidR="00330015" w:rsidRDefault="00330015" w:rsidP="00B850DD">
            <w:pPr>
              <w:keepNext/>
              <w:tabs>
                <w:tab w:val="left" w:pos="709"/>
              </w:tabs>
              <w:autoSpaceDE w:val="0"/>
              <w:autoSpaceDN w:val="0"/>
              <w:bidi/>
              <w:adjustRightInd w:val="0"/>
              <w:spacing w:after="120"/>
              <w:jc w:val="center"/>
              <w:rPr>
                <w:rFonts w:ascii="Arabic Typesetting" w:eastAsia="Batang" w:hAnsi="Arabic Typesetting" w:cs="Arabic Typesetting"/>
                <w:color w:val="000000"/>
                <w:sz w:val="34"/>
                <w:szCs w:val="34"/>
                <w:rtl/>
                <w:lang w:eastAsia="ja-JP"/>
              </w:rPr>
            </w:pPr>
            <w:r w:rsidRPr="001827C1">
              <w:rPr>
                <w:rFonts w:ascii="Arabic Typesetting" w:eastAsia="Batang" w:hAnsi="Arabic Typesetting" w:cs="Arabic Typesetting" w:hint="cs"/>
                <w:i/>
                <w:iCs/>
                <w:color w:val="000000"/>
                <w:sz w:val="28"/>
                <w:szCs w:val="28"/>
                <w:rtl/>
                <w:lang w:eastAsia="ja-JP"/>
              </w:rPr>
              <w:lastRenderedPageBreak/>
              <w:t>حجم الترجمة 2012-2015</w:t>
            </w:r>
          </w:p>
        </w:tc>
        <w:tc>
          <w:tcPr>
            <w:tcW w:w="4786" w:type="dxa"/>
          </w:tcPr>
          <w:p w:rsidR="00330015" w:rsidRPr="00330015" w:rsidRDefault="00330015" w:rsidP="00330015">
            <w:pPr>
              <w:keepNext/>
              <w:tabs>
                <w:tab w:val="left" w:pos="709"/>
                <w:tab w:val="right" w:pos="7937"/>
              </w:tabs>
              <w:autoSpaceDE w:val="0"/>
              <w:autoSpaceDN w:val="0"/>
              <w:bidi/>
              <w:adjustRightInd w:val="0"/>
              <w:spacing w:line="340" w:lineRule="exact"/>
              <w:ind w:firstLine="1134"/>
              <w:rPr>
                <w:rFonts w:ascii="Arabic Typesetting" w:eastAsia="Batang" w:hAnsi="Arabic Typesetting" w:cs="Arabic Typesetting"/>
                <w:i/>
                <w:iCs/>
                <w:color w:val="000000"/>
                <w:sz w:val="34"/>
                <w:szCs w:val="34"/>
                <w:rtl/>
                <w:lang w:eastAsia="ja-JP"/>
              </w:rPr>
            </w:pPr>
            <w:r w:rsidRPr="001827C1">
              <w:rPr>
                <w:rFonts w:ascii="Arabic Typesetting" w:eastAsia="Batang" w:hAnsi="Arabic Typesetting" w:cs="Arabic Typesetting" w:hint="cs"/>
                <w:i/>
                <w:iCs/>
                <w:color w:val="000000"/>
                <w:sz w:val="28"/>
                <w:szCs w:val="28"/>
                <w:rtl/>
                <w:lang w:eastAsia="ja-JP"/>
              </w:rPr>
              <w:t>تكلفة الترجمة للكلمة الواحدة</w:t>
            </w:r>
            <w:r w:rsidR="008E0018">
              <w:rPr>
                <w:rFonts w:ascii="Arabic Typesetting" w:eastAsia="Batang" w:hAnsi="Arabic Typesetting" w:cs="Arabic Typesetting" w:hint="cs"/>
                <w:i/>
                <w:iCs/>
                <w:color w:val="000000"/>
                <w:sz w:val="28"/>
                <w:szCs w:val="28"/>
                <w:rtl/>
                <w:lang w:eastAsia="ja-JP"/>
              </w:rPr>
              <w:t xml:space="preserve"> 2013-2015</w:t>
            </w:r>
          </w:p>
        </w:tc>
      </w:tr>
      <w:tr w:rsidR="00330015" w:rsidTr="00330015">
        <w:tc>
          <w:tcPr>
            <w:tcW w:w="9571" w:type="dxa"/>
            <w:gridSpan w:val="2"/>
          </w:tcPr>
          <w:p w:rsidR="00330015" w:rsidRDefault="00330015" w:rsidP="00B850DD">
            <w:pPr>
              <w:tabs>
                <w:tab w:val="left" w:pos="709"/>
              </w:tabs>
              <w:autoSpaceDE w:val="0"/>
              <w:autoSpaceDN w:val="0"/>
              <w:bidi/>
              <w:adjustRightInd w:val="0"/>
              <w:spacing w:after="120"/>
              <w:jc w:val="center"/>
              <w:rPr>
                <w:rFonts w:ascii="Arabic Typesetting" w:eastAsia="Batang" w:hAnsi="Arabic Typesetting" w:cs="Arabic Typesetting"/>
                <w:color w:val="000000"/>
                <w:sz w:val="34"/>
                <w:szCs w:val="34"/>
                <w:rtl/>
                <w:lang w:eastAsia="ja-JP"/>
              </w:rPr>
            </w:pPr>
            <w:r>
              <w:rPr>
                <w:rFonts w:ascii="Arabic Typesetting" w:eastAsia="Batang" w:hAnsi="Arabic Typesetting" w:cs="Arabic Typesetting"/>
                <w:noProof/>
                <w:color w:val="000000"/>
                <w:sz w:val="34"/>
                <w:szCs w:val="34"/>
              </w:rPr>
              <w:drawing>
                <wp:inline distT="0" distB="0" distL="0" distR="0" wp14:anchorId="71A11338" wp14:editId="4B6B3FA2">
                  <wp:extent cx="5826452" cy="1701060"/>
                  <wp:effectExtent l="0" t="0" r="317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855587" cy="1709566"/>
                          </a:xfrm>
                          <a:prstGeom prst="rect">
                            <a:avLst/>
                          </a:prstGeom>
                          <a:noFill/>
                        </pic:spPr>
                      </pic:pic>
                    </a:graphicData>
                  </a:graphic>
                </wp:inline>
              </w:drawing>
            </w:r>
          </w:p>
        </w:tc>
      </w:tr>
    </w:tbl>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eastAsia="Batang" w:hAnsi="Arabic Typesetting" w:cs="Arabic Typesetting"/>
          <w:color w:val="000000"/>
          <w:sz w:val="34"/>
          <w:szCs w:val="34"/>
          <w:lang w:eastAsia="ja-JP" w:bidi="ar-EG"/>
        </w:rPr>
      </w:pPr>
      <w:r w:rsidRPr="001827C1">
        <w:rPr>
          <w:rFonts w:ascii="Arabic Typesetting" w:eastAsia="Batang" w:hAnsi="Arabic Typesetting" w:cs="Arabic Typesetting" w:hint="cs"/>
          <w:color w:val="000000"/>
          <w:sz w:val="34"/>
          <w:szCs w:val="34"/>
          <w:rtl/>
          <w:lang w:eastAsia="ja-JP"/>
        </w:rPr>
        <w:t>وتواصل تقديم خدمات الترجمة الفورية الفعالة والجيدة إلى جميع اجتماعات الويبو والتظاهرات الأخرى، في المقر الرئيسي وفي مواقع أخرى، حسب الاقتضاء.</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eastAsia="Batang" w:hAnsi="Arabic Typesetting" w:cs="Arabic Typesetting"/>
          <w:color w:val="000000"/>
          <w:sz w:val="34"/>
          <w:szCs w:val="34"/>
          <w:lang w:eastAsia="ja-JP" w:bidi="ar-EG"/>
        </w:rPr>
      </w:pPr>
      <w:r w:rsidRPr="001827C1">
        <w:rPr>
          <w:rFonts w:ascii="Arabic Typesetting" w:eastAsia="Batang" w:hAnsi="Arabic Typesetting" w:cs="Arabic Typesetting" w:hint="cs"/>
          <w:color w:val="000000"/>
          <w:sz w:val="34"/>
          <w:szCs w:val="34"/>
          <w:rtl/>
          <w:lang w:eastAsia="ja-JP" w:bidi="ar-EG"/>
        </w:rPr>
        <w:t>وبعد مرور عدة سنوات من النمو الملاحظ، شهدت الثنائية</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2014/15 ثباتا في عدد الاجتماعات المعقودة في جنيف، إذ</w:t>
      </w:r>
      <w:r w:rsidR="00330015">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عُقد 209</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اجتماعات رئيسية، بما في ذلك المؤتمر الدبلوماسي المعني باعتماد وثيقة جديدة لاتفاق لشبونة بشأن حماية تسميات المنشأ وتسجيلها على الصعيد الدولي، مقابل 260</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اجتماعا في الثنائية</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 xml:space="preserve">2012/13. </w:t>
      </w:r>
      <w:r w:rsidR="00330015">
        <w:rPr>
          <w:rFonts w:ascii="Arabic Typesetting" w:eastAsia="Batang" w:hAnsi="Arabic Typesetting" w:cs="Arabic Typesetting" w:hint="cs"/>
          <w:color w:val="000000"/>
          <w:sz w:val="34"/>
          <w:szCs w:val="34"/>
          <w:rtl/>
          <w:lang w:eastAsia="ja-JP" w:bidi="ar-EG"/>
        </w:rPr>
        <w:t>وفضلا عن ذلك،</w:t>
      </w:r>
      <w:r w:rsidRPr="001827C1">
        <w:rPr>
          <w:rFonts w:ascii="Arabic Typesetting" w:eastAsia="Batang" w:hAnsi="Arabic Typesetting" w:cs="Arabic Typesetting"/>
          <w:color w:val="000000"/>
          <w:sz w:val="34"/>
          <w:szCs w:val="34"/>
          <w:rtl/>
          <w:lang w:eastAsia="ja-JP" w:bidi="ar-EG"/>
        </w:rPr>
        <w:t xml:space="preserve"> ق</w:t>
      </w:r>
      <w:r w:rsidRPr="001827C1">
        <w:rPr>
          <w:rFonts w:ascii="Arabic Typesetting" w:eastAsia="Batang" w:hAnsi="Arabic Typesetting" w:cs="Arabic Typesetting" w:hint="cs"/>
          <w:color w:val="000000"/>
          <w:sz w:val="34"/>
          <w:szCs w:val="34"/>
          <w:rtl/>
          <w:lang w:eastAsia="ja-JP" w:bidi="ar-EG"/>
        </w:rPr>
        <w:t>ُ</w:t>
      </w:r>
      <w:r w:rsidRPr="001827C1">
        <w:rPr>
          <w:rFonts w:ascii="Arabic Typesetting" w:eastAsia="Batang" w:hAnsi="Arabic Typesetting" w:cs="Arabic Typesetting"/>
          <w:color w:val="000000"/>
          <w:sz w:val="34"/>
          <w:szCs w:val="34"/>
          <w:rtl/>
          <w:lang w:eastAsia="ja-JP" w:bidi="ar-EG"/>
        </w:rPr>
        <w:t>دم</w:t>
      </w:r>
      <w:r w:rsidRPr="001827C1">
        <w:rPr>
          <w:rFonts w:ascii="Arabic Typesetting" w:eastAsia="Batang" w:hAnsi="Arabic Typesetting" w:cs="Arabic Typesetting" w:hint="cs"/>
          <w:color w:val="000000"/>
          <w:sz w:val="34"/>
          <w:szCs w:val="34"/>
          <w:rtl/>
          <w:lang w:eastAsia="ja-JP" w:bidi="ar-EG"/>
        </w:rPr>
        <w:t>ت</w:t>
      </w:r>
      <w:r w:rsidRPr="001827C1">
        <w:rPr>
          <w:rFonts w:ascii="Arabic Typesetting" w:eastAsia="Batang" w:hAnsi="Arabic Typesetting" w:cs="Arabic Typesetting"/>
          <w:color w:val="000000"/>
          <w:sz w:val="34"/>
          <w:szCs w:val="34"/>
          <w:rtl/>
          <w:lang w:eastAsia="ja-JP" w:bidi="ar-EG"/>
        </w:rPr>
        <w:t xml:space="preserve"> خدمات دعم المؤتمرات </w:t>
      </w:r>
      <w:r w:rsidRPr="001827C1">
        <w:rPr>
          <w:rFonts w:ascii="Arabic Typesetting" w:eastAsia="Batang" w:hAnsi="Arabic Typesetting" w:cs="Arabic Typesetting" w:hint="cs"/>
          <w:color w:val="000000"/>
          <w:sz w:val="34"/>
          <w:szCs w:val="34"/>
          <w:rtl/>
          <w:lang w:eastAsia="ja-JP" w:bidi="ar-EG"/>
        </w:rPr>
        <w:t xml:space="preserve">لتظاهرات مخصصة (مشاورات غير رسمية واجتماعات ثنائية وعروض وتظاهرات جانبية وزيارات رسمية واجتماعات داخلية) بلغ </w:t>
      </w:r>
      <w:proofErr w:type="spellStart"/>
      <w:r w:rsidRPr="001827C1">
        <w:rPr>
          <w:rFonts w:ascii="Arabic Typesetting" w:eastAsia="Batang" w:hAnsi="Arabic Typesetting" w:cs="Arabic Typesetting" w:hint="cs"/>
          <w:color w:val="000000"/>
          <w:sz w:val="34"/>
          <w:szCs w:val="34"/>
          <w:rtl/>
          <w:lang w:eastAsia="ja-JP" w:bidi="ar-EG"/>
        </w:rPr>
        <w:t>متوسطها</w:t>
      </w:r>
      <w:proofErr w:type="spellEnd"/>
      <w:r w:rsidRPr="001827C1">
        <w:rPr>
          <w:rFonts w:ascii="Arabic Typesetting" w:eastAsia="Batang" w:hAnsi="Arabic Typesetting" w:cs="Arabic Typesetting" w:hint="cs"/>
          <w:color w:val="000000"/>
          <w:sz w:val="34"/>
          <w:szCs w:val="34"/>
          <w:rtl/>
          <w:lang w:eastAsia="ja-JP" w:bidi="ar-EG"/>
        </w:rPr>
        <w:t xml:space="preserve"> السنوي 600</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5 تظاهرة (نحو 400</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5 تظاهرة في عام</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2014 و800</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5 تظاهرة في عام</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2015) ونُظمت في مباني الويبو بجنيف؛ مما يُعد رقما ثابتا مقارنة بعدد تظاهرات الثنائية</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2012/13 البالغ 200</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11 تظاهرة. ونُظم نحو</w:t>
      </w:r>
      <w:r w:rsidRPr="001827C1">
        <w:rPr>
          <w:rFonts w:ascii="Arabic Typesetting" w:eastAsia="Batang" w:hAnsi="Arabic Typesetting" w:cs="Arabic Typesetting" w:hint="eastAsia"/>
          <w:color w:val="000000"/>
          <w:sz w:val="34"/>
          <w:szCs w:val="34"/>
          <w:rtl/>
          <w:lang w:eastAsia="ja-JP" w:bidi="ar-EG"/>
        </w:rPr>
        <w:t> </w:t>
      </w:r>
      <w:r w:rsidRPr="001827C1">
        <w:rPr>
          <w:rFonts w:ascii="Arabic Typesetting" w:eastAsia="Batang" w:hAnsi="Arabic Typesetting" w:cs="Arabic Typesetting" w:hint="cs"/>
          <w:color w:val="000000"/>
          <w:sz w:val="34"/>
          <w:szCs w:val="34"/>
          <w:rtl/>
          <w:lang w:eastAsia="ja-JP" w:bidi="ar-EG"/>
        </w:rPr>
        <w:t>140 اجتماعا من تلك الاجتماعات خارج ساعات الاجتماعات العادية</w:t>
      </w:r>
      <w:r w:rsidRPr="001827C1">
        <w:rPr>
          <w:rFonts w:ascii="Arabic Typesetting" w:eastAsia="Batang" w:hAnsi="Arabic Typesetting" w:cs="Arabic Typesetting" w:hint="cs"/>
          <w:color w:val="000000"/>
          <w:sz w:val="34"/>
          <w:szCs w:val="34"/>
          <w:rtl/>
          <w:lang w:eastAsia="ja-JP"/>
        </w:rPr>
        <w:t>، أي بعد الساعة</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6:30 مساءً أو خلال عطل نهاية الأسبوع، مقابل 167</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اجتماعا في الثنائية</w:t>
      </w:r>
      <w:r w:rsidRPr="001827C1">
        <w:rPr>
          <w:rFonts w:ascii="Arabic Typesetting" w:eastAsia="Batang" w:hAnsi="Arabic Typesetting" w:cs="Arabic Typesetting" w:hint="eastAsia"/>
          <w:color w:val="000000"/>
          <w:sz w:val="34"/>
          <w:szCs w:val="34"/>
          <w:rtl/>
          <w:lang w:eastAsia="ja-JP"/>
        </w:rPr>
        <w:t> </w:t>
      </w:r>
      <w:r w:rsidRPr="001827C1">
        <w:rPr>
          <w:rFonts w:ascii="Arabic Typesetting" w:eastAsia="Batang" w:hAnsi="Arabic Typesetting" w:cs="Arabic Typesetting" w:hint="cs"/>
          <w:color w:val="000000"/>
          <w:sz w:val="34"/>
          <w:szCs w:val="34"/>
          <w:rtl/>
          <w:lang w:eastAsia="ja-JP"/>
        </w:rPr>
        <w:t>2012/13.</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1827C1">
        <w:rPr>
          <w:rFonts w:ascii="Arabic Typesetting" w:hAnsi="Arabic Typesetting" w:cs="Arabic Typesetting" w:hint="cs"/>
          <w:sz w:val="34"/>
          <w:szCs w:val="34"/>
          <w:rtl/>
          <w:lang w:bidi="ar-EG"/>
        </w:rPr>
        <w:t>وتجدر الإشارة بوجه خاص إلى الانتقال بسلاسة، في الثنائية، إلى مرافق المؤتمرات الجديدة وبنية التسجيل التحتية الجديدة، وقد دُشن كلاهما في الربع الأخير من عام</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2014. وفي عام</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2015 وعقب سلسلة من المشاورات مع أصحاب المصلح</w:t>
      </w:r>
      <w:r w:rsidR="00330015">
        <w:rPr>
          <w:rFonts w:ascii="Arabic Typesetting" w:hAnsi="Arabic Typesetting" w:cs="Arabic Typesetting" w:hint="cs"/>
          <w:sz w:val="34"/>
          <w:szCs w:val="34"/>
          <w:rtl/>
          <w:lang w:bidi="ar-EG"/>
        </w:rPr>
        <w:t>ة</w:t>
      </w:r>
      <w:r w:rsidRPr="001827C1">
        <w:rPr>
          <w:rFonts w:ascii="Arabic Typesetting" w:hAnsi="Arabic Typesetting" w:cs="Arabic Typesetting" w:hint="cs"/>
          <w:sz w:val="34"/>
          <w:szCs w:val="34"/>
          <w:rtl/>
          <w:lang w:bidi="ar-EG"/>
        </w:rPr>
        <w:t xml:space="preserve"> الداخليين المعنيين، وُضعت شروط الاستخدام اللازم استيفاؤها لتأجير قاعة المؤتمرات الجديدة والمرافق المجاورة لها بالويبو للدول الأعضاء أو الكيانات الخارجية لأغراض تنظيم تظاهرات غير اجتماعات الويبو، واستوفى الشروط خمس من تلك التظاهرات</w:t>
      </w:r>
      <w:r w:rsidRPr="00F96634">
        <w:rPr>
          <w:rFonts w:ascii="Arabic Typesetting" w:hAnsi="Arabic Typesetting" w:cs="Arabic Typesetting"/>
          <w:sz w:val="28"/>
          <w:szCs w:val="28"/>
          <w:vertAlign w:val="superscript"/>
          <w:rtl/>
          <w:lang w:bidi="ar-EG"/>
        </w:rPr>
        <w:footnoteReference w:id="145"/>
      </w:r>
      <w:r w:rsidRPr="001827C1">
        <w:rPr>
          <w:rFonts w:ascii="Arabic Typesetting" w:hAnsi="Arabic Typesetting" w:cs="Arabic Typesetting" w:hint="cs"/>
          <w:sz w:val="34"/>
          <w:szCs w:val="34"/>
          <w:rtl/>
          <w:lang w:bidi="ar-EG"/>
        </w:rPr>
        <w:t>.</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1827C1">
        <w:rPr>
          <w:rFonts w:ascii="Arabic Typesetting" w:eastAsia="Batang" w:hAnsi="Arabic Typesetting" w:cs="Arabic Typesetting" w:hint="cs"/>
          <w:color w:val="000000"/>
          <w:sz w:val="34"/>
          <w:szCs w:val="34"/>
          <w:rtl/>
          <w:lang w:eastAsia="ja-JP" w:bidi="ar-EG"/>
        </w:rPr>
        <w:t>وفيما يخص إتاحة وثائق الاجتماعات في الوقت المناسب</w:t>
      </w:r>
      <w:r w:rsidRPr="001827C1">
        <w:rPr>
          <w:rFonts w:ascii="Arabic Typesetting" w:hAnsi="Arabic Typesetting" w:cs="Arabic Typesetting" w:hint="cs"/>
          <w:sz w:val="34"/>
          <w:szCs w:val="34"/>
          <w:rtl/>
          <w:lang w:bidi="ar-EG"/>
        </w:rPr>
        <w:t>، مكّن نظام رصد تواريخ النشر الذي بدأ تنفيذه في عام</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2014، هو وآليات المتابعة التي نُفذت بالتنسيق مع أمانات الاجتماعات، من تحقيق فعالية في تحسين الملاءمة من حيث التوقيت على مدى الثنائية، وبلغت نسبة التحسين 28</w:t>
      </w:r>
      <w:r w:rsidR="00330015">
        <w:rPr>
          <w:rFonts w:ascii="Arabic Typesetting" w:hAnsi="Arabic Typesetting" w:cs="Arabic Typesetting" w:hint="cs"/>
          <w:sz w:val="34"/>
          <w:szCs w:val="34"/>
          <w:rtl/>
          <w:lang w:bidi="ar-EG"/>
        </w:rPr>
        <w:t xml:space="preserve"> بالمئة</w:t>
      </w:r>
      <w:r w:rsidR="00330015" w:rsidRPr="001827C1">
        <w:rPr>
          <w:rFonts w:ascii="Arabic Typesetting" w:hAnsi="Arabic Typesetting" w:cs="Arabic Typesetting" w:hint="cs"/>
          <w:sz w:val="34"/>
          <w:szCs w:val="34"/>
          <w:rtl/>
          <w:lang w:bidi="ar-EG"/>
        </w:rPr>
        <w:t xml:space="preserve"> </w:t>
      </w:r>
      <w:r w:rsidRPr="001827C1">
        <w:rPr>
          <w:rFonts w:ascii="Arabic Typesetting" w:hAnsi="Arabic Typesetting" w:cs="Arabic Typesetting" w:hint="cs"/>
          <w:sz w:val="34"/>
          <w:szCs w:val="34"/>
          <w:rtl/>
          <w:lang w:bidi="ar-EG"/>
        </w:rPr>
        <w:t>في عام</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2015 (نشر 69</w:t>
      </w:r>
      <w:r w:rsidR="00330015">
        <w:rPr>
          <w:rFonts w:ascii="Arabic Typesetting" w:hAnsi="Arabic Typesetting" w:cs="Arabic Typesetting" w:hint="cs"/>
          <w:sz w:val="34"/>
          <w:szCs w:val="34"/>
          <w:rtl/>
          <w:lang w:bidi="ar-EG"/>
        </w:rPr>
        <w:t xml:space="preserve"> بالمئة</w:t>
      </w:r>
      <w:r w:rsidR="00330015" w:rsidRPr="001827C1">
        <w:rPr>
          <w:rFonts w:ascii="Arabic Typesetting" w:hAnsi="Arabic Typesetting" w:cs="Arabic Typesetting" w:hint="cs"/>
          <w:sz w:val="34"/>
          <w:szCs w:val="34"/>
          <w:rtl/>
          <w:lang w:bidi="ar-EG"/>
        </w:rPr>
        <w:t xml:space="preserve"> </w:t>
      </w:r>
      <w:r w:rsidRPr="001827C1">
        <w:rPr>
          <w:rFonts w:ascii="Arabic Typesetting" w:hAnsi="Arabic Typesetting" w:cs="Arabic Typesetting" w:hint="cs"/>
          <w:sz w:val="34"/>
          <w:szCs w:val="34"/>
          <w:rtl/>
          <w:lang w:bidi="ar-EG"/>
        </w:rPr>
        <w:t>من الوثائق قبل الاجتماعات المعنية بشهرين، مقابل 41</w:t>
      </w:r>
      <w:r w:rsidR="00330015">
        <w:rPr>
          <w:rFonts w:ascii="Arabic Typesetting" w:hAnsi="Arabic Typesetting" w:cs="Arabic Typesetting" w:hint="cs"/>
          <w:sz w:val="34"/>
          <w:szCs w:val="34"/>
          <w:rtl/>
          <w:lang w:bidi="ar-EG"/>
        </w:rPr>
        <w:t xml:space="preserve"> بالمئة</w:t>
      </w:r>
      <w:r w:rsidR="00330015" w:rsidRPr="001827C1">
        <w:rPr>
          <w:rFonts w:ascii="Arabic Typesetting" w:hAnsi="Arabic Typesetting" w:cs="Arabic Typesetting" w:hint="cs"/>
          <w:sz w:val="34"/>
          <w:szCs w:val="34"/>
          <w:rtl/>
          <w:lang w:bidi="ar-EG"/>
        </w:rPr>
        <w:t xml:space="preserve"> </w:t>
      </w:r>
      <w:r w:rsidRPr="001827C1">
        <w:rPr>
          <w:rFonts w:ascii="Arabic Typesetting" w:hAnsi="Arabic Typesetting" w:cs="Arabic Typesetting" w:hint="cs"/>
          <w:sz w:val="34"/>
          <w:szCs w:val="34"/>
          <w:rtl/>
          <w:lang w:bidi="ar-EG"/>
        </w:rPr>
        <w:t>في عام</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2014).</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1827C1">
        <w:rPr>
          <w:rFonts w:ascii="Arabic Typesetting" w:hAnsi="Arabic Typesetting" w:cs="Arabic Typesetting" w:hint="cs"/>
          <w:sz w:val="34"/>
          <w:szCs w:val="34"/>
          <w:rtl/>
          <w:lang w:bidi="ar-EG"/>
        </w:rPr>
        <w:t>وعقب اعتماد سياسة إدارة السجلات وحفظها في الثنائية</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2012/13، أحرز تقدم جيّد في الثنائية</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2014/15 بخصوص إنشاء جداول زمنية للاحتفاظ بالسجلات وتحسين إدارة السجلات وحفظها. وتحقيقا لهذا الغرض، حد</w:t>
      </w:r>
      <w:r w:rsidR="00330015">
        <w:rPr>
          <w:rFonts w:ascii="Arabic Typesetting" w:hAnsi="Arabic Typesetting" w:cs="Arabic Typesetting" w:hint="cs"/>
          <w:sz w:val="34"/>
          <w:szCs w:val="34"/>
          <w:rtl/>
          <w:lang w:bidi="ar-EG"/>
        </w:rPr>
        <w:t>ِّ</w:t>
      </w:r>
      <w:r w:rsidRPr="001827C1">
        <w:rPr>
          <w:rFonts w:ascii="Arabic Typesetting" w:hAnsi="Arabic Typesetting" w:cs="Arabic Typesetting" w:hint="cs"/>
          <w:sz w:val="34"/>
          <w:szCs w:val="34"/>
          <w:rtl/>
          <w:lang w:bidi="ar-EG"/>
        </w:rPr>
        <w:t>ث برنامج</w:t>
      </w:r>
      <w:r w:rsidRPr="001827C1">
        <w:rPr>
          <w:rFonts w:ascii="Arabic Typesetting" w:hAnsi="Arabic Typesetting" w:cs="Arabic Typesetting" w:hint="eastAsia"/>
          <w:sz w:val="34"/>
          <w:szCs w:val="34"/>
          <w:rtl/>
          <w:lang w:bidi="ar-EG"/>
        </w:rPr>
        <w:t> </w:t>
      </w:r>
      <w:proofErr w:type="spellStart"/>
      <w:r w:rsidRPr="001827C1">
        <w:rPr>
          <w:rFonts w:ascii="Arabic Typesetting" w:hAnsi="Arabic Typesetting" w:cs="Arabic Typesetting"/>
          <w:sz w:val="34"/>
          <w:szCs w:val="34"/>
          <w:lang w:bidi="ar-EG"/>
        </w:rPr>
        <w:t>Livelink</w:t>
      </w:r>
      <w:proofErr w:type="spellEnd"/>
      <w:r w:rsidRPr="001827C1">
        <w:rPr>
          <w:rFonts w:ascii="Arabic Typesetting" w:hAnsi="Arabic Typesetting" w:cs="Arabic Typesetting" w:hint="cs"/>
          <w:sz w:val="34"/>
          <w:szCs w:val="34"/>
          <w:rtl/>
          <w:lang w:bidi="ar-EG"/>
        </w:rPr>
        <w:t xml:space="preserve"> (البرنامج الحاسوبي المُستخدم لإدارة السجلات وحفظها) بنجاح في عام</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 xml:space="preserve">2015، مما ضمن ما يلي: "1" تلاؤمه مع </w:t>
      </w:r>
      <w:r w:rsidRPr="001827C1">
        <w:rPr>
          <w:rFonts w:ascii="Arabic Typesetting" w:hAnsi="Arabic Typesetting" w:cs="Arabic Typesetting"/>
          <w:sz w:val="34"/>
          <w:szCs w:val="34"/>
          <w:lang w:bidi="ar-EG"/>
        </w:rPr>
        <w:t>Windows 7</w:t>
      </w:r>
      <w:r w:rsidRPr="001827C1">
        <w:rPr>
          <w:rFonts w:ascii="Arabic Typesetting" w:hAnsi="Arabic Typesetting" w:cs="Arabic Typesetting" w:hint="cs"/>
          <w:sz w:val="34"/>
          <w:szCs w:val="34"/>
          <w:rtl/>
          <w:lang w:bidi="ar-EG"/>
        </w:rPr>
        <w:t xml:space="preserve"> و</w:t>
      </w:r>
      <w:r w:rsidRPr="001827C1">
        <w:rPr>
          <w:rFonts w:ascii="Arabic Typesetting" w:hAnsi="Arabic Typesetting" w:cs="Arabic Typesetting"/>
          <w:sz w:val="34"/>
          <w:szCs w:val="34"/>
          <w:lang w:bidi="ar-EG"/>
        </w:rPr>
        <w:t>Windows Server 2012</w:t>
      </w:r>
      <w:r w:rsidRPr="001827C1">
        <w:rPr>
          <w:rFonts w:ascii="Arabic Typesetting" w:hAnsi="Arabic Typesetting" w:cs="Arabic Typesetting" w:hint="cs"/>
          <w:sz w:val="34"/>
          <w:szCs w:val="34"/>
          <w:rtl/>
        </w:rPr>
        <w:t>؛ "2" واستمرار العمل الخاص بتدوين سجلات ومحفوظات الويبو وتخزينها؛ "3"</w:t>
      </w:r>
      <w:r w:rsidR="00330015">
        <w:rPr>
          <w:rFonts w:ascii="Arabic Typesetting" w:hAnsi="Arabic Typesetting" w:cs="Arabic Typesetting" w:hint="eastAsia"/>
          <w:sz w:val="34"/>
          <w:szCs w:val="34"/>
          <w:rtl/>
        </w:rPr>
        <w:t> </w:t>
      </w:r>
      <w:r w:rsidRPr="001827C1">
        <w:rPr>
          <w:rFonts w:ascii="Arabic Typesetting" w:hAnsi="Arabic Typesetting" w:cs="Arabic Typesetting" w:hint="cs"/>
          <w:sz w:val="34"/>
          <w:szCs w:val="34"/>
          <w:rtl/>
        </w:rPr>
        <w:t>وتوفير حل أفضل لحفظ وثائق مختلف القطاعات.</w:t>
      </w:r>
    </w:p>
    <w:p w:rsidR="00E43EC5" w:rsidRPr="001827C1" w:rsidRDefault="00E43EC5" w:rsidP="009A3712">
      <w:pPr>
        <w:keepLines/>
        <w:numPr>
          <w:ilvl w:val="0"/>
          <w:numId w:val="42"/>
        </w:numPr>
        <w:tabs>
          <w:tab w:val="left" w:pos="709"/>
        </w:tabs>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1827C1">
        <w:rPr>
          <w:rFonts w:ascii="Arabic Typesetting" w:hAnsi="Arabic Typesetting" w:cs="Arabic Typesetting" w:hint="cs"/>
          <w:sz w:val="34"/>
          <w:szCs w:val="34"/>
          <w:rtl/>
        </w:rPr>
        <w:lastRenderedPageBreak/>
        <w:t>وواصل البرنامج جهوده الرامية إلى خفض تكاليف البريد من خلال التفاوض على التعريفات مع مقدمي الخدمات الخارجيين، وزيادة استخدام خيارات بريدية أكثر فعالية من حيث التكاليف (البريد المُسجّل خلاف البريد السريع)، وإدراج نظام لتجميع العناوين، مما أسفر عن خفض عدد العناصر المُرسلة بنسبة أربعة بالمئة في عام</w:t>
      </w:r>
      <w:r w:rsidRPr="001827C1">
        <w:rPr>
          <w:rFonts w:ascii="Arabic Typesetting" w:hAnsi="Arabic Typesetting" w:cs="Arabic Typesetting" w:hint="eastAsia"/>
          <w:sz w:val="34"/>
          <w:szCs w:val="34"/>
          <w:rtl/>
        </w:rPr>
        <w:t> </w:t>
      </w:r>
      <w:r w:rsidRPr="001827C1">
        <w:rPr>
          <w:rFonts w:ascii="Arabic Typesetting" w:hAnsi="Arabic Typesetting" w:cs="Arabic Typesetting" w:hint="cs"/>
          <w:sz w:val="34"/>
          <w:szCs w:val="34"/>
          <w:rtl/>
        </w:rPr>
        <w:t>2015 مقارنة بعام</w:t>
      </w:r>
      <w:r w:rsidRPr="001827C1">
        <w:rPr>
          <w:rFonts w:ascii="Arabic Typesetting" w:hAnsi="Arabic Typesetting" w:cs="Arabic Typesetting" w:hint="eastAsia"/>
          <w:sz w:val="34"/>
          <w:szCs w:val="34"/>
          <w:rtl/>
        </w:rPr>
        <w:t> </w:t>
      </w:r>
      <w:r w:rsidRPr="001827C1">
        <w:rPr>
          <w:rFonts w:ascii="Arabic Typesetting" w:hAnsi="Arabic Typesetting" w:cs="Arabic Typesetting" w:hint="cs"/>
          <w:sz w:val="34"/>
          <w:szCs w:val="34"/>
          <w:rtl/>
        </w:rPr>
        <w:t>2014. وأدت هذه الجهود المتضافرة عموما إلى انخفاض عام في تكاليف البريد بنسبة</w:t>
      </w:r>
      <w:r w:rsidRPr="001827C1">
        <w:rPr>
          <w:rFonts w:ascii="Arabic Typesetting" w:hAnsi="Arabic Typesetting" w:cs="Arabic Typesetting" w:hint="eastAsia"/>
          <w:sz w:val="34"/>
          <w:szCs w:val="34"/>
          <w:rtl/>
        </w:rPr>
        <w:t> </w:t>
      </w:r>
      <w:r w:rsidRPr="001827C1">
        <w:rPr>
          <w:rFonts w:ascii="Arabic Typesetting" w:hAnsi="Arabic Typesetting" w:cs="Arabic Typesetting" w:hint="cs"/>
          <w:sz w:val="34"/>
          <w:szCs w:val="34"/>
          <w:rtl/>
        </w:rPr>
        <w:t>7.2</w:t>
      </w:r>
      <w:r w:rsidR="003D0697">
        <w:rPr>
          <w:rFonts w:ascii="Arabic Typesetting" w:hAnsi="Arabic Typesetting" w:cs="Arabic Typesetting" w:hint="cs"/>
          <w:sz w:val="34"/>
          <w:szCs w:val="34"/>
          <w:rtl/>
        </w:rPr>
        <w:t xml:space="preserve"> بالمئة</w:t>
      </w:r>
      <w:r w:rsidR="003D0697" w:rsidRPr="001827C1">
        <w:rPr>
          <w:rFonts w:ascii="Arabic Typesetting" w:hAnsi="Arabic Typesetting" w:cs="Arabic Typesetting" w:hint="cs"/>
          <w:sz w:val="34"/>
          <w:szCs w:val="34"/>
          <w:rtl/>
        </w:rPr>
        <w:t xml:space="preserve"> </w:t>
      </w:r>
      <w:r w:rsidRPr="001827C1">
        <w:rPr>
          <w:rFonts w:ascii="Arabic Typesetting" w:hAnsi="Arabic Typesetting" w:cs="Arabic Typesetting" w:hint="cs"/>
          <w:sz w:val="34"/>
          <w:szCs w:val="34"/>
          <w:rtl/>
        </w:rPr>
        <w:t>في عام</w:t>
      </w:r>
      <w:r w:rsidRPr="001827C1">
        <w:rPr>
          <w:rFonts w:ascii="Arabic Typesetting" w:hAnsi="Arabic Typesetting" w:cs="Arabic Typesetting" w:hint="eastAsia"/>
          <w:sz w:val="34"/>
          <w:szCs w:val="34"/>
          <w:rtl/>
        </w:rPr>
        <w:t> </w:t>
      </w:r>
      <w:r w:rsidRPr="001827C1">
        <w:rPr>
          <w:rFonts w:ascii="Arabic Typesetting" w:hAnsi="Arabic Typesetting" w:cs="Arabic Typesetting" w:hint="cs"/>
          <w:sz w:val="34"/>
          <w:szCs w:val="34"/>
          <w:rtl/>
        </w:rPr>
        <w:t>2015 مقارنة بعام</w:t>
      </w:r>
      <w:r w:rsidRPr="001827C1">
        <w:rPr>
          <w:rFonts w:ascii="Arabic Typesetting" w:hAnsi="Arabic Typesetting" w:cs="Arabic Typesetting" w:hint="eastAsia"/>
          <w:sz w:val="34"/>
          <w:szCs w:val="34"/>
          <w:rtl/>
        </w:rPr>
        <w:t> </w:t>
      </w:r>
      <w:r w:rsidRPr="001827C1">
        <w:rPr>
          <w:rFonts w:ascii="Arabic Typesetting" w:hAnsi="Arabic Typesetting" w:cs="Arabic Typesetting" w:hint="cs"/>
          <w:sz w:val="34"/>
          <w:szCs w:val="34"/>
          <w:rtl/>
        </w:rPr>
        <w:t>2014 وبنسبة</w:t>
      </w:r>
      <w:r w:rsidRPr="001827C1">
        <w:rPr>
          <w:rFonts w:ascii="Arabic Typesetting" w:hAnsi="Arabic Typesetting" w:cs="Arabic Typesetting" w:hint="eastAsia"/>
          <w:sz w:val="34"/>
          <w:szCs w:val="34"/>
          <w:rtl/>
        </w:rPr>
        <w:t> </w:t>
      </w:r>
      <w:r w:rsidRPr="001827C1">
        <w:rPr>
          <w:rFonts w:ascii="Arabic Typesetting" w:hAnsi="Arabic Typesetting" w:cs="Arabic Typesetting" w:hint="cs"/>
          <w:sz w:val="34"/>
          <w:szCs w:val="34"/>
          <w:rtl/>
        </w:rPr>
        <w:t>11</w:t>
      </w:r>
      <w:r w:rsidR="003D0697">
        <w:rPr>
          <w:rFonts w:ascii="Arabic Typesetting" w:hAnsi="Arabic Typesetting" w:cs="Arabic Typesetting" w:hint="cs"/>
          <w:sz w:val="34"/>
          <w:szCs w:val="34"/>
          <w:rtl/>
        </w:rPr>
        <w:t xml:space="preserve"> بالمئة</w:t>
      </w:r>
      <w:r w:rsidR="003D0697" w:rsidRPr="001827C1">
        <w:rPr>
          <w:rFonts w:ascii="Arabic Typesetting" w:hAnsi="Arabic Typesetting" w:cs="Arabic Typesetting" w:hint="cs"/>
          <w:sz w:val="34"/>
          <w:szCs w:val="34"/>
          <w:rtl/>
        </w:rPr>
        <w:t xml:space="preserve"> </w:t>
      </w:r>
      <w:r w:rsidRPr="001827C1">
        <w:rPr>
          <w:rFonts w:ascii="Arabic Typesetting" w:hAnsi="Arabic Typesetting" w:cs="Arabic Typesetting" w:hint="cs"/>
          <w:sz w:val="34"/>
          <w:szCs w:val="34"/>
          <w:rtl/>
        </w:rPr>
        <w:t>مقارنة بعام</w:t>
      </w:r>
      <w:r w:rsidRPr="001827C1">
        <w:rPr>
          <w:rFonts w:ascii="Arabic Typesetting" w:hAnsi="Arabic Typesetting" w:cs="Arabic Typesetting" w:hint="eastAsia"/>
          <w:sz w:val="34"/>
          <w:szCs w:val="34"/>
          <w:rtl/>
        </w:rPr>
        <w:t> </w:t>
      </w:r>
      <w:r w:rsidRPr="001827C1">
        <w:rPr>
          <w:rFonts w:ascii="Arabic Typesetting" w:hAnsi="Arabic Typesetting" w:cs="Arabic Typesetting" w:hint="cs"/>
          <w:sz w:val="34"/>
          <w:szCs w:val="34"/>
          <w:rtl/>
        </w:rPr>
        <w:t>2013.</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hAnsi="Arabic Typesetting" w:cs="Arabic Typesetting"/>
          <w:sz w:val="34"/>
          <w:szCs w:val="34"/>
          <w:lang w:bidi="ar-EG"/>
        </w:rPr>
      </w:pPr>
      <w:r w:rsidRPr="001827C1">
        <w:rPr>
          <w:rFonts w:ascii="Arabic Typesetting" w:hAnsi="Arabic Typesetting" w:cs="Arabic Typesetting" w:hint="cs"/>
          <w:sz w:val="34"/>
          <w:szCs w:val="34"/>
          <w:rtl/>
          <w:lang w:bidi="ar-EG"/>
        </w:rPr>
        <w:t xml:space="preserve">وفي الثنائية 2014/15 واصلت الويبو توفير خدمات الطباعة بطريقة فعالة وفي الوقت المناسب. وظلّ عبء العمل الخاص بالطباعة في مستويات مماثلة في عامي الثنائية كليهما. </w:t>
      </w:r>
      <w:r w:rsidR="003D0697">
        <w:rPr>
          <w:rFonts w:ascii="Arabic Typesetting" w:hAnsi="Arabic Typesetting" w:cs="Arabic Typesetting" w:hint="cs"/>
          <w:sz w:val="34"/>
          <w:szCs w:val="34"/>
          <w:rtl/>
          <w:lang w:bidi="ar-EG"/>
        </w:rPr>
        <w:t>وفضلاً عن</w:t>
      </w:r>
      <w:r w:rsidRPr="001827C1">
        <w:rPr>
          <w:rFonts w:ascii="Arabic Typesetting" w:hAnsi="Arabic Typesetting" w:cs="Arabic Typesetting" w:hint="cs"/>
          <w:sz w:val="34"/>
          <w:szCs w:val="34"/>
          <w:rtl/>
          <w:lang w:bidi="ar-EG"/>
        </w:rPr>
        <w:t xml:space="preserve"> ذلك أبقي على الانخفاض المحقّق في عام</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2014 في تكلفة الطباعة للصفحة الواحدة بنسبة</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25</w:t>
      </w:r>
      <w:r w:rsidR="003D0697">
        <w:rPr>
          <w:rFonts w:ascii="Arabic Typesetting" w:hAnsi="Arabic Typesetting" w:cs="Arabic Typesetting" w:hint="cs"/>
          <w:sz w:val="34"/>
          <w:szCs w:val="34"/>
          <w:rtl/>
          <w:lang w:bidi="ar-EG"/>
        </w:rPr>
        <w:t xml:space="preserve"> بالمئة</w:t>
      </w:r>
      <w:r w:rsidR="003D0697" w:rsidRPr="001827C1">
        <w:rPr>
          <w:rFonts w:ascii="Arabic Typesetting" w:hAnsi="Arabic Typesetting" w:cs="Arabic Typesetting" w:hint="cs"/>
          <w:sz w:val="34"/>
          <w:szCs w:val="34"/>
          <w:rtl/>
          <w:lang w:bidi="ar-EG"/>
        </w:rPr>
        <w:t xml:space="preserve"> </w:t>
      </w:r>
      <w:r w:rsidRPr="001827C1">
        <w:rPr>
          <w:rFonts w:ascii="Arabic Typesetting" w:hAnsi="Arabic Typesetting" w:cs="Arabic Typesetting" w:hint="cs"/>
          <w:sz w:val="34"/>
          <w:szCs w:val="34"/>
          <w:rtl/>
          <w:lang w:bidi="ar-EG"/>
        </w:rPr>
        <w:t>نتيجة إعادة التفاوض على خدمات التأجير، في مستوى 0.15</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فرنك سويسري في عام</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2015، مقابل 0.20</w:t>
      </w:r>
      <w:r w:rsidRPr="001827C1">
        <w:rPr>
          <w:rFonts w:ascii="Arabic Typesetting" w:hAnsi="Arabic Typesetting" w:cs="Arabic Typesetting" w:hint="eastAsia"/>
          <w:sz w:val="34"/>
          <w:szCs w:val="34"/>
          <w:rtl/>
          <w:lang w:bidi="ar-EG"/>
        </w:rPr>
        <w:t> </w:t>
      </w:r>
      <w:r w:rsidRPr="001827C1">
        <w:rPr>
          <w:rFonts w:ascii="Arabic Typesetting" w:hAnsi="Arabic Typesetting" w:cs="Arabic Typesetting" w:hint="cs"/>
          <w:sz w:val="34"/>
          <w:szCs w:val="34"/>
          <w:rtl/>
          <w:lang w:bidi="ar-EG"/>
        </w:rPr>
        <w:t>فرنك سويسري</w:t>
      </w:r>
      <w:r w:rsidR="003D0697" w:rsidRPr="00F96634">
        <w:rPr>
          <w:rFonts w:ascii="Arabic Typesetting" w:hAnsi="Arabic Typesetting" w:cs="Arabic Typesetting"/>
          <w:sz w:val="28"/>
          <w:szCs w:val="28"/>
          <w:vertAlign w:val="superscript"/>
          <w:rtl/>
          <w:lang w:bidi="ar-EG"/>
        </w:rPr>
        <w:footnoteReference w:id="146"/>
      </w:r>
      <w:r w:rsidRPr="001827C1">
        <w:rPr>
          <w:rFonts w:ascii="Arabic Typesetting" w:hAnsi="Arabic Typesetting" w:cs="Arabic Typesetting" w:hint="cs"/>
          <w:sz w:val="34"/>
          <w:szCs w:val="34"/>
          <w:rtl/>
          <w:lang w:bidi="ar-EG"/>
        </w:rPr>
        <w:t xml:space="preserve"> في نهاية عام 2013.</w:t>
      </w:r>
    </w:p>
    <w:p w:rsidR="00E43EC5" w:rsidRPr="001827C1" w:rsidRDefault="00E43EC5" w:rsidP="00E43EC5">
      <w:pPr>
        <w:keepNext/>
        <w:bidi/>
        <w:spacing w:after="120" w:line="340" w:lineRule="exact"/>
        <w:jc w:val="both"/>
        <w:rPr>
          <w:rFonts w:ascii="Arabic Typesetting" w:hAnsi="Arabic Typesetting" w:cs="Arabic Typesetting"/>
          <w:sz w:val="34"/>
          <w:szCs w:val="34"/>
          <w:lang w:bidi="ar-EG"/>
        </w:rPr>
      </w:pPr>
      <w:r w:rsidRPr="001827C1">
        <w:rPr>
          <w:rFonts w:ascii="Arabic Typesetting" w:hAnsi="Arabic Typesetting" w:cs="Arabic Typesetting"/>
          <w:sz w:val="34"/>
          <w:szCs w:val="34"/>
          <w:rtl/>
          <w:lang w:bidi="ar-EG"/>
        </w:rPr>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14"/>
        <w:gridCol w:w="2251"/>
        <w:gridCol w:w="1710"/>
        <w:gridCol w:w="2502"/>
        <w:gridCol w:w="1280"/>
      </w:tblGrid>
      <w:tr w:rsidR="003D0697" w:rsidRPr="001827C1" w:rsidTr="003D0697">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3D0697" w:rsidRPr="001827C1" w:rsidRDefault="003D0697" w:rsidP="00285760">
            <w:pPr>
              <w:keepNext/>
              <w:bidi/>
              <w:spacing w:after="60" w:line="280" w:lineRule="exact"/>
              <w:ind w:left="1167" w:hanging="1167"/>
              <w:rPr>
                <w:rFonts w:ascii="Arabic Typesetting" w:hAnsi="Arabic Typesetting" w:cs="Arabic Typesetting"/>
                <w:b/>
                <w:bCs/>
                <w:sz w:val="28"/>
                <w:szCs w:val="28"/>
                <w:lang w:bidi="ar-EG"/>
              </w:rPr>
            </w:pPr>
            <w:r w:rsidRPr="001827C1">
              <w:rPr>
                <w:rFonts w:ascii="Arabic Typesetting" w:eastAsia="Arial" w:hAnsi="Arabic Typesetting" w:cs="Arabic Typesetting"/>
                <w:b/>
                <w:bCs/>
                <w:sz w:val="28"/>
                <w:szCs w:val="28"/>
                <w:rtl/>
                <w:lang w:bidi="ar-EG"/>
              </w:rPr>
              <w:t>النتيجة المرتقبة:</w:t>
            </w:r>
            <w:r w:rsidRPr="001827C1">
              <w:rPr>
                <w:rFonts w:ascii="Arabic Typesetting" w:eastAsia="Arial" w:hAnsi="Arabic Typesetting" w:cs="Arabic Typesetting"/>
                <w:b/>
                <w:bCs/>
                <w:sz w:val="28"/>
                <w:szCs w:val="28"/>
                <w:rtl/>
                <w:lang w:bidi="ar-EG"/>
              </w:rPr>
              <w:tab/>
            </w:r>
            <w:r w:rsidRPr="001827C1">
              <w:rPr>
                <w:rFonts w:ascii="Arabic Typesetting" w:eastAsia="Arial" w:hAnsi="Arabic Typesetting" w:cs="Arabic Typesetting"/>
                <w:b/>
                <w:sz w:val="28"/>
                <w:szCs w:val="28"/>
                <w:rtl/>
                <w:lang w:bidi="ar-EG"/>
              </w:rPr>
              <w:t xml:space="preserve">ھ1.9 </w:t>
            </w:r>
            <w:r w:rsidR="003F15BC">
              <w:rPr>
                <w:rFonts w:ascii="Arabic Typesetting" w:hAnsi="Arabic Typesetting" w:cs="Arabic Typesetting"/>
                <w:sz w:val="28"/>
                <w:szCs w:val="28"/>
                <w:rtl/>
                <w:lang w:bidi="ar-EG"/>
              </w:rPr>
              <w:t>خدمات دعم فعالة وناجعة وذات جودة موجهة نحو الزبائن لفائدة الزبائن الداخليين وأصحاب المصالح الخارجيين</w:t>
            </w:r>
          </w:p>
        </w:tc>
      </w:tr>
      <w:tr w:rsidR="00E43EC5" w:rsidRPr="001827C1" w:rsidTr="00E43EC5">
        <w:trPr>
          <w:cantSplit/>
        </w:trPr>
        <w:tc>
          <w:tcPr>
            <w:tcW w:w="862" w:type="pct"/>
            <w:tcBorders>
              <w:top w:val="single" w:sz="4" w:space="0" w:color="auto"/>
              <w:bottom w:val="nil"/>
              <w:right w:val="nil"/>
            </w:tcBorders>
            <w:vAlign w:val="center"/>
          </w:tcPr>
          <w:p w:rsidR="00E43EC5" w:rsidRPr="001827C1" w:rsidRDefault="00E43EC5" w:rsidP="003D0697">
            <w:pPr>
              <w:keepNext/>
              <w:bidi/>
              <w:spacing w:before="60" w:after="60" w:line="280" w:lineRule="exact"/>
              <w:rPr>
                <w:rFonts w:ascii="Arabic Typesetting" w:hAnsi="Arabic Typesetting" w:cs="Arabic Typesetting"/>
                <w:sz w:val="28"/>
                <w:szCs w:val="28"/>
                <w:lang w:bidi="ar-EG"/>
              </w:rPr>
            </w:pPr>
            <w:r w:rsidRPr="001827C1">
              <w:rPr>
                <w:rFonts w:ascii="Arabic Typesetting" w:eastAsia="Arial" w:hAnsi="Arabic Typesetting" w:cs="Arabic Typesetting"/>
                <w:b/>
                <w:bCs/>
                <w:sz w:val="28"/>
                <w:szCs w:val="28"/>
                <w:rtl/>
                <w:lang w:bidi="ar-EG"/>
              </w:rPr>
              <w:t>مؤشرات الأداء</w:t>
            </w:r>
          </w:p>
        </w:tc>
        <w:tc>
          <w:tcPr>
            <w:tcW w:w="1203" w:type="pct"/>
            <w:tcBorders>
              <w:top w:val="single" w:sz="4" w:space="0" w:color="auto"/>
              <w:left w:val="nil"/>
              <w:bottom w:val="nil"/>
              <w:right w:val="nil"/>
            </w:tcBorders>
            <w:vAlign w:val="center"/>
          </w:tcPr>
          <w:p w:rsidR="00E43EC5" w:rsidRPr="001827C1" w:rsidRDefault="00E43EC5" w:rsidP="00952267">
            <w:pPr>
              <w:keepNext/>
              <w:bidi/>
              <w:spacing w:before="60" w:after="60" w:line="280" w:lineRule="exact"/>
              <w:rPr>
                <w:rFonts w:ascii="Arabic Typesetting" w:hAnsi="Arabic Typesetting" w:cs="Arabic Typesetting"/>
                <w:b/>
                <w:bCs/>
                <w:sz w:val="28"/>
                <w:szCs w:val="28"/>
                <w:lang w:bidi="ar-EG"/>
              </w:rPr>
            </w:pPr>
            <w:r w:rsidRPr="001827C1">
              <w:rPr>
                <w:rFonts w:ascii="Arabic Typesetting" w:eastAsia="Arial" w:hAnsi="Arabic Typesetting" w:cs="Arabic Typesetting"/>
                <w:b/>
                <w:bCs/>
                <w:sz w:val="28"/>
                <w:szCs w:val="28"/>
                <w:rtl/>
                <w:lang w:bidi="ar-EG"/>
              </w:rPr>
              <w:t>أسس المقارنة</w:t>
            </w:r>
          </w:p>
        </w:tc>
        <w:tc>
          <w:tcPr>
            <w:tcW w:w="914" w:type="pct"/>
            <w:tcBorders>
              <w:top w:val="single" w:sz="4" w:space="0" w:color="auto"/>
              <w:left w:val="nil"/>
              <w:bottom w:val="nil"/>
              <w:right w:val="nil"/>
            </w:tcBorders>
            <w:tcMar>
              <w:top w:w="110" w:type="dxa"/>
            </w:tcMar>
            <w:vAlign w:val="center"/>
          </w:tcPr>
          <w:p w:rsidR="00E43EC5" w:rsidRPr="001827C1" w:rsidRDefault="00E43EC5" w:rsidP="001B6640">
            <w:pPr>
              <w:keepNext/>
              <w:bidi/>
              <w:spacing w:before="60" w:after="60" w:line="280" w:lineRule="exact"/>
              <w:rPr>
                <w:rFonts w:ascii="Arabic Typesetting" w:hAnsi="Arabic Typesetting" w:cs="Arabic Typesetting"/>
                <w:b/>
                <w:sz w:val="28"/>
                <w:szCs w:val="28"/>
                <w:lang w:bidi="ar-EG"/>
              </w:rPr>
            </w:pPr>
            <w:r w:rsidRPr="001827C1">
              <w:rPr>
                <w:rFonts w:ascii="Arabic Typesetting" w:eastAsia="Arial" w:hAnsi="Arabic Typesetting" w:cs="Arabic Typesetting"/>
                <w:b/>
                <w:bCs/>
                <w:sz w:val="28"/>
                <w:szCs w:val="28"/>
                <w:rtl/>
                <w:lang w:bidi="ar-EG"/>
              </w:rPr>
              <w:t xml:space="preserve">الأهداف </w:t>
            </w:r>
          </w:p>
        </w:tc>
        <w:tc>
          <w:tcPr>
            <w:tcW w:w="1337" w:type="pct"/>
            <w:tcBorders>
              <w:top w:val="single" w:sz="4" w:space="0" w:color="auto"/>
              <w:left w:val="nil"/>
              <w:bottom w:val="nil"/>
              <w:right w:val="nil"/>
            </w:tcBorders>
            <w:shd w:val="clear" w:color="auto" w:fill="FFFFFF"/>
            <w:tcMar>
              <w:top w:w="110" w:type="dxa"/>
            </w:tcMar>
            <w:vAlign w:val="center"/>
          </w:tcPr>
          <w:p w:rsidR="00E43EC5" w:rsidRPr="001827C1" w:rsidRDefault="00E43EC5" w:rsidP="001B6640">
            <w:pPr>
              <w:keepNext/>
              <w:bidi/>
              <w:spacing w:before="60" w:after="60" w:line="280" w:lineRule="exact"/>
              <w:rPr>
                <w:rFonts w:ascii="Arabic Typesetting" w:hAnsi="Arabic Typesetting" w:cs="Arabic Typesetting"/>
                <w:sz w:val="28"/>
                <w:szCs w:val="28"/>
                <w:lang w:bidi="ar-EG"/>
              </w:rPr>
            </w:pPr>
            <w:r w:rsidRPr="001827C1">
              <w:rPr>
                <w:rFonts w:ascii="Arabic Typesetting" w:eastAsia="Arial" w:hAnsi="Arabic Typesetting" w:cs="Arabic Typesetting"/>
                <w:b/>
                <w:bCs/>
                <w:sz w:val="28"/>
                <w:szCs w:val="28"/>
                <w:rtl/>
                <w:lang w:bidi="ar-EG"/>
              </w:rPr>
              <w:t>البيانات المتعلقة بالأداء</w:t>
            </w:r>
          </w:p>
        </w:tc>
        <w:tc>
          <w:tcPr>
            <w:tcW w:w="684" w:type="pct"/>
            <w:tcBorders>
              <w:top w:val="single" w:sz="4" w:space="0" w:color="auto"/>
              <w:left w:val="nil"/>
              <w:bottom w:val="nil"/>
            </w:tcBorders>
            <w:shd w:val="clear" w:color="auto" w:fill="auto"/>
            <w:tcMar>
              <w:top w:w="110" w:type="dxa"/>
            </w:tcMar>
            <w:vAlign w:val="center"/>
          </w:tcPr>
          <w:p w:rsidR="00E43EC5" w:rsidRPr="001827C1" w:rsidRDefault="00E43EC5" w:rsidP="001B6640">
            <w:pPr>
              <w:keepNext/>
              <w:bidi/>
              <w:spacing w:before="60" w:after="60" w:line="280" w:lineRule="exact"/>
              <w:jc w:val="center"/>
              <w:rPr>
                <w:rFonts w:ascii="Arabic Typesetting" w:hAnsi="Arabic Typesetting" w:cs="Arabic Typesetting"/>
                <w:b/>
                <w:bCs/>
                <w:sz w:val="28"/>
                <w:szCs w:val="28"/>
                <w:lang w:bidi="ar-EG"/>
              </w:rPr>
            </w:pPr>
            <w:r w:rsidRPr="001827C1">
              <w:rPr>
                <w:rFonts w:ascii="Arabic Typesetting" w:eastAsia="Arial" w:hAnsi="Arabic Typesetting" w:cs="Arabic Typesetting"/>
                <w:b/>
                <w:bCs/>
                <w:sz w:val="28"/>
                <w:szCs w:val="28"/>
                <w:rtl/>
                <w:lang w:bidi="ar-EG"/>
              </w:rPr>
              <w:t>السير</w:t>
            </w:r>
          </w:p>
        </w:tc>
      </w:tr>
      <w:tr w:rsidR="00E43EC5" w:rsidRPr="001827C1" w:rsidTr="00E43EC5">
        <w:trPr>
          <w:cantSplit/>
        </w:trPr>
        <w:tc>
          <w:tcPr>
            <w:tcW w:w="862" w:type="pct"/>
            <w:tcBorders>
              <w:top w:val="nil"/>
            </w:tcBorders>
          </w:tcPr>
          <w:p w:rsidR="00E43EC5" w:rsidRPr="001827C1" w:rsidRDefault="00E43EC5" w:rsidP="003D0697">
            <w:pPr>
              <w:bidi/>
              <w:spacing w:before="60" w:after="60" w:line="280" w:lineRule="exact"/>
              <w:ind w:leftChars="-1" w:left="4" w:hangingChars="2" w:hanging="6"/>
              <w:rPr>
                <w:rFonts w:ascii="Arabic Typesetting" w:hAnsi="Arabic Typesetting" w:cs="Arabic Typesetting"/>
                <w:sz w:val="28"/>
                <w:szCs w:val="28"/>
                <w:lang w:bidi="ar-EG"/>
              </w:rPr>
            </w:pPr>
            <w:r w:rsidRPr="001827C1">
              <w:rPr>
                <w:rFonts w:ascii="Arabic Typesetting" w:eastAsia="Arial" w:hAnsi="Arabic Typesetting" w:cs="Arabic Typesetting"/>
                <w:sz w:val="28"/>
                <w:szCs w:val="28"/>
                <w:rtl/>
                <w:lang w:bidi="ar-EG"/>
              </w:rPr>
              <w:t>النسبة المئوية للمشاركين الداخليين والخارجيين الراضين عن خدمات المؤتمرات في الويبو</w:t>
            </w:r>
          </w:p>
        </w:tc>
        <w:tc>
          <w:tcPr>
            <w:tcW w:w="1203" w:type="pct"/>
            <w:tcBorders>
              <w:top w:val="nil"/>
            </w:tcBorders>
          </w:tcPr>
          <w:p w:rsidR="00E43EC5" w:rsidRPr="001827C1" w:rsidRDefault="00E43EC5" w:rsidP="003D0697">
            <w:pPr>
              <w:bidi/>
              <w:spacing w:before="60" w:after="60" w:line="280" w:lineRule="exact"/>
              <w:rPr>
                <w:rFonts w:ascii="Arabic Typesetting" w:hAnsi="Arabic Typesetting" w:cs="Arabic Typesetting"/>
                <w:b/>
                <w:i/>
                <w:iCs/>
                <w:color w:val="002060"/>
                <w:sz w:val="28"/>
                <w:szCs w:val="28"/>
                <w:rtl/>
                <w:lang w:bidi="ar-EG"/>
              </w:rPr>
            </w:pPr>
            <w:r w:rsidRPr="001827C1">
              <w:rPr>
                <w:rFonts w:ascii="Arabic Typesetting" w:hAnsi="Arabic Typesetting" w:cs="Arabic Typesetting"/>
                <w:b/>
                <w:i/>
                <w:iCs/>
                <w:color w:val="002060"/>
                <w:sz w:val="28"/>
                <w:szCs w:val="28"/>
                <w:rtl/>
                <w:lang w:bidi="ar-EG"/>
              </w:rPr>
              <w:t xml:space="preserve">أسس المقارنة المحدّثة في نهاية 2013: </w:t>
            </w:r>
            <w:r w:rsidRPr="001827C1">
              <w:rPr>
                <w:rFonts w:ascii="Arabic Typesetting" w:hAnsi="Arabic Typesetting" w:cs="Arabic Typesetting"/>
                <w:b/>
                <w:sz w:val="28"/>
                <w:szCs w:val="28"/>
                <w:rtl/>
                <w:lang w:bidi="ar-EG"/>
              </w:rPr>
              <w:t xml:space="preserve">تبين نتائج الدراسات الاستقصائية عن الرضا المنجزة في عام </w:t>
            </w:r>
            <w:r w:rsidRPr="001827C1">
              <w:rPr>
                <w:rFonts w:ascii="Arabic Typesetting" w:hAnsi="Arabic Typesetting" w:cs="Arabic Typesetting" w:hint="cs"/>
                <w:b/>
                <w:sz w:val="28"/>
                <w:szCs w:val="28"/>
                <w:rtl/>
                <w:lang w:bidi="ar-EG"/>
              </w:rPr>
              <w:t>2013</w:t>
            </w:r>
            <w:r w:rsidRPr="001827C1">
              <w:rPr>
                <w:rFonts w:ascii="Arabic Typesetting" w:hAnsi="Arabic Typesetting" w:cs="Arabic Typesetting"/>
                <w:b/>
                <w:sz w:val="28"/>
                <w:szCs w:val="28"/>
                <w:rtl/>
                <w:lang w:bidi="ar-EG"/>
              </w:rPr>
              <w:t xml:space="preserve"> أن نسبة </w:t>
            </w:r>
            <w:r w:rsidRPr="001827C1">
              <w:rPr>
                <w:rFonts w:ascii="Arabic Typesetting" w:hAnsi="Arabic Typesetting" w:cs="Arabic Typesetting" w:hint="cs"/>
                <w:b/>
                <w:sz w:val="28"/>
                <w:szCs w:val="28"/>
                <w:rtl/>
                <w:lang w:bidi="ar-EG"/>
              </w:rPr>
              <w:t>98</w:t>
            </w:r>
            <w:r w:rsidRPr="001827C1">
              <w:rPr>
                <w:rFonts w:ascii="Arabic Typesetting" w:hAnsi="Arabic Typesetting" w:cs="Arabic Typesetting"/>
                <w:b/>
                <w:sz w:val="28"/>
                <w:szCs w:val="28"/>
                <w:rtl/>
                <w:lang w:bidi="ar-EG"/>
              </w:rPr>
              <w:t>% من المستخدمين يعتبرون الجودة العامة لخدمات المؤتمرات التي تقدمها الويبو ممتازة (</w:t>
            </w:r>
            <w:r w:rsidRPr="001827C1">
              <w:rPr>
                <w:rFonts w:ascii="Arabic Typesetting" w:hAnsi="Arabic Typesetting" w:cs="Arabic Typesetting" w:hint="cs"/>
                <w:b/>
                <w:sz w:val="28"/>
                <w:szCs w:val="28"/>
                <w:rtl/>
                <w:lang w:bidi="ar-EG"/>
              </w:rPr>
              <w:t>64</w:t>
            </w:r>
            <w:r w:rsidRPr="001827C1">
              <w:rPr>
                <w:rFonts w:ascii="Arabic Typesetting" w:hAnsi="Arabic Typesetting" w:cs="Arabic Typesetting"/>
                <w:b/>
                <w:sz w:val="28"/>
                <w:szCs w:val="28"/>
                <w:rtl/>
                <w:lang w:bidi="ar-EG"/>
              </w:rPr>
              <w:t>%) أو جيدة (</w:t>
            </w:r>
            <w:r w:rsidRPr="001827C1">
              <w:rPr>
                <w:rFonts w:ascii="Arabic Typesetting" w:hAnsi="Arabic Typesetting" w:cs="Arabic Typesetting" w:hint="cs"/>
                <w:b/>
                <w:sz w:val="28"/>
                <w:szCs w:val="28"/>
                <w:rtl/>
                <w:lang w:bidi="ar-EG"/>
              </w:rPr>
              <w:t>34</w:t>
            </w:r>
            <w:r w:rsidRPr="001827C1">
              <w:rPr>
                <w:rFonts w:ascii="Arabic Typesetting" w:hAnsi="Arabic Typesetting" w:cs="Arabic Typesetting"/>
                <w:b/>
                <w:sz w:val="28"/>
                <w:szCs w:val="28"/>
                <w:rtl/>
                <w:lang w:bidi="ar-EG"/>
              </w:rPr>
              <w:t>%)</w:t>
            </w:r>
          </w:p>
          <w:p w:rsidR="00E43EC5" w:rsidRPr="001827C1" w:rsidRDefault="00E43EC5" w:rsidP="00952267">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b/>
                <w:i/>
                <w:iCs/>
                <w:sz w:val="28"/>
                <w:szCs w:val="28"/>
                <w:rtl/>
                <w:lang w:bidi="ar-EG"/>
              </w:rPr>
              <w:t xml:space="preserve">أسس المقارنة الأصلية: برنامج وميزانية 2014/15: </w:t>
            </w:r>
            <w:r w:rsidRPr="001827C1">
              <w:rPr>
                <w:rFonts w:ascii="Arabic Typesetting" w:hAnsi="Arabic Typesetting" w:cs="Arabic Typesetting"/>
                <w:b/>
                <w:sz w:val="28"/>
                <w:szCs w:val="28"/>
                <w:rtl/>
                <w:lang w:bidi="ar-EG"/>
              </w:rPr>
              <w:t>المعدل بنهاية 2013</w:t>
            </w:r>
          </w:p>
        </w:tc>
        <w:tc>
          <w:tcPr>
            <w:tcW w:w="914" w:type="pct"/>
            <w:tcBorders>
              <w:top w:val="nil"/>
            </w:tcBorders>
            <w:tcMar>
              <w:top w:w="110" w:type="dxa"/>
            </w:tcMar>
          </w:tcPr>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sz w:val="28"/>
                <w:szCs w:val="28"/>
                <w:rtl/>
                <w:lang w:bidi="ar-EG"/>
              </w:rPr>
              <w:t>زيادة في المعدل قدرها 10% بحلول 2015</w:t>
            </w:r>
          </w:p>
        </w:tc>
        <w:tc>
          <w:tcPr>
            <w:tcW w:w="1337" w:type="pct"/>
            <w:tcBorders>
              <w:top w:val="nil"/>
            </w:tcBorders>
            <w:shd w:val="clear" w:color="auto" w:fill="FFFFFF"/>
            <w:tcMar>
              <w:top w:w="110" w:type="dxa"/>
            </w:tcMar>
          </w:tcPr>
          <w:p w:rsidR="00E43EC5" w:rsidRPr="001827C1" w:rsidRDefault="00E43EC5" w:rsidP="001B6640">
            <w:pPr>
              <w:bidi/>
              <w:spacing w:before="60" w:after="60" w:line="280" w:lineRule="exact"/>
              <w:rPr>
                <w:rFonts w:ascii="Arabic Typesetting" w:hAnsi="Arabic Typesetting" w:cs="Arabic Typesetting"/>
                <w:sz w:val="28"/>
                <w:szCs w:val="28"/>
                <w:rtl/>
                <w:lang w:bidi="ar-EG"/>
              </w:rPr>
            </w:pPr>
            <w:r w:rsidRPr="001827C1">
              <w:rPr>
                <w:rFonts w:ascii="Arabic Typesetting" w:hAnsi="Arabic Typesetting" w:cs="Arabic Typesetting"/>
                <w:sz w:val="28"/>
                <w:szCs w:val="28"/>
                <w:rtl/>
                <w:lang w:bidi="ar-EG"/>
              </w:rPr>
              <w:t>تبين نتائج الدراسات الاستقصائية عن الرضا المنجزة في عام</w:t>
            </w:r>
            <w:r w:rsidRPr="001827C1">
              <w:rPr>
                <w:rFonts w:ascii="Arabic Typesetting" w:hAnsi="Arabic Typesetting" w:cs="Arabic Typesetting" w:hint="cs"/>
                <w:sz w:val="28"/>
                <w:szCs w:val="28"/>
                <w:rtl/>
                <w:lang w:bidi="ar-EG"/>
              </w:rPr>
              <w:t>ي</w:t>
            </w:r>
            <w:r w:rsidRPr="001827C1">
              <w:rPr>
                <w:rFonts w:ascii="Arabic Typesetting" w:hAnsi="Arabic Typesetting" w:cs="Arabic Typesetting"/>
                <w:sz w:val="28"/>
                <w:szCs w:val="28"/>
                <w:rtl/>
                <w:lang w:bidi="ar-EG"/>
              </w:rPr>
              <w:t xml:space="preserve"> 2014 </w:t>
            </w:r>
            <w:r w:rsidRPr="001827C1">
              <w:rPr>
                <w:rFonts w:ascii="Arabic Typesetting" w:hAnsi="Arabic Typesetting" w:cs="Arabic Typesetting" w:hint="cs"/>
                <w:sz w:val="28"/>
                <w:szCs w:val="28"/>
                <w:rtl/>
                <w:lang w:bidi="ar-EG"/>
              </w:rPr>
              <w:t xml:space="preserve">و2015 </w:t>
            </w:r>
            <w:r w:rsidRPr="001827C1">
              <w:rPr>
                <w:rFonts w:ascii="Arabic Typesetting" w:hAnsi="Arabic Typesetting" w:cs="Arabic Typesetting"/>
                <w:sz w:val="28"/>
                <w:szCs w:val="28"/>
                <w:rtl/>
                <w:lang w:bidi="ar-EG"/>
              </w:rPr>
              <w:t>أن نسبة 97% من المستخدمين يعتبرون الجودة العامة لخدمات المؤتمرات التي تقدمها الويبو ممتازة أو</w:t>
            </w:r>
            <w:r w:rsidRPr="001827C1">
              <w:rPr>
                <w:rFonts w:ascii="Arabic Typesetting" w:hAnsi="Arabic Typesetting" w:cs="Arabic Typesetting" w:hint="cs"/>
                <w:sz w:val="28"/>
                <w:szCs w:val="28"/>
                <w:rtl/>
                <w:lang w:bidi="ar-EG"/>
              </w:rPr>
              <w:t> </w:t>
            </w:r>
            <w:r w:rsidRPr="001827C1">
              <w:rPr>
                <w:rFonts w:ascii="Arabic Typesetting" w:hAnsi="Arabic Typesetting" w:cs="Arabic Typesetting"/>
                <w:sz w:val="28"/>
                <w:szCs w:val="28"/>
                <w:rtl/>
                <w:lang w:bidi="ar-EG"/>
              </w:rPr>
              <w:t xml:space="preserve">جيدة </w:t>
            </w:r>
            <w:r w:rsidRPr="001827C1">
              <w:rPr>
                <w:rFonts w:ascii="Arabic Typesetting" w:hAnsi="Arabic Typesetting" w:cs="Arabic Typesetting" w:hint="cs"/>
                <w:sz w:val="28"/>
                <w:szCs w:val="28"/>
                <w:rtl/>
                <w:lang w:bidi="ar-EG"/>
              </w:rPr>
              <w:t>في كلا العامين:</w:t>
            </w:r>
          </w:p>
          <w:p w:rsidR="00E43EC5" w:rsidRPr="001827C1" w:rsidRDefault="00E43EC5" w:rsidP="001B6640">
            <w:pPr>
              <w:bidi/>
              <w:spacing w:before="60" w:after="60" w:line="280" w:lineRule="exact"/>
              <w:rPr>
                <w:rFonts w:ascii="Arabic Typesetting" w:hAnsi="Arabic Typesetting" w:cs="Arabic Typesetting"/>
                <w:sz w:val="28"/>
                <w:szCs w:val="28"/>
                <w:rtl/>
              </w:rPr>
            </w:pPr>
            <w:r w:rsidRPr="001827C1">
              <w:rPr>
                <w:rFonts w:ascii="Arabic Typesetting" w:hAnsi="Arabic Typesetting" w:cs="Arabic Typesetting"/>
                <w:sz w:val="28"/>
                <w:szCs w:val="28"/>
                <w:rtl/>
              </w:rPr>
              <w:t>-</w:t>
            </w:r>
            <w:r w:rsidRPr="001827C1">
              <w:rPr>
                <w:rFonts w:ascii="Arabic Typesetting" w:hAnsi="Arabic Typesetting" w:cs="Arabic Typesetting" w:hint="cs"/>
                <w:sz w:val="28"/>
                <w:szCs w:val="28"/>
                <w:rtl/>
              </w:rPr>
              <w:tab/>
              <w:t xml:space="preserve">2014: ممتازة </w:t>
            </w:r>
            <w:r w:rsidRPr="001827C1">
              <w:rPr>
                <w:rFonts w:ascii="Arabic Typesetting" w:hAnsi="Arabic Typesetting" w:cs="Arabic Typesetting"/>
                <w:sz w:val="28"/>
                <w:szCs w:val="28"/>
                <w:rtl/>
              </w:rPr>
              <w:t xml:space="preserve">(48%) </w:t>
            </w:r>
            <w:r w:rsidRPr="001827C1">
              <w:rPr>
                <w:rFonts w:ascii="Arabic Typesetting" w:hAnsi="Arabic Typesetting" w:cs="Arabic Typesetting" w:hint="cs"/>
                <w:sz w:val="28"/>
                <w:szCs w:val="28"/>
                <w:rtl/>
              </w:rPr>
              <w:t>أو</w:t>
            </w:r>
            <w:r w:rsidRPr="001827C1">
              <w:rPr>
                <w:rFonts w:ascii="Arabic Typesetting" w:hAnsi="Arabic Typesetting" w:cs="Arabic Typesetting" w:hint="eastAsia"/>
                <w:sz w:val="28"/>
                <w:szCs w:val="28"/>
                <w:rtl/>
              </w:rPr>
              <w:t> </w:t>
            </w:r>
            <w:r w:rsidRPr="001827C1">
              <w:rPr>
                <w:rFonts w:ascii="Arabic Typesetting" w:hAnsi="Arabic Typesetting" w:cs="Arabic Typesetting" w:hint="cs"/>
                <w:sz w:val="28"/>
                <w:szCs w:val="28"/>
                <w:rtl/>
              </w:rPr>
              <w:t xml:space="preserve">جيدة </w:t>
            </w:r>
            <w:r w:rsidRPr="001827C1">
              <w:rPr>
                <w:rFonts w:ascii="Arabic Typesetting" w:hAnsi="Arabic Typesetting" w:cs="Arabic Typesetting"/>
                <w:sz w:val="28"/>
                <w:szCs w:val="28"/>
                <w:rtl/>
              </w:rPr>
              <w:t>(49%)</w:t>
            </w:r>
            <w:r w:rsidRPr="001827C1">
              <w:rPr>
                <w:rFonts w:ascii="Arabic Typesetting" w:hAnsi="Arabic Typesetting" w:cs="Arabic Typesetting" w:hint="cs"/>
                <w:sz w:val="28"/>
                <w:szCs w:val="28"/>
                <w:rtl/>
              </w:rPr>
              <w:t>؛</w:t>
            </w:r>
          </w:p>
          <w:p w:rsidR="00E43EC5" w:rsidRPr="001827C1" w:rsidRDefault="00E43EC5" w:rsidP="001B6640">
            <w:pPr>
              <w:bidi/>
              <w:spacing w:before="60" w:after="60" w:line="280" w:lineRule="exact"/>
              <w:rPr>
                <w:rFonts w:ascii="Arabic Typesetting" w:hAnsi="Arabic Typesetting" w:cs="Arabic Typesetting"/>
                <w:sz w:val="28"/>
                <w:szCs w:val="28"/>
              </w:rPr>
            </w:pPr>
            <w:r w:rsidRPr="001827C1">
              <w:rPr>
                <w:rFonts w:ascii="Arabic Typesetting" w:hAnsi="Arabic Typesetting" w:cs="Arabic Typesetting" w:hint="cs"/>
                <w:sz w:val="28"/>
                <w:szCs w:val="28"/>
                <w:rtl/>
              </w:rPr>
              <w:t>-</w:t>
            </w:r>
            <w:r w:rsidRPr="001827C1">
              <w:rPr>
                <w:rFonts w:ascii="Arabic Typesetting" w:hAnsi="Arabic Typesetting" w:cs="Arabic Typesetting"/>
                <w:sz w:val="28"/>
                <w:szCs w:val="28"/>
                <w:rtl/>
              </w:rPr>
              <w:tab/>
            </w:r>
            <w:r w:rsidRPr="001827C1">
              <w:rPr>
                <w:rFonts w:ascii="Arabic Typesetting" w:hAnsi="Arabic Typesetting" w:cs="Arabic Typesetting" w:hint="cs"/>
                <w:sz w:val="28"/>
                <w:szCs w:val="28"/>
                <w:rtl/>
              </w:rPr>
              <w:t>2015: ممتازة (60%) أو</w:t>
            </w:r>
            <w:r w:rsidRPr="001827C1">
              <w:rPr>
                <w:rFonts w:ascii="Arabic Typesetting" w:hAnsi="Arabic Typesetting" w:cs="Arabic Typesetting" w:hint="eastAsia"/>
                <w:sz w:val="28"/>
                <w:szCs w:val="28"/>
                <w:rtl/>
              </w:rPr>
              <w:t> </w:t>
            </w:r>
            <w:r w:rsidRPr="001827C1">
              <w:rPr>
                <w:rFonts w:ascii="Arabic Typesetting" w:hAnsi="Arabic Typesetting" w:cs="Arabic Typesetting" w:hint="cs"/>
                <w:sz w:val="28"/>
                <w:szCs w:val="28"/>
                <w:rtl/>
              </w:rPr>
              <w:t>جيدة (37%).</w:t>
            </w:r>
          </w:p>
        </w:tc>
        <w:tc>
          <w:tcPr>
            <w:tcW w:w="684" w:type="pct"/>
            <w:tcBorders>
              <w:top w:val="nil"/>
            </w:tcBorders>
            <w:shd w:val="clear" w:color="auto" w:fill="auto"/>
            <w:tcMar>
              <w:top w:w="110" w:type="dxa"/>
            </w:tcMar>
          </w:tcPr>
          <w:p w:rsidR="00E43EC5" w:rsidRPr="001827C1" w:rsidRDefault="00E43EC5" w:rsidP="001B6640">
            <w:pPr>
              <w:bidi/>
              <w:spacing w:before="60" w:after="60" w:line="280" w:lineRule="exact"/>
              <w:jc w:val="center"/>
              <w:rPr>
                <w:rFonts w:ascii="Arabic Typesetting" w:hAnsi="Arabic Typesetting" w:cs="Arabic Typesetting"/>
                <w:bCs/>
                <w:color w:val="00B050"/>
                <w:sz w:val="28"/>
                <w:szCs w:val="28"/>
              </w:rPr>
            </w:pPr>
            <w:r w:rsidRPr="001827C1">
              <w:rPr>
                <w:rFonts w:ascii="Arabic Typesetting" w:hAnsi="Arabic Typesetting" w:cs="Arabic Typesetting" w:hint="cs"/>
                <w:bCs/>
                <w:color w:val="00B050"/>
                <w:sz w:val="28"/>
                <w:szCs w:val="28"/>
                <w:rtl/>
              </w:rPr>
              <w:t>محقق كليا</w:t>
            </w:r>
            <w:r w:rsidR="003D0697">
              <w:rPr>
                <w:rFonts w:ascii="Arabic Typesetting" w:hAnsi="Arabic Typesetting" w:cs="Arabic Typesetting" w:hint="cs"/>
                <w:bCs/>
                <w:color w:val="00B050"/>
                <w:sz w:val="28"/>
                <w:szCs w:val="28"/>
                <w:rtl/>
              </w:rPr>
              <w:t>ً</w:t>
            </w:r>
          </w:p>
        </w:tc>
      </w:tr>
      <w:tr w:rsidR="00E43EC5" w:rsidRPr="001827C1" w:rsidTr="00E43EC5">
        <w:trPr>
          <w:cantSplit/>
        </w:trPr>
        <w:tc>
          <w:tcPr>
            <w:tcW w:w="862" w:type="pct"/>
          </w:tcPr>
          <w:p w:rsidR="00E43EC5" w:rsidRPr="001827C1" w:rsidRDefault="00E43EC5" w:rsidP="003D0697">
            <w:pPr>
              <w:bidi/>
              <w:spacing w:before="60" w:after="60" w:line="280" w:lineRule="exact"/>
              <w:rPr>
                <w:rFonts w:ascii="Arabic Typesetting" w:hAnsi="Arabic Typesetting" w:cs="Arabic Typesetting"/>
                <w:sz w:val="28"/>
                <w:szCs w:val="28"/>
                <w:lang w:bidi="ar-EG"/>
              </w:rPr>
            </w:pPr>
            <w:r w:rsidRPr="001827C1">
              <w:rPr>
                <w:rFonts w:ascii="Arabic Typesetting" w:eastAsia="Arial" w:hAnsi="Arabic Typesetting" w:cs="Arabic Typesetting"/>
                <w:sz w:val="28"/>
                <w:szCs w:val="28"/>
                <w:rtl/>
                <w:lang w:bidi="ar-EG"/>
              </w:rPr>
              <w:lastRenderedPageBreak/>
              <w:t>تطبيق فعال لسياسة اللغات في الويبو</w:t>
            </w:r>
          </w:p>
        </w:tc>
        <w:tc>
          <w:tcPr>
            <w:tcW w:w="1203" w:type="pct"/>
          </w:tcPr>
          <w:p w:rsidR="00E43EC5" w:rsidRPr="001827C1" w:rsidRDefault="00E43EC5" w:rsidP="00952267">
            <w:pPr>
              <w:bidi/>
              <w:spacing w:before="60" w:after="60" w:line="280" w:lineRule="exact"/>
              <w:rPr>
                <w:rFonts w:ascii="Arabic Typesetting" w:hAnsi="Arabic Typesetting" w:cs="Arabic Typesetting"/>
                <w:color w:val="002060"/>
                <w:sz w:val="28"/>
                <w:szCs w:val="28"/>
                <w:lang w:bidi="ar-EG"/>
              </w:rPr>
            </w:pPr>
            <w:r w:rsidRPr="001827C1">
              <w:rPr>
                <w:rFonts w:ascii="Arabic Typesetting" w:hAnsi="Arabic Typesetting" w:cs="Arabic Typesetting"/>
                <w:b/>
                <w:i/>
                <w:iCs/>
                <w:color w:val="002060"/>
                <w:sz w:val="28"/>
                <w:szCs w:val="28"/>
                <w:rtl/>
                <w:lang w:bidi="ar-EG"/>
              </w:rPr>
              <w:t xml:space="preserve">أسس المقارنة المحدّثة في نهاية 2013: </w:t>
            </w:r>
            <w:r w:rsidRPr="001827C1">
              <w:rPr>
                <w:rFonts w:ascii="Arabic Typesetting" w:hAnsi="Arabic Typesetting" w:cs="Arabic Typesetting" w:hint="cs"/>
                <w:b/>
                <w:color w:val="002060"/>
                <w:sz w:val="28"/>
                <w:szCs w:val="28"/>
                <w:rtl/>
                <w:lang w:bidi="ar-EG"/>
              </w:rPr>
              <w:t>مددت سياسة اللغات لتشمل جميع لجان الويبو الدائمة وهيئاتها الرئيسية</w:t>
            </w: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b/>
                <w:i/>
                <w:iCs/>
                <w:sz w:val="28"/>
                <w:szCs w:val="28"/>
                <w:rtl/>
                <w:lang w:bidi="ar-EG"/>
              </w:rPr>
              <w:t xml:space="preserve">أسس المقارنة الأصلية: برنامج وميزانية 2014/15: </w:t>
            </w:r>
            <w:r w:rsidRPr="001827C1">
              <w:rPr>
                <w:rFonts w:ascii="Arabic Typesetting" w:hAnsi="Arabic Typesetting" w:cs="Arabic Typesetting"/>
                <w:b/>
                <w:sz w:val="28"/>
                <w:szCs w:val="28"/>
                <w:rtl/>
                <w:lang w:bidi="ar-EG"/>
              </w:rPr>
              <w:t>التغطية اللغوية مقصورة على لجان معينة/الهيئات الرئيسية؛ حجم الوثائق متغير</w:t>
            </w:r>
          </w:p>
        </w:tc>
        <w:tc>
          <w:tcPr>
            <w:tcW w:w="914" w:type="pct"/>
            <w:tcMar>
              <w:top w:w="110" w:type="dxa"/>
            </w:tcMar>
          </w:tcPr>
          <w:p w:rsidR="00E43EC5" w:rsidRPr="001827C1" w:rsidRDefault="00E43EC5" w:rsidP="001B6640">
            <w:pPr>
              <w:bidi/>
              <w:spacing w:before="60" w:after="60" w:line="280" w:lineRule="exact"/>
              <w:rPr>
                <w:rFonts w:ascii="Arabic Typesetting" w:hAnsi="Arabic Typesetting" w:cs="Arabic Typesetting"/>
                <w:sz w:val="28"/>
                <w:szCs w:val="28"/>
                <w:rtl/>
                <w:lang w:bidi="ar-EG"/>
              </w:rPr>
            </w:pPr>
            <w:r w:rsidRPr="001827C1">
              <w:rPr>
                <w:rFonts w:ascii="Arabic Typesetting" w:hAnsi="Arabic Typesetting" w:cs="Arabic Typesetting"/>
                <w:sz w:val="28"/>
                <w:szCs w:val="28"/>
                <w:rtl/>
                <w:lang w:bidi="ar-EG"/>
              </w:rPr>
              <w:t xml:space="preserve">توفير ترجمة </w:t>
            </w:r>
            <w:r w:rsidR="003D0697">
              <w:rPr>
                <w:rFonts w:ascii="Arabic Typesetting" w:hAnsi="Arabic Typesetting" w:cs="Arabic Typesetting" w:hint="cs"/>
                <w:sz w:val="28"/>
                <w:szCs w:val="28"/>
                <w:rtl/>
                <w:lang w:bidi="ar-EG"/>
              </w:rPr>
              <w:t>عالية</w:t>
            </w:r>
            <w:r w:rsidR="003D0697" w:rsidRPr="001827C1">
              <w:rPr>
                <w:rFonts w:ascii="Arabic Typesetting" w:hAnsi="Arabic Typesetting" w:cs="Arabic Typesetting"/>
                <w:sz w:val="28"/>
                <w:szCs w:val="28"/>
                <w:rtl/>
                <w:lang w:bidi="ar-EG"/>
              </w:rPr>
              <w:t xml:space="preserve"> </w:t>
            </w:r>
            <w:r w:rsidR="003D0697">
              <w:rPr>
                <w:rFonts w:ascii="Arabic Typesetting" w:hAnsi="Arabic Typesetting" w:cs="Arabic Typesetting" w:hint="cs"/>
                <w:sz w:val="28"/>
                <w:szCs w:val="28"/>
                <w:rtl/>
                <w:lang w:bidi="ar-EG"/>
              </w:rPr>
              <w:t>ال</w:t>
            </w:r>
            <w:r w:rsidRPr="001827C1">
              <w:rPr>
                <w:rFonts w:ascii="Arabic Typesetting" w:hAnsi="Arabic Typesetting" w:cs="Arabic Typesetting"/>
                <w:sz w:val="28"/>
                <w:szCs w:val="28"/>
                <w:rtl/>
                <w:lang w:bidi="ar-EG"/>
              </w:rPr>
              <w:t>جودة ل</w:t>
            </w:r>
            <w:r w:rsidR="003D0697">
              <w:rPr>
                <w:rFonts w:ascii="Arabic Typesetting" w:hAnsi="Arabic Typesetting" w:cs="Arabic Typesetting" w:hint="cs"/>
                <w:sz w:val="28"/>
                <w:szCs w:val="28"/>
                <w:rtl/>
                <w:lang w:bidi="ar-EG"/>
              </w:rPr>
              <w:t>كل</w:t>
            </w:r>
            <w:r w:rsidRPr="001827C1">
              <w:rPr>
                <w:rFonts w:ascii="Arabic Typesetting" w:hAnsi="Arabic Typesetting" w:cs="Arabic Typesetting"/>
                <w:sz w:val="28"/>
                <w:szCs w:val="28"/>
                <w:rtl/>
                <w:lang w:bidi="ar-EG"/>
              </w:rPr>
              <w:t xml:space="preserve"> اللجان/الهيئات الرئيسية؛</w:t>
            </w: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sz w:val="28"/>
                <w:szCs w:val="28"/>
                <w:rtl/>
                <w:lang w:bidi="ar-EG"/>
              </w:rPr>
              <w:t xml:space="preserve">تقليل حجم الوثائق بالنسبة للجان/الهيئات الرئيسية إلى </w:t>
            </w:r>
            <w:r w:rsidRPr="001827C1">
              <w:rPr>
                <w:rFonts w:ascii="Arabic Typesetting" w:hAnsi="Arabic Typesetting" w:cs="Arabic Typesetting" w:hint="cs"/>
                <w:sz w:val="28"/>
                <w:szCs w:val="28"/>
                <w:rtl/>
                <w:lang w:bidi="ar-EG"/>
              </w:rPr>
              <w:t>300</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3 </w:t>
            </w:r>
            <w:r w:rsidRPr="001827C1">
              <w:rPr>
                <w:rFonts w:ascii="Arabic Typesetting" w:hAnsi="Arabic Typesetting" w:cs="Arabic Typesetting"/>
                <w:sz w:val="28"/>
                <w:szCs w:val="28"/>
                <w:rtl/>
                <w:lang w:bidi="ar-EG"/>
              </w:rPr>
              <w:t>كلمة</w:t>
            </w:r>
          </w:p>
        </w:tc>
        <w:tc>
          <w:tcPr>
            <w:tcW w:w="1337" w:type="pct"/>
            <w:shd w:val="clear" w:color="auto" w:fill="FFFFFF"/>
            <w:tcMar>
              <w:top w:w="110" w:type="dxa"/>
            </w:tcMar>
          </w:tcPr>
          <w:p w:rsidR="00E43EC5" w:rsidRPr="001827C1" w:rsidRDefault="00E43EC5" w:rsidP="001B6640">
            <w:pPr>
              <w:bidi/>
              <w:spacing w:before="60" w:after="60" w:line="280" w:lineRule="exact"/>
              <w:rPr>
                <w:rFonts w:ascii="Arabic Typesetting" w:hAnsi="Arabic Typesetting" w:cs="Arabic Typesetting"/>
                <w:sz w:val="28"/>
                <w:szCs w:val="28"/>
                <w:rtl/>
                <w:lang w:bidi="ar-EG"/>
              </w:rPr>
            </w:pPr>
            <w:r w:rsidRPr="001827C1">
              <w:rPr>
                <w:rFonts w:ascii="Arabic Typesetting" w:hAnsi="Arabic Typesetting" w:cs="Arabic Typesetting" w:hint="cs"/>
                <w:sz w:val="28"/>
                <w:szCs w:val="28"/>
                <w:rtl/>
                <w:lang w:bidi="ar-EG"/>
              </w:rPr>
              <w:t>بالإضافة إلى جميع اللجان/الهيئات الرئيسية، مددت التغطية باللغات الست في الثنائية</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2014/15 لتشمل أربعة أفرقة عاملة</w:t>
            </w:r>
            <w:r w:rsidR="003D0697">
              <w:rPr>
                <w:rFonts w:ascii="Arabic Typesetting" w:hAnsi="Arabic Typesetting" w:cs="Arabic Typesetting" w:hint="cs"/>
                <w:sz w:val="28"/>
                <w:szCs w:val="28"/>
                <w:rtl/>
                <w:lang w:bidi="ar-EG"/>
              </w:rPr>
              <w:t xml:space="preserve"> هي</w:t>
            </w:r>
            <w:r w:rsidRPr="001827C1">
              <w:rPr>
                <w:rFonts w:ascii="Arabic Typesetting" w:hAnsi="Arabic Typesetting" w:cs="Arabic Typesetting" w:hint="cs"/>
                <w:sz w:val="28"/>
                <w:szCs w:val="28"/>
                <w:rtl/>
                <w:lang w:bidi="ar-EG"/>
              </w:rPr>
              <w:t xml:space="preserve"> "1" الفريق العامل لمعاهدة التعاون بشأن البراءات؛ "2"</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sz w:val="28"/>
                <w:szCs w:val="28"/>
                <w:rtl/>
                <w:lang w:bidi="ar-EG"/>
              </w:rPr>
              <w:t>والفريق العامل المعني بالتطوير القانوني لنظام لاهاي بشأن التسجيل الدولي للتصاميم الصناعية</w:t>
            </w:r>
            <w:r w:rsidRPr="001827C1">
              <w:rPr>
                <w:rFonts w:ascii="Arabic Typesetting" w:hAnsi="Arabic Typesetting" w:cs="Arabic Typesetting" w:hint="cs"/>
                <w:sz w:val="28"/>
                <w:szCs w:val="28"/>
                <w:rtl/>
                <w:lang w:bidi="ar-EG"/>
              </w:rPr>
              <w:t>؛ "3"</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sz w:val="28"/>
                <w:szCs w:val="28"/>
                <w:rtl/>
                <w:lang w:bidi="ar-EG"/>
              </w:rPr>
              <w:t>والفريق العامل المعني بالتطوير القانوني لنظام مدريد بشأن التسجيل الدولي للعلامات</w:t>
            </w:r>
            <w:r w:rsidRPr="001827C1">
              <w:rPr>
                <w:rFonts w:ascii="Arabic Typesetting" w:hAnsi="Arabic Typesetting" w:cs="Arabic Typesetting" w:hint="cs"/>
                <w:sz w:val="28"/>
                <w:szCs w:val="28"/>
                <w:rtl/>
                <w:lang w:bidi="ar-EG"/>
              </w:rPr>
              <w:t xml:space="preserve">؛ "4" </w:t>
            </w:r>
            <w:r w:rsidRPr="001827C1">
              <w:rPr>
                <w:rFonts w:ascii="Arabic Typesetting" w:hAnsi="Arabic Typesetting" w:cs="Arabic Typesetting"/>
                <w:sz w:val="28"/>
                <w:szCs w:val="28"/>
                <w:rtl/>
                <w:lang w:bidi="ar-EG"/>
              </w:rPr>
              <w:t>والفريق العامل المعني بمراجعة التصنيف الدولي للبراءات</w:t>
            </w: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hint="cs"/>
                <w:sz w:val="28"/>
                <w:szCs w:val="28"/>
                <w:rtl/>
                <w:lang w:bidi="ar-EG"/>
              </w:rPr>
              <w:t>وأبقي على نحو 87% من الوثائق المستلمة للترجمة (489</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3 وثيقة من أصل 030</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4 وثيقة إجمالا) بحجم أقلّ من 300</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3 كلمة. وكانت بقية الوثائق التي تجاوز حجمها ذلك الحد، أساسا، من المنشورات، و المحاضر الحرفية أو</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التقارير السنوية الأخرى، والوثائق المتضمنة مجموعة من الممارسات المتبعة في الدول الأعضاء، والوثائق المعدة استجابة لطلبات محددة من الدول الأعضاء، والتي لا تخضع لذلك التقييد الخاص بحجم الوثائق.</w:t>
            </w:r>
          </w:p>
        </w:tc>
        <w:tc>
          <w:tcPr>
            <w:tcW w:w="684" w:type="pct"/>
            <w:shd w:val="clear" w:color="auto" w:fill="auto"/>
            <w:tcMar>
              <w:top w:w="110" w:type="dxa"/>
            </w:tcMar>
          </w:tcPr>
          <w:p w:rsidR="00E43EC5" w:rsidRPr="001827C1" w:rsidRDefault="00E43EC5" w:rsidP="001B6640">
            <w:pPr>
              <w:bidi/>
              <w:spacing w:before="60" w:after="60" w:line="280" w:lineRule="exact"/>
              <w:jc w:val="center"/>
              <w:rPr>
                <w:rFonts w:ascii="Arabic Typesetting" w:hAnsi="Arabic Typesetting" w:cs="Arabic Typesetting"/>
                <w:bCs/>
                <w:color w:val="00B050"/>
                <w:sz w:val="28"/>
                <w:szCs w:val="28"/>
                <w:rtl/>
              </w:rPr>
            </w:pPr>
            <w:r w:rsidRPr="001827C1">
              <w:rPr>
                <w:rFonts w:ascii="Arabic Typesetting" w:hAnsi="Arabic Typesetting" w:cs="Arabic Typesetting" w:hint="cs"/>
                <w:bCs/>
                <w:color w:val="00B050"/>
                <w:sz w:val="28"/>
                <w:szCs w:val="28"/>
                <w:rtl/>
              </w:rPr>
              <w:t>محقق كليا</w:t>
            </w:r>
            <w:r w:rsidR="003D0697">
              <w:rPr>
                <w:rFonts w:ascii="Arabic Typesetting" w:hAnsi="Arabic Typesetting" w:cs="Arabic Typesetting" w:hint="cs"/>
                <w:bCs/>
                <w:color w:val="00B050"/>
                <w:sz w:val="28"/>
                <w:szCs w:val="28"/>
                <w:rtl/>
              </w:rPr>
              <w:t>ً</w:t>
            </w: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bidi/>
              <w:spacing w:before="60" w:after="60" w:line="280" w:lineRule="exact"/>
              <w:jc w:val="center"/>
              <w:rPr>
                <w:rFonts w:ascii="Arabic Typesetting" w:hAnsi="Arabic Typesetting" w:cs="Arabic Typesetting"/>
                <w:bCs/>
                <w:color w:val="00B050"/>
                <w:sz w:val="28"/>
                <w:szCs w:val="28"/>
                <w:rtl/>
              </w:rPr>
            </w:pPr>
          </w:p>
          <w:p w:rsidR="00E43EC5" w:rsidRPr="001827C1" w:rsidRDefault="00E43EC5" w:rsidP="001B6640">
            <w:pPr>
              <w:bidi/>
              <w:spacing w:before="60" w:after="60" w:line="280" w:lineRule="exact"/>
              <w:jc w:val="center"/>
              <w:rPr>
                <w:rFonts w:ascii="Arabic Typesetting" w:hAnsi="Arabic Typesetting" w:cs="Arabic Typesetting"/>
                <w:bCs/>
                <w:color w:val="00B050"/>
                <w:sz w:val="28"/>
                <w:szCs w:val="28"/>
              </w:rPr>
            </w:pPr>
            <w:r w:rsidRPr="001827C1">
              <w:rPr>
                <w:rFonts w:ascii="Arabic Typesetting" w:hAnsi="Arabic Typesetting" w:cs="Arabic Typesetting" w:hint="cs"/>
                <w:bCs/>
                <w:color w:val="00B050"/>
                <w:sz w:val="28"/>
                <w:szCs w:val="28"/>
                <w:rtl/>
              </w:rPr>
              <w:t>محقق كليا</w:t>
            </w:r>
            <w:r w:rsidR="003D0697">
              <w:rPr>
                <w:rFonts w:ascii="Arabic Typesetting" w:hAnsi="Arabic Typesetting" w:cs="Arabic Typesetting" w:hint="cs"/>
                <w:bCs/>
                <w:color w:val="00B050"/>
                <w:sz w:val="28"/>
                <w:szCs w:val="28"/>
                <w:rtl/>
              </w:rPr>
              <w:t>ً</w:t>
            </w:r>
          </w:p>
        </w:tc>
      </w:tr>
      <w:tr w:rsidR="00E43EC5" w:rsidRPr="001827C1" w:rsidTr="00E43EC5">
        <w:trPr>
          <w:cantSplit/>
        </w:trPr>
        <w:tc>
          <w:tcPr>
            <w:tcW w:w="862" w:type="pct"/>
          </w:tcPr>
          <w:p w:rsidR="00E43EC5" w:rsidRPr="001827C1" w:rsidRDefault="00E43EC5" w:rsidP="003D0697">
            <w:pPr>
              <w:bidi/>
              <w:spacing w:before="60" w:after="60" w:line="280" w:lineRule="exact"/>
              <w:rPr>
                <w:rFonts w:ascii="Arabic Typesetting" w:hAnsi="Arabic Typesetting" w:cs="Arabic Typesetting"/>
                <w:sz w:val="28"/>
                <w:szCs w:val="28"/>
                <w:lang w:bidi="ar-EG"/>
              </w:rPr>
            </w:pPr>
            <w:r w:rsidRPr="001827C1">
              <w:rPr>
                <w:rFonts w:ascii="Arabic Typesetting" w:eastAsia="Arial" w:hAnsi="Arabic Typesetting" w:cs="Arabic Typesetting"/>
                <w:sz w:val="28"/>
                <w:szCs w:val="28"/>
                <w:rtl/>
                <w:lang w:bidi="ar-EG"/>
              </w:rPr>
              <w:t>تكلفة الترجمة ل</w:t>
            </w:r>
            <w:r w:rsidRPr="001827C1">
              <w:rPr>
                <w:rFonts w:ascii="Arabic Typesetting" w:eastAsia="Arial" w:hAnsi="Arabic Typesetting" w:cs="Arabic Typesetting" w:hint="cs"/>
                <w:sz w:val="28"/>
                <w:szCs w:val="28"/>
                <w:rtl/>
                <w:lang w:bidi="ar-EG"/>
              </w:rPr>
              <w:t>ل</w:t>
            </w:r>
            <w:r w:rsidRPr="001827C1">
              <w:rPr>
                <w:rFonts w:ascii="Arabic Typesetting" w:eastAsia="Arial" w:hAnsi="Arabic Typesetting" w:cs="Arabic Typesetting"/>
                <w:sz w:val="28"/>
                <w:szCs w:val="28"/>
                <w:rtl/>
                <w:lang w:bidi="ar-EG"/>
              </w:rPr>
              <w:t>كلمة</w:t>
            </w:r>
            <w:r w:rsidRPr="001827C1">
              <w:rPr>
                <w:rFonts w:ascii="Arabic Typesetting" w:eastAsia="Arial" w:hAnsi="Arabic Typesetting" w:cs="Arabic Typesetting" w:hint="cs"/>
                <w:sz w:val="28"/>
                <w:szCs w:val="28"/>
                <w:rtl/>
                <w:lang w:bidi="ar-EG"/>
              </w:rPr>
              <w:t xml:space="preserve"> الواحدة</w:t>
            </w:r>
          </w:p>
        </w:tc>
        <w:tc>
          <w:tcPr>
            <w:tcW w:w="1203" w:type="pct"/>
          </w:tcPr>
          <w:p w:rsidR="00E43EC5" w:rsidRPr="001827C1" w:rsidRDefault="00E43EC5" w:rsidP="00952267">
            <w:pPr>
              <w:bidi/>
              <w:spacing w:before="60" w:after="60" w:line="280" w:lineRule="exact"/>
              <w:rPr>
                <w:rFonts w:ascii="Arabic Typesetting" w:hAnsi="Arabic Typesetting" w:cs="Arabic Typesetting"/>
                <w:color w:val="002060"/>
                <w:sz w:val="28"/>
                <w:szCs w:val="28"/>
                <w:lang w:bidi="ar-EG"/>
              </w:rPr>
            </w:pPr>
            <w:r w:rsidRPr="001827C1">
              <w:rPr>
                <w:rFonts w:ascii="Arabic Typesetting" w:hAnsi="Arabic Typesetting" w:cs="Arabic Typesetting"/>
                <w:b/>
                <w:i/>
                <w:iCs/>
                <w:color w:val="002060"/>
                <w:sz w:val="28"/>
                <w:szCs w:val="28"/>
                <w:rtl/>
                <w:lang w:bidi="ar-EG"/>
              </w:rPr>
              <w:t xml:space="preserve">أسس المقارنة المحدّثة في نهاية 2013: </w:t>
            </w:r>
            <w:r w:rsidRPr="001827C1">
              <w:rPr>
                <w:rFonts w:ascii="Arabic Typesetting" w:hAnsi="Arabic Typesetting" w:cs="Arabic Typesetting" w:hint="cs"/>
                <w:b/>
                <w:color w:val="002060"/>
                <w:sz w:val="28"/>
                <w:szCs w:val="28"/>
                <w:rtl/>
                <w:lang w:bidi="ar-EG"/>
              </w:rPr>
              <w:t>0.63</w:t>
            </w:r>
            <w:r w:rsidRPr="001827C1">
              <w:rPr>
                <w:rFonts w:ascii="Arabic Typesetting" w:hAnsi="Arabic Typesetting" w:cs="Arabic Typesetting" w:hint="eastAsia"/>
                <w:b/>
                <w:color w:val="002060"/>
                <w:sz w:val="28"/>
                <w:szCs w:val="28"/>
                <w:rtl/>
                <w:lang w:bidi="ar-EG"/>
              </w:rPr>
              <w:t> </w:t>
            </w:r>
            <w:r w:rsidRPr="001827C1">
              <w:rPr>
                <w:rFonts w:ascii="Arabic Typesetting" w:hAnsi="Arabic Typesetting" w:cs="Arabic Typesetting" w:hint="cs"/>
                <w:b/>
                <w:color w:val="002060"/>
                <w:sz w:val="28"/>
                <w:szCs w:val="28"/>
                <w:rtl/>
                <w:lang w:bidi="ar-EG"/>
              </w:rPr>
              <w:t>فرنك سويسري للكلمة الواحدة في المتوسط</w:t>
            </w: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b/>
                <w:i/>
                <w:iCs/>
                <w:sz w:val="28"/>
                <w:szCs w:val="28"/>
                <w:rtl/>
                <w:lang w:bidi="ar-EG"/>
              </w:rPr>
              <w:t xml:space="preserve">أسس المقارنة الأصلية: برنامج وميزانية 2014/15: </w:t>
            </w:r>
            <w:r w:rsidRPr="001827C1">
              <w:rPr>
                <w:rFonts w:ascii="Arabic Typesetting" w:hAnsi="Arabic Typesetting" w:cs="Arabic Typesetting"/>
                <w:b/>
                <w:sz w:val="28"/>
                <w:szCs w:val="28"/>
                <w:rtl/>
                <w:lang w:bidi="ar-EG"/>
              </w:rPr>
              <w:t xml:space="preserve">تحدد </w:t>
            </w:r>
            <w:r w:rsidRPr="001827C1">
              <w:rPr>
                <w:rFonts w:ascii="Arabic Typesetting" w:hAnsi="Arabic Typesetting" w:cs="Arabic Typesetting" w:hint="cs"/>
                <w:b/>
                <w:sz w:val="28"/>
                <w:szCs w:val="28"/>
                <w:rtl/>
                <w:lang w:bidi="ar-EG"/>
              </w:rPr>
              <w:t>لاحقا</w:t>
            </w:r>
          </w:p>
        </w:tc>
        <w:tc>
          <w:tcPr>
            <w:tcW w:w="914" w:type="pct"/>
            <w:tcMar>
              <w:top w:w="110" w:type="dxa"/>
            </w:tcMar>
          </w:tcPr>
          <w:p w:rsidR="00E43EC5" w:rsidRPr="001827C1" w:rsidRDefault="00E43EC5" w:rsidP="001B6640">
            <w:pPr>
              <w:bidi/>
              <w:spacing w:before="60" w:after="60" w:line="280" w:lineRule="exact"/>
              <w:rPr>
                <w:rFonts w:ascii="Arabic Typesetting" w:hAnsi="Arabic Typesetting" w:cs="Arabic Typesetting"/>
                <w:b/>
                <w:color w:val="002060"/>
                <w:sz w:val="28"/>
                <w:szCs w:val="28"/>
                <w:rtl/>
                <w:lang w:bidi="ar-EG"/>
              </w:rPr>
            </w:pPr>
            <w:r w:rsidRPr="001827C1">
              <w:rPr>
                <w:rFonts w:ascii="Arabic Typesetting" w:hAnsi="Arabic Typesetting" w:cs="Arabic Typesetting"/>
                <w:b/>
                <w:i/>
                <w:iCs/>
                <w:color w:val="002060"/>
                <w:sz w:val="28"/>
                <w:szCs w:val="28"/>
                <w:rtl/>
                <w:lang w:bidi="ar-EG"/>
              </w:rPr>
              <w:t xml:space="preserve">أسس المقارنة </w:t>
            </w:r>
            <w:r w:rsidRPr="001827C1">
              <w:rPr>
                <w:rFonts w:ascii="Arabic Typesetting" w:hAnsi="Arabic Typesetting" w:cs="Arabic Typesetting" w:hint="cs"/>
                <w:b/>
                <w:i/>
                <w:iCs/>
                <w:color w:val="002060"/>
                <w:sz w:val="28"/>
                <w:szCs w:val="28"/>
                <w:rtl/>
                <w:lang w:bidi="ar-EG"/>
              </w:rPr>
              <w:t>المحددة</w:t>
            </w:r>
            <w:r w:rsidRPr="001827C1">
              <w:rPr>
                <w:rFonts w:ascii="Arabic Typesetting" w:hAnsi="Arabic Typesetting" w:cs="Arabic Typesetting"/>
                <w:b/>
                <w:i/>
                <w:iCs/>
                <w:color w:val="002060"/>
                <w:sz w:val="28"/>
                <w:szCs w:val="28"/>
                <w:rtl/>
                <w:lang w:bidi="ar-EG"/>
              </w:rPr>
              <w:t xml:space="preserve">: </w:t>
            </w:r>
            <w:r w:rsidRPr="001827C1">
              <w:rPr>
                <w:rFonts w:ascii="Arabic Typesetting" w:hAnsi="Arabic Typesetting" w:cs="Arabic Typesetting" w:hint="cs"/>
                <w:b/>
                <w:color w:val="002060"/>
                <w:sz w:val="28"/>
                <w:szCs w:val="28"/>
                <w:rtl/>
                <w:lang w:bidi="ar-EG"/>
              </w:rPr>
              <w:t>الحفاظ على سعر الترجمة المتوسط</w:t>
            </w: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hint="cs"/>
                <w:b/>
                <w:i/>
                <w:iCs/>
                <w:sz w:val="28"/>
                <w:szCs w:val="28"/>
                <w:rtl/>
                <w:lang w:bidi="ar-EG"/>
              </w:rPr>
              <w:t>الهدف الأصلي في برنامج وميزانية 2014/15:</w:t>
            </w:r>
            <w:r w:rsidRPr="001827C1">
              <w:rPr>
                <w:rFonts w:ascii="Arabic Typesetting" w:hAnsi="Arabic Typesetting" w:cs="Arabic Typesetting" w:hint="cs"/>
                <w:b/>
                <w:sz w:val="28"/>
                <w:szCs w:val="28"/>
                <w:rtl/>
                <w:lang w:bidi="ar-EG"/>
              </w:rPr>
              <w:t xml:space="preserve"> يحدد لاحقا</w:t>
            </w:r>
          </w:p>
        </w:tc>
        <w:tc>
          <w:tcPr>
            <w:tcW w:w="1337" w:type="pct"/>
            <w:shd w:val="clear" w:color="auto" w:fill="FFFFFF"/>
            <w:tcMar>
              <w:top w:w="110" w:type="dxa"/>
            </w:tcMar>
          </w:tcPr>
          <w:p w:rsidR="00E43EC5" w:rsidRPr="001827C1" w:rsidRDefault="00E43EC5" w:rsidP="00BA356F">
            <w:pPr>
              <w:bidi/>
              <w:spacing w:before="60" w:after="60" w:line="280" w:lineRule="exact"/>
              <w:rPr>
                <w:rFonts w:ascii="Arabic Typesetting" w:hAnsi="Arabic Typesetting" w:cs="Arabic Typesetting"/>
                <w:sz w:val="28"/>
                <w:szCs w:val="28"/>
                <w:rtl/>
                <w:lang w:bidi="ar-EG"/>
              </w:rPr>
            </w:pPr>
            <w:r w:rsidRPr="001827C1">
              <w:rPr>
                <w:rFonts w:ascii="Arabic Typesetting" w:hAnsi="Arabic Typesetting" w:cs="Arabic Typesetting" w:hint="cs"/>
                <w:sz w:val="28"/>
                <w:szCs w:val="28"/>
                <w:rtl/>
                <w:lang w:bidi="ar-EG"/>
              </w:rPr>
              <w:t>كانت تكلفة الترجمة للكلمة الواحدة كما</w:t>
            </w:r>
            <w:r w:rsidR="00BA356F">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يلي:</w:t>
            </w: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r w:rsidRPr="001827C1">
              <w:rPr>
                <w:rFonts w:ascii="Arabic Typesetting" w:hAnsi="Arabic Typesetting" w:cs="Arabic Typesetting" w:hint="cs"/>
                <w:sz w:val="28"/>
                <w:szCs w:val="28"/>
                <w:rtl/>
                <w:lang w:bidi="ar-EG"/>
              </w:rPr>
              <w:t>- 0.59 فرنك سويسري في عام</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2014 (انخفاض بنسبة</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6.3% مقارنة بعام</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2013)</w:t>
            </w: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r w:rsidRPr="001827C1">
              <w:rPr>
                <w:rFonts w:ascii="Arabic Typesetting" w:hAnsi="Arabic Typesetting" w:cs="Arabic Typesetting" w:hint="cs"/>
                <w:sz w:val="28"/>
                <w:szCs w:val="28"/>
                <w:rtl/>
                <w:lang w:bidi="ar-EG"/>
              </w:rPr>
              <w:t>- 0.57 فرنك سويسري في عام</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2015 (انخفاض بنسبة</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3.4% مقارنة بعام</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2014)</w:t>
            </w: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hint="cs"/>
                <w:sz w:val="28"/>
                <w:szCs w:val="28"/>
                <w:rtl/>
                <w:lang w:bidi="ar-EG"/>
              </w:rPr>
              <w:t>وتُرجم ما مجموعه 15.03</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مليون كلمة (537</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45 صفحة بمعايير الأمم المتحدة) في عام</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2014، و15.32</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مليون كلمة (420</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46 صفحة) في عام</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2015.</w:t>
            </w:r>
          </w:p>
        </w:tc>
        <w:tc>
          <w:tcPr>
            <w:tcW w:w="684" w:type="pct"/>
            <w:shd w:val="clear" w:color="auto" w:fill="auto"/>
            <w:tcMar>
              <w:top w:w="110" w:type="dxa"/>
            </w:tcMar>
          </w:tcPr>
          <w:p w:rsidR="00E43EC5" w:rsidRPr="001827C1" w:rsidRDefault="00E43EC5" w:rsidP="001B6640">
            <w:pPr>
              <w:bidi/>
              <w:spacing w:before="60" w:after="60" w:line="280" w:lineRule="exact"/>
              <w:jc w:val="center"/>
              <w:rPr>
                <w:rFonts w:ascii="Arabic Typesetting" w:hAnsi="Arabic Typesetting" w:cs="Arabic Typesetting"/>
                <w:bCs/>
                <w:color w:val="00B050"/>
                <w:sz w:val="28"/>
                <w:szCs w:val="28"/>
              </w:rPr>
            </w:pPr>
            <w:r w:rsidRPr="001827C1">
              <w:rPr>
                <w:rFonts w:ascii="Arabic Typesetting" w:hAnsi="Arabic Typesetting" w:cs="Arabic Typesetting" w:hint="cs"/>
                <w:bCs/>
                <w:color w:val="00B050"/>
                <w:sz w:val="28"/>
                <w:szCs w:val="28"/>
                <w:rtl/>
              </w:rPr>
              <w:t>محقق كليا</w:t>
            </w:r>
            <w:r w:rsidR="003D0697">
              <w:rPr>
                <w:rFonts w:ascii="Arabic Typesetting" w:hAnsi="Arabic Typesetting" w:cs="Arabic Typesetting" w:hint="cs"/>
                <w:bCs/>
                <w:color w:val="00B050"/>
                <w:sz w:val="28"/>
                <w:szCs w:val="28"/>
                <w:rtl/>
              </w:rPr>
              <w:t>ً</w:t>
            </w:r>
          </w:p>
        </w:tc>
      </w:tr>
      <w:tr w:rsidR="00E43EC5" w:rsidRPr="001827C1" w:rsidTr="00E43EC5">
        <w:trPr>
          <w:cantSplit/>
        </w:trPr>
        <w:tc>
          <w:tcPr>
            <w:tcW w:w="862" w:type="pct"/>
          </w:tcPr>
          <w:p w:rsidR="00E43EC5" w:rsidRPr="001827C1" w:rsidRDefault="00E43EC5" w:rsidP="003D0697">
            <w:pPr>
              <w:bidi/>
              <w:spacing w:before="60" w:after="60" w:line="280" w:lineRule="exact"/>
              <w:rPr>
                <w:rFonts w:ascii="Arabic Typesetting" w:hAnsi="Arabic Typesetting" w:cs="Arabic Typesetting"/>
                <w:sz w:val="28"/>
                <w:szCs w:val="28"/>
                <w:lang w:bidi="ar-EG"/>
              </w:rPr>
            </w:pPr>
            <w:r w:rsidRPr="001827C1">
              <w:rPr>
                <w:rFonts w:ascii="Arabic Typesetting" w:eastAsia="Arial" w:hAnsi="Arabic Typesetting" w:cs="Arabic Typesetting"/>
                <w:sz w:val="28"/>
                <w:szCs w:val="28"/>
                <w:rtl/>
                <w:lang w:bidi="ar-EG"/>
              </w:rPr>
              <w:t>جودة الترجمة</w:t>
            </w:r>
          </w:p>
        </w:tc>
        <w:tc>
          <w:tcPr>
            <w:tcW w:w="1203" w:type="pct"/>
          </w:tcPr>
          <w:p w:rsidR="00E43EC5" w:rsidRPr="001827C1" w:rsidRDefault="00E43EC5" w:rsidP="00952267">
            <w:pPr>
              <w:bidi/>
              <w:spacing w:before="60" w:after="60" w:line="280" w:lineRule="exact"/>
              <w:rPr>
                <w:rFonts w:ascii="Arabic Typesetting" w:hAnsi="Arabic Typesetting" w:cs="Arabic Typesetting"/>
                <w:color w:val="002060"/>
                <w:sz w:val="28"/>
                <w:szCs w:val="28"/>
                <w:lang w:bidi="ar-EG"/>
              </w:rPr>
            </w:pPr>
            <w:r w:rsidRPr="001827C1">
              <w:rPr>
                <w:rFonts w:ascii="Arabic Typesetting" w:hAnsi="Arabic Typesetting" w:cs="Arabic Typesetting"/>
                <w:b/>
                <w:i/>
                <w:iCs/>
                <w:color w:val="002060"/>
                <w:sz w:val="28"/>
                <w:szCs w:val="28"/>
                <w:rtl/>
                <w:lang w:bidi="ar-EG"/>
              </w:rPr>
              <w:t xml:space="preserve">أسس المقارنة المحدّثة في نهاية 2013: </w:t>
            </w:r>
            <w:r w:rsidRPr="001827C1">
              <w:rPr>
                <w:rFonts w:ascii="Arabic Typesetting" w:hAnsi="Arabic Typesetting" w:cs="Arabic Typesetting" w:hint="cs"/>
                <w:b/>
                <w:color w:val="002060"/>
                <w:sz w:val="28"/>
                <w:szCs w:val="28"/>
                <w:rtl/>
                <w:lang w:bidi="ar-EG"/>
              </w:rPr>
              <w:t>96% من الوثائق تحترم معايير الجودة</w:t>
            </w: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b/>
                <w:i/>
                <w:iCs/>
                <w:sz w:val="28"/>
                <w:szCs w:val="28"/>
                <w:rtl/>
                <w:lang w:bidi="ar-EG"/>
              </w:rPr>
              <w:t xml:space="preserve">أسس المقارنة الأصلية: برنامج وميزانية 2014/15: </w:t>
            </w:r>
            <w:r w:rsidRPr="001827C1">
              <w:rPr>
                <w:rFonts w:ascii="Arabic Typesetting" w:hAnsi="Arabic Typesetting" w:cs="Arabic Typesetting"/>
                <w:b/>
                <w:sz w:val="28"/>
                <w:szCs w:val="28"/>
                <w:rtl/>
                <w:lang w:bidi="ar-EG"/>
              </w:rPr>
              <w:t>النسبة المئوية للوثائق التي تحترم معايير الجودة</w:t>
            </w:r>
          </w:p>
        </w:tc>
        <w:tc>
          <w:tcPr>
            <w:tcW w:w="914" w:type="pct"/>
            <w:tcMar>
              <w:top w:w="110" w:type="dxa"/>
            </w:tcMar>
          </w:tcPr>
          <w:p w:rsidR="00E43EC5" w:rsidRPr="001827C1" w:rsidRDefault="00E43EC5" w:rsidP="001B6640">
            <w:pPr>
              <w:autoSpaceDE w:val="0"/>
              <w:autoSpaceDN w:val="0"/>
              <w:bidi/>
              <w:adjustRightInd w:val="0"/>
              <w:spacing w:before="60" w:after="60" w:line="280" w:lineRule="exact"/>
              <w:rPr>
                <w:rFonts w:ascii="Arabic Typesetting" w:eastAsia="Batang" w:hAnsi="Arabic Typesetting" w:cs="Arabic Typesetting"/>
                <w:sz w:val="28"/>
                <w:szCs w:val="28"/>
                <w:lang w:eastAsia="ja-JP" w:bidi="ar-EG"/>
              </w:rPr>
            </w:pPr>
            <w:r w:rsidRPr="001827C1">
              <w:rPr>
                <w:rFonts w:ascii="Arabic Typesetting" w:eastAsia="Batang" w:hAnsi="Arabic Typesetting" w:cs="Arabic Typesetting"/>
                <w:sz w:val="28"/>
                <w:szCs w:val="28"/>
                <w:rtl/>
                <w:lang w:eastAsia="ja-JP" w:bidi="ar-EG"/>
              </w:rPr>
              <w:t>النسبة المئوية للوثائق التي تحترم معايير الجودة</w:t>
            </w:r>
          </w:p>
        </w:tc>
        <w:tc>
          <w:tcPr>
            <w:tcW w:w="1337" w:type="pct"/>
            <w:shd w:val="clear" w:color="auto" w:fill="FFFFFF"/>
            <w:tcMar>
              <w:top w:w="110" w:type="dxa"/>
            </w:tcMar>
          </w:tcPr>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hint="cs"/>
                <w:sz w:val="28"/>
                <w:szCs w:val="28"/>
                <w:rtl/>
                <w:lang w:bidi="ar-EG"/>
              </w:rPr>
              <w:t>في الثنائية 2014/15، بلغت نسبة رضا المستخدمين على جودة الترجمة 96%.</w:t>
            </w:r>
          </w:p>
        </w:tc>
        <w:tc>
          <w:tcPr>
            <w:tcW w:w="684" w:type="pct"/>
            <w:shd w:val="clear" w:color="auto" w:fill="auto"/>
            <w:tcMar>
              <w:top w:w="110" w:type="dxa"/>
            </w:tcMar>
          </w:tcPr>
          <w:p w:rsidR="00E43EC5" w:rsidRPr="001827C1" w:rsidRDefault="00E43EC5" w:rsidP="001B6640">
            <w:pPr>
              <w:bidi/>
              <w:spacing w:before="60" w:after="60" w:line="280" w:lineRule="exact"/>
              <w:jc w:val="center"/>
              <w:rPr>
                <w:rFonts w:ascii="Arabic Typesetting" w:hAnsi="Arabic Typesetting" w:cs="Arabic Typesetting"/>
                <w:b/>
                <w:bCs/>
                <w:color w:val="808080"/>
                <w:sz w:val="28"/>
                <w:szCs w:val="28"/>
              </w:rPr>
            </w:pPr>
            <w:r w:rsidRPr="001827C1">
              <w:rPr>
                <w:rFonts w:ascii="Arabic Typesetting" w:hAnsi="Arabic Typesetting" w:cs="Arabic Typesetting" w:hint="cs"/>
                <w:b/>
                <w:bCs/>
                <w:color w:val="808080"/>
                <w:sz w:val="28"/>
                <w:szCs w:val="28"/>
                <w:rtl/>
              </w:rPr>
              <w:t>غير قابل للقياس</w:t>
            </w:r>
          </w:p>
        </w:tc>
      </w:tr>
      <w:tr w:rsidR="00E43EC5" w:rsidRPr="001827C1" w:rsidTr="00E43EC5">
        <w:trPr>
          <w:cantSplit/>
        </w:trPr>
        <w:tc>
          <w:tcPr>
            <w:tcW w:w="862" w:type="pct"/>
          </w:tcPr>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eastAsia="Arial" w:hAnsi="Arabic Typesetting" w:cs="Arabic Typesetting"/>
                <w:sz w:val="28"/>
                <w:szCs w:val="28"/>
                <w:rtl/>
                <w:lang w:bidi="ar-EG"/>
              </w:rPr>
              <w:lastRenderedPageBreak/>
              <w:t>خفض تكاليف الطباعة (ل</w:t>
            </w:r>
            <w:r w:rsidRPr="001827C1">
              <w:rPr>
                <w:rFonts w:ascii="Arabic Typesetting" w:eastAsia="Arial" w:hAnsi="Arabic Typesetting" w:cs="Arabic Typesetting" w:hint="cs"/>
                <w:sz w:val="28"/>
                <w:szCs w:val="28"/>
                <w:rtl/>
                <w:lang w:bidi="ar-EG"/>
              </w:rPr>
              <w:t>ل</w:t>
            </w:r>
            <w:r w:rsidRPr="001827C1">
              <w:rPr>
                <w:rFonts w:ascii="Arabic Typesetting" w:eastAsia="Arial" w:hAnsi="Arabic Typesetting" w:cs="Arabic Typesetting"/>
                <w:sz w:val="28"/>
                <w:szCs w:val="28"/>
                <w:rtl/>
                <w:lang w:bidi="ar-EG"/>
              </w:rPr>
              <w:t>صفحة</w:t>
            </w:r>
            <w:r w:rsidRPr="001827C1">
              <w:rPr>
                <w:rFonts w:ascii="Arabic Typesetting" w:eastAsia="Arial" w:hAnsi="Arabic Typesetting" w:cs="Arabic Typesetting" w:hint="cs"/>
                <w:sz w:val="28"/>
                <w:szCs w:val="28"/>
                <w:rtl/>
                <w:lang w:bidi="ar-EG"/>
              </w:rPr>
              <w:t xml:space="preserve"> الواحدة</w:t>
            </w:r>
            <w:r w:rsidRPr="001827C1">
              <w:rPr>
                <w:rFonts w:ascii="Arabic Typesetting" w:eastAsia="Arial" w:hAnsi="Arabic Typesetting" w:cs="Arabic Typesetting"/>
                <w:sz w:val="28"/>
                <w:szCs w:val="28"/>
                <w:rtl/>
                <w:lang w:bidi="ar-EG"/>
              </w:rPr>
              <w:t>)</w:t>
            </w:r>
          </w:p>
        </w:tc>
        <w:tc>
          <w:tcPr>
            <w:tcW w:w="1203" w:type="pct"/>
          </w:tcPr>
          <w:p w:rsidR="00E43EC5" w:rsidRPr="001827C1" w:rsidRDefault="00E43EC5" w:rsidP="003D0697">
            <w:pPr>
              <w:bidi/>
              <w:spacing w:before="60" w:after="60" w:line="280" w:lineRule="exact"/>
              <w:rPr>
                <w:rFonts w:ascii="Arabic Typesetting" w:hAnsi="Arabic Typesetting" w:cs="Arabic Typesetting"/>
                <w:color w:val="002060"/>
                <w:sz w:val="28"/>
                <w:szCs w:val="28"/>
                <w:lang w:bidi="ar-EG"/>
              </w:rPr>
            </w:pPr>
            <w:r w:rsidRPr="001827C1">
              <w:rPr>
                <w:rFonts w:ascii="Arabic Typesetting" w:hAnsi="Arabic Typesetting" w:cs="Arabic Typesetting"/>
                <w:b/>
                <w:i/>
                <w:iCs/>
                <w:color w:val="002060"/>
                <w:sz w:val="28"/>
                <w:szCs w:val="28"/>
                <w:rtl/>
                <w:lang w:bidi="ar-EG"/>
              </w:rPr>
              <w:t xml:space="preserve">أسس المقارنة المحدّثة في نهاية 2013: </w:t>
            </w:r>
            <w:r w:rsidRPr="001827C1">
              <w:rPr>
                <w:rFonts w:ascii="Arabic Typesetting" w:hAnsi="Arabic Typesetting" w:cs="Arabic Typesetting" w:hint="cs"/>
                <w:b/>
                <w:color w:val="002060"/>
                <w:sz w:val="28"/>
                <w:szCs w:val="28"/>
                <w:rtl/>
                <w:lang w:bidi="ar-EG"/>
              </w:rPr>
              <w:t>متوسطة تكلفة الصفحة الواحدة 0.20 فرنك سويسري في عام 2013</w:t>
            </w:r>
            <w:r w:rsidRPr="00F96634">
              <w:rPr>
                <w:rFonts w:ascii="Arabic Typesetting" w:hAnsi="Arabic Typesetting" w:cs="Arabic Typesetting"/>
                <w:b/>
                <w:color w:val="002060"/>
                <w:sz w:val="28"/>
                <w:szCs w:val="28"/>
                <w:vertAlign w:val="superscript"/>
                <w:rtl/>
                <w:lang w:bidi="ar-EG"/>
              </w:rPr>
              <w:footnoteReference w:id="147"/>
            </w: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b/>
                <w:i/>
                <w:iCs/>
                <w:sz w:val="28"/>
                <w:szCs w:val="28"/>
                <w:rtl/>
                <w:lang w:bidi="ar-EG"/>
              </w:rPr>
              <w:t xml:space="preserve">أسس المقارنة الأصلية: برنامج وميزانية 2014/15: </w:t>
            </w:r>
            <w:r w:rsidRPr="001827C1">
              <w:rPr>
                <w:rFonts w:ascii="Arabic Typesetting" w:hAnsi="Arabic Typesetting" w:cs="Arabic Typesetting"/>
                <w:b/>
                <w:sz w:val="28"/>
                <w:szCs w:val="28"/>
                <w:rtl/>
                <w:lang w:bidi="ar-EG"/>
              </w:rPr>
              <w:t xml:space="preserve">تحدد </w:t>
            </w:r>
            <w:r w:rsidRPr="001827C1">
              <w:rPr>
                <w:rFonts w:ascii="Arabic Typesetting" w:hAnsi="Arabic Typesetting" w:cs="Arabic Typesetting" w:hint="cs"/>
                <w:b/>
                <w:sz w:val="28"/>
                <w:szCs w:val="28"/>
                <w:rtl/>
                <w:lang w:bidi="ar-EG"/>
              </w:rPr>
              <w:t>لاحقا</w:t>
            </w:r>
          </w:p>
        </w:tc>
        <w:tc>
          <w:tcPr>
            <w:tcW w:w="914" w:type="pct"/>
            <w:tcMar>
              <w:top w:w="110" w:type="dxa"/>
            </w:tcMar>
          </w:tcPr>
          <w:p w:rsidR="00E43EC5" w:rsidRPr="001827C1" w:rsidRDefault="00E43EC5" w:rsidP="003D0697">
            <w:pPr>
              <w:bidi/>
              <w:spacing w:before="60" w:after="60" w:line="280" w:lineRule="exact"/>
              <w:rPr>
                <w:rFonts w:ascii="Arabic Typesetting" w:hAnsi="Arabic Typesetting" w:cs="Arabic Typesetting"/>
                <w:b/>
                <w:color w:val="002060"/>
                <w:sz w:val="28"/>
                <w:szCs w:val="28"/>
                <w:rtl/>
                <w:lang w:bidi="ar-EG"/>
              </w:rPr>
            </w:pPr>
            <w:r w:rsidRPr="001827C1">
              <w:rPr>
                <w:rFonts w:ascii="Arabic Typesetting" w:hAnsi="Arabic Typesetting" w:cs="Arabic Typesetting"/>
                <w:b/>
                <w:i/>
                <w:iCs/>
                <w:color w:val="002060"/>
                <w:sz w:val="28"/>
                <w:szCs w:val="28"/>
                <w:rtl/>
                <w:lang w:bidi="ar-EG"/>
              </w:rPr>
              <w:t xml:space="preserve">أسس المقارنة </w:t>
            </w:r>
            <w:r w:rsidRPr="001827C1">
              <w:rPr>
                <w:rFonts w:ascii="Arabic Typesetting" w:hAnsi="Arabic Typesetting" w:cs="Arabic Typesetting" w:hint="cs"/>
                <w:b/>
                <w:i/>
                <w:iCs/>
                <w:color w:val="002060"/>
                <w:sz w:val="28"/>
                <w:szCs w:val="28"/>
                <w:rtl/>
                <w:lang w:bidi="ar-EG"/>
              </w:rPr>
              <w:t>المحددة</w:t>
            </w:r>
            <w:r w:rsidRPr="001827C1">
              <w:rPr>
                <w:rFonts w:ascii="Arabic Typesetting" w:hAnsi="Arabic Typesetting" w:cs="Arabic Typesetting"/>
                <w:b/>
                <w:i/>
                <w:iCs/>
                <w:color w:val="002060"/>
                <w:sz w:val="28"/>
                <w:szCs w:val="28"/>
                <w:rtl/>
                <w:lang w:bidi="ar-EG"/>
              </w:rPr>
              <w:t xml:space="preserve">: </w:t>
            </w:r>
            <w:r w:rsidRPr="001827C1">
              <w:rPr>
                <w:rFonts w:ascii="Arabic Typesetting" w:hAnsi="Arabic Typesetting" w:cs="Arabic Typesetting" w:hint="cs"/>
                <w:b/>
                <w:color w:val="002060"/>
                <w:sz w:val="28"/>
                <w:szCs w:val="28"/>
                <w:rtl/>
                <w:lang w:bidi="ar-EG"/>
              </w:rPr>
              <w:t>تخفيض بنسبة 5% في متوسط تكلفة الصفحة الواحدة</w:t>
            </w: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hint="cs"/>
                <w:b/>
                <w:i/>
                <w:iCs/>
                <w:sz w:val="28"/>
                <w:szCs w:val="28"/>
                <w:rtl/>
                <w:lang w:bidi="ar-EG"/>
              </w:rPr>
              <w:t>الهدف الأصلي في برنامج وميزانية 2014/15:</w:t>
            </w:r>
            <w:r w:rsidRPr="001827C1">
              <w:rPr>
                <w:rFonts w:ascii="Arabic Typesetting" w:hAnsi="Arabic Typesetting" w:cs="Arabic Typesetting" w:hint="cs"/>
                <w:b/>
                <w:sz w:val="28"/>
                <w:szCs w:val="28"/>
                <w:rtl/>
                <w:lang w:bidi="ar-EG"/>
              </w:rPr>
              <w:t xml:space="preserve"> يحدد لاحقا</w:t>
            </w:r>
          </w:p>
        </w:tc>
        <w:tc>
          <w:tcPr>
            <w:tcW w:w="1337" w:type="pct"/>
            <w:shd w:val="clear" w:color="auto" w:fill="FFFFFF"/>
            <w:tcMar>
              <w:top w:w="110" w:type="dxa"/>
            </w:tcMar>
          </w:tcPr>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hint="cs"/>
                <w:sz w:val="28"/>
                <w:szCs w:val="28"/>
                <w:rtl/>
                <w:lang w:bidi="ar-EG"/>
              </w:rPr>
              <w:t>بلغ متوسط تكلفة الصفحة الواحدة 0.15</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فرنك سويسري في عامي</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2014</w:t>
            </w:r>
            <w:r w:rsidRPr="00F96634">
              <w:rPr>
                <w:rFonts w:ascii="Arabic Typesetting" w:hAnsi="Arabic Typesetting" w:cs="Arabic Typesetting"/>
                <w:sz w:val="28"/>
                <w:szCs w:val="28"/>
                <w:vertAlign w:val="superscript"/>
                <w:rtl/>
                <w:lang w:bidi="ar-EG"/>
              </w:rPr>
              <w:footnoteReference w:id="148"/>
            </w:r>
            <w:r w:rsidRPr="001827C1">
              <w:rPr>
                <w:rFonts w:ascii="Arabic Typesetting" w:hAnsi="Arabic Typesetting" w:cs="Arabic Typesetting" w:hint="cs"/>
                <w:sz w:val="28"/>
                <w:szCs w:val="28"/>
                <w:rtl/>
                <w:lang w:bidi="ar-EG"/>
              </w:rPr>
              <w:t xml:space="preserve"> و2015 كليهما (تخفيض بنسبة</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25%).</w:t>
            </w:r>
          </w:p>
        </w:tc>
        <w:tc>
          <w:tcPr>
            <w:tcW w:w="684" w:type="pct"/>
            <w:shd w:val="clear" w:color="auto" w:fill="auto"/>
            <w:tcMar>
              <w:top w:w="110" w:type="dxa"/>
            </w:tcMar>
          </w:tcPr>
          <w:p w:rsidR="00E43EC5" w:rsidRPr="001827C1" w:rsidRDefault="00E43EC5" w:rsidP="001B6640">
            <w:pPr>
              <w:bidi/>
              <w:spacing w:before="60" w:after="60" w:line="280" w:lineRule="exact"/>
              <w:jc w:val="center"/>
              <w:rPr>
                <w:rFonts w:ascii="Arabic Typesetting" w:hAnsi="Arabic Typesetting" w:cs="Arabic Typesetting"/>
                <w:bCs/>
                <w:color w:val="00B050"/>
                <w:sz w:val="28"/>
                <w:szCs w:val="28"/>
              </w:rPr>
            </w:pPr>
            <w:r w:rsidRPr="001827C1">
              <w:rPr>
                <w:rFonts w:ascii="Arabic Typesetting" w:hAnsi="Arabic Typesetting" w:cs="Arabic Typesetting" w:hint="cs"/>
                <w:bCs/>
                <w:color w:val="00B050"/>
                <w:sz w:val="28"/>
                <w:szCs w:val="28"/>
                <w:rtl/>
              </w:rPr>
              <w:t>محقق كليا</w:t>
            </w:r>
            <w:r w:rsidR="003D0697">
              <w:rPr>
                <w:rFonts w:ascii="Arabic Typesetting" w:hAnsi="Arabic Typesetting" w:cs="Arabic Typesetting" w:hint="cs"/>
                <w:bCs/>
                <w:color w:val="00B050"/>
                <w:sz w:val="28"/>
                <w:szCs w:val="28"/>
                <w:rtl/>
              </w:rPr>
              <w:t>ً</w:t>
            </w:r>
          </w:p>
        </w:tc>
      </w:tr>
      <w:tr w:rsidR="00E43EC5" w:rsidRPr="001827C1" w:rsidTr="00E43EC5">
        <w:trPr>
          <w:cantSplit/>
        </w:trPr>
        <w:tc>
          <w:tcPr>
            <w:tcW w:w="862" w:type="pct"/>
            <w:tcBorders>
              <w:bottom w:val="single" w:sz="4" w:space="0" w:color="auto"/>
            </w:tcBorders>
          </w:tcPr>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eastAsia="Arial" w:hAnsi="Arabic Typesetting" w:cs="Arabic Typesetting"/>
                <w:sz w:val="28"/>
                <w:szCs w:val="28"/>
                <w:rtl/>
                <w:lang w:bidi="ar-EG"/>
              </w:rPr>
              <w:t>نشر وثائق اللجان والأفرقة العاملة في الوقت المناسب</w:t>
            </w:r>
          </w:p>
        </w:tc>
        <w:tc>
          <w:tcPr>
            <w:tcW w:w="1203" w:type="pct"/>
            <w:tcBorders>
              <w:bottom w:val="single" w:sz="4" w:space="0" w:color="auto"/>
            </w:tcBorders>
          </w:tcPr>
          <w:p w:rsidR="00E43EC5" w:rsidRPr="001827C1" w:rsidRDefault="00E43EC5" w:rsidP="003D0697">
            <w:pPr>
              <w:bidi/>
              <w:spacing w:before="60" w:after="60" w:line="280" w:lineRule="exact"/>
              <w:rPr>
                <w:rFonts w:ascii="Arabic Typesetting" w:hAnsi="Arabic Typesetting" w:cs="Arabic Typesetting"/>
                <w:b/>
                <w:color w:val="002060"/>
                <w:sz w:val="28"/>
                <w:szCs w:val="28"/>
                <w:lang w:bidi="ar-EG"/>
              </w:rPr>
            </w:pPr>
            <w:r w:rsidRPr="001827C1">
              <w:rPr>
                <w:rFonts w:ascii="Arabic Typesetting" w:hAnsi="Arabic Typesetting" w:cs="Arabic Typesetting"/>
                <w:b/>
                <w:i/>
                <w:iCs/>
                <w:color w:val="002060"/>
                <w:sz w:val="28"/>
                <w:szCs w:val="28"/>
                <w:rtl/>
                <w:lang w:bidi="ar-EG"/>
              </w:rPr>
              <w:t xml:space="preserve">أسس المقارنة المحدّثة في نهاية 2013: </w:t>
            </w:r>
            <w:r w:rsidRPr="001827C1">
              <w:rPr>
                <w:rFonts w:ascii="Arabic Typesetting" w:hAnsi="Arabic Typesetting" w:cs="Arabic Typesetting" w:hint="cs"/>
                <w:b/>
                <w:color w:val="002060"/>
                <w:sz w:val="28"/>
                <w:szCs w:val="28"/>
                <w:rtl/>
                <w:lang w:bidi="ar-EG"/>
              </w:rPr>
              <w:t xml:space="preserve">26% من الوثائق منشورة بجميع اللغات قبل </w:t>
            </w:r>
            <w:r w:rsidR="003D0697">
              <w:rPr>
                <w:rFonts w:ascii="Arabic Typesetting" w:hAnsi="Arabic Typesetting" w:cs="Arabic Typesetting" w:hint="cs"/>
                <w:b/>
                <w:color w:val="002060"/>
                <w:sz w:val="28"/>
                <w:szCs w:val="28"/>
                <w:rtl/>
                <w:lang w:bidi="ar-EG"/>
              </w:rPr>
              <w:t>تاريخ عقد</w:t>
            </w:r>
            <w:r w:rsidR="003D0697" w:rsidRPr="001827C1">
              <w:rPr>
                <w:rFonts w:ascii="Arabic Typesetting" w:hAnsi="Arabic Typesetting" w:cs="Arabic Typesetting" w:hint="cs"/>
                <w:b/>
                <w:color w:val="002060"/>
                <w:sz w:val="28"/>
                <w:szCs w:val="28"/>
                <w:rtl/>
                <w:lang w:bidi="ar-EG"/>
              </w:rPr>
              <w:t xml:space="preserve"> </w:t>
            </w:r>
            <w:r w:rsidRPr="001827C1">
              <w:rPr>
                <w:rFonts w:ascii="Arabic Typesetting" w:hAnsi="Arabic Typesetting" w:cs="Arabic Typesetting" w:hint="cs"/>
                <w:b/>
                <w:color w:val="002060"/>
                <w:sz w:val="28"/>
                <w:szCs w:val="28"/>
                <w:rtl/>
                <w:lang w:bidi="ar-EG"/>
              </w:rPr>
              <w:t>الاجتماعات المعنية بشهرين</w:t>
            </w: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b/>
                <w:i/>
                <w:iCs/>
                <w:sz w:val="28"/>
                <w:szCs w:val="28"/>
                <w:rtl/>
                <w:lang w:bidi="ar-EG"/>
              </w:rPr>
              <w:t xml:space="preserve">أسس المقارنة الأصلية: برنامج وميزانية 2014/15: </w:t>
            </w:r>
            <w:r w:rsidRPr="001827C1">
              <w:rPr>
                <w:rFonts w:ascii="Arabic Typesetting" w:hAnsi="Arabic Typesetting" w:cs="Arabic Typesetting"/>
                <w:b/>
                <w:sz w:val="28"/>
                <w:szCs w:val="28"/>
                <w:rtl/>
                <w:lang w:bidi="ar-EG"/>
              </w:rPr>
              <w:t xml:space="preserve">النسبة المئوية للوثائق المنشورة قبل </w:t>
            </w:r>
            <w:r w:rsidR="003D0697">
              <w:rPr>
                <w:rFonts w:ascii="Arabic Typesetting" w:hAnsi="Arabic Typesetting" w:cs="Arabic Typesetting" w:hint="cs"/>
                <w:b/>
                <w:sz w:val="28"/>
                <w:szCs w:val="28"/>
                <w:rtl/>
                <w:lang w:bidi="ar-EG"/>
              </w:rPr>
              <w:t>تاريخ عقد</w:t>
            </w:r>
            <w:r w:rsidR="003D0697" w:rsidRPr="001827C1">
              <w:rPr>
                <w:rFonts w:ascii="Arabic Typesetting" w:hAnsi="Arabic Typesetting" w:cs="Arabic Typesetting"/>
                <w:b/>
                <w:sz w:val="28"/>
                <w:szCs w:val="28"/>
                <w:rtl/>
                <w:lang w:bidi="ar-EG"/>
              </w:rPr>
              <w:t xml:space="preserve"> </w:t>
            </w:r>
            <w:r w:rsidRPr="001827C1">
              <w:rPr>
                <w:rFonts w:ascii="Arabic Typesetting" w:hAnsi="Arabic Typesetting" w:cs="Arabic Typesetting"/>
                <w:b/>
                <w:sz w:val="28"/>
                <w:szCs w:val="28"/>
                <w:rtl/>
                <w:lang w:bidi="ar-EG"/>
              </w:rPr>
              <w:t xml:space="preserve">الاجتماعات المعنية بشهرين (تحدد </w:t>
            </w:r>
            <w:r w:rsidRPr="001827C1">
              <w:rPr>
                <w:rFonts w:ascii="Arabic Typesetting" w:hAnsi="Arabic Typesetting" w:cs="Arabic Typesetting" w:hint="cs"/>
                <w:b/>
                <w:sz w:val="28"/>
                <w:szCs w:val="28"/>
                <w:rtl/>
                <w:lang w:bidi="ar-EG"/>
              </w:rPr>
              <w:t>لاحقا</w:t>
            </w:r>
            <w:r w:rsidRPr="001827C1">
              <w:rPr>
                <w:rFonts w:ascii="Arabic Typesetting" w:hAnsi="Arabic Typesetting" w:cs="Arabic Typesetting"/>
                <w:b/>
                <w:sz w:val="28"/>
                <w:szCs w:val="28"/>
                <w:rtl/>
                <w:lang w:bidi="ar-EG"/>
              </w:rPr>
              <w:t>)</w:t>
            </w:r>
          </w:p>
        </w:tc>
        <w:tc>
          <w:tcPr>
            <w:tcW w:w="914" w:type="pct"/>
            <w:tcBorders>
              <w:bottom w:val="single" w:sz="4" w:space="0" w:color="auto"/>
            </w:tcBorders>
            <w:tcMar>
              <w:top w:w="110" w:type="dxa"/>
            </w:tcMar>
          </w:tcPr>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sz w:val="28"/>
                <w:szCs w:val="28"/>
                <w:rtl/>
                <w:lang w:bidi="ar-EG"/>
              </w:rPr>
              <w:t xml:space="preserve">65% من الوثائق منشورة قبل </w:t>
            </w:r>
            <w:r w:rsidR="003D0697">
              <w:rPr>
                <w:rFonts w:ascii="Arabic Typesetting" w:hAnsi="Arabic Typesetting" w:cs="Arabic Typesetting" w:hint="cs"/>
                <w:sz w:val="28"/>
                <w:szCs w:val="28"/>
                <w:rtl/>
                <w:lang w:bidi="ar-EG"/>
              </w:rPr>
              <w:t>تاريخ عقد</w:t>
            </w:r>
            <w:r w:rsidR="003D0697" w:rsidRPr="001827C1">
              <w:rPr>
                <w:rFonts w:ascii="Arabic Typesetting" w:hAnsi="Arabic Typesetting" w:cs="Arabic Typesetting"/>
                <w:sz w:val="28"/>
                <w:szCs w:val="28"/>
                <w:rtl/>
                <w:lang w:bidi="ar-EG"/>
              </w:rPr>
              <w:t xml:space="preserve"> </w:t>
            </w:r>
            <w:r w:rsidRPr="001827C1">
              <w:rPr>
                <w:rFonts w:ascii="Arabic Typesetting" w:hAnsi="Arabic Typesetting" w:cs="Arabic Typesetting"/>
                <w:sz w:val="28"/>
                <w:szCs w:val="28"/>
                <w:rtl/>
                <w:lang w:bidi="ar-EG"/>
              </w:rPr>
              <w:t>الاجتماعات المعنية بشهرين</w:t>
            </w:r>
          </w:p>
        </w:tc>
        <w:tc>
          <w:tcPr>
            <w:tcW w:w="1337" w:type="pct"/>
            <w:tcBorders>
              <w:bottom w:val="single" w:sz="4" w:space="0" w:color="auto"/>
            </w:tcBorders>
            <w:shd w:val="clear" w:color="auto" w:fill="FFFFFF"/>
            <w:tcMar>
              <w:top w:w="110" w:type="dxa"/>
            </w:tcMar>
          </w:tcPr>
          <w:p w:rsidR="00E43EC5" w:rsidRPr="001827C1" w:rsidRDefault="00E43EC5" w:rsidP="001B6640">
            <w:pPr>
              <w:bidi/>
              <w:spacing w:before="60" w:after="60" w:line="280" w:lineRule="exact"/>
              <w:rPr>
                <w:rFonts w:ascii="Arabic Typesetting" w:hAnsi="Arabic Typesetting" w:cs="Arabic Typesetting"/>
                <w:sz w:val="28"/>
                <w:szCs w:val="28"/>
                <w:rtl/>
                <w:lang w:bidi="ar-EG"/>
              </w:rPr>
            </w:pPr>
            <w:r w:rsidRPr="001827C1">
              <w:rPr>
                <w:rFonts w:ascii="Arabic Typesetting" w:hAnsi="Arabic Typesetting" w:cs="Arabic Typesetting" w:hint="cs"/>
                <w:sz w:val="28"/>
                <w:szCs w:val="28"/>
                <w:rtl/>
                <w:lang w:bidi="ar-EG"/>
              </w:rPr>
              <w:t>في الثنائية</w:t>
            </w:r>
            <w:r w:rsidRPr="001827C1">
              <w:rPr>
                <w:rFonts w:ascii="Arabic Typesetting" w:hAnsi="Arabic Typesetting" w:cs="Arabic Typesetting" w:hint="eastAsia"/>
                <w:sz w:val="28"/>
                <w:szCs w:val="28"/>
                <w:rtl/>
                <w:lang w:bidi="ar-EG"/>
              </w:rPr>
              <w:t> </w:t>
            </w:r>
            <w:r w:rsidRPr="001827C1">
              <w:rPr>
                <w:rFonts w:ascii="Arabic Typesetting" w:hAnsi="Arabic Typesetting" w:cs="Arabic Typesetting" w:hint="cs"/>
                <w:sz w:val="28"/>
                <w:szCs w:val="28"/>
                <w:rtl/>
                <w:lang w:bidi="ar-EG"/>
              </w:rPr>
              <w:t xml:space="preserve">2014/15، نُشر 52.6% من مجموع وثائق اللجان الرئيسية بجميع اللغات قبل </w:t>
            </w:r>
            <w:r w:rsidR="003D0697">
              <w:rPr>
                <w:rFonts w:ascii="Arabic Typesetting" w:hAnsi="Arabic Typesetting" w:cs="Arabic Typesetting" w:hint="cs"/>
                <w:sz w:val="28"/>
                <w:szCs w:val="28"/>
                <w:rtl/>
                <w:lang w:bidi="ar-EG"/>
              </w:rPr>
              <w:t>تاريخ عقد</w:t>
            </w:r>
            <w:r w:rsidR="003D0697" w:rsidRPr="001827C1">
              <w:rPr>
                <w:rFonts w:ascii="Arabic Typesetting" w:hAnsi="Arabic Typesetting" w:cs="Arabic Typesetting" w:hint="cs"/>
                <w:sz w:val="28"/>
                <w:szCs w:val="28"/>
                <w:rtl/>
                <w:lang w:bidi="ar-EG"/>
              </w:rPr>
              <w:t xml:space="preserve"> </w:t>
            </w:r>
            <w:r w:rsidRPr="001827C1">
              <w:rPr>
                <w:rFonts w:ascii="Arabic Typesetting" w:hAnsi="Arabic Typesetting" w:cs="Arabic Typesetting" w:hint="cs"/>
                <w:sz w:val="28"/>
                <w:szCs w:val="28"/>
                <w:rtl/>
                <w:lang w:bidi="ar-EG"/>
              </w:rPr>
              <w:t>الاجتماعات المعنية بشهرين</w:t>
            </w:r>
          </w:p>
          <w:p w:rsidR="00E43EC5" w:rsidRPr="001827C1" w:rsidRDefault="00E43EC5" w:rsidP="001B6640">
            <w:pPr>
              <w:bidi/>
              <w:spacing w:before="60" w:after="60" w:line="280" w:lineRule="exact"/>
              <w:rPr>
                <w:rFonts w:ascii="Arabic Typesetting" w:hAnsi="Arabic Typesetting" w:cs="Arabic Typesetting"/>
                <w:sz w:val="28"/>
                <w:szCs w:val="28"/>
                <w:rtl/>
                <w:lang w:bidi="ar-EG"/>
              </w:rPr>
            </w:pPr>
            <w:r w:rsidRPr="001827C1">
              <w:rPr>
                <w:rFonts w:ascii="Arabic Typesetting" w:hAnsi="Arabic Typesetting" w:cs="Arabic Typesetting" w:hint="cs"/>
                <w:sz w:val="28"/>
                <w:szCs w:val="28"/>
                <w:rtl/>
                <w:lang w:bidi="ar-EG"/>
              </w:rPr>
              <w:t>- 2014: 41%</w:t>
            </w:r>
          </w:p>
          <w:p w:rsidR="00E43EC5" w:rsidRPr="001827C1" w:rsidRDefault="00E43EC5" w:rsidP="001B6640">
            <w:pPr>
              <w:bidi/>
              <w:spacing w:before="60" w:after="60" w:line="280" w:lineRule="exact"/>
              <w:rPr>
                <w:rFonts w:ascii="Arabic Typesetting" w:hAnsi="Arabic Typesetting" w:cs="Arabic Typesetting"/>
                <w:sz w:val="28"/>
                <w:szCs w:val="28"/>
                <w:lang w:bidi="ar-EG"/>
              </w:rPr>
            </w:pPr>
            <w:r w:rsidRPr="001827C1">
              <w:rPr>
                <w:rFonts w:ascii="Arabic Typesetting" w:hAnsi="Arabic Typesetting" w:cs="Arabic Typesetting" w:hint="cs"/>
                <w:sz w:val="28"/>
                <w:szCs w:val="28"/>
                <w:rtl/>
                <w:lang w:bidi="ar-EG"/>
              </w:rPr>
              <w:t>- 2015: 69%</w:t>
            </w:r>
          </w:p>
        </w:tc>
        <w:tc>
          <w:tcPr>
            <w:tcW w:w="684" w:type="pct"/>
            <w:tcBorders>
              <w:bottom w:val="single" w:sz="4" w:space="0" w:color="auto"/>
            </w:tcBorders>
            <w:shd w:val="clear" w:color="auto" w:fill="auto"/>
            <w:tcMar>
              <w:top w:w="110" w:type="dxa"/>
            </w:tcMar>
          </w:tcPr>
          <w:p w:rsidR="00E43EC5" w:rsidRPr="001827C1" w:rsidRDefault="00E43EC5" w:rsidP="001B6640">
            <w:pPr>
              <w:bidi/>
              <w:spacing w:before="60" w:after="60" w:line="280" w:lineRule="exact"/>
              <w:jc w:val="center"/>
              <w:rPr>
                <w:rFonts w:ascii="Arabic Typesetting" w:hAnsi="Arabic Typesetting" w:cs="Arabic Typesetting"/>
                <w:bCs/>
                <w:color w:val="00B050"/>
                <w:sz w:val="28"/>
                <w:szCs w:val="28"/>
              </w:rPr>
            </w:pPr>
            <w:r w:rsidRPr="001827C1">
              <w:rPr>
                <w:rFonts w:ascii="Arabic Typesetting" w:hAnsi="Arabic Typesetting" w:cs="Arabic Typesetting" w:hint="cs"/>
                <w:bCs/>
                <w:color w:val="00B050"/>
                <w:sz w:val="28"/>
                <w:szCs w:val="28"/>
                <w:rtl/>
              </w:rPr>
              <w:t>محقق كليا</w:t>
            </w:r>
            <w:r w:rsidR="003D0697">
              <w:rPr>
                <w:rFonts w:ascii="Arabic Typesetting" w:hAnsi="Arabic Typesetting" w:cs="Arabic Typesetting" w:hint="cs"/>
                <w:bCs/>
                <w:color w:val="00B050"/>
                <w:sz w:val="28"/>
                <w:szCs w:val="28"/>
                <w:rtl/>
              </w:rPr>
              <w:t>ً</w:t>
            </w:r>
          </w:p>
        </w:tc>
      </w:tr>
    </w:tbl>
    <w:p w:rsidR="00E43EC5" w:rsidRPr="001827C1" w:rsidRDefault="00E43EC5" w:rsidP="00E43EC5">
      <w:pPr>
        <w:keepNext/>
        <w:bidi/>
        <w:spacing w:before="120" w:after="120" w:line="340" w:lineRule="exact"/>
        <w:jc w:val="both"/>
        <w:rPr>
          <w:rFonts w:ascii="Arabic Typesetting" w:hAnsi="Arabic Typesetting" w:cs="Arabic Typesetting"/>
          <w:sz w:val="34"/>
          <w:szCs w:val="34"/>
          <w:rtl/>
          <w:lang w:bidi="ar-EG"/>
        </w:rPr>
      </w:pPr>
      <w:r w:rsidRPr="001827C1">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E43EC5" w:rsidRPr="001827C1" w:rsidTr="00E43EC5">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E43EC5" w:rsidRPr="001827C1" w:rsidRDefault="00E43EC5" w:rsidP="00E43EC5">
            <w:pPr>
              <w:bidi/>
              <w:spacing w:before="60" w:after="60" w:line="280" w:lineRule="exact"/>
              <w:jc w:val="center"/>
              <w:rPr>
                <w:rFonts w:ascii="Arabic Typesetting" w:hAnsi="Arabic Typesetting" w:cs="Arabic Typesetting"/>
                <w:bCs/>
                <w:sz w:val="28"/>
                <w:szCs w:val="28"/>
                <w:lang w:bidi="ar-EG"/>
              </w:rPr>
            </w:pPr>
            <w:r w:rsidRPr="001827C1">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E43EC5" w:rsidRPr="001827C1" w:rsidRDefault="00E43EC5" w:rsidP="00E43EC5">
            <w:pPr>
              <w:keepNext/>
              <w:bidi/>
              <w:spacing w:before="60" w:after="60" w:line="280" w:lineRule="exact"/>
              <w:jc w:val="center"/>
              <w:rPr>
                <w:rFonts w:ascii="Arabic Typesetting" w:hAnsi="Arabic Typesetting" w:cs="Arabic Typesetting"/>
                <w:bCs/>
                <w:sz w:val="28"/>
                <w:szCs w:val="28"/>
                <w:lang w:bidi="ar-EG"/>
              </w:rPr>
            </w:pPr>
            <w:r w:rsidRPr="001827C1">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E43EC5" w:rsidRPr="001827C1" w:rsidRDefault="00E43EC5" w:rsidP="00E43EC5">
            <w:pPr>
              <w:keepNext/>
              <w:bidi/>
              <w:spacing w:before="60" w:after="60" w:line="280" w:lineRule="exact"/>
              <w:jc w:val="center"/>
              <w:rPr>
                <w:rFonts w:ascii="Arabic Typesetting" w:hAnsi="Arabic Typesetting" w:cs="Arabic Typesetting"/>
                <w:bCs/>
                <w:sz w:val="28"/>
                <w:szCs w:val="28"/>
                <w:lang w:bidi="ar-EG"/>
              </w:rPr>
            </w:pPr>
            <w:r w:rsidRPr="001827C1">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E43EC5" w:rsidRPr="001827C1" w:rsidRDefault="00E43EC5" w:rsidP="00E43EC5">
            <w:pPr>
              <w:keepNext/>
              <w:bidi/>
              <w:spacing w:before="60" w:after="60" w:line="280" w:lineRule="exact"/>
              <w:jc w:val="center"/>
              <w:rPr>
                <w:rFonts w:ascii="Arabic Typesetting" w:hAnsi="Arabic Typesetting" w:cs="Arabic Typesetting"/>
                <w:bCs/>
                <w:sz w:val="28"/>
                <w:szCs w:val="28"/>
                <w:lang w:bidi="ar-EG"/>
              </w:rPr>
            </w:pPr>
            <w:r w:rsidRPr="001827C1">
              <w:rPr>
                <w:rFonts w:ascii="Arabic Typesetting" w:hAnsi="Arabic Typesetting" w:cs="Arabic Typesetting" w:hint="cs"/>
                <w:bCs/>
                <w:sz w:val="28"/>
                <w:szCs w:val="28"/>
                <w:rtl/>
                <w:lang w:bidi="ar-EG"/>
              </w:rPr>
              <w:t>التأثير في أداء البرنامج</w:t>
            </w:r>
          </w:p>
        </w:tc>
      </w:tr>
      <w:tr w:rsidR="00E43EC5" w:rsidRPr="001827C1" w:rsidTr="00E43EC5">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E43EC5" w:rsidRPr="001827C1" w:rsidRDefault="00E43EC5" w:rsidP="003D0697">
            <w:pPr>
              <w:autoSpaceDE w:val="0"/>
              <w:autoSpaceDN w:val="0"/>
              <w:bidi/>
              <w:adjustRightInd w:val="0"/>
              <w:jc w:val="both"/>
              <w:rPr>
                <w:rFonts w:ascii="Arabic Typesetting" w:hAnsi="Arabic Typesetting" w:cs="Arabic Typesetting"/>
                <w:b/>
                <w:sz w:val="28"/>
                <w:szCs w:val="28"/>
                <w:lang w:bidi="ar-EG"/>
              </w:rPr>
            </w:pPr>
            <w:r w:rsidRPr="001827C1">
              <w:rPr>
                <w:rFonts w:ascii="Arabic Typesetting" w:hAnsi="Arabic Typesetting" w:cs="Arabic Typesetting"/>
                <w:b/>
                <w:sz w:val="28"/>
                <w:szCs w:val="28"/>
                <w:rtl/>
                <w:lang w:bidi="ar-EG"/>
              </w:rPr>
              <w:t>‏عدم تنفيذ سياسة اللغات بشكل كامل</w:t>
            </w:r>
            <w:r w:rsidR="003D0697">
              <w:rPr>
                <w:rFonts w:ascii="Arabic Typesetting" w:hAnsi="Arabic Typesetting" w:cs="Arabic Typesetting" w:hint="cs"/>
                <w:b/>
                <w:sz w:val="28"/>
                <w:szCs w:val="28"/>
                <w:rtl/>
                <w:lang w:bidi="ar-EG"/>
              </w:rPr>
              <w:t xml:space="preserve"> </w:t>
            </w:r>
            <w:r w:rsidRPr="001827C1">
              <w:rPr>
                <w:rFonts w:ascii="Arabic Typesetting" w:hAnsi="Arabic Typesetting" w:cs="Arabic Typesetting"/>
                <w:b/>
                <w:sz w:val="28"/>
                <w:szCs w:val="28"/>
                <w:rtl/>
                <w:lang w:bidi="ar-EG"/>
              </w:rPr>
              <w:t xml:space="preserve">بسبب زيادة الطلب على الترجمة وعدم الالتزام بالحدود المقررة وزيادة أعباء أعمال الترجمة </w:t>
            </w:r>
            <w:r w:rsidR="003D0697">
              <w:rPr>
                <w:rFonts w:ascii="Arabic Typesetting" w:hAnsi="Arabic Typesetting" w:cs="Arabic Typesetting" w:hint="cs"/>
                <w:b/>
                <w:sz w:val="28"/>
                <w:szCs w:val="28"/>
                <w:rtl/>
                <w:lang w:bidi="ar-EG"/>
              </w:rPr>
              <w:t>زيادة</w:t>
            </w:r>
            <w:r w:rsidR="003D0697" w:rsidRPr="001827C1">
              <w:rPr>
                <w:rFonts w:ascii="Arabic Typesetting" w:hAnsi="Arabic Typesetting" w:cs="Arabic Typesetting"/>
                <w:b/>
                <w:sz w:val="28"/>
                <w:szCs w:val="28"/>
                <w:rtl/>
                <w:lang w:bidi="ar-EG"/>
              </w:rPr>
              <w:t xml:space="preserve"> </w:t>
            </w:r>
            <w:r w:rsidRPr="001827C1">
              <w:rPr>
                <w:rFonts w:ascii="Arabic Typesetting" w:hAnsi="Arabic Typesetting" w:cs="Arabic Typesetting"/>
                <w:b/>
                <w:sz w:val="28"/>
                <w:szCs w:val="28"/>
                <w:rtl/>
                <w:lang w:bidi="ar-EG"/>
              </w:rPr>
              <w:t>كبير</w:t>
            </w:r>
            <w:r w:rsidR="003D0697">
              <w:rPr>
                <w:rFonts w:ascii="Arabic Typesetting" w:hAnsi="Arabic Typesetting" w:cs="Arabic Typesetting" w:hint="cs"/>
                <w:b/>
                <w:sz w:val="28"/>
                <w:szCs w:val="28"/>
                <w:rtl/>
                <w:lang w:bidi="ar-EG"/>
              </w:rPr>
              <w:t>ة</w:t>
            </w:r>
            <w:r w:rsidRPr="001827C1">
              <w:rPr>
                <w:rFonts w:ascii="Arabic Typesetting" w:hAnsi="Arabic Typesetting" w:cs="Arabic Typesetting"/>
                <w:b/>
                <w:sz w:val="28"/>
                <w:szCs w:val="28"/>
                <w:rtl/>
                <w:lang w:bidi="ar-EG"/>
              </w:rPr>
              <w:t xml:space="preserve"> مما يؤدي إلى اختلال الميزانية</w:t>
            </w:r>
          </w:p>
        </w:tc>
        <w:tc>
          <w:tcPr>
            <w:tcW w:w="2200" w:type="dxa"/>
            <w:tcBorders>
              <w:top w:val="single" w:sz="4" w:space="0" w:color="auto"/>
              <w:bottom w:val="single" w:sz="4" w:space="0" w:color="auto"/>
            </w:tcBorders>
            <w:shd w:val="clear" w:color="auto" w:fill="auto"/>
            <w:tcMar>
              <w:top w:w="113" w:type="dxa"/>
              <w:bottom w:w="113" w:type="dxa"/>
            </w:tcMar>
          </w:tcPr>
          <w:p w:rsidR="00E43EC5" w:rsidRPr="001827C1" w:rsidRDefault="00E43EC5" w:rsidP="003D0697">
            <w:pPr>
              <w:autoSpaceDE w:val="0"/>
              <w:autoSpaceDN w:val="0"/>
              <w:bidi/>
              <w:adjustRightInd w:val="0"/>
              <w:jc w:val="both"/>
              <w:rPr>
                <w:rFonts w:ascii="Arabic Typesetting" w:hAnsi="Arabic Typesetting" w:cs="Arabic Typesetting"/>
                <w:b/>
                <w:sz w:val="28"/>
                <w:szCs w:val="28"/>
                <w:lang w:bidi="ar-EG"/>
              </w:rPr>
            </w:pPr>
            <w:r w:rsidRPr="001827C1">
              <w:rPr>
                <w:rFonts w:ascii="Arabic Typesetting" w:hAnsi="Arabic Typesetting" w:cs="Arabic Typesetting"/>
                <w:b/>
                <w:sz w:val="28"/>
                <w:szCs w:val="28"/>
                <w:rtl/>
                <w:lang w:bidi="ar-EG"/>
              </w:rPr>
              <w:t xml:space="preserve">رصد عدد الوثائق وحجمها؛ وتنفيذ </w:t>
            </w:r>
            <w:r w:rsidRPr="001827C1">
              <w:rPr>
                <w:rFonts w:ascii="Arabic Typesetting" w:hAnsi="Arabic Typesetting" w:cs="Arabic Typesetting" w:hint="cs"/>
                <w:b/>
                <w:sz w:val="28"/>
                <w:szCs w:val="28"/>
                <w:rtl/>
                <w:lang w:bidi="ar-EG"/>
              </w:rPr>
              <w:t>تدابير</w:t>
            </w:r>
            <w:r w:rsidRPr="001827C1">
              <w:rPr>
                <w:rFonts w:ascii="Arabic Typesetting" w:hAnsi="Arabic Typesetting" w:cs="Arabic Typesetting"/>
                <w:b/>
                <w:sz w:val="28"/>
                <w:szCs w:val="28"/>
                <w:rtl/>
                <w:lang w:bidi="ar-EG"/>
              </w:rPr>
              <w:t xml:space="preserve"> الترشيد والمراقبة </w:t>
            </w:r>
            <w:r w:rsidR="003D0697">
              <w:rPr>
                <w:rFonts w:ascii="Arabic Typesetting" w:hAnsi="Arabic Typesetting" w:cs="Arabic Typesetting" w:hint="cs"/>
                <w:b/>
                <w:sz w:val="28"/>
                <w:szCs w:val="28"/>
                <w:rtl/>
                <w:lang w:bidi="ar-EG"/>
              </w:rPr>
              <w:t>تنفيذاً</w:t>
            </w:r>
            <w:r w:rsidR="003D0697" w:rsidRPr="001827C1">
              <w:rPr>
                <w:rFonts w:ascii="Arabic Typesetting" w:hAnsi="Arabic Typesetting" w:cs="Arabic Typesetting"/>
                <w:b/>
                <w:sz w:val="28"/>
                <w:szCs w:val="28"/>
                <w:rtl/>
                <w:lang w:bidi="ar-EG"/>
              </w:rPr>
              <w:t xml:space="preserve"> </w:t>
            </w:r>
            <w:r w:rsidRPr="001827C1">
              <w:rPr>
                <w:rFonts w:ascii="Arabic Typesetting" w:hAnsi="Arabic Typesetting" w:cs="Arabic Typesetting"/>
                <w:b/>
                <w:sz w:val="28"/>
                <w:szCs w:val="28"/>
                <w:rtl/>
                <w:lang w:bidi="ar-EG"/>
              </w:rPr>
              <w:t>صارم</w:t>
            </w:r>
            <w:r w:rsidR="003D0697">
              <w:rPr>
                <w:rFonts w:ascii="Arabic Typesetting" w:hAnsi="Arabic Typesetting" w:cs="Arabic Typesetting" w:hint="cs"/>
                <w:b/>
                <w:sz w:val="28"/>
                <w:szCs w:val="28"/>
                <w:rtl/>
                <w:lang w:bidi="ar-EG"/>
              </w:rPr>
              <w:t>اً</w:t>
            </w:r>
            <w:r w:rsidRPr="001827C1">
              <w:rPr>
                <w:rFonts w:ascii="Arabic Typesetting" w:hAnsi="Arabic Typesetting" w:cs="Arabic Typesetting"/>
                <w:b/>
                <w:sz w:val="28"/>
                <w:szCs w:val="28"/>
                <w:rtl/>
                <w:lang w:bidi="ar-EG"/>
              </w:rPr>
              <w:t>؛ وتشجيع القطاعات المعنية على تجنب النصوص المتكررة في الوثائق</w:t>
            </w:r>
          </w:p>
        </w:tc>
        <w:tc>
          <w:tcPr>
            <w:tcW w:w="2310" w:type="dxa"/>
            <w:tcBorders>
              <w:top w:val="single" w:sz="4" w:space="0" w:color="auto"/>
              <w:bottom w:val="single" w:sz="4" w:space="0" w:color="auto"/>
            </w:tcBorders>
          </w:tcPr>
          <w:p w:rsidR="00E43EC5" w:rsidRPr="001827C1" w:rsidRDefault="00E43EC5" w:rsidP="003D0697">
            <w:pPr>
              <w:autoSpaceDE w:val="0"/>
              <w:autoSpaceDN w:val="0"/>
              <w:bidi/>
              <w:adjustRightInd w:val="0"/>
              <w:spacing w:after="60"/>
              <w:jc w:val="both"/>
              <w:rPr>
                <w:rFonts w:ascii="Arabic Typesetting" w:hAnsi="Arabic Typesetting" w:cs="Arabic Typesetting"/>
                <w:b/>
                <w:sz w:val="28"/>
                <w:szCs w:val="28"/>
              </w:rPr>
            </w:pPr>
            <w:r w:rsidRPr="001827C1">
              <w:rPr>
                <w:rFonts w:ascii="Arabic Typesetting" w:hAnsi="Arabic Typesetting" w:cs="Arabic Typesetting" w:hint="cs"/>
                <w:b/>
                <w:sz w:val="28"/>
                <w:szCs w:val="28"/>
                <w:rtl/>
              </w:rPr>
              <w:t xml:space="preserve">من خلال عمليات المراقبة الأكثر تركيزا وتدابير الترشيد </w:t>
            </w:r>
            <w:proofErr w:type="spellStart"/>
            <w:r w:rsidRPr="001827C1">
              <w:rPr>
                <w:rFonts w:ascii="Arabic Typesetting" w:hAnsi="Arabic Typesetting" w:cs="Arabic Typesetting" w:hint="cs"/>
                <w:b/>
                <w:sz w:val="28"/>
                <w:szCs w:val="28"/>
                <w:rtl/>
              </w:rPr>
              <w:t>الاستبقاية</w:t>
            </w:r>
            <w:proofErr w:type="spellEnd"/>
            <w:r w:rsidRPr="001827C1">
              <w:rPr>
                <w:rFonts w:ascii="Arabic Typesetting" w:hAnsi="Arabic Typesetting" w:cs="Arabic Typesetting" w:hint="cs"/>
                <w:b/>
                <w:sz w:val="28"/>
                <w:szCs w:val="28"/>
                <w:rtl/>
              </w:rPr>
              <w:t xml:space="preserve">، شُجّعت القطاعات المؤسسية على </w:t>
            </w:r>
            <w:r w:rsidR="003D0697">
              <w:rPr>
                <w:rFonts w:ascii="Arabic Typesetting" w:hAnsi="Arabic Typesetting" w:cs="Arabic Typesetting" w:hint="cs"/>
                <w:b/>
                <w:sz w:val="28"/>
                <w:szCs w:val="28"/>
                <w:rtl/>
              </w:rPr>
              <w:t>إدراك</w:t>
            </w:r>
            <w:r w:rsidRPr="001827C1">
              <w:rPr>
                <w:rFonts w:ascii="Arabic Typesetting" w:hAnsi="Arabic Typesetting" w:cs="Arabic Typesetting" w:hint="cs"/>
                <w:b/>
                <w:sz w:val="28"/>
                <w:szCs w:val="28"/>
                <w:rtl/>
              </w:rPr>
              <w:t xml:space="preserve"> أهمية الوثائق المقتضبة، بحيث يتسنى احتواء عبء العمل الخاص بالترجمة بفعالية أكبر. وفيما يخص التنفيذ الفعال لسياسة اللغات، شملت تدابير الحد من وطأة المخاطر انتهاج </w:t>
            </w:r>
            <w:r w:rsidR="003D0697">
              <w:rPr>
                <w:rFonts w:ascii="Arabic Typesetting" w:hAnsi="Arabic Typesetting" w:cs="Arabic Typesetting" w:hint="cs"/>
                <w:b/>
                <w:sz w:val="28"/>
                <w:szCs w:val="28"/>
                <w:rtl/>
              </w:rPr>
              <w:t>نهج</w:t>
            </w:r>
            <w:r w:rsidR="003D0697" w:rsidRPr="001827C1">
              <w:rPr>
                <w:rFonts w:ascii="Arabic Typesetting" w:hAnsi="Arabic Typesetting" w:cs="Arabic Typesetting" w:hint="cs"/>
                <w:b/>
                <w:sz w:val="28"/>
                <w:szCs w:val="28"/>
                <w:rtl/>
              </w:rPr>
              <w:t xml:space="preserve"> </w:t>
            </w:r>
            <w:r w:rsidRPr="001827C1">
              <w:rPr>
                <w:rFonts w:ascii="Arabic Typesetting" w:hAnsi="Arabic Typesetting" w:cs="Arabic Typesetting" w:hint="cs"/>
                <w:b/>
                <w:sz w:val="28"/>
                <w:szCs w:val="28"/>
                <w:rtl/>
              </w:rPr>
              <w:t xml:space="preserve">مرحلي في التنفيذ وزيادة الاعتماد على </w:t>
            </w:r>
            <w:r w:rsidR="003D0697">
              <w:rPr>
                <w:rFonts w:ascii="Arabic Typesetting" w:hAnsi="Arabic Typesetting" w:cs="Arabic Typesetting" w:hint="cs"/>
                <w:b/>
                <w:sz w:val="28"/>
                <w:szCs w:val="28"/>
                <w:rtl/>
              </w:rPr>
              <w:t>التلزيم الخارجي</w:t>
            </w:r>
            <w:r w:rsidRPr="001827C1">
              <w:rPr>
                <w:rFonts w:ascii="Arabic Typesetting" w:hAnsi="Arabic Typesetting" w:cs="Arabic Typesetting" w:hint="cs"/>
                <w:b/>
                <w:sz w:val="28"/>
                <w:szCs w:val="28"/>
                <w:rtl/>
              </w:rPr>
              <w:t xml:space="preserve"> واستخدام تكنولوجيات الترجمة.</w:t>
            </w:r>
          </w:p>
        </w:tc>
        <w:tc>
          <w:tcPr>
            <w:tcW w:w="2306" w:type="dxa"/>
            <w:tcBorders>
              <w:top w:val="single" w:sz="4" w:space="0" w:color="auto"/>
              <w:bottom w:val="single" w:sz="4" w:space="0" w:color="auto"/>
              <w:right w:val="single" w:sz="4" w:space="0" w:color="auto"/>
            </w:tcBorders>
          </w:tcPr>
          <w:p w:rsidR="00E43EC5" w:rsidRPr="001827C1" w:rsidRDefault="00E43EC5" w:rsidP="00952267">
            <w:pPr>
              <w:bidi/>
              <w:rPr>
                <w:rFonts w:ascii="Arabic Typesetting" w:hAnsi="Arabic Typesetting" w:cs="Arabic Typesetting"/>
                <w:b/>
                <w:sz w:val="28"/>
                <w:szCs w:val="28"/>
                <w:lang w:bidi="ar-EG"/>
              </w:rPr>
            </w:pPr>
            <w:r w:rsidRPr="001827C1">
              <w:rPr>
                <w:rFonts w:ascii="Arabic Typesetting" w:hAnsi="Arabic Typesetting" w:cs="Arabic Typesetting" w:hint="cs"/>
                <w:b/>
                <w:sz w:val="28"/>
                <w:szCs w:val="28"/>
                <w:rtl/>
                <w:lang w:bidi="ar-EG"/>
              </w:rPr>
              <w:t>مع الحد بفعالية من وطأة المخاطر، لم يُسجّل أي أثر على أداء البرنامج في الثنائية</w:t>
            </w:r>
            <w:r w:rsidRPr="001827C1">
              <w:rPr>
                <w:rFonts w:ascii="Arabic Typesetting" w:hAnsi="Arabic Typesetting" w:cs="Arabic Typesetting" w:hint="eastAsia"/>
                <w:b/>
                <w:sz w:val="28"/>
                <w:szCs w:val="28"/>
                <w:rtl/>
                <w:lang w:bidi="ar-EG"/>
              </w:rPr>
              <w:t> </w:t>
            </w:r>
            <w:r w:rsidRPr="001827C1">
              <w:rPr>
                <w:rFonts w:ascii="Arabic Typesetting" w:hAnsi="Arabic Typesetting" w:cs="Arabic Typesetting" w:hint="cs"/>
                <w:b/>
                <w:sz w:val="28"/>
                <w:szCs w:val="28"/>
                <w:rtl/>
                <w:lang w:bidi="ar-EG"/>
              </w:rPr>
              <w:t>2014/15.</w:t>
            </w:r>
          </w:p>
        </w:tc>
      </w:tr>
    </w:tbl>
    <w:p w:rsidR="00E43EC5" w:rsidRPr="001827C1" w:rsidRDefault="00E43EC5" w:rsidP="00E43EC5">
      <w:pPr>
        <w:keepNext/>
        <w:bidi/>
        <w:spacing w:before="120" w:after="120" w:line="340" w:lineRule="exact"/>
        <w:jc w:val="both"/>
        <w:rPr>
          <w:rFonts w:ascii="Arabic Typesetting" w:hAnsi="Arabic Typesetting" w:cs="Arabic Typesetting"/>
          <w:sz w:val="34"/>
          <w:szCs w:val="34"/>
          <w:lang w:bidi="ar-EG"/>
        </w:rPr>
      </w:pPr>
      <w:r w:rsidRPr="001827C1">
        <w:rPr>
          <w:rFonts w:ascii="Arabic Typesetting" w:hAnsi="Arabic Typesetting" w:cs="Arabic Typesetting"/>
          <w:sz w:val="34"/>
          <w:szCs w:val="34"/>
          <w:rtl/>
          <w:lang w:bidi="ar-EG"/>
        </w:rPr>
        <w:lastRenderedPageBreak/>
        <w:t>استخدام الموارد</w:t>
      </w:r>
    </w:p>
    <w:p w:rsidR="00E43EC5" w:rsidRPr="001827C1" w:rsidRDefault="00E43EC5" w:rsidP="00E43EC5">
      <w:pPr>
        <w:keepNext/>
        <w:bidi/>
        <w:spacing w:line="340" w:lineRule="exact"/>
        <w:jc w:val="center"/>
        <w:rPr>
          <w:rFonts w:ascii="Arabic Typesetting" w:hAnsi="Arabic Typesetting" w:cs="Arabic Typesetting"/>
          <w:sz w:val="34"/>
          <w:szCs w:val="34"/>
          <w:rtl/>
          <w:lang w:bidi="ar-EG"/>
        </w:rPr>
      </w:pPr>
      <w:r w:rsidRPr="001827C1">
        <w:rPr>
          <w:rFonts w:ascii="Arabic Typesetting" w:hAnsi="Arabic Typesetting" w:cs="Arabic Typesetting" w:hint="cs"/>
          <w:sz w:val="34"/>
          <w:szCs w:val="34"/>
          <w:rtl/>
          <w:lang w:bidi="ar-EG"/>
        </w:rPr>
        <w:t>الميزانية والنفقات الفعلية (بحسب النتائج)</w:t>
      </w:r>
    </w:p>
    <w:p w:rsidR="00E43EC5" w:rsidRPr="001827C1" w:rsidRDefault="00E43EC5" w:rsidP="00E43EC5">
      <w:pPr>
        <w:keepNext/>
        <w:bidi/>
        <w:spacing w:after="120" w:line="340" w:lineRule="exact"/>
        <w:jc w:val="center"/>
        <w:rPr>
          <w:rFonts w:ascii="Arabic Typesetting" w:hAnsi="Arabic Typesetting" w:cs="Arabic Typesetting"/>
          <w:i/>
          <w:iCs/>
          <w:sz w:val="34"/>
          <w:szCs w:val="34"/>
          <w:rtl/>
          <w:lang w:bidi="ar-EG"/>
        </w:rPr>
      </w:pPr>
      <w:r w:rsidRPr="001827C1">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E43EC5" w:rsidRPr="001827C1" w:rsidTr="00E43EC5">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E43EC5" w:rsidRPr="001827C1" w:rsidRDefault="00E43EC5" w:rsidP="00E43EC5">
            <w:pPr>
              <w:keepNext/>
              <w:bidi/>
              <w:jc w:val="center"/>
              <w:rPr>
                <w:rFonts w:ascii="Arabic Typesetting" w:hAnsi="Arabic Typesetting" w:cs="Arabic Typesetting"/>
                <w:i/>
                <w:iCs/>
                <w:sz w:val="28"/>
                <w:szCs w:val="28"/>
              </w:rPr>
            </w:pPr>
            <w:r w:rsidRPr="001827C1">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E43EC5" w:rsidRPr="001827C1" w:rsidRDefault="00E43EC5" w:rsidP="00E43EC5">
            <w:pPr>
              <w:keepNext/>
              <w:bidi/>
              <w:jc w:val="center"/>
              <w:rPr>
                <w:rFonts w:ascii="Arabic Typesetting" w:hAnsi="Arabic Typesetting" w:cs="Arabic Typesetting"/>
                <w:i/>
                <w:iCs/>
                <w:sz w:val="28"/>
                <w:szCs w:val="28"/>
              </w:rPr>
            </w:pPr>
            <w:r w:rsidRPr="001827C1">
              <w:rPr>
                <w:rFonts w:ascii="Arabic Typesetting" w:hAnsi="Arabic Typesetting" w:cs="Arabic Typesetting"/>
                <w:i/>
                <w:iCs/>
                <w:sz w:val="28"/>
                <w:szCs w:val="28"/>
                <w:rtl/>
              </w:rPr>
              <w:t xml:space="preserve">الميزانية المعتمدة </w:t>
            </w:r>
            <w:r w:rsidRPr="001827C1">
              <w:rPr>
                <w:rFonts w:ascii="Arabic Typesetting" w:hAnsi="Arabic Typesetting" w:cs="Arabic Typesetting" w:hint="cs"/>
                <w:i/>
                <w:iCs/>
                <w:sz w:val="28"/>
                <w:szCs w:val="28"/>
                <w:rtl/>
              </w:rPr>
              <w:t>2014</w:t>
            </w:r>
            <w:r w:rsidRPr="001827C1">
              <w:rPr>
                <w:rFonts w:ascii="Arabic Typesetting" w:hAnsi="Arabic Typesetting" w:cs="Arabic Typesetting"/>
                <w:i/>
                <w:iCs/>
                <w:sz w:val="28"/>
                <w:szCs w:val="28"/>
                <w:rtl/>
              </w:rPr>
              <w:t>/</w:t>
            </w:r>
            <w:r w:rsidRPr="001827C1">
              <w:rPr>
                <w:rFonts w:ascii="Arabic Typesetting" w:hAnsi="Arabic Typesetting" w:cs="Arabic Typesetting" w:hint="cs"/>
                <w:i/>
                <w:iCs/>
                <w:sz w:val="28"/>
                <w:szCs w:val="28"/>
                <w:rtl/>
              </w:rPr>
              <w:t>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E43EC5" w:rsidRPr="001827C1" w:rsidRDefault="00E43EC5" w:rsidP="00E43EC5">
            <w:pPr>
              <w:keepNext/>
              <w:bidi/>
              <w:jc w:val="center"/>
              <w:rPr>
                <w:rFonts w:ascii="Arabic Typesetting" w:hAnsi="Arabic Typesetting" w:cs="Arabic Typesetting"/>
                <w:i/>
                <w:iCs/>
                <w:sz w:val="28"/>
                <w:szCs w:val="28"/>
              </w:rPr>
            </w:pPr>
            <w:r w:rsidRPr="001827C1">
              <w:rPr>
                <w:rFonts w:ascii="Arabic Typesetting" w:hAnsi="Arabic Typesetting" w:cs="Arabic Typesetting" w:hint="cs"/>
                <w:i/>
                <w:iCs/>
                <w:sz w:val="28"/>
                <w:szCs w:val="28"/>
                <w:rtl/>
              </w:rPr>
              <w:t>الميزانية النهائية</w:t>
            </w:r>
            <w:r w:rsidRPr="001827C1">
              <w:rPr>
                <w:rFonts w:ascii="Arabic Typesetting" w:hAnsi="Arabic Typesetting" w:cs="Arabic Typesetting"/>
                <w:i/>
                <w:iCs/>
                <w:sz w:val="28"/>
                <w:szCs w:val="28"/>
                <w:rtl/>
              </w:rPr>
              <w:t xml:space="preserve"> بعد التحويلات</w:t>
            </w:r>
            <w:r w:rsidRPr="001827C1">
              <w:rPr>
                <w:rFonts w:ascii="Arabic Typesetting" w:hAnsi="Arabic Typesetting" w:cs="Arabic Typesetting" w:hint="cs"/>
                <w:i/>
                <w:iCs/>
                <w:sz w:val="28"/>
                <w:szCs w:val="28"/>
                <w:rtl/>
              </w:rPr>
              <w:t xml:space="preserve"> 2014</w:t>
            </w:r>
            <w:r w:rsidRPr="001827C1">
              <w:rPr>
                <w:rFonts w:ascii="Arabic Typesetting" w:hAnsi="Arabic Typesetting" w:cs="Arabic Typesetting"/>
                <w:i/>
                <w:iCs/>
                <w:sz w:val="28"/>
                <w:szCs w:val="28"/>
                <w:rtl/>
              </w:rPr>
              <w:t>/</w:t>
            </w:r>
            <w:r w:rsidRPr="001827C1">
              <w:rPr>
                <w:rFonts w:ascii="Arabic Typesetting" w:hAnsi="Arabic Typesetting" w:cs="Arabic Typesetting" w:hint="cs"/>
                <w:i/>
                <w:iCs/>
                <w:sz w:val="28"/>
                <w:szCs w:val="28"/>
                <w:rtl/>
              </w:rPr>
              <w:t>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E43EC5" w:rsidRPr="001827C1" w:rsidRDefault="00E43EC5" w:rsidP="00E43EC5">
            <w:pPr>
              <w:keepNext/>
              <w:bidi/>
              <w:jc w:val="center"/>
              <w:rPr>
                <w:rFonts w:ascii="Arabic Typesetting" w:hAnsi="Arabic Typesetting" w:cs="Arabic Typesetting"/>
                <w:i/>
                <w:iCs/>
                <w:sz w:val="28"/>
                <w:szCs w:val="28"/>
              </w:rPr>
            </w:pPr>
            <w:r w:rsidRPr="001827C1">
              <w:rPr>
                <w:rFonts w:ascii="Arabic Typesetting" w:hAnsi="Arabic Typesetting" w:cs="Arabic Typesetting"/>
                <w:i/>
                <w:iCs/>
                <w:sz w:val="28"/>
                <w:szCs w:val="28"/>
                <w:rtl/>
              </w:rPr>
              <w:t xml:space="preserve">نفقات </w:t>
            </w:r>
            <w:r w:rsidRPr="001827C1">
              <w:rPr>
                <w:rFonts w:ascii="Arabic Typesetting" w:hAnsi="Arabic Typesetting" w:cs="Arabic Typesetting" w:hint="cs"/>
                <w:i/>
                <w:iCs/>
                <w:sz w:val="28"/>
                <w:szCs w:val="28"/>
                <w:rtl/>
              </w:rPr>
              <w:t>2014</w:t>
            </w:r>
            <w:r w:rsidRPr="001827C1">
              <w:rPr>
                <w:rFonts w:ascii="Arabic Typesetting" w:hAnsi="Arabic Typesetting" w:cs="Arabic Typesetting"/>
                <w:i/>
                <w:iCs/>
                <w:sz w:val="28"/>
                <w:szCs w:val="28"/>
                <w:rtl/>
              </w:rPr>
              <w:t>/</w:t>
            </w:r>
            <w:r w:rsidRPr="001827C1">
              <w:rPr>
                <w:rFonts w:ascii="Arabic Typesetting" w:hAnsi="Arabic Typesetting" w:cs="Arabic Typesetting" w:hint="cs"/>
                <w:i/>
                <w:iCs/>
                <w:sz w:val="28"/>
                <w:szCs w:val="28"/>
                <w:rtl/>
              </w:rPr>
              <w:t>15</w:t>
            </w:r>
          </w:p>
        </w:tc>
      </w:tr>
      <w:tr w:rsidR="00E43EC5" w:rsidRPr="001827C1" w:rsidTr="00E43EC5">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E43EC5" w:rsidRPr="001827C1" w:rsidRDefault="00E43EC5" w:rsidP="00E43EC5">
            <w:pPr>
              <w:bidi/>
              <w:rPr>
                <w:rFonts w:ascii="Arabic Typesetting" w:hAnsi="Arabic Typesetting" w:cs="Arabic Typesetting"/>
                <w:sz w:val="28"/>
                <w:szCs w:val="28"/>
              </w:rPr>
            </w:pPr>
            <w:r w:rsidRPr="001827C1">
              <w:rPr>
                <w:rFonts w:ascii="Arabic Typesetting" w:hAnsi="Arabic Typesetting" w:cs="Arabic Typesetting"/>
                <w:sz w:val="28"/>
                <w:szCs w:val="28"/>
                <w:rtl/>
              </w:rPr>
              <w:t>ھ1.9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E43EC5" w:rsidRPr="001827C1" w:rsidRDefault="003F15BC" w:rsidP="00E43EC5">
            <w:pPr>
              <w:bidi/>
              <w:rPr>
                <w:rFonts w:ascii="Arabic Typesetting" w:hAnsi="Arabic Typesetting" w:cs="Arabic Typesetting"/>
                <w:sz w:val="28"/>
                <w:szCs w:val="28"/>
              </w:rPr>
            </w:pPr>
            <w:r>
              <w:rPr>
                <w:rFonts w:ascii="Arabic Typesetting" w:hAnsi="Arabic Typesetting" w:cs="Arabic Typesetting"/>
                <w:sz w:val="28"/>
                <w:szCs w:val="28"/>
                <w:rtl/>
              </w:rPr>
              <w:t>خدمات دعم فعالة وناجعة وذات جودة موجهة نحو الزبائن لفائدة الزبائن الداخليين وأصحاب المصالح الخارجيين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43EC5" w:rsidRPr="001827C1" w:rsidRDefault="00E43EC5" w:rsidP="00E43EC5">
            <w:pPr>
              <w:bidi/>
              <w:jc w:val="right"/>
              <w:rPr>
                <w:rFonts w:ascii="Arabic Typesetting" w:hAnsi="Arabic Typesetting" w:cs="Arabic Typesetting"/>
                <w:sz w:val="28"/>
                <w:szCs w:val="28"/>
              </w:rPr>
            </w:pPr>
            <w:r w:rsidRPr="001827C1">
              <w:rPr>
                <w:rFonts w:ascii="Arabic Typesetting" w:hAnsi="Arabic Typesetting" w:cs="Arabic Typesetting" w:hint="cs"/>
                <w:sz w:val="28"/>
                <w:szCs w:val="28"/>
                <w:rtl/>
              </w:rPr>
              <w:t>41,117</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E43EC5" w:rsidRPr="001827C1" w:rsidRDefault="00E43EC5" w:rsidP="00E43EC5">
            <w:pPr>
              <w:bidi/>
              <w:jc w:val="right"/>
              <w:rPr>
                <w:rFonts w:ascii="Arabic Typesetting" w:hAnsi="Arabic Typesetting" w:cs="Arabic Typesetting"/>
                <w:sz w:val="28"/>
                <w:szCs w:val="28"/>
              </w:rPr>
            </w:pPr>
            <w:r w:rsidRPr="001827C1">
              <w:rPr>
                <w:rFonts w:ascii="Arabic Typesetting" w:hAnsi="Arabic Typesetting" w:cs="Arabic Typesetting" w:hint="cs"/>
                <w:sz w:val="28"/>
                <w:szCs w:val="28"/>
                <w:rtl/>
              </w:rPr>
              <w:t>39,383</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E43EC5" w:rsidRPr="001827C1" w:rsidRDefault="00E43EC5" w:rsidP="00E43EC5">
            <w:pPr>
              <w:bidi/>
              <w:jc w:val="right"/>
              <w:rPr>
                <w:rFonts w:ascii="Arabic Typesetting" w:hAnsi="Arabic Typesetting" w:cs="Arabic Typesetting"/>
                <w:sz w:val="28"/>
                <w:szCs w:val="28"/>
              </w:rPr>
            </w:pPr>
            <w:r w:rsidRPr="001827C1">
              <w:rPr>
                <w:rFonts w:ascii="Arabic Typesetting" w:hAnsi="Arabic Typesetting" w:cs="Arabic Typesetting" w:hint="cs"/>
                <w:sz w:val="28"/>
                <w:szCs w:val="28"/>
                <w:rtl/>
              </w:rPr>
              <w:t>35,782</w:t>
            </w:r>
          </w:p>
        </w:tc>
      </w:tr>
      <w:tr w:rsidR="00E43EC5" w:rsidRPr="001827C1" w:rsidTr="00E43EC5">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E43EC5" w:rsidRPr="001827C1" w:rsidRDefault="00E43EC5" w:rsidP="00E43EC5">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E43EC5" w:rsidRPr="001827C1" w:rsidRDefault="00E43EC5" w:rsidP="00E43EC5">
            <w:pPr>
              <w:bidi/>
              <w:rPr>
                <w:rFonts w:ascii="Arabic Typesetting" w:hAnsi="Arabic Typesetting" w:cs="Arabic Typesetting"/>
                <w:b/>
                <w:bCs/>
                <w:sz w:val="28"/>
                <w:szCs w:val="28"/>
              </w:rPr>
            </w:pPr>
            <w:r w:rsidRPr="001827C1">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43EC5" w:rsidRPr="001827C1" w:rsidRDefault="00E43EC5" w:rsidP="00E43EC5">
            <w:pPr>
              <w:bidi/>
              <w:jc w:val="right"/>
              <w:rPr>
                <w:rFonts w:ascii="Arabic Typesetting" w:hAnsi="Arabic Typesetting" w:cs="Arabic Typesetting"/>
                <w:b/>
                <w:bCs/>
                <w:sz w:val="28"/>
                <w:szCs w:val="28"/>
              </w:rPr>
            </w:pPr>
            <w:r w:rsidRPr="001827C1">
              <w:rPr>
                <w:rFonts w:ascii="Arabic Typesetting" w:hAnsi="Arabic Typesetting" w:cs="Arabic Typesetting" w:hint="cs"/>
                <w:b/>
                <w:bCs/>
                <w:sz w:val="28"/>
                <w:szCs w:val="28"/>
                <w:rtl/>
              </w:rPr>
              <w:t>41,117</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43EC5" w:rsidRPr="001827C1" w:rsidRDefault="00E43EC5" w:rsidP="00E43EC5">
            <w:pPr>
              <w:bidi/>
              <w:jc w:val="right"/>
              <w:rPr>
                <w:rFonts w:ascii="Arabic Typesetting" w:hAnsi="Arabic Typesetting" w:cs="Arabic Typesetting"/>
                <w:b/>
                <w:bCs/>
                <w:sz w:val="28"/>
                <w:szCs w:val="28"/>
              </w:rPr>
            </w:pPr>
            <w:r w:rsidRPr="001827C1">
              <w:rPr>
                <w:rFonts w:ascii="Arabic Typesetting" w:hAnsi="Arabic Typesetting" w:cs="Arabic Typesetting" w:hint="cs"/>
                <w:b/>
                <w:bCs/>
                <w:sz w:val="28"/>
                <w:szCs w:val="28"/>
                <w:rtl/>
              </w:rPr>
              <w:t>39,383</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E43EC5" w:rsidRPr="001827C1" w:rsidRDefault="00E43EC5" w:rsidP="00E43EC5">
            <w:pPr>
              <w:bidi/>
              <w:jc w:val="right"/>
              <w:rPr>
                <w:rFonts w:ascii="Arabic Typesetting" w:hAnsi="Arabic Typesetting" w:cs="Arabic Typesetting"/>
                <w:b/>
                <w:bCs/>
                <w:sz w:val="28"/>
                <w:szCs w:val="28"/>
              </w:rPr>
            </w:pPr>
            <w:r w:rsidRPr="001827C1">
              <w:rPr>
                <w:rFonts w:ascii="Arabic Typesetting" w:hAnsi="Arabic Typesetting" w:cs="Arabic Typesetting" w:hint="cs"/>
                <w:b/>
                <w:bCs/>
                <w:sz w:val="28"/>
                <w:szCs w:val="28"/>
                <w:rtl/>
              </w:rPr>
              <w:t>35,782</w:t>
            </w:r>
          </w:p>
        </w:tc>
      </w:tr>
    </w:tbl>
    <w:p w:rsidR="00E43EC5" w:rsidRPr="001827C1" w:rsidRDefault="00E43EC5" w:rsidP="00E43EC5">
      <w:pPr>
        <w:keepNext/>
        <w:bidi/>
        <w:spacing w:before="240" w:line="340" w:lineRule="exact"/>
        <w:jc w:val="center"/>
        <w:rPr>
          <w:rFonts w:ascii="Arabic Typesetting" w:hAnsi="Arabic Typesetting" w:cs="Arabic Typesetting"/>
          <w:sz w:val="34"/>
          <w:szCs w:val="34"/>
          <w:rtl/>
          <w:lang w:bidi="ar-EG"/>
        </w:rPr>
      </w:pPr>
      <w:r w:rsidRPr="001827C1">
        <w:rPr>
          <w:rFonts w:ascii="Arabic Typesetting" w:hAnsi="Arabic Typesetting" w:cs="Arabic Typesetting" w:hint="cs"/>
          <w:sz w:val="34"/>
          <w:szCs w:val="34"/>
          <w:rtl/>
          <w:lang w:bidi="ar-EG"/>
        </w:rPr>
        <w:t>الميزانية والنفقات الفعلية (موارد الموظفين وخلاف موارد الموظفين)</w:t>
      </w:r>
    </w:p>
    <w:p w:rsidR="00E43EC5" w:rsidRPr="001827C1" w:rsidRDefault="00E43EC5" w:rsidP="00E43EC5">
      <w:pPr>
        <w:keepNext/>
        <w:bidi/>
        <w:spacing w:after="120"/>
        <w:jc w:val="center"/>
        <w:rPr>
          <w:rFonts w:ascii="Arabic Typesetting" w:hAnsi="Arabic Typesetting" w:cs="Arabic Typesetting"/>
          <w:sz w:val="34"/>
          <w:szCs w:val="34"/>
          <w:rtl/>
          <w:lang w:bidi="ar-EG"/>
        </w:rPr>
      </w:pPr>
      <w:r w:rsidRPr="001827C1">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E43EC5" w:rsidRPr="001827C1" w:rsidTr="00E43EC5">
        <w:trPr>
          <w:cantSplit/>
          <w:trHeight w:val="645"/>
        </w:trPr>
        <w:tc>
          <w:tcPr>
            <w:tcW w:w="1119"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E43EC5" w:rsidRPr="001827C1" w:rsidRDefault="00E43EC5" w:rsidP="00E43EC5">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43EC5" w:rsidRPr="001827C1" w:rsidRDefault="00E43EC5" w:rsidP="00E43EC5">
            <w:pPr>
              <w:keepNext/>
              <w:bidi/>
              <w:jc w:val="center"/>
              <w:rPr>
                <w:rFonts w:ascii="Arabic Typesetting" w:hAnsi="Arabic Typesetting" w:cs="Arabic Typesetting"/>
                <w:b/>
                <w:bCs/>
                <w:i/>
                <w:iCs/>
                <w:sz w:val="28"/>
                <w:szCs w:val="28"/>
              </w:rPr>
            </w:pPr>
            <w:r w:rsidRPr="001827C1">
              <w:rPr>
                <w:rFonts w:ascii="Arabic Typesetting" w:hAnsi="Arabic Typesetting" w:cs="Arabic Typesetting"/>
                <w:b/>
                <w:bCs/>
                <w:i/>
                <w:iCs/>
                <w:sz w:val="28"/>
                <w:szCs w:val="28"/>
                <w:rtl/>
              </w:rPr>
              <w:t xml:space="preserve">الميزانية المعتمدة </w:t>
            </w:r>
            <w:r w:rsidRPr="001827C1">
              <w:rPr>
                <w:rFonts w:ascii="Arabic Typesetting" w:hAnsi="Arabic Typesetting" w:cs="Arabic Typesetting" w:hint="cs"/>
                <w:b/>
                <w:bCs/>
                <w:i/>
                <w:iCs/>
                <w:sz w:val="28"/>
                <w:szCs w:val="28"/>
                <w:rtl/>
              </w:rPr>
              <w:t>2014</w:t>
            </w:r>
            <w:r w:rsidRPr="001827C1">
              <w:rPr>
                <w:rFonts w:ascii="Arabic Typesetting" w:hAnsi="Arabic Typesetting" w:cs="Arabic Typesetting"/>
                <w:b/>
                <w:bCs/>
                <w:i/>
                <w:iCs/>
                <w:sz w:val="28"/>
                <w:szCs w:val="28"/>
                <w:rtl/>
              </w:rPr>
              <w:t>/</w:t>
            </w:r>
            <w:r w:rsidRPr="001827C1">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43EC5" w:rsidRPr="001827C1" w:rsidRDefault="00E43EC5" w:rsidP="00E43EC5">
            <w:pPr>
              <w:keepNext/>
              <w:bidi/>
              <w:jc w:val="center"/>
              <w:rPr>
                <w:rFonts w:ascii="Arabic Typesetting" w:hAnsi="Arabic Typesetting" w:cs="Arabic Typesetting"/>
                <w:b/>
                <w:bCs/>
                <w:i/>
                <w:iCs/>
                <w:sz w:val="28"/>
                <w:szCs w:val="28"/>
              </w:rPr>
            </w:pPr>
            <w:r w:rsidRPr="001827C1">
              <w:rPr>
                <w:rFonts w:ascii="Arabic Typesetting" w:hAnsi="Arabic Typesetting" w:cs="Arabic Typesetting" w:hint="cs"/>
                <w:b/>
                <w:bCs/>
                <w:i/>
                <w:iCs/>
                <w:sz w:val="28"/>
                <w:szCs w:val="28"/>
                <w:rtl/>
              </w:rPr>
              <w:t>الميزانية النهائية</w:t>
            </w:r>
            <w:r w:rsidRPr="001827C1">
              <w:rPr>
                <w:rFonts w:ascii="Arabic Typesetting" w:hAnsi="Arabic Typesetting" w:cs="Arabic Typesetting"/>
                <w:b/>
                <w:bCs/>
                <w:i/>
                <w:iCs/>
                <w:sz w:val="28"/>
                <w:szCs w:val="28"/>
                <w:rtl/>
              </w:rPr>
              <w:t xml:space="preserve"> بعد التحويلات</w:t>
            </w:r>
            <w:r w:rsidRPr="001827C1">
              <w:rPr>
                <w:rFonts w:ascii="Arabic Typesetting" w:hAnsi="Arabic Typesetting" w:cs="Arabic Typesetting" w:hint="cs"/>
                <w:b/>
                <w:bCs/>
                <w:i/>
                <w:iCs/>
                <w:sz w:val="28"/>
                <w:szCs w:val="28"/>
                <w:rtl/>
              </w:rPr>
              <w:t xml:space="preserve"> 2014</w:t>
            </w:r>
            <w:r w:rsidRPr="001827C1">
              <w:rPr>
                <w:rFonts w:ascii="Arabic Typesetting" w:hAnsi="Arabic Typesetting" w:cs="Arabic Typesetting"/>
                <w:b/>
                <w:bCs/>
                <w:i/>
                <w:iCs/>
                <w:sz w:val="28"/>
                <w:szCs w:val="28"/>
                <w:rtl/>
              </w:rPr>
              <w:t>/</w:t>
            </w:r>
            <w:r w:rsidRPr="001827C1">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43EC5" w:rsidRPr="001827C1" w:rsidRDefault="00E43EC5" w:rsidP="00E43EC5">
            <w:pPr>
              <w:keepNext/>
              <w:bidi/>
              <w:jc w:val="center"/>
              <w:rPr>
                <w:rFonts w:ascii="Arabic Typesetting" w:hAnsi="Arabic Typesetting" w:cs="Arabic Typesetting"/>
                <w:b/>
                <w:bCs/>
                <w:i/>
                <w:iCs/>
                <w:sz w:val="28"/>
                <w:szCs w:val="28"/>
              </w:rPr>
            </w:pPr>
            <w:r w:rsidRPr="001827C1">
              <w:rPr>
                <w:rFonts w:ascii="Arabic Typesetting" w:hAnsi="Arabic Typesetting" w:cs="Arabic Typesetting"/>
                <w:b/>
                <w:bCs/>
                <w:i/>
                <w:iCs/>
                <w:sz w:val="28"/>
                <w:szCs w:val="28"/>
                <w:rtl/>
              </w:rPr>
              <w:t xml:space="preserve">نفقات </w:t>
            </w:r>
            <w:r w:rsidRPr="001827C1">
              <w:rPr>
                <w:rFonts w:ascii="Arabic Typesetting" w:hAnsi="Arabic Typesetting" w:cs="Arabic Typesetting" w:hint="cs"/>
                <w:b/>
                <w:bCs/>
                <w:i/>
                <w:iCs/>
                <w:sz w:val="28"/>
                <w:szCs w:val="28"/>
                <w:rtl/>
              </w:rPr>
              <w:t>2014</w:t>
            </w:r>
            <w:r w:rsidRPr="001827C1">
              <w:rPr>
                <w:rFonts w:ascii="Arabic Typesetting" w:hAnsi="Arabic Typesetting" w:cs="Arabic Typesetting"/>
                <w:b/>
                <w:bCs/>
                <w:i/>
                <w:iCs/>
                <w:sz w:val="28"/>
                <w:szCs w:val="28"/>
                <w:rtl/>
              </w:rPr>
              <w:t>/</w:t>
            </w:r>
            <w:r w:rsidRPr="001827C1">
              <w:rPr>
                <w:rFonts w:ascii="Arabic Typesetting" w:hAnsi="Arabic Typesetting" w:cs="Arabic Typesetting" w:hint="cs"/>
                <w:b/>
                <w:bCs/>
                <w:i/>
                <w:iCs/>
                <w:sz w:val="28"/>
                <w:szCs w:val="28"/>
                <w:rtl/>
              </w:rPr>
              <w:t>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E43EC5" w:rsidRPr="001827C1" w:rsidRDefault="00E43EC5" w:rsidP="00E43EC5">
            <w:pPr>
              <w:keepNext/>
              <w:bidi/>
              <w:jc w:val="center"/>
              <w:rPr>
                <w:rFonts w:ascii="Arabic Typesetting" w:hAnsi="Arabic Typesetting" w:cs="Arabic Typesetting"/>
                <w:b/>
                <w:bCs/>
                <w:i/>
                <w:iCs/>
                <w:sz w:val="28"/>
                <w:szCs w:val="28"/>
              </w:rPr>
            </w:pPr>
            <w:r w:rsidRPr="001827C1">
              <w:rPr>
                <w:rFonts w:ascii="Arabic Typesetting" w:hAnsi="Arabic Typesetting" w:cs="Arabic Typesetting"/>
                <w:b/>
                <w:bCs/>
                <w:i/>
                <w:iCs/>
                <w:sz w:val="28"/>
                <w:szCs w:val="28"/>
                <w:rtl/>
              </w:rPr>
              <w:t xml:space="preserve">نسبة </w:t>
            </w:r>
            <w:r w:rsidRPr="001827C1">
              <w:rPr>
                <w:rFonts w:ascii="Arabic Typesetting" w:hAnsi="Arabic Typesetting" w:cs="Arabic Typesetting" w:hint="cs"/>
                <w:b/>
                <w:bCs/>
                <w:i/>
                <w:iCs/>
                <w:sz w:val="28"/>
                <w:szCs w:val="28"/>
                <w:rtl/>
              </w:rPr>
              <w:t>الاستخدام</w:t>
            </w:r>
            <w:r w:rsidRPr="001827C1">
              <w:rPr>
                <w:rFonts w:ascii="Arabic Typesetting" w:hAnsi="Arabic Typesetting" w:cs="Arabic Typesetting"/>
                <w:b/>
                <w:bCs/>
                <w:i/>
                <w:iCs/>
                <w:sz w:val="28"/>
                <w:szCs w:val="28"/>
                <w:rtl/>
              </w:rPr>
              <w:t xml:space="preserve"> (%)</w:t>
            </w:r>
          </w:p>
        </w:tc>
      </w:tr>
      <w:tr w:rsidR="00E43EC5" w:rsidRPr="001827C1" w:rsidTr="00E43EC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E43EC5" w:rsidRPr="001827C1" w:rsidRDefault="00E43EC5" w:rsidP="00E43EC5">
            <w:pPr>
              <w:bidi/>
              <w:rPr>
                <w:rFonts w:ascii="Arabic Typesetting" w:hAnsi="Arabic Typesetting" w:cs="Arabic Typesetting"/>
                <w:sz w:val="28"/>
                <w:szCs w:val="28"/>
              </w:rPr>
            </w:pPr>
            <w:r w:rsidRPr="001827C1">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sz w:val="28"/>
                <w:szCs w:val="28"/>
              </w:rPr>
            </w:pPr>
            <w:r w:rsidRPr="001827C1">
              <w:rPr>
                <w:rFonts w:ascii="Arabic Typesetting" w:hAnsi="Arabic Typesetting" w:cs="Arabic Typesetting" w:hint="cs"/>
                <w:sz w:val="28"/>
                <w:szCs w:val="28"/>
                <w:rtl/>
              </w:rPr>
              <w:t>30,238</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sz w:val="28"/>
                <w:szCs w:val="28"/>
              </w:rPr>
            </w:pPr>
            <w:r w:rsidRPr="001827C1">
              <w:rPr>
                <w:rFonts w:ascii="Arabic Typesetting" w:hAnsi="Arabic Typesetting" w:cs="Arabic Typesetting" w:hint="cs"/>
                <w:sz w:val="28"/>
                <w:szCs w:val="28"/>
                <w:rtl/>
              </w:rPr>
              <w:t>28,896</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sz w:val="28"/>
                <w:szCs w:val="28"/>
              </w:rPr>
            </w:pPr>
            <w:r w:rsidRPr="001827C1">
              <w:rPr>
                <w:rFonts w:ascii="Arabic Typesetting" w:hAnsi="Arabic Typesetting" w:cs="Arabic Typesetting" w:hint="cs"/>
                <w:sz w:val="28"/>
                <w:szCs w:val="28"/>
                <w:rtl/>
              </w:rPr>
              <w:t>26,871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sz w:val="28"/>
                <w:szCs w:val="28"/>
              </w:rPr>
            </w:pPr>
            <w:r w:rsidRPr="001827C1">
              <w:rPr>
                <w:rFonts w:ascii="Arabic Typesetting" w:hAnsi="Arabic Typesetting" w:cs="Arabic Typesetting" w:hint="cs"/>
                <w:sz w:val="28"/>
                <w:szCs w:val="28"/>
                <w:rtl/>
              </w:rPr>
              <w:t>93%</w:t>
            </w:r>
          </w:p>
        </w:tc>
      </w:tr>
      <w:tr w:rsidR="00E43EC5" w:rsidRPr="001827C1" w:rsidTr="00E43EC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E43EC5" w:rsidRPr="001827C1" w:rsidRDefault="00E43EC5" w:rsidP="00E43EC5">
            <w:pPr>
              <w:bidi/>
              <w:rPr>
                <w:rFonts w:ascii="Arabic Typesetting" w:hAnsi="Arabic Typesetting" w:cs="Arabic Typesetting"/>
                <w:sz w:val="28"/>
                <w:szCs w:val="28"/>
              </w:rPr>
            </w:pPr>
            <w:r w:rsidRPr="001827C1">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sz w:val="28"/>
                <w:szCs w:val="28"/>
              </w:rPr>
            </w:pPr>
            <w:r w:rsidRPr="001827C1">
              <w:rPr>
                <w:rFonts w:ascii="Arabic Typesetting" w:hAnsi="Arabic Typesetting" w:cs="Arabic Typesetting" w:hint="cs"/>
                <w:sz w:val="28"/>
                <w:szCs w:val="28"/>
                <w:rtl/>
              </w:rPr>
              <w:t>10,879</w:t>
            </w:r>
          </w:p>
        </w:tc>
        <w:tc>
          <w:tcPr>
            <w:tcW w:w="970" w:type="pct"/>
            <w:tcBorders>
              <w:top w:val="nil"/>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sz w:val="28"/>
                <w:szCs w:val="28"/>
              </w:rPr>
            </w:pPr>
            <w:r w:rsidRPr="001827C1">
              <w:rPr>
                <w:rFonts w:ascii="Arabic Typesetting" w:hAnsi="Arabic Typesetting" w:cs="Arabic Typesetting" w:hint="cs"/>
                <w:sz w:val="28"/>
                <w:szCs w:val="28"/>
                <w:rtl/>
              </w:rPr>
              <w:t>10,487</w:t>
            </w:r>
          </w:p>
        </w:tc>
        <w:tc>
          <w:tcPr>
            <w:tcW w:w="970" w:type="pct"/>
            <w:tcBorders>
              <w:top w:val="nil"/>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sz w:val="28"/>
                <w:szCs w:val="28"/>
              </w:rPr>
            </w:pPr>
            <w:r w:rsidRPr="001827C1">
              <w:rPr>
                <w:rFonts w:ascii="Arabic Typesetting" w:hAnsi="Arabic Typesetting" w:cs="Arabic Typesetting" w:hint="cs"/>
                <w:sz w:val="28"/>
                <w:szCs w:val="28"/>
                <w:rtl/>
              </w:rPr>
              <w:t>8,911</w:t>
            </w:r>
          </w:p>
        </w:tc>
        <w:tc>
          <w:tcPr>
            <w:tcW w:w="970" w:type="pct"/>
            <w:tcBorders>
              <w:top w:val="nil"/>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sz w:val="28"/>
                <w:szCs w:val="28"/>
              </w:rPr>
            </w:pPr>
            <w:r w:rsidRPr="001827C1">
              <w:rPr>
                <w:rFonts w:ascii="Arabic Typesetting" w:hAnsi="Arabic Typesetting" w:cs="Arabic Typesetting" w:hint="cs"/>
                <w:sz w:val="28"/>
                <w:szCs w:val="28"/>
                <w:rtl/>
              </w:rPr>
              <w:t>85%</w:t>
            </w:r>
          </w:p>
        </w:tc>
      </w:tr>
      <w:tr w:rsidR="00E43EC5" w:rsidRPr="001827C1" w:rsidTr="00E43EC5">
        <w:trPr>
          <w:cantSplit/>
          <w:trHeight w:val="540"/>
        </w:trPr>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E43EC5" w:rsidRPr="001827C1" w:rsidRDefault="00E43EC5" w:rsidP="00E43EC5">
            <w:pPr>
              <w:bidi/>
              <w:jc w:val="right"/>
              <w:rPr>
                <w:rFonts w:ascii="Arabic Typesetting" w:hAnsi="Arabic Typesetting" w:cs="Arabic Typesetting"/>
                <w:b/>
                <w:bCs/>
                <w:sz w:val="28"/>
                <w:szCs w:val="28"/>
              </w:rPr>
            </w:pPr>
            <w:r w:rsidRPr="001827C1">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b/>
                <w:bCs/>
                <w:sz w:val="28"/>
                <w:szCs w:val="28"/>
              </w:rPr>
            </w:pPr>
            <w:r w:rsidRPr="001827C1">
              <w:rPr>
                <w:rFonts w:ascii="Arabic Typesetting" w:hAnsi="Arabic Typesetting" w:cs="Arabic Typesetting" w:hint="cs"/>
                <w:b/>
                <w:bCs/>
                <w:sz w:val="28"/>
                <w:szCs w:val="28"/>
                <w:rtl/>
              </w:rPr>
              <w:t>41,117</w:t>
            </w:r>
          </w:p>
        </w:tc>
        <w:tc>
          <w:tcPr>
            <w:tcW w:w="970" w:type="pct"/>
            <w:tcBorders>
              <w:top w:val="nil"/>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b/>
                <w:bCs/>
                <w:sz w:val="28"/>
                <w:szCs w:val="28"/>
              </w:rPr>
            </w:pPr>
            <w:r w:rsidRPr="001827C1">
              <w:rPr>
                <w:rFonts w:ascii="Arabic Typesetting" w:hAnsi="Arabic Typesetting" w:cs="Arabic Typesetting" w:hint="cs"/>
                <w:b/>
                <w:bCs/>
                <w:sz w:val="28"/>
                <w:szCs w:val="28"/>
                <w:rtl/>
              </w:rPr>
              <w:t>39,383</w:t>
            </w:r>
          </w:p>
        </w:tc>
        <w:tc>
          <w:tcPr>
            <w:tcW w:w="970" w:type="pct"/>
            <w:tcBorders>
              <w:top w:val="nil"/>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b/>
                <w:bCs/>
                <w:sz w:val="28"/>
                <w:szCs w:val="28"/>
              </w:rPr>
            </w:pPr>
            <w:r w:rsidRPr="001827C1">
              <w:rPr>
                <w:rFonts w:ascii="Arabic Typesetting" w:hAnsi="Arabic Typesetting" w:cs="Arabic Typesetting" w:hint="cs"/>
                <w:b/>
                <w:bCs/>
                <w:sz w:val="28"/>
                <w:szCs w:val="28"/>
                <w:rtl/>
              </w:rPr>
              <w:t>35,782</w:t>
            </w:r>
          </w:p>
        </w:tc>
        <w:tc>
          <w:tcPr>
            <w:tcW w:w="970" w:type="pct"/>
            <w:tcBorders>
              <w:top w:val="nil"/>
              <w:left w:val="single" w:sz="4" w:space="0" w:color="auto"/>
              <w:bottom w:val="single" w:sz="4" w:space="0" w:color="auto"/>
              <w:right w:val="single" w:sz="4" w:space="0" w:color="auto"/>
            </w:tcBorders>
            <w:shd w:val="clear" w:color="auto" w:fill="auto"/>
            <w:vAlign w:val="center"/>
          </w:tcPr>
          <w:p w:rsidR="00E43EC5" w:rsidRPr="001827C1" w:rsidRDefault="00E43EC5" w:rsidP="00E43EC5">
            <w:pPr>
              <w:bidi/>
              <w:jc w:val="center"/>
              <w:rPr>
                <w:rFonts w:ascii="Arabic Typesetting" w:hAnsi="Arabic Typesetting" w:cs="Arabic Typesetting"/>
                <w:b/>
                <w:bCs/>
                <w:sz w:val="28"/>
                <w:szCs w:val="28"/>
              </w:rPr>
            </w:pPr>
            <w:r w:rsidRPr="001827C1">
              <w:rPr>
                <w:rFonts w:ascii="Arabic Typesetting" w:hAnsi="Arabic Typesetting" w:cs="Arabic Typesetting" w:hint="cs"/>
                <w:b/>
                <w:bCs/>
                <w:sz w:val="28"/>
                <w:szCs w:val="28"/>
                <w:rtl/>
              </w:rPr>
              <w:t>91%</w:t>
            </w:r>
          </w:p>
        </w:tc>
      </w:tr>
    </w:tbl>
    <w:p w:rsidR="00E43EC5" w:rsidRPr="001827C1" w:rsidRDefault="00E43EC5" w:rsidP="00E43EC5">
      <w:pPr>
        <w:keepNext/>
        <w:bidi/>
        <w:spacing w:before="240" w:after="120" w:line="340" w:lineRule="exact"/>
        <w:rPr>
          <w:rFonts w:ascii="Arabic Typesetting" w:hAnsi="Arabic Typesetting" w:cs="Arabic Typesetting"/>
          <w:sz w:val="34"/>
          <w:szCs w:val="34"/>
          <w:lang w:bidi="ar-EG"/>
        </w:rPr>
      </w:pPr>
      <w:r w:rsidRPr="001827C1">
        <w:rPr>
          <w:rFonts w:ascii="Arabic Typesetting" w:hAnsi="Arabic Typesetting" w:cs="Arabic Typesetting" w:hint="cs"/>
          <w:sz w:val="34"/>
          <w:szCs w:val="34"/>
          <w:rtl/>
          <w:lang w:bidi="ar-EG"/>
        </w:rPr>
        <w:t>ألف</w:t>
      </w:r>
      <w:r w:rsidRPr="001827C1">
        <w:rPr>
          <w:rFonts w:ascii="Arabic Typesetting" w:hAnsi="Arabic Typesetting" w:cs="Arabic Typesetting"/>
          <w:sz w:val="34"/>
          <w:szCs w:val="34"/>
          <w:lang w:bidi="ar-EG"/>
        </w:rPr>
        <w:t>.</w:t>
      </w:r>
      <w:r w:rsidRPr="001827C1">
        <w:rPr>
          <w:rFonts w:ascii="Arabic Typesetting" w:hAnsi="Arabic Typesetting" w:cs="Arabic Typesetting" w:hint="cs"/>
          <w:sz w:val="34"/>
          <w:szCs w:val="34"/>
          <w:rtl/>
          <w:lang w:bidi="ar-EG"/>
        </w:rPr>
        <w:tab/>
      </w:r>
      <w:r w:rsidRPr="001827C1">
        <w:rPr>
          <w:rFonts w:ascii="Arabic Typesetting" w:hAnsi="Arabic Typesetting" w:cs="Arabic Typesetting" w:hint="cs"/>
          <w:sz w:val="34"/>
          <w:szCs w:val="34"/>
          <w:u w:val="single"/>
          <w:rtl/>
          <w:lang w:bidi="ar-EG"/>
        </w:rPr>
        <w:t>الميزانية النهائية بعد التحويلات 2014/15</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hAnsi="Arabic Typesetting" w:cs="Arabic Typesetting"/>
          <w:sz w:val="34"/>
          <w:szCs w:val="34"/>
          <w:lang w:eastAsia="ko-KR" w:bidi="ar-EG"/>
        </w:rPr>
      </w:pPr>
      <w:r w:rsidRPr="001827C1">
        <w:rPr>
          <w:rFonts w:ascii="Arabic Typesetting" w:hAnsi="Arabic Typesetting" w:cs="Arabic Typesetting" w:hint="cs"/>
          <w:sz w:val="34"/>
          <w:szCs w:val="34"/>
          <w:rtl/>
          <w:lang w:eastAsia="ko-KR" w:bidi="ar-EG"/>
        </w:rPr>
        <w:t xml:space="preserve">تبيّن الميزانية النهائية بعد التحويلات (خلاف موارد الموظفين) تسوية طفيفة بالتخفيض أجريت من أجل زيادة الفعالية من حيث التكاليف وعُوّضت </w:t>
      </w:r>
      <w:r w:rsidR="00952267">
        <w:rPr>
          <w:rFonts w:ascii="Arabic Typesetting" w:hAnsi="Arabic Typesetting" w:cs="Arabic Typesetting" w:hint="cs"/>
          <w:sz w:val="34"/>
          <w:szCs w:val="34"/>
          <w:rtl/>
          <w:lang w:eastAsia="ko-KR" w:bidi="ar-EG"/>
        </w:rPr>
        <w:t>بنقل مخصصات من</w:t>
      </w:r>
      <w:r w:rsidRPr="001827C1">
        <w:rPr>
          <w:rFonts w:ascii="Arabic Typesetting" w:hAnsi="Arabic Typesetting" w:cs="Arabic Typesetting" w:hint="cs"/>
          <w:sz w:val="34"/>
          <w:szCs w:val="34"/>
          <w:rtl/>
          <w:lang w:eastAsia="ko-KR" w:bidi="ar-EG"/>
        </w:rPr>
        <w:t xml:space="preserve"> موارد الموظفين </w:t>
      </w:r>
      <w:r w:rsidR="00952267">
        <w:rPr>
          <w:rFonts w:ascii="Arabic Typesetting" w:hAnsi="Arabic Typesetting" w:cs="Arabic Typesetting" w:hint="cs"/>
          <w:sz w:val="34"/>
          <w:szCs w:val="34"/>
          <w:rtl/>
          <w:lang w:eastAsia="ko-KR" w:bidi="ar-EG"/>
        </w:rPr>
        <w:t>إلى</w:t>
      </w:r>
      <w:r w:rsidR="00952267" w:rsidRPr="001827C1">
        <w:rPr>
          <w:rFonts w:ascii="Arabic Typesetting" w:hAnsi="Arabic Typesetting" w:cs="Arabic Typesetting" w:hint="cs"/>
          <w:sz w:val="34"/>
          <w:szCs w:val="34"/>
          <w:rtl/>
          <w:lang w:eastAsia="ko-KR" w:bidi="ar-EG"/>
        </w:rPr>
        <w:t xml:space="preserve"> </w:t>
      </w:r>
      <w:r w:rsidRPr="001827C1">
        <w:rPr>
          <w:rFonts w:ascii="Arabic Typesetting" w:hAnsi="Arabic Typesetting" w:cs="Arabic Typesetting" w:hint="cs"/>
          <w:sz w:val="34"/>
          <w:szCs w:val="34"/>
          <w:rtl/>
          <w:lang w:eastAsia="ko-KR" w:bidi="ar-EG"/>
        </w:rPr>
        <w:t>خلاف موارد الموظفين من أجل توظيف مساعدين في مجال السكرتارية لأغراض خدمات المؤتمرات والطباعة.</w:t>
      </w:r>
    </w:p>
    <w:p w:rsidR="00E43EC5" w:rsidRPr="001827C1" w:rsidRDefault="00E43EC5" w:rsidP="009A3712">
      <w:pPr>
        <w:numPr>
          <w:ilvl w:val="0"/>
          <w:numId w:val="42"/>
        </w:numPr>
        <w:tabs>
          <w:tab w:val="left" w:pos="709"/>
        </w:tabs>
        <w:autoSpaceDE w:val="0"/>
        <w:autoSpaceDN w:val="0"/>
        <w:bidi/>
        <w:adjustRightInd w:val="0"/>
        <w:spacing w:after="120" w:line="340" w:lineRule="exact"/>
        <w:ind w:left="0" w:firstLine="0"/>
        <w:rPr>
          <w:rFonts w:ascii="Arabic Typesetting" w:hAnsi="Arabic Typesetting" w:cs="Arabic Typesetting"/>
          <w:sz w:val="34"/>
          <w:szCs w:val="34"/>
          <w:lang w:eastAsia="ko-KR" w:bidi="ar-EG"/>
        </w:rPr>
      </w:pPr>
      <w:r w:rsidRPr="001827C1">
        <w:rPr>
          <w:rFonts w:ascii="Arabic Typesetting" w:hAnsi="Arabic Typesetting" w:cs="Arabic Typesetting" w:hint="cs"/>
          <w:sz w:val="34"/>
          <w:szCs w:val="34"/>
          <w:rtl/>
          <w:lang w:eastAsia="ko-KR" w:bidi="ar-EG"/>
        </w:rPr>
        <w:t>و</w:t>
      </w:r>
      <w:r w:rsidR="00952267">
        <w:rPr>
          <w:rFonts w:ascii="Arabic Typesetting" w:hAnsi="Arabic Typesetting" w:cs="Arabic Typesetting" w:hint="cs"/>
          <w:sz w:val="34"/>
          <w:szCs w:val="34"/>
          <w:rtl/>
          <w:lang w:eastAsia="ko-KR" w:bidi="ar-EG"/>
        </w:rPr>
        <w:t xml:space="preserve">يعزى أساساً </w:t>
      </w:r>
      <w:r w:rsidRPr="001827C1">
        <w:rPr>
          <w:rFonts w:ascii="Arabic Typesetting" w:hAnsi="Arabic Typesetting" w:cs="Arabic Typesetting" w:hint="cs"/>
          <w:sz w:val="34"/>
          <w:szCs w:val="34"/>
          <w:rtl/>
          <w:lang w:eastAsia="ko-KR" w:bidi="ar-EG"/>
        </w:rPr>
        <w:t>الانخفاض المُسجّل في الميزانية النهائية بعد التحويلات</w:t>
      </w:r>
      <w:r w:rsidRPr="001827C1">
        <w:rPr>
          <w:rFonts w:ascii="Arabic Typesetting" w:hAnsi="Arabic Typesetting" w:cs="Arabic Typesetting" w:hint="eastAsia"/>
          <w:sz w:val="34"/>
          <w:szCs w:val="34"/>
          <w:rtl/>
          <w:lang w:eastAsia="ko-KR" w:bidi="ar-EG"/>
        </w:rPr>
        <w:t> </w:t>
      </w:r>
      <w:r w:rsidRPr="001827C1">
        <w:rPr>
          <w:rFonts w:ascii="Arabic Typesetting" w:hAnsi="Arabic Typesetting" w:cs="Arabic Typesetting" w:hint="cs"/>
          <w:sz w:val="34"/>
          <w:szCs w:val="34"/>
          <w:rtl/>
          <w:lang w:eastAsia="ko-KR" w:bidi="ar-EG"/>
        </w:rPr>
        <w:t xml:space="preserve">2014/15 (موارد الموظفين) </w:t>
      </w:r>
      <w:r w:rsidR="00952267">
        <w:rPr>
          <w:rFonts w:ascii="Arabic Typesetting" w:hAnsi="Arabic Typesetting" w:cs="Arabic Typesetting" w:hint="cs"/>
          <w:sz w:val="34"/>
          <w:szCs w:val="34"/>
          <w:rtl/>
          <w:lang w:eastAsia="ko-KR" w:bidi="ar-EG"/>
        </w:rPr>
        <w:t>إلى</w:t>
      </w:r>
      <w:r w:rsidRPr="001827C1">
        <w:rPr>
          <w:rFonts w:ascii="Arabic Typesetting" w:hAnsi="Arabic Typesetting" w:cs="Arabic Typesetting" w:hint="cs"/>
          <w:sz w:val="34"/>
          <w:szCs w:val="34"/>
          <w:rtl/>
          <w:lang w:eastAsia="ko-KR" w:bidi="ar-EG"/>
        </w:rPr>
        <w:t xml:space="preserve"> إعادة توزيع الموارد من أجل: "1" تدعيم الخدمات الإدارية في أكاديمية الويبو (البرنامج 11)؛ "2" وتعزيز خدمات البنى التحتية للمباني (البرنامج 24)؛ "3" والتحويلات إلى خلاف موارد الموظفين كما ذُكر </w:t>
      </w:r>
      <w:r w:rsidR="00952267">
        <w:rPr>
          <w:rFonts w:ascii="Arabic Typesetting" w:hAnsi="Arabic Typesetting" w:cs="Arabic Typesetting" w:hint="cs"/>
          <w:sz w:val="34"/>
          <w:szCs w:val="34"/>
          <w:rtl/>
          <w:lang w:eastAsia="ko-KR" w:bidi="ar-EG"/>
        </w:rPr>
        <w:t>آنفاً</w:t>
      </w:r>
      <w:r w:rsidRPr="001827C1">
        <w:rPr>
          <w:rFonts w:ascii="Arabic Typesetting" w:hAnsi="Arabic Typesetting" w:cs="Arabic Typesetting" w:hint="cs"/>
          <w:sz w:val="34"/>
          <w:szCs w:val="34"/>
          <w:rtl/>
          <w:lang w:eastAsia="ko-KR" w:bidi="ar-EG"/>
        </w:rPr>
        <w:t>.</w:t>
      </w:r>
    </w:p>
    <w:p w:rsidR="00E43EC5" w:rsidRPr="001827C1" w:rsidRDefault="00E43EC5" w:rsidP="00E43EC5">
      <w:pPr>
        <w:keepNext/>
        <w:bidi/>
        <w:spacing w:after="120" w:line="340" w:lineRule="exact"/>
        <w:jc w:val="both"/>
        <w:rPr>
          <w:rFonts w:ascii="Arabic Typesetting" w:hAnsi="Arabic Typesetting" w:cs="Arabic Typesetting"/>
          <w:sz w:val="34"/>
          <w:szCs w:val="34"/>
          <w:u w:val="single"/>
          <w:rtl/>
          <w:lang w:eastAsia="ko-KR" w:bidi="ar-EG"/>
        </w:rPr>
      </w:pPr>
      <w:r w:rsidRPr="001827C1">
        <w:rPr>
          <w:rFonts w:ascii="Arabic Typesetting" w:hAnsi="Arabic Typesetting" w:cs="Arabic Typesetting"/>
          <w:sz w:val="34"/>
          <w:szCs w:val="34"/>
          <w:rtl/>
          <w:lang w:eastAsia="ko-KR"/>
        </w:rPr>
        <w:t>باء</w:t>
      </w:r>
      <w:r w:rsidRPr="001827C1">
        <w:rPr>
          <w:rFonts w:ascii="Arabic Typesetting" w:hAnsi="Arabic Typesetting" w:cs="Arabic Typesetting"/>
          <w:sz w:val="34"/>
          <w:szCs w:val="34"/>
          <w:lang w:eastAsia="ko-KR"/>
        </w:rPr>
        <w:t>.</w:t>
      </w:r>
      <w:r w:rsidRPr="001827C1">
        <w:rPr>
          <w:rFonts w:ascii="Arabic Typesetting" w:hAnsi="Arabic Typesetting" w:cs="Arabic Typesetting"/>
          <w:sz w:val="34"/>
          <w:szCs w:val="34"/>
          <w:lang w:eastAsia="ko-KR"/>
        </w:rPr>
        <w:tab/>
      </w:r>
      <w:r w:rsidRPr="001827C1">
        <w:rPr>
          <w:rFonts w:ascii="Arabic Typesetting" w:hAnsi="Arabic Typesetting" w:cs="Arabic Typesetting"/>
          <w:sz w:val="34"/>
          <w:szCs w:val="34"/>
          <w:u w:val="single"/>
          <w:rtl/>
          <w:lang w:eastAsia="ko-KR"/>
        </w:rPr>
        <w:t>استخدام ميزانية</w:t>
      </w:r>
      <w:r w:rsidRPr="001827C1">
        <w:rPr>
          <w:rFonts w:ascii="Arabic Typesetting" w:hAnsi="Arabic Typesetting" w:cs="Arabic Typesetting" w:hint="cs"/>
          <w:sz w:val="34"/>
          <w:szCs w:val="34"/>
          <w:u w:val="single"/>
          <w:rtl/>
          <w:lang w:eastAsia="ko-KR"/>
        </w:rPr>
        <w:t> 2014/15</w:t>
      </w:r>
    </w:p>
    <w:p w:rsidR="00086C3F" w:rsidRPr="00E43EC5" w:rsidRDefault="00952267" w:rsidP="009A3712">
      <w:pPr>
        <w:numPr>
          <w:ilvl w:val="0"/>
          <w:numId w:val="42"/>
        </w:numPr>
        <w:tabs>
          <w:tab w:val="left" w:pos="709"/>
        </w:tabs>
        <w:autoSpaceDE w:val="0"/>
        <w:autoSpaceDN w:val="0"/>
        <w:bidi/>
        <w:adjustRightInd w:val="0"/>
        <w:spacing w:after="120" w:line="340" w:lineRule="exact"/>
        <w:ind w:left="0" w:firstLine="0"/>
        <w:rPr>
          <w:rFonts w:ascii="Arabic Typesetting" w:hAnsi="Arabic Typesetting" w:cs="Arabic Typesetting"/>
          <w:sz w:val="36"/>
          <w:szCs w:val="36"/>
          <w:lang w:val="fr-CH" w:bidi="ar-EG"/>
        </w:rPr>
      </w:pPr>
      <w:r>
        <w:rPr>
          <w:rFonts w:ascii="Arabic Typesetting" w:hAnsi="Arabic Typesetting" w:cs="Arabic Typesetting" w:hint="cs"/>
          <w:sz w:val="34"/>
          <w:szCs w:val="34"/>
          <w:rtl/>
          <w:lang w:bidi="ar-EG"/>
        </w:rPr>
        <w:t xml:space="preserve">يعزى أساساً </w:t>
      </w:r>
      <w:r w:rsidR="00E43EC5" w:rsidRPr="00E43EC5">
        <w:rPr>
          <w:rFonts w:ascii="Arabic Typesetting" w:hAnsi="Arabic Typesetting" w:cs="Arabic Typesetting" w:hint="cs"/>
          <w:sz w:val="34"/>
          <w:szCs w:val="34"/>
          <w:rtl/>
          <w:lang w:bidi="ar-EG"/>
        </w:rPr>
        <w:t xml:space="preserve">عدم استخدام </w:t>
      </w:r>
      <w:r w:rsidR="003B2ED5">
        <w:rPr>
          <w:rFonts w:ascii="Arabic Typesetting" w:hAnsi="Arabic Typesetting" w:cs="Arabic Typesetting" w:hint="cs"/>
          <w:sz w:val="34"/>
          <w:szCs w:val="34"/>
          <w:rtl/>
          <w:lang w:bidi="ar-EG"/>
        </w:rPr>
        <w:t>مخصصات</w:t>
      </w:r>
      <w:r w:rsidR="00E43EC5" w:rsidRPr="00E43EC5">
        <w:rPr>
          <w:rFonts w:ascii="Arabic Typesetting" w:hAnsi="Arabic Typesetting" w:cs="Arabic Typesetting" w:hint="cs"/>
          <w:sz w:val="34"/>
          <w:szCs w:val="34"/>
          <w:rtl/>
          <w:lang w:bidi="ar-EG"/>
        </w:rPr>
        <w:t xml:space="preserve"> خلاف موارد الموظفين بالقدر الكامل إلى وفورات التكاليف المُحققة بإجراء تخفيض في ما</w:t>
      </w:r>
      <w:r w:rsidR="00E43EC5" w:rsidRPr="00E43EC5">
        <w:rPr>
          <w:rFonts w:ascii="Arabic Typesetting" w:hAnsi="Arabic Typesetting" w:cs="Arabic Typesetting" w:hint="eastAsia"/>
          <w:sz w:val="34"/>
          <w:szCs w:val="34"/>
          <w:rtl/>
          <w:lang w:bidi="ar-EG"/>
        </w:rPr>
        <w:t> </w:t>
      </w:r>
      <w:r w:rsidR="00E43EC5" w:rsidRPr="00E43EC5">
        <w:rPr>
          <w:rFonts w:ascii="Arabic Typesetting" w:hAnsi="Arabic Typesetting" w:cs="Arabic Typesetting" w:hint="cs"/>
          <w:sz w:val="34"/>
          <w:szCs w:val="34"/>
          <w:rtl/>
          <w:lang w:bidi="ar-EG"/>
        </w:rPr>
        <w:t xml:space="preserve">يلي: "1" تكاليف الترجمة نتيجة إعادة التفاوض على العقود مع المترجمين الخارجيين؛ "2" وتكاليف الطباعة نتيجة إعادة التفاوض على عقود تأجير الطابعات؛ "3" وتكاليف البريد نتيجة </w:t>
      </w:r>
      <w:r w:rsidR="00E43EC5" w:rsidRPr="00E43EC5">
        <w:rPr>
          <w:rFonts w:ascii="Arabic Typesetting" w:hAnsi="Arabic Typesetting" w:cs="Arabic Typesetting" w:hint="cs"/>
          <w:sz w:val="34"/>
          <w:szCs w:val="34"/>
          <w:rtl/>
        </w:rPr>
        <w:t>التفاوض على تعريفات أدنى مع مقدمي الخدمات الخارجيين</w:t>
      </w:r>
      <w:r w:rsidR="00E43EC5" w:rsidRPr="00E43EC5">
        <w:rPr>
          <w:rFonts w:ascii="Arabic Typesetting" w:hAnsi="Arabic Typesetting" w:cs="Arabic Typesetting" w:hint="cs"/>
          <w:sz w:val="34"/>
          <w:szCs w:val="34"/>
          <w:rtl/>
          <w:lang w:bidi="ar-EG"/>
        </w:rPr>
        <w:t>؛ "4" ونقل موارد لتغطية تكاليف متدرب (إلى البرنامج 23 الذي يدير المتدربين مركزيا).</w:t>
      </w:r>
    </w:p>
    <w:p w:rsidR="00B31868" w:rsidRPr="00385CA0" w:rsidRDefault="00B31868" w:rsidP="00285760">
      <w:pPr>
        <w:pStyle w:val="Heading3AR"/>
        <w:spacing w:after="120"/>
        <w:rPr>
          <w:rtl/>
        </w:rPr>
      </w:pPr>
      <w:bookmarkStart w:id="139" w:name="_Toc393817964"/>
      <w:bookmarkStart w:id="140" w:name="_Toc450635435"/>
      <w:bookmarkStart w:id="141" w:name="_Toc455393404"/>
      <w:r w:rsidRPr="00385CA0">
        <w:rPr>
          <w:rFonts w:hint="cs"/>
          <w:rtl/>
        </w:rPr>
        <w:lastRenderedPageBreak/>
        <w:t>البرنامج 28:</w:t>
      </w:r>
      <w:r w:rsidRPr="00385CA0">
        <w:rPr>
          <w:rFonts w:hint="cs"/>
          <w:rtl/>
        </w:rPr>
        <w:tab/>
        <w:t>السلامة والأمن</w:t>
      </w:r>
      <w:bookmarkEnd w:id="139"/>
      <w:bookmarkEnd w:id="140"/>
      <w:bookmarkEnd w:id="141"/>
    </w:p>
    <w:p w:rsidR="00B31868" w:rsidRPr="00086C3F" w:rsidRDefault="00086C3F" w:rsidP="00285760">
      <w:pPr>
        <w:keepNext/>
        <w:bidi/>
        <w:spacing w:after="240" w:line="340" w:lineRule="exact"/>
        <w:ind w:left="1984" w:hanging="1984"/>
        <w:rPr>
          <w:rFonts w:ascii="Arabic Typesetting" w:hAnsi="Arabic Typesetting" w:cs="Arabic Typesetting"/>
          <w:b/>
          <w:bCs/>
          <w:sz w:val="36"/>
          <w:szCs w:val="36"/>
          <w:lang w:val="fr-CH"/>
        </w:rPr>
      </w:pPr>
      <w:r w:rsidRPr="00086C3F">
        <w:rPr>
          <w:rFonts w:ascii="Arabic Typesetting" w:hAnsi="Arabic Typesetting" w:cs="Arabic Typesetting" w:hint="cs"/>
          <w:b/>
          <w:bCs/>
          <w:sz w:val="36"/>
          <w:szCs w:val="36"/>
          <w:rtl/>
          <w:lang w:val="fr-CH"/>
        </w:rPr>
        <w:t>المسؤول عن البرنامج:</w:t>
      </w:r>
      <w:r w:rsidR="00B31868" w:rsidRPr="00086C3F">
        <w:rPr>
          <w:rFonts w:ascii="Arabic Typesetting" w:hAnsi="Arabic Typesetting" w:cs="Arabic Typesetting" w:hint="cs"/>
          <w:b/>
          <w:bCs/>
          <w:sz w:val="36"/>
          <w:szCs w:val="36"/>
          <w:rtl/>
          <w:lang w:val="fr-CH"/>
        </w:rPr>
        <w:tab/>
        <w:t xml:space="preserve">السيد </w:t>
      </w:r>
      <w:proofErr w:type="spellStart"/>
      <w:r w:rsidR="00B31868" w:rsidRPr="00086C3F">
        <w:rPr>
          <w:rFonts w:ascii="Arabic Typesetting" w:hAnsi="Arabic Typesetting" w:cs="Arabic Typesetting" w:hint="cs"/>
          <w:b/>
          <w:bCs/>
          <w:sz w:val="36"/>
          <w:szCs w:val="36"/>
          <w:rtl/>
          <w:lang w:val="fr-CH"/>
        </w:rPr>
        <w:t>أ</w:t>
      </w:r>
      <w:r w:rsidRPr="00086C3F">
        <w:rPr>
          <w:rFonts w:ascii="Arabic Typesetting" w:hAnsi="Arabic Typesetting" w:cs="Arabic Typesetting" w:hint="cs"/>
          <w:b/>
          <w:bCs/>
          <w:sz w:val="36"/>
          <w:szCs w:val="36"/>
          <w:rtl/>
          <w:lang w:val="fr-CH"/>
        </w:rPr>
        <w:t>مبي</w:t>
      </w:r>
      <w:proofErr w:type="spellEnd"/>
      <w:r w:rsidR="00B31868" w:rsidRPr="00086C3F">
        <w:rPr>
          <w:rFonts w:ascii="Arabic Typesetting" w:hAnsi="Arabic Typesetting" w:cs="Arabic Typesetting" w:hint="cs"/>
          <w:b/>
          <w:bCs/>
          <w:sz w:val="36"/>
          <w:szCs w:val="36"/>
          <w:rtl/>
          <w:lang w:val="fr-CH"/>
        </w:rPr>
        <w:t xml:space="preserve"> </w:t>
      </w:r>
      <w:proofErr w:type="spellStart"/>
      <w:r w:rsidR="00B31868" w:rsidRPr="00086C3F">
        <w:rPr>
          <w:rFonts w:ascii="Arabic Typesetting" w:hAnsi="Arabic Typesetting" w:cs="Arabic Typesetting" w:hint="cs"/>
          <w:b/>
          <w:bCs/>
          <w:sz w:val="36"/>
          <w:szCs w:val="36"/>
          <w:rtl/>
          <w:lang w:val="fr-CH"/>
        </w:rPr>
        <w:t>سوندارام</w:t>
      </w:r>
      <w:proofErr w:type="spellEnd"/>
    </w:p>
    <w:p w:rsidR="00B31868" w:rsidRPr="00B31868" w:rsidRDefault="00A062E1" w:rsidP="00285760">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520275" w:rsidRDefault="00A062E1" w:rsidP="009A3712">
      <w:pPr>
        <w:numPr>
          <w:ilvl w:val="0"/>
          <w:numId w:val="9"/>
        </w:numPr>
        <w:bidi/>
        <w:spacing w:after="120" w:line="340" w:lineRule="exact"/>
        <w:ind w:left="-1" w:firstLine="0"/>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t xml:space="preserve">ظل إطار الويبو للسلامة والأمن معقداً بوجه عام خلال الثنائية </w:t>
      </w:r>
      <w:r w:rsidR="00507DE2">
        <w:rPr>
          <w:rFonts w:ascii="Arabic Typesetting" w:hAnsi="Arabic Typesetting" w:cs="Arabic Typesetting" w:hint="cs"/>
          <w:sz w:val="34"/>
          <w:szCs w:val="34"/>
          <w:rtl/>
          <w:lang w:bidi="ar-EG"/>
        </w:rPr>
        <w:t>2014/15</w:t>
      </w:r>
      <w:r w:rsidRPr="00520275">
        <w:rPr>
          <w:rFonts w:ascii="Arabic Typesetting" w:hAnsi="Arabic Typesetting" w:cs="Arabic Typesetting" w:hint="cs"/>
          <w:sz w:val="34"/>
          <w:szCs w:val="34"/>
          <w:rtl/>
          <w:lang w:bidi="ar-EG"/>
        </w:rPr>
        <w:t xml:space="preserve"> وإن كان مستقرا في البلدان التي تتمتع بحضور المنظمة. </w:t>
      </w:r>
      <w:r w:rsidR="00B31868" w:rsidRPr="00520275">
        <w:rPr>
          <w:rFonts w:ascii="Arabic Typesetting" w:hAnsi="Arabic Typesetting" w:cs="Arabic Typesetting"/>
          <w:sz w:val="34"/>
          <w:szCs w:val="34"/>
          <w:rtl/>
          <w:lang w:bidi="ar-EG"/>
        </w:rPr>
        <w:t>و</w:t>
      </w:r>
      <w:r w:rsidR="00B31868" w:rsidRPr="00520275">
        <w:rPr>
          <w:rFonts w:ascii="Arabic Typesetting" w:hAnsi="Arabic Typesetting" w:cs="Arabic Typesetting" w:hint="cs"/>
          <w:sz w:val="34"/>
          <w:szCs w:val="34"/>
          <w:rtl/>
          <w:lang w:bidi="ar-EG"/>
        </w:rPr>
        <w:t xml:space="preserve">واصل البرنامج </w:t>
      </w:r>
      <w:r w:rsidR="00B31868" w:rsidRPr="00520275">
        <w:rPr>
          <w:rFonts w:ascii="Arabic Typesetting" w:hAnsi="Arabic Typesetting" w:cs="Arabic Typesetting"/>
          <w:sz w:val="34"/>
          <w:szCs w:val="34"/>
          <w:rtl/>
          <w:lang w:bidi="ar-EG"/>
        </w:rPr>
        <w:t>إدارة كل أنظمة السلامة والأمن في جميع أقسام المنظمة</w:t>
      </w:r>
      <w:r w:rsidRPr="00520275">
        <w:rPr>
          <w:rFonts w:ascii="Arabic Typesetting" w:hAnsi="Arabic Typesetting" w:cs="Arabic Typesetting" w:hint="cs"/>
          <w:sz w:val="34"/>
          <w:szCs w:val="34"/>
          <w:rtl/>
          <w:lang w:bidi="ar-EG"/>
        </w:rPr>
        <w:t xml:space="preserve"> خلال الثنائية</w:t>
      </w:r>
      <w:r w:rsidR="00B31868" w:rsidRPr="00520275">
        <w:rPr>
          <w:rFonts w:ascii="Arabic Typesetting" w:hAnsi="Arabic Typesetting" w:cs="Arabic Typesetting"/>
          <w:sz w:val="34"/>
          <w:szCs w:val="34"/>
          <w:rtl/>
          <w:lang w:bidi="ar-EG"/>
        </w:rPr>
        <w:t xml:space="preserve">، </w:t>
      </w:r>
      <w:r w:rsidR="00B31868" w:rsidRPr="00520275">
        <w:rPr>
          <w:rFonts w:ascii="Arabic Typesetting" w:hAnsi="Arabic Typesetting" w:cs="Arabic Typesetting" w:hint="cs"/>
          <w:sz w:val="34"/>
          <w:szCs w:val="34"/>
          <w:rtl/>
          <w:lang w:bidi="ar-EG"/>
        </w:rPr>
        <w:t>بما في ذلك مرافق قاعة المؤتمرات الجديدة التي افتتحت أبوابها في سبتمبر 2014</w:t>
      </w:r>
      <w:r w:rsidR="00B31868" w:rsidRPr="00520275">
        <w:rPr>
          <w:rFonts w:ascii="Arabic Typesetting" w:hAnsi="Arabic Typesetting" w:cs="Arabic Typesetting"/>
          <w:sz w:val="34"/>
          <w:szCs w:val="34"/>
          <w:rtl/>
          <w:lang w:bidi="ar-EG"/>
        </w:rPr>
        <w:t>.</w:t>
      </w:r>
    </w:p>
    <w:p w:rsidR="00A062E1" w:rsidRPr="00520275" w:rsidRDefault="00A062E1" w:rsidP="009A3712">
      <w:pPr>
        <w:numPr>
          <w:ilvl w:val="0"/>
          <w:numId w:val="9"/>
        </w:numPr>
        <w:bidi/>
        <w:spacing w:after="120" w:line="340" w:lineRule="exact"/>
        <w:ind w:left="-1" w:firstLine="0"/>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t xml:space="preserve">وظلت سلامة موظفي الويبو خلال الأسفار الدولية مجال تركيز أساسي خلال الثنائية </w:t>
      </w:r>
      <w:r w:rsidR="00507DE2">
        <w:rPr>
          <w:rFonts w:ascii="Arabic Typesetting" w:hAnsi="Arabic Typesetting" w:cs="Arabic Typesetting" w:hint="cs"/>
          <w:sz w:val="34"/>
          <w:szCs w:val="34"/>
          <w:rtl/>
          <w:lang w:bidi="ar-EG"/>
        </w:rPr>
        <w:t>2014/15</w:t>
      </w:r>
      <w:r w:rsidRPr="00520275">
        <w:rPr>
          <w:rFonts w:ascii="Arabic Typesetting" w:hAnsi="Arabic Typesetting" w:cs="Arabic Typesetting" w:hint="cs"/>
          <w:sz w:val="34"/>
          <w:szCs w:val="34"/>
          <w:rtl/>
          <w:lang w:bidi="ar-EG"/>
        </w:rPr>
        <w:t xml:space="preserve"> نظراً إلى حالة عدم الاستقرار والشواغل الأمنية التي حلت بمناطق مختلفة سافر إليها الموظفون وبخاصة في </w:t>
      </w:r>
      <w:r w:rsidR="00E45C5C" w:rsidRPr="00520275">
        <w:rPr>
          <w:rFonts w:ascii="Arabic Typesetting" w:hAnsi="Arabic Typesetting" w:cs="Arabic Typesetting" w:hint="cs"/>
          <w:sz w:val="34"/>
          <w:szCs w:val="34"/>
          <w:rtl/>
          <w:lang w:bidi="ar-EG"/>
        </w:rPr>
        <w:t>أواخر عام 2015. وأثرت الأحداث الإرهابية المؤسفة التي حلت بباريس في فرنسا في نوفمبر 2015 في سلامة وأمن عمليات الويبو إذ نفذت تدابير أمن</w:t>
      </w:r>
      <w:r w:rsidR="00520275">
        <w:rPr>
          <w:rFonts w:ascii="Arabic Typesetting" w:hAnsi="Arabic Typesetting" w:cs="Arabic Typesetting" w:hint="cs"/>
          <w:sz w:val="34"/>
          <w:szCs w:val="34"/>
          <w:rtl/>
          <w:lang w:bidi="ar-EG"/>
        </w:rPr>
        <w:t>ي</w:t>
      </w:r>
      <w:r w:rsidR="00E45C5C" w:rsidRPr="00520275">
        <w:rPr>
          <w:rFonts w:ascii="Arabic Typesetting" w:hAnsi="Arabic Typesetting" w:cs="Arabic Typesetting" w:hint="cs"/>
          <w:sz w:val="34"/>
          <w:szCs w:val="34"/>
          <w:rtl/>
          <w:lang w:bidi="ar-EG"/>
        </w:rPr>
        <w:t xml:space="preserve">ة إضافية منها توطيد تعاون المنظمة مع حكومة البلد المضيفة. ومكنت هذه الجهود الويبو من </w:t>
      </w:r>
      <w:r w:rsidR="00520275">
        <w:rPr>
          <w:rFonts w:ascii="Arabic Typesetting" w:hAnsi="Arabic Typesetting" w:cs="Arabic Typesetting" w:hint="cs"/>
          <w:sz w:val="34"/>
          <w:szCs w:val="34"/>
          <w:rtl/>
          <w:lang w:bidi="ar-EG"/>
        </w:rPr>
        <w:t>الوفاء</w:t>
      </w:r>
      <w:r w:rsidR="00E45C5C" w:rsidRPr="00520275">
        <w:rPr>
          <w:rFonts w:ascii="Arabic Typesetting" w:hAnsi="Arabic Typesetting" w:cs="Arabic Typesetting" w:hint="cs"/>
          <w:sz w:val="34"/>
          <w:szCs w:val="34"/>
          <w:rtl/>
          <w:lang w:bidi="ar-EG"/>
        </w:rPr>
        <w:t xml:space="preserve"> </w:t>
      </w:r>
      <w:r w:rsidR="00520275">
        <w:rPr>
          <w:rFonts w:ascii="Arabic Typesetting" w:hAnsi="Arabic Typesetting" w:cs="Arabic Typesetting" w:hint="cs"/>
          <w:sz w:val="34"/>
          <w:szCs w:val="34"/>
          <w:rtl/>
          <w:lang w:bidi="ar-EG"/>
        </w:rPr>
        <w:t>ب</w:t>
      </w:r>
      <w:r w:rsidR="00E45C5C" w:rsidRPr="00520275">
        <w:rPr>
          <w:rFonts w:ascii="Arabic Typesetting" w:hAnsi="Arabic Typesetting" w:cs="Arabic Typesetting" w:hint="cs"/>
          <w:sz w:val="34"/>
          <w:szCs w:val="34"/>
          <w:rtl/>
          <w:lang w:bidi="ar-EG"/>
        </w:rPr>
        <w:t xml:space="preserve">التزاماتها </w:t>
      </w:r>
      <w:r w:rsidR="00520275">
        <w:rPr>
          <w:rFonts w:ascii="Arabic Typesetting" w:hAnsi="Arabic Typesetting" w:cs="Arabic Typesetting" w:hint="cs"/>
          <w:sz w:val="34"/>
          <w:szCs w:val="34"/>
          <w:rtl/>
          <w:lang w:bidi="ar-EG"/>
        </w:rPr>
        <w:t xml:space="preserve">من حيث </w:t>
      </w:r>
      <w:r w:rsidR="00E45C5C" w:rsidRPr="00520275">
        <w:rPr>
          <w:rFonts w:ascii="Arabic Typesetting" w:hAnsi="Arabic Typesetting" w:cs="Arabic Typesetting" w:hint="cs"/>
          <w:sz w:val="34"/>
          <w:szCs w:val="34"/>
          <w:rtl/>
          <w:lang w:bidi="ar-EG"/>
        </w:rPr>
        <w:t xml:space="preserve">المشاركة في الأحداث والمؤتمرات مثل الدورة الحادية والعشرين لمؤتمر الأطراف في </w:t>
      </w:r>
      <w:r w:rsidR="00B774EF">
        <w:rPr>
          <w:rFonts w:ascii="Arabic Typesetting" w:hAnsi="Arabic Typesetting" w:cs="Arabic Typesetting"/>
          <w:sz w:val="34"/>
          <w:szCs w:val="34"/>
          <w:rtl/>
          <w:lang w:bidi="ar-EG"/>
        </w:rPr>
        <w:t>اتفاقية الأمم المتحدة ال</w:t>
      </w:r>
      <w:r w:rsidR="00B774EF">
        <w:rPr>
          <w:rFonts w:ascii="Arabic Typesetting" w:hAnsi="Arabic Typesetting" w:cs="Arabic Typesetting" w:hint="cs"/>
          <w:sz w:val="34"/>
          <w:szCs w:val="34"/>
          <w:rtl/>
          <w:lang w:bidi="ar-EG"/>
        </w:rPr>
        <w:t>إ</w:t>
      </w:r>
      <w:r w:rsidR="00E45C5C" w:rsidRPr="00520275">
        <w:rPr>
          <w:rFonts w:ascii="Arabic Typesetting" w:hAnsi="Arabic Typesetting" w:cs="Arabic Typesetting"/>
          <w:sz w:val="34"/>
          <w:szCs w:val="34"/>
          <w:rtl/>
          <w:lang w:bidi="ar-EG"/>
        </w:rPr>
        <w:t>طارية بشأن تغير المناخ</w:t>
      </w:r>
      <w:r w:rsidR="00E45C5C" w:rsidRPr="00520275">
        <w:rPr>
          <w:rFonts w:ascii="Arabic Typesetting" w:hAnsi="Arabic Typesetting" w:cs="Arabic Typesetting" w:hint="cs"/>
          <w:sz w:val="34"/>
          <w:szCs w:val="34"/>
          <w:rtl/>
          <w:lang w:bidi="ar-EG"/>
        </w:rPr>
        <w:t xml:space="preserve"> المعقودة في باريس في يومي 7 و8 ديسمبر 2015.</w:t>
      </w:r>
    </w:p>
    <w:p w:rsidR="006B1CDA" w:rsidRPr="00520275" w:rsidRDefault="00B31868" w:rsidP="009A3712">
      <w:pPr>
        <w:numPr>
          <w:ilvl w:val="0"/>
          <w:numId w:val="9"/>
        </w:numPr>
        <w:bidi/>
        <w:spacing w:after="120" w:line="340" w:lineRule="exact"/>
        <w:ind w:left="-1" w:firstLine="0"/>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t>وشهد</w:t>
      </w:r>
      <w:r w:rsidR="00E45C5C" w:rsidRPr="00520275">
        <w:rPr>
          <w:rFonts w:ascii="Arabic Typesetting" w:hAnsi="Arabic Typesetting" w:cs="Arabic Typesetting" w:hint="cs"/>
          <w:sz w:val="34"/>
          <w:szCs w:val="34"/>
          <w:rtl/>
          <w:lang w:bidi="ar-EG"/>
        </w:rPr>
        <w:t xml:space="preserve">ت الثنائية </w:t>
      </w:r>
      <w:r w:rsidR="00507DE2">
        <w:rPr>
          <w:rFonts w:ascii="Arabic Typesetting" w:hAnsi="Arabic Typesetting" w:cs="Arabic Typesetting" w:hint="cs"/>
          <w:sz w:val="34"/>
          <w:szCs w:val="34"/>
          <w:rtl/>
          <w:lang w:bidi="ar-EG"/>
        </w:rPr>
        <w:t>2014/15</w:t>
      </w:r>
      <w:r w:rsidR="00E45C5C" w:rsidRPr="00520275">
        <w:rPr>
          <w:rFonts w:ascii="Arabic Typesetting" w:hAnsi="Arabic Typesetting" w:cs="Arabic Typesetting" w:hint="cs"/>
          <w:sz w:val="34"/>
          <w:szCs w:val="34"/>
          <w:rtl/>
          <w:lang w:bidi="ar-EG"/>
        </w:rPr>
        <w:t xml:space="preserve"> استكمال </w:t>
      </w:r>
      <w:r w:rsidRPr="00520275">
        <w:rPr>
          <w:rFonts w:ascii="Arabic Typesetting" w:hAnsi="Arabic Typesetting" w:cs="Arabic Typesetting" w:hint="cs"/>
          <w:sz w:val="34"/>
          <w:szCs w:val="34"/>
          <w:rtl/>
          <w:lang w:bidi="ar-EG"/>
        </w:rPr>
        <w:t xml:space="preserve">عدد من الإنجازات </w:t>
      </w:r>
      <w:r w:rsidR="00FB2BCA" w:rsidRPr="00FB2BCA">
        <w:rPr>
          <w:rFonts w:ascii="Arabic Typesetting" w:hAnsi="Arabic Typesetting" w:cs="Arabic Typesetting" w:hint="cs"/>
          <w:sz w:val="34"/>
          <w:szCs w:val="34"/>
          <w:rtl/>
          <w:lang w:bidi="ar-EG"/>
        </w:rPr>
        <w:t>المهمة</w:t>
      </w:r>
      <w:r w:rsidR="00FB2BCA" w:rsidRPr="00520275">
        <w:rPr>
          <w:rFonts w:ascii="Arabic Typesetting" w:hAnsi="Arabic Typesetting" w:cs="Arabic Typesetting" w:hint="cs"/>
          <w:sz w:val="34"/>
          <w:szCs w:val="34"/>
          <w:rtl/>
          <w:lang w:bidi="ar-EG"/>
        </w:rPr>
        <w:t xml:space="preserve"> </w:t>
      </w:r>
      <w:r w:rsidRPr="00520275">
        <w:rPr>
          <w:rFonts w:ascii="Arabic Typesetting" w:hAnsi="Arabic Typesetting" w:cs="Arabic Typesetting" w:hint="cs"/>
          <w:sz w:val="34"/>
          <w:szCs w:val="34"/>
          <w:rtl/>
          <w:lang w:bidi="ar-EG"/>
        </w:rPr>
        <w:t>في مجال السلامة والأمن</w:t>
      </w:r>
      <w:r w:rsidR="00520275">
        <w:rPr>
          <w:rFonts w:ascii="Arabic Typesetting" w:hAnsi="Arabic Typesetting" w:cs="Arabic Typesetting" w:hint="cs"/>
          <w:sz w:val="34"/>
          <w:szCs w:val="34"/>
          <w:rtl/>
          <w:lang w:bidi="ar-EG"/>
        </w:rPr>
        <w:t xml:space="preserve"> أو استكمالها</w:t>
      </w:r>
      <w:r w:rsidRPr="00520275">
        <w:rPr>
          <w:rFonts w:ascii="Arabic Typesetting" w:hAnsi="Arabic Typesetting" w:cs="Arabic Typesetting" w:hint="cs"/>
          <w:sz w:val="34"/>
          <w:szCs w:val="34"/>
          <w:rtl/>
          <w:lang w:bidi="ar-EG"/>
        </w:rPr>
        <w:t>، لا</w:t>
      </w:r>
      <w:r w:rsidRPr="00520275">
        <w:rPr>
          <w:rFonts w:ascii="Arabic Typesetting" w:hAnsi="Arabic Typesetting" w:cs="Arabic Typesetting" w:hint="eastAsia"/>
          <w:sz w:val="34"/>
          <w:szCs w:val="34"/>
          <w:rtl/>
          <w:lang w:bidi="ar-EG"/>
        </w:rPr>
        <w:t> </w:t>
      </w:r>
      <w:r w:rsidRPr="00520275">
        <w:rPr>
          <w:rFonts w:ascii="Arabic Typesetting" w:hAnsi="Arabic Typesetting" w:cs="Arabic Typesetting" w:hint="cs"/>
          <w:sz w:val="34"/>
          <w:szCs w:val="34"/>
          <w:rtl/>
          <w:lang w:bidi="ar-EG"/>
        </w:rPr>
        <w:t>سيما افتتاح مدخل الويبو المركزي الجديد (مكتب الاستقبال بمبنى</w:t>
      </w:r>
      <w:r w:rsidRPr="00520275">
        <w:rPr>
          <w:rFonts w:ascii="Arabic Typesetting" w:hAnsi="Arabic Typesetting" w:cs="Arabic Typesetting" w:hint="eastAsia"/>
          <w:sz w:val="34"/>
          <w:szCs w:val="34"/>
          <w:rtl/>
          <w:lang w:bidi="ar-EG"/>
        </w:rPr>
        <w:t> </w:t>
      </w:r>
      <w:r w:rsidRPr="00520275">
        <w:rPr>
          <w:rFonts w:ascii="Arabic Typesetting" w:hAnsi="Arabic Typesetting" w:cs="Arabic Typesetting"/>
          <w:sz w:val="34"/>
          <w:szCs w:val="34"/>
          <w:lang w:bidi="ar-EG"/>
        </w:rPr>
        <w:t>AB</w:t>
      </w:r>
      <w:r w:rsidRPr="00520275">
        <w:rPr>
          <w:rFonts w:ascii="Arabic Typesetting" w:hAnsi="Arabic Typesetting" w:cs="Arabic Typesetting" w:hint="cs"/>
          <w:sz w:val="34"/>
          <w:szCs w:val="34"/>
          <w:rtl/>
          <w:lang w:bidi="ar-EG"/>
        </w:rPr>
        <w:t>) ومركز عمليات التنسيق الأمني (</w:t>
      </w:r>
      <w:r w:rsidRPr="00520275">
        <w:rPr>
          <w:rFonts w:ascii="Arabic Typesetting" w:hAnsi="Arabic Typesetting" w:cs="Arabic Typesetting"/>
          <w:sz w:val="34"/>
          <w:szCs w:val="34"/>
          <w:lang w:bidi="ar-EG"/>
        </w:rPr>
        <w:t>SCOC</w:t>
      </w:r>
      <w:r w:rsidRPr="00520275">
        <w:rPr>
          <w:rFonts w:ascii="Arabic Typesetting" w:hAnsi="Arabic Typesetting" w:cs="Arabic Typesetting" w:hint="cs"/>
          <w:sz w:val="34"/>
          <w:szCs w:val="34"/>
          <w:rtl/>
          <w:lang w:bidi="ar-EG"/>
        </w:rPr>
        <w:t>)، في الوقت المناسب لضمان دعم ناجح للدورة الثانية والعشرين للجنة البرنامج والميزانية وجمعيات الويبو</w:t>
      </w:r>
      <w:r w:rsidR="006B1CDA" w:rsidRPr="00520275">
        <w:rPr>
          <w:rFonts w:ascii="Arabic Typesetting" w:hAnsi="Arabic Typesetting" w:cs="Arabic Typesetting" w:hint="cs"/>
          <w:sz w:val="34"/>
          <w:szCs w:val="34"/>
          <w:rtl/>
          <w:lang w:bidi="ar-EG"/>
        </w:rPr>
        <w:t xml:space="preserve"> في عام 2014 فضلاً عن أكثر من 200 مؤتمر وحدث في عام 2015 حضره موظفون ومندوبون وزائرون والجمهور. وفضلاً عن ذلك، استكمل </w:t>
      </w:r>
      <w:r w:rsidRPr="00520275">
        <w:rPr>
          <w:rFonts w:ascii="Arabic Typesetting" w:hAnsi="Arabic Typesetting" w:cs="Arabic Typesetting" w:hint="cs"/>
          <w:sz w:val="34"/>
          <w:szCs w:val="34"/>
          <w:rtl/>
          <w:lang w:bidi="ar-EG"/>
        </w:rPr>
        <w:t xml:space="preserve">مشروع </w:t>
      </w:r>
      <w:r w:rsidRPr="00520275">
        <w:rPr>
          <w:rFonts w:ascii="Arabic Typesetting" w:hAnsi="Arabic Typesetting" w:cs="Arabic Typesetting"/>
          <w:sz w:val="34"/>
          <w:szCs w:val="34"/>
          <w:rtl/>
          <w:lang w:bidi="ar-EG"/>
        </w:rPr>
        <w:t>معايير الأمن التشغيلي الدنيا في المقار (</w:t>
      </w:r>
      <w:r w:rsidRPr="00520275">
        <w:rPr>
          <w:rFonts w:ascii="Arabic Typesetting" w:hAnsi="Arabic Typesetting" w:cs="Arabic Typesetting"/>
          <w:bCs/>
          <w:sz w:val="34"/>
          <w:szCs w:val="34"/>
          <w:lang w:bidi="ar-EG"/>
        </w:rPr>
        <w:t>H-MOSS</w:t>
      </w:r>
      <w:r w:rsidRPr="00520275">
        <w:rPr>
          <w:rFonts w:ascii="Arabic Typesetting" w:hAnsi="Arabic Typesetting" w:cs="Arabic Typesetting"/>
          <w:sz w:val="34"/>
          <w:szCs w:val="34"/>
          <w:rtl/>
          <w:lang w:bidi="ar-EG"/>
        </w:rPr>
        <w:t>)</w:t>
      </w:r>
      <w:r w:rsidRPr="00520275">
        <w:rPr>
          <w:rFonts w:ascii="Arabic Typesetting" w:hAnsi="Arabic Typesetting" w:cs="Arabic Typesetting" w:hint="cs"/>
          <w:sz w:val="34"/>
          <w:szCs w:val="34"/>
          <w:rtl/>
          <w:lang w:bidi="ar-EG"/>
        </w:rPr>
        <w:t xml:space="preserve"> </w:t>
      </w:r>
      <w:r w:rsidR="006B1CDA" w:rsidRPr="00520275">
        <w:rPr>
          <w:rFonts w:ascii="Arabic Typesetting" w:hAnsi="Arabic Typesetting" w:cs="Arabic Typesetting" w:hint="cs"/>
          <w:sz w:val="34"/>
          <w:szCs w:val="34"/>
          <w:rtl/>
          <w:lang w:bidi="ar-EG"/>
        </w:rPr>
        <w:t xml:space="preserve">في عام 2015 ما أسفر عن تحسينات عززت إدارة السلامة والأمن في شتى أنحاء </w:t>
      </w:r>
      <w:r w:rsidR="0023721A">
        <w:rPr>
          <w:rFonts w:ascii="Arabic Typesetting" w:hAnsi="Arabic Typesetting" w:cs="Arabic Typesetting" w:hint="cs"/>
          <w:sz w:val="34"/>
          <w:szCs w:val="34"/>
          <w:rtl/>
          <w:lang w:bidi="ar-EG"/>
        </w:rPr>
        <w:t>مجمع</w:t>
      </w:r>
      <w:r w:rsidR="006B1CDA" w:rsidRPr="00520275">
        <w:rPr>
          <w:rFonts w:ascii="Arabic Typesetting" w:hAnsi="Arabic Typesetting" w:cs="Arabic Typesetting" w:hint="cs"/>
          <w:sz w:val="34"/>
          <w:szCs w:val="34"/>
          <w:rtl/>
          <w:lang w:bidi="ar-EG"/>
        </w:rPr>
        <w:t xml:space="preserve"> الويبو ولا سيما التحسينات التالية: "1" إنشاء نظام جديد للتحكم في نفاذ المشاة والمركبات؛ "2" و</w:t>
      </w:r>
      <w:r w:rsidRPr="00520275">
        <w:rPr>
          <w:rFonts w:ascii="Arabic Typesetting" w:hAnsi="Arabic Typesetting" w:cs="Arabic Typesetting" w:hint="cs"/>
          <w:sz w:val="34"/>
          <w:szCs w:val="34"/>
          <w:rtl/>
          <w:lang w:bidi="ar-EG"/>
        </w:rPr>
        <w:t>تدابير تقنية متطورة لمنع التسلّل</w:t>
      </w:r>
      <w:r w:rsidR="006B1CDA" w:rsidRPr="00520275">
        <w:rPr>
          <w:rFonts w:ascii="Arabic Typesetting" w:hAnsi="Arabic Typesetting" w:cs="Arabic Typesetting" w:hint="cs"/>
          <w:sz w:val="34"/>
          <w:szCs w:val="34"/>
          <w:rtl/>
          <w:lang w:bidi="ar-EG"/>
        </w:rPr>
        <w:t>؛ "3" </w:t>
      </w:r>
      <w:r w:rsidRPr="00520275">
        <w:rPr>
          <w:rFonts w:ascii="Arabic Typesetting" w:hAnsi="Arabic Typesetting" w:cs="Arabic Typesetting" w:hint="cs"/>
          <w:sz w:val="34"/>
          <w:szCs w:val="34"/>
          <w:rtl/>
          <w:lang w:bidi="ar-EG"/>
        </w:rPr>
        <w:t>ونظام كاميرات</w:t>
      </w:r>
      <w:r w:rsidRPr="00520275">
        <w:rPr>
          <w:rFonts w:ascii="Arabic Typesetting" w:hAnsi="Arabic Typesetting" w:cs="Arabic Typesetting"/>
          <w:sz w:val="34"/>
          <w:szCs w:val="34"/>
          <w:rtl/>
          <w:lang w:bidi="ar-EG"/>
        </w:rPr>
        <w:t xml:space="preserve"> </w:t>
      </w:r>
      <w:r w:rsidRPr="00520275">
        <w:rPr>
          <w:rFonts w:ascii="Arabic Typesetting" w:hAnsi="Arabic Typesetting" w:cs="Arabic Typesetting" w:hint="cs"/>
          <w:sz w:val="34"/>
          <w:szCs w:val="34"/>
          <w:rtl/>
          <w:lang w:bidi="ar-EG"/>
        </w:rPr>
        <w:t>تلفزيونية</w:t>
      </w:r>
      <w:r w:rsidRPr="00520275">
        <w:rPr>
          <w:rFonts w:ascii="Arabic Typesetting" w:hAnsi="Arabic Typesetting" w:cs="Arabic Typesetting"/>
          <w:sz w:val="34"/>
          <w:szCs w:val="34"/>
          <w:rtl/>
          <w:lang w:bidi="ar-EG"/>
        </w:rPr>
        <w:t xml:space="preserve"> ذات دوائر مغلقة</w:t>
      </w:r>
      <w:r w:rsidRPr="00520275">
        <w:rPr>
          <w:rFonts w:ascii="Arabic Typesetting" w:hAnsi="Arabic Typesetting" w:cs="Arabic Typesetting" w:hint="cs"/>
          <w:sz w:val="34"/>
          <w:szCs w:val="34"/>
          <w:rtl/>
          <w:lang w:bidi="ar-EG"/>
        </w:rPr>
        <w:t xml:space="preserve"> (</w:t>
      </w:r>
      <w:r w:rsidRPr="00520275">
        <w:rPr>
          <w:rFonts w:ascii="Arabic Typesetting" w:hAnsi="Arabic Typesetting" w:cs="Arabic Typesetting"/>
          <w:bCs/>
          <w:sz w:val="34"/>
          <w:szCs w:val="34"/>
          <w:lang w:bidi="ar-EG"/>
        </w:rPr>
        <w:t>CCTV</w:t>
      </w:r>
      <w:r w:rsidRPr="00520275">
        <w:rPr>
          <w:rFonts w:ascii="Arabic Typesetting" w:hAnsi="Arabic Typesetting" w:cs="Arabic Typesetting" w:hint="cs"/>
          <w:sz w:val="34"/>
          <w:szCs w:val="34"/>
          <w:rtl/>
          <w:lang w:bidi="ar-EG"/>
        </w:rPr>
        <w:t>)</w:t>
      </w:r>
      <w:r w:rsidR="006B1CDA" w:rsidRPr="00520275">
        <w:rPr>
          <w:rFonts w:ascii="Arabic Typesetting" w:hAnsi="Arabic Typesetting" w:cs="Arabic Typesetting" w:hint="cs"/>
          <w:sz w:val="34"/>
          <w:szCs w:val="34"/>
          <w:rtl/>
          <w:lang w:bidi="ar-EG"/>
        </w:rPr>
        <w:t>؛ "4" شبكة حاسوبية محلية آمنة؛ "5" </w:t>
      </w:r>
      <w:r w:rsidRPr="00520275">
        <w:rPr>
          <w:rFonts w:ascii="Arabic Typesetting" w:hAnsi="Arabic Typesetting" w:cs="Arabic Typesetting" w:hint="cs"/>
          <w:sz w:val="34"/>
          <w:szCs w:val="34"/>
          <w:rtl/>
          <w:lang w:bidi="ar-EG"/>
        </w:rPr>
        <w:t>ونظام للاتصالات والاستجابة في حالات الطوارئ</w:t>
      </w:r>
      <w:r w:rsidR="006B1CDA" w:rsidRPr="00520275">
        <w:rPr>
          <w:rFonts w:ascii="Arabic Typesetting" w:hAnsi="Arabic Typesetting" w:cs="Arabic Typesetting" w:hint="cs"/>
          <w:sz w:val="34"/>
          <w:szCs w:val="34"/>
          <w:rtl/>
          <w:lang w:bidi="ar-EG"/>
        </w:rPr>
        <w:t>؛</w:t>
      </w:r>
      <w:r w:rsidRPr="00520275">
        <w:rPr>
          <w:rFonts w:ascii="Arabic Typesetting" w:hAnsi="Arabic Typesetting" w:cs="Arabic Typesetting" w:hint="cs"/>
          <w:sz w:val="34"/>
          <w:szCs w:val="34"/>
          <w:rtl/>
          <w:lang w:bidi="ar-EG"/>
        </w:rPr>
        <w:t xml:space="preserve"> </w:t>
      </w:r>
      <w:r w:rsidR="006B1CDA" w:rsidRPr="00520275">
        <w:rPr>
          <w:rFonts w:ascii="Arabic Typesetting" w:hAnsi="Arabic Typesetting" w:cs="Arabic Typesetting" w:hint="cs"/>
          <w:sz w:val="34"/>
          <w:szCs w:val="34"/>
          <w:rtl/>
          <w:lang w:bidi="ar-EG"/>
        </w:rPr>
        <w:t>"6" </w:t>
      </w:r>
      <w:r w:rsidRPr="00520275">
        <w:rPr>
          <w:rFonts w:ascii="Arabic Typesetting" w:hAnsi="Arabic Typesetting" w:cs="Arabic Typesetting" w:hint="cs"/>
          <w:sz w:val="34"/>
          <w:szCs w:val="34"/>
          <w:rtl/>
          <w:lang w:bidi="ar-EG"/>
        </w:rPr>
        <w:t>ونظام للكشف عن الحرائق ومكافحتها</w:t>
      </w:r>
      <w:r w:rsidR="006B1CDA" w:rsidRPr="00520275">
        <w:rPr>
          <w:rFonts w:ascii="Arabic Typesetting" w:hAnsi="Arabic Typesetting" w:cs="Arabic Typesetting" w:hint="cs"/>
          <w:sz w:val="34"/>
          <w:szCs w:val="34"/>
          <w:rtl/>
          <w:lang w:bidi="ar-EG"/>
        </w:rPr>
        <w:t xml:space="preserve"> ونظام لإدارة المخاطر. وفضلاً عن ذلك وعقب مسار تنافسي مستفيض، اختارت الويبو شركة حراسة أمنية جديدة لتعزيز تدابير السلامة والأمن الداخلية ويُزمع الانتقال إلى </w:t>
      </w:r>
      <w:r w:rsidR="00B1424D">
        <w:rPr>
          <w:rFonts w:ascii="Arabic Typesetting" w:hAnsi="Arabic Typesetting" w:cs="Arabic Typesetting" w:hint="cs"/>
          <w:sz w:val="34"/>
          <w:szCs w:val="34"/>
          <w:rtl/>
          <w:lang w:bidi="ar-EG"/>
        </w:rPr>
        <w:t>شركة</w:t>
      </w:r>
      <w:r w:rsidR="006B1CDA" w:rsidRPr="00520275">
        <w:rPr>
          <w:rFonts w:ascii="Arabic Typesetting" w:hAnsi="Arabic Typesetting" w:cs="Arabic Typesetting" w:hint="cs"/>
          <w:sz w:val="34"/>
          <w:szCs w:val="34"/>
          <w:rtl/>
          <w:lang w:bidi="ar-EG"/>
        </w:rPr>
        <w:t xml:space="preserve"> الحراسة الجديدة في أوائل عام 2016.</w:t>
      </w:r>
    </w:p>
    <w:p w:rsidR="00B31868" w:rsidRPr="00520275" w:rsidRDefault="00B31868" w:rsidP="009A3712">
      <w:pPr>
        <w:numPr>
          <w:ilvl w:val="0"/>
          <w:numId w:val="9"/>
        </w:numPr>
        <w:bidi/>
        <w:spacing w:after="120" w:line="340" w:lineRule="exact"/>
        <w:ind w:left="-1" w:firstLine="0"/>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t>ول</w:t>
      </w:r>
      <w:r w:rsidR="00AC5A12" w:rsidRPr="00520275">
        <w:rPr>
          <w:rFonts w:ascii="Arabic Typesetting" w:hAnsi="Arabic Typesetting" w:cs="Arabic Typesetting" w:hint="cs"/>
          <w:sz w:val="34"/>
          <w:szCs w:val="34"/>
          <w:rtl/>
          <w:lang w:bidi="ar-EG"/>
        </w:rPr>
        <w:t>مواصلة ا</w:t>
      </w:r>
      <w:r w:rsidRPr="00520275">
        <w:rPr>
          <w:rFonts w:ascii="Arabic Typesetting" w:hAnsi="Arabic Typesetting" w:cs="Arabic Typesetting" w:hint="cs"/>
          <w:sz w:val="34"/>
          <w:szCs w:val="34"/>
          <w:rtl/>
          <w:lang w:bidi="ar-EG"/>
        </w:rPr>
        <w:t>لارتقاء بمركز عمليات التنسيق الأمني (</w:t>
      </w:r>
      <w:r w:rsidRPr="00520275">
        <w:rPr>
          <w:rFonts w:ascii="Arabic Typesetting" w:hAnsi="Arabic Typesetting" w:cs="Arabic Typesetting"/>
          <w:sz w:val="34"/>
          <w:szCs w:val="34"/>
          <w:lang w:bidi="ar-EG"/>
        </w:rPr>
        <w:t>SCOC</w:t>
      </w:r>
      <w:r w:rsidRPr="00520275">
        <w:rPr>
          <w:rFonts w:ascii="Arabic Typesetting" w:hAnsi="Arabic Typesetting" w:cs="Arabic Typesetting" w:hint="cs"/>
          <w:sz w:val="34"/>
          <w:szCs w:val="34"/>
          <w:rtl/>
          <w:lang w:bidi="ar-EG"/>
        </w:rPr>
        <w:t>) والأنظمة الجديدة إلى المستوى الأمثل، خضع موظفو السلامة والأمن وأعضاء فريق الحراس المسؤولين عن أمن الموقع لتدريبات متخصّصة</w:t>
      </w:r>
      <w:r w:rsidR="00AC5A12" w:rsidRPr="00520275">
        <w:rPr>
          <w:rFonts w:ascii="Arabic Typesetting" w:hAnsi="Arabic Typesetting" w:cs="Arabic Typesetting" w:hint="cs"/>
          <w:sz w:val="34"/>
          <w:szCs w:val="34"/>
          <w:rtl/>
          <w:lang w:bidi="ar-EG"/>
        </w:rPr>
        <w:t xml:space="preserve"> في عامي 2014 و2015</w:t>
      </w:r>
      <w:r w:rsidRPr="00520275">
        <w:rPr>
          <w:rFonts w:ascii="Arabic Typesetting" w:hAnsi="Arabic Typesetting" w:cs="Arabic Typesetting" w:hint="cs"/>
          <w:sz w:val="34"/>
          <w:szCs w:val="34"/>
          <w:rtl/>
          <w:lang w:bidi="ar-EG"/>
        </w:rPr>
        <w:t>. و</w:t>
      </w:r>
      <w:r w:rsidR="00AC5A12" w:rsidRPr="00520275">
        <w:rPr>
          <w:rFonts w:ascii="Arabic Typesetting" w:hAnsi="Arabic Typesetting" w:cs="Arabic Typesetting" w:hint="cs"/>
          <w:sz w:val="34"/>
          <w:szCs w:val="34"/>
          <w:rtl/>
          <w:lang w:bidi="ar-EG"/>
        </w:rPr>
        <w:t>شهدت الثنائية أيضاً تنفيذ</w:t>
      </w:r>
      <w:r w:rsidRPr="00520275">
        <w:rPr>
          <w:rFonts w:ascii="Arabic Typesetting" w:hAnsi="Arabic Typesetting" w:cs="Arabic Typesetting" w:hint="cs"/>
          <w:sz w:val="34"/>
          <w:szCs w:val="34"/>
          <w:rtl/>
          <w:lang w:bidi="ar-EG"/>
        </w:rPr>
        <w:t xml:space="preserve"> إجراءات جديدة في مجال إدارة السلامة، </w:t>
      </w:r>
      <w:r w:rsidR="00AC5A12" w:rsidRPr="00520275">
        <w:rPr>
          <w:rFonts w:ascii="Arabic Typesetting" w:hAnsi="Arabic Typesetting" w:cs="Arabic Typesetting" w:hint="cs"/>
          <w:sz w:val="34"/>
          <w:szCs w:val="34"/>
          <w:rtl/>
          <w:lang w:bidi="ar-EG"/>
        </w:rPr>
        <w:t>وتحديث</w:t>
      </w:r>
      <w:r w:rsidRPr="00520275">
        <w:rPr>
          <w:rFonts w:ascii="Arabic Typesetting" w:hAnsi="Arabic Typesetting" w:cs="Arabic Typesetting" w:hint="cs"/>
          <w:sz w:val="34"/>
          <w:szCs w:val="34"/>
          <w:rtl/>
          <w:lang w:bidi="ar-EG"/>
        </w:rPr>
        <w:t xml:space="preserve"> إجراءات التشغيل المعيارية و</w:t>
      </w:r>
      <w:r w:rsidR="00664AA9" w:rsidRPr="00520275">
        <w:rPr>
          <w:rFonts w:ascii="Arabic Typesetting" w:hAnsi="Arabic Typesetting" w:cs="Arabic Typesetting" w:hint="cs"/>
          <w:sz w:val="34"/>
          <w:szCs w:val="34"/>
          <w:rtl/>
          <w:lang w:bidi="ar-EG"/>
        </w:rPr>
        <w:t xml:space="preserve">غيرها من </w:t>
      </w:r>
      <w:r w:rsidRPr="00520275">
        <w:rPr>
          <w:rFonts w:ascii="Arabic Typesetting" w:hAnsi="Arabic Typesetting" w:cs="Arabic Typesetting" w:hint="cs"/>
          <w:sz w:val="34"/>
          <w:szCs w:val="34"/>
          <w:rtl/>
          <w:lang w:bidi="ar-EG"/>
        </w:rPr>
        <w:t xml:space="preserve">السياسات المحدّدة القائمة. </w:t>
      </w:r>
      <w:r w:rsidR="00664AA9" w:rsidRPr="00520275">
        <w:rPr>
          <w:rFonts w:ascii="Arabic Typesetting" w:hAnsi="Arabic Typesetting" w:cs="Arabic Typesetting" w:hint="cs"/>
          <w:sz w:val="34"/>
          <w:szCs w:val="34"/>
          <w:rtl/>
          <w:lang w:bidi="ar-EG"/>
        </w:rPr>
        <w:t>وفضلاً عن</w:t>
      </w:r>
      <w:r w:rsidRPr="00520275">
        <w:rPr>
          <w:rFonts w:ascii="Arabic Typesetting" w:hAnsi="Arabic Typesetting" w:cs="Arabic Typesetting" w:hint="cs"/>
          <w:sz w:val="34"/>
          <w:szCs w:val="34"/>
          <w:rtl/>
          <w:lang w:bidi="ar-EG"/>
        </w:rPr>
        <w:t xml:space="preserve"> ذلك، حُدّدت تدابير جديدة بشأن أداء موظفي الأمن وأدرجت في إجراءات التشغيل المعيارية المذكورة </w:t>
      </w:r>
      <w:r w:rsidR="00664AA9" w:rsidRPr="00520275">
        <w:rPr>
          <w:rFonts w:ascii="Arabic Typesetting" w:hAnsi="Arabic Typesetting" w:cs="Arabic Typesetting" w:hint="cs"/>
          <w:sz w:val="34"/>
          <w:szCs w:val="34"/>
          <w:rtl/>
          <w:lang w:bidi="ar-EG"/>
        </w:rPr>
        <w:t xml:space="preserve">بغية </w:t>
      </w:r>
      <w:r w:rsidRPr="00520275">
        <w:rPr>
          <w:rFonts w:ascii="Arabic Typesetting" w:hAnsi="Arabic Typesetting" w:cs="Arabic Typesetting" w:hint="cs"/>
          <w:sz w:val="34"/>
          <w:szCs w:val="34"/>
          <w:rtl/>
          <w:lang w:bidi="ar-EG"/>
        </w:rPr>
        <w:t>زيادة تعزيز الكفاءة والقدرة على الاستجابة في حالات الطوارئ.</w:t>
      </w:r>
      <w:r w:rsidR="00664AA9" w:rsidRPr="00520275">
        <w:rPr>
          <w:rFonts w:ascii="Arabic Typesetting" w:hAnsi="Arabic Typesetting" w:cs="Arabic Typesetting" w:hint="cs"/>
          <w:sz w:val="34"/>
          <w:szCs w:val="34"/>
          <w:rtl/>
          <w:lang w:bidi="ar-EG"/>
        </w:rPr>
        <w:t xml:space="preserve"> </w:t>
      </w:r>
      <w:r w:rsidR="00AD6E55" w:rsidRPr="00520275">
        <w:rPr>
          <w:rFonts w:ascii="Arabic Typesetting" w:hAnsi="Arabic Typesetting" w:cs="Arabic Typesetting" w:hint="cs"/>
          <w:sz w:val="34"/>
          <w:szCs w:val="34"/>
          <w:rtl/>
        </w:rPr>
        <w:t xml:space="preserve">وتواصل إدخال عدة تحسينات في مبنى </w:t>
      </w:r>
      <w:proofErr w:type="spellStart"/>
      <w:r w:rsidR="00AD6E55" w:rsidRPr="00520275">
        <w:rPr>
          <w:rFonts w:ascii="Arabic Typesetting" w:hAnsi="Arabic Typesetting" w:cs="Arabic Typesetting" w:hint="cs"/>
          <w:sz w:val="34"/>
          <w:szCs w:val="34"/>
          <w:rtl/>
        </w:rPr>
        <w:t>الكام</w:t>
      </w:r>
      <w:proofErr w:type="spellEnd"/>
      <w:r w:rsidR="00AD6E55" w:rsidRPr="00520275">
        <w:rPr>
          <w:rFonts w:ascii="Arabic Typesetting" w:hAnsi="Arabic Typesetting" w:cs="Arabic Typesetting" w:hint="cs"/>
          <w:sz w:val="34"/>
          <w:szCs w:val="34"/>
          <w:rtl/>
        </w:rPr>
        <w:t xml:space="preserve"> في عام 2015 (التحكم في النفاذ، وتطوير نظام الكشف عن الحرائق ومكافحتها، ووضع</w:t>
      </w:r>
      <w:r w:rsidR="00AD6E55" w:rsidRPr="00520275">
        <w:rPr>
          <w:rFonts w:ascii="Arabic Typesetting" w:hAnsi="Arabic Typesetting" w:cs="Arabic Typesetting" w:hint="cs"/>
          <w:sz w:val="34"/>
          <w:szCs w:val="34"/>
          <w:rtl/>
          <w:lang w:bidi="ar-EG"/>
        </w:rPr>
        <w:t xml:space="preserve"> نظام كاميرات</w:t>
      </w:r>
      <w:r w:rsidR="00AD6E55" w:rsidRPr="00520275">
        <w:rPr>
          <w:rFonts w:ascii="Arabic Typesetting" w:hAnsi="Arabic Typesetting" w:cs="Arabic Typesetting"/>
          <w:sz w:val="34"/>
          <w:szCs w:val="34"/>
          <w:rtl/>
          <w:lang w:bidi="ar-EG"/>
        </w:rPr>
        <w:t xml:space="preserve"> </w:t>
      </w:r>
      <w:r w:rsidR="00AD6E55" w:rsidRPr="00520275">
        <w:rPr>
          <w:rFonts w:ascii="Arabic Typesetting" w:hAnsi="Arabic Typesetting" w:cs="Arabic Typesetting" w:hint="cs"/>
          <w:sz w:val="34"/>
          <w:szCs w:val="34"/>
          <w:rtl/>
          <w:lang w:bidi="ar-EG"/>
        </w:rPr>
        <w:t>تلفزيونية</w:t>
      </w:r>
      <w:r w:rsidR="00AD6E55" w:rsidRPr="00520275">
        <w:rPr>
          <w:rFonts w:ascii="Arabic Typesetting" w:hAnsi="Arabic Typesetting" w:cs="Arabic Typesetting"/>
          <w:sz w:val="34"/>
          <w:szCs w:val="34"/>
          <w:rtl/>
          <w:lang w:bidi="ar-EG"/>
        </w:rPr>
        <w:t xml:space="preserve"> ذات دوائر مغلقة</w:t>
      </w:r>
      <w:r w:rsidR="00AD6E55" w:rsidRPr="00520275">
        <w:rPr>
          <w:rFonts w:ascii="Arabic Typesetting" w:hAnsi="Arabic Typesetting" w:cs="Arabic Typesetting" w:hint="cs"/>
          <w:sz w:val="34"/>
          <w:szCs w:val="34"/>
          <w:rtl/>
          <w:lang w:bidi="ar-EG"/>
        </w:rPr>
        <w:t xml:space="preserve"> (</w:t>
      </w:r>
      <w:r w:rsidR="00AD6E55" w:rsidRPr="00520275">
        <w:rPr>
          <w:rFonts w:ascii="Arabic Typesetting" w:hAnsi="Arabic Typesetting" w:cs="Arabic Typesetting"/>
          <w:bCs/>
          <w:sz w:val="34"/>
          <w:szCs w:val="34"/>
          <w:lang w:bidi="ar-EG"/>
        </w:rPr>
        <w:t>CCTV</w:t>
      </w:r>
      <w:r w:rsidR="00AD6E55" w:rsidRPr="00520275">
        <w:rPr>
          <w:rFonts w:ascii="Arabic Typesetting" w:hAnsi="Arabic Typesetting" w:cs="Arabic Typesetting" w:hint="cs"/>
          <w:sz w:val="34"/>
          <w:szCs w:val="34"/>
          <w:rtl/>
          <w:lang w:bidi="ar-EG"/>
        </w:rPr>
        <w:t>))</w:t>
      </w:r>
      <w:r w:rsidR="00AD6E55" w:rsidRPr="00520275">
        <w:rPr>
          <w:rFonts w:ascii="Arabic Typesetting" w:hAnsi="Arabic Typesetting" w:cs="Arabic Typesetting" w:hint="cs"/>
          <w:sz w:val="34"/>
          <w:szCs w:val="34"/>
          <w:rtl/>
        </w:rPr>
        <w:t xml:space="preserve"> مع التركيز على إقامة مركز لإدارة الأزمات خارج المقر.</w:t>
      </w:r>
    </w:p>
    <w:p w:rsidR="00B31868" w:rsidRPr="00520275" w:rsidRDefault="00AD6E55" w:rsidP="009A3712">
      <w:pPr>
        <w:numPr>
          <w:ilvl w:val="0"/>
          <w:numId w:val="9"/>
        </w:numPr>
        <w:bidi/>
        <w:spacing w:after="120" w:line="340" w:lineRule="exact"/>
        <w:ind w:left="-1" w:firstLine="0"/>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t xml:space="preserve">وسعياً إلى </w:t>
      </w:r>
      <w:r w:rsidRPr="00520275">
        <w:rPr>
          <w:rFonts w:ascii="Arabic Typesetting" w:hAnsi="Arabic Typesetting" w:cs="Arabic Typesetting"/>
          <w:sz w:val="34"/>
          <w:szCs w:val="34"/>
          <w:rtl/>
          <w:lang w:bidi="ar-EG"/>
        </w:rPr>
        <w:t>تعزيز سلامة</w:t>
      </w:r>
      <w:r w:rsidR="00DA2E88">
        <w:rPr>
          <w:rFonts w:ascii="Arabic Typesetting" w:hAnsi="Arabic Typesetting" w:cs="Arabic Typesetting" w:hint="cs"/>
          <w:sz w:val="34"/>
          <w:szCs w:val="34"/>
          <w:rtl/>
          <w:lang w:bidi="ar-EG"/>
        </w:rPr>
        <w:t xml:space="preserve"> و</w:t>
      </w:r>
      <w:r w:rsidRPr="00520275">
        <w:rPr>
          <w:rFonts w:ascii="Arabic Typesetting" w:hAnsi="Arabic Typesetting" w:cs="Arabic Typesetting"/>
          <w:sz w:val="34"/>
          <w:szCs w:val="34"/>
          <w:rtl/>
          <w:lang w:bidi="ar-EG"/>
        </w:rPr>
        <w:t>أمن موظفي الويبو وتوفير حماية أفضل لأصول المنظمة وضمان الامتثال لإجراءات الأمم المتحدة الخاصة بالسلامة والأمن</w:t>
      </w:r>
      <w:r w:rsidRPr="00520275">
        <w:rPr>
          <w:rFonts w:ascii="Arabic Typesetting" w:hAnsi="Arabic Typesetting" w:cs="Arabic Typesetting" w:hint="cs"/>
          <w:sz w:val="34"/>
          <w:szCs w:val="34"/>
          <w:rtl/>
          <w:lang w:bidi="ar-EG"/>
        </w:rPr>
        <w:t xml:space="preserve">، أجريت عمليات تدقيق لتقييم درجة السلامة والأمن في المكاتب الخارجية الخمسة خلال الثنائية </w:t>
      </w:r>
      <w:r w:rsidR="00507DE2">
        <w:rPr>
          <w:rFonts w:ascii="Arabic Typesetting" w:hAnsi="Arabic Typesetting" w:cs="Arabic Typesetting" w:hint="cs"/>
          <w:sz w:val="34"/>
          <w:szCs w:val="34"/>
          <w:rtl/>
          <w:lang w:bidi="ar-EG"/>
        </w:rPr>
        <w:t>2014/15</w:t>
      </w:r>
      <w:r w:rsidRPr="00520275">
        <w:rPr>
          <w:rFonts w:ascii="Arabic Typesetting" w:hAnsi="Arabic Typesetting" w:cs="Arabic Typesetting" w:hint="cs"/>
          <w:sz w:val="34"/>
          <w:szCs w:val="34"/>
          <w:rtl/>
          <w:lang w:bidi="ar-EG"/>
        </w:rPr>
        <w:t>؛ وأُغلقت أكثر من 90 بالمئة من التوصيات المنبث</w:t>
      </w:r>
      <w:r w:rsidR="003A5201" w:rsidRPr="00520275">
        <w:rPr>
          <w:rFonts w:ascii="Arabic Typesetting" w:hAnsi="Arabic Typesetting" w:cs="Arabic Typesetting" w:hint="cs"/>
          <w:sz w:val="34"/>
          <w:szCs w:val="34"/>
          <w:rtl/>
          <w:lang w:bidi="ar-EG"/>
        </w:rPr>
        <w:t xml:space="preserve">قة عن عمليات التدقيق بحلول نهاية الثنائية. </w:t>
      </w:r>
      <w:r w:rsidR="00B31868" w:rsidRPr="00520275">
        <w:rPr>
          <w:rFonts w:ascii="Arabic Typesetting" w:hAnsi="Arabic Typesetting" w:cs="Arabic Typesetting" w:hint="cs"/>
          <w:sz w:val="34"/>
          <w:szCs w:val="34"/>
          <w:rtl/>
          <w:lang w:bidi="ar-EG"/>
        </w:rPr>
        <w:t>وإضافة</w:t>
      </w:r>
      <w:r w:rsidR="003A5201" w:rsidRPr="00520275">
        <w:rPr>
          <w:rFonts w:ascii="Arabic Typesetting" w:hAnsi="Arabic Typesetting" w:cs="Arabic Typesetting" w:hint="eastAsia"/>
          <w:sz w:val="34"/>
          <w:szCs w:val="34"/>
          <w:rtl/>
          <w:lang w:bidi="ar-EG"/>
        </w:rPr>
        <w:t> </w:t>
      </w:r>
      <w:r w:rsidR="00B31868" w:rsidRPr="00520275">
        <w:rPr>
          <w:rFonts w:ascii="Arabic Typesetting" w:hAnsi="Arabic Typesetting" w:cs="Arabic Typesetting" w:hint="cs"/>
          <w:sz w:val="34"/>
          <w:szCs w:val="34"/>
          <w:rtl/>
          <w:lang w:bidi="ar-EG"/>
        </w:rPr>
        <w:t>إلى ذلك وُضع، في إطار مركز عمليات التنسيق الأمني (</w:t>
      </w:r>
      <w:r w:rsidR="00B31868" w:rsidRPr="00520275">
        <w:rPr>
          <w:rFonts w:ascii="Arabic Typesetting" w:hAnsi="Arabic Typesetting" w:cs="Arabic Typesetting"/>
          <w:sz w:val="34"/>
          <w:szCs w:val="34"/>
          <w:lang w:bidi="ar-EG"/>
        </w:rPr>
        <w:t>SCOC</w:t>
      </w:r>
      <w:r w:rsidR="00B31868" w:rsidRPr="00520275">
        <w:rPr>
          <w:rFonts w:ascii="Arabic Typesetting" w:hAnsi="Arabic Typesetting" w:cs="Arabic Typesetting" w:hint="cs"/>
          <w:sz w:val="34"/>
          <w:szCs w:val="34"/>
          <w:rtl/>
          <w:lang w:bidi="ar-EG"/>
        </w:rPr>
        <w:t>)، برنامج توع</w:t>
      </w:r>
      <w:r w:rsidR="003A5201" w:rsidRPr="00520275">
        <w:rPr>
          <w:rFonts w:ascii="Arabic Typesetting" w:hAnsi="Arabic Typesetting" w:cs="Arabic Typesetting" w:hint="cs"/>
          <w:sz w:val="34"/>
          <w:szCs w:val="34"/>
          <w:rtl/>
          <w:lang w:bidi="ar-EG"/>
        </w:rPr>
        <w:t>ية</w:t>
      </w:r>
      <w:r w:rsidR="00B31868" w:rsidRPr="00520275">
        <w:rPr>
          <w:rFonts w:ascii="Arabic Typesetting" w:hAnsi="Arabic Typesetting" w:cs="Arabic Typesetting" w:hint="cs"/>
          <w:sz w:val="34"/>
          <w:szCs w:val="34"/>
          <w:rtl/>
          <w:lang w:bidi="ar-EG"/>
        </w:rPr>
        <w:t xml:space="preserve"> لفائدة مكاتب الويبو الخارجية لتمكينها من تناول إدارة السلامة والأمن بطريقة أفضل من خلال تنسيق مشترك وخدمة لدعم الأمن على مدار الساعة وطيلة أيام الأسبوع.</w:t>
      </w:r>
    </w:p>
    <w:p w:rsidR="00B31868" w:rsidRPr="00520275" w:rsidRDefault="00B31868" w:rsidP="009A3712">
      <w:pPr>
        <w:numPr>
          <w:ilvl w:val="0"/>
          <w:numId w:val="9"/>
        </w:numPr>
        <w:bidi/>
        <w:spacing w:after="120" w:line="340" w:lineRule="exact"/>
        <w:ind w:left="-1" w:firstLine="0"/>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t xml:space="preserve">وظلّ العدد الإجمالي لحوادث السلامة والأمن المبلّغ عنها </w:t>
      </w:r>
      <w:r w:rsidR="003A5201" w:rsidRPr="00520275">
        <w:rPr>
          <w:rFonts w:ascii="Arabic Typesetting" w:hAnsi="Arabic Typesetting" w:cs="Arabic Typesetting" w:hint="cs"/>
          <w:sz w:val="34"/>
          <w:szCs w:val="34"/>
          <w:rtl/>
          <w:lang w:bidi="ar-EG"/>
        </w:rPr>
        <w:t>خلال الثنائية</w:t>
      </w:r>
      <w:r w:rsidRPr="00520275">
        <w:rPr>
          <w:rFonts w:ascii="Arabic Typesetting" w:hAnsi="Arabic Typesetting" w:cs="Arabic Typesetting" w:hint="cs"/>
          <w:sz w:val="34"/>
          <w:szCs w:val="34"/>
          <w:rtl/>
          <w:lang w:bidi="ar-EG"/>
        </w:rPr>
        <w:t xml:space="preserve"> في مستوى منخفض، </w:t>
      </w:r>
      <w:r w:rsidR="003A5201" w:rsidRPr="00520275">
        <w:rPr>
          <w:rFonts w:ascii="Arabic Typesetting" w:hAnsi="Arabic Typesetting" w:cs="Arabic Typesetting" w:hint="cs"/>
          <w:sz w:val="34"/>
          <w:szCs w:val="34"/>
          <w:rtl/>
          <w:lang w:bidi="ar-EG"/>
        </w:rPr>
        <w:t>فقد بلغ</w:t>
      </w:r>
      <w:r w:rsidRPr="00520275">
        <w:rPr>
          <w:rFonts w:ascii="Arabic Typesetting" w:hAnsi="Arabic Typesetting" w:cs="Arabic Typesetting" w:hint="cs"/>
          <w:sz w:val="34"/>
          <w:szCs w:val="34"/>
          <w:rtl/>
          <w:lang w:bidi="ar-EG"/>
        </w:rPr>
        <w:t xml:space="preserve"> </w:t>
      </w:r>
      <w:r w:rsidR="003A5201" w:rsidRPr="00520275">
        <w:rPr>
          <w:rFonts w:ascii="Arabic Typesetting" w:hAnsi="Arabic Typesetting" w:cs="Arabic Typesetting" w:hint="cs"/>
          <w:sz w:val="34"/>
          <w:szCs w:val="34"/>
          <w:rtl/>
          <w:lang w:bidi="ar-EG"/>
        </w:rPr>
        <w:t>عدد</w:t>
      </w:r>
      <w:r w:rsidRPr="00520275">
        <w:rPr>
          <w:rFonts w:ascii="Arabic Typesetting" w:hAnsi="Arabic Typesetting" w:cs="Arabic Typesetting" w:hint="cs"/>
          <w:sz w:val="34"/>
          <w:szCs w:val="34"/>
          <w:rtl/>
          <w:lang w:bidi="ar-EG"/>
        </w:rPr>
        <w:t xml:space="preserve"> الحوادث المرتبطة بالسلامة والمؤدية إلى حدوث إصابات</w:t>
      </w:r>
      <w:r w:rsidR="003A5201" w:rsidRPr="00520275">
        <w:rPr>
          <w:rFonts w:ascii="Arabic Typesetting" w:hAnsi="Arabic Typesetting" w:cs="Arabic Typesetting" w:hint="cs"/>
          <w:sz w:val="34"/>
          <w:szCs w:val="34"/>
          <w:rtl/>
          <w:lang w:bidi="ar-EG"/>
        </w:rPr>
        <w:t xml:space="preserve"> سبعة حوادث من أصل 616 حادثاً (أي 1.1 بالمئة) خلال الثنائية منها حادثان من أصل 222 (0.9 بالمئة) في عام 2014 وخمسة أحداث من أصل 394 (1.3 بالمئة) في عام 2015.</w:t>
      </w:r>
    </w:p>
    <w:p w:rsidR="00B31868" w:rsidRPr="00E439F5" w:rsidRDefault="00B31868" w:rsidP="00E439F5">
      <w:pPr>
        <w:keepNext/>
        <w:bidi/>
        <w:spacing w:before="120" w:after="120" w:line="360" w:lineRule="exact"/>
        <w:rPr>
          <w:rFonts w:ascii="Arabic Typesetting" w:hAnsi="Arabic Typesetting" w:cs="Arabic Typesetting"/>
          <w:sz w:val="34"/>
          <w:szCs w:val="34"/>
          <w:rtl/>
          <w:lang w:val="fr-CH"/>
        </w:rPr>
      </w:pPr>
      <w:r w:rsidRPr="00E439F5">
        <w:rPr>
          <w:rFonts w:ascii="Arabic Typesetting" w:hAnsi="Arabic Typesetting" w:cs="Arabic Typesetting"/>
          <w:sz w:val="34"/>
          <w:szCs w:val="34"/>
          <w:rtl/>
          <w:lang w:val="fr-CH"/>
        </w:rPr>
        <w:lastRenderedPageBreak/>
        <w:t>بيانات الأداء</w:t>
      </w:r>
    </w:p>
    <w:tbl>
      <w:tblPr>
        <w:bidiVisual/>
        <w:tblW w:w="474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4"/>
        <w:gridCol w:w="2672"/>
        <w:gridCol w:w="1417"/>
        <w:gridCol w:w="2268"/>
        <w:gridCol w:w="864"/>
      </w:tblGrid>
      <w:tr w:rsidR="00B31868" w:rsidRPr="00211D55" w:rsidTr="008E0018">
        <w:trPr>
          <w:trHeight w:val="96"/>
        </w:trPr>
        <w:tc>
          <w:tcPr>
            <w:tcW w:w="9085" w:type="dxa"/>
            <w:gridSpan w:val="5"/>
            <w:tcBorders>
              <w:bottom w:val="single" w:sz="4" w:space="0" w:color="auto"/>
            </w:tcBorders>
            <w:shd w:val="clear" w:color="auto" w:fill="C6D9F1" w:themeFill="text2" w:themeFillTint="33"/>
          </w:tcPr>
          <w:p w:rsidR="00B31868" w:rsidRPr="00211D55" w:rsidRDefault="00B31868" w:rsidP="00285760">
            <w:pPr>
              <w:keepNext/>
              <w:bidi/>
              <w:spacing w:after="60" w:line="280" w:lineRule="exact"/>
              <w:ind w:left="1167" w:hanging="1167"/>
              <w:rPr>
                <w:rFonts w:ascii="Arabic Typesetting" w:hAnsi="Arabic Typesetting" w:cs="Arabic Typesetting"/>
                <w:sz w:val="28"/>
                <w:szCs w:val="28"/>
                <w:lang w:bidi="ar-EG"/>
              </w:rPr>
            </w:pPr>
            <w:r w:rsidRPr="00211D55">
              <w:rPr>
                <w:rFonts w:ascii="Arabic Typesetting" w:hAnsi="Arabic Typesetting" w:cs="Arabic Typesetting"/>
                <w:b/>
                <w:bCs/>
                <w:sz w:val="28"/>
                <w:szCs w:val="28"/>
                <w:rtl/>
                <w:lang w:bidi="ar-EG"/>
              </w:rPr>
              <w:t xml:space="preserve">النتيجة المرتقبة: </w:t>
            </w:r>
            <w:r w:rsidRPr="00211D55">
              <w:rPr>
                <w:rFonts w:ascii="Arabic Typesetting" w:hAnsi="Arabic Typesetting" w:cs="Arabic Typesetting"/>
                <w:sz w:val="28"/>
                <w:szCs w:val="28"/>
                <w:rtl/>
                <w:lang w:bidi="ar-EG"/>
              </w:rPr>
              <w:tab/>
              <w:t xml:space="preserve">ه4.9 </w:t>
            </w:r>
            <w:r w:rsidR="003F15BC">
              <w:rPr>
                <w:rFonts w:ascii="Arabic Typesetting" w:hAnsi="Arabic Typesetting" w:cs="Arabic Typesetting"/>
                <w:sz w:val="28"/>
                <w:szCs w:val="28"/>
                <w:rtl/>
                <w:lang w:bidi="ar-EG"/>
              </w:rPr>
              <w:t>منظمة ذات مسؤولية بيئية واجتماعية تكفل سلامة وأمن موظفي الويبو والمندوبين والزائرين والممتلكات المادية والمعلومات</w:t>
            </w:r>
          </w:p>
        </w:tc>
      </w:tr>
      <w:tr w:rsidR="00B31868" w:rsidRPr="00211D55" w:rsidTr="009F0E15">
        <w:trPr>
          <w:trHeight w:val="186"/>
        </w:trPr>
        <w:tc>
          <w:tcPr>
            <w:tcW w:w="1864" w:type="dxa"/>
            <w:tcBorders>
              <w:bottom w:val="nil"/>
              <w:right w:val="nil"/>
            </w:tcBorders>
            <w:tcMar>
              <w:top w:w="110" w:type="dxa"/>
            </w:tcMar>
          </w:tcPr>
          <w:p w:rsidR="00B31868" w:rsidRPr="00211D55" w:rsidRDefault="00B31868" w:rsidP="00086C3F">
            <w:pPr>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مؤشرات الأداء</w:t>
            </w:r>
          </w:p>
        </w:tc>
        <w:tc>
          <w:tcPr>
            <w:tcW w:w="2672" w:type="dxa"/>
            <w:tcBorders>
              <w:left w:val="nil"/>
              <w:bottom w:val="nil"/>
              <w:right w:val="nil"/>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أسس المقارنة</w:t>
            </w:r>
          </w:p>
        </w:tc>
        <w:tc>
          <w:tcPr>
            <w:tcW w:w="1417" w:type="dxa"/>
            <w:tcBorders>
              <w:left w:val="nil"/>
              <w:bottom w:val="nil"/>
              <w:right w:val="nil"/>
            </w:tcBorders>
          </w:tcPr>
          <w:p w:rsidR="00B31868" w:rsidRPr="00211D55" w:rsidRDefault="00B31868" w:rsidP="00086C3F">
            <w:pPr>
              <w:keepNext/>
              <w:bidi/>
              <w:spacing w:before="60" w:after="60" w:line="280" w:lineRule="exact"/>
              <w:ind w:right="317"/>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الأهداف</w:t>
            </w:r>
          </w:p>
        </w:tc>
        <w:tc>
          <w:tcPr>
            <w:tcW w:w="2268" w:type="dxa"/>
            <w:tcBorders>
              <w:left w:val="nil"/>
              <w:bottom w:val="nil"/>
              <w:right w:val="nil"/>
            </w:tcBorders>
            <w:tcMar>
              <w:top w:w="110" w:type="dxa"/>
            </w:tcMar>
          </w:tcPr>
          <w:p w:rsidR="00B31868" w:rsidRPr="00211D55" w:rsidRDefault="00B31868" w:rsidP="00086C3F">
            <w:pPr>
              <w:keepNext/>
              <w:bidi/>
              <w:spacing w:before="60" w:after="60" w:line="280" w:lineRule="exact"/>
              <w:ind w:right="303"/>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بيانات الأداء</w:t>
            </w:r>
          </w:p>
        </w:tc>
        <w:tc>
          <w:tcPr>
            <w:tcW w:w="864" w:type="dxa"/>
            <w:tcBorders>
              <w:left w:val="nil"/>
              <w:bottom w:val="nil"/>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b/>
                <w:bCs/>
                <w:sz w:val="28"/>
                <w:szCs w:val="28"/>
                <w:rtl/>
                <w:lang w:bidi="ar-EG"/>
              </w:rPr>
            </w:pPr>
            <w:r w:rsidRPr="00211D55">
              <w:rPr>
                <w:rFonts w:ascii="Arabic Typesetting" w:hAnsi="Arabic Typesetting" w:cs="Arabic Typesetting"/>
                <w:b/>
                <w:bCs/>
                <w:sz w:val="28"/>
                <w:szCs w:val="28"/>
                <w:rtl/>
                <w:lang w:bidi="ar-EG"/>
              </w:rPr>
              <w:t>السير</w:t>
            </w:r>
          </w:p>
        </w:tc>
      </w:tr>
      <w:tr w:rsidR="00B31868" w:rsidRPr="00211D55" w:rsidTr="009F0E15">
        <w:trPr>
          <w:trHeight w:val="186"/>
        </w:trPr>
        <w:tc>
          <w:tcPr>
            <w:tcW w:w="1864" w:type="dxa"/>
            <w:tcBorders>
              <w:top w:val="nil"/>
              <w:bottom w:val="nil"/>
              <w:right w:val="nil"/>
            </w:tcBorders>
            <w:tcMar>
              <w:top w:w="110" w:type="dxa"/>
            </w:tcMar>
          </w:tcPr>
          <w:p w:rsidR="00B31868" w:rsidRPr="00211D55" w:rsidRDefault="00B3186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النسبة المئوية لموظفي الويبو وزوارها والمندوبين لديها الذين يبلغون عن إصابة عمل أو حادث مرتبط بالعمل</w:t>
            </w:r>
          </w:p>
        </w:tc>
        <w:tc>
          <w:tcPr>
            <w:tcW w:w="2672" w:type="dxa"/>
            <w:tcBorders>
              <w:top w:val="nil"/>
              <w:left w:val="nil"/>
              <w:bottom w:val="nil"/>
              <w:right w:val="nil"/>
            </w:tcBorders>
            <w:shd w:val="clear" w:color="auto" w:fill="auto"/>
            <w:tcMar>
              <w:top w:w="110" w:type="dxa"/>
            </w:tcMar>
          </w:tcPr>
          <w:p w:rsidR="00B31868" w:rsidRPr="00211D55" w:rsidRDefault="00B31868" w:rsidP="00086C3F">
            <w:pPr>
              <w:bidi/>
              <w:spacing w:before="60" w:after="60" w:line="280" w:lineRule="exact"/>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بلغت النسبة المئوية الإجمالية لحوادث الموظفين المنطوية على إصابات أقل من 2% في الثنائية </w:t>
            </w:r>
            <w:r w:rsidR="00507DE2">
              <w:rPr>
                <w:rFonts w:ascii="Arabic Typesetting" w:hAnsi="Arabic Typesetting" w:cs="Arabic Typesetting"/>
                <w:b/>
                <w:color w:val="002060"/>
                <w:sz w:val="28"/>
                <w:szCs w:val="28"/>
                <w:rtl/>
                <w:lang w:bidi="ar-EG"/>
              </w:rPr>
              <w:t>2012/13</w:t>
            </w:r>
            <w:r w:rsidRPr="00211D55">
              <w:rPr>
                <w:rFonts w:ascii="Arabic Typesetting" w:hAnsi="Arabic Typesetting" w:cs="Arabic Typesetting"/>
                <w:b/>
                <w:color w:val="002060"/>
                <w:sz w:val="28"/>
                <w:szCs w:val="28"/>
                <w:rtl/>
                <w:lang w:bidi="ar-EG"/>
              </w:rPr>
              <w:t xml:space="preserve"> (6 في 2012؛ و4 في 2013)</w:t>
            </w:r>
          </w:p>
          <w:p w:rsidR="00B31868" w:rsidRPr="00211D55" w:rsidRDefault="00B3186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i/>
                <w:iCs/>
                <w:sz w:val="28"/>
                <w:szCs w:val="28"/>
                <w:rtl/>
                <w:lang w:bidi="ar-EG"/>
              </w:rPr>
              <w:t>أسس المقارنة الأصلية:</w:t>
            </w:r>
            <w:r w:rsidRPr="00211D55">
              <w:rPr>
                <w:rFonts w:ascii="Arabic Typesetting" w:hAnsi="Arabic Typesetting" w:cs="Arabic Typesetting"/>
                <w:b/>
                <w:sz w:val="28"/>
                <w:szCs w:val="28"/>
                <w:rtl/>
                <w:lang w:bidi="ar-EG"/>
              </w:rPr>
              <w:t xml:space="preserve"> برنامج وميزانية </w:t>
            </w:r>
            <w:r w:rsidR="00507DE2">
              <w:rPr>
                <w:rFonts w:ascii="Arabic Typesetting" w:hAnsi="Arabic Typesetting" w:cs="Arabic Typesetting"/>
                <w:b/>
                <w:sz w:val="28"/>
                <w:szCs w:val="28"/>
                <w:rtl/>
                <w:lang w:bidi="ar-EG"/>
              </w:rPr>
              <w:t>2014/15</w:t>
            </w:r>
            <w:r w:rsidRPr="00211D55">
              <w:rPr>
                <w:rFonts w:ascii="Arabic Typesetting" w:hAnsi="Arabic Typesetting" w:cs="Arabic Typesetting"/>
                <w:b/>
                <w:sz w:val="28"/>
                <w:szCs w:val="28"/>
                <w:rtl/>
                <w:lang w:bidi="ar-EG"/>
              </w:rPr>
              <w:t>: بلاغات من 2% أو أقل من إجمالي أصحاب المصلحة/الزبائن بشأن إصابات أو حوادث متعلقة بالعمل</w:t>
            </w:r>
          </w:p>
        </w:tc>
        <w:tc>
          <w:tcPr>
            <w:tcW w:w="1417" w:type="dxa"/>
            <w:tcBorders>
              <w:top w:val="nil"/>
              <w:left w:val="nil"/>
              <w:bottom w:val="nil"/>
              <w:right w:val="nil"/>
            </w:tcBorders>
          </w:tcPr>
          <w:p w:rsidR="00B31868"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b/>
                <w:sz w:val="28"/>
                <w:szCs w:val="28"/>
                <w:rtl/>
                <w:lang w:bidi="ar-EG"/>
              </w:rPr>
              <w:t>2% أو أقل</w:t>
            </w:r>
          </w:p>
        </w:tc>
        <w:tc>
          <w:tcPr>
            <w:tcW w:w="2268" w:type="dxa"/>
            <w:tcBorders>
              <w:top w:val="nil"/>
              <w:left w:val="nil"/>
              <w:bottom w:val="nil"/>
              <w:right w:val="nil"/>
            </w:tcBorders>
            <w:tcMar>
              <w:top w:w="110" w:type="dxa"/>
            </w:tcMar>
          </w:tcPr>
          <w:p w:rsidR="003A5201"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 xml:space="preserve">بلغت النسبة المئوية الإجمالية للحوادث المرتبطة بالسلامة والمنطوية على إصابات </w:t>
            </w:r>
            <w:r w:rsidR="003A5201" w:rsidRPr="00211D55">
              <w:rPr>
                <w:rFonts w:ascii="Arabic Typesetting" w:hAnsi="Arabic Typesetting" w:cs="Arabic Typesetting"/>
                <w:sz w:val="28"/>
                <w:szCs w:val="28"/>
                <w:rtl/>
                <w:lang w:bidi="ar-EG"/>
              </w:rPr>
              <w:t>1.1</w:t>
            </w:r>
            <w:r w:rsidRPr="00211D55">
              <w:rPr>
                <w:rFonts w:ascii="Arabic Typesetting" w:hAnsi="Arabic Typesetting" w:cs="Arabic Typesetting"/>
                <w:sz w:val="28"/>
                <w:szCs w:val="28"/>
                <w:rtl/>
                <w:lang w:bidi="ar-EG"/>
              </w:rPr>
              <w:t xml:space="preserve">% في </w:t>
            </w:r>
            <w:r w:rsidR="00507DE2">
              <w:rPr>
                <w:rFonts w:ascii="Arabic Typesetting" w:hAnsi="Arabic Typesetting" w:cs="Arabic Typesetting"/>
                <w:sz w:val="28"/>
                <w:szCs w:val="28"/>
                <w:rtl/>
                <w:lang w:bidi="ar-EG"/>
              </w:rPr>
              <w:t>2014/15</w:t>
            </w:r>
            <w:r w:rsidR="003A5201" w:rsidRPr="00211D55">
              <w:rPr>
                <w:rFonts w:ascii="Arabic Typesetting" w:hAnsi="Arabic Typesetting" w:cs="Arabic Typesetting"/>
                <w:sz w:val="28"/>
                <w:szCs w:val="28"/>
                <w:rtl/>
                <w:lang w:bidi="ar-EG"/>
              </w:rPr>
              <w:t>:</w:t>
            </w:r>
          </w:p>
          <w:p w:rsidR="00B31868" w:rsidRPr="00211D55" w:rsidRDefault="00B31868" w:rsidP="009A3712">
            <w:pPr>
              <w:keepNext/>
              <w:numPr>
                <w:ilvl w:val="0"/>
                <w:numId w:val="17"/>
              </w:numPr>
              <w:bidi/>
              <w:spacing w:before="60" w:after="60" w:line="280" w:lineRule="exact"/>
              <w:ind w:left="284" w:hanging="284"/>
              <w:rPr>
                <w:rFonts w:ascii="Arabic Typesetting" w:hAnsi="Arabic Typesetting" w:cs="Arabic Typesetting"/>
                <w:sz w:val="28"/>
                <w:szCs w:val="28"/>
                <w:lang w:bidi="ar-EG"/>
              </w:rPr>
            </w:pPr>
            <w:r w:rsidRPr="00211D55">
              <w:rPr>
                <w:rFonts w:ascii="Arabic Typesetting" w:hAnsi="Arabic Typesetting" w:cs="Arabic Typesetting"/>
                <w:sz w:val="28"/>
                <w:szCs w:val="28"/>
                <w:rtl/>
                <w:lang w:bidi="ar-EG"/>
              </w:rPr>
              <w:t>حادث</w:t>
            </w:r>
            <w:r w:rsidR="003A5201" w:rsidRPr="00211D55">
              <w:rPr>
                <w:rFonts w:ascii="Arabic Typesetting" w:hAnsi="Arabic Typesetting" w:cs="Arabic Typesetting"/>
                <w:sz w:val="28"/>
                <w:szCs w:val="28"/>
                <w:rtl/>
                <w:lang w:bidi="ar-EG"/>
              </w:rPr>
              <w:t>ا</w:t>
            </w:r>
            <w:r w:rsidRPr="00211D55">
              <w:rPr>
                <w:rFonts w:ascii="Arabic Typesetting" w:hAnsi="Arabic Typesetting" w:cs="Arabic Typesetting"/>
                <w:sz w:val="28"/>
                <w:szCs w:val="28"/>
                <w:rtl/>
                <w:lang w:bidi="ar-EG"/>
              </w:rPr>
              <w:t xml:space="preserve">ن </w:t>
            </w:r>
            <w:r w:rsidR="003A5201" w:rsidRPr="00211D55">
              <w:rPr>
                <w:rFonts w:ascii="Arabic Typesetting" w:hAnsi="Arabic Typesetting" w:cs="Arabic Typesetting"/>
                <w:sz w:val="28"/>
                <w:szCs w:val="28"/>
                <w:rtl/>
                <w:lang w:bidi="ar-EG"/>
              </w:rPr>
              <w:t>(2014)</w:t>
            </w:r>
          </w:p>
          <w:p w:rsidR="003A5201" w:rsidRPr="00211D55" w:rsidRDefault="003A5201" w:rsidP="009A3712">
            <w:pPr>
              <w:keepNext/>
              <w:numPr>
                <w:ilvl w:val="0"/>
                <w:numId w:val="17"/>
              </w:numPr>
              <w:bidi/>
              <w:spacing w:before="60" w:after="60" w:line="280" w:lineRule="exact"/>
              <w:ind w:left="284" w:hanging="284"/>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5 حوادث (2015)</w:t>
            </w:r>
          </w:p>
        </w:tc>
        <w:tc>
          <w:tcPr>
            <w:tcW w:w="864" w:type="dxa"/>
            <w:tcBorders>
              <w:top w:val="nil"/>
              <w:left w:val="nil"/>
              <w:bottom w:val="nil"/>
            </w:tcBorders>
            <w:tcMar>
              <w:top w:w="110" w:type="dxa"/>
            </w:tcMar>
          </w:tcPr>
          <w:p w:rsidR="00B31868" w:rsidRPr="00211D55" w:rsidRDefault="003A5201" w:rsidP="00086C3F">
            <w:pPr>
              <w:keepNext/>
              <w:bidi/>
              <w:spacing w:before="60" w:after="60" w:line="28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r w:rsidR="00B31868" w:rsidRPr="00211D55" w:rsidTr="009F0E15">
        <w:trPr>
          <w:trHeight w:val="2941"/>
        </w:trPr>
        <w:tc>
          <w:tcPr>
            <w:tcW w:w="1864" w:type="dxa"/>
            <w:tcBorders>
              <w:top w:val="nil"/>
              <w:bottom w:val="single" w:sz="4" w:space="0" w:color="auto"/>
              <w:right w:val="nil"/>
            </w:tcBorders>
            <w:tcMar>
              <w:top w:w="110" w:type="dxa"/>
            </w:tcMar>
          </w:tcPr>
          <w:p w:rsidR="00B31868" w:rsidRPr="00211D55" w:rsidRDefault="00B31868" w:rsidP="00086C3F">
            <w:pPr>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sz w:val="28"/>
                <w:szCs w:val="28"/>
                <w:rtl/>
                <w:lang w:bidi="ar-EG"/>
              </w:rPr>
              <w:t>النسبة المئوية للطلبات المناسبة التوقيت للحصول على مساعدة في مجالي السلامة والأمن خلال المؤتمرات أو التظاهرات التي تنظم في جنيف أو خارجها</w:t>
            </w:r>
          </w:p>
        </w:tc>
        <w:tc>
          <w:tcPr>
            <w:tcW w:w="2672" w:type="dxa"/>
            <w:tcBorders>
              <w:top w:val="nil"/>
              <w:left w:val="nil"/>
              <w:bottom w:val="single" w:sz="4" w:space="0" w:color="auto"/>
              <w:right w:val="nil"/>
            </w:tcBorders>
            <w:shd w:val="clear" w:color="auto" w:fill="auto"/>
            <w:tcMar>
              <w:top w:w="110" w:type="dxa"/>
            </w:tcMar>
          </w:tcPr>
          <w:p w:rsidR="00B31868" w:rsidRPr="00211D55" w:rsidRDefault="00B31868" w:rsidP="00086C3F">
            <w:pPr>
              <w:bidi/>
              <w:spacing w:before="60" w:after="60" w:line="280" w:lineRule="exact"/>
              <w:ind w:right="34"/>
              <w:rPr>
                <w:rFonts w:ascii="Arabic Typesetting" w:hAnsi="Arabic Typesetting" w:cs="Arabic Typesetting"/>
                <w:b/>
                <w:color w:val="002060"/>
                <w:sz w:val="28"/>
                <w:szCs w:val="28"/>
                <w:rtl/>
                <w:lang w:bidi="ar-EG"/>
              </w:rPr>
            </w:pPr>
            <w:r w:rsidRPr="00211D55">
              <w:rPr>
                <w:rFonts w:ascii="Arabic Typesetting" w:hAnsi="Arabic Typesetting" w:cs="Arabic Typesetting"/>
                <w:b/>
                <w:i/>
                <w:iCs/>
                <w:color w:val="002060"/>
                <w:sz w:val="28"/>
                <w:szCs w:val="28"/>
                <w:rtl/>
                <w:lang w:bidi="ar-EG"/>
              </w:rPr>
              <w:t>أسس المقارنة المحدّثة في نهاية 2013:</w:t>
            </w:r>
            <w:r w:rsidRPr="00211D55">
              <w:rPr>
                <w:rFonts w:ascii="Arabic Typesetting" w:hAnsi="Arabic Typesetting" w:cs="Arabic Typesetting"/>
                <w:b/>
                <w:color w:val="002060"/>
                <w:sz w:val="28"/>
                <w:szCs w:val="28"/>
                <w:rtl/>
                <w:lang w:bidi="ar-EG"/>
              </w:rPr>
              <w:t xml:space="preserve"> خلال الثنائية، أنجزت إجمالا سبع عمليات تدقيق لمؤتمرات/اجتماعات خارجية بمساعدة من المكاتب القطرية المعنية التابعة لإدارة الأمم المتحدة لشؤون السلامة والأمن وتبيّن امتثالها لجميع معايير الأمم المتحدة الخاصة بنظام إدارة السلامة/الأمن.</w:t>
            </w:r>
          </w:p>
          <w:p w:rsidR="00B31868" w:rsidRPr="00211D55" w:rsidRDefault="00B31868" w:rsidP="009A3712">
            <w:pPr>
              <w:numPr>
                <w:ilvl w:val="0"/>
                <w:numId w:val="22"/>
              </w:numPr>
              <w:bidi/>
              <w:spacing w:before="60" w:after="60" w:line="280" w:lineRule="exact"/>
              <w:ind w:right="34"/>
              <w:contextualSpacing/>
              <w:rPr>
                <w:rFonts w:ascii="Arabic Typesetting" w:hAnsi="Arabic Typesetting" w:cs="Arabic Typesetting"/>
                <w:b/>
                <w:color w:val="002060"/>
                <w:sz w:val="28"/>
                <w:szCs w:val="28"/>
                <w:lang w:bidi="ar-EG"/>
              </w:rPr>
            </w:pPr>
            <w:r w:rsidRPr="00211D55">
              <w:rPr>
                <w:rFonts w:ascii="Arabic Typesetting" w:hAnsi="Arabic Typesetting" w:cs="Arabic Typesetting"/>
                <w:b/>
                <w:color w:val="002060"/>
                <w:sz w:val="28"/>
                <w:szCs w:val="28"/>
                <w:rtl/>
                <w:lang w:bidi="ar-EG"/>
              </w:rPr>
              <w:t>ثلاثة (2012)</w:t>
            </w:r>
          </w:p>
          <w:p w:rsidR="00B31868" w:rsidRPr="00211D55" w:rsidRDefault="00B31868" w:rsidP="009A3712">
            <w:pPr>
              <w:numPr>
                <w:ilvl w:val="0"/>
                <w:numId w:val="22"/>
              </w:numPr>
              <w:bidi/>
              <w:spacing w:before="60" w:after="60" w:line="280" w:lineRule="exact"/>
              <w:ind w:right="34"/>
              <w:contextualSpacing/>
              <w:rPr>
                <w:rFonts w:ascii="Arabic Typesetting" w:hAnsi="Arabic Typesetting" w:cs="Arabic Typesetting"/>
                <w:b/>
                <w:color w:val="002060"/>
                <w:sz w:val="28"/>
                <w:szCs w:val="28"/>
                <w:rtl/>
                <w:lang w:bidi="ar-EG"/>
              </w:rPr>
            </w:pPr>
            <w:r w:rsidRPr="00211D55">
              <w:rPr>
                <w:rFonts w:ascii="Arabic Typesetting" w:hAnsi="Arabic Typesetting" w:cs="Arabic Typesetting"/>
                <w:b/>
                <w:color w:val="002060"/>
                <w:sz w:val="28"/>
                <w:szCs w:val="28"/>
                <w:rtl/>
                <w:lang w:bidi="ar-EG"/>
              </w:rPr>
              <w:t>أربعة (2013)</w:t>
            </w:r>
          </w:p>
          <w:p w:rsidR="00B31868" w:rsidRPr="00211D55" w:rsidRDefault="00B31868" w:rsidP="00086C3F">
            <w:pPr>
              <w:bidi/>
              <w:spacing w:before="60" w:after="60" w:line="280" w:lineRule="exact"/>
              <w:ind w:right="34"/>
              <w:rPr>
                <w:rFonts w:ascii="Arabic Typesetting" w:hAnsi="Arabic Typesetting" w:cs="Arabic Typesetting"/>
                <w:b/>
                <w:color w:val="002060"/>
                <w:sz w:val="28"/>
                <w:szCs w:val="28"/>
                <w:rtl/>
                <w:lang w:bidi="ar-EG"/>
              </w:rPr>
            </w:pPr>
            <w:r w:rsidRPr="00211D55">
              <w:rPr>
                <w:rFonts w:ascii="Arabic Typesetting" w:hAnsi="Arabic Typesetting" w:cs="Arabic Typesetting"/>
                <w:b/>
                <w:color w:val="002060"/>
                <w:sz w:val="28"/>
                <w:szCs w:val="28"/>
                <w:rtl/>
                <w:lang w:bidi="ar-EG"/>
              </w:rPr>
              <w:t xml:space="preserve">وإضافة إلى ذلك، أنجزت </w:t>
            </w:r>
            <w:r w:rsidR="003A5201" w:rsidRPr="00211D55">
              <w:rPr>
                <w:rFonts w:ascii="Arabic Typesetting" w:hAnsi="Arabic Typesetting" w:cs="Arabic Typesetting"/>
                <w:b/>
                <w:color w:val="002060"/>
                <w:sz w:val="28"/>
                <w:szCs w:val="28"/>
                <w:rtl/>
                <w:lang w:bidi="ar-EG"/>
              </w:rPr>
              <w:t xml:space="preserve">عمليتا </w:t>
            </w:r>
            <w:r w:rsidRPr="00211D55">
              <w:rPr>
                <w:rFonts w:ascii="Arabic Typesetting" w:hAnsi="Arabic Typesetting" w:cs="Arabic Typesetting"/>
                <w:b/>
                <w:color w:val="002060"/>
                <w:sz w:val="28"/>
                <w:szCs w:val="28"/>
                <w:rtl/>
                <w:lang w:bidi="ar-EG"/>
              </w:rPr>
              <w:t>تدقيق لتظاهرتين خارجيتين تولت الويبو إدارتهما</w:t>
            </w:r>
            <w:r w:rsidR="003A5201" w:rsidRPr="00211D55">
              <w:rPr>
                <w:rFonts w:ascii="Arabic Typesetting" w:hAnsi="Arabic Typesetting" w:cs="Arabic Typesetting"/>
                <w:b/>
                <w:color w:val="002060"/>
                <w:sz w:val="28"/>
                <w:szCs w:val="28"/>
                <w:rtl/>
                <w:lang w:bidi="ar-EG"/>
              </w:rPr>
              <w:t xml:space="preserve"> مباشرةً</w:t>
            </w:r>
            <w:r w:rsidRPr="00211D55">
              <w:rPr>
                <w:rFonts w:ascii="Arabic Typesetting" w:hAnsi="Arabic Typesetting" w:cs="Arabic Typesetting"/>
                <w:b/>
                <w:color w:val="002060"/>
                <w:sz w:val="28"/>
                <w:szCs w:val="28"/>
                <w:rtl/>
                <w:lang w:bidi="ar-EG"/>
              </w:rPr>
              <w:t>. (استجيب للطلبات بنسبة 100% في الوقت المناسب).</w:t>
            </w:r>
          </w:p>
          <w:p w:rsidR="00B31868" w:rsidRPr="00211D55" w:rsidRDefault="00B31868" w:rsidP="00086C3F">
            <w:pPr>
              <w:bidi/>
              <w:spacing w:before="60" w:after="60" w:line="280" w:lineRule="exact"/>
              <w:ind w:right="34"/>
              <w:rPr>
                <w:rFonts w:ascii="Arabic Typesetting" w:hAnsi="Arabic Typesetting" w:cs="Arabic Typesetting"/>
                <w:b/>
                <w:color w:val="002060"/>
                <w:sz w:val="28"/>
                <w:szCs w:val="28"/>
                <w:rtl/>
                <w:lang w:bidi="ar-EG"/>
              </w:rPr>
            </w:pPr>
            <w:r w:rsidRPr="00211D55">
              <w:rPr>
                <w:rFonts w:ascii="Arabic Typesetting" w:hAnsi="Arabic Typesetting" w:cs="Arabic Typesetting"/>
                <w:b/>
                <w:color w:val="002060"/>
                <w:sz w:val="28"/>
                <w:szCs w:val="28"/>
                <w:rtl/>
                <w:lang w:bidi="ar-EG"/>
              </w:rPr>
              <w:t>وفي عام 2012، اضطُلع بعمليتي تدقيق لمباني مكتبين خارجيين (سنغافورة وطوكيو).</w:t>
            </w:r>
          </w:p>
          <w:p w:rsidR="00B31868" w:rsidRPr="00211D55" w:rsidRDefault="00B31868" w:rsidP="00086C3F">
            <w:pPr>
              <w:bidi/>
              <w:spacing w:before="60" w:after="60" w:line="280" w:lineRule="exact"/>
              <w:ind w:right="34"/>
              <w:rPr>
                <w:rFonts w:ascii="Arabic Typesetting" w:hAnsi="Arabic Typesetting" w:cs="Arabic Typesetting"/>
                <w:b/>
                <w:i/>
                <w:iCs/>
                <w:sz w:val="28"/>
                <w:szCs w:val="28"/>
                <w:rtl/>
                <w:lang w:bidi="ar-EG"/>
              </w:rPr>
            </w:pPr>
            <w:r w:rsidRPr="00211D55">
              <w:rPr>
                <w:rFonts w:ascii="Arabic Typesetting" w:hAnsi="Arabic Typesetting" w:cs="Arabic Typesetting"/>
                <w:b/>
                <w:i/>
                <w:iCs/>
                <w:sz w:val="28"/>
                <w:szCs w:val="28"/>
                <w:rtl/>
                <w:lang w:bidi="ar-EG"/>
              </w:rPr>
              <w:t xml:space="preserve">أسس المقارنة الأصلية: برنامج وميزانية </w:t>
            </w:r>
            <w:r w:rsidR="00507DE2">
              <w:rPr>
                <w:rFonts w:ascii="Arabic Typesetting" w:hAnsi="Arabic Typesetting" w:cs="Arabic Typesetting"/>
                <w:b/>
                <w:i/>
                <w:iCs/>
                <w:sz w:val="28"/>
                <w:szCs w:val="28"/>
                <w:rtl/>
                <w:lang w:bidi="ar-EG"/>
              </w:rPr>
              <w:t>2014/15</w:t>
            </w:r>
            <w:r w:rsidRPr="00211D55">
              <w:rPr>
                <w:rFonts w:ascii="Arabic Typesetting" w:hAnsi="Arabic Typesetting" w:cs="Arabic Typesetting"/>
                <w:b/>
                <w:i/>
                <w:iCs/>
                <w:sz w:val="28"/>
                <w:szCs w:val="28"/>
                <w:rtl/>
                <w:lang w:bidi="ar-EG"/>
              </w:rPr>
              <w:t>:</w:t>
            </w:r>
            <w:r w:rsidRPr="00211D55">
              <w:rPr>
                <w:rFonts w:ascii="Arabic Typesetting" w:hAnsi="Arabic Typesetting" w:cs="Arabic Typesetting"/>
                <w:b/>
                <w:sz w:val="28"/>
                <w:szCs w:val="28"/>
                <w:rtl/>
                <w:lang w:bidi="ar-EG"/>
              </w:rPr>
              <w:t xml:space="preserve"> طلبات مناسبة التوقيت من 65% أو أكثر من إجمالي أصحاب المصلحة/الزبائن للحصول على مساعدة في مجالي السلامة والأمن خلال المؤتمرات أو التظاهرات التي تنظم في جنيف أو خارجها</w:t>
            </w:r>
          </w:p>
        </w:tc>
        <w:tc>
          <w:tcPr>
            <w:tcW w:w="1417" w:type="dxa"/>
            <w:tcBorders>
              <w:top w:val="nil"/>
              <w:left w:val="nil"/>
              <w:bottom w:val="single" w:sz="4" w:space="0" w:color="auto"/>
              <w:right w:val="nil"/>
            </w:tcBorders>
          </w:tcPr>
          <w:p w:rsidR="00B31868" w:rsidRPr="00211D55" w:rsidRDefault="00B31868" w:rsidP="00086C3F">
            <w:pPr>
              <w:keepNext/>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lang w:bidi="ar-EG"/>
              </w:rPr>
              <w:t>80% أو أكثر</w:t>
            </w:r>
          </w:p>
        </w:tc>
        <w:tc>
          <w:tcPr>
            <w:tcW w:w="2268" w:type="dxa"/>
            <w:tcBorders>
              <w:top w:val="nil"/>
              <w:left w:val="nil"/>
              <w:bottom w:val="single" w:sz="4" w:space="0" w:color="auto"/>
              <w:right w:val="nil"/>
            </w:tcBorders>
            <w:tcMar>
              <w:top w:w="110" w:type="dxa"/>
            </w:tcMar>
          </w:tcPr>
          <w:p w:rsidR="00B31868" w:rsidRPr="00211D55" w:rsidRDefault="00B31868" w:rsidP="00086C3F">
            <w:pPr>
              <w:keepNext/>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في عام</w:t>
            </w:r>
            <w:r w:rsidR="003A5201" w:rsidRPr="00211D55">
              <w:rPr>
                <w:rFonts w:ascii="Arabic Typesetting" w:hAnsi="Arabic Typesetting" w:cs="Arabic Typesetting"/>
                <w:sz w:val="28"/>
                <w:szCs w:val="28"/>
                <w:rtl/>
              </w:rPr>
              <w:t>ي</w:t>
            </w:r>
            <w:r w:rsidRPr="00211D55">
              <w:rPr>
                <w:rFonts w:ascii="Arabic Typesetting" w:hAnsi="Arabic Typesetting" w:cs="Arabic Typesetting"/>
                <w:sz w:val="28"/>
                <w:szCs w:val="28"/>
                <w:rtl/>
              </w:rPr>
              <w:t xml:space="preserve"> 2014</w:t>
            </w:r>
            <w:r w:rsidR="003A5201" w:rsidRPr="00211D55">
              <w:rPr>
                <w:rFonts w:ascii="Arabic Typesetting" w:hAnsi="Arabic Typesetting" w:cs="Arabic Typesetting"/>
                <w:sz w:val="28"/>
                <w:szCs w:val="28"/>
                <w:rtl/>
              </w:rPr>
              <w:t xml:space="preserve"> و2015</w:t>
            </w:r>
            <w:r w:rsidRPr="00211D55">
              <w:rPr>
                <w:rFonts w:ascii="Arabic Typesetting" w:hAnsi="Arabic Typesetting" w:cs="Arabic Typesetting"/>
                <w:sz w:val="28"/>
                <w:szCs w:val="28"/>
                <w:rtl/>
              </w:rPr>
              <w:t xml:space="preserve">، استجيب لجميع (100%) طلبات الحصول على مساعدة </w:t>
            </w:r>
            <w:r w:rsidR="003A5201" w:rsidRPr="00211D55">
              <w:rPr>
                <w:rFonts w:ascii="Arabic Typesetting" w:hAnsi="Arabic Typesetting" w:cs="Arabic Typesetting"/>
                <w:sz w:val="28"/>
                <w:szCs w:val="28"/>
                <w:rtl/>
              </w:rPr>
              <w:t xml:space="preserve">في مجال السلامة والأمن </w:t>
            </w:r>
            <w:r w:rsidRPr="00211D55">
              <w:rPr>
                <w:rFonts w:ascii="Arabic Typesetting" w:hAnsi="Arabic Typesetting" w:cs="Arabic Typesetting"/>
                <w:sz w:val="28"/>
                <w:szCs w:val="28"/>
                <w:rtl/>
              </w:rPr>
              <w:t>لأغراض الاجتماعات والتظاهرات المعقودة في جنيف</w:t>
            </w:r>
            <w:r w:rsidR="003A5201" w:rsidRPr="00211D55">
              <w:rPr>
                <w:rFonts w:ascii="Arabic Typesetting" w:hAnsi="Arabic Typesetting" w:cs="Arabic Typesetting"/>
                <w:sz w:val="28"/>
                <w:szCs w:val="28"/>
                <w:rtl/>
              </w:rPr>
              <w:t xml:space="preserve"> وخارجها.</w:t>
            </w:r>
          </w:p>
          <w:p w:rsidR="00B31868" w:rsidRPr="00211D55" w:rsidRDefault="00B31868" w:rsidP="00086C3F">
            <w:pPr>
              <w:keepNext/>
              <w:bidi/>
              <w:spacing w:before="60" w:after="60" w:line="280" w:lineRule="exact"/>
              <w:rPr>
                <w:rFonts w:ascii="Arabic Typesetting" w:hAnsi="Arabic Typesetting" w:cs="Arabic Typesetting"/>
                <w:sz w:val="28"/>
                <w:szCs w:val="28"/>
                <w:rtl/>
              </w:rPr>
            </w:pPr>
          </w:p>
          <w:p w:rsidR="00B31868" w:rsidRPr="00211D55" w:rsidRDefault="00B31868" w:rsidP="00086C3F">
            <w:pPr>
              <w:keepNext/>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وفي </w:t>
            </w:r>
            <w:r w:rsidR="00507DE2">
              <w:rPr>
                <w:rFonts w:ascii="Arabic Typesetting" w:hAnsi="Arabic Typesetting" w:cs="Arabic Typesetting"/>
                <w:sz w:val="28"/>
                <w:szCs w:val="28"/>
                <w:rtl/>
              </w:rPr>
              <w:t>2014/15</w:t>
            </w:r>
            <w:r w:rsidRPr="00211D55">
              <w:rPr>
                <w:rFonts w:ascii="Arabic Typesetting" w:hAnsi="Arabic Typesetting" w:cs="Arabic Typesetting"/>
                <w:sz w:val="28"/>
                <w:szCs w:val="28"/>
                <w:rtl/>
              </w:rPr>
              <w:t xml:space="preserve">، </w:t>
            </w:r>
            <w:r w:rsidR="003A5201" w:rsidRPr="00211D55">
              <w:rPr>
                <w:rFonts w:ascii="Arabic Typesetting" w:hAnsi="Arabic Typesetting" w:cs="Arabic Typesetting"/>
                <w:sz w:val="28"/>
                <w:szCs w:val="28"/>
                <w:rtl/>
              </w:rPr>
              <w:t xml:space="preserve">استكملت </w:t>
            </w:r>
            <w:r w:rsidRPr="00211D55">
              <w:rPr>
                <w:rFonts w:ascii="Arabic Typesetting" w:hAnsi="Arabic Typesetting" w:cs="Arabic Typesetting"/>
                <w:sz w:val="28"/>
                <w:szCs w:val="28"/>
                <w:rtl/>
              </w:rPr>
              <w:t>عمليت</w:t>
            </w:r>
            <w:r w:rsidR="003A5201" w:rsidRPr="00211D55">
              <w:rPr>
                <w:rFonts w:ascii="Arabic Typesetting" w:hAnsi="Arabic Typesetting" w:cs="Arabic Typesetting"/>
                <w:sz w:val="28"/>
                <w:szCs w:val="28"/>
                <w:rtl/>
              </w:rPr>
              <w:t>ا</w:t>
            </w:r>
            <w:r w:rsidRPr="00211D55">
              <w:rPr>
                <w:rFonts w:ascii="Arabic Typesetting" w:hAnsi="Arabic Typesetting" w:cs="Arabic Typesetting"/>
                <w:sz w:val="28"/>
                <w:szCs w:val="28"/>
                <w:rtl/>
              </w:rPr>
              <w:t xml:space="preserve"> تدقيق لتقييم درجة السلامة والأمن في</w:t>
            </w:r>
            <w:r w:rsidR="003A5201" w:rsidRPr="00211D55">
              <w:rPr>
                <w:rFonts w:ascii="Arabic Typesetting" w:hAnsi="Arabic Typesetting" w:cs="Arabic Typesetting"/>
                <w:sz w:val="28"/>
                <w:szCs w:val="28"/>
                <w:rtl/>
              </w:rPr>
              <w:t xml:space="preserve"> كل المكاتب الخارجية للويبو مع إغلاق أكثر من 90 بالمئة من التوصيات المنبثقة عن عمليات التدقيق بحلول نهاية الثنائية.</w:t>
            </w:r>
          </w:p>
        </w:tc>
        <w:tc>
          <w:tcPr>
            <w:tcW w:w="864" w:type="dxa"/>
            <w:tcBorders>
              <w:top w:val="nil"/>
              <w:left w:val="nil"/>
              <w:bottom w:val="single" w:sz="4" w:space="0" w:color="auto"/>
            </w:tcBorders>
            <w:tcMar>
              <w:top w:w="110" w:type="dxa"/>
            </w:tcMar>
          </w:tcPr>
          <w:p w:rsidR="00B31868" w:rsidRPr="00211D55" w:rsidRDefault="003A5201" w:rsidP="00086C3F">
            <w:pPr>
              <w:keepNext/>
              <w:bidi/>
              <w:spacing w:before="60" w:after="60" w:line="280" w:lineRule="exact"/>
              <w:jc w:val="center"/>
              <w:rPr>
                <w:rFonts w:ascii="Arabic Typesetting" w:hAnsi="Arabic Typesetting" w:cs="Arabic Typesetting"/>
                <w:b/>
                <w:bCs/>
                <w:color w:val="008000"/>
                <w:sz w:val="28"/>
                <w:szCs w:val="28"/>
                <w:rtl/>
                <w:lang w:bidi="ar-EG"/>
              </w:rPr>
            </w:pPr>
            <w:r w:rsidRPr="00211D55">
              <w:rPr>
                <w:rFonts w:ascii="Arabic Typesetting" w:hAnsi="Arabic Typesetting" w:cs="Arabic Typesetting"/>
                <w:b/>
                <w:bCs/>
                <w:color w:val="008000"/>
                <w:sz w:val="28"/>
                <w:szCs w:val="28"/>
                <w:rtl/>
                <w:lang w:bidi="ar-EG"/>
              </w:rPr>
              <w:t>محقق كلياً</w:t>
            </w:r>
          </w:p>
        </w:tc>
      </w:tr>
    </w:tbl>
    <w:p w:rsidR="003A5201" w:rsidRPr="00820425" w:rsidRDefault="00B264F9" w:rsidP="00B264F9">
      <w:pPr>
        <w:keepNext/>
        <w:bidi/>
        <w:spacing w:before="120" w:after="120" w:line="340" w:lineRule="exact"/>
        <w:rPr>
          <w:rFonts w:ascii="Arabic Typesetting" w:hAnsi="Arabic Typesetting" w:cs="Arabic Typesetting"/>
          <w:sz w:val="36"/>
          <w:szCs w:val="36"/>
          <w:rtl/>
          <w:lang w:bidi="ar-EG"/>
        </w:rPr>
      </w:pPr>
      <w:r w:rsidRPr="00B264F9">
        <w:rPr>
          <w:rFonts w:ascii="Arabic Typesetting" w:hAnsi="Arabic Typesetting" w:cs="Arabic Typesetting" w:hint="cs"/>
          <w:sz w:val="34"/>
          <w:szCs w:val="34"/>
          <w:rtl/>
          <w:lang w:bidi="ar-EG"/>
        </w:rPr>
        <w:lastRenderedPageBreak/>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3A5201" w:rsidRPr="00211D55" w:rsidTr="00E4700C">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3A5201" w:rsidRPr="00211D55" w:rsidRDefault="003A520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3A5201" w:rsidRPr="00211D55" w:rsidRDefault="003A520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3A5201" w:rsidRPr="00211D55" w:rsidRDefault="003A520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3A5201"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3A5201" w:rsidRPr="00211D55" w:rsidTr="00E4700C">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3A5201" w:rsidRPr="003B526C" w:rsidRDefault="003A5201"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قد تؤدي أنظمة الأمن المادية والأدوات الحالية القديمة التي عفا عليها الزمن في المباني القائمة إلى حوادث تتعلق بالسلامة والأمن إذا لم تستبدل</w:t>
            </w:r>
            <w:r w:rsidR="00CA70C3" w:rsidRPr="00211D55">
              <w:rPr>
                <w:rFonts w:ascii="Arabic Typesetting" w:hAnsi="Arabic Typesetting" w:cs="Arabic Typesetting" w:hint="cs"/>
                <w:sz w:val="28"/>
                <w:szCs w:val="28"/>
                <w:rtl/>
              </w:rPr>
              <w:t>.</w:t>
            </w:r>
          </w:p>
        </w:tc>
        <w:tc>
          <w:tcPr>
            <w:tcW w:w="2200" w:type="dxa"/>
            <w:tcBorders>
              <w:top w:val="single" w:sz="4" w:space="0" w:color="auto"/>
              <w:bottom w:val="single" w:sz="4" w:space="0" w:color="auto"/>
            </w:tcBorders>
            <w:shd w:val="clear" w:color="auto" w:fill="auto"/>
            <w:tcMar>
              <w:top w:w="113" w:type="dxa"/>
              <w:bottom w:w="113" w:type="dxa"/>
            </w:tcMar>
          </w:tcPr>
          <w:p w:rsidR="003A5201" w:rsidRPr="00211D55" w:rsidRDefault="003A5201"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من خلال مشروع تطوير المباني القائمة </w:t>
            </w:r>
            <w:r w:rsidR="00CA70C3" w:rsidRPr="00211D55">
              <w:rPr>
                <w:rFonts w:ascii="Arabic Typesetting" w:hAnsi="Arabic Typesetting" w:cs="Arabic Typesetting" w:hint="cs"/>
                <w:sz w:val="28"/>
                <w:szCs w:val="28"/>
                <w:rtl/>
              </w:rPr>
              <w:t>(</w:t>
            </w:r>
            <w:r w:rsidR="00507DE2">
              <w:rPr>
                <w:rFonts w:ascii="Arabic Typesetting" w:hAnsi="Arabic Typesetting" w:cs="Arabic Typesetting" w:hint="cs"/>
                <w:sz w:val="28"/>
                <w:szCs w:val="28"/>
                <w:rtl/>
              </w:rPr>
              <w:t>2012/13</w:t>
            </w:r>
            <w:r w:rsidR="00CA70C3" w:rsidRPr="00211D55">
              <w:rPr>
                <w:rFonts w:ascii="Arabic Typesetting" w:hAnsi="Arabic Typesetting" w:cs="Arabic Typesetting" w:hint="cs"/>
                <w:sz w:val="28"/>
                <w:szCs w:val="28"/>
                <w:rtl/>
              </w:rPr>
              <w:t>)</w:t>
            </w:r>
            <w:r w:rsidRPr="00211D55">
              <w:rPr>
                <w:rFonts w:ascii="Arabic Typesetting" w:hAnsi="Arabic Typesetting" w:cs="Arabic Typesetting"/>
                <w:sz w:val="28"/>
                <w:szCs w:val="28"/>
                <w:rtl/>
              </w:rPr>
              <w:t xml:space="preserve">، </w:t>
            </w:r>
            <w:r w:rsidR="00FF1820" w:rsidRPr="00211D55">
              <w:rPr>
                <w:rFonts w:ascii="Arabic Typesetting" w:hAnsi="Arabic Typesetting" w:cs="Arabic Typesetting" w:hint="cs"/>
                <w:sz w:val="28"/>
                <w:szCs w:val="28"/>
                <w:rtl/>
              </w:rPr>
              <w:t>سيُستغنى</w:t>
            </w:r>
            <w:r w:rsidR="00CA70C3" w:rsidRPr="00211D55">
              <w:rPr>
                <w:rFonts w:ascii="Arabic Typesetting" w:hAnsi="Arabic Typesetting" w:cs="Arabic Typesetting"/>
                <w:sz w:val="28"/>
                <w:szCs w:val="28"/>
                <w:rtl/>
              </w:rPr>
              <w:t xml:space="preserve"> تدريجي</w:t>
            </w:r>
            <w:r w:rsidRPr="00211D55">
              <w:rPr>
                <w:rFonts w:ascii="Arabic Typesetting" w:hAnsi="Arabic Typesetting" w:cs="Arabic Typesetting"/>
                <w:sz w:val="28"/>
                <w:szCs w:val="28"/>
                <w:rtl/>
              </w:rPr>
              <w:t>ا</w:t>
            </w:r>
            <w:r w:rsidR="00CA70C3" w:rsidRPr="00211D55">
              <w:rPr>
                <w:rFonts w:ascii="Arabic Typesetting" w:hAnsi="Arabic Typesetting" w:cs="Arabic Typesetting" w:hint="cs"/>
                <w:sz w:val="28"/>
                <w:szCs w:val="28"/>
                <w:rtl/>
              </w:rPr>
              <w:t>ً</w:t>
            </w:r>
            <w:r w:rsidRPr="00211D55">
              <w:rPr>
                <w:rFonts w:ascii="Arabic Typesetting" w:hAnsi="Arabic Typesetting" w:cs="Arabic Typesetting"/>
                <w:sz w:val="28"/>
                <w:szCs w:val="28"/>
                <w:rtl/>
              </w:rPr>
              <w:t xml:space="preserve"> عن الأنظمة والأدوات الحالية. ومن المقرر إجراء التطوير بداية من </w:t>
            </w:r>
            <w:r w:rsidR="00507DE2">
              <w:rPr>
                <w:rFonts w:ascii="Arabic Typesetting" w:hAnsi="Arabic Typesetting" w:cs="Arabic Typesetting" w:hint="cs"/>
                <w:sz w:val="28"/>
                <w:szCs w:val="28"/>
                <w:rtl/>
              </w:rPr>
              <w:t>2014/15</w:t>
            </w:r>
            <w:r w:rsidR="00CA70C3" w:rsidRPr="00211D55">
              <w:rPr>
                <w:rFonts w:ascii="Arabic Typesetting" w:hAnsi="Arabic Typesetting" w:cs="Arabic Typesetting" w:hint="cs"/>
                <w:sz w:val="28"/>
                <w:szCs w:val="28"/>
                <w:rtl/>
              </w:rPr>
              <w:t>.</w:t>
            </w:r>
          </w:p>
        </w:tc>
        <w:tc>
          <w:tcPr>
            <w:tcW w:w="2310" w:type="dxa"/>
            <w:tcBorders>
              <w:top w:val="single" w:sz="4" w:space="0" w:color="auto"/>
              <w:bottom w:val="single" w:sz="4" w:space="0" w:color="auto"/>
            </w:tcBorders>
          </w:tcPr>
          <w:p w:rsidR="003A5201" w:rsidRPr="003B526C" w:rsidRDefault="00CA70C3" w:rsidP="003B526C">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hint="cs"/>
                <w:sz w:val="28"/>
                <w:szCs w:val="28"/>
                <w:rtl/>
              </w:rPr>
              <w:t xml:space="preserve">شهدت الأخطار والمخاطر العالمية والإقليمية والمحلية تطوراً بحلول نهاية عام 2015. ولكن أدى الانتهاء من تحديث مشروع </w:t>
            </w:r>
            <w:r w:rsidRPr="003B526C">
              <w:rPr>
                <w:rFonts w:ascii="Arabic Typesetting" w:hAnsi="Arabic Typesetting" w:cs="Arabic Typesetting"/>
                <w:sz w:val="28"/>
                <w:szCs w:val="28"/>
                <w:rtl/>
              </w:rPr>
              <w:t>معايير الأمن التشغيلي الدنيا في المقار (</w:t>
            </w:r>
            <w:r w:rsidRPr="003B526C">
              <w:rPr>
                <w:rFonts w:ascii="Arabic Typesetting" w:hAnsi="Arabic Typesetting" w:cs="Arabic Typesetting"/>
                <w:sz w:val="28"/>
                <w:szCs w:val="28"/>
              </w:rPr>
              <w:t>H</w:t>
            </w:r>
            <w:r w:rsidRPr="003B526C">
              <w:rPr>
                <w:rFonts w:ascii="Arabic Typesetting" w:hAnsi="Arabic Typesetting" w:cs="Arabic Typesetting"/>
                <w:sz w:val="28"/>
                <w:szCs w:val="28"/>
              </w:rPr>
              <w:noBreakHyphen/>
              <w:t>MOSS</w:t>
            </w:r>
            <w:r w:rsidRPr="003B526C">
              <w:rPr>
                <w:rFonts w:ascii="Arabic Typesetting" w:hAnsi="Arabic Typesetting" w:cs="Arabic Typesetting"/>
                <w:sz w:val="28"/>
                <w:szCs w:val="28"/>
                <w:rtl/>
              </w:rPr>
              <w:t>)</w:t>
            </w:r>
            <w:r w:rsidRPr="003B526C">
              <w:rPr>
                <w:rFonts w:ascii="Arabic Typesetting" w:hAnsi="Arabic Typesetting" w:cs="Arabic Typesetting" w:hint="cs"/>
                <w:sz w:val="28"/>
                <w:szCs w:val="28"/>
                <w:rtl/>
              </w:rPr>
              <w:t xml:space="preserve"> وتنفيذ عدة أنظمة سلامة وأمن إلى الحفاظ على المخاطر في مستويات مقبولة.</w:t>
            </w:r>
          </w:p>
        </w:tc>
        <w:tc>
          <w:tcPr>
            <w:tcW w:w="2306" w:type="dxa"/>
            <w:tcBorders>
              <w:top w:val="single" w:sz="4" w:space="0" w:color="auto"/>
              <w:bottom w:val="single" w:sz="4" w:space="0" w:color="auto"/>
              <w:right w:val="single" w:sz="4" w:space="0" w:color="auto"/>
            </w:tcBorders>
          </w:tcPr>
          <w:p w:rsidR="003A5201" w:rsidRPr="003B526C" w:rsidRDefault="00CA70C3" w:rsidP="002F200B">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hint="cs"/>
                <w:sz w:val="28"/>
                <w:szCs w:val="28"/>
                <w:rtl/>
              </w:rPr>
              <w:t xml:space="preserve">اضطلع </w:t>
            </w:r>
            <w:r w:rsidRPr="003B526C">
              <w:rPr>
                <w:rFonts w:ascii="Arabic Typesetting" w:hAnsi="Arabic Typesetting" w:cs="Arabic Typesetting"/>
                <w:sz w:val="28"/>
                <w:szCs w:val="28"/>
                <w:rtl/>
              </w:rPr>
              <w:t>قسم تنسيق شؤون السلامة والأمن</w:t>
            </w:r>
            <w:r w:rsidRPr="003B526C">
              <w:rPr>
                <w:rFonts w:ascii="Arabic Typesetting" w:hAnsi="Arabic Typesetting" w:cs="Arabic Typesetting" w:hint="cs"/>
                <w:sz w:val="28"/>
                <w:szCs w:val="28"/>
                <w:rtl/>
              </w:rPr>
              <w:t xml:space="preserve"> في عامي 2014 و2015 بخطط عمل وأنشطة سجل المخاطر عالجت تأثير المخاطر خلال الفترة المشمولة بالتقرير على النحو الواجب. </w:t>
            </w:r>
            <w:r w:rsidR="002F200B" w:rsidRPr="003B526C">
              <w:rPr>
                <w:rFonts w:ascii="Arabic Typesetting" w:hAnsi="Arabic Typesetting" w:cs="Arabic Typesetting" w:hint="cs"/>
                <w:sz w:val="28"/>
                <w:szCs w:val="28"/>
                <w:rtl/>
              </w:rPr>
              <w:t xml:space="preserve">لم يؤثر هذا الخطر </w:t>
            </w:r>
            <w:r w:rsidR="002F200B">
              <w:rPr>
                <w:rFonts w:ascii="Arabic Typesetting" w:hAnsi="Arabic Typesetting" w:cs="Arabic Typesetting" w:hint="cs"/>
                <w:sz w:val="28"/>
                <w:szCs w:val="28"/>
                <w:rtl/>
              </w:rPr>
              <w:t>تأثيراً مادياً</w:t>
            </w:r>
            <w:r w:rsidR="002F200B" w:rsidRPr="003B526C">
              <w:rPr>
                <w:rFonts w:ascii="Arabic Typesetting" w:hAnsi="Arabic Typesetting" w:cs="Arabic Typesetting" w:hint="cs"/>
                <w:sz w:val="28"/>
                <w:szCs w:val="28"/>
                <w:rtl/>
              </w:rPr>
              <w:t xml:space="preserve"> في أداء البرنامج</w:t>
            </w:r>
            <w:r w:rsidR="002F200B">
              <w:rPr>
                <w:rFonts w:ascii="Arabic Typesetting" w:hAnsi="Arabic Typesetting" w:cs="Arabic Typesetting" w:hint="cs"/>
                <w:sz w:val="28"/>
                <w:szCs w:val="28"/>
                <w:rtl/>
              </w:rPr>
              <w:t>.</w:t>
            </w:r>
          </w:p>
        </w:tc>
      </w:tr>
    </w:tbl>
    <w:p w:rsidR="00B264F9" w:rsidRPr="00B264F9" w:rsidRDefault="00B264F9" w:rsidP="00B264F9">
      <w:pPr>
        <w:keepNext/>
        <w:bidi/>
        <w:spacing w:before="120" w:after="120" w:line="340" w:lineRule="exact"/>
        <w:rPr>
          <w:rFonts w:ascii="Arabic Typesetting" w:hAnsi="Arabic Typesetting" w:cs="Arabic Typesetting"/>
          <w:sz w:val="34"/>
          <w:szCs w:val="34"/>
          <w:rtl/>
          <w:lang w:bidi="ar-EG"/>
        </w:rPr>
      </w:pPr>
      <w:r w:rsidRPr="00B264F9">
        <w:rPr>
          <w:rFonts w:ascii="Arabic Typesetting" w:hAnsi="Arabic Typesetting" w:cs="Arabic Typesetting" w:hint="cs"/>
          <w:sz w:val="34"/>
          <w:szCs w:val="34"/>
          <w:rtl/>
          <w:lang w:bidi="ar-EG"/>
        </w:rPr>
        <w:t>استخدام الموارد</w:t>
      </w:r>
    </w:p>
    <w:p w:rsidR="00B31868" w:rsidRPr="00B31868" w:rsidRDefault="00774E37" w:rsidP="00252762">
      <w:pPr>
        <w:keepNext/>
        <w:bidi/>
        <w:spacing w:line="340" w:lineRule="exact"/>
        <w:jc w:val="center"/>
        <w:rPr>
          <w:rFonts w:ascii="Arabic Typesetting" w:hAnsi="Arabic Typesetting" w:cs="Arabic Typesetting"/>
          <w:sz w:val="34"/>
          <w:szCs w:val="34"/>
          <w:rtl/>
          <w:lang w:bidi="ar-EG"/>
        </w:rPr>
      </w:pPr>
      <w:r w:rsidRPr="00774E37">
        <w:rPr>
          <w:rFonts w:ascii="Arabic Typesetting" w:hAnsi="Arabic Typesetting" w:cs="Arabic Typesetting" w:hint="cs"/>
          <w:sz w:val="34"/>
          <w:szCs w:val="34"/>
          <w:rtl/>
          <w:lang w:val="en-CA" w:bidi="ar-LB"/>
        </w:rPr>
        <w:t>الميزانية والنفقات الفعلية (بحسب النتائج)</w:t>
      </w:r>
    </w:p>
    <w:p w:rsidR="00B31868" w:rsidRPr="00B31868" w:rsidRDefault="00B31868" w:rsidP="00086C3F">
      <w:pPr>
        <w:keepNext/>
        <w:bidi/>
        <w:spacing w:after="120" w:line="340" w:lineRule="exact"/>
        <w:jc w:val="center"/>
        <w:rPr>
          <w:rFonts w:ascii="Arabic Typesetting" w:hAnsi="Arabic Typesetting" w:cs="Arabic Typesetting"/>
          <w:i/>
          <w:iCs/>
          <w:sz w:val="34"/>
          <w:szCs w:val="34"/>
          <w:rtl/>
          <w:lang w:bidi="ar-EG"/>
        </w:rPr>
      </w:pPr>
      <w:r w:rsidRPr="00B31868">
        <w:rPr>
          <w:rFonts w:ascii="Arabic Typesetting" w:hAnsi="Arabic Typesetting" w:cs="Arabic Typesetting" w:hint="cs"/>
          <w:i/>
          <w:iCs/>
          <w:sz w:val="34"/>
          <w:szCs w:val="34"/>
          <w:rtl/>
          <w:lang w:bidi="ar-EG"/>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CA70C3" w:rsidRPr="00211D55" w:rsidTr="00E4700C">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CA70C3" w:rsidRPr="00211D55" w:rsidRDefault="00CA70C3"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CA70C3" w:rsidRPr="00211D55" w:rsidRDefault="00CA70C3"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CA70C3" w:rsidRPr="00211D55" w:rsidRDefault="00CA70C3"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CA70C3" w:rsidRPr="00211D55" w:rsidRDefault="00CA70C3"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CA70C3" w:rsidRPr="00211D55" w:rsidTr="00E4700C">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CA70C3" w:rsidRPr="00211D55" w:rsidRDefault="00CA70C3"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ھ4.9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CA70C3" w:rsidRPr="00211D55" w:rsidRDefault="003F15BC" w:rsidP="00086C3F">
            <w:pPr>
              <w:bidi/>
              <w:rPr>
                <w:rFonts w:ascii="Arabic Typesetting" w:hAnsi="Arabic Typesetting" w:cs="Arabic Typesetting"/>
                <w:sz w:val="28"/>
                <w:szCs w:val="28"/>
              </w:rPr>
            </w:pPr>
            <w:r>
              <w:rPr>
                <w:rFonts w:ascii="Arabic Typesetting" w:hAnsi="Arabic Typesetting" w:cs="Arabic Typesetting"/>
                <w:sz w:val="28"/>
                <w:szCs w:val="28"/>
                <w:rtl/>
              </w:rPr>
              <w:t>منظمة ذات مسؤولية بيئية واجتماعية تكفل سلامة وأمن موظفي الويبو والمندوبين والزائرين والممتلكات المادية والمعلومات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A70C3" w:rsidRPr="00211D55" w:rsidRDefault="00CA70C3" w:rsidP="00086C3F">
            <w:pPr>
              <w:rPr>
                <w:rFonts w:ascii="Arabic Typesetting" w:hAnsi="Arabic Typesetting" w:cs="Arabic Typesetting"/>
                <w:sz w:val="28"/>
                <w:szCs w:val="28"/>
              </w:rPr>
            </w:pPr>
            <w:r w:rsidRPr="00211D55">
              <w:rPr>
                <w:rFonts w:ascii="Arabic Typesetting" w:hAnsi="Arabic Typesetting" w:cs="Arabic Typesetting"/>
                <w:sz w:val="28"/>
                <w:szCs w:val="28"/>
              </w:rPr>
              <w:t>10,786</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CA70C3" w:rsidRPr="00211D55" w:rsidRDefault="00CA70C3" w:rsidP="00086C3F">
            <w:pPr>
              <w:rPr>
                <w:rFonts w:ascii="Arabic Typesetting" w:hAnsi="Arabic Typesetting" w:cs="Arabic Typesetting"/>
                <w:sz w:val="28"/>
                <w:szCs w:val="28"/>
              </w:rPr>
            </w:pPr>
            <w:r w:rsidRPr="00211D55">
              <w:rPr>
                <w:rFonts w:ascii="Arabic Typesetting" w:hAnsi="Arabic Typesetting" w:cs="Arabic Typesetting"/>
                <w:sz w:val="28"/>
                <w:szCs w:val="28"/>
              </w:rPr>
              <w:t>11,604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CA70C3" w:rsidRPr="00211D55" w:rsidRDefault="00CA70C3" w:rsidP="00086C3F">
            <w:pPr>
              <w:rPr>
                <w:rFonts w:ascii="Arabic Typesetting" w:hAnsi="Arabic Typesetting" w:cs="Arabic Typesetting"/>
                <w:sz w:val="28"/>
                <w:szCs w:val="28"/>
              </w:rPr>
            </w:pPr>
            <w:r w:rsidRPr="00211D55">
              <w:rPr>
                <w:rFonts w:ascii="Arabic Typesetting" w:hAnsi="Arabic Typesetting" w:cs="Arabic Typesetting"/>
                <w:sz w:val="28"/>
                <w:szCs w:val="28"/>
              </w:rPr>
              <w:t>11,272</w:t>
            </w:r>
          </w:p>
        </w:tc>
      </w:tr>
      <w:tr w:rsidR="00CA70C3" w:rsidRPr="00211D55" w:rsidTr="008A6D4E">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CA70C3" w:rsidRPr="00211D55" w:rsidRDefault="00CA70C3"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CA70C3" w:rsidRPr="00211D55" w:rsidRDefault="00CA70C3"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CA70C3" w:rsidRPr="00211D55" w:rsidRDefault="00CA70C3"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10,786</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CA70C3" w:rsidRPr="00211D55" w:rsidRDefault="00CA70C3"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11,604</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center"/>
          </w:tcPr>
          <w:p w:rsidR="00CA70C3" w:rsidRPr="00211D55" w:rsidRDefault="00CA70C3"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11,272</w:t>
            </w:r>
          </w:p>
        </w:tc>
      </w:tr>
    </w:tbl>
    <w:p w:rsidR="00B31868" w:rsidRPr="00B31868" w:rsidRDefault="00774E37" w:rsidP="00252762">
      <w:pPr>
        <w:keepNext/>
        <w:bidi/>
        <w:spacing w:before="240" w:line="340" w:lineRule="exact"/>
        <w:jc w:val="center"/>
        <w:rPr>
          <w:rFonts w:ascii="Arabic Typesetting" w:hAnsi="Arabic Typesetting" w:cs="Arabic Typesetting"/>
          <w:sz w:val="34"/>
          <w:szCs w:val="34"/>
          <w:rtl/>
          <w:lang w:val="en-CA" w:bidi="ar-LB"/>
        </w:rPr>
      </w:pPr>
      <w:r w:rsidRPr="00774E37">
        <w:rPr>
          <w:rFonts w:ascii="Arabic Typesetting" w:hAnsi="Arabic Typesetting" w:cs="Arabic Typesetting" w:hint="cs"/>
          <w:sz w:val="34"/>
          <w:szCs w:val="34"/>
          <w:rtl/>
          <w:lang w:val="en-CA" w:bidi="ar-LB"/>
        </w:rPr>
        <w:t>الميزانية والنفقات الفعلية (موارد الموظفين وخلاف موارد الموظفين)</w:t>
      </w:r>
    </w:p>
    <w:p w:rsidR="00B31868" w:rsidRPr="00B31868" w:rsidRDefault="00B31868" w:rsidP="00086C3F">
      <w:pPr>
        <w:keepNext/>
        <w:bidi/>
        <w:spacing w:after="120" w:line="340" w:lineRule="exact"/>
        <w:jc w:val="center"/>
        <w:rPr>
          <w:rFonts w:ascii="Arabic Typesetting" w:hAnsi="Arabic Typesetting" w:cs="Arabic Typesetting"/>
          <w:i/>
          <w:iCs/>
          <w:sz w:val="34"/>
          <w:szCs w:val="34"/>
          <w:rtl/>
          <w:lang w:bidi="ar-EG"/>
        </w:rPr>
      </w:pPr>
      <w:r w:rsidRPr="00B31868">
        <w:rPr>
          <w:rFonts w:ascii="Arabic Typesetting" w:hAnsi="Arabic Typesetting" w:cs="Arabic Typesetting" w:hint="cs"/>
          <w:i/>
          <w:iCs/>
          <w:sz w:val="34"/>
          <w:szCs w:val="34"/>
          <w:rtl/>
          <w:lang w:bidi="ar-EG"/>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CA70C3" w:rsidRPr="00211D55" w:rsidTr="00CA70C3">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CA70C3" w:rsidRPr="00211D55" w:rsidRDefault="00CA70C3"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A70C3" w:rsidRPr="00211D55" w:rsidRDefault="00CA70C3"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A70C3" w:rsidRPr="00211D55" w:rsidRDefault="00CA70C3"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A70C3" w:rsidRPr="00211D55" w:rsidRDefault="00CA70C3"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CA70C3"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CA70C3" w:rsidRPr="00211D55">
              <w:rPr>
                <w:rFonts w:ascii="Arabic Typesetting" w:hAnsi="Arabic Typesetting" w:cs="Arabic Typesetting"/>
                <w:b/>
                <w:bCs/>
                <w:i/>
                <w:iCs/>
                <w:sz w:val="28"/>
                <w:szCs w:val="28"/>
                <w:rtl/>
              </w:rPr>
              <w:t xml:space="preserve"> (%)</w:t>
            </w:r>
          </w:p>
        </w:tc>
      </w:tr>
      <w:tr w:rsidR="00CA70C3" w:rsidRPr="00211D55" w:rsidTr="00CA70C3">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A70C3" w:rsidRPr="00211D55" w:rsidRDefault="00CA70C3"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2,351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2,632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2,531</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96%</w:t>
            </w:r>
          </w:p>
        </w:tc>
      </w:tr>
      <w:tr w:rsidR="00CA70C3" w:rsidRPr="00211D55" w:rsidTr="00CA70C3">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A70C3" w:rsidRPr="00211D55" w:rsidRDefault="00CA70C3"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8,435</w:t>
            </w:r>
          </w:p>
        </w:tc>
        <w:tc>
          <w:tcPr>
            <w:tcW w:w="970" w:type="pct"/>
            <w:tcBorders>
              <w:top w:val="nil"/>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8,973</w:t>
            </w:r>
          </w:p>
        </w:tc>
        <w:tc>
          <w:tcPr>
            <w:tcW w:w="970" w:type="pct"/>
            <w:tcBorders>
              <w:top w:val="nil"/>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8,741</w:t>
            </w:r>
          </w:p>
        </w:tc>
        <w:tc>
          <w:tcPr>
            <w:tcW w:w="970" w:type="pct"/>
            <w:tcBorders>
              <w:top w:val="nil"/>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97%</w:t>
            </w:r>
          </w:p>
        </w:tc>
      </w:tr>
      <w:tr w:rsidR="00CA70C3" w:rsidRPr="00211D55" w:rsidTr="00CA70C3">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CA70C3" w:rsidRPr="00211D55" w:rsidRDefault="00CA70C3"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10,786</w:t>
            </w:r>
          </w:p>
        </w:tc>
        <w:tc>
          <w:tcPr>
            <w:tcW w:w="970" w:type="pct"/>
            <w:tcBorders>
              <w:top w:val="nil"/>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11,604</w:t>
            </w:r>
          </w:p>
        </w:tc>
        <w:tc>
          <w:tcPr>
            <w:tcW w:w="970" w:type="pct"/>
            <w:tcBorders>
              <w:top w:val="nil"/>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11,272</w:t>
            </w:r>
          </w:p>
        </w:tc>
        <w:tc>
          <w:tcPr>
            <w:tcW w:w="970" w:type="pct"/>
            <w:tcBorders>
              <w:top w:val="nil"/>
              <w:left w:val="single" w:sz="4" w:space="0" w:color="auto"/>
              <w:bottom w:val="single" w:sz="4" w:space="0" w:color="auto"/>
              <w:right w:val="single" w:sz="4" w:space="0" w:color="auto"/>
            </w:tcBorders>
            <w:shd w:val="clear" w:color="auto" w:fill="auto"/>
            <w:vAlign w:val="center"/>
          </w:tcPr>
          <w:p w:rsidR="00CA70C3" w:rsidRPr="00211D55" w:rsidRDefault="00CA70C3"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97%</w:t>
            </w:r>
          </w:p>
        </w:tc>
      </w:tr>
    </w:tbl>
    <w:p w:rsidR="00CA70C3" w:rsidRPr="00520275" w:rsidRDefault="00CA70C3" w:rsidP="00086C3F">
      <w:pPr>
        <w:keepNext/>
        <w:bidi/>
        <w:spacing w:before="240" w:after="120" w:line="340" w:lineRule="exact"/>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lastRenderedPageBreak/>
        <w:t>ألف</w:t>
      </w:r>
      <w:r w:rsidRPr="00520275">
        <w:rPr>
          <w:rFonts w:ascii="Arabic Typesetting" w:hAnsi="Arabic Typesetting" w:cs="Arabic Typesetting"/>
          <w:sz w:val="34"/>
          <w:szCs w:val="34"/>
          <w:lang w:bidi="ar-EG"/>
        </w:rPr>
        <w:t>.</w:t>
      </w:r>
      <w:r w:rsidRPr="00520275">
        <w:rPr>
          <w:rFonts w:ascii="Arabic Typesetting" w:hAnsi="Arabic Typesetting" w:cs="Arabic Typesetting" w:hint="cs"/>
          <w:sz w:val="34"/>
          <w:szCs w:val="34"/>
          <w:rtl/>
          <w:lang w:bidi="ar-EG"/>
        </w:rPr>
        <w:tab/>
      </w:r>
      <w:r w:rsidRPr="00520275">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CA70C3" w:rsidRPr="00520275" w:rsidRDefault="00CA70C3" w:rsidP="009A3712">
      <w:pPr>
        <w:keepNext/>
        <w:keepLines/>
        <w:numPr>
          <w:ilvl w:val="0"/>
          <w:numId w:val="9"/>
        </w:numPr>
        <w:bidi/>
        <w:spacing w:before="120" w:after="120" w:line="360" w:lineRule="exact"/>
        <w:ind w:left="0" w:firstLine="0"/>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t xml:space="preserve">تعزى </w:t>
      </w:r>
      <w:r w:rsidR="00DA2E88" w:rsidRPr="00520275">
        <w:rPr>
          <w:rFonts w:ascii="Arabic Typesetting" w:hAnsi="Arabic Typesetting" w:cs="Arabic Typesetting" w:hint="cs"/>
          <w:sz w:val="34"/>
          <w:szCs w:val="34"/>
          <w:rtl/>
          <w:lang w:bidi="ar-EG"/>
        </w:rPr>
        <w:t xml:space="preserve">أساساً </w:t>
      </w:r>
      <w:r w:rsidRPr="00520275">
        <w:rPr>
          <w:rFonts w:ascii="Arabic Typesetting" w:hAnsi="Arabic Typesetting" w:cs="Arabic Typesetting" w:hint="cs"/>
          <w:sz w:val="34"/>
          <w:szCs w:val="34"/>
          <w:rtl/>
          <w:lang w:bidi="ar-EG"/>
        </w:rPr>
        <w:t>الزيادة الصافية ل</w:t>
      </w:r>
      <w:r w:rsidR="0023721A">
        <w:rPr>
          <w:rFonts w:ascii="Arabic Typesetting" w:hAnsi="Arabic Typesetting" w:cs="Arabic Typesetting" w:hint="cs"/>
          <w:sz w:val="34"/>
          <w:szCs w:val="34"/>
          <w:rtl/>
          <w:lang w:bidi="ar-EG"/>
        </w:rPr>
        <w:t xml:space="preserve">مخصصات </w:t>
      </w:r>
      <w:r w:rsidR="009F5F08">
        <w:rPr>
          <w:rFonts w:ascii="Arabic Typesetting" w:hAnsi="Arabic Typesetting" w:cs="Arabic Typesetting" w:hint="cs"/>
          <w:sz w:val="34"/>
          <w:szCs w:val="34"/>
          <w:rtl/>
          <w:lang w:bidi="ar-EG"/>
        </w:rPr>
        <w:t>خلاف موارد الموظفين</w:t>
      </w:r>
      <w:r w:rsidRPr="00520275">
        <w:rPr>
          <w:rFonts w:ascii="Arabic Typesetting" w:hAnsi="Arabic Typesetting" w:cs="Arabic Typesetting" w:hint="cs"/>
          <w:sz w:val="34"/>
          <w:szCs w:val="34"/>
          <w:rtl/>
          <w:lang w:bidi="ar-EG"/>
        </w:rPr>
        <w:t xml:space="preserve"> في </w:t>
      </w:r>
      <w:r w:rsidRPr="00520275">
        <w:rPr>
          <w:rFonts w:ascii="Arabic Typesetting" w:hAnsi="Arabic Typesetting" w:cs="Arabic Typesetting"/>
          <w:sz w:val="34"/>
          <w:szCs w:val="34"/>
          <w:rtl/>
          <w:lang w:bidi="ar-EG"/>
        </w:rPr>
        <w:t xml:space="preserve">الميزانية النهائية بعد التحويلات </w:t>
      </w:r>
      <w:r w:rsidR="00507DE2">
        <w:rPr>
          <w:rFonts w:ascii="Arabic Typesetting" w:hAnsi="Arabic Typesetting" w:cs="Arabic Typesetting"/>
          <w:sz w:val="34"/>
          <w:szCs w:val="34"/>
          <w:rtl/>
          <w:lang w:bidi="ar-EG"/>
        </w:rPr>
        <w:t>2014/15</w:t>
      </w:r>
      <w:r w:rsidRPr="00520275">
        <w:rPr>
          <w:rFonts w:ascii="Arabic Typesetting" w:hAnsi="Arabic Typesetting" w:cs="Arabic Typesetting" w:hint="cs"/>
          <w:sz w:val="34"/>
          <w:szCs w:val="34"/>
          <w:rtl/>
          <w:lang w:bidi="ar-EG"/>
        </w:rPr>
        <w:t xml:space="preserve"> إلى تخصيص موارد إضافية لتغطية تكاليف ما يلي: "1" </w:t>
      </w:r>
      <w:r w:rsidR="004F62C4" w:rsidRPr="00520275">
        <w:rPr>
          <w:rFonts w:ascii="Arabic Typesetting" w:hAnsi="Arabic Typesetting" w:cs="Arabic Typesetting" w:hint="cs"/>
          <w:sz w:val="34"/>
          <w:szCs w:val="34"/>
          <w:rtl/>
          <w:lang w:bidi="ar-EG"/>
        </w:rPr>
        <w:t>وضع وحدة رقابة تربط بين الأنظمة الأمنية الإلكترونية؛ "2" </w:t>
      </w:r>
      <w:r w:rsidR="00DA2E88">
        <w:rPr>
          <w:rFonts w:ascii="Arabic Typesetting" w:hAnsi="Arabic Typesetting" w:cs="Arabic Typesetting" w:hint="cs"/>
          <w:sz w:val="34"/>
          <w:szCs w:val="34"/>
          <w:rtl/>
          <w:lang w:bidi="ar-EG"/>
        </w:rPr>
        <w:t>و</w:t>
      </w:r>
      <w:r w:rsidR="004F62C4" w:rsidRPr="00520275">
        <w:rPr>
          <w:rFonts w:ascii="Arabic Typesetting" w:hAnsi="Arabic Typesetting" w:cs="Arabic Typesetting" w:hint="cs"/>
          <w:sz w:val="34"/>
          <w:szCs w:val="34"/>
          <w:rtl/>
          <w:lang w:bidi="ar-EG"/>
        </w:rPr>
        <w:t xml:space="preserve">توسيع نطاق الرقابة والمراقبة في مبنى </w:t>
      </w:r>
      <w:proofErr w:type="spellStart"/>
      <w:r w:rsidR="004F62C4" w:rsidRPr="00520275">
        <w:rPr>
          <w:rFonts w:ascii="Arabic Typesetting" w:hAnsi="Arabic Typesetting" w:cs="Arabic Typesetting" w:hint="cs"/>
          <w:sz w:val="34"/>
          <w:szCs w:val="34"/>
          <w:rtl/>
          <w:lang w:bidi="ar-EG"/>
        </w:rPr>
        <w:t>الكام</w:t>
      </w:r>
      <w:proofErr w:type="spellEnd"/>
      <w:r w:rsidR="004F62C4" w:rsidRPr="00520275">
        <w:rPr>
          <w:rFonts w:ascii="Arabic Typesetting" w:hAnsi="Arabic Typesetting" w:cs="Arabic Typesetting" w:hint="cs"/>
          <w:sz w:val="34"/>
          <w:szCs w:val="34"/>
          <w:rtl/>
          <w:lang w:bidi="ar-EG"/>
        </w:rPr>
        <w:t xml:space="preserve"> </w:t>
      </w:r>
      <w:r w:rsidR="004F62C4" w:rsidRPr="00520275">
        <w:rPr>
          <w:rFonts w:ascii="Arabic Typesetting" w:hAnsi="Arabic Typesetting" w:cs="Arabic Typesetting"/>
          <w:sz w:val="34"/>
          <w:szCs w:val="34"/>
          <w:rtl/>
          <w:lang w:bidi="ar-EG"/>
        </w:rPr>
        <w:t>(التحكم في النفاذ، وتطوير نظام الكشف عن الحرائق ومكافحتها، ووضع نظام كاميرات تلفزيونية ذات دوائر مغلقة (</w:t>
      </w:r>
      <w:r w:rsidR="004F62C4" w:rsidRPr="00520275">
        <w:rPr>
          <w:rFonts w:ascii="Arabic Typesetting" w:hAnsi="Arabic Typesetting" w:cs="Arabic Typesetting"/>
          <w:sz w:val="34"/>
          <w:szCs w:val="34"/>
          <w:lang w:bidi="ar-EG"/>
        </w:rPr>
        <w:t>CCTV</w:t>
      </w:r>
      <w:r w:rsidR="004F62C4" w:rsidRPr="00520275">
        <w:rPr>
          <w:rFonts w:ascii="Arabic Typesetting" w:hAnsi="Arabic Typesetting" w:cs="Arabic Typesetting"/>
          <w:sz w:val="34"/>
          <w:szCs w:val="34"/>
          <w:rtl/>
          <w:lang w:bidi="ar-EG"/>
        </w:rPr>
        <w:t>))</w:t>
      </w:r>
      <w:r w:rsidR="004F62C4" w:rsidRPr="00520275">
        <w:rPr>
          <w:rFonts w:ascii="Arabic Typesetting" w:hAnsi="Arabic Typesetting" w:cs="Arabic Typesetting" w:hint="cs"/>
          <w:sz w:val="34"/>
          <w:szCs w:val="34"/>
          <w:rtl/>
          <w:lang w:bidi="ar-EG"/>
        </w:rPr>
        <w:t>؛ "3" </w:t>
      </w:r>
      <w:r w:rsidR="00DA2E88">
        <w:rPr>
          <w:rFonts w:ascii="Arabic Typesetting" w:hAnsi="Arabic Typesetting" w:cs="Arabic Typesetting" w:hint="cs"/>
          <w:sz w:val="34"/>
          <w:szCs w:val="34"/>
          <w:rtl/>
          <w:lang w:bidi="ar-EG"/>
        </w:rPr>
        <w:t>و</w:t>
      </w:r>
      <w:r w:rsidR="004F62C4" w:rsidRPr="00520275">
        <w:rPr>
          <w:rFonts w:ascii="Arabic Typesetting" w:hAnsi="Arabic Typesetting" w:cs="Arabic Typesetting" w:hint="cs"/>
          <w:sz w:val="34"/>
          <w:szCs w:val="34"/>
          <w:rtl/>
          <w:lang w:bidi="ar-EG"/>
        </w:rPr>
        <w:t>تعزيز عناصر الأمن لمواجهة الأحداث غير المتوقعة؛ "4" </w:t>
      </w:r>
      <w:r w:rsidR="00DA2E88">
        <w:rPr>
          <w:rFonts w:ascii="Arabic Typesetting" w:hAnsi="Arabic Typesetting" w:cs="Arabic Typesetting" w:hint="cs"/>
          <w:sz w:val="34"/>
          <w:szCs w:val="34"/>
          <w:rtl/>
          <w:lang w:bidi="ar-EG"/>
        </w:rPr>
        <w:t>و</w:t>
      </w:r>
      <w:r w:rsidR="004F62C4" w:rsidRPr="00520275">
        <w:rPr>
          <w:rFonts w:ascii="Arabic Typesetting" w:hAnsi="Arabic Typesetting" w:cs="Arabic Typesetting" w:hint="cs"/>
          <w:sz w:val="34"/>
          <w:szCs w:val="34"/>
          <w:rtl/>
          <w:lang w:bidi="ar-EG"/>
        </w:rPr>
        <w:t>تعزيز تدابير السلامة والأمن في مكاتب الويبو الخارجية؛ "5" </w:t>
      </w:r>
      <w:r w:rsidR="00DA2E88">
        <w:rPr>
          <w:rFonts w:ascii="Arabic Typesetting" w:hAnsi="Arabic Typesetting" w:cs="Arabic Typesetting" w:hint="cs"/>
          <w:sz w:val="34"/>
          <w:szCs w:val="34"/>
          <w:rtl/>
          <w:lang w:bidi="ar-EG"/>
        </w:rPr>
        <w:t>و</w:t>
      </w:r>
      <w:r w:rsidR="004F62C4" w:rsidRPr="00520275">
        <w:rPr>
          <w:rFonts w:ascii="Arabic Typesetting" w:hAnsi="Arabic Typesetting" w:cs="Arabic Typesetting" w:hint="cs"/>
          <w:sz w:val="34"/>
          <w:szCs w:val="34"/>
          <w:rtl/>
          <w:lang w:bidi="ar-EG"/>
        </w:rPr>
        <w:t xml:space="preserve">وضع جدار مخصص </w:t>
      </w:r>
      <w:r w:rsidR="00DA2E88" w:rsidRPr="00520275">
        <w:rPr>
          <w:rFonts w:ascii="Arabic Typesetting" w:hAnsi="Arabic Typesetting" w:cs="Arabic Typesetting" w:hint="cs"/>
          <w:sz w:val="34"/>
          <w:szCs w:val="34"/>
          <w:rtl/>
          <w:lang w:bidi="ar-EG"/>
        </w:rPr>
        <w:t xml:space="preserve">تحت قاعة المؤتمرات الجديدة </w:t>
      </w:r>
      <w:r w:rsidR="004F62C4" w:rsidRPr="00520275">
        <w:rPr>
          <w:rFonts w:ascii="Arabic Typesetting" w:hAnsi="Arabic Typesetting" w:cs="Arabic Typesetting" w:hint="cs"/>
          <w:sz w:val="34"/>
          <w:szCs w:val="34"/>
          <w:rtl/>
          <w:lang w:bidi="ar-EG"/>
        </w:rPr>
        <w:t>لمنع التسلل</w:t>
      </w:r>
      <w:r w:rsidR="00DA2E88">
        <w:rPr>
          <w:rFonts w:ascii="Arabic Typesetting" w:hAnsi="Arabic Typesetting" w:cs="Arabic Typesetting" w:hint="cs"/>
          <w:sz w:val="34"/>
          <w:szCs w:val="34"/>
          <w:rtl/>
          <w:lang w:bidi="ar-EG"/>
        </w:rPr>
        <w:t xml:space="preserve"> إليها</w:t>
      </w:r>
      <w:r w:rsidR="004F62C4" w:rsidRPr="00520275">
        <w:rPr>
          <w:rFonts w:ascii="Arabic Typesetting" w:hAnsi="Arabic Typesetting" w:cs="Arabic Typesetting" w:hint="cs"/>
          <w:sz w:val="34"/>
          <w:szCs w:val="34"/>
          <w:rtl/>
          <w:lang w:bidi="ar-EG"/>
        </w:rPr>
        <w:t>.</w:t>
      </w:r>
    </w:p>
    <w:p w:rsidR="00B31868" w:rsidRPr="00520275" w:rsidRDefault="004F62C4" w:rsidP="009A3712">
      <w:pPr>
        <w:keepLines/>
        <w:numPr>
          <w:ilvl w:val="0"/>
          <w:numId w:val="9"/>
        </w:numPr>
        <w:bidi/>
        <w:spacing w:before="120" w:after="120" w:line="360" w:lineRule="exact"/>
        <w:ind w:left="0" w:firstLine="0"/>
        <w:rPr>
          <w:rFonts w:ascii="Arabic Typesetting" w:hAnsi="Arabic Typesetting" w:cs="Arabic Typesetting"/>
          <w:sz w:val="34"/>
          <w:szCs w:val="34"/>
          <w:lang w:bidi="ar-EG"/>
        </w:rPr>
      </w:pPr>
      <w:r w:rsidRPr="00520275">
        <w:rPr>
          <w:rFonts w:ascii="Arabic Typesetting" w:hAnsi="Arabic Typesetting" w:cs="Arabic Typesetting" w:hint="cs"/>
          <w:sz w:val="34"/>
          <w:szCs w:val="34"/>
          <w:rtl/>
          <w:lang w:bidi="ar-EG"/>
        </w:rPr>
        <w:t xml:space="preserve">وأما </w:t>
      </w:r>
      <w:r w:rsidR="00B31868" w:rsidRPr="00520275">
        <w:rPr>
          <w:rFonts w:ascii="Arabic Typesetting" w:hAnsi="Arabic Typesetting" w:cs="Arabic Typesetting" w:hint="cs"/>
          <w:sz w:val="34"/>
          <w:szCs w:val="34"/>
          <w:rtl/>
          <w:lang w:bidi="ar-EG"/>
        </w:rPr>
        <w:t xml:space="preserve">الزيادة </w:t>
      </w:r>
      <w:r w:rsidRPr="00520275">
        <w:rPr>
          <w:rFonts w:ascii="Arabic Typesetting" w:hAnsi="Arabic Typesetting" w:cs="Arabic Typesetting" w:hint="cs"/>
          <w:sz w:val="34"/>
          <w:szCs w:val="34"/>
          <w:rtl/>
          <w:lang w:bidi="ar-EG"/>
        </w:rPr>
        <w:t xml:space="preserve">الإجمالية لموارد الموظفين في </w:t>
      </w:r>
      <w:r w:rsidRPr="00520275">
        <w:rPr>
          <w:rFonts w:ascii="Arabic Typesetting" w:hAnsi="Arabic Typesetting" w:cs="Arabic Typesetting"/>
          <w:sz w:val="34"/>
          <w:szCs w:val="34"/>
          <w:rtl/>
          <w:lang w:bidi="ar-EG"/>
        </w:rPr>
        <w:t xml:space="preserve">الميزانية النهائية بعد التحويلات </w:t>
      </w:r>
      <w:r w:rsidR="00507DE2">
        <w:rPr>
          <w:rFonts w:ascii="Arabic Typesetting" w:hAnsi="Arabic Typesetting" w:cs="Arabic Typesetting"/>
          <w:sz w:val="34"/>
          <w:szCs w:val="34"/>
          <w:rtl/>
          <w:lang w:bidi="ar-EG"/>
        </w:rPr>
        <w:t>2014/15</w:t>
      </w:r>
      <w:r w:rsidRPr="00520275">
        <w:rPr>
          <w:rFonts w:ascii="Arabic Typesetting" w:hAnsi="Arabic Typesetting" w:cs="Arabic Typesetting" w:hint="cs"/>
          <w:sz w:val="34"/>
          <w:szCs w:val="34"/>
          <w:rtl/>
          <w:lang w:bidi="ar-EG"/>
        </w:rPr>
        <w:t xml:space="preserve"> فتساوي النتيجة الصافية </w:t>
      </w:r>
      <w:r w:rsidR="00DA2E88">
        <w:rPr>
          <w:rFonts w:ascii="Arabic Typesetting" w:hAnsi="Arabic Typesetting" w:cs="Arabic Typesetting" w:hint="cs"/>
          <w:sz w:val="34"/>
          <w:szCs w:val="34"/>
          <w:rtl/>
          <w:lang w:bidi="ar-EG"/>
        </w:rPr>
        <w:t>لفتح</w:t>
      </w:r>
      <w:r w:rsidRPr="00520275">
        <w:rPr>
          <w:rFonts w:ascii="Arabic Typesetting" w:hAnsi="Arabic Typesetting" w:cs="Arabic Typesetting" w:hint="cs"/>
          <w:sz w:val="34"/>
          <w:szCs w:val="34"/>
          <w:rtl/>
          <w:lang w:bidi="ar-EG"/>
        </w:rPr>
        <w:t xml:space="preserve"> وظيفة مسؤول عن العمليات الأمنية ووظيفة مؤقتة لدعم صيانة الأنظمة والمعدات المتعلقة بالسلامة، وتدعيم </w:t>
      </w:r>
      <w:r w:rsidRPr="00520275">
        <w:rPr>
          <w:rFonts w:ascii="Arabic Typesetting" w:hAnsi="Arabic Typesetting" w:cs="Arabic Typesetting"/>
          <w:sz w:val="34"/>
          <w:szCs w:val="34"/>
          <w:rtl/>
          <w:lang w:bidi="ar-EG"/>
        </w:rPr>
        <w:t xml:space="preserve">معايير الأمن التشغيلي الدنيا في المقار </w:t>
      </w:r>
      <w:r w:rsidRPr="00520275">
        <w:rPr>
          <w:rFonts w:ascii="Arabic Typesetting" w:hAnsi="Arabic Typesetting" w:cs="Arabic Typesetting" w:hint="cs"/>
          <w:sz w:val="34"/>
          <w:szCs w:val="34"/>
          <w:rtl/>
          <w:lang w:bidi="ar-EG"/>
        </w:rPr>
        <w:t xml:space="preserve">التي وضعتها الأمم المتحدة </w:t>
      </w:r>
      <w:r w:rsidRPr="00520275">
        <w:rPr>
          <w:rFonts w:ascii="Arabic Typesetting" w:hAnsi="Arabic Typesetting" w:cs="Arabic Typesetting"/>
          <w:sz w:val="34"/>
          <w:szCs w:val="34"/>
          <w:rtl/>
          <w:lang w:bidi="ar-EG"/>
        </w:rPr>
        <w:t>(</w:t>
      </w:r>
      <w:r w:rsidRPr="00520275">
        <w:rPr>
          <w:rFonts w:ascii="Arabic Typesetting" w:hAnsi="Arabic Typesetting" w:cs="Arabic Typesetting"/>
          <w:sz w:val="34"/>
          <w:szCs w:val="34"/>
          <w:lang w:bidi="ar-EG"/>
        </w:rPr>
        <w:t>UN-HMOSS</w:t>
      </w:r>
      <w:r w:rsidRPr="00520275">
        <w:rPr>
          <w:rFonts w:ascii="Arabic Typesetting" w:hAnsi="Arabic Typesetting" w:cs="Arabic Typesetting"/>
          <w:sz w:val="34"/>
          <w:szCs w:val="34"/>
          <w:rtl/>
          <w:lang w:bidi="ar-EG"/>
        </w:rPr>
        <w:t>)</w:t>
      </w:r>
      <w:r w:rsidRPr="00520275">
        <w:rPr>
          <w:rFonts w:ascii="Arabic Typesetting" w:hAnsi="Arabic Typesetting" w:cs="Arabic Typesetting" w:hint="cs"/>
          <w:sz w:val="34"/>
          <w:szCs w:val="34"/>
          <w:rtl/>
          <w:lang w:bidi="ar-EG"/>
        </w:rPr>
        <w:t xml:space="preserve"> فضلاً عن "1" إعادة تصنيف تخفيضي لوظيفة؛ "2" وتحويل </w:t>
      </w:r>
      <w:r w:rsidR="0023721A">
        <w:rPr>
          <w:rFonts w:ascii="Arabic Typesetting" w:hAnsi="Arabic Typesetting" w:cs="Arabic Typesetting" w:hint="cs"/>
          <w:sz w:val="34"/>
          <w:szCs w:val="34"/>
          <w:rtl/>
          <w:lang w:bidi="ar-EG"/>
        </w:rPr>
        <w:t>مخصصات</w:t>
      </w:r>
      <w:r w:rsidRPr="00520275">
        <w:rPr>
          <w:rFonts w:ascii="Arabic Typesetting" w:hAnsi="Arabic Typesetting" w:cs="Arabic Typesetting" w:hint="cs"/>
          <w:sz w:val="34"/>
          <w:szCs w:val="34"/>
          <w:rtl/>
          <w:lang w:bidi="ar-EG"/>
        </w:rPr>
        <w:t xml:space="preserve"> إلى بند </w:t>
      </w:r>
      <w:r w:rsidR="009F5F08">
        <w:rPr>
          <w:rFonts w:ascii="Arabic Typesetting" w:hAnsi="Arabic Typesetting" w:cs="Arabic Typesetting" w:hint="cs"/>
          <w:sz w:val="34"/>
          <w:szCs w:val="34"/>
          <w:rtl/>
          <w:lang w:bidi="ar-EG"/>
        </w:rPr>
        <w:t>خلاف موارد الموظفين</w:t>
      </w:r>
      <w:r w:rsidRPr="00520275">
        <w:rPr>
          <w:rFonts w:ascii="Arabic Typesetting" w:hAnsi="Arabic Typesetting" w:cs="Arabic Typesetting" w:hint="cs"/>
          <w:sz w:val="34"/>
          <w:szCs w:val="34"/>
          <w:rtl/>
          <w:lang w:bidi="ar-EG"/>
        </w:rPr>
        <w:t xml:space="preserve"> للاستعانة بمتعاقد خارجي لتعزيز </w:t>
      </w:r>
      <w:r w:rsidRPr="00520275">
        <w:rPr>
          <w:rFonts w:ascii="Arabic Typesetting" w:hAnsi="Arabic Typesetting" w:cs="Arabic Typesetting"/>
          <w:sz w:val="34"/>
          <w:szCs w:val="34"/>
          <w:rtl/>
          <w:lang w:bidi="ar-EG"/>
        </w:rPr>
        <w:t>قسم تنسيق شؤون السلامة والأمن</w:t>
      </w:r>
      <w:r w:rsidRPr="00520275">
        <w:rPr>
          <w:rFonts w:ascii="Arabic Typesetting" w:hAnsi="Arabic Typesetting" w:cs="Arabic Typesetting" w:hint="cs"/>
          <w:sz w:val="34"/>
          <w:szCs w:val="34"/>
          <w:rtl/>
          <w:lang w:bidi="ar-EG"/>
        </w:rPr>
        <w:t>.</w:t>
      </w:r>
    </w:p>
    <w:p w:rsidR="00B31868" w:rsidRPr="00520275" w:rsidRDefault="004F62C4" w:rsidP="00FD7897">
      <w:pPr>
        <w:keepNext/>
        <w:bidi/>
        <w:spacing w:before="120" w:after="120" w:line="340" w:lineRule="exact"/>
        <w:rPr>
          <w:rFonts w:ascii="Arabic Typesetting" w:hAnsi="Arabic Typesetting" w:cs="Arabic Typesetting"/>
          <w:sz w:val="34"/>
          <w:szCs w:val="34"/>
          <w:u w:val="single"/>
          <w:rtl/>
          <w:lang w:bidi="ar-EG"/>
        </w:rPr>
      </w:pPr>
      <w:r w:rsidRPr="00520275">
        <w:rPr>
          <w:rFonts w:ascii="Arabic Typesetting" w:hAnsi="Arabic Typesetting" w:cs="Arabic Typesetting" w:hint="cs"/>
          <w:sz w:val="34"/>
          <w:szCs w:val="34"/>
          <w:rtl/>
          <w:lang w:bidi="ar-EG"/>
        </w:rPr>
        <w:t>باء</w:t>
      </w:r>
      <w:r w:rsidRPr="00520275">
        <w:rPr>
          <w:rFonts w:ascii="Arabic Typesetting" w:hAnsi="Arabic Typesetting" w:cs="Arabic Typesetting"/>
          <w:sz w:val="34"/>
          <w:szCs w:val="34"/>
          <w:lang w:bidi="ar-EG"/>
        </w:rPr>
        <w:t>.</w:t>
      </w:r>
      <w:r w:rsidRPr="00520275">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B31868" w:rsidRPr="00520275" w:rsidRDefault="00E23F60" w:rsidP="009A3712">
      <w:pPr>
        <w:numPr>
          <w:ilvl w:val="0"/>
          <w:numId w:val="9"/>
        </w:numPr>
        <w:bidi/>
        <w:spacing w:before="120" w:after="120" w:line="360" w:lineRule="exact"/>
        <w:ind w:left="-1" w:firstLine="0"/>
        <w:rPr>
          <w:rFonts w:ascii="Arabic Typesetting" w:hAnsi="Arabic Typesetting" w:cs="Arabic Typesetting"/>
          <w:sz w:val="34"/>
          <w:szCs w:val="34"/>
          <w:rtl/>
          <w:lang w:bidi="ar-EG"/>
        </w:rPr>
      </w:pPr>
      <w:r w:rsidRPr="00520275">
        <w:rPr>
          <w:rFonts w:ascii="Arabic Typesetting" w:hAnsi="Arabic Typesetting" w:cs="Arabic Typesetting" w:hint="cs"/>
          <w:sz w:val="34"/>
          <w:szCs w:val="34"/>
          <w:rtl/>
          <w:lang w:val="fr-CH"/>
        </w:rPr>
        <w:t xml:space="preserve">لم يتجاوز </w:t>
      </w:r>
      <w:r w:rsidR="00C45BBE">
        <w:rPr>
          <w:rFonts w:ascii="Arabic Typesetting" w:hAnsi="Arabic Typesetting" w:cs="Arabic Typesetting" w:hint="cs"/>
          <w:sz w:val="34"/>
          <w:szCs w:val="34"/>
          <w:rtl/>
          <w:lang w:val="fr-CH"/>
        </w:rPr>
        <w:t>استخدام</w:t>
      </w:r>
      <w:r w:rsidR="00C45BBE" w:rsidRPr="00520275">
        <w:rPr>
          <w:rFonts w:ascii="Arabic Typesetting" w:hAnsi="Arabic Typesetting" w:cs="Arabic Typesetting" w:hint="cs"/>
          <w:sz w:val="34"/>
          <w:szCs w:val="34"/>
          <w:rtl/>
          <w:lang w:val="fr-CH"/>
        </w:rPr>
        <w:t xml:space="preserve"> </w:t>
      </w:r>
      <w:r w:rsidRPr="00520275">
        <w:rPr>
          <w:rFonts w:ascii="Arabic Typesetting" w:hAnsi="Arabic Typesetting" w:cs="Arabic Typesetting" w:hint="cs"/>
          <w:sz w:val="34"/>
          <w:szCs w:val="34"/>
          <w:rtl/>
          <w:lang w:val="fr-CH"/>
        </w:rPr>
        <w:t>الميزانية النسبة المتوقعة للثنائية.</w:t>
      </w:r>
    </w:p>
    <w:p w:rsidR="00B31868" w:rsidRPr="005004A2" w:rsidRDefault="00B31868" w:rsidP="00285760">
      <w:pPr>
        <w:pStyle w:val="Heading3AR"/>
        <w:spacing w:after="120"/>
        <w:rPr>
          <w:rtl/>
        </w:rPr>
      </w:pPr>
      <w:bookmarkStart w:id="142" w:name="_Toc450635436"/>
      <w:bookmarkStart w:id="143" w:name="_Toc455393405"/>
      <w:r w:rsidRPr="005004A2">
        <w:rPr>
          <w:rtl/>
        </w:rPr>
        <w:lastRenderedPageBreak/>
        <w:t>البرنامج 29</w:t>
      </w:r>
      <w:r w:rsidR="00B06CF9">
        <w:rPr>
          <w:rFonts w:hint="cs"/>
          <w:rtl/>
        </w:rPr>
        <w:t>:</w:t>
      </w:r>
      <w:r w:rsidRPr="005004A2">
        <w:rPr>
          <w:rtl/>
        </w:rPr>
        <w:tab/>
        <w:t>مشروعات الإنشاءات</w:t>
      </w:r>
      <w:bookmarkEnd w:id="142"/>
      <w:bookmarkEnd w:id="143"/>
    </w:p>
    <w:p w:rsidR="00B31868" w:rsidRPr="00086C3F" w:rsidRDefault="00086C3F" w:rsidP="00285760">
      <w:pPr>
        <w:keepNext/>
        <w:bidi/>
        <w:spacing w:after="240" w:line="340" w:lineRule="exact"/>
        <w:ind w:left="1984" w:hanging="1984"/>
        <w:rPr>
          <w:rFonts w:ascii="Arabic Typesetting" w:hAnsi="Arabic Typesetting" w:cs="Arabic Typesetting"/>
          <w:b/>
          <w:bCs/>
          <w:sz w:val="36"/>
          <w:szCs w:val="36"/>
          <w:lang w:val="fr-CH"/>
        </w:rPr>
      </w:pPr>
      <w:r w:rsidRPr="00086C3F">
        <w:rPr>
          <w:rFonts w:ascii="Arabic Typesetting" w:hAnsi="Arabic Typesetting" w:cs="Arabic Typesetting"/>
          <w:b/>
          <w:bCs/>
          <w:sz w:val="36"/>
          <w:szCs w:val="36"/>
          <w:rtl/>
          <w:lang w:val="fr-CH"/>
        </w:rPr>
        <w:t>المسؤول عن البرنامج:</w:t>
      </w:r>
      <w:r w:rsidR="00B31868" w:rsidRPr="00086C3F">
        <w:rPr>
          <w:rFonts w:ascii="Arabic Typesetting" w:hAnsi="Arabic Typesetting" w:cs="Arabic Typesetting"/>
          <w:b/>
          <w:bCs/>
          <w:sz w:val="36"/>
          <w:szCs w:val="36"/>
          <w:rtl/>
          <w:lang w:val="fr-CH"/>
        </w:rPr>
        <w:tab/>
      </w:r>
      <w:r>
        <w:rPr>
          <w:rFonts w:ascii="Arabic Typesetting" w:hAnsi="Arabic Typesetting" w:cs="Arabic Typesetting"/>
          <w:b/>
          <w:bCs/>
          <w:sz w:val="36"/>
          <w:szCs w:val="36"/>
          <w:rtl/>
          <w:lang w:val="fr-CH"/>
        </w:rPr>
        <w:t xml:space="preserve">السيد </w:t>
      </w:r>
      <w:proofErr w:type="spellStart"/>
      <w:r>
        <w:rPr>
          <w:rFonts w:ascii="Arabic Typesetting" w:hAnsi="Arabic Typesetting" w:cs="Arabic Typesetting"/>
          <w:b/>
          <w:bCs/>
          <w:sz w:val="36"/>
          <w:szCs w:val="36"/>
          <w:rtl/>
          <w:lang w:val="fr-CH"/>
        </w:rPr>
        <w:t>أ</w:t>
      </w:r>
      <w:r>
        <w:rPr>
          <w:rFonts w:ascii="Arabic Typesetting" w:hAnsi="Arabic Typesetting" w:cs="Arabic Typesetting" w:hint="cs"/>
          <w:b/>
          <w:bCs/>
          <w:sz w:val="36"/>
          <w:szCs w:val="36"/>
          <w:rtl/>
          <w:lang w:val="fr-CH"/>
        </w:rPr>
        <w:t>مبي</w:t>
      </w:r>
      <w:proofErr w:type="spellEnd"/>
      <w:r w:rsidR="00B31868" w:rsidRPr="00086C3F">
        <w:rPr>
          <w:rFonts w:ascii="Arabic Typesetting" w:hAnsi="Arabic Typesetting" w:cs="Arabic Typesetting"/>
          <w:b/>
          <w:bCs/>
          <w:sz w:val="36"/>
          <w:szCs w:val="36"/>
          <w:rtl/>
          <w:lang w:val="fr-CH"/>
        </w:rPr>
        <w:t xml:space="preserve"> </w:t>
      </w:r>
      <w:proofErr w:type="spellStart"/>
      <w:r w:rsidR="00B31868" w:rsidRPr="00086C3F">
        <w:rPr>
          <w:rFonts w:ascii="Arabic Typesetting" w:hAnsi="Arabic Typesetting" w:cs="Arabic Typesetting"/>
          <w:b/>
          <w:bCs/>
          <w:sz w:val="36"/>
          <w:szCs w:val="36"/>
          <w:rtl/>
          <w:lang w:val="fr-CH"/>
        </w:rPr>
        <w:t>سوندارام</w:t>
      </w:r>
      <w:proofErr w:type="spellEnd"/>
    </w:p>
    <w:p w:rsidR="00086C3F" w:rsidRDefault="00086C3F" w:rsidP="00285760">
      <w:pPr>
        <w:keepNext/>
        <w:bidi/>
        <w:spacing w:after="240" w:line="340" w:lineRule="exact"/>
        <w:rPr>
          <w:rFonts w:ascii="Arabic Typesetting" w:hAnsi="Arabic Typesetting" w:cs="Arabic Typesetting"/>
          <w:sz w:val="36"/>
          <w:szCs w:val="36"/>
          <w:rtl/>
          <w:lang w:val="fr-CH"/>
        </w:rPr>
      </w:pPr>
      <w:r>
        <w:rPr>
          <w:rFonts w:ascii="Arabic Typesetting" w:hAnsi="Arabic Typesetting" w:cs="Arabic Typesetting" w:hint="cs"/>
          <w:sz w:val="36"/>
          <w:szCs w:val="36"/>
          <w:rtl/>
          <w:lang w:val="fr-CH"/>
        </w:rPr>
        <w:t xml:space="preserve">الإنجازات المحققة خلال الثنائية </w:t>
      </w:r>
      <w:r w:rsidR="00507DE2">
        <w:rPr>
          <w:rFonts w:ascii="Arabic Typesetting" w:hAnsi="Arabic Typesetting" w:cs="Arabic Typesetting" w:hint="cs"/>
          <w:sz w:val="36"/>
          <w:szCs w:val="36"/>
          <w:rtl/>
          <w:lang w:val="fr-CH"/>
        </w:rPr>
        <w:t>2014/15</w:t>
      </w:r>
    </w:p>
    <w:p w:rsidR="00B31868" w:rsidRPr="00B31868" w:rsidRDefault="00B31868" w:rsidP="00086C3F">
      <w:pPr>
        <w:keepNext/>
        <w:bidi/>
        <w:spacing w:after="120" w:line="340" w:lineRule="exact"/>
        <w:jc w:val="both"/>
        <w:rPr>
          <w:rFonts w:ascii="Arabic Typesetting" w:hAnsi="Arabic Typesetting" w:cs="Arabic Typesetting"/>
          <w:sz w:val="34"/>
          <w:szCs w:val="34"/>
        </w:rPr>
      </w:pPr>
      <w:r w:rsidRPr="00B31868">
        <w:rPr>
          <w:rFonts w:ascii="Arabic Typesetting" w:hAnsi="Arabic Typesetting" w:cs="Arabic Typesetting"/>
          <w:sz w:val="34"/>
          <w:szCs w:val="34"/>
          <w:rtl/>
        </w:rPr>
        <w:t>مشروع البناء الجديد</w:t>
      </w:r>
    </w:p>
    <w:p w:rsidR="00AD11B6" w:rsidRPr="00EA6528" w:rsidRDefault="00FF1820" w:rsidP="009A3712">
      <w:pPr>
        <w:numPr>
          <w:ilvl w:val="0"/>
          <w:numId w:val="23"/>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انتُهي </w:t>
      </w:r>
      <w:r w:rsidR="00B31868" w:rsidRPr="00EA6528">
        <w:rPr>
          <w:rFonts w:ascii="Arabic Typesetting" w:hAnsi="Arabic Typesetting" w:cs="Arabic Typesetting"/>
          <w:sz w:val="34"/>
          <w:szCs w:val="34"/>
          <w:rtl/>
          <w:lang w:bidi="ar-EG"/>
        </w:rPr>
        <w:t xml:space="preserve">بحلول نهاية عام </w:t>
      </w:r>
      <w:r w:rsidR="00AD11B6" w:rsidRPr="00EA6528">
        <w:rPr>
          <w:rFonts w:ascii="Arabic Typesetting" w:hAnsi="Arabic Typesetting" w:cs="Arabic Typesetting" w:hint="cs"/>
          <w:sz w:val="34"/>
          <w:szCs w:val="34"/>
          <w:rtl/>
          <w:lang w:bidi="ar-EG"/>
        </w:rPr>
        <w:t>2015</w:t>
      </w:r>
      <w:r w:rsidR="00AD11B6" w:rsidRPr="00EA6528">
        <w:rPr>
          <w:rFonts w:ascii="Arabic Typesetting" w:hAnsi="Arabic Typesetting" w:cs="Arabic Typesetting"/>
          <w:sz w:val="34"/>
          <w:szCs w:val="34"/>
          <w:rtl/>
          <w:lang w:bidi="ar-EG"/>
        </w:rPr>
        <w:t xml:space="preserve"> </w:t>
      </w:r>
      <w:r w:rsidR="00B31868" w:rsidRPr="00EA6528">
        <w:rPr>
          <w:rFonts w:ascii="Arabic Typesetting" w:hAnsi="Arabic Typesetting" w:cs="Arabic Typesetting"/>
          <w:sz w:val="34"/>
          <w:szCs w:val="34"/>
          <w:rtl/>
          <w:lang w:bidi="ar-EG"/>
        </w:rPr>
        <w:t>من كل ما تبقى تقريباً من الإصلاحات وأعمال الاستبدال والتشطيب، التي كانت قد بدأت في منتصف عام 2011</w:t>
      </w:r>
      <w:r w:rsidR="00AD11B6" w:rsidRPr="00EA6528">
        <w:rPr>
          <w:rFonts w:ascii="Arabic Typesetting" w:hAnsi="Arabic Typesetting" w:cs="Arabic Typesetting" w:hint="cs"/>
          <w:sz w:val="34"/>
          <w:szCs w:val="34"/>
          <w:rtl/>
          <w:lang w:bidi="ar-EG"/>
        </w:rPr>
        <w:t>.</w:t>
      </w:r>
      <w:r w:rsidR="00B31868" w:rsidRPr="00EA6528">
        <w:rPr>
          <w:rFonts w:ascii="Arabic Typesetting" w:hAnsi="Arabic Typesetting" w:cs="Arabic Typesetting"/>
          <w:sz w:val="34"/>
          <w:szCs w:val="34"/>
          <w:rtl/>
          <w:lang w:bidi="ar-EG"/>
        </w:rPr>
        <w:t xml:space="preserve"> </w:t>
      </w:r>
      <w:r w:rsidR="00AD11B6" w:rsidRPr="00EA6528">
        <w:rPr>
          <w:rFonts w:ascii="Arabic Typesetting" w:hAnsi="Arabic Typesetting" w:cs="Arabic Typesetting" w:hint="cs"/>
          <w:sz w:val="34"/>
          <w:szCs w:val="34"/>
          <w:rtl/>
          <w:lang w:bidi="ar-EG"/>
        </w:rPr>
        <w:t xml:space="preserve">وبدأ استبدال نوافذ الطابق الأرضي الذي كان مزمعاً في عام 2014 بعد انقضاء فصل الشتاء مباشرة أي ابتداءً من يونيو 2015 عقب المؤتمر الدبلوماسي فوراً وحتى نهاية عام 2015. </w:t>
      </w:r>
      <w:r w:rsidR="00B31868" w:rsidRPr="00EA6528">
        <w:rPr>
          <w:rFonts w:ascii="Arabic Typesetting" w:hAnsi="Arabic Typesetting" w:cs="Arabic Typesetting"/>
          <w:sz w:val="34"/>
          <w:szCs w:val="34"/>
          <w:rtl/>
          <w:lang w:bidi="ar-EG"/>
        </w:rPr>
        <w:t xml:space="preserve">وفي نهاية أغسطس 2014، اختُتم ودياً اتفاق الفسخ الذي أُبرم في يوليو 2012 مع المقاول العام السابق، وانتهت بذلك جميع القضايا العالقة بشأن أعمال الاستبدال الخاصة بالمبنى الجديد. وتجدر الإشارة إلى أن الويبو </w:t>
      </w:r>
      <w:r w:rsidR="00AD11B6" w:rsidRPr="00EA6528">
        <w:rPr>
          <w:rFonts w:ascii="Arabic Typesetting" w:hAnsi="Arabic Typesetting" w:cs="Arabic Typesetting" w:hint="cs"/>
          <w:sz w:val="34"/>
          <w:szCs w:val="34"/>
          <w:rtl/>
          <w:lang w:bidi="ar-EG"/>
        </w:rPr>
        <w:t>كانت</w:t>
      </w:r>
      <w:r w:rsidR="00AD11B6" w:rsidRPr="00EA6528">
        <w:rPr>
          <w:rFonts w:ascii="Arabic Typesetting" w:hAnsi="Arabic Typesetting" w:cs="Arabic Typesetting"/>
          <w:sz w:val="34"/>
          <w:szCs w:val="34"/>
          <w:rtl/>
          <w:lang w:bidi="ar-EG"/>
        </w:rPr>
        <w:t xml:space="preserve"> </w:t>
      </w:r>
      <w:r w:rsidR="00B31868" w:rsidRPr="00EA6528">
        <w:rPr>
          <w:rFonts w:ascii="Arabic Typesetting" w:hAnsi="Arabic Typesetting" w:cs="Arabic Typesetting"/>
          <w:sz w:val="34"/>
          <w:szCs w:val="34"/>
          <w:rtl/>
          <w:lang w:bidi="ar-EG"/>
        </w:rPr>
        <w:t>تمتلك الأموال الكافية لتغطية تكاليف هذه الأعمال</w:t>
      </w:r>
      <w:r w:rsidR="00AD11B6" w:rsidRPr="00EA6528">
        <w:rPr>
          <w:rFonts w:ascii="Arabic Typesetting" w:hAnsi="Arabic Typesetting" w:cs="Arabic Typesetting" w:hint="cs"/>
          <w:sz w:val="34"/>
          <w:szCs w:val="34"/>
          <w:rtl/>
          <w:lang w:bidi="ar-EG"/>
        </w:rPr>
        <w:t xml:space="preserve"> و</w:t>
      </w:r>
      <w:r w:rsidR="00AD11B6" w:rsidRPr="00EA6528">
        <w:rPr>
          <w:rFonts w:ascii="Arabic Typesetting" w:hAnsi="Arabic Typesetting" w:cs="Arabic Typesetting"/>
          <w:sz w:val="34"/>
          <w:szCs w:val="34"/>
          <w:rtl/>
          <w:lang w:bidi="ar-EG"/>
        </w:rPr>
        <w:t>إلى أن الأمانة لم تضطر للجوء إلى أية إجراءات قانونية قد تطول أو لآليات خاصة بتسوية النزاعات لتحقيق تلك النتائج</w:t>
      </w:r>
      <w:r w:rsidR="00B31868" w:rsidRPr="00EA6528">
        <w:rPr>
          <w:rFonts w:ascii="Arabic Typesetting" w:hAnsi="Arabic Typesetting" w:cs="Arabic Typesetting"/>
          <w:sz w:val="34"/>
          <w:szCs w:val="34"/>
          <w:rtl/>
          <w:lang w:bidi="ar-EG"/>
        </w:rPr>
        <w:t>.</w:t>
      </w:r>
    </w:p>
    <w:p w:rsidR="00B31868" w:rsidRPr="00B31868" w:rsidRDefault="00B31868" w:rsidP="00086C3F">
      <w:pPr>
        <w:keepNext/>
        <w:bidi/>
        <w:spacing w:after="120" w:line="340" w:lineRule="exact"/>
        <w:jc w:val="both"/>
        <w:rPr>
          <w:rFonts w:ascii="Arabic Typesetting" w:hAnsi="Arabic Typesetting" w:cs="Arabic Typesetting"/>
          <w:sz w:val="34"/>
          <w:szCs w:val="34"/>
        </w:rPr>
      </w:pPr>
      <w:r w:rsidRPr="00B31868">
        <w:rPr>
          <w:rFonts w:ascii="Arabic Typesetting" w:hAnsi="Arabic Typesetting" w:cs="Arabic Typesetting"/>
          <w:sz w:val="34"/>
          <w:szCs w:val="34"/>
          <w:rtl/>
        </w:rPr>
        <w:t>مشروع قاعة المؤتمرات الجديدة</w:t>
      </w:r>
    </w:p>
    <w:p w:rsidR="00B31868" w:rsidRPr="00B31868" w:rsidRDefault="00B31868" w:rsidP="009A3712">
      <w:pPr>
        <w:numPr>
          <w:ilvl w:val="0"/>
          <w:numId w:val="23"/>
        </w:numPr>
        <w:bidi/>
        <w:spacing w:after="120" w:line="340" w:lineRule="exact"/>
        <w:ind w:left="0" w:firstLine="0"/>
        <w:jc w:val="both"/>
        <w:rPr>
          <w:rFonts w:ascii="Arabic Typesetting" w:hAnsi="Arabic Typesetting" w:cs="Arabic Typesetting"/>
          <w:sz w:val="34"/>
          <w:szCs w:val="34"/>
          <w:lang w:bidi="ar-EG"/>
        </w:rPr>
      </w:pPr>
      <w:r w:rsidRPr="00B31868">
        <w:rPr>
          <w:rFonts w:ascii="Arabic Typesetting" w:hAnsi="Arabic Typesetting" w:cs="Arabic Typesetting"/>
          <w:sz w:val="34"/>
          <w:szCs w:val="34"/>
          <w:rtl/>
          <w:lang w:bidi="ar-EG"/>
        </w:rPr>
        <w:t xml:space="preserve">وفي إطار اختتام اتفاق الفسخ </w:t>
      </w:r>
      <w:r w:rsidR="00EA6528">
        <w:rPr>
          <w:rFonts w:ascii="Arabic Typesetting" w:hAnsi="Arabic Typesetting" w:cs="Arabic Typesetting" w:hint="cs"/>
          <w:sz w:val="34"/>
          <w:szCs w:val="34"/>
          <w:rtl/>
          <w:lang w:bidi="ar-EG"/>
        </w:rPr>
        <w:t>المذكور آنفاً</w:t>
      </w:r>
      <w:r w:rsidRPr="00B31868">
        <w:rPr>
          <w:rFonts w:ascii="Arabic Typesetting" w:hAnsi="Arabic Typesetting" w:cs="Arabic Typesetting"/>
          <w:sz w:val="34"/>
          <w:szCs w:val="34"/>
          <w:rtl/>
          <w:lang w:bidi="ar-EG"/>
        </w:rPr>
        <w:t>، ردَّ المقاول العام السابق إلى الويبو الرصيد النهائي المستحق عليه فيما يخص المشروع. والجدير بالذكر أن الأمانة كانت قد تولت</w:t>
      </w:r>
      <w:r w:rsidR="00EA6528" w:rsidRPr="00B31868">
        <w:rPr>
          <w:rFonts w:ascii="Arabic Typesetting" w:hAnsi="Arabic Typesetting" w:cs="Arabic Typesetting"/>
          <w:sz w:val="34"/>
          <w:szCs w:val="34"/>
          <w:rtl/>
          <w:lang w:bidi="ar-EG"/>
        </w:rPr>
        <w:t>، في أغسطس 2012</w:t>
      </w:r>
      <w:r w:rsidR="00EA6528">
        <w:rPr>
          <w:rFonts w:ascii="Arabic Typesetting" w:hAnsi="Arabic Typesetting" w:cs="Arabic Typesetting" w:hint="cs"/>
          <w:sz w:val="34"/>
          <w:szCs w:val="34"/>
          <w:rtl/>
          <w:lang w:bidi="ar-EG"/>
        </w:rPr>
        <w:t>،</w:t>
      </w:r>
      <w:r w:rsidRPr="00B31868">
        <w:rPr>
          <w:rFonts w:ascii="Arabic Typesetting" w:hAnsi="Arabic Typesetting" w:cs="Arabic Typesetting"/>
          <w:sz w:val="34"/>
          <w:szCs w:val="34"/>
          <w:rtl/>
          <w:lang w:bidi="ar-EG"/>
        </w:rPr>
        <w:t xml:space="preserve"> المسؤولية المباشرة عن المشروع، مع تعزيز ولايات المعماريين والمهندسين وقائد المشروع، فضلاً عن إدخال تعديلات على الحوكمة الداخلية وهيكل إدارة المشروع، من أجل تحقيق مزيد من المرونة وسرعة الاستجابة، وللتعامل على نحوٍ استباقي وفي الوقت المناسب مع عدد من تعديلات المشروع والأمور غير المتوقعة التي </w:t>
      </w:r>
      <w:r w:rsidR="00FF1820">
        <w:rPr>
          <w:rFonts w:ascii="Arabic Typesetting" w:hAnsi="Arabic Typesetting" w:cs="Arabic Typesetting"/>
          <w:sz w:val="34"/>
          <w:szCs w:val="34"/>
          <w:rtl/>
          <w:lang w:bidi="ar-EG"/>
        </w:rPr>
        <w:t>ظهرت في أثناء تنفيذ المشروع. و</w:t>
      </w:r>
      <w:r w:rsidR="00FF1820">
        <w:rPr>
          <w:rFonts w:ascii="Arabic Typesetting" w:hAnsi="Arabic Typesetting" w:cs="Arabic Typesetting" w:hint="cs"/>
          <w:sz w:val="34"/>
          <w:szCs w:val="34"/>
          <w:rtl/>
          <w:lang w:bidi="ar-EG"/>
        </w:rPr>
        <w:t>سلِّم</w:t>
      </w:r>
      <w:r w:rsidRPr="00B31868">
        <w:rPr>
          <w:rFonts w:ascii="Arabic Typesetting" w:hAnsi="Arabic Typesetting" w:cs="Arabic Typesetting"/>
          <w:sz w:val="34"/>
          <w:szCs w:val="34"/>
          <w:rtl/>
          <w:lang w:bidi="ar-EG"/>
        </w:rPr>
        <w:t xml:space="preserve"> المشروع على عدة مراحل، مع إجراء شتى الاختبارات التقنية واختبارات الأنظمة على التوازي، </w:t>
      </w:r>
      <w:r w:rsidRPr="00B31868">
        <w:rPr>
          <w:rFonts w:ascii="Arabic Typesetting" w:hAnsi="Arabic Typesetting" w:cs="Arabic Typesetting" w:hint="cs"/>
          <w:sz w:val="34"/>
          <w:szCs w:val="34"/>
          <w:rtl/>
          <w:lang w:bidi="ar-EG"/>
        </w:rPr>
        <w:t xml:space="preserve">في </w:t>
      </w:r>
      <w:r w:rsidRPr="00B31868">
        <w:rPr>
          <w:rFonts w:ascii="Arabic Typesetting" w:hAnsi="Arabic Typesetting" w:cs="Arabic Typesetting"/>
          <w:sz w:val="34"/>
          <w:szCs w:val="34"/>
          <w:rtl/>
          <w:lang w:bidi="ar-EG"/>
        </w:rPr>
        <w:t>منطقة تلو الأخرى.</w:t>
      </w:r>
      <w:r w:rsidRPr="00B31868">
        <w:rPr>
          <w:rFonts w:ascii="Arabic Typesetting" w:hAnsi="Arabic Typesetting" w:cs="Arabic Typesetting" w:hint="cs"/>
          <w:sz w:val="34"/>
          <w:szCs w:val="34"/>
          <w:rtl/>
          <w:lang w:bidi="ar-EG"/>
        </w:rPr>
        <w:t xml:space="preserve"> </w:t>
      </w:r>
      <w:r w:rsidR="00FF1820">
        <w:rPr>
          <w:rFonts w:ascii="Arabic Typesetting" w:hAnsi="Arabic Typesetting" w:cs="Arabic Typesetting"/>
          <w:sz w:val="34"/>
          <w:szCs w:val="34"/>
          <w:rtl/>
          <w:lang w:bidi="ar-EG"/>
        </w:rPr>
        <w:t>و</w:t>
      </w:r>
      <w:r w:rsidR="00FF1820">
        <w:rPr>
          <w:rFonts w:ascii="Arabic Typesetting" w:hAnsi="Arabic Typesetting" w:cs="Arabic Typesetting" w:hint="cs"/>
          <w:sz w:val="34"/>
          <w:szCs w:val="34"/>
          <w:rtl/>
          <w:lang w:bidi="ar-EG"/>
        </w:rPr>
        <w:t>سلِّم</w:t>
      </w:r>
      <w:r w:rsidR="00FF1820"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sz w:val="34"/>
          <w:szCs w:val="34"/>
          <w:rtl/>
          <w:lang w:bidi="ar-EG"/>
        </w:rPr>
        <w:t xml:space="preserve">مركز النفاذ الجديد في يوليو 2014، </w:t>
      </w:r>
      <w:r w:rsidR="00FF1820">
        <w:rPr>
          <w:rFonts w:ascii="Arabic Typesetting" w:hAnsi="Arabic Typesetting" w:cs="Arabic Typesetting" w:hint="cs"/>
          <w:sz w:val="34"/>
          <w:szCs w:val="34"/>
          <w:rtl/>
          <w:lang w:bidi="ar-EG"/>
        </w:rPr>
        <w:t>وسلِّمت</w:t>
      </w:r>
      <w:r w:rsidRPr="00B31868">
        <w:rPr>
          <w:rFonts w:ascii="Arabic Typesetting" w:hAnsi="Arabic Typesetting" w:cs="Arabic Typesetting"/>
          <w:sz w:val="34"/>
          <w:szCs w:val="34"/>
          <w:rtl/>
          <w:lang w:bidi="ar-EG"/>
        </w:rPr>
        <w:t xml:space="preserve"> الساحة الخارجية الممتدة بين المبنى الجديد و</w:t>
      </w:r>
      <w:r w:rsidRPr="00B31868">
        <w:rPr>
          <w:rFonts w:ascii="Arabic Typesetting" w:hAnsi="Arabic Typesetting" w:cs="Arabic Typesetting" w:hint="cs"/>
          <w:sz w:val="34"/>
          <w:szCs w:val="34"/>
          <w:rtl/>
          <w:lang w:val="fr-CH" w:bidi="ar-EG"/>
        </w:rPr>
        <w:t xml:space="preserve">قاعة الويبو الجديدة للمؤتمرات </w:t>
      </w:r>
      <w:r w:rsidRPr="00B31868">
        <w:rPr>
          <w:rFonts w:ascii="Arabic Typesetting" w:hAnsi="Arabic Typesetting" w:cs="Arabic Typesetting"/>
          <w:sz w:val="34"/>
          <w:szCs w:val="34"/>
          <w:rtl/>
          <w:lang w:bidi="ar-EG"/>
        </w:rPr>
        <w:t xml:space="preserve">ومبنى </w:t>
      </w:r>
      <w:proofErr w:type="spellStart"/>
      <w:r w:rsidRPr="00B31868">
        <w:rPr>
          <w:rFonts w:ascii="Arabic Typesetting" w:hAnsi="Arabic Typesetting" w:cs="Arabic Typesetting"/>
          <w:sz w:val="34"/>
          <w:szCs w:val="34"/>
          <w:rtl/>
          <w:lang w:bidi="ar-EG"/>
        </w:rPr>
        <w:t>أرباد</w:t>
      </w:r>
      <w:proofErr w:type="spellEnd"/>
      <w:r w:rsidRPr="00B31868">
        <w:rPr>
          <w:rFonts w:ascii="Arabic Typesetting" w:hAnsi="Arabic Typesetting" w:cs="Arabic Typesetting"/>
          <w:sz w:val="34"/>
          <w:szCs w:val="34"/>
          <w:rtl/>
          <w:lang w:bidi="ar-EG"/>
        </w:rPr>
        <w:t xml:space="preserve"> </w:t>
      </w:r>
      <w:proofErr w:type="spellStart"/>
      <w:r w:rsidRPr="00B31868">
        <w:rPr>
          <w:rFonts w:ascii="Arabic Typesetting" w:hAnsi="Arabic Typesetting" w:cs="Arabic Typesetting"/>
          <w:sz w:val="34"/>
          <w:szCs w:val="34"/>
          <w:rtl/>
          <w:lang w:bidi="ar-EG"/>
        </w:rPr>
        <w:t>بوكش</w:t>
      </w:r>
      <w:proofErr w:type="spellEnd"/>
      <w:r w:rsidRPr="00B31868">
        <w:rPr>
          <w:rFonts w:ascii="Arabic Typesetting" w:hAnsi="Arabic Typesetting" w:cs="Arabic Typesetting"/>
          <w:sz w:val="34"/>
          <w:szCs w:val="34"/>
          <w:rtl/>
          <w:lang w:bidi="ar-EG"/>
        </w:rPr>
        <w:t xml:space="preserve"> في نهاية أغسطس 2014، </w:t>
      </w:r>
      <w:r w:rsidR="00FF1820">
        <w:rPr>
          <w:rFonts w:ascii="Arabic Typesetting" w:hAnsi="Arabic Typesetting" w:cs="Arabic Typesetting" w:hint="cs"/>
          <w:sz w:val="34"/>
          <w:szCs w:val="34"/>
          <w:rtl/>
          <w:lang w:bidi="ar-EG"/>
        </w:rPr>
        <w:t>وسلِّمت</w:t>
      </w:r>
      <w:r w:rsidRPr="00B31868">
        <w:rPr>
          <w:rFonts w:ascii="Arabic Typesetting" w:hAnsi="Arabic Typesetting" w:cs="Arabic Typesetting"/>
          <w:sz w:val="34"/>
          <w:szCs w:val="34"/>
          <w:rtl/>
          <w:lang w:bidi="ar-EG"/>
        </w:rPr>
        <w:t xml:space="preserve"> </w:t>
      </w:r>
      <w:r w:rsidRPr="00B31868">
        <w:rPr>
          <w:rFonts w:ascii="Arabic Typesetting" w:hAnsi="Arabic Typesetting" w:cs="Arabic Typesetting" w:hint="cs"/>
          <w:sz w:val="34"/>
          <w:szCs w:val="34"/>
          <w:rtl/>
          <w:lang w:val="fr-CH" w:bidi="ar-EG"/>
        </w:rPr>
        <w:t xml:space="preserve">قاعة الويبو الجديدة للمؤتمرات </w:t>
      </w:r>
      <w:r w:rsidRPr="00B31868">
        <w:rPr>
          <w:rFonts w:ascii="Arabic Typesetting" w:hAnsi="Arabic Typesetting" w:cs="Arabic Typesetting" w:hint="cs"/>
          <w:sz w:val="34"/>
          <w:szCs w:val="34"/>
          <w:rtl/>
          <w:lang w:bidi="ar-EG"/>
        </w:rPr>
        <w:t>وحدها</w:t>
      </w:r>
      <w:r w:rsidRPr="00B31868">
        <w:rPr>
          <w:rFonts w:ascii="Arabic Typesetting" w:hAnsi="Arabic Typesetting" w:cs="Arabic Typesetting"/>
          <w:sz w:val="34"/>
          <w:szCs w:val="34"/>
          <w:rtl/>
          <w:lang w:bidi="ar-EG"/>
        </w:rPr>
        <w:t xml:space="preserve"> في نهاية أغسطس وكانت متاحةً لعقد دورة لجنة البرنامج والميزانية في الفترة من 1 إلى 5 سبتمبر 2014، </w:t>
      </w:r>
      <w:r w:rsidR="00FF1820">
        <w:rPr>
          <w:rFonts w:ascii="Arabic Typesetting" w:hAnsi="Arabic Typesetting" w:cs="Arabic Typesetting" w:hint="cs"/>
          <w:sz w:val="34"/>
          <w:szCs w:val="34"/>
          <w:rtl/>
          <w:lang w:bidi="ar-EG"/>
        </w:rPr>
        <w:t>واستُكمل</w:t>
      </w:r>
      <w:r w:rsidRPr="00B31868">
        <w:rPr>
          <w:rFonts w:ascii="Arabic Typesetting" w:hAnsi="Arabic Typesetting" w:cs="Arabic Typesetting"/>
          <w:sz w:val="34"/>
          <w:szCs w:val="34"/>
          <w:rtl/>
          <w:lang w:bidi="ar-EG"/>
        </w:rPr>
        <w:t xml:space="preserve"> البناء الجديد والمُجدَّد بأكمله في سبتمبر 2014 في </w:t>
      </w:r>
      <w:r w:rsidRPr="00B31868">
        <w:rPr>
          <w:rFonts w:ascii="Arabic Typesetting" w:hAnsi="Arabic Typesetting" w:cs="Arabic Typesetting" w:hint="cs"/>
          <w:sz w:val="34"/>
          <w:szCs w:val="34"/>
          <w:rtl/>
          <w:lang w:val="fr-CH" w:bidi="ar-EG"/>
        </w:rPr>
        <w:t xml:space="preserve">قاعة الويبو الجديدة للمؤتمرات </w:t>
      </w:r>
      <w:r w:rsidRPr="00B31868">
        <w:rPr>
          <w:rFonts w:ascii="Arabic Typesetting" w:hAnsi="Arabic Typesetting" w:cs="Arabic Typesetting"/>
          <w:sz w:val="34"/>
          <w:szCs w:val="34"/>
          <w:rtl/>
          <w:lang w:bidi="ar-EG"/>
        </w:rPr>
        <w:t xml:space="preserve">وثلاثة طوابق من مبنى </w:t>
      </w:r>
      <w:proofErr w:type="spellStart"/>
      <w:r w:rsidRPr="00B31868">
        <w:rPr>
          <w:rFonts w:ascii="Arabic Typesetting" w:hAnsi="Arabic Typesetting" w:cs="Arabic Typesetting"/>
          <w:sz w:val="34"/>
          <w:szCs w:val="34"/>
          <w:rtl/>
          <w:lang w:bidi="ar-EG"/>
        </w:rPr>
        <w:t>أرباد</w:t>
      </w:r>
      <w:proofErr w:type="spellEnd"/>
      <w:r w:rsidRPr="00B31868">
        <w:rPr>
          <w:rFonts w:ascii="Arabic Typesetting" w:hAnsi="Arabic Typesetting" w:cs="Arabic Typesetting"/>
          <w:sz w:val="34"/>
          <w:szCs w:val="34"/>
          <w:rtl/>
          <w:lang w:bidi="ar-EG"/>
        </w:rPr>
        <w:t xml:space="preserve"> </w:t>
      </w:r>
      <w:proofErr w:type="spellStart"/>
      <w:r w:rsidRPr="00B31868">
        <w:rPr>
          <w:rFonts w:ascii="Arabic Typesetting" w:hAnsi="Arabic Typesetting" w:cs="Arabic Typesetting"/>
          <w:sz w:val="34"/>
          <w:szCs w:val="34"/>
          <w:rtl/>
          <w:lang w:bidi="ar-EG"/>
        </w:rPr>
        <w:t>بوكش</w:t>
      </w:r>
      <w:proofErr w:type="spellEnd"/>
      <w:r w:rsidRPr="00B31868">
        <w:rPr>
          <w:rFonts w:ascii="Arabic Typesetting" w:hAnsi="Arabic Typesetting" w:cs="Arabic Typesetting"/>
          <w:sz w:val="34"/>
          <w:szCs w:val="34"/>
          <w:rtl/>
          <w:lang w:bidi="ar-EG"/>
        </w:rPr>
        <w:t xml:space="preserve">، وأصبح متاحاً لاستضافة دورة جمعيات الويبو في الفترة من 22 إلى 30 سبتمبر 2014، التي تضمنت افتتاح </w:t>
      </w:r>
      <w:r w:rsidRPr="00B31868">
        <w:rPr>
          <w:rFonts w:ascii="Arabic Typesetting" w:hAnsi="Arabic Typesetting" w:cs="Arabic Typesetting" w:hint="cs"/>
          <w:sz w:val="34"/>
          <w:szCs w:val="34"/>
          <w:rtl/>
          <w:lang w:val="fr-CH" w:bidi="ar-EG"/>
        </w:rPr>
        <w:t xml:space="preserve">قاعة الويبو الجديدة للمؤتمرات </w:t>
      </w:r>
      <w:r w:rsidRPr="00B31868">
        <w:rPr>
          <w:rFonts w:ascii="Arabic Typesetting" w:hAnsi="Arabic Typesetting" w:cs="Arabic Typesetting"/>
          <w:sz w:val="34"/>
          <w:szCs w:val="34"/>
          <w:rtl/>
          <w:lang w:bidi="ar-EG"/>
        </w:rPr>
        <w:t>في يوم افتتاح الدورة بحضور الدول الأعضاء في الويبو والمراقبين ومسؤولين من البلد المضيف (على مستوى الاتحادات والولايات والبلديات) وممثلين عن وكالات الأمم المتحدة الأخرى، ومن نحو 70 شركة ومؤسسة ساهمت في التشييد وإنهاء المشروع</w:t>
      </w:r>
      <w:r w:rsidR="009350CB">
        <w:rPr>
          <w:rFonts w:ascii="Arabic Typesetting" w:hAnsi="Arabic Typesetting" w:cs="Arabic Typesetting" w:hint="cs"/>
          <w:sz w:val="34"/>
          <w:szCs w:val="34"/>
          <w:rtl/>
          <w:lang w:bidi="ar-EG"/>
        </w:rPr>
        <w:t xml:space="preserve"> فضلاً عن دول أعضاء وهيئات مراقبة في الويبو</w:t>
      </w:r>
      <w:r w:rsidRPr="00B31868">
        <w:rPr>
          <w:rFonts w:ascii="Arabic Typesetting" w:hAnsi="Arabic Typesetting" w:cs="Arabic Typesetting"/>
          <w:sz w:val="34"/>
          <w:szCs w:val="34"/>
          <w:rtl/>
          <w:lang w:bidi="ar-EG"/>
        </w:rPr>
        <w:t xml:space="preserve">. </w:t>
      </w:r>
      <w:r w:rsidR="009350CB">
        <w:rPr>
          <w:rFonts w:ascii="Arabic Typesetting" w:hAnsi="Arabic Typesetting" w:cs="Arabic Typesetting" w:hint="cs"/>
          <w:sz w:val="34"/>
          <w:szCs w:val="34"/>
          <w:rtl/>
          <w:lang w:bidi="ar-EG"/>
        </w:rPr>
        <w:t xml:space="preserve">وتعين معالجة </w:t>
      </w:r>
      <w:r w:rsidRPr="00B31868">
        <w:rPr>
          <w:rFonts w:ascii="Arabic Typesetting" w:hAnsi="Arabic Typesetting" w:cs="Arabic Typesetting"/>
          <w:sz w:val="34"/>
          <w:szCs w:val="34"/>
          <w:rtl/>
          <w:lang w:bidi="ar-EG"/>
        </w:rPr>
        <w:t>عدد من عناصر الساحة الخارجية</w:t>
      </w:r>
      <w:r w:rsidR="009350CB">
        <w:rPr>
          <w:rFonts w:ascii="Arabic Typesetting" w:hAnsi="Arabic Typesetting" w:cs="Arabic Typesetting" w:hint="cs"/>
          <w:sz w:val="34"/>
          <w:szCs w:val="34"/>
          <w:rtl/>
          <w:lang w:bidi="ar-EG"/>
        </w:rPr>
        <w:t xml:space="preserve"> خلال</w:t>
      </w:r>
      <w:r w:rsidRPr="00B31868">
        <w:rPr>
          <w:rFonts w:ascii="Arabic Typesetting" w:hAnsi="Arabic Typesetting" w:cs="Arabic Typesetting"/>
          <w:sz w:val="34"/>
          <w:szCs w:val="34"/>
          <w:rtl/>
          <w:lang w:bidi="ar-EG"/>
        </w:rPr>
        <w:t xml:space="preserve"> عام 2015. واستُخدمت </w:t>
      </w:r>
      <w:r w:rsidRPr="00B31868">
        <w:rPr>
          <w:rFonts w:ascii="Arabic Typesetting" w:hAnsi="Arabic Typesetting" w:cs="Arabic Typesetting" w:hint="cs"/>
          <w:sz w:val="34"/>
          <w:szCs w:val="34"/>
          <w:rtl/>
          <w:lang w:val="fr-CH" w:bidi="ar-EG"/>
        </w:rPr>
        <w:t xml:space="preserve">قاعة الويبو الجديدة للمؤتمرات </w:t>
      </w:r>
      <w:r w:rsidRPr="00B31868">
        <w:rPr>
          <w:rFonts w:ascii="Arabic Typesetting" w:hAnsi="Arabic Typesetting" w:cs="Arabic Typesetting"/>
          <w:sz w:val="34"/>
          <w:szCs w:val="34"/>
          <w:rtl/>
          <w:lang w:bidi="ar-EG"/>
        </w:rPr>
        <w:t>والمرافق الجديدة أو المُجدَّدة المجاورة لها في مرات متعددة</w:t>
      </w:r>
      <w:r w:rsidR="009350CB">
        <w:rPr>
          <w:rFonts w:ascii="Arabic Typesetting" w:hAnsi="Arabic Typesetting" w:cs="Arabic Typesetting" w:hint="cs"/>
          <w:sz w:val="34"/>
          <w:szCs w:val="34"/>
          <w:rtl/>
          <w:lang w:bidi="ar-EG"/>
        </w:rPr>
        <w:t xml:space="preserve"> منذ نهاية عام 2014</w:t>
      </w:r>
      <w:r w:rsidRPr="00B31868">
        <w:rPr>
          <w:rFonts w:ascii="Arabic Typesetting" w:hAnsi="Arabic Typesetting" w:cs="Arabic Typesetting"/>
          <w:sz w:val="34"/>
          <w:szCs w:val="34"/>
          <w:rtl/>
          <w:lang w:bidi="ar-EG"/>
        </w:rPr>
        <w:t xml:space="preserve"> لاستضافة اجتماعات الدول الأعضاء في الويبو وغيرها من الاجتماعات</w:t>
      </w:r>
      <w:r w:rsidR="009350CB">
        <w:rPr>
          <w:rFonts w:ascii="Arabic Typesetting" w:hAnsi="Arabic Typesetting" w:cs="Arabic Typesetting" w:hint="cs"/>
          <w:sz w:val="34"/>
          <w:szCs w:val="34"/>
          <w:rtl/>
          <w:lang w:bidi="ar-EG"/>
        </w:rPr>
        <w:t>، وتأجيرها للدول الأعضاء ولهيئات خارجية</w:t>
      </w:r>
      <w:r w:rsidRPr="00B31868">
        <w:rPr>
          <w:rFonts w:ascii="Arabic Typesetting" w:hAnsi="Arabic Typesetting" w:cs="Arabic Typesetting"/>
          <w:sz w:val="34"/>
          <w:szCs w:val="34"/>
          <w:rtl/>
          <w:lang w:bidi="ar-EG"/>
        </w:rPr>
        <w:t>. وقد اكتمل المشروع في الوقت المحدد من أجل</w:t>
      </w:r>
      <w:r w:rsidRPr="00B31868">
        <w:rPr>
          <w:rFonts w:ascii="Arabic Typesetting" w:hAnsi="Arabic Typesetting" w:cs="Arabic Typesetting" w:hint="cs"/>
          <w:sz w:val="34"/>
          <w:szCs w:val="34"/>
          <w:rtl/>
          <w:lang w:bidi="ar-EG"/>
        </w:rPr>
        <w:t xml:space="preserve"> استضافة</w:t>
      </w:r>
      <w:r w:rsidRPr="00B31868">
        <w:rPr>
          <w:rFonts w:ascii="Arabic Typesetting" w:hAnsi="Arabic Typesetting" w:cs="Arabic Typesetting"/>
          <w:sz w:val="34"/>
          <w:szCs w:val="34"/>
          <w:rtl/>
          <w:lang w:bidi="ar-EG"/>
        </w:rPr>
        <w:t xml:space="preserve"> جمعيات الويبو، </w:t>
      </w:r>
      <w:r w:rsidR="00A55940">
        <w:rPr>
          <w:rFonts w:ascii="Arabic Typesetting" w:hAnsi="Arabic Typesetting" w:cs="Arabic Typesetting" w:hint="cs"/>
          <w:sz w:val="34"/>
          <w:szCs w:val="34"/>
          <w:rtl/>
          <w:lang w:bidi="ar-EG"/>
        </w:rPr>
        <w:t>على الرغم من</w:t>
      </w:r>
      <w:r w:rsidRPr="00B31868">
        <w:rPr>
          <w:rFonts w:ascii="Arabic Typesetting" w:hAnsi="Arabic Typesetting" w:cs="Arabic Typesetting"/>
          <w:sz w:val="34"/>
          <w:szCs w:val="34"/>
          <w:rtl/>
          <w:lang w:bidi="ar-EG"/>
        </w:rPr>
        <w:t xml:space="preserve"> أنها </w:t>
      </w:r>
      <w:r w:rsidR="00A55940">
        <w:rPr>
          <w:rFonts w:ascii="Arabic Typesetting" w:hAnsi="Arabic Typesetting" w:cs="Arabic Typesetting" w:hint="cs"/>
          <w:sz w:val="34"/>
          <w:szCs w:val="34"/>
          <w:rtl/>
          <w:lang w:bidi="ar-EG"/>
        </w:rPr>
        <w:t>أُجلت</w:t>
      </w:r>
      <w:r w:rsidRPr="00B31868">
        <w:rPr>
          <w:rFonts w:ascii="Arabic Typesetting" w:hAnsi="Arabic Typesetting" w:cs="Arabic Typesetting"/>
          <w:sz w:val="34"/>
          <w:szCs w:val="34"/>
          <w:rtl/>
          <w:lang w:bidi="ar-EG"/>
        </w:rPr>
        <w:t xml:space="preserve"> من أبريل 2014 إلى سبتمبر 2014، نظراً </w:t>
      </w:r>
      <w:r w:rsidR="00A55940">
        <w:rPr>
          <w:rFonts w:ascii="Arabic Typesetting" w:hAnsi="Arabic Typesetting" w:cs="Arabic Typesetting" w:hint="cs"/>
          <w:sz w:val="34"/>
          <w:szCs w:val="34"/>
          <w:rtl/>
          <w:lang w:bidi="ar-EG"/>
        </w:rPr>
        <w:t xml:space="preserve">إلى </w:t>
      </w:r>
      <w:r w:rsidRPr="00B31868">
        <w:rPr>
          <w:rFonts w:ascii="Arabic Typesetting" w:hAnsi="Arabic Typesetting" w:cs="Arabic Typesetting"/>
          <w:sz w:val="34"/>
          <w:szCs w:val="34"/>
          <w:rtl/>
          <w:lang w:bidi="ar-EG"/>
        </w:rPr>
        <w:t xml:space="preserve">تعقد موقع العمل خصوصاً في الأشهر </w:t>
      </w:r>
      <w:r w:rsidR="00B96D17">
        <w:rPr>
          <w:rFonts w:ascii="Arabic Typesetting" w:hAnsi="Arabic Typesetting" w:cs="Arabic Typesetting" w:hint="cs"/>
          <w:sz w:val="34"/>
          <w:szCs w:val="34"/>
          <w:rtl/>
          <w:lang w:bidi="ar-EG"/>
        </w:rPr>
        <w:t>الأخيرة</w:t>
      </w:r>
      <w:r w:rsidRPr="00B31868">
        <w:rPr>
          <w:rFonts w:ascii="Arabic Typesetting" w:hAnsi="Arabic Typesetting" w:cs="Arabic Typesetting"/>
          <w:sz w:val="34"/>
          <w:szCs w:val="34"/>
          <w:rtl/>
          <w:lang w:bidi="ar-EG"/>
        </w:rPr>
        <w:t xml:space="preserve">. </w:t>
      </w:r>
      <w:r w:rsidR="009F5F08">
        <w:rPr>
          <w:rFonts w:ascii="Arabic Typesetting" w:hAnsi="Arabic Typesetting" w:cs="Arabic Typesetting" w:hint="cs"/>
          <w:sz w:val="34"/>
          <w:szCs w:val="34"/>
          <w:rtl/>
          <w:lang w:bidi="ar-EG"/>
        </w:rPr>
        <w:t>وتسنى التصديق</w:t>
      </w:r>
      <w:r w:rsidRPr="00B31868">
        <w:rPr>
          <w:rFonts w:ascii="Arabic Typesetting" w:hAnsi="Arabic Typesetting" w:cs="Arabic Typesetting"/>
          <w:sz w:val="34"/>
          <w:szCs w:val="34"/>
          <w:rtl/>
          <w:lang w:bidi="ar-EG"/>
        </w:rPr>
        <w:t xml:space="preserve"> على الحسابات الختامية مع بعض الشركات والمؤسسات بحلول نهاية عام 2014، </w:t>
      </w:r>
      <w:r w:rsidR="009F5F08">
        <w:rPr>
          <w:rFonts w:ascii="Arabic Typesetting" w:hAnsi="Arabic Typesetting" w:cs="Arabic Typesetting" w:hint="cs"/>
          <w:sz w:val="34"/>
          <w:szCs w:val="34"/>
          <w:rtl/>
          <w:lang w:bidi="ar-EG"/>
        </w:rPr>
        <w:t>وأغلقت</w:t>
      </w:r>
      <w:r w:rsidRPr="00B31868">
        <w:rPr>
          <w:rFonts w:ascii="Arabic Typesetting" w:hAnsi="Arabic Typesetting" w:cs="Arabic Typesetting"/>
          <w:sz w:val="34"/>
          <w:szCs w:val="34"/>
          <w:rtl/>
          <w:lang w:bidi="ar-EG"/>
        </w:rPr>
        <w:t xml:space="preserve"> غالبية الحسابات </w:t>
      </w:r>
      <w:r w:rsidR="009350CB">
        <w:rPr>
          <w:rFonts w:ascii="Arabic Typesetting" w:hAnsi="Arabic Typesetting" w:cs="Arabic Typesetting" w:hint="cs"/>
          <w:sz w:val="34"/>
          <w:szCs w:val="34"/>
          <w:rtl/>
          <w:lang w:bidi="ar-EG"/>
        </w:rPr>
        <w:t>بحلول نهاية</w:t>
      </w:r>
      <w:r w:rsidRPr="00B31868">
        <w:rPr>
          <w:rFonts w:ascii="Arabic Typesetting" w:hAnsi="Arabic Typesetting" w:cs="Arabic Typesetting"/>
          <w:sz w:val="34"/>
          <w:szCs w:val="34"/>
          <w:rtl/>
          <w:lang w:bidi="ar-EG"/>
        </w:rPr>
        <w:t xml:space="preserve"> عام 2015</w:t>
      </w:r>
      <w:r w:rsidR="009350CB">
        <w:rPr>
          <w:rFonts w:ascii="Arabic Typesetting" w:hAnsi="Arabic Typesetting" w:cs="Arabic Typesetting" w:hint="cs"/>
          <w:sz w:val="34"/>
          <w:szCs w:val="34"/>
          <w:rtl/>
          <w:lang w:bidi="ar-EG"/>
        </w:rPr>
        <w:t xml:space="preserve"> ولم يتبق سوى بضع حسابات يزمع الانتهاء منها في أوائل عام 2016</w:t>
      </w:r>
      <w:r w:rsidRPr="00B31868">
        <w:rPr>
          <w:rFonts w:ascii="Arabic Typesetting" w:hAnsi="Arabic Typesetting" w:cs="Arabic Typesetting"/>
          <w:sz w:val="34"/>
          <w:szCs w:val="34"/>
          <w:rtl/>
          <w:lang w:bidi="ar-EG"/>
        </w:rPr>
        <w:t>.</w:t>
      </w:r>
    </w:p>
    <w:p w:rsidR="00B31868" w:rsidRPr="00E439F5" w:rsidRDefault="00B31868" w:rsidP="00E439F5">
      <w:pPr>
        <w:keepNext/>
        <w:bidi/>
        <w:spacing w:before="120" w:after="120" w:line="340" w:lineRule="exact"/>
        <w:rPr>
          <w:rFonts w:ascii="Arabic Typesetting" w:hAnsi="Arabic Typesetting" w:cs="Arabic Typesetting"/>
          <w:sz w:val="34"/>
          <w:szCs w:val="34"/>
        </w:rPr>
      </w:pPr>
      <w:r w:rsidRPr="00E439F5">
        <w:rPr>
          <w:rFonts w:ascii="Arabic Typesetting" w:hAnsi="Arabic Typesetting" w:cs="Arabic Typesetting"/>
          <w:sz w:val="34"/>
          <w:szCs w:val="34"/>
          <w:rtl/>
        </w:rPr>
        <w:lastRenderedPageBreak/>
        <w:t>بيانات الأداء</w:t>
      </w:r>
    </w:p>
    <w:tbl>
      <w:tblPr>
        <w:bidiVisual/>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70"/>
        <w:gridCol w:w="198"/>
        <w:gridCol w:w="1329"/>
        <w:gridCol w:w="88"/>
        <w:gridCol w:w="1561"/>
        <w:gridCol w:w="60"/>
        <w:gridCol w:w="3200"/>
        <w:gridCol w:w="851"/>
      </w:tblGrid>
      <w:tr w:rsidR="00B31868" w:rsidRPr="00211D55" w:rsidTr="00285760">
        <w:trPr>
          <w:cantSplit/>
          <w:trHeight w:val="379"/>
        </w:trPr>
        <w:tc>
          <w:tcPr>
            <w:tcW w:w="5000" w:type="pct"/>
            <w:gridSpan w:val="8"/>
            <w:tcBorders>
              <w:top w:val="single" w:sz="4" w:space="0" w:color="auto"/>
              <w:left w:val="single" w:sz="4" w:space="0" w:color="auto"/>
              <w:bottom w:val="nil"/>
              <w:right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hAnsi="Arabic Typesetting" w:cs="Arabic Typesetting"/>
                <w:bCs/>
                <w:sz w:val="28"/>
                <w:szCs w:val="28"/>
                <w:rtl/>
                <w:lang w:bidi="ar-EG"/>
              </w:rPr>
            </w:pPr>
            <w:r w:rsidRPr="00211D55">
              <w:rPr>
                <w:rFonts w:ascii="Arabic Typesetting" w:hAnsi="Arabic Typesetting" w:cs="Arabic Typesetting"/>
                <w:bCs/>
                <w:sz w:val="28"/>
                <w:szCs w:val="28"/>
                <w:rtl/>
              </w:rPr>
              <w:t>النتيجة المرتقبة:</w:t>
            </w:r>
            <w:r w:rsidRPr="00211D55">
              <w:rPr>
                <w:rFonts w:ascii="Arabic Typesetting" w:hAnsi="Arabic Typesetting" w:cs="Arabic Typesetting"/>
                <w:bCs/>
                <w:sz w:val="28"/>
                <w:szCs w:val="28"/>
                <w:rtl/>
              </w:rPr>
              <w:tab/>
            </w:r>
            <w:r w:rsidRPr="00211D55">
              <w:rPr>
                <w:rFonts w:ascii="Arabic Typesetting" w:hAnsi="Arabic Typesetting" w:cs="Arabic Typesetting"/>
                <w:sz w:val="28"/>
                <w:szCs w:val="28"/>
                <w:rtl/>
              </w:rPr>
              <w:t xml:space="preserve">ھ1.9 </w:t>
            </w:r>
            <w:r w:rsidR="003F15BC">
              <w:rPr>
                <w:rFonts w:ascii="Arabic Typesetting" w:hAnsi="Arabic Typesetting" w:cs="Arabic Typesetting"/>
                <w:sz w:val="28"/>
                <w:szCs w:val="28"/>
                <w:rtl/>
                <w:lang w:bidi="ar-EG"/>
              </w:rPr>
              <w:t>خدمات دعم فعالة وناجعة وذات جودة موجهة نحو الزبائن لفائدة الزبائن الداخليين وأصحاب المصالح الخارجيين</w:t>
            </w:r>
          </w:p>
        </w:tc>
      </w:tr>
      <w:tr w:rsidR="00B31868" w:rsidRPr="00211D55" w:rsidTr="009350CB">
        <w:trPr>
          <w:cantSplit/>
        </w:trPr>
        <w:tc>
          <w:tcPr>
            <w:tcW w:w="1212" w:type="pct"/>
            <w:gridSpan w:val="2"/>
            <w:tcBorders>
              <w:top w:val="single" w:sz="4" w:space="0" w:color="auto"/>
              <w:left w:val="single" w:sz="4" w:space="0" w:color="auto"/>
              <w:bottom w:val="nil"/>
            </w:tcBorders>
            <w:shd w:val="clear" w:color="auto" w:fill="auto"/>
            <w:vAlign w:val="center"/>
          </w:tcPr>
          <w:p w:rsidR="00B31868" w:rsidRPr="00211D55" w:rsidRDefault="00B31868" w:rsidP="00086C3F">
            <w:pPr>
              <w:keepNext/>
              <w:widowControl w:val="0"/>
              <w:bidi/>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b/>
                <w:bCs/>
                <w:sz w:val="28"/>
                <w:szCs w:val="28"/>
                <w:rtl/>
              </w:rPr>
              <w:t>مؤشرات الأداء</w:t>
            </w:r>
          </w:p>
        </w:tc>
        <w:tc>
          <w:tcPr>
            <w:tcW w:w="757" w:type="pct"/>
            <w:gridSpan w:val="2"/>
            <w:tcBorders>
              <w:top w:val="single" w:sz="4" w:space="0" w:color="auto"/>
              <w:bottom w:val="nil"/>
            </w:tcBorders>
            <w:shd w:val="clear" w:color="auto" w:fill="auto"/>
            <w:vAlign w:val="center"/>
          </w:tcPr>
          <w:p w:rsidR="00B31868" w:rsidRPr="00211D55" w:rsidRDefault="00B31868" w:rsidP="00086C3F">
            <w:pPr>
              <w:keepNext/>
              <w:widowControl w:val="0"/>
              <w:bidi/>
              <w:spacing w:before="60" w:after="60" w:line="28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866" w:type="pct"/>
            <w:gridSpan w:val="2"/>
            <w:tcBorders>
              <w:top w:val="single" w:sz="4" w:space="0" w:color="auto"/>
              <w:bottom w:val="nil"/>
            </w:tcBorders>
            <w:shd w:val="clear" w:color="auto" w:fill="auto"/>
            <w:tcMar>
              <w:top w:w="110" w:type="dxa"/>
            </w:tcMar>
            <w:vAlign w:val="center"/>
          </w:tcPr>
          <w:p w:rsidR="00B31868" w:rsidRPr="00211D55" w:rsidRDefault="00B31868" w:rsidP="00086C3F">
            <w:pPr>
              <w:keepNext/>
              <w:widowControl w:val="0"/>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710" w:type="pct"/>
            <w:tcBorders>
              <w:top w:val="single" w:sz="4" w:space="0" w:color="auto"/>
              <w:bottom w:val="nil"/>
            </w:tcBorders>
            <w:shd w:val="clear" w:color="auto" w:fill="FFFFFF"/>
            <w:tcMar>
              <w:top w:w="110" w:type="dxa"/>
            </w:tcMar>
            <w:vAlign w:val="center"/>
          </w:tcPr>
          <w:p w:rsidR="00B31868" w:rsidRPr="00211D55" w:rsidRDefault="00B31868" w:rsidP="00086C3F">
            <w:pPr>
              <w:keepNext/>
              <w:widowControl w:val="0"/>
              <w:bidi/>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b/>
                <w:bCs/>
                <w:sz w:val="28"/>
                <w:szCs w:val="28"/>
                <w:rtl/>
              </w:rPr>
              <w:t>بيانات الأداء</w:t>
            </w:r>
          </w:p>
        </w:tc>
        <w:tc>
          <w:tcPr>
            <w:tcW w:w="455" w:type="pct"/>
            <w:tcBorders>
              <w:top w:val="single" w:sz="4" w:space="0" w:color="auto"/>
              <w:bottom w:val="nil"/>
              <w:right w:val="single" w:sz="4" w:space="0" w:color="auto"/>
            </w:tcBorders>
            <w:shd w:val="clear" w:color="auto" w:fill="auto"/>
            <w:tcMar>
              <w:top w:w="110" w:type="dxa"/>
            </w:tcMar>
            <w:vAlign w:val="center"/>
          </w:tcPr>
          <w:p w:rsidR="00B31868" w:rsidRPr="00211D55" w:rsidRDefault="00B31868" w:rsidP="00086C3F">
            <w:pPr>
              <w:keepNext/>
              <w:widowControl w:val="0"/>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B31868" w:rsidRPr="00211D55" w:rsidTr="009350CB">
        <w:trPr>
          <w:cantSplit/>
        </w:trPr>
        <w:tc>
          <w:tcPr>
            <w:tcW w:w="1212" w:type="pct"/>
            <w:gridSpan w:val="2"/>
            <w:tcBorders>
              <w:top w:val="nil"/>
              <w:left w:val="single" w:sz="4" w:space="0" w:color="auto"/>
              <w:bottom w:val="nil"/>
            </w:tcBorders>
            <w:shd w:val="clear" w:color="auto" w:fill="auto"/>
          </w:tcPr>
          <w:p w:rsidR="00B31868" w:rsidRPr="00211D55" w:rsidRDefault="00B31868" w:rsidP="00086C3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إكمال مشروع قاعة المؤتمرات الجديدة في الموعد المحدد وفي حدود الميزانية ووفقاً لشروط الجودة</w:t>
            </w:r>
          </w:p>
        </w:tc>
        <w:tc>
          <w:tcPr>
            <w:tcW w:w="757" w:type="pct"/>
            <w:gridSpan w:val="2"/>
            <w:tcBorders>
              <w:top w:val="nil"/>
              <w:bottom w:val="nil"/>
            </w:tcBorders>
            <w:shd w:val="clear" w:color="auto" w:fill="auto"/>
          </w:tcPr>
          <w:p w:rsidR="00B31868" w:rsidRPr="00211D55" w:rsidRDefault="00B31868" w:rsidP="00B246E1">
            <w:pPr>
              <w:widowControl w:val="0"/>
              <w:bidi/>
              <w:spacing w:before="60" w:after="60" w:line="280" w:lineRule="exact"/>
              <w:rPr>
                <w:rFonts w:ascii="Arabic Typesetting" w:hAnsi="Arabic Typesetting" w:cs="Arabic Typesetting"/>
                <w:i/>
                <w:sz w:val="28"/>
                <w:szCs w:val="28"/>
              </w:rPr>
            </w:pPr>
            <w:r w:rsidRPr="00211D55">
              <w:rPr>
                <w:rFonts w:ascii="Arabic Typesetting" w:hAnsi="Arabic Typesetting" w:cs="Arabic Typesetting"/>
                <w:sz w:val="28"/>
                <w:szCs w:val="28"/>
                <w:rtl/>
              </w:rPr>
              <w:t>ضمان تنفيذ القاعة في حدود الميزانية ووفقا للتاريخ الإتمام المعدّل (بسبب إنهاء عقد المقاول العام) لاستضافة جمعيات الدول الأعضاء في</w:t>
            </w:r>
            <w:r w:rsidR="00B246E1">
              <w:rPr>
                <w:rFonts w:ascii="Arabic Typesetting" w:hAnsi="Arabic Typesetting" w:cs="Arabic Typesetting" w:hint="cs"/>
                <w:sz w:val="28"/>
                <w:szCs w:val="28"/>
                <w:rtl/>
              </w:rPr>
              <w:t> </w:t>
            </w:r>
            <w:r w:rsidRPr="00211D55">
              <w:rPr>
                <w:rFonts w:ascii="Arabic Typesetting" w:hAnsi="Arabic Typesetting" w:cs="Arabic Typesetting"/>
                <w:sz w:val="28"/>
                <w:szCs w:val="28"/>
                <w:rtl/>
              </w:rPr>
              <w:t>2014</w:t>
            </w:r>
          </w:p>
        </w:tc>
        <w:tc>
          <w:tcPr>
            <w:tcW w:w="866" w:type="pct"/>
            <w:gridSpan w:val="2"/>
            <w:tcBorders>
              <w:top w:val="nil"/>
              <w:bottom w:val="nil"/>
            </w:tcBorders>
            <w:shd w:val="clear" w:color="auto" w:fill="auto"/>
            <w:tcMar>
              <w:top w:w="110" w:type="dxa"/>
            </w:tcMar>
          </w:tcPr>
          <w:p w:rsidR="00B31868" w:rsidRPr="00211D55" w:rsidRDefault="00B31868" w:rsidP="00086C3F">
            <w:pPr>
              <w:widowControl w:val="0"/>
              <w:bidi/>
              <w:spacing w:before="60" w:after="60" w:line="280" w:lineRule="exact"/>
              <w:rPr>
                <w:rFonts w:ascii="Arabic Typesetting" w:hAnsi="Arabic Typesetting" w:cs="Arabic Typesetting"/>
                <w:i/>
                <w:sz w:val="28"/>
                <w:szCs w:val="28"/>
                <w:rtl/>
                <w:lang w:bidi="ar-EG"/>
              </w:rPr>
            </w:pPr>
            <w:r w:rsidRPr="00211D55">
              <w:rPr>
                <w:rFonts w:ascii="Arabic Typesetting" w:hAnsi="Arabic Typesetting" w:cs="Arabic Typesetting"/>
                <w:sz w:val="28"/>
                <w:szCs w:val="28"/>
                <w:rtl/>
              </w:rPr>
              <w:t>عقد جمعيات الدول الأعضاء لعام 2014 في قاعة المؤتمرات الجديدة</w:t>
            </w:r>
          </w:p>
        </w:tc>
        <w:tc>
          <w:tcPr>
            <w:tcW w:w="1710" w:type="pct"/>
            <w:tcBorders>
              <w:top w:val="nil"/>
              <w:bottom w:val="nil"/>
            </w:tcBorders>
            <w:shd w:val="clear" w:color="auto" w:fill="FFFFFF"/>
            <w:tcMar>
              <w:top w:w="110" w:type="dxa"/>
            </w:tcMar>
          </w:tcPr>
          <w:p w:rsidR="00B31868" w:rsidRPr="00211D55" w:rsidRDefault="009F5F08" w:rsidP="009F5F08">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استُكملت</w:t>
            </w:r>
            <w:r w:rsidR="00B31868" w:rsidRPr="00211D55">
              <w:rPr>
                <w:rFonts w:ascii="Arabic Typesetting" w:hAnsi="Arabic Typesetting" w:cs="Arabic Typesetting"/>
                <w:sz w:val="28"/>
                <w:szCs w:val="28"/>
                <w:rtl/>
              </w:rPr>
              <w:t xml:space="preserve"> قاعة المؤتمرات الجديدة </w:t>
            </w:r>
            <w:r w:rsidRPr="00211D55">
              <w:rPr>
                <w:rFonts w:ascii="Arabic Typesetting" w:hAnsi="Arabic Typesetting" w:cs="Arabic Typesetting"/>
                <w:sz w:val="28"/>
                <w:szCs w:val="28"/>
                <w:rtl/>
              </w:rPr>
              <w:t>وسلِّمت</w:t>
            </w:r>
            <w:r w:rsidR="00B31868" w:rsidRPr="00211D55">
              <w:rPr>
                <w:rFonts w:ascii="Arabic Typesetting" w:hAnsi="Arabic Typesetting" w:cs="Arabic Typesetting"/>
                <w:sz w:val="28"/>
                <w:szCs w:val="28"/>
                <w:rtl/>
              </w:rPr>
              <w:t xml:space="preserve"> في الوقت المحدد ووفقاً لشروط الجودة</w:t>
            </w:r>
            <w:r w:rsidR="00B31868" w:rsidRPr="00211D55">
              <w:rPr>
                <w:rFonts w:ascii="Arabic Typesetting" w:hAnsi="Arabic Typesetting" w:cs="Arabic Typesetting"/>
                <w:sz w:val="28"/>
                <w:szCs w:val="28"/>
              </w:rPr>
              <w:t>.</w:t>
            </w:r>
          </w:p>
          <w:p w:rsidR="00B31868" w:rsidRPr="00211D55" w:rsidRDefault="00B31868" w:rsidP="00086C3F">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 xml:space="preserve">كان أول اجتماع رسمي يُعقد في </w:t>
            </w:r>
            <w:r w:rsidRPr="00211D55">
              <w:rPr>
                <w:rFonts w:ascii="Arabic Typesetting" w:hAnsi="Arabic Typesetting" w:cs="Arabic Typesetting"/>
                <w:sz w:val="28"/>
                <w:szCs w:val="28"/>
                <w:rtl/>
                <w:lang w:val="fr-CH"/>
              </w:rPr>
              <w:t xml:space="preserve">قاعة الويبو الجديدة للمؤتمرات </w:t>
            </w:r>
            <w:r w:rsidRPr="00211D55">
              <w:rPr>
                <w:rFonts w:ascii="Arabic Typesetting" w:hAnsi="Arabic Typesetting" w:cs="Arabic Typesetting"/>
                <w:sz w:val="28"/>
                <w:szCs w:val="28"/>
                <w:rtl/>
              </w:rPr>
              <w:t xml:space="preserve">في عام 2014 هو اجتماع لجنة البرنامج والميزانية في الفترة من 1 إلى 5 سبتمبر 2014. وعُقدت جمعيات الدول الأعضاء في الويبو لعام 2014 في الفترة من 22 إلى 30 سبتمبر 2014، وعُقدت مراسم افتتاح </w:t>
            </w:r>
            <w:r w:rsidRPr="00211D55">
              <w:rPr>
                <w:rFonts w:ascii="Arabic Typesetting" w:hAnsi="Arabic Typesetting" w:cs="Arabic Typesetting"/>
                <w:sz w:val="28"/>
                <w:szCs w:val="28"/>
                <w:rtl/>
                <w:lang w:val="fr-CH"/>
              </w:rPr>
              <w:t xml:space="preserve">قاعة الويبو الجديدة للمؤتمرات </w:t>
            </w:r>
            <w:r w:rsidRPr="00211D55">
              <w:rPr>
                <w:rFonts w:ascii="Arabic Typesetting" w:hAnsi="Arabic Typesetting" w:cs="Arabic Typesetting"/>
                <w:sz w:val="28"/>
                <w:szCs w:val="28"/>
                <w:rtl/>
              </w:rPr>
              <w:t>في اليوم الأول</w:t>
            </w:r>
            <w:r w:rsidRPr="00211D55">
              <w:rPr>
                <w:rFonts w:ascii="Arabic Typesetting" w:hAnsi="Arabic Typesetting" w:cs="Arabic Typesetting"/>
                <w:sz w:val="28"/>
                <w:szCs w:val="28"/>
              </w:rPr>
              <w:t>.</w:t>
            </w:r>
          </w:p>
          <w:p w:rsidR="00B31868" w:rsidRPr="00211D55" w:rsidRDefault="009350CB" w:rsidP="00086C3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 xml:space="preserve">وبحلول نهاية عام 2015، كان من المتوقع تغطية الرصيد </w:t>
            </w:r>
            <w:proofErr w:type="spellStart"/>
            <w:r w:rsidRPr="00211D55">
              <w:rPr>
                <w:rFonts w:ascii="Arabic Typesetting" w:hAnsi="Arabic Typesetting" w:cs="Arabic Typesetting"/>
                <w:sz w:val="28"/>
                <w:szCs w:val="28"/>
                <w:rtl/>
              </w:rPr>
              <w:t>المتبقى</w:t>
            </w:r>
            <w:proofErr w:type="spellEnd"/>
            <w:r w:rsidRPr="00211D55">
              <w:rPr>
                <w:rFonts w:ascii="Arabic Typesetting" w:hAnsi="Arabic Typesetting" w:cs="Arabic Typesetting"/>
                <w:sz w:val="28"/>
                <w:szCs w:val="28"/>
                <w:rtl/>
              </w:rPr>
              <w:t xml:space="preserve"> المستحق عن كل الحسابات الختامية تغطية كاملة بفضل الميزانية التكميلية التي وافقت عليها الدول الأعضاء في عامي 2014 و2015 على أن تحدد التكلفة النهائية للمشروع في عام 2016 بعد تسديد كل المستحقات.</w:t>
            </w:r>
          </w:p>
        </w:tc>
        <w:tc>
          <w:tcPr>
            <w:tcW w:w="455" w:type="pct"/>
            <w:tcBorders>
              <w:top w:val="nil"/>
              <w:bottom w:val="nil"/>
              <w:right w:val="single" w:sz="4" w:space="0" w:color="auto"/>
            </w:tcBorders>
            <w:shd w:val="clear" w:color="auto" w:fill="auto"/>
            <w:tcMar>
              <w:top w:w="110" w:type="dxa"/>
            </w:tcMar>
          </w:tcPr>
          <w:p w:rsidR="00B31868" w:rsidRPr="00211D55" w:rsidRDefault="00141B37" w:rsidP="00086C3F">
            <w:pPr>
              <w:widowControl w:val="0"/>
              <w:bidi/>
              <w:spacing w:before="60" w:after="60" w:line="280" w:lineRule="exact"/>
              <w:jc w:val="center"/>
              <w:rPr>
                <w:rFonts w:ascii="Arabic Typesetting" w:hAnsi="Arabic Typesetting" w:cs="Arabic Typesetting"/>
                <w:b/>
                <w:bCs/>
                <w:color w:val="808080"/>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9350CB">
        <w:trPr>
          <w:cantSplit/>
        </w:trPr>
        <w:tc>
          <w:tcPr>
            <w:tcW w:w="1212" w:type="pct"/>
            <w:gridSpan w:val="2"/>
            <w:tcBorders>
              <w:top w:val="nil"/>
              <w:left w:val="single" w:sz="4" w:space="0" w:color="auto"/>
              <w:bottom w:val="single" w:sz="4" w:space="0" w:color="auto"/>
            </w:tcBorders>
            <w:shd w:val="clear" w:color="auto" w:fill="auto"/>
          </w:tcPr>
          <w:p w:rsidR="00B31868" w:rsidRPr="00211D55" w:rsidRDefault="00B31868" w:rsidP="00086C3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استخدام قاعة المؤتمرات بوصفها المكان المفضل لعقد الاجتماعات والأحداث التي تنظمها الدول الأعضاء</w:t>
            </w:r>
          </w:p>
        </w:tc>
        <w:tc>
          <w:tcPr>
            <w:tcW w:w="757" w:type="pct"/>
            <w:gridSpan w:val="2"/>
            <w:tcBorders>
              <w:top w:val="nil"/>
              <w:bottom w:val="single" w:sz="4" w:space="0" w:color="auto"/>
            </w:tcBorders>
            <w:shd w:val="clear" w:color="auto" w:fill="auto"/>
          </w:tcPr>
          <w:p w:rsidR="00B31868" w:rsidRPr="00211D55" w:rsidRDefault="00B31868" w:rsidP="009F5F08">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 xml:space="preserve">بداية من 2015، تلقي طلبات استخدام المرافق من الدول الأعضاء (لعقد اجتماعات وأحداث غير </w:t>
            </w:r>
            <w:r w:rsidR="009350CB" w:rsidRPr="00211D55">
              <w:rPr>
                <w:rFonts w:ascii="Arabic Typesetting" w:hAnsi="Arabic Typesetting" w:cs="Arabic Typesetting"/>
                <w:sz w:val="28"/>
                <w:szCs w:val="28"/>
                <w:rtl/>
              </w:rPr>
              <w:t xml:space="preserve">تلك </w:t>
            </w:r>
            <w:r w:rsidRPr="00211D55">
              <w:rPr>
                <w:rFonts w:ascii="Arabic Typesetting" w:hAnsi="Arabic Typesetting" w:cs="Arabic Typesetting"/>
                <w:sz w:val="28"/>
                <w:szCs w:val="28"/>
                <w:rtl/>
              </w:rPr>
              <w:t>التي تنظمها الويبو)</w:t>
            </w:r>
          </w:p>
        </w:tc>
        <w:tc>
          <w:tcPr>
            <w:tcW w:w="866" w:type="pct"/>
            <w:gridSpan w:val="2"/>
            <w:tcBorders>
              <w:top w:val="nil"/>
              <w:bottom w:val="single" w:sz="4" w:space="0" w:color="auto"/>
            </w:tcBorders>
            <w:shd w:val="clear" w:color="auto" w:fill="auto"/>
            <w:tcMar>
              <w:top w:w="110" w:type="dxa"/>
            </w:tcMar>
          </w:tcPr>
          <w:p w:rsidR="00B31868" w:rsidRPr="00211D55" w:rsidRDefault="00B31868" w:rsidP="00086C3F">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طلبان سنويا على الأقل من الدول الأعضاء أو المنظمات الدولية الأخرى أو الهيئات الأخرى لتنظيم اجتماعات و/أو أحداث (غير التي تنظمها الويبو)</w:t>
            </w:r>
            <w:r w:rsidRPr="00211D55">
              <w:rPr>
                <w:rFonts w:ascii="Arabic Typesetting" w:hAnsi="Arabic Typesetting" w:cs="Arabic Typesetting"/>
                <w:sz w:val="28"/>
                <w:szCs w:val="28"/>
              </w:rPr>
              <w:t xml:space="preserve"> </w:t>
            </w:r>
          </w:p>
        </w:tc>
        <w:tc>
          <w:tcPr>
            <w:tcW w:w="1710" w:type="pct"/>
            <w:tcBorders>
              <w:top w:val="nil"/>
              <w:bottom w:val="single" w:sz="4" w:space="0" w:color="auto"/>
            </w:tcBorders>
            <w:shd w:val="clear" w:color="auto" w:fill="FFFFFF"/>
            <w:tcMar>
              <w:top w:w="110" w:type="dxa"/>
            </w:tcMar>
          </w:tcPr>
          <w:p w:rsidR="00B31868" w:rsidRPr="00211D55" w:rsidRDefault="009350CB" w:rsidP="00330015">
            <w:pPr>
              <w:widowControl w:val="0"/>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sz w:val="28"/>
                <w:szCs w:val="28"/>
                <w:rtl/>
              </w:rPr>
              <w:t xml:space="preserve">شهد عام 2015 أول تأجير لقاعة الويبو الجديدة للمؤتمرات والمرافق المجاورة لها لدول أعضاء أو هيئات خارجية لاستضافة أحداث غير اجتماعات الويبو. وعُقدت خمسة أحداث هي "1" المنتدى العالمي للاتحاد الدولي للاتصالات في مايو 2015؛ "2" والمركز الدولي </w:t>
            </w:r>
            <w:r w:rsidR="00330015">
              <w:rPr>
                <w:rFonts w:ascii="Arabic Typesetting" w:hAnsi="Arabic Typesetting" w:cs="Arabic Typesetting" w:hint="cs"/>
                <w:sz w:val="28"/>
                <w:szCs w:val="28"/>
                <w:rtl/>
              </w:rPr>
              <w:t>ل</w:t>
            </w:r>
            <w:r w:rsidRPr="00211D55">
              <w:rPr>
                <w:rFonts w:ascii="Arabic Typesetting" w:hAnsi="Arabic Typesetting" w:cs="Arabic Typesetting"/>
                <w:sz w:val="28"/>
                <w:szCs w:val="28"/>
                <w:rtl/>
              </w:rPr>
              <w:t xml:space="preserve">لأمن </w:t>
            </w:r>
            <w:r w:rsidR="00330015" w:rsidRPr="00211D55">
              <w:rPr>
                <w:rFonts w:ascii="Arabic Typesetting" w:hAnsi="Arabic Typesetting" w:cs="Arabic Typesetting"/>
                <w:sz w:val="28"/>
                <w:szCs w:val="28"/>
                <w:rtl/>
              </w:rPr>
              <w:t>الرياض</w:t>
            </w:r>
            <w:r w:rsidR="00330015">
              <w:rPr>
                <w:rFonts w:ascii="Arabic Typesetting" w:hAnsi="Arabic Typesetting" w:cs="Arabic Typesetting" w:hint="cs"/>
                <w:sz w:val="28"/>
                <w:szCs w:val="28"/>
                <w:rtl/>
              </w:rPr>
              <w:t>ي</w:t>
            </w:r>
            <w:r w:rsidR="00330015" w:rsidRPr="00211D55">
              <w:rPr>
                <w:rFonts w:ascii="Arabic Typesetting" w:hAnsi="Arabic Typesetting" w:cs="Arabic Typesetting"/>
                <w:sz w:val="28"/>
                <w:szCs w:val="28"/>
                <w:rtl/>
              </w:rPr>
              <w:t xml:space="preserve"> </w:t>
            </w:r>
            <w:r w:rsidRPr="00211D55">
              <w:rPr>
                <w:rFonts w:ascii="Arabic Typesetting" w:hAnsi="Arabic Typesetting" w:cs="Arabic Typesetting"/>
                <w:sz w:val="28"/>
                <w:szCs w:val="28"/>
                <w:rtl/>
              </w:rPr>
              <w:t>في سبتمبر 2015؛ "3" </w:t>
            </w:r>
            <w:r w:rsidR="00330015">
              <w:rPr>
                <w:rFonts w:ascii="Arabic Typesetting" w:hAnsi="Arabic Typesetting" w:cs="Arabic Typesetting" w:hint="cs"/>
                <w:sz w:val="28"/>
                <w:szCs w:val="28"/>
                <w:rtl/>
              </w:rPr>
              <w:t>و</w:t>
            </w:r>
            <w:r w:rsidR="00330015" w:rsidRPr="001827C1">
              <w:rPr>
                <w:rFonts w:ascii="Arabic Typesetting" w:hAnsi="Arabic Typesetting" w:cs="Arabic Typesetting"/>
                <w:sz w:val="28"/>
                <w:szCs w:val="28"/>
                <w:rtl/>
              </w:rPr>
              <w:t>إطلاق سويسرا لمركز جنيف المعني بالمياه</w:t>
            </w:r>
            <w:r w:rsidR="00330015">
              <w:rPr>
                <w:rFonts w:ascii="Arabic Typesetting" w:hAnsi="Arabic Typesetting" w:cs="Arabic Typesetting" w:hint="cs"/>
                <w:sz w:val="28"/>
                <w:szCs w:val="28"/>
                <w:rtl/>
              </w:rPr>
              <w:t xml:space="preserve"> </w:t>
            </w:r>
            <w:r w:rsidR="00141B37" w:rsidRPr="00211D55">
              <w:rPr>
                <w:rFonts w:ascii="Arabic Typesetting" w:hAnsi="Arabic Typesetting" w:cs="Arabic Typesetting"/>
                <w:sz w:val="28"/>
                <w:szCs w:val="28"/>
                <w:rtl/>
              </w:rPr>
              <w:t>في نوفمبر 2015؛ "4" </w:t>
            </w:r>
            <w:r w:rsidR="00330015" w:rsidRPr="001827C1">
              <w:rPr>
                <w:rFonts w:ascii="Arabic Typesetting" w:hAnsi="Arabic Typesetting" w:cs="Arabic Typesetting"/>
                <w:sz w:val="28"/>
                <w:szCs w:val="28"/>
                <w:rtl/>
              </w:rPr>
              <w:t>وحفل تسليم الشهادات الاتحادية لعناصر الإطفاء (المدرسة اللاتينية)</w:t>
            </w:r>
            <w:r w:rsidR="00141B37" w:rsidRPr="00211D55">
              <w:rPr>
                <w:rFonts w:ascii="Arabic Typesetting" w:hAnsi="Arabic Typesetting" w:cs="Arabic Typesetting"/>
                <w:sz w:val="28"/>
                <w:szCs w:val="28"/>
                <w:rtl/>
              </w:rPr>
              <w:t xml:space="preserve"> في نوفمبر 2015؛ "5" والاجتماع السنوي للمنظمة الدولية للهجرة في نوفمبر 2015.</w:t>
            </w:r>
          </w:p>
        </w:tc>
        <w:tc>
          <w:tcPr>
            <w:tcW w:w="455" w:type="pct"/>
            <w:tcBorders>
              <w:top w:val="nil"/>
              <w:bottom w:val="single" w:sz="4" w:space="0" w:color="auto"/>
              <w:right w:val="single" w:sz="4" w:space="0" w:color="auto"/>
            </w:tcBorders>
            <w:shd w:val="clear" w:color="auto" w:fill="auto"/>
            <w:tcMar>
              <w:top w:w="110" w:type="dxa"/>
            </w:tcMar>
          </w:tcPr>
          <w:p w:rsidR="00B31868" w:rsidRPr="00211D55" w:rsidRDefault="00141B37" w:rsidP="00086C3F">
            <w:pPr>
              <w:widowControl w:val="0"/>
              <w:bidi/>
              <w:spacing w:before="60" w:after="60" w:line="280" w:lineRule="exact"/>
              <w:jc w:val="center"/>
              <w:rPr>
                <w:rFonts w:ascii="Arabic Typesetting" w:hAnsi="Arabic Typesetting" w:cs="Arabic Typesetting"/>
                <w:b/>
                <w:color w:val="595959" w:themeColor="text1" w:themeTint="A6"/>
                <w:sz w:val="28"/>
                <w:szCs w:val="28"/>
              </w:rPr>
            </w:pPr>
            <w:r w:rsidRPr="00211D55">
              <w:rPr>
                <w:rFonts w:ascii="Arabic Typesetting" w:hAnsi="Arabic Typesetting" w:cs="Arabic Typesetting"/>
                <w:b/>
                <w:bCs/>
                <w:color w:val="00B050"/>
                <w:sz w:val="28"/>
                <w:szCs w:val="28"/>
                <w:rtl/>
              </w:rPr>
              <w:t>محقق كلياً</w:t>
            </w:r>
          </w:p>
        </w:tc>
      </w:tr>
      <w:tr w:rsidR="00B31868" w:rsidRPr="00211D55" w:rsidTr="00141B37">
        <w:trPr>
          <w:cantSplit/>
        </w:trPr>
        <w:tc>
          <w:tcPr>
            <w:tcW w:w="5000" w:type="pct"/>
            <w:gridSpan w:val="8"/>
            <w:tcBorders>
              <w:top w:val="single" w:sz="4" w:space="0" w:color="auto"/>
              <w:left w:val="single" w:sz="4" w:space="0" w:color="auto"/>
              <w:bottom w:val="nil"/>
              <w:right w:val="single" w:sz="4" w:space="0" w:color="auto"/>
            </w:tcBorders>
            <w:shd w:val="clear" w:color="auto" w:fill="C6D9F1" w:themeFill="text2" w:themeFillTint="33"/>
            <w:vAlign w:val="center"/>
          </w:tcPr>
          <w:p w:rsidR="00B31868" w:rsidRPr="00211D55" w:rsidRDefault="00B31868" w:rsidP="00285760">
            <w:pPr>
              <w:keepNext/>
              <w:bidi/>
              <w:spacing w:after="60" w:line="280" w:lineRule="exact"/>
              <w:ind w:left="1167" w:hanging="1167"/>
              <w:rPr>
                <w:rFonts w:ascii="Arabic Typesetting" w:hAnsi="Arabic Typesetting" w:cs="Arabic Typesetting"/>
                <w:bCs/>
                <w:sz w:val="28"/>
                <w:szCs w:val="28"/>
                <w:rtl/>
                <w:lang w:bidi="ar-EG"/>
              </w:rPr>
            </w:pPr>
            <w:r w:rsidRPr="00211D55">
              <w:rPr>
                <w:rFonts w:ascii="Arabic Typesetting" w:hAnsi="Arabic Typesetting" w:cs="Arabic Typesetting"/>
                <w:sz w:val="28"/>
                <w:szCs w:val="28"/>
              </w:rPr>
              <w:lastRenderedPageBreak/>
              <w:br w:type="page"/>
            </w:r>
            <w:r w:rsidRPr="00211D55">
              <w:rPr>
                <w:rFonts w:ascii="Arabic Typesetting" w:hAnsi="Arabic Typesetting" w:cs="Arabic Typesetting"/>
                <w:b/>
                <w:sz w:val="28"/>
                <w:szCs w:val="28"/>
                <w:shd w:val="clear" w:color="auto" w:fill="C6D9F1" w:themeFill="text2" w:themeFillTint="33"/>
                <w:rtl/>
              </w:rPr>
              <w:t>النتيجة المرتقبة</w:t>
            </w:r>
            <w:r w:rsidRPr="00211D55">
              <w:rPr>
                <w:rFonts w:ascii="Arabic Typesetting" w:hAnsi="Arabic Typesetting" w:cs="Arabic Typesetting"/>
                <w:bCs/>
                <w:sz w:val="28"/>
                <w:szCs w:val="28"/>
                <w:shd w:val="clear" w:color="auto" w:fill="C6D9F1" w:themeFill="text2" w:themeFillTint="33"/>
                <w:rtl/>
              </w:rPr>
              <w:t>:</w:t>
            </w:r>
            <w:r w:rsidRPr="00211D55">
              <w:rPr>
                <w:rFonts w:ascii="Arabic Typesetting" w:hAnsi="Arabic Typesetting" w:cs="Arabic Typesetting"/>
                <w:bCs/>
                <w:sz w:val="28"/>
                <w:szCs w:val="28"/>
                <w:shd w:val="clear" w:color="auto" w:fill="C6D9F1" w:themeFill="text2" w:themeFillTint="33"/>
                <w:rtl/>
              </w:rPr>
              <w:tab/>
            </w:r>
            <w:r w:rsidRPr="00211D55">
              <w:rPr>
                <w:rFonts w:ascii="Arabic Typesetting" w:hAnsi="Arabic Typesetting" w:cs="Arabic Typesetting"/>
                <w:sz w:val="28"/>
                <w:szCs w:val="28"/>
                <w:shd w:val="clear" w:color="auto" w:fill="C6D9F1" w:themeFill="text2" w:themeFillTint="33"/>
                <w:rtl/>
              </w:rPr>
              <w:t xml:space="preserve">ھ4.9 </w:t>
            </w:r>
            <w:r w:rsidR="003F15BC">
              <w:rPr>
                <w:rFonts w:ascii="Arabic Typesetting" w:hAnsi="Arabic Typesetting" w:cs="Arabic Typesetting"/>
                <w:sz w:val="28"/>
                <w:szCs w:val="28"/>
                <w:shd w:val="clear" w:color="auto" w:fill="C6D9F1" w:themeFill="text2" w:themeFillTint="33"/>
                <w:rtl/>
              </w:rPr>
              <w:t>منظمة ذات مسؤولية بيئية واجتماعية تكفل سلامة وأمن موظفي الويبو والمندوبين والزائرين والممتلكات المادية والمعلومات</w:t>
            </w:r>
          </w:p>
        </w:tc>
      </w:tr>
      <w:tr w:rsidR="00B31868" w:rsidRPr="00211D55" w:rsidTr="009350CB">
        <w:trPr>
          <w:cantSplit/>
        </w:trPr>
        <w:tc>
          <w:tcPr>
            <w:tcW w:w="1106" w:type="pct"/>
            <w:tcBorders>
              <w:top w:val="single" w:sz="4" w:space="0" w:color="auto"/>
              <w:left w:val="single" w:sz="4" w:space="0" w:color="auto"/>
              <w:bottom w:val="nil"/>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sz w:val="28"/>
                <w:szCs w:val="28"/>
                <w:rtl/>
                <w:lang w:bidi="ar-EG"/>
              </w:rPr>
            </w:pPr>
            <w:r w:rsidRPr="00211D55">
              <w:rPr>
                <w:rFonts w:ascii="Arabic Typesetting" w:hAnsi="Arabic Typesetting" w:cs="Arabic Typesetting"/>
                <w:b/>
                <w:bCs/>
                <w:sz w:val="28"/>
                <w:szCs w:val="28"/>
                <w:rtl/>
              </w:rPr>
              <w:t>مؤشرات الأداء</w:t>
            </w:r>
          </w:p>
        </w:tc>
        <w:tc>
          <w:tcPr>
            <w:tcW w:w="816" w:type="pct"/>
            <w:gridSpan w:val="2"/>
            <w:tcBorders>
              <w:top w:val="single" w:sz="4" w:space="0" w:color="auto"/>
              <w:bottom w:val="nil"/>
            </w:tcBorders>
            <w:shd w:val="clear" w:color="auto" w:fill="auto"/>
            <w:vAlign w:val="center"/>
          </w:tcPr>
          <w:p w:rsidR="00B31868" w:rsidRPr="00211D55" w:rsidRDefault="00B31868" w:rsidP="00086C3F">
            <w:pPr>
              <w:keepNext/>
              <w:bidi/>
              <w:spacing w:before="60" w:after="60" w:line="280" w:lineRule="exact"/>
              <w:rPr>
                <w:rFonts w:ascii="Arabic Typesetting" w:hAnsi="Arabic Typesetting" w:cs="Arabic Typesetting"/>
                <w:b/>
                <w:bCs/>
                <w:sz w:val="28"/>
                <w:szCs w:val="28"/>
              </w:rPr>
            </w:pPr>
            <w:r w:rsidRPr="00211D55">
              <w:rPr>
                <w:rFonts w:ascii="Arabic Typesetting" w:hAnsi="Arabic Typesetting" w:cs="Arabic Typesetting"/>
                <w:b/>
                <w:bCs/>
                <w:sz w:val="28"/>
                <w:szCs w:val="28"/>
                <w:rtl/>
              </w:rPr>
              <w:t>أسس المقارنة</w:t>
            </w:r>
          </w:p>
        </w:tc>
        <w:tc>
          <w:tcPr>
            <w:tcW w:w="881" w:type="pct"/>
            <w:gridSpan w:val="2"/>
            <w:tcBorders>
              <w:top w:val="single" w:sz="4" w:space="0" w:color="auto"/>
              <w:bottom w:val="nil"/>
            </w:tcBorders>
            <w:shd w:val="clear" w:color="auto" w:fill="auto"/>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bCs/>
                <w:sz w:val="28"/>
                <w:szCs w:val="28"/>
                <w:rtl/>
              </w:rPr>
              <w:t>الأهداف</w:t>
            </w:r>
          </w:p>
        </w:tc>
        <w:tc>
          <w:tcPr>
            <w:tcW w:w="1742" w:type="pct"/>
            <w:gridSpan w:val="2"/>
            <w:tcBorders>
              <w:top w:val="single" w:sz="4" w:space="0" w:color="auto"/>
              <w:bottom w:val="nil"/>
            </w:tcBorders>
            <w:shd w:val="clear" w:color="auto" w:fill="FFFFFF"/>
            <w:tcMar>
              <w:top w:w="110" w:type="dxa"/>
            </w:tcMar>
            <w:vAlign w:val="center"/>
          </w:tcPr>
          <w:p w:rsidR="00B31868" w:rsidRPr="00211D55" w:rsidRDefault="00B31868" w:rsidP="00086C3F">
            <w:pPr>
              <w:keepNext/>
              <w:bidi/>
              <w:spacing w:before="60" w:after="60" w:line="280" w:lineRule="exact"/>
              <w:rPr>
                <w:rFonts w:ascii="Arabic Typesetting" w:hAnsi="Arabic Typesetting" w:cs="Arabic Typesetting"/>
                <w:b/>
                <w:sz w:val="28"/>
                <w:szCs w:val="28"/>
              </w:rPr>
            </w:pPr>
            <w:r w:rsidRPr="00211D55">
              <w:rPr>
                <w:rFonts w:ascii="Arabic Typesetting" w:hAnsi="Arabic Typesetting" w:cs="Arabic Typesetting"/>
                <w:b/>
                <w:bCs/>
                <w:sz w:val="28"/>
                <w:szCs w:val="28"/>
                <w:rtl/>
              </w:rPr>
              <w:t>بيانات الأداء</w:t>
            </w:r>
          </w:p>
        </w:tc>
        <w:tc>
          <w:tcPr>
            <w:tcW w:w="455" w:type="pct"/>
            <w:tcBorders>
              <w:top w:val="single" w:sz="4" w:space="0" w:color="auto"/>
              <w:bottom w:val="nil"/>
              <w:right w:val="single" w:sz="4" w:space="0" w:color="auto"/>
            </w:tcBorders>
            <w:shd w:val="clear" w:color="auto" w:fill="auto"/>
            <w:tcMar>
              <w:top w:w="110" w:type="dxa"/>
            </w:tcMar>
            <w:vAlign w:val="center"/>
          </w:tcPr>
          <w:p w:rsidR="00B31868" w:rsidRPr="00211D55" w:rsidRDefault="00B31868" w:rsidP="00086C3F">
            <w:pPr>
              <w:keepNext/>
              <w:bidi/>
              <w:spacing w:before="60" w:after="60" w:line="280" w:lineRule="exact"/>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السير</w:t>
            </w:r>
          </w:p>
        </w:tc>
      </w:tr>
      <w:tr w:rsidR="00B31868" w:rsidRPr="00211D55" w:rsidTr="009350CB">
        <w:trPr>
          <w:cantSplit/>
        </w:trPr>
        <w:tc>
          <w:tcPr>
            <w:tcW w:w="1106" w:type="pct"/>
            <w:tcBorders>
              <w:top w:val="nil"/>
              <w:left w:val="single" w:sz="4" w:space="0" w:color="auto"/>
              <w:bottom w:val="single" w:sz="4" w:space="0" w:color="auto"/>
            </w:tcBorders>
            <w:shd w:val="clear" w:color="auto" w:fill="auto"/>
          </w:tcPr>
          <w:p w:rsidR="00B31868" w:rsidRPr="00211D55" w:rsidRDefault="00B31868" w:rsidP="00086C3F">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مراقبة تدابير النفاذ المادي لضمان امتثال قاعة المؤتمرات الجديدة والمرافق المتصلة بها تماماً مع المعايير المطبقة أثناء التشييد</w:t>
            </w:r>
          </w:p>
        </w:tc>
        <w:tc>
          <w:tcPr>
            <w:tcW w:w="816" w:type="pct"/>
            <w:gridSpan w:val="2"/>
            <w:tcBorders>
              <w:top w:val="nil"/>
              <w:bottom w:val="single" w:sz="4" w:space="0" w:color="auto"/>
            </w:tcBorders>
            <w:shd w:val="clear" w:color="auto" w:fill="auto"/>
          </w:tcPr>
          <w:p w:rsidR="00B31868" w:rsidRPr="00211D55" w:rsidRDefault="00B31868" w:rsidP="00086C3F">
            <w:pPr>
              <w:widowControl w:val="0"/>
              <w:bidi/>
              <w:spacing w:before="60" w:after="60" w:line="280" w:lineRule="exact"/>
              <w:rPr>
                <w:rFonts w:ascii="Arabic Typesetting" w:hAnsi="Arabic Typesetting" w:cs="Arabic Typesetting"/>
                <w:color w:val="002060"/>
                <w:sz w:val="28"/>
                <w:szCs w:val="28"/>
                <w:lang w:bidi="ar-EG"/>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لا ينطبق</w:t>
            </w:r>
          </w:p>
          <w:p w:rsidR="00B31868" w:rsidRPr="00211D55" w:rsidRDefault="00B31868" w:rsidP="00086C3F">
            <w:pPr>
              <w:widowControl w:val="0"/>
              <w:bidi/>
              <w:spacing w:before="60" w:after="60" w:line="280" w:lineRule="exact"/>
              <w:rPr>
                <w:rFonts w:ascii="Arabic Typesetting" w:hAnsi="Arabic Typesetting" w:cs="Arabic Typesetting"/>
                <w:color w:val="002060"/>
                <w:sz w:val="28"/>
                <w:szCs w:val="28"/>
                <w:highlight w:val="yellow"/>
              </w:rPr>
            </w:pPr>
          </w:p>
          <w:p w:rsidR="00B31868" w:rsidRPr="00211D55" w:rsidRDefault="00B31868" w:rsidP="00086C3F">
            <w:pPr>
              <w:widowControl w:val="0"/>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سيُوضَع بدايةً من 2014 عند تسليم قاعة المؤتمرات الجديدة، وعلى أساس التقييم المعماري والتقني الخاص الذي جرى في </w:t>
            </w:r>
            <w:r w:rsidR="008A6D4E" w:rsidRPr="00211D55">
              <w:rPr>
                <w:rFonts w:ascii="Arabic Typesetting" w:hAnsi="Arabic Typesetting" w:cs="Arabic Typesetting"/>
                <w:i/>
                <w:sz w:val="28"/>
                <w:szCs w:val="28"/>
                <w:rtl/>
              </w:rPr>
              <w:t>عام</w:t>
            </w:r>
            <w:r w:rsidRPr="00211D55">
              <w:rPr>
                <w:rFonts w:ascii="Arabic Typesetting" w:hAnsi="Arabic Typesetting" w:cs="Arabic Typesetting"/>
                <w:i/>
                <w:sz w:val="28"/>
                <w:szCs w:val="28"/>
                <w:rtl/>
              </w:rPr>
              <w:t xml:space="preserve"> 2013</w:t>
            </w:r>
          </w:p>
        </w:tc>
        <w:tc>
          <w:tcPr>
            <w:tcW w:w="881" w:type="pct"/>
            <w:gridSpan w:val="2"/>
            <w:tcBorders>
              <w:top w:val="nil"/>
              <w:bottom w:val="single" w:sz="4" w:space="0" w:color="auto"/>
            </w:tcBorders>
            <w:shd w:val="clear" w:color="auto" w:fill="auto"/>
            <w:tcMar>
              <w:top w:w="110" w:type="dxa"/>
            </w:tcMar>
          </w:tcPr>
          <w:p w:rsidR="00B31868" w:rsidRPr="00211D55" w:rsidRDefault="00B31868" w:rsidP="00086C3F">
            <w:pPr>
              <w:widowControl w:val="0"/>
              <w:bidi/>
              <w:spacing w:before="60" w:after="60" w:line="280" w:lineRule="exact"/>
              <w:rPr>
                <w:rFonts w:ascii="Arabic Typesetting" w:hAnsi="Arabic Typesetting" w:cs="Arabic Typesetting"/>
                <w:bCs/>
                <w:sz w:val="28"/>
                <w:szCs w:val="28"/>
              </w:rPr>
            </w:pPr>
            <w:r w:rsidRPr="00211D55">
              <w:rPr>
                <w:rFonts w:ascii="Arabic Typesetting" w:hAnsi="Arabic Typesetting" w:cs="Arabic Typesetting"/>
                <w:sz w:val="28"/>
                <w:szCs w:val="28"/>
                <w:rtl/>
              </w:rPr>
              <w:t xml:space="preserve">ستُوضَع بداية من 2014 عند تسليم قاعة المؤتمرات الجديدة، وعلى أساس التقييم المعماري والتقني الخاص الذي جرى في </w:t>
            </w:r>
            <w:r w:rsidR="008A6D4E" w:rsidRPr="00211D55">
              <w:rPr>
                <w:rFonts w:ascii="Arabic Typesetting" w:hAnsi="Arabic Typesetting" w:cs="Arabic Typesetting"/>
                <w:sz w:val="28"/>
                <w:szCs w:val="28"/>
                <w:rtl/>
              </w:rPr>
              <w:t>عام</w:t>
            </w:r>
            <w:r w:rsidRPr="00211D55">
              <w:rPr>
                <w:rFonts w:ascii="Arabic Typesetting" w:hAnsi="Arabic Typesetting" w:cs="Arabic Typesetting"/>
                <w:sz w:val="28"/>
                <w:szCs w:val="28"/>
                <w:rtl/>
              </w:rPr>
              <w:t xml:space="preserve"> 2013</w:t>
            </w:r>
          </w:p>
        </w:tc>
        <w:tc>
          <w:tcPr>
            <w:tcW w:w="1742" w:type="pct"/>
            <w:gridSpan w:val="2"/>
            <w:tcBorders>
              <w:top w:val="nil"/>
              <w:bottom w:val="single" w:sz="4" w:space="0" w:color="auto"/>
            </w:tcBorders>
            <w:shd w:val="clear" w:color="auto" w:fill="FFFFFF"/>
            <w:tcMar>
              <w:top w:w="110" w:type="dxa"/>
            </w:tcMar>
          </w:tcPr>
          <w:p w:rsidR="00B31868" w:rsidRPr="00211D55" w:rsidRDefault="00B31868" w:rsidP="0023721A">
            <w:pPr>
              <w:widowControl w:val="0"/>
              <w:bidi/>
              <w:spacing w:before="60" w:after="60" w:line="280" w:lineRule="exact"/>
              <w:rPr>
                <w:rFonts w:ascii="Arabic Typesetting" w:hAnsi="Arabic Typesetting" w:cs="Arabic Typesetting"/>
                <w:sz w:val="28"/>
                <w:szCs w:val="28"/>
                <w:rtl/>
              </w:rPr>
            </w:pPr>
            <w:r w:rsidRPr="00211D55">
              <w:rPr>
                <w:rFonts w:ascii="Arabic Typesetting" w:hAnsi="Arabic Typesetting" w:cs="Arabic Typesetting"/>
                <w:sz w:val="28"/>
                <w:szCs w:val="28"/>
                <w:rtl/>
              </w:rPr>
              <w:t xml:space="preserve">نُفِّذت في أثناء التشييد تدابير النفاذ المادي (حتى انتهاء التشييد في أغسطس 2014، وليس في بداية عام 2014) بما فيها التدابير الرئيسية التالية: "1" ممرّ مُنْحَدِر لنفاذ الكراسي المتحركة إلى المنصة في </w:t>
            </w:r>
            <w:r w:rsidRPr="00211D55">
              <w:rPr>
                <w:rFonts w:ascii="Arabic Typesetting" w:hAnsi="Arabic Typesetting" w:cs="Arabic Typesetting"/>
                <w:sz w:val="28"/>
                <w:szCs w:val="28"/>
                <w:rtl/>
                <w:lang w:val="fr-CH"/>
              </w:rPr>
              <w:t>قاعة الويبو الجديدة للمؤتمرات</w:t>
            </w:r>
            <w:r w:rsidRPr="00211D55">
              <w:rPr>
                <w:rFonts w:ascii="Arabic Typesetting" w:hAnsi="Arabic Typesetting" w:cs="Arabic Typesetting"/>
                <w:sz w:val="28"/>
                <w:szCs w:val="28"/>
                <w:rtl/>
              </w:rPr>
              <w:t>، وجميع المقاعد الموجودة على المنصة (31 مقعداً في حالة اكتمال العدد) يمكن النفاذ إليها بالكراسي المتحركة، "2" و26 مقعداً في 3 مواقع مختلفة في مناطق مكاتب المندوبين يمكن النفاذ إليها بالكراسي المتحركة، "3" وجميع كراسي مكاتب المندوبين التي يبلغ عددها 850 كرسياً قابلة للنقل والاستبدال عند الطلب بأي كرسي آخر لتلبية احتياجات ذوي الإعاقات، "4" وباب خروج إضافي في حالة الطوارئ في المنطقة السفلى ل</w:t>
            </w:r>
            <w:r w:rsidRPr="00211D55">
              <w:rPr>
                <w:rFonts w:ascii="Arabic Typesetting" w:hAnsi="Arabic Typesetting" w:cs="Arabic Typesetting"/>
                <w:sz w:val="28"/>
                <w:szCs w:val="28"/>
                <w:rtl/>
                <w:lang w:val="fr-CH"/>
              </w:rPr>
              <w:t>قاعة الويبو الجديدة للمؤتمرات</w:t>
            </w:r>
            <w:r w:rsidRPr="00211D55">
              <w:rPr>
                <w:rFonts w:ascii="Arabic Typesetting" w:hAnsi="Arabic Typesetting" w:cs="Arabic Typesetting"/>
                <w:sz w:val="28"/>
                <w:szCs w:val="28"/>
                <w:rtl/>
              </w:rPr>
              <w:t xml:space="preserve">، من أجل النفاذ المستقل بالكراسي المتحركة، يطل مباشرةً على ممر منحدر خارجي يؤدي إلى </w:t>
            </w:r>
            <w:r w:rsidR="008A48B8" w:rsidRPr="00211D55">
              <w:rPr>
                <w:rFonts w:ascii="Arabic Typesetting" w:hAnsi="Arabic Typesetting" w:cs="Arabic Typesetting"/>
                <w:sz w:val="28"/>
                <w:szCs w:val="28"/>
                <w:rtl/>
              </w:rPr>
              <w:t>الساحة</w:t>
            </w:r>
            <w:r w:rsidR="0048361D" w:rsidRPr="00211D55">
              <w:rPr>
                <w:rFonts w:ascii="Arabic Typesetting" w:hAnsi="Arabic Typesetting" w:cs="Arabic Typesetting"/>
                <w:sz w:val="28"/>
                <w:szCs w:val="28"/>
                <w:rtl/>
              </w:rPr>
              <w:t xml:space="preserve"> الخارجي</w:t>
            </w:r>
            <w:r w:rsidR="008A48B8" w:rsidRPr="00211D55">
              <w:rPr>
                <w:rFonts w:ascii="Arabic Typesetting" w:hAnsi="Arabic Typesetting" w:cs="Arabic Typesetting"/>
                <w:sz w:val="28"/>
                <w:szCs w:val="28"/>
                <w:rtl/>
              </w:rPr>
              <w:t>ة</w:t>
            </w:r>
            <w:r w:rsidR="0048361D" w:rsidRPr="00211D55">
              <w:rPr>
                <w:rFonts w:ascii="Arabic Typesetting" w:hAnsi="Arabic Typesetting" w:cs="Arabic Typesetting"/>
                <w:sz w:val="28"/>
                <w:szCs w:val="28"/>
                <w:rtl/>
              </w:rPr>
              <w:t>،</w:t>
            </w:r>
            <w:r w:rsidR="001B7062" w:rsidRPr="00211D55">
              <w:rPr>
                <w:rFonts w:ascii="Arabic Typesetting" w:hAnsi="Arabic Typesetting" w:cs="Arabic Typesetting"/>
                <w:sz w:val="28"/>
                <w:szCs w:val="28"/>
                <w:rtl/>
              </w:rPr>
              <w:t xml:space="preserve"> "5" وممرات منحدرة لنفاذ الكراسي المتحركة إلى مقصورات المترجمين الفوريين في قاعتي اجتماعات إحداهما في الطابق المجدد من مبنى </w:t>
            </w:r>
            <w:proofErr w:type="spellStart"/>
            <w:r w:rsidR="001B7062" w:rsidRPr="00211D55">
              <w:rPr>
                <w:rFonts w:ascii="Arabic Typesetting" w:hAnsi="Arabic Typesetting" w:cs="Arabic Typesetting"/>
                <w:sz w:val="28"/>
                <w:szCs w:val="28"/>
                <w:rtl/>
              </w:rPr>
              <w:t>أرباد</w:t>
            </w:r>
            <w:proofErr w:type="spellEnd"/>
            <w:r w:rsidR="001B7062" w:rsidRPr="00211D55">
              <w:rPr>
                <w:rFonts w:ascii="Arabic Typesetting" w:hAnsi="Arabic Typesetting" w:cs="Arabic Typesetting"/>
                <w:sz w:val="28"/>
                <w:szCs w:val="28"/>
                <w:rtl/>
              </w:rPr>
              <w:t xml:space="preserve"> </w:t>
            </w:r>
            <w:proofErr w:type="spellStart"/>
            <w:r w:rsidR="001B7062" w:rsidRPr="00211D55">
              <w:rPr>
                <w:rFonts w:ascii="Arabic Typesetting" w:hAnsi="Arabic Typesetting" w:cs="Arabic Typesetting"/>
                <w:sz w:val="28"/>
                <w:szCs w:val="28"/>
                <w:rtl/>
              </w:rPr>
              <w:t>بوكش</w:t>
            </w:r>
            <w:proofErr w:type="spellEnd"/>
            <w:r w:rsidR="001B7062" w:rsidRPr="00211D55">
              <w:rPr>
                <w:rFonts w:ascii="Arabic Typesetting" w:hAnsi="Arabic Typesetting" w:cs="Arabic Typesetting"/>
                <w:sz w:val="28"/>
                <w:szCs w:val="28"/>
                <w:rtl/>
              </w:rPr>
              <w:t xml:space="preserve">، "6" تجهيز الحمامات للنفاذ بالكراسي المتحركة، "7" تركيب شرائط لاصقة لمنع الانزلاق على جميع درجات السلم داخل قاعة المؤتمرات الجديدة وحولها، "8" ممر منحدر لنفاذ الكراسي المتحركة من بابي قاعدة المؤتمرات الجديدة إلى مخرج الطوارئ في طرف </w:t>
            </w:r>
            <w:r w:rsidR="0023721A">
              <w:rPr>
                <w:rFonts w:ascii="Arabic Typesetting" w:hAnsi="Arabic Typesetting" w:cs="Arabic Typesetting" w:hint="cs"/>
                <w:sz w:val="28"/>
                <w:szCs w:val="28"/>
                <w:rtl/>
              </w:rPr>
              <w:t>مجمع</w:t>
            </w:r>
            <w:r w:rsidR="001B7062" w:rsidRPr="00211D55">
              <w:rPr>
                <w:rFonts w:ascii="Arabic Typesetting" w:hAnsi="Arabic Typesetting" w:cs="Arabic Typesetting"/>
                <w:sz w:val="28"/>
                <w:szCs w:val="28"/>
                <w:rtl/>
              </w:rPr>
              <w:t xml:space="preserve"> </w:t>
            </w:r>
            <w:proofErr w:type="spellStart"/>
            <w:r w:rsidR="001B7062" w:rsidRPr="00211D55">
              <w:rPr>
                <w:rFonts w:ascii="Arabic Typesetting" w:hAnsi="Arabic Typesetting" w:cs="Arabic Typesetting"/>
                <w:sz w:val="28"/>
                <w:szCs w:val="28"/>
                <w:rtl/>
              </w:rPr>
              <w:t>لويبو</w:t>
            </w:r>
            <w:proofErr w:type="spellEnd"/>
            <w:r w:rsidR="001B7062" w:rsidRPr="00211D55">
              <w:rPr>
                <w:rFonts w:ascii="Arabic Typesetting" w:hAnsi="Arabic Typesetting" w:cs="Arabic Typesetting"/>
                <w:sz w:val="28"/>
                <w:szCs w:val="28"/>
                <w:rtl/>
              </w:rPr>
              <w:t>، "9" مسار للنفاذ بالكراسي المتحركة إلى مدخل الويبو الرئيسي الجديد، وبوابات السرعة المناسبة لنفاذ الكراسي المتحركة إلى شباك مكتب الاستقبال والتسجيل، "10" كراسي بعجلات مخصص</w:t>
            </w:r>
            <w:r w:rsidR="008A48B8" w:rsidRPr="00211D55">
              <w:rPr>
                <w:rFonts w:ascii="Arabic Typesetting" w:hAnsi="Arabic Typesetting" w:cs="Arabic Typesetting"/>
                <w:sz w:val="28"/>
                <w:szCs w:val="28"/>
                <w:rtl/>
              </w:rPr>
              <w:t>ة</w:t>
            </w:r>
            <w:r w:rsidR="001B7062" w:rsidRPr="00211D55">
              <w:rPr>
                <w:rFonts w:ascii="Arabic Typesetting" w:hAnsi="Arabic Typesetting" w:cs="Arabic Typesetting"/>
                <w:sz w:val="28"/>
                <w:szCs w:val="28"/>
                <w:rtl/>
              </w:rPr>
              <w:t xml:space="preserve"> لذوي الإعاقات ومتاح</w:t>
            </w:r>
            <w:r w:rsidR="008A48B8" w:rsidRPr="00211D55">
              <w:rPr>
                <w:rFonts w:ascii="Arabic Typesetting" w:hAnsi="Arabic Typesetting" w:cs="Arabic Typesetting"/>
                <w:sz w:val="28"/>
                <w:szCs w:val="28"/>
                <w:rtl/>
              </w:rPr>
              <w:t>ة</w:t>
            </w:r>
            <w:r w:rsidR="001B7062" w:rsidRPr="00211D55">
              <w:rPr>
                <w:rFonts w:ascii="Arabic Typesetting" w:hAnsi="Arabic Typesetting" w:cs="Arabic Typesetting"/>
                <w:sz w:val="28"/>
                <w:szCs w:val="28"/>
                <w:rtl/>
              </w:rPr>
              <w:t xml:space="preserve"> عند الطلب </w:t>
            </w:r>
            <w:r w:rsidR="008A48B8" w:rsidRPr="00211D55">
              <w:rPr>
                <w:rFonts w:ascii="Arabic Typesetting" w:hAnsi="Arabic Typesetting" w:cs="Arabic Typesetting"/>
                <w:sz w:val="28"/>
                <w:szCs w:val="28"/>
                <w:rtl/>
              </w:rPr>
              <w:t>للخروج من</w:t>
            </w:r>
            <w:r w:rsidR="001B7062" w:rsidRPr="00211D55">
              <w:rPr>
                <w:rFonts w:ascii="Arabic Typesetting" w:hAnsi="Arabic Typesetting" w:cs="Arabic Typesetting"/>
                <w:sz w:val="28"/>
                <w:szCs w:val="28"/>
                <w:rtl/>
              </w:rPr>
              <w:t xml:space="preserve"> طابق مقصورات المترجمين الفوريين في حالة الطوارئ.</w:t>
            </w:r>
          </w:p>
        </w:tc>
        <w:tc>
          <w:tcPr>
            <w:tcW w:w="455" w:type="pct"/>
            <w:tcBorders>
              <w:top w:val="nil"/>
              <w:bottom w:val="single" w:sz="4" w:space="0" w:color="auto"/>
              <w:right w:val="single" w:sz="4" w:space="0" w:color="auto"/>
            </w:tcBorders>
            <w:shd w:val="clear" w:color="auto" w:fill="auto"/>
            <w:tcMar>
              <w:top w:w="110" w:type="dxa"/>
            </w:tcMar>
          </w:tcPr>
          <w:p w:rsidR="00B31868" w:rsidRPr="00211D55" w:rsidRDefault="00B31868" w:rsidP="00086C3F">
            <w:pPr>
              <w:widowControl w:val="0"/>
              <w:bidi/>
              <w:spacing w:before="60" w:after="60" w:line="280" w:lineRule="exact"/>
              <w:jc w:val="center"/>
              <w:rPr>
                <w:rFonts w:ascii="Arabic Typesetting" w:hAnsi="Arabic Typesetting" w:cs="Arabic Typesetting"/>
                <w:bCs/>
                <w:color w:val="808080"/>
                <w:sz w:val="28"/>
                <w:szCs w:val="28"/>
              </w:rPr>
            </w:pPr>
            <w:r w:rsidRPr="00211D55">
              <w:rPr>
                <w:rFonts w:ascii="Arabic Typesetting" w:hAnsi="Arabic Typesetting" w:cs="Arabic Typesetting"/>
                <w:bCs/>
                <w:color w:val="A6A6A6" w:themeColor="background1" w:themeShade="A6"/>
                <w:sz w:val="28"/>
                <w:szCs w:val="28"/>
                <w:rtl/>
              </w:rPr>
              <w:t>غير قابل للقياس</w:t>
            </w:r>
          </w:p>
        </w:tc>
      </w:tr>
      <w:tr w:rsidR="00B31868" w:rsidRPr="00211D55" w:rsidTr="009350CB">
        <w:trPr>
          <w:cantSplit/>
        </w:trPr>
        <w:tc>
          <w:tcPr>
            <w:tcW w:w="1106" w:type="pct"/>
            <w:tcBorders>
              <w:top w:val="single" w:sz="4" w:space="0" w:color="auto"/>
              <w:left w:val="single" w:sz="4" w:space="0" w:color="auto"/>
              <w:bottom w:val="nil"/>
            </w:tcBorders>
            <w:shd w:val="clear" w:color="auto" w:fill="auto"/>
          </w:tcPr>
          <w:p w:rsidR="00B31868" w:rsidRPr="00211D55" w:rsidRDefault="00B31868" w:rsidP="00086C3F">
            <w:pPr>
              <w:widowControl w:val="0"/>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lastRenderedPageBreak/>
              <w:t>مراقبة تدابير مراعاة البيئة وتدابير الحد من استهلاك الطاقة المطبقة أثناء التشييد</w:t>
            </w:r>
          </w:p>
        </w:tc>
        <w:tc>
          <w:tcPr>
            <w:tcW w:w="816" w:type="pct"/>
            <w:gridSpan w:val="2"/>
            <w:tcBorders>
              <w:top w:val="single" w:sz="4" w:space="0" w:color="auto"/>
              <w:bottom w:val="nil"/>
            </w:tcBorders>
            <w:shd w:val="clear" w:color="auto" w:fill="auto"/>
          </w:tcPr>
          <w:p w:rsidR="00B31868" w:rsidRPr="00211D55" w:rsidRDefault="00B31868" w:rsidP="00086C3F">
            <w:pPr>
              <w:widowControl w:val="0"/>
              <w:bidi/>
              <w:spacing w:before="60" w:after="60" w:line="280" w:lineRule="exact"/>
              <w:rPr>
                <w:rFonts w:ascii="Arabic Typesetting" w:hAnsi="Arabic Typesetting" w:cs="Arabic Typesetting"/>
                <w:color w:val="002060"/>
                <w:sz w:val="28"/>
                <w:szCs w:val="28"/>
                <w:highlight w:val="yellow"/>
                <w:rtl/>
                <w:lang w:bidi="ar-EG"/>
              </w:rPr>
            </w:pPr>
            <w:r w:rsidRPr="00211D55">
              <w:rPr>
                <w:rFonts w:ascii="Arabic Typesetting" w:hAnsi="Arabic Typesetting" w:cs="Arabic Typesetting"/>
                <w:iCs/>
                <w:color w:val="002060"/>
                <w:sz w:val="28"/>
                <w:szCs w:val="28"/>
                <w:rtl/>
              </w:rPr>
              <w:t>أساس المقارنة المُحدَّث في نهاية 2013:</w:t>
            </w:r>
            <w:r w:rsidRPr="00211D55">
              <w:rPr>
                <w:rFonts w:ascii="Arabic Typesetting" w:hAnsi="Arabic Typesetting" w:cs="Arabic Typesetting"/>
                <w:i/>
                <w:color w:val="002060"/>
                <w:sz w:val="28"/>
                <w:szCs w:val="28"/>
                <w:rtl/>
              </w:rPr>
              <w:t xml:space="preserve"> لا ينطبق</w:t>
            </w:r>
          </w:p>
          <w:p w:rsidR="00B31868" w:rsidRPr="00211D55" w:rsidRDefault="00B31868" w:rsidP="00086C3F">
            <w:pPr>
              <w:widowControl w:val="0"/>
              <w:bidi/>
              <w:spacing w:before="60" w:after="60" w:line="280" w:lineRule="exact"/>
              <w:rPr>
                <w:rFonts w:ascii="Arabic Typesetting" w:hAnsi="Arabic Typesetting" w:cs="Arabic Typesetting"/>
                <w:color w:val="002060"/>
                <w:sz w:val="28"/>
                <w:szCs w:val="28"/>
                <w:highlight w:val="yellow"/>
              </w:rPr>
            </w:pPr>
          </w:p>
          <w:p w:rsidR="00B31868" w:rsidRPr="00211D55" w:rsidRDefault="00B31868" w:rsidP="00086C3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iCs/>
                <w:sz w:val="28"/>
                <w:szCs w:val="28"/>
                <w:rtl/>
              </w:rPr>
              <w:t xml:space="preserve">أساس المقارنة الأصلي في البرنامج والميزانية </w:t>
            </w:r>
            <w:r w:rsidR="00507DE2">
              <w:rPr>
                <w:rFonts w:ascii="Arabic Typesetting" w:hAnsi="Arabic Typesetting" w:cs="Arabic Typesetting"/>
                <w:iCs/>
                <w:sz w:val="28"/>
                <w:szCs w:val="28"/>
                <w:rtl/>
              </w:rPr>
              <w:t>2014/15</w:t>
            </w:r>
            <w:r w:rsidRPr="00211D55">
              <w:rPr>
                <w:rFonts w:ascii="Arabic Typesetting" w:hAnsi="Arabic Typesetting" w:cs="Arabic Typesetting"/>
                <w:iCs/>
                <w:sz w:val="28"/>
                <w:szCs w:val="28"/>
                <w:rtl/>
              </w:rPr>
              <w:t>:</w:t>
            </w:r>
            <w:r w:rsidRPr="00211D55">
              <w:rPr>
                <w:rFonts w:ascii="Arabic Typesetting" w:hAnsi="Arabic Typesetting" w:cs="Arabic Typesetting"/>
                <w:i/>
                <w:sz w:val="28"/>
                <w:szCs w:val="28"/>
                <w:rtl/>
              </w:rPr>
              <w:t xml:space="preserve"> سيُوضَع بدايةً من 2014 عند تسليم </w:t>
            </w:r>
            <w:r w:rsidRPr="00211D55">
              <w:rPr>
                <w:rFonts w:ascii="Arabic Typesetting" w:hAnsi="Arabic Typesetting" w:cs="Arabic Typesetting"/>
                <w:sz w:val="28"/>
                <w:szCs w:val="28"/>
                <w:rtl/>
                <w:lang w:val="fr-CH"/>
              </w:rPr>
              <w:t>قاعة الويبو الجديدة للمؤتمرات</w:t>
            </w:r>
          </w:p>
        </w:tc>
        <w:tc>
          <w:tcPr>
            <w:tcW w:w="881" w:type="pct"/>
            <w:gridSpan w:val="2"/>
            <w:tcBorders>
              <w:top w:val="single" w:sz="4" w:space="0" w:color="auto"/>
              <w:bottom w:val="nil"/>
            </w:tcBorders>
            <w:shd w:val="clear" w:color="auto" w:fill="auto"/>
            <w:tcMar>
              <w:top w:w="110" w:type="dxa"/>
            </w:tcMar>
          </w:tcPr>
          <w:p w:rsidR="00B31868" w:rsidRPr="00211D55" w:rsidRDefault="00B31868" w:rsidP="00086C3F">
            <w:pPr>
              <w:widowControl w:val="0"/>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 xml:space="preserve">ستُوضَع بدايةً من 2014 عند تسليم </w:t>
            </w:r>
            <w:r w:rsidRPr="00211D55">
              <w:rPr>
                <w:rFonts w:ascii="Arabic Typesetting" w:hAnsi="Arabic Typesetting" w:cs="Arabic Typesetting"/>
                <w:sz w:val="28"/>
                <w:szCs w:val="28"/>
                <w:rtl/>
                <w:lang w:val="fr-CH"/>
              </w:rPr>
              <w:t>قاعة الويبو الجديدة للمؤتمرات</w:t>
            </w:r>
          </w:p>
        </w:tc>
        <w:tc>
          <w:tcPr>
            <w:tcW w:w="1742" w:type="pct"/>
            <w:gridSpan w:val="2"/>
            <w:tcBorders>
              <w:top w:val="single" w:sz="4" w:space="0" w:color="auto"/>
              <w:bottom w:val="nil"/>
            </w:tcBorders>
            <w:shd w:val="clear" w:color="auto" w:fill="FFFFFF"/>
            <w:tcMar>
              <w:top w:w="110" w:type="dxa"/>
            </w:tcMar>
          </w:tcPr>
          <w:p w:rsidR="00B31868" w:rsidRPr="00211D55" w:rsidRDefault="009F5F08" w:rsidP="00086C3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نفِّذت</w:t>
            </w:r>
            <w:r w:rsidR="00B31868" w:rsidRPr="00211D55">
              <w:rPr>
                <w:rFonts w:ascii="Arabic Typesetting" w:hAnsi="Arabic Typesetting" w:cs="Arabic Typesetting"/>
                <w:sz w:val="28"/>
                <w:szCs w:val="28"/>
                <w:rtl/>
              </w:rPr>
              <w:t xml:space="preserve"> تدابير مراعاة البيئة في أثناء التشييد (حتى انتهاء التشييد في أغسطس 2014، وليس في بداية عام 2014) بما فيها التدابير الرئيسية التالية: "1" استخدام خشب محلي في الهيكل الرئيسي والكسوة الخشبية الداخلية (السقف والجدران والأرضيات) ل</w:t>
            </w:r>
            <w:r w:rsidR="00B31868" w:rsidRPr="00211D55">
              <w:rPr>
                <w:rFonts w:ascii="Arabic Typesetting" w:hAnsi="Arabic Typesetting" w:cs="Arabic Typesetting"/>
                <w:sz w:val="28"/>
                <w:szCs w:val="28"/>
                <w:rtl/>
                <w:lang w:val="fr-CH"/>
              </w:rPr>
              <w:t>قاعة الويبو الجديدة للمؤتمرات</w:t>
            </w:r>
            <w:r w:rsidR="00B31868" w:rsidRPr="00211D55">
              <w:rPr>
                <w:rFonts w:ascii="Arabic Typesetting" w:hAnsi="Arabic Typesetting" w:cs="Arabic Typesetting"/>
                <w:sz w:val="28"/>
                <w:szCs w:val="28"/>
                <w:rtl/>
              </w:rPr>
              <w:t xml:space="preserve"> ، "2" واستخدام الغاز الطبيعي للتدفئة، "3" ونظام تبريد باستخدام ماء التبريد المجلوب من بحيرة جنيف، "4" والحد من استهلاك الضوء الاصطناعي عن طريق استخدام تقنية الصمام الثنائي الباعث للضوء</w:t>
            </w:r>
            <w:r w:rsidR="00B31868" w:rsidRPr="00211D55">
              <w:rPr>
                <w:rFonts w:ascii="Arabic Typesetting" w:hAnsi="Arabic Typesetting" w:cs="Arabic Typesetting"/>
                <w:sz w:val="28"/>
                <w:szCs w:val="28"/>
              </w:rPr>
              <w:t xml:space="preserve"> (LED) </w:t>
            </w:r>
            <w:r w:rsidR="00B31868" w:rsidRPr="00211D55">
              <w:rPr>
                <w:rFonts w:ascii="Arabic Typesetting" w:hAnsi="Arabic Typesetting" w:cs="Arabic Typesetting"/>
                <w:sz w:val="28"/>
                <w:szCs w:val="28"/>
                <w:rtl/>
              </w:rPr>
              <w:t xml:space="preserve">على نطاق واسع (في جميع المناطق التي يشملها المشروع) استخدام الضوء الطبيعي من خلال نوافذ مُشْرِفَة كبيرة وعدة نوافذ أعلى السطح (في </w:t>
            </w:r>
            <w:r w:rsidR="00B31868" w:rsidRPr="00211D55">
              <w:rPr>
                <w:rFonts w:ascii="Arabic Typesetting" w:hAnsi="Arabic Typesetting" w:cs="Arabic Typesetting"/>
                <w:sz w:val="28"/>
                <w:szCs w:val="28"/>
                <w:rtl/>
                <w:lang w:val="fr-CH"/>
              </w:rPr>
              <w:t>قاعة الويبو الجديدة للمؤتمرات</w:t>
            </w:r>
            <w:r w:rsidR="00B31868" w:rsidRPr="00211D55">
              <w:rPr>
                <w:rFonts w:ascii="Arabic Typesetting" w:hAnsi="Arabic Typesetting" w:cs="Arabic Typesetting"/>
                <w:sz w:val="28"/>
                <w:szCs w:val="28"/>
                <w:rtl/>
              </w:rPr>
              <w:t>)، "5" والاستخدام الموسع للهواء الطبيعي من خلال نظام تهوية مختلطة، "6" وسقف مغطى بالنباتات في مركز النفاذ لتعزيز القدرة على التبريد وتصريف مياه الأمطار، "7" وإضاءة تُفعّل من خلال استشعار الحضور خارج ساعات العمل</w:t>
            </w:r>
            <w:r w:rsidR="00B31868" w:rsidRPr="00211D55">
              <w:rPr>
                <w:rFonts w:ascii="Arabic Typesetting" w:hAnsi="Arabic Typesetting" w:cs="Arabic Typesetting"/>
                <w:sz w:val="28"/>
                <w:szCs w:val="28"/>
              </w:rPr>
              <w:t>.</w:t>
            </w:r>
          </w:p>
        </w:tc>
        <w:tc>
          <w:tcPr>
            <w:tcW w:w="455" w:type="pct"/>
            <w:tcBorders>
              <w:top w:val="single" w:sz="4" w:space="0" w:color="auto"/>
              <w:bottom w:val="nil"/>
              <w:right w:val="single" w:sz="4" w:space="0" w:color="auto"/>
            </w:tcBorders>
            <w:shd w:val="clear" w:color="auto" w:fill="auto"/>
            <w:tcMar>
              <w:top w:w="110" w:type="dxa"/>
            </w:tcMar>
          </w:tcPr>
          <w:p w:rsidR="00B31868" w:rsidRPr="00211D55" w:rsidRDefault="00B31868" w:rsidP="00086C3F">
            <w:pPr>
              <w:widowControl w:val="0"/>
              <w:bidi/>
              <w:spacing w:before="60" w:after="60" w:line="280" w:lineRule="exact"/>
              <w:jc w:val="center"/>
              <w:rPr>
                <w:rFonts w:ascii="Arabic Typesetting" w:hAnsi="Arabic Typesetting" w:cs="Arabic Typesetting"/>
                <w:bCs/>
                <w:color w:val="002060"/>
                <w:sz w:val="28"/>
                <w:szCs w:val="28"/>
              </w:rPr>
            </w:pPr>
            <w:r w:rsidRPr="00211D55">
              <w:rPr>
                <w:rFonts w:ascii="Arabic Typesetting" w:hAnsi="Arabic Typesetting" w:cs="Arabic Typesetting"/>
                <w:bCs/>
                <w:color w:val="A6A6A6" w:themeColor="background1" w:themeShade="A6"/>
                <w:sz w:val="28"/>
                <w:szCs w:val="28"/>
                <w:rtl/>
              </w:rPr>
              <w:t>غير قابل للقياس</w:t>
            </w:r>
          </w:p>
        </w:tc>
      </w:tr>
      <w:tr w:rsidR="00B31868" w:rsidRPr="00211D55" w:rsidTr="009350CB">
        <w:trPr>
          <w:cantSplit/>
        </w:trPr>
        <w:tc>
          <w:tcPr>
            <w:tcW w:w="1106" w:type="pct"/>
            <w:tcBorders>
              <w:top w:val="nil"/>
              <w:left w:val="single" w:sz="4" w:space="0" w:color="auto"/>
              <w:bottom w:val="single" w:sz="4" w:space="0" w:color="auto"/>
            </w:tcBorders>
            <w:shd w:val="clear" w:color="auto" w:fill="auto"/>
          </w:tcPr>
          <w:p w:rsidR="00B31868" w:rsidRPr="00211D55" w:rsidRDefault="00B31868" w:rsidP="00086C3F">
            <w:pPr>
              <w:widowControl w:val="0"/>
              <w:bidi/>
              <w:spacing w:before="60" w:after="60" w:line="280" w:lineRule="exact"/>
              <w:rPr>
                <w:rFonts w:ascii="Arabic Typesetting" w:hAnsi="Arabic Typesetting" w:cs="Arabic Typesetting"/>
                <w:sz w:val="28"/>
                <w:szCs w:val="28"/>
                <w:rtl/>
                <w:lang w:bidi="ar-EG"/>
              </w:rPr>
            </w:pPr>
            <w:r w:rsidRPr="00211D55">
              <w:rPr>
                <w:rFonts w:ascii="Arabic Typesetting" w:hAnsi="Arabic Typesetting" w:cs="Arabic Typesetting"/>
                <w:sz w:val="28"/>
                <w:szCs w:val="28"/>
                <w:rtl/>
              </w:rPr>
              <w:t>إكمال إجراءات تأمين المحيط حسب معايير الأمم المتحدة الدنيا للأمن التشغيلي في المقار</w:t>
            </w:r>
            <w:r w:rsidRPr="00211D55">
              <w:rPr>
                <w:rFonts w:ascii="Arabic Typesetting" w:hAnsi="Arabic Typesetting" w:cs="Arabic Typesetting"/>
                <w:sz w:val="28"/>
                <w:szCs w:val="28"/>
              </w:rPr>
              <w:t xml:space="preserve"> (UN H-MOSS) </w:t>
            </w:r>
            <w:r w:rsidRPr="00211D55">
              <w:rPr>
                <w:rFonts w:ascii="Arabic Typesetting" w:hAnsi="Arabic Typesetting" w:cs="Arabic Typesetting"/>
                <w:sz w:val="28"/>
                <w:szCs w:val="28"/>
                <w:rtl/>
              </w:rPr>
              <w:t>بالنسبة ل</w:t>
            </w:r>
            <w:r w:rsidRPr="00211D55">
              <w:rPr>
                <w:rFonts w:ascii="Arabic Typesetting" w:hAnsi="Arabic Typesetting" w:cs="Arabic Typesetting"/>
                <w:sz w:val="28"/>
                <w:szCs w:val="28"/>
                <w:rtl/>
                <w:lang w:val="fr-CH"/>
              </w:rPr>
              <w:t xml:space="preserve"> قاعة الويبو الجديدة للمؤتمرات</w:t>
            </w:r>
          </w:p>
        </w:tc>
        <w:tc>
          <w:tcPr>
            <w:tcW w:w="816" w:type="pct"/>
            <w:gridSpan w:val="2"/>
            <w:tcBorders>
              <w:top w:val="nil"/>
              <w:bottom w:val="single" w:sz="4" w:space="0" w:color="auto"/>
            </w:tcBorders>
            <w:shd w:val="clear" w:color="auto" w:fill="auto"/>
          </w:tcPr>
          <w:p w:rsidR="00B31868" w:rsidRPr="00211D55" w:rsidRDefault="00B31868" w:rsidP="00086C3F">
            <w:pPr>
              <w:widowControl w:val="0"/>
              <w:bidi/>
              <w:spacing w:before="60" w:after="60" w:line="280" w:lineRule="exact"/>
              <w:rPr>
                <w:rFonts w:ascii="Arabic Typesetting" w:hAnsi="Arabic Typesetting" w:cs="Arabic Typesetting"/>
                <w:sz w:val="28"/>
                <w:szCs w:val="28"/>
                <w:lang w:bidi="th-TH"/>
              </w:rPr>
            </w:pPr>
            <w:r w:rsidRPr="00211D55">
              <w:rPr>
                <w:rFonts w:ascii="Arabic Typesetting" w:hAnsi="Arabic Typesetting" w:cs="Arabic Typesetting"/>
                <w:i/>
                <w:sz w:val="28"/>
                <w:szCs w:val="28"/>
                <w:rtl/>
              </w:rPr>
              <w:t>لا ينطبق</w:t>
            </w:r>
          </w:p>
        </w:tc>
        <w:tc>
          <w:tcPr>
            <w:tcW w:w="881" w:type="pct"/>
            <w:gridSpan w:val="2"/>
            <w:tcBorders>
              <w:top w:val="nil"/>
              <w:bottom w:val="single" w:sz="4" w:space="0" w:color="auto"/>
            </w:tcBorders>
            <w:shd w:val="clear" w:color="auto" w:fill="auto"/>
            <w:tcMar>
              <w:top w:w="110" w:type="dxa"/>
            </w:tcMar>
          </w:tcPr>
          <w:p w:rsidR="00B31868" w:rsidRPr="00211D55" w:rsidRDefault="00B31868" w:rsidP="00086C3F">
            <w:pPr>
              <w:widowControl w:val="0"/>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إكمال إجراءات تأمين المحيط حسب معايير الأمم المتحدة الدنيا للأمن التشغيلي في المقار (</w:t>
            </w:r>
            <w:r w:rsidRPr="00211D55">
              <w:rPr>
                <w:rFonts w:ascii="Arabic Typesetting" w:hAnsi="Arabic Typesetting" w:cs="Arabic Typesetting"/>
                <w:sz w:val="28"/>
                <w:szCs w:val="28"/>
              </w:rPr>
              <w:t>UN H-MOSS</w:t>
            </w:r>
            <w:r w:rsidRPr="00211D55">
              <w:rPr>
                <w:rFonts w:ascii="Arabic Typesetting" w:hAnsi="Arabic Typesetting" w:cs="Arabic Typesetting"/>
                <w:sz w:val="28"/>
                <w:szCs w:val="28"/>
                <w:rtl/>
              </w:rPr>
              <w:t>)</w:t>
            </w:r>
            <w:r w:rsidRPr="00211D55">
              <w:rPr>
                <w:rFonts w:ascii="Arabic Typesetting" w:hAnsi="Arabic Typesetting" w:cs="Arabic Typesetting"/>
                <w:sz w:val="28"/>
                <w:szCs w:val="28"/>
              </w:rPr>
              <w:t xml:space="preserve"> </w:t>
            </w:r>
            <w:r w:rsidRPr="00211D55">
              <w:rPr>
                <w:rFonts w:ascii="Arabic Typesetting" w:hAnsi="Arabic Typesetting" w:cs="Arabic Typesetting"/>
                <w:sz w:val="28"/>
                <w:szCs w:val="28"/>
                <w:rtl/>
              </w:rPr>
              <w:t>بحلول نهاية 2015</w:t>
            </w:r>
          </w:p>
        </w:tc>
        <w:tc>
          <w:tcPr>
            <w:tcW w:w="1742" w:type="pct"/>
            <w:gridSpan w:val="2"/>
            <w:tcBorders>
              <w:top w:val="nil"/>
              <w:bottom w:val="single" w:sz="4" w:space="0" w:color="auto"/>
            </w:tcBorders>
            <w:shd w:val="clear" w:color="auto" w:fill="FFFFFF"/>
            <w:tcMar>
              <w:top w:w="110" w:type="dxa"/>
            </w:tcMar>
          </w:tcPr>
          <w:p w:rsidR="00B31868" w:rsidRPr="00211D55" w:rsidRDefault="009F5F08" w:rsidP="009F5F08">
            <w:pPr>
              <w:widowControl w:val="0"/>
              <w:bidi/>
              <w:spacing w:before="60" w:after="60" w:line="280" w:lineRule="exact"/>
              <w:rPr>
                <w:rFonts w:ascii="Arabic Typesetting" w:hAnsi="Arabic Typesetting" w:cs="Arabic Typesetting"/>
                <w:sz w:val="28"/>
                <w:szCs w:val="28"/>
                <w:lang w:bidi="ar-EG"/>
              </w:rPr>
            </w:pPr>
            <w:r w:rsidRPr="00211D55">
              <w:rPr>
                <w:rFonts w:ascii="Arabic Typesetting" w:hAnsi="Arabic Typesetting" w:cs="Arabic Typesetting"/>
                <w:sz w:val="28"/>
                <w:szCs w:val="28"/>
                <w:rtl/>
              </w:rPr>
              <w:t>استُكمل</w:t>
            </w:r>
            <w:r w:rsidR="00B31868" w:rsidRPr="00211D55">
              <w:rPr>
                <w:rFonts w:ascii="Arabic Typesetting" w:hAnsi="Arabic Typesetting" w:cs="Arabic Typesetting"/>
                <w:sz w:val="28"/>
                <w:szCs w:val="28"/>
                <w:rtl/>
              </w:rPr>
              <w:t xml:space="preserve"> في أغسطس 2014 المحيط الأمني أمام </w:t>
            </w:r>
            <w:r w:rsidR="00B31868" w:rsidRPr="00211D55">
              <w:rPr>
                <w:rFonts w:ascii="Arabic Typesetting" w:hAnsi="Arabic Typesetting" w:cs="Arabic Typesetting"/>
                <w:sz w:val="28"/>
                <w:szCs w:val="28"/>
                <w:rtl/>
                <w:lang w:val="fr-CH"/>
              </w:rPr>
              <w:t xml:space="preserve">قاعة الويبو الجديدة للمؤتمرات </w:t>
            </w:r>
            <w:r w:rsidRPr="00211D55">
              <w:rPr>
                <w:rFonts w:ascii="Arabic Typesetting" w:hAnsi="Arabic Typesetting" w:cs="Arabic Typesetting"/>
                <w:sz w:val="28"/>
                <w:szCs w:val="28"/>
                <w:rtl/>
                <w:lang w:val="fr-CH"/>
              </w:rPr>
              <w:t>و</w:t>
            </w:r>
            <w:r w:rsidRPr="00211D55">
              <w:rPr>
                <w:rFonts w:ascii="Arabic Typesetting" w:hAnsi="Arabic Typesetting" w:cs="Arabic Typesetting"/>
                <w:sz w:val="28"/>
                <w:szCs w:val="28"/>
                <w:rtl/>
              </w:rPr>
              <w:t>إلى</w:t>
            </w:r>
            <w:r w:rsidR="00B31868" w:rsidRPr="00211D55">
              <w:rPr>
                <w:rFonts w:ascii="Arabic Typesetting" w:hAnsi="Arabic Typesetting" w:cs="Arabic Typesetting"/>
                <w:sz w:val="28"/>
                <w:szCs w:val="28"/>
                <w:rtl/>
              </w:rPr>
              <w:t xml:space="preserve"> جانب مبنى </w:t>
            </w:r>
            <w:proofErr w:type="spellStart"/>
            <w:r w:rsidR="00B31868" w:rsidRPr="00211D55">
              <w:rPr>
                <w:rFonts w:ascii="Arabic Typesetting" w:hAnsi="Arabic Typesetting" w:cs="Arabic Typesetting"/>
                <w:sz w:val="28"/>
                <w:szCs w:val="28"/>
                <w:rtl/>
              </w:rPr>
              <w:t>أرباد</w:t>
            </w:r>
            <w:proofErr w:type="spellEnd"/>
            <w:r w:rsidR="00B31868" w:rsidRPr="00211D55">
              <w:rPr>
                <w:rFonts w:ascii="Arabic Typesetting" w:hAnsi="Arabic Typesetting" w:cs="Arabic Typesetting"/>
                <w:sz w:val="28"/>
                <w:szCs w:val="28"/>
                <w:rtl/>
              </w:rPr>
              <w:t xml:space="preserve"> </w:t>
            </w:r>
            <w:proofErr w:type="spellStart"/>
            <w:r w:rsidR="00B31868" w:rsidRPr="00211D55">
              <w:rPr>
                <w:rFonts w:ascii="Arabic Typesetting" w:hAnsi="Arabic Typesetting" w:cs="Arabic Typesetting"/>
                <w:sz w:val="28"/>
                <w:szCs w:val="28"/>
                <w:rtl/>
              </w:rPr>
              <w:t>بوكش</w:t>
            </w:r>
            <w:proofErr w:type="spellEnd"/>
            <w:r w:rsidR="00B31868" w:rsidRPr="00211D55">
              <w:rPr>
                <w:rFonts w:ascii="Arabic Typesetting" w:hAnsi="Arabic Typesetting" w:cs="Arabic Typesetting"/>
                <w:sz w:val="28"/>
                <w:szCs w:val="28"/>
                <w:rtl/>
              </w:rPr>
              <w:t>، وكذلك من الجدار المضاد للانفجار على جانب طريق فرنيه. ومن المتوقع الانتهاء من التدابير الأخرى في موعد أقصاه نهاية عام 2015</w:t>
            </w:r>
            <w:r w:rsidR="00B31868" w:rsidRPr="00211D55">
              <w:rPr>
                <w:rFonts w:ascii="Arabic Typesetting" w:hAnsi="Arabic Typesetting" w:cs="Arabic Typesetting"/>
                <w:sz w:val="28"/>
                <w:szCs w:val="28"/>
              </w:rPr>
              <w:t>.</w:t>
            </w:r>
          </w:p>
        </w:tc>
        <w:tc>
          <w:tcPr>
            <w:tcW w:w="455" w:type="pct"/>
            <w:tcBorders>
              <w:top w:val="nil"/>
              <w:bottom w:val="single" w:sz="4" w:space="0" w:color="auto"/>
              <w:right w:val="single" w:sz="4" w:space="0" w:color="auto"/>
            </w:tcBorders>
            <w:shd w:val="clear" w:color="auto" w:fill="auto"/>
            <w:tcMar>
              <w:top w:w="110" w:type="dxa"/>
            </w:tcMar>
          </w:tcPr>
          <w:p w:rsidR="00B31868" w:rsidRPr="00211D55" w:rsidRDefault="004B49B1" w:rsidP="00086C3F">
            <w:pPr>
              <w:widowControl w:val="0"/>
              <w:bidi/>
              <w:spacing w:before="60" w:after="60" w:line="280" w:lineRule="exact"/>
              <w:jc w:val="center"/>
              <w:rPr>
                <w:rFonts w:ascii="Arabic Typesetting" w:hAnsi="Arabic Typesetting" w:cs="Arabic Typesetting"/>
                <w:b/>
                <w:color w:val="595959" w:themeColor="text1" w:themeTint="A6"/>
                <w:sz w:val="28"/>
                <w:szCs w:val="28"/>
                <w:lang w:bidi="ar-EG"/>
              </w:rPr>
            </w:pPr>
            <w:r w:rsidRPr="00211D55">
              <w:rPr>
                <w:rFonts w:ascii="Arabic Typesetting" w:hAnsi="Arabic Typesetting" w:cs="Arabic Typesetting"/>
                <w:b/>
                <w:bCs/>
                <w:color w:val="00B050"/>
                <w:sz w:val="28"/>
                <w:szCs w:val="28"/>
                <w:rtl/>
              </w:rPr>
              <w:t>محقق كلياً</w:t>
            </w:r>
          </w:p>
        </w:tc>
      </w:tr>
    </w:tbl>
    <w:p w:rsidR="004B49B1" w:rsidRPr="00820425" w:rsidRDefault="00B264F9" w:rsidP="00B264F9">
      <w:pPr>
        <w:keepNext/>
        <w:bidi/>
        <w:spacing w:before="120" w:after="120" w:line="340" w:lineRule="exact"/>
        <w:rPr>
          <w:rFonts w:ascii="Arabic Typesetting" w:hAnsi="Arabic Typesetting" w:cs="Arabic Typesetting"/>
          <w:sz w:val="36"/>
          <w:szCs w:val="36"/>
          <w:rtl/>
          <w:lang w:bidi="ar-EG"/>
        </w:rPr>
      </w:pPr>
      <w:r w:rsidRPr="00B264F9">
        <w:rPr>
          <w:rFonts w:ascii="Arabic Typesetting" w:hAnsi="Arabic Typesetting" w:cs="Arabic Typesetting" w:hint="cs"/>
          <w:sz w:val="34"/>
          <w:szCs w:val="34"/>
          <w:rtl/>
          <w:lang w:bidi="ar-EG"/>
        </w:rPr>
        <w:t>المخاطر المحتملة خلال الثنائية</w:t>
      </w:r>
    </w:p>
    <w:tbl>
      <w:tblPr>
        <w:bidiVisual/>
        <w:tblW w:w="0" w:type="auto"/>
        <w:tblInd w:w="108" w:type="dxa"/>
        <w:tblLook w:val="01E0" w:firstRow="1" w:lastRow="1" w:firstColumn="1" w:lastColumn="1" w:noHBand="0" w:noVBand="0"/>
      </w:tblPr>
      <w:tblGrid>
        <w:gridCol w:w="2420"/>
        <w:gridCol w:w="2200"/>
        <w:gridCol w:w="2310"/>
        <w:gridCol w:w="2306"/>
      </w:tblGrid>
      <w:tr w:rsidR="004B49B1" w:rsidRPr="00211D55" w:rsidTr="00426CD7">
        <w:trPr>
          <w:cantSplit/>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4B49B1" w:rsidRPr="00211D55" w:rsidRDefault="004B49B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المخاطر التي قد تحول دون تحقيق نتائج البرنامج</w:t>
            </w:r>
          </w:p>
        </w:tc>
        <w:tc>
          <w:tcPr>
            <w:tcW w:w="2200" w:type="dxa"/>
            <w:tcBorders>
              <w:top w:val="single" w:sz="4" w:space="0" w:color="auto"/>
              <w:bottom w:val="single" w:sz="4" w:space="0" w:color="auto"/>
            </w:tcBorders>
            <w:shd w:val="clear" w:color="auto" w:fill="C6D9F1" w:themeFill="text2" w:themeFillTint="33"/>
            <w:vAlign w:val="center"/>
          </w:tcPr>
          <w:p w:rsidR="004B49B1" w:rsidRPr="00211D55" w:rsidRDefault="004B49B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bCs/>
                <w:sz w:val="28"/>
                <w:szCs w:val="28"/>
                <w:rtl/>
                <w:lang w:bidi="ar-EG"/>
              </w:rPr>
              <w:t>الخطط الموضوعة أو قيد التنفيذ للحد من وطأة المخاطر</w:t>
            </w:r>
          </w:p>
        </w:tc>
        <w:tc>
          <w:tcPr>
            <w:tcW w:w="2310" w:type="dxa"/>
            <w:tcBorders>
              <w:top w:val="single" w:sz="4" w:space="0" w:color="auto"/>
              <w:bottom w:val="single" w:sz="4" w:space="0" w:color="auto"/>
            </w:tcBorders>
            <w:shd w:val="clear" w:color="auto" w:fill="C6D9F1" w:themeFill="text2" w:themeFillTint="33"/>
          </w:tcPr>
          <w:p w:rsidR="004B49B1" w:rsidRPr="00211D55" w:rsidRDefault="004B49B1"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تطور المخاطر واستراتيجيات الحد من وطأتها على مدار الثنائية</w:t>
            </w:r>
          </w:p>
        </w:tc>
        <w:tc>
          <w:tcPr>
            <w:tcW w:w="2306" w:type="dxa"/>
            <w:tcBorders>
              <w:top w:val="single" w:sz="4" w:space="0" w:color="auto"/>
              <w:bottom w:val="single" w:sz="4" w:space="0" w:color="auto"/>
              <w:right w:val="single" w:sz="4" w:space="0" w:color="auto"/>
            </w:tcBorders>
            <w:shd w:val="clear" w:color="auto" w:fill="C6D9F1" w:themeFill="text2" w:themeFillTint="33"/>
          </w:tcPr>
          <w:p w:rsidR="004B49B1" w:rsidRPr="00211D55" w:rsidRDefault="004E4FF2" w:rsidP="00086C3F">
            <w:pPr>
              <w:keepNext/>
              <w:bidi/>
              <w:spacing w:before="60" w:after="60" w:line="280" w:lineRule="exact"/>
              <w:jc w:val="center"/>
              <w:rPr>
                <w:rFonts w:ascii="Arabic Typesetting" w:hAnsi="Arabic Typesetting" w:cs="Arabic Typesetting"/>
                <w:bCs/>
                <w:sz w:val="28"/>
                <w:szCs w:val="28"/>
                <w:lang w:bidi="ar-EG"/>
              </w:rPr>
            </w:pPr>
            <w:r w:rsidRPr="00211D55">
              <w:rPr>
                <w:rFonts w:ascii="Arabic Typesetting" w:hAnsi="Arabic Typesetting" w:cs="Arabic Typesetting" w:hint="cs"/>
                <w:bCs/>
                <w:sz w:val="28"/>
                <w:szCs w:val="28"/>
                <w:rtl/>
                <w:lang w:bidi="ar-EG"/>
              </w:rPr>
              <w:t>التأثير في أداء البرنامج</w:t>
            </w:r>
          </w:p>
        </w:tc>
      </w:tr>
      <w:tr w:rsidR="004B49B1" w:rsidRPr="00211D55" w:rsidTr="00426CD7">
        <w:trPr>
          <w:cantSplit/>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4B49B1" w:rsidRPr="003B526C" w:rsidRDefault="004B49B1"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اكتشاف عيوب هندسية أو بنائية كبيرة خلال وقت البناء المتبقي، أو بعده، مما يؤخر البدء في استخدام قاعة المؤتمرات الجديدة</w:t>
            </w:r>
          </w:p>
        </w:tc>
        <w:tc>
          <w:tcPr>
            <w:tcW w:w="2200" w:type="dxa"/>
            <w:tcBorders>
              <w:top w:val="single" w:sz="4" w:space="0" w:color="auto"/>
              <w:bottom w:val="single" w:sz="4" w:space="0" w:color="auto"/>
            </w:tcBorders>
            <w:shd w:val="clear" w:color="auto" w:fill="auto"/>
            <w:tcMar>
              <w:top w:w="113" w:type="dxa"/>
              <w:bottom w:w="113" w:type="dxa"/>
            </w:tcMar>
          </w:tcPr>
          <w:p w:rsidR="004B49B1" w:rsidRPr="00211D55" w:rsidRDefault="004B49B1" w:rsidP="003B526C">
            <w:pPr>
              <w:bidi/>
              <w:spacing w:before="60" w:after="60" w:line="280" w:lineRule="exact"/>
              <w:rPr>
                <w:rFonts w:ascii="Arabic Typesetting" w:hAnsi="Arabic Typesetting" w:cs="Arabic Typesetting"/>
                <w:sz w:val="28"/>
                <w:szCs w:val="28"/>
              </w:rPr>
            </w:pPr>
            <w:r w:rsidRPr="00211D55">
              <w:rPr>
                <w:rFonts w:ascii="Arabic Typesetting" w:hAnsi="Arabic Typesetting" w:cs="Arabic Typesetting"/>
                <w:sz w:val="28"/>
                <w:szCs w:val="28"/>
                <w:rtl/>
              </w:rPr>
              <w:t>اختيار مهندس ومت</w:t>
            </w:r>
            <w:r w:rsidR="008A48B8" w:rsidRPr="00211D55">
              <w:rPr>
                <w:rFonts w:ascii="Arabic Typesetting" w:hAnsi="Arabic Typesetting" w:cs="Arabic Typesetting"/>
                <w:sz w:val="28"/>
                <w:szCs w:val="28"/>
                <w:rtl/>
              </w:rPr>
              <w:t>عاقدين يمتازون بالجودة العالية.</w:t>
            </w:r>
            <w:r w:rsidR="008A48B8" w:rsidRPr="00211D55">
              <w:rPr>
                <w:rFonts w:ascii="Arabic Typesetting" w:hAnsi="Arabic Typesetting" w:cs="Arabic Typesetting" w:hint="cs"/>
                <w:sz w:val="28"/>
                <w:szCs w:val="28"/>
                <w:rtl/>
              </w:rPr>
              <w:t xml:space="preserve"> </w:t>
            </w:r>
            <w:r w:rsidR="008A48B8" w:rsidRPr="00211D55">
              <w:rPr>
                <w:rFonts w:ascii="Arabic Typesetting" w:hAnsi="Arabic Typesetting" w:cs="Arabic Typesetting" w:hint="cs"/>
                <w:sz w:val="28"/>
                <w:szCs w:val="28"/>
                <w:rtl/>
              </w:rPr>
              <w:br/>
            </w:r>
            <w:r w:rsidRPr="00211D55">
              <w:rPr>
                <w:rFonts w:ascii="Arabic Typesetting" w:hAnsi="Arabic Typesetting" w:cs="Arabic Typesetting"/>
                <w:sz w:val="28"/>
                <w:szCs w:val="28"/>
                <w:rtl/>
              </w:rPr>
              <w:t>يمتاز اتحاد شركات هندسة الأخشاب بمهندسي الأخشاب الخاصين به، وهو يتألف من مجموعة من الشركات المحلية الخبيرة والمؤهلة بدرجة كبيرة. يرصد مدير موقع البناء تنفيذ المشروع عن كثب وعلى فترات متقاربة جدًا.</w:t>
            </w:r>
          </w:p>
        </w:tc>
        <w:tc>
          <w:tcPr>
            <w:tcW w:w="2310" w:type="dxa"/>
            <w:tcBorders>
              <w:top w:val="single" w:sz="4" w:space="0" w:color="auto"/>
              <w:bottom w:val="single" w:sz="4" w:space="0" w:color="auto"/>
            </w:tcBorders>
          </w:tcPr>
          <w:p w:rsidR="004B49B1" w:rsidRPr="003B526C" w:rsidRDefault="004B49B1" w:rsidP="003B526C">
            <w:pPr>
              <w:bidi/>
              <w:spacing w:before="60" w:after="60" w:line="280" w:lineRule="exact"/>
              <w:rPr>
                <w:rFonts w:ascii="Arabic Typesetting" w:hAnsi="Arabic Typesetting" w:cs="Arabic Typesetting"/>
                <w:sz w:val="28"/>
                <w:szCs w:val="28"/>
              </w:rPr>
            </w:pPr>
            <w:r w:rsidRPr="003B526C">
              <w:rPr>
                <w:rFonts w:ascii="Arabic Typesetting" w:hAnsi="Arabic Typesetting" w:cs="Arabic Typesetting" w:hint="cs"/>
                <w:sz w:val="28"/>
                <w:szCs w:val="28"/>
                <w:rtl/>
              </w:rPr>
              <w:t>انتهى هذا الخطر في نهاية الثنائية نظراً إلى بدء استخدام قاعة المؤتمرات الجديدة للويبو اعتباراً من سبتمبر 2014 لاستضافة اجتماعات الويبو</w:t>
            </w:r>
            <w:r w:rsidR="001D5F50" w:rsidRPr="003B526C">
              <w:rPr>
                <w:rFonts w:ascii="Arabic Typesetting" w:hAnsi="Arabic Typesetting" w:cs="Arabic Typesetting" w:hint="cs"/>
                <w:sz w:val="28"/>
                <w:szCs w:val="28"/>
                <w:rtl/>
              </w:rPr>
              <w:t xml:space="preserve"> ومنها جمعيات الويبو لعامي 2014 و2015 وغيرها من الاجتماعات والأحداث العديدة على مدار الفترة المتبقية من الثنائية.</w:t>
            </w:r>
          </w:p>
        </w:tc>
        <w:tc>
          <w:tcPr>
            <w:tcW w:w="2306" w:type="dxa"/>
            <w:tcBorders>
              <w:top w:val="single" w:sz="4" w:space="0" w:color="auto"/>
              <w:bottom w:val="single" w:sz="4" w:space="0" w:color="auto"/>
              <w:right w:val="single" w:sz="4" w:space="0" w:color="auto"/>
            </w:tcBorders>
          </w:tcPr>
          <w:p w:rsidR="004B49B1" w:rsidRPr="003B526C" w:rsidRDefault="002F200B" w:rsidP="003B526C">
            <w:pPr>
              <w:bidi/>
              <w:spacing w:before="60" w:after="60" w:line="280" w:lineRule="exact"/>
              <w:rPr>
                <w:rFonts w:ascii="Arabic Typesetting" w:hAnsi="Arabic Typesetting" w:cs="Arabic Typesetting"/>
                <w:sz w:val="28"/>
                <w:szCs w:val="28"/>
              </w:rPr>
            </w:pPr>
            <w:r>
              <w:rPr>
                <w:rFonts w:ascii="Arabic Typesetting" w:hAnsi="Arabic Typesetting" w:cs="Arabic Typesetting" w:hint="cs"/>
                <w:sz w:val="28"/>
                <w:szCs w:val="28"/>
                <w:rtl/>
              </w:rPr>
              <w:t>لم يؤثر هذا الخطر ولا تطوره تأثيراً مادياً في أداء البرنامج للفترة 2014/15.</w:t>
            </w:r>
          </w:p>
        </w:tc>
      </w:tr>
    </w:tbl>
    <w:p w:rsidR="00B264F9" w:rsidRPr="00B264F9" w:rsidRDefault="00B264F9" w:rsidP="00B264F9">
      <w:pPr>
        <w:keepNext/>
        <w:bidi/>
        <w:spacing w:before="120" w:after="120" w:line="340" w:lineRule="exact"/>
        <w:rPr>
          <w:rFonts w:ascii="Arabic Typesetting" w:hAnsi="Arabic Typesetting" w:cs="Arabic Typesetting"/>
          <w:b/>
          <w:sz w:val="34"/>
          <w:szCs w:val="34"/>
        </w:rPr>
      </w:pPr>
      <w:r w:rsidRPr="00B264F9">
        <w:rPr>
          <w:rFonts w:ascii="Arabic Typesetting" w:hAnsi="Arabic Typesetting" w:cs="Arabic Typesetting"/>
          <w:color w:val="000000"/>
          <w:sz w:val="34"/>
          <w:szCs w:val="34"/>
          <w:rtl/>
        </w:rPr>
        <w:lastRenderedPageBreak/>
        <w:t>استخدام الموارد</w:t>
      </w:r>
    </w:p>
    <w:p w:rsidR="00B31868" w:rsidRPr="00B31868" w:rsidRDefault="00774E37" w:rsidP="00252762">
      <w:pPr>
        <w:keepNext/>
        <w:bidi/>
        <w:spacing w:line="340" w:lineRule="exact"/>
        <w:jc w:val="center"/>
        <w:rPr>
          <w:rFonts w:ascii="Arabic Typesetting" w:hAnsi="Arabic Typesetting" w:cs="Arabic Typesetting"/>
          <w:sz w:val="34"/>
          <w:szCs w:val="34"/>
        </w:rPr>
      </w:pPr>
      <w:r w:rsidRPr="00774E37">
        <w:rPr>
          <w:rFonts w:ascii="Arabic Typesetting" w:hAnsi="Arabic Typesetting" w:cs="Arabic Typesetting"/>
          <w:color w:val="000000"/>
          <w:sz w:val="34"/>
          <w:szCs w:val="34"/>
          <w:rtl/>
        </w:rPr>
        <w:t>الميزانية والنفقات الفعلية (بحسب النتائج)</w:t>
      </w:r>
    </w:p>
    <w:p w:rsidR="00B31868" w:rsidRPr="00B31868" w:rsidRDefault="00B31868" w:rsidP="00086C3F">
      <w:pPr>
        <w:keepNext/>
        <w:bidi/>
        <w:spacing w:after="120" w:line="340" w:lineRule="exact"/>
        <w:jc w:val="center"/>
        <w:rPr>
          <w:rFonts w:ascii="Arabic Typesetting" w:hAnsi="Arabic Typesetting" w:cs="Arabic Typesetting"/>
          <w:i/>
          <w:iCs/>
          <w:color w:val="000000"/>
          <w:sz w:val="34"/>
          <w:szCs w:val="34"/>
        </w:rPr>
      </w:pPr>
      <w:r w:rsidRPr="00B31868">
        <w:rPr>
          <w:rFonts w:ascii="Arabic Typesetting" w:hAnsi="Arabic Typesetting" w:cs="Arabic Typesetting"/>
          <w:i/>
          <w:iCs/>
          <w:color w:val="000000"/>
          <w:sz w:val="34"/>
          <w:szCs w:val="34"/>
        </w:rPr>
        <w:t>)</w:t>
      </w:r>
      <w:r w:rsidRPr="00B31868">
        <w:rPr>
          <w:rFonts w:ascii="Arabic Typesetting" w:hAnsi="Arabic Typesetting" w:cs="Arabic Typesetting"/>
          <w:i/>
          <w:iCs/>
          <w:color w:val="000000"/>
          <w:sz w:val="34"/>
          <w:szCs w:val="34"/>
          <w:rtl/>
        </w:rPr>
        <w:t>بآلاف الفرنكات السويسرية)</w:t>
      </w:r>
    </w:p>
    <w:tbl>
      <w:tblPr>
        <w:bidiVisual/>
        <w:tblW w:w="5000" w:type="pct"/>
        <w:tblCellMar>
          <w:left w:w="0" w:type="dxa"/>
          <w:right w:w="0" w:type="dxa"/>
        </w:tblCellMar>
        <w:tblLook w:val="04A0" w:firstRow="1" w:lastRow="0" w:firstColumn="1" w:lastColumn="0" w:noHBand="0" w:noVBand="1"/>
      </w:tblPr>
      <w:tblGrid>
        <w:gridCol w:w="775"/>
        <w:gridCol w:w="4392"/>
        <w:gridCol w:w="1406"/>
        <w:gridCol w:w="1406"/>
        <w:gridCol w:w="1406"/>
      </w:tblGrid>
      <w:tr w:rsidR="00344145" w:rsidRPr="00211D55" w:rsidTr="00426CD7">
        <w:trPr>
          <w:cantSplit/>
          <w:trHeight w:val="825"/>
        </w:trPr>
        <w:tc>
          <w:tcPr>
            <w:tcW w:w="2753" w:type="pct"/>
            <w:gridSpan w:val="2"/>
            <w:tcBorders>
              <w:top w:val="single" w:sz="4" w:space="0" w:color="auto"/>
              <w:left w:val="single" w:sz="4" w:space="0" w:color="auto"/>
              <w:bottom w:val="single" w:sz="4" w:space="0" w:color="auto"/>
              <w:right w:val="single" w:sz="4" w:space="0" w:color="000000"/>
            </w:tcBorders>
            <w:shd w:val="clear" w:color="auto" w:fill="C6D9F1"/>
            <w:noWrap/>
            <w:tcMar>
              <w:top w:w="15" w:type="dxa"/>
              <w:left w:w="15" w:type="dxa"/>
              <w:bottom w:w="0" w:type="dxa"/>
              <w:right w:w="15" w:type="dxa"/>
            </w:tcMar>
            <w:vAlign w:val="center"/>
            <w:hideMark/>
          </w:tcPr>
          <w:p w:rsidR="00344145" w:rsidRPr="00211D55" w:rsidRDefault="00344145"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رقم النتيجة المرتقبة ووصفها</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344145" w:rsidRPr="00211D55" w:rsidRDefault="00344145"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الميزانية المعتمدة </w:t>
            </w:r>
            <w:r w:rsidR="00507DE2">
              <w:rPr>
                <w:rFonts w:ascii="Arabic Typesetting" w:hAnsi="Arabic Typesetting" w:cs="Arabic Typesetting"/>
                <w:i/>
                <w:iCs/>
                <w:sz w:val="28"/>
                <w:szCs w:val="28"/>
                <w:rtl/>
              </w:rPr>
              <w:t>2014/15</w:t>
            </w:r>
          </w:p>
        </w:tc>
        <w:tc>
          <w:tcPr>
            <w:tcW w:w="749" w:type="pct"/>
            <w:tcBorders>
              <w:top w:val="single" w:sz="4" w:space="0" w:color="auto"/>
              <w:left w:val="single" w:sz="4" w:space="0" w:color="auto"/>
              <w:bottom w:val="single" w:sz="4" w:space="0" w:color="auto"/>
              <w:right w:val="single" w:sz="4" w:space="0" w:color="auto"/>
            </w:tcBorders>
            <w:shd w:val="clear" w:color="auto" w:fill="C6D9F1"/>
            <w:tcMar>
              <w:top w:w="15" w:type="dxa"/>
              <w:left w:w="15" w:type="dxa"/>
              <w:bottom w:w="0" w:type="dxa"/>
              <w:right w:w="15" w:type="dxa"/>
            </w:tcMar>
            <w:vAlign w:val="center"/>
            <w:hideMark/>
          </w:tcPr>
          <w:p w:rsidR="00344145" w:rsidRPr="00211D55" w:rsidRDefault="00344145"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hint="cs"/>
                <w:i/>
                <w:iCs/>
                <w:sz w:val="28"/>
                <w:szCs w:val="28"/>
                <w:rtl/>
              </w:rPr>
              <w:t>الميزانية النهائية</w:t>
            </w:r>
            <w:r w:rsidRPr="00211D55">
              <w:rPr>
                <w:rFonts w:ascii="Arabic Typesetting" w:hAnsi="Arabic Typesetting" w:cs="Arabic Typesetting"/>
                <w:i/>
                <w:iCs/>
                <w:sz w:val="28"/>
                <w:szCs w:val="28"/>
                <w:rtl/>
              </w:rPr>
              <w:t xml:space="preserve"> بعد التحويلات</w:t>
            </w:r>
            <w:r w:rsidRPr="00211D55">
              <w:rPr>
                <w:rFonts w:ascii="Arabic Typesetting" w:hAnsi="Arabic Typesetting" w:cs="Arabic Typesetting" w:hint="cs"/>
                <w:i/>
                <w:iCs/>
                <w:sz w:val="28"/>
                <w:szCs w:val="28"/>
                <w:rtl/>
              </w:rPr>
              <w:t xml:space="preserve"> </w:t>
            </w:r>
            <w:r w:rsidR="00507DE2">
              <w:rPr>
                <w:rFonts w:ascii="Arabic Typesetting" w:hAnsi="Arabic Typesetting" w:cs="Arabic Typesetting"/>
                <w:i/>
                <w:iCs/>
                <w:sz w:val="28"/>
                <w:szCs w:val="28"/>
                <w:rtl/>
              </w:rPr>
              <w:t>2014/15</w:t>
            </w:r>
          </w:p>
        </w:tc>
        <w:tc>
          <w:tcPr>
            <w:tcW w:w="749" w:type="pct"/>
            <w:tcBorders>
              <w:top w:val="single" w:sz="4" w:space="0" w:color="auto"/>
              <w:left w:val="nil"/>
              <w:bottom w:val="single" w:sz="4" w:space="0" w:color="auto"/>
              <w:right w:val="single" w:sz="4" w:space="0" w:color="auto"/>
            </w:tcBorders>
            <w:shd w:val="clear" w:color="auto" w:fill="C6D9F1"/>
            <w:tcMar>
              <w:top w:w="15" w:type="dxa"/>
              <w:left w:w="15" w:type="dxa"/>
              <w:bottom w:w="0" w:type="dxa"/>
              <w:right w:w="15" w:type="dxa"/>
            </w:tcMar>
            <w:vAlign w:val="center"/>
            <w:hideMark/>
          </w:tcPr>
          <w:p w:rsidR="00344145" w:rsidRPr="00211D55" w:rsidRDefault="00344145" w:rsidP="00086C3F">
            <w:pPr>
              <w:keepNext/>
              <w:bidi/>
              <w:jc w:val="center"/>
              <w:rPr>
                <w:rFonts w:ascii="Arabic Typesetting" w:hAnsi="Arabic Typesetting" w:cs="Arabic Typesetting"/>
                <w:i/>
                <w:iCs/>
                <w:sz w:val="28"/>
                <w:szCs w:val="28"/>
              </w:rPr>
            </w:pPr>
            <w:r w:rsidRPr="00211D55">
              <w:rPr>
                <w:rFonts w:ascii="Arabic Typesetting" w:hAnsi="Arabic Typesetting" w:cs="Arabic Typesetting"/>
                <w:i/>
                <w:iCs/>
                <w:sz w:val="28"/>
                <w:szCs w:val="28"/>
                <w:rtl/>
              </w:rPr>
              <w:t xml:space="preserve">نفقات </w:t>
            </w:r>
            <w:r w:rsidR="00507DE2">
              <w:rPr>
                <w:rFonts w:ascii="Arabic Typesetting" w:hAnsi="Arabic Typesetting" w:cs="Arabic Typesetting"/>
                <w:i/>
                <w:iCs/>
                <w:sz w:val="28"/>
                <w:szCs w:val="28"/>
                <w:rtl/>
              </w:rPr>
              <w:t>2014/15</w:t>
            </w:r>
          </w:p>
        </w:tc>
      </w:tr>
      <w:tr w:rsidR="00344145" w:rsidRPr="00211D55" w:rsidTr="00426CD7">
        <w:trPr>
          <w:cantSplit/>
          <w:trHeight w:val="10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344145" w:rsidRPr="00211D55" w:rsidRDefault="00344145"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ھ1.9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44145" w:rsidRPr="00211D55" w:rsidRDefault="003F15BC" w:rsidP="00086C3F">
            <w:pPr>
              <w:bidi/>
              <w:rPr>
                <w:rFonts w:ascii="Arabic Typesetting" w:hAnsi="Arabic Typesetting" w:cs="Arabic Typesetting"/>
                <w:sz w:val="28"/>
                <w:szCs w:val="28"/>
              </w:rPr>
            </w:pPr>
            <w:r>
              <w:rPr>
                <w:rFonts w:ascii="Arabic Typesetting" w:hAnsi="Arabic Typesetting" w:cs="Arabic Typesetting"/>
                <w:sz w:val="28"/>
                <w:szCs w:val="28"/>
                <w:rtl/>
              </w:rPr>
              <w:t>خدمات دعم فعالة وناجعة وذات جودة موجهة نحو الزبائن لفائدة الزبائن الداخليين وأصحاب المصالح الخارجيين</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44145" w:rsidRPr="00211D55" w:rsidRDefault="00344145" w:rsidP="00086C3F">
            <w:pPr>
              <w:rPr>
                <w:rFonts w:ascii="Arabic Typesetting" w:hAnsi="Arabic Typesetting" w:cs="Arabic Typesetting"/>
                <w:sz w:val="28"/>
                <w:szCs w:val="28"/>
                <w:rtl/>
              </w:rPr>
            </w:pPr>
            <w:r w:rsidRPr="00211D55">
              <w:rPr>
                <w:rFonts w:ascii="Arabic Typesetting" w:hAnsi="Arabic Typesetting" w:cs="Arabic Typesetting"/>
                <w:sz w:val="28"/>
                <w:szCs w:val="28"/>
              </w:rPr>
              <w:t>765</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44145" w:rsidRPr="00211D55" w:rsidRDefault="00344145" w:rsidP="00086C3F">
            <w:pPr>
              <w:rPr>
                <w:rFonts w:ascii="Arabic Typesetting" w:hAnsi="Arabic Typesetting" w:cs="Arabic Typesetting"/>
                <w:sz w:val="28"/>
                <w:szCs w:val="28"/>
              </w:rPr>
            </w:pPr>
            <w:r w:rsidRPr="00211D55">
              <w:rPr>
                <w:rFonts w:ascii="Arabic Typesetting" w:hAnsi="Arabic Typesetting" w:cs="Arabic Typesetting"/>
                <w:sz w:val="28"/>
                <w:szCs w:val="28"/>
              </w:rPr>
              <w:t>4,114</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44145" w:rsidRPr="00211D55" w:rsidRDefault="00344145" w:rsidP="00086C3F">
            <w:pPr>
              <w:rPr>
                <w:rFonts w:ascii="Arabic Typesetting" w:hAnsi="Arabic Typesetting" w:cs="Arabic Typesetting"/>
                <w:sz w:val="28"/>
                <w:szCs w:val="28"/>
              </w:rPr>
            </w:pPr>
            <w:r w:rsidRPr="00211D55">
              <w:rPr>
                <w:rFonts w:ascii="Arabic Typesetting" w:hAnsi="Arabic Typesetting" w:cs="Arabic Typesetting"/>
                <w:sz w:val="28"/>
                <w:szCs w:val="28"/>
              </w:rPr>
              <w:t>3,942</w:t>
            </w:r>
          </w:p>
        </w:tc>
      </w:tr>
      <w:tr w:rsidR="00344145" w:rsidRPr="00211D55" w:rsidTr="00426CD7">
        <w:trPr>
          <w:cantSplit/>
          <w:trHeight w:val="735"/>
        </w:trPr>
        <w:tc>
          <w:tcPr>
            <w:tcW w:w="413" w:type="pct"/>
            <w:tcBorders>
              <w:top w:val="nil"/>
              <w:left w:val="single" w:sz="4" w:space="0" w:color="auto"/>
              <w:bottom w:val="nil"/>
              <w:right w:val="nil"/>
            </w:tcBorders>
            <w:shd w:val="clear" w:color="auto" w:fill="auto"/>
            <w:noWrap/>
            <w:tcMar>
              <w:top w:w="15" w:type="dxa"/>
              <w:left w:w="15" w:type="dxa"/>
              <w:bottom w:w="0" w:type="dxa"/>
              <w:right w:w="15" w:type="dxa"/>
            </w:tcMar>
            <w:vAlign w:val="center"/>
          </w:tcPr>
          <w:p w:rsidR="00344145" w:rsidRPr="00211D55" w:rsidRDefault="00344145"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ھ4.9</w:t>
            </w:r>
          </w:p>
        </w:tc>
        <w:tc>
          <w:tcPr>
            <w:tcW w:w="2340" w:type="pct"/>
            <w:tcBorders>
              <w:top w:val="nil"/>
              <w:left w:val="nil"/>
              <w:bottom w:val="nil"/>
              <w:right w:val="nil"/>
            </w:tcBorders>
            <w:shd w:val="clear" w:color="auto" w:fill="auto"/>
            <w:tcMar>
              <w:top w:w="15" w:type="dxa"/>
              <w:left w:w="15" w:type="dxa"/>
              <w:bottom w:w="0" w:type="dxa"/>
              <w:right w:w="15" w:type="dxa"/>
            </w:tcMar>
            <w:vAlign w:val="center"/>
          </w:tcPr>
          <w:p w:rsidR="00344145" w:rsidRPr="00211D55" w:rsidRDefault="003F15BC" w:rsidP="00086C3F">
            <w:pPr>
              <w:bidi/>
              <w:rPr>
                <w:rFonts w:ascii="Arabic Typesetting" w:hAnsi="Arabic Typesetting" w:cs="Arabic Typesetting"/>
                <w:sz w:val="28"/>
                <w:szCs w:val="28"/>
              </w:rPr>
            </w:pPr>
            <w:r>
              <w:rPr>
                <w:rFonts w:ascii="Arabic Typesetting" w:hAnsi="Arabic Typesetting" w:cs="Arabic Typesetting"/>
                <w:sz w:val="28"/>
                <w:szCs w:val="28"/>
                <w:rtl/>
              </w:rPr>
              <w:t>منظمة ذات مسؤولية بيئية واجتماعية تكفل سلامة وأمن موظفي الويبو والمندوبين والزائرين والممتلكات المادية والمعلومات</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44145" w:rsidRPr="00211D55" w:rsidRDefault="00344145" w:rsidP="00086C3F">
            <w:pPr>
              <w:rPr>
                <w:rFonts w:ascii="Arabic Typesetting" w:hAnsi="Arabic Typesetting" w:cs="Arabic Typesetting"/>
                <w:sz w:val="28"/>
                <w:szCs w:val="28"/>
              </w:rPr>
            </w:pPr>
            <w:r w:rsidRPr="00211D55">
              <w:rPr>
                <w:rFonts w:ascii="Arabic Typesetting" w:hAnsi="Arabic Typesetting" w:cs="Arabic Typesetting"/>
                <w:sz w:val="28"/>
                <w:szCs w:val="28"/>
              </w:rPr>
              <w:t>69</w:t>
            </w:r>
          </w:p>
        </w:tc>
        <w:tc>
          <w:tcPr>
            <w:tcW w:w="749" w:type="pct"/>
            <w:tcBorders>
              <w:top w:val="nil"/>
              <w:left w:val="nil"/>
              <w:bottom w:val="nil"/>
              <w:right w:val="nil"/>
            </w:tcBorders>
            <w:shd w:val="clear" w:color="auto" w:fill="auto"/>
            <w:tcMar>
              <w:top w:w="15" w:type="dxa"/>
              <w:left w:w="15" w:type="dxa"/>
              <w:bottom w:w="0" w:type="dxa"/>
              <w:right w:w="15" w:type="dxa"/>
            </w:tcMar>
            <w:vAlign w:val="center"/>
          </w:tcPr>
          <w:p w:rsidR="00344145" w:rsidRPr="00211D55" w:rsidRDefault="00344145" w:rsidP="00086C3F">
            <w:pPr>
              <w:rPr>
                <w:rFonts w:ascii="Arabic Typesetting" w:hAnsi="Arabic Typesetting" w:cs="Arabic Typesetting"/>
                <w:sz w:val="28"/>
                <w:szCs w:val="28"/>
              </w:rPr>
            </w:pPr>
            <w:r w:rsidRPr="00211D55">
              <w:rPr>
                <w:rFonts w:ascii="Arabic Typesetting" w:hAnsi="Arabic Typesetting" w:cs="Arabic Typesetting"/>
                <w:sz w:val="28"/>
                <w:szCs w:val="28"/>
              </w:rPr>
              <w:t>190</w:t>
            </w:r>
          </w:p>
        </w:tc>
        <w:tc>
          <w:tcPr>
            <w:tcW w:w="749" w:type="pct"/>
            <w:tcBorders>
              <w:top w:val="nil"/>
              <w:left w:val="nil"/>
              <w:bottom w:val="nil"/>
              <w:right w:val="single" w:sz="4" w:space="0" w:color="auto"/>
            </w:tcBorders>
            <w:shd w:val="clear" w:color="auto" w:fill="auto"/>
            <w:noWrap/>
            <w:tcMar>
              <w:top w:w="15" w:type="dxa"/>
              <w:left w:w="15" w:type="dxa"/>
              <w:bottom w:w="0" w:type="dxa"/>
              <w:right w:w="15" w:type="dxa"/>
            </w:tcMar>
            <w:vAlign w:val="center"/>
          </w:tcPr>
          <w:p w:rsidR="00344145" w:rsidRPr="00211D55" w:rsidRDefault="00344145" w:rsidP="00086C3F">
            <w:pPr>
              <w:rPr>
                <w:rFonts w:ascii="Arabic Typesetting" w:hAnsi="Arabic Typesetting" w:cs="Arabic Typesetting"/>
                <w:sz w:val="28"/>
                <w:szCs w:val="28"/>
              </w:rPr>
            </w:pPr>
            <w:r w:rsidRPr="00211D55">
              <w:rPr>
                <w:rFonts w:ascii="Arabic Typesetting" w:hAnsi="Arabic Typesetting" w:cs="Arabic Typesetting"/>
                <w:sz w:val="28"/>
                <w:szCs w:val="28"/>
              </w:rPr>
              <w:t>166</w:t>
            </w:r>
          </w:p>
        </w:tc>
      </w:tr>
      <w:tr w:rsidR="00344145" w:rsidRPr="00211D55" w:rsidTr="00426CD7">
        <w:trPr>
          <w:cantSplit/>
          <w:trHeight w:val="225"/>
        </w:trPr>
        <w:tc>
          <w:tcPr>
            <w:tcW w:w="413" w:type="pct"/>
            <w:tcBorders>
              <w:top w:val="single" w:sz="4" w:space="0" w:color="auto"/>
              <w:left w:val="single" w:sz="4" w:space="0" w:color="auto"/>
              <w:bottom w:val="single" w:sz="4" w:space="0" w:color="auto"/>
              <w:right w:val="nil"/>
            </w:tcBorders>
            <w:shd w:val="clear" w:color="auto" w:fill="C6D9F1"/>
            <w:noWrap/>
            <w:tcMar>
              <w:top w:w="15" w:type="dxa"/>
              <w:left w:w="15" w:type="dxa"/>
              <w:bottom w:w="0" w:type="dxa"/>
              <w:right w:w="15" w:type="dxa"/>
            </w:tcMar>
            <w:vAlign w:val="bottom"/>
            <w:hideMark/>
          </w:tcPr>
          <w:p w:rsidR="00344145" w:rsidRPr="00211D55" w:rsidRDefault="00344145" w:rsidP="00086C3F">
            <w:pPr>
              <w:bidi/>
              <w:rPr>
                <w:rFonts w:ascii="Arabic Typesetting" w:hAnsi="Arabic Typesetting" w:cs="Arabic Typesetting"/>
                <w:sz w:val="28"/>
                <w:szCs w:val="28"/>
              </w:rPr>
            </w:pPr>
          </w:p>
        </w:tc>
        <w:tc>
          <w:tcPr>
            <w:tcW w:w="2340"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hideMark/>
          </w:tcPr>
          <w:p w:rsidR="00344145" w:rsidRPr="00211D55" w:rsidRDefault="00344145" w:rsidP="00086C3F">
            <w:pPr>
              <w:bidi/>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44145" w:rsidRPr="00211D55" w:rsidRDefault="00344145"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834</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44145" w:rsidRPr="00211D55" w:rsidRDefault="00344145"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4,303</w:t>
            </w:r>
          </w:p>
        </w:tc>
        <w:tc>
          <w:tcPr>
            <w:tcW w:w="749" w:type="pct"/>
            <w:tcBorders>
              <w:top w:val="single" w:sz="4" w:space="0" w:color="auto"/>
              <w:left w:val="nil"/>
              <w:bottom w:val="single" w:sz="4" w:space="0" w:color="auto"/>
              <w:right w:val="single" w:sz="4" w:space="0" w:color="auto"/>
            </w:tcBorders>
            <w:shd w:val="clear" w:color="auto" w:fill="C6D9F1"/>
            <w:noWrap/>
            <w:tcMar>
              <w:top w:w="15" w:type="dxa"/>
              <w:left w:w="15" w:type="dxa"/>
              <w:bottom w:w="0" w:type="dxa"/>
              <w:right w:w="15" w:type="dxa"/>
            </w:tcMar>
            <w:vAlign w:val="bottom"/>
          </w:tcPr>
          <w:p w:rsidR="00344145" w:rsidRPr="00211D55" w:rsidRDefault="00344145" w:rsidP="00086C3F">
            <w:pPr>
              <w:rPr>
                <w:rFonts w:ascii="Arabic Typesetting" w:hAnsi="Arabic Typesetting" w:cs="Arabic Typesetting"/>
                <w:b/>
                <w:bCs/>
                <w:sz w:val="28"/>
                <w:szCs w:val="28"/>
              </w:rPr>
            </w:pPr>
            <w:r w:rsidRPr="00211D55">
              <w:rPr>
                <w:rFonts w:ascii="Arabic Typesetting" w:hAnsi="Arabic Typesetting" w:cs="Arabic Typesetting"/>
                <w:b/>
                <w:bCs/>
                <w:sz w:val="28"/>
                <w:szCs w:val="28"/>
              </w:rPr>
              <w:t>4,108</w:t>
            </w:r>
          </w:p>
        </w:tc>
      </w:tr>
    </w:tbl>
    <w:p w:rsidR="00B31868" w:rsidRPr="00B31868" w:rsidRDefault="00774E37" w:rsidP="00252762">
      <w:pPr>
        <w:keepNext/>
        <w:bidi/>
        <w:spacing w:before="120" w:line="340" w:lineRule="exact"/>
        <w:jc w:val="center"/>
        <w:rPr>
          <w:rFonts w:ascii="Arabic Typesetting" w:hAnsi="Arabic Typesetting" w:cs="Arabic Typesetting"/>
          <w:sz w:val="34"/>
          <w:szCs w:val="34"/>
        </w:rPr>
      </w:pPr>
      <w:r w:rsidRPr="00774E37">
        <w:rPr>
          <w:rFonts w:ascii="Arabic Typesetting" w:hAnsi="Arabic Typesetting" w:cs="Arabic Typesetting"/>
          <w:color w:val="000000"/>
          <w:sz w:val="34"/>
          <w:szCs w:val="34"/>
          <w:rtl/>
        </w:rPr>
        <w:t>الميزانية والنفقات الفعلية (موارد الموظفين وخلاف موارد الموظفين)</w:t>
      </w:r>
    </w:p>
    <w:p w:rsidR="00B31868" w:rsidRPr="00B31868" w:rsidRDefault="00B31868" w:rsidP="00086C3F">
      <w:pPr>
        <w:keepNext/>
        <w:bidi/>
        <w:spacing w:after="120" w:line="340" w:lineRule="exact"/>
        <w:jc w:val="center"/>
        <w:rPr>
          <w:rFonts w:ascii="Arabic Typesetting" w:hAnsi="Arabic Typesetting" w:cs="Arabic Typesetting"/>
          <w:i/>
          <w:iCs/>
          <w:color w:val="000000"/>
          <w:sz w:val="34"/>
          <w:szCs w:val="34"/>
        </w:rPr>
      </w:pPr>
      <w:r w:rsidRPr="00B31868">
        <w:rPr>
          <w:rFonts w:ascii="Arabic Typesetting" w:hAnsi="Arabic Typesetting" w:cs="Arabic Typesetting"/>
          <w:i/>
          <w:iCs/>
          <w:color w:val="000000"/>
          <w:sz w:val="34"/>
          <w:szCs w:val="34"/>
        </w:rPr>
        <w:t>)</w:t>
      </w:r>
      <w:r w:rsidRPr="00B31868">
        <w:rPr>
          <w:rFonts w:ascii="Arabic Typesetting" w:hAnsi="Arabic Typesetting" w:cs="Arabic Typesetting"/>
          <w:i/>
          <w:iCs/>
          <w:color w:val="000000"/>
          <w:sz w:val="34"/>
          <w:szCs w:val="34"/>
          <w:rtl/>
        </w:rPr>
        <w:t>بآلاف الفرنكات السويسرية)</w:t>
      </w:r>
    </w:p>
    <w:tbl>
      <w:tblPr>
        <w:bidiVisual/>
        <w:tblW w:w="5000" w:type="pct"/>
        <w:tblLook w:val="04A0" w:firstRow="1" w:lastRow="0" w:firstColumn="1" w:lastColumn="0" w:noHBand="0" w:noVBand="1"/>
      </w:tblPr>
      <w:tblGrid>
        <w:gridCol w:w="2143"/>
        <w:gridCol w:w="1857"/>
        <w:gridCol w:w="1857"/>
        <w:gridCol w:w="1857"/>
        <w:gridCol w:w="1857"/>
      </w:tblGrid>
      <w:tr w:rsidR="00344145" w:rsidRPr="00211D55" w:rsidTr="00344145">
        <w:trPr>
          <w:cantSplit/>
          <w:trHeight w:val="645"/>
        </w:trPr>
        <w:tc>
          <w:tcPr>
            <w:tcW w:w="1120" w:type="pc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344145" w:rsidRPr="00211D55" w:rsidRDefault="00344145" w:rsidP="00086C3F">
            <w:pPr>
              <w:keepNext/>
              <w:bidi/>
              <w:jc w:val="center"/>
              <w:rPr>
                <w:rFonts w:ascii="Arabic Typesetting" w:hAnsi="Arabic Typesetting" w:cs="Arabic Typesetting"/>
                <w:b/>
                <w:bCs/>
                <w:i/>
                <w:iCs/>
                <w:sz w:val="28"/>
                <w:szCs w:val="28"/>
              </w:rPr>
            </w:pP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44145" w:rsidRPr="00211D55" w:rsidRDefault="00344145"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الميزانية المعتمدة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44145" w:rsidRPr="00211D55" w:rsidRDefault="00344145"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hint="cs"/>
                <w:b/>
                <w:bCs/>
                <w:i/>
                <w:iCs/>
                <w:sz w:val="28"/>
                <w:szCs w:val="28"/>
                <w:rtl/>
              </w:rPr>
              <w:t>الميزانية النهائية</w:t>
            </w:r>
            <w:r w:rsidRPr="00211D55">
              <w:rPr>
                <w:rFonts w:ascii="Arabic Typesetting" w:hAnsi="Arabic Typesetting" w:cs="Arabic Typesetting"/>
                <w:b/>
                <w:bCs/>
                <w:i/>
                <w:iCs/>
                <w:sz w:val="28"/>
                <w:szCs w:val="28"/>
                <w:rtl/>
              </w:rPr>
              <w:t xml:space="preserve"> بعد التحويلات</w:t>
            </w:r>
            <w:r w:rsidRPr="00211D55">
              <w:rPr>
                <w:rFonts w:ascii="Arabic Typesetting" w:hAnsi="Arabic Typesetting" w:cs="Arabic Typesetting" w:hint="cs"/>
                <w:b/>
                <w:bCs/>
                <w:i/>
                <w:iCs/>
                <w:sz w:val="28"/>
                <w:szCs w:val="28"/>
                <w:rtl/>
              </w:rPr>
              <w:t xml:space="preserve">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44145" w:rsidRPr="00211D55" w:rsidRDefault="00344145" w:rsidP="00086C3F">
            <w:pPr>
              <w:keepNext/>
              <w:bidi/>
              <w:jc w:val="center"/>
              <w:rPr>
                <w:rFonts w:ascii="Arabic Typesetting" w:hAnsi="Arabic Typesetting" w:cs="Arabic Typesetting"/>
                <w:b/>
                <w:bCs/>
                <w:i/>
                <w:iCs/>
                <w:sz w:val="28"/>
                <w:szCs w:val="28"/>
              </w:rPr>
            </w:pPr>
            <w:r w:rsidRPr="00211D55">
              <w:rPr>
                <w:rFonts w:ascii="Arabic Typesetting" w:hAnsi="Arabic Typesetting" w:cs="Arabic Typesetting"/>
                <w:b/>
                <w:bCs/>
                <w:i/>
                <w:iCs/>
                <w:sz w:val="28"/>
                <w:szCs w:val="28"/>
                <w:rtl/>
              </w:rPr>
              <w:t xml:space="preserve">نفقات </w:t>
            </w:r>
            <w:r w:rsidR="00507DE2">
              <w:rPr>
                <w:rFonts w:ascii="Arabic Typesetting" w:hAnsi="Arabic Typesetting" w:cs="Arabic Typesetting"/>
                <w:b/>
                <w:bCs/>
                <w:i/>
                <w:iCs/>
                <w:sz w:val="28"/>
                <w:szCs w:val="28"/>
                <w:rtl/>
              </w:rPr>
              <w:t>2014/15</w:t>
            </w:r>
          </w:p>
        </w:tc>
        <w:tc>
          <w:tcPr>
            <w:tcW w:w="970" w:type="pct"/>
            <w:tcBorders>
              <w:top w:val="single" w:sz="4" w:space="0" w:color="auto"/>
              <w:left w:val="single" w:sz="4" w:space="0" w:color="auto"/>
              <w:bottom w:val="nil"/>
              <w:right w:val="single" w:sz="4" w:space="0" w:color="auto"/>
            </w:tcBorders>
            <w:shd w:val="clear" w:color="auto" w:fill="C6D9F1"/>
            <w:vAlign w:val="center"/>
            <w:hideMark/>
          </w:tcPr>
          <w:p w:rsidR="00344145" w:rsidRPr="00211D55" w:rsidRDefault="009E57D2" w:rsidP="00086C3F">
            <w:pPr>
              <w:keepNext/>
              <w:bidi/>
              <w:jc w:val="center"/>
              <w:rPr>
                <w:rFonts w:ascii="Arabic Typesetting" w:hAnsi="Arabic Typesetting" w:cs="Arabic Typesetting"/>
                <w:b/>
                <w:bCs/>
                <w:i/>
                <w:iCs/>
                <w:sz w:val="28"/>
                <w:szCs w:val="28"/>
              </w:rPr>
            </w:pPr>
            <w:r>
              <w:rPr>
                <w:rFonts w:ascii="Arabic Typesetting" w:hAnsi="Arabic Typesetting" w:cs="Arabic Typesetting"/>
                <w:b/>
                <w:bCs/>
                <w:i/>
                <w:iCs/>
                <w:sz w:val="28"/>
                <w:szCs w:val="28"/>
                <w:rtl/>
              </w:rPr>
              <w:t>نسبة الاستخدام</w:t>
            </w:r>
            <w:r w:rsidR="00344145" w:rsidRPr="00211D55">
              <w:rPr>
                <w:rFonts w:ascii="Arabic Typesetting" w:hAnsi="Arabic Typesetting" w:cs="Arabic Typesetting"/>
                <w:b/>
                <w:bCs/>
                <w:i/>
                <w:iCs/>
                <w:sz w:val="28"/>
                <w:szCs w:val="28"/>
                <w:rtl/>
              </w:rPr>
              <w:t xml:space="preserve"> (%)</w:t>
            </w:r>
          </w:p>
        </w:tc>
      </w:tr>
      <w:tr w:rsidR="00344145" w:rsidRPr="00211D55" w:rsidTr="00344145">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344145" w:rsidRPr="00211D55" w:rsidRDefault="00344145"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موارد الموظفين</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462</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443</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387</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87%</w:t>
            </w:r>
          </w:p>
        </w:tc>
      </w:tr>
      <w:tr w:rsidR="00344145" w:rsidRPr="00211D55" w:rsidTr="00344145">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344145" w:rsidRPr="00211D55" w:rsidRDefault="00344145" w:rsidP="00086C3F">
            <w:pPr>
              <w:bidi/>
              <w:rPr>
                <w:rFonts w:ascii="Arabic Typesetting" w:hAnsi="Arabic Typesetting" w:cs="Arabic Typesetting"/>
                <w:sz w:val="28"/>
                <w:szCs w:val="28"/>
              </w:rPr>
            </w:pPr>
            <w:r w:rsidRPr="00211D55">
              <w:rPr>
                <w:rFonts w:ascii="Arabic Typesetting" w:hAnsi="Arabic Typesetting" w:cs="Arabic Typesetting"/>
                <w:sz w:val="28"/>
                <w:szCs w:val="28"/>
                <w:rtl/>
              </w:rPr>
              <w:t>خلاف موارد الموظفين</w:t>
            </w:r>
          </w:p>
        </w:tc>
        <w:tc>
          <w:tcPr>
            <w:tcW w:w="970" w:type="pct"/>
            <w:tcBorders>
              <w:top w:val="nil"/>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372</w:t>
            </w:r>
          </w:p>
        </w:tc>
        <w:tc>
          <w:tcPr>
            <w:tcW w:w="970" w:type="pct"/>
            <w:tcBorders>
              <w:top w:val="nil"/>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3,861</w:t>
            </w:r>
          </w:p>
        </w:tc>
        <w:tc>
          <w:tcPr>
            <w:tcW w:w="970" w:type="pct"/>
            <w:tcBorders>
              <w:top w:val="nil"/>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3,721</w:t>
            </w:r>
          </w:p>
        </w:tc>
        <w:tc>
          <w:tcPr>
            <w:tcW w:w="970" w:type="pct"/>
            <w:tcBorders>
              <w:top w:val="nil"/>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sz w:val="28"/>
                <w:szCs w:val="28"/>
              </w:rPr>
            </w:pPr>
            <w:r w:rsidRPr="00211D55">
              <w:rPr>
                <w:rFonts w:ascii="Arabic Typesetting" w:hAnsi="Arabic Typesetting" w:cs="Arabic Typesetting"/>
                <w:sz w:val="28"/>
                <w:szCs w:val="28"/>
              </w:rPr>
              <w:t>96%</w:t>
            </w:r>
          </w:p>
        </w:tc>
      </w:tr>
      <w:tr w:rsidR="00344145" w:rsidRPr="00211D55" w:rsidTr="00344145">
        <w:trPr>
          <w:cantSplit/>
          <w:trHeight w:val="540"/>
        </w:trPr>
        <w:tc>
          <w:tcPr>
            <w:tcW w:w="1120" w:type="pct"/>
            <w:tcBorders>
              <w:top w:val="nil"/>
              <w:left w:val="single" w:sz="4" w:space="0" w:color="auto"/>
              <w:bottom w:val="single" w:sz="4" w:space="0" w:color="auto"/>
              <w:right w:val="single" w:sz="4" w:space="0" w:color="auto"/>
            </w:tcBorders>
            <w:shd w:val="clear" w:color="auto" w:fill="auto"/>
            <w:noWrap/>
            <w:vAlign w:val="center"/>
            <w:hideMark/>
          </w:tcPr>
          <w:p w:rsidR="00344145" w:rsidRPr="00211D55" w:rsidRDefault="00344145" w:rsidP="00086C3F">
            <w:pPr>
              <w:bidi/>
              <w:jc w:val="right"/>
              <w:rPr>
                <w:rFonts w:ascii="Arabic Typesetting" w:hAnsi="Arabic Typesetting" w:cs="Arabic Typesetting"/>
                <w:b/>
                <w:bCs/>
                <w:sz w:val="28"/>
                <w:szCs w:val="28"/>
              </w:rPr>
            </w:pPr>
            <w:r w:rsidRPr="00211D55">
              <w:rPr>
                <w:rFonts w:ascii="Arabic Typesetting" w:hAnsi="Arabic Typesetting" w:cs="Arabic Typesetting"/>
                <w:b/>
                <w:bCs/>
                <w:sz w:val="28"/>
                <w:szCs w:val="28"/>
                <w:rtl/>
              </w:rPr>
              <w:t>المجموع</w:t>
            </w:r>
          </w:p>
        </w:tc>
        <w:tc>
          <w:tcPr>
            <w:tcW w:w="970" w:type="pct"/>
            <w:tcBorders>
              <w:top w:val="nil"/>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834</w:t>
            </w:r>
          </w:p>
        </w:tc>
        <w:tc>
          <w:tcPr>
            <w:tcW w:w="970" w:type="pct"/>
            <w:tcBorders>
              <w:top w:val="nil"/>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4,303</w:t>
            </w:r>
          </w:p>
        </w:tc>
        <w:tc>
          <w:tcPr>
            <w:tcW w:w="970" w:type="pct"/>
            <w:tcBorders>
              <w:top w:val="nil"/>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4,108</w:t>
            </w:r>
          </w:p>
        </w:tc>
        <w:tc>
          <w:tcPr>
            <w:tcW w:w="970" w:type="pct"/>
            <w:tcBorders>
              <w:top w:val="nil"/>
              <w:left w:val="single" w:sz="4" w:space="0" w:color="auto"/>
              <w:bottom w:val="single" w:sz="4" w:space="0" w:color="auto"/>
              <w:right w:val="single" w:sz="4" w:space="0" w:color="auto"/>
            </w:tcBorders>
            <w:shd w:val="clear" w:color="auto" w:fill="auto"/>
            <w:vAlign w:val="center"/>
          </w:tcPr>
          <w:p w:rsidR="00344145" w:rsidRPr="00211D55" w:rsidRDefault="00344145" w:rsidP="00086C3F">
            <w:pPr>
              <w:jc w:val="center"/>
              <w:rPr>
                <w:rFonts w:ascii="Arabic Typesetting" w:hAnsi="Arabic Typesetting" w:cs="Arabic Typesetting"/>
                <w:b/>
                <w:bCs/>
                <w:sz w:val="28"/>
                <w:szCs w:val="28"/>
              </w:rPr>
            </w:pPr>
            <w:r w:rsidRPr="00211D55">
              <w:rPr>
                <w:rFonts w:ascii="Arabic Typesetting" w:hAnsi="Arabic Typesetting" w:cs="Arabic Typesetting"/>
                <w:b/>
                <w:bCs/>
                <w:sz w:val="28"/>
                <w:szCs w:val="28"/>
              </w:rPr>
              <w:t>95%</w:t>
            </w:r>
          </w:p>
        </w:tc>
      </w:tr>
    </w:tbl>
    <w:p w:rsidR="00344145" w:rsidRPr="00706F20" w:rsidRDefault="00344145" w:rsidP="00086C3F">
      <w:pPr>
        <w:keepNext/>
        <w:bidi/>
        <w:spacing w:before="240" w:after="120" w:line="340" w:lineRule="exact"/>
        <w:rPr>
          <w:rFonts w:ascii="Arabic Typesetting" w:hAnsi="Arabic Typesetting" w:cs="Arabic Typesetting"/>
          <w:sz w:val="34"/>
          <w:szCs w:val="34"/>
          <w:lang w:bidi="ar-EG"/>
        </w:rPr>
      </w:pPr>
      <w:r w:rsidRPr="00706F20">
        <w:rPr>
          <w:rFonts w:ascii="Arabic Typesetting" w:hAnsi="Arabic Typesetting" w:cs="Arabic Typesetting" w:hint="cs"/>
          <w:sz w:val="34"/>
          <w:szCs w:val="34"/>
          <w:rtl/>
          <w:lang w:bidi="ar-EG"/>
        </w:rPr>
        <w:t>ألف</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Pr="00706F20">
        <w:rPr>
          <w:rFonts w:ascii="Arabic Typesetting" w:hAnsi="Arabic Typesetting" w:cs="Arabic Typesetting" w:hint="cs"/>
          <w:sz w:val="34"/>
          <w:szCs w:val="34"/>
          <w:u w:val="single"/>
          <w:rtl/>
          <w:lang w:bidi="ar-EG"/>
        </w:rPr>
        <w:t xml:space="preserve">الميزانية النهائية بعد التحويلات </w:t>
      </w:r>
      <w:r w:rsidR="00507DE2">
        <w:rPr>
          <w:rFonts w:ascii="Arabic Typesetting" w:hAnsi="Arabic Typesetting" w:cs="Arabic Typesetting" w:hint="cs"/>
          <w:sz w:val="34"/>
          <w:szCs w:val="34"/>
          <w:u w:val="single"/>
          <w:rtl/>
          <w:lang w:bidi="ar-EG"/>
        </w:rPr>
        <w:t>2014/15</w:t>
      </w:r>
    </w:p>
    <w:p w:rsidR="005E58C5" w:rsidRPr="005E58C5" w:rsidRDefault="005E58C5" w:rsidP="009A3712">
      <w:pPr>
        <w:numPr>
          <w:ilvl w:val="0"/>
          <w:numId w:val="23"/>
        </w:numPr>
        <w:bidi/>
        <w:spacing w:after="120" w:line="340" w:lineRule="exact"/>
        <w:ind w:left="0" w:firstLine="0"/>
        <w:jc w:val="both"/>
        <w:rPr>
          <w:rFonts w:ascii="Arabic Typesetting" w:hAnsi="Arabic Typesetting" w:cs="Arabic Typesetting"/>
          <w:color w:val="000000"/>
          <w:sz w:val="34"/>
          <w:szCs w:val="34"/>
        </w:rPr>
      </w:pPr>
      <w:r w:rsidRPr="005E58C5">
        <w:rPr>
          <w:rFonts w:ascii="Arabic Typesetting" w:hAnsi="Arabic Typesetting" w:cs="Arabic Typesetting" w:hint="cs"/>
          <w:color w:val="000000"/>
          <w:sz w:val="34"/>
          <w:szCs w:val="34"/>
          <w:rtl/>
        </w:rPr>
        <w:t xml:space="preserve">تعزى الزيادة الإجمالية في الميزانية النهائية بعد التحويلات </w:t>
      </w:r>
      <w:r w:rsidR="00507DE2">
        <w:rPr>
          <w:rFonts w:ascii="Arabic Typesetting" w:hAnsi="Arabic Typesetting" w:cs="Arabic Typesetting" w:hint="cs"/>
          <w:color w:val="000000"/>
          <w:sz w:val="34"/>
          <w:szCs w:val="34"/>
          <w:rtl/>
        </w:rPr>
        <w:t>2014/15</w:t>
      </w:r>
      <w:r w:rsidRPr="005E58C5">
        <w:rPr>
          <w:rFonts w:ascii="Arabic Typesetting" w:hAnsi="Arabic Typesetting" w:cs="Arabic Typesetting" w:hint="cs"/>
          <w:color w:val="000000"/>
          <w:sz w:val="34"/>
          <w:szCs w:val="34"/>
          <w:rtl/>
        </w:rPr>
        <w:t xml:space="preserve"> أساساً إلى الموارد الإضافية المخصصة لتغطية الم</w:t>
      </w:r>
      <w:r w:rsidRPr="005E58C5">
        <w:rPr>
          <w:rFonts w:ascii="Arabic Typesetting" w:hAnsi="Arabic Typesetting" w:cs="Arabic Typesetting"/>
          <w:color w:val="000000"/>
          <w:sz w:val="34"/>
          <w:szCs w:val="34"/>
          <w:rtl/>
        </w:rPr>
        <w:t xml:space="preserve">صروفات </w:t>
      </w:r>
      <w:r w:rsidRPr="005E58C5">
        <w:rPr>
          <w:rFonts w:ascii="Arabic Typesetting" w:hAnsi="Arabic Typesetting" w:cs="Arabic Typesetting" w:hint="cs"/>
          <w:color w:val="000000"/>
          <w:sz w:val="34"/>
          <w:szCs w:val="34"/>
          <w:rtl/>
        </w:rPr>
        <w:t>ال</w:t>
      </w:r>
      <w:r w:rsidRPr="005E58C5">
        <w:rPr>
          <w:rFonts w:ascii="Arabic Typesetting" w:hAnsi="Arabic Typesetting" w:cs="Arabic Typesetting"/>
          <w:color w:val="000000"/>
          <w:sz w:val="34"/>
          <w:szCs w:val="34"/>
          <w:rtl/>
        </w:rPr>
        <w:t xml:space="preserve">إضافية </w:t>
      </w:r>
      <w:r w:rsidRPr="005E58C5">
        <w:rPr>
          <w:rFonts w:ascii="Arabic Typesetting" w:hAnsi="Arabic Typesetting" w:cs="Arabic Typesetting" w:hint="cs"/>
          <w:color w:val="000000"/>
          <w:sz w:val="34"/>
          <w:szCs w:val="34"/>
          <w:rtl/>
        </w:rPr>
        <w:t>المتعلقة</w:t>
      </w:r>
      <w:r w:rsidRPr="005E58C5">
        <w:rPr>
          <w:rFonts w:ascii="Arabic Typesetting" w:hAnsi="Arabic Typesetting" w:cs="Arabic Typesetting"/>
          <w:color w:val="000000"/>
          <w:sz w:val="34"/>
          <w:szCs w:val="34"/>
          <w:rtl/>
        </w:rPr>
        <w:t xml:space="preserve"> باختتام وإقفال الحسابات المرتبطة بمشروع قاعة المؤتمرات الجديدة</w:t>
      </w:r>
      <w:r w:rsidRPr="005E58C5">
        <w:rPr>
          <w:rFonts w:ascii="Arabic Typesetting" w:hAnsi="Arabic Typesetting" w:cs="Arabic Typesetting" w:hint="cs"/>
          <w:color w:val="000000"/>
          <w:sz w:val="34"/>
          <w:szCs w:val="34"/>
          <w:rtl/>
        </w:rPr>
        <w:t xml:space="preserve"> عملاً بما وافقت عليه جمعيات الويبو في أكتوبر 2015. ويتبيَّن ذلك في إطار النتيجة المرتقبة 1.9.</w:t>
      </w:r>
    </w:p>
    <w:p w:rsidR="00B31868" w:rsidRPr="00706F20" w:rsidRDefault="00344145" w:rsidP="00086C3F">
      <w:pPr>
        <w:keepNext/>
        <w:bidi/>
        <w:spacing w:after="120" w:line="340" w:lineRule="exact"/>
        <w:jc w:val="both"/>
        <w:rPr>
          <w:rFonts w:ascii="Arabic Typesetting" w:hAnsi="Arabic Typesetting" w:cs="Arabic Typesetting"/>
          <w:sz w:val="34"/>
          <w:szCs w:val="34"/>
          <w:u w:val="single"/>
          <w:rtl/>
          <w:lang w:eastAsia="ko-KR" w:bidi="ar-EG"/>
        </w:rPr>
      </w:pPr>
      <w:r w:rsidRPr="00706F20">
        <w:rPr>
          <w:rFonts w:ascii="Arabic Typesetting" w:hAnsi="Arabic Typesetting" w:cs="Arabic Typesetting" w:hint="cs"/>
          <w:sz w:val="34"/>
          <w:szCs w:val="34"/>
          <w:rtl/>
          <w:lang w:bidi="ar-EG"/>
        </w:rPr>
        <w:t>باء</w:t>
      </w:r>
      <w:r w:rsidRPr="00706F20">
        <w:rPr>
          <w:rFonts w:ascii="Arabic Typesetting" w:hAnsi="Arabic Typesetting" w:cs="Arabic Typesetting"/>
          <w:sz w:val="34"/>
          <w:szCs w:val="34"/>
          <w:lang w:bidi="ar-EG"/>
        </w:rPr>
        <w:t>.</w:t>
      </w:r>
      <w:r w:rsidRPr="00706F20">
        <w:rPr>
          <w:rFonts w:ascii="Arabic Typesetting" w:hAnsi="Arabic Typesetting" w:cs="Arabic Typesetting" w:hint="cs"/>
          <w:sz w:val="34"/>
          <w:szCs w:val="34"/>
          <w:rtl/>
          <w:lang w:bidi="ar-EG"/>
        </w:rPr>
        <w:tab/>
      </w:r>
      <w:r w:rsidR="00507DE2">
        <w:rPr>
          <w:rFonts w:ascii="Arabic Typesetting" w:hAnsi="Arabic Typesetting" w:cs="Arabic Typesetting" w:hint="cs"/>
          <w:sz w:val="34"/>
          <w:szCs w:val="34"/>
          <w:u w:val="single"/>
          <w:rtl/>
          <w:lang w:bidi="ar-EG"/>
        </w:rPr>
        <w:t>استخدام ميزانية 2014/15</w:t>
      </w:r>
    </w:p>
    <w:p w:rsidR="005E58C5" w:rsidRDefault="005E58C5" w:rsidP="009A3712">
      <w:pPr>
        <w:numPr>
          <w:ilvl w:val="0"/>
          <w:numId w:val="23"/>
        </w:numPr>
        <w:bidi/>
        <w:spacing w:after="120" w:line="340" w:lineRule="exact"/>
        <w:ind w:left="0" w:firstLine="0"/>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يعزى تدني </w:t>
      </w:r>
      <w:r w:rsidR="00C45BBE">
        <w:rPr>
          <w:rFonts w:ascii="Arabic Typesetting" w:hAnsi="Arabic Typesetting" w:cs="Arabic Typesetting" w:hint="cs"/>
          <w:sz w:val="34"/>
          <w:szCs w:val="34"/>
          <w:rtl/>
          <w:lang w:bidi="ar-EG"/>
        </w:rPr>
        <w:t xml:space="preserve">استخدام </w:t>
      </w:r>
      <w:r>
        <w:rPr>
          <w:rFonts w:ascii="Arabic Typesetting" w:hAnsi="Arabic Typesetting" w:cs="Arabic Typesetting" w:hint="cs"/>
          <w:sz w:val="34"/>
          <w:szCs w:val="34"/>
          <w:rtl/>
          <w:lang w:bidi="ar-EG"/>
        </w:rPr>
        <w:t xml:space="preserve">موارد الموظفين إلى الفارق بين منهجية حساب التكلفة المعيارية المستخدمة في الثنائية </w:t>
      </w:r>
      <w:r w:rsidR="00507DE2">
        <w:rPr>
          <w:rFonts w:ascii="Arabic Typesetting" w:hAnsi="Arabic Typesetting" w:cs="Arabic Typesetting" w:hint="cs"/>
          <w:sz w:val="34"/>
          <w:szCs w:val="34"/>
          <w:rtl/>
          <w:lang w:bidi="ar-EG"/>
        </w:rPr>
        <w:t>2014/15</w:t>
      </w:r>
      <w:r>
        <w:rPr>
          <w:rFonts w:ascii="Arabic Typesetting" w:hAnsi="Arabic Typesetting" w:cs="Arabic Typesetting" w:hint="cs"/>
          <w:sz w:val="34"/>
          <w:szCs w:val="34"/>
          <w:rtl/>
          <w:lang w:bidi="ar-EG"/>
        </w:rPr>
        <w:t xml:space="preserve"> ونفقات الموظفين الفعلية.</w:t>
      </w:r>
    </w:p>
    <w:p w:rsidR="00B31868" w:rsidRPr="00B31868" w:rsidRDefault="00B31868" w:rsidP="00086C3F">
      <w:pPr>
        <w:bidi/>
        <w:spacing w:after="240" w:line="360" w:lineRule="exact"/>
        <w:rPr>
          <w:rFonts w:ascii="Arabic Typesetting" w:hAnsi="Arabic Typesetting" w:cs="Arabic Typesetting"/>
          <w:sz w:val="36"/>
          <w:szCs w:val="36"/>
          <w:rtl/>
          <w:lang w:bidi="ar-EG"/>
        </w:rPr>
      </w:pPr>
    </w:p>
    <w:p w:rsidR="00B31868" w:rsidRPr="00B31868" w:rsidRDefault="00B31868" w:rsidP="00086C3F">
      <w:pPr>
        <w:bidi/>
        <w:spacing w:after="240" w:line="360" w:lineRule="exact"/>
        <w:rPr>
          <w:rFonts w:ascii="Arabic Typesetting" w:hAnsi="Arabic Typesetting" w:cs="Arabic Typesetting"/>
          <w:sz w:val="36"/>
          <w:szCs w:val="36"/>
          <w:rtl/>
          <w:lang w:bidi="ar-EG"/>
        </w:rPr>
        <w:sectPr w:rsidR="00B31868" w:rsidRPr="00B31868" w:rsidSect="002E5703">
          <w:headerReference w:type="even" r:id="rId125"/>
          <w:headerReference w:type="default" r:id="rId126"/>
          <w:headerReference w:type="first" r:id="rId127"/>
          <w:pgSz w:w="11907" w:h="16840" w:code="9"/>
          <w:pgMar w:top="567" w:right="1418" w:bottom="1418" w:left="1134" w:header="510" w:footer="1021" w:gutter="0"/>
          <w:cols w:space="720"/>
          <w:titlePg/>
          <w:docGrid w:linePitch="299"/>
        </w:sectPr>
      </w:pPr>
    </w:p>
    <w:p w:rsidR="00B31868" w:rsidRPr="004F43EA" w:rsidRDefault="00B246E1" w:rsidP="00134225">
      <w:pPr>
        <w:pStyle w:val="Heading1AR"/>
        <w:spacing w:before="0" w:after="120"/>
        <w:rPr>
          <w:rtl/>
        </w:rPr>
      </w:pPr>
      <w:bookmarkStart w:id="144" w:name="_Toc450635437"/>
      <w:bookmarkStart w:id="145" w:name="_Toc455393406"/>
      <w:bookmarkStart w:id="146" w:name="_Toc393817967"/>
      <w:r>
        <w:rPr>
          <w:rFonts w:hint="cs"/>
          <w:rtl/>
          <w:lang w:val="fr-CH"/>
        </w:rPr>
        <w:lastRenderedPageBreak/>
        <w:t>سابعا</w:t>
      </w:r>
      <w:r w:rsidR="00B31868" w:rsidRPr="00B31868">
        <w:rPr>
          <w:rFonts w:hint="cs"/>
          <w:rtl/>
          <w:lang w:val="fr-CH"/>
        </w:rPr>
        <w:tab/>
        <w:t>الملحقات</w:t>
      </w:r>
      <w:bookmarkEnd w:id="144"/>
      <w:bookmarkEnd w:id="145"/>
    </w:p>
    <w:p w:rsidR="00B31868" w:rsidRPr="004F43EA" w:rsidRDefault="00B31868" w:rsidP="00134225">
      <w:pPr>
        <w:pStyle w:val="Heading3AR"/>
        <w:pageBreakBefore w:val="0"/>
        <w:spacing w:after="120"/>
        <w:ind w:left="0" w:firstLine="0"/>
        <w:rPr>
          <w:lang w:val="en-US"/>
        </w:rPr>
      </w:pPr>
      <w:bookmarkStart w:id="147" w:name="_Toc450635438"/>
      <w:bookmarkStart w:id="148" w:name="_Toc455393407"/>
      <w:r w:rsidRPr="00B31868">
        <w:rPr>
          <w:rFonts w:hint="cs"/>
          <w:rtl/>
        </w:rPr>
        <w:t xml:space="preserve">الملحق </w:t>
      </w:r>
      <w:bookmarkEnd w:id="146"/>
      <w:r w:rsidRPr="00B31868">
        <w:rPr>
          <w:rFonts w:hint="cs"/>
          <w:rtl/>
        </w:rPr>
        <w:t>الأول</w:t>
      </w:r>
      <w:r w:rsidR="005004A2">
        <w:rPr>
          <w:rtl/>
        </w:rPr>
        <w:tab/>
      </w:r>
      <w:bookmarkStart w:id="149" w:name="_Toc393817968"/>
      <w:r w:rsidRPr="00B31868">
        <w:rPr>
          <w:rFonts w:hint="cs"/>
          <w:rtl/>
        </w:rPr>
        <w:t>توزيع لتقييمات الأداء لكل برنامج</w:t>
      </w:r>
      <w:bookmarkEnd w:id="147"/>
      <w:bookmarkEnd w:id="148"/>
      <w:bookmarkEnd w:id="149"/>
    </w:p>
    <w:p w:rsidR="00A30FDA" w:rsidRPr="00A30FDA" w:rsidRDefault="00A30FDA" w:rsidP="000A10C7">
      <w:pPr>
        <w:bidi/>
        <w:spacing w:after="120" w:line="340" w:lineRule="exact"/>
        <w:rPr>
          <w:rFonts w:ascii="Arabic Typesetting" w:hAnsi="Arabic Typesetting" w:cs="Arabic Typesetting"/>
          <w:sz w:val="34"/>
          <w:szCs w:val="34"/>
          <w:lang w:bidi="ar-EG"/>
        </w:rPr>
      </w:pPr>
      <w:r w:rsidRPr="00A30FDA">
        <w:rPr>
          <w:rFonts w:ascii="Arabic Typesetting" w:hAnsi="Arabic Typesetting" w:cs="Arabic Typesetting"/>
          <w:sz w:val="34"/>
          <w:szCs w:val="34"/>
          <w:rtl/>
          <w:lang w:bidi="ar-EG"/>
        </w:rPr>
        <w:t>تشتمل تقييمات الأداء لكل برنامج وارد في تقرير أداء البرنامج للثنائية 2014/15 على ما يلي:</w:t>
      </w:r>
    </w:p>
    <w:p w:rsidR="00A30FDA" w:rsidRPr="00A30FDA" w:rsidRDefault="00A30FDA" w:rsidP="00134225">
      <w:pPr>
        <w:keepNext/>
        <w:bidi/>
        <w:spacing w:after="120" w:line="340" w:lineRule="exact"/>
        <w:rPr>
          <w:rFonts w:ascii="Arabic Typesetting" w:hAnsi="Arabic Typesetting" w:cs="Arabic Typesetting"/>
          <w:i/>
          <w:iCs/>
          <w:sz w:val="34"/>
          <w:szCs w:val="34"/>
        </w:rPr>
      </w:pPr>
      <w:r w:rsidRPr="00A30FDA">
        <w:rPr>
          <w:rFonts w:ascii="Arabic Typesetting" w:hAnsi="Arabic Typesetting" w:cs="Arabic Typesetting"/>
          <w:i/>
          <w:iCs/>
          <w:sz w:val="34"/>
          <w:szCs w:val="34"/>
          <w:rtl/>
        </w:rPr>
        <w:t xml:space="preserve">الجزء الأول: الإنجازات </w:t>
      </w:r>
      <w:r w:rsidR="002B3447">
        <w:rPr>
          <w:rFonts w:ascii="Arabic Typesetting" w:hAnsi="Arabic Typesetting" w:cs="Arabic Typesetting" w:hint="cs"/>
          <w:i/>
          <w:iCs/>
          <w:sz w:val="34"/>
          <w:szCs w:val="34"/>
          <w:rtl/>
        </w:rPr>
        <w:t xml:space="preserve">المحققة خلال </w:t>
      </w:r>
      <w:r w:rsidRPr="00A30FDA">
        <w:rPr>
          <w:rFonts w:ascii="Arabic Typesetting" w:hAnsi="Arabic Typesetting" w:cs="Arabic Typesetting"/>
          <w:i/>
          <w:iCs/>
          <w:sz w:val="34"/>
          <w:szCs w:val="34"/>
          <w:rtl/>
        </w:rPr>
        <w:t>الثنائية</w:t>
      </w:r>
      <w:r w:rsidR="002B3447">
        <w:rPr>
          <w:rFonts w:ascii="Arabic Typesetting" w:hAnsi="Arabic Typesetting" w:cs="Arabic Typesetting" w:hint="cs"/>
          <w:i/>
          <w:iCs/>
          <w:sz w:val="34"/>
          <w:szCs w:val="34"/>
          <w:rtl/>
        </w:rPr>
        <w:t xml:space="preserve"> </w:t>
      </w:r>
      <w:r w:rsidRPr="00A30FDA">
        <w:rPr>
          <w:rFonts w:ascii="Arabic Typesetting" w:hAnsi="Arabic Typesetting" w:cs="Arabic Typesetting"/>
          <w:i/>
          <w:iCs/>
          <w:sz w:val="34"/>
          <w:szCs w:val="34"/>
          <w:rtl/>
        </w:rPr>
        <w:t>2014/15</w:t>
      </w:r>
    </w:p>
    <w:p w:rsidR="00A30FDA" w:rsidRPr="00A30FDA" w:rsidRDefault="00A30FDA" w:rsidP="002B3447">
      <w:pPr>
        <w:bidi/>
        <w:spacing w:after="120" w:line="340" w:lineRule="exact"/>
        <w:rPr>
          <w:rFonts w:ascii="Arabic Typesetting" w:hAnsi="Arabic Typesetting" w:cs="Arabic Typesetting"/>
          <w:sz w:val="34"/>
          <w:szCs w:val="34"/>
          <w:rtl/>
        </w:rPr>
      </w:pPr>
      <w:r w:rsidRPr="00A30FDA">
        <w:rPr>
          <w:rFonts w:ascii="Arabic Typesetting" w:hAnsi="Arabic Typesetting" w:cs="Arabic Typesetting"/>
          <w:sz w:val="34"/>
          <w:szCs w:val="34"/>
          <w:rtl/>
        </w:rPr>
        <w:t xml:space="preserve">هذا الجزء عبارة عن موجز تحليلي يعرض نتائج </w:t>
      </w:r>
      <w:r w:rsidR="002B3447">
        <w:rPr>
          <w:rFonts w:ascii="Arabic Typesetting" w:hAnsi="Arabic Typesetting" w:cs="Arabic Typesetting" w:hint="cs"/>
          <w:sz w:val="34"/>
          <w:szCs w:val="34"/>
          <w:rtl/>
        </w:rPr>
        <w:t xml:space="preserve">البرنامج </w:t>
      </w:r>
      <w:r w:rsidRPr="00A30FDA">
        <w:rPr>
          <w:rFonts w:ascii="Arabic Typesetting" w:hAnsi="Arabic Typesetting" w:cs="Arabic Typesetting"/>
          <w:sz w:val="34"/>
          <w:szCs w:val="34"/>
          <w:rtl/>
        </w:rPr>
        <w:t>المحققة في الثنائية 2014/15 و</w:t>
      </w:r>
      <w:r w:rsidR="002B3447">
        <w:rPr>
          <w:rFonts w:ascii="Arabic Typesetting" w:hAnsi="Arabic Typesetting" w:cs="Arabic Typesetting" w:hint="cs"/>
          <w:sz w:val="34"/>
          <w:szCs w:val="34"/>
          <w:rtl/>
        </w:rPr>
        <w:t>التحديات المواجهة</w:t>
      </w:r>
      <w:r w:rsidRPr="00A30FDA">
        <w:rPr>
          <w:rFonts w:ascii="Arabic Typesetting" w:hAnsi="Arabic Typesetting" w:cs="Arabic Typesetting"/>
          <w:sz w:val="34"/>
          <w:szCs w:val="34"/>
          <w:rtl/>
        </w:rPr>
        <w:t xml:space="preserve"> أثناء الفترة </w:t>
      </w:r>
      <w:r w:rsidR="002B3447" w:rsidRPr="00A30FDA">
        <w:rPr>
          <w:rFonts w:ascii="Arabic Typesetting" w:hAnsi="Arabic Typesetting" w:cs="Arabic Typesetting"/>
          <w:sz w:val="34"/>
          <w:szCs w:val="34"/>
          <w:rtl/>
        </w:rPr>
        <w:t>قيد</w:t>
      </w:r>
      <w:r w:rsidR="002B3447">
        <w:rPr>
          <w:rFonts w:ascii="Arabic Typesetting" w:hAnsi="Arabic Typesetting" w:cs="Arabic Typesetting" w:hint="cs"/>
          <w:sz w:val="34"/>
          <w:szCs w:val="34"/>
          <w:rtl/>
        </w:rPr>
        <w:t> </w:t>
      </w:r>
      <w:r w:rsidRPr="00A30FDA">
        <w:rPr>
          <w:rFonts w:ascii="Arabic Typesetting" w:hAnsi="Arabic Typesetting" w:cs="Arabic Typesetting"/>
          <w:sz w:val="34"/>
          <w:szCs w:val="34"/>
          <w:rtl/>
        </w:rPr>
        <w:t>الاستعراض. و</w:t>
      </w:r>
      <w:r w:rsidR="002B3447">
        <w:rPr>
          <w:rFonts w:ascii="Arabic Typesetting" w:hAnsi="Arabic Typesetting" w:cs="Arabic Typesetting" w:hint="cs"/>
          <w:sz w:val="34"/>
          <w:szCs w:val="34"/>
          <w:rtl/>
        </w:rPr>
        <w:t>على غرار</w:t>
      </w:r>
      <w:r w:rsidRPr="00A30FDA">
        <w:rPr>
          <w:rFonts w:ascii="Arabic Typesetting" w:hAnsi="Arabic Typesetting" w:cs="Arabic Typesetting"/>
          <w:sz w:val="34"/>
          <w:szCs w:val="34"/>
          <w:rtl/>
        </w:rPr>
        <w:t xml:space="preserve"> عام 2014</w:t>
      </w:r>
      <w:r w:rsidR="002B3447">
        <w:rPr>
          <w:rFonts w:ascii="Arabic Typesetting" w:hAnsi="Arabic Typesetting" w:cs="Arabic Typesetting" w:hint="cs"/>
          <w:sz w:val="34"/>
          <w:szCs w:val="34"/>
          <w:rtl/>
        </w:rPr>
        <w:t>،</w:t>
      </w:r>
      <w:r w:rsidRPr="00A30FDA">
        <w:rPr>
          <w:rFonts w:ascii="Arabic Typesetting" w:hAnsi="Arabic Typesetting" w:cs="Arabic Typesetting"/>
          <w:sz w:val="34"/>
          <w:szCs w:val="34"/>
          <w:rtl/>
        </w:rPr>
        <w:t xml:space="preserve"> </w:t>
      </w:r>
      <w:r w:rsidR="002B3447">
        <w:rPr>
          <w:rFonts w:ascii="Arabic Typesetting" w:hAnsi="Arabic Typesetting" w:cs="Arabic Typesetting" w:hint="cs"/>
          <w:sz w:val="34"/>
          <w:szCs w:val="34"/>
          <w:rtl/>
        </w:rPr>
        <w:t>عُمم</w:t>
      </w:r>
      <w:r w:rsidR="002B3447" w:rsidRPr="00A30FDA">
        <w:rPr>
          <w:rFonts w:ascii="Arabic Typesetting" w:hAnsi="Arabic Typesetting" w:cs="Arabic Typesetting"/>
          <w:sz w:val="34"/>
          <w:szCs w:val="34"/>
          <w:rtl/>
        </w:rPr>
        <w:t xml:space="preserve"> </w:t>
      </w:r>
      <w:r w:rsidRPr="00A30FDA">
        <w:rPr>
          <w:rFonts w:ascii="Arabic Typesetting" w:hAnsi="Arabic Typesetting" w:cs="Arabic Typesetting"/>
          <w:sz w:val="34"/>
          <w:szCs w:val="34"/>
          <w:rtl/>
        </w:rPr>
        <w:t>تقييم تنفيذ جدول أعمال التنمية ومن ثمّ إدراجه في الإنجازات في الثنائية 2014/15. وتم</w:t>
      </w:r>
      <w:r w:rsidR="002B3447">
        <w:rPr>
          <w:rFonts w:ascii="Arabic Typesetting" w:hAnsi="Arabic Typesetting" w:cs="Arabic Typesetting" w:hint="cs"/>
          <w:sz w:val="34"/>
          <w:szCs w:val="34"/>
          <w:rtl/>
        </w:rPr>
        <w:t>ا</w:t>
      </w:r>
      <w:r w:rsidRPr="00A30FDA">
        <w:rPr>
          <w:rFonts w:ascii="Arabic Typesetting" w:hAnsi="Arabic Typesetting" w:cs="Arabic Typesetting"/>
          <w:sz w:val="34"/>
          <w:szCs w:val="34"/>
          <w:rtl/>
        </w:rPr>
        <w:t xml:space="preserve">شيا مع عملية </w:t>
      </w:r>
      <w:r w:rsidR="002B3447">
        <w:rPr>
          <w:rFonts w:ascii="Arabic Typesetting" w:hAnsi="Arabic Typesetting" w:cs="Arabic Typesetting" w:hint="cs"/>
          <w:sz w:val="34"/>
          <w:szCs w:val="34"/>
          <w:rtl/>
        </w:rPr>
        <w:t>إعداد</w:t>
      </w:r>
      <w:r w:rsidR="002B3447" w:rsidRPr="00A30FDA">
        <w:rPr>
          <w:rFonts w:ascii="Arabic Typesetting" w:hAnsi="Arabic Typesetting" w:cs="Arabic Typesetting"/>
          <w:sz w:val="34"/>
          <w:szCs w:val="34"/>
          <w:rtl/>
        </w:rPr>
        <w:t xml:space="preserve"> </w:t>
      </w:r>
      <w:r w:rsidRPr="00A30FDA">
        <w:rPr>
          <w:rFonts w:ascii="Arabic Typesetting" w:hAnsi="Arabic Typesetting" w:cs="Arabic Typesetting"/>
          <w:sz w:val="34"/>
          <w:szCs w:val="34"/>
          <w:rtl/>
        </w:rPr>
        <w:t xml:space="preserve">الميزانية للمشروعات </w:t>
      </w:r>
      <w:r w:rsidR="002B3447">
        <w:rPr>
          <w:rFonts w:ascii="Arabic Typesetting" w:hAnsi="Arabic Typesetting" w:cs="Arabic Typesetting" w:hint="cs"/>
          <w:sz w:val="34"/>
          <w:szCs w:val="34"/>
          <w:rtl/>
        </w:rPr>
        <w:t>التي اقترحتها</w:t>
      </w:r>
      <w:r w:rsidRPr="00A30FDA">
        <w:rPr>
          <w:rFonts w:ascii="Arabic Typesetting" w:hAnsi="Arabic Typesetting" w:cs="Arabic Typesetting"/>
          <w:sz w:val="34"/>
          <w:szCs w:val="34"/>
          <w:rtl/>
        </w:rPr>
        <w:t xml:space="preserve"> اللجنة المعنية بالتنمية والملكية الفكرية لتنفيذ توصيات جدول أعمال التنمية والتي وافقت عليها جمعيات الويبو في عام 2010</w:t>
      </w:r>
      <w:r w:rsidR="002B3447" w:rsidRPr="00F96634">
        <w:rPr>
          <w:rFonts w:ascii="Arabic Typesetting" w:hAnsi="Arabic Typesetting" w:cs="Arabic Typesetting"/>
          <w:sz w:val="28"/>
          <w:szCs w:val="28"/>
          <w:vertAlign w:val="superscript"/>
          <w:rtl/>
        </w:rPr>
        <w:footnoteReference w:id="149"/>
      </w:r>
      <w:r w:rsidRPr="00A30FDA">
        <w:rPr>
          <w:rFonts w:ascii="Arabic Typesetting" w:hAnsi="Arabic Typesetting" w:cs="Arabic Typesetting"/>
          <w:sz w:val="34"/>
          <w:szCs w:val="34"/>
          <w:rtl/>
        </w:rPr>
        <w:t xml:space="preserve">، لا يزال الإبلاغ عن جدول أعمال التنمية ينطوي على </w:t>
      </w:r>
      <w:r w:rsidR="002B3447">
        <w:rPr>
          <w:rFonts w:ascii="Arabic Typesetting" w:hAnsi="Arabic Typesetting" w:cs="Arabic Typesetting" w:hint="cs"/>
          <w:sz w:val="34"/>
          <w:szCs w:val="34"/>
          <w:rtl/>
        </w:rPr>
        <w:t>معلومات</w:t>
      </w:r>
      <w:r w:rsidR="002B3447" w:rsidRPr="00A30FDA">
        <w:rPr>
          <w:rFonts w:ascii="Arabic Typesetting" w:hAnsi="Arabic Typesetting" w:cs="Arabic Typesetting"/>
          <w:sz w:val="34"/>
          <w:szCs w:val="34"/>
          <w:rtl/>
        </w:rPr>
        <w:t xml:space="preserve"> </w:t>
      </w:r>
      <w:r w:rsidRPr="00A30FDA">
        <w:rPr>
          <w:rFonts w:ascii="Arabic Typesetting" w:hAnsi="Arabic Typesetting" w:cs="Arabic Typesetting"/>
          <w:sz w:val="34"/>
          <w:szCs w:val="34"/>
          <w:rtl/>
        </w:rPr>
        <w:t xml:space="preserve">مفصلة عن تنفيذ مشروعات جدول أعمال التنمية وتوصياته </w:t>
      </w:r>
      <w:r w:rsidR="002B3447">
        <w:rPr>
          <w:rFonts w:ascii="Arabic Typesetting" w:hAnsi="Arabic Typesetting" w:cs="Arabic Typesetting" w:hint="cs"/>
          <w:sz w:val="34"/>
          <w:szCs w:val="34"/>
          <w:rtl/>
        </w:rPr>
        <w:t>كليهما</w:t>
      </w:r>
      <w:r w:rsidRPr="00A30FDA">
        <w:rPr>
          <w:rFonts w:ascii="Arabic Typesetting" w:hAnsi="Arabic Typesetting" w:cs="Arabic Typesetting"/>
          <w:sz w:val="34"/>
          <w:szCs w:val="34"/>
          <w:rtl/>
        </w:rPr>
        <w:t>.</w:t>
      </w:r>
    </w:p>
    <w:p w:rsidR="00A30FDA" w:rsidRPr="00A30FDA" w:rsidRDefault="00A30FDA" w:rsidP="00010001">
      <w:pPr>
        <w:keepNext/>
        <w:bidi/>
        <w:spacing w:after="120" w:line="340" w:lineRule="exact"/>
        <w:rPr>
          <w:rFonts w:ascii="Arabic Typesetting" w:hAnsi="Arabic Typesetting" w:cs="Arabic Typesetting"/>
          <w:i/>
          <w:iCs/>
          <w:sz w:val="34"/>
          <w:szCs w:val="34"/>
          <w:rtl/>
        </w:rPr>
      </w:pPr>
      <w:r w:rsidRPr="00A30FDA">
        <w:rPr>
          <w:rFonts w:ascii="Arabic Typesetting" w:hAnsi="Arabic Typesetting" w:cs="Arabic Typesetting"/>
          <w:i/>
          <w:iCs/>
          <w:sz w:val="34"/>
          <w:szCs w:val="34"/>
          <w:rtl/>
        </w:rPr>
        <w:t>الجزء الثاني: بيانات الأداء</w:t>
      </w:r>
    </w:p>
    <w:p w:rsidR="00A30FDA" w:rsidRPr="00A30FDA" w:rsidRDefault="00A30FDA" w:rsidP="00010001">
      <w:pPr>
        <w:bidi/>
        <w:spacing w:after="120" w:line="340" w:lineRule="exact"/>
        <w:rPr>
          <w:rFonts w:ascii="Arabic Typesetting" w:hAnsi="Arabic Typesetting" w:cs="Arabic Typesetting"/>
          <w:sz w:val="34"/>
          <w:szCs w:val="34"/>
        </w:rPr>
      </w:pPr>
      <w:r w:rsidRPr="00A30FDA">
        <w:rPr>
          <w:rFonts w:ascii="Arabic Typesetting" w:hAnsi="Arabic Typesetting" w:cs="Arabic Typesetting"/>
          <w:sz w:val="34"/>
          <w:szCs w:val="34"/>
          <w:rtl/>
        </w:rPr>
        <w:t xml:space="preserve">يلخّص الجدول الوارد في هذا الجزء النتائج المرتقبة التي يسهم فيها البرنامج ومؤشرات الأداء التي تقيس مساهمة البرنامج في تحقيق النتائج والتي وافقت عليها الدول الأعضاء في وثيقة البرنامج والميزانية للثنائية 2014/15. وحُدّثت أسس المقارنة، حسب الاقتضاء، </w:t>
      </w:r>
      <w:r w:rsidR="000B2AAC">
        <w:rPr>
          <w:rFonts w:ascii="Arabic Typesetting" w:hAnsi="Arabic Typesetting" w:cs="Arabic Typesetting" w:hint="cs"/>
          <w:sz w:val="34"/>
          <w:szCs w:val="34"/>
          <w:rtl/>
        </w:rPr>
        <w:t>وفقاً</w:t>
      </w:r>
      <w:r w:rsidR="002B3447" w:rsidRPr="00A30FDA">
        <w:rPr>
          <w:rFonts w:ascii="Arabic Typesetting" w:hAnsi="Arabic Typesetting" w:cs="Arabic Typesetting"/>
          <w:sz w:val="34"/>
          <w:szCs w:val="34"/>
          <w:rtl/>
        </w:rPr>
        <w:t xml:space="preserve"> </w:t>
      </w:r>
      <w:r w:rsidR="000B2AAC">
        <w:rPr>
          <w:rFonts w:ascii="Arabic Typesetting" w:hAnsi="Arabic Typesetting" w:cs="Arabic Typesetting" w:hint="cs"/>
          <w:sz w:val="34"/>
          <w:szCs w:val="34"/>
          <w:rtl/>
        </w:rPr>
        <w:t>ل</w:t>
      </w:r>
      <w:r w:rsidR="000B2AAC" w:rsidRPr="00A30FDA">
        <w:rPr>
          <w:rFonts w:ascii="Arabic Typesetting" w:hAnsi="Arabic Typesetting" w:cs="Arabic Typesetting"/>
          <w:sz w:val="34"/>
          <w:szCs w:val="34"/>
          <w:rtl/>
        </w:rPr>
        <w:t xml:space="preserve">لوضع </w:t>
      </w:r>
      <w:r w:rsidRPr="00A30FDA">
        <w:rPr>
          <w:rFonts w:ascii="Arabic Typesetting" w:hAnsi="Arabic Typesetting" w:cs="Arabic Typesetting"/>
          <w:sz w:val="34"/>
          <w:szCs w:val="34"/>
          <w:rtl/>
        </w:rPr>
        <w:t xml:space="preserve">في نهاية عام 2013. ولا تزال جداول بيانات الأداء </w:t>
      </w:r>
      <w:r w:rsidR="000B2AAC">
        <w:rPr>
          <w:rFonts w:ascii="Arabic Typesetting" w:hAnsi="Arabic Typesetting" w:cs="Arabic Typesetting" w:hint="cs"/>
          <w:sz w:val="34"/>
          <w:szCs w:val="34"/>
          <w:rtl/>
        </w:rPr>
        <w:t>تبيِّن</w:t>
      </w:r>
      <w:r w:rsidR="000B2AAC" w:rsidRPr="00A30FDA">
        <w:rPr>
          <w:rFonts w:ascii="Arabic Typesetting" w:hAnsi="Arabic Typesetting" w:cs="Arabic Typesetting"/>
          <w:sz w:val="34"/>
          <w:szCs w:val="34"/>
          <w:rtl/>
        </w:rPr>
        <w:t xml:space="preserve"> </w:t>
      </w:r>
      <w:r w:rsidRPr="00A30FDA">
        <w:rPr>
          <w:rFonts w:ascii="Arabic Typesetting" w:hAnsi="Arabic Typesetting" w:cs="Arabic Typesetting"/>
          <w:sz w:val="34"/>
          <w:szCs w:val="34"/>
          <w:rtl/>
        </w:rPr>
        <w:t>كلا من أسس المقارنة الأصلية (كما في البرنامج والميزانية 2014/15) وأسس المقارنة المحدّثة (كما في نهاية عام 2013) والأهداف (كما في البرنامج والميزانية 2014/15) لأغراض مقارنة بيانات الأداء والتقييمات. واستجابة لطلب الدول الأعضاء</w:t>
      </w:r>
      <w:r w:rsidR="000B2AAC">
        <w:rPr>
          <w:rFonts w:ascii="Arabic Typesetting" w:hAnsi="Arabic Typesetting" w:cs="Arabic Typesetting" w:hint="cs"/>
          <w:sz w:val="34"/>
          <w:szCs w:val="34"/>
          <w:rtl/>
        </w:rPr>
        <w:t>،</w:t>
      </w:r>
      <w:r w:rsidRPr="00A30FDA">
        <w:rPr>
          <w:rFonts w:ascii="Arabic Typesetting" w:hAnsi="Arabic Typesetting" w:cs="Arabic Typesetting"/>
          <w:sz w:val="34"/>
          <w:szCs w:val="34"/>
          <w:rtl/>
        </w:rPr>
        <w:t xml:space="preserve"> </w:t>
      </w:r>
      <w:r w:rsidR="000B2AAC">
        <w:rPr>
          <w:rFonts w:ascii="Arabic Typesetting" w:hAnsi="Arabic Typesetting" w:cs="Arabic Typesetting" w:hint="cs"/>
          <w:sz w:val="34"/>
          <w:szCs w:val="34"/>
          <w:rtl/>
        </w:rPr>
        <w:t>حسِّنت</w:t>
      </w:r>
      <w:r w:rsidR="000B2AAC" w:rsidRPr="00A30FDA">
        <w:rPr>
          <w:rFonts w:ascii="Arabic Typesetting" w:hAnsi="Arabic Typesetting" w:cs="Arabic Typesetting"/>
          <w:sz w:val="34"/>
          <w:szCs w:val="34"/>
          <w:rtl/>
        </w:rPr>
        <w:t xml:space="preserve"> </w:t>
      </w:r>
      <w:r w:rsidRPr="00A30FDA">
        <w:rPr>
          <w:rFonts w:ascii="Arabic Typesetting" w:hAnsi="Arabic Typesetting" w:cs="Arabic Typesetting"/>
          <w:sz w:val="34"/>
          <w:szCs w:val="34"/>
          <w:rtl/>
        </w:rPr>
        <w:t xml:space="preserve">الجداول في الثنائية 2014/15. </w:t>
      </w:r>
      <w:proofErr w:type="spellStart"/>
      <w:r w:rsidRPr="00A30FDA">
        <w:rPr>
          <w:rFonts w:ascii="Arabic Typesetting" w:hAnsi="Arabic Typesetting" w:cs="Arabic Typesetting"/>
          <w:sz w:val="34"/>
          <w:szCs w:val="34"/>
          <w:rtl/>
        </w:rPr>
        <w:t>وأتيحت</w:t>
      </w:r>
      <w:proofErr w:type="spellEnd"/>
      <w:r w:rsidRPr="00A30FDA">
        <w:rPr>
          <w:rFonts w:ascii="Arabic Typesetting" w:hAnsi="Arabic Typesetting" w:cs="Arabic Typesetting"/>
          <w:sz w:val="34"/>
          <w:szCs w:val="34"/>
          <w:rtl/>
        </w:rPr>
        <w:t xml:space="preserve"> </w:t>
      </w:r>
      <w:r w:rsidR="000B2AAC">
        <w:rPr>
          <w:rFonts w:ascii="Arabic Typesetting" w:hAnsi="Arabic Typesetting" w:cs="Arabic Typesetting" w:hint="cs"/>
          <w:sz w:val="34"/>
          <w:szCs w:val="34"/>
          <w:rtl/>
        </w:rPr>
        <w:t xml:space="preserve">الفرصة </w:t>
      </w:r>
      <w:r w:rsidR="000B2AAC" w:rsidRPr="00A30FDA">
        <w:rPr>
          <w:rFonts w:ascii="Arabic Typesetting" w:hAnsi="Arabic Typesetting" w:cs="Arabic Typesetting"/>
          <w:sz w:val="34"/>
          <w:szCs w:val="34"/>
          <w:rtl/>
        </w:rPr>
        <w:t>خلال عملية تحديث أسس المقارنة (التي استُهلت في يوليو 2014)</w:t>
      </w:r>
      <w:r w:rsidR="000B2AAC">
        <w:rPr>
          <w:rFonts w:ascii="Arabic Typesetting" w:hAnsi="Arabic Typesetting" w:cs="Arabic Typesetting" w:hint="cs"/>
          <w:sz w:val="34"/>
          <w:szCs w:val="34"/>
          <w:rtl/>
        </w:rPr>
        <w:t xml:space="preserve"> كي تحدد البرامج </w:t>
      </w:r>
      <w:r w:rsidRPr="00A30FDA">
        <w:rPr>
          <w:rFonts w:ascii="Arabic Typesetting" w:hAnsi="Arabic Typesetting" w:cs="Arabic Typesetting"/>
          <w:sz w:val="34"/>
          <w:szCs w:val="34"/>
          <w:rtl/>
        </w:rPr>
        <w:t>أهداف</w:t>
      </w:r>
      <w:r w:rsidR="000B2AAC">
        <w:rPr>
          <w:rFonts w:ascii="Arabic Typesetting" w:hAnsi="Arabic Typesetting" w:cs="Arabic Typesetting" w:hint="cs"/>
          <w:sz w:val="34"/>
          <w:szCs w:val="34"/>
          <w:rtl/>
        </w:rPr>
        <w:t>اً</w:t>
      </w:r>
      <w:r w:rsidRPr="00A30FDA">
        <w:rPr>
          <w:rFonts w:ascii="Arabic Typesetting" w:hAnsi="Arabic Typesetting" w:cs="Arabic Typesetting"/>
          <w:sz w:val="34"/>
          <w:szCs w:val="34"/>
          <w:rtl/>
        </w:rPr>
        <w:t xml:space="preserve"> </w:t>
      </w:r>
      <w:r w:rsidR="000B2AAC">
        <w:rPr>
          <w:rFonts w:ascii="Arabic Typesetting" w:hAnsi="Arabic Typesetting" w:cs="Arabic Typesetting" w:hint="cs"/>
          <w:sz w:val="34"/>
          <w:szCs w:val="34"/>
          <w:rtl/>
        </w:rPr>
        <w:t>غير تلك المحددة في</w:t>
      </w:r>
      <w:r w:rsidRPr="00A30FDA">
        <w:rPr>
          <w:rFonts w:ascii="Arabic Typesetting" w:hAnsi="Arabic Typesetting" w:cs="Arabic Typesetting"/>
          <w:sz w:val="34"/>
          <w:szCs w:val="34"/>
          <w:rtl/>
        </w:rPr>
        <w:t xml:space="preserve"> البرنامج والميزانية 2014/15</w:t>
      </w:r>
      <w:r w:rsidR="000B2AAC">
        <w:rPr>
          <w:rFonts w:ascii="Arabic Typesetting" w:hAnsi="Arabic Typesetting" w:cs="Arabic Typesetting" w:hint="cs"/>
          <w:sz w:val="34"/>
          <w:szCs w:val="34"/>
          <w:rtl/>
        </w:rPr>
        <w:t xml:space="preserve"> بوصفها</w:t>
      </w:r>
      <w:r w:rsidRPr="00A30FDA">
        <w:rPr>
          <w:rFonts w:ascii="Arabic Typesetting" w:hAnsi="Arabic Typesetting" w:cs="Arabic Typesetting"/>
          <w:sz w:val="34"/>
          <w:szCs w:val="34"/>
          <w:rtl/>
        </w:rPr>
        <w:t xml:space="preserve"> أهداف</w:t>
      </w:r>
      <w:r w:rsidR="000B2AAC">
        <w:rPr>
          <w:rFonts w:ascii="Arabic Typesetting" w:hAnsi="Arabic Typesetting" w:cs="Arabic Typesetting" w:hint="cs"/>
          <w:sz w:val="34"/>
          <w:szCs w:val="34"/>
          <w:rtl/>
        </w:rPr>
        <w:t>اً</w:t>
      </w:r>
      <w:r w:rsidRPr="00A30FDA">
        <w:rPr>
          <w:rFonts w:ascii="Arabic Typesetting" w:hAnsi="Arabic Typesetting" w:cs="Arabic Typesetting"/>
          <w:sz w:val="34"/>
          <w:szCs w:val="34"/>
          <w:rtl/>
        </w:rPr>
        <w:t xml:space="preserve"> "تحدّد لاحقا</w:t>
      </w:r>
      <w:r w:rsidR="000B2AAC">
        <w:rPr>
          <w:rFonts w:ascii="Arabic Typesetting" w:hAnsi="Arabic Typesetting" w:cs="Arabic Typesetting" w:hint="cs"/>
          <w:sz w:val="34"/>
          <w:szCs w:val="34"/>
          <w:rtl/>
        </w:rPr>
        <w:t>ً</w:t>
      </w:r>
      <w:r w:rsidRPr="00A30FDA">
        <w:rPr>
          <w:rFonts w:ascii="Arabic Typesetting" w:hAnsi="Arabic Typesetting" w:cs="Arabic Typesetting"/>
          <w:sz w:val="34"/>
          <w:szCs w:val="34"/>
          <w:rtl/>
        </w:rPr>
        <w:t>"</w:t>
      </w:r>
      <w:r w:rsidR="000B2AAC">
        <w:rPr>
          <w:rFonts w:ascii="Arabic Typesetting" w:hAnsi="Arabic Typesetting" w:cs="Arabic Typesetting" w:hint="cs"/>
          <w:sz w:val="34"/>
          <w:szCs w:val="34"/>
          <w:rtl/>
        </w:rPr>
        <w:t xml:space="preserve"> وتستند إلى</w:t>
      </w:r>
      <w:r w:rsidR="000B2AAC" w:rsidRPr="00A30FDA">
        <w:rPr>
          <w:rFonts w:ascii="Arabic Typesetting" w:hAnsi="Arabic Typesetting" w:cs="Arabic Typesetting"/>
          <w:sz w:val="34"/>
          <w:szCs w:val="34"/>
          <w:rtl/>
        </w:rPr>
        <w:t xml:space="preserve"> </w:t>
      </w:r>
      <w:r w:rsidRPr="00A30FDA">
        <w:rPr>
          <w:rFonts w:ascii="Arabic Typesetting" w:hAnsi="Arabic Typesetting" w:cs="Arabic Typesetting"/>
          <w:sz w:val="34"/>
          <w:szCs w:val="34"/>
          <w:rtl/>
        </w:rPr>
        <w:t xml:space="preserve">بيانات نهاية عام 2013. </w:t>
      </w:r>
      <w:r w:rsidR="0019156F">
        <w:rPr>
          <w:rFonts w:ascii="Arabic Typesetting" w:hAnsi="Arabic Typesetting" w:cs="Arabic Typesetting" w:hint="cs"/>
          <w:sz w:val="34"/>
          <w:szCs w:val="34"/>
          <w:rtl/>
        </w:rPr>
        <w:t xml:space="preserve">وظلت </w:t>
      </w:r>
      <w:r w:rsidRPr="00A30FDA">
        <w:rPr>
          <w:rFonts w:ascii="Arabic Typesetting" w:hAnsi="Arabic Typesetting" w:cs="Arabic Typesetting"/>
          <w:sz w:val="34"/>
          <w:szCs w:val="34"/>
          <w:rtl/>
        </w:rPr>
        <w:t>الأهداف التي لم تُحدّد خلال تلك العملية غير مُحدّدة</w:t>
      </w:r>
      <w:r w:rsidR="0019156F">
        <w:rPr>
          <w:rFonts w:ascii="Arabic Typesetting" w:hAnsi="Arabic Typesetting" w:cs="Arabic Typesetting" w:hint="cs"/>
          <w:sz w:val="34"/>
          <w:szCs w:val="34"/>
          <w:rtl/>
        </w:rPr>
        <w:t xml:space="preserve"> وورد في تقييم سيرها </w:t>
      </w:r>
      <w:r w:rsidRPr="00A30FDA">
        <w:rPr>
          <w:rFonts w:ascii="Arabic Typesetting" w:hAnsi="Arabic Typesetting" w:cs="Arabic Typesetting"/>
          <w:sz w:val="34"/>
          <w:szCs w:val="34"/>
          <w:rtl/>
        </w:rPr>
        <w:t>"</w:t>
      </w:r>
      <w:r w:rsidR="000B2AAC">
        <w:rPr>
          <w:rFonts w:ascii="Arabic Typesetting" w:hAnsi="Arabic Typesetting" w:cs="Arabic Typesetting" w:hint="cs"/>
          <w:sz w:val="34"/>
          <w:szCs w:val="34"/>
          <w:rtl/>
        </w:rPr>
        <w:t>غير قابل للقياس</w:t>
      </w:r>
      <w:r w:rsidRPr="00A30FDA">
        <w:rPr>
          <w:rFonts w:ascii="Arabic Typesetting" w:hAnsi="Arabic Typesetting" w:cs="Arabic Typesetting"/>
          <w:sz w:val="34"/>
          <w:szCs w:val="34"/>
          <w:rtl/>
        </w:rPr>
        <w:t xml:space="preserve">". وترد في العمود الرابع بيانات الأداء للثنائية 2014/15 المتعلقة بكل مؤشر. وكقاعدة عامة، عندما تقاس بيانات الأداء بتغير </w:t>
      </w:r>
      <w:r w:rsidR="0019156F">
        <w:rPr>
          <w:rFonts w:ascii="Arabic Typesetting" w:hAnsi="Arabic Typesetting" w:cs="Arabic Typesetting" w:hint="cs"/>
          <w:sz w:val="34"/>
          <w:szCs w:val="34"/>
          <w:rtl/>
        </w:rPr>
        <w:t xml:space="preserve">في </w:t>
      </w:r>
      <w:r w:rsidRPr="00A30FDA">
        <w:rPr>
          <w:rFonts w:ascii="Arabic Typesetting" w:hAnsi="Arabic Typesetting" w:cs="Arabic Typesetting"/>
          <w:sz w:val="34"/>
          <w:szCs w:val="34"/>
          <w:rtl/>
        </w:rPr>
        <w:t xml:space="preserve">النسبة المئوية (سواء بالزيادة أو النقصان)، </w:t>
      </w:r>
      <w:r w:rsidR="0019156F">
        <w:rPr>
          <w:rFonts w:ascii="Arabic Typesetting" w:hAnsi="Arabic Typesetting" w:cs="Arabic Typesetting" w:hint="cs"/>
          <w:sz w:val="34"/>
          <w:szCs w:val="34"/>
          <w:rtl/>
        </w:rPr>
        <w:t xml:space="preserve">فيُقصد بذلك </w:t>
      </w:r>
      <w:r w:rsidRPr="00A30FDA">
        <w:rPr>
          <w:rFonts w:ascii="Arabic Typesetting" w:hAnsi="Arabic Typesetting" w:cs="Arabic Typesetting"/>
          <w:sz w:val="34"/>
          <w:szCs w:val="34"/>
          <w:rtl/>
        </w:rPr>
        <w:t xml:space="preserve">المقارنة بالعام </w:t>
      </w:r>
      <w:r w:rsidR="00134225">
        <w:rPr>
          <w:rFonts w:ascii="Arabic Typesetting" w:hAnsi="Arabic Typesetting" w:cs="Arabic Typesetting" w:hint="cs"/>
          <w:sz w:val="34"/>
          <w:szCs w:val="34"/>
          <w:rtl/>
        </w:rPr>
        <w:t>السابق</w:t>
      </w:r>
      <w:r w:rsidRPr="00A30FDA">
        <w:rPr>
          <w:rFonts w:ascii="Arabic Typesetting" w:hAnsi="Arabic Typesetting" w:cs="Arabic Typesetting"/>
          <w:sz w:val="34"/>
          <w:szCs w:val="34"/>
          <w:rtl/>
        </w:rPr>
        <w:t>، ما لم يُذكر خلاف ذلك</w:t>
      </w:r>
      <w:r w:rsidR="00134225">
        <w:rPr>
          <w:rFonts w:ascii="Arabic Typesetting" w:hAnsi="Arabic Typesetting" w:cs="Arabic Typesetting" w:hint="cs"/>
          <w:sz w:val="34"/>
          <w:szCs w:val="34"/>
          <w:rtl/>
        </w:rPr>
        <w:t>؛</w:t>
      </w:r>
      <w:r w:rsidRPr="00A30FDA">
        <w:rPr>
          <w:rFonts w:ascii="Arabic Typesetting" w:hAnsi="Arabic Typesetting" w:cs="Arabic Typesetting"/>
          <w:sz w:val="34"/>
          <w:szCs w:val="34"/>
          <w:rtl/>
        </w:rPr>
        <w:t xml:space="preserve"> أي أن تغير النسبة المئوية في سنة 2014 يقارن بسنة 2013، وفي سنة 2015 </w:t>
      </w:r>
      <w:r w:rsidR="00B65A11">
        <w:rPr>
          <w:rFonts w:ascii="Arabic Typesetting" w:hAnsi="Arabic Typesetting" w:cs="Arabic Typesetting" w:hint="cs"/>
          <w:sz w:val="34"/>
          <w:szCs w:val="34"/>
          <w:rtl/>
        </w:rPr>
        <w:t xml:space="preserve">يقارن </w:t>
      </w:r>
      <w:r w:rsidRPr="00A30FDA">
        <w:rPr>
          <w:rFonts w:ascii="Arabic Typesetting" w:hAnsi="Arabic Typesetting" w:cs="Arabic Typesetting"/>
          <w:sz w:val="34"/>
          <w:szCs w:val="34"/>
          <w:rtl/>
        </w:rPr>
        <w:t>بسنة</w:t>
      </w:r>
      <w:r w:rsidR="00010001">
        <w:rPr>
          <w:rFonts w:ascii="Arabic Typesetting" w:hAnsi="Arabic Typesetting" w:cs="Arabic Typesetting" w:hint="cs"/>
          <w:sz w:val="34"/>
          <w:szCs w:val="34"/>
          <w:rtl/>
        </w:rPr>
        <w:t> </w:t>
      </w:r>
      <w:r w:rsidRPr="00A30FDA">
        <w:rPr>
          <w:rFonts w:ascii="Arabic Typesetting" w:hAnsi="Arabic Typesetting" w:cs="Arabic Typesetting"/>
          <w:sz w:val="34"/>
          <w:szCs w:val="34"/>
          <w:rtl/>
        </w:rPr>
        <w:t>2014. أما العمود الخامس فيتضمن تقييما للأداء باستخدام "نظام إشارات السير".</w:t>
      </w:r>
    </w:p>
    <w:p w:rsidR="00A30FDA" w:rsidRPr="00A30FDA" w:rsidRDefault="00A30FDA" w:rsidP="00010001">
      <w:pPr>
        <w:keepNext/>
        <w:bidi/>
        <w:spacing w:after="120" w:line="340" w:lineRule="exact"/>
        <w:rPr>
          <w:rFonts w:ascii="Arabic Typesetting" w:hAnsi="Arabic Typesetting" w:cs="Arabic Typesetting"/>
          <w:i/>
          <w:iCs/>
          <w:sz w:val="34"/>
          <w:szCs w:val="34"/>
          <w:rtl/>
        </w:rPr>
      </w:pPr>
      <w:r w:rsidRPr="00A30FDA">
        <w:rPr>
          <w:rFonts w:ascii="Arabic Typesetting" w:hAnsi="Arabic Typesetting" w:cs="Arabic Typesetting"/>
          <w:i/>
          <w:iCs/>
          <w:sz w:val="34"/>
          <w:szCs w:val="34"/>
          <w:rtl/>
        </w:rPr>
        <w:t xml:space="preserve">الجزء الثالث: </w:t>
      </w:r>
      <w:r w:rsidR="0019156F">
        <w:rPr>
          <w:rFonts w:ascii="Arabic Typesetting" w:hAnsi="Arabic Typesetting" w:cs="Arabic Typesetting" w:hint="cs"/>
          <w:i/>
          <w:iCs/>
          <w:sz w:val="34"/>
          <w:szCs w:val="34"/>
          <w:rtl/>
        </w:rPr>
        <w:t>المخاطر المحتملة خلال الثنائية</w:t>
      </w:r>
    </w:p>
    <w:p w:rsidR="00A30FDA" w:rsidRPr="00A30FDA" w:rsidRDefault="00A30FDA" w:rsidP="00010001">
      <w:pPr>
        <w:bidi/>
        <w:spacing w:after="120" w:line="340" w:lineRule="exact"/>
        <w:rPr>
          <w:rFonts w:ascii="Arabic Typesetting" w:hAnsi="Arabic Typesetting" w:cs="Arabic Typesetting"/>
          <w:sz w:val="34"/>
          <w:szCs w:val="34"/>
          <w:rtl/>
          <w:lang w:bidi="ar-EG"/>
        </w:rPr>
      </w:pPr>
      <w:r w:rsidRPr="00A30FDA">
        <w:rPr>
          <w:rFonts w:ascii="Arabic Typesetting" w:hAnsi="Arabic Typesetting" w:cs="Arabic Typesetting"/>
          <w:sz w:val="34"/>
          <w:szCs w:val="34"/>
          <w:rtl/>
          <w:lang w:bidi="ar-EG"/>
        </w:rPr>
        <w:t>في إطار التزام الويبو بتعزيز إدارتها للمخاطر، يتضمن تقرير أداء البرنامج للثنائية 2014/15، لأول مرة، جزءا</w:t>
      </w:r>
      <w:r w:rsidR="0019156F">
        <w:rPr>
          <w:rFonts w:ascii="Arabic Typesetting" w:hAnsi="Arabic Typesetting" w:cs="Arabic Typesetting" w:hint="cs"/>
          <w:sz w:val="34"/>
          <w:szCs w:val="34"/>
          <w:rtl/>
          <w:lang w:bidi="ar-EG"/>
        </w:rPr>
        <w:t>ً</w:t>
      </w:r>
      <w:r w:rsidRPr="00A30FDA">
        <w:rPr>
          <w:rFonts w:ascii="Arabic Typesetting" w:hAnsi="Arabic Typesetting" w:cs="Arabic Typesetting"/>
          <w:sz w:val="34"/>
          <w:szCs w:val="34"/>
          <w:rtl/>
          <w:lang w:bidi="ar-EG"/>
        </w:rPr>
        <w:t xml:space="preserve"> مخصصا</w:t>
      </w:r>
      <w:r w:rsidR="0019156F">
        <w:rPr>
          <w:rFonts w:ascii="Arabic Typesetting" w:hAnsi="Arabic Typesetting" w:cs="Arabic Typesetting" w:hint="cs"/>
          <w:sz w:val="34"/>
          <w:szCs w:val="34"/>
          <w:rtl/>
          <w:lang w:bidi="ar-EG"/>
        </w:rPr>
        <w:t>ً</w:t>
      </w:r>
      <w:r w:rsidRPr="00A30FDA">
        <w:rPr>
          <w:rFonts w:ascii="Arabic Typesetting" w:hAnsi="Arabic Typesetting" w:cs="Arabic Typesetting"/>
          <w:sz w:val="34"/>
          <w:szCs w:val="34"/>
          <w:rtl/>
          <w:lang w:bidi="ar-EG"/>
        </w:rPr>
        <w:t xml:space="preserve"> </w:t>
      </w:r>
      <w:r w:rsidR="0019156F">
        <w:rPr>
          <w:rFonts w:ascii="Arabic Typesetting" w:hAnsi="Arabic Typesetting" w:cs="Arabic Typesetting" w:hint="cs"/>
          <w:sz w:val="34"/>
          <w:szCs w:val="34"/>
          <w:rtl/>
        </w:rPr>
        <w:t>عن "المخاطر المحتملة خلال الثنائية"</w:t>
      </w:r>
      <w:r w:rsidRPr="00A30FDA">
        <w:rPr>
          <w:rFonts w:ascii="Arabic Typesetting" w:hAnsi="Arabic Typesetting" w:cs="Arabic Typesetting"/>
          <w:sz w:val="34"/>
          <w:szCs w:val="34"/>
          <w:rtl/>
          <w:lang w:bidi="ar-EG"/>
        </w:rPr>
        <w:t xml:space="preserve">. </w:t>
      </w:r>
      <w:r w:rsidR="0019156F">
        <w:rPr>
          <w:rFonts w:ascii="Arabic Typesetting" w:hAnsi="Arabic Typesetting" w:cs="Arabic Typesetting" w:hint="cs"/>
          <w:sz w:val="34"/>
          <w:szCs w:val="34"/>
          <w:rtl/>
          <w:lang w:bidi="ar-EG"/>
        </w:rPr>
        <w:t>ويتكون</w:t>
      </w:r>
      <w:r w:rsidR="0019156F"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 xml:space="preserve">الجدول </w:t>
      </w:r>
      <w:r w:rsidR="0019156F">
        <w:rPr>
          <w:rFonts w:ascii="Arabic Typesetting" w:hAnsi="Arabic Typesetting" w:cs="Arabic Typesetting" w:hint="cs"/>
          <w:sz w:val="34"/>
          <w:szCs w:val="34"/>
          <w:rtl/>
          <w:lang w:bidi="ar-EG"/>
        </w:rPr>
        <w:t>من أربعة</w:t>
      </w:r>
      <w:r w:rsidR="0019156F"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 xml:space="preserve">أعمدة. </w:t>
      </w:r>
      <w:r w:rsidR="0019156F">
        <w:rPr>
          <w:rFonts w:ascii="Arabic Typesetting" w:hAnsi="Arabic Typesetting" w:cs="Arabic Typesetting" w:hint="cs"/>
          <w:sz w:val="34"/>
          <w:szCs w:val="34"/>
          <w:rtl/>
          <w:lang w:bidi="ar-EG"/>
        </w:rPr>
        <w:t>فيبين العمود الأول "المخاطر التي قد تحول دون تحقيق نتائج البرنامج" ويوضح العمود الثاني "الخطط الموضوعة أو قيد التنفيذ للحد من وطأة المخاطر" وفقاً لما</w:t>
      </w:r>
      <w:r w:rsidRPr="00A30FDA">
        <w:rPr>
          <w:rFonts w:ascii="Arabic Typesetting" w:hAnsi="Arabic Typesetting" w:cs="Arabic Typesetting"/>
          <w:sz w:val="34"/>
          <w:szCs w:val="34"/>
          <w:rtl/>
          <w:lang w:bidi="ar-EG"/>
        </w:rPr>
        <w:t xml:space="preserve"> اعتُمد في البرنامج والميزانية للثنائية 2014/15. أما العمود الثالث </w:t>
      </w:r>
      <w:r w:rsidR="0019156F">
        <w:rPr>
          <w:rFonts w:ascii="Arabic Typesetting" w:hAnsi="Arabic Typesetting" w:cs="Arabic Typesetting" w:hint="cs"/>
          <w:sz w:val="34"/>
          <w:szCs w:val="34"/>
          <w:rtl/>
          <w:lang w:bidi="ar-EG"/>
        </w:rPr>
        <w:t>المعنون "</w:t>
      </w:r>
      <w:r w:rsidRPr="00A30FDA">
        <w:rPr>
          <w:rFonts w:ascii="Arabic Typesetting" w:hAnsi="Arabic Typesetting" w:cs="Arabic Typesetting"/>
          <w:sz w:val="34"/>
          <w:szCs w:val="34"/>
          <w:rtl/>
          <w:lang w:bidi="ar-EG"/>
        </w:rPr>
        <w:t xml:space="preserve">تطور المخاطر </w:t>
      </w:r>
      <w:r w:rsidR="0019156F" w:rsidRPr="00A30FDA">
        <w:rPr>
          <w:rFonts w:ascii="Arabic Typesetting" w:hAnsi="Arabic Typesetting" w:cs="Arabic Typesetting"/>
          <w:sz w:val="34"/>
          <w:szCs w:val="34"/>
          <w:rtl/>
          <w:lang w:bidi="ar-EG"/>
        </w:rPr>
        <w:t>واستراتيجي</w:t>
      </w:r>
      <w:r w:rsidR="0019156F">
        <w:rPr>
          <w:rFonts w:ascii="Arabic Typesetting" w:hAnsi="Arabic Typesetting" w:cs="Arabic Typesetting" w:hint="cs"/>
          <w:sz w:val="34"/>
          <w:szCs w:val="34"/>
          <w:rtl/>
          <w:lang w:bidi="ar-EG"/>
        </w:rPr>
        <w:t>ات</w:t>
      </w:r>
      <w:r w:rsidR="0019156F"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 xml:space="preserve">الحد من وطأتها </w:t>
      </w:r>
      <w:r w:rsidR="0019156F">
        <w:rPr>
          <w:rFonts w:ascii="Arabic Typesetting" w:hAnsi="Arabic Typesetting" w:cs="Arabic Typesetting" w:hint="cs"/>
          <w:sz w:val="34"/>
          <w:szCs w:val="34"/>
          <w:rtl/>
          <w:lang w:bidi="ar-EG"/>
        </w:rPr>
        <w:t>على مدار</w:t>
      </w:r>
      <w:r w:rsidRPr="00A30FDA">
        <w:rPr>
          <w:rFonts w:ascii="Arabic Typesetting" w:hAnsi="Arabic Typesetting" w:cs="Arabic Typesetting"/>
          <w:sz w:val="34"/>
          <w:szCs w:val="34"/>
          <w:rtl/>
          <w:lang w:bidi="ar-EG"/>
        </w:rPr>
        <w:t xml:space="preserve"> الثنائية</w:t>
      </w:r>
      <w:r w:rsidR="0019156F">
        <w:rPr>
          <w:rFonts w:ascii="Arabic Typesetting" w:hAnsi="Arabic Typesetting" w:cs="Arabic Typesetting" w:hint="cs"/>
          <w:sz w:val="34"/>
          <w:szCs w:val="34"/>
          <w:rtl/>
          <w:lang w:bidi="ar-EG"/>
        </w:rPr>
        <w:t>"،</w:t>
      </w:r>
      <w:r w:rsidRPr="00A30FDA">
        <w:rPr>
          <w:rFonts w:ascii="Arabic Typesetting" w:hAnsi="Arabic Typesetting" w:cs="Arabic Typesetting"/>
          <w:sz w:val="34"/>
          <w:szCs w:val="34"/>
          <w:rtl/>
          <w:lang w:bidi="ar-EG"/>
        </w:rPr>
        <w:t xml:space="preserve"> فيعرض</w:t>
      </w:r>
      <w:r w:rsidR="00E82AE9">
        <w:rPr>
          <w:rFonts w:ascii="Arabic Typesetting" w:hAnsi="Arabic Typesetting" w:cs="Arabic Typesetting" w:hint="cs"/>
          <w:sz w:val="34"/>
          <w:szCs w:val="34"/>
          <w:rtl/>
          <w:lang w:bidi="ar-EG"/>
        </w:rPr>
        <w:t xml:space="preserve"> معلومات عن</w:t>
      </w:r>
      <w:r w:rsidRPr="00A30FDA">
        <w:rPr>
          <w:rFonts w:ascii="Arabic Typesetting" w:hAnsi="Arabic Typesetting" w:cs="Arabic Typesetting"/>
          <w:sz w:val="34"/>
          <w:szCs w:val="34"/>
          <w:rtl/>
          <w:lang w:bidi="ar-EG"/>
        </w:rPr>
        <w:t xml:space="preserve"> تطور المخاطر خلال الثنائية</w:t>
      </w:r>
      <w:r w:rsidR="00E82AE9">
        <w:rPr>
          <w:rFonts w:ascii="Arabic Typesetting" w:hAnsi="Arabic Typesetting" w:cs="Arabic Typesetting" w:hint="cs"/>
          <w:sz w:val="34"/>
          <w:szCs w:val="34"/>
          <w:rtl/>
          <w:lang w:bidi="ar-EG"/>
        </w:rPr>
        <w:t xml:space="preserve"> ولا سيما</w:t>
      </w:r>
      <w:r w:rsidRPr="00A30FDA">
        <w:rPr>
          <w:rFonts w:ascii="Arabic Typesetting" w:hAnsi="Arabic Typesetting" w:cs="Arabic Typesetting"/>
          <w:sz w:val="34"/>
          <w:szCs w:val="34"/>
          <w:rtl/>
          <w:lang w:bidi="ar-EG"/>
        </w:rPr>
        <w:t xml:space="preserve"> </w:t>
      </w:r>
      <w:r w:rsidR="0019156F">
        <w:rPr>
          <w:rFonts w:ascii="Arabic Typesetting" w:hAnsi="Arabic Typesetting" w:cs="Arabic Typesetting" w:hint="cs"/>
          <w:sz w:val="34"/>
          <w:szCs w:val="34"/>
          <w:rtl/>
          <w:lang w:bidi="ar-EG"/>
        </w:rPr>
        <w:t>التعرض الفعلي</w:t>
      </w:r>
      <w:r w:rsidR="0019156F" w:rsidRPr="00A30FDA">
        <w:rPr>
          <w:rFonts w:ascii="Arabic Typesetting" w:hAnsi="Arabic Typesetting" w:cs="Arabic Typesetting"/>
          <w:sz w:val="34"/>
          <w:szCs w:val="34"/>
          <w:rtl/>
          <w:lang w:bidi="ar-EG"/>
        </w:rPr>
        <w:t xml:space="preserve"> </w:t>
      </w:r>
      <w:r w:rsidR="0019156F">
        <w:rPr>
          <w:rFonts w:ascii="Arabic Typesetting" w:hAnsi="Arabic Typesetting" w:cs="Arabic Typesetting" w:hint="cs"/>
          <w:sz w:val="34"/>
          <w:szCs w:val="34"/>
          <w:rtl/>
          <w:lang w:bidi="ar-EG"/>
        </w:rPr>
        <w:t>لتلك</w:t>
      </w:r>
      <w:r w:rsidRPr="00A30FDA">
        <w:rPr>
          <w:rFonts w:ascii="Arabic Typesetting" w:hAnsi="Arabic Typesetting" w:cs="Arabic Typesetting"/>
          <w:sz w:val="34"/>
          <w:szCs w:val="34"/>
          <w:rtl/>
          <w:lang w:bidi="ar-EG"/>
        </w:rPr>
        <w:t xml:space="preserve"> المخاطر واستراتيجيات الحد من وطأتها </w:t>
      </w:r>
      <w:r w:rsidR="00010001">
        <w:rPr>
          <w:rFonts w:ascii="Arabic Typesetting" w:hAnsi="Arabic Typesetting" w:cs="Arabic Typesetting" w:hint="cs"/>
          <w:sz w:val="34"/>
          <w:szCs w:val="34"/>
          <w:rtl/>
          <w:lang w:bidi="ar-EG"/>
        </w:rPr>
        <w:t>القائمة</w:t>
      </w:r>
      <w:r w:rsidR="00E82AE9">
        <w:rPr>
          <w:rFonts w:ascii="Arabic Typesetting" w:hAnsi="Arabic Typesetting" w:cs="Arabic Typesetting" w:hint="cs"/>
          <w:sz w:val="34"/>
          <w:szCs w:val="34"/>
          <w:rtl/>
          <w:lang w:bidi="ar-EG"/>
        </w:rPr>
        <w:t xml:space="preserve"> أو المستحدثة</w:t>
      </w:r>
      <w:r w:rsidRPr="00A30FDA">
        <w:rPr>
          <w:rFonts w:ascii="Arabic Typesetting" w:hAnsi="Arabic Typesetting" w:cs="Arabic Typesetting"/>
          <w:sz w:val="34"/>
          <w:szCs w:val="34"/>
          <w:rtl/>
          <w:lang w:bidi="ar-EG"/>
        </w:rPr>
        <w:t xml:space="preserve"> </w:t>
      </w:r>
      <w:r w:rsidR="00E82AE9">
        <w:rPr>
          <w:rFonts w:ascii="Arabic Typesetting" w:hAnsi="Arabic Typesetting" w:cs="Arabic Typesetting" w:hint="cs"/>
          <w:sz w:val="34"/>
          <w:szCs w:val="34"/>
          <w:rtl/>
          <w:lang w:bidi="ar-EG"/>
        </w:rPr>
        <w:t>لمواجهة</w:t>
      </w:r>
      <w:r w:rsidRPr="00A30FDA">
        <w:rPr>
          <w:rFonts w:ascii="Arabic Typesetting" w:hAnsi="Arabic Typesetting" w:cs="Arabic Typesetting"/>
          <w:sz w:val="34"/>
          <w:szCs w:val="34"/>
          <w:rtl/>
          <w:lang w:bidi="ar-EG"/>
        </w:rPr>
        <w:t xml:space="preserve"> </w:t>
      </w:r>
      <w:r w:rsidR="00E82AE9">
        <w:rPr>
          <w:rFonts w:ascii="Arabic Typesetting" w:hAnsi="Arabic Typesetting" w:cs="Arabic Typesetting" w:hint="cs"/>
          <w:sz w:val="34"/>
          <w:szCs w:val="34"/>
          <w:rtl/>
          <w:lang w:bidi="ar-EG"/>
        </w:rPr>
        <w:t>تلك</w:t>
      </w:r>
      <w:r w:rsidR="00E82AE9"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 xml:space="preserve">المخاطر. ويصف العمود الرابع </w:t>
      </w:r>
      <w:r w:rsidR="00E82AE9">
        <w:rPr>
          <w:rFonts w:ascii="Arabic Typesetting" w:hAnsi="Arabic Typesetting" w:cs="Arabic Typesetting" w:hint="cs"/>
          <w:sz w:val="34"/>
          <w:szCs w:val="34"/>
          <w:rtl/>
          <w:lang w:bidi="ar-EG"/>
        </w:rPr>
        <w:t>المعنون "</w:t>
      </w:r>
      <w:r w:rsidRPr="00A30FDA">
        <w:rPr>
          <w:rFonts w:ascii="Arabic Typesetting" w:hAnsi="Arabic Typesetting" w:cs="Arabic Typesetting"/>
          <w:sz w:val="34"/>
          <w:szCs w:val="34"/>
          <w:rtl/>
          <w:lang w:bidi="ar-EG"/>
        </w:rPr>
        <w:t xml:space="preserve">التأثير </w:t>
      </w:r>
      <w:r w:rsidR="00E82AE9">
        <w:rPr>
          <w:rFonts w:ascii="Arabic Typesetting" w:hAnsi="Arabic Typesetting" w:cs="Arabic Typesetting" w:hint="cs"/>
          <w:sz w:val="34"/>
          <w:szCs w:val="34"/>
          <w:rtl/>
          <w:lang w:bidi="ar-EG"/>
        </w:rPr>
        <w:t>في</w:t>
      </w:r>
      <w:r w:rsidR="00E82AE9"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أداء البرنامج</w:t>
      </w:r>
      <w:r w:rsidR="00E82AE9">
        <w:rPr>
          <w:rFonts w:ascii="Arabic Typesetting" w:hAnsi="Arabic Typesetting" w:cs="Arabic Typesetting" w:hint="cs"/>
          <w:sz w:val="34"/>
          <w:szCs w:val="34"/>
          <w:rtl/>
          <w:lang w:bidi="ar-EG"/>
        </w:rPr>
        <w:t>"</w:t>
      </w:r>
      <w:r w:rsidRPr="00A30FDA">
        <w:rPr>
          <w:rFonts w:ascii="Arabic Typesetting" w:hAnsi="Arabic Typesetting" w:cs="Arabic Typesetting"/>
          <w:sz w:val="34"/>
          <w:szCs w:val="34"/>
          <w:rtl/>
          <w:lang w:bidi="ar-EG"/>
        </w:rPr>
        <w:t xml:space="preserve"> تأثير تطور الخطر </w:t>
      </w:r>
      <w:proofErr w:type="spellStart"/>
      <w:r w:rsidRPr="00A30FDA">
        <w:rPr>
          <w:rFonts w:ascii="Arabic Typesetting" w:hAnsi="Arabic Typesetting" w:cs="Arabic Typesetting"/>
          <w:sz w:val="34"/>
          <w:szCs w:val="34"/>
          <w:rtl/>
          <w:lang w:bidi="ar-EG"/>
        </w:rPr>
        <w:t>واسترتيجية</w:t>
      </w:r>
      <w:proofErr w:type="spellEnd"/>
      <w:r w:rsidRPr="00A30FDA">
        <w:rPr>
          <w:rFonts w:ascii="Arabic Typesetting" w:hAnsi="Arabic Typesetting" w:cs="Arabic Typesetting"/>
          <w:sz w:val="34"/>
          <w:szCs w:val="34"/>
          <w:rtl/>
          <w:lang w:bidi="ar-EG"/>
        </w:rPr>
        <w:t xml:space="preserve"> الحد من وطأته </w:t>
      </w:r>
      <w:r w:rsidR="00E82AE9">
        <w:rPr>
          <w:rFonts w:ascii="Arabic Typesetting" w:hAnsi="Arabic Typesetting" w:cs="Arabic Typesetting" w:hint="cs"/>
          <w:sz w:val="34"/>
          <w:szCs w:val="34"/>
          <w:rtl/>
          <w:lang w:bidi="ar-EG"/>
        </w:rPr>
        <w:t>في</w:t>
      </w:r>
      <w:r w:rsidR="00E82AE9"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أداء البرنامج خلال الثنائية.</w:t>
      </w:r>
    </w:p>
    <w:p w:rsidR="00A30FDA" w:rsidRPr="00A30FDA" w:rsidRDefault="00A30FDA" w:rsidP="00010001">
      <w:pPr>
        <w:keepNext/>
        <w:bidi/>
        <w:spacing w:after="120" w:line="340" w:lineRule="exact"/>
        <w:rPr>
          <w:rFonts w:ascii="Arabic Typesetting" w:hAnsi="Arabic Typesetting" w:cs="Arabic Typesetting"/>
          <w:i/>
          <w:iCs/>
          <w:sz w:val="34"/>
          <w:szCs w:val="34"/>
        </w:rPr>
      </w:pPr>
      <w:r w:rsidRPr="00A30FDA">
        <w:rPr>
          <w:rFonts w:ascii="Arabic Typesetting" w:hAnsi="Arabic Typesetting" w:cs="Arabic Typesetting"/>
          <w:i/>
          <w:iCs/>
          <w:sz w:val="34"/>
          <w:szCs w:val="34"/>
          <w:rtl/>
        </w:rPr>
        <w:lastRenderedPageBreak/>
        <w:t xml:space="preserve">الجزء الرابع: استخدام </w:t>
      </w:r>
      <w:r w:rsidR="00E82AE9">
        <w:rPr>
          <w:rFonts w:ascii="Arabic Typesetting" w:hAnsi="Arabic Typesetting" w:cs="Arabic Typesetting" w:hint="cs"/>
          <w:i/>
          <w:iCs/>
          <w:sz w:val="34"/>
          <w:szCs w:val="34"/>
          <w:rtl/>
        </w:rPr>
        <w:t>الموارد</w:t>
      </w:r>
    </w:p>
    <w:p w:rsidR="00A30FDA" w:rsidRPr="00A30FDA" w:rsidRDefault="00A30FDA" w:rsidP="00010001">
      <w:pPr>
        <w:keepNext/>
        <w:bidi/>
        <w:spacing w:after="120" w:line="340" w:lineRule="exact"/>
        <w:rPr>
          <w:rFonts w:ascii="Arabic Typesetting" w:hAnsi="Arabic Typesetting" w:cs="Arabic Typesetting"/>
          <w:sz w:val="34"/>
          <w:szCs w:val="34"/>
          <w:rtl/>
          <w:lang w:bidi="ar-EG"/>
        </w:rPr>
      </w:pPr>
      <w:r w:rsidRPr="00A30FDA">
        <w:rPr>
          <w:rFonts w:ascii="Arabic Typesetting" w:hAnsi="Arabic Typesetting" w:cs="Arabic Typesetting"/>
          <w:sz w:val="34"/>
          <w:szCs w:val="34"/>
          <w:rtl/>
          <w:lang w:bidi="ar-EG"/>
        </w:rPr>
        <w:t>يقدم الجزء الأخير معلومات عن الميزانية المعتمدة 2014/15 و</w:t>
      </w:r>
      <w:r w:rsidR="00E82AE9">
        <w:rPr>
          <w:rFonts w:ascii="Arabic Typesetting" w:hAnsi="Arabic Typesetting" w:cs="Arabic Typesetting" w:hint="cs"/>
          <w:sz w:val="34"/>
          <w:szCs w:val="34"/>
          <w:rtl/>
          <w:lang w:bidi="ar-EG"/>
        </w:rPr>
        <w:t>ال</w:t>
      </w:r>
      <w:r w:rsidRPr="00A30FDA">
        <w:rPr>
          <w:rFonts w:ascii="Arabic Typesetting" w:hAnsi="Arabic Typesetting" w:cs="Arabic Typesetting"/>
          <w:sz w:val="34"/>
          <w:szCs w:val="34"/>
          <w:rtl/>
          <w:lang w:bidi="ar-EG"/>
        </w:rPr>
        <w:t xml:space="preserve">ميزانية النهائية بعد التحويلات </w:t>
      </w:r>
      <w:r w:rsidR="00E82AE9" w:rsidRPr="00A30FDA">
        <w:rPr>
          <w:rFonts w:ascii="Arabic Typesetting" w:hAnsi="Arabic Typesetting" w:cs="Arabic Typesetting"/>
          <w:sz w:val="34"/>
          <w:szCs w:val="34"/>
          <w:rtl/>
          <w:lang w:bidi="ar-EG"/>
        </w:rPr>
        <w:t xml:space="preserve">2014/15 </w:t>
      </w:r>
      <w:r w:rsidRPr="00A30FDA">
        <w:rPr>
          <w:rFonts w:ascii="Arabic Typesetting" w:hAnsi="Arabic Typesetting" w:cs="Arabic Typesetting"/>
          <w:sz w:val="34"/>
          <w:szCs w:val="34"/>
          <w:rtl/>
          <w:lang w:bidi="ar-EG"/>
        </w:rPr>
        <w:t>والنفقات الفعلية واستخدام ميزانية 2014/15. ويشمل هذا الجزء جدولين</w:t>
      </w:r>
      <w:r w:rsidRPr="00A30FDA">
        <w:rPr>
          <w:rFonts w:ascii="Arabic Typesetting" w:hAnsi="Arabic Typesetting" w:cs="Arabic Typesetting"/>
          <w:sz w:val="34"/>
          <w:szCs w:val="34"/>
          <w:lang w:bidi="ar-EG"/>
        </w:rPr>
        <w:t>:</w:t>
      </w:r>
    </w:p>
    <w:p w:rsidR="00A30FDA" w:rsidRPr="00A30FDA" w:rsidRDefault="00A30FDA" w:rsidP="003B2ED5">
      <w:pPr>
        <w:keepLines/>
        <w:bidi/>
        <w:spacing w:after="120" w:line="340" w:lineRule="exact"/>
        <w:rPr>
          <w:rFonts w:ascii="Arabic Typesetting" w:hAnsi="Arabic Typesetting" w:cs="Arabic Typesetting"/>
          <w:sz w:val="34"/>
          <w:szCs w:val="34"/>
          <w:rtl/>
          <w:lang w:bidi="ar-EG"/>
        </w:rPr>
      </w:pPr>
      <w:r w:rsidRPr="00134225">
        <w:rPr>
          <w:rFonts w:ascii="Arabic Typesetting" w:hAnsi="Arabic Typesetting" w:cs="Arabic Typesetting"/>
          <w:i/>
          <w:iCs/>
          <w:sz w:val="34"/>
          <w:szCs w:val="34"/>
          <w:rtl/>
          <w:lang w:bidi="ar-EG"/>
        </w:rPr>
        <w:t>الميزانية والنفقات الفعلية (بحسب النتائج)</w:t>
      </w:r>
      <w:r w:rsidR="00E82AE9">
        <w:rPr>
          <w:rFonts w:ascii="Arabic Typesetting" w:hAnsi="Arabic Typesetting" w:cs="Arabic Typesetting" w:hint="cs"/>
          <w:sz w:val="34"/>
          <w:szCs w:val="34"/>
          <w:rtl/>
          <w:lang w:bidi="ar-EG"/>
        </w:rPr>
        <w:t>:</w:t>
      </w:r>
      <w:r w:rsidRPr="00A30FDA">
        <w:rPr>
          <w:rFonts w:ascii="Arabic Typesetting" w:hAnsi="Arabic Typesetting" w:cs="Arabic Typesetting"/>
          <w:sz w:val="34"/>
          <w:szCs w:val="34"/>
          <w:rtl/>
          <w:lang w:bidi="ar-EG"/>
        </w:rPr>
        <w:t xml:space="preserve"> يوفر </w:t>
      </w:r>
      <w:r w:rsidR="00E82AE9">
        <w:rPr>
          <w:rFonts w:ascii="Arabic Typesetting" w:hAnsi="Arabic Typesetting" w:cs="Arabic Typesetting" w:hint="cs"/>
          <w:sz w:val="34"/>
          <w:szCs w:val="34"/>
          <w:rtl/>
          <w:lang w:bidi="ar-EG"/>
        </w:rPr>
        <w:t xml:space="preserve">هذا الجدول </w:t>
      </w:r>
      <w:r w:rsidRPr="00A30FDA">
        <w:rPr>
          <w:rFonts w:ascii="Arabic Typesetting" w:hAnsi="Arabic Typesetting" w:cs="Arabic Typesetting"/>
          <w:sz w:val="34"/>
          <w:szCs w:val="34"/>
          <w:rtl/>
          <w:lang w:bidi="ar-EG"/>
        </w:rPr>
        <w:t>معلومات عن الميزانية المعتمدة 2014/15 و</w:t>
      </w:r>
      <w:r w:rsidR="00E82AE9">
        <w:rPr>
          <w:rFonts w:ascii="Arabic Typesetting" w:hAnsi="Arabic Typesetting" w:cs="Arabic Typesetting" w:hint="cs"/>
          <w:sz w:val="34"/>
          <w:szCs w:val="34"/>
          <w:rtl/>
          <w:lang w:bidi="ar-EG"/>
        </w:rPr>
        <w:t>ال</w:t>
      </w:r>
      <w:r w:rsidRPr="00A30FDA">
        <w:rPr>
          <w:rFonts w:ascii="Arabic Typesetting" w:hAnsi="Arabic Typesetting" w:cs="Arabic Typesetting"/>
          <w:sz w:val="34"/>
          <w:szCs w:val="34"/>
          <w:rtl/>
          <w:lang w:bidi="ar-EG"/>
        </w:rPr>
        <w:t xml:space="preserve">ميزانية النهائية بعد التحويلات </w:t>
      </w:r>
      <w:r w:rsidR="00E82AE9" w:rsidRPr="00A30FDA">
        <w:rPr>
          <w:rFonts w:ascii="Arabic Typesetting" w:hAnsi="Arabic Typesetting" w:cs="Arabic Typesetting"/>
          <w:sz w:val="34"/>
          <w:szCs w:val="34"/>
          <w:rtl/>
          <w:lang w:bidi="ar-EG"/>
        </w:rPr>
        <w:t>2014/15</w:t>
      </w:r>
      <w:r w:rsidR="00E82AE9">
        <w:rPr>
          <w:rFonts w:ascii="Arabic Typesetting" w:hAnsi="Arabic Typesetting" w:cs="Arabic Typesetting" w:hint="cs"/>
          <w:sz w:val="34"/>
          <w:szCs w:val="34"/>
          <w:rtl/>
          <w:lang w:bidi="ar-EG"/>
        </w:rPr>
        <w:t xml:space="preserve"> </w:t>
      </w:r>
      <w:r w:rsidRPr="00A30FDA">
        <w:rPr>
          <w:rFonts w:ascii="Arabic Typesetting" w:hAnsi="Arabic Typesetting" w:cs="Arabic Typesetting"/>
          <w:sz w:val="34"/>
          <w:szCs w:val="34"/>
          <w:rtl/>
          <w:lang w:bidi="ar-EG"/>
        </w:rPr>
        <w:t xml:space="preserve">والنفقات الفعلية بحسب النتائج للثنائية 2014/15. وفي عام 2014، عُزّز نظام تخطيط إدارة الأداء المؤسسي لدعم انتقال المنظمة إلى التخطيط على مستوى المناصب. </w:t>
      </w:r>
      <w:r w:rsidR="00E82AE9">
        <w:rPr>
          <w:rFonts w:ascii="Arabic Typesetting" w:hAnsi="Arabic Typesetting" w:cs="Arabic Typesetting" w:hint="cs"/>
          <w:sz w:val="34"/>
          <w:szCs w:val="34"/>
          <w:rtl/>
          <w:lang w:bidi="ar-EG"/>
        </w:rPr>
        <w:t>وتستند</w:t>
      </w:r>
      <w:r w:rsidR="00E82AE9"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 xml:space="preserve">التسويات على مستوى النتائج في ميزانية 2014/15 بعد التحويلات </w:t>
      </w:r>
      <w:r w:rsidR="00E82AE9">
        <w:rPr>
          <w:rFonts w:ascii="Arabic Typesetting" w:hAnsi="Arabic Typesetting" w:cs="Arabic Typesetting" w:hint="cs"/>
          <w:sz w:val="34"/>
          <w:szCs w:val="34"/>
          <w:rtl/>
          <w:lang w:bidi="ar-EG"/>
        </w:rPr>
        <w:t>إلى</w:t>
      </w:r>
      <w:r w:rsidR="00E82AE9"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المنهجية الجديدة والأدق لتخصيص موارد الموظفين</w:t>
      </w:r>
      <w:r w:rsidR="00E82AE9">
        <w:rPr>
          <w:rFonts w:ascii="Arabic Typesetting" w:hAnsi="Arabic Typesetting" w:cs="Arabic Typesetting" w:hint="cs"/>
          <w:sz w:val="34"/>
          <w:szCs w:val="34"/>
          <w:rtl/>
          <w:lang w:bidi="ar-EG"/>
        </w:rPr>
        <w:t>.</w:t>
      </w:r>
    </w:p>
    <w:p w:rsidR="00A30FDA" w:rsidRPr="00A30FDA" w:rsidRDefault="00A30FDA" w:rsidP="00134225">
      <w:pPr>
        <w:bidi/>
        <w:spacing w:after="120" w:line="340" w:lineRule="exact"/>
        <w:rPr>
          <w:rFonts w:ascii="Arabic Typesetting" w:hAnsi="Arabic Typesetting" w:cs="Arabic Typesetting"/>
          <w:sz w:val="34"/>
          <w:szCs w:val="34"/>
          <w:lang w:bidi="ar-EG"/>
        </w:rPr>
      </w:pPr>
      <w:r w:rsidRPr="00134225">
        <w:rPr>
          <w:rFonts w:ascii="Arabic Typesetting" w:hAnsi="Arabic Typesetting" w:cs="Arabic Typesetting"/>
          <w:i/>
          <w:iCs/>
          <w:sz w:val="34"/>
          <w:szCs w:val="34"/>
          <w:rtl/>
          <w:lang w:bidi="ar-EG"/>
        </w:rPr>
        <w:t>الميزانية والنفقات الفعلية (موارد الموظفين وخلاف موارد الموظفين)</w:t>
      </w:r>
      <w:r w:rsidR="00E82AE9">
        <w:rPr>
          <w:rFonts w:ascii="Arabic Typesetting" w:hAnsi="Arabic Typesetting" w:cs="Arabic Typesetting" w:hint="cs"/>
          <w:i/>
          <w:iCs/>
          <w:sz w:val="34"/>
          <w:szCs w:val="34"/>
          <w:rtl/>
          <w:lang w:bidi="ar-EG"/>
        </w:rPr>
        <w:t>:</w:t>
      </w:r>
      <w:r w:rsidRPr="00A30FDA">
        <w:rPr>
          <w:rFonts w:ascii="Arabic Typesetting" w:hAnsi="Arabic Typesetting" w:cs="Arabic Typesetting"/>
          <w:sz w:val="34"/>
          <w:szCs w:val="34"/>
          <w:rtl/>
          <w:lang w:bidi="ar-EG"/>
        </w:rPr>
        <w:t xml:space="preserve"> يوفر</w:t>
      </w:r>
      <w:r w:rsidR="00E82AE9">
        <w:rPr>
          <w:rFonts w:ascii="Arabic Typesetting" w:hAnsi="Arabic Typesetting" w:cs="Arabic Typesetting" w:hint="cs"/>
          <w:sz w:val="34"/>
          <w:szCs w:val="34"/>
          <w:rtl/>
          <w:lang w:bidi="ar-EG"/>
        </w:rPr>
        <w:t xml:space="preserve"> هذا الجدول</w:t>
      </w:r>
      <w:r w:rsidRPr="00A30FDA">
        <w:rPr>
          <w:rFonts w:ascii="Arabic Typesetting" w:hAnsi="Arabic Typesetting" w:cs="Arabic Typesetting"/>
          <w:sz w:val="34"/>
          <w:szCs w:val="34"/>
          <w:rtl/>
          <w:lang w:bidi="ar-EG"/>
        </w:rPr>
        <w:t xml:space="preserve"> معلومات عن الميزانية المعتمدة 2014/15 و</w:t>
      </w:r>
      <w:r w:rsidR="00E82AE9">
        <w:rPr>
          <w:rFonts w:ascii="Arabic Typesetting" w:hAnsi="Arabic Typesetting" w:cs="Arabic Typesetting" w:hint="cs"/>
          <w:sz w:val="34"/>
          <w:szCs w:val="34"/>
          <w:rtl/>
          <w:lang w:bidi="ar-EG"/>
        </w:rPr>
        <w:t>ال</w:t>
      </w:r>
      <w:r w:rsidRPr="00A30FDA">
        <w:rPr>
          <w:rFonts w:ascii="Arabic Typesetting" w:hAnsi="Arabic Typesetting" w:cs="Arabic Typesetting"/>
          <w:sz w:val="34"/>
          <w:szCs w:val="34"/>
          <w:rtl/>
          <w:lang w:bidi="ar-EG"/>
        </w:rPr>
        <w:t>ميزانية النهائية بعد التحويلات</w:t>
      </w:r>
      <w:r w:rsidR="00E82AE9">
        <w:rPr>
          <w:rFonts w:ascii="Arabic Typesetting" w:hAnsi="Arabic Typesetting" w:cs="Arabic Typesetting" w:hint="cs"/>
          <w:sz w:val="34"/>
          <w:szCs w:val="34"/>
          <w:rtl/>
          <w:lang w:bidi="ar-EG"/>
        </w:rPr>
        <w:t xml:space="preserve"> </w:t>
      </w:r>
      <w:r w:rsidR="00E82AE9" w:rsidRPr="00A30FDA">
        <w:rPr>
          <w:rFonts w:ascii="Arabic Typesetting" w:hAnsi="Arabic Typesetting" w:cs="Arabic Typesetting"/>
          <w:sz w:val="34"/>
          <w:szCs w:val="34"/>
          <w:rtl/>
          <w:lang w:bidi="ar-EG"/>
        </w:rPr>
        <w:t>2014/15</w:t>
      </w:r>
      <w:r w:rsidRPr="00A30FDA">
        <w:rPr>
          <w:rFonts w:ascii="Arabic Typesetting" w:hAnsi="Arabic Typesetting" w:cs="Arabic Typesetting"/>
          <w:sz w:val="34"/>
          <w:szCs w:val="34"/>
          <w:rtl/>
          <w:lang w:bidi="ar-EG"/>
        </w:rPr>
        <w:t xml:space="preserve"> والنفقات الفعلية للثنائية 2014/15 (موارد الموظفين وخلاف موارد الموظفين). و</w:t>
      </w:r>
      <w:r w:rsidR="00E82AE9">
        <w:rPr>
          <w:rFonts w:ascii="Arabic Typesetting" w:hAnsi="Arabic Typesetting" w:cs="Arabic Typesetting" w:hint="cs"/>
          <w:sz w:val="34"/>
          <w:szCs w:val="34"/>
          <w:rtl/>
        </w:rPr>
        <w:t xml:space="preserve">تبيَّن أسباب </w:t>
      </w:r>
      <w:r w:rsidRPr="00A30FDA">
        <w:rPr>
          <w:rFonts w:ascii="Arabic Typesetting" w:hAnsi="Arabic Typesetting" w:cs="Arabic Typesetting"/>
          <w:sz w:val="34"/>
          <w:szCs w:val="34"/>
          <w:rtl/>
          <w:lang w:bidi="ar-EG"/>
        </w:rPr>
        <w:t xml:space="preserve">الفروق بين الميزانية المعتمدة والميزانية النهائية بعد التحويلات، </w:t>
      </w:r>
      <w:r w:rsidR="00E82AE9">
        <w:rPr>
          <w:rFonts w:ascii="Arabic Typesetting" w:hAnsi="Arabic Typesetting" w:cs="Arabic Typesetting" w:hint="cs"/>
          <w:sz w:val="34"/>
          <w:szCs w:val="34"/>
          <w:rtl/>
          <w:lang w:bidi="ar-EG"/>
        </w:rPr>
        <w:t>فضلاً عن</w:t>
      </w:r>
      <w:r w:rsidR="00E82AE9" w:rsidRPr="00A30FDA">
        <w:rPr>
          <w:rFonts w:ascii="Arabic Typesetting" w:hAnsi="Arabic Typesetting" w:cs="Arabic Typesetting"/>
          <w:sz w:val="34"/>
          <w:szCs w:val="34"/>
          <w:rtl/>
          <w:lang w:bidi="ar-EG"/>
        </w:rPr>
        <w:t xml:space="preserve"> </w:t>
      </w:r>
      <w:r w:rsidRPr="00A30FDA">
        <w:rPr>
          <w:rFonts w:ascii="Arabic Typesetting" w:hAnsi="Arabic Typesetting" w:cs="Arabic Typesetting"/>
          <w:sz w:val="34"/>
          <w:szCs w:val="34"/>
          <w:rtl/>
          <w:lang w:bidi="ar-EG"/>
        </w:rPr>
        <w:t xml:space="preserve">استخدام الميزانية، مع </w:t>
      </w:r>
      <w:r w:rsidR="00E82AE9">
        <w:rPr>
          <w:rFonts w:ascii="Arabic Typesetting" w:hAnsi="Arabic Typesetting" w:cs="Arabic Typesetting" w:hint="cs"/>
          <w:sz w:val="34"/>
          <w:szCs w:val="34"/>
          <w:rtl/>
          <w:lang w:bidi="ar-EG"/>
        </w:rPr>
        <w:t>توضيح</w:t>
      </w:r>
      <w:r w:rsidRPr="00A30FDA">
        <w:rPr>
          <w:rFonts w:ascii="Arabic Typesetting" w:hAnsi="Arabic Typesetting" w:cs="Arabic Typesetting"/>
          <w:sz w:val="34"/>
          <w:szCs w:val="34"/>
          <w:rtl/>
          <w:lang w:bidi="ar-EG"/>
        </w:rPr>
        <w:t xml:space="preserve"> النتائج</w:t>
      </w:r>
      <w:r w:rsidR="00942F66">
        <w:rPr>
          <w:rFonts w:ascii="Arabic Typesetting" w:hAnsi="Arabic Typesetting" w:cs="Arabic Typesetting" w:hint="cs"/>
          <w:sz w:val="34"/>
          <w:szCs w:val="34"/>
          <w:rtl/>
          <w:lang w:bidi="ar-EG"/>
        </w:rPr>
        <w:t xml:space="preserve"> المعنية</w:t>
      </w:r>
      <w:r w:rsidRPr="00A30FDA">
        <w:rPr>
          <w:rFonts w:ascii="Arabic Typesetting" w:hAnsi="Arabic Typesetting" w:cs="Arabic Typesetting"/>
          <w:sz w:val="34"/>
          <w:szCs w:val="34"/>
          <w:rtl/>
          <w:lang w:bidi="ar-EG"/>
        </w:rPr>
        <w:t xml:space="preserve"> </w:t>
      </w:r>
      <w:r w:rsidR="00942F66">
        <w:rPr>
          <w:rFonts w:ascii="Arabic Typesetting" w:hAnsi="Arabic Typesetting" w:cs="Arabic Typesetting" w:hint="cs"/>
          <w:sz w:val="34"/>
          <w:szCs w:val="34"/>
          <w:rtl/>
          <w:lang w:bidi="ar-EG"/>
        </w:rPr>
        <w:t>و</w:t>
      </w:r>
      <w:r w:rsidRPr="00A30FDA">
        <w:rPr>
          <w:rFonts w:ascii="Arabic Typesetting" w:hAnsi="Arabic Typesetting" w:cs="Arabic Typesetting"/>
          <w:sz w:val="34"/>
          <w:szCs w:val="34"/>
          <w:rtl/>
          <w:lang w:bidi="ar-EG"/>
        </w:rPr>
        <w:t>نوع النفقات</w:t>
      </w:r>
      <w:r w:rsidR="00942F66">
        <w:rPr>
          <w:rFonts w:ascii="Arabic Typesetting" w:hAnsi="Arabic Typesetting" w:cs="Arabic Typesetting" w:hint="cs"/>
          <w:sz w:val="34"/>
          <w:szCs w:val="34"/>
          <w:rtl/>
          <w:lang w:bidi="ar-EG"/>
        </w:rPr>
        <w:t xml:space="preserve"> المعني</w:t>
      </w:r>
      <w:r w:rsidRPr="00A30FDA">
        <w:rPr>
          <w:rFonts w:ascii="Arabic Typesetting" w:hAnsi="Arabic Typesetting" w:cs="Arabic Typesetting"/>
          <w:sz w:val="34"/>
          <w:szCs w:val="34"/>
          <w:rtl/>
          <w:lang w:bidi="ar-EG"/>
        </w:rPr>
        <w:t xml:space="preserve"> (موارد الموظفين وخلاف موارد الموظفين).</w:t>
      </w:r>
    </w:p>
    <w:p w:rsidR="00B31868" w:rsidRPr="00B31868" w:rsidRDefault="00B31868" w:rsidP="00134225">
      <w:pPr>
        <w:bidi/>
        <w:spacing w:before="720" w:after="240" w:line="360" w:lineRule="exact"/>
        <w:ind w:left="5534"/>
        <w:rPr>
          <w:rFonts w:ascii="Arabic Typesetting" w:hAnsi="Arabic Typesetting" w:cs="Arabic Typesetting"/>
          <w:sz w:val="34"/>
          <w:szCs w:val="34"/>
          <w:rtl/>
          <w:lang w:bidi="ar-EG"/>
        </w:rPr>
      </w:pPr>
      <w:r w:rsidRPr="00B31868">
        <w:rPr>
          <w:rFonts w:ascii="Arabic Typesetting" w:hAnsi="Arabic Typesetting" w:cs="Arabic Typesetting" w:hint="cs"/>
          <w:sz w:val="34"/>
          <w:szCs w:val="34"/>
          <w:rtl/>
          <w:lang w:bidi="ar-EG"/>
        </w:rPr>
        <w:t>[يلي ذلك الملحق الثاني]</w:t>
      </w:r>
    </w:p>
    <w:p w:rsidR="00B31868" w:rsidRPr="005004A2" w:rsidRDefault="00B31868" w:rsidP="0009163D">
      <w:pPr>
        <w:pStyle w:val="Heading3AR"/>
        <w:ind w:left="0" w:firstLine="0"/>
        <w:rPr>
          <w:rtl/>
        </w:rPr>
      </w:pPr>
      <w:bookmarkStart w:id="150" w:name="_Toc450635439"/>
      <w:bookmarkStart w:id="151" w:name="_Toc455393408"/>
      <w:r w:rsidRPr="005004A2">
        <w:rPr>
          <w:rFonts w:hint="cs"/>
          <w:rtl/>
        </w:rPr>
        <w:lastRenderedPageBreak/>
        <w:t>الم</w:t>
      </w:r>
      <w:r w:rsidRPr="005004A2">
        <w:rPr>
          <w:rtl/>
        </w:rPr>
        <w:t xml:space="preserve">لحق </w:t>
      </w:r>
      <w:r w:rsidRPr="005004A2">
        <w:rPr>
          <w:rFonts w:hint="cs"/>
          <w:rtl/>
        </w:rPr>
        <w:t>الثاني</w:t>
      </w:r>
      <w:r w:rsidR="005004A2" w:rsidRPr="005004A2">
        <w:rPr>
          <w:rtl/>
        </w:rPr>
        <w:tab/>
      </w:r>
      <w:r w:rsidR="0009163D">
        <w:rPr>
          <w:rFonts w:hint="cs"/>
          <w:rtl/>
        </w:rPr>
        <w:t>إنفاق</w:t>
      </w:r>
      <w:r w:rsidRPr="005004A2">
        <w:rPr>
          <w:rtl/>
        </w:rPr>
        <w:t xml:space="preserve"> الصناديق </w:t>
      </w:r>
      <w:proofErr w:type="spellStart"/>
      <w:r w:rsidRPr="005004A2">
        <w:rPr>
          <w:rtl/>
        </w:rPr>
        <w:t>الاستئمانية</w:t>
      </w:r>
      <w:proofErr w:type="spellEnd"/>
      <w:r w:rsidRPr="005004A2">
        <w:rPr>
          <w:rtl/>
        </w:rPr>
        <w:t xml:space="preserve"> </w:t>
      </w:r>
      <w:bookmarkEnd w:id="150"/>
      <w:r w:rsidR="00F15926">
        <w:rPr>
          <w:rFonts w:hint="cs"/>
          <w:rtl/>
        </w:rPr>
        <w:t>2014/15</w:t>
      </w:r>
      <w:bookmarkEnd w:id="151"/>
    </w:p>
    <w:p w:rsidR="0009163D" w:rsidRPr="0009163D" w:rsidRDefault="0009163D" w:rsidP="0009163D">
      <w:pPr>
        <w:bidi/>
        <w:spacing w:after="240" w:line="340" w:lineRule="exact"/>
        <w:jc w:val="both"/>
        <w:rPr>
          <w:rFonts w:ascii="Arabic Typesetting" w:hAnsi="Arabic Typesetting" w:cs="Arabic Typesetting"/>
          <w:noProof/>
          <w:sz w:val="34"/>
          <w:szCs w:val="34"/>
        </w:rPr>
      </w:pPr>
      <w:r w:rsidRPr="0009163D">
        <w:rPr>
          <w:rFonts w:ascii="Arabic Typesetting" w:hAnsi="Arabic Typesetting" w:cs="Arabic Typesetting" w:hint="cs"/>
          <w:noProof/>
          <w:sz w:val="34"/>
          <w:szCs w:val="34"/>
          <w:rtl/>
        </w:rPr>
        <w:t>سعياً</w:t>
      </w:r>
      <w:r w:rsidRPr="0009163D">
        <w:rPr>
          <w:rFonts w:ascii="Arabic Typesetting" w:hAnsi="Arabic Typesetting" w:cs="Arabic Typesetting"/>
          <w:noProof/>
          <w:sz w:val="34"/>
          <w:szCs w:val="34"/>
          <w:rtl/>
        </w:rPr>
        <w:t xml:space="preserve"> إلى تعزيز </w:t>
      </w:r>
      <w:r w:rsidRPr="0009163D">
        <w:rPr>
          <w:rFonts w:ascii="Arabic Typesetting" w:hAnsi="Arabic Typesetting" w:cs="Arabic Typesetting" w:hint="cs"/>
          <w:noProof/>
          <w:sz w:val="34"/>
          <w:szCs w:val="34"/>
          <w:rtl/>
        </w:rPr>
        <w:t>التكامل</w:t>
      </w:r>
      <w:r w:rsidRPr="0009163D">
        <w:rPr>
          <w:rFonts w:ascii="Arabic Typesetting" w:hAnsi="Arabic Typesetting" w:cs="Arabic Typesetting"/>
          <w:noProof/>
          <w:sz w:val="34"/>
          <w:szCs w:val="34"/>
          <w:rtl/>
        </w:rPr>
        <w:t xml:space="preserve"> </w:t>
      </w:r>
      <w:r w:rsidRPr="0009163D">
        <w:rPr>
          <w:rFonts w:ascii="Arabic Typesetting" w:hAnsi="Arabic Typesetting" w:cs="Arabic Typesetting" w:hint="cs"/>
          <w:noProof/>
          <w:sz w:val="34"/>
          <w:szCs w:val="34"/>
          <w:rtl/>
        </w:rPr>
        <w:t>بين كل</w:t>
      </w:r>
      <w:r w:rsidRPr="0009163D">
        <w:rPr>
          <w:rFonts w:ascii="Arabic Typesetting" w:hAnsi="Arabic Typesetting" w:cs="Arabic Typesetting"/>
          <w:noProof/>
          <w:sz w:val="34"/>
          <w:szCs w:val="34"/>
          <w:rtl/>
        </w:rPr>
        <w:t xml:space="preserve"> أنشطة المنظمة في إطار الإدارة </w:t>
      </w:r>
      <w:r w:rsidRPr="0009163D">
        <w:rPr>
          <w:rFonts w:ascii="Arabic Typesetting" w:hAnsi="Arabic Typesetting" w:cs="Arabic Typesetting" w:hint="cs"/>
          <w:noProof/>
          <w:sz w:val="34"/>
          <w:szCs w:val="34"/>
          <w:rtl/>
        </w:rPr>
        <w:t xml:space="preserve">القائمة على </w:t>
      </w:r>
      <w:r w:rsidRPr="0009163D">
        <w:rPr>
          <w:rFonts w:ascii="Arabic Typesetting" w:hAnsi="Arabic Typesetting" w:cs="Arabic Typesetting"/>
          <w:noProof/>
          <w:sz w:val="34"/>
          <w:szCs w:val="34"/>
          <w:rtl/>
        </w:rPr>
        <w:t>النتائج</w:t>
      </w:r>
      <w:r w:rsidRPr="0009163D">
        <w:rPr>
          <w:rFonts w:ascii="Arabic Typesetting" w:hAnsi="Arabic Typesetting" w:cs="Arabic Typesetting" w:hint="cs"/>
          <w:noProof/>
          <w:sz w:val="34"/>
          <w:szCs w:val="34"/>
          <w:rtl/>
        </w:rPr>
        <w:t xml:space="preserve"> و</w:t>
      </w:r>
      <w:r w:rsidRPr="0009163D">
        <w:rPr>
          <w:rFonts w:ascii="Arabic Typesetting" w:hAnsi="Arabic Typesetting" w:cs="Arabic Typesetting"/>
          <w:noProof/>
          <w:sz w:val="34"/>
          <w:szCs w:val="34"/>
          <w:rtl/>
        </w:rPr>
        <w:t>بغض النظر عن مصدر الصناديق، ي</w:t>
      </w:r>
      <w:r w:rsidRPr="0009163D">
        <w:rPr>
          <w:rFonts w:ascii="Arabic Typesetting" w:hAnsi="Arabic Typesetting" w:cs="Arabic Typesetting" w:hint="cs"/>
          <w:noProof/>
          <w:sz w:val="34"/>
          <w:szCs w:val="34"/>
          <w:rtl/>
        </w:rPr>
        <w:t>عرض</w:t>
      </w:r>
      <w:r w:rsidRPr="0009163D">
        <w:rPr>
          <w:rFonts w:ascii="Arabic Typesetting" w:hAnsi="Arabic Typesetting" w:cs="Arabic Typesetting"/>
          <w:noProof/>
          <w:sz w:val="34"/>
          <w:szCs w:val="34"/>
          <w:rtl/>
        </w:rPr>
        <w:t xml:space="preserve"> هذا الملحق </w:t>
      </w:r>
      <w:r w:rsidRPr="0009163D">
        <w:rPr>
          <w:rFonts w:ascii="Arabic Typesetting" w:hAnsi="Arabic Typesetting" w:cs="Arabic Typesetting" w:hint="cs"/>
          <w:noProof/>
          <w:sz w:val="34"/>
          <w:szCs w:val="34"/>
          <w:rtl/>
        </w:rPr>
        <w:t>لمحة</w:t>
      </w:r>
      <w:r w:rsidRPr="0009163D">
        <w:rPr>
          <w:rFonts w:ascii="Arabic Typesetting" w:hAnsi="Arabic Typesetting" w:cs="Arabic Typesetting"/>
          <w:noProof/>
          <w:sz w:val="34"/>
          <w:szCs w:val="34"/>
          <w:rtl/>
        </w:rPr>
        <w:t xml:space="preserve"> عامة </w:t>
      </w:r>
      <w:r w:rsidRPr="0009163D">
        <w:rPr>
          <w:rFonts w:ascii="Arabic Typesetting" w:hAnsi="Arabic Typesetting" w:cs="Arabic Typesetting" w:hint="cs"/>
          <w:noProof/>
          <w:sz w:val="34"/>
          <w:szCs w:val="34"/>
          <w:rtl/>
        </w:rPr>
        <w:t>عن</w:t>
      </w:r>
      <w:r w:rsidRPr="0009163D">
        <w:rPr>
          <w:rFonts w:ascii="Arabic Typesetting" w:hAnsi="Arabic Typesetting" w:cs="Arabic Typesetting"/>
          <w:noProof/>
          <w:sz w:val="34"/>
          <w:szCs w:val="34"/>
          <w:rtl/>
        </w:rPr>
        <w:t xml:space="preserve"> الأنشطة </w:t>
      </w:r>
      <w:r w:rsidRPr="0009163D">
        <w:rPr>
          <w:rFonts w:ascii="Arabic Typesetting" w:hAnsi="Arabic Typesetting" w:cs="Arabic Typesetting" w:hint="cs"/>
          <w:noProof/>
          <w:sz w:val="34"/>
          <w:szCs w:val="34"/>
          <w:rtl/>
        </w:rPr>
        <w:t>المنفَّذة</w:t>
      </w:r>
      <w:r w:rsidRPr="0009163D">
        <w:rPr>
          <w:rFonts w:ascii="Arabic Typesetting" w:hAnsi="Arabic Typesetting" w:cs="Arabic Typesetting"/>
          <w:noProof/>
          <w:sz w:val="34"/>
          <w:szCs w:val="34"/>
          <w:rtl/>
        </w:rPr>
        <w:t xml:space="preserve"> </w:t>
      </w:r>
      <w:r w:rsidRPr="0009163D">
        <w:rPr>
          <w:rFonts w:ascii="Arabic Typesetting" w:hAnsi="Arabic Typesetting" w:cs="Arabic Typesetting" w:hint="cs"/>
          <w:noProof/>
          <w:sz w:val="34"/>
          <w:szCs w:val="34"/>
          <w:rtl/>
        </w:rPr>
        <w:t>عن طريق</w:t>
      </w:r>
      <w:r w:rsidRPr="0009163D">
        <w:rPr>
          <w:rFonts w:ascii="Arabic Typesetting" w:hAnsi="Arabic Typesetting" w:cs="Arabic Typesetting"/>
          <w:noProof/>
          <w:sz w:val="34"/>
          <w:szCs w:val="34"/>
          <w:rtl/>
        </w:rPr>
        <w:t xml:space="preserve"> الصناديق الاستئمانية </w:t>
      </w:r>
      <w:r w:rsidRPr="0009163D">
        <w:rPr>
          <w:rFonts w:ascii="Arabic Typesetting" w:hAnsi="Arabic Typesetting" w:cs="Arabic Typesetting" w:hint="cs"/>
          <w:noProof/>
          <w:sz w:val="34"/>
          <w:szCs w:val="34"/>
          <w:rtl/>
        </w:rPr>
        <w:t>ل</w:t>
      </w:r>
      <w:r w:rsidRPr="0009163D">
        <w:rPr>
          <w:rFonts w:ascii="Arabic Typesetting" w:hAnsi="Arabic Typesetting" w:cs="Arabic Typesetting"/>
          <w:noProof/>
          <w:sz w:val="34"/>
          <w:szCs w:val="34"/>
          <w:rtl/>
        </w:rPr>
        <w:t xml:space="preserve">لويبو. وفي الوقت نفسه، </w:t>
      </w:r>
      <w:r w:rsidRPr="0009163D">
        <w:rPr>
          <w:rFonts w:ascii="Arabic Typesetting" w:hAnsi="Arabic Typesetting" w:cs="Arabic Typesetting" w:hint="cs"/>
          <w:noProof/>
          <w:sz w:val="34"/>
          <w:szCs w:val="34"/>
          <w:rtl/>
        </w:rPr>
        <w:t>يعدُّ</w:t>
      </w:r>
      <w:r w:rsidRPr="0009163D">
        <w:rPr>
          <w:rFonts w:ascii="Arabic Typesetting" w:hAnsi="Arabic Typesetting" w:cs="Arabic Typesetting"/>
          <w:noProof/>
          <w:sz w:val="34"/>
          <w:szCs w:val="34"/>
          <w:rtl/>
        </w:rPr>
        <w:t xml:space="preserve"> هذا التقرير استجابة لطلب بعض الجهات المانحة الحصول على تقرير أشمل </w:t>
      </w:r>
      <w:r w:rsidRPr="0009163D">
        <w:rPr>
          <w:rFonts w:ascii="Arabic Typesetting" w:hAnsi="Arabic Typesetting" w:cs="Arabic Typesetting" w:hint="cs"/>
          <w:noProof/>
          <w:sz w:val="34"/>
          <w:szCs w:val="34"/>
          <w:rtl/>
        </w:rPr>
        <w:t>عن</w:t>
      </w:r>
      <w:r w:rsidRPr="0009163D">
        <w:rPr>
          <w:rFonts w:ascii="Arabic Typesetting" w:hAnsi="Arabic Typesetting" w:cs="Arabic Typesetting"/>
          <w:noProof/>
          <w:sz w:val="34"/>
          <w:szCs w:val="34"/>
          <w:rtl/>
        </w:rPr>
        <w:t xml:space="preserve"> الصناديق الاستئمانية</w:t>
      </w:r>
      <w:r w:rsidRPr="0009163D">
        <w:rPr>
          <w:rFonts w:ascii="Arabic Typesetting" w:hAnsi="Arabic Typesetting" w:cs="Arabic Typesetting" w:hint="cs"/>
          <w:noProof/>
          <w:sz w:val="34"/>
          <w:szCs w:val="34"/>
          <w:rtl/>
        </w:rPr>
        <w:t xml:space="preserve"> يشمل</w:t>
      </w:r>
      <w:r w:rsidRPr="0009163D">
        <w:rPr>
          <w:rFonts w:ascii="Arabic Typesetting" w:hAnsi="Arabic Typesetting" w:cs="Arabic Typesetting"/>
          <w:noProof/>
          <w:sz w:val="34"/>
          <w:szCs w:val="34"/>
          <w:rtl/>
        </w:rPr>
        <w:t xml:space="preserve"> معلومات برامجية ومالية. </w:t>
      </w:r>
      <w:r w:rsidRPr="0009163D">
        <w:rPr>
          <w:rFonts w:ascii="Arabic Typesetting" w:hAnsi="Arabic Typesetting" w:cs="Arabic Typesetting" w:hint="cs"/>
          <w:noProof/>
          <w:sz w:val="34"/>
          <w:szCs w:val="34"/>
          <w:rtl/>
        </w:rPr>
        <w:t xml:space="preserve">وحرصاً على تبسيط </w:t>
      </w:r>
      <w:r w:rsidRPr="0009163D">
        <w:rPr>
          <w:rFonts w:ascii="Arabic Typesetting" w:hAnsi="Arabic Typesetting" w:cs="Arabic Typesetting"/>
          <w:noProof/>
          <w:sz w:val="34"/>
          <w:szCs w:val="34"/>
          <w:rtl/>
        </w:rPr>
        <w:t xml:space="preserve">عملية إعداد التقرير، </w:t>
      </w:r>
      <w:r w:rsidRPr="0009163D">
        <w:rPr>
          <w:rFonts w:ascii="Arabic Typesetting" w:hAnsi="Arabic Typesetting" w:cs="Arabic Typesetting" w:hint="cs"/>
          <w:noProof/>
          <w:sz w:val="34"/>
          <w:szCs w:val="34"/>
          <w:rtl/>
        </w:rPr>
        <w:t>أُدرج</w:t>
      </w:r>
      <w:r w:rsidRPr="0009163D">
        <w:rPr>
          <w:rFonts w:ascii="Arabic Typesetting" w:hAnsi="Arabic Typesetting" w:cs="Arabic Typesetting"/>
          <w:noProof/>
          <w:sz w:val="34"/>
          <w:szCs w:val="34"/>
          <w:rtl/>
        </w:rPr>
        <w:t xml:space="preserve"> تقرير الصناديق الاستئمانية </w:t>
      </w:r>
      <w:r w:rsidRPr="0009163D">
        <w:rPr>
          <w:rFonts w:ascii="Arabic Typesetting" w:hAnsi="Arabic Typesetting" w:cs="Arabic Typesetting" w:hint="cs"/>
          <w:noProof/>
          <w:sz w:val="34"/>
          <w:szCs w:val="34"/>
          <w:rtl/>
        </w:rPr>
        <w:t>في</w:t>
      </w:r>
      <w:r w:rsidRPr="0009163D">
        <w:rPr>
          <w:rFonts w:ascii="Arabic Typesetting" w:hAnsi="Arabic Typesetting" w:cs="Arabic Typesetting"/>
          <w:noProof/>
          <w:sz w:val="34"/>
          <w:szCs w:val="34"/>
          <w:rtl/>
        </w:rPr>
        <w:t xml:space="preserve"> </w:t>
      </w:r>
      <w:r w:rsidRPr="0009163D">
        <w:rPr>
          <w:rFonts w:ascii="Arabic Typesetting" w:hAnsi="Arabic Typesetting" w:cs="Arabic Typesetting" w:hint="cs"/>
          <w:noProof/>
          <w:sz w:val="34"/>
          <w:szCs w:val="34"/>
          <w:rtl/>
        </w:rPr>
        <w:t xml:space="preserve">إطار </w:t>
      </w:r>
      <w:r w:rsidRPr="0009163D">
        <w:rPr>
          <w:rFonts w:ascii="Arabic Typesetting" w:hAnsi="Arabic Typesetting" w:cs="Arabic Typesetting"/>
          <w:noProof/>
          <w:sz w:val="34"/>
          <w:szCs w:val="34"/>
          <w:rtl/>
        </w:rPr>
        <w:t xml:space="preserve">تقرير </w:t>
      </w:r>
      <w:r w:rsidRPr="0009163D">
        <w:rPr>
          <w:rFonts w:ascii="Arabic Typesetting" w:hAnsi="Arabic Typesetting" w:cs="Arabic Typesetting" w:hint="cs"/>
          <w:noProof/>
          <w:sz w:val="34"/>
          <w:szCs w:val="34"/>
          <w:rtl/>
        </w:rPr>
        <w:t>أ</w:t>
      </w:r>
      <w:r w:rsidRPr="0009163D">
        <w:rPr>
          <w:rFonts w:ascii="Arabic Typesetting" w:hAnsi="Arabic Typesetting" w:cs="Arabic Typesetting"/>
          <w:noProof/>
          <w:sz w:val="34"/>
          <w:szCs w:val="34"/>
          <w:rtl/>
        </w:rPr>
        <w:t>داء البرنامج، ويقدم صورة سنوية للأنشطة الم</w:t>
      </w:r>
      <w:r w:rsidRPr="0009163D">
        <w:rPr>
          <w:rFonts w:ascii="Arabic Typesetting" w:hAnsi="Arabic Typesetting" w:cs="Arabic Typesetting" w:hint="cs"/>
          <w:noProof/>
          <w:sz w:val="34"/>
          <w:szCs w:val="34"/>
          <w:rtl/>
        </w:rPr>
        <w:t>نفذة</w:t>
      </w:r>
      <w:r w:rsidRPr="0009163D">
        <w:rPr>
          <w:rFonts w:ascii="Arabic Typesetting" w:hAnsi="Arabic Typesetting" w:cs="Arabic Typesetting"/>
          <w:noProof/>
          <w:sz w:val="34"/>
          <w:szCs w:val="34"/>
          <w:rtl/>
        </w:rPr>
        <w:t xml:space="preserve"> في عام 2015. وسوف </w:t>
      </w:r>
      <w:r w:rsidRPr="0009163D">
        <w:rPr>
          <w:rFonts w:ascii="Arabic Typesetting" w:hAnsi="Arabic Typesetting" w:cs="Arabic Typesetting" w:hint="cs"/>
          <w:noProof/>
          <w:sz w:val="34"/>
          <w:szCs w:val="34"/>
          <w:rtl/>
        </w:rPr>
        <w:t>يُدرج</w:t>
      </w:r>
      <w:r w:rsidRPr="0009163D">
        <w:rPr>
          <w:rFonts w:ascii="Arabic Typesetting" w:hAnsi="Arabic Typesetting" w:cs="Arabic Typesetting"/>
          <w:noProof/>
          <w:sz w:val="34"/>
          <w:szCs w:val="34"/>
          <w:rtl/>
        </w:rPr>
        <w:t xml:space="preserve"> التقرير السنوي القادم للصناديق الاستئمانية في تقرير أداء البرنامج 2016. ويقدم هذا الملحق معلومات </w:t>
      </w:r>
      <w:r w:rsidRPr="0009163D">
        <w:rPr>
          <w:rFonts w:ascii="Arabic Typesetting" w:hAnsi="Arabic Typesetting" w:cs="Arabic Typesetting" w:hint="cs"/>
          <w:noProof/>
          <w:sz w:val="34"/>
          <w:szCs w:val="34"/>
          <w:rtl/>
        </w:rPr>
        <w:t xml:space="preserve">عن </w:t>
      </w:r>
      <w:r w:rsidRPr="0009163D">
        <w:rPr>
          <w:rFonts w:ascii="Arabic Typesetting" w:hAnsi="Arabic Typesetting" w:cs="Arabic Typesetting"/>
          <w:noProof/>
          <w:sz w:val="34"/>
          <w:szCs w:val="34"/>
          <w:rtl/>
        </w:rPr>
        <w:t xml:space="preserve">الصناديق الاستئمانية الواردة في الجدول </w:t>
      </w:r>
      <w:r w:rsidRPr="0009163D">
        <w:rPr>
          <w:rFonts w:ascii="Arabic Typesetting" w:hAnsi="Arabic Typesetting" w:cs="Arabic Typesetting" w:hint="cs"/>
          <w:noProof/>
          <w:sz w:val="34"/>
          <w:szCs w:val="34"/>
          <w:rtl/>
        </w:rPr>
        <w:t>التالي</w:t>
      </w:r>
      <w:r w:rsidRPr="0009163D">
        <w:rPr>
          <w:rFonts w:ascii="Arabic Typesetting" w:hAnsi="Arabic Typesetting" w:cs="Arabic Typesetting"/>
          <w:noProof/>
          <w:sz w:val="34"/>
          <w:szCs w:val="34"/>
          <w:rtl/>
        </w:rPr>
        <w:t xml:space="preserve"> </w:t>
      </w:r>
      <w:r w:rsidRPr="0009163D">
        <w:rPr>
          <w:rFonts w:ascii="Arabic Typesetting" w:hAnsi="Arabic Typesetting" w:cs="Arabic Typesetting" w:hint="cs"/>
          <w:noProof/>
          <w:sz w:val="34"/>
          <w:szCs w:val="34"/>
          <w:rtl/>
        </w:rPr>
        <w:t>باستثناء</w:t>
      </w:r>
      <w:r w:rsidRPr="0009163D">
        <w:rPr>
          <w:rFonts w:ascii="Arabic Typesetting" w:hAnsi="Arabic Typesetting" w:cs="Arabic Typesetting"/>
          <w:noProof/>
          <w:sz w:val="34"/>
          <w:szCs w:val="34"/>
          <w:rtl/>
        </w:rPr>
        <w:t xml:space="preserve"> الصناديق الاستئمانية </w:t>
      </w:r>
      <w:r w:rsidRPr="0009163D">
        <w:rPr>
          <w:rFonts w:ascii="Arabic Typesetting" w:hAnsi="Arabic Typesetting" w:cs="Arabic Typesetting" w:hint="cs"/>
          <w:noProof/>
          <w:sz w:val="34"/>
          <w:szCs w:val="34"/>
          <w:rtl/>
        </w:rPr>
        <w:t>المخصصة للموظفين المهنيين المبتدئين</w:t>
      </w:r>
      <w:r w:rsidRPr="0009163D">
        <w:rPr>
          <w:rFonts w:ascii="Arabic Typesetting" w:hAnsi="Arabic Typesetting" w:cs="Arabic Typesetting"/>
          <w:noProof/>
          <w:sz w:val="34"/>
          <w:szCs w:val="34"/>
          <w:rtl/>
        </w:rPr>
        <w:t>.</w:t>
      </w:r>
    </w:p>
    <w:tbl>
      <w:tblPr>
        <w:bidiVisual/>
        <w:tblW w:w="928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68"/>
        <w:gridCol w:w="5220"/>
      </w:tblGrid>
      <w:tr w:rsidR="0009163D" w:rsidRPr="0009163D" w:rsidTr="00925848">
        <w:trPr>
          <w:cantSplit/>
          <w:trHeight w:val="293"/>
        </w:trPr>
        <w:tc>
          <w:tcPr>
            <w:tcW w:w="4068" w:type="dxa"/>
            <w:shd w:val="clear" w:color="auto" w:fill="C6D9F1" w:themeFill="text2" w:themeFillTint="33"/>
            <w:tcMar>
              <w:top w:w="57" w:type="dxa"/>
              <w:left w:w="57" w:type="dxa"/>
              <w:bottom w:w="57" w:type="dxa"/>
              <w:right w:w="57" w:type="dxa"/>
            </w:tcMar>
          </w:tcPr>
          <w:p w:rsidR="0009163D" w:rsidRPr="0009163D" w:rsidRDefault="0009163D" w:rsidP="0009163D">
            <w:pPr>
              <w:bidi/>
              <w:spacing w:line="340" w:lineRule="exact"/>
              <w:jc w:val="center"/>
              <w:rPr>
                <w:rFonts w:ascii="Arabic Typesetting" w:hAnsi="Arabic Typesetting" w:cs="Arabic Typesetting"/>
                <w:b/>
                <w:bCs/>
                <w:noProof/>
                <w:sz w:val="34"/>
                <w:szCs w:val="34"/>
                <w:lang w:bidi="ar-EG"/>
              </w:rPr>
            </w:pPr>
            <w:r w:rsidRPr="0009163D">
              <w:rPr>
                <w:rFonts w:ascii="Arabic Typesetting" w:hAnsi="Arabic Typesetting" w:cs="Arabic Typesetting"/>
                <w:b/>
                <w:bCs/>
                <w:noProof/>
                <w:sz w:val="34"/>
                <w:szCs w:val="34"/>
                <w:rtl/>
              </w:rPr>
              <w:t>الصندوق الاستئماني</w:t>
            </w:r>
          </w:p>
        </w:tc>
        <w:tc>
          <w:tcPr>
            <w:tcW w:w="5220" w:type="dxa"/>
            <w:shd w:val="clear" w:color="auto" w:fill="C6D9F1" w:themeFill="text2" w:themeFillTint="33"/>
            <w:tcMar>
              <w:top w:w="57" w:type="dxa"/>
              <w:left w:w="57" w:type="dxa"/>
              <w:bottom w:w="57" w:type="dxa"/>
              <w:right w:w="57" w:type="dxa"/>
            </w:tcMar>
          </w:tcPr>
          <w:p w:rsidR="0009163D" w:rsidRPr="0009163D" w:rsidRDefault="0009163D" w:rsidP="0009163D">
            <w:pPr>
              <w:bidi/>
              <w:spacing w:line="340" w:lineRule="exact"/>
              <w:jc w:val="center"/>
              <w:rPr>
                <w:rFonts w:ascii="Arabic Typesetting" w:hAnsi="Arabic Typesetting" w:cs="Arabic Typesetting"/>
                <w:b/>
                <w:bCs/>
                <w:noProof/>
                <w:sz w:val="34"/>
                <w:szCs w:val="34"/>
              </w:rPr>
            </w:pPr>
            <w:r w:rsidRPr="0009163D">
              <w:rPr>
                <w:rFonts w:ascii="Arabic Typesetting" w:hAnsi="Arabic Typesetting" w:cs="Arabic Typesetting"/>
                <w:b/>
                <w:bCs/>
                <w:noProof/>
                <w:sz w:val="34"/>
                <w:szCs w:val="34"/>
                <w:rtl/>
              </w:rPr>
              <w:t>الجهة المنفذة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hint="cs"/>
                <w:noProof/>
                <w:sz w:val="34"/>
                <w:szCs w:val="34"/>
                <w:rtl/>
              </w:rPr>
              <w:t>أستراليا</w:t>
            </w:r>
          </w:p>
        </w:tc>
        <w:tc>
          <w:tcPr>
            <w:tcW w:w="5220"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مكتب المدير العام</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البرازيل</w:t>
            </w:r>
          </w:p>
        </w:tc>
        <w:tc>
          <w:tcPr>
            <w:tcW w:w="5220"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مكتب المدير العام</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البرازيل</w:t>
            </w:r>
            <w:r w:rsidRPr="0009163D">
              <w:rPr>
                <w:rFonts w:ascii="Arabic Typesetting" w:hAnsi="Arabic Typesetting" w:cs="Arabic Typesetting" w:hint="cs"/>
                <w:noProof/>
                <w:sz w:val="34"/>
                <w:szCs w:val="34"/>
                <w:rtl/>
              </w:rPr>
              <w:t xml:space="preserve"> </w:t>
            </w:r>
            <w:r w:rsidRPr="0009163D">
              <w:rPr>
                <w:rFonts w:ascii="Arabic Typesetting" w:hAnsi="Arabic Typesetting" w:cs="Arabic Typesetting"/>
                <w:noProof/>
                <w:sz w:val="34"/>
                <w:szCs w:val="34"/>
                <w:rtl/>
              </w:rPr>
              <w:t>–</w:t>
            </w:r>
            <w:r w:rsidRPr="0009163D">
              <w:rPr>
                <w:rFonts w:ascii="Arabic Typesetting" w:hAnsi="Arabic Typesetting" w:cs="Arabic Typesetting" w:hint="cs"/>
                <w:noProof/>
                <w:sz w:val="34"/>
                <w:szCs w:val="34"/>
                <w:rtl/>
              </w:rPr>
              <w:t xml:space="preserve"> ال</w:t>
            </w:r>
            <w:r w:rsidRPr="0009163D">
              <w:rPr>
                <w:rFonts w:ascii="Arabic Typesetting" w:hAnsi="Arabic Typesetting" w:cs="Arabic Typesetting"/>
                <w:noProof/>
                <w:sz w:val="34"/>
                <w:szCs w:val="34"/>
                <w:rtl/>
              </w:rPr>
              <w:t>جنوب</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مكتب المدير العام</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hint="cs"/>
                <w:noProof/>
                <w:sz w:val="34"/>
                <w:szCs w:val="34"/>
                <w:rtl/>
              </w:rPr>
              <w:t xml:space="preserve">البرازيل </w:t>
            </w:r>
            <w:r w:rsidRPr="0009163D">
              <w:rPr>
                <w:rFonts w:ascii="Arabic Typesetting" w:hAnsi="Arabic Typesetting" w:cs="Arabic Typesetting"/>
                <w:noProof/>
                <w:sz w:val="34"/>
                <w:szCs w:val="34"/>
                <w:rtl/>
              </w:rPr>
              <w:t>–</w:t>
            </w:r>
            <w:r w:rsidRPr="0009163D">
              <w:rPr>
                <w:rFonts w:ascii="Arabic Typesetting" w:hAnsi="Arabic Typesetting" w:cs="Arabic Typesetting" w:hint="cs"/>
                <w:noProof/>
                <w:sz w:val="34"/>
                <w:szCs w:val="34"/>
                <w:rtl/>
              </w:rPr>
              <w:t xml:space="preserve"> </w:t>
            </w:r>
            <w:r w:rsidRPr="0009163D">
              <w:rPr>
                <w:rFonts w:ascii="Arabic Typesetting" w:hAnsi="Arabic Typesetting" w:cs="Arabic Typesetting"/>
                <w:noProof/>
                <w:sz w:val="34"/>
                <w:szCs w:val="34"/>
                <w:rtl/>
              </w:rPr>
              <w:t>برنامج الأمم المتحدة الإنمائي</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Pr>
        <w:tc>
          <w:tcPr>
            <w:tcW w:w="4068"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الاتحاد الأوروبي/باكستان</w:t>
            </w:r>
          </w:p>
        </w:tc>
        <w:tc>
          <w:tcPr>
            <w:tcW w:w="5220"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الثقافة والصناعات الإبداعية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فنلندا/حق المؤلف</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hint="cs"/>
                <w:noProof/>
                <w:sz w:val="34"/>
                <w:szCs w:val="34"/>
                <w:rtl/>
              </w:rPr>
              <w:t>فرنسا/الملكية الصناعية</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البرنامج الأيبيري- الأمريكي للملكية الصناعية</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إيطاليا</w:t>
            </w:r>
          </w:p>
        </w:tc>
        <w:tc>
          <w:tcPr>
            <w:tcW w:w="5220"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الثقافة والصناعات الإبداعية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اليابان/حق المؤلف</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اليابان/الملكية الصناعية</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hint="cs"/>
                <w:noProof/>
                <w:sz w:val="34"/>
                <w:szCs w:val="34"/>
                <w:rtl/>
              </w:rPr>
              <w:t xml:space="preserve">اليابان/أفريقيا </w:t>
            </w:r>
            <w:r w:rsidRPr="0009163D">
              <w:rPr>
                <w:rFonts w:ascii="Arabic Typesetting" w:hAnsi="Arabic Typesetting" w:cs="Arabic Typesetting"/>
                <w:noProof/>
                <w:sz w:val="34"/>
                <w:szCs w:val="34"/>
                <w:rtl/>
              </w:rPr>
              <w:t>–</w:t>
            </w:r>
            <w:r w:rsidRPr="0009163D">
              <w:rPr>
                <w:rFonts w:ascii="Arabic Typesetting" w:hAnsi="Arabic Typesetting" w:cs="Arabic Typesetting" w:hint="cs"/>
                <w:noProof/>
                <w:sz w:val="34"/>
                <w:szCs w:val="34"/>
                <w:rtl/>
              </w:rPr>
              <w:t xml:space="preserve"> البلدان الأقل نموا</w:t>
            </w:r>
          </w:p>
        </w:tc>
        <w:tc>
          <w:tcPr>
            <w:tcW w:w="5220"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 xml:space="preserve">قطاع </w:t>
            </w:r>
            <w:r w:rsidRPr="0009163D">
              <w:rPr>
                <w:rFonts w:ascii="Arabic Typesetting" w:hAnsi="Arabic Typesetting" w:cs="Arabic Typesetting" w:hint="cs"/>
                <w:noProof/>
                <w:sz w:val="34"/>
                <w:szCs w:val="34"/>
                <w:rtl/>
              </w:rPr>
              <w:t>القضايا</w:t>
            </w:r>
            <w:r w:rsidRPr="0009163D">
              <w:rPr>
                <w:rFonts w:ascii="Arabic Typesetting" w:hAnsi="Arabic Typesetting" w:cs="Arabic Typesetting"/>
                <w:noProof/>
                <w:sz w:val="34"/>
                <w:szCs w:val="34"/>
                <w:rtl/>
              </w:rPr>
              <w:t xml:space="preserve"> العالمية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جمهورية كوريا/إذكاء الاحترام للملكية الفكرية</w:t>
            </w:r>
          </w:p>
        </w:tc>
        <w:tc>
          <w:tcPr>
            <w:tcW w:w="5220"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الثقافة والصناعات الإبداعية</w:t>
            </w:r>
          </w:p>
        </w:tc>
      </w:tr>
      <w:tr w:rsidR="0009163D" w:rsidRPr="0009163D" w:rsidTr="00925848">
        <w:trPr>
          <w:cantSplit/>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جمهورية كوريا/حق المؤلف</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Height w:val="238"/>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جمهورية كوريا/التعليم</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Height w:val="238"/>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جمهورية كوريا/الملكية الفكرية</w:t>
            </w:r>
          </w:p>
        </w:tc>
        <w:tc>
          <w:tcPr>
            <w:tcW w:w="5220"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Height w:val="238"/>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المكسيك</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Height w:val="238"/>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إسبانيا</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r w:rsidR="0009163D" w:rsidRPr="0009163D" w:rsidTr="00925848">
        <w:trPr>
          <w:cantSplit/>
          <w:trHeight w:val="238"/>
        </w:trPr>
        <w:tc>
          <w:tcPr>
            <w:tcW w:w="4068" w:type="dxa"/>
            <w:tcMar>
              <w:top w:w="57" w:type="dxa"/>
              <w:left w:w="57" w:type="dxa"/>
              <w:bottom w:w="57" w:type="dxa"/>
              <w:right w:w="57" w:type="dxa"/>
            </w:tcMa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أوروغواي</w:t>
            </w:r>
          </w:p>
        </w:tc>
        <w:tc>
          <w:tcPr>
            <w:tcW w:w="5220" w:type="dxa"/>
            <w:tcMar>
              <w:top w:w="57" w:type="dxa"/>
              <w:left w:w="57" w:type="dxa"/>
              <w:bottom w:w="57" w:type="dxa"/>
              <w:right w:w="57" w:type="dxa"/>
            </w:tcMar>
            <w:vAlign w:val="center"/>
          </w:tcPr>
          <w:p w:rsidR="0009163D" w:rsidRPr="0009163D" w:rsidRDefault="0009163D" w:rsidP="0009163D">
            <w:pPr>
              <w:bidi/>
              <w:spacing w:line="340" w:lineRule="exact"/>
              <w:jc w:val="both"/>
              <w:rPr>
                <w:rFonts w:ascii="Arabic Typesetting" w:hAnsi="Arabic Typesetting" w:cs="Arabic Typesetting"/>
                <w:noProof/>
                <w:sz w:val="34"/>
                <w:szCs w:val="34"/>
              </w:rPr>
            </w:pPr>
            <w:r w:rsidRPr="0009163D">
              <w:rPr>
                <w:rFonts w:ascii="Arabic Typesetting" w:hAnsi="Arabic Typesetting" w:cs="Arabic Typesetting"/>
                <w:noProof/>
                <w:sz w:val="34"/>
                <w:szCs w:val="34"/>
                <w:rtl/>
              </w:rPr>
              <w:t>قطاع التنمية</w:t>
            </w:r>
          </w:p>
        </w:tc>
      </w:tr>
    </w:tbl>
    <w:p w:rsidR="0009163D" w:rsidRPr="0009163D" w:rsidRDefault="0009163D" w:rsidP="0009163D">
      <w:pPr>
        <w:keepNext/>
        <w:bidi/>
        <w:spacing w:after="240" w:line="280" w:lineRule="exact"/>
        <w:rPr>
          <w:rFonts w:ascii="Arabic Typesetting" w:hAnsi="Arabic Typesetting" w:cs="Arabic Typesetting"/>
          <w:bCs/>
          <w:sz w:val="34"/>
          <w:szCs w:val="34"/>
          <w:rtl/>
        </w:rPr>
      </w:pPr>
      <w:r w:rsidRPr="0009163D">
        <w:rPr>
          <w:rFonts w:ascii="Arabic Typesetting" w:hAnsi="Arabic Typesetting" w:cs="Arabic Typesetting" w:hint="cs"/>
          <w:bCs/>
          <w:sz w:val="34"/>
          <w:szCs w:val="34"/>
          <w:rtl/>
        </w:rPr>
        <w:lastRenderedPageBreak/>
        <w:t>أستراليا</w:t>
      </w:r>
    </w:p>
    <w:tbl>
      <w:tblPr>
        <w:bidiVisual/>
        <w:tblW w:w="9356"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984"/>
        <w:gridCol w:w="993"/>
        <w:gridCol w:w="283"/>
        <w:gridCol w:w="1276"/>
        <w:gridCol w:w="284"/>
        <w:gridCol w:w="283"/>
        <w:gridCol w:w="4253"/>
      </w:tblGrid>
      <w:tr w:rsidR="0009163D" w:rsidRPr="0009163D" w:rsidTr="00925848">
        <w:trPr>
          <w:cantSplit/>
        </w:trPr>
        <w:tc>
          <w:tcPr>
            <w:tcW w:w="9356" w:type="dxa"/>
            <w:gridSpan w:val="7"/>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lang w:bidi="ar-EG"/>
              </w:rPr>
            </w:pPr>
            <w:r w:rsidRPr="0009163D">
              <w:rPr>
                <w:rFonts w:ascii="Arabic Typesetting" w:hAnsi="Arabic Typesetting" w:cs="Arabic Typesetting"/>
                <w:b/>
                <w:bCs/>
                <w:color w:val="000000"/>
                <w:sz w:val="30"/>
                <w:szCs w:val="30"/>
                <w:rtl/>
                <w:lang w:bidi="ar-EG"/>
              </w:rPr>
              <w:t>النتيجة:</w:t>
            </w:r>
            <w:r w:rsidRPr="0009163D">
              <w:rPr>
                <w:rFonts w:ascii="Arabic Typesetting" w:hAnsi="Arabic Typesetting" w:cs="Arabic Typesetting"/>
                <w:color w:val="000000"/>
                <w:sz w:val="30"/>
                <w:szCs w:val="30"/>
                <w:rtl/>
                <w:lang w:bidi="ar-EG"/>
              </w:rPr>
              <w:tab/>
              <w:t>ه</w:t>
            </w:r>
            <w:r w:rsidRPr="0009163D">
              <w:rPr>
                <w:rFonts w:ascii="Arabic Typesetting" w:hAnsi="Arabic Typesetting" w:cs="Arabic Typesetting" w:hint="cs"/>
                <w:color w:val="000000"/>
                <w:sz w:val="30"/>
                <w:szCs w:val="30"/>
                <w:rtl/>
                <w:lang w:bidi="ar-EG"/>
              </w:rPr>
              <w:t>1.2</w:t>
            </w:r>
            <w:r w:rsidRPr="0009163D">
              <w:rPr>
                <w:rFonts w:ascii="Arabic Typesetting" w:hAnsi="Arabic Typesetting" w:cs="Arabic Typesetting"/>
                <w:color w:val="000000"/>
                <w:sz w:val="30"/>
                <w:szCs w:val="30"/>
                <w:rtl/>
                <w:lang w:bidi="ar-EG"/>
              </w:rPr>
              <w:t xml:space="preserve"> انتفاع متزايد بنظام معاهدة التعاون بشأن البراءات كسبيل للإيداع الدولي لطلبات البراءات</w:t>
            </w:r>
          </w:p>
        </w:tc>
      </w:tr>
      <w:tr w:rsidR="0009163D" w:rsidRPr="0009163D" w:rsidTr="00925848">
        <w:trPr>
          <w:cantSplit/>
        </w:trPr>
        <w:tc>
          <w:tcPr>
            <w:tcW w:w="1984"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lang w:bidi="ar-EG"/>
              </w:rPr>
            </w:pPr>
            <w:r w:rsidRPr="0009163D">
              <w:rPr>
                <w:rFonts w:ascii="Arabic Typesetting" w:hAnsi="Arabic Typesetting" w:cs="Arabic Typesetting"/>
                <w:b/>
                <w:bCs/>
                <w:sz w:val="30"/>
                <w:szCs w:val="30"/>
                <w:rtl/>
              </w:rPr>
              <w:t>النشاط</w:t>
            </w:r>
          </w:p>
        </w:tc>
        <w:tc>
          <w:tcPr>
            <w:tcW w:w="1276" w:type="dxa"/>
            <w:gridSpan w:val="2"/>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843" w:type="dxa"/>
            <w:gridSpan w:val="3"/>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253"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w:t>
            </w:r>
            <w:r w:rsidRPr="0009163D">
              <w:rPr>
                <w:rFonts w:ascii="Arabic Typesetting" w:hAnsi="Arabic Typesetting" w:cs="Arabic Typesetting" w:hint="cs"/>
                <w:b/>
                <w:bCs/>
                <w:sz w:val="30"/>
                <w:szCs w:val="30"/>
                <w:rtl/>
              </w:rPr>
              <w:t>/</w:t>
            </w:r>
            <w:r w:rsidRPr="0009163D">
              <w:rPr>
                <w:rFonts w:ascii="Arabic Typesetting" w:hAnsi="Arabic Typesetting" w:cs="Arabic Typesetting"/>
                <w:b/>
                <w:bCs/>
                <w:sz w:val="30"/>
                <w:szCs w:val="30"/>
                <w:rtl/>
              </w:rPr>
              <w:t>الوصف</w:t>
            </w:r>
          </w:p>
        </w:tc>
      </w:tr>
      <w:tr w:rsidR="0009163D" w:rsidRPr="0009163D" w:rsidTr="00925848">
        <w:trPr>
          <w:cantSplit/>
          <w:trHeight w:val="49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ندوات معاهدة التعاون بشأن البراءات المتنقلة للجامعات</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25 إلى 26 مارس 2015</w:t>
            </w:r>
          </w:p>
        </w:tc>
        <w:tc>
          <w:tcPr>
            <w:tcW w:w="1843"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جنوب أفريقيا/52 مشاركا</w:t>
            </w:r>
            <w:r w:rsidRPr="0009163D">
              <w:rPr>
                <w:rFonts w:ascii="Arabic Typesetting" w:hAnsi="Arabic Typesetting" w:cs="Arabic Typesetting" w:hint="cs"/>
                <w:color w:val="000000"/>
                <w:sz w:val="30"/>
                <w:szCs w:val="30"/>
                <w:rtl/>
              </w:rPr>
              <w:t>ً</w:t>
            </w:r>
          </w:p>
        </w:tc>
        <w:tc>
          <w:tcPr>
            <w:tcW w:w="425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قدمت الندوات للمشاركين معلومات عن كيفية الاستفادة من معاهدة التعاون بشأن البراءات ونظام البراءات العالمي بوجه عام في نقل المعارف مع ذكر أمثلة واقعية.</w:t>
            </w:r>
          </w:p>
        </w:tc>
      </w:tr>
      <w:tr w:rsidR="0009163D" w:rsidRPr="0009163D" w:rsidTr="00925848">
        <w:trPr>
          <w:cantSplit/>
          <w:trHeight w:val="530"/>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تدريب حول معاهدة التعاون بشأن البراءات لبلدان رابطة </w:t>
            </w:r>
            <w:r w:rsidRPr="0009163D">
              <w:rPr>
                <w:rFonts w:ascii="Arabic Typesetting" w:hAnsi="Arabic Typesetting" w:cs="Arabic Typesetting" w:hint="cs"/>
                <w:color w:val="000000"/>
                <w:sz w:val="30"/>
                <w:szCs w:val="30"/>
                <w:rtl/>
              </w:rPr>
              <w:t>أمم</w:t>
            </w:r>
            <w:r w:rsidRPr="0009163D">
              <w:rPr>
                <w:rFonts w:ascii="Arabic Typesetting" w:hAnsi="Arabic Typesetting" w:cs="Arabic Typesetting"/>
                <w:color w:val="000000"/>
                <w:sz w:val="30"/>
                <w:szCs w:val="30"/>
                <w:rtl/>
              </w:rPr>
              <w:t xml:space="preserve"> جنوب شرق</w:t>
            </w:r>
            <w:r w:rsidRPr="0009163D">
              <w:rPr>
                <w:rFonts w:ascii="Arabic Typesetting" w:hAnsi="Arabic Typesetting" w:cs="Arabic Typesetting" w:hint="cs"/>
                <w:color w:val="000000"/>
                <w:sz w:val="30"/>
                <w:szCs w:val="30"/>
                <w:rtl/>
              </w:rPr>
              <w:t>ي</w:t>
            </w:r>
            <w:r w:rsidRPr="0009163D">
              <w:rPr>
                <w:rFonts w:ascii="Arabic Typesetting" w:hAnsi="Arabic Typesetting" w:cs="Arabic Typesetting"/>
                <w:color w:val="000000"/>
                <w:sz w:val="30"/>
                <w:szCs w:val="30"/>
                <w:rtl/>
              </w:rPr>
              <w:t xml:space="preserve"> آسيا</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24 إلى 25 مارس 2015</w:t>
            </w:r>
          </w:p>
        </w:tc>
        <w:tc>
          <w:tcPr>
            <w:tcW w:w="1843"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سنغافورة/18 مشاركا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من بروني دار السلام وكمبوديا وإندونيسيا وجمهورية لاو الديمقراطية الشعبية وماليزيا وميانمار والفلبين وتايلند </w:t>
            </w:r>
            <w:proofErr w:type="spellStart"/>
            <w:r w:rsidRPr="0009163D">
              <w:rPr>
                <w:rFonts w:ascii="Arabic Typesetting" w:hAnsi="Arabic Typesetting" w:cs="Arabic Typesetting"/>
                <w:color w:val="000000"/>
                <w:sz w:val="30"/>
                <w:szCs w:val="30"/>
                <w:rtl/>
              </w:rPr>
              <w:t>وفييت</w:t>
            </w:r>
            <w:proofErr w:type="spellEnd"/>
            <w:r w:rsidRPr="0009163D">
              <w:rPr>
                <w:rFonts w:ascii="Arabic Typesetting" w:hAnsi="Arabic Typesetting" w:cs="Arabic Typesetting"/>
                <w:color w:val="000000"/>
                <w:sz w:val="30"/>
                <w:szCs w:val="30"/>
              </w:rPr>
              <w:t> </w:t>
            </w:r>
            <w:r w:rsidRPr="0009163D">
              <w:rPr>
                <w:rFonts w:ascii="Arabic Typesetting" w:hAnsi="Arabic Typesetting" w:cs="Arabic Typesetting"/>
                <w:color w:val="000000"/>
                <w:sz w:val="30"/>
                <w:szCs w:val="30"/>
                <w:rtl/>
              </w:rPr>
              <w:t>نام</w:t>
            </w:r>
          </w:p>
        </w:tc>
        <w:tc>
          <w:tcPr>
            <w:tcW w:w="425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قدم التدريب الوظائف والإجراءات الأساسية لمعاهدة التعاون بشأن البراءات والخدمات الشبكية للمعاهدة التي ستطبقها هذه المكاتب. كما قدم فرصة ثمينة للمشاركين كي </w:t>
            </w:r>
            <w:proofErr w:type="spellStart"/>
            <w:r w:rsidRPr="0009163D">
              <w:rPr>
                <w:rFonts w:ascii="Arabic Typesetting" w:hAnsi="Arabic Typesetting" w:cs="Arabic Typesetting"/>
                <w:color w:val="000000"/>
                <w:sz w:val="30"/>
                <w:szCs w:val="30"/>
                <w:rtl/>
              </w:rPr>
              <w:t>يتبادلوا</w:t>
            </w:r>
            <w:proofErr w:type="spellEnd"/>
            <w:r w:rsidRPr="0009163D">
              <w:rPr>
                <w:rFonts w:ascii="Arabic Typesetting" w:hAnsi="Arabic Typesetting" w:cs="Arabic Typesetting"/>
                <w:color w:val="000000"/>
                <w:sz w:val="30"/>
                <w:szCs w:val="30"/>
                <w:rtl/>
              </w:rPr>
              <w:t xml:space="preserve"> الخبرات. وقد</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جاءت حلقة العمل دون الإقليمية في الوقت المناسب أيضا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لتعلم بعض الجوانب الحديثة فيما يتعلق بمعاهدة التعاون بشأن البراءات خاصة الخدمات الشبكية للمعاهدة.</w:t>
            </w:r>
          </w:p>
        </w:tc>
      </w:tr>
      <w:tr w:rsidR="0009163D" w:rsidRPr="0009163D" w:rsidTr="00925848">
        <w:trPr>
          <w:cantSplit/>
        </w:trPr>
        <w:tc>
          <w:tcPr>
            <w:tcW w:w="9356" w:type="dxa"/>
            <w:gridSpan w:val="7"/>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4" w:hanging="1134"/>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sz w:val="28"/>
                <w:szCs w:val="28"/>
                <w:rtl/>
                <w:lang w:bidi="ar-EG"/>
              </w:rPr>
              <w:t xml:space="preserve">1.3 </w:t>
            </w:r>
            <w:r w:rsidRPr="0009163D">
              <w:rPr>
                <w:rFonts w:ascii="Arabic Typesetting" w:hAnsi="Arabic Typesetting" w:cs="Arabic Typesetting"/>
                <w:sz w:val="28"/>
                <w:szCs w:val="28"/>
                <w:rtl/>
                <w:lang w:bidi="ar-EG"/>
              </w:rPr>
              <w:t>استراتيجيات وخطط وطنية بشأن الملكية الفكرية والابتكار تتماشى مع الأهداف الإنمائية الوطنية</w:t>
            </w:r>
          </w:p>
        </w:tc>
      </w:tr>
      <w:tr w:rsidR="0009163D" w:rsidRPr="0009163D" w:rsidTr="00925848">
        <w:trPr>
          <w:cantSplit/>
        </w:trPr>
        <w:tc>
          <w:tcPr>
            <w:tcW w:w="1984"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276" w:type="dxa"/>
            <w:gridSpan w:val="2"/>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843" w:type="dxa"/>
            <w:gridSpan w:val="3"/>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253"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520"/>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تشاور وطني حول مشروع استراتيجية وطنية للملكية الفكرية</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9 إلى 10 أبريل 2015</w:t>
            </w:r>
          </w:p>
        </w:tc>
        <w:tc>
          <w:tcPr>
            <w:tcW w:w="1843"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جزر كوك</w:t>
            </w:r>
          </w:p>
        </w:tc>
        <w:tc>
          <w:tcPr>
            <w:tcW w:w="425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الاجتماع بأصحاب المصلحة الرئيسيين لتقديم مشروع الاستراتيجية الوطنية للملكية الفكرية ومناقشة تفاصيلها. وعقب المناقشات، قدِّمت استراتيجية معدلة بشأن الملكية الفكرية إلى الحكومة كي توافق عليها.</w:t>
            </w:r>
          </w:p>
        </w:tc>
      </w:tr>
      <w:tr w:rsidR="0009163D" w:rsidRPr="0009163D" w:rsidTr="00925848">
        <w:trPr>
          <w:cantSplit/>
          <w:trHeight w:val="520"/>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تشاور وطني حول مشروع استراتيجية وطنية للملكية الفكرية</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14 إلى 16 أبريل 2015</w:t>
            </w:r>
          </w:p>
        </w:tc>
        <w:tc>
          <w:tcPr>
            <w:tcW w:w="1843"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جزر سليمان</w:t>
            </w:r>
          </w:p>
        </w:tc>
        <w:tc>
          <w:tcPr>
            <w:tcW w:w="425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إجراء مشاورات وجها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إلى وجه مع أصحاب المصلحة الوطنيين حول المشروع الحالي لاستراتيجية الملكية الفكرية وإدخال التعديلات الأخيرة قبل تقديم المشروع المعدل إلى الحكومة </w:t>
            </w:r>
            <w:r w:rsidRPr="0009163D">
              <w:rPr>
                <w:rFonts w:ascii="Arabic Typesetting" w:hAnsi="Arabic Typesetting" w:cs="Arabic Typesetting" w:hint="cs"/>
                <w:color w:val="000000"/>
                <w:sz w:val="30"/>
                <w:szCs w:val="30"/>
                <w:rtl/>
              </w:rPr>
              <w:t>للتصديق عليه</w:t>
            </w:r>
            <w:r w:rsidRPr="0009163D">
              <w:rPr>
                <w:rFonts w:ascii="Arabic Typesetting" w:hAnsi="Arabic Typesetting" w:cs="Arabic Typesetting"/>
                <w:color w:val="000000"/>
                <w:sz w:val="30"/>
                <w:szCs w:val="30"/>
                <w:rtl/>
              </w:rPr>
              <w:t>.</w:t>
            </w:r>
          </w:p>
        </w:tc>
      </w:tr>
      <w:tr w:rsidR="0009163D" w:rsidRPr="0009163D" w:rsidTr="00925848">
        <w:trPr>
          <w:cantSplit/>
          <w:trHeight w:val="520"/>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عمل تشاورية وطنية بشأن وضع استراتيجية وطنية للملكية الفكرية</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13 فبراير 2015</w:t>
            </w:r>
          </w:p>
        </w:tc>
        <w:tc>
          <w:tcPr>
            <w:tcW w:w="1843"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ميانمار</w:t>
            </w:r>
          </w:p>
        </w:tc>
        <w:tc>
          <w:tcPr>
            <w:tcW w:w="425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تعزيز المعارف بشأن المنهجية والعملية </w:t>
            </w:r>
            <w:r w:rsidRPr="0009163D">
              <w:rPr>
                <w:rFonts w:ascii="Arabic Typesetting" w:hAnsi="Arabic Typesetting" w:cs="Arabic Typesetting" w:hint="cs"/>
                <w:color w:val="000000"/>
                <w:sz w:val="30"/>
                <w:szCs w:val="30"/>
                <w:rtl/>
              </w:rPr>
              <w:t>الخاصتين</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بصياغة</w:t>
            </w:r>
            <w:r w:rsidRPr="0009163D">
              <w:rPr>
                <w:rFonts w:ascii="Arabic Typesetting" w:hAnsi="Arabic Typesetting" w:cs="Arabic Typesetting"/>
                <w:color w:val="000000"/>
                <w:sz w:val="30"/>
                <w:szCs w:val="30"/>
                <w:rtl/>
              </w:rPr>
              <w:t xml:space="preserve"> استراتيجية وطنية للملكية الفكرية وتنفيذها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ومناقشة </w:t>
            </w:r>
            <w:r w:rsidRPr="0009163D">
              <w:rPr>
                <w:rFonts w:ascii="Arabic Typesetting" w:hAnsi="Arabic Typesetting" w:cs="Arabic Typesetting" w:hint="cs"/>
                <w:color w:val="000000"/>
                <w:sz w:val="30"/>
                <w:szCs w:val="30"/>
                <w:rtl/>
              </w:rPr>
              <w:t>المسائل المتعلقة</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ب</w:t>
            </w:r>
            <w:r w:rsidRPr="0009163D">
              <w:rPr>
                <w:rFonts w:ascii="Arabic Typesetting" w:hAnsi="Arabic Typesetting" w:cs="Arabic Typesetting"/>
                <w:color w:val="000000"/>
                <w:sz w:val="30"/>
                <w:szCs w:val="30"/>
                <w:rtl/>
              </w:rPr>
              <w:t>السياسات التي ست</w:t>
            </w:r>
            <w:r w:rsidRPr="0009163D">
              <w:rPr>
                <w:rFonts w:ascii="Arabic Typesetting" w:hAnsi="Arabic Typesetting" w:cs="Arabic Typesetting" w:hint="cs"/>
                <w:color w:val="000000"/>
                <w:sz w:val="30"/>
                <w:szCs w:val="30"/>
                <w:rtl/>
              </w:rPr>
              <w:t>تناولها</w:t>
            </w:r>
            <w:r w:rsidRPr="0009163D">
              <w:rPr>
                <w:rFonts w:ascii="Arabic Typesetting" w:hAnsi="Arabic Typesetting" w:cs="Arabic Typesetting"/>
                <w:color w:val="000000"/>
                <w:sz w:val="30"/>
                <w:szCs w:val="30"/>
                <w:rtl/>
              </w:rPr>
              <w:t xml:space="preserve"> هذه الاستراتيجية و</w:t>
            </w:r>
            <w:r w:rsidRPr="0009163D">
              <w:rPr>
                <w:rFonts w:ascii="Arabic Typesetting" w:hAnsi="Arabic Typesetting" w:cs="Arabic Typesetting" w:hint="cs"/>
                <w:color w:val="000000"/>
                <w:sz w:val="30"/>
                <w:szCs w:val="30"/>
                <w:rtl/>
              </w:rPr>
              <w:t>ما سيُدرج فيها من عناصر،</w:t>
            </w:r>
            <w:r w:rsidRPr="0009163D">
              <w:rPr>
                <w:rFonts w:ascii="Arabic Typesetting" w:hAnsi="Arabic Typesetting" w:cs="Arabic Typesetting"/>
                <w:color w:val="000000"/>
                <w:sz w:val="30"/>
                <w:szCs w:val="30"/>
                <w:rtl/>
              </w:rPr>
              <w:t xml:space="preserve"> مع مراعاة الأهداف والغايات الإنمائية القائمة </w:t>
            </w:r>
            <w:r w:rsidRPr="0009163D">
              <w:rPr>
                <w:rFonts w:ascii="Arabic Typesetting" w:hAnsi="Arabic Typesetting" w:cs="Arabic Typesetting" w:hint="cs"/>
                <w:color w:val="000000"/>
                <w:sz w:val="30"/>
                <w:szCs w:val="30"/>
                <w:rtl/>
              </w:rPr>
              <w:t>على الصعيد الوطني</w:t>
            </w:r>
            <w:r w:rsidRPr="0009163D">
              <w:rPr>
                <w:rFonts w:ascii="Arabic Typesetting" w:hAnsi="Arabic Typesetting" w:cs="Arabic Typesetting"/>
                <w:color w:val="000000"/>
                <w:sz w:val="30"/>
                <w:szCs w:val="30"/>
                <w:rtl/>
              </w:rPr>
              <w:t>. وقد مهدت حلقة العمل التشاورية الوطنية الطريق لعملية الصياغة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واضطلع </w:t>
            </w:r>
            <w:r w:rsidRPr="0009163D">
              <w:rPr>
                <w:rFonts w:ascii="Arabic Typesetting" w:hAnsi="Arabic Typesetting" w:cs="Arabic Typesetting" w:hint="cs"/>
                <w:color w:val="000000"/>
                <w:sz w:val="30"/>
                <w:szCs w:val="30"/>
                <w:rtl/>
              </w:rPr>
              <w:t>الفريق المعني</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ب</w:t>
            </w:r>
            <w:r w:rsidRPr="0009163D">
              <w:rPr>
                <w:rFonts w:ascii="Arabic Typesetting" w:hAnsi="Arabic Typesetting" w:cs="Arabic Typesetting"/>
                <w:color w:val="000000"/>
                <w:sz w:val="30"/>
                <w:szCs w:val="30"/>
                <w:rtl/>
              </w:rPr>
              <w:t>المشروع والذي تألف من خبيرين دوليين وخبير وطني ببحث مكتبي شامل</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وأجرى دراسة استقصائية أساسية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وأعد تقريرا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عن</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ال</w:t>
            </w:r>
            <w:r w:rsidRPr="0009163D">
              <w:rPr>
                <w:rFonts w:ascii="Arabic Typesetting" w:hAnsi="Arabic Typesetting" w:cs="Arabic Typesetting"/>
                <w:color w:val="000000"/>
                <w:sz w:val="30"/>
                <w:szCs w:val="30"/>
                <w:rtl/>
              </w:rPr>
              <w:t xml:space="preserve">نتائج </w:t>
            </w:r>
            <w:r w:rsidRPr="0009163D">
              <w:rPr>
                <w:rFonts w:ascii="Arabic Typesetting" w:hAnsi="Arabic Typesetting" w:cs="Arabic Typesetting" w:hint="cs"/>
                <w:color w:val="000000"/>
                <w:sz w:val="30"/>
                <w:szCs w:val="30"/>
                <w:rtl/>
              </w:rPr>
              <w:t>ال</w:t>
            </w:r>
            <w:r w:rsidRPr="0009163D">
              <w:rPr>
                <w:rFonts w:ascii="Arabic Typesetting" w:hAnsi="Arabic Typesetting" w:cs="Arabic Typesetting"/>
                <w:color w:val="000000"/>
                <w:sz w:val="30"/>
                <w:szCs w:val="30"/>
                <w:rtl/>
              </w:rPr>
              <w:t xml:space="preserve">أولية </w:t>
            </w:r>
            <w:r w:rsidRPr="0009163D">
              <w:rPr>
                <w:rFonts w:ascii="Arabic Typesetting" w:hAnsi="Arabic Typesetting" w:cs="Arabic Typesetting" w:hint="cs"/>
                <w:color w:val="000000"/>
                <w:sz w:val="30"/>
                <w:szCs w:val="30"/>
                <w:rtl/>
              </w:rPr>
              <w:t>استُخدم</w:t>
            </w:r>
            <w:r w:rsidRPr="0009163D">
              <w:rPr>
                <w:rFonts w:ascii="Arabic Typesetting" w:hAnsi="Arabic Typesetting" w:cs="Arabic Typesetting"/>
                <w:color w:val="000000"/>
                <w:sz w:val="30"/>
                <w:szCs w:val="30"/>
                <w:rtl/>
              </w:rPr>
              <w:t xml:space="preserve"> أساسا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لعقد المزيد من</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 xml:space="preserve">المشاورات </w:t>
            </w:r>
            <w:r w:rsidRPr="0009163D">
              <w:rPr>
                <w:rFonts w:ascii="Arabic Typesetting" w:hAnsi="Arabic Typesetting" w:cs="Arabic Typesetting"/>
                <w:color w:val="000000"/>
                <w:sz w:val="30"/>
                <w:szCs w:val="30"/>
                <w:rtl/>
              </w:rPr>
              <w:t>على الصعيد الوطني.</w:t>
            </w:r>
          </w:p>
        </w:tc>
      </w:tr>
      <w:tr w:rsidR="0009163D" w:rsidRPr="0009163D" w:rsidTr="00925848">
        <w:trPr>
          <w:cantSplit/>
          <w:trHeight w:val="315"/>
        </w:trPr>
        <w:tc>
          <w:tcPr>
            <w:tcW w:w="9356" w:type="dxa"/>
            <w:gridSpan w:val="7"/>
            <w:tcBorders>
              <w:top w:val="single" w:sz="4" w:space="0" w:color="000000"/>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color w:val="000000"/>
                <w:sz w:val="30"/>
                <w:szCs w:val="30"/>
              </w:rPr>
            </w:pPr>
            <w:r w:rsidRPr="0009163D">
              <w:rPr>
                <w:rFonts w:ascii="Arabic Typesetting" w:hAnsi="Arabic Typesetting" w:cs="Arabic Typesetting"/>
                <w:b/>
                <w:bCs/>
                <w:color w:val="000000"/>
                <w:sz w:val="30"/>
                <w:szCs w:val="30"/>
                <w:rtl/>
              </w:rPr>
              <w:lastRenderedPageBreak/>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Height w:val="405"/>
        </w:trPr>
        <w:tc>
          <w:tcPr>
            <w:tcW w:w="1984"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276" w:type="dxa"/>
            <w:gridSpan w:val="2"/>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التاريخ</w:t>
            </w:r>
          </w:p>
        </w:tc>
        <w:tc>
          <w:tcPr>
            <w:tcW w:w="1560" w:type="dxa"/>
            <w:gridSpan w:val="2"/>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الدولة المضيفة/المستفيدون</w:t>
            </w:r>
          </w:p>
        </w:tc>
        <w:tc>
          <w:tcPr>
            <w:tcW w:w="4536" w:type="dxa"/>
            <w:gridSpan w:val="2"/>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984"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حلقة العمل الوطنية الويبو/الصناديق </w:t>
            </w:r>
            <w:proofErr w:type="spellStart"/>
            <w:r w:rsidRPr="0009163D">
              <w:rPr>
                <w:rFonts w:ascii="Arabic Typesetting" w:hAnsi="Arabic Typesetting" w:cs="Arabic Typesetting"/>
                <w:color w:val="000000"/>
                <w:sz w:val="30"/>
                <w:szCs w:val="30"/>
                <w:rtl/>
              </w:rPr>
              <w:t>الاستئمانية</w:t>
            </w:r>
            <w:proofErr w:type="spellEnd"/>
            <w:r w:rsidRPr="0009163D">
              <w:rPr>
                <w:rFonts w:ascii="Arabic Typesetting" w:hAnsi="Arabic Typesetting" w:cs="Arabic Typesetting"/>
                <w:color w:val="000000"/>
                <w:sz w:val="30"/>
                <w:szCs w:val="30"/>
                <w:rtl/>
              </w:rPr>
              <w:t xml:space="preserve"> في أستراليا حول صياغة البراءات واستخدام نظام البراءات</w:t>
            </w:r>
          </w:p>
        </w:tc>
        <w:tc>
          <w:tcPr>
            <w:tcW w:w="1276" w:type="dxa"/>
            <w:gridSpan w:val="2"/>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26 إلى 29 مايو 2015</w:t>
            </w:r>
          </w:p>
        </w:tc>
        <w:tc>
          <w:tcPr>
            <w:tcW w:w="1560" w:type="dxa"/>
            <w:gridSpan w:val="2"/>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إندونيسيا</w:t>
            </w:r>
          </w:p>
        </w:tc>
        <w:tc>
          <w:tcPr>
            <w:tcW w:w="4536" w:type="dxa"/>
            <w:gridSpan w:val="2"/>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عند الانتهاء من هذا التدريب، كان المهنيون قد اكتسبوا ما يلي: فهم أفضل لاستخدام نظام البراءات كجزء من استراتيجية الاستغلال التجاري للملكية الفكرية؛ ومهارات للتمكن من دعم محامي البراءات في صياغة مطالب البراءات فيما يخص تكنولوجيات محددة؛ وفهم معزز لمزايا مسار الإيداع عبر معاهدة التعاون بشأن البراءات.</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برنامج </w:t>
            </w:r>
            <w:r w:rsidRPr="0009163D">
              <w:rPr>
                <w:rFonts w:ascii="Arabic Typesetting" w:hAnsi="Arabic Typesetting" w:cs="Arabic Typesetting" w:hint="cs"/>
                <w:color w:val="000000"/>
                <w:sz w:val="30"/>
                <w:szCs w:val="30"/>
                <w:rtl/>
              </w:rPr>
              <w:t>ال</w:t>
            </w:r>
            <w:r w:rsidRPr="0009163D">
              <w:rPr>
                <w:rFonts w:ascii="Arabic Typesetting" w:hAnsi="Arabic Typesetting" w:cs="Arabic Typesetting"/>
                <w:color w:val="000000"/>
                <w:sz w:val="30"/>
                <w:szCs w:val="30"/>
                <w:rtl/>
              </w:rPr>
              <w:t xml:space="preserve">ويبو/الصناديق </w:t>
            </w:r>
            <w:proofErr w:type="spellStart"/>
            <w:r w:rsidRPr="0009163D">
              <w:rPr>
                <w:rFonts w:ascii="Arabic Typesetting" w:hAnsi="Arabic Typesetting" w:cs="Arabic Typesetting"/>
                <w:color w:val="000000"/>
                <w:sz w:val="30"/>
                <w:szCs w:val="30"/>
                <w:rtl/>
              </w:rPr>
              <w:t>الاستئمانية</w:t>
            </w:r>
            <w:proofErr w:type="spellEnd"/>
            <w:r w:rsidRPr="0009163D">
              <w:rPr>
                <w:rFonts w:ascii="Arabic Typesetting" w:hAnsi="Arabic Typesetting" w:cs="Arabic Typesetting"/>
                <w:color w:val="000000"/>
                <w:sz w:val="30"/>
                <w:szCs w:val="30"/>
                <w:rtl/>
              </w:rPr>
              <w:t xml:space="preserve"> في أستراليا للتدريب حول الترخيص المتقدم الناجح للتكنولوجيا</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9 إلى 12 يونيو 2015</w:t>
            </w:r>
          </w:p>
        </w:tc>
        <w:tc>
          <w:tcPr>
            <w:tcW w:w="1560"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إندونيسيا</w:t>
            </w:r>
          </w:p>
        </w:tc>
        <w:tc>
          <w:tcPr>
            <w:tcW w:w="453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صقل المشاركون معارفهم حول ترخيص الملكية الفكرية لكي يتمكنوا من الإسهام على نحو مؤثر في مفاوضات الترخيص ولكي يتمكنوا من وضع مشاريع أولية لاتفاقات الترخيص.</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برنامج الويبو/صند</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ق </w:t>
            </w:r>
            <w:r w:rsidRPr="0009163D">
              <w:rPr>
                <w:rFonts w:ascii="Arabic Typesetting" w:hAnsi="Arabic Typesetting" w:cs="Arabic Typesetting" w:hint="cs"/>
                <w:color w:val="000000"/>
                <w:sz w:val="30"/>
                <w:szCs w:val="30"/>
                <w:rtl/>
              </w:rPr>
              <w:t xml:space="preserve">أستراليا </w:t>
            </w:r>
            <w:proofErr w:type="spellStart"/>
            <w:r w:rsidRPr="0009163D">
              <w:rPr>
                <w:rFonts w:ascii="Arabic Typesetting" w:hAnsi="Arabic Typesetting" w:cs="Arabic Typesetting"/>
                <w:color w:val="000000"/>
                <w:sz w:val="30"/>
                <w:szCs w:val="30"/>
                <w:rtl/>
              </w:rPr>
              <w:t>الاستئماني</w:t>
            </w:r>
            <w:proofErr w:type="spellEnd"/>
            <w:r w:rsidRPr="0009163D">
              <w:rPr>
                <w:rFonts w:ascii="Arabic Typesetting" w:hAnsi="Arabic Typesetting" w:cs="Arabic Typesetting"/>
                <w:color w:val="000000"/>
                <w:sz w:val="30"/>
                <w:szCs w:val="30"/>
                <w:rtl/>
              </w:rPr>
              <w:t xml:space="preserve"> للتدريب حول التسويق والتقييم المتقدمين الناجحين للتكنولوجيا</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15 إلى 18 يونيو 2015</w:t>
            </w:r>
          </w:p>
        </w:tc>
        <w:tc>
          <w:tcPr>
            <w:tcW w:w="1560"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الفلبين</w:t>
            </w:r>
          </w:p>
        </w:tc>
        <w:tc>
          <w:tcPr>
            <w:tcW w:w="453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اكتسب المشاركون فهمًا أفضل للعلاقات المتداخلة بين تسويق الملكية الفكرية وتقييمها، واكتسبوا معارف تمكنهم من تحديد الأسواق المحتملة للمعارف والتكنولوجيا الناشئة في مؤسساتهم البحثية. وبوجه عام، اكتسب المشاركون مهارات تمكنهم من تحديد قيمة الأصول الفكرية محل مفاوضات الترخيص.</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عمل وطنية حول حق المؤلف والحقوق المجاورة</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22 إلى 24 أبريل 2015</w:t>
            </w:r>
          </w:p>
        </w:tc>
        <w:tc>
          <w:tcPr>
            <w:tcW w:w="1560"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جزر كوك</w:t>
            </w:r>
          </w:p>
        </w:tc>
        <w:tc>
          <w:tcPr>
            <w:tcW w:w="453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كانت هذه أول حلقة عمل وطنية تنظمها الويبو حول حق المؤلف في جزء كوك. وقد قدمت حلقة العمل </w:t>
            </w:r>
            <w:r w:rsidR="00AD17C3">
              <w:rPr>
                <w:rFonts w:ascii="Arabic Typesetting" w:hAnsi="Arabic Typesetting" w:cs="Arabic Typesetting"/>
                <w:color w:val="000000"/>
                <w:sz w:val="30"/>
                <w:szCs w:val="30"/>
                <w:rtl/>
              </w:rPr>
              <w:t>-</w:t>
            </w:r>
            <w:r w:rsidRPr="0009163D">
              <w:rPr>
                <w:rFonts w:ascii="Arabic Typesetting" w:hAnsi="Arabic Typesetting" w:cs="Arabic Typesetting"/>
                <w:color w:val="000000"/>
                <w:sz w:val="30"/>
                <w:szCs w:val="30"/>
                <w:rtl/>
              </w:rPr>
              <w:t xml:space="preserve"> التي كانت موجهة للمسؤولين الحكوميين وغيرهم من أصحاب المصلحة المعنيين </w:t>
            </w:r>
            <w:r w:rsidR="00AD17C3">
              <w:rPr>
                <w:rFonts w:ascii="Arabic Typesetting" w:hAnsi="Arabic Typesetting" w:cs="Arabic Typesetting"/>
                <w:color w:val="000000"/>
                <w:sz w:val="30"/>
                <w:szCs w:val="30"/>
                <w:rtl/>
              </w:rPr>
              <w:t>-</w:t>
            </w:r>
            <w:r w:rsidRPr="0009163D">
              <w:rPr>
                <w:rFonts w:ascii="Arabic Typesetting" w:hAnsi="Arabic Typesetting" w:cs="Arabic Typesetting"/>
                <w:color w:val="000000"/>
                <w:sz w:val="30"/>
                <w:szCs w:val="30"/>
                <w:rtl/>
              </w:rPr>
              <w:t xml:space="preserve"> معلومات حول حق المؤلف والحقوق المجاورة، وأهميتها الثقافية والاقتصادية وأهمية وضع نظام وطني لحماية حق المؤلف والحقوق المجاورة وإدارتها.</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عمل دون إقليمية حول حق المؤلف والتنمية لمتخذي القرارات</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19 إلى 20 يناير 2015</w:t>
            </w:r>
          </w:p>
        </w:tc>
        <w:tc>
          <w:tcPr>
            <w:tcW w:w="1560"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فيجي ونيوي وبابوا غينيا الجديدة وساموا وجزر سليمان وتونغا وتوفالو وفانواتو</w:t>
            </w:r>
          </w:p>
        </w:tc>
        <w:tc>
          <w:tcPr>
            <w:tcW w:w="453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ركزت حلقة العمل على زيادة الوعي والفهم فيما يخص دور حق والمؤلف وقيمته في التنمية الثقافية والاقتصادية لدى متخذي القرارات من البلدان المشاركة وأمانة منتدى جزر المحيط الهادئ.</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ندوة وطنية حول حق المؤلف والحقوق المجاورة</w:t>
            </w:r>
          </w:p>
        </w:tc>
        <w:tc>
          <w:tcPr>
            <w:tcW w:w="127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21 إلى 22 يناير 2015</w:t>
            </w:r>
          </w:p>
        </w:tc>
        <w:tc>
          <w:tcPr>
            <w:tcW w:w="1560"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فانواتو</w:t>
            </w:r>
          </w:p>
        </w:tc>
        <w:tc>
          <w:tcPr>
            <w:tcW w:w="4536"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تلت هذه الندوة النشاط المذكور آنفًا وقدمت معلومات حول حق المؤلف والحقوق المجاورة بما في ذلك كيفية عمل النظام من الناحية العملية لفائدة جمهور من المسؤولين الحكوميين وغيرهم من أصحاب المصلحة على الصعيد الوطني.</w:t>
            </w:r>
          </w:p>
        </w:tc>
      </w:tr>
      <w:tr w:rsidR="0009163D" w:rsidRPr="0009163D" w:rsidTr="00925848">
        <w:trPr>
          <w:cantSplit/>
          <w:trHeight w:val="315"/>
        </w:trPr>
        <w:tc>
          <w:tcPr>
            <w:tcW w:w="9356" w:type="dxa"/>
            <w:gridSpan w:val="7"/>
            <w:tcBorders>
              <w:top w:val="single" w:sz="4" w:space="0" w:color="000000"/>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2.4</w:t>
            </w:r>
            <w:r w:rsidRPr="0009163D">
              <w:rPr>
                <w:rFonts w:ascii="Arabic Typesetting" w:hAnsi="Arabic Typesetting" w:cs="Arabic Typesetting"/>
                <w:color w:val="000000"/>
                <w:sz w:val="30"/>
                <w:szCs w:val="30"/>
                <w:rtl/>
              </w:rPr>
              <w:t xml:space="preserve"> تحسين النفاذ إلى المعلومات المتعلقة بالملكية الفكرية واستخدامها من قبل مؤسسات الملكية الفكرية والجمهور لتشجيع الابتكار والإبداع</w:t>
            </w:r>
          </w:p>
        </w:tc>
      </w:tr>
      <w:tr w:rsidR="0009163D" w:rsidRPr="0009163D" w:rsidTr="00925848">
        <w:trPr>
          <w:cantSplit/>
          <w:trHeight w:val="429"/>
        </w:trPr>
        <w:tc>
          <w:tcPr>
            <w:tcW w:w="1984"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99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559" w:type="dxa"/>
            <w:gridSpan w:val="2"/>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820" w:type="dxa"/>
            <w:gridSpan w:val="3"/>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تكوين الكفاءات (من خلال مذكرة تفاهم)</w:t>
            </w:r>
          </w:p>
        </w:tc>
        <w:tc>
          <w:tcPr>
            <w:tcW w:w="99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استمر من 2014 واكتمل في مايو 2015</w:t>
            </w:r>
          </w:p>
        </w:tc>
        <w:tc>
          <w:tcPr>
            <w:tcW w:w="1559"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بنغلاديش</w:t>
            </w:r>
          </w:p>
        </w:tc>
        <w:tc>
          <w:tcPr>
            <w:tcW w:w="4820"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تزويد منظمة محلية، وهي منظمة قوة الصغار في العمل الاجتماعي (</w:t>
            </w:r>
            <w:r w:rsidRPr="0009163D">
              <w:rPr>
                <w:rFonts w:ascii="Arabic Typesetting" w:hAnsi="Arabic Typesetting" w:cs="Arabic Typesetting"/>
                <w:color w:val="000000"/>
                <w:sz w:val="30"/>
                <w:szCs w:val="30"/>
              </w:rPr>
              <w:t>YPSA</w:t>
            </w:r>
            <w:r w:rsidRPr="0009163D">
              <w:rPr>
                <w:rFonts w:ascii="Arabic Typesetting" w:hAnsi="Arabic Typesetting" w:cs="Arabic Typesetting"/>
                <w:color w:val="000000"/>
                <w:sz w:val="30"/>
                <w:szCs w:val="30"/>
                <w:rtl/>
              </w:rPr>
              <w:t>) بالخبرات والتمويل اللازمين لتنفيذ أنشطة تكوين الكفاءات في بنغلاديش.</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تضمنت الأنشطة: </w:t>
            </w:r>
            <w:r w:rsidRPr="0009163D">
              <w:rPr>
                <w:rFonts w:ascii="Arabic Typesetting" w:hAnsi="Arabic Typesetting" w:cs="Arabic Typesetting" w:hint="cs"/>
                <w:color w:val="000000"/>
                <w:sz w:val="30"/>
                <w:szCs w:val="30"/>
                <w:rtl/>
              </w:rPr>
              <w:t xml:space="preserve">(1) </w:t>
            </w:r>
            <w:r w:rsidRPr="0009163D">
              <w:rPr>
                <w:rFonts w:ascii="Arabic Typesetting" w:hAnsi="Arabic Typesetting" w:cs="Arabic Typesetting"/>
                <w:color w:val="000000"/>
                <w:sz w:val="30"/>
                <w:szCs w:val="30"/>
                <w:rtl/>
              </w:rPr>
              <w:t xml:space="preserve">تدريب الحكومة المحلية والناشرين التجاريين بالإضافة إلى منظمات المجتمع المدني على إنتاج كتب </w:t>
            </w:r>
            <w:r w:rsidRPr="0009163D">
              <w:rPr>
                <w:rFonts w:ascii="Arabic Typesetting" w:hAnsi="Arabic Typesetting" w:cs="Arabic Typesetting" w:hint="cs"/>
                <w:color w:val="000000"/>
                <w:sz w:val="30"/>
                <w:szCs w:val="30"/>
                <w:rtl/>
              </w:rPr>
              <w:t>ميسَّرة</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(2) إنتاج 162 كتابا تعليميا </w:t>
            </w:r>
            <w:r w:rsidRPr="0009163D">
              <w:rPr>
                <w:rFonts w:ascii="Arabic Typesetting" w:hAnsi="Arabic Typesetting" w:cs="Arabic Typesetting" w:hint="cs"/>
                <w:color w:val="000000"/>
                <w:sz w:val="30"/>
                <w:szCs w:val="30"/>
                <w:rtl/>
              </w:rPr>
              <w:t>ميسَّرا</w:t>
            </w:r>
            <w:r w:rsidRPr="0009163D">
              <w:rPr>
                <w:rFonts w:ascii="Arabic Typesetting" w:hAnsi="Arabic Typesetting" w:cs="Arabic Typesetting"/>
                <w:color w:val="000000"/>
                <w:sz w:val="30"/>
                <w:szCs w:val="30"/>
                <w:rtl/>
              </w:rPr>
              <w:t xml:space="preserve"> باللغة البنغالية و(3) شراء 35 جهاز </w:t>
            </w:r>
            <w:proofErr w:type="spellStart"/>
            <w:r w:rsidRPr="0009163D">
              <w:rPr>
                <w:rFonts w:ascii="Arabic Typesetting" w:hAnsi="Arabic Typesetting" w:cs="Arabic Typesetting"/>
                <w:color w:val="000000"/>
                <w:sz w:val="30"/>
                <w:szCs w:val="30"/>
                <w:rtl/>
              </w:rPr>
              <w:t>أندرويد</w:t>
            </w:r>
            <w:proofErr w:type="spellEnd"/>
            <w:r w:rsidRPr="0009163D">
              <w:rPr>
                <w:rFonts w:ascii="Arabic Typesetting" w:hAnsi="Arabic Typesetting" w:cs="Arabic Typesetting"/>
                <w:color w:val="000000"/>
                <w:sz w:val="30"/>
                <w:szCs w:val="30"/>
                <w:rtl/>
              </w:rPr>
              <w:t xml:space="preserve"> لإعارتها إلى الطلاب معاقي البصر بحيث تمكنهم من قراءة هذه الكتب. ويقدر عدد المستفيدين من الكتب المنتجة بعشرة آلاف من الطلاب معاقي البصر.</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lastRenderedPageBreak/>
              <w:t>تكوين الكفاءات (من خلال مذكرة تفاهم)</w:t>
            </w:r>
          </w:p>
        </w:tc>
        <w:tc>
          <w:tcPr>
            <w:tcW w:w="99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استمر من 2014 واكتمل في مايو 2015</w:t>
            </w:r>
          </w:p>
        </w:tc>
        <w:tc>
          <w:tcPr>
            <w:tcW w:w="1559"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سري </w:t>
            </w:r>
            <w:proofErr w:type="spellStart"/>
            <w:r w:rsidRPr="0009163D">
              <w:rPr>
                <w:rFonts w:ascii="Arabic Typesetting" w:hAnsi="Arabic Typesetting" w:cs="Arabic Typesetting"/>
                <w:color w:val="000000"/>
                <w:sz w:val="30"/>
                <w:szCs w:val="30"/>
                <w:rtl/>
              </w:rPr>
              <w:t>لانكا</w:t>
            </w:r>
            <w:proofErr w:type="spellEnd"/>
          </w:p>
        </w:tc>
        <w:tc>
          <w:tcPr>
            <w:tcW w:w="4820"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(1)</w:t>
            </w:r>
            <w:r w:rsidRPr="0009163D">
              <w:rPr>
                <w:rFonts w:ascii="Arabic Typesetting" w:hAnsi="Arabic Typesetting" w:cs="Arabic Typesetting"/>
                <w:color w:val="000000"/>
                <w:sz w:val="30"/>
                <w:szCs w:val="30"/>
                <w:rtl/>
              </w:rPr>
              <w:t xml:space="preserve"> تزويد منظمة محلية وهي مؤسسة </w:t>
            </w:r>
            <w:proofErr w:type="spellStart"/>
            <w:r w:rsidRPr="0009163D">
              <w:rPr>
                <w:rFonts w:ascii="Arabic Typesetting" w:hAnsi="Arabic Typesetting" w:cs="Arabic Typesetting"/>
                <w:color w:val="000000"/>
                <w:sz w:val="30"/>
                <w:szCs w:val="30"/>
                <w:rtl/>
              </w:rPr>
              <w:t>ديزي</w:t>
            </w:r>
            <w:proofErr w:type="spellEnd"/>
            <w:r w:rsidRPr="0009163D">
              <w:rPr>
                <w:rFonts w:ascii="Arabic Typesetting" w:hAnsi="Arabic Typesetting" w:cs="Arabic Typesetting"/>
                <w:color w:val="000000"/>
                <w:sz w:val="30"/>
                <w:szCs w:val="30"/>
                <w:rtl/>
              </w:rPr>
              <w:t xml:space="preserve"> </w:t>
            </w:r>
            <w:proofErr w:type="spellStart"/>
            <w:r w:rsidRPr="0009163D">
              <w:rPr>
                <w:rFonts w:ascii="Arabic Typesetting" w:hAnsi="Arabic Typesetting" w:cs="Arabic Typesetting"/>
                <w:color w:val="000000"/>
                <w:sz w:val="30"/>
                <w:szCs w:val="30"/>
                <w:rtl/>
              </w:rPr>
              <w:t>لانكا</w:t>
            </w:r>
            <w:proofErr w:type="spellEnd"/>
            <w:r w:rsidRPr="0009163D">
              <w:rPr>
                <w:rFonts w:ascii="Arabic Typesetting" w:hAnsi="Arabic Typesetting" w:cs="Arabic Typesetting"/>
                <w:color w:val="000000"/>
                <w:sz w:val="30"/>
                <w:szCs w:val="30"/>
                <w:rtl/>
              </w:rPr>
              <w:t xml:space="preserve"> بالخبرة والتمويل اللازمين لتنفيذ أنشطة بناء القدرات في سري </w:t>
            </w:r>
            <w:proofErr w:type="spellStart"/>
            <w:r w:rsidRPr="0009163D">
              <w:rPr>
                <w:rFonts w:ascii="Arabic Typesetting" w:hAnsi="Arabic Typesetting" w:cs="Arabic Typesetting"/>
                <w:color w:val="000000"/>
                <w:sz w:val="30"/>
                <w:szCs w:val="30"/>
                <w:rtl/>
              </w:rPr>
              <w:t>لانكا</w:t>
            </w:r>
            <w:proofErr w:type="spellEnd"/>
            <w:r w:rsidRPr="0009163D">
              <w:rPr>
                <w:rFonts w:ascii="Arabic Typesetting" w:hAnsi="Arabic Typesetting" w:cs="Arabic Typesetting"/>
                <w:color w:val="000000"/>
                <w:sz w:val="30"/>
                <w:szCs w:val="30"/>
                <w:rtl/>
              </w:rPr>
              <w:t>.</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تضمنت الأنشطة: (1) تدريب الحكومة المحلية والناشرين التجاريين، علاوة على منظمات المجتمع المدني، على إنتاج كتب </w:t>
            </w:r>
            <w:r w:rsidRPr="0009163D">
              <w:rPr>
                <w:rFonts w:ascii="Arabic Typesetting" w:hAnsi="Arabic Typesetting" w:cs="Arabic Typesetting" w:hint="cs"/>
                <w:color w:val="000000"/>
                <w:sz w:val="30"/>
                <w:szCs w:val="30"/>
                <w:rtl/>
              </w:rPr>
              <w:t>ميسَّرة</w:t>
            </w:r>
            <w:r w:rsidRPr="0009163D">
              <w:rPr>
                <w:rFonts w:ascii="Arabic Typesetting" w:hAnsi="Arabic Typesetting" w:cs="Arabic Typesetting"/>
                <w:color w:val="000000"/>
                <w:sz w:val="30"/>
                <w:szCs w:val="30"/>
                <w:rtl/>
              </w:rPr>
              <w:t xml:space="preserve">؛ و(2) إنتاج 1069 كتاب تعليمي </w:t>
            </w:r>
            <w:r w:rsidRPr="0009163D">
              <w:rPr>
                <w:rFonts w:ascii="Arabic Typesetting" w:hAnsi="Arabic Typesetting" w:cs="Arabic Typesetting" w:hint="cs"/>
                <w:color w:val="000000"/>
                <w:sz w:val="30"/>
                <w:szCs w:val="30"/>
                <w:rtl/>
              </w:rPr>
              <w:t>ميسَّر</w:t>
            </w:r>
            <w:r w:rsidRPr="0009163D">
              <w:rPr>
                <w:rFonts w:ascii="Arabic Typesetting" w:hAnsi="Arabic Typesetting" w:cs="Arabic Typesetting"/>
                <w:color w:val="000000"/>
                <w:sz w:val="30"/>
                <w:szCs w:val="30"/>
                <w:rtl/>
              </w:rPr>
              <w:t xml:space="preserve"> باللغة السنهالية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و(3) شراء 80 جهاز قراءة لمؤسسة </w:t>
            </w:r>
            <w:proofErr w:type="spellStart"/>
            <w:r w:rsidRPr="0009163D">
              <w:rPr>
                <w:rFonts w:ascii="Arabic Typesetting" w:hAnsi="Arabic Typesetting" w:cs="Arabic Typesetting"/>
                <w:color w:val="000000"/>
                <w:sz w:val="30"/>
                <w:szCs w:val="30"/>
                <w:rtl/>
              </w:rPr>
              <w:t>ديزي</w:t>
            </w:r>
            <w:proofErr w:type="spellEnd"/>
            <w:r w:rsidRPr="0009163D">
              <w:rPr>
                <w:rFonts w:ascii="Arabic Typesetting" w:hAnsi="Arabic Typesetting" w:cs="Arabic Typesetting"/>
                <w:color w:val="000000"/>
                <w:sz w:val="30"/>
                <w:szCs w:val="30"/>
                <w:rtl/>
              </w:rPr>
              <w:t xml:space="preserve"> يتم إعارتها للطلاب </w:t>
            </w:r>
            <w:r w:rsidRPr="0009163D">
              <w:rPr>
                <w:rFonts w:ascii="Arabic Typesetting" w:hAnsi="Arabic Typesetting" w:cs="Arabic Typesetting" w:hint="cs"/>
                <w:color w:val="000000"/>
                <w:sz w:val="30"/>
                <w:szCs w:val="30"/>
                <w:rtl/>
              </w:rPr>
              <w:t>معاقي البصر</w:t>
            </w:r>
            <w:r w:rsidRPr="0009163D">
              <w:rPr>
                <w:rFonts w:ascii="Arabic Typesetting" w:hAnsi="Arabic Typesetting" w:cs="Arabic Typesetting"/>
                <w:color w:val="000000"/>
                <w:sz w:val="30"/>
                <w:szCs w:val="30"/>
                <w:rtl/>
              </w:rPr>
              <w:t xml:space="preserve"> بحيث يمكنهم قراءة هذه الكتب. ويقدر عدد المستفيدين من الكتب المنتجة بعشرة آلاف من الطلاب معاقي البصر.</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تكوين الكفاءات (من خلال مذكرة تفاهم)</w:t>
            </w:r>
          </w:p>
        </w:tc>
        <w:tc>
          <w:tcPr>
            <w:tcW w:w="99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استمر من 2014 واكتمل في سبتمبر 2015</w:t>
            </w:r>
          </w:p>
        </w:tc>
        <w:tc>
          <w:tcPr>
            <w:tcW w:w="1559"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سري </w:t>
            </w:r>
            <w:proofErr w:type="spellStart"/>
            <w:r w:rsidRPr="0009163D">
              <w:rPr>
                <w:rFonts w:ascii="Arabic Typesetting" w:hAnsi="Arabic Typesetting" w:cs="Arabic Typesetting"/>
                <w:color w:val="000000"/>
                <w:sz w:val="30"/>
                <w:szCs w:val="30"/>
                <w:rtl/>
              </w:rPr>
              <w:t>لانكا</w:t>
            </w:r>
            <w:proofErr w:type="spellEnd"/>
          </w:p>
        </w:tc>
        <w:tc>
          <w:tcPr>
            <w:tcW w:w="4820" w:type="dxa"/>
            <w:gridSpan w:val="3"/>
          </w:tcPr>
          <w:p w:rsidR="0009163D" w:rsidRPr="0009163D" w:rsidRDefault="0009163D" w:rsidP="00E14A59">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طُور برنامج مرتفع الجودة لتحويل النصوص لحديث منطوق باللغة السنهالية </w:t>
            </w:r>
            <w:r w:rsidR="00E14A59">
              <w:rPr>
                <w:rFonts w:ascii="Arabic Typesetting" w:hAnsi="Arabic Typesetting" w:cs="Arabic Typesetting" w:hint="cs"/>
                <w:color w:val="000000"/>
                <w:sz w:val="30"/>
                <w:szCs w:val="30"/>
                <w:rtl/>
              </w:rPr>
              <w:t>كي يستخدمه</w:t>
            </w:r>
            <w:r w:rsidRPr="0009163D">
              <w:rPr>
                <w:rFonts w:ascii="Arabic Typesetting" w:hAnsi="Arabic Typesetting" w:cs="Arabic Typesetting"/>
                <w:color w:val="000000"/>
                <w:sz w:val="30"/>
                <w:szCs w:val="30"/>
                <w:rtl/>
              </w:rPr>
              <w:t xml:space="preserve"> الأشخاص معاق</w:t>
            </w:r>
            <w:r w:rsidR="00E14A59">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 البصر </w:t>
            </w:r>
            <w:r w:rsidR="00E14A59">
              <w:rPr>
                <w:rFonts w:ascii="Arabic Typesetting" w:hAnsi="Arabic Typesetting" w:cs="Arabic Typesetting" w:hint="cs"/>
                <w:color w:val="000000"/>
                <w:sz w:val="30"/>
                <w:szCs w:val="30"/>
                <w:rtl/>
              </w:rPr>
              <w:t xml:space="preserve">في </w:t>
            </w:r>
            <w:r w:rsidRPr="0009163D">
              <w:rPr>
                <w:rFonts w:ascii="Arabic Typesetting" w:hAnsi="Arabic Typesetting" w:cs="Arabic Typesetting"/>
                <w:color w:val="000000"/>
                <w:sz w:val="30"/>
                <w:szCs w:val="30"/>
                <w:rtl/>
              </w:rPr>
              <w:t xml:space="preserve">قراءة كتب </w:t>
            </w:r>
            <w:r w:rsidRPr="0009163D">
              <w:rPr>
                <w:rFonts w:ascii="Arabic Typesetting" w:hAnsi="Arabic Typesetting" w:cs="Arabic Typesetting" w:hint="cs"/>
                <w:color w:val="000000"/>
                <w:sz w:val="30"/>
                <w:szCs w:val="30"/>
                <w:rtl/>
              </w:rPr>
              <w:t>ميسَّرة</w:t>
            </w:r>
            <w:r w:rsidRPr="0009163D">
              <w:rPr>
                <w:rFonts w:ascii="Arabic Typesetting" w:hAnsi="Arabic Typesetting" w:cs="Arabic Typesetting"/>
                <w:color w:val="000000"/>
                <w:sz w:val="30"/>
                <w:szCs w:val="30"/>
                <w:rtl/>
              </w:rPr>
              <w:t xml:space="preserve"> باللغة السنهالية. وقد كان يوجد في السابق فقط برنامج "صوت آلي" لتحويل النص إلى حديث باللغة السنهالية. وطورت البرنامج كلية الحاسب الآلي بجامعة كولومبو.</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تكوين الكفاءات (من خلال مذكرة تفاهم)</w:t>
            </w:r>
          </w:p>
        </w:tc>
        <w:tc>
          <w:tcPr>
            <w:tcW w:w="99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استمر من 2014 واكتمل في مايو 2015</w:t>
            </w:r>
          </w:p>
        </w:tc>
        <w:tc>
          <w:tcPr>
            <w:tcW w:w="1559"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نيبال</w:t>
            </w:r>
          </w:p>
        </w:tc>
        <w:tc>
          <w:tcPr>
            <w:tcW w:w="4820"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تزويد منظمة محلية، وهي منظمة العمل حول حقوق المعاقين وتطويرهم </w:t>
            </w:r>
            <w:r w:rsidRPr="0009163D">
              <w:rPr>
                <w:rFonts w:ascii="Arabic Typesetting" w:hAnsi="Arabic Typesetting" w:cs="Arabic Typesetting"/>
                <w:color w:val="000000"/>
                <w:sz w:val="30"/>
                <w:szCs w:val="30"/>
              </w:rPr>
              <w:t>(ADRAD)</w:t>
            </w:r>
            <w:r w:rsidRPr="0009163D">
              <w:rPr>
                <w:rFonts w:ascii="Arabic Typesetting" w:hAnsi="Arabic Typesetting" w:cs="Arabic Typesetting"/>
                <w:color w:val="000000"/>
                <w:sz w:val="30"/>
                <w:szCs w:val="30"/>
                <w:rtl/>
              </w:rPr>
              <w:t xml:space="preserve"> بالخبرة والتمويل اللازمين لتنفيذ أنشطة بناء القدرات في نيبال.</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تضمنت الأنشطة: (1) تدريب الحكومة المحلية والناشرين التجاريين، بالإضافة إلى منظمات المجتمع </w:t>
            </w:r>
            <w:proofErr w:type="spellStart"/>
            <w:r w:rsidRPr="0009163D">
              <w:rPr>
                <w:rFonts w:ascii="Arabic Typesetting" w:hAnsi="Arabic Typesetting" w:cs="Arabic Typesetting"/>
                <w:color w:val="000000"/>
                <w:sz w:val="30"/>
                <w:szCs w:val="30"/>
                <w:rtl/>
              </w:rPr>
              <w:t>المدني،على</w:t>
            </w:r>
            <w:proofErr w:type="spellEnd"/>
            <w:r w:rsidRPr="0009163D">
              <w:rPr>
                <w:rFonts w:ascii="Arabic Typesetting" w:hAnsi="Arabic Typesetting" w:cs="Arabic Typesetting"/>
                <w:color w:val="000000"/>
                <w:sz w:val="30"/>
                <w:szCs w:val="30"/>
                <w:rtl/>
              </w:rPr>
              <w:t xml:space="preserve"> إنتاج كتب </w:t>
            </w:r>
            <w:r w:rsidRPr="0009163D">
              <w:rPr>
                <w:rFonts w:ascii="Arabic Typesetting" w:hAnsi="Arabic Typesetting" w:cs="Arabic Typesetting" w:hint="cs"/>
                <w:color w:val="000000"/>
                <w:sz w:val="30"/>
                <w:szCs w:val="30"/>
                <w:rtl/>
              </w:rPr>
              <w:t>ميسَّرة</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(2) إنتاج 140 كتاب تعليمي </w:t>
            </w:r>
            <w:r w:rsidRPr="0009163D">
              <w:rPr>
                <w:rFonts w:ascii="Arabic Typesetting" w:hAnsi="Arabic Typesetting" w:cs="Arabic Typesetting" w:hint="cs"/>
                <w:color w:val="000000"/>
                <w:sz w:val="30"/>
                <w:szCs w:val="30"/>
                <w:rtl/>
              </w:rPr>
              <w:t>ميسَّر</w:t>
            </w:r>
            <w:r w:rsidRPr="0009163D">
              <w:rPr>
                <w:rFonts w:ascii="Arabic Typesetting" w:hAnsi="Arabic Typesetting" w:cs="Arabic Typesetting"/>
                <w:color w:val="000000"/>
                <w:sz w:val="30"/>
                <w:szCs w:val="30"/>
                <w:rtl/>
              </w:rPr>
              <w:t xml:space="preserve"> باللغتين الإنكليزية والنيبالية و(3) شراء 100 جهاز </w:t>
            </w:r>
            <w:proofErr w:type="spellStart"/>
            <w:r w:rsidRPr="0009163D">
              <w:rPr>
                <w:rFonts w:ascii="Arabic Typesetting" w:hAnsi="Arabic Typesetting" w:cs="Arabic Typesetting"/>
                <w:color w:val="000000"/>
                <w:sz w:val="30"/>
                <w:szCs w:val="30"/>
                <w:rtl/>
              </w:rPr>
              <w:t>أندرويد</w:t>
            </w:r>
            <w:proofErr w:type="spellEnd"/>
            <w:r w:rsidRPr="0009163D">
              <w:rPr>
                <w:rFonts w:ascii="Arabic Typesetting" w:hAnsi="Arabic Typesetting" w:cs="Arabic Typesetting"/>
                <w:color w:val="000000"/>
                <w:sz w:val="30"/>
                <w:szCs w:val="30"/>
                <w:rtl/>
              </w:rPr>
              <w:t xml:space="preserve"> يمكن إعارتها إلى الطلاب الذين يعانون من عيوب </w:t>
            </w:r>
            <w:proofErr w:type="spellStart"/>
            <w:r w:rsidRPr="0009163D">
              <w:rPr>
                <w:rFonts w:ascii="Arabic Typesetting" w:hAnsi="Arabic Typesetting" w:cs="Arabic Typesetting"/>
                <w:color w:val="000000"/>
                <w:sz w:val="30"/>
                <w:szCs w:val="30"/>
                <w:rtl/>
              </w:rPr>
              <w:t>بالابصار</w:t>
            </w:r>
            <w:proofErr w:type="spellEnd"/>
            <w:r w:rsidRPr="0009163D">
              <w:rPr>
                <w:rFonts w:ascii="Arabic Typesetting" w:hAnsi="Arabic Typesetting" w:cs="Arabic Typesetting"/>
                <w:color w:val="000000"/>
                <w:sz w:val="30"/>
                <w:szCs w:val="30"/>
                <w:rtl/>
              </w:rPr>
              <w:t xml:space="preserve"> بحيث تمكنهم من قراءة هذه الكتب. ويقدر عدد المستفيدين من الكتب المنتجة بألف وخمسمائة من الطلاب معاقي البصر.</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تكوين الكفاءات </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طاقم بداية </w:t>
            </w:r>
            <w:proofErr w:type="spellStart"/>
            <w:r w:rsidRPr="0009163D">
              <w:rPr>
                <w:rFonts w:ascii="Arabic Typesetting" w:hAnsi="Arabic Typesetting" w:cs="Arabic Typesetting"/>
                <w:color w:val="000000"/>
                <w:sz w:val="30"/>
                <w:szCs w:val="30"/>
                <w:rtl/>
              </w:rPr>
              <w:t>ديزي</w:t>
            </w:r>
            <w:proofErr w:type="spellEnd"/>
          </w:p>
        </w:tc>
        <w:tc>
          <w:tcPr>
            <w:tcW w:w="99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استمر من 2014 واكتمل في مارس 2016</w:t>
            </w:r>
          </w:p>
        </w:tc>
        <w:tc>
          <w:tcPr>
            <w:tcW w:w="1559"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الهند</w:t>
            </w:r>
          </w:p>
        </w:tc>
        <w:tc>
          <w:tcPr>
            <w:tcW w:w="4820"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توفير التمويل لمنظمة شريكة، اتحاد </w:t>
            </w:r>
            <w:proofErr w:type="spellStart"/>
            <w:r w:rsidRPr="0009163D">
              <w:rPr>
                <w:rFonts w:ascii="Arabic Typesetting" w:hAnsi="Arabic Typesetting" w:cs="Arabic Typesetting"/>
                <w:color w:val="000000"/>
                <w:sz w:val="30"/>
                <w:szCs w:val="30"/>
                <w:rtl/>
              </w:rPr>
              <w:t>ديزي</w:t>
            </w:r>
            <w:proofErr w:type="spellEnd"/>
            <w:r w:rsidRPr="0009163D">
              <w:rPr>
                <w:rFonts w:ascii="Arabic Typesetting" w:hAnsi="Arabic Typesetting" w:cs="Arabic Typesetting"/>
                <w:color w:val="000000"/>
                <w:sz w:val="30"/>
                <w:szCs w:val="30"/>
                <w:rtl/>
              </w:rPr>
              <w:t xml:space="preserve">، والتي أنتجت طاقم بداية من المبادئ التوجيهية وأفضل الممارسات لإنتاج كتب </w:t>
            </w:r>
            <w:r w:rsidRPr="0009163D">
              <w:rPr>
                <w:rFonts w:ascii="Arabic Typesetting" w:hAnsi="Arabic Typesetting" w:cs="Arabic Typesetting" w:hint="cs"/>
                <w:color w:val="000000"/>
                <w:sz w:val="30"/>
                <w:szCs w:val="30"/>
                <w:rtl/>
              </w:rPr>
              <w:t>ميسَّرة</w:t>
            </w:r>
            <w:r w:rsidRPr="0009163D">
              <w:rPr>
                <w:rFonts w:ascii="Arabic Typesetting" w:hAnsi="Arabic Typesetting" w:cs="Arabic Typesetting"/>
                <w:color w:val="000000"/>
                <w:sz w:val="30"/>
                <w:szCs w:val="30"/>
                <w:rtl/>
              </w:rPr>
              <w:t xml:space="preserve"> في البلدان النامية.</w:t>
            </w:r>
          </w:p>
        </w:tc>
      </w:tr>
      <w:tr w:rsidR="0009163D" w:rsidRPr="0009163D" w:rsidTr="00925848">
        <w:trPr>
          <w:cantSplit/>
          <w:trHeight w:val="315"/>
        </w:trPr>
        <w:tc>
          <w:tcPr>
            <w:tcW w:w="9356" w:type="dxa"/>
            <w:gridSpan w:val="7"/>
            <w:tcBorders>
              <w:top w:val="single" w:sz="4" w:space="0" w:color="000000"/>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2.7</w:t>
            </w:r>
            <w:r w:rsidRPr="0009163D">
              <w:rPr>
                <w:rFonts w:ascii="Arabic Typesetting" w:hAnsi="Arabic Typesetting" w:cs="Arabic Typesetting"/>
                <w:color w:val="000000"/>
                <w:sz w:val="30"/>
                <w:szCs w:val="30"/>
                <w:rtl/>
              </w:rPr>
              <w:t xml:space="preserve"> منصات وأدوات الملكية الفكرية مستخدمة في نقل المعارف وتطويع التكنولوجيا ونشرها من البلدان المتقدمة إلى البلدان النامية، ولا سيما البلدان الأقل نموا، لمواجهة التحديات العالمية</w:t>
            </w:r>
          </w:p>
        </w:tc>
      </w:tr>
      <w:tr w:rsidR="0009163D" w:rsidRPr="0009163D" w:rsidTr="00925848">
        <w:trPr>
          <w:cantSplit/>
          <w:trHeight w:val="487"/>
        </w:trPr>
        <w:tc>
          <w:tcPr>
            <w:tcW w:w="1984"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99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559" w:type="dxa"/>
            <w:gridSpan w:val="2"/>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820" w:type="dxa"/>
            <w:gridSpan w:val="3"/>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الاستمرار في ترتيبات استضافة علماء أفارقة في مجال الطب الحيوي في منشآت بحثية خارج أفريقيا.</w:t>
            </w:r>
          </w:p>
        </w:tc>
        <w:tc>
          <w:tcPr>
            <w:tcW w:w="99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أكتوبر إلى ديسمبر 2015</w:t>
            </w:r>
            <w:r w:rsidRPr="00F96634">
              <w:rPr>
                <w:rFonts w:ascii="Arabic Typesetting" w:hAnsi="Arabic Typesetting" w:cs="Arabic Typesetting"/>
                <w:color w:val="000000"/>
                <w:sz w:val="28"/>
                <w:szCs w:val="28"/>
                <w:vertAlign w:val="superscript"/>
                <w:rtl/>
              </w:rPr>
              <w:footnoteReference w:id="150"/>
            </w:r>
          </w:p>
        </w:tc>
        <w:tc>
          <w:tcPr>
            <w:tcW w:w="1559" w:type="dxa"/>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جامعة كاليفورنيا سان دييغو، بالولايات المتحدة/</w:t>
            </w:r>
            <w:proofErr w:type="spellStart"/>
            <w:r w:rsidRPr="0009163D">
              <w:rPr>
                <w:rFonts w:ascii="Arabic Typesetting" w:hAnsi="Arabic Typesetting" w:cs="Arabic Typesetting"/>
                <w:color w:val="000000"/>
                <w:sz w:val="30"/>
                <w:szCs w:val="30"/>
                <w:rtl/>
              </w:rPr>
              <w:t>د.كريستيان</w:t>
            </w:r>
            <w:proofErr w:type="spellEnd"/>
            <w:r w:rsidRPr="0009163D">
              <w:rPr>
                <w:rFonts w:ascii="Arabic Typesetting" w:hAnsi="Arabic Typesetting" w:cs="Arabic Typesetting"/>
                <w:color w:val="000000"/>
                <w:sz w:val="30"/>
                <w:szCs w:val="30"/>
                <w:rtl/>
              </w:rPr>
              <w:t xml:space="preserve"> أغياري والسيدة كيري </w:t>
            </w:r>
            <w:proofErr w:type="spellStart"/>
            <w:r w:rsidRPr="0009163D">
              <w:rPr>
                <w:rFonts w:ascii="Arabic Typesetting" w:hAnsi="Arabic Typesetting" w:cs="Arabic Typesetting"/>
                <w:color w:val="000000"/>
                <w:sz w:val="30"/>
                <w:szCs w:val="30"/>
                <w:rtl/>
              </w:rPr>
              <w:t>ديفيز</w:t>
            </w:r>
            <w:proofErr w:type="spellEnd"/>
            <w:r w:rsidRPr="0009163D">
              <w:rPr>
                <w:rFonts w:ascii="Arabic Typesetting" w:hAnsi="Arabic Typesetting" w:cs="Arabic Typesetting"/>
                <w:color w:val="000000"/>
                <w:sz w:val="30"/>
                <w:szCs w:val="30"/>
                <w:rtl/>
              </w:rPr>
              <w:t>.</w:t>
            </w:r>
          </w:p>
        </w:tc>
        <w:tc>
          <w:tcPr>
            <w:tcW w:w="4820" w:type="dxa"/>
            <w:gridSpan w:val="3"/>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تعزيز: </w:t>
            </w:r>
            <w:r w:rsidRPr="0009163D">
              <w:rPr>
                <w:rFonts w:ascii="Arabic Typesetting" w:hAnsi="Arabic Typesetting" w:cs="Arabic Typesetting" w:hint="cs"/>
                <w:color w:val="000000"/>
                <w:sz w:val="30"/>
                <w:szCs w:val="30"/>
                <w:rtl/>
              </w:rPr>
              <w:t>(1</w:t>
            </w:r>
            <w:r w:rsidRPr="0009163D">
              <w:rPr>
                <w:rFonts w:ascii="Arabic Typesetting" w:hAnsi="Arabic Typesetting" w:cs="Arabic Typesetting"/>
                <w:color w:val="000000"/>
                <w:sz w:val="30"/>
                <w:szCs w:val="30"/>
                <w:rtl/>
              </w:rPr>
              <w:t>) الاستخدام الفعال للملكية الفكرية للتعامل مع التحديات الصحية العالمية (الأمراض المدارية المهملة) والتي تؤثر في العديد من البلدان الأقل نموا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(2) نقل المعرفة للعلماء وخاصة من البلدان الأقل نموا. وتم تطوير برامج أبحاث مخصصة لضمان قيام المشاركين بتحديث مهارات البحث وأنهم قادرون على تقديم إسهامات هامة في بلادهم بالنسبة للأمراض المدارية المهملة.</w:t>
            </w:r>
          </w:p>
        </w:tc>
      </w:tr>
    </w:tbl>
    <w:p w:rsidR="0009163D" w:rsidRPr="0009163D" w:rsidRDefault="0009163D" w:rsidP="0009163D">
      <w:pPr>
        <w:keepNext/>
        <w:bidi/>
        <w:spacing w:before="240" w:after="240" w:line="280" w:lineRule="exact"/>
        <w:rPr>
          <w:rFonts w:ascii="Arabic Typesetting" w:hAnsi="Arabic Typesetting" w:cs="Arabic Typesetting"/>
          <w:b/>
          <w:sz w:val="30"/>
          <w:szCs w:val="30"/>
        </w:rPr>
      </w:pPr>
      <w:r w:rsidRPr="0009163D">
        <w:rPr>
          <w:rFonts w:ascii="Arabic Typesetting" w:hAnsi="Arabic Typesetting" w:cs="Arabic Typesetting"/>
          <w:bCs/>
          <w:sz w:val="34"/>
          <w:szCs w:val="34"/>
          <w:rtl/>
        </w:rPr>
        <w:lastRenderedPageBreak/>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w:t>
      </w:r>
      <w:r w:rsidRPr="0009163D">
        <w:rPr>
          <w:rFonts w:ascii="Arabic Typesetting" w:hAnsi="Arabic Typesetting" w:cs="Arabic Typesetting" w:hint="cs"/>
          <w:bCs/>
          <w:sz w:val="34"/>
          <w:szCs w:val="34"/>
          <w:rtl/>
        </w:rPr>
        <w:t>أستراليا</w:t>
      </w:r>
      <w:r w:rsidRPr="0009163D">
        <w:rPr>
          <w:rFonts w:ascii="Arabic Typesetting" w:hAnsi="Arabic Typesetting" w:cs="Arabic Typesetting"/>
          <w:bCs/>
          <w:sz w:val="34"/>
          <w:szCs w:val="34"/>
          <w:rtl/>
        </w:rPr>
        <w:t xml:space="preserve"> في </w:t>
      </w:r>
      <w:r w:rsidRPr="0009163D">
        <w:rPr>
          <w:rFonts w:ascii="Arabic Typesetting" w:hAnsi="Arabic Typesetting" w:cs="Arabic Typesetting" w:hint="cs"/>
          <w:bCs/>
          <w:sz w:val="34"/>
          <w:szCs w:val="34"/>
          <w:rtl/>
        </w:rPr>
        <w:t>2015</w:t>
      </w:r>
    </w:p>
    <w:tbl>
      <w:tblPr>
        <w:bidiVisual/>
        <w:tblW w:w="9087" w:type="dxa"/>
        <w:tblLook w:val="00A0" w:firstRow="1" w:lastRow="0" w:firstColumn="1" w:lastColumn="0" w:noHBand="0" w:noVBand="0"/>
      </w:tblPr>
      <w:tblGrid>
        <w:gridCol w:w="1720"/>
        <w:gridCol w:w="1556"/>
        <w:gridCol w:w="1842"/>
        <w:gridCol w:w="1985"/>
        <w:gridCol w:w="1984"/>
      </w:tblGrid>
      <w:tr w:rsidR="0009163D" w:rsidRPr="0009163D" w:rsidTr="00925848">
        <w:trPr>
          <w:cantSplit/>
          <w:trHeight w:val="538"/>
        </w:trPr>
        <w:tc>
          <w:tcPr>
            <w:tcW w:w="1720"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6"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2"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985"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493"/>
        </w:trPr>
        <w:tc>
          <w:tcPr>
            <w:tcW w:w="1720"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493,374</w:t>
            </w:r>
          </w:p>
        </w:tc>
        <w:tc>
          <w:tcPr>
            <w:tcW w:w="1556"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727</w:t>
            </w:r>
          </w:p>
        </w:tc>
        <w:tc>
          <w:tcPr>
            <w:tcW w:w="1842"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383,882</w:t>
            </w:r>
          </w:p>
        </w:tc>
        <w:tc>
          <w:tcPr>
            <w:tcW w:w="1985"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110,219</w:t>
            </w:r>
          </w:p>
        </w:tc>
      </w:tr>
    </w:tbl>
    <w:p w:rsidR="0009163D" w:rsidRPr="0009163D" w:rsidRDefault="0009163D" w:rsidP="0009163D">
      <w:pPr>
        <w:keepNext/>
        <w:bidi/>
        <w:spacing w:before="120" w:after="240" w:line="280" w:lineRule="exact"/>
        <w:rPr>
          <w:rFonts w:ascii="Arabic Typesetting" w:hAnsi="Arabic Typesetting" w:cs="Arabic Typesetting"/>
          <w:b/>
          <w:sz w:val="30"/>
          <w:szCs w:val="30"/>
        </w:rPr>
      </w:pPr>
      <w:r w:rsidRPr="0009163D">
        <w:rPr>
          <w:rFonts w:ascii="Arabic Typesetting" w:hAnsi="Arabic Typesetting" w:cs="Arabic Typesetting"/>
          <w:bCs/>
          <w:sz w:val="34"/>
          <w:szCs w:val="34"/>
          <w:rtl/>
        </w:rPr>
        <w:t>البرازيل</w:t>
      </w:r>
    </w:p>
    <w:tbl>
      <w:tblPr>
        <w:bidiVisual/>
        <w:tblW w:w="9072"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276"/>
        <w:gridCol w:w="1559"/>
        <w:gridCol w:w="4394"/>
      </w:tblGrid>
      <w:tr w:rsidR="0009163D" w:rsidRPr="0009163D" w:rsidTr="00925848">
        <w:trPr>
          <w:cantSplit/>
          <w:trHeight w:val="315"/>
        </w:trPr>
        <w:tc>
          <w:tcPr>
            <w:tcW w:w="9072" w:type="dxa"/>
            <w:gridSpan w:val="4"/>
            <w:tcBorders>
              <w:top w:val="single" w:sz="4" w:space="0" w:color="000000"/>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Height w:val="402"/>
        </w:trPr>
        <w:tc>
          <w:tcPr>
            <w:tcW w:w="184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276"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559"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الاجتماع السنوي </w:t>
            </w:r>
            <w:r w:rsidRPr="0009163D">
              <w:rPr>
                <w:rFonts w:ascii="Arabic Typesetting" w:hAnsi="Arabic Typesetting" w:cs="Arabic Typesetting" w:hint="cs"/>
                <w:color w:val="000000"/>
                <w:sz w:val="30"/>
                <w:szCs w:val="30"/>
                <w:rtl/>
              </w:rPr>
              <w:t>التاسع</w:t>
            </w:r>
            <w:r w:rsidRPr="0009163D">
              <w:rPr>
                <w:rFonts w:ascii="Arabic Typesetting" w:hAnsi="Arabic Typesetting" w:cs="Arabic Typesetting"/>
                <w:color w:val="000000"/>
                <w:sz w:val="30"/>
                <w:szCs w:val="30"/>
                <w:rtl/>
              </w:rPr>
              <w:t xml:space="preserve"> للمنتدى البرازيلي </w:t>
            </w:r>
            <w:r w:rsidRPr="0009163D">
              <w:rPr>
                <w:rFonts w:ascii="Arabic Typesetting" w:hAnsi="Arabic Typesetting" w:cs="Arabic Typesetting" w:hint="cs"/>
                <w:color w:val="000000"/>
                <w:sz w:val="30"/>
                <w:szCs w:val="30"/>
                <w:rtl/>
              </w:rPr>
              <w:t>لمديري</w:t>
            </w:r>
            <w:r w:rsidRPr="0009163D">
              <w:rPr>
                <w:rFonts w:ascii="Arabic Typesetting" w:hAnsi="Arabic Typesetting" w:cs="Arabic Typesetting"/>
                <w:color w:val="000000"/>
                <w:sz w:val="30"/>
                <w:szCs w:val="30"/>
                <w:rtl/>
              </w:rPr>
              <w:t xml:space="preserve"> الابتكار ونقل التكنولوجيا (</w:t>
            </w:r>
            <w:r w:rsidRPr="0009163D">
              <w:rPr>
                <w:rFonts w:ascii="Arabic Typesetting" w:hAnsi="Arabic Typesetting" w:cs="Arabic Typesetting"/>
                <w:color w:val="000000"/>
                <w:sz w:val="30"/>
                <w:szCs w:val="30"/>
              </w:rPr>
              <w:t>FORTEC</w:t>
            </w:r>
            <w:r w:rsidRPr="0009163D">
              <w:rPr>
                <w:rFonts w:ascii="Arabic Typesetting" w:hAnsi="Arabic Typesetting" w:cs="Arabic Typesetting"/>
                <w:color w:val="000000"/>
                <w:sz w:val="30"/>
                <w:szCs w:val="30"/>
                <w:rtl/>
              </w:rPr>
              <w:t>)</w:t>
            </w:r>
          </w:p>
        </w:tc>
        <w:tc>
          <w:tcPr>
            <w:tcW w:w="1276"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19 إلى 22 مايو 2015</w:t>
            </w:r>
          </w:p>
        </w:tc>
        <w:tc>
          <w:tcPr>
            <w:tcW w:w="1559"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البرازيل</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مناقشة مواضيع متعلقة بسياسات الابتكار واستراتيجياته وتكوين الكفاءات في مجالات نقل التكنولوجيا وإدارة الملكية الفكرية.</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حلقة عمل حول استراتيجيات حماية الملكية الفكرية والاستغلال التجاري لها استنادًا إلى </w:t>
            </w:r>
            <w:r w:rsidRPr="0009163D">
              <w:rPr>
                <w:rFonts w:ascii="Arabic Typesetting" w:hAnsi="Arabic Typesetting" w:cs="Arabic Typesetting" w:hint="cs"/>
                <w:color w:val="000000"/>
                <w:sz w:val="30"/>
                <w:szCs w:val="30"/>
                <w:rtl/>
              </w:rPr>
              <w:t>نتائج البحوث</w:t>
            </w:r>
          </w:p>
        </w:tc>
        <w:tc>
          <w:tcPr>
            <w:tcW w:w="1276"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6 إلى 10 يوليو 2015</w:t>
            </w:r>
          </w:p>
        </w:tc>
        <w:tc>
          <w:tcPr>
            <w:tcW w:w="1559"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البرازيل</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تقديم تدريب عملي حول إدارة حقوق الملكية الفكرية واستراتيجيات حمايتها في الجامعات ومؤسسات البحث والتطوير</w:t>
            </w:r>
            <w:r w:rsidRPr="0009163D">
              <w:rPr>
                <w:rFonts w:ascii="Arabic Typesetting" w:hAnsi="Arabic Typesetting" w:cs="Arabic Typesetting" w:hint="cs"/>
                <w:color w:val="000000"/>
                <w:sz w:val="30"/>
                <w:szCs w:val="30"/>
                <w:rtl/>
              </w:rPr>
              <w:t>.</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اجتماع </w:t>
            </w:r>
            <w:proofErr w:type="spellStart"/>
            <w:r w:rsidRPr="0009163D">
              <w:rPr>
                <w:rFonts w:ascii="Arabic Typesetting" w:hAnsi="Arabic Typesetting" w:cs="Arabic Typesetting"/>
                <w:color w:val="000000"/>
                <w:sz w:val="30"/>
                <w:szCs w:val="30"/>
                <w:rtl/>
              </w:rPr>
              <w:t>إنابيد</w:t>
            </w:r>
            <w:proofErr w:type="spellEnd"/>
            <w:r w:rsidRPr="0009163D">
              <w:rPr>
                <w:rFonts w:ascii="Arabic Typesetting" w:hAnsi="Arabic Typesetting" w:cs="Arabic Typesetting"/>
                <w:color w:val="000000"/>
                <w:sz w:val="30"/>
                <w:szCs w:val="30"/>
                <w:rtl/>
              </w:rPr>
              <w:t xml:space="preserve"> الأكاديمي </w:t>
            </w:r>
            <w:r w:rsidRPr="0009163D">
              <w:rPr>
                <w:rFonts w:ascii="Arabic Typesetting" w:hAnsi="Arabic Typesetting" w:cs="Arabic Typesetting" w:hint="cs"/>
                <w:color w:val="000000"/>
                <w:sz w:val="30"/>
                <w:szCs w:val="30"/>
                <w:rtl/>
              </w:rPr>
              <w:t>الثامن</w:t>
            </w:r>
            <w:r w:rsidRPr="0009163D">
              <w:rPr>
                <w:rFonts w:ascii="Arabic Typesetting" w:hAnsi="Arabic Typesetting" w:cs="Arabic Typesetting"/>
                <w:color w:val="000000"/>
                <w:sz w:val="30"/>
                <w:szCs w:val="30"/>
                <w:rtl/>
              </w:rPr>
              <w:t xml:space="preserve"> حول الملكية الفكرية </w:t>
            </w:r>
            <w:proofErr w:type="spellStart"/>
            <w:r w:rsidRPr="0009163D">
              <w:rPr>
                <w:rFonts w:ascii="Arabic Typesetting" w:hAnsi="Arabic Typesetting" w:cs="Arabic Typesetting"/>
                <w:color w:val="000000"/>
                <w:sz w:val="30"/>
                <w:szCs w:val="30"/>
                <w:rtl/>
              </w:rPr>
              <w:t>والابداع</w:t>
            </w:r>
            <w:proofErr w:type="spellEnd"/>
            <w:r w:rsidRPr="0009163D">
              <w:rPr>
                <w:rFonts w:ascii="Arabic Typesetting" w:hAnsi="Arabic Typesetting" w:cs="Arabic Typesetting"/>
                <w:color w:val="000000"/>
                <w:sz w:val="30"/>
                <w:szCs w:val="30"/>
                <w:rtl/>
              </w:rPr>
              <w:t xml:space="preserve"> والتنمية</w:t>
            </w:r>
          </w:p>
        </w:tc>
        <w:tc>
          <w:tcPr>
            <w:tcW w:w="127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11 إلى 14 أغسطس 2015</w:t>
            </w:r>
          </w:p>
        </w:tc>
        <w:tc>
          <w:tcPr>
            <w:tcW w:w="1559"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البرازيل</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تعزيز الابتكار المستدام ودعم الدور الوجيه لنظام الملكية الفكرية في سياق الاقتصاد العالمي</w:t>
            </w:r>
            <w:r w:rsidRPr="0009163D">
              <w:rPr>
                <w:rFonts w:ascii="Arabic Typesetting" w:hAnsi="Arabic Typesetting" w:cs="Arabic Typesetting" w:hint="cs"/>
                <w:color w:val="000000"/>
                <w:sz w:val="30"/>
                <w:szCs w:val="30"/>
                <w:rtl/>
              </w:rPr>
              <w:t>.</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ندوة عن عقود الامتياز والآليات البديلة لتسوية المنازعات</w:t>
            </w:r>
          </w:p>
        </w:tc>
        <w:tc>
          <w:tcPr>
            <w:tcW w:w="127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3 سبتمبر 2015</w:t>
            </w:r>
          </w:p>
        </w:tc>
        <w:tc>
          <w:tcPr>
            <w:tcW w:w="1559"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البرازيل</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 xml:space="preserve">التشجيع على إدراج أحكام </w:t>
            </w:r>
            <w:r w:rsidRPr="0009163D">
              <w:rPr>
                <w:rFonts w:ascii="Arabic Typesetting" w:hAnsi="Arabic Typesetting" w:cs="Arabic Typesetting"/>
                <w:color w:val="000000"/>
                <w:sz w:val="30"/>
                <w:szCs w:val="30"/>
                <w:rtl/>
              </w:rPr>
              <w:t>الويبو بشأن السبل البديلة لتسوية المنازعات</w:t>
            </w:r>
            <w:r w:rsidRPr="0009163D">
              <w:rPr>
                <w:rFonts w:ascii="Arabic Typesetting" w:hAnsi="Arabic Typesetting" w:cs="Arabic Typesetting" w:hint="cs"/>
                <w:color w:val="000000"/>
                <w:sz w:val="30"/>
                <w:szCs w:val="30"/>
                <w:rtl/>
              </w:rPr>
              <w:t xml:space="preserve"> في اتفاقات الامتياز التي يبرمها أعضاء جمعية الامتياز البرازيلية.</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ندوة عن تراخيص التكنولوجيا الدولية وتسوية المنازعات</w:t>
            </w:r>
          </w:p>
        </w:tc>
        <w:tc>
          <w:tcPr>
            <w:tcW w:w="127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4 سبتمبر 2015</w:t>
            </w:r>
          </w:p>
        </w:tc>
        <w:tc>
          <w:tcPr>
            <w:tcW w:w="1559"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البرازيل</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تشجيع المحامين ومديري العقود المعنيين باتفاقات الترخيص والبحث والتطوير في البرازيل على استخدام أحكام الويبو بشأن السبل البديلة لتسوية المنازعات.</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الندوة الثانية</w:t>
            </w:r>
            <w:r w:rsidRPr="0009163D">
              <w:rPr>
                <w:rFonts w:ascii="Arabic Typesetting" w:hAnsi="Arabic Typesetting" w:cs="Arabic Typesetting"/>
                <w:color w:val="000000"/>
                <w:sz w:val="30"/>
                <w:szCs w:val="30"/>
                <w:rtl/>
              </w:rPr>
              <w:t xml:space="preserve"> حول المؤشرات الجغرافية والعلامات التجارية الجمعية في قطاع الحرف اليدوية</w:t>
            </w:r>
          </w:p>
        </w:tc>
        <w:tc>
          <w:tcPr>
            <w:tcW w:w="127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24 إلى 25 سبتمبر 2015</w:t>
            </w:r>
          </w:p>
        </w:tc>
        <w:tc>
          <w:tcPr>
            <w:tcW w:w="1559"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البرازيل/كولومبيا والمكسيك وبيرو</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تشجيع النقاش حول المكاسب الاقتصادية والاجتماعية التي يمكن للمؤشرات الجغرافية والعلامات التجارية الجماعية أن تحققها في عملية التنمية الوطنية ككل، وخاصة في مجال الحرف اليدوية</w:t>
            </w:r>
            <w:r w:rsidRPr="0009163D">
              <w:rPr>
                <w:rFonts w:ascii="Arabic Typesetting" w:hAnsi="Arabic Typesetting" w:cs="Arabic Typesetting" w:hint="cs"/>
                <w:color w:val="000000"/>
                <w:sz w:val="30"/>
                <w:szCs w:val="30"/>
                <w:rtl/>
              </w:rPr>
              <w:t>.</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 xml:space="preserve">الاجتماع السابع عشر عن الملكية الفكرية وتسويق التكنولوجيا - </w:t>
            </w:r>
            <w:r w:rsidRPr="0009163D">
              <w:rPr>
                <w:rFonts w:ascii="Arabic Typesetting" w:hAnsi="Arabic Typesetting" w:cs="Arabic Typesetting"/>
                <w:color w:val="000000"/>
                <w:sz w:val="30"/>
                <w:szCs w:val="30"/>
                <w:rtl/>
              </w:rPr>
              <w:t>شبكة ريو دي جانيرو للملكية الفكرية</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Pr>
              <w:t>XVII REPICT</w:t>
            </w:r>
            <w:r w:rsidRPr="0009163D">
              <w:rPr>
                <w:rFonts w:ascii="Arabic Typesetting" w:hAnsi="Arabic Typesetting" w:cs="Arabic Typesetting" w:hint="cs"/>
                <w:color w:val="000000"/>
                <w:sz w:val="30"/>
                <w:szCs w:val="30"/>
                <w:rtl/>
              </w:rPr>
              <w:t>)</w:t>
            </w:r>
          </w:p>
        </w:tc>
        <w:tc>
          <w:tcPr>
            <w:tcW w:w="127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1 أكتوبر 2015</w:t>
            </w:r>
          </w:p>
        </w:tc>
        <w:tc>
          <w:tcPr>
            <w:tcW w:w="1559"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البرازيل</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مناقشة أدوات نقل التكنولوجية القائمة على حماية الأصول غير الملموسة والتي تركز على الشركات الصغيرة والمتناهية الصغر.</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Pr>
      </w:pPr>
      <w:r w:rsidRPr="0009163D">
        <w:rPr>
          <w:rFonts w:ascii="Arabic Typesetting" w:hAnsi="Arabic Typesetting" w:cs="Arabic Typesetting"/>
          <w:bCs/>
          <w:sz w:val="34"/>
          <w:szCs w:val="34"/>
          <w:rtl/>
        </w:rPr>
        <w:lastRenderedPageBreak/>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البرازيل في </w:t>
      </w:r>
      <w:r w:rsidRPr="0009163D">
        <w:rPr>
          <w:rFonts w:ascii="Arabic Typesetting" w:hAnsi="Arabic Typesetting" w:cs="Arabic Typesetting" w:hint="cs"/>
          <w:bCs/>
          <w:sz w:val="34"/>
          <w:szCs w:val="34"/>
          <w:rtl/>
        </w:rPr>
        <w:t>2015</w:t>
      </w:r>
    </w:p>
    <w:tbl>
      <w:tblPr>
        <w:bidiVisual/>
        <w:tblW w:w="9087" w:type="dxa"/>
        <w:tblLook w:val="00A0" w:firstRow="1" w:lastRow="0" w:firstColumn="1" w:lastColumn="0" w:noHBand="0" w:noVBand="0"/>
      </w:tblPr>
      <w:tblGrid>
        <w:gridCol w:w="1720"/>
        <w:gridCol w:w="1556"/>
        <w:gridCol w:w="1842"/>
        <w:gridCol w:w="1985"/>
        <w:gridCol w:w="1984"/>
      </w:tblGrid>
      <w:tr w:rsidR="0009163D" w:rsidRPr="0009163D" w:rsidTr="00925848">
        <w:trPr>
          <w:cantSplit/>
          <w:trHeight w:val="538"/>
        </w:trPr>
        <w:tc>
          <w:tcPr>
            <w:tcW w:w="1720"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6"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2"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985"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493"/>
        </w:trPr>
        <w:tc>
          <w:tcPr>
            <w:tcW w:w="1720"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333,211</w:t>
            </w:r>
          </w:p>
        </w:tc>
        <w:tc>
          <w:tcPr>
            <w:tcW w:w="1556"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(27)</w:t>
            </w:r>
          </w:p>
        </w:tc>
        <w:tc>
          <w:tcPr>
            <w:tcW w:w="1842"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102,850</w:t>
            </w:r>
          </w:p>
        </w:tc>
        <w:tc>
          <w:tcPr>
            <w:tcW w:w="1985"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230,334</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hint="cs"/>
          <w:bCs/>
          <w:sz w:val="34"/>
          <w:szCs w:val="34"/>
          <w:rtl/>
        </w:rPr>
        <w:t xml:space="preserve">البرازيل </w:t>
      </w:r>
      <w:r w:rsidRPr="0009163D">
        <w:rPr>
          <w:rFonts w:ascii="Arabic Typesetting" w:hAnsi="Arabic Typesetting" w:cs="Arabic Typesetting"/>
          <w:bCs/>
          <w:sz w:val="34"/>
          <w:szCs w:val="34"/>
          <w:rtl/>
        </w:rPr>
        <w:t>–</w:t>
      </w:r>
      <w:r w:rsidRPr="0009163D">
        <w:rPr>
          <w:rFonts w:ascii="Arabic Typesetting" w:hAnsi="Arabic Typesetting" w:cs="Arabic Typesetting" w:hint="cs"/>
          <w:bCs/>
          <w:sz w:val="34"/>
          <w:szCs w:val="34"/>
          <w:rtl/>
        </w:rPr>
        <w:t xml:space="preserve"> الجنوب</w:t>
      </w:r>
    </w:p>
    <w:tbl>
      <w:tblPr>
        <w:bidiVisual/>
        <w:tblW w:w="9214"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1985"/>
        <w:gridCol w:w="4252"/>
      </w:tblGrid>
      <w:tr w:rsidR="0009163D" w:rsidRPr="0009163D" w:rsidTr="00925848">
        <w:trPr>
          <w:cantSplit/>
          <w:trHeight w:val="315"/>
        </w:trPr>
        <w:tc>
          <w:tcPr>
            <w:tcW w:w="9214" w:type="dxa"/>
            <w:gridSpan w:val="4"/>
            <w:tcBorders>
              <w:top w:val="single" w:sz="4" w:space="0" w:color="000000"/>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Height w:val="402"/>
        </w:trPr>
        <w:tc>
          <w:tcPr>
            <w:tcW w:w="1843"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252"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العمل الإقليمية الثانية حول الملكية الفكرية ونقل التكنولوجيا</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7 إلى 8 مايو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بيرو/كوستاريكا، والجمهورية </w:t>
            </w:r>
            <w:proofErr w:type="spellStart"/>
            <w:r w:rsidRPr="0009163D">
              <w:rPr>
                <w:rFonts w:ascii="Arabic Typesetting" w:hAnsi="Arabic Typesetting" w:cs="Arabic Typesetting"/>
                <w:color w:val="000000"/>
                <w:sz w:val="30"/>
                <w:szCs w:val="30"/>
                <w:rtl/>
              </w:rPr>
              <w:t>الدومينيكية</w:t>
            </w:r>
            <w:proofErr w:type="spellEnd"/>
            <w:r w:rsidRPr="0009163D">
              <w:rPr>
                <w:rFonts w:ascii="Arabic Typesetting" w:hAnsi="Arabic Typesetting" w:cs="Arabic Typesetting"/>
                <w:color w:val="000000"/>
                <w:sz w:val="30"/>
                <w:szCs w:val="30"/>
                <w:rtl/>
              </w:rPr>
              <w:t>، وإكوادور، والمكسيك</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وبيرو</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وأوروغواي</w:t>
            </w:r>
          </w:p>
        </w:tc>
        <w:tc>
          <w:tcPr>
            <w:tcW w:w="425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مناقشة ما يلي: (1) هيكلة استراتيجيات الملكية الفكرية الوطنية والمؤسسية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و(2) تأسيس مكاتب نقل التكنولوجيا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و(3)</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النماذج الاستراتيجية لدعم الابتكار.</w:t>
            </w:r>
          </w:p>
        </w:tc>
      </w:tr>
      <w:tr w:rsidR="0009163D" w:rsidRPr="0009163D" w:rsidTr="00925848">
        <w:trPr>
          <w:cantSplit/>
          <w:trHeight w:val="1220"/>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حلقة العمل الإقليمية حول الأدوات المجانية والمفتوحة المصدر لتحليل البراءات</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من 27 إلى 28 أغسطس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البرازيل/شيلي وكولومبيا والمكسيك وأوروغواي</w:t>
            </w:r>
          </w:p>
        </w:tc>
        <w:tc>
          <w:tcPr>
            <w:tcW w:w="425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 xml:space="preserve">(1) استكمال التدريب المقدم في إطار الحلقة الإقليمية الخاصة بتحليل البراءات التي عُقدت في أغسطس 2013 في ريو دي جانيرو بالبرازيل؛ (2) وإتاحة محفل </w:t>
            </w:r>
            <w:proofErr w:type="spellStart"/>
            <w:r w:rsidRPr="0009163D">
              <w:rPr>
                <w:rFonts w:ascii="Arabic Typesetting" w:hAnsi="Arabic Typesetting" w:cs="Arabic Typesetting" w:hint="cs"/>
                <w:color w:val="000000"/>
                <w:sz w:val="30"/>
                <w:szCs w:val="30"/>
                <w:rtl/>
              </w:rPr>
              <w:t>للتناقش</w:t>
            </w:r>
            <w:proofErr w:type="spellEnd"/>
            <w:r w:rsidRPr="0009163D">
              <w:rPr>
                <w:rFonts w:ascii="Arabic Typesetting" w:hAnsi="Arabic Typesetting" w:cs="Arabic Typesetting" w:hint="cs"/>
                <w:color w:val="000000"/>
                <w:sz w:val="30"/>
                <w:szCs w:val="30"/>
                <w:rtl/>
              </w:rPr>
              <w:t xml:space="preserve"> وتبادل الآراء بشأن الدليل الجاري إعداده بشأن الأدوات المفتوحة المصدر لتحليل البراءات.</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العمل الإقليمية الثالثة حول الملكية الفكرية ونقل التكنولوجيا</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18 إلى 20 نوفمبر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المكسيك/كولومبيا وكوبا والسلفادور وبيرو والمكسيك</w:t>
            </w:r>
          </w:p>
        </w:tc>
        <w:tc>
          <w:tcPr>
            <w:tcW w:w="425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مناقشة ما يلي: (1) وضع سياسات نقل التكنولوجيا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و(2)</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عرض النواحي العملية للتفاوض وصياغة اتفاقات التكنولوجيا.</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الندوة الثالثة والثلاث</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ن لمكاتب الملكية الفكرية في أمريكا اللاتينية</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31 أغسطس إلى 3 سبتمبر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البرازيل/الأرجنتين، بوليفيا، شيلي، كولومبيا، كوستاريكا، كوبا، الجمهورية </w:t>
            </w:r>
            <w:proofErr w:type="spellStart"/>
            <w:r w:rsidRPr="0009163D">
              <w:rPr>
                <w:rFonts w:ascii="Arabic Typesetting" w:hAnsi="Arabic Typesetting" w:cs="Arabic Typesetting"/>
                <w:color w:val="000000"/>
                <w:sz w:val="30"/>
                <w:szCs w:val="30"/>
                <w:rtl/>
              </w:rPr>
              <w:t>الدومينيكية</w:t>
            </w:r>
            <w:proofErr w:type="spellEnd"/>
            <w:r w:rsidRPr="0009163D">
              <w:rPr>
                <w:rFonts w:ascii="Arabic Typesetting" w:hAnsi="Arabic Typesetting" w:cs="Arabic Typesetting"/>
                <w:color w:val="000000"/>
                <w:sz w:val="30"/>
                <w:szCs w:val="30"/>
                <w:rtl/>
              </w:rPr>
              <w:t>، إكوادور، السلفادور، غواتيمالا، هندوراس، المكسيك، نيكاراغوا، بنما، باراغواي، بيرو، أوروغواي، فنزويلا</w:t>
            </w:r>
          </w:p>
        </w:tc>
        <w:tc>
          <w:tcPr>
            <w:tcW w:w="425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النهوض بتبادل الخبرات فيما بين موظفي مكاتب الملكية الفكرية الوطنية حول موضوعات محددة، مع التركيز تحديدًا على التعاون الدولي في مجال الملكية الفكرية.</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الإطلاق الإقليمي لمؤشر الابتكار العالمي 2015</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30 سبتمبر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البرازيل/شيلي وكولومبيا وكوستاريكا والمكسيك</w:t>
            </w:r>
          </w:p>
        </w:tc>
        <w:tc>
          <w:tcPr>
            <w:tcW w:w="425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الهدف: (1) نشر نسخة 2015 من مؤشر الابتكار العالمي في إقليم أمريكا اللاتينية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و(2) الجمع بين الخبراء والممثلين من الحكومة وقطاعات الصناعة لمناقشة المسائل المتعلقة باقتصاديات الابتكار.</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برنامج التدريب المتوسط الإقليمي بشأن فحص البراءات لفائدة بلدان أمريكا اللاتينية</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من 23 نوفمبر إلى 4</w:t>
            </w:r>
            <w:r w:rsidRPr="0009163D">
              <w:rPr>
                <w:rFonts w:ascii="Arabic Typesetting" w:hAnsi="Arabic Typesetting" w:cs="Arabic Typesetting" w:hint="eastAsia"/>
                <w:color w:val="000000"/>
                <w:sz w:val="30"/>
                <w:szCs w:val="30"/>
                <w:rtl/>
              </w:rPr>
              <w:t> </w:t>
            </w:r>
            <w:r w:rsidRPr="0009163D">
              <w:rPr>
                <w:rFonts w:ascii="Arabic Typesetting" w:hAnsi="Arabic Typesetting" w:cs="Arabic Typesetting" w:hint="cs"/>
                <w:color w:val="000000"/>
                <w:sz w:val="30"/>
                <w:szCs w:val="30"/>
                <w:rtl/>
              </w:rPr>
              <w:t>ديسمبر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 xml:space="preserve">البرازيل/الأرجنتين وبوليفيا وكولومبيا وكوستاريكا وكوبا والجمهورية </w:t>
            </w:r>
            <w:proofErr w:type="spellStart"/>
            <w:r w:rsidRPr="0009163D">
              <w:rPr>
                <w:rFonts w:ascii="Arabic Typesetting" w:hAnsi="Arabic Typesetting" w:cs="Arabic Typesetting" w:hint="cs"/>
                <w:color w:val="000000"/>
                <w:sz w:val="30"/>
                <w:szCs w:val="30"/>
                <w:rtl/>
              </w:rPr>
              <w:t>الدومينيكية</w:t>
            </w:r>
            <w:proofErr w:type="spellEnd"/>
            <w:r w:rsidRPr="0009163D">
              <w:rPr>
                <w:rFonts w:ascii="Arabic Typesetting" w:hAnsi="Arabic Typesetting" w:cs="Arabic Typesetting" w:hint="cs"/>
                <w:color w:val="000000"/>
                <w:sz w:val="30"/>
                <w:szCs w:val="30"/>
                <w:rtl/>
              </w:rPr>
              <w:t xml:space="preserve"> وإكوادور والسلفادور وغواتيمالا وهندوراس والمكسيك ونيكاراغوا وبنما وباراغواي وبيرو وأوروغواي</w:t>
            </w:r>
          </w:p>
        </w:tc>
        <w:tc>
          <w:tcPr>
            <w:tcW w:w="425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hint="cs"/>
                <w:color w:val="000000"/>
                <w:sz w:val="30"/>
                <w:szCs w:val="30"/>
                <w:rtl/>
              </w:rPr>
              <w:t>تعزيز القدرات على فحص البراءات في بلدان أمريكا اللاتينية</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lastRenderedPageBreak/>
              <w:t>حلقة العمل الإقليمية حول الترخيص المتقدم الناجح للتكنولوجيا</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7 إلى 11 ديسمبر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البرازيل/كوبا وبيرو وأوروغواي</w:t>
            </w:r>
          </w:p>
        </w:tc>
        <w:tc>
          <w:tcPr>
            <w:tcW w:w="425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إثراء معارف مديري التكنولوجيا والمهنيين والمحامين في مجال الابتكار التجاري من المؤسسات الأكاديمية والصناعة فيما يخص: (1) الاستغلال التجاري للملكية الفكرية، مع التركيز بشكل خاص على تسويق الملكية الفكرية وتقييم التكنولوجيا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و(2)</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التفاوض وصياغة اتفاقات الترخيص.</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البرازيل - </w:t>
      </w:r>
      <w:r w:rsidRPr="0009163D">
        <w:rPr>
          <w:rFonts w:ascii="Arabic Typesetting" w:hAnsi="Arabic Typesetting" w:cs="Arabic Typesetting" w:hint="cs"/>
          <w:bCs/>
          <w:sz w:val="34"/>
          <w:szCs w:val="34"/>
          <w:rtl/>
        </w:rPr>
        <w:t>ال</w:t>
      </w:r>
      <w:r w:rsidRPr="0009163D">
        <w:rPr>
          <w:rFonts w:ascii="Arabic Typesetting" w:hAnsi="Arabic Typesetting" w:cs="Arabic Typesetting"/>
          <w:bCs/>
          <w:sz w:val="34"/>
          <w:szCs w:val="34"/>
          <w:rtl/>
        </w:rPr>
        <w:t xml:space="preserve">جنوب في </w:t>
      </w:r>
      <w:r w:rsidRPr="0009163D">
        <w:rPr>
          <w:rFonts w:ascii="Arabic Typesetting" w:hAnsi="Arabic Typesetting" w:cs="Arabic Typesetting" w:hint="cs"/>
          <w:bCs/>
          <w:sz w:val="34"/>
          <w:szCs w:val="34"/>
          <w:rtl/>
        </w:rPr>
        <w:t>2015</w:t>
      </w:r>
    </w:p>
    <w:tbl>
      <w:tblPr>
        <w:bidiVisual/>
        <w:tblW w:w="9073" w:type="dxa"/>
        <w:tblLook w:val="00A0" w:firstRow="1" w:lastRow="0" w:firstColumn="1" w:lastColumn="0" w:noHBand="0" w:noVBand="0"/>
      </w:tblPr>
      <w:tblGrid>
        <w:gridCol w:w="2048"/>
        <w:gridCol w:w="1511"/>
        <w:gridCol w:w="1701"/>
        <w:gridCol w:w="1843"/>
        <w:gridCol w:w="1970"/>
      </w:tblGrid>
      <w:tr w:rsidR="0009163D" w:rsidRPr="0009163D" w:rsidTr="00925848">
        <w:trPr>
          <w:cantSplit/>
          <w:trHeight w:val="488"/>
        </w:trPr>
        <w:tc>
          <w:tcPr>
            <w:tcW w:w="204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1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70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70"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410"/>
        </w:trPr>
        <w:tc>
          <w:tcPr>
            <w:tcW w:w="2048"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384,809</w:t>
            </w:r>
          </w:p>
        </w:tc>
        <w:tc>
          <w:tcPr>
            <w:tcW w:w="151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(17)</w:t>
            </w:r>
          </w:p>
        </w:tc>
        <w:tc>
          <w:tcPr>
            <w:tcW w:w="170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146,478</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70"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238,315</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البرازيل</w:t>
      </w:r>
      <w:r w:rsidRPr="0009163D">
        <w:rPr>
          <w:rFonts w:ascii="Arabic Typesetting" w:hAnsi="Arabic Typesetting" w:cs="Arabic Typesetting" w:hint="cs"/>
          <w:bCs/>
          <w:sz w:val="34"/>
          <w:szCs w:val="34"/>
          <w:rtl/>
        </w:rPr>
        <w:t xml:space="preserve"> </w:t>
      </w:r>
      <w:r w:rsidRPr="0009163D">
        <w:rPr>
          <w:rFonts w:ascii="Arabic Typesetting" w:hAnsi="Arabic Typesetting" w:cs="Arabic Typesetting"/>
          <w:bCs/>
          <w:sz w:val="34"/>
          <w:szCs w:val="34"/>
          <w:rtl/>
        </w:rPr>
        <w:t>–</w:t>
      </w:r>
      <w:r w:rsidRPr="0009163D">
        <w:rPr>
          <w:rFonts w:ascii="Arabic Typesetting" w:hAnsi="Arabic Typesetting" w:cs="Arabic Typesetting" w:hint="cs"/>
          <w:bCs/>
          <w:sz w:val="34"/>
          <w:szCs w:val="34"/>
          <w:rtl/>
        </w:rPr>
        <w:t xml:space="preserve"> برنامج الأمم المتحدة الإنمائي</w:t>
      </w:r>
      <w:r w:rsidRPr="00F96634">
        <w:rPr>
          <w:rFonts w:ascii="Arabic Typesetting" w:hAnsi="Arabic Typesetting" w:cs="Arabic Typesetting"/>
          <w:sz w:val="28"/>
          <w:szCs w:val="28"/>
          <w:vertAlign w:val="superscript"/>
          <w:rtl/>
        </w:rPr>
        <w:footnoteReference w:id="151"/>
      </w:r>
    </w:p>
    <w:tbl>
      <w:tblPr>
        <w:bidiVisual/>
        <w:tblW w:w="9214"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1985"/>
        <w:gridCol w:w="4252"/>
      </w:tblGrid>
      <w:tr w:rsidR="0009163D" w:rsidRPr="0009163D" w:rsidTr="00925848">
        <w:trPr>
          <w:cantSplit/>
          <w:trHeight w:val="315"/>
        </w:trPr>
        <w:tc>
          <w:tcPr>
            <w:tcW w:w="9214" w:type="dxa"/>
            <w:gridSpan w:val="4"/>
            <w:tcBorders>
              <w:top w:val="single" w:sz="4" w:space="0" w:color="000000"/>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lang w:bidi="ar-EG"/>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Height w:val="402"/>
        </w:trPr>
        <w:tc>
          <w:tcPr>
            <w:tcW w:w="1843"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252"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برنامج تدريبي للمفاوضين بشأن تطوير التكنولوجيا</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19 إلى 30 أكتوبر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البرازيل</w:t>
            </w:r>
          </w:p>
        </w:tc>
        <w:tc>
          <w:tcPr>
            <w:tcW w:w="425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تعزيز تدريب 28 مهنيًا في مجال إدارة العمليات التعاونية والتفاوض بشأنها، مع التركيز بشكل خاص على البنود المتعلقة بالملكية الفكرية لتأسيس اتفاقات تطوير التكنولوجيا.</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 xml:space="preserve">الخاصة بصندوق البرازيل </w:t>
      </w:r>
      <w:r w:rsidRPr="0009163D">
        <w:rPr>
          <w:rFonts w:ascii="Arabic Typesetting" w:hAnsi="Arabic Typesetting" w:cs="Arabic Typesetting"/>
          <w:bCs/>
          <w:sz w:val="34"/>
          <w:szCs w:val="34"/>
          <w:rtl/>
        </w:rPr>
        <w:t>–</w:t>
      </w:r>
      <w:r w:rsidRPr="0009163D">
        <w:rPr>
          <w:rFonts w:ascii="Arabic Typesetting" w:hAnsi="Arabic Typesetting" w:cs="Arabic Typesetting" w:hint="cs"/>
          <w:bCs/>
          <w:sz w:val="34"/>
          <w:szCs w:val="34"/>
          <w:rtl/>
        </w:rPr>
        <w:t xml:space="preserve"> برنامج الأمم المتحدة الإنمائي</w:t>
      </w:r>
      <w:r w:rsidRPr="0009163D">
        <w:rPr>
          <w:rFonts w:ascii="Arabic Typesetting" w:hAnsi="Arabic Typesetting" w:cs="Arabic Typesetting"/>
          <w:bCs/>
          <w:sz w:val="34"/>
          <w:szCs w:val="34"/>
          <w:rtl/>
        </w:rPr>
        <w:t xml:space="preserve"> 2015</w:t>
      </w:r>
    </w:p>
    <w:tbl>
      <w:tblPr>
        <w:bidiVisual/>
        <w:tblW w:w="9073" w:type="dxa"/>
        <w:tblLook w:val="00A0" w:firstRow="1" w:lastRow="0" w:firstColumn="1" w:lastColumn="0" w:noHBand="0" w:noVBand="0"/>
      </w:tblPr>
      <w:tblGrid>
        <w:gridCol w:w="2048"/>
        <w:gridCol w:w="1511"/>
        <w:gridCol w:w="1701"/>
        <w:gridCol w:w="1843"/>
        <w:gridCol w:w="1970"/>
      </w:tblGrid>
      <w:tr w:rsidR="0009163D" w:rsidRPr="0009163D" w:rsidTr="00925848">
        <w:trPr>
          <w:cantSplit/>
          <w:trHeight w:val="488"/>
        </w:trPr>
        <w:tc>
          <w:tcPr>
            <w:tcW w:w="204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1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70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70"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410"/>
        </w:trPr>
        <w:tc>
          <w:tcPr>
            <w:tcW w:w="2048"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51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39,489</w:t>
            </w:r>
          </w:p>
        </w:tc>
        <w:tc>
          <w:tcPr>
            <w:tcW w:w="170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39,489</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70"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Pr>
      </w:pPr>
      <w:r w:rsidRPr="0009163D">
        <w:rPr>
          <w:rFonts w:ascii="Arabic Typesetting" w:hAnsi="Arabic Typesetting" w:cs="Arabic Typesetting"/>
          <w:bCs/>
          <w:sz w:val="34"/>
          <w:szCs w:val="34"/>
          <w:rtl/>
        </w:rPr>
        <w:t>الاتحاد الأوروبي (مشروع باكستان)</w:t>
      </w:r>
    </w:p>
    <w:tbl>
      <w:tblPr>
        <w:bidiVisual/>
        <w:tblW w:w="9356" w:type="dxa"/>
        <w:tblInd w:w="2"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1985"/>
        <w:gridCol w:w="4394"/>
      </w:tblGrid>
      <w:tr w:rsidR="0009163D" w:rsidRPr="0009163D" w:rsidTr="00925848">
        <w:trPr>
          <w:cantSplit/>
        </w:trPr>
        <w:tc>
          <w:tcPr>
            <w:tcW w:w="9356"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lang w:bidi="ar-EG"/>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lang w:bidi="ar-EG"/>
              </w:rPr>
              <w:t>2.1</w:t>
            </w:r>
            <w:r w:rsidRPr="0009163D">
              <w:rPr>
                <w:rFonts w:ascii="Arabic Typesetting" w:hAnsi="Arabic Typesetting" w:cs="Arabic Typesetting"/>
                <w:b/>
                <w:bCs/>
                <w:color w:val="000000"/>
                <w:sz w:val="30"/>
                <w:szCs w:val="30"/>
                <w:rtl/>
                <w:lang w:bidi="ar-EG"/>
              </w:rPr>
              <w:t xml:space="preserve"> </w:t>
            </w:r>
            <w:r w:rsidRPr="0009163D">
              <w:rPr>
                <w:rFonts w:ascii="Arabic Typesetting" w:hAnsi="Arabic Typesetting" w:cs="Arabic Typesetting"/>
                <w:color w:val="000000"/>
                <w:sz w:val="30"/>
                <w:szCs w:val="30"/>
                <w:rtl/>
                <w:lang w:bidi="ar-EG"/>
              </w:rPr>
              <w:t>أطر تشريعية وتنظيمية وسياسية مناسبة ومتوازنة للملكية الفكرية</w:t>
            </w:r>
          </w:p>
        </w:tc>
      </w:tr>
      <w:tr w:rsidR="0009163D" w:rsidRPr="0009163D" w:rsidTr="00925848">
        <w:trPr>
          <w:cantSplit/>
        </w:trPr>
        <w:tc>
          <w:tcPr>
            <w:tcW w:w="1843"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lang w:bidi="ar-EG"/>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000000"/>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49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عمل مائدة مستديرة حول وضع استراتيجية الملكية الفكرية الوطنية</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23 إلى 24 أبريل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باكستان/53 مشاركًا</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 استعراض الأهداف الكلية والعناصر الرئيسية لاستراتيجيات الملكية الفكرية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و(2) مناقشة الروابط الممكنة بين استراتيجية الملكية الفكرية الوطنية ومجالات السياسة الرئيسية (التجارة والابتكار والصحة)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و(3) تبادل الآراء حول منهجيات صياغة استراتيجيات الملكية الفكرية وتنفيذها</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و(4) </w:t>
            </w:r>
            <w:r w:rsidRPr="0009163D">
              <w:rPr>
                <w:rFonts w:ascii="Arabic Typesetting" w:hAnsi="Arabic Typesetting" w:cs="Arabic Typesetting" w:hint="cs"/>
                <w:color w:val="000000"/>
                <w:sz w:val="30"/>
                <w:szCs w:val="30"/>
                <w:rtl/>
              </w:rPr>
              <w:t>تحديد</w:t>
            </w:r>
            <w:r w:rsidRPr="0009163D">
              <w:rPr>
                <w:rFonts w:ascii="Arabic Typesetting" w:hAnsi="Arabic Typesetting" w:cs="Arabic Typesetting"/>
                <w:color w:val="000000"/>
                <w:sz w:val="30"/>
                <w:szCs w:val="30"/>
                <w:rtl/>
              </w:rPr>
              <w:t xml:space="preserve"> الإجراءات التي يمكن أن تتخذها السلطات الوطنية لتطوير استراتيجية ملكية فكرية للبلد.</w:t>
            </w:r>
          </w:p>
        </w:tc>
      </w:tr>
      <w:tr w:rsidR="0009163D" w:rsidRPr="0009163D" w:rsidTr="00925848">
        <w:trPr>
          <w:cantSplit/>
          <w:trHeight w:val="315"/>
        </w:trPr>
        <w:tc>
          <w:tcPr>
            <w:tcW w:w="9356" w:type="dxa"/>
            <w:gridSpan w:val="4"/>
            <w:tcBorders>
              <w:top w:val="single" w:sz="4" w:space="0" w:color="000000"/>
              <w:bottom w:val="single" w:sz="4" w:space="0" w:color="auto"/>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color w:val="000000"/>
                <w:sz w:val="30"/>
                <w:szCs w:val="30"/>
              </w:rPr>
            </w:pPr>
            <w:r w:rsidRPr="0009163D">
              <w:rPr>
                <w:rFonts w:ascii="Arabic Typesetting" w:hAnsi="Arabic Typesetting" w:cs="Arabic Typesetting"/>
                <w:b/>
                <w:bCs/>
                <w:color w:val="000000"/>
                <w:sz w:val="30"/>
                <w:szCs w:val="30"/>
                <w:rtl/>
                <w:lang w:bidi="ar-EG"/>
              </w:rPr>
              <w:lastRenderedPageBreak/>
              <w:t>النتيجة:</w:t>
            </w:r>
            <w:r w:rsidRPr="0009163D">
              <w:rPr>
                <w:rFonts w:ascii="Arabic Typesetting" w:hAnsi="Arabic Typesetting" w:cs="Arabic Typesetting"/>
                <w:color w:val="000000"/>
                <w:sz w:val="30"/>
                <w:szCs w:val="30"/>
                <w:rtl/>
                <w:lang w:bidi="ar-EG"/>
              </w:rPr>
              <w:tab/>
              <w:t>ه</w:t>
            </w:r>
            <w:r w:rsidRPr="0009163D">
              <w:rPr>
                <w:rFonts w:ascii="Arabic Typesetting" w:hAnsi="Arabic Typesetting" w:cs="Arabic Typesetting" w:hint="cs"/>
                <w:color w:val="000000"/>
                <w:sz w:val="30"/>
                <w:szCs w:val="30"/>
                <w:rtl/>
                <w:lang w:bidi="ar-EG"/>
              </w:rPr>
              <w:t>4.4</w:t>
            </w:r>
            <w:r w:rsidRPr="0009163D">
              <w:rPr>
                <w:rFonts w:ascii="Arabic Typesetting" w:hAnsi="Arabic Typesetting" w:cs="Arabic Typesetting"/>
                <w:color w:val="000000"/>
                <w:sz w:val="30"/>
                <w:szCs w:val="30"/>
                <w:rtl/>
                <w:lang w:bidi="ar-EG"/>
              </w:rPr>
              <w:t xml:space="preserve"> 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09163D" w:rsidRPr="0009163D" w:rsidTr="00925848">
        <w:trPr>
          <w:cantSplit/>
          <w:trHeight w:val="399"/>
        </w:trPr>
        <w:tc>
          <w:tcPr>
            <w:tcW w:w="1843" w:type="dxa"/>
            <w:tcBorders>
              <w:top w:val="single" w:sz="4" w:space="0" w:color="auto"/>
              <w:left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auto"/>
              <w:bottom w:val="nil"/>
              <w:right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تطوير بوابة مكتب باكستان للملكية الفكرية على </w:t>
            </w:r>
            <w:r w:rsidRPr="0009163D">
              <w:rPr>
                <w:rFonts w:ascii="Arabic Typesetting" w:hAnsi="Arabic Typesetting" w:cs="Arabic Typesetting" w:hint="cs"/>
                <w:color w:val="000000"/>
                <w:sz w:val="30"/>
                <w:szCs w:val="30"/>
                <w:rtl/>
              </w:rPr>
              <w:t>الإنترنت</w:t>
            </w:r>
            <w:r w:rsidRPr="00F96634">
              <w:rPr>
                <w:rFonts w:ascii="Arabic Typesetting" w:hAnsi="Arabic Typesetting" w:cs="Arabic Typesetting"/>
                <w:color w:val="000000"/>
                <w:sz w:val="28"/>
                <w:szCs w:val="28"/>
                <w:vertAlign w:val="superscript"/>
                <w:rtl/>
              </w:rPr>
              <w:footnoteReference w:id="152"/>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يناير إلى ديسمبر 2015</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(مستمر)</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باكستان/مكتب باكستان للملكية الفكرية</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تحديث موقع مكتب باكستان للملكية الفكرية الحالي من خلال إدخال مزايا جديدة مثل: (1) الصحيفة الرسمية للبراءات ومجلات العلامات التجارية عبر الإنترنت</w:t>
            </w:r>
            <w:r w:rsidRPr="0009163D">
              <w:rPr>
                <w:rFonts w:ascii="Arabic Typesetting" w:hAnsi="Arabic Typesetting" w:cs="Arabic Typesetting" w:hint="cs"/>
                <w:color w:val="000000"/>
                <w:sz w:val="30"/>
                <w:szCs w:val="30"/>
                <w:rtl/>
              </w:rPr>
              <w:t xml:space="preserve"> و</w:t>
            </w:r>
            <w:r w:rsidRPr="0009163D">
              <w:rPr>
                <w:rFonts w:ascii="Arabic Typesetting" w:hAnsi="Arabic Typesetting" w:cs="Arabic Typesetting"/>
                <w:color w:val="000000"/>
                <w:sz w:val="30"/>
                <w:szCs w:val="30"/>
                <w:rtl/>
              </w:rPr>
              <w:t xml:space="preserve">(2) الدخول من خلال الإنترنت لفحص وضع طلبات الملكية الفكرية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(3) نفاذ الجمهور إلى عملية البحث في قواعد بيانات الملكية الفكرية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(4) تطبيق شبكة داخلية للتواصل الداخلي بين مكاتب مكتب باكستان للملكية الفكرية في كراتشي ولاهور وإسلام أب</w:t>
            </w:r>
            <w:r w:rsidRPr="0009163D">
              <w:rPr>
                <w:rFonts w:ascii="Arabic Typesetting" w:hAnsi="Arabic Typesetting" w:cs="Arabic Typesetting" w:hint="cs"/>
                <w:color w:val="000000"/>
                <w:sz w:val="30"/>
                <w:szCs w:val="30"/>
                <w:rtl/>
              </w:rPr>
              <w:t>اد.</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تخصيص برمجيات للموارد البشرية والإدارة المالية في مكتب باكستان للملكية الفكرية</w:t>
            </w:r>
            <w:r w:rsidRPr="00F96634">
              <w:rPr>
                <w:rFonts w:ascii="Arabic Typesetting" w:hAnsi="Arabic Typesetting" w:cs="Arabic Typesetting"/>
                <w:color w:val="000000"/>
                <w:sz w:val="28"/>
                <w:szCs w:val="28"/>
                <w:vertAlign w:val="superscript"/>
                <w:rtl/>
              </w:rPr>
              <w:footnoteReference w:id="153"/>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يناير إلى ديسمبر 2015</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(مستمر)</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باكستان/مكتب باكستان للملكية الفكرية</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تعزيز قدرات مكتب باكستان للملكية الفكرية على تقديم خدمات من خلال إدخال أنظمة التشغيل الآلي في الوظائف الأساسية المتعلقة بالموارد البشرية والإدارة المالية.</w:t>
            </w:r>
          </w:p>
        </w:tc>
      </w:tr>
      <w:tr w:rsidR="0009163D" w:rsidRPr="0009163D" w:rsidTr="00925848">
        <w:trPr>
          <w:cantSplit/>
          <w:trHeight w:val="315"/>
        </w:trPr>
        <w:tc>
          <w:tcPr>
            <w:tcW w:w="1843" w:type="dxa"/>
            <w:tcBorders>
              <w:top w:val="nil"/>
              <w:left w:val="single" w:sz="4" w:space="0" w:color="auto"/>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مشاورات لاستعراض الأنشطة الجارية بموجب برنامج المساعدة التقنية المتعلقة بالتجارة (</w:t>
            </w:r>
            <w:r w:rsidRPr="0009163D">
              <w:rPr>
                <w:rFonts w:ascii="Arabic Typesetting" w:hAnsi="Arabic Typesetting" w:cs="Arabic Typesetting"/>
                <w:color w:val="000000"/>
                <w:sz w:val="30"/>
                <w:szCs w:val="30"/>
              </w:rPr>
              <w:t>TRTA-II</w:t>
            </w:r>
            <w:r w:rsidRPr="0009163D">
              <w:rPr>
                <w:rFonts w:ascii="Arabic Typesetting" w:hAnsi="Arabic Typesetting" w:cs="Arabic Typesetting"/>
                <w:color w:val="000000"/>
                <w:sz w:val="30"/>
                <w:szCs w:val="30"/>
                <w:rtl/>
              </w:rPr>
              <w:t>)</w:t>
            </w:r>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20 إلى 24 أبريل 2015</w:t>
            </w:r>
          </w:p>
        </w:tc>
        <w:tc>
          <w:tcPr>
            <w:tcW w:w="198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باكستان/مكتب باكستان للملكية الفكرية واليونيدو</w:t>
            </w:r>
          </w:p>
        </w:tc>
        <w:tc>
          <w:tcPr>
            <w:tcW w:w="4394" w:type="dxa"/>
            <w:tcBorders>
              <w:top w:val="nil"/>
              <w:bottom w:val="single" w:sz="4" w:space="0" w:color="auto"/>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مشاورات مع أصحاب المصلحة الوطنيين (مكتب </w:t>
            </w:r>
            <w:r w:rsidRPr="0009163D">
              <w:rPr>
                <w:rFonts w:ascii="Arabic Typesetting" w:hAnsi="Arabic Typesetting" w:cs="Arabic Typesetting" w:hint="cs"/>
                <w:color w:val="000000"/>
                <w:sz w:val="30"/>
                <w:szCs w:val="30"/>
                <w:rtl/>
              </w:rPr>
              <w:t>باكستان للملكية الفكرية وال</w:t>
            </w:r>
            <w:r w:rsidRPr="0009163D">
              <w:rPr>
                <w:rFonts w:ascii="Arabic Typesetting" w:hAnsi="Arabic Typesetting" w:cs="Arabic Typesetting"/>
                <w:color w:val="000000"/>
                <w:sz w:val="30"/>
                <w:szCs w:val="30"/>
                <w:rtl/>
              </w:rPr>
              <w:t>براءات ومكتب تسجيل العلامات التجارية وحق المؤلف، كراتشي والمكتب الرئيسي لمكتب باكستان للملكية الفكرية ومكتب إدارة مشروعات اليونيدو، إسلام أباد) لاستعراض حالة تنفيذ برنامج المساعدة التقنية المتعلقة بالتجارة والإجراءات الواجبة لضمان الاكتمال الناجح للبرنامج، خاصة لتحقيق نتائج ملموسة.</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الاتحاد الأوروبي (مشروع باكستان) في 2015</w:t>
      </w:r>
    </w:p>
    <w:tbl>
      <w:tblPr>
        <w:bidiVisual/>
        <w:tblW w:w="9229" w:type="dxa"/>
        <w:tblLook w:val="00A0" w:firstRow="1" w:lastRow="0" w:firstColumn="1" w:lastColumn="0" w:noHBand="0" w:noVBand="0"/>
      </w:tblPr>
      <w:tblGrid>
        <w:gridCol w:w="1858"/>
        <w:gridCol w:w="1559"/>
        <w:gridCol w:w="1843"/>
        <w:gridCol w:w="1843"/>
        <w:gridCol w:w="2126"/>
      </w:tblGrid>
      <w:tr w:rsidR="0009163D" w:rsidRPr="0009163D" w:rsidTr="00925848">
        <w:trPr>
          <w:cantSplit/>
          <w:trHeight w:val="518"/>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2126"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400"/>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383,115</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(41,520)</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189,256</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99,868</w:t>
            </w:r>
          </w:p>
        </w:tc>
        <w:tc>
          <w:tcPr>
            <w:tcW w:w="2126"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52,470</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lastRenderedPageBreak/>
        <w:t>فنلندا/حق المؤلف</w:t>
      </w:r>
    </w:p>
    <w:tbl>
      <w:tblPr>
        <w:bidiVisual/>
        <w:tblW w:w="936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131"/>
        <w:gridCol w:w="1134"/>
        <w:gridCol w:w="1984"/>
        <w:gridCol w:w="4112"/>
      </w:tblGrid>
      <w:tr w:rsidR="0009163D" w:rsidRPr="0009163D" w:rsidTr="00925848">
        <w:trPr>
          <w:cantSplit/>
        </w:trPr>
        <w:tc>
          <w:tcPr>
            <w:tcW w:w="9361"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2.5 </w:t>
            </w:r>
            <w:r w:rsidRPr="0009163D">
              <w:rPr>
                <w:rFonts w:ascii="Arabic Typesetting" w:hAnsi="Arabic Typesetting" w:cs="Arabic Typesetting"/>
                <w:color w:val="000000"/>
                <w:sz w:val="30"/>
                <w:szCs w:val="30"/>
                <w:rtl/>
                <w:lang w:bidi="ar-EG"/>
              </w:rPr>
              <w:t>استخدام تحليلات الويبو الاقتصادية في صياغة السياسات العامة على نطاق أوسع ونحو أفضل</w:t>
            </w:r>
          </w:p>
        </w:tc>
      </w:tr>
      <w:tr w:rsidR="0009163D" w:rsidRPr="0009163D" w:rsidTr="00925848">
        <w:trPr>
          <w:cantSplit/>
        </w:trPr>
        <w:tc>
          <w:tcPr>
            <w:tcW w:w="2131"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112"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2131"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نشر النسخة الثانية </w:t>
            </w:r>
            <w:r w:rsidRPr="0009163D">
              <w:rPr>
                <w:rFonts w:ascii="Arabic Typesetting" w:hAnsi="Arabic Typesetting" w:cs="Arabic Typesetting"/>
                <w:i/>
                <w:iCs/>
                <w:color w:val="000000"/>
                <w:sz w:val="30"/>
                <w:szCs w:val="30"/>
                <w:rtl/>
              </w:rPr>
              <w:t>من دليل الويبو الخاص بمسح الإسهامات الاقتصادية للصناعات القائمة على حقوق المؤلف</w:t>
            </w:r>
            <w:r w:rsidRPr="00F96634">
              <w:rPr>
                <w:rFonts w:ascii="Arabic Typesetting" w:hAnsi="Arabic Typesetting" w:cs="Arabic Typesetting"/>
                <w:color w:val="000000"/>
                <w:sz w:val="28"/>
                <w:szCs w:val="28"/>
                <w:vertAlign w:val="superscript"/>
                <w:rtl/>
              </w:rPr>
              <w:footnoteReference w:id="154"/>
            </w:r>
          </w:p>
        </w:tc>
        <w:tc>
          <w:tcPr>
            <w:tcW w:w="1134"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مارس إلى يونيو 2015</w:t>
            </w:r>
          </w:p>
        </w:tc>
        <w:tc>
          <w:tcPr>
            <w:tcW w:w="1984"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جميع البلدان</w:t>
            </w:r>
          </w:p>
        </w:tc>
        <w:tc>
          <w:tcPr>
            <w:tcW w:w="4112"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تحديث أداة الويبو حول عمل مسح </w:t>
            </w:r>
            <w:proofErr w:type="spellStart"/>
            <w:r w:rsidRPr="0009163D">
              <w:rPr>
                <w:rFonts w:ascii="Arabic Typesetting" w:hAnsi="Arabic Typesetting" w:cs="Arabic Typesetting"/>
                <w:color w:val="000000"/>
                <w:sz w:val="30"/>
                <w:szCs w:val="30"/>
                <w:rtl/>
              </w:rPr>
              <w:t>للاسهامات</w:t>
            </w:r>
            <w:proofErr w:type="spellEnd"/>
            <w:r w:rsidRPr="0009163D">
              <w:rPr>
                <w:rFonts w:ascii="Arabic Typesetting" w:hAnsi="Arabic Typesetting" w:cs="Arabic Typesetting"/>
                <w:color w:val="000000"/>
                <w:sz w:val="30"/>
                <w:szCs w:val="30"/>
                <w:rtl/>
              </w:rPr>
              <w:t xml:space="preserve"> الاقتصادية للصناعات القائمة على حقوق المؤلف</w:t>
            </w:r>
          </w:p>
        </w:tc>
      </w:tr>
      <w:tr w:rsidR="0009163D" w:rsidRPr="0009163D" w:rsidTr="00925848">
        <w:trPr>
          <w:cantSplit/>
        </w:trPr>
        <w:tc>
          <w:tcPr>
            <w:tcW w:w="2131"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وضع مبادئ توجيهية لتقييم الأثر الاجتماعي والثقافي لحقوق المؤلف على الصناعات </w:t>
            </w:r>
            <w:r w:rsidRPr="0009163D">
              <w:rPr>
                <w:rFonts w:ascii="Arabic Typesetting" w:hAnsi="Arabic Typesetting" w:cs="Arabic Typesetting" w:hint="cs"/>
                <w:color w:val="000000"/>
                <w:sz w:val="30"/>
                <w:szCs w:val="30"/>
                <w:rtl/>
              </w:rPr>
              <w:t>الإبداعية</w:t>
            </w:r>
          </w:p>
        </w:tc>
        <w:tc>
          <w:tcPr>
            <w:tcW w:w="1134"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 مايو إلى 31 ديسمبر 2015</w:t>
            </w:r>
          </w:p>
        </w:tc>
        <w:tc>
          <w:tcPr>
            <w:tcW w:w="1984"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فنلندا/</w:t>
            </w:r>
            <w:r w:rsidRPr="0009163D">
              <w:rPr>
                <w:rFonts w:ascii="Arabic Typesetting" w:hAnsi="Arabic Typesetting" w:cs="Arabic Typesetting" w:hint="cs"/>
                <w:color w:val="000000"/>
                <w:sz w:val="30"/>
                <w:szCs w:val="30"/>
                <w:rtl/>
              </w:rPr>
              <w:t>كل</w:t>
            </w:r>
            <w:r w:rsidRPr="0009163D">
              <w:rPr>
                <w:rFonts w:ascii="Arabic Typesetting" w:hAnsi="Arabic Typesetting" w:cs="Arabic Typesetting"/>
                <w:color w:val="000000"/>
                <w:sz w:val="30"/>
                <w:szCs w:val="30"/>
                <w:rtl/>
              </w:rPr>
              <w:t xml:space="preserve"> الدول</w:t>
            </w:r>
          </w:p>
        </w:tc>
        <w:tc>
          <w:tcPr>
            <w:tcW w:w="4112"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تدشين مشروع تجريبي لتجريب أداة الويبو لتحليل أثر حق المؤلف الأوسع نطاقًا والانتهاء منها</w:t>
            </w:r>
          </w:p>
        </w:tc>
      </w:tr>
      <w:tr w:rsidR="0009163D" w:rsidRPr="0009163D" w:rsidTr="00925848">
        <w:trPr>
          <w:cantSplit/>
        </w:trPr>
        <w:tc>
          <w:tcPr>
            <w:tcW w:w="2131"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دراسات حول المساهمة الاقتصادية لحقوق المؤلف وتقييم قرصنة حقوق المؤلف</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يناير إلى مايو 2015</w:t>
            </w:r>
          </w:p>
        </w:tc>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إثيوبيا وجمهورية مولدوفا</w:t>
            </w:r>
          </w:p>
        </w:tc>
        <w:tc>
          <w:tcPr>
            <w:tcW w:w="411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الانتهاء من دراستين إضافيتين للويبو للنشر حول الإسهام الاقتصادي لصناعات حقوق المؤلف (إثيوبيا وجمهورية مولدوفا).</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فنلندا/حق المؤلف في 2015</w:t>
      </w:r>
    </w:p>
    <w:tbl>
      <w:tblPr>
        <w:bidiVisual/>
        <w:tblW w:w="9229" w:type="dxa"/>
        <w:tblLook w:val="00A0" w:firstRow="1" w:lastRow="0" w:firstColumn="1" w:lastColumn="0" w:noHBand="0" w:noVBand="0"/>
      </w:tblPr>
      <w:tblGrid>
        <w:gridCol w:w="1716"/>
        <w:gridCol w:w="1701"/>
        <w:gridCol w:w="1985"/>
        <w:gridCol w:w="1701"/>
        <w:gridCol w:w="2126"/>
      </w:tblGrid>
      <w:tr w:rsidR="0009163D" w:rsidRPr="0009163D" w:rsidTr="00925848">
        <w:trPr>
          <w:cantSplit/>
          <w:trHeight w:val="608"/>
        </w:trPr>
        <w:tc>
          <w:tcPr>
            <w:tcW w:w="171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70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985"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70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2126"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409"/>
        </w:trPr>
        <w:tc>
          <w:tcPr>
            <w:tcW w:w="1716"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66,020</w:t>
            </w:r>
          </w:p>
        </w:tc>
        <w:tc>
          <w:tcPr>
            <w:tcW w:w="170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85"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51,660</w:t>
            </w:r>
          </w:p>
        </w:tc>
        <w:tc>
          <w:tcPr>
            <w:tcW w:w="170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2126"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14,360</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فرنسا/الملكية الصناعية</w:t>
      </w:r>
    </w:p>
    <w:tbl>
      <w:tblPr>
        <w:bidiVisual/>
        <w:tblW w:w="935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0"/>
        <w:gridCol w:w="1137"/>
        <w:gridCol w:w="1985"/>
        <w:gridCol w:w="4394"/>
      </w:tblGrid>
      <w:tr w:rsidR="0009163D" w:rsidRPr="0009163D" w:rsidTr="00925848">
        <w:trPr>
          <w:cantSplit/>
        </w:trPr>
        <w:tc>
          <w:tcPr>
            <w:tcW w:w="9356" w:type="dxa"/>
            <w:gridSpan w:val="4"/>
            <w:tcBorders>
              <w:top w:val="single" w:sz="4" w:space="0" w:color="auto"/>
              <w:bottom w:val="single" w:sz="4" w:space="0" w:color="auto"/>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lang w:bidi="ar-EG"/>
              </w:rPr>
            </w:pPr>
            <w:r w:rsidRPr="0009163D">
              <w:rPr>
                <w:rFonts w:ascii="Arabic Typesetting" w:hAnsi="Arabic Typesetting" w:cs="Arabic Typesetting"/>
                <w:b/>
                <w:bCs/>
                <w:color w:val="000000"/>
                <w:sz w:val="30"/>
                <w:szCs w:val="30"/>
                <w:rtl/>
                <w:lang w:bidi="ar-EG"/>
              </w:rPr>
              <w:t>النتيجة:</w:t>
            </w:r>
            <w:r w:rsidRPr="0009163D">
              <w:rPr>
                <w:rFonts w:ascii="Arabic Typesetting" w:hAnsi="Arabic Typesetting" w:cs="Arabic Typesetting"/>
                <w:color w:val="000000"/>
                <w:sz w:val="30"/>
                <w:szCs w:val="30"/>
                <w:rtl/>
                <w:lang w:bidi="ar-EG"/>
              </w:rPr>
              <w:tab/>
              <w:t>ه2.3 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Pr>
        <w:tc>
          <w:tcPr>
            <w:tcW w:w="1840" w:type="dxa"/>
            <w:tcBorders>
              <w:top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7" w:type="dxa"/>
            <w:tcBorders>
              <w:top w:val="single" w:sz="4" w:space="0" w:color="auto"/>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auto"/>
            </w:tcBorders>
            <w:shd w:val="clear" w:color="auto" w:fill="FFFFFF"/>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40"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العمل الإقليمية: "الابتكار من خلال البراءات"</w:t>
            </w:r>
          </w:p>
        </w:tc>
        <w:tc>
          <w:tcPr>
            <w:tcW w:w="1137"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19 إلى 20 مايو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المغرب/15 مشاركًا من الجزائر والمنظمة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الأفريقية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للملكية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الفكرية وتونس</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إشراك الشركات والجامعات ومكاتب الملكية الفكرية ومؤسسات البحث والتطوير والقطاع الخاص لاستخدام معلومات البراءات: (1) في عملية الابتكار و(2) رسملة المعارف و(3) صياغة أفكار جديدة و(4) في عملية حماية الاختراعات واستغلالها.</w:t>
            </w:r>
          </w:p>
        </w:tc>
      </w:tr>
      <w:tr w:rsidR="0009163D" w:rsidRPr="0009163D" w:rsidTr="00925848">
        <w:trPr>
          <w:cantSplit/>
        </w:trPr>
        <w:tc>
          <w:tcPr>
            <w:tcW w:w="1840"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حلقة العمل الوطنية حول </w:t>
            </w:r>
            <w:r w:rsidRPr="0009163D">
              <w:rPr>
                <w:rFonts w:ascii="Arabic Typesetting" w:hAnsi="Arabic Typesetting" w:cs="Arabic Typesetting" w:hint="cs"/>
                <w:color w:val="000000"/>
                <w:sz w:val="30"/>
                <w:szCs w:val="30"/>
                <w:rtl/>
              </w:rPr>
              <w:t>إذكاء الاحترام</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ل</w:t>
            </w:r>
            <w:r w:rsidRPr="0009163D">
              <w:rPr>
                <w:rFonts w:ascii="Arabic Typesetting" w:hAnsi="Arabic Typesetting" w:cs="Arabic Typesetting"/>
                <w:color w:val="000000"/>
                <w:sz w:val="30"/>
                <w:szCs w:val="30"/>
                <w:rtl/>
              </w:rPr>
              <w:t xml:space="preserve">لملكية الفكرية </w:t>
            </w:r>
            <w:r w:rsidRPr="0009163D">
              <w:rPr>
                <w:rFonts w:ascii="Arabic Typesetting" w:hAnsi="Arabic Typesetting" w:cs="Arabic Typesetting" w:hint="cs"/>
                <w:color w:val="000000"/>
                <w:sz w:val="30"/>
                <w:szCs w:val="30"/>
                <w:rtl/>
              </w:rPr>
              <w:t>لدى ال</w:t>
            </w:r>
            <w:r w:rsidRPr="0009163D">
              <w:rPr>
                <w:rFonts w:ascii="Arabic Typesetting" w:hAnsi="Arabic Typesetting" w:cs="Arabic Typesetting"/>
                <w:color w:val="000000"/>
                <w:sz w:val="30"/>
                <w:szCs w:val="30"/>
                <w:rtl/>
              </w:rPr>
              <w:t>قضاة</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حلقة العمل الوطنية حول </w:t>
            </w:r>
            <w:r w:rsidRPr="0009163D">
              <w:rPr>
                <w:rFonts w:ascii="Arabic Typesetting" w:hAnsi="Arabic Typesetting" w:cs="Arabic Typesetting" w:hint="cs"/>
                <w:color w:val="000000"/>
                <w:sz w:val="30"/>
                <w:szCs w:val="30"/>
                <w:rtl/>
              </w:rPr>
              <w:t>إذكاء</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ال</w:t>
            </w:r>
            <w:r w:rsidRPr="0009163D">
              <w:rPr>
                <w:rFonts w:ascii="Arabic Typesetting" w:hAnsi="Arabic Typesetting" w:cs="Arabic Typesetting"/>
                <w:color w:val="000000"/>
                <w:sz w:val="30"/>
                <w:szCs w:val="30"/>
                <w:rtl/>
              </w:rPr>
              <w:t xml:space="preserve">احترام </w:t>
            </w:r>
            <w:r w:rsidRPr="0009163D">
              <w:rPr>
                <w:rFonts w:ascii="Arabic Typesetting" w:hAnsi="Arabic Typesetting" w:cs="Arabic Typesetting" w:hint="cs"/>
                <w:color w:val="000000"/>
                <w:sz w:val="30"/>
                <w:szCs w:val="30"/>
                <w:rtl/>
              </w:rPr>
              <w:t>ل</w:t>
            </w:r>
            <w:r w:rsidRPr="0009163D">
              <w:rPr>
                <w:rFonts w:ascii="Arabic Typesetting" w:hAnsi="Arabic Typesetting" w:cs="Arabic Typesetting"/>
                <w:color w:val="000000"/>
                <w:sz w:val="30"/>
                <w:szCs w:val="30"/>
                <w:rtl/>
              </w:rPr>
              <w:t xml:space="preserve">لملكية الفكرية </w:t>
            </w:r>
            <w:r w:rsidRPr="0009163D">
              <w:rPr>
                <w:rFonts w:ascii="Arabic Typesetting" w:hAnsi="Arabic Typesetting" w:cs="Arabic Typesetting" w:hint="cs"/>
                <w:color w:val="000000"/>
                <w:sz w:val="30"/>
                <w:szCs w:val="30"/>
                <w:rtl/>
              </w:rPr>
              <w:t xml:space="preserve">لدى </w:t>
            </w:r>
            <w:r w:rsidRPr="0009163D">
              <w:rPr>
                <w:rFonts w:ascii="Arabic Typesetting" w:hAnsi="Arabic Typesetting" w:cs="Arabic Typesetting"/>
                <w:color w:val="000000"/>
                <w:sz w:val="30"/>
                <w:szCs w:val="30"/>
                <w:rtl/>
              </w:rPr>
              <w:t>موظفي الجمارك</w:t>
            </w:r>
          </w:p>
        </w:tc>
        <w:tc>
          <w:tcPr>
            <w:tcW w:w="1137"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30 يونيو إلى 2 يوليو 2015</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30 يونيو إلى 1 يوليو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بنن/30 قاضيًا</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p>
          <w:p w:rsidR="0009163D" w:rsidRPr="0009163D" w:rsidRDefault="0009163D" w:rsidP="0009163D">
            <w:pPr>
              <w:autoSpaceDE w:val="0"/>
              <w:autoSpaceDN w:val="0"/>
              <w:bidi/>
              <w:adjustRightInd w:val="0"/>
              <w:spacing w:line="280" w:lineRule="exact"/>
              <w:rPr>
                <w:rFonts w:ascii="Arabic Typesetting" w:hAnsi="Arabic Typesetting" w:cs="Arabic Typesetting"/>
                <w:color w:val="000000"/>
                <w:sz w:val="30"/>
                <w:szCs w:val="30"/>
                <w:rtl/>
              </w:rPr>
            </w:pPr>
          </w:p>
          <w:p w:rsidR="0009163D" w:rsidRPr="0009163D" w:rsidRDefault="0009163D" w:rsidP="0009163D">
            <w:pPr>
              <w:autoSpaceDE w:val="0"/>
              <w:autoSpaceDN w:val="0"/>
              <w:bidi/>
              <w:adjustRightInd w:val="0"/>
              <w:spacing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بنن/15 موظف جمارك</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 تطوير قدرات القضاة وموظفي الجمارك وتعزيزها في بنن في مجال إنفاذ حقوق الملكية الفكرية وبناء احترام الملكية الفكرية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و(2) تحسين المعارف والمهارات لدى المشاركين فيما يخص الإجراءات القانونية وإدارة التقاضي بشأن الملكية الفكرية وتطبيق إجراءات الجمارك لتعزيز استخدام الإجراءات كما هو مذكور في الجزء الثالث من اتفاق تريبس</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و(3) توفير فرص لكل مجموعة مشاركة لتبادل الخبرات ومناقشة التحديات في تنفيذ الأحكام القانونية والتنظيمية بشأن إنفاذ حقوق الملكية الفكرية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و(4) تعريف القضاة بالأدوات التشريعية التي وضعتها الويبو والمنظمة الأفريقية للملكية الفكرية.</w:t>
            </w:r>
          </w:p>
        </w:tc>
      </w:tr>
      <w:tr w:rsidR="0009163D" w:rsidRPr="0009163D" w:rsidTr="00925848">
        <w:trPr>
          <w:cantSplit/>
        </w:trPr>
        <w:tc>
          <w:tcPr>
            <w:tcW w:w="1840"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lastRenderedPageBreak/>
              <w:t>ندوة</w:t>
            </w:r>
            <w:r w:rsidRPr="0009163D">
              <w:rPr>
                <w:rFonts w:ascii="Arabic Typesetting" w:hAnsi="Arabic Typesetting" w:cs="Arabic Typesetting"/>
                <w:color w:val="000000"/>
                <w:sz w:val="30"/>
                <w:szCs w:val="30"/>
                <w:rtl/>
              </w:rPr>
              <w:t xml:space="preserve"> إقليمية حول الابتكار التعاوني والملكية الفكرية: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"تكوين الشراكات بين الجامعات والشركات"</w:t>
            </w:r>
          </w:p>
        </w:tc>
        <w:tc>
          <w:tcPr>
            <w:tcW w:w="1137"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 إلى 3 يوليو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proofErr w:type="spellStart"/>
            <w:r w:rsidRPr="0009163D">
              <w:rPr>
                <w:rFonts w:ascii="Arabic Typesetting" w:hAnsi="Arabic Typesetting" w:cs="Arabic Typesetting"/>
                <w:color w:val="000000"/>
                <w:sz w:val="30"/>
                <w:szCs w:val="30"/>
                <w:rtl/>
              </w:rPr>
              <w:t>فييت</w:t>
            </w:r>
            <w:proofErr w:type="spellEnd"/>
            <w:r w:rsidRPr="0009163D">
              <w:rPr>
                <w:rFonts w:ascii="Arabic Typesetting" w:hAnsi="Arabic Typesetting" w:cs="Arabic Typesetting"/>
                <w:color w:val="000000"/>
                <w:sz w:val="30"/>
                <w:szCs w:val="30"/>
                <w:rtl/>
              </w:rPr>
              <w:t xml:space="preserve"> نام/70 مشاركًا بما في ذلك كمبوديا وجمهورية لاو الديمقراطية الشعبية وميانمار</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(1) تقديم النماذج المختلفة التي تساعد في تأسيس بيئة </w:t>
            </w:r>
            <w:proofErr w:type="spellStart"/>
            <w:r w:rsidRPr="0009163D">
              <w:rPr>
                <w:rFonts w:ascii="Arabic Typesetting" w:hAnsi="Arabic Typesetting" w:cs="Arabic Typesetting"/>
                <w:color w:val="000000"/>
                <w:sz w:val="30"/>
                <w:szCs w:val="30"/>
                <w:rtl/>
              </w:rPr>
              <w:t>مؤاتية</w:t>
            </w:r>
            <w:proofErr w:type="spellEnd"/>
            <w:r w:rsidRPr="0009163D">
              <w:rPr>
                <w:rFonts w:ascii="Arabic Typesetting" w:hAnsi="Arabic Typesetting" w:cs="Arabic Typesetting"/>
                <w:color w:val="000000"/>
                <w:sz w:val="30"/>
                <w:szCs w:val="30"/>
                <w:rtl/>
              </w:rPr>
              <w:t xml:space="preserve"> للابتكار وحماية حقوق الملكية الفكرية؛ و(2) تطوير قدرات الابتكار من خلال الاستخدام الفعال لنظام الملكية الفكرية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و(3) معالجة مواضيع الابتكار التعاوني والابتكار المفتوح.</w:t>
            </w:r>
          </w:p>
        </w:tc>
      </w:tr>
      <w:tr w:rsidR="0009163D" w:rsidRPr="0009163D" w:rsidTr="00925848">
        <w:trPr>
          <w:cantSplit/>
        </w:trPr>
        <w:tc>
          <w:tcPr>
            <w:tcW w:w="1840"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تدريب إقليمي على العلامات التجارية والتزوير للقضاة من دول مجلس التعاون لدول الخليج العربية (</w:t>
            </w:r>
            <w:r w:rsidRPr="0009163D">
              <w:rPr>
                <w:rFonts w:ascii="Arabic Typesetting" w:hAnsi="Arabic Typesetting" w:cs="Arabic Typesetting"/>
                <w:color w:val="000000"/>
                <w:sz w:val="30"/>
                <w:szCs w:val="30"/>
              </w:rPr>
              <w:t>GCC</w:t>
            </w:r>
            <w:r w:rsidRPr="0009163D">
              <w:rPr>
                <w:rFonts w:ascii="Arabic Typesetting" w:hAnsi="Arabic Typesetting" w:cs="Arabic Typesetting"/>
                <w:color w:val="000000"/>
                <w:sz w:val="30"/>
                <w:szCs w:val="30"/>
                <w:rtl/>
              </w:rPr>
              <w:t>)</w:t>
            </w:r>
          </w:p>
        </w:tc>
        <w:tc>
          <w:tcPr>
            <w:tcW w:w="1137"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25 إلى 26 أكتوبر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الإمارات</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العربية المتحدة/</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rPr>
              <w:t>مشاركًا</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البحرين،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الكويت،</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لبنان،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عمان،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قطر،</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المملكة العربية السعودية، الإمارات</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العربية المتحدة</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 توعية القضاء بالملكية الصناعية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و(2) ضمان اتخاذ قرارات المحاكم بما يتماشى مع أحكام القوانين الوطنية والمعاهدات الدولية التي بلدانهم أطرافًا فيها؛ و(3) زيادة الاتساق في القرارات التي يتخذها القضاة سواء على المستوى الوطني أو الإقليمي.</w:t>
            </w:r>
          </w:p>
        </w:tc>
      </w:tr>
      <w:tr w:rsidR="0009163D" w:rsidRPr="0009163D" w:rsidTr="00925848">
        <w:trPr>
          <w:cantSplit/>
        </w:trPr>
        <w:tc>
          <w:tcPr>
            <w:tcW w:w="1840"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الأحداث الجانبية في الدورة الحادية والعشرين لمؤتمر الأطراف في اتفاقية الأمم المتحدة الإطارية بشأن تغير المناخ</w:t>
            </w:r>
          </w:p>
        </w:tc>
        <w:tc>
          <w:tcPr>
            <w:tcW w:w="1137"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30 نوفمبر إلى 11 ديسمبر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فرنسا</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إعطاء الفرصة للشركات الصغيرة والمتوسطة الفرنسية والعالمية للبرهنة على ما يلي: (1) أن الملكية الصناعية ليست عقبة في طريق التنمية المستدامة وحماية المناخ؛ و(2) كيف يمكن للملكية الصناعية أن تسهم في تطوير الابتكارات التي تخفف، من بين أمور أخرى، الآثار السلبية لتغير المناخ.</w:t>
            </w:r>
          </w:p>
        </w:tc>
      </w:tr>
      <w:tr w:rsidR="0009163D" w:rsidRPr="0009163D" w:rsidTr="00925848">
        <w:trPr>
          <w:cantSplit/>
        </w:trPr>
        <w:tc>
          <w:tcPr>
            <w:tcW w:w="1840"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برنامج تدريب </w:t>
            </w:r>
            <w:r w:rsidRPr="0009163D">
              <w:rPr>
                <w:rFonts w:ascii="Arabic Typesetting" w:hAnsi="Arabic Typesetting" w:cs="Arabic Typesetting"/>
                <w:color w:val="000000"/>
                <w:sz w:val="30"/>
                <w:szCs w:val="30"/>
              </w:rPr>
              <w:t>CAPI</w:t>
            </w:r>
            <w:r w:rsidRPr="0009163D">
              <w:rPr>
                <w:rFonts w:ascii="Arabic Typesetting" w:hAnsi="Arabic Typesetting" w:cs="Arabic Typesetting"/>
                <w:color w:val="000000"/>
                <w:sz w:val="30"/>
                <w:szCs w:val="30"/>
                <w:rtl/>
              </w:rPr>
              <w:t xml:space="preserve"> لدى المعهد الوطني للملكية الصناعية (</w:t>
            </w:r>
            <w:r w:rsidRPr="0009163D">
              <w:rPr>
                <w:rFonts w:ascii="Arabic Typesetting" w:hAnsi="Arabic Typesetting" w:cs="Arabic Typesetting"/>
                <w:color w:val="000000"/>
                <w:sz w:val="30"/>
                <w:szCs w:val="30"/>
              </w:rPr>
              <w:t>INPI</w:t>
            </w:r>
            <w:r w:rsidRPr="0009163D">
              <w:rPr>
                <w:rFonts w:ascii="Arabic Typesetting" w:hAnsi="Arabic Typesetting" w:cs="Arabic Typesetting"/>
                <w:color w:val="000000"/>
                <w:sz w:val="30"/>
                <w:szCs w:val="30"/>
                <w:rtl/>
              </w:rPr>
              <w:t>) بفرنسا والمكتب المغربي للملكية الصناعية والتجارية (</w:t>
            </w:r>
            <w:r w:rsidRPr="0009163D">
              <w:rPr>
                <w:rFonts w:ascii="Arabic Typesetting" w:hAnsi="Arabic Typesetting" w:cs="Arabic Typesetting"/>
                <w:color w:val="000000"/>
                <w:sz w:val="30"/>
                <w:szCs w:val="30"/>
              </w:rPr>
              <w:t>OMPIC</w:t>
            </w:r>
            <w:r w:rsidRPr="0009163D">
              <w:rPr>
                <w:rFonts w:ascii="Arabic Typesetting" w:hAnsi="Arabic Typesetting" w:cs="Arabic Typesetting"/>
                <w:color w:val="000000"/>
                <w:sz w:val="30"/>
                <w:szCs w:val="30"/>
                <w:rtl/>
              </w:rPr>
              <w:t>)</w:t>
            </w:r>
          </w:p>
        </w:tc>
        <w:tc>
          <w:tcPr>
            <w:tcW w:w="1137"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12 إلى 31 ديسمبر 2015</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المتوقع الانتهاء في 8 أبريل 2016)</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المغرب/10 مشاركين من الجزائر والكاميرون وكوت</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ديفوار والسنغال وتونس</w:t>
            </w:r>
          </w:p>
        </w:tc>
        <w:tc>
          <w:tcPr>
            <w:tcW w:w="439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برنامج تدريب معتمد يهدف إلى تلبية احتياجات قطاع الأعمال والمهنيين الذين يرغبون في: (1) صقل الخبرة في مجال إدارة حقوق الملكية الصناعية؛ و(2) فهم تحديات الملكية الصناعية؛ و(</w:t>
            </w:r>
            <w:r w:rsidRPr="0009163D">
              <w:rPr>
                <w:rFonts w:ascii="Arabic Typesetting" w:hAnsi="Arabic Typesetting" w:cs="Arabic Typesetting" w:hint="cs"/>
                <w:color w:val="000000"/>
                <w:sz w:val="30"/>
                <w:szCs w:val="30"/>
                <w:rtl/>
              </w:rPr>
              <w:t>3</w:t>
            </w:r>
            <w:r w:rsidRPr="0009163D">
              <w:rPr>
                <w:rFonts w:ascii="Arabic Typesetting" w:hAnsi="Arabic Typesetting" w:cs="Arabic Typesetting"/>
                <w:color w:val="000000"/>
                <w:sz w:val="30"/>
                <w:szCs w:val="30"/>
                <w:rtl/>
              </w:rPr>
              <w:t>)</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تحسين الكفاءة في إدارة الأصول غير الملموسة وتقييمها و(</w:t>
            </w:r>
            <w:r w:rsidRPr="0009163D">
              <w:rPr>
                <w:rFonts w:ascii="Arabic Typesetting" w:hAnsi="Arabic Typesetting" w:cs="Arabic Typesetting" w:hint="cs"/>
                <w:color w:val="000000"/>
                <w:sz w:val="30"/>
                <w:szCs w:val="30"/>
                <w:rtl/>
              </w:rPr>
              <w:t>4</w:t>
            </w:r>
            <w:r w:rsidRPr="0009163D">
              <w:rPr>
                <w:rFonts w:ascii="Arabic Typesetting" w:hAnsi="Arabic Typesetting" w:cs="Arabic Typesetting"/>
                <w:color w:val="000000"/>
                <w:sz w:val="30"/>
                <w:szCs w:val="30"/>
                <w:rtl/>
              </w:rPr>
              <w:t>)</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إتقان استخدام أدوات الحماية والبحث.</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فرنسا/الملكية الصناعية في 2015</w:t>
      </w:r>
    </w:p>
    <w:tbl>
      <w:tblPr>
        <w:bidiVisual/>
        <w:tblW w:w="9087" w:type="dxa"/>
        <w:tblLook w:val="00A0" w:firstRow="1" w:lastRow="0" w:firstColumn="1" w:lastColumn="0" w:noHBand="0" w:noVBand="0"/>
      </w:tblPr>
      <w:tblGrid>
        <w:gridCol w:w="1716"/>
        <w:gridCol w:w="1418"/>
        <w:gridCol w:w="1701"/>
        <w:gridCol w:w="2268"/>
        <w:gridCol w:w="1984"/>
      </w:tblGrid>
      <w:tr w:rsidR="0009163D" w:rsidRPr="0009163D" w:rsidTr="00925848">
        <w:trPr>
          <w:cantSplit/>
          <w:trHeight w:val="600"/>
        </w:trPr>
        <w:tc>
          <w:tcPr>
            <w:tcW w:w="171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418"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70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2268"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484"/>
        </w:trPr>
        <w:tc>
          <w:tcPr>
            <w:tcW w:w="1716"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1,027,640</w:t>
            </w:r>
          </w:p>
        </w:tc>
        <w:tc>
          <w:tcPr>
            <w:tcW w:w="1418"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292,662</w:t>
            </w:r>
          </w:p>
        </w:tc>
        <w:tc>
          <w:tcPr>
            <w:tcW w:w="170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359,804</w:t>
            </w:r>
          </w:p>
        </w:tc>
        <w:tc>
          <w:tcPr>
            <w:tcW w:w="2268"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960,497</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lastRenderedPageBreak/>
        <w:t xml:space="preserve">البرنامج </w:t>
      </w:r>
      <w:proofErr w:type="spellStart"/>
      <w:r w:rsidRPr="0009163D">
        <w:rPr>
          <w:rFonts w:ascii="Arabic Typesetting" w:hAnsi="Arabic Typesetting" w:cs="Arabic Typesetting"/>
          <w:bCs/>
          <w:sz w:val="34"/>
          <w:szCs w:val="34"/>
          <w:rtl/>
        </w:rPr>
        <w:t>ال</w:t>
      </w:r>
      <w:r w:rsidRPr="0009163D">
        <w:rPr>
          <w:rFonts w:ascii="Arabic Typesetting" w:hAnsi="Arabic Typesetting" w:cs="Arabic Typesetting" w:hint="cs"/>
          <w:bCs/>
          <w:sz w:val="34"/>
          <w:szCs w:val="34"/>
          <w:rtl/>
        </w:rPr>
        <w:t>أ</w:t>
      </w:r>
      <w:r w:rsidRPr="0009163D">
        <w:rPr>
          <w:rFonts w:ascii="Arabic Typesetting" w:hAnsi="Arabic Typesetting" w:cs="Arabic Typesetting"/>
          <w:bCs/>
          <w:sz w:val="34"/>
          <w:szCs w:val="34"/>
          <w:rtl/>
        </w:rPr>
        <w:t>يبيري</w:t>
      </w:r>
      <w:proofErr w:type="spellEnd"/>
      <w:r w:rsidRPr="0009163D">
        <w:rPr>
          <w:rFonts w:ascii="Arabic Typesetting" w:hAnsi="Arabic Typesetting" w:cs="Arabic Typesetting" w:hint="cs"/>
          <w:bCs/>
          <w:sz w:val="34"/>
          <w:szCs w:val="34"/>
          <w:rtl/>
        </w:rPr>
        <w:t xml:space="preserve"> </w:t>
      </w:r>
      <w:r w:rsidRPr="0009163D">
        <w:rPr>
          <w:rFonts w:ascii="Arabic Typesetting" w:hAnsi="Arabic Typesetting" w:cs="Arabic Typesetting"/>
          <w:bCs/>
          <w:sz w:val="34"/>
          <w:szCs w:val="34"/>
          <w:rtl/>
        </w:rPr>
        <w:t>–</w:t>
      </w:r>
      <w:r w:rsidRPr="0009163D">
        <w:rPr>
          <w:rFonts w:ascii="Arabic Typesetting" w:hAnsi="Arabic Typesetting" w:cs="Arabic Typesetting" w:hint="cs"/>
          <w:bCs/>
          <w:sz w:val="34"/>
          <w:szCs w:val="34"/>
          <w:rtl/>
        </w:rPr>
        <w:t xml:space="preserve"> </w:t>
      </w:r>
      <w:r w:rsidRPr="0009163D">
        <w:rPr>
          <w:rFonts w:ascii="Arabic Typesetting" w:hAnsi="Arabic Typesetting" w:cs="Arabic Typesetting"/>
          <w:bCs/>
          <w:sz w:val="34"/>
          <w:szCs w:val="34"/>
          <w:rtl/>
        </w:rPr>
        <w:t>الأمريكي للملكية الصناعية</w:t>
      </w:r>
      <w:r w:rsidRPr="00F96634">
        <w:rPr>
          <w:rFonts w:ascii="Arabic Typesetting" w:hAnsi="Arabic Typesetting" w:cs="Arabic Typesetting"/>
          <w:bCs/>
          <w:sz w:val="28"/>
          <w:szCs w:val="28"/>
          <w:vertAlign w:val="superscript"/>
        </w:rPr>
        <w:footnoteReference w:id="155"/>
      </w:r>
    </w:p>
    <w:tbl>
      <w:tblPr>
        <w:bidiVisual/>
        <w:tblW w:w="9356"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2126"/>
        <w:gridCol w:w="4253"/>
      </w:tblGrid>
      <w:tr w:rsidR="0009163D" w:rsidRPr="0009163D" w:rsidTr="00925848">
        <w:trPr>
          <w:cantSplit/>
        </w:trPr>
        <w:tc>
          <w:tcPr>
            <w:tcW w:w="9356"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rPr>
              <w:t xml:space="preserve">كفاءات معززة للموارد </w:t>
            </w:r>
            <w:r w:rsidRPr="0009163D">
              <w:rPr>
                <w:rFonts w:ascii="Arabic Typesetting" w:hAnsi="Arabic Typesetting" w:cs="Arabic Typesetting"/>
                <w:color w:val="000000"/>
                <w:sz w:val="30"/>
                <w:szCs w:val="30"/>
                <w:rtl/>
                <w:lang w:bidi="ar-EG"/>
              </w:rPr>
              <w:t>البشرية</w:t>
            </w:r>
            <w:r w:rsidRPr="0009163D">
              <w:rPr>
                <w:rFonts w:ascii="Arabic Typesetting" w:hAnsi="Arabic Typesetting" w:cs="Arabic Typesetting"/>
                <w:color w:val="000000"/>
                <w:sz w:val="30"/>
                <w:szCs w:val="30"/>
                <w:rtl/>
              </w:rPr>
              <w:t xml:space="preserve">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Pr>
        <w:tc>
          <w:tcPr>
            <w:tcW w:w="1843" w:type="dxa"/>
            <w:tcBorders>
              <w:top w:val="single" w:sz="4" w:space="0" w:color="000000"/>
              <w:bottom w:val="nil"/>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bottom w:val="nil"/>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2126" w:type="dxa"/>
            <w:tcBorders>
              <w:top w:val="single" w:sz="4" w:space="0" w:color="000000"/>
              <w:bottom w:val="nil"/>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253" w:type="dxa"/>
            <w:tcBorders>
              <w:top w:val="single" w:sz="4" w:space="0" w:color="000000"/>
              <w:bottom w:val="nil"/>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520"/>
        </w:trPr>
        <w:tc>
          <w:tcPr>
            <w:tcW w:w="1843" w:type="dxa"/>
            <w:tcBorders>
              <w:top w:val="nil"/>
              <w:bottom w:val="single" w:sz="4" w:space="0" w:color="auto"/>
            </w:tcBorders>
          </w:tcPr>
          <w:p w:rsidR="0009163D" w:rsidRPr="0009163D" w:rsidRDefault="0009163D" w:rsidP="0009163D">
            <w:pPr>
              <w:keepNext/>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برنامج باللغة الإسبانية حول خدمات الملكية الفكرية ومحتوى قطاع المشروعات </w:t>
            </w:r>
            <w:proofErr w:type="spellStart"/>
            <w:r w:rsidRPr="0009163D">
              <w:rPr>
                <w:rFonts w:ascii="Arabic Typesetting" w:hAnsi="Arabic Typesetting" w:cs="Arabic Typesetting"/>
                <w:color w:val="000000"/>
                <w:sz w:val="30"/>
                <w:szCs w:val="30"/>
                <w:rtl/>
              </w:rPr>
              <w:t>الأيبيرية</w:t>
            </w:r>
            <w:proofErr w:type="spellEnd"/>
            <w:r w:rsidRPr="0009163D">
              <w:rPr>
                <w:rFonts w:ascii="Arabic Typesetting" w:hAnsi="Arabic Typesetting" w:cs="Arabic Typesetting"/>
                <w:color w:val="000000"/>
                <w:sz w:val="30"/>
                <w:szCs w:val="30"/>
                <w:rtl/>
              </w:rPr>
              <w:t xml:space="preserve"> الأمريكية مع التركيز بصفة خاصة على الصناعات الصغيرة والمتوسطة</w:t>
            </w:r>
          </w:p>
        </w:tc>
        <w:tc>
          <w:tcPr>
            <w:tcW w:w="1134" w:type="dxa"/>
            <w:tcBorders>
              <w:top w:val="nil"/>
              <w:bottom w:val="single" w:sz="4" w:space="0" w:color="auto"/>
            </w:tcBorders>
          </w:tcPr>
          <w:p w:rsidR="0009163D" w:rsidRPr="0009163D" w:rsidRDefault="0009163D" w:rsidP="0009163D">
            <w:pPr>
              <w:keepNext/>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يناير إلى ديسمبر 2015</w:t>
            </w:r>
          </w:p>
          <w:p w:rsidR="0009163D" w:rsidRPr="0009163D" w:rsidRDefault="0009163D" w:rsidP="0009163D">
            <w:pPr>
              <w:keepNext/>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(مستمر)</w:t>
            </w:r>
          </w:p>
        </w:tc>
        <w:tc>
          <w:tcPr>
            <w:tcW w:w="2126" w:type="dxa"/>
            <w:tcBorders>
              <w:top w:val="nil"/>
              <w:bottom w:val="single" w:sz="4" w:space="0" w:color="auto"/>
            </w:tcBorders>
          </w:tcPr>
          <w:p w:rsidR="0009163D" w:rsidRPr="0009163D" w:rsidRDefault="0009163D" w:rsidP="0009163D">
            <w:pPr>
              <w:keepNext/>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كل الدول </w:t>
            </w:r>
            <w:proofErr w:type="spellStart"/>
            <w:r w:rsidRPr="0009163D">
              <w:rPr>
                <w:rFonts w:ascii="Arabic Typesetting" w:hAnsi="Arabic Typesetting" w:cs="Arabic Typesetting"/>
                <w:color w:val="000000"/>
                <w:sz w:val="30"/>
                <w:szCs w:val="30"/>
                <w:rtl/>
              </w:rPr>
              <w:t>الأيبيرية</w:t>
            </w:r>
            <w:proofErr w:type="spellEnd"/>
            <w:r w:rsidRPr="0009163D">
              <w:rPr>
                <w:rFonts w:ascii="Arabic Typesetting" w:hAnsi="Arabic Typesetting" w:cs="Arabic Typesetting"/>
                <w:color w:val="000000"/>
                <w:sz w:val="30"/>
                <w:szCs w:val="30"/>
                <w:rtl/>
              </w:rPr>
              <w:t xml:space="preserve"> الأمريكية</w:t>
            </w:r>
          </w:p>
        </w:tc>
        <w:tc>
          <w:tcPr>
            <w:tcW w:w="4253" w:type="dxa"/>
            <w:tcBorders>
              <w:top w:val="nil"/>
              <w:bottom w:val="single" w:sz="4" w:space="0" w:color="auto"/>
            </w:tcBorders>
          </w:tcPr>
          <w:p w:rsidR="0009163D" w:rsidRPr="0009163D" w:rsidRDefault="0009163D" w:rsidP="0009163D">
            <w:pPr>
              <w:keepNext/>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تعزيز القدرات ودعم استخدام الملكية الفكرية كأداة هامة من أدوات الأعمال</w:t>
            </w:r>
          </w:p>
        </w:tc>
      </w:tr>
      <w:tr w:rsidR="0009163D" w:rsidRPr="0009163D" w:rsidTr="00925848">
        <w:trPr>
          <w:cantSplit/>
          <w:trHeight w:val="520"/>
        </w:trPr>
        <w:tc>
          <w:tcPr>
            <w:tcW w:w="9356" w:type="dxa"/>
            <w:gridSpan w:val="4"/>
            <w:tcBorders>
              <w:top w:val="single" w:sz="4" w:space="0" w:color="auto"/>
              <w:bottom w:val="single" w:sz="4" w:space="0" w:color="000000"/>
            </w:tcBorders>
            <w:shd w:val="clear" w:color="auto" w:fill="C6D9F1" w:themeFill="text2" w:themeFillTint="33"/>
          </w:tcPr>
          <w:p w:rsidR="0009163D" w:rsidRPr="0009163D" w:rsidDel="00152E3E" w:rsidRDefault="0009163D" w:rsidP="0009163D">
            <w:pPr>
              <w:keepNext/>
              <w:keepLines/>
              <w:bidi/>
              <w:spacing w:before="80" w:after="60" w:line="280" w:lineRule="exact"/>
              <w:ind w:left="1133" w:hanging="1133"/>
              <w:rPr>
                <w:rFonts w:ascii="Arabic Typesetting" w:hAnsi="Arabic Typesetting" w:cs="Arabic Typesetting"/>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ه4.3 آليات وبرامج تعاونية معزّزة ومكيّفة حسب احتياجات البلدان النامية والبلدان الأقل نموا</w:t>
            </w:r>
            <w:r w:rsidRPr="0009163D">
              <w:rPr>
                <w:rFonts w:ascii="Arabic Typesetting" w:hAnsi="Arabic Typesetting" w:cs="Arabic Typesetting"/>
                <w:bCs/>
                <w:color w:val="000000"/>
                <w:sz w:val="30"/>
                <w:szCs w:val="30"/>
              </w:rPr>
              <w:tab/>
            </w:r>
          </w:p>
        </w:tc>
      </w:tr>
      <w:tr w:rsidR="0009163D" w:rsidRPr="0009163D" w:rsidTr="00925848">
        <w:trPr>
          <w:cantSplit/>
          <w:trHeight w:val="520"/>
        </w:trPr>
        <w:tc>
          <w:tcPr>
            <w:tcW w:w="184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التاريخ</w:t>
            </w:r>
          </w:p>
        </w:tc>
        <w:tc>
          <w:tcPr>
            <w:tcW w:w="2126"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الدولة المضيفة/المستفيدون</w:t>
            </w:r>
          </w:p>
        </w:tc>
        <w:tc>
          <w:tcPr>
            <w:tcW w:w="425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Pr>
          <w:p w:rsidR="0009163D" w:rsidRPr="0009163D" w:rsidRDefault="0009163D" w:rsidP="00E14A59">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إعداد تحليل مواقف واقتراح خطة عمل </w:t>
            </w:r>
            <w:r w:rsidR="00E14A59">
              <w:rPr>
                <w:rFonts w:ascii="Arabic Typesetting" w:hAnsi="Arabic Typesetting" w:cs="Arabic Typesetting" w:hint="cs"/>
                <w:color w:val="000000"/>
                <w:sz w:val="30"/>
                <w:szCs w:val="30"/>
                <w:rtl/>
              </w:rPr>
              <w:t>يعدها</w:t>
            </w:r>
            <w:r w:rsidRPr="0009163D">
              <w:rPr>
                <w:rFonts w:ascii="Arabic Typesetting" w:hAnsi="Arabic Typesetting" w:cs="Arabic Typesetting"/>
                <w:color w:val="000000"/>
                <w:sz w:val="30"/>
                <w:szCs w:val="30"/>
                <w:rtl/>
              </w:rPr>
              <w:t xml:space="preserve"> استشاري وخبير خارجي</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يناير إلى ديسمبر 2015</w:t>
            </w:r>
          </w:p>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(مستمر)</w:t>
            </w:r>
          </w:p>
        </w:tc>
        <w:tc>
          <w:tcPr>
            <w:tcW w:w="212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كل الدول </w:t>
            </w:r>
            <w:proofErr w:type="spellStart"/>
            <w:r w:rsidRPr="0009163D">
              <w:rPr>
                <w:rFonts w:ascii="Arabic Typesetting" w:hAnsi="Arabic Typesetting" w:cs="Arabic Typesetting"/>
                <w:color w:val="000000"/>
                <w:sz w:val="30"/>
                <w:szCs w:val="30"/>
                <w:rtl/>
              </w:rPr>
              <w:t>الأيبيرية</w:t>
            </w:r>
            <w:proofErr w:type="spellEnd"/>
            <w:r w:rsidRPr="0009163D">
              <w:rPr>
                <w:rFonts w:ascii="Arabic Typesetting" w:hAnsi="Arabic Typesetting" w:cs="Arabic Typesetting"/>
                <w:color w:val="000000"/>
                <w:sz w:val="30"/>
                <w:szCs w:val="30"/>
                <w:rtl/>
              </w:rPr>
              <w:t xml:space="preserve"> الأمريكية</w:t>
            </w:r>
          </w:p>
        </w:tc>
        <w:tc>
          <w:tcPr>
            <w:tcW w:w="4253"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تصميم خارطة طريق لتعزيز وتطوير خدمات المعلومات الوطنية ووضع جدول تنفيذ بهدف تعزيز القدرات الوطنية.</w:t>
            </w:r>
          </w:p>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التعاون الأفقي بين مكاتب الملكية الفكرية لتقليل الاختلافات فيما يتعلق بإدارة الجودة في مجال تكنولوجيا المعلومات. وتتلخص مهام الاستشاري فيما يلي: (1) اكتشاف </w:t>
            </w:r>
            <w:proofErr w:type="spellStart"/>
            <w:r w:rsidRPr="0009163D">
              <w:rPr>
                <w:rFonts w:ascii="Arabic Typesetting" w:hAnsi="Arabic Typesetting" w:cs="Arabic Typesetting"/>
                <w:color w:val="000000"/>
                <w:sz w:val="30"/>
                <w:szCs w:val="30"/>
                <w:rtl/>
              </w:rPr>
              <w:t>ألفروق</w:t>
            </w:r>
            <w:proofErr w:type="spellEnd"/>
            <w:r w:rsidRPr="0009163D">
              <w:rPr>
                <w:rFonts w:ascii="Arabic Typesetting" w:hAnsi="Arabic Typesetting" w:cs="Arabic Typesetting"/>
                <w:color w:val="000000"/>
                <w:sz w:val="30"/>
                <w:szCs w:val="30"/>
                <w:rtl/>
              </w:rPr>
              <w:t xml:space="preserve"> بين مكاتب الملكية الفكرية فيما يتعلق بإدارة الجودة وتكنولوجيا المعلومات و(2) تصميم برنامج عمل يهدف إلى القضاء على أوجه الاختلاف من خلال التدريب و(3) تنسيق عملية تطبيق هذا المشروع.</w:t>
            </w:r>
          </w:p>
        </w:tc>
      </w:tr>
      <w:tr w:rsidR="0009163D" w:rsidRPr="0009163D" w:rsidTr="00925848">
        <w:trPr>
          <w:cantSplit/>
          <w:trHeight w:val="315"/>
        </w:trPr>
        <w:tc>
          <w:tcPr>
            <w:tcW w:w="1843" w:type="dxa"/>
            <w:tcBorders>
              <w:bottom w:val="single" w:sz="4" w:space="0" w:color="000000"/>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تشجيع التعاون بين مكاتب الملكية الفكرية في أمريكا اللاتينية على خلق برنامج للدول الأعضاء لتسهيل تبادل الخبرات وافضل الممارسات بين المكاتب</w:t>
            </w:r>
            <w:r w:rsidRPr="0009163D">
              <w:rPr>
                <w:rFonts w:ascii="Arabic Typesetting" w:hAnsi="Arabic Typesetting" w:cs="Arabic Typesetting"/>
                <w:color w:val="000000"/>
                <w:sz w:val="30"/>
                <w:szCs w:val="30"/>
              </w:rPr>
              <w:t>.</w:t>
            </w:r>
          </w:p>
        </w:tc>
        <w:tc>
          <w:tcPr>
            <w:tcW w:w="1134" w:type="dxa"/>
            <w:tcBorders>
              <w:bottom w:val="single" w:sz="4" w:space="0" w:color="000000"/>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يناير إلى ديسمبر 2015</w:t>
            </w:r>
          </w:p>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(مستمر)</w:t>
            </w:r>
          </w:p>
        </w:tc>
        <w:tc>
          <w:tcPr>
            <w:tcW w:w="2126" w:type="dxa"/>
            <w:tcBorders>
              <w:bottom w:val="single" w:sz="4" w:space="0" w:color="000000"/>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كل الدول </w:t>
            </w:r>
            <w:proofErr w:type="spellStart"/>
            <w:r w:rsidRPr="0009163D">
              <w:rPr>
                <w:rFonts w:ascii="Arabic Typesetting" w:hAnsi="Arabic Typesetting" w:cs="Arabic Typesetting"/>
                <w:color w:val="000000"/>
                <w:sz w:val="30"/>
                <w:szCs w:val="30"/>
                <w:rtl/>
              </w:rPr>
              <w:t>الأيبيرية</w:t>
            </w:r>
            <w:proofErr w:type="spellEnd"/>
            <w:r w:rsidRPr="0009163D">
              <w:rPr>
                <w:rFonts w:ascii="Arabic Typesetting" w:hAnsi="Arabic Typesetting" w:cs="Arabic Typesetting"/>
                <w:color w:val="000000"/>
                <w:sz w:val="30"/>
                <w:szCs w:val="30"/>
                <w:rtl/>
              </w:rPr>
              <w:t xml:space="preserve"> الأمريكية</w:t>
            </w:r>
          </w:p>
        </w:tc>
        <w:tc>
          <w:tcPr>
            <w:tcW w:w="4253" w:type="dxa"/>
            <w:tcBorders>
              <w:bottom w:val="single" w:sz="4" w:space="0" w:color="000000"/>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تشجيع التبادل الافتراضي لأفضل الممارسات بين مكاتب الملكية الفكرية حول موضوعات مثل (1)</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 xml:space="preserve">إدارة الجودة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(2) تنظيم خدمات التسجيل والمعلومات عبر الإنترنت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(3) توفير قاعدة بيانات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(4) فحص البراءات والتصاميم والعلامات التجارية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(5) تنظيم خدمات المعلومات التكنولوجية والتجارية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(6) تنظيم برامج التدريب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(7) توفير الوساطة أو التحكيم.</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البرنامج </w:t>
      </w:r>
      <w:proofErr w:type="spellStart"/>
      <w:r w:rsidRPr="0009163D">
        <w:rPr>
          <w:rFonts w:ascii="Arabic Typesetting" w:hAnsi="Arabic Typesetting" w:cs="Arabic Typesetting"/>
          <w:bCs/>
          <w:sz w:val="34"/>
          <w:szCs w:val="34"/>
          <w:rtl/>
        </w:rPr>
        <w:t>ال</w:t>
      </w:r>
      <w:r w:rsidRPr="0009163D">
        <w:rPr>
          <w:rFonts w:ascii="Arabic Typesetting" w:hAnsi="Arabic Typesetting" w:cs="Arabic Typesetting" w:hint="cs"/>
          <w:bCs/>
          <w:sz w:val="34"/>
          <w:szCs w:val="34"/>
          <w:rtl/>
        </w:rPr>
        <w:t>أ</w:t>
      </w:r>
      <w:r w:rsidRPr="0009163D">
        <w:rPr>
          <w:rFonts w:ascii="Arabic Typesetting" w:hAnsi="Arabic Typesetting" w:cs="Arabic Typesetting"/>
          <w:bCs/>
          <w:sz w:val="34"/>
          <w:szCs w:val="34"/>
          <w:rtl/>
        </w:rPr>
        <w:t>يبيري</w:t>
      </w:r>
      <w:proofErr w:type="spellEnd"/>
      <w:r w:rsidRPr="0009163D">
        <w:rPr>
          <w:rFonts w:ascii="Arabic Typesetting" w:hAnsi="Arabic Typesetting" w:cs="Arabic Typesetting"/>
          <w:bCs/>
          <w:sz w:val="34"/>
          <w:szCs w:val="34"/>
          <w:rtl/>
        </w:rPr>
        <w:t xml:space="preserve"> –</w:t>
      </w:r>
      <w:r w:rsidRPr="0009163D">
        <w:rPr>
          <w:rFonts w:ascii="Arabic Typesetting" w:hAnsi="Arabic Typesetting" w:cs="Arabic Typesetting" w:hint="cs"/>
          <w:bCs/>
          <w:sz w:val="34"/>
          <w:szCs w:val="34"/>
          <w:rtl/>
        </w:rPr>
        <w:t xml:space="preserve"> </w:t>
      </w:r>
      <w:r w:rsidRPr="0009163D">
        <w:rPr>
          <w:rFonts w:ascii="Arabic Typesetting" w:hAnsi="Arabic Typesetting" w:cs="Arabic Typesetting"/>
          <w:bCs/>
          <w:sz w:val="34"/>
          <w:szCs w:val="34"/>
          <w:rtl/>
        </w:rPr>
        <w:t>الأمريكي للملكية الصناعية في 2015</w:t>
      </w:r>
    </w:p>
    <w:tbl>
      <w:tblPr>
        <w:bidiVisual/>
        <w:tblW w:w="9087" w:type="dxa"/>
        <w:tblLook w:val="00A0" w:firstRow="1" w:lastRow="0" w:firstColumn="1" w:lastColumn="0" w:noHBand="0" w:noVBand="0"/>
      </w:tblPr>
      <w:tblGrid>
        <w:gridCol w:w="1716"/>
        <w:gridCol w:w="1418"/>
        <w:gridCol w:w="1701"/>
        <w:gridCol w:w="2268"/>
        <w:gridCol w:w="1984"/>
      </w:tblGrid>
      <w:tr w:rsidR="0009163D" w:rsidRPr="0009163D" w:rsidTr="00925848">
        <w:trPr>
          <w:cantSplit/>
          <w:trHeight w:val="600"/>
        </w:trPr>
        <w:tc>
          <w:tcPr>
            <w:tcW w:w="1716"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418"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70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2268"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keepNext/>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484"/>
        </w:trPr>
        <w:tc>
          <w:tcPr>
            <w:tcW w:w="1716"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232,961</w:t>
            </w:r>
          </w:p>
        </w:tc>
        <w:tc>
          <w:tcPr>
            <w:tcW w:w="1418"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13,103</w:t>
            </w:r>
          </w:p>
        </w:tc>
        <w:tc>
          <w:tcPr>
            <w:tcW w:w="170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6,110</w:t>
            </w:r>
          </w:p>
        </w:tc>
        <w:tc>
          <w:tcPr>
            <w:tcW w:w="2268"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239,955</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Pr>
      </w:pPr>
      <w:r w:rsidRPr="0009163D">
        <w:rPr>
          <w:rFonts w:ascii="Arabic Typesetting" w:hAnsi="Arabic Typesetting" w:cs="Arabic Typesetting"/>
          <w:bCs/>
          <w:sz w:val="34"/>
          <w:szCs w:val="34"/>
          <w:rtl/>
        </w:rPr>
        <w:lastRenderedPageBreak/>
        <w:t>إيطاليا</w:t>
      </w:r>
    </w:p>
    <w:tbl>
      <w:tblPr>
        <w:bidiVisual/>
        <w:tblW w:w="952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73"/>
        <w:gridCol w:w="1276"/>
        <w:gridCol w:w="1984"/>
        <w:gridCol w:w="4395"/>
      </w:tblGrid>
      <w:tr w:rsidR="0009163D" w:rsidRPr="0009163D" w:rsidTr="00925848">
        <w:trPr>
          <w:cantSplit/>
        </w:trPr>
        <w:tc>
          <w:tcPr>
            <w:tcW w:w="9528"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ه2.4 تحسين النفاذ إلى المعلومات المتعلقة بالملكية الفكرية واستخدامها من قبل مؤسسات الملكية الفكرية والجمهور لتشجيع الابتكار</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والإبداع</w:t>
            </w:r>
          </w:p>
        </w:tc>
      </w:tr>
      <w:tr w:rsidR="0009163D" w:rsidRPr="0009163D" w:rsidTr="00925848">
        <w:trPr>
          <w:cantSplit/>
        </w:trPr>
        <w:tc>
          <w:tcPr>
            <w:tcW w:w="1873"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276" w:type="dxa"/>
            <w:tcBorders>
              <w:top w:val="single" w:sz="4" w:space="0" w:color="000000"/>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000000"/>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73"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خلق قاعدة بيانات للبراءات الوطنية على الإنترنت في المكتب الإيطالي للبراءات والعلامات التجارية</w:t>
            </w:r>
          </w:p>
        </w:tc>
        <w:tc>
          <w:tcPr>
            <w:tcW w:w="1276" w:type="dxa"/>
          </w:tcPr>
          <w:p w:rsidR="0009163D" w:rsidRPr="0009163D" w:rsidRDefault="0009163D" w:rsidP="0009163D">
            <w:pPr>
              <w:bidi/>
              <w:spacing w:before="60" w:after="60"/>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يناير إلى ديسمبر 2015</w:t>
            </w:r>
          </w:p>
          <w:p w:rsidR="0009163D" w:rsidRPr="0009163D" w:rsidRDefault="0009163D" w:rsidP="0009163D">
            <w:pPr>
              <w:bidi/>
              <w:spacing w:before="60" w:after="60"/>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(مستمر)</w:t>
            </w:r>
            <w:r w:rsidRPr="00F96634">
              <w:rPr>
                <w:rFonts w:ascii="Arabic Typesetting" w:hAnsi="Arabic Typesetting" w:cs="Arabic Typesetting"/>
                <w:color w:val="000000"/>
                <w:sz w:val="28"/>
                <w:szCs w:val="28"/>
                <w:vertAlign w:val="superscript"/>
                <w:rtl/>
              </w:rPr>
              <w:footnoteReference w:id="156"/>
            </w:r>
          </w:p>
        </w:tc>
        <w:tc>
          <w:tcPr>
            <w:tcW w:w="1984" w:type="dxa"/>
          </w:tcPr>
          <w:p w:rsidR="0009163D" w:rsidRPr="0009163D" w:rsidRDefault="0009163D" w:rsidP="0009163D">
            <w:pPr>
              <w:bidi/>
              <w:spacing w:before="60" w:after="60"/>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إيطاليا</w:t>
            </w:r>
          </w:p>
        </w:tc>
        <w:tc>
          <w:tcPr>
            <w:tcW w:w="4395"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(1) </w:t>
            </w:r>
            <w:r w:rsidRPr="0009163D">
              <w:rPr>
                <w:rFonts w:ascii="Arabic Typesetting" w:hAnsi="Arabic Typesetting" w:cs="Arabic Typesetting"/>
                <w:color w:val="000000"/>
                <w:sz w:val="30"/>
                <w:szCs w:val="30"/>
                <w:rtl/>
              </w:rPr>
              <w:t>تسهيل مشاركة إيطاليا في الترتيبات الحالية متعددة الأطراف لتبادل معلومات ومستندات البراءات</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(2) وضع </w:t>
            </w:r>
            <w:proofErr w:type="spellStart"/>
            <w:r w:rsidRPr="0009163D">
              <w:rPr>
                <w:rFonts w:ascii="Arabic Typesetting" w:hAnsi="Arabic Typesetting" w:cs="Arabic Typesetting"/>
                <w:color w:val="000000"/>
                <w:sz w:val="30"/>
                <w:szCs w:val="30"/>
                <w:rtl/>
              </w:rPr>
              <w:t>اسس</w:t>
            </w:r>
            <w:proofErr w:type="spellEnd"/>
            <w:r w:rsidRPr="0009163D">
              <w:rPr>
                <w:rFonts w:ascii="Arabic Typesetting" w:hAnsi="Arabic Typesetting" w:cs="Arabic Typesetting"/>
                <w:color w:val="000000"/>
                <w:sz w:val="30"/>
                <w:szCs w:val="30"/>
                <w:rtl/>
              </w:rPr>
              <w:t xml:space="preserve"> مشاركة إيطاليا في قاعدة بيانات </w:t>
            </w:r>
            <w:proofErr w:type="spellStart"/>
            <w:r w:rsidRPr="0009163D">
              <w:rPr>
                <w:rFonts w:ascii="Arabic Typesetting" w:hAnsi="Arabic Typesetting" w:cs="Arabic Typesetting"/>
                <w:color w:val="000000"/>
                <w:sz w:val="30"/>
                <w:szCs w:val="30"/>
                <w:rtl/>
              </w:rPr>
              <w:t>بايتينت</w:t>
            </w:r>
            <w:proofErr w:type="spellEnd"/>
            <w:r w:rsidRPr="0009163D">
              <w:rPr>
                <w:rFonts w:ascii="Arabic Typesetting" w:hAnsi="Arabic Typesetting" w:cs="Arabic Typesetting"/>
                <w:color w:val="000000"/>
                <w:sz w:val="30"/>
                <w:szCs w:val="30"/>
                <w:rtl/>
              </w:rPr>
              <w:t xml:space="preserve"> سكوب وفي قواعد بيانات البراءات الدولية الأخرى (مثل </w:t>
            </w:r>
            <w:proofErr w:type="spellStart"/>
            <w:r w:rsidRPr="0009163D">
              <w:rPr>
                <w:rFonts w:ascii="Arabic Typesetting" w:hAnsi="Arabic Typesetting" w:cs="Arabic Typesetting"/>
                <w:color w:val="000000"/>
                <w:sz w:val="30"/>
                <w:szCs w:val="30"/>
                <w:rtl/>
              </w:rPr>
              <w:t>اسبيسنيت</w:t>
            </w:r>
            <w:proofErr w:type="spellEnd"/>
            <w:r w:rsidRPr="0009163D">
              <w:rPr>
                <w:rFonts w:ascii="Arabic Typesetting" w:hAnsi="Arabic Typesetting" w:cs="Arabic Typesetting"/>
                <w:color w:val="000000"/>
                <w:sz w:val="30"/>
                <w:szCs w:val="30"/>
                <w:rtl/>
              </w:rPr>
              <w:t>)</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و(3) المشاركة في زيادة التوعية بمجموعات البراءات الرقمية </w:t>
            </w:r>
            <w:proofErr w:type="spellStart"/>
            <w:r w:rsidRPr="0009163D">
              <w:rPr>
                <w:rFonts w:ascii="Arabic Typesetting" w:hAnsi="Arabic Typesetting" w:cs="Arabic Typesetting"/>
                <w:color w:val="000000"/>
                <w:sz w:val="30"/>
                <w:szCs w:val="30"/>
                <w:rtl/>
              </w:rPr>
              <w:t>لمصحلة</w:t>
            </w:r>
            <w:proofErr w:type="spellEnd"/>
            <w:r w:rsidRPr="0009163D">
              <w:rPr>
                <w:rFonts w:ascii="Arabic Typesetting" w:hAnsi="Arabic Typesetting" w:cs="Arabic Typesetting"/>
                <w:color w:val="000000"/>
                <w:sz w:val="30"/>
                <w:szCs w:val="30"/>
                <w:rtl/>
              </w:rPr>
              <w:t xml:space="preserve"> الدول الأعضاء بالويبو بما في ذلك الدول النامية.</w:t>
            </w:r>
          </w:p>
        </w:tc>
      </w:tr>
      <w:tr w:rsidR="0009163D" w:rsidRPr="0009163D" w:rsidTr="00925848">
        <w:trPr>
          <w:cantSplit/>
        </w:trPr>
        <w:tc>
          <w:tcPr>
            <w:tcW w:w="1873"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استعراض المحتوى ونشر دليل حول الملكية الفكرية لشركات الأغذية الزراعية الصغيرة والمتوسطة</w:t>
            </w:r>
            <w:r w:rsidRPr="00F96634">
              <w:rPr>
                <w:rFonts w:ascii="Arabic Typesetting" w:hAnsi="Arabic Typesetting" w:cs="Arabic Typesetting"/>
                <w:color w:val="000000"/>
                <w:sz w:val="28"/>
                <w:szCs w:val="28"/>
                <w:vertAlign w:val="superscript"/>
                <w:rtl/>
              </w:rPr>
              <w:footnoteReference w:id="157"/>
            </w:r>
          </w:p>
        </w:tc>
        <w:tc>
          <w:tcPr>
            <w:tcW w:w="1276" w:type="dxa"/>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يناير إلى يوليو</w:t>
            </w:r>
            <w:r w:rsidRPr="0009163D">
              <w:rPr>
                <w:rFonts w:ascii="Arabic Typesetting" w:hAnsi="Arabic Typesetting" w:cs="Arabic Typesetting" w:hint="cs"/>
                <w:color w:val="000000"/>
                <w:sz w:val="30"/>
                <w:szCs w:val="30"/>
                <w:rtl/>
              </w:rPr>
              <w:t xml:space="preserve"> 2015</w:t>
            </w:r>
            <w:r w:rsidRPr="00F96634">
              <w:rPr>
                <w:rFonts w:ascii="Arabic Typesetting" w:hAnsi="Arabic Typesetting" w:cs="Arabic Typesetting"/>
                <w:color w:val="000000"/>
                <w:sz w:val="28"/>
                <w:szCs w:val="28"/>
                <w:vertAlign w:val="superscript"/>
                <w:rtl/>
              </w:rPr>
              <w:footnoteReference w:id="158"/>
            </w:r>
          </w:p>
        </w:tc>
        <w:tc>
          <w:tcPr>
            <w:tcW w:w="1984" w:type="dxa"/>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إيطاليا</w:t>
            </w:r>
            <w:r w:rsidRPr="0009163D">
              <w:rPr>
                <w:rFonts w:ascii="Arabic Typesetting" w:hAnsi="Arabic Typesetting" w:cs="Arabic Typesetting"/>
                <w:color w:val="000000"/>
                <w:sz w:val="30"/>
                <w:szCs w:val="30"/>
              </w:rPr>
              <w:t xml:space="preserve"> </w:t>
            </w:r>
          </w:p>
        </w:tc>
        <w:tc>
          <w:tcPr>
            <w:tcW w:w="4395" w:type="dxa"/>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نشر الدليل وتوزيعه في معرض ميلانو الدولي 2015، والذي تمحور حول "تغذية الكوكب، طاقة للحياة"، أسهم في تسليط الضوء على استخدام الملكية الفكرية في عالم شركات الأغذية الزراعية.</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إيطاليا في 2015</w:t>
      </w:r>
    </w:p>
    <w:tbl>
      <w:tblPr>
        <w:bidiVisual/>
        <w:tblW w:w="9436" w:type="dxa"/>
        <w:tblLook w:val="00A0" w:firstRow="1" w:lastRow="0" w:firstColumn="1" w:lastColumn="0" w:noHBand="0" w:noVBand="0"/>
      </w:tblPr>
      <w:tblGrid>
        <w:gridCol w:w="1858"/>
        <w:gridCol w:w="1559"/>
        <w:gridCol w:w="1701"/>
        <w:gridCol w:w="2050"/>
        <w:gridCol w:w="2268"/>
      </w:tblGrid>
      <w:tr w:rsidR="0009163D" w:rsidRPr="0009163D" w:rsidTr="00925848">
        <w:trPr>
          <w:cantSplit/>
          <w:trHeight w:val="778"/>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701"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2050"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2268"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801"/>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1,233,536</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701"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436,938</w:t>
            </w:r>
          </w:p>
        </w:tc>
        <w:tc>
          <w:tcPr>
            <w:tcW w:w="2050"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2268"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796,598</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اليابان/حق المؤلف</w:t>
      </w:r>
    </w:p>
    <w:tbl>
      <w:tblPr>
        <w:bidiVisual/>
        <w:tblW w:w="949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2126"/>
        <w:gridCol w:w="4395"/>
      </w:tblGrid>
      <w:tr w:rsidR="0009163D" w:rsidRPr="0009163D" w:rsidTr="00925848">
        <w:trPr>
          <w:cantSplit/>
        </w:trPr>
        <w:tc>
          <w:tcPr>
            <w:tcW w:w="9498"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Pr>
        <w:tc>
          <w:tcPr>
            <w:tcW w:w="1843" w:type="dxa"/>
            <w:tcBorders>
              <w:top w:val="single" w:sz="4" w:space="0" w:color="000000"/>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bottom w:val="nil"/>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2126" w:type="dxa"/>
            <w:tcBorders>
              <w:top w:val="single" w:sz="4" w:space="0" w:color="000000"/>
              <w:bottom w:val="nil"/>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bottom w:val="nil"/>
            </w:tcBorders>
            <w:shd w:val="clear" w:color="auto" w:fill="FFFFFF"/>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09163D">
        <w:trPr>
          <w:cantSplit/>
          <w:trHeight w:val="520"/>
        </w:trPr>
        <w:tc>
          <w:tcPr>
            <w:tcW w:w="1843" w:type="dxa"/>
            <w:tcBorders>
              <w:top w:val="nil"/>
              <w:bottom w:val="nil"/>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عمل وطنية حول حق المؤلف والحقوق المجاورة</w:t>
            </w:r>
          </w:p>
        </w:tc>
        <w:tc>
          <w:tcPr>
            <w:tcW w:w="1134" w:type="dxa"/>
            <w:tcBorders>
              <w:top w:val="nil"/>
              <w:bottom w:val="nil"/>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3 إلى 4 مارس 2015</w:t>
            </w:r>
          </w:p>
        </w:tc>
        <w:tc>
          <w:tcPr>
            <w:tcW w:w="2126" w:type="dxa"/>
            <w:tcBorders>
              <w:top w:val="nil"/>
              <w:bottom w:val="nil"/>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بنغلاديش/أكثر من 50 مشاركًا محليًا</w:t>
            </w:r>
          </w:p>
        </w:tc>
        <w:tc>
          <w:tcPr>
            <w:tcW w:w="4395" w:type="dxa"/>
            <w:tcBorders>
              <w:top w:val="nil"/>
              <w:bottom w:val="nil"/>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زيادة الوعي بأهمية حقوق المؤلف والحقوق المجاورة ودورها في الإسهام في التنمية الثقافية والاقتصادية.</w:t>
            </w:r>
          </w:p>
        </w:tc>
      </w:tr>
      <w:tr w:rsidR="0009163D" w:rsidRPr="0009163D" w:rsidTr="0009163D">
        <w:trPr>
          <w:cantSplit/>
          <w:trHeight w:val="520"/>
        </w:trPr>
        <w:tc>
          <w:tcPr>
            <w:tcW w:w="1843" w:type="dxa"/>
            <w:tcBorders>
              <w:top w:val="nil"/>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عمل وطنية دور حق المؤلف والحقوق المجاورة في التنمية الثقافية والاجتماعية</w:t>
            </w:r>
          </w:p>
        </w:tc>
        <w:tc>
          <w:tcPr>
            <w:tcW w:w="1134" w:type="dxa"/>
            <w:tcBorders>
              <w:top w:val="nil"/>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6 إلى 7 يوليو 2015</w:t>
            </w:r>
          </w:p>
        </w:tc>
        <w:tc>
          <w:tcPr>
            <w:tcW w:w="2126" w:type="dxa"/>
            <w:tcBorders>
              <w:top w:val="nil"/>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ميانمار/حوالي 90 مشاركًا</w:t>
            </w:r>
          </w:p>
        </w:tc>
        <w:tc>
          <w:tcPr>
            <w:tcW w:w="4395" w:type="dxa"/>
            <w:tcBorders>
              <w:top w:val="nil"/>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 xml:space="preserve">فهم أفضل لدور حق المؤلف والحقوق المجاورة في التنمية الثقافية والاقتصادية؛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 xml:space="preserve">(2) تشجيع الاستغلال الفعال للمصنفات الثقافية من خلال حق المؤلف والحقوق المجاورة. </w:t>
            </w:r>
          </w:p>
        </w:tc>
      </w:tr>
      <w:tr w:rsidR="0009163D" w:rsidRPr="0009163D" w:rsidTr="0009163D">
        <w:trPr>
          <w:cantSplit/>
          <w:trHeight w:val="520"/>
        </w:trPr>
        <w:tc>
          <w:tcPr>
            <w:tcW w:w="1843" w:type="dxa"/>
            <w:tcBorders>
              <w:top w:val="single" w:sz="4" w:space="0" w:color="auto"/>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lastRenderedPageBreak/>
              <w:t>حلقة عمل وطنية حول حق المؤلف والحقوق المجاورة والمسائل الناشئة</w:t>
            </w:r>
          </w:p>
        </w:tc>
        <w:tc>
          <w:tcPr>
            <w:tcW w:w="1134" w:type="dxa"/>
            <w:tcBorders>
              <w:top w:val="single" w:sz="4" w:space="0" w:color="auto"/>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5 إلى 6 أغسطس 2015</w:t>
            </w:r>
          </w:p>
        </w:tc>
        <w:tc>
          <w:tcPr>
            <w:tcW w:w="2126" w:type="dxa"/>
            <w:tcBorders>
              <w:top w:val="single" w:sz="4" w:space="0" w:color="auto"/>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proofErr w:type="spellStart"/>
            <w:r w:rsidRPr="0009163D">
              <w:rPr>
                <w:rFonts w:ascii="Arabic Typesetting" w:hAnsi="Arabic Typesetting" w:cs="Arabic Typesetting"/>
                <w:color w:val="000000"/>
                <w:sz w:val="30"/>
                <w:szCs w:val="30"/>
                <w:rtl/>
              </w:rPr>
              <w:t>فييت</w:t>
            </w:r>
            <w:proofErr w:type="spellEnd"/>
            <w:r w:rsidRPr="0009163D">
              <w:rPr>
                <w:rFonts w:ascii="Arabic Typesetting" w:hAnsi="Arabic Typesetting" w:cs="Arabic Typesetting"/>
                <w:color w:val="000000"/>
                <w:sz w:val="30"/>
                <w:szCs w:val="30"/>
                <w:rtl/>
              </w:rPr>
              <w:t xml:space="preserve"> نام/حوالي 100 مشارك محلي</w:t>
            </w:r>
          </w:p>
        </w:tc>
        <w:tc>
          <w:tcPr>
            <w:tcW w:w="4395" w:type="dxa"/>
            <w:tcBorders>
              <w:top w:val="single" w:sz="4" w:space="0" w:color="auto"/>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(1) فهم أفضل للتطورات الأخيرة في حق المؤلف والحقوق المجاورة فضلا عن التكنولوجيا وآثارها على نظام حق المؤلف؛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(2) مناقشة القضايا والتحديات في مجال حق المؤلف والحقوق المجاورة في البيئة الرقمية.</w:t>
            </w:r>
          </w:p>
        </w:tc>
      </w:tr>
      <w:tr w:rsidR="0009163D" w:rsidRPr="0009163D" w:rsidTr="00925848">
        <w:trPr>
          <w:cantSplit/>
          <w:trHeight w:val="520"/>
        </w:trPr>
        <w:tc>
          <w:tcPr>
            <w:tcW w:w="9498" w:type="dxa"/>
            <w:gridSpan w:val="4"/>
            <w:tcBorders>
              <w:top w:val="single" w:sz="4" w:space="0" w:color="auto"/>
              <w:bottom w:val="single" w:sz="4" w:space="0" w:color="000000"/>
            </w:tcBorders>
            <w:shd w:val="clear" w:color="auto" w:fill="C6D9F1" w:themeFill="text2" w:themeFillTint="33"/>
          </w:tcPr>
          <w:p w:rsidR="0009163D" w:rsidRPr="0009163D" w:rsidDel="00152E3E"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ه4.4 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09163D" w:rsidRPr="0009163D" w:rsidTr="00925848">
        <w:trPr>
          <w:cantSplit/>
          <w:trHeight w:val="520"/>
        </w:trPr>
        <w:tc>
          <w:tcPr>
            <w:tcW w:w="1843"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2126"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عمل حول حماية حق المؤلف والحقوق المجاورة</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 إلى 13 فبراير 2015</w:t>
            </w:r>
          </w:p>
        </w:tc>
        <w:tc>
          <w:tcPr>
            <w:tcW w:w="212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اليابان/</w:t>
            </w:r>
            <w:r w:rsidRPr="0009163D">
              <w:rPr>
                <w:rFonts w:ascii="Arabic Typesetting" w:hAnsi="Arabic Typesetting" w:cs="Arabic Typesetting" w:hint="cs"/>
                <w:color w:val="000000"/>
                <w:sz w:val="30"/>
                <w:szCs w:val="30"/>
                <w:rtl/>
              </w:rPr>
              <w:t xml:space="preserve">11 </w:t>
            </w:r>
            <w:r w:rsidRPr="0009163D">
              <w:rPr>
                <w:rFonts w:ascii="Arabic Typesetting" w:hAnsi="Arabic Typesetting" w:cs="Arabic Typesetting"/>
                <w:color w:val="000000"/>
                <w:sz w:val="30"/>
                <w:szCs w:val="30"/>
                <w:rtl/>
              </w:rPr>
              <w:t>مشاركا</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الصين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 xml:space="preserve">والهند وماليزيا والفلبين وسري </w:t>
            </w:r>
            <w:proofErr w:type="spellStart"/>
            <w:r w:rsidRPr="0009163D">
              <w:rPr>
                <w:rFonts w:ascii="Arabic Typesetting" w:hAnsi="Arabic Typesetting" w:cs="Arabic Typesetting"/>
                <w:color w:val="000000"/>
                <w:sz w:val="30"/>
                <w:szCs w:val="30"/>
                <w:rtl/>
              </w:rPr>
              <w:t>لانكا</w:t>
            </w:r>
            <w:proofErr w:type="spellEnd"/>
            <w:r w:rsidRPr="0009163D">
              <w:rPr>
                <w:rFonts w:ascii="Arabic Typesetting" w:hAnsi="Arabic Typesetting" w:cs="Arabic Typesetting"/>
                <w:color w:val="000000"/>
                <w:sz w:val="30"/>
                <w:szCs w:val="30"/>
                <w:rtl/>
              </w:rPr>
              <w:t xml:space="preserve"> وتايلند</w:t>
            </w:r>
          </w:p>
        </w:tc>
        <w:tc>
          <w:tcPr>
            <w:tcW w:w="4395"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توعية مسؤولين من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مكاتب حق المؤلف</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و غيرها من المؤسسات المعنية في منطقة آسيا والمحيط الهادئ</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بأهمية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حماية حق المؤلف</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والحقوق المجاورة</w:t>
            </w:r>
            <w:r w:rsidRPr="0009163D">
              <w:rPr>
                <w:rFonts w:ascii="Arabic Typesetting" w:hAnsi="Arabic Typesetting" w:cs="Arabic Typesetting"/>
                <w:color w:val="000000"/>
                <w:sz w:val="30"/>
                <w:szCs w:val="30"/>
              </w:rPr>
              <w:t>.</w:t>
            </w:r>
          </w:p>
        </w:tc>
      </w:tr>
      <w:tr w:rsidR="0009163D" w:rsidRPr="0009163D" w:rsidTr="00925848">
        <w:trPr>
          <w:cantSplit/>
          <w:trHeight w:val="315"/>
        </w:trPr>
        <w:tc>
          <w:tcPr>
            <w:tcW w:w="1843"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زيارة دراسية إلى منظمات إدارة حق المؤلف</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9 إلى 13 فبراير 2015</w:t>
            </w:r>
          </w:p>
        </w:tc>
        <w:tc>
          <w:tcPr>
            <w:tcW w:w="212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اليابان</w:t>
            </w:r>
            <w:r w:rsidRPr="0009163D">
              <w:rPr>
                <w:rFonts w:ascii="Arabic Typesetting" w:hAnsi="Arabic Typesetting" w:cs="Arabic Typesetting"/>
                <w:color w:val="000000"/>
                <w:sz w:val="30"/>
                <w:szCs w:val="30"/>
                <w:rtl/>
              </w:rPr>
              <w:t xml:space="preserve">/8 </w:t>
            </w:r>
            <w:r w:rsidRPr="0009163D">
              <w:rPr>
                <w:rFonts w:ascii="Arabic Typesetting" w:hAnsi="Arabic Typesetting" w:cs="Arabic Typesetting" w:hint="cs"/>
                <w:color w:val="000000"/>
                <w:sz w:val="30"/>
                <w:szCs w:val="30"/>
                <w:rtl/>
              </w:rPr>
              <w:t>مشاركين</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من بوتان و</w:t>
            </w:r>
            <w:r w:rsidRPr="0009163D">
              <w:rPr>
                <w:rFonts w:ascii="Arabic Typesetting" w:hAnsi="Arabic Typesetting" w:cs="Arabic Typesetting"/>
                <w:color w:val="000000"/>
                <w:sz w:val="30"/>
                <w:szCs w:val="30"/>
                <w:rtl/>
              </w:rPr>
              <w:t>كمبوديا وجمهورية لاو الديمقراطية الشعبية وميانمار</w:t>
            </w:r>
          </w:p>
        </w:tc>
        <w:tc>
          <w:tcPr>
            <w:tcW w:w="4395"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(1)</w:t>
            </w:r>
            <w:r w:rsidRPr="0009163D">
              <w:rPr>
                <w:rFonts w:ascii="Arabic Typesetting" w:hAnsi="Arabic Typesetting" w:cs="Arabic Typesetting"/>
                <w:color w:val="000000"/>
                <w:sz w:val="30"/>
                <w:szCs w:val="30"/>
                <w:rtl/>
              </w:rPr>
              <w:t xml:space="preserve"> تعميق</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المعرفة والفهم</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للمشاركين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في</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مجال</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إدارة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قضايا حق المؤلف</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و(2) تيسير</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التنسيق والتعاون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بين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مكاتب حق المؤلف</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ومنظمات إدارة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حق المؤلف و(3) معرفة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التجربة اليابانية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في</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مجال حق المؤلف</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والحقوق المجاورة</w:t>
            </w:r>
            <w:r w:rsidRPr="0009163D">
              <w:rPr>
                <w:rFonts w:ascii="Arabic Typesetting" w:hAnsi="Arabic Typesetting" w:cs="Arabic Typesetting"/>
                <w:color w:val="000000"/>
                <w:sz w:val="30"/>
                <w:szCs w:val="30"/>
              </w:rPr>
              <w:t>.</w:t>
            </w:r>
          </w:p>
        </w:tc>
      </w:tr>
      <w:tr w:rsidR="0009163D" w:rsidRPr="0009163D" w:rsidTr="00925848">
        <w:trPr>
          <w:cantSplit/>
          <w:trHeight w:val="315"/>
        </w:trPr>
        <w:tc>
          <w:tcPr>
            <w:tcW w:w="1843"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حلقة عمل حول حماية حق المؤلف والحقوق المجاورة</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19 إلى 30 أكتوبر 2015</w:t>
            </w:r>
          </w:p>
        </w:tc>
        <w:tc>
          <w:tcPr>
            <w:tcW w:w="212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اليابان/</w:t>
            </w:r>
            <w:r w:rsidRPr="0009163D">
              <w:rPr>
                <w:rFonts w:ascii="Arabic Typesetting" w:hAnsi="Arabic Typesetting" w:cs="Arabic Typesetting" w:hint="cs"/>
                <w:color w:val="000000"/>
                <w:sz w:val="30"/>
                <w:szCs w:val="30"/>
                <w:rtl/>
              </w:rPr>
              <w:t>10</w:t>
            </w:r>
            <w:r w:rsidRPr="0009163D">
              <w:rPr>
                <w:rFonts w:ascii="Arabic Typesetting" w:hAnsi="Arabic Typesetting" w:cs="Arabic Typesetting"/>
                <w:color w:val="000000"/>
                <w:sz w:val="30"/>
                <w:szCs w:val="30"/>
                <w:rtl/>
              </w:rPr>
              <w:t xml:space="preserve"> مشاركين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إندونيسيا</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وماليزيا والفلبين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 xml:space="preserve">وتايلند </w:t>
            </w:r>
            <w:proofErr w:type="spellStart"/>
            <w:r w:rsidRPr="0009163D">
              <w:rPr>
                <w:rFonts w:ascii="Arabic Typesetting" w:hAnsi="Arabic Typesetting" w:cs="Arabic Typesetting"/>
                <w:color w:val="000000"/>
                <w:sz w:val="30"/>
                <w:szCs w:val="30"/>
                <w:rtl/>
              </w:rPr>
              <w:t>وفييت</w:t>
            </w:r>
            <w:proofErr w:type="spellEnd"/>
            <w:r w:rsidRPr="0009163D">
              <w:rPr>
                <w:rFonts w:ascii="Arabic Typesetting" w:hAnsi="Arabic Typesetting" w:cs="Arabic Typesetting"/>
                <w:color w:val="000000"/>
                <w:sz w:val="30"/>
                <w:szCs w:val="30"/>
                <w:rtl/>
              </w:rPr>
              <w:t xml:space="preserve"> نام</w:t>
            </w:r>
          </w:p>
        </w:tc>
        <w:tc>
          <w:tcPr>
            <w:tcW w:w="4395"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 xml:space="preserve">توعية مسؤولين من مكاتب حق المؤلف و غيرها من المؤسسات المعنية في منطقة آسيا والمحيط الهادئ بأهمية حماية حق المؤلف والحقوق المجاورة و(2) تبادل الخبرات مع الزملاء اليابانيين. </w:t>
            </w:r>
          </w:p>
        </w:tc>
      </w:tr>
      <w:tr w:rsidR="0009163D" w:rsidRPr="0009163D" w:rsidTr="00925848">
        <w:trPr>
          <w:cantSplit/>
          <w:trHeight w:val="315"/>
        </w:trPr>
        <w:tc>
          <w:tcPr>
            <w:tcW w:w="1843"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زيارة دراسية إلى منظمات إدارة حق المؤلف</w:t>
            </w:r>
          </w:p>
        </w:tc>
        <w:tc>
          <w:tcPr>
            <w:tcW w:w="1134"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26 إلى 30 أكتوبر 2015</w:t>
            </w:r>
          </w:p>
        </w:tc>
        <w:tc>
          <w:tcPr>
            <w:tcW w:w="2126"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اليابان/6 مشاركين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من بنغلاديش،</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ومنغوليا، وسري</w:t>
            </w:r>
            <w:r w:rsidRPr="0009163D">
              <w:rPr>
                <w:rFonts w:ascii="Arabic Typesetting" w:hAnsi="Arabic Typesetting" w:cs="Arabic Typesetting" w:hint="cs"/>
                <w:color w:val="000000"/>
                <w:sz w:val="30"/>
                <w:szCs w:val="30"/>
                <w:rtl/>
              </w:rPr>
              <w:t> </w:t>
            </w:r>
            <w:proofErr w:type="spellStart"/>
            <w:r w:rsidRPr="0009163D">
              <w:rPr>
                <w:rFonts w:ascii="Arabic Typesetting" w:hAnsi="Arabic Typesetting" w:cs="Arabic Typesetting"/>
                <w:color w:val="000000"/>
                <w:sz w:val="30"/>
                <w:szCs w:val="30"/>
                <w:rtl/>
              </w:rPr>
              <w:t>لانكا</w:t>
            </w:r>
            <w:proofErr w:type="spellEnd"/>
          </w:p>
        </w:tc>
        <w:tc>
          <w:tcPr>
            <w:tcW w:w="4395" w:type="dxa"/>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 تعميق المعرفة والفهم للمشاركين في مجال إدارة قضايا حق المؤلف. و(2) تيسير التنسيق والتعاون بين مكاتب حق المؤلف ومنظمات إدارة حق المؤلف و(3) معرفة التجربة اليابانية في مجال حق المؤلف والحقوق المجاورة</w:t>
            </w:r>
            <w:r w:rsidRPr="0009163D">
              <w:rPr>
                <w:rFonts w:ascii="Arabic Typesetting" w:hAnsi="Arabic Typesetting" w:cs="Arabic Typesetting" w:hint="cs"/>
                <w:color w:val="000000"/>
                <w:sz w:val="30"/>
                <w:szCs w:val="30"/>
                <w:rtl/>
              </w:rPr>
              <w:t>.</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اليابان/حق المؤلف في 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339,511</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469,462</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464,038</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344,935</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اليابان/الملكية الصناعية</w:t>
      </w:r>
    </w:p>
    <w:tbl>
      <w:tblPr>
        <w:bidiVisual/>
        <w:tblW w:w="5000" w:type="pct"/>
        <w:tblBorders>
          <w:top w:val="single" w:sz="4" w:space="0" w:color="000000"/>
          <w:left w:val="single" w:sz="4" w:space="0" w:color="000000"/>
          <w:bottom w:val="single" w:sz="4" w:space="0" w:color="000000"/>
          <w:right w:val="single" w:sz="4" w:space="0" w:color="000000"/>
        </w:tblBorders>
        <w:tblLook w:val="0000" w:firstRow="0" w:lastRow="0" w:firstColumn="0" w:lastColumn="0" w:noHBand="0" w:noVBand="0"/>
      </w:tblPr>
      <w:tblGrid>
        <w:gridCol w:w="1910"/>
        <w:gridCol w:w="113"/>
        <w:gridCol w:w="404"/>
        <w:gridCol w:w="639"/>
        <w:gridCol w:w="59"/>
        <w:gridCol w:w="301"/>
        <w:gridCol w:w="1663"/>
        <w:gridCol w:w="197"/>
        <w:gridCol w:w="567"/>
        <w:gridCol w:w="3708"/>
        <w:gridCol w:w="10"/>
      </w:tblGrid>
      <w:tr w:rsidR="0009163D" w:rsidRPr="0009163D" w:rsidTr="00925848">
        <w:trPr>
          <w:gridAfter w:val="1"/>
          <w:wAfter w:w="5" w:type="pct"/>
          <w:cantSplit/>
        </w:trPr>
        <w:tc>
          <w:tcPr>
            <w:tcW w:w="4995" w:type="pct"/>
            <w:gridSpan w:val="10"/>
            <w:tcBorders>
              <w:top w:val="single" w:sz="4" w:space="0" w:color="000000"/>
              <w:bottom w:val="single" w:sz="4" w:space="0" w:color="auto"/>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lang w:val="en-AU" w:bidi="ar-EG"/>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ه2.3 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gridAfter w:val="1"/>
          <w:wAfter w:w="5" w:type="pct"/>
          <w:cantSplit/>
        </w:trPr>
        <w:tc>
          <w:tcPr>
            <w:tcW w:w="1057" w:type="pct"/>
            <w:gridSpan w:val="2"/>
            <w:tcBorders>
              <w:top w:val="single" w:sz="4" w:space="0" w:color="auto"/>
              <w:left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576" w:type="pct"/>
            <w:gridSpan w:val="3"/>
            <w:tcBorders>
              <w:top w:val="single" w:sz="4" w:space="0" w:color="auto"/>
              <w:bottom w:val="nil"/>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129" w:type="pct"/>
            <w:gridSpan w:val="3"/>
            <w:tcBorders>
              <w:top w:val="single" w:sz="4" w:space="0" w:color="auto"/>
              <w:bottom w:val="nil"/>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2233" w:type="pct"/>
            <w:gridSpan w:val="2"/>
            <w:tcBorders>
              <w:top w:val="single" w:sz="4" w:space="0" w:color="auto"/>
              <w:bottom w:val="nil"/>
              <w:right w:val="single" w:sz="4" w:space="0" w:color="auto"/>
            </w:tcBorders>
            <w:shd w:val="clear" w:color="auto" w:fill="FFFFFF"/>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473"/>
        </w:trPr>
        <w:tc>
          <w:tcPr>
            <w:tcW w:w="1057" w:type="pct"/>
            <w:gridSpan w:val="2"/>
            <w:tcBorders>
              <w:top w:val="nil"/>
              <w:left w:val="single" w:sz="4" w:space="0" w:color="auto"/>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دورة تدريبية عن ممارسات الفحص في برنامج الملكية الصناعية الأساسي</w:t>
            </w:r>
            <w:r w:rsidRPr="0009163D">
              <w:rPr>
                <w:rFonts w:ascii="Arabic Typesetting" w:hAnsi="Arabic Typesetting" w:cs="Arabic Typesetting"/>
                <w:color w:val="000000"/>
                <w:sz w:val="30"/>
                <w:szCs w:val="30"/>
              </w:rPr>
              <w:t xml:space="preserve"> </w:t>
            </w:r>
          </w:p>
        </w:tc>
        <w:tc>
          <w:tcPr>
            <w:tcW w:w="576" w:type="pct"/>
            <w:gridSpan w:val="3"/>
            <w:tcBorders>
              <w:top w:val="nil"/>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من 19 إلى 30 يناير 2015</w:t>
            </w:r>
          </w:p>
        </w:tc>
        <w:tc>
          <w:tcPr>
            <w:tcW w:w="1129" w:type="pct"/>
            <w:gridSpan w:val="3"/>
            <w:tcBorders>
              <w:top w:val="nil"/>
              <w:bottom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اليابان/أفغانستان،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الجزائر،</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بروني</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دار السلام،</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كمبوديا،</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شيلي،</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إندونيسيا،</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كينيا،</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جمهورية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لاو الديمقراطية الشعبية،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مدغشقر،</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ماليزيا،</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ميانمار،</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باكستان،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بيرو،</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سنغافورة،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 xml:space="preserve">سري </w:t>
            </w:r>
            <w:proofErr w:type="spellStart"/>
            <w:r w:rsidRPr="0009163D">
              <w:rPr>
                <w:rFonts w:ascii="Arabic Typesetting" w:hAnsi="Arabic Typesetting" w:cs="Arabic Typesetting"/>
                <w:color w:val="000000"/>
                <w:sz w:val="30"/>
                <w:szCs w:val="30"/>
                <w:rtl/>
              </w:rPr>
              <w:t>لانكا</w:t>
            </w:r>
            <w:proofErr w:type="spellEnd"/>
            <w:r w:rsidRPr="0009163D">
              <w:rPr>
                <w:rFonts w:ascii="Arabic Typesetting" w:hAnsi="Arabic Typesetting" w:cs="Arabic Typesetting"/>
                <w:color w:val="000000"/>
                <w:sz w:val="30"/>
                <w:szCs w:val="30"/>
                <w:rtl/>
              </w:rPr>
              <w:t>،</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طاجيكستان،</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hint="cs"/>
                <w:color w:val="000000"/>
                <w:sz w:val="30"/>
                <w:szCs w:val="30"/>
                <w:rtl/>
              </w:rPr>
              <w:t>جمهورية تنزانيا المتحدة</w:t>
            </w:r>
            <w:r w:rsidRPr="0009163D">
              <w:rPr>
                <w:rFonts w:ascii="Arabic Typesetting" w:hAnsi="Arabic Typesetting" w:cs="Arabic Typesetting"/>
                <w:color w:val="000000"/>
                <w:sz w:val="30"/>
                <w:szCs w:val="30"/>
                <w:rtl/>
              </w:rPr>
              <w:t xml:space="preserve">، </w:t>
            </w:r>
            <w:proofErr w:type="spellStart"/>
            <w:r w:rsidRPr="0009163D">
              <w:rPr>
                <w:rFonts w:ascii="Arabic Typesetting" w:hAnsi="Arabic Typesetting" w:cs="Arabic Typesetting"/>
                <w:color w:val="000000"/>
                <w:sz w:val="30"/>
                <w:szCs w:val="30"/>
                <w:rtl/>
              </w:rPr>
              <w:t>فييت</w:t>
            </w:r>
            <w:proofErr w:type="spellEnd"/>
            <w:r w:rsidRPr="0009163D">
              <w:rPr>
                <w:rFonts w:ascii="Arabic Typesetting" w:hAnsi="Arabic Typesetting" w:cs="Arabic Typesetting"/>
                <w:color w:val="000000"/>
                <w:sz w:val="30"/>
                <w:szCs w:val="30"/>
                <w:rtl/>
              </w:rPr>
              <w:t xml:space="preserve"> نام، الأريبو</w:t>
            </w:r>
          </w:p>
        </w:tc>
        <w:tc>
          <w:tcPr>
            <w:tcW w:w="2239" w:type="pct"/>
            <w:gridSpan w:val="3"/>
            <w:tcBorders>
              <w:top w:val="nil"/>
              <w:bottom w:val="single" w:sz="4" w:space="0" w:color="auto"/>
              <w:right w:val="single" w:sz="4" w:space="0" w:color="auto"/>
            </w:tcBorders>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إثراء المعرفة الأساسية الهامة بالقوانين وإجراءات الفحص الموضوعي في مجال فحص حقوق الملكية الصناعية</w:t>
            </w:r>
            <w:r w:rsidRPr="0009163D">
              <w:rPr>
                <w:rFonts w:ascii="Arabic Typesetting" w:hAnsi="Arabic Typesetting" w:cs="Arabic Typesetting" w:hint="cs"/>
                <w:color w:val="000000"/>
                <w:sz w:val="30"/>
                <w:szCs w:val="30"/>
                <w:rtl/>
              </w:rPr>
              <w:t>.</w:t>
            </w:r>
          </w:p>
        </w:tc>
      </w:tr>
      <w:tr w:rsidR="0009163D" w:rsidRPr="0009163D" w:rsidTr="00925848">
        <w:trPr>
          <w:cantSplit/>
          <w:trHeight w:val="473"/>
        </w:trPr>
        <w:tc>
          <w:tcPr>
            <w:tcW w:w="1057" w:type="pct"/>
            <w:gridSpan w:val="2"/>
            <w:tcBorders>
              <w:top w:val="single" w:sz="4" w:space="0" w:color="auto"/>
              <w:left w:val="single" w:sz="4" w:space="0" w:color="auto"/>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lastRenderedPageBreak/>
              <w:t>دورة تدريبية عن إدارة الملكية الفكرية ووضع خطط مكاتب الملكية الفكرية القائمة على النتائج وتنفيذها</w:t>
            </w:r>
          </w:p>
        </w:tc>
        <w:tc>
          <w:tcPr>
            <w:tcW w:w="576" w:type="pct"/>
            <w:gridSpan w:val="3"/>
            <w:tcBorders>
              <w:top w:val="single" w:sz="4" w:space="0" w:color="auto"/>
              <w:bottom w:val="nil"/>
            </w:tcBorders>
          </w:tcPr>
          <w:p w:rsidR="0009163D" w:rsidRPr="0009163D" w:rsidRDefault="0009163D" w:rsidP="0009163D">
            <w:pPr>
              <w:bidi/>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من 6 إلى 13 فبراير 2015</w:t>
            </w:r>
          </w:p>
        </w:tc>
        <w:tc>
          <w:tcPr>
            <w:tcW w:w="1129" w:type="pct"/>
            <w:gridSpan w:val="3"/>
            <w:tcBorders>
              <w:top w:val="single" w:sz="4" w:space="0" w:color="auto"/>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اليابان/بنغلاديش،</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البرازيل،</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بروني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دار السلام،</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كمبوديا، شيلي،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الهند، إندونيسيا، جمهورية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لاو الديمقراطية الشعبية،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ماليزيا،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المكسيك،</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المغرب،</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ميانمار،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نيجيريا،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باكستان،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بيرو،</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الفلبين،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سنغافورة،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جنوب</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أفريقيا،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 xml:space="preserve">تايلند، </w:t>
            </w:r>
            <w:proofErr w:type="spellStart"/>
            <w:r w:rsidRPr="0009163D">
              <w:rPr>
                <w:rFonts w:ascii="Arabic Typesetting" w:hAnsi="Arabic Typesetting" w:cs="Arabic Typesetting"/>
                <w:sz w:val="30"/>
                <w:szCs w:val="30"/>
                <w:rtl/>
                <w:lang w:bidi="ar-EG"/>
              </w:rPr>
              <w:t>فييت</w:t>
            </w:r>
            <w:proofErr w:type="spellEnd"/>
            <w:r w:rsidRPr="0009163D">
              <w:rPr>
                <w:rFonts w:ascii="Arabic Typesetting" w:hAnsi="Arabic Typesetting" w:cs="Arabic Typesetting"/>
                <w:sz w:val="30"/>
                <w:szCs w:val="30"/>
                <w:rtl/>
                <w:lang w:bidi="ar-EG"/>
              </w:rPr>
              <w:t xml:space="preserve"> نام</w:t>
            </w:r>
          </w:p>
        </w:tc>
        <w:tc>
          <w:tcPr>
            <w:tcW w:w="2239" w:type="pct"/>
            <w:gridSpan w:val="3"/>
            <w:tcBorders>
              <w:top w:val="single" w:sz="4" w:space="0" w:color="auto"/>
              <w:bottom w:val="nil"/>
              <w:right w:val="single" w:sz="4" w:space="0" w:color="auto"/>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(1)</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زيادة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معرفة المشاركين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بالممارسات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الحديثة لإدارة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الملكية الفكرية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بما في ذلك طريقة وضع السياسات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والاستراتيجيات والخطط لتكوين الكفاءات لفائدة فاحصي البراءات وكذلك إدارة الجودة في فحص البراءات؛ و(2) تعزيز</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قدرة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المشاركين على</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صياغة خطط مكاتب الملكية الفكرية وتنفيذها وتقييمها بحيث تكون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محددة زمنيا وموجهة نحو النتائج</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ويكون لها تأثير ملموس</w:t>
            </w:r>
            <w:r w:rsidRPr="0009163D">
              <w:rPr>
                <w:rFonts w:ascii="Arabic Typesetting" w:hAnsi="Arabic Typesetting" w:cs="Arabic Typesetting"/>
                <w:sz w:val="30"/>
                <w:szCs w:val="30"/>
                <w:lang w:bidi="ar-EG"/>
              </w:rPr>
              <w:t>.</w:t>
            </w:r>
          </w:p>
        </w:tc>
      </w:tr>
      <w:tr w:rsidR="0009163D" w:rsidRPr="0009163D" w:rsidTr="00925848">
        <w:trPr>
          <w:cantSplit/>
          <w:trHeight w:val="365"/>
        </w:trPr>
        <w:tc>
          <w:tcPr>
            <w:tcW w:w="1057" w:type="pct"/>
            <w:gridSpan w:val="2"/>
            <w:tcBorders>
              <w:top w:val="nil"/>
              <w:left w:val="single" w:sz="4" w:space="0" w:color="auto"/>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دورة تدريبية لفاحصي البراءات حول تكنولوجيا محددة (المستحضرات الصيدلانية)</w:t>
            </w:r>
          </w:p>
        </w:tc>
        <w:tc>
          <w:tcPr>
            <w:tcW w:w="576" w:type="pct"/>
            <w:gridSpan w:val="3"/>
            <w:tcBorders>
              <w:top w:val="nil"/>
              <w:bottom w:val="nil"/>
            </w:tcBorders>
          </w:tcPr>
          <w:p w:rsidR="0009163D" w:rsidRPr="0009163D" w:rsidRDefault="0009163D" w:rsidP="0009163D">
            <w:pPr>
              <w:bidi/>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من 19 إلى 26 فبراير 2015</w:t>
            </w:r>
          </w:p>
        </w:tc>
        <w:tc>
          <w:tcPr>
            <w:tcW w:w="1129" w:type="pct"/>
            <w:gridSpan w:val="3"/>
            <w:tcBorders>
              <w:top w:val="nil"/>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اليابان/الصين،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مصر،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الهند،</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إندونيسيا،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ماليزيا،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باكستان،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الفلبين،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تايلند،</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تركيا،</w:t>
            </w:r>
            <w:r w:rsidRPr="0009163D">
              <w:rPr>
                <w:rFonts w:ascii="Arabic Typesetting" w:hAnsi="Arabic Typesetting" w:cs="Arabic Typesetting"/>
                <w:sz w:val="30"/>
                <w:szCs w:val="30"/>
                <w:lang w:bidi="ar-EG"/>
              </w:rPr>
              <w:t xml:space="preserve"> </w:t>
            </w:r>
            <w:proofErr w:type="spellStart"/>
            <w:r w:rsidRPr="0009163D">
              <w:rPr>
                <w:rFonts w:ascii="Arabic Typesetting" w:hAnsi="Arabic Typesetting" w:cs="Arabic Typesetting"/>
                <w:sz w:val="30"/>
                <w:szCs w:val="30"/>
                <w:rtl/>
                <w:lang w:bidi="ar-EG"/>
              </w:rPr>
              <w:t>فييت</w:t>
            </w:r>
            <w:proofErr w:type="spellEnd"/>
            <w:r w:rsidRPr="0009163D">
              <w:rPr>
                <w:rFonts w:ascii="Arabic Typesetting" w:hAnsi="Arabic Typesetting" w:cs="Arabic Typesetting" w:hint="cs"/>
                <w:sz w:val="30"/>
                <w:szCs w:val="30"/>
                <w:rtl/>
                <w:lang w:bidi="ar-EG"/>
              </w:rPr>
              <w:t> </w:t>
            </w:r>
            <w:r w:rsidRPr="0009163D">
              <w:rPr>
                <w:rFonts w:ascii="Arabic Typesetting" w:hAnsi="Arabic Typesetting" w:cs="Arabic Typesetting"/>
                <w:sz w:val="30"/>
                <w:szCs w:val="30"/>
                <w:rtl/>
                <w:lang w:bidi="ar-EG"/>
              </w:rPr>
              <w:t>نام، الأريبو</w:t>
            </w:r>
          </w:p>
        </w:tc>
        <w:tc>
          <w:tcPr>
            <w:tcW w:w="2239" w:type="pct"/>
            <w:gridSpan w:val="3"/>
            <w:tcBorders>
              <w:top w:val="nil"/>
              <w:bottom w:val="nil"/>
              <w:right w:val="single" w:sz="4" w:space="0" w:color="auto"/>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(1)</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تعريف</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المشاركين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بالاتجاهات الحالية والممارسات الحديثة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 فحص</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براءات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المستحضرات الصيدلانية و(2) نقل المعرفة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العملية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ووجهات النظر حول</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منهجيات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فحص البراءات و(3) إتاحة الفرصة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لتبادل الخبرات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والآراء بشأن مسائل</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فحص البراءات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المشاركين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و(4) تعزيز</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قدرات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المشاركين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المهنية لفحص</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براءات المستحضرات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الصيدلانية</w:t>
            </w:r>
            <w:r w:rsidRPr="0009163D">
              <w:rPr>
                <w:rFonts w:ascii="Arabic Typesetting" w:hAnsi="Arabic Typesetting" w:cs="Arabic Typesetting"/>
                <w:sz w:val="30"/>
                <w:szCs w:val="30"/>
                <w:lang w:bidi="ar-EG"/>
              </w:rPr>
              <w:t>.</w:t>
            </w:r>
          </w:p>
        </w:tc>
      </w:tr>
      <w:tr w:rsidR="0009163D" w:rsidRPr="0009163D" w:rsidTr="00925848">
        <w:trPr>
          <w:cantSplit/>
          <w:trHeight w:val="473"/>
        </w:trPr>
        <w:tc>
          <w:tcPr>
            <w:tcW w:w="1057" w:type="pct"/>
            <w:gridSpan w:val="2"/>
            <w:tcBorders>
              <w:top w:val="nil"/>
              <w:left w:val="single" w:sz="4" w:space="0" w:color="auto"/>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دورة تدريبية حول استخدام تكنولوجيا المعلومات في إدارة الملكية الصناعية</w:t>
            </w:r>
          </w:p>
        </w:tc>
        <w:tc>
          <w:tcPr>
            <w:tcW w:w="576" w:type="pct"/>
            <w:gridSpan w:val="3"/>
            <w:tcBorders>
              <w:top w:val="nil"/>
              <w:bottom w:val="nil"/>
            </w:tcBorders>
          </w:tcPr>
          <w:p w:rsidR="0009163D" w:rsidRPr="0009163D" w:rsidRDefault="0009163D" w:rsidP="0009163D">
            <w:pPr>
              <w:bidi/>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من 26 أكتوبر إلى 6</w:t>
            </w:r>
            <w:r w:rsidRPr="0009163D">
              <w:rPr>
                <w:rFonts w:ascii="Arabic Typesetting" w:hAnsi="Arabic Typesetting" w:cs="Arabic Typesetting" w:hint="cs"/>
                <w:sz w:val="30"/>
                <w:szCs w:val="30"/>
                <w:rtl/>
                <w:lang w:bidi="ar-EG"/>
              </w:rPr>
              <w:t> </w:t>
            </w:r>
            <w:r w:rsidRPr="0009163D">
              <w:rPr>
                <w:rFonts w:ascii="Arabic Typesetting" w:hAnsi="Arabic Typesetting" w:cs="Arabic Typesetting"/>
                <w:sz w:val="30"/>
                <w:szCs w:val="30"/>
                <w:rtl/>
                <w:lang w:bidi="ar-EG"/>
              </w:rPr>
              <w:t>نوفمبر 2015</w:t>
            </w:r>
          </w:p>
        </w:tc>
        <w:tc>
          <w:tcPr>
            <w:tcW w:w="1129" w:type="pct"/>
            <w:gridSpan w:val="3"/>
            <w:tcBorders>
              <w:top w:val="nil"/>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اليابان</w:t>
            </w:r>
            <w:r w:rsidRPr="0009163D">
              <w:rPr>
                <w:rFonts w:ascii="Arabic Typesetting" w:hAnsi="Arabic Typesetting" w:cs="Arabic Typesetting" w:hint="cs"/>
                <w:sz w:val="30"/>
                <w:szCs w:val="30"/>
                <w:rtl/>
                <w:lang w:bidi="ar-EG"/>
              </w:rPr>
              <w:t>/</w:t>
            </w:r>
            <w:r w:rsidRPr="0009163D">
              <w:rPr>
                <w:rFonts w:ascii="Arabic Typesetting" w:hAnsi="Arabic Typesetting" w:cs="Arabic Typesetting"/>
                <w:sz w:val="30"/>
                <w:szCs w:val="30"/>
                <w:rtl/>
                <w:lang w:bidi="ar-EG"/>
              </w:rPr>
              <w:t>الجزائر،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الأرجنتين،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بروني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دار السلام،</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كمبوديا، شيلي،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الهند، إندونيسيا، جمهورية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لاو</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الديمقراطية الشعبية،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ماليزيا،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المكسيك،</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ميانمار،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بابوا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غينيا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الجديدة،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بيرو،</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الفلبين، جنوب</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أفريقيا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 xml:space="preserve">تايلند، </w:t>
            </w:r>
            <w:proofErr w:type="spellStart"/>
            <w:r w:rsidRPr="0009163D">
              <w:rPr>
                <w:rFonts w:ascii="Arabic Typesetting" w:hAnsi="Arabic Typesetting" w:cs="Arabic Typesetting"/>
                <w:sz w:val="30"/>
                <w:szCs w:val="30"/>
                <w:rtl/>
                <w:lang w:bidi="ar-EG"/>
              </w:rPr>
              <w:t>فييت</w:t>
            </w:r>
            <w:proofErr w:type="spellEnd"/>
            <w:r w:rsidRPr="0009163D">
              <w:rPr>
                <w:rFonts w:ascii="Arabic Typesetting" w:hAnsi="Arabic Typesetting" w:cs="Arabic Typesetting"/>
                <w:sz w:val="30"/>
                <w:szCs w:val="30"/>
                <w:rtl/>
                <w:lang w:bidi="ar-EG"/>
              </w:rPr>
              <w:t xml:space="preserve"> نام، الأريبو</w:t>
            </w:r>
          </w:p>
        </w:tc>
        <w:tc>
          <w:tcPr>
            <w:tcW w:w="2239" w:type="pct"/>
            <w:gridSpan w:val="3"/>
            <w:tcBorders>
              <w:top w:val="nil"/>
              <w:bottom w:val="nil"/>
              <w:right w:val="single" w:sz="4" w:space="0" w:color="auto"/>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(1)</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تعريف المشاركين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بالتطورات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الحديثة في تكنولوجيا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المعلومات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فيما يتعلق</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بإدارة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الملكية الصناعية، ونشر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معلومات الملكية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الصناعية،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وتوفير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الخدمات على الإنترنت</w:t>
            </w:r>
            <w:r w:rsidRPr="0009163D">
              <w:rPr>
                <w:rFonts w:ascii="Arabic Typesetting" w:hAnsi="Arabic Typesetting" w:cs="Arabic Typesetting" w:hint="cs"/>
                <w:sz w:val="30"/>
                <w:szCs w:val="30"/>
                <w:rtl/>
                <w:lang w:bidi="ar-EG"/>
              </w:rPr>
              <w:t>؛</w:t>
            </w:r>
            <w:r w:rsidRPr="0009163D">
              <w:rPr>
                <w:rFonts w:ascii="Arabic Typesetting" w:hAnsi="Arabic Typesetting" w:cs="Arabic Typesetting"/>
                <w:sz w:val="30"/>
                <w:szCs w:val="30"/>
                <w:rtl/>
                <w:lang w:bidi="ar-EG"/>
              </w:rPr>
              <w:t xml:space="preserve"> و(2)</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نقل المعرفة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العملية بشأن أحدث الأدوات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والتقنيات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من خلال</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جلسات تفاعلية،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وكذلك من خلال</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زيارات لكيانات القطاع الخاص</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المعنية؛ و(3)</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إتاحة الفرصة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لتبادل</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وجهات النظر والمخاوف</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المشاركين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حول قضايا الساعة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ذات الصلة بالموضوع،</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وتعزيز</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القدرات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المهنية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للمشاركين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 التخطيط والإدارة بشأن استخدام</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تكنولوجيا المعلومات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إدارة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الملكية الصناعية</w:t>
            </w:r>
            <w:r w:rsidRPr="0009163D">
              <w:rPr>
                <w:rFonts w:ascii="Arabic Typesetting" w:hAnsi="Arabic Typesetting" w:cs="Arabic Typesetting"/>
                <w:sz w:val="30"/>
                <w:szCs w:val="30"/>
                <w:lang w:bidi="ar-EG"/>
              </w:rPr>
              <w:t>.</w:t>
            </w:r>
          </w:p>
        </w:tc>
      </w:tr>
      <w:tr w:rsidR="0009163D" w:rsidRPr="0009163D" w:rsidTr="00925848">
        <w:trPr>
          <w:cantSplit/>
          <w:trHeight w:val="473"/>
        </w:trPr>
        <w:tc>
          <w:tcPr>
            <w:tcW w:w="1057" w:type="pct"/>
            <w:gridSpan w:val="2"/>
            <w:tcBorders>
              <w:top w:val="nil"/>
              <w:left w:val="single" w:sz="4" w:space="0" w:color="auto"/>
              <w:bottom w:val="single" w:sz="4" w:space="0" w:color="auto"/>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دورة تدريبية حول إنفاذ حقوق الملكية الفكرية</w:t>
            </w:r>
          </w:p>
        </w:tc>
        <w:tc>
          <w:tcPr>
            <w:tcW w:w="576" w:type="pct"/>
            <w:gridSpan w:val="3"/>
            <w:tcBorders>
              <w:top w:val="nil"/>
              <w:bottom w:val="single" w:sz="4" w:space="0" w:color="auto"/>
            </w:tcBorders>
          </w:tcPr>
          <w:p w:rsidR="0009163D" w:rsidRPr="0009163D" w:rsidRDefault="0009163D" w:rsidP="0009163D">
            <w:pPr>
              <w:bidi/>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من 30 نوفمبر إلى 10 ديسمبر 2015</w:t>
            </w:r>
          </w:p>
        </w:tc>
        <w:tc>
          <w:tcPr>
            <w:tcW w:w="1129" w:type="pct"/>
            <w:gridSpan w:val="3"/>
            <w:tcBorders>
              <w:top w:val="nil"/>
              <w:bottom w:val="single" w:sz="4" w:space="0" w:color="auto"/>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اليابان/الصين وإندونيسيا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وماليزيا والفلبين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وتايلند والإمارات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العربية المتحدة</w:t>
            </w:r>
            <w:r w:rsidRPr="0009163D">
              <w:rPr>
                <w:rFonts w:ascii="Arabic Typesetting" w:hAnsi="Arabic Typesetting" w:cs="Arabic Typesetting"/>
                <w:sz w:val="30"/>
                <w:szCs w:val="30"/>
                <w:lang w:bidi="ar-EG"/>
              </w:rPr>
              <w:t xml:space="preserve"> </w:t>
            </w:r>
            <w:proofErr w:type="spellStart"/>
            <w:r w:rsidRPr="0009163D">
              <w:rPr>
                <w:rFonts w:ascii="Arabic Typesetting" w:hAnsi="Arabic Typesetting" w:cs="Arabic Typesetting"/>
                <w:sz w:val="30"/>
                <w:szCs w:val="30"/>
                <w:rtl/>
                <w:lang w:bidi="ar-EG"/>
              </w:rPr>
              <w:t>وفييت</w:t>
            </w:r>
            <w:proofErr w:type="spellEnd"/>
            <w:r w:rsidRPr="0009163D">
              <w:rPr>
                <w:rFonts w:ascii="Arabic Typesetting" w:hAnsi="Arabic Typesetting" w:cs="Arabic Typesetting"/>
                <w:sz w:val="30"/>
                <w:szCs w:val="30"/>
                <w:rtl/>
                <w:lang w:bidi="ar-EG"/>
              </w:rPr>
              <w:t xml:space="preserve"> نام</w:t>
            </w:r>
          </w:p>
        </w:tc>
        <w:tc>
          <w:tcPr>
            <w:tcW w:w="2239" w:type="pct"/>
            <w:gridSpan w:val="3"/>
            <w:tcBorders>
              <w:top w:val="nil"/>
              <w:bottom w:val="single" w:sz="4" w:space="0" w:color="auto"/>
              <w:right w:val="single" w:sz="4" w:space="0" w:color="auto"/>
            </w:tcBorders>
          </w:tcPr>
          <w:p w:rsidR="0009163D" w:rsidRPr="0009163D" w:rsidRDefault="0009163D" w:rsidP="0009163D">
            <w:pPr>
              <w:bidi/>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(1)</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تعزيز</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احترام</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الملكية الفكرية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من خلال مناقشة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المعايير الدنيا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والمرونة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إنفاذ حقوق الملكية الفكرية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كما يرد</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 الجزء الثالث من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اتفاق تريبس و(2)</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تزويد المشاركين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بالفرصة لإظهار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مهاراتهم</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تقدير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الأدلة وفي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البت في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قضايا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الملكية الفكرية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وتقييم</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التطورات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الأخيرة في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السوابق القضائية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والمسائل التي نوقشت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لجنة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الويبو الاستشارية المعنية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بالإنفاذ و(3)</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تمكين المشاركين من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اكتساب معرفة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أوسع نطاقًا</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بشأن المسائل</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المتعلقة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بالملكية الفكرية وأنظمة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التقاضي و(4) تمكينهم من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تعميق</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فهمهم للإجراءات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فيما يتعلق</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بالتقاضي</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وطرق المحاكمة و(5) تعزيز</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القدرات المهنية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فيما يخص</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عمليات</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التقاضي بشأن التعدي</w:t>
            </w:r>
            <w:r w:rsidRPr="0009163D">
              <w:rPr>
                <w:rFonts w:ascii="Arabic Typesetting" w:hAnsi="Arabic Typesetting" w:cs="Arabic Typesetting"/>
                <w:sz w:val="30"/>
                <w:szCs w:val="30"/>
                <w:lang w:bidi="ar-EG"/>
              </w:rPr>
              <w:t>.</w:t>
            </w:r>
          </w:p>
        </w:tc>
      </w:tr>
      <w:tr w:rsidR="0009163D" w:rsidRPr="0009163D" w:rsidTr="00925848">
        <w:trPr>
          <w:cantSplit/>
          <w:trHeight w:val="473"/>
        </w:trPr>
        <w:tc>
          <w:tcPr>
            <w:tcW w:w="1057" w:type="pct"/>
            <w:gridSpan w:val="2"/>
            <w:tcBorders>
              <w:top w:val="single" w:sz="4" w:space="0" w:color="auto"/>
              <w:left w:val="single" w:sz="4" w:space="0" w:color="auto"/>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lastRenderedPageBreak/>
              <w:t>زمالة طويلة المدى في مكتب براءات اليابان</w:t>
            </w:r>
          </w:p>
        </w:tc>
        <w:tc>
          <w:tcPr>
            <w:tcW w:w="576" w:type="pct"/>
            <w:gridSpan w:val="3"/>
            <w:tcBorders>
              <w:top w:val="single" w:sz="4" w:space="0" w:color="auto"/>
              <w:bottom w:val="nil"/>
            </w:tcBorders>
          </w:tcPr>
          <w:p w:rsidR="0009163D" w:rsidRPr="0009163D" w:rsidRDefault="0009163D" w:rsidP="0009163D">
            <w:pPr>
              <w:bidi/>
              <w:spacing w:before="60" w:after="60"/>
              <w:rPr>
                <w:rFonts w:ascii="Arabic Typesetting" w:hAnsi="Arabic Typesetting" w:cs="Arabic Typesetting"/>
                <w:sz w:val="30"/>
                <w:szCs w:val="30"/>
              </w:rPr>
            </w:pPr>
            <w:r w:rsidRPr="0009163D">
              <w:rPr>
                <w:rFonts w:ascii="Arabic Typesetting" w:hAnsi="Arabic Typesetting" w:cs="Arabic Typesetting" w:hint="cs"/>
                <w:sz w:val="30"/>
                <w:szCs w:val="30"/>
                <w:rtl/>
                <w:lang w:bidi="ar-EG"/>
              </w:rPr>
              <w:t xml:space="preserve">من </w:t>
            </w:r>
            <w:r w:rsidRPr="0009163D">
              <w:rPr>
                <w:rFonts w:ascii="Arabic Typesetting" w:hAnsi="Arabic Typesetting" w:cs="Arabic Typesetting"/>
                <w:sz w:val="30"/>
                <w:szCs w:val="30"/>
                <w:rtl/>
                <w:lang w:bidi="ar-EG"/>
              </w:rPr>
              <w:t>مايو إلى سبتمبر 2015</w:t>
            </w:r>
          </w:p>
        </w:tc>
        <w:tc>
          <w:tcPr>
            <w:tcW w:w="1129" w:type="pct"/>
            <w:gridSpan w:val="3"/>
            <w:tcBorders>
              <w:top w:val="single" w:sz="4" w:space="0" w:color="auto"/>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color w:val="000000"/>
                <w:sz w:val="30"/>
                <w:szCs w:val="30"/>
                <w:rtl/>
                <w:lang w:bidi="ar-EG"/>
              </w:rPr>
              <w:t>اليابان/</w:t>
            </w:r>
            <w:proofErr w:type="spellStart"/>
            <w:r w:rsidRPr="0009163D">
              <w:rPr>
                <w:rFonts w:ascii="Arabic Typesetting" w:hAnsi="Arabic Typesetting" w:cs="Arabic Typesetting"/>
                <w:color w:val="000000"/>
                <w:sz w:val="30"/>
                <w:szCs w:val="30"/>
                <w:rtl/>
                <w:lang w:bidi="ar-EG"/>
              </w:rPr>
              <w:t>فييت</w:t>
            </w:r>
            <w:proofErr w:type="spellEnd"/>
            <w:r w:rsidRPr="0009163D">
              <w:rPr>
                <w:rFonts w:ascii="Arabic Typesetting" w:hAnsi="Arabic Typesetting" w:cs="Arabic Typesetting"/>
                <w:color w:val="000000"/>
                <w:sz w:val="30"/>
                <w:szCs w:val="30"/>
                <w:rtl/>
                <w:lang w:bidi="ar-EG"/>
              </w:rPr>
              <w:t xml:space="preserve"> نام</w:t>
            </w:r>
          </w:p>
        </w:tc>
        <w:tc>
          <w:tcPr>
            <w:tcW w:w="2239" w:type="pct"/>
            <w:gridSpan w:val="3"/>
            <w:tcBorders>
              <w:top w:val="single" w:sz="4" w:space="0" w:color="auto"/>
              <w:bottom w:val="nil"/>
              <w:right w:val="single" w:sz="4" w:space="0" w:color="auto"/>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sz w:val="30"/>
                <w:szCs w:val="30"/>
                <w:rtl/>
                <w:lang w:bidi="ar-EG"/>
              </w:rPr>
              <w:t>تعزيز</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المعرفة والفهم</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للزملاء</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حول موضوعات مختارة في مجال الملكية</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الصناعية، وذلك في المقام الأول من خلال توفير</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فرصة لإجراء بحث مستقل</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حول مواضيع</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من</w:t>
            </w:r>
            <w:r w:rsidRPr="0009163D">
              <w:rPr>
                <w:rFonts w:ascii="Arabic Typesetting" w:hAnsi="Arabic Typesetting" w:cs="Arabic Typesetting"/>
                <w:sz w:val="30"/>
                <w:szCs w:val="30"/>
                <w:lang w:bidi="ar-EG"/>
              </w:rPr>
              <w:t xml:space="preserve"> </w:t>
            </w:r>
            <w:r w:rsidRPr="0009163D">
              <w:rPr>
                <w:rFonts w:ascii="Arabic Typesetting" w:hAnsi="Arabic Typesetting" w:cs="Arabic Typesetting"/>
                <w:sz w:val="30"/>
                <w:szCs w:val="30"/>
                <w:rtl/>
                <w:lang w:bidi="ar-EG"/>
              </w:rPr>
              <w:t>اختيارهم</w:t>
            </w:r>
            <w:r w:rsidRPr="0009163D">
              <w:rPr>
                <w:rFonts w:ascii="Arabic Typesetting" w:hAnsi="Arabic Typesetting" w:cs="Arabic Typesetting"/>
                <w:sz w:val="30"/>
                <w:szCs w:val="30"/>
                <w:lang w:bidi="ar-EG"/>
              </w:rPr>
              <w:t>.</w:t>
            </w:r>
            <w:r w:rsidRPr="0009163D">
              <w:rPr>
                <w:rFonts w:ascii="Arabic Typesetting" w:hAnsi="Arabic Typesetting" w:cs="Arabic Typesetting"/>
                <w:sz w:val="30"/>
                <w:szCs w:val="30"/>
                <w:rtl/>
              </w:rPr>
              <w:t xml:space="preserve"> </w:t>
            </w:r>
            <w:r w:rsidRPr="0009163D">
              <w:rPr>
                <w:rFonts w:ascii="Arabic Typesetting" w:hAnsi="Arabic Typesetting" w:cs="Arabic Typesetting"/>
                <w:sz w:val="30"/>
                <w:szCs w:val="30"/>
                <w:rtl/>
                <w:lang w:bidi="ar-EG"/>
              </w:rPr>
              <w:t xml:space="preserve">واختار المرشح من مكتب الملكية الفكرية في </w:t>
            </w:r>
            <w:proofErr w:type="spellStart"/>
            <w:r w:rsidRPr="0009163D">
              <w:rPr>
                <w:rFonts w:ascii="Arabic Typesetting" w:hAnsi="Arabic Typesetting" w:cs="Arabic Typesetting"/>
                <w:sz w:val="30"/>
                <w:szCs w:val="30"/>
                <w:rtl/>
                <w:lang w:bidi="ar-EG"/>
              </w:rPr>
              <w:t>فييت</w:t>
            </w:r>
            <w:proofErr w:type="spellEnd"/>
            <w:r w:rsidRPr="0009163D">
              <w:rPr>
                <w:rFonts w:ascii="Arabic Typesetting" w:hAnsi="Arabic Typesetting" w:cs="Arabic Typesetting"/>
                <w:sz w:val="30"/>
                <w:szCs w:val="30"/>
                <w:rtl/>
                <w:lang w:bidi="ar-EG"/>
              </w:rPr>
              <w:t xml:space="preserve"> نام موضوع "النهوض الفعال بالملكية الفكرية في بلد نام"</w:t>
            </w:r>
            <w:r w:rsidRPr="0009163D">
              <w:rPr>
                <w:rFonts w:ascii="Arabic Typesetting" w:hAnsi="Arabic Typesetting" w:cs="Arabic Typesetting" w:hint="cs"/>
                <w:sz w:val="30"/>
                <w:szCs w:val="30"/>
                <w:rtl/>
                <w:lang w:bidi="ar-EG"/>
              </w:rPr>
              <w:t>.</w:t>
            </w:r>
          </w:p>
        </w:tc>
      </w:tr>
      <w:tr w:rsidR="0009163D" w:rsidRPr="0009163D" w:rsidTr="00925848">
        <w:trPr>
          <w:cantSplit/>
          <w:trHeight w:val="473"/>
        </w:trPr>
        <w:tc>
          <w:tcPr>
            <w:tcW w:w="1057" w:type="pct"/>
            <w:gridSpan w:val="2"/>
            <w:tcBorders>
              <w:top w:val="nil"/>
              <w:left w:val="single" w:sz="4" w:space="0" w:color="auto"/>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color w:val="000000"/>
                <w:sz w:val="30"/>
                <w:szCs w:val="30"/>
                <w:rtl/>
                <w:lang w:bidi="ar-EG"/>
              </w:rPr>
              <w:t>تدريب عملي قصير المدى/منحة دراسية في مكاتب محامي البراءات</w:t>
            </w:r>
          </w:p>
        </w:tc>
        <w:tc>
          <w:tcPr>
            <w:tcW w:w="576" w:type="pct"/>
            <w:gridSpan w:val="3"/>
            <w:tcBorders>
              <w:top w:val="nil"/>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color w:val="000000"/>
                <w:sz w:val="30"/>
                <w:szCs w:val="30"/>
                <w:rtl/>
                <w:lang w:bidi="ar-EG"/>
              </w:rPr>
              <w:t>من 2 إلى 13 نوفمبر 2015</w:t>
            </w:r>
          </w:p>
        </w:tc>
        <w:tc>
          <w:tcPr>
            <w:tcW w:w="1129" w:type="pct"/>
            <w:gridSpan w:val="3"/>
            <w:tcBorders>
              <w:top w:val="nil"/>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color w:val="000000"/>
                <w:sz w:val="30"/>
                <w:szCs w:val="30"/>
                <w:rtl/>
                <w:lang w:bidi="ar-EG"/>
              </w:rPr>
              <w:t>اليابان/نيبال</w:t>
            </w:r>
          </w:p>
        </w:tc>
        <w:tc>
          <w:tcPr>
            <w:tcW w:w="2239" w:type="pct"/>
            <w:gridSpan w:val="3"/>
            <w:tcBorders>
              <w:top w:val="nil"/>
              <w:bottom w:val="nil"/>
              <w:right w:val="single" w:sz="4" w:space="0" w:color="auto"/>
            </w:tcBorders>
          </w:tcPr>
          <w:p w:rsidR="0009163D" w:rsidRPr="0009163D" w:rsidRDefault="0009163D" w:rsidP="0009163D">
            <w:pPr>
              <w:autoSpaceDE w:val="0"/>
              <w:autoSpaceDN w:val="0"/>
              <w:bidi/>
              <w:adjustRightInd w:val="0"/>
              <w:spacing w:before="60" w:after="60"/>
              <w:rPr>
                <w:rFonts w:ascii="Arabic Typesetting" w:hAnsi="Arabic Typesetting" w:cs="Arabic Typesetting"/>
                <w:sz w:val="30"/>
                <w:szCs w:val="30"/>
              </w:rPr>
            </w:pPr>
            <w:r w:rsidRPr="0009163D">
              <w:rPr>
                <w:rFonts w:ascii="Arabic Typesetting" w:hAnsi="Arabic Typesetting" w:cs="Arabic Typesetting"/>
                <w:color w:val="000000"/>
                <w:sz w:val="30"/>
                <w:szCs w:val="30"/>
                <w:rtl/>
                <w:lang w:bidi="ar-EG"/>
              </w:rPr>
              <w:t xml:space="preserve">تزويد خريجي الملكية الفكرية بالمعارف والمهارات والرؤى الواقعية حول الملكية الفكرية من خلال التعلم في نسق </w:t>
            </w:r>
            <w:proofErr w:type="spellStart"/>
            <w:r w:rsidRPr="0009163D">
              <w:rPr>
                <w:rFonts w:ascii="Arabic Typesetting" w:hAnsi="Arabic Typesetting" w:cs="Arabic Typesetting"/>
                <w:color w:val="000000"/>
                <w:sz w:val="30"/>
                <w:szCs w:val="30"/>
                <w:rtl/>
                <w:lang w:bidi="ar-EG"/>
              </w:rPr>
              <w:t>ألفصول</w:t>
            </w:r>
            <w:proofErr w:type="spellEnd"/>
            <w:r w:rsidRPr="0009163D">
              <w:rPr>
                <w:rFonts w:ascii="Arabic Typesetting" w:hAnsi="Arabic Typesetting" w:cs="Arabic Typesetting"/>
                <w:color w:val="000000"/>
                <w:sz w:val="30"/>
                <w:szCs w:val="30"/>
                <w:rtl/>
                <w:lang w:bidi="ar-EG"/>
              </w:rPr>
              <w:t xml:space="preserve"> الدراسية، بجانب تجربة التدريب العملي والعمل الفعلي.</w:t>
            </w:r>
          </w:p>
        </w:tc>
      </w:tr>
      <w:tr w:rsidR="0009163D" w:rsidRPr="0009163D" w:rsidTr="00925848">
        <w:trPr>
          <w:gridAfter w:val="1"/>
          <w:wAfter w:w="5" w:type="pct"/>
          <w:cantSplit/>
          <w:trHeight w:val="315"/>
        </w:trPr>
        <w:tc>
          <w:tcPr>
            <w:tcW w:w="4995" w:type="pct"/>
            <w:gridSpan w:val="10"/>
            <w:tcBorders>
              <w:top w:val="single" w:sz="4" w:space="0" w:color="auto"/>
              <w:bottom w:val="single" w:sz="4" w:space="0" w:color="auto"/>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4.3 </w:t>
            </w:r>
            <w:r w:rsidRPr="0009163D">
              <w:rPr>
                <w:rFonts w:ascii="Arabic Typesetting" w:hAnsi="Arabic Typesetting" w:cs="Arabic Typesetting"/>
                <w:color w:val="000000"/>
                <w:sz w:val="30"/>
                <w:szCs w:val="30"/>
                <w:rtl/>
              </w:rPr>
              <w:t>آليات وبرامج تعاونية معزّزة ومكيّفة حسب احتياجات البلدان النامية والبلدان الأقل نموا</w:t>
            </w:r>
          </w:p>
        </w:tc>
      </w:tr>
      <w:tr w:rsidR="0009163D" w:rsidRPr="0009163D" w:rsidTr="00925848">
        <w:trPr>
          <w:gridAfter w:val="1"/>
          <w:wAfter w:w="5" w:type="pct"/>
          <w:cantSplit/>
          <w:trHeight w:val="402"/>
        </w:trPr>
        <w:tc>
          <w:tcPr>
            <w:tcW w:w="1057" w:type="pct"/>
            <w:gridSpan w:val="2"/>
            <w:tcBorders>
              <w:top w:val="single" w:sz="4" w:space="0" w:color="auto"/>
              <w:left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576" w:type="pct"/>
            <w:gridSpan w:val="3"/>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129" w:type="pct"/>
            <w:gridSpan w:val="3"/>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2233" w:type="pct"/>
            <w:gridSpan w:val="2"/>
            <w:tcBorders>
              <w:top w:val="single" w:sz="4" w:space="0" w:color="auto"/>
              <w:bottom w:val="nil"/>
              <w:right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gridAfter w:val="1"/>
          <w:wAfter w:w="5" w:type="pct"/>
          <w:cantSplit/>
          <w:trHeight w:val="315"/>
        </w:trPr>
        <w:tc>
          <w:tcPr>
            <w:tcW w:w="1057" w:type="pct"/>
            <w:gridSpan w:val="2"/>
            <w:tcBorders>
              <w:top w:val="nil"/>
              <w:left w:val="single" w:sz="4" w:space="0" w:color="auto"/>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مؤتمر رؤساء مكاتب الملكية الفكرية</w:t>
            </w:r>
            <w:r w:rsidRPr="0009163D">
              <w:rPr>
                <w:rFonts w:ascii="Arabic Typesetting" w:hAnsi="Arabic Typesetting" w:cs="Arabic Typesetting"/>
                <w:color w:val="000000"/>
                <w:sz w:val="30"/>
                <w:szCs w:val="30"/>
                <w:lang w:bidi="ar-EG"/>
              </w:rPr>
              <w:t xml:space="preserve"> </w:t>
            </w:r>
          </w:p>
        </w:tc>
        <w:tc>
          <w:tcPr>
            <w:tcW w:w="576" w:type="pct"/>
            <w:gridSpan w:val="3"/>
            <w:tcBorders>
              <w:top w:val="nil"/>
              <w:bottom w:val="nil"/>
            </w:tcBorders>
          </w:tcPr>
          <w:p w:rsidR="0009163D" w:rsidRPr="0009163D" w:rsidRDefault="0009163D" w:rsidP="0009163D">
            <w:pPr>
              <w:bidi/>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من 29 إلى 30 يونيو 2015</w:t>
            </w:r>
          </w:p>
        </w:tc>
        <w:tc>
          <w:tcPr>
            <w:tcW w:w="1129" w:type="pct"/>
            <w:gridSpan w:val="3"/>
            <w:tcBorders>
              <w:top w:val="nil"/>
              <w:bottom w:val="nil"/>
            </w:tcBorders>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اليابان/بنغلاديش، بوتان، كمبوديا، الهند، جمهورية لاو الديمقراطية الشعبية، ماليزيا، ميانمار، نيبال، باكستان، الفلبين، سنغافورة، سري</w:t>
            </w:r>
            <w:r w:rsidRPr="0009163D">
              <w:rPr>
                <w:rFonts w:ascii="Arabic Typesetting" w:hAnsi="Arabic Typesetting" w:cs="Arabic Typesetting" w:hint="cs"/>
                <w:color w:val="000000"/>
                <w:sz w:val="30"/>
                <w:szCs w:val="30"/>
                <w:rtl/>
                <w:lang w:bidi="ar-EG"/>
              </w:rPr>
              <w:t> </w:t>
            </w:r>
            <w:proofErr w:type="spellStart"/>
            <w:r w:rsidRPr="0009163D">
              <w:rPr>
                <w:rFonts w:ascii="Arabic Typesetting" w:hAnsi="Arabic Typesetting" w:cs="Arabic Typesetting"/>
                <w:color w:val="000000"/>
                <w:sz w:val="30"/>
                <w:szCs w:val="30"/>
                <w:rtl/>
                <w:lang w:bidi="ar-EG"/>
              </w:rPr>
              <w:t>لانكا</w:t>
            </w:r>
            <w:proofErr w:type="spellEnd"/>
            <w:r w:rsidRPr="0009163D">
              <w:rPr>
                <w:rFonts w:ascii="Arabic Typesetting" w:hAnsi="Arabic Typesetting" w:cs="Arabic Typesetting"/>
                <w:color w:val="000000"/>
                <w:sz w:val="30"/>
                <w:szCs w:val="30"/>
                <w:rtl/>
                <w:lang w:bidi="ar-EG"/>
              </w:rPr>
              <w:t>، تايلند</w:t>
            </w:r>
          </w:p>
        </w:tc>
        <w:tc>
          <w:tcPr>
            <w:tcW w:w="2233" w:type="pct"/>
            <w:gridSpan w:val="2"/>
            <w:tcBorders>
              <w:top w:val="nil"/>
              <w:bottom w:val="nil"/>
              <w:right w:val="single" w:sz="4" w:space="0" w:color="auto"/>
            </w:tcBorders>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(1) توعية المديرين العامين الجدد في عالم الملكية الفكرية وتوفير التعليم التنفيذي لزيادة فهمهم للملكية الفكرية والتنمية؛ و(2) مناقشة استراتيجية التنفيذ للمساعدة التقنية للويبو مع التركيز على الاستدامة؛ و(3) توفير بيئة آمنة لرؤساء مكاتب الملكية الفكرية لتبادل الآراء والخبرات؛ و(4) تيسير التعاون فيما بين بلدان الجنوب من خلال بناء علاقات أقوى بين رؤساء مكاتب الملكية الفكرية في المنطقة.</w:t>
            </w:r>
          </w:p>
        </w:tc>
      </w:tr>
      <w:tr w:rsidR="0009163D" w:rsidRPr="0009163D" w:rsidTr="00925848">
        <w:trPr>
          <w:gridAfter w:val="1"/>
          <w:wAfter w:w="5" w:type="pct"/>
          <w:cantSplit/>
          <w:trHeight w:val="315"/>
        </w:trPr>
        <w:tc>
          <w:tcPr>
            <w:tcW w:w="4995" w:type="pct"/>
            <w:gridSpan w:val="10"/>
            <w:tcBorders>
              <w:top w:val="single" w:sz="4" w:space="0" w:color="auto"/>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ه2.4 تحسين النفاذ إلى المعلومات المتعلقة بالملكية الفكرية واستخدامها من قبل مؤسسات الملكية الفكرية والجمهور لتشجيع الابتكار</w:t>
            </w:r>
            <w:r w:rsidRPr="0009163D">
              <w:rPr>
                <w:rFonts w:ascii="Arabic Typesetting" w:hAnsi="Arabic Typesetting" w:cs="Arabic Typesetting" w:hint="cs"/>
                <w:color w:val="000000"/>
                <w:sz w:val="30"/>
                <w:szCs w:val="30"/>
                <w:rtl/>
              </w:rPr>
              <w:t> </w:t>
            </w:r>
            <w:r w:rsidRPr="0009163D">
              <w:rPr>
                <w:rFonts w:ascii="Arabic Typesetting" w:hAnsi="Arabic Typesetting" w:cs="Arabic Typesetting"/>
                <w:color w:val="000000"/>
                <w:sz w:val="30"/>
                <w:szCs w:val="30"/>
                <w:rtl/>
              </w:rPr>
              <w:t>والإبداع</w:t>
            </w:r>
          </w:p>
        </w:tc>
      </w:tr>
      <w:tr w:rsidR="0009163D" w:rsidRPr="0009163D" w:rsidTr="00925848">
        <w:trPr>
          <w:gridAfter w:val="1"/>
          <w:wAfter w:w="5" w:type="pct"/>
          <w:cantSplit/>
          <w:trHeight w:val="429"/>
        </w:trPr>
        <w:tc>
          <w:tcPr>
            <w:tcW w:w="1057" w:type="pct"/>
            <w:gridSpan w:val="2"/>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576" w:type="pct"/>
            <w:gridSpan w:val="3"/>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129" w:type="pct"/>
            <w:gridSpan w:val="3"/>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2233" w:type="pct"/>
            <w:gridSpan w:val="2"/>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gridAfter w:val="1"/>
          <w:wAfter w:w="5" w:type="pct"/>
          <w:cantSplit/>
          <w:trHeight w:val="315"/>
        </w:trPr>
        <w:tc>
          <w:tcPr>
            <w:tcW w:w="1057"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ندوة إقليمية حول نشر معلومات البراءات والاستخدام الفعال لها</w:t>
            </w:r>
          </w:p>
        </w:tc>
        <w:tc>
          <w:tcPr>
            <w:tcW w:w="576" w:type="pct"/>
            <w:gridSpan w:val="3"/>
          </w:tcPr>
          <w:p w:rsidR="0009163D" w:rsidRPr="0009163D" w:rsidRDefault="0009163D" w:rsidP="0009163D">
            <w:pPr>
              <w:bidi/>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من 5 إلى 6 نوفمبر 2015</w:t>
            </w:r>
          </w:p>
        </w:tc>
        <w:tc>
          <w:tcPr>
            <w:tcW w:w="1129"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اليابان/إندونيسيا</w:t>
            </w:r>
            <w:r w:rsidRPr="0009163D">
              <w:rPr>
                <w:rFonts w:ascii="Arabic Typesetting" w:hAnsi="Arabic Typesetting" w:cs="Arabic Typesetting"/>
                <w:color w:val="000000"/>
                <w:sz w:val="30"/>
                <w:szCs w:val="30"/>
                <w:lang w:bidi="ar-EG"/>
              </w:rPr>
              <w:t xml:space="preserve"> </w:t>
            </w:r>
            <w:r w:rsidRPr="0009163D">
              <w:rPr>
                <w:rFonts w:ascii="Arabic Typesetting" w:hAnsi="Arabic Typesetting" w:cs="Arabic Typesetting"/>
                <w:color w:val="000000"/>
                <w:sz w:val="30"/>
                <w:szCs w:val="30"/>
                <w:rtl/>
                <w:lang w:bidi="ar-EG"/>
              </w:rPr>
              <w:t>وماليزيا والفلبين</w:t>
            </w:r>
            <w:r w:rsidRPr="0009163D">
              <w:rPr>
                <w:rFonts w:ascii="Arabic Typesetting" w:hAnsi="Arabic Typesetting" w:cs="Arabic Typesetting"/>
                <w:color w:val="000000"/>
                <w:sz w:val="30"/>
                <w:szCs w:val="30"/>
                <w:lang w:bidi="ar-EG"/>
              </w:rPr>
              <w:t xml:space="preserve"> </w:t>
            </w:r>
            <w:r w:rsidRPr="0009163D">
              <w:rPr>
                <w:rFonts w:ascii="Arabic Typesetting" w:hAnsi="Arabic Typesetting" w:cs="Arabic Typesetting"/>
                <w:color w:val="000000"/>
                <w:sz w:val="30"/>
                <w:szCs w:val="30"/>
                <w:rtl/>
                <w:lang w:bidi="ar-EG"/>
              </w:rPr>
              <w:t xml:space="preserve">وتايلند </w:t>
            </w:r>
            <w:proofErr w:type="spellStart"/>
            <w:r w:rsidRPr="0009163D">
              <w:rPr>
                <w:rFonts w:ascii="Arabic Typesetting" w:hAnsi="Arabic Typesetting" w:cs="Arabic Typesetting"/>
                <w:color w:val="000000"/>
                <w:sz w:val="30"/>
                <w:szCs w:val="30"/>
                <w:rtl/>
                <w:lang w:bidi="ar-EG"/>
              </w:rPr>
              <w:t>وفي</w:t>
            </w:r>
            <w:r w:rsidRPr="0009163D">
              <w:rPr>
                <w:rFonts w:ascii="Arabic Typesetting" w:hAnsi="Arabic Typesetting" w:cs="Arabic Typesetting" w:hint="cs"/>
                <w:color w:val="000000"/>
                <w:sz w:val="30"/>
                <w:szCs w:val="30"/>
                <w:rtl/>
                <w:lang w:bidi="ar-EG"/>
              </w:rPr>
              <w:t>ي</w:t>
            </w:r>
            <w:r w:rsidRPr="0009163D">
              <w:rPr>
                <w:rFonts w:ascii="Arabic Typesetting" w:hAnsi="Arabic Typesetting" w:cs="Arabic Typesetting"/>
                <w:color w:val="000000"/>
                <w:sz w:val="30"/>
                <w:szCs w:val="30"/>
                <w:rtl/>
                <w:lang w:bidi="ar-EG"/>
              </w:rPr>
              <w:t>ت</w:t>
            </w:r>
            <w:proofErr w:type="spellEnd"/>
            <w:r w:rsidRPr="0009163D">
              <w:rPr>
                <w:rFonts w:ascii="Arabic Typesetting" w:hAnsi="Arabic Typesetting" w:cs="Arabic Typesetting" w:hint="cs"/>
                <w:color w:val="000000"/>
                <w:sz w:val="30"/>
                <w:szCs w:val="30"/>
                <w:rtl/>
                <w:lang w:bidi="ar-EG"/>
              </w:rPr>
              <w:t xml:space="preserve"> </w:t>
            </w:r>
            <w:r w:rsidRPr="0009163D">
              <w:rPr>
                <w:rFonts w:ascii="Arabic Typesetting" w:hAnsi="Arabic Typesetting" w:cs="Arabic Typesetting"/>
                <w:color w:val="000000"/>
                <w:sz w:val="30"/>
                <w:szCs w:val="30"/>
                <w:rtl/>
                <w:lang w:bidi="ar-EG"/>
              </w:rPr>
              <w:t>نام</w:t>
            </w:r>
          </w:p>
        </w:tc>
        <w:tc>
          <w:tcPr>
            <w:tcW w:w="2233" w:type="pct"/>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تزويد المشاركين بفرصة لتعلم: (1) الميزة الاقتصادية للمعلومات المتعلقة بالبراءات؛ و(2) الاتجاه العام لتبادل البيانات فيما يخص معلومات البراءات بين مكاتب الملكية الفكرية</w:t>
            </w:r>
            <w:r w:rsidRPr="0009163D">
              <w:rPr>
                <w:rFonts w:ascii="Arabic Typesetting" w:hAnsi="Arabic Typesetting" w:cs="Arabic Typesetting" w:hint="cs"/>
                <w:color w:val="000000"/>
                <w:sz w:val="30"/>
                <w:szCs w:val="30"/>
                <w:lang w:bidi="ar-EG"/>
              </w:rPr>
              <w:t>.</w:t>
            </w:r>
          </w:p>
        </w:tc>
      </w:tr>
      <w:tr w:rsidR="0009163D" w:rsidRPr="0009163D" w:rsidTr="00925848">
        <w:trPr>
          <w:gridAfter w:val="1"/>
          <w:wAfter w:w="5" w:type="pct"/>
          <w:cantSplit/>
          <w:trHeight w:val="315"/>
        </w:trPr>
        <w:tc>
          <w:tcPr>
            <w:tcW w:w="1057"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دليل للأدوات المفتوحة المصدر لتحليل البراءات</w:t>
            </w:r>
          </w:p>
        </w:tc>
        <w:tc>
          <w:tcPr>
            <w:tcW w:w="576" w:type="pct"/>
            <w:gridSpan w:val="3"/>
          </w:tcPr>
          <w:p w:rsidR="0009163D" w:rsidRPr="0009163D" w:rsidRDefault="0009163D" w:rsidP="0009163D">
            <w:pPr>
              <w:bidi/>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مارس إلى ديسمبر 2015</w:t>
            </w:r>
          </w:p>
        </w:tc>
        <w:tc>
          <w:tcPr>
            <w:tcW w:w="1129"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جميع الدول الأعضاء في الويبو</w:t>
            </w:r>
          </w:p>
        </w:tc>
        <w:tc>
          <w:tcPr>
            <w:tcW w:w="2233" w:type="pct"/>
            <w:gridSpan w:val="2"/>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تعزيز قدرات المتخصصين في المعلومات المتعلقة بالبراءات في مكاتب الملكية الفكرية والمؤسسات العامة الأخرى لإعداد تقارير واقع البراءات.</w:t>
            </w:r>
          </w:p>
        </w:tc>
      </w:tr>
      <w:tr w:rsidR="0009163D" w:rsidRPr="0009163D" w:rsidTr="00925848">
        <w:trPr>
          <w:gridAfter w:val="1"/>
          <w:wAfter w:w="5" w:type="pct"/>
          <w:cantSplit/>
          <w:trHeight w:val="315"/>
        </w:trPr>
        <w:tc>
          <w:tcPr>
            <w:tcW w:w="1057"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حلقة عمل </w:t>
            </w:r>
            <w:proofErr w:type="spellStart"/>
            <w:r w:rsidRPr="0009163D">
              <w:rPr>
                <w:rFonts w:ascii="Arabic Typesetting" w:hAnsi="Arabic Typesetting" w:cs="Arabic Typesetting" w:hint="cs"/>
                <w:color w:val="000000"/>
                <w:sz w:val="30"/>
                <w:szCs w:val="30"/>
                <w:rtl/>
                <w:lang w:bidi="ar-EG"/>
              </w:rPr>
              <w:t>أقاليمية</w:t>
            </w:r>
            <w:proofErr w:type="spellEnd"/>
            <w:r w:rsidRPr="0009163D">
              <w:rPr>
                <w:rFonts w:ascii="Arabic Typesetting" w:hAnsi="Arabic Typesetting" w:cs="Arabic Typesetting" w:hint="cs"/>
                <w:color w:val="000000"/>
                <w:sz w:val="30"/>
                <w:szCs w:val="30"/>
                <w:rtl/>
                <w:lang w:bidi="ar-EG"/>
              </w:rPr>
              <w:t xml:space="preserve"> عن الأدوات المفتوحة المصدر لتحليل البراءات</w:t>
            </w:r>
          </w:p>
        </w:tc>
        <w:tc>
          <w:tcPr>
            <w:tcW w:w="576" w:type="pct"/>
            <w:gridSpan w:val="3"/>
          </w:tcPr>
          <w:p w:rsidR="0009163D" w:rsidRPr="0009163D" w:rsidRDefault="0009163D" w:rsidP="0009163D">
            <w:pPr>
              <w:bidi/>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25 إلى 27 نوفمبر 2015</w:t>
            </w:r>
          </w:p>
        </w:tc>
        <w:tc>
          <w:tcPr>
            <w:tcW w:w="1129"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الفلبين/البرازيل، شيلي، بروني دار السلام، الهند، إندونيسيا،</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 xml:space="preserve">ماليزيا، منغوليا، باكستان، الفلبين، </w:t>
            </w:r>
            <w:proofErr w:type="spellStart"/>
            <w:r w:rsidRPr="0009163D">
              <w:rPr>
                <w:rFonts w:ascii="Arabic Typesetting" w:hAnsi="Arabic Typesetting" w:cs="Arabic Typesetting" w:hint="cs"/>
                <w:color w:val="000000"/>
                <w:sz w:val="30"/>
                <w:szCs w:val="30"/>
                <w:rtl/>
                <w:lang w:bidi="ar-EG"/>
              </w:rPr>
              <w:t>فييت</w:t>
            </w:r>
            <w:proofErr w:type="spellEnd"/>
            <w:r w:rsidRPr="0009163D">
              <w:rPr>
                <w:rFonts w:ascii="Arabic Typesetting" w:hAnsi="Arabic Typesetting" w:cs="Arabic Typesetting" w:hint="cs"/>
                <w:color w:val="000000"/>
                <w:sz w:val="30"/>
                <w:szCs w:val="30"/>
                <w:rtl/>
                <w:lang w:bidi="ar-EG"/>
              </w:rPr>
              <w:t xml:space="preserve"> نام</w:t>
            </w:r>
          </w:p>
        </w:tc>
        <w:tc>
          <w:tcPr>
            <w:tcW w:w="2233"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(1) تقديم الدليل للمستخدمين المحتملين؛ و(2) توفير التدريب العملي على أدوات محددة مفتوحة المصدر ومجانية لأداء مهام تحليل البراءات المختلفة؛ و(3) تسهيل التعاون بين مكاتب الملكية الفكرية وغيرها من المؤسسات التي تعمل في مجال تحليل البراءات لتبادل الآراء وأفضل الممارسات</w:t>
            </w:r>
            <w:r w:rsidRPr="0009163D">
              <w:rPr>
                <w:rFonts w:ascii="Arabic Typesetting" w:hAnsi="Arabic Typesetting" w:cs="Arabic Typesetting" w:hint="cs"/>
                <w:color w:val="000000"/>
                <w:sz w:val="30"/>
                <w:szCs w:val="30"/>
                <w:lang w:bidi="ar-EG"/>
              </w:rPr>
              <w:t>.</w:t>
            </w:r>
          </w:p>
        </w:tc>
      </w:tr>
      <w:tr w:rsidR="0009163D" w:rsidRPr="0009163D" w:rsidTr="00925848">
        <w:trPr>
          <w:gridAfter w:val="1"/>
          <w:wAfter w:w="5" w:type="pct"/>
          <w:cantSplit/>
          <w:trHeight w:val="315"/>
        </w:trPr>
        <w:tc>
          <w:tcPr>
            <w:tcW w:w="1057" w:type="pct"/>
            <w:gridSpan w:val="2"/>
          </w:tcPr>
          <w:p w:rsidR="0009163D" w:rsidRPr="0009163D" w:rsidRDefault="00E14A59" w:rsidP="0009163D">
            <w:pPr>
              <w:autoSpaceDE w:val="0"/>
              <w:autoSpaceDN w:val="0"/>
              <w:bidi/>
              <w:adjustRightInd w:val="0"/>
              <w:spacing w:before="60" w:after="60"/>
              <w:rPr>
                <w:rFonts w:ascii="Arabic Typesetting" w:hAnsi="Arabic Typesetting" w:cs="Arabic Typesetting"/>
                <w:color w:val="000000"/>
                <w:sz w:val="30"/>
                <w:szCs w:val="30"/>
                <w:lang w:bidi="ar-EG"/>
              </w:rPr>
            </w:pPr>
            <w:r>
              <w:rPr>
                <w:rFonts w:ascii="Arabic Typesetting" w:hAnsi="Arabic Typesetting" w:cs="Arabic Typesetting" w:hint="cs"/>
                <w:color w:val="000000"/>
                <w:sz w:val="30"/>
                <w:szCs w:val="30"/>
                <w:rtl/>
                <w:lang w:bidi="ar-EG"/>
              </w:rPr>
              <w:lastRenderedPageBreak/>
              <w:t>إعداد</w:t>
            </w:r>
            <w:r w:rsidR="0009163D" w:rsidRPr="0009163D">
              <w:rPr>
                <w:rFonts w:ascii="Arabic Typesetting" w:hAnsi="Arabic Typesetting" w:cs="Arabic Typesetting" w:hint="cs"/>
                <w:color w:val="000000"/>
                <w:sz w:val="30"/>
                <w:szCs w:val="30"/>
                <w:rtl/>
                <w:lang w:bidi="ar-EG"/>
              </w:rPr>
              <w:t xml:space="preserve"> مكتب الويبو في اليابان </w:t>
            </w:r>
            <w:r>
              <w:rPr>
                <w:rFonts w:ascii="Arabic Typesetting" w:hAnsi="Arabic Typesetting" w:cs="Arabic Typesetting" w:hint="cs"/>
                <w:color w:val="000000"/>
                <w:sz w:val="30"/>
                <w:szCs w:val="30"/>
                <w:rtl/>
                <w:lang w:bidi="ar-EG"/>
              </w:rPr>
              <w:t xml:space="preserve">بحثاً </w:t>
            </w:r>
            <w:r w:rsidR="0009163D" w:rsidRPr="0009163D">
              <w:rPr>
                <w:rFonts w:ascii="Arabic Typesetting" w:hAnsi="Arabic Typesetting" w:cs="Arabic Typesetting" w:hint="cs"/>
                <w:color w:val="000000"/>
                <w:sz w:val="30"/>
                <w:szCs w:val="30"/>
                <w:rtl/>
                <w:lang w:bidi="ar-EG"/>
              </w:rPr>
              <w:t>عن الحالات الناجحة في الربط بين الأعمال التجارية والملكية الفكرية</w:t>
            </w:r>
          </w:p>
        </w:tc>
        <w:tc>
          <w:tcPr>
            <w:tcW w:w="576" w:type="pct"/>
            <w:gridSpan w:val="3"/>
          </w:tcPr>
          <w:p w:rsidR="0009163D" w:rsidRPr="0009163D" w:rsidRDefault="0009163D" w:rsidP="0009163D">
            <w:pPr>
              <w:bidi/>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يناير إلى مارس 2015</w:t>
            </w:r>
          </w:p>
        </w:tc>
        <w:tc>
          <w:tcPr>
            <w:tcW w:w="1129"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اليونان والأردن وماليزيا/جميع الدول الأعضاء في الويبو</w:t>
            </w:r>
          </w:p>
        </w:tc>
        <w:tc>
          <w:tcPr>
            <w:tcW w:w="2233"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rtl/>
                <w:lang w:bidi="ar-EG"/>
              </w:rPr>
            </w:pPr>
            <w:r w:rsidRPr="0009163D">
              <w:rPr>
                <w:rFonts w:ascii="Arabic Typesetting" w:hAnsi="Arabic Typesetting" w:cs="Arabic Typesetting" w:hint="cs"/>
                <w:color w:val="000000"/>
                <w:sz w:val="30"/>
                <w:szCs w:val="30"/>
                <w:rtl/>
                <w:lang w:bidi="ar-EG"/>
              </w:rPr>
              <w:t>أجرى مكتب الويبو في اليابان بحثًا وجمّع الحالات الناجحة التي تربط بين الأعمال التجارية والملكية الفكرية، مع التركيز بشكل خاص على الحالات المرتبطة بالبلدان النامية، مما ساهم في إثراء قاعدة بيانات ميزة الملكية الفكرية</w:t>
            </w:r>
            <w:r w:rsidRPr="0009163D">
              <w:rPr>
                <w:rFonts w:ascii="Arabic Typesetting" w:hAnsi="Arabic Typesetting" w:cs="Arabic Typesetting" w:hint="cs"/>
                <w:color w:val="000000"/>
                <w:sz w:val="30"/>
                <w:szCs w:val="30"/>
                <w:lang w:bidi="ar-EG"/>
              </w:rPr>
              <w:t>:</w:t>
            </w:r>
          </w:p>
          <w:p w:rsidR="0009163D" w:rsidRPr="0009163D" w:rsidRDefault="0009163D" w:rsidP="0009163D">
            <w:pPr>
              <w:autoSpaceDE w:val="0"/>
              <w:autoSpaceDN w:val="0"/>
              <w:bidi/>
              <w:adjustRightInd w:val="0"/>
              <w:spacing w:before="60" w:after="60"/>
              <w:ind w:left="241" w:hanging="241"/>
              <w:rPr>
                <w:rFonts w:ascii="Arabic Typesetting" w:hAnsi="Arabic Typesetting" w:cs="Arabic Typesetting"/>
                <w:color w:val="000000"/>
                <w:sz w:val="30"/>
                <w:szCs w:val="30"/>
                <w:rtl/>
                <w:lang w:bidi="ar-EG"/>
              </w:rPr>
            </w:pPr>
            <w:r w:rsidRPr="0009163D">
              <w:rPr>
                <w:rFonts w:ascii="Arabic Typesetting" w:hAnsi="Arabic Typesetting" w:cs="Arabic Typesetting"/>
                <w:color w:val="000000"/>
                <w:sz w:val="30"/>
                <w:szCs w:val="30"/>
                <w:lang w:bidi="ar-EG"/>
              </w:rPr>
              <w:sym w:font="Symbol" w:char="F02D"/>
            </w:r>
            <w:r w:rsidRPr="0009163D">
              <w:rPr>
                <w:rFonts w:ascii="Arabic Typesetting" w:hAnsi="Arabic Typesetting" w:cs="Arabic Typesetting"/>
                <w:color w:val="000000"/>
                <w:sz w:val="30"/>
                <w:szCs w:val="30"/>
                <w:rtl/>
                <w:lang w:bidi="ar-EG"/>
              </w:rPr>
              <w:tab/>
            </w:r>
            <w:r w:rsidRPr="0009163D">
              <w:rPr>
                <w:rFonts w:ascii="Arabic Typesetting" w:hAnsi="Arabic Typesetting" w:cs="Arabic Typesetting" w:hint="cs"/>
                <w:color w:val="000000"/>
                <w:sz w:val="30"/>
                <w:szCs w:val="30"/>
                <w:rtl/>
                <w:lang w:bidi="ar-EG"/>
              </w:rPr>
              <w:t>حالة فيتا (اليونان)؛</w:t>
            </w:r>
          </w:p>
          <w:p w:rsidR="0009163D" w:rsidRPr="0009163D" w:rsidRDefault="0009163D" w:rsidP="0009163D">
            <w:pPr>
              <w:autoSpaceDE w:val="0"/>
              <w:autoSpaceDN w:val="0"/>
              <w:bidi/>
              <w:adjustRightInd w:val="0"/>
              <w:spacing w:before="60" w:after="60"/>
              <w:ind w:left="241" w:hanging="241"/>
              <w:rPr>
                <w:rFonts w:ascii="Arabic Typesetting" w:hAnsi="Arabic Typesetting" w:cs="Arabic Typesetting"/>
                <w:color w:val="000000"/>
                <w:sz w:val="30"/>
                <w:szCs w:val="30"/>
                <w:rtl/>
                <w:lang w:bidi="ar-EG"/>
              </w:rPr>
            </w:pPr>
            <w:r w:rsidRPr="0009163D">
              <w:rPr>
                <w:rFonts w:ascii="Arabic Typesetting" w:hAnsi="Arabic Typesetting" w:cs="Arabic Typesetting"/>
                <w:color w:val="000000"/>
                <w:sz w:val="30"/>
                <w:szCs w:val="30"/>
                <w:lang w:bidi="ar-EG"/>
              </w:rPr>
              <w:sym w:font="Symbol" w:char="F02D"/>
            </w:r>
            <w:r w:rsidRPr="0009163D">
              <w:rPr>
                <w:rFonts w:ascii="Arabic Typesetting" w:hAnsi="Arabic Typesetting" w:cs="Arabic Typesetting"/>
                <w:color w:val="000000"/>
                <w:sz w:val="30"/>
                <w:szCs w:val="30"/>
                <w:rtl/>
                <w:lang w:bidi="ar-EG"/>
              </w:rPr>
              <w:tab/>
            </w:r>
            <w:r w:rsidRPr="0009163D">
              <w:rPr>
                <w:rFonts w:ascii="Arabic Typesetting" w:hAnsi="Arabic Typesetting" w:cs="Arabic Typesetting" w:hint="cs"/>
                <w:color w:val="000000"/>
                <w:sz w:val="30"/>
                <w:szCs w:val="30"/>
                <w:rtl/>
                <w:lang w:bidi="ar-EG"/>
              </w:rPr>
              <w:t>(1) تطوير البرامج بأسعار معقولة للشركات الصغيرة؛ (2)</w:t>
            </w:r>
            <w:r w:rsidRPr="0009163D">
              <w:rPr>
                <w:rFonts w:ascii="Arabic Typesetting" w:hAnsi="Arabic Typesetting" w:cs="Arabic Typesetting" w:hint="eastAsia"/>
                <w:color w:val="000000"/>
                <w:sz w:val="30"/>
                <w:szCs w:val="30"/>
                <w:rtl/>
                <w:lang w:bidi="ar-EG"/>
              </w:rPr>
              <w:t> </w:t>
            </w:r>
            <w:r w:rsidRPr="0009163D">
              <w:rPr>
                <w:rFonts w:ascii="Arabic Typesetting" w:hAnsi="Arabic Typesetting" w:cs="Arabic Typesetting" w:hint="cs"/>
                <w:color w:val="000000"/>
                <w:sz w:val="30"/>
                <w:szCs w:val="30"/>
                <w:rtl/>
                <w:lang w:bidi="ar-EG"/>
              </w:rPr>
              <w:t>التطور نحو الابتكار المدفوع بالملكية الفكرية (الأردن)؛</w:t>
            </w:r>
          </w:p>
          <w:p w:rsidR="0009163D" w:rsidRPr="0009163D" w:rsidRDefault="0009163D" w:rsidP="0009163D">
            <w:pPr>
              <w:autoSpaceDE w:val="0"/>
              <w:autoSpaceDN w:val="0"/>
              <w:bidi/>
              <w:adjustRightInd w:val="0"/>
              <w:spacing w:before="60" w:after="60"/>
              <w:ind w:left="241" w:hanging="241"/>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lang w:bidi="ar-EG"/>
              </w:rPr>
              <w:sym w:font="Symbol" w:char="F02D"/>
            </w:r>
            <w:r w:rsidRPr="0009163D">
              <w:rPr>
                <w:rFonts w:ascii="Arabic Typesetting" w:hAnsi="Arabic Typesetting" w:cs="Arabic Typesetting"/>
                <w:color w:val="000000"/>
                <w:sz w:val="30"/>
                <w:szCs w:val="30"/>
                <w:rtl/>
                <w:lang w:bidi="ar-EG"/>
              </w:rPr>
              <w:tab/>
            </w:r>
            <w:r w:rsidRPr="0009163D">
              <w:rPr>
                <w:rFonts w:ascii="Arabic Typesetting" w:hAnsi="Arabic Typesetting" w:cs="Arabic Typesetting" w:hint="cs"/>
                <w:color w:val="000000"/>
                <w:sz w:val="30"/>
                <w:szCs w:val="30"/>
                <w:rtl/>
                <w:lang w:bidi="ar-EG"/>
              </w:rPr>
              <w:t>التكنولوجيا، والترخيص والأشجار، والبحث والتطوير في الجامعات لإطعام أمة (ماليزيا)</w:t>
            </w:r>
          </w:p>
        </w:tc>
      </w:tr>
      <w:tr w:rsidR="0009163D" w:rsidRPr="0009163D" w:rsidTr="00925848">
        <w:trPr>
          <w:gridAfter w:val="1"/>
          <w:wAfter w:w="5" w:type="pct"/>
          <w:cantSplit/>
          <w:trHeight w:val="315"/>
        </w:trPr>
        <w:tc>
          <w:tcPr>
            <w:tcW w:w="1057"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ترجمة منشورات الويبو</w:t>
            </w:r>
          </w:p>
        </w:tc>
        <w:tc>
          <w:tcPr>
            <w:tcW w:w="576" w:type="pct"/>
            <w:gridSpan w:val="3"/>
          </w:tcPr>
          <w:p w:rsidR="0009163D" w:rsidRPr="0009163D" w:rsidRDefault="0009163D" w:rsidP="0009163D">
            <w:pPr>
              <w:bidi/>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2015 (بدأ)</w:t>
            </w:r>
          </w:p>
        </w:tc>
        <w:tc>
          <w:tcPr>
            <w:tcW w:w="1129"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ميانمار</w:t>
            </w:r>
          </w:p>
        </w:tc>
        <w:tc>
          <w:tcPr>
            <w:tcW w:w="2233"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منشورات الويبو التالية تخضع للترجمة إلى البورمية: </w:t>
            </w:r>
            <w:r w:rsidRPr="0009163D">
              <w:rPr>
                <w:rFonts w:ascii="Arabic Typesetting" w:hAnsi="Arabic Typesetting" w:cs="Arabic Typesetting" w:hint="cs"/>
                <w:i/>
                <w:iCs/>
                <w:color w:val="000000"/>
                <w:sz w:val="30"/>
                <w:szCs w:val="30"/>
                <w:rtl/>
                <w:lang w:bidi="ar-EG"/>
              </w:rPr>
              <w:t xml:space="preserve">(1) ترك </w:t>
            </w:r>
            <w:r w:rsidRPr="0009163D">
              <w:rPr>
                <w:rFonts w:ascii="Arabic Typesetting" w:hAnsi="Arabic Typesetting" w:cs="Arabic Typesetting"/>
                <w:i/>
                <w:iCs/>
                <w:color w:val="000000"/>
                <w:sz w:val="30"/>
                <w:szCs w:val="30"/>
                <w:rtl/>
                <w:lang w:bidi="ar-EG"/>
              </w:rPr>
              <w:t>علامة – مدخل إلى العلامات التجارية للشركات الصغيرة والمتوسطة</w:t>
            </w:r>
            <w:r w:rsidRPr="0009163D">
              <w:rPr>
                <w:rFonts w:ascii="Arabic Typesetting" w:hAnsi="Arabic Typesetting" w:cs="Arabic Typesetting"/>
                <w:color w:val="000000"/>
                <w:sz w:val="30"/>
                <w:szCs w:val="30"/>
                <w:rtl/>
                <w:lang w:bidi="ar-EG"/>
              </w:rPr>
              <w:t>؛ و</w:t>
            </w:r>
            <w:r w:rsidRPr="0009163D">
              <w:rPr>
                <w:rFonts w:ascii="Arabic Typesetting" w:hAnsi="Arabic Typesetting" w:cs="Arabic Typesetting" w:hint="cs"/>
                <w:color w:val="000000"/>
                <w:sz w:val="30"/>
                <w:szCs w:val="30"/>
                <w:rtl/>
                <w:lang w:bidi="ar-EG"/>
              </w:rPr>
              <w:t xml:space="preserve">(2) </w:t>
            </w:r>
            <w:r w:rsidRPr="0009163D">
              <w:rPr>
                <w:rFonts w:ascii="Arabic Typesetting" w:hAnsi="Arabic Typesetting" w:cs="Arabic Typesetting"/>
                <w:i/>
                <w:iCs/>
                <w:color w:val="000000"/>
                <w:sz w:val="30"/>
                <w:szCs w:val="30"/>
                <w:rtl/>
                <w:lang w:bidi="ar-EG"/>
              </w:rPr>
              <w:t>اختراع المستقبل – مدخل إلى البراءات للشركات الصغيرة والمتوسطة</w:t>
            </w:r>
            <w:r w:rsidRPr="0009163D">
              <w:rPr>
                <w:rFonts w:ascii="Arabic Typesetting" w:hAnsi="Arabic Typesetting" w:cs="Arabic Typesetting"/>
                <w:color w:val="000000"/>
                <w:sz w:val="30"/>
                <w:szCs w:val="30"/>
                <w:rtl/>
                <w:lang w:bidi="ar-EG"/>
              </w:rPr>
              <w:t xml:space="preserve">، </w:t>
            </w:r>
            <w:r w:rsidRPr="0009163D">
              <w:rPr>
                <w:rFonts w:ascii="Arabic Typesetting" w:hAnsi="Arabic Typesetting" w:cs="Arabic Typesetting" w:hint="cs"/>
                <w:color w:val="000000"/>
                <w:sz w:val="30"/>
                <w:szCs w:val="30"/>
                <w:rtl/>
                <w:lang w:bidi="ar-EG"/>
              </w:rPr>
              <w:t xml:space="preserve">و(3) </w:t>
            </w:r>
            <w:r w:rsidRPr="0009163D">
              <w:rPr>
                <w:rFonts w:ascii="Arabic Typesetting" w:hAnsi="Arabic Typesetting" w:cs="Arabic Typesetting"/>
                <w:i/>
                <w:iCs/>
                <w:color w:val="000000"/>
                <w:sz w:val="30"/>
                <w:szCs w:val="30"/>
                <w:rtl/>
                <w:lang w:bidi="ar-EG"/>
              </w:rPr>
              <w:t>التعبير الإبداعي</w:t>
            </w:r>
            <w:r w:rsidRPr="0009163D">
              <w:rPr>
                <w:rFonts w:ascii="Arabic Typesetting" w:hAnsi="Arabic Typesetting" w:cs="Arabic Typesetting" w:hint="cs"/>
                <w:i/>
                <w:iCs/>
                <w:color w:val="000000"/>
                <w:sz w:val="30"/>
                <w:szCs w:val="30"/>
                <w:rtl/>
                <w:lang w:bidi="ar-EG"/>
              </w:rPr>
              <w:t xml:space="preserve"> </w:t>
            </w:r>
            <w:r w:rsidR="00AD17C3">
              <w:rPr>
                <w:rFonts w:ascii="Arabic Typesetting" w:hAnsi="Arabic Typesetting" w:cs="Arabic Typesetting" w:hint="cs"/>
                <w:i/>
                <w:iCs/>
                <w:color w:val="000000"/>
                <w:sz w:val="30"/>
                <w:szCs w:val="30"/>
                <w:rtl/>
                <w:lang w:bidi="ar-EG"/>
              </w:rPr>
              <w:t>-</w:t>
            </w:r>
            <w:r w:rsidRPr="0009163D">
              <w:rPr>
                <w:rFonts w:ascii="Arabic Typesetting" w:hAnsi="Arabic Typesetting" w:cs="Arabic Typesetting"/>
                <w:i/>
                <w:iCs/>
                <w:color w:val="000000"/>
                <w:sz w:val="30"/>
                <w:szCs w:val="30"/>
                <w:rtl/>
                <w:lang w:bidi="ar-EG"/>
              </w:rPr>
              <w:t xml:space="preserve"> مدخل إلى حق المؤلف والحقوق المجاورة للشركات الصغيرة والمتوسطة</w:t>
            </w:r>
            <w:r w:rsidRPr="0009163D">
              <w:rPr>
                <w:rFonts w:ascii="Arabic Typesetting" w:hAnsi="Arabic Typesetting" w:cs="Arabic Typesetting" w:hint="cs"/>
                <w:color w:val="000000"/>
                <w:sz w:val="30"/>
                <w:szCs w:val="30"/>
                <w:rtl/>
                <w:lang w:bidi="ar-EG"/>
              </w:rPr>
              <w:t>.</w:t>
            </w:r>
          </w:p>
        </w:tc>
      </w:tr>
      <w:tr w:rsidR="0009163D" w:rsidRPr="0009163D" w:rsidTr="00925848">
        <w:trPr>
          <w:gridAfter w:val="1"/>
          <w:wAfter w:w="5" w:type="pct"/>
          <w:cantSplit/>
          <w:trHeight w:val="315"/>
        </w:trPr>
        <w:tc>
          <w:tcPr>
            <w:tcW w:w="1057"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توفير مراجع الملكية الفكرية</w:t>
            </w:r>
            <w:r w:rsidRPr="0009163D">
              <w:rPr>
                <w:rFonts w:ascii="Arabic Typesetting" w:hAnsi="Arabic Typesetting" w:cs="Arabic Typesetting" w:hint="cs"/>
                <w:color w:val="000000"/>
                <w:sz w:val="30"/>
                <w:szCs w:val="30"/>
                <w:lang w:bidi="ar-EG"/>
              </w:rPr>
              <w:t xml:space="preserve"> </w:t>
            </w:r>
          </w:p>
        </w:tc>
        <w:tc>
          <w:tcPr>
            <w:tcW w:w="576" w:type="pct"/>
            <w:gridSpan w:val="3"/>
          </w:tcPr>
          <w:p w:rsidR="0009163D" w:rsidRPr="0009163D" w:rsidRDefault="0009163D" w:rsidP="0009163D">
            <w:pPr>
              <w:bidi/>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2015</w:t>
            </w:r>
          </w:p>
        </w:tc>
        <w:tc>
          <w:tcPr>
            <w:tcW w:w="1129"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تايلند</w:t>
            </w:r>
          </w:p>
        </w:tc>
        <w:tc>
          <w:tcPr>
            <w:tcW w:w="2233"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توفير مجموعة من منشورات الملكية الفكرية الأساسية إلى </w:t>
            </w:r>
            <w:r w:rsidRPr="0009163D">
              <w:rPr>
                <w:rFonts w:ascii="Arabic Typesetting" w:hAnsi="Arabic Typesetting" w:cs="Arabic Typesetting"/>
                <w:color w:val="000000"/>
                <w:sz w:val="30"/>
                <w:szCs w:val="30"/>
                <w:rtl/>
                <w:lang w:bidi="ar-EG"/>
              </w:rPr>
              <w:t>المحكمة المركزية التايلندية للملكية الفكرية والتجارة العالمية</w:t>
            </w:r>
            <w:r w:rsidRPr="0009163D">
              <w:rPr>
                <w:rFonts w:ascii="Arabic Typesetting" w:hAnsi="Arabic Typesetting" w:cs="Arabic Typesetting" w:hint="cs"/>
                <w:color w:val="000000"/>
                <w:sz w:val="30"/>
                <w:szCs w:val="30"/>
                <w:rtl/>
                <w:lang w:bidi="ar-EG"/>
              </w:rPr>
              <w:t>.</w:t>
            </w:r>
          </w:p>
        </w:tc>
      </w:tr>
      <w:tr w:rsidR="0009163D" w:rsidRPr="0009163D" w:rsidTr="00925848">
        <w:trPr>
          <w:cantSplit/>
        </w:trPr>
        <w:tc>
          <w:tcPr>
            <w:tcW w:w="5000" w:type="pct"/>
            <w:gridSpan w:val="11"/>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4.4 </w:t>
            </w:r>
            <w:r w:rsidRPr="0009163D">
              <w:rPr>
                <w:rFonts w:ascii="Arabic Typesetting" w:hAnsi="Arabic Typesetting" w:cs="Arabic Typesetting"/>
                <w:color w:val="000000"/>
                <w:sz w:val="30"/>
                <w:szCs w:val="30"/>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09163D" w:rsidRPr="0009163D" w:rsidTr="00925848">
        <w:trPr>
          <w:cantSplit/>
        </w:trPr>
        <w:tc>
          <w:tcPr>
            <w:tcW w:w="998" w:type="pct"/>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604" w:type="pct"/>
            <w:gridSpan w:val="3"/>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057" w:type="pct"/>
            <w:gridSpan w:val="3"/>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2341" w:type="pct"/>
            <w:gridSpan w:val="4"/>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998" w:type="pct"/>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حلقة عمل عن الاستفادة من منصة </w:t>
            </w:r>
            <w:r w:rsidRPr="0009163D">
              <w:rPr>
                <w:rFonts w:ascii="Arabic Typesetting" w:hAnsi="Arabic Typesetting" w:cs="Arabic Typesetting"/>
                <w:color w:val="000000"/>
                <w:sz w:val="30"/>
                <w:szCs w:val="30"/>
                <w:rtl/>
                <w:lang w:bidi="ar-EG"/>
              </w:rPr>
              <w:t>نظام النفاذ المركزي إلى البحث والفحص (</w:t>
            </w:r>
            <w:r w:rsidRPr="0009163D">
              <w:rPr>
                <w:rFonts w:ascii="Arabic Typesetting" w:hAnsi="Arabic Typesetting" w:cs="Arabic Typesetting"/>
                <w:color w:val="000000"/>
                <w:sz w:val="30"/>
                <w:szCs w:val="30"/>
                <w:lang w:bidi="ar-EG"/>
              </w:rPr>
              <w:t>WIPO CASE</w:t>
            </w:r>
            <w:r w:rsidRPr="0009163D">
              <w:rPr>
                <w:rFonts w:ascii="Arabic Typesetting" w:hAnsi="Arabic Typesetting" w:cs="Arabic Typesetting"/>
                <w:color w:val="000000"/>
                <w:sz w:val="30"/>
                <w:szCs w:val="30"/>
                <w:rtl/>
                <w:lang w:bidi="ar-EG"/>
              </w:rPr>
              <w:t>)</w:t>
            </w:r>
            <w:r w:rsidRPr="0009163D">
              <w:rPr>
                <w:rFonts w:ascii="Arabic Typesetting" w:hAnsi="Arabic Typesetting" w:cs="Arabic Typesetting" w:hint="cs"/>
                <w:color w:val="000000"/>
                <w:sz w:val="30"/>
                <w:szCs w:val="30"/>
                <w:rtl/>
                <w:lang w:bidi="ar-EG"/>
              </w:rPr>
              <w:t xml:space="preserve"> وتقاسم العمل في </w:t>
            </w:r>
            <w:r w:rsidRPr="0009163D">
              <w:rPr>
                <w:rFonts w:ascii="Arabic Typesetting" w:hAnsi="Arabic Typesetting" w:cs="Arabic Typesetting"/>
                <w:color w:val="000000"/>
                <w:sz w:val="30"/>
                <w:szCs w:val="30"/>
                <w:rtl/>
                <w:lang w:bidi="ar-EG"/>
              </w:rPr>
              <w:t xml:space="preserve">رابطة أمم جنوب شرقي آسيا </w:t>
            </w:r>
            <w:r w:rsidRPr="0009163D">
              <w:rPr>
                <w:rFonts w:ascii="Arabic Typesetting" w:hAnsi="Arabic Typesetting" w:cs="Arabic Typesetting" w:hint="cs"/>
                <w:color w:val="000000"/>
                <w:sz w:val="30"/>
                <w:szCs w:val="30"/>
                <w:rtl/>
                <w:lang w:bidi="ar-EG"/>
              </w:rPr>
              <w:t>بكفاءة وفعالية</w:t>
            </w:r>
          </w:p>
        </w:tc>
        <w:tc>
          <w:tcPr>
            <w:tcW w:w="604"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فبراير 2015</w:t>
            </w:r>
          </w:p>
        </w:tc>
        <w:tc>
          <w:tcPr>
            <w:tcW w:w="1057"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سنغافورة/الدول الأعضاء في </w:t>
            </w:r>
            <w:r w:rsidRPr="0009163D">
              <w:rPr>
                <w:rFonts w:ascii="Arabic Typesetting" w:hAnsi="Arabic Typesetting" w:cs="Arabic Typesetting"/>
                <w:color w:val="000000"/>
                <w:sz w:val="30"/>
                <w:szCs w:val="30"/>
                <w:rtl/>
                <w:lang w:bidi="ar-EG"/>
              </w:rPr>
              <w:t>رابطة أمم جنوب شرقي آسيا</w:t>
            </w:r>
          </w:p>
        </w:tc>
        <w:tc>
          <w:tcPr>
            <w:tcW w:w="2341" w:type="pct"/>
            <w:gridSpan w:val="4"/>
            <w:shd w:val="clear" w:color="auto" w:fill="FFFFFF"/>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مساعدة أعضاء الرابطة في دفع مبادرة تقاسم أعمال البراءات قدمًا مع فهم واضح لاحتياجات العمل وتحسين نوعية البحث والفحص على المستوى الوطني.</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وكان الهدف من هذه الندوة: (1)</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تعزيز الممارسات التشغيلية ل</w:t>
            </w:r>
            <w:r w:rsidRPr="0009163D">
              <w:rPr>
                <w:rFonts w:ascii="Arabic Typesetting" w:hAnsi="Arabic Typesetting" w:cs="Arabic Typesetting"/>
                <w:color w:val="000000"/>
                <w:sz w:val="30"/>
                <w:szCs w:val="30"/>
                <w:rtl/>
                <w:lang w:bidi="ar-EG"/>
              </w:rPr>
              <w:t>برنامج رابطة أمم جنوب شرقي آسيا</w:t>
            </w:r>
            <w:r w:rsidRPr="0009163D">
              <w:rPr>
                <w:rFonts w:ascii="Arabic Typesetting" w:hAnsi="Arabic Typesetting" w:cs="Arabic Typesetting" w:hint="cs"/>
                <w:color w:val="000000"/>
                <w:sz w:val="30"/>
                <w:szCs w:val="30"/>
                <w:rtl/>
                <w:lang w:bidi="ar-EG"/>
              </w:rPr>
              <w:t xml:space="preserve"> </w:t>
            </w:r>
            <w:r w:rsidRPr="0009163D">
              <w:rPr>
                <w:rFonts w:ascii="Arabic Typesetting" w:hAnsi="Arabic Typesetting" w:cs="Arabic Typesetting"/>
                <w:color w:val="000000"/>
                <w:sz w:val="30"/>
                <w:szCs w:val="30"/>
                <w:rtl/>
                <w:lang w:bidi="ar-EG"/>
              </w:rPr>
              <w:t>للتعاون في فحص البراءات (</w:t>
            </w:r>
            <w:r w:rsidRPr="0009163D">
              <w:rPr>
                <w:rFonts w:ascii="Arabic Typesetting" w:hAnsi="Arabic Typesetting" w:cs="Arabic Typesetting"/>
                <w:color w:val="000000"/>
                <w:sz w:val="30"/>
                <w:szCs w:val="30"/>
                <w:lang w:bidi="ar-EG"/>
              </w:rPr>
              <w:t>ASPEC</w:t>
            </w:r>
            <w:r w:rsidRPr="0009163D">
              <w:rPr>
                <w:rFonts w:ascii="Arabic Typesetting" w:hAnsi="Arabic Typesetting" w:cs="Arabic Typesetting"/>
                <w:color w:val="000000"/>
                <w:sz w:val="30"/>
                <w:szCs w:val="30"/>
                <w:rtl/>
                <w:lang w:bidi="ar-EG"/>
              </w:rPr>
              <w:t>)</w:t>
            </w:r>
            <w:r w:rsidRPr="0009163D">
              <w:rPr>
                <w:rFonts w:ascii="Arabic Typesetting" w:hAnsi="Arabic Typesetting" w:cs="Arabic Typesetting" w:hint="cs"/>
                <w:color w:val="000000"/>
                <w:sz w:val="30"/>
                <w:szCs w:val="30"/>
                <w:rtl/>
                <w:lang w:bidi="ar-EG"/>
              </w:rPr>
              <w:t xml:space="preserve"> مع اتباع نهج أكثر استراتيجية وأكثر توجهًا نحو الأعمال و(2)</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 xml:space="preserve">إعادة النظر في المستوى الحالي لممارسات </w:t>
            </w:r>
            <w:r w:rsidRPr="0009163D">
              <w:rPr>
                <w:rFonts w:ascii="Arabic Typesetting" w:hAnsi="Arabic Typesetting" w:cs="Arabic Typesetting" w:hint="cs"/>
                <w:color w:val="000000"/>
                <w:sz w:val="30"/>
                <w:szCs w:val="30"/>
                <w:lang w:bidi="ar-EG"/>
              </w:rPr>
              <w:t>ASPEC</w:t>
            </w:r>
            <w:r w:rsidRPr="0009163D">
              <w:rPr>
                <w:rFonts w:ascii="Arabic Typesetting" w:hAnsi="Arabic Typesetting" w:cs="Arabic Typesetting" w:hint="cs"/>
                <w:color w:val="000000"/>
                <w:sz w:val="30"/>
                <w:szCs w:val="30"/>
                <w:rtl/>
                <w:lang w:bidi="ar-EG"/>
              </w:rPr>
              <w:t xml:space="preserve"> وفعالية وكفاءة منصة </w:t>
            </w:r>
            <w:r w:rsidRPr="0009163D">
              <w:rPr>
                <w:rFonts w:ascii="Arabic Typesetting" w:hAnsi="Arabic Typesetting" w:cs="Arabic Typesetting"/>
                <w:color w:val="000000"/>
                <w:sz w:val="30"/>
                <w:szCs w:val="30"/>
                <w:lang w:bidi="ar-EG"/>
              </w:rPr>
              <w:t>WIPO CASE</w:t>
            </w:r>
            <w:r w:rsidRPr="0009163D">
              <w:rPr>
                <w:rFonts w:ascii="Arabic Typesetting" w:hAnsi="Arabic Typesetting" w:cs="Arabic Typesetting" w:hint="cs"/>
                <w:color w:val="000000"/>
                <w:sz w:val="30"/>
                <w:szCs w:val="30"/>
                <w:rtl/>
                <w:lang w:bidi="ar-EG"/>
              </w:rPr>
              <w:t xml:space="preserve"> لأغراض تسهيل عمليات</w:t>
            </w:r>
            <w:r w:rsidRPr="0009163D">
              <w:rPr>
                <w:rFonts w:ascii="Arabic Typesetting" w:hAnsi="Arabic Typesetting" w:cs="Arabic Typesetting" w:hint="cs"/>
                <w:color w:val="000000"/>
                <w:sz w:val="30"/>
                <w:szCs w:val="30"/>
                <w:lang w:bidi="ar-EG"/>
              </w:rPr>
              <w:t>ASPEC</w:t>
            </w:r>
            <w:r w:rsidRPr="0009163D">
              <w:rPr>
                <w:rFonts w:ascii="Arabic Typesetting" w:hAnsi="Arabic Typesetting" w:cs="Arabic Typesetting" w:hint="cs"/>
                <w:color w:val="000000"/>
                <w:sz w:val="30"/>
                <w:szCs w:val="30"/>
                <w:rtl/>
                <w:lang w:bidi="ar-EG"/>
              </w:rPr>
              <w:t xml:space="preserve"> و(3)</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 xml:space="preserve">جعل </w:t>
            </w:r>
            <w:r w:rsidRPr="0009163D">
              <w:rPr>
                <w:rFonts w:ascii="Arabic Typesetting" w:hAnsi="Arabic Typesetting" w:cs="Arabic Typesetting"/>
                <w:color w:val="000000"/>
                <w:sz w:val="30"/>
                <w:szCs w:val="30"/>
                <w:lang w:bidi="ar-EG"/>
              </w:rPr>
              <w:t>WIPO CASE</w:t>
            </w:r>
            <w:r w:rsidRPr="0009163D">
              <w:rPr>
                <w:rFonts w:ascii="Arabic Typesetting" w:hAnsi="Arabic Typesetting" w:cs="Arabic Typesetting" w:hint="cs"/>
                <w:color w:val="000000"/>
                <w:sz w:val="30"/>
                <w:szCs w:val="30"/>
                <w:rtl/>
                <w:lang w:bidi="ar-EG"/>
              </w:rPr>
              <w:t xml:space="preserve"> منبرا مفيدا لفاحصي البراءات للتعرف على ممارسات فحص البراءات في مكاتب الملكية الفكرية المختلفة وتطبيقها في عملهم الحالي</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و(4)</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 xml:space="preserve">تقديم توصيات، بما في ذلك بنود إجراءات محددة، لتعزيز وتحسين الكفاءة في عمل </w:t>
            </w:r>
            <w:r w:rsidRPr="0009163D">
              <w:rPr>
                <w:rFonts w:ascii="Arabic Typesetting" w:hAnsi="Arabic Typesetting" w:cs="Arabic Typesetting"/>
                <w:color w:val="000000"/>
                <w:sz w:val="30"/>
                <w:szCs w:val="30"/>
                <w:lang w:bidi="ar-EG"/>
              </w:rPr>
              <w:t>ASPEC</w:t>
            </w:r>
            <w:r w:rsidRPr="0009163D">
              <w:rPr>
                <w:rFonts w:ascii="Arabic Typesetting" w:hAnsi="Arabic Typesetting" w:cs="Arabic Typesetting" w:hint="cs"/>
                <w:color w:val="000000"/>
                <w:sz w:val="30"/>
                <w:szCs w:val="30"/>
                <w:rtl/>
                <w:lang w:bidi="ar-EG"/>
              </w:rPr>
              <w:t>.</w:t>
            </w:r>
          </w:p>
        </w:tc>
      </w:tr>
      <w:tr w:rsidR="0009163D" w:rsidRPr="0009163D" w:rsidTr="00925848">
        <w:trPr>
          <w:cantSplit/>
        </w:trPr>
        <w:tc>
          <w:tcPr>
            <w:tcW w:w="998" w:type="pct"/>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lastRenderedPageBreak/>
              <w:t>مشروع تعزيز البنية التحتية لمكاتب الملكية الفكرية لدول الرابطة لدعم التعاون الإقليمي في مجال تقاسم أعمال البراءات</w:t>
            </w:r>
          </w:p>
        </w:tc>
        <w:tc>
          <w:tcPr>
            <w:tcW w:w="604"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أبريل 2015 (بدأ)</w:t>
            </w:r>
          </w:p>
        </w:tc>
        <w:tc>
          <w:tcPr>
            <w:tcW w:w="1057"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أعضاء </w:t>
            </w:r>
            <w:r w:rsidRPr="0009163D">
              <w:rPr>
                <w:rFonts w:ascii="Arabic Typesetting" w:hAnsi="Arabic Typesetting" w:cs="Arabic Typesetting"/>
                <w:color w:val="000000"/>
                <w:sz w:val="30"/>
                <w:szCs w:val="30"/>
                <w:rtl/>
                <w:lang w:bidi="ar-EG"/>
              </w:rPr>
              <w:t>رابطة أمم جنوب شرقي آسيا</w:t>
            </w:r>
          </w:p>
        </w:tc>
        <w:tc>
          <w:tcPr>
            <w:tcW w:w="2341" w:type="pct"/>
            <w:gridSpan w:val="4"/>
            <w:shd w:val="clear" w:color="auto" w:fill="FFFFFF"/>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(1) توسيع وتحسين تقاسم مكاتب الملكية الفكرية في دول الرابطة لمعلومات الملف، بما في ذلك نتائج البحث عن البراءات وفحصها، مع مكاتب الملكية الفكرية الأخرى من خلال شبكة </w:t>
            </w:r>
            <w:r w:rsidRPr="0009163D">
              <w:rPr>
                <w:rFonts w:ascii="Arabic Typesetting" w:hAnsi="Arabic Typesetting" w:cs="Arabic Typesetting"/>
                <w:color w:val="000000"/>
                <w:sz w:val="30"/>
                <w:szCs w:val="30"/>
                <w:lang w:bidi="ar-EG"/>
              </w:rPr>
              <w:t>WIPO CASE</w:t>
            </w:r>
            <w:r w:rsidRPr="0009163D">
              <w:rPr>
                <w:rFonts w:ascii="Arabic Typesetting" w:hAnsi="Arabic Typesetting" w:cs="Arabic Typesetting" w:hint="cs"/>
                <w:color w:val="000000"/>
                <w:sz w:val="30"/>
                <w:szCs w:val="30"/>
                <w:rtl/>
                <w:lang w:bidi="ar-EG"/>
              </w:rPr>
              <w:t>؛ و(2)</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تطوير نظم المعلومات على المستوى الإقليمي تستفيد بشكل فعال من منصة برمجيات؛ و(3)</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تقديم المساعدة التقنية اللازمة لمكاتب الملكية الفكرية في دول الرابطة لدعم تقاسم معلومات الملف ومعلومات الملكية الفكرية الأخرى من خلال ترقية أنظمة إدارة الملكية الفكرية</w:t>
            </w:r>
            <w:r w:rsidRPr="0009163D">
              <w:rPr>
                <w:rFonts w:ascii="Arabic Typesetting" w:hAnsi="Arabic Typesetting" w:cs="Arabic Typesetting" w:hint="cs"/>
                <w:color w:val="000000"/>
                <w:sz w:val="30"/>
                <w:szCs w:val="30"/>
                <w:lang w:bidi="ar-EG"/>
              </w:rPr>
              <w:t>.</w:t>
            </w:r>
          </w:p>
        </w:tc>
      </w:tr>
      <w:tr w:rsidR="0009163D" w:rsidRPr="0009163D" w:rsidTr="00925848">
        <w:trPr>
          <w:cantSplit/>
        </w:trPr>
        <w:tc>
          <w:tcPr>
            <w:tcW w:w="998" w:type="pct"/>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زيارة دراسية للمديرية العامة للملكية الفكرية</w:t>
            </w:r>
            <w:r w:rsidRPr="0009163D">
              <w:rPr>
                <w:rFonts w:ascii="Arabic Typesetting" w:hAnsi="Arabic Typesetting" w:cs="Arabic Typesetting" w:hint="cs"/>
                <w:color w:val="000000"/>
                <w:sz w:val="30"/>
                <w:szCs w:val="30"/>
                <w:lang w:bidi="ar-EG"/>
              </w:rPr>
              <w:t xml:space="preserve"> (DGIP)</w:t>
            </w:r>
            <w:r w:rsidRPr="0009163D">
              <w:rPr>
                <w:rFonts w:ascii="Arabic Typesetting" w:hAnsi="Arabic Typesetting" w:cs="Arabic Typesetting" w:hint="cs"/>
                <w:color w:val="000000"/>
                <w:sz w:val="30"/>
                <w:szCs w:val="30"/>
                <w:rtl/>
                <w:lang w:bidi="ar-EG"/>
              </w:rPr>
              <w:t xml:space="preserve"> في إندونيسيا إلى مكتب اليابان للبراءات</w:t>
            </w:r>
          </w:p>
        </w:tc>
        <w:tc>
          <w:tcPr>
            <w:tcW w:w="604"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سبتمبر 2015</w:t>
            </w:r>
          </w:p>
        </w:tc>
        <w:tc>
          <w:tcPr>
            <w:tcW w:w="1057"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rtl/>
                <w:lang w:bidi="ar-EG"/>
              </w:rPr>
            </w:pPr>
            <w:r w:rsidRPr="0009163D">
              <w:rPr>
                <w:rFonts w:ascii="Arabic Typesetting" w:hAnsi="Arabic Typesetting" w:cs="Arabic Typesetting" w:hint="cs"/>
                <w:color w:val="000000"/>
                <w:sz w:val="30"/>
                <w:szCs w:val="30"/>
                <w:rtl/>
                <w:lang w:bidi="ar-EG"/>
              </w:rPr>
              <w:t>إندونيسيا</w:t>
            </w:r>
          </w:p>
        </w:tc>
        <w:tc>
          <w:tcPr>
            <w:tcW w:w="2341" w:type="pct"/>
            <w:gridSpan w:val="4"/>
            <w:shd w:val="clear" w:color="auto" w:fill="FFFFFF"/>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إجراء </w:t>
            </w:r>
            <w:proofErr w:type="spellStart"/>
            <w:r w:rsidRPr="0009163D">
              <w:rPr>
                <w:rFonts w:ascii="Arabic Typesetting" w:hAnsi="Arabic Typesetting" w:cs="Arabic Typesetting" w:hint="cs"/>
                <w:color w:val="000000"/>
                <w:sz w:val="30"/>
                <w:szCs w:val="30"/>
                <w:rtl/>
                <w:lang w:bidi="ar-EG"/>
              </w:rPr>
              <w:t>المقارانات</w:t>
            </w:r>
            <w:proofErr w:type="spellEnd"/>
            <w:r w:rsidRPr="0009163D">
              <w:rPr>
                <w:rFonts w:ascii="Arabic Typesetting" w:hAnsi="Arabic Typesetting" w:cs="Arabic Typesetting" w:hint="cs"/>
                <w:color w:val="000000"/>
                <w:sz w:val="30"/>
                <w:szCs w:val="30"/>
                <w:rtl/>
                <w:lang w:bidi="ar-EG"/>
              </w:rPr>
              <w:t xml:space="preserve"> المرجعية في مكتب براءات اليابان بشأن استعراض أساليب العمل</w:t>
            </w:r>
            <w:r w:rsidRPr="0009163D">
              <w:rPr>
                <w:rFonts w:ascii="Arabic Typesetting" w:hAnsi="Arabic Typesetting" w:cs="Arabic Typesetting"/>
                <w:color w:val="000000"/>
                <w:sz w:val="30"/>
                <w:szCs w:val="30"/>
                <w:rtl/>
                <w:lang w:bidi="ar-EG"/>
              </w:rPr>
              <w:t xml:space="preserve"> </w:t>
            </w:r>
            <w:r w:rsidRPr="0009163D">
              <w:rPr>
                <w:rFonts w:ascii="Arabic Typesetting" w:hAnsi="Arabic Typesetting" w:cs="Arabic Typesetting" w:hint="cs"/>
                <w:color w:val="000000"/>
                <w:sz w:val="30"/>
                <w:szCs w:val="30"/>
                <w:rtl/>
                <w:lang w:bidi="ar-EG"/>
              </w:rPr>
              <w:t>وممارسات الفحص</w:t>
            </w:r>
            <w:r w:rsidRPr="0009163D">
              <w:rPr>
                <w:rFonts w:ascii="Arabic Typesetting" w:hAnsi="Arabic Typesetting" w:cs="Arabic Typesetting"/>
                <w:color w:val="000000"/>
                <w:sz w:val="30"/>
                <w:szCs w:val="30"/>
                <w:rtl/>
                <w:lang w:bidi="ar-EG"/>
              </w:rPr>
              <w:t xml:space="preserve"> باستخدام نظم المعلومات.</w:t>
            </w:r>
          </w:p>
        </w:tc>
      </w:tr>
      <w:tr w:rsidR="0009163D" w:rsidRPr="0009163D" w:rsidTr="00925848">
        <w:trPr>
          <w:cantSplit/>
        </w:trPr>
        <w:tc>
          <w:tcPr>
            <w:tcW w:w="998" w:type="pct"/>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حلقة عمل عن تكنولوجيا المعلومات في رابطة أمم جنوب شرقي آسيا لخدمة الأعمال التجارية عبر الإنترنت في كمبوديا</w:t>
            </w:r>
          </w:p>
        </w:tc>
        <w:tc>
          <w:tcPr>
            <w:tcW w:w="604"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2 إلى 6 نوفمبر 2015</w:t>
            </w:r>
          </w:p>
        </w:tc>
        <w:tc>
          <w:tcPr>
            <w:tcW w:w="1057"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كمبوديا/بروني دار السلام وإندونيسيا وجمهورية لاو الديمقراطية الشعبية وماليزيا وميانمار والفلبين وسنغافورة وتايلند </w:t>
            </w:r>
            <w:proofErr w:type="spellStart"/>
            <w:r w:rsidRPr="0009163D">
              <w:rPr>
                <w:rFonts w:ascii="Arabic Typesetting" w:hAnsi="Arabic Typesetting" w:cs="Arabic Typesetting" w:hint="cs"/>
                <w:color w:val="000000"/>
                <w:sz w:val="30"/>
                <w:szCs w:val="30"/>
                <w:rtl/>
                <w:lang w:bidi="ar-EG"/>
              </w:rPr>
              <w:t>وفييت</w:t>
            </w:r>
            <w:proofErr w:type="spellEnd"/>
            <w:r w:rsidRPr="0009163D">
              <w:rPr>
                <w:rFonts w:ascii="Arabic Typesetting" w:hAnsi="Arabic Typesetting" w:cs="Arabic Typesetting" w:hint="cs"/>
                <w:color w:val="000000"/>
                <w:sz w:val="30"/>
                <w:szCs w:val="30"/>
                <w:rtl/>
                <w:lang w:bidi="ar-EG"/>
              </w:rPr>
              <w:t xml:space="preserve"> نام</w:t>
            </w:r>
          </w:p>
        </w:tc>
        <w:tc>
          <w:tcPr>
            <w:tcW w:w="2341" w:type="pct"/>
            <w:gridSpan w:val="4"/>
            <w:shd w:val="clear" w:color="auto" w:fill="FFFFFF"/>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دعم التطوير التقني لخدمة الأعمال التجارية على شبكة الإنترنت في منطقة </w:t>
            </w:r>
            <w:r w:rsidRPr="0009163D">
              <w:rPr>
                <w:rFonts w:ascii="Arabic Typesetting" w:hAnsi="Arabic Typesetting" w:cs="Arabic Typesetting"/>
                <w:color w:val="000000"/>
                <w:sz w:val="30"/>
                <w:szCs w:val="30"/>
                <w:rtl/>
                <w:lang w:bidi="ar-EG"/>
              </w:rPr>
              <w:t>دول جنوب شرق آسيا</w:t>
            </w:r>
            <w:r w:rsidRPr="0009163D">
              <w:rPr>
                <w:rFonts w:ascii="Arabic Typesetting" w:hAnsi="Arabic Typesetting" w:cs="Arabic Typesetting" w:hint="cs"/>
                <w:color w:val="000000"/>
                <w:sz w:val="30"/>
                <w:szCs w:val="30"/>
                <w:rtl/>
                <w:lang w:bidi="ar-EG"/>
              </w:rPr>
              <w:t xml:space="preserve"> وتحسين الاستفادة من نظام إدارة الملكية الصناعية</w:t>
            </w:r>
            <w:r w:rsidRPr="0009163D">
              <w:rPr>
                <w:rFonts w:ascii="Arabic Typesetting" w:hAnsi="Arabic Typesetting" w:cs="Arabic Typesetting" w:hint="cs"/>
                <w:color w:val="000000"/>
                <w:sz w:val="30"/>
                <w:szCs w:val="30"/>
                <w:lang w:bidi="ar-EG"/>
              </w:rPr>
              <w:t>(EPAS)</w:t>
            </w:r>
            <w:r w:rsidRPr="0009163D">
              <w:rPr>
                <w:rFonts w:ascii="Arabic Typesetting" w:hAnsi="Arabic Typesetting" w:cs="Arabic Typesetting" w:hint="cs"/>
                <w:color w:val="000000"/>
                <w:sz w:val="30"/>
                <w:szCs w:val="30"/>
                <w:rtl/>
                <w:lang w:bidi="ar-EG"/>
              </w:rPr>
              <w:t xml:space="preserve"> لهذا الغرض</w:t>
            </w:r>
            <w:r w:rsidRPr="0009163D">
              <w:rPr>
                <w:rFonts w:ascii="Arabic Typesetting" w:hAnsi="Arabic Typesetting" w:cs="Arabic Typesetting" w:hint="cs"/>
                <w:color w:val="000000"/>
                <w:sz w:val="30"/>
                <w:szCs w:val="30"/>
                <w:lang w:bidi="ar-EG"/>
              </w:rPr>
              <w:t>.</w:t>
            </w:r>
          </w:p>
        </w:tc>
      </w:tr>
      <w:tr w:rsidR="0009163D" w:rsidRPr="0009163D" w:rsidTr="00925848">
        <w:trPr>
          <w:cantSplit/>
        </w:trPr>
        <w:tc>
          <w:tcPr>
            <w:tcW w:w="998" w:type="pct"/>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proofErr w:type="spellStart"/>
            <w:r w:rsidRPr="0009163D">
              <w:rPr>
                <w:rFonts w:ascii="Arabic Typesetting" w:hAnsi="Arabic Typesetting" w:cs="Arabic Typesetting" w:hint="cs"/>
                <w:color w:val="000000"/>
                <w:sz w:val="30"/>
                <w:szCs w:val="30"/>
                <w:rtl/>
                <w:lang w:bidi="ar-EG"/>
              </w:rPr>
              <w:t>الرقمنة</w:t>
            </w:r>
            <w:proofErr w:type="spellEnd"/>
            <w:r w:rsidRPr="0009163D">
              <w:rPr>
                <w:rFonts w:ascii="Arabic Typesetting" w:hAnsi="Arabic Typesetting" w:cs="Arabic Typesetting" w:hint="cs"/>
                <w:color w:val="000000"/>
                <w:sz w:val="30"/>
                <w:szCs w:val="30"/>
                <w:rtl/>
                <w:lang w:bidi="ar-EG"/>
              </w:rPr>
              <w:t xml:space="preserve"> ومشروع </w:t>
            </w:r>
            <w:r w:rsidRPr="0009163D">
              <w:rPr>
                <w:rFonts w:ascii="Arabic Typesetting" w:hAnsi="Arabic Typesetting" w:cs="Arabic Typesetting"/>
                <w:color w:val="000000"/>
                <w:sz w:val="30"/>
                <w:szCs w:val="30"/>
                <w:rtl/>
                <w:lang w:bidi="ar-EG"/>
              </w:rPr>
              <w:t>نظام الإدارة الإلكترونية للوثائق (</w:t>
            </w:r>
            <w:r w:rsidRPr="0009163D">
              <w:rPr>
                <w:rFonts w:ascii="Arabic Typesetting" w:hAnsi="Arabic Typesetting" w:cs="Arabic Typesetting"/>
                <w:color w:val="000000"/>
                <w:sz w:val="30"/>
                <w:szCs w:val="30"/>
                <w:lang w:bidi="ar-EG"/>
              </w:rPr>
              <w:t>EDMS</w:t>
            </w:r>
            <w:r w:rsidRPr="0009163D">
              <w:rPr>
                <w:rFonts w:ascii="Arabic Typesetting" w:hAnsi="Arabic Typesetting" w:cs="Arabic Typesetting"/>
                <w:color w:val="000000"/>
                <w:sz w:val="30"/>
                <w:szCs w:val="30"/>
                <w:rtl/>
                <w:lang w:bidi="ar-EG"/>
              </w:rPr>
              <w:t>)</w:t>
            </w:r>
            <w:r w:rsidRPr="0009163D">
              <w:rPr>
                <w:rFonts w:ascii="Arabic Typesetting" w:hAnsi="Arabic Typesetting" w:cs="Arabic Typesetting" w:hint="cs"/>
                <w:color w:val="000000"/>
                <w:sz w:val="30"/>
                <w:szCs w:val="30"/>
                <w:rtl/>
                <w:lang w:bidi="ar-EG"/>
              </w:rPr>
              <w:t xml:space="preserve"> في كمبوديا</w:t>
            </w:r>
          </w:p>
        </w:tc>
        <w:tc>
          <w:tcPr>
            <w:tcW w:w="604"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فبراير إلى ديسمبر 2015</w:t>
            </w:r>
          </w:p>
        </w:tc>
        <w:tc>
          <w:tcPr>
            <w:tcW w:w="1057"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كمبوديا</w:t>
            </w:r>
          </w:p>
        </w:tc>
        <w:tc>
          <w:tcPr>
            <w:tcW w:w="2341" w:type="pct"/>
            <w:gridSpan w:val="4"/>
            <w:shd w:val="clear" w:color="auto" w:fill="FFFFFF"/>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proofErr w:type="spellStart"/>
            <w:r w:rsidRPr="0009163D">
              <w:rPr>
                <w:rFonts w:ascii="Arabic Typesetting" w:hAnsi="Arabic Typesetting" w:cs="Arabic Typesetting" w:hint="cs"/>
                <w:color w:val="000000"/>
                <w:sz w:val="30"/>
                <w:szCs w:val="30"/>
                <w:rtl/>
                <w:lang w:bidi="ar-EG"/>
              </w:rPr>
              <w:t>رقمنة</w:t>
            </w:r>
            <w:proofErr w:type="spellEnd"/>
            <w:r w:rsidRPr="0009163D">
              <w:rPr>
                <w:rFonts w:ascii="Arabic Typesetting" w:hAnsi="Arabic Typesetting" w:cs="Arabic Typesetting" w:hint="cs"/>
                <w:color w:val="000000"/>
                <w:sz w:val="30"/>
                <w:szCs w:val="30"/>
                <w:rtl/>
                <w:lang w:bidi="ar-EG"/>
              </w:rPr>
              <w:t xml:space="preserve"> وثائق البراءات في إدارة الملكية الصناعية</w:t>
            </w:r>
            <w:r w:rsidRPr="0009163D">
              <w:rPr>
                <w:rFonts w:ascii="Arabic Typesetting" w:hAnsi="Arabic Typesetting" w:cs="Arabic Typesetting" w:hint="cs"/>
                <w:color w:val="000000"/>
                <w:sz w:val="30"/>
                <w:szCs w:val="30"/>
                <w:lang w:bidi="ar-EG"/>
              </w:rPr>
              <w:t>(DIP)</w:t>
            </w:r>
            <w:r w:rsidRPr="0009163D">
              <w:rPr>
                <w:rFonts w:ascii="Arabic Typesetting" w:hAnsi="Arabic Typesetting" w:cs="Arabic Typesetting" w:hint="cs"/>
                <w:color w:val="000000"/>
                <w:sz w:val="30"/>
                <w:szCs w:val="30"/>
                <w:rtl/>
                <w:lang w:bidi="ar-EG"/>
              </w:rPr>
              <w:t xml:space="preserve"> بوزارة الصناعة والمناجم والطاقة </w:t>
            </w:r>
            <w:r w:rsidRPr="0009163D">
              <w:rPr>
                <w:rFonts w:ascii="Arabic Typesetting" w:hAnsi="Arabic Typesetting" w:cs="Arabic Typesetting" w:hint="cs"/>
                <w:color w:val="000000"/>
                <w:sz w:val="30"/>
                <w:szCs w:val="30"/>
                <w:lang w:bidi="ar-EG"/>
              </w:rPr>
              <w:t>(MIME)</w:t>
            </w:r>
            <w:r w:rsidRPr="0009163D">
              <w:rPr>
                <w:rFonts w:ascii="Arabic Typesetting" w:hAnsi="Arabic Typesetting" w:cs="Arabic Typesetting" w:hint="cs"/>
                <w:color w:val="000000"/>
                <w:sz w:val="30"/>
                <w:szCs w:val="30"/>
                <w:rtl/>
                <w:lang w:bidi="ar-EG"/>
              </w:rPr>
              <w:t xml:space="preserve"> ووثائق العلامات التجارية في إدارة حقوق الملكية الفكرية </w:t>
            </w:r>
            <w:r w:rsidRPr="0009163D">
              <w:rPr>
                <w:rFonts w:ascii="Arabic Typesetting" w:hAnsi="Arabic Typesetting" w:cs="Arabic Typesetting" w:hint="cs"/>
                <w:color w:val="000000"/>
                <w:sz w:val="30"/>
                <w:szCs w:val="30"/>
                <w:lang w:bidi="ar-EG"/>
              </w:rPr>
              <w:t>(DIPRs)</w:t>
            </w:r>
            <w:r w:rsidRPr="0009163D">
              <w:rPr>
                <w:rFonts w:ascii="Arabic Typesetting" w:hAnsi="Arabic Typesetting" w:cs="Arabic Typesetting" w:hint="cs"/>
                <w:color w:val="000000"/>
                <w:sz w:val="30"/>
                <w:szCs w:val="30"/>
                <w:rtl/>
                <w:lang w:bidi="ar-EG"/>
              </w:rPr>
              <w:t xml:space="preserve"> بوزارة التجارة في كمبوديا</w:t>
            </w:r>
          </w:p>
        </w:tc>
      </w:tr>
      <w:tr w:rsidR="0009163D" w:rsidRPr="0009163D" w:rsidTr="00925848">
        <w:trPr>
          <w:cantSplit/>
        </w:trPr>
        <w:tc>
          <w:tcPr>
            <w:tcW w:w="998" w:type="pct"/>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أنشطة تنمية بشأن </w:t>
            </w:r>
            <w:r w:rsidRPr="0009163D">
              <w:rPr>
                <w:rFonts w:ascii="Arabic Typesetting" w:hAnsi="Arabic Typesetting" w:cs="Arabic Typesetting"/>
                <w:color w:val="000000"/>
                <w:sz w:val="30"/>
                <w:szCs w:val="30"/>
                <w:rtl/>
                <w:lang w:bidi="ar-EG"/>
              </w:rPr>
              <w:t>النفاذ المركزي إلى البحث والفحص (</w:t>
            </w:r>
            <w:r w:rsidRPr="0009163D">
              <w:rPr>
                <w:rFonts w:ascii="Arabic Typesetting" w:hAnsi="Arabic Typesetting" w:cs="Arabic Typesetting"/>
                <w:color w:val="000000"/>
                <w:sz w:val="30"/>
                <w:szCs w:val="30"/>
                <w:lang w:bidi="ar-EG"/>
              </w:rPr>
              <w:t>CASE</w:t>
            </w:r>
            <w:r w:rsidRPr="0009163D">
              <w:rPr>
                <w:rFonts w:ascii="Arabic Typesetting" w:hAnsi="Arabic Typesetting" w:cs="Arabic Typesetting"/>
                <w:color w:val="000000"/>
                <w:sz w:val="30"/>
                <w:szCs w:val="30"/>
                <w:rtl/>
                <w:lang w:bidi="ar-EG"/>
              </w:rPr>
              <w:t>)</w:t>
            </w:r>
          </w:p>
        </w:tc>
        <w:tc>
          <w:tcPr>
            <w:tcW w:w="604"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يناير إلى ديسمبر 2015</w:t>
            </w:r>
          </w:p>
        </w:tc>
        <w:tc>
          <w:tcPr>
            <w:tcW w:w="1057" w:type="pct"/>
            <w:gridSpan w:val="3"/>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المكاتب المشاركة في </w:t>
            </w:r>
            <w:r w:rsidRPr="0009163D">
              <w:rPr>
                <w:rFonts w:ascii="Arabic Typesetting" w:hAnsi="Arabic Typesetting" w:cs="Arabic Typesetting"/>
                <w:color w:val="000000"/>
                <w:sz w:val="30"/>
                <w:szCs w:val="30"/>
                <w:lang w:bidi="ar-EG"/>
              </w:rPr>
              <w:t>CASE</w:t>
            </w:r>
          </w:p>
        </w:tc>
        <w:tc>
          <w:tcPr>
            <w:tcW w:w="2341" w:type="pct"/>
            <w:gridSpan w:val="4"/>
            <w:shd w:val="clear" w:color="auto" w:fill="FFFFFF"/>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تطوير بوابة جديدة لمستخدمي المكاتب واستكمال دمج </w:t>
            </w:r>
            <w:r w:rsidRPr="0009163D">
              <w:rPr>
                <w:rFonts w:ascii="Arabic Typesetting" w:hAnsi="Arabic Typesetting" w:cs="Arabic Typesetting"/>
                <w:color w:val="000000"/>
                <w:sz w:val="30"/>
                <w:szCs w:val="30"/>
                <w:lang w:bidi="ar-EG"/>
              </w:rPr>
              <w:t>CASE</w:t>
            </w:r>
            <w:r w:rsidRPr="0009163D">
              <w:rPr>
                <w:rFonts w:ascii="Arabic Typesetting" w:hAnsi="Arabic Typesetting" w:cs="Arabic Typesetting" w:hint="cs"/>
                <w:color w:val="000000"/>
                <w:sz w:val="30"/>
                <w:szCs w:val="30"/>
                <w:rtl/>
                <w:lang w:bidi="ar-EG"/>
              </w:rPr>
              <w:t xml:space="preserve"> مع </w:t>
            </w:r>
            <w:r w:rsidRPr="0009163D">
              <w:rPr>
                <w:rFonts w:ascii="Arabic Typesetting" w:hAnsi="Arabic Typesetting" w:cs="Arabic Typesetting"/>
                <w:color w:val="000000"/>
                <w:sz w:val="30"/>
                <w:szCs w:val="30"/>
                <w:rtl/>
                <w:lang w:bidi="ar-EG"/>
              </w:rPr>
              <w:t>نظام "دوسيه الشباك الواحد"</w:t>
            </w:r>
            <w:r w:rsidRPr="0009163D">
              <w:rPr>
                <w:rFonts w:ascii="Arabic Typesetting" w:hAnsi="Arabic Typesetting" w:cs="Arabic Typesetting" w:hint="cs"/>
                <w:color w:val="000000"/>
                <w:sz w:val="30"/>
                <w:szCs w:val="30"/>
                <w:rtl/>
                <w:lang w:bidi="ar-EG"/>
              </w:rPr>
              <w:t xml:space="preserve"> </w:t>
            </w:r>
            <w:r w:rsidRPr="0009163D">
              <w:rPr>
                <w:rFonts w:ascii="Arabic Typesetting" w:hAnsi="Arabic Typesetting" w:cs="Arabic Typesetting"/>
                <w:color w:val="000000"/>
                <w:sz w:val="30"/>
                <w:szCs w:val="30"/>
                <w:lang w:bidi="ar-EG"/>
              </w:rPr>
              <w:t>OPD</w:t>
            </w:r>
            <w:r w:rsidRPr="0009163D">
              <w:rPr>
                <w:rFonts w:ascii="Arabic Typesetting" w:hAnsi="Arabic Typesetting" w:cs="Arabic Typesetting" w:hint="cs"/>
                <w:color w:val="000000"/>
                <w:sz w:val="30"/>
                <w:szCs w:val="30"/>
                <w:rtl/>
                <w:lang w:bidi="ar-EG"/>
              </w:rPr>
              <w:t>.</w:t>
            </w:r>
          </w:p>
        </w:tc>
      </w:tr>
      <w:tr w:rsidR="0009163D" w:rsidRPr="0009163D" w:rsidTr="00925848">
        <w:trPr>
          <w:cantSplit/>
        </w:trPr>
        <w:tc>
          <w:tcPr>
            <w:tcW w:w="998" w:type="pct"/>
            <w:tcBorders>
              <w:bottom w:val="single" w:sz="4" w:space="0" w:color="000000"/>
            </w:tcBorders>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أنشطة تنمية بشأن الحلول التجارية لمكاتب الملكية الفكرية</w:t>
            </w:r>
          </w:p>
        </w:tc>
        <w:tc>
          <w:tcPr>
            <w:tcW w:w="604" w:type="pct"/>
            <w:gridSpan w:val="3"/>
            <w:tcBorders>
              <w:bottom w:val="single" w:sz="4" w:space="0" w:color="000000"/>
            </w:tcBorders>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يناير إلى ديسمبر 2015</w:t>
            </w:r>
          </w:p>
        </w:tc>
        <w:tc>
          <w:tcPr>
            <w:tcW w:w="1057" w:type="pct"/>
            <w:gridSpan w:val="3"/>
            <w:tcBorders>
              <w:bottom w:val="single" w:sz="4" w:space="0" w:color="000000"/>
            </w:tcBorders>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الدول الأعضاء في </w:t>
            </w:r>
            <w:r w:rsidRPr="0009163D">
              <w:rPr>
                <w:rFonts w:ascii="Arabic Typesetting" w:hAnsi="Arabic Typesetting" w:cs="Arabic Typesetting"/>
                <w:color w:val="000000"/>
                <w:sz w:val="30"/>
                <w:szCs w:val="30"/>
                <w:rtl/>
                <w:lang w:bidi="ar-EG"/>
              </w:rPr>
              <w:t xml:space="preserve">رابطة أمم جنوب شرقي آسيا </w:t>
            </w:r>
            <w:r w:rsidRPr="0009163D">
              <w:rPr>
                <w:rFonts w:ascii="Arabic Typesetting" w:hAnsi="Arabic Typesetting" w:cs="Arabic Typesetting" w:hint="cs"/>
                <w:color w:val="000000"/>
                <w:sz w:val="30"/>
                <w:szCs w:val="30"/>
                <w:rtl/>
                <w:lang w:bidi="ar-EG"/>
              </w:rPr>
              <w:t>و</w:t>
            </w:r>
            <w:r w:rsidRPr="0009163D">
              <w:rPr>
                <w:rFonts w:ascii="Arabic Typesetting" w:hAnsi="Arabic Typesetting" w:cs="Arabic Typesetting"/>
                <w:color w:val="000000"/>
                <w:sz w:val="30"/>
                <w:szCs w:val="30"/>
                <w:rtl/>
                <w:lang w:bidi="ar-EG"/>
              </w:rPr>
              <w:t>المكتب الإقليمي لمنطقة آسيا والمحيط الهادئ</w:t>
            </w:r>
          </w:p>
        </w:tc>
        <w:tc>
          <w:tcPr>
            <w:tcW w:w="2341" w:type="pct"/>
            <w:gridSpan w:val="4"/>
            <w:tcBorders>
              <w:bottom w:val="single" w:sz="4" w:space="0" w:color="000000"/>
            </w:tcBorders>
            <w:shd w:val="clear" w:color="auto" w:fill="FFFFFF"/>
            <w:tcMar>
              <w:top w:w="110" w:type="dxa"/>
            </w:tcMar>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تحسين أنظمة استخراج البيانات مع تطوير </w:t>
            </w:r>
            <w:r w:rsidRPr="0009163D">
              <w:rPr>
                <w:rFonts w:ascii="Arabic Typesetting" w:hAnsi="Arabic Typesetting" w:cs="Arabic Typesetting"/>
                <w:color w:val="000000"/>
                <w:sz w:val="30"/>
                <w:szCs w:val="30"/>
                <w:rtl/>
                <w:lang w:bidi="ar-EG"/>
              </w:rPr>
              <w:t xml:space="preserve">وحدة الويبو للنشر </w:t>
            </w:r>
            <w:r w:rsidRPr="0009163D">
              <w:rPr>
                <w:rFonts w:ascii="Arabic Typesetting" w:hAnsi="Arabic Typesetting" w:cs="Arabic Typesetting"/>
                <w:color w:val="000000"/>
                <w:sz w:val="30"/>
                <w:szCs w:val="30"/>
                <w:lang w:bidi="ar-EG"/>
              </w:rPr>
              <w:t>WIPO Publish</w:t>
            </w:r>
            <w:r w:rsidRPr="0009163D">
              <w:rPr>
                <w:rFonts w:ascii="Arabic Typesetting" w:hAnsi="Arabic Typesetting" w:cs="Arabic Typesetting"/>
                <w:color w:val="000000"/>
                <w:sz w:val="30"/>
                <w:szCs w:val="30"/>
                <w:rtl/>
                <w:lang w:bidi="ar-EG"/>
              </w:rPr>
              <w:t xml:space="preserve"> </w:t>
            </w:r>
            <w:r w:rsidRPr="0009163D">
              <w:rPr>
                <w:rFonts w:ascii="Arabic Typesetting" w:hAnsi="Arabic Typesetting" w:cs="Arabic Typesetting" w:hint="cs"/>
                <w:color w:val="000000"/>
                <w:sz w:val="30"/>
                <w:szCs w:val="30"/>
                <w:rtl/>
                <w:lang w:bidi="ar-EG"/>
              </w:rPr>
              <w:t>ونشرها لاستخراج البيانات وتنسيقها ونشرها.</w:t>
            </w:r>
          </w:p>
        </w:tc>
      </w:tr>
      <w:tr w:rsidR="0009163D" w:rsidRPr="0009163D" w:rsidTr="00925848">
        <w:tblPrEx>
          <w:tblBorders>
            <w:top w:val="single" w:sz="4" w:space="0" w:color="auto"/>
            <w:left w:val="single" w:sz="4" w:space="0" w:color="auto"/>
            <w:bottom w:val="single" w:sz="4" w:space="0" w:color="auto"/>
            <w:right w:val="single" w:sz="4" w:space="0" w:color="auto"/>
          </w:tblBorders>
        </w:tblPrEx>
        <w:trPr>
          <w:cantSplit/>
        </w:trPr>
        <w:tc>
          <w:tcPr>
            <w:tcW w:w="5000" w:type="pct"/>
            <w:gridSpan w:val="11"/>
            <w:tcBorders>
              <w:top w:val="single" w:sz="4" w:space="0" w:color="auto"/>
              <w:bottom w:val="single" w:sz="4" w:space="0" w:color="auto"/>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lastRenderedPageBreak/>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2.7</w:t>
            </w:r>
            <w:r w:rsidRPr="0009163D">
              <w:rPr>
                <w:rFonts w:ascii="Arabic Typesetting" w:hAnsi="Arabic Typesetting" w:cs="Arabic Typesetting"/>
                <w:color w:val="000000"/>
                <w:sz w:val="30"/>
                <w:szCs w:val="30"/>
                <w:rtl/>
              </w:rPr>
              <w:t xml:space="preserve"> منصات وأدوات الملكية الفكرية مستخدمة في نقل المعارف وتطويع التكنولوجيا ونشرها من البلدان المتقدمة إلى البلدان النامية، ولا سيما البلدان الأقل نموا، لمواجهة التحديات العالمية</w:t>
            </w:r>
          </w:p>
        </w:tc>
      </w:tr>
      <w:tr w:rsidR="0009163D" w:rsidRPr="0009163D" w:rsidTr="00925848">
        <w:tblPrEx>
          <w:tblBorders>
            <w:top w:val="single" w:sz="4" w:space="0" w:color="auto"/>
            <w:left w:val="single" w:sz="4" w:space="0" w:color="auto"/>
            <w:bottom w:val="single" w:sz="4" w:space="0" w:color="auto"/>
            <w:right w:val="single" w:sz="4" w:space="0" w:color="auto"/>
          </w:tblBorders>
        </w:tblPrEx>
        <w:trPr>
          <w:cantSplit/>
        </w:trPr>
        <w:tc>
          <w:tcPr>
            <w:tcW w:w="1268" w:type="pct"/>
            <w:gridSpan w:val="3"/>
            <w:tcBorders>
              <w:top w:val="single" w:sz="4" w:space="0" w:color="auto"/>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522" w:type="pct"/>
            <w:gridSpan w:val="3"/>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268" w:type="pct"/>
            <w:gridSpan w:val="3"/>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1942" w:type="pct"/>
            <w:gridSpan w:val="2"/>
            <w:tcBorders>
              <w:top w:val="single" w:sz="4" w:space="0" w:color="auto"/>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blPrEx>
          <w:tblBorders>
            <w:top w:val="single" w:sz="4" w:space="0" w:color="auto"/>
            <w:left w:val="single" w:sz="4" w:space="0" w:color="auto"/>
            <w:bottom w:val="single" w:sz="4" w:space="0" w:color="auto"/>
            <w:right w:val="single" w:sz="4" w:space="0" w:color="auto"/>
          </w:tblBorders>
        </w:tblPrEx>
        <w:trPr>
          <w:cantSplit/>
        </w:trPr>
        <w:tc>
          <w:tcPr>
            <w:tcW w:w="1268"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تطوير دراسة حالة حول احتياجات وفرص التكنولوجيا الخضراء</w:t>
            </w:r>
          </w:p>
        </w:tc>
        <w:tc>
          <w:tcPr>
            <w:tcW w:w="522"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يناير إلى مارس 2015</w:t>
            </w:r>
          </w:p>
        </w:tc>
        <w:tc>
          <w:tcPr>
            <w:tcW w:w="1268"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الفلبين/إندونيسيا والفلبين </w:t>
            </w:r>
            <w:proofErr w:type="spellStart"/>
            <w:r w:rsidRPr="0009163D">
              <w:rPr>
                <w:rFonts w:ascii="Arabic Typesetting" w:hAnsi="Arabic Typesetting" w:cs="Arabic Typesetting" w:hint="cs"/>
                <w:color w:val="000000"/>
                <w:sz w:val="30"/>
                <w:szCs w:val="30"/>
                <w:rtl/>
                <w:lang w:bidi="ar-EG"/>
              </w:rPr>
              <w:t>وفييت</w:t>
            </w:r>
            <w:proofErr w:type="spellEnd"/>
            <w:r w:rsidRPr="0009163D">
              <w:rPr>
                <w:rFonts w:ascii="Arabic Typesetting" w:hAnsi="Arabic Typesetting" w:cs="Arabic Typesetting" w:hint="eastAsia"/>
                <w:color w:val="000000"/>
                <w:sz w:val="30"/>
                <w:szCs w:val="30"/>
                <w:rtl/>
                <w:lang w:bidi="ar-EG"/>
              </w:rPr>
              <w:t> </w:t>
            </w:r>
            <w:r w:rsidRPr="0009163D">
              <w:rPr>
                <w:rFonts w:ascii="Arabic Typesetting" w:hAnsi="Arabic Typesetting" w:cs="Arabic Typesetting" w:hint="cs"/>
                <w:color w:val="000000"/>
                <w:sz w:val="30"/>
                <w:szCs w:val="30"/>
                <w:rtl/>
                <w:lang w:bidi="ar-EG"/>
              </w:rPr>
              <w:t>نام</w:t>
            </w:r>
          </w:p>
        </w:tc>
        <w:tc>
          <w:tcPr>
            <w:tcW w:w="1942"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(1)</w:t>
            </w:r>
            <w:r w:rsidRPr="0009163D">
              <w:rPr>
                <w:rFonts w:ascii="Arabic Typesetting" w:hAnsi="Arabic Typesetting" w:cs="Arabic Typesetting" w:hint="cs"/>
                <w:color w:val="000000"/>
                <w:sz w:val="30"/>
                <w:szCs w:val="30"/>
                <w:rtl/>
                <w:lang w:bidi="ar-EG"/>
              </w:rPr>
              <w:t xml:space="preserve"> </w:t>
            </w:r>
            <w:r w:rsidRPr="0009163D">
              <w:rPr>
                <w:rFonts w:ascii="Arabic Typesetting" w:hAnsi="Arabic Typesetting" w:cs="Arabic Typesetting"/>
                <w:color w:val="000000"/>
                <w:sz w:val="30"/>
                <w:szCs w:val="30"/>
                <w:rtl/>
                <w:lang w:bidi="ar-EG"/>
              </w:rPr>
              <w:t xml:space="preserve">تحديد الاحتياجات الخاصة </w:t>
            </w:r>
            <w:r w:rsidRPr="0009163D">
              <w:rPr>
                <w:rFonts w:ascii="Arabic Typesetting" w:hAnsi="Arabic Typesetting" w:cs="Arabic Typesetting" w:hint="cs"/>
                <w:color w:val="000000"/>
                <w:sz w:val="30"/>
                <w:szCs w:val="30"/>
                <w:rtl/>
                <w:lang w:bidi="ar-EG"/>
              </w:rPr>
              <w:t xml:space="preserve">بإندونيسيا والفلبين </w:t>
            </w:r>
            <w:proofErr w:type="spellStart"/>
            <w:r w:rsidRPr="0009163D">
              <w:rPr>
                <w:rFonts w:ascii="Arabic Typesetting" w:hAnsi="Arabic Typesetting" w:cs="Arabic Typesetting" w:hint="cs"/>
                <w:color w:val="000000"/>
                <w:sz w:val="30"/>
                <w:szCs w:val="30"/>
                <w:rtl/>
                <w:lang w:bidi="ar-EG"/>
              </w:rPr>
              <w:t>وفييت</w:t>
            </w:r>
            <w:proofErr w:type="spellEnd"/>
            <w:r w:rsidRPr="0009163D">
              <w:rPr>
                <w:rFonts w:ascii="Arabic Typesetting" w:hAnsi="Arabic Typesetting" w:cs="Arabic Typesetting" w:hint="cs"/>
                <w:color w:val="000000"/>
                <w:sz w:val="30"/>
                <w:szCs w:val="30"/>
                <w:rtl/>
                <w:lang w:bidi="ar-EG"/>
              </w:rPr>
              <w:t xml:space="preserve"> نام</w:t>
            </w:r>
            <w:r w:rsidRPr="0009163D">
              <w:rPr>
                <w:rFonts w:ascii="Arabic Typesetting" w:hAnsi="Arabic Typesetting" w:cs="Arabic Typesetting"/>
                <w:color w:val="000000"/>
                <w:sz w:val="30"/>
                <w:szCs w:val="30"/>
                <w:rtl/>
                <w:lang w:bidi="ar-EG"/>
              </w:rPr>
              <w:t xml:space="preserve"> المتعلقة بالتكنولوجيا الخضراء</w:t>
            </w:r>
            <w:r w:rsidRPr="0009163D">
              <w:rPr>
                <w:rFonts w:ascii="Arabic Typesetting" w:hAnsi="Arabic Typesetting" w:cs="Arabic Typesetting" w:hint="cs"/>
                <w:color w:val="000000"/>
                <w:sz w:val="30"/>
                <w:szCs w:val="30"/>
                <w:rtl/>
                <w:lang w:bidi="ar-EG"/>
              </w:rPr>
              <w:t>؛ و</w:t>
            </w:r>
            <w:r w:rsidRPr="0009163D">
              <w:rPr>
                <w:rFonts w:ascii="Arabic Typesetting" w:hAnsi="Arabic Typesetting" w:cs="Arabic Typesetting"/>
                <w:color w:val="000000"/>
                <w:sz w:val="30"/>
                <w:szCs w:val="30"/>
                <w:rtl/>
                <w:lang w:bidi="ar-EG"/>
              </w:rPr>
              <w:t>(2) تحديد فرص التعاون بين الاحتياجات التي تم تحديدها مع التركيز على القدرات الوطنية ومشاركات المشروعات الصغيرة والمتوسطة</w:t>
            </w:r>
            <w:r w:rsidRPr="0009163D">
              <w:rPr>
                <w:rFonts w:ascii="Arabic Typesetting" w:hAnsi="Arabic Typesetting" w:cs="Arabic Typesetting" w:hint="cs"/>
                <w:color w:val="000000"/>
                <w:sz w:val="30"/>
                <w:szCs w:val="30"/>
                <w:rtl/>
                <w:lang w:bidi="ar-EG"/>
              </w:rPr>
              <w:t>؛</w:t>
            </w:r>
            <w:r w:rsidRPr="0009163D">
              <w:rPr>
                <w:rFonts w:ascii="Arabic Typesetting" w:hAnsi="Arabic Typesetting" w:cs="Arabic Typesetting"/>
                <w:color w:val="000000"/>
                <w:sz w:val="30"/>
                <w:szCs w:val="30"/>
                <w:rtl/>
                <w:lang w:bidi="ar-EG"/>
              </w:rPr>
              <w:t xml:space="preserve"> و</w:t>
            </w:r>
            <w:r w:rsidRPr="0009163D">
              <w:rPr>
                <w:rFonts w:ascii="Arabic Typesetting" w:hAnsi="Arabic Typesetting" w:cs="Arabic Typesetting" w:hint="cs"/>
                <w:color w:val="000000"/>
                <w:sz w:val="30"/>
                <w:szCs w:val="30"/>
                <w:rtl/>
                <w:lang w:bidi="ar-EG"/>
              </w:rPr>
              <w:t xml:space="preserve">(3) </w:t>
            </w:r>
            <w:r w:rsidRPr="0009163D">
              <w:rPr>
                <w:rFonts w:ascii="Arabic Typesetting" w:hAnsi="Arabic Typesetting" w:cs="Arabic Typesetting"/>
                <w:color w:val="000000"/>
                <w:sz w:val="30"/>
                <w:szCs w:val="30"/>
                <w:rtl/>
                <w:lang w:bidi="ar-EG"/>
              </w:rPr>
              <w:t>تسهيل تطوير اتفاقية لنقل التكنولوجيا</w:t>
            </w:r>
            <w:r w:rsidRPr="0009163D">
              <w:rPr>
                <w:rFonts w:ascii="Arabic Typesetting" w:hAnsi="Arabic Typesetting" w:cs="Arabic Typesetting" w:hint="cs"/>
                <w:color w:val="000000"/>
                <w:sz w:val="30"/>
                <w:szCs w:val="30"/>
                <w:rtl/>
                <w:lang w:bidi="ar-EG"/>
              </w:rPr>
              <w:t>؛</w:t>
            </w:r>
            <w:r w:rsidRPr="0009163D">
              <w:rPr>
                <w:rFonts w:ascii="Arabic Typesetting" w:hAnsi="Arabic Typesetting" w:cs="Arabic Typesetting"/>
                <w:color w:val="000000"/>
                <w:sz w:val="30"/>
                <w:szCs w:val="30"/>
                <w:rtl/>
                <w:lang w:bidi="ar-EG"/>
              </w:rPr>
              <w:t xml:space="preserve"> </w:t>
            </w:r>
            <w:r w:rsidRPr="0009163D">
              <w:rPr>
                <w:rFonts w:ascii="Arabic Typesetting" w:hAnsi="Arabic Typesetting" w:cs="Arabic Typesetting" w:hint="cs"/>
                <w:color w:val="000000"/>
                <w:sz w:val="30"/>
                <w:szCs w:val="30"/>
                <w:rtl/>
                <w:lang w:bidi="ar-EG"/>
              </w:rPr>
              <w:t>و</w:t>
            </w:r>
            <w:r w:rsidRPr="0009163D">
              <w:rPr>
                <w:rFonts w:ascii="Arabic Typesetting" w:hAnsi="Arabic Typesetting" w:cs="Arabic Typesetting"/>
                <w:color w:val="000000"/>
                <w:sz w:val="30"/>
                <w:szCs w:val="30"/>
                <w:rtl/>
                <w:lang w:bidi="ar-EG"/>
              </w:rPr>
              <w:t>(4) تطوير دراسة حالة بناء على الاستنتاجات والأدلة المتعلقة ببيئة نقل التكنولوجيا، والتي ستتضمن أيضا جزء</w:t>
            </w:r>
            <w:r w:rsidRPr="0009163D">
              <w:rPr>
                <w:rFonts w:ascii="Arabic Typesetting" w:hAnsi="Arabic Typesetting" w:cs="Arabic Typesetting" w:hint="cs"/>
                <w:color w:val="000000"/>
                <w:sz w:val="30"/>
                <w:szCs w:val="30"/>
                <w:rtl/>
                <w:lang w:bidi="ar-EG"/>
              </w:rPr>
              <w:t>ًا</w:t>
            </w:r>
            <w:r w:rsidRPr="0009163D">
              <w:rPr>
                <w:rFonts w:ascii="Arabic Typesetting" w:hAnsi="Arabic Typesetting" w:cs="Arabic Typesetting"/>
                <w:color w:val="000000"/>
                <w:sz w:val="30"/>
                <w:szCs w:val="30"/>
                <w:rtl/>
                <w:lang w:bidi="ar-EG"/>
              </w:rPr>
              <w:t xml:space="preserve"> عن مشاركات الويبو الخضراء المتعلقة بالقضاء على التحديات</w:t>
            </w:r>
            <w:r w:rsidRPr="0009163D">
              <w:rPr>
                <w:rFonts w:ascii="Arabic Typesetting" w:hAnsi="Arabic Typesetting" w:cs="Arabic Typesetting" w:hint="cs"/>
                <w:color w:val="000000"/>
                <w:sz w:val="30"/>
                <w:szCs w:val="30"/>
                <w:rtl/>
                <w:lang w:bidi="ar-EG"/>
              </w:rPr>
              <w:t>؛</w:t>
            </w:r>
            <w:r w:rsidRPr="0009163D">
              <w:rPr>
                <w:rFonts w:ascii="Arabic Typesetting" w:hAnsi="Arabic Typesetting" w:cs="Arabic Typesetting"/>
                <w:color w:val="000000"/>
                <w:sz w:val="30"/>
                <w:szCs w:val="30"/>
                <w:rtl/>
                <w:lang w:bidi="ar-EG"/>
              </w:rPr>
              <w:t xml:space="preserve"> </w:t>
            </w:r>
            <w:r w:rsidRPr="0009163D">
              <w:rPr>
                <w:rFonts w:ascii="Arabic Typesetting" w:hAnsi="Arabic Typesetting" w:cs="Arabic Typesetting" w:hint="cs"/>
                <w:color w:val="000000"/>
                <w:sz w:val="30"/>
                <w:szCs w:val="30"/>
                <w:rtl/>
                <w:lang w:bidi="ar-EG"/>
              </w:rPr>
              <w:t>و</w:t>
            </w:r>
            <w:r w:rsidRPr="0009163D">
              <w:rPr>
                <w:rFonts w:ascii="Arabic Typesetting" w:hAnsi="Arabic Typesetting" w:cs="Arabic Typesetting"/>
                <w:color w:val="000000"/>
                <w:sz w:val="30"/>
                <w:szCs w:val="30"/>
                <w:rtl/>
                <w:lang w:bidi="ar-EG"/>
              </w:rPr>
              <w:t>(5) عرض قاعدة بيانات الويبو جرين على أنها أداة سوقية فعالة للتعرف على الاحتياجات وعلى الحلول التكنولوجية وعرضها</w:t>
            </w:r>
            <w:r w:rsidRPr="0009163D">
              <w:rPr>
                <w:rFonts w:ascii="Arabic Typesetting" w:hAnsi="Arabic Typesetting" w:cs="Arabic Typesetting" w:hint="cs"/>
                <w:color w:val="000000"/>
                <w:sz w:val="30"/>
                <w:szCs w:val="30"/>
                <w:rtl/>
                <w:lang w:bidi="ar-EG"/>
              </w:rPr>
              <w:t>.</w:t>
            </w:r>
          </w:p>
        </w:tc>
      </w:tr>
      <w:tr w:rsidR="0009163D" w:rsidRPr="0009163D" w:rsidTr="00925848">
        <w:tblPrEx>
          <w:tblBorders>
            <w:top w:val="single" w:sz="4" w:space="0" w:color="auto"/>
            <w:left w:val="single" w:sz="4" w:space="0" w:color="auto"/>
            <w:bottom w:val="single" w:sz="4" w:space="0" w:color="auto"/>
            <w:right w:val="single" w:sz="4" w:space="0" w:color="auto"/>
          </w:tblBorders>
        </w:tblPrEx>
        <w:trPr>
          <w:cantSplit/>
        </w:trPr>
        <w:tc>
          <w:tcPr>
            <w:tcW w:w="1268"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lang w:bidi="ar-EG"/>
              </w:rPr>
              <w:t xml:space="preserve">ندوة إقليمية حول تسهيل نقل ونشر التكنولوجيا النظيفة: فرص من مشروع تجريبي </w:t>
            </w:r>
            <w:r w:rsidRPr="0009163D">
              <w:rPr>
                <w:rFonts w:ascii="Arabic Typesetting" w:hAnsi="Arabic Typesetting" w:cs="Arabic Typesetting" w:hint="cs"/>
                <w:color w:val="000000"/>
                <w:sz w:val="30"/>
                <w:szCs w:val="30"/>
                <w:rtl/>
                <w:lang w:bidi="ar-EG"/>
              </w:rPr>
              <w:t>حول</w:t>
            </w:r>
            <w:r w:rsidRPr="0009163D">
              <w:rPr>
                <w:rFonts w:ascii="Arabic Typesetting" w:hAnsi="Arabic Typesetting" w:cs="Arabic Typesetting"/>
                <w:color w:val="000000"/>
                <w:sz w:val="30"/>
                <w:szCs w:val="30"/>
                <w:rtl/>
                <w:lang w:bidi="ar-EG"/>
              </w:rPr>
              <w:t xml:space="preserve"> معالجة مياه الصرف الصحي في جنوب شرق آسيا</w:t>
            </w:r>
          </w:p>
        </w:tc>
        <w:tc>
          <w:tcPr>
            <w:tcW w:w="522"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من 23</w:t>
            </w:r>
            <w:r w:rsidRPr="0009163D">
              <w:rPr>
                <w:rFonts w:ascii="Arabic Typesetting" w:hAnsi="Arabic Typesetting" w:cs="Arabic Typesetting" w:hint="cs"/>
                <w:color w:val="000000"/>
                <w:sz w:val="30"/>
                <w:szCs w:val="30"/>
                <w:lang w:bidi="ar-EG"/>
              </w:rPr>
              <w:t xml:space="preserve"> </w:t>
            </w:r>
            <w:r w:rsidRPr="0009163D">
              <w:rPr>
                <w:rFonts w:ascii="Arabic Typesetting" w:hAnsi="Arabic Typesetting" w:cs="Arabic Typesetting" w:hint="cs"/>
                <w:color w:val="000000"/>
                <w:sz w:val="30"/>
                <w:szCs w:val="30"/>
                <w:rtl/>
                <w:lang w:bidi="ar-EG"/>
              </w:rPr>
              <w:t>إلى 24 أبريل 2015</w:t>
            </w:r>
          </w:p>
        </w:tc>
        <w:tc>
          <w:tcPr>
            <w:tcW w:w="1268" w:type="pct"/>
            <w:gridSpan w:val="3"/>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 xml:space="preserve">الفلبين/إندونيسيا والفلبين </w:t>
            </w:r>
            <w:proofErr w:type="spellStart"/>
            <w:r w:rsidRPr="0009163D">
              <w:rPr>
                <w:rFonts w:ascii="Arabic Typesetting" w:hAnsi="Arabic Typesetting" w:cs="Arabic Typesetting" w:hint="cs"/>
                <w:color w:val="000000"/>
                <w:sz w:val="30"/>
                <w:szCs w:val="30"/>
                <w:rtl/>
                <w:lang w:bidi="ar-EG"/>
              </w:rPr>
              <w:t>وفييت</w:t>
            </w:r>
            <w:proofErr w:type="spellEnd"/>
            <w:r w:rsidRPr="0009163D">
              <w:rPr>
                <w:rFonts w:ascii="Arabic Typesetting" w:hAnsi="Arabic Typesetting" w:cs="Arabic Typesetting" w:hint="eastAsia"/>
                <w:color w:val="000000"/>
                <w:sz w:val="30"/>
                <w:szCs w:val="30"/>
                <w:rtl/>
                <w:lang w:bidi="ar-EG"/>
              </w:rPr>
              <w:t> </w:t>
            </w:r>
            <w:r w:rsidRPr="0009163D">
              <w:rPr>
                <w:rFonts w:ascii="Arabic Typesetting" w:hAnsi="Arabic Typesetting" w:cs="Arabic Typesetting" w:hint="cs"/>
                <w:color w:val="000000"/>
                <w:sz w:val="30"/>
                <w:szCs w:val="30"/>
                <w:rtl/>
                <w:lang w:bidi="ar-EG"/>
              </w:rPr>
              <w:t>نام</w:t>
            </w:r>
          </w:p>
        </w:tc>
        <w:tc>
          <w:tcPr>
            <w:tcW w:w="1942" w:type="pct"/>
            <w:gridSpan w:val="2"/>
          </w:tcPr>
          <w:p w:rsidR="0009163D" w:rsidRPr="0009163D" w:rsidRDefault="0009163D" w:rsidP="0009163D">
            <w:pPr>
              <w:autoSpaceDE w:val="0"/>
              <w:autoSpaceDN w:val="0"/>
              <w:bidi/>
              <w:adjustRightInd w:val="0"/>
              <w:spacing w:before="60" w:after="60"/>
              <w:rPr>
                <w:rFonts w:ascii="Arabic Typesetting" w:hAnsi="Arabic Typesetting" w:cs="Arabic Typesetting"/>
                <w:color w:val="000000"/>
                <w:sz w:val="30"/>
                <w:szCs w:val="30"/>
                <w:lang w:bidi="ar-EG"/>
              </w:rPr>
            </w:pPr>
            <w:r w:rsidRPr="0009163D">
              <w:rPr>
                <w:rFonts w:ascii="Arabic Typesetting" w:hAnsi="Arabic Typesetting" w:cs="Arabic Typesetting" w:hint="cs"/>
                <w:color w:val="000000"/>
                <w:sz w:val="30"/>
                <w:szCs w:val="30"/>
                <w:rtl/>
                <w:lang w:bidi="ar-EG"/>
              </w:rPr>
              <w:t>في نهاية المشروع، تم تنظيم ندوة إقليمية في مانيلا بالتعاون مع بنك التنمية الآسيوي</w:t>
            </w:r>
            <w:r w:rsidRPr="0009163D">
              <w:rPr>
                <w:rFonts w:ascii="Arabic Typesetting" w:hAnsi="Arabic Typesetting" w:cs="Arabic Typesetting" w:hint="cs"/>
                <w:color w:val="000000"/>
                <w:sz w:val="30"/>
                <w:szCs w:val="30"/>
                <w:lang w:bidi="ar-EG"/>
              </w:rPr>
              <w:t>(ADB)</w:t>
            </w:r>
            <w:r w:rsidRPr="0009163D">
              <w:rPr>
                <w:rFonts w:ascii="Arabic Typesetting" w:hAnsi="Arabic Typesetting" w:cs="Arabic Typesetting" w:hint="cs"/>
                <w:color w:val="000000"/>
                <w:sz w:val="30"/>
                <w:szCs w:val="30"/>
                <w:rtl/>
                <w:lang w:bidi="ar-EG"/>
              </w:rPr>
              <w:t xml:space="preserve"> ومكتب الملكية الفكرية في الفلبين </w:t>
            </w:r>
            <w:r w:rsidRPr="0009163D">
              <w:rPr>
                <w:rFonts w:ascii="Arabic Typesetting" w:hAnsi="Arabic Typesetting" w:cs="Arabic Typesetting" w:hint="cs"/>
                <w:color w:val="000000"/>
                <w:sz w:val="30"/>
                <w:szCs w:val="30"/>
                <w:lang w:bidi="ar-EG"/>
              </w:rPr>
              <w:t>(IPOPHL)</w:t>
            </w:r>
            <w:r w:rsidRPr="0009163D">
              <w:rPr>
                <w:rFonts w:ascii="Arabic Typesetting" w:hAnsi="Arabic Typesetting" w:cs="Arabic Typesetting" w:hint="cs"/>
                <w:color w:val="000000"/>
                <w:sz w:val="30"/>
                <w:szCs w:val="30"/>
                <w:rtl/>
                <w:lang w:bidi="ar-EG"/>
              </w:rPr>
              <w:t xml:space="preserve"> مع تضمين عنصر التوفيق من أجل تعزيز الروابط مع مركز وشبكة تكنولوجيا المناخ </w:t>
            </w:r>
            <w:r w:rsidRPr="0009163D">
              <w:rPr>
                <w:rFonts w:ascii="Arabic Typesetting" w:hAnsi="Arabic Typesetting" w:cs="Arabic Typesetting" w:hint="cs"/>
                <w:color w:val="000000"/>
                <w:sz w:val="30"/>
                <w:szCs w:val="30"/>
                <w:lang w:bidi="ar-EG"/>
              </w:rPr>
              <w:t>(CTCN)</w:t>
            </w:r>
            <w:r w:rsidRPr="0009163D">
              <w:rPr>
                <w:rFonts w:ascii="Arabic Typesetting" w:hAnsi="Arabic Typesetting" w:cs="Arabic Typesetting" w:hint="cs"/>
                <w:color w:val="000000"/>
                <w:sz w:val="30"/>
                <w:szCs w:val="30"/>
                <w:rtl/>
                <w:lang w:bidi="ar-EG"/>
              </w:rPr>
              <w:t xml:space="preserve"> وإقامة اتصالات استراتيجية مع الكيانات الوطنية المعينة.</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اليابان/الملكية الصناعية</w:t>
      </w:r>
      <w:r w:rsidRPr="0009163D">
        <w:rPr>
          <w:rFonts w:ascii="Arabic Typesetting" w:hAnsi="Arabic Typesetting" w:cs="Arabic Typesetting" w:hint="cs"/>
          <w:bCs/>
          <w:sz w:val="34"/>
          <w:szCs w:val="34"/>
          <w:rtl/>
        </w:rPr>
        <w:t xml:space="preserve"> في 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4,912,335</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3,828,469</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3,770,805</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autoSpaceDE w:val="0"/>
              <w:autoSpaceDN w:val="0"/>
              <w:bidi/>
              <w:adjustRightInd w:val="0"/>
              <w:spacing w:before="80" w:after="60" w:line="280" w:lineRule="exact"/>
              <w:jc w:val="center"/>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Pr>
              <w:t>4,969,999</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lastRenderedPageBreak/>
        <w:t>اليابان/أفريقيا – البلدان الأقل نموا</w:t>
      </w:r>
    </w:p>
    <w:tbl>
      <w:tblPr>
        <w:bidiVisual/>
        <w:tblW w:w="9356"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1985"/>
        <w:gridCol w:w="4394"/>
      </w:tblGrid>
      <w:tr w:rsidR="0009163D" w:rsidRPr="0009163D" w:rsidTr="00925848">
        <w:trPr>
          <w:cantSplit/>
          <w:trHeight w:val="315"/>
        </w:trPr>
        <w:tc>
          <w:tcPr>
            <w:tcW w:w="9356" w:type="dxa"/>
            <w:gridSpan w:val="4"/>
            <w:tcBorders>
              <w:top w:val="single" w:sz="4" w:space="0" w:color="000000"/>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1.3</w:t>
            </w:r>
            <w:r w:rsidRPr="0009163D">
              <w:rPr>
                <w:rFonts w:ascii="Arabic Typesetting" w:hAnsi="Arabic Typesetting" w:cs="Arabic Typesetting"/>
                <w:color w:val="000000"/>
                <w:sz w:val="30"/>
                <w:szCs w:val="30"/>
                <w:rtl/>
              </w:rPr>
              <w:t xml:space="preserve"> </w:t>
            </w:r>
            <w:r w:rsidR="000E3DA7">
              <w:rPr>
                <w:rFonts w:ascii="Arabic Typesetting" w:hAnsi="Arabic Typesetting" w:cs="Arabic Typesetting"/>
                <w:color w:val="000000"/>
                <w:sz w:val="30"/>
                <w:szCs w:val="30"/>
                <w:rtl/>
              </w:rPr>
              <w:t>استراتيجيات وخطط إنمائية وطنية بشأن الملكية الفكرية والابتكار تتماشى مع الأهداف الإنمائية الوطنية</w:t>
            </w:r>
          </w:p>
        </w:tc>
      </w:tr>
      <w:tr w:rsidR="0009163D" w:rsidRPr="0009163D" w:rsidTr="00925848">
        <w:trPr>
          <w:cantSplit/>
          <w:trHeight w:val="402"/>
        </w:trPr>
        <w:tc>
          <w:tcPr>
            <w:tcW w:w="1843"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اجتماع أصحاب المصلحة </w:t>
            </w:r>
            <w:r w:rsidRPr="0009163D">
              <w:rPr>
                <w:rFonts w:ascii="Arabic Typesetting" w:hAnsi="Arabic Typesetting" w:cs="Arabic Typesetting"/>
                <w:color w:val="000000"/>
                <w:sz w:val="30"/>
                <w:szCs w:val="30"/>
                <w:rtl/>
              </w:rPr>
              <w:t>لدمج الملكية الفكرية في سياسات الابتكار</w:t>
            </w:r>
          </w:p>
        </w:tc>
        <w:tc>
          <w:tcPr>
            <w:tcW w:w="1134"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4 إلى 5 مايو 2015</w:t>
            </w:r>
          </w:p>
        </w:tc>
        <w:tc>
          <w:tcPr>
            <w:tcW w:w="1985"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رواندا</w:t>
            </w:r>
          </w:p>
        </w:tc>
        <w:tc>
          <w:tcPr>
            <w:tcW w:w="4394" w:type="dxa"/>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عرض نتائج واستنتاجات تقرير حول دمج الملكية الفكرية في صياغة سياسات الابتكار العامة في رواندا على أصحاب المصلحة في البلاد للنظر فيها والمصادقة عليها</w:t>
            </w:r>
            <w:r w:rsidRPr="0009163D">
              <w:rPr>
                <w:rFonts w:ascii="Arabic Typesetting" w:hAnsi="Arabic Typesetting" w:cs="Arabic Typesetting" w:hint="cs"/>
                <w:color w:val="000000"/>
                <w:sz w:val="30"/>
                <w:szCs w:val="30"/>
              </w:rPr>
              <w:t>.</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المؤتمر الوزاري الأفريقي لعام 2015: الملكية الفكرية</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لأفريقيا الناشئة</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3 إلى 5 نوفمبر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السنغال/400 مشارك من بينهم قرابة 50 وزيرا أفريقيا</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الهدف: (1) تسليط الضوء على أهمية الملكية الفكرية كأداة لتحويل الاقتصادات الأفريقية من خلال العلم والتكنولوجيا والابتكار؛ و(2) توفير منتدى لواضعي السياسات والخبراء الإقليميين </w:t>
            </w:r>
            <w:proofErr w:type="spellStart"/>
            <w:r w:rsidRPr="0009163D">
              <w:rPr>
                <w:rFonts w:ascii="Arabic Typesetting" w:hAnsi="Arabic Typesetting" w:cs="Arabic Typesetting" w:hint="cs"/>
                <w:color w:val="000000"/>
                <w:sz w:val="30"/>
                <w:szCs w:val="30"/>
                <w:rtl/>
              </w:rPr>
              <w:t>الأفارقة</w:t>
            </w:r>
            <w:proofErr w:type="spellEnd"/>
            <w:r w:rsidRPr="0009163D">
              <w:rPr>
                <w:rFonts w:ascii="Arabic Typesetting" w:hAnsi="Arabic Typesetting" w:cs="Arabic Typesetting" w:hint="cs"/>
                <w:color w:val="000000"/>
                <w:sz w:val="30"/>
                <w:szCs w:val="30"/>
                <w:rtl/>
              </w:rPr>
              <w:t xml:space="preserve"> للالتقاء وتبادل وجهات النظر حول كيفية الاستفادة من الخيارات المتاحة في نظام الملكية الفكرية لتشجيع الابتكار والإبداع من أجل التحول الاقتصادي</w:t>
            </w:r>
            <w:r w:rsidRPr="0009163D">
              <w:rPr>
                <w:rFonts w:ascii="Arabic Typesetting" w:hAnsi="Arabic Typesetting" w:cs="Arabic Typesetting" w:hint="cs"/>
                <w:color w:val="000000"/>
                <w:sz w:val="30"/>
                <w:szCs w:val="30"/>
              </w:rPr>
              <w:t>.</w:t>
            </w:r>
          </w:p>
        </w:tc>
      </w:tr>
      <w:tr w:rsidR="0009163D" w:rsidRPr="0009163D" w:rsidTr="00925848">
        <w:trPr>
          <w:cantSplit/>
          <w:trHeight w:val="315"/>
        </w:trPr>
        <w:tc>
          <w:tcPr>
            <w:tcW w:w="9356" w:type="dxa"/>
            <w:gridSpan w:val="4"/>
            <w:tcBorders>
              <w:top w:val="single" w:sz="4" w:space="0" w:color="000000"/>
              <w:bottom w:val="single" w:sz="4" w:space="0" w:color="auto"/>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Height w:val="429"/>
        </w:trPr>
        <w:tc>
          <w:tcPr>
            <w:tcW w:w="1843" w:type="dxa"/>
            <w:tcBorders>
              <w:top w:val="single" w:sz="4" w:space="0" w:color="auto"/>
              <w:left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auto"/>
              <w:bottom w:val="nil"/>
              <w:right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فحص الملكية الفكرية (</w:t>
            </w:r>
            <w:proofErr w:type="spellStart"/>
            <w:r w:rsidRPr="0009163D">
              <w:rPr>
                <w:rFonts w:ascii="Arabic Typesetting" w:hAnsi="Arabic Typesetting" w:cs="Arabic Typesetting"/>
                <w:color w:val="000000"/>
                <w:sz w:val="30"/>
                <w:szCs w:val="30"/>
                <w:rtl/>
              </w:rPr>
              <w:t>اساسي</w:t>
            </w:r>
            <w:proofErr w:type="spellEnd"/>
            <w:r w:rsidRPr="0009163D">
              <w:rPr>
                <w:rFonts w:ascii="Arabic Typesetting" w:hAnsi="Arabic Typesetting" w:cs="Arabic Typesetting"/>
                <w:color w:val="000000"/>
                <w:sz w:val="30"/>
                <w:szCs w:val="30"/>
                <w:rtl/>
              </w:rPr>
              <w:t>) – دورة تدريب البراءات حول فحص الملكية الصناعية (برنامج أساسي)</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19</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إلى 30 يناير 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اليابان/الجزائر، كينيا، مدغشقر، جمهورية تنزانيا المتحدة </w:t>
            </w:r>
            <w:proofErr w:type="spellStart"/>
            <w:r w:rsidRPr="0009163D">
              <w:rPr>
                <w:rFonts w:ascii="Arabic Typesetting" w:hAnsi="Arabic Typesetting" w:cs="Arabic Typesetting" w:hint="cs"/>
                <w:color w:val="000000"/>
                <w:sz w:val="30"/>
                <w:szCs w:val="30"/>
                <w:rtl/>
              </w:rPr>
              <w:t>والأريبو</w:t>
            </w:r>
            <w:proofErr w:type="spellEnd"/>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مساعدة المشاركين على اكتساب المعارف الأساسية المتعلقة </w:t>
            </w:r>
            <w:r w:rsidRPr="0009163D">
              <w:rPr>
                <w:rFonts w:ascii="Arabic Typesetting" w:hAnsi="Arabic Typesetting" w:cs="Arabic Typesetting" w:hint="cs"/>
                <w:color w:val="000000"/>
                <w:sz w:val="30"/>
                <w:szCs w:val="30"/>
                <w:rtl/>
              </w:rPr>
              <w:t>بالقوانين</w:t>
            </w:r>
            <w:r w:rsidRPr="0009163D">
              <w:rPr>
                <w:rFonts w:ascii="Arabic Typesetting" w:hAnsi="Arabic Typesetting" w:cs="Arabic Typesetting"/>
                <w:color w:val="000000"/>
                <w:sz w:val="30"/>
                <w:szCs w:val="30"/>
                <w:rtl/>
              </w:rPr>
              <w:t xml:space="preserve"> وإجراءات الفحص الموضوعي في مجال فحص </w:t>
            </w:r>
            <w:r w:rsidRPr="0009163D">
              <w:rPr>
                <w:rFonts w:ascii="Arabic Typesetting" w:hAnsi="Arabic Typesetting" w:cs="Arabic Typesetting" w:hint="cs"/>
                <w:color w:val="000000"/>
                <w:sz w:val="30"/>
                <w:szCs w:val="30"/>
                <w:rtl/>
              </w:rPr>
              <w:t>حقوق الملكية الصناعية.</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دورة تدريبية حول إدارة الملكية الفكرية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6 إلى 13</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فبراير 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اليابان/المغرب ونيجيريا وجنوب أفريقيا</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زيادة معارف المشاركين بممارسات إدارة الملكية الفكرية الحديثة</w:t>
            </w:r>
            <w:r w:rsidRPr="0009163D">
              <w:rPr>
                <w:rFonts w:ascii="Arabic Typesetting" w:hAnsi="Arabic Typesetting" w:cs="Arabic Typesetting" w:hint="cs"/>
                <w:color w:val="000000"/>
                <w:sz w:val="30"/>
                <w:szCs w:val="30"/>
                <w:rtl/>
              </w:rPr>
              <w:t>، بما في ذلك منهجية لوضع السياسات والاستراتيجيات والخطط لتكوين الكفاءات لفاحصي البراءات وإدارة الجودة في فحص البراءات</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(2)</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تعزيز قدرات المشاركين على صياغة وتنفيذ وتقييم خط</w:t>
            </w:r>
            <w:r w:rsidRPr="0009163D">
              <w:rPr>
                <w:rFonts w:ascii="Arabic Typesetting" w:hAnsi="Arabic Typesetting" w:cs="Arabic Typesetting" w:hint="cs"/>
                <w:color w:val="000000"/>
                <w:sz w:val="30"/>
                <w:szCs w:val="30"/>
                <w:rtl/>
              </w:rPr>
              <w:t>ط</w:t>
            </w:r>
            <w:r w:rsidRPr="0009163D">
              <w:rPr>
                <w:rFonts w:ascii="Arabic Typesetting" w:hAnsi="Arabic Typesetting" w:cs="Arabic Typesetting"/>
                <w:color w:val="000000"/>
                <w:sz w:val="30"/>
                <w:szCs w:val="30"/>
                <w:rtl/>
              </w:rPr>
              <w:t xml:space="preserve"> مك</w:t>
            </w:r>
            <w:r w:rsidRPr="0009163D">
              <w:rPr>
                <w:rFonts w:ascii="Arabic Typesetting" w:hAnsi="Arabic Typesetting" w:cs="Arabic Typesetting" w:hint="cs"/>
                <w:color w:val="000000"/>
                <w:sz w:val="30"/>
                <w:szCs w:val="30"/>
                <w:rtl/>
              </w:rPr>
              <w:t>ا</w:t>
            </w:r>
            <w:r w:rsidRPr="0009163D">
              <w:rPr>
                <w:rFonts w:ascii="Arabic Typesetting" w:hAnsi="Arabic Typesetting" w:cs="Arabic Typesetting"/>
                <w:color w:val="000000"/>
                <w:sz w:val="30"/>
                <w:szCs w:val="30"/>
                <w:rtl/>
              </w:rPr>
              <w:t>تب الملكية الفكرية التي تعتمد على جدول زمني وتعتمد على النتائج ولها آثار قابلة للقياس.</w:t>
            </w:r>
          </w:p>
        </w:tc>
      </w:tr>
      <w:tr w:rsidR="0009163D" w:rsidRPr="0009163D" w:rsidTr="0009163D">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دورة تدريبية لفاحصي البراءات حول تكنولوجيا محددة (</w:t>
            </w:r>
            <w:r w:rsidRPr="0009163D">
              <w:rPr>
                <w:rFonts w:ascii="Arabic Typesetting" w:hAnsi="Arabic Typesetting" w:cs="Arabic Typesetting" w:hint="cs"/>
                <w:color w:val="000000"/>
                <w:sz w:val="30"/>
                <w:szCs w:val="30"/>
                <w:rtl/>
              </w:rPr>
              <w:t>المستحضرات الصيدلانية</w:t>
            </w:r>
            <w:r w:rsidRPr="0009163D">
              <w:rPr>
                <w:rFonts w:ascii="Arabic Typesetting" w:hAnsi="Arabic Typesetting" w:cs="Arabic Typesetting"/>
                <w:color w:val="000000"/>
                <w:sz w:val="30"/>
                <w:szCs w:val="30"/>
                <w:rtl/>
              </w:rPr>
              <w:t>)</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19</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26</w:t>
            </w:r>
            <w:r w:rsidRPr="0009163D">
              <w:rPr>
                <w:rFonts w:ascii="Arabic Typesetting" w:hAnsi="Arabic Typesetting" w:cs="Arabic Typesetting"/>
                <w:color w:val="000000"/>
                <w:sz w:val="30"/>
                <w:szCs w:val="30"/>
                <w:rtl/>
              </w:rPr>
              <w:t xml:space="preserve"> فبراير </w:t>
            </w:r>
            <w:r w:rsidRPr="0009163D">
              <w:rPr>
                <w:rFonts w:ascii="Arabic Typesetting" w:hAnsi="Arabic Typesetting" w:cs="Arabic Typesetting" w:hint="cs"/>
                <w:color w:val="000000"/>
                <w:sz w:val="30"/>
                <w:szCs w:val="30"/>
                <w:rtl/>
              </w:rPr>
              <w:t>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lang w:val="fr-CH"/>
              </w:rPr>
            </w:pPr>
            <w:r w:rsidRPr="0009163D">
              <w:rPr>
                <w:rFonts w:ascii="Arabic Typesetting" w:hAnsi="Arabic Typesetting" w:cs="Arabic Typesetting"/>
                <w:color w:val="000000"/>
                <w:sz w:val="30"/>
                <w:szCs w:val="30"/>
                <w:rtl/>
                <w:lang w:val="fr-CH"/>
              </w:rPr>
              <w:t>اليابان/</w:t>
            </w:r>
            <w:r w:rsidRPr="0009163D">
              <w:rPr>
                <w:rFonts w:ascii="Arabic Typesetting" w:hAnsi="Arabic Typesetting" w:cs="Arabic Typesetting" w:hint="cs"/>
                <w:color w:val="000000"/>
                <w:sz w:val="30"/>
                <w:szCs w:val="30"/>
                <w:rtl/>
                <w:lang w:val="fr-CH"/>
              </w:rPr>
              <w:t xml:space="preserve">مصر </w:t>
            </w:r>
            <w:proofErr w:type="spellStart"/>
            <w:r w:rsidRPr="0009163D">
              <w:rPr>
                <w:rFonts w:ascii="Arabic Typesetting" w:hAnsi="Arabic Typesetting" w:cs="Arabic Typesetting" w:hint="cs"/>
                <w:color w:val="000000"/>
                <w:sz w:val="30"/>
                <w:szCs w:val="30"/>
                <w:rtl/>
                <w:lang w:val="fr-CH"/>
              </w:rPr>
              <w:t>والأريبو</w:t>
            </w:r>
            <w:proofErr w:type="spellEnd"/>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MS Mincho" w:hAnsi="Arabic Typesetting" w:cs="Arabic Typesetting"/>
                <w:sz w:val="30"/>
                <w:szCs w:val="30"/>
                <w:rtl/>
                <w:lang w:eastAsia="ja-JP"/>
              </w:rPr>
              <w:t>(1)</w:t>
            </w:r>
            <w:r w:rsidRPr="0009163D">
              <w:rPr>
                <w:rFonts w:ascii="Arabic Typesetting" w:eastAsia="MS Mincho" w:hAnsi="Arabic Typesetting" w:cs="Arabic Typesetting" w:hint="cs"/>
                <w:sz w:val="30"/>
                <w:szCs w:val="30"/>
                <w:rtl/>
                <w:lang w:eastAsia="ja-JP"/>
              </w:rPr>
              <w:t xml:space="preserve"> </w:t>
            </w:r>
            <w:r w:rsidRPr="0009163D">
              <w:rPr>
                <w:rFonts w:ascii="Arabic Typesetting" w:eastAsia="MS Mincho" w:hAnsi="Arabic Typesetting" w:cs="Arabic Typesetting"/>
                <w:sz w:val="30"/>
                <w:szCs w:val="30"/>
                <w:rtl/>
                <w:lang w:eastAsia="ja-JP"/>
              </w:rPr>
              <w:t xml:space="preserve">تعريف المشاركين بالاتجاهات الحالية والممارسات الحديثة في مجال فحص البراءات المتعلقة </w:t>
            </w:r>
            <w:r w:rsidRPr="0009163D">
              <w:rPr>
                <w:rFonts w:ascii="Arabic Typesetting" w:eastAsia="MS Mincho" w:hAnsi="Arabic Typesetting" w:cs="Arabic Typesetting" w:hint="cs"/>
                <w:sz w:val="30"/>
                <w:szCs w:val="30"/>
                <w:rtl/>
                <w:lang w:eastAsia="ja-JP"/>
              </w:rPr>
              <w:t xml:space="preserve">بالمستحضرات الصيدلانية </w:t>
            </w:r>
            <w:r w:rsidRPr="0009163D">
              <w:rPr>
                <w:rFonts w:ascii="Arabic Typesetting" w:eastAsia="MS Mincho" w:hAnsi="Arabic Typesetting" w:cs="Arabic Typesetting"/>
                <w:sz w:val="30"/>
                <w:szCs w:val="30"/>
                <w:rtl/>
                <w:lang w:eastAsia="ja-JP"/>
              </w:rPr>
              <w:t xml:space="preserve">(2) نشر المعرفة العملية والخبرة المتعلقة بمناهج فحص البراءات (3)توفير فرص لتبادل الخبرات والآراء بين المشاركين حول مسائل متعلقة بفحص البراءات (4) تعزيز قدرات المشاركين المهنية المتعلقة بفحص البراءات الخاصة </w:t>
            </w:r>
            <w:r w:rsidRPr="0009163D">
              <w:rPr>
                <w:rFonts w:ascii="Arabic Typesetting" w:eastAsia="MS Mincho" w:hAnsi="Arabic Typesetting" w:cs="Arabic Typesetting" w:hint="cs"/>
                <w:sz w:val="30"/>
                <w:szCs w:val="30"/>
                <w:rtl/>
                <w:lang w:eastAsia="ja-JP"/>
              </w:rPr>
              <w:t>بالمستحضرات الصيدلانية</w:t>
            </w:r>
            <w:r w:rsidRPr="0009163D">
              <w:rPr>
                <w:rFonts w:ascii="Arabic Typesetting" w:eastAsia="MS Mincho" w:hAnsi="Arabic Typesetting" w:cs="Arabic Typesetting"/>
                <w:sz w:val="30"/>
                <w:szCs w:val="30"/>
                <w:rtl/>
                <w:lang w:eastAsia="ja-JP"/>
              </w:rPr>
              <w:t>.</w:t>
            </w:r>
          </w:p>
        </w:tc>
      </w:tr>
      <w:tr w:rsidR="0009163D" w:rsidRPr="0009163D" w:rsidTr="0009163D">
        <w:trPr>
          <w:cantSplit/>
          <w:trHeight w:val="315"/>
        </w:trPr>
        <w:tc>
          <w:tcPr>
            <w:tcW w:w="1843" w:type="dxa"/>
            <w:tcBorders>
              <w:top w:val="nil"/>
              <w:left w:val="single" w:sz="4" w:space="0" w:color="auto"/>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اجتماع أصحاب المصلحة وحلقة عمل تدريبية لمشروع توسيم لكيسي </w:t>
            </w:r>
            <w:proofErr w:type="spellStart"/>
            <w:r w:rsidRPr="0009163D">
              <w:rPr>
                <w:rFonts w:ascii="Arabic Typesetting" w:hAnsi="Arabic Typesetting" w:cs="Arabic Typesetting" w:hint="cs"/>
                <w:color w:val="000000"/>
                <w:sz w:val="30"/>
                <w:szCs w:val="30"/>
                <w:rtl/>
              </w:rPr>
              <w:t>سوبستون</w:t>
            </w:r>
            <w:proofErr w:type="spellEnd"/>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16 إلى 20 مارس 2015</w:t>
            </w:r>
          </w:p>
        </w:tc>
        <w:tc>
          <w:tcPr>
            <w:tcW w:w="198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كينيا</w:t>
            </w:r>
          </w:p>
        </w:tc>
        <w:tc>
          <w:tcPr>
            <w:tcW w:w="4394" w:type="dxa"/>
            <w:tcBorders>
              <w:top w:val="nil"/>
              <w:bottom w:val="single" w:sz="4" w:space="0" w:color="auto"/>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إطلاق مشروع توسيم مع الاستفادة من إمكانات السوق والأصول غير الملموسة لكيسي </w:t>
            </w:r>
            <w:proofErr w:type="spellStart"/>
            <w:r w:rsidRPr="0009163D">
              <w:rPr>
                <w:rFonts w:ascii="Arabic Typesetting" w:hAnsi="Arabic Typesetting" w:cs="Arabic Typesetting" w:hint="cs"/>
                <w:color w:val="000000"/>
                <w:sz w:val="30"/>
                <w:szCs w:val="30"/>
                <w:rtl/>
              </w:rPr>
              <w:t>سوبستون</w:t>
            </w:r>
            <w:proofErr w:type="spellEnd"/>
            <w:r w:rsidRPr="0009163D">
              <w:rPr>
                <w:rFonts w:ascii="Arabic Typesetting" w:hAnsi="Arabic Typesetting" w:cs="Arabic Typesetting" w:hint="cs"/>
                <w:color w:val="000000"/>
                <w:sz w:val="30"/>
                <w:szCs w:val="30"/>
                <w:rtl/>
              </w:rPr>
              <w:t xml:space="preserve"> من خلال الابتكار والملكية الفكرية.</w:t>
            </w:r>
          </w:p>
        </w:tc>
      </w:tr>
      <w:tr w:rsidR="0009163D" w:rsidRPr="0009163D" w:rsidTr="0009163D">
        <w:trPr>
          <w:cantSplit/>
          <w:trHeight w:val="315"/>
        </w:trPr>
        <w:tc>
          <w:tcPr>
            <w:tcW w:w="1843" w:type="dxa"/>
            <w:tcBorders>
              <w:top w:val="single" w:sz="4" w:space="0" w:color="auto"/>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lastRenderedPageBreak/>
              <w:t>اجتماع رفيع المستوى للنواب من الدول الأعضاء في الأريبو:</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الاستخدام الاستراتيجي لنظام الملكية الفكرية من أجل التنمية الاقتصادية والثقافية والاجتماعية والتكنولوجية</w:t>
            </w:r>
          </w:p>
        </w:tc>
        <w:tc>
          <w:tcPr>
            <w:tcW w:w="1134"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25 إلى 27 مارس 2015</w:t>
            </w:r>
          </w:p>
        </w:tc>
        <w:tc>
          <w:tcPr>
            <w:tcW w:w="1985"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أوغندا/28 عضوًا في البرلمان من غامبيا، وغانا، وكينيا، وملاوي، وموزامبيق وسان تومي وبرينسيبي وسوازيلاند وأوغندا وزامبيا وزمبابوي</w:t>
            </w:r>
          </w:p>
        </w:tc>
        <w:tc>
          <w:tcPr>
            <w:tcW w:w="4394" w:type="dxa"/>
            <w:tcBorders>
              <w:top w:val="single" w:sz="4" w:space="0" w:color="auto"/>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(1) توفير منبر للبرلمانيين لاكتساب فهم أفضل لنظام الملكية الفكرية باعتبارها واحدة من دعائم التنمية الاقتصادية والثقافية والاجتماعية والتكنولوجية (2)</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توعية البرلمانيين بمجموعة من وجهات النظر السياسية والمصالح في معاهدات الويبو (3)</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رفع مستوى الوعي لدى البرلمانيين بشأن الحاجة إلى بناء وتعزيز استخدام نظام الملكية الفكرية في بلدانهم (4)</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تجهيز البرلمانيين ليؤدوا دورا رئيسيا في صياغة واعتماد قوانين الملكية الفكرية الوطنية الملائمة لتحقيق أهداف التنمية الوطنية</w:t>
            </w:r>
            <w:r w:rsidRPr="0009163D">
              <w:rPr>
                <w:rFonts w:ascii="Arabic Typesetting" w:hAnsi="Arabic Typesetting" w:cs="Arabic Typesetting" w:hint="cs"/>
                <w:color w:val="000000"/>
                <w:sz w:val="30"/>
                <w:szCs w:val="30"/>
              </w:rPr>
              <w:t>.</w:t>
            </w:r>
          </w:p>
        </w:tc>
      </w:tr>
      <w:tr w:rsidR="0009163D" w:rsidRPr="0009163D" w:rsidTr="0009163D">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بعثة خبراء لنقل التكنولوجيا والاستغلال التجاري للملكية الفكرية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6 إلى 10</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أبريل 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المغرب</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(1)</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تقاسم المعرفة والخبرة الخاصتين باليابان لتعزيز نقل التكنولوجيا والاستغلال التجاري لنتائج الأبحاث التي أجرتها الجامعات والمؤسسات البحثية؛ و(2)</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تحديد المسائل التي تنبغي معالجتها؛ و(3)</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اقتراح الحلول الممكنة لهذا البلد</w:t>
            </w:r>
            <w:r w:rsidRPr="0009163D">
              <w:rPr>
                <w:rFonts w:ascii="Arabic Typesetting" w:hAnsi="Arabic Typesetting" w:cs="Arabic Typesetting" w:hint="cs"/>
                <w:color w:val="000000"/>
                <w:sz w:val="30"/>
                <w:szCs w:val="30"/>
              </w:rPr>
              <w:t>.</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شراكة بين الويبو/المنظمة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الأفريقية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للملكية</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 xml:space="preserve">الفكرية </w:t>
            </w:r>
            <w:r w:rsidRPr="0009163D">
              <w:rPr>
                <w:rFonts w:ascii="Arabic Typesetting" w:hAnsi="Arabic Typesetting" w:cs="Arabic Typesetting" w:hint="cs"/>
                <w:color w:val="000000"/>
                <w:sz w:val="30"/>
                <w:szCs w:val="30"/>
                <w:rtl/>
              </w:rPr>
              <w:t>وجامعة ياوندي 2</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 xml:space="preserve">يناير </w:t>
            </w:r>
            <w:r w:rsidRPr="0009163D">
              <w:rPr>
                <w:rFonts w:ascii="Arabic Typesetting" w:hAnsi="Arabic Typesetting" w:cs="Arabic Typesetting"/>
                <w:color w:val="000000"/>
                <w:sz w:val="30"/>
                <w:szCs w:val="30"/>
                <w:rtl/>
              </w:rPr>
              <w:t xml:space="preserve">إلى </w:t>
            </w:r>
            <w:r w:rsidRPr="0009163D">
              <w:rPr>
                <w:rFonts w:ascii="Arabic Typesetting" w:hAnsi="Arabic Typesetting" w:cs="Arabic Typesetting" w:hint="cs"/>
                <w:color w:val="000000"/>
                <w:sz w:val="30"/>
                <w:szCs w:val="30"/>
                <w:rtl/>
              </w:rPr>
              <w:t>يونيو</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 (مستمر)</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الكاميرون/10 منح دراسية لمتدربين مختارين من بنن، بوركينا فاسو، الكاميرون، جزر القمر، الكونغو، غابون، غينيا، مدغشقر، النيجر، توغو</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تقديم تدريب عام ومتخصص حول الملكية الفكرية للمسؤولين الحكوميين والمتخصصين في مجال الملكية الفكرية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و</w:t>
            </w:r>
            <w:r w:rsidRPr="0009163D">
              <w:rPr>
                <w:rFonts w:ascii="Arabic Typesetting" w:hAnsi="Arabic Typesetting" w:cs="Arabic Typesetting"/>
                <w:color w:val="000000"/>
                <w:sz w:val="30"/>
                <w:szCs w:val="30"/>
                <w:rtl/>
              </w:rPr>
              <w:t>(2)</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 xml:space="preserve">توفير فرصة لتنمية الموارد البشرية وبناء القدرات من خلال التدريب والتدريس في مجال الملكية الفكرية لأشخاص يعملون في مجال البحث والتدريس في موضوع الملكية الفكرية في جامعات ومؤسسات </w:t>
            </w:r>
            <w:proofErr w:type="spellStart"/>
            <w:r w:rsidRPr="0009163D">
              <w:rPr>
                <w:rFonts w:ascii="Arabic Typesetting" w:hAnsi="Arabic Typesetting" w:cs="Arabic Typesetting"/>
                <w:color w:val="000000"/>
                <w:sz w:val="30"/>
                <w:szCs w:val="30"/>
                <w:rtl/>
              </w:rPr>
              <w:t>آخرى</w:t>
            </w:r>
            <w:proofErr w:type="spellEnd"/>
            <w:r w:rsidRPr="0009163D">
              <w:rPr>
                <w:rFonts w:ascii="Arabic Typesetting" w:hAnsi="Arabic Typesetting" w:cs="Arabic Typesetting"/>
                <w:color w:val="000000"/>
                <w:sz w:val="30"/>
                <w:szCs w:val="30"/>
                <w:rtl/>
              </w:rPr>
              <w:t>.</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شراكة بين الويبو/المنظمة الإقليمية الأفريقية للملكية الفكرية والجامعة الأفريقية في </w:t>
            </w:r>
            <w:proofErr w:type="spellStart"/>
            <w:r w:rsidRPr="0009163D">
              <w:rPr>
                <w:rFonts w:ascii="Arabic Typesetting" w:hAnsi="Arabic Typesetting" w:cs="Arabic Typesetting"/>
                <w:color w:val="000000"/>
                <w:sz w:val="30"/>
                <w:szCs w:val="30"/>
                <w:rtl/>
              </w:rPr>
              <w:t>موتاري</w:t>
            </w:r>
            <w:proofErr w:type="spellEnd"/>
            <w:r w:rsidRPr="0009163D">
              <w:rPr>
                <w:rFonts w:ascii="Arabic Typesetting" w:hAnsi="Arabic Typesetting" w:cs="Arabic Typesetting"/>
                <w:color w:val="000000"/>
                <w:sz w:val="30"/>
                <w:szCs w:val="30"/>
                <w:rtl/>
              </w:rPr>
              <w:t>، زمبابوي</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مايو إلى </w:t>
            </w:r>
            <w:r w:rsidRPr="0009163D">
              <w:rPr>
                <w:rFonts w:ascii="Arabic Typesetting" w:hAnsi="Arabic Typesetting" w:cs="Arabic Typesetting" w:hint="cs"/>
                <w:color w:val="000000"/>
                <w:sz w:val="30"/>
                <w:szCs w:val="30"/>
                <w:rtl/>
              </w:rPr>
              <w:t>ديسمبر</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زمبابوي/</w:t>
            </w:r>
            <w:r w:rsidRPr="0009163D">
              <w:rPr>
                <w:rFonts w:ascii="Arabic Typesetting" w:hAnsi="Arabic Typesetting" w:cs="Arabic Typesetting" w:hint="cs"/>
                <w:color w:val="000000"/>
                <w:sz w:val="30"/>
                <w:szCs w:val="30"/>
                <w:rtl/>
              </w:rPr>
              <w:t xml:space="preserve">9 منح دراسية لمتدربين مختارين </w:t>
            </w:r>
            <w:r w:rsidRPr="0009163D">
              <w:rPr>
                <w:rFonts w:ascii="Arabic Typesetting" w:hAnsi="Arabic Typesetting" w:cs="Arabic Typesetting"/>
                <w:color w:val="000000"/>
                <w:sz w:val="30"/>
                <w:szCs w:val="30"/>
                <w:rtl/>
              </w:rPr>
              <w:t>من غانا، كينيا، ناميبيا، نيجيريا، رواندا، سيراليون، أوغندا، جمهورية تنزانيا المتحدة</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زمبابوي</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 xml:space="preserve">تقديم تدريب عام ومتخصص حول الملكية الفكرية للمسؤولين الحكوميين والمتخصصين في مجال الملكية الفكرية (2)توفير فرصة لتنمية الموارد البشرية وبناء القدرات من خلال التدريب والتدريس في مجال الملكية الفكرية لأشخاص يعملون في مجال البحث والتدريس في موضوع الملكية الفكرية في جامعات ومؤسسات </w:t>
            </w:r>
            <w:proofErr w:type="spellStart"/>
            <w:r w:rsidRPr="0009163D">
              <w:rPr>
                <w:rFonts w:ascii="Arabic Typesetting" w:hAnsi="Arabic Typesetting" w:cs="Arabic Typesetting"/>
                <w:color w:val="000000"/>
                <w:sz w:val="30"/>
                <w:szCs w:val="30"/>
                <w:rtl/>
              </w:rPr>
              <w:t>آخرى</w:t>
            </w:r>
            <w:proofErr w:type="spellEnd"/>
            <w:r w:rsidRPr="0009163D">
              <w:rPr>
                <w:rFonts w:ascii="Arabic Typesetting" w:hAnsi="Arabic Typesetting" w:cs="Arabic Typesetting"/>
                <w:color w:val="000000"/>
                <w:sz w:val="30"/>
                <w:szCs w:val="30"/>
                <w:rtl/>
              </w:rPr>
              <w:t>.</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إنتاج فيلم يسلط الضوء على قصة نجاح</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color w:val="000000"/>
                <w:sz w:val="30"/>
                <w:szCs w:val="30"/>
              </w:rPr>
              <w:t>–</w:t>
            </w:r>
            <w:r w:rsidRPr="0009163D">
              <w:rPr>
                <w:rFonts w:ascii="Arabic Typesetting" w:hAnsi="Arabic Typesetting" w:cs="Arabic Typesetting" w:hint="cs"/>
                <w:color w:val="000000"/>
                <w:sz w:val="30"/>
                <w:szCs w:val="30"/>
              </w:rPr>
              <w:t xml:space="preserve"> </w:t>
            </w:r>
            <w:proofErr w:type="spellStart"/>
            <w:r w:rsidRPr="0009163D">
              <w:rPr>
                <w:rFonts w:ascii="Arabic Typesetting" w:hAnsi="Arabic Typesetting" w:cs="Arabic Typesetting" w:hint="cs"/>
                <w:color w:val="000000"/>
                <w:sz w:val="30"/>
                <w:szCs w:val="30"/>
                <w:rtl/>
              </w:rPr>
              <w:t>زنزيبار</w:t>
            </w:r>
            <w:proofErr w:type="spellEnd"/>
            <w:r w:rsidRPr="0009163D">
              <w:rPr>
                <w:rFonts w:ascii="Arabic Typesetting" w:hAnsi="Arabic Typesetting" w:cs="Arabic Typesetting" w:hint="cs"/>
                <w:color w:val="000000"/>
                <w:sz w:val="30"/>
                <w:szCs w:val="30"/>
                <w:rtl/>
              </w:rPr>
              <w:t xml:space="preserve"> كلوف </w:t>
            </w:r>
            <w:proofErr w:type="spellStart"/>
            <w:r w:rsidRPr="0009163D">
              <w:rPr>
                <w:rFonts w:ascii="Arabic Typesetting" w:hAnsi="Arabic Typesetting" w:cs="Arabic Typesetting" w:hint="cs"/>
                <w:color w:val="000000"/>
                <w:sz w:val="30"/>
                <w:szCs w:val="30"/>
                <w:rtl/>
              </w:rPr>
              <w:t>إندستري</w:t>
            </w:r>
            <w:proofErr w:type="spellEnd"/>
            <w:r w:rsidRPr="0009163D">
              <w:rPr>
                <w:rFonts w:ascii="Arabic Typesetting" w:hAnsi="Arabic Typesetting" w:cs="Arabic Typesetting" w:hint="cs"/>
                <w:color w:val="000000"/>
                <w:sz w:val="30"/>
                <w:szCs w:val="30"/>
                <w:rtl/>
              </w:rPr>
              <w:t xml:space="preserve"> </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أغسطس إلى نوفمبر 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جمهورية تنزانيا المتحدة</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تسليط الضوء على دور الملكية الفكرية وأهمية إشراك الحكومات الوطنية والشركاء الآخرين في مشروع توسيم.</w:t>
            </w:r>
          </w:p>
        </w:tc>
      </w:tr>
      <w:tr w:rsidR="0009163D" w:rsidRPr="0009163D" w:rsidTr="0009163D">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دورة صياغة براءات لوكلاء البراءات </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من 7 سبتمبر إلى 9 أكتوبر 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زمبابوي/22 مشاركا من غامبيا، غانا، كينيا، ملاوي، موزامبيق، ناميبيا، نيجيريا، رواندا، سان تومي وبرينسيبي، سيراليون، سوازيلاند، جمهورية تنزانيا المتحدة، زامبيا، زمبابوي</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(1) تعزيز مهارات الصياغة لدى الممارسين/وكلاء براءات الاختراع من الدول الأعضاء في الأريبو والدول المراقبة (2)</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تعريفهم بتقنيات جديدة لمساعدتهم في تحديد النطاق ووصف للمطالبات</w:t>
            </w:r>
            <w:r w:rsidRPr="0009163D">
              <w:rPr>
                <w:rFonts w:ascii="Arabic Typesetting" w:hAnsi="Arabic Typesetting" w:cs="Arabic Typesetting" w:hint="cs"/>
                <w:color w:val="000000"/>
                <w:sz w:val="30"/>
                <w:szCs w:val="30"/>
              </w:rPr>
              <w:t>.</w:t>
            </w:r>
          </w:p>
        </w:tc>
      </w:tr>
      <w:tr w:rsidR="0009163D" w:rsidRPr="0009163D" w:rsidTr="0009163D">
        <w:trPr>
          <w:cantSplit/>
          <w:trHeight w:val="315"/>
        </w:trPr>
        <w:tc>
          <w:tcPr>
            <w:tcW w:w="1843" w:type="dxa"/>
            <w:tcBorders>
              <w:top w:val="nil"/>
              <w:left w:val="single" w:sz="4" w:space="0" w:color="auto"/>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بعثة دراسة جدوى لمشروع توسيم </w:t>
            </w:r>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من 21 إلى 25 سبتمبر </w:t>
            </w:r>
            <w:r w:rsidRPr="0009163D">
              <w:rPr>
                <w:rFonts w:ascii="Arabic Typesetting" w:hAnsi="Arabic Typesetting" w:cs="Arabic Typesetting" w:hint="cs"/>
                <w:color w:val="000000"/>
                <w:sz w:val="30"/>
                <w:szCs w:val="30"/>
              </w:rPr>
              <w:t>2015</w:t>
            </w:r>
          </w:p>
        </w:tc>
        <w:tc>
          <w:tcPr>
            <w:tcW w:w="198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كينيا</w:t>
            </w:r>
          </w:p>
        </w:tc>
        <w:tc>
          <w:tcPr>
            <w:tcW w:w="4394" w:type="dxa"/>
            <w:tcBorders>
              <w:top w:val="nil"/>
              <w:bottom w:val="single" w:sz="4" w:space="0" w:color="auto"/>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تقييم جدوى مشروع توسيم باستخدام الملكية الفكرية </w:t>
            </w:r>
            <w:proofErr w:type="spellStart"/>
            <w:r w:rsidRPr="0009163D">
              <w:rPr>
                <w:rFonts w:ascii="Arabic Typesetting" w:hAnsi="Arabic Typesetting" w:cs="Arabic Typesetting" w:hint="cs"/>
                <w:color w:val="000000"/>
                <w:sz w:val="30"/>
                <w:szCs w:val="30"/>
                <w:rtl/>
              </w:rPr>
              <w:t>لتايتا</w:t>
            </w:r>
            <w:proofErr w:type="spellEnd"/>
            <w:r w:rsidRPr="0009163D">
              <w:rPr>
                <w:rFonts w:ascii="Arabic Typesetting" w:hAnsi="Arabic Typesetting" w:cs="Arabic Typesetting" w:hint="cs"/>
                <w:color w:val="000000"/>
                <w:sz w:val="30"/>
                <w:szCs w:val="30"/>
                <w:rtl/>
              </w:rPr>
              <w:t xml:space="preserve"> </w:t>
            </w:r>
            <w:proofErr w:type="spellStart"/>
            <w:r w:rsidRPr="0009163D">
              <w:rPr>
                <w:rFonts w:ascii="Arabic Typesetting" w:hAnsi="Arabic Typesetting" w:cs="Arabic Typesetting" w:hint="cs"/>
                <w:color w:val="000000"/>
                <w:sz w:val="30"/>
                <w:szCs w:val="30"/>
                <w:rtl/>
              </w:rPr>
              <w:t>باسكت</w:t>
            </w:r>
            <w:proofErr w:type="spellEnd"/>
            <w:r w:rsidRPr="0009163D">
              <w:rPr>
                <w:rFonts w:ascii="Arabic Typesetting" w:hAnsi="Arabic Typesetting" w:cs="Arabic Typesetting" w:hint="cs"/>
                <w:color w:val="000000"/>
                <w:sz w:val="30"/>
                <w:szCs w:val="30"/>
                <w:rtl/>
              </w:rPr>
              <w:t xml:space="preserve"> في كينيا.</w:t>
            </w:r>
          </w:p>
        </w:tc>
      </w:tr>
      <w:tr w:rsidR="0009163D" w:rsidRPr="0009163D" w:rsidTr="0009163D">
        <w:trPr>
          <w:cantSplit/>
          <w:trHeight w:val="315"/>
        </w:trPr>
        <w:tc>
          <w:tcPr>
            <w:tcW w:w="1843" w:type="dxa"/>
            <w:tcBorders>
              <w:top w:val="single" w:sz="4" w:space="0" w:color="auto"/>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lastRenderedPageBreak/>
              <w:t>دورة تدريبية حول استخدام تكنولوجيا المعلومات في إدارة الملكية الصناعية</w:t>
            </w:r>
          </w:p>
        </w:tc>
        <w:tc>
          <w:tcPr>
            <w:tcW w:w="1134"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26</w:t>
            </w:r>
            <w:r w:rsidRPr="0009163D">
              <w:rPr>
                <w:rFonts w:ascii="Arabic Typesetting" w:hAnsi="Arabic Typesetting" w:cs="Arabic Typesetting"/>
                <w:color w:val="000000"/>
                <w:sz w:val="30"/>
                <w:szCs w:val="30"/>
                <w:rtl/>
              </w:rPr>
              <w:t xml:space="preserve"> </w:t>
            </w:r>
            <w:proofErr w:type="spellStart"/>
            <w:r w:rsidRPr="0009163D">
              <w:rPr>
                <w:rFonts w:ascii="Arabic Typesetting" w:hAnsi="Arabic Typesetting" w:cs="Arabic Typesetting"/>
                <w:color w:val="000000"/>
                <w:sz w:val="30"/>
                <w:szCs w:val="30"/>
                <w:rtl/>
              </w:rPr>
              <w:t>اكتوبر</w:t>
            </w:r>
            <w:proofErr w:type="spellEnd"/>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6</w:t>
            </w:r>
            <w:r w:rsidRPr="0009163D">
              <w:rPr>
                <w:rFonts w:ascii="Arabic Typesetting" w:hAnsi="Arabic Typesetting" w:cs="Arabic Typesetting"/>
                <w:color w:val="000000"/>
                <w:sz w:val="30"/>
                <w:szCs w:val="30"/>
                <w:rtl/>
              </w:rPr>
              <w:t xml:space="preserve"> نوفمبر </w:t>
            </w:r>
            <w:r w:rsidRPr="0009163D">
              <w:rPr>
                <w:rFonts w:ascii="Arabic Typesetting" w:hAnsi="Arabic Typesetting" w:cs="Arabic Typesetting" w:hint="cs"/>
                <w:color w:val="000000"/>
                <w:sz w:val="30"/>
                <w:szCs w:val="30"/>
                <w:rtl/>
              </w:rPr>
              <w:t>2015</w:t>
            </w:r>
          </w:p>
        </w:tc>
        <w:tc>
          <w:tcPr>
            <w:tcW w:w="1985"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 xml:space="preserve">اليابان/الجزائر وجنوب أفريقيا </w:t>
            </w:r>
            <w:proofErr w:type="spellStart"/>
            <w:r w:rsidRPr="0009163D">
              <w:rPr>
                <w:rFonts w:ascii="Arabic Typesetting" w:hAnsi="Arabic Typesetting" w:cs="Arabic Typesetting" w:hint="cs"/>
                <w:color w:val="000000"/>
                <w:sz w:val="30"/>
                <w:szCs w:val="30"/>
                <w:rtl/>
              </w:rPr>
              <w:t>والأريبو</w:t>
            </w:r>
            <w:proofErr w:type="spellEnd"/>
          </w:p>
        </w:tc>
        <w:tc>
          <w:tcPr>
            <w:tcW w:w="4394" w:type="dxa"/>
            <w:tcBorders>
              <w:top w:val="single" w:sz="4" w:space="0" w:color="auto"/>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MS Mincho" w:hAnsi="Arabic Typesetting" w:cs="Arabic Typesetting"/>
                <w:sz w:val="30"/>
                <w:szCs w:val="30"/>
                <w:rtl/>
                <w:lang w:eastAsia="ja-JP"/>
              </w:rPr>
              <w:t>(1)</w:t>
            </w:r>
            <w:r w:rsidRPr="0009163D">
              <w:rPr>
                <w:rFonts w:ascii="Arabic Typesetting" w:eastAsia="MS Mincho" w:hAnsi="Arabic Typesetting" w:cs="Arabic Typesetting" w:hint="cs"/>
                <w:sz w:val="30"/>
                <w:szCs w:val="30"/>
                <w:rtl/>
                <w:lang w:eastAsia="ja-JP"/>
              </w:rPr>
              <w:t xml:space="preserve"> </w:t>
            </w:r>
            <w:r w:rsidRPr="0009163D">
              <w:rPr>
                <w:rFonts w:ascii="Arabic Typesetting" w:eastAsia="MS Mincho" w:hAnsi="Arabic Typesetting" w:cs="Arabic Typesetting"/>
                <w:sz w:val="30"/>
                <w:szCs w:val="30"/>
                <w:rtl/>
                <w:lang w:eastAsia="ja-JP"/>
              </w:rPr>
              <w:t xml:space="preserve">تعريف المشاركين بالتطورات الحديثة في مجال تكنولوجيا المعلومات فيما يتعلق بإدارة الملكية الصناعية، ونشر المعلومات المتعلقة بالمكية الصناعية، وتوفير خدمات عبر الإنترنت (2) نشر المعرفة العملية المتعلقة بأحدث الأدوات والأساليب التكنولوجية من خلال جلسات تفاعلية </w:t>
            </w:r>
            <w:proofErr w:type="spellStart"/>
            <w:r w:rsidRPr="0009163D">
              <w:rPr>
                <w:rFonts w:ascii="Arabic Typesetting" w:eastAsia="MS Mincho" w:hAnsi="Arabic Typesetting" w:cs="Arabic Typesetting"/>
                <w:sz w:val="30"/>
                <w:szCs w:val="30"/>
                <w:rtl/>
                <w:lang w:eastAsia="ja-JP"/>
              </w:rPr>
              <w:t>بالاضافة</w:t>
            </w:r>
            <w:proofErr w:type="spellEnd"/>
            <w:r w:rsidRPr="0009163D">
              <w:rPr>
                <w:rFonts w:ascii="Arabic Typesetting" w:eastAsia="MS Mincho" w:hAnsi="Arabic Typesetting" w:cs="Arabic Typesetting"/>
                <w:sz w:val="30"/>
                <w:szCs w:val="30"/>
                <w:rtl/>
                <w:lang w:eastAsia="ja-JP"/>
              </w:rPr>
              <w:t xml:space="preserve"> إلى زيارات إلى الكيانات الخاصة ذات الصلة (3) توفير فرصة لتبادل الآراء والمخاوف بين المشاركين حول القضايا الموضوعية والقيام من خلال ذلك بتعزيز قدرات المشاركين المهنية المتعلقة بالتخطيط وإدارة استخدام تكنولوجيا المعلومات في إدارة الملكية الفكرية</w:t>
            </w:r>
          </w:p>
        </w:tc>
      </w:tr>
      <w:tr w:rsidR="0009163D" w:rsidRPr="0009163D" w:rsidTr="0009163D">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فحص الملكية الفكرية (متقدم)- دورة تدريب حول فحص الملكية الصناعية (</w:t>
            </w:r>
            <w:r w:rsidRPr="0009163D">
              <w:rPr>
                <w:rFonts w:ascii="Arabic Typesetting" w:hAnsi="Arabic Typesetting" w:cs="Arabic Typesetting"/>
                <w:color w:val="000000"/>
                <w:sz w:val="30"/>
                <w:szCs w:val="30"/>
              </w:rPr>
              <w:t>Patent I</w:t>
            </w:r>
            <w:r w:rsidRPr="0009163D">
              <w:rPr>
                <w:rFonts w:ascii="Arabic Typesetting" w:hAnsi="Arabic Typesetting" w:cs="Arabic Typesetting"/>
                <w:color w:val="000000"/>
                <w:sz w:val="30"/>
                <w:szCs w:val="30"/>
                <w:rtl/>
              </w:rPr>
              <w:t>)</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9</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20</w:t>
            </w:r>
            <w:r w:rsidRPr="0009163D">
              <w:rPr>
                <w:rFonts w:ascii="Arabic Typesetting" w:hAnsi="Arabic Typesetting" w:cs="Arabic Typesetting"/>
                <w:color w:val="000000"/>
                <w:sz w:val="30"/>
                <w:szCs w:val="30"/>
                <w:rtl/>
              </w:rPr>
              <w:t xml:space="preserve"> نوفمبر </w:t>
            </w:r>
            <w:r w:rsidRPr="0009163D">
              <w:rPr>
                <w:rFonts w:ascii="Arabic Typesetting" w:hAnsi="Arabic Typesetting" w:cs="Arabic Typesetting" w:hint="cs"/>
                <w:color w:val="000000"/>
                <w:sz w:val="30"/>
                <w:szCs w:val="30"/>
                <w:rtl/>
              </w:rPr>
              <w:t>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اليابان/مصر</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MS Mincho" w:hAnsi="Arabic Typesetting" w:cs="Arabic Typesetting"/>
                <w:sz w:val="30"/>
                <w:szCs w:val="30"/>
                <w:rtl/>
                <w:lang w:eastAsia="ja-JP"/>
              </w:rPr>
              <w:t>(1)</w:t>
            </w:r>
            <w:r w:rsidRPr="0009163D">
              <w:rPr>
                <w:rFonts w:ascii="Arabic Typesetting" w:eastAsia="MS Mincho" w:hAnsi="Arabic Typesetting" w:cs="Arabic Typesetting" w:hint="cs"/>
                <w:sz w:val="30"/>
                <w:szCs w:val="30"/>
                <w:rtl/>
                <w:lang w:eastAsia="ja-JP"/>
              </w:rPr>
              <w:t xml:space="preserve"> </w:t>
            </w:r>
            <w:r w:rsidRPr="0009163D">
              <w:rPr>
                <w:rFonts w:ascii="Arabic Typesetting" w:eastAsia="MS Mincho" w:hAnsi="Arabic Typesetting" w:cs="Arabic Typesetting"/>
                <w:sz w:val="30"/>
                <w:szCs w:val="30"/>
                <w:rtl/>
                <w:lang w:eastAsia="ja-JP"/>
              </w:rPr>
              <w:t>تزويد المشاركين بالمعلومات الأساسية المتعلقة بالقوانين والإجراءات في مجال فحص حقوق الملكية الصناعية (2)</w:t>
            </w:r>
            <w:r w:rsidRPr="0009163D">
              <w:rPr>
                <w:rFonts w:ascii="Arabic Typesetting" w:eastAsia="MS Mincho" w:hAnsi="Arabic Typesetting" w:cs="Arabic Typesetting" w:hint="cs"/>
                <w:sz w:val="30"/>
                <w:szCs w:val="30"/>
                <w:rtl/>
                <w:lang w:eastAsia="ja-JP"/>
              </w:rPr>
              <w:t xml:space="preserve"> تبادل الآراء حول المسائل المتعلقة بالموضوع في مجال الملكية الفكرية</w:t>
            </w:r>
            <w:r w:rsidRPr="0009163D">
              <w:rPr>
                <w:rFonts w:ascii="Arabic Typesetting" w:eastAsia="MS Mincho" w:hAnsi="Arabic Typesetting" w:cs="Arabic Typesetting"/>
                <w:sz w:val="30"/>
                <w:szCs w:val="30"/>
                <w:rtl/>
                <w:lang w:eastAsia="ja-JP"/>
              </w:rPr>
              <w:t>.</w:t>
            </w:r>
          </w:p>
        </w:tc>
      </w:tr>
      <w:tr w:rsidR="0009163D" w:rsidRPr="0009163D" w:rsidTr="0009163D">
        <w:trPr>
          <w:cantSplit/>
          <w:trHeight w:val="315"/>
        </w:trPr>
        <w:tc>
          <w:tcPr>
            <w:tcW w:w="1843" w:type="dxa"/>
            <w:tcBorders>
              <w:top w:val="nil"/>
              <w:left w:val="single" w:sz="4" w:space="0" w:color="auto"/>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ال</w:t>
            </w:r>
            <w:r w:rsidRPr="0009163D">
              <w:rPr>
                <w:rFonts w:ascii="Arabic Typesetting" w:hAnsi="Arabic Typesetting" w:cs="Arabic Typesetting"/>
                <w:color w:val="000000"/>
                <w:sz w:val="30"/>
                <w:szCs w:val="30"/>
                <w:rtl/>
              </w:rPr>
              <w:t>ويبو</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المدرسة الصيفية المتقدمة في جنوب </w:t>
            </w:r>
            <w:r w:rsidRPr="0009163D">
              <w:rPr>
                <w:rFonts w:ascii="Arabic Typesetting" w:hAnsi="Arabic Typesetting" w:cs="Arabic Typesetting" w:hint="cs"/>
                <w:color w:val="000000"/>
                <w:sz w:val="30"/>
                <w:szCs w:val="30"/>
                <w:rtl/>
              </w:rPr>
              <w:t>أفريقيا</w:t>
            </w:r>
            <w:r w:rsidRPr="0009163D">
              <w:rPr>
                <w:rFonts w:ascii="Arabic Typesetting" w:hAnsi="Arabic Typesetting" w:cs="Arabic Typesetting"/>
                <w:color w:val="000000"/>
                <w:sz w:val="30"/>
                <w:szCs w:val="30"/>
                <w:rtl/>
              </w:rPr>
              <w:t xml:space="preserve"> حول الملكية الفكرية ونقل التكنولوجيا</w:t>
            </w:r>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30</w:t>
            </w:r>
            <w:r w:rsidRPr="0009163D">
              <w:rPr>
                <w:rFonts w:ascii="Arabic Typesetting" w:hAnsi="Arabic Typesetting" w:cs="Arabic Typesetting"/>
                <w:color w:val="000000"/>
                <w:sz w:val="30"/>
                <w:szCs w:val="30"/>
                <w:rtl/>
              </w:rPr>
              <w:t xml:space="preserve"> نوفمبر إلى </w:t>
            </w:r>
            <w:r w:rsidRPr="0009163D">
              <w:rPr>
                <w:rFonts w:ascii="Arabic Typesetting" w:hAnsi="Arabic Typesetting" w:cs="Arabic Typesetting" w:hint="cs"/>
                <w:color w:val="000000"/>
                <w:sz w:val="30"/>
                <w:szCs w:val="30"/>
                <w:rtl/>
              </w:rPr>
              <w:t>11</w:t>
            </w:r>
            <w:r w:rsidRPr="0009163D">
              <w:rPr>
                <w:rFonts w:ascii="Arabic Typesetting" w:hAnsi="Arabic Typesetting" w:cs="Arabic Typesetting"/>
                <w:color w:val="000000"/>
                <w:sz w:val="30"/>
                <w:szCs w:val="30"/>
                <w:rtl/>
              </w:rPr>
              <w:t xml:space="preserve"> ديسمبر 201</w:t>
            </w:r>
            <w:r w:rsidRPr="0009163D">
              <w:rPr>
                <w:rFonts w:ascii="Arabic Typesetting" w:hAnsi="Arabic Typesetting" w:cs="Arabic Typesetting" w:hint="cs"/>
                <w:color w:val="000000"/>
                <w:sz w:val="30"/>
                <w:szCs w:val="30"/>
                <w:rtl/>
              </w:rPr>
              <w:t>5</w:t>
            </w:r>
          </w:p>
        </w:tc>
        <w:tc>
          <w:tcPr>
            <w:tcW w:w="198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جنوب أفريقيا/10 منح دراسية لمتدربين مختارين من بوتسوانا وكينيا وليسوتو وملاوي وناميبيا ونيجيريا وزمبابوي</w:t>
            </w:r>
          </w:p>
        </w:tc>
        <w:tc>
          <w:tcPr>
            <w:tcW w:w="4394" w:type="dxa"/>
            <w:tcBorders>
              <w:top w:val="nil"/>
              <w:bottom w:val="single" w:sz="4" w:space="0" w:color="auto"/>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توفير فرصة </w:t>
            </w:r>
            <w:r w:rsidRPr="0009163D">
              <w:rPr>
                <w:rFonts w:ascii="Arabic Typesetting" w:hAnsi="Arabic Typesetting" w:cs="Arabic Typesetting" w:hint="cs"/>
                <w:color w:val="000000"/>
                <w:sz w:val="30"/>
                <w:szCs w:val="30"/>
                <w:rtl/>
              </w:rPr>
              <w:t>لكبار الطلاب (خريجون وطلاب دراسات عليا)</w:t>
            </w:r>
            <w:r w:rsidRPr="0009163D">
              <w:rPr>
                <w:rFonts w:ascii="Arabic Typesetting" w:hAnsi="Arabic Typesetting" w:cs="Arabic Typesetting"/>
                <w:color w:val="000000"/>
                <w:sz w:val="30"/>
                <w:szCs w:val="30"/>
                <w:rtl/>
              </w:rPr>
              <w:t xml:space="preserve"> و</w:t>
            </w:r>
            <w:r w:rsidRPr="0009163D">
              <w:rPr>
                <w:rFonts w:ascii="Arabic Typesetting" w:hAnsi="Arabic Typesetting" w:cs="Arabic Typesetting" w:hint="cs"/>
                <w:color w:val="000000"/>
                <w:sz w:val="30"/>
                <w:szCs w:val="30"/>
                <w:rtl/>
              </w:rPr>
              <w:t>ا</w:t>
            </w:r>
            <w:r w:rsidRPr="0009163D">
              <w:rPr>
                <w:rFonts w:ascii="Arabic Typesetting" w:hAnsi="Arabic Typesetting" w:cs="Arabic Typesetting"/>
                <w:color w:val="000000"/>
                <w:sz w:val="30"/>
                <w:szCs w:val="30"/>
                <w:rtl/>
              </w:rPr>
              <w:t>لشباب المهنيين</w:t>
            </w:r>
            <w:r w:rsidRPr="0009163D">
              <w:rPr>
                <w:rFonts w:ascii="Arabic Typesetting" w:hAnsi="Arabic Typesetting" w:cs="Arabic Typesetting" w:hint="cs"/>
                <w:color w:val="000000"/>
                <w:sz w:val="30"/>
                <w:szCs w:val="30"/>
                <w:rtl/>
              </w:rPr>
              <w:t xml:space="preserve"> (1)</w:t>
            </w:r>
            <w:r w:rsidRPr="0009163D">
              <w:rPr>
                <w:rFonts w:ascii="Arabic Typesetting" w:hAnsi="Arabic Typesetting" w:cs="Arabic Typesetting"/>
                <w:color w:val="000000"/>
                <w:sz w:val="30"/>
                <w:szCs w:val="30"/>
                <w:rtl/>
              </w:rPr>
              <w:t xml:space="preserve"> لاكتساب معرفة </w:t>
            </w:r>
            <w:r w:rsidRPr="0009163D">
              <w:rPr>
                <w:rFonts w:ascii="Arabic Typesetting" w:hAnsi="Arabic Typesetting" w:cs="Arabic Typesetting" w:hint="cs"/>
                <w:color w:val="000000"/>
                <w:sz w:val="30"/>
                <w:szCs w:val="30"/>
                <w:rtl/>
              </w:rPr>
              <w:t>أ</w:t>
            </w:r>
            <w:r w:rsidRPr="0009163D">
              <w:rPr>
                <w:rFonts w:ascii="Arabic Typesetting" w:hAnsi="Arabic Typesetting" w:cs="Arabic Typesetting"/>
                <w:color w:val="000000"/>
                <w:sz w:val="30"/>
                <w:szCs w:val="30"/>
                <w:rtl/>
              </w:rPr>
              <w:t>عمق حول</w:t>
            </w:r>
            <w:r w:rsidRPr="0009163D">
              <w:rPr>
                <w:rFonts w:ascii="Arabic Typesetting" w:hAnsi="Arabic Typesetting" w:cs="Arabic Typesetting" w:hint="cs"/>
                <w:color w:val="000000"/>
                <w:sz w:val="30"/>
                <w:szCs w:val="30"/>
                <w:rtl/>
              </w:rPr>
              <w:t xml:space="preserve"> العلاقة بين</w:t>
            </w:r>
            <w:r w:rsidRPr="0009163D">
              <w:rPr>
                <w:rFonts w:ascii="Arabic Typesetting" w:hAnsi="Arabic Typesetting" w:cs="Arabic Typesetting"/>
                <w:color w:val="000000"/>
                <w:sz w:val="30"/>
                <w:szCs w:val="30"/>
                <w:rtl/>
              </w:rPr>
              <w:t xml:space="preserve"> الملكية الفكرية ونقل التكنولوجيا</w:t>
            </w:r>
            <w:r w:rsidRPr="0009163D">
              <w:rPr>
                <w:rFonts w:ascii="Arabic Typesetting" w:hAnsi="Arabic Typesetting" w:cs="Arabic Typesetting" w:hint="cs"/>
                <w:color w:val="000000"/>
                <w:sz w:val="30"/>
                <w:szCs w:val="30"/>
                <w:rtl/>
              </w:rPr>
              <w:t xml:space="preserve"> و(2) مناقشة أمور الملكية الفكرية المتعلقة بمفاوضات الترخيص من خلال الدراسات الإفرادية وأنشطة المحاكاة.</w:t>
            </w:r>
          </w:p>
        </w:tc>
      </w:tr>
      <w:tr w:rsidR="0009163D" w:rsidRPr="0009163D" w:rsidTr="00925848">
        <w:trPr>
          <w:cantSplit/>
          <w:trHeight w:val="315"/>
        </w:trPr>
        <w:tc>
          <w:tcPr>
            <w:tcW w:w="9356" w:type="dxa"/>
            <w:gridSpan w:val="4"/>
            <w:tcBorders>
              <w:top w:val="single" w:sz="4" w:space="0" w:color="auto"/>
              <w:bottom w:val="single" w:sz="4" w:space="0" w:color="auto"/>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lang w:bidi="ar-EG"/>
              </w:rPr>
            </w:pPr>
            <w:r w:rsidRPr="0009163D">
              <w:rPr>
                <w:rFonts w:ascii="Arabic Typesetting" w:hAnsi="Arabic Typesetting" w:cs="Arabic Typesetting"/>
                <w:b/>
                <w:bCs/>
                <w:color w:val="000000"/>
                <w:sz w:val="30"/>
                <w:szCs w:val="30"/>
                <w:rtl/>
                <w:lang w:bidi="ar-EG"/>
              </w:rPr>
              <w:t>النتيجة:</w:t>
            </w:r>
            <w:r w:rsidRPr="0009163D">
              <w:rPr>
                <w:rFonts w:ascii="Arabic Typesetting" w:hAnsi="Arabic Typesetting" w:cs="Arabic Typesetting"/>
                <w:color w:val="000000"/>
                <w:sz w:val="30"/>
                <w:szCs w:val="30"/>
                <w:rtl/>
                <w:lang w:bidi="ar-EG"/>
              </w:rPr>
              <w:tab/>
              <w:t>ه</w:t>
            </w:r>
            <w:r w:rsidRPr="0009163D">
              <w:rPr>
                <w:rFonts w:ascii="Arabic Typesetting" w:hAnsi="Arabic Typesetting" w:cs="Arabic Typesetting" w:hint="cs"/>
                <w:sz w:val="30"/>
                <w:szCs w:val="30"/>
                <w:rtl/>
                <w:lang w:bidi="ar-EG"/>
              </w:rPr>
              <w:t>6.3</w:t>
            </w:r>
            <w:r w:rsidRPr="0009163D">
              <w:rPr>
                <w:rFonts w:ascii="Arabic Typesetting" w:hAnsi="Arabic Typesetting" w:cs="Arabic Typesetting"/>
                <w:sz w:val="30"/>
                <w:szCs w:val="30"/>
                <w:rtl/>
                <w:lang w:bidi="ar-EG"/>
              </w:rPr>
              <w:t xml:space="preserve"> قدرة معزّزة لدى الشركات الصغيرة </w:t>
            </w:r>
            <w:proofErr w:type="spellStart"/>
            <w:r w:rsidRPr="0009163D">
              <w:rPr>
                <w:rFonts w:ascii="Arabic Typesetting" w:hAnsi="Arabic Typesetting" w:cs="Arabic Typesetting"/>
                <w:sz w:val="30"/>
                <w:szCs w:val="30"/>
                <w:rtl/>
                <w:lang w:bidi="ar-EG"/>
              </w:rPr>
              <w:t>والمستوطة</w:t>
            </w:r>
            <w:proofErr w:type="spellEnd"/>
            <w:r w:rsidRPr="0009163D">
              <w:rPr>
                <w:rFonts w:ascii="Arabic Typesetting" w:hAnsi="Arabic Typesetting" w:cs="Arabic Typesetting"/>
                <w:sz w:val="30"/>
                <w:szCs w:val="30"/>
                <w:rtl/>
                <w:lang w:bidi="ar-EG"/>
              </w:rPr>
              <w:t xml:space="preserve"> على استخدام الملكية الفكرية بنجاح لدعم الابتكار</w:t>
            </w:r>
          </w:p>
        </w:tc>
      </w:tr>
      <w:tr w:rsidR="0009163D" w:rsidRPr="0009163D" w:rsidTr="00925848">
        <w:trPr>
          <w:cantSplit/>
          <w:trHeight w:val="315"/>
        </w:trPr>
        <w:tc>
          <w:tcPr>
            <w:tcW w:w="1843" w:type="dxa"/>
            <w:tcBorders>
              <w:top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حلقة عمل إقليمية حول نماذج المنفعة والتصميم الصناعي للشركات الصغيرة والمتوسطة في الدول الأعضاء في الأريبو</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من 24 إلى 26 يونيو 2015</w:t>
            </w:r>
          </w:p>
        </w:tc>
        <w:tc>
          <w:tcPr>
            <w:tcW w:w="1985" w:type="dxa"/>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زمبابوي/25 مشاركا من بوتسوانا، غامبيا، غانا، كينيا، ملاوي، ناميبيا وأوغندا، جمهورية تنزانيا المتحدة، زامبيا</w:t>
            </w:r>
          </w:p>
        </w:tc>
        <w:tc>
          <w:tcPr>
            <w:tcW w:w="4394" w:type="dxa"/>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(1) توفير منصة للمسؤولين في مكاتب الملكية الفكرية والشركات الصغيرة والمتوسطة والمخترعين والمؤسسات البحثية والجامعات ومراكز الابتكار وغرف التجارة وجمعيات الشركات الصغيرة والمتوسطة والمصممين من المنطقة للتعرف على نموذج المنفعة وتصميم النماذج الصناعية؛ و(2) تبادل الآراء مع الخبراء الدوليين والوطنيين بشأن فوائد استخدام نماذج المنفعة والتصميمات للشركات الصغيرة والمتوسطة والمتناهية الصغر</w:t>
            </w:r>
            <w:r w:rsidRPr="0009163D">
              <w:rPr>
                <w:rFonts w:ascii="Arabic Typesetting" w:eastAsia="MS Mincho" w:hAnsi="Arabic Typesetting" w:cs="Arabic Typesetting" w:hint="cs"/>
                <w:sz w:val="30"/>
                <w:szCs w:val="30"/>
                <w:lang w:eastAsia="ja-JP"/>
              </w:rPr>
              <w:t>.</w:t>
            </w:r>
          </w:p>
        </w:tc>
      </w:tr>
      <w:tr w:rsidR="0009163D" w:rsidRPr="0009163D" w:rsidTr="00925848">
        <w:trPr>
          <w:cantSplit/>
          <w:trHeight w:val="315"/>
        </w:trPr>
        <w:tc>
          <w:tcPr>
            <w:tcW w:w="9356" w:type="dxa"/>
            <w:gridSpan w:val="4"/>
            <w:tcBorders>
              <w:top w:val="single" w:sz="4" w:space="0" w:color="auto"/>
              <w:left w:val="single" w:sz="4" w:space="0" w:color="auto"/>
              <w:bottom w:val="single" w:sz="4" w:space="0" w:color="auto"/>
              <w:right w:val="single" w:sz="4" w:space="0" w:color="auto"/>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2.4</w:t>
            </w:r>
            <w:r w:rsidRPr="0009163D">
              <w:rPr>
                <w:rFonts w:ascii="Arabic Typesetting" w:hAnsi="Arabic Typesetting" w:cs="Arabic Typesetting"/>
                <w:color w:val="000000"/>
                <w:sz w:val="30"/>
                <w:szCs w:val="30"/>
                <w:rtl/>
              </w:rPr>
              <w:t xml:space="preserve"> تحسين النفاذ إلى المعلومات المتعلقة بالملكية الفكرية واستخدامها من قبل مؤسسات الملكية الفكرية والجمهور لتشجيع الابتكار والإبداع</w:t>
            </w:r>
          </w:p>
        </w:tc>
      </w:tr>
      <w:tr w:rsidR="0009163D" w:rsidRPr="0009163D" w:rsidTr="00925848">
        <w:trPr>
          <w:cantSplit/>
          <w:trHeight w:val="315"/>
        </w:trPr>
        <w:tc>
          <w:tcPr>
            <w:tcW w:w="1843" w:type="dxa"/>
            <w:tcBorders>
              <w:top w:val="single" w:sz="4" w:space="0" w:color="auto"/>
              <w:left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auto"/>
              <w:bottom w:val="nil"/>
              <w:right w:val="single" w:sz="4" w:space="0" w:color="auto"/>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ندوة</w:t>
            </w:r>
            <w:r w:rsidRPr="0009163D">
              <w:rPr>
                <w:rFonts w:ascii="Arabic Typesetting" w:hAnsi="Arabic Typesetting" w:cs="Arabic Typesetting" w:hint="cs"/>
                <w:color w:val="000000"/>
                <w:sz w:val="30"/>
                <w:szCs w:val="30"/>
                <w:rtl/>
              </w:rPr>
              <w:t xml:space="preserve"> ثانية</w:t>
            </w:r>
            <w:r w:rsidRPr="0009163D">
              <w:rPr>
                <w:rFonts w:ascii="Arabic Typesetting" w:hAnsi="Arabic Typesetting" w:cs="Arabic Typesetting"/>
                <w:color w:val="000000"/>
                <w:sz w:val="30"/>
                <w:szCs w:val="30"/>
                <w:rtl/>
              </w:rPr>
              <w:t xml:space="preserve"> لمركز دعم التكنولوجيا والابتكار</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حول الاستخدام الفعال</w:t>
            </w:r>
            <w:r w:rsidRPr="0009163D">
              <w:rPr>
                <w:rFonts w:ascii="Arabic Typesetting" w:hAnsi="Arabic Typesetting" w:cs="Arabic Typesetting" w:hint="cs"/>
                <w:color w:val="000000"/>
                <w:sz w:val="30"/>
                <w:szCs w:val="30"/>
                <w:rtl/>
              </w:rPr>
              <w:t xml:space="preserve"> للمعلومات </w:t>
            </w:r>
            <w:r w:rsidRPr="0009163D">
              <w:rPr>
                <w:rFonts w:ascii="Arabic Typesetting" w:eastAsia="MS Mincho" w:hAnsi="Arabic Typesetting" w:cs="Arabic Typesetting" w:hint="cs"/>
                <w:sz w:val="30"/>
                <w:szCs w:val="30"/>
                <w:rtl/>
                <w:lang w:eastAsia="ja-JP"/>
              </w:rPr>
              <w:t xml:space="preserve">العلمية </w:t>
            </w:r>
            <w:r w:rsidRPr="0009163D">
              <w:rPr>
                <w:rFonts w:ascii="Arabic Typesetting" w:eastAsia="MS Mincho" w:hAnsi="Arabic Typesetting" w:cs="Arabic Typesetting" w:hint="cs"/>
                <w:sz w:val="30"/>
                <w:szCs w:val="30"/>
                <w:rtl/>
                <w:lang w:eastAsia="ja-JP" w:bidi="ar-EG"/>
              </w:rPr>
              <w:t>و</w:t>
            </w:r>
            <w:r w:rsidRPr="0009163D">
              <w:rPr>
                <w:rFonts w:ascii="Arabic Typesetting" w:eastAsia="MS Mincho" w:hAnsi="Arabic Typesetting" w:cs="Arabic Typesetting" w:hint="cs"/>
                <w:sz w:val="30"/>
                <w:szCs w:val="30"/>
                <w:rtl/>
                <w:lang w:eastAsia="ja-JP"/>
              </w:rPr>
              <w:t>التقنية</w:t>
            </w:r>
          </w:p>
        </w:tc>
        <w:tc>
          <w:tcPr>
            <w:tcW w:w="1134" w:type="dxa"/>
            <w:tcBorders>
              <w:top w:val="nil"/>
              <w:bottom w:val="nil"/>
            </w:tcBorders>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24</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26</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فبراير</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w:t>
            </w:r>
          </w:p>
        </w:tc>
        <w:tc>
          <w:tcPr>
            <w:tcW w:w="1985" w:type="dxa"/>
            <w:tcBorders>
              <w:top w:val="nil"/>
              <w:bottom w:val="nil"/>
            </w:tcBorders>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غانا</w:t>
            </w:r>
            <w:r w:rsidRPr="0009163D">
              <w:rPr>
                <w:rFonts w:ascii="Arabic Typesetting" w:hAnsi="Arabic Typesetting" w:cs="Arabic Typesetting"/>
                <w:color w:val="000000"/>
                <w:sz w:val="30"/>
                <w:szCs w:val="30"/>
                <w:rtl/>
              </w:rPr>
              <w:t xml:space="preserve">/حوالي </w:t>
            </w:r>
            <w:r w:rsidRPr="0009163D">
              <w:rPr>
                <w:rFonts w:ascii="Arabic Typesetting" w:hAnsi="Arabic Typesetting" w:cs="Arabic Typesetting" w:hint="cs"/>
                <w:color w:val="000000"/>
                <w:sz w:val="30"/>
                <w:szCs w:val="30"/>
                <w:rtl/>
              </w:rPr>
              <w:t>50</w:t>
            </w:r>
            <w:r w:rsidRPr="0009163D">
              <w:rPr>
                <w:rFonts w:ascii="Arabic Typesetting" w:hAnsi="Arabic Typesetting" w:cs="Arabic Typesetting"/>
                <w:color w:val="000000"/>
                <w:sz w:val="30"/>
                <w:szCs w:val="30"/>
                <w:rtl/>
              </w:rPr>
              <w:t xml:space="preserve"> مشارك</w:t>
            </w:r>
            <w:r w:rsidRPr="0009163D">
              <w:rPr>
                <w:rFonts w:ascii="Arabic Typesetting" w:hAnsi="Arabic Typesetting" w:cs="Arabic Typesetting" w:hint="cs"/>
                <w:color w:val="000000"/>
                <w:sz w:val="30"/>
                <w:szCs w:val="30"/>
                <w:rtl/>
              </w:rPr>
              <w:t>ًا</w:t>
            </w:r>
            <w:r w:rsidRPr="0009163D">
              <w:rPr>
                <w:rFonts w:ascii="Arabic Typesetting" w:hAnsi="Arabic Typesetting" w:cs="Arabic Typesetting"/>
                <w:color w:val="000000"/>
                <w:sz w:val="30"/>
                <w:szCs w:val="30"/>
                <w:rtl/>
              </w:rPr>
              <w:t xml:space="preserve"> محلي</w:t>
            </w:r>
            <w:r w:rsidRPr="0009163D">
              <w:rPr>
                <w:rFonts w:ascii="Arabic Typesetting" w:hAnsi="Arabic Typesetting" w:cs="Arabic Typesetting" w:hint="cs"/>
                <w:color w:val="000000"/>
                <w:sz w:val="30"/>
                <w:szCs w:val="30"/>
                <w:rtl/>
              </w:rPr>
              <w:t>ا</w:t>
            </w:r>
          </w:p>
        </w:tc>
        <w:tc>
          <w:tcPr>
            <w:tcW w:w="4394" w:type="dxa"/>
            <w:tcBorders>
              <w:top w:val="nil"/>
              <w:bottom w:val="nil"/>
              <w:right w:val="single" w:sz="4" w:space="0" w:color="auto"/>
            </w:tcBorders>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تعزيز قدرات المشاركين حول البحث</w:t>
            </w:r>
            <w:r w:rsidRPr="0009163D">
              <w:rPr>
                <w:rFonts w:ascii="Arabic Typesetting" w:hAnsi="Arabic Typesetting" w:cs="Arabic Typesetting" w:hint="cs"/>
                <w:color w:val="000000"/>
                <w:sz w:val="30"/>
                <w:szCs w:val="30"/>
                <w:rtl/>
              </w:rPr>
              <w:t xml:space="preserve"> واستخدام المعلومات التكنولوجية والعلمية</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في أ</w:t>
            </w:r>
            <w:r w:rsidRPr="0009163D">
              <w:rPr>
                <w:rFonts w:ascii="Arabic Typesetting" w:hAnsi="Arabic Typesetting" w:cs="Arabic Typesetting"/>
                <w:color w:val="000000"/>
                <w:sz w:val="30"/>
                <w:szCs w:val="30"/>
                <w:rtl/>
              </w:rPr>
              <w:t>نشطتهم ذات الصلة</w:t>
            </w:r>
            <w:r w:rsidRPr="0009163D">
              <w:rPr>
                <w:rFonts w:ascii="Arabic Typesetting" w:hAnsi="Arabic Typesetting" w:cs="Arabic Typesetting" w:hint="cs"/>
                <w:color w:val="000000"/>
                <w:sz w:val="30"/>
                <w:szCs w:val="30"/>
                <w:rtl/>
              </w:rPr>
              <w:t xml:space="preserve"> بالموضوع.</w:t>
            </w:r>
          </w:p>
        </w:tc>
      </w:tr>
      <w:tr w:rsidR="0009163D" w:rsidRPr="0009163D" w:rsidTr="0009163D">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hAnsi="Arabic Typesetting" w:cs="Arabic Typesetting"/>
                <w:color w:val="000000"/>
                <w:sz w:val="30"/>
                <w:szCs w:val="30"/>
                <w:rtl/>
              </w:rPr>
              <w:t>ندوة</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لمركز دعم التكنولوجيا والابتكار</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 xml:space="preserve">حول استخدام </w:t>
            </w:r>
            <w:r w:rsidRPr="0009163D">
              <w:rPr>
                <w:rFonts w:ascii="Arabic Typesetting" w:hAnsi="Arabic Typesetting" w:cs="Arabic Typesetting" w:hint="cs"/>
                <w:color w:val="000000"/>
                <w:sz w:val="30"/>
                <w:szCs w:val="30"/>
                <w:rtl/>
              </w:rPr>
              <w:t xml:space="preserve">المعلومات </w:t>
            </w:r>
            <w:r w:rsidRPr="0009163D">
              <w:rPr>
                <w:rFonts w:ascii="Arabic Typesetting" w:eastAsia="MS Mincho" w:hAnsi="Arabic Typesetting" w:cs="Arabic Typesetting" w:hint="cs"/>
                <w:sz w:val="30"/>
                <w:szCs w:val="30"/>
                <w:rtl/>
                <w:lang w:eastAsia="ja-JP"/>
              </w:rPr>
              <w:t xml:space="preserve">العلمية </w:t>
            </w:r>
            <w:r w:rsidRPr="0009163D">
              <w:rPr>
                <w:rFonts w:ascii="Arabic Typesetting" w:eastAsia="MS Mincho" w:hAnsi="Arabic Typesetting" w:cs="Arabic Typesetting" w:hint="cs"/>
                <w:sz w:val="30"/>
                <w:szCs w:val="30"/>
                <w:rtl/>
                <w:lang w:eastAsia="ja-JP" w:bidi="ar-EG"/>
              </w:rPr>
              <w:t>و</w:t>
            </w:r>
            <w:r w:rsidRPr="0009163D">
              <w:rPr>
                <w:rFonts w:ascii="Arabic Typesetting" w:eastAsia="MS Mincho" w:hAnsi="Arabic Typesetting" w:cs="Arabic Typesetting" w:hint="cs"/>
                <w:sz w:val="30"/>
                <w:szCs w:val="30"/>
                <w:rtl/>
                <w:lang w:eastAsia="ja-JP"/>
              </w:rPr>
              <w:t>التقنية</w:t>
            </w:r>
          </w:p>
        </w:tc>
        <w:tc>
          <w:tcPr>
            <w:tcW w:w="1134" w:type="dxa"/>
            <w:tcBorders>
              <w:top w:val="nil"/>
              <w:bottom w:val="nil"/>
            </w:tcBorders>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23</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27</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مارس</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بوركينا فاسو/</w:t>
            </w:r>
            <w:r w:rsidRPr="0009163D">
              <w:rPr>
                <w:rFonts w:ascii="Arabic Typesetting" w:hAnsi="Arabic Typesetting" w:cs="Arabic Typesetting"/>
                <w:color w:val="000000"/>
                <w:sz w:val="30"/>
                <w:szCs w:val="30"/>
                <w:rtl/>
              </w:rPr>
              <w:t xml:space="preserve">حوالي </w:t>
            </w:r>
            <w:r w:rsidRPr="0009163D">
              <w:rPr>
                <w:rFonts w:ascii="Arabic Typesetting" w:eastAsia="MS Mincho" w:hAnsi="Arabic Typesetting" w:cs="Arabic Typesetting" w:hint="cs"/>
                <w:sz w:val="30"/>
                <w:szCs w:val="30"/>
                <w:rtl/>
                <w:lang w:eastAsia="ja-JP"/>
              </w:rPr>
              <w:t xml:space="preserve">50 مشاركا </w:t>
            </w:r>
            <w:r w:rsidRPr="0009163D">
              <w:rPr>
                <w:rFonts w:ascii="Arabic Typesetting" w:hAnsi="Arabic Typesetting" w:cs="Arabic Typesetting"/>
                <w:color w:val="000000"/>
                <w:sz w:val="30"/>
                <w:szCs w:val="30"/>
                <w:rtl/>
              </w:rPr>
              <w:t>محلي</w:t>
            </w:r>
            <w:r w:rsidRPr="0009163D">
              <w:rPr>
                <w:rFonts w:ascii="Arabic Typesetting" w:hAnsi="Arabic Typesetting" w:cs="Arabic Typesetting" w:hint="cs"/>
                <w:color w:val="000000"/>
                <w:sz w:val="30"/>
                <w:szCs w:val="30"/>
                <w:rtl/>
              </w:rPr>
              <w:t>ًا</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تدريب الباحثين وأساتذة الجامعات والطلاب على البحث واسترجاع معلومات البراءات و غير البراءات</w:t>
            </w:r>
            <w:r w:rsidRPr="0009163D">
              <w:rPr>
                <w:rFonts w:ascii="Arabic Typesetting" w:eastAsia="MS Mincho" w:hAnsi="Arabic Typesetting" w:cs="Arabic Typesetting" w:hint="cs"/>
                <w:sz w:val="30"/>
                <w:szCs w:val="30"/>
                <w:lang w:eastAsia="ja-JP"/>
              </w:rPr>
              <w:t>.</w:t>
            </w:r>
          </w:p>
        </w:tc>
      </w:tr>
      <w:tr w:rsidR="0009163D" w:rsidRPr="0009163D" w:rsidTr="0009163D">
        <w:trPr>
          <w:cantSplit/>
          <w:trHeight w:val="315"/>
        </w:trPr>
        <w:tc>
          <w:tcPr>
            <w:tcW w:w="1843" w:type="dxa"/>
            <w:tcBorders>
              <w:top w:val="nil"/>
              <w:left w:val="single" w:sz="4" w:space="0" w:color="auto"/>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 xml:space="preserve">ندوة حول الاستخدام الفعال </w:t>
            </w:r>
            <w:r w:rsidRPr="0009163D">
              <w:rPr>
                <w:rFonts w:ascii="Arabic Typesetting" w:hAnsi="Arabic Typesetting" w:cs="Arabic Typesetting" w:hint="cs"/>
                <w:color w:val="000000"/>
                <w:sz w:val="30"/>
                <w:szCs w:val="30"/>
                <w:rtl/>
              </w:rPr>
              <w:t xml:space="preserve">للمعلومات </w:t>
            </w:r>
            <w:r w:rsidRPr="0009163D">
              <w:rPr>
                <w:rFonts w:ascii="Arabic Typesetting" w:eastAsia="MS Mincho" w:hAnsi="Arabic Typesetting" w:cs="Arabic Typesetting" w:hint="cs"/>
                <w:sz w:val="30"/>
                <w:szCs w:val="30"/>
                <w:rtl/>
                <w:lang w:eastAsia="ja-JP"/>
              </w:rPr>
              <w:t xml:space="preserve">العلمية </w:t>
            </w:r>
            <w:r w:rsidRPr="0009163D">
              <w:rPr>
                <w:rFonts w:ascii="Arabic Typesetting" w:eastAsia="MS Mincho" w:hAnsi="Arabic Typesetting" w:cs="Arabic Typesetting" w:hint="cs"/>
                <w:sz w:val="30"/>
                <w:szCs w:val="30"/>
                <w:rtl/>
                <w:lang w:eastAsia="ja-JP" w:bidi="ar-EG"/>
              </w:rPr>
              <w:t>و</w:t>
            </w:r>
            <w:r w:rsidRPr="0009163D">
              <w:rPr>
                <w:rFonts w:ascii="Arabic Typesetting" w:eastAsia="MS Mincho" w:hAnsi="Arabic Typesetting" w:cs="Arabic Typesetting" w:hint="cs"/>
                <w:sz w:val="30"/>
                <w:szCs w:val="30"/>
                <w:rtl/>
                <w:lang w:eastAsia="ja-JP"/>
              </w:rPr>
              <w:t>التقنية وإطلاق مركز دعم التكنولوجيا والابتكار</w:t>
            </w:r>
          </w:p>
        </w:tc>
        <w:tc>
          <w:tcPr>
            <w:tcW w:w="1134" w:type="dxa"/>
            <w:tcBorders>
              <w:top w:val="nil"/>
              <w:bottom w:val="single" w:sz="4" w:space="0" w:color="auto"/>
            </w:tcBorders>
          </w:tcPr>
          <w:p w:rsidR="0009163D" w:rsidRPr="0009163D" w:rsidRDefault="0009163D" w:rsidP="0009163D">
            <w:pPr>
              <w:keepNext/>
              <w:keepLines/>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1</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5</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يونيو</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w:t>
            </w:r>
          </w:p>
        </w:tc>
        <w:tc>
          <w:tcPr>
            <w:tcW w:w="198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رواندا/</w:t>
            </w:r>
            <w:r w:rsidRPr="0009163D">
              <w:rPr>
                <w:rFonts w:ascii="Arabic Typesetting" w:hAnsi="Arabic Typesetting" w:cs="Arabic Typesetting"/>
                <w:color w:val="000000"/>
                <w:sz w:val="30"/>
                <w:szCs w:val="30"/>
                <w:rtl/>
              </w:rPr>
              <w:t xml:space="preserve"> حوالي </w:t>
            </w:r>
            <w:r w:rsidRPr="0009163D">
              <w:rPr>
                <w:rFonts w:ascii="Arabic Typesetting" w:hAnsi="Arabic Typesetting" w:cs="Arabic Typesetting" w:hint="cs"/>
                <w:color w:val="000000"/>
                <w:sz w:val="30"/>
                <w:szCs w:val="30"/>
                <w:rtl/>
              </w:rPr>
              <w:t xml:space="preserve">350 </w:t>
            </w:r>
            <w:r w:rsidRPr="0009163D">
              <w:rPr>
                <w:rFonts w:ascii="Arabic Typesetting" w:eastAsia="MS Mincho" w:hAnsi="Arabic Typesetting" w:cs="Arabic Typesetting" w:hint="cs"/>
                <w:sz w:val="30"/>
                <w:szCs w:val="30"/>
                <w:rtl/>
                <w:lang w:eastAsia="ja-JP"/>
              </w:rPr>
              <w:t xml:space="preserve">مشاركا </w:t>
            </w:r>
            <w:r w:rsidRPr="0009163D">
              <w:rPr>
                <w:rFonts w:ascii="Arabic Typesetting" w:hAnsi="Arabic Typesetting" w:cs="Arabic Typesetting"/>
                <w:color w:val="000000"/>
                <w:sz w:val="30"/>
                <w:szCs w:val="30"/>
                <w:rtl/>
              </w:rPr>
              <w:t>محلي</w:t>
            </w:r>
            <w:r w:rsidRPr="0009163D">
              <w:rPr>
                <w:rFonts w:ascii="Arabic Typesetting" w:hAnsi="Arabic Typesetting" w:cs="Arabic Typesetting" w:hint="cs"/>
                <w:color w:val="000000"/>
                <w:sz w:val="30"/>
                <w:szCs w:val="30"/>
                <w:rtl/>
              </w:rPr>
              <w:t>ًا</w:t>
            </w:r>
          </w:p>
        </w:tc>
        <w:tc>
          <w:tcPr>
            <w:tcW w:w="4394" w:type="dxa"/>
            <w:tcBorders>
              <w:top w:val="nil"/>
              <w:bottom w:val="single" w:sz="4" w:space="0" w:color="auto"/>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عرض مشروع مركز دعم التكنولوجيا والابتكار وفوائده على اثنين من مؤسسات التعليم العالي في البلاد</w:t>
            </w:r>
            <w:r w:rsidRPr="0009163D">
              <w:rPr>
                <w:rFonts w:ascii="Arabic Typesetting" w:eastAsia="MS Mincho" w:hAnsi="Arabic Typesetting" w:cs="Arabic Typesetting" w:hint="cs"/>
                <w:sz w:val="30"/>
                <w:szCs w:val="30"/>
                <w:lang w:eastAsia="ja-JP"/>
              </w:rPr>
              <w:t>.</w:t>
            </w:r>
          </w:p>
        </w:tc>
      </w:tr>
      <w:tr w:rsidR="0009163D" w:rsidRPr="0009163D" w:rsidTr="0009163D">
        <w:trPr>
          <w:cantSplit/>
          <w:trHeight w:val="315"/>
        </w:trPr>
        <w:tc>
          <w:tcPr>
            <w:tcW w:w="9356" w:type="dxa"/>
            <w:gridSpan w:val="4"/>
            <w:tcBorders>
              <w:top w:val="single" w:sz="4" w:space="0" w:color="auto"/>
              <w:left w:val="single" w:sz="4" w:space="0" w:color="auto"/>
              <w:bottom w:val="single" w:sz="4" w:space="0" w:color="auto"/>
              <w:right w:val="single" w:sz="4" w:space="0" w:color="auto"/>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lastRenderedPageBreak/>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4.4</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09163D" w:rsidRPr="0009163D" w:rsidTr="00925848">
        <w:trPr>
          <w:cantSplit/>
          <w:trHeight w:val="315"/>
        </w:trPr>
        <w:tc>
          <w:tcPr>
            <w:tcW w:w="1843"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auto"/>
              <w:bottom w:val="nil"/>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proofErr w:type="spellStart"/>
            <w:r w:rsidRPr="0009163D">
              <w:rPr>
                <w:rFonts w:ascii="Arabic Typesetting" w:eastAsia="MS Mincho" w:hAnsi="Arabic Typesetting" w:cs="Arabic Typesetting" w:hint="cs"/>
                <w:sz w:val="30"/>
                <w:szCs w:val="30"/>
                <w:rtl/>
                <w:lang w:eastAsia="ja-JP"/>
              </w:rPr>
              <w:t>رقمنة</w:t>
            </w:r>
            <w:proofErr w:type="spellEnd"/>
            <w:r w:rsidRPr="0009163D">
              <w:rPr>
                <w:rFonts w:ascii="Arabic Typesetting" w:eastAsia="MS Mincho" w:hAnsi="Arabic Typesetting" w:cs="Arabic Typesetting" w:hint="cs"/>
                <w:sz w:val="30"/>
                <w:szCs w:val="30"/>
                <w:rtl/>
                <w:lang w:eastAsia="ja-JP"/>
              </w:rPr>
              <w:t xml:space="preserve"> وثائق الملكية الفكرية </w:t>
            </w:r>
            <w:proofErr w:type="spellStart"/>
            <w:r w:rsidRPr="0009163D">
              <w:rPr>
                <w:rFonts w:ascii="Arabic Typesetting" w:eastAsia="MS Mincho" w:hAnsi="Arabic Typesetting" w:cs="Arabic Typesetting" w:hint="cs"/>
                <w:sz w:val="30"/>
                <w:szCs w:val="30"/>
                <w:rtl/>
                <w:lang w:eastAsia="ja-JP"/>
              </w:rPr>
              <w:t>للأريبو</w:t>
            </w:r>
            <w:proofErr w:type="spellEnd"/>
          </w:p>
        </w:tc>
        <w:tc>
          <w:tcPr>
            <w:tcW w:w="1134" w:type="dxa"/>
            <w:tcBorders>
              <w:top w:val="nil"/>
              <w:bottom w:val="nil"/>
            </w:tcBorders>
          </w:tcPr>
          <w:p w:rsidR="0009163D" w:rsidRPr="0009163D" w:rsidRDefault="0009163D" w:rsidP="0009163D">
            <w:pPr>
              <w:bidi/>
              <w:spacing w:before="80" w:after="60" w:line="280" w:lineRule="exact"/>
              <w:rPr>
                <w:rFonts w:ascii="Arabic Typesetting" w:eastAsia="MS Mincho" w:hAnsi="Arabic Typesetting" w:cs="Arabic Typesetting"/>
                <w:sz w:val="30"/>
                <w:szCs w:val="30"/>
                <w:lang w:eastAsia="ja-JP"/>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أبريل</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ديسمبر</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 (مستمر)</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الأريبو</w:t>
            </w:r>
          </w:p>
        </w:tc>
        <w:tc>
          <w:tcPr>
            <w:tcW w:w="439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(1) تسهيل</w:t>
            </w:r>
            <w:r w:rsidRPr="0009163D">
              <w:rPr>
                <w:rFonts w:ascii="Arabic Typesetting" w:eastAsia="MS Mincho" w:hAnsi="Arabic Typesetting" w:cs="Arabic Typesetting" w:hint="cs"/>
                <w:sz w:val="30"/>
                <w:szCs w:val="30"/>
                <w:lang w:eastAsia="ja-JP"/>
              </w:rPr>
              <w:t xml:space="preserve"> </w:t>
            </w:r>
            <w:r w:rsidRPr="0009163D">
              <w:rPr>
                <w:rFonts w:ascii="Arabic Typesetting" w:eastAsia="MS Mincho" w:hAnsi="Arabic Typesetting" w:cs="Arabic Typesetting" w:hint="cs"/>
                <w:sz w:val="30"/>
                <w:szCs w:val="30"/>
                <w:rtl/>
                <w:lang w:eastAsia="ja-JP"/>
              </w:rPr>
              <w:t>إجراءات الفحص ومعالجة الطلبات/التسجيلات</w:t>
            </w:r>
            <w:r w:rsidRPr="0009163D">
              <w:rPr>
                <w:rFonts w:ascii="Arabic Typesetting" w:eastAsia="MS Mincho" w:hAnsi="Arabic Typesetting" w:cs="Arabic Typesetting" w:hint="cs"/>
                <w:sz w:val="30"/>
                <w:szCs w:val="30"/>
                <w:lang w:eastAsia="ja-JP"/>
              </w:rPr>
              <w:t xml:space="preserve"> </w:t>
            </w:r>
            <w:r w:rsidRPr="0009163D">
              <w:rPr>
                <w:rFonts w:ascii="Arabic Typesetting" w:eastAsia="MS Mincho" w:hAnsi="Arabic Typesetting" w:cs="Arabic Typesetting" w:hint="cs"/>
                <w:sz w:val="30"/>
                <w:szCs w:val="30"/>
                <w:rtl/>
                <w:lang w:eastAsia="ja-JP"/>
              </w:rPr>
              <w:t xml:space="preserve">(2) تأمين ملفات الملكية الفكرية والحفاظ عليها من خلال توفيرها </w:t>
            </w:r>
            <w:proofErr w:type="spellStart"/>
            <w:r w:rsidRPr="0009163D">
              <w:rPr>
                <w:rFonts w:ascii="Arabic Typesetting" w:eastAsia="MS Mincho" w:hAnsi="Arabic Typesetting" w:cs="Arabic Typesetting" w:hint="cs"/>
                <w:sz w:val="30"/>
                <w:szCs w:val="30"/>
                <w:rtl/>
                <w:lang w:eastAsia="ja-JP"/>
              </w:rPr>
              <w:t>بالأنساق</w:t>
            </w:r>
            <w:proofErr w:type="spellEnd"/>
            <w:r w:rsidRPr="0009163D">
              <w:rPr>
                <w:rFonts w:ascii="Arabic Typesetting" w:eastAsia="MS Mincho" w:hAnsi="Arabic Typesetting" w:cs="Arabic Typesetting" w:hint="cs"/>
                <w:sz w:val="30"/>
                <w:szCs w:val="30"/>
                <w:rtl/>
                <w:lang w:eastAsia="ja-JP"/>
              </w:rPr>
              <w:t xml:space="preserve"> المادية والرقمية (3)</w:t>
            </w:r>
            <w:r w:rsidRPr="0009163D">
              <w:rPr>
                <w:rFonts w:ascii="Arabic Typesetting" w:eastAsia="MS Mincho" w:hAnsi="Arabic Typesetting" w:cs="Arabic Typesetting" w:hint="cs"/>
                <w:sz w:val="30"/>
                <w:szCs w:val="30"/>
                <w:lang w:eastAsia="ja-JP"/>
              </w:rPr>
              <w:t xml:space="preserve"> </w:t>
            </w:r>
            <w:r w:rsidRPr="0009163D">
              <w:rPr>
                <w:rFonts w:ascii="Arabic Typesetting" w:eastAsia="MS Mincho" w:hAnsi="Arabic Typesetting" w:cs="Arabic Typesetting" w:hint="cs"/>
                <w:sz w:val="30"/>
                <w:szCs w:val="30"/>
                <w:rtl/>
                <w:lang w:eastAsia="ja-JP"/>
              </w:rPr>
              <w:t>تسهيل تبادل بيانات الملكية الفكرية على الصعيدين الوطني والدولي (4) تحسين حوكمة عملية الملكية الفكرية، والشفافية، والمساءلة</w:t>
            </w:r>
            <w:r w:rsidRPr="0009163D">
              <w:rPr>
                <w:rFonts w:ascii="Arabic Typesetting" w:eastAsia="MS Mincho" w:hAnsi="Arabic Typesetting" w:cs="Arabic Typesetting" w:hint="cs"/>
                <w:sz w:val="30"/>
                <w:szCs w:val="30"/>
                <w:lang w:eastAsia="ja-JP"/>
              </w:rPr>
              <w:t>.</w:t>
            </w:r>
          </w:p>
        </w:tc>
      </w:tr>
      <w:tr w:rsidR="0009163D" w:rsidRPr="0009163D" w:rsidTr="0009163D">
        <w:trPr>
          <w:cantSplit/>
          <w:trHeight w:val="315"/>
        </w:trPr>
        <w:tc>
          <w:tcPr>
            <w:tcW w:w="1843"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proofErr w:type="spellStart"/>
            <w:r w:rsidRPr="0009163D">
              <w:rPr>
                <w:rFonts w:ascii="Arabic Typesetting" w:eastAsia="MS Mincho" w:hAnsi="Arabic Typesetting" w:cs="Arabic Typesetting" w:hint="cs"/>
                <w:sz w:val="30"/>
                <w:szCs w:val="30"/>
                <w:rtl/>
                <w:lang w:eastAsia="ja-JP"/>
              </w:rPr>
              <w:t>رقمنة</w:t>
            </w:r>
            <w:proofErr w:type="spellEnd"/>
            <w:r w:rsidRPr="0009163D">
              <w:rPr>
                <w:rFonts w:ascii="Arabic Typesetting" w:eastAsia="MS Mincho" w:hAnsi="Arabic Typesetting" w:cs="Arabic Typesetting" w:hint="cs"/>
                <w:sz w:val="30"/>
                <w:szCs w:val="30"/>
                <w:rtl/>
                <w:lang w:eastAsia="ja-JP"/>
              </w:rPr>
              <w:t xml:space="preserve"> وثائق الملكية الفكرية لمعهد كينيا للملكية الصناعية </w:t>
            </w:r>
            <w:r w:rsidRPr="0009163D">
              <w:rPr>
                <w:rFonts w:ascii="Arabic Typesetting" w:eastAsia="MS Mincho" w:hAnsi="Arabic Typesetting" w:cs="Arabic Typesetting" w:hint="cs"/>
                <w:sz w:val="30"/>
                <w:szCs w:val="30"/>
                <w:lang w:eastAsia="ja-JP"/>
              </w:rPr>
              <w:t>(KIPI)</w:t>
            </w:r>
          </w:p>
        </w:tc>
        <w:tc>
          <w:tcPr>
            <w:tcW w:w="1134" w:type="dxa"/>
            <w:tcBorders>
              <w:top w:val="nil"/>
              <w:bottom w:val="nil"/>
            </w:tcBorders>
          </w:tcPr>
          <w:p w:rsidR="0009163D" w:rsidRPr="0009163D" w:rsidRDefault="0009163D" w:rsidP="0009163D">
            <w:pPr>
              <w:bidi/>
              <w:spacing w:before="80" w:after="60" w:line="280" w:lineRule="exact"/>
              <w:rPr>
                <w:rFonts w:ascii="Arabic Typesetting" w:eastAsia="MS Mincho" w:hAnsi="Arabic Typesetting" w:cs="Arabic Typesetting"/>
                <w:sz w:val="30"/>
                <w:szCs w:val="30"/>
                <w:lang w:eastAsia="ja-JP"/>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أبريل</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ديسمبر</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 (مستمر)</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كينيا</w:t>
            </w:r>
          </w:p>
        </w:tc>
        <w:tc>
          <w:tcPr>
            <w:tcW w:w="439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(1) تسهيل</w:t>
            </w:r>
            <w:r w:rsidRPr="0009163D">
              <w:rPr>
                <w:rFonts w:ascii="Arabic Typesetting" w:eastAsia="MS Mincho" w:hAnsi="Arabic Typesetting" w:cs="Arabic Typesetting" w:hint="cs"/>
                <w:sz w:val="30"/>
                <w:szCs w:val="30"/>
                <w:lang w:eastAsia="ja-JP"/>
              </w:rPr>
              <w:t xml:space="preserve"> </w:t>
            </w:r>
            <w:r w:rsidRPr="0009163D">
              <w:rPr>
                <w:rFonts w:ascii="Arabic Typesetting" w:eastAsia="MS Mincho" w:hAnsi="Arabic Typesetting" w:cs="Arabic Typesetting" w:hint="cs"/>
                <w:sz w:val="30"/>
                <w:szCs w:val="30"/>
                <w:rtl/>
                <w:lang w:eastAsia="ja-JP"/>
              </w:rPr>
              <w:t>إجراءات الفحص ومعالجة الطلبات/التسجيلات</w:t>
            </w:r>
            <w:r w:rsidRPr="0009163D">
              <w:rPr>
                <w:rFonts w:ascii="Arabic Typesetting" w:eastAsia="MS Mincho" w:hAnsi="Arabic Typesetting" w:cs="Arabic Typesetting" w:hint="cs"/>
                <w:sz w:val="30"/>
                <w:szCs w:val="30"/>
                <w:lang w:eastAsia="ja-JP"/>
              </w:rPr>
              <w:t xml:space="preserve"> </w:t>
            </w:r>
            <w:r w:rsidRPr="0009163D">
              <w:rPr>
                <w:rFonts w:ascii="Arabic Typesetting" w:eastAsia="MS Mincho" w:hAnsi="Arabic Typesetting" w:cs="Arabic Typesetting" w:hint="cs"/>
                <w:sz w:val="30"/>
                <w:szCs w:val="30"/>
                <w:rtl/>
                <w:lang w:eastAsia="ja-JP"/>
              </w:rPr>
              <w:t>(2)</w:t>
            </w:r>
            <w:r w:rsidRPr="0009163D">
              <w:rPr>
                <w:rFonts w:ascii="Arabic Typesetting" w:eastAsia="MS Mincho" w:hAnsi="Arabic Typesetting" w:cs="Arabic Typesetting" w:hint="eastAsia"/>
                <w:sz w:val="30"/>
                <w:szCs w:val="30"/>
                <w:rtl/>
                <w:lang w:eastAsia="ja-JP"/>
              </w:rPr>
              <w:t> </w:t>
            </w:r>
            <w:r w:rsidRPr="0009163D">
              <w:rPr>
                <w:rFonts w:ascii="Arabic Typesetting" w:eastAsia="MS Mincho" w:hAnsi="Arabic Typesetting" w:cs="Arabic Typesetting" w:hint="cs"/>
                <w:sz w:val="30"/>
                <w:szCs w:val="30"/>
                <w:rtl/>
                <w:lang w:eastAsia="ja-JP"/>
              </w:rPr>
              <w:t xml:space="preserve">تأمين ملفات الملكية الفكرية والحفاظ عليها من خلال توفيرها </w:t>
            </w:r>
            <w:proofErr w:type="spellStart"/>
            <w:r w:rsidRPr="0009163D">
              <w:rPr>
                <w:rFonts w:ascii="Arabic Typesetting" w:eastAsia="MS Mincho" w:hAnsi="Arabic Typesetting" w:cs="Arabic Typesetting" w:hint="cs"/>
                <w:sz w:val="30"/>
                <w:szCs w:val="30"/>
                <w:rtl/>
                <w:lang w:eastAsia="ja-JP"/>
              </w:rPr>
              <w:t>بالأنساق</w:t>
            </w:r>
            <w:proofErr w:type="spellEnd"/>
            <w:r w:rsidRPr="0009163D">
              <w:rPr>
                <w:rFonts w:ascii="Arabic Typesetting" w:eastAsia="MS Mincho" w:hAnsi="Arabic Typesetting" w:cs="Arabic Typesetting" w:hint="cs"/>
                <w:sz w:val="30"/>
                <w:szCs w:val="30"/>
                <w:rtl/>
                <w:lang w:eastAsia="ja-JP"/>
              </w:rPr>
              <w:t xml:space="preserve"> المادية والرقمية (3)</w:t>
            </w:r>
            <w:r w:rsidRPr="0009163D">
              <w:rPr>
                <w:rFonts w:ascii="Arabic Typesetting" w:eastAsia="MS Mincho" w:hAnsi="Arabic Typesetting" w:cs="Arabic Typesetting" w:hint="cs"/>
                <w:sz w:val="30"/>
                <w:szCs w:val="30"/>
                <w:lang w:eastAsia="ja-JP"/>
              </w:rPr>
              <w:t xml:space="preserve"> </w:t>
            </w:r>
            <w:r w:rsidRPr="0009163D">
              <w:rPr>
                <w:rFonts w:ascii="Arabic Typesetting" w:eastAsia="MS Mincho" w:hAnsi="Arabic Typesetting" w:cs="Arabic Typesetting" w:hint="cs"/>
                <w:sz w:val="30"/>
                <w:szCs w:val="30"/>
                <w:rtl/>
                <w:lang w:eastAsia="ja-JP"/>
              </w:rPr>
              <w:t>تسهيل تبادل بيانات الملكية الفكرية على الصعيدين الوطني والدولي (4) تحسين حوكمة عملية الملكية الفكرية، والشفافية، والمساءلة</w:t>
            </w:r>
            <w:r w:rsidRPr="0009163D">
              <w:rPr>
                <w:rFonts w:ascii="Arabic Typesetting" w:eastAsia="MS Mincho" w:hAnsi="Arabic Typesetting" w:cs="Arabic Typesetting" w:hint="cs"/>
                <w:sz w:val="30"/>
                <w:szCs w:val="30"/>
                <w:lang w:eastAsia="ja-JP"/>
              </w:rPr>
              <w:t>.</w:t>
            </w:r>
          </w:p>
        </w:tc>
      </w:tr>
      <w:tr w:rsidR="0009163D" w:rsidRPr="0009163D" w:rsidTr="0009163D">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proofErr w:type="spellStart"/>
            <w:r w:rsidRPr="0009163D">
              <w:rPr>
                <w:rFonts w:ascii="Arabic Typesetting" w:eastAsia="MS Mincho" w:hAnsi="Arabic Typesetting" w:cs="Arabic Typesetting" w:hint="cs"/>
                <w:sz w:val="30"/>
                <w:szCs w:val="30"/>
                <w:rtl/>
                <w:lang w:eastAsia="ja-JP"/>
              </w:rPr>
              <w:t>رقمنة</w:t>
            </w:r>
            <w:proofErr w:type="spellEnd"/>
            <w:r w:rsidRPr="0009163D">
              <w:rPr>
                <w:rFonts w:ascii="Arabic Typesetting" w:eastAsia="MS Mincho" w:hAnsi="Arabic Typesetting" w:cs="Arabic Typesetting" w:hint="cs"/>
                <w:sz w:val="30"/>
                <w:szCs w:val="30"/>
                <w:rtl/>
                <w:lang w:eastAsia="ja-JP"/>
              </w:rPr>
              <w:t xml:space="preserve"> براءات الاختراع والعلامات التجارية لمكتب زمبابوي للملكية الفكرية </w:t>
            </w:r>
            <w:r w:rsidRPr="0009163D">
              <w:rPr>
                <w:rFonts w:ascii="Arabic Typesetting" w:eastAsia="MS Mincho" w:hAnsi="Arabic Typesetting" w:cs="Arabic Typesetting" w:hint="cs"/>
                <w:sz w:val="30"/>
                <w:szCs w:val="30"/>
                <w:lang w:eastAsia="ja-JP"/>
              </w:rPr>
              <w:t>(ZIPO)</w:t>
            </w:r>
          </w:p>
        </w:tc>
        <w:tc>
          <w:tcPr>
            <w:tcW w:w="1134" w:type="dxa"/>
            <w:tcBorders>
              <w:top w:val="nil"/>
              <w:bottom w:val="nil"/>
            </w:tcBorders>
          </w:tcPr>
          <w:p w:rsidR="0009163D" w:rsidRPr="0009163D" w:rsidRDefault="0009163D" w:rsidP="0009163D">
            <w:pPr>
              <w:bidi/>
              <w:spacing w:before="80" w:after="60" w:line="280" w:lineRule="exact"/>
              <w:rPr>
                <w:rFonts w:ascii="Arabic Typesetting" w:eastAsia="MS Mincho" w:hAnsi="Arabic Typesetting" w:cs="Arabic Typesetting"/>
                <w:sz w:val="30"/>
                <w:szCs w:val="30"/>
                <w:lang w:eastAsia="ja-JP"/>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أبريل</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ديسمبر</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 (مستمر)</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زمبابوي</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sz w:val="30"/>
                <w:szCs w:val="30"/>
                <w:rtl/>
                <w:lang w:eastAsia="ja-JP"/>
              </w:rPr>
              <w:t>(1)</w:t>
            </w:r>
            <w:r w:rsidRPr="0009163D">
              <w:rPr>
                <w:rFonts w:ascii="Arabic Typesetting" w:eastAsia="MS Mincho" w:hAnsi="Arabic Typesetting" w:cs="Arabic Typesetting" w:hint="cs"/>
                <w:sz w:val="30"/>
                <w:szCs w:val="30"/>
                <w:rtl/>
                <w:lang w:eastAsia="ja-JP"/>
              </w:rPr>
              <w:t xml:space="preserve"> إنشاء ملفات إلكترونية لجميع ملفات براءات الاختراع والعلامات التجارية </w:t>
            </w:r>
            <w:r w:rsidRPr="0009163D">
              <w:rPr>
                <w:rFonts w:ascii="Arabic Typesetting" w:eastAsia="MS Mincho" w:hAnsi="Arabic Typesetting" w:cs="Arabic Typesetting"/>
                <w:sz w:val="30"/>
                <w:szCs w:val="30"/>
                <w:rtl/>
                <w:lang w:eastAsia="ja-JP"/>
              </w:rPr>
              <w:t xml:space="preserve">(2) </w:t>
            </w:r>
            <w:r w:rsidRPr="0009163D">
              <w:rPr>
                <w:rFonts w:ascii="Arabic Typesetting" w:eastAsia="MS Mincho" w:hAnsi="Arabic Typesetting" w:cs="Arabic Typesetting" w:hint="cs"/>
                <w:sz w:val="30"/>
                <w:szCs w:val="30"/>
                <w:rtl/>
                <w:lang w:eastAsia="ja-JP"/>
              </w:rPr>
              <w:t>تسريع عمليات الإدارة/الفحص في مكتب الملكية الفكرية</w:t>
            </w:r>
            <w:r w:rsidRPr="0009163D">
              <w:rPr>
                <w:rFonts w:ascii="Arabic Typesetting" w:eastAsia="MS Mincho" w:hAnsi="Arabic Typesetting" w:cs="Arabic Typesetting"/>
                <w:sz w:val="30"/>
                <w:szCs w:val="30"/>
                <w:rtl/>
                <w:lang w:eastAsia="ja-JP"/>
              </w:rPr>
              <w:t xml:space="preserve"> (3</w:t>
            </w:r>
            <w:r w:rsidRPr="0009163D">
              <w:rPr>
                <w:rFonts w:ascii="Arabic Typesetting" w:eastAsia="MS Mincho" w:hAnsi="Arabic Typesetting" w:cs="Arabic Typesetting" w:hint="cs"/>
                <w:sz w:val="30"/>
                <w:szCs w:val="30"/>
                <w:rtl/>
                <w:lang w:eastAsia="ja-JP"/>
              </w:rPr>
              <w:t xml:space="preserve">) تحسين إمكانية الوصول إلى المعلومات </w:t>
            </w:r>
            <w:r w:rsidRPr="0009163D">
              <w:rPr>
                <w:rFonts w:ascii="Arabic Typesetting" w:eastAsia="MS Mincho" w:hAnsi="Arabic Typesetting" w:cs="Arabic Typesetting"/>
                <w:sz w:val="30"/>
                <w:szCs w:val="30"/>
                <w:rtl/>
                <w:lang w:eastAsia="ja-JP"/>
              </w:rPr>
              <w:t xml:space="preserve">(4) </w:t>
            </w:r>
            <w:r w:rsidRPr="0009163D">
              <w:rPr>
                <w:rFonts w:ascii="Arabic Typesetting" w:eastAsia="MS Mincho" w:hAnsi="Arabic Typesetting" w:cs="Arabic Typesetting" w:hint="cs"/>
                <w:sz w:val="30"/>
                <w:szCs w:val="30"/>
                <w:rtl/>
                <w:lang w:eastAsia="ja-JP"/>
              </w:rPr>
              <w:t>تحسين حوكمة عملية الملكية الفكرية، والشفافية، والمساءلة عن طريق تسهيل الوصول إلى جميع معلومات الملفات وإتاحتها في شكل رقمي.</w:t>
            </w:r>
          </w:p>
        </w:tc>
      </w:tr>
      <w:tr w:rsidR="0009163D" w:rsidRPr="0009163D" w:rsidTr="00925848">
        <w:trPr>
          <w:cantSplit/>
          <w:trHeight w:val="31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 xml:space="preserve">حلقة عمل تدريبية إقليمية للويبو على </w:t>
            </w:r>
            <w:r w:rsidRPr="0009163D">
              <w:rPr>
                <w:rFonts w:ascii="Arabic Typesetting" w:eastAsia="MS Mincho" w:hAnsi="Arabic Typesetting" w:cs="Arabic Typesetting"/>
                <w:sz w:val="30"/>
                <w:szCs w:val="30"/>
                <w:rtl/>
                <w:lang w:eastAsia="ja-JP"/>
              </w:rPr>
              <w:t>نظام</w:t>
            </w:r>
            <w:r w:rsidRPr="0009163D">
              <w:rPr>
                <w:rFonts w:ascii="Arabic Typesetting" w:eastAsia="MS Mincho" w:hAnsi="Arabic Typesetting" w:cs="Arabic Typesetting" w:hint="cs"/>
                <w:sz w:val="30"/>
                <w:szCs w:val="30"/>
                <w:rtl/>
                <w:lang w:eastAsia="ja-JP"/>
              </w:rPr>
              <w:t xml:space="preserve"> الويبو</w:t>
            </w:r>
            <w:r w:rsidRPr="0009163D">
              <w:rPr>
                <w:rFonts w:ascii="Arabic Typesetting" w:eastAsia="MS Mincho" w:hAnsi="Arabic Typesetting" w:cs="Arabic Typesetting"/>
                <w:sz w:val="30"/>
                <w:szCs w:val="30"/>
                <w:lang w:eastAsia="ja-JP"/>
              </w:rPr>
              <w:t xml:space="preserve"> </w:t>
            </w:r>
            <w:proofErr w:type="spellStart"/>
            <w:r w:rsidRPr="0009163D">
              <w:rPr>
                <w:rFonts w:ascii="Arabic Typesetting" w:eastAsia="MS Mincho" w:hAnsi="Arabic Typesetting" w:cs="Arabic Typesetting" w:hint="cs"/>
                <w:sz w:val="30"/>
                <w:szCs w:val="30"/>
                <w:rtl/>
                <w:lang w:eastAsia="ja-JP"/>
              </w:rPr>
              <w:t>ل</w:t>
            </w:r>
            <w:r w:rsidRPr="0009163D">
              <w:rPr>
                <w:rFonts w:ascii="Arabic Typesetting" w:eastAsia="MS Mincho" w:hAnsi="Arabic Typesetting" w:cs="Arabic Typesetting"/>
                <w:sz w:val="30"/>
                <w:szCs w:val="30"/>
                <w:rtl/>
                <w:lang w:eastAsia="ja-JP"/>
              </w:rPr>
              <w:t>أتمتة</w:t>
            </w:r>
            <w:proofErr w:type="spellEnd"/>
            <w:r w:rsidRPr="0009163D">
              <w:rPr>
                <w:rFonts w:ascii="Arabic Typesetting" w:eastAsia="MS Mincho" w:hAnsi="Arabic Typesetting" w:cs="Arabic Typesetting"/>
                <w:sz w:val="30"/>
                <w:szCs w:val="30"/>
                <w:lang w:eastAsia="ja-JP"/>
              </w:rPr>
              <w:t xml:space="preserve"> </w:t>
            </w:r>
            <w:r w:rsidRPr="0009163D">
              <w:rPr>
                <w:rFonts w:ascii="Arabic Typesetting" w:eastAsia="MS Mincho" w:hAnsi="Arabic Typesetting" w:cs="Arabic Typesetting"/>
                <w:sz w:val="30"/>
                <w:szCs w:val="30"/>
                <w:rtl/>
                <w:lang w:eastAsia="ja-JP"/>
              </w:rPr>
              <w:t>الملكية</w:t>
            </w:r>
            <w:r w:rsidRPr="0009163D">
              <w:rPr>
                <w:rFonts w:ascii="Arabic Typesetting" w:eastAsia="MS Mincho" w:hAnsi="Arabic Typesetting" w:cs="Arabic Typesetting"/>
                <w:sz w:val="30"/>
                <w:szCs w:val="30"/>
                <w:lang w:eastAsia="ja-JP"/>
              </w:rPr>
              <w:t xml:space="preserve"> </w:t>
            </w:r>
            <w:r w:rsidRPr="0009163D">
              <w:rPr>
                <w:rFonts w:ascii="Arabic Typesetting" w:eastAsia="MS Mincho" w:hAnsi="Arabic Typesetting" w:cs="Arabic Typesetting"/>
                <w:sz w:val="30"/>
                <w:szCs w:val="30"/>
                <w:rtl/>
                <w:lang w:eastAsia="ja-JP"/>
              </w:rPr>
              <w:t>الفكرية</w:t>
            </w:r>
            <w:r w:rsidRPr="0009163D">
              <w:rPr>
                <w:rFonts w:ascii="Arabic Typesetting" w:eastAsia="MS Mincho" w:hAnsi="Arabic Typesetting" w:cs="Arabic Typesetting" w:hint="cs"/>
                <w:sz w:val="30"/>
                <w:szCs w:val="30"/>
                <w:rtl/>
                <w:lang w:eastAsia="ja-JP"/>
              </w:rPr>
              <w:t xml:space="preserve"> (</w:t>
            </w:r>
            <w:r w:rsidRPr="0009163D">
              <w:rPr>
                <w:rFonts w:ascii="Arabic Typesetting" w:eastAsia="MS Mincho" w:hAnsi="Arabic Typesetting" w:cs="Arabic Typesetting"/>
                <w:sz w:val="30"/>
                <w:szCs w:val="30"/>
                <w:lang w:eastAsia="ja-JP"/>
              </w:rPr>
              <w:t>WIPO IPAS</w:t>
            </w:r>
            <w:r w:rsidRPr="0009163D">
              <w:rPr>
                <w:rFonts w:ascii="Arabic Typesetting" w:eastAsia="MS Mincho" w:hAnsi="Arabic Typesetting" w:cs="Arabic Typesetting" w:hint="cs"/>
                <w:sz w:val="30"/>
                <w:szCs w:val="30"/>
                <w:rtl/>
                <w:lang w:eastAsia="ja-JP"/>
              </w:rPr>
              <w:t>) لمشرفي عملية الملكية الفكرية والحوكمة</w:t>
            </w:r>
          </w:p>
        </w:tc>
        <w:tc>
          <w:tcPr>
            <w:tcW w:w="1134" w:type="dxa"/>
            <w:tcBorders>
              <w:top w:val="nil"/>
              <w:bottom w:val="nil"/>
            </w:tcBorders>
          </w:tcPr>
          <w:p w:rsidR="0009163D" w:rsidRPr="0009163D" w:rsidRDefault="0009163D" w:rsidP="0009163D">
            <w:pPr>
              <w:bidi/>
              <w:spacing w:before="80" w:after="60" w:line="280" w:lineRule="exact"/>
              <w:rPr>
                <w:rFonts w:ascii="Arabic Typesetting" w:eastAsia="MS Mincho" w:hAnsi="Arabic Typesetting" w:cs="Arabic Typesetting"/>
                <w:sz w:val="30"/>
                <w:szCs w:val="30"/>
                <w:lang w:eastAsia="ja-JP"/>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13</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17</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أبريل</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 xml:space="preserve">ناميبيا/24 مشاركا من بوتسوانا، إثيوبيا، غامبيا، غانا، كينيا، ليسوتو، مدغشقر، ملاوي، موريشيوس، موزامبيق، ناميبيا، نيجيريا، رواندا، سيشيل، سوازيلاند أوغندا، جمهورية تنزانيا المتحدة، زامبيا، زمبابوي، الأريبو، </w:t>
            </w:r>
            <w:r w:rsidRPr="0009163D">
              <w:rPr>
                <w:rFonts w:ascii="Arabic Typesetting" w:eastAsia="MS Mincho" w:hAnsi="Arabic Typesetting" w:cs="Arabic Typesetting"/>
                <w:sz w:val="30"/>
                <w:szCs w:val="30"/>
                <w:rtl/>
                <w:lang w:eastAsia="ja-JP"/>
              </w:rPr>
              <w:t>المنظمة</w:t>
            </w:r>
            <w:r w:rsidRPr="0009163D">
              <w:rPr>
                <w:rFonts w:ascii="Arabic Typesetting" w:eastAsia="MS Mincho" w:hAnsi="Arabic Typesetting" w:cs="Arabic Typesetting"/>
                <w:sz w:val="30"/>
                <w:szCs w:val="30"/>
                <w:lang w:eastAsia="ja-JP"/>
              </w:rPr>
              <w:t xml:space="preserve"> </w:t>
            </w:r>
            <w:r w:rsidRPr="0009163D">
              <w:rPr>
                <w:rFonts w:ascii="Arabic Typesetting" w:eastAsia="MS Mincho" w:hAnsi="Arabic Typesetting" w:cs="Arabic Typesetting"/>
                <w:sz w:val="30"/>
                <w:szCs w:val="30"/>
                <w:rtl/>
                <w:lang w:eastAsia="ja-JP"/>
              </w:rPr>
              <w:t>الأفريقية</w:t>
            </w:r>
            <w:r w:rsidRPr="0009163D">
              <w:rPr>
                <w:rFonts w:ascii="Arabic Typesetting" w:eastAsia="MS Mincho" w:hAnsi="Arabic Typesetting" w:cs="Arabic Typesetting"/>
                <w:sz w:val="30"/>
                <w:szCs w:val="30"/>
                <w:lang w:eastAsia="ja-JP"/>
              </w:rPr>
              <w:t xml:space="preserve"> </w:t>
            </w:r>
            <w:r w:rsidRPr="0009163D">
              <w:rPr>
                <w:rFonts w:ascii="Arabic Typesetting" w:eastAsia="MS Mincho" w:hAnsi="Arabic Typesetting" w:cs="Arabic Typesetting"/>
                <w:sz w:val="30"/>
                <w:szCs w:val="30"/>
                <w:rtl/>
                <w:lang w:eastAsia="ja-JP"/>
              </w:rPr>
              <w:t>للملكية</w:t>
            </w:r>
            <w:r w:rsidRPr="0009163D">
              <w:rPr>
                <w:rFonts w:ascii="Arabic Typesetting" w:eastAsia="MS Mincho" w:hAnsi="Arabic Typesetting" w:cs="Arabic Typesetting"/>
                <w:sz w:val="30"/>
                <w:szCs w:val="30"/>
                <w:lang w:eastAsia="ja-JP"/>
              </w:rPr>
              <w:t xml:space="preserve"> </w:t>
            </w:r>
            <w:r w:rsidRPr="0009163D">
              <w:rPr>
                <w:rFonts w:ascii="Arabic Typesetting" w:eastAsia="MS Mincho" w:hAnsi="Arabic Typesetting" w:cs="Arabic Typesetting"/>
                <w:sz w:val="30"/>
                <w:szCs w:val="30"/>
                <w:rtl/>
                <w:lang w:eastAsia="ja-JP"/>
              </w:rPr>
              <w:t>الفكرية</w:t>
            </w:r>
            <w:r w:rsidRPr="0009163D">
              <w:rPr>
                <w:rFonts w:hint="cs"/>
                <w:rtl/>
              </w:rPr>
              <w:t>.</w:t>
            </w:r>
          </w:p>
        </w:tc>
        <w:tc>
          <w:tcPr>
            <w:tcW w:w="4394"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(1) تعريف المشاركين بالمفاهيم الأساسية وأدوات</w:t>
            </w:r>
            <w:r w:rsidRPr="0009163D">
              <w:rPr>
                <w:rFonts w:ascii="Arabic Typesetting" w:eastAsia="MS Mincho" w:hAnsi="Arabic Typesetting" w:cs="Arabic Typesetting" w:hint="cs"/>
                <w:sz w:val="30"/>
                <w:szCs w:val="30"/>
                <w:lang w:eastAsia="ja-JP"/>
              </w:rPr>
              <w:t>IPAS</w:t>
            </w:r>
            <w:r w:rsidRPr="0009163D">
              <w:rPr>
                <w:rFonts w:ascii="Arabic Typesetting" w:eastAsia="MS Mincho" w:hAnsi="Arabic Typesetting" w:cs="Arabic Typesetting" w:hint="cs"/>
                <w:sz w:val="30"/>
                <w:szCs w:val="30"/>
                <w:rtl/>
                <w:lang w:eastAsia="ja-JP"/>
              </w:rPr>
              <w:t xml:space="preserve"> </w:t>
            </w:r>
            <w:proofErr w:type="spellStart"/>
            <w:r w:rsidRPr="0009163D">
              <w:rPr>
                <w:rFonts w:ascii="Arabic Typesetting" w:eastAsia="MS Mincho" w:hAnsi="Arabic Typesetting" w:cs="Arabic Typesetting" w:hint="cs"/>
                <w:sz w:val="30"/>
                <w:szCs w:val="30"/>
                <w:rtl/>
                <w:lang w:eastAsia="ja-JP"/>
              </w:rPr>
              <w:t>لحوكمة</w:t>
            </w:r>
            <w:proofErr w:type="spellEnd"/>
            <w:r w:rsidRPr="0009163D">
              <w:rPr>
                <w:rFonts w:ascii="Arabic Typesetting" w:eastAsia="MS Mincho" w:hAnsi="Arabic Typesetting" w:cs="Arabic Typesetting" w:hint="cs"/>
                <w:sz w:val="30"/>
                <w:szCs w:val="30"/>
                <w:rtl/>
                <w:lang w:eastAsia="ja-JP"/>
              </w:rPr>
              <w:t xml:space="preserve"> العمليات التجارية، والمساءلة والشفافية والإشراف (2)</w:t>
            </w:r>
            <w:r w:rsidRPr="0009163D">
              <w:rPr>
                <w:rFonts w:ascii="Arabic Typesetting" w:eastAsia="MS Mincho" w:hAnsi="Arabic Typesetting" w:cs="Arabic Typesetting" w:hint="cs"/>
                <w:sz w:val="30"/>
                <w:szCs w:val="30"/>
                <w:lang w:eastAsia="ja-JP"/>
              </w:rPr>
              <w:t xml:space="preserve"> </w:t>
            </w:r>
            <w:r w:rsidRPr="0009163D">
              <w:rPr>
                <w:rFonts w:ascii="Arabic Typesetting" w:eastAsia="MS Mincho" w:hAnsi="Arabic Typesetting" w:cs="Arabic Typesetting" w:hint="cs"/>
                <w:sz w:val="30"/>
                <w:szCs w:val="30"/>
                <w:rtl/>
                <w:lang w:eastAsia="ja-JP"/>
              </w:rPr>
              <w:t xml:space="preserve">تعزيز الفهم بشأن قدرات </w:t>
            </w:r>
            <w:r w:rsidRPr="0009163D">
              <w:rPr>
                <w:rFonts w:ascii="Arabic Typesetting" w:eastAsia="MS Mincho" w:hAnsi="Arabic Typesetting" w:cs="Arabic Typesetting" w:hint="cs"/>
                <w:sz w:val="30"/>
                <w:szCs w:val="30"/>
                <w:lang w:eastAsia="ja-JP"/>
              </w:rPr>
              <w:t>IPAS</w:t>
            </w:r>
            <w:r w:rsidRPr="0009163D">
              <w:rPr>
                <w:rFonts w:ascii="Arabic Typesetting" w:eastAsia="MS Mincho" w:hAnsi="Arabic Typesetting" w:cs="Arabic Typesetting" w:hint="cs"/>
                <w:sz w:val="30"/>
                <w:szCs w:val="30"/>
                <w:rtl/>
                <w:lang w:eastAsia="ja-JP"/>
              </w:rPr>
              <w:t xml:space="preserve"> وأدواته لإنتاج التقارير الإحصائية، </w:t>
            </w:r>
            <w:proofErr w:type="spellStart"/>
            <w:r w:rsidRPr="0009163D">
              <w:rPr>
                <w:rFonts w:ascii="Arabic Typesetting" w:eastAsia="MS Mincho" w:hAnsi="Arabic Typesetting" w:cs="Arabic Typesetting" w:hint="cs"/>
                <w:sz w:val="30"/>
                <w:szCs w:val="30"/>
                <w:rtl/>
                <w:lang w:eastAsia="ja-JP"/>
              </w:rPr>
              <w:t>وحوكمة</w:t>
            </w:r>
            <w:proofErr w:type="spellEnd"/>
            <w:r w:rsidRPr="0009163D">
              <w:rPr>
                <w:rFonts w:ascii="Arabic Typesetting" w:eastAsia="MS Mincho" w:hAnsi="Arabic Typesetting" w:cs="Arabic Typesetting" w:hint="cs"/>
                <w:sz w:val="30"/>
                <w:szCs w:val="30"/>
                <w:rtl/>
                <w:lang w:eastAsia="ja-JP"/>
              </w:rPr>
              <w:t xml:space="preserve"> العمليات وتقارير المساءلة للإشراف وتقارير الإنتاجية للعمليات الإدارية فيما يخص طلبات الملكية الفكرية وتسجيلاتها.</w:t>
            </w:r>
          </w:p>
        </w:tc>
      </w:tr>
      <w:tr w:rsidR="0009163D" w:rsidRPr="0009163D" w:rsidTr="00925848">
        <w:trPr>
          <w:cantSplit/>
          <w:trHeight w:val="315"/>
        </w:trPr>
        <w:tc>
          <w:tcPr>
            <w:tcW w:w="1843"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حلقة عمل تدريبية إقليمية للويبو على التحقق من بيانات الملكية الفكرية وتبادلها</w:t>
            </w:r>
          </w:p>
        </w:tc>
        <w:tc>
          <w:tcPr>
            <w:tcW w:w="1134" w:type="dxa"/>
            <w:tcBorders>
              <w:top w:val="nil"/>
              <w:bottom w:val="single" w:sz="4" w:space="0" w:color="auto"/>
            </w:tcBorders>
          </w:tcPr>
          <w:p w:rsidR="0009163D" w:rsidRPr="0009163D" w:rsidRDefault="0009163D" w:rsidP="0009163D">
            <w:pPr>
              <w:bidi/>
              <w:spacing w:before="80" w:after="60" w:line="280" w:lineRule="exact"/>
              <w:rPr>
                <w:rFonts w:ascii="Arabic Typesetting" w:eastAsia="MS Mincho" w:hAnsi="Arabic Typesetting" w:cs="Arabic Typesetting"/>
                <w:sz w:val="30"/>
                <w:szCs w:val="30"/>
                <w:lang w:eastAsia="ja-JP"/>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19</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23</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أكتوبر</w:t>
            </w:r>
            <w:r w:rsidRPr="0009163D">
              <w:rPr>
                <w:rFonts w:ascii="Arabic Typesetting" w:hAnsi="Arabic Typesetting" w:cs="Arabic Typesetting"/>
                <w:color w:val="000000"/>
                <w:sz w:val="30"/>
                <w:szCs w:val="30"/>
                <w:rtl/>
              </w:rPr>
              <w:t xml:space="preserve"> 201</w:t>
            </w:r>
            <w:r w:rsidRPr="0009163D">
              <w:rPr>
                <w:rFonts w:ascii="Arabic Typesetting" w:hAnsi="Arabic Typesetting" w:cs="Arabic Typesetting" w:hint="cs"/>
                <w:color w:val="000000"/>
                <w:sz w:val="30"/>
                <w:szCs w:val="30"/>
                <w:rtl/>
              </w:rPr>
              <w:t>5</w:t>
            </w:r>
          </w:p>
        </w:tc>
        <w:tc>
          <w:tcPr>
            <w:tcW w:w="198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 xml:space="preserve">زمبابوي/33 مشاركا من بوتسوانا، إثيوبيا، غامبيا، غانا، كينيا، ليسوتو، مدغشقر، ملاوي، موريشيوس، موزامبيق، ناميبيا، رواندا، سيشيل، سوازيلاند، وأوغندا، جمهورية تنزانيا المتحدة، زامبيا، زمبابوي، الأريبو، </w:t>
            </w:r>
            <w:r w:rsidRPr="0009163D">
              <w:rPr>
                <w:rFonts w:ascii="Arabic Typesetting" w:eastAsia="MS Mincho" w:hAnsi="Arabic Typesetting" w:cs="Arabic Typesetting"/>
                <w:sz w:val="30"/>
                <w:szCs w:val="30"/>
                <w:rtl/>
                <w:lang w:eastAsia="ja-JP"/>
              </w:rPr>
              <w:t>المنظمة</w:t>
            </w:r>
            <w:r w:rsidRPr="0009163D">
              <w:rPr>
                <w:rFonts w:ascii="Arabic Typesetting" w:eastAsia="MS Mincho" w:hAnsi="Arabic Typesetting" w:cs="Arabic Typesetting"/>
                <w:sz w:val="30"/>
                <w:szCs w:val="30"/>
                <w:lang w:eastAsia="ja-JP"/>
              </w:rPr>
              <w:t xml:space="preserve"> </w:t>
            </w:r>
            <w:r w:rsidRPr="0009163D">
              <w:rPr>
                <w:rFonts w:ascii="Arabic Typesetting" w:eastAsia="MS Mincho" w:hAnsi="Arabic Typesetting" w:cs="Arabic Typesetting"/>
                <w:sz w:val="30"/>
                <w:szCs w:val="30"/>
                <w:rtl/>
                <w:lang w:eastAsia="ja-JP"/>
              </w:rPr>
              <w:t>الأفريقية</w:t>
            </w:r>
            <w:r w:rsidRPr="0009163D">
              <w:rPr>
                <w:rFonts w:ascii="Arabic Typesetting" w:eastAsia="MS Mincho" w:hAnsi="Arabic Typesetting" w:cs="Arabic Typesetting"/>
                <w:sz w:val="30"/>
                <w:szCs w:val="30"/>
                <w:lang w:eastAsia="ja-JP"/>
              </w:rPr>
              <w:t xml:space="preserve"> </w:t>
            </w:r>
            <w:r w:rsidRPr="0009163D">
              <w:rPr>
                <w:rFonts w:ascii="Arabic Typesetting" w:eastAsia="MS Mincho" w:hAnsi="Arabic Typesetting" w:cs="Arabic Typesetting"/>
                <w:sz w:val="30"/>
                <w:szCs w:val="30"/>
                <w:rtl/>
                <w:lang w:eastAsia="ja-JP"/>
              </w:rPr>
              <w:t>للملكية</w:t>
            </w:r>
            <w:r w:rsidRPr="0009163D">
              <w:rPr>
                <w:rFonts w:ascii="Arabic Typesetting" w:eastAsia="MS Mincho" w:hAnsi="Arabic Typesetting" w:cs="Arabic Typesetting"/>
                <w:sz w:val="30"/>
                <w:szCs w:val="30"/>
                <w:lang w:eastAsia="ja-JP"/>
              </w:rPr>
              <w:t xml:space="preserve"> </w:t>
            </w:r>
            <w:r w:rsidRPr="0009163D">
              <w:rPr>
                <w:rFonts w:ascii="Arabic Typesetting" w:eastAsia="MS Mincho" w:hAnsi="Arabic Typesetting" w:cs="Arabic Typesetting"/>
                <w:sz w:val="30"/>
                <w:szCs w:val="30"/>
                <w:rtl/>
                <w:lang w:eastAsia="ja-JP"/>
              </w:rPr>
              <w:t>الفكرية</w:t>
            </w:r>
            <w:r w:rsidRPr="0009163D">
              <w:rPr>
                <w:rFonts w:ascii="Arabic Typesetting" w:eastAsia="MS Mincho" w:hAnsi="Arabic Typesetting" w:cs="Arabic Typesetting" w:hint="cs"/>
                <w:sz w:val="30"/>
                <w:szCs w:val="30"/>
                <w:rtl/>
                <w:lang w:eastAsia="ja-JP"/>
              </w:rPr>
              <w:t>.</w:t>
            </w:r>
          </w:p>
        </w:tc>
        <w:tc>
          <w:tcPr>
            <w:tcW w:w="439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jc w:val="both"/>
              <w:rPr>
                <w:rFonts w:ascii="Arabic Typesetting" w:eastAsia="MS Mincho" w:hAnsi="Arabic Typesetting" w:cs="Arabic Typesetting"/>
                <w:sz w:val="30"/>
                <w:szCs w:val="30"/>
                <w:lang w:eastAsia="ja-JP"/>
              </w:rPr>
            </w:pPr>
            <w:r w:rsidRPr="0009163D">
              <w:rPr>
                <w:rFonts w:ascii="Arabic Typesetting" w:eastAsia="MS Mincho" w:hAnsi="Arabic Typesetting" w:cs="Arabic Typesetting" w:hint="cs"/>
                <w:sz w:val="30"/>
                <w:szCs w:val="30"/>
                <w:rtl/>
                <w:lang w:eastAsia="ja-JP"/>
              </w:rPr>
              <w:t>(1) تعريف المشاركين بمعايير الويبو بشأن بيانات الملكية الفكرية وأفضل الممارسات (2) التعريف بنظام</w:t>
            </w:r>
            <w:r w:rsidRPr="0009163D">
              <w:rPr>
                <w:rFonts w:ascii="Arabic Typesetting" w:eastAsia="MS Mincho" w:hAnsi="Arabic Typesetting" w:cs="Arabic Typesetting" w:hint="cs"/>
                <w:sz w:val="30"/>
                <w:szCs w:val="30"/>
                <w:lang w:eastAsia="ja-JP"/>
              </w:rPr>
              <w:t>IPAS</w:t>
            </w:r>
            <w:r w:rsidRPr="0009163D">
              <w:rPr>
                <w:rFonts w:ascii="Arabic Typesetting" w:eastAsia="MS Mincho" w:hAnsi="Arabic Typesetting" w:cs="Arabic Typesetting" w:hint="cs"/>
                <w:sz w:val="30"/>
                <w:szCs w:val="30"/>
                <w:rtl/>
                <w:lang w:eastAsia="ja-JP"/>
              </w:rPr>
              <w:t xml:space="preserve"> وتحققه من صحة البيانات ووظائف التحقق المدمجة فيه (3) التعريف بوظائف النظام وأدواته للإشراف، والإنتاجية، </w:t>
            </w:r>
            <w:proofErr w:type="spellStart"/>
            <w:r w:rsidRPr="0009163D">
              <w:rPr>
                <w:rFonts w:ascii="Arabic Typesetting" w:eastAsia="MS Mincho" w:hAnsi="Arabic Typesetting" w:cs="Arabic Typesetting" w:hint="cs"/>
                <w:sz w:val="30"/>
                <w:szCs w:val="30"/>
                <w:rtl/>
                <w:lang w:eastAsia="ja-JP"/>
              </w:rPr>
              <w:t>وحوكمة</w:t>
            </w:r>
            <w:proofErr w:type="spellEnd"/>
            <w:r w:rsidRPr="0009163D">
              <w:rPr>
                <w:rFonts w:ascii="Arabic Typesetting" w:eastAsia="MS Mincho" w:hAnsi="Arabic Typesetting" w:cs="Arabic Typesetting" w:hint="cs"/>
                <w:sz w:val="30"/>
                <w:szCs w:val="30"/>
                <w:rtl/>
                <w:lang w:eastAsia="ja-JP"/>
              </w:rPr>
              <w:t xml:space="preserve"> العمليات؛ (4)</w:t>
            </w:r>
            <w:r w:rsidRPr="0009163D">
              <w:rPr>
                <w:rFonts w:ascii="Arabic Typesetting" w:eastAsia="MS Mincho" w:hAnsi="Arabic Typesetting" w:cs="Arabic Typesetting" w:hint="cs"/>
                <w:sz w:val="30"/>
                <w:szCs w:val="30"/>
                <w:lang w:eastAsia="ja-JP"/>
              </w:rPr>
              <w:t xml:space="preserve"> </w:t>
            </w:r>
            <w:r w:rsidRPr="0009163D">
              <w:rPr>
                <w:rFonts w:ascii="Arabic Typesetting" w:eastAsia="MS Mincho" w:hAnsi="Arabic Typesetting" w:cs="Arabic Typesetting" w:hint="cs"/>
                <w:sz w:val="30"/>
                <w:szCs w:val="30"/>
                <w:rtl/>
                <w:lang w:eastAsia="ja-JP"/>
              </w:rPr>
              <w:t>تعريف المشاركين بكيفية إعداد تقارير مراقبة جودة البيانات لعمليات التفتيش العشوائية وضوابطها.</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lastRenderedPageBreak/>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اليابان/أفريقيا – البلدان الأقل نموا في 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1,435,090</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1,602,617</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1,386,067</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1,651,640</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جمهورية كوريا/</w:t>
      </w:r>
      <w:r w:rsidRPr="0009163D">
        <w:rPr>
          <w:rFonts w:ascii="Arabic Typesetting" w:hAnsi="Arabic Typesetting" w:cs="Arabic Typesetting" w:hint="cs"/>
          <w:bCs/>
          <w:sz w:val="34"/>
          <w:szCs w:val="34"/>
          <w:rtl/>
        </w:rPr>
        <w:t>إذكاء</w:t>
      </w:r>
      <w:r w:rsidRPr="0009163D">
        <w:rPr>
          <w:rFonts w:ascii="Arabic Typesetting" w:hAnsi="Arabic Typesetting" w:cs="Arabic Typesetting"/>
          <w:bCs/>
          <w:sz w:val="34"/>
          <w:szCs w:val="34"/>
          <w:rtl/>
        </w:rPr>
        <w:t xml:space="preserve"> الاحترام للملكية الفكرية</w:t>
      </w:r>
    </w:p>
    <w:tbl>
      <w:tblPr>
        <w:bidiVisual/>
        <w:tblW w:w="9386"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73"/>
        <w:gridCol w:w="1134"/>
        <w:gridCol w:w="1983"/>
        <w:gridCol w:w="4396"/>
      </w:tblGrid>
      <w:tr w:rsidR="0009163D" w:rsidRPr="0009163D" w:rsidTr="00925848">
        <w:trPr>
          <w:cantSplit/>
        </w:trPr>
        <w:tc>
          <w:tcPr>
            <w:tcW w:w="9386"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ه2.3 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Pr>
        <w:tc>
          <w:tcPr>
            <w:tcW w:w="187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التاريخ</w:t>
            </w:r>
          </w:p>
        </w:tc>
        <w:tc>
          <w:tcPr>
            <w:tcW w:w="1983" w:type="dxa"/>
            <w:tcBorders>
              <w:top w:val="single" w:sz="4" w:space="0" w:color="000000"/>
            </w:tcBorders>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الدولة المضيفة/المستفيدون</w:t>
            </w:r>
          </w:p>
        </w:tc>
        <w:tc>
          <w:tcPr>
            <w:tcW w:w="4396"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73" w:type="dxa"/>
          </w:tcPr>
          <w:p w:rsidR="0009163D" w:rsidRPr="0009163D" w:rsidRDefault="0009163D" w:rsidP="0009163D">
            <w:pPr>
              <w:bidi/>
              <w:spacing w:before="80" w:after="60" w:line="280" w:lineRule="exact"/>
              <w:rPr>
                <w:rFonts w:ascii="Arabic Typesetting" w:eastAsia="Batang" w:hAnsi="Arabic Typesetting" w:cs="Arabic Typesetting"/>
                <w:color w:val="000000"/>
                <w:sz w:val="30"/>
                <w:szCs w:val="30"/>
                <w:lang w:eastAsia="ko-KR"/>
              </w:rPr>
            </w:pPr>
            <w:r w:rsidRPr="0009163D">
              <w:rPr>
                <w:rFonts w:ascii="Arabic Typesetting" w:eastAsia="Batang" w:hAnsi="Arabic Typesetting" w:cs="Arabic Typesetting"/>
                <w:color w:val="000000"/>
                <w:sz w:val="30"/>
                <w:szCs w:val="30"/>
                <w:rtl/>
                <w:lang w:eastAsia="ko-KR"/>
              </w:rPr>
              <w:t>حلقة عمل بين المناطق حول تطبيق حقوق المؤلف</w:t>
            </w:r>
          </w:p>
        </w:tc>
        <w:tc>
          <w:tcPr>
            <w:tcW w:w="1134" w:type="dxa"/>
            <w:tcMar>
              <w:top w:w="110" w:type="dxa"/>
            </w:tcMa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sz w:val="30"/>
                <w:szCs w:val="30"/>
                <w:rtl/>
              </w:rPr>
              <w:t xml:space="preserve">من </w:t>
            </w:r>
            <w:r w:rsidRPr="0009163D">
              <w:rPr>
                <w:rFonts w:ascii="Arabic Typesetting" w:hAnsi="Arabic Typesetting" w:cs="Arabic Typesetting" w:hint="cs"/>
                <w:sz w:val="30"/>
                <w:szCs w:val="30"/>
                <w:rtl/>
              </w:rPr>
              <w:t xml:space="preserve">14 </w:t>
            </w:r>
            <w:r w:rsidRPr="0009163D">
              <w:rPr>
                <w:rFonts w:ascii="Arabic Typesetting" w:hAnsi="Arabic Typesetting" w:cs="Arabic Typesetting"/>
                <w:sz w:val="30"/>
                <w:szCs w:val="30"/>
                <w:rtl/>
              </w:rPr>
              <w:t xml:space="preserve">إلى </w:t>
            </w:r>
            <w:r w:rsidRPr="0009163D">
              <w:rPr>
                <w:rFonts w:ascii="Arabic Typesetting" w:hAnsi="Arabic Typesetting" w:cs="Arabic Typesetting" w:hint="cs"/>
                <w:sz w:val="30"/>
                <w:szCs w:val="30"/>
                <w:rtl/>
              </w:rPr>
              <w:t>18</w:t>
            </w:r>
            <w:r w:rsidRPr="0009163D">
              <w:rPr>
                <w:rFonts w:ascii="Arabic Typesetting" w:hAnsi="Arabic Typesetting" w:cs="Arabic Typesetting"/>
                <w:sz w:val="30"/>
                <w:szCs w:val="30"/>
                <w:rtl/>
              </w:rPr>
              <w:t xml:space="preserve"> </w:t>
            </w:r>
            <w:r w:rsidRPr="0009163D">
              <w:rPr>
                <w:rFonts w:ascii="Arabic Typesetting" w:hAnsi="Arabic Typesetting" w:cs="Arabic Typesetting" w:hint="cs"/>
                <w:sz w:val="30"/>
                <w:szCs w:val="30"/>
                <w:rtl/>
              </w:rPr>
              <w:t>سبتمبر 2015</w:t>
            </w:r>
          </w:p>
        </w:tc>
        <w:tc>
          <w:tcPr>
            <w:tcW w:w="1983" w:type="dxa"/>
            <w:tcMar>
              <w:top w:w="110" w:type="dxa"/>
            </w:tcMar>
          </w:tcPr>
          <w:p w:rsidR="0009163D" w:rsidRPr="0009163D" w:rsidRDefault="0009163D" w:rsidP="0009163D">
            <w:pPr>
              <w:bidi/>
              <w:spacing w:before="80" w:after="60" w:line="280" w:lineRule="exact"/>
              <w:rPr>
                <w:rFonts w:ascii="Arabic Typesetting" w:hAnsi="Arabic Typesetting" w:cs="Arabic Typesetting"/>
                <w:b/>
                <w:kern w:val="36"/>
                <w:sz w:val="30"/>
                <w:szCs w:val="30"/>
                <w:lang w:val="de-DE" w:eastAsia="ko-KR"/>
              </w:rPr>
            </w:pPr>
            <w:r w:rsidRPr="0009163D">
              <w:rPr>
                <w:rFonts w:ascii="Arabic Typesetting" w:hAnsi="Arabic Typesetting" w:cs="Arabic Typesetting"/>
                <w:b/>
                <w:kern w:val="36"/>
                <w:sz w:val="30"/>
                <w:szCs w:val="30"/>
                <w:rtl/>
                <w:lang w:val="de-DE" w:eastAsia="ko-KR"/>
              </w:rPr>
              <w:t>جمهورية كوريا/</w:t>
            </w:r>
            <w:r w:rsidRPr="0009163D">
              <w:rPr>
                <w:rFonts w:ascii="Arabic Typesetting" w:hAnsi="Arabic Typesetting" w:cs="Arabic Typesetting" w:hint="cs"/>
                <w:b/>
                <w:kern w:val="36"/>
                <w:sz w:val="30"/>
                <w:szCs w:val="30"/>
                <w:rtl/>
                <w:lang w:val="de-DE" w:eastAsia="ko-KR"/>
              </w:rPr>
              <w:t>20</w:t>
            </w:r>
            <w:r w:rsidRPr="0009163D">
              <w:rPr>
                <w:rFonts w:ascii="Arabic Typesetting" w:hAnsi="Arabic Typesetting" w:cs="Arabic Typesetting"/>
                <w:b/>
                <w:kern w:val="36"/>
                <w:sz w:val="30"/>
                <w:szCs w:val="30"/>
                <w:rtl/>
                <w:lang w:val="de-DE" w:eastAsia="ko-KR"/>
              </w:rPr>
              <w:t xml:space="preserve"> مشارك</w:t>
            </w:r>
            <w:r w:rsidRPr="0009163D">
              <w:rPr>
                <w:rFonts w:ascii="Arabic Typesetting" w:hAnsi="Arabic Typesetting" w:cs="Arabic Typesetting" w:hint="cs"/>
                <w:b/>
                <w:kern w:val="36"/>
                <w:sz w:val="30"/>
                <w:szCs w:val="30"/>
                <w:rtl/>
                <w:lang w:val="de-DE" w:eastAsia="ko-KR"/>
              </w:rPr>
              <w:t>ًا</w:t>
            </w:r>
            <w:r w:rsidRPr="0009163D">
              <w:rPr>
                <w:rFonts w:ascii="Arabic Typesetting" w:hAnsi="Arabic Typesetting" w:cs="Arabic Typesetting"/>
                <w:b/>
                <w:kern w:val="36"/>
                <w:sz w:val="30"/>
                <w:szCs w:val="30"/>
                <w:rtl/>
                <w:lang w:val="de-DE" w:eastAsia="ko-KR"/>
              </w:rPr>
              <w:t xml:space="preserve"> أجنبي</w:t>
            </w:r>
            <w:r w:rsidRPr="0009163D">
              <w:rPr>
                <w:rFonts w:ascii="Arabic Typesetting" w:hAnsi="Arabic Typesetting" w:cs="Arabic Typesetting" w:hint="cs"/>
                <w:b/>
                <w:kern w:val="36"/>
                <w:sz w:val="30"/>
                <w:szCs w:val="30"/>
                <w:rtl/>
                <w:lang w:val="de-DE" w:eastAsia="ko-KR"/>
              </w:rPr>
              <w:t>ًا</w:t>
            </w:r>
            <w:r w:rsidRPr="0009163D">
              <w:rPr>
                <w:rFonts w:ascii="Arabic Typesetting" w:hAnsi="Arabic Typesetting" w:cs="Arabic Typesetting"/>
                <w:b/>
                <w:kern w:val="36"/>
                <w:sz w:val="30"/>
                <w:szCs w:val="30"/>
                <w:rtl/>
                <w:lang w:val="de-DE" w:eastAsia="ko-KR"/>
              </w:rPr>
              <w:t xml:space="preserve"> من </w:t>
            </w:r>
            <w:r w:rsidRPr="0009163D">
              <w:rPr>
                <w:rFonts w:ascii="Arabic Typesetting" w:hAnsi="Arabic Typesetting" w:cs="Arabic Typesetting" w:hint="cs"/>
                <w:b/>
                <w:kern w:val="36"/>
                <w:sz w:val="30"/>
                <w:szCs w:val="30"/>
                <w:rtl/>
                <w:lang w:val="de-DE" w:eastAsia="ko-KR"/>
              </w:rPr>
              <w:t>10</w:t>
            </w:r>
            <w:r w:rsidRPr="0009163D">
              <w:rPr>
                <w:rFonts w:ascii="Arabic Typesetting" w:hAnsi="Arabic Typesetting" w:cs="Arabic Typesetting"/>
                <w:b/>
                <w:kern w:val="36"/>
                <w:sz w:val="30"/>
                <w:szCs w:val="30"/>
                <w:rtl/>
                <w:lang w:val="de-DE" w:eastAsia="ko-KR"/>
              </w:rPr>
              <w:t xml:space="preserve"> </w:t>
            </w:r>
            <w:r w:rsidRPr="0009163D">
              <w:rPr>
                <w:rFonts w:ascii="Arabic Typesetting" w:hAnsi="Arabic Typesetting" w:cs="Arabic Typesetting" w:hint="cs"/>
                <w:b/>
                <w:kern w:val="36"/>
                <w:sz w:val="30"/>
                <w:szCs w:val="30"/>
                <w:rtl/>
                <w:lang w:val="de-DE" w:eastAsia="ko-KR"/>
              </w:rPr>
              <w:t>بلدان</w:t>
            </w:r>
          </w:p>
        </w:tc>
        <w:tc>
          <w:tcPr>
            <w:tcW w:w="4396" w:type="dxa"/>
            <w:shd w:val="clear" w:color="auto" w:fill="FFFFFF"/>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eastAsia="ko-KR"/>
              </w:rPr>
            </w:pPr>
            <w:r w:rsidRPr="0009163D">
              <w:rPr>
                <w:rFonts w:ascii="Arabic Typesetting" w:hAnsi="Arabic Typesetting" w:cs="Arabic Typesetting"/>
                <w:sz w:val="30"/>
                <w:szCs w:val="30"/>
                <w:rtl/>
                <w:lang w:eastAsia="ko-KR"/>
              </w:rPr>
              <w:t>في إطار الهدف الاستراتيجي السادس للويبو:</w:t>
            </w:r>
            <w:r w:rsidRPr="0009163D">
              <w:rPr>
                <w:rFonts w:ascii="Arabic Typesetting" w:hAnsi="Arabic Typesetting" w:cs="Arabic Typesetting" w:hint="cs"/>
                <w:sz w:val="30"/>
                <w:szCs w:val="30"/>
                <w:rtl/>
                <w:lang w:eastAsia="ko-KR"/>
              </w:rPr>
              <w:t xml:space="preserve"> (1) </w:t>
            </w:r>
            <w:r w:rsidRPr="0009163D">
              <w:rPr>
                <w:rFonts w:ascii="Arabic Typesetting" w:hAnsi="Arabic Typesetting" w:cs="Arabic Typesetting"/>
                <w:sz w:val="30"/>
                <w:szCs w:val="30"/>
                <w:rtl/>
                <w:lang w:eastAsia="ko-KR"/>
              </w:rPr>
              <w:t>دراسة قيمة حماية حقوق المؤلف والحقوق المجاورة (حقوق المؤلف) وتطبيقها على التنمية الاجتماعية والاقتصادية والثقافية في الدول المشاركة</w:t>
            </w:r>
            <w:r w:rsidRPr="0009163D">
              <w:rPr>
                <w:rFonts w:ascii="Arabic Typesetting" w:hAnsi="Arabic Typesetting" w:cs="Arabic Typesetting" w:hint="cs"/>
                <w:sz w:val="30"/>
                <w:szCs w:val="30"/>
                <w:rtl/>
                <w:lang w:eastAsia="ko-KR"/>
              </w:rPr>
              <w:t xml:space="preserve">؛ و(2) </w:t>
            </w:r>
            <w:r w:rsidRPr="0009163D">
              <w:rPr>
                <w:rFonts w:ascii="Arabic Typesetting" w:hAnsi="Arabic Typesetting" w:cs="Arabic Typesetting"/>
                <w:sz w:val="30"/>
                <w:szCs w:val="30"/>
                <w:rtl/>
                <w:lang w:eastAsia="ko-KR"/>
              </w:rPr>
              <w:t xml:space="preserve">تقديم تدريب </w:t>
            </w:r>
            <w:proofErr w:type="spellStart"/>
            <w:r w:rsidRPr="0009163D">
              <w:rPr>
                <w:rFonts w:ascii="Arabic Typesetting" w:hAnsi="Arabic Typesetting" w:cs="Arabic Typesetting"/>
                <w:sz w:val="30"/>
                <w:szCs w:val="30"/>
                <w:rtl/>
                <w:lang w:eastAsia="ko-KR"/>
              </w:rPr>
              <w:t>اساسي</w:t>
            </w:r>
            <w:proofErr w:type="spellEnd"/>
            <w:r w:rsidRPr="0009163D">
              <w:rPr>
                <w:rFonts w:ascii="Arabic Typesetting" w:hAnsi="Arabic Typesetting" w:cs="Arabic Typesetting"/>
                <w:sz w:val="30"/>
                <w:szCs w:val="30"/>
                <w:rtl/>
                <w:lang w:eastAsia="ko-KR"/>
              </w:rPr>
              <w:t xml:space="preserve"> حول أوجه العلاج وإجراءات تطبيق حقوق المؤلف، مع التركيز بصفة خاصة على البيئة الرقمية</w:t>
            </w:r>
            <w:r w:rsidRPr="0009163D">
              <w:rPr>
                <w:rFonts w:ascii="Arabic Typesetting" w:hAnsi="Arabic Typesetting" w:cs="Arabic Typesetting" w:hint="cs"/>
                <w:sz w:val="30"/>
                <w:szCs w:val="30"/>
                <w:rtl/>
                <w:lang w:eastAsia="ko-KR"/>
              </w:rPr>
              <w:t>؛ و(3)</w:t>
            </w:r>
            <w:r w:rsidRPr="0009163D">
              <w:rPr>
                <w:rFonts w:ascii="Arabic Typesetting" w:hAnsi="Arabic Typesetting" w:cs="Arabic Typesetting" w:hint="eastAsia"/>
                <w:sz w:val="30"/>
                <w:szCs w:val="30"/>
                <w:rtl/>
                <w:lang w:eastAsia="ko-KR"/>
              </w:rPr>
              <w:t> </w:t>
            </w:r>
            <w:r w:rsidRPr="0009163D">
              <w:rPr>
                <w:rFonts w:ascii="Arabic Typesetting" w:hAnsi="Arabic Typesetting" w:cs="Arabic Typesetting"/>
                <w:sz w:val="30"/>
                <w:szCs w:val="30"/>
                <w:rtl/>
                <w:lang w:eastAsia="ko-KR"/>
              </w:rPr>
              <w:t>مناقشة قضايا موضوعية في مجال بناء الاحترام لحقوق المؤلف</w:t>
            </w:r>
            <w:r w:rsidRPr="0009163D">
              <w:rPr>
                <w:rFonts w:ascii="Arabic Typesetting" w:hAnsi="Arabic Typesetting" w:cs="Arabic Typesetting" w:hint="cs"/>
                <w:sz w:val="30"/>
                <w:szCs w:val="30"/>
                <w:rtl/>
                <w:lang w:eastAsia="ko-KR"/>
              </w:rPr>
              <w:t xml:space="preserve">؛ و(4) </w:t>
            </w:r>
            <w:r w:rsidRPr="0009163D">
              <w:rPr>
                <w:rFonts w:ascii="Arabic Typesetting" w:hAnsi="Arabic Typesetting" w:cs="Arabic Typesetting"/>
                <w:sz w:val="30"/>
                <w:szCs w:val="30"/>
                <w:rtl/>
                <w:lang w:eastAsia="ko-KR"/>
              </w:rPr>
              <w:t>وضع تصور للاستراتيجيات الوطنية وعبر الوطنية للتعاون الفعال في مجال بناء احترام حقوق المؤلف.</w:t>
            </w:r>
          </w:p>
        </w:tc>
      </w:tr>
      <w:tr w:rsidR="0009163D" w:rsidRPr="0009163D" w:rsidTr="00925848">
        <w:trPr>
          <w:cantSplit/>
        </w:trPr>
        <w:tc>
          <w:tcPr>
            <w:tcW w:w="1873" w:type="dxa"/>
            <w:tcBorders>
              <w:bottom w:val="single" w:sz="4" w:space="0" w:color="000000"/>
            </w:tcBorders>
          </w:tcPr>
          <w:p w:rsidR="0009163D" w:rsidRPr="0009163D" w:rsidRDefault="0009163D" w:rsidP="0009163D">
            <w:pPr>
              <w:bidi/>
              <w:spacing w:before="80" w:after="60" w:line="280" w:lineRule="exact"/>
              <w:rPr>
                <w:rFonts w:ascii="Arabic Typesetting" w:eastAsia="Batang" w:hAnsi="Arabic Typesetting" w:cs="Arabic Typesetting"/>
                <w:color w:val="000000"/>
                <w:sz w:val="30"/>
                <w:szCs w:val="30"/>
                <w:lang w:eastAsia="ko-KR"/>
              </w:rPr>
            </w:pPr>
            <w:r w:rsidRPr="0009163D">
              <w:rPr>
                <w:rFonts w:ascii="Arabic Typesetting" w:eastAsia="Batang" w:hAnsi="Arabic Typesetting" w:cs="Arabic Typesetting"/>
                <w:color w:val="000000"/>
                <w:sz w:val="30"/>
                <w:szCs w:val="30"/>
                <w:rtl/>
                <w:lang w:eastAsia="ko-KR"/>
              </w:rPr>
              <w:t>مواد تدريسية</w:t>
            </w:r>
            <w:r w:rsidRPr="0009163D">
              <w:rPr>
                <w:rFonts w:ascii="Arabic Typesetting" w:eastAsia="Batang" w:hAnsi="Arabic Typesetting" w:cs="Arabic Typesetting" w:hint="cs"/>
                <w:color w:val="000000"/>
                <w:sz w:val="30"/>
                <w:szCs w:val="30"/>
                <w:rtl/>
                <w:lang w:eastAsia="ko-KR"/>
              </w:rPr>
              <w:t xml:space="preserve"> من الويبو </w:t>
            </w:r>
            <w:r w:rsidR="00AD17C3">
              <w:rPr>
                <w:rFonts w:ascii="Arabic Typesetting" w:eastAsia="Batang" w:hAnsi="Arabic Typesetting" w:cs="Arabic Typesetting" w:hint="cs"/>
                <w:color w:val="000000"/>
                <w:sz w:val="30"/>
                <w:szCs w:val="30"/>
                <w:rtl/>
                <w:lang w:eastAsia="ko-KR"/>
              </w:rPr>
              <w:t>-</w:t>
            </w:r>
            <w:r w:rsidRPr="0009163D">
              <w:rPr>
                <w:rFonts w:ascii="Arabic Typesetting" w:eastAsia="Batang" w:hAnsi="Arabic Typesetting" w:cs="Arabic Typesetting" w:hint="cs"/>
                <w:color w:val="000000"/>
                <w:sz w:val="30"/>
                <w:szCs w:val="30"/>
                <w:rtl/>
                <w:lang w:eastAsia="ko-KR"/>
              </w:rPr>
              <w:t xml:space="preserve"> </w:t>
            </w:r>
            <w:r w:rsidRPr="0009163D">
              <w:rPr>
                <w:rFonts w:ascii="Arabic Typesetting" w:eastAsia="Batang" w:hAnsi="Arabic Typesetting" w:cs="Arabic Typesetting"/>
                <w:color w:val="000000"/>
                <w:sz w:val="30"/>
                <w:szCs w:val="30"/>
                <w:rtl/>
                <w:lang w:eastAsia="ko-KR"/>
              </w:rPr>
              <w:t>وزارة الثقافة والرياضة والسياحة الكورية بشأن احترام حق المؤلف</w:t>
            </w:r>
          </w:p>
        </w:tc>
        <w:tc>
          <w:tcPr>
            <w:tcW w:w="1134" w:type="dxa"/>
            <w:tcBorders>
              <w:bottom w:val="single" w:sz="4" w:space="0" w:color="000000"/>
            </w:tcBorders>
            <w:tcMar>
              <w:top w:w="110" w:type="dxa"/>
            </w:tcMar>
          </w:tcPr>
          <w:p w:rsidR="0009163D" w:rsidRPr="0009163D" w:rsidRDefault="0009163D" w:rsidP="0009163D">
            <w:pPr>
              <w:keepNext/>
              <w:keepLines/>
              <w:bidi/>
              <w:spacing w:before="80" w:after="60" w:line="280" w:lineRule="exact"/>
              <w:rPr>
                <w:rFonts w:ascii="Arabic Typesetting" w:eastAsia="Batang" w:hAnsi="Arabic Typesetting" w:cs="Arabic Typesetting"/>
                <w:color w:val="000000"/>
                <w:sz w:val="30"/>
                <w:szCs w:val="30"/>
                <w:lang w:eastAsia="ko-KR"/>
              </w:rPr>
            </w:pPr>
            <w:r w:rsidRPr="0009163D">
              <w:rPr>
                <w:rFonts w:ascii="Arabic Typesetting" w:eastAsia="Batang" w:hAnsi="Arabic Typesetting" w:cs="Arabic Typesetting" w:hint="cs"/>
                <w:color w:val="000000"/>
                <w:sz w:val="30"/>
                <w:szCs w:val="30"/>
                <w:rtl/>
                <w:lang w:eastAsia="ko-KR"/>
              </w:rPr>
              <w:t xml:space="preserve">من يناير إلى </w:t>
            </w:r>
            <w:proofErr w:type="spellStart"/>
            <w:r w:rsidRPr="0009163D">
              <w:rPr>
                <w:rFonts w:ascii="Arabic Typesetting" w:eastAsia="Batang" w:hAnsi="Arabic Typesetting" w:cs="Arabic Typesetting" w:hint="cs"/>
                <w:color w:val="000000"/>
                <w:sz w:val="30"/>
                <w:szCs w:val="30"/>
                <w:rtl/>
                <w:lang w:eastAsia="ko-KR"/>
              </w:rPr>
              <w:t>اكتوبر</w:t>
            </w:r>
            <w:proofErr w:type="spellEnd"/>
            <w:r w:rsidRPr="0009163D">
              <w:rPr>
                <w:rFonts w:ascii="Arabic Typesetting" w:eastAsia="Batang" w:hAnsi="Arabic Typesetting" w:cs="Arabic Typesetting" w:hint="cs"/>
                <w:color w:val="000000"/>
                <w:sz w:val="30"/>
                <w:szCs w:val="30"/>
                <w:rtl/>
                <w:lang w:eastAsia="ko-KR"/>
              </w:rPr>
              <w:t xml:space="preserve"> 2015</w:t>
            </w:r>
          </w:p>
        </w:tc>
        <w:tc>
          <w:tcPr>
            <w:tcW w:w="1983" w:type="dxa"/>
            <w:tcBorders>
              <w:bottom w:val="single" w:sz="4" w:space="0" w:color="000000"/>
            </w:tcBorders>
            <w:tcMar>
              <w:top w:w="110" w:type="dxa"/>
            </w:tcMar>
          </w:tcPr>
          <w:p w:rsidR="0009163D" w:rsidRPr="0009163D" w:rsidRDefault="0009163D" w:rsidP="0009163D">
            <w:pPr>
              <w:bidi/>
              <w:spacing w:before="80" w:after="60" w:line="280" w:lineRule="exact"/>
              <w:rPr>
                <w:rFonts w:ascii="Arabic Typesetting" w:eastAsia="Batang" w:hAnsi="Arabic Typesetting" w:cs="Arabic Typesetting"/>
                <w:color w:val="000000"/>
                <w:sz w:val="30"/>
                <w:szCs w:val="30"/>
                <w:lang w:eastAsia="ko-KR"/>
              </w:rPr>
            </w:pPr>
            <w:r w:rsidRPr="0009163D">
              <w:rPr>
                <w:rFonts w:ascii="Arabic Typesetting" w:eastAsia="Batang" w:hAnsi="Arabic Typesetting" w:cs="Arabic Typesetting" w:hint="cs"/>
                <w:color w:val="000000"/>
                <w:sz w:val="30"/>
                <w:szCs w:val="30"/>
                <w:rtl/>
                <w:lang w:eastAsia="ko-KR"/>
              </w:rPr>
              <w:t>جميع الدول الأعضاء في الويبو</w:t>
            </w:r>
          </w:p>
        </w:tc>
        <w:tc>
          <w:tcPr>
            <w:tcW w:w="4396" w:type="dxa"/>
            <w:tcBorders>
              <w:bottom w:val="single" w:sz="4" w:space="0" w:color="000000"/>
            </w:tcBorders>
            <w:shd w:val="clear" w:color="auto" w:fill="FFFFFF"/>
            <w:tcMar>
              <w:top w:w="110" w:type="dxa"/>
            </w:tcMar>
          </w:tcPr>
          <w:p w:rsidR="0009163D" w:rsidRPr="0009163D" w:rsidRDefault="0009163D" w:rsidP="0009163D">
            <w:pPr>
              <w:bidi/>
              <w:spacing w:line="280" w:lineRule="exact"/>
              <w:rPr>
                <w:rFonts w:ascii="Arabic Typesetting" w:eastAsia="Batang" w:hAnsi="Arabic Typesetting" w:cs="Arabic Typesetting"/>
                <w:color w:val="000000"/>
                <w:sz w:val="30"/>
                <w:szCs w:val="30"/>
                <w:lang w:eastAsia="ko-KR"/>
              </w:rPr>
            </w:pPr>
            <w:r w:rsidRPr="0009163D">
              <w:rPr>
                <w:rFonts w:ascii="Arabic Typesetting" w:eastAsia="Batang" w:hAnsi="Arabic Typesetting" w:cs="Arabic Typesetting" w:hint="cs"/>
                <w:color w:val="000000"/>
                <w:sz w:val="30"/>
                <w:szCs w:val="30"/>
                <w:rtl/>
                <w:lang w:eastAsia="ko-KR"/>
              </w:rPr>
              <w:t xml:space="preserve">تطوير أداة لتوعية الجمهور لمساعدة المعلمين في تعليم الأطفال حول حق المؤلف، بحيث تضم خمس مجموعات من خطط الدروس للتلاميذ الذين تتراوح أعمارهم من </w:t>
            </w:r>
            <w:r w:rsidRPr="0009163D">
              <w:rPr>
                <w:rFonts w:ascii="Arabic Typesetting" w:eastAsia="Batang" w:hAnsi="Arabic Typesetting" w:cs="Arabic Typesetting" w:hint="cs"/>
                <w:color w:val="000000"/>
                <w:sz w:val="30"/>
                <w:szCs w:val="30"/>
                <w:lang w:eastAsia="ko-KR"/>
              </w:rPr>
              <w:t>10</w:t>
            </w:r>
            <w:r w:rsidRPr="0009163D">
              <w:rPr>
                <w:rFonts w:ascii="Arabic Typesetting" w:eastAsia="Batang" w:hAnsi="Arabic Typesetting" w:cs="Arabic Typesetting" w:hint="cs"/>
                <w:color w:val="000000"/>
                <w:sz w:val="30"/>
                <w:szCs w:val="30"/>
                <w:rtl/>
                <w:lang w:eastAsia="ko-KR"/>
              </w:rPr>
              <w:t xml:space="preserve"> إلى 15 سنة</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جمهورية كوريا/إذكاء الاحترام للملكية الفكرية في </w:t>
      </w:r>
      <w:r w:rsidRPr="0009163D">
        <w:rPr>
          <w:rFonts w:ascii="Arabic Typesetting" w:hAnsi="Arabic Typesetting" w:cs="Arabic Typesetting" w:hint="cs"/>
          <w:bCs/>
          <w:sz w:val="34"/>
          <w:szCs w:val="34"/>
          <w:rtl/>
        </w:rPr>
        <w:t>2015</w:t>
      </w:r>
    </w:p>
    <w:tbl>
      <w:tblPr>
        <w:bidiVisual/>
        <w:tblW w:w="9087" w:type="dxa"/>
        <w:jc w:val="center"/>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jc w:val="center"/>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jc w:val="center"/>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42,310</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122,960</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114,795</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50,475</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جمهورية كوريا/حق المؤلف</w:t>
      </w:r>
    </w:p>
    <w:tbl>
      <w:tblPr>
        <w:bidiVisual/>
        <w:tblW w:w="9386"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73"/>
        <w:gridCol w:w="1134"/>
        <w:gridCol w:w="1984"/>
        <w:gridCol w:w="4395"/>
      </w:tblGrid>
      <w:tr w:rsidR="0009163D" w:rsidRPr="0009163D" w:rsidTr="00925848">
        <w:trPr>
          <w:cantSplit/>
        </w:trPr>
        <w:tc>
          <w:tcPr>
            <w:tcW w:w="9386"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Pr>
        <w:tc>
          <w:tcPr>
            <w:tcW w:w="187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73" w:type="dxa"/>
          </w:tcPr>
          <w:p w:rsidR="0009163D" w:rsidRPr="0009163D" w:rsidDel="009E0498"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SimSun" w:hAnsi="Arabic Typesetting" w:cs="Arabic Typesetting"/>
                <w:sz w:val="30"/>
                <w:szCs w:val="30"/>
                <w:rtl/>
                <w:lang w:bidi="ar"/>
              </w:rPr>
              <w:t>حلقة عمل وطنية بشأن حق المؤلف والحقوق المجاورة</w:t>
            </w:r>
          </w:p>
        </w:tc>
        <w:tc>
          <w:tcPr>
            <w:tcW w:w="113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Batang" w:hAnsi="Arabic Typesetting" w:cs="Arabic Typesetting"/>
                <w:color w:val="000000"/>
                <w:sz w:val="30"/>
                <w:szCs w:val="30"/>
                <w:rtl/>
                <w:lang w:eastAsia="ko-KR"/>
              </w:rPr>
              <w:t xml:space="preserve">من 31 أغسطس إلى 1 سبتمبر </w:t>
            </w:r>
            <w:r w:rsidRPr="0009163D">
              <w:rPr>
                <w:rFonts w:ascii="Arabic Typesetting" w:eastAsia="Batang" w:hAnsi="Arabic Typesetting" w:cs="Arabic Typesetting" w:hint="cs"/>
                <w:color w:val="000000"/>
                <w:sz w:val="30"/>
                <w:szCs w:val="30"/>
                <w:rtl/>
                <w:lang w:eastAsia="ko-KR"/>
              </w:rPr>
              <w:t>2015</w:t>
            </w:r>
          </w:p>
        </w:tc>
        <w:tc>
          <w:tcPr>
            <w:tcW w:w="198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SimSun" w:hAnsi="Arabic Typesetting" w:cs="Arabic Typesetting"/>
                <w:sz w:val="30"/>
                <w:szCs w:val="30"/>
                <w:rtl/>
                <w:lang w:bidi="ar"/>
              </w:rPr>
              <w:t xml:space="preserve">كمبوديا/حوالي </w:t>
            </w:r>
            <w:r w:rsidRPr="0009163D">
              <w:rPr>
                <w:rFonts w:ascii="Arabic Typesetting" w:eastAsia="SimSun" w:hAnsi="Arabic Typesetting" w:cs="Arabic Typesetting" w:hint="cs"/>
                <w:sz w:val="30"/>
                <w:szCs w:val="30"/>
                <w:rtl/>
                <w:lang w:bidi="ar"/>
              </w:rPr>
              <w:t xml:space="preserve">100 </w:t>
            </w:r>
            <w:r w:rsidRPr="0009163D">
              <w:rPr>
                <w:rFonts w:ascii="Arabic Typesetting" w:eastAsia="SimSun" w:hAnsi="Arabic Typesetting" w:cs="Arabic Typesetting"/>
                <w:sz w:val="30"/>
                <w:szCs w:val="30"/>
                <w:rtl/>
                <w:lang w:bidi="ar"/>
              </w:rPr>
              <w:t>مشارك محلي</w:t>
            </w:r>
          </w:p>
        </w:tc>
        <w:tc>
          <w:tcPr>
            <w:tcW w:w="4395" w:type="dxa"/>
            <w:shd w:val="clear" w:color="auto" w:fill="FFFFFF"/>
            <w:tcMar>
              <w:top w:w="110" w:type="dxa"/>
            </w:tcMar>
          </w:tcPr>
          <w:p w:rsidR="0009163D" w:rsidRPr="0009163D" w:rsidDel="00152E3E"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sz w:val="30"/>
                <w:szCs w:val="30"/>
                <w:rtl/>
                <w:lang w:bidi="ar"/>
              </w:rPr>
              <w:t xml:space="preserve">رفع مستوى الوعي بين </w:t>
            </w:r>
            <w:r w:rsidRPr="0009163D">
              <w:rPr>
                <w:rFonts w:ascii="Arabic Typesetting" w:hAnsi="Arabic Typesetting" w:cs="Arabic Typesetting" w:hint="cs"/>
                <w:sz w:val="30"/>
                <w:szCs w:val="30"/>
                <w:rtl/>
                <w:lang w:bidi="ar"/>
              </w:rPr>
              <w:t>واضعي</w:t>
            </w:r>
            <w:r w:rsidRPr="0009163D">
              <w:rPr>
                <w:rFonts w:ascii="Arabic Typesetting" w:hAnsi="Arabic Typesetting" w:cs="Arabic Typesetting"/>
                <w:sz w:val="30"/>
                <w:szCs w:val="30"/>
                <w:rtl/>
                <w:lang w:bidi="ar"/>
              </w:rPr>
              <w:t xml:space="preserve"> السياسات وأصحاب المصلحة الرئيسيين </w:t>
            </w:r>
            <w:r w:rsidRPr="0009163D">
              <w:rPr>
                <w:rFonts w:ascii="Arabic Typesetting" w:hAnsi="Arabic Typesetting" w:cs="Arabic Typesetting" w:hint="cs"/>
                <w:sz w:val="30"/>
                <w:szCs w:val="30"/>
                <w:rtl/>
                <w:lang w:bidi="ar"/>
              </w:rPr>
              <w:t>بشأن</w:t>
            </w:r>
            <w:r w:rsidRPr="0009163D">
              <w:rPr>
                <w:rFonts w:ascii="Arabic Typesetting" w:hAnsi="Arabic Typesetting" w:cs="Arabic Typesetting"/>
                <w:sz w:val="30"/>
                <w:szCs w:val="30"/>
                <w:rtl/>
                <w:lang w:bidi="ar"/>
              </w:rPr>
              <w:t xml:space="preserve"> أهمية حق المؤلف والحقوق المجاورة</w:t>
            </w:r>
            <w:r w:rsidRPr="0009163D">
              <w:rPr>
                <w:rFonts w:ascii="Arabic Typesetting" w:hAnsi="Arabic Typesetting" w:cs="Arabic Typesetting"/>
                <w:sz w:val="30"/>
                <w:szCs w:val="30"/>
                <w:lang w:bidi="ar"/>
              </w:rPr>
              <w:t>.</w:t>
            </w:r>
          </w:p>
        </w:tc>
      </w:tr>
      <w:tr w:rsidR="0009163D" w:rsidRPr="0009163D" w:rsidTr="00925848">
        <w:trPr>
          <w:cantSplit/>
        </w:trPr>
        <w:tc>
          <w:tcPr>
            <w:tcW w:w="1873" w:type="dxa"/>
            <w:vAlign w:val="center"/>
          </w:tcPr>
          <w:p w:rsidR="0009163D" w:rsidRPr="0009163D" w:rsidRDefault="0009163D" w:rsidP="0009163D">
            <w:pPr>
              <w:bidi/>
              <w:spacing w:line="280" w:lineRule="exact"/>
              <w:rPr>
                <w:rFonts w:ascii="Arabic Typesetting" w:hAnsi="Arabic Typesetting" w:cs="Arabic Typesetting"/>
                <w:b/>
                <w:bCs/>
                <w:sz w:val="30"/>
                <w:szCs w:val="30"/>
              </w:rPr>
            </w:pPr>
            <w:r w:rsidRPr="0009163D">
              <w:rPr>
                <w:rFonts w:ascii="Arabic Typesetting" w:hAnsi="Arabic Typesetting" w:cs="Arabic Typesetting" w:hint="cs"/>
                <w:sz w:val="30"/>
                <w:szCs w:val="30"/>
                <w:rtl/>
                <w:lang w:bidi="ar"/>
              </w:rPr>
              <w:lastRenderedPageBreak/>
              <w:t>مشروع قطري</w:t>
            </w:r>
            <w:r w:rsidRPr="0009163D">
              <w:rPr>
                <w:rFonts w:ascii="Arabic Typesetting" w:hAnsi="Arabic Typesetting" w:cs="Arabic Typesetting"/>
                <w:sz w:val="30"/>
                <w:szCs w:val="30"/>
                <w:rtl/>
                <w:lang w:bidi="ar"/>
              </w:rPr>
              <w:t xml:space="preserve"> لتعزيز الوعي بشأن حق المؤلف والحقوق المجاورة</w:t>
            </w:r>
          </w:p>
        </w:tc>
        <w:tc>
          <w:tcPr>
            <w:tcW w:w="1134" w:type="dxa"/>
            <w:tcMar>
              <w:top w:w="110" w:type="dxa"/>
            </w:tcMar>
            <w:vAlign w:val="center"/>
          </w:tcPr>
          <w:p w:rsidR="0009163D" w:rsidRPr="0009163D" w:rsidRDefault="0009163D" w:rsidP="0009163D">
            <w:pPr>
              <w:bidi/>
              <w:spacing w:line="280" w:lineRule="exact"/>
              <w:rPr>
                <w:rFonts w:ascii="Arabic Typesetting" w:hAnsi="Arabic Typesetting" w:cs="Arabic Typesetting"/>
                <w:b/>
                <w:bCs/>
                <w:sz w:val="30"/>
                <w:szCs w:val="30"/>
              </w:rPr>
            </w:pPr>
            <w:r w:rsidRPr="0009163D">
              <w:rPr>
                <w:rFonts w:ascii="Arabic Typesetting" w:eastAsia="Batang" w:hAnsi="Arabic Typesetting" w:cs="Arabic Typesetting"/>
                <w:color w:val="000000"/>
                <w:sz w:val="30"/>
                <w:szCs w:val="30"/>
                <w:rtl/>
                <w:lang w:eastAsia="ko-KR"/>
              </w:rPr>
              <w:t>من فبراير إلى يونيو</w:t>
            </w:r>
            <w:r w:rsidRPr="0009163D">
              <w:rPr>
                <w:rFonts w:ascii="Arabic Typesetting" w:eastAsia="Batang" w:hAnsi="Arabic Typesetting" w:cs="Arabic Typesetting" w:hint="cs"/>
                <w:color w:val="000000"/>
                <w:sz w:val="30"/>
                <w:szCs w:val="30"/>
                <w:rtl/>
                <w:lang w:eastAsia="ko-KR"/>
              </w:rPr>
              <w:t xml:space="preserve"> 2015</w:t>
            </w:r>
          </w:p>
        </w:tc>
        <w:tc>
          <w:tcPr>
            <w:tcW w:w="1984" w:type="dxa"/>
            <w:tcMar>
              <w:top w:w="110" w:type="dxa"/>
            </w:tcMar>
            <w:vAlign w:val="center"/>
          </w:tcPr>
          <w:p w:rsidR="0009163D" w:rsidRPr="0009163D" w:rsidRDefault="0009163D" w:rsidP="0009163D">
            <w:pPr>
              <w:bidi/>
              <w:spacing w:line="280" w:lineRule="exact"/>
              <w:rPr>
                <w:rFonts w:ascii="Arabic Typesetting" w:hAnsi="Arabic Typesetting" w:cs="Arabic Typesetting"/>
                <w:b/>
                <w:bCs/>
                <w:sz w:val="30"/>
                <w:szCs w:val="30"/>
              </w:rPr>
            </w:pPr>
            <w:r w:rsidRPr="0009163D">
              <w:rPr>
                <w:rFonts w:ascii="Arabic Typesetting" w:eastAsia="SimSun" w:hAnsi="Arabic Typesetting" w:cs="Arabic Typesetting"/>
                <w:sz w:val="30"/>
                <w:szCs w:val="30"/>
                <w:rtl/>
                <w:lang w:bidi="ar"/>
              </w:rPr>
              <w:t>ملاوي</w:t>
            </w:r>
            <w:r w:rsidRPr="0009163D">
              <w:rPr>
                <w:rFonts w:ascii="Arabic Typesetting" w:eastAsia="SimSun" w:hAnsi="Arabic Typesetting" w:cs="Arabic Typesetting" w:hint="cs"/>
                <w:sz w:val="30"/>
                <w:szCs w:val="30"/>
                <w:rtl/>
                <w:lang w:bidi="ar"/>
              </w:rPr>
              <w:t>/</w:t>
            </w:r>
            <w:r w:rsidRPr="0009163D">
              <w:rPr>
                <w:rFonts w:ascii="Arabic Typesetting" w:eastAsia="SimSun" w:hAnsi="Arabic Typesetting" w:cs="Arabic Typesetting"/>
                <w:sz w:val="30"/>
                <w:szCs w:val="30"/>
                <w:rtl/>
                <w:lang w:bidi="ar"/>
              </w:rPr>
              <w:t xml:space="preserve">حوالي </w:t>
            </w:r>
            <w:r w:rsidRPr="0009163D">
              <w:rPr>
                <w:rFonts w:ascii="Arabic Typesetting" w:eastAsia="SimSun" w:hAnsi="Arabic Typesetting" w:cs="Arabic Typesetting" w:hint="cs"/>
                <w:sz w:val="30"/>
                <w:szCs w:val="30"/>
                <w:rtl/>
                <w:lang w:bidi="ar"/>
              </w:rPr>
              <w:t xml:space="preserve">350 </w:t>
            </w:r>
            <w:r w:rsidRPr="0009163D">
              <w:rPr>
                <w:rFonts w:ascii="Arabic Typesetting" w:eastAsia="SimSun" w:hAnsi="Arabic Typesetting" w:cs="Arabic Typesetting"/>
                <w:sz w:val="30"/>
                <w:szCs w:val="30"/>
                <w:rtl/>
                <w:lang w:bidi="ar"/>
              </w:rPr>
              <w:t xml:space="preserve">مشاركا </w:t>
            </w:r>
            <w:r w:rsidRPr="0009163D">
              <w:rPr>
                <w:rFonts w:ascii="Arabic Typesetting" w:eastAsia="SimSun" w:hAnsi="Arabic Typesetting" w:cs="Arabic Typesetting" w:hint="cs"/>
                <w:sz w:val="30"/>
                <w:szCs w:val="30"/>
                <w:rtl/>
                <w:lang w:bidi="ar"/>
              </w:rPr>
              <w:t xml:space="preserve">محليا </w:t>
            </w:r>
            <w:r w:rsidRPr="0009163D">
              <w:rPr>
                <w:rFonts w:ascii="Arabic Typesetting" w:eastAsia="SimSun" w:hAnsi="Arabic Typesetting" w:cs="Arabic Typesetting"/>
                <w:sz w:val="30"/>
                <w:szCs w:val="30"/>
                <w:rtl/>
                <w:lang w:bidi="ar"/>
              </w:rPr>
              <w:t>في خمسة برامج</w:t>
            </w:r>
          </w:p>
        </w:tc>
        <w:tc>
          <w:tcPr>
            <w:tcW w:w="4395" w:type="dxa"/>
            <w:shd w:val="clear" w:color="auto" w:fill="FFFFFF"/>
            <w:tcMar>
              <w:top w:w="110" w:type="dxa"/>
            </w:tcMar>
            <w:vAlign w:val="center"/>
          </w:tcPr>
          <w:p w:rsidR="0009163D" w:rsidRPr="0009163D" w:rsidRDefault="0009163D" w:rsidP="0009163D">
            <w:pPr>
              <w:bidi/>
              <w:spacing w:line="280" w:lineRule="exact"/>
              <w:rPr>
                <w:rFonts w:ascii="Arabic Typesetting" w:hAnsi="Arabic Typesetting" w:cs="Arabic Typesetting"/>
                <w:b/>
                <w:bCs/>
                <w:sz w:val="30"/>
                <w:szCs w:val="30"/>
              </w:rPr>
            </w:pPr>
            <w:r w:rsidRPr="0009163D">
              <w:rPr>
                <w:rFonts w:ascii="Arabic Typesetting" w:hAnsi="Arabic Typesetting" w:cs="Arabic Typesetting" w:hint="cs"/>
                <w:sz w:val="30"/>
                <w:szCs w:val="30"/>
                <w:rtl/>
                <w:lang w:bidi="ar"/>
              </w:rPr>
              <w:t>مس</w:t>
            </w:r>
            <w:r w:rsidRPr="0009163D">
              <w:rPr>
                <w:rFonts w:ascii="Arabic Typesetting" w:hAnsi="Arabic Typesetting" w:cs="Arabic Typesetting"/>
                <w:sz w:val="30"/>
                <w:szCs w:val="30"/>
                <w:rtl/>
                <w:lang w:bidi="ar"/>
              </w:rPr>
              <w:t xml:space="preserve">اعدة ملاوي في مساعيها لإنشاء </w:t>
            </w:r>
            <w:r w:rsidRPr="0009163D">
              <w:rPr>
                <w:rFonts w:ascii="Arabic Typesetting" w:hAnsi="Arabic Typesetting" w:cs="Arabic Typesetting" w:hint="cs"/>
                <w:sz w:val="30"/>
                <w:szCs w:val="30"/>
                <w:rtl/>
                <w:lang w:bidi="ar"/>
              </w:rPr>
              <w:t>بنية تحتية صالحة</w:t>
            </w:r>
            <w:r w:rsidRPr="0009163D">
              <w:rPr>
                <w:rFonts w:ascii="Arabic Typesetting" w:hAnsi="Arabic Typesetting" w:cs="Arabic Typesetting"/>
                <w:sz w:val="30"/>
                <w:szCs w:val="30"/>
                <w:rtl/>
                <w:lang w:bidi="ar"/>
              </w:rPr>
              <w:t xml:space="preserve"> </w:t>
            </w:r>
            <w:r w:rsidRPr="0009163D">
              <w:rPr>
                <w:rFonts w:ascii="Arabic Typesetting" w:hAnsi="Arabic Typesetting" w:cs="Arabic Typesetting" w:hint="cs"/>
                <w:sz w:val="30"/>
                <w:szCs w:val="30"/>
                <w:rtl/>
                <w:lang w:bidi="ar"/>
              </w:rPr>
              <w:t xml:space="preserve">لحق المؤلف </w:t>
            </w:r>
            <w:r w:rsidRPr="0009163D">
              <w:rPr>
                <w:rFonts w:ascii="Arabic Typesetting" w:hAnsi="Arabic Typesetting" w:cs="Arabic Typesetting"/>
                <w:sz w:val="30"/>
                <w:szCs w:val="30"/>
                <w:rtl/>
                <w:lang w:bidi="ar"/>
              </w:rPr>
              <w:t>وتعزيز القدرات الوطنية لتنفيذ برامج بناء الوعي العام في مجال حق المؤلف والحقوق المجاورة</w:t>
            </w:r>
            <w:r w:rsidRPr="0009163D">
              <w:rPr>
                <w:rFonts w:ascii="Arabic Typesetting" w:hAnsi="Arabic Typesetting" w:cs="Arabic Typesetting"/>
                <w:sz w:val="30"/>
                <w:szCs w:val="30"/>
                <w:lang w:bidi="ar"/>
              </w:rPr>
              <w:t>.</w:t>
            </w:r>
          </w:p>
        </w:tc>
      </w:tr>
      <w:tr w:rsidR="0009163D" w:rsidRPr="0009163D" w:rsidTr="00925848">
        <w:trPr>
          <w:cantSplit/>
        </w:trPr>
        <w:tc>
          <w:tcPr>
            <w:tcW w:w="187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SimSun" w:hAnsi="Arabic Typesetting" w:cs="Arabic Typesetting" w:hint="cs"/>
                <w:sz w:val="30"/>
                <w:szCs w:val="30"/>
                <w:rtl/>
                <w:lang w:bidi="ar"/>
              </w:rPr>
              <w:t xml:space="preserve">مشروع </w:t>
            </w:r>
            <w:r w:rsidRPr="0009163D">
              <w:rPr>
                <w:rFonts w:ascii="Arabic Typesetting" w:eastAsia="SimSun" w:hAnsi="Arabic Typesetting" w:cs="Arabic Typesetting"/>
                <w:sz w:val="30"/>
                <w:szCs w:val="30"/>
                <w:rtl/>
                <w:lang w:bidi="ar"/>
              </w:rPr>
              <w:t>اتحاد الكتب الميسرة (</w:t>
            </w:r>
            <w:r w:rsidRPr="0009163D">
              <w:rPr>
                <w:rFonts w:ascii="Arabic Typesetting" w:eastAsia="SimSun" w:hAnsi="Arabic Typesetting" w:cs="Arabic Typesetting"/>
                <w:sz w:val="30"/>
                <w:szCs w:val="30"/>
                <w:lang w:bidi="ar"/>
              </w:rPr>
              <w:t>ABC</w:t>
            </w:r>
            <w:r w:rsidRPr="0009163D">
              <w:rPr>
                <w:rFonts w:ascii="Arabic Typesetting" w:eastAsia="SimSun" w:hAnsi="Arabic Typesetting" w:cs="Arabic Typesetting" w:hint="cs"/>
                <w:sz w:val="30"/>
                <w:szCs w:val="30"/>
                <w:rtl/>
                <w:lang w:bidi="ar"/>
              </w:rPr>
              <w:t>)</w:t>
            </w:r>
          </w:p>
        </w:tc>
        <w:tc>
          <w:tcPr>
            <w:tcW w:w="113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Batang" w:hAnsi="Arabic Typesetting" w:cs="Arabic Typesetting"/>
                <w:color w:val="000000"/>
                <w:sz w:val="30"/>
                <w:szCs w:val="30"/>
                <w:rtl/>
                <w:lang w:eastAsia="ko-KR"/>
              </w:rPr>
              <w:t>من 1 يناير إلى 31 يوليو 2015</w:t>
            </w:r>
            <w:r w:rsidRPr="00F96634">
              <w:rPr>
                <w:rFonts w:ascii="Arabic Typesetting" w:eastAsia="SimSun" w:hAnsi="Arabic Typesetting" w:cs="Arabic Typesetting"/>
                <w:sz w:val="28"/>
                <w:szCs w:val="28"/>
                <w:vertAlign w:val="superscript"/>
                <w:rtl/>
                <w:lang w:bidi="ar"/>
              </w:rPr>
              <w:footnoteReference w:id="159"/>
            </w:r>
          </w:p>
        </w:tc>
        <w:tc>
          <w:tcPr>
            <w:tcW w:w="198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SimSun" w:hAnsi="Arabic Typesetting" w:cs="Arabic Typesetting"/>
                <w:sz w:val="30"/>
                <w:szCs w:val="30"/>
                <w:rtl/>
                <w:lang w:bidi="ar"/>
              </w:rPr>
              <w:t>الهند</w:t>
            </w:r>
          </w:p>
        </w:tc>
        <w:tc>
          <w:tcPr>
            <w:tcW w:w="4395" w:type="dxa"/>
            <w:shd w:val="clear" w:color="auto" w:fill="FFFFFF"/>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lang w:bidi="ar"/>
              </w:rPr>
            </w:pPr>
            <w:r w:rsidRPr="0009163D">
              <w:rPr>
                <w:rFonts w:ascii="Arabic Typesetting" w:hAnsi="Arabic Typesetting" w:cs="Arabic Typesetting" w:hint="cs"/>
                <w:sz w:val="30"/>
                <w:szCs w:val="30"/>
                <w:rtl/>
                <w:lang w:bidi="ar"/>
              </w:rPr>
              <w:t>(1)</w:t>
            </w:r>
            <w:r w:rsidRPr="0009163D">
              <w:rPr>
                <w:rFonts w:ascii="Arabic Typesetting" w:hAnsi="Arabic Typesetting" w:cs="Arabic Typesetting"/>
                <w:sz w:val="30"/>
                <w:szCs w:val="30"/>
                <w:lang w:bidi="ar"/>
              </w:rPr>
              <w:t xml:space="preserve"> </w:t>
            </w:r>
            <w:r w:rsidRPr="0009163D">
              <w:rPr>
                <w:rFonts w:ascii="Arabic Typesetting" w:hAnsi="Arabic Typesetting" w:cs="Arabic Typesetting"/>
                <w:sz w:val="30"/>
                <w:szCs w:val="30"/>
                <w:rtl/>
                <w:lang w:bidi="ar"/>
              </w:rPr>
              <w:t xml:space="preserve">إنهاء مجاعة </w:t>
            </w:r>
            <w:r w:rsidRPr="0009163D">
              <w:rPr>
                <w:rFonts w:ascii="Arabic Typesetting" w:hAnsi="Arabic Typesetting" w:cs="Arabic Typesetting" w:hint="cs"/>
                <w:sz w:val="30"/>
                <w:szCs w:val="30"/>
                <w:rtl/>
                <w:lang w:bidi="ar"/>
              </w:rPr>
              <w:t>الكتب لدى</w:t>
            </w:r>
            <w:r w:rsidRPr="0009163D">
              <w:rPr>
                <w:rFonts w:ascii="Arabic Typesetting" w:hAnsi="Arabic Typesetting" w:cs="Arabic Typesetting"/>
                <w:sz w:val="30"/>
                <w:szCs w:val="30"/>
                <w:rtl/>
                <w:lang w:bidi="ar"/>
              </w:rPr>
              <w:t xml:space="preserve"> طلاب المدارس الثانوية العاجزين</w:t>
            </w:r>
            <w:r w:rsidRPr="0009163D">
              <w:rPr>
                <w:rFonts w:ascii="Arabic Typesetting" w:hAnsi="Arabic Typesetting" w:cs="Arabic Typesetting"/>
                <w:sz w:val="30"/>
                <w:szCs w:val="30"/>
                <w:lang w:bidi="ar"/>
              </w:rPr>
              <w:t xml:space="preserve"> </w:t>
            </w:r>
            <w:r w:rsidRPr="0009163D">
              <w:rPr>
                <w:rFonts w:ascii="Arabic Typesetting" w:hAnsi="Arabic Typesetting" w:cs="Arabic Typesetting"/>
                <w:sz w:val="30"/>
                <w:szCs w:val="30"/>
                <w:rtl/>
                <w:lang w:bidi="ar"/>
              </w:rPr>
              <w:t>عن</w:t>
            </w:r>
            <w:r w:rsidRPr="0009163D">
              <w:rPr>
                <w:rFonts w:ascii="Arabic Typesetting" w:hAnsi="Arabic Typesetting" w:cs="Arabic Typesetting"/>
                <w:sz w:val="30"/>
                <w:szCs w:val="30"/>
                <w:lang w:bidi="ar"/>
              </w:rPr>
              <w:t xml:space="preserve"> </w:t>
            </w:r>
            <w:r w:rsidRPr="0009163D">
              <w:rPr>
                <w:rFonts w:ascii="Arabic Typesetting" w:hAnsi="Arabic Typesetting" w:cs="Arabic Typesetting"/>
                <w:sz w:val="30"/>
                <w:szCs w:val="30"/>
                <w:rtl/>
                <w:lang w:bidi="ar"/>
              </w:rPr>
              <w:t>قراءة</w:t>
            </w:r>
            <w:r w:rsidRPr="0009163D">
              <w:rPr>
                <w:rFonts w:ascii="Arabic Typesetting" w:hAnsi="Arabic Typesetting" w:cs="Arabic Typesetting"/>
                <w:sz w:val="30"/>
                <w:szCs w:val="30"/>
                <w:lang w:bidi="ar"/>
              </w:rPr>
              <w:t xml:space="preserve"> </w:t>
            </w:r>
            <w:r w:rsidRPr="0009163D">
              <w:rPr>
                <w:rFonts w:ascii="Arabic Typesetting" w:hAnsi="Arabic Typesetting" w:cs="Arabic Typesetting"/>
                <w:sz w:val="30"/>
                <w:szCs w:val="30"/>
                <w:rtl/>
                <w:lang w:bidi="ar"/>
              </w:rPr>
              <w:t xml:space="preserve">المطبوعات في ولاية ماديا </w:t>
            </w:r>
            <w:proofErr w:type="spellStart"/>
            <w:r w:rsidRPr="0009163D">
              <w:rPr>
                <w:rFonts w:ascii="Arabic Typesetting" w:hAnsi="Arabic Typesetting" w:cs="Arabic Typesetting"/>
                <w:sz w:val="30"/>
                <w:szCs w:val="30"/>
                <w:rtl/>
                <w:lang w:bidi="ar"/>
              </w:rPr>
              <w:t>براديش</w:t>
            </w:r>
            <w:proofErr w:type="spellEnd"/>
            <w:r w:rsidRPr="0009163D">
              <w:rPr>
                <w:rFonts w:ascii="Arabic Typesetting" w:hAnsi="Arabic Typesetting" w:cs="Arabic Typesetting"/>
                <w:sz w:val="30"/>
                <w:szCs w:val="30"/>
                <w:rtl/>
                <w:lang w:bidi="ar"/>
              </w:rPr>
              <w:t xml:space="preserve"> </w:t>
            </w:r>
            <w:proofErr w:type="spellStart"/>
            <w:r w:rsidRPr="0009163D">
              <w:rPr>
                <w:rFonts w:ascii="Arabic Typesetting" w:hAnsi="Arabic Typesetting" w:cs="Arabic Typesetting"/>
                <w:sz w:val="30"/>
                <w:szCs w:val="30"/>
                <w:rtl/>
                <w:lang w:bidi="ar"/>
              </w:rPr>
              <w:t>وبيهار</w:t>
            </w:r>
            <w:proofErr w:type="spellEnd"/>
            <w:r w:rsidRPr="0009163D">
              <w:rPr>
                <w:rFonts w:ascii="Arabic Typesetting" w:hAnsi="Arabic Typesetting" w:cs="Arabic Typesetting"/>
                <w:sz w:val="30"/>
                <w:szCs w:val="30"/>
                <w:rtl/>
                <w:lang w:bidi="ar"/>
              </w:rPr>
              <w:t xml:space="preserve"> وراجستان، الهند؛ </w:t>
            </w:r>
            <w:r w:rsidRPr="0009163D">
              <w:rPr>
                <w:rFonts w:ascii="Arabic Typesetting" w:hAnsi="Arabic Typesetting" w:cs="Arabic Typesetting" w:hint="cs"/>
                <w:sz w:val="30"/>
                <w:szCs w:val="30"/>
                <w:rtl/>
                <w:lang w:bidi="ar"/>
              </w:rPr>
              <w:t>(2)</w:t>
            </w:r>
            <w:r w:rsidRPr="0009163D">
              <w:rPr>
                <w:rFonts w:ascii="Arabic Typesetting" w:hAnsi="Arabic Typesetting" w:cs="Arabic Typesetting"/>
                <w:sz w:val="30"/>
                <w:szCs w:val="30"/>
                <w:rtl/>
                <w:lang w:bidi="ar"/>
              </w:rPr>
              <w:t xml:space="preserve">بناء القدرات بين الناشرين </w:t>
            </w:r>
            <w:r w:rsidRPr="0009163D">
              <w:rPr>
                <w:rFonts w:ascii="Arabic Typesetting" w:hAnsi="Arabic Typesetting" w:cs="Arabic Typesetting" w:hint="cs"/>
                <w:sz w:val="30"/>
                <w:szCs w:val="30"/>
                <w:rtl/>
                <w:lang w:bidi="ar"/>
              </w:rPr>
              <w:t>الحكوميين</w:t>
            </w:r>
            <w:r w:rsidRPr="0009163D">
              <w:rPr>
                <w:rFonts w:ascii="Arabic Typesetting" w:hAnsi="Arabic Typesetting" w:cs="Arabic Typesetting"/>
                <w:sz w:val="30"/>
                <w:szCs w:val="30"/>
                <w:rtl/>
                <w:lang w:bidi="ar"/>
              </w:rPr>
              <w:t xml:space="preserve"> </w:t>
            </w:r>
            <w:r w:rsidRPr="0009163D">
              <w:rPr>
                <w:rFonts w:ascii="Arabic Typesetting" w:hAnsi="Arabic Typesetting" w:cs="Arabic Typesetting" w:hint="cs"/>
                <w:sz w:val="30"/>
                <w:szCs w:val="30"/>
                <w:rtl/>
                <w:lang w:bidi="ar"/>
              </w:rPr>
              <w:t>بشأن إنتاج</w:t>
            </w:r>
            <w:r w:rsidRPr="0009163D">
              <w:rPr>
                <w:rFonts w:ascii="Arabic Typesetting" w:hAnsi="Arabic Typesetting" w:cs="Arabic Typesetting"/>
                <w:sz w:val="30"/>
                <w:szCs w:val="30"/>
                <w:rtl/>
                <w:lang w:bidi="ar"/>
              </w:rPr>
              <w:t xml:space="preserve"> الكتب المدرسية بحيث</w:t>
            </w:r>
            <w:r w:rsidRPr="0009163D">
              <w:rPr>
                <w:rFonts w:ascii="Arabic Typesetting" w:hAnsi="Arabic Typesetting" w:cs="Arabic Typesetting" w:hint="cs"/>
                <w:sz w:val="30"/>
                <w:szCs w:val="30"/>
                <w:rtl/>
                <w:lang w:bidi="ar"/>
              </w:rPr>
              <w:t xml:space="preserve"> تُصدر</w:t>
            </w:r>
            <w:r w:rsidRPr="0009163D">
              <w:rPr>
                <w:rFonts w:ascii="Arabic Typesetting" w:hAnsi="Arabic Typesetting" w:cs="Arabic Typesetting"/>
                <w:sz w:val="30"/>
                <w:szCs w:val="30"/>
                <w:rtl/>
                <w:lang w:bidi="ar"/>
              </w:rPr>
              <w:t xml:space="preserve"> الكتب</w:t>
            </w:r>
            <w:r w:rsidRPr="0009163D">
              <w:rPr>
                <w:rFonts w:ascii="Arabic Typesetting" w:hAnsi="Arabic Typesetting" w:cs="Arabic Typesetting" w:hint="cs"/>
                <w:sz w:val="30"/>
                <w:szCs w:val="30"/>
                <w:rtl/>
                <w:lang w:bidi="ar"/>
              </w:rPr>
              <w:t xml:space="preserve"> ميسرة</w:t>
            </w:r>
            <w:r w:rsidRPr="0009163D">
              <w:rPr>
                <w:rFonts w:ascii="Arabic Typesetting" w:hAnsi="Arabic Typesetting" w:cs="Arabic Typesetting"/>
                <w:sz w:val="30"/>
                <w:szCs w:val="30"/>
                <w:rtl/>
                <w:lang w:bidi="ar"/>
              </w:rPr>
              <w:t xml:space="preserve"> في المستقبل</w:t>
            </w:r>
            <w:r w:rsidRPr="0009163D">
              <w:rPr>
                <w:rFonts w:ascii="Arabic Typesetting" w:hAnsi="Arabic Typesetting" w:cs="Arabic Typesetting" w:hint="cs"/>
                <w:sz w:val="30"/>
                <w:szCs w:val="30"/>
                <w:rtl/>
                <w:lang w:bidi="ar"/>
              </w:rPr>
              <w:t>.</w:t>
            </w:r>
          </w:p>
        </w:tc>
      </w:tr>
      <w:tr w:rsidR="0009163D" w:rsidRPr="0009163D" w:rsidTr="00925848">
        <w:trPr>
          <w:cantSplit/>
        </w:trPr>
        <w:tc>
          <w:tcPr>
            <w:tcW w:w="187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SimSun" w:hAnsi="Arabic Typesetting" w:cs="Arabic Typesetting" w:hint="cs"/>
                <w:sz w:val="30"/>
                <w:szCs w:val="30"/>
                <w:rtl/>
                <w:lang w:bidi="ar"/>
              </w:rPr>
              <w:t>مشروع قطري</w:t>
            </w:r>
            <w:r w:rsidRPr="0009163D">
              <w:rPr>
                <w:rFonts w:ascii="Arabic Typesetting" w:eastAsia="SimSun" w:hAnsi="Arabic Typesetting" w:cs="Arabic Typesetting"/>
                <w:sz w:val="30"/>
                <w:szCs w:val="30"/>
                <w:rtl/>
                <w:lang w:bidi="ar"/>
              </w:rPr>
              <w:t xml:space="preserve"> </w:t>
            </w:r>
            <w:r w:rsidRPr="0009163D">
              <w:rPr>
                <w:rFonts w:ascii="Arabic Typesetting" w:eastAsia="SimSun" w:hAnsi="Arabic Typesetting" w:cs="Arabic Typesetting" w:hint="cs"/>
                <w:sz w:val="30"/>
                <w:szCs w:val="30"/>
                <w:rtl/>
                <w:lang w:bidi="ar"/>
              </w:rPr>
              <w:t xml:space="preserve">بشأن </w:t>
            </w:r>
            <w:r w:rsidRPr="0009163D">
              <w:rPr>
                <w:rFonts w:ascii="Arabic Typesetting" w:eastAsia="SimSun" w:hAnsi="Arabic Typesetting" w:cs="Arabic Typesetting"/>
                <w:sz w:val="30"/>
                <w:szCs w:val="30"/>
                <w:rtl/>
                <w:lang w:bidi="ar"/>
              </w:rPr>
              <w:t>الترجمة والنشر</w:t>
            </w:r>
          </w:p>
        </w:tc>
        <w:tc>
          <w:tcPr>
            <w:tcW w:w="113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Batang" w:hAnsi="Arabic Typesetting" w:cs="Arabic Typesetting"/>
                <w:color w:val="000000"/>
                <w:sz w:val="30"/>
                <w:szCs w:val="30"/>
                <w:rtl/>
                <w:lang w:eastAsia="ko-KR"/>
              </w:rPr>
              <w:t>من يناير إلى ديسمبر</w:t>
            </w:r>
            <w:r w:rsidRPr="0009163D">
              <w:rPr>
                <w:rFonts w:ascii="Arabic Typesetting" w:eastAsia="Batang" w:hAnsi="Arabic Typesetting" w:cs="Arabic Typesetting" w:hint="cs"/>
                <w:color w:val="000000"/>
                <w:sz w:val="30"/>
                <w:szCs w:val="30"/>
                <w:rtl/>
                <w:lang w:eastAsia="ko-KR"/>
              </w:rPr>
              <w:t xml:space="preserve"> 2015</w:t>
            </w:r>
            <w:r w:rsidRPr="00F96634">
              <w:rPr>
                <w:rFonts w:ascii="Arabic Typesetting" w:eastAsia="Batang" w:hAnsi="Arabic Typesetting" w:cs="Arabic Typesetting"/>
                <w:color w:val="000000"/>
                <w:sz w:val="28"/>
                <w:szCs w:val="28"/>
                <w:vertAlign w:val="superscript"/>
                <w:lang w:eastAsia="ko-KR"/>
              </w:rPr>
              <w:footnoteReference w:id="160"/>
            </w:r>
            <w:r w:rsidRPr="0009163D">
              <w:rPr>
                <w:rFonts w:ascii="Arabic Typesetting" w:eastAsia="Batang" w:hAnsi="Arabic Typesetting" w:cs="Arabic Typesetting" w:hint="cs"/>
                <w:color w:val="000000"/>
                <w:sz w:val="30"/>
                <w:szCs w:val="30"/>
                <w:rtl/>
                <w:lang w:eastAsia="ko-KR"/>
              </w:rPr>
              <w:t xml:space="preserve"> </w:t>
            </w:r>
            <w:r w:rsidRPr="0009163D">
              <w:rPr>
                <w:rFonts w:ascii="Arabic Typesetting" w:eastAsia="Batang" w:hAnsi="Arabic Typesetting" w:cs="Arabic Typesetting"/>
                <w:color w:val="000000"/>
                <w:sz w:val="30"/>
                <w:szCs w:val="30"/>
                <w:rtl/>
                <w:lang w:eastAsia="ko-KR"/>
              </w:rPr>
              <w:t>(مستمر)</w:t>
            </w:r>
          </w:p>
        </w:tc>
        <w:tc>
          <w:tcPr>
            <w:tcW w:w="198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eastAsia="SimSun" w:hAnsi="Arabic Typesetting" w:cs="Arabic Typesetting"/>
                <w:sz w:val="30"/>
                <w:szCs w:val="30"/>
                <w:rtl/>
                <w:lang w:bidi="ar"/>
              </w:rPr>
              <w:t>تونغا</w:t>
            </w:r>
          </w:p>
        </w:tc>
        <w:tc>
          <w:tcPr>
            <w:tcW w:w="4395" w:type="dxa"/>
            <w:shd w:val="clear" w:color="auto" w:fill="FFFFFF"/>
            <w:tcMar>
              <w:top w:w="110" w:type="dxa"/>
            </w:tcMar>
          </w:tcPr>
          <w:p w:rsidR="0009163D" w:rsidRPr="0009163D" w:rsidRDefault="0009163D" w:rsidP="0009163D">
            <w:pPr>
              <w:bidi/>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sz w:val="30"/>
                <w:szCs w:val="30"/>
                <w:rtl/>
                <w:lang w:bidi="ar"/>
              </w:rPr>
              <w:t xml:space="preserve">تعزيز قدرة </w:t>
            </w:r>
            <w:r w:rsidRPr="0009163D">
              <w:rPr>
                <w:rFonts w:ascii="Arabic Typesetting" w:hAnsi="Arabic Typesetting" w:cs="Arabic Typesetting" w:hint="cs"/>
                <w:sz w:val="30"/>
                <w:szCs w:val="30"/>
                <w:rtl/>
                <w:lang w:bidi="ar"/>
              </w:rPr>
              <w:t>مكاتب الملكية الفكرية</w:t>
            </w:r>
            <w:r w:rsidRPr="0009163D">
              <w:rPr>
                <w:rFonts w:ascii="Arabic Typesetting" w:hAnsi="Arabic Typesetting" w:cs="Arabic Typesetting"/>
                <w:sz w:val="30"/>
                <w:szCs w:val="30"/>
                <w:lang w:bidi="ar"/>
              </w:rPr>
              <w:t xml:space="preserve"> </w:t>
            </w:r>
            <w:r w:rsidRPr="0009163D">
              <w:rPr>
                <w:rFonts w:ascii="Arabic Typesetting" w:hAnsi="Arabic Typesetting" w:cs="Arabic Typesetting"/>
                <w:sz w:val="30"/>
                <w:szCs w:val="30"/>
                <w:rtl/>
                <w:lang w:bidi="ar"/>
              </w:rPr>
              <w:t xml:space="preserve">لتنفيذ برامج التوعية العامة، وبالتالي إيجاد بيئة مواتية من أجل الاستخدام الفعال </w:t>
            </w:r>
            <w:r w:rsidRPr="0009163D">
              <w:rPr>
                <w:rFonts w:ascii="Arabic Typesetting" w:hAnsi="Arabic Typesetting" w:cs="Arabic Typesetting" w:hint="cs"/>
                <w:sz w:val="30"/>
                <w:szCs w:val="30"/>
                <w:rtl/>
                <w:lang w:bidi="ar"/>
              </w:rPr>
              <w:t>ل</w:t>
            </w:r>
            <w:r w:rsidRPr="0009163D">
              <w:rPr>
                <w:rFonts w:ascii="Arabic Typesetting" w:hAnsi="Arabic Typesetting" w:cs="Arabic Typesetting"/>
                <w:sz w:val="30"/>
                <w:szCs w:val="30"/>
                <w:rtl/>
                <w:lang w:bidi="ar"/>
              </w:rPr>
              <w:t>حق المؤلف والحقوق المجاورة</w:t>
            </w:r>
            <w:r w:rsidRPr="0009163D">
              <w:rPr>
                <w:rFonts w:ascii="Arabic Typesetting" w:hAnsi="Arabic Typesetting" w:cs="Arabic Typesetting" w:hint="cs"/>
                <w:sz w:val="30"/>
                <w:szCs w:val="30"/>
                <w:rtl/>
                <w:lang w:bidi="ar"/>
              </w:rPr>
              <w:t xml:space="preserve"> وحمايتها.</w:t>
            </w:r>
          </w:p>
        </w:tc>
      </w:tr>
      <w:tr w:rsidR="0009163D" w:rsidRPr="0009163D" w:rsidTr="00925848">
        <w:trPr>
          <w:cantSplit/>
        </w:trPr>
        <w:tc>
          <w:tcPr>
            <w:tcW w:w="9386"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4.4</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09163D" w:rsidRPr="0009163D" w:rsidTr="00925848">
        <w:trPr>
          <w:cantSplit/>
        </w:trPr>
        <w:tc>
          <w:tcPr>
            <w:tcW w:w="187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73" w:type="dxa"/>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hAnsi="Arabic Typesetting" w:cs="Arabic Typesetting" w:hint="cs"/>
                <w:sz w:val="30"/>
                <w:szCs w:val="30"/>
                <w:rtl/>
                <w:lang w:bidi="ar"/>
              </w:rPr>
              <w:t xml:space="preserve">حلقة عمل </w:t>
            </w:r>
            <w:proofErr w:type="spellStart"/>
            <w:r w:rsidRPr="0009163D">
              <w:rPr>
                <w:rFonts w:ascii="Arabic Typesetting" w:hAnsi="Arabic Typesetting" w:cs="Arabic Typesetting" w:hint="cs"/>
                <w:sz w:val="30"/>
                <w:szCs w:val="30"/>
                <w:rtl/>
                <w:lang w:bidi="ar"/>
              </w:rPr>
              <w:t>أقاليمية</w:t>
            </w:r>
            <w:proofErr w:type="spellEnd"/>
            <w:r w:rsidRPr="0009163D">
              <w:rPr>
                <w:rFonts w:ascii="Arabic Typesetting" w:hAnsi="Arabic Typesetting" w:cs="Arabic Typesetting" w:hint="cs"/>
                <w:sz w:val="30"/>
                <w:szCs w:val="30"/>
                <w:rtl/>
                <w:lang w:bidi="ar"/>
              </w:rPr>
              <w:t xml:space="preserve"> لرؤساء مكاتب حق المؤلف بشأن بناء القدرات في مجال حق المؤلف</w:t>
            </w:r>
          </w:p>
        </w:tc>
        <w:tc>
          <w:tcPr>
            <w:tcW w:w="1134" w:type="dxa"/>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eastAsia="Batang" w:hAnsi="Arabic Typesetting" w:cs="Arabic Typesetting"/>
                <w:color w:val="000000"/>
                <w:sz w:val="30"/>
                <w:szCs w:val="30"/>
                <w:rtl/>
                <w:lang w:eastAsia="ko-KR"/>
              </w:rPr>
              <w:t xml:space="preserve">من </w:t>
            </w:r>
            <w:r w:rsidRPr="0009163D">
              <w:rPr>
                <w:rFonts w:ascii="Arabic Typesetting" w:eastAsia="Batang" w:hAnsi="Arabic Typesetting" w:cs="Arabic Typesetting" w:hint="cs"/>
                <w:color w:val="000000"/>
                <w:sz w:val="30"/>
                <w:szCs w:val="30"/>
                <w:rtl/>
                <w:lang w:eastAsia="ko-KR"/>
              </w:rPr>
              <w:t xml:space="preserve">3 إلى 5 </w:t>
            </w:r>
            <w:r w:rsidRPr="0009163D">
              <w:rPr>
                <w:rFonts w:ascii="Arabic Typesetting" w:eastAsia="Batang" w:hAnsi="Arabic Typesetting" w:cs="Arabic Typesetting"/>
                <w:color w:val="000000"/>
                <w:sz w:val="30"/>
                <w:szCs w:val="30"/>
                <w:rtl/>
                <w:lang w:eastAsia="ko-KR"/>
              </w:rPr>
              <w:t>فبراير</w:t>
            </w:r>
            <w:r w:rsidRPr="0009163D">
              <w:rPr>
                <w:rFonts w:ascii="Arabic Typesetting" w:eastAsia="Batang" w:hAnsi="Arabic Typesetting" w:cs="Arabic Typesetting" w:hint="cs"/>
                <w:color w:val="000000"/>
                <w:sz w:val="30"/>
                <w:szCs w:val="30"/>
                <w:rtl/>
                <w:lang w:eastAsia="ko-KR"/>
              </w:rPr>
              <w:t xml:space="preserve"> 2015</w:t>
            </w:r>
          </w:p>
        </w:tc>
        <w:tc>
          <w:tcPr>
            <w:tcW w:w="1984" w:type="dxa"/>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hAnsi="Arabic Typesetting" w:cs="Arabic Typesetting" w:hint="cs"/>
                <w:sz w:val="30"/>
                <w:szCs w:val="30"/>
                <w:rtl/>
                <w:lang w:bidi="ar"/>
              </w:rPr>
              <w:t>جمهورية كوريا/27</w:t>
            </w:r>
            <w:r w:rsidRPr="0009163D">
              <w:rPr>
                <w:rFonts w:ascii="Arabic Typesetting" w:hAnsi="Arabic Typesetting" w:cs="Arabic Typesetting" w:hint="cs"/>
                <w:sz w:val="30"/>
                <w:szCs w:val="30"/>
                <w:lang w:bidi="ar"/>
              </w:rPr>
              <w:t xml:space="preserve"> </w:t>
            </w:r>
            <w:r w:rsidRPr="0009163D">
              <w:rPr>
                <w:rFonts w:ascii="Arabic Typesetting" w:hAnsi="Arabic Typesetting" w:cs="Arabic Typesetting" w:hint="cs"/>
                <w:sz w:val="30"/>
                <w:szCs w:val="30"/>
                <w:rtl/>
                <w:lang w:bidi="ar"/>
              </w:rPr>
              <w:t xml:space="preserve">مشاركا من الصين، إكوادور، كينيا، لبنان، ملاوي، المكسيك، منغوليا، باراغواي، الفلبين، قطر، المملكة العربية السعودية، تايلند، </w:t>
            </w:r>
            <w:proofErr w:type="spellStart"/>
            <w:r w:rsidRPr="0009163D">
              <w:rPr>
                <w:rFonts w:ascii="Arabic Typesetting" w:hAnsi="Arabic Typesetting" w:cs="Arabic Typesetting" w:hint="cs"/>
                <w:sz w:val="30"/>
                <w:szCs w:val="30"/>
                <w:rtl/>
                <w:lang w:bidi="ar"/>
              </w:rPr>
              <w:t>فييت</w:t>
            </w:r>
            <w:proofErr w:type="spellEnd"/>
            <w:r w:rsidRPr="0009163D">
              <w:rPr>
                <w:rFonts w:ascii="Arabic Typesetting" w:hAnsi="Arabic Typesetting" w:cs="Arabic Typesetting" w:hint="eastAsia"/>
                <w:sz w:val="30"/>
                <w:szCs w:val="30"/>
                <w:rtl/>
                <w:lang w:bidi="ar"/>
              </w:rPr>
              <w:t> </w:t>
            </w:r>
            <w:r w:rsidRPr="0009163D">
              <w:rPr>
                <w:rFonts w:ascii="Arabic Typesetting" w:hAnsi="Arabic Typesetting" w:cs="Arabic Typesetting" w:hint="cs"/>
                <w:sz w:val="30"/>
                <w:szCs w:val="30"/>
                <w:rtl/>
                <w:lang w:bidi="ar"/>
              </w:rPr>
              <w:t>نام، الأريبو</w:t>
            </w:r>
          </w:p>
        </w:tc>
        <w:tc>
          <w:tcPr>
            <w:tcW w:w="4395" w:type="dxa"/>
            <w:shd w:val="clear" w:color="auto" w:fill="FFFFFF"/>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hAnsi="Arabic Typesetting" w:cs="Arabic Typesetting" w:hint="cs"/>
                <w:sz w:val="30"/>
                <w:szCs w:val="30"/>
                <w:rtl/>
                <w:lang w:bidi="ar"/>
              </w:rPr>
              <w:t>تحديث المعرفة، وتبادل الخبرات في مجال بناء قدرات حق المؤلف، وتبادل الآراء والمنهجيات حول مختلف برامج بناء قدرات حق المؤلف، ومناقشة كيفية تعزيز تلك البرامج على المستويات الوطنية والإقليمية والدولية</w:t>
            </w:r>
            <w:r w:rsidRPr="0009163D">
              <w:rPr>
                <w:rFonts w:ascii="Arabic Typesetting" w:hAnsi="Arabic Typesetting" w:cs="Arabic Typesetting" w:hint="cs"/>
                <w:sz w:val="30"/>
                <w:szCs w:val="30"/>
                <w:lang w:bidi="ar"/>
              </w:rPr>
              <w:t>.</w:t>
            </w:r>
          </w:p>
        </w:tc>
      </w:tr>
      <w:tr w:rsidR="0009163D" w:rsidRPr="0009163D" w:rsidTr="00925848">
        <w:trPr>
          <w:cantSplit/>
        </w:trPr>
        <w:tc>
          <w:tcPr>
            <w:tcW w:w="1873" w:type="dxa"/>
          </w:tcPr>
          <w:p w:rsidR="0009163D" w:rsidRPr="0009163D" w:rsidRDefault="0009163D" w:rsidP="0009163D">
            <w:pPr>
              <w:bidi/>
              <w:spacing w:before="80" w:after="60" w:line="280" w:lineRule="exact"/>
              <w:rPr>
                <w:rFonts w:ascii="Arabic Typesetting" w:hAnsi="Arabic Typesetting" w:cs="Arabic Typesetting"/>
                <w:sz w:val="30"/>
                <w:szCs w:val="30"/>
                <w:rtl/>
                <w:lang w:bidi="ar"/>
              </w:rPr>
            </w:pPr>
            <w:r w:rsidRPr="0009163D">
              <w:rPr>
                <w:rFonts w:ascii="Arabic Typesetting" w:hAnsi="Arabic Typesetting" w:cs="Arabic Typesetting" w:hint="cs"/>
                <w:sz w:val="30"/>
                <w:szCs w:val="30"/>
                <w:rtl/>
                <w:lang w:bidi="ar"/>
              </w:rPr>
              <w:t>حلقة عمل دون إقليمية عن التعاون في حق المؤلف والحقوق المجاورة</w:t>
            </w:r>
          </w:p>
        </w:tc>
        <w:tc>
          <w:tcPr>
            <w:tcW w:w="1134" w:type="dxa"/>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eastAsia="Batang" w:hAnsi="Arabic Typesetting" w:cs="Arabic Typesetting"/>
                <w:color w:val="000000"/>
                <w:sz w:val="30"/>
                <w:szCs w:val="30"/>
                <w:rtl/>
                <w:lang w:eastAsia="ko-KR"/>
              </w:rPr>
              <w:t xml:space="preserve">من </w:t>
            </w:r>
            <w:r w:rsidRPr="0009163D">
              <w:rPr>
                <w:rFonts w:ascii="Arabic Typesetting" w:eastAsia="Batang" w:hAnsi="Arabic Typesetting" w:cs="Arabic Typesetting" w:hint="cs"/>
                <w:color w:val="000000"/>
                <w:sz w:val="30"/>
                <w:szCs w:val="30"/>
                <w:rtl/>
                <w:lang w:eastAsia="ko-KR"/>
              </w:rPr>
              <w:t>18 إلى 20 يونيو</w:t>
            </w:r>
            <w:r w:rsidRPr="0009163D">
              <w:rPr>
                <w:rFonts w:ascii="Arabic Typesetting" w:eastAsia="Batang" w:hAnsi="Arabic Typesetting" w:cs="Arabic Typesetting"/>
                <w:color w:val="000000"/>
                <w:sz w:val="30"/>
                <w:szCs w:val="30"/>
                <w:rtl/>
                <w:lang w:eastAsia="ko-KR"/>
              </w:rPr>
              <w:t xml:space="preserve"> </w:t>
            </w:r>
            <w:r w:rsidRPr="0009163D">
              <w:rPr>
                <w:rFonts w:ascii="Arabic Typesetting" w:eastAsia="Batang" w:hAnsi="Arabic Typesetting" w:cs="Arabic Typesetting" w:hint="cs"/>
                <w:color w:val="000000"/>
                <w:sz w:val="30"/>
                <w:szCs w:val="30"/>
                <w:rtl/>
                <w:lang w:eastAsia="ko-KR"/>
              </w:rPr>
              <w:t>2015</w:t>
            </w:r>
          </w:p>
        </w:tc>
        <w:tc>
          <w:tcPr>
            <w:tcW w:w="1984" w:type="dxa"/>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hAnsi="Arabic Typesetting" w:cs="Arabic Typesetting" w:hint="cs"/>
                <w:sz w:val="30"/>
                <w:szCs w:val="30"/>
                <w:rtl/>
                <w:lang w:bidi="ar"/>
              </w:rPr>
              <w:t>منغوليا/15</w:t>
            </w:r>
            <w:r w:rsidRPr="0009163D">
              <w:rPr>
                <w:rFonts w:ascii="Arabic Typesetting" w:hAnsi="Arabic Typesetting" w:cs="Arabic Typesetting" w:hint="cs"/>
                <w:sz w:val="30"/>
                <w:szCs w:val="30"/>
                <w:lang w:bidi="ar"/>
              </w:rPr>
              <w:t xml:space="preserve"> </w:t>
            </w:r>
            <w:r w:rsidRPr="0009163D">
              <w:rPr>
                <w:rFonts w:ascii="Arabic Typesetting" w:hAnsi="Arabic Typesetting" w:cs="Arabic Typesetting" w:hint="cs"/>
                <w:sz w:val="30"/>
                <w:szCs w:val="30"/>
                <w:rtl/>
                <w:lang w:bidi="ar"/>
              </w:rPr>
              <w:t>مشاركا من الصين، منغوليا، جمهورية كوريا، روسيا</w:t>
            </w:r>
          </w:p>
        </w:tc>
        <w:tc>
          <w:tcPr>
            <w:tcW w:w="4395" w:type="dxa"/>
            <w:shd w:val="clear" w:color="auto" w:fill="FFFFFF"/>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hAnsi="Arabic Typesetting" w:cs="Arabic Typesetting" w:hint="cs"/>
                <w:sz w:val="30"/>
                <w:szCs w:val="30"/>
                <w:rtl/>
                <w:lang w:bidi="ar"/>
              </w:rPr>
              <w:t>تبادل المعلومات والخبرات بين الدول المشاركة بشأن تطوير نظام حق المؤلف والبحث عن فرص جديدة لتعزيز التعاون بين هذه البلدان في مجال حق المؤلف والحقوق المجاورة</w:t>
            </w:r>
            <w:r w:rsidRPr="0009163D">
              <w:rPr>
                <w:rFonts w:ascii="Arabic Typesetting" w:hAnsi="Arabic Typesetting" w:cs="Arabic Typesetting" w:hint="cs"/>
                <w:sz w:val="30"/>
                <w:szCs w:val="30"/>
                <w:lang w:bidi="ar"/>
              </w:rPr>
              <w:t>.</w:t>
            </w:r>
          </w:p>
        </w:tc>
      </w:tr>
      <w:tr w:rsidR="0009163D" w:rsidRPr="0009163D" w:rsidTr="00925848">
        <w:trPr>
          <w:cantSplit/>
        </w:trPr>
        <w:tc>
          <w:tcPr>
            <w:tcW w:w="1873" w:type="dxa"/>
          </w:tcPr>
          <w:p w:rsidR="0009163D" w:rsidRPr="0009163D" w:rsidRDefault="0009163D" w:rsidP="0009163D">
            <w:pPr>
              <w:bidi/>
              <w:spacing w:before="80" w:after="60" w:line="280" w:lineRule="exact"/>
              <w:rPr>
                <w:rFonts w:ascii="Arabic Typesetting" w:hAnsi="Arabic Typesetting" w:cs="Arabic Typesetting"/>
                <w:sz w:val="30"/>
                <w:szCs w:val="30"/>
                <w:rtl/>
                <w:lang w:bidi="ar"/>
              </w:rPr>
            </w:pPr>
            <w:r w:rsidRPr="0009163D">
              <w:rPr>
                <w:rFonts w:ascii="Arabic Typesetting" w:hAnsi="Arabic Typesetting" w:cs="Arabic Typesetting" w:hint="cs"/>
                <w:sz w:val="30"/>
                <w:szCs w:val="30"/>
                <w:rtl/>
                <w:lang w:bidi="ar"/>
              </w:rPr>
              <w:t>حلقة عمل دون إقليمية عن حق المؤلف والحقوق المجاورة</w:t>
            </w:r>
          </w:p>
        </w:tc>
        <w:tc>
          <w:tcPr>
            <w:tcW w:w="1134" w:type="dxa"/>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eastAsia="Batang" w:hAnsi="Arabic Typesetting" w:cs="Arabic Typesetting"/>
                <w:color w:val="000000"/>
                <w:sz w:val="30"/>
                <w:szCs w:val="30"/>
                <w:rtl/>
                <w:lang w:eastAsia="ko-KR"/>
              </w:rPr>
              <w:t xml:space="preserve">من </w:t>
            </w:r>
            <w:r w:rsidRPr="0009163D">
              <w:rPr>
                <w:rFonts w:ascii="Arabic Typesetting" w:eastAsia="Batang" w:hAnsi="Arabic Typesetting" w:cs="Arabic Typesetting" w:hint="cs"/>
                <w:color w:val="000000"/>
                <w:sz w:val="30"/>
                <w:szCs w:val="30"/>
                <w:rtl/>
                <w:lang w:eastAsia="ko-KR"/>
              </w:rPr>
              <w:t>2 إلى 4 سبتمبر</w:t>
            </w:r>
            <w:r w:rsidRPr="0009163D">
              <w:rPr>
                <w:rFonts w:ascii="Arabic Typesetting" w:eastAsia="Batang" w:hAnsi="Arabic Typesetting" w:cs="Arabic Typesetting"/>
                <w:color w:val="000000"/>
                <w:sz w:val="30"/>
                <w:szCs w:val="30"/>
                <w:rtl/>
                <w:lang w:eastAsia="ko-KR"/>
              </w:rPr>
              <w:t xml:space="preserve"> </w:t>
            </w:r>
            <w:r w:rsidRPr="0009163D">
              <w:rPr>
                <w:rFonts w:ascii="Arabic Typesetting" w:eastAsia="Batang" w:hAnsi="Arabic Typesetting" w:cs="Arabic Typesetting" w:hint="cs"/>
                <w:color w:val="000000"/>
                <w:sz w:val="30"/>
                <w:szCs w:val="30"/>
                <w:rtl/>
                <w:lang w:eastAsia="ko-KR"/>
              </w:rPr>
              <w:t>2015</w:t>
            </w:r>
          </w:p>
        </w:tc>
        <w:tc>
          <w:tcPr>
            <w:tcW w:w="1984" w:type="dxa"/>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hAnsi="Arabic Typesetting" w:cs="Arabic Typesetting" w:hint="cs"/>
                <w:sz w:val="30"/>
                <w:szCs w:val="30"/>
                <w:rtl/>
                <w:lang w:bidi="ar"/>
              </w:rPr>
              <w:t>كمبوديا/15</w:t>
            </w:r>
            <w:r w:rsidRPr="0009163D">
              <w:rPr>
                <w:rFonts w:ascii="Arabic Typesetting" w:hAnsi="Arabic Typesetting" w:cs="Arabic Typesetting" w:hint="cs"/>
                <w:sz w:val="30"/>
                <w:szCs w:val="30"/>
                <w:lang w:bidi="ar"/>
              </w:rPr>
              <w:t xml:space="preserve"> </w:t>
            </w:r>
            <w:r w:rsidRPr="0009163D">
              <w:rPr>
                <w:rFonts w:ascii="Arabic Typesetting" w:hAnsi="Arabic Typesetting" w:cs="Arabic Typesetting" w:hint="cs"/>
                <w:sz w:val="30"/>
                <w:szCs w:val="30"/>
                <w:rtl/>
                <w:lang w:bidi="ar"/>
              </w:rPr>
              <w:t xml:space="preserve">مشاركا من كمبوديا، جمهورية لاو الديمقراطية الشعبية، ميانمار، تايلند، </w:t>
            </w:r>
            <w:proofErr w:type="spellStart"/>
            <w:r w:rsidRPr="0009163D">
              <w:rPr>
                <w:rFonts w:ascii="Arabic Typesetting" w:hAnsi="Arabic Typesetting" w:cs="Arabic Typesetting" w:hint="cs"/>
                <w:sz w:val="30"/>
                <w:szCs w:val="30"/>
                <w:rtl/>
                <w:lang w:bidi="ar"/>
              </w:rPr>
              <w:t>فييت</w:t>
            </w:r>
            <w:proofErr w:type="spellEnd"/>
            <w:r w:rsidRPr="0009163D">
              <w:rPr>
                <w:rFonts w:ascii="Arabic Typesetting" w:hAnsi="Arabic Typesetting" w:cs="Arabic Typesetting" w:hint="cs"/>
                <w:sz w:val="30"/>
                <w:szCs w:val="30"/>
                <w:rtl/>
                <w:lang w:bidi="ar"/>
              </w:rPr>
              <w:t xml:space="preserve"> نام</w:t>
            </w:r>
          </w:p>
        </w:tc>
        <w:tc>
          <w:tcPr>
            <w:tcW w:w="4395" w:type="dxa"/>
            <w:shd w:val="clear" w:color="auto" w:fill="FFFFFF"/>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hAnsi="Arabic Typesetting" w:cs="Arabic Typesetting" w:hint="cs"/>
                <w:sz w:val="30"/>
                <w:szCs w:val="30"/>
                <w:rtl/>
                <w:lang w:bidi="ar"/>
              </w:rPr>
              <w:t>تبادل المعلومات والخبرات بين الدول المشاركة بشأن تطوير سياسات حق المؤلف وأنظمته مع التركيز بشكل خاص على بناء القدرات</w:t>
            </w:r>
            <w:r w:rsidRPr="0009163D">
              <w:rPr>
                <w:rFonts w:ascii="Arabic Typesetting" w:hAnsi="Arabic Typesetting" w:cs="Arabic Typesetting" w:hint="cs"/>
                <w:sz w:val="30"/>
                <w:szCs w:val="30"/>
                <w:lang w:bidi="ar"/>
              </w:rPr>
              <w:t>.</w:t>
            </w:r>
          </w:p>
        </w:tc>
      </w:tr>
      <w:tr w:rsidR="0009163D" w:rsidRPr="0009163D" w:rsidTr="00925848">
        <w:trPr>
          <w:cantSplit/>
        </w:trPr>
        <w:tc>
          <w:tcPr>
            <w:tcW w:w="1873" w:type="dxa"/>
            <w:tcBorders>
              <w:bottom w:val="single" w:sz="4" w:space="0" w:color="000000"/>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زيارة دراسية للمفوضية الكورية لحق المؤلف</w:t>
            </w:r>
          </w:p>
        </w:tc>
        <w:tc>
          <w:tcPr>
            <w:tcW w:w="1134" w:type="dxa"/>
            <w:tcBorders>
              <w:bottom w:val="single" w:sz="4" w:space="0" w:color="000000"/>
            </w:tcBorders>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eastAsia="Batang" w:hAnsi="Arabic Typesetting" w:cs="Arabic Typesetting"/>
                <w:color w:val="000000"/>
                <w:sz w:val="30"/>
                <w:szCs w:val="30"/>
                <w:rtl/>
                <w:lang w:eastAsia="ko-KR"/>
              </w:rPr>
              <w:t xml:space="preserve">من </w:t>
            </w:r>
            <w:r w:rsidRPr="0009163D">
              <w:rPr>
                <w:rFonts w:ascii="Arabic Typesetting" w:eastAsia="Batang" w:hAnsi="Arabic Typesetting" w:cs="Arabic Typesetting" w:hint="cs"/>
                <w:color w:val="000000"/>
                <w:sz w:val="30"/>
                <w:szCs w:val="30"/>
                <w:rtl/>
                <w:lang w:eastAsia="ko-KR"/>
              </w:rPr>
              <w:t>2 إلى 6 نوفمبر 2015</w:t>
            </w:r>
          </w:p>
        </w:tc>
        <w:tc>
          <w:tcPr>
            <w:tcW w:w="1984" w:type="dxa"/>
            <w:tcBorders>
              <w:bottom w:val="single" w:sz="4" w:space="0" w:color="000000"/>
            </w:tcBorders>
            <w:tcMar>
              <w:top w:w="110" w:type="dxa"/>
            </w:tcMar>
          </w:tcPr>
          <w:p w:rsidR="0009163D" w:rsidRPr="0009163D" w:rsidRDefault="0009163D" w:rsidP="0009163D">
            <w:pPr>
              <w:bidi/>
              <w:spacing w:before="80" w:after="60" w:line="280" w:lineRule="exact"/>
              <w:rPr>
                <w:rFonts w:ascii="Arabic Typesetting" w:hAnsi="Arabic Typesetting" w:cs="Arabic Typesetting"/>
                <w:sz w:val="30"/>
                <w:szCs w:val="30"/>
                <w:lang w:bidi="ar"/>
              </w:rPr>
            </w:pPr>
            <w:r w:rsidRPr="0009163D">
              <w:rPr>
                <w:rFonts w:ascii="Arabic Typesetting" w:hAnsi="Arabic Typesetting" w:cs="Arabic Typesetting" w:hint="cs"/>
                <w:sz w:val="30"/>
                <w:szCs w:val="30"/>
                <w:rtl/>
                <w:lang w:bidi="ar"/>
              </w:rPr>
              <w:t>جمهورية كوريا/13</w:t>
            </w:r>
            <w:r w:rsidRPr="0009163D">
              <w:rPr>
                <w:rFonts w:ascii="Arabic Typesetting" w:hAnsi="Arabic Typesetting" w:cs="Arabic Typesetting" w:hint="cs"/>
                <w:sz w:val="30"/>
                <w:szCs w:val="30"/>
                <w:lang w:bidi="ar"/>
              </w:rPr>
              <w:t xml:space="preserve"> </w:t>
            </w:r>
            <w:r w:rsidRPr="0009163D">
              <w:rPr>
                <w:rFonts w:ascii="Arabic Typesetting" w:hAnsi="Arabic Typesetting" w:cs="Arabic Typesetting" w:hint="cs"/>
                <w:sz w:val="30"/>
                <w:szCs w:val="30"/>
                <w:rtl/>
                <w:lang w:bidi="ar"/>
              </w:rPr>
              <w:t>مشاركا من كمبوديا، الصين، جزر كوك، كوستاريكا، كوت ديفوار، السلفادور، غانا، هندوراس، الهند، الفلبين، تونغا، تونس، جمهورية تنزانيا المتحدة</w:t>
            </w:r>
          </w:p>
        </w:tc>
        <w:tc>
          <w:tcPr>
            <w:tcW w:w="4395" w:type="dxa"/>
            <w:tcBorders>
              <w:bottom w:val="single" w:sz="4" w:space="0" w:color="000000"/>
            </w:tcBorders>
            <w:shd w:val="clear" w:color="auto" w:fill="FFFFFF"/>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معرفة</w:t>
            </w:r>
            <w:r w:rsidRPr="0009163D">
              <w:rPr>
                <w:rFonts w:ascii="Arabic Typesetting" w:hAnsi="Arabic Typesetting" w:cs="Arabic Typesetting"/>
                <w:color w:val="000000"/>
                <w:sz w:val="30"/>
                <w:szCs w:val="30"/>
                <w:rtl/>
              </w:rPr>
              <w:t xml:space="preserve"> التجربة الكورية في مجال إدارة حقوق المؤلف والحقوق المجاورة </w:t>
            </w:r>
            <w:r w:rsidRPr="0009163D">
              <w:rPr>
                <w:rFonts w:ascii="Arabic Typesetting" w:hAnsi="Arabic Typesetting" w:cs="Arabic Typesetting" w:hint="cs"/>
                <w:color w:val="000000"/>
                <w:sz w:val="30"/>
                <w:szCs w:val="30"/>
                <w:rtl/>
              </w:rPr>
              <w:t>ل</w:t>
            </w:r>
            <w:r w:rsidRPr="0009163D">
              <w:rPr>
                <w:rFonts w:ascii="Arabic Typesetting" w:hAnsi="Arabic Typesetting" w:cs="Arabic Typesetting"/>
                <w:color w:val="000000"/>
                <w:sz w:val="30"/>
                <w:szCs w:val="30"/>
                <w:rtl/>
              </w:rPr>
              <w:t>تعزيز قدرات المشاركين على صياغة سياسات حقوق المؤلف وتحديث الأطر التشريعية والإدارية وتحسين وظائف</w:t>
            </w:r>
            <w:r w:rsidRPr="0009163D">
              <w:rPr>
                <w:rFonts w:ascii="Arabic Typesetting" w:hAnsi="Arabic Typesetting" w:cs="Arabic Typesetting" w:hint="cs"/>
                <w:color w:val="000000"/>
                <w:sz w:val="30"/>
                <w:szCs w:val="30"/>
                <w:rtl/>
              </w:rPr>
              <w:t xml:space="preserve"> منظمات</w:t>
            </w:r>
            <w:r w:rsidRPr="0009163D">
              <w:rPr>
                <w:rFonts w:ascii="Arabic Typesetting" w:hAnsi="Arabic Typesetting" w:cs="Arabic Typesetting"/>
                <w:color w:val="000000"/>
                <w:sz w:val="30"/>
                <w:szCs w:val="30"/>
                <w:rtl/>
              </w:rPr>
              <w:t xml:space="preserve"> حق المؤلف في بلدانهم.</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lastRenderedPageBreak/>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جمهورية كوريا/حق المؤلف في </w:t>
      </w:r>
      <w:r w:rsidRPr="0009163D">
        <w:rPr>
          <w:rFonts w:ascii="Arabic Typesetting" w:hAnsi="Arabic Typesetting" w:cs="Arabic Typesetting" w:hint="cs"/>
          <w:bCs/>
          <w:sz w:val="34"/>
          <w:szCs w:val="34"/>
          <w:rtl/>
        </w:rPr>
        <w:t>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579,780</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310,768</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360,896</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529,652</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جمهورية كوريا</w:t>
      </w:r>
      <w:r w:rsidRPr="0009163D">
        <w:rPr>
          <w:rFonts w:ascii="Arabic Typesetting" w:hAnsi="Arabic Typesetting" w:cs="Arabic Typesetting" w:hint="cs"/>
          <w:bCs/>
          <w:sz w:val="34"/>
          <w:szCs w:val="34"/>
          <w:rtl/>
        </w:rPr>
        <w:t>/</w:t>
      </w:r>
      <w:r w:rsidRPr="0009163D">
        <w:rPr>
          <w:rFonts w:ascii="Arabic Typesetting" w:hAnsi="Arabic Typesetting" w:cs="Arabic Typesetting"/>
          <w:bCs/>
          <w:sz w:val="34"/>
          <w:szCs w:val="34"/>
          <w:rtl/>
        </w:rPr>
        <w:t xml:space="preserve">التعليم – منح دراسية </w:t>
      </w:r>
      <w:r w:rsidRPr="0009163D">
        <w:rPr>
          <w:rFonts w:ascii="Arabic Typesetting" w:hAnsi="Arabic Typesetting" w:cs="Arabic Typesetting" w:hint="cs"/>
          <w:bCs/>
          <w:sz w:val="34"/>
          <w:szCs w:val="34"/>
          <w:rtl/>
        </w:rPr>
        <w:t>في مجال</w:t>
      </w:r>
      <w:r w:rsidRPr="0009163D">
        <w:rPr>
          <w:rFonts w:ascii="Arabic Typesetting" w:hAnsi="Arabic Typesetting" w:cs="Arabic Typesetting"/>
          <w:bCs/>
          <w:sz w:val="34"/>
          <w:szCs w:val="34"/>
          <w:rtl/>
        </w:rPr>
        <w:t xml:space="preserve"> الملكية الفكرية (أكاديمية)</w:t>
      </w:r>
    </w:p>
    <w:tbl>
      <w:tblPr>
        <w:bidiVisual/>
        <w:tblW w:w="9356"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1983"/>
        <w:gridCol w:w="4396"/>
      </w:tblGrid>
      <w:tr w:rsidR="0009163D" w:rsidRPr="0009163D" w:rsidTr="00925848">
        <w:trPr>
          <w:cantSplit/>
        </w:trPr>
        <w:tc>
          <w:tcPr>
            <w:tcW w:w="9356" w:type="dxa"/>
            <w:gridSpan w:val="4"/>
            <w:tcBorders>
              <w:top w:val="single" w:sz="4" w:space="0" w:color="000000"/>
              <w:bottom w:val="single" w:sz="4" w:space="0" w:color="auto"/>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Pr>
        <w:tc>
          <w:tcPr>
            <w:tcW w:w="1843" w:type="dxa"/>
            <w:tcBorders>
              <w:top w:val="single" w:sz="4" w:space="0" w:color="auto"/>
              <w:left w:val="single" w:sz="4" w:space="0" w:color="auto"/>
              <w:bottom w:val="nil"/>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bottom w:val="nil"/>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3" w:type="dxa"/>
            <w:tcBorders>
              <w:top w:val="single" w:sz="4" w:space="0" w:color="auto"/>
              <w:bottom w:val="nil"/>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6" w:type="dxa"/>
            <w:tcBorders>
              <w:top w:val="single" w:sz="4" w:space="0" w:color="auto"/>
              <w:bottom w:val="nil"/>
              <w:right w:val="single" w:sz="4" w:space="0" w:color="auto"/>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495"/>
        </w:trPr>
        <w:tc>
          <w:tcPr>
            <w:tcW w:w="1843" w:type="dxa"/>
            <w:tcBorders>
              <w:top w:val="nil"/>
              <w:left w:val="single" w:sz="4" w:space="0" w:color="auto"/>
              <w:bottom w:val="nil"/>
            </w:tcBorders>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بعثات دراسية لأكاديمية الويبو – جامعة </w:t>
            </w:r>
            <w:proofErr w:type="spellStart"/>
            <w:r w:rsidRPr="0009163D">
              <w:rPr>
                <w:rFonts w:ascii="Arabic Typesetting" w:hAnsi="Arabic Typesetting" w:cs="Arabic Typesetting"/>
                <w:color w:val="000000"/>
                <w:sz w:val="30"/>
                <w:szCs w:val="30"/>
                <w:rtl/>
              </w:rPr>
              <w:t>كوينزلاند</w:t>
            </w:r>
            <w:proofErr w:type="spellEnd"/>
            <w:r w:rsidRPr="0009163D">
              <w:rPr>
                <w:rFonts w:ascii="Arabic Typesetting" w:hAnsi="Arabic Typesetting" w:cs="Arabic Typesetting"/>
                <w:color w:val="000000"/>
                <w:sz w:val="30"/>
                <w:szCs w:val="30"/>
                <w:rtl/>
              </w:rPr>
              <w:t xml:space="preserve"> للتكنولوجيا (</w:t>
            </w:r>
            <w:proofErr w:type="spellStart"/>
            <w:r w:rsidRPr="0009163D">
              <w:rPr>
                <w:rFonts w:ascii="Arabic Typesetting" w:hAnsi="Arabic Typesetting" w:cs="Arabic Typesetting"/>
                <w:color w:val="000000"/>
                <w:sz w:val="30"/>
                <w:szCs w:val="30"/>
                <w:rtl/>
              </w:rPr>
              <w:t>ويبو</w:t>
            </w:r>
            <w:proofErr w:type="spellEnd"/>
            <w:r w:rsidRPr="0009163D">
              <w:rPr>
                <w:rFonts w:ascii="Arabic Typesetting" w:hAnsi="Arabic Typesetting" w:cs="Arabic Typesetting"/>
                <w:color w:val="000000"/>
                <w:sz w:val="30"/>
                <w:szCs w:val="30"/>
                <w:rtl/>
              </w:rPr>
              <w:t xml:space="preserve">-جامعة </w:t>
            </w:r>
            <w:proofErr w:type="spellStart"/>
            <w:r w:rsidRPr="0009163D">
              <w:rPr>
                <w:rFonts w:ascii="Arabic Typesetting" w:hAnsi="Arabic Typesetting" w:cs="Arabic Typesetting"/>
                <w:color w:val="000000"/>
                <w:sz w:val="30"/>
                <w:szCs w:val="30"/>
                <w:rtl/>
              </w:rPr>
              <w:t>كوينزلاند</w:t>
            </w:r>
            <w:proofErr w:type="spellEnd"/>
            <w:r w:rsidRPr="0009163D">
              <w:rPr>
                <w:rFonts w:ascii="Arabic Typesetting" w:hAnsi="Arabic Typesetting" w:cs="Arabic Typesetting"/>
                <w:color w:val="000000"/>
                <w:sz w:val="30"/>
                <w:szCs w:val="30"/>
                <w:rtl/>
              </w:rPr>
              <w:t xml:space="preserve"> للتكنولوجيا) برنامج ماجستير في قوانين الملكية الفكرية</w:t>
            </w:r>
          </w:p>
        </w:tc>
        <w:tc>
          <w:tcPr>
            <w:tcW w:w="1134" w:type="dxa"/>
            <w:tcBorders>
              <w:top w:val="nil"/>
              <w:bottom w:val="nil"/>
            </w:tcBorders>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3</w:t>
            </w:r>
            <w:r w:rsidRPr="0009163D">
              <w:rPr>
                <w:rFonts w:ascii="Arabic Typesetting" w:hAnsi="Arabic Typesetting" w:cs="Arabic Typesetting"/>
                <w:color w:val="000000"/>
                <w:sz w:val="30"/>
                <w:szCs w:val="30"/>
                <w:rtl/>
              </w:rPr>
              <w:t xml:space="preserve"> فبراير إلى </w:t>
            </w:r>
            <w:r w:rsidRPr="0009163D">
              <w:rPr>
                <w:rFonts w:ascii="Arabic Typesetting" w:hAnsi="Arabic Typesetting" w:cs="Arabic Typesetting" w:hint="cs"/>
                <w:color w:val="000000"/>
                <w:sz w:val="30"/>
                <w:szCs w:val="30"/>
                <w:rtl/>
              </w:rPr>
              <w:t>30</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أكتوبر</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sz w:val="30"/>
                <w:szCs w:val="30"/>
                <w:rtl/>
              </w:rPr>
              <w:t>2015</w:t>
            </w:r>
          </w:p>
        </w:tc>
        <w:tc>
          <w:tcPr>
            <w:tcW w:w="1983" w:type="dxa"/>
            <w:tcBorders>
              <w:top w:val="nil"/>
              <w:bottom w:val="nil"/>
            </w:tcBorders>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أستراليا/6 طلاب من </w:t>
            </w:r>
            <w:r w:rsidRPr="0009163D">
              <w:rPr>
                <w:rFonts w:ascii="Arabic Typesetting" w:hAnsi="Arabic Typesetting" w:cs="Arabic Typesetting" w:hint="cs"/>
                <w:color w:val="000000"/>
                <w:sz w:val="30"/>
                <w:szCs w:val="30"/>
                <w:rtl/>
              </w:rPr>
              <w:t>بنغلاديش (1)</w:t>
            </w:r>
            <w:r w:rsidRPr="0009163D">
              <w:rPr>
                <w:rFonts w:ascii="Arabic Typesetting" w:hAnsi="Arabic Typesetting" w:cs="Arabic Typesetting"/>
                <w:color w:val="000000"/>
                <w:sz w:val="30"/>
                <w:szCs w:val="30"/>
                <w:rtl/>
              </w:rPr>
              <w:t xml:space="preserve"> وجمهورية كوريا (5)</w:t>
            </w:r>
          </w:p>
        </w:tc>
        <w:tc>
          <w:tcPr>
            <w:tcW w:w="4396" w:type="dxa"/>
            <w:tcBorders>
              <w:top w:val="nil"/>
              <w:bottom w:val="nil"/>
              <w:right w:val="single" w:sz="4" w:space="0" w:color="auto"/>
            </w:tcBorders>
          </w:tcPr>
          <w:p w:rsidR="0009163D" w:rsidRPr="0009163D" w:rsidRDefault="0009163D" w:rsidP="0009163D">
            <w:pPr>
              <w:keepNext/>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توفير تعليم عالي للمسؤولين الحكوميين وخبراء الملكية الفكرية الآخرين لتعزيز قدراتهم في استخدام الملكية الفكرية وإدارة حقوق الملكية الفكرية.</w:t>
            </w:r>
          </w:p>
        </w:tc>
      </w:tr>
      <w:tr w:rsidR="0009163D" w:rsidRPr="0009163D" w:rsidTr="00925848">
        <w:trPr>
          <w:cantSplit/>
          <w:trHeight w:val="495"/>
        </w:trPr>
        <w:tc>
          <w:tcPr>
            <w:tcW w:w="184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بعثات دراسية لأكاديمية الويبو-جامعة سيول الوطنية (</w:t>
            </w:r>
            <w:proofErr w:type="spellStart"/>
            <w:r w:rsidRPr="0009163D">
              <w:rPr>
                <w:rFonts w:ascii="Arabic Typesetting" w:hAnsi="Arabic Typesetting" w:cs="Arabic Typesetting"/>
                <w:color w:val="000000"/>
                <w:sz w:val="30"/>
                <w:szCs w:val="30"/>
                <w:rtl/>
              </w:rPr>
              <w:t>ويبو</w:t>
            </w:r>
            <w:proofErr w:type="spellEnd"/>
            <w:r w:rsidRPr="0009163D">
              <w:rPr>
                <w:rFonts w:ascii="Arabic Typesetting" w:hAnsi="Arabic Typesetting" w:cs="Arabic Typesetting"/>
                <w:color w:val="000000"/>
                <w:sz w:val="30"/>
                <w:szCs w:val="30"/>
                <w:rtl/>
              </w:rPr>
              <w:t>-جامعة سيول الوطنية) برنامج ماجستير في قوانين الملكية الفكرية.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مارس</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2015</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ديسمبر</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sz w:val="30"/>
                <w:szCs w:val="30"/>
                <w:rtl/>
              </w:rPr>
              <w:t>2016</w:t>
            </w:r>
          </w:p>
        </w:tc>
        <w:tc>
          <w:tcPr>
            <w:tcW w:w="1983"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جمهورية كوريا/</w:t>
            </w:r>
            <w:r w:rsidRPr="0009163D">
              <w:rPr>
                <w:rFonts w:ascii="Arabic Typesetting" w:hAnsi="Arabic Typesetting" w:cs="Arabic Typesetting" w:hint="cs"/>
                <w:color w:val="000000"/>
                <w:sz w:val="30"/>
                <w:szCs w:val="30"/>
                <w:rtl/>
              </w:rPr>
              <w:t>طالبان</w:t>
            </w:r>
            <w:r w:rsidRPr="0009163D">
              <w:rPr>
                <w:rFonts w:ascii="Arabic Typesetting" w:hAnsi="Arabic Typesetting" w:cs="Arabic Typesetting"/>
                <w:color w:val="000000"/>
                <w:sz w:val="30"/>
                <w:szCs w:val="30"/>
                <w:rtl/>
              </w:rPr>
              <w:t xml:space="preserve"> من </w:t>
            </w:r>
            <w:r w:rsidRPr="0009163D">
              <w:rPr>
                <w:rFonts w:ascii="Arabic Typesetting" w:hAnsi="Arabic Typesetting" w:cs="Arabic Typesetting" w:hint="cs"/>
                <w:color w:val="000000"/>
                <w:sz w:val="30"/>
                <w:szCs w:val="30"/>
                <w:rtl/>
              </w:rPr>
              <w:t>الهند</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1</w:t>
            </w:r>
            <w:r w:rsidRPr="0009163D">
              <w:rPr>
                <w:rFonts w:ascii="Arabic Typesetting" w:hAnsi="Arabic Typesetting" w:cs="Arabic Typesetting"/>
                <w:color w:val="000000"/>
                <w:sz w:val="30"/>
                <w:szCs w:val="30"/>
                <w:rtl/>
              </w:rPr>
              <w:t>)،</w:t>
            </w:r>
            <w:r w:rsidRPr="0009163D">
              <w:rPr>
                <w:rFonts w:ascii="Arabic Typesetting" w:hAnsi="Arabic Typesetting" w:cs="Arabic Typesetting" w:hint="cs"/>
                <w:color w:val="000000"/>
                <w:sz w:val="30"/>
                <w:szCs w:val="30"/>
                <w:rtl/>
              </w:rPr>
              <w:t>وباكستان</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1</w:t>
            </w:r>
            <w:r w:rsidRPr="0009163D">
              <w:rPr>
                <w:rFonts w:ascii="Arabic Typesetting" w:hAnsi="Arabic Typesetting" w:cs="Arabic Typesetting"/>
                <w:color w:val="000000"/>
                <w:sz w:val="30"/>
                <w:szCs w:val="30"/>
                <w:rtl/>
              </w:rPr>
              <w:t>)</w:t>
            </w:r>
          </w:p>
        </w:tc>
        <w:tc>
          <w:tcPr>
            <w:tcW w:w="4396"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توفير تعليم عالي للمسؤولين الحكوميين وخبراء الملكية الفكرية الآخرين لتعزيز قدراتهم في استخدام الملكية الفكرية وإدارة حقوق الملكية الفكرية.</w:t>
            </w:r>
          </w:p>
        </w:tc>
      </w:tr>
      <w:tr w:rsidR="0009163D" w:rsidRPr="0009163D" w:rsidTr="00925848">
        <w:trPr>
          <w:cantSplit/>
          <w:trHeight w:val="495"/>
        </w:trPr>
        <w:tc>
          <w:tcPr>
            <w:tcW w:w="1843" w:type="dxa"/>
            <w:tcBorders>
              <w:top w:val="nil"/>
              <w:left w:val="single" w:sz="4" w:space="0" w:color="auto"/>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بعثات دراسية </w:t>
            </w:r>
            <w:proofErr w:type="spellStart"/>
            <w:r w:rsidRPr="0009163D">
              <w:rPr>
                <w:rFonts w:ascii="Arabic Typesetting" w:hAnsi="Arabic Typesetting" w:cs="Arabic Typesetting"/>
                <w:color w:val="000000"/>
                <w:sz w:val="30"/>
                <w:szCs w:val="30"/>
                <w:rtl/>
              </w:rPr>
              <w:t>لويبو</w:t>
            </w:r>
            <w:proofErr w:type="spellEnd"/>
            <w:r w:rsidRPr="0009163D">
              <w:rPr>
                <w:rFonts w:ascii="Arabic Typesetting" w:hAnsi="Arabic Typesetting" w:cs="Arabic Typesetting"/>
                <w:color w:val="000000"/>
                <w:sz w:val="30"/>
                <w:szCs w:val="30"/>
                <w:rtl/>
              </w:rPr>
              <w:t>-مدرسية كوريا الصيفية</w:t>
            </w:r>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13</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24</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يوليو</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sz w:val="30"/>
                <w:szCs w:val="30"/>
                <w:rtl/>
              </w:rPr>
              <w:t>2014</w:t>
            </w:r>
          </w:p>
        </w:tc>
        <w:tc>
          <w:tcPr>
            <w:tcW w:w="1983"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ind w:right="-108"/>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جمهورية كوريا</w:t>
            </w:r>
            <w:r w:rsidRPr="0009163D">
              <w:rPr>
                <w:rFonts w:ascii="Arabic Typesetting" w:hAnsi="Arabic Typesetting" w:cs="Arabic Typesetting" w:hint="cs"/>
                <w:color w:val="000000"/>
                <w:sz w:val="30"/>
                <w:szCs w:val="30"/>
                <w:rtl/>
              </w:rPr>
              <w:t>/6 مشاركين من البرازيل وبنغلاديش والهند ومنغوليا ورومانيا وزمبابوي</w:t>
            </w:r>
          </w:p>
        </w:tc>
        <w:tc>
          <w:tcPr>
            <w:tcW w:w="4396" w:type="dxa"/>
            <w:tcBorders>
              <w:top w:val="nil"/>
              <w:bottom w:val="single" w:sz="4" w:space="0" w:color="auto"/>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rPr>
            </w:pPr>
            <w:r w:rsidRPr="0009163D">
              <w:rPr>
                <w:rFonts w:ascii="Arabic Typesetting" w:hAnsi="Arabic Typesetting" w:cs="Arabic Typesetting"/>
                <w:color w:val="000000"/>
                <w:sz w:val="30"/>
                <w:szCs w:val="30"/>
                <w:rtl/>
              </w:rPr>
              <w:t>(1)</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بناء قدرات طلاب الليسانس وشباب الأخصائيين من خلال الحصول على معرفة متعمقة في حقوق الملكية الفكرية والمجالات ذات الصلة</w:t>
            </w:r>
            <w:r w:rsidRPr="0009163D">
              <w:rPr>
                <w:rFonts w:ascii="Arabic Typesetting" w:hAnsi="Arabic Typesetting" w:cs="Arabic Typesetting" w:hint="cs"/>
                <w:color w:val="000000"/>
                <w:sz w:val="30"/>
                <w:szCs w:val="30"/>
                <w:rtl/>
              </w:rPr>
              <w:t>؛</w:t>
            </w:r>
            <w:r w:rsidRPr="0009163D">
              <w:rPr>
                <w:rFonts w:ascii="Arabic Typesetting" w:hAnsi="Arabic Typesetting" w:cs="Arabic Typesetting"/>
                <w:color w:val="000000"/>
                <w:sz w:val="30"/>
                <w:szCs w:val="30"/>
                <w:rtl/>
              </w:rPr>
              <w:t xml:space="preserve"> (2)</w:t>
            </w:r>
            <w:r w:rsidRPr="0009163D">
              <w:rPr>
                <w:rFonts w:ascii="Arabic Typesetting" w:hAnsi="Arabic Typesetting" w:cs="Arabic Typesetting" w:hint="cs"/>
                <w:color w:val="000000"/>
                <w:sz w:val="30"/>
                <w:szCs w:val="30"/>
                <w:rtl/>
              </w:rPr>
              <w:t xml:space="preserve"> و</w:t>
            </w:r>
            <w:r w:rsidRPr="0009163D">
              <w:rPr>
                <w:rFonts w:ascii="Arabic Typesetting" w:hAnsi="Arabic Typesetting" w:cs="Arabic Typesetting"/>
                <w:color w:val="000000"/>
                <w:sz w:val="30"/>
                <w:szCs w:val="30"/>
                <w:rtl/>
              </w:rPr>
              <w:t>زيادة فهمهم لأدوار ووظائف نظام الملكية الفكرية.</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 xml:space="preserve">مساهمات المانحين والنفقات </w:t>
      </w:r>
      <w:r w:rsidRPr="0009163D">
        <w:rPr>
          <w:rFonts w:ascii="Arabic Typesetting" w:hAnsi="Arabic Typesetting" w:cs="Arabic Typesetting" w:hint="cs"/>
          <w:bCs/>
          <w:sz w:val="34"/>
          <w:szCs w:val="34"/>
          <w:rtl/>
        </w:rPr>
        <w:t>الخاصة بصندوق</w:t>
      </w:r>
      <w:r w:rsidRPr="0009163D">
        <w:rPr>
          <w:rFonts w:ascii="Arabic Typesetting" w:hAnsi="Arabic Typesetting" w:cs="Arabic Typesetting"/>
          <w:bCs/>
          <w:sz w:val="34"/>
          <w:szCs w:val="34"/>
          <w:rtl/>
        </w:rPr>
        <w:t xml:space="preserve"> جمهورية كوريا</w:t>
      </w:r>
      <w:r w:rsidRPr="0009163D">
        <w:rPr>
          <w:rFonts w:ascii="Arabic Typesetting" w:hAnsi="Arabic Typesetting" w:cs="Arabic Typesetting" w:hint="cs"/>
          <w:bCs/>
          <w:sz w:val="34"/>
          <w:szCs w:val="34"/>
          <w:rtl/>
        </w:rPr>
        <w:t>/</w:t>
      </w:r>
      <w:r w:rsidRPr="0009163D">
        <w:rPr>
          <w:rFonts w:ascii="Arabic Typesetting" w:hAnsi="Arabic Typesetting" w:cs="Arabic Typesetting"/>
          <w:bCs/>
          <w:sz w:val="34"/>
          <w:szCs w:val="34"/>
          <w:rtl/>
        </w:rPr>
        <w:t xml:space="preserve">التعليم – منح دراسية </w:t>
      </w:r>
      <w:r w:rsidRPr="0009163D">
        <w:rPr>
          <w:rFonts w:ascii="Arabic Typesetting" w:hAnsi="Arabic Typesetting" w:cs="Arabic Typesetting" w:hint="cs"/>
          <w:bCs/>
          <w:sz w:val="34"/>
          <w:szCs w:val="34"/>
          <w:rtl/>
        </w:rPr>
        <w:t>في مجال</w:t>
      </w:r>
      <w:r w:rsidRPr="0009163D">
        <w:rPr>
          <w:rFonts w:ascii="Arabic Typesetting" w:hAnsi="Arabic Typesetting" w:cs="Arabic Typesetting"/>
          <w:bCs/>
          <w:sz w:val="34"/>
          <w:szCs w:val="34"/>
          <w:rtl/>
        </w:rPr>
        <w:t xml:space="preserve"> الملكية الفكرية (أكاديمية)</w:t>
      </w:r>
      <w:r w:rsidRPr="0009163D">
        <w:rPr>
          <w:rFonts w:ascii="Arabic Typesetting" w:hAnsi="Arabic Typesetting" w:cs="Arabic Typesetting" w:hint="cs"/>
          <w:bCs/>
          <w:sz w:val="34"/>
          <w:szCs w:val="34"/>
          <w:rtl/>
        </w:rPr>
        <w:t xml:space="preserve"> </w:t>
      </w:r>
      <w:r w:rsidRPr="0009163D">
        <w:rPr>
          <w:rFonts w:ascii="Arabic Typesetting" w:hAnsi="Arabic Typesetting" w:cs="Arabic Typesetting"/>
          <w:bCs/>
          <w:sz w:val="34"/>
          <w:szCs w:val="34"/>
          <w:rtl/>
        </w:rPr>
        <w:t xml:space="preserve">في </w:t>
      </w:r>
      <w:r w:rsidRPr="0009163D">
        <w:rPr>
          <w:rFonts w:ascii="Arabic Typesetting" w:hAnsi="Arabic Typesetting" w:cs="Arabic Typesetting" w:hint="cs"/>
          <w:bCs/>
          <w:sz w:val="34"/>
          <w:szCs w:val="34"/>
          <w:rtl/>
        </w:rPr>
        <w:t>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276,726</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164,735</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124,143</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317,318</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lastRenderedPageBreak/>
        <w:t>جمهورية كوريا/الملكية الفكرية</w:t>
      </w:r>
    </w:p>
    <w:tbl>
      <w:tblPr>
        <w:bidiVisual/>
        <w:tblW w:w="9386"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73"/>
        <w:gridCol w:w="1134"/>
        <w:gridCol w:w="1984"/>
        <w:gridCol w:w="4395"/>
      </w:tblGrid>
      <w:tr w:rsidR="0009163D" w:rsidRPr="0009163D" w:rsidTr="00925848">
        <w:trPr>
          <w:cantSplit/>
        </w:trPr>
        <w:tc>
          <w:tcPr>
            <w:tcW w:w="9386"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sz w:val="30"/>
                <w:szCs w:val="30"/>
                <w:lang w:bidi="ar-EG"/>
              </w:rPr>
            </w:pPr>
            <w:r w:rsidRPr="0009163D">
              <w:rPr>
                <w:rFonts w:ascii="Arabic Typesetting" w:hAnsi="Arabic Typesetting" w:cs="Arabic Typesetting"/>
                <w:b/>
                <w:bCs/>
                <w:color w:val="000000"/>
                <w:sz w:val="30"/>
                <w:szCs w:val="30"/>
                <w:rtl/>
                <w:lang w:bidi="ar-EG"/>
              </w:rPr>
              <w:t>النتيجة:</w:t>
            </w:r>
            <w:r w:rsidRPr="0009163D">
              <w:rPr>
                <w:rFonts w:ascii="Arabic Typesetting" w:hAnsi="Arabic Typesetting" w:cs="Arabic Typesetting"/>
                <w:color w:val="000000"/>
                <w:sz w:val="30"/>
                <w:szCs w:val="30"/>
                <w:rtl/>
                <w:lang w:bidi="ar-EG"/>
              </w:rPr>
              <w:tab/>
              <w:t>ه</w:t>
            </w:r>
            <w:r w:rsidRPr="0009163D">
              <w:rPr>
                <w:rFonts w:ascii="Arabic Typesetting" w:hAnsi="Arabic Typesetting" w:cs="Arabic Typesetting" w:hint="cs"/>
                <w:sz w:val="30"/>
                <w:szCs w:val="30"/>
                <w:rtl/>
                <w:lang w:bidi="ar-EG"/>
              </w:rPr>
              <w:t xml:space="preserve">1.2 </w:t>
            </w:r>
            <w:r w:rsidRPr="0009163D">
              <w:rPr>
                <w:rFonts w:ascii="Arabic Typesetting" w:hAnsi="Arabic Typesetting" w:cs="Arabic Typesetting"/>
                <w:sz w:val="30"/>
                <w:szCs w:val="30"/>
                <w:rtl/>
                <w:lang w:bidi="ar-EG"/>
              </w:rPr>
              <w:t>أطر تشريعية وتنظيمية وسياسية مناسبة ومتوازنة للملكية الفكرية</w:t>
            </w:r>
          </w:p>
        </w:tc>
      </w:tr>
      <w:tr w:rsidR="0009163D" w:rsidRPr="0009163D" w:rsidTr="00925848">
        <w:trPr>
          <w:cantSplit/>
        </w:trPr>
        <w:tc>
          <w:tcPr>
            <w:tcW w:w="187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7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دراسة حول الرسوم والنماذج الصناعية في دول جنوب شرق آسيا</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مايو 2015</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(بدأ)</w:t>
            </w:r>
          </w:p>
        </w:tc>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إندونيسيا والفلبين وتايلند</w:t>
            </w:r>
          </w:p>
        </w:tc>
        <w:tc>
          <w:tcPr>
            <w:tcW w:w="439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hint="cs"/>
                <w:color w:val="000000"/>
                <w:sz w:val="30"/>
                <w:szCs w:val="30"/>
                <w:rtl/>
              </w:rPr>
              <w:t>(1)</w:t>
            </w:r>
            <w:r w:rsidRPr="0009163D">
              <w:rPr>
                <w:rFonts w:ascii="Arabic Typesetting" w:hAnsi="Arabic Typesetting" w:cs="Arabic Typesetting" w:hint="cs"/>
                <w:color w:val="000000"/>
                <w:sz w:val="30"/>
                <w:szCs w:val="30"/>
              </w:rPr>
              <w:t xml:space="preserve"> </w:t>
            </w:r>
            <w:r w:rsidRPr="0009163D">
              <w:rPr>
                <w:rFonts w:ascii="Arabic Typesetting" w:hAnsi="Arabic Typesetting" w:cs="Arabic Typesetting" w:hint="cs"/>
                <w:color w:val="000000"/>
                <w:sz w:val="30"/>
                <w:szCs w:val="30"/>
                <w:rtl/>
              </w:rPr>
              <w:t>إنشاء قواعد بيانات موحدة السجل حول إيداعات الهوية في عدد من دول جنوب شرق آسيا (2) تقديم استعراض مقارن لاستخدام الهويات (3) مناقشة الاتجاهات التاريخية الرئيسية؛ (4) تقديم تقسيمات حسب نوع المستخدم والقطاع وغيرها من الخصائص (5) تحليل معدلات المنح والسلوك المتجدد، على أساس توافر البيانات</w:t>
            </w:r>
            <w:r w:rsidRPr="0009163D">
              <w:rPr>
                <w:rFonts w:ascii="Arabic Typesetting" w:hAnsi="Arabic Typesetting" w:cs="Arabic Typesetting" w:hint="cs"/>
                <w:color w:val="000000"/>
                <w:sz w:val="30"/>
                <w:szCs w:val="30"/>
              </w:rPr>
              <w:t>.</w:t>
            </w:r>
          </w:p>
        </w:tc>
      </w:tr>
      <w:tr w:rsidR="0009163D" w:rsidRPr="0009163D" w:rsidTr="00925848">
        <w:trPr>
          <w:cantSplit/>
        </w:trPr>
        <w:tc>
          <w:tcPr>
            <w:tcW w:w="1873"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إعداد دليل حول الإجراءات البديلة </w:t>
            </w:r>
            <w:r w:rsidRPr="0009163D">
              <w:rPr>
                <w:rFonts w:ascii="Arabic Typesetting" w:hAnsi="Arabic Typesetting" w:cs="Arabic Typesetting" w:hint="cs"/>
                <w:color w:val="000000"/>
                <w:sz w:val="30"/>
                <w:szCs w:val="30"/>
                <w:rtl/>
              </w:rPr>
              <w:t xml:space="preserve">لتسوية </w:t>
            </w:r>
            <w:proofErr w:type="spellStart"/>
            <w:r w:rsidRPr="0009163D">
              <w:rPr>
                <w:rFonts w:ascii="Arabic Typesetting" w:hAnsi="Arabic Typesetting" w:cs="Arabic Typesetting" w:hint="cs"/>
                <w:color w:val="000000"/>
                <w:sz w:val="30"/>
                <w:szCs w:val="30"/>
                <w:rtl/>
              </w:rPr>
              <w:t>المنزاعات</w:t>
            </w:r>
            <w:proofErr w:type="spellEnd"/>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يناير إلى يوليو 2015</w:t>
            </w:r>
            <w:r w:rsidRPr="00F96634">
              <w:rPr>
                <w:rFonts w:ascii="Arabic Typesetting" w:eastAsia="Malgun Gothic" w:hAnsi="Arabic Typesetting" w:cs="Arabic Typesetting"/>
                <w:color w:val="000000"/>
                <w:sz w:val="28"/>
                <w:szCs w:val="28"/>
                <w:vertAlign w:val="superscript"/>
                <w:rtl/>
                <w:lang w:eastAsia="ko-KR"/>
              </w:rPr>
              <w:footnoteReference w:id="161"/>
            </w:r>
            <w:r w:rsidRPr="0009163D">
              <w:rPr>
                <w:rFonts w:ascii="Arabic Typesetting" w:eastAsia="Malgun Gothic" w:hAnsi="Arabic Typesetting" w:cs="Arabic Typesetting"/>
                <w:color w:val="000000"/>
                <w:sz w:val="30"/>
                <w:szCs w:val="30"/>
                <w:rtl/>
                <w:lang w:eastAsia="ko-KR"/>
              </w:rPr>
              <w:t xml:space="preserve"> </w:t>
            </w:r>
          </w:p>
        </w:tc>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b/>
                <w:sz w:val="30"/>
                <w:szCs w:val="30"/>
                <w:lang w:eastAsia="ko-KR"/>
              </w:rPr>
            </w:pPr>
            <w:r w:rsidRPr="0009163D">
              <w:rPr>
                <w:rFonts w:ascii="Arabic Typesetting" w:hAnsi="Arabic Typesetting" w:cs="Arabic Typesetting" w:hint="cs"/>
                <w:b/>
                <w:sz w:val="30"/>
                <w:szCs w:val="30"/>
                <w:rtl/>
                <w:lang w:eastAsia="ko-KR"/>
              </w:rPr>
              <w:t>كل</w:t>
            </w:r>
            <w:r w:rsidRPr="0009163D">
              <w:rPr>
                <w:rFonts w:ascii="Arabic Typesetting" w:hAnsi="Arabic Typesetting" w:cs="Arabic Typesetting"/>
                <w:b/>
                <w:sz w:val="30"/>
                <w:szCs w:val="30"/>
                <w:rtl/>
                <w:lang w:eastAsia="ko-KR"/>
              </w:rPr>
              <w:t xml:space="preserve"> الدول الأعضاء في الويبو</w:t>
            </w:r>
          </w:p>
        </w:tc>
        <w:tc>
          <w:tcPr>
            <w:tcW w:w="4395"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lang w:eastAsia="ko-KR" w:bidi="ar-EG"/>
              </w:rPr>
            </w:pPr>
            <w:r w:rsidRPr="0009163D">
              <w:rPr>
                <w:rFonts w:ascii="Arabic Typesetting" w:eastAsia="Malgun Gothic" w:hAnsi="Arabic Typesetting" w:cs="Arabic Typesetting"/>
                <w:color w:val="000000"/>
                <w:sz w:val="30"/>
                <w:szCs w:val="30"/>
                <w:rtl/>
                <w:lang w:eastAsia="ko-KR"/>
              </w:rPr>
              <w:t>(1)</w:t>
            </w:r>
            <w:r w:rsidRPr="0009163D">
              <w:rPr>
                <w:rFonts w:ascii="Arabic Typesetting" w:eastAsia="Malgun Gothic" w:hAnsi="Arabic Typesetting" w:cs="Arabic Typesetting" w:hint="cs"/>
                <w:color w:val="000000"/>
                <w:sz w:val="30"/>
                <w:szCs w:val="30"/>
                <w:rtl/>
                <w:lang w:eastAsia="ko-KR"/>
              </w:rPr>
              <w:t xml:space="preserve"> </w:t>
            </w:r>
            <w:r w:rsidRPr="0009163D">
              <w:rPr>
                <w:rFonts w:ascii="Arabic Typesetting" w:eastAsia="Malgun Gothic" w:hAnsi="Arabic Typesetting" w:cs="Arabic Typesetting"/>
                <w:color w:val="000000"/>
                <w:sz w:val="30"/>
                <w:szCs w:val="30"/>
                <w:rtl/>
                <w:lang w:eastAsia="ko-KR"/>
              </w:rPr>
              <w:t>توفير فهم أفضل للإجراءات البديلة في نزاعات الملكية الفكرية</w:t>
            </w:r>
            <w:r w:rsidRPr="0009163D">
              <w:rPr>
                <w:rFonts w:ascii="Arabic Typesetting" w:eastAsia="Malgun Gothic" w:hAnsi="Arabic Typesetting" w:cs="Arabic Typesetting" w:hint="cs"/>
                <w:color w:val="000000"/>
                <w:sz w:val="30"/>
                <w:szCs w:val="30"/>
                <w:rtl/>
                <w:lang w:eastAsia="ko-KR"/>
              </w:rPr>
              <w:t>؛</w:t>
            </w:r>
            <w:r w:rsidRPr="0009163D">
              <w:rPr>
                <w:rFonts w:ascii="Arabic Typesetting" w:eastAsia="Malgun Gothic" w:hAnsi="Arabic Typesetting" w:cs="Arabic Typesetting"/>
                <w:color w:val="000000"/>
                <w:sz w:val="30"/>
                <w:szCs w:val="30"/>
                <w:rtl/>
                <w:lang w:eastAsia="ko-KR"/>
              </w:rPr>
              <w:t xml:space="preserve"> (2) مشاركة خبرات مركز الويبو في مجال الإجراءات البديلة لحل النزاعات مع هيئات الإجراءات البديلة لحل النزاعات</w:t>
            </w:r>
            <w:r w:rsidRPr="0009163D">
              <w:rPr>
                <w:rFonts w:ascii="Arabic Typesetting" w:eastAsia="Malgun Gothic" w:hAnsi="Arabic Typesetting" w:cs="Arabic Typesetting" w:hint="cs"/>
                <w:color w:val="000000"/>
                <w:sz w:val="30"/>
                <w:szCs w:val="30"/>
                <w:rtl/>
                <w:lang w:eastAsia="ko-KR"/>
              </w:rPr>
              <w:t xml:space="preserve">؛ </w:t>
            </w:r>
            <w:r w:rsidRPr="0009163D">
              <w:rPr>
                <w:rFonts w:ascii="Arabic Typesetting" w:eastAsia="Malgun Gothic" w:hAnsi="Arabic Typesetting" w:cs="Arabic Typesetting"/>
                <w:color w:val="000000"/>
                <w:sz w:val="30"/>
                <w:szCs w:val="30"/>
                <w:rtl/>
                <w:lang w:eastAsia="ko-KR"/>
              </w:rPr>
              <w:t>(3)</w:t>
            </w:r>
            <w:r w:rsidRPr="0009163D">
              <w:rPr>
                <w:rFonts w:ascii="Arabic Typesetting" w:eastAsia="Malgun Gothic" w:hAnsi="Arabic Typesetting" w:cs="Arabic Typesetting" w:hint="cs"/>
                <w:color w:val="000000"/>
                <w:sz w:val="30"/>
                <w:szCs w:val="30"/>
                <w:rtl/>
                <w:lang w:eastAsia="ko-KR"/>
              </w:rPr>
              <w:t xml:space="preserve"> </w:t>
            </w:r>
            <w:r w:rsidRPr="0009163D">
              <w:rPr>
                <w:rFonts w:ascii="Arabic Typesetting" w:eastAsia="Malgun Gothic" w:hAnsi="Arabic Typesetting" w:cs="Arabic Typesetting"/>
                <w:color w:val="000000"/>
                <w:sz w:val="30"/>
                <w:szCs w:val="30"/>
                <w:rtl/>
                <w:lang w:eastAsia="ko-KR"/>
              </w:rPr>
              <w:t xml:space="preserve">تشجيع الدول النامية على تطوير وتطبيق إجراءات بديلة مناسبة </w:t>
            </w:r>
            <w:r w:rsidRPr="0009163D">
              <w:rPr>
                <w:rFonts w:ascii="Arabic Typesetting" w:eastAsia="Malgun Gothic" w:hAnsi="Arabic Typesetting" w:cs="Arabic Typesetting" w:hint="cs"/>
                <w:color w:val="000000"/>
                <w:sz w:val="30"/>
                <w:szCs w:val="30"/>
                <w:rtl/>
                <w:lang w:eastAsia="ko-KR"/>
              </w:rPr>
              <w:t>لتسوية</w:t>
            </w:r>
            <w:r w:rsidRPr="0009163D">
              <w:rPr>
                <w:rFonts w:ascii="Arabic Typesetting" w:eastAsia="Malgun Gothic" w:hAnsi="Arabic Typesetting" w:cs="Arabic Typesetting"/>
                <w:color w:val="000000"/>
                <w:sz w:val="30"/>
                <w:szCs w:val="30"/>
                <w:rtl/>
                <w:lang w:eastAsia="ko-KR"/>
              </w:rPr>
              <w:t xml:space="preserve"> </w:t>
            </w:r>
            <w:r w:rsidRPr="0009163D">
              <w:rPr>
                <w:rFonts w:ascii="Arabic Typesetting" w:eastAsia="Malgun Gothic" w:hAnsi="Arabic Typesetting" w:cs="Arabic Typesetting" w:hint="cs"/>
                <w:color w:val="000000"/>
                <w:sz w:val="30"/>
                <w:szCs w:val="30"/>
                <w:rtl/>
                <w:lang w:eastAsia="ko-KR"/>
              </w:rPr>
              <w:t>المنازعات</w:t>
            </w:r>
            <w:r w:rsidRPr="0009163D">
              <w:rPr>
                <w:rFonts w:ascii="Arabic Typesetting" w:eastAsia="Malgun Gothic" w:hAnsi="Arabic Typesetting" w:cs="Arabic Typesetting"/>
                <w:color w:val="000000"/>
                <w:sz w:val="30"/>
                <w:szCs w:val="30"/>
                <w:rtl/>
                <w:lang w:eastAsia="ko-KR"/>
              </w:rPr>
              <w:t>.</w:t>
            </w:r>
          </w:p>
        </w:tc>
      </w:tr>
      <w:tr w:rsidR="0009163D" w:rsidRPr="0009163D" w:rsidTr="00925848">
        <w:trPr>
          <w:cantSplit/>
        </w:trPr>
        <w:tc>
          <w:tcPr>
            <w:tcW w:w="9386"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1.3 </w:t>
            </w:r>
            <w:r w:rsidR="000E3DA7">
              <w:rPr>
                <w:rFonts w:ascii="Arabic Typesetting" w:hAnsi="Arabic Typesetting" w:cs="Arabic Typesetting"/>
                <w:color w:val="000000"/>
                <w:sz w:val="30"/>
                <w:szCs w:val="30"/>
                <w:rtl/>
              </w:rPr>
              <w:t>استراتيجيات وخطط إنمائية وطنية بشأن الملكية الفكرية والابتكار تتماشى مع الأهداف الإنمائية الوطنية</w:t>
            </w:r>
          </w:p>
        </w:tc>
      </w:tr>
      <w:tr w:rsidR="0009163D" w:rsidRPr="0009163D" w:rsidTr="00925848">
        <w:trPr>
          <w:cantSplit/>
        </w:trPr>
        <w:tc>
          <w:tcPr>
            <w:tcW w:w="187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lang w:bidi="ar-EG"/>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73" w:type="dxa"/>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زيارة دراسية عن إدارة الملكية الفكرية في سلسلة قيمة الابتكار لعدد مختار من المسؤولين </w:t>
            </w:r>
            <w:proofErr w:type="spellStart"/>
            <w:r w:rsidRPr="0009163D">
              <w:rPr>
                <w:rFonts w:ascii="Arabic Typesetting" w:eastAsia="Malgun Gothic" w:hAnsi="Arabic Typesetting" w:cs="Arabic Typesetting" w:hint="cs"/>
                <w:color w:val="000000"/>
                <w:sz w:val="30"/>
                <w:szCs w:val="30"/>
                <w:rtl/>
                <w:lang w:eastAsia="ko-KR"/>
              </w:rPr>
              <w:t>الأفارقة</w:t>
            </w:r>
            <w:proofErr w:type="spellEnd"/>
          </w:p>
        </w:tc>
        <w:tc>
          <w:tcPr>
            <w:tcW w:w="113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2 إلى 5 يونيو 2016</w:t>
            </w:r>
          </w:p>
        </w:tc>
        <w:tc>
          <w:tcPr>
            <w:tcW w:w="198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جمهورية كوريا/بوتسوانا ورواندا وجمهورية تنزانيا المتحدة</w:t>
            </w:r>
          </w:p>
        </w:tc>
        <w:tc>
          <w:tcPr>
            <w:tcW w:w="4395" w:type="dxa"/>
            <w:shd w:val="clear" w:color="auto" w:fill="FFFFFF"/>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عرض: (1) التجربة الكورية في تحويل المعرفة إلى منتجات قابلة للتطبيق تجاريا (2) دور السياسة العامة في هذه العملية (3)</w:t>
            </w:r>
            <w:r w:rsidRPr="0009163D">
              <w:rPr>
                <w:rFonts w:ascii="Arabic Typesetting" w:eastAsia="Malgun Gothic" w:hAnsi="Arabic Typesetting" w:cs="Arabic Typesetting" w:hint="eastAsia"/>
                <w:color w:val="000000"/>
                <w:sz w:val="30"/>
                <w:szCs w:val="30"/>
                <w:rtl/>
                <w:lang w:eastAsia="ko-KR"/>
              </w:rPr>
              <w:t> </w:t>
            </w:r>
            <w:r w:rsidRPr="0009163D">
              <w:rPr>
                <w:rFonts w:ascii="Arabic Typesetting" w:eastAsia="Malgun Gothic" w:hAnsi="Arabic Typesetting" w:cs="Arabic Typesetting" w:hint="cs"/>
                <w:color w:val="000000"/>
                <w:sz w:val="30"/>
                <w:szCs w:val="30"/>
                <w:rtl/>
                <w:lang w:eastAsia="ko-KR"/>
              </w:rPr>
              <w:t>دور</w:t>
            </w:r>
            <w:r w:rsidRPr="0009163D">
              <w:rPr>
                <w:rFonts w:ascii="Arabic Typesetting" w:eastAsia="Malgun Gothic" w:hAnsi="Arabic Typesetting" w:cs="Arabic Typesetting" w:hint="eastAsia"/>
                <w:color w:val="000000"/>
                <w:sz w:val="30"/>
                <w:szCs w:val="30"/>
                <w:rtl/>
                <w:lang w:eastAsia="ko-KR"/>
              </w:rPr>
              <w:t> </w:t>
            </w:r>
            <w:r w:rsidRPr="0009163D">
              <w:rPr>
                <w:rFonts w:ascii="Arabic Typesetting" w:eastAsia="Malgun Gothic" w:hAnsi="Arabic Typesetting" w:cs="Arabic Typesetting" w:hint="cs"/>
                <w:color w:val="000000"/>
                <w:sz w:val="30"/>
                <w:szCs w:val="30"/>
                <w:rtl/>
                <w:lang w:eastAsia="ko-KR"/>
              </w:rPr>
              <w:t xml:space="preserve">مكاتب نقل التكنولوجيا كموصلات بين </w:t>
            </w:r>
            <w:proofErr w:type="spellStart"/>
            <w:r w:rsidRPr="0009163D">
              <w:rPr>
                <w:rFonts w:ascii="Arabic Typesetting" w:eastAsia="Malgun Gothic" w:hAnsi="Arabic Typesetting" w:cs="Arabic Typesetting" w:hint="cs"/>
                <w:color w:val="000000"/>
                <w:sz w:val="30"/>
                <w:szCs w:val="30"/>
                <w:rtl/>
                <w:lang w:eastAsia="ko-KR"/>
              </w:rPr>
              <w:t>البحوص</w:t>
            </w:r>
            <w:proofErr w:type="spellEnd"/>
            <w:r w:rsidRPr="0009163D">
              <w:rPr>
                <w:rFonts w:ascii="Arabic Typesetting" w:eastAsia="Malgun Gothic" w:hAnsi="Arabic Typesetting" w:cs="Arabic Typesetting" w:hint="cs"/>
                <w:color w:val="000000"/>
                <w:sz w:val="30"/>
                <w:szCs w:val="30"/>
                <w:rtl/>
                <w:lang w:eastAsia="ko-KR"/>
              </w:rPr>
              <w:t xml:space="preserve"> والصناعات(4)</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كيف يتم تنظيم "سلسلة قيمة الابتكار برمتها من المختبر إلى السوق.</w:t>
            </w:r>
          </w:p>
        </w:tc>
      </w:tr>
      <w:tr w:rsidR="0009163D" w:rsidRPr="0009163D" w:rsidTr="00925848">
        <w:trPr>
          <w:cantSplit/>
        </w:trPr>
        <w:tc>
          <w:tcPr>
            <w:tcW w:w="1873" w:type="dxa"/>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زيارة دراسية للوفد الإندونيسي بشأن صياغة استراتيجية وطنية للملكية الفكرية</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لبناء منظومة ملكية فكرية فعالة</w:t>
            </w:r>
          </w:p>
        </w:tc>
        <w:tc>
          <w:tcPr>
            <w:tcW w:w="113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21 إلى 24 ديسمبر 2016</w:t>
            </w:r>
          </w:p>
        </w:tc>
        <w:tc>
          <w:tcPr>
            <w:tcW w:w="198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جمهورية كوريا/إندونيسيا</w:t>
            </w:r>
          </w:p>
        </w:tc>
        <w:tc>
          <w:tcPr>
            <w:tcW w:w="4395" w:type="dxa"/>
            <w:shd w:val="clear" w:color="auto" w:fill="FFFFFF"/>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 تعزيز معرفة المسؤولين الحكوميين والمهنيين في مجال الملكية الفكرية بالمبادرات السياسية والنهوج التي يمكن اتخاذها لتعزيز أنظمة الملكية الفكرية (2) المساعدة في بناء قدرات مكاتب/منظمات الملكية الفكرية الوطنية لتنفيذ برامج ترمي إلى الاستخدام الفعال للملكية الفكرية من أجل التنمية</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73" w:type="dxa"/>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بعثة خبراء</w:t>
            </w:r>
          </w:p>
        </w:tc>
        <w:tc>
          <w:tcPr>
            <w:tcW w:w="113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4 إلى 5 نوفمبر 2016</w:t>
            </w:r>
          </w:p>
        </w:tc>
        <w:tc>
          <w:tcPr>
            <w:tcW w:w="198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جمهورية كوريا</w:t>
            </w:r>
          </w:p>
        </w:tc>
        <w:tc>
          <w:tcPr>
            <w:tcW w:w="4395" w:type="dxa"/>
            <w:shd w:val="clear" w:color="auto" w:fill="FFFFFF"/>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 تقييم التقدم المحرز في عمليات معاهدة التعاون بشأن البراءات؛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تعزيز التعاون بين الويبو ومكتب الملكية الفكرية الكوري.</w:t>
            </w:r>
          </w:p>
        </w:tc>
      </w:tr>
      <w:tr w:rsidR="0009163D" w:rsidRPr="0009163D" w:rsidTr="00925848">
        <w:trPr>
          <w:cantSplit/>
        </w:trPr>
        <w:tc>
          <w:tcPr>
            <w:tcW w:w="9386" w:type="dxa"/>
            <w:gridSpan w:val="4"/>
            <w:tcBorders>
              <w:top w:val="single" w:sz="4" w:space="0" w:color="000000"/>
              <w:bottom w:val="single" w:sz="4" w:space="0" w:color="000000"/>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shd w:val="clear" w:color="auto" w:fill="C6D9F1"/>
                <w:rtl/>
              </w:rPr>
              <w:t>النتيجة:</w:t>
            </w:r>
            <w:r w:rsidRPr="0009163D">
              <w:rPr>
                <w:rFonts w:ascii="Arabic Typesetting" w:hAnsi="Arabic Typesetting" w:cs="Arabic Typesetting"/>
                <w:color w:val="000000"/>
                <w:sz w:val="30"/>
                <w:szCs w:val="30"/>
                <w:shd w:val="clear" w:color="auto" w:fill="C6D9F1"/>
                <w:rtl/>
              </w:rPr>
              <w:tab/>
              <w:t>ه</w:t>
            </w:r>
            <w:r w:rsidRPr="0009163D">
              <w:rPr>
                <w:rFonts w:ascii="Arabic Typesetting" w:hAnsi="Arabic Typesetting" w:cs="Arabic Typesetting" w:hint="cs"/>
                <w:color w:val="000000"/>
                <w:sz w:val="30"/>
                <w:szCs w:val="30"/>
                <w:shd w:val="clear" w:color="auto" w:fill="C6D9F1"/>
                <w:rtl/>
              </w:rPr>
              <w:t xml:space="preserve">2.3 </w:t>
            </w:r>
            <w:r w:rsidRPr="0009163D">
              <w:rPr>
                <w:rFonts w:ascii="Arabic Typesetting" w:hAnsi="Arabic Typesetting" w:cs="Arabic Typesetting"/>
                <w:color w:val="000000"/>
                <w:sz w:val="30"/>
                <w:szCs w:val="30"/>
                <w:shd w:val="clear" w:color="auto" w:fill="C6D9F1"/>
                <w:rtl/>
              </w:rPr>
              <w:t xml:space="preserve">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w:t>
            </w:r>
            <w:r w:rsidRPr="0009163D">
              <w:rPr>
                <w:rFonts w:ascii="Arabic Typesetting" w:hAnsi="Arabic Typesetting" w:cs="Arabic Typesetting"/>
                <w:color w:val="000000"/>
                <w:sz w:val="30"/>
                <w:szCs w:val="30"/>
                <w:rtl/>
              </w:rPr>
              <w:t>المنتقلة</w:t>
            </w:r>
            <w:r w:rsidRPr="0009163D">
              <w:rPr>
                <w:rFonts w:ascii="Arabic Typesetting" w:hAnsi="Arabic Typesetting" w:cs="Arabic Typesetting"/>
                <w:color w:val="000000"/>
                <w:sz w:val="30"/>
                <w:szCs w:val="30"/>
                <w:shd w:val="clear" w:color="auto" w:fill="C6D9F1"/>
                <w:rtl/>
              </w:rPr>
              <w:t xml:space="preserve"> إلى نظام الاقتصاد الحر</w:t>
            </w:r>
          </w:p>
        </w:tc>
      </w:tr>
      <w:tr w:rsidR="0009163D" w:rsidRPr="0009163D" w:rsidTr="00925848">
        <w:trPr>
          <w:cantSplit/>
        </w:trPr>
        <w:tc>
          <w:tcPr>
            <w:tcW w:w="1873" w:type="dxa"/>
            <w:tcBorders>
              <w:top w:val="single" w:sz="4" w:space="0" w:color="000000"/>
              <w:bottom w:val="nil"/>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bottom w:val="nil"/>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000000"/>
              <w:bottom w:val="nil"/>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bottom w:val="nil"/>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73"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الندوة الإقليمية للويبو و</w:t>
            </w:r>
            <w:r w:rsidRPr="0009163D">
              <w:rPr>
                <w:rFonts w:ascii="Arabic Typesetting" w:eastAsia="Malgun Gothic" w:hAnsi="Arabic Typesetting" w:cs="Arabic Typesetting"/>
                <w:color w:val="000000"/>
                <w:sz w:val="30"/>
                <w:szCs w:val="30"/>
                <w:rtl/>
                <w:lang w:eastAsia="ko-KR"/>
              </w:rPr>
              <w:t>المكتب الملكية الفكرية في</w:t>
            </w:r>
            <w:r w:rsidRPr="0009163D">
              <w:rPr>
                <w:rFonts w:ascii="Arabic Typesetting" w:eastAsia="Malgun Gothic" w:hAnsi="Arabic Typesetting" w:cs="Arabic Typesetting" w:hint="cs"/>
                <w:color w:val="000000"/>
                <w:sz w:val="30"/>
                <w:szCs w:val="30"/>
                <w:rtl/>
                <w:lang w:eastAsia="ko-KR"/>
              </w:rPr>
              <w:t xml:space="preserve"> </w:t>
            </w:r>
            <w:r w:rsidRPr="0009163D">
              <w:rPr>
                <w:rFonts w:ascii="Arabic Typesetting" w:eastAsia="Malgun Gothic" w:hAnsi="Arabic Typesetting" w:cs="Arabic Typesetting"/>
                <w:color w:val="000000"/>
                <w:sz w:val="30"/>
                <w:szCs w:val="30"/>
                <w:rtl/>
                <w:lang w:eastAsia="ko-KR"/>
              </w:rPr>
              <w:t>جمهورية كوريا</w:t>
            </w:r>
            <w:r w:rsidRPr="0009163D">
              <w:rPr>
                <w:rFonts w:ascii="Arabic Typesetting" w:eastAsia="Malgun Gothic" w:hAnsi="Arabic Typesetting" w:cs="Arabic Typesetting" w:hint="cs"/>
                <w:color w:val="000000"/>
                <w:sz w:val="30"/>
                <w:szCs w:val="30"/>
                <w:rtl/>
                <w:lang w:eastAsia="ko-KR"/>
              </w:rPr>
              <w:t xml:space="preserve"> وإدارة </w:t>
            </w:r>
            <w:r w:rsidRPr="0009163D">
              <w:rPr>
                <w:rFonts w:ascii="Arabic Typesetting" w:eastAsia="Malgun Gothic" w:hAnsi="Arabic Typesetting" w:cs="Arabic Typesetting"/>
                <w:color w:val="000000"/>
                <w:sz w:val="30"/>
                <w:szCs w:val="30"/>
                <w:rtl/>
                <w:lang w:eastAsia="ko-KR"/>
              </w:rPr>
              <w:t>الملكية الفكرية</w:t>
            </w:r>
            <w:r w:rsidRPr="0009163D">
              <w:rPr>
                <w:rFonts w:ascii="Arabic Typesetting" w:eastAsia="Malgun Gothic" w:hAnsi="Arabic Typesetting" w:cs="Arabic Typesetting" w:hint="cs"/>
                <w:color w:val="000000"/>
                <w:sz w:val="30"/>
                <w:szCs w:val="30"/>
                <w:rtl/>
                <w:lang w:eastAsia="ko-KR"/>
              </w:rPr>
              <w:t xml:space="preserve"> حول إنفاذ الملكية الفكرية للقضاة والمدعين العامين</w:t>
            </w:r>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28 إلى 29 أكتوبر 2016</w:t>
            </w:r>
          </w:p>
        </w:tc>
        <w:tc>
          <w:tcPr>
            <w:tcW w:w="1984" w:type="dxa"/>
            <w:tcBorders>
              <w:top w:val="nil"/>
              <w:bottom w:val="single" w:sz="4" w:space="0" w:color="auto"/>
            </w:tcBorders>
          </w:tcPr>
          <w:p w:rsidR="0009163D" w:rsidRPr="0009163D" w:rsidRDefault="0009163D" w:rsidP="0009163D">
            <w:pPr>
              <w:keepNext/>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تايلند/بروني دار السلام وكمبوديا والصين وإندونيسيا وجمهورية لاو الديمقراطية الشعبية، ماليزيا، ميانمار، الفلبين، جمهورية كوريا، سنغافورة، تايلند، </w:t>
            </w:r>
            <w:proofErr w:type="spellStart"/>
            <w:r w:rsidRPr="0009163D">
              <w:rPr>
                <w:rFonts w:ascii="Arabic Typesetting" w:eastAsia="Malgun Gothic" w:hAnsi="Arabic Typesetting" w:cs="Arabic Typesetting" w:hint="cs"/>
                <w:color w:val="000000"/>
                <w:sz w:val="30"/>
                <w:szCs w:val="30"/>
                <w:rtl/>
                <w:lang w:eastAsia="ko-KR"/>
              </w:rPr>
              <w:t>فييت</w:t>
            </w:r>
            <w:proofErr w:type="spellEnd"/>
            <w:r w:rsidRPr="0009163D">
              <w:rPr>
                <w:rFonts w:ascii="Arabic Typesetting" w:eastAsia="Malgun Gothic" w:hAnsi="Arabic Typesetting" w:cs="Arabic Typesetting" w:hint="eastAsia"/>
                <w:color w:val="000000"/>
                <w:sz w:val="30"/>
                <w:szCs w:val="30"/>
                <w:rtl/>
                <w:lang w:eastAsia="ko-KR"/>
              </w:rPr>
              <w:t> </w:t>
            </w:r>
            <w:r w:rsidRPr="0009163D">
              <w:rPr>
                <w:rFonts w:ascii="Arabic Typesetting" w:eastAsia="Malgun Gothic" w:hAnsi="Arabic Typesetting" w:cs="Arabic Typesetting" w:hint="cs"/>
                <w:color w:val="000000"/>
                <w:sz w:val="30"/>
                <w:szCs w:val="30"/>
                <w:rtl/>
                <w:lang w:eastAsia="ko-KR"/>
              </w:rPr>
              <w:t>نام</w:t>
            </w:r>
          </w:p>
        </w:tc>
        <w:tc>
          <w:tcPr>
            <w:tcW w:w="4395" w:type="dxa"/>
            <w:tcBorders>
              <w:top w:val="nil"/>
              <w:bottom w:val="single" w:sz="4" w:space="0" w:color="auto"/>
            </w:tcBorders>
          </w:tcPr>
          <w:p w:rsidR="0009163D" w:rsidRPr="0009163D" w:rsidRDefault="0009163D" w:rsidP="0009163D">
            <w:pPr>
              <w:keepNext/>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 تعزيز المعرفة بإنفاذ الملكية الفكرية وتحدياتها</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زيادة فعالية إجراءات الملكية الفكرية</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المدنية والجنائية في مصلحة التنمية وحماية المستهلك؛ (3)</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إنشاء شبكة دولية من خبراء الملكية الفكرية من القضاء بحيث تسمح بالتبادل والتعاون المستمرين</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73"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lastRenderedPageBreak/>
              <w:t>حلقة عمل حول قانون البراءات والفحص</w:t>
            </w:r>
          </w:p>
        </w:tc>
        <w:tc>
          <w:tcPr>
            <w:tcW w:w="1134"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من 3 إلى 12 مارس 2015 (برنامج </w:t>
            </w:r>
            <w:r w:rsidRPr="0009163D">
              <w:rPr>
                <w:rFonts w:ascii="Arabic Typesetting" w:eastAsia="Malgun Gothic" w:hAnsi="Arabic Typesetting" w:cs="Arabic Typesetting"/>
                <w:color w:val="000000"/>
                <w:sz w:val="30"/>
                <w:szCs w:val="30"/>
                <w:lang w:eastAsia="ko-KR"/>
              </w:rPr>
              <w:t>OJT</w:t>
            </w:r>
            <w:r w:rsidRPr="0009163D">
              <w:rPr>
                <w:rFonts w:ascii="Arabic Typesetting" w:eastAsia="Malgun Gothic" w:hAnsi="Arabic Typesetting" w:cs="Arabic Typesetting" w:hint="cs"/>
                <w:color w:val="000000"/>
                <w:sz w:val="30"/>
                <w:szCs w:val="30"/>
                <w:rtl/>
                <w:lang w:eastAsia="ko-KR" w:bidi="ar-EG"/>
              </w:rPr>
              <w:t xml:space="preserve"> التجريبي؛ من 16 إلى 27 مارس 2015</w:t>
            </w:r>
            <w:r w:rsidRPr="0009163D">
              <w:rPr>
                <w:rFonts w:ascii="Arabic Typesetting" w:eastAsia="Malgun Gothic" w:hAnsi="Arabic Typesetting" w:cs="Arabic Typesetting" w:hint="cs"/>
                <w:color w:val="000000"/>
                <w:sz w:val="30"/>
                <w:szCs w:val="30"/>
                <w:rtl/>
                <w:lang w:eastAsia="ko-KR"/>
              </w:rPr>
              <w:t>)</w:t>
            </w:r>
          </w:p>
        </w:tc>
        <w:tc>
          <w:tcPr>
            <w:tcW w:w="1984" w:type="dxa"/>
            <w:tcBorders>
              <w:top w:val="single" w:sz="4" w:space="0" w:color="auto"/>
              <w:bottom w:val="nil"/>
            </w:tcBorders>
          </w:tcPr>
          <w:p w:rsidR="0009163D" w:rsidRPr="0009163D" w:rsidRDefault="0009163D" w:rsidP="0009163D">
            <w:pPr>
              <w:keepNext/>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جمهورية كوريا/بنغلاديش وكمبوديا وكولومبيا وغانا والهند وإندونيسيا وجمهورية لاو الديمقراطية الشعبية، وماليزيا، ومنغوليا، وباكستان، وبيرو، والفلبين، وسري </w:t>
            </w:r>
            <w:proofErr w:type="spellStart"/>
            <w:r w:rsidRPr="0009163D">
              <w:rPr>
                <w:rFonts w:ascii="Arabic Typesetting" w:eastAsia="Malgun Gothic" w:hAnsi="Arabic Typesetting" w:cs="Arabic Typesetting" w:hint="cs"/>
                <w:color w:val="000000"/>
                <w:sz w:val="30"/>
                <w:szCs w:val="30"/>
                <w:rtl/>
                <w:lang w:eastAsia="ko-KR"/>
              </w:rPr>
              <w:t>لانكا</w:t>
            </w:r>
            <w:proofErr w:type="spellEnd"/>
            <w:r w:rsidRPr="0009163D">
              <w:rPr>
                <w:rFonts w:ascii="Arabic Typesetting" w:eastAsia="Malgun Gothic" w:hAnsi="Arabic Typesetting" w:cs="Arabic Typesetting" w:hint="cs"/>
                <w:color w:val="000000"/>
                <w:sz w:val="30"/>
                <w:szCs w:val="30"/>
                <w:rtl/>
                <w:lang w:eastAsia="ko-KR"/>
              </w:rPr>
              <w:t xml:space="preserve">، وتايلند، وتونس، </w:t>
            </w:r>
            <w:proofErr w:type="spellStart"/>
            <w:r w:rsidRPr="0009163D">
              <w:rPr>
                <w:rFonts w:ascii="Arabic Typesetting" w:eastAsia="Malgun Gothic" w:hAnsi="Arabic Typesetting" w:cs="Arabic Typesetting" w:hint="cs"/>
                <w:color w:val="000000"/>
                <w:sz w:val="30"/>
                <w:szCs w:val="30"/>
                <w:rtl/>
                <w:lang w:eastAsia="ko-KR"/>
              </w:rPr>
              <w:t>وفييت</w:t>
            </w:r>
            <w:proofErr w:type="spellEnd"/>
            <w:r w:rsidRPr="0009163D">
              <w:rPr>
                <w:rFonts w:ascii="Arabic Typesetting" w:eastAsia="Malgun Gothic" w:hAnsi="Arabic Typesetting" w:cs="Arabic Typesetting" w:hint="cs"/>
                <w:color w:val="000000"/>
                <w:sz w:val="30"/>
                <w:szCs w:val="30"/>
                <w:rtl/>
                <w:lang w:eastAsia="ko-KR"/>
              </w:rPr>
              <w:t xml:space="preserve"> نام</w:t>
            </w:r>
          </w:p>
        </w:tc>
        <w:tc>
          <w:tcPr>
            <w:tcW w:w="4395" w:type="dxa"/>
            <w:tcBorders>
              <w:top w:val="single" w:sz="4" w:space="0" w:color="auto"/>
              <w:bottom w:val="nil"/>
            </w:tcBorders>
          </w:tcPr>
          <w:p w:rsidR="0009163D" w:rsidRPr="0009163D" w:rsidRDefault="0009163D" w:rsidP="0009163D">
            <w:pPr>
              <w:keepNext/>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تعزيز المعرفة والمهارات لفاحصي البراءات بشأن إجراءات الفحص؛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 xml:space="preserve">تقديم الجلسات العملية حول الوصول إلى، واستخدام، نتائج </w:t>
            </w:r>
            <w:proofErr w:type="spellStart"/>
            <w:r w:rsidRPr="0009163D">
              <w:rPr>
                <w:rFonts w:ascii="Arabic Typesetting" w:eastAsia="Malgun Gothic" w:hAnsi="Arabic Typesetting" w:cs="Arabic Typesetting" w:hint="cs"/>
                <w:color w:val="000000"/>
                <w:sz w:val="30"/>
                <w:szCs w:val="30"/>
                <w:rtl/>
                <w:lang w:eastAsia="ko-KR"/>
              </w:rPr>
              <w:t>ألفحوص</w:t>
            </w:r>
            <w:proofErr w:type="spellEnd"/>
            <w:r w:rsidRPr="0009163D">
              <w:rPr>
                <w:rFonts w:ascii="Arabic Typesetting" w:eastAsia="Malgun Gothic" w:hAnsi="Arabic Typesetting" w:cs="Arabic Typesetting" w:hint="cs"/>
                <w:color w:val="000000"/>
                <w:sz w:val="30"/>
                <w:szCs w:val="30"/>
                <w:rtl/>
                <w:lang w:eastAsia="ko-KR"/>
              </w:rPr>
              <w:t xml:space="preserve"> الخارجية، وفهم </w:t>
            </w:r>
            <w:proofErr w:type="spellStart"/>
            <w:r w:rsidRPr="0009163D">
              <w:rPr>
                <w:rFonts w:ascii="Arabic Typesetting" w:eastAsia="Malgun Gothic" w:hAnsi="Arabic Typesetting" w:cs="Arabic Typesetting" w:hint="cs"/>
                <w:color w:val="000000"/>
                <w:sz w:val="30"/>
                <w:szCs w:val="30"/>
                <w:rtl/>
                <w:lang w:eastAsia="ko-KR"/>
              </w:rPr>
              <w:t>الإخطارات</w:t>
            </w:r>
            <w:proofErr w:type="spellEnd"/>
            <w:r w:rsidRPr="0009163D">
              <w:rPr>
                <w:rFonts w:ascii="Arabic Typesetting" w:eastAsia="Malgun Gothic" w:hAnsi="Arabic Typesetting" w:cs="Arabic Typesetting" w:hint="cs"/>
                <w:color w:val="000000"/>
                <w:sz w:val="30"/>
                <w:szCs w:val="30"/>
                <w:rtl/>
                <w:lang w:eastAsia="ko-KR"/>
              </w:rPr>
              <w:t xml:space="preserve"> المبلغة؛ (3)</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توفير منتدى للمشاركين لتبادل وجهات النظر واكتشاف الاختلافات والقواسم المشتركة في الممارسة بشأن الفحص الموضوعي لبراءات الاختراع بين مكاتب براءات الاختراع الوطنية؛ (4)</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تعزيز مصداقية فحص البراءات من خلال مراقبة جودة البراءات</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73" w:type="dxa"/>
            <w:tcBorders>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معرض عن الملكية الفكرية (</w:t>
            </w:r>
            <w:proofErr w:type="spellStart"/>
            <w:r w:rsidRPr="0009163D">
              <w:rPr>
                <w:rFonts w:ascii="Arabic Typesetting" w:eastAsia="Malgun Gothic" w:hAnsi="Arabic Typesetting" w:cs="Arabic Typesetting" w:hint="cs"/>
                <w:color w:val="000000"/>
                <w:sz w:val="30"/>
                <w:szCs w:val="30"/>
                <w:rtl/>
                <w:lang w:eastAsia="ko-KR"/>
              </w:rPr>
              <w:t>إجنايت</w:t>
            </w:r>
            <w:proofErr w:type="spellEnd"/>
            <w:r w:rsidRPr="0009163D">
              <w:rPr>
                <w:rFonts w:ascii="Arabic Typesetting" w:eastAsia="Malgun Gothic" w:hAnsi="Arabic Typesetting" w:cs="Arabic Typesetting" w:hint="cs"/>
                <w:color w:val="000000"/>
                <w:sz w:val="30"/>
                <w:szCs w:val="30"/>
                <w:rtl/>
                <w:lang w:eastAsia="ko-KR"/>
              </w:rPr>
              <w:t xml:space="preserve">) </w:t>
            </w:r>
          </w:p>
        </w:tc>
        <w:tc>
          <w:tcPr>
            <w:tcW w:w="1134" w:type="dxa"/>
            <w:tcBorders>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20 أبريل 2015</w:t>
            </w:r>
          </w:p>
        </w:tc>
        <w:tc>
          <w:tcPr>
            <w:tcW w:w="1984" w:type="dxa"/>
            <w:tcBorders>
              <w:bottom w:val="nil"/>
            </w:tcBorders>
          </w:tcPr>
          <w:p w:rsidR="0009163D" w:rsidRPr="0009163D" w:rsidRDefault="0009163D" w:rsidP="0009163D">
            <w:pPr>
              <w:keepNext/>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جميع الدول الأعضاء في الويبو</w:t>
            </w:r>
          </w:p>
        </w:tc>
        <w:tc>
          <w:tcPr>
            <w:tcW w:w="4395" w:type="dxa"/>
            <w:tcBorders>
              <w:bottom w:val="nil"/>
            </w:tcBorders>
          </w:tcPr>
          <w:p w:rsidR="0009163D" w:rsidRPr="0009163D" w:rsidRDefault="0009163D" w:rsidP="0009163D">
            <w:pPr>
              <w:keepNext/>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إحياء ذكرى إطلاق </w:t>
            </w:r>
            <w:r w:rsidRPr="0009163D">
              <w:rPr>
                <w:rFonts w:ascii="Arabic Typesetting" w:eastAsia="Malgun Gothic" w:hAnsi="Arabic Typesetting" w:cs="Arabic Typesetting"/>
                <w:color w:val="000000"/>
                <w:sz w:val="30"/>
                <w:szCs w:val="30"/>
                <w:lang w:eastAsia="ko-KR"/>
              </w:rPr>
              <w:t>IP IGNITE</w:t>
            </w:r>
            <w:r w:rsidRPr="0009163D">
              <w:rPr>
                <w:rFonts w:ascii="Arabic Typesetting" w:eastAsia="Malgun Gothic" w:hAnsi="Arabic Typesetting" w:cs="Arabic Typesetting" w:hint="cs"/>
                <w:color w:val="000000"/>
                <w:sz w:val="30"/>
                <w:szCs w:val="30"/>
                <w:rtl/>
                <w:lang w:eastAsia="ko-KR"/>
              </w:rPr>
              <w:t xml:space="preserve">، الذي أسسه مكتب الملكية الفكرية الكوري بالتعاون مع أكاديمية الويبو، لتوفير دورة تعليمية عامة معززة صوتيًا/بصريًا حول الملكية الفكرية باستخدام محتوى دورة </w:t>
            </w:r>
            <w:r w:rsidRPr="0009163D">
              <w:rPr>
                <w:rFonts w:ascii="Arabic Typesetting" w:eastAsia="Malgun Gothic" w:hAnsi="Arabic Typesetting" w:cs="Arabic Typesetting"/>
                <w:color w:val="000000"/>
                <w:sz w:val="30"/>
                <w:szCs w:val="30"/>
                <w:lang w:eastAsia="ko-KR"/>
              </w:rPr>
              <w:t>DL-101</w:t>
            </w:r>
            <w:r w:rsidRPr="0009163D">
              <w:rPr>
                <w:rFonts w:ascii="Arabic Typesetting" w:eastAsia="Malgun Gothic" w:hAnsi="Arabic Typesetting" w:cs="Arabic Typesetting" w:hint="cs"/>
                <w:color w:val="000000"/>
                <w:sz w:val="30"/>
                <w:szCs w:val="30"/>
                <w:rtl/>
                <w:lang w:eastAsia="ko-KR"/>
              </w:rPr>
              <w:t xml:space="preserve"> الخاصة بالويبو</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73"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ندوة إقليمية حول صياغة وتنفيذ سياسة وطنية للملكية الفكرية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9 إلى 11 يونيو 2015</w:t>
            </w:r>
          </w:p>
        </w:tc>
        <w:tc>
          <w:tcPr>
            <w:tcW w:w="1984" w:type="dxa"/>
            <w:tcBorders>
              <w:top w:val="nil"/>
              <w:bottom w:val="nil"/>
            </w:tcBorders>
          </w:tcPr>
          <w:p w:rsidR="0009163D" w:rsidRPr="0009163D" w:rsidRDefault="0009163D" w:rsidP="0009163D">
            <w:pPr>
              <w:keepNext/>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جمهورية كوريا</w:t>
            </w:r>
            <w:r w:rsidRPr="0009163D">
              <w:rPr>
                <w:rFonts w:ascii="Arabic Typesetting" w:eastAsia="Malgun Gothic" w:hAnsi="Arabic Typesetting" w:cs="Arabic Typesetting" w:hint="cs"/>
                <w:color w:val="000000"/>
                <w:sz w:val="30"/>
                <w:szCs w:val="30"/>
                <w:lang w:eastAsia="ko-KR"/>
              </w:rPr>
              <w:t>/</w:t>
            </w:r>
            <w:r w:rsidRPr="0009163D">
              <w:rPr>
                <w:rFonts w:ascii="Arabic Typesetting" w:eastAsia="Malgun Gothic" w:hAnsi="Arabic Typesetting" w:cs="Arabic Typesetting" w:hint="cs"/>
                <w:color w:val="000000"/>
                <w:sz w:val="30"/>
                <w:szCs w:val="30"/>
                <w:rtl/>
                <w:lang w:eastAsia="ko-KR"/>
              </w:rPr>
              <w:t xml:space="preserve">كمبوديا، الكاميرون، الجمهورية </w:t>
            </w:r>
            <w:proofErr w:type="spellStart"/>
            <w:r w:rsidRPr="0009163D">
              <w:rPr>
                <w:rFonts w:ascii="Arabic Typesetting" w:eastAsia="Malgun Gothic" w:hAnsi="Arabic Typesetting" w:cs="Arabic Typesetting" w:hint="cs"/>
                <w:color w:val="000000"/>
                <w:sz w:val="30"/>
                <w:szCs w:val="30"/>
                <w:rtl/>
                <w:lang w:eastAsia="ko-KR"/>
              </w:rPr>
              <w:t>الدومينيكية</w:t>
            </w:r>
            <w:proofErr w:type="spellEnd"/>
            <w:r w:rsidRPr="0009163D">
              <w:rPr>
                <w:rFonts w:ascii="Arabic Typesetting" w:eastAsia="Malgun Gothic" w:hAnsi="Arabic Typesetting" w:cs="Arabic Typesetting" w:hint="cs"/>
                <w:color w:val="000000"/>
                <w:sz w:val="30"/>
                <w:szCs w:val="30"/>
                <w:rtl/>
                <w:lang w:eastAsia="ko-KR"/>
              </w:rPr>
              <w:t xml:space="preserve">، غامبيا، غانا، الهند، المكسيك، منغوليا، ميانمار، باراغواي، الفلبين، المملكة العربية السعودية، </w:t>
            </w:r>
            <w:proofErr w:type="spellStart"/>
            <w:r w:rsidRPr="0009163D">
              <w:rPr>
                <w:rFonts w:ascii="Arabic Typesetting" w:eastAsia="Malgun Gothic" w:hAnsi="Arabic Typesetting" w:cs="Arabic Typesetting" w:hint="cs"/>
                <w:color w:val="000000"/>
                <w:sz w:val="30"/>
                <w:szCs w:val="30"/>
                <w:rtl/>
                <w:lang w:eastAsia="ko-KR"/>
              </w:rPr>
              <w:t>فييت</w:t>
            </w:r>
            <w:proofErr w:type="spellEnd"/>
            <w:r w:rsidRPr="0009163D">
              <w:rPr>
                <w:rFonts w:ascii="Arabic Typesetting" w:eastAsia="Malgun Gothic" w:hAnsi="Arabic Typesetting" w:cs="Arabic Typesetting" w:hint="cs"/>
                <w:color w:val="000000"/>
                <w:sz w:val="30"/>
                <w:szCs w:val="30"/>
                <w:rtl/>
                <w:lang w:eastAsia="ko-KR"/>
              </w:rPr>
              <w:t xml:space="preserve"> نام، زامبيا، زمبابوي</w:t>
            </w:r>
          </w:p>
        </w:tc>
        <w:tc>
          <w:tcPr>
            <w:tcW w:w="4395" w:type="dxa"/>
            <w:tcBorders>
              <w:top w:val="nil"/>
              <w:bottom w:val="nil"/>
            </w:tcBorders>
          </w:tcPr>
          <w:p w:rsidR="0009163D" w:rsidRPr="0009163D" w:rsidRDefault="0009163D" w:rsidP="0009163D">
            <w:pPr>
              <w:keepNext/>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 معرفة تجربة مكتب الملكية الفكرية الكوري في صياغة وتنفيذ سياسات الملكية الفكرية؛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استعراض التحديات التي تواجهها البلدان النامية بشأن سياسات الملكية الفكرية؛ (3)</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مناقشة المنهجيات المناسبة لصياغة وتنفيذ سياسات الملكية الفكرية في البلدان النامية</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73"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color w:val="000000"/>
                <w:sz w:val="30"/>
                <w:szCs w:val="30"/>
                <w:rtl/>
                <w:lang w:eastAsia="ko-KR"/>
              </w:rPr>
              <w:t>برنامج</w:t>
            </w:r>
            <w:r w:rsidRPr="0009163D">
              <w:rPr>
                <w:rFonts w:ascii="Arabic Typesetting" w:eastAsia="Malgun Gothic" w:hAnsi="Arabic Typesetting" w:cs="Arabic Typesetting" w:hint="cs"/>
                <w:color w:val="000000"/>
                <w:sz w:val="30"/>
                <w:szCs w:val="30"/>
                <w:rtl/>
                <w:lang w:eastAsia="ko-KR"/>
              </w:rPr>
              <w:t xml:space="preserve"> الوسائط المتعددة</w:t>
            </w:r>
            <w:r w:rsidRPr="0009163D">
              <w:rPr>
                <w:rFonts w:ascii="Arabic Typesetting" w:eastAsia="Malgun Gothic" w:hAnsi="Arabic Typesetting" w:cs="Arabic Typesetting"/>
                <w:color w:val="000000"/>
                <w:sz w:val="30"/>
                <w:szCs w:val="30"/>
                <w:rtl/>
                <w:lang w:eastAsia="ko-KR"/>
              </w:rPr>
              <w:t xml:space="preserve"> </w:t>
            </w:r>
            <w:r w:rsidRPr="0009163D">
              <w:rPr>
                <w:rFonts w:ascii="Arabic Typesetting" w:eastAsia="Malgun Gothic" w:hAnsi="Arabic Typesetting" w:cs="Arabic Typesetting"/>
                <w:color w:val="000000"/>
                <w:sz w:val="30"/>
                <w:szCs w:val="30"/>
                <w:lang w:eastAsia="ko-KR"/>
              </w:rPr>
              <w:t>IP PANORAMA</w:t>
            </w:r>
            <w:r w:rsidRPr="0009163D">
              <w:rPr>
                <w:rFonts w:ascii="Arabic Typesetting" w:eastAsia="Malgun Gothic" w:hAnsi="Arabic Typesetting" w:cs="Arabic Typesetting" w:hint="cs"/>
                <w:color w:val="000000"/>
                <w:sz w:val="30"/>
                <w:szCs w:val="30"/>
                <w:rtl/>
                <w:lang w:eastAsia="ko-KR"/>
              </w:rPr>
              <w:t xml:space="preserve"> </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يناير إلى ديسمبر 2015</w:t>
            </w:r>
            <w:r w:rsidRPr="00F96634">
              <w:rPr>
                <w:rFonts w:ascii="Arabic Typesetting" w:eastAsia="Malgun Gothic" w:hAnsi="Arabic Typesetting" w:cs="Arabic Typesetting"/>
                <w:color w:val="000000"/>
                <w:sz w:val="28"/>
                <w:szCs w:val="28"/>
                <w:vertAlign w:val="superscript"/>
                <w:lang w:eastAsia="ko-KR"/>
              </w:rPr>
              <w:footnoteReference w:id="162"/>
            </w:r>
          </w:p>
        </w:tc>
        <w:tc>
          <w:tcPr>
            <w:tcW w:w="198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كمبوديا، جمهورية لاو الديمقراطية الشعبية، ميانمار</w:t>
            </w:r>
          </w:p>
        </w:tc>
        <w:tc>
          <w:tcPr>
            <w:tcW w:w="439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ترجمة 12 وحدة من </w:t>
            </w:r>
            <w:r w:rsidRPr="0009163D">
              <w:rPr>
                <w:rFonts w:ascii="Arabic Typesetting" w:eastAsia="Malgun Gothic" w:hAnsi="Arabic Typesetting" w:cs="Arabic Typesetting"/>
                <w:color w:val="000000"/>
                <w:sz w:val="30"/>
                <w:szCs w:val="30"/>
                <w:rtl/>
                <w:lang w:eastAsia="ko-KR"/>
              </w:rPr>
              <w:t>برنامج</w:t>
            </w:r>
            <w:r w:rsidRPr="0009163D">
              <w:rPr>
                <w:rFonts w:ascii="Arabic Typesetting" w:eastAsia="Malgun Gothic" w:hAnsi="Arabic Typesetting" w:cs="Arabic Typesetting" w:hint="cs"/>
                <w:color w:val="000000"/>
                <w:sz w:val="30"/>
                <w:szCs w:val="30"/>
                <w:rtl/>
                <w:lang w:eastAsia="ko-KR"/>
              </w:rPr>
              <w:t xml:space="preserve"> الوسائط المتعددة</w:t>
            </w:r>
            <w:r w:rsidRPr="0009163D">
              <w:rPr>
                <w:rFonts w:ascii="Arabic Typesetting" w:eastAsia="Malgun Gothic" w:hAnsi="Arabic Typesetting" w:cs="Arabic Typesetting"/>
                <w:color w:val="000000"/>
                <w:sz w:val="30"/>
                <w:szCs w:val="30"/>
                <w:rtl/>
                <w:lang w:eastAsia="ko-KR"/>
              </w:rPr>
              <w:t xml:space="preserve"> </w:t>
            </w:r>
            <w:r w:rsidRPr="0009163D">
              <w:rPr>
                <w:rFonts w:ascii="Arabic Typesetting" w:eastAsia="Malgun Gothic" w:hAnsi="Arabic Typesetting" w:cs="Arabic Typesetting"/>
                <w:color w:val="000000"/>
                <w:sz w:val="30"/>
                <w:szCs w:val="30"/>
                <w:lang w:eastAsia="ko-KR"/>
              </w:rPr>
              <w:t>IP PANORAMA</w:t>
            </w:r>
            <w:r w:rsidRPr="0009163D">
              <w:rPr>
                <w:rFonts w:ascii="Arabic Typesetting" w:eastAsia="Malgun Gothic" w:hAnsi="Arabic Typesetting" w:cs="Arabic Typesetting" w:hint="cs"/>
                <w:color w:val="000000"/>
                <w:sz w:val="30"/>
                <w:szCs w:val="30"/>
                <w:rtl/>
                <w:lang w:eastAsia="ko-KR"/>
              </w:rPr>
              <w:t xml:space="preserve"> من إنتاج الويبو في ثلاثة بلدان، هي كمبوديا وجمهورية لاو الديمقراطية الشعبية وميانمار</w:t>
            </w:r>
          </w:p>
        </w:tc>
      </w:tr>
      <w:tr w:rsidR="0009163D" w:rsidRPr="0009163D" w:rsidTr="00925848">
        <w:trPr>
          <w:cantSplit/>
        </w:trPr>
        <w:tc>
          <w:tcPr>
            <w:tcW w:w="1873" w:type="dxa"/>
            <w:tcBorders>
              <w:top w:val="nil"/>
              <w:left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إنتاج دليل الرسوم المتحركة </w:t>
            </w:r>
            <w:proofErr w:type="spellStart"/>
            <w:r w:rsidRPr="0009163D">
              <w:rPr>
                <w:rFonts w:ascii="Arabic Typesetting" w:eastAsia="Malgun Gothic" w:hAnsi="Arabic Typesetting" w:cs="Arabic Typesetting"/>
                <w:color w:val="000000"/>
                <w:sz w:val="30"/>
                <w:szCs w:val="30"/>
                <w:lang w:eastAsia="ko-KR"/>
              </w:rPr>
              <w:t>Pororo</w:t>
            </w:r>
            <w:proofErr w:type="spellEnd"/>
            <w:r w:rsidRPr="0009163D">
              <w:rPr>
                <w:rFonts w:ascii="Arabic Typesetting" w:eastAsia="Malgun Gothic" w:hAnsi="Arabic Typesetting" w:cs="Arabic Typesetting"/>
                <w:color w:val="000000"/>
                <w:sz w:val="30"/>
                <w:szCs w:val="30"/>
                <w:rtl/>
                <w:lang w:eastAsia="ko-KR"/>
              </w:rPr>
              <w:t xml:space="preserve"> </w:t>
            </w:r>
            <w:r w:rsidRPr="0009163D">
              <w:rPr>
                <w:rFonts w:ascii="Arabic Typesetting" w:eastAsia="Malgun Gothic" w:hAnsi="Arabic Typesetting" w:cs="Arabic Typesetting" w:hint="cs"/>
                <w:color w:val="000000"/>
                <w:sz w:val="30"/>
                <w:szCs w:val="30"/>
                <w:rtl/>
                <w:lang w:eastAsia="ko-KR"/>
              </w:rPr>
              <w:t>باللغتين الإسبانية والفرنسية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فبراير إلى أبريل 2015</w:t>
            </w:r>
          </w:p>
        </w:tc>
        <w:tc>
          <w:tcPr>
            <w:tcW w:w="198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جمهورية كوريا/جميع الدول الأعضاء في الويبو</w:t>
            </w:r>
          </w:p>
        </w:tc>
        <w:tc>
          <w:tcPr>
            <w:tcW w:w="4395" w:type="dxa"/>
            <w:tcBorders>
              <w:top w:val="nil"/>
              <w:bottom w:val="nil"/>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توفير مواد يسيرة بشأن الملكية الفكرية لغير الخبراء في الملكية الفكرية؛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دعم المصلحة العامة في قضايا الملكية الفكرية؛ (3)</w:t>
            </w:r>
            <w:r w:rsidRPr="0009163D">
              <w:rPr>
                <w:rFonts w:ascii="Arabic Typesetting" w:eastAsia="Malgun Gothic" w:hAnsi="Arabic Typesetting" w:cs="Arabic Typesetting" w:hint="eastAsia"/>
                <w:color w:val="000000"/>
                <w:sz w:val="30"/>
                <w:szCs w:val="30"/>
                <w:rtl/>
                <w:lang w:eastAsia="ko-KR"/>
              </w:rPr>
              <w:t> </w:t>
            </w:r>
            <w:r w:rsidRPr="0009163D">
              <w:rPr>
                <w:rFonts w:ascii="Arabic Typesetting" w:eastAsia="Malgun Gothic" w:hAnsi="Arabic Typesetting" w:cs="Arabic Typesetting" w:hint="cs"/>
                <w:color w:val="000000"/>
                <w:sz w:val="30"/>
                <w:szCs w:val="30"/>
                <w:rtl/>
                <w:lang w:eastAsia="ko-KR"/>
              </w:rPr>
              <w:t>مساعدة المدارس والمؤسسات التعليمية الأخرى في الوصول إلى المناهج الدراسية التي تدعم الإبداع؛ (4) إمداد مستخدمي الملكية الفكرية بإمكانية الوصول إلى مواد الملكية الفكرية باللغات</w:t>
            </w:r>
            <w:r w:rsidRPr="0009163D">
              <w:rPr>
                <w:rFonts w:ascii="Arabic Typesetting" w:eastAsia="Malgun Gothic" w:hAnsi="Arabic Typesetting" w:cs="Arabic Typesetting" w:hint="eastAsia"/>
                <w:color w:val="000000"/>
                <w:sz w:val="30"/>
                <w:szCs w:val="30"/>
                <w:rtl/>
                <w:lang w:eastAsia="ko-KR"/>
              </w:rPr>
              <w:t> </w:t>
            </w:r>
            <w:r w:rsidRPr="0009163D">
              <w:rPr>
                <w:rFonts w:ascii="Arabic Typesetting" w:eastAsia="Malgun Gothic" w:hAnsi="Arabic Typesetting" w:cs="Arabic Typesetting" w:hint="cs"/>
                <w:color w:val="000000"/>
                <w:sz w:val="30"/>
                <w:szCs w:val="30"/>
                <w:rtl/>
                <w:lang w:eastAsia="ko-KR"/>
              </w:rPr>
              <w:t>المحلية</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73" w:type="dxa"/>
            <w:tcBorders>
              <w:top w:val="nil"/>
              <w:left w:val="single" w:sz="4" w:space="0" w:color="auto"/>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إنتاج المواد التعليمية بشان الملكية الفكرية</w:t>
            </w:r>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من يناير إلى ديسمبر 2015 </w:t>
            </w:r>
            <w:r w:rsidRPr="00F96634">
              <w:rPr>
                <w:rFonts w:ascii="Arabic Typesetting" w:eastAsia="Malgun Gothic" w:hAnsi="Arabic Typesetting" w:cs="Arabic Typesetting"/>
                <w:color w:val="000000"/>
                <w:sz w:val="28"/>
                <w:szCs w:val="28"/>
                <w:vertAlign w:val="superscript"/>
                <w:lang w:eastAsia="ko-KR"/>
              </w:rPr>
              <w:footnoteReference w:id="163"/>
            </w:r>
          </w:p>
        </w:tc>
        <w:tc>
          <w:tcPr>
            <w:tcW w:w="198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جمهورية كوريا</w:t>
            </w:r>
          </w:p>
        </w:tc>
        <w:tc>
          <w:tcPr>
            <w:tcW w:w="4395" w:type="dxa"/>
            <w:tcBorders>
              <w:top w:val="nil"/>
              <w:bottom w:val="single" w:sz="4" w:space="0" w:color="auto"/>
              <w:right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 وضع محتوى تعليمي بشأن الملكية الفكرية لطلبة المدارس الثانوية لفهم عملية الاختراعات وتحويل الأفكار إلى الملكية الفكرية؛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مساعدة المدارس والمؤسسات التعليمية الأخرى في تطوير المناهج المعززة للإبداع</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9386" w:type="dxa"/>
            <w:gridSpan w:val="4"/>
            <w:tcBorders>
              <w:top w:val="single" w:sz="4" w:space="0" w:color="auto"/>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lastRenderedPageBreak/>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2.4</w:t>
            </w:r>
            <w:r w:rsidRPr="0009163D">
              <w:rPr>
                <w:rFonts w:ascii="Arabic Typesetting" w:hAnsi="Arabic Typesetting" w:cs="Arabic Typesetting"/>
                <w:color w:val="000000"/>
                <w:sz w:val="30"/>
                <w:szCs w:val="30"/>
                <w:rtl/>
              </w:rPr>
              <w:t xml:space="preserve"> تحسين النفاذ إلى المعلومات المتعلقة بالملكية الفكرية واستخدامها من قبل مؤسسات الملكية الفكرية والجمهور لتشجيع الابتكار والإبداع</w:t>
            </w:r>
          </w:p>
        </w:tc>
      </w:tr>
      <w:tr w:rsidR="0009163D" w:rsidRPr="0009163D" w:rsidTr="00925848">
        <w:trPr>
          <w:cantSplit/>
        </w:trPr>
        <w:tc>
          <w:tcPr>
            <w:tcW w:w="1873" w:type="dxa"/>
            <w:tcBorders>
              <w:top w:val="single" w:sz="4" w:space="0" w:color="000000"/>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000000"/>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000000"/>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73" w:type="dxa"/>
          </w:tcPr>
          <w:p w:rsidR="0009163D" w:rsidRPr="0009163D" w:rsidRDefault="0009163D" w:rsidP="0009163D">
            <w:pPr>
              <w:keepNext/>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ندوة إقليمية حول نشر اختراعات التكنولوجيا الملائمة</w:t>
            </w:r>
          </w:p>
        </w:tc>
        <w:tc>
          <w:tcPr>
            <w:tcW w:w="1134" w:type="dxa"/>
          </w:tcPr>
          <w:p w:rsidR="0009163D" w:rsidRPr="0009163D" w:rsidRDefault="0009163D" w:rsidP="0009163D">
            <w:pPr>
              <w:keepNext/>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29 إلى 30 أبريل 2015</w:t>
            </w:r>
          </w:p>
        </w:tc>
        <w:tc>
          <w:tcPr>
            <w:tcW w:w="1984" w:type="dxa"/>
          </w:tcPr>
          <w:p w:rsidR="0009163D" w:rsidRPr="0009163D" w:rsidRDefault="0009163D" w:rsidP="0009163D">
            <w:pPr>
              <w:keepNext/>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جمهورية كوريا/إثيوبيا، المكسيك، منغوليا، الفلبين، </w:t>
            </w:r>
            <w:proofErr w:type="spellStart"/>
            <w:r w:rsidRPr="0009163D">
              <w:rPr>
                <w:rFonts w:ascii="Arabic Typesetting" w:eastAsia="Malgun Gothic" w:hAnsi="Arabic Typesetting" w:cs="Arabic Typesetting" w:hint="cs"/>
                <w:color w:val="000000"/>
                <w:sz w:val="30"/>
                <w:szCs w:val="30"/>
                <w:rtl/>
                <w:lang w:eastAsia="ko-KR"/>
              </w:rPr>
              <w:t>فييت</w:t>
            </w:r>
            <w:proofErr w:type="spellEnd"/>
            <w:r w:rsidRPr="0009163D">
              <w:rPr>
                <w:rFonts w:ascii="Arabic Typesetting" w:eastAsia="Malgun Gothic" w:hAnsi="Arabic Typesetting" w:cs="Arabic Typesetting" w:hint="cs"/>
                <w:color w:val="000000"/>
                <w:sz w:val="30"/>
                <w:szCs w:val="30"/>
                <w:rtl/>
                <w:lang w:eastAsia="ko-KR"/>
              </w:rPr>
              <w:t xml:space="preserve"> نام</w:t>
            </w:r>
          </w:p>
        </w:tc>
        <w:tc>
          <w:tcPr>
            <w:tcW w:w="4395" w:type="dxa"/>
          </w:tcPr>
          <w:p w:rsidR="0009163D" w:rsidRPr="0009163D" w:rsidRDefault="0009163D" w:rsidP="0009163D">
            <w:pPr>
              <w:keepNext/>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تبادل الخبرات في تطوير ونشر اختراعات التكنولوجيا الملائمة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تعزيز فهم القضايا المطروحة بشأن زيادة الملكية المحلية واستدامة التكنولوجيا الملائمة (3) مناقشة التدابير لبناء تعاون وثيق بين القطاع الخاص ومؤسسات البحوث/الجامعات، والحكومات من أجل إنتاج ونشر منتجات التكنولوجيا الملائمة</w:t>
            </w:r>
            <w:r w:rsidRPr="0009163D">
              <w:rPr>
                <w:rFonts w:ascii="Arabic Typesetting" w:eastAsia="Malgun Gothic" w:hAnsi="Arabic Typesetting" w:cs="Arabic Typesetting" w:hint="cs"/>
                <w:color w:val="000000"/>
                <w:sz w:val="30"/>
                <w:szCs w:val="30"/>
                <w:lang w:eastAsia="ko-KR"/>
              </w:rPr>
              <w:t>.</w:t>
            </w:r>
            <w:r w:rsidRPr="0009163D">
              <w:rPr>
                <w:rFonts w:ascii="Arabic Typesetting" w:eastAsia="Malgun Gothic" w:hAnsi="Arabic Typesetting" w:cs="Arabic Typesetting" w:hint="cs"/>
                <w:color w:val="000000"/>
                <w:sz w:val="30"/>
                <w:szCs w:val="30"/>
                <w:rtl/>
                <w:lang w:eastAsia="ko-KR"/>
              </w:rPr>
              <w:t xml:space="preserve"> (4) تحديد التحديات في نشر منتجات التكنولوجيا الملائمة والبحث عن سبل للتغلب عليها</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73" w:type="dxa"/>
            <w:tcBorders>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مسابقة التكنولوجيا الملائمة </w:t>
            </w:r>
          </w:p>
        </w:tc>
        <w:tc>
          <w:tcPr>
            <w:tcW w:w="1134" w:type="dxa"/>
            <w:tcBorders>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1 أبريل إلى 18 ديسمبر 2015</w:t>
            </w:r>
          </w:p>
        </w:tc>
        <w:tc>
          <w:tcPr>
            <w:tcW w:w="1984" w:type="dxa"/>
            <w:tcBorders>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منغوليا</w:t>
            </w:r>
          </w:p>
        </w:tc>
        <w:tc>
          <w:tcPr>
            <w:tcW w:w="4395" w:type="dxa"/>
            <w:tcBorders>
              <w:bottom w:val="nil"/>
            </w:tcBorders>
            <w:vAlign w:val="center"/>
          </w:tcPr>
          <w:p w:rsidR="0009163D" w:rsidRPr="0009163D" w:rsidRDefault="0009163D" w:rsidP="00E14A59">
            <w:pPr>
              <w:autoSpaceDE w:val="0"/>
              <w:autoSpaceDN w:val="0"/>
              <w:bidi/>
              <w:adjustRightInd w:val="0"/>
              <w:spacing w:before="80" w:after="60" w:line="280" w:lineRule="exact"/>
              <w:rPr>
                <w:rFonts w:ascii="Arabic Typesetting" w:eastAsia="Malgun Gothic" w:hAnsi="Arabic Typesetting" w:cs="Arabic Typesetting"/>
                <w:color w:val="000000"/>
                <w:sz w:val="30"/>
                <w:szCs w:val="30"/>
                <w:rtl/>
                <w:lang w:eastAsia="ko-KR"/>
              </w:rPr>
            </w:pPr>
            <w:r w:rsidRPr="0009163D">
              <w:rPr>
                <w:rFonts w:ascii="Arabic Typesetting" w:eastAsia="Malgun Gothic" w:hAnsi="Arabic Typesetting" w:cs="Arabic Typesetting" w:hint="cs"/>
                <w:color w:val="000000"/>
                <w:sz w:val="30"/>
                <w:szCs w:val="30"/>
                <w:rtl/>
                <w:lang w:eastAsia="ko-KR"/>
              </w:rPr>
              <w:t>(1)</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 xml:space="preserve">تشجيع ومكافأة التميز في اختراع منتجات </w:t>
            </w:r>
            <w:r w:rsidR="00E14A59">
              <w:rPr>
                <w:rFonts w:ascii="Arabic Typesetting" w:eastAsia="Malgun Gothic" w:hAnsi="Arabic Typesetting" w:cs="Arabic Typesetting" w:hint="cs"/>
                <w:color w:val="000000"/>
                <w:sz w:val="30"/>
                <w:szCs w:val="30"/>
                <w:rtl/>
                <w:lang w:eastAsia="ko-KR"/>
              </w:rPr>
              <w:t>تكنولوجية</w:t>
            </w:r>
            <w:r w:rsidRPr="0009163D">
              <w:rPr>
                <w:rFonts w:ascii="Arabic Typesetting" w:eastAsia="Malgun Gothic" w:hAnsi="Arabic Typesetting" w:cs="Arabic Typesetting" w:hint="cs"/>
                <w:color w:val="000000"/>
                <w:sz w:val="30"/>
                <w:szCs w:val="30"/>
                <w:rtl/>
                <w:lang w:eastAsia="ko-KR"/>
              </w:rPr>
              <w:t xml:space="preserve"> ملائمة </w:t>
            </w:r>
            <w:r w:rsidR="00E14A59">
              <w:rPr>
                <w:rFonts w:ascii="Arabic Typesetting" w:eastAsia="Malgun Gothic" w:hAnsi="Arabic Typesetting" w:cs="Arabic Typesetting" w:hint="cs"/>
                <w:color w:val="000000"/>
                <w:sz w:val="30"/>
                <w:szCs w:val="30"/>
                <w:rtl/>
                <w:lang w:eastAsia="ko-KR"/>
              </w:rPr>
              <w:t>و</w:t>
            </w:r>
            <w:r w:rsidRPr="0009163D">
              <w:rPr>
                <w:rFonts w:ascii="Arabic Typesetting" w:eastAsia="Malgun Gothic" w:hAnsi="Arabic Typesetting" w:cs="Arabic Typesetting" w:hint="cs"/>
                <w:color w:val="000000"/>
                <w:sz w:val="30"/>
                <w:szCs w:val="30"/>
                <w:rtl/>
                <w:lang w:eastAsia="ko-KR"/>
              </w:rPr>
              <w:t xml:space="preserve">سهلة الاستخدام ومجدية اقتصاديا </w:t>
            </w:r>
            <w:r w:rsidR="00E14A59">
              <w:rPr>
                <w:rFonts w:ascii="Arabic Typesetting" w:eastAsia="Malgun Gothic" w:hAnsi="Arabic Typesetting" w:cs="Arabic Typesetting" w:hint="cs"/>
                <w:color w:val="000000"/>
                <w:sz w:val="30"/>
                <w:szCs w:val="30"/>
                <w:rtl/>
                <w:lang w:eastAsia="ko-KR"/>
              </w:rPr>
              <w:t>في</w:t>
            </w:r>
            <w:r w:rsidRPr="0009163D">
              <w:rPr>
                <w:rFonts w:ascii="Arabic Typesetting" w:eastAsia="Malgun Gothic" w:hAnsi="Arabic Typesetting" w:cs="Arabic Typesetting" w:hint="cs"/>
                <w:color w:val="000000"/>
                <w:sz w:val="30"/>
                <w:szCs w:val="30"/>
                <w:rtl/>
                <w:lang w:eastAsia="ko-KR"/>
              </w:rPr>
              <w:t xml:space="preserve"> المجتمعات المحلية لتلبية احتياجاتهم (2) المساهمة في تحقيق التنمية المستدامة للمجتمعات المحلية</w:t>
            </w:r>
            <w:r w:rsidRPr="0009163D">
              <w:rPr>
                <w:rFonts w:ascii="Arabic Typesetting" w:eastAsia="Malgun Gothic" w:hAnsi="Arabic Typesetting" w:cs="Arabic Typesetting" w:hint="cs"/>
                <w:color w:val="000000"/>
                <w:sz w:val="30"/>
                <w:szCs w:val="30"/>
                <w:lang w:eastAsia="ko-KR"/>
              </w:rPr>
              <w:t>.</w:t>
            </w:r>
          </w:p>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وكان الاستخدام الفعال لمعلومات البراءات لابتكار حلول عنصرا أساسيا في المسابقة</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73" w:type="dxa"/>
            <w:tcBorders>
              <w:top w:val="nil"/>
              <w:bottom w:val="single" w:sz="4" w:space="0" w:color="000000"/>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مسابقة التكنولوجيا الملائمة </w:t>
            </w:r>
          </w:p>
        </w:tc>
        <w:tc>
          <w:tcPr>
            <w:tcW w:w="1134" w:type="dxa"/>
            <w:tcBorders>
              <w:top w:val="nil"/>
              <w:bottom w:val="single" w:sz="4" w:space="0" w:color="000000"/>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يوليو 2015 (بدأ)</w:t>
            </w:r>
          </w:p>
        </w:tc>
        <w:tc>
          <w:tcPr>
            <w:tcW w:w="1984" w:type="dxa"/>
            <w:tcBorders>
              <w:top w:val="nil"/>
              <w:bottom w:val="single" w:sz="4" w:space="0" w:color="000000"/>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الجمهورية </w:t>
            </w:r>
            <w:proofErr w:type="spellStart"/>
            <w:r w:rsidRPr="0009163D">
              <w:rPr>
                <w:rFonts w:ascii="Arabic Typesetting" w:eastAsia="Malgun Gothic" w:hAnsi="Arabic Typesetting" w:cs="Arabic Typesetting" w:hint="cs"/>
                <w:color w:val="000000"/>
                <w:sz w:val="30"/>
                <w:szCs w:val="30"/>
                <w:rtl/>
                <w:lang w:eastAsia="ko-KR"/>
              </w:rPr>
              <w:t>الدومينيكية</w:t>
            </w:r>
            <w:proofErr w:type="spellEnd"/>
          </w:p>
        </w:tc>
        <w:tc>
          <w:tcPr>
            <w:tcW w:w="4395" w:type="dxa"/>
            <w:tcBorders>
              <w:top w:val="nil"/>
              <w:bottom w:val="single" w:sz="4" w:space="0" w:color="000000"/>
            </w:tcBorders>
            <w:vAlign w:val="cente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rtl/>
                <w:lang w:eastAsia="ko-KR"/>
              </w:rPr>
            </w:pPr>
            <w:r w:rsidRPr="0009163D">
              <w:rPr>
                <w:rFonts w:ascii="Arabic Typesetting" w:eastAsia="Malgun Gothic" w:hAnsi="Arabic Typesetting" w:cs="Arabic Typesetting" w:hint="cs"/>
                <w:color w:val="000000"/>
                <w:sz w:val="30"/>
                <w:szCs w:val="30"/>
                <w:rtl/>
                <w:lang w:eastAsia="ko-KR"/>
              </w:rPr>
              <w:t>تشجيع ومكافأة التميز في اختراع منتجات التكنولوجيا الملائمة في المجال الزراعي التي تتميز بسهولة الاستخدام والمجدية اقتصاديا لفائدة المجتمعات المحلية لتلبية احتياجاتهم والمساهمة في تحقيق التنمية المستدامة للمجتمعات المحلية.</w:t>
            </w:r>
          </w:p>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وكان الاستخدام الفعال لمعلومات البراءات لابتكار حلول عنصرا أساسيا في المسابقة.</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مساهمات المانحين والنفقات الخاصة</w:t>
      </w:r>
      <w:r w:rsidRPr="0009163D">
        <w:rPr>
          <w:rFonts w:ascii="Arabic Typesetting" w:hAnsi="Arabic Typesetting" w:cs="Arabic Typesetting" w:hint="cs"/>
          <w:bCs/>
          <w:sz w:val="34"/>
          <w:szCs w:val="34"/>
          <w:rtl/>
        </w:rPr>
        <w:t xml:space="preserve"> بصندوق</w:t>
      </w:r>
      <w:r w:rsidRPr="0009163D">
        <w:rPr>
          <w:rFonts w:ascii="Arabic Typesetting" w:hAnsi="Arabic Typesetting" w:cs="Arabic Typesetting"/>
          <w:bCs/>
          <w:sz w:val="34"/>
          <w:szCs w:val="34"/>
          <w:rtl/>
        </w:rPr>
        <w:t xml:space="preserve"> جمهورية كوريا/الملكية الفكرية في </w:t>
      </w:r>
      <w:r w:rsidRPr="0009163D">
        <w:rPr>
          <w:rFonts w:ascii="Arabic Typesetting" w:hAnsi="Arabic Typesetting" w:cs="Arabic Typesetting" w:hint="cs"/>
          <w:bCs/>
          <w:sz w:val="34"/>
          <w:szCs w:val="34"/>
          <w:rtl/>
        </w:rPr>
        <w:t>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1,180,774</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659,148</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786,531</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1,053,391</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hint="cs"/>
          <w:bCs/>
          <w:sz w:val="34"/>
          <w:szCs w:val="34"/>
          <w:rtl/>
        </w:rPr>
        <w:lastRenderedPageBreak/>
        <w:t>المكسيك</w:t>
      </w:r>
      <w:r w:rsidRPr="00F96634">
        <w:rPr>
          <w:rFonts w:ascii="Arabic Typesetting" w:hAnsi="Arabic Typesetting" w:cs="Arabic Typesetting"/>
          <w:bCs/>
          <w:sz w:val="28"/>
          <w:szCs w:val="28"/>
          <w:vertAlign w:val="superscript"/>
          <w:rtl/>
        </w:rPr>
        <w:footnoteReference w:id="164"/>
      </w:r>
    </w:p>
    <w:tbl>
      <w:tblPr>
        <w:bidiVisual/>
        <w:tblW w:w="9356"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1985"/>
        <w:gridCol w:w="4394"/>
      </w:tblGrid>
      <w:tr w:rsidR="0009163D" w:rsidRPr="0009163D" w:rsidTr="00925848">
        <w:trPr>
          <w:cantSplit/>
          <w:trHeight w:val="315"/>
        </w:trPr>
        <w:tc>
          <w:tcPr>
            <w:tcW w:w="9356" w:type="dxa"/>
            <w:gridSpan w:val="4"/>
            <w:tcBorders>
              <w:top w:val="single" w:sz="4" w:space="0" w:color="000000"/>
              <w:bottom w:val="single" w:sz="4" w:space="0" w:color="000000"/>
            </w:tcBorders>
            <w:shd w:val="clear" w:color="auto" w:fill="C6D9F1" w:themeFill="text2" w:themeFillTint="33"/>
          </w:tcPr>
          <w:p w:rsidR="0009163D" w:rsidRPr="0009163D" w:rsidRDefault="0009163D" w:rsidP="0009163D">
            <w:pPr>
              <w:keepNext/>
              <w:keepLines/>
              <w:bidi/>
              <w:spacing w:before="80" w:after="60" w:line="280" w:lineRule="exact"/>
              <w:ind w:left="1133" w:hanging="1133"/>
              <w:rPr>
                <w:rFonts w:ascii="Arabic Typesetting" w:hAnsi="Arabic Typesetting" w:cs="Arabic Typesetting"/>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1.3 </w:t>
            </w:r>
            <w:r w:rsidR="000E3DA7">
              <w:rPr>
                <w:rFonts w:ascii="Arabic Typesetting" w:hAnsi="Arabic Typesetting" w:cs="Arabic Typesetting"/>
                <w:color w:val="000000"/>
                <w:sz w:val="30"/>
                <w:szCs w:val="30"/>
                <w:rtl/>
              </w:rPr>
              <w:t>استراتيجيات وخطط إنمائية وطنية بشأن الملكية الفكرية والابتكار تتماشى مع الأهداف الإنمائية الوطنية</w:t>
            </w:r>
          </w:p>
        </w:tc>
      </w:tr>
      <w:tr w:rsidR="0009163D" w:rsidRPr="0009163D" w:rsidTr="00925848">
        <w:trPr>
          <w:cantSplit/>
          <w:trHeight w:val="402"/>
        </w:trPr>
        <w:tc>
          <w:tcPr>
            <w:tcW w:w="1843"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4" w:type="dxa"/>
            <w:tcBorders>
              <w:top w:val="single" w:sz="4" w:space="0" w:color="000000"/>
            </w:tcBorders>
            <w:vAlign w:val="center"/>
          </w:tcPr>
          <w:p w:rsidR="0009163D" w:rsidRPr="0009163D" w:rsidRDefault="0009163D" w:rsidP="0009163D">
            <w:pPr>
              <w:keepNext/>
              <w:keepLines/>
              <w:bidi/>
              <w:spacing w:before="80" w:after="60"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Height w:val="315"/>
        </w:trPr>
        <w:tc>
          <w:tcPr>
            <w:tcW w:w="1843" w:type="dxa"/>
          </w:tcPr>
          <w:p w:rsidR="0009163D" w:rsidRPr="0009163D" w:rsidRDefault="0009163D" w:rsidP="0009163D">
            <w:pPr>
              <w:keepNext/>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اجتماع تشاوري لدول </w:t>
            </w:r>
            <w:proofErr w:type="spellStart"/>
            <w:r w:rsidRPr="0009163D">
              <w:rPr>
                <w:rFonts w:ascii="Arabic Typesetting" w:eastAsia="Malgun Gothic" w:hAnsi="Arabic Typesetting" w:cs="Arabic Typesetting"/>
                <w:color w:val="000000"/>
                <w:sz w:val="30"/>
                <w:szCs w:val="30"/>
                <w:rtl/>
                <w:lang w:eastAsia="ko-KR"/>
              </w:rPr>
              <w:t>تحألف</w:t>
            </w:r>
            <w:proofErr w:type="spellEnd"/>
            <w:r w:rsidRPr="0009163D">
              <w:rPr>
                <w:rFonts w:ascii="Arabic Typesetting" w:eastAsia="Malgun Gothic" w:hAnsi="Arabic Typesetting" w:cs="Arabic Typesetting"/>
                <w:color w:val="000000"/>
                <w:sz w:val="30"/>
                <w:szCs w:val="30"/>
                <w:rtl/>
                <w:lang w:eastAsia="ko-KR"/>
              </w:rPr>
              <w:t xml:space="preserve"> المحيط الهادئ</w:t>
            </w:r>
            <w:r w:rsidRPr="0009163D">
              <w:rPr>
                <w:rFonts w:ascii="Arabic Typesetting" w:eastAsia="Malgun Gothic" w:hAnsi="Arabic Typesetting" w:cs="Arabic Typesetting" w:hint="cs"/>
                <w:color w:val="000000"/>
                <w:sz w:val="30"/>
                <w:szCs w:val="30"/>
                <w:rtl/>
                <w:lang w:eastAsia="ko-KR"/>
              </w:rPr>
              <w:t xml:space="preserve"> والدول الأخرى المدعوة في جنيف</w:t>
            </w:r>
          </w:p>
        </w:tc>
        <w:tc>
          <w:tcPr>
            <w:tcW w:w="1134" w:type="dxa"/>
          </w:tcPr>
          <w:p w:rsidR="0009163D" w:rsidRPr="0009163D" w:rsidRDefault="0009163D" w:rsidP="0009163D">
            <w:pPr>
              <w:keepNext/>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6 أكتوبر 2015</w:t>
            </w:r>
          </w:p>
        </w:tc>
        <w:tc>
          <w:tcPr>
            <w:tcW w:w="1985" w:type="dxa"/>
          </w:tcPr>
          <w:p w:rsidR="0009163D" w:rsidRPr="0009163D" w:rsidRDefault="0009163D" w:rsidP="0009163D">
            <w:pPr>
              <w:keepNext/>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المكسيك/شيلي، كولومبيا، كوبا، بيرو، </w:t>
            </w:r>
            <w:r w:rsidRPr="0009163D">
              <w:rPr>
                <w:rFonts w:ascii="Arabic Typesetting" w:eastAsia="Malgun Gothic" w:hAnsi="Arabic Typesetting" w:cs="Arabic Typesetting"/>
                <w:color w:val="000000"/>
                <w:sz w:val="30"/>
                <w:szCs w:val="30"/>
                <w:rtl/>
                <w:lang w:eastAsia="ko-KR"/>
              </w:rPr>
              <w:t>المكتب الأوروبي للبراءات (</w:t>
            </w:r>
            <w:r w:rsidRPr="0009163D">
              <w:rPr>
                <w:rFonts w:ascii="Arabic Typesetting" w:eastAsia="Malgun Gothic" w:hAnsi="Arabic Typesetting" w:cs="Arabic Typesetting"/>
                <w:color w:val="000000"/>
                <w:sz w:val="30"/>
                <w:szCs w:val="30"/>
                <w:lang w:eastAsia="ko-KR"/>
              </w:rPr>
              <w:t>EPO</w:t>
            </w:r>
            <w:r w:rsidRPr="0009163D">
              <w:rPr>
                <w:rFonts w:ascii="Arabic Typesetting" w:eastAsia="Malgun Gothic" w:hAnsi="Arabic Typesetting" w:cs="Arabic Typesetting"/>
                <w:color w:val="000000"/>
                <w:sz w:val="30"/>
                <w:szCs w:val="30"/>
                <w:rtl/>
                <w:lang w:eastAsia="ko-KR"/>
              </w:rPr>
              <w:t>)</w:t>
            </w:r>
            <w:r w:rsidRPr="0009163D">
              <w:rPr>
                <w:rFonts w:ascii="Arabic Typesetting" w:eastAsia="Malgun Gothic" w:hAnsi="Arabic Typesetting" w:cs="Arabic Typesetting" w:hint="cs"/>
                <w:color w:val="000000"/>
                <w:sz w:val="30"/>
                <w:szCs w:val="30"/>
                <w:rtl/>
                <w:lang w:eastAsia="ko-KR"/>
              </w:rPr>
              <w:t xml:space="preserve">، </w:t>
            </w:r>
            <w:r w:rsidRPr="0009163D">
              <w:rPr>
                <w:rFonts w:ascii="Arabic Typesetting" w:eastAsia="Malgun Gothic" w:hAnsi="Arabic Typesetting" w:cs="Arabic Typesetting"/>
                <w:color w:val="000000"/>
                <w:sz w:val="30"/>
                <w:szCs w:val="30"/>
                <w:rtl/>
                <w:lang w:eastAsia="ko-KR"/>
              </w:rPr>
              <w:t>المكتب الإسباني للبراءات والعلامات التجارية (</w:t>
            </w:r>
            <w:r w:rsidRPr="0009163D">
              <w:rPr>
                <w:rFonts w:ascii="Arabic Typesetting" w:eastAsia="Malgun Gothic" w:hAnsi="Arabic Typesetting" w:cs="Arabic Typesetting"/>
                <w:color w:val="000000"/>
                <w:sz w:val="30"/>
                <w:szCs w:val="30"/>
                <w:lang w:eastAsia="ko-KR"/>
              </w:rPr>
              <w:t>OEPM</w:t>
            </w:r>
            <w:r w:rsidRPr="0009163D">
              <w:rPr>
                <w:rFonts w:ascii="Arabic Typesetting" w:eastAsia="Malgun Gothic" w:hAnsi="Arabic Typesetting" w:cs="Arabic Typesetting"/>
                <w:color w:val="000000"/>
                <w:sz w:val="30"/>
                <w:szCs w:val="30"/>
                <w:rtl/>
                <w:lang w:eastAsia="ko-KR"/>
              </w:rPr>
              <w:t>)</w:t>
            </w:r>
          </w:p>
        </w:tc>
        <w:tc>
          <w:tcPr>
            <w:tcW w:w="4394" w:type="dxa"/>
          </w:tcPr>
          <w:p w:rsidR="0009163D" w:rsidRPr="0009163D" w:rsidRDefault="0009163D" w:rsidP="0009163D">
            <w:pPr>
              <w:keepNext/>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تعزيز الحوار حول القضايا المشتركة في مجال الملكية الصناعية بين دول </w:t>
            </w:r>
            <w:proofErr w:type="spellStart"/>
            <w:r w:rsidRPr="0009163D">
              <w:rPr>
                <w:rFonts w:ascii="Arabic Typesetting" w:eastAsia="Malgun Gothic" w:hAnsi="Arabic Typesetting" w:cs="Arabic Typesetting"/>
                <w:color w:val="000000"/>
                <w:sz w:val="30"/>
                <w:szCs w:val="30"/>
                <w:rtl/>
                <w:lang w:eastAsia="ko-KR"/>
              </w:rPr>
              <w:t>تحألف</w:t>
            </w:r>
            <w:proofErr w:type="spellEnd"/>
            <w:r w:rsidRPr="0009163D">
              <w:rPr>
                <w:rFonts w:ascii="Arabic Typesetting" w:eastAsia="Malgun Gothic" w:hAnsi="Arabic Typesetting" w:cs="Arabic Typesetting"/>
                <w:color w:val="000000"/>
                <w:sz w:val="30"/>
                <w:szCs w:val="30"/>
                <w:rtl/>
                <w:lang w:eastAsia="ko-KR"/>
              </w:rPr>
              <w:t xml:space="preserve"> المحيط الهادئ</w:t>
            </w:r>
            <w:r w:rsidRPr="0009163D">
              <w:rPr>
                <w:rFonts w:ascii="Arabic Typesetting" w:eastAsia="Malgun Gothic" w:hAnsi="Arabic Typesetting" w:cs="Arabic Typesetting" w:hint="cs"/>
                <w:color w:val="000000"/>
                <w:sz w:val="30"/>
                <w:szCs w:val="30"/>
                <w:rtl/>
                <w:lang w:eastAsia="ko-KR"/>
              </w:rPr>
              <w:t xml:space="preserve"> فضلا عن البلدان الأخرى المدعوة</w:t>
            </w:r>
            <w:r w:rsidRPr="0009163D">
              <w:rPr>
                <w:rFonts w:ascii="Arabic Typesetting" w:eastAsia="Malgun Gothic" w:hAnsi="Arabic Typesetting" w:cs="Arabic Typesetting" w:hint="cs"/>
                <w:color w:val="000000"/>
                <w:sz w:val="30"/>
                <w:szCs w:val="30"/>
                <w:lang w:eastAsia="ko-KR"/>
              </w:rPr>
              <w:t>.</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مساهمات المانحين والنفقات الخاصة</w:t>
      </w:r>
      <w:r w:rsidRPr="0009163D">
        <w:rPr>
          <w:rFonts w:ascii="Arabic Typesetting" w:hAnsi="Arabic Typesetting" w:cs="Arabic Typesetting" w:hint="cs"/>
          <w:bCs/>
          <w:sz w:val="34"/>
          <w:szCs w:val="34"/>
          <w:rtl/>
        </w:rPr>
        <w:t xml:space="preserve"> بصندوق</w:t>
      </w:r>
      <w:r w:rsidRPr="0009163D">
        <w:rPr>
          <w:rFonts w:ascii="Arabic Typesetting" w:hAnsi="Arabic Typesetting" w:cs="Arabic Typesetting"/>
          <w:bCs/>
          <w:sz w:val="34"/>
          <w:szCs w:val="34"/>
          <w:rtl/>
        </w:rPr>
        <w:t xml:space="preserve"> </w:t>
      </w:r>
      <w:r w:rsidRPr="0009163D">
        <w:rPr>
          <w:rFonts w:ascii="Arabic Typesetting" w:hAnsi="Arabic Typesetting" w:cs="Arabic Typesetting" w:hint="cs"/>
          <w:bCs/>
          <w:sz w:val="34"/>
          <w:szCs w:val="34"/>
          <w:rtl/>
        </w:rPr>
        <w:t>المكسيك</w:t>
      </w:r>
      <w:r w:rsidRPr="0009163D">
        <w:rPr>
          <w:rFonts w:ascii="Arabic Typesetting" w:hAnsi="Arabic Typesetting" w:cs="Arabic Typesetting"/>
          <w:bCs/>
          <w:sz w:val="34"/>
          <w:szCs w:val="34"/>
          <w:rtl/>
        </w:rPr>
        <w:t xml:space="preserve"> في </w:t>
      </w:r>
      <w:r w:rsidRPr="0009163D">
        <w:rPr>
          <w:rFonts w:ascii="Arabic Typesetting" w:hAnsi="Arabic Typesetting" w:cs="Arabic Typesetting" w:hint="cs"/>
          <w:bCs/>
          <w:sz w:val="34"/>
          <w:szCs w:val="34"/>
          <w:rtl/>
        </w:rPr>
        <w:t>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163,131</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53</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18,758</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144,426</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إسبانيا</w:t>
      </w:r>
      <w:r w:rsidRPr="00F96634">
        <w:rPr>
          <w:rFonts w:ascii="Arabic Typesetting" w:hAnsi="Arabic Typesetting" w:cs="Arabic Typesetting"/>
          <w:sz w:val="28"/>
          <w:szCs w:val="28"/>
          <w:vertAlign w:val="superscript"/>
          <w:rtl/>
        </w:rPr>
        <w:footnoteReference w:id="165"/>
      </w:r>
    </w:p>
    <w:tbl>
      <w:tblPr>
        <w:bidiVisual/>
        <w:tblW w:w="935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2"/>
        <w:gridCol w:w="1134"/>
        <w:gridCol w:w="1985"/>
        <w:gridCol w:w="4395"/>
      </w:tblGrid>
      <w:tr w:rsidR="0009163D" w:rsidRPr="0009163D" w:rsidTr="00925848">
        <w:trPr>
          <w:cantSplit/>
        </w:trPr>
        <w:tc>
          <w:tcPr>
            <w:tcW w:w="9356" w:type="dxa"/>
            <w:gridSpan w:val="4"/>
            <w:tcBorders>
              <w:top w:val="single" w:sz="4" w:space="0" w:color="auto"/>
              <w:bottom w:val="single" w:sz="4" w:space="0" w:color="auto"/>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ه2.3 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Height w:val="196"/>
        </w:trPr>
        <w:tc>
          <w:tcPr>
            <w:tcW w:w="1842" w:type="dxa"/>
            <w:tcBorders>
              <w:top w:val="single" w:sz="4" w:space="0" w:color="auto"/>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auto"/>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42" w:type="dxa"/>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color w:val="000000"/>
                <w:sz w:val="30"/>
                <w:szCs w:val="30"/>
                <w:rtl/>
                <w:lang w:eastAsia="ko-KR"/>
              </w:rPr>
              <w:t xml:space="preserve">الندوة الإقليمية </w:t>
            </w:r>
            <w:r w:rsidRPr="0009163D">
              <w:rPr>
                <w:rFonts w:ascii="Arabic Typesetting" w:eastAsia="Malgun Gothic" w:hAnsi="Arabic Typesetting" w:cs="Arabic Typesetting" w:hint="cs"/>
                <w:color w:val="000000"/>
                <w:sz w:val="30"/>
                <w:szCs w:val="30"/>
                <w:rtl/>
                <w:lang w:eastAsia="ko-KR"/>
              </w:rPr>
              <w:t>الثالثة</w:t>
            </w:r>
            <w:r w:rsidRPr="0009163D">
              <w:rPr>
                <w:rFonts w:ascii="Arabic Typesetting" w:eastAsia="Malgun Gothic" w:hAnsi="Arabic Typesetting" w:cs="Arabic Typesetting"/>
                <w:color w:val="000000"/>
                <w:sz w:val="30"/>
                <w:szCs w:val="30"/>
                <w:rtl/>
                <w:lang w:eastAsia="ko-KR"/>
              </w:rPr>
              <w:t xml:space="preserve"> للمنظمة العالمية للملكية الفكرية/المكتب الإسباني </w:t>
            </w:r>
            <w:r w:rsidRPr="0009163D">
              <w:rPr>
                <w:rFonts w:ascii="Arabic Typesetting" w:eastAsia="Malgun Gothic" w:hAnsi="Arabic Typesetting" w:cs="Arabic Typesetting" w:hint="cs"/>
                <w:color w:val="000000"/>
                <w:sz w:val="30"/>
                <w:szCs w:val="30"/>
                <w:rtl/>
                <w:lang w:eastAsia="ko-KR"/>
              </w:rPr>
              <w:t>للبراءات</w:t>
            </w:r>
            <w:r w:rsidRPr="0009163D">
              <w:rPr>
                <w:rFonts w:ascii="Arabic Typesetting" w:eastAsia="Malgun Gothic" w:hAnsi="Arabic Typesetting" w:cs="Arabic Typesetting"/>
                <w:color w:val="000000"/>
                <w:sz w:val="30"/>
                <w:szCs w:val="30"/>
                <w:rtl/>
                <w:lang w:eastAsia="ko-KR"/>
              </w:rPr>
              <w:t xml:space="preserve"> والعلامات التجارية/الوكالة الإسبانية للتعاون الإنمائي الدولي حول العلامات التجارية والتصاميم الصناعية </w:t>
            </w:r>
            <w:r w:rsidRPr="0009163D">
              <w:rPr>
                <w:rFonts w:ascii="Arabic Typesetting" w:eastAsia="Malgun Gothic" w:hAnsi="Arabic Typesetting" w:cs="Arabic Typesetting" w:hint="cs"/>
                <w:color w:val="000000"/>
                <w:sz w:val="30"/>
                <w:szCs w:val="30"/>
                <w:rtl/>
                <w:lang w:eastAsia="ko-KR"/>
              </w:rPr>
              <w:t xml:space="preserve">كعوامل ابتكار وأصول </w:t>
            </w:r>
            <w:proofErr w:type="spellStart"/>
            <w:r w:rsidRPr="0009163D">
              <w:rPr>
                <w:rFonts w:ascii="Arabic Typesetting" w:eastAsia="Malgun Gothic" w:hAnsi="Arabic Typesetting" w:cs="Arabic Typesetting" w:hint="cs"/>
                <w:color w:val="000000"/>
                <w:sz w:val="30"/>
                <w:szCs w:val="30"/>
                <w:rtl/>
                <w:lang w:eastAsia="ko-KR"/>
              </w:rPr>
              <w:t>للشركات</w:t>
            </w:r>
            <w:r w:rsidRPr="0009163D">
              <w:rPr>
                <w:rFonts w:ascii="Arabic Typesetting" w:eastAsia="Malgun Gothic" w:hAnsi="Arabic Typesetting" w:cs="Arabic Typesetting"/>
                <w:color w:val="000000"/>
                <w:sz w:val="30"/>
                <w:szCs w:val="30"/>
                <w:rtl/>
                <w:lang w:eastAsia="ko-KR"/>
              </w:rPr>
              <w:t>:</w:t>
            </w:r>
            <w:r w:rsidRPr="0009163D">
              <w:rPr>
                <w:rFonts w:ascii="Arabic Typesetting" w:eastAsia="Malgun Gothic" w:hAnsi="Arabic Typesetting" w:cs="Arabic Typesetting" w:hint="cs"/>
                <w:color w:val="000000"/>
                <w:sz w:val="30"/>
                <w:szCs w:val="30"/>
                <w:rtl/>
                <w:lang w:eastAsia="ko-KR"/>
              </w:rPr>
              <w:t>بناء</w:t>
            </w:r>
            <w:proofErr w:type="spellEnd"/>
            <w:r w:rsidRPr="0009163D">
              <w:rPr>
                <w:rFonts w:ascii="Arabic Typesetting" w:eastAsia="Malgun Gothic" w:hAnsi="Arabic Typesetting" w:cs="Arabic Typesetting" w:hint="cs"/>
                <w:color w:val="000000"/>
                <w:sz w:val="30"/>
                <w:szCs w:val="30"/>
                <w:rtl/>
                <w:lang w:eastAsia="ko-KR"/>
              </w:rPr>
              <w:t xml:space="preserve"> استراتيجية توسيم وطنية</w:t>
            </w:r>
          </w:p>
        </w:tc>
        <w:tc>
          <w:tcPr>
            <w:tcW w:w="113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26 إلى 29</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أكتوبر 2015</w:t>
            </w:r>
          </w:p>
        </w:tc>
        <w:tc>
          <w:tcPr>
            <w:tcW w:w="1985"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كولومبيا/جميع بلدان أمريكا اللاتينية</w:t>
            </w:r>
          </w:p>
        </w:tc>
        <w:tc>
          <w:tcPr>
            <w:tcW w:w="4395" w:type="dxa"/>
            <w:shd w:val="clear" w:color="auto" w:fill="FFFFFF"/>
            <w:tcMar>
              <w:top w:w="110" w:type="dxa"/>
            </w:tcMar>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 تشجيع استخدام برامج التوسيم الوطنية؛ (2) توفير منتدى لمناقشة الطبيعة القانونية لهذه البرامج والنهوض بنهج إقليمي لهذه المسألة؛ (3)</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تعزيز تبادل الخبرات فضلا عن تقديم أفضل الممارسات.</w:t>
            </w:r>
          </w:p>
        </w:tc>
      </w:tr>
      <w:tr w:rsidR="0009163D" w:rsidRPr="0009163D" w:rsidTr="00925848">
        <w:trPr>
          <w:cantSplit/>
        </w:trPr>
        <w:tc>
          <w:tcPr>
            <w:tcW w:w="9356" w:type="dxa"/>
            <w:gridSpan w:val="4"/>
            <w:tcBorders>
              <w:top w:val="single" w:sz="4" w:space="0" w:color="auto"/>
              <w:bottom w:val="single" w:sz="4" w:space="0" w:color="auto"/>
            </w:tcBorders>
            <w:shd w:val="clear" w:color="auto" w:fill="C6D9F1" w:themeFill="text2" w:themeFillTint="33"/>
          </w:tcPr>
          <w:p w:rsidR="0009163D" w:rsidRPr="0009163D" w:rsidDel="00152E3E" w:rsidRDefault="0009163D" w:rsidP="0009163D">
            <w:pPr>
              <w:keepNext/>
              <w:keepLines/>
              <w:bidi/>
              <w:spacing w:before="80" w:after="60" w:line="280" w:lineRule="exact"/>
              <w:ind w:left="1133" w:hanging="1133"/>
              <w:rPr>
                <w:rFonts w:ascii="Arabic Typesetting" w:hAnsi="Arabic Typesetting" w:cs="Arabic Typesetting"/>
                <w:bCs/>
                <w:color w:val="000000"/>
                <w:sz w:val="30"/>
                <w:szCs w:val="30"/>
              </w:rPr>
            </w:pPr>
            <w:r w:rsidRPr="0009163D">
              <w:rPr>
                <w:rFonts w:ascii="Arabic Typesetting" w:hAnsi="Arabic Typesetting" w:cs="Arabic Typesetting"/>
                <w:b/>
                <w:bCs/>
                <w:color w:val="000000"/>
                <w:sz w:val="30"/>
                <w:szCs w:val="30"/>
                <w:rtl/>
              </w:rPr>
              <w:lastRenderedPageBreak/>
              <w:t>النتيجة:</w:t>
            </w:r>
            <w:r w:rsidRPr="0009163D">
              <w:rPr>
                <w:rFonts w:ascii="Arabic Typesetting" w:hAnsi="Arabic Typesetting" w:cs="Arabic Typesetting"/>
                <w:color w:val="000000"/>
                <w:sz w:val="30"/>
                <w:szCs w:val="30"/>
                <w:rtl/>
              </w:rPr>
              <w:tab/>
              <w:t>ه4.3 آليات وبرامج تعاونية معزّزة ومكيّفة حسب احتياجات البلدان النامية والبلدان الأقل نموا</w:t>
            </w:r>
          </w:p>
        </w:tc>
      </w:tr>
      <w:tr w:rsidR="0009163D" w:rsidRPr="0009163D" w:rsidTr="00925848">
        <w:trPr>
          <w:cantSplit/>
        </w:trPr>
        <w:tc>
          <w:tcPr>
            <w:tcW w:w="1842" w:type="dxa"/>
            <w:tcBorders>
              <w:top w:val="single" w:sz="4" w:space="0" w:color="auto"/>
              <w:bottom w:val="nil"/>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bottom w:val="nil"/>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bottom w:val="nil"/>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auto"/>
              <w:bottom w:val="nil"/>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lang w:bidi="ar-EG"/>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42"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color w:val="000000"/>
                <w:sz w:val="30"/>
                <w:szCs w:val="30"/>
                <w:rtl/>
                <w:lang w:eastAsia="ko-KR"/>
              </w:rPr>
              <w:t xml:space="preserve">الندوة الإقليمية </w:t>
            </w:r>
            <w:r w:rsidRPr="0009163D">
              <w:rPr>
                <w:rFonts w:ascii="Arabic Typesetting" w:eastAsia="Malgun Gothic" w:hAnsi="Arabic Typesetting" w:cs="Arabic Typesetting" w:hint="cs"/>
                <w:color w:val="000000"/>
                <w:sz w:val="30"/>
                <w:szCs w:val="30"/>
                <w:rtl/>
                <w:lang w:eastAsia="ko-KR"/>
              </w:rPr>
              <w:t>الرابعة عشرة</w:t>
            </w:r>
            <w:r w:rsidRPr="0009163D">
              <w:rPr>
                <w:rFonts w:ascii="Arabic Typesetting" w:eastAsia="Malgun Gothic" w:hAnsi="Arabic Typesetting" w:cs="Arabic Typesetting"/>
                <w:color w:val="000000"/>
                <w:sz w:val="30"/>
                <w:szCs w:val="30"/>
                <w:rtl/>
                <w:lang w:eastAsia="ko-KR"/>
              </w:rPr>
              <w:t xml:space="preserve"> للمنظمة العالمية للملكية الفكرية/المكتب الإسباني </w:t>
            </w:r>
            <w:r w:rsidRPr="0009163D">
              <w:rPr>
                <w:rFonts w:ascii="Arabic Typesetting" w:eastAsia="Malgun Gothic" w:hAnsi="Arabic Typesetting" w:cs="Arabic Typesetting" w:hint="cs"/>
                <w:color w:val="000000"/>
                <w:sz w:val="30"/>
                <w:szCs w:val="30"/>
                <w:rtl/>
                <w:lang w:eastAsia="ko-KR"/>
              </w:rPr>
              <w:t>للبراءات</w:t>
            </w:r>
            <w:r w:rsidRPr="0009163D">
              <w:rPr>
                <w:rFonts w:ascii="Arabic Typesetting" w:eastAsia="Malgun Gothic" w:hAnsi="Arabic Typesetting" w:cs="Arabic Typesetting"/>
                <w:color w:val="000000"/>
                <w:sz w:val="30"/>
                <w:szCs w:val="30"/>
                <w:rtl/>
                <w:lang w:eastAsia="ko-KR"/>
              </w:rPr>
              <w:t xml:space="preserve"> والعلامات التجارية/الوكالة الإسبانية للتعاون الإنمائي الدولي </w:t>
            </w:r>
            <w:r w:rsidRPr="0009163D">
              <w:rPr>
                <w:rFonts w:ascii="Arabic Typesetting" w:eastAsia="Malgun Gothic" w:hAnsi="Arabic Typesetting" w:cs="Arabic Typesetting" w:hint="cs"/>
                <w:color w:val="000000"/>
                <w:sz w:val="30"/>
                <w:szCs w:val="30"/>
                <w:rtl/>
                <w:lang w:eastAsia="ko-KR"/>
              </w:rPr>
              <w:t>حول الملكية الفكرية للقضاة والمدعين العامين من بلدان أمريكا</w:t>
            </w:r>
            <w:r w:rsidRPr="0009163D">
              <w:rPr>
                <w:rFonts w:ascii="Arabic Typesetting" w:eastAsia="Malgun Gothic" w:hAnsi="Arabic Typesetting" w:cs="Arabic Typesetting" w:hint="eastAsia"/>
                <w:color w:val="000000"/>
                <w:sz w:val="30"/>
                <w:szCs w:val="30"/>
                <w:rtl/>
                <w:lang w:eastAsia="ko-KR"/>
              </w:rPr>
              <w:t> </w:t>
            </w:r>
            <w:r w:rsidRPr="0009163D">
              <w:rPr>
                <w:rFonts w:ascii="Arabic Typesetting" w:eastAsia="Malgun Gothic" w:hAnsi="Arabic Typesetting" w:cs="Arabic Typesetting" w:hint="cs"/>
                <w:color w:val="000000"/>
                <w:sz w:val="30"/>
                <w:szCs w:val="30"/>
                <w:rtl/>
                <w:lang w:eastAsia="ko-KR"/>
              </w:rPr>
              <w:t>اللاتينية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16 إلى 20 فبراير 2015</w:t>
            </w:r>
          </w:p>
        </w:tc>
        <w:tc>
          <w:tcPr>
            <w:tcW w:w="1985" w:type="dxa"/>
            <w:tcBorders>
              <w:top w:val="nil"/>
              <w:bottom w:val="nil"/>
            </w:tcBorders>
          </w:tcPr>
          <w:p w:rsidR="0009163D" w:rsidRPr="0009163D" w:rsidRDefault="0009163D" w:rsidP="0009163D">
            <w:pPr>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غواتيمالا</w:t>
            </w:r>
            <w:r w:rsidRPr="0009163D">
              <w:rPr>
                <w:rFonts w:ascii="Arabic Typesetting" w:eastAsia="Malgun Gothic" w:hAnsi="Arabic Typesetting" w:cs="Arabic Typesetting" w:hint="cs"/>
                <w:color w:val="000000"/>
                <w:sz w:val="30"/>
                <w:szCs w:val="30"/>
                <w:lang w:eastAsia="ko-KR"/>
              </w:rPr>
              <w:t>/</w:t>
            </w:r>
            <w:r w:rsidRPr="0009163D">
              <w:rPr>
                <w:rFonts w:ascii="Arabic Typesetting" w:eastAsia="Malgun Gothic" w:hAnsi="Arabic Typesetting" w:cs="Arabic Typesetting" w:hint="cs"/>
                <w:color w:val="000000"/>
                <w:sz w:val="30"/>
                <w:szCs w:val="30"/>
                <w:rtl/>
                <w:lang w:eastAsia="ko-KR"/>
              </w:rPr>
              <w:t xml:space="preserve">جميع دول أمريكا اللاتينية </w:t>
            </w:r>
            <w:r w:rsidRPr="0009163D">
              <w:rPr>
                <w:rFonts w:ascii="Arabic Typesetting" w:eastAsia="Malgun Gothic" w:hAnsi="Arabic Typesetting" w:cs="Arabic Typesetting"/>
                <w:color w:val="000000"/>
                <w:sz w:val="30"/>
                <w:szCs w:val="30"/>
                <w:rtl/>
                <w:lang w:eastAsia="ko-KR"/>
              </w:rPr>
              <w:t xml:space="preserve">ومحكمة جماعة دول </w:t>
            </w:r>
            <w:proofErr w:type="spellStart"/>
            <w:r w:rsidRPr="0009163D">
              <w:rPr>
                <w:rFonts w:ascii="Arabic Typesetting" w:eastAsia="Malgun Gothic" w:hAnsi="Arabic Typesetting" w:cs="Arabic Typesetting"/>
                <w:color w:val="000000"/>
                <w:sz w:val="30"/>
                <w:szCs w:val="30"/>
                <w:rtl/>
                <w:lang w:eastAsia="ko-KR"/>
              </w:rPr>
              <w:t>الأنديز</w:t>
            </w:r>
            <w:proofErr w:type="spellEnd"/>
          </w:p>
        </w:tc>
        <w:tc>
          <w:tcPr>
            <w:tcW w:w="4395" w:type="dxa"/>
            <w:tcBorders>
              <w:top w:val="nil"/>
              <w:bottom w:val="nil"/>
            </w:tcBorders>
          </w:tcPr>
          <w:p w:rsidR="0009163D" w:rsidRPr="0009163D" w:rsidRDefault="0009163D" w:rsidP="0009163D">
            <w:pPr>
              <w:keepLines/>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 تزويد القضاة والمدعين العامين المسؤولين عن الملكية الفكرية في بلدان أمريكا اللاتينية بالتدريب على مسائل الملكية الفكرية لتحسين اتخاذ القرارات عند التقاضي؛ (2) تزويد المشاركين بمعلومات محدثة وتدريب عملي في مجال براءات الاختراع والعلامات التجارية وحقوق المؤلف، وحالات الإنفاذ</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42"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منصة باللغة الإسبانية عن خدمات الملكية الصناعية ومحتوياتها لقطاع ريادة الأعمال </w:t>
            </w:r>
            <w:proofErr w:type="spellStart"/>
            <w:r w:rsidRPr="0009163D">
              <w:rPr>
                <w:rFonts w:ascii="Arabic Typesetting" w:eastAsia="Malgun Gothic" w:hAnsi="Arabic Typesetting" w:cs="Arabic Typesetting" w:hint="cs"/>
                <w:color w:val="000000"/>
                <w:sz w:val="30"/>
                <w:szCs w:val="30"/>
                <w:rtl/>
                <w:lang w:eastAsia="ko-KR"/>
              </w:rPr>
              <w:t>الأيبيري</w:t>
            </w:r>
            <w:proofErr w:type="spellEnd"/>
            <w:r w:rsidRPr="0009163D">
              <w:rPr>
                <w:rFonts w:ascii="Arabic Typesetting" w:eastAsia="Malgun Gothic" w:hAnsi="Arabic Typesetting" w:cs="Arabic Typesetting" w:hint="cs"/>
                <w:color w:val="000000"/>
                <w:sz w:val="30"/>
                <w:szCs w:val="30"/>
                <w:rtl/>
                <w:lang w:eastAsia="ko-KR"/>
              </w:rPr>
              <w:t xml:space="preserve"> الأمريكي مع التركيز بشكل خاص على المشاريع الصغيرة والمتوسطة </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يناير إلى ديسمبر 2015 (مشروع مستمر من 2010)</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جميع البلدان </w:t>
            </w:r>
            <w:proofErr w:type="spellStart"/>
            <w:r w:rsidRPr="0009163D">
              <w:rPr>
                <w:rFonts w:ascii="Arabic Typesetting" w:eastAsia="Malgun Gothic" w:hAnsi="Arabic Typesetting" w:cs="Arabic Typesetting" w:hint="cs"/>
                <w:color w:val="000000"/>
                <w:sz w:val="30"/>
                <w:szCs w:val="30"/>
                <w:rtl/>
                <w:lang w:eastAsia="ko-KR"/>
              </w:rPr>
              <w:t>الأيبيرية</w:t>
            </w:r>
            <w:proofErr w:type="spellEnd"/>
            <w:r w:rsidRPr="0009163D">
              <w:rPr>
                <w:rFonts w:ascii="Arabic Typesetting" w:eastAsia="Malgun Gothic" w:hAnsi="Arabic Typesetting" w:cs="Arabic Typesetting" w:hint="cs"/>
                <w:color w:val="000000"/>
                <w:sz w:val="30"/>
                <w:szCs w:val="30"/>
                <w:rtl/>
                <w:lang w:eastAsia="ko-KR"/>
              </w:rPr>
              <w:t xml:space="preserve"> الأمريكية</w:t>
            </w:r>
          </w:p>
        </w:tc>
        <w:tc>
          <w:tcPr>
            <w:tcW w:w="439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الاستمرار في تصميم وإنشاء منصة واحدة موجهة إلى ممثلي القطاع الخاص من أجل (1) تقديم المساعدة والخدمات في استخدامهم للملكية الفكرية(2)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زيادة قيمة أعمالهم (3) توفير منتدى للقطاع الخاص لتبادل الأفكار والخبرات.</w:t>
            </w:r>
          </w:p>
        </w:tc>
      </w:tr>
      <w:tr w:rsidR="0009163D" w:rsidRPr="0009163D" w:rsidTr="00925848">
        <w:trPr>
          <w:cantSplit/>
        </w:trPr>
        <w:tc>
          <w:tcPr>
            <w:tcW w:w="1842"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مشروع </w:t>
            </w:r>
            <w:proofErr w:type="spellStart"/>
            <w:r w:rsidRPr="0009163D">
              <w:rPr>
                <w:rFonts w:ascii="Arabic Typesetting" w:eastAsia="Malgun Gothic" w:hAnsi="Arabic Typesetting" w:cs="Arabic Typesetting" w:hint="cs"/>
                <w:color w:val="000000"/>
                <w:sz w:val="30"/>
                <w:szCs w:val="30"/>
                <w:rtl/>
                <w:lang w:eastAsia="ko-KR"/>
              </w:rPr>
              <w:t>الأتمتة</w:t>
            </w:r>
            <w:proofErr w:type="spellEnd"/>
            <w:r w:rsidRPr="0009163D">
              <w:rPr>
                <w:rFonts w:ascii="Arabic Typesetting" w:eastAsia="Malgun Gothic" w:hAnsi="Arabic Typesetting" w:cs="Arabic Typesetting" w:hint="cs"/>
                <w:color w:val="000000"/>
                <w:sz w:val="30"/>
                <w:szCs w:val="30"/>
                <w:rtl/>
                <w:lang w:eastAsia="ko-KR"/>
              </w:rPr>
              <w:t xml:space="preserve"> الإقليمي لترجمة المستوى المتقدم من التصنيف الدولي للبراءات</w:t>
            </w:r>
            <w:r w:rsidRPr="0009163D">
              <w:rPr>
                <w:rFonts w:ascii="Arabic Typesetting" w:eastAsia="Malgun Gothic" w:hAnsi="Arabic Typesetting" w:cs="Arabic Typesetting" w:hint="cs"/>
                <w:color w:val="000000"/>
                <w:sz w:val="30"/>
                <w:szCs w:val="30"/>
                <w:lang w:eastAsia="ko-KR"/>
              </w:rPr>
              <w:t>(IPC)</w:t>
            </w:r>
            <w:r w:rsidRPr="0009163D">
              <w:rPr>
                <w:rFonts w:ascii="Arabic Typesetting" w:eastAsia="Malgun Gothic" w:hAnsi="Arabic Typesetting" w:cs="Arabic Typesetting" w:hint="cs"/>
                <w:color w:val="000000"/>
                <w:sz w:val="30"/>
                <w:szCs w:val="30"/>
                <w:rtl/>
                <w:lang w:eastAsia="ko-KR"/>
              </w:rPr>
              <w:t xml:space="preserve"> إلى اللغة الإسبانية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يناير إلى ديسمبر 2015 (مشروع مستمر من 2010)</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جميع البلدان </w:t>
            </w:r>
            <w:proofErr w:type="spellStart"/>
            <w:r w:rsidRPr="0009163D">
              <w:rPr>
                <w:rFonts w:ascii="Arabic Typesetting" w:eastAsia="Malgun Gothic" w:hAnsi="Arabic Typesetting" w:cs="Arabic Typesetting" w:hint="cs"/>
                <w:color w:val="000000"/>
                <w:sz w:val="30"/>
                <w:szCs w:val="30"/>
                <w:rtl/>
                <w:lang w:eastAsia="ko-KR"/>
              </w:rPr>
              <w:t>الأيبيرية</w:t>
            </w:r>
            <w:proofErr w:type="spellEnd"/>
            <w:r w:rsidRPr="0009163D">
              <w:rPr>
                <w:rFonts w:ascii="Arabic Typesetting" w:eastAsia="Malgun Gothic" w:hAnsi="Arabic Typesetting" w:cs="Arabic Typesetting" w:hint="cs"/>
                <w:color w:val="000000"/>
                <w:sz w:val="30"/>
                <w:szCs w:val="30"/>
                <w:rtl/>
                <w:lang w:eastAsia="ko-KR"/>
              </w:rPr>
              <w:t xml:space="preserve"> الأمريكية</w:t>
            </w:r>
          </w:p>
        </w:tc>
        <w:tc>
          <w:tcPr>
            <w:tcW w:w="439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(1) تنفيذ </w:t>
            </w:r>
            <w:proofErr w:type="spellStart"/>
            <w:r w:rsidRPr="0009163D">
              <w:rPr>
                <w:rFonts w:ascii="Arabic Typesetting" w:eastAsia="Malgun Gothic" w:hAnsi="Arabic Typesetting" w:cs="Arabic Typesetting" w:hint="cs"/>
                <w:color w:val="000000"/>
                <w:sz w:val="30"/>
                <w:szCs w:val="30"/>
                <w:rtl/>
                <w:lang w:eastAsia="ko-KR"/>
              </w:rPr>
              <w:t>الأتمتة</w:t>
            </w:r>
            <w:proofErr w:type="spellEnd"/>
            <w:r w:rsidRPr="0009163D">
              <w:rPr>
                <w:rFonts w:ascii="Arabic Typesetting" w:eastAsia="Malgun Gothic" w:hAnsi="Arabic Typesetting" w:cs="Arabic Typesetting" w:hint="cs"/>
                <w:color w:val="000000"/>
                <w:sz w:val="30"/>
                <w:szCs w:val="30"/>
                <w:rtl/>
                <w:lang w:eastAsia="ko-KR"/>
              </w:rPr>
              <w:t xml:space="preserve"> للترجمة الإسبانية للمستوى المتقدم من التصنيف الدولي للبراءات، حيث كان التكليف في الأصل مقصورًا على اللغتين الإنكليزية والفرنسية؛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جعله متاحًا لخدمة مكاتب الملكية الصناعية في بلدان أمريكا اللاتينية</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42"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ندوة إقليمية حول معاهدة التعاون بشأن البراءات ومعاهدة بودابست لبلدان أمريكا اللاتينية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28 إلى 31 يوليو 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إكوادور/جميع بلدان أمريكا اللاتينية</w:t>
            </w:r>
          </w:p>
        </w:tc>
        <w:tc>
          <w:tcPr>
            <w:tcW w:w="439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تبادل الخبرات وتحديث معارف المكاتب الوطنية حول آخر التطورات في نظام معاهدة التعاون بشأن البراءات.</w:t>
            </w:r>
          </w:p>
        </w:tc>
      </w:tr>
      <w:tr w:rsidR="0009163D" w:rsidRPr="0009163D" w:rsidTr="00925848">
        <w:trPr>
          <w:cantSplit/>
        </w:trPr>
        <w:tc>
          <w:tcPr>
            <w:tcW w:w="1842"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ندوة إقليمية حول إنفاذ حقوق الملكية الصناعية</w:t>
            </w:r>
            <w:r w:rsidRPr="00F96634">
              <w:rPr>
                <w:rFonts w:ascii="Arabic Typesetting" w:eastAsia="Malgun Gothic" w:hAnsi="Arabic Typesetting" w:cs="Arabic Typesetting"/>
                <w:color w:val="000000"/>
                <w:sz w:val="28"/>
                <w:szCs w:val="28"/>
                <w:vertAlign w:val="superscript"/>
                <w:rtl/>
                <w:lang w:eastAsia="ko-KR"/>
              </w:rPr>
              <w:footnoteReference w:id="166"/>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27 إلى 28 يوليو 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المكسيك/إكوادور وهندوراس وباراغواي وبيرو والمكسيك وإسبانيا</w:t>
            </w:r>
          </w:p>
        </w:tc>
        <w:tc>
          <w:tcPr>
            <w:tcW w:w="439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تحديث معارف سلطات الملكية الفكرية بشأن إنفاذ حقوق الملكية الفكرية من خلال المناهج المختلفة؛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توفير منتدى لمكاتب الملكية الفكرية الوطنية من بلدان أمريكا اللاتينية لتبادل الخبرات في مجال تعزيز وتنمية احترام حقوق الملكية الفكرية؛ (3)</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تعزيز علاقات التعاون الإقليمي والمؤسسي في مجال الإنفاذ</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42"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يوم مكافحة التزييف للغرف التجارية ورجال الأعمال</w:t>
            </w:r>
            <w:r w:rsidRPr="00F96634">
              <w:rPr>
                <w:rFonts w:ascii="Arabic Typesetting" w:eastAsia="Malgun Gothic" w:hAnsi="Arabic Typesetting" w:cs="Arabic Typesetting"/>
                <w:color w:val="000000"/>
                <w:sz w:val="28"/>
                <w:szCs w:val="28"/>
                <w:vertAlign w:val="superscript"/>
                <w:rtl/>
                <w:lang w:eastAsia="ko-KR"/>
              </w:rPr>
              <w:footnoteReference w:id="167"/>
            </w:r>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29 يوليو 2015</w:t>
            </w:r>
          </w:p>
        </w:tc>
        <w:tc>
          <w:tcPr>
            <w:tcW w:w="198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المكسيك/إكوادور وهندوراس وباراغواي وبيرو والمكسيك وإسبانيا</w:t>
            </w:r>
          </w:p>
        </w:tc>
        <w:tc>
          <w:tcPr>
            <w:tcW w:w="439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 جمع مسؤولين حكوميين رفيعي المستوى وكبار رجال الأعمال لتبادل خبراتهم من أجل تنسيق دولي معزز والتعاون لإيجاد حلول أكثر فعالية في السعي لمكافحة التزوير؛ و(2) تقديم لمحة عامة عما هو متاح من خدمات ودعم جماهيري لإنفاذ حقوق الملكية الفكرية</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42"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lastRenderedPageBreak/>
              <w:t xml:space="preserve">الاجتماع دون الإقليمي حول براءات الاختراع من بلدان أمريكا الوسطى وبنما والجمهورية </w:t>
            </w:r>
            <w:proofErr w:type="spellStart"/>
            <w:r w:rsidRPr="0009163D">
              <w:rPr>
                <w:rFonts w:ascii="Arabic Typesetting" w:eastAsia="Malgun Gothic" w:hAnsi="Arabic Typesetting" w:cs="Arabic Typesetting" w:hint="cs"/>
                <w:color w:val="000000"/>
                <w:sz w:val="30"/>
                <w:szCs w:val="30"/>
                <w:rtl/>
                <w:lang w:eastAsia="ko-KR"/>
              </w:rPr>
              <w:t>الدومينيكية</w:t>
            </w:r>
            <w:proofErr w:type="spellEnd"/>
            <w:r w:rsidRPr="0009163D">
              <w:rPr>
                <w:rFonts w:ascii="Arabic Typesetting" w:eastAsia="Malgun Gothic" w:hAnsi="Arabic Typesetting" w:cs="Arabic Typesetting" w:hint="cs"/>
                <w:color w:val="000000"/>
                <w:sz w:val="30"/>
                <w:szCs w:val="30"/>
                <w:rtl/>
                <w:lang w:eastAsia="ko-KR"/>
              </w:rPr>
              <w:t xml:space="preserve"> للمراجعة والموافقة على دليل بشأن فحص تطبيقات براءات الاختراع، وآليات تعزيز التعاون</w:t>
            </w:r>
          </w:p>
        </w:tc>
        <w:tc>
          <w:tcPr>
            <w:tcW w:w="1134"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30 يونيو إلى 2 يوليو 2015</w:t>
            </w:r>
          </w:p>
        </w:tc>
        <w:tc>
          <w:tcPr>
            <w:tcW w:w="1985"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بنما/بلدان أمريكا الوسطى والجمهورية </w:t>
            </w:r>
            <w:proofErr w:type="spellStart"/>
            <w:r w:rsidRPr="0009163D">
              <w:rPr>
                <w:rFonts w:ascii="Arabic Typesetting" w:eastAsia="Malgun Gothic" w:hAnsi="Arabic Typesetting" w:cs="Arabic Typesetting" w:hint="cs"/>
                <w:color w:val="000000"/>
                <w:sz w:val="30"/>
                <w:szCs w:val="30"/>
                <w:rtl/>
                <w:lang w:eastAsia="ko-KR"/>
              </w:rPr>
              <w:t>الدومينيكية</w:t>
            </w:r>
            <w:proofErr w:type="spellEnd"/>
          </w:p>
        </w:tc>
        <w:tc>
          <w:tcPr>
            <w:tcW w:w="4395" w:type="dxa"/>
            <w:tcBorders>
              <w:top w:val="single" w:sz="4" w:space="0" w:color="auto"/>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(1)</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 xml:space="preserve">توفير فرصة لتحديث دليل فحص براءات الاختراع لدول أمريكا الوسطى وبنما والجمهورية </w:t>
            </w:r>
            <w:proofErr w:type="spellStart"/>
            <w:r w:rsidRPr="0009163D">
              <w:rPr>
                <w:rFonts w:ascii="Arabic Typesetting" w:eastAsia="Malgun Gothic" w:hAnsi="Arabic Typesetting" w:cs="Arabic Typesetting" w:hint="cs"/>
                <w:color w:val="000000"/>
                <w:sz w:val="30"/>
                <w:szCs w:val="30"/>
                <w:rtl/>
                <w:lang w:eastAsia="ko-KR"/>
              </w:rPr>
              <w:t>الدومينيكية</w:t>
            </w:r>
            <w:proofErr w:type="spellEnd"/>
            <w:r w:rsidRPr="0009163D">
              <w:rPr>
                <w:rFonts w:ascii="Arabic Typesetting" w:eastAsia="Malgun Gothic" w:hAnsi="Arabic Typesetting" w:cs="Arabic Typesetting" w:hint="cs"/>
                <w:color w:val="000000"/>
                <w:sz w:val="30"/>
                <w:szCs w:val="30"/>
                <w:rtl/>
                <w:lang w:eastAsia="ko-KR"/>
              </w:rPr>
              <w:t>؛ (2) اقتراح تدابير تساعد على استخدام الدليل في المستقبل في عمليات الفحص؛ (3) اتخاذ تدابير لتعزيز آليات التعاون بهدف تحقيق توافق في الآراء من أجل المحافظة على أهمية المضي قدمًا بشأن الدليل</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42"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rtl/>
                <w:lang w:eastAsia="ko-KR"/>
              </w:rPr>
            </w:pPr>
            <w:r w:rsidRPr="0009163D">
              <w:rPr>
                <w:rFonts w:ascii="Arabic Typesetting" w:eastAsia="Malgun Gothic" w:hAnsi="Arabic Typesetting" w:cs="Arabic Typesetting" w:hint="cs"/>
                <w:color w:val="000000"/>
                <w:sz w:val="30"/>
                <w:szCs w:val="30"/>
                <w:rtl/>
                <w:lang w:eastAsia="ko-KR"/>
              </w:rPr>
              <w:t xml:space="preserve">البرنامج </w:t>
            </w:r>
            <w:proofErr w:type="spellStart"/>
            <w:r w:rsidRPr="0009163D">
              <w:rPr>
                <w:rFonts w:ascii="Arabic Typesetting" w:eastAsia="Malgun Gothic" w:hAnsi="Arabic Typesetting" w:cs="Arabic Typesetting" w:hint="cs"/>
                <w:color w:val="000000"/>
                <w:sz w:val="30"/>
                <w:szCs w:val="30"/>
                <w:rtl/>
                <w:lang w:eastAsia="ko-KR"/>
              </w:rPr>
              <w:t>الأيبيري</w:t>
            </w:r>
            <w:proofErr w:type="spellEnd"/>
            <w:r w:rsidRPr="0009163D">
              <w:rPr>
                <w:rFonts w:ascii="Arabic Typesetting" w:eastAsia="Malgun Gothic" w:hAnsi="Arabic Typesetting" w:cs="Arabic Typesetting" w:hint="cs"/>
                <w:color w:val="000000"/>
                <w:sz w:val="30"/>
                <w:szCs w:val="30"/>
                <w:rtl/>
                <w:lang w:eastAsia="ko-KR"/>
              </w:rPr>
              <w:t xml:space="preserve"> – الأمريكي للملكية الصناعية</w:t>
            </w:r>
          </w:p>
        </w:tc>
        <w:tc>
          <w:tcPr>
            <w:tcW w:w="1134"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يناير إلى ديسمبر 2015</w:t>
            </w:r>
          </w:p>
        </w:tc>
        <w:tc>
          <w:tcPr>
            <w:tcW w:w="198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جميع البلدان </w:t>
            </w:r>
            <w:proofErr w:type="spellStart"/>
            <w:r w:rsidRPr="0009163D">
              <w:rPr>
                <w:rFonts w:ascii="Arabic Typesetting" w:eastAsia="Malgun Gothic" w:hAnsi="Arabic Typesetting" w:cs="Arabic Typesetting" w:hint="cs"/>
                <w:color w:val="000000"/>
                <w:sz w:val="30"/>
                <w:szCs w:val="30"/>
                <w:rtl/>
                <w:lang w:eastAsia="ko-KR"/>
              </w:rPr>
              <w:t>الأيبيرية</w:t>
            </w:r>
            <w:proofErr w:type="spellEnd"/>
            <w:r w:rsidRPr="0009163D">
              <w:rPr>
                <w:rFonts w:ascii="Arabic Typesetting" w:eastAsia="Malgun Gothic" w:hAnsi="Arabic Typesetting" w:cs="Arabic Typesetting" w:hint="cs"/>
                <w:color w:val="000000"/>
                <w:sz w:val="30"/>
                <w:szCs w:val="30"/>
                <w:rtl/>
                <w:lang w:eastAsia="ko-KR"/>
              </w:rPr>
              <w:t xml:space="preserve"> الأمريكية</w:t>
            </w:r>
          </w:p>
        </w:tc>
        <w:tc>
          <w:tcPr>
            <w:tcW w:w="4395" w:type="dxa"/>
            <w:tcBorders>
              <w:top w:val="nil"/>
              <w:bottom w:val="nil"/>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rtl/>
                <w:lang w:eastAsia="ko-KR"/>
              </w:rPr>
            </w:pPr>
            <w:r w:rsidRPr="0009163D">
              <w:rPr>
                <w:rFonts w:ascii="Arabic Typesetting" w:eastAsia="Malgun Gothic" w:hAnsi="Arabic Typesetting" w:cs="Arabic Typesetting" w:hint="cs"/>
                <w:color w:val="000000"/>
                <w:sz w:val="30"/>
                <w:szCs w:val="30"/>
                <w:rtl/>
                <w:lang w:eastAsia="ko-KR"/>
              </w:rPr>
              <w:t xml:space="preserve">تعزيز التنمية الاجتماعية والاقتصادية في المنطقة في إطار مؤتمر قمة رؤساء الدول والحكومات من الدول </w:t>
            </w:r>
            <w:proofErr w:type="spellStart"/>
            <w:r w:rsidRPr="0009163D">
              <w:rPr>
                <w:rFonts w:ascii="Arabic Typesetting" w:eastAsia="Malgun Gothic" w:hAnsi="Arabic Typesetting" w:cs="Arabic Typesetting" w:hint="cs"/>
                <w:color w:val="000000"/>
                <w:sz w:val="30"/>
                <w:szCs w:val="30"/>
                <w:rtl/>
                <w:lang w:eastAsia="ko-KR"/>
              </w:rPr>
              <w:t>الأيبيرية</w:t>
            </w:r>
            <w:proofErr w:type="spellEnd"/>
            <w:r w:rsidRPr="0009163D">
              <w:rPr>
                <w:rFonts w:ascii="Arabic Typesetting" w:eastAsia="Malgun Gothic" w:hAnsi="Arabic Typesetting" w:cs="Arabic Typesetting" w:hint="cs"/>
                <w:color w:val="000000"/>
                <w:sz w:val="30"/>
                <w:szCs w:val="30"/>
                <w:rtl/>
                <w:lang w:eastAsia="ko-KR"/>
              </w:rPr>
              <w:t xml:space="preserve"> الأمريكية</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1842"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اجتماع للجنة الحكومية الدولية المعنية بالبرنامج </w:t>
            </w:r>
            <w:proofErr w:type="spellStart"/>
            <w:r w:rsidRPr="0009163D">
              <w:rPr>
                <w:rFonts w:ascii="Arabic Typesetting" w:eastAsia="Malgun Gothic" w:hAnsi="Arabic Typesetting" w:cs="Arabic Typesetting" w:hint="cs"/>
                <w:color w:val="000000"/>
                <w:sz w:val="30"/>
                <w:szCs w:val="30"/>
                <w:rtl/>
                <w:lang w:eastAsia="ko-KR"/>
              </w:rPr>
              <w:t>الأيبيري</w:t>
            </w:r>
            <w:proofErr w:type="spellEnd"/>
            <w:r w:rsidRPr="0009163D">
              <w:rPr>
                <w:rFonts w:ascii="Arabic Typesetting" w:eastAsia="Malgun Gothic" w:hAnsi="Arabic Typesetting" w:cs="Arabic Typesetting" w:hint="cs"/>
                <w:color w:val="000000"/>
                <w:sz w:val="30"/>
                <w:szCs w:val="30"/>
                <w:rtl/>
                <w:lang w:eastAsia="ko-KR"/>
              </w:rPr>
              <w:t xml:space="preserve"> – الأمريكي للملكية الصناعية</w:t>
            </w:r>
          </w:p>
        </w:tc>
        <w:tc>
          <w:tcPr>
            <w:tcW w:w="1134"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من 1 إلى 2</w:t>
            </w:r>
            <w:r w:rsidRPr="0009163D">
              <w:rPr>
                <w:rFonts w:ascii="Arabic Typesetting" w:eastAsia="Malgun Gothic" w:hAnsi="Arabic Typesetting" w:cs="Arabic Typesetting" w:hint="cs"/>
                <w:color w:val="000000"/>
                <w:sz w:val="30"/>
                <w:szCs w:val="30"/>
                <w:lang w:eastAsia="ko-KR"/>
              </w:rPr>
              <w:t xml:space="preserve"> </w:t>
            </w:r>
            <w:r w:rsidRPr="0009163D">
              <w:rPr>
                <w:rFonts w:ascii="Arabic Typesetting" w:eastAsia="Malgun Gothic" w:hAnsi="Arabic Typesetting" w:cs="Arabic Typesetting" w:hint="cs"/>
                <w:color w:val="000000"/>
                <w:sz w:val="30"/>
                <w:szCs w:val="30"/>
                <w:rtl/>
                <w:lang w:eastAsia="ko-KR"/>
              </w:rPr>
              <w:t>أكتوبر 2015</w:t>
            </w:r>
          </w:p>
        </w:tc>
        <w:tc>
          <w:tcPr>
            <w:tcW w:w="198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إسبانيا/جميع البلدان </w:t>
            </w:r>
            <w:proofErr w:type="spellStart"/>
            <w:r w:rsidRPr="0009163D">
              <w:rPr>
                <w:rFonts w:ascii="Arabic Typesetting" w:eastAsia="Malgun Gothic" w:hAnsi="Arabic Typesetting" w:cs="Arabic Typesetting" w:hint="cs"/>
                <w:color w:val="000000"/>
                <w:sz w:val="30"/>
                <w:szCs w:val="30"/>
                <w:rtl/>
                <w:lang w:eastAsia="ko-KR"/>
              </w:rPr>
              <w:t>الأيبيرية</w:t>
            </w:r>
            <w:proofErr w:type="spellEnd"/>
            <w:r w:rsidRPr="0009163D">
              <w:rPr>
                <w:rFonts w:ascii="Arabic Typesetting" w:eastAsia="Malgun Gothic" w:hAnsi="Arabic Typesetting" w:cs="Arabic Typesetting" w:hint="cs"/>
                <w:color w:val="000000"/>
                <w:sz w:val="30"/>
                <w:szCs w:val="30"/>
                <w:rtl/>
                <w:lang w:eastAsia="ko-KR"/>
              </w:rPr>
              <w:t xml:space="preserve"> الأمريكية</w:t>
            </w:r>
          </w:p>
        </w:tc>
        <w:tc>
          <w:tcPr>
            <w:tcW w:w="4395" w:type="dxa"/>
            <w:tcBorders>
              <w:top w:val="nil"/>
              <w:bottom w:val="single" w:sz="4" w:space="0" w:color="auto"/>
            </w:tcBorders>
          </w:tcPr>
          <w:p w:rsidR="0009163D" w:rsidRPr="0009163D" w:rsidRDefault="0009163D" w:rsidP="0009163D">
            <w:pPr>
              <w:autoSpaceDE w:val="0"/>
              <w:autoSpaceDN w:val="0"/>
              <w:bidi/>
              <w:adjustRightInd w:val="0"/>
              <w:spacing w:before="80" w:after="60" w:line="280" w:lineRule="exact"/>
              <w:rPr>
                <w:rFonts w:ascii="Arabic Typesetting" w:eastAsia="Malgun Gothic" w:hAnsi="Arabic Typesetting" w:cs="Arabic Typesetting"/>
                <w:color w:val="000000"/>
                <w:sz w:val="30"/>
                <w:szCs w:val="30"/>
                <w:lang w:eastAsia="ko-KR"/>
              </w:rPr>
            </w:pPr>
            <w:r w:rsidRPr="0009163D">
              <w:rPr>
                <w:rFonts w:ascii="Arabic Typesetting" w:eastAsia="Malgun Gothic" w:hAnsi="Arabic Typesetting" w:cs="Arabic Typesetting" w:hint="cs"/>
                <w:color w:val="000000"/>
                <w:sz w:val="30"/>
                <w:szCs w:val="30"/>
                <w:rtl/>
                <w:lang w:eastAsia="ko-KR"/>
              </w:rPr>
              <w:t xml:space="preserve">تسهيل تنظيم اجتماع للجنة الحكومية الدولية المعنية بالبرنامج </w:t>
            </w:r>
            <w:proofErr w:type="spellStart"/>
            <w:r w:rsidRPr="0009163D">
              <w:rPr>
                <w:rFonts w:ascii="Arabic Typesetting" w:eastAsia="Malgun Gothic" w:hAnsi="Arabic Typesetting" w:cs="Arabic Typesetting" w:hint="cs"/>
                <w:color w:val="000000"/>
                <w:sz w:val="30"/>
                <w:szCs w:val="30"/>
                <w:rtl/>
                <w:lang w:eastAsia="ko-KR"/>
              </w:rPr>
              <w:t>الأيبيري</w:t>
            </w:r>
            <w:proofErr w:type="spellEnd"/>
            <w:r w:rsidRPr="0009163D">
              <w:rPr>
                <w:rFonts w:ascii="Arabic Typesetting" w:eastAsia="Malgun Gothic" w:hAnsi="Arabic Typesetting" w:cs="Arabic Typesetting" w:hint="cs"/>
                <w:color w:val="000000"/>
                <w:sz w:val="30"/>
                <w:szCs w:val="30"/>
                <w:rtl/>
                <w:lang w:eastAsia="ko-KR"/>
              </w:rPr>
              <w:t xml:space="preserve"> – الأمريكي للملكية الصناعية، وقد نُظم بالتعاون مع أمانة اللجنة</w:t>
            </w:r>
            <w:r w:rsidRPr="0009163D">
              <w:rPr>
                <w:rFonts w:ascii="Arabic Typesetting" w:eastAsia="Malgun Gothic" w:hAnsi="Arabic Typesetting" w:cs="Arabic Typesetting" w:hint="cs"/>
                <w:color w:val="000000"/>
                <w:sz w:val="30"/>
                <w:szCs w:val="30"/>
                <w:lang w:eastAsia="ko-KR"/>
              </w:rPr>
              <w:t>.</w:t>
            </w:r>
          </w:p>
        </w:tc>
      </w:tr>
      <w:tr w:rsidR="0009163D" w:rsidRPr="0009163D" w:rsidTr="00925848">
        <w:trPr>
          <w:cantSplit/>
        </w:trPr>
        <w:tc>
          <w:tcPr>
            <w:tcW w:w="9356" w:type="dxa"/>
            <w:gridSpan w:val="4"/>
            <w:tcBorders>
              <w:top w:val="single" w:sz="4" w:space="0" w:color="auto"/>
              <w:bottom w:val="single" w:sz="4" w:space="0" w:color="auto"/>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4.4 </w:t>
            </w:r>
            <w:r w:rsidRPr="0009163D">
              <w:rPr>
                <w:rFonts w:ascii="Arabic Typesetting" w:hAnsi="Arabic Typesetting" w:cs="Arabic Typesetting"/>
                <w:color w:val="000000"/>
                <w:sz w:val="30"/>
                <w:szCs w:val="30"/>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09163D" w:rsidRPr="0009163D" w:rsidTr="00925848">
        <w:trPr>
          <w:cantSplit/>
        </w:trPr>
        <w:tc>
          <w:tcPr>
            <w:tcW w:w="1842" w:type="dxa"/>
            <w:tcBorders>
              <w:top w:val="single" w:sz="4" w:space="0" w:color="auto"/>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5"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5" w:type="dxa"/>
            <w:tcBorders>
              <w:top w:val="single" w:sz="4" w:space="0" w:color="auto"/>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4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الندوة الإقليمية </w:t>
            </w:r>
            <w:r w:rsidRPr="0009163D">
              <w:rPr>
                <w:rFonts w:ascii="Arabic Typesetting" w:hAnsi="Arabic Typesetting" w:cs="Arabic Typesetting" w:hint="cs"/>
                <w:color w:val="000000"/>
                <w:sz w:val="30"/>
                <w:szCs w:val="30"/>
                <w:rtl/>
              </w:rPr>
              <w:t>السادسة</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لإدارة</w:t>
            </w:r>
            <w:r w:rsidRPr="0009163D">
              <w:rPr>
                <w:rFonts w:ascii="Arabic Typesetting" w:hAnsi="Arabic Typesetting" w:cs="Arabic Typesetting"/>
                <w:color w:val="000000"/>
                <w:sz w:val="30"/>
                <w:szCs w:val="30"/>
                <w:rtl/>
              </w:rPr>
              <w:t xml:space="preserve"> مكاتب الملكية الصناعية </w:t>
            </w:r>
            <w:r w:rsidRPr="0009163D">
              <w:rPr>
                <w:rFonts w:ascii="Arabic Typesetting" w:hAnsi="Arabic Typesetting" w:cs="Arabic Typesetting" w:hint="cs"/>
                <w:color w:val="000000"/>
                <w:sz w:val="30"/>
                <w:szCs w:val="30"/>
                <w:rtl/>
              </w:rPr>
              <w:t>الوطنية: دور برامج تقاسم العمل</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16</w:t>
            </w:r>
            <w:r w:rsidRPr="0009163D">
              <w:rPr>
                <w:rFonts w:ascii="Arabic Typesetting" w:hAnsi="Arabic Typesetting" w:cs="Arabic Typesetting"/>
                <w:color w:val="000000"/>
                <w:sz w:val="30"/>
                <w:szCs w:val="30"/>
                <w:rtl/>
              </w:rPr>
              <w:t xml:space="preserve"> إلى </w:t>
            </w:r>
            <w:r w:rsidRPr="0009163D">
              <w:rPr>
                <w:rFonts w:ascii="Arabic Typesetting" w:hAnsi="Arabic Typesetting" w:cs="Arabic Typesetting" w:hint="cs"/>
                <w:color w:val="000000"/>
                <w:sz w:val="30"/>
                <w:szCs w:val="30"/>
                <w:rtl/>
              </w:rPr>
              <w:t>19</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مارس</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sz w:val="30"/>
                <w:szCs w:val="30"/>
                <w:rtl/>
              </w:rPr>
              <w:t>2015</w:t>
            </w:r>
          </w:p>
        </w:tc>
        <w:tc>
          <w:tcPr>
            <w:tcW w:w="1985" w:type="dxa"/>
          </w:tcPr>
          <w:p w:rsidR="0009163D" w:rsidRPr="0009163D" w:rsidDel="00E54910"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كولومبيا/</w:t>
            </w:r>
            <w:r w:rsidRPr="0009163D">
              <w:rPr>
                <w:rFonts w:ascii="Arabic Typesetting" w:hAnsi="Arabic Typesetting" w:cs="Arabic Typesetting" w:hint="cs"/>
                <w:color w:val="000000"/>
                <w:sz w:val="30"/>
                <w:szCs w:val="30"/>
                <w:rtl/>
              </w:rPr>
              <w:t>كل</w:t>
            </w:r>
            <w:r w:rsidRPr="0009163D">
              <w:rPr>
                <w:rFonts w:ascii="Arabic Typesetting" w:hAnsi="Arabic Typesetting" w:cs="Arabic Typesetting"/>
                <w:color w:val="000000"/>
                <w:sz w:val="30"/>
                <w:szCs w:val="30"/>
                <w:rtl/>
              </w:rPr>
              <w:t xml:space="preserve"> دول أمريكا اللاتينية</w:t>
            </w:r>
          </w:p>
        </w:tc>
        <w:tc>
          <w:tcPr>
            <w:tcW w:w="4395"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(1</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تزويد المشاركي</w:t>
            </w:r>
            <w:r w:rsidRPr="0009163D">
              <w:rPr>
                <w:rFonts w:ascii="Arabic Typesetting" w:hAnsi="Arabic Typesetting" w:cs="Arabic Typesetting" w:hint="cs"/>
                <w:color w:val="000000"/>
                <w:sz w:val="30"/>
                <w:szCs w:val="30"/>
                <w:rtl/>
              </w:rPr>
              <w:t>ن</w:t>
            </w:r>
            <w:r w:rsidRPr="0009163D">
              <w:rPr>
                <w:rFonts w:ascii="Arabic Typesetting" w:hAnsi="Arabic Typesetting" w:cs="Arabic Typesetting"/>
                <w:color w:val="000000"/>
                <w:sz w:val="30"/>
                <w:szCs w:val="30"/>
                <w:rtl/>
              </w:rPr>
              <w:t xml:space="preserve"> بمعلومات محدثة وتدريب عملي وأدوات مفيدة </w:t>
            </w:r>
            <w:r w:rsidRPr="0009163D">
              <w:rPr>
                <w:rFonts w:ascii="Arabic Typesetting" w:hAnsi="Arabic Typesetting" w:cs="Arabic Typesetting" w:hint="cs"/>
                <w:color w:val="000000"/>
                <w:sz w:val="30"/>
                <w:szCs w:val="30"/>
                <w:rtl/>
              </w:rPr>
              <w:t>لإدارة المكاتب الوطنية؛</w:t>
            </w:r>
            <w:r w:rsidRPr="0009163D">
              <w:rPr>
                <w:rFonts w:ascii="Arabic Typesetting" w:hAnsi="Arabic Typesetting" w:cs="Arabic Typesetting"/>
                <w:color w:val="000000"/>
                <w:sz w:val="30"/>
                <w:szCs w:val="30"/>
                <w:rtl/>
              </w:rPr>
              <w:t xml:space="preserve"> (2</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 xml:space="preserve">توفير </w:t>
            </w:r>
            <w:r w:rsidRPr="0009163D">
              <w:rPr>
                <w:rFonts w:ascii="Arabic Typesetting" w:hAnsi="Arabic Typesetting" w:cs="Arabic Typesetting" w:hint="cs"/>
                <w:color w:val="000000"/>
                <w:sz w:val="30"/>
                <w:szCs w:val="30"/>
                <w:rtl/>
              </w:rPr>
              <w:t>منتدى لتبادل الخبرات بشأن الممارسات الجيدة؛</w:t>
            </w:r>
            <w:r w:rsidRPr="0009163D">
              <w:rPr>
                <w:rFonts w:ascii="Arabic Typesetting" w:hAnsi="Arabic Typesetting" w:cs="Arabic Typesetting"/>
                <w:color w:val="000000"/>
                <w:sz w:val="30"/>
                <w:szCs w:val="30"/>
                <w:rtl/>
              </w:rPr>
              <w:t xml:space="preserve"> (3)</w:t>
            </w:r>
            <w:r w:rsidRPr="0009163D">
              <w:rPr>
                <w:rFonts w:ascii="Arabic Typesetting" w:hAnsi="Arabic Typesetting" w:cs="Arabic Typesetting" w:hint="cs"/>
                <w:color w:val="000000"/>
                <w:sz w:val="30"/>
                <w:szCs w:val="30"/>
                <w:rtl/>
              </w:rPr>
              <w:t xml:space="preserve"> </w:t>
            </w:r>
            <w:r w:rsidRPr="0009163D">
              <w:rPr>
                <w:rFonts w:ascii="Arabic Typesetting" w:hAnsi="Arabic Typesetting" w:cs="Arabic Typesetting"/>
                <w:color w:val="000000"/>
                <w:sz w:val="30"/>
                <w:szCs w:val="30"/>
                <w:rtl/>
              </w:rPr>
              <w:t xml:space="preserve">تطوير </w:t>
            </w:r>
            <w:r w:rsidRPr="0009163D">
              <w:rPr>
                <w:rFonts w:ascii="Arabic Typesetting" w:hAnsi="Arabic Typesetting" w:cs="Arabic Typesetting" w:hint="cs"/>
                <w:color w:val="000000"/>
                <w:sz w:val="30"/>
                <w:szCs w:val="30"/>
                <w:rtl/>
              </w:rPr>
              <w:t>ال</w:t>
            </w:r>
            <w:r w:rsidRPr="0009163D">
              <w:rPr>
                <w:rFonts w:ascii="Arabic Typesetting" w:hAnsi="Arabic Typesetting" w:cs="Arabic Typesetting"/>
                <w:color w:val="000000"/>
                <w:sz w:val="30"/>
                <w:szCs w:val="30"/>
                <w:rtl/>
              </w:rPr>
              <w:t>شعور بأهمية بالإدارة التي تعتمد على الخدمات بين مديري مكاتب الملكية الفكرية في دول أمريكا اللاتينية.</w:t>
            </w:r>
          </w:p>
        </w:tc>
      </w:tr>
      <w:tr w:rsidR="0009163D" w:rsidRPr="0009163D" w:rsidTr="00925848">
        <w:trPr>
          <w:cantSplit/>
        </w:trPr>
        <w:tc>
          <w:tcPr>
            <w:tcW w:w="184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lang w:bidi="ar-EG"/>
              </w:rPr>
            </w:pPr>
            <w:r w:rsidRPr="0009163D">
              <w:rPr>
                <w:rFonts w:ascii="Arabic Typesetting" w:hAnsi="Arabic Typesetting" w:cs="Arabic Typesetting"/>
                <w:color w:val="000000"/>
                <w:sz w:val="30"/>
                <w:szCs w:val="30"/>
                <w:rtl/>
              </w:rPr>
              <w:t xml:space="preserve">الاجتماع الإقليمي </w:t>
            </w:r>
            <w:r w:rsidRPr="0009163D">
              <w:rPr>
                <w:rFonts w:ascii="Arabic Typesetting" w:hAnsi="Arabic Typesetting" w:cs="Arabic Typesetting" w:hint="cs"/>
                <w:color w:val="000000"/>
                <w:sz w:val="30"/>
                <w:szCs w:val="30"/>
                <w:rtl/>
              </w:rPr>
              <w:t>الحادي عشر</w:t>
            </w:r>
            <w:r w:rsidRPr="0009163D">
              <w:rPr>
                <w:rFonts w:ascii="Arabic Typesetting" w:hAnsi="Arabic Typesetting" w:cs="Arabic Typesetting"/>
                <w:color w:val="000000"/>
                <w:sz w:val="30"/>
                <w:szCs w:val="30"/>
                <w:rtl/>
              </w:rPr>
              <w:t xml:space="preserve"> لمشروع البراءات اللاتينية للمنظمة العالمية للملكية الفكرية/المكتب الإسباني </w:t>
            </w:r>
            <w:r w:rsidRPr="0009163D">
              <w:rPr>
                <w:rFonts w:ascii="Arabic Typesetting" w:hAnsi="Arabic Typesetting" w:cs="Arabic Typesetting" w:hint="cs"/>
                <w:color w:val="000000"/>
                <w:sz w:val="30"/>
                <w:szCs w:val="30"/>
                <w:rtl/>
              </w:rPr>
              <w:t>للبراءات</w:t>
            </w:r>
            <w:r w:rsidRPr="0009163D">
              <w:rPr>
                <w:rFonts w:ascii="Arabic Typesetting" w:hAnsi="Arabic Typesetting" w:cs="Arabic Typesetting"/>
                <w:color w:val="000000"/>
                <w:sz w:val="30"/>
                <w:szCs w:val="30"/>
                <w:rtl/>
              </w:rPr>
              <w:t xml:space="preserve"> والعلامات التجارية/المكتب الأوروبي </w:t>
            </w:r>
            <w:r w:rsidRPr="0009163D">
              <w:rPr>
                <w:rFonts w:ascii="Arabic Typesetting" w:hAnsi="Arabic Typesetting" w:cs="Arabic Typesetting" w:hint="cs"/>
                <w:color w:val="000000"/>
                <w:sz w:val="30"/>
                <w:szCs w:val="30"/>
                <w:rtl/>
              </w:rPr>
              <w:t>للبراءات</w:t>
            </w:r>
            <w:r w:rsidRPr="0009163D">
              <w:rPr>
                <w:rFonts w:ascii="Arabic Typesetting" w:hAnsi="Arabic Typesetting" w:cs="Arabic Typesetting"/>
                <w:color w:val="000000"/>
                <w:sz w:val="30"/>
                <w:szCs w:val="30"/>
                <w:rtl/>
              </w:rPr>
              <w:t xml:space="preserve"> لأخصائي تكنولوجيا المعلومات وإدارة معلومات البراءات في مكاتب الملكية الصناعية في أمريكا اللاتينية.</w:t>
            </w:r>
          </w:p>
        </w:tc>
        <w:tc>
          <w:tcPr>
            <w:tcW w:w="1134" w:type="dxa"/>
          </w:tcPr>
          <w:p w:rsidR="0009163D" w:rsidRPr="0009163D" w:rsidRDefault="0009163D" w:rsidP="0009163D">
            <w:pPr>
              <w:keepLines/>
              <w:autoSpaceDE w:val="0"/>
              <w:autoSpaceDN w:val="0"/>
              <w:bidi/>
              <w:adjustRightInd w:val="0"/>
              <w:spacing w:before="80" w:after="60" w:line="280" w:lineRule="exact"/>
              <w:rPr>
                <w:rFonts w:ascii="Arabic Typesetting" w:hAnsi="Arabic Typesetting" w:cs="Arabic Typesetting"/>
                <w:color w:val="000000"/>
                <w:sz w:val="30"/>
                <w:szCs w:val="30"/>
                <w:lang w:eastAsia="ja-JP"/>
              </w:rPr>
            </w:pPr>
            <w:r w:rsidRPr="0009163D">
              <w:rPr>
                <w:rFonts w:ascii="Arabic Typesetting" w:hAnsi="Arabic Typesetting" w:cs="Arabic Typesetting"/>
                <w:color w:val="000000"/>
                <w:sz w:val="30"/>
                <w:szCs w:val="30"/>
                <w:rtl/>
                <w:lang w:eastAsia="ja-JP"/>
              </w:rPr>
              <w:t xml:space="preserve">من </w:t>
            </w:r>
            <w:r w:rsidRPr="0009163D">
              <w:rPr>
                <w:rFonts w:ascii="Arabic Typesetting" w:hAnsi="Arabic Typesetting" w:cs="Arabic Typesetting" w:hint="cs"/>
                <w:color w:val="000000"/>
                <w:sz w:val="30"/>
                <w:szCs w:val="30"/>
                <w:rtl/>
                <w:lang w:eastAsia="ja-JP"/>
              </w:rPr>
              <w:t>4</w:t>
            </w:r>
            <w:r w:rsidRPr="0009163D">
              <w:rPr>
                <w:rFonts w:ascii="Arabic Typesetting" w:hAnsi="Arabic Typesetting" w:cs="Arabic Typesetting"/>
                <w:color w:val="000000"/>
                <w:sz w:val="30"/>
                <w:szCs w:val="30"/>
                <w:rtl/>
                <w:lang w:eastAsia="ja-JP"/>
              </w:rPr>
              <w:t xml:space="preserve"> إلى </w:t>
            </w:r>
            <w:r w:rsidRPr="0009163D">
              <w:rPr>
                <w:rFonts w:ascii="Arabic Typesetting" w:hAnsi="Arabic Typesetting" w:cs="Arabic Typesetting" w:hint="cs"/>
                <w:color w:val="000000"/>
                <w:sz w:val="30"/>
                <w:szCs w:val="30"/>
                <w:rtl/>
                <w:lang w:eastAsia="ja-JP"/>
              </w:rPr>
              <w:t>6</w:t>
            </w:r>
            <w:r w:rsidRPr="0009163D">
              <w:rPr>
                <w:rFonts w:ascii="Arabic Typesetting" w:hAnsi="Arabic Typesetting" w:cs="Arabic Typesetting"/>
                <w:color w:val="000000"/>
                <w:sz w:val="30"/>
                <w:szCs w:val="30"/>
                <w:rtl/>
                <w:lang w:eastAsia="ja-JP"/>
              </w:rPr>
              <w:t xml:space="preserve"> </w:t>
            </w:r>
            <w:r w:rsidRPr="0009163D">
              <w:rPr>
                <w:rFonts w:ascii="Arabic Typesetting" w:hAnsi="Arabic Typesetting" w:cs="Arabic Typesetting" w:hint="cs"/>
                <w:color w:val="000000"/>
                <w:sz w:val="30"/>
                <w:szCs w:val="30"/>
                <w:rtl/>
                <w:lang w:eastAsia="ja-JP"/>
              </w:rPr>
              <w:t>نوفمبر</w:t>
            </w:r>
            <w:r w:rsidRPr="0009163D">
              <w:rPr>
                <w:rFonts w:ascii="Arabic Typesetting" w:hAnsi="Arabic Typesetting" w:cs="Arabic Typesetting"/>
                <w:color w:val="000000"/>
                <w:sz w:val="30"/>
                <w:szCs w:val="30"/>
                <w:rtl/>
                <w:lang w:eastAsia="ja-JP"/>
              </w:rPr>
              <w:t xml:space="preserve"> </w:t>
            </w:r>
            <w:r w:rsidRPr="0009163D">
              <w:rPr>
                <w:rFonts w:ascii="Arabic Typesetting" w:hAnsi="Arabic Typesetting" w:cs="Arabic Typesetting" w:hint="cs"/>
                <w:sz w:val="30"/>
                <w:szCs w:val="30"/>
                <w:rtl/>
              </w:rPr>
              <w:t>2015</w:t>
            </w:r>
          </w:p>
        </w:tc>
        <w:tc>
          <w:tcPr>
            <w:tcW w:w="1985" w:type="dxa"/>
          </w:tcPr>
          <w:p w:rsidR="0009163D" w:rsidRPr="0009163D" w:rsidRDefault="0009163D" w:rsidP="0009163D">
            <w:pPr>
              <w:keepLines/>
              <w:autoSpaceDE w:val="0"/>
              <w:autoSpaceDN w:val="0"/>
              <w:bidi/>
              <w:adjustRightInd w:val="0"/>
              <w:spacing w:before="80" w:after="60" w:line="280" w:lineRule="exact"/>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المكسيك</w:t>
            </w:r>
            <w:r w:rsidRPr="0009163D">
              <w:rPr>
                <w:rFonts w:ascii="Arabic Typesetting" w:hAnsi="Arabic Typesetting" w:cs="Arabic Typesetting"/>
                <w:color w:val="000000"/>
                <w:sz w:val="30"/>
                <w:szCs w:val="30"/>
                <w:rtl/>
                <w:lang w:eastAsia="ja-JP"/>
              </w:rPr>
              <w:t>/</w:t>
            </w:r>
            <w:r w:rsidRPr="0009163D">
              <w:rPr>
                <w:rFonts w:ascii="Arabic Typesetting" w:hAnsi="Arabic Typesetting" w:cs="Arabic Typesetting" w:hint="cs"/>
                <w:color w:val="000000"/>
                <w:sz w:val="30"/>
                <w:szCs w:val="30"/>
                <w:rtl/>
              </w:rPr>
              <w:t>كل</w:t>
            </w:r>
            <w:r w:rsidRPr="0009163D">
              <w:rPr>
                <w:rFonts w:ascii="Arabic Typesetting" w:hAnsi="Arabic Typesetting" w:cs="Arabic Typesetting"/>
                <w:color w:val="000000"/>
                <w:sz w:val="30"/>
                <w:szCs w:val="30"/>
                <w:rtl/>
              </w:rPr>
              <w:t xml:space="preserve"> دول أمريكا اللاتينية</w:t>
            </w:r>
          </w:p>
        </w:tc>
        <w:tc>
          <w:tcPr>
            <w:tcW w:w="4395"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color w:val="000000"/>
                <w:sz w:val="30"/>
                <w:szCs w:val="30"/>
                <w:rtl/>
                <w:lang w:eastAsia="ja-JP"/>
              </w:rPr>
              <w:t xml:space="preserve">تم تطبيق مشروع </w:t>
            </w:r>
            <w:r w:rsidRPr="0009163D">
              <w:rPr>
                <w:rFonts w:ascii="Arabic Typesetting" w:hAnsi="Arabic Typesetting" w:cs="Arabic Typesetting" w:hint="cs"/>
                <w:color w:val="000000"/>
                <w:sz w:val="30"/>
                <w:szCs w:val="30"/>
                <w:rtl/>
                <w:lang w:eastAsia="ja-JP"/>
              </w:rPr>
              <w:t>البراءات</w:t>
            </w:r>
            <w:r w:rsidRPr="0009163D">
              <w:rPr>
                <w:rFonts w:ascii="Arabic Typesetting" w:hAnsi="Arabic Typesetting" w:cs="Arabic Typesetting"/>
                <w:color w:val="000000"/>
                <w:sz w:val="30"/>
                <w:szCs w:val="30"/>
                <w:rtl/>
                <w:lang w:eastAsia="ja-JP"/>
              </w:rPr>
              <w:t xml:space="preserve"> اللاتينية (</w:t>
            </w:r>
            <w:proofErr w:type="spellStart"/>
            <w:r w:rsidRPr="0009163D">
              <w:rPr>
                <w:rFonts w:ascii="Arabic Typesetting" w:hAnsi="Arabic Typesetting" w:cs="Arabic Typesetting"/>
                <w:color w:val="000000"/>
                <w:sz w:val="30"/>
                <w:szCs w:val="30"/>
                <w:rtl/>
                <w:lang w:eastAsia="ja-JP"/>
              </w:rPr>
              <w:t>لاتيبات</w:t>
            </w:r>
            <w:proofErr w:type="spellEnd"/>
            <w:r w:rsidRPr="0009163D">
              <w:rPr>
                <w:rFonts w:ascii="Arabic Typesetting" w:hAnsi="Arabic Typesetting" w:cs="Arabic Typesetting"/>
                <w:color w:val="000000"/>
                <w:sz w:val="30"/>
                <w:szCs w:val="30"/>
                <w:rtl/>
                <w:lang w:eastAsia="ja-JP"/>
              </w:rPr>
              <w:t xml:space="preserve">) لتطوير قاعدة بيانات وتزويدها بالمعلومات اللازمة حول البراءات من </w:t>
            </w:r>
            <w:r w:rsidRPr="0009163D">
              <w:rPr>
                <w:rFonts w:ascii="Arabic Typesetting" w:hAnsi="Arabic Typesetting" w:cs="Arabic Typesetting" w:hint="cs"/>
                <w:color w:val="000000"/>
                <w:sz w:val="30"/>
                <w:szCs w:val="30"/>
                <w:rtl/>
                <w:lang w:eastAsia="ja-JP"/>
              </w:rPr>
              <w:t>كل</w:t>
            </w:r>
            <w:r w:rsidRPr="0009163D">
              <w:rPr>
                <w:rFonts w:ascii="Arabic Typesetting" w:hAnsi="Arabic Typesetting" w:cs="Arabic Typesetting"/>
                <w:color w:val="000000"/>
                <w:sz w:val="30"/>
                <w:szCs w:val="30"/>
                <w:rtl/>
                <w:lang w:eastAsia="ja-JP"/>
              </w:rPr>
              <w:t xml:space="preserve"> دول أمريكا اللاتينية. وحاليا يعتبر مشروع </w:t>
            </w:r>
            <w:r w:rsidRPr="0009163D">
              <w:rPr>
                <w:rFonts w:ascii="Arabic Typesetting" w:hAnsi="Arabic Typesetting" w:cs="Arabic Typesetting" w:hint="cs"/>
                <w:color w:val="000000"/>
                <w:sz w:val="30"/>
                <w:szCs w:val="30"/>
                <w:rtl/>
                <w:lang w:eastAsia="ja-JP"/>
              </w:rPr>
              <w:t>ال</w:t>
            </w:r>
            <w:r w:rsidRPr="0009163D">
              <w:rPr>
                <w:rFonts w:ascii="Arabic Typesetting" w:hAnsi="Arabic Typesetting" w:cs="Arabic Typesetting"/>
                <w:color w:val="000000"/>
                <w:sz w:val="30"/>
                <w:szCs w:val="30"/>
                <w:rtl/>
                <w:lang w:eastAsia="ja-JP"/>
              </w:rPr>
              <w:t xml:space="preserve">براءات اللاتينية نموذجا ليس لدول أمريكا اللاتينية فحسب ولكن </w:t>
            </w:r>
            <w:r w:rsidRPr="0009163D">
              <w:rPr>
                <w:rFonts w:ascii="Arabic Typesetting" w:hAnsi="Arabic Typesetting" w:cs="Arabic Typesetting" w:hint="cs"/>
                <w:color w:val="000000"/>
                <w:sz w:val="30"/>
                <w:szCs w:val="30"/>
                <w:rtl/>
                <w:lang w:eastAsia="ja-JP"/>
              </w:rPr>
              <w:t>لكل</w:t>
            </w:r>
            <w:r w:rsidRPr="0009163D">
              <w:rPr>
                <w:rFonts w:ascii="Arabic Typesetting" w:hAnsi="Arabic Typesetting" w:cs="Arabic Typesetting"/>
                <w:color w:val="000000"/>
                <w:sz w:val="30"/>
                <w:szCs w:val="30"/>
                <w:rtl/>
                <w:lang w:eastAsia="ja-JP"/>
              </w:rPr>
              <w:t xml:space="preserve"> المنتديات العالمية المختلفة المتعلقة بمعلومات البراءات، والالتزام، والمثابرة والعمل الجماعي. وعلى مدى </w:t>
            </w:r>
            <w:r w:rsidRPr="0009163D">
              <w:rPr>
                <w:rFonts w:ascii="Arabic Typesetting" w:hAnsi="Arabic Typesetting" w:cs="Arabic Typesetting" w:hint="cs"/>
                <w:color w:val="000000"/>
                <w:sz w:val="30"/>
                <w:szCs w:val="30"/>
                <w:rtl/>
                <w:lang w:eastAsia="ja-JP"/>
              </w:rPr>
              <w:t>15</w:t>
            </w:r>
            <w:r w:rsidRPr="0009163D">
              <w:rPr>
                <w:rFonts w:ascii="Arabic Typesetting" w:hAnsi="Arabic Typesetting" w:cs="Arabic Typesetting"/>
                <w:color w:val="000000"/>
                <w:sz w:val="30"/>
                <w:szCs w:val="30"/>
                <w:rtl/>
                <w:lang w:eastAsia="ja-JP"/>
              </w:rPr>
              <w:t xml:space="preserve"> عاما، استطاعت قاعدة البيانات تجميع أكثر من 2 مليون وثيقة ويقوم بالاطلاع عليها أكثر من 14 ألف شخص شهريا.</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مساهمات المانحين والنفقات الخاصة</w:t>
      </w:r>
      <w:r w:rsidRPr="0009163D">
        <w:rPr>
          <w:rFonts w:ascii="Arabic Typesetting" w:hAnsi="Arabic Typesetting" w:cs="Arabic Typesetting" w:hint="cs"/>
          <w:bCs/>
          <w:sz w:val="34"/>
          <w:szCs w:val="34"/>
          <w:rtl/>
        </w:rPr>
        <w:t xml:space="preserve"> بصندوق</w:t>
      </w:r>
      <w:r w:rsidRPr="0009163D">
        <w:rPr>
          <w:rFonts w:ascii="Arabic Typesetting" w:hAnsi="Arabic Typesetting" w:cs="Arabic Typesetting"/>
          <w:bCs/>
          <w:sz w:val="34"/>
          <w:szCs w:val="34"/>
          <w:rtl/>
        </w:rPr>
        <w:t xml:space="preserve"> إسبانيا في </w:t>
      </w:r>
      <w:r w:rsidRPr="0009163D">
        <w:rPr>
          <w:rFonts w:ascii="Arabic Typesetting" w:hAnsi="Arabic Typesetting" w:cs="Arabic Typesetting" w:hint="cs"/>
          <w:bCs/>
          <w:sz w:val="34"/>
          <w:szCs w:val="34"/>
          <w:rtl/>
        </w:rPr>
        <w:t>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120,153</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169,146</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182,078</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107,221</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Pr>
      </w:pPr>
      <w:r w:rsidRPr="0009163D">
        <w:rPr>
          <w:rFonts w:ascii="Arabic Typesetting" w:hAnsi="Arabic Typesetting" w:cs="Arabic Typesetting"/>
          <w:bCs/>
          <w:sz w:val="34"/>
          <w:szCs w:val="34"/>
          <w:rtl/>
        </w:rPr>
        <w:lastRenderedPageBreak/>
        <w:t>أوروغواي</w:t>
      </w:r>
    </w:p>
    <w:tbl>
      <w:tblPr>
        <w:bidiVisual/>
        <w:tblW w:w="9356"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2"/>
        <w:gridCol w:w="1134"/>
        <w:gridCol w:w="1984"/>
        <w:gridCol w:w="4396"/>
      </w:tblGrid>
      <w:tr w:rsidR="0009163D" w:rsidRPr="0009163D" w:rsidTr="00925848">
        <w:trPr>
          <w:cantSplit/>
        </w:trPr>
        <w:tc>
          <w:tcPr>
            <w:tcW w:w="9356" w:type="dxa"/>
            <w:gridSpan w:val="4"/>
            <w:tcBorders>
              <w:top w:val="single" w:sz="4" w:space="0" w:color="auto"/>
              <w:bottom w:val="single" w:sz="4" w:space="0" w:color="auto"/>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lang w:bidi="ar-EG"/>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 xml:space="preserve">2.3 </w:t>
            </w:r>
            <w:r w:rsidRPr="0009163D">
              <w:rPr>
                <w:rFonts w:ascii="Arabic Typesetting" w:hAnsi="Arabic Typesetting" w:cs="Arabic Typesetting"/>
                <w:color w:val="000000"/>
                <w:sz w:val="30"/>
                <w:szCs w:val="30"/>
                <w:rtl/>
              </w:rPr>
              <w:t>كفاءات معززة للموارد البشرية القادرة على تناول طائفة واسعة من الطلبات من أجل الانتفاع الفعال بالملكية الفكرية لأغراض التنمية في البلدان النامية والبلدان الأقل نموا والبلدان المنتقلة إلى نظام الاقتصاد الحر</w:t>
            </w:r>
          </w:p>
        </w:tc>
      </w:tr>
      <w:tr w:rsidR="0009163D" w:rsidRPr="0009163D" w:rsidTr="00925848">
        <w:trPr>
          <w:cantSplit/>
        </w:trPr>
        <w:tc>
          <w:tcPr>
            <w:tcW w:w="1842" w:type="dxa"/>
            <w:tcBorders>
              <w:top w:val="single" w:sz="4" w:space="0" w:color="auto"/>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6" w:type="dxa"/>
            <w:tcBorders>
              <w:top w:val="single" w:sz="4" w:space="0" w:color="auto"/>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42"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توفير التمويل لمتخصص في مجال الملكية الفكرية لحضور برنامج الحصول على شهادة الماجستير في الإدارة الاستراتيجية لتكنولوجيا المعلومات في إطار مؤسسة الجامعات </w:t>
            </w:r>
            <w:proofErr w:type="spellStart"/>
            <w:r w:rsidRPr="0009163D">
              <w:rPr>
                <w:rFonts w:ascii="Arabic Typesetting" w:hAnsi="Arabic Typesetting" w:cs="Arabic Typesetting"/>
                <w:color w:val="000000"/>
                <w:sz w:val="30"/>
                <w:szCs w:val="30"/>
                <w:rtl/>
              </w:rPr>
              <w:t>الإيبيرية</w:t>
            </w:r>
            <w:proofErr w:type="spellEnd"/>
            <w:r w:rsidRPr="0009163D">
              <w:rPr>
                <w:rFonts w:ascii="Arabic Typesetting" w:hAnsi="Arabic Typesetting" w:cs="Arabic Typesetting"/>
                <w:color w:val="000000"/>
                <w:sz w:val="30"/>
                <w:szCs w:val="30"/>
                <w:rtl/>
              </w:rPr>
              <w:t xml:space="preserve"> الأمريكية.</w:t>
            </w:r>
          </w:p>
        </w:tc>
        <w:tc>
          <w:tcPr>
            <w:tcW w:w="113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يناير</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color w:val="000000"/>
                <w:sz w:val="30"/>
                <w:szCs w:val="30"/>
                <w:rtl/>
              </w:rPr>
              <w:t>إلى</w:t>
            </w:r>
            <w:r w:rsidRPr="0009163D">
              <w:rPr>
                <w:rFonts w:ascii="Arabic Typesetting" w:hAnsi="Arabic Typesetting" w:cs="Arabic Typesetting"/>
                <w:color w:val="000000"/>
                <w:sz w:val="30"/>
                <w:szCs w:val="30"/>
                <w:rtl/>
              </w:rPr>
              <w:t xml:space="preserve"> ديسمبر </w:t>
            </w:r>
            <w:r w:rsidRPr="0009163D">
              <w:rPr>
                <w:rFonts w:ascii="Arabic Typesetting" w:hAnsi="Arabic Typesetting" w:cs="Arabic Typesetting" w:hint="cs"/>
                <w:sz w:val="30"/>
                <w:szCs w:val="30"/>
                <w:rtl/>
              </w:rPr>
              <w:t>2015</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(مستمر)</w:t>
            </w:r>
            <w:r w:rsidRPr="00F96634">
              <w:rPr>
                <w:rFonts w:ascii="Arabic Typesetting" w:hAnsi="Arabic Typesetting" w:cs="Arabic Typesetting"/>
                <w:color w:val="000000"/>
                <w:sz w:val="28"/>
                <w:szCs w:val="28"/>
                <w:vertAlign w:val="superscript"/>
              </w:rPr>
              <w:footnoteReference w:id="168"/>
            </w:r>
          </w:p>
        </w:tc>
        <w:tc>
          <w:tcPr>
            <w:tcW w:w="1984" w:type="dxa"/>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أوروغواي</w:t>
            </w:r>
          </w:p>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lang w:val="es-ES_tradnl"/>
              </w:rPr>
            </w:pPr>
          </w:p>
        </w:tc>
        <w:tc>
          <w:tcPr>
            <w:tcW w:w="4396" w:type="dxa"/>
            <w:shd w:val="clear" w:color="auto" w:fill="FFFFFF"/>
            <w:tcMar>
              <w:top w:w="110" w:type="dxa"/>
            </w:tcMar>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lang w:bidi="ar-EG"/>
              </w:rPr>
            </w:pPr>
            <w:r w:rsidRPr="0009163D">
              <w:rPr>
                <w:rFonts w:ascii="Arabic Typesetting" w:hAnsi="Arabic Typesetting" w:cs="Arabic Typesetting"/>
                <w:color w:val="000000"/>
                <w:sz w:val="30"/>
                <w:szCs w:val="30"/>
                <w:rtl/>
              </w:rPr>
              <w:t xml:space="preserve">تعزيز قدرات </w:t>
            </w:r>
            <w:r w:rsidRPr="0009163D">
              <w:rPr>
                <w:rFonts w:ascii="Arabic Typesetting" w:hAnsi="Arabic Typesetting" w:cs="Arabic Typesetting" w:hint="cs"/>
                <w:color w:val="000000"/>
                <w:sz w:val="30"/>
                <w:szCs w:val="30"/>
                <w:rtl/>
              </w:rPr>
              <w:t>متخصص</w:t>
            </w:r>
            <w:r w:rsidRPr="0009163D">
              <w:rPr>
                <w:rFonts w:ascii="Arabic Typesetting" w:hAnsi="Arabic Typesetting" w:cs="Arabic Typesetting"/>
                <w:color w:val="000000"/>
                <w:sz w:val="30"/>
                <w:szCs w:val="30"/>
                <w:rtl/>
              </w:rPr>
              <w:t xml:space="preserve"> في مجال الملكية الفكرية مع التركيز على دور تكنولوجيا المعلومات في الإدارة الاستراتيجية للعمليات التجارية</w:t>
            </w:r>
            <w:r w:rsidRPr="0009163D">
              <w:rPr>
                <w:rFonts w:ascii="Arabic Typesetting" w:hAnsi="Arabic Typesetting" w:cs="Arabic Typesetting"/>
                <w:color w:val="000000"/>
                <w:sz w:val="30"/>
                <w:szCs w:val="30"/>
              </w:rPr>
              <w:t>.</w:t>
            </w:r>
          </w:p>
        </w:tc>
      </w:tr>
      <w:tr w:rsidR="0009163D" w:rsidRPr="0009163D" w:rsidTr="00925848">
        <w:trPr>
          <w:cantSplit/>
        </w:trPr>
        <w:tc>
          <w:tcPr>
            <w:tcW w:w="9356" w:type="dxa"/>
            <w:gridSpan w:val="4"/>
            <w:tcBorders>
              <w:top w:val="single" w:sz="4" w:space="0" w:color="auto"/>
              <w:bottom w:val="single" w:sz="4" w:space="0" w:color="auto"/>
            </w:tcBorders>
            <w:shd w:val="clear" w:color="auto" w:fill="C6D9F1" w:themeFill="text2" w:themeFillTint="33"/>
          </w:tcPr>
          <w:p w:rsidR="0009163D" w:rsidRPr="0009163D" w:rsidDel="00152E3E" w:rsidRDefault="0009163D" w:rsidP="0009163D">
            <w:pPr>
              <w:keepNext/>
              <w:keepLines/>
              <w:bidi/>
              <w:spacing w:before="80" w:after="60" w:line="280" w:lineRule="exact"/>
              <w:ind w:left="1133" w:hanging="1133"/>
              <w:rPr>
                <w:rFonts w:ascii="Arabic Typesetting" w:hAnsi="Arabic Typesetting" w:cs="Arabic Typesetting"/>
                <w:bCs/>
                <w:color w:val="000000"/>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ه4.3 آليات وبرامج تعاونية معزّزة ومكيّفة حسب احتياجات البلدان النامية والبلدان الأقل نموا</w:t>
            </w:r>
          </w:p>
        </w:tc>
      </w:tr>
      <w:tr w:rsidR="0009163D" w:rsidRPr="0009163D" w:rsidTr="00925848">
        <w:trPr>
          <w:cantSplit/>
        </w:trPr>
        <w:tc>
          <w:tcPr>
            <w:tcW w:w="1842" w:type="dxa"/>
            <w:tcBorders>
              <w:top w:val="single" w:sz="4" w:space="0" w:color="auto"/>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6" w:type="dxa"/>
            <w:tcBorders>
              <w:top w:val="single" w:sz="4" w:space="0" w:color="auto"/>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lang w:bidi="ar-EG"/>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42"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مشاركة مسؤولين حكوميين في الجمعية العامة للويبو</w:t>
            </w:r>
          </w:p>
        </w:tc>
        <w:tc>
          <w:tcPr>
            <w:tcW w:w="113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 xml:space="preserve">من يناير إلى ديسمبر </w:t>
            </w:r>
            <w:r w:rsidRPr="0009163D">
              <w:rPr>
                <w:rFonts w:ascii="Arabic Typesetting" w:hAnsi="Arabic Typesetting" w:cs="Arabic Typesetting" w:hint="cs"/>
                <w:sz w:val="30"/>
                <w:szCs w:val="30"/>
                <w:rtl/>
              </w:rPr>
              <w:t>2015</w:t>
            </w:r>
          </w:p>
        </w:tc>
        <w:tc>
          <w:tcPr>
            <w:tcW w:w="1984"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tl/>
                <w:lang w:bidi="ar-EG"/>
              </w:rPr>
            </w:pPr>
            <w:r w:rsidRPr="0009163D">
              <w:rPr>
                <w:rFonts w:ascii="Arabic Typesetting" w:hAnsi="Arabic Typesetting" w:cs="Arabic Typesetting"/>
                <w:color w:val="000000"/>
                <w:sz w:val="30"/>
                <w:szCs w:val="30"/>
                <w:rtl/>
              </w:rPr>
              <w:t>سويسرا/أوروغواي</w:t>
            </w:r>
          </w:p>
        </w:tc>
        <w:tc>
          <w:tcPr>
            <w:tcW w:w="4396" w:type="dxa"/>
          </w:tcPr>
          <w:p w:rsidR="0009163D" w:rsidRPr="0009163D" w:rsidRDefault="0009163D" w:rsidP="0009163D">
            <w:pPr>
              <w:autoSpaceDE w:val="0"/>
              <w:autoSpaceDN w:val="0"/>
              <w:bidi/>
              <w:adjustRightInd w:val="0"/>
              <w:spacing w:before="80" w:after="60" w:line="280" w:lineRule="exact"/>
              <w:rPr>
                <w:rFonts w:ascii="Arabic Typesetting" w:hAnsi="Arabic Typesetting" w:cs="Arabic Typesetting"/>
                <w:color w:val="000000"/>
                <w:sz w:val="30"/>
                <w:szCs w:val="30"/>
              </w:rPr>
            </w:pPr>
            <w:r w:rsidRPr="0009163D">
              <w:rPr>
                <w:rFonts w:ascii="Arabic Typesetting" w:hAnsi="Arabic Typesetting" w:cs="Arabic Typesetting"/>
                <w:color w:val="000000"/>
                <w:sz w:val="30"/>
                <w:szCs w:val="30"/>
                <w:rtl/>
              </w:rPr>
              <w:t>تمثيل الحكومة في مختلف المنتديات التي يتم فيها تحليل مختلف القضايا والبرامج المتعلقة بالملكية الفكرية</w:t>
            </w:r>
            <w:r w:rsidRPr="0009163D">
              <w:rPr>
                <w:rFonts w:ascii="Arabic Typesetting" w:hAnsi="Arabic Typesetting" w:cs="Arabic Typesetting" w:hint="cs"/>
                <w:color w:val="000000"/>
                <w:sz w:val="30"/>
                <w:szCs w:val="30"/>
                <w:rtl/>
              </w:rPr>
              <w:t>.</w:t>
            </w:r>
          </w:p>
        </w:tc>
      </w:tr>
      <w:tr w:rsidR="0009163D" w:rsidRPr="0009163D" w:rsidTr="00925848">
        <w:trPr>
          <w:cantSplit/>
        </w:trPr>
        <w:tc>
          <w:tcPr>
            <w:tcW w:w="9356" w:type="dxa"/>
            <w:gridSpan w:val="4"/>
            <w:tcBorders>
              <w:top w:val="single" w:sz="4" w:space="0" w:color="auto"/>
              <w:bottom w:val="single" w:sz="4" w:space="0" w:color="auto"/>
            </w:tcBorders>
            <w:shd w:val="clear" w:color="auto" w:fill="C6D9F1" w:themeFill="text2" w:themeFillTint="33"/>
            <w:vAlign w:val="center"/>
          </w:tcPr>
          <w:p w:rsidR="0009163D" w:rsidRPr="0009163D" w:rsidRDefault="0009163D" w:rsidP="0009163D">
            <w:pPr>
              <w:keepNext/>
              <w:keepLines/>
              <w:bidi/>
              <w:spacing w:before="80" w:after="60" w:line="280" w:lineRule="exact"/>
              <w:ind w:left="1133" w:hanging="1133"/>
              <w:rPr>
                <w:rFonts w:ascii="Arabic Typesetting" w:hAnsi="Arabic Typesetting" w:cs="Arabic Typesetting"/>
                <w:b/>
                <w:bCs/>
                <w:sz w:val="30"/>
                <w:szCs w:val="30"/>
              </w:rPr>
            </w:pPr>
            <w:r w:rsidRPr="0009163D">
              <w:rPr>
                <w:rFonts w:ascii="Arabic Typesetting" w:hAnsi="Arabic Typesetting" w:cs="Arabic Typesetting"/>
                <w:b/>
                <w:bCs/>
                <w:color w:val="000000"/>
                <w:sz w:val="30"/>
                <w:szCs w:val="30"/>
                <w:rtl/>
              </w:rPr>
              <w:t>النتيجة:</w:t>
            </w:r>
            <w:r w:rsidRPr="0009163D">
              <w:rPr>
                <w:rFonts w:ascii="Arabic Typesetting" w:hAnsi="Arabic Typesetting" w:cs="Arabic Typesetting"/>
                <w:color w:val="000000"/>
                <w:sz w:val="30"/>
                <w:szCs w:val="30"/>
                <w:rtl/>
              </w:rPr>
              <w:tab/>
              <w:t>ه</w:t>
            </w:r>
            <w:r w:rsidRPr="0009163D">
              <w:rPr>
                <w:rFonts w:ascii="Arabic Typesetting" w:hAnsi="Arabic Typesetting" w:cs="Arabic Typesetting" w:hint="cs"/>
                <w:color w:val="000000"/>
                <w:sz w:val="30"/>
                <w:szCs w:val="30"/>
                <w:rtl/>
              </w:rPr>
              <w:t>4.4</w:t>
            </w:r>
            <w:r w:rsidRPr="0009163D">
              <w:rPr>
                <w:rFonts w:ascii="Arabic Typesetting" w:hAnsi="Arabic Typesetting" w:cs="Arabic Typesetting"/>
                <w:color w:val="000000"/>
                <w:sz w:val="30"/>
                <w:szCs w:val="30"/>
              </w:rPr>
              <w:t xml:space="preserve"> </w:t>
            </w:r>
            <w:r w:rsidRPr="0009163D">
              <w:rPr>
                <w:rFonts w:ascii="Arabic Typesetting" w:hAnsi="Arabic Typesetting" w:cs="Arabic Typesetting"/>
                <w:color w:val="000000"/>
                <w:sz w:val="30"/>
                <w:szCs w:val="30"/>
                <w:rtl/>
              </w:rPr>
              <w:t>تعزيز البنية التحتية التقنية والمعرفية لمكاتب الملكية الفكرية وغيرها من مؤسسات الملكية الفكرية، مما يؤدي إلى تقديم خدمات أحسن (أرخص وأسرع وأجود) إلى أصحاب المصلحة</w:t>
            </w:r>
          </w:p>
        </w:tc>
      </w:tr>
      <w:tr w:rsidR="0009163D" w:rsidRPr="0009163D" w:rsidTr="00925848">
        <w:trPr>
          <w:cantSplit/>
        </w:trPr>
        <w:tc>
          <w:tcPr>
            <w:tcW w:w="1842" w:type="dxa"/>
            <w:tcBorders>
              <w:top w:val="single" w:sz="4" w:space="0" w:color="auto"/>
            </w:tcBorders>
            <w:vAlign w:val="center"/>
          </w:tcPr>
          <w:p w:rsidR="0009163D" w:rsidRPr="0009163D" w:rsidRDefault="0009163D" w:rsidP="0009163D">
            <w:pPr>
              <w:keepNext/>
              <w:keepLines/>
              <w:bidi/>
              <w:spacing w:line="280" w:lineRule="exact"/>
              <w:rPr>
                <w:rFonts w:ascii="Arabic Typesetting" w:hAnsi="Arabic Typesetting" w:cs="Arabic Typesetting"/>
                <w:b/>
                <w:bCs/>
                <w:sz w:val="30"/>
                <w:szCs w:val="30"/>
              </w:rPr>
            </w:pPr>
            <w:r w:rsidRPr="0009163D">
              <w:rPr>
                <w:rFonts w:ascii="Arabic Typesetting" w:hAnsi="Arabic Typesetting" w:cs="Arabic Typesetting"/>
                <w:b/>
                <w:bCs/>
                <w:sz w:val="30"/>
                <w:szCs w:val="30"/>
                <w:rtl/>
              </w:rPr>
              <w:t>النشاط</w:t>
            </w:r>
          </w:p>
        </w:tc>
        <w:tc>
          <w:tcPr>
            <w:tcW w:w="1134"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التاريخ</w:t>
            </w:r>
          </w:p>
        </w:tc>
        <w:tc>
          <w:tcPr>
            <w:tcW w:w="1984" w:type="dxa"/>
            <w:tcBorders>
              <w:top w:val="single" w:sz="4" w:space="0" w:color="auto"/>
            </w:tcBorders>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الدولة المضيفة/المستفيدون</w:t>
            </w:r>
          </w:p>
        </w:tc>
        <w:tc>
          <w:tcPr>
            <w:tcW w:w="4396" w:type="dxa"/>
            <w:tcBorders>
              <w:top w:val="single" w:sz="4" w:space="0" w:color="auto"/>
            </w:tcBorders>
            <w:shd w:val="clear" w:color="auto" w:fill="FFFFFF"/>
            <w:tcMar>
              <w:top w:w="110" w:type="dxa"/>
            </w:tcMar>
            <w:vAlign w:val="center"/>
          </w:tcPr>
          <w:p w:rsidR="0009163D" w:rsidRPr="0009163D" w:rsidRDefault="0009163D" w:rsidP="0009163D">
            <w:pPr>
              <w:keepNext/>
              <w:keepLines/>
              <w:bidi/>
              <w:spacing w:line="280" w:lineRule="exact"/>
              <w:rPr>
                <w:rFonts w:ascii="Arabic Typesetting" w:hAnsi="Arabic Typesetting" w:cs="Arabic Typesetting"/>
                <w:sz w:val="30"/>
                <w:szCs w:val="30"/>
              </w:rPr>
            </w:pPr>
            <w:r w:rsidRPr="0009163D">
              <w:rPr>
                <w:rFonts w:ascii="Arabic Typesetting" w:hAnsi="Arabic Typesetting" w:cs="Arabic Typesetting"/>
                <w:b/>
                <w:bCs/>
                <w:sz w:val="30"/>
                <w:szCs w:val="30"/>
                <w:rtl/>
              </w:rPr>
              <w:t>الغرض(الأغراض)/الوصف</w:t>
            </w:r>
          </w:p>
        </w:tc>
      </w:tr>
      <w:tr w:rsidR="0009163D" w:rsidRPr="0009163D" w:rsidTr="00925848">
        <w:trPr>
          <w:cantSplit/>
        </w:trPr>
        <w:tc>
          <w:tcPr>
            <w:tcW w:w="1842"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color w:val="000000"/>
                <w:sz w:val="30"/>
                <w:szCs w:val="30"/>
                <w:rtl/>
                <w:lang w:eastAsia="ja-JP"/>
              </w:rPr>
              <w:t>تجديد قاعدة بيانات طومسون-رويترز للملكية الفكرية</w:t>
            </w:r>
          </w:p>
        </w:tc>
        <w:tc>
          <w:tcPr>
            <w:tcW w:w="1134"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color w:val="000000"/>
                <w:sz w:val="30"/>
                <w:szCs w:val="30"/>
                <w:rtl/>
              </w:rPr>
              <w:t xml:space="preserve">من يناير إلى </w:t>
            </w:r>
            <w:r w:rsidRPr="0009163D">
              <w:rPr>
                <w:rFonts w:ascii="Arabic Typesetting" w:hAnsi="Arabic Typesetting" w:cs="Arabic Typesetting" w:hint="cs"/>
                <w:color w:val="000000"/>
                <w:sz w:val="30"/>
                <w:szCs w:val="30"/>
                <w:rtl/>
              </w:rPr>
              <w:t>أكتوبر</w:t>
            </w:r>
            <w:r w:rsidRPr="0009163D">
              <w:rPr>
                <w:rFonts w:ascii="Arabic Typesetting" w:hAnsi="Arabic Typesetting" w:cs="Arabic Typesetting"/>
                <w:color w:val="000000"/>
                <w:sz w:val="30"/>
                <w:szCs w:val="30"/>
                <w:rtl/>
              </w:rPr>
              <w:t xml:space="preserve"> </w:t>
            </w:r>
            <w:r w:rsidRPr="0009163D">
              <w:rPr>
                <w:rFonts w:ascii="Arabic Typesetting" w:hAnsi="Arabic Typesetting" w:cs="Arabic Typesetting" w:hint="cs"/>
                <w:sz w:val="30"/>
                <w:szCs w:val="30"/>
                <w:rtl/>
              </w:rPr>
              <w:t>2015 (مستمر من 2013)</w:t>
            </w:r>
          </w:p>
        </w:tc>
        <w:tc>
          <w:tcPr>
            <w:tcW w:w="1984"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جميع بلدان أمريكا اللاتينية</w:t>
            </w:r>
          </w:p>
        </w:tc>
        <w:tc>
          <w:tcPr>
            <w:tcW w:w="4396"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زيادة نطاق التغطية ونوعية المعلومات الواردة في قواعد بيانات ا</w:t>
            </w:r>
            <w:r w:rsidRPr="0009163D">
              <w:rPr>
                <w:rFonts w:ascii="Arabic Typesetting" w:hAnsi="Arabic Typesetting" w:cs="Arabic Typesetting"/>
                <w:color w:val="000000"/>
                <w:sz w:val="30"/>
                <w:szCs w:val="30"/>
                <w:rtl/>
                <w:lang w:eastAsia="ja-JP"/>
              </w:rPr>
              <w:t>لمديرية الوطنية للملكية الصناعية</w:t>
            </w:r>
            <w:r w:rsidRPr="0009163D">
              <w:rPr>
                <w:rFonts w:ascii="Arabic Typesetting" w:hAnsi="Arabic Typesetting" w:cs="Arabic Typesetting" w:hint="cs"/>
                <w:color w:val="000000"/>
                <w:sz w:val="30"/>
                <w:szCs w:val="30"/>
                <w:lang w:eastAsia="ja-JP"/>
              </w:rPr>
              <w:t>.</w:t>
            </w:r>
          </w:p>
        </w:tc>
      </w:tr>
      <w:tr w:rsidR="0009163D" w:rsidRPr="0009163D" w:rsidTr="00925848">
        <w:trPr>
          <w:cantSplit/>
        </w:trPr>
        <w:tc>
          <w:tcPr>
            <w:tcW w:w="1842"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زيارة دراسية بشأن نظام أتمتة الملكية الصناعية</w:t>
            </w:r>
          </w:p>
        </w:tc>
        <w:tc>
          <w:tcPr>
            <w:tcW w:w="1134"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color w:val="000000"/>
                <w:sz w:val="30"/>
                <w:szCs w:val="30"/>
                <w:rtl/>
              </w:rPr>
              <w:t xml:space="preserve">من </w:t>
            </w:r>
            <w:r w:rsidRPr="0009163D">
              <w:rPr>
                <w:rFonts w:ascii="Arabic Typesetting" w:hAnsi="Arabic Typesetting" w:cs="Arabic Typesetting" w:hint="cs"/>
                <w:color w:val="000000"/>
                <w:sz w:val="30"/>
                <w:szCs w:val="30"/>
                <w:rtl/>
              </w:rPr>
              <w:t xml:space="preserve">16 إلى 20 فبراير </w:t>
            </w:r>
            <w:r w:rsidRPr="0009163D">
              <w:rPr>
                <w:rFonts w:ascii="Arabic Typesetting" w:hAnsi="Arabic Typesetting" w:cs="Arabic Typesetting" w:hint="cs"/>
                <w:sz w:val="30"/>
                <w:szCs w:val="30"/>
                <w:rtl/>
              </w:rPr>
              <w:t>2015</w:t>
            </w:r>
          </w:p>
        </w:tc>
        <w:tc>
          <w:tcPr>
            <w:tcW w:w="1984"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بيرو/</w:t>
            </w:r>
            <w:r w:rsidR="005728AA">
              <w:rPr>
                <w:rFonts w:ascii="Arabic Typesetting" w:hAnsi="Arabic Typesetting" w:cs="Arabic Typesetting" w:hint="cs"/>
                <w:color w:val="000000"/>
                <w:sz w:val="30"/>
                <w:szCs w:val="30"/>
                <w:rtl/>
                <w:lang w:eastAsia="ja-JP"/>
              </w:rPr>
              <w:t>مسؤ</w:t>
            </w:r>
            <w:r w:rsidRPr="0009163D">
              <w:rPr>
                <w:rFonts w:ascii="Arabic Typesetting" w:hAnsi="Arabic Typesetting" w:cs="Arabic Typesetting" w:hint="cs"/>
                <w:color w:val="000000"/>
                <w:sz w:val="30"/>
                <w:szCs w:val="30"/>
                <w:rtl/>
                <w:lang w:eastAsia="ja-JP"/>
              </w:rPr>
              <w:t>ول من ا</w:t>
            </w:r>
            <w:r w:rsidRPr="0009163D">
              <w:rPr>
                <w:rFonts w:ascii="Arabic Typesetting" w:hAnsi="Arabic Typesetting" w:cs="Arabic Typesetting"/>
                <w:color w:val="000000"/>
                <w:sz w:val="30"/>
                <w:szCs w:val="30"/>
                <w:rtl/>
                <w:lang w:eastAsia="ja-JP"/>
              </w:rPr>
              <w:t>لمديرية الوطنية للملكية الصناعية</w:t>
            </w:r>
          </w:p>
        </w:tc>
        <w:tc>
          <w:tcPr>
            <w:tcW w:w="4396" w:type="dxa"/>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تعزيز كفاءة العمليات الداخلية في ا</w:t>
            </w:r>
            <w:r w:rsidRPr="0009163D">
              <w:rPr>
                <w:rFonts w:ascii="Arabic Typesetting" w:hAnsi="Arabic Typesetting" w:cs="Arabic Typesetting"/>
                <w:color w:val="000000"/>
                <w:sz w:val="30"/>
                <w:szCs w:val="30"/>
                <w:rtl/>
                <w:lang w:eastAsia="ja-JP"/>
              </w:rPr>
              <w:t>لمديرية الوطنية للملكية الصناعية</w:t>
            </w:r>
            <w:r w:rsidRPr="0009163D">
              <w:rPr>
                <w:rFonts w:ascii="Arabic Typesetting" w:hAnsi="Arabic Typesetting" w:cs="Arabic Typesetting" w:hint="cs"/>
                <w:color w:val="000000"/>
                <w:sz w:val="30"/>
                <w:szCs w:val="30"/>
                <w:lang w:eastAsia="ja-JP"/>
              </w:rPr>
              <w:t>.</w:t>
            </w:r>
          </w:p>
        </w:tc>
      </w:tr>
      <w:tr w:rsidR="0009163D" w:rsidRPr="0009163D" w:rsidTr="00925848">
        <w:trPr>
          <w:cantSplit/>
        </w:trPr>
        <w:tc>
          <w:tcPr>
            <w:tcW w:w="1842" w:type="dxa"/>
            <w:tcBorders>
              <w:bottom w:val="single" w:sz="4" w:space="0" w:color="auto"/>
            </w:tcBorders>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 xml:space="preserve">تجديد </w:t>
            </w:r>
            <w:r w:rsidRPr="0009163D">
              <w:rPr>
                <w:rFonts w:ascii="Arabic Typesetting" w:hAnsi="Arabic Typesetting" w:cs="Arabic Typesetting"/>
                <w:color w:val="000000"/>
                <w:sz w:val="30"/>
                <w:szCs w:val="30"/>
                <w:rtl/>
                <w:lang w:eastAsia="ja-JP"/>
              </w:rPr>
              <w:t>القاعدة العالمية لمعلومات البراءات</w:t>
            </w:r>
          </w:p>
        </w:tc>
        <w:tc>
          <w:tcPr>
            <w:tcW w:w="1134" w:type="dxa"/>
            <w:tcBorders>
              <w:bottom w:val="single" w:sz="4" w:space="0" w:color="auto"/>
            </w:tcBorders>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color w:val="000000"/>
                <w:sz w:val="30"/>
                <w:szCs w:val="30"/>
                <w:rtl/>
              </w:rPr>
              <w:t xml:space="preserve">من يناير </w:t>
            </w:r>
            <w:r w:rsidRPr="0009163D">
              <w:rPr>
                <w:rFonts w:ascii="Arabic Typesetting" w:hAnsi="Arabic Typesetting" w:cs="Arabic Typesetting" w:hint="cs"/>
                <w:color w:val="000000"/>
                <w:sz w:val="30"/>
                <w:szCs w:val="30"/>
                <w:rtl/>
              </w:rPr>
              <w:t>إلى</w:t>
            </w:r>
            <w:r w:rsidRPr="0009163D">
              <w:rPr>
                <w:rFonts w:ascii="Arabic Typesetting" w:hAnsi="Arabic Typesetting" w:cs="Arabic Typesetting"/>
                <w:color w:val="000000"/>
                <w:sz w:val="30"/>
                <w:szCs w:val="30"/>
                <w:rtl/>
              </w:rPr>
              <w:t xml:space="preserve"> ديسمبر </w:t>
            </w:r>
            <w:r w:rsidRPr="0009163D">
              <w:rPr>
                <w:rFonts w:ascii="Arabic Typesetting" w:hAnsi="Arabic Typesetting" w:cs="Arabic Typesetting" w:hint="cs"/>
                <w:sz w:val="30"/>
                <w:szCs w:val="30"/>
                <w:rtl/>
              </w:rPr>
              <w:t>2015 (مستمر)</w:t>
            </w:r>
          </w:p>
        </w:tc>
        <w:tc>
          <w:tcPr>
            <w:tcW w:w="1984" w:type="dxa"/>
            <w:tcBorders>
              <w:bottom w:val="single" w:sz="4" w:space="0" w:color="auto"/>
            </w:tcBorders>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جميع بلدان أمريكا اللاتينية</w:t>
            </w:r>
          </w:p>
        </w:tc>
        <w:tc>
          <w:tcPr>
            <w:tcW w:w="4396" w:type="dxa"/>
            <w:tcBorders>
              <w:bottom w:val="single" w:sz="4" w:space="0" w:color="auto"/>
            </w:tcBorders>
          </w:tcPr>
          <w:p w:rsidR="0009163D" w:rsidRPr="0009163D" w:rsidRDefault="0009163D" w:rsidP="0009163D">
            <w:pPr>
              <w:autoSpaceDE w:val="0"/>
              <w:autoSpaceDN w:val="0"/>
              <w:bidi/>
              <w:adjustRightInd w:val="0"/>
              <w:spacing w:before="80" w:after="60" w:line="280" w:lineRule="exact"/>
              <w:jc w:val="both"/>
              <w:rPr>
                <w:rFonts w:ascii="Arabic Typesetting" w:hAnsi="Arabic Typesetting" w:cs="Arabic Typesetting"/>
                <w:color w:val="000000"/>
                <w:sz w:val="30"/>
                <w:szCs w:val="30"/>
                <w:lang w:eastAsia="ja-JP"/>
              </w:rPr>
            </w:pPr>
            <w:r w:rsidRPr="0009163D">
              <w:rPr>
                <w:rFonts w:ascii="Arabic Typesetting" w:hAnsi="Arabic Typesetting" w:cs="Arabic Typesetting" w:hint="cs"/>
                <w:color w:val="000000"/>
                <w:sz w:val="30"/>
                <w:szCs w:val="30"/>
                <w:rtl/>
                <w:lang w:eastAsia="ja-JP"/>
              </w:rPr>
              <w:t>زيادة نطاق التغطية ونوعية المعلومات الواردة في قواعد بيانات ا</w:t>
            </w:r>
            <w:r w:rsidRPr="0009163D">
              <w:rPr>
                <w:rFonts w:ascii="Arabic Typesetting" w:hAnsi="Arabic Typesetting" w:cs="Arabic Typesetting"/>
                <w:color w:val="000000"/>
                <w:sz w:val="30"/>
                <w:szCs w:val="30"/>
                <w:rtl/>
                <w:lang w:eastAsia="ja-JP"/>
              </w:rPr>
              <w:t>لمديرية الوطنية للملكية الصناعية</w:t>
            </w:r>
            <w:r w:rsidRPr="0009163D">
              <w:rPr>
                <w:rFonts w:ascii="Arabic Typesetting" w:hAnsi="Arabic Typesetting" w:cs="Arabic Typesetting" w:hint="cs"/>
                <w:color w:val="000000"/>
                <w:sz w:val="30"/>
                <w:szCs w:val="30"/>
                <w:lang w:eastAsia="ja-JP"/>
              </w:rPr>
              <w:t>.</w:t>
            </w:r>
          </w:p>
        </w:tc>
      </w:tr>
    </w:tbl>
    <w:p w:rsidR="0009163D" w:rsidRPr="0009163D" w:rsidRDefault="0009163D" w:rsidP="0009163D">
      <w:pPr>
        <w:keepNext/>
        <w:bidi/>
        <w:spacing w:before="240" w:after="240" w:line="280" w:lineRule="exact"/>
        <w:rPr>
          <w:rFonts w:ascii="Arabic Typesetting" w:hAnsi="Arabic Typesetting" w:cs="Arabic Typesetting"/>
          <w:bCs/>
          <w:sz w:val="34"/>
          <w:szCs w:val="34"/>
          <w:rtl/>
        </w:rPr>
      </w:pPr>
      <w:r w:rsidRPr="0009163D">
        <w:rPr>
          <w:rFonts w:ascii="Arabic Typesetting" w:hAnsi="Arabic Typesetting" w:cs="Arabic Typesetting"/>
          <w:bCs/>
          <w:sz w:val="34"/>
          <w:szCs w:val="34"/>
          <w:rtl/>
        </w:rPr>
        <w:t>مساهمات المانحين والنفقات الخاصة</w:t>
      </w:r>
      <w:r w:rsidRPr="0009163D">
        <w:rPr>
          <w:rFonts w:ascii="Arabic Typesetting" w:hAnsi="Arabic Typesetting" w:cs="Arabic Typesetting" w:hint="cs"/>
          <w:bCs/>
          <w:sz w:val="34"/>
          <w:szCs w:val="34"/>
          <w:rtl/>
        </w:rPr>
        <w:t xml:space="preserve"> بصندوق</w:t>
      </w:r>
      <w:r w:rsidRPr="0009163D">
        <w:rPr>
          <w:rFonts w:ascii="Arabic Typesetting" w:hAnsi="Arabic Typesetting" w:cs="Arabic Typesetting"/>
          <w:bCs/>
          <w:sz w:val="34"/>
          <w:szCs w:val="34"/>
          <w:rtl/>
        </w:rPr>
        <w:t xml:space="preserve"> أوروغواي في </w:t>
      </w:r>
      <w:r w:rsidRPr="0009163D">
        <w:rPr>
          <w:rFonts w:ascii="Arabic Typesetting" w:hAnsi="Arabic Typesetting" w:cs="Arabic Typesetting" w:hint="cs"/>
          <w:bCs/>
          <w:sz w:val="34"/>
          <w:szCs w:val="34"/>
          <w:rtl/>
        </w:rPr>
        <w:t>2015</w:t>
      </w:r>
    </w:p>
    <w:tbl>
      <w:tblPr>
        <w:bidiVisual/>
        <w:tblW w:w="9087" w:type="dxa"/>
        <w:tblLook w:val="00A0" w:firstRow="1" w:lastRow="0" w:firstColumn="1" w:lastColumn="0" w:noHBand="0" w:noVBand="0"/>
      </w:tblPr>
      <w:tblGrid>
        <w:gridCol w:w="1858"/>
        <w:gridCol w:w="1559"/>
        <w:gridCol w:w="1843"/>
        <w:gridCol w:w="1843"/>
        <w:gridCol w:w="1984"/>
      </w:tblGrid>
      <w:tr w:rsidR="0009163D" w:rsidRPr="0009163D" w:rsidTr="00925848">
        <w:trPr>
          <w:cantSplit/>
          <w:trHeight w:val="765"/>
        </w:trPr>
        <w:tc>
          <w:tcPr>
            <w:tcW w:w="185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2014</w:t>
            </w:r>
          </w:p>
        </w:tc>
        <w:tc>
          <w:tcPr>
            <w:tcW w:w="1559"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الدخل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النفقات 2015</w:t>
            </w:r>
          </w:p>
        </w:tc>
        <w:tc>
          <w:tcPr>
            <w:tcW w:w="1843"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تسديد</w:t>
            </w:r>
          </w:p>
        </w:tc>
        <w:tc>
          <w:tcPr>
            <w:tcW w:w="1984" w:type="dxa"/>
            <w:tcBorders>
              <w:top w:val="single" w:sz="4" w:space="0" w:color="auto"/>
              <w:left w:val="nil"/>
              <w:bottom w:val="single" w:sz="4" w:space="0" w:color="auto"/>
              <w:right w:val="single" w:sz="4" w:space="0" w:color="auto"/>
            </w:tcBorders>
            <w:shd w:val="clear" w:color="auto" w:fill="C6D9F1" w:themeFill="text2" w:themeFillTint="33"/>
            <w:vAlign w:val="center"/>
          </w:tcPr>
          <w:p w:rsidR="0009163D" w:rsidRPr="0009163D" w:rsidRDefault="0009163D" w:rsidP="0009163D">
            <w:pPr>
              <w:bidi/>
              <w:spacing w:before="80" w:after="60" w:line="280" w:lineRule="exact"/>
              <w:jc w:val="center"/>
              <w:rPr>
                <w:rFonts w:ascii="Arabic Typesetting" w:hAnsi="Arabic Typesetting" w:cs="Arabic Typesetting"/>
                <w:b/>
                <w:bCs/>
                <w:color w:val="000000"/>
                <w:sz w:val="30"/>
                <w:szCs w:val="30"/>
              </w:rPr>
            </w:pPr>
            <w:r w:rsidRPr="0009163D">
              <w:rPr>
                <w:rFonts w:ascii="Arabic Typesetting" w:hAnsi="Arabic Typesetting" w:cs="Arabic Typesetting"/>
                <w:b/>
                <w:bCs/>
                <w:color w:val="000000"/>
                <w:sz w:val="30"/>
                <w:szCs w:val="30"/>
                <w:rtl/>
              </w:rPr>
              <w:t>الرصيد في 31 ديسمبر 2015</w:t>
            </w:r>
          </w:p>
        </w:tc>
      </w:tr>
      <w:tr w:rsidR="0009163D" w:rsidRPr="0009163D" w:rsidTr="00925848">
        <w:trPr>
          <w:cantSplit/>
          <w:trHeight w:val="705"/>
        </w:trPr>
        <w:tc>
          <w:tcPr>
            <w:tcW w:w="1858" w:type="dxa"/>
            <w:tcBorders>
              <w:top w:val="nil"/>
              <w:left w:val="single" w:sz="4" w:space="0" w:color="auto"/>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157,932</w:t>
            </w:r>
          </w:p>
        </w:tc>
        <w:tc>
          <w:tcPr>
            <w:tcW w:w="1559"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(144)</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9,164</w:t>
            </w:r>
          </w:p>
        </w:tc>
        <w:tc>
          <w:tcPr>
            <w:tcW w:w="1843"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w:t>
            </w:r>
          </w:p>
        </w:tc>
        <w:tc>
          <w:tcPr>
            <w:tcW w:w="1984" w:type="dxa"/>
            <w:tcBorders>
              <w:top w:val="nil"/>
              <w:left w:val="nil"/>
              <w:bottom w:val="single" w:sz="4" w:space="0" w:color="auto"/>
              <w:right w:val="single" w:sz="4" w:space="0" w:color="auto"/>
            </w:tcBorders>
            <w:vAlign w:val="center"/>
          </w:tcPr>
          <w:p w:rsidR="0009163D" w:rsidRPr="0009163D" w:rsidRDefault="0009163D" w:rsidP="0009163D">
            <w:pPr>
              <w:jc w:val="center"/>
              <w:rPr>
                <w:color w:val="000000"/>
                <w:sz w:val="16"/>
                <w:szCs w:val="16"/>
              </w:rPr>
            </w:pPr>
            <w:r w:rsidRPr="0009163D">
              <w:rPr>
                <w:color w:val="000000"/>
                <w:sz w:val="16"/>
                <w:szCs w:val="16"/>
              </w:rPr>
              <w:t>148,624</w:t>
            </w:r>
          </w:p>
        </w:tc>
      </w:tr>
    </w:tbl>
    <w:p w:rsidR="00B31868" w:rsidRPr="00D01A8D" w:rsidRDefault="00B31868" w:rsidP="0009163D">
      <w:pPr>
        <w:bidi/>
        <w:spacing w:before="200" w:after="240" w:line="360" w:lineRule="exact"/>
        <w:ind w:left="5534"/>
        <w:rPr>
          <w:rFonts w:ascii="Arabic Typesetting" w:hAnsi="Arabic Typesetting" w:cs="Arabic Typesetting"/>
          <w:sz w:val="34"/>
          <w:szCs w:val="34"/>
          <w:rtl/>
          <w:lang w:bidi="ar-EG"/>
        </w:rPr>
      </w:pPr>
      <w:r w:rsidRPr="00B31868">
        <w:rPr>
          <w:rFonts w:ascii="Arabic Typesetting" w:hAnsi="Arabic Typesetting" w:cs="Arabic Typesetting" w:hint="cs"/>
          <w:sz w:val="34"/>
          <w:szCs w:val="34"/>
          <w:rtl/>
          <w:lang w:bidi="ar-EG"/>
        </w:rPr>
        <w:t>[يلي ذلك الملحق الثالث]</w:t>
      </w:r>
    </w:p>
    <w:p w:rsidR="006D69DC" w:rsidRPr="00815908" w:rsidRDefault="006D69DC" w:rsidP="00D66D09">
      <w:pPr>
        <w:pStyle w:val="Heading3AR"/>
        <w:spacing w:after="120"/>
        <w:ind w:left="1417" w:hanging="1417"/>
        <w:rPr>
          <w:rtl/>
        </w:rPr>
      </w:pPr>
      <w:bookmarkStart w:id="152" w:name="_Toc422829674"/>
      <w:bookmarkStart w:id="153" w:name="_Toc455393409"/>
      <w:r w:rsidRPr="006D69DC">
        <w:rPr>
          <w:rFonts w:hint="cs"/>
          <w:rtl/>
        </w:rPr>
        <w:lastRenderedPageBreak/>
        <w:t>الملحق الثالث</w:t>
      </w:r>
      <w:bookmarkEnd w:id="152"/>
      <w:r w:rsidR="00815908" w:rsidRPr="00815908">
        <w:rPr>
          <w:rtl/>
        </w:rPr>
        <w:tab/>
      </w:r>
      <w:r w:rsidRPr="006D69DC">
        <w:rPr>
          <w:rtl/>
        </w:rPr>
        <w:t xml:space="preserve">التقرير المرحلي </w:t>
      </w:r>
      <w:r w:rsidR="00815908">
        <w:rPr>
          <w:rFonts w:hint="cs"/>
          <w:rtl/>
        </w:rPr>
        <w:t>للثنائية 2014/15</w:t>
      </w:r>
      <w:r w:rsidRPr="006D69DC">
        <w:rPr>
          <w:rtl/>
        </w:rPr>
        <w:t xml:space="preserve"> بشأن الخطة الرأسمالية الرئيسية</w:t>
      </w:r>
      <w:bookmarkEnd w:id="153"/>
    </w:p>
    <w:p w:rsidR="006D69DC" w:rsidRPr="006D69DC" w:rsidRDefault="006D69DC" w:rsidP="00815908">
      <w:pPr>
        <w:keepNext/>
        <w:bidi/>
        <w:spacing w:after="120" w:line="340" w:lineRule="exact"/>
        <w:rPr>
          <w:rFonts w:ascii="Arabic Typesetting" w:hAnsi="Arabic Typesetting" w:cs="Arabic Typesetting"/>
          <w:bCs/>
          <w:sz w:val="34"/>
          <w:szCs w:val="34"/>
          <w:rtl/>
        </w:rPr>
      </w:pPr>
      <w:r w:rsidRPr="006D69DC">
        <w:rPr>
          <w:rFonts w:ascii="Arabic Typesetting" w:hAnsi="Arabic Typesetting" w:cs="Arabic Typesetting"/>
          <w:bCs/>
          <w:sz w:val="34"/>
          <w:szCs w:val="34"/>
          <w:rtl/>
        </w:rPr>
        <w:t>أولا</w:t>
      </w:r>
      <w:r w:rsidR="00815908">
        <w:rPr>
          <w:rFonts w:ascii="Arabic Typesetting" w:hAnsi="Arabic Typesetting" w:cs="Arabic Typesetting" w:hint="cs"/>
          <w:bCs/>
          <w:sz w:val="34"/>
          <w:szCs w:val="34"/>
          <w:rtl/>
        </w:rPr>
        <w:t>.</w:t>
      </w:r>
      <w:r w:rsidRPr="006D69DC">
        <w:rPr>
          <w:rFonts w:ascii="Arabic Typesetting" w:hAnsi="Arabic Typesetting" w:cs="Arabic Typesetting"/>
          <w:bCs/>
          <w:sz w:val="34"/>
          <w:szCs w:val="34"/>
          <w:rtl/>
        </w:rPr>
        <w:tab/>
        <w:t>مقدمة</w:t>
      </w:r>
    </w:p>
    <w:p w:rsidR="006D69DC" w:rsidRPr="006D69DC" w:rsidRDefault="006D69DC" w:rsidP="00180F7E">
      <w:pPr>
        <w:bidi/>
        <w:spacing w:after="120" w:line="340" w:lineRule="exact"/>
        <w:jc w:val="both"/>
        <w:rPr>
          <w:rFonts w:ascii="Arabic Typesetting" w:hAnsi="Arabic Typesetting" w:cs="Arabic Typesetting"/>
          <w:sz w:val="34"/>
          <w:szCs w:val="34"/>
          <w:lang w:bidi="ar-EG"/>
        </w:rPr>
      </w:pPr>
      <w:r w:rsidRPr="006D69DC">
        <w:rPr>
          <w:rFonts w:ascii="Arabic Typesetting" w:hAnsi="Arabic Typesetting" w:cs="Arabic Typesetting"/>
          <w:sz w:val="34"/>
          <w:szCs w:val="34"/>
          <w:rtl/>
          <w:lang w:bidi="ar-EG"/>
        </w:rPr>
        <w:t xml:space="preserve">صدقت جمعيات الدول الأعضاء في الويبو </w:t>
      </w:r>
      <w:r w:rsidR="00815908">
        <w:rPr>
          <w:rFonts w:ascii="Arabic Typesetting" w:hAnsi="Arabic Typesetting" w:cs="Arabic Typesetting" w:hint="cs"/>
          <w:sz w:val="34"/>
          <w:szCs w:val="34"/>
          <w:rtl/>
          <w:lang w:bidi="ar-EG"/>
        </w:rPr>
        <w:t>في دورتها</w:t>
      </w:r>
      <w:r w:rsidR="00815908" w:rsidRPr="006D69DC">
        <w:rPr>
          <w:rFonts w:ascii="Arabic Typesetting" w:hAnsi="Arabic Typesetting" w:cs="Arabic Typesetting"/>
          <w:sz w:val="34"/>
          <w:szCs w:val="34"/>
          <w:rtl/>
          <w:lang w:bidi="ar-EG"/>
        </w:rPr>
        <w:t xml:space="preserve"> الحادية والخمسين </w:t>
      </w:r>
      <w:r w:rsidR="00180F7E">
        <w:rPr>
          <w:rFonts w:ascii="Arabic Typesetting" w:hAnsi="Arabic Typesetting" w:cs="Arabic Typesetting" w:hint="cs"/>
          <w:sz w:val="34"/>
          <w:szCs w:val="34"/>
          <w:rtl/>
          <w:lang w:bidi="ar-EG"/>
        </w:rPr>
        <w:t>المعقودة</w:t>
      </w:r>
      <w:r w:rsidR="00815908">
        <w:rPr>
          <w:rFonts w:ascii="Arabic Typesetting" w:hAnsi="Arabic Typesetting" w:cs="Arabic Typesetting" w:hint="cs"/>
          <w:sz w:val="34"/>
          <w:szCs w:val="34"/>
          <w:rtl/>
          <w:lang w:bidi="ar-EG"/>
        </w:rPr>
        <w:t xml:space="preserve"> </w:t>
      </w:r>
      <w:r w:rsidRPr="006D69DC">
        <w:rPr>
          <w:rFonts w:ascii="Arabic Typesetting" w:hAnsi="Arabic Typesetting" w:cs="Arabic Typesetting"/>
          <w:sz w:val="34"/>
          <w:szCs w:val="34"/>
          <w:rtl/>
          <w:lang w:bidi="ar-EG"/>
        </w:rPr>
        <w:t>في سبتمبر 2013 على المبادئ التي تدرَج وفقاً لها المشروعات في الخطة الرأسمالية الرئيسية للمنظمة، ووافقت على تمويل سبعة مشروعات بمبلغ قدره 11.2 مليون فرنك سويسري من الأموال الاحتياطية المتاحة (الوثيقة</w:t>
      </w:r>
      <w:r w:rsidR="00FF2962">
        <w:rPr>
          <w:rFonts w:ascii="Arabic Typesetting" w:hAnsi="Arabic Typesetting" w:cs="Arabic Typesetting" w:hint="cs"/>
          <w:sz w:val="34"/>
          <w:szCs w:val="34"/>
          <w:rtl/>
          <w:lang w:bidi="ar-EG"/>
        </w:rPr>
        <w:t xml:space="preserve"> </w:t>
      </w:r>
      <w:r w:rsidR="00FF2962" w:rsidRPr="006D69DC">
        <w:rPr>
          <w:rFonts w:ascii="Arabic Typesetting" w:hAnsi="Arabic Typesetting" w:cs="Arabic Typesetting"/>
          <w:sz w:val="34"/>
          <w:szCs w:val="34"/>
          <w:lang w:bidi="ar-EG"/>
        </w:rPr>
        <w:t>A/51/16</w:t>
      </w:r>
      <w:r w:rsidRPr="006D69DC">
        <w:rPr>
          <w:rFonts w:ascii="Arabic Typesetting" w:hAnsi="Arabic Typesetting" w:cs="Arabic Typesetting"/>
          <w:sz w:val="28"/>
          <w:szCs w:val="28"/>
          <w:vertAlign w:val="superscript"/>
          <w:rtl/>
          <w:lang w:bidi="ar-EG"/>
        </w:rPr>
        <w:footnoteReference w:id="169"/>
      </w:r>
      <w:r w:rsidRPr="006D69DC">
        <w:rPr>
          <w:rFonts w:ascii="Arabic Typesetting" w:hAnsi="Arabic Typesetting" w:cs="Arabic Typesetting"/>
          <w:sz w:val="34"/>
          <w:szCs w:val="34"/>
          <w:rtl/>
          <w:lang w:bidi="ar-EG"/>
        </w:rPr>
        <w:t>)</w:t>
      </w:r>
      <w:r w:rsidRPr="006D69DC">
        <w:rPr>
          <w:rFonts w:ascii="Arabic Typesetting" w:hAnsi="Arabic Typesetting" w:cs="Arabic Typesetting" w:hint="cs"/>
          <w:sz w:val="34"/>
          <w:szCs w:val="34"/>
          <w:rtl/>
          <w:lang w:bidi="ar-EG"/>
        </w:rPr>
        <w:t>.</w:t>
      </w:r>
    </w:p>
    <w:p w:rsidR="006D69DC" w:rsidRPr="006D69DC" w:rsidRDefault="00180F7E" w:rsidP="00D66D09">
      <w:pPr>
        <w:bidi/>
        <w:spacing w:after="120" w:line="340" w:lineRule="exact"/>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وسعياً</w:t>
      </w:r>
      <w:r w:rsidR="006D69DC" w:rsidRPr="006D69DC">
        <w:rPr>
          <w:rFonts w:ascii="Arabic Typesetting" w:hAnsi="Arabic Typesetting" w:cs="Arabic Typesetting"/>
          <w:sz w:val="34"/>
          <w:szCs w:val="34"/>
          <w:rtl/>
          <w:lang w:bidi="ar-EG"/>
        </w:rPr>
        <w:t xml:space="preserve"> إلى تبسيط عملية تقديم التقارير في المنظمة برمتها</w:t>
      </w:r>
      <w:r>
        <w:rPr>
          <w:rFonts w:ascii="Arabic Typesetting" w:hAnsi="Arabic Typesetting" w:cs="Arabic Typesetting" w:hint="cs"/>
          <w:sz w:val="34"/>
          <w:szCs w:val="34"/>
          <w:rtl/>
          <w:lang w:bidi="ar-EG"/>
        </w:rPr>
        <w:t>،</w:t>
      </w:r>
      <w:r w:rsidR="006D69DC" w:rsidRPr="006D69DC">
        <w:rPr>
          <w:rFonts w:ascii="Arabic Typesetting" w:hAnsi="Arabic Typesetting" w:cs="Arabic Typesetting"/>
          <w:sz w:val="34"/>
          <w:szCs w:val="34"/>
          <w:rtl/>
          <w:lang w:bidi="ar-EG"/>
        </w:rPr>
        <w:t xml:space="preserve"> يرد التقرير المرحلي لسنة</w:t>
      </w:r>
      <w:r w:rsidR="006D69DC" w:rsidRPr="006D69DC">
        <w:rPr>
          <w:rFonts w:ascii="Arabic Typesetting" w:hAnsi="Arabic Typesetting" w:cs="Arabic Typesetting" w:hint="cs"/>
          <w:sz w:val="34"/>
          <w:szCs w:val="34"/>
          <w:rtl/>
          <w:lang w:bidi="ar-EG"/>
        </w:rPr>
        <w:t> 2015</w:t>
      </w:r>
      <w:r w:rsidR="006D69DC" w:rsidRPr="006D69DC">
        <w:rPr>
          <w:rFonts w:ascii="Arabic Typesetting" w:hAnsi="Arabic Typesetting" w:cs="Arabic Typesetting"/>
          <w:sz w:val="34"/>
          <w:szCs w:val="34"/>
          <w:rtl/>
          <w:lang w:bidi="ar-EG"/>
        </w:rPr>
        <w:t xml:space="preserve"> بشأن الخطة الرأسمالية الرئيسية </w:t>
      </w:r>
      <w:r>
        <w:rPr>
          <w:rFonts w:ascii="Arabic Typesetting" w:hAnsi="Arabic Typesetting" w:cs="Arabic Typesetting" w:hint="cs"/>
          <w:sz w:val="34"/>
          <w:szCs w:val="34"/>
          <w:rtl/>
          <w:lang w:bidi="ar-EG"/>
        </w:rPr>
        <w:t>كملحق</w:t>
      </w:r>
      <w:r w:rsidR="006D69DC" w:rsidRPr="006D69DC">
        <w:rPr>
          <w:rFonts w:ascii="Arabic Typesetting" w:hAnsi="Arabic Typesetting" w:cs="Arabic Typesetting"/>
          <w:sz w:val="34"/>
          <w:szCs w:val="34"/>
          <w:rtl/>
          <w:lang w:bidi="ar-EG"/>
        </w:rPr>
        <w:t xml:space="preserve"> لتقرير أداء البرنامج ل</w:t>
      </w:r>
      <w:r w:rsidR="006D69DC" w:rsidRPr="006D69DC">
        <w:rPr>
          <w:rFonts w:ascii="Arabic Typesetting" w:hAnsi="Arabic Typesetting" w:cs="Arabic Typesetting" w:hint="cs"/>
          <w:sz w:val="34"/>
          <w:szCs w:val="34"/>
          <w:rtl/>
          <w:lang w:bidi="ar-EG"/>
        </w:rPr>
        <w:t>لثنائية</w:t>
      </w:r>
      <w:r w:rsidR="006D69DC" w:rsidRPr="006D69DC">
        <w:rPr>
          <w:rFonts w:ascii="Arabic Typesetting" w:hAnsi="Arabic Typesetting" w:cs="Arabic Typesetting" w:hint="eastAsia"/>
          <w:sz w:val="34"/>
          <w:szCs w:val="34"/>
          <w:rtl/>
          <w:lang w:bidi="ar-EG"/>
        </w:rPr>
        <w:t> </w:t>
      </w:r>
      <w:r w:rsidR="006D69DC" w:rsidRPr="006D69DC">
        <w:rPr>
          <w:rFonts w:ascii="Arabic Typesetting" w:hAnsi="Arabic Typesetting" w:cs="Arabic Typesetting" w:hint="cs"/>
          <w:sz w:val="34"/>
          <w:szCs w:val="34"/>
          <w:rtl/>
          <w:lang w:bidi="ar-EG"/>
        </w:rPr>
        <w:t>2014/15</w:t>
      </w:r>
      <w:r w:rsidR="006D69DC" w:rsidRPr="006D69DC">
        <w:rPr>
          <w:rFonts w:ascii="Arabic Typesetting" w:hAnsi="Arabic Typesetting" w:cs="Arabic Typesetting"/>
          <w:sz w:val="34"/>
          <w:szCs w:val="34"/>
          <w:rtl/>
          <w:lang w:bidi="ar-EG"/>
        </w:rPr>
        <w:t>.</w:t>
      </w:r>
      <w:r w:rsidR="006D69DC" w:rsidRPr="006D69DC">
        <w:rPr>
          <w:rFonts w:ascii="Arabic Typesetting" w:hAnsi="Arabic Typesetting" w:cs="Arabic Typesetting" w:hint="cs"/>
          <w:sz w:val="34"/>
          <w:szCs w:val="34"/>
          <w:rtl/>
          <w:lang w:bidi="ar-EG"/>
        </w:rPr>
        <w:t xml:space="preserve"> </w:t>
      </w:r>
      <w:r w:rsidR="006D69DC" w:rsidRPr="006D69DC">
        <w:rPr>
          <w:rFonts w:ascii="Arabic Typesetting" w:hAnsi="Arabic Typesetting" w:cs="Arabic Typesetting"/>
          <w:sz w:val="34"/>
          <w:szCs w:val="34"/>
          <w:rtl/>
          <w:lang w:bidi="ar-EG"/>
        </w:rPr>
        <w:t>وهذا التقرير</w:t>
      </w:r>
      <w:r w:rsidR="006D69DC" w:rsidRPr="006D69DC">
        <w:rPr>
          <w:rFonts w:ascii="Arabic Typesetting" w:hAnsi="Arabic Typesetting" w:cs="Arabic Typesetting" w:hint="cs"/>
          <w:sz w:val="34"/>
          <w:szCs w:val="34"/>
          <w:rtl/>
          <w:lang w:bidi="ar-EG"/>
        </w:rPr>
        <w:t xml:space="preserve"> هو</w:t>
      </w:r>
      <w:r w:rsidR="006D69DC" w:rsidRPr="006D69DC">
        <w:rPr>
          <w:rFonts w:ascii="Arabic Typesetting" w:hAnsi="Arabic Typesetting" w:cs="Arabic Typesetting"/>
          <w:sz w:val="34"/>
          <w:szCs w:val="34"/>
          <w:rtl/>
          <w:lang w:bidi="ar-EG"/>
        </w:rPr>
        <w:t xml:space="preserve"> ثا</w:t>
      </w:r>
      <w:r w:rsidR="006D69DC" w:rsidRPr="006D69DC">
        <w:rPr>
          <w:rFonts w:ascii="Arabic Typesetting" w:hAnsi="Arabic Typesetting" w:cs="Arabic Typesetting" w:hint="cs"/>
          <w:sz w:val="34"/>
          <w:szCs w:val="34"/>
          <w:rtl/>
          <w:lang w:bidi="ar-EG"/>
        </w:rPr>
        <w:t>لث</w:t>
      </w:r>
      <w:r w:rsidR="006D69DC" w:rsidRPr="006D69DC">
        <w:rPr>
          <w:rFonts w:ascii="Arabic Typesetting" w:hAnsi="Arabic Typesetting" w:cs="Arabic Typesetting"/>
          <w:sz w:val="34"/>
          <w:szCs w:val="34"/>
          <w:rtl/>
          <w:lang w:bidi="ar-EG"/>
        </w:rPr>
        <w:t xml:space="preserve"> تقرير مرحلي يُقدم إلى لجنة البرنامج والميزانية، </w:t>
      </w:r>
      <w:r w:rsidR="006D69DC" w:rsidRPr="006D69DC">
        <w:rPr>
          <w:rFonts w:ascii="Arabic Typesetting" w:hAnsi="Arabic Typesetting" w:cs="Arabic Typesetting" w:hint="cs"/>
          <w:sz w:val="34"/>
          <w:szCs w:val="34"/>
          <w:rtl/>
          <w:lang w:bidi="ar-EG"/>
        </w:rPr>
        <w:t xml:space="preserve">مما </w:t>
      </w:r>
      <w:r w:rsidR="00D66D09">
        <w:rPr>
          <w:rFonts w:ascii="Arabic Typesetting" w:hAnsi="Arabic Typesetting" w:cs="Arabic Typesetting"/>
          <w:sz w:val="34"/>
          <w:szCs w:val="34"/>
          <w:rtl/>
          <w:lang w:bidi="ar-EG"/>
        </w:rPr>
        <w:t>يوفر للدول الأعضاء استعراض</w:t>
      </w:r>
      <w:r w:rsidR="006D69DC" w:rsidRPr="006D69DC">
        <w:rPr>
          <w:rFonts w:ascii="Arabic Typesetting" w:hAnsi="Arabic Typesetting" w:cs="Arabic Typesetting"/>
          <w:sz w:val="34"/>
          <w:szCs w:val="34"/>
          <w:rtl/>
          <w:lang w:bidi="ar-EG"/>
        </w:rPr>
        <w:t>ا للتقدم المحرز والمعالم المحققة واستخدام الموارد خلال الفترة من يناير إلى ديسمبر</w:t>
      </w:r>
      <w:r w:rsidR="006D69DC" w:rsidRPr="006D69DC">
        <w:rPr>
          <w:rFonts w:ascii="Arabic Typesetting" w:hAnsi="Arabic Typesetting" w:cs="Arabic Typesetting" w:hint="cs"/>
          <w:sz w:val="34"/>
          <w:szCs w:val="34"/>
          <w:rtl/>
          <w:lang w:bidi="ar-EG"/>
        </w:rPr>
        <w:t> 2015</w:t>
      </w:r>
      <w:r w:rsidR="006D69DC" w:rsidRPr="006D69DC">
        <w:rPr>
          <w:rFonts w:ascii="Arabic Typesetting" w:hAnsi="Arabic Typesetting" w:cs="Arabic Typesetting"/>
          <w:sz w:val="34"/>
          <w:szCs w:val="34"/>
          <w:rtl/>
          <w:lang w:bidi="ar-EG"/>
        </w:rPr>
        <w:t xml:space="preserve"> في إطار المشروعات</w:t>
      </w:r>
      <w:r w:rsidR="00D66D09">
        <w:rPr>
          <w:rFonts w:ascii="Arabic Typesetting" w:hAnsi="Arabic Typesetting" w:cs="Arabic Typesetting" w:hint="cs"/>
          <w:sz w:val="34"/>
          <w:szCs w:val="34"/>
          <w:rtl/>
          <w:lang w:bidi="ar-EG"/>
        </w:rPr>
        <w:t> </w:t>
      </w:r>
      <w:r w:rsidR="006D69DC" w:rsidRPr="006D69DC">
        <w:rPr>
          <w:rFonts w:ascii="Arabic Typesetting" w:hAnsi="Arabic Typesetting" w:cs="Arabic Typesetting"/>
          <w:sz w:val="34"/>
          <w:szCs w:val="34"/>
          <w:rtl/>
          <w:lang w:bidi="ar-EG"/>
        </w:rPr>
        <w:t>التالية:</w:t>
      </w:r>
    </w:p>
    <w:p w:rsidR="006D69DC" w:rsidRPr="006D69DC" w:rsidRDefault="006D69DC" w:rsidP="006D69DC">
      <w:pPr>
        <w:keepNext/>
        <w:bidi/>
        <w:spacing w:after="120" w:line="340" w:lineRule="exact"/>
        <w:ind w:firstLine="284"/>
        <w:rPr>
          <w:rFonts w:ascii="Arabic Typesetting" w:hAnsi="Arabic Typesetting" w:cs="Arabic Typesetting"/>
          <w:sz w:val="34"/>
          <w:szCs w:val="34"/>
          <w:u w:val="single"/>
          <w:rtl/>
        </w:rPr>
      </w:pPr>
      <w:r w:rsidRPr="00180F7E">
        <w:rPr>
          <w:rFonts w:ascii="Arabic Typesetting" w:hAnsi="Arabic Typesetting" w:cs="Arabic Typesetting"/>
          <w:sz w:val="34"/>
          <w:szCs w:val="34"/>
          <w:rtl/>
        </w:rPr>
        <w:t>ألف</w:t>
      </w:r>
      <w:r w:rsidRPr="00180F7E">
        <w:rPr>
          <w:rFonts w:ascii="Arabic Typesetting" w:hAnsi="Arabic Typesetting" w:cs="Arabic Typesetting"/>
          <w:sz w:val="34"/>
          <w:szCs w:val="34"/>
        </w:rPr>
        <w:t>.</w:t>
      </w:r>
      <w:r w:rsidRPr="00180F7E">
        <w:rPr>
          <w:rFonts w:ascii="Arabic Typesetting" w:hAnsi="Arabic Typesetting" w:cs="Arabic Typesetting"/>
          <w:sz w:val="34"/>
          <w:szCs w:val="34"/>
          <w:rtl/>
        </w:rPr>
        <w:tab/>
      </w:r>
      <w:r w:rsidRPr="006D69DC">
        <w:rPr>
          <w:rFonts w:ascii="Arabic Typesetting" w:hAnsi="Arabic Typesetting" w:cs="Arabic Typesetting"/>
          <w:sz w:val="34"/>
          <w:szCs w:val="34"/>
          <w:u w:val="single"/>
          <w:rtl/>
          <w:lang w:bidi="ar-EG"/>
        </w:rPr>
        <w:t>المشروعات المتصلة بتكنولوجيا المعلومات والاتصالات</w:t>
      </w:r>
    </w:p>
    <w:p w:rsidR="006D69DC" w:rsidRPr="006D69DC" w:rsidRDefault="006D69DC" w:rsidP="00180F7E">
      <w:pPr>
        <w:bidi/>
        <w:spacing w:after="120" w:line="340" w:lineRule="exact"/>
        <w:ind w:left="1133"/>
        <w:rPr>
          <w:rFonts w:ascii="Arabic Typesetting" w:hAnsi="Arabic Typesetting" w:cs="Arabic Typesetting"/>
          <w:sz w:val="34"/>
          <w:szCs w:val="34"/>
          <w:rtl/>
        </w:rPr>
      </w:pPr>
      <w:r w:rsidRPr="006D69DC">
        <w:rPr>
          <w:rFonts w:ascii="Arabic Typesetting" w:hAnsi="Arabic Typesetting" w:cs="Arabic Typesetting" w:hint="cs"/>
          <w:sz w:val="34"/>
          <w:szCs w:val="34"/>
          <w:rtl/>
        </w:rPr>
        <w:t>"1"</w:t>
      </w:r>
      <w:r w:rsidRPr="006D69DC">
        <w:rPr>
          <w:rFonts w:ascii="Arabic Typesetting" w:hAnsi="Arabic Typesetting" w:cs="Arabic Typesetting" w:hint="cs"/>
          <w:sz w:val="34"/>
          <w:szCs w:val="34"/>
          <w:rtl/>
        </w:rPr>
        <w:tab/>
      </w:r>
      <w:r w:rsidRPr="006D69DC">
        <w:rPr>
          <w:rFonts w:ascii="Arabic Typesetting" w:hAnsi="Arabic Typesetting" w:cs="Arabic Typesetting"/>
          <w:sz w:val="34"/>
          <w:szCs w:val="34"/>
          <w:rtl/>
        </w:rPr>
        <w:t>تعزيز الأمن: تشفير البيانات وإدارة المستخدمين (</w:t>
      </w:r>
      <w:r w:rsidRPr="006D69DC">
        <w:rPr>
          <w:rFonts w:ascii="Arabic Typesetting" w:hAnsi="Arabic Typesetting" w:cs="Arabic Typesetting"/>
          <w:sz w:val="34"/>
          <w:szCs w:val="34"/>
        </w:rPr>
        <w:t>CMP 1</w:t>
      </w:r>
      <w:r w:rsidRPr="006D69DC">
        <w:rPr>
          <w:rFonts w:ascii="Arabic Typesetting" w:hAnsi="Arabic Typesetting" w:cs="Arabic Typesetting"/>
          <w:sz w:val="34"/>
          <w:szCs w:val="34"/>
          <w:rtl/>
        </w:rPr>
        <w:t>)</w:t>
      </w:r>
    </w:p>
    <w:p w:rsidR="006D69DC" w:rsidRPr="006D69DC" w:rsidRDefault="006D69DC" w:rsidP="00180F7E">
      <w:pPr>
        <w:bidi/>
        <w:spacing w:after="120" w:line="340" w:lineRule="exact"/>
        <w:ind w:left="1133"/>
        <w:rPr>
          <w:rFonts w:ascii="Arabic Typesetting" w:hAnsi="Arabic Typesetting" w:cs="Arabic Typesetting"/>
          <w:sz w:val="34"/>
          <w:szCs w:val="34"/>
          <w:rtl/>
        </w:rPr>
      </w:pPr>
      <w:r w:rsidRPr="006D69DC">
        <w:rPr>
          <w:rFonts w:ascii="Arabic Typesetting" w:hAnsi="Arabic Typesetting" w:cs="Arabic Typesetting" w:hint="cs"/>
          <w:sz w:val="34"/>
          <w:szCs w:val="34"/>
          <w:rtl/>
        </w:rPr>
        <w:t>"2"</w:t>
      </w:r>
      <w:r w:rsidRPr="006D69DC">
        <w:rPr>
          <w:rFonts w:ascii="Arabic Typesetting" w:hAnsi="Arabic Typesetting" w:cs="Arabic Typesetting" w:hint="cs"/>
          <w:sz w:val="34"/>
          <w:szCs w:val="34"/>
          <w:rtl/>
        </w:rPr>
        <w:tab/>
      </w:r>
      <w:r w:rsidRPr="006D69DC">
        <w:rPr>
          <w:rFonts w:ascii="Arabic Typesetting" w:hAnsi="Arabic Typesetting" w:cs="Arabic Typesetting"/>
          <w:sz w:val="34"/>
          <w:szCs w:val="34"/>
          <w:rtl/>
        </w:rPr>
        <w:t>تنفيذ إدارة المعلومات المؤسسية (</w:t>
      </w:r>
      <w:r w:rsidRPr="006D69DC">
        <w:rPr>
          <w:rFonts w:ascii="Arabic Typesetting" w:hAnsi="Arabic Typesetting" w:cs="Arabic Typesetting"/>
          <w:sz w:val="34"/>
          <w:szCs w:val="34"/>
        </w:rPr>
        <w:t>CMP 2</w:t>
      </w:r>
      <w:r w:rsidRPr="006D69DC">
        <w:rPr>
          <w:rFonts w:ascii="Arabic Typesetting" w:hAnsi="Arabic Typesetting" w:cs="Arabic Typesetting"/>
          <w:sz w:val="34"/>
          <w:szCs w:val="34"/>
          <w:rtl/>
        </w:rPr>
        <w:t>)</w:t>
      </w:r>
    </w:p>
    <w:p w:rsidR="006D69DC" w:rsidRPr="006D69DC" w:rsidRDefault="006D69DC" w:rsidP="00180F7E">
      <w:pPr>
        <w:keepNext/>
        <w:bidi/>
        <w:spacing w:after="120" w:line="340" w:lineRule="exact"/>
        <w:ind w:left="1133" w:hanging="849"/>
        <w:rPr>
          <w:rFonts w:ascii="Arabic Typesetting" w:hAnsi="Arabic Typesetting" w:cs="Arabic Typesetting"/>
          <w:sz w:val="34"/>
          <w:szCs w:val="34"/>
          <w:u w:val="single"/>
          <w:rtl/>
          <w:lang w:bidi="ar-EG"/>
        </w:rPr>
      </w:pPr>
      <w:r w:rsidRPr="00180F7E">
        <w:rPr>
          <w:rFonts w:ascii="Arabic Typesetting" w:hAnsi="Arabic Typesetting" w:cs="Arabic Typesetting"/>
          <w:sz w:val="34"/>
          <w:szCs w:val="34"/>
          <w:rtl/>
          <w:lang w:bidi="ar-EG"/>
        </w:rPr>
        <w:t>باء</w:t>
      </w:r>
      <w:r w:rsidRPr="00180F7E">
        <w:rPr>
          <w:rFonts w:ascii="Arabic Typesetting" w:hAnsi="Arabic Typesetting" w:cs="Arabic Typesetting"/>
          <w:sz w:val="34"/>
          <w:szCs w:val="34"/>
          <w:lang w:bidi="ar-EG"/>
        </w:rPr>
        <w:t>.</w:t>
      </w:r>
      <w:r w:rsidRPr="00180F7E">
        <w:rPr>
          <w:rFonts w:ascii="Arabic Typesetting" w:hAnsi="Arabic Typesetting" w:cs="Arabic Typesetting"/>
          <w:sz w:val="34"/>
          <w:szCs w:val="34"/>
          <w:rtl/>
          <w:lang w:bidi="ar-EG"/>
        </w:rPr>
        <w:tab/>
      </w:r>
      <w:r w:rsidRPr="006D69DC">
        <w:rPr>
          <w:rFonts w:ascii="Arabic Typesetting" w:hAnsi="Arabic Typesetting" w:cs="Arabic Typesetting"/>
          <w:sz w:val="34"/>
          <w:szCs w:val="34"/>
          <w:u w:val="single"/>
          <w:rtl/>
          <w:lang w:bidi="ar-EG"/>
        </w:rPr>
        <w:t>المشروعات المتصلة بالمباني</w:t>
      </w:r>
    </w:p>
    <w:p w:rsidR="006D69DC" w:rsidRPr="006D69DC" w:rsidRDefault="006D69DC" w:rsidP="00180F7E">
      <w:pPr>
        <w:bidi/>
        <w:spacing w:after="120" w:line="340" w:lineRule="exact"/>
        <w:ind w:left="1133"/>
        <w:rPr>
          <w:rFonts w:ascii="Arabic Typesetting" w:hAnsi="Arabic Typesetting" w:cs="Arabic Typesetting"/>
          <w:sz w:val="34"/>
          <w:szCs w:val="34"/>
          <w:rtl/>
        </w:rPr>
      </w:pPr>
      <w:r w:rsidRPr="006D69DC">
        <w:rPr>
          <w:rFonts w:ascii="Arabic Typesetting" w:hAnsi="Arabic Typesetting" w:cs="Arabic Typesetting" w:hint="cs"/>
          <w:sz w:val="34"/>
          <w:szCs w:val="34"/>
          <w:rtl/>
        </w:rPr>
        <w:t>"3"</w:t>
      </w:r>
      <w:r w:rsidRPr="006D69DC">
        <w:rPr>
          <w:rFonts w:ascii="Arabic Typesetting" w:hAnsi="Arabic Typesetting" w:cs="Arabic Typesetting" w:hint="cs"/>
          <w:sz w:val="34"/>
          <w:szCs w:val="34"/>
          <w:rtl/>
        </w:rPr>
        <w:tab/>
      </w:r>
      <w:r w:rsidRPr="006D69DC">
        <w:rPr>
          <w:rFonts w:ascii="Arabic Typesetting" w:hAnsi="Arabic Typesetting" w:cs="Arabic Typesetting"/>
          <w:sz w:val="34"/>
          <w:szCs w:val="34"/>
          <w:rtl/>
        </w:rPr>
        <w:t>تجديد الواجهات وتجهيزات التبريد/التدفئة في مبنى البراءات (</w:t>
      </w:r>
      <w:r w:rsidRPr="006D69DC">
        <w:rPr>
          <w:rFonts w:ascii="Arabic Typesetting" w:hAnsi="Arabic Typesetting" w:cs="Arabic Typesetting"/>
          <w:sz w:val="34"/>
          <w:szCs w:val="34"/>
        </w:rPr>
        <w:t>CMP 3</w:t>
      </w:r>
      <w:r w:rsidRPr="006D69DC">
        <w:rPr>
          <w:rFonts w:ascii="Arabic Typesetting" w:hAnsi="Arabic Typesetting" w:cs="Arabic Typesetting"/>
          <w:sz w:val="34"/>
          <w:szCs w:val="34"/>
          <w:rtl/>
        </w:rPr>
        <w:t>)</w:t>
      </w:r>
    </w:p>
    <w:p w:rsidR="006D69DC" w:rsidRPr="006D69DC" w:rsidRDefault="006D69DC" w:rsidP="00180F7E">
      <w:pPr>
        <w:bidi/>
        <w:spacing w:after="120" w:line="340" w:lineRule="exact"/>
        <w:ind w:left="1133"/>
        <w:rPr>
          <w:rFonts w:ascii="Arabic Typesetting" w:hAnsi="Arabic Typesetting" w:cs="Arabic Typesetting"/>
          <w:sz w:val="34"/>
          <w:szCs w:val="34"/>
          <w:rtl/>
        </w:rPr>
      </w:pPr>
      <w:r w:rsidRPr="006D69DC">
        <w:rPr>
          <w:rFonts w:ascii="Arabic Typesetting" w:hAnsi="Arabic Typesetting" w:cs="Arabic Typesetting" w:hint="cs"/>
          <w:sz w:val="34"/>
          <w:szCs w:val="34"/>
          <w:rtl/>
        </w:rPr>
        <w:t>"4"</w:t>
      </w:r>
      <w:r w:rsidRPr="006D69DC">
        <w:rPr>
          <w:rFonts w:ascii="Arabic Typesetting" w:hAnsi="Arabic Typesetting" w:cs="Arabic Typesetting" w:hint="cs"/>
          <w:sz w:val="34"/>
          <w:szCs w:val="34"/>
          <w:rtl/>
        </w:rPr>
        <w:tab/>
      </w:r>
      <w:r w:rsidRPr="006D69DC">
        <w:rPr>
          <w:rFonts w:ascii="Arabic Typesetting" w:hAnsi="Arabic Typesetting" w:cs="Arabic Typesetting"/>
          <w:sz w:val="34"/>
          <w:szCs w:val="34"/>
          <w:rtl/>
        </w:rPr>
        <w:t xml:space="preserve">تطبيق نظام التبريد بمياه بحيرة جنيف في مبنى </w:t>
      </w:r>
      <w:proofErr w:type="spellStart"/>
      <w:r w:rsidRPr="006D69DC">
        <w:rPr>
          <w:rFonts w:ascii="Arabic Typesetting" w:hAnsi="Arabic Typesetting" w:cs="Arabic Typesetting"/>
          <w:sz w:val="34"/>
          <w:szCs w:val="34"/>
          <w:rtl/>
        </w:rPr>
        <w:t>أرباد</w:t>
      </w:r>
      <w:proofErr w:type="spellEnd"/>
      <w:r w:rsidRPr="006D69DC">
        <w:rPr>
          <w:rFonts w:ascii="Arabic Typesetting" w:hAnsi="Arabic Typesetting" w:cs="Arabic Typesetting"/>
          <w:sz w:val="34"/>
          <w:szCs w:val="34"/>
          <w:rtl/>
        </w:rPr>
        <w:t xml:space="preserve"> </w:t>
      </w:r>
      <w:proofErr w:type="spellStart"/>
      <w:r w:rsidRPr="006D69DC">
        <w:rPr>
          <w:rFonts w:ascii="Arabic Typesetting" w:hAnsi="Arabic Typesetting" w:cs="Arabic Typesetting"/>
          <w:sz w:val="34"/>
          <w:szCs w:val="34"/>
          <w:rtl/>
        </w:rPr>
        <w:t>بوكش</w:t>
      </w:r>
      <w:proofErr w:type="spellEnd"/>
      <w:r w:rsidRPr="006D69DC">
        <w:rPr>
          <w:rFonts w:ascii="Arabic Typesetting" w:hAnsi="Arabic Typesetting" w:cs="Arabic Typesetting"/>
          <w:sz w:val="34"/>
          <w:szCs w:val="34"/>
          <w:rtl/>
        </w:rPr>
        <w:t xml:space="preserve"> ومبنى البراءات (</w:t>
      </w:r>
      <w:r w:rsidRPr="006D69DC">
        <w:rPr>
          <w:rFonts w:ascii="Arabic Typesetting" w:hAnsi="Arabic Typesetting" w:cs="Arabic Typesetting"/>
          <w:sz w:val="34"/>
          <w:szCs w:val="34"/>
        </w:rPr>
        <w:t>CMP 4</w:t>
      </w:r>
      <w:r w:rsidRPr="006D69DC">
        <w:rPr>
          <w:rFonts w:ascii="Arabic Typesetting" w:hAnsi="Arabic Typesetting" w:cs="Arabic Typesetting"/>
          <w:sz w:val="34"/>
          <w:szCs w:val="34"/>
          <w:rtl/>
        </w:rPr>
        <w:t>)</w:t>
      </w:r>
    </w:p>
    <w:p w:rsidR="006D69DC" w:rsidRPr="006D69DC" w:rsidRDefault="006D69DC" w:rsidP="00180F7E">
      <w:pPr>
        <w:bidi/>
        <w:spacing w:after="120" w:line="340" w:lineRule="exact"/>
        <w:ind w:left="1133"/>
        <w:rPr>
          <w:rFonts w:ascii="Arabic Typesetting" w:hAnsi="Arabic Typesetting" w:cs="Arabic Typesetting"/>
          <w:sz w:val="34"/>
          <w:szCs w:val="34"/>
          <w:rtl/>
        </w:rPr>
      </w:pPr>
      <w:r w:rsidRPr="006D69DC">
        <w:rPr>
          <w:rFonts w:ascii="Arabic Typesetting" w:hAnsi="Arabic Typesetting" w:cs="Arabic Typesetting" w:hint="cs"/>
          <w:sz w:val="34"/>
          <w:szCs w:val="34"/>
          <w:rtl/>
        </w:rPr>
        <w:t>"5"</w:t>
      </w:r>
      <w:r w:rsidRPr="006D69DC">
        <w:rPr>
          <w:rFonts w:ascii="Arabic Typesetting" w:hAnsi="Arabic Typesetting" w:cs="Arabic Typesetting" w:hint="cs"/>
          <w:sz w:val="34"/>
          <w:szCs w:val="34"/>
          <w:rtl/>
        </w:rPr>
        <w:tab/>
      </w:r>
      <w:r w:rsidRPr="006D69DC">
        <w:rPr>
          <w:rFonts w:ascii="Arabic Typesetting" w:hAnsi="Arabic Typesetting" w:cs="Arabic Typesetting"/>
          <w:sz w:val="34"/>
          <w:szCs w:val="34"/>
          <w:rtl/>
        </w:rPr>
        <w:t xml:space="preserve">مبنى </w:t>
      </w:r>
      <w:proofErr w:type="spellStart"/>
      <w:r w:rsidRPr="006D69DC">
        <w:rPr>
          <w:rFonts w:ascii="Arabic Typesetting" w:hAnsi="Arabic Typesetting" w:cs="Arabic Typesetting"/>
          <w:sz w:val="34"/>
          <w:szCs w:val="34"/>
          <w:rtl/>
        </w:rPr>
        <w:t>أرباد</w:t>
      </w:r>
      <w:proofErr w:type="spellEnd"/>
      <w:r w:rsidRPr="006D69DC">
        <w:rPr>
          <w:rFonts w:ascii="Arabic Typesetting" w:hAnsi="Arabic Typesetting" w:cs="Arabic Typesetting"/>
          <w:sz w:val="34"/>
          <w:szCs w:val="34"/>
          <w:rtl/>
        </w:rPr>
        <w:t xml:space="preserve"> </w:t>
      </w:r>
      <w:proofErr w:type="spellStart"/>
      <w:r w:rsidRPr="006D69DC">
        <w:rPr>
          <w:rFonts w:ascii="Arabic Typesetting" w:hAnsi="Arabic Typesetting" w:cs="Arabic Typesetting"/>
          <w:sz w:val="34"/>
          <w:szCs w:val="34"/>
          <w:rtl/>
        </w:rPr>
        <w:t>بوكش</w:t>
      </w:r>
      <w:proofErr w:type="spellEnd"/>
      <w:r w:rsidRPr="006D69DC">
        <w:rPr>
          <w:rFonts w:ascii="Arabic Typesetting" w:hAnsi="Arabic Typesetting" w:cs="Arabic Typesetting"/>
          <w:sz w:val="34"/>
          <w:szCs w:val="34"/>
          <w:rtl/>
        </w:rPr>
        <w:t xml:space="preserve"> – المرحلة الأولى من تجديد القبو (تغيير حجم مركز البيانات وتجديد المطبعة) (</w:t>
      </w:r>
      <w:r w:rsidRPr="006D69DC">
        <w:rPr>
          <w:rFonts w:ascii="Arabic Typesetting" w:hAnsi="Arabic Typesetting" w:cs="Arabic Typesetting"/>
          <w:sz w:val="34"/>
          <w:szCs w:val="34"/>
        </w:rPr>
        <w:t>CMP 5</w:t>
      </w:r>
      <w:r w:rsidRPr="006D69DC">
        <w:rPr>
          <w:rFonts w:ascii="Arabic Typesetting" w:hAnsi="Arabic Typesetting" w:cs="Arabic Typesetting"/>
          <w:sz w:val="34"/>
          <w:szCs w:val="34"/>
          <w:rtl/>
        </w:rPr>
        <w:t>)</w:t>
      </w:r>
    </w:p>
    <w:p w:rsidR="006D69DC" w:rsidRPr="006D69DC" w:rsidRDefault="006D69DC" w:rsidP="00180F7E">
      <w:pPr>
        <w:bidi/>
        <w:spacing w:after="120" w:line="340" w:lineRule="exact"/>
        <w:ind w:left="1133"/>
        <w:rPr>
          <w:rFonts w:ascii="Arabic Typesetting" w:hAnsi="Arabic Typesetting" w:cs="Arabic Typesetting"/>
          <w:sz w:val="34"/>
          <w:szCs w:val="34"/>
          <w:rtl/>
        </w:rPr>
      </w:pPr>
      <w:r w:rsidRPr="006D69DC">
        <w:rPr>
          <w:rFonts w:ascii="Arabic Typesetting" w:hAnsi="Arabic Typesetting" w:cs="Arabic Typesetting" w:hint="cs"/>
          <w:sz w:val="34"/>
          <w:szCs w:val="34"/>
          <w:rtl/>
        </w:rPr>
        <w:t>"6"</w:t>
      </w:r>
      <w:r w:rsidRPr="006D69DC">
        <w:rPr>
          <w:rFonts w:ascii="Arabic Typesetting" w:hAnsi="Arabic Typesetting" w:cs="Arabic Typesetting" w:hint="cs"/>
          <w:sz w:val="34"/>
          <w:szCs w:val="34"/>
          <w:rtl/>
        </w:rPr>
        <w:tab/>
      </w:r>
      <w:r w:rsidRPr="006D69DC">
        <w:rPr>
          <w:rFonts w:ascii="Arabic Typesetting" w:hAnsi="Arabic Typesetting" w:cs="Arabic Typesetting"/>
          <w:sz w:val="34"/>
          <w:szCs w:val="34"/>
          <w:rtl/>
        </w:rPr>
        <w:t xml:space="preserve">مبنى </w:t>
      </w:r>
      <w:proofErr w:type="spellStart"/>
      <w:r w:rsidRPr="006D69DC">
        <w:rPr>
          <w:rFonts w:ascii="Arabic Typesetting" w:hAnsi="Arabic Typesetting" w:cs="Arabic Typesetting"/>
          <w:sz w:val="34"/>
          <w:szCs w:val="34"/>
          <w:rtl/>
        </w:rPr>
        <w:t>أرباد</w:t>
      </w:r>
      <w:proofErr w:type="spellEnd"/>
      <w:r w:rsidRPr="006D69DC">
        <w:rPr>
          <w:rFonts w:ascii="Arabic Typesetting" w:hAnsi="Arabic Typesetting" w:cs="Arabic Typesetting"/>
          <w:sz w:val="34"/>
          <w:szCs w:val="34"/>
          <w:rtl/>
        </w:rPr>
        <w:t xml:space="preserve"> </w:t>
      </w:r>
      <w:proofErr w:type="spellStart"/>
      <w:r w:rsidRPr="006D69DC">
        <w:rPr>
          <w:rFonts w:ascii="Arabic Typesetting" w:hAnsi="Arabic Typesetting" w:cs="Arabic Typesetting"/>
          <w:sz w:val="34"/>
          <w:szCs w:val="34"/>
          <w:rtl/>
        </w:rPr>
        <w:t>بوكش</w:t>
      </w:r>
      <w:proofErr w:type="spellEnd"/>
      <w:r w:rsidRPr="006D69DC">
        <w:rPr>
          <w:rFonts w:ascii="Arabic Typesetting" w:hAnsi="Arabic Typesetting" w:cs="Arabic Typesetting"/>
          <w:sz w:val="34"/>
          <w:szCs w:val="34"/>
          <w:rtl/>
        </w:rPr>
        <w:t xml:space="preserve"> – استبدال بعض النوافذ (</w:t>
      </w:r>
      <w:r w:rsidRPr="006D69DC">
        <w:rPr>
          <w:rFonts w:ascii="Arabic Typesetting" w:hAnsi="Arabic Typesetting" w:cs="Arabic Typesetting"/>
          <w:sz w:val="34"/>
          <w:szCs w:val="34"/>
        </w:rPr>
        <w:t>CMP 6</w:t>
      </w:r>
      <w:r w:rsidRPr="006D69DC">
        <w:rPr>
          <w:rFonts w:ascii="Arabic Typesetting" w:hAnsi="Arabic Typesetting" w:cs="Arabic Typesetting"/>
          <w:sz w:val="34"/>
          <w:szCs w:val="34"/>
          <w:rtl/>
        </w:rPr>
        <w:t>)</w:t>
      </w:r>
    </w:p>
    <w:p w:rsidR="006D69DC" w:rsidRPr="006D69DC" w:rsidRDefault="006D69DC" w:rsidP="00180F7E">
      <w:pPr>
        <w:keepNext/>
        <w:bidi/>
        <w:spacing w:after="120" w:line="340" w:lineRule="exact"/>
        <w:ind w:left="1133" w:hanging="849"/>
        <w:rPr>
          <w:rFonts w:ascii="Arabic Typesetting" w:hAnsi="Arabic Typesetting" w:cs="Arabic Typesetting"/>
          <w:sz w:val="34"/>
          <w:szCs w:val="34"/>
          <w:u w:val="single"/>
          <w:rtl/>
          <w:lang w:bidi="ar-EG"/>
        </w:rPr>
      </w:pPr>
      <w:r w:rsidRPr="00180F7E">
        <w:rPr>
          <w:rFonts w:ascii="Arabic Typesetting" w:hAnsi="Arabic Typesetting" w:cs="Arabic Typesetting"/>
          <w:sz w:val="34"/>
          <w:szCs w:val="34"/>
          <w:rtl/>
          <w:lang w:bidi="ar-EG"/>
        </w:rPr>
        <w:t>جيم</w:t>
      </w:r>
      <w:r w:rsidRPr="00180F7E">
        <w:rPr>
          <w:rFonts w:ascii="Arabic Typesetting" w:hAnsi="Arabic Typesetting" w:cs="Arabic Typesetting"/>
          <w:sz w:val="34"/>
          <w:szCs w:val="34"/>
          <w:lang w:bidi="ar-EG"/>
        </w:rPr>
        <w:t>.</w:t>
      </w:r>
      <w:r w:rsidRPr="00180F7E">
        <w:rPr>
          <w:rFonts w:ascii="Arabic Typesetting" w:hAnsi="Arabic Typesetting" w:cs="Arabic Typesetting"/>
          <w:sz w:val="34"/>
          <w:szCs w:val="34"/>
          <w:rtl/>
          <w:lang w:bidi="ar-EG"/>
        </w:rPr>
        <w:tab/>
      </w:r>
      <w:r w:rsidRPr="006D69DC">
        <w:rPr>
          <w:rFonts w:ascii="Arabic Typesetting" w:hAnsi="Arabic Typesetting" w:cs="Arabic Typesetting"/>
          <w:sz w:val="34"/>
          <w:szCs w:val="34"/>
          <w:u w:val="single"/>
          <w:rtl/>
          <w:lang w:bidi="ar-EG"/>
        </w:rPr>
        <w:t>المشروعات المتصلة بالسلامة/الأمن</w:t>
      </w:r>
    </w:p>
    <w:p w:rsidR="006D69DC" w:rsidRPr="006D69DC" w:rsidRDefault="006D69DC" w:rsidP="00180F7E">
      <w:pPr>
        <w:bidi/>
        <w:spacing w:after="120" w:line="340" w:lineRule="exact"/>
        <w:ind w:left="1133"/>
        <w:rPr>
          <w:rFonts w:ascii="Arabic Typesetting" w:hAnsi="Arabic Typesetting" w:cs="Arabic Typesetting"/>
          <w:sz w:val="34"/>
          <w:szCs w:val="34"/>
        </w:rPr>
      </w:pPr>
      <w:r w:rsidRPr="006D69DC">
        <w:rPr>
          <w:rFonts w:ascii="Arabic Typesetting" w:hAnsi="Arabic Typesetting" w:cs="Arabic Typesetting" w:hint="cs"/>
          <w:sz w:val="34"/>
          <w:szCs w:val="34"/>
          <w:rtl/>
        </w:rPr>
        <w:t>"7"</w:t>
      </w:r>
      <w:r w:rsidRPr="006D69DC">
        <w:rPr>
          <w:rFonts w:ascii="Arabic Typesetting" w:hAnsi="Arabic Typesetting" w:cs="Arabic Typesetting" w:hint="cs"/>
          <w:sz w:val="34"/>
          <w:szCs w:val="34"/>
          <w:rtl/>
        </w:rPr>
        <w:tab/>
      </w:r>
      <w:r w:rsidRPr="006D69DC">
        <w:rPr>
          <w:rFonts w:ascii="Arabic Typesetting" w:hAnsi="Arabic Typesetting" w:cs="Arabic Typesetting"/>
          <w:sz w:val="34"/>
          <w:szCs w:val="34"/>
          <w:rtl/>
        </w:rPr>
        <w:t>تدابير السلامة والحماية من الحريق (</w:t>
      </w:r>
      <w:r w:rsidRPr="006D69DC">
        <w:rPr>
          <w:rFonts w:ascii="Arabic Typesetting" w:hAnsi="Arabic Typesetting" w:cs="Arabic Typesetting"/>
          <w:sz w:val="34"/>
          <w:szCs w:val="34"/>
        </w:rPr>
        <w:t>CMP 7</w:t>
      </w:r>
      <w:r w:rsidRPr="006D69DC">
        <w:rPr>
          <w:rFonts w:ascii="Arabic Typesetting" w:hAnsi="Arabic Typesetting" w:cs="Arabic Typesetting"/>
          <w:sz w:val="34"/>
          <w:szCs w:val="34"/>
          <w:rtl/>
        </w:rPr>
        <w:t>)</w:t>
      </w:r>
    </w:p>
    <w:p w:rsidR="006D69DC" w:rsidRPr="006D69DC" w:rsidRDefault="006D69DC" w:rsidP="006D69DC">
      <w:pPr>
        <w:keepNext/>
        <w:bidi/>
        <w:spacing w:after="120" w:line="340" w:lineRule="exact"/>
        <w:rPr>
          <w:rFonts w:ascii="Arabic Typesetting" w:hAnsi="Arabic Typesetting" w:cs="Arabic Typesetting"/>
          <w:bCs/>
          <w:sz w:val="34"/>
          <w:szCs w:val="34"/>
          <w:rtl/>
        </w:rPr>
      </w:pPr>
      <w:r w:rsidRPr="006D69DC">
        <w:rPr>
          <w:rFonts w:ascii="Arabic Typesetting" w:hAnsi="Arabic Typesetting" w:cs="Arabic Typesetting"/>
          <w:bCs/>
          <w:sz w:val="34"/>
          <w:szCs w:val="34"/>
          <w:rtl/>
        </w:rPr>
        <w:t>ث</w:t>
      </w:r>
      <w:r w:rsidR="00180F7E">
        <w:rPr>
          <w:rFonts w:ascii="Arabic Typesetting" w:hAnsi="Arabic Typesetting" w:cs="Arabic Typesetting"/>
          <w:bCs/>
          <w:sz w:val="34"/>
          <w:szCs w:val="34"/>
          <w:rtl/>
        </w:rPr>
        <w:t>انيا</w:t>
      </w:r>
      <w:r w:rsidR="00180F7E">
        <w:rPr>
          <w:rFonts w:ascii="Arabic Typesetting" w:hAnsi="Arabic Typesetting" w:cs="Arabic Typesetting" w:hint="cs"/>
          <w:bCs/>
          <w:sz w:val="34"/>
          <w:szCs w:val="34"/>
          <w:rtl/>
        </w:rPr>
        <w:t>.</w:t>
      </w:r>
      <w:r w:rsidRPr="006D69DC">
        <w:rPr>
          <w:rFonts w:ascii="Arabic Typesetting" w:hAnsi="Arabic Typesetting" w:cs="Arabic Typesetting"/>
          <w:bCs/>
          <w:sz w:val="34"/>
          <w:szCs w:val="34"/>
          <w:rtl/>
        </w:rPr>
        <w:tab/>
        <w:t>هيكل الإدارة المعتمد</w:t>
      </w:r>
    </w:p>
    <w:p w:rsidR="006D69DC" w:rsidRPr="006D69DC" w:rsidRDefault="006D69DC" w:rsidP="006D69DC">
      <w:pPr>
        <w:bidi/>
        <w:spacing w:after="120" w:line="340" w:lineRule="exact"/>
        <w:jc w:val="both"/>
        <w:rPr>
          <w:rFonts w:ascii="Arabic Typesetting" w:hAnsi="Arabic Typesetting" w:cs="Arabic Typesetting"/>
          <w:sz w:val="34"/>
          <w:szCs w:val="34"/>
          <w:lang w:val="fr-CH" w:bidi="ar-EG"/>
        </w:rPr>
      </w:pPr>
      <w:r w:rsidRPr="006D69DC">
        <w:rPr>
          <w:rFonts w:ascii="Arabic Typesetting" w:hAnsi="Arabic Typesetting" w:cs="Arabic Typesetting"/>
          <w:sz w:val="34"/>
          <w:szCs w:val="34"/>
          <w:rtl/>
          <w:lang w:bidi="ar-EG"/>
        </w:rPr>
        <w:t>تم</w:t>
      </w:r>
      <w:r w:rsidR="00180F7E">
        <w:rPr>
          <w:rFonts w:ascii="Arabic Typesetting" w:hAnsi="Arabic Typesetting" w:cs="Arabic Typesetting" w:hint="cs"/>
          <w:sz w:val="34"/>
          <w:szCs w:val="34"/>
          <w:rtl/>
          <w:lang w:bidi="ar-EG"/>
        </w:rPr>
        <w:t>ا</w:t>
      </w:r>
      <w:r w:rsidR="00180F7E">
        <w:rPr>
          <w:rFonts w:ascii="Arabic Typesetting" w:hAnsi="Arabic Typesetting" w:cs="Arabic Typesetting"/>
          <w:sz w:val="34"/>
          <w:szCs w:val="34"/>
          <w:rtl/>
          <w:lang w:bidi="ar-EG"/>
        </w:rPr>
        <w:t>شي</w:t>
      </w:r>
      <w:r w:rsidRPr="006D69DC">
        <w:rPr>
          <w:rFonts w:ascii="Arabic Typesetting" w:hAnsi="Arabic Typesetting" w:cs="Arabic Typesetting"/>
          <w:sz w:val="34"/>
          <w:szCs w:val="34"/>
          <w:rtl/>
          <w:lang w:bidi="ar-EG"/>
        </w:rPr>
        <w:t>ا مع أفضل الممارسات المتبعة في مجال إدارة المشروعات، طُبق إطار إدارة بشأن الخطة الرأسمالية الرئيسية في</w:t>
      </w:r>
      <w:r w:rsidRPr="006D69DC">
        <w:rPr>
          <w:rFonts w:ascii="Arabic Typesetting" w:hAnsi="Arabic Typesetting" w:cs="Arabic Typesetting" w:hint="cs"/>
          <w:sz w:val="34"/>
          <w:szCs w:val="34"/>
          <w:rtl/>
          <w:lang w:bidi="ar-EG"/>
        </w:rPr>
        <w:t> </w:t>
      </w:r>
      <w:r w:rsidRPr="006D69DC">
        <w:rPr>
          <w:rFonts w:ascii="Arabic Typesetting" w:hAnsi="Arabic Typesetting" w:cs="Arabic Typesetting"/>
          <w:sz w:val="34"/>
          <w:szCs w:val="34"/>
          <w:rtl/>
          <w:lang w:bidi="ar-EG"/>
        </w:rPr>
        <w:t>2014 من أجل ما يلي: "1" تحديد الهياكل والمسارات من أجل إدارة أنشطة المشروعات ورصدها بغية تحقيق أهدافها،</w:t>
      </w:r>
      <w:r w:rsidRPr="006D69DC">
        <w:rPr>
          <w:rFonts w:ascii="Arabic Typesetting" w:hAnsi="Arabic Typesetting" w:cs="Arabic Typesetting" w:hint="cs"/>
          <w:sz w:val="34"/>
          <w:szCs w:val="34"/>
          <w:rtl/>
          <w:lang w:bidi="ar-EG"/>
        </w:rPr>
        <w:t xml:space="preserve"> </w:t>
      </w:r>
      <w:r w:rsidRPr="006D69DC">
        <w:rPr>
          <w:rFonts w:ascii="Arabic Typesetting" w:hAnsi="Arabic Typesetting" w:cs="Arabic Typesetting"/>
          <w:sz w:val="34"/>
          <w:szCs w:val="34"/>
          <w:rtl/>
          <w:lang w:bidi="ar-EG"/>
        </w:rPr>
        <w:t xml:space="preserve">"2" </w:t>
      </w:r>
      <w:r w:rsidRPr="006D69DC">
        <w:rPr>
          <w:rFonts w:ascii="Arabic Typesetting" w:hAnsi="Arabic Typesetting" w:cs="Arabic Typesetting" w:hint="cs"/>
          <w:sz w:val="34"/>
          <w:szCs w:val="34"/>
          <w:rtl/>
          <w:lang w:bidi="ar-EG"/>
        </w:rPr>
        <w:t>و</w:t>
      </w:r>
      <w:r w:rsidRPr="006D69DC">
        <w:rPr>
          <w:rFonts w:ascii="Arabic Typesetting" w:hAnsi="Arabic Typesetting" w:cs="Arabic Typesetting"/>
          <w:sz w:val="34"/>
          <w:szCs w:val="34"/>
          <w:rtl/>
          <w:lang w:bidi="ar-EG"/>
        </w:rPr>
        <w:t>ضمان التحديد الواضح للمسؤوليات وأوجه المساءلة وإبلاغها.</w:t>
      </w:r>
    </w:p>
    <w:p w:rsidR="006D69DC" w:rsidRPr="006D69DC" w:rsidRDefault="006D69DC" w:rsidP="00180F7E">
      <w:pPr>
        <w:bidi/>
        <w:spacing w:after="120" w:line="340" w:lineRule="exact"/>
        <w:jc w:val="both"/>
        <w:rPr>
          <w:rFonts w:ascii="Arabic Typesetting" w:hAnsi="Arabic Typesetting" w:cs="Arabic Typesetting"/>
          <w:sz w:val="34"/>
          <w:szCs w:val="34"/>
          <w:lang w:val="fr-CH" w:bidi="ar-EG"/>
        </w:rPr>
      </w:pPr>
      <w:r w:rsidRPr="006D69DC">
        <w:rPr>
          <w:rFonts w:ascii="Arabic Typesetting" w:hAnsi="Arabic Typesetting" w:cs="Arabic Typesetting"/>
          <w:sz w:val="34"/>
          <w:szCs w:val="34"/>
          <w:rtl/>
          <w:lang w:val="fr-CH" w:bidi="ar-EG"/>
        </w:rPr>
        <w:t>وقد أحا</w:t>
      </w:r>
      <w:r w:rsidR="00180F7E">
        <w:rPr>
          <w:rFonts w:ascii="Arabic Typesetting" w:hAnsi="Arabic Typesetting" w:cs="Arabic Typesetting"/>
          <w:sz w:val="34"/>
          <w:szCs w:val="34"/>
          <w:rtl/>
          <w:lang w:val="fr-CH" w:bidi="ar-EG"/>
        </w:rPr>
        <w:t>طت لجنة البرنامج والميزانية علم</w:t>
      </w:r>
      <w:r w:rsidRPr="006D69DC">
        <w:rPr>
          <w:rFonts w:ascii="Arabic Typesetting" w:hAnsi="Arabic Typesetting" w:cs="Arabic Typesetting"/>
          <w:sz w:val="34"/>
          <w:szCs w:val="34"/>
          <w:rtl/>
          <w:lang w:val="fr-CH" w:bidi="ar-EG"/>
        </w:rPr>
        <w:t xml:space="preserve">ا في دورتها الثانية والعشرين </w:t>
      </w:r>
      <w:r w:rsidR="00180F7E">
        <w:rPr>
          <w:rFonts w:ascii="Arabic Typesetting" w:hAnsi="Arabic Typesetting" w:cs="Arabic Typesetting" w:hint="cs"/>
          <w:sz w:val="34"/>
          <w:szCs w:val="34"/>
          <w:rtl/>
          <w:lang w:val="fr-CH" w:bidi="ar-EG"/>
        </w:rPr>
        <w:t>المعقودة</w:t>
      </w:r>
      <w:r w:rsidRPr="006D69DC">
        <w:rPr>
          <w:rFonts w:ascii="Arabic Typesetting" w:hAnsi="Arabic Typesetting" w:cs="Arabic Typesetting"/>
          <w:sz w:val="34"/>
          <w:szCs w:val="34"/>
          <w:rtl/>
          <w:lang w:val="fr-CH" w:bidi="ar-EG"/>
        </w:rPr>
        <w:t xml:space="preserve"> في سبتمبر</w:t>
      </w:r>
      <w:r w:rsidRPr="006D69DC">
        <w:rPr>
          <w:rFonts w:ascii="Arabic Typesetting" w:hAnsi="Arabic Typesetting" w:cs="Arabic Typesetting" w:hint="cs"/>
          <w:sz w:val="34"/>
          <w:szCs w:val="34"/>
          <w:rtl/>
          <w:lang w:val="fr-CH" w:bidi="ar-EG"/>
        </w:rPr>
        <w:t> </w:t>
      </w:r>
      <w:r w:rsidRPr="006D69DC">
        <w:rPr>
          <w:rFonts w:ascii="Arabic Typesetting" w:hAnsi="Arabic Typesetting" w:cs="Arabic Typesetting"/>
          <w:sz w:val="34"/>
          <w:szCs w:val="34"/>
          <w:rtl/>
          <w:lang w:val="fr-CH" w:bidi="ar-EG"/>
        </w:rPr>
        <w:t>2014 بهيكل الإدارة الذي وُضع لإدارة تنفيذ حافظة مشروعات الخطة الرأسمالية الرئيسية والإشراف عليها وإعداد تقارير بشأنها</w:t>
      </w:r>
      <w:r w:rsidRPr="006D69DC">
        <w:rPr>
          <w:rFonts w:ascii="Arabic Typesetting" w:hAnsi="Arabic Typesetting" w:cs="Arabic Typesetting" w:hint="cs"/>
          <w:sz w:val="34"/>
          <w:szCs w:val="34"/>
          <w:rtl/>
          <w:lang w:val="fr-CH" w:bidi="ar-EG"/>
        </w:rPr>
        <w:t xml:space="preserve">، كما هو وارد في </w:t>
      </w:r>
      <w:r w:rsidRPr="006D69DC">
        <w:rPr>
          <w:rFonts w:ascii="Arabic Typesetting" w:hAnsi="Arabic Typesetting" w:cs="Arabic Typesetting"/>
          <w:sz w:val="34"/>
          <w:szCs w:val="34"/>
          <w:rtl/>
          <w:lang w:val="fr-CH" w:bidi="ar-EG"/>
        </w:rPr>
        <w:t>الوثيقة</w:t>
      </w:r>
      <w:r w:rsidR="005F1EE7">
        <w:rPr>
          <w:rFonts w:ascii="Arabic Typesetting" w:hAnsi="Arabic Typesetting" w:cs="Arabic Typesetting" w:hint="eastAsia"/>
          <w:sz w:val="34"/>
          <w:szCs w:val="34"/>
          <w:rtl/>
          <w:lang w:val="fr-CH" w:bidi="ar-EG"/>
        </w:rPr>
        <w:t> </w:t>
      </w:r>
      <w:r w:rsidR="00180F7E" w:rsidRPr="006D69DC">
        <w:rPr>
          <w:rFonts w:ascii="Arabic Typesetting" w:hAnsi="Arabic Typesetting" w:cs="Arabic Typesetting"/>
          <w:sz w:val="28"/>
          <w:szCs w:val="28"/>
          <w:vertAlign w:val="superscript"/>
          <w:lang w:val="fr-CH" w:bidi="ar-EG"/>
        </w:rPr>
        <w:footnoteReference w:id="170"/>
      </w:r>
      <w:r w:rsidR="005F1EE7" w:rsidRPr="006D69DC">
        <w:rPr>
          <w:rFonts w:ascii="Arabic Typesetting" w:hAnsi="Arabic Typesetting" w:cs="Arabic Typesetting"/>
          <w:sz w:val="34"/>
          <w:szCs w:val="34"/>
          <w:lang w:val="fr-CH" w:bidi="ar-EG"/>
        </w:rPr>
        <w:t>WO/PBC/22/21</w:t>
      </w:r>
      <w:r w:rsidRPr="006D69DC">
        <w:rPr>
          <w:rFonts w:ascii="Arabic Typesetting" w:hAnsi="Arabic Typesetting" w:cs="Arabic Typesetting"/>
          <w:sz w:val="34"/>
          <w:szCs w:val="34"/>
          <w:rtl/>
          <w:lang w:val="fr-CH" w:bidi="ar-EG"/>
        </w:rPr>
        <w:t>).</w:t>
      </w:r>
    </w:p>
    <w:p w:rsidR="006D69DC" w:rsidRPr="00365E53" w:rsidRDefault="006D69DC" w:rsidP="00D66D09">
      <w:pPr>
        <w:keepNext/>
        <w:pageBreakBefore/>
        <w:bidi/>
        <w:spacing w:after="120" w:line="340" w:lineRule="exact"/>
        <w:rPr>
          <w:rFonts w:ascii="Arabic Typesetting" w:hAnsi="Arabic Typesetting" w:cs="Arabic Typesetting"/>
          <w:bCs/>
          <w:sz w:val="34"/>
          <w:szCs w:val="36"/>
          <w:rtl/>
          <w:lang w:val="fr-CH"/>
        </w:rPr>
      </w:pPr>
      <w:r w:rsidRPr="00365E53">
        <w:rPr>
          <w:rFonts w:ascii="Arabic Typesetting" w:hAnsi="Arabic Typesetting" w:cs="Arabic Typesetting"/>
          <w:bCs/>
          <w:sz w:val="34"/>
          <w:szCs w:val="36"/>
          <w:rtl/>
          <w:lang w:val="fr-CH"/>
        </w:rPr>
        <w:lastRenderedPageBreak/>
        <w:t>المشروعات المتصلة بتكنولوجيا المعلومات والاتصالات</w:t>
      </w:r>
    </w:p>
    <w:p w:rsidR="006D69DC" w:rsidRPr="00495D3F" w:rsidRDefault="006D69DC" w:rsidP="00495D3F">
      <w:pPr>
        <w:pStyle w:val="Heading4AR"/>
        <w:pageBreakBefore w:val="0"/>
        <w:spacing w:after="120"/>
        <w:ind w:left="0" w:firstLine="0"/>
        <w:rPr>
          <w:i/>
          <w:sz w:val="34"/>
          <w:szCs w:val="34"/>
          <w:rtl/>
        </w:rPr>
      </w:pPr>
      <w:bookmarkStart w:id="154" w:name="_Toc422829675"/>
      <w:bookmarkStart w:id="155" w:name="_Toc455393410"/>
      <w:r w:rsidRPr="00495D3F">
        <w:rPr>
          <w:i/>
          <w:sz w:val="34"/>
          <w:szCs w:val="34"/>
          <w:rtl/>
        </w:rPr>
        <w:t>المشروع</w:t>
      </w:r>
      <w:r w:rsidRPr="00495D3F">
        <w:rPr>
          <w:rFonts w:hint="cs"/>
          <w:i/>
          <w:sz w:val="34"/>
          <w:szCs w:val="34"/>
          <w:rtl/>
        </w:rPr>
        <w:t xml:space="preserve"> 1</w:t>
      </w:r>
      <w:r w:rsidRPr="00495D3F">
        <w:rPr>
          <w:i/>
          <w:sz w:val="34"/>
          <w:szCs w:val="34"/>
          <w:rtl/>
        </w:rPr>
        <w:t>: تعزيز الأمن: تشفير البيانات وإدارة المستخدمين</w:t>
      </w:r>
      <w:bookmarkEnd w:id="154"/>
      <w:r w:rsidRPr="00495D3F">
        <w:rPr>
          <w:rFonts w:hint="cs"/>
          <w:i/>
          <w:sz w:val="34"/>
          <w:szCs w:val="34"/>
          <w:rtl/>
        </w:rPr>
        <w:t xml:space="preserve"> (</w:t>
      </w:r>
      <w:r w:rsidRPr="00495D3F">
        <w:rPr>
          <w:i/>
          <w:sz w:val="34"/>
          <w:szCs w:val="34"/>
        </w:rPr>
        <w:t>CMP 1</w:t>
      </w:r>
      <w:r w:rsidRPr="00495D3F">
        <w:rPr>
          <w:rFonts w:hint="cs"/>
          <w:i/>
          <w:sz w:val="34"/>
          <w:szCs w:val="34"/>
          <w:rtl/>
        </w:rPr>
        <w:t>)</w:t>
      </w:r>
      <w:bookmarkEnd w:id="155"/>
    </w:p>
    <w:p w:rsidR="006D69DC" w:rsidRPr="00365E53" w:rsidRDefault="006D69DC" w:rsidP="00180F7E">
      <w:pPr>
        <w:keepNext/>
        <w:bidi/>
        <w:spacing w:after="240" w:line="340" w:lineRule="exact"/>
        <w:ind w:left="1417" w:hanging="1417"/>
        <w:rPr>
          <w:rFonts w:ascii="Arabic Typesetting" w:hAnsi="Arabic Typesetting" w:cs="Arabic Typesetting"/>
          <w:bCs/>
          <w:sz w:val="34"/>
          <w:szCs w:val="36"/>
          <w:rtl/>
          <w:lang w:val="fr-CH"/>
        </w:rPr>
      </w:pPr>
      <w:r w:rsidRPr="00365E53">
        <w:rPr>
          <w:rFonts w:ascii="Arabic Typesetting" w:hAnsi="Arabic Typesetting" w:cs="Arabic Typesetting"/>
          <w:bCs/>
          <w:sz w:val="34"/>
          <w:szCs w:val="36"/>
          <w:rtl/>
          <w:lang w:val="fr-CH"/>
        </w:rPr>
        <w:t>مدير المشروع</w:t>
      </w:r>
      <w:r w:rsidR="00180F7E">
        <w:rPr>
          <w:rFonts w:ascii="Arabic Typesetting" w:hAnsi="Arabic Typesetting" w:cs="Arabic Typesetting" w:hint="cs"/>
          <w:bCs/>
          <w:sz w:val="34"/>
          <w:szCs w:val="36"/>
          <w:rtl/>
          <w:lang w:val="fr-CH"/>
        </w:rPr>
        <w:t>:</w:t>
      </w:r>
      <w:r w:rsidRPr="00365E53">
        <w:rPr>
          <w:rFonts w:ascii="Arabic Typesetting" w:hAnsi="Arabic Typesetting" w:cs="Arabic Typesetting"/>
          <w:bCs/>
          <w:sz w:val="34"/>
          <w:szCs w:val="36"/>
          <w:lang w:val="fr-CH"/>
        </w:rPr>
        <w:tab/>
      </w:r>
      <w:r w:rsidRPr="00365E53">
        <w:rPr>
          <w:rFonts w:ascii="Arabic Typesetting" w:hAnsi="Arabic Typesetting" w:cs="Arabic Typesetting"/>
          <w:bCs/>
          <w:sz w:val="34"/>
          <w:szCs w:val="36"/>
          <w:rtl/>
          <w:lang w:val="fr-CH"/>
        </w:rPr>
        <w:t>السيد ر</w:t>
      </w:r>
      <w:r w:rsidRPr="00365E53">
        <w:rPr>
          <w:rFonts w:ascii="Arabic Typesetting" w:hAnsi="Arabic Typesetting" w:cs="Arabic Typesetting" w:hint="cs"/>
          <w:bCs/>
          <w:sz w:val="34"/>
          <w:szCs w:val="36"/>
          <w:rtl/>
          <w:lang w:val="fr-CH"/>
        </w:rPr>
        <w:t>يتشارد</w:t>
      </w:r>
      <w:r w:rsidRPr="00365E53">
        <w:rPr>
          <w:rFonts w:ascii="Arabic Typesetting" w:hAnsi="Arabic Typesetting" w:cs="Arabic Typesetting"/>
          <w:bCs/>
          <w:sz w:val="34"/>
          <w:szCs w:val="36"/>
          <w:rtl/>
          <w:lang w:val="fr-CH"/>
        </w:rPr>
        <w:t xml:space="preserve"> لين</w:t>
      </w:r>
    </w:p>
    <w:p w:rsidR="006D69DC" w:rsidRPr="006D69DC" w:rsidRDefault="006D69DC" w:rsidP="006D69DC">
      <w:pPr>
        <w:keepNext/>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النتيجة المرتقبة</w:t>
      </w:r>
    </w:p>
    <w:p w:rsidR="00D66D09" w:rsidRPr="00080105" w:rsidRDefault="00D66D09" w:rsidP="00D66D09">
      <w:pPr>
        <w:bidi/>
        <w:spacing w:after="120" w:line="340" w:lineRule="exact"/>
        <w:rPr>
          <w:rFonts w:ascii="Arabic Typesetting" w:hAnsi="Arabic Typesetting" w:cs="Arabic Typesetting"/>
          <w:iCs/>
          <w:sz w:val="34"/>
          <w:szCs w:val="34"/>
          <w:rtl/>
          <w:lang w:bidi="ar-EG"/>
        </w:rPr>
      </w:pPr>
      <w:r w:rsidRPr="00080105">
        <w:rPr>
          <w:rFonts w:ascii="Arabic Typesetting" w:hAnsi="Arabic Typesetting" w:cs="Arabic Typesetting"/>
          <w:iCs/>
          <w:sz w:val="34"/>
          <w:szCs w:val="34"/>
          <w:rtl/>
          <w:lang w:bidi="ar-EG"/>
        </w:rPr>
        <w:t>ه1.9</w:t>
      </w:r>
      <w:r w:rsidRPr="00080105">
        <w:rPr>
          <w:rFonts w:ascii="Arabic Typesetting" w:hAnsi="Arabic Typesetting" w:cs="Arabic Typesetting"/>
          <w:iCs/>
          <w:sz w:val="34"/>
          <w:szCs w:val="34"/>
          <w:rtl/>
          <w:lang w:bidi="ar-EG"/>
        </w:rPr>
        <w:tab/>
        <w:t>خدمات دعم فعالة وناجعة وذات جودة موجهة نحو الزبائن لفائدة الزبائن الداخليين وأصحاب المصالح الخارجيين</w:t>
      </w:r>
    </w:p>
    <w:p w:rsidR="006D69DC" w:rsidRPr="006D69DC" w:rsidRDefault="006D69DC" w:rsidP="0099688F">
      <w:pPr>
        <w:numPr>
          <w:ilvl w:val="0"/>
          <w:numId w:val="64"/>
        </w:numPr>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من شأن تنفيذ تشفير البيانات وإدارة المستخدمين أن يعزز قدرة الويبو على مواجهة التهديدات المتزايدة لأمن المعلومات، مع السماح بالنظر في خيارات الاستعانة بالمصادر المختلفة التي تتسم التكاليف فيها بالفعالية وبتحقيق الإدارة الشاملة للعدد المتزايد من حقوق نفاذ المستخدمين</w:t>
      </w:r>
      <w:r w:rsidRPr="006D69DC">
        <w:rPr>
          <w:rFonts w:ascii="Arabic Typesetting" w:hAnsi="Arabic Typesetting" w:cs="Arabic Typesetting"/>
          <w:sz w:val="34"/>
          <w:szCs w:val="34"/>
          <w:lang w:val="fr-CH"/>
        </w:rPr>
        <w:t>.</w:t>
      </w:r>
    </w:p>
    <w:p w:rsidR="006D69DC" w:rsidRPr="006D69DC" w:rsidRDefault="006D69DC" w:rsidP="00D66D09">
      <w:pPr>
        <w:keepNext/>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 xml:space="preserve">الأهداف والنطاق والنهج </w:t>
      </w:r>
      <w:r w:rsidR="00D66D09">
        <w:rPr>
          <w:rFonts w:ascii="Arabic Typesetting" w:hAnsi="Arabic Typesetting" w:cs="Arabic Typesetting"/>
          <w:sz w:val="34"/>
          <w:szCs w:val="34"/>
          <w:rtl/>
          <w:lang w:val="fr-CH"/>
        </w:rPr>
        <w:t>–</w:t>
      </w:r>
      <w:r w:rsidRPr="006D69DC">
        <w:rPr>
          <w:rFonts w:ascii="Arabic Typesetting" w:hAnsi="Arabic Typesetting" w:cs="Arabic Typesetting"/>
          <w:sz w:val="34"/>
          <w:szCs w:val="34"/>
          <w:rtl/>
          <w:lang w:val="fr-CH"/>
        </w:rPr>
        <w:t xml:space="preserve"> معلومات أساسية</w:t>
      </w:r>
    </w:p>
    <w:p w:rsidR="006D69DC" w:rsidRPr="006D69DC" w:rsidRDefault="00D66D09" w:rsidP="0099688F">
      <w:pPr>
        <w:numPr>
          <w:ilvl w:val="0"/>
          <w:numId w:val="64"/>
        </w:numPr>
        <w:bidi/>
        <w:spacing w:after="120" w:line="340" w:lineRule="exact"/>
        <w:rPr>
          <w:rFonts w:ascii="Arabic Typesetting" w:hAnsi="Arabic Typesetting" w:cs="Arabic Typesetting"/>
          <w:sz w:val="34"/>
          <w:szCs w:val="34"/>
          <w:rtl/>
          <w:lang w:val="fr-CH"/>
        </w:rPr>
      </w:pPr>
      <w:r>
        <w:rPr>
          <w:rFonts w:ascii="Arabic Typesetting" w:hAnsi="Arabic Typesetting" w:cs="Arabic Typesetting" w:hint="cs"/>
          <w:sz w:val="34"/>
          <w:szCs w:val="34"/>
          <w:rtl/>
          <w:lang w:val="fr-CH"/>
        </w:rPr>
        <w:t>يرمي</w:t>
      </w:r>
      <w:r w:rsidR="006D69DC" w:rsidRPr="006D69DC">
        <w:rPr>
          <w:rFonts w:ascii="Arabic Typesetting" w:hAnsi="Arabic Typesetting" w:cs="Arabic Typesetting"/>
          <w:sz w:val="34"/>
          <w:szCs w:val="34"/>
          <w:rtl/>
          <w:lang w:val="fr-CH"/>
        </w:rPr>
        <w:t xml:space="preserve"> هذا المشروع </w:t>
      </w:r>
      <w:r>
        <w:rPr>
          <w:rFonts w:ascii="Arabic Typesetting" w:hAnsi="Arabic Typesetting" w:cs="Arabic Typesetting" w:hint="cs"/>
          <w:sz w:val="34"/>
          <w:szCs w:val="34"/>
          <w:rtl/>
          <w:lang w:val="fr-CH"/>
        </w:rPr>
        <w:t xml:space="preserve">إلى تحقيق </w:t>
      </w:r>
      <w:r w:rsidR="006D69DC" w:rsidRPr="006D69DC">
        <w:rPr>
          <w:rFonts w:ascii="Arabic Typesetting" w:hAnsi="Arabic Typesetting" w:cs="Arabic Typesetting"/>
          <w:sz w:val="34"/>
          <w:szCs w:val="34"/>
          <w:rtl/>
          <w:lang w:val="fr-CH"/>
        </w:rPr>
        <w:t xml:space="preserve">ثلاثة أهداف أولية </w:t>
      </w:r>
      <w:r>
        <w:rPr>
          <w:rFonts w:ascii="Arabic Typesetting" w:hAnsi="Arabic Typesetting" w:cs="Arabic Typesetting" w:hint="cs"/>
          <w:sz w:val="34"/>
          <w:szCs w:val="34"/>
          <w:rtl/>
          <w:lang w:val="fr-CH"/>
        </w:rPr>
        <w:t>هي</w:t>
      </w:r>
      <w:r w:rsidR="006D69DC" w:rsidRPr="006D69DC">
        <w:rPr>
          <w:rFonts w:ascii="Arabic Typesetting" w:hAnsi="Arabic Typesetting" w:cs="Arabic Typesetting"/>
          <w:sz w:val="34"/>
          <w:szCs w:val="34"/>
          <w:rtl/>
          <w:lang w:val="fr-CH"/>
        </w:rPr>
        <w:t xml:space="preserve"> حماية البيانات الأساسية، وإتاحة خيارات للاستعانة بمصادر مختلفة تتسم التكاليف فيها بقدر أكبر من الفعالية، وإدارة حقوق نفاذ المستخدمين إدارة كلية</w:t>
      </w:r>
      <w:r w:rsidR="006D69DC" w:rsidRPr="006D69DC">
        <w:rPr>
          <w:rFonts w:ascii="Arabic Typesetting" w:hAnsi="Arabic Typesetting" w:cs="Arabic Typesetting"/>
          <w:sz w:val="34"/>
          <w:szCs w:val="34"/>
          <w:lang w:val="fr-CH"/>
        </w:rPr>
        <w:t>.</w:t>
      </w:r>
    </w:p>
    <w:p w:rsidR="006D69DC" w:rsidRPr="006D69DC" w:rsidRDefault="00D66D09" w:rsidP="0099688F">
      <w:pPr>
        <w:numPr>
          <w:ilvl w:val="0"/>
          <w:numId w:val="64"/>
        </w:numPr>
        <w:bidi/>
        <w:spacing w:after="120" w:line="340" w:lineRule="exact"/>
        <w:rPr>
          <w:rFonts w:ascii="Arabic Typesetting" w:hAnsi="Arabic Typesetting" w:cs="Arabic Typesetting"/>
          <w:sz w:val="34"/>
          <w:szCs w:val="34"/>
          <w:rtl/>
          <w:lang w:val="fr-CH"/>
        </w:rPr>
      </w:pPr>
      <w:r>
        <w:rPr>
          <w:rFonts w:ascii="Arabic Typesetting" w:hAnsi="Arabic Typesetting" w:cs="Arabic Typesetting"/>
          <w:sz w:val="34"/>
          <w:szCs w:val="34"/>
          <w:rtl/>
          <w:lang w:val="fr-CH"/>
        </w:rPr>
        <w:t>وقد اتبعت الويبو نه</w:t>
      </w:r>
      <w:r>
        <w:rPr>
          <w:rFonts w:ascii="Arabic Typesetting" w:hAnsi="Arabic Typesetting" w:cs="Arabic Typesetting" w:hint="cs"/>
          <w:sz w:val="34"/>
          <w:szCs w:val="34"/>
          <w:rtl/>
          <w:lang w:val="fr-CH"/>
        </w:rPr>
        <w:t>و</w:t>
      </w:r>
      <w:r w:rsidR="006D69DC" w:rsidRPr="006D69DC">
        <w:rPr>
          <w:rFonts w:ascii="Arabic Typesetting" w:hAnsi="Arabic Typesetting" w:cs="Arabic Typesetting"/>
          <w:sz w:val="34"/>
          <w:szCs w:val="34"/>
          <w:rtl/>
          <w:lang w:val="fr-CH"/>
        </w:rPr>
        <w:t>جا متعددة الأوجه في حماية ا</w:t>
      </w:r>
      <w:r>
        <w:rPr>
          <w:rFonts w:ascii="Arabic Typesetting" w:hAnsi="Arabic Typesetting" w:cs="Arabic Typesetting"/>
          <w:sz w:val="34"/>
          <w:szCs w:val="34"/>
          <w:rtl/>
          <w:lang w:val="fr-CH"/>
        </w:rPr>
        <w:t>لمعلومات السرية. وتشمل هذه الن</w:t>
      </w:r>
      <w:r w:rsidR="006D69DC" w:rsidRPr="006D69DC">
        <w:rPr>
          <w:rFonts w:ascii="Arabic Typesetting" w:hAnsi="Arabic Typesetting" w:cs="Arabic Typesetting"/>
          <w:sz w:val="34"/>
          <w:szCs w:val="34"/>
          <w:rtl/>
          <w:lang w:val="fr-CH"/>
        </w:rPr>
        <w:t>ه</w:t>
      </w:r>
      <w:r>
        <w:rPr>
          <w:rFonts w:ascii="Arabic Typesetting" w:hAnsi="Arabic Typesetting" w:cs="Arabic Typesetting" w:hint="cs"/>
          <w:sz w:val="34"/>
          <w:szCs w:val="34"/>
          <w:rtl/>
          <w:lang w:val="fr-CH"/>
        </w:rPr>
        <w:t>و</w:t>
      </w:r>
      <w:r w:rsidR="006D69DC" w:rsidRPr="006D69DC">
        <w:rPr>
          <w:rFonts w:ascii="Arabic Typesetting" w:hAnsi="Arabic Typesetting" w:cs="Arabic Typesetting"/>
          <w:sz w:val="34"/>
          <w:szCs w:val="34"/>
          <w:rtl/>
          <w:lang w:val="fr-CH"/>
        </w:rPr>
        <w:t xml:space="preserve">ج </w:t>
      </w:r>
      <w:r>
        <w:rPr>
          <w:rFonts w:ascii="Arabic Typesetting" w:hAnsi="Arabic Typesetting" w:cs="Arabic Typesetting" w:hint="cs"/>
          <w:sz w:val="34"/>
          <w:szCs w:val="34"/>
          <w:rtl/>
          <w:lang w:val="fr-CH"/>
        </w:rPr>
        <w:t xml:space="preserve">جملة أمور منها </w:t>
      </w:r>
      <w:r w:rsidR="006D69DC" w:rsidRPr="006D69DC">
        <w:rPr>
          <w:rFonts w:ascii="Arabic Typesetting" w:hAnsi="Arabic Typesetting" w:cs="Arabic Typesetting"/>
          <w:sz w:val="34"/>
          <w:szCs w:val="34"/>
          <w:rtl/>
          <w:lang w:val="fr-CH"/>
        </w:rPr>
        <w:t>الآليات التقليدية للدفاع عن الحدود الخارجية، و</w:t>
      </w:r>
      <w:r w:rsidR="006D69DC" w:rsidRPr="006D69DC">
        <w:rPr>
          <w:rFonts w:ascii="Arabic Typesetting" w:hAnsi="Arabic Typesetting" w:cs="Arabic Typesetting" w:hint="cs"/>
          <w:sz w:val="34"/>
          <w:szCs w:val="34"/>
          <w:rtl/>
          <w:lang w:val="fr-CH"/>
        </w:rPr>
        <w:t>الأنظمة</w:t>
      </w:r>
      <w:r w:rsidR="006D69DC" w:rsidRPr="006D69DC">
        <w:rPr>
          <w:rFonts w:ascii="Arabic Typesetting" w:hAnsi="Arabic Typesetting" w:cs="Arabic Typesetting"/>
          <w:sz w:val="34"/>
          <w:szCs w:val="34"/>
          <w:rtl/>
          <w:lang w:val="fr-CH"/>
        </w:rPr>
        <w:t xml:space="preserve"> الأمن</w:t>
      </w:r>
      <w:r w:rsidR="006D69DC" w:rsidRPr="006D69DC">
        <w:rPr>
          <w:rFonts w:ascii="Arabic Typesetting" w:hAnsi="Arabic Typesetting" w:cs="Arabic Typesetting" w:hint="cs"/>
          <w:sz w:val="34"/>
          <w:szCs w:val="34"/>
          <w:rtl/>
          <w:lang w:val="fr-CH"/>
        </w:rPr>
        <w:t>ية</w:t>
      </w:r>
      <w:r w:rsidR="006D69DC" w:rsidRPr="006D69DC">
        <w:rPr>
          <w:rFonts w:ascii="Arabic Typesetting" w:hAnsi="Arabic Typesetting" w:cs="Arabic Typesetting"/>
          <w:sz w:val="34"/>
          <w:szCs w:val="34"/>
          <w:rtl/>
          <w:lang w:val="fr-CH"/>
        </w:rPr>
        <w:t xml:space="preserve"> لإدارة المعلومات والأحداث، واكتشاف حالات الاختراق ومنعها. </w:t>
      </w:r>
      <w:r>
        <w:rPr>
          <w:rFonts w:ascii="Arabic Typesetting" w:hAnsi="Arabic Typesetting" w:cs="Arabic Typesetting" w:hint="cs"/>
          <w:sz w:val="34"/>
          <w:szCs w:val="34"/>
          <w:rtl/>
          <w:lang w:val="fr-CH"/>
        </w:rPr>
        <w:t>ومواجهةً ل</w:t>
      </w:r>
      <w:r w:rsidR="006D69DC" w:rsidRPr="006D69DC">
        <w:rPr>
          <w:rFonts w:ascii="Arabic Typesetting" w:hAnsi="Arabic Typesetting" w:cs="Arabic Typesetting"/>
          <w:sz w:val="34"/>
          <w:szCs w:val="34"/>
          <w:rtl/>
          <w:lang w:val="fr-CH"/>
        </w:rPr>
        <w:t>لتهديدات الأمنية التي لا تفتأ تزداد تعقيدا، أصبحت أفضل ممارسات أمن المعلومات</w:t>
      </w:r>
      <w:r>
        <w:rPr>
          <w:rFonts w:ascii="Arabic Typesetting" w:hAnsi="Arabic Typesetting" w:cs="Arabic Typesetting" w:hint="cs"/>
          <w:sz w:val="34"/>
          <w:szCs w:val="34"/>
          <w:rtl/>
          <w:lang w:val="fr-CH"/>
        </w:rPr>
        <w:t xml:space="preserve"> تشدد</w:t>
      </w:r>
      <w:r w:rsidR="006D69DC" w:rsidRPr="006D69DC">
        <w:rPr>
          <w:rFonts w:ascii="Arabic Typesetting" w:hAnsi="Arabic Typesetting" w:cs="Arabic Typesetting"/>
          <w:sz w:val="34"/>
          <w:szCs w:val="34"/>
          <w:rtl/>
          <w:lang w:val="fr-CH"/>
        </w:rPr>
        <w:t xml:space="preserve"> أيضا على حماية المصدر مباشرةً</w:t>
      </w:r>
      <w:r w:rsidR="006D69DC" w:rsidRPr="006D69DC">
        <w:rPr>
          <w:rFonts w:ascii="Arabic Typesetting" w:hAnsi="Arabic Typesetting" w:cs="Arabic Typesetting"/>
          <w:sz w:val="34"/>
          <w:szCs w:val="34"/>
          <w:lang w:val="fr-CH"/>
        </w:rPr>
        <w:t>.</w:t>
      </w:r>
    </w:p>
    <w:p w:rsidR="006D69DC" w:rsidRPr="006D69DC" w:rsidRDefault="0011481A" w:rsidP="0099688F">
      <w:pPr>
        <w:numPr>
          <w:ilvl w:val="0"/>
          <w:numId w:val="64"/>
        </w:numPr>
        <w:bidi/>
        <w:spacing w:after="120" w:line="340" w:lineRule="exact"/>
        <w:rPr>
          <w:rFonts w:ascii="Arabic Typesetting" w:hAnsi="Arabic Typesetting" w:cs="Arabic Typesetting"/>
          <w:sz w:val="34"/>
          <w:szCs w:val="34"/>
          <w:rtl/>
          <w:lang w:val="fr-CH"/>
        </w:rPr>
      </w:pPr>
      <w:r>
        <w:rPr>
          <w:rFonts w:ascii="Arabic Typesetting" w:hAnsi="Arabic Typesetting" w:cs="Arabic Typesetting" w:hint="cs"/>
          <w:sz w:val="34"/>
          <w:szCs w:val="34"/>
          <w:rtl/>
          <w:lang w:val="fr-CH"/>
        </w:rPr>
        <w:t>ولا شك في أ</w:t>
      </w:r>
      <w:r w:rsidR="006D69DC" w:rsidRPr="006D69DC">
        <w:rPr>
          <w:rFonts w:ascii="Arabic Typesetting" w:hAnsi="Arabic Typesetting" w:cs="Arabic Typesetting"/>
          <w:sz w:val="34"/>
          <w:szCs w:val="34"/>
          <w:rtl/>
          <w:lang w:val="fr-CH"/>
        </w:rPr>
        <w:t xml:space="preserve">ن توفر خيارات للاستعانة بالمصادر المختلفة التي تتسم التكاليف فيها بالفعالية </w:t>
      </w:r>
      <w:r>
        <w:rPr>
          <w:rFonts w:ascii="Arabic Typesetting" w:hAnsi="Arabic Typesetting" w:cs="Arabic Typesetting" w:hint="cs"/>
          <w:sz w:val="34"/>
          <w:szCs w:val="34"/>
          <w:rtl/>
          <w:lang w:val="fr-CH"/>
        </w:rPr>
        <w:t xml:space="preserve">بات </w:t>
      </w:r>
      <w:r w:rsidR="006D69DC" w:rsidRPr="006D69DC">
        <w:rPr>
          <w:rFonts w:ascii="Arabic Typesetting" w:hAnsi="Arabic Typesetting" w:cs="Arabic Typesetting"/>
          <w:sz w:val="34"/>
          <w:szCs w:val="34"/>
          <w:rtl/>
          <w:lang w:val="fr-CH"/>
        </w:rPr>
        <w:t>ضرور</w:t>
      </w:r>
      <w:r>
        <w:rPr>
          <w:rFonts w:ascii="Arabic Typesetting" w:hAnsi="Arabic Typesetting" w:cs="Arabic Typesetting" w:hint="cs"/>
          <w:sz w:val="34"/>
          <w:szCs w:val="34"/>
          <w:rtl/>
          <w:lang w:val="fr-CH"/>
        </w:rPr>
        <w:t>ة</w:t>
      </w:r>
      <w:r w:rsidR="006D69DC" w:rsidRPr="006D69DC">
        <w:rPr>
          <w:rFonts w:ascii="Arabic Typesetting" w:hAnsi="Arabic Typesetting" w:cs="Arabic Typesetting"/>
          <w:sz w:val="34"/>
          <w:szCs w:val="34"/>
          <w:rtl/>
          <w:lang w:val="fr-CH"/>
        </w:rPr>
        <w:t xml:space="preserve"> في عالم إدارة تكنولوجيا المعلومات الذي يتطلب </w:t>
      </w:r>
      <w:r>
        <w:rPr>
          <w:rFonts w:ascii="Arabic Typesetting" w:hAnsi="Arabic Typesetting" w:cs="Arabic Typesetting" w:hint="cs"/>
          <w:sz w:val="34"/>
          <w:szCs w:val="34"/>
          <w:rtl/>
          <w:lang w:val="fr-CH"/>
        </w:rPr>
        <w:t>وجود</w:t>
      </w:r>
      <w:r w:rsidR="006D69DC" w:rsidRPr="006D69DC">
        <w:rPr>
          <w:rFonts w:ascii="Arabic Typesetting" w:hAnsi="Arabic Typesetting" w:cs="Arabic Typesetting"/>
          <w:sz w:val="34"/>
          <w:szCs w:val="34"/>
          <w:rtl/>
          <w:lang w:val="fr-CH"/>
        </w:rPr>
        <w:t xml:space="preserve"> كفاءات متنوعة وسريعة التغير من ناحية والتمتع بالقدرة على حشد قوة </w:t>
      </w:r>
      <w:r>
        <w:rPr>
          <w:rFonts w:ascii="Arabic Typesetting" w:hAnsi="Arabic Typesetting" w:cs="Arabic Typesetting" w:hint="cs"/>
          <w:sz w:val="34"/>
          <w:szCs w:val="34"/>
          <w:rtl/>
          <w:lang w:val="fr-CH"/>
        </w:rPr>
        <w:t>عاملة</w:t>
      </w:r>
      <w:r w:rsidR="006D69DC" w:rsidRPr="006D69DC">
        <w:rPr>
          <w:rFonts w:ascii="Arabic Typesetting" w:hAnsi="Arabic Typesetting" w:cs="Arabic Typesetting"/>
          <w:sz w:val="34"/>
          <w:szCs w:val="34"/>
          <w:rtl/>
          <w:lang w:val="fr-CH"/>
        </w:rPr>
        <w:t xml:space="preserve"> بسرعة لتلبية أولويات العمل المتغيرة من ناحية أخرى. و</w:t>
      </w:r>
      <w:r>
        <w:rPr>
          <w:rFonts w:ascii="Arabic Typesetting" w:hAnsi="Arabic Typesetting" w:cs="Arabic Typesetting" w:hint="cs"/>
          <w:sz w:val="34"/>
          <w:szCs w:val="34"/>
          <w:rtl/>
          <w:lang w:val="fr-CH"/>
        </w:rPr>
        <w:t>لكن</w:t>
      </w:r>
      <w:r w:rsidR="006D69DC" w:rsidRPr="006D69DC">
        <w:rPr>
          <w:rFonts w:ascii="Arabic Typesetting" w:hAnsi="Arabic Typesetting" w:cs="Arabic Typesetting"/>
          <w:sz w:val="34"/>
          <w:szCs w:val="34"/>
          <w:rtl/>
          <w:lang w:val="fr-CH"/>
        </w:rPr>
        <w:t xml:space="preserve"> زيادة خيارات الاستعانة بالمصادر المختلفة </w:t>
      </w:r>
      <w:r>
        <w:rPr>
          <w:rFonts w:ascii="Arabic Typesetting" w:hAnsi="Arabic Typesetting" w:cs="Arabic Typesetting" w:hint="cs"/>
          <w:sz w:val="34"/>
          <w:szCs w:val="34"/>
          <w:rtl/>
          <w:lang w:val="fr-CH"/>
        </w:rPr>
        <w:t>ت</w:t>
      </w:r>
      <w:r w:rsidR="00D66D09">
        <w:rPr>
          <w:rFonts w:ascii="Arabic Typesetting" w:hAnsi="Arabic Typesetting" w:cs="Arabic Typesetting" w:hint="cs"/>
          <w:sz w:val="34"/>
          <w:szCs w:val="34"/>
          <w:rtl/>
          <w:lang w:val="fr-CH"/>
        </w:rPr>
        <w:t>نطوي على</w:t>
      </w:r>
      <w:r w:rsidR="006D69DC" w:rsidRPr="006D69DC">
        <w:rPr>
          <w:rFonts w:ascii="Arabic Typesetting" w:hAnsi="Arabic Typesetting" w:cs="Arabic Typesetting"/>
          <w:sz w:val="34"/>
          <w:szCs w:val="34"/>
          <w:rtl/>
          <w:lang w:val="fr-CH"/>
        </w:rPr>
        <w:t xml:space="preserve"> زيادة </w:t>
      </w:r>
      <w:r>
        <w:rPr>
          <w:rFonts w:ascii="Arabic Typesetting" w:hAnsi="Arabic Typesetting" w:cs="Arabic Typesetting" w:hint="cs"/>
          <w:sz w:val="34"/>
          <w:szCs w:val="34"/>
          <w:rtl/>
          <w:lang w:val="fr-CH"/>
        </w:rPr>
        <w:t>المخاطر</w:t>
      </w:r>
      <w:r w:rsidR="006D69DC" w:rsidRPr="006D69DC">
        <w:rPr>
          <w:rFonts w:ascii="Arabic Typesetting" w:hAnsi="Arabic Typesetting" w:cs="Arabic Typesetting"/>
          <w:sz w:val="34"/>
          <w:szCs w:val="34"/>
          <w:rtl/>
          <w:lang w:val="fr-CH"/>
        </w:rPr>
        <w:t xml:space="preserve"> التي يتعرض لها أمن المعلومات</w:t>
      </w:r>
      <w:r w:rsidR="006D69DC" w:rsidRPr="006D69DC">
        <w:rPr>
          <w:rFonts w:ascii="Arabic Typesetting" w:hAnsi="Arabic Typesetting" w:cs="Arabic Typesetting"/>
          <w:sz w:val="34"/>
          <w:szCs w:val="34"/>
          <w:lang w:val="fr-CH"/>
        </w:rPr>
        <w:t>.</w:t>
      </w:r>
    </w:p>
    <w:p w:rsidR="006D69DC" w:rsidRPr="006D69DC" w:rsidRDefault="006D69DC" w:rsidP="0099688F">
      <w:pPr>
        <w:numPr>
          <w:ilvl w:val="0"/>
          <w:numId w:val="64"/>
        </w:numPr>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ويمكن لتكنولوجيا تشفير بيانات المؤسسة أن تقدم حلولا فعالة لمواجهة هذين التحديين. وتكم</w:t>
      </w:r>
      <w:r w:rsidRPr="006D69DC">
        <w:rPr>
          <w:rFonts w:ascii="Arabic Typesetting" w:hAnsi="Arabic Typesetting" w:cs="Arabic Typesetting" w:hint="cs"/>
          <w:sz w:val="34"/>
          <w:szCs w:val="34"/>
          <w:rtl/>
          <w:lang w:val="fr-CH"/>
        </w:rPr>
        <w:t>ّ</w:t>
      </w:r>
      <w:r w:rsidRPr="006D69DC">
        <w:rPr>
          <w:rFonts w:ascii="Arabic Typesetting" w:hAnsi="Arabic Typesetting" w:cs="Arabic Typesetting"/>
          <w:sz w:val="34"/>
          <w:szCs w:val="34"/>
          <w:rtl/>
          <w:lang w:val="fr-CH"/>
        </w:rPr>
        <w:t xml:space="preserve">ل هذه الحلول غيرها من تدابير أمن المعلومات عن طريق تشفير مصدر البيانات. </w:t>
      </w:r>
      <w:r w:rsidR="0011481A">
        <w:rPr>
          <w:rFonts w:ascii="Arabic Typesetting" w:hAnsi="Arabic Typesetting" w:cs="Arabic Typesetting" w:hint="cs"/>
          <w:sz w:val="34"/>
          <w:szCs w:val="34"/>
          <w:rtl/>
          <w:lang w:val="fr-CH"/>
        </w:rPr>
        <w:t>وتتيح أيضاً الم</w:t>
      </w:r>
      <w:r w:rsidRPr="006D69DC">
        <w:rPr>
          <w:rFonts w:ascii="Arabic Typesetting" w:hAnsi="Arabic Typesetting" w:cs="Arabic Typesetting"/>
          <w:sz w:val="34"/>
          <w:szCs w:val="34"/>
          <w:rtl/>
          <w:lang w:val="fr-CH"/>
        </w:rPr>
        <w:t xml:space="preserve">زيد من المرونة في اختيار مقدمي خدمات </w:t>
      </w:r>
      <w:r w:rsidR="0011481A">
        <w:rPr>
          <w:rFonts w:ascii="Arabic Typesetting" w:hAnsi="Arabic Typesetting" w:cs="Arabic Typesetting" w:hint="cs"/>
          <w:sz w:val="34"/>
          <w:szCs w:val="34"/>
          <w:rtl/>
          <w:lang w:val="fr-CH"/>
        </w:rPr>
        <w:t>يتسمون بالفعالية من حيث التكلفة</w:t>
      </w:r>
      <w:r w:rsidRPr="006D69DC">
        <w:rPr>
          <w:rFonts w:ascii="Arabic Typesetting" w:hAnsi="Arabic Typesetting" w:cs="Arabic Typesetting"/>
          <w:sz w:val="34"/>
          <w:szCs w:val="34"/>
          <w:rtl/>
          <w:lang w:val="fr-CH"/>
        </w:rPr>
        <w:t xml:space="preserve"> </w:t>
      </w:r>
      <w:r w:rsidR="0011481A">
        <w:rPr>
          <w:rFonts w:ascii="Arabic Typesetting" w:hAnsi="Arabic Typesetting" w:cs="Arabic Typesetting" w:hint="cs"/>
          <w:sz w:val="34"/>
          <w:szCs w:val="34"/>
          <w:rtl/>
          <w:lang w:val="fr-CH"/>
        </w:rPr>
        <w:t xml:space="preserve">عن طريق </w:t>
      </w:r>
      <w:r w:rsidRPr="006D69DC">
        <w:rPr>
          <w:rFonts w:ascii="Arabic Typesetting" w:hAnsi="Arabic Typesetting" w:cs="Arabic Typesetting"/>
          <w:sz w:val="34"/>
          <w:szCs w:val="34"/>
          <w:rtl/>
          <w:lang w:val="fr-CH"/>
        </w:rPr>
        <w:t xml:space="preserve">إبقاء التشفير تحت رقابة صارمة مع تمكين مقدمي الخدمات من أداء مهمات </w:t>
      </w:r>
      <w:r w:rsidR="0011481A">
        <w:rPr>
          <w:rFonts w:ascii="Arabic Typesetting" w:hAnsi="Arabic Typesetting" w:cs="Arabic Typesetting" w:hint="cs"/>
          <w:sz w:val="34"/>
          <w:szCs w:val="34"/>
          <w:rtl/>
          <w:lang w:val="fr-CH"/>
        </w:rPr>
        <w:t>الدعم</w:t>
      </w:r>
      <w:r w:rsidRPr="006D69DC">
        <w:rPr>
          <w:rFonts w:ascii="Arabic Typesetting" w:hAnsi="Arabic Typesetting" w:cs="Arabic Typesetting"/>
          <w:sz w:val="34"/>
          <w:szCs w:val="34"/>
          <w:lang w:val="fr-CH"/>
        </w:rPr>
        <w:t>.</w:t>
      </w:r>
    </w:p>
    <w:p w:rsidR="006D69DC" w:rsidRPr="006D69DC" w:rsidRDefault="006D69DC" w:rsidP="0099688F">
      <w:pPr>
        <w:numPr>
          <w:ilvl w:val="0"/>
          <w:numId w:val="64"/>
        </w:numPr>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وتكم</w:t>
      </w:r>
      <w:r w:rsidRPr="006D69DC">
        <w:rPr>
          <w:rFonts w:ascii="Arabic Typesetting" w:hAnsi="Arabic Typesetting" w:cs="Arabic Typesetting" w:hint="cs"/>
          <w:sz w:val="34"/>
          <w:szCs w:val="34"/>
          <w:rtl/>
          <w:lang w:val="fr-CH"/>
        </w:rPr>
        <w:t>ّ</w:t>
      </w:r>
      <w:r w:rsidRPr="006D69DC">
        <w:rPr>
          <w:rFonts w:ascii="Arabic Typesetting" w:hAnsi="Arabic Typesetting" w:cs="Arabic Typesetting"/>
          <w:sz w:val="34"/>
          <w:szCs w:val="34"/>
          <w:rtl/>
          <w:lang w:val="fr-CH"/>
        </w:rPr>
        <w:t>ل الإدارة الفعالة لحقوق النفاذ أيضا الاستثمار في حلول تشفير بيانات المؤسسة. وتركز إدارة حقوق النفاذ تقليديا على الأنظمة</w:t>
      </w:r>
      <w:r w:rsidR="001814D1">
        <w:rPr>
          <w:rFonts w:ascii="Arabic Typesetting" w:hAnsi="Arabic Typesetting" w:cs="Arabic Typesetting" w:hint="cs"/>
          <w:sz w:val="34"/>
          <w:szCs w:val="34"/>
          <w:rtl/>
          <w:lang w:val="fr-CH"/>
        </w:rPr>
        <w:t>. فهي تحدد أصحاب</w:t>
      </w:r>
      <w:r w:rsidRPr="006D69DC">
        <w:rPr>
          <w:rFonts w:ascii="Arabic Typesetting" w:hAnsi="Arabic Typesetting" w:cs="Arabic Typesetting"/>
          <w:sz w:val="34"/>
          <w:szCs w:val="34"/>
          <w:rtl/>
          <w:lang w:val="fr-CH"/>
        </w:rPr>
        <w:t xml:space="preserve"> الحق</w:t>
      </w:r>
      <w:r w:rsidR="001814D1">
        <w:rPr>
          <w:rFonts w:ascii="Arabic Typesetting" w:hAnsi="Arabic Typesetting" w:cs="Arabic Typesetting" w:hint="cs"/>
          <w:sz w:val="34"/>
          <w:szCs w:val="34"/>
          <w:rtl/>
          <w:lang w:val="fr-CH"/>
        </w:rPr>
        <w:t>وق</w:t>
      </w:r>
      <w:r w:rsidRPr="006D69DC">
        <w:rPr>
          <w:rFonts w:ascii="Arabic Typesetting" w:hAnsi="Arabic Typesetting" w:cs="Arabic Typesetting"/>
          <w:sz w:val="34"/>
          <w:szCs w:val="34"/>
          <w:rtl/>
          <w:lang w:val="fr-CH"/>
        </w:rPr>
        <w:t xml:space="preserve"> في النفاذ </w:t>
      </w:r>
      <w:r w:rsidR="001814D1">
        <w:rPr>
          <w:rFonts w:ascii="Arabic Typesetting" w:hAnsi="Arabic Typesetting" w:cs="Arabic Typesetting" w:hint="cs"/>
          <w:sz w:val="34"/>
          <w:szCs w:val="34"/>
          <w:rtl/>
          <w:lang w:val="fr-CH"/>
        </w:rPr>
        <w:t>وتفاصيل تلك الحقوق</w:t>
      </w:r>
      <w:r w:rsidRPr="006D69DC">
        <w:rPr>
          <w:rFonts w:ascii="Arabic Typesetting" w:hAnsi="Arabic Typesetting" w:cs="Arabic Typesetting"/>
          <w:sz w:val="34"/>
          <w:szCs w:val="34"/>
          <w:rtl/>
          <w:lang w:val="fr-CH"/>
        </w:rPr>
        <w:t xml:space="preserve"> في</w:t>
      </w:r>
      <w:r w:rsidR="001814D1">
        <w:rPr>
          <w:rFonts w:ascii="Arabic Typesetting" w:hAnsi="Arabic Typesetting" w:cs="Arabic Typesetting" w:hint="cs"/>
          <w:sz w:val="34"/>
          <w:szCs w:val="34"/>
          <w:rtl/>
          <w:lang w:val="fr-CH"/>
        </w:rPr>
        <w:t xml:space="preserve"> أي</w:t>
      </w:r>
      <w:r w:rsidRPr="006D69DC">
        <w:rPr>
          <w:rFonts w:ascii="Arabic Typesetting" w:hAnsi="Arabic Typesetting" w:cs="Arabic Typesetting"/>
          <w:sz w:val="34"/>
          <w:szCs w:val="34"/>
          <w:rtl/>
          <w:lang w:val="fr-CH"/>
        </w:rPr>
        <w:t xml:space="preserve"> نظام. ويمكن لهذه الآلية أن تكون فعالة عندما يكون عدد الم</w:t>
      </w:r>
      <w:r w:rsidR="001814D1">
        <w:rPr>
          <w:rFonts w:ascii="Arabic Typesetting" w:hAnsi="Arabic Typesetting" w:cs="Arabic Typesetting"/>
          <w:sz w:val="34"/>
          <w:szCs w:val="34"/>
          <w:rtl/>
          <w:lang w:val="fr-CH"/>
        </w:rPr>
        <w:t>ستخدمين وتطبيقات البرمجيات صغيرا نسبي</w:t>
      </w:r>
      <w:r w:rsidRPr="006D69DC">
        <w:rPr>
          <w:rFonts w:ascii="Arabic Typesetting" w:hAnsi="Arabic Typesetting" w:cs="Arabic Typesetting"/>
          <w:sz w:val="34"/>
          <w:szCs w:val="34"/>
          <w:rtl/>
          <w:lang w:val="fr-CH"/>
        </w:rPr>
        <w:t>ا</w:t>
      </w:r>
      <w:r w:rsidRPr="006D69DC">
        <w:rPr>
          <w:rFonts w:ascii="Arabic Typesetting" w:hAnsi="Arabic Typesetting" w:cs="Arabic Typesetting" w:hint="cs"/>
          <w:sz w:val="34"/>
          <w:szCs w:val="34"/>
          <w:rtl/>
          <w:lang w:val="fr-CH"/>
        </w:rPr>
        <w:t>.</w:t>
      </w:r>
    </w:p>
    <w:p w:rsidR="006D69DC" w:rsidRPr="006D69DC" w:rsidRDefault="006D69DC" w:rsidP="0099688F">
      <w:pPr>
        <w:numPr>
          <w:ilvl w:val="0"/>
          <w:numId w:val="64"/>
        </w:numPr>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 xml:space="preserve">ومع ذلك، </w:t>
      </w:r>
      <w:r w:rsidR="001814D1">
        <w:rPr>
          <w:rFonts w:ascii="Arabic Typesetting" w:hAnsi="Arabic Typesetting" w:cs="Arabic Typesetting" w:hint="cs"/>
          <w:sz w:val="34"/>
          <w:szCs w:val="34"/>
          <w:rtl/>
          <w:lang w:val="fr-CH"/>
        </w:rPr>
        <w:t>يُتوقع</w:t>
      </w:r>
      <w:r w:rsidRPr="006D69DC">
        <w:rPr>
          <w:rFonts w:ascii="Arabic Typesetting" w:hAnsi="Arabic Typesetting" w:cs="Arabic Typesetting"/>
          <w:sz w:val="34"/>
          <w:szCs w:val="34"/>
          <w:rtl/>
          <w:lang w:val="fr-CH"/>
        </w:rPr>
        <w:t xml:space="preserve"> أن يزداد عدد المستخدمين </w:t>
      </w:r>
      <w:r w:rsidR="001814D1">
        <w:rPr>
          <w:rFonts w:ascii="Arabic Typesetting" w:hAnsi="Arabic Typesetting" w:cs="Arabic Typesetting" w:hint="cs"/>
          <w:sz w:val="34"/>
          <w:szCs w:val="34"/>
          <w:rtl/>
          <w:lang w:val="fr-CH"/>
        </w:rPr>
        <w:t>على مدار</w:t>
      </w:r>
      <w:r w:rsidRPr="006D69DC">
        <w:rPr>
          <w:rFonts w:ascii="Arabic Typesetting" w:hAnsi="Arabic Typesetting" w:cs="Arabic Typesetting"/>
          <w:sz w:val="34"/>
          <w:szCs w:val="34"/>
          <w:rtl/>
          <w:lang w:val="fr-CH"/>
        </w:rPr>
        <w:t xml:space="preserve"> الأعوام </w:t>
      </w:r>
      <w:r w:rsidR="001814D1">
        <w:rPr>
          <w:rFonts w:ascii="Arabic Typesetting" w:hAnsi="Arabic Typesetting" w:cs="Arabic Typesetting" w:hint="cs"/>
          <w:sz w:val="34"/>
          <w:szCs w:val="34"/>
          <w:rtl/>
          <w:lang w:val="fr-CH"/>
        </w:rPr>
        <w:t xml:space="preserve">المقبلة </w:t>
      </w:r>
      <w:r w:rsidR="001814D1" w:rsidRPr="006D69DC">
        <w:rPr>
          <w:rFonts w:ascii="Arabic Typesetting" w:hAnsi="Arabic Typesetting" w:cs="Arabic Typesetting"/>
          <w:sz w:val="34"/>
          <w:szCs w:val="34"/>
          <w:rtl/>
          <w:lang w:val="fr-CH"/>
        </w:rPr>
        <w:t>مع استمرار الويبو في تحسين خدماتها المقدمة عبر شبكة الإنترنت</w:t>
      </w:r>
      <w:r w:rsidRPr="006D69DC">
        <w:rPr>
          <w:rFonts w:ascii="Arabic Typesetting" w:hAnsi="Arabic Typesetting" w:cs="Arabic Typesetting"/>
          <w:sz w:val="34"/>
          <w:szCs w:val="34"/>
          <w:rtl/>
          <w:lang w:val="fr-CH"/>
        </w:rPr>
        <w:t xml:space="preserve">. </w:t>
      </w:r>
      <w:r w:rsidR="001814D1">
        <w:rPr>
          <w:rFonts w:ascii="Arabic Typesetting" w:hAnsi="Arabic Typesetting" w:cs="Arabic Typesetting" w:hint="cs"/>
          <w:sz w:val="34"/>
          <w:szCs w:val="34"/>
          <w:rtl/>
          <w:lang w:val="fr-CH"/>
        </w:rPr>
        <w:t>ومن ثم، ينبغي</w:t>
      </w:r>
      <w:r w:rsidRPr="006D69DC">
        <w:rPr>
          <w:rFonts w:ascii="Arabic Typesetting" w:hAnsi="Arabic Typesetting" w:cs="Arabic Typesetting"/>
          <w:sz w:val="34"/>
          <w:szCs w:val="34"/>
          <w:rtl/>
          <w:lang w:val="fr-CH"/>
        </w:rPr>
        <w:t xml:space="preserve"> الاستثمار في الحلول التي توجه تركيز إدارة حقوق النفاذ نحو المستخدمين. </w:t>
      </w:r>
      <w:r w:rsidR="001814D1">
        <w:rPr>
          <w:rFonts w:ascii="Arabic Typesetting" w:hAnsi="Arabic Typesetting" w:cs="Arabic Typesetting" w:hint="cs"/>
          <w:sz w:val="34"/>
          <w:szCs w:val="34"/>
          <w:rtl/>
          <w:lang w:val="fr-CH"/>
        </w:rPr>
        <w:t xml:space="preserve">بمعنى آخر، ينبغي توضيح </w:t>
      </w:r>
      <w:r w:rsidRPr="006D69DC">
        <w:rPr>
          <w:rFonts w:ascii="Arabic Typesetting" w:hAnsi="Arabic Typesetting" w:cs="Arabic Typesetting"/>
          <w:sz w:val="34"/>
          <w:szCs w:val="34"/>
          <w:rtl/>
          <w:lang w:val="fr-CH"/>
        </w:rPr>
        <w:t xml:space="preserve">حقوق النفاذ التي يتمتع بها </w:t>
      </w:r>
      <w:r w:rsidR="001814D1">
        <w:rPr>
          <w:rFonts w:ascii="Arabic Typesetting" w:hAnsi="Arabic Typesetting" w:cs="Arabic Typesetting" w:hint="cs"/>
          <w:sz w:val="34"/>
          <w:szCs w:val="34"/>
          <w:rtl/>
          <w:lang w:val="fr-CH"/>
        </w:rPr>
        <w:t xml:space="preserve">كل </w:t>
      </w:r>
      <w:r w:rsidRPr="006D69DC">
        <w:rPr>
          <w:rFonts w:ascii="Arabic Typesetting" w:hAnsi="Arabic Typesetting" w:cs="Arabic Typesetting"/>
          <w:sz w:val="34"/>
          <w:szCs w:val="34"/>
          <w:rtl/>
          <w:lang w:val="fr-CH"/>
        </w:rPr>
        <w:t xml:space="preserve">مستخدم على مستوى </w:t>
      </w:r>
      <w:r w:rsidR="001814D1">
        <w:rPr>
          <w:rFonts w:ascii="Arabic Typesetting" w:hAnsi="Arabic Typesetting" w:cs="Arabic Typesetting" w:hint="cs"/>
          <w:sz w:val="34"/>
          <w:szCs w:val="34"/>
          <w:rtl/>
          <w:lang w:val="fr-CH"/>
        </w:rPr>
        <w:t>الأنظمة</w:t>
      </w:r>
      <w:r w:rsidRPr="006D69DC">
        <w:rPr>
          <w:rFonts w:ascii="Arabic Typesetting" w:hAnsi="Arabic Typesetting" w:cs="Arabic Typesetting"/>
          <w:sz w:val="34"/>
          <w:szCs w:val="34"/>
          <w:rtl/>
          <w:lang w:val="fr-CH"/>
        </w:rPr>
        <w:t xml:space="preserve"> المختلفة</w:t>
      </w:r>
      <w:r w:rsidRPr="006D69DC">
        <w:rPr>
          <w:rFonts w:ascii="Arabic Typesetting" w:hAnsi="Arabic Typesetting" w:cs="Arabic Typesetting"/>
          <w:sz w:val="34"/>
          <w:szCs w:val="34"/>
          <w:lang w:val="fr-CH"/>
        </w:rPr>
        <w:t>.</w:t>
      </w:r>
    </w:p>
    <w:p w:rsidR="006D69DC" w:rsidRPr="006D69DC" w:rsidRDefault="006D69DC" w:rsidP="0099688F">
      <w:pPr>
        <w:numPr>
          <w:ilvl w:val="0"/>
          <w:numId w:val="64"/>
        </w:numPr>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 xml:space="preserve">وقد تصبح التكنولوجيا أكثر نضجا </w:t>
      </w:r>
      <w:r w:rsidR="001814D1">
        <w:rPr>
          <w:rFonts w:ascii="Arabic Typesetting" w:hAnsi="Arabic Typesetting" w:cs="Arabic Typesetting" w:hint="cs"/>
          <w:sz w:val="34"/>
          <w:szCs w:val="34"/>
          <w:rtl/>
          <w:lang w:val="fr-CH"/>
        </w:rPr>
        <w:t xml:space="preserve">في المستقبل </w:t>
      </w:r>
      <w:r w:rsidRPr="006D69DC">
        <w:rPr>
          <w:rFonts w:ascii="Arabic Typesetting" w:hAnsi="Arabic Typesetting" w:cs="Arabic Typesetting"/>
          <w:sz w:val="34"/>
          <w:szCs w:val="34"/>
          <w:rtl/>
          <w:lang w:val="fr-CH"/>
        </w:rPr>
        <w:t xml:space="preserve">بحيث يمكن إدارة حقوق النفاذ بناء على أدوار المستخدمين داخل أنظمة معقدة، مثل التخطيط للموارد المؤسسية، وفيما بين هذه الأنظمة. ولكن </w:t>
      </w:r>
      <w:r w:rsidR="001814D1">
        <w:rPr>
          <w:rFonts w:ascii="Arabic Typesetting" w:hAnsi="Arabic Typesetting" w:cs="Arabic Typesetting" w:hint="cs"/>
          <w:sz w:val="34"/>
          <w:szCs w:val="34"/>
          <w:rtl/>
          <w:lang w:val="fr-CH"/>
        </w:rPr>
        <w:t>يصعب</w:t>
      </w:r>
      <w:r w:rsidRPr="006D69DC">
        <w:rPr>
          <w:rFonts w:ascii="Arabic Typesetting" w:hAnsi="Arabic Typesetting" w:cs="Arabic Typesetting"/>
          <w:sz w:val="34"/>
          <w:szCs w:val="34"/>
          <w:rtl/>
          <w:lang w:val="fr-CH"/>
        </w:rPr>
        <w:t xml:space="preserve"> </w:t>
      </w:r>
      <w:r w:rsidR="001814D1">
        <w:rPr>
          <w:rFonts w:ascii="Arabic Typesetting" w:hAnsi="Arabic Typesetting" w:cs="Arabic Typesetting" w:hint="cs"/>
          <w:sz w:val="34"/>
          <w:szCs w:val="34"/>
          <w:rtl/>
          <w:lang w:val="fr-CH"/>
        </w:rPr>
        <w:t>التنبؤ في الوقت الحاضر</w:t>
      </w:r>
      <w:r w:rsidRPr="006D69DC">
        <w:rPr>
          <w:rFonts w:ascii="Arabic Typesetting" w:hAnsi="Arabic Typesetting" w:cs="Arabic Typesetting"/>
          <w:sz w:val="34"/>
          <w:szCs w:val="34"/>
          <w:rtl/>
          <w:lang w:val="fr-CH"/>
        </w:rPr>
        <w:t xml:space="preserve"> </w:t>
      </w:r>
      <w:r w:rsidR="001814D1">
        <w:rPr>
          <w:rFonts w:ascii="Arabic Typesetting" w:hAnsi="Arabic Typesetting" w:cs="Arabic Typesetting" w:hint="cs"/>
          <w:sz w:val="34"/>
          <w:szCs w:val="34"/>
          <w:rtl/>
          <w:lang w:val="fr-CH"/>
        </w:rPr>
        <w:t>بمكان أو طريقة</w:t>
      </w:r>
      <w:r w:rsidRPr="006D69DC">
        <w:rPr>
          <w:rFonts w:ascii="Arabic Typesetting" w:hAnsi="Arabic Typesetting" w:cs="Arabic Typesetting"/>
          <w:sz w:val="34"/>
          <w:szCs w:val="34"/>
          <w:rtl/>
          <w:lang w:val="fr-CH"/>
        </w:rPr>
        <w:t xml:space="preserve"> </w:t>
      </w:r>
      <w:r w:rsidRPr="006D69DC">
        <w:rPr>
          <w:rFonts w:ascii="Arabic Typesetting" w:hAnsi="Arabic Typesetting" w:cs="Arabic Typesetting" w:hint="cs"/>
          <w:sz w:val="34"/>
          <w:szCs w:val="34"/>
          <w:rtl/>
          <w:lang w:val="fr-CH"/>
        </w:rPr>
        <w:t>تطور تلك</w:t>
      </w:r>
      <w:r w:rsidR="001814D1">
        <w:rPr>
          <w:rFonts w:ascii="Arabic Typesetting" w:hAnsi="Arabic Typesetting" w:cs="Arabic Typesetting" w:hint="eastAsia"/>
          <w:sz w:val="34"/>
          <w:szCs w:val="34"/>
          <w:rtl/>
          <w:lang w:val="fr-CH"/>
        </w:rPr>
        <w:t> </w:t>
      </w:r>
      <w:r w:rsidRPr="006D69DC">
        <w:rPr>
          <w:rFonts w:ascii="Arabic Typesetting" w:hAnsi="Arabic Typesetting" w:cs="Arabic Typesetting"/>
          <w:sz w:val="34"/>
          <w:szCs w:val="34"/>
          <w:rtl/>
          <w:lang w:val="fr-CH"/>
        </w:rPr>
        <w:t xml:space="preserve">التكنولوجيا. ولذلك لم </w:t>
      </w:r>
      <w:r w:rsidR="001814D1">
        <w:rPr>
          <w:rFonts w:ascii="Arabic Typesetting" w:hAnsi="Arabic Typesetting" w:cs="Arabic Typesetting" w:hint="cs"/>
          <w:sz w:val="34"/>
          <w:szCs w:val="34"/>
          <w:rtl/>
          <w:lang w:val="fr-CH"/>
        </w:rPr>
        <w:t>يُدرج</w:t>
      </w:r>
      <w:r w:rsidRPr="006D69DC">
        <w:rPr>
          <w:rFonts w:ascii="Arabic Typesetting" w:hAnsi="Arabic Typesetting" w:cs="Arabic Typesetting"/>
          <w:sz w:val="34"/>
          <w:szCs w:val="34"/>
          <w:rtl/>
          <w:lang w:val="fr-CH"/>
        </w:rPr>
        <w:t xml:space="preserve"> هذا </w:t>
      </w:r>
      <w:r w:rsidR="001814D1">
        <w:rPr>
          <w:rFonts w:ascii="Arabic Typesetting" w:hAnsi="Arabic Typesetting" w:cs="Arabic Typesetting" w:hint="cs"/>
          <w:sz w:val="34"/>
          <w:szCs w:val="34"/>
          <w:rtl/>
          <w:lang w:val="fr-CH"/>
        </w:rPr>
        <w:t>العامل</w:t>
      </w:r>
      <w:r w:rsidRPr="006D69DC">
        <w:rPr>
          <w:rFonts w:ascii="Arabic Typesetting" w:hAnsi="Arabic Typesetting" w:cs="Arabic Typesetting"/>
          <w:sz w:val="34"/>
          <w:szCs w:val="34"/>
          <w:rtl/>
          <w:lang w:val="fr-CH"/>
        </w:rPr>
        <w:t xml:space="preserve"> </w:t>
      </w:r>
      <w:r w:rsidR="001814D1">
        <w:rPr>
          <w:rFonts w:ascii="Arabic Typesetting" w:hAnsi="Arabic Typesetting" w:cs="Arabic Typesetting" w:hint="cs"/>
          <w:sz w:val="34"/>
          <w:szCs w:val="34"/>
          <w:rtl/>
          <w:lang w:val="fr-CH"/>
        </w:rPr>
        <w:t>في</w:t>
      </w:r>
      <w:r w:rsidRPr="006D69DC">
        <w:rPr>
          <w:rFonts w:ascii="Arabic Typesetting" w:hAnsi="Arabic Typesetting" w:cs="Arabic Typesetting"/>
          <w:sz w:val="34"/>
          <w:szCs w:val="34"/>
          <w:rtl/>
          <w:lang w:val="fr-CH"/>
        </w:rPr>
        <w:t xml:space="preserve"> نطاق </w:t>
      </w:r>
      <w:r w:rsidR="001814D1">
        <w:rPr>
          <w:rFonts w:ascii="Arabic Typesetting" w:hAnsi="Arabic Typesetting" w:cs="Arabic Typesetting"/>
          <w:sz w:val="34"/>
          <w:szCs w:val="34"/>
          <w:rtl/>
          <w:lang w:val="fr-CH"/>
        </w:rPr>
        <w:t>المشرو</w:t>
      </w:r>
      <w:r w:rsidR="001814D1">
        <w:rPr>
          <w:rFonts w:ascii="Arabic Typesetting" w:hAnsi="Arabic Typesetting" w:cs="Arabic Typesetting" w:hint="cs"/>
          <w:sz w:val="34"/>
          <w:szCs w:val="34"/>
          <w:rtl/>
          <w:lang w:val="fr-CH"/>
        </w:rPr>
        <w:t>ع.</w:t>
      </w:r>
    </w:p>
    <w:p w:rsidR="006D69DC" w:rsidRPr="006D69DC" w:rsidRDefault="006D69DC" w:rsidP="006D69DC">
      <w:pPr>
        <w:keepNext/>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lastRenderedPageBreak/>
        <w:t xml:space="preserve">استعراض التقدم المحرز في </w:t>
      </w:r>
      <w:r w:rsidRPr="006D69DC">
        <w:rPr>
          <w:rFonts w:ascii="Arabic Typesetting" w:hAnsi="Arabic Typesetting" w:cs="Arabic Typesetting" w:hint="cs"/>
          <w:sz w:val="34"/>
          <w:szCs w:val="34"/>
          <w:rtl/>
          <w:lang w:val="fr-CH"/>
        </w:rPr>
        <w:t>2015</w:t>
      </w:r>
      <w:r w:rsidRPr="006D69DC">
        <w:rPr>
          <w:rFonts w:ascii="Arabic Typesetting" w:hAnsi="Arabic Typesetting" w:cs="Arabic Typesetting"/>
          <w:sz w:val="34"/>
          <w:szCs w:val="34"/>
          <w:rtl/>
          <w:lang w:val="fr-CH"/>
        </w:rPr>
        <w:t xml:space="preserve"> (المعالم الرئيسية</w:t>
      </w:r>
      <w:r w:rsidRPr="006D69DC">
        <w:rPr>
          <w:rFonts w:ascii="Arabic Typesetting" w:hAnsi="Arabic Typesetting" w:cs="Arabic Typesetting" w:hint="cs"/>
          <w:sz w:val="34"/>
          <w:szCs w:val="34"/>
          <w:rtl/>
          <w:lang w:val="fr-CH"/>
        </w:rPr>
        <w:t>)</w:t>
      </w:r>
    </w:p>
    <w:p w:rsidR="006D69DC" w:rsidRPr="006D69DC" w:rsidRDefault="006D69DC" w:rsidP="0099688F">
      <w:pPr>
        <w:keepLines/>
        <w:numPr>
          <w:ilvl w:val="0"/>
          <w:numId w:val="64"/>
        </w:numPr>
        <w:bidi/>
        <w:spacing w:after="120" w:line="340" w:lineRule="exact"/>
        <w:rPr>
          <w:rFonts w:ascii="Arabic Typesetting" w:hAnsi="Arabic Typesetting" w:cs="Arabic Typesetting"/>
          <w:sz w:val="34"/>
          <w:szCs w:val="34"/>
          <w:lang w:val="fr-CH"/>
        </w:rPr>
      </w:pPr>
      <w:r w:rsidRPr="006D69DC">
        <w:rPr>
          <w:rFonts w:ascii="Arabic Typesetting" w:hAnsi="Arabic Typesetting" w:cs="Arabic Typesetting" w:hint="cs"/>
          <w:sz w:val="34"/>
          <w:szCs w:val="34"/>
          <w:rtl/>
          <w:lang w:val="fr-CH"/>
        </w:rPr>
        <w:t xml:space="preserve">لم يُحرز سوى تقدم محدود في هذا المشروع </w:t>
      </w:r>
      <w:r w:rsidR="001814D1">
        <w:rPr>
          <w:rFonts w:ascii="Arabic Typesetting" w:hAnsi="Arabic Typesetting" w:cs="Arabic Typesetting" w:hint="cs"/>
          <w:sz w:val="34"/>
          <w:szCs w:val="34"/>
          <w:rtl/>
          <w:lang w:val="fr-CH"/>
        </w:rPr>
        <w:t>خلال</w:t>
      </w:r>
      <w:r w:rsidRPr="006D69DC">
        <w:rPr>
          <w:rFonts w:ascii="Arabic Typesetting" w:hAnsi="Arabic Typesetting" w:cs="Arabic Typesetting" w:hint="cs"/>
          <w:sz w:val="34"/>
          <w:szCs w:val="34"/>
          <w:rtl/>
          <w:lang w:val="fr-CH"/>
        </w:rPr>
        <w:t xml:space="preserve"> عام</w:t>
      </w:r>
      <w:r w:rsidRPr="006D69DC">
        <w:rPr>
          <w:rFonts w:ascii="Arabic Typesetting" w:hAnsi="Arabic Typesetting" w:cs="Arabic Typesetting" w:hint="eastAsia"/>
          <w:sz w:val="34"/>
          <w:szCs w:val="34"/>
          <w:rtl/>
          <w:lang w:val="fr-CH"/>
        </w:rPr>
        <w:t> </w:t>
      </w:r>
      <w:r w:rsidRPr="006D69DC">
        <w:rPr>
          <w:rFonts w:ascii="Arabic Typesetting" w:hAnsi="Arabic Typesetting" w:cs="Arabic Typesetting" w:hint="cs"/>
          <w:sz w:val="34"/>
          <w:szCs w:val="34"/>
          <w:rtl/>
          <w:lang w:val="fr-CH"/>
        </w:rPr>
        <w:t xml:space="preserve">2015 بسبب المتطلبات التشغيلية المحدّدة ضمن قسم أمن المعلومات، فضلا عن إنشاء شعبة منفصلة </w:t>
      </w:r>
      <w:r w:rsidR="000D26DC" w:rsidRPr="006D69DC">
        <w:rPr>
          <w:rFonts w:ascii="Arabic Typesetting" w:hAnsi="Arabic Typesetting" w:cs="Arabic Typesetting" w:hint="cs"/>
          <w:sz w:val="34"/>
          <w:szCs w:val="34"/>
          <w:rtl/>
          <w:lang w:val="fr-CH"/>
        </w:rPr>
        <w:t>في فبراير</w:t>
      </w:r>
      <w:r w:rsidR="000D26DC" w:rsidRPr="006D69DC">
        <w:rPr>
          <w:rFonts w:ascii="Arabic Typesetting" w:hAnsi="Arabic Typesetting" w:cs="Arabic Typesetting" w:hint="eastAsia"/>
          <w:sz w:val="34"/>
          <w:szCs w:val="34"/>
          <w:rtl/>
          <w:lang w:val="fr-CH"/>
        </w:rPr>
        <w:t> </w:t>
      </w:r>
      <w:r w:rsidR="000D26DC" w:rsidRPr="006D69DC">
        <w:rPr>
          <w:rFonts w:ascii="Arabic Typesetting" w:hAnsi="Arabic Typesetting" w:cs="Arabic Typesetting" w:hint="cs"/>
          <w:sz w:val="34"/>
          <w:szCs w:val="34"/>
          <w:rtl/>
          <w:lang w:val="fr-CH"/>
        </w:rPr>
        <w:t>2015</w:t>
      </w:r>
      <w:r w:rsidR="000D26DC">
        <w:rPr>
          <w:rFonts w:ascii="Arabic Typesetting" w:hAnsi="Arabic Typesetting" w:cs="Arabic Typesetting" w:hint="cs"/>
          <w:sz w:val="34"/>
          <w:szCs w:val="34"/>
          <w:rtl/>
          <w:lang w:val="fr-CH"/>
        </w:rPr>
        <w:t xml:space="preserve"> هي شعبة أمن</w:t>
      </w:r>
      <w:r w:rsidRPr="006D69DC">
        <w:rPr>
          <w:rFonts w:ascii="Arabic Typesetting" w:hAnsi="Arabic Typesetting" w:cs="Arabic Typesetting" w:hint="cs"/>
          <w:sz w:val="34"/>
          <w:szCs w:val="34"/>
          <w:rtl/>
          <w:lang w:val="fr-CH"/>
        </w:rPr>
        <w:t xml:space="preserve"> المعلومات و</w:t>
      </w:r>
      <w:r w:rsidR="000D26DC">
        <w:rPr>
          <w:rFonts w:ascii="Arabic Typesetting" w:hAnsi="Arabic Typesetting" w:cs="Arabic Typesetting" w:hint="cs"/>
          <w:sz w:val="34"/>
          <w:szCs w:val="34"/>
          <w:rtl/>
          <w:lang w:val="fr-CH"/>
        </w:rPr>
        <w:t>تأمينها</w:t>
      </w:r>
      <w:r w:rsidRPr="006D69DC">
        <w:rPr>
          <w:rFonts w:ascii="Arabic Typesetting" w:hAnsi="Arabic Typesetting" w:cs="Arabic Typesetting" w:hint="cs"/>
          <w:sz w:val="34"/>
          <w:szCs w:val="34"/>
          <w:rtl/>
          <w:lang w:val="fr-CH"/>
        </w:rPr>
        <w:t>. وبقيادة المسؤول الأمني الرئيسي الذي أنشئ منصبه حديثا</w:t>
      </w:r>
      <w:r w:rsidR="000D26DC">
        <w:rPr>
          <w:rFonts w:ascii="Arabic Typesetting" w:hAnsi="Arabic Typesetting" w:cs="Arabic Typesetting" w:hint="cs"/>
          <w:sz w:val="34"/>
          <w:szCs w:val="34"/>
          <w:rtl/>
          <w:lang w:val="fr-CH"/>
        </w:rPr>
        <w:t>،</w:t>
      </w:r>
      <w:r w:rsidRPr="006D69DC">
        <w:rPr>
          <w:rFonts w:ascii="Arabic Typesetting" w:hAnsi="Arabic Typesetting" w:cs="Arabic Typesetting" w:hint="cs"/>
          <w:sz w:val="34"/>
          <w:szCs w:val="34"/>
          <w:rtl/>
          <w:lang w:val="fr-CH"/>
        </w:rPr>
        <w:t xml:space="preserve"> أطلِقت في منتصف عام</w:t>
      </w:r>
      <w:r w:rsidRPr="006D69DC">
        <w:rPr>
          <w:rFonts w:ascii="Arabic Typesetting" w:hAnsi="Arabic Typesetting" w:cs="Arabic Typesetting" w:hint="eastAsia"/>
          <w:sz w:val="34"/>
          <w:szCs w:val="34"/>
          <w:rtl/>
          <w:lang w:val="fr-CH"/>
        </w:rPr>
        <w:t> </w:t>
      </w:r>
      <w:r w:rsidR="000D26DC">
        <w:rPr>
          <w:rFonts w:ascii="Arabic Typesetting" w:hAnsi="Arabic Typesetting" w:cs="Arabic Typesetting" w:hint="cs"/>
          <w:sz w:val="34"/>
          <w:szCs w:val="34"/>
          <w:rtl/>
          <w:lang w:val="fr-CH"/>
        </w:rPr>
        <w:t>2015 عملية اختي</w:t>
      </w:r>
      <w:r w:rsidRPr="006D69DC">
        <w:rPr>
          <w:rFonts w:ascii="Arabic Typesetting" w:hAnsi="Arabic Typesetting" w:cs="Arabic Typesetting" w:hint="cs"/>
          <w:sz w:val="34"/>
          <w:szCs w:val="34"/>
          <w:rtl/>
          <w:lang w:val="fr-CH"/>
        </w:rPr>
        <w:t xml:space="preserve">ار خبير مستقل لتقييم </w:t>
      </w:r>
      <w:r w:rsidR="000D26DC">
        <w:rPr>
          <w:rFonts w:ascii="Arabic Typesetting" w:hAnsi="Arabic Typesetting" w:cs="Arabic Typesetting" w:hint="cs"/>
          <w:sz w:val="34"/>
          <w:szCs w:val="34"/>
          <w:rtl/>
          <w:lang w:val="fr-CH"/>
        </w:rPr>
        <w:t>ا</w:t>
      </w:r>
      <w:r w:rsidRPr="006D69DC">
        <w:rPr>
          <w:rFonts w:ascii="Arabic Typesetting" w:hAnsi="Arabic Typesetting" w:cs="Arabic Typesetting" w:hint="cs"/>
          <w:sz w:val="34"/>
          <w:szCs w:val="34"/>
          <w:rtl/>
          <w:lang w:val="fr-CH"/>
        </w:rPr>
        <w:t xml:space="preserve">لوضع </w:t>
      </w:r>
      <w:r w:rsidR="000D26DC">
        <w:rPr>
          <w:rFonts w:ascii="Arabic Typesetting" w:hAnsi="Arabic Typesetting" w:cs="Arabic Typesetting" w:hint="cs"/>
          <w:sz w:val="34"/>
          <w:szCs w:val="34"/>
          <w:rtl/>
          <w:lang w:val="fr-CH"/>
        </w:rPr>
        <w:t>الحالي ل</w:t>
      </w:r>
      <w:r w:rsidRPr="006D69DC">
        <w:rPr>
          <w:rFonts w:ascii="Arabic Typesetting" w:hAnsi="Arabic Typesetting" w:cs="Arabic Typesetting" w:hint="cs"/>
          <w:sz w:val="34"/>
          <w:szCs w:val="34"/>
          <w:rtl/>
          <w:lang w:val="fr-CH"/>
        </w:rPr>
        <w:t>تشفير البيانات وإدارة المستخدمي</w:t>
      </w:r>
      <w:r w:rsidR="000D26DC">
        <w:rPr>
          <w:rFonts w:ascii="Arabic Typesetting" w:hAnsi="Arabic Typesetting" w:cs="Arabic Typesetting" w:hint="cs"/>
          <w:sz w:val="34"/>
          <w:szCs w:val="34"/>
          <w:rtl/>
          <w:lang w:val="fr-CH"/>
        </w:rPr>
        <w:t>ن (إدارة الهوية والنفاذ)، وتقديم</w:t>
      </w:r>
      <w:r w:rsidRPr="006D69DC">
        <w:rPr>
          <w:rFonts w:ascii="Arabic Typesetting" w:hAnsi="Arabic Typesetting" w:cs="Arabic Typesetting" w:hint="cs"/>
          <w:sz w:val="34"/>
          <w:szCs w:val="34"/>
          <w:rtl/>
          <w:lang w:val="fr-CH"/>
        </w:rPr>
        <w:t xml:space="preserve"> حل هيكلي مرجعي، </w:t>
      </w:r>
      <w:r w:rsidR="000D26DC">
        <w:rPr>
          <w:rFonts w:ascii="Arabic Typesetting" w:hAnsi="Arabic Typesetting" w:cs="Arabic Typesetting" w:hint="cs"/>
          <w:sz w:val="34"/>
          <w:szCs w:val="34"/>
          <w:rtl/>
          <w:lang w:val="fr-CH"/>
        </w:rPr>
        <w:t>فضلاً عن</w:t>
      </w:r>
      <w:r w:rsidRPr="006D69DC">
        <w:rPr>
          <w:rFonts w:ascii="Arabic Typesetting" w:hAnsi="Arabic Typesetting" w:cs="Arabic Typesetting" w:hint="cs"/>
          <w:sz w:val="34"/>
          <w:szCs w:val="34"/>
          <w:rtl/>
          <w:lang w:val="fr-CH"/>
        </w:rPr>
        <w:t xml:space="preserve"> خ</w:t>
      </w:r>
      <w:r w:rsidR="000D26DC">
        <w:rPr>
          <w:rFonts w:ascii="Arabic Typesetting" w:hAnsi="Arabic Typesetting" w:cs="Arabic Typesetting" w:hint="cs"/>
          <w:sz w:val="34"/>
          <w:szCs w:val="34"/>
          <w:rtl/>
          <w:lang w:val="fr-CH"/>
        </w:rPr>
        <w:t>ا</w:t>
      </w:r>
      <w:r w:rsidRPr="006D69DC">
        <w:rPr>
          <w:rFonts w:ascii="Arabic Typesetting" w:hAnsi="Arabic Typesetting" w:cs="Arabic Typesetting" w:hint="cs"/>
          <w:sz w:val="34"/>
          <w:szCs w:val="34"/>
          <w:rtl/>
          <w:lang w:val="fr-CH"/>
        </w:rPr>
        <w:t>رطة طريق لتنفيذ الحلول العملية والتقنية. وبدأ</w:t>
      </w:r>
      <w:r w:rsidR="000D26DC">
        <w:rPr>
          <w:rFonts w:ascii="Arabic Typesetting" w:hAnsi="Arabic Typesetting" w:cs="Arabic Typesetting" w:hint="cs"/>
          <w:sz w:val="34"/>
          <w:szCs w:val="34"/>
          <w:rtl/>
          <w:lang w:val="fr-CH"/>
        </w:rPr>
        <w:t>ت عملية</w:t>
      </w:r>
      <w:r w:rsidRPr="006D69DC">
        <w:rPr>
          <w:rFonts w:ascii="Arabic Typesetting" w:hAnsi="Arabic Typesetting" w:cs="Arabic Typesetting" w:hint="cs"/>
          <w:sz w:val="34"/>
          <w:szCs w:val="34"/>
          <w:rtl/>
          <w:lang w:val="fr-CH"/>
        </w:rPr>
        <w:t xml:space="preserve"> التقييم في نوفمبر</w:t>
      </w:r>
      <w:r w:rsidRPr="006D69DC">
        <w:rPr>
          <w:rFonts w:ascii="Arabic Typesetting" w:hAnsi="Arabic Typesetting" w:cs="Arabic Typesetting" w:hint="eastAsia"/>
          <w:sz w:val="34"/>
          <w:szCs w:val="34"/>
          <w:rtl/>
          <w:lang w:val="fr-CH"/>
        </w:rPr>
        <w:t> </w:t>
      </w:r>
      <w:r w:rsidRPr="006D69DC">
        <w:rPr>
          <w:rFonts w:ascii="Arabic Typesetting" w:hAnsi="Arabic Typesetting" w:cs="Arabic Typesetting" w:hint="cs"/>
          <w:sz w:val="34"/>
          <w:szCs w:val="34"/>
          <w:rtl/>
          <w:lang w:val="fr-CH"/>
        </w:rPr>
        <w:t>2015. ومن المتوقّع أن يُستكمل هذا المعلم الأول في منتصف عام</w:t>
      </w:r>
      <w:r w:rsidRPr="006D69DC">
        <w:rPr>
          <w:rFonts w:ascii="Arabic Typesetting" w:hAnsi="Arabic Typesetting" w:cs="Arabic Typesetting" w:hint="eastAsia"/>
          <w:sz w:val="34"/>
          <w:szCs w:val="34"/>
          <w:rtl/>
          <w:lang w:val="fr-CH"/>
        </w:rPr>
        <w:t> </w:t>
      </w:r>
      <w:r w:rsidRPr="006D69DC">
        <w:rPr>
          <w:rFonts w:ascii="Arabic Typesetting" w:hAnsi="Arabic Typesetting" w:cs="Arabic Typesetting" w:hint="cs"/>
          <w:sz w:val="34"/>
          <w:szCs w:val="34"/>
          <w:rtl/>
          <w:lang w:val="fr-CH"/>
        </w:rPr>
        <w:t xml:space="preserve">2016، ما سيتيح الأساس اللازم لتحديد </w:t>
      </w:r>
      <w:r w:rsidR="000D26DC">
        <w:rPr>
          <w:rFonts w:ascii="Arabic Typesetting" w:hAnsi="Arabic Typesetting" w:cs="Arabic Typesetting" w:hint="cs"/>
          <w:sz w:val="34"/>
          <w:szCs w:val="34"/>
          <w:rtl/>
          <w:lang w:val="fr-CH"/>
        </w:rPr>
        <w:t>سبل</w:t>
      </w:r>
      <w:r w:rsidRPr="006D69DC">
        <w:rPr>
          <w:rFonts w:ascii="Arabic Typesetting" w:hAnsi="Arabic Typesetting" w:cs="Arabic Typesetting" w:hint="cs"/>
          <w:sz w:val="34"/>
          <w:szCs w:val="34"/>
          <w:rtl/>
          <w:lang w:val="fr-CH"/>
        </w:rPr>
        <w:t xml:space="preserve"> تنفيذ المشروع بصورة أكثر تفصيلا.</w:t>
      </w:r>
    </w:p>
    <w:p w:rsidR="006D69DC" w:rsidRPr="006D69DC" w:rsidRDefault="006D69DC" w:rsidP="0099688F">
      <w:pPr>
        <w:numPr>
          <w:ilvl w:val="0"/>
          <w:numId w:val="64"/>
        </w:numPr>
        <w:bidi/>
        <w:spacing w:after="120" w:line="340" w:lineRule="exact"/>
        <w:rPr>
          <w:rFonts w:ascii="Arabic Typesetting" w:hAnsi="Arabic Typesetting" w:cs="Arabic Typesetting"/>
          <w:sz w:val="34"/>
          <w:szCs w:val="34"/>
          <w:lang w:val="fr-CH"/>
        </w:rPr>
      </w:pPr>
      <w:r w:rsidRPr="006D69DC">
        <w:rPr>
          <w:rFonts w:ascii="Arabic Typesetting" w:hAnsi="Arabic Typesetting" w:cs="Arabic Typesetting" w:hint="cs"/>
          <w:sz w:val="34"/>
          <w:szCs w:val="34"/>
          <w:rtl/>
          <w:lang w:val="fr-CH"/>
        </w:rPr>
        <w:t>وبالنظر إلى الشرط الإضافي الخاص بالعناية الواجبة</w:t>
      </w:r>
      <w:r w:rsidR="000D26DC">
        <w:rPr>
          <w:rFonts w:ascii="Arabic Typesetting" w:hAnsi="Arabic Typesetting" w:cs="Arabic Typesetting" w:hint="cs"/>
          <w:sz w:val="34"/>
          <w:szCs w:val="34"/>
          <w:rtl/>
          <w:lang w:val="fr-CH"/>
        </w:rPr>
        <w:t xml:space="preserve"> باختيار الخبير المستقبل</w:t>
      </w:r>
      <w:r w:rsidRPr="006D69DC">
        <w:rPr>
          <w:rFonts w:ascii="Arabic Typesetting" w:hAnsi="Arabic Typesetting" w:cs="Arabic Typesetting" w:hint="cs"/>
          <w:sz w:val="34"/>
          <w:szCs w:val="34"/>
          <w:rtl/>
          <w:lang w:val="fr-CH"/>
        </w:rPr>
        <w:t xml:space="preserve">، بما في ذلك إجراء الموافقة الصارم، استغرقت عملية الاختيار فترة أطول من المتوقّع مما أسفر عن تأخير في الجدول الزمني للمشروع. </w:t>
      </w:r>
      <w:r w:rsidR="000D26DC">
        <w:rPr>
          <w:rFonts w:ascii="Arabic Typesetting" w:hAnsi="Arabic Typesetting" w:cs="Arabic Typesetting" w:hint="cs"/>
          <w:sz w:val="34"/>
          <w:szCs w:val="34"/>
          <w:rtl/>
          <w:lang w:val="fr-CH"/>
        </w:rPr>
        <w:t>ومن ثم عدِّل</w:t>
      </w:r>
      <w:r w:rsidRPr="006D69DC">
        <w:rPr>
          <w:rFonts w:ascii="Arabic Typesetting" w:hAnsi="Arabic Typesetting" w:cs="Arabic Typesetting" w:hint="cs"/>
          <w:sz w:val="34"/>
          <w:szCs w:val="34"/>
          <w:rtl/>
          <w:lang w:val="fr-CH"/>
        </w:rPr>
        <w:t xml:space="preserve"> </w:t>
      </w:r>
      <w:r w:rsidR="000D26DC">
        <w:rPr>
          <w:rFonts w:ascii="Arabic Typesetting" w:hAnsi="Arabic Typesetting" w:cs="Arabic Typesetting" w:hint="cs"/>
          <w:sz w:val="34"/>
          <w:szCs w:val="34"/>
          <w:rtl/>
          <w:lang w:val="fr-CH"/>
        </w:rPr>
        <w:t xml:space="preserve">هذا </w:t>
      </w:r>
      <w:r w:rsidRPr="006D69DC">
        <w:rPr>
          <w:rFonts w:ascii="Arabic Typesetting" w:hAnsi="Arabic Typesetting" w:cs="Arabic Typesetting" w:hint="cs"/>
          <w:sz w:val="34"/>
          <w:szCs w:val="34"/>
          <w:rtl/>
          <w:lang w:val="fr-CH"/>
        </w:rPr>
        <w:t>الجدول الزمني</w:t>
      </w:r>
      <w:r w:rsidR="000D26DC">
        <w:rPr>
          <w:rFonts w:ascii="Arabic Typesetting" w:hAnsi="Arabic Typesetting" w:cs="Arabic Typesetting" w:hint="cs"/>
          <w:sz w:val="34"/>
          <w:szCs w:val="34"/>
          <w:rtl/>
          <w:lang w:val="fr-CH"/>
        </w:rPr>
        <w:t>.</w:t>
      </w:r>
    </w:p>
    <w:p w:rsidR="006D69DC" w:rsidRPr="006D69DC" w:rsidRDefault="006D69DC" w:rsidP="006D69DC">
      <w:pPr>
        <w:keepNext/>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hint="cs"/>
          <w:sz w:val="34"/>
          <w:szCs w:val="34"/>
          <w:rtl/>
          <w:lang w:val="fr-CH"/>
        </w:rPr>
        <w:t>تحقيق المنافع</w:t>
      </w:r>
    </w:p>
    <w:tbl>
      <w:tblPr>
        <w:bidiVisual/>
        <w:tblW w:w="3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69"/>
      </w:tblGrid>
      <w:tr w:rsidR="006D69DC" w:rsidRPr="006D69DC" w:rsidTr="001D7014">
        <w:trPr>
          <w:trHeight w:val="535"/>
          <w:tblHeader/>
          <w:jc w:val="center"/>
        </w:trPr>
        <w:tc>
          <w:tcPr>
            <w:tcW w:w="5000" w:type="pct"/>
            <w:shd w:val="clear" w:color="auto" w:fill="C6D9F1" w:themeFill="text2" w:themeFillTint="33"/>
            <w:vAlign w:val="center"/>
          </w:tcPr>
          <w:p w:rsidR="006D69DC" w:rsidRPr="006D69DC" w:rsidRDefault="006D69DC" w:rsidP="006D69DC">
            <w:pPr>
              <w:bidi/>
              <w:jc w:val="center"/>
              <w:rPr>
                <w:rFonts w:ascii="Arabic Typesetting" w:hAnsi="Arabic Typesetting" w:cs="Arabic Typesetting"/>
                <w:bCs/>
                <w:sz w:val="28"/>
                <w:szCs w:val="28"/>
              </w:rPr>
            </w:pPr>
            <w:r w:rsidRPr="006D69DC">
              <w:rPr>
                <w:rFonts w:ascii="Arabic Typesetting" w:hAnsi="Arabic Typesetting" w:cs="Arabic Typesetting" w:hint="cs"/>
                <w:bCs/>
                <w:sz w:val="28"/>
                <w:szCs w:val="28"/>
                <w:rtl/>
              </w:rPr>
              <w:t>المنافع المتوقعة 2017</w:t>
            </w:r>
          </w:p>
        </w:tc>
      </w:tr>
      <w:tr w:rsidR="006D69DC" w:rsidRPr="006D69DC" w:rsidTr="001D7014">
        <w:trPr>
          <w:trHeight w:val="564"/>
          <w:jc w:val="center"/>
        </w:trPr>
        <w:tc>
          <w:tcPr>
            <w:tcW w:w="5000" w:type="pct"/>
            <w:shd w:val="clear" w:color="auto" w:fill="auto"/>
          </w:tcPr>
          <w:p w:rsidR="006D69DC" w:rsidRPr="006D69DC" w:rsidRDefault="006D69DC" w:rsidP="000D26DC">
            <w:pPr>
              <w:bidi/>
              <w:spacing w:before="120" w:after="120"/>
              <w:rPr>
                <w:rFonts w:ascii="Arabic Typesetting" w:hAnsi="Arabic Typesetting" w:cs="Arabic Typesetting"/>
                <w:sz w:val="28"/>
                <w:szCs w:val="28"/>
              </w:rPr>
            </w:pPr>
            <w:r w:rsidRPr="006D69DC">
              <w:rPr>
                <w:rFonts w:ascii="Arabic Typesetting" w:hAnsi="Arabic Typesetting" w:cs="Arabic Typesetting" w:hint="cs"/>
                <w:sz w:val="28"/>
                <w:szCs w:val="28"/>
                <w:rtl/>
              </w:rPr>
              <w:t>سيسفر تنفيذ الحلول الهيكلية والعملية والتقنية الرامية إلى تعزيز إدارة الهوية والنفاذ وتشفير البيانات عن ما يلي:</w:t>
            </w:r>
          </w:p>
          <w:p w:rsidR="006D69DC" w:rsidRPr="006D69DC" w:rsidRDefault="006D69DC" w:rsidP="000D26DC">
            <w:pPr>
              <w:bidi/>
              <w:ind w:left="567" w:hanging="567"/>
              <w:rPr>
                <w:rFonts w:ascii="Arabic Typesetting" w:hAnsi="Arabic Typesetting" w:cs="Arabic Typesetting"/>
                <w:sz w:val="28"/>
                <w:szCs w:val="28"/>
                <w:rtl/>
              </w:rPr>
            </w:pPr>
            <w:r w:rsidRPr="006D69DC">
              <w:rPr>
                <w:rFonts w:ascii="Arabic Typesetting" w:hAnsi="Arabic Typesetting" w:cs="Arabic Typesetting" w:hint="cs"/>
                <w:sz w:val="28"/>
                <w:szCs w:val="28"/>
                <w:rtl/>
              </w:rPr>
              <w:t>"1"</w:t>
            </w:r>
            <w:r w:rsidRPr="006D69DC">
              <w:rPr>
                <w:rFonts w:ascii="Arabic Typesetting" w:hAnsi="Arabic Typesetting" w:cs="Arabic Typesetting"/>
                <w:sz w:val="28"/>
                <w:szCs w:val="28"/>
                <w:rtl/>
              </w:rPr>
              <w:tab/>
            </w:r>
            <w:r w:rsidRPr="006D69DC">
              <w:rPr>
                <w:rFonts w:ascii="Arabic Typesetting" w:hAnsi="Arabic Typesetting" w:cs="Arabic Typesetting" w:hint="cs"/>
                <w:sz w:val="28"/>
                <w:szCs w:val="28"/>
                <w:rtl/>
              </w:rPr>
              <w:t>توحيد الهيكل الأمني المرجعي الخاص بتشفير البيانات وإدارة الهوية والنفاذ على مستوى كل أنظمة الويبو وتطبيقاتها الحرجة؛</w:t>
            </w:r>
          </w:p>
          <w:p w:rsidR="006D69DC" w:rsidRPr="000D26DC" w:rsidRDefault="006D69DC" w:rsidP="000D26DC">
            <w:pPr>
              <w:bidi/>
              <w:spacing w:after="120"/>
              <w:ind w:left="567" w:hanging="567"/>
              <w:rPr>
                <w:rFonts w:ascii="Arabic Typesetting" w:hAnsi="Arabic Typesetting" w:cs="Arabic Typesetting"/>
                <w:sz w:val="28"/>
                <w:szCs w:val="28"/>
              </w:rPr>
            </w:pPr>
            <w:r w:rsidRPr="006D69DC">
              <w:rPr>
                <w:rFonts w:ascii="Arabic Typesetting" w:hAnsi="Arabic Typesetting" w:cs="Arabic Typesetting" w:hint="cs"/>
                <w:sz w:val="28"/>
                <w:szCs w:val="28"/>
                <w:rtl/>
              </w:rPr>
              <w:t>"2"</w:t>
            </w:r>
            <w:r w:rsidRPr="006D69DC">
              <w:rPr>
                <w:rFonts w:ascii="Arabic Typesetting" w:hAnsi="Arabic Typesetting" w:cs="Arabic Typesetting"/>
                <w:sz w:val="28"/>
                <w:szCs w:val="28"/>
                <w:rtl/>
              </w:rPr>
              <w:tab/>
            </w:r>
            <w:r w:rsidRPr="006D69DC">
              <w:rPr>
                <w:rFonts w:ascii="Arabic Typesetting" w:hAnsi="Arabic Typesetting" w:cs="Arabic Typesetting" w:hint="cs"/>
                <w:sz w:val="28"/>
                <w:szCs w:val="28"/>
                <w:rtl/>
              </w:rPr>
              <w:t>وتعزيز حماية أصول المعلومات الحساسة من النفاذ إليها و/أو الكشف عنها دون تصريح.</w:t>
            </w:r>
          </w:p>
        </w:tc>
      </w:tr>
    </w:tbl>
    <w:p w:rsidR="006D69DC" w:rsidRPr="006D69DC" w:rsidRDefault="006D69DC" w:rsidP="006D69DC">
      <w:pPr>
        <w:keepNext/>
        <w:bidi/>
        <w:spacing w:before="120"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استخدام الموارد</w:t>
      </w:r>
      <w:r w:rsidRPr="006D69DC">
        <w:rPr>
          <w:rFonts w:ascii="Arabic Typesetting" w:hAnsi="Arabic Typesetting" w:cs="Arabic Typesetting"/>
          <w:sz w:val="28"/>
          <w:szCs w:val="28"/>
          <w:vertAlign w:val="superscript"/>
          <w:rtl/>
          <w:lang w:val="fr-CH"/>
        </w:rPr>
        <w:footnoteReference w:id="171"/>
      </w:r>
    </w:p>
    <w:p w:rsidR="006D69DC" w:rsidRPr="006D69DC" w:rsidRDefault="006D69DC" w:rsidP="007A4FF9">
      <w:pPr>
        <w:keepNext/>
        <w:bidi/>
        <w:spacing w:line="340" w:lineRule="exact"/>
        <w:jc w:val="center"/>
        <w:rPr>
          <w:rFonts w:ascii="Arabic Typesetting" w:hAnsi="Arabic Typesetting" w:cs="Arabic Typesetting"/>
          <w:bCs/>
          <w:sz w:val="34"/>
          <w:szCs w:val="34"/>
          <w:rtl/>
          <w:lang w:val="fr-CH"/>
        </w:rPr>
      </w:pPr>
      <w:r w:rsidRPr="006D69DC">
        <w:rPr>
          <w:rFonts w:ascii="Arabic Typesetting" w:hAnsi="Arabic Typesetting" w:cs="Arabic Typesetting"/>
          <w:bCs/>
          <w:sz w:val="34"/>
          <w:szCs w:val="34"/>
          <w:rtl/>
          <w:lang w:val="fr-CH"/>
        </w:rPr>
        <w:t>استخدام ميزانية المشروع</w:t>
      </w:r>
    </w:p>
    <w:p w:rsidR="006D69DC" w:rsidRPr="006D69DC" w:rsidRDefault="006D69DC" w:rsidP="006D69DC">
      <w:pPr>
        <w:bidi/>
        <w:spacing w:after="120" w:line="340" w:lineRule="exact"/>
        <w:jc w:val="center"/>
        <w:rPr>
          <w:rFonts w:ascii="Arabic Typesetting" w:hAnsi="Arabic Typesetting" w:cs="Arabic Typesetting"/>
          <w:sz w:val="36"/>
          <w:szCs w:val="36"/>
          <w:rtl/>
          <w:lang w:val="fr-CH"/>
        </w:rPr>
      </w:pPr>
      <w:r w:rsidRPr="006D69DC">
        <w:rPr>
          <w:rFonts w:ascii="Arabic Typesetting" w:hAnsi="Arabic Typesetting" w:cs="Arabic Typesetting"/>
          <w:i/>
          <w:iCs/>
          <w:sz w:val="34"/>
          <w:szCs w:val="34"/>
          <w:rtl/>
          <w:lang w:val="fr-CH"/>
        </w:rPr>
        <w:t xml:space="preserve">(بالفرنك السويسري، في 31 ديسمبر </w:t>
      </w:r>
      <w:r w:rsidRPr="006D69DC">
        <w:rPr>
          <w:rFonts w:ascii="Arabic Typesetting" w:hAnsi="Arabic Typesetting" w:cs="Arabic Typesetting" w:hint="cs"/>
          <w:i/>
          <w:iCs/>
          <w:sz w:val="34"/>
          <w:szCs w:val="34"/>
          <w:rtl/>
          <w:lang w:val="fr-CH"/>
        </w:rPr>
        <w:t>2015</w:t>
      </w:r>
      <w:r w:rsidRPr="006D69DC">
        <w:rPr>
          <w:rFonts w:ascii="Arabic Typesetting" w:hAnsi="Arabic Typesetting" w:cs="Arabic Typesetting"/>
          <w:i/>
          <w:iCs/>
          <w:sz w:val="34"/>
          <w:szCs w:val="34"/>
          <w:rtl/>
          <w:lang w:val="fr-CH"/>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564"/>
        <w:gridCol w:w="1565"/>
        <w:gridCol w:w="1565"/>
        <w:gridCol w:w="1564"/>
      </w:tblGrid>
      <w:tr w:rsidR="006D69DC" w:rsidRPr="006D69DC" w:rsidTr="001D7014">
        <w:trPr>
          <w:trHeight w:val="410"/>
        </w:trPr>
        <w:tc>
          <w:tcPr>
            <w:tcW w:w="1598" w:type="pct"/>
            <w:shd w:val="clear" w:color="auto" w:fill="C6D9F1"/>
            <w:vAlign w:val="center"/>
          </w:tcPr>
          <w:p w:rsidR="006D69DC" w:rsidRPr="006D69DC" w:rsidRDefault="006D69DC" w:rsidP="006D69DC">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اسم المشروع</w:t>
            </w:r>
          </w:p>
        </w:tc>
        <w:tc>
          <w:tcPr>
            <w:tcW w:w="850" w:type="pct"/>
            <w:shd w:val="clear" w:color="auto" w:fill="C6D9F1"/>
            <w:vAlign w:val="center"/>
          </w:tcPr>
          <w:p w:rsidR="006D69DC" w:rsidRPr="006D69DC" w:rsidRDefault="006D69DC" w:rsidP="006D69DC">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ميزانية المشروع</w:t>
            </w:r>
          </w:p>
        </w:tc>
        <w:tc>
          <w:tcPr>
            <w:tcW w:w="851" w:type="pct"/>
            <w:shd w:val="clear" w:color="auto" w:fill="C6D9F1"/>
            <w:vAlign w:val="center"/>
          </w:tcPr>
          <w:p w:rsidR="006D69DC" w:rsidRPr="006D69DC" w:rsidRDefault="006D69DC" w:rsidP="006D69DC">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النفقات الفعلية حتى تاريخه</w:t>
            </w:r>
          </w:p>
        </w:tc>
        <w:tc>
          <w:tcPr>
            <w:tcW w:w="851"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c>
          <w:tcPr>
            <w:tcW w:w="850"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معدل التقدم المحرز في تنفيذ المشروع</w:t>
            </w:r>
          </w:p>
        </w:tc>
      </w:tr>
      <w:tr w:rsidR="000D26DC" w:rsidRPr="006D69DC" w:rsidTr="001D7014">
        <w:trPr>
          <w:trHeight w:val="389"/>
        </w:trPr>
        <w:tc>
          <w:tcPr>
            <w:tcW w:w="1598" w:type="pct"/>
            <w:vAlign w:val="center"/>
          </w:tcPr>
          <w:p w:rsidR="000D26DC" w:rsidRPr="006D69DC" w:rsidRDefault="000D26DC" w:rsidP="000D26DC">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تعزيز الأمن:</w:t>
            </w:r>
            <w:r w:rsidRPr="006D69DC">
              <w:rPr>
                <w:rFonts w:ascii="Arabic Typesetting" w:hAnsi="Arabic Typesetting" w:cs="Arabic Typesetting"/>
                <w:sz w:val="28"/>
                <w:szCs w:val="28"/>
              </w:rPr>
              <w:t xml:space="preserve"> </w:t>
            </w:r>
            <w:r w:rsidRPr="006D69DC">
              <w:rPr>
                <w:rFonts w:ascii="Arabic Typesetting" w:hAnsi="Arabic Typesetting" w:cs="Arabic Typesetting"/>
                <w:sz w:val="28"/>
                <w:szCs w:val="28"/>
                <w:rtl/>
                <w:lang w:bidi="ar-EG"/>
              </w:rPr>
              <w:t>تشفير البيانات وإدارة المستخدمين</w:t>
            </w:r>
          </w:p>
        </w:tc>
        <w:tc>
          <w:tcPr>
            <w:tcW w:w="850" w:type="pct"/>
            <w:vAlign w:val="center"/>
          </w:tcPr>
          <w:p w:rsidR="000D26DC" w:rsidRPr="00630FBE" w:rsidRDefault="000D26DC" w:rsidP="000D26DC">
            <w:pPr>
              <w:keepNext/>
              <w:keepLines/>
              <w:autoSpaceDE w:val="0"/>
              <w:autoSpaceDN w:val="0"/>
              <w:adjustRightInd w:val="0"/>
              <w:spacing w:before="40" w:after="40"/>
              <w:jc w:val="center"/>
              <w:rPr>
                <w:sz w:val="16"/>
                <w:szCs w:val="16"/>
              </w:rPr>
            </w:pPr>
            <w:r>
              <w:rPr>
                <w:sz w:val="16"/>
                <w:szCs w:val="16"/>
              </w:rPr>
              <w:t>700,000</w:t>
            </w:r>
          </w:p>
        </w:tc>
        <w:tc>
          <w:tcPr>
            <w:tcW w:w="851" w:type="pct"/>
            <w:vAlign w:val="center"/>
          </w:tcPr>
          <w:p w:rsidR="000D26DC" w:rsidRPr="00630FBE" w:rsidRDefault="000D26DC" w:rsidP="000D26DC">
            <w:pPr>
              <w:keepNext/>
              <w:keepLines/>
              <w:autoSpaceDE w:val="0"/>
              <w:autoSpaceDN w:val="0"/>
              <w:adjustRightInd w:val="0"/>
              <w:spacing w:before="40" w:after="40"/>
              <w:jc w:val="center"/>
              <w:rPr>
                <w:sz w:val="16"/>
                <w:szCs w:val="16"/>
              </w:rPr>
            </w:pPr>
            <w:r>
              <w:rPr>
                <w:sz w:val="16"/>
                <w:szCs w:val="16"/>
              </w:rPr>
              <w:t>0</w:t>
            </w:r>
          </w:p>
        </w:tc>
        <w:tc>
          <w:tcPr>
            <w:tcW w:w="851" w:type="pct"/>
            <w:vAlign w:val="center"/>
          </w:tcPr>
          <w:p w:rsidR="000D26DC" w:rsidRPr="00630FBE" w:rsidRDefault="000D26DC" w:rsidP="000D26DC">
            <w:pPr>
              <w:keepNext/>
              <w:keepLines/>
              <w:autoSpaceDE w:val="0"/>
              <w:autoSpaceDN w:val="0"/>
              <w:adjustRightInd w:val="0"/>
              <w:spacing w:before="40" w:after="40"/>
              <w:jc w:val="center"/>
              <w:rPr>
                <w:sz w:val="16"/>
                <w:szCs w:val="16"/>
              </w:rPr>
            </w:pPr>
            <w:r>
              <w:rPr>
                <w:sz w:val="16"/>
                <w:szCs w:val="16"/>
              </w:rPr>
              <w:t>0%</w:t>
            </w:r>
          </w:p>
        </w:tc>
        <w:tc>
          <w:tcPr>
            <w:tcW w:w="850" w:type="pct"/>
            <w:vAlign w:val="center"/>
          </w:tcPr>
          <w:p w:rsidR="000D26DC" w:rsidRPr="00630FBE" w:rsidRDefault="000D26DC" w:rsidP="000D26DC">
            <w:pPr>
              <w:keepNext/>
              <w:keepLines/>
              <w:autoSpaceDE w:val="0"/>
              <w:autoSpaceDN w:val="0"/>
              <w:adjustRightInd w:val="0"/>
              <w:spacing w:before="40" w:after="40"/>
              <w:jc w:val="center"/>
              <w:rPr>
                <w:sz w:val="16"/>
                <w:szCs w:val="16"/>
              </w:rPr>
            </w:pPr>
            <w:r>
              <w:rPr>
                <w:sz w:val="16"/>
                <w:szCs w:val="16"/>
              </w:rPr>
              <w:t>15%</w:t>
            </w:r>
          </w:p>
        </w:tc>
      </w:tr>
    </w:tbl>
    <w:p w:rsidR="006D69DC" w:rsidRPr="006D69DC" w:rsidRDefault="006D69DC" w:rsidP="007A4FF9">
      <w:pPr>
        <w:keepNext/>
        <w:bidi/>
        <w:spacing w:before="120" w:line="340" w:lineRule="exact"/>
        <w:jc w:val="center"/>
        <w:rPr>
          <w:rFonts w:ascii="Arabic Typesetting" w:hAnsi="Arabic Typesetting" w:cs="Arabic Typesetting"/>
          <w:bCs/>
          <w:sz w:val="34"/>
          <w:szCs w:val="34"/>
          <w:rtl/>
          <w:lang w:val="fr-CH"/>
        </w:rPr>
      </w:pPr>
      <w:r w:rsidRPr="006D69DC">
        <w:rPr>
          <w:rFonts w:ascii="Arabic Typesetting" w:hAnsi="Arabic Typesetting" w:cs="Arabic Typesetting"/>
          <w:bCs/>
          <w:sz w:val="34"/>
          <w:szCs w:val="34"/>
          <w:rtl/>
          <w:lang w:val="fr-CH"/>
        </w:rPr>
        <w:t>استخدام ميزانية المشروع (حسب المعالم)</w:t>
      </w:r>
    </w:p>
    <w:p w:rsidR="006D69DC" w:rsidRPr="006D69DC" w:rsidRDefault="006D69DC" w:rsidP="006D69DC">
      <w:pPr>
        <w:bidi/>
        <w:spacing w:after="120" w:line="340" w:lineRule="exact"/>
        <w:jc w:val="center"/>
        <w:rPr>
          <w:rFonts w:ascii="Arabic Typesetting" w:hAnsi="Arabic Typesetting" w:cs="Arabic Typesetting"/>
          <w:i/>
          <w:iCs/>
          <w:sz w:val="34"/>
          <w:szCs w:val="34"/>
          <w:lang w:val="fr-CH"/>
        </w:rPr>
      </w:pPr>
      <w:r w:rsidRPr="006D69DC">
        <w:rPr>
          <w:rFonts w:ascii="Arabic Typesetting" w:hAnsi="Arabic Typesetting" w:cs="Arabic Typesetting"/>
          <w:i/>
          <w:iCs/>
          <w:sz w:val="34"/>
          <w:szCs w:val="34"/>
          <w:rtl/>
          <w:lang w:val="fr-CH"/>
        </w:rPr>
        <w:t xml:space="preserve">(بالفرنك السويسري، في 31 ديسمبر </w:t>
      </w:r>
      <w:r w:rsidRPr="006D69DC">
        <w:rPr>
          <w:rFonts w:ascii="Arabic Typesetting" w:hAnsi="Arabic Typesetting" w:cs="Arabic Typesetting" w:hint="cs"/>
          <w:i/>
          <w:iCs/>
          <w:sz w:val="34"/>
          <w:szCs w:val="34"/>
          <w:rtl/>
          <w:lang w:val="fr-CH"/>
        </w:rPr>
        <w:t>2015</w:t>
      </w:r>
      <w:r w:rsidRPr="006D69DC">
        <w:rPr>
          <w:rFonts w:ascii="Arabic Typesetting" w:hAnsi="Arabic Typesetting" w:cs="Arabic Typesetting"/>
          <w:i/>
          <w:iCs/>
          <w:sz w:val="34"/>
          <w:szCs w:val="34"/>
          <w:rtl/>
          <w:lang w:val="fr-CH"/>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8"/>
        <w:gridCol w:w="1575"/>
        <w:gridCol w:w="1575"/>
        <w:gridCol w:w="1575"/>
        <w:gridCol w:w="1575"/>
      </w:tblGrid>
      <w:tr w:rsidR="006D69DC" w:rsidRPr="006D69DC" w:rsidTr="001D7014">
        <w:trPr>
          <w:trHeight w:val="410"/>
        </w:trPr>
        <w:tc>
          <w:tcPr>
            <w:tcW w:w="1575" w:type="pct"/>
            <w:shd w:val="clear" w:color="auto" w:fill="C6D9F1"/>
            <w:vAlign w:val="center"/>
          </w:tcPr>
          <w:p w:rsidR="006D69DC" w:rsidRPr="006D69DC" w:rsidRDefault="006D69DC" w:rsidP="006D69DC">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المعالم الرئيسية</w:t>
            </w:r>
          </w:p>
        </w:tc>
        <w:tc>
          <w:tcPr>
            <w:tcW w:w="856" w:type="pct"/>
            <w:shd w:val="clear" w:color="auto" w:fill="C6D9F1"/>
            <w:vAlign w:val="center"/>
          </w:tcPr>
          <w:p w:rsidR="006D69DC" w:rsidRPr="006D69DC" w:rsidRDefault="006D69DC" w:rsidP="006D69DC">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ميزانية المشروع</w:t>
            </w:r>
          </w:p>
        </w:tc>
        <w:tc>
          <w:tcPr>
            <w:tcW w:w="856" w:type="pct"/>
            <w:shd w:val="clear" w:color="auto" w:fill="C6D9F1"/>
            <w:vAlign w:val="center"/>
          </w:tcPr>
          <w:p w:rsidR="006D69DC" w:rsidRPr="006D69DC" w:rsidRDefault="00495D3F" w:rsidP="006D69DC">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Pr>
                <w:rFonts w:ascii="Arabic Typesetting" w:hAnsi="Arabic Typesetting" w:cs="Arabic Typesetting"/>
                <w:bCs/>
                <w:sz w:val="28"/>
                <w:szCs w:val="28"/>
                <w:rtl/>
                <w:lang w:bidi="ar-EG"/>
              </w:rPr>
              <w:t>النفقات الفعلية حتى تاريخ</w:t>
            </w:r>
            <w:r>
              <w:rPr>
                <w:rFonts w:ascii="Arabic Typesetting" w:hAnsi="Arabic Typesetting" w:cs="Arabic Typesetting" w:hint="cs"/>
                <w:bCs/>
                <w:sz w:val="28"/>
                <w:szCs w:val="28"/>
                <w:rtl/>
                <w:lang w:bidi="ar-EG"/>
              </w:rPr>
              <w:t>ه</w:t>
            </w:r>
          </w:p>
        </w:tc>
        <w:tc>
          <w:tcPr>
            <w:tcW w:w="856"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c>
          <w:tcPr>
            <w:tcW w:w="856"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معدل التقدم المحرز في تنفيذ المشروع حسب المعالم</w:t>
            </w:r>
          </w:p>
        </w:tc>
      </w:tr>
      <w:tr w:rsidR="000D26DC" w:rsidRPr="006D69DC" w:rsidTr="001D7014">
        <w:trPr>
          <w:trHeight w:val="389"/>
        </w:trPr>
        <w:tc>
          <w:tcPr>
            <w:tcW w:w="1575" w:type="pct"/>
            <w:vAlign w:val="center"/>
          </w:tcPr>
          <w:p w:rsidR="000D26DC" w:rsidRPr="006D69DC" w:rsidRDefault="000D26DC" w:rsidP="000D26DC">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 xml:space="preserve">تقييم الوضع الراهن </w:t>
            </w:r>
            <w:r>
              <w:rPr>
                <w:rFonts w:ascii="Arabic Typesetting" w:hAnsi="Arabic Typesetting" w:cs="Arabic Typesetting" w:hint="cs"/>
                <w:color w:val="000000"/>
                <w:sz w:val="28"/>
                <w:szCs w:val="28"/>
                <w:rtl/>
                <w:lang w:bidi="ar-EG"/>
              </w:rPr>
              <w:t>ووضع حل هيكلي مرجعي وخار</w:t>
            </w:r>
            <w:r w:rsidRPr="006D69DC">
              <w:rPr>
                <w:rFonts w:ascii="Arabic Typesetting" w:hAnsi="Arabic Typesetting" w:cs="Arabic Typesetting" w:hint="cs"/>
                <w:color w:val="000000"/>
                <w:sz w:val="28"/>
                <w:szCs w:val="28"/>
                <w:rtl/>
                <w:lang w:bidi="ar-EG"/>
              </w:rPr>
              <w:t>طة طريق تنفيذية</w:t>
            </w:r>
          </w:p>
        </w:tc>
        <w:tc>
          <w:tcPr>
            <w:tcW w:w="856" w:type="pct"/>
            <w:vAlign w:val="center"/>
          </w:tcPr>
          <w:p w:rsidR="000D26DC" w:rsidRPr="00970583" w:rsidRDefault="000D26DC" w:rsidP="000D26DC">
            <w:pPr>
              <w:keepNext/>
              <w:keepLines/>
              <w:autoSpaceDE w:val="0"/>
              <w:autoSpaceDN w:val="0"/>
              <w:adjustRightInd w:val="0"/>
              <w:spacing w:before="40" w:after="40"/>
              <w:jc w:val="center"/>
              <w:rPr>
                <w:sz w:val="16"/>
                <w:szCs w:val="16"/>
              </w:rPr>
            </w:pPr>
            <w:r>
              <w:rPr>
                <w:sz w:val="16"/>
                <w:szCs w:val="16"/>
              </w:rPr>
              <w:t>130,000</w:t>
            </w:r>
          </w:p>
        </w:tc>
        <w:tc>
          <w:tcPr>
            <w:tcW w:w="856" w:type="pct"/>
            <w:vAlign w:val="center"/>
          </w:tcPr>
          <w:p w:rsidR="000D26DC" w:rsidRPr="00970583" w:rsidRDefault="000D26DC" w:rsidP="000D26DC">
            <w:pPr>
              <w:keepNext/>
              <w:keepLines/>
              <w:autoSpaceDE w:val="0"/>
              <w:autoSpaceDN w:val="0"/>
              <w:adjustRightInd w:val="0"/>
              <w:spacing w:before="40" w:after="40"/>
              <w:jc w:val="center"/>
              <w:rPr>
                <w:sz w:val="16"/>
                <w:szCs w:val="16"/>
              </w:rPr>
            </w:pPr>
            <w:r>
              <w:rPr>
                <w:sz w:val="16"/>
                <w:szCs w:val="16"/>
              </w:rPr>
              <w:t>0</w:t>
            </w:r>
          </w:p>
        </w:tc>
        <w:tc>
          <w:tcPr>
            <w:tcW w:w="856" w:type="pct"/>
            <w:vAlign w:val="center"/>
          </w:tcPr>
          <w:p w:rsidR="000D26DC" w:rsidRPr="00970583" w:rsidRDefault="000D26DC" w:rsidP="000D26DC">
            <w:pPr>
              <w:keepNext/>
              <w:keepLines/>
              <w:autoSpaceDE w:val="0"/>
              <w:autoSpaceDN w:val="0"/>
              <w:adjustRightInd w:val="0"/>
              <w:spacing w:before="40" w:after="40"/>
              <w:jc w:val="center"/>
              <w:rPr>
                <w:sz w:val="16"/>
                <w:szCs w:val="16"/>
              </w:rPr>
            </w:pPr>
            <w:r>
              <w:rPr>
                <w:sz w:val="16"/>
                <w:szCs w:val="16"/>
              </w:rPr>
              <w:t>0%</w:t>
            </w:r>
          </w:p>
        </w:tc>
        <w:tc>
          <w:tcPr>
            <w:tcW w:w="856" w:type="pct"/>
            <w:vAlign w:val="center"/>
          </w:tcPr>
          <w:p w:rsidR="000D26DC" w:rsidRPr="00970583" w:rsidRDefault="000D26DC" w:rsidP="000D26DC">
            <w:pPr>
              <w:keepNext/>
              <w:keepLines/>
              <w:autoSpaceDE w:val="0"/>
              <w:autoSpaceDN w:val="0"/>
              <w:adjustRightInd w:val="0"/>
              <w:spacing w:before="40" w:after="40"/>
              <w:jc w:val="center"/>
              <w:rPr>
                <w:sz w:val="16"/>
                <w:szCs w:val="16"/>
              </w:rPr>
            </w:pPr>
            <w:r>
              <w:rPr>
                <w:sz w:val="16"/>
                <w:szCs w:val="16"/>
              </w:rPr>
              <w:t>30%</w:t>
            </w:r>
          </w:p>
        </w:tc>
      </w:tr>
      <w:tr w:rsidR="000D26DC" w:rsidRPr="006D69DC" w:rsidTr="001D7014">
        <w:trPr>
          <w:trHeight w:val="389"/>
        </w:trPr>
        <w:tc>
          <w:tcPr>
            <w:tcW w:w="1575" w:type="pct"/>
            <w:vAlign w:val="center"/>
          </w:tcPr>
          <w:p w:rsidR="000D26DC" w:rsidRPr="006D69DC" w:rsidRDefault="000D26DC" w:rsidP="000D26DC">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Pr>
                <w:rFonts w:ascii="Arabic Typesetting" w:hAnsi="Arabic Typesetting" w:cs="Arabic Typesetting" w:hint="cs"/>
                <w:color w:val="000000"/>
                <w:sz w:val="28"/>
                <w:szCs w:val="28"/>
                <w:rtl/>
                <w:lang w:bidi="ar-EG"/>
              </w:rPr>
              <w:t>تنفيذ خارطة طريق قائمة على الأولويات</w:t>
            </w:r>
            <w:r w:rsidRPr="006D69DC">
              <w:rPr>
                <w:rFonts w:ascii="Arabic Typesetting" w:hAnsi="Arabic Typesetting" w:cs="Arabic Typesetting" w:hint="cs"/>
                <w:color w:val="000000"/>
                <w:sz w:val="28"/>
                <w:szCs w:val="28"/>
                <w:rtl/>
                <w:lang w:bidi="ar-EG"/>
              </w:rPr>
              <w:t xml:space="preserve"> بشأن القدرات وحالات الاستعمال الخاصة بإدارة الهوية والنفاذ وتشفير البيانات</w:t>
            </w:r>
          </w:p>
        </w:tc>
        <w:tc>
          <w:tcPr>
            <w:tcW w:w="856" w:type="pct"/>
            <w:vAlign w:val="center"/>
          </w:tcPr>
          <w:p w:rsidR="000D26DC" w:rsidRPr="00970583" w:rsidRDefault="000D26DC" w:rsidP="000D26DC">
            <w:pPr>
              <w:keepNext/>
              <w:keepLines/>
              <w:autoSpaceDE w:val="0"/>
              <w:autoSpaceDN w:val="0"/>
              <w:adjustRightInd w:val="0"/>
              <w:spacing w:before="40" w:after="40"/>
              <w:jc w:val="center"/>
              <w:rPr>
                <w:sz w:val="16"/>
                <w:szCs w:val="16"/>
              </w:rPr>
            </w:pPr>
            <w:r>
              <w:rPr>
                <w:sz w:val="16"/>
                <w:szCs w:val="16"/>
              </w:rPr>
              <w:t>570,000</w:t>
            </w:r>
          </w:p>
        </w:tc>
        <w:tc>
          <w:tcPr>
            <w:tcW w:w="856" w:type="pct"/>
            <w:vAlign w:val="center"/>
          </w:tcPr>
          <w:p w:rsidR="000D26DC" w:rsidRPr="00970583" w:rsidRDefault="000D26DC" w:rsidP="000D26DC">
            <w:pPr>
              <w:keepNext/>
              <w:keepLines/>
              <w:autoSpaceDE w:val="0"/>
              <w:autoSpaceDN w:val="0"/>
              <w:adjustRightInd w:val="0"/>
              <w:spacing w:before="40" w:after="40"/>
              <w:jc w:val="center"/>
              <w:rPr>
                <w:sz w:val="16"/>
                <w:szCs w:val="16"/>
              </w:rPr>
            </w:pPr>
            <w:r>
              <w:rPr>
                <w:sz w:val="16"/>
                <w:szCs w:val="16"/>
              </w:rPr>
              <w:t>0</w:t>
            </w:r>
          </w:p>
        </w:tc>
        <w:tc>
          <w:tcPr>
            <w:tcW w:w="856" w:type="pct"/>
            <w:vAlign w:val="center"/>
          </w:tcPr>
          <w:p w:rsidR="000D26DC" w:rsidRPr="00970583" w:rsidRDefault="000D26DC" w:rsidP="000D26DC">
            <w:pPr>
              <w:keepNext/>
              <w:keepLines/>
              <w:autoSpaceDE w:val="0"/>
              <w:autoSpaceDN w:val="0"/>
              <w:adjustRightInd w:val="0"/>
              <w:spacing w:before="40" w:after="40"/>
              <w:jc w:val="center"/>
              <w:rPr>
                <w:sz w:val="16"/>
                <w:szCs w:val="16"/>
              </w:rPr>
            </w:pPr>
            <w:r>
              <w:rPr>
                <w:sz w:val="16"/>
                <w:szCs w:val="16"/>
              </w:rPr>
              <w:t>0%</w:t>
            </w:r>
          </w:p>
        </w:tc>
        <w:tc>
          <w:tcPr>
            <w:tcW w:w="856" w:type="pct"/>
            <w:vAlign w:val="center"/>
          </w:tcPr>
          <w:p w:rsidR="000D26DC" w:rsidRPr="00970583" w:rsidRDefault="000D26DC" w:rsidP="000D26DC">
            <w:pPr>
              <w:keepNext/>
              <w:keepLines/>
              <w:autoSpaceDE w:val="0"/>
              <w:autoSpaceDN w:val="0"/>
              <w:adjustRightInd w:val="0"/>
              <w:spacing w:before="40" w:after="40"/>
              <w:jc w:val="center"/>
              <w:rPr>
                <w:sz w:val="16"/>
                <w:szCs w:val="16"/>
              </w:rPr>
            </w:pPr>
            <w:r>
              <w:rPr>
                <w:sz w:val="16"/>
                <w:szCs w:val="16"/>
              </w:rPr>
              <w:t>-</w:t>
            </w:r>
          </w:p>
        </w:tc>
      </w:tr>
      <w:tr w:rsidR="000D26DC" w:rsidRPr="006D69DC" w:rsidTr="001D7014">
        <w:trPr>
          <w:trHeight w:val="389"/>
        </w:trPr>
        <w:tc>
          <w:tcPr>
            <w:tcW w:w="1575" w:type="pct"/>
            <w:shd w:val="clear" w:color="auto" w:fill="C6D9F1"/>
            <w:vAlign w:val="center"/>
          </w:tcPr>
          <w:p w:rsidR="000D26DC" w:rsidRPr="006D69DC" w:rsidRDefault="000D26DC" w:rsidP="000D26DC">
            <w:pPr>
              <w:keepNext/>
              <w:keepLines/>
              <w:autoSpaceDE w:val="0"/>
              <w:autoSpaceDN w:val="0"/>
              <w:bidi/>
              <w:adjustRightInd w:val="0"/>
              <w:spacing w:before="40" w:after="40" w:line="260" w:lineRule="exact"/>
              <w:rPr>
                <w:rFonts w:ascii="Arabic Typesetting" w:hAnsi="Arabic Typesetting" w:cs="Arabic Typesetting"/>
                <w:b/>
                <w:bCs/>
                <w:sz w:val="28"/>
                <w:szCs w:val="28"/>
                <w:rtl/>
                <w:lang w:bidi="ar-EG"/>
              </w:rPr>
            </w:pPr>
            <w:r w:rsidRPr="006D69DC">
              <w:rPr>
                <w:rFonts w:ascii="Arabic Typesetting" w:hAnsi="Arabic Typesetting" w:cs="Arabic Typesetting"/>
                <w:b/>
                <w:bCs/>
                <w:sz w:val="28"/>
                <w:szCs w:val="28"/>
                <w:rtl/>
                <w:lang w:bidi="ar-EG"/>
              </w:rPr>
              <w:t>المجموع</w:t>
            </w:r>
          </w:p>
        </w:tc>
        <w:tc>
          <w:tcPr>
            <w:tcW w:w="856" w:type="pct"/>
            <w:shd w:val="clear" w:color="auto" w:fill="C6D9F1"/>
            <w:vAlign w:val="center"/>
          </w:tcPr>
          <w:p w:rsidR="000D26DC" w:rsidRPr="00970583" w:rsidRDefault="000D26DC" w:rsidP="000D26DC">
            <w:pPr>
              <w:keepNext/>
              <w:keepLines/>
              <w:autoSpaceDE w:val="0"/>
              <w:autoSpaceDN w:val="0"/>
              <w:adjustRightInd w:val="0"/>
              <w:spacing w:before="40" w:after="40"/>
              <w:jc w:val="center"/>
              <w:rPr>
                <w:b/>
                <w:sz w:val="16"/>
                <w:szCs w:val="16"/>
              </w:rPr>
            </w:pPr>
            <w:r>
              <w:rPr>
                <w:b/>
                <w:sz w:val="16"/>
                <w:szCs w:val="16"/>
              </w:rPr>
              <w:t>700,000</w:t>
            </w:r>
          </w:p>
        </w:tc>
        <w:tc>
          <w:tcPr>
            <w:tcW w:w="856" w:type="pct"/>
            <w:shd w:val="clear" w:color="auto" w:fill="C6D9F1"/>
          </w:tcPr>
          <w:p w:rsidR="000D26DC" w:rsidRPr="00970583" w:rsidRDefault="000D26DC" w:rsidP="000D26DC">
            <w:pPr>
              <w:keepNext/>
              <w:keepLines/>
              <w:autoSpaceDE w:val="0"/>
              <w:autoSpaceDN w:val="0"/>
              <w:adjustRightInd w:val="0"/>
              <w:spacing w:before="40" w:after="40"/>
              <w:jc w:val="center"/>
              <w:rPr>
                <w:b/>
                <w:sz w:val="16"/>
                <w:szCs w:val="16"/>
              </w:rPr>
            </w:pPr>
            <w:r>
              <w:rPr>
                <w:b/>
                <w:sz w:val="16"/>
                <w:szCs w:val="16"/>
              </w:rPr>
              <w:t>0</w:t>
            </w:r>
          </w:p>
        </w:tc>
        <w:tc>
          <w:tcPr>
            <w:tcW w:w="856" w:type="pct"/>
            <w:shd w:val="clear" w:color="auto" w:fill="C6D9F1"/>
          </w:tcPr>
          <w:p w:rsidR="000D26DC" w:rsidRPr="00970583" w:rsidRDefault="000D26DC" w:rsidP="000D26DC">
            <w:pPr>
              <w:keepNext/>
              <w:keepLines/>
              <w:autoSpaceDE w:val="0"/>
              <w:autoSpaceDN w:val="0"/>
              <w:adjustRightInd w:val="0"/>
              <w:spacing w:before="40" w:after="40"/>
              <w:jc w:val="center"/>
              <w:rPr>
                <w:b/>
                <w:sz w:val="16"/>
                <w:szCs w:val="16"/>
              </w:rPr>
            </w:pPr>
          </w:p>
        </w:tc>
        <w:tc>
          <w:tcPr>
            <w:tcW w:w="856" w:type="pct"/>
            <w:shd w:val="clear" w:color="auto" w:fill="C6D9F1"/>
          </w:tcPr>
          <w:p w:rsidR="000D26DC" w:rsidRPr="00970583" w:rsidRDefault="000D26DC" w:rsidP="000D26DC">
            <w:pPr>
              <w:keepNext/>
              <w:keepLines/>
              <w:autoSpaceDE w:val="0"/>
              <w:autoSpaceDN w:val="0"/>
              <w:adjustRightInd w:val="0"/>
              <w:spacing w:before="40" w:after="40"/>
              <w:jc w:val="center"/>
              <w:rPr>
                <w:b/>
                <w:sz w:val="16"/>
                <w:szCs w:val="16"/>
              </w:rPr>
            </w:pPr>
          </w:p>
        </w:tc>
      </w:tr>
    </w:tbl>
    <w:p w:rsidR="006D69DC" w:rsidRPr="006D69DC" w:rsidRDefault="006D69DC" w:rsidP="007A4FF9">
      <w:pPr>
        <w:keepNext/>
        <w:bidi/>
        <w:spacing w:before="120" w:line="340" w:lineRule="exact"/>
        <w:jc w:val="center"/>
        <w:rPr>
          <w:rFonts w:ascii="Arabic Typesetting" w:hAnsi="Arabic Typesetting" w:cs="Arabic Typesetting"/>
          <w:bCs/>
          <w:sz w:val="34"/>
          <w:szCs w:val="34"/>
          <w:rtl/>
          <w:lang w:val="fr-CH"/>
        </w:rPr>
      </w:pPr>
      <w:r w:rsidRPr="006D69DC">
        <w:rPr>
          <w:rFonts w:ascii="Arabic Typesetting" w:hAnsi="Arabic Typesetting" w:cs="Arabic Typesetting"/>
          <w:bCs/>
          <w:sz w:val="34"/>
          <w:szCs w:val="34"/>
          <w:rtl/>
          <w:lang w:val="fr-CH"/>
        </w:rPr>
        <w:lastRenderedPageBreak/>
        <w:t>استخدام ميزانية المشروع (حسب فئة التكلفة)</w:t>
      </w:r>
    </w:p>
    <w:p w:rsidR="006D69DC" w:rsidRPr="006D69DC" w:rsidRDefault="006D69DC" w:rsidP="006D69DC">
      <w:pPr>
        <w:keepNext/>
        <w:bidi/>
        <w:spacing w:after="120" w:line="340" w:lineRule="exact"/>
        <w:jc w:val="center"/>
        <w:rPr>
          <w:rFonts w:ascii="Arabic Typesetting" w:hAnsi="Arabic Typesetting" w:cs="Arabic Typesetting"/>
          <w:i/>
          <w:iCs/>
          <w:sz w:val="34"/>
          <w:szCs w:val="34"/>
          <w:lang w:val="fr-CH"/>
        </w:rPr>
      </w:pPr>
      <w:r w:rsidRPr="006D69DC">
        <w:rPr>
          <w:rFonts w:ascii="Arabic Typesetting" w:hAnsi="Arabic Typesetting" w:cs="Arabic Typesetting"/>
          <w:i/>
          <w:iCs/>
          <w:sz w:val="34"/>
          <w:szCs w:val="34"/>
          <w:rtl/>
          <w:lang w:val="fr-CH"/>
        </w:rPr>
        <w:t xml:space="preserve">(بالفرنك السويسري، في 31 ديسمبر </w:t>
      </w:r>
      <w:r w:rsidRPr="006D69DC">
        <w:rPr>
          <w:rFonts w:ascii="Arabic Typesetting" w:hAnsi="Arabic Typesetting" w:cs="Arabic Typesetting" w:hint="cs"/>
          <w:i/>
          <w:iCs/>
          <w:sz w:val="34"/>
          <w:szCs w:val="34"/>
          <w:rtl/>
          <w:lang w:val="fr-CH"/>
        </w:rPr>
        <w:t>2015</w:t>
      </w:r>
      <w:r w:rsidRPr="006D69DC">
        <w:rPr>
          <w:rFonts w:ascii="Arabic Typesetting" w:hAnsi="Arabic Typesetting" w:cs="Arabic Typesetting"/>
          <w:i/>
          <w:iCs/>
          <w:sz w:val="34"/>
          <w:szCs w:val="34"/>
          <w:rtl/>
          <w:lang w:val="fr-CH"/>
        </w:rPr>
        <w:t>)</w:t>
      </w:r>
    </w:p>
    <w:tbl>
      <w:tblPr>
        <w:bidiVisual/>
        <w:tblW w:w="4887" w:type="pct"/>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36"/>
        <w:gridCol w:w="1841"/>
        <w:gridCol w:w="1839"/>
        <w:gridCol w:w="2139"/>
      </w:tblGrid>
      <w:tr w:rsidR="006D69DC" w:rsidRPr="006D69DC" w:rsidTr="00495D3F">
        <w:trPr>
          <w:trHeight w:val="569"/>
          <w:jc w:val="center"/>
        </w:trPr>
        <w:tc>
          <w:tcPr>
            <w:tcW w:w="1890"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فئة التكلفة</w:t>
            </w:r>
          </w:p>
        </w:tc>
        <w:tc>
          <w:tcPr>
            <w:tcW w:w="984"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ميزانية المشروع</w:t>
            </w:r>
          </w:p>
        </w:tc>
        <w:tc>
          <w:tcPr>
            <w:tcW w:w="983"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النفقات الفعلية حتى تاريخه</w:t>
            </w:r>
          </w:p>
        </w:tc>
        <w:tc>
          <w:tcPr>
            <w:tcW w:w="1143"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r>
      <w:tr w:rsidR="00495D3F" w:rsidRPr="006D69DC" w:rsidTr="00495D3F">
        <w:trPr>
          <w:jc w:val="center"/>
        </w:trPr>
        <w:tc>
          <w:tcPr>
            <w:tcW w:w="1890" w:type="pct"/>
            <w:vAlign w:val="center"/>
          </w:tcPr>
          <w:p w:rsidR="00495D3F" w:rsidRPr="006D69DC" w:rsidRDefault="00495D3F"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hint="cs"/>
                <w:sz w:val="28"/>
                <w:szCs w:val="28"/>
                <w:rtl/>
                <w:lang w:bidi="ar-EG"/>
              </w:rPr>
              <w:t>الخدمات التعاقدية</w:t>
            </w:r>
          </w:p>
        </w:tc>
        <w:tc>
          <w:tcPr>
            <w:tcW w:w="984" w:type="pct"/>
            <w:vAlign w:val="center"/>
          </w:tcPr>
          <w:p w:rsidR="00495D3F" w:rsidRDefault="00495D3F" w:rsidP="006E6296">
            <w:pPr>
              <w:keepNext/>
              <w:keepLines/>
              <w:autoSpaceDE w:val="0"/>
              <w:autoSpaceDN w:val="0"/>
              <w:adjustRightInd w:val="0"/>
              <w:spacing w:before="40" w:after="40" w:line="260" w:lineRule="exact"/>
              <w:jc w:val="center"/>
              <w:rPr>
                <w:sz w:val="16"/>
                <w:szCs w:val="16"/>
              </w:rPr>
            </w:pPr>
            <w:r>
              <w:rPr>
                <w:sz w:val="16"/>
                <w:szCs w:val="16"/>
              </w:rPr>
              <w:t>130,000</w:t>
            </w:r>
          </w:p>
        </w:tc>
        <w:tc>
          <w:tcPr>
            <w:tcW w:w="983" w:type="pct"/>
            <w:vAlign w:val="center"/>
          </w:tcPr>
          <w:p w:rsidR="00495D3F" w:rsidRDefault="00495D3F" w:rsidP="006E6296">
            <w:pPr>
              <w:keepNext/>
              <w:keepLines/>
              <w:autoSpaceDE w:val="0"/>
              <w:autoSpaceDN w:val="0"/>
              <w:adjustRightInd w:val="0"/>
              <w:spacing w:before="40" w:after="40" w:line="260" w:lineRule="exact"/>
              <w:jc w:val="center"/>
              <w:rPr>
                <w:sz w:val="16"/>
                <w:szCs w:val="16"/>
              </w:rPr>
            </w:pPr>
            <w:r>
              <w:rPr>
                <w:sz w:val="16"/>
                <w:szCs w:val="16"/>
              </w:rPr>
              <w:t>0</w:t>
            </w:r>
          </w:p>
        </w:tc>
        <w:tc>
          <w:tcPr>
            <w:tcW w:w="1143" w:type="pct"/>
            <w:vAlign w:val="center"/>
          </w:tcPr>
          <w:p w:rsidR="00495D3F" w:rsidRDefault="00495D3F" w:rsidP="006E6296">
            <w:pPr>
              <w:keepNext/>
              <w:keepLines/>
              <w:autoSpaceDE w:val="0"/>
              <w:autoSpaceDN w:val="0"/>
              <w:adjustRightInd w:val="0"/>
              <w:spacing w:before="40" w:after="40" w:line="260" w:lineRule="exact"/>
              <w:jc w:val="center"/>
              <w:rPr>
                <w:sz w:val="16"/>
                <w:szCs w:val="16"/>
              </w:rPr>
            </w:pPr>
            <w:r>
              <w:rPr>
                <w:sz w:val="16"/>
                <w:szCs w:val="16"/>
              </w:rPr>
              <w:t>0%</w:t>
            </w:r>
          </w:p>
        </w:tc>
      </w:tr>
      <w:tr w:rsidR="00495D3F" w:rsidRPr="006D69DC" w:rsidTr="00495D3F">
        <w:trPr>
          <w:jc w:val="center"/>
        </w:trPr>
        <w:tc>
          <w:tcPr>
            <w:tcW w:w="1890" w:type="pct"/>
            <w:vAlign w:val="center"/>
          </w:tcPr>
          <w:p w:rsidR="00495D3F" w:rsidRPr="006D69DC" w:rsidRDefault="00495D3F"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تحدد لاحقا</w:t>
            </w:r>
            <w:r w:rsidRPr="006D69DC">
              <w:rPr>
                <w:rFonts w:ascii="Arabic Typesetting" w:hAnsi="Arabic Typesetting" w:cs="Arabic Typesetting"/>
                <w:color w:val="000000"/>
                <w:sz w:val="28"/>
                <w:szCs w:val="28"/>
                <w:vertAlign w:val="superscript"/>
                <w:rtl/>
                <w:lang w:bidi="ar-EG"/>
              </w:rPr>
              <w:footnoteReference w:id="172"/>
            </w:r>
          </w:p>
        </w:tc>
        <w:tc>
          <w:tcPr>
            <w:tcW w:w="984" w:type="pct"/>
            <w:vAlign w:val="center"/>
          </w:tcPr>
          <w:p w:rsidR="00495D3F" w:rsidRPr="00800070" w:rsidRDefault="00495D3F" w:rsidP="006E6296">
            <w:pPr>
              <w:keepNext/>
              <w:keepLines/>
              <w:autoSpaceDE w:val="0"/>
              <w:autoSpaceDN w:val="0"/>
              <w:adjustRightInd w:val="0"/>
              <w:spacing w:before="40" w:after="40" w:line="260" w:lineRule="exact"/>
              <w:jc w:val="center"/>
              <w:rPr>
                <w:sz w:val="16"/>
                <w:szCs w:val="16"/>
              </w:rPr>
            </w:pPr>
            <w:r>
              <w:rPr>
                <w:sz w:val="16"/>
                <w:szCs w:val="16"/>
              </w:rPr>
              <w:t>570,000</w:t>
            </w:r>
          </w:p>
        </w:tc>
        <w:tc>
          <w:tcPr>
            <w:tcW w:w="983" w:type="pct"/>
            <w:vAlign w:val="center"/>
          </w:tcPr>
          <w:p w:rsidR="00495D3F" w:rsidRPr="00800070" w:rsidRDefault="00495D3F" w:rsidP="006E6296">
            <w:pPr>
              <w:keepNext/>
              <w:keepLines/>
              <w:autoSpaceDE w:val="0"/>
              <w:autoSpaceDN w:val="0"/>
              <w:adjustRightInd w:val="0"/>
              <w:spacing w:before="40" w:after="40" w:line="260" w:lineRule="exact"/>
              <w:jc w:val="center"/>
              <w:rPr>
                <w:sz w:val="16"/>
                <w:szCs w:val="16"/>
              </w:rPr>
            </w:pPr>
            <w:r>
              <w:rPr>
                <w:sz w:val="16"/>
                <w:szCs w:val="16"/>
              </w:rPr>
              <w:t>0</w:t>
            </w:r>
          </w:p>
        </w:tc>
        <w:tc>
          <w:tcPr>
            <w:tcW w:w="1143" w:type="pct"/>
            <w:vAlign w:val="center"/>
          </w:tcPr>
          <w:p w:rsidR="00495D3F" w:rsidRPr="00800070" w:rsidRDefault="00495D3F" w:rsidP="006E6296">
            <w:pPr>
              <w:keepNext/>
              <w:keepLines/>
              <w:autoSpaceDE w:val="0"/>
              <w:autoSpaceDN w:val="0"/>
              <w:adjustRightInd w:val="0"/>
              <w:spacing w:before="40" w:after="40" w:line="260" w:lineRule="exact"/>
              <w:jc w:val="center"/>
              <w:rPr>
                <w:sz w:val="16"/>
                <w:szCs w:val="16"/>
              </w:rPr>
            </w:pPr>
            <w:r>
              <w:rPr>
                <w:sz w:val="16"/>
                <w:szCs w:val="16"/>
              </w:rPr>
              <w:t>0%</w:t>
            </w:r>
          </w:p>
        </w:tc>
      </w:tr>
      <w:tr w:rsidR="00495D3F" w:rsidRPr="006D69DC" w:rsidTr="00495D3F">
        <w:trPr>
          <w:jc w:val="center"/>
        </w:trPr>
        <w:tc>
          <w:tcPr>
            <w:tcW w:w="1890" w:type="pct"/>
            <w:shd w:val="clear" w:color="auto" w:fill="C6D9F1"/>
            <w:vAlign w:val="center"/>
          </w:tcPr>
          <w:p w:rsidR="00495D3F" w:rsidRPr="006D69DC" w:rsidRDefault="00495D3F" w:rsidP="006D69DC">
            <w:pPr>
              <w:autoSpaceDE w:val="0"/>
              <w:autoSpaceDN w:val="0"/>
              <w:bidi/>
              <w:adjustRightInd w:val="0"/>
              <w:spacing w:before="40" w:after="40" w:line="260" w:lineRule="exact"/>
              <w:rPr>
                <w:rFonts w:ascii="Arabic Typesetting" w:hAnsi="Arabic Typesetting" w:cs="Arabic Typesetting"/>
                <w:bCs/>
                <w:sz w:val="28"/>
                <w:szCs w:val="28"/>
                <w:rtl/>
                <w:lang w:bidi="ar-EG"/>
              </w:rPr>
            </w:pPr>
            <w:r w:rsidRPr="006D69DC">
              <w:rPr>
                <w:rFonts w:ascii="Arabic Typesetting" w:hAnsi="Arabic Typesetting" w:cs="Arabic Typesetting"/>
                <w:bCs/>
                <w:sz w:val="28"/>
                <w:szCs w:val="28"/>
                <w:rtl/>
                <w:lang w:bidi="ar-EG"/>
              </w:rPr>
              <w:t>المجموع</w:t>
            </w:r>
          </w:p>
        </w:tc>
        <w:tc>
          <w:tcPr>
            <w:tcW w:w="984" w:type="pct"/>
            <w:shd w:val="clear" w:color="auto" w:fill="C6D9F1"/>
            <w:vAlign w:val="center"/>
          </w:tcPr>
          <w:p w:rsidR="00495D3F" w:rsidRPr="00800070" w:rsidRDefault="00495D3F" w:rsidP="006E6296">
            <w:pPr>
              <w:autoSpaceDE w:val="0"/>
              <w:autoSpaceDN w:val="0"/>
              <w:adjustRightInd w:val="0"/>
              <w:spacing w:before="40" w:after="40" w:line="260" w:lineRule="exact"/>
              <w:jc w:val="center"/>
              <w:rPr>
                <w:b/>
                <w:sz w:val="16"/>
                <w:szCs w:val="16"/>
              </w:rPr>
            </w:pPr>
            <w:r>
              <w:rPr>
                <w:b/>
                <w:sz w:val="16"/>
                <w:szCs w:val="16"/>
              </w:rPr>
              <w:t>700,000</w:t>
            </w:r>
          </w:p>
        </w:tc>
        <w:tc>
          <w:tcPr>
            <w:tcW w:w="983" w:type="pct"/>
            <w:shd w:val="clear" w:color="auto" w:fill="C6D9F1"/>
            <w:vAlign w:val="center"/>
          </w:tcPr>
          <w:p w:rsidR="00495D3F" w:rsidRPr="00800070" w:rsidRDefault="00495D3F" w:rsidP="006E6296">
            <w:pPr>
              <w:autoSpaceDE w:val="0"/>
              <w:autoSpaceDN w:val="0"/>
              <w:adjustRightInd w:val="0"/>
              <w:spacing w:before="40" w:after="40" w:line="260" w:lineRule="exact"/>
              <w:jc w:val="center"/>
              <w:rPr>
                <w:b/>
                <w:sz w:val="16"/>
                <w:szCs w:val="16"/>
              </w:rPr>
            </w:pPr>
            <w:r>
              <w:rPr>
                <w:b/>
                <w:sz w:val="16"/>
                <w:szCs w:val="16"/>
              </w:rPr>
              <w:t>0</w:t>
            </w:r>
          </w:p>
        </w:tc>
        <w:tc>
          <w:tcPr>
            <w:tcW w:w="1143" w:type="pct"/>
            <w:shd w:val="clear" w:color="auto" w:fill="C6D9F1"/>
          </w:tcPr>
          <w:p w:rsidR="00495D3F" w:rsidRPr="00800070" w:rsidRDefault="00495D3F" w:rsidP="006E6296">
            <w:pPr>
              <w:autoSpaceDE w:val="0"/>
              <w:autoSpaceDN w:val="0"/>
              <w:adjustRightInd w:val="0"/>
              <w:spacing w:before="40" w:after="40" w:line="260" w:lineRule="exact"/>
              <w:jc w:val="center"/>
              <w:rPr>
                <w:b/>
                <w:sz w:val="16"/>
                <w:szCs w:val="16"/>
              </w:rPr>
            </w:pPr>
          </w:p>
        </w:tc>
      </w:tr>
    </w:tbl>
    <w:p w:rsidR="006D69DC" w:rsidRPr="006D69DC" w:rsidRDefault="006D69DC" w:rsidP="006D69DC">
      <w:pPr>
        <w:keepNext/>
        <w:bidi/>
        <w:spacing w:before="120" w:after="120" w:line="340" w:lineRule="exact"/>
        <w:rPr>
          <w:rFonts w:ascii="Arabic Typesetting" w:hAnsi="Arabic Typesetting" w:cs="Arabic Typesetting"/>
          <w:sz w:val="34"/>
          <w:szCs w:val="34"/>
          <w:lang w:val="fr-CH"/>
        </w:rPr>
      </w:pPr>
      <w:r w:rsidRPr="006D69DC">
        <w:rPr>
          <w:rFonts w:ascii="Arabic Typesetting" w:hAnsi="Arabic Typesetting" w:cs="Arabic Typesetting"/>
          <w:sz w:val="34"/>
          <w:szCs w:val="34"/>
          <w:rtl/>
          <w:lang w:val="fr-CH"/>
        </w:rPr>
        <w:t>المخاطر واستراتيجيات التخفيف من آثارها</w:t>
      </w:r>
    </w:p>
    <w:tbl>
      <w:tblPr>
        <w:bidiVisual/>
        <w:tblW w:w="481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1"/>
        <w:gridCol w:w="3072"/>
        <w:gridCol w:w="3070"/>
      </w:tblGrid>
      <w:tr w:rsidR="006D69DC" w:rsidRPr="006D69DC" w:rsidTr="00495D3F">
        <w:trPr>
          <w:trHeight w:val="308"/>
          <w:tblHeader/>
        </w:trPr>
        <w:tc>
          <w:tcPr>
            <w:tcW w:w="1667" w:type="pct"/>
            <w:shd w:val="clear" w:color="auto" w:fill="C6D9F1"/>
            <w:vAlign w:val="center"/>
          </w:tcPr>
          <w:p w:rsidR="006D69DC" w:rsidRPr="006D69DC" w:rsidRDefault="006D69DC" w:rsidP="006D69DC">
            <w:pPr>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المخاطر</w:t>
            </w:r>
            <w:r w:rsidRPr="006D69DC">
              <w:rPr>
                <w:rFonts w:ascii="Arabic Typesetting" w:hAnsi="Arabic Typesetting" w:cs="Arabic Typesetting" w:hint="cs"/>
                <w:bCs/>
                <w:sz w:val="28"/>
                <w:szCs w:val="28"/>
                <w:rtl/>
                <w:lang w:bidi="ar-EG"/>
              </w:rPr>
              <w:t>/وصف المخاطر</w:t>
            </w:r>
          </w:p>
        </w:tc>
        <w:tc>
          <w:tcPr>
            <w:tcW w:w="1667" w:type="pct"/>
            <w:shd w:val="clear" w:color="auto" w:fill="C6D9F1"/>
            <w:vAlign w:val="center"/>
          </w:tcPr>
          <w:p w:rsidR="006D69DC" w:rsidRPr="006D69DC" w:rsidRDefault="006D69DC" w:rsidP="006D69DC">
            <w:pPr>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التخفيف من آثار المخاطر</w:t>
            </w:r>
          </w:p>
        </w:tc>
        <w:tc>
          <w:tcPr>
            <w:tcW w:w="1666" w:type="pct"/>
            <w:shd w:val="clear" w:color="auto" w:fill="C6D9F1"/>
            <w:vAlign w:val="center"/>
          </w:tcPr>
          <w:p w:rsidR="006D69DC" w:rsidRPr="006D69DC" w:rsidRDefault="00737EDC" w:rsidP="006D69DC">
            <w:pPr>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Pr>
                <w:rFonts w:ascii="Arabic Typesetting" w:hAnsi="Arabic Typesetting" w:cs="Arabic Typesetting" w:hint="cs"/>
                <w:bCs/>
                <w:sz w:val="28"/>
                <w:szCs w:val="28"/>
                <w:rtl/>
                <w:lang w:bidi="ar-EG"/>
              </w:rPr>
              <w:t>ال</w:t>
            </w:r>
            <w:r w:rsidR="006D69DC" w:rsidRPr="006D69DC">
              <w:rPr>
                <w:rFonts w:ascii="Arabic Typesetting" w:hAnsi="Arabic Typesetting" w:cs="Arabic Typesetting" w:hint="cs"/>
                <w:bCs/>
                <w:sz w:val="28"/>
                <w:szCs w:val="28"/>
                <w:rtl/>
                <w:lang w:bidi="ar-EG"/>
              </w:rPr>
              <w:t>تعليق</w:t>
            </w:r>
            <w:r>
              <w:rPr>
                <w:rFonts w:ascii="Arabic Typesetting" w:hAnsi="Arabic Typesetting" w:cs="Arabic Typesetting" w:hint="cs"/>
                <w:bCs/>
                <w:sz w:val="28"/>
                <w:szCs w:val="28"/>
                <w:rtl/>
                <w:lang w:bidi="ar-EG"/>
              </w:rPr>
              <w:t>ات</w:t>
            </w:r>
          </w:p>
        </w:tc>
      </w:tr>
      <w:tr w:rsidR="006D69DC" w:rsidRPr="006D69DC" w:rsidTr="00495D3F">
        <w:trPr>
          <w:trHeight w:val="776"/>
        </w:trPr>
        <w:tc>
          <w:tcPr>
            <w:tcW w:w="1667" w:type="pct"/>
          </w:tcPr>
          <w:p w:rsidR="006D69DC" w:rsidRPr="006D69DC" w:rsidRDefault="00495D3F" w:rsidP="00495D3F">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color w:val="000000"/>
                <w:sz w:val="28"/>
                <w:szCs w:val="28"/>
                <w:rtl/>
                <w:lang w:bidi="ar-EG"/>
              </w:rPr>
              <w:t>عدم توفر</w:t>
            </w:r>
            <w:r w:rsidR="006D69DC" w:rsidRPr="006D69DC">
              <w:rPr>
                <w:rFonts w:ascii="Arabic Typesetting" w:hAnsi="Arabic Typesetting" w:cs="Arabic Typesetting" w:hint="cs"/>
                <w:color w:val="000000"/>
                <w:sz w:val="28"/>
                <w:szCs w:val="28"/>
                <w:rtl/>
                <w:lang w:bidi="ar-EG"/>
              </w:rPr>
              <w:t xml:space="preserve"> الميزانية ا</w:t>
            </w:r>
            <w:r>
              <w:rPr>
                <w:rFonts w:ascii="Arabic Typesetting" w:hAnsi="Arabic Typesetting" w:cs="Arabic Typesetting" w:hint="cs"/>
                <w:color w:val="000000"/>
                <w:sz w:val="28"/>
                <w:szCs w:val="28"/>
                <w:rtl/>
                <w:lang w:bidi="ar-EG"/>
              </w:rPr>
              <w:t>لكافية لتنفيذ خار</w:t>
            </w:r>
            <w:r w:rsidR="006D69DC" w:rsidRPr="006D69DC">
              <w:rPr>
                <w:rFonts w:ascii="Arabic Typesetting" w:hAnsi="Arabic Typesetting" w:cs="Arabic Typesetting" w:hint="cs"/>
                <w:color w:val="000000"/>
                <w:sz w:val="28"/>
                <w:szCs w:val="28"/>
                <w:rtl/>
                <w:lang w:bidi="ar-EG"/>
              </w:rPr>
              <w:t>طة الطريق الخاصة بتنفيذ إدارة الهوية والنفاذ وتشفير البيانات.</w:t>
            </w:r>
          </w:p>
        </w:tc>
        <w:tc>
          <w:tcPr>
            <w:tcW w:w="1667" w:type="pct"/>
          </w:tcPr>
          <w:p w:rsidR="006D69DC" w:rsidRPr="006D69DC" w:rsidRDefault="006D69DC" w:rsidP="00495D3F">
            <w:pPr>
              <w:autoSpaceDE w:val="0"/>
              <w:autoSpaceDN w:val="0"/>
              <w:bidi/>
              <w:adjustRightInd w:val="0"/>
              <w:spacing w:before="40" w:after="40"/>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منح الأولوية لخ</w:t>
            </w:r>
            <w:r w:rsidR="00495D3F">
              <w:rPr>
                <w:rFonts w:ascii="Arabic Typesetting" w:hAnsi="Arabic Typesetting" w:cs="Arabic Typesetting" w:hint="cs"/>
                <w:color w:val="000000"/>
                <w:sz w:val="28"/>
                <w:szCs w:val="28"/>
                <w:rtl/>
                <w:lang w:bidi="ar-EG"/>
              </w:rPr>
              <w:t>ار</w:t>
            </w:r>
            <w:r w:rsidRPr="006D69DC">
              <w:rPr>
                <w:rFonts w:ascii="Arabic Typesetting" w:hAnsi="Arabic Typesetting" w:cs="Arabic Typesetting" w:hint="cs"/>
                <w:color w:val="000000"/>
                <w:sz w:val="28"/>
                <w:szCs w:val="28"/>
                <w:rtl/>
                <w:lang w:bidi="ar-EG"/>
              </w:rPr>
              <w:t>طة الطريق، مع التركيز على إصلاح المجالات العالية المخاطر أولا.</w:t>
            </w:r>
          </w:p>
        </w:tc>
        <w:tc>
          <w:tcPr>
            <w:tcW w:w="1666" w:type="pct"/>
          </w:tcPr>
          <w:p w:rsidR="006D69DC" w:rsidRPr="006D69DC" w:rsidRDefault="006D69DC" w:rsidP="00495D3F">
            <w:pPr>
              <w:autoSpaceDE w:val="0"/>
              <w:autoSpaceDN w:val="0"/>
              <w:bidi/>
              <w:adjustRightInd w:val="0"/>
              <w:spacing w:before="40" w:after="40"/>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سيحدّد تقيم الوضع الراهن الفجوات القائمة في قدرات الويبو الحالية فيما يخص إدارة الهوية والنفاذ وتشفير البيانات ويوصي بخ</w:t>
            </w:r>
            <w:r w:rsidR="00495D3F">
              <w:rPr>
                <w:rFonts w:ascii="Arabic Typesetting" w:hAnsi="Arabic Typesetting" w:cs="Arabic Typesetting" w:hint="cs"/>
                <w:color w:val="000000"/>
                <w:sz w:val="28"/>
                <w:szCs w:val="28"/>
                <w:rtl/>
                <w:lang w:bidi="ar-EG"/>
              </w:rPr>
              <w:t>ار</w:t>
            </w:r>
            <w:r w:rsidRPr="006D69DC">
              <w:rPr>
                <w:rFonts w:ascii="Arabic Typesetting" w:hAnsi="Arabic Typesetting" w:cs="Arabic Typesetting" w:hint="cs"/>
                <w:color w:val="000000"/>
                <w:sz w:val="28"/>
                <w:szCs w:val="28"/>
                <w:rtl/>
                <w:lang w:bidi="ar-EG"/>
              </w:rPr>
              <w:t>طة طريق ذات أولوية لسدّ تلك الفجوات. وبما أن تلك الفجوات ومشروعات سدّها غير معروفة حاليا، فإن ميزانية المشروع الراهنة قد لا تكون كافية.</w:t>
            </w:r>
          </w:p>
        </w:tc>
      </w:tr>
    </w:tbl>
    <w:p w:rsidR="006D69DC" w:rsidRPr="006D69DC" w:rsidRDefault="006D69DC" w:rsidP="006D69DC">
      <w:pPr>
        <w:keepNext/>
        <w:bidi/>
        <w:spacing w:before="120"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الجدول الزمني للمشروع حسب المعالم</w:t>
      </w:r>
    </w:p>
    <w:tbl>
      <w:tblPr>
        <w:bidiVisual/>
        <w:tblW w:w="9391" w:type="dxa"/>
        <w:jc w:val="center"/>
        <w:tblInd w:w="-495" w:type="dxa"/>
        <w:tblLayout w:type="fixed"/>
        <w:tblLook w:val="00A0" w:firstRow="1" w:lastRow="0" w:firstColumn="1" w:lastColumn="0" w:noHBand="0" w:noVBand="0"/>
      </w:tblPr>
      <w:tblGrid>
        <w:gridCol w:w="2335"/>
        <w:gridCol w:w="588"/>
        <w:gridCol w:w="588"/>
        <w:gridCol w:w="588"/>
        <w:gridCol w:w="588"/>
        <w:gridCol w:w="588"/>
        <w:gridCol w:w="588"/>
        <w:gridCol w:w="588"/>
        <w:gridCol w:w="588"/>
        <w:gridCol w:w="588"/>
        <w:gridCol w:w="588"/>
        <w:gridCol w:w="588"/>
        <w:gridCol w:w="588"/>
      </w:tblGrid>
      <w:tr w:rsidR="006D69DC" w:rsidRPr="006D69DC" w:rsidTr="00495D3F">
        <w:trPr>
          <w:trHeight w:val="270"/>
          <w:jc w:val="center"/>
        </w:trPr>
        <w:tc>
          <w:tcPr>
            <w:tcW w:w="2335" w:type="dxa"/>
            <w:tcBorders>
              <w:top w:val="nil"/>
              <w:left w:val="nil"/>
              <w:bottom w:val="nil"/>
              <w:right w:val="nil"/>
            </w:tcBorders>
            <w:noWrap/>
            <w:vAlign w:val="bottom"/>
          </w:tcPr>
          <w:p w:rsidR="006D69DC" w:rsidRPr="006D69DC" w:rsidRDefault="006D69DC" w:rsidP="006D69DC">
            <w:pPr>
              <w:bidi/>
              <w:rPr>
                <w:rFonts w:ascii="Arabic Typesetting" w:hAnsi="Arabic Typesetting" w:cs="Arabic Typesetting"/>
                <w:noProof/>
                <w:color w:val="000000"/>
                <w:sz w:val="28"/>
                <w:szCs w:val="28"/>
              </w:rPr>
            </w:pPr>
          </w:p>
        </w:tc>
        <w:tc>
          <w:tcPr>
            <w:tcW w:w="2352" w:type="dxa"/>
            <w:gridSpan w:val="4"/>
            <w:tcBorders>
              <w:top w:val="single" w:sz="8" w:space="0" w:color="auto"/>
              <w:left w:val="nil"/>
              <w:bottom w:val="single" w:sz="4" w:space="0" w:color="auto"/>
              <w:right w:val="single" w:sz="8" w:space="0" w:color="000000"/>
            </w:tcBorders>
            <w:shd w:val="clear" w:color="auto" w:fill="C6D9F1"/>
            <w:noWrap/>
            <w:vAlign w:val="bottom"/>
          </w:tcPr>
          <w:p w:rsidR="006D69DC" w:rsidRPr="006D69DC" w:rsidRDefault="006D69DC" w:rsidP="006D69DC">
            <w:pPr>
              <w:bidi/>
              <w:jc w:val="center"/>
              <w:rPr>
                <w:rFonts w:ascii="Arabic Typesetting" w:hAnsi="Arabic Typesetting" w:cs="Arabic Typesetting"/>
                <w:b/>
                <w:noProof/>
                <w:color w:val="000000"/>
                <w:sz w:val="28"/>
                <w:szCs w:val="28"/>
              </w:rPr>
            </w:pPr>
            <w:r w:rsidRPr="006D69DC">
              <w:rPr>
                <w:rFonts w:ascii="Arabic Typesetting" w:hAnsi="Arabic Typesetting" w:cs="Arabic Typesetting"/>
                <w:b/>
                <w:noProof/>
                <w:color w:val="000000"/>
                <w:sz w:val="28"/>
                <w:szCs w:val="28"/>
              </w:rPr>
              <w:t>2015</w:t>
            </w:r>
          </w:p>
        </w:tc>
        <w:tc>
          <w:tcPr>
            <w:tcW w:w="2352" w:type="dxa"/>
            <w:gridSpan w:val="4"/>
            <w:tcBorders>
              <w:top w:val="single" w:sz="8" w:space="0" w:color="auto"/>
              <w:left w:val="nil"/>
              <w:bottom w:val="single" w:sz="4" w:space="0" w:color="auto"/>
              <w:right w:val="single" w:sz="8" w:space="0" w:color="000000"/>
            </w:tcBorders>
            <w:shd w:val="clear" w:color="auto" w:fill="C6D9F1"/>
            <w:noWrap/>
            <w:vAlign w:val="bottom"/>
          </w:tcPr>
          <w:p w:rsidR="006D69DC" w:rsidRPr="006D69DC" w:rsidRDefault="006D69DC" w:rsidP="006D69DC">
            <w:pPr>
              <w:bidi/>
              <w:jc w:val="center"/>
              <w:rPr>
                <w:rFonts w:ascii="Arabic Typesetting" w:hAnsi="Arabic Typesetting" w:cs="Arabic Typesetting"/>
                <w:b/>
                <w:noProof/>
                <w:color w:val="000000"/>
                <w:sz w:val="28"/>
                <w:szCs w:val="28"/>
              </w:rPr>
            </w:pPr>
            <w:r w:rsidRPr="006D69DC">
              <w:rPr>
                <w:rFonts w:ascii="Arabic Typesetting" w:hAnsi="Arabic Typesetting" w:cs="Arabic Typesetting"/>
                <w:b/>
                <w:noProof/>
                <w:color w:val="000000"/>
                <w:sz w:val="28"/>
                <w:szCs w:val="28"/>
              </w:rPr>
              <w:t>2016</w:t>
            </w:r>
          </w:p>
        </w:tc>
        <w:tc>
          <w:tcPr>
            <w:tcW w:w="2352" w:type="dxa"/>
            <w:gridSpan w:val="4"/>
            <w:tcBorders>
              <w:top w:val="single" w:sz="8" w:space="0" w:color="auto"/>
              <w:left w:val="nil"/>
              <w:bottom w:val="single" w:sz="4" w:space="0" w:color="auto"/>
              <w:right w:val="single" w:sz="8" w:space="0" w:color="000000"/>
            </w:tcBorders>
            <w:shd w:val="clear" w:color="auto" w:fill="C6D9F1"/>
            <w:noWrap/>
            <w:vAlign w:val="bottom"/>
          </w:tcPr>
          <w:p w:rsidR="006D69DC" w:rsidRPr="006D69DC" w:rsidRDefault="006D69DC" w:rsidP="006D69DC">
            <w:pPr>
              <w:bidi/>
              <w:jc w:val="center"/>
              <w:rPr>
                <w:rFonts w:ascii="Arabic Typesetting" w:hAnsi="Arabic Typesetting" w:cs="Arabic Typesetting"/>
                <w:b/>
                <w:noProof/>
                <w:color w:val="000000"/>
                <w:sz w:val="28"/>
                <w:szCs w:val="28"/>
              </w:rPr>
            </w:pPr>
            <w:r w:rsidRPr="006D69DC">
              <w:rPr>
                <w:rFonts w:ascii="Arabic Typesetting" w:hAnsi="Arabic Typesetting" w:cs="Arabic Typesetting"/>
                <w:b/>
                <w:noProof/>
                <w:color w:val="000000"/>
                <w:sz w:val="28"/>
                <w:szCs w:val="28"/>
              </w:rPr>
              <w:t>2017</w:t>
            </w:r>
          </w:p>
        </w:tc>
      </w:tr>
      <w:tr w:rsidR="006D69DC" w:rsidRPr="006D69DC" w:rsidTr="00495D3F">
        <w:trPr>
          <w:trHeight w:val="375"/>
          <w:jc w:val="center"/>
        </w:trPr>
        <w:tc>
          <w:tcPr>
            <w:tcW w:w="2335" w:type="dxa"/>
            <w:tcBorders>
              <w:top w:val="single" w:sz="8" w:space="0" w:color="auto"/>
              <w:left w:val="single" w:sz="8" w:space="0" w:color="auto"/>
              <w:bottom w:val="single" w:sz="4" w:space="0" w:color="auto"/>
              <w:right w:val="single" w:sz="8" w:space="0" w:color="auto"/>
            </w:tcBorders>
            <w:shd w:val="clear" w:color="auto" w:fill="C6D9F1"/>
            <w:noWrap/>
            <w:vAlign w:val="bottom"/>
          </w:tcPr>
          <w:p w:rsidR="006D69DC" w:rsidRPr="006D69DC" w:rsidRDefault="006D69DC" w:rsidP="006D69DC">
            <w:pPr>
              <w:bidi/>
              <w:rPr>
                <w:rFonts w:ascii="Arabic Typesetting" w:hAnsi="Arabic Typesetting" w:cs="Arabic Typesetting"/>
                <w:sz w:val="28"/>
                <w:szCs w:val="28"/>
                <w:rtl/>
                <w:lang w:bidi="ar-EG"/>
              </w:rPr>
            </w:pPr>
            <w:r w:rsidRPr="006D69DC">
              <w:rPr>
                <w:rFonts w:ascii="Arabic Typesetting" w:hAnsi="Arabic Typesetting" w:cs="Arabic Typesetting"/>
                <w:bCs/>
                <w:color w:val="000000"/>
                <w:sz w:val="28"/>
                <w:szCs w:val="28"/>
                <w:rtl/>
                <w:lang w:bidi="ar-EG"/>
              </w:rPr>
              <w:t>المعالم الرئيسية</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ف1</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ف2</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ف3</w:t>
            </w:r>
          </w:p>
        </w:tc>
        <w:tc>
          <w:tcPr>
            <w:tcW w:w="588" w:type="dxa"/>
            <w:tcBorders>
              <w:top w:val="nil"/>
              <w:left w:val="nil"/>
              <w:bottom w:val="single" w:sz="4" w:space="0" w:color="auto"/>
              <w:right w:val="single" w:sz="8"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ف4</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ف1</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ف2</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ف3</w:t>
            </w:r>
          </w:p>
        </w:tc>
        <w:tc>
          <w:tcPr>
            <w:tcW w:w="588" w:type="dxa"/>
            <w:tcBorders>
              <w:top w:val="nil"/>
              <w:left w:val="nil"/>
              <w:bottom w:val="single" w:sz="4" w:space="0" w:color="auto"/>
              <w:right w:val="single" w:sz="8"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ف4</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ف1</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ف2</w:t>
            </w:r>
          </w:p>
        </w:tc>
        <w:tc>
          <w:tcPr>
            <w:tcW w:w="588"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ف3</w:t>
            </w:r>
          </w:p>
        </w:tc>
        <w:tc>
          <w:tcPr>
            <w:tcW w:w="588" w:type="dxa"/>
            <w:tcBorders>
              <w:top w:val="nil"/>
              <w:left w:val="nil"/>
              <w:bottom w:val="single" w:sz="4" w:space="0" w:color="auto"/>
              <w:right w:val="single" w:sz="8" w:space="0" w:color="auto"/>
            </w:tcBorders>
            <w:shd w:val="clear" w:color="auto" w:fill="C6D9F1"/>
            <w:noWrap/>
            <w:vAlign w:val="bottom"/>
          </w:tcPr>
          <w:p w:rsidR="006D69DC" w:rsidRPr="006D69DC" w:rsidRDefault="006D69DC" w:rsidP="006D69DC">
            <w:pPr>
              <w:bidi/>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ف4</w:t>
            </w:r>
          </w:p>
        </w:tc>
      </w:tr>
      <w:tr w:rsidR="00495D3F" w:rsidRPr="006D69DC" w:rsidTr="006E6296">
        <w:trPr>
          <w:trHeight w:val="615"/>
          <w:jc w:val="center"/>
        </w:trPr>
        <w:tc>
          <w:tcPr>
            <w:tcW w:w="2335" w:type="dxa"/>
            <w:tcBorders>
              <w:top w:val="nil"/>
              <w:left w:val="single" w:sz="8" w:space="0" w:color="auto"/>
              <w:bottom w:val="single" w:sz="4" w:space="0" w:color="auto"/>
              <w:right w:val="single" w:sz="8" w:space="0" w:color="auto"/>
            </w:tcBorders>
            <w:noWrap/>
            <w:vAlign w:val="bottom"/>
          </w:tcPr>
          <w:p w:rsidR="00495D3F" w:rsidRPr="006D69DC" w:rsidRDefault="00495D3F" w:rsidP="00495D3F">
            <w:pPr>
              <w:bidi/>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 xml:space="preserve">تقييم الوضع الراهن </w:t>
            </w:r>
            <w:r>
              <w:rPr>
                <w:rFonts w:ascii="Arabic Typesetting" w:hAnsi="Arabic Typesetting" w:cs="Arabic Typesetting" w:hint="cs"/>
                <w:color w:val="000000"/>
                <w:sz w:val="28"/>
                <w:szCs w:val="28"/>
                <w:rtl/>
                <w:lang w:bidi="ar-EG"/>
              </w:rPr>
              <w:t>ووضع</w:t>
            </w:r>
            <w:r w:rsidRPr="006D69DC">
              <w:rPr>
                <w:rFonts w:ascii="Arabic Typesetting" w:hAnsi="Arabic Typesetting" w:cs="Arabic Typesetting" w:hint="cs"/>
                <w:color w:val="000000"/>
                <w:sz w:val="28"/>
                <w:szCs w:val="28"/>
                <w:rtl/>
                <w:lang w:bidi="ar-EG"/>
              </w:rPr>
              <w:t xml:space="preserve"> حل هيكلي مرجعي وخ</w:t>
            </w:r>
            <w:r>
              <w:rPr>
                <w:rFonts w:ascii="Arabic Typesetting" w:hAnsi="Arabic Typesetting" w:cs="Arabic Typesetting" w:hint="cs"/>
                <w:color w:val="000000"/>
                <w:sz w:val="28"/>
                <w:szCs w:val="28"/>
                <w:rtl/>
                <w:lang w:bidi="ar-EG"/>
              </w:rPr>
              <w:t>ار</w:t>
            </w:r>
            <w:r w:rsidRPr="006D69DC">
              <w:rPr>
                <w:rFonts w:ascii="Arabic Typesetting" w:hAnsi="Arabic Typesetting" w:cs="Arabic Typesetting" w:hint="cs"/>
                <w:color w:val="000000"/>
                <w:sz w:val="28"/>
                <w:szCs w:val="28"/>
                <w:rtl/>
                <w:lang w:bidi="ar-EG"/>
              </w:rPr>
              <w:t>طة طريق تنفيذية</w:t>
            </w:r>
          </w:p>
        </w:tc>
        <w:tc>
          <w:tcPr>
            <w:tcW w:w="588" w:type="dxa"/>
            <w:tcBorders>
              <w:top w:val="nil"/>
              <w:left w:val="nil"/>
              <w:bottom w:val="single" w:sz="4" w:space="0" w:color="auto"/>
              <w:right w:val="single" w:sz="4" w:space="0" w:color="auto"/>
            </w:tcBorders>
            <w:noWrap/>
            <w:vAlign w:val="bottom"/>
          </w:tcPr>
          <w:p w:rsidR="00495D3F" w:rsidRPr="007F4916" w:rsidRDefault="00495D3F" w:rsidP="006E6296">
            <w:pPr>
              <w:spacing w:before="40" w:after="40"/>
              <w:rPr>
                <w:color w:val="000000"/>
                <w:sz w:val="16"/>
                <w:szCs w:val="16"/>
              </w:rPr>
            </w:pPr>
          </w:p>
        </w:tc>
        <w:tc>
          <w:tcPr>
            <w:tcW w:w="588" w:type="dxa"/>
            <w:tcBorders>
              <w:top w:val="nil"/>
              <w:left w:val="nil"/>
              <w:bottom w:val="single" w:sz="4" w:space="0" w:color="auto"/>
              <w:right w:val="single" w:sz="4" w:space="0" w:color="auto"/>
            </w:tcBorders>
            <w:noWrap/>
            <w:vAlign w:val="bottom"/>
          </w:tcPr>
          <w:p w:rsidR="00495D3F" w:rsidRPr="007F4916" w:rsidRDefault="00495D3F" w:rsidP="006E6296">
            <w:pPr>
              <w:spacing w:before="40" w:after="40"/>
              <w:rPr>
                <w:color w:val="000000"/>
                <w:sz w:val="16"/>
                <w:szCs w:val="16"/>
              </w:rPr>
            </w:pPr>
          </w:p>
        </w:tc>
        <w:tc>
          <w:tcPr>
            <w:tcW w:w="588" w:type="dxa"/>
            <w:tcBorders>
              <w:top w:val="nil"/>
              <w:left w:val="nil"/>
              <w:bottom w:val="single" w:sz="4" w:space="0" w:color="auto"/>
              <w:right w:val="single" w:sz="4" w:space="0" w:color="auto"/>
            </w:tcBorders>
            <w:noWrap/>
            <w:vAlign w:val="bottom"/>
          </w:tcPr>
          <w:p w:rsidR="00495D3F" w:rsidRPr="007F4916" w:rsidRDefault="00495D3F" w:rsidP="006E6296">
            <w:pPr>
              <w:spacing w:before="40" w:after="40"/>
              <w:rPr>
                <w:color w:val="000000"/>
                <w:sz w:val="16"/>
                <w:szCs w:val="16"/>
              </w:rPr>
            </w:pPr>
          </w:p>
        </w:tc>
        <w:tc>
          <w:tcPr>
            <w:tcW w:w="588" w:type="dxa"/>
            <w:tcBorders>
              <w:top w:val="nil"/>
              <w:left w:val="nil"/>
              <w:bottom w:val="single" w:sz="4" w:space="0" w:color="auto"/>
              <w:right w:val="single" w:sz="8"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p>
        </w:tc>
        <w:tc>
          <w:tcPr>
            <w:tcW w:w="588" w:type="dxa"/>
            <w:tcBorders>
              <w:top w:val="nil"/>
              <w:left w:val="nil"/>
              <w:bottom w:val="single" w:sz="4" w:space="0" w:color="auto"/>
              <w:right w:val="single" w:sz="8" w:space="0" w:color="auto"/>
            </w:tcBorders>
            <w:noWrap/>
            <w:vAlign w:val="center"/>
          </w:tcPr>
          <w:p w:rsidR="00495D3F" w:rsidRPr="007F4916" w:rsidRDefault="00495D3F" w:rsidP="006E6296">
            <w:pPr>
              <w:spacing w:before="40" w:after="40"/>
              <w:jc w:val="center"/>
              <w:rPr>
                <w:color w:val="000000"/>
                <w:sz w:val="16"/>
                <w:szCs w:val="16"/>
              </w:rPr>
            </w:pP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p>
        </w:tc>
        <w:tc>
          <w:tcPr>
            <w:tcW w:w="588" w:type="dxa"/>
            <w:tcBorders>
              <w:top w:val="nil"/>
              <w:left w:val="nil"/>
              <w:bottom w:val="single" w:sz="4" w:space="0" w:color="auto"/>
              <w:right w:val="single" w:sz="8" w:space="0" w:color="auto"/>
            </w:tcBorders>
            <w:noWrap/>
            <w:vAlign w:val="center"/>
          </w:tcPr>
          <w:p w:rsidR="00495D3F" w:rsidRPr="007F4916" w:rsidRDefault="00495D3F" w:rsidP="006E6296">
            <w:pPr>
              <w:spacing w:before="40" w:after="40"/>
              <w:jc w:val="center"/>
              <w:rPr>
                <w:color w:val="000000"/>
                <w:sz w:val="16"/>
                <w:szCs w:val="16"/>
              </w:rPr>
            </w:pPr>
          </w:p>
        </w:tc>
      </w:tr>
      <w:tr w:rsidR="00495D3F" w:rsidRPr="006D69DC" w:rsidTr="006E6296">
        <w:trPr>
          <w:trHeight w:val="615"/>
          <w:jc w:val="center"/>
        </w:trPr>
        <w:tc>
          <w:tcPr>
            <w:tcW w:w="2335" w:type="dxa"/>
            <w:tcBorders>
              <w:top w:val="nil"/>
              <w:left w:val="single" w:sz="8" w:space="0" w:color="auto"/>
              <w:bottom w:val="single" w:sz="4" w:space="0" w:color="auto"/>
              <w:right w:val="single" w:sz="8" w:space="0" w:color="auto"/>
            </w:tcBorders>
            <w:noWrap/>
            <w:vAlign w:val="bottom"/>
          </w:tcPr>
          <w:p w:rsidR="00495D3F" w:rsidRPr="006D69DC" w:rsidRDefault="00495D3F" w:rsidP="006D69DC">
            <w:pPr>
              <w:bidi/>
              <w:rPr>
                <w:rFonts w:ascii="Arabic Typesetting" w:hAnsi="Arabic Typesetting" w:cs="Arabic Typesetting"/>
                <w:sz w:val="28"/>
                <w:szCs w:val="28"/>
                <w:rtl/>
                <w:lang w:bidi="ar-EG"/>
              </w:rPr>
            </w:pPr>
            <w:r>
              <w:rPr>
                <w:rFonts w:ascii="Arabic Typesetting" w:hAnsi="Arabic Typesetting" w:cs="Arabic Typesetting" w:hint="cs"/>
                <w:color w:val="000000"/>
                <w:sz w:val="28"/>
                <w:szCs w:val="28"/>
                <w:rtl/>
                <w:lang w:bidi="ar-EG"/>
              </w:rPr>
              <w:t>تنفيذ خارطة طريق قائمة على الأولويات</w:t>
            </w:r>
            <w:r w:rsidRPr="006D69DC">
              <w:rPr>
                <w:rFonts w:ascii="Arabic Typesetting" w:hAnsi="Arabic Typesetting" w:cs="Arabic Typesetting" w:hint="cs"/>
                <w:color w:val="000000"/>
                <w:sz w:val="28"/>
                <w:szCs w:val="28"/>
                <w:rtl/>
                <w:lang w:bidi="ar-EG"/>
              </w:rPr>
              <w:t xml:space="preserve"> بشأن القدرات وحالات الاستعمال الخاصة بإدارة الهوية والنفاذ وتشفير البيانات</w:t>
            </w:r>
          </w:p>
        </w:tc>
        <w:tc>
          <w:tcPr>
            <w:tcW w:w="588" w:type="dxa"/>
            <w:tcBorders>
              <w:top w:val="nil"/>
              <w:left w:val="nil"/>
              <w:bottom w:val="single" w:sz="4" w:space="0" w:color="auto"/>
              <w:right w:val="single" w:sz="4" w:space="0" w:color="auto"/>
            </w:tcBorders>
            <w:noWrap/>
            <w:vAlign w:val="bottom"/>
          </w:tcPr>
          <w:p w:rsidR="00495D3F" w:rsidRPr="007F4916" w:rsidRDefault="00495D3F" w:rsidP="006E6296">
            <w:pPr>
              <w:spacing w:before="40" w:after="40"/>
              <w:rPr>
                <w:color w:val="000000"/>
                <w:sz w:val="16"/>
                <w:szCs w:val="16"/>
              </w:rPr>
            </w:pPr>
          </w:p>
        </w:tc>
        <w:tc>
          <w:tcPr>
            <w:tcW w:w="588" w:type="dxa"/>
            <w:tcBorders>
              <w:top w:val="nil"/>
              <w:left w:val="nil"/>
              <w:bottom w:val="single" w:sz="4" w:space="0" w:color="auto"/>
              <w:right w:val="single" w:sz="4" w:space="0" w:color="auto"/>
            </w:tcBorders>
            <w:noWrap/>
            <w:vAlign w:val="bottom"/>
          </w:tcPr>
          <w:p w:rsidR="00495D3F" w:rsidRPr="007F4916" w:rsidRDefault="00495D3F" w:rsidP="006E6296">
            <w:pPr>
              <w:spacing w:before="40" w:after="40"/>
              <w:rPr>
                <w:color w:val="000000"/>
                <w:sz w:val="16"/>
                <w:szCs w:val="16"/>
              </w:rPr>
            </w:pPr>
          </w:p>
        </w:tc>
        <w:tc>
          <w:tcPr>
            <w:tcW w:w="588" w:type="dxa"/>
            <w:tcBorders>
              <w:top w:val="nil"/>
              <w:left w:val="nil"/>
              <w:bottom w:val="single" w:sz="4" w:space="0" w:color="auto"/>
              <w:right w:val="single" w:sz="4" w:space="0" w:color="auto"/>
            </w:tcBorders>
            <w:noWrap/>
            <w:vAlign w:val="bottom"/>
          </w:tcPr>
          <w:p w:rsidR="00495D3F" w:rsidRPr="007F4916" w:rsidRDefault="00495D3F" w:rsidP="006E6296">
            <w:pPr>
              <w:spacing w:before="40" w:after="40"/>
              <w:rPr>
                <w:color w:val="000000"/>
                <w:sz w:val="16"/>
                <w:szCs w:val="16"/>
              </w:rPr>
            </w:pPr>
          </w:p>
        </w:tc>
        <w:tc>
          <w:tcPr>
            <w:tcW w:w="588" w:type="dxa"/>
            <w:tcBorders>
              <w:top w:val="nil"/>
              <w:left w:val="nil"/>
              <w:bottom w:val="single" w:sz="4" w:space="0" w:color="auto"/>
              <w:right w:val="single" w:sz="8" w:space="0" w:color="auto"/>
            </w:tcBorders>
            <w:noWrap/>
            <w:vAlign w:val="center"/>
          </w:tcPr>
          <w:p w:rsidR="00495D3F" w:rsidRPr="007F4916" w:rsidRDefault="00495D3F" w:rsidP="006E6296">
            <w:pPr>
              <w:spacing w:before="40" w:after="40"/>
              <w:jc w:val="center"/>
              <w:rPr>
                <w:color w:val="000000"/>
                <w:sz w:val="16"/>
                <w:szCs w:val="16"/>
              </w:rPr>
            </w:pP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c>
          <w:tcPr>
            <w:tcW w:w="588" w:type="dxa"/>
            <w:tcBorders>
              <w:top w:val="nil"/>
              <w:left w:val="nil"/>
              <w:bottom w:val="single" w:sz="4" w:space="0" w:color="auto"/>
              <w:right w:val="single" w:sz="8"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c>
          <w:tcPr>
            <w:tcW w:w="588" w:type="dxa"/>
            <w:tcBorders>
              <w:top w:val="nil"/>
              <w:left w:val="nil"/>
              <w:bottom w:val="single" w:sz="4" w:space="0" w:color="auto"/>
              <w:right w:val="single" w:sz="4"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c>
          <w:tcPr>
            <w:tcW w:w="588" w:type="dxa"/>
            <w:tcBorders>
              <w:top w:val="nil"/>
              <w:left w:val="nil"/>
              <w:bottom w:val="single" w:sz="4" w:space="0" w:color="auto"/>
              <w:right w:val="single" w:sz="8" w:space="0" w:color="auto"/>
            </w:tcBorders>
            <w:noWrap/>
            <w:vAlign w:val="center"/>
          </w:tcPr>
          <w:p w:rsidR="00495D3F" w:rsidRPr="007F4916" w:rsidRDefault="00495D3F" w:rsidP="006E6296">
            <w:pPr>
              <w:spacing w:before="40" w:after="40"/>
              <w:jc w:val="center"/>
              <w:rPr>
                <w:color w:val="000000"/>
                <w:sz w:val="16"/>
                <w:szCs w:val="16"/>
              </w:rPr>
            </w:pPr>
            <w:r>
              <w:rPr>
                <w:color w:val="000000"/>
                <w:sz w:val="16"/>
                <w:szCs w:val="16"/>
              </w:rPr>
              <w:t>X</w:t>
            </w:r>
          </w:p>
        </w:tc>
      </w:tr>
    </w:tbl>
    <w:p w:rsidR="006D69DC" w:rsidRPr="00D66D09" w:rsidRDefault="006D69DC" w:rsidP="00D66D09">
      <w:pPr>
        <w:keepNext/>
        <w:pageBreakBefore/>
        <w:bidi/>
        <w:spacing w:after="120" w:line="340" w:lineRule="exact"/>
        <w:rPr>
          <w:rFonts w:ascii="Arabic Typesetting" w:hAnsi="Arabic Typesetting" w:cs="Arabic Typesetting"/>
          <w:bCs/>
          <w:sz w:val="34"/>
          <w:szCs w:val="34"/>
          <w:rtl/>
          <w:lang w:bidi="ar-EG"/>
        </w:rPr>
      </w:pPr>
      <w:r w:rsidRPr="00D66D09">
        <w:rPr>
          <w:rFonts w:ascii="Arabic Typesetting" w:hAnsi="Arabic Typesetting" w:cs="Arabic Typesetting"/>
          <w:bCs/>
          <w:sz w:val="34"/>
          <w:szCs w:val="34"/>
          <w:rtl/>
          <w:lang w:bidi="ar-EG"/>
        </w:rPr>
        <w:lastRenderedPageBreak/>
        <w:t>المشروعات المتصلة بتكنولوجيا المعلومات والاتصالات</w:t>
      </w:r>
    </w:p>
    <w:p w:rsidR="006D69DC" w:rsidRPr="00495D3F" w:rsidRDefault="006D69DC" w:rsidP="00495D3F">
      <w:pPr>
        <w:pStyle w:val="Heading4AR"/>
        <w:pageBreakBefore w:val="0"/>
        <w:spacing w:after="120"/>
        <w:ind w:left="0" w:firstLine="0"/>
        <w:rPr>
          <w:i/>
          <w:sz w:val="34"/>
          <w:szCs w:val="34"/>
          <w:rtl/>
        </w:rPr>
      </w:pPr>
      <w:bookmarkStart w:id="156" w:name="_Toc422829676"/>
      <w:bookmarkStart w:id="157" w:name="_Toc455393411"/>
      <w:r w:rsidRPr="00495D3F">
        <w:rPr>
          <w:i/>
          <w:sz w:val="34"/>
          <w:szCs w:val="34"/>
          <w:rtl/>
        </w:rPr>
        <w:t>المشروع</w:t>
      </w:r>
      <w:r w:rsidRPr="00495D3F">
        <w:rPr>
          <w:rFonts w:hint="cs"/>
          <w:i/>
          <w:sz w:val="34"/>
          <w:szCs w:val="34"/>
          <w:rtl/>
        </w:rPr>
        <w:t xml:space="preserve"> 2</w:t>
      </w:r>
      <w:r w:rsidRPr="00495D3F">
        <w:rPr>
          <w:i/>
          <w:sz w:val="34"/>
          <w:szCs w:val="34"/>
          <w:rtl/>
        </w:rPr>
        <w:t>: تنفيذ إدارة المعلومات المؤسسية (</w:t>
      </w:r>
      <w:r w:rsidRPr="00495D3F">
        <w:rPr>
          <w:i/>
          <w:sz w:val="34"/>
          <w:szCs w:val="34"/>
        </w:rPr>
        <w:t>CMP 2</w:t>
      </w:r>
      <w:r w:rsidRPr="00495D3F">
        <w:rPr>
          <w:i/>
          <w:sz w:val="34"/>
          <w:szCs w:val="34"/>
          <w:rtl/>
        </w:rPr>
        <w:t>)</w:t>
      </w:r>
      <w:bookmarkEnd w:id="156"/>
      <w:bookmarkEnd w:id="157"/>
    </w:p>
    <w:p w:rsidR="006D69DC" w:rsidRPr="00365E53" w:rsidRDefault="006D69DC" w:rsidP="00495D3F">
      <w:pPr>
        <w:keepNext/>
        <w:bidi/>
        <w:spacing w:after="240" w:line="340" w:lineRule="exact"/>
        <w:ind w:left="1417" w:hanging="1417"/>
        <w:rPr>
          <w:rFonts w:ascii="Arabic Typesetting" w:hAnsi="Arabic Typesetting" w:cs="Arabic Typesetting"/>
          <w:bCs/>
          <w:sz w:val="34"/>
          <w:szCs w:val="36"/>
          <w:rtl/>
          <w:lang w:val="fr-CH"/>
        </w:rPr>
      </w:pPr>
      <w:r w:rsidRPr="00365E53">
        <w:rPr>
          <w:rFonts w:ascii="Arabic Typesetting" w:hAnsi="Arabic Typesetting" w:cs="Arabic Typesetting"/>
          <w:bCs/>
          <w:sz w:val="34"/>
          <w:szCs w:val="36"/>
          <w:rtl/>
          <w:lang w:val="fr-CH"/>
        </w:rPr>
        <w:t>مدير المشروع</w:t>
      </w:r>
      <w:r w:rsidR="00495D3F">
        <w:rPr>
          <w:rFonts w:ascii="Arabic Typesetting" w:hAnsi="Arabic Typesetting" w:cs="Arabic Typesetting" w:hint="cs"/>
          <w:bCs/>
          <w:sz w:val="34"/>
          <w:szCs w:val="36"/>
          <w:rtl/>
          <w:lang w:val="fr-CH"/>
        </w:rPr>
        <w:t>:</w:t>
      </w:r>
      <w:r w:rsidRPr="00365E53">
        <w:rPr>
          <w:rFonts w:ascii="Arabic Typesetting" w:hAnsi="Arabic Typesetting" w:cs="Arabic Typesetting" w:hint="cs"/>
          <w:bCs/>
          <w:sz w:val="34"/>
          <w:szCs w:val="36"/>
          <w:rtl/>
          <w:lang w:val="fr-CH"/>
        </w:rPr>
        <w:tab/>
        <w:t xml:space="preserve">السيد غراهام </w:t>
      </w:r>
      <w:proofErr w:type="spellStart"/>
      <w:r w:rsidRPr="00365E53">
        <w:rPr>
          <w:rFonts w:ascii="Arabic Typesetting" w:hAnsi="Arabic Typesetting" w:cs="Arabic Typesetting" w:hint="cs"/>
          <w:bCs/>
          <w:sz w:val="34"/>
          <w:szCs w:val="36"/>
          <w:rtl/>
          <w:lang w:val="fr-CH"/>
        </w:rPr>
        <w:t>بيفر</w:t>
      </w:r>
      <w:proofErr w:type="spellEnd"/>
    </w:p>
    <w:p w:rsidR="006D69DC" w:rsidRPr="006D69DC" w:rsidRDefault="006D69DC" w:rsidP="006D69DC">
      <w:pPr>
        <w:keepNext/>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النتيجة المرتقبة</w:t>
      </w:r>
    </w:p>
    <w:p w:rsidR="006D69DC" w:rsidRPr="00AD17C3" w:rsidRDefault="006D69DC" w:rsidP="00AD17C3">
      <w:pPr>
        <w:bidi/>
        <w:spacing w:after="120" w:line="340" w:lineRule="exact"/>
        <w:rPr>
          <w:rFonts w:ascii="Arabic Typesetting" w:hAnsi="Arabic Typesetting" w:cs="Arabic Typesetting"/>
          <w:iCs/>
          <w:sz w:val="34"/>
          <w:szCs w:val="34"/>
          <w:rtl/>
          <w:lang w:bidi="ar-EG"/>
        </w:rPr>
      </w:pPr>
      <w:r w:rsidRPr="00AD17C3">
        <w:rPr>
          <w:rFonts w:ascii="Arabic Typesetting" w:hAnsi="Arabic Typesetting" w:cs="Arabic Typesetting" w:hint="cs"/>
          <w:iCs/>
          <w:sz w:val="34"/>
          <w:szCs w:val="34"/>
          <w:rtl/>
          <w:lang w:bidi="ar-EG"/>
        </w:rPr>
        <w:t>ه2.9</w:t>
      </w:r>
      <w:r w:rsidRPr="00AD17C3">
        <w:rPr>
          <w:rFonts w:ascii="Arabic Typesetting" w:hAnsi="Arabic Typesetting" w:cs="Arabic Typesetting" w:hint="cs"/>
          <w:iCs/>
          <w:sz w:val="34"/>
          <w:szCs w:val="34"/>
          <w:rtl/>
          <w:lang w:bidi="ar-EG"/>
        </w:rPr>
        <w:tab/>
      </w:r>
      <w:r w:rsidR="00AD17C3" w:rsidRPr="00AD17C3">
        <w:rPr>
          <w:rFonts w:ascii="Arabic Typesetting" w:hAnsi="Arabic Typesetting" w:cs="Arabic Typesetting"/>
          <w:iCs/>
          <w:sz w:val="34"/>
          <w:szCs w:val="34"/>
          <w:rtl/>
          <w:lang w:bidi="ar-EG"/>
        </w:rPr>
        <w:t>أمانة تعمل بنشاط وسلاسة بقوى عاملة حسنة الإدارة وذات مهارات مناسبة وتحقق النتائج بكفاءة</w:t>
      </w:r>
    </w:p>
    <w:p w:rsidR="006D69DC" w:rsidRPr="006D69DC" w:rsidRDefault="006D69DC" w:rsidP="00AD17C3">
      <w:pPr>
        <w:keepNext/>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 xml:space="preserve">الأهداف والنطاق والنهج </w:t>
      </w:r>
      <w:r w:rsidR="00AD17C3">
        <w:rPr>
          <w:rFonts w:ascii="Arabic Typesetting" w:hAnsi="Arabic Typesetting" w:cs="Arabic Typesetting"/>
          <w:sz w:val="34"/>
          <w:szCs w:val="34"/>
          <w:rtl/>
          <w:lang w:val="fr-CH"/>
        </w:rPr>
        <w:t>–</w:t>
      </w:r>
      <w:r w:rsidRPr="006D69DC">
        <w:rPr>
          <w:rFonts w:ascii="Arabic Typesetting" w:hAnsi="Arabic Typesetting" w:cs="Arabic Typesetting"/>
          <w:sz w:val="34"/>
          <w:szCs w:val="34"/>
          <w:rtl/>
          <w:lang w:val="fr-CH"/>
        </w:rPr>
        <w:t xml:space="preserve"> معلومات أساسية</w:t>
      </w:r>
    </w:p>
    <w:p w:rsidR="006D69DC" w:rsidRPr="006D69DC" w:rsidRDefault="006D69DC" w:rsidP="00AD17C3">
      <w:pPr>
        <w:numPr>
          <w:ilvl w:val="0"/>
          <w:numId w:val="49"/>
        </w:numPr>
        <w:tabs>
          <w:tab w:val="clear" w:pos="567"/>
        </w:tabs>
        <w:bidi/>
        <w:spacing w:after="120" w:line="340" w:lineRule="exact"/>
        <w:rPr>
          <w:rFonts w:ascii="Arabic Typesetting" w:hAnsi="Arabic Typesetting" w:cs="Arabic Typesetting"/>
          <w:sz w:val="34"/>
          <w:szCs w:val="34"/>
          <w:rtl/>
        </w:rPr>
      </w:pPr>
      <w:r w:rsidRPr="006D69DC">
        <w:rPr>
          <w:rFonts w:ascii="Arabic Typesetting" w:hAnsi="Arabic Typesetting" w:cs="Arabic Typesetting"/>
          <w:sz w:val="34"/>
          <w:szCs w:val="34"/>
          <w:rtl/>
        </w:rPr>
        <w:t xml:space="preserve">يتضمن المشروع استحداث مستودع مؤسسي مركزي لتخزين الوثائق. وسوف يمكِّن </w:t>
      </w:r>
      <w:r w:rsidR="00AD17C3">
        <w:rPr>
          <w:rFonts w:ascii="Arabic Typesetting" w:hAnsi="Arabic Typesetting" w:cs="Arabic Typesetting" w:hint="cs"/>
          <w:sz w:val="34"/>
          <w:szCs w:val="34"/>
          <w:rtl/>
        </w:rPr>
        <w:t>ذلك</w:t>
      </w:r>
      <w:r w:rsidRPr="006D69DC">
        <w:rPr>
          <w:rFonts w:ascii="Arabic Typesetting" w:hAnsi="Arabic Typesetting" w:cs="Arabic Typesetting"/>
          <w:sz w:val="34"/>
          <w:szCs w:val="34"/>
          <w:rtl/>
        </w:rPr>
        <w:t xml:space="preserve"> المستخدمين من العمل معا (التعاون) </w:t>
      </w:r>
      <w:r w:rsidR="00AD17C3">
        <w:rPr>
          <w:rFonts w:ascii="Arabic Typesetting" w:hAnsi="Arabic Typesetting" w:cs="Arabic Typesetting" w:hint="cs"/>
          <w:sz w:val="34"/>
          <w:szCs w:val="34"/>
          <w:rtl/>
        </w:rPr>
        <w:t>على</w:t>
      </w:r>
      <w:r w:rsidRPr="006D69DC">
        <w:rPr>
          <w:rFonts w:ascii="Arabic Typesetting" w:hAnsi="Arabic Typesetting" w:cs="Arabic Typesetting"/>
          <w:sz w:val="34"/>
          <w:szCs w:val="34"/>
          <w:rtl/>
        </w:rPr>
        <w:t xml:space="preserve"> إنشاء الوثائق، والبحث عن المعلومات والنفاذ إليها بسهولة أكبر، وسيسمح بربط الوثائق بالعمليات التي تجري في نظام التخطيط </w:t>
      </w:r>
      <w:r w:rsidRPr="00AD17C3">
        <w:rPr>
          <w:rFonts w:ascii="Arabic Typesetting" w:hAnsi="Arabic Typesetting" w:cs="Arabic Typesetting"/>
          <w:sz w:val="34"/>
          <w:szCs w:val="34"/>
          <w:rtl/>
          <w:lang w:val="fr-CH"/>
        </w:rPr>
        <w:t>للموارد</w:t>
      </w:r>
      <w:r w:rsidRPr="006D69DC">
        <w:rPr>
          <w:rFonts w:ascii="Arabic Typesetting" w:hAnsi="Arabic Typesetting" w:cs="Arabic Typesetting"/>
          <w:sz w:val="34"/>
          <w:szCs w:val="34"/>
          <w:rtl/>
        </w:rPr>
        <w:t xml:space="preserve"> المؤسسية.</w:t>
      </w:r>
    </w:p>
    <w:p w:rsidR="006D69DC" w:rsidRPr="006D69DC" w:rsidRDefault="00AD17C3" w:rsidP="00AD17C3">
      <w:pPr>
        <w:numPr>
          <w:ilvl w:val="0"/>
          <w:numId w:val="49"/>
        </w:numPr>
        <w:tabs>
          <w:tab w:val="clear" w:pos="567"/>
        </w:tabs>
        <w:bidi/>
        <w:spacing w:after="120" w:line="340" w:lineRule="exact"/>
        <w:rPr>
          <w:rFonts w:ascii="Arabic Typesetting" w:hAnsi="Arabic Typesetting" w:cs="Arabic Typesetting"/>
          <w:sz w:val="34"/>
          <w:szCs w:val="34"/>
          <w:rtl/>
        </w:rPr>
      </w:pPr>
      <w:r>
        <w:rPr>
          <w:rFonts w:ascii="Arabic Typesetting" w:hAnsi="Arabic Typesetting" w:cs="Arabic Typesetting"/>
          <w:sz w:val="34"/>
          <w:szCs w:val="34"/>
          <w:rtl/>
        </w:rPr>
        <w:t xml:space="preserve">وقد اقتُرح إجراء تغييرات </w:t>
      </w:r>
      <w:r>
        <w:rPr>
          <w:rFonts w:ascii="Arabic Typesetting" w:hAnsi="Arabic Typesetting" w:cs="Arabic Typesetting" w:hint="cs"/>
          <w:sz w:val="34"/>
          <w:szCs w:val="34"/>
          <w:rtl/>
        </w:rPr>
        <w:t>في</w:t>
      </w:r>
      <w:r w:rsidR="006D69DC" w:rsidRPr="006D69DC">
        <w:rPr>
          <w:rFonts w:ascii="Arabic Typesetting" w:hAnsi="Arabic Typesetting" w:cs="Arabic Typesetting"/>
          <w:sz w:val="34"/>
          <w:szCs w:val="34"/>
          <w:rtl/>
        </w:rPr>
        <w:t xml:space="preserve"> النهج والنطاق خلال مرحلة التخطيط لتنفيذ مشروع إدارة المعلومات المؤسسية دون المساس بالأهداف الأصلية. وترمي هذه التغييرات إلى زيادة احتمال التنفيذ الناجح للتغييرات التنظيمية وعناصر التنفيذ التقني لإدارة المعلومات المؤسسية. ويستند </w:t>
      </w:r>
      <w:r w:rsidR="006D69DC" w:rsidRPr="00AD17C3">
        <w:rPr>
          <w:rFonts w:ascii="Arabic Typesetting" w:hAnsi="Arabic Typesetting" w:cs="Arabic Typesetting"/>
          <w:sz w:val="34"/>
          <w:szCs w:val="34"/>
          <w:rtl/>
          <w:lang w:val="fr-CH"/>
        </w:rPr>
        <w:t>النهج</w:t>
      </w:r>
      <w:r w:rsidR="006D69DC" w:rsidRPr="006D69DC">
        <w:rPr>
          <w:rFonts w:ascii="Arabic Typesetting" w:hAnsi="Arabic Typesetting" w:cs="Arabic Typesetting"/>
          <w:sz w:val="34"/>
          <w:szCs w:val="34"/>
          <w:rtl/>
        </w:rPr>
        <w:t xml:space="preserve"> المعدل إلى تحقيق عدد من "المكاسب المبكرة" على مراحل (مفصلة </w:t>
      </w:r>
      <w:r>
        <w:rPr>
          <w:rFonts w:ascii="Arabic Typesetting" w:hAnsi="Arabic Typesetting" w:cs="Arabic Typesetting" w:hint="cs"/>
          <w:sz w:val="34"/>
          <w:szCs w:val="34"/>
          <w:rtl/>
        </w:rPr>
        <w:t>فيما يلي</w:t>
      </w:r>
      <w:r w:rsidR="006D69DC" w:rsidRPr="006D69DC">
        <w:rPr>
          <w:rFonts w:ascii="Arabic Typesetting" w:hAnsi="Arabic Typesetting" w:cs="Arabic Typesetting"/>
          <w:sz w:val="34"/>
          <w:szCs w:val="34"/>
          <w:rtl/>
        </w:rPr>
        <w:t>)، بحيث تحقق قطاعات تجارية محددة منافع تجارية من خلال أتمتة عدد من عملياتها المرتكزة على الوثائق، وذلك قبل نشر المشروع على صعيد المؤسسة.</w:t>
      </w:r>
    </w:p>
    <w:p w:rsidR="006D69DC" w:rsidRPr="006D69DC" w:rsidRDefault="006D69DC" w:rsidP="00AD17C3">
      <w:pPr>
        <w:numPr>
          <w:ilvl w:val="0"/>
          <w:numId w:val="49"/>
        </w:numPr>
        <w:tabs>
          <w:tab w:val="clear" w:pos="567"/>
        </w:tabs>
        <w:bidi/>
        <w:spacing w:after="120" w:line="340" w:lineRule="exact"/>
        <w:rPr>
          <w:rFonts w:ascii="Arabic Typesetting" w:hAnsi="Arabic Typesetting" w:cs="Arabic Typesetting"/>
          <w:sz w:val="34"/>
          <w:szCs w:val="34"/>
          <w:rtl/>
        </w:rPr>
      </w:pPr>
      <w:r w:rsidRPr="006D69DC">
        <w:rPr>
          <w:rFonts w:ascii="Arabic Typesetting" w:hAnsi="Arabic Typesetting" w:cs="Arabic Typesetting"/>
          <w:sz w:val="34"/>
          <w:szCs w:val="34"/>
          <w:rtl/>
        </w:rPr>
        <w:t xml:space="preserve">وأهداف إدارة </w:t>
      </w:r>
      <w:r w:rsidRPr="00AD17C3">
        <w:rPr>
          <w:rFonts w:ascii="Arabic Typesetting" w:hAnsi="Arabic Typesetting" w:cs="Arabic Typesetting"/>
          <w:sz w:val="34"/>
          <w:szCs w:val="34"/>
          <w:rtl/>
          <w:lang w:val="fr-CH"/>
        </w:rPr>
        <w:t>المعلومات</w:t>
      </w:r>
      <w:r w:rsidRPr="006D69DC">
        <w:rPr>
          <w:rFonts w:ascii="Arabic Typesetting" w:hAnsi="Arabic Typesetting" w:cs="Arabic Typesetting"/>
          <w:sz w:val="34"/>
          <w:szCs w:val="34"/>
          <w:rtl/>
        </w:rPr>
        <w:t xml:space="preserve"> المؤسسية هي:</w:t>
      </w:r>
    </w:p>
    <w:p w:rsidR="006D69DC" w:rsidRPr="006D69DC"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6D69DC">
        <w:rPr>
          <w:rFonts w:ascii="Arabic Typesetting" w:hAnsi="Arabic Typesetting" w:cs="Arabic Typesetting"/>
          <w:sz w:val="34"/>
          <w:szCs w:val="34"/>
          <w:rtl/>
        </w:rPr>
        <w:t>تنفيذ نظام على مستوى المنظمة لتخزين وثائق الويبو وسجلاتها ومحفوظاتها واسترجاع هذه الوثائق والسجلات والمحفوظات وإدارتها (تطبيق إدارة المعلومات المؤسسية)؛</w:t>
      </w:r>
    </w:p>
    <w:p w:rsidR="006D69DC" w:rsidRPr="006D69DC"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تنفيذ تكوينات مخصصة حسب العمليات فيما يتعلق بعمليات إدارة المعلومات المؤسسية داخل تطبيق إدارة المعلومات المؤسسية لدعم العمليات التجارية الغنية بالمحتوى. وقد تكون هذه العمليات خاصة بقطاعات محددة أو</w:t>
      </w:r>
      <w:r w:rsidR="00AD17C3">
        <w:rPr>
          <w:rFonts w:ascii="Arabic Typesetting" w:hAnsi="Arabic Typesetting" w:cs="Arabic Typesetting" w:hint="cs"/>
          <w:sz w:val="34"/>
          <w:szCs w:val="34"/>
          <w:rtl/>
        </w:rPr>
        <w:t> </w:t>
      </w:r>
      <w:r w:rsidRPr="006D69DC">
        <w:rPr>
          <w:rFonts w:ascii="Arabic Typesetting" w:hAnsi="Arabic Typesetting" w:cs="Arabic Typesetting"/>
          <w:sz w:val="34"/>
          <w:szCs w:val="34"/>
          <w:rtl/>
        </w:rPr>
        <w:t>على مستوى المنظمة؛</w:t>
      </w:r>
    </w:p>
    <w:p w:rsidR="006D69DC" w:rsidRPr="006D69DC"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6D69DC">
        <w:rPr>
          <w:rFonts w:ascii="Arabic Typesetting" w:hAnsi="Arabic Typesetting" w:cs="Arabic Typesetting" w:hint="cs"/>
          <w:sz w:val="34"/>
          <w:szCs w:val="34"/>
          <w:rtl/>
        </w:rPr>
        <w:t>و</w:t>
      </w:r>
      <w:r w:rsidR="00AD17C3">
        <w:rPr>
          <w:rFonts w:ascii="Arabic Typesetting" w:hAnsi="Arabic Typesetting" w:cs="Arabic Typesetting" w:hint="cs"/>
          <w:sz w:val="34"/>
          <w:szCs w:val="34"/>
          <w:rtl/>
        </w:rPr>
        <w:t xml:space="preserve">تحقيق </w:t>
      </w:r>
      <w:r w:rsidRPr="006D69DC">
        <w:rPr>
          <w:rFonts w:ascii="Arabic Typesetting" w:hAnsi="Arabic Typesetting" w:cs="Arabic Typesetting"/>
          <w:sz w:val="34"/>
          <w:szCs w:val="34"/>
          <w:rtl/>
        </w:rPr>
        <w:t>التكامل عند الحاجة مع المكونات الفرعية لنظام التخطيط للموارد المؤسسية للسماح بربط المحتوى الداعم (المحفوظ في تطبيق إدارة المعلومات المؤسسية) بسجلات المعاملات (المحفوظة في نظام التخطيط للموارد المؤسسية) حسبما تتطلب العمليات التجارية المنفذة في نظام التخطيط للموارد المؤسسية؛</w:t>
      </w:r>
    </w:p>
    <w:p w:rsidR="006D69DC" w:rsidRPr="006D69DC" w:rsidRDefault="00AD17C3" w:rsidP="0099688F">
      <w:pPr>
        <w:numPr>
          <w:ilvl w:val="0"/>
          <w:numId w:val="61"/>
        </w:numPr>
        <w:bidi/>
        <w:spacing w:after="120" w:line="340" w:lineRule="exact"/>
        <w:ind w:left="1134" w:hanging="567"/>
        <w:rPr>
          <w:rFonts w:ascii="Arabic Typesetting" w:hAnsi="Arabic Typesetting" w:cs="Arabic Typesetting"/>
          <w:sz w:val="34"/>
          <w:szCs w:val="34"/>
          <w:rtl/>
        </w:rPr>
      </w:pPr>
      <w:r>
        <w:rPr>
          <w:rFonts w:ascii="Arabic Typesetting" w:hAnsi="Arabic Typesetting" w:cs="Arabic Typesetting" w:hint="cs"/>
          <w:sz w:val="34"/>
          <w:szCs w:val="34"/>
          <w:rtl/>
        </w:rPr>
        <w:t>واستضافة</w:t>
      </w:r>
      <w:r w:rsidR="006D69DC" w:rsidRPr="006D69DC">
        <w:rPr>
          <w:rFonts w:ascii="Arabic Typesetting" w:hAnsi="Arabic Typesetting" w:cs="Arabic Typesetting"/>
          <w:sz w:val="34"/>
          <w:szCs w:val="34"/>
          <w:rtl/>
        </w:rPr>
        <w:t xml:space="preserve"> </w:t>
      </w:r>
      <w:r>
        <w:rPr>
          <w:rFonts w:ascii="Arabic Typesetting" w:hAnsi="Arabic Typesetting" w:cs="Arabic Typesetting" w:hint="cs"/>
          <w:sz w:val="34"/>
          <w:szCs w:val="34"/>
          <w:rtl/>
        </w:rPr>
        <w:t xml:space="preserve">كل </w:t>
      </w:r>
      <w:r w:rsidR="006D69DC" w:rsidRPr="006D69DC">
        <w:rPr>
          <w:rFonts w:ascii="Arabic Typesetting" w:hAnsi="Arabic Typesetting" w:cs="Arabic Typesetting"/>
          <w:sz w:val="34"/>
          <w:szCs w:val="34"/>
          <w:rtl/>
        </w:rPr>
        <w:t xml:space="preserve">من تطبيق إدارة المعلومات المؤسسية والبنية التحتية الداعمة </w:t>
      </w:r>
      <w:r>
        <w:rPr>
          <w:rFonts w:ascii="Arabic Typesetting" w:hAnsi="Arabic Typesetting" w:cs="Arabic Typesetting" w:hint="cs"/>
          <w:sz w:val="34"/>
          <w:szCs w:val="34"/>
          <w:rtl/>
        </w:rPr>
        <w:t>وإدارتهما</w:t>
      </w:r>
      <w:r w:rsidR="006D69DC" w:rsidRPr="006D69DC">
        <w:rPr>
          <w:rFonts w:ascii="Arabic Typesetting" w:hAnsi="Arabic Typesetting" w:cs="Arabic Typesetting"/>
          <w:sz w:val="34"/>
          <w:szCs w:val="34"/>
          <w:rtl/>
        </w:rPr>
        <w:t xml:space="preserve"> بطريقة تسمح بت</w:t>
      </w:r>
      <w:r>
        <w:rPr>
          <w:rFonts w:ascii="Arabic Typesetting" w:hAnsi="Arabic Typesetting" w:cs="Arabic Typesetting" w:hint="cs"/>
          <w:sz w:val="34"/>
          <w:szCs w:val="34"/>
          <w:rtl/>
        </w:rPr>
        <w:t>حقيق</w:t>
      </w:r>
      <w:r w:rsidR="006D69DC" w:rsidRPr="006D69DC">
        <w:rPr>
          <w:rFonts w:ascii="Arabic Typesetting" w:hAnsi="Arabic Typesetting" w:cs="Arabic Typesetting"/>
          <w:sz w:val="34"/>
          <w:szCs w:val="34"/>
          <w:rtl/>
        </w:rPr>
        <w:t xml:space="preserve"> أهداف هذا النظام من ناحية ت</w:t>
      </w:r>
      <w:r>
        <w:rPr>
          <w:rFonts w:ascii="Arabic Typesetting" w:hAnsi="Arabic Typesetting" w:cs="Arabic Typesetting"/>
          <w:sz w:val="34"/>
          <w:szCs w:val="34"/>
          <w:rtl/>
        </w:rPr>
        <w:t>وفير الخدمة وتحقيق الأمن استناد</w:t>
      </w:r>
      <w:r w:rsidR="006D69DC" w:rsidRPr="006D69DC">
        <w:rPr>
          <w:rFonts w:ascii="Arabic Typesetting" w:hAnsi="Arabic Typesetting" w:cs="Arabic Typesetting"/>
          <w:sz w:val="34"/>
          <w:szCs w:val="34"/>
          <w:rtl/>
        </w:rPr>
        <w:t>ا</w:t>
      </w:r>
      <w:r>
        <w:rPr>
          <w:rFonts w:ascii="Arabic Typesetting" w:hAnsi="Arabic Typesetting" w:cs="Arabic Typesetting" w:hint="cs"/>
          <w:sz w:val="34"/>
          <w:szCs w:val="34"/>
          <w:rtl/>
        </w:rPr>
        <w:t>ً</w:t>
      </w:r>
      <w:r w:rsidR="006D69DC" w:rsidRPr="006D69DC">
        <w:rPr>
          <w:rFonts w:ascii="Arabic Typesetting" w:hAnsi="Arabic Typesetting" w:cs="Arabic Typesetting"/>
          <w:sz w:val="34"/>
          <w:szCs w:val="34"/>
          <w:rtl/>
        </w:rPr>
        <w:t xml:space="preserve"> إلى </w:t>
      </w:r>
      <w:r>
        <w:rPr>
          <w:rFonts w:ascii="Arabic Typesetting" w:hAnsi="Arabic Typesetting" w:cs="Arabic Typesetting" w:hint="cs"/>
          <w:sz w:val="34"/>
          <w:szCs w:val="34"/>
          <w:rtl/>
        </w:rPr>
        <w:t xml:space="preserve">أهمية </w:t>
      </w:r>
      <w:r w:rsidR="006D69DC" w:rsidRPr="006D69DC">
        <w:rPr>
          <w:rFonts w:ascii="Arabic Typesetting" w:hAnsi="Arabic Typesetting" w:cs="Arabic Typesetting"/>
          <w:sz w:val="34"/>
          <w:szCs w:val="34"/>
          <w:rtl/>
        </w:rPr>
        <w:t>ضرورته التجارية؛</w:t>
      </w:r>
    </w:p>
    <w:p w:rsidR="006D69DC" w:rsidRPr="00AD17C3" w:rsidRDefault="00AD17C3" w:rsidP="0099688F">
      <w:pPr>
        <w:numPr>
          <w:ilvl w:val="0"/>
          <w:numId w:val="61"/>
        </w:numPr>
        <w:bidi/>
        <w:spacing w:after="120" w:line="340" w:lineRule="exact"/>
        <w:ind w:left="1134" w:hanging="567"/>
        <w:rPr>
          <w:rFonts w:ascii="Arabic Typesetting" w:hAnsi="Arabic Typesetting" w:cs="Arabic Typesetting"/>
          <w:sz w:val="34"/>
          <w:szCs w:val="34"/>
          <w:rtl/>
        </w:rPr>
      </w:pPr>
      <w:r>
        <w:rPr>
          <w:rFonts w:ascii="Arabic Typesetting" w:hAnsi="Arabic Typesetting" w:cs="Arabic Typesetting" w:hint="cs"/>
          <w:sz w:val="34"/>
          <w:szCs w:val="34"/>
          <w:rtl/>
        </w:rPr>
        <w:t>وامتثال</w:t>
      </w:r>
      <w:r w:rsidR="006D69DC" w:rsidRPr="00AD17C3">
        <w:rPr>
          <w:rFonts w:ascii="Arabic Typesetting" w:hAnsi="Arabic Typesetting" w:cs="Arabic Typesetting"/>
          <w:sz w:val="34"/>
          <w:szCs w:val="34"/>
          <w:rtl/>
        </w:rPr>
        <w:t xml:space="preserve"> تنفيذ مكونات تطبيق إدارة المعلومات المؤسسية والعمليات الداعمة فما يتعلق بالسجلات والمحفوظات مع سياسة الويبو بشأن إدارة السجلات والمحفوظات (</w:t>
      </w:r>
      <w:r w:rsidR="006D69DC" w:rsidRPr="00AD17C3">
        <w:rPr>
          <w:rFonts w:ascii="Arabic Typesetting" w:hAnsi="Arabic Typesetting" w:cs="Arabic Typesetting" w:hint="cs"/>
          <w:sz w:val="34"/>
          <w:szCs w:val="34"/>
          <w:rtl/>
        </w:rPr>
        <w:t>التعميم الإداري</w:t>
      </w:r>
      <w:r w:rsidR="006D69DC" w:rsidRPr="00AD17C3">
        <w:rPr>
          <w:rFonts w:ascii="Arabic Typesetting" w:hAnsi="Arabic Typesetting" w:cs="Arabic Typesetting" w:hint="eastAsia"/>
          <w:sz w:val="34"/>
          <w:szCs w:val="34"/>
          <w:rtl/>
        </w:rPr>
        <w:t> </w:t>
      </w:r>
      <w:r w:rsidR="006D69DC" w:rsidRPr="00AD17C3">
        <w:rPr>
          <w:rFonts w:ascii="Arabic Typesetting" w:hAnsi="Arabic Typesetting" w:cs="Arabic Typesetting"/>
          <w:sz w:val="34"/>
          <w:szCs w:val="34"/>
        </w:rPr>
        <w:t>15/2013</w:t>
      </w:r>
      <w:r w:rsidR="006D69DC" w:rsidRPr="00AD17C3">
        <w:rPr>
          <w:rFonts w:ascii="Arabic Typesetting" w:hAnsi="Arabic Typesetting" w:cs="Arabic Typesetting"/>
          <w:sz w:val="34"/>
          <w:szCs w:val="34"/>
          <w:rtl/>
        </w:rPr>
        <w:t>)؛</w:t>
      </w:r>
    </w:p>
    <w:p w:rsidR="006D69DC" w:rsidRPr="00AD17C3" w:rsidRDefault="00AD17C3" w:rsidP="0099688F">
      <w:pPr>
        <w:numPr>
          <w:ilvl w:val="0"/>
          <w:numId w:val="61"/>
        </w:numPr>
        <w:bidi/>
        <w:spacing w:after="120" w:line="340" w:lineRule="exact"/>
        <w:ind w:left="1134" w:hanging="567"/>
        <w:rPr>
          <w:rFonts w:ascii="Arabic Typesetting" w:hAnsi="Arabic Typesetting" w:cs="Arabic Typesetting"/>
          <w:sz w:val="34"/>
          <w:szCs w:val="34"/>
          <w:rtl/>
        </w:rPr>
      </w:pPr>
      <w:r>
        <w:rPr>
          <w:rFonts w:ascii="Arabic Typesetting" w:hAnsi="Arabic Typesetting" w:cs="Arabic Typesetting" w:hint="cs"/>
          <w:sz w:val="34"/>
          <w:szCs w:val="34"/>
          <w:rtl/>
        </w:rPr>
        <w:t>وتدريب</w:t>
      </w:r>
      <w:r w:rsidR="006D69DC" w:rsidRPr="00AD17C3">
        <w:rPr>
          <w:rFonts w:ascii="Arabic Typesetting" w:hAnsi="Arabic Typesetting" w:cs="Arabic Typesetting"/>
          <w:sz w:val="34"/>
          <w:szCs w:val="34"/>
          <w:rtl/>
        </w:rPr>
        <w:t xml:space="preserve"> المستخدم</w:t>
      </w:r>
      <w:r>
        <w:rPr>
          <w:rFonts w:ascii="Arabic Typesetting" w:hAnsi="Arabic Typesetting" w:cs="Arabic Typesetting" w:hint="cs"/>
          <w:sz w:val="34"/>
          <w:szCs w:val="34"/>
          <w:rtl/>
        </w:rPr>
        <w:t>ي</w:t>
      </w:r>
      <w:r w:rsidR="006D69DC" w:rsidRPr="00AD17C3">
        <w:rPr>
          <w:rFonts w:ascii="Arabic Typesetting" w:hAnsi="Arabic Typesetting" w:cs="Arabic Typesetting"/>
          <w:sz w:val="34"/>
          <w:szCs w:val="34"/>
          <w:rtl/>
        </w:rPr>
        <w:t>ن النهائي</w:t>
      </w:r>
      <w:r>
        <w:rPr>
          <w:rFonts w:ascii="Arabic Typesetting" w:hAnsi="Arabic Typesetting" w:cs="Arabic Typesetting" w:hint="cs"/>
          <w:sz w:val="34"/>
          <w:szCs w:val="34"/>
          <w:rtl/>
        </w:rPr>
        <w:t>ي</w:t>
      </w:r>
      <w:r w:rsidR="006D69DC" w:rsidRPr="00AD17C3">
        <w:rPr>
          <w:rFonts w:ascii="Arabic Typesetting" w:hAnsi="Arabic Typesetting" w:cs="Arabic Typesetting"/>
          <w:sz w:val="34"/>
          <w:szCs w:val="34"/>
          <w:rtl/>
        </w:rPr>
        <w:t xml:space="preserve">ن على استخدام النظام فضلاً عن العمليات والإجراءات لضمان الامتثال التشغيلي المستمر مع سياسة الويبو </w:t>
      </w:r>
      <w:r w:rsidR="006D69DC" w:rsidRPr="00AD17C3">
        <w:rPr>
          <w:rFonts w:ascii="Arabic Typesetting" w:hAnsi="Arabic Typesetting" w:cs="Arabic Typesetting" w:hint="cs"/>
          <w:sz w:val="34"/>
          <w:szCs w:val="34"/>
          <w:rtl/>
        </w:rPr>
        <w:t>الواردة في التعميم الإداري</w:t>
      </w:r>
      <w:r w:rsidR="006D69DC" w:rsidRPr="00AD17C3">
        <w:rPr>
          <w:rFonts w:ascii="Arabic Typesetting" w:hAnsi="Arabic Typesetting" w:cs="Arabic Typesetting" w:hint="eastAsia"/>
          <w:sz w:val="34"/>
          <w:szCs w:val="34"/>
          <w:rtl/>
        </w:rPr>
        <w:t> </w:t>
      </w:r>
      <w:r w:rsidR="006D69DC" w:rsidRPr="00AD17C3">
        <w:rPr>
          <w:rFonts w:ascii="Arabic Typesetting" w:hAnsi="Arabic Typesetting" w:cs="Arabic Typesetting"/>
          <w:sz w:val="34"/>
          <w:szCs w:val="34"/>
        </w:rPr>
        <w:t>15/2013</w:t>
      </w:r>
      <w:r w:rsidR="006D69DC" w:rsidRPr="00AD17C3">
        <w:rPr>
          <w:rFonts w:ascii="Arabic Typesetting" w:hAnsi="Arabic Typesetting" w:cs="Arabic Typesetting"/>
          <w:sz w:val="34"/>
          <w:szCs w:val="34"/>
          <w:rtl/>
        </w:rPr>
        <w:t xml:space="preserve"> (عمليات إدارة المعلومات المؤسسية)؛</w:t>
      </w:r>
    </w:p>
    <w:p w:rsidR="006D69DC" w:rsidRPr="00AD17C3" w:rsidRDefault="00AD17C3" w:rsidP="0099688F">
      <w:pPr>
        <w:numPr>
          <w:ilvl w:val="0"/>
          <w:numId w:val="61"/>
        </w:numPr>
        <w:bidi/>
        <w:spacing w:after="120" w:line="340" w:lineRule="exact"/>
        <w:ind w:left="1134" w:hanging="567"/>
        <w:rPr>
          <w:rFonts w:ascii="Arabic Typesetting" w:hAnsi="Arabic Typesetting" w:cs="Arabic Typesetting"/>
          <w:sz w:val="34"/>
          <w:szCs w:val="34"/>
          <w:rtl/>
        </w:rPr>
      </w:pPr>
      <w:r>
        <w:rPr>
          <w:rFonts w:ascii="Arabic Typesetting" w:hAnsi="Arabic Typesetting" w:cs="Arabic Typesetting" w:hint="cs"/>
          <w:sz w:val="34"/>
          <w:szCs w:val="34"/>
          <w:rtl/>
        </w:rPr>
        <w:t>ووضع</w:t>
      </w:r>
      <w:r w:rsidR="006D69DC" w:rsidRPr="00AD17C3">
        <w:rPr>
          <w:rFonts w:ascii="Arabic Typesetting" w:hAnsi="Arabic Typesetting" w:cs="Arabic Typesetting"/>
          <w:sz w:val="34"/>
          <w:szCs w:val="34"/>
          <w:rtl/>
        </w:rPr>
        <w:t xml:space="preserve"> ضوابط أمنية كافية</w:t>
      </w:r>
      <w:r>
        <w:rPr>
          <w:rFonts w:ascii="Arabic Typesetting" w:hAnsi="Arabic Typesetting" w:cs="Arabic Typesetting" w:hint="cs"/>
          <w:sz w:val="34"/>
          <w:szCs w:val="34"/>
          <w:rtl/>
        </w:rPr>
        <w:t xml:space="preserve"> في النظام</w:t>
      </w:r>
      <w:r w:rsidR="006D69DC" w:rsidRPr="00AD17C3">
        <w:rPr>
          <w:rFonts w:ascii="Arabic Typesetting" w:hAnsi="Arabic Typesetting" w:cs="Arabic Typesetting"/>
          <w:sz w:val="34"/>
          <w:szCs w:val="34"/>
          <w:rtl/>
        </w:rPr>
        <w:t xml:space="preserve"> للحفاظ على الامتثال مع سياسات الويبو الأمنية؛</w:t>
      </w:r>
    </w:p>
    <w:p w:rsidR="006D69DC" w:rsidRPr="00AD17C3"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AD17C3">
        <w:rPr>
          <w:rFonts w:ascii="Arabic Typesetting" w:hAnsi="Arabic Typesetting" w:cs="Arabic Typesetting" w:hint="cs"/>
          <w:sz w:val="34"/>
          <w:szCs w:val="34"/>
          <w:rtl/>
        </w:rPr>
        <w:t>و</w:t>
      </w:r>
      <w:r w:rsidRPr="00AD17C3">
        <w:rPr>
          <w:rFonts w:ascii="Arabic Typesetting" w:hAnsi="Arabic Typesetting" w:cs="Arabic Typesetting"/>
          <w:sz w:val="34"/>
          <w:szCs w:val="34"/>
          <w:rtl/>
        </w:rPr>
        <w:t>إنجاز كل من تصميم تطبيق إدارة المعلومات المؤسسية، وشراء الترخيص، و</w:t>
      </w:r>
      <w:r w:rsidR="00AD17C3">
        <w:rPr>
          <w:rFonts w:ascii="Arabic Typesetting" w:hAnsi="Arabic Typesetting" w:cs="Arabic Typesetting" w:hint="cs"/>
          <w:sz w:val="34"/>
          <w:szCs w:val="34"/>
          <w:rtl/>
        </w:rPr>
        <w:t>ال</w:t>
      </w:r>
      <w:r w:rsidRPr="00AD17C3">
        <w:rPr>
          <w:rFonts w:ascii="Arabic Typesetting" w:hAnsi="Arabic Typesetting" w:cs="Arabic Typesetting"/>
          <w:sz w:val="34"/>
          <w:szCs w:val="34"/>
          <w:rtl/>
        </w:rPr>
        <w:t xml:space="preserve">تكوين </w:t>
      </w:r>
      <w:r w:rsidR="00AD17C3">
        <w:rPr>
          <w:rFonts w:ascii="Arabic Typesetting" w:hAnsi="Arabic Typesetting" w:cs="Arabic Typesetting" w:hint="cs"/>
          <w:sz w:val="34"/>
          <w:szCs w:val="34"/>
          <w:rtl/>
        </w:rPr>
        <w:t>الأساسي</w:t>
      </w:r>
      <w:r w:rsidRPr="00AD17C3">
        <w:rPr>
          <w:rFonts w:ascii="Arabic Typesetting" w:hAnsi="Arabic Typesetting" w:cs="Arabic Typesetting"/>
          <w:sz w:val="34"/>
          <w:szCs w:val="34"/>
          <w:rtl/>
        </w:rPr>
        <w:t>، والتكوينات الفردية الخاصة بمشروع "المكاسب المبكرة"، وفعالية</w:t>
      </w:r>
      <w:r w:rsidR="00AD17C3">
        <w:rPr>
          <w:rFonts w:ascii="Arabic Typesetting" w:hAnsi="Arabic Typesetting" w:cs="Arabic Typesetting" w:hint="cs"/>
          <w:sz w:val="34"/>
          <w:szCs w:val="34"/>
          <w:rtl/>
        </w:rPr>
        <w:t xml:space="preserve"> النظام الأساسي</w:t>
      </w:r>
      <w:r w:rsidRPr="00AD17C3">
        <w:rPr>
          <w:rFonts w:ascii="Arabic Typesetting" w:hAnsi="Arabic Typesetting" w:cs="Arabic Typesetting"/>
          <w:sz w:val="34"/>
          <w:szCs w:val="34"/>
          <w:rtl/>
        </w:rPr>
        <w:t xml:space="preserve"> لإدارة المعلومات المؤسسية التامة على مستوى المنظمة، وتدريب المستخدمين، وتحويل التشغيل المباشر الرفيع المستوى ضمن الميزانية المخصصة للمشروع في إطار الخطة الرأسمالية الرئيسية (انظر</w:t>
      </w:r>
      <w:r w:rsidR="00AD17C3">
        <w:rPr>
          <w:rFonts w:ascii="Arabic Typesetting" w:hAnsi="Arabic Typesetting" w:cs="Arabic Typesetting" w:hint="cs"/>
          <w:sz w:val="34"/>
          <w:szCs w:val="34"/>
          <w:rtl/>
        </w:rPr>
        <w:t xml:space="preserve"> الوثيقة</w:t>
      </w:r>
      <w:r w:rsidRPr="00AD17C3">
        <w:rPr>
          <w:rFonts w:ascii="Arabic Typesetting" w:hAnsi="Arabic Typesetting" w:cs="Arabic Typesetting"/>
          <w:sz w:val="34"/>
          <w:szCs w:val="34"/>
          <w:rtl/>
        </w:rPr>
        <w:t xml:space="preserve"> </w:t>
      </w:r>
      <w:r w:rsidRPr="00AD17C3">
        <w:rPr>
          <w:rFonts w:ascii="Arabic Typesetting" w:hAnsi="Arabic Typesetting" w:cs="Arabic Typesetting"/>
          <w:sz w:val="34"/>
          <w:szCs w:val="34"/>
        </w:rPr>
        <w:t>WO/PBC/21/18</w:t>
      </w:r>
      <w:r w:rsidR="00AD17C3">
        <w:rPr>
          <w:rFonts w:ascii="Arabic Typesetting" w:hAnsi="Arabic Typesetting" w:cs="Arabic Typesetting" w:hint="cs"/>
          <w:sz w:val="34"/>
          <w:szCs w:val="34"/>
          <w:rtl/>
        </w:rPr>
        <w:t xml:space="preserve"> الصادرة</w:t>
      </w:r>
      <w:r w:rsidRPr="00AD17C3">
        <w:rPr>
          <w:rFonts w:ascii="Arabic Typesetting" w:hAnsi="Arabic Typesetting" w:cs="Arabic Typesetting"/>
          <w:sz w:val="34"/>
          <w:szCs w:val="34"/>
          <w:rtl/>
        </w:rPr>
        <w:t xml:space="preserve"> </w:t>
      </w:r>
      <w:r w:rsidR="00AD17C3">
        <w:rPr>
          <w:rFonts w:ascii="Arabic Typesetting" w:hAnsi="Arabic Typesetting" w:cs="Arabic Typesetting" w:hint="cs"/>
          <w:sz w:val="34"/>
          <w:szCs w:val="34"/>
          <w:rtl/>
        </w:rPr>
        <w:t>في 31</w:t>
      </w:r>
      <w:r w:rsidRPr="00AD17C3">
        <w:rPr>
          <w:rFonts w:ascii="Arabic Typesetting" w:hAnsi="Arabic Typesetting" w:cs="Arabic Typesetting"/>
          <w:sz w:val="34"/>
          <w:szCs w:val="34"/>
          <w:rtl/>
        </w:rPr>
        <w:t xml:space="preserve"> يوليو 2013).</w:t>
      </w:r>
    </w:p>
    <w:p w:rsidR="006D69DC" w:rsidRPr="006D69DC" w:rsidRDefault="006D69DC" w:rsidP="00AD17C3">
      <w:pPr>
        <w:numPr>
          <w:ilvl w:val="0"/>
          <w:numId w:val="49"/>
        </w:numPr>
        <w:tabs>
          <w:tab w:val="clear" w:pos="567"/>
        </w:tabs>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hint="cs"/>
          <w:sz w:val="34"/>
          <w:szCs w:val="34"/>
          <w:rtl/>
          <w:lang w:val="fr-CH"/>
        </w:rPr>
        <w:lastRenderedPageBreak/>
        <w:t>و</w:t>
      </w:r>
      <w:r w:rsidRPr="006D69DC">
        <w:rPr>
          <w:rFonts w:ascii="Arabic Typesetting" w:hAnsi="Arabic Typesetting" w:cs="Arabic Typesetting"/>
          <w:sz w:val="34"/>
          <w:szCs w:val="34"/>
          <w:rtl/>
          <w:lang w:val="fr-CH"/>
        </w:rPr>
        <w:t>سيُقسم المشروع إلى عدد من المراحل/المشروعات الفرعية، بحيث يحقق كل منها مجموعة من الفوائد التجارية لصالح مجال تجاري أو أكثر. وسيتضمن كل مشروع فرعي:</w:t>
      </w:r>
    </w:p>
    <w:p w:rsidR="006D69DC" w:rsidRPr="00AD17C3" w:rsidRDefault="00737EDC" w:rsidP="0099688F">
      <w:pPr>
        <w:numPr>
          <w:ilvl w:val="0"/>
          <w:numId w:val="61"/>
        </w:numPr>
        <w:bidi/>
        <w:spacing w:after="120" w:line="340" w:lineRule="exact"/>
        <w:ind w:left="1134" w:hanging="567"/>
        <w:rPr>
          <w:rFonts w:ascii="Arabic Typesetting" w:hAnsi="Arabic Typesetting" w:cs="Arabic Typesetting"/>
          <w:sz w:val="34"/>
          <w:szCs w:val="34"/>
          <w:rtl/>
        </w:rPr>
      </w:pPr>
      <w:r>
        <w:rPr>
          <w:rFonts w:ascii="Arabic Typesetting" w:hAnsi="Arabic Typesetting" w:cs="Arabic Typesetting" w:hint="cs"/>
          <w:sz w:val="34"/>
          <w:szCs w:val="34"/>
          <w:rtl/>
        </w:rPr>
        <w:t>إجراء ال</w:t>
      </w:r>
      <w:r w:rsidR="006D69DC" w:rsidRPr="00AD17C3">
        <w:rPr>
          <w:rFonts w:ascii="Arabic Typesetting" w:hAnsi="Arabic Typesetting" w:cs="Arabic Typesetting"/>
          <w:sz w:val="34"/>
          <w:szCs w:val="34"/>
          <w:rtl/>
        </w:rPr>
        <w:t>تحليل المطلوب لتحديد العملية</w:t>
      </w:r>
      <w:r>
        <w:rPr>
          <w:rFonts w:ascii="Arabic Typesetting" w:hAnsi="Arabic Typesetting" w:cs="Arabic Typesetting" w:hint="cs"/>
          <w:sz w:val="34"/>
          <w:szCs w:val="34"/>
          <w:rtl/>
        </w:rPr>
        <w:t xml:space="preserve"> الإجرائية</w:t>
      </w:r>
      <w:r w:rsidR="006D69DC" w:rsidRPr="00AD17C3">
        <w:rPr>
          <w:rFonts w:ascii="Arabic Typesetting" w:hAnsi="Arabic Typesetting" w:cs="Arabic Typesetting"/>
          <w:sz w:val="34"/>
          <w:szCs w:val="34"/>
          <w:rtl/>
        </w:rPr>
        <w:t xml:space="preserve"> التي سيدعمها حل إدارة المعلومات المؤسسية؛</w:t>
      </w:r>
    </w:p>
    <w:p w:rsidR="006D69DC" w:rsidRPr="00AD17C3"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AD17C3">
        <w:rPr>
          <w:rFonts w:ascii="Arabic Typesetting" w:hAnsi="Arabic Typesetting" w:cs="Arabic Typesetting" w:hint="cs"/>
          <w:sz w:val="34"/>
          <w:szCs w:val="34"/>
          <w:rtl/>
        </w:rPr>
        <w:t>و</w:t>
      </w:r>
      <w:r w:rsidRPr="00AD17C3">
        <w:rPr>
          <w:rFonts w:ascii="Arabic Typesetting" w:hAnsi="Arabic Typesetting" w:cs="Arabic Typesetting"/>
          <w:sz w:val="34"/>
          <w:szCs w:val="34"/>
          <w:rtl/>
        </w:rPr>
        <w:t>تحديد أوجه التداخل مع الأنظمة القائمة وتوثيقها بما في ذلك نظام التخطيط للموارد المؤسسية حسب الحاجة؛</w:t>
      </w:r>
    </w:p>
    <w:p w:rsidR="006D69DC" w:rsidRPr="00AD17C3"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AD17C3">
        <w:rPr>
          <w:rFonts w:ascii="Arabic Typesetting" w:hAnsi="Arabic Typesetting" w:cs="Arabic Typesetting" w:hint="cs"/>
          <w:sz w:val="34"/>
          <w:szCs w:val="34"/>
          <w:rtl/>
        </w:rPr>
        <w:t>و</w:t>
      </w:r>
      <w:r w:rsidRPr="00AD17C3">
        <w:rPr>
          <w:rFonts w:ascii="Arabic Typesetting" w:hAnsi="Arabic Typesetting" w:cs="Arabic Typesetting"/>
          <w:sz w:val="34"/>
          <w:szCs w:val="34"/>
          <w:rtl/>
        </w:rPr>
        <w:t>تصميم تكوين النظام استنادا</w:t>
      </w:r>
      <w:r w:rsidR="00AD17C3">
        <w:rPr>
          <w:rFonts w:ascii="Arabic Typesetting" w:hAnsi="Arabic Typesetting" w:cs="Arabic Typesetting" w:hint="cs"/>
          <w:sz w:val="34"/>
          <w:szCs w:val="34"/>
          <w:rtl/>
        </w:rPr>
        <w:t>ً</w:t>
      </w:r>
      <w:r w:rsidRPr="00AD17C3">
        <w:rPr>
          <w:rFonts w:ascii="Arabic Typesetting" w:hAnsi="Arabic Typesetting" w:cs="Arabic Typesetting"/>
          <w:sz w:val="34"/>
          <w:szCs w:val="34"/>
          <w:rtl/>
        </w:rPr>
        <w:t xml:space="preserve"> إلى العملية </w:t>
      </w:r>
      <w:r w:rsidR="00737EDC">
        <w:rPr>
          <w:rFonts w:ascii="Arabic Typesetting" w:hAnsi="Arabic Typesetting" w:cs="Arabic Typesetting" w:hint="cs"/>
          <w:sz w:val="34"/>
          <w:szCs w:val="34"/>
          <w:rtl/>
        </w:rPr>
        <w:t>الإجرائية</w:t>
      </w:r>
      <w:r w:rsidRPr="00AD17C3">
        <w:rPr>
          <w:rFonts w:ascii="Arabic Typesetting" w:hAnsi="Arabic Typesetting" w:cs="Arabic Typesetting"/>
          <w:sz w:val="34"/>
          <w:szCs w:val="34"/>
          <w:rtl/>
        </w:rPr>
        <w:t>؛</w:t>
      </w:r>
    </w:p>
    <w:p w:rsidR="006D69DC" w:rsidRPr="00AD17C3"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AD17C3">
        <w:rPr>
          <w:rFonts w:ascii="Arabic Typesetting" w:hAnsi="Arabic Typesetting" w:cs="Arabic Typesetting" w:hint="cs"/>
          <w:sz w:val="34"/>
          <w:szCs w:val="34"/>
          <w:rtl/>
        </w:rPr>
        <w:t>و</w:t>
      </w:r>
      <w:r w:rsidRPr="00AD17C3">
        <w:rPr>
          <w:rFonts w:ascii="Arabic Typesetting" w:hAnsi="Arabic Typesetting" w:cs="Arabic Typesetting"/>
          <w:sz w:val="34"/>
          <w:szCs w:val="34"/>
          <w:rtl/>
        </w:rPr>
        <w:t xml:space="preserve">تنفيذ نظام إدارة المعلومات المؤسسية لدعم العملية </w:t>
      </w:r>
      <w:r w:rsidR="00737EDC">
        <w:rPr>
          <w:rFonts w:ascii="Arabic Typesetting" w:hAnsi="Arabic Typesetting" w:cs="Arabic Typesetting" w:hint="cs"/>
          <w:sz w:val="34"/>
          <w:szCs w:val="34"/>
          <w:rtl/>
        </w:rPr>
        <w:t>الإجرائية</w:t>
      </w:r>
      <w:r w:rsidRPr="00AD17C3">
        <w:rPr>
          <w:rFonts w:ascii="Arabic Typesetting" w:hAnsi="Arabic Typesetting" w:cs="Arabic Typesetting"/>
          <w:sz w:val="34"/>
          <w:szCs w:val="34"/>
          <w:rtl/>
        </w:rPr>
        <w:t>؛</w:t>
      </w:r>
    </w:p>
    <w:p w:rsidR="006D69DC" w:rsidRPr="00AD17C3"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AD17C3">
        <w:rPr>
          <w:rFonts w:ascii="Arabic Typesetting" w:hAnsi="Arabic Typesetting" w:cs="Arabic Typesetting" w:hint="cs"/>
          <w:sz w:val="34"/>
          <w:szCs w:val="34"/>
          <w:rtl/>
        </w:rPr>
        <w:t>و</w:t>
      </w:r>
      <w:r w:rsidRPr="00AD17C3">
        <w:rPr>
          <w:rFonts w:ascii="Arabic Typesetting" w:hAnsi="Arabic Typesetting" w:cs="Arabic Typesetting"/>
          <w:sz w:val="34"/>
          <w:szCs w:val="34"/>
          <w:rtl/>
        </w:rPr>
        <w:t xml:space="preserve">إخضاع تكوين نظام إدارة المعلومات المؤسسية لاختبار النظام واختبار قبول المستخدمين لدعم العملية </w:t>
      </w:r>
      <w:r w:rsidR="00737EDC">
        <w:rPr>
          <w:rFonts w:ascii="Arabic Typesetting" w:hAnsi="Arabic Typesetting" w:cs="Arabic Typesetting" w:hint="cs"/>
          <w:sz w:val="34"/>
          <w:szCs w:val="34"/>
          <w:rtl/>
        </w:rPr>
        <w:t>الإجرائية</w:t>
      </w:r>
      <w:r w:rsidRPr="00AD17C3">
        <w:rPr>
          <w:rFonts w:ascii="Arabic Typesetting" w:hAnsi="Arabic Typesetting" w:cs="Arabic Typesetting"/>
          <w:sz w:val="34"/>
          <w:szCs w:val="34"/>
          <w:rtl/>
        </w:rPr>
        <w:t>؛</w:t>
      </w:r>
    </w:p>
    <w:p w:rsidR="006D69DC" w:rsidRPr="00AD17C3" w:rsidRDefault="006D69DC" w:rsidP="0099688F">
      <w:pPr>
        <w:numPr>
          <w:ilvl w:val="0"/>
          <w:numId w:val="61"/>
        </w:numPr>
        <w:bidi/>
        <w:spacing w:after="120" w:line="340" w:lineRule="exact"/>
        <w:ind w:left="1134" w:hanging="567"/>
        <w:rPr>
          <w:rFonts w:ascii="Arabic Typesetting" w:hAnsi="Arabic Typesetting" w:cs="Arabic Typesetting"/>
          <w:sz w:val="34"/>
          <w:szCs w:val="34"/>
          <w:rtl/>
        </w:rPr>
      </w:pPr>
      <w:r w:rsidRPr="00AD17C3">
        <w:rPr>
          <w:rFonts w:ascii="Arabic Typesetting" w:hAnsi="Arabic Typesetting" w:cs="Arabic Typesetting" w:hint="cs"/>
          <w:sz w:val="34"/>
          <w:szCs w:val="34"/>
          <w:rtl/>
        </w:rPr>
        <w:t>و</w:t>
      </w:r>
      <w:r w:rsidRPr="00AD17C3">
        <w:rPr>
          <w:rFonts w:ascii="Arabic Typesetting" w:hAnsi="Arabic Typesetting" w:cs="Arabic Typesetting"/>
          <w:sz w:val="34"/>
          <w:szCs w:val="34"/>
          <w:rtl/>
        </w:rPr>
        <w:t xml:space="preserve">تدريب المستخدمين النهائيين بشأن تكوين نظام إدارة المعلومات المؤسسية تكوينًا يلائم العملية </w:t>
      </w:r>
      <w:r w:rsidR="00737EDC">
        <w:rPr>
          <w:rFonts w:ascii="Arabic Typesetting" w:hAnsi="Arabic Typesetting" w:cs="Arabic Typesetting" w:hint="cs"/>
          <w:sz w:val="34"/>
          <w:szCs w:val="34"/>
          <w:rtl/>
        </w:rPr>
        <w:t>الإجرائية</w:t>
      </w:r>
      <w:r w:rsidRPr="00AD17C3">
        <w:rPr>
          <w:rFonts w:ascii="Arabic Typesetting" w:hAnsi="Arabic Typesetting" w:cs="Arabic Typesetting"/>
          <w:sz w:val="34"/>
          <w:szCs w:val="34"/>
          <w:rtl/>
        </w:rPr>
        <w:t>.</w:t>
      </w:r>
    </w:p>
    <w:p w:rsidR="006D69DC" w:rsidRPr="006D69DC" w:rsidRDefault="00AD17C3" w:rsidP="006D69DC">
      <w:pPr>
        <w:numPr>
          <w:ilvl w:val="0"/>
          <w:numId w:val="49"/>
        </w:numPr>
        <w:bidi/>
        <w:spacing w:after="120" w:line="340" w:lineRule="exact"/>
        <w:rPr>
          <w:rFonts w:ascii="Arabic Typesetting" w:hAnsi="Arabic Typesetting" w:cs="Arabic Typesetting"/>
          <w:sz w:val="34"/>
          <w:szCs w:val="34"/>
          <w:rtl/>
          <w:lang w:val="fr-CH"/>
        </w:rPr>
      </w:pPr>
      <w:r>
        <w:rPr>
          <w:rFonts w:ascii="Arabic Typesetting" w:hAnsi="Arabic Typesetting" w:cs="Arabic Typesetting"/>
          <w:sz w:val="34"/>
          <w:szCs w:val="34"/>
          <w:rtl/>
          <w:lang w:val="fr-CH"/>
        </w:rPr>
        <w:t>والمشروعات الفرعية المحددة حالي</w:t>
      </w:r>
      <w:r w:rsidR="006D69DC" w:rsidRPr="006D69DC">
        <w:rPr>
          <w:rFonts w:ascii="Arabic Typesetting" w:hAnsi="Arabic Typesetting" w:cs="Arabic Typesetting"/>
          <w:sz w:val="34"/>
          <w:szCs w:val="34"/>
          <w:rtl/>
          <w:lang w:val="fr-CH"/>
        </w:rPr>
        <w:t xml:space="preserve">ا </w:t>
      </w:r>
      <w:r w:rsidR="006D69DC" w:rsidRPr="006D69DC">
        <w:rPr>
          <w:rFonts w:ascii="Arabic Typesetting" w:hAnsi="Arabic Typesetting" w:cs="Arabic Typesetting" w:hint="cs"/>
          <w:sz w:val="34"/>
          <w:szCs w:val="34"/>
          <w:rtl/>
          <w:lang w:val="fr-CH"/>
        </w:rPr>
        <w:t xml:space="preserve">لأغراض التنفيذ </w:t>
      </w:r>
      <w:r w:rsidR="006D69DC" w:rsidRPr="006D69DC">
        <w:rPr>
          <w:rFonts w:ascii="Arabic Typesetting" w:hAnsi="Arabic Typesetting" w:cs="Arabic Typesetting"/>
          <w:sz w:val="34"/>
          <w:szCs w:val="34"/>
          <w:rtl/>
          <w:lang w:val="fr-CH"/>
        </w:rPr>
        <w:t>هي:</w:t>
      </w:r>
    </w:p>
    <w:p w:rsidR="006D69DC" w:rsidRPr="006D69DC" w:rsidRDefault="006D69DC" w:rsidP="00FE0770">
      <w:pPr>
        <w:bidi/>
        <w:spacing w:after="120" w:line="340" w:lineRule="exact"/>
        <w:ind w:left="566"/>
        <w:rPr>
          <w:rFonts w:ascii="Arabic Typesetting" w:hAnsi="Arabic Typesetting" w:cs="Arabic Typesetting"/>
          <w:sz w:val="34"/>
          <w:szCs w:val="34"/>
          <w:rtl/>
          <w:lang w:val="fr-CH"/>
        </w:rPr>
      </w:pPr>
      <w:r w:rsidRPr="006D69DC">
        <w:rPr>
          <w:rFonts w:ascii="Arabic Typesetting" w:hAnsi="Arabic Typesetting" w:cs="Arabic Typesetting"/>
          <w:b/>
          <w:bCs/>
          <w:sz w:val="34"/>
          <w:szCs w:val="34"/>
          <w:rtl/>
          <w:lang w:val="fr-CH"/>
        </w:rPr>
        <w:t>سجلات المؤسسة ومحفوظاتها</w:t>
      </w:r>
      <w:r w:rsidRPr="006D69DC">
        <w:rPr>
          <w:rFonts w:ascii="Arabic Typesetting" w:hAnsi="Arabic Typesetting" w:cs="Arabic Typesetting"/>
          <w:sz w:val="34"/>
          <w:szCs w:val="34"/>
          <w:rtl/>
          <w:lang w:val="fr-CH"/>
        </w:rPr>
        <w:t xml:space="preserve"> </w:t>
      </w:r>
      <w:r w:rsidR="00AD17C3">
        <w:rPr>
          <w:rFonts w:ascii="Arabic Typesetting" w:hAnsi="Arabic Typesetting" w:cs="Arabic Typesetting"/>
          <w:sz w:val="34"/>
          <w:szCs w:val="34"/>
          <w:rtl/>
          <w:lang w:val="fr-CH"/>
        </w:rPr>
        <w:t>-</w:t>
      </w:r>
      <w:r w:rsidRPr="006D69DC">
        <w:rPr>
          <w:rFonts w:ascii="Arabic Typesetting" w:hAnsi="Arabic Typesetting" w:cs="Arabic Typesetting"/>
          <w:sz w:val="34"/>
          <w:szCs w:val="34"/>
          <w:rtl/>
          <w:lang w:val="fr-CH"/>
        </w:rPr>
        <w:t xml:space="preserve"> مشروع فرعي لرفع أداء خدمة السجلات والمحفوظات، ويشمل تعزيز/استبدال عمليات </w:t>
      </w:r>
      <w:proofErr w:type="spellStart"/>
      <w:r w:rsidRPr="006D69DC">
        <w:rPr>
          <w:rFonts w:ascii="Arabic Typesetting" w:hAnsi="Arabic Typesetting" w:cs="Arabic Typesetting" w:hint="cs"/>
          <w:sz w:val="34"/>
          <w:szCs w:val="34"/>
          <w:rtl/>
          <w:lang w:val="fr-CH"/>
        </w:rPr>
        <w:t>رقمنة</w:t>
      </w:r>
      <w:proofErr w:type="spellEnd"/>
      <w:r w:rsidRPr="006D69DC">
        <w:rPr>
          <w:rFonts w:ascii="Arabic Typesetting" w:hAnsi="Arabic Typesetting" w:cs="Arabic Typesetting"/>
          <w:sz w:val="34"/>
          <w:szCs w:val="34"/>
          <w:rtl/>
          <w:lang w:val="fr-CH"/>
        </w:rPr>
        <w:t xml:space="preserve"> الوثائق، فضلاً عن تنفيذ عملية </w:t>
      </w:r>
      <w:proofErr w:type="spellStart"/>
      <w:r w:rsidRPr="006D69DC">
        <w:rPr>
          <w:rFonts w:ascii="Arabic Typesetting" w:hAnsi="Arabic Typesetting" w:cs="Arabic Typesetting"/>
          <w:sz w:val="34"/>
          <w:szCs w:val="34"/>
          <w:rtl/>
          <w:lang w:val="fr-CH"/>
        </w:rPr>
        <w:t>ل</w:t>
      </w:r>
      <w:r w:rsidRPr="006D69DC">
        <w:rPr>
          <w:rFonts w:ascii="Arabic Typesetting" w:hAnsi="Arabic Typesetting" w:cs="Arabic Typesetting" w:hint="cs"/>
          <w:sz w:val="34"/>
          <w:szCs w:val="34"/>
          <w:rtl/>
          <w:lang w:val="fr-CH"/>
        </w:rPr>
        <w:t>رقمنة</w:t>
      </w:r>
      <w:proofErr w:type="spellEnd"/>
      <w:r w:rsidRPr="006D69DC">
        <w:rPr>
          <w:rFonts w:ascii="Arabic Typesetting" w:hAnsi="Arabic Typesetting" w:cs="Arabic Typesetting"/>
          <w:sz w:val="34"/>
          <w:szCs w:val="34"/>
          <w:rtl/>
          <w:lang w:val="fr-CH"/>
        </w:rPr>
        <w:t xml:space="preserve"> البريد الوارد </w:t>
      </w:r>
      <w:r w:rsidR="00FE0770">
        <w:rPr>
          <w:rFonts w:ascii="Arabic Typesetting" w:hAnsi="Arabic Typesetting" w:cs="Arabic Typesetting" w:hint="cs"/>
          <w:sz w:val="34"/>
          <w:szCs w:val="34"/>
          <w:rtl/>
          <w:lang w:val="fr-CH"/>
        </w:rPr>
        <w:t>والصادر</w:t>
      </w:r>
      <w:r w:rsidRPr="006D69DC">
        <w:rPr>
          <w:rFonts w:ascii="Arabic Typesetting" w:hAnsi="Arabic Typesetting" w:cs="Arabic Typesetting" w:hint="cs"/>
          <w:sz w:val="34"/>
          <w:szCs w:val="34"/>
          <w:rtl/>
          <w:lang w:val="fr-CH"/>
        </w:rPr>
        <w:t xml:space="preserve"> </w:t>
      </w:r>
      <w:r w:rsidRPr="006D69DC">
        <w:rPr>
          <w:rFonts w:ascii="Arabic Typesetting" w:hAnsi="Arabic Typesetting" w:cs="Arabic Typesetting"/>
          <w:sz w:val="34"/>
          <w:szCs w:val="34"/>
          <w:rtl/>
          <w:lang w:val="fr-CH"/>
        </w:rPr>
        <w:t>وتعقبه (</w:t>
      </w:r>
      <w:proofErr w:type="spellStart"/>
      <w:r w:rsidRPr="006D69DC">
        <w:rPr>
          <w:rFonts w:ascii="Arabic Typesetting" w:hAnsi="Arabic Typesetting" w:cs="Arabic Typesetting" w:hint="cs"/>
          <w:sz w:val="34"/>
          <w:szCs w:val="34"/>
          <w:rtl/>
          <w:lang w:val="fr-CH"/>
        </w:rPr>
        <w:t>الرقمنة</w:t>
      </w:r>
      <w:proofErr w:type="spellEnd"/>
      <w:r w:rsidRPr="006D69DC">
        <w:rPr>
          <w:rFonts w:ascii="Arabic Typesetting" w:hAnsi="Arabic Typesetting" w:cs="Arabic Typesetting"/>
          <w:sz w:val="34"/>
          <w:szCs w:val="34"/>
          <w:rtl/>
          <w:lang w:val="fr-CH"/>
        </w:rPr>
        <w:t xml:space="preserve"> وتدفق العمل)، وتنفيذ</w:t>
      </w:r>
      <w:r w:rsidR="00FE0770">
        <w:rPr>
          <w:rFonts w:ascii="Arabic Typesetting" w:hAnsi="Arabic Typesetting" w:cs="Arabic Typesetting"/>
          <w:sz w:val="34"/>
          <w:szCs w:val="34"/>
          <w:rtl/>
          <w:lang w:val="fr-CH"/>
        </w:rPr>
        <w:t xml:space="preserve"> الأرشفة على مستوى القسم استناد</w:t>
      </w:r>
      <w:r w:rsidRPr="006D69DC">
        <w:rPr>
          <w:rFonts w:ascii="Arabic Typesetting" w:hAnsi="Arabic Typesetting" w:cs="Arabic Typesetting"/>
          <w:sz w:val="34"/>
          <w:szCs w:val="34"/>
          <w:rtl/>
          <w:lang w:val="fr-CH"/>
        </w:rPr>
        <w:t>ا إلى سياسة الويبو بشأن إدارة السجلات (إدارة السجلات والمحفوظات).</w:t>
      </w:r>
    </w:p>
    <w:p w:rsidR="006D69DC" w:rsidRPr="006D69DC" w:rsidRDefault="006D69DC" w:rsidP="006D69DC">
      <w:pPr>
        <w:bidi/>
        <w:spacing w:after="120" w:line="340" w:lineRule="exact"/>
        <w:ind w:left="566"/>
        <w:rPr>
          <w:rFonts w:ascii="Arabic Typesetting" w:hAnsi="Arabic Typesetting" w:cs="Arabic Typesetting"/>
          <w:sz w:val="34"/>
          <w:szCs w:val="34"/>
          <w:rtl/>
          <w:lang w:val="fr-CH"/>
        </w:rPr>
      </w:pPr>
      <w:r w:rsidRPr="006D69DC">
        <w:rPr>
          <w:rFonts w:ascii="Arabic Typesetting" w:hAnsi="Arabic Typesetting" w:cs="Arabic Typesetting"/>
          <w:b/>
          <w:bCs/>
          <w:sz w:val="34"/>
          <w:szCs w:val="34"/>
          <w:rtl/>
          <w:lang w:val="fr-CH"/>
        </w:rPr>
        <w:t>طلب الترجمة</w:t>
      </w:r>
      <w:r w:rsidRPr="006D69DC">
        <w:rPr>
          <w:rFonts w:ascii="Arabic Typesetting" w:hAnsi="Arabic Typesetting" w:cs="Arabic Typesetting"/>
          <w:sz w:val="34"/>
          <w:szCs w:val="34"/>
          <w:rtl/>
          <w:lang w:val="fr-CH"/>
        </w:rPr>
        <w:t xml:space="preserve"> </w:t>
      </w:r>
      <w:r w:rsidR="00AD17C3">
        <w:rPr>
          <w:rFonts w:ascii="Arabic Typesetting" w:hAnsi="Arabic Typesetting" w:cs="Arabic Typesetting"/>
          <w:sz w:val="34"/>
          <w:szCs w:val="34"/>
          <w:rtl/>
          <w:lang w:val="fr-CH"/>
        </w:rPr>
        <w:t>-</w:t>
      </w:r>
      <w:r w:rsidRPr="006D69DC">
        <w:rPr>
          <w:rFonts w:ascii="Arabic Typesetting" w:hAnsi="Arabic Typesetting" w:cs="Arabic Typesetting"/>
          <w:sz w:val="34"/>
          <w:szCs w:val="34"/>
          <w:rtl/>
          <w:lang w:val="fr-CH"/>
        </w:rPr>
        <w:t xml:space="preserve"> أتمتة نظام تدفق العمل القائم على الوثائق مع التعقب والإبلاغ، وذلك لتخصيص الوثائق التي يتعين على شعبة اللغات ترجمتها.</w:t>
      </w:r>
    </w:p>
    <w:p w:rsidR="006D69DC" w:rsidRPr="006D69DC" w:rsidRDefault="006D69DC" w:rsidP="006D69DC">
      <w:pPr>
        <w:bidi/>
        <w:spacing w:after="120" w:line="340" w:lineRule="exact"/>
        <w:ind w:left="566"/>
        <w:rPr>
          <w:rFonts w:ascii="Arabic Typesetting" w:hAnsi="Arabic Typesetting" w:cs="Arabic Typesetting"/>
          <w:sz w:val="34"/>
          <w:szCs w:val="34"/>
          <w:rtl/>
          <w:lang w:val="fr-CH"/>
        </w:rPr>
      </w:pPr>
      <w:r w:rsidRPr="006D69DC">
        <w:rPr>
          <w:rFonts w:ascii="Arabic Typesetting" w:hAnsi="Arabic Typesetting" w:cs="Arabic Typesetting"/>
          <w:b/>
          <w:bCs/>
          <w:sz w:val="34"/>
          <w:szCs w:val="34"/>
          <w:rtl/>
          <w:lang w:val="fr-CH"/>
        </w:rPr>
        <w:t>البريد الوارد إلى مكتب المدير العام</w:t>
      </w:r>
      <w:r w:rsidRPr="006D69DC">
        <w:rPr>
          <w:rFonts w:ascii="Arabic Typesetting" w:hAnsi="Arabic Typesetting" w:cs="Arabic Typesetting"/>
          <w:sz w:val="34"/>
          <w:szCs w:val="34"/>
          <w:rtl/>
          <w:lang w:val="fr-CH"/>
        </w:rPr>
        <w:t xml:space="preserve"> </w:t>
      </w:r>
      <w:r w:rsidR="00AD17C3">
        <w:rPr>
          <w:rFonts w:ascii="Arabic Typesetting" w:hAnsi="Arabic Typesetting" w:cs="Arabic Typesetting"/>
          <w:sz w:val="34"/>
          <w:szCs w:val="34"/>
          <w:rtl/>
          <w:lang w:val="fr-CH"/>
        </w:rPr>
        <w:t>-</w:t>
      </w:r>
      <w:r w:rsidRPr="006D69DC">
        <w:rPr>
          <w:rFonts w:ascii="Arabic Typesetting" w:hAnsi="Arabic Typesetting" w:cs="Arabic Typesetting"/>
          <w:sz w:val="34"/>
          <w:szCs w:val="34"/>
          <w:rtl/>
          <w:lang w:val="fr-CH"/>
        </w:rPr>
        <w:t xml:space="preserve"> </w:t>
      </w:r>
      <w:proofErr w:type="spellStart"/>
      <w:r w:rsidRPr="006D69DC">
        <w:rPr>
          <w:rFonts w:ascii="Arabic Typesetting" w:hAnsi="Arabic Typesetting" w:cs="Arabic Typesetting" w:hint="cs"/>
          <w:sz w:val="34"/>
          <w:szCs w:val="34"/>
          <w:rtl/>
          <w:lang w:val="fr-CH"/>
        </w:rPr>
        <w:t>رقمنة</w:t>
      </w:r>
      <w:proofErr w:type="spellEnd"/>
      <w:r w:rsidRPr="006D69DC">
        <w:rPr>
          <w:rFonts w:ascii="Arabic Typesetting" w:hAnsi="Arabic Typesetting" w:cs="Arabic Typesetting"/>
          <w:sz w:val="34"/>
          <w:szCs w:val="34"/>
          <w:rtl/>
          <w:lang w:val="fr-CH"/>
        </w:rPr>
        <w:t xml:space="preserve"> البريد الوارد و</w:t>
      </w:r>
      <w:r w:rsidRPr="006D69DC">
        <w:rPr>
          <w:rFonts w:ascii="Arabic Typesetting" w:hAnsi="Arabic Typesetting" w:cs="Arabic Typesetting" w:hint="cs"/>
          <w:sz w:val="34"/>
          <w:szCs w:val="34"/>
          <w:rtl/>
          <w:lang w:val="fr-CH"/>
        </w:rPr>
        <w:t xml:space="preserve">متابعة </w:t>
      </w:r>
      <w:r w:rsidRPr="006D69DC">
        <w:rPr>
          <w:rFonts w:ascii="Arabic Typesetting" w:hAnsi="Arabic Typesetting" w:cs="Arabic Typesetting"/>
          <w:sz w:val="34"/>
          <w:szCs w:val="34"/>
          <w:rtl/>
          <w:lang w:val="fr-CH"/>
        </w:rPr>
        <w:t>تدفق وثائق</w:t>
      </w:r>
      <w:r w:rsidRPr="006D69DC">
        <w:rPr>
          <w:rFonts w:ascii="Arabic Typesetting" w:hAnsi="Arabic Typesetting" w:cs="Arabic Typesetting" w:hint="cs"/>
          <w:sz w:val="34"/>
          <w:szCs w:val="34"/>
          <w:rtl/>
          <w:lang w:val="fr-CH"/>
        </w:rPr>
        <w:t xml:space="preserve">ه </w:t>
      </w:r>
      <w:r w:rsidRPr="006D69DC">
        <w:rPr>
          <w:rFonts w:ascii="Arabic Typesetting" w:hAnsi="Arabic Typesetting" w:cs="Arabic Typesetting"/>
          <w:sz w:val="34"/>
          <w:szCs w:val="34"/>
          <w:rtl/>
          <w:lang w:val="fr-CH"/>
        </w:rPr>
        <w:t xml:space="preserve">لفائدة مكتب المدير العام، مع توفير روابط للاطلاع على الردود الناتجة ورصد التقدم المحرز لضمان اكتمال الرد وإرساله </w:t>
      </w:r>
      <w:r w:rsidRPr="006D69DC">
        <w:rPr>
          <w:rFonts w:ascii="Arabic Typesetting" w:hAnsi="Arabic Typesetting" w:cs="Arabic Typesetting" w:hint="cs"/>
          <w:sz w:val="34"/>
          <w:szCs w:val="34"/>
          <w:rtl/>
          <w:lang w:val="fr-CH"/>
        </w:rPr>
        <w:t>ضمن</w:t>
      </w:r>
      <w:r w:rsidRPr="006D69DC">
        <w:rPr>
          <w:rFonts w:ascii="Arabic Typesetting" w:hAnsi="Arabic Typesetting" w:cs="Arabic Typesetting"/>
          <w:sz w:val="34"/>
          <w:szCs w:val="34"/>
          <w:rtl/>
          <w:lang w:val="fr-CH"/>
        </w:rPr>
        <w:t xml:space="preserve"> الأطر الزمنية المناسبة.</w:t>
      </w:r>
    </w:p>
    <w:p w:rsidR="006D69DC" w:rsidRPr="006D69DC" w:rsidRDefault="006D69DC" w:rsidP="00FE0770">
      <w:pPr>
        <w:bidi/>
        <w:spacing w:after="120" w:line="340" w:lineRule="exact"/>
        <w:ind w:left="566"/>
        <w:rPr>
          <w:rFonts w:ascii="Arabic Typesetting" w:hAnsi="Arabic Typesetting" w:cs="Arabic Typesetting"/>
          <w:sz w:val="34"/>
          <w:szCs w:val="34"/>
          <w:rtl/>
          <w:lang w:val="fr-CH"/>
        </w:rPr>
      </w:pPr>
      <w:r w:rsidRPr="006D69DC">
        <w:rPr>
          <w:rFonts w:ascii="Arabic Typesetting" w:hAnsi="Arabic Typesetting" w:cs="Arabic Typesetting"/>
          <w:b/>
          <w:bCs/>
          <w:sz w:val="34"/>
          <w:szCs w:val="34"/>
          <w:rtl/>
          <w:lang w:val="fr-CH"/>
        </w:rPr>
        <w:t>نظام إدارة البائعين والعقود</w:t>
      </w:r>
      <w:r w:rsidRPr="006D69DC">
        <w:rPr>
          <w:rFonts w:ascii="Arabic Typesetting" w:hAnsi="Arabic Typesetting" w:cs="Arabic Typesetting"/>
          <w:sz w:val="34"/>
          <w:szCs w:val="34"/>
          <w:rtl/>
          <w:lang w:val="fr-CH"/>
        </w:rPr>
        <w:t xml:space="preserve"> </w:t>
      </w:r>
      <w:r w:rsidR="00AD17C3">
        <w:rPr>
          <w:rFonts w:ascii="Arabic Typesetting" w:hAnsi="Arabic Typesetting" w:cs="Arabic Typesetting"/>
          <w:sz w:val="34"/>
          <w:szCs w:val="34"/>
          <w:rtl/>
          <w:lang w:val="fr-CH"/>
        </w:rPr>
        <w:t>-</w:t>
      </w:r>
      <w:r w:rsidR="00FE0770">
        <w:rPr>
          <w:rFonts w:ascii="Arabic Typesetting" w:hAnsi="Arabic Typesetting" w:cs="Arabic Typesetting"/>
          <w:sz w:val="34"/>
          <w:szCs w:val="34"/>
          <w:rtl/>
          <w:lang w:val="fr-CH"/>
        </w:rPr>
        <w:t xml:space="preserve"> مشروع فرعي يحقق "مكسبا مبكر</w:t>
      </w:r>
      <w:r w:rsidRPr="006D69DC">
        <w:rPr>
          <w:rFonts w:ascii="Arabic Typesetting" w:hAnsi="Arabic Typesetting" w:cs="Arabic Typesetting"/>
          <w:sz w:val="34"/>
          <w:szCs w:val="34"/>
          <w:rtl/>
          <w:lang w:val="fr-CH"/>
        </w:rPr>
        <w:t>ا" ويتضمن تنفيذ حل/عمليات لإدارة معلومات العقود، بما</w:t>
      </w:r>
      <w:r w:rsidR="00FE0770">
        <w:rPr>
          <w:rFonts w:ascii="Arabic Typesetting" w:hAnsi="Arabic Typesetting" w:cs="Arabic Typesetting" w:hint="cs"/>
          <w:sz w:val="34"/>
          <w:szCs w:val="34"/>
          <w:rtl/>
          <w:lang w:val="fr-CH"/>
        </w:rPr>
        <w:t> </w:t>
      </w:r>
      <w:r w:rsidRPr="006D69DC">
        <w:rPr>
          <w:rFonts w:ascii="Arabic Typesetting" w:hAnsi="Arabic Typesetting" w:cs="Arabic Typesetting"/>
          <w:sz w:val="34"/>
          <w:szCs w:val="34"/>
          <w:rtl/>
          <w:lang w:val="fr-CH"/>
        </w:rPr>
        <w:t>يسمح بإنشاء وثائق العقود (إدارة الوثائق)، وتخزين الوثائق المتعلقة بالعقود (إدارة القضايا) وإرسال التقارير والتنبيهات بشأن الأحداث خلال فترة سريان العقد (تدفق العمل وإدارة القضايا)، والبحث في العقود (البحث).</w:t>
      </w:r>
    </w:p>
    <w:p w:rsidR="006D69DC" w:rsidRPr="006D69DC" w:rsidRDefault="006D69DC" w:rsidP="006D69DC">
      <w:pPr>
        <w:bidi/>
        <w:spacing w:after="120" w:line="340" w:lineRule="exact"/>
        <w:ind w:left="566"/>
        <w:rPr>
          <w:rFonts w:ascii="Arabic Typesetting" w:hAnsi="Arabic Typesetting" w:cs="Arabic Typesetting"/>
          <w:sz w:val="34"/>
          <w:szCs w:val="34"/>
          <w:rtl/>
          <w:lang w:val="fr-CH"/>
        </w:rPr>
      </w:pPr>
      <w:r w:rsidRPr="006D69DC">
        <w:rPr>
          <w:rFonts w:ascii="Arabic Typesetting" w:hAnsi="Arabic Typesetting" w:cs="Arabic Typesetting"/>
          <w:b/>
          <w:bCs/>
          <w:sz w:val="34"/>
          <w:szCs w:val="34"/>
          <w:rtl/>
          <w:lang w:val="fr-CH"/>
        </w:rPr>
        <w:t>تقارير البعثات</w:t>
      </w:r>
      <w:r w:rsidRPr="006D69DC">
        <w:rPr>
          <w:rFonts w:ascii="Arabic Typesetting" w:hAnsi="Arabic Typesetting" w:cs="Arabic Typesetting"/>
          <w:sz w:val="34"/>
          <w:szCs w:val="34"/>
          <w:rtl/>
          <w:lang w:val="fr-CH"/>
        </w:rPr>
        <w:t xml:space="preserve"> </w:t>
      </w:r>
      <w:r w:rsidR="00AD17C3">
        <w:rPr>
          <w:rFonts w:ascii="Arabic Typesetting" w:hAnsi="Arabic Typesetting" w:cs="Arabic Typesetting"/>
          <w:sz w:val="34"/>
          <w:szCs w:val="34"/>
          <w:rtl/>
          <w:lang w:val="fr-CH"/>
        </w:rPr>
        <w:t>-</w:t>
      </w:r>
      <w:r w:rsidRPr="006D69DC">
        <w:rPr>
          <w:rFonts w:ascii="Arabic Typesetting" w:hAnsi="Arabic Typesetting" w:cs="Arabic Typesetting"/>
          <w:sz w:val="34"/>
          <w:szCs w:val="34"/>
          <w:rtl/>
          <w:lang w:val="fr-CH"/>
        </w:rPr>
        <w:t xml:space="preserve"> إدارة إنشاء تقارير البعثات (إدارة الوثائق)، وعمليات المراجعة ونشر تقرير البعثة (تدفق العمل) والبحث في تقارير</w:t>
      </w:r>
      <w:r w:rsidR="00FE0770">
        <w:rPr>
          <w:rFonts w:ascii="Arabic Typesetting" w:hAnsi="Arabic Typesetting" w:cs="Arabic Typesetting"/>
          <w:sz w:val="34"/>
          <w:szCs w:val="34"/>
          <w:rtl/>
          <w:lang w:val="fr-CH"/>
        </w:rPr>
        <w:t xml:space="preserve"> البعثات السابقة (البحث) استناد</w:t>
      </w:r>
      <w:r w:rsidRPr="006D69DC">
        <w:rPr>
          <w:rFonts w:ascii="Arabic Typesetting" w:hAnsi="Arabic Typesetting" w:cs="Arabic Typesetting"/>
          <w:sz w:val="34"/>
          <w:szCs w:val="34"/>
          <w:rtl/>
          <w:lang w:val="fr-CH"/>
        </w:rPr>
        <w:t>ا إلى التصنيف (المواقع وال</w:t>
      </w:r>
      <w:r w:rsidR="00FE0770">
        <w:rPr>
          <w:rFonts w:ascii="Arabic Typesetting" w:hAnsi="Arabic Typesetting" w:cs="Arabic Typesetting" w:hint="cs"/>
          <w:sz w:val="34"/>
          <w:szCs w:val="34"/>
          <w:rtl/>
          <w:lang w:val="fr-CH"/>
        </w:rPr>
        <w:t>موظفو</w:t>
      </w:r>
      <w:r w:rsidRPr="006D69DC">
        <w:rPr>
          <w:rFonts w:ascii="Arabic Typesetting" w:hAnsi="Arabic Typesetting" w:cs="Arabic Typesetting" w:hint="cs"/>
          <w:sz w:val="34"/>
          <w:szCs w:val="34"/>
          <w:rtl/>
          <w:lang w:val="fr-CH"/>
        </w:rPr>
        <w:t xml:space="preserve">ن </w:t>
      </w:r>
      <w:r w:rsidRPr="006D69DC">
        <w:rPr>
          <w:rFonts w:ascii="Arabic Typesetting" w:hAnsi="Arabic Typesetting" w:cs="Arabic Typesetting"/>
          <w:sz w:val="34"/>
          <w:szCs w:val="34"/>
          <w:rtl/>
          <w:lang w:val="fr-CH"/>
        </w:rPr>
        <w:t>والموضوع والمنظمات التي شملتها الزيارات).</w:t>
      </w:r>
    </w:p>
    <w:p w:rsidR="006D69DC" w:rsidRPr="006D69DC" w:rsidRDefault="006D69DC" w:rsidP="006D69DC">
      <w:pPr>
        <w:bidi/>
        <w:spacing w:after="120" w:line="340" w:lineRule="exact"/>
        <w:ind w:left="566"/>
        <w:rPr>
          <w:rFonts w:ascii="Arabic Typesetting" w:hAnsi="Arabic Typesetting" w:cs="Arabic Typesetting"/>
          <w:sz w:val="34"/>
          <w:szCs w:val="34"/>
          <w:rtl/>
          <w:lang w:val="fr-CH"/>
        </w:rPr>
      </w:pPr>
      <w:r w:rsidRPr="006D69DC">
        <w:rPr>
          <w:rFonts w:ascii="Arabic Typesetting" w:hAnsi="Arabic Typesetting" w:cs="Arabic Typesetting"/>
          <w:b/>
          <w:bCs/>
          <w:sz w:val="34"/>
          <w:szCs w:val="34"/>
          <w:rtl/>
          <w:lang w:val="fr-CH"/>
        </w:rPr>
        <w:t>الموارد البشرية (ملفات الموظفين الإلكترونية)</w:t>
      </w:r>
      <w:r w:rsidRPr="006D69DC">
        <w:rPr>
          <w:rFonts w:ascii="Arabic Typesetting" w:hAnsi="Arabic Typesetting" w:cs="Arabic Typesetting"/>
          <w:sz w:val="34"/>
          <w:szCs w:val="34"/>
          <w:rtl/>
          <w:lang w:val="fr-CH"/>
        </w:rPr>
        <w:t xml:space="preserve"> </w:t>
      </w:r>
      <w:r w:rsidR="00AD17C3">
        <w:rPr>
          <w:rFonts w:ascii="Arabic Typesetting" w:hAnsi="Arabic Typesetting" w:cs="Arabic Typesetting"/>
          <w:sz w:val="34"/>
          <w:szCs w:val="34"/>
          <w:rtl/>
          <w:lang w:val="fr-CH"/>
        </w:rPr>
        <w:t>-</w:t>
      </w:r>
      <w:r w:rsidRPr="006D69DC">
        <w:rPr>
          <w:rFonts w:ascii="Arabic Typesetting" w:hAnsi="Arabic Typesetting" w:cs="Arabic Typesetting"/>
          <w:sz w:val="34"/>
          <w:szCs w:val="34"/>
          <w:rtl/>
          <w:lang w:val="fr-CH"/>
        </w:rPr>
        <w:t xml:space="preserve"> إنشاء مجلدات موارد بشرية آمنة (قضايا) لكل موظف، بحيث تحتوي على وثائق وسجلات إلكترونية للموظف، مع إدراج نسخ إلكترونية </w:t>
      </w:r>
      <w:r w:rsidRPr="006D69DC">
        <w:rPr>
          <w:rFonts w:ascii="Arabic Typesetting" w:hAnsi="Arabic Typesetting" w:cs="Arabic Typesetting" w:hint="cs"/>
          <w:sz w:val="34"/>
          <w:szCs w:val="34"/>
          <w:rtl/>
          <w:lang w:val="fr-CH"/>
        </w:rPr>
        <w:t xml:space="preserve">مُعدة </w:t>
      </w:r>
      <w:proofErr w:type="spellStart"/>
      <w:r w:rsidRPr="006D69DC">
        <w:rPr>
          <w:rFonts w:ascii="Arabic Typesetting" w:hAnsi="Arabic Typesetting" w:cs="Arabic Typesetting" w:hint="cs"/>
          <w:sz w:val="34"/>
          <w:szCs w:val="34"/>
          <w:rtl/>
          <w:lang w:val="fr-CH"/>
        </w:rPr>
        <w:t>مُرقمنة</w:t>
      </w:r>
      <w:proofErr w:type="spellEnd"/>
      <w:r w:rsidRPr="006D69DC">
        <w:rPr>
          <w:rFonts w:ascii="Arabic Typesetting" w:hAnsi="Arabic Typesetting" w:cs="Arabic Typesetting"/>
          <w:sz w:val="34"/>
          <w:szCs w:val="34"/>
          <w:rtl/>
          <w:lang w:val="fr-CH"/>
        </w:rPr>
        <w:t xml:space="preserve"> من السجلات الورقية </w:t>
      </w:r>
      <w:r w:rsidRPr="006D69DC">
        <w:rPr>
          <w:rFonts w:ascii="Arabic Typesetting" w:hAnsi="Arabic Typesetting" w:cs="Arabic Typesetting" w:hint="cs"/>
          <w:sz w:val="34"/>
          <w:szCs w:val="34"/>
          <w:rtl/>
          <w:lang w:val="fr-CH"/>
        </w:rPr>
        <w:t>الموجودة</w:t>
      </w:r>
      <w:r w:rsidRPr="006D69DC">
        <w:rPr>
          <w:rFonts w:ascii="Arabic Typesetting" w:hAnsi="Arabic Typesetting" w:cs="Arabic Typesetting"/>
          <w:sz w:val="34"/>
          <w:szCs w:val="34"/>
          <w:rtl/>
          <w:lang w:val="fr-CH"/>
        </w:rPr>
        <w:t xml:space="preserve"> (التصوير </w:t>
      </w:r>
      <w:proofErr w:type="spellStart"/>
      <w:r w:rsidRPr="006D69DC">
        <w:rPr>
          <w:rFonts w:ascii="Arabic Typesetting" w:hAnsi="Arabic Typesetting" w:cs="Arabic Typesetting"/>
          <w:sz w:val="34"/>
          <w:szCs w:val="34"/>
          <w:rtl/>
          <w:lang w:val="fr-CH"/>
        </w:rPr>
        <w:t>وال</w:t>
      </w:r>
      <w:r w:rsidRPr="006D69DC">
        <w:rPr>
          <w:rFonts w:ascii="Arabic Typesetting" w:hAnsi="Arabic Typesetting" w:cs="Arabic Typesetting" w:hint="cs"/>
          <w:sz w:val="34"/>
          <w:szCs w:val="34"/>
          <w:rtl/>
          <w:lang w:val="fr-CH"/>
        </w:rPr>
        <w:t>رقمنة</w:t>
      </w:r>
      <w:proofErr w:type="spellEnd"/>
      <w:r w:rsidRPr="006D69DC">
        <w:rPr>
          <w:rFonts w:ascii="Arabic Typesetting" w:hAnsi="Arabic Typesetting" w:cs="Arabic Typesetting"/>
          <w:sz w:val="34"/>
          <w:szCs w:val="34"/>
          <w:rtl/>
          <w:lang w:val="fr-CH"/>
        </w:rPr>
        <w:t>). و</w:t>
      </w:r>
      <w:r w:rsidRPr="006D69DC">
        <w:rPr>
          <w:rFonts w:ascii="Arabic Typesetting" w:hAnsi="Arabic Typesetting" w:cs="Arabic Typesetting" w:hint="cs"/>
          <w:sz w:val="34"/>
          <w:szCs w:val="34"/>
          <w:rtl/>
          <w:lang w:val="fr-CH"/>
        </w:rPr>
        <w:t>سيتمكّن م</w:t>
      </w:r>
      <w:r w:rsidRPr="006D69DC">
        <w:rPr>
          <w:rFonts w:ascii="Arabic Typesetting" w:hAnsi="Arabic Typesetting" w:cs="Arabic Typesetting"/>
          <w:sz w:val="34"/>
          <w:szCs w:val="34"/>
          <w:rtl/>
          <w:lang w:val="fr-CH"/>
        </w:rPr>
        <w:t xml:space="preserve">وظفو إدارة الموارد البشرية </w:t>
      </w:r>
      <w:r w:rsidRPr="006D69DC">
        <w:rPr>
          <w:rFonts w:ascii="Arabic Typesetting" w:hAnsi="Arabic Typesetting" w:cs="Arabic Typesetting" w:hint="cs"/>
          <w:sz w:val="34"/>
          <w:szCs w:val="34"/>
          <w:rtl/>
          <w:lang w:val="fr-CH"/>
        </w:rPr>
        <w:t>من</w:t>
      </w:r>
      <w:r w:rsidRPr="006D69DC">
        <w:rPr>
          <w:rFonts w:ascii="Arabic Typesetting" w:hAnsi="Arabic Typesetting" w:cs="Arabic Typesetting"/>
          <w:sz w:val="34"/>
          <w:szCs w:val="34"/>
          <w:rtl/>
          <w:lang w:val="fr-CH"/>
        </w:rPr>
        <w:t xml:space="preserve"> البحث في الملفات الإلكترونية لتحديد الملفات المطلوبة واسترجاعها (البحث).</w:t>
      </w:r>
    </w:p>
    <w:p w:rsidR="006D69DC" w:rsidRPr="006D69DC" w:rsidRDefault="006D69DC" w:rsidP="00FE0770">
      <w:pPr>
        <w:bidi/>
        <w:spacing w:after="120" w:line="340" w:lineRule="exact"/>
        <w:ind w:left="566"/>
        <w:rPr>
          <w:rFonts w:ascii="Arabic Typesetting" w:hAnsi="Arabic Typesetting" w:cs="Arabic Typesetting"/>
          <w:sz w:val="34"/>
          <w:szCs w:val="34"/>
          <w:rtl/>
          <w:lang w:val="fr-CH"/>
        </w:rPr>
      </w:pPr>
      <w:r w:rsidRPr="006D69DC">
        <w:rPr>
          <w:rFonts w:ascii="Arabic Typesetting" w:hAnsi="Arabic Typesetting" w:cs="Arabic Typesetting"/>
          <w:b/>
          <w:bCs/>
          <w:sz w:val="34"/>
          <w:szCs w:val="34"/>
          <w:rtl/>
          <w:lang w:val="fr-CH"/>
        </w:rPr>
        <w:t>فعالية نظام إدارة المعلومات المؤسسية على مستوى المنظمة</w:t>
      </w:r>
      <w:r w:rsidRPr="006D69DC">
        <w:rPr>
          <w:rFonts w:ascii="Arabic Typesetting" w:hAnsi="Arabic Typesetting" w:cs="Arabic Typesetting"/>
          <w:sz w:val="34"/>
          <w:szCs w:val="34"/>
          <w:rtl/>
          <w:lang w:val="fr-CH"/>
        </w:rPr>
        <w:t xml:space="preserve"> </w:t>
      </w:r>
      <w:r w:rsidR="00AD17C3">
        <w:rPr>
          <w:rFonts w:ascii="Arabic Typesetting" w:hAnsi="Arabic Typesetting" w:cs="Arabic Typesetting"/>
          <w:sz w:val="34"/>
          <w:szCs w:val="34"/>
          <w:rtl/>
          <w:lang w:val="fr-CH"/>
        </w:rPr>
        <w:t>-</w:t>
      </w:r>
      <w:r w:rsidRPr="006D69DC">
        <w:rPr>
          <w:rFonts w:ascii="Arabic Typesetting" w:hAnsi="Arabic Typesetting" w:cs="Arabic Typesetting"/>
          <w:sz w:val="34"/>
          <w:szCs w:val="34"/>
          <w:rtl/>
          <w:lang w:val="fr-CH"/>
        </w:rPr>
        <w:t xml:space="preserve"> إدماج نظام إدارة المعلومات المؤسسية في الحواسيب المكتبية القياسية الخاصة بالويبو للسماح لجميع </w:t>
      </w:r>
      <w:r w:rsidRPr="006D69DC">
        <w:rPr>
          <w:rFonts w:ascii="Arabic Typesetting" w:hAnsi="Arabic Typesetting" w:cs="Arabic Typesetting" w:hint="cs"/>
          <w:sz w:val="34"/>
          <w:szCs w:val="34"/>
          <w:rtl/>
          <w:lang w:val="fr-CH"/>
        </w:rPr>
        <w:t>ال</w:t>
      </w:r>
      <w:r w:rsidRPr="006D69DC">
        <w:rPr>
          <w:rFonts w:ascii="Arabic Typesetting" w:hAnsi="Arabic Typesetting" w:cs="Arabic Typesetting"/>
          <w:sz w:val="34"/>
          <w:szCs w:val="34"/>
          <w:rtl/>
          <w:lang w:val="fr-CH"/>
        </w:rPr>
        <w:t>مستخدم</w:t>
      </w:r>
      <w:r w:rsidRPr="006D69DC">
        <w:rPr>
          <w:rFonts w:ascii="Arabic Typesetting" w:hAnsi="Arabic Typesetting" w:cs="Arabic Typesetting" w:hint="cs"/>
          <w:sz w:val="34"/>
          <w:szCs w:val="34"/>
          <w:rtl/>
          <w:lang w:val="fr-CH"/>
        </w:rPr>
        <w:t>ين في</w:t>
      </w:r>
      <w:r w:rsidRPr="006D69DC">
        <w:rPr>
          <w:rFonts w:ascii="Arabic Typesetting" w:hAnsi="Arabic Typesetting" w:cs="Arabic Typesetting"/>
          <w:sz w:val="34"/>
          <w:szCs w:val="34"/>
          <w:rtl/>
          <w:lang w:val="fr-CH"/>
        </w:rPr>
        <w:t xml:space="preserve"> الويبو بإجراء مهام إدارة الوثائق (التخزين والتصنيف والبحث والاسترجاع ومراقبة الإصدارات) </w:t>
      </w:r>
      <w:r w:rsidR="00FE0770">
        <w:rPr>
          <w:rFonts w:ascii="Arabic Typesetting" w:hAnsi="Arabic Typesetting" w:cs="Arabic Typesetting" w:hint="cs"/>
          <w:sz w:val="34"/>
          <w:szCs w:val="34"/>
          <w:rtl/>
          <w:lang w:val="fr-CH"/>
        </w:rPr>
        <w:t>فيما يخص</w:t>
      </w:r>
      <w:r w:rsidRPr="006D69DC">
        <w:rPr>
          <w:rFonts w:ascii="Arabic Typesetting" w:hAnsi="Arabic Typesetting" w:cs="Arabic Typesetting"/>
          <w:sz w:val="34"/>
          <w:szCs w:val="34"/>
          <w:rtl/>
          <w:lang w:val="fr-CH"/>
        </w:rPr>
        <w:t xml:space="preserve"> </w:t>
      </w:r>
      <w:r w:rsidR="00FE0770">
        <w:rPr>
          <w:rFonts w:ascii="Arabic Typesetting" w:hAnsi="Arabic Typesetting" w:cs="Arabic Typesetting" w:hint="cs"/>
          <w:sz w:val="34"/>
          <w:szCs w:val="34"/>
          <w:rtl/>
          <w:lang w:val="fr-CH"/>
        </w:rPr>
        <w:t>المحتويات التي ينشئها</w:t>
      </w:r>
      <w:r w:rsidRPr="006D69DC">
        <w:rPr>
          <w:rFonts w:ascii="Arabic Typesetting" w:hAnsi="Arabic Typesetting" w:cs="Arabic Typesetting"/>
          <w:sz w:val="34"/>
          <w:szCs w:val="34"/>
          <w:rtl/>
          <w:lang w:val="fr-CH"/>
        </w:rPr>
        <w:t xml:space="preserve"> المستخدم والوحدة والمنظمة. </w:t>
      </w:r>
      <w:r w:rsidRPr="006D69DC">
        <w:rPr>
          <w:rFonts w:ascii="Arabic Typesetting" w:hAnsi="Arabic Typesetting" w:cs="Arabic Typesetting" w:hint="cs"/>
          <w:sz w:val="34"/>
          <w:szCs w:val="34"/>
          <w:rtl/>
          <w:lang w:val="fr-CH"/>
        </w:rPr>
        <w:t>و</w:t>
      </w:r>
      <w:r w:rsidRPr="006D69DC">
        <w:rPr>
          <w:rFonts w:ascii="Arabic Typesetting" w:hAnsi="Arabic Typesetting" w:cs="Arabic Typesetting"/>
          <w:sz w:val="34"/>
          <w:szCs w:val="34"/>
          <w:rtl/>
          <w:lang w:val="fr-CH"/>
        </w:rPr>
        <w:t xml:space="preserve">سيشمل </w:t>
      </w:r>
      <w:r w:rsidRPr="006D69DC">
        <w:rPr>
          <w:rFonts w:ascii="Arabic Typesetting" w:hAnsi="Arabic Typesetting" w:cs="Arabic Typesetting" w:hint="cs"/>
          <w:sz w:val="34"/>
          <w:szCs w:val="34"/>
          <w:rtl/>
          <w:lang w:val="fr-CH"/>
        </w:rPr>
        <w:t xml:space="preserve">ذلك </w:t>
      </w:r>
      <w:r w:rsidRPr="006D69DC">
        <w:rPr>
          <w:rFonts w:ascii="Arabic Typesetting" w:hAnsi="Arabic Typesetting" w:cs="Arabic Typesetting"/>
          <w:sz w:val="34"/>
          <w:szCs w:val="34"/>
          <w:rtl/>
          <w:lang w:val="fr-CH"/>
        </w:rPr>
        <w:t xml:space="preserve">المحتوى </w:t>
      </w:r>
      <w:r w:rsidRPr="006D69DC">
        <w:rPr>
          <w:rFonts w:ascii="Arabic Typesetting" w:hAnsi="Arabic Typesetting" w:cs="Arabic Typesetting" w:hint="cs"/>
          <w:sz w:val="34"/>
          <w:szCs w:val="34"/>
          <w:rtl/>
          <w:lang w:val="fr-CH"/>
        </w:rPr>
        <w:t>ما</w:t>
      </w:r>
      <w:r w:rsidRPr="006D69DC">
        <w:rPr>
          <w:rFonts w:ascii="Arabic Typesetting" w:hAnsi="Arabic Typesetting" w:cs="Arabic Typesetting"/>
          <w:sz w:val="34"/>
          <w:szCs w:val="34"/>
          <w:rtl/>
          <w:lang w:val="fr-CH"/>
        </w:rPr>
        <w:t xml:space="preserve"> </w:t>
      </w:r>
      <w:r w:rsidRPr="006D69DC">
        <w:rPr>
          <w:rFonts w:ascii="Arabic Typesetting" w:hAnsi="Arabic Typesetting" w:cs="Arabic Typesetting" w:hint="cs"/>
          <w:sz w:val="34"/>
          <w:szCs w:val="34"/>
          <w:rtl/>
          <w:lang w:val="fr-CH"/>
        </w:rPr>
        <w:t>يُنشأ</w:t>
      </w:r>
      <w:r w:rsidRPr="006D69DC">
        <w:rPr>
          <w:rFonts w:ascii="Arabic Typesetting" w:hAnsi="Arabic Typesetting" w:cs="Arabic Typesetting"/>
          <w:sz w:val="34"/>
          <w:szCs w:val="34"/>
          <w:rtl/>
          <w:lang w:val="fr-CH"/>
        </w:rPr>
        <w:t xml:space="preserve"> من خلال الحواسيب المكتبية للمستخدمين مثل ملفات معالجة النصوص (ميكروسوفت وورد ووثائق</w:t>
      </w:r>
      <w:r w:rsidRPr="006D69DC">
        <w:rPr>
          <w:rFonts w:ascii="Arabic Typesetting" w:hAnsi="Arabic Typesetting" w:cs="Arabic Typesetting" w:hint="cs"/>
          <w:sz w:val="34"/>
          <w:szCs w:val="34"/>
          <w:rtl/>
          <w:lang w:val="fr-CH"/>
        </w:rPr>
        <w:t> </w:t>
      </w:r>
      <w:r w:rsidRPr="006D69DC">
        <w:rPr>
          <w:rFonts w:ascii="Arabic Typesetting" w:hAnsi="Arabic Typesetting" w:cs="Arabic Typesetting"/>
          <w:sz w:val="34"/>
          <w:szCs w:val="34"/>
          <w:lang w:val="fr-CH"/>
        </w:rPr>
        <w:t>PDF</w:t>
      </w:r>
      <w:r w:rsidRPr="006D69DC">
        <w:rPr>
          <w:rFonts w:ascii="Arabic Typesetting" w:hAnsi="Arabic Typesetting" w:cs="Arabic Typesetting"/>
          <w:sz w:val="34"/>
          <w:szCs w:val="34"/>
          <w:rtl/>
          <w:lang w:val="fr-CH"/>
        </w:rPr>
        <w:t xml:space="preserve">) وجداول البيانات (مثل مايكروسوفت </w:t>
      </w:r>
      <w:proofErr w:type="spellStart"/>
      <w:r w:rsidRPr="006D69DC">
        <w:rPr>
          <w:rFonts w:ascii="Arabic Typesetting" w:hAnsi="Arabic Typesetting" w:cs="Arabic Typesetting"/>
          <w:sz w:val="34"/>
          <w:szCs w:val="34"/>
          <w:rtl/>
          <w:lang w:val="fr-CH"/>
        </w:rPr>
        <w:t>إكسل</w:t>
      </w:r>
      <w:proofErr w:type="spellEnd"/>
      <w:r w:rsidRPr="006D69DC">
        <w:rPr>
          <w:rFonts w:ascii="Arabic Typesetting" w:hAnsi="Arabic Typesetting" w:cs="Arabic Typesetting"/>
          <w:sz w:val="34"/>
          <w:szCs w:val="34"/>
          <w:rtl/>
          <w:lang w:val="fr-CH"/>
        </w:rPr>
        <w:t xml:space="preserve">) والعروض التقديمية (مثل مايكروسوفت </w:t>
      </w:r>
      <w:proofErr w:type="spellStart"/>
      <w:r w:rsidRPr="006D69DC">
        <w:rPr>
          <w:rFonts w:ascii="Arabic Typesetting" w:hAnsi="Arabic Typesetting" w:cs="Arabic Typesetting"/>
          <w:sz w:val="34"/>
          <w:szCs w:val="34"/>
          <w:rtl/>
          <w:lang w:val="fr-CH"/>
        </w:rPr>
        <w:t>باور</w:t>
      </w:r>
      <w:proofErr w:type="spellEnd"/>
      <w:r w:rsidRPr="006D69DC">
        <w:rPr>
          <w:rFonts w:ascii="Arabic Typesetting" w:hAnsi="Arabic Typesetting" w:cs="Arabic Typesetting"/>
          <w:sz w:val="34"/>
          <w:szCs w:val="34"/>
          <w:rtl/>
          <w:lang w:val="fr-CH"/>
        </w:rPr>
        <w:t xml:space="preserve"> بوينت) والرسوم البيانية (مثل</w:t>
      </w:r>
      <w:r w:rsidR="00FE0770">
        <w:rPr>
          <w:rFonts w:ascii="Arabic Typesetting" w:hAnsi="Arabic Typesetting" w:cs="Arabic Typesetting" w:hint="cs"/>
          <w:sz w:val="34"/>
          <w:szCs w:val="34"/>
          <w:rtl/>
          <w:lang w:val="fr-CH"/>
        </w:rPr>
        <w:t> </w:t>
      </w:r>
      <w:r w:rsidRPr="006D69DC">
        <w:rPr>
          <w:rFonts w:ascii="Arabic Typesetting" w:hAnsi="Arabic Typesetting" w:cs="Arabic Typesetting"/>
          <w:sz w:val="34"/>
          <w:szCs w:val="34"/>
          <w:rtl/>
          <w:lang w:val="fr-CH"/>
        </w:rPr>
        <w:t xml:space="preserve">مايكروسوفت </w:t>
      </w:r>
      <w:proofErr w:type="spellStart"/>
      <w:r w:rsidRPr="006D69DC">
        <w:rPr>
          <w:rFonts w:ascii="Arabic Typesetting" w:hAnsi="Arabic Typesetting" w:cs="Arabic Typesetting"/>
          <w:sz w:val="34"/>
          <w:szCs w:val="34"/>
          <w:rtl/>
          <w:lang w:val="fr-CH"/>
        </w:rPr>
        <w:t>فيزيو</w:t>
      </w:r>
      <w:proofErr w:type="spellEnd"/>
      <w:r w:rsidRPr="006D69DC">
        <w:rPr>
          <w:rFonts w:ascii="Arabic Typesetting" w:hAnsi="Arabic Typesetting" w:cs="Arabic Typesetting"/>
          <w:sz w:val="34"/>
          <w:szCs w:val="34"/>
          <w:rtl/>
          <w:lang w:val="fr-CH"/>
        </w:rPr>
        <w:t xml:space="preserve">) وخطط المشروعات (مثل مايكروسوفت </w:t>
      </w:r>
      <w:proofErr w:type="spellStart"/>
      <w:r w:rsidRPr="006D69DC">
        <w:rPr>
          <w:rFonts w:ascii="Arabic Typesetting" w:hAnsi="Arabic Typesetting" w:cs="Arabic Typesetting"/>
          <w:sz w:val="34"/>
          <w:szCs w:val="34"/>
          <w:rtl/>
          <w:lang w:val="fr-CH"/>
        </w:rPr>
        <w:t>بروجكت</w:t>
      </w:r>
      <w:proofErr w:type="spellEnd"/>
      <w:r w:rsidRPr="006D69DC">
        <w:rPr>
          <w:rFonts w:ascii="Arabic Typesetting" w:hAnsi="Arabic Typesetting" w:cs="Arabic Typesetting"/>
          <w:sz w:val="34"/>
          <w:szCs w:val="34"/>
          <w:rtl/>
          <w:lang w:val="fr-CH"/>
        </w:rPr>
        <w:t>) المرسلة عبر البريد الإلكتروني.</w:t>
      </w:r>
    </w:p>
    <w:p w:rsidR="006D69DC" w:rsidRPr="006D69DC" w:rsidRDefault="006D69DC" w:rsidP="006D69DC">
      <w:pPr>
        <w:keepNext/>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lastRenderedPageBreak/>
        <w:t xml:space="preserve">استعراض التقدم المحرز في </w:t>
      </w:r>
      <w:r w:rsidRPr="006D69DC">
        <w:rPr>
          <w:rFonts w:ascii="Arabic Typesetting" w:hAnsi="Arabic Typesetting" w:cs="Arabic Typesetting" w:hint="cs"/>
          <w:sz w:val="34"/>
          <w:szCs w:val="34"/>
          <w:rtl/>
          <w:lang w:val="fr-CH"/>
        </w:rPr>
        <w:t>2015</w:t>
      </w:r>
      <w:r w:rsidRPr="006D69DC">
        <w:rPr>
          <w:rFonts w:ascii="Arabic Typesetting" w:hAnsi="Arabic Typesetting" w:cs="Arabic Typesetting"/>
          <w:sz w:val="34"/>
          <w:szCs w:val="34"/>
          <w:rtl/>
          <w:lang w:val="fr-CH"/>
        </w:rPr>
        <w:t xml:space="preserve"> (المعالم الرئيسية)</w:t>
      </w:r>
    </w:p>
    <w:p w:rsidR="006D69DC" w:rsidRPr="006D69DC" w:rsidRDefault="006D69DC" w:rsidP="00544309">
      <w:pPr>
        <w:keepNext/>
        <w:numPr>
          <w:ilvl w:val="0"/>
          <w:numId w:val="49"/>
        </w:numPr>
        <w:bidi/>
        <w:spacing w:after="120" w:line="340" w:lineRule="exact"/>
        <w:rPr>
          <w:rFonts w:ascii="Arabic Typesetting" w:hAnsi="Arabic Typesetting" w:cs="Arabic Typesetting"/>
          <w:sz w:val="34"/>
          <w:szCs w:val="34"/>
        </w:rPr>
      </w:pPr>
      <w:r w:rsidRPr="006D69DC">
        <w:rPr>
          <w:rFonts w:ascii="Arabic Typesetting" w:hAnsi="Arabic Typesetting" w:cs="Arabic Typesetting" w:hint="cs"/>
          <w:sz w:val="34"/>
          <w:szCs w:val="34"/>
          <w:rtl/>
        </w:rPr>
        <w:t>وافق مجلس الويبو المعني بتكنولوجيا المعلومات والاتصالات، في أبريل</w:t>
      </w:r>
      <w:r w:rsidRPr="006D69DC">
        <w:rPr>
          <w:rFonts w:ascii="Arabic Typesetting" w:hAnsi="Arabic Typesetting" w:cs="Arabic Typesetting" w:hint="eastAsia"/>
          <w:sz w:val="34"/>
          <w:szCs w:val="34"/>
          <w:rtl/>
        </w:rPr>
        <w:t> </w:t>
      </w:r>
      <w:r w:rsidRPr="006D69DC">
        <w:rPr>
          <w:rFonts w:ascii="Arabic Typesetting" w:hAnsi="Arabic Typesetting" w:cs="Arabic Typesetting" w:hint="cs"/>
          <w:sz w:val="34"/>
          <w:szCs w:val="34"/>
          <w:rtl/>
        </w:rPr>
        <w:t>2015، على مشروع إدارة المعلومات المؤسسية المراجَع، بما في ذلك تغيير سلّم الأولويات بالنسبة إلى "مشروعات المكاسب المبكرة".</w:t>
      </w:r>
    </w:p>
    <w:p w:rsidR="006D69DC" w:rsidRPr="006D69DC" w:rsidRDefault="006D69DC" w:rsidP="00FE0770">
      <w:pPr>
        <w:keepNext/>
        <w:numPr>
          <w:ilvl w:val="0"/>
          <w:numId w:val="49"/>
        </w:numPr>
        <w:bidi/>
        <w:spacing w:after="120" w:line="340" w:lineRule="exact"/>
        <w:rPr>
          <w:rFonts w:ascii="Arabic Typesetting" w:hAnsi="Arabic Typesetting" w:cs="Arabic Typesetting"/>
          <w:sz w:val="34"/>
          <w:szCs w:val="34"/>
        </w:rPr>
      </w:pPr>
      <w:r w:rsidRPr="006D69DC">
        <w:rPr>
          <w:rFonts w:ascii="Arabic Typesetting" w:hAnsi="Arabic Typesetting" w:cs="Arabic Typesetting" w:hint="cs"/>
          <w:sz w:val="34"/>
          <w:szCs w:val="34"/>
          <w:rtl/>
        </w:rPr>
        <w:t>وفي عام 2015، أحرز التقدم التالي:</w:t>
      </w:r>
    </w:p>
    <w:p w:rsidR="006D69DC" w:rsidRPr="006D69DC" w:rsidRDefault="006D69DC" w:rsidP="0099688F">
      <w:pPr>
        <w:numPr>
          <w:ilvl w:val="0"/>
          <w:numId w:val="61"/>
        </w:numPr>
        <w:bidi/>
        <w:spacing w:after="120" w:line="340" w:lineRule="exact"/>
        <w:rPr>
          <w:rFonts w:ascii="Arabic Typesetting" w:hAnsi="Arabic Typesetting" w:cs="Arabic Typesetting"/>
          <w:sz w:val="34"/>
          <w:szCs w:val="34"/>
          <w:lang w:val="fr-CH"/>
        </w:rPr>
      </w:pPr>
      <w:r w:rsidRPr="006D69DC">
        <w:rPr>
          <w:rFonts w:ascii="Arabic Typesetting" w:hAnsi="Arabic Typesetting" w:cs="Arabic Typesetting" w:hint="cs"/>
          <w:sz w:val="34"/>
          <w:szCs w:val="34"/>
          <w:rtl/>
          <w:lang w:val="fr-CH"/>
        </w:rPr>
        <w:t>استُكمل، في الفصل الثالث، الخيار التكنولوجي</w:t>
      </w:r>
      <w:r w:rsidRPr="006D69DC">
        <w:rPr>
          <w:rFonts w:ascii="Arabic Typesetting" w:hAnsi="Arabic Typesetting" w:cs="Arabic Typesetting" w:hint="eastAsia"/>
          <w:sz w:val="34"/>
          <w:szCs w:val="34"/>
          <w:rtl/>
          <w:lang w:val="fr-CH"/>
        </w:rPr>
        <w:t> </w:t>
      </w:r>
      <w:proofErr w:type="spellStart"/>
      <w:r w:rsidRPr="006D69DC">
        <w:rPr>
          <w:rFonts w:ascii="Arabic Typesetting" w:hAnsi="Arabic Typesetting" w:cs="Arabic Typesetting"/>
          <w:sz w:val="34"/>
          <w:szCs w:val="34"/>
          <w:lang w:val="fr-CH"/>
        </w:rPr>
        <w:t>OpenText</w:t>
      </w:r>
      <w:proofErr w:type="spellEnd"/>
      <w:r w:rsidRPr="006D69DC">
        <w:rPr>
          <w:rFonts w:ascii="Arabic Typesetting" w:hAnsi="Arabic Typesetting" w:cs="Arabic Typesetting" w:hint="cs"/>
          <w:sz w:val="34"/>
          <w:szCs w:val="34"/>
          <w:rtl/>
          <w:lang w:val="fr-CH"/>
        </w:rPr>
        <w:t xml:space="preserve"> لتنفيذ مشروع إدارة المعلومات المؤسسية وذلك بناء على توصية مستشار مستقل وتحليل إضافي للسوق.</w:t>
      </w:r>
    </w:p>
    <w:p w:rsidR="006D69DC" w:rsidRPr="006D69DC" w:rsidRDefault="006D69DC" w:rsidP="0099688F">
      <w:pPr>
        <w:numPr>
          <w:ilvl w:val="0"/>
          <w:numId w:val="61"/>
        </w:numPr>
        <w:bidi/>
        <w:spacing w:after="120" w:line="340" w:lineRule="exact"/>
        <w:rPr>
          <w:rFonts w:ascii="Arabic Typesetting" w:hAnsi="Arabic Typesetting" w:cs="Arabic Typesetting"/>
          <w:sz w:val="34"/>
          <w:szCs w:val="34"/>
          <w:lang w:val="fr-CH"/>
        </w:rPr>
      </w:pPr>
      <w:r w:rsidRPr="006D69DC">
        <w:rPr>
          <w:rFonts w:ascii="Arabic Typesetting" w:hAnsi="Arabic Typesetting" w:cs="Arabic Typesetting" w:hint="cs"/>
          <w:sz w:val="34"/>
          <w:szCs w:val="34"/>
          <w:rtl/>
          <w:lang w:val="fr-CH"/>
        </w:rPr>
        <w:t>تم، خلال الفصل الرابع وقبل فصلين من الموعد المحدّد أصلا، تحديث نظام السجلات والمحفوظات المؤسسية القائم ليتناسب مع منصة</w:t>
      </w:r>
      <w:r w:rsidRPr="006D69DC">
        <w:rPr>
          <w:rFonts w:ascii="Arabic Typesetting" w:hAnsi="Arabic Typesetting" w:cs="Arabic Typesetting" w:hint="eastAsia"/>
          <w:sz w:val="34"/>
          <w:szCs w:val="34"/>
          <w:rtl/>
          <w:lang w:val="fr-CH"/>
        </w:rPr>
        <w:t> </w:t>
      </w:r>
      <w:proofErr w:type="spellStart"/>
      <w:r w:rsidRPr="006D69DC">
        <w:rPr>
          <w:rFonts w:ascii="Arabic Typesetting" w:hAnsi="Arabic Typesetting" w:cs="Arabic Typesetting"/>
          <w:sz w:val="34"/>
          <w:szCs w:val="34"/>
          <w:lang w:val="fr-CH"/>
        </w:rPr>
        <w:t>OpenText</w:t>
      </w:r>
      <w:proofErr w:type="spellEnd"/>
      <w:r w:rsidRPr="006D69DC">
        <w:rPr>
          <w:rFonts w:ascii="Arabic Typesetting" w:hAnsi="Arabic Typesetting" w:cs="Arabic Typesetting" w:hint="cs"/>
          <w:sz w:val="34"/>
          <w:szCs w:val="34"/>
          <w:rtl/>
          <w:lang w:val="fr-CH"/>
        </w:rPr>
        <w:t xml:space="preserve"> الجديدة، وذلك بسبب توقف دعم مايكروسوفت للمنصة الأصلية القائمة في منتصف سبتمبر 2015.</w:t>
      </w:r>
    </w:p>
    <w:p w:rsidR="006D69DC" w:rsidRPr="006D69DC" w:rsidRDefault="006D69DC" w:rsidP="0099688F">
      <w:pPr>
        <w:numPr>
          <w:ilvl w:val="0"/>
          <w:numId w:val="61"/>
        </w:numPr>
        <w:bidi/>
        <w:spacing w:after="120" w:line="340" w:lineRule="exact"/>
        <w:rPr>
          <w:rFonts w:ascii="Arabic Typesetting" w:hAnsi="Arabic Typesetting" w:cs="Arabic Typesetting"/>
          <w:sz w:val="34"/>
          <w:szCs w:val="34"/>
          <w:lang w:val="fr-CH"/>
        </w:rPr>
      </w:pPr>
      <w:r w:rsidRPr="006D69DC">
        <w:rPr>
          <w:rFonts w:ascii="Arabic Typesetting" w:hAnsi="Arabic Typesetting" w:cs="Arabic Typesetting" w:hint="cs"/>
          <w:sz w:val="34"/>
          <w:szCs w:val="34"/>
          <w:rtl/>
          <w:lang w:val="fr-CH"/>
        </w:rPr>
        <w:t>استُهلت أنشطة تعيين بائع لتقديم خدمات التصميم والتكوين والتنفيذ والدعم لمشروع إدارة المعلومات المؤسسية، مع توجيه طلب للحصول على معلومات في نوفمبر 2015. وفي مارس</w:t>
      </w:r>
      <w:r w:rsidRPr="006D69DC">
        <w:rPr>
          <w:rFonts w:ascii="Arabic Typesetting" w:hAnsi="Arabic Typesetting" w:cs="Arabic Typesetting" w:hint="eastAsia"/>
          <w:sz w:val="34"/>
          <w:szCs w:val="34"/>
          <w:rtl/>
          <w:lang w:val="fr-CH"/>
        </w:rPr>
        <w:t> </w:t>
      </w:r>
      <w:r w:rsidRPr="006D69DC">
        <w:rPr>
          <w:rFonts w:ascii="Arabic Typesetting" w:hAnsi="Arabic Typesetting" w:cs="Arabic Typesetting" w:hint="cs"/>
          <w:sz w:val="34"/>
          <w:szCs w:val="34"/>
          <w:rtl/>
          <w:lang w:val="fr-CH"/>
        </w:rPr>
        <w:t>2016، ستُدعى الشركات التي أدرِجت أسماؤها في قائمة مختصرة بعد طلب الحصول على المعلومات إلى الاستجابة لكامل الإجراء الخاص بطلب تقديم عروض.</w:t>
      </w:r>
    </w:p>
    <w:p w:rsidR="006E6296" w:rsidRPr="006E6296" w:rsidRDefault="00544309" w:rsidP="00544309">
      <w:pPr>
        <w:numPr>
          <w:ilvl w:val="0"/>
          <w:numId w:val="49"/>
        </w:numPr>
        <w:bidi/>
        <w:spacing w:after="120" w:line="340" w:lineRule="exact"/>
        <w:rPr>
          <w:rFonts w:ascii="Arabic Typesetting" w:hAnsi="Arabic Typesetting" w:cs="Arabic Typesetting"/>
          <w:sz w:val="36"/>
          <w:szCs w:val="36"/>
          <w:lang w:val="fr-CH"/>
        </w:rPr>
      </w:pPr>
      <w:r w:rsidRPr="006D69DC">
        <w:rPr>
          <w:rFonts w:ascii="Arabic Typesetting" w:hAnsi="Arabic Typesetting" w:cs="Arabic Typesetting" w:hint="cs"/>
          <w:sz w:val="34"/>
          <w:szCs w:val="34"/>
          <w:rtl/>
          <w:lang w:val="fr-CH"/>
        </w:rPr>
        <w:t>وبالنظر إلى الشرط الإضافي الخاص بالعناية الواجبة</w:t>
      </w:r>
      <w:r>
        <w:rPr>
          <w:rFonts w:ascii="Arabic Typesetting" w:hAnsi="Arabic Typesetting" w:cs="Arabic Typesetting" w:hint="cs"/>
          <w:sz w:val="34"/>
          <w:szCs w:val="34"/>
          <w:rtl/>
          <w:lang w:val="fr-CH"/>
        </w:rPr>
        <w:t xml:space="preserve"> باختيار </w:t>
      </w:r>
      <w:r w:rsidRPr="006D69DC">
        <w:rPr>
          <w:rFonts w:ascii="Arabic Typesetting" w:hAnsi="Arabic Typesetting" w:cs="Arabic Typesetting" w:hint="cs"/>
          <w:sz w:val="34"/>
          <w:szCs w:val="34"/>
          <w:rtl/>
        </w:rPr>
        <w:t>الحل التقني</w:t>
      </w:r>
      <w:r w:rsidRPr="006D69DC">
        <w:rPr>
          <w:rFonts w:ascii="Arabic Typesetting" w:hAnsi="Arabic Typesetting" w:cs="Arabic Typesetting" w:hint="cs"/>
          <w:sz w:val="34"/>
          <w:szCs w:val="34"/>
          <w:rtl/>
          <w:lang w:val="fr-CH"/>
        </w:rPr>
        <w:t>، بما في ذلك إجراء الموافقة الصارم،</w:t>
      </w:r>
      <w:r w:rsidR="006D69DC" w:rsidRPr="006D69DC">
        <w:rPr>
          <w:rFonts w:ascii="Arabic Typesetting" w:hAnsi="Arabic Typesetting" w:cs="Arabic Typesetting" w:hint="cs"/>
          <w:sz w:val="34"/>
          <w:szCs w:val="34"/>
          <w:rtl/>
        </w:rPr>
        <w:t xml:space="preserve"> استغرقت عملية الاختيار فترة أطول من المتوقّع مما أسفر عن تأخير في الجدول الزمني للمشروع. </w:t>
      </w:r>
      <w:r>
        <w:rPr>
          <w:rFonts w:ascii="Arabic Typesetting" w:hAnsi="Arabic Typesetting" w:cs="Arabic Typesetting" w:hint="cs"/>
          <w:sz w:val="34"/>
          <w:szCs w:val="34"/>
          <w:rtl/>
        </w:rPr>
        <w:t>ومن ثم، عدِّل الجدول الزمني</w:t>
      </w:r>
      <w:r w:rsidR="006D69DC" w:rsidRPr="006D69DC">
        <w:rPr>
          <w:rFonts w:ascii="Arabic Typesetting" w:hAnsi="Arabic Typesetting" w:cs="Arabic Typesetting" w:hint="cs"/>
          <w:sz w:val="34"/>
          <w:szCs w:val="34"/>
          <w:rtl/>
        </w:rPr>
        <w:t>.</w:t>
      </w:r>
    </w:p>
    <w:p w:rsidR="006D69DC" w:rsidRPr="006D69DC" w:rsidRDefault="006D69DC" w:rsidP="006D69DC">
      <w:pPr>
        <w:keepNext/>
        <w:bidi/>
        <w:spacing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تحقيق المنافع</w:t>
      </w:r>
    </w:p>
    <w:tbl>
      <w:tblPr>
        <w:bidiVisual/>
        <w:tblW w:w="42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2"/>
        <w:gridCol w:w="2661"/>
        <w:gridCol w:w="2841"/>
      </w:tblGrid>
      <w:tr w:rsidR="006D69DC" w:rsidRPr="006D69DC" w:rsidTr="006E6296">
        <w:trPr>
          <w:cantSplit/>
          <w:trHeight w:val="314"/>
          <w:tblHeader/>
          <w:jc w:val="center"/>
        </w:trPr>
        <w:tc>
          <w:tcPr>
            <w:tcW w:w="1630" w:type="pct"/>
            <w:shd w:val="clear" w:color="auto" w:fill="C6D9F1"/>
          </w:tcPr>
          <w:p w:rsidR="006D69DC" w:rsidRPr="006D69DC" w:rsidRDefault="006D69DC" w:rsidP="006D69DC">
            <w:pPr>
              <w:bidi/>
              <w:spacing w:line="280" w:lineRule="exact"/>
              <w:jc w:val="center"/>
              <w:rPr>
                <w:rFonts w:ascii="Arabic Typesetting" w:hAnsi="Arabic Typesetting" w:cs="Arabic Typesetting"/>
                <w:bCs/>
                <w:sz w:val="28"/>
                <w:szCs w:val="28"/>
                <w:rtl/>
                <w:lang w:bidi="ar-EG"/>
              </w:rPr>
            </w:pPr>
            <w:r w:rsidRPr="006D69DC">
              <w:rPr>
                <w:rFonts w:ascii="Arabic Typesetting" w:hAnsi="Arabic Typesetting" w:cs="Arabic Typesetting"/>
                <w:bCs/>
                <w:sz w:val="28"/>
                <w:szCs w:val="28"/>
                <w:rtl/>
                <w:lang w:bidi="ar-EG"/>
              </w:rPr>
              <w:t>المنافع المتوقعة 2016</w:t>
            </w:r>
          </w:p>
        </w:tc>
        <w:tc>
          <w:tcPr>
            <w:tcW w:w="1630" w:type="pct"/>
            <w:shd w:val="clear" w:color="auto" w:fill="C6D9F1"/>
            <w:vAlign w:val="center"/>
          </w:tcPr>
          <w:p w:rsidR="006D69DC" w:rsidRPr="006D69DC" w:rsidRDefault="006D69DC" w:rsidP="006D69DC">
            <w:pPr>
              <w:bidi/>
              <w:spacing w:line="280" w:lineRule="exact"/>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المنافع المتوقعة 2017</w:t>
            </w:r>
          </w:p>
        </w:tc>
        <w:tc>
          <w:tcPr>
            <w:tcW w:w="1740" w:type="pct"/>
            <w:shd w:val="clear" w:color="auto" w:fill="C6D9F1"/>
            <w:vAlign w:val="center"/>
          </w:tcPr>
          <w:p w:rsidR="006D69DC" w:rsidRPr="006D69DC" w:rsidRDefault="006D69DC" w:rsidP="006D69DC">
            <w:pPr>
              <w:bidi/>
              <w:spacing w:line="280" w:lineRule="exact"/>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 xml:space="preserve">المنافع المتوقعة </w:t>
            </w:r>
            <w:r w:rsidRPr="006D69DC">
              <w:rPr>
                <w:rFonts w:ascii="Arabic Typesetting" w:hAnsi="Arabic Typesetting" w:cs="Arabic Typesetting" w:hint="cs"/>
                <w:bCs/>
                <w:sz w:val="28"/>
                <w:szCs w:val="28"/>
                <w:rtl/>
                <w:lang w:bidi="ar-EG"/>
              </w:rPr>
              <w:t>2018</w:t>
            </w:r>
          </w:p>
        </w:tc>
      </w:tr>
      <w:tr w:rsidR="006D69DC" w:rsidRPr="006D69DC" w:rsidTr="006E6296">
        <w:trPr>
          <w:cantSplit/>
          <w:trHeight w:val="564"/>
          <w:jc w:val="center"/>
        </w:trPr>
        <w:tc>
          <w:tcPr>
            <w:tcW w:w="163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r w:rsidRPr="006D69DC">
              <w:rPr>
                <w:rFonts w:ascii="Arabic Typesetting" w:hAnsi="Arabic Typesetting" w:cs="Arabic Typesetting" w:hint="cs"/>
                <w:bCs/>
                <w:iCs/>
                <w:sz w:val="28"/>
                <w:szCs w:val="28"/>
                <w:rtl/>
                <w:lang w:bidi="ar-EG"/>
              </w:rPr>
              <w:t>بعد تحسين نظام السجلات والمحفوظات:</w:t>
            </w:r>
          </w:p>
          <w:p w:rsidR="006D69DC" w:rsidRPr="006D69DC" w:rsidRDefault="006D69DC" w:rsidP="00E14A59">
            <w:pPr>
              <w:bidi/>
              <w:spacing w:line="280" w:lineRule="exact"/>
              <w:contextualSpacing/>
              <w:jc w:val="both"/>
              <w:rPr>
                <w:rFonts w:ascii="Arabic Typesetting" w:hAnsi="Arabic Typesetting" w:cs="Arabic Typesetting"/>
                <w:b/>
                <w:i/>
                <w:sz w:val="28"/>
                <w:szCs w:val="28"/>
                <w:rtl/>
                <w:lang w:bidi="ar-EG"/>
              </w:rPr>
            </w:pPr>
            <w:r w:rsidRPr="006D69DC">
              <w:rPr>
                <w:rFonts w:ascii="Arabic Typesetting" w:hAnsi="Arabic Typesetting" w:cs="Arabic Typesetting" w:hint="cs"/>
                <w:b/>
                <w:i/>
                <w:sz w:val="28"/>
                <w:szCs w:val="28"/>
                <w:rtl/>
                <w:lang w:bidi="ar-EG"/>
              </w:rPr>
              <w:t xml:space="preserve">سيكون "المكسب المبكر" زيادة كفاءة الإجراءات الخاصة </w:t>
            </w:r>
            <w:proofErr w:type="spellStart"/>
            <w:r w:rsidRPr="006D69DC">
              <w:rPr>
                <w:rFonts w:ascii="Arabic Typesetting" w:hAnsi="Arabic Typesetting" w:cs="Arabic Typesetting" w:hint="cs"/>
                <w:b/>
                <w:i/>
                <w:sz w:val="28"/>
                <w:szCs w:val="28"/>
                <w:rtl/>
                <w:lang w:bidi="ar-EG"/>
              </w:rPr>
              <w:t>برقمنة</w:t>
            </w:r>
            <w:proofErr w:type="spellEnd"/>
            <w:r w:rsidRPr="006D69DC">
              <w:rPr>
                <w:rFonts w:ascii="Arabic Typesetting" w:hAnsi="Arabic Typesetting" w:cs="Arabic Typesetting" w:hint="cs"/>
                <w:b/>
                <w:i/>
                <w:sz w:val="28"/>
                <w:szCs w:val="28"/>
                <w:rtl/>
                <w:lang w:bidi="ar-EG"/>
              </w:rPr>
              <w:t xml:space="preserve"> الوثائق، بما في ذلك تلك الخاصة </w:t>
            </w:r>
            <w:proofErr w:type="spellStart"/>
            <w:r w:rsidRPr="006D69DC">
              <w:rPr>
                <w:rFonts w:ascii="Arabic Typesetting" w:hAnsi="Arabic Typesetting" w:cs="Arabic Typesetting" w:hint="cs"/>
                <w:b/>
                <w:i/>
                <w:sz w:val="28"/>
                <w:szCs w:val="28"/>
                <w:rtl/>
                <w:lang w:bidi="ar-EG"/>
              </w:rPr>
              <w:t>برقمنة</w:t>
            </w:r>
            <w:proofErr w:type="spellEnd"/>
            <w:r w:rsidRPr="006D69DC">
              <w:rPr>
                <w:rFonts w:ascii="Arabic Typesetting" w:hAnsi="Arabic Typesetting" w:cs="Arabic Typesetting" w:hint="cs"/>
                <w:b/>
                <w:i/>
                <w:sz w:val="28"/>
                <w:szCs w:val="28"/>
                <w:rtl/>
                <w:lang w:bidi="ar-EG"/>
              </w:rPr>
              <w:t xml:space="preserve"> البريد</w:t>
            </w:r>
            <w:r w:rsidR="00E14A59">
              <w:rPr>
                <w:rFonts w:ascii="Arabic Typesetting" w:hAnsi="Arabic Typesetting" w:cs="Arabic Typesetting" w:hint="cs"/>
                <w:b/>
                <w:i/>
                <w:sz w:val="28"/>
                <w:szCs w:val="28"/>
                <w:rtl/>
                <w:lang w:bidi="ar-EG"/>
              </w:rPr>
              <w:t xml:space="preserve"> الوارد، مما يؤدي إلى تخفيض وقت</w:t>
            </w:r>
            <w:r w:rsidR="00E14A59">
              <w:rPr>
                <w:rFonts w:ascii="Arabic Typesetting" w:hAnsi="Arabic Typesetting" w:cs="Arabic Typesetting" w:hint="cs"/>
                <w:b/>
                <w:i/>
                <w:sz w:val="28"/>
                <w:szCs w:val="28"/>
                <w:rtl/>
              </w:rPr>
              <w:t xml:space="preserve"> العمل المطلوب من الموظفين</w:t>
            </w:r>
            <w:r w:rsidRPr="006D69DC">
              <w:rPr>
                <w:rFonts w:ascii="Arabic Typesetting" w:hAnsi="Arabic Typesetting" w:cs="Arabic Typesetting" w:hint="cs"/>
                <w:b/>
                <w:i/>
                <w:sz w:val="28"/>
                <w:szCs w:val="28"/>
                <w:rtl/>
                <w:lang w:bidi="ar-EG"/>
              </w:rPr>
              <w:t>.</w:t>
            </w:r>
          </w:p>
          <w:p w:rsidR="006D69DC" w:rsidRPr="006D69DC" w:rsidRDefault="006D69DC" w:rsidP="006D69DC">
            <w:pPr>
              <w:bidi/>
              <w:spacing w:line="280" w:lineRule="exact"/>
              <w:contextualSpacing/>
              <w:jc w:val="both"/>
              <w:rPr>
                <w:rFonts w:ascii="Arabic Typesetting" w:hAnsi="Arabic Typesetting" w:cs="Arabic Typesetting"/>
                <w:b/>
                <w:i/>
                <w:sz w:val="28"/>
                <w:szCs w:val="28"/>
                <w:rtl/>
                <w:lang w:bidi="ar-EG"/>
              </w:rPr>
            </w:pPr>
          </w:p>
          <w:p w:rsidR="006D69DC" w:rsidRPr="006D69DC" w:rsidRDefault="006D69DC" w:rsidP="006D69DC">
            <w:pPr>
              <w:bidi/>
              <w:spacing w:line="280" w:lineRule="exact"/>
              <w:contextualSpacing/>
              <w:jc w:val="both"/>
              <w:rPr>
                <w:rFonts w:ascii="Arabic Typesetting" w:hAnsi="Arabic Typesetting" w:cs="Arabic Typesetting"/>
                <w:b/>
                <w:i/>
                <w:sz w:val="28"/>
                <w:szCs w:val="28"/>
                <w:rtl/>
                <w:lang w:bidi="ar-EG"/>
              </w:rPr>
            </w:pPr>
            <w:r w:rsidRPr="006D69DC">
              <w:rPr>
                <w:rFonts w:ascii="Arabic Typesetting" w:hAnsi="Arabic Typesetting" w:cs="Arabic Typesetting" w:hint="cs"/>
                <w:b/>
                <w:i/>
                <w:sz w:val="28"/>
                <w:szCs w:val="28"/>
                <w:rtl/>
                <w:lang w:bidi="ar-EG"/>
              </w:rPr>
              <w:t>وستتحقق المنافع الطويلة الأجل بعد نشر وتشغيل تكوين نظام إدارة المعلومات المؤسسية على صعيد المنظمة برمتها في عام</w:t>
            </w:r>
            <w:r w:rsidRPr="006D69DC">
              <w:rPr>
                <w:rFonts w:ascii="Arabic Typesetting" w:hAnsi="Arabic Typesetting" w:cs="Arabic Typesetting" w:hint="eastAsia"/>
                <w:b/>
                <w:i/>
                <w:sz w:val="28"/>
                <w:szCs w:val="28"/>
                <w:rtl/>
                <w:lang w:bidi="ar-EG"/>
              </w:rPr>
              <w:t> </w:t>
            </w:r>
            <w:r w:rsidRPr="006D69DC">
              <w:rPr>
                <w:rFonts w:ascii="Arabic Typesetting" w:hAnsi="Arabic Typesetting" w:cs="Arabic Typesetting" w:hint="cs"/>
                <w:b/>
                <w:i/>
                <w:sz w:val="28"/>
                <w:szCs w:val="28"/>
                <w:rtl/>
                <w:lang w:bidi="ar-EG"/>
              </w:rPr>
              <w:t>2018.</w:t>
            </w:r>
          </w:p>
        </w:tc>
        <w:tc>
          <w:tcPr>
            <w:tcW w:w="163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r w:rsidRPr="006D69DC">
              <w:rPr>
                <w:rFonts w:ascii="Arabic Typesetting" w:hAnsi="Arabic Typesetting" w:cs="Arabic Typesetting"/>
                <w:bCs/>
                <w:iCs/>
                <w:sz w:val="28"/>
                <w:szCs w:val="28"/>
                <w:rtl/>
                <w:lang w:bidi="ar-EG"/>
              </w:rPr>
              <w:t>بعد نشر وتشغيل تكوين نظام إدارة المعلومات المؤسسية الخاص بنظام الساعي الإلكتروني:</w:t>
            </w:r>
          </w:p>
          <w:p w:rsidR="006D69DC" w:rsidRPr="006D69DC" w:rsidRDefault="006D69DC" w:rsidP="006D69DC">
            <w:pPr>
              <w:bidi/>
              <w:spacing w:line="280" w:lineRule="exact"/>
              <w:contextualSpacing/>
              <w:jc w:val="both"/>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سيتاح لمكتب المدير العام وفريق الإدارة العليا نظام موحد لتوزيع مهام إنشاء الردود على المراسلات الخارجية وتعقبها، وسينتج عن ذلك:</w:t>
            </w:r>
          </w:p>
          <w:p w:rsidR="006D69DC" w:rsidRPr="006D69DC" w:rsidRDefault="006D69DC" w:rsidP="0099688F">
            <w:pPr>
              <w:numPr>
                <w:ilvl w:val="0"/>
                <w:numId w:val="62"/>
              </w:numPr>
              <w:bidi/>
              <w:spacing w:line="280" w:lineRule="exact"/>
              <w:ind w:left="318" w:hanging="318"/>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تقليل الوقت المستغرق في إكمال الرد على المراسلات الخار</w:t>
            </w:r>
            <w:r w:rsidR="00737EDC">
              <w:rPr>
                <w:rFonts w:ascii="Arabic Typesetting" w:hAnsi="Arabic Typesetting" w:cs="Arabic Typesetting"/>
                <w:sz w:val="28"/>
                <w:szCs w:val="28"/>
                <w:rtl/>
                <w:lang w:bidi="ar-EG"/>
              </w:rPr>
              <w:t>جية ولن يتعين توزيع الردود مادي</w:t>
            </w:r>
            <w:r w:rsidRPr="006D69DC">
              <w:rPr>
                <w:rFonts w:ascii="Arabic Typesetting" w:hAnsi="Arabic Typesetting" w:cs="Arabic Typesetting"/>
                <w:sz w:val="28"/>
                <w:szCs w:val="28"/>
                <w:rtl/>
                <w:lang w:bidi="ar-EG"/>
              </w:rPr>
              <w:t>ا في مجمع الويبو، ومن ثم الإسهام في تحقيق أهداف وقت الرد؛</w:t>
            </w:r>
          </w:p>
          <w:p w:rsidR="006D69DC" w:rsidRPr="006D69DC" w:rsidRDefault="006D69DC" w:rsidP="006D69DC">
            <w:pPr>
              <w:bidi/>
              <w:spacing w:line="280" w:lineRule="exact"/>
              <w:jc w:val="both"/>
              <w:rPr>
                <w:rFonts w:ascii="Arabic Typesetting" w:hAnsi="Arabic Typesetting" w:cs="Arabic Typesetting"/>
                <w:sz w:val="28"/>
                <w:szCs w:val="28"/>
              </w:rPr>
            </w:pPr>
            <w:r w:rsidRPr="006D69DC">
              <w:rPr>
                <w:rFonts w:ascii="Arabic Typesetting" w:hAnsi="Arabic Typesetting" w:cs="Arabic Typesetting"/>
                <w:sz w:val="28"/>
                <w:szCs w:val="28"/>
                <w:rtl/>
              </w:rPr>
              <w:t>ستكون حالة كل رد على مراسلة خارجية والتقدم المحرز بشأنه معلومين من خلال لوحة بيانات إدارية، ومن ثم سيقل مجهود الموظفين المطلوب لتعقب حالة الردود لضمان امتثالها للأهداف، وبذلك يكون الموظفون الإداريون أحرارًا للتركيز على أنشطة أخرى.</w:t>
            </w:r>
          </w:p>
        </w:tc>
        <w:tc>
          <w:tcPr>
            <w:tcW w:w="174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r w:rsidRPr="006D69DC">
              <w:rPr>
                <w:rFonts w:ascii="Arabic Typesetting" w:hAnsi="Arabic Typesetting" w:cs="Arabic Typesetting"/>
                <w:bCs/>
                <w:iCs/>
                <w:sz w:val="28"/>
                <w:szCs w:val="28"/>
                <w:rtl/>
                <w:lang w:bidi="ar-EG"/>
              </w:rPr>
              <w:t xml:space="preserve">بعد نشر وتشغيل تكوين نظام إدارة المعلومات المؤسسية على مستوى المنظمة: </w:t>
            </w:r>
          </w:p>
          <w:p w:rsidR="006D69DC" w:rsidRPr="006D69DC" w:rsidRDefault="006D69DC" w:rsidP="006D69DC">
            <w:pPr>
              <w:bidi/>
              <w:spacing w:line="280" w:lineRule="exact"/>
              <w:contextualSpacing/>
              <w:jc w:val="both"/>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 xml:space="preserve">سينتج عن تنفيذ نظام إدارة المعلومات المؤسسية على مستوى </w:t>
            </w:r>
            <w:r w:rsidRPr="006D69DC">
              <w:rPr>
                <w:rFonts w:ascii="Arabic Typesetting" w:hAnsi="Arabic Typesetting" w:cs="Arabic Typesetting" w:hint="cs"/>
                <w:sz w:val="28"/>
                <w:szCs w:val="28"/>
                <w:rtl/>
                <w:lang w:bidi="ar-EG"/>
              </w:rPr>
              <w:t>ال</w:t>
            </w:r>
            <w:r w:rsidRPr="006D69DC">
              <w:rPr>
                <w:rFonts w:ascii="Arabic Typesetting" w:hAnsi="Arabic Typesetting" w:cs="Arabic Typesetting"/>
                <w:sz w:val="28"/>
                <w:szCs w:val="28"/>
                <w:rtl/>
                <w:lang w:bidi="ar-EG"/>
              </w:rPr>
              <w:t>منظمة برمتها على نحو يدعم تقاسم المعلومات وتغير ثقافة إدارة المعلومات في الويبو، وتنفيذ مشروع "المكاسب المبكرة" الفرعي ما يلي:</w:t>
            </w:r>
          </w:p>
          <w:p w:rsidR="006D69DC" w:rsidRPr="006D69DC" w:rsidRDefault="006D69DC" w:rsidP="0099688F">
            <w:pPr>
              <w:numPr>
                <w:ilvl w:val="0"/>
                <w:numId w:val="62"/>
              </w:numPr>
              <w:bidi/>
              <w:spacing w:line="280" w:lineRule="exact"/>
              <w:ind w:left="335"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القدرة على البحث في قاعدة معارف الويبو بأكملها، بما يقلل من تكرار مهام إنشاء المعارف وتسجيلها من خلال تقاسم المعلومات؛</w:t>
            </w:r>
          </w:p>
          <w:p w:rsidR="006D69DC" w:rsidRPr="006D69DC" w:rsidRDefault="006D69DC" w:rsidP="0099688F">
            <w:pPr>
              <w:numPr>
                <w:ilvl w:val="0"/>
                <w:numId w:val="62"/>
              </w:numPr>
              <w:bidi/>
              <w:spacing w:line="280" w:lineRule="exact"/>
              <w:ind w:left="335"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القدرة على توسيع نطاق الامتثال لسياسة السجلات والمحفوظات</w:t>
            </w:r>
            <w:r w:rsidRPr="006D69DC">
              <w:rPr>
                <w:rFonts w:ascii="Arabic Typesetting" w:hAnsi="Arabic Typesetting" w:cs="Arabic Typesetting" w:hint="cs"/>
                <w:sz w:val="28"/>
                <w:szCs w:val="28"/>
                <w:rtl/>
                <w:lang w:bidi="ar-EG"/>
              </w:rPr>
              <w:t xml:space="preserve"> (</w:t>
            </w:r>
            <w:r w:rsidRPr="006D69DC">
              <w:rPr>
                <w:rFonts w:ascii="Arabic Typesetting" w:hAnsi="Arabic Typesetting" w:cs="Arabic Typesetting" w:hint="cs"/>
                <w:sz w:val="28"/>
                <w:szCs w:val="28"/>
                <w:rtl/>
              </w:rPr>
              <w:t>التعميم الإداري</w:t>
            </w:r>
            <w:r w:rsidRPr="006D69DC">
              <w:rPr>
                <w:rFonts w:ascii="Arabic Typesetting" w:hAnsi="Arabic Typesetting" w:cs="Arabic Typesetting" w:hint="eastAsia"/>
                <w:sz w:val="28"/>
                <w:szCs w:val="28"/>
                <w:rtl/>
              </w:rPr>
              <w:t> </w:t>
            </w:r>
            <w:r w:rsidRPr="006D69DC">
              <w:rPr>
                <w:rFonts w:ascii="Arabic Typesetting" w:hAnsi="Arabic Typesetting" w:cs="Arabic Typesetting"/>
                <w:sz w:val="28"/>
                <w:szCs w:val="28"/>
                <w:lang w:val="fr-CH" w:bidi="ar-EG"/>
              </w:rPr>
              <w:t>15/2013</w:t>
            </w:r>
            <w:r w:rsidRPr="006D69DC">
              <w:rPr>
                <w:rFonts w:ascii="Arabic Typesetting" w:hAnsi="Arabic Typesetting" w:cs="Arabic Typesetting" w:hint="cs"/>
                <w:sz w:val="28"/>
                <w:szCs w:val="28"/>
                <w:rtl/>
                <w:lang w:val="fr-CH" w:bidi="ar-EG"/>
              </w:rPr>
              <w:t>)</w:t>
            </w:r>
            <w:r w:rsidRPr="006D69DC">
              <w:rPr>
                <w:rFonts w:ascii="Arabic Typesetting" w:hAnsi="Arabic Typesetting" w:cs="Arabic Typesetting"/>
                <w:sz w:val="28"/>
                <w:szCs w:val="28"/>
                <w:rtl/>
                <w:lang w:bidi="ar-EG"/>
              </w:rPr>
              <w:t xml:space="preserve"> ليشمل عدد</w:t>
            </w:r>
            <w:r w:rsidR="00737EDC">
              <w:rPr>
                <w:rFonts w:ascii="Arabic Typesetting" w:hAnsi="Arabic Typesetting" w:cs="Arabic Typesetting" w:hint="cs"/>
                <w:sz w:val="28"/>
                <w:szCs w:val="28"/>
                <w:rtl/>
                <w:lang w:bidi="ar-EG"/>
              </w:rPr>
              <w:t>اً</w:t>
            </w:r>
            <w:r w:rsidRPr="006D69DC">
              <w:rPr>
                <w:rFonts w:ascii="Arabic Typesetting" w:hAnsi="Arabic Typesetting" w:cs="Arabic Typesetting"/>
                <w:sz w:val="28"/>
                <w:szCs w:val="28"/>
                <w:rtl/>
                <w:lang w:bidi="ar-EG"/>
              </w:rPr>
              <w:t xml:space="preserve"> أكبر من الوحدات التجارية؛</w:t>
            </w:r>
          </w:p>
          <w:p w:rsidR="006D69DC" w:rsidRPr="006D69DC" w:rsidRDefault="006D69DC" w:rsidP="0099688F">
            <w:pPr>
              <w:numPr>
                <w:ilvl w:val="0"/>
                <w:numId w:val="62"/>
              </w:numPr>
              <w:bidi/>
              <w:spacing w:line="280" w:lineRule="exact"/>
              <w:ind w:left="335"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القدرة على تقليل التكاليف الجارية المتعلقة بالأرشفة المادية للوثائق لأن هذه الوثائق ستصير إلكترونية؛</w:t>
            </w:r>
          </w:p>
          <w:p w:rsidR="006D69DC" w:rsidRPr="006D69DC" w:rsidRDefault="006D69DC" w:rsidP="0099688F">
            <w:pPr>
              <w:numPr>
                <w:ilvl w:val="0"/>
                <w:numId w:val="62"/>
              </w:numPr>
              <w:bidi/>
              <w:spacing w:line="280" w:lineRule="exact"/>
              <w:ind w:left="335" w:hanging="283"/>
              <w:contextualSpacing/>
              <w:jc w:val="both"/>
              <w:rPr>
                <w:rFonts w:ascii="Arabic Typesetting" w:hAnsi="Arabic Typesetting" w:cs="Arabic Typesetting"/>
                <w:b/>
                <w:i/>
                <w:sz w:val="28"/>
                <w:szCs w:val="28"/>
                <w:lang w:bidi="ar-EG"/>
              </w:rPr>
            </w:pPr>
            <w:r w:rsidRPr="006D69DC">
              <w:rPr>
                <w:rFonts w:ascii="Arabic Typesetting" w:hAnsi="Arabic Typesetting" w:cs="Arabic Typesetting"/>
                <w:sz w:val="28"/>
                <w:szCs w:val="28"/>
                <w:rtl/>
                <w:lang w:bidi="ar-EG"/>
              </w:rPr>
              <w:t>القدرة على تقليل تكاليف التخزين الإلكتروني للوثائق، لأن القدرة على البحث في قاعدة معارف المنظمة الكاملة من شأنها أن تقلل من معدل إعادة العمل وتكرار مهام تسجيل المعارف.</w:t>
            </w:r>
          </w:p>
        </w:tc>
      </w:tr>
      <w:tr w:rsidR="006D69DC" w:rsidRPr="006D69DC" w:rsidTr="006E6296">
        <w:trPr>
          <w:cantSplit/>
          <w:trHeight w:val="564"/>
          <w:jc w:val="center"/>
        </w:trPr>
        <w:tc>
          <w:tcPr>
            <w:tcW w:w="163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r w:rsidRPr="006D69DC">
              <w:rPr>
                <w:rFonts w:ascii="Arabic Typesetting" w:hAnsi="Arabic Typesetting" w:cs="Arabic Typesetting"/>
                <w:bCs/>
                <w:iCs/>
                <w:sz w:val="28"/>
                <w:szCs w:val="28"/>
                <w:rtl/>
                <w:lang w:bidi="ar-EG"/>
              </w:rPr>
              <w:lastRenderedPageBreak/>
              <w:t>بعد نشر وتشغيل تكوين نظام إدارة المعلومات المؤسسية الخاص بتدفق أعمال الترجمة</w:t>
            </w:r>
            <w:r w:rsidRPr="006D69DC">
              <w:rPr>
                <w:rFonts w:ascii="Arabic Typesetting" w:hAnsi="Arabic Typesetting" w:cs="Arabic Typesetting" w:hint="cs"/>
                <w:bCs/>
                <w:iCs/>
                <w:sz w:val="28"/>
                <w:szCs w:val="28"/>
                <w:rtl/>
                <w:lang w:bidi="ar-EG"/>
              </w:rPr>
              <w:t xml:space="preserve"> وتعقب حالتها</w:t>
            </w:r>
            <w:r w:rsidRPr="006D69DC">
              <w:rPr>
                <w:rFonts w:ascii="Arabic Typesetting" w:hAnsi="Arabic Typesetting" w:cs="Arabic Typesetting"/>
                <w:bCs/>
                <w:iCs/>
                <w:sz w:val="28"/>
                <w:szCs w:val="28"/>
                <w:rtl/>
                <w:lang w:bidi="ar-EG"/>
              </w:rPr>
              <w:t xml:space="preserve">: </w:t>
            </w:r>
          </w:p>
          <w:p w:rsidR="006D69DC" w:rsidRPr="006D69DC" w:rsidRDefault="006D69DC" w:rsidP="006D69DC">
            <w:pPr>
              <w:bidi/>
              <w:spacing w:line="280" w:lineRule="exact"/>
              <w:contextualSpacing/>
              <w:jc w:val="both"/>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سينتج عن إنشاء نظام تدفق أعمال ترجمة الوثائق وتعقب حالتها لفائدة شعبة اللغات ما يلي:</w:t>
            </w:r>
          </w:p>
          <w:p w:rsidR="006D69DC" w:rsidRPr="006D69DC" w:rsidRDefault="006D69DC" w:rsidP="0099688F">
            <w:pPr>
              <w:numPr>
                <w:ilvl w:val="0"/>
                <w:numId w:val="62"/>
              </w:numPr>
              <w:bidi/>
              <w:spacing w:line="280" w:lineRule="exact"/>
              <w:ind w:left="335"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تقليل مجهود الموظفين المطلوب لرفع التقارير بشأن حالة طلبات الترجمة، لأن النظام سيرسل التقارير تلقائيًا؛</w:t>
            </w:r>
          </w:p>
          <w:p w:rsidR="006D69DC" w:rsidRPr="006D69DC" w:rsidRDefault="006D69DC" w:rsidP="0099688F">
            <w:pPr>
              <w:numPr>
                <w:ilvl w:val="0"/>
                <w:numId w:val="62"/>
              </w:numPr>
              <w:bidi/>
              <w:spacing w:line="280" w:lineRule="exact"/>
              <w:ind w:left="335" w:hanging="283"/>
              <w:contextualSpacing/>
              <w:jc w:val="both"/>
              <w:rPr>
                <w:rFonts w:ascii="Arabic Typesetting" w:hAnsi="Arabic Typesetting" w:cs="Arabic Typesetting"/>
                <w:bCs/>
                <w:iCs/>
                <w:sz w:val="28"/>
                <w:szCs w:val="28"/>
                <w:rtl/>
                <w:lang w:bidi="ar-EG"/>
              </w:rPr>
            </w:pPr>
            <w:r w:rsidRPr="006D69DC">
              <w:rPr>
                <w:rFonts w:ascii="Arabic Typesetting" w:hAnsi="Arabic Typesetting" w:cs="Arabic Typesetting"/>
                <w:sz w:val="28"/>
                <w:szCs w:val="28"/>
                <w:rtl/>
                <w:lang w:bidi="ar-EG"/>
              </w:rPr>
              <w:t>القدرة على ضمان تحقيق مستويات خدمة الترجمة من خلال الرصد والإبلاغ النشطين بشأن حالة كل طلب ترجمة.</w:t>
            </w:r>
          </w:p>
        </w:tc>
        <w:tc>
          <w:tcPr>
            <w:tcW w:w="163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r w:rsidRPr="006D69DC">
              <w:rPr>
                <w:rFonts w:ascii="Arabic Typesetting" w:hAnsi="Arabic Typesetting" w:cs="Arabic Typesetting"/>
                <w:bCs/>
                <w:iCs/>
                <w:sz w:val="28"/>
                <w:szCs w:val="28"/>
                <w:rtl/>
                <w:lang w:bidi="ar-EG"/>
              </w:rPr>
              <w:t>بعد نشر وتشغيل تكوين نظام إدارة المعلومات المؤسسية الخاص بإدارة ال</w:t>
            </w:r>
            <w:r w:rsidRPr="006D69DC">
              <w:rPr>
                <w:rFonts w:ascii="Arabic Typesetting" w:hAnsi="Arabic Typesetting" w:cs="Arabic Typesetting" w:hint="cs"/>
                <w:bCs/>
                <w:iCs/>
                <w:sz w:val="28"/>
                <w:szCs w:val="28"/>
                <w:rtl/>
                <w:lang w:bidi="ar-EG"/>
              </w:rPr>
              <w:t>بائعين</w:t>
            </w:r>
            <w:r w:rsidRPr="006D69DC">
              <w:rPr>
                <w:rFonts w:ascii="Arabic Typesetting" w:hAnsi="Arabic Typesetting" w:cs="Arabic Typesetting"/>
                <w:bCs/>
                <w:iCs/>
                <w:sz w:val="28"/>
                <w:szCs w:val="28"/>
                <w:rtl/>
                <w:lang w:bidi="ar-EG"/>
              </w:rPr>
              <w:t xml:space="preserve"> وال</w:t>
            </w:r>
            <w:r w:rsidRPr="006D69DC">
              <w:rPr>
                <w:rFonts w:ascii="Arabic Typesetting" w:hAnsi="Arabic Typesetting" w:cs="Arabic Typesetting" w:hint="cs"/>
                <w:bCs/>
                <w:iCs/>
                <w:sz w:val="28"/>
                <w:szCs w:val="28"/>
                <w:rtl/>
                <w:lang w:bidi="ar-EG"/>
              </w:rPr>
              <w:t>عقود</w:t>
            </w:r>
            <w:r w:rsidRPr="006D69DC">
              <w:rPr>
                <w:rFonts w:ascii="Arabic Typesetting" w:hAnsi="Arabic Typesetting" w:cs="Arabic Typesetting"/>
                <w:bCs/>
                <w:iCs/>
                <w:sz w:val="28"/>
                <w:szCs w:val="28"/>
                <w:rtl/>
                <w:lang w:bidi="ar-EG"/>
              </w:rPr>
              <w:t xml:space="preserve">: </w:t>
            </w:r>
          </w:p>
          <w:p w:rsidR="006D69DC" w:rsidRPr="006D69DC" w:rsidRDefault="006D69DC" w:rsidP="006D69DC">
            <w:pPr>
              <w:bidi/>
              <w:spacing w:line="280" w:lineRule="exact"/>
              <w:contextualSpacing/>
              <w:jc w:val="both"/>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سي</w:t>
            </w:r>
            <w:r w:rsidRPr="006D69DC">
              <w:rPr>
                <w:rFonts w:ascii="Arabic Typesetting" w:hAnsi="Arabic Typesetting" w:cs="Arabic Typesetting" w:hint="cs"/>
                <w:sz w:val="28"/>
                <w:szCs w:val="28"/>
                <w:rtl/>
                <w:lang w:bidi="ar-EG"/>
              </w:rPr>
              <w:t>كون</w:t>
            </w:r>
            <w:r w:rsidRPr="006D69DC">
              <w:rPr>
                <w:rFonts w:ascii="Arabic Typesetting" w:hAnsi="Arabic Typesetting" w:cs="Arabic Typesetting"/>
                <w:sz w:val="28"/>
                <w:szCs w:val="28"/>
                <w:rtl/>
                <w:lang w:bidi="ar-EG"/>
              </w:rPr>
              <w:t xml:space="preserve"> </w:t>
            </w:r>
            <w:r w:rsidRPr="006D69DC">
              <w:rPr>
                <w:rFonts w:ascii="Arabic Typesetting" w:hAnsi="Arabic Typesetting" w:cs="Arabic Typesetting" w:hint="cs"/>
                <w:sz w:val="28"/>
                <w:szCs w:val="28"/>
                <w:rtl/>
                <w:lang w:bidi="ar-EG"/>
              </w:rPr>
              <w:t xml:space="preserve">لدى </w:t>
            </w:r>
            <w:r w:rsidRPr="006D69DC">
              <w:rPr>
                <w:rFonts w:ascii="Arabic Typesetting" w:hAnsi="Arabic Typesetting" w:cs="Arabic Typesetting"/>
                <w:sz w:val="28"/>
                <w:szCs w:val="28"/>
                <w:rtl/>
                <w:lang w:bidi="ar-EG"/>
              </w:rPr>
              <w:t>قسم المشتريات مصدر واحد للمعلومات لكي يبحث فيه عما يتعلق بمناقصات المشتريات الجارية والمنتهية، وسينتج عن ذلك:</w:t>
            </w:r>
          </w:p>
          <w:p w:rsidR="006D69DC" w:rsidRPr="006D69DC" w:rsidRDefault="006D69DC" w:rsidP="0099688F">
            <w:pPr>
              <w:numPr>
                <w:ilvl w:val="0"/>
                <w:numId w:val="62"/>
              </w:numPr>
              <w:bidi/>
              <w:spacing w:line="280" w:lineRule="exact"/>
              <w:ind w:left="318"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تخفيض الوقت المستغرق في تحديد المعلومات الحالية واسترجاعها؛</w:t>
            </w:r>
          </w:p>
          <w:p w:rsidR="006D69DC" w:rsidRPr="006D69DC" w:rsidRDefault="006D69DC" w:rsidP="0099688F">
            <w:pPr>
              <w:numPr>
                <w:ilvl w:val="0"/>
                <w:numId w:val="62"/>
              </w:numPr>
              <w:bidi/>
              <w:spacing w:line="280" w:lineRule="exact"/>
              <w:ind w:left="318"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 xml:space="preserve">الحد من الخطأ وإعادة العمل </w:t>
            </w:r>
            <w:r w:rsidRPr="006D69DC">
              <w:rPr>
                <w:rFonts w:ascii="Arabic Typesetting" w:hAnsi="Arabic Typesetting" w:cs="Arabic Typesetting" w:hint="cs"/>
                <w:sz w:val="28"/>
                <w:szCs w:val="28"/>
                <w:rtl/>
                <w:lang w:bidi="ar-EG"/>
              </w:rPr>
              <w:t xml:space="preserve">بضمان </w:t>
            </w:r>
            <w:r w:rsidRPr="006D69DC">
              <w:rPr>
                <w:rFonts w:ascii="Arabic Typesetting" w:hAnsi="Arabic Typesetting" w:cs="Arabic Typesetting"/>
                <w:sz w:val="28"/>
                <w:szCs w:val="28"/>
                <w:rtl/>
                <w:lang w:bidi="ar-EG"/>
              </w:rPr>
              <w:t>التعرف على الإصدار الأخير لكل وثيقة بوضوح</w:t>
            </w:r>
            <w:r w:rsidRPr="006D69DC">
              <w:rPr>
                <w:rFonts w:ascii="Arabic Typesetting" w:hAnsi="Arabic Typesetting" w:cs="Arabic Typesetting" w:hint="cs"/>
                <w:sz w:val="28"/>
                <w:szCs w:val="28"/>
                <w:rtl/>
                <w:lang w:bidi="ar-EG"/>
              </w:rPr>
              <w:t>.</w:t>
            </w:r>
          </w:p>
          <w:p w:rsidR="006D69DC" w:rsidRPr="006D69DC" w:rsidRDefault="006D69DC" w:rsidP="006D69DC">
            <w:pPr>
              <w:bidi/>
              <w:spacing w:line="280" w:lineRule="exact"/>
              <w:contextualSpacing/>
              <w:jc w:val="both"/>
              <w:rPr>
                <w:rFonts w:ascii="Arabic Typesetting" w:hAnsi="Arabic Typesetting" w:cs="Arabic Typesetting"/>
                <w:sz w:val="28"/>
                <w:szCs w:val="28"/>
                <w:rtl/>
                <w:lang w:bidi="ar-EG"/>
              </w:rPr>
            </w:pPr>
            <w:r w:rsidRPr="006D69DC">
              <w:rPr>
                <w:rFonts w:ascii="Arabic Typesetting" w:hAnsi="Arabic Typesetting" w:cs="Arabic Typesetting" w:hint="cs"/>
                <w:sz w:val="28"/>
                <w:szCs w:val="28"/>
                <w:rtl/>
                <w:lang w:bidi="ar-EG"/>
              </w:rPr>
              <w:t>و</w:t>
            </w:r>
            <w:r w:rsidRPr="006D69DC">
              <w:rPr>
                <w:rFonts w:ascii="Arabic Typesetting" w:hAnsi="Arabic Typesetting" w:cs="Arabic Typesetting"/>
                <w:sz w:val="28"/>
                <w:szCs w:val="28"/>
                <w:rtl/>
                <w:lang w:bidi="ar-EG"/>
              </w:rPr>
              <w:t>سي</w:t>
            </w:r>
            <w:r w:rsidRPr="006D69DC">
              <w:rPr>
                <w:rFonts w:ascii="Arabic Typesetting" w:hAnsi="Arabic Typesetting" w:cs="Arabic Typesetting" w:hint="cs"/>
                <w:sz w:val="28"/>
                <w:szCs w:val="28"/>
                <w:rtl/>
                <w:lang w:bidi="ar-EG"/>
              </w:rPr>
              <w:t xml:space="preserve">كون لدى </w:t>
            </w:r>
            <w:r w:rsidRPr="006D69DC">
              <w:rPr>
                <w:rFonts w:ascii="Arabic Typesetting" w:hAnsi="Arabic Typesetting" w:cs="Arabic Typesetting"/>
                <w:sz w:val="28"/>
                <w:szCs w:val="28"/>
                <w:rtl/>
                <w:lang w:bidi="ar-EG"/>
              </w:rPr>
              <w:t xml:space="preserve">قسم المشتريات لوحة بيانات واحدة تعرض التقدم المحرز في المناقصات </w:t>
            </w:r>
            <w:r w:rsidRPr="006D69DC">
              <w:rPr>
                <w:rFonts w:ascii="Arabic Typesetting" w:hAnsi="Arabic Typesetting" w:cs="Arabic Typesetting" w:hint="cs"/>
                <w:sz w:val="28"/>
                <w:szCs w:val="28"/>
                <w:rtl/>
                <w:lang w:bidi="ar-EG"/>
              </w:rPr>
              <w:t>المفتوحة</w:t>
            </w:r>
            <w:r w:rsidRPr="006D69DC">
              <w:rPr>
                <w:rFonts w:ascii="Arabic Typesetting" w:hAnsi="Arabic Typesetting" w:cs="Arabic Typesetting"/>
                <w:sz w:val="28"/>
                <w:szCs w:val="28"/>
                <w:rtl/>
                <w:lang w:bidi="ar-EG"/>
              </w:rPr>
              <w:t xml:space="preserve"> فضلاً عن المعلومات المتعلقة بمواعيد إعادة طرح المناقصات بشأن العقود الحالية، وسينتج عن ذلك: </w:t>
            </w:r>
          </w:p>
          <w:p w:rsidR="006D69DC" w:rsidRPr="006D69DC" w:rsidRDefault="006D69DC" w:rsidP="0099688F">
            <w:pPr>
              <w:numPr>
                <w:ilvl w:val="0"/>
                <w:numId w:val="62"/>
              </w:numPr>
              <w:bidi/>
              <w:spacing w:line="280" w:lineRule="exact"/>
              <w:ind w:left="318"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زيادة استفادة الموظفين من المهام المثمرة من خلال تحسين التخطيط مسبقًا لأنشطة المشتريات.</w:t>
            </w:r>
          </w:p>
        </w:tc>
        <w:tc>
          <w:tcPr>
            <w:tcW w:w="1740" w:type="pct"/>
          </w:tcPr>
          <w:p w:rsidR="006D69DC" w:rsidRPr="006D69DC" w:rsidRDefault="006D69DC" w:rsidP="006D69DC">
            <w:pPr>
              <w:bidi/>
              <w:spacing w:line="280" w:lineRule="exact"/>
              <w:jc w:val="both"/>
              <w:rPr>
                <w:rFonts w:ascii="Arabic Typesetting" w:hAnsi="Arabic Typesetting" w:cs="Arabic Typesetting"/>
                <w:sz w:val="28"/>
                <w:szCs w:val="28"/>
              </w:rPr>
            </w:pPr>
          </w:p>
        </w:tc>
      </w:tr>
      <w:tr w:rsidR="006D69DC" w:rsidRPr="006D69DC" w:rsidTr="006E6296">
        <w:trPr>
          <w:cantSplit/>
          <w:trHeight w:val="564"/>
          <w:jc w:val="center"/>
        </w:trPr>
        <w:tc>
          <w:tcPr>
            <w:tcW w:w="163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r w:rsidRPr="006D69DC">
              <w:rPr>
                <w:rFonts w:ascii="Arabic Typesetting" w:hAnsi="Arabic Typesetting" w:cs="Arabic Typesetting"/>
                <w:b/>
                <w:i/>
                <w:sz w:val="28"/>
                <w:szCs w:val="28"/>
              </w:rPr>
              <w:t xml:space="preserve"> </w:t>
            </w:r>
          </w:p>
        </w:tc>
        <w:tc>
          <w:tcPr>
            <w:tcW w:w="163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r w:rsidRPr="006D69DC">
              <w:rPr>
                <w:rFonts w:ascii="Arabic Typesetting" w:hAnsi="Arabic Typesetting" w:cs="Arabic Typesetting"/>
                <w:bCs/>
                <w:iCs/>
                <w:sz w:val="28"/>
                <w:szCs w:val="28"/>
                <w:rtl/>
                <w:lang w:bidi="ar-EG"/>
              </w:rPr>
              <w:t xml:space="preserve">بعد نشر وتشغيل تكوين نظام إدارة المعلومات المؤسسية الخاص بتقارير البعثات: </w:t>
            </w:r>
          </w:p>
          <w:p w:rsidR="006D69DC" w:rsidRPr="006D69DC" w:rsidRDefault="006D69DC" w:rsidP="006D69DC">
            <w:pPr>
              <w:bidi/>
              <w:spacing w:line="280" w:lineRule="exact"/>
              <w:contextualSpacing/>
              <w:jc w:val="both"/>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سيتاح</w:t>
            </w:r>
            <w:r w:rsidRPr="006D69DC">
              <w:rPr>
                <w:rFonts w:ascii="Arabic Typesetting" w:hAnsi="Arabic Typesetting" w:cs="Arabic Typesetting" w:hint="cs"/>
                <w:sz w:val="28"/>
                <w:szCs w:val="28"/>
                <w:rtl/>
                <w:lang w:bidi="ar-EG"/>
              </w:rPr>
              <w:t xml:space="preserve">، </w:t>
            </w:r>
            <w:r w:rsidRPr="006D69DC">
              <w:rPr>
                <w:rFonts w:ascii="Arabic Typesetting" w:hAnsi="Arabic Typesetting" w:cs="Arabic Typesetting"/>
                <w:sz w:val="28"/>
                <w:szCs w:val="28"/>
                <w:rtl/>
                <w:lang w:bidi="ar-EG"/>
              </w:rPr>
              <w:t>في جميع قطاعات المنظمة</w:t>
            </w:r>
            <w:r w:rsidRPr="006D69DC">
              <w:rPr>
                <w:rFonts w:ascii="Arabic Typesetting" w:hAnsi="Arabic Typesetting" w:cs="Arabic Typesetting" w:hint="cs"/>
                <w:sz w:val="28"/>
                <w:szCs w:val="28"/>
                <w:rtl/>
                <w:lang w:bidi="ar-EG"/>
              </w:rPr>
              <w:t>،</w:t>
            </w:r>
            <w:r w:rsidRPr="006D69DC">
              <w:rPr>
                <w:rFonts w:ascii="Arabic Typesetting" w:hAnsi="Arabic Typesetting" w:cs="Arabic Typesetting"/>
                <w:sz w:val="28"/>
                <w:szCs w:val="28"/>
                <w:rtl/>
                <w:lang w:bidi="ar-EG"/>
              </w:rPr>
              <w:t xml:space="preserve"> البحث في محتويات تقارير البعثات والمعلومات المتعلق</w:t>
            </w:r>
            <w:r w:rsidRPr="006D69DC">
              <w:rPr>
                <w:rFonts w:ascii="Arabic Typesetting" w:hAnsi="Arabic Typesetting" w:cs="Arabic Typesetting" w:hint="cs"/>
                <w:sz w:val="28"/>
                <w:szCs w:val="28"/>
                <w:rtl/>
                <w:lang w:bidi="ar-EG"/>
              </w:rPr>
              <w:t>ة</w:t>
            </w:r>
            <w:r w:rsidRPr="006D69DC">
              <w:rPr>
                <w:rFonts w:ascii="Arabic Typesetting" w:hAnsi="Arabic Typesetting" w:cs="Arabic Typesetting"/>
                <w:sz w:val="28"/>
                <w:szCs w:val="28"/>
                <w:rtl/>
                <w:lang w:bidi="ar-EG"/>
              </w:rPr>
              <w:t xml:space="preserve"> بالبعثات المخطط لها.</w:t>
            </w:r>
            <w:r w:rsidRPr="006D69DC">
              <w:rPr>
                <w:rFonts w:ascii="Arabic Typesetting" w:hAnsi="Arabic Typesetting" w:cs="Arabic Typesetting"/>
                <w:sz w:val="28"/>
                <w:szCs w:val="28"/>
                <w:rtl/>
              </w:rPr>
              <w:t xml:space="preserve"> </w:t>
            </w:r>
            <w:r w:rsidRPr="006D69DC">
              <w:rPr>
                <w:rFonts w:ascii="Arabic Typesetting" w:hAnsi="Arabic Typesetting" w:cs="Arabic Typesetting"/>
                <w:sz w:val="28"/>
                <w:szCs w:val="28"/>
                <w:rtl/>
                <w:lang w:bidi="ar-EG"/>
              </w:rPr>
              <w:t>وسينتج عن ذلك ما يلي:</w:t>
            </w:r>
          </w:p>
          <w:p w:rsidR="006D69DC" w:rsidRPr="006D69DC" w:rsidRDefault="006D69DC" w:rsidP="0099688F">
            <w:pPr>
              <w:numPr>
                <w:ilvl w:val="0"/>
                <w:numId w:val="62"/>
              </w:numPr>
              <w:bidi/>
              <w:spacing w:line="280" w:lineRule="exact"/>
              <w:ind w:left="318" w:hanging="318"/>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احتمال تخفيض عدد البعثات عند تحديد الرحلات وبنود جداول الأعمال المتداخلة، ومن ثم تنخفض التكاليف؛</w:t>
            </w:r>
          </w:p>
          <w:p w:rsidR="006D69DC" w:rsidRPr="006D69DC" w:rsidRDefault="006D69DC" w:rsidP="0099688F">
            <w:pPr>
              <w:numPr>
                <w:ilvl w:val="0"/>
                <w:numId w:val="62"/>
              </w:numPr>
              <w:bidi/>
              <w:spacing w:line="280" w:lineRule="exact"/>
              <w:ind w:left="318"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ستصير البعثات أكثر إنتاجية لأن</w:t>
            </w:r>
            <w:r w:rsidRPr="006D69DC">
              <w:rPr>
                <w:rFonts w:ascii="Arabic Typesetting" w:hAnsi="Arabic Typesetting" w:cs="Arabic Typesetting" w:hint="cs"/>
                <w:sz w:val="28"/>
                <w:szCs w:val="28"/>
                <w:rtl/>
                <w:lang w:bidi="ar-EG"/>
              </w:rPr>
              <w:t>ه</w:t>
            </w:r>
            <w:r w:rsidRPr="006D69DC">
              <w:rPr>
                <w:rFonts w:ascii="Arabic Typesetting" w:hAnsi="Arabic Typesetting" w:cs="Arabic Typesetting"/>
                <w:sz w:val="28"/>
                <w:szCs w:val="28"/>
                <w:rtl/>
                <w:lang w:bidi="ar-EG"/>
              </w:rPr>
              <w:t xml:space="preserve"> </w:t>
            </w:r>
            <w:r w:rsidRPr="006D69DC">
              <w:rPr>
                <w:rFonts w:ascii="Arabic Typesetting" w:hAnsi="Arabic Typesetting" w:cs="Arabic Typesetting" w:hint="cs"/>
                <w:sz w:val="28"/>
                <w:szCs w:val="28"/>
                <w:rtl/>
                <w:lang w:bidi="ar-EG"/>
              </w:rPr>
              <w:t>سيتاح ل</w:t>
            </w:r>
            <w:r w:rsidRPr="006D69DC">
              <w:rPr>
                <w:rFonts w:ascii="Arabic Typesetting" w:hAnsi="Arabic Typesetting" w:cs="Arabic Typesetting"/>
                <w:sz w:val="28"/>
                <w:szCs w:val="28"/>
                <w:rtl/>
                <w:lang w:bidi="ar-EG"/>
              </w:rPr>
              <w:t xml:space="preserve">موظفي الويبو النفاذ إلى قدر أكبر من المعلومات المتعلقة بالبعثات السابقة إلى بلدان أو منظمات </w:t>
            </w:r>
            <w:r w:rsidRPr="006D69DC">
              <w:rPr>
                <w:rFonts w:ascii="Arabic Typesetting" w:hAnsi="Arabic Typesetting" w:cs="Arabic Typesetting" w:hint="cs"/>
                <w:sz w:val="28"/>
                <w:szCs w:val="28"/>
                <w:rtl/>
                <w:lang w:bidi="ar-EG"/>
              </w:rPr>
              <w:t>معيّنة،</w:t>
            </w:r>
            <w:r w:rsidRPr="006D69DC">
              <w:rPr>
                <w:rFonts w:ascii="Arabic Typesetting" w:hAnsi="Arabic Typesetting" w:cs="Arabic Typesetting"/>
                <w:sz w:val="28"/>
                <w:szCs w:val="28"/>
                <w:rtl/>
                <w:lang w:bidi="ar-EG"/>
              </w:rPr>
              <w:t xml:space="preserve"> </w:t>
            </w:r>
            <w:r w:rsidRPr="006D69DC">
              <w:rPr>
                <w:rFonts w:ascii="Arabic Typesetting" w:hAnsi="Arabic Typesetting" w:cs="Arabic Typesetting" w:hint="cs"/>
                <w:sz w:val="28"/>
                <w:szCs w:val="28"/>
                <w:rtl/>
                <w:lang w:bidi="ar-EG"/>
              </w:rPr>
              <w:t>مما يمكّنهم من</w:t>
            </w:r>
            <w:r w:rsidRPr="006D69DC">
              <w:rPr>
                <w:rFonts w:ascii="Arabic Typesetting" w:hAnsi="Arabic Typesetting" w:cs="Arabic Typesetting"/>
                <w:sz w:val="28"/>
                <w:szCs w:val="28"/>
                <w:rtl/>
                <w:lang w:bidi="ar-EG"/>
              </w:rPr>
              <w:t xml:space="preserve"> الرد</w:t>
            </w:r>
            <w:r w:rsidRPr="006D69DC">
              <w:rPr>
                <w:rFonts w:ascii="Arabic Typesetting" w:hAnsi="Arabic Typesetting" w:cs="Arabic Typesetting" w:hint="cs"/>
                <w:sz w:val="28"/>
                <w:szCs w:val="28"/>
                <w:rtl/>
                <w:lang w:bidi="ar-EG"/>
              </w:rPr>
              <w:t>، أثناء بعثات المتابعة،</w:t>
            </w:r>
            <w:r w:rsidRPr="006D69DC">
              <w:rPr>
                <w:rFonts w:ascii="Arabic Typesetting" w:hAnsi="Arabic Typesetting" w:cs="Arabic Typesetting"/>
                <w:sz w:val="28"/>
                <w:szCs w:val="28"/>
                <w:rtl/>
                <w:lang w:bidi="ar-EG"/>
              </w:rPr>
              <w:t xml:space="preserve"> على الأسئلة العالقة التي أثيرت في بعثات سابقة.</w:t>
            </w:r>
          </w:p>
        </w:tc>
        <w:tc>
          <w:tcPr>
            <w:tcW w:w="1740" w:type="pct"/>
          </w:tcPr>
          <w:p w:rsidR="006D69DC" w:rsidRPr="006D69DC" w:rsidRDefault="006D69DC" w:rsidP="006D69DC">
            <w:pPr>
              <w:bidi/>
              <w:spacing w:line="280" w:lineRule="exact"/>
              <w:ind w:left="335"/>
              <w:contextualSpacing/>
              <w:jc w:val="both"/>
              <w:rPr>
                <w:rFonts w:ascii="Arabic Typesetting" w:hAnsi="Arabic Typesetting" w:cs="Arabic Typesetting"/>
                <w:sz w:val="28"/>
                <w:szCs w:val="28"/>
                <w:lang w:bidi="ar-EG"/>
              </w:rPr>
            </w:pPr>
          </w:p>
          <w:p w:rsidR="006D69DC" w:rsidRPr="006D69DC" w:rsidRDefault="006D69DC" w:rsidP="006D69DC">
            <w:pPr>
              <w:bidi/>
              <w:spacing w:line="280" w:lineRule="exact"/>
              <w:rPr>
                <w:rFonts w:ascii="Arabic Typesetting" w:hAnsi="Arabic Typesetting" w:cs="Arabic Typesetting"/>
                <w:b/>
                <w:i/>
                <w:sz w:val="28"/>
                <w:szCs w:val="28"/>
              </w:rPr>
            </w:pPr>
          </w:p>
        </w:tc>
      </w:tr>
      <w:tr w:rsidR="006D69DC" w:rsidRPr="006D69DC" w:rsidTr="006E6296">
        <w:trPr>
          <w:cantSplit/>
          <w:trHeight w:val="564"/>
          <w:jc w:val="center"/>
        </w:trPr>
        <w:tc>
          <w:tcPr>
            <w:tcW w:w="163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p>
        </w:tc>
        <w:tc>
          <w:tcPr>
            <w:tcW w:w="1630" w:type="pct"/>
          </w:tcPr>
          <w:p w:rsidR="006D69DC" w:rsidRPr="006D69DC" w:rsidRDefault="006D69DC" w:rsidP="006D69DC">
            <w:pPr>
              <w:bidi/>
              <w:spacing w:line="280" w:lineRule="exact"/>
              <w:rPr>
                <w:rFonts w:ascii="Arabic Typesetting" w:hAnsi="Arabic Typesetting" w:cs="Arabic Typesetting"/>
                <w:bCs/>
                <w:iCs/>
                <w:sz w:val="28"/>
                <w:szCs w:val="28"/>
                <w:rtl/>
                <w:lang w:bidi="ar-EG"/>
              </w:rPr>
            </w:pPr>
            <w:r w:rsidRPr="006D69DC">
              <w:rPr>
                <w:rFonts w:ascii="Arabic Typesetting" w:hAnsi="Arabic Typesetting" w:cs="Arabic Typesetting"/>
                <w:bCs/>
                <w:iCs/>
                <w:sz w:val="28"/>
                <w:szCs w:val="28"/>
                <w:rtl/>
                <w:lang w:bidi="ar-EG"/>
              </w:rPr>
              <w:t>بعد نشر وتشغيل تكوين نظام إدارة المعلومات المؤسسية الخاص بسجل الموارد البشرية الإلكتروني:</w:t>
            </w:r>
          </w:p>
          <w:p w:rsidR="006D69DC" w:rsidRPr="006D69DC" w:rsidRDefault="006D69DC" w:rsidP="006D69DC">
            <w:pPr>
              <w:bidi/>
              <w:spacing w:line="280" w:lineRule="exact"/>
              <w:ind w:left="35"/>
              <w:contextualSpacing/>
              <w:jc w:val="both"/>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سيتاح لإدارة الموارد البشرية مستودع واحد لتخزين الوثائق المتعلقة بالموظفين، بحيث يشمل كل من الوثائق القديمة، التي ستُ</w:t>
            </w:r>
            <w:r w:rsidRPr="006D69DC">
              <w:rPr>
                <w:rFonts w:ascii="Arabic Typesetting" w:hAnsi="Arabic Typesetting" w:cs="Arabic Typesetting" w:hint="cs"/>
                <w:sz w:val="28"/>
                <w:szCs w:val="28"/>
                <w:rtl/>
                <w:lang w:bidi="ar-EG"/>
              </w:rPr>
              <w:t>رقمن</w:t>
            </w:r>
            <w:r w:rsidRPr="006D69DC">
              <w:rPr>
                <w:rFonts w:ascii="Arabic Typesetting" w:hAnsi="Arabic Typesetting" w:cs="Arabic Typesetting"/>
                <w:sz w:val="28"/>
                <w:szCs w:val="28"/>
                <w:rtl/>
                <w:lang w:bidi="ar-EG"/>
              </w:rPr>
              <w:t>، والوثائق المنشأة حديثًا.</w:t>
            </w:r>
            <w:r w:rsidRPr="006D69DC">
              <w:rPr>
                <w:rFonts w:ascii="Arabic Typesetting" w:hAnsi="Arabic Typesetting" w:cs="Arabic Typesetting"/>
                <w:sz w:val="28"/>
                <w:szCs w:val="28"/>
                <w:rtl/>
              </w:rPr>
              <w:t xml:space="preserve"> </w:t>
            </w:r>
            <w:r w:rsidRPr="006D69DC">
              <w:rPr>
                <w:rFonts w:ascii="Arabic Typesetting" w:hAnsi="Arabic Typesetting" w:cs="Arabic Typesetting"/>
                <w:sz w:val="28"/>
                <w:szCs w:val="28"/>
                <w:rtl/>
                <w:lang w:bidi="ar-EG"/>
              </w:rPr>
              <w:t>وسينتج عن ذلك ما يلي:</w:t>
            </w:r>
          </w:p>
          <w:p w:rsidR="006D69DC" w:rsidRPr="006D69DC" w:rsidRDefault="006D69DC" w:rsidP="0099688F">
            <w:pPr>
              <w:numPr>
                <w:ilvl w:val="0"/>
                <w:numId w:val="62"/>
              </w:numPr>
              <w:bidi/>
              <w:spacing w:line="280" w:lineRule="exact"/>
              <w:ind w:left="318" w:hanging="283"/>
              <w:contextualSpacing/>
              <w:jc w:val="both"/>
              <w:rPr>
                <w:rFonts w:ascii="Arabic Typesetting" w:hAnsi="Arabic Typesetting" w:cs="Arabic Typesetting"/>
                <w:sz w:val="28"/>
                <w:szCs w:val="28"/>
                <w:lang w:bidi="ar-EG"/>
              </w:rPr>
            </w:pPr>
            <w:r w:rsidRPr="006D69DC">
              <w:rPr>
                <w:rFonts w:ascii="Arabic Typesetting" w:hAnsi="Arabic Typesetting" w:cs="Arabic Typesetting"/>
                <w:sz w:val="28"/>
                <w:szCs w:val="28"/>
                <w:rtl/>
                <w:lang w:bidi="ar-EG"/>
              </w:rPr>
              <w:t>استمرار تسجيل ملفات الموارد البشرية المهمة والوثائق المتعلقة بها وإدارتها وصونها.</w:t>
            </w:r>
            <w:r w:rsidRPr="006D69DC">
              <w:rPr>
                <w:rFonts w:ascii="Arabic Typesetting" w:hAnsi="Arabic Typesetting" w:cs="Arabic Typesetting"/>
                <w:sz w:val="28"/>
                <w:szCs w:val="28"/>
                <w:rtl/>
              </w:rPr>
              <w:t xml:space="preserve"> </w:t>
            </w:r>
            <w:r w:rsidRPr="006D69DC">
              <w:rPr>
                <w:rFonts w:ascii="Arabic Typesetting" w:hAnsi="Arabic Typesetting" w:cs="Arabic Typesetting" w:hint="cs"/>
                <w:sz w:val="28"/>
                <w:szCs w:val="28"/>
                <w:rtl/>
              </w:rPr>
              <w:t>وسيمكّن</w:t>
            </w:r>
            <w:r w:rsidRPr="006D69DC">
              <w:rPr>
                <w:rFonts w:ascii="Arabic Typesetting" w:hAnsi="Arabic Typesetting" w:cs="Arabic Typesetting"/>
                <w:sz w:val="28"/>
                <w:szCs w:val="28"/>
                <w:rtl/>
                <w:lang w:bidi="ar-EG"/>
              </w:rPr>
              <w:t xml:space="preserve"> وجود مستودع واحد للمعلومات </w:t>
            </w:r>
            <w:r w:rsidRPr="006D69DC">
              <w:rPr>
                <w:rFonts w:ascii="Arabic Typesetting" w:hAnsi="Arabic Typesetting" w:cs="Arabic Typesetting" w:hint="cs"/>
                <w:sz w:val="28"/>
                <w:szCs w:val="28"/>
                <w:rtl/>
                <w:lang w:bidi="ar-EG"/>
              </w:rPr>
              <w:t xml:space="preserve">من </w:t>
            </w:r>
            <w:r w:rsidRPr="006D69DC">
              <w:rPr>
                <w:rFonts w:ascii="Arabic Typesetting" w:hAnsi="Arabic Typesetting" w:cs="Arabic Typesetting"/>
                <w:sz w:val="28"/>
                <w:szCs w:val="28"/>
                <w:rtl/>
                <w:lang w:bidi="ar-EG"/>
              </w:rPr>
              <w:t>تقليل ما يبذله موظفو الموارد البشرية من وقت وجهد في تحديد الوثائق المعنية واستخراجها لدعم العمليات التنظيمية الرئيسية؛</w:t>
            </w:r>
          </w:p>
          <w:p w:rsidR="006D69DC" w:rsidRPr="006D69DC" w:rsidRDefault="006D69DC" w:rsidP="0099688F">
            <w:pPr>
              <w:numPr>
                <w:ilvl w:val="0"/>
                <w:numId w:val="62"/>
              </w:numPr>
              <w:bidi/>
              <w:spacing w:line="280" w:lineRule="exact"/>
              <w:ind w:left="318" w:hanging="283"/>
              <w:contextualSpacing/>
              <w:jc w:val="both"/>
              <w:rPr>
                <w:rFonts w:ascii="Arabic Typesetting" w:hAnsi="Arabic Typesetting" w:cs="Arabic Typesetting"/>
                <w:bCs/>
                <w:iCs/>
                <w:sz w:val="28"/>
                <w:szCs w:val="28"/>
                <w:rtl/>
                <w:lang w:bidi="ar-EG"/>
              </w:rPr>
            </w:pPr>
            <w:r w:rsidRPr="006D69DC">
              <w:rPr>
                <w:rFonts w:ascii="Arabic Typesetting" w:hAnsi="Arabic Typesetting" w:cs="Arabic Typesetting"/>
                <w:sz w:val="28"/>
                <w:szCs w:val="28"/>
                <w:rtl/>
                <w:lang w:bidi="ar-EG"/>
              </w:rPr>
              <w:t>سي</w:t>
            </w:r>
            <w:r w:rsidRPr="006D69DC">
              <w:rPr>
                <w:rFonts w:ascii="Arabic Typesetting" w:hAnsi="Arabic Typesetting" w:cs="Arabic Typesetting" w:hint="cs"/>
                <w:sz w:val="28"/>
                <w:szCs w:val="28"/>
                <w:rtl/>
                <w:lang w:bidi="ar-EG"/>
              </w:rPr>
              <w:t xml:space="preserve">تسنى، بشكل واضح، </w:t>
            </w:r>
            <w:r w:rsidRPr="006D69DC">
              <w:rPr>
                <w:rFonts w:ascii="Arabic Typesetting" w:hAnsi="Arabic Typesetting" w:cs="Arabic Typesetting"/>
                <w:sz w:val="28"/>
                <w:szCs w:val="28"/>
                <w:rtl/>
                <w:lang w:bidi="ar-EG"/>
              </w:rPr>
              <w:t xml:space="preserve">تحديد الإصدار الأخير من كل وثيقة موارد بشرية </w:t>
            </w:r>
            <w:r w:rsidRPr="006D69DC">
              <w:rPr>
                <w:rFonts w:ascii="Arabic Typesetting" w:hAnsi="Arabic Typesetting" w:cs="Arabic Typesetting" w:hint="cs"/>
                <w:sz w:val="28"/>
                <w:szCs w:val="28"/>
                <w:rtl/>
                <w:lang w:bidi="ar-EG"/>
              </w:rPr>
              <w:t>تخص</w:t>
            </w:r>
            <w:r w:rsidRPr="006D69DC">
              <w:rPr>
                <w:rFonts w:ascii="Arabic Typesetting" w:hAnsi="Arabic Typesetting" w:cs="Arabic Typesetting"/>
                <w:sz w:val="28"/>
                <w:szCs w:val="28"/>
                <w:rtl/>
                <w:lang w:bidi="ar-EG"/>
              </w:rPr>
              <w:t xml:space="preserve"> موظفي الويبو من أجل تقليل الوقت والجهد المطلوبين لتحديد الإصدارات الأخيرة للوثائق، وتقليل معدل إعادة العمل.</w:t>
            </w:r>
          </w:p>
        </w:tc>
        <w:tc>
          <w:tcPr>
            <w:tcW w:w="1740" w:type="pct"/>
          </w:tcPr>
          <w:p w:rsidR="006D69DC" w:rsidRPr="006D69DC" w:rsidRDefault="006D69DC" w:rsidP="006D69DC">
            <w:pPr>
              <w:bidi/>
              <w:spacing w:line="280" w:lineRule="exact"/>
              <w:ind w:left="335"/>
              <w:contextualSpacing/>
              <w:jc w:val="both"/>
              <w:rPr>
                <w:rFonts w:ascii="Arabic Typesetting" w:hAnsi="Arabic Typesetting" w:cs="Arabic Typesetting"/>
                <w:sz w:val="28"/>
                <w:szCs w:val="28"/>
                <w:lang w:bidi="ar-EG"/>
              </w:rPr>
            </w:pPr>
          </w:p>
        </w:tc>
      </w:tr>
    </w:tbl>
    <w:p w:rsidR="006D69DC" w:rsidRPr="006D69DC" w:rsidRDefault="006D69DC" w:rsidP="006D69DC">
      <w:pPr>
        <w:keepNext/>
        <w:bidi/>
        <w:spacing w:before="120"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استخدام الموارد</w:t>
      </w:r>
      <w:r w:rsidRPr="006D69DC">
        <w:rPr>
          <w:rFonts w:ascii="Arabic Typesetting" w:hAnsi="Arabic Typesetting" w:cs="Arabic Typesetting"/>
          <w:sz w:val="28"/>
          <w:szCs w:val="28"/>
          <w:vertAlign w:val="superscript"/>
          <w:rtl/>
          <w:lang w:val="fr-CH"/>
        </w:rPr>
        <w:footnoteReference w:id="173"/>
      </w:r>
    </w:p>
    <w:p w:rsidR="006D69DC" w:rsidRPr="006D69DC" w:rsidRDefault="006D69DC" w:rsidP="006D69DC">
      <w:pPr>
        <w:keepNext/>
        <w:keepLines/>
        <w:tabs>
          <w:tab w:val="left" w:pos="3261"/>
        </w:tabs>
        <w:autoSpaceDE w:val="0"/>
        <w:autoSpaceDN w:val="0"/>
        <w:bidi/>
        <w:adjustRightInd w:val="0"/>
        <w:jc w:val="center"/>
        <w:rPr>
          <w:rFonts w:ascii="Arabic Typesetting" w:hAnsi="Arabic Typesetting" w:cs="Arabic Typesetting"/>
          <w:sz w:val="34"/>
          <w:szCs w:val="34"/>
          <w:rtl/>
          <w:lang w:bidi="ar-EG"/>
        </w:rPr>
      </w:pPr>
      <w:r w:rsidRPr="006D69DC">
        <w:rPr>
          <w:rFonts w:ascii="Arabic Typesetting" w:hAnsi="Arabic Typesetting" w:cs="Arabic Typesetting"/>
          <w:bCs/>
          <w:sz w:val="34"/>
          <w:szCs w:val="34"/>
          <w:rtl/>
          <w:lang w:bidi="ar-EG"/>
        </w:rPr>
        <w:t>استخدام ميزانية المشروع</w:t>
      </w:r>
    </w:p>
    <w:p w:rsidR="006D69DC" w:rsidRPr="006D69DC" w:rsidRDefault="006D69DC" w:rsidP="006D69DC">
      <w:pPr>
        <w:keepNext/>
        <w:keepLines/>
        <w:tabs>
          <w:tab w:val="left" w:pos="3261"/>
        </w:tabs>
        <w:autoSpaceDE w:val="0"/>
        <w:autoSpaceDN w:val="0"/>
        <w:bidi/>
        <w:adjustRightInd w:val="0"/>
        <w:jc w:val="center"/>
        <w:rPr>
          <w:rFonts w:ascii="Arabic Typesetting" w:hAnsi="Arabic Typesetting" w:cs="Arabic Typesetting"/>
          <w:color w:val="000000"/>
          <w:sz w:val="36"/>
          <w:szCs w:val="36"/>
        </w:rPr>
      </w:pPr>
      <w:r w:rsidRPr="006D69DC">
        <w:rPr>
          <w:rFonts w:ascii="Arabic Typesetting" w:hAnsi="Arabic Typesetting" w:cs="Arabic Typesetting"/>
          <w:iCs/>
          <w:sz w:val="34"/>
          <w:szCs w:val="34"/>
          <w:rtl/>
          <w:lang w:bidi="ar-EG"/>
        </w:rPr>
        <w:t xml:space="preserve">(بالفرنك السويسري، في 31 ديسمبر </w:t>
      </w:r>
      <w:r w:rsidRPr="006D69DC">
        <w:rPr>
          <w:rFonts w:ascii="Arabic Typesetting" w:hAnsi="Arabic Typesetting" w:cs="Arabic Typesetting" w:hint="cs"/>
          <w:iCs/>
          <w:sz w:val="34"/>
          <w:szCs w:val="34"/>
          <w:rtl/>
          <w:lang w:bidi="ar-EG"/>
        </w:rPr>
        <w:t>2015</w:t>
      </w:r>
      <w:r w:rsidRPr="006D69DC">
        <w:rPr>
          <w:rFonts w:ascii="Arabic Typesetting" w:hAnsi="Arabic Typesetting" w:cs="Arabic Typesetting"/>
          <w:iCs/>
          <w:sz w:val="34"/>
          <w:szCs w:val="34"/>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564"/>
        <w:gridCol w:w="1565"/>
        <w:gridCol w:w="1565"/>
        <w:gridCol w:w="1564"/>
      </w:tblGrid>
      <w:tr w:rsidR="006D69DC" w:rsidRPr="006D69DC" w:rsidTr="001D7014">
        <w:trPr>
          <w:trHeight w:val="410"/>
        </w:trPr>
        <w:tc>
          <w:tcPr>
            <w:tcW w:w="1598" w:type="pct"/>
            <w:shd w:val="clear" w:color="auto" w:fill="C6D9F1"/>
            <w:vAlign w:val="center"/>
          </w:tcPr>
          <w:p w:rsidR="006D69DC" w:rsidRPr="006D69DC" w:rsidRDefault="006D69DC" w:rsidP="006D69DC">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اسم المشروع</w:t>
            </w:r>
          </w:p>
        </w:tc>
        <w:tc>
          <w:tcPr>
            <w:tcW w:w="850" w:type="pct"/>
            <w:shd w:val="clear" w:color="auto" w:fill="C6D9F1"/>
            <w:vAlign w:val="center"/>
          </w:tcPr>
          <w:p w:rsidR="006D69DC" w:rsidRPr="006D69DC" w:rsidRDefault="006D69DC" w:rsidP="006D69DC">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ميزانية المشروع</w:t>
            </w:r>
          </w:p>
        </w:tc>
        <w:tc>
          <w:tcPr>
            <w:tcW w:w="851" w:type="pct"/>
            <w:shd w:val="clear" w:color="auto" w:fill="C6D9F1"/>
            <w:vAlign w:val="center"/>
          </w:tcPr>
          <w:p w:rsidR="006D69DC" w:rsidRPr="006D69DC" w:rsidRDefault="006D69DC" w:rsidP="006D69DC">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النفقات الفعلية حتى تاريخه</w:t>
            </w:r>
          </w:p>
        </w:tc>
        <w:tc>
          <w:tcPr>
            <w:tcW w:w="851"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c>
          <w:tcPr>
            <w:tcW w:w="850"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معدل التقدم المحرز في تنفيذ المشروع</w:t>
            </w:r>
          </w:p>
        </w:tc>
      </w:tr>
      <w:tr w:rsidR="006E6296" w:rsidRPr="006D69DC" w:rsidTr="001D7014">
        <w:trPr>
          <w:trHeight w:val="389"/>
        </w:trPr>
        <w:tc>
          <w:tcPr>
            <w:tcW w:w="1598"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مشروع تنفيذ نظام إدارة المعلومات المؤسسية</w:t>
            </w:r>
          </w:p>
        </w:tc>
        <w:tc>
          <w:tcPr>
            <w:tcW w:w="850" w:type="pct"/>
            <w:vAlign w:val="center"/>
          </w:tcPr>
          <w:p w:rsidR="006E6296" w:rsidRPr="00630FBE" w:rsidRDefault="006E6296" w:rsidP="006E6296">
            <w:pPr>
              <w:keepNext/>
              <w:keepLines/>
              <w:autoSpaceDE w:val="0"/>
              <w:autoSpaceDN w:val="0"/>
              <w:adjustRightInd w:val="0"/>
              <w:spacing w:before="40" w:after="40" w:line="260" w:lineRule="exact"/>
              <w:jc w:val="center"/>
              <w:rPr>
                <w:sz w:val="16"/>
                <w:szCs w:val="16"/>
              </w:rPr>
            </w:pPr>
            <w:r>
              <w:rPr>
                <w:sz w:val="16"/>
                <w:szCs w:val="16"/>
              </w:rPr>
              <w:t>2,068,000</w:t>
            </w:r>
          </w:p>
        </w:tc>
        <w:tc>
          <w:tcPr>
            <w:tcW w:w="851" w:type="pct"/>
            <w:vAlign w:val="center"/>
          </w:tcPr>
          <w:p w:rsidR="006E6296" w:rsidRPr="00630FBE" w:rsidRDefault="006E6296" w:rsidP="006E6296">
            <w:pPr>
              <w:keepNext/>
              <w:keepLines/>
              <w:autoSpaceDE w:val="0"/>
              <w:autoSpaceDN w:val="0"/>
              <w:adjustRightInd w:val="0"/>
              <w:spacing w:before="40" w:after="40" w:line="260" w:lineRule="exact"/>
              <w:jc w:val="center"/>
              <w:rPr>
                <w:sz w:val="16"/>
                <w:szCs w:val="16"/>
              </w:rPr>
            </w:pPr>
            <w:r>
              <w:rPr>
                <w:sz w:val="16"/>
                <w:szCs w:val="16"/>
              </w:rPr>
              <w:t>75,170</w:t>
            </w:r>
          </w:p>
        </w:tc>
        <w:tc>
          <w:tcPr>
            <w:tcW w:w="851" w:type="pct"/>
            <w:vAlign w:val="center"/>
          </w:tcPr>
          <w:p w:rsidR="006E6296" w:rsidRPr="00630FBE" w:rsidRDefault="006E6296" w:rsidP="006E6296">
            <w:pPr>
              <w:keepNext/>
              <w:keepLines/>
              <w:autoSpaceDE w:val="0"/>
              <w:autoSpaceDN w:val="0"/>
              <w:adjustRightInd w:val="0"/>
              <w:spacing w:before="40" w:after="40" w:line="260" w:lineRule="exact"/>
              <w:jc w:val="center"/>
              <w:rPr>
                <w:sz w:val="16"/>
                <w:szCs w:val="16"/>
              </w:rPr>
            </w:pPr>
            <w:r>
              <w:rPr>
                <w:sz w:val="16"/>
                <w:szCs w:val="16"/>
              </w:rPr>
              <w:t>3.6%</w:t>
            </w:r>
          </w:p>
        </w:tc>
        <w:tc>
          <w:tcPr>
            <w:tcW w:w="850" w:type="pct"/>
            <w:vAlign w:val="center"/>
          </w:tcPr>
          <w:p w:rsidR="006E6296" w:rsidRPr="00630FBE" w:rsidRDefault="006E6296" w:rsidP="006E6296">
            <w:pPr>
              <w:keepNext/>
              <w:keepLines/>
              <w:autoSpaceDE w:val="0"/>
              <w:autoSpaceDN w:val="0"/>
              <w:adjustRightInd w:val="0"/>
              <w:spacing w:before="40" w:after="40" w:line="260" w:lineRule="exact"/>
              <w:jc w:val="center"/>
              <w:rPr>
                <w:sz w:val="16"/>
                <w:szCs w:val="16"/>
              </w:rPr>
            </w:pPr>
            <w:r>
              <w:rPr>
                <w:sz w:val="16"/>
                <w:szCs w:val="16"/>
              </w:rPr>
              <w:t>3%</w:t>
            </w:r>
          </w:p>
        </w:tc>
      </w:tr>
    </w:tbl>
    <w:p w:rsidR="006D69DC" w:rsidRPr="006D69DC" w:rsidRDefault="006D69DC" w:rsidP="006E6296">
      <w:pPr>
        <w:keepNext/>
        <w:pageBreakBefore/>
        <w:bidi/>
        <w:spacing w:before="120" w:line="340" w:lineRule="exact"/>
        <w:jc w:val="center"/>
        <w:rPr>
          <w:rFonts w:ascii="Arabic Typesetting" w:hAnsi="Arabic Typesetting" w:cs="Arabic Typesetting"/>
          <w:bCs/>
          <w:sz w:val="34"/>
          <w:szCs w:val="34"/>
          <w:rtl/>
          <w:lang w:val="fr-CH"/>
        </w:rPr>
      </w:pPr>
      <w:r w:rsidRPr="006D69DC">
        <w:rPr>
          <w:rFonts w:ascii="Arabic Typesetting" w:hAnsi="Arabic Typesetting" w:cs="Arabic Typesetting"/>
          <w:bCs/>
          <w:sz w:val="34"/>
          <w:szCs w:val="34"/>
          <w:rtl/>
          <w:lang w:val="fr-CH"/>
        </w:rPr>
        <w:lastRenderedPageBreak/>
        <w:t>استخدام ميزانية المشروع (حسب المعالم)</w:t>
      </w:r>
    </w:p>
    <w:p w:rsidR="006D69DC" w:rsidRPr="006D69DC" w:rsidRDefault="006D69DC" w:rsidP="006D69DC">
      <w:pPr>
        <w:bidi/>
        <w:spacing w:after="120" w:line="340" w:lineRule="exact"/>
        <w:jc w:val="center"/>
        <w:rPr>
          <w:rFonts w:ascii="Arabic Typesetting" w:hAnsi="Arabic Typesetting" w:cs="Arabic Typesetting"/>
          <w:i/>
          <w:iCs/>
          <w:sz w:val="34"/>
          <w:szCs w:val="34"/>
          <w:lang w:val="fr-CH"/>
        </w:rPr>
      </w:pPr>
      <w:r w:rsidRPr="006D69DC">
        <w:rPr>
          <w:rFonts w:ascii="Arabic Typesetting" w:hAnsi="Arabic Typesetting" w:cs="Arabic Typesetting"/>
          <w:i/>
          <w:iCs/>
          <w:sz w:val="34"/>
          <w:szCs w:val="34"/>
          <w:rtl/>
          <w:lang w:val="fr-CH"/>
        </w:rPr>
        <w:t xml:space="preserve">(بالفرنك السويسري، في 31 ديسمبر </w:t>
      </w:r>
      <w:r w:rsidRPr="006D69DC">
        <w:rPr>
          <w:rFonts w:ascii="Arabic Typesetting" w:hAnsi="Arabic Typesetting" w:cs="Arabic Typesetting" w:hint="cs"/>
          <w:i/>
          <w:iCs/>
          <w:sz w:val="34"/>
          <w:szCs w:val="34"/>
          <w:rtl/>
          <w:lang w:val="fr-CH"/>
        </w:rPr>
        <w:t>2015</w:t>
      </w:r>
      <w:r w:rsidRPr="006D69DC">
        <w:rPr>
          <w:rFonts w:ascii="Arabic Typesetting" w:hAnsi="Arabic Typesetting" w:cs="Arabic Typesetting"/>
          <w:i/>
          <w:iCs/>
          <w:sz w:val="34"/>
          <w:szCs w:val="34"/>
          <w:rtl/>
          <w:lang w:val="fr-CH"/>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8"/>
        <w:gridCol w:w="1575"/>
        <w:gridCol w:w="1575"/>
        <w:gridCol w:w="1575"/>
        <w:gridCol w:w="1575"/>
      </w:tblGrid>
      <w:tr w:rsidR="006D69DC" w:rsidRPr="006D69DC" w:rsidTr="001D7014">
        <w:trPr>
          <w:trHeight w:val="410"/>
        </w:trPr>
        <w:tc>
          <w:tcPr>
            <w:tcW w:w="1575" w:type="pct"/>
            <w:shd w:val="clear" w:color="auto" w:fill="C6D9F1"/>
            <w:vAlign w:val="center"/>
          </w:tcPr>
          <w:p w:rsidR="006D69DC" w:rsidRPr="006D69DC" w:rsidRDefault="006D69DC" w:rsidP="006E6296">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المعالم الرئيسية</w:t>
            </w:r>
          </w:p>
        </w:tc>
        <w:tc>
          <w:tcPr>
            <w:tcW w:w="856" w:type="pct"/>
            <w:shd w:val="clear" w:color="auto" w:fill="C6D9F1"/>
            <w:vAlign w:val="center"/>
          </w:tcPr>
          <w:p w:rsidR="006D69DC" w:rsidRPr="006D69DC" w:rsidRDefault="006D69DC" w:rsidP="006E6296">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ميزانية المشروع</w:t>
            </w:r>
          </w:p>
        </w:tc>
        <w:tc>
          <w:tcPr>
            <w:tcW w:w="856" w:type="pct"/>
            <w:shd w:val="clear" w:color="auto" w:fill="C6D9F1"/>
            <w:vAlign w:val="center"/>
          </w:tcPr>
          <w:p w:rsidR="006D69DC" w:rsidRPr="006D69DC" w:rsidRDefault="006D69DC" w:rsidP="006E6296">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النفقات الفعلية حتى تاريخه</w:t>
            </w:r>
          </w:p>
        </w:tc>
        <w:tc>
          <w:tcPr>
            <w:tcW w:w="856" w:type="pct"/>
            <w:shd w:val="clear" w:color="auto" w:fill="C6D9F1"/>
            <w:vAlign w:val="center"/>
          </w:tcPr>
          <w:p w:rsidR="006D69DC" w:rsidRPr="006D69DC" w:rsidRDefault="006D69DC" w:rsidP="006E6296">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c>
          <w:tcPr>
            <w:tcW w:w="856" w:type="pct"/>
            <w:shd w:val="clear" w:color="auto" w:fill="C6D9F1"/>
            <w:vAlign w:val="center"/>
          </w:tcPr>
          <w:p w:rsidR="006D69DC" w:rsidRPr="006D69DC" w:rsidRDefault="006D69DC" w:rsidP="006E6296">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معدل التقدم المحرز في تنفيذ المشروع حسب المعالم</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hint="cs"/>
                <w:sz w:val="28"/>
                <w:szCs w:val="28"/>
                <w:rtl/>
                <w:lang w:bidi="ar-EG"/>
              </w:rPr>
              <w:t>دراسة النهج وتطويره، بما في ذلك اختيار تكنولوجيا إدارة المعلومات المؤسسية</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36,000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36,000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100%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100%</w:t>
            </w:r>
          </w:p>
        </w:tc>
      </w:tr>
      <w:tr w:rsidR="006E6296" w:rsidRPr="006D69DC" w:rsidTr="001D7014">
        <w:trPr>
          <w:trHeight w:val="389"/>
        </w:trPr>
        <w:tc>
          <w:tcPr>
            <w:tcW w:w="1575" w:type="pct"/>
            <w:vAlign w:val="center"/>
          </w:tcPr>
          <w:p w:rsidR="006E6296" w:rsidRPr="006D69DC" w:rsidRDefault="006E6296" w:rsidP="000B5473">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hint="cs"/>
                <w:sz w:val="28"/>
                <w:szCs w:val="28"/>
                <w:rtl/>
                <w:lang w:bidi="ar-EG"/>
              </w:rPr>
              <w:t>إعادة تصميم منصة نظام السجلات والمحفوظات المؤسسية القائم وتحديث إصداره</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42,000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39,170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93%</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100%</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منح العقد لمدير المشروع وأخصائي إدارة المعلومات المؤسسية من جهة العميل</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400,000</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رسوم استضافة وصيانة إدارة المعلومات المؤسسية</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1,298,000</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color w:val="000000"/>
                <w:sz w:val="28"/>
                <w:szCs w:val="28"/>
                <w:rtl/>
              </w:rPr>
            </w:pPr>
            <w:r w:rsidRPr="006D69DC">
              <w:rPr>
                <w:rFonts w:ascii="Arabic Typesetting" w:hAnsi="Arabic Typesetting" w:cs="Arabic Typesetting" w:hint="cs"/>
                <w:color w:val="000000"/>
                <w:sz w:val="28"/>
                <w:szCs w:val="28"/>
                <w:rtl/>
                <w:lang w:bidi="ar-EG"/>
              </w:rPr>
              <w:t>التركيب</w:t>
            </w:r>
            <w:r w:rsidRPr="006D69DC">
              <w:rPr>
                <w:rFonts w:ascii="Arabic Typesetting" w:hAnsi="Arabic Typesetting" w:cs="Arabic Typesetting" w:hint="cs"/>
                <w:color w:val="000000"/>
                <w:sz w:val="28"/>
                <w:szCs w:val="28"/>
                <w:rtl/>
              </w:rPr>
              <w:t xml:space="preserve"> والتكوين الأساسي</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205,000</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المشروع 1: إدارة طلبات الترجمة</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58,000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المشروع 2: البريد الوارد إلى مكتب المدير العام</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80,000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المشروع 3: إدارة البائعين والعقود</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46,000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المشروع 4: تقارير البعثات</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37,000</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1D7014">
        <w:trPr>
          <w:trHeight w:val="389"/>
        </w:trPr>
        <w:tc>
          <w:tcPr>
            <w:tcW w:w="1575" w:type="pct"/>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المشروع 5: ملفات الموظفين</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140,000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1D7014">
        <w:trPr>
          <w:trHeight w:val="389"/>
        </w:trPr>
        <w:tc>
          <w:tcPr>
            <w:tcW w:w="1575" w:type="pct"/>
            <w:vAlign w:val="center"/>
          </w:tcPr>
          <w:p w:rsidR="006E6296" w:rsidRPr="006D69DC" w:rsidRDefault="006E6296" w:rsidP="000B5473">
            <w:pPr>
              <w:keepNext/>
              <w:keepLines/>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المشروع 6: قدرات</w:t>
            </w:r>
            <w:r w:rsidRPr="006D69DC">
              <w:rPr>
                <w:rFonts w:ascii="Arabic Typesetting" w:hAnsi="Arabic Typesetting" w:cs="Arabic Typesetting"/>
                <w:color w:val="000000"/>
                <w:sz w:val="28"/>
                <w:szCs w:val="28"/>
                <w:rtl/>
                <w:lang w:bidi="ar-EG"/>
              </w:rPr>
              <w:t xml:space="preserve"> نظام إدارة المعلومات المؤسسية على مستوى </w:t>
            </w:r>
            <w:r w:rsidRPr="006D69DC">
              <w:rPr>
                <w:rFonts w:ascii="Arabic Typesetting" w:hAnsi="Arabic Typesetting" w:cs="Arabic Typesetting" w:hint="cs"/>
                <w:color w:val="000000"/>
                <w:sz w:val="28"/>
                <w:szCs w:val="28"/>
                <w:rtl/>
                <w:lang w:bidi="ar-EG"/>
              </w:rPr>
              <w:t>ال</w:t>
            </w:r>
            <w:r w:rsidRPr="006D69DC">
              <w:rPr>
                <w:rFonts w:ascii="Arabic Typesetting" w:hAnsi="Arabic Typesetting" w:cs="Arabic Typesetting"/>
                <w:color w:val="000000"/>
                <w:sz w:val="28"/>
                <w:szCs w:val="28"/>
                <w:rtl/>
                <w:lang w:bidi="ar-EG"/>
              </w:rPr>
              <w:t>منظمة</w:t>
            </w:r>
            <w:r w:rsidRPr="006D69DC">
              <w:rPr>
                <w:rFonts w:ascii="Arabic Typesetting" w:hAnsi="Arabic Typesetting" w:cs="Arabic Typesetting" w:hint="cs"/>
                <w:color w:val="000000"/>
                <w:sz w:val="28"/>
                <w:szCs w:val="28"/>
                <w:rtl/>
                <w:lang w:bidi="ar-EG"/>
              </w:rPr>
              <w:t xml:space="preserve"> برمتها</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46,000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0%</w:t>
            </w:r>
          </w:p>
        </w:tc>
        <w:tc>
          <w:tcPr>
            <w:tcW w:w="856" w:type="pct"/>
            <w:vAlign w:val="center"/>
          </w:tcPr>
          <w:p w:rsidR="006E6296" w:rsidRPr="00970583" w:rsidRDefault="006E6296" w:rsidP="006E6296">
            <w:pPr>
              <w:keepNext/>
              <w:keepLines/>
              <w:autoSpaceDE w:val="0"/>
              <w:autoSpaceDN w:val="0"/>
              <w:adjustRightInd w:val="0"/>
              <w:spacing w:after="40"/>
              <w:jc w:val="center"/>
              <w:rPr>
                <w:sz w:val="16"/>
                <w:szCs w:val="16"/>
              </w:rPr>
            </w:pPr>
            <w:r>
              <w:rPr>
                <w:sz w:val="16"/>
                <w:szCs w:val="16"/>
              </w:rPr>
              <w:t>-</w:t>
            </w:r>
          </w:p>
        </w:tc>
      </w:tr>
      <w:tr w:rsidR="006E6296" w:rsidRPr="006D69DC" w:rsidTr="006E6296">
        <w:trPr>
          <w:trHeight w:val="389"/>
        </w:trPr>
        <w:tc>
          <w:tcPr>
            <w:tcW w:w="1575" w:type="pct"/>
            <w:shd w:val="clear" w:color="auto" w:fill="C6D9F1"/>
            <w:vAlign w:val="center"/>
          </w:tcPr>
          <w:p w:rsidR="006E6296" w:rsidRPr="006D69DC" w:rsidRDefault="006E6296" w:rsidP="006E6296">
            <w:pPr>
              <w:keepNext/>
              <w:keepLines/>
              <w:autoSpaceDE w:val="0"/>
              <w:autoSpaceDN w:val="0"/>
              <w:bidi/>
              <w:adjustRightInd w:val="0"/>
              <w:spacing w:before="40" w:after="40" w:line="260" w:lineRule="exact"/>
              <w:rPr>
                <w:rFonts w:ascii="Arabic Typesetting" w:hAnsi="Arabic Typesetting" w:cs="Arabic Typesetting"/>
                <w:b/>
                <w:bCs/>
                <w:sz w:val="28"/>
                <w:szCs w:val="28"/>
                <w:rtl/>
                <w:lang w:bidi="ar-EG"/>
              </w:rPr>
            </w:pPr>
            <w:r w:rsidRPr="006D69DC">
              <w:rPr>
                <w:rFonts w:ascii="Arabic Typesetting" w:hAnsi="Arabic Typesetting" w:cs="Arabic Typesetting"/>
                <w:b/>
                <w:bCs/>
                <w:sz w:val="28"/>
                <w:szCs w:val="28"/>
                <w:rtl/>
                <w:lang w:bidi="ar-EG"/>
              </w:rPr>
              <w:t>المجموع</w:t>
            </w:r>
          </w:p>
        </w:tc>
        <w:tc>
          <w:tcPr>
            <w:tcW w:w="856" w:type="pct"/>
            <w:shd w:val="clear" w:color="auto" w:fill="C6D9F1"/>
            <w:vAlign w:val="center"/>
          </w:tcPr>
          <w:p w:rsidR="006E6296" w:rsidRPr="00970583" w:rsidRDefault="006E6296" w:rsidP="006E6296">
            <w:pPr>
              <w:keepNext/>
              <w:keepLines/>
              <w:autoSpaceDE w:val="0"/>
              <w:autoSpaceDN w:val="0"/>
              <w:adjustRightInd w:val="0"/>
              <w:spacing w:after="40"/>
              <w:jc w:val="center"/>
              <w:rPr>
                <w:b/>
                <w:sz w:val="16"/>
                <w:szCs w:val="16"/>
              </w:rPr>
            </w:pPr>
            <w:r>
              <w:rPr>
                <w:b/>
                <w:sz w:val="16"/>
                <w:szCs w:val="16"/>
              </w:rPr>
              <w:t>2,068,000</w:t>
            </w:r>
          </w:p>
        </w:tc>
        <w:tc>
          <w:tcPr>
            <w:tcW w:w="856" w:type="pct"/>
            <w:shd w:val="clear" w:color="auto" w:fill="C6D9F1"/>
            <w:vAlign w:val="center"/>
          </w:tcPr>
          <w:p w:rsidR="006E6296" w:rsidRPr="00970583" w:rsidRDefault="006E6296" w:rsidP="006E6296">
            <w:pPr>
              <w:keepNext/>
              <w:keepLines/>
              <w:autoSpaceDE w:val="0"/>
              <w:autoSpaceDN w:val="0"/>
              <w:adjustRightInd w:val="0"/>
              <w:spacing w:after="40"/>
              <w:jc w:val="center"/>
              <w:rPr>
                <w:b/>
                <w:sz w:val="16"/>
                <w:szCs w:val="16"/>
              </w:rPr>
            </w:pPr>
            <w:r>
              <w:rPr>
                <w:b/>
                <w:sz w:val="16"/>
                <w:szCs w:val="16"/>
              </w:rPr>
              <w:t>75,170</w:t>
            </w:r>
          </w:p>
        </w:tc>
        <w:tc>
          <w:tcPr>
            <w:tcW w:w="856" w:type="pct"/>
            <w:shd w:val="clear" w:color="auto" w:fill="C6D9F1"/>
          </w:tcPr>
          <w:p w:rsidR="006E6296" w:rsidRPr="00970583" w:rsidRDefault="006E6296" w:rsidP="006E6296">
            <w:pPr>
              <w:keepNext/>
              <w:keepLines/>
              <w:autoSpaceDE w:val="0"/>
              <w:autoSpaceDN w:val="0"/>
              <w:adjustRightInd w:val="0"/>
              <w:spacing w:after="40"/>
              <w:jc w:val="center"/>
              <w:rPr>
                <w:b/>
                <w:sz w:val="16"/>
                <w:szCs w:val="16"/>
              </w:rPr>
            </w:pPr>
          </w:p>
        </w:tc>
        <w:tc>
          <w:tcPr>
            <w:tcW w:w="856" w:type="pct"/>
            <w:shd w:val="clear" w:color="auto" w:fill="C6D9F1"/>
          </w:tcPr>
          <w:p w:rsidR="006E6296" w:rsidRPr="00970583" w:rsidRDefault="006E6296" w:rsidP="006E6296">
            <w:pPr>
              <w:keepNext/>
              <w:keepLines/>
              <w:autoSpaceDE w:val="0"/>
              <w:autoSpaceDN w:val="0"/>
              <w:adjustRightInd w:val="0"/>
              <w:spacing w:after="40"/>
              <w:jc w:val="center"/>
              <w:rPr>
                <w:b/>
                <w:sz w:val="16"/>
                <w:szCs w:val="16"/>
              </w:rPr>
            </w:pPr>
          </w:p>
        </w:tc>
      </w:tr>
    </w:tbl>
    <w:p w:rsidR="006D69DC" w:rsidRPr="006D69DC" w:rsidRDefault="006D69DC" w:rsidP="007A4FF9">
      <w:pPr>
        <w:keepNext/>
        <w:bidi/>
        <w:spacing w:before="120" w:line="340" w:lineRule="exact"/>
        <w:jc w:val="center"/>
        <w:rPr>
          <w:rFonts w:ascii="Arabic Typesetting" w:hAnsi="Arabic Typesetting" w:cs="Arabic Typesetting"/>
          <w:bCs/>
          <w:sz w:val="34"/>
          <w:szCs w:val="34"/>
          <w:rtl/>
          <w:lang w:val="fr-CH"/>
        </w:rPr>
      </w:pPr>
      <w:r w:rsidRPr="006D69DC">
        <w:rPr>
          <w:rFonts w:ascii="Arabic Typesetting" w:hAnsi="Arabic Typesetting" w:cs="Arabic Typesetting"/>
          <w:bCs/>
          <w:sz w:val="34"/>
          <w:szCs w:val="34"/>
          <w:rtl/>
          <w:lang w:val="fr-CH"/>
        </w:rPr>
        <w:t>استخدام ميزانية المشروع (حسب فئة التكلفة)</w:t>
      </w:r>
    </w:p>
    <w:p w:rsidR="006D69DC" w:rsidRPr="006D69DC" w:rsidRDefault="006D69DC" w:rsidP="006D69DC">
      <w:pPr>
        <w:keepNext/>
        <w:bidi/>
        <w:spacing w:after="120" w:line="340" w:lineRule="exact"/>
        <w:jc w:val="center"/>
        <w:rPr>
          <w:rFonts w:ascii="Arabic Typesetting" w:hAnsi="Arabic Typesetting" w:cs="Arabic Typesetting"/>
          <w:i/>
          <w:iCs/>
          <w:sz w:val="34"/>
          <w:szCs w:val="34"/>
          <w:lang w:val="fr-CH"/>
        </w:rPr>
      </w:pPr>
      <w:r w:rsidRPr="006D69DC">
        <w:rPr>
          <w:rFonts w:ascii="Arabic Typesetting" w:hAnsi="Arabic Typesetting" w:cs="Arabic Typesetting"/>
          <w:i/>
          <w:iCs/>
          <w:sz w:val="34"/>
          <w:szCs w:val="34"/>
          <w:rtl/>
          <w:lang w:val="fr-CH"/>
        </w:rPr>
        <w:t xml:space="preserve">(بالفرنك السويسري، في 31 ديسمبر </w:t>
      </w:r>
      <w:r w:rsidRPr="006D69DC">
        <w:rPr>
          <w:rFonts w:ascii="Arabic Typesetting" w:hAnsi="Arabic Typesetting" w:cs="Arabic Typesetting" w:hint="cs"/>
          <w:i/>
          <w:iCs/>
          <w:sz w:val="34"/>
          <w:szCs w:val="34"/>
          <w:rtl/>
          <w:lang w:val="fr-CH"/>
        </w:rPr>
        <w:t>2015</w:t>
      </w:r>
      <w:r w:rsidRPr="006D69DC">
        <w:rPr>
          <w:rFonts w:ascii="Arabic Typesetting" w:hAnsi="Arabic Typesetting" w:cs="Arabic Typesetting"/>
          <w:i/>
          <w:iCs/>
          <w:sz w:val="34"/>
          <w:szCs w:val="34"/>
          <w:rtl/>
          <w:lang w:val="fr-CH"/>
        </w:rPr>
        <w:t>)</w:t>
      </w:r>
    </w:p>
    <w:tbl>
      <w:tblPr>
        <w:bidiVisual/>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36"/>
        <w:gridCol w:w="1841"/>
        <w:gridCol w:w="1839"/>
        <w:gridCol w:w="2139"/>
      </w:tblGrid>
      <w:tr w:rsidR="006D69DC" w:rsidRPr="006D69DC" w:rsidTr="001D7014">
        <w:trPr>
          <w:trHeight w:val="569"/>
        </w:trPr>
        <w:tc>
          <w:tcPr>
            <w:tcW w:w="1890"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فئة التكلفة</w:t>
            </w:r>
          </w:p>
        </w:tc>
        <w:tc>
          <w:tcPr>
            <w:tcW w:w="984"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ميزانية المشروع</w:t>
            </w:r>
          </w:p>
        </w:tc>
        <w:tc>
          <w:tcPr>
            <w:tcW w:w="983"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النفقات الفعلية حتى تاريخه</w:t>
            </w:r>
            <w:r w:rsidRPr="006D69DC">
              <w:rPr>
                <w:rFonts w:ascii="Arabic Typesetting" w:hAnsi="Arabic Typesetting" w:cs="Arabic Typesetting"/>
                <w:b/>
                <w:sz w:val="28"/>
                <w:szCs w:val="28"/>
              </w:rPr>
              <w:t xml:space="preserve"> </w:t>
            </w:r>
          </w:p>
        </w:tc>
        <w:tc>
          <w:tcPr>
            <w:tcW w:w="1143"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r>
      <w:tr w:rsidR="006E6296" w:rsidRPr="006D69DC" w:rsidTr="001D7014">
        <w:tc>
          <w:tcPr>
            <w:tcW w:w="1890" w:type="pct"/>
            <w:vAlign w:val="center"/>
          </w:tcPr>
          <w:p w:rsidR="006E6296" w:rsidRPr="006D69DC" w:rsidRDefault="006E6296"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hint="cs"/>
                <w:sz w:val="28"/>
                <w:szCs w:val="28"/>
                <w:rtl/>
                <w:lang w:bidi="ar-EG"/>
              </w:rPr>
              <w:t>الخدمات التعاقدية الفردية</w:t>
            </w:r>
          </w:p>
        </w:tc>
        <w:tc>
          <w:tcPr>
            <w:tcW w:w="984" w:type="pct"/>
            <w:vAlign w:val="center"/>
          </w:tcPr>
          <w:p w:rsidR="006E6296" w:rsidRPr="00800070" w:rsidRDefault="006E6296" w:rsidP="006E6296">
            <w:pPr>
              <w:autoSpaceDE w:val="0"/>
              <w:autoSpaceDN w:val="0"/>
              <w:adjustRightInd w:val="0"/>
              <w:spacing w:before="40" w:after="40" w:line="260" w:lineRule="exact"/>
              <w:jc w:val="center"/>
              <w:rPr>
                <w:sz w:val="16"/>
                <w:szCs w:val="16"/>
              </w:rPr>
            </w:pPr>
            <w:r>
              <w:rPr>
                <w:sz w:val="16"/>
                <w:szCs w:val="16"/>
              </w:rPr>
              <w:t>400,000</w:t>
            </w:r>
          </w:p>
        </w:tc>
        <w:tc>
          <w:tcPr>
            <w:tcW w:w="983" w:type="pct"/>
            <w:vAlign w:val="center"/>
          </w:tcPr>
          <w:p w:rsidR="006E6296" w:rsidRPr="00800070" w:rsidRDefault="006E6296" w:rsidP="006E6296">
            <w:pPr>
              <w:autoSpaceDE w:val="0"/>
              <w:autoSpaceDN w:val="0"/>
              <w:adjustRightInd w:val="0"/>
              <w:spacing w:before="40" w:after="40" w:line="260" w:lineRule="exact"/>
              <w:jc w:val="center"/>
              <w:rPr>
                <w:sz w:val="16"/>
                <w:szCs w:val="16"/>
              </w:rPr>
            </w:pPr>
            <w:r>
              <w:rPr>
                <w:sz w:val="16"/>
                <w:szCs w:val="16"/>
              </w:rPr>
              <w:t>36,000</w:t>
            </w:r>
          </w:p>
        </w:tc>
        <w:tc>
          <w:tcPr>
            <w:tcW w:w="1143" w:type="pct"/>
            <w:vAlign w:val="center"/>
          </w:tcPr>
          <w:p w:rsidR="006E6296" w:rsidRPr="00800070" w:rsidRDefault="006E6296" w:rsidP="006E6296">
            <w:pPr>
              <w:autoSpaceDE w:val="0"/>
              <w:autoSpaceDN w:val="0"/>
              <w:adjustRightInd w:val="0"/>
              <w:spacing w:before="40" w:after="40" w:line="260" w:lineRule="exact"/>
              <w:jc w:val="center"/>
              <w:rPr>
                <w:sz w:val="16"/>
                <w:szCs w:val="16"/>
              </w:rPr>
            </w:pPr>
            <w:r>
              <w:rPr>
                <w:sz w:val="16"/>
                <w:szCs w:val="16"/>
              </w:rPr>
              <w:t>9%</w:t>
            </w:r>
          </w:p>
        </w:tc>
      </w:tr>
      <w:tr w:rsidR="006E6296" w:rsidRPr="006D69DC" w:rsidTr="006E6296">
        <w:tc>
          <w:tcPr>
            <w:tcW w:w="1890" w:type="pct"/>
            <w:vAlign w:val="center"/>
          </w:tcPr>
          <w:p w:rsidR="006E6296" w:rsidRPr="006D69DC" w:rsidRDefault="006E6296"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الخدمات التعاقدية</w:t>
            </w:r>
          </w:p>
        </w:tc>
        <w:tc>
          <w:tcPr>
            <w:tcW w:w="984" w:type="pct"/>
            <w:vAlign w:val="center"/>
          </w:tcPr>
          <w:p w:rsidR="006E6296" w:rsidRPr="00800070" w:rsidRDefault="006E6296" w:rsidP="006E6296">
            <w:pPr>
              <w:autoSpaceDE w:val="0"/>
              <w:autoSpaceDN w:val="0"/>
              <w:adjustRightInd w:val="0"/>
              <w:spacing w:before="40" w:after="40" w:line="260" w:lineRule="exact"/>
              <w:jc w:val="center"/>
              <w:rPr>
                <w:sz w:val="16"/>
                <w:szCs w:val="16"/>
              </w:rPr>
            </w:pPr>
            <w:r>
              <w:rPr>
                <w:sz w:val="16"/>
                <w:szCs w:val="16"/>
              </w:rPr>
              <w:t>690,000</w:t>
            </w:r>
          </w:p>
        </w:tc>
        <w:tc>
          <w:tcPr>
            <w:tcW w:w="983" w:type="pct"/>
            <w:vAlign w:val="center"/>
          </w:tcPr>
          <w:p w:rsidR="006E6296" w:rsidRPr="00800070" w:rsidRDefault="006E6296" w:rsidP="006E6296">
            <w:pPr>
              <w:jc w:val="center"/>
              <w:rPr>
                <w:sz w:val="16"/>
                <w:szCs w:val="16"/>
              </w:rPr>
            </w:pPr>
            <w:r>
              <w:rPr>
                <w:sz w:val="16"/>
                <w:szCs w:val="16"/>
              </w:rPr>
              <w:t>39,170</w:t>
            </w:r>
          </w:p>
        </w:tc>
        <w:tc>
          <w:tcPr>
            <w:tcW w:w="1143" w:type="pct"/>
            <w:vAlign w:val="center"/>
          </w:tcPr>
          <w:p w:rsidR="006E6296" w:rsidRPr="00800070" w:rsidRDefault="006E6296" w:rsidP="006E6296">
            <w:pPr>
              <w:jc w:val="center"/>
              <w:rPr>
                <w:sz w:val="16"/>
                <w:szCs w:val="16"/>
              </w:rPr>
            </w:pPr>
            <w:r>
              <w:rPr>
                <w:sz w:val="16"/>
                <w:szCs w:val="16"/>
              </w:rPr>
              <w:t>6%</w:t>
            </w:r>
          </w:p>
        </w:tc>
      </w:tr>
      <w:tr w:rsidR="006E6296" w:rsidRPr="006D69DC" w:rsidTr="006E6296">
        <w:tc>
          <w:tcPr>
            <w:tcW w:w="1890" w:type="pct"/>
            <w:vAlign w:val="center"/>
          </w:tcPr>
          <w:p w:rsidR="006E6296" w:rsidRPr="006D69DC" w:rsidRDefault="006E6296" w:rsidP="006D69DC">
            <w:pPr>
              <w:autoSpaceDE w:val="0"/>
              <w:autoSpaceDN w:val="0"/>
              <w:bidi/>
              <w:adjustRightInd w:val="0"/>
              <w:spacing w:before="40" w:after="40" w:line="260" w:lineRule="exact"/>
              <w:rPr>
                <w:rFonts w:ascii="Arabic Typesetting" w:hAnsi="Arabic Typesetting" w:cs="Arabic Typesetting"/>
                <w:color w:val="000000"/>
                <w:sz w:val="28"/>
                <w:szCs w:val="28"/>
                <w:rtl/>
              </w:rPr>
            </w:pPr>
            <w:r w:rsidRPr="006D69DC">
              <w:rPr>
                <w:rFonts w:ascii="Arabic Typesetting" w:hAnsi="Arabic Typesetting" w:cs="Arabic Typesetting" w:hint="cs"/>
                <w:color w:val="000000"/>
                <w:sz w:val="28"/>
                <w:szCs w:val="28"/>
                <w:rtl/>
                <w:lang w:bidi="ar-EG"/>
              </w:rPr>
              <w:t xml:space="preserve">البرنامج الحاسوبي </w:t>
            </w:r>
            <w:proofErr w:type="spellStart"/>
            <w:r w:rsidRPr="006D69DC">
              <w:rPr>
                <w:rFonts w:ascii="Arabic Typesetting" w:hAnsi="Arabic Typesetting" w:cs="Arabic Typesetting"/>
                <w:color w:val="000000"/>
                <w:sz w:val="28"/>
                <w:szCs w:val="28"/>
                <w:lang w:bidi="ar-EG"/>
              </w:rPr>
              <w:t>OpenText</w:t>
            </w:r>
            <w:proofErr w:type="spellEnd"/>
            <w:r w:rsidRPr="006D69DC">
              <w:rPr>
                <w:rFonts w:ascii="Arabic Typesetting" w:hAnsi="Arabic Typesetting" w:cs="Arabic Typesetting" w:hint="cs"/>
                <w:color w:val="000000"/>
                <w:sz w:val="28"/>
                <w:szCs w:val="28"/>
                <w:rtl/>
              </w:rPr>
              <w:t xml:space="preserve"> (رسوم الصيانة)</w:t>
            </w:r>
          </w:p>
        </w:tc>
        <w:tc>
          <w:tcPr>
            <w:tcW w:w="984" w:type="pct"/>
            <w:vAlign w:val="center"/>
          </w:tcPr>
          <w:p w:rsidR="006E6296" w:rsidRPr="00800070" w:rsidRDefault="006E6296" w:rsidP="006E6296">
            <w:pPr>
              <w:autoSpaceDE w:val="0"/>
              <w:autoSpaceDN w:val="0"/>
              <w:adjustRightInd w:val="0"/>
              <w:spacing w:before="40" w:after="40" w:line="260" w:lineRule="exact"/>
              <w:jc w:val="center"/>
              <w:rPr>
                <w:sz w:val="16"/>
                <w:szCs w:val="16"/>
              </w:rPr>
            </w:pPr>
            <w:r>
              <w:rPr>
                <w:sz w:val="16"/>
                <w:szCs w:val="16"/>
              </w:rPr>
              <w:t>514,000</w:t>
            </w:r>
          </w:p>
        </w:tc>
        <w:tc>
          <w:tcPr>
            <w:tcW w:w="983" w:type="pct"/>
            <w:vAlign w:val="center"/>
          </w:tcPr>
          <w:p w:rsidR="006E6296" w:rsidRPr="00800070" w:rsidRDefault="006E6296" w:rsidP="006E6296">
            <w:pPr>
              <w:jc w:val="center"/>
              <w:rPr>
                <w:sz w:val="16"/>
                <w:szCs w:val="16"/>
              </w:rPr>
            </w:pPr>
            <w:r>
              <w:rPr>
                <w:sz w:val="16"/>
                <w:szCs w:val="16"/>
              </w:rPr>
              <w:t>0</w:t>
            </w:r>
          </w:p>
        </w:tc>
        <w:tc>
          <w:tcPr>
            <w:tcW w:w="1143" w:type="pct"/>
            <w:vAlign w:val="center"/>
          </w:tcPr>
          <w:p w:rsidR="006E6296" w:rsidRPr="00800070" w:rsidRDefault="006E6296" w:rsidP="006E6296">
            <w:pPr>
              <w:jc w:val="center"/>
              <w:rPr>
                <w:sz w:val="16"/>
                <w:szCs w:val="16"/>
              </w:rPr>
            </w:pPr>
            <w:r>
              <w:rPr>
                <w:sz w:val="16"/>
                <w:szCs w:val="16"/>
              </w:rPr>
              <w:t>0%</w:t>
            </w:r>
          </w:p>
        </w:tc>
      </w:tr>
      <w:tr w:rsidR="006E6296" w:rsidRPr="006D69DC" w:rsidTr="006E6296">
        <w:tc>
          <w:tcPr>
            <w:tcW w:w="1890" w:type="pct"/>
            <w:vAlign w:val="center"/>
          </w:tcPr>
          <w:p w:rsidR="006E6296" w:rsidRPr="006D69DC" w:rsidRDefault="006E6296" w:rsidP="006D69DC">
            <w:pPr>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hint="cs"/>
                <w:color w:val="000000"/>
                <w:sz w:val="28"/>
                <w:szCs w:val="28"/>
                <w:rtl/>
                <w:lang w:bidi="ar-EG"/>
              </w:rPr>
              <w:t>الاستضافة (مركز الأمم المتحدة للحساب الإلكتروني)</w:t>
            </w:r>
          </w:p>
        </w:tc>
        <w:tc>
          <w:tcPr>
            <w:tcW w:w="984" w:type="pct"/>
            <w:vAlign w:val="center"/>
          </w:tcPr>
          <w:p w:rsidR="006E6296" w:rsidRPr="00800070" w:rsidRDefault="006E6296" w:rsidP="006E6296">
            <w:pPr>
              <w:autoSpaceDE w:val="0"/>
              <w:autoSpaceDN w:val="0"/>
              <w:adjustRightInd w:val="0"/>
              <w:spacing w:before="40" w:after="40" w:line="260" w:lineRule="exact"/>
              <w:jc w:val="center"/>
              <w:rPr>
                <w:sz w:val="16"/>
                <w:szCs w:val="16"/>
              </w:rPr>
            </w:pPr>
            <w:r>
              <w:rPr>
                <w:sz w:val="16"/>
                <w:szCs w:val="16"/>
              </w:rPr>
              <w:t>144,000</w:t>
            </w:r>
          </w:p>
        </w:tc>
        <w:tc>
          <w:tcPr>
            <w:tcW w:w="983" w:type="pct"/>
            <w:vAlign w:val="center"/>
          </w:tcPr>
          <w:p w:rsidR="006E6296" w:rsidRPr="00800070" w:rsidRDefault="006E6296" w:rsidP="006E6296">
            <w:pPr>
              <w:jc w:val="center"/>
              <w:rPr>
                <w:sz w:val="16"/>
                <w:szCs w:val="16"/>
              </w:rPr>
            </w:pPr>
            <w:r>
              <w:rPr>
                <w:sz w:val="16"/>
                <w:szCs w:val="16"/>
              </w:rPr>
              <w:t>0</w:t>
            </w:r>
          </w:p>
        </w:tc>
        <w:tc>
          <w:tcPr>
            <w:tcW w:w="1143" w:type="pct"/>
            <w:vAlign w:val="center"/>
          </w:tcPr>
          <w:p w:rsidR="006E6296" w:rsidRPr="00800070" w:rsidRDefault="006E6296" w:rsidP="006E6296">
            <w:pPr>
              <w:jc w:val="center"/>
              <w:rPr>
                <w:sz w:val="16"/>
                <w:szCs w:val="16"/>
              </w:rPr>
            </w:pPr>
            <w:r>
              <w:rPr>
                <w:sz w:val="16"/>
                <w:szCs w:val="16"/>
              </w:rPr>
              <w:t>0%</w:t>
            </w:r>
          </w:p>
        </w:tc>
      </w:tr>
      <w:tr w:rsidR="006E6296" w:rsidRPr="006D69DC" w:rsidTr="006E6296">
        <w:tc>
          <w:tcPr>
            <w:tcW w:w="1890" w:type="pct"/>
            <w:vAlign w:val="center"/>
          </w:tcPr>
          <w:p w:rsidR="006E6296" w:rsidRPr="006D69DC" w:rsidRDefault="006E6296" w:rsidP="006D69DC">
            <w:pPr>
              <w:autoSpaceDE w:val="0"/>
              <w:autoSpaceDN w:val="0"/>
              <w:bidi/>
              <w:adjustRightInd w:val="0"/>
              <w:spacing w:before="40" w:after="40" w:line="26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color w:val="000000"/>
                <w:sz w:val="28"/>
                <w:szCs w:val="28"/>
                <w:rtl/>
                <w:lang w:bidi="ar-EG"/>
              </w:rPr>
              <w:t>الأمور النثرية وغير المتوقعة</w:t>
            </w:r>
          </w:p>
        </w:tc>
        <w:tc>
          <w:tcPr>
            <w:tcW w:w="984" w:type="pct"/>
            <w:vAlign w:val="center"/>
          </w:tcPr>
          <w:p w:rsidR="006E6296" w:rsidRPr="00800070" w:rsidRDefault="006E6296" w:rsidP="006E6296">
            <w:pPr>
              <w:autoSpaceDE w:val="0"/>
              <w:autoSpaceDN w:val="0"/>
              <w:adjustRightInd w:val="0"/>
              <w:spacing w:before="40" w:after="40" w:line="260" w:lineRule="exact"/>
              <w:jc w:val="center"/>
              <w:rPr>
                <w:sz w:val="16"/>
                <w:szCs w:val="16"/>
              </w:rPr>
            </w:pPr>
            <w:r>
              <w:rPr>
                <w:sz w:val="16"/>
                <w:szCs w:val="16"/>
              </w:rPr>
              <w:t>320,000</w:t>
            </w:r>
          </w:p>
        </w:tc>
        <w:tc>
          <w:tcPr>
            <w:tcW w:w="983" w:type="pct"/>
            <w:vAlign w:val="center"/>
          </w:tcPr>
          <w:p w:rsidR="006E6296" w:rsidRPr="00800070" w:rsidRDefault="006E6296" w:rsidP="006E6296">
            <w:pPr>
              <w:jc w:val="center"/>
              <w:rPr>
                <w:sz w:val="16"/>
                <w:szCs w:val="16"/>
              </w:rPr>
            </w:pPr>
            <w:r>
              <w:rPr>
                <w:sz w:val="16"/>
                <w:szCs w:val="16"/>
              </w:rPr>
              <w:t>0</w:t>
            </w:r>
          </w:p>
        </w:tc>
        <w:tc>
          <w:tcPr>
            <w:tcW w:w="1143" w:type="pct"/>
            <w:vAlign w:val="center"/>
          </w:tcPr>
          <w:p w:rsidR="006E6296" w:rsidRPr="00800070" w:rsidRDefault="006E6296" w:rsidP="006E6296">
            <w:pPr>
              <w:jc w:val="center"/>
              <w:rPr>
                <w:sz w:val="16"/>
                <w:szCs w:val="16"/>
              </w:rPr>
            </w:pPr>
            <w:r>
              <w:rPr>
                <w:sz w:val="16"/>
                <w:szCs w:val="16"/>
              </w:rPr>
              <w:t>0%</w:t>
            </w:r>
          </w:p>
        </w:tc>
      </w:tr>
      <w:tr w:rsidR="006E6296" w:rsidRPr="006D69DC" w:rsidTr="006E6296">
        <w:tc>
          <w:tcPr>
            <w:tcW w:w="1890" w:type="pct"/>
            <w:shd w:val="clear" w:color="auto" w:fill="C6D9F1"/>
            <w:vAlign w:val="center"/>
          </w:tcPr>
          <w:p w:rsidR="006E6296" w:rsidRPr="006D69DC" w:rsidRDefault="006E6296" w:rsidP="006D69DC">
            <w:pPr>
              <w:autoSpaceDE w:val="0"/>
              <w:autoSpaceDN w:val="0"/>
              <w:bidi/>
              <w:adjustRightInd w:val="0"/>
              <w:spacing w:before="40" w:after="40" w:line="260" w:lineRule="exact"/>
              <w:rPr>
                <w:rFonts w:ascii="Arabic Typesetting" w:hAnsi="Arabic Typesetting" w:cs="Arabic Typesetting"/>
                <w:bCs/>
                <w:sz w:val="28"/>
                <w:szCs w:val="28"/>
                <w:rtl/>
                <w:lang w:bidi="ar-EG"/>
              </w:rPr>
            </w:pPr>
            <w:r w:rsidRPr="006D69DC">
              <w:rPr>
                <w:rFonts w:ascii="Arabic Typesetting" w:hAnsi="Arabic Typesetting" w:cs="Arabic Typesetting"/>
                <w:bCs/>
                <w:sz w:val="28"/>
                <w:szCs w:val="28"/>
                <w:rtl/>
                <w:lang w:bidi="ar-EG"/>
              </w:rPr>
              <w:t>المجموع</w:t>
            </w:r>
          </w:p>
        </w:tc>
        <w:tc>
          <w:tcPr>
            <w:tcW w:w="984" w:type="pct"/>
            <w:shd w:val="clear" w:color="auto" w:fill="C6D9F1"/>
            <w:vAlign w:val="center"/>
          </w:tcPr>
          <w:p w:rsidR="006E6296" w:rsidRPr="00800070" w:rsidRDefault="006E6296" w:rsidP="006E6296">
            <w:pPr>
              <w:autoSpaceDE w:val="0"/>
              <w:autoSpaceDN w:val="0"/>
              <w:adjustRightInd w:val="0"/>
              <w:spacing w:before="40" w:after="40" w:line="260" w:lineRule="exact"/>
              <w:jc w:val="center"/>
              <w:rPr>
                <w:b/>
                <w:sz w:val="16"/>
                <w:szCs w:val="16"/>
              </w:rPr>
            </w:pPr>
            <w:r>
              <w:rPr>
                <w:b/>
                <w:sz w:val="16"/>
                <w:szCs w:val="16"/>
              </w:rPr>
              <w:t>2,068,000</w:t>
            </w:r>
          </w:p>
        </w:tc>
        <w:tc>
          <w:tcPr>
            <w:tcW w:w="983" w:type="pct"/>
            <w:shd w:val="clear" w:color="auto" w:fill="C6D9F1"/>
            <w:vAlign w:val="center"/>
          </w:tcPr>
          <w:p w:rsidR="006E6296" w:rsidRPr="00800070" w:rsidRDefault="006E6296" w:rsidP="006E6296">
            <w:pPr>
              <w:autoSpaceDE w:val="0"/>
              <w:autoSpaceDN w:val="0"/>
              <w:adjustRightInd w:val="0"/>
              <w:spacing w:before="40" w:after="40" w:line="260" w:lineRule="exact"/>
              <w:jc w:val="center"/>
              <w:rPr>
                <w:b/>
                <w:sz w:val="16"/>
                <w:szCs w:val="16"/>
              </w:rPr>
            </w:pPr>
            <w:r>
              <w:rPr>
                <w:b/>
                <w:sz w:val="16"/>
                <w:szCs w:val="16"/>
              </w:rPr>
              <w:t>75,170</w:t>
            </w:r>
          </w:p>
        </w:tc>
        <w:tc>
          <w:tcPr>
            <w:tcW w:w="1143" w:type="pct"/>
            <w:shd w:val="clear" w:color="auto" w:fill="C6D9F1"/>
          </w:tcPr>
          <w:p w:rsidR="006E6296" w:rsidRPr="00800070" w:rsidRDefault="006E6296" w:rsidP="006E6296">
            <w:pPr>
              <w:autoSpaceDE w:val="0"/>
              <w:autoSpaceDN w:val="0"/>
              <w:adjustRightInd w:val="0"/>
              <w:spacing w:before="40" w:after="40" w:line="260" w:lineRule="exact"/>
              <w:jc w:val="center"/>
              <w:rPr>
                <w:b/>
                <w:sz w:val="16"/>
                <w:szCs w:val="16"/>
              </w:rPr>
            </w:pPr>
          </w:p>
        </w:tc>
      </w:tr>
    </w:tbl>
    <w:p w:rsidR="006D69DC" w:rsidRPr="006D69DC" w:rsidRDefault="006D69DC" w:rsidP="006D69DC">
      <w:pPr>
        <w:keepNext/>
        <w:bidi/>
        <w:spacing w:before="120" w:after="120" w:line="340" w:lineRule="exact"/>
        <w:rPr>
          <w:rFonts w:ascii="Arabic Typesetting" w:hAnsi="Arabic Typesetting" w:cs="Arabic Typesetting"/>
          <w:sz w:val="34"/>
          <w:szCs w:val="34"/>
          <w:lang w:val="fr-CH"/>
        </w:rPr>
      </w:pPr>
      <w:r w:rsidRPr="006D69DC">
        <w:rPr>
          <w:rFonts w:ascii="Arabic Typesetting" w:hAnsi="Arabic Typesetting" w:cs="Arabic Typesetting"/>
          <w:sz w:val="34"/>
          <w:szCs w:val="34"/>
          <w:rtl/>
          <w:lang w:val="fr-CH"/>
        </w:rPr>
        <w:lastRenderedPageBreak/>
        <w:t>الجدول الزمني للمشروع حسب المعالم</w:t>
      </w:r>
    </w:p>
    <w:tbl>
      <w:tblPr>
        <w:bidiVisual/>
        <w:tblW w:w="9520" w:type="dxa"/>
        <w:jc w:val="center"/>
        <w:tblLayout w:type="fixed"/>
        <w:tblLook w:val="00A0" w:firstRow="1" w:lastRow="0" w:firstColumn="1" w:lastColumn="0" w:noHBand="0" w:noVBand="0"/>
      </w:tblPr>
      <w:tblGrid>
        <w:gridCol w:w="2067"/>
        <w:gridCol w:w="425"/>
        <w:gridCol w:w="425"/>
        <w:gridCol w:w="425"/>
        <w:gridCol w:w="418"/>
        <w:gridCol w:w="480"/>
        <w:gridCol w:w="480"/>
        <w:gridCol w:w="480"/>
        <w:gridCol w:w="480"/>
        <w:gridCol w:w="480"/>
        <w:gridCol w:w="480"/>
        <w:gridCol w:w="480"/>
        <w:gridCol w:w="480"/>
        <w:gridCol w:w="480"/>
        <w:gridCol w:w="480"/>
        <w:gridCol w:w="480"/>
        <w:gridCol w:w="480"/>
      </w:tblGrid>
      <w:tr w:rsidR="006D69DC" w:rsidRPr="006D69DC" w:rsidTr="001D7014">
        <w:trPr>
          <w:trHeight w:val="270"/>
          <w:jc w:val="center"/>
        </w:trPr>
        <w:tc>
          <w:tcPr>
            <w:tcW w:w="2067" w:type="dxa"/>
            <w:tcBorders>
              <w:top w:val="nil"/>
              <w:left w:val="nil"/>
              <w:bottom w:val="nil"/>
              <w:right w:val="nil"/>
            </w:tcBorders>
            <w:noWrap/>
            <w:vAlign w:val="bottom"/>
          </w:tcPr>
          <w:p w:rsidR="006D69DC" w:rsidRPr="006D69DC" w:rsidRDefault="006D69DC" w:rsidP="006E6296">
            <w:pPr>
              <w:keepNext/>
              <w:bidi/>
              <w:spacing w:line="300" w:lineRule="exact"/>
              <w:rPr>
                <w:rFonts w:ascii="Arabic Typesetting" w:hAnsi="Arabic Typesetting" w:cs="Arabic Typesetting"/>
                <w:color w:val="000000"/>
                <w:sz w:val="28"/>
                <w:szCs w:val="28"/>
              </w:rPr>
            </w:pPr>
          </w:p>
        </w:tc>
        <w:tc>
          <w:tcPr>
            <w:tcW w:w="1693" w:type="dxa"/>
            <w:gridSpan w:val="4"/>
            <w:tcBorders>
              <w:top w:val="single" w:sz="8" w:space="0" w:color="auto"/>
              <w:left w:val="single" w:sz="8" w:space="0" w:color="auto"/>
              <w:bottom w:val="single" w:sz="4" w:space="0" w:color="auto"/>
              <w:right w:val="single" w:sz="8" w:space="0" w:color="000000"/>
            </w:tcBorders>
            <w:shd w:val="clear" w:color="auto" w:fill="C6D9F1"/>
            <w:noWrap/>
            <w:vAlign w:val="bottom"/>
          </w:tcPr>
          <w:p w:rsidR="006D69DC" w:rsidRPr="006D69DC" w:rsidRDefault="006D69DC" w:rsidP="006E6296">
            <w:pPr>
              <w:keepNext/>
              <w:bidi/>
              <w:spacing w:line="300" w:lineRule="exact"/>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2014</w:t>
            </w:r>
          </w:p>
        </w:tc>
        <w:tc>
          <w:tcPr>
            <w:tcW w:w="1920" w:type="dxa"/>
            <w:gridSpan w:val="4"/>
            <w:tcBorders>
              <w:top w:val="single" w:sz="8" w:space="0" w:color="auto"/>
              <w:left w:val="nil"/>
              <w:bottom w:val="single" w:sz="4" w:space="0" w:color="auto"/>
              <w:right w:val="single" w:sz="8" w:space="0" w:color="000000"/>
            </w:tcBorders>
            <w:shd w:val="clear" w:color="auto" w:fill="C6D9F1"/>
            <w:noWrap/>
            <w:vAlign w:val="bottom"/>
          </w:tcPr>
          <w:p w:rsidR="006D69DC" w:rsidRPr="006D69DC" w:rsidRDefault="006D69DC" w:rsidP="006E6296">
            <w:pPr>
              <w:keepNext/>
              <w:bidi/>
              <w:spacing w:line="300" w:lineRule="exact"/>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2015</w:t>
            </w:r>
          </w:p>
        </w:tc>
        <w:tc>
          <w:tcPr>
            <w:tcW w:w="1920" w:type="dxa"/>
            <w:gridSpan w:val="4"/>
            <w:tcBorders>
              <w:top w:val="single" w:sz="8" w:space="0" w:color="auto"/>
              <w:left w:val="nil"/>
              <w:bottom w:val="single" w:sz="4" w:space="0" w:color="auto"/>
              <w:right w:val="single" w:sz="8" w:space="0" w:color="000000"/>
            </w:tcBorders>
            <w:shd w:val="clear" w:color="auto" w:fill="C6D9F1"/>
            <w:noWrap/>
            <w:vAlign w:val="bottom"/>
          </w:tcPr>
          <w:p w:rsidR="006D69DC" w:rsidRPr="006D69DC" w:rsidRDefault="006D69DC" w:rsidP="006E6296">
            <w:pPr>
              <w:keepNext/>
              <w:bidi/>
              <w:spacing w:line="300" w:lineRule="exact"/>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2016</w:t>
            </w:r>
          </w:p>
        </w:tc>
        <w:tc>
          <w:tcPr>
            <w:tcW w:w="1920" w:type="dxa"/>
            <w:gridSpan w:val="4"/>
            <w:tcBorders>
              <w:top w:val="single" w:sz="8" w:space="0" w:color="auto"/>
              <w:left w:val="nil"/>
              <w:bottom w:val="single" w:sz="4" w:space="0" w:color="auto"/>
              <w:right w:val="single" w:sz="8" w:space="0" w:color="000000"/>
            </w:tcBorders>
            <w:shd w:val="clear" w:color="auto" w:fill="C6D9F1"/>
            <w:noWrap/>
            <w:vAlign w:val="bottom"/>
          </w:tcPr>
          <w:p w:rsidR="006D69DC" w:rsidRPr="006D69DC" w:rsidRDefault="006D69DC" w:rsidP="006E6296">
            <w:pPr>
              <w:keepNext/>
              <w:bidi/>
              <w:spacing w:line="300" w:lineRule="exact"/>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2017</w:t>
            </w:r>
          </w:p>
        </w:tc>
      </w:tr>
      <w:tr w:rsidR="006D69DC" w:rsidRPr="006D69DC" w:rsidTr="001D7014">
        <w:trPr>
          <w:trHeight w:val="375"/>
          <w:jc w:val="center"/>
        </w:trPr>
        <w:tc>
          <w:tcPr>
            <w:tcW w:w="2067" w:type="dxa"/>
            <w:tcBorders>
              <w:top w:val="single" w:sz="8" w:space="0" w:color="auto"/>
              <w:left w:val="single" w:sz="8" w:space="0" w:color="auto"/>
              <w:bottom w:val="single" w:sz="4" w:space="0" w:color="auto"/>
              <w:right w:val="single" w:sz="8"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8"/>
                <w:szCs w:val="28"/>
                <w:rtl/>
              </w:rPr>
            </w:pPr>
            <w:r w:rsidRPr="006D69DC">
              <w:rPr>
                <w:rFonts w:ascii="Arabic Typesetting" w:hAnsi="Arabic Typesetting" w:cs="Arabic Typesetting"/>
                <w:bCs/>
                <w:color w:val="000000"/>
                <w:sz w:val="28"/>
                <w:szCs w:val="28"/>
                <w:rtl/>
                <w:lang w:bidi="ar-EG"/>
              </w:rPr>
              <w:t>المعالم الرئيسية</w:t>
            </w:r>
          </w:p>
        </w:tc>
        <w:tc>
          <w:tcPr>
            <w:tcW w:w="425"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ف1</w:t>
            </w:r>
          </w:p>
        </w:tc>
        <w:tc>
          <w:tcPr>
            <w:tcW w:w="425"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ف2</w:t>
            </w:r>
          </w:p>
        </w:tc>
        <w:tc>
          <w:tcPr>
            <w:tcW w:w="425"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ف3</w:t>
            </w:r>
          </w:p>
        </w:tc>
        <w:tc>
          <w:tcPr>
            <w:tcW w:w="418" w:type="dxa"/>
            <w:tcBorders>
              <w:top w:val="nil"/>
              <w:left w:val="nil"/>
              <w:bottom w:val="single" w:sz="4" w:space="0" w:color="auto"/>
              <w:right w:val="single" w:sz="8"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ف4</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ف1</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ف2</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ف3</w:t>
            </w:r>
          </w:p>
        </w:tc>
        <w:tc>
          <w:tcPr>
            <w:tcW w:w="480" w:type="dxa"/>
            <w:tcBorders>
              <w:top w:val="nil"/>
              <w:left w:val="nil"/>
              <w:bottom w:val="single" w:sz="4" w:space="0" w:color="auto"/>
              <w:right w:val="single" w:sz="8"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ف4</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ف1</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ف2</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ف3</w:t>
            </w:r>
          </w:p>
        </w:tc>
        <w:tc>
          <w:tcPr>
            <w:tcW w:w="480" w:type="dxa"/>
            <w:tcBorders>
              <w:top w:val="nil"/>
              <w:left w:val="nil"/>
              <w:bottom w:val="single" w:sz="4" w:space="0" w:color="auto"/>
              <w:right w:val="single" w:sz="8"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ف4</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ف1</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ف2</w:t>
            </w:r>
          </w:p>
        </w:tc>
        <w:tc>
          <w:tcPr>
            <w:tcW w:w="480" w:type="dxa"/>
            <w:tcBorders>
              <w:top w:val="nil"/>
              <w:left w:val="nil"/>
              <w:bottom w:val="single" w:sz="4" w:space="0" w:color="auto"/>
              <w:right w:val="single" w:sz="4"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ف3</w:t>
            </w:r>
          </w:p>
        </w:tc>
        <w:tc>
          <w:tcPr>
            <w:tcW w:w="480" w:type="dxa"/>
            <w:tcBorders>
              <w:top w:val="nil"/>
              <w:left w:val="nil"/>
              <w:bottom w:val="single" w:sz="4" w:space="0" w:color="auto"/>
              <w:right w:val="single" w:sz="8" w:space="0" w:color="auto"/>
            </w:tcBorders>
            <w:shd w:val="clear" w:color="auto" w:fill="C6D9F1"/>
            <w:noWrap/>
            <w:vAlign w:val="bottom"/>
          </w:tcPr>
          <w:p w:rsidR="006D69DC" w:rsidRPr="006D69DC" w:rsidRDefault="006D69DC" w:rsidP="006E6296">
            <w:pPr>
              <w:keepNext/>
              <w:bidi/>
              <w:spacing w:line="300" w:lineRule="exact"/>
              <w:rPr>
                <w:rFonts w:ascii="Arabic Typesetting" w:hAnsi="Arabic Typesetting" w:cs="Arabic Typesetting"/>
                <w:sz w:val="20"/>
                <w:rtl/>
                <w:lang w:bidi="ar-EG"/>
              </w:rPr>
            </w:pPr>
            <w:r w:rsidRPr="006D69DC">
              <w:rPr>
                <w:rFonts w:ascii="Arabic Typesetting" w:hAnsi="Arabic Typesetting" w:cs="Arabic Typesetting"/>
                <w:bCs/>
                <w:color w:val="000000"/>
                <w:sz w:val="20"/>
                <w:rtl/>
                <w:lang w:bidi="ar-EG"/>
              </w:rPr>
              <w:t>ف4</w:t>
            </w:r>
          </w:p>
        </w:tc>
      </w:tr>
      <w:tr w:rsidR="006E6296" w:rsidRPr="006D69DC" w:rsidTr="006E6296">
        <w:trPr>
          <w:trHeight w:val="323"/>
          <w:jc w:val="center"/>
        </w:trPr>
        <w:tc>
          <w:tcPr>
            <w:tcW w:w="2067" w:type="dxa"/>
            <w:tcBorders>
              <w:top w:val="nil"/>
              <w:left w:val="single" w:sz="8" w:space="0" w:color="auto"/>
              <w:bottom w:val="single" w:sz="4" w:space="0" w:color="auto"/>
              <w:right w:val="single" w:sz="8" w:space="0" w:color="auto"/>
            </w:tcBorders>
            <w:noWrap/>
            <w:vAlign w:val="bottom"/>
          </w:tcPr>
          <w:p w:rsidR="006E6296" w:rsidRPr="006D69DC" w:rsidRDefault="006E6296" w:rsidP="006E6296">
            <w:pPr>
              <w:keepNext/>
              <w:bidi/>
              <w:spacing w:line="300" w:lineRule="exact"/>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دراسة النهج وتطويره</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18"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r w:rsidRPr="007F4916">
              <w:rPr>
                <w:color w:val="000000"/>
                <w:sz w:val="16"/>
                <w:szCs w:val="16"/>
              </w:rPr>
              <w:t>X</w:t>
            </w: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86"/>
          <w:jc w:val="center"/>
        </w:trPr>
        <w:tc>
          <w:tcPr>
            <w:tcW w:w="2067" w:type="dxa"/>
            <w:tcBorders>
              <w:top w:val="nil"/>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اختيار تكنولوجيا إدارة المعلومات المؤسسية</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18"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nil"/>
              <w:left w:val="single" w:sz="8" w:space="0" w:color="auto"/>
              <w:bottom w:val="single" w:sz="4" w:space="0" w:color="auto"/>
              <w:right w:val="single" w:sz="8" w:space="0" w:color="auto"/>
            </w:tcBorders>
            <w:noWrap/>
            <w:vAlign w:val="bottom"/>
          </w:tcPr>
          <w:p w:rsidR="006E6296" w:rsidRPr="006D69DC" w:rsidRDefault="006E6296" w:rsidP="000B5473">
            <w:pPr>
              <w:bidi/>
              <w:spacing w:line="300" w:lineRule="exact"/>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إعادة تصميم منصة نظام السجلات والمحفوظات المؤسسية القائم وتحديث إصداره</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18"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341"/>
          <w:jc w:val="center"/>
        </w:trPr>
        <w:tc>
          <w:tcPr>
            <w:tcW w:w="2067" w:type="dxa"/>
            <w:tcBorders>
              <w:top w:val="nil"/>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color w:val="000000"/>
                <w:sz w:val="28"/>
                <w:szCs w:val="28"/>
                <w:rtl/>
                <w:lang w:bidi="ar-EG"/>
              </w:rPr>
              <w:t>إكمال مناقصة شريك التنفيذ</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18"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nil"/>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sz w:val="28"/>
                <w:szCs w:val="28"/>
                <w:rtl/>
              </w:rPr>
            </w:pPr>
            <w:r w:rsidRPr="006D69DC">
              <w:rPr>
                <w:rFonts w:ascii="Arabic Typesetting" w:hAnsi="Arabic Typesetting" w:cs="Arabic Typesetting"/>
                <w:color w:val="000000"/>
                <w:sz w:val="28"/>
                <w:szCs w:val="28"/>
                <w:rtl/>
                <w:lang w:bidi="ar-EG"/>
              </w:rPr>
              <w:t>قبول تكوين نظام القاعدة لإدارة المعلومات المؤسسية</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18"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r w:rsidRPr="007F4916">
              <w:rPr>
                <w:color w:val="000000"/>
                <w:sz w:val="16"/>
                <w:szCs w:val="16"/>
              </w:rPr>
              <w:t>X</w:t>
            </w: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nil"/>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 xml:space="preserve">قبول </w:t>
            </w:r>
            <w:r w:rsidRPr="006D69DC">
              <w:rPr>
                <w:rFonts w:ascii="Arabic Typesetting" w:hAnsi="Arabic Typesetting" w:cs="Arabic Typesetting" w:hint="cs"/>
                <w:color w:val="000000"/>
                <w:sz w:val="28"/>
                <w:szCs w:val="28"/>
                <w:rtl/>
                <w:lang w:bidi="ar-EG"/>
              </w:rPr>
              <w:t>ال</w:t>
            </w:r>
            <w:r w:rsidRPr="006D69DC">
              <w:rPr>
                <w:rFonts w:ascii="Arabic Typesetting" w:hAnsi="Arabic Typesetting" w:cs="Arabic Typesetting"/>
                <w:color w:val="000000"/>
                <w:sz w:val="28"/>
                <w:szCs w:val="28"/>
                <w:rtl/>
                <w:lang w:bidi="ar-EG"/>
              </w:rPr>
              <w:t xml:space="preserve">تكوين </w:t>
            </w:r>
            <w:r w:rsidRPr="006D69DC">
              <w:rPr>
                <w:rFonts w:ascii="Arabic Typesetting" w:hAnsi="Arabic Typesetting" w:cs="Arabic Typesetting" w:hint="cs"/>
                <w:color w:val="000000"/>
                <w:sz w:val="28"/>
                <w:szCs w:val="28"/>
                <w:rtl/>
                <w:lang w:bidi="ar-EG"/>
              </w:rPr>
              <w:t>المحسّن لنظام ال</w:t>
            </w:r>
            <w:r w:rsidRPr="006D69DC">
              <w:rPr>
                <w:rFonts w:ascii="Arabic Typesetting" w:hAnsi="Arabic Typesetting" w:cs="Arabic Typesetting"/>
                <w:color w:val="000000"/>
                <w:sz w:val="28"/>
                <w:szCs w:val="28"/>
                <w:rtl/>
                <w:lang w:bidi="ar-EG"/>
              </w:rPr>
              <w:t>سجلات والمحفوظات</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18"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nil"/>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color w:val="000000"/>
                <w:sz w:val="28"/>
                <w:szCs w:val="28"/>
                <w:rtl/>
                <w:lang w:bidi="ar-EG"/>
              </w:rPr>
              <w:t>تشغيل تكوين نظام إدارة المعلومات المؤسسية الخاص بتدفق أعمال الترجمة وتعقب حالتها</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18"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nil"/>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color w:val="000000"/>
                <w:sz w:val="28"/>
                <w:szCs w:val="28"/>
                <w:rtl/>
                <w:lang w:bidi="ar-EG"/>
              </w:rPr>
            </w:pPr>
            <w:r w:rsidRPr="006D69DC">
              <w:rPr>
                <w:rFonts w:ascii="Arabic Typesetting" w:hAnsi="Arabic Typesetting" w:cs="Arabic Typesetting"/>
                <w:color w:val="000000"/>
                <w:sz w:val="28"/>
                <w:szCs w:val="28"/>
                <w:rtl/>
                <w:lang w:bidi="ar-EG"/>
              </w:rPr>
              <w:t>تشغيل تكوين نظام إدارة المعلومات المؤسسية الخاص بالبريد الوارد إلى مكتب المدير العام</w:t>
            </w: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nil"/>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18"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nil"/>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single" w:sz="4" w:space="0" w:color="auto"/>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تشغيل تكوين نظام إدارة المعلومات المؤسسية الخاص بإدارة</w:t>
            </w:r>
            <w:r w:rsidRPr="006D69DC">
              <w:rPr>
                <w:rFonts w:ascii="Arabic Typesetting" w:hAnsi="Arabic Typesetting" w:cs="Arabic Typesetting" w:hint="cs"/>
                <w:color w:val="000000"/>
                <w:sz w:val="28"/>
                <w:szCs w:val="28"/>
                <w:rtl/>
                <w:lang w:bidi="ar-EG"/>
              </w:rPr>
              <w:t xml:space="preserve"> </w:t>
            </w:r>
            <w:r w:rsidRPr="006D69DC">
              <w:rPr>
                <w:rFonts w:ascii="Arabic Typesetting" w:hAnsi="Arabic Typesetting" w:cs="Arabic Typesetting"/>
                <w:color w:val="000000"/>
                <w:sz w:val="28"/>
                <w:szCs w:val="28"/>
                <w:rtl/>
                <w:lang w:bidi="ar-EG"/>
              </w:rPr>
              <w:t xml:space="preserve">البائعين </w:t>
            </w:r>
            <w:r w:rsidRPr="006D69DC">
              <w:rPr>
                <w:rFonts w:ascii="Arabic Typesetting" w:hAnsi="Arabic Typesetting" w:cs="Arabic Typesetting" w:hint="cs"/>
                <w:color w:val="000000"/>
                <w:sz w:val="28"/>
                <w:szCs w:val="28"/>
                <w:rtl/>
                <w:lang w:bidi="ar-EG"/>
              </w:rPr>
              <w:t>والعقود</w:t>
            </w: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r w:rsidRPr="007F4916">
              <w:rPr>
                <w:color w:val="000000"/>
                <w:sz w:val="16"/>
                <w:szCs w:val="16"/>
              </w:rPr>
              <w:t> </w:t>
            </w:r>
          </w:p>
        </w:tc>
        <w:tc>
          <w:tcPr>
            <w:tcW w:w="418"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single" w:sz="4" w:space="0" w:color="auto"/>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تشغيل تكوين نظام إدارة المعلومات المؤسسية الخاص بتقارير البعثات</w:t>
            </w: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18"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single" w:sz="4" w:space="0" w:color="auto"/>
              <w:left w:val="single" w:sz="8" w:space="0" w:color="auto"/>
              <w:bottom w:val="single" w:sz="4"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تشغيل تكوين نظام إدارة المعلومات المؤسسية الخاص بملفات الموظفين الإلكترونية</w:t>
            </w: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single" w:sz="4" w:space="0" w:color="auto"/>
              <w:left w:val="nil"/>
              <w:bottom w:val="single" w:sz="4" w:space="0" w:color="auto"/>
              <w:right w:val="single" w:sz="4" w:space="0" w:color="auto"/>
            </w:tcBorders>
            <w:noWrap/>
            <w:vAlign w:val="bottom"/>
          </w:tcPr>
          <w:p w:rsidR="006E6296" w:rsidRPr="007F4916" w:rsidRDefault="006E6296" w:rsidP="006E6296">
            <w:pPr>
              <w:rPr>
                <w:color w:val="000000"/>
                <w:sz w:val="16"/>
                <w:szCs w:val="16"/>
              </w:rPr>
            </w:pPr>
          </w:p>
        </w:tc>
        <w:tc>
          <w:tcPr>
            <w:tcW w:w="418"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4" w:space="0" w:color="auto"/>
              <w:right w:val="single" w:sz="4"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c>
          <w:tcPr>
            <w:tcW w:w="480" w:type="dxa"/>
            <w:tcBorders>
              <w:top w:val="single" w:sz="4" w:space="0" w:color="auto"/>
              <w:left w:val="nil"/>
              <w:bottom w:val="single" w:sz="4" w:space="0" w:color="auto"/>
              <w:right w:val="single" w:sz="8" w:space="0" w:color="auto"/>
            </w:tcBorders>
            <w:noWrap/>
            <w:vAlign w:val="center"/>
          </w:tcPr>
          <w:p w:rsidR="006E6296" w:rsidRPr="007F4916" w:rsidRDefault="006E6296" w:rsidP="006E6296">
            <w:pPr>
              <w:jc w:val="center"/>
              <w:rPr>
                <w:color w:val="000000"/>
                <w:sz w:val="16"/>
                <w:szCs w:val="16"/>
              </w:rPr>
            </w:pPr>
          </w:p>
        </w:tc>
      </w:tr>
      <w:tr w:rsidR="006E6296" w:rsidRPr="006D69DC" w:rsidTr="006E6296">
        <w:trPr>
          <w:trHeight w:val="615"/>
          <w:jc w:val="center"/>
        </w:trPr>
        <w:tc>
          <w:tcPr>
            <w:tcW w:w="2067" w:type="dxa"/>
            <w:tcBorders>
              <w:top w:val="single" w:sz="4" w:space="0" w:color="auto"/>
              <w:left w:val="single" w:sz="8" w:space="0" w:color="auto"/>
              <w:bottom w:val="single" w:sz="8" w:space="0" w:color="auto"/>
              <w:right w:val="single" w:sz="8" w:space="0" w:color="auto"/>
            </w:tcBorders>
            <w:noWrap/>
            <w:vAlign w:val="bottom"/>
          </w:tcPr>
          <w:p w:rsidR="006E6296" w:rsidRPr="006D69DC" w:rsidRDefault="006E6296" w:rsidP="006D69DC">
            <w:pPr>
              <w:bidi/>
              <w:spacing w:line="30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تشغيل تكوين نظام إدارة المعلومات المؤسسية على مستوى المنظمة</w:t>
            </w:r>
            <w:r w:rsidRPr="006D69DC">
              <w:rPr>
                <w:rFonts w:ascii="Arabic Typesetting" w:hAnsi="Arabic Typesetting" w:cs="Arabic Typesetting" w:hint="cs"/>
                <w:color w:val="000000"/>
                <w:sz w:val="28"/>
                <w:szCs w:val="28"/>
                <w:rtl/>
                <w:lang w:bidi="ar-EG"/>
              </w:rPr>
              <w:t xml:space="preserve"> برمتها</w:t>
            </w:r>
          </w:p>
        </w:tc>
        <w:tc>
          <w:tcPr>
            <w:tcW w:w="425" w:type="dxa"/>
            <w:tcBorders>
              <w:top w:val="single" w:sz="4" w:space="0" w:color="auto"/>
              <w:left w:val="nil"/>
              <w:bottom w:val="single" w:sz="8"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single" w:sz="4" w:space="0" w:color="auto"/>
              <w:left w:val="nil"/>
              <w:bottom w:val="single" w:sz="8" w:space="0" w:color="auto"/>
              <w:right w:val="single" w:sz="4" w:space="0" w:color="auto"/>
            </w:tcBorders>
            <w:noWrap/>
            <w:vAlign w:val="bottom"/>
          </w:tcPr>
          <w:p w:rsidR="006E6296" w:rsidRPr="007F4916" w:rsidRDefault="006E6296" w:rsidP="006E6296">
            <w:pPr>
              <w:rPr>
                <w:color w:val="000000"/>
                <w:sz w:val="16"/>
                <w:szCs w:val="16"/>
              </w:rPr>
            </w:pPr>
          </w:p>
        </w:tc>
        <w:tc>
          <w:tcPr>
            <w:tcW w:w="425" w:type="dxa"/>
            <w:tcBorders>
              <w:top w:val="single" w:sz="4" w:space="0" w:color="auto"/>
              <w:left w:val="nil"/>
              <w:bottom w:val="single" w:sz="8" w:space="0" w:color="auto"/>
              <w:right w:val="single" w:sz="4" w:space="0" w:color="auto"/>
            </w:tcBorders>
            <w:noWrap/>
            <w:vAlign w:val="bottom"/>
          </w:tcPr>
          <w:p w:rsidR="006E6296" w:rsidRPr="007F4916" w:rsidRDefault="006E6296" w:rsidP="006E6296">
            <w:pPr>
              <w:rPr>
                <w:color w:val="000000"/>
                <w:sz w:val="16"/>
                <w:szCs w:val="16"/>
              </w:rPr>
            </w:pPr>
          </w:p>
        </w:tc>
        <w:tc>
          <w:tcPr>
            <w:tcW w:w="418" w:type="dxa"/>
            <w:tcBorders>
              <w:top w:val="single" w:sz="4" w:space="0" w:color="auto"/>
              <w:left w:val="nil"/>
              <w:bottom w:val="single" w:sz="8"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8"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4" w:space="0" w:color="auto"/>
            </w:tcBorders>
            <w:noWrap/>
            <w:vAlign w:val="center"/>
          </w:tcPr>
          <w:p w:rsidR="006E6296" w:rsidRPr="007F4916" w:rsidRDefault="006E6296" w:rsidP="006E6296">
            <w:pPr>
              <w:jc w:val="center"/>
              <w:rPr>
                <w:color w:val="000000"/>
                <w:sz w:val="16"/>
                <w:szCs w:val="16"/>
              </w:rPr>
            </w:pPr>
          </w:p>
        </w:tc>
        <w:tc>
          <w:tcPr>
            <w:tcW w:w="480" w:type="dxa"/>
            <w:tcBorders>
              <w:top w:val="single" w:sz="4" w:space="0" w:color="auto"/>
              <w:left w:val="nil"/>
              <w:bottom w:val="single" w:sz="8" w:space="0" w:color="auto"/>
              <w:right w:val="single" w:sz="8" w:space="0" w:color="auto"/>
            </w:tcBorders>
            <w:noWrap/>
            <w:vAlign w:val="center"/>
          </w:tcPr>
          <w:p w:rsidR="006E6296" w:rsidRPr="007F4916" w:rsidRDefault="006E6296" w:rsidP="006E6296">
            <w:pPr>
              <w:jc w:val="center"/>
              <w:rPr>
                <w:color w:val="000000"/>
                <w:sz w:val="16"/>
                <w:szCs w:val="16"/>
              </w:rPr>
            </w:pPr>
            <w:r>
              <w:rPr>
                <w:color w:val="000000"/>
                <w:sz w:val="16"/>
                <w:szCs w:val="16"/>
              </w:rPr>
              <w:t>X</w:t>
            </w:r>
          </w:p>
        </w:tc>
      </w:tr>
    </w:tbl>
    <w:p w:rsidR="006D69DC" w:rsidRPr="00D66D09" w:rsidRDefault="006D69DC" w:rsidP="00D66D09">
      <w:pPr>
        <w:keepNext/>
        <w:pageBreakBefore/>
        <w:bidi/>
        <w:spacing w:after="120" w:line="340" w:lineRule="exact"/>
        <w:rPr>
          <w:rFonts w:ascii="Arabic Typesetting" w:hAnsi="Arabic Typesetting" w:cs="Arabic Typesetting"/>
          <w:bCs/>
          <w:sz w:val="34"/>
          <w:szCs w:val="34"/>
          <w:rtl/>
          <w:lang w:bidi="ar-EG"/>
        </w:rPr>
      </w:pPr>
      <w:r w:rsidRPr="00D66D09">
        <w:rPr>
          <w:rFonts w:ascii="Arabic Typesetting" w:hAnsi="Arabic Typesetting" w:cs="Arabic Typesetting"/>
          <w:bCs/>
          <w:sz w:val="34"/>
          <w:szCs w:val="34"/>
          <w:rtl/>
          <w:lang w:bidi="ar-EG"/>
        </w:rPr>
        <w:lastRenderedPageBreak/>
        <w:t>المشروعات المتصلة بالمباني</w:t>
      </w:r>
    </w:p>
    <w:p w:rsidR="006D69DC" w:rsidRPr="00495D3F" w:rsidRDefault="006D69DC" w:rsidP="00495D3F">
      <w:pPr>
        <w:pStyle w:val="Heading4AR"/>
        <w:pageBreakBefore w:val="0"/>
        <w:spacing w:after="120"/>
        <w:ind w:left="0" w:firstLine="0"/>
        <w:rPr>
          <w:i/>
          <w:sz w:val="34"/>
          <w:szCs w:val="34"/>
        </w:rPr>
      </w:pPr>
      <w:bookmarkStart w:id="158" w:name="_Toc422829677"/>
      <w:bookmarkStart w:id="159" w:name="_Toc455393412"/>
      <w:r w:rsidRPr="00495D3F">
        <w:rPr>
          <w:rFonts w:hint="cs"/>
          <w:i/>
          <w:sz w:val="34"/>
          <w:szCs w:val="34"/>
          <w:rtl/>
        </w:rPr>
        <w:t>ال</w:t>
      </w:r>
      <w:r w:rsidRPr="00495D3F">
        <w:rPr>
          <w:i/>
          <w:sz w:val="34"/>
          <w:szCs w:val="34"/>
          <w:rtl/>
        </w:rPr>
        <w:t>مشروع</w:t>
      </w:r>
      <w:r w:rsidRPr="00495D3F">
        <w:rPr>
          <w:rFonts w:hint="cs"/>
          <w:i/>
          <w:sz w:val="34"/>
          <w:szCs w:val="34"/>
          <w:rtl/>
        </w:rPr>
        <w:t xml:space="preserve"> 3</w:t>
      </w:r>
      <w:r w:rsidRPr="00495D3F">
        <w:rPr>
          <w:i/>
          <w:sz w:val="34"/>
          <w:szCs w:val="34"/>
          <w:rtl/>
        </w:rPr>
        <w:t>: تجديد الواجهات وتجهيزات التبريد/التدفئة في مبنى البراءات (</w:t>
      </w:r>
      <w:r w:rsidRPr="00495D3F">
        <w:rPr>
          <w:i/>
          <w:sz w:val="34"/>
          <w:szCs w:val="34"/>
        </w:rPr>
        <w:t>CMP 3</w:t>
      </w:r>
      <w:r w:rsidRPr="00495D3F">
        <w:rPr>
          <w:i/>
          <w:sz w:val="34"/>
          <w:szCs w:val="34"/>
          <w:rtl/>
        </w:rPr>
        <w:t>)</w:t>
      </w:r>
      <w:bookmarkEnd w:id="158"/>
      <w:bookmarkEnd w:id="159"/>
    </w:p>
    <w:p w:rsidR="006D69DC" w:rsidRPr="00495D3F" w:rsidRDefault="006D69DC" w:rsidP="00495D3F">
      <w:pPr>
        <w:keepNext/>
        <w:bidi/>
        <w:spacing w:after="240" w:line="340" w:lineRule="exact"/>
        <w:ind w:left="1417" w:hanging="1417"/>
        <w:rPr>
          <w:rFonts w:ascii="Arabic Typesetting" w:hAnsi="Arabic Typesetting" w:cs="Arabic Typesetting"/>
          <w:bCs/>
          <w:sz w:val="34"/>
          <w:szCs w:val="36"/>
          <w:lang w:val="fr-CH"/>
        </w:rPr>
      </w:pPr>
      <w:r w:rsidRPr="00495D3F">
        <w:rPr>
          <w:rFonts w:ascii="Arabic Typesetting" w:hAnsi="Arabic Typesetting" w:cs="Arabic Typesetting"/>
          <w:bCs/>
          <w:sz w:val="34"/>
          <w:szCs w:val="36"/>
          <w:rtl/>
          <w:lang w:val="fr-CH"/>
        </w:rPr>
        <w:t>مدير المشروع</w:t>
      </w:r>
      <w:r w:rsidRPr="00495D3F">
        <w:rPr>
          <w:rFonts w:ascii="Arabic Typesetting" w:hAnsi="Arabic Typesetting" w:cs="Arabic Typesetting"/>
          <w:bCs/>
          <w:sz w:val="34"/>
          <w:szCs w:val="36"/>
          <w:lang w:val="fr-CH"/>
        </w:rPr>
        <w:t xml:space="preserve"> </w:t>
      </w:r>
      <w:r w:rsidRPr="00495D3F">
        <w:rPr>
          <w:rFonts w:ascii="Arabic Typesetting" w:hAnsi="Arabic Typesetting" w:cs="Arabic Typesetting"/>
          <w:bCs/>
          <w:sz w:val="34"/>
          <w:szCs w:val="36"/>
          <w:lang w:val="fr-CH"/>
        </w:rPr>
        <w:tab/>
      </w:r>
      <w:r w:rsidRPr="00495D3F">
        <w:rPr>
          <w:rFonts w:ascii="Arabic Typesetting" w:hAnsi="Arabic Typesetting" w:cs="Arabic Typesetting"/>
          <w:bCs/>
          <w:sz w:val="34"/>
          <w:szCs w:val="36"/>
          <w:rtl/>
          <w:lang w:val="fr-CH"/>
        </w:rPr>
        <w:t xml:space="preserve">السيد </w:t>
      </w:r>
      <w:proofErr w:type="spellStart"/>
      <w:r w:rsidRPr="00495D3F">
        <w:rPr>
          <w:rFonts w:ascii="Arabic Typesetting" w:hAnsi="Arabic Typesetting" w:cs="Arabic Typesetting"/>
          <w:bCs/>
          <w:sz w:val="34"/>
          <w:szCs w:val="36"/>
          <w:rtl/>
          <w:lang w:val="fr-CH"/>
        </w:rPr>
        <w:t>أ</w:t>
      </w:r>
      <w:r w:rsidRPr="00495D3F">
        <w:rPr>
          <w:rFonts w:ascii="Arabic Typesetting" w:hAnsi="Arabic Typesetting" w:cs="Arabic Typesetting" w:hint="cs"/>
          <w:bCs/>
          <w:sz w:val="34"/>
          <w:szCs w:val="36"/>
          <w:rtl/>
          <w:lang w:val="fr-CH"/>
        </w:rPr>
        <w:t>لف</w:t>
      </w:r>
      <w:r w:rsidR="006E6296">
        <w:rPr>
          <w:rFonts w:ascii="Arabic Typesetting" w:hAnsi="Arabic Typesetting" w:cs="Arabic Typesetting" w:hint="cs"/>
          <w:bCs/>
          <w:sz w:val="34"/>
          <w:szCs w:val="36"/>
          <w:rtl/>
          <w:lang w:val="fr-CH"/>
        </w:rPr>
        <w:t>ي</w:t>
      </w:r>
      <w:r w:rsidRPr="00495D3F">
        <w:rPr>
          <w:rFonts w:ascii="Arabic Typesetting" w:hAnsi="Arabic Typesetting" w:cs="Arabic Typesetting" w:hint="cs"/>
          <w:bCs/>
          <w:sz w:val="34"/>
          <w:szCs w:val="36"/>
          <w:rtl/>
          <w:lang w:val="fr-CH"/>
        </w:rPr>
        <w:t>و</w:t>
      </w:r>
      <w:proofErr w:type="spellEnd"/>
      <w:r w:rsidRPr="00495D3F">
        <w:rPr>
          <w:rFonts w:ascii="Arabic Typesetting" w:hAnsi="Arabic Typesetting" w:cs="Arabic Typesetting"/>
          <w:bCs/>
          <w:sz w:val="34"/>
          <w:szCs w:val="36"/>
          <w:rtl/>
          <w:lang w:val="fr-CH"/>
        </w:rPr>
        <w:t xml:space="preserve"> </w:t>
      </w:r>
      <w:proofErr w:type="spellStart"/>
      <w:r w:rsidRPr="00495D3F">
        <w:rPr>
          <w:rFonts w:ascii="Arabic Typesetting" w:hAnsi="Arabic Typesetting" w:cs="Arabic Typesetting"/>
          <w:bCs/>
          <w:sz w:val="34"/>
          <w:szCs w:val="36"/>
          <w:rtl/>
          <w:lang w:val="fr-CH"/>
        </w:rPr>
        <w:t>فافيرو</w:t>
      </w:r>
      <w:proofErr w:type="spellEnd"/>
    </w:p>
    <w:p w:rsidR="006D69DC" w:rsidRPr="006D69DC" w:rsidRDefault="006D69DC" w:rsidP="006D69DC">
      <w:pPr>
        <w:keepNext/>
        <w:bidi/>
        <w:spacing w:after="120" w:line="340" w:lineRule="exact"/>
        <w:rPr>
          <w:rFonts w:ascii="Arabic Typesetting" w:hAnsi="Arabic Typesetting" w:cs="Arabic Typesetting"/>
          <w:sz w:val="34"/>
          <w:szCs w:val="34"/>
          <w:lang w:val="fr-CH"/>
        </w:rPr>
      </w:pPr>
      <w:r w:rsidRPr="006D69DC">
        <w:rPr>
          <w:rFonts w:ascii="Arabic Typesetting" w:hAnsi="Arabic Typesetting" w:cs="Arabic Typesetting"/>
          <w:sz w:val="34"/>
          <w:szCs w:val="34"/>
          <w:rtl/>
          <w:lang w:val="fr-CH"/>
        </w:rPr>
        <w:t>النتيجة المرتقبة</w:t>
      </w:r>
    </w:p>
    <w:p w:rsidR="006E6296" w:rsidRPr="00080105" w:rsidRDefault="006E6296" w:rsidP="006E6296">
      <w:pPr>
        <w:bidi/>
        <w:spacing w:after="120" w:line="340" w:lineRule="exact"/>
        <w:rPr>
          <w:rFonts w:ascii="Arabic Typesetting" w:hAnsi="Arabic Typesetting" w:cs="Arabic Typesetting"/>
          <w:iCs/>
          <w:sz w:val="34"/>
          <w:szCs w:val="34"/>
          <w:rtl/>
          <w:lang w:bidi="ar-EG"/>
        </w:rPr>
      </w:pPr>
      <w:r w:rsidRPr="00080105">
        <w:rPr>
          <w:rFonts w:ascii="Arabic Typesetting" w:hAnsi="Arabic Typesetting" w:cs="Arabic Typesetting"/>
          <w:iCs/>
          <w:sz w:val="34"/>
          <w:szCs w:val="34"/>
          <w:rtl/>
          <w:lang w:bidi="ar-EG"/>
        </w:rPr>
        <w:t>ه1.9</w:t>
      </w:r>
      <w:r w:rsidRPr="00080105">
        <w:rPr>
          <w:rFonts w:ascii="Arabic Typesetting" w:hAnsi="Arabic Typesetting" w:cs="Arabic Typesetting"/>
          <w:iCs/>
          <w:sz w:val="34"/>
          <w:szCs w:val="34"/>
          <w:rtl/>
          <w:lang w:bidi="ar-EG"/>
        </w:rPr>
        <w:tab/>
        <w:t>خدمات دعم فعالة وناجعة وذات جودة موجهة نحو الزبائن لفائدة الزبائن الداخليين وأصحاب المصالح الخارجيين</w:t>
      </w:r>
    </w:p>
    <w:p w:rsidR="006D69DC" w:rsidRPr="006D69DC" w:rsidRDefault="006D69DC" w:rsidP="006D69DC">
      <w:pPr>
        <w:keepNext/>
        <w:bidi/>
        <w:spacing w:after="120" w:line="340" w:lineRule="exact"/>
        <w:rPr>
          <w:rFonts w:ascii="Arabic Typesetting" w:hAnsi="Arabic Typesetting" w:cs="Arabic Typesetting"/>
          <w:sz w:val="34"/>
          <w:szCs w:val="34"/>
          <w:lang w:bidi="ar-EG"/>
        </w:rPr>
      </w:pPr>
      <w:r w:rsidRPr="006D69DC">
        <w:rPr>
          <w:rFonts w:ascii="Arabic Typesetting" w:hAnsi="Arabic Typesetting" w:cs="Arabic Typesetting"/>
          <w:sz w:val="34"/>
          <w:szCs w:val="34"/>
          <w:rtl/>
          <w:lang w:bidi="ar-EG"/>
        </w:rPr>
        <w:t xml:space="preserve">الأهداف والنطاق والنهج </w:t>
      </w:r>
      <w:r w:rsidR="00AD17C3">
        <w:rPr>
          <w:rFonts w:ascii="Arabic Typesetting" w:hAnsi="Arabic Typesetting" w:cs="Arabic Typesetting"/>
          <w:sz w:val="34"/>
          <w:szCs w:val="34"/>
          <w:rtl/>
          <w:lang w:bidi="ar-EG"/>
        </w:rPr>
        <w:t>-</w:t>
      </w:r>
      <w:r w:rsidRPr="006D69DC">
        <w:rPr>
          <w:rFonts w:ascii="Arabic Typesetting" w:hAnsi="Arabic Typesetting" w:cs="Arabic Typesetting"/>
          <w:sz w:val="34"/>
          <w:szCs w:val="34"/>
          <w:rtl/>
          <w:lang w:bidi="ar-EG"/>
        </w:rPr>
        <w:t xml:space="preserve"> معلومات أساسية</w:t>
      </w:r>
    </w:p>
    <w:p w:rsidR="006D69DC" w:rsidRPr="006D69DC" w:rsidRDefault="006D69DC" w:rsidP="0099688F">
      <w:pPr>
        <w:numPr>
          <w:ilvl w:val="0"/>
          <w:numId w:val="65"/>
        </w:numPr>
        <w:bidi/>
        <w:spacing w:after="120" w:line="340" w:lineRule="exact"/>
        <w:rPr>
          <w:rFonts w:ascii="Arabic Typesetting" w:hAnsi="Arabic Typesetting" w:cs="Arabic Typesetting"/>
          <w:sz w:val="34"/>
          <w:szCs w:val="34"/>
        </w:rPr>
      </w:pPr>
      <w:r w:rsidRPr="006D69DC">
        <w:rPr>
          <w:rFonts w:ascii="Arabic Typesetting" w:hAnsi="Arabic Typesetting" w:cs="Arabic Typesetting"/>
          <w:sz w:val="34"/>
          <w:szCs w:val="34"/>
          <w:rtl/>
        </w:rPr>
        <w:t xml:space="preserve">تنقسم أهداف المشروع إلى قسمين: "1" استبدال تركيبات السقف المعلق الخاص بنظام التبريد والتدفئة استبدالاً كاملاً في الطوابق العلوية من مبنى البراءات، "2" </w:t>
      </w: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 xml:space="preserve">إجراء عملية تجديد كبرى للعناصر الهيكلية لجميع واجهات </w:t>
      </w:r>
      <w:r w:rsidRPr="006D69DC">
        <w:rPr>
          <w:rFonts w:ascii="Arabic Typesetting" w:hAnsi="Arabic Typesetting" w:cs="Arabic Typesetting" w:hint="cs"/>
          <w:sz w:val="34"/>
          <w:szCs w:val="34"/>
          <w:rtl/>
        </w:rPr>
        <w:t>ذلك</w:t>
      </w:r>
      <w:r w:rsidRPr="006D69DC">
        <w:rPr>
          <w:rFonts w:ascii="Arabic Typesetting" w:hAnsi="Arabic Typesetting" w:cs="Arabic Typesetting"/>
          <w:sz w:val="34"/>
          <w:szCs w:val="34"/>
          <w:rtl/>
        </w:rPr>
        <w:t xml:space="preserve"> المبنى (بعبارة أخرى، النو</w:t>
      </w:r>
      <w:r w:rsidR="00737EDC">
        <w:rPr>
          <w:rFonts w:ascii="Arabic Typesetting" w:hAnsi="Arabic Typesetting" w:cs="Arabic Typesetting"/>
          <w:sz w:val="34"/>
          <w:szCs w:val="34"/>
          <w:rtl/>
        </w:rPr>
        <w:t>افذ في حد ذاتها ليست معنية عموم</w:t>
      </w:r>
      <w:r w:rsidRPr="006D69DC">
        <w:rPr>
          <w:rFonts w:ascii="Arabic Typesetting" w:hAnsi="Arabic Typesetting" w:cs="Arabic Typesetting"/>
          <w:sz w:val="34"/>
          <w:szCs w:val="34"/>
          <w:rtl/>
        </w:rPr>
        <w:t xml:space="preserve">ا). فقد تبين في السنوات الأخيرة أن الإصلاحات الطفيفة والمحدودة النطاق التي تُجرى بعد وقوع المشكلة </w:t>
      </w:r>
      <w:r w:rsidR="00AD17C3">
        <w:rPr>
          <w:rFonts w:ascii="Arabic Typesetting" w:hAnsi="Arabic Typesetting" w:cs="Arabic Typesetting"/>
          <w:sz w:val="34"/>
          <w:szCs w:val="34"/>
          <w:rtl/>
        </w:rPr>
        <w:t>-</w:t>
      </w:r>
      <w:r w:rsidRPr="006D69DC">
        <w:rPr>
          <w:rFonts w:ascii="Arabic Typesetting" w:hAnsi="Arabic Typesetting" w:cs="Arabic Typesetting"/>
          <w:sz w:val="34"/>
          <w:szCs w:val="34"/>
          <w:rtl/>
        </w:rPr>
        <w:t xml:space="preserve"> كما في حالة الأعطال وارتفاع درجة الحرارة أو انخفاضها بشكل مفرط وعلى نحو خارج عن السيطرة </w:t>
      </w:r>
      <w:r w:rsidR="00AD17C3">
        <w:rPr>
          <w:rFonts w:ascii="Arabic Typesetting" w:hAnsi="Arabic Typesetting" w:cs="Arabic Typesetting"/>
          <w:sz w:val="34"/>
          <w:szCs w:val="34"/>
          <w:rtl/>
        </w:rPr>
        <w:t>-</w:t>
      </w:r>
      <w:r w:rsidRPr="006D69DC">
        <w:rPr>
          <w:rFonts w:ascii="Arabic Typesetting" w:hAnsi="Arabic Typesetting" w:cs="Arabic Typesetting"/>
          <w:sz w:val="34"/>
          <w:szCs w:val="34"/>
          <w:rtl/>
        </w:rPr>
        <w:t xml:space="preserve"> والتي نفذت على مدار 10</w:t>
      </w:r>
      <w:r w:rsidRPr="006D69DC">
        <w:rPr>
          <w:rFonts w:ascii="Arabic Typesetting" w:hAnsi="Arabic Typesetting" w:cs="Arabic Typesetting" w:hint="cs"/>
          <w:sz w:val="34"/>
          <w:szCs w:val="34"/>
          <w:rtl/>
        </w:rPr>
        <w:t> </w:t>
      </w:r>
      <w:r w:rsidRPr="006D69DC">
        <w:rPr>
          <w:rFonts w:ascii="Arabic Typesetting" w:hAnsi="Arabic Typesetting" w:cs="Arabic Typesetting"/>
          <w:sz w:val="34"/>
          <w:szCs w:val="34"/>
          <w:rtl/>
        </w:rPr>
        <w:t xml:space="preserve">سنوات تقريبًا لم تعد مستدامة. </w:t>
      </w:r>
      <w:r w:rsidR="00737EDC">
        <w:rPr>
          <w:rFonts w:ascii="Arabic Typesetting" w:hAnsi="Arabic Typesetting" w:cs="Arabic Typesetting" w:hint="cs"/>
          <w:sz w:val="34"/>
          <w:szCs w:val="34"/>
          <w:rtl/>
        </w:rPr>
        <w:t>وفضلاً عن ذلك، فإن</w:t>
      </w:r>
      <w:r w:rsidRPr="006D69DC">
        <w:rPr>
          <w:rFonts w:ascii="Arabic Typesetting" w:hAnsi="Arabic Typesetting" w:cs="Arabic Typesetting"/>
          <w:sz w:val="34"/>
          <w:szCs w:val="34"/>
          <w:rtl/>
        </w:rPr>
        <w:t xml:space="preserve"> عدد</w:t>
      </w:r>
      <w:r w:rsidRPr="006D69DC">
        <w:rPr>
          <w:rFonts w:ascii="Arabic Typesetting" w:hAnsi="Arabic Typesetting" w:cs="Arabic Typesetting" w:hint="cs"/>
          <w:sz w:val="34"/>
          <w:szCs w:val="34"/>
          <w:rtl/>
        </w:rPr>
        <w:t>ا</w:t>
      </w:r>
      <w:r w:rsidRPr="006D69DC">
        <w:rPr>
          <w:rFonts w:ascii="Arabic Typesetting" w:hAnsi="Arabic Typesetting" w:cs="Arabic Typesetting"/>
          <w:sz w:val="34"/>
          <w:szCs w:val="34"/>
          <w:rtl/>
        </w:rPr>
        <w:t xml:space="preserve"> من عناصر تركيبات التبر</w:t>
      </w:r>
      <w:r w:rsidR="00737EDC">
        <w:rPr>
          <w:rFonts w:ascii="Arabic Typesetting" w:hAnsi="Arabic Typesetting" w:cs="Arabic Typesetting"/>
          <w:sz w:val="34"/>
          <w:szCs w:val="34"/>
          <w:rtl/>
        </w:rPr>
        <w:t>يد/التدفئة الحالية لم يعد متوفر</w:t>
      </w:r>
      <w:r w:rsidRPr="006D69DC">
        <w:rPr>
          <w:rFonts w:ascii="Arabic Typesetting" w:hAnsi="Arabic Typesetting" w:cs="Arabic Typesetting"/>
          <w:sz w:val="34"/>
          <w:szCs w:val="34"/>
          <w:rtl/>
        </w:rPr>
        <w:t>ا في السوق ولم يعد بالإمكان شراء قطع غيار، وهو ما يهدد بانعدام جدوى تركيبات التبريد والتدفئة برمتها في المبنى على الأجل القريب. وقد بلغ إهدار الطاقة المستهلكة بسبب الأنظمة والتركيبات المعيبة وكذلك بسبب عيوب العناصر الهيكلية للواجهات مبلغًا عظيمًا وسيزداد سنة بعد سنة. وقد أجري تدقيق تقني لتركيبات التبريد والتدفئة في 2011 وأجري تدقيق تقني للواجهات خلال النصف الأول من سنة</w:t>
      </w:r>
      <w:r w:rsidRPr="006D69DC">
        <w:rPr>
          <w:rFonts w:ascii="Arabic Typesetting" w:hAnsi="Arabic Typesetting" w:cs="Arabic Typesetting" w:hint="cs"/>
          <w:sz w:val="34"/>
          <w:szCs w:val="34"/>
          <w:rtl/>
        </w:rPr>
        <w:t> </w:t>
      </w:r>
      <w:r w:rsidRPr="006D69DC">
        <w:rPr>
          <w:rFonts w:ascii="Arabic Typesetting" w:hAnsi="Arabic Typesetting" w:cs="Arabic Typesetting"/>
          <w:sz w:val="34"/>
          <w:szCs w:val="34"/>
          <w:rtl/>
        </w:rPr>
        <w:t>2013.</w:t>
      </w:r>
    </w:p>
    <w:p w:rsidR="006D69DC" w:rsidRPr="006D69DC" w:rsidRDefault="006D69DC" w:rsidP="0099688F">
      <w:pPr>
        <w:numPr>
          <w:ilvl w:val="0"/>
          <w:numId w:val="66"/>
        </w:numPr>
        <w:bidi/>
        <w:spacing w:after="120" w:line="340" w:lineRule="exact"/>
        <w:rPr>
          <w:rFonts w:ascii="Arabic Typesetting" w:hAnsi="Arabic Typesetting" w:cs="Arabic Typesetting"/>
          <w:sz w:val="34"/>
          <w:szCs w:val="34"/>
        </w:rPr>
      </w:pPr>
      <w:r w:rsidRPr="006D69DC">
        <w:rPr>
          <w:rFonts w:ascii="Arabic Typesetting" w:hAnsi="Arabic Typesetting" w:cs="Arabic Typesetting"/>
          <w:sz w:val="34"/>
          <w:szCs w:val="34"/>
          <w:rtl/>
        </w:rPr>
        <w:t xml:space="preserve">والنتائج المرتقبة للتجديد هي تركيبات تبريد وتدفئة وواجهات تؤدي دورها بكفاءة تامة </w:t>
      </w: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على نحو يعتمد عليه، وتقليل استهلاك الطاقة بشكل كبير عن طريق القضاء على الإهدار الحالي.</w:t>
      </w:r>
    </w:p>
    <w:p w:rsidR="006D69DC" w:rsidRPr="006D69DC" w:rsidRDefault="006D69DC" w:rsidP="0099688F">
      <w:pPr>
        <w:numPr>
          <w:ilvl w:val="0"/>
          <w:numId w:val="66"/>
        </w:numPr>
        <w:bidi/>
        <w:spacing w:after="120" w:line="340" w:lineRule="exact"/>
        <w:rPr>
          <w:rFonts w:ascii="Arabic Typesetting" w:hAnsi="Arabic Typesetting" w:cs="Arabic Typesetting"/>
          <w:sz w:val="34"/>
          <w:szCs w:val="34"/>
        </w:rPr>
      </w:pPr>
      <w:r w:rsidRPr="006D69DC">
        <w:rPr>
          <w:rFonts w:ascii="Arabic Typesetting" w:hAnsi="Arabic Typesetting" w:cs="Arabic Typesetting"/>
          <w:sz w:val="34"/>
          <w:szCs w:val="34"/>
          <w:rtl/>
        </w:rPr>
        <w:t xml:space="preserve">وأهداف المشروع هي كما يلي: "1" تقليل الطاقة المهدرة (الواجهات)؛ "2" </w:t>
      </w: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 xml:space="preserve">تقليل استهلاك الطاقة (أسقف معلقة وواجهات حرارية)؛ "3" </w:t>
      </w: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 xml:space="preserve">تحسين المرافق التقنية لتقليل الحاجة إلى الصيانة (أسقف معلقة وواجهات حرارية)؛ "4" </w:t>
      </w: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 xml:space="preserve">زيادة راحة العاملين؛ "5" </w:t>
      </w: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 xml:space="preserve">استخدام تكنولوجيا جديدة أكثر محافظة على البيئة ؛ "6" </w:t>
      </w: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التحديث من أجل إطالة دورات الحياة (أسقف</w:t>
      </w:r>
      <w:r w:rsidR="006E6296">
        <w:rPr>
          <w:rFonts w:ascii="Arabic Typesetting" w:hAnsi="Arabic Typesetting" w:cs="Arabic Typesetting" w:hint="cs"/>
          <w:sz w:val="34"/>
          <w:szCs w:val="34"/>
          <w:rtl/>
        </w:rPr>
        <w:t> </w:t>
      </w:r>
      <w:r w:rsidR="006E6296" w:rsidRPr="006D69DC">
        <w:rPr>
          <w:rFonts w:ascii="Arabic Typesetting" w:hAnsi="Arabic Typesetting" w:cs="Arabic Typesetting"/>
          <w:sz w:val="34"/>
          <w:szCs w:val="34"/>
          <w:rtl/>
        </w:rPr>
        <w:t xml:space="preserve">حرارية </w:t>
      </w:r>
      <w:r w:rsidRPr="006D69DC">
        <w:rPr>
          <w:rFonts w:ascii="Arabic Typesetting" w:hAnsi="Arabic Typesetting" w:cs="Arabic Typesetting"/>
          <w:sz w:val="34"/>
          <w:szCs w:val="34"/>
          <w:rtl/>
        </w:rPr>
        <w:t>معلقة).</w:t>
      </w:r>
    </w:p>
    <w:p w:rsidR="006D69DC" w:rsidRPr="006D69DC" w:rsidRDefault="006D69DC" w:rsidP="006D69DC">
      <w:pPr>
        <w:keepNext/>
        <w:bidi/>
        <w:spacing w:after="120" w:line="340" w:lineRule="exact"/>
        <w:rPr>
          <w:rFonts w:ascii="Arabic Typesetting" w:hAnsi="Arabic Typesetting" w:cs="Arabic Typesetting"/>
          <w:sz w:val="34"/>
          <w:szCs w:val="34"/>
          <w:lang w:val="fr-CH"/>
        </w:rPr>
      </w:pPr>
      <w:r w:rsidRPr="006D69DC">
        <w:rPr>
          <w:rFonts w:ascii="Arabic Typesetting" w:hAnsi="Arabic Typesetting" w:cs="Arabic Typesetting"/>
          <w:sz w:val="34"/>
          <w:szCs w:val="34"/>
          <w:rtl/>
          <w:lang w:val="fr-CH"/>
        </w:rPr>
        <w:t xml:space="preserve">استعراض التقدم المحرز في </w:t>
      </w:r>
      <w:r w:rsidRPr="006D69DC">
        <w:rPr>
          <w:rFonts w:ascii="Arabic Typesetting" w:hAnsi="Arabic Typesetting" w:cs="Arabic Typesetting" w:hint="cs"/>
          <w:sz w:val="34"/>
          <w:szCs w:val="34"/>
          <w:rtl/>
          <w:lang w:val="fr-CH"/>
        </w:rPr>
        <w:t>2015</w:t>
      </w:r>
      <w:r w:rsidRPr="006D69DC">
        <w:rPr>
          <w:rFonts w:ascii="Arabic Typesetting" w:hAnsi="Arabic Typesetting" w:cs="Arabic Typesetting"/>
          <w:sz w:val="34"/>
          <w:szCs w:val="34"/>
          <w:rtl/>
          <w:lang w:val="fr-CH"/>
        </w:rPr>
        <w:t xml:space="preserve"> (المعالم الرئيسية)</w:t>
      </w:r>
    </w:p>
    <w:p w:rsidR="006D69DC" w:rsidRPr="006D69DC" w:rsidRDefault="006D69DC" w:rsidP="0099688F">
      <w:pPr>
        <w:numPr>
          <w:ilvl w:val="0"/>
          <w:numId w:val="66"/>
        </w:numPr>
        <w:bidi/>
        <w:spacing w:after="120" w:line="340" w:lineRule="exact"/>
        <w:rPr>
          <w:rFonts w:ascii="Arabic Typesetting" w:hAnsi="Arabic Typesetting" w:cs="Arabic Typesetting"/>
          <w:sz w:val="34"/>
          <w:szCs w:val="34"/>
        </w:rPr>
      </w:pPr>
      <w:r w:rsidRPr="006D69DC">
        <w:rPr>
          <w:rFonts w:ascii="Arabic Typesetting" w:hAnsi="Arabic Typesetting" w:cs="Arabic Typesetting"/>
          <w:sz w:val="34"/>
          <w:szCs w:val="34"/>
          <w:rtl/>
        </w:rPr>
        <w:t>أُحرز التقدم التالي في 2014:</w:t>
      </w:r>
    </w:p>
    <w:p w:rsidR="006D69DC" w:rsidRPr="006D69DC" w:rsidRDefault="006D69DC" w:rsidP="0099688F">
      <w:pPr>
        <w:numPr>
          <w:ilvl w:val="0"/>
          <w:numId w:val="63"/>
        </w:numPr>
        <w:bidi/>
        <w:spacing w:after="120" w:line="340" w:lineRule="exact"/>
        <w:ind w:left="1134" w:hanging="567"/>
        <w:rPr>
          <w:rFonts w:ascii="Arabic Typesetting" w:hAnsi="Arabic Typesetting" w:cs="Arabic Typesetting"/>
          <w:sz w:val="34"/>
          <w:szCs w:val="34"/>
          <w:lang w:bidi="ar-EG"/>
        </w:rPr>
      </w:pPr>
      <w:r w:rsidRPr="006D69DC">
        <w:rPr>
          <w:rFonts w:ascii="Arabic Typesetting" w:hAnsi="Arabic Typesetting" w:cs="Arabic Typesetting"/>
          <w:b/>
          <w:color w:val="000000"/>
          <w:sz w:val="34"/>
          <w:szCs w:val="34"/>
          <w:rtl/>
          <w:lang w:bidi="ar-EG"/>
        </w:rPr>
        <w:t xml:space="preserve">صياغة دعوة </w:t>
      </w:r>
      <w:r w:rsidRPr="006D69DC">
        <w:rPr>
          <w:rFonts w:ascii="Arabic Typesetting" w:hAnsi="Arabic Typesetting" w:cs="Arabic Typesetting"/>
          <w:color w:val="000000"/>
          <w:sz w:val="34"/>
          <w:szCs w:val="34"/>
          <w:rtl/>
          <w:lang w:bidi="ar-EG"/>
        </w:rPr>
        <w:t xml:space="preserve">للتعبير عن الاهتمام وتوجيهها من أجل اختيار </w:t>
      </w:r>
      <w:r w:rsidRPr="006D69DC">
        <w:rPr>
          <w:rFonts w:ascii="Arabic Typesetting" w:hAnsi="Arabic Typesetting" w:cs="Arabic Typesetting" w:hint="cs"/>
          <w:color w:val="000000"/>
          <w:sz w:val="34"/>
          <w:szCs w:val="34"/>
          <w:rtl/>
          <w:lang w:bidi="ar-EG"/>
        </w:rPr>
        <w:t>ال</w:t>
      </w:r>
      <w:r w:rsidRPr="006D69DC">
        <w:rPr>
          <w:rFonts w:ascii="Arabic Typesetting" w:hAnsi="Arabic Typesetting" w:cs="Arabic Typesetting"/>
          <w:color w:val="000000"/>
          <w:sz w:val="34"/>
          <w:szCs w:val="34"/>
          <w:rtl/>
          <w:lang w:bidi="ar-EG"/>
        </w:rPr>
        <w:t>قيادة/المهندس المعماري؛</w:t>
      </w:r>
    </w:p>
    <w:p w:rsidR="006D69DC" w:rsidRPr="006D69DC" w:rsidRDefault="006D69DC" w:rsidP="0099688F">
      <w:pPr>
        <w:numPr>
          <w:ilvl w:val="0"/>
          <w:numId w:val="63"/>
        </w:numPr>
        <w:shd w:val="clear" w:color="auto" w:fill="FFFFFF"/>
        <w:bidi/>
        <w:spacing w:after="120" w:line="340" w:lineRule="exact"/>
        <w:ind w:left="1134" w:hanging="567"/>
        <w:rPr>
          <w:rFonts w:ascii="Arabic Typesetting" w:hAnsi="Arabic Typesetting" w:cs="Arabic Typesetting"/>
          <w:sz w:val="34"/>
          <w:szCs w:val="34"/>
          <w:lang w:bidi="ar-EG"/>
        </w:rPr>
      </w:pPr>
      <w:r w:rsidRPr="006D69DC">
        <w:rPr>
          <w:rFonts w:ascii="Arabic Typesetting" w:hAnsi="Arabic Typesetting" w:cs="Arabic Typesetting" w:hint="cs"/>
          <w:b/>
          <w:sz w:val="34"/>
          <w:szCs w:val="34"/>
          <w:rtl/>
          <w:lang w:bidi="ar-EG"/>
        </w:rPr>
        <w:t>و</w:t>
      </w:r>
      <w:r w:rsidRPr="006D69DC">
        <w:rPr>
          <w:rFonts w:ascii="Arabic Typesetting" w:hAnsi="Arabic Typesetting" w:cs="Arabic Typesetting"/>
          <w:b/>
          <w:sz w:val="34"/>
          <w:szCs w:val="34"/>
          <w:rtl/>
          <w:lang w:bidi="ar-EG"/>
        </w:rPr>
        <w:t xml:space="preserve">اكتمال </w:t>
      </w:r>
      <w:r w:rsidRPr="006D69DC">
        <w:rPr>
          <w:rFonts w:ascii="Arabic Typesetting" w:hAnsi="Arabic Typesetting" w:cs="Arabic Typesetting"/>
          <w:sz w:val="34"/>
          <w:szCs w:val="34"/>
          <w:rtl/>
          <w:lang w:bidi="ar-EG"/>
        </w:rPr>
        <w:t xml:space="preserve">إعداد القوائم </w:t>
      </w:r>
      <w:r w:rsidRPr="006D69DC">
        <w:rPr>
          <w:rFonts w:ascii="Arabic Typesetting" w:hAnsi="Arabic Typesetting" w:cs="Arabic Typesetting" w:hint="cs"/>
          <w:sz w:val="34"/>
          <w:szCs w:val="34"/>
          <w:rtl/>
          <w:lang w:bidi="ar-EG"/>
        </w:rPr>
        <w:t>المختصرة</w:t>
      </w:r>
      <w:r w:rsidRPr="006D69DC">
        <w:rPr>
          <w:rFonts w:ascii="Arabic Typesetting" w:hAnsi="Arabic Typesetting" w:cs="Arabic Typesetting"/>
          <w:sz w:val="34"/>
          <w:szCs w:val="34"/>
          <w:rtl/>
          <w:lang w:bidi="ar-EG"/>
        </w:rPr>
        <w:t xml:space="preserve"> وتقييم الدعوة للتعبير عن الاهتمام </w:t>
      </w:r>
      <w:r w:rsidRPr="006D69DC">
        <w:rPr>
          <w:rFonts w:ascii="Arabic Typesetting" w:hAnsi="Arabic Typesetting" w:cs="Arabic Typesetting" w:hint="cs"/>
          <w:sz w:val="34"/>
          <w:szCs w:val="34"/>
          <w:rtl/>
          <w:lang w:bidi="ar-EG"/>
        </w:rPr>
        <w:t>من حيث التكليف المسند إلى</w:t>
      </w:r>
      <w:r w:rsidRPr="006D69DC">
        <w:rPr>
          <w:rFonts w:ascii="Arabic Typesetting" w:hAnsi="Arabic Typesetting" w:cs="Arabic Typesetting"/>
          <w:sz w:val="34"/>
          <w:szCs w:val="34"/>
          <w:rtl/>
          <w:lang w:bidi="ar-EG"/>
        </w:rPr>
        <w:t xml:space="preserve"> </w:t>
      </w:r>
      <w:r w:rsidRPr="006D69DC">
        <w:rPr>
          <w:rFonts w:ascii="Arabic Typesetting" w:hAnsi="Arabic Typesetting" w:cs="Arabic Typesetting" w:hint="cs"/>
          <w:sz w:val="34"/>
          <w:szCs w:val="34"/>
          <w:rtl/>
          <w:lang w:bidi="ar-EG"/>
        </w:rPr>
        <w:t>القيادة</w:t>
      </w:r>
      <w:r w:rsidRPr="006D69DC">
        <w:rPr>
          <w:rFonts w:ascii="Arabic Typesetting" w:hAnsi="Arabic Typesetting" w:cs="Arabic Typesetting"/>
          <w:sz w:val="34"/>
          <w:szCs w:val="34"/>
          <w:rtl/>
          <w:lang w:bidi="ar-EG"/>
        </w:rPr>
        <w:t>/المهندس</w:t>
      </w:r>
      <w:r w:rsidR="006E6296">
        <w:rPr>
          <w:rFonts w:ascii="Arabic Typesetting" w:hAnsi="Arabic Typesetting" w:cs="Arabic Typesetting"/>
          <w:sz w:val="34"/>
          <w:szCs w:val="34"/>
          <w:lang w:bidi="ar-EG"/>
        </w:rPr>
        <w:t> </w:t>
      </w:r>
      <w:r w:rsidRPr="006D69DC">
        <w:rPr>
          <w:rFonts w:ascii="Arabic Typesetting" w:hAnsi="Arabic Typesetting" w:cs="Arabic Typesetting"/>
          <w:sz w:val="34"/>
          <w:szCs w:val="34"/>
          <w:rtl/>
          <w:lang w:bidi="ar-EG"/>
        </w:rPr>
        <w:t>المعماري؛</w:t>
      </w:r>
    </w:p>
    <w:p w:rsidR="006D69DC" w:rsidRPr="006D69DC" w:rsidRDefault="006D69DC" w:rsidP="0099688F">
      <w:pPr>
        <w:numPr>
          <w:ilvl w:val="0"/>
          <w:numId w:val="63"/>
        </w:numPr>
        <w:shd w:val="clear" w:color="auto" w:fill="FFFFFF"/>
        <w:bidi/>
        <w:spacing w:after="120" w:line="340" w:lineRule="exact"/>
        <w:ind w:left="1134" w:hanging="567"/>
        <w:rPr>
          <w:rFonts w:ascii="Arabic Typesetting" w:hAnsi="Arabic Typesetting" w:cs="Arabic Typesetting"/>
          <w:sz w:val="34"/>
          <w:szCs w:val="34"/>
          <w:lang w:bidi="ar-EG"/>
        </w:rPr>
      </w:pPr>
      <w:r w:rsidRPr="006D69DC">
        <w:rPr>
          <w:rFonts w:ascii="Arabic Typesetting" w:hAnsi="Arabic Typesetting" w:cs="Arabic Typesetting" w:hint="cs"/>
          <w:b/>
          <w:color w:val="000000"/>
          <w:sz w:val="34"/>
          <w:szCs w:val="34"/>
          <w:rtl/>
          <w:lang w:bidi="ar-EG"/>
        </w:rPr>
        <w:t>و</w:t>
      </w:r>
      <w:r w:rsidRPr="006D69DC">
        <w:rPr>
          <w:rFonts w:ascii="Arabic Typesetting" w:hAnsi="Arabic Typesetting" w:cs="Arabic Typesetting"/>
          <w:b/>
          <w:color w:val="000000"/>
          <w:sz w:val="34"/>
          <w:szCs w:val="34"/>
          <w:rtl/>
          <w:lang w:bidi="ar-EG"/>
        </w:rPr>
        <w:t xml:space="preserve">صياغة </w:t>
      </w:r>
      <w:r w:rsidRPr="006D69DC">
        <w:rPr>
          <w:rFonts w:ascii="Arabic Typesetting" w:hAnsi="Arabic Typesetting" w:cs="Arabic Typesetting"/>
          <w:color w:val="000000"/>
          <w:sz w:val="34"/>
          <w:szCs w:val="34"/>
          <w:rtl/>
          <w:lang w:bidi="ar-EG"/>
        </w:rPr>
        <w:t xml:space="preserve">المواصفات التقنية من أجل طرح مناقصة بشأن </w:t>
      </w:r>
      <w:r w:rsidRPr="006D69DC">
        <w:rPr>
          <w:rFonts w:ascii="Arabic Typesetting" w:hAnsi="Arabic Typesetting" w:cs="Arabic Typesetting" w:hint="cs"/>
          <w:color w:val="000000"/>
          <w:sz w:val="34"/>
          <w:szCs w:val="34"/>
          <w:rtl/>
          <w:lang w:bidi="ar-EG"/>
        </w:rPr>
        <w:t>ال</w:t>
      </w:r>
      <w:r w:rsidRPr="006D69DC">
        <w:rPr>
          <w:rFonts w:ascii="Arabic Typesetting" w:hAnsi="Arabic Typesetting" w:cs="Arabic Typesetting"/>
          <w:color w:val="000000"/>
          <w:sz w:val="34"/>
          <w:szCs w:val="34"/>
          <w:rtl/>
          <w:lang w:bidi="ar-EG"/>
        </w:rPr>
        <w:t>قيادة/المهندس المعماري</w:t>
      </w:r>
      <w:r w:rsidRPr="006D69DC">
        <w:rPr>
          <w:rFonts w:ascii="Arabic Typesetting" w:hAnsi="Arabic Typesetting" w:cs="Arabic Typesetting" w:hint="cs"/>
          <w:color w:val="000000"/>
          <w:sz w:val="34"/>
          <w:szCs w:val="34"/>
          <w:rtl/>
          <w:lang w:bidi="ar-EG"/>
        </w:rPr>
        <w:t>.</w:t>
      </w:r>
    </w:p>
    <w:p w:rsidR="006D69DC" w:rsidRPr="006D69DC" w:rsidRDefault="006D69DC" w:rsidP="0099688F">
      <w:pPr>
        <w:numPr>
          <w:ilvl w:val="0"/>
          <w:numId w:val="66"/>
        </w:numPr>
        <w:bidi/>
        <w:spacing w:after="120" w:line="340" w:lineRule="exact"/>
        <w:rPr>
          <w:rFonts w:ascii="Arabic Typesetting" w:hAnsi="Arabic Typesetting" w:cs="Arabic Typesetting"/>
          <w:sz w:val="34"/>
          <w:szCs w:val="34"/>
        </w:rPr>
      </w:pP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 xml:space="preserve">بسبب تأخر اكتمال قاعة مؤتمرات الويبو الجديدة (من بداية 2014 حتى سبتمبر 2014)، تأخر بدء المشروع </w:t>
      </w:r>
      <w:r w:rsidRPr="006D69DC">
        <w:rPr>
          <w:rFonts w:ascii="Arabic Typesetting" w:hAnsi="Arabic Typesetting" w:cs="Arabic Typesetting" w:hint="cs"/>
          <w:sz w:val="34"/>
          <w:szCs w:val="34"/>
          <w:rtl/>
        </w:rPr>
        <w:t>بتسعة</w:t>
      </w:r>
      <w:r w:rsidRPr="006D69DC">
        <w:rPr>
          <w:rFonts w:ascii="Arabic Typesetting" w:hAnsi="Arabic Typesetting" w:cs="Arabic Typesetting"/>
          <w:sz w:val="34"/>
          <w:szCs w:val="34"/>
          <w:rtl/>
        </w:rPr>
        <w:t xml:space="preserve"> أشهر </w:t>
      </w:r>
      <w:r w:rsidRPr="006D69DC">
        <w:rPr>
          <w:rFonts w:ascii="Arabic Typesetting" w:hAnsi="Arabic Typesetting" w:cs="Arabic Typesetting" w:hint="cs"/>
          <w:sz w:val="34"/>
          <w:szCs w:val="34"/>
          <w:rtl/>
        </w:rPr>
        <w:t>مقارنة</w:t>
      </w:r>
      <w:r w:rsidRPr="006D69DC">
        <w:rPr>
          <w:rFonts w:ascii="Arabic Typesetting" w:hAnsi="Arabic Typesetting" w:cs="Arabic Typesetting"/>
          <w:sz w:val="34"/>
          <w:szCs w:val="34"/>
          <w:rtl/>
        </w:rPr>
        <w:t xml:space="preserve"> </w:t>
      </w:r>
      <w:r w:rsidRPr="006D69DC">
        <w:rPr>
          <w:rFonts w:ascii="Arabic Typesetting" w:hAnsi="Arabic Typesetting" w:cs="Arabic Typesetting" w:hint="cs"/>
          <w:sz w:val="34"/>
          <w:szCs w:val="34"/>
          <w:rtl/>
        </w:rPr>
        <w:t>ب</w:t>
      </w:r>
      <w:r w:rsidRPr="006D69DC">
        <w:rPr>
          <w:rFonts w:ascii="Arabic Typesetting" w:hAnsi="Arabic Typesetting" w:cs="Arabic Typesetting"/>
          <w:sz w:val="34"/>
          <w:szCs w:val="34"/>
          <w:rtl/>
        </w:rPr>
        <w:t>الخطة الأصلية. ومُدّ</w:t>
      </w:r>
      <w:r w:rsidRPr="006D69DC">
        <w:rPr>
          <w:rFonts w:ascii="Arabic Typesetting" w:hAnsi="Arabic Typesetting" w:cs="Arabic Typesetting" w:hint="cs"/>
          <w:sz w:val="34"/>
          <w:szCs w:val="34"/>
          <w:rtl/>
        </w:rPr>
        <w:t>د</w:t>
      </w:r>
      <w:r w:rsidRPr="006D69DC">
        <w:rPr>
          <w:rFonts w:ascii="Arabic Typesetting" w:hAnsi="Arabic Typesetting" w:cs="Arabic Typesetting"/>
          <w:sz w:val="34"/>
          <w:szCs w:val="34"/>
          <w:rtl/>
        </w:rPr>
        <w:t xml:space="preserve"> الجدول الزمني للمشروع حتى 2018</w:t>
      </w:r>
      <w:r w:rsidRPr="006D69DC">
        <w:rPr>
          <w:rFonts w:ascii="Arabic Typesetting" w:hAnsi="Arabic Typesetting" w:cs="Arabic Typesetting" w:hint="cs"/>
          <w:sz w:val="34"/>
          <w:szCs w:val="34"/>
          <w:rtl/>
        </w:rPr>
        <w:t>.</w:t>
      </w:r>
    </w:p>
    <w:p w:rsidR="006D69DC" w:rsidRPr="006D69DC" w:rsidRDefault="006D69DC" w:rsidP="0099688F">
      <w:pPr>
        <w:numPr>
          <w:ilvl w:val="0"/>
          <w:numId w:val="66"/>
        </w:numPr>
        <w:bidi/>
        <w:spacing w:after="120" w:line="340" w:lineRule="exact"/>
        <w:rPr>
          <w:rFonts w:ascii="Arabic Typesetting" w:hAnsi="Arabic Typesetting" w:cs="Arabic Typesetting"/>
          <w:sz w:val="34"/>
          <w:szCs w:val="34"/>
        </w:rPr>
      </w:pPr>
      <w:r w:rsidRPr="006D69DC">
        <w:rPr>
          <w:rFonts w:ascii="Arabic Typesetting" w:hAnsi="Arabic Typesetting" w:cs="Arabic Typesetting" w:hint="cs"/>
          <w:sz w:val="34"/>
          <w:szCs w:val="34"/>
          <w:rtl/>
        </w:rPr>
        <w:t>و</w:t>
      </w:r>
      <w:r w:rsidRPr="006D69DC">
        <w:rPr>
          <w:rFonts w:ascii="Arabic Typesetting" w:hAnsi="Arabic Typesetting" w:cs="Arabic Typesetting"/>
          <w:sz w:val="34"/>
          <w:szCs w:val="34"/>
          <w:rtl/>
        </w:rPr>
        <w:t xml:space="preserve">أُحرز التقدم التالي في </w:t>
      </w:r>
      <w:r w:rsidRPr="006D69DC">
        <w:rPr>
          <w:rFonts w:ascii="Arabic Typesetting" w:hAnsi="Arabic Typesetting" w:cs="Arabic Typesetting" w:hint="cs"/>
          <w:sz w:val="34"/>
          <w:szCs w:val="34"/>
          <w:rtl/>
        </w:rPr>
        <w:t>2015</w:t>
      </w:r>
      <w:r w:rsidRPr="006D69DC">
        <w:rPr>
          <w:rFonts w:ascii="Arabic Typesetting" w:hAnsi="Arabic Typesetting" w:cs="Arabic Typesetting"/>
          <w:sz w:val="34"/>
          <w:szCs w:val="34"/>
          <w:rtl/>
        </w:rPr>
        <w:t>:</w:t>
      </w:r>
    </w:p>
    <w:p w:rsidR="006D69DC" w:rsidRPr="006E6296" w:rsidRDefault="006D69DC" w:rsidP="0099688F">
      <w:pPr>
        <w:numPr>
          <w:ilvl w:val="0"/>
          <w:numId w:val="63"/>
        </w:numPr>
        <w:bidi/>
        <w:spacing w:after="120" w:line="340" w:lineRule="exact"/>
        <w:ind w:left="1134" w:hanging="567"/>
        <w:rPr>
          <w:rFonts w:ascii="Arabic Typesetting" w:hAnsi="Arabic Typesetting" w:cs="Arabic Typesetting"/>
          <w:b/>
          <w:color w:val="000000"/>
          <w:sz w:val="34"/>
          <w:szCs w:val="34"/>
          <w:lang w:bidi="ar-EG"/>
        </w:rPr>
      </w:pPr>
      <w:r w:rsidRPr="006D69DC">
        <w:rPr>
          <w:rFonts w:ascii="Arabic Typesetting" w:hAnsi="Arabic Typesetting" w:cs="Arabic Typesetting" w:hint="cs"/>
          <w:b/>
          <w:color w:val="000000"/>
          <w:sz w:val="34"/>
          <w:szCs w:val="34"/>
          <w:rtl/>
          <w:lang w:bidi="ar-EG"/>
        </w:rPr>
        <w:t>طرح مناقصة</w:t>
      </w:r>
      <w:r w:rsidRPr="006E6296">
        <w:rPr>
          <w:rFonts w:ascii="Arabic Typesetting" w:hAnsi="Arabic Typesetting" w:cs="Arabic Typesetting"/>
          <w:b/>
          <w:color w:val="000000"/>
          <w:sz w:val="34"/>
          <w:szCs w:val="34"/>
          <w:rtl/>
          <w:lang w:bidi="ar-EG"/>
        </w:rPr>
        <w:t xml:space="preserve"> </w:t>
      </w:r>
      <w:r w:rsidRPr="006E6296">
        <w:rPr>
          <w:rFonts w:ascii="Arabic Typesetting" w:hAnsi="Arabic Typesetting" w:cs="Arabic Typesetting" w:hint="cs"/>
          <w:b/>
          <w:color w:val="000000"/>
          <w:sz w:val="34"/>
          <w:szCs w:val="34"/>
          <w:rtl/>
          <w:lang w:bidi="ar-EG"/>
        </w:rPr>
        <w:t>بشأن</w:t>
      </w:r>
      <w:r w:rsidRPr="006E6296">
        <w:rPr>
          <w:rFonts w:ascii="Arabic Typesetting" w:hAnsi="Arabic Typesetting" w:cs="Arabic Typesetting"/>
          <w:b/>
          <w:color w:val="000000"/>
          <w:sz w:val="34"/>
          <w:szCs w:val="34"/>
          <w:rtl/>
          <w:lang w:bidi="ar-EG"/>
        </w:rPr>
        <w:t xml:space="preserve"> </w:t>
      </w:r>
      <w:r w:rsidRPr="006E6296">
        <w:rPr>
          <w:rFonts w:ascii="Arabic Typesetting" w:hAnsi="Arabic Typesetting" w:cs="Arabic Typesetting" w:hint="cs"/>
          <w:b/>
          <w:color w:val="000000"/>
          <w:sz w:val="34"/>
          <w:szCs w:val="34"/>
          <w:rtl/>
          <w:lang w:bidi="ar-EG"/>
        </w:rPr>
        <w:t>ال</w:t>
      </w:r>
      <w:r w:rsidRPr="006E6296">
        <w:rPr>
          <w:rFonts w:ascii="Arabic Typesetting" w:hAnsi="Arabic Typesetting" w:cs="Arabic Typesetting"/>
          <w:b/>
          <w:color w:val="000000"/>
          <w:sz w:val="34"/>
          <w:szCs w:val="34"/>
          <w:rtl/>
          <w:lang w:bidi="ar-EG"/>
        </w:rPr>
        <w:t>قيادة/المهندس المعماري؛</w:t>
      </w:r>
    </w:p>
    <w:p w:rsidR="006D69DC" w:rsidRPr="006E6296" w:rsidRDefault="006D69DC" w:rsidP="0099688F">
      <w:pPr>
        <w:numPr>
          <w:ilvl w:val="0"/>
          <w:numId w:val="63"/>
        </w:numPr>
        <w:bidi/>
        <w:spacing w:after="120" w:line="340" w:lineRule="exact"/>
        <w:ind w:left="1134" w:hanging="567"/>
        <w:rPr>
          <w:rFonts w:ascii="Arabic Typesetting" w:hAnsi="Arabic Typesetting" w:cs="Arabic Typesetting"/>
          <w:b/>
          <w:color w:val="000000"/>
          <w:sz w:val="34"/>
          <w:szCs w:val="34"/>
          <w:lang w:bidi="ar-EG"/>
        </w:rPr>
      </w:pPr>
      <w:r w:rsidRPr="006E6296">
        <w:rPr>
          <w:rFonts w:ascii="Arabic Typesetting" w:hAnsi="Arabic Typesetting" w:cs="Arabic Typesetting" w:hint="cs"/>
          <w:b/>
          <w:color w:val="000000"/>
          <w:sz w:val="34"/>
          <w:szCs w:val="34"/>
          <w:rtl/>
          <w:lang w:bidi="ar-EG"/>
        </w:rPr>
        <w:t>ومنح العقد للقيادة/المهندس المعماري في ديسمبر 2015، وقد تأخر ذلك بالنسبة إلى الجدول الزمني المحدّد وهو الفصل الثاني من 2015 بسبب الإقفال النهائي لمشروع قاعة المؤتمرات الجديدة</w:t>
      </w:r>
      <w:r w:rsidRPr="006E6296">
        <w:rPr>
          <w:rFonts w:ascii="Arabic Typesetting" w:hAnsi="Arabic Typesetting" w:cs="Arabic Typesetting"/>
          <w:b/>
          <w:color w:val="000000"/>
          <w:sz w:val="34"/>
          <w:szCs w:val="34"/>
          <w:rtl/>
          <w:lang w:bidi="ar-EG"/>
        </w:rPr>
        <w:t>؛</w:t>
      </w:r>
    </w:p>
    <w:p w:rsidR="006D69DC" w:rsidRPr="006E6296" w:rsidRDefault="006D69DC" w:rsidP="0099688F">
      <w:pPr>
        <w:numPr>
          <w:ilvl w:val="0"/>
          <w:numId w:val="63"/>
        </w:numPr>
        <w:bidi/>
        <w:spacing w:after="120" w:line="340" w:lineRule="exact"/>
        <w:ind w:left="1134" w:hanging="567"/>
        <w:rPr>
          <w:rFonts w:ascii="Arabic Typesetting" w:hAnsi="Arabic Typesetting" w:cs="Arabic Typesetting"/>
          <w:b/>
          <w:color w:val="000000"/>
          <w:sz w:val="34"/>
          <w:szCs w:val="34"/>
          <w:lang w:bidi="ar-EG"/>
        </w:rPr>
      </w:pPr>
      <w:r w:rsidRPr="006D69DC">
        <w:rPr>
          <w:rFonts w:ascii="Arabic Typesetting" w:hAnsi="Arabic Typesetting" w:cs="Arabic Typesetting" w:hint="cs"/>
          <w:b/>
          <w:color w:val="000000"/>
          <w:sz w:val="34"/>
          <w:szCs w:val="34"/>
          <w:rtl/>
          <w:lang w:bidi="ar-EG"/>
        </w:rPr>
        <w:t>وإعداد</w:t>
      </w:r>
      <w:r w:rsidRPr="006D69DC">
        <w:rPr>
          <w:rFonts w:ascii="Arabic Typesetting" w:hAnsi="Arabic Typesetting" w:cs="Arabic Typesetting"/>
          <w:b/>
          <w:color w:val="000000"/>
          <w:sz w:val="34"/>
          <w:szCs w:val="34"/>
          <w:rtl/>
          <w:lang w:bidi="ar-EG"/>
        </w:rPr>
        <w:t xml:space="preserve"> </w:t>
      </w:r>
      <w:r w:rsidRPr="006E6296">
        <w:rPr>
          <w:rFonts w:ascii="Arabic Typesetting" w:hAnsi="Arabic Typesetting" w:cs="Arabic Typesetting"/>
          <w:b/>
          <w:color w:val="000000"/>
          <w:sz w:val="34"/>
          <w:szCs w:val="34"/>
          <w:rtl/>
          <w:lang w:bidi="ar-EG"/>
        </w:rPr>
        <w:t xml:space="preserve">المواصفات </w:t>
      </w:r>
      <w:r w:rsidRPr="006E6296">
        <w:rPr>
          <w:rFonts w:ascii="Arabic Typesetting" w:hAnsi="Arabic Typesetting" w:cs="Arabic Typesetting" w:hint="cs"/>
          <w:b/>
          <w:color w:val="000000"/>
          <w:sz w:val="34"/>
          <w:szCs w:val="34"/>
          <w:rtl/>
          <w:lang w:bidi="ar-EG"/>
        </w:rPr>
        <w:t>الأولية</w:t>
      </w:r>
      <w:r w:rsidRPr="006E6296">
        <w:rPr>
          <w:rFonts w:ascii="Arabic Typesetting" w:hAnsi="Arabic Typesetting" w:cs="Arabic Typesetting"/>
          <w:b/>
          <w:color w:val="000000"/>
          <w:sz w:val="34"/>
          <w:szCs w:val="34"/>
          <w:rtl/>
          <w:lang w:bidi="ar-EG"/>
        </w:rPr>
        <w:t xml:space="preserve"> </w:t>
      </w:r>
      <w:r w:rsidRPr="006E6296">
        <w:rPr>
          <w:rFonts w:ascii="Arabic Typesetting" w:hAnsi="Arabic Typesetting" w:cs="Arabic Typesetting" w:hint="cs"/>
          <w:b/>
          <w:color w:val="000000"/>
          <w:sz w:val="34"/>
          <w:szCs w:val="34"/>
          <w:rtl/>
          <w:lang w:bidi="ar-EG"/>
        </w:rPr>
        <w:t xml:space="preserve">لمهندس </w:t>
      </w:r>
      <w:r w:rsidRPr="006D69DC">
        <w:rPr>
          <w:rFonts w:ascii="Arabic Typesetting" w:hAnsi="Arabic Typesetting" w:cs="Arabic Typesetting"/>
          <w:b/>
          <w:color w:val="000000"/>
          <w:sz w:val="34"/>
          <w:szCs w:val="34"/>
          <w:rtl/>
          <w:lang w:bidi="ar-EG"/>
        </w:rPr>
        <w:t>التدفئة والتهوية وتكييف الهواء</w:t>
      </w:r>
      <w:r w:rsidRPr="006D69DC">
        <w:rPr>
          <w:rFonts w:ascii="Arabic Typesetting" w:hAnsi="Arabic Typesetting" w:cs="Arabic Typesetting" w:hint="cs"/>
          <w:b/>
          <w:color w:val="000000"/>
          <w:sz w:val="34"/>
          <w:szCs w:val="34"/>
          <w:rtl/>
          <w:lang w:bidi="ar-EG"/>
        </w:rPr>
        <w:t xml:space="preserve"> ومهندس الواجهة</w:t>
      </w:r>
      <w:r w:rsidRPr="006E6296">
        <w:rPr>
          <w:rFonts w:ascii="Arabic Typesetting" w:hAnsi="Arabic Typesetting" w:cs="Arabic Typesetting" w:hint="cs"/>
          <w:b/>
          <w:color w:val="000000"/>
          <w:sz w:val="34"/>
          <w:szCs w:val="34"/>
          <w:rtl/>
          <w:lang w:bidi="ar-EG"/>
        </w:rPr>
        <w:t>؛</w:t>
      </w:r>
    </w:p>
    <w:p w:rsidR="006D69DC" w:rsidRPr="006E6296" w:rsidRDefault="006D69DC" w:rsidP="0099688F">
      <w:pPr>
        <w:numPr>
          <w:ilvl w:val="0"/>
          <w:numId w:val="63"/>
        </w:numPr>
        <w:bidi/>
        <w:spacing w:after="120" w:line="340" w:lineRule="exact"/>
        <w:ind w:left="1134" w:hanging="567"/>
        <w:rPr>
          <w:rFonts w:ascii="Arabic Typesetting" w:hAnsi="Arabic Typesetting" w:cs="Arabic Typesetting"/>
          <w:b/>
          <w:color w:val="000000"/>
          <w:sz w:val="34"/>
          <w:szCs w:val="34"/>
          <w:lang w:bidi="ar-EG"/>
        </w:rPr>
      </w:pPr>
      <w:r w:rsidRPr="006E6296">
        <w:rPr>
          <w:rFonts w:ascii="Arabic Typesetting" w:hAnsi="Arabic Typesetting" w:cs="Arabic Typesetting" w:hint="cs"/>
          <w:b/>
          <w:color w:val="000000"/>
          <w:sz w:val="34"/>
          <w:szCs w:val="34"/>
          <w:rtl/>
          <w:lang w:bidi="ar-EG"/>
        </w:rPr>
        <w:lastRenderedPageBreak/>
        <w:t xml:space="preserve">وطرح مناقصة بشأن مهندس </w:t>
      </w:r>
      <w:r w:rsidRPr="006D69DC">
        <w:rPr>
          <w:rFonts w:ascii="Arabic Typesetting" w:hAnsi="Arabic Typesetting" w:cs="Arabic Typesetting"/>
          <w:b/>
          <w:color w:val="000000"/>
          <w:sz w:val="34"/>
          <w:szCs w:val="34"/>
          <w:rtl/>
          <w:lang w:bidi="ar-EG"/>
        </w:rPr>
        <w:t>التدفئة والتهوية وتكييف الهواء</w:t>
      </w:r>
      <w:r w:rsidRPr="006D69DC">
        <w:rPr>
          <w:rFonts w:ascii="Arabic Typesetting" w:hAnsi="Arabic Typesetting" w:cs="Arabic Typesetting" w:hint="cs"/>
          <w:b/>
          <w:color w:val="000000"/>
          <w:sz w:val="34"/>
          <w:szCs w:val="34"/>
          <w:rtl/>
          <w:lang w:bidi="ar-EG"/>
        </w:rPr>
        <w:t xml:space="preserve"> ومهندس الواجهة. ولتمكين القيادة/المهندس المعماري من المشاركة بشكل تام في هذه العملية</w:t>
      </w:r>
      <w:r w:rsidRPr="006E6296">
        <w:rPr>
          <w:rFonts w:ascii="Arabic Typesetting" w:hAnsi="Arabic Typesetting" w:cs="Arabic Typesetting"/>
          <w:b/>
          <w:color w:val="000000"/>
          <w:sz w:val="28"/>
          <w:szCs w:val="28"/>
          <w:vertAlign w:val="superscript"/>
          <w:rtl/>
          <w:lang w:bidi="ar-EG"/>
        </w:rPr>
        <w:footnoteReference w:id="174"/>
      </w:r>
      <w:r w:rsidRPr="006D69DC">
        <w:rPr>
          <w:rFonts w:ascii="Arabic Typesetting" w:hAnsi="Arabic Typesetting" w:cs="Arabic Typesetting" w:hint="cs"/>
          <w:b/>
          <w:color w:val="000000"/>
          <w:sz w:val="34"/>
          <w:szCs w:val="34"/>
          <w:rtl/>
          <w:lang w:bidi="ar-EG"/>
        </w:rPr>
        <w:t>، أرجئ الجدول الزمني المحدّد لاستكمال المناقصة.</w:t>
      </w:r>
    </w:p>
    <w:p w:rsidR="006D69DC" w:rsidRPr="006D69DC" w:rsidRDefault="006E6296" w:rsidP="0099688F">
      <w:pPr>
        <w:numPr>
          <w:ilvl w:val="0"/>
          <w:numId w:val="66"/>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و</w:t>
      </w:r>
      <w:r w:rsidR="006D69DC" w:rsidRPr="006D69DC">
        <w:rPr>
          <w:rFonts w:ascii="Arabic Typesetting" w:hAnsi="Arabic Typesetting" w:cs="Arabic Typesetting" w:hint="cs"/>
          <w:sz w:val="34"/>
          <w:szCs w:val="34"/>
          <w:rtl/>
        </w:rPr>
        <w:t xml:space="preserve">حُدّث الجدول الزمني للمشروع مرّة أخرى </w:t>
      </w:r>
      <w:r w:rsidR="00720203">
        <w:rPr>
          <w:rFonts w:ascii="Arabic Typesetting" w:hAnsi="Arabic Typesetting" w:cs="Arabic Typesetting" w:hint="cs"/>
          <w:sz w:val="34"/>
          <w:szCs w:val="34"/>
          <w:rtl/>
        </w:rPr>
        <w:t xml:space="preserve">على أساس </w:t>
      </w:r>
      <w:r w:rsidR="006D69DC" w:rsidRPr="006D69DC">
        <w:rPr>
          <w:rFonts w:ascii="Arabic Typesetting" w:hAnsi="Arabic Typesetting" w:cs="Arabic Typesetting" w:hint="cs"/>
          <w:sz w:val="34"/>
          <w:szCs w:val="34"/>
          <w:rtl/>
        </w:rPr>
        <w:t xml:space="preserve">تغييرات المواعيد </w:t>
      </w:r>
      <w:r w:rsidR="00720203">
        <w:rPr>
          <w:rFonts w:ascii="Arabic Typesetting" w:hAnsi="Arabic Typesetting" w:cs="Arabic Typesetting" w:hint="cs"/>
          <w:sz w:val="34"/>
          <w:szCs w:val="34"/>
          <w:rtl/>
        </w:rPr>
        <w:t>المذكورة آنفاً</w:t>
      </w:r>
      <w:r w:rsidR="006D69DC" w:rsidRPr="006D69DC">
        <w:rPr>
          <w:rFonts w:ascii="Arabic Typesetting" w:hAnsi="Arabic Typesetting" w:cs="Arabic Typesetting" w:hint="cs"/>
          <w:sz w:val="34"/>
          <w:szCs w:val="34"/>
          <w:rtl/>
        </w:rPr>
        <w:t>.</w:t>
      </w:r>
    </w:p>
    <w:p w:rsidR="006D69DC" w:rsidRPr="006D69DC" w:rsidRDefault="006D69DC" w:rsidP="006D69DC">
      <w:pPr>
        <w:keepNext/>
        <w:bidi/>
        <w:spacing w:before="120"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t>تحقيق المنافع</w:t>
      </w:r>
    </w:p>
    <w:tbl>
      <w:tblPr>
        <w:bidiVisual/>
        <w:tblW w:w="38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63"/>
        <w:gridCol w:w="4551"/>
      </w:tblGrid>
      <w:tr w:rsidR="006D69DC" w:rsidRPr="006D69DC" w:rsidTr="00720203">
        <w:trPr>
          <w:trHeight w:val="314"/>
          <w:tblHeader/>
          <w:jc w:val="center"/>
        </w:trPr>
        <w:tc>
          <w:tcPr>
            <w:tcW w:w="1889" w:type="pct"/>
            <w:shd w:val="clear" w:color="auto" w:fill="C6D9F1"/>
            <w:vAlign w:val="center"/>
          </w:tcPr>
          <w:p w:rsidR="006D69DC" w:rsidRPr="006D69DC" w:rsidRDefault="006D69DC" w:rsidP="006D69DC">
            <w:pPr>
              <w:keepNext/>
              <w:keepLines/>
              <w:bidi/>
              <w:spacing w:line="280" w:lineRule="exact"/>
              <w:jc w:val="center"/>
              <w:rPr>
                <w:rFonts w:ascii="Arabic Typesetting" w:hAnsi="Arabic Typesetting" w:cs="Arabic Typesetting"/>
                <w:sz w:val="28"/>
                <w:szCs w:val="28"/>
                <w:rtl/>
                <w:lang w:bidi="ar-EG"/>
              </w:rPr>
            </w:pPr>
            <w:r w:rsidRPr="006D69DC">
              <w:rPr>
                <w:rFonts w:ascii="Arabic Typesetting" w:hAnsi="Arabic Typesetting" w:cs="Arabic Typesetting"/>
                <w:bCs/>
                <w:color w:val="000000"/>
                <w:sz w:val="28"/>
                <w:szCs w:val="28"/>
                <w:rtl/>
                <w:lang w:bidi="ar-EG"/>
              </w:rPr>
              <w:t>المنافع المتوقعة 2017</w:t>
            </w:r>
          </w:p>
        </w:tc>
        <w:tc>
          <w:tcPr>
            <w:tcW w:w="3111" w:type="pct"/>
            <w:shd w:val="clear" w:color="auto" w:fill="C6D9F1"/>
          </w:tcPr>
          <w:p w:rsidR="006D69DC" w:rsidRPr="006D69DC" w:rsidRDefault="006D69DC" w:rsidP="006D69DC">
            <w:pPr>
              <w:keepNext/>
              <w:keepLines/>
              <w:bidi/>
              <w:spacing w:line="280" w:lineRule="exact"/>
              <w:jc w:val="center"/>
              <w:rPr>
                <w:rFonts w:ascii="Arabic Typesetting" w:hAnsi="Arabic Typesetting" w:cs="Arabic Typesetting"/>
                <w:sz w:val="28"/>
                <w:szCs w:val="28"/>
                <w:rtl/>
                <w:lang w:bidi="ar-EG"/>
              </w:rPr>
            </w:pPr>
            <w:r w:rsidRPr="006D69DC">
              <w:rPr>
                <w:rFonts w:ascii="Arabic Typesetting" w:hAnsi="Arabic Typesetting" w:cs="Arabic Typesetting"/>
                <w:bCs/>
                <w:color w:val="000000"/>
                <w:sz w:val="28"/>
                <w:szCs w:val="28"/>
                <w:rtl/>
                <w:lang w:bidi="ar-EG"/>
              </w:rPr>
              <w:t>المنافع المتوقعة 2018</w:t>
            </w:r>
          </w:p>
        </w:tc>
      </w:tr>
      <w:tr w:rsidR="006D69DC" w:rsidRPr="006D69DC" w:rsidTr="00720203">
        <w:trPr>
          <w:trHeight w:val="564"/>
          <w:jc w:val="center"/>
        </w:trPr>
        <w:tc>
          <w:tcPr>
            <w:tcW w:w="1889" w:type="pct"/>
          </w:tcPr>
          <w:p w:rsidR="006D69DC" w:rsidRPr="006D69DC" w:rsidRDefault="006D69DC" w:rsidP="006D69DC">
            <w:pPr>
              <w:keepNext/>
              <w:keepLines/>
              <w:bidi/>
              <w:spacing w:line="280" w:lineRule="exact"/>
              <w:rPr>
                <w:rFonts w:ascii="Arabic Typesetting" w:hAnsi="Arabic Typesetting" w:cs="Arabic Typesetting"/>
                <w:b/>
                <w:i/>
                <w:sz w:val="28"/>
                <w:szCs w:val="28"/>
                <w:rtl/>
                <w:lang w:bidi="ar-EG"/>
              </w:rPr>
            </w:pPr>
            <w:r w:rsidRPr="006D69DC">
              <w:rPr>
                <w:rFonts w:ascii="Arabic Typesetting" w:hAnsi="Arabic Typesetting" w:cs="Arabic Typesetting"/>
                <w:b/>
                <w:i/>
                <w:color w:val="000000"/>
                <w:sz w:val="28"/>
                <w:szCs w:val="28"/>
                <w:rtl/>
                <w:lang w:bidi="ar-EG"/>
              </w:rPr>
              <w:t>تحسينات جزئية في المرافق التقنية</w:t>
            </w:r>
          </w:p>
        </w:tc>
        <w:tc>
          <w:tcPr>
            <w:tcW w:w="3111" w:type="pct"/>
          </w:tcPr>
          <w:p w:rsidR="006D69DC" w:rsidRPr="006D69DC" w:rsidRDefault="006D69DC" w:rsidP="006D69DC">
            <w:pPr>
              <w:keepNext/>
              <w:keepLines/>
              <w:bidi/>
              <w:spacing w:line="280" w:lineRule="exact"/>
              <w:rPr>
                <w:rFonts w:ascii="Arabic Typesetting" w:hAnsi="Arabic Typesetting" w:cs="Arabic Typesetting"/>
                <w:b/>
                <w:i/>
                <w:sz w:val="28"/>
                <w:szCs w:val="28"/>
                <w:rtl/>
                <w:lang w:bidi="ar-EG"/>
              </w:rPr>
            </w:pPr>
            <w:r w:rsidRPr="006D69DC">
              <w:rPr>
                <w:rFonts w:ascii="Arabic Typesetting" w:hAnsi="Arabic Typesetting" w:cs="Arabic Typesetting"/>
                <w:b/>
                <w:i/>
                <w:color w:val="000000"/>
                <w:sz w:val="28"/>
                <w:szCs w:val="28"/>
                <w:rtl/>
                <w:lang w:bidi="ar-EG"/>
              </w:rPr>
              <w:t>تحسينات كاملة في المرافق التقنية</w:t>
            </w:r>
          </w:p>
        </w:tc>
      </w:tr>
      <w:tr w:rsidR="006D69DC" w:rsidRPr="006D69DC" w:rsidTr="00720203">
        <w:trPr>
          <w:trHeight w:val="564"/>
          <w:jc w:val="center"/>
        </w:trPr>
        <w:tc>
          <w:tcPr>
            <w:tcW w:w="1889" w:type="pct"/>
          </w:tcPr>
          <w:p w:rsidR="006D69DC" w:rsidRPr="006D69DC" w:rsidRDefault="006D69DC" w:rsidP="006D69DC">
            <w:pPr>
              <w:keepNext/>
              <w:keepLines/>
              <w:bidi/>
              <w:spacing w:line="280" w:lineRule="exact"/>
              <w:rPr>
                <w:rFonts w:ascii="Arabic Typesetting" w:hAnsi="Arabic Typesetting" w:cs="Arabic Typesetting"/>
                <w:b/>
                <w:i/>
                <w:sz w:val="28"/>
                <w:szCs w:val="28"/>
                <w:rtl/>
                <w:lang w:bidi="ar-EG"/>
              </w:rPr>
            </w:pPr>
            <w:r w:rsidRPr="006D69DC">
              <w:rPr>
                <w:rFonts w:ascii="Arabic Typesetting" w:hAnsi="Arabic Typesetting" w:cs="Arabic Typesetting"/>
                <w:b/>
                <w:i/>
                <w:sz w:val="28"/>
                <w:szCs w:val="28"/>
                <w:rtl/>
                <w:lang w:bidi="ar-EG"/>
              </w:rPr>
              <w:t>تحسين جزئي في راحة العاملين</w:t>
            </w:r>
          </w:p>
        </w:tc>
        <w:tc>
          <w:tcPr>
            <w:tcW w:w="3111" w:type="pct"/>
          </w:tcPr>
          <w:p w:rsidR="006D69DC" w:rsidRPr="006D69DC" w:rsidRDefault="006D69DC" w:rsidP="006D69DC">
            <w:pPr>
              <w:keepNext/>
              <w:keepLines/>
              <w:bidi/>
              <w:spacing w:line="280" w:lineRule="exact"/>
              <w:rPr>
                <w:rFonts w:ascii="Arabic Typesetting" w:hAnsi="Arabic Typesetting" w:cs="Arabic Typesetting"/>
                <w:b/>
                <w:i/>
                <w:sz w:val="28"/>
                <w:szCs w:val="28"/>
                <w:rtl/>
                <w:lang w:bidi="ar-EG"/>
              </w:rPr>
            </w:pPr>
            <w:r w:rsidRPr="006D69DC">
              <w:rPr>
                <w:rFonts w:ascii="Arabic Typesetting" w:hAnsi="Arabic Typesetting" w:cs="Arabic Typesetting"/>
                <w:b/>
                <w:i/>
                <w:sz w:val="28"/>
                <w:szCs w:val="28"/>
                <w:rtl/>
                <w:lang w:bidi="ar-EG"/>
              </w:rPr>
              <w:t>تحسين كامل في راحة العاملين</w:t>
            </w:r>
          </w:p>
        </w:tc>
      </w:tr>
      <w:tr w:rsidR="006D69DC" w:rsidRPr="006D69DC" w:rsidTr="00720203">
        <w:trPr>
          <w:trHeight w:val="564"/>
          <w:jc w:val="center"/>
        </w:trPr>
        <w:tc>
          <w:tcPr>
            <w:tcW w:w="1889" w:type="pct"/>
          </w:tcPr>
          <w:p w:rsidR="006D69DC" w:rsidRPr="006D69DC" w:rsidRDefault="006D69DC" w:rsidP="006D69DC">
            <w:pPr>
              <w:bidi/>
              <w:spacing w:line="280" w:lineRule="exact"/>
              <w:rPr>
                <w:rFonts w:ascii="Arabic Typesetting" w:hAnsi="Arabic Typesetting" w:cs="Arabic Typesetting"/>
                <w:b/>
                <w:i/>
                <w:sz w:val="28"/>
                <w:szCs w:val="28"/>
              </w:rPr>
            </w:pPr>
          </w:p>
        </w:tc>
        <w:tc>
          <w:tcPr>
            <w:tcW w:w="3111" w:type="pct"/>
          </w:tcPr>
          <w:p w:rsidR="006D69DC" w:rsidRPr="006D69DC" w:rsidRDefault="006D69DC" w:rsidP="006D69DC">
            <w:pPr>
              <w:bidi/>
              <w:spacing w:line="280" w:lineRule="exact"/>
              <w:rPr>
                <w:rFonts w:ascii="Arabic Typesetting" w:hAnsi="Arabic Typesetting" w:cs="Arabic Typesetting"/>
                <w:b/>
                <w:i/>
                <w:sz w:val="28"/>
                <w:szCs w:val="28"/>
                <w:rtl/>
                <w:lang w:bidi="ar-EG"/>
              </w:rPr>
            </w:pPr>
            <w:r w:rsidRPr="006D69DC">
              <w:rPr>
                <w:rFonts w:ascii="Arabic Typesetting" w:hAnsi="Arabic Typesetting" w:cs="Arabic Typesetting"/>
                <w:b/>
                <w:i/>
                <w:color w:val="000000"/>
                <w:sz w:val="28"/>
                <w:szCs w:val="28"/>
                <w:rtl/>
                <w:lang w:bidi="ar-EG"/>
              </w:rPr>
              <w:t>تقليل جزئي للطاقة المهدرة بفضل الواجهات المحسنة</w:t>
            </w:r>
          </w:p>
        </w:tc>
      </w:tr>
      <w:tr w:rsidR="006D69DC" w:rsidRPr="006D69DC" w:rsidTr="00720203">
        <w:trPr>
          <w:trHeight w:val="564"/>
          <w:jc w:val="center"/>
        </w:trPr>
        <w:tc>
          <w:tcPr>
            <w:tcW w:w="1889" w:type="pct"/>
          </w:tcPr>
          <w:p w:rsidR="006D69DC" w:rsidRPr="006D69DC" w:rsidRDefault="006D69DC" w:rsidP="006D69DC">
            <w:pPr>
              <w:bidi/>
              <w:spacing w:line="280" w:lineRule="exact"/>
              <w:rPr>
                <w:rFonts w:ascii="Arabic Typesetting" w:hAnsi="Arabic Typesetting" w:cs="Arabic Typesetting"/>
                <w:b/>
                <w:i/>
                <w:sz w:val="28"/>
                <w:szCs w:val="28"/>
              </w:rPr>
            </w:pPr>
          </w:p>
        </w:tc>
        <w:tc>
          <w:tcPr>
            <w:tcW w:w="3111" w:type="pct"/>
          </w:tcPr>
          <w:p w:rsidR="006D69DC" w:rsidRPr="006D69DC" w:rsidRDefault="006D69DC" w:rsidP="006D69DC">
            <w:pPr>
              <w:bidi/>
              <w:spacing w:line="280" w:lineRule="exact"/>
              <w:rPr>
                <w:rFonts w:ascii="Arabic Typesetting" w:hAnsi="Arabic Typesetting" w:cs="Arabic Typesetting"/>
                <w:b/>
                <w:i/>
                <w:sz w:val="28"/>
                <w:szCs w:val="28"/>
                <w:rtl/>
                <w:lang w:bidi="ar-EG"/>
              </w:rPr>
            </w:pPr>
            <w:r w:rsidRPr="006D69DC">
              <w:rPr>
                <w:rFonts w:ascii="Arabic Typesetting" w:hAnsi="Arabic Typesetting" w:cs="Arabic Typesetting"/>
                <w:b/>
                <w:i/>
                <w:color w:val="000000"/>
                <w:sz w:val="28"/>
                <w:szCs w:val="28"/>
                <w:rtl/>
                <w:lang w:bidi="ar-EG"/>
              </w:rPr>
              <w:t>تقليل جزئي في استهلاك الطاقة بفضل الأسقف المعلقة الحرارية الجديدة</w:t>
            </w:r>
          </w:p>
        </w:tc>
      </w:tr>
      <w:tr w:rsidR="006D69DC" w:rsidRPr="006D69DC" w:rsidTr="00720203">
        <w:trPr>
          <w:trHeight w:val="564"/>
          <w:jc w:val="center"/>
        </w:trPr>
        <w:tc>
          <w:tcPr>
            <w:tcW w:w="1889" w:type="pct"/>
          </w:tcPr>
          <w:p w:rsidR="006D69DC" w:rsidRPr="006D69DC" w:rsidRDefault="006D69DC" w:rsidP="006D69DC">
            <w:pPr>
              <w:bidi/>
              <w:spacing w:line="280" w:lineRule="exact"/>
              <w:rPr>
                <w:rFonts w:ascii="Arabic Typesetting" w:hAnsi="Arabic Typesetting" w:cs="Arabic Typesetting"/>
                <w:b/>
                <w:i/>
                <w:sz w:val="28"/>
                <w:szCs w:val="28"/>
              </w:rPr>
            </w:pPr>
          </w:p>
        </w:tc>
        <w:tc>
          <w:tcPr>
            <w:tcW w:w="3111" w:type="pct"/>
          </w:tcPr>
          <w:p w:rsidR="006D69DC" w:rsidRPr="006D69DC" w:rsidRDefault="006D69DC" w:rsidP="006D69DC">
            <w:pPr>
              <w:bidi/>
              <w:spacing w:line="280" w:lineRule="exact"/>
              <w:rPr>
                <w:rFonts w:ascii="Arabic Typesetting" w:hAnsi="Arabic Typesetting" w:cs="Arabic Typesetting"/>
                <w:b/>
                <w:i/>
                <w:sz w:val="28"/>
                <w:szCs w:val="28"/>
                <w:rtl/>
                <w:lang w:bidi="ar-EG"/>
              </w:rPr>
            </w:pPr>
            <w:r w:rsidRPr="006D69DC">
              <w:rPr>
                <w:rFonts w:ascii="Arabic Typesetting" w:hAnsi="Arabic Typesetting" w:cs="Arabic Typesetting"/>
                <w:b/>
                <w:i/>
                <w:color w:val="000000"/>
                <w:sz w:val="28"/>
                <w:szCs w:val="28"/>
                <w:rtl/>
                <w:lang w:bidi="ar-EG"/>
              </w:rPr>
              <w:t>زيادة دورة حياة الأسقف المعلقة الحرارية الجديدة</w:t>
            </w:r>
          </w:p>
        </w:tc>
      </w:tr>
      <w:tr w:rsidR="006D69DC" w:rsidRPr="006D69DC" w:rsidTr="00720203">
        <w:trPr>
          <w:trHeight w:val="564"/>
          <w:jc w:val="center"/>
        </w:trPr>
        <w:tc>
          <w:tcPr>
            <w:tcW w:w="1889" w:type="pct"/>
          </w:tcPr>
          <w:p w:rsidR="006D69DC" w:rsidRPr="006D69DC" w:rsidRDefault="006D69DC" w:rsidP="006D69DC">
            <w:pPr>
              <w:bidi/>
              <w:spacing w:line="280" w:lineRule="exact"/>
              <w:rPr>
                <w:rFonts w:ascii="Arabic Typesetting" w:hAnsi="Arabic Typesetting" w:cs="Arabic Typesetting"/>
                <w:b/>
                <w:i/>
                <w:sz w:val="28"/>
                <w:szCs w:val="28"/>
              </w:rPr>
            </w:pPr>
          </w:p>
        </w:tc>
        <w:tc>
          <w:tcPr>
            <w:tcW w:w="3111" w:type="pct"/>
          </w:tcPr>
          <w:p w:rsidR="006D69DC" w:rsidRPr="006D69DC" w:rsidRDefault="006D69DC" w:rsidP="006D69DC">
            <w:pPr>
              <w:bidi/>
              <w:spacing w:line="280" w:lineRule="exact"/>
              <w:rPr>
                <w:rFonts w:ascii="Arabic Typesetting" w:hAnsi="Arabic Typesetting" w:cs="Arabic Typesetting"/>
                <w:b/>
                <w:i/>
                <w:sz w:val="28"/>
                <w:szCs w:val="28"/>
                <w:rtl/>
                <w:lang w:bidi="ar-EG"/>
              </w:rPr>
            </w:pPr>
            <w:r w:rsidRPr="006D69DC">
              <w:rPr>
                <w:rFonts w:ascii="Arabic Typesetting" w:hAnsi="Arabic Typesetting" w:cs="Arabic Typesetting"/>
                <w:b/>
                <w:i/>
                <w:color w:val="000000"/>
                <w:sz w:val="28"/>
                <w:szCs w:val="28"/>
                <w:rtl/>
                <w:lang w:bidi="ar-EG"/>
              </w:rPr>
              <w:t>تقليل تكلفة الصيانة التصحيحية بفضل الأسقف المعلقة الحرارية الجديدة</w:t>
            </w:r>
          </w:p>
        </w:tc>
      </w:tr>
    </w:tbl>
    <w:p w:rsidR="006D69DC" w:rsidRPr="006D69DC" w:rsidRDefault="006D69DC" w:rsidP="006D69DC">
      <w:pPr>
        <w:keepNext/>
        <w:bidi/>
        <w:spacing w:before="120" w:after="120" w:line="340" w:lineRule="exact"/>
        <w:rPr>
          <w:rFonts w:ascii="Arabic Typesetting" w:hAnsi="Arabic Typesetting" w:cs="Arabic Typesetting"/>
          <w:sz w:val="34"/>
          <w:szCs w:val="34"/>
          <w:lang w:val="fr-CH"/>
        </w:rPr>
      </w:pPr>
      <w:r w:rsidRPr="006D69DC">
        <w:rPr>
          <w:rFonts w:ascii="Arabic Typesetting" w:hAnsi="Arabic Typesetting" w:cs="Arabic Typesetting"/>
          <w:sz w:val="34"/>
          <w:szCs w:val="34"/>
          <w:rtl/>
          <w:lang w:val="fr-CH"/>
        </w:rPr>
        <w:t>استخدام الموارد</w:t>
      </w:r>
      <w:r w:rsidRPr="006D69DC">
        <w:rPr>
          <w:rFonts w:ascii="Arabic Typesetting" w:hAnsi="Arabic Typesetting" w:cs="Arabic Typesetting"/>
          <w:sz w:val="28"/>
          <w:szCs w:val="28"/>
          <w:vertAlign w:val="superscript"/>
          <w:rtl/>
          <w:lang w:val="fr-CH"/>
        </w:rPr>
        <w:footnoteReference w:id="175"/>
      </w:r>
    </w:p>
    <w:p w:rsidR="006D69DC" w:rsidRPr="006D69DC" w:rsidRDefault="006D69DC" w:rsidP="006D69DC">
      <w:pPr>
        <w:keepNext/>
        <w:keepLines/>
        <w:tabs>
          <w:tab w:val="left" w:pos="3261"/>
        </w:tabs>
        <w:autoSpaceDE w:val="0"/>
        <w:autoSpaceDN w:val="0"/>
        <w:bidi/>
        <w:adjustRightInd w:val="0"/>
        <w:jc w:val="center"/>
        <w:rPr>
          <w:rFonts w:ascii="Arabic Typesetting" w:hAnsi="Arabic Typesetting" w:cs="Arabic Typesetting"/>
          <w:sz w:val="36"/>
          <w:szCs w:val="36"/>
          <w:rtl/>
          <w:lang w:bidi="ar-EG"/>
        </w:rPr>
      </w:pPr>
      <w:r w:rsidRPr="006D69DC">
        <w:rPr>
          <w:rFonts w:ascii="Arabic Typesetting" w:hAnsi="Arabic Typesetting" w:cs="Arabic Typesetting"/>
          <w:bCs/>
          <w:color w:val="000000"/>
          <w:sz w:val="36"/>
          <w:szCs w:val="36"/>
          <w:rtl/>
          <w:lang w:bidi="ar-EG"/>
        </w:rPr>
        <w:t>استخدام ميزانية المشروع</w:t>
      </w:r>
    </w:p>
    <w:p w:rsidR="006D69DC" w:rsidRPr="006D69DC" w:rsidRDefault="006D69DC" w:rsidP="006D69DC">
      <w:pPr>
        <w:keepNext/>
        <w:keepLines/>
        <w:tabs>
          <w:tab w:val="left" w:pos="3261"/>
        </w:tabs>
        <w:autoSpaceDE w:val="0"/>
        <w:autoSpaceDN w:val="0"/>
        <w:bidi/>
        <w:adjustRightInd w:val="0"/>
        <w:jc w:val="center"/>
        <w:rPr>
          <w:rFonts w:ascii="Arabic Typesetting" w:hAnsi="Arabic Typesetting" w:cs="Arabic Typesetting"/>
          <w:iCs/>
          <w:sz w:val="36"/>
          <w:szCs w:val="36"/>
          <w:lang w:bidi="ar-EG"/>
        </w:rPr>
      </w:pPr>
      <w:r w:rsidRPr="006D69DC">
        <w:rPr>
          <w:rFonts w:ascii="Arabic Typesetting" w:hAnsi="Arabic Typesetting" w:cs="Arabic Typesetting"/>
          <w:iCs/>
          <w:color w:val="000000"/>
          <w:sz w:val="36"/>
          <w:szCs w:val="36"/>
          <w:rtl/>
          <w:lang w:bidi="ar-EG"/>
        </w:rPr>
        <w:t xml:space="preserve">(بالفرنك السويسري، في 31 ديسمبر </w:t>
      </w:r>
      <w:r w:rsidRPr="006D69DC">
        <w:rPr>
          <w:rFonts w:ascii="Arabic Typesetting" w:hAnsi="Arabic Typesetting" w:cs="Arabic Typesetting" w:hint="cs"/>
          <w:iCs/>
          <w:color w:val="000000"/>
          <w:sz w:val="36"/>
          <w:szCs w:val="36"/>
          <w:rtl/>
          <w:lang w:bidi="ar-EG"/>
        </w:rPr>
        <w:t>2015</w:t>
      </w:r>
      <w:r w:rsidRPr="006D69DC">
        <w:rPr>
          <w:rFonts w:ascii="Arabic Typesetting" w:hAnsi="Arabic Typesetting" w:cs="Arabic Typesetting"/>
          <w:iCs/>
          <w:color w:val="000000"/>
          <w:sz w:val="36"/>
          <w:szCs w:val="36"/>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564"/>
        <w:gridCol w:w="1565"/>
        <w:gridCol w:w="1565"/>
        <w:gridCol w:w="1564"/>
      </w:tblGrid>
      <w:tr w:rsidR="006D69DC" w:rsidRPr="006D69DC" w:rsidTr="001D7014">
        <w:trPr>
          <w:trHeight w:val="410"/>
        </w:trPr>
        <w:tc>
          <w:tcPr>
            <w:tcW w:w="1598" w:type="pct"/>
            <w:shd w:val="clear" w:color="auto" w:fill="C6D9F1"/>
            <w:vAlign w:val="center"/>
          </w:tcPr>
          <w:p w:rsidR="006D69DC" w:rsidRPr="006D69DC" w:rsidRDefault="006D69DC" w:rsidP="006D69DC">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اسم المشروع</w:t>
            </w:r>
          </w:p>
        </w:tc>
        <w:tc>
          <w:tcPr>
            <w:tcW w:w="850" w:type="pct"/>
            <w:shd w:val="clear" w:color="auto" w:fill="C6D9F1"/>
            <w:vAlign w:val="center"/>
          </w:tcPr>
          <w:p w:rsidR="006D69DC" w:rsidRPr="006D69DC" w:rsidRDefault="006D69DC" w:rsidP="006D69DC">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color w:val="000000"/>
                <w:sz w:val="28"/>
                <w:szCs w:val="28"/>
                <w:rtl/>
                <w:lang w:bidi="ar-EG"/>
              </w:rPr>
              <w:t>ميزانية المشروع</w:t>
            </w:r>
          </w:p>
        </w:tc>
        <w:tc>
          <w:tcPr>
            <w:tcW w:w="851" w:type="pct"/>
            <w:shd w:val="clear" w:color="auto" w:fill="C6D9F1"/>
            <w:vAlign w:val="center"/>
          </w:tcPr>
          <w:p w:rsidR="006D69DC" w:rsidRPr="006D69DC" w:rsidRDefault="006D69DC" w:rsidP="006D69DC">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6D69DC">
              <w:rPr>
                <w:rFonts w:ascii="Arabic Typesetting" w:hAnsi="Arabic Typesetting" w:cs="Arabic Typesetting"/>
                <w:bCs/>
                <w:color w:val="000000"/>
                <w:sz w:val="28"/>
                <w:szCs w:val="28"/>
                <w:rtl/>
                <w:lang w:bidi="ar-EG"/>
              </w:rPr>
              <w:t>النفقات الفعلية حتى تاريخه</w:t>
            </w:r>
          </w:p>
        </w:tc>
        <w:tc>
          <w:tcPr>
            <w:tcW w:w="851"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c>
          <w:tcPr>
            <w:tcW w:w="850"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6D69DC">
              <w:rPr>
                <w:rFonts w:ascii="Arabic Typesetting" w:hAnsi="Arabic Typesetting" w:cs="Arabic Typesetting"/>
                <w:bCs/>
                <w:color w:val="000000"/>
                <w:sz w:val="28"/>
                <w:szCs w:val="28"/>
                <w:rtl/>
                <w:lang w:bidi="ar-EG"/>
              </w:rPr>
              <w:t>معدل التقدم المحرز في تنفيذ المشروع</w:t>
            </w:r>
          </w:p>
        </w:tc>
      </w:tr>
      <w:tr w:rsidR="00720203" w:rsidRPr="006D69DC" w:rsidTr="001D7014">
        <w:trPr>
          <w:trHeight w:val="389"/>
        </w:trPr>
        <w:tc>
          <w:tcPr>
            <w:tcW w:w="1598" w:type="pct"/>
            <w:vAlign w:val="center"/>
          </w:tcPr>
          <w:p w:rsidR="00720203" w:rsidRPr="006D69DC" w:rsidRDefault="00720203" w:rsidP="00720203">
            <w:pPr>
              <w:keepNext/>
              <w:keepLines/>
              <w:autoSpaceDE w:val="0"/>
              <w:autoSpaceDN w:val="0"/>
              <w:bidi/>
              <w:adjustRightInd w:val="0"/>
              <w:spacing w:before="40" w:after="40"/>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تجديد الواجهات وتجهيزات التبريد/التدفئة في مبنى البراءات (</w:t>
            </w:r>
            <w:r w:rsidRPr="006D69DC">
              <w:rPr>
                <w:rFonts w:ascii="Arabic Typesetting" w:hAnsi="Arabic Typesetting" w:cs="Arabic Typesetting"/>
                <w:sz w:val="28"/>
                <w:szCs w:val="28"/>
                <w:lang w:bidi="ar-EG"/>
              </w:rPr>
              <w:t>CMP 3</w:t>
            </w:r>
            <w:r w:rsidRPr="006D69DC">
              <w:rPr>
                <w:rFonts w:ascii="Arabic Typesetting" w:hAnsi="Arabic Typesetting" w:cs="Arabic Typesetting"/>
                <w:sz w:val="28"/>
                <w:szCs w:val="28"/>
                <w:rtl/>
                <w:lang w:bidi="ar-EG"/>
              </w:rPr>
              <w:t>)</w:t>
            </w:r>
          </w:p>
        </w:tc>
        <w:tc>
          <w:tcPr>
            <w:tcW w:w="850" w:type="pct"/>
            <w:vAlign w:val="center"/>
          </w:tcPr>
          <w:p w:rsidR="00720203" w:rsidRPr="00970583" w:rsidRDefault="00720203" w:rsidP="00720203">
            <w:pPr>
              <w:keepNext/>
              <w:keepLines/>
              <w:autoSpaceDE w:val="0"/>
              <w:autoSpaceDN w:val="0"/>
              <w:adjustRightInd w:val="0"/>
              <w:spacing w:before="40" w:after="40"/>
              <w:jc w:val="center"/>
              <w:rPr>
                <w:sz w:val="16"/>
                <w:szCs w:val="16"/>
              </w:rPr>
            </w:pPr>
            <w:r w:rsidRPr="00970583">
              <w:rPr>
                <w:sz w:val="16"/>
                <w:szCs w:val="16"/>
              </w:rPr>
              <w:t>6</w:t>
            </w:r>
            <w:r>
              <w:rPr>
                <w:sz w:val="16"/>
                <w:szCs w:val="16"/>
              </w:rPr>
              <w:t>,</w:t>
            </w:r>
            <w:r w:rsidRPr="00970583">
              <w:rPr>
                <w:sz w:val="16"/>
                <w:szCs w:val="16"/>
              </w:rPr>
              <w:t>000</w:t>
            </w:r>
            <w:r>
              <w:rPr>
                <w:sz w:val="16"/>
                <w:szCs w:val="16"/>
              </w:rPr>
              <w:t>,</w:t>
            </w:r>
            <w:r w:rsidRPr="00970583">
              <w:rPr>
                <w:sz w:val="16"/>
                <w:szCs w:val="16"/>
              </w:rPr>
              <w:t>000</w:t>
            </w:r>
          </w:p>
        </w:tc>
        <w:tc>
          <w:tcPr>
            <w:tcW w:w="851"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83,651</w:t>
            </w:r>
          </w:p>
        </w:tc>
        <w:tc>
          <w:tcPr>
            <w:tcW w:w="851"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1.4%</w:t>
            </w:r>
          </w:p>
        </w:tc>
        <w:tc>
          <w:tcPr>
            <w:tcW w:w="850"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10%</w:t>
            </w:r>
          </w:p>
        </w:tc>
      </w:tr>
    </w:tbl>
    <w:p w:rsidR="006D69DC" w:rsidRPr="006D69DC" w:rsidRDefault="006D69DC" w:rsidP="006D69DC">
      <w:pPr>
        <w:bidi/>
        <w:rPr>
          <w:rFonts w:ascii="Arabic Typesetting" w:hAnsi="Arabic Typesetting" w:cs="Arabic Typesetting"/>
          <w:sz w:val="36"/>
          <w:szCs w:val="36"/>
        </w:rPr>
      </w:pPr>
    </w:p>
    <w:p w:rsidR="006D69DC" w:rsidRPr="006D69DC" w:rsidRDefault="006D69DC" w:rsidP="006D69DC">
      <w:pPr>
        <w:keepNext/>
        <w:keepLines/>
        <w:tabs>
          <w:tab w:val="left" w:pos="3261"/>
        </w:tabs>
        <w:autoSpaceDE w:val="0"/>
        <w:autoSpaceDN w:val="0"/>
        <w:bidi/>
        <w:adjustRightInd w:val="0"/>
        <w:jc w:val="center"/>
        <w:rPr>
          <w:rFonts w:ascii="Arabic Typesetting" w:hAnsi="Arabic Typesetting" w:cs="Arabic Typesetting"/>
          <w:bCs/>
          <w:sz w:val="36"/>
          <w:szCs w:val="36"/>
          <w:rtl/>
          <w:lang w:bidi="ar-EG"/>
        </w:rPr>
      </w:pPr>
      <w:r w:rsidRPr="006D69DC">
        <w:rPr>
          <w:rFonts w:ascii="Arabic Typesetting" w:hAnsi="Arabic Typesetting" w:cs="Arabic Typesetting"/>
          <w:bCs/>
          <w:color w:val="000000"/>
          <w:sz w:val="36"/>
          <w:szCs w:val="36"/>
          <w:rtl/>
          <w:lang w:bidi="ar-EG"/>
        </w:rPr>
        <w:t>استخدام ميزانية المشروع (حسب المعالم)</w:t>
      </w:r>
    </w:p>
    <w:p w:rsidR="006D69DC" w:rsidRPr="006D69DC" w:rsidRDefault="006D69DC" w:rsidP="006D69DC">
      <w:pPr>
        <w:keepNext/>
        <w:keepLines/>
        <w:tabs>
          <w:tab w:val="left" w:pos="3261"/>
        </w:tabs>
        <w:autoSpaceDE w:val="0"/>
        <w:autoSpaceDN w:val="0"/>
        <w:bidi/>
        <w:adjustRightInd w:val="0"/>
        <w:jc w:val="center"/>
        <w:rPr>
          <w:rFonts w:ascii="Arabic Typesetting" w:hAnsi="Arabic Typesetting" w:cs="Arabic Typesetting"/>
          <w:iCs/>
          <w:sz w:val="36"/>
          <w:szCs w:val="36"/>
          <w:lang w:bidi="ar-EG"/>
        </w:rPr>
      </w:pPr>
      <w:r w:rsidRPr="006D69DC">
        <w:rPr>
          <w:rFonts w:ascii="Arabic Typesetting" w:hAnsi="Arabic Typesetting" w:cs="Arabic Typesetting"/>
          <w:iCs/>
          <w:sz w:val="36"/>
          <w:szCs w:val="36"/>
          <w:rtl/>
          <w:lang w:bidi="ar-EG"/>
        </w:rPr>
        <w:t xml:space="preserve">(بالفرنك السويسري، في 31 ديسمبر </w:t>
      </w:r>
      <w:r w:rsidRPr="006D69DC">
        <w:rPr>
          <w:rFonts w:ascii="Arabic Typesetting" w:hAnsi="Arabic Typesetting" w:cs="Arabic Typesetting" w:hint="cs"/>
          <w:iCs/>
          <w:sz w:val="36"/>
          <w:szCs w:val="36"/>
          <w:rtl/>
          <w:lang w:bidi="ar-EG"/>
        </w:rPr>
        <w:t>2015</w:t>
      </w:r>
      <w:r w:rsidRPr="006D69DC">
        <w:rPr>
          <w:rFonts w:ascii="Arabic Typesetting" w:hAnsi="Arabic Typesetting" w:cs="Arabic Typesetting"/>
          <w:iCs/>
          <w:sz w:val="36"/>
          <w:szCs w:val="36"/>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8"/>
        <w:gridCol w:w="1575"/>
        <w:gridCol w:w="1575"/>
        <w:gridCol w:w="1575"/>
        <w:gridCol w:w="1575"/>
      </w:tblGrid>
      <w:tr w:rsidR="006D69DC" w:rsidRPr="006D69DC" w:rsidTr="001D7014">
        <w:trPr>
          <w:trHeight w:val="410"/>
        </w:trPr>
        <w:tc>
          <w:tcPr>
            <w:tcW w:w="1575" w:type="pct"/>
            <w:shd w:val="clear" w:color="auto" w:fill="C6D9F1"/>
            <w:vAlign w:val="center"/>
          </w:tcPr>
          <w:p w:rsidR="006D69DC" w:rsidRPr="006D69DC" w:rsidRDefault="006D69DC" w:rsidP="006D69DC">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المعالم الرئيسية</w:t>
            </w:r>
          </w:p>
        </w:tc>
        <w:tc>
          <w:tcPr>
            <w:tcW w:w="856" w:type="pct"/>
            <w:shd w:val="clear" w:color="auto" w:fill="C6D9F1"/>
            <w:vAlign w:val="center"/>
          </w:tcPr>
          <w:p w:rsidR="006D69DC" w:rsidRPr="006D69DC" w:rsidRDefault="006D69DC" w:rsidP="006D69DC">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ميزانية المشروع</w:t>
            </w:r>
          </w:p>
        </w:tc>
        <w:tc>
          <w:tcPr>
            <w:tcW w:w="856" w:type="pct"/>
            <w:shd w:val="clear" w:color="auto" w:fill="C6D9F1"/>
            <w:vAlign w:val="center"/>
          </w:tcPr>
          <w:p w:rsidR="006D69DC" w:rsidRPr="006D69DC" w:rsidRDefault="006D69DC" w:rsidP="006D69DC">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النفقات الفعلية حتى تاريخه</w:t>
            </w:r>
          </w:p>
        </w:tc>
        <w:tc>
          <w:tcPr>
            <w:tcW w:w="856"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c>
          <w:tcPr>
            <w:tcW w:w="856" w:type="pct"/>
            <w:shd w:val="clear" w:color="auto" w:fill="C6D9F1"/>
            <w:vAlign w:val="center"/>
          </w:tcPr>
          <w:p w:rsidR="006D69DC" w:rsidRPr="006D69DC" w:rsidRDefault="006D69DC" w:rsidP="006D69DC">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معدل التقدم المحرز في تنفيذ المشروع حسب المعالم</w:t>
            </w:r>
          </w:p>
        </w:tc>
      </w:tr>
      <w:tr w:rsidR="00720203" w:rsidRPr="006D69DC" w:rsidTr="001D7014">
        <w:trPr>
          <w:trHeight w:val="389"/>
        </w:trPr>
        <w:tc>
          <w:tcPr>
            <w:tcW w:w="1575" w:type="pct"/>
            <w:vAlign w:val="center"/>
          </w:tcPr>
          <w:p w:rsidR="00720203" w:rsidRPr="006D69DC" w:rsidRDefault="00720203" w:rsidP="00720203">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منح العقد للقيادة/المهندس المعماري</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124,000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100%</w:t>
            </w:r>
          </w:p>
        </w:tc>
      </w:tr>
      <w:tr w:rsidR="00720203" w:rsidRPr="006D69DC" w:rsidTr="001D7014">
        <w:trPr>
          <w:trHeight w:val="389"/>
        </w:trPr>
        <w:tc>
          <w:tcPr>
            <w:tcW w:w="1575" w:type="pct"/>
            <w:vAlign w:val="center"/>
          </w:tcPr>
          <w:p w:rsidR="00720203" w:rsidRPr="006D69DC" w:rsidRDefault="00720203" w:rsidP="00720203">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منح العقود للوكلاء</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900,000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30%</w:t>
            </w:r>
          </w:p>
        </w:tc>
      </w:tr>
      <w:tr w:rsidR="00720203" w:rsidRPr="006D69DC" w:rsidTr="001D7014">
        <w:trPr>
          <w:trHeight w:val="389"/>
        </w:trPr>
        <w:tc>
          <w:tcPr>
            <w:tcW w:w="1575" w:type="pct"/>
            <w:vAlign w:val="center"/>
          </w:tcPr>
          <w:p w:rsidR="00720203" w:rsidRPr="006D69DC" w:rsidRDefault="00720203" w:rsidP="00720203">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التزام الموارد الداخلية والخارجية</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867,000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83,651</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9.6%</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15%</w:t>
            </w:r>
          </w:p>
        </w:tc>
      </w:tr>
      <w:tr w:rsidR="00720203" w:rsidRPr="006D69DC" w:rsidTr="001D7014">
        <w:trPr>
          <w:trHeight w:val="389"/>
        </w:trPr>
        <w:tc>
          <w:tcPr>
            <w:tcW w:w="1575" w:type="pct"/>
            <w:vAlign w:val="center"/>
          </w:tcPr>
          <w:p w:rsidR="00720203" w:rsidRPr="006D69DC" w:rsidRDefault="00720203" w:rsidP="00720203">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العمل والتكليف</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4,109,000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sidRPr="00EC7C86">
              <w:rPr>
                <w:sz w:val="16"/>
                <w:szCs w:val="16"/>
              </w:rPr>
              <w:t>0%</w:t>
            </w:r>
          </w:p>
        </w:tc>
        <w:tc>
          <w:tcPr>
            <w:tcW w:w="856" w:type="pct"/>
            <w:vAlign w:val="center"/>
          </w:tcPr>
          <w:p w:rsidR="00720203" w:rsidRPr="00EC7C86" w:rsidRDefault="00720203" w:rsidP="00720203">
            <w:pPr>
              <w:keepNext/>
              <w:keepLines/>
              <w:autoSpaceDE w:val="0"/>
              <w:autoSpaceDN w:val="0"/>
              <w:adjustRightInd w:val="0"/>
              <w:spacing w:before="40" w:after="40"/>
              <w:jc w:val="center"/>
              <w:rPr>
                <w:sz w:val="16"/>
                <w:szCs w:val="16"/>
              </w:rPr>
            </w:pPr>
            <w:r>
              <w:rPr>
                <w:sz w:val="16"/>
                <w:szCs w:val="16"/>
              </w:rPr>
              <w:t>-</w:t>
            </w:r>
          </w:p>
        </w:tc>
      </w:tr>
      <w:tr w:rsidR="00720203" w:rsidRPr="006D69DC" w:rsidTr="001D7014">
        <w:trPr>
          <w:trHeight w:val="389"/>
        </w:trPr>
        <w:tc>
          <w:tcPr>
            <w:tcW w:w="1575" w:type="pct"/>
            <w:shd w:val="clear" w:color="auto" w:fill="C6D9F1"/>
            <w:vAlign w:val="center"/>
          </w:tcPr>
          <w:p w:rsidR="00720203" w:rsidRPr="006D69DC" w:rsidRDefault="00720203" w:rsidP="00720203">
            <w:pPr>
              <w:keepNext/>
              <w:keepLines/>
              <w:autoSpaceDE w:val="0"/>
              <w:autoSpaceDN w:val="0"/>
              <w:bidi/>
              <w:adjustRightInd w:val="0"/>
              <w:spacing w:before="40" w:after="40" w:line="260" w:lineRule="exact"/>
              <w:rPr>
                <w:rFonts w:ascii="Arabic Typesetting" w:hAnsi="Arabic Typesetting" w:cs="Arabic Typesetting"/>
                <w:b/>
                <w:bCs/>
                <w:sz w:val="28"/>
                <w:szCs w:val="28"/>
                <w:rtl/>
                <w:lang w:bidi="ar-EG"/>
              </w:rPr>
            </w:pPr>
            <w:r w:rsidRPr="006D69DC">
              <w:rPr>
                <w:rFonts w:ascii="Arabic Typesetting" w:hAnsi="Arabic Typesetting" w:cs="Arabic Typesetting"/>
                <w:b/>
                <w:bCs/>
                <w:sz w:val="28"/>
                <w:szCs w:val="28"/>
                <w:rtl/>
                <w:lang w:bidi="ar-EG"/>
              </w:rPr>
              <w:t>المجموع</w:t>
            </w:r>
          </w:p>
        </w:tc>
        <w:tc>
          <w:tcPr>
            <w:tcW w:w="856" w:type="pct"/>
            <w:shd w:val="clear" w:color="auto" w:fill="C6D9F1"/>
            <w:vAlign w:val="center"/>
          </w:tcPr>
          <w:p w:rsidR="00720203" w:rsidRPr="00EC7C86" w:rsidRDefault="00720203" w:rsidP="00720203">
            <w:pPr>
              <w:keepNext/>
              <w:keepLines/>
              <w:autoSpaceDE w:val="0"/>
              <w:autoSpaceDN w:val="0"/>
              <w:adjustRightInd w:val="0"/>
              <w:spacing w:before="40" w:after="40"/>
              <w:jc w:val="center"/>
              <w:rPr>
                <w:b/>
                <w:sz w:val="16"/>
                <w:szCs w:val="16"/>
              </w:rPr>
            </w:pPr>
            <w:r w:rsidRPr="00EC7C86">
              <w:rPr>
                <w:b/>
                <w:sz w:val="16"/>
                <w:szCs w:val="16"/>
              </w:rPr>
              <w:t>6,000,000</w:t>
            </w:r>
          </w:p>
        </w:tc>
        <w:tc>
          <w:tcPr>
            <w:tcW w:w="856" w:type="pct"/>
            <w:shd w:val="clear" w:color="auto" w:fill="C6D9F1"/>
          </w:tcPr>
          <w:p w:rsidR="00720203" w:rsidRPr="00EC7C86" w:rsidRDefault="00720203" w:rsidP="00720203">
            <w:pPr>
              <w:keepNext/>
              <w:keepLines/>
              <w:autoSpaceDE w:val="0"/>
              <w:autoSpaceDN w:val="0"/>
              <w:adjustRightInd w:val="0"/>
              <w:spacing w:before="40" w:after="40"/>
              <w:jc w:val="center"/>
              <w:rPr>
                <w:b/>
                <w:sz w:val="16"/>
                <w:szCs w:val="16"/>
              </w:rPr>
            </w:pPr>
            <w:r w:rsidRPr="00EC7C86">
              <w:rPr>
                <w:b/>
                <w:sz w:val="16"/>
                <w:szCs w:val="16"/>
              </w:rPr>
              <w:t>83,651</w:t>
            </w:r>
          </w:p>
        </w:tc>
        <w:tc>
          <w:tcPr>
            <w:tcW w:w="856" w:type="pct"/>
            <w:shd w:val="clear" w:color="auto" w:fill="C6D9F1"/>
          </w:tcPr>
          <w:p w:rsidR="00720203" w:rsidRPr="00EC7C86" w:rsidRDefault="00720203" w:rsidP="00720203">
            <w:pPr>
              <w:keepNext/>
              <w:keepLines/>
              <w:autoSpaceDE w:val="0"/>
              <w:autoSpaceDN w:val="0"/>
              <w:adjustRightInd w:val="0"/>
              <w:spacing w:before="40" w:after="40"/>
              <w:jc w:val="center"/>
              <w:rPr>
                <w:b/>
                <w:sz w:val="16"/>
                <w:szCs w:val="16"/>
              </w:rPr>
            </w:pPr>
          </w:p>
        </w:tc>
        <w:tc>
          <w:tcPr>
            <w:tcW w:w="856" w:type="pct"/>
            <w:shd w:val="clear" w:color="auto" w:fill="C6D9F1"/>
          </w:tcPr>
          <w:p w:rsidR="00720203" w:rsidRPr="00EC7C86" w:rsidRDefault="00720203" w:rsidP="00720203">
            <w:pPr>
              <w:keepNext/>
              <w:keepLines/>
              <w:autoSpaceDE w:val="0"/>
              <w:autoSpaceDN w:val="0"/>
              <w:adjustRightInd w:val="0"/>
              <w:spacing w:before="40" w:after="40"/>
              <w:jc w:val="center"/>
              <w:rPr>
                <w:b/>
                <w:sz w:val="16"/>
                <w:szCs w:val="16"/>
              </w:rPr>
            </w:pPr>
          </w:p>
        </w:tc>
      </w:tr>
    </w:tbl>
    <w:p w:rsidR="006D69DC" w:rsidRPr="006D69DC" w:rsidRDefault="006D69DC" w:rsidP="006D69DC">
      <w:pPr>
        <w:keepNext/>
        <w:keepLines/>
        <w:tabs>
          <w:tab w:val="left" w:pos="3261"/>
        </w:tabs>
        <w:autoSpaceDE w:val="0"/>
        <w:autoSpaceDN w:val="0"/>
        <w:bidi/>
        <w:adjustRightInd w:val="0"/>
        <w:jc w:val="center"/>
        <w:rPr>
          <w:rFonts w:ascii="Arabic Typesetting" w:hAnsi="Arabic Typesetting" w:cs="Arabic Typesetting"/>
          <w:bCs/>
          <w:sz w:val="36"/>
          <w:szCs w:val="36"/>
          <w:rtl/>
          <w:lang w:bidi="ar-EG"/>
        </w:rPr>
      </w:pPr>
      <w:r w:rsidRPr="006D69DC">
        <w:rPr>
          <w:rFonts w:ascii="Arabic Typesetting" w:hAnsi="Arabic Typesetting" w:cs="Arabic Typesetting"/>
          <w:bCs/>
          <w:color w:val="000000"/>
          <w:sz w:val="36"/>
          <w:szCs w:val="36"/>
          <w:rtl/>
          <w:lang w:bidi="ar-EG"/>
        </w:rPr>
        <w:lastRenderedPageBreak/>
        <w:t>استخدام ميزانية المشروع (حسب فئة التكلفة)</w:t>
      </w:r>
    </w:p>
    <w:p w:rsidR="006D69DC" w:rsidRPr="006D69DC" w:rsidRDefault="006D69DC" w:rsidP="006D69DC">
      <w:pPr>
        <w:keepNext/>
        <w:keepLines/>
        <w:tabs>
          <w:tab w:val="left" w:pos="3261"/>
        </w:tabs>
        <w:autoSpaceDE w:val="0"/>
        <w:autoSpaceDN w:val="0"/>
        <w:bidi/>
        <w:adjustRightInd w:val="0"/>
        <w:jc w:val="center"/>
        <w:rPr>
          <w:rFonts w:ascii="Arabic Typesetting" w:hAnsi="Arabic Typesetting" w:cs="Arabic Typesetting"/>
          <w:iCs/>
          <w:sz w:val="36"/>
          <w:szCs w:val="36"/>
          <w:lang w:bidi="ar-EG"/>
        </w:rPr>
      </w:pPr>
      <w:r w:rsidRPr="006D69DC">
        <w:rPr>
          <w:rFonts w:ascii="Arabic Typesetting" w:hAnsi="Arabic Typesetting" w:cs="Arabic Typesetting"/>
          <w:iCs/>
          <w:sz w:val="36"/>
          <w:szCs w:val="36"/>
          <w:rtl/>
          <w:lang w:bidi="ar-EG"/>
        </w:rPr>
        <w:t xml:space="preserve">(بالفرنك السويسري، في 31 ديسمبر </w:t>
      </w:r>
      <w:r w:rsidRPr="006D69DC">
        <w:rPr>
          <w:rFonts w:ascii="Arabic Typesetting" w:hAnsi="Arabic Typesetting" w:cs="Arabic Typesetting" w:hint="cs"/>
          <w:iCs/>
          <w:sz w:val="36"/>
          <w:szCs w:val="36"/>
          <w:rtl/>
          <w:lang w:bidi="ar-EG"/>
        </w:rPr>
        <w:t>2015</w:t>
      </w:r>
      <w:r w:rsidRPr="006D69DC">
        <w:rPr>
          <w:rFonts w:ascii="Arabic Typesetting" w:hAnsi="Arabic Typesetting" w:cs="Arabic Typesetting"/>
          <w:iCs/>
          <w:sz w:val="36"/>
          <w:szCs w:val="36"/>
          <w:rtl/>
          <w:lang w:bidi="ar-EG"/>
        </w:rPr>
        <w:t>)</w:t>
      </w:r>
    </w:p>
    <w:tbl>
      <w:tblPr>
        <w:bidiVisual/>
        <w:tblW w:w="4581"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1"/>
        <w:gridCol w:w="1840"/>
        <w:gridCol w:w="1840"/>
        <w:gridCol w:w="1838"/>
      </w:tblGrid>
      <w:tr w:rsidR="006D69DC" w:rsidRPr="006D69DC" w:rsidTr="001D7014">
        <w:trPr>
          <w:trHeight w:val="569"/>
        </w:trPr>
        <w:tc>
          <w:tcPr>
            <w:tcW w:w="1854"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74" w:right="-60"/>
              <w:jc w:val="center"/>
              <w:rPr>
                <w:rFonts w:ascii="Arabic Typesetting" w:hAnsi="Arabic Typesetting" w:cs="Arabic Typesetting"/>
                <w:sz w:val="28"/>
                <w:szCs w:val="28"/>
                <w:rtl/>
              </w:rPr>
            </w:pPr>
            <w:r w:rsidRPr="006D69DC">
              <w:rPr>
                <w:rFonts w:ascii="Arabic Typesetting" w:hAnsi="Arabic Typesetting" w:cs="Arabic Typesetting"/>
                <w:bCs/>
                <w:sz w:val="28"/>
                <w:szCs w:val="28"/>
                <w:rtl/>
                <w:lang w:bidi="ar-EG"/>
              </w:rPr>
              <w:t>فئة التكلفة</w:t>
            </w:r>
          </w:p>
        </w:tc>
        <w:tc>
          <w:tcPr>
            <w:tcW w:w="1049"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ميزانية المشروع</w:t>
            </w:r>
          </w:p>
        </w:tc>
        <w:tc>
          <w:tcPr>
            <w:tcW w:w="1049"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8"/>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النفقات الفعلية حتى تاريخه</w:t>
            </w:r>
            <w:r w:rsidRPr="006D69DC">
              <w:rPr>
                <w:rFonts w:ascii="Arabic Typesetting" w:hAnsi="Arabic Typesetting" w:cs="Arabic Typesetting"/>
                <w:b/>
                <w:sz w:val="28"/>
                <w:szCs w:val="28"/>
              </w:rPr>
              <w:t xml:space="preserve"> </w:t>
            </w:r>
          </w:p>
        </w:tc>
        <w:tc>
          <w:tcPr>
            <w:tcW w:w="1048" w:type="pct"/>
            <w:shd w:val="clear" w:color="auto" w:fill="C6D9F1"/>
            <w:vAlign w:val="center"/>
          </w:tcPr>
          <w:p w:rsidR="006D69DC" w:rsidRPr="006D69DC" w:rsidRDefault="006D69DC" w:rsidP="006D69DC">
            <w:pPr>
              <w:keepNext/>
              <w:keepLines/>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الاستخدام الفعلي للميزانية</w:t>
            </w:r>
          </w:p>
        </w:tc>
      </w:tr>
      <w:tr w:rsidR="00720203" w:rsidRPr="006D69DC" w:rsidTr="001D7014">
        <w:tc>
          <w:tcPr>
            <w:tcW w:w="1854" w:type="pct"/>
            <w:vAlign w:val="center"/>
          </w:tcPr>
          <w:p w:rsidR="00720203" w:rsidRPr="006D69DC" w:rsidRDefault="00720203"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التكاليف المتعلقة بالبناء</w:t>
            </w:r>
          </w:p>
        </w:tc>
        <w:tc>
          <w:tcPr>
            <w:tcW w:w="1049" w:type="pct"/>
            <w:vAlign w:val="center"/>
          </w:tcPr>
          <w:p w:rsidR="00720203" w:rsidRPr="00800070" w:rsidRDefault="00720203" w:rsidP="009E1288">
            <w:pPr>
              <w:autoSpaceDE w:val="0"/>
              <w:autoSpaceDN w:val="0"/>
              <w:adjustRightInd w:val="0"/>
              <w:spacing w:before="40" w:after="40" w:line="260" w:lineRule="exact"/>
              <w:jc w:val="center"/>
              <w:rPr>
                <w:sz w:val="16"/>
                <w:szCs w:val="16"/>
              </w:rPr>
            </w:pPr>
            <w:r w:rsidRPr="00800070">
              <w:rPr>
                <w:sz w:val="16"/>
                <w:szCs w:val="16"/>
              </w:rPr>
              <w:t>3,569,000</w:t>
            </w:r>
          </w:p>
        </w:tc>
        <w:tc>
          <w:tcPr>
            <w:tcW w:w="1049" w:type="pct"/>
            <w:vAlign w:val="center"/>
          </w:tcPr>
          <w:p w:rsidR="00720203" w:rsidRPr="00800070" w:rsidRDefault="00720203" w:rsidP="009E1288">
            <w:pPr>
              <w:autoSpaceDE w:val="0"/>
              <w:autoSpaceDN w:val="0"/>
              <w:adjustRightInd w:val="0"/>
              <w:spacing w:before="40" w:after="40" w:line="260" w:lineRule="exact"/>
              <w:jc w:val="center"/>
              <w:rPr>
                <w:sz w:val="16"/>
                <w:szCs w:val="16"/>
              </w:rPr>
            </w:pPr>
            <w:r>
              <w:rPr>
                <w:sz w:val="16"/>
                <w:szCs w:val="16"/>
              </w:rPr>
              <w:t>0</w:t>
            </w:r>
          </w:p>
        </w:tc>
        <w:tc>
          <w:tcPr>
            <w:tcW w:w="1048" w:type="pct"/>
            <w:vAlign w:val="center"/>
          </w:tcPr>
          <w:p w:rsidR="00720203" w:rsidRPr="00800070" w:rsidRDefault="00720203" w:rsidP="009E1288">
            <w:pPr>
              <w:autoSpaceDE w:val="0"/>
              <w:autoSpaceDN w:val="0"/>
              <w:adjustRightInd w:val="0"/>
              <w:spacing w:before="40" w:after="40" w:line="260" w:lineRule="exact"/>
              <w:jc w:val="center"/>
              <w:rPr>
                <w:sz w:val="16"/>
                <w:szCs w:val="16"/>
              </w:rPr>
            </w:pPr>
            <w:r>
              <w:rPr>
                <w:sz w:val="16"/>
                <w:szCs w:val="16"/>
              </w:rPr>
              <w:t>0%</w:t>
            </w:r>
          </w:p>
        </w:tc>
      </w:tr>
      <w:tr w:rsidR="00720203" w:rsidRPr="006D69DC" w:rsidTr="001D7014">
        <w:tc>
          <w:tcPr>
            <w:tcW w:w="1854" w:type="pct"/>
            <w:vAlign w:val="center"/>
          </w:tcPr>
          <w:p w:rsidR="00720203" w:rsidRPr="006D69DC" w:rsidRDefault="00720203"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الأتعاب</w:t>
            </w:r>
          </w:p>
        </w:tc>
        <w:tc>
          <w:tcPr>
            <w:tcW w:w="1049" w:type="pct"/>
            <w:vAlign w:val="center"/>
          </w:tcPr>
          <w:p w:rsidR="00720203" w:rsidRPr="00800070" w:rsidRDefault="00720203" w:rsidP="009E1288">
            <w:pPr>
              <w:autoSpaceDE w:val="0"/>
              <w:autoSpaceDN w:val="0"/>
              <w:adjustRightInd w:val="0"/>
              <w:spacing w:before="40" w:after="40" w:line="260" w:lineRule="exact"/>
              <w:jc w:val="center"/>
              <w:rPr>
                <w:sz w:val="16"/>
                <w:szCs w:val="16"/>
              </w:rPr>
            </w:pPr>
            <w:r w:rsidRPr="00800070">
              <w:rPr>
                <w:sz w:val="16"/>
                <w:szCs w:val="16"/>
              </w:rPr>
              <w:t>1,024,000</w:t>
            </w:r>
          </w:p>
        </w:tc>
        <w:tc>
          <w:tcPr>
            <w:tcW w:w="1049" w:type="pct"/>
            <w:vAlign w:val="center"/>
          </w:tcPr>
          <w:p w:rsidR="00720203" w:rsidRPr="00800070" w:rsidRDefault="00720203" w:rsidP="009E1288">
            <w:pPr>
              <w:jc w:val="center"/>
              <w:rPr>
                <w:sz w:val="16"/>
                <w:szCs w:val="16"/>
              </w:rPr>
            </w:pPr>
            <w:r>
              <w:rPr>
                <w:sz w:val="16"/>
                <w:szCs w:val="16"/>
              </w:rPr>
              <w:t>0</w:t>
            </w:r>
          </w:p>
        </w:tc>
        <w:tc>
          <w:tcPr>
            <w:tcW w:w="1048" w:type="pct"/>
            <w:vAlign w:val="center"/>
          </w:tcPr>
          <w:p w:rsidR="00720203" w:rsidRPr="00800070" w:rsidRDefault="00720203" w:rsidP="009E1288">
            <w:pPr>
              <w:jc w:val="center"/>
              <w:rPr>
                <w:sz w:val="16"/>
                <w:szCs w:val="16"/>
              </w:rPr>
            </w:pPr>
            <w:r>
              <w:rPr>
                <w:sz w:val="16"/>
                <w:szCs w:val="16"/>
              </w:rPr>
              <w:t>0%</w:t>
            </w:r>
          </w:p>
        </w:tc>
      </w:tr>
      <w:tr w:rsidR="00720203" w:rsidRPr="006D69DC" w:rsidTr="001D7014">
        <w:tc>
          <w:tcPr>
            <w:tcW w:w="1854" w:type="pct"/>
            <w:vAlign w:val="center"/>
          </w:tcPr>
          <w:p w:rsidR="00720203" w:rsidRPr="006D69DC" w:rsidRDefault="00720203"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 xml:space="preserve">الموارد الداخلية/الخارجية </w:t>
            </w:r>
          </w:p>
        </w:tc>
        <w:tc>
          <w:tcPr>
            <w:tcW w:w="1049" w:type="pct"/>
            <w:vAlign w:val="center"/>
          </w:tcPr>
          <w:p w:rsidR="00720203" w:rsidRPr="00EC7C86" w:rsidRDefault="00720203" w:rsidP="009E1288">
            <w:pPr>
              <w:autoSpaceDE w:val="0"/>
              <w:autoSpaceDN w:val="0"/>
              <w:adjustRightInd w:val="0"/>
              <w:spacing w:before="40" w:after="40" w:line="260" w:lineRule="exact"/>
              <w:jc w:val="center"/>
              <w:rPr>
                <w:sz w:val="16"/>
                <w:szCs w:val="16"/>
              </w:rPr>
            </w:pPr>
            <w:r w:rsidRPr="00EC7C86">
              <w:rPr>
                <w:sz w:val="16"/>
                <w:szCs w:val="16"/>
              </w:rPr>
              <w:t>867,000</w:t>
            </w:r>
          </w:p>
        </w:tc>
        <w:tc>
          <w:tcPr>
            <w:tcW w:w="1049" w:type="pct"/>
            <w:vAlign w:val="center"/>
          </w:tcPr>
          <w:p w:rsidR="00720203" w:rsidRPr="00EC7C86" w:rsidRDefault="00720203" w:rsidP="009E1288">
            <w:pPr>
              <w:jc w:val="center"/>
              <w:rPr>
                <w:sz w:val="16"/>
                <w:szCs w:val="16"/>
              </w:rPr>
            </w:pPr>
            <w:r w:rsidRPr="00EC7C86">
              <w:rPr>
                <w:sz w:val="16"/>
                <w:szCs w:val="16"/>
              </w:rPr>
              <w:t>83,651</w:t>
            </w:r>
          </w:p>
        </w:tc>
        <w:tc>
          <w:tcPr>
            <w:tcW w:w="1048" w:type="pct"/>
            <w:vAlign w:val="center"/>
          </w:tcPr>
          <w:p w:rsidR="00720203" w:rsidRPr="00EC7C86" w:rsidRDefault="00720203" w:rsidP="009E1288">
            <w:pPr>
              <w:jc w:val="center"/>
              <w:rPr>
                <w:sz w:val="16"/>
                <w:szCs w:val="16"/>
              </w:rPr>
            </w:pPr>
            <w:r w:rsidRPr="00EC7C86">
              <w:rPr>
                <w:sz w:val="16"/>
                <w:szCs w:val="16"/>
              </w:rPr>
              <w:t>9.6%</w:t>
            </w:r>
          </w:p>
        </w:tc>
      </w:tr>
      <w:tr w:rsidR="00720203" w:rsidRPr="006D69DC" w:rsidTr="001D7014">
        <w:tc>
          <w:tcPr>
            <w:tcW w:w="1854" w:type="pct"/>
            <w:vAlign w:val="center"/>
          </w:tcPr>
          <w:p w:rsidR="00720203" w:rsidRPr="006D69DC" w:rsidRDefault="00720203"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الرسوم</w:t>
            </w:r>
          </w:p>
        </w:tc>
        <w:tc>
          <w:tcPr>
            <w:tcW w:w="1049" w:type="pct"/>
            <w:vAlign w:val="center"/>
          </w:tcPr>
          <w:p w:rsidR="00720203" w:rsidRPr="00EC7C86" w:rsidRDefault="00720203" w:rsidP="009E1288">
            <w:pPr>
              <w:autoSpaceDE w:val="0"/>
              <w:autoSpaceDN w:val="0"/>
              <w:adjustRightInd w:val="0"/>
              <w:spacing w:before="40" w:after="40" w:line="260" w:lineRule="exact"/>
              <w:jc w:val="center"/>
              <w:rPr>
                <w:sz w:val="16"/>
                <w:szCs w:val="16"/>
              </w:rPr>
            </w:pPr>
            <w:r w:rsidRPr="00EC7C86">
              <w:rPr>
                <w:sz w:val="16"/>
                <w:szCs w:val="16"/>
              </w:rPr>
              <w:t>120,000</w:t>
            </w:r>
          </w:p>
        </w:tc>
        <w:tc>
          <w:tcPr>
            <w:tcW w:w="1049" w:type="pct"/>
            <w:vAlign w:val="center"/>
          </w:tcPr>
          <w:p w:rsidR="00720203" w:rsidRPr="00EC7C86" w:rsidRDefault="00720203" w:rsidP="009E1288">
            <w:pPr>
              <w:jc w:val="center"/>
              <w:rPr>
                <w:sz w:val="16"/>
                <w:szCs w:val="16"/>
              </w:rPr>
            </w:pPr>
            <w:r w:rsidRPr="00EC7C86">
              <w:rPr>
                <w:sz w:val="16"/>
                <w:szCs w:val="16"/>
              </w:rPr>
              <w:t>0</w:t>
            </w:r>
          </w:p>
        </w:tc>
        <w:tc>
          <w:tcPr>
            <w:tcW w:w="1048" w:type="pct"/>
            <w:vAlign w:val="center"/>
          </w:tcPr>
          <w:p w:rsidR="00720203" w:rsidRPr="00EC7C86" w:rsidRDefault="00720203" w:rsidP="009E1288">
            <w:pPr>
              <w:jc w:val="center"/>
              <w:rPr>
                <w:sz w:val="16"/>
                <w:szCs w:val="16"/>
              </w:rPr>
            </w:pPr>
            <w:r w:rsidRPr="00EC7C86">
              <w:rPr>
                <w:sz w:val="16"/>
                <w:szCs w:val="16"/>
              </w:rPr>
              <w:t>0%</w:t>
            </w:r>
          </w:p>
        </w:tc>
      </w:tr>
      <w:tr w:rsidR="00720203" w:rsidRPr="006D69DC" w:rsidTr="001D7014">
        <w:tc>
          <w:tcPr>
            <w:tcW w:w="1854" w:type="pct"/>
            <w:vAlign w:val="center"/>
          </w:tcPr>
          <w:p w:rsidR="00720203" w:rsidRPr="006D69DC" w:rsidRDefault="00720203"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الأمور النثرية وغير المتوقعة</w:t>
            </w:r>
          </w:p>
        </w:tc>
        <w:tc>
          <w:tcPr>
            <w:tcW w:w="1049" w:type="pct"/>
            <w:vAlign w:val="center"/>
          </w:tcPr>
          <w:p w:rsidR="00720203" w:rsidRPr="00EC7C86" w:rsidRDefault="00720203" w:rsidP="009E1288">
            <w:pPr>
              <w:autoSpaceDE w:val="0"/>
              <w:autoSpaceDN w:val="0"/>
              <w:adjustRightInd w:val="0"/>
              <w:spacing w:before="40" w:after="40" w:line="260" w:lineRule="exact"/>
              <w:jc w:val="center"/>
              <w:rPr>
                <w:sz w:val="16"/>
                <w:szCs w:val="16"/>
              </w:rPr>
            </w:pPr>
            <w:r w:rsidRPr="00EC7C86">
              <w:rPr>
                <w:sz w:val="16"/>
                <w:szCs w:val="16"/>
              </w:rPr>
              <w:t>420,000</w:t>
            </w:r>
          </w:p>
        </w:tc>
        <w:tc>
          <w:tcPr>
            <w:tcW w:w="1049" w:type="pct"/>
            <w:vAlign w:val="center"/>
          </w:tcPr>
          <w:p w:rsidR="00720203" w:rsidRPr="00EC7C86" w:rsidRDefault="00720203" w:rsidP="009E1288">
            <w:pPr>
              <w:jc w:val="center"/>
              <w:rPr>
                <w:sz w:val="16"/>
                <w:szCs w:val="16"/>
              </w:rPr>
            </w:pPr>
            <w:r w:rsidRPr="00EC7C86">
              <w:rPr>
                <w:sz w:val="16"/>
                <w:szCs w:val="16"/>
              </w:rPr>
              <w:t>0</w:t>
            </w:r>
          </w:p>
        </w:tc>
        <w:tc>
          <w:tcPr>
            <w:tcW w:w="1048" w:type="pct"/>
            <w:vAlign w:val="center"/>
          </w:tcPr>
          <w:p w:rsidR="00720203" w:rsidRPr="00EC7C86" w:rsidRDefault="00720203" w:rsidP="009E1288">
            <w:pPr>
              <w:jc w:val="center"/>
              <w:rPr>
                <w:sz w:val="16"/>
                <w:szCs w:val="16"/>
              </w:rPr>
            </w:pPr>
            <w:r w:rsidRPr="00EC7C86">
              <w:rPr>
                <w:sz w:val="16"/>
                <w:szCs w:val="16"/>
              </w:rPr>
              <w:t>0%</w:t>
            </w:r>
          </w:p>
        </w:tc>
      </w:tr>
      <w:tr w:rsidR="00720203" w:rsidRPr="006D69DC" w:rsidTr="001D7014">
        <w:tc>
          <w:tcPr>
            <w:tcW w:w="1854" w:type="pct"/>
            <w:shd w:val="clear" w:color="auto" w:fill="C6D9F1"/>
            <w:vAlign w:val="center"/>
          </w:tcPr>
          <w:p w:rsidR="00720203" w:rsidRPr="006D69DC" w:rsidRDefault="00720203" w:rsidP="006D69DC">
            <w:pPr>
              <w:autoSpaceDE w:val="0"/>
              <w:autoSpaceDN w:val="0"/>
              <w:bidi/>
              <w:adjustRightInd w:val="0"/>
              <w:spacing w:before="40" w:after="40" w:line="260" w:lineRule="exact"/>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المجموع</w:t>
            </w:r>
          </w:p>
        </w:tc>
        <w:tc>
          <w:tcPr>
            <w:tcW w:w="1049" w:type="pct"/>
            <w:shd w:val="clear" w:color="auto" w:fill="C6D9F1"/>
            <w:vAlign w:val="center"/>
          </w:tcPr>
          <w:p w:rsidR="00720203" w:rsidRPr="00EC7C86" w:rsidRDefault="00720203" w:rsidP="009E1288">
            <w:pPr>
              <w:autoSpaceDE w:val="0"/>
              <w:autoSpaceDN w:val="0"/>
              <w:adjustRightInd w:val="0"/>
              <w:spacing w:before="40" w:after="40" w:line="260" w:lineRule="exact"/>
              <w:jc w:val="center"/>
              <w:rPr>
                <w:b/>
                <w:sz w:val="16"/>
                <w:szCs w:val="16"/>
              </w:rPr>
            </w:pPr>
            <w:r w:rsidRPr="00EC7C86">
              <w:rPr>
                <w:b/>
                <w:sz w:val="16"/>
                <w:szCs w:val="16"/>
              </w:rPr>
              <w:t>6,000,000</w:t>
            </w:r>
          </w:p>
        </w:tc>
        <w:tc>
          <w:tcPr>
            <w:tcW w:w="1049" w:type="pct"/>
            <w:shd w:val="clear" w:color="auto" w:fill="C6D9F1"/>
            <w:vAlign w:val="center"/>
          </w:tcPr>
          <w:p w:rsidR="00720203" w:rsidRPr="00EC7C86" w:rsidRDefault="00720203" w:rsidP="009E1288">
            <w:pPr>
              <w:autoSpaceDE w:val="0"/>
              <w:autoSpaceDN w:val="0"/>
              <w:adjustRightInd w:val="0"/>
              <w:spacing w:before="40" w:after="40" w:line="260" w:lineRule="exact"/>
              <w:jc w:val="center"/>
              <w:rPr>
                <w:b/>
                <w:sz w:val="16"/>
                <w:szCs w:val="16"/>
              </w:rPr>
            </w:pPr>
            <w:r w:rsidRPr="00EC7C86">
              <w:rPr>
                <w:b/>
                <w:sz w:val="16"/>
                <w:szCs w:val="16"/>
              </w:rPr>
              <w:t>83,651</w:t>
            </w:r>
          </w:p>
        </w:tc>
        <w:tc>
          <w:tcPr>
            <w:tcW w:w="1048" w:type="pct"/>
            <w:shd w:val="clear" w:color="auto" w:fill="C6D9F1"/>
          </w:tcPr>
          <w:p w:rsidR="00720203" w:rsidRPr="00EC7C86" w:rsidRDefault="00720203" w:rsidP="009E1288">
            <w:pPr>
              <w:autoSpaceDE w:val="0"/>
              <w:autoSpaceDN w:val="0"/>
              <w:adjustRightInd w:val="0"/>
              <w:spacing w:before="40" w:after="40" w:line="260" w:lineRule="exact"/>
              <w:jc w:val="center"/>
              <w:rPr>
                <w:b/>
                <w:sz w:val="16"/>
                <w:szCs w:val="16"/>
              </w:rPr>
            </w:pPr>
          </w:p>
        </w:tc>
      </w:tr>
    </w:tbl>
    <w:p w:rsidR="006D69DC" w:rsidRPr="006D69DC" w:rsidRDefault="006D69DC" w:rsidP="006D69DC">
      <w:pPr>
        <w:keepNext/>
        <w:bidi/>
        <w:spacing w:before="120" w:after="120" w:line="340" w:lineRule="exact"/>
        <w:rPr>
          <w:rFonts w:ascii="Arabic Typesetting" w:hAnsi="Arabic Typesetting" w:cs="Arabic Typesetting"/>
          <w:sz w:val="34"/>
          <w:szCs w:val="34"/>
          <w:lang w:val="fr-CH"/>
        </w:rPr>
      </w:pPr>
      <w:r w:rsidRPr="006D69DC">
        <w:rPr>
          <w:rFonts w:ascii="Arabic Typesetting" w:hAnsi="Arabic Typesetting" w:cs="Arabic Typesetting"/>
          <w:sz w:val="34"/>
          <w:szCs w:val="34"/>
          <w:rtl/>
          <w:lang w:val="fr-CH"/>
        </w:rPr>
        <w:t>المخاطر واستراتيجيات التخفيف من آثارها</w:t>
      </w:r>
    </w:p>
    <w:tbl>
      <w:tblPr>
        <w:bidiVisual/>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1"/>
        <w:gridCol w:w="3072"/>
        <w:gridCol w:w="3070"/>
      </w:tblGrid>
      <w:tr w:rsidR="006D69DC" w:rsidRPr="006D69DC" w:rsidTr="001D7014">
        <w:trPr>
          <w:trHeight w:val="308"/>
          <w:tblHeader/>
          <w:jc w:val="center"/>
        </w:trPr>
        <w:tc>
          <w:tcPr>
            <w:tcW w:w="1667" w:type="pct"/>
            <w:shd w:val="clear" w:color="auto" w:fill="C6D9F1"/>
            <w:vAlign w:val="center"/>
          </w:tcPr>
          <w:p w:rsidR="006D69DC" w:rsidRPr="006D69DC" w:rsidRDefault="006D69DC" w:rsidP="006D69DC">
            <w:pPr>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المخاطر</w:t>
            </w:r>
            <w:r w:rsidRPr="006D69DC">
              <w:rPr>
                <w:rFonts w:ascii="Arabic Typesetting" w:hAnsi="Arabic Typesetting" w:cs="Arabic Typesetting" w:hint="cs"/>
                <w:bCs/>
                <w:sz w:val="28"/>
                <w:szCs w:val="28"/>
                <w:rtl/>
                <w:lang w:bidi="ar-EG"/>
              </w:rPr>
              <w:t>/وصف المخاطر</w:t>
            </w:r>
          </w:p>
        </w:tc>
        <w:tc>
          <w:tcPr>
            <w:tcW w:w="1667" w:type="pct"/>
            <w:shd w:val="clear" w:color="auto" w:fill="C6D9F1"/>
            <w:vAlign w:val="center"/>
          </w:tcPr>
          <w:p w:rsidR="006D69DC" w:rsidRPr="006D69DC" w:rsidRDefault="006D69DC" w:rsidP="006D69DC">
            <w:pPr>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التخفيف من آثار المخاطر</w:t>
            </w:r>
          </w:p>
        </w:tc>
        <w:tc>
          <w:tcPr>
            <w:tcW w:w="1666" w:type="pct"/>
            <w:shd w:val="clear" w:color="auto" w:fill="C6D9F1"/>
            <w:vAlign w:val="center"/>
          </w:tcPr>
          <w:p w:rsidR="006D69DC" w:rsidRPr="006D69DC" w:rsidRDefault="00737EDC" w:rsidP="006D69DC">
            <w:pPr>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Pr>
                <w:rFonts w:ascii="Arabic Typesetting" w:hAnsi="Arabic Typesetting" w:cs="Arabic Typesetting" w:hint="cs"/>
                <w:bCs/>
                <w:sz w:val="28"/>
                <w:szCs w:val="28"/>
                <w:rtl/>
                <w:lang w:bidi="ar-EG"/>
              </w:rPr>
              <w:t>ال</w:t>
            </w:r>
            <w:r w:rsidR="006D69DC" w:rsidRPr="006D69DC">
              <w:rPr>
                <w:rFonts w:ascii="Arabic Typesetting" w:hAnsi="Arabic Typesetting" w:cs="Arabic Typesetting" w:hint="cs"/>
                <w:bCs/>
                <w:sz w:val="28"/>
                <w:szCs w:val="28"/>
                <w:rtl/>
                <w:lang w:bidi="ar-EG"/>
              </w:rPr>
              <w:t>تعليق</w:t>
            </w:r>
            <w:r>
              <w:rPr>
                <w:rFonts w:ascii="Arabic Typesetting" w:hAnsi="Arabic Typesetting" w:cs="Arabic Typesetting" w:hint="cs"/>
                <w:bCs/>
                <w:sz w:val="28"/>
                <w:szCs w:val="28"/>
                <w:rtl/>
                <w:lang w:bidi="ar-EG"/>
              </w:rPr>
              <w:t>ات</w:t>
            </w:r>
          </w:p>
        </w:tc>
      </w:tr>
      <w:tr w:rsidR="006D69DC" w:rsidRPr="006D69DC" w:rsidTr="001D7014">
        <w:trPr>
          <w:trHeight w:val="776"/>
          <w:jc w:val="center"/>
        </w:trPr>
        <w:tc>
          <w:tcPr>
            <w:tcW w:w="1667" w:type="pct"/>
          </w:tcPr>
          <w:p w:rsidR="006D69DC" w:rsidRPr="006D69DC" w:rsidRDefault="006D69DC" w:rsidP="006D69DC">
            <w:pPr>
              <w:autoSpaceDE w:val="0"/>
              <w:autoSpaceDN w:val="0"/>
              <w:bidi/>
              <w:adjustRightInd w:val="0"/>
              <w:spacing w:before="40" w:after="40"/>
              <w:rPr>
                <w:rFonts w:ascii="Arabic Typesetting" w:hAnsi="Arabic Typesetting" w:cs="Arabic Typesetting"/>
                <w:color w:val="000000"/>
                <w:sz w:val="28"/>
                <w:szCs w:val="28"/>
                <w:rtl/>
                <w:lang w:bidi="ar-EG"/>
              </w:rPr>
            </w:pPr>
            <w:r w:rsidRPr="006D69DC">
              <w:rPr>
                <w:rFonts w:ascii="Arabic Typesetting" w:hAnsi="Arabic Typesetting" w:cs="Arabic Typesetting"/>
                <w:color w:val="000000"/>
                <w:sz w:val="28"/>
                <w:szCs w:val="28"/>
                <w:rtl/>
                <w:lang w:bidi="ar-EG"/>
              </w:rPr>
              <w:t>تأخر</w:t>
            </w:r>
            <w:r w:rsidRPr="006D69DC">
              <w:rPr>
                <w:rFonts w:ascii="Arabic Typesetting" w:hAnsi="Arabic Typesetting" w:cs="Arabic Typesetting" w:hint="cs"/>
                <w:color w:val="000000"/>
                <w:sz w:val="28"/>
                <w:szCs w:val="28"/>
                <w:rtl/>
                <w:lang w:bidi="ar-EG"/>
              </w:rPr>
              <w:t xml:space="preserve"> بدء</w:t>
            </w:r>
            <w:r w:rsidRPr="006D69DC">
              <w:rPr>
                <w:rFonts w:ascii="Arabic Typesetting" w:hAnsi="Arabic Typesetting" w:cs="Arabic Typesetting"/>
                <w:color w:val="000000"/>
                <w:sz w:val="28"/>
                <w:szCs w:val="28"/>
                <w:rtl/>
                <w:lang w:bidi="ar-EG"/>
              </w:rPr>
              <w:t xml:space="preserve"> المشروع لمدة سنة بسبب التأخر في إكمال قاعة مؤتمرات الويبو الجديدة</w:t>
            </w:r>
            <w:r w:rsidRPr="006D69DC">
              <w:rPr>
                <w:rFonts w:ascii="Arabic Typesetting" w:hAnsi="Arabic Typesetting" w:cs="Arabic Typesetting" w:hint="cs"/>
                <w:color w:val="000000"/>
                <w:sz w:val="28"/>
                <w:szCs w:val="28"/>
                <w:rtl/>
              </w:rPr>
              <w:t>.</w:t>
            </w:r>
          </w:p>
        </w:tc>
        <w:tc>
          <w:tcPr>
            <w:tcW w:w="1667" w:type="pct"/>
          </w:tcPr>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تعديل</w:t>
            </w:r>
            <w:r w:rsidRPr="006D69DC">
              <w:rPr>
                <w:rFonts w:ascii="Arabic Typesetting" w:hAnsi="Arabic Typesetting" w:cs="Arabic Typesetting"/>
                <w:color w:val="000000"/>
                <w:sz w:val="28"/>
                <w:szCs w:val="28"/>
                <w:rtl/>
                <w:lang w:bidi="ar-EG"/>
              </w:rPr>
              <w:t xml:space="preserve"> الجدول الزمني العام للمشروع</w:t>
            </w:r>
            <w:r w:rsidRPr="006D69DC">
              <w:rPr>
                <w:rFonts w:ascii="Arabic Typesetting" w:hAnsi="Arabic Typesetting" w:cs="Arabic Typesetting" w:hint="cs"/>
                <w:color w:val="000000"/>
                <w:sz w:val="28"/>
                <w:szCs w:val="28"/>
                <w:rtl/>
                <w:lang w:bidi="ar-EG"/>
              </w:rPr>
              <w:t>.</w:t>
            </w:r>
          </w:p>
        </w:tc>
        <w:tc>
          <w:tcPr>
            <w:tcW w:w="1666" w:type="pct"/>
          </w:tcPr>
          <w:p w:rsidR="006D69DC" w:rsidRPr="006D69DC" w:rsidRDefault="006D69DC" w:rsidP="00720203">
            <w:pPr>
              <w:autoSpaceDE w:val="0"/>
              <w:autoSpaceDN w:val="0"/>
              <w:bidi/>
              <w:adjustRightInd w:val="0"/>
              <w:spacing w:before="40" w:after="40"/>
              <w:rPr>
                <w:rFonts w:ascii="Arabic Typesetting" w:hAnsi="Arabic Typesetting" w:cs="Arabic Typesetting"/>
                <w:sz w:val="28"/>
                <w:szCs w:val="28"/>
                <w:rtl/>
              </w:rPr>
            </w:pPr>
            <w:r w:rsidRPr="006D69DC">
              <w:rPr>
                <w:rFonts w:ascii="Arabic Typesetting" w:hAnsi="Arabic Typesetting" w:cs="Arabic Typesetting" w:hint="cs"/>
                <w:sz w:val="28"/>
                <w:szCs w:val="28"/>
                <w:rtl/>
                <w:lang w:bidi="ar-EG"/>
              </w:rPr>
              <w:t xml:space="preserve">هذا الخطر لم يقع في 2014. فقد أرجئ الجدول الزمني العام بتسعة أشهر </w:t>
            </w:r>
            <w:r w:rsidRPr="006D69DC">
              <w:rPr>
                <w:rFonts w:ascii="Arabic Typesetting" w:hAnsi="Arabic Typesetting" w:cs="Arabic Typesetting" w:hint="cs"/>
                <w:sz w:val="28"/>
                <w:szCs w:val="28"/>
                <w:rtl/>
              </w:rPr>
              <w:t>مقارنة</w:t>
            </w:r>
            <w:r w:rsidRPr="006D69DC">
              <w:rPr>
                <w:rFonts w:ascii="Arabic Typesetting" w:hAnsi="Arabic Typesetting" w:cs="Arabic Typesetting"/>
                <w:sz w:val="28"/>
                <w:szCs w:val="28"/>
                <w:rtl/>
              </w:rPr>
              <w:t xml:space="preserve"> </w:t>
            </w:r>
            <w:r w:rsidRPr="006D69DC">
              <w:rPr>
                <w:rFonts w:ascii="Arabic Typesetting" w:hAnsi="Arabic Typesetting" w:cs="Arabic Typesetting" w:hint="cs"/>
                <w:sz w:val="28"/>
                <w:szCs w:val="28"/>
                <w:rtl/>
              </w:rPr>
              <w:t>ب</w:t>
            </w:r>
            <w:r w:rsidRPr="006D69DC">
              <w:rPr>
                <w:rFonts w:ascii="Arabic Typesetting" w:hAnsi="Arabic Typesetting" w:cs="Arabic Typesetting"/>
                <w:sz w:val="28"/>
                <w:szCs w:val="28"/>
                <w:rtl/>
              </w:rPr>
              <w:t>الخطة الأصلية. ومُدّ</w:t>
            </w:r>
            <w:r w:rsidRPr="006D69DC">
              <w:rPr>
                <w:rFonts w:ascii="Arabic Typesetting" w:hAnsi="Arabic Typesetting" w:cs="Arabic Typesetting" w:hint="cs"/>
                <w:sz w:val="28"/>
                <w:szCs w:val="28"/>
                <w:rtl/>
              </w:rPr>
              <w:t>د</w:t>
            </w:r>
            <w:r w:rsidRPr="006D69DC">
              <w:rPr>
                <w:rFonts w:ascii="Arabic Typesetting" w:hAnsi="Arabic Typesetting" w:cs="Arabic Typesetting"/>
                <w:sz w:val="28"/>
                <w:szCs w:val="28"/>
                <w:rtl/>
              </w:rPr>
              <w:t xml:space="preserve"> الجدول الزمني للمشروع حتى 2018</w:t>
            </w:r>
            <w:r w:rsidRPr="006D69DC">
              <w:rPr>
                <w:rFonts w:ascii="Arabic Typesetting" w:hAnsi="Arabic Typesetting" w:cs="Arabic Typesetting" w:hint="cs"/>
                <w:sz w:val="28"/>
                <w:szCs w:val="28"/>
                <w:rtl/>
              </w:rPr>
              <w:t xml:space="preserve">، طبقا للتدبير المخطط الخاص بالتخفيف من آثار المخاطر. ولم تُسجّل أية </w:t>
            </w:r>
            <w:r w:rsidR="00720203">
              <w:rPr>
                <w:rFonts w:ascii="Arabic Typesetting" w:hAnsi="Arabic Typesetting" w:cs="Arabic Typesetting" w:hint="cs"/>
                <w:sz w:val="28"/>
                <w:szCs w:val="28"/>
                <w:rtl/>
              </w:rPr>
              <w:t>آ</w:t>
            </w:r>
            <w:r w:rsidRPr="006D69DC">
              <w:rPr>
                <w:rFonts w:ascii="Arabic Typesetting" w:hAnsi="Arabic Typesetting" w:cs="Arabic Typesetting" w:hint="cs"/>
                <w:sz w:val="28"/>
                <w:szCs w:val="28"/>
                <w:rtl/>
              </w:rPr>
              <w:t>ثار مادية على نتائج المشروع الممكن تحقيقها.</w:t>
            </w:r>
          </w:p>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tl/>
                <w:lang w:bidi="ar-EG"/>
              </w:rPr>
            </w:pPr>
            <w:r w:rsidRPr="006D69DC">
              <w:rPr>
                <w:rFonts w:ascii="Arabic Typesetting" w:hAnsi="Arabic Typesetting" w:cs="Arabic Typesetting" w:hint="cs"/>
                <w:i/>
                <w:iCs/>
                <w:sz w:val="28"/>
                <w:szCs w:val="28"/>
                <w:rtl/>
              </w:rPr>
              <w:t>وتم إقفال هذا الخطر</w:t>
            </w:r>
            <w:r w:rsidRPr="006D69DC">
              <w:rPr>
                <w:rFonts w:ascii="Arabic Typesetting" w:hAnsi="Arabic Typesetting" w:cs="Arabic Typesetting" w:hint="cs"/>
                <w:sz w:val="28"/>
                <w:szCs w:val="28"/>
                <w:rtl/>
              </w:rPr>
              <w:t>.</w:t>
            </w:r>
          </w:p>
        </w:tc>
      </w:tr>
      <w:tr w:rsidR="006D69DC" w:rsidRPr="006D69DC" w:rsidTr="001D7014">
        <w:trPr>
          <w:trHeight w:val="776"/>
          <w:jc w:val="center"/>
        </w:trPr>
        <w:tc>
          <w:tcPr>
            <w:tcW w:w="1667" w:type="pct"/>
          </w:tcPr>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tl/>
              </w:rPr>
            </w:pPr>
            <w:r w:rsidRPr="006D69DC">
              <w:rPr>
                <w:rFonts w:ascii="Arabic Typesetting" w:hAnsi="Arabic Typesetting" w:cs="Arabic Typesetting"/>
                <w:color w:val="000000"/>
                <w:sz w:val="28"/>
                <w:szCs w:val="28"/>
                <w:rtl/>
                <w:lang w:bidi="ar-EG"/>
              </w:rPr>
              <w:t>التأخر في بدء الأعمال</w:t>
            </w:r>
            <w:r w:rsidRPr="006D69DC">
              <w:rPr>
                <w:rFonts w:ascii="Arabic Typesetting" w:hAnsi="Arabic Typesetting" w:cs="Arabic Typesetting" w:hint="cs"/>
                <w:color w:val="000000"/>
                <w:sz w:val="28"/>
                <w:szCs w:val="28"/>
                <w:rtl/>
                <w:lang w:bidi="ar-EG"/>
              </w:rPr>
              <w:t xml:space="preserve"> بسبب اعتماد ذلك</w:t>
            </w:r>
            <w:r w:rsidRPr="006D69DC">
              <w:rPr>
                <w:rFonts w:ascii="Arabic Typesetting" w:hAnsi="Arabic Typesetting" w:cs="Arabic Typesetting"/>
                <w:color w:val="000000"/>
                <w:sz w:val="28"/>
                <w:szCs w:val="28"/>
                <w:rtl/>
                <w:lang w:bidi="ar-EG"/>
              </w:rPr>
              <w:t xml:space="preserve"> على الوقت المطلوب لاختيار الحل التقني.</w:t>
            </w:r>
          </w:p>
        </w:tc>
        <w:tc>
          <w:tcPr>
            <w:tcW w:w="1667" w:type="pct"/>
          </w:tcPr>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tl/>
              </w:rPr>
            </w:pPr>
            <w:r w:rsidRPr="006D69DC">
              <w:rPr>
                <w:rFonts w:ascii="Arabic Typesetting" w:hAnsi="Arabic Typesetting" w:cs="Arabic Typesetting" w:hint="cs"/>
                <w:sz w:val="28"/>
                <w:szCs w:val="28"/>
                <w:rtl/>
              </w:rPr>
              <w:t>تعديل الجدول الزمني للأعمال.</w:t>
            </w:r>
          </w:p>
        </w:tc>
        <w:tc>
          <w:tcPr>
            <w:tcW w:w="1666" w:type="pct"/>
          </w:tcPr>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tl/>
              </w:rPr>
            </w:pPr>
            <w:r w:rsidRPr="006D69DC">
              <w:rPr>
                <w:rFonts w:ascii="Arabic Typesetting" w:hAnsi="Arabic Typesetting" w:cs="Arabic Typesetting" w:hint="cs"/>
                <w:sz w:val="28"/>
                <w:szCs w:val="28"/>
                <w:rtl/>
              </w:rPr>
              <w:t>بسبب الإقفال النهائي لمشروع قاعة المؤتمرات الجديدة، الذي استغرق مدة أطول من المدة المتوقعة، أرجئ الجدول الزمني للمشروع مرّة أخرى، مع توقّع بدء الأعمال في الفصل الثالث من 2017 مقابل الفصل الأول من 2017 كما حُدّد سابقا. ولم تُسجّل أية أثار مادية على نتائج المشروع الممكن تحقيقها.</w:t>
            </w:r>
          </w:p>
        </w:tc>
      </w:tr>
      <w:tr w:rsidR="006D69DC" w:rsidRPr="006D69DC" w:rsidTr="001D7014">
        <w:trPr>
          <w:trHeight w:val="776"/>
          <w:jc w:val="center"/>
        </w:trPr>
        <w:tc>
          <w:tcPr>
            <w:tcW w:w="1667" w:type="pct"/>
          </w:tcPr>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التأخر في التكليف بأعمال التجديد</w:t>
            </w:r>
            <w:r w:rsidRPr="006D69DC">
              <w:rPr>
                <w:rFonts w:ascii="Arabic Typesetting" w:hAnsi="Arabic Typesetting" w:cs="Arabic Typesetting" w:hint="cs"/>
                <w:color w:val="000000"/>
                <w:sz w:val="28"/>
                <w:szCs w:val="28"/>
                <w:rtl/>
                <w:lang w:bidi="ar-EG"/>
              </w:rPr>
              <w:t xml:space="preserve"> </w:t>
            </w:r>
            <w:r w:rsidRPr="006D69DC">
              <w:rPr>
                <w:rFonts w:ascii="Arabic Typesetting" w:hAnsi="Arabic Typesetting" w:cs="Arabic Typesetting"/>
                <w:color w:val="000000"/>
                <w:sz w:val="28"/>
                <w:szCs w:val="28"/>
                <w:rtl/>
                <w:lang w:bidi="ar-EG"/>
              </w:rPr>
              <w:t>بسبب الحل التقني المختار</w:t>
            </w:r>
            <w:r w:rsidRPr="006D69DC">
              <w:rPr>
                <w:rFonts w:ascii="Arabic Typesetting" w:hAnsi="Arabic Typesetting" w:cs="Arabic Typesetting" w:hint="cs"/>
                <w:color w:val="000000"/>
                <w:sz w:val="28"/>
                <w:szCs w:val="28"/>
                <w:rtl/>
                <w:lang w:bidi="ar-EG"/>
              </w:rPr>
              <w:t xml:space="preserve"> و/أو </w:t>
            </w:r>
            <w:proofErr w:type="spellStart"/>
            <w:r w:rsidRPr="006D69DC">
              <w:rPr>
                <w:rFonts w:ascii="Arabic Typesetting" w:hAnsi="Arabic Typesetting" w:cs="Arabic Typesetting"/>
                <w:color w:val="000000"/>
                <w:sz w:val="28"/>
                <w:szCs w:val="28"/>
                <w:rtl/>
                <w:lang w:bidi="ar-EG"/>
              </w:rPr>
              <w:t>اللوجيستيات</w:t>
            </w:r>
            <w:proofErr w:type="spellEnd"/>
            <w:r w:rsidRPr="006D69DC">
              <w:rPr>
                <w:rFonts w:ascii="Arabic Typesetting" w:hAnsi="Arabic Typesetting" w:cs="Arabic Typesetting"/>
                <w:color w:val="000000"/>
                <w:sz w:val="28"/>
                <w:szCs w:val="28"/>
                <w:rtl/>
                <w:lang w:bidi="ar-EG"/>
              </w:rPr>
              <w:t xml:space="preserve"> الداخلية المتعلقة بنقل مقرات المكاتب</w:t>
            </w:r>
          </w:p>
        </w:tc>
        <w:tc>
          <w:tcPr>
            <w:tcW w:w="1667" w:type="pct"/>
          </w:tcPr>
          <w:p w:rsidR="006D69DC" w:rsidRPr="006D69DC" w:rsidRDefault="006D69DC" w:rsidP="007147DB">
            <w:pPr>
              <w:autoSpaceDE w:val="0"/>
              <w:autoSpaceDN w:val="0"/>
              <w:bidi/>
              <w:adjustRightInd w:val="0"/>
              <w:spacing w:before="40" w:after="40"/>
              <w:ind w:left="284" w:hanging="284"/>
              <w:rPr>
                <w:rFonts w:ascii="Arabic Typesetting" w:hAnsi="Arabic Typesetting" w:cs="Arabic Typesetting"/>
                <w:sz w:val="28"/>
                <w:szCs w:val="28"/>
                <w:rtl/>
                <w:lang w:bidi="ar-EG"/>
              </w:rPr>
            </w:pPr>
            <w:r w:rsidRPr="006D69DC">
              <w:rPr>
                <w:rFonts w:ascii="Arabic Typesetting" w:hAnsi="Arabic Typesetting" w:cs="Arabic Typesetting" w:hint="cs"/>
                <w:color w:val="000000"/>
                <w:sz w:val="28"/>
                <w:szCs w:val="28"/>
                <w:rtl/>
                <w:lang w:bidi="ar-EG"/>
              </w:rPr>
              <w:t>-</w:t>
            </w:r>
            <w:r w:rsidRPr="006D69DC">
              <w:rPr>
                <w:rFonts w:ascii="Arabic Typesetting" w:hAnsi="Arabic Typesetting" w:cs="Arabic Typesetting"/>
                <w:color w:val="000000"/>
                <w:sz w:val="28"/>
                <w:szCs w:val="28"/>
                <w:rtl/>
                <w:lang w:bidi="ar-EG"/>
              </w:rPr>
              <w:tab/>
              <w:t>تقييم اختيار الحل التقني</w:t>
            </w:r>
          </w:p>
          <w:p w:rsidR="006D69DC" w:rsidRPr="006D69DC" w:rsidRDefault="006D69DC" w:rsidP="007147DB">
            <w:pPr>
              <w:autoSpaceDE w:val="0"/>
              <w:autoSpaceDN w:val="0"/>
              <w:bidi/>
              <w:adjustRightInd w:val="0"/>
              <w:spacing w:before="40" w:after="40"/>
              <w:ind w:left="284" w:hanging="284"/>
              <w:rPr>
                <w:rFonts w:ascii="Arabic Typesetting" w:hAnsi="Arabic Typesetting" w:cs="Arabic Typesetting"/>
                <w:sz w:val="28"/>
                <w:szCs w:val="28"/>
              </w:rPr>
            </w:pPr>
            <w:r w:rsidRPr="006D69DC">
              <w:rPr>
                <w:rFonts w:ascii="Arabic Typesetting" w:hAnsi="Arabic Typesetting" w:cs="Arabic Typesetting" w:hint="cs"/>
                <w:sz w:val="28"/>
                <w:szCs w:val="28"/>
                <w:rtl/>
              </w:rPr>
              <w:t>-</w:t>
            </w:r>
            <w:r w:rsidRPr="006D69DC">
              <w:rPr>
                <w:rFonts w:ascii="Arabic Typesetting" w:hAnsi="Arabic Typesetting" w:cs="Arabic Typesetting"/>
                <w:sz w:val="28"/>
                <w:szCs w:val="28"/>
                <w:rtl/>
              </w:rPr>
              <w:tab/>
            </w:r>
            <w:r w:rsidRPr="006D69DC">
              <w:rPr>
                <w:rFonts w:ascii="Arabic Typesetting" w:hAnsi="Arabic Typesetting" w:cs="Arabic Typesetting"/>
                <w:sz w:val="28"/>
                <w:szCs w:val="28"/>
                <w:rtl/>
                <w:lang w:bidi="ar-EG"/>
              </w:rPr>
              <w:t xml:space="preserve">التقييم </w:t>
            </w:r>
            <w:r w:rsidRPr="007147DB">
              <w:rPr>
                <w:rFonts w:ascii="Arabic Typesetting" w:hAnsi="Arabic Typesetting" w:cs="Arabic Typesetting"/>
                <w:color w:val="000000"/>
                <w:sz w:val="28"/>
                <w:szCs w:val="28"/>
                <w:rtl/>
                <w:lang w:bidi="ar-EG"/>
              </w:rPr>
              <w:t>بغرض</w:t>
            </w:r>
            <w:r w:rsidRPr="006D69DC">
              <w:rPr>
                <w:rFonts w:ascii="Arabic Typesetting" w:hAnsi="Arabic Typesetting" w:cs="Arabic Typesetting"/>
                <w:sz w:val="28"/>
                <w:szCs w:val="28"/>
                <w:rtl/>
                <w:lang w:bidi="ar-EG"/>
              </w:rPr>
              <w:t xml:space="preserve"> تقصير الجدول الزمني</w:t>
            </w:r>
          </w:p>
          <w:p w:rsidR="006D69DC" w:rsidRPr="006D69DC" w:rsidRDefault="006D69DC" w:rsidP="007147DB">
            <w:pPr>
              <w:autoSpaceDE w:val="0"/>
              <w:autoSpaceDN w:val="0"/>
              <w:bidi/>
              <w:adjustRightInd w:val="0"/>
              <w:spacing w:before="40" w:after="40"/>
              <w:ind w:left="284" w:hanging="284"/>
              <w:rPr>
                <w:rFonts w:ascii="Arabic Typesetting" w:hAnsi="Arabic Typesetting" w:cs="Arabic Typesetting"/>
                <w:color w:val="000000"/>
                <w:sz w:val="28"/>
                <w:szCs w:val="28"/>
                <w:rtl/>
              </w:rPr>
            </w:pPr>
            <w:r w:rsidRPr="006D69DC">
              <w:rPr>
                <w:rFonts w:ascii="Arabic Typesetting" w:hAnsi="Arabic Typesetting" w:cs="Arabic Typesetting" w:hint="cs"/>
                <w:color w:val="000000"/>
                <w:sz w:val="28"/>
                <w:szCs w:val="28"/>
                <w:rtl/>
              </w:rPr>
              <w:t>-</w:t>
            </w:r>
            <w:r w:rsidRPr="006D69DC">
              <w:rPr>
                <w:rFonts w:ascii="Arabic Typesetting" w:hAnsi="Arabic Typesetting" w:cs="Arabic Typesetting"/>
                <w:color w:val="000000"/>
                <w:sz w:val="28"/>
                <w:szCs w:val="28"/>
                <w:rtl/>
              </w:rPr>
              <w:tab/>
            </w:r>
            <w:r w:rsidRPr="006D69DC">
              <w:rPr>
                <w:rFonts w:ascii="Arabic Typesetting" w:hAnsi="Arabic Typesetting" w:cs="Arabic Typesetting"/>
                <w:color w:val="000000"/>
                <w:sz w:val="28"/>
                <w:szCs w:val="28"/>
                <w:rtl/>
                <w:lang w:bidi="ar-EG"/>
              </w:rPr>
              <w:t>التخطيط جنبًا إلى جنب مع أقسام معاهدة التعاون بشأن البراءات وتكنولوجيا المعلومات والاتصالات وتنسيق شؤون السلامة والأمن</w:t>
            </w:r>
          </w:p>
        </w:tc>
        <w:tc>
          <w:tcPr>
            <w:tcW w:w="1666" w:type="pct"/>
          </w:tcPr>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tl/>
                <w:lang w:bidi="ar-EG"/>
              </w:rPr>
            </w:pPr>
          </w:p>
        </w:tc>
      </w:tr>
      <w:tr w:rsidR="006D69DC" w:rsidRPr="006D69DC" w:rsidTr="001D7014">
        <w:trPr>
          <w:trHeight w:val="776"/>
          <w:jc w:val="center"/>
        </w:trPr>
        <w:tc>
          <w:tcPr>
            <w:tcW w:w="1667" w:type="pct"/>
          </w:tcPr>
          <w:p w:rsidR="006D69DC" w:rsidRPr="00720203" w:rsidRDefault="006D69DC" w:rsidP="00720203">
            <w:pPr>
              <w:autoSpaceDE w:val="0"/>
              <w:autoSpaceDN w:val="0"/>
              <w:bidi/>
              <w:adjustRightInd w:val="0"/>
              <w:spacing w:before="40" w:after="40"/>
              <w:rPr>
                <w:rFonts w:ascii="Arabic Typesetting" w:hAnsi="Arabic Typesetting" w:cs="Arabic Typesetting"/>
                <w:color w:val="000000"/>
                <w:sz w:val="28"/>
                <w:szCs w:val="28"/>
                <w:rtl/>
                <w:lang w:bidi="ar-EG"/>
              </w:rPr>
            </w:pPr>
            <w:r w:rsidRPr="006D69DC">
              <w:rPr>
                <w:rFonts w:ascii="Arabic Typesetting" w:hAnsi="Arabic Typesetting" w:cs="Arabic Typesetting"/>
                <w:color w:val="000000"/>
                <w:sz w:val="28"/>
                <w:szCs w:val="28"/>
                <w:rtl/>
                <w:lang w:bidi="ar-EG"/>
              </w:rPr>
              <w:t>المخاطر المالية</w:t>
            </w:r>
            <w:r w:rsidRPr="006D69DC">
              <w:rPr>
                <w:rFonts w:ascii="Arabic Typesetting" w:hAnsi="Arabic Typesetting" w:cs="Arabic Typesetting" w:hint="cs"/>
                <w:color w:val="000000"/>
                <w:sz w:val="28"/>
                <w:szCs w:val="28"/>
                <w:rtl/>
                <w:lang w:bidi="ar-EG"/>
              </w:rPr>
              <w:t xml:space="preserve"> الناجمة عن </w:t>
            </w:r>
            <w:r w:rsidRPr="006D69DC">
              <w:rPr>
                <w:rFonts w:ascii="Arabic Typesetting" w:hAnsi="Arabic Typesetting" w:cs="Arabic Typesetting"/>
                <w:color w:val="000000"/>
                <w:sz w:val="28"/>
                <w:szCs w:val="28"/>
                <w:rtl/>
                <w:lang w:bidi="ar-EG"/>
              </w:rPr>
              <w:t>عدم كفاية الميزانية لتنفيذ الحل التقني المختار</w:t>
            </w:r>
            <w:r w:rsidRPr="006D69DC">
              <w:rPr>
                <w:rFonts w:ascii="Arabic Typesetting" w:hAnsi="Arabic Typesetting" w:cs="Arabic Typesetting" w:hint="cs"/>
                <w:color w:val="000000"/>
                <w:sz w:val="28"/>
                <w:szCs w:val="28"/>
                <w:rtl/>
                <w:lang w:bidi="ar-EG"/>
              </w:rPr>
              <w:t xml:space="preserve">. وقد </w:t>
            </w:r>
            <w:r w:rsidRPr="006D69DC">
              <w:rPr>
                <w:rFonts w:ascii="Arabic Typesetting" w:hAnsi="Arabic Typesetting" w:cs="Arabic Typesetting"/>
                <w:color w:val="000000"/>
                <w:sz w:val="28"/>
                <w:szCs w:val="28"/>
                <w:rtl/>
                <w:lang w:bidi="ar-EG"/>
              </w:rPr>
              <w:t xml:space="preserve">تكون تكاليف </w:t>
            </w:r>
            <w:r w:rsidRPr="006D69DC">
              <w:rPr>
                <w:rFonts w:ascii="Arabic Typesetting" w:hAnsi="Arabic Typesetting" w:cs="Arabic Typesetting" w:hint="cs"/>
                <w:color w:val="000000"/>
                <w:sz w:val="28"/>
                <w:szCs w:val="28"/>
                <w:rtl/>
                <w:lang w:bidi="ar-EG"/>
              </w:rPr>
              <w:t>المشروع أيضا</w:t>
            </w:r>
            <w:r w:rsidRPr="006D69DC">
              <w:rPr>
                <w:rFonts w:ascii="Arabic Typesetting" w:hAnsi="Arabic Typesetting" w:cs="Arabic Typesetting"/>
                <w:color w:val="000000"/>
                <w:sz w:val="28"/>
                <w:szCs w:val="28"/>
                <w:rtl/>
                <w:lang w:bidi="ar-EG"/>
              </w:rPr>
              <w:t xml:space="preserve"> أعلى من الميزانية المعتمدة نتيجة لحالة سوق البناء خلال طرح المناقصة على الشركات في 2016</w:t>
            </w:r>
            <w:r w:rsidRPr="006D69DC">
              <w:rPr>
                <w:rFonts w:ascii="Arabic Typesetting" w:hAnsi="Arabic Typesetting" w:cs="Arabic Typesetting" w:hint="cs"/>
                <w:color w:val="000000"/>
                <w:sz w:val="28"/>
                <w:szCs w:val="28"/>
                <w:rtl/>
                <w:lang w:bidi="ar-EG"/>
              </w:rPr>
              <w:t>.</w:t>
            </w:r>
          </w:p>
        </w:tc>
        <w:tc>
          <w:tcPr>
            <w:tcW w:w="1667" w:type="pct"/>
          </w:tcPr>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Pr>
            </w:pPr>
            <w:r w:rsidRPr="006D69DC">
              <w:rPr>
                <w:rFonts w:ascii="Arabic Typesetting" w:hAnsi="Arabic Typesetting" w:cs="Arabic Typesetting"/>
                <w:sz w:val="28"/>
                <w:szCs w:val="28"/>
                <w:rtl/>
                <w:lang w:bidi="ar-EG"/>
              </w:rPr>
              <w:t>مراجعة اختيار الحل التقني</w:t>
            </w:r>
            <w:r w:rsidRPr="006D69DC">
              <w:rPr>
                <w:rFonts w:ascii="Arabic Typesetting" w:hAnsi="Arabic Typesetting" w:cs="Arabic Typesetting" w:hint="cs"/>
                <w:sz w:val="28"/>
                <w:szCs w:val="28"/>
                <w:rtl/>
                <w:lang w:bidi="ar-EG"/>
              </w:rPr>
              <w:t xml:space="preserve">، ورصد حالة سوق البناء </w:t>
            </w:r>
            <w:r w:rsidRPr="006D69DC">
              <w:rPr>
                <w:rFonts w:ascii="Arabic Typesetting" w:hAnsi="Arabic Typesetting" w:cs="Arabic Typesetting"/>
                <w:sz w:val="28"/>
                <w:szCs w:val="28"/>
                <w:rtl/>
                <w:lang w:bidi="ar-EG"/>
              </w:rPr>
              <w:t>–</w:t>
            </w:r>
            <w:r w:rsidRPr="006D69DC">
              <w:rPr>
                <w:rFonts w:ascii="Arabic Typesetting" w:hAnsi="Arabic Typesetting" w:cs="Arabic Typesetting" w:hint="cs"/>
                <w:sz w:val="28"/>
                <w:szCs w:val="28"/>
                <w:rtl/>
                <w:lang w:bidi="ar-EG"/>
              </w:rPr>
              <w:t xml:space="preserve"> إدراج بنود التخفيف من آثار المخاطر عند اللزوم.</w:t>
            </w:r>
          </w:p>
        </w:tc>
        <w:tc>
          <w:tcPr>
            <w:tcW w:w="1666" w:type="pct"/>
          </w:tcPr>
          <w:p w:rsidR="006D69DC" w:rsidRPr="006D69DC" w:rsidRDefault="006D69DC" w:rsidP="006D69DC">
            <w:pPr>
              <w:autoSpaceDE w:val="0"/>
              <w:autoSpaceDN w:val="0"/>
              <w:bidi/>
              <w:adjustRightInd w:val="0"/>
              <w:spacing w:before="40" w:after="40"/>
              <w:rPr>
                <w:rFonts w:ascii="Arabic Typesetting" w:hAnsi="Arabic Typesetting" w:cs="Arabic Typesetting"/>
                <w:sz w:val="28"/>
                <w:szCs w:val="28"/>
                <w:rtl/>
                <w:lang w:bidi="ar-EG"/>
              </w:rPr>
            </w:pPr>
          </w:p>
        </w:tc>
      </w:tr>
    </w:tbl>
    <w:p w:rsidR="006D69DC" w:rsidRPr="006D69DC" w:rsidRDefault="006D69DC" w:rsidP="006D69DC">
      <w:pPr>
        <w:keepNext/>
        <w:bidi/>
        <w:spacing w:before="120" w:after="120" w:line="340" w:lineRule="exact"/>
        <w:rPr>
          <w:rFonts w:ascii="Arabic Typesetting" w:hAnsi="Arabic Typesetting" w:cs="Arabic Typesetting"/>
          <w:sz w:val="34"/>
          <w:szCs w:val="34"/>
          <w:rtl/>
          <w:lang w:val="fr-CH"/>
        </w:rPr>
      </w:pPr>
      <w:r w:rsidRPr="006D69DC">
        <w:rPr>
          <w:rFonts w:ascii="Arabic Typesetting" w:hAnsi="Arabic Typesetting" w:cs="Arabic Typesetting"/>
          <w:sz w:val="34"/>
          <w:szCs w:val="34"/>
          <w:rtl/>
          <w:lang w:val="fr-CH"/>
        </w:rPr>
        <w:lastRenderedPageBreak/>
        <w:t>الجدول الزمني للمشروع حسب المعالم</w:t>
      </w:r>
    </w:p>
    <w:tbl>
      <w:tblPr>
        <w:bidiVisual/>
        <w:tblW w:w="9666" w:type="dxa"/>
        <w:jc w:val="center"/>
        <w:tblLayout w:type="fixed"/>
        <w:tblLook w:val="00A0" w:firstRow="1" w:lastRow="0" w:firstColumn="1" w:lastColumn="0" w:noHBand="0" w:noVBand="0"/>
      </w:tblPr>
      <w:tblGrid>
        <w:gridCol w:w="1999"/>
        <w:gridCol w:w="391"/>
        <w:gridCol w:w="384"/>
        <w:gridCol w:w="384"/>
        <w:gridCol w:w="374"/>
        <w:gridCol w:w="10"/>
        <w:gridCol w:w="384"/>
        <w:gridCol w:w="352"/>
        <w:gridCol w:w="384"/>
        <w:gridCol w:w="384"/>
        <w:gridCol w:w="19"/>
        <w:gridCol w:w="366"/>
        <w:gridCol w:w="385"/>
        <w:gridCol w:w="385"/>
        <w:gridCol w:w="385"/>
        <w:gridCol w:w="13"/>
        <w:gridCol w:w="372"/>
        <w:gridCol w:w="385"/>
        <w:gridCol w:w="385"/>
        <w:gridCol w:w="385"/>
        <w:gridCol w:w="6"/>
        <w:gridCol w:w="334"/>
        <w:gridCol w:w="340"/>
        <w:gridCol w:w="430"/>
        <w:gridCol w:w="430"/>
      </w:tblGrid>
      <w:tr w:rsidR="006D69DC" w:rsidRPr="006D69DC" w:rsidTr="001D7014">
        <w:trPr>
          <w:trHeight w:val="270"/>
          <w:jc w:val="center"/>
        </w:trPr>
        <w:tc>
          <w:tcPr>
            <w:tcW w:w="1999" w:type="dxa"/>
            <w:tcBorders>
              <w:top w:val="nil"/>
              <w:left w:val="nil"/>
              <w:bottom w:val="nil"/>
              <w:right w:val="nil"/>
            </w:tcBorders>
            <w:noWrap/>
            <w:vAlign w:val="bottom"/>
          </w:tcPr>
          <w:p w:rsidR="006D69DC" w:rsidRPr="006D69DC" w:rsidRDefault="006D69DC" w:rsidP="00720203">
            <w:pPr>
              <w:keepNext/>
              <w:bidi/>
              <w:rPr>
                <w:rFonts w:ascii="Arabic Typesetting" w:hAnsi="Arabic Typesetting" w:cs="Arabic Typesetting"/>
                <w:color w:val="000000"/>
                <w:sz w:val="28"/>
                <w:szCs w:val="28"/>
              </w:rPr>
            </w:pPr>
          </w:p>
        </w:tc>
        <w:tc>
          <w:tcPr>
            <w:tcW w:w="1533" w:type="dxa"/>
            <w:gridSpan w:val="4"/>
            <w:tcBorders>
              <w:top w:val="single" w:sz="8" w:space="0" w:color="auto"/>
              <w:left w:val="single" w:sz="8" w:space="0" w:color="auto"/>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720203">
            <w:pPr>
              <w:keepNext/>
              <w:bidi/>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2014</w:t>
            </w:r>
          </w:p>
        </w:tc>
        <w:tc>
          <w:tcPr>
            <w:tcW w:w="1533" w:type="dxa"/>
            <w:gridSpan w:val="6"/>
            <w:tcBorders>
              <w:top w:val="single" w:sz="8" w:space="0" w:color="auto"/>
              <w:left w:val="single" w:sz="8" w:space="0" w:color="auto"/>
              <w:bottom w:val="single" w:sz="4" w:space="0" w:color="auto"/>
              <w:right w:val="single" w:sz="4" w:space="0" w:color="auto"/>
            </w:tcBorders>
            <w:shd w:val="clear" w:color="auto" w:fill="C6D9F1"/>
            <w:vAlign w:val="bottom"/>
          </w:tcPr>
          <w:p w:rsidR="006D69DC" w:rsidRPr="006D69DC" w:rsidRDefault="006D69DC" w:rsidP="00720203">
            <w:pPr>
              <w:keepNext/>
              <w:bidi/>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2015</w:t>
            </w:r>
          </w:p>
        </w:tc>
        <w:tc>
          <w:tcPr>
            <w:tcW w:w="1534" w:type="dxa"/>
            <w:gridSpan w:val="5"/>
            <w:tcBorders>
              <w:top w:val="single" w:sz="8" w:space="0" w:color="auto"/>
              <w:left w:val="single" w:sz="8" w:space="0" w:color="auto"/>
              <w:bottom w:val="single" w:sz="4" w:space="0" w:color="auto"/>
              <w:right w:val="single" w:sz="4" w:space="0" w:color="auto"/>
            </w:tcBorders>
            <w:shd w:val="clear" w:color="auto" w:fill="C6D9F1"/>
            <w:vAlign w:val="bottom"/>
          </w:tcPr>
          <w:p w:rsidR="006D69DC" w:rsidRPr="006D69DC" w:rsidRDefault="006D69DC" w:rsidP="00720203">
            <w:pPr>
              <w:keepNext/>
              <w:bidi/>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2016</w:t>
            </w:r>
          </w:p>
        </w:tc>
        <w:tc>
          <w:tcPr>
            <w:tcW w:w="1533" w:type="dxa"/>
            <w:gridSpan w:val="5"/>
            <w:tcBorders>
              <w:top w:val="single" w:sz="8" w:space="0" w:color="auto"/>
              <w:left w:val="single" w:sz="8" w:space="0" w:color="auto"/>
              <w:bottom w:val="single" w:sz="4" w:space="0" w:color="auto"/>
              <w:right w:val="single" w:sz="4" w:space="0" w:color="auto"/>
            </w:tcBorders>
            <w:shd w:val="clear" w:color="auto" w:fill="C6D9F1"/>
            <w:vAlign w:val="bottom"/>
          </w:tcPr>
          <w:p w:rsidR="006D69DC" w:rsidRPr="006D69DC" w:rsidRDefault="006D69DC" w:rsidP="00720203">
            <w:pPr>
              <w:keepNext/>
              <w:bidi/>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2017</w:t>
            </w:r>
          </w:p>
        </w:tc>
        <w:tc>
          <w:tcPr>
            <w:tcW w:w="1534" w:type="dxa"/>
            <w:gridSpan w:val="4"/>
            <w:tcBorders>
              <w:top w:val="single" w:sz="8" w:space="0" w:color="auto"/>
              <w:left w:val="single" w:sz="8" w:space="0" w:color="auto"/>
              <w:bottom w:val="single" w:sz="4" w:space="0" w:color="auto"/>
              <w:right w:val="single" w:sz="4" w:space="0" w:color="auto"/>
            </w:tcBorders>
            <w:shd w:val="clear" w:color="auto" w:fill="C6D9F1"/>
            <w:vAlign w:val="bottom"/>
          </w:tcPr>
          <w:p w:rsidR="006D69DC" w:rsidRPr="006D69DC" w:rsidRDefault="006D69DC" w:rsidP="00720203">
            <w:pPr>
              <w:keepNext/>
              <w:bidi/>
              <w:jc w:val="center"/>
              <w:rPr>
                <w:rFonts w:ascii="Arabic Typesetting" w:hAnsi="Arabic Typesetting" w:cs="Arabic Typesetting"/>
                <w:b/>
                <w:color w:val="000000"/>
                <w:sz w:val="28"/>
                <w:szCs w:val="28"/>
              </w:rPr>
            </w:pPr>
            <w:r w:rsidRPr="006D69DC">
              <w:rPr>
                <w:rFonts w:ascii="Arabic Typesetting" w:hAnsi="Arabic Typesetting" w:cs="Arabic Typesetting"/>
                <w:b/>
                <w:color w:val="000000"/>
                <w:sz w:val="28"/>
                <w:szCs w:val="28"/>
              </w:rPr>
              <w:t>2018</w:t>
            </w:r>
          </w:p>
        </w:tc>
      </w:tr>
      <w:tr w:rsidR="006D69DC" w:rsidRPr="006D69DC" w:rsidTr="001D7014">
        <w:trPr>
          <w:trHeight w:val="375"/>
          <w:jc w:val="center"/>
        </w:trPr>
        <w:tc>
          <w:tcPr>
            <w:tcW w:w="1999" w:type="dxa"/>
            <w:tcBorders>
              <w:top w:val="single" w:sz="8" w:space="0" w:color="auto"/>
              <w:left w:val="single" w:sz="4" w:space="0" w:color="auto"/>
              <w:bottom w:val="single" w:sz="4" w:space="0" w:color="auto"/>
              <w:right w:val="single" w:sz="8" w:space="0" w:color="auto"/>
            </w:tcBorders>
            <w:shd w:val="clear" w:color="auto" w:fill="C6D9F1"/>
            <w:noWrap/>
            <w:vAlign w:val="bottom"/>
          </w:tcPr>
          <w:p w:rsidR="006D69DC" w:rsidRPr="006D69DC" w:rsidRDefault="006D69DC" w:rsidP="006D69DC">
            <w:pPr>
              <w:bidi/>
              <w:rPr>
                <w:rFonts w:ascii="Arabic Typesetting" w:hAnsi="Arabic Typesetting" w:cs="Arabic Typesetting"/>
                <w:sz w:val="28"/>
                <w:szCs w:val="28"/>
                <w:rtl/>
                <w:lang w:bidi="ar-EG"/>
              </w:rPr>
            </w:pPr>
            <w:r w:rsidRPr="006D69DC">
              <w:rPr>
                <w:rFonts w:ascii="Arabic Typesetting" w:hAnsi="Arabic Typesetting" w:cs="Arabic Typesetting"/>
                <w:bCs/>
                <w:color w:val="000000"/>
                <w:sz w:val="28"/>
                <w:szCs w:val="28"/>
                <w:rtl/>
                <w:lang w:bidi="ar-EG"/>
              </w:rPr>
              <w:t>المعالم الرئيسية</w:t>
            </w:r>
          </w:p>
        </w:tc>
        <w:tc>
          <w:tcPr>
            <w:tcW w:w="391"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ف1</w:t>
            </w:r>
          </w:p>
        </w:tc>
        <w:tc>
          <w:tcPr>
            <w:tcW w:w="384"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ف2</w:t>
            </w:r>
          </w:p>
        </w:tc>
        <w:tc>
          <w:tcPr>
            <w:tcW w:w="384"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ف3</w:t>
            </w:r>
          </w:p>
        </w:tc>
        <w:tc>
          <w:tcPr>
            <w:tcW w:w="384" w:type="dxa"/>
            <w:gridSpan w:val="2"/>
            <w:tcBorders>
              <w:top w:val="nil"/>
              <w:left w:val="nil"/>
              <w:bottom w:val="single" w:sz="4" w:space="0" w:color="auto"/>
              <w:right w:val="single" w:sz="8"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ف4</w:t>
            </w:r>
          </w:p>
        </w:tc>
        <w:tc>
          <w:tcPr>
            <w:tcW w:w="384"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ف1</w:t>
            </w:r>
          </w:p>
        </w:tc>
        <w:tc>
          <w:tcPr>
            <w:tcW w:w="352"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ف2</w:t>
            </w:r>
          </w:p>
        </w:tc>
        <w:tc>
          <w:tcPr>
            <w:tcW w:w="384"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ف3</w:t>
            </w:r>
          </w:p>
        </w:tc>
        <w:tc>
          <w:tcPr>
            <w:tcW w:w="384" w:type="dxa"/>
            <w:tcBorders>
              <w:top w:val="nil"/>
              <w:left w:val="nil"/>
              <w:bottom w:val="single" w:sz="4" w:space="0" w:color="auto"/>
              <w:right w:val="single" w:sz="8"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ف4</w:t>
            </w:r>
          </w:p>
        </w:tc>
        <w:tc>
          <w:tcPr>
            <w:tcW w:w="385" w:type="dxa"/>
            <w:gridSpan w:val="2"/>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ف1</w:t>
            </w:r>
          </w:p>
        </w:tc>
        <w:tc>
          <w:tcPr>
            <w:tcW w:w="385"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ف2</w:t>
            </w:r>
          </w:p>
        </w:tc>
        <w:tc>
          <w:tcPr>
            <w:tcW w:w="385"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ف3</w:t>
            </w:r>
          </w:p>
        </w:tc>
        <w:tc>
          <w:tcPr>
            <w:tcW w:w="385" w:type="dxa"/>
            <w:tcBorders>
              <w:top w:val="nil"/>
              <w:left w:val="nil"/>
              <w:bottom w:val="single" w:sz="4" w:space="0" w:color="auto"/>
              <w:right w:val="single" w:sz="8"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ف4</w:t>
            </w:r>
          </w:p>
        </w:tc>
        <w:tc>
          <w:tcPr>
            <w:tcW w:w="385" w:type="dxa"/>
            <w:gridSpan w:val="2"/>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ف1</w:t>
            </w:r>
          </w:p>
        </w:tc>
        <w:tc>
          <w:tcPr>
            <w:tcW w:w="385"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ف2</w:t>
            </w:r>
          </w:p>
        </w:tc>
        <w:tc>
          <w:tcPr>
            <w:tcW w:w="385" w:type="dxa"/>
            <w:tcBorders>
              <w:top w:val="nil"/>
              <w:left w:val="nil"/>
              <w:bottom w:val="single" w:sz="4" w:space="0" w:color="auto"/>
              <w:right w:val="single" w:sz="4"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ف3</w:t>
            </w:r>
          </w:p>
        </w:tc>
        <w:tc>
          <w:tcPr>
            <w:tcW w:w="385" w:type="dxa"/>
            <w:tcBorders>
              <w:top w:val="nil"/>
              <w:left w:val="nil"/>
              <w:bottom w:val="single" w:sz="4" w:space="0" w:color="auto"/>
              <w:right w:val="single" w:sz="8" w:space="0" w:color="auto"/>
            </w:tcBorders>
            <w:shd w:val="clear" w:color="auto" w:fill="C6D9F1"/>
            <w:noWrap/>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ف4</w:t>
            </w:r>
          </w:p>
        </w:tc>
        <w:tc>
          <w:tcPr>
            <w:tcW w:w="340" w:type="dxa"/>
            <w:gridSpan w:val="2"/>
            <w:tcBorders>
              <w:top w:val="nil"/>
              <w:left w:val="nil"/>
              <w:bottom w:val="single" w:sz="4" w:space="0" w:color="auto"/>
              <w:right w:val="single" w:sz="8" w:space="0" w:color="auto"/>
            </w:tcBorders>
            <w:shd w:val="clear" w:color="auto" w:fill="C6D9F1"/>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ف1</w:t>
            </w:r>
          </w:p>
        </w:tc>
        <w:tc>
          <w:tcPr>
            <w:tcW w:w="340" w:type="dxa"/>
            <w:tcBorders>
              <w:top w:val="nil"/>
              <w:left w:val="nil"/>
              <w:bottom w:val="single" w:sz="4" w:space="0" w:color="auto"/>
              <w:right w:val="single" w:sz="8" w:space="0" w:color="auto"/>
            </w:tcBorders>
            <w:shd w:val="clear" w:color="auto" w:fill="C6D9F1"/>
            <w:tcMar>
              <w:left w:w="0" w:type="dxa"/>
              <w:right w:w="0" w:type="dxa"/>
            </w:tcMar>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ف2</w:t>
            </w:r>
          </w:p>
        </w:tc>
        <w:tc>
          <w:tcPr>
            <w:tcW w:w="430" w:type="dxa"/>
            <w:tcBorders>
              <w:top w:val="nil"/>
              <w:left w:val="nil"/>
              <w:bottom w:val="single" w:sz="4" w:space="0" w:color="auto"/>
              <w:right w:val="single" w:sz="8" w:space="0" w:color="auto"/>
            </w:tcBorders>
            <w:shd w:val="clear" w:color="auto" w:fill="C6D9F1"/>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ف3</w:t>
            </w:r>
          </w:p>
        </w:tc>
        <w:tc>
          <w:tcPr>
            <w:tcW w:w="430" w:type="dxa"/>
            <w:tcBorders>
              <w:top w:val="nil"/>
              <w:left w:val="nil"/>
              <w:bottom w:val="single" w:sz="4" w:space="0" w:color="auto"/>
              <w:right w:val="single" w:sz="4" w:space="0" w:color="auto"/>
            </w:tcBorders>
            <w:shd w:val="clear" w:color="auto" w:fill="C6D9F1"/>
            <w:vAlign w:val="bottom"/>
          </w:tcPr>
          <w:p w:rsidR="006D69DC" w:rsidRPr="006D69DC" w:rsidRDefault="006D69DC" w:rsidP="006D69DC">
            <w:pPr>
              <w:bidi/>
              <w:jc w:val="center"/>
              <w:rPr>
                <w:rFonts w:ascii="Arabic Typesetting" w:hAnsi="Arabic Typesetting" w:cs="Arabic Typesetting"/>
                <w:sz w:val="20"/>
                <w:rtl/>
                <w:lang w:bidi="ar-EG"/>
              </w:rPr>
            </w:pPr>
            <w:r w:rsidRPr="006D69DC">
              <w:rPr>
                <w:rFonts w:ascii="Arabic Typesetting" w:hAnsi="Arabic Typesetting" w:cs="Arabic Typesetting" w:hint="cs"/>
                <w:bCs/>
                <w:sz w:val="20"/>
                <w:rtl/>
                <w:lang w:bidi="ar-EG"/>
              </w:rPr>
              <w:t>ف4</w:t>
            </w:r>
          </w:p>
        </w:tc>
      </w:tr>
      <w:tr w:rsidR="007147DB" w:rsidRPr="006D69DC" w:rsidTr="001D7014">
        <w:trPr>
          <w:trHeight w:val="615"/>
          <w:jc w:val="center"/>
        </w:trPr>
        <w:tc>
          <w:tcPr>
            <w:tcW w:w="1999" w:type="dxa"/>
            <w:tcBorders>
              <w:top w:val="nil"/>
              <w:left w:val="single" w:sz="4" w:space="0" w:color="auto"/>
              <w:bottom w:val="single" w:sz="4" w:space="0" w:color="auto"/>
              <w:right w:val="single" w:sz="8" w:space="0" w:color="auto"/>
            </w:tcBorders>
            <w:noWrap/>
            <w:vAlign w:val="center"/>
          </w:tcPr>
          <w:p w:rsidR="007147DB" w:rsidRPr="006D69DC" w:rsidRDefault="007147DB" w:rsidP="006D69DC">
            <w:pPr>
              <w:bidi/>
              <w:rPr>
                <w:rFonts w:ascii="Arabic Typesetting" w:hAnsi="Arabic Typesetting" w:cs="Arabic Typesetting"/>
                <w:sz w:val="28"/>
                <w:szCs w:val="28"/>
                <w:rtl/>
              </w:rPr>
            </w:pPr>
            <w:r w:rsidRPr="006D69DC">
              <w:rPr>
                <w:rFonts w:ascii="Arabic Typesetting" w:hAnsi="Arabic Typesetting" w:cs="Arabic Typesetting"/>
                <w:color w:val="000000"/>
                <w:sz w:val="28"/>
                <w:szCs w:val="28"/>
                <w:rtl/>
                <w:lang w:bidi="ar-EG"/>
              </w:rPr>
              <w:t>دعوة للتعبير عن الاهتمام لاختيار القيادة/المهندس المعماري</w:t>
            </w:r>
          </w:p>
        </w:tc>
        <w:tc>
          <w:tcPr>
            <w:tcW w:w="391"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gridSpan w:val="2"/>
            <w:tcBorders>
              <w:top w:val="nil"/>
              <w:left w:val="nil"/>
              <w:bottom w:val="single" w:sz="4" w:space="0" w:color="auto"/>
              <w:right w:val="single" w:sz="8" w:space="0" w:color="auto"/>
            </w:tcBorders>
            <w:noWrap/>
            <w:tcMar>
              <w:left w:w="0" w:type="dxa"/>
              <w:right w:w="0" w:type="dxa"/>
            </w:tcMar>
            <w:vAlign w:val="center"/>
          </w:tcPr>
          <w:p w:rsidR="007147DB" w:rsidRPr="00EC7C86" w:rsidRDefault="007147DB" w:rsidP="009E1288">
            <w:pPr>
              <w:jc w:val="center"/>
              <w:rPr>
                <w:sz w:val="16"/>
                <w:szCs w:val="16"/>
              </w:rPr>
            </w:pPr>
            <w:r w:rsidRPr="00EC7C86">
              <w:rPr>
                <w:sz w:val="16"/>
                <w:szCs w:val="16"/>
              </w:rPr>
              <w:t>X</w:t>
            </w: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52"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8" w:space="0" w:color="auto"/>
            </w:tcBorders>
            <w:noWrap/>
            <w:tcMar>
              <w:left w:w="0" w:type="dxa"/>
              <w:right w:w="0" w:type="dxa"/>
            </w:tcMar>
            <w:vAlign w:val="center"/>
          </w:tcPr>
          <w:p w:rsidR="007147DB" w:rsidRPr="00EC7C86" w:rsidRDefault="007147DB" w:rsidP="009E1288">
            <w:pPr>
              <w:jc w:val="center"/>
              <w:rPr>
                <w:sz w:val="16"/>
                <w:szCs w:val="16"/>
              </w:rPr>
            </w:pP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EC7C86" w:rsidRDefault="007147DB" w:rsidP="009E1288">
            <w:pPr>
              <w:jc w:val="center"/>
              <w:rPr>
                <w:sz w:val="16"/>
                <w:szCs w:val="16"/>
              </w:rPr>
            </w:pP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EC7C86" w:rsidRDefault="007147DB" w:rsidP="009E1288">
            <w:pPr>
              <w:jc w:val="center"/>
              <w:rPr>
                <w:sz w:val="16"/>
                <w:szCs w:val="16"/>
              </w:rPr>
            </w:pPr>
          </w:p>
        </w:tc>
        <w:tc>
          <w:tcPr>
            <w:tcW w:w="340" w:type="dxa"/>
            <w:gridSpan w:val="2"/>
            <w:tcBorders>
              <w:top w:val="nil"/>
              <w:left w:val="nil"/>
              <w:bottom w:val="single" w:sz="4" w:space="0" w:color="auto"/>
              <w:right w:val="single" w:sz="8" w:space="0" w:color="auto"/>
            </w:tcBorders>
            <w:tcMar>
              <w:left w:w="0" w:type="dxa"/>
              <w:right w:w="0" w:type="dxa"/>
            </w:tcMar>
            <w:vAlign w:val="center"/>
          </w:tcPr>
          <w:p w:rsidR="007147DB" w:rsidRPr="00EC7C86" w:rsidRDefault="007147DB" w:rsidP="009E1288">
            <w:pPr>
              <w:jc w:val="center"/>
              <w:rPr>
                <w:sz w:val="16"/>
                <w:szCs w:val="16"/>
              </w:rPr>
            </w:pPr>
          </w:p>
        </w:tc>
        <w:tc>
          <w:tcPr>
            <w:tcW w:w="340" w:type="dxa"/>
            <w:tcBorders>
              <w:top w:val="nil"/>
              <w:left w:val="nil"/>
              <w:bottom w:val="single" w:sz="4" w:space="0" w:color="auto"/>
              <w:right w:val="single" w:sz="8" w:space="0" w:color="auto"/>
            </w:tcBorders>
            <w:tcMar>
              <w:left w:w="0" w:type="dxa"/>
              <w:right w:w="0" w:type="dxa"/>
            </w:tcMar>
            <w:vAlign w:val="center"/>
          </w:tcPr>
          <w:p w:rsidR="007147DB" w:rsidRPr="00EC7C86" w:rsidRDefault="007147DB" w:rsidP="009E1288">
            <w:pPr>
              <w:jc w:val="center"/>
              <w:rPr>
                <w:sz w:val="16"/>
                <w:szCs w:val="16"/>
              </w:rPr>
            </w:pPr>
          </w:p>
        </w:tc>
        <w:tc>
          <w:tcPr>
            <w:tcW w:w="430" w:type="dxa"/>
            <w:tcBorders>
              <w:top w:val="nil"/>
              <w:left w:val="nil"/>
              <w:bottom w:val="single" w:sz="4" w:space="0" w:color="auto"/>
              <w:right w:val="single" w:sz="8" w:space="0" w:color="auto"/>
            </w:tcBorders>
            <w:vAlign w:val="center"/>
          </w:tcPr>
          <w:p w:rsidR="007147DB" w:rsidRPr="00EC7C86" w:rsidRDefault="007147DB" w:rsidP="009E1288">
            <w:pPr>
              <w:jc w:val="center"/>
              <w:rPr>
                <w:sz w:val="16"/>
                <w:szCs w:val="16"/>
              </w:rPr>
            </w:pPr>
          </w:p>
        </w:tc>
        <w:tc>
          <w:tcPr>
            <w:tcW w:w="430" w:type="dxa"/>
            <w:tcBorders>
              <w:top w:val="nil"/>
              <w:left w:val="nil"/>
              <w:bottom w:val="single" w:sz="4" w:space="0" w:color="auto"/>
              <w:right w:val="single" w:sz="4" w:space="0" w:color="auto"/>
            </w:tcBorders>
            <w:vAlign w:val="center"/>
          </w:tcPr>
          <w:p w:rsidR="007147DB" w:rsidRPr="00EC7C86" w:rsidRDefault="007147DB" w:rsidP="009E1288">
            <w:pPr>
              <w:jc w:val="center"/>
              <w:rPr>
                <w:sz w:val="16"/>
                <w:szCs w:val="16"/>
              </w:rPr>
            </w:pPr>
          </w:p>
        </w:tc>
      </w:tr>
      <w:tr w:rsidR="007147DB" w:rsidRPr="006D69DC" w:rsidTr="001D7014">
        <w:trPr>
          <w:trHeight w:val="413"/>
          <w:jc w:val="center"/>
        </w:trPr>
        <w:tc>
          <w:tcPr>
            <w:tcW w:w="1999" w:type="dxa"/>
            <w:tcBorders>
              <w:top w:val="nil"/>
              <w:left w:val="single" w:sz="4" w:space="0" w:color="auto"/>
              <w:bottom w:val="single" w:sz="4" w:space="0" w:color="auto"/>
              <w:right w:val="single" w:sz="8" w:space="0" w:color="auto"/>
            </w:tcBorders>
            <w:noWrap/>
            <w:vAlign w:val="center"/>
          </w:tcPr>
          <w:p w:rsidR="007147DB" w:rsidRPr="006D69DC" w:rsidRDefault="007147DB" w:rsidP="006D69DC">
            <w:pPr>
              <w:bidi/>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طرح مناقصة واختيار القيادة/المهندس المعماري والمهندسين الفنيين</w:t>
            </w:r>
          </w:p>
        </w:tc>
        <w:tc>
          <w:tcPr>
            <w:tcW w:w="391"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gridSpan w:val="2"/>
            <w:tcBorders>
              <w:top w:val="nil"/>
              <w:left w:val="nil"/>
              <w:bottom w:val="single" w:sz="4" w:space="0" w:color="auto"/>
              <w:right w:val="single" w:sz="8"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52"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4"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40" w:type="dxa"/>
            <w:gridSpan w:val="2"/>
            <w:tcBorders>
              <w:top w:val="nil"/>
              <w:left w:val="nil"/>
              <w:bottom w:val="single" w:sz="4" w:space="0" w:color="auto"/>
              <w:right w:val="single" w:sz="8" w:space="0" w:color="auto"/>
            </w:tcBorders>
            <w:tcMar>
              <w:left w:w="0" w:type="dxa"/>
              <w:right w:w="0" w:type="dxa"/>
            </w:tcMar>
            <w:vAlign w:val="center"/>
          </w:tcPr>
          <w:p w:rsidR="007147DB" w:rsidRPr="0056209E" w:rsidRDefault="007147DB" w:rsidP="009E1288">
            <w:pPr>
              <w:jc w:val="center"/>
              <w:rPr>
                <w:sz w:val="16"/>
                <w:szCs w:val="16"/>
              </w:rPr>
            </w:pPr>
          </w:p>
        </w:tc>
        <w:tc>
          <w:tcPr>
            <w:tcW w:w="340" w:type="dxa"/>
            <w:tcBorders>
              <w:top w:val="nil"/>
              <w:left w:val="nil"/>
              <w:bottom w:val="single" w:sz="4" w:space="0" w:color="auto"/>
              <w:right w:val="single" w:sz="8" w:space="0" w:color="auto"/>
            </w:tcBorders>
            <w:tcMar>
              <w:left w:w="0" w:type="dxa"/>
              <w:right w:w="0" w:type="dxa"/>
            </w:tcMar>
            <w:vAlign w:val="center"/>
          </w:tcPr>
          <w:p w:rsidR="007147DB" w:rsidRPr="0056209E" w:rsidRDefault="007147DB" w:rsidP="009E1288">
            <w:pPr>
              <w:jc w:val="center"/>
              <w:rPr>
                <w:sz w:val="16"/>
                <w:szCs w:val="16"/>
              </w:rPr>
            </w:pPr>
          </w:p>
        </w:tc>
        <w:tc>
          <w:tcPr>
            <w:tcW w:w="430" w:type="dxa"/>
            <w:tcBorders>
              <w:top w:val="nil"/>
              <w:left w:val="nil"/>
              <w:bottom w:val="single" w:sz="4" w:space="0" w:color="auto"/>
              <w:right w:val="single" w:sz="8" w:space="0" w:color="auto"/>
            </w:tcBorders>
            <w:vAlign w:val="center"/>
          </w:tcPr>
          <w:p w:rsidR="007147DB" w:rsidRPr="0056209E" w:rsidRDefault="007147DB" w:rsidP="009E1288">
            <w:pPr>
              <w:jc w:val="center"/>
              <w:rPr>
                <w:sz w:val="16"/>
                <w:szCs w:val="16"/>
              </w:rPr>
            </w:pPr>
          </w:p>
        </w:tc>
        <w:tc>
          <w:tcPr>
            <w:tcW w:w="430" w:type="dxa"/>
            <w:tcBorders>
              <w:top w:val="nil"/>
              <w:left w:val="nil"/>
              <w:bottom w:val="single" w:sz="4" w:space="0" w:color="auto"/>
              <w:right w:val="single" w:sz="4" w:space="0" w:color="auto"/>
            </w:tcBorders>
            <w:vAlign w:val="center"/>
          </w:tcPr>
          <w:p w:rsidR="007147DB" w:rsidRPr="0056209E" w:rsidRDefault="007147DB" w:rsidP="009E1288">
            <w:pPr>
              <w:jc w:val="center"/>
              <w:rPr>
                <w:sz w:val="16"/>
                <w:szCs w:val="16"/>
              </w:rPr>
            </w:pPr>
          </w:p>
        </w:tc>
      </w:tr>
      <w:tr w:rsidR="007147DB" w:rsidRPr="006D69DC" w:rsidTr="001D7014">
        <w:trPr>
          <w:trHeight w:val="507"/>
          <w:jc w:val="center"/>
        </w:trPr>
        <w:tc>
          <w:tcPr>
            <w:tcW w:w="1999" w:type="dxa"/>
            <w:tcBorders>
              <w:top w:val="nil"/>
              <w:left w:val="single" w:sz="4" w:space="0" w:color="auto"/>
              <w:bottom w:val="single" w:sz="4" w:space="0" w:color="auto"/>
              <w:right w:val="single" w:sz="8" w:space="0" w:color="auto"/>
            </w:tcBorders>
            <w:noWrap/>
            <w:vAlign w:val="center"/>
          </w:tcPr>
          <w:p w:rsidR="007147DB" w:rsidRPr="006D69DC" w:rsidRDefault="007147DB" w:rsidP="006D69DC">
            <w:pPr>
              <w:bidi/>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دراسة شاملة عن التنفيذ</w:t>
            </w:r>
          </w:p>
        </w:tc>
        <w:tc>
          <w:tcPr>
            <w:tcW w:w="391"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gridSpan w:val="2"/>
            <w:tcBorders>
              <w:top w:val="nil"/>
              <w:left w:val="nil"/>
              <w:bottom w:val="single" w:sz="4" w:space="0" w:color="auto"/>
              <w:right w:val="single" w:sz="8"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52"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4"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40" w:type="dxa"/>
            <w:gridSpan w:val="2"/>
            <w:tcBorders>
              <w:top w:val="nil"/>
              <w:left w:val="nil"/>
              <w:bottom w:val="single" w:sz="4" w:space="0" w:color="auto"/>
              <w:right w:val="single" w:sz="8" w:space="0" w:color="auto"/>
            </w:tcBorders>
            <w:tcMar>
              <w:left w:w="0" w:type="dxa"/>
              <w:right w:w="0" w:type="dxa"/>
            </w:tcMar>
            <w:vAlign w:val="center"/>
          </w:tcPr>
          <w:p w:rsidR="007147DB" w:rsidRPr="0056209E" w:rsidRDefault="007147DB" w:rsidP="009E1288">
            <w:pPr>
              <w:jc w:val="center"/>
              <w:rPr>
                <w:sz w:val="16"/>
                <w:szCs w:val="16"/>
              </w:rPr>
            </w:pPr>
          </w:p>
        </w:tc>
        <w:tc>
          <w:tcPr>
            <w:tcW w:w="340" w:type="dxa"/>
            <w:tcBorders>
              <w:top w:val="nil"/>
              <w:left w:val="nil"/>
              <w:bottom w:val="single" w:sz="4" w:space="0" w:color="auto"/>
              <w:right w:val="single" w:sz="8" w:space="0" w:color="auto"/>
            </w:tcBorders>
            <w:tcMar>
              <w:left w:w="0" w:type="dxa"/>
              <w:right w:w="0" w:type="dxa"/>
            </w:tcMar>
            <w:vAlign w:val="center"/>
          </w:tcPr>
          <w:p w:rsidR="007147DB" w:rsidRPr="0056209E" w:rsidRDefault="007147DB" w:rsidP="009E1288">
            <w:pPr>
              <w:jc w:val="center"/>
              <w:rPr>
                <w:sz w:val="16"/>
                <w:szCs w:val="16"/>
              </w:rPr>
            </w:pPr>
          </w:p>
        </w:tc>
        <w:tc>
          <w:tcPr>
            <w:tcW w:w="430" w:type="dxa"/>
            <w:tcBorders>
              <w:top w:val="nil"/>
              <w:left w:val="nil"/>
              <w:bottom w:val="single" w:sz="4" w:space="0" w:color="auto"/>
              <w:right w:val="single" w:sz="8" w:space="0" w:color="auto"/>
            </w:tcBorders>
            <w:vAlign w:val="center"/>
          </w:tcPr>
          <w:p w:rsidR="007147DB" w:rsidRPr="0056209E" w:rsidRDefault="007147DB" w:rsidP="009E1288">
            <w:pPr>
              <w:jc w:val="center"/>
              <w:rPr>
                <w:sz w:val="16"/>
                <w:szCs w:val="16"/>
              </w:rPr>
            </w:pPr>
          </w:p>
        </w:tc>
        <w:tc>
          <w:tcPr>
            <w:tcW w:w="430" w:type="dxa"/>
            <w:tcBorders>
              <w:top w:val="nil"/>
              <w:left w:val="nil"/>
              <w:bottom w:val="single" w:sz="4" w:space="0" w:color="auto"/>
              <w:right w:val="single" w:sz="4" w:space="0" w:color="auto"/>
            </w:tcBorders>
            <w:vAlign w:val="center"/>
          </w:tcPr>
          <w:p w:rsidR="007147DB" w:rsidRPr="0056209E" w:rsidRDefault="007147DB" w:rsidP="009E1288">
            <w:pPr>
              <w:jc w:val="center"/>
              <w:rPr>
                <w:sz w:val="16"/>
                <w:szCs w:val="16"/>
              </w:rPr>
            </w:pPr>
          </w:p>
        </w:tc>
      </w:tr>
      <w:tr w:rsidR="007147DB" w:rsidRPr="006D69DC" w:rsidTr="001D7014">
        <w:trPr>
          <w:trHeight w:val="615"/>
          <w:jc w:val="center"/>
        </w:trPr>
        <w:tc>
          <w:tcPr>
            <w:tcW w:w="1999" w:type="dxa"/>
            <w:tcBorders>
              <w:top w:val="nil"/>
              <w:left w:val="single" w:sz="4" w:space="0" w:color="auto"/>
              <w:bottom w:val="single" w:sz="4" w:space="0" w:color="auto"/>
              <w:right w:val="single" w:sz="8" w:space="0" w:color="auto"/>
            </w:tcBorders>
            <w:noWrap/>
            <w:vAlign w:val="center"/>
          </w:tcPr>
          <w:p w:rsidR="007147DB" w:rsidRPr="006D69DC" w:rsidRDefault="007147DB" w:rsidP="006D69DC">
            <w:pPr>
              <w:bidi/>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اختيار الحل التقني</w:t>
            </w:r>
          </w:p>
        </w:tc>
        <w:tc>
          <w:tcPr>
            <w:tcW w:w="391"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gridSpan w:val="2"/>
            <w:tcBorders>
              <w:top w:val="nil"/>
              <w:left w:val="nil"/>
              <w:bottom w:val="single" w:sz="4" w:space="0" w:color="auto"/>
              <w:right w:val="single" w:sz="8"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52"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4"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40" w:type="dxa"/>
            <w:gridSpan w:val="2"/>
            <w:tcBorders>
              <w:top w:val="nil"/>
              <w:left w:val="nil"/>
              <w:bottom w:val="single" w:sz="4" w:space="0" w:color="auto"/>
              <w:right w:val="single" w:sz="8" w:space="0" w:color="auto"/>
            </w:tcBorders>
            <w:tcMar>
              <w:left w:w="0" w:type="dxa"/>
              <w:right w:w="0" w:type="dxa"/>
            </w:tcMar>
            <w:vAlign w:val="center"/>
          </w:tcPr>
          <w:p w:rsidR="007147DB" w:rsidRPr="0056209E" w:rsidRDefault="007147DB" w:rsidP="009E1288">
            <w:pPr>
              <w:jc w:val="center"/>
              <w:rPr>
                <w:sz w:val="16"/>
                <w:szCs w:val="16"/>
              </w:rPr>
            </w:pPr>
          </w:p>
        </w:tc>
        <w:tc>
          <w:tcPr>
            <w:tcW w:w="340" w:type="dxa"/>
            <w:tcBorders>
              <w:top w:val="nil"/>
              <w:left w:val="nil"/>
              <w:bottom w:val="single" w:sz="4" w:space="0" w:color="auto"/>
              <w:right w:val="single" w:sz="8" w:space="0" w:color="auto"/>
            </w:tcBorders>
            <w:tcMar>
              <w:left w:w="0" w:type="dxa"/>
              <w:right w:w="0" w:type="dxa"/>
            </w:tcMar>
            <w:vAlign w:val="center"/>
          </w:tcPr>
          <w:p w:rsidR="007147DB" w:rsidRPr="0056209E" w:rsidRDefault="007147DB" w:rsidP="009E1288">
            <w:pPr>
              <w:jc w:val="center"/>
              <w:rPr>
                <w:sz w:val="16"/>
                <w:szCs w:val="16"/>
              </w:rPr>
            </w:pPr>
          </w:p>
        </w:tc>
        <w:tc>
          <w:tcPr>
            <w:tcW w:w="430" w:type="dxa"/>
            <w:tcBorders>
              <w:top w:val="nil"/>
              <w:left w:val="nil"/>
              <w:bottom w:val="single" w:sz="4" w:space="0" w:color="auto"/>
              <w:right w:val="single" w:sz="8" w:space="0" w:color="auto"/>
            </w:tcBorders>
            <w:vAlign w:val="center"/>
          </w:tcPr>
          <w:p w:rsidR="007147DB" w:rsidRPr="0056209E" w:rsidRDefault="007147DB" w:rsidP="009E1288">
            <w:pPr>
              <w:jc w:val="center"/>
              <w:rPr>
                <w:sz w:val="16"/>
                <w:szCs w:val="16"/>
              </w:rPr>
            </w:pPr>
          </w:p>
        </w:tc>
        <w:tc>
          <w:tcPr>
            <w:tcW w:w="430" w:type="dxa"/>
            <w:tcBorders>
              <w:top w:val="nil"/>
              <w:left w:val="nil"/>
              <w:bottom w:val="single" w:sz="4" w:space="0" w:color="auto"/>
              <w:right w:val="single" w:sz="4" w:space="0" w:color="auto"/>
            </w:tcBorders>
            <w:vAlign w:val="center"/>
          </w:tcPr>
          <w:p w:rsidR="007147DB" w:rsidRPr="0056209E" w:rsidRDefault="007147DB" w:rsidP="009E1288">
            <w:pPr>
              <w:jc w:val="center"/>
              <w:rPr>
                <w:sz w:val="16"/>
                <w:szCs w:val="16"/>
              </w:rPr>
            </w:pPr>
          </w:p>
        </w:tc>
      </w:tr>
      <w:tr w:rsidR="007147DB" w:rsidRPr="006D69DC" w:rsidTr="001D7014">
        <w:trPr>
          <w:trHeight w:val="563"/>
          <w:jc w:val="center"/>
        </w:trPr>
        <w:tc>
          <w:tcPr>
            <w:tcW w:w="1999" w:type="dxa"/>
            <w:tcBorders>
              <w:top w:val="nil"/>
              <w:left w:val="single" w:sz="4" w:space="0" w:color="auto"/>
              <w:bottom w:val="single" w:sz="4" w:space="0" w:color="auto"/>
              <w:right w:val="single" w:sz="8" w:space="0" w:color="auto"/>
            </w:tcBorders>
            <w:noWrap/>
            <w:vAlign w:val="center"/>
          </w:tcPr>
          <w:p w:rsidR="007147DB" w:rsidRPr="006D69DC" w:rsidRDefault="007147DB" w:rsidP="006D69DC">
            <w:pPr>
              <w:bidi/>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طرح مناقصة على الشركات</w:t>
            </w:r>
          </w:p>
        </w:tc>
        <w:tc>
          <w:tcPr>
            <w:tcW w:w="391"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gridSpan w:val="2"/>
            <w:tcBorders>
              <w:top w:val="nil"/>
              <w:left w:val="nil"/>
              <w:bottom w:val="single" w:sz="4" w:space="0" w:color="auto"/>
              <w:right w:val="single" w:sz="8"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52" w:type="dxa"/>
            <w:tcBorders>
              <w:top w:val="nil"/>
              <w:left w:val="nil"/>
              <w:bottom w:val="single" w:sz="4" w:space="0" w:color="auto"/>
              <w:right w:val="single" w:sz="4" w:space="0" w:color="auto"/>
            </w:tcBorders>
            <w:noWrap/>
            <w:tcMar>
              <w:left w:w="0" w:type="dxa"/>
              <w:right w:w="0" w:type="dxa"/>
            </w:tcMar>
            <w:vAlign w:val="center"/>
          </w:tcPr>
          <w:p w:rsidR="007147DB" w:rsidRPr="00EC7C86" w:rsidRDefault="007147DB" w:rsidP="009E1288">
            <w:pPr>
              <w:jc w:val="center"/>
              <w:rPr>
                <w:sz w:val="16"/>
                <w:szCs w:val="16"/>
              </w:rPr>
            </w:pPr>
          </w:p>
        </w:tc>
        <w:tc>
          <w:tcPr>
            <w:tcW w:w="384"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4"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85" w:type="dxa"/>
            <w:gridSpan w:val="2"/>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5" w:type="dxa"/>
            <w:tcBorders>
              <w:top w:val="nil"/>
              <w:left w:val="nil"/>
              <w:bottom w:val="single" w:sz="4" w:space="0" w:color="auto"/>
              <w:right w:val="single" w:sz="4" w:space="0" w:color="auto"/>
            </w:tcBorders>
            <w:noWrap/>
            <w:tcMar>
              <w:left w:w="0" w:type="dxa"/>
              <w:right w:w="0" w:type="dxa"/>
            </w:tcMar>
            <w:vAlign w:val="center"/>
          </w:tcPr>
          <w:p w:rsidR="007147DB" w:rsidRPr="0056209E" w:rsidRDefault="007147DB" w:rsidP="009E1288">
            <w:pPr>
              <w:jc w:val="center"/>
              <w:rPr>
                <w:sz w:val="16"/>
                <w:szCs w:val="16"/>
              </w:rPr>
            </w:pPr>
            <w:r w:rsidRPr="0056209E">
              <w:rPr>
                <w:sz w:val="16"/>
                <w:szCs w:val="16"/>
              </w:rPr>
              <w:t>X</w:t>
            </w:r>
          </w:p>
        </w:tc>
        <w:tc>
          <w:tcPr>
            <w:tcW w:w="385" w:type="dxa"/>
            <w:tcBorders>
              <w:top w:val="nil"/>
              <w:left w:val="nil"/>
              <w:bottom w:val="single" w:sz="4" w:space="0" w:color="auto"/>
              <w:right w:val="single" w:sz="8" w:space="0" w:color="auto"/>
            </w:tcBorders>
            <w:noWrap/>
            <w:tcMar>
              <w:left w:w="0" w:type="dxa"/>
              <w:right w:w="0" w:type="dxa"/>
            </w:tcMar>
            <w:vAlign w:val="center"/>
          </w:tcPr>
          <w:p w:rsidR="007147DB" w:rsidRPr="0056209E" w:rsidRDefault="007147DB" w:rsidP="009E1288">
            <w:pPr>
              <w:jc w:val="center"/>
              <w:rPr>
                <w:sz w:val="16"/>
                <w:szCs w:val="16"/>
              </w:rPr>
            </w:pPr>
          </w:p>
        </w:tc>
        <w:tc>
          <w:tcPr>
            <w:tcW w:w="340" w:type="dxa"/>
            <w:gridSpan w:val="2"/>
            <w:tcBorders>
              <w:top w:val="nil"/>
              <w:left w:val="nil"/>
              <w:bottom w:val="single" w:sz="4" w:space="0" w:color="auto"/>
              <w:right w:val="single" w:sz="8" w:space="0" w:color="auto"/>
            </w:tcBorders>
            <w:tcMar>
              <w:left w:w="0" w:type="dxa"/>
              <w:right w:w="0" w:type="dxa"/>
            </w:tcMar>
            <w:vAlign w:val="center"/>
          </w:tcPr>
          <w:p w:rsidR="007147DB" w:rsidRPr="0056209E" w:rsidRDefault="007147DB" w:rsidP="009E1288">
            <w:pPr>
              <w:jc w:val="center"/>
              <w:rPr>
                <w:sz w:val="16"/>
                <w:szCs w:val="16"/>
              </w:rPr>
            </w:pPr>
          </w:p>
        </w:tc>
        <w:tc>
          <w:tcPr>
            <w:tcW w:w="340" w:type="dxa"/>
            <w:tcBorders>
              <w:top w:val="nil"/>
              <w:left w:val="nil"/>
              <w:bottom w:val="single" w:sz="4" w:space="0" w:color="auto"/>
              <w:right w:val="single" w:sz="8" w:space="0" w:color="auto"/>
            </w:tcBorders>
            <w:tcMar>
              <w:left w:w="0" w:type="dxa"/>
              <w:right w:w="0" w:type="dxa"/>
            </w:tcMar>
            <w:vAlign w:val="center"/>
          </w:tcPr>
          <w:p w:rsidR="007147DB" w:rsidRPr="0056209E" w:rsidRDefault="007147DB" w:rsidP="009E1288">
            <w:pPr>
              <w:jc w:val="center"/>
              <w:rPr>
                <w:sz w:val="16"/>
                <w:szCs w:val="16"/>
              </w:rPr>
            </w:pPr>
          </w:p>
        </w:tc>
        <w:tc>
          <w:tcPr>
            <w:tcW w:w="430" w:type="dxa"/>
            <w:tcBorders>
              <w:top w:val="nil"/>
              <w:left w:val="nil"/>
              <w:bottom w:val="single" w:sz="4" w:space="0" w:color="auto"/>
              <w:right w:val="single" w:sz="8" w:space="0" w:color="auto"/>
            </w:tcBorders>
            <w:vAlign w:val="center"/>
          </w:tcPr>
          <w:p w:rsidR="007147DB" w:rsidRPr="0056209E" w:rsidRDefault="007147DB" w:rsidP="009E1288">
            <w:pPr>
              <w:jc w:val="center"/>
              <w:rPr>
                <w:sz w:val="16"/>
                <w:szCs w:val="16"/>
              </w:rPr>
            </w:pPr>
          </w:p>
        </w:tc>
        <w:tc>
          <w:tcPr>
            <w:tcW w:w="430" w:type="dxa"/>
            <w:tcBorders>
              <w:top w:val="nil"/>
              <w:left w:val="nil"/>
              <w:bottom w:val="single" w:sz="4" w:space="0" w:color="auto"/>
              <w:right w:val="single" w:sz="4" w:space="0" w:color="auto"/>
            </w:tcBorders>
            <w:vAlign w:val="center"/>
          </w:tcPr>
          <w:p w:rsidR="007147DB" w:rsidRPr="0056209E" w:rsidRDefault="007147DB" w:rsidP="009E1288">
            <w:pPr>
              <w:jc w:val="center"/>
              <w:rPr>
                <w:sz w:val="16"/>
                <w:szCs w:val="16"/>
              </w:rPr>
            </w:pPr>
          </w:p>
        </w:tc>
      </w:tr>
      <w:tr w:rsidR="007147DB" w:rsidRPr="006D69DC" w:rsidTr="007147DB">
        <w:trPr>
          <w:trHeight w:val="50"/>
          <w:jc w:val="center"/>
        </w:trPr>
        <w:tc>
          <w:tcPr>
            <w:tcW w:w="1999" w:type="dxa"/>
            <w:tcBorders>
              <w:top w:val="single" w:sz="4" w:space="0" w:color="auto"/>
              <w:left w:val="single" w:sz="4" w:space="0" w:color="auto"/>
              <w:bottom w:val="single" w:sz="4" w:space="0" w:color="auto"/>
              <w:right w:val="single" w:sz="8" w:space="0" w:color="auto"/>
            </w:tcBorders>
            <w:noWrap/>
            <w:vAlign w:val="center"/>
          </w:tcPr>
          <w:p w:rsidR="007147DB" w:rsidRPr="006D69DC" w:rsidRDefault="007147DB" w:rsidP="006D69DC">
            <w:pPr>
              <w:bidi/>
              <w:rPr>
                <w:rFonts w:ascii="Arabic Typesetting" w:hAnsi="Arabic Typesetting" w:cs="Arabic Typesetting"/>
                <w:sz w:val="28"/>
                <w:szCs w:val="28"/>
                <w:rtl/>
                <w:lang w:bidi="ar-EG"/>
              </w:rPr>
            </w:pPr>
            <w:r w:rsidRPr="006D69DC">
              <w:rPr>
                <w:rFonts w:ascii="Arabic Typesetting" w:hAnsi="Arabic Typesetting" w:cs="Arabic Typesetting"/>
                <w:color w:val="000000"/>
                <w:sz w:val="28"/>
                <w:szCs w:val="28"/>
                <w:rtl/>
                <w:lang w:bidi="ar-EG"/>
              </w:rPr>
              <w:t>الأعمال</w:t>
            </w:r>
          </w:p>
        </w:tc>
        <w:tc>
          <w:tcPr>
            <w:tcW w:w="391"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gridSpan w:val="2"/>
            <w:tcBorders>
              <w:top w:val="single" w:sz="4" w:space="0" w:color="auto"/>
              <w:left w:val="nil"/>
              <w:bottom w:val="single" w:sz="4" w:space="0" w:color="auto"/>
              <w:right w:val="single" w:sz="8"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52"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8"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gridSpan w:val="2"/>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8"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gridSpan w:val="2"/>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r w:rsidRPr="0056209E">
              <w:rPr>
                <w:sz w:val="16"/>
                <w:szCs w:val="16"/>
              </w:rPr>
              <w:t>X</w:t>
            </w:r>
          </w:p>
        </w:tc>
        <w:tc>
          <w:tcPr>
            <w:tcW w:w="385" w:type="dxa"/>
            <w:tcBorders>
              <w:top w:val="single" w:sz="4" w:space="0" w:color="auto"/>
              <w:left w:val="nil"/>
              <w:bottom w:val="single" w:sz="4" w:space="0" w:color="auto"/>
              <w:right w:val="single" w:sz="8" w:space="0" w:color="auto"/>
            </w:tcBorders>
            <w:noWrap/>
            <w:tcMar>
              <w:left w:w="0" w:type="dxa"/>
              <w:right w:w="0" w:type="dxa"/>
            </w:tcMar>
            <w:vAlign w:val="center"/>
          </w:tcPr>
          <w:p w:rsidR="007147DB" w:rsidRPr="0056209E" w:rsidRDefault="007147DB" w:rsidP="009E1288">
            <w:pPr>
              <w:spacing w:before="240"/>
              <w:jc w:val="center"/>
              <w:rPr>
                <w:sz w:val="16"/>
                <w:szCs w:val="16"/>
              </w:rPr>
            </w:pPr>
            <w:r w:rsidRPr="0056209E">
              <w:rPr>
                <w:sz w:val="16"/>
                <w:szCs w:val="16"/>
              </w:rPr>
              <w:t>X</w:t>
            </w:r>
          </w:p>
        </w:tc>
        <w:tc>
          <w:tcPr>
            <w:tcW w:w="340" w:type="dxa"/>
            <w:gridSpan w:val="2"/>
            <w:tcBorders>
              <w:top w:val="single" w:sz="4" w:space="0" w:color="auto"/>
              <w:left w:val="nil"/>
              <w:bottom w:val="single" w:sz="4" w:space="0" w:color="auto"/>
              <w:right w:val="single" w:sz="8" w:space="0" w:color="auto"/>
            </w:tcBorders>
            <w:tcMar>
              <w:left w:w="0" w:type="dxa"/>
              <w:right w:w="0" w:type="dxa"/>
            </w:tcMar>
            <w:vAlign w:val="center"/>
          </w:tcPr>
          <w:p w:rsidR="007147DB" w:rsidRPr="0056209E" w:rsidRDefault="007147DB" w:rsidP="009E1288">
            <w:pPr>
              <w:spacing w:before="240"/>
              <w:jc w:val="center"/>
              <w:rPr>
                <w:sz w:val="16"/>
                <w:szCs w:val="16"/>
              </w:rPr>
            </w:pPr>
            <w:r w:rsidRPr="0056209E">
              <w:rPr>
                <w:sz w:val="16"/>
                <w:szCs w:val="16"/>
              </w:rPr>
              <w:t>X</w:t>
            </w:r>
          </w:p>
        </w:tc>
        <w:tc>
          <w:tcPr>
            <w:tcW w:w="340" w:type="dxa"/>
            <w:tcBorders>
              <w:top w:val="single" w:sz="4" w:space="0" w:color="auto"/>
              <w:left w:val="nil"/>
              <w:bottom w:val="single" w:sz="4" w:space="0" w:color="auto"/>
              <w:right w:val="single" w:sz="8" w:space="0" w:color="auto"/>
            </w:tcBorders>
            <w:tcMar>
              <w:left w:w="0" w:type="dxa"/>
              <w:right w:w="0" w:type="dxa"/>
            </w:tcMar>
            <w:vAlign w:val="center"/>
          </w:tcPr>
          <w:p w:rsidR="007147DB" w:rsidRPr="0056209E" w:rsidRDefault="007147DB" w:rsidP="009E1288">
            <w:pPr>
              <w:spacing w:before="240"/>
              <w:jc w:val="center"/>
              <w:rPr>
                <w:sz w:val="16"/>
                <w:szCs w:val="16"/>
              </w:rPr>
            </w:pPr>
            <w:r w:rsidRPr="0056209E">
              <w:rPr>
                <w:sz w:val="16"/>
                <w:szCs w:val="16"/>
              </w:rPr>
              <w:t>X</w:t>
            </w:r>
          </w:p>
        </w:tc>
        <w:tc>
          <w:tcPr>
            <w:tcW w:w="430" w:type="dxa"/>
            <w:tcBorders>
              <w:top w:val="single" w:sz="4" w:space="0" w:color="auto"/>
              <w:left w:val="nil"/>
              <w:bottom w:val="single" w:sz="4" w:space="0" w:color="auto"/>
              <w:right w:val="single" w:sz="8" w:space="0" w:color="auto"/>
            </w:tcBorders>
            <w:vAlign w:val="center"/>
          </w:tcPr>
          <w:p w:rsidR="007147DB" w:rsidRPr="0056209E" w:rsidRDefault="007147DB" w:rsidP="009E1288">
            <w:pPr>
              <w:spacing w:before="240"/>
              <w:jc w:val="center"/>
              <w:rPr>
                <w:sz w:val="16"/>
                <w:szCs w:val="16"/>
              </w:rPr>
            </w:pPr>
          </w:p>
        </w:tc>
        <w:tc>
          <w:tcPr>
            <w:tcW w:w="430" w:type="dxa"/>
            <w:tcBorders>
              <w:top w:val="single" w:sz="4" w:space="0" w:color="auto"/>
              <w:left w:val="nil"/>
              <w:bottom w:val="single" w:sz="4" w:space="0" w:color="auto"/>
              <w:right w:val="single" w:sz="4" w:space="0" w:color="auto"/>
            </w:tcBorders>
            <w:vAlign w:val="center"/>
          </w:tcPr>
          <w:p w:rsidR="007147DB" w:rsidRPr="0056209E" w:rsidRDefault="007147DB" w:rsidP="009E1288">
            <w:pPr>
              <w:spacing w:before="240"/>
              <w:jc w:val="center"/>
              <w:rPr>
                <w:sz w:val="16"/>
                <w:szCs w:val="16"/>
              </w:rPr>
            </w:pPr>
          </w:p>
        </w:tc>
      </w:tr>
      <w:tr w:rsidR="007147DB" w:rsidRPr="006D69DC" w:rsidTr="001D7014">
        <w:trPr>
          <w:trHeight w:val="415"/>
          <w:jc w:val="center"/>
        </w:trPr>
        <w:tc>
          <w:tcPr>
            <w:tcW w:w="1999" w:type="dxa"/>
            <w:tcBorders>
              <w:top w:val="single" w:sz="4" w:space="0" w:color="auto"/>
              <w:left w:val="single" w:sz="4" w:space="0" w:color="auto"/>
              <w:bottom w:val="single" w:sz="4" w:space="0" w:color="auto"/>
              <w:right w:val="single" w:sz="8" w:space="0" w:color="auto"/>
            </w:tcBorders>
            <w:noWrap/>
            <w:vAlign w:val="center"/>
          </w:tcPr>
          <w:p w:rsidR="007147DB" w:rsidRPr="006D69DC" w:rsidRDefault="007147DB" w:rsidP="006D69DC">
            <w:pPr>
              <w:bidi/>
              <w:rPr>
                <w:rFonts w:ascii="Arabic Typesetting" w:hAnsi="Arabic Typesetting" w:cs="Arabic Typesetting"/>
                <w:sz w:val="28"/>
                <w:szCs w:val="28"/>
                <w:rtl/>
                <w:lang w:bidi="ar-EG"/>
              </w:rPr>
            </w:pPr>
            <w:r w:rsidRPr="006D69DC">
              <w:rPr>
                <w:rFonts w:ascii="Arabic Typesetting" w:hAnsi="Arabic Typesetting" w:cs="Arabic Typesetting"/>
                <w:sz w:val="28"/>
                <w:szCs w:val="28"/>
                <w:rtl/>
                <w:lang w:bidi="ar-EG"/>
              </w:rPr>
              <w:t>التكليف</w:t>
            </w:r>
          </w:p>
        </w:tc>
        <w:tc>
          <w:tcPr>
            <w:tcW w:w="391"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gridSpan w:val="2"/>
            <w:tcBorders>
              <w:top w:val="single" w:sz="4" w:space="0" w:color="auto"/>
              <w:left w:val="nil"/>
              <w:bottom w:val="single" w:sz="4" w:space="0" w:color="auto"/>
              <w:right w:val="single" w:sz="8"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52"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EC7C86"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4" w:type="dxa"/>
            <w:tcBorders>
              <w:top w:val="single" w:sz="4" w:space="0" w:color="auto"/>
              <w:left w:val="nil"/>
              <w:bottom w:val="single" w:sz="4" w:space="0" w:color="auto"/>
              <w:right w:val="single" w:sz="8"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gridSpan w:val="2"/>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8"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gridSpan w:val="2"/>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4"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85" w:type="dxa"/>
            <w:tcBorders>
              <w:top w:val="single" w:sz="4" w:space="0" w:color="auto"/>
              <w:left w:val="nil"/>
              <w:bottom w:val="single" w:sz="4" w:space="0" w:color="auto"/>
              <w:right w:val="single" w:sz="8" w:space="0" w:color="auto"/>
            </w:tcBorders>
            <w:noWrap/>
            <w:tcMar>
              <w:left w:w="0" w:type="dxa"/>
              <w:right w:w="0" w:type="dxa"/>
            </w:tcMar>
            <w:vAlign w:val="center"/>
          </w:tcPr>
          <w:p w:rsidR="007147DB" w:rsidRPr="0056209E" w:rsidRDefault="007147DB" w:rsidP="009E1288">
            <w:pPr>
              <w:spacing w:before="240"/>
              <w:jc w:val="center"/>
              <w:rPr>
                <w:sz w:val="16"/>
                <w:szCs w:val="16"/>
              </w:rPr>
            </w:pPr>
          </w:p>
        </w:tc>
        <w:tc>
          <w:tcPr>
            <w:tcW w:w="340" w:type="dxa"/>
            <w:gridSpan w:val="2"/>
            <w:tcBorders>
              <w:top w:val="single" w:sz="4" w:space="0" w:color="auto"/>
              <w:left w:val="nil"/>
              <w:bottom w:val="single" w:sz="4" w:space="0" w:color="auto"/>
              <w:right w:val="single" w:sz="8" w:space="0" w:color="auto"/>
            </w:tcBorders>
            <w:tcMar>
              <w:left w:w="0" w:type="dxa"/>
              <w:right w:w="0" w:type="dxa"/>
            </w:tcMar>
            <w:vAlign w:val="center"/>
          </w:tcPr>
          <w:p w:rsidR="007147DB" w:rsidRPr="0056209E" w:rsidRDefault="007147DB" w:rsidP="009E1288">
            <w:pPr>
              <w:spacing w:before="240"/>
              <w:jc w:val="center"/>
              <w:rPr>
                <w:sz w:val="16"/>
                <w:szCs w:val="16"/>
              </w:rPr>
            </w:pPr>
          </w:p>
        </w:tc>
        <w:tc>
          <w:tcPr>
            <w:tcW w:w="340" w:type="dxa"/>
            <w:tcBorders>
              <w:top w:val="single" w:sz="4" w:space="0" w:color="auto"/>
              <w:left w:val="nil"/>
              <w:bottom w:val="single" w:sz="4" w:space="0" w:color="auto"/>
              <w:right w:val="single" w:sz="8" w:space="0" w:color="auto"/>
            </w:tcBorders>
            <w:tcMar>
              <w:left w:w="0" w:type="dxa"/>
              <w:right w:w="0" w:type="dxa"/>
            </w:tcMar>
            <w:vAlign w:val="center"/>
          </w:tcPr>
          <w:p w:rsidR="007147DB" w:rsidRPr="0056209E" w:rsidRDefault="007147DB" w:rsidP="009E1288">
            <w:pPr>
              <w:spacing w:before="240"/>
              <w:jc w:val="center"/>
              <w:rPr>
                <w:sz w:val="16"/>
                <w:szCs w:val="16"/>
              </w:rPr>
            </w:pPr>
          </w:p>
        </w:tc>
        <w:tc>
          <w:tcPr>
            <w:tcW w:w="430" w:type="dxa"/>
            <w:tcBorders>
              <w:top w:val="single" w:sz="4" w:space="0" w:color="auto"/>
              <w:left w:val="nil"/>
              <w:bottom w:val="single" w:sz="4" w:space="0" w:color="auto"/>
              <w:right w:val="single" w:sz="8" w:space="0" w:color="auto"/>
            </w:tcBorders>
            <w:vAlign w:val="center"/>
          </w:tcPr>
          <w:p w:rsidR="007147DB" w:rsidRPr="0056209E" w:rsidRDefault="007147DB" w:rsidP="009E1288">
            <w:pPr>
              <w:spacing w:before="240"/>
              <w:jc w:val="center"/>
              <w:rPr>
                <w:sz w:val="16"/>
                <w:szCs w:val="16"/>
              </w:rPr>
            </w:pPr>
            <w:r w:rsidRPr="0056209E">
              <w:rPr>
                <w:sz w:val="16"/>
                <w:szCs w:val="16"/>
              </w:rPr>
              <w:t>X</w:t>
            </w:r>
          </w:p>
        </w:tc>
        <w:tc>
          <w:tcPr>
            <w:tcW w:w="430" w:type="dxa"/>
            <w:tcBorders>
              <w:top w:val="single" w:sz="4" w:space="0" w:color="auto"/>
              <w:left w:val="nil"/>
              <w:bottom w:val="single" w:sz="4" w:space="0" w:color="auto"/>
              <w:right w:val="single" w:sz="4" w:space="0" w:color="auto"/>
            </w:tcBorders>
            <w:vAlign w:val="center"/>
          </w:tcPr>
          <w:p w:rsidR="007147DB" w:rsidRPr="0056209E" w:rsidRDefault="007147DB" w:rsidP="009E1288">
            <w:pPr>
              <w:spacing w:before="240"/>
              <w:jc w:val="center"/>
              <w:rPr>
                <w:sz w:val="16"/>
                <w:szCs w:val="16"/>
              </w:rPr>
            </w:pPr>
            <w:r w:rsidRPr="0056209E">
              <w:rPr>
                <w:sz w:val="16"/>
                <w:szCs w:val="16"/>
              </w:rPr>
              <w:t>X</w:t>
            </w:r>
          </w:p>
        </w:tc>
      </w:tr>
    </w:tbl>
    <w:p w:rsidR="00F96634" w:rsidRPr="00080105" w:rsidRDefault="00F96634" w:rsidP="00F96634">
      <w:pPr>
        <w:keepNext/>
        <w:pageBreakBefore/>
        <w:bidi/>
        <w:spacing w:after="120" w:line="340" w:lineRule="exact"/>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lastRenderedPageBreak/>
        <w:t>المشروعات المتصلة بالمباني</w:t>
      </w:r>
    </w:p>
    <w:p w:rsidR="00F96634" w:rsidRPr="00080105" w:rsidRDefault="00F96634" w:rsidP="00F96634">
      <w:pPr>
        <w:pStyle w:val="Heading4AR"/>
        <w:pageBreakBefore w:val="0"/>
        <w:ind w:left="0" w:firstLine="0"/>
        <w:rPr>
          <w:i/>
          <w:sz w:val="34"/>
          <w:szCs w:val="34"/>
        </w:rPr>
      </w:pPr>
      <w:bookmarkStart w:id="160" w:name="_Toc450635444"/>
      <w:bookmarkStart w:id="161" w:name="_Toc455393413"/>
      <w:r w:rsidRPr="00080105">
        <w:rPr>
          <w:i/>
          <w:sz w:val="34"/>
          <w:szCs w:val="34"/>
          <w:rtl/>
        </w:rPr>
        <w:t xml:space="preserve">المشروع 4: تطبيق نظام التبريد بمياه بحيرة جنيف في مبنى </w:t>
      </w:r>
      <w:proofErr w:type="spellStart"/>
      <w:r w:rsidRPr="00080105">
        <w:rPr>
          <w:i/>
          <w:sz w:val="34"/>
          <w:szCs w:val="34"/>
          <w:rtl/>
        </w:rPr>
        <w:t>أرباد</w:t>
      </w:r>
      <w:proofErr w:type="spellEnd"/>
      <w:r w:rsidRPr="00080105">
        <w:rPr>
          <w:i/>
          <w:sz w:val="34"/>
          <w:szCs w:val="34"/>
          <w:rtl/>
        </w:rPr>
        <w:t xml:space="preserve"> </w:t>
      </w:r>
      <w:proofErr w:type="spellStart"/>
      <w:r w:rsidRPr="00080105">
        <w:rPr>
          <w:i/>
          <w:sz w:val="34"/>
          <w:szCs w:val="34"/>
          <w:rtl/>
        </w:rPr>
        <w:t>بوكش</w:t>
      </w:r>
      <w:proofErr w:type="spellEnd"/>
      <w:r w:rsidRPr="00080105">
        <w:rPr>
          <w:i/>
          <w:sz w:val="34"/>
          <w:szCs w:val="34"/>
          <w:rtl/>
        </w:rPr>
        <w:t xml:space="preserve"> ومبنى البراءات (</w:t>
      </w:r>
      <w:r w:rsidRPr="00080105">
        <w:rPr>
          <w:i/>
          <w:sz w:val="34"/>
          <w:szCs w:val="34"/>
        </w:rPr>
        <w:t>CMP 4</w:t>
      </w:r>
      <w:r w:rsidRPr="00080105">
        <w:rPr>
          <w:i/>
          <w:sz w:val="34"/>
          <w:szCs w:val="34"/>
          <w:rtl/>
        </w:rPr>
        <w:t>)</w:t>
      </w:r>
      <w:bookmarkEnd w:id="160"/>
      <w:bookmarkEnd w:id="161"/>
    </w:p>
    <w:p w:rsidR="00F96634" w:rsidRPr="00495D3F" w:rsidRDefault="00F96634" w:rsidP="00495D3F">
      <w:pPr>
        <w:keepNext/>
        <w:bidi/>
        <w:spacing w:after="240" w:line="340" w:lineRule="exact"/>
        <w:ind w:left="1417" w:hanging="1417"/>
        <w:rPr>
          <w:rFonts w:ascii="Arabic Typesetting" w:hAnsi="Arabic Typesetting" w:cs="Arabic Typesetting"/>
          <w:bCs/>
          <w:sz w:val="34"/>
          <w:szCs w:val="36"/>
          <w:rtl/>
          <w:lang w:val="fr-CH"/>
        </w:rPr>
      </w:pPr>
      <w:r w:rsidRPr="00495D3F">
        <w:rPr>
          <w:rFonts w:ascii="Arabic Typesetting" w:hAnsi="Arabic Typesetting" w:cs="Arabic Typesetting"/>
          <w:bCs/>
          <w:sz w:val="34"/>
          <w:szCs w:val="36"/>
          <w:rtl/>
          <w:lang w:val="fr-CH"/>
        </w:rPr>
        <w:t>مدير المشروع:</w:t>
      </w:r>
      <w:r w:rsidRPr="00495D3F">
        <w:rPr>
          <w:rFonts w:ascii="Arabic Typesetting" w:hAnsi="Arabic Typesetting" w:cs="Arabic Typesetting"/>
          <w:bCs/>
          <w:sz w:val="34"/>
          <w:szCs w:val="36"/>
          <w:rtl/>
          <w:lang w:val="fr-CH"/>
        </w:rPr>
        <w:tab/>
        <w:t xml:space="preserve">السيد </w:t>
      </w:r>
      <w:proofErr w:type="spellStart"/>
      <w:r w:rsidRPr="00495D3F">
        <w:rPr>
          <w:rFonts w:ascii="Arabic Typesetting" w:hAnsi="Arabic Typesetting" w:cs="Arabic Typesetting"/>
          <w:bCs/>
          <w:sz w:val="34"/>
          <w:szCs w:val="36"/>
          <w:rtl/>
          <w:lang w:val="fr-CH"/>
        </w:rPr>
        <w:t>ألفيو</w:t>
      </w:r>
      <w:proofErr w:type="spellEnd"/>
      <w:r w:rsidRPr="00495D3F">
        <w:rPr>
          <w:rFonts w:ascii="Arabic Typesetting" w:hAnsi="Arabic Typesetting" w:cs="Arabic Typesetting"/>
          <w:bCs/>
          <w:sz w:val="34"/>
          <w:szCs w:val="36"/>
          <w:rtl/>
          <w:lang w:val="fr-CH"/>
        </w:rPr>
        <w:t xml:space="preserve"> </w:t>
      </w:r>
      <w:proofErr w:type="spellStart"/>
      <w:r w:rsidRPr="00495D3F">
        <w:rPr>
          <w:rFonts w:ascii="Arabic Typesetting" w:hAnsi="Arabic Typesetting" w:cs="Arabic Typesetting"/>
          <w:bCs/>
          <w:sz w:val="34"/>
          <w:szCs w:val="36"/>
          <w:rtl/>
          <w:lang w:val="fr-CH"/>
        </w:rPr>
        <w:t>فافيرو</w:t>
      </w:r>
      <w:proofErr w:type="spellEnd"/>
    </w:p>
    <w:p w:rsidR="00F96634" w:rsidRPr="00080105" w:rsidRDefault="00F96634" w:rsidP="00F96634">
      <w:pPr>
        <w:keepNext/>
        <w:bidi/>
        <w:spacing w:after="120" w:line="340" w:lineRule="exact"/>
        <w:rPr>
          <w:rFonts w:ascii="Arabic Typesetting" w:hAnsi="Arabic Typesetting" w:cs="Arabic Typesetting"/>
          <w:sz w:val="34"/>
          <w:szCs w:val="34"/>
          <w:lang w:bidi="ar-EG"/>
        </w:rPr>
      </w:pPr>
      <w:r w:rsidRPr="00080105">
        <w:rPr>
          <w:rFonts w:ascii="Arabic Typesetting" w:hAnsi="Arabic Typesetting" w:cs="Arabic Typesetting"/>
          <w:sz w:val="34"/>
          <w:szCs w:val="34"/>
          <w:rtl/>
          <w:lang w:bidi="ar-EG"/>
        </w:rPr>
        <w:t>النتيجة المرتقبة</w:t>
      </w:r>
    </w:p>
    <w:p w:rsidR="00F96634" w:rsidRPr="00080105" w:rsidRDefault="00F96634" w:rsidP="00F96634">
      <w:pPr>
        <w:bidi/>
        <w:spacing w:after="120" w:line="340" w:lineRule="exact"/>
        <w:rPr>
          <w:rFonts w:ascii="Arabic Typesetting" w:hAnsi="Arabic Typesetting" w:cs="Arabic Typesetting"/>
          <w:iCs/>
          <w:sz w:val="34"/>
          <w:szCs w:val="34"/>
          <w:rtl/>
          <w:lang w:bidi="ar-EG"/>
        </w:rPr>
      </w:pPr>
      <w:r w:rsidRPr="00080105">
        <w:rPr>
          <w:rFonts w:ascii="Arabic Typesetting" w:hAnsi="Arabic Typesetting" w:cs="Arabic Typesetting"/>
          <w:iCs/>
          <w:sz w:val="34"/>
          <w:szCs w:val="34"/>
          <w:rtl/>
          <w:lang w:bidi="ar-EG"/>
        </w:rPr>
        <w:t>ه1.9</w:t>
      </w:r>
      <w:r w:rsidRPr="00080105">
        <w:rPr>
          <w:rFonts w:ascii="Arabic Typesetting" w:hAnsi="Arabic Typesetting" w:cs="Arabic Typesetting"/>
          <w:iCs/>
          <w:sz w:val="34"/>
          <w:szCs w:val="34"/>
          <w:rtl/>
          <w:lang w:bidi="ar-EG"/>
        </w:rPr>
        <w:tab/>
        <w:t>خدمات دعم فعالة وناجعة وذات جودة موجهة نحو الزبائن لفائدة الزبائن الداخليين وأصحاب المصالح الخارجيين</w:t>
      </w:r>
    </w:p>
    <w:p w:rsidR="00F96634" w:rsidRPr="00080105" w:rsidRDefault="00F96634" w:rsidP="00F96634">
      <w:pPr>
        <w:keepNext/>
        <w:bidi/>
        <w:spacing w:after="120" w:line="340" w:lineRule="exact"/>
        <w:rPr>
          <w:rFonts w:ascii="Arabic Typesetting" w:hAnsi="Arabic Typesetting" w:cs="Arabic Typesetting"/>
          <w:sz w:val="34"/>
          <w:szCs w:val="34"/>
          <w:lang w:bidi="ar-EG"/>
        </w:rPr>
      </w:pPr>
      <w:r w:rsidRPr="00080105">
        <w:rPr>
          <w:rFonts w:ascii="Arabic Typesetting" w:hAnsi="Arabic Typesetting" w:cs="Arabic Typesetting"/>
          <w:color w:val="000000"/>
          <w:sz w:val="34"/>
          <w:szCs w:val="34"/>
          <w:rtl/>
          <w:lang w:bidi="ar-EG"/>
        </w:rPr>
        <w:t>الأهداف والنطاق والنهج - معلومات أساسية</w:t>
      </w:r>
    </w:p>
    <w:p w:rsidR="00F96634" w:rsidRPr="00080105" w:rsidRDefault="00F96634" w:rsidP="0099688F">
      <w:pPr>
        <w:numPr>
          <w:ilvl w:val="0"/>
          <w:numId w:val="67"/>
        </w:numPr>
        <w:bidi/>
        <w:spacing w:after="120" w:line="340" w:lineRule="exact"/>
        <w:rPr>
          <w:rFonts w:ascii="Arabic Typesetting" w:hAnsi="Arabic Typesetting" w:cs="Arabic Typesetting"/>
          <w:sz w:val="34"/>
          <w:szCs w:val="34"/>
        </w:rPr>
      </w:pPr>
      <w:r w:rsidRPr="00080105">
        <w:rPr>
          <w:rFonts w:ascii="Arabic Typesetting" w:hAnsi="Arabic Typesetting" w:cs="Arabic Typesetting"/>
          <w:sz w:val="34"/>
          <w:szCs w:val="34"/>
          <w:rtl/>
        </w:rPr>
        <w:t>أنشئ نظام التبريد بمياه بحيرة جنيف (</w:t>
      </w:r>
      <w:r w:rsidRPr="00080105">
        <w:rPr>
          <w:rFonts w:ascii="Arabic Typesetting" w:hAnsi="Arabic Typesetting" w:cs="Arabic Typesetting"/>
          <w:sz w:val="34"/>
          <w:szCs w:val="34"/>
        </w:rPr>
        <w:t>GLN</w:t>
      </w:r>
      <w:r w:rsidRPr="00080105">
        <w:rPr>
          <w:rFonts w:ascii="Arabic Typesetting" w:hAnsi="Arabic Typesetting" w:cs="Arabic Typesetting"/>
          <w:sz w:val="34"/>
          <w:szCs w:val="34"/>
          <w:rtl/>
        </w:rPr>
        <w:t xml:space="preserve">) منذ بضع سنوات، وتتولى إدارته وتشغيله شركة الطاقة المحلية (الخدمات الصناعية لجنيف </w:t>
      </w:r>
      <w:r w:rsidRPr="00080105">
        <w:rPr>
          <w:rFonts w:ascii="Arabic Typesetting" w:hAnsi="Arabic Typesetting" w:cs="Arabic Typesetting"/>
          <w:sz w:val="34"/>
          <w:szCs w:val="34"/>
        </w:rPr>
        <w:t>SIG</w:t>
      </w:r>
      <w:r w:rsidRPr="00080105">
        <w:rPr>
          <w:rFonts w:ascii="Arabic Typesetting" w:hAnsi="Arabic Typesetting" w:cs="Arabic Typesetting"/>
          <w:sz w:val="34"/>
          <w:szCs w:val="34"/>
          <w:rtl/>
        </w:rPr>
        <w:t xml:space="preserve">)، ويتم فيه سحب الماء البارد من أعماق بحيرة جنيف ونقله إلى الضفة الشمالية لمدينة جنيف لكي يستخدم في توليد طاقة التبريد لمجموعة من المباني الإدارية في محيط ساحة الأمم. وقد أصبحت الويبو، منذ بضع سنوات، إحدى وكالات الأمم المتحدة الأولى التي أبرمت اتفاقاً مع شركة </w:t>
      </w:r>
      <w:r w:rsidRPr="00080105">
        <w:rPr>
          <w:rFonts w:ascii="Arabic Typesetting" w:hAnsi="Arabic Typesetting" w:cs="Arabic Typesetting"/>
          <w:sz w:val="34"/>
          <w:szCs w:val="34"/>
        </w:rPr>
        <w:t>SIG</w:t>
      </w:r>
      <w:r w:rsidRPr="00080105">
        <w:rPr>
          <w:rFonts w:ascii="Arabic Typesetting" w:hAnsi="Arabic Typesetting" w:cs="Arabic Typesetting"/>
          <w:sz w:val="34"/>
          <w:szCs w:val="34"/>
          <w:rtl/>
        </w:rPr>
        <w:t xml:space="preserve"> </w:t>
      </w:r>
      <w:r w:rsidR="007147DB">
        <w:rPr>
          <w:rFonts w:ascii="Arabic Typesetting" w:hAnsi="Arabic Typesetting" w:cs="Arabic Typesetting" w:hint="cs"/>
          <w:sz w:val="34"/>
          <w:szCs w:val="34"/>
          <w:rtl/>
        </w:rPr>
        <w:t>لحجز</w:t>
      </w:r>
      <w:r w:rsidR="007147DB">
        <w:rPr>
          <w:rFonts w:ascii="Arabic Typesetting" w:hAnsi="Arabic Typesetting" w:cs="Arabic Typesetting"/>
          <w:sz w:val="34"/>
          <w:szCs w:val="34"/>
          <w:rtl/>
        </w:rPr>
        <w:t xml:space="preserve"> </w:t>
      </w:r>
      <w:r w:rsidRPr="00080105">
        <w:rPr>
          <w:rFonts w:ascii="Arabic Typesetting" w:hAnsi="Arabic Typesetting" w:cs="Arabic Typesetting"/>
          <w:sz w:val="34"/>
          <w:szCs w:val="34"/>
          <w:rtl/>
        </w:rPr>
        <w:t xml:space="preserve">الطاقة اللازمة لكل مبانيها (بما فيها المباني التي كانت قيد الإنشاء آنذاك). واعتبارا من نهاية 2013، أصبحت المباني التالية الواقعة في مجمع الويبو متصلة اتصالا تاما بنظام التبريد بمياه بحيرة جنيف: المبنى الجديد (يستخدم فيه النظام منذ 2011)، ومبنى </w:t>
      </w:r>
      <w:proofErr w:type="spellStart"/>
      <w:r w:rsidRPr="00080105">
        <w:rPr>
          <w:rFonts w:ascii="Arabic Typesetting" w:hAnsi="Arabic Typesetting" w:cs="Arabic Typesetting"/>
          <w:sz w:val="34"/>
          <w:szCs w:val="34"/>
          <w:rtl/>
        </w:rPr>
        <w:t>بودنهاوزن</w:t>
      </w:r>
      <w:proofErr w:type="spellEnd"/>
      <w:r w:rsidRPr="00080105">
        <w:rPr>
          <w:rFonts w:ascii="Arabic Typesetting" w:hAnsi="Arabic Typesetting" w:cs="Arabic Typesetting"/>
          <w:sz w:val="34"/>
          <w:szCs w:val="34"/>
          <w:rtl/>
        </w:rPr>
        <w:t xml:space="preserve"> الأول ومبنى </w:t>
      </w:r>
      <w:proofErr w:type="spellStart"/>
      <w:r w:rsidRPr="00080105">
        <w:rPr>
          <w:rFonts w:ascii="Arabic Typesetting" w:hAnsi="Arabic Typesetting" w:cs="Arabic Typesetting"/>
          <w:sz w:val="34"/>
          <w:szCs w:val="34"/>
          <w:rtl/>
        </w:rPr>
        <w:t>بودنهاوزن</w:t>
      </w:r>
      <w:proofErr w:type="spellEnd"/>
      <w:r w:rsidRPr="00080105">
        <w:rPr>
          <w:rFonts w:ascii="Arabic Typesetting" w:hAnsi="Arabic Typesetting" w:cs="Arabic Typesetting"/>
          <w:sz w:val="34"/>
          <w:szCs w:val="34"/>
          <w:rtl/>
        </w:rPr>
        <w:t xml:space="preserve"> الثاني (يستخدم النظام فيهما منذ منتصف 2013)، وقاعة مؤتمرات الويبو الجديدة (دخلها النظام أثناء مرحلة بنائها وبدأ استخدامه في نهاية 2013). ولم يتبق سوى مبنيين اثنين لم يُربطا حتى الآن بنظام التبريد بمياه بحيرة جنيف، هما مبنى </w:t>
      </w:r>
      <w:proofErr w:type="spellStart"/>
      <w:r w:rsidRPr="00080105">
        <w:rPr>
          <w:rFonts w:ascii="Arabic Typesetting" w:hAnsi="Arabic Typesetting" w:cs="Arabic Typesetting"/>
          <w:sz w:val="34"/>
          <w:szCs w:val="34"/>
          <w:rtl/>
        </w:rPr>
        <w:t>أرباد</w:t>
      </w:r>
      <w:proofErr w:type="spellEnd"/>
      <w:r w:rsidRPr="00080105">
        <w:rPr>
          <w:rFonts w:ascii="Arabic Typesetting" w:hAnsi="Arabic Typesetting" w:cs="Arabic Typesetting"/>
          <w:sz w:val="34"/>
          <w:szCs w:val="34"/>
          <w:rtl/>
        </w:rPr>
        <w:t xml:space="preserve"> </w:t>
      </w:r>
      <w:proofErr w:type="spellStart"/>
      <w:r w:rsidRPr="00080105">
        <w:rPr>
          <w:rFonts w:ascii="Arabic Typesetting" w:hAnsi="Arabic Typesetting" w:cs="Arabic Typesetting"/>
          <w:sz w:val="34"/>
          <w:szCs w:val="34"/>
          <w:rtl/>
        </w:rPr>
        <w:t>بوكش</w:t>
      </w:r>
      <w:proofErr w:type="spellEnd"/>
      <w:r w:rsidRPr="00080105">
        <w:rPr>
          <w:rFonts w:ascii="Arabic Typesetting" w:hAnsi="Arabic Typesetting" w:cs="Arabic Typesetting"/>
          <w:sz w:val="34"/>
          <w:szCs w:val="34"/>
          <w:rtl/>
        </w:rPr>
        <w:t xml:space="preserve"> ومبنى البراءات، وهما موضوع هذا القسم من مشروع الخطة الرأسمالية الرئيسية. وفي هذا الصدد، تجدر الإشارة إلى أن الزمن </w:t>
      </w:r>
      <w:proofErr w:type="spellStart"/>
      <w:r w:rsidRPr="00080105">
        <w:rPr>
          <w:rFonts w:ascii="Arabic Typesetting" w:hAnsi="Arabic Typesetting" w:cs="Arabic Typesetting"/>
          <w:sz w:val="34"/>
          <w:szCs w:val="34"/>
          <w:rtl/>
        </w:rPr>
        <w:t>المنقضي</w:t>
      </w:r>
      <w:proofErr w:type="spellEnd"/>
      <w:r w:rsidRPr="00080105">
        <w:rPr>
          <w:rFonts w:ascii="Arabic Typesetting" w:hAnsi="Arabic Typesetting" w:cs="Arabic Typesetting"/>
          <w:sz w:val="34"/>
          <w:szCs w:val="34"/>
          <w:rtl/>
        </w:rPr>
        <w:t xml:space="preserve"> من عمر آلات توليد طاقة التبريد القائمة في مبنى </w:t>
      </w:r>
      <w:proofErr w:type="spellStart"/>
      <w:r w:rsidRPr="00080105">
        <w:rPr>
          <w:rFonts w:ascii="Arabic Typesetting" w:hAnsi="Arabic Typesetting" w:cs="Arabic Typesetting"/>
          <w:sz w:val="34"/>
          <w:szCs w:val="34"/>
          <w:rtl/>
        </w:rPr>
        <w:t>أرباد</w:t>
      </w:r>
      <w:proofErr w:type="spellEnd"/>
      <w:r w:rsidRPr="00080105">
        <w:rPr>
          <w:rFonts w:ascii="Arabic Typesetting" w:hAnsi="Arabic Typesetting" w:cs="Arabic Typesetting"/>
          <w:sz w:val="34"/>
          <w:szCs w:val="34"/>
          <w:rtl/>
        </w:rPr>
        <w:t xml:space="preserve"> </w:t>
      </w:r>
      <w:proofErr w:type="spellStart"/>
      <w:r w:rsidRPr="00080105">
        <w:rPr>
          <w:rFonts w:ascii="Arabic Typesetting" w:hAnsi="Arabic Typesetting" w:cs="Arabic Typesetting"/>
          <w:sz w:val="34"/>
          <w:szCs w:val="34"/>
          <w:rtl/>
        </w:rPr>
        <w:t>بوكش</w:t>
      </w:r>
      <w:proofErr w:type="spellEnd"/>
      <w:r w:rsidRPr="00080105">
        <w:rPr>
          <w:rFonts w:ascii="Arabic Typesetting" w:hAnsi="Arabic Typesetting" w:cs="Arabic Typesetting"/>
          <w:sz w:val="34"/>
          <w:szCs w:val="34"/>
          <w:rtl/>
        </w:rPr>
        <w:t xml:space="preserve"> ومبنى البراءات يتراوح بين عشرة أعوام و33 عاما تقريباً، في حين يبلغ عمرها الافتراضي 30 عاما.</w:t>
      </w:r>
    </w:p>
    <w:p w:rsidR="00F96634" w:rsidRPr="00080105" w:rsidRDefault="00F96634" w:rsidP="0099688F">
      <w:pPr>
        <w:numPr>
          <w:ilvl w:val="0"/>
          <w:numId w:val="67"/>
        </w:numPr>
        <w:bidi/>
        <w:spacing w:after="120" w:line="340" w:lineRule="exact"/>
        <w:rPr>
          <w:rFonts w:ascii="Arabic Typesetting" w:hAnsi="Arabic Typesetting" w:cs="Arabic Typesetting"/>
          <w:sz w:val="34"/>
          <w:szCs w:val="34"/>
        </w:rPr>
      </w:pPr>
      <w:r w:rsidRPr="00080105">
        <w:rPr>
          <w:rFonts w:ascii="Arabic Typesetting" w:hAnsi="Arabic Typesetting" w:cs="Arabic Typesetting"/>
          <w:sz w:val="34"/>
          <w:szCs w:val="34"/>
          <w:rtl/>
        </w:rPr>
        <w:t xml:space="preserve">وأهداف المشروع هي "1" استكمال نشر نظام تكنولوجي معزَّز في صيانة المباني فيما يتعلق بتجهيزات التبريد المستعملة بالفعل في أكثر من نصف الحجم الكلي للمباني المعنية في مجمع الويبو؛ "2" واستباق الحاجة إلى استبدال آلات التبريد التقليدية في المبنيين المتبقيين بالمبادرة إلى استبدالها قبل أن تتعطل التجهيزات (وهو ما حدث في تجهيزات مبنى </w:t>
      </w:r>
      <w:proofErr w:type="spellStart"/>
      <w:r w:rsidRPr="00080105">
        <w:rPr>
          <w:rFonts w:ascii="Arabic Typesetting" w:hAnsi="Arabic Typesetting" w:cs="Arabic Typesetting"/>
          <w:sz w:val="34"/>
          <w:szCs w:val="34"/>
          <w:rtl/>
        </w:rPr>
        <w:t>بودنهاوزن</w:t>
      </w:r>
      <w:proofErr w:type="spellEnd"/>
      <w:r w:rsidRPr="00080105">
        <w:rPr>
          <w:rFonts w:ascii="Arabic Typesetting" w:hAnsi="Arabic Typesetting" w:cs="Arabic Typesetting"/>
          <w:sz w:val="34"/>
          <w:szCs w:val="34"/>
          <w:rtl/>
        </w:rPr>
        <w:t xml:space="preserve"> الثاني في عام 2011)؛ "3" وخفض تكلفة صيانة التجهيزات مقارنة بتكلفة صيانة تجهيزات التبريد التقليدية؛ "4" وتطوير هذا النوع من المعدات والتجهيزات التقنية بأنظمة أكثر محافظة على البيئة.</w:t>
      </w:r>
    </w:p>
    <w:p w:rsidR="00F96634" w:rsidRPr="00080105" w:rsidRDefault="00F96634" w:rsidP="00F96634">
      <w:pPr>
        <w:keepNext/>
        <w:bidi/>
        <w:spacing w:after="120" w:line="340" w:lineRule="exact"/>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t>استعراض التقدم المحرز في 2015 (المعالم الرئيسية)</w:t>
      </w:r>
    </w:p>
    <w:p w:rsidR="00F96634" w:rsidRPr="00080105" w:rsidRDefault="003212C1" w:rsidP="0099688F">
      <w:pPr>
        <w:numPr>
          <w:ilvl w:val="0"/>
          <w:numId w:val="67"/>
        </w:numPr>
        <w:bidi/>
        <w:spacing w:after="120" w:line="340" w:lineRule="exact"/>
        <w:rPr>
          <w:rFonts w:ascii="Arabic Typesetting" w:hAnsi="Arabic Typesetting" w:cs="Arabic Typesetting"/>
          <w:sz w:val="34"/>
          <w:szCs w:val="34"/>
        </w:rPr>
      </w:pPr>
      <w:r>
        <w:rPr>
          <w:rFonts w:ascii="Arabic Typesetting" w:hAnsi="Arabic Typesetting" w:cs="Arabic Typesetting"/>
          <w:sz w:val="34"/>
          <w:szCs w:val="34"/>
          <w:rtl/>
        </w:rPr>
        <w:t>في عام 2014، أحرز التقدم التالي:</w:t>
      </w:r>
    </w:p>
    <w:p w:rsidR="00F96634" w:rsidRPr="00080105" w:rsidRDefault="00F96634" w:rsidP="00F96634">
      <w:pPr>
        <w:bidi/>
        <w:spacing w:after="120" w:line="340" w:lineRule="exact"/>
        <w:ind w:left="567"/>
        <w:rPr>
          <w:rFonts w:ascii="Arabic Typesetting" w:hAnsi="Arabic Typesetting" w:cs="Arabic Typesetting"/>
          <w:sz w:val="34"/>
          <w:szCs w:val="34"/>
          <w:u w:val="single"/>
        </w:rPr>
      </w:pPr>
      <w:r w:rsidRPr="00080105">
        <w:rPr>
          <w:rFonts w:ascii="Arabic Typesetting" w:hAnsi="Arabic Typesetting" w:cs="Arabic Typesetting"/>
          <w:sz w:val="34"/>
          <w:szCs w:val="34"/>
          <w:u w:val="single"/>
          <w:rtl/>
        </w:rPr>
        <w:t xml:space="preserve">مبنى </w:t>
      </w:r>
      <w:proofErr w:type="spellStart"/>
      <w:r w:rsidRPr="00080105">
        <w:rPr>
          <w:rFonts w:ascii="Arabic Typesetting" w:hAnsi="Arabic Typesetting" w:cs="Arabic Typesetting"/>
          <w:sz w:val="34"/>
          <w:szCs w:val="34"/>
          <w:u w:val="single"/>
          <w:rtl/>
        </w:rPr>
        <w:t>أرباد</w:t>
      </w:r>
      <w:proofErr w:type="spellEnd"/>
      <w:r w:rsidRPr="00080105">
        <w:rPr>
          <w:rFonts w:ascii="Arabic Typesetting" w:hAnsi="Arabic Typesetting" w:cs="Arabic Typesetting"/>
          <w:sz w:val="34"/>
          <w:szCs w:val="34"/>
          <w:u w:val="single"/>
          <w:rtl/>
        </w:rPr>
        <w:t xml:space="preserve"> </w:t>
      </w:r>
      <w:proofErr w:type="spellStart"/>
      <w:r w:rsidRPr="00080105">
        <w:rPr>
          <w:rFonts w:ascii="Arabic Typesetting" w:hAnsi="Arabic Typesetting" w:cs="Arabic Typesetting"/>
          <w:sz w:val="34"/>
          <w:szCs w:val="34"/>
          <w:u w:val="single"/>
          <w:rtl/>
        </w:rPr>
        <w:t>بوكش</w:t>
      </w:r>
      <w:proofErr w:type="spellEnd"/>
    </w:p>
    <w:p w:rsidR="00F96634" w:rsidRPr="00080105" w:rsidRDefault="00F96634" w:rsidP="009A3712">
      <w:pPr>
        <w:numPr>
          <w:ilvl w:val="0"/>
          <w:numId w:val="50"/>
        </w:numPr>
        <w:bidi/>
        <w:spacing w:after="120" w:line="340" w:lineRule="exact"/>
        <w:ind w:left="1134" w:hanging="567"/>
        <w:rPr>
          <w:rFonts w:ascii="Arabic Typesetting" w:hAnsi="Arabic Typesetting" w:cs="Arabic Typesetting"/>
          <w:sz w:val="34"/>
          <w:szCs w:val="34"/>
          <w:lang w:bidi="ar-EG"/>
        </w:rPr>
      </w:pPr>
      <w:r w:rsidRPr="00080105">
        <w:rPr>
          <w:rFonts w:ascii="Arabic Typesetting" w:hAnsi="Arabic Typesetting" w:cs="Arabic Typesetting"/>
          <w:color w:val="000000"/>
          <w:sz w:val="34"/>
          <w:szCs w:val="34"/>
          <w:rtl/>
          <w:lang w:bidi="ar-EG"/>
        </w:rPr>
        <w:t>منح العقد لمهندس التدفئة والتهوية وتكييف الهواء</w:t>
      </w:r>
    </w:p>
    <w:p w:rsidR="00F96634" w:rsidRPr="00080105" w:rsidRDefault="00F96634" w:rsidP="009A3712">
      <w:pPr>
        <w:numPr>
          <w:ilvl w:val="0"/>
          <w:numId w:val="50"/>
        </w:numPr>
        <w:bidi/>
        <w:spacing w:after="120" w:line="340" w:lineRule="exact"/>
        <w:ind w:left="1134" w:hanging="567"/>
        <w:rPr>
          <w:rFonts w:ascii="Arabic Typesetting" w:hAnsi="Arabic Typesetting" w:cs="Arabic Typesetting"/>
          <w:sz w:val="34"/>
          <w:szCs w:val="34"/>
          <w:lang w:bidi="ar-EG"/>
        </w:rPr>
      </w:pPr>
      <w:r w:rsidRPr="00080105">
        <w:rPr>
          <w:rFonts w:ascii="Arabic Typesetting" w:hAnsi="Arabic Typesetting" w:cs="Arabic Typesetting"/>
          <w:color w:val="000000"/>
          <w:sz w:val="34"/>
          <w:szCs w:val="34"/>
          <w:rtl/>
          <w:lang w:bidi="ar-EG"/>
        </w:rPr>
        <w:t>طلب العروض واختيار الشركات</w:t>
      </w:r>
    </w:p>
    <w:p w:rsidR="00F96634" w:rsidRPr="008E0018" w:rsidRDefault="00F96634" w:rsidP="009A3712">
      <w:pPr>
        <w:numPr>
          <w:ilvl w:val="0"/>
          <w:numId w:val="50"/>
        </w:numPr>
        <w:bidi/>
        <w:spacing w:after="120" w:line="340" w:lineRule="exact"/>
        <w:ind w:left="1134" w:hanging="567"/>
        <w:rPr>
          <w:rFonts w:ascii="Arabic Typesetting" w:hAnsi="Arabic Typesetting" w:cs="Arabic Typesetting"/>
          <w:sz w:val="34"/>
          <w:szCs w:val="34"/>
          <w:lang w:bidi="ar-EG"/>
        </w:rPr>
      </w:pPr>
      <w:r w:rsidRPr="00080105">
        <w:rPr>
          <w:rFonts w:ascii="Arabic Typesetting" w:hAnsi="Arabic Typesetting" w:cs="Arabic Typesetting"/>
          <w:color w:val="000000"/>
          <w:sz w:val="34"/>
          <w:szCs w:val="34"/>
          <w:rtl/>
          <w:lang w:bidi="ar-EG"/>
        </w:rPr>
        <w:t>إتمام العمل</w:t>
      </w:r>
    </w:p>
    <w:p w:rsidR="008E0018" w:rsidRPr="00080105" w:rsidRDefault="008E0018" w:rsidP="008E0018">
      <w:pPr>
        <w:numPr>
          <w:ilvl w:val="0"/>
          <w:numId w:val="50"/>
        </w:numPr>
        <w:bidi/>
        <w:spacing w:after="120" w:line="340" w:lineRule="exact"/>
        <w:ind w:left="1134" w:hanging="567"/>
        <w:rPr>
          <w:rFonts w:ascii="Arabic Typesetting" w:hAnsi="Arabic Typesetting" w:cs="Arabic Typesetting"/>
          <w:sz w:val="34"/>
          <w:szCs w:val="34"/>
          <w:lang w:bidi="ar-EG"/>
        </w:rPr>
      </w:pPr>
      <w:r>
        <w:rPr>
          <w:rFonts w:ascii="Arabic Typesetting" w:hAnsi="Arabic Typesetting" w:cs="Arabic Typesetting" w:hint="cs"/>
          <w:color w:val="000000"/>
          <w:sz w:val="34"/>
          <w:szCs w:val="34"/>
          <w:rtl/>
          <w:lang w:bidi="ar-EG"/>
        </w:rPr>
        <w:t>إنجاز المشروع</w:t>
      </w:r>
    </w:p>
    <w:p w:rsidR="00F96634" w:rsidRPr="00080105" w:rsidRDefault="00F96634" w:rsidP="00F96634">
      <w:pPr>
        <w:bidi/>
        <w:spacing w:after="120" w:line="340" w:lineRule="exact"/>
        <w:ind w:left="567"/>
        <w:rPr>
          <w:rFonts w:ascii="Arabic Typesetting" w:hAnsi="Arabic Typesetting" w:cs="Arabic Typesetting"/>
          <w:sz w:val="34"/>
          <w:szCs w:val="34"/>
          <w:u w:val="single"/>
        </w:rPr>
      </w:pPr>
      <w:r w:rsidRPr="00080105">
        <w:rPr>
          <w:rFonts w:ascii="Arabic Typesetting" w:hAnsi="Arabic Typesetting" w:cs="Arabic Typesetting"/>
          <w:sz w:val="34"/>
          <w:szCs w:val="34"/>
          <w:u w:val="single"/>
          <w:rtl/>
        </w:rPr>
        <w:t>مبنى البراءات</w:t>
      </w:r>
    </w:p>
    <w:p w:rsidR="00F96634" w:rsidRPr="00080105" w:rsidRDefault="00F96634" w:rsidP="009A3712">
      <w:pPr>
        <w:numPr>
          <w:ilvl w:val="0"/>
          <w:numId w:val="50"/>
        </w:numPr>
        <w:bidi/>
        <w:spacing w:after="120" w:line="340" w:lineRule="exact"/>
        <w:ind w:left="1134" w:hanging="567"/>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t>منح العقد لمهندس التدفئة والتهوية وتكييف الهواء</w:t>
      </w:r>
    </w:p>
    <w:p w:rsidR="00F96634" w:rsidRPr="00080105" w:rsidRDefault="00F96634" w:rsidP="009A3712">
      <w:pPr>
        <w:numPr>
          <w:ilvl w:val="0"/>
          <w:numId w:val="50"/>
        </w:numPr>
        <w:bidi/>
        <w:spacing w:after="120" w:line="340" w:lineRule="exact"/>
        <w:ind w:left="1134" w:hanging="567"/>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t>تثبيت المشروع مع مهندس التدفئة والتهوية وتكييف الهواء</w:t>
      </w:r>
    </w:p>
    <w:p w:rsidR="00F96634" w:rsidRDefault="00F96634" w:rsidP="009A3712">
      <w:pPr>
        <w:numPr>
          <w:ilvl w:val="0"/>
          <w:numId w:val="50"/>
        </w:numPr>
        <w:bidi/>
        <w:spacing w:after="120" w:line="340" w:lineRule="exact"/>
        <w:ind w:left="1134" w:hanging="567"/>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t xml:space="preserve">أعمال الأنابيب داخل المبنى، بواسطة شركة </w:t>
      </w:r>
      <w:r w:rsidRPr="00080105">
        <w:rPr>
          <w:rFonts w:ascii="Arabic Typesetting" w:hAnsi="Arabic Typesetting" w:cs="Arabic Typesetting"/>
          <w:color w:val="000000"/>
          <w:sz w:val="34"/>
          <w:szCs w:val="34"/>
          <w:lang w:bidi="ar-EG"/>
        </w:rPr>
        <w:t>SIG</w:t>
      </w:r>
    </w:p>
    <w:p w:rsidR="008E0018" w:rsidRDefault="008E0018" w:rsidP="008E0018">
      <w:pPr>
        <w:keepNext/>
        <w:numPr>
          <w:ilvl w:val="0"/>
          <w:numId w:val="67"/>
        </w:numPr>
        <w:bidi/>
        <w:spacing w:after="120" w:line="340" w:lineRule="exact"/>
        <w:rPr>
          <w:rFonts w:ascii="Arabic Typesetting" w:hAnsi="Arabic Typesetting" w:cs="Arabic Typesetting"/>
          <w:color w:val="000000"/>
          <w:sz w:val="34"/>
          <w:szCs w:val="34"/>
          <w:lang w:bidi="ar-EG"/>
        </w:rPr>
      </w:pPr>
      <w:r>
        <w:rPr>
          <w:rFonts w:ascii="Arabic Typesetting" w:hAnsi="Arabic Typesetting" w:cs="Arabic Typesetting" w:hint="cs"/>
          <w:color w:val="000000"/>
          <w:sz w:val="34"/>
          <w:szCs w:val="34"/>
          <w:rtl/>
          <w:lang w:bidi="ar-EG"/>
        </w:rPr>
        <w:lastRenderedPageBreak/>
        <w:t>وفي عام 2015، حُقق التقدم التالي في مبنى البراءات:</w:t>
      </w:r>
    </w:p>
    <w:p w:rsidR="008E0018" w:rsidRDefault="008E0018" w:rsidP="008E0018">
      <w:pPr>
        <w:numPr>
          <w:ilvl w:val="0"/>
          <w:numId w:val="50"/>
        </w:numPr>
        <w:bidi/>
        <w:spacing w:after="120" w:line="340" w:lineRule="exact"/>
        <w:ind w:left="1134" w:hanging="567"/>
        <w:rPr>
          <w:rFonts w:ascii="Arabic Typesetting" w:hAnsi="Arabic Typesetting" w:cs="Arabic Typesetting"/>
          <w:color w:val="000000"/>
          <w:sz w:val="34"/>
          <w:szCs w:val="34"/>
          <w:lang w:bidi="ar-EG"/>
        </w:rPr>
      </w:pPr>
      <w:r>
        <w:rPr>
          <w:rFonts w:ascii="Arabic Typesetting" w:hAnsi="Arabic Typesetting" w:cs="Arabic Typesetting" w:hint="cs"/>
          <w:color w:val="000000"/>
          <w:sz w:val="34"/>
          <w:szCs w:val="34"/>
          <w:rtl/>
          <w:lang w:bidi="ar-EG"/>
        </w:rPr>
        <w:t>إصدار العطاءات واختيار الشركات</w:t>
      </w:r>
    </w:p>
    <w:p w:rsidR="008E0018" w:rsidRPr="00080105" w:rsidRDefault="008E0018" w:rsidP="008E0018">
      <w:pPr>
        <w:numPr>
          <w:ilvl w:val="0"/>
          <w:numId w:val="50"/>
        </w:numPr>
        <w:bidi/>
        <w:spacing w:after="120" w:line="340" w:lineRule="exact"/>
        <w:ind w:left="1134" w:hanging="567"/>
        <w:rPr>
          <w:rFonts w:ascii="Arabic Typesetting" w:hAnsi="Arabic Typesetting" w:cs="Arabic Typesetting"/>
          <w:color w:val="000000"/>
          <w:sz w:val="34"/>
          <w:szCs w:val="34"/>
          <w:lang w:bidi="ar-EG"/>
        </w:rPr>
      </w:pPr>
      <w:r>
        <w:rPr>
          <w:rFonts w:ascii="Arabic Typesetting" w:hAnsi="Arabic Typesetting" w:cs="Arabic Typesetting" w:hint="cs"/>
          <w:color w:val="000000"/>
          <w:sz w:val="34"/>
          <w:szCs w:val="34"/>
          <w:rtl/>
          <w:lang w:bidi="ar-EG"/>
        </w:rPr>
        <w:t>إجراء الأعمال اللازمة</w:t>
      </w:r>
    </w:p>
    <w:p w:rsidR="00F96634" w:rsidRPr="00080105" w:rsidRDefault="00F96634" w:rsidP="00F96634">
      <w:pPr>
        <w:keepNext/>
        <w:bidi/>
        <w:spacing w:after="120" w:line="340" w:lineRule="exact"/>
        <w:rPr>
          <w:rFonts w:ascii="Arabic Typesetting" w:hAnsi="Arabic Typesetting" w:cs="Arabic Typesetting"/>
          <w:b/>
          <w:color w:val="000000"/>
          <w:sz w:val="34"/>
          <w:szCs w:val="34"/>
          <w:lang w:bidi="ar-EG"/>
        </w:rPr>
      </w:pPr>
      <w:r w:rsidRPr="00080105">
        <w:rPr>
          <w:rFonts w:ascii="Arabic Typesetting" w:hAnsi="Arabic Typesetting" w:cs="Arabic Typesetting"/>
          <w:b/>
          <w:color w:val="000000"/>
          <w:sz w:val="34"/>
          <w:szCs w:val="34"/>
          <w:rtl/>
          <w:lang w:bidi="ar-EG"/>
        </w:rPr>
        <w:t>تحقيق المنافع</w:t>
      </w:r>
    </w:p>
    <w:tbl>
      <w:tblPr>
        <w:bidiVisual/>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56"/>
        <w:gridCol w:w="3157"/>
        <w:gridCol w:w="3155"/>
      </w:tblGrid>
      <w:tr w:rsidR="00F96634" w:rsidRPr="00080105" w:rsidTr="00F96634">
        <w:trPr>
          <w:trHeight w:val="314"/>
          <w:tblHeader/>
        </w:trPr>
        <w:tc>
          <w:tcPr>
            <w:tcW w:w="1667" w:type="pct"/>
            <w:shd w:val="clear" w:color="auto" w:fill="C6D9F1"/>
            <w:tcMar>
              <w:top w:w="113" w:type="dxa"/>
              <w:bottom w:w="113" w:type="dxa"/>
            </w:tcMar>
            <w:vAlign w:val="center"/>
          </w:tcPr>
          <w:p w:rsidR="00F96634" w:rsidRPr="00080105" w:rsidRDefault="00EA0606" w:rsidP="00F96634">
            <w:pPr>
              <w:keepNext/>
              <w:bidi/>
              <w:spacing w:line="300" w:lineRule="exact"/>
              <w:jc w:val="center"/>
              <w:rPr>
                <w:rFonts w:ascii="Arabic Typesetting" w:hAnsi="Arabic Typesetting" w:cs="Arabic Typesetting"/>
                <w:sz w:val="28"/>
                <w:szCs w:val="28"/>
                <w:rtl/>
                <w:lang w:bidi="ar-EG"/>
              </w:rPr>
            </w:pPr>
            <w:r>
              <w:rPr>
                <w:rFonts w:ascii="Arabic Typesetting" w:hAnsi="Arabic Typesetting" w:cs="Arabic Typesetting"/>
                <w:bCs/>
                <w:sz w:val="28"/>
                <w:szCs w:val="28"/>
                <w:rtl/>
                <w:lang w:bidi="ar-EG"/>
              </w:rPr>
              <w:t>المنافع المحققة</w:t>
            </w:r>
            <w:r w:rsidR="00F96634" w:rsidRPr="00080105">
              <w:rPr>
                <w:rFonts w:ascii="Arabic Typesetting" w:hAnsi="Arabic Typesetting" w:cs="Arabic Typesetting"/>
                <w:bCs/>
                <w:sz w:val="28"/>
                <w:szCs w:val="28"/>
                <w:rtl/>
                <w:lang w:bidi="ar-EG"/>
              </w:rPr>
              <w:t xml:space="preserve"> 2014</w:t>
            </w:r>
          </w:p>
        </w:tc>
        <w:tc>
          <w:tcPr>
            <w:tcW w:w="1667" w:type="pct"/>
            <w:shd w:val="clear" w:color="auto" w:fill="C6D9F1"/>
            <w:vAlign w:val="center"/>
          </w:tcPr>
          <w:p w:rsidR="00F96634" w:rsidRPr="00080105" w:rsidRDefault="00EA0606" w:rsidP="00F96634">
            <w:pPr>
              <w:keepNext/>
              <w:bidi/>
              <w:spacing w:line="300" w:lineRule="exact"/>
              <w:jc w:val="center"/>
              <w:rPr>
                <w:rFonts w:ascii="Arabic Typesetting" w:hAnsi="Arabic Typesetting" w:cs="Arabic Typesetting"/>
                <w:sz w:val="28"/>
                <w:szCs w:val="28"/>
                <w:rtl/>
                <w:lang w:bidi="ar-EG"/>
              </w:rPr>
            </w:pPr>
            <w:r>
              <w:rPr>
                <w:rFonts w:ascii="Arabic Typesetting" w:hAnsi="Arabic Typesetting" w:cs="Arabic Typesetting"/>
                <w:bCs/>
                <w:color w:val="000000"/>
                <w:sz w:val="28"/>
                <w:szCs w:val="28"/>
                <w:rtl/>
                <w:lang w:bidi="ar-EG"/>
              </w:rPr>
              <w:t>المنافع المحققة</w:t>
            </w:r>
            <w:r w:rsidR="00F96634" w:rsidRPr="00080105">
              <w:rPr>
                <w:rFonts w:ascii="Arabic Typesetting" w:hAnsi="Arabic Typesetting" w:cs="Arabic Typesetting"/>
                <w:bCs/>
                <w:color w:val="000000"/>
                <w:sz w:val="28"/>
                <w:szCs w:val="28"/>
                <w:rtl/>
                <w:lang w:bidi="ar-EG"/>
              </w:rPr>
              <w:t xml:space="preserve"> 2015</w:t>
            </w:r>
          </w:p>
        </w:tc>
        <w:tc>
          <w:tcPr>
            <w:tcW w:w="1666" w:type="pct"/>
            <w:shd w:val="clear" w:color="auto" w:fill="C6D9F1"/>
            <w:vAlign w:val="center"/>
          </w:tcPr>
          <w:p w:rsidR="00F96634" w:rsidRPr="00080105" w:rsidRDefault="00F96634" w:rsidP="00F96634">
            <w:pPr>
              <w:keepNext/>
              <w:bidi/>
              <w:spacing w:line="300" w:lineRule="exact"/>
              <w:jc w:val="center"/>
              <w:rPr>
                <w:rFonts w:ascii="Arabic Typesetting" w:hAnsi="Arabic Typesetting" w:cs="Arabic Typesetting"/>
                <w:sz w:val="28"/>
                <w:szCs w:val="28"/>
                <w:rtl/>
                <w:lang w:bidi="ar-EG"/>
              </w:rPr>
            </w:pPr>
            <w:r w:rsidRPr="00080105">
              <w:rPr>
                <w:rFonts w:ascii="Arabic Typesetting" w:hAnsi="Arabic Typesetting" w:cs="Arabic Typesetting"/>
                <w:bCs/>
                <w:color w:val="000000"/>
                <w:sz w:val="28"/>
                <w:szCs w:val="28"/>
                <w:rtl/>
                <w:lang w:bidi="ar-EG"/>
              </w:rPr>
              <w:t>المنافع المتوقعة في 2016</w:t>
            </w:r>
          </w:p>
        </w:tc>
      </w:tr>
      <w:tr w:rsidR="00F96634" w:rsidRPr="00080105" w:rsidTr="00F96634">
        <w:trPr>
          <w:trHeight w:val="564"/>
        </w:trPr>
        <w:tc>
          <w:tcPr>
            <w:tcW w:w="1667" w:type="pct"/>
            <w:tcMar>
              <w:top w:w="113" w:type="dxa"/>
              <w:bottom w:w="113" w:type="dxa"/>
            </w:tcMar>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 xml:space="preserve">تكليف أعمال نظام التبريد بمبنى </w:t>
            </w:r>
            <w:proofErr w:type="spellStart"/>
            <w:r w:rsidRPr="00080105">
              <w:rPr>
                <w:rFonts w:ascii="Arabic Typesetting" w:hAnsi="Arabic Typesetting" w:cs="Arabic Typesetting"/>
                <w:b/>
                <w:color w:val="000000"/>
                <w:sz w:val="28"/>
                <w:szCs w:val="28"/>
                <w:rtl/>
                <w:lang w:bidi="ar-EG"/>
              </w:rPr>
              <w:t>أرباد</w:t>
            </w:r>
            <w:proofErr w:type="spellEnd"/>
            <w:r w:rsidRPr="00080105">
              <w:rPr>
                <w:rFonts w:ascii="Arabic Typesetting" w:hAnsi="Arabic Typesetting" w:cs="Arabic Typesetting"/>
                <w:b/>
                <w:color w:val="000000"/>
                <w:sz w:val="28"/>
                <w:szCs w:val="28"/>
                <w:rtl/>
                <w:lang w:bidi="ar-EG"/>
              </w:rPr>
              <w:t xml:space="preserve"> </w:t>
            </w:r>
            <w:proofErr w:type="spellStart"/>
            <w:r w:rsidRPr="00080105">
              <w:rPr>
                <w:rFonts w:ascii="Arabic Typesetting" w:hAnsi="Arabic Typesetting" w:cs="Arabic Typesetting"/>
                <w:b/>
                <w:color w:val="000000"/>
                <w:sz w:val="28"/>
                <w:szCs w:val="28"/>
                <w:rtl/>
                <w:lang w:bidi="ar-EG"/>
              </w:rPr>
              <w:t>بوكش</w:t>
            </w:r>
            <w:proofErr w:type="spellEnd"/>
            <w:r w:rsidRPr="00080105">
              <w:rPr>
                <w:rFonts w:ascii="Arabic Typesetting" w:hAnsi="Arabic Typesetting" w:cs="Arabic Typesetting"/>
                <w:b/>
                <w:color w:val="000000"/>
                <w:sz w:val="28"/>
                <w:szCs w:val="28"/>
                <w:rtl/>
                <w:lang w:bidi="ar-EG"/>
              </w:rPr>
              <w:t xml:space="preserve"> في 13 أغسطس 2014 وتقليل جزئي في استهلاك الطاقة الكهربائية</w:t>
            </w:r>
          </w:p>
        </w:tc>
        <w:tc>
          <w:tcPr>
            <w:tcW w:w="1667" w:type="pct"/>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 xml:space="preserve">تقليل استخدام الطاقة الكهربائية والتأثير البيئي لاستهلاك الكهرباء في تبريد مبنى </w:t>
            </w:r>
            <w:proofErr w:type="spellStart"/>
            <w:r w:rsidRPr="00080105">
              <w:rPr>
                <w:rFonts w:ascii="Arabic Typesetting" w:hAnsi="Arabic Typesetting" w:cs="Arabic Typesetting"/>
                <w:b/>
                <w:color w:val="000000"/>
                <w:sz w:val="28"/>
                <w:szCs w:val="28"/>
                <w:rtl/>
                <w:lang w:bidi="ar-EG"/>
              </w:rPr>
              <w:t>أرباد</w:t>
            </w:r>
            <w:proofErr w:type="spellEnd"/>
            <w:r w:rsidRPr="00080105">
              <w:rPr>
                <w:rFonts w:ascii="Arabic Typesetting" w:hAnsi="Arabic Typesetting" w:cs="Arabic Typesetting"/>
                <w:b/>
                <w:color w:val="000000"/>
                <w:sz w:val="28"/>
                <w:szCs w:val="28"/>
                <w:rtl/>
                <w:lang w:bidi="ar-EG"/>
              </w:rPr>
              <w:t xml:space="preserve"> </w:t>
            </w:r>
            <w:proofErr w:type="spellStart"/>
            <w:r w:rsidRPr="00080105">
              <w:rPr>
                <w:rFonts w:ascii="Arabic Typesetting" w:hAnsi="Arabic Typesetting" w:cs="Arabic Typesetting"/>
                <w:b/>
                <w:color w:val="000000"/>
                <w:sz w:val="28"/>
                <w:szCs w:val="28"/>
                <w:rtl/>
                <w:lang w:bidi="ar-EG"/>
              </w:rPr>
              <w:t>بوكش</w:t>
            </w:r>
            <w:proofErr w:type="spellEnd"/>
          </w:p>
        </w:tc>
        <w:tc>
          <w:tcPr>
            <w:tcW w:w="1666" w:type="pct"/>
          </w:tcPr>
          <w:p w:rsidR="00F96634" w:rsidRPr="00080105" w:rsidRDefault="00F96634" w:rsidP="00F96634">
            <w:pPr>
              <w:bidi/>
              <w:spacing w:line="300" w:lineRule="exact"/>
              <w:rPr>
                <w:rFonts w:ascii="Arabic Typesetting" w:hAnsi="Arabic Typesetting" w:cs="Arabic Typesetting"/>
                <w:b/>
                <w:sz w:val="28"/>
                <w:szCs w:val="28"/>
              </w:rPr>
            </w:pPr>
            <w:r w:rsidRPr="00080105">
              <w:rPr>
                <w:rFonts w:ascii="Arabic Typesetting" w:hAnsi="Arabic Typesetting" w:cs="Arabic Typesetting"/>
                <w:b/>
                <w:color w:val="000000"/>
                <w:sz w:val="28"/>
                <w:szCs w:val="28"/>
                <w:rtl/>
                <w:lang w:bidi="ar-EG"/>
              </w:rPr>
              <w:t>تقليل استهلاك الكهرباء والتأثير البيئي لاستخدام الكهرباء في تبريد مبنى البراءات</w:t>
            </w:r>
          </w:p>
        </w:tc>
      </w:tr>
      <w:tr w:rsidR="00F96634" w:rsidRPr="00080105" w:rsidTr="00F96634">
        <w:trPr>
          <w:trHeight w:val="516"/>
        </w:trPr>
        <w:tc>
          <w:tcPr>
            <w:tcW w:w="1667" w:type="pct"/>
            <w:tcMar>
              <w:top w:w="113" w:type="dxa"/>
              <w:bottom w:w="113" w:type="dxa"/>
            </w:tcMar>
          </w:tcPr>
          <w:p w:rsidR="00F96634" w:rsidRPr="00080105" w:rsidRDefault="00F96634" w:rsidP="00F96634">
            <w:pPr>
              <w:bidi/>
              <w:spacing w:line="300" w:lineRule="exact"/>
              <w:rPr>
                <w:rFonts w:ascii="Arabic Typesetting" w:hAnsi="Arabic Typesetting" w:cs="Arabic Typesetting"/>
                <w:b/>
                <w:sz w:val="28"/>
                <w:szCs w:val="28"/>
              </w:rPr>
            </w:pPr>
          </w:p>
        </w:tc>
        <w:tc>
          <w:tcPr>
            <w:tcW w:w="1667" w:type="pct"/>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 xml:space="preserve">تقليل تكلفة الصيانة التصحيحية لنظام التبريد في مبنى </w:t>
            </w:r>
            <w:proofErr w:type="spellStart"/>
            <w:r w:rsidRPr="00080105">
              <w:rPr>
                <w:rFonts w:ascii="Arabic Typesetting" w:hAnsi="Arabic Typesetting" w:cs="Arabic Typesetting"/>
                <w:b/>
                <w:color w:val="000000"/>
                <w:sz w:val="28"/>
                <w:szCs w:val="28"/>
                <w:rtl/>
                <w:lang w:bidi="ar-EG"/>
              </w:rPr>
              <w:t>أرباد</w:t>
            </w:r>
            <w:proofErr w:type="spellEnd"/>
            <w:r w:rsidRPr="00080105">
              <w:rPr>
                <w:rFonts w:ascii="Arabic Typesetting" w:hAnsi="Arabic Typesetting" w:cs="Arabic Typesetting"/>
                <w:b/>
                <w:color w:val="000000"/>
                <w:sz w:val="28"/>
                <w:szCs w:val="28"/>
                <w:rtl/>
                <w:lang w:bidi="ar-EG"/>
              </w:rPr>
              <w:t xml:space="preserve"> </w:t>
            </w:r>
            <w:proofErr w:type="spellStart"/>
            <w:r w:rsidRPr="00080105">
              <w:rPr>
                <w:rFonts w:ascii="Arabic Typesetting" w:hAnsi="Arabic Typesetting" w:cs="Arabic Typesetting"/>
                <w:b/>
                <w:color w:val="000000"/>
                <w:sz w:val="28"/>
                <w:szCs w:val="28"/>
                <w:rtl/>
                <w:lang w:bidi="ar-EG"/>
              </w:rPr>
              <w:t>بوكش</w:t>
            </w:r>
            <w:proofErr w:type="spellEnd"/>
          </w:p>
        </w:tc>
        <w:tc>
          <w:tcPr>
            <w:tcW w:w="1666" w:type="pct"/>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تقليل تكلفة الصيانة التصحيحية لنظام التبريد في مبنى البراءات</w:t>
            </w:r>
          </w:p>
        </w:tc>
      </w:tr>
      <w:tr w:rsidR="00F96634" w:rsidRPr="00080105" w:rsidTr="00F96634">
        <w:trPr>
          <w:trHeight w:val="414"/>
        </w:trPr>
        <w:tc>
          <w:tcPr>
            <w:tcW w:w="1667" w:type="pct"/>
            <w:tcMar>
              <w:top w:w="113" w:type="dxa"/>
              <w:bottom w:w="113" w:type="dxa"/>
            </w:tcMar>
          </w:tcPr>
          <w:p w:rsidR="00F96634" w:rsidRPr="00080105" w:rsidRDefault="00F96634" w:rsidP="00F96634">
            <w:pPr>
              <w:bidi/>
              <w:spacing w:line="300" w:lineRule="exact"/>
              <w:rPr>
                <w:rFonts w:ascii="Arabic Typesetting" w:hAnsi="Arabic Typesetting" w:cs="Arabic Typesetting"/>
                <w:b/>
                <w:sz w:val="28"/>
                <w:szCs w:val="28"/>
                <w:u w:val="single"/>
              </w:rPr>
            </w:pPr>
          </w:p>
        </w:tc>
        <w:tc>
          <w:tcPr>
            <w:tcW w:w="1667" w:type="pct"/>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 xml:space="preserve">زيادة دورة حياة نظام التبريد في مبنى </w:t>
            </w:r>
            <w:proofErr w:type="spellStart"/>
            <w:r w:rsidRPr="00080105">
              <w:rPr>
                <w:rFonts w:ascii="Arabic Typesetting" w:hAnsi="Arabic Typesetting" w:cs="Arabic Typesetting"/>
                <w:b/>
                <w:color w:val="000000"/>
                <w:sz w:val="28"/>
                <w:szCs w:val="28"/>
                <w:rtl/>
                <w:lang w:bidi="ar-EG"/>
              </w:rPr>
              <w:t>أرباد</w:t>
            </w:r>
            <w:proofErr w:type="spellEnd"/>
            <w:r w:rsidRPr="00080105">
              <w:rPr>
                <w:rFonts w:ascii="Arabic Typesetting" w:hAnsi="Arabic Typesetting" w:cs="Arabic Typesetting"/>
                <w:b/>
                <w:color w:val="000000"/>
                <w:sz w:val="28"/>
                <w:szCs w:val="28"/>
                <w:rtl/>
                <w:lang w:bidi="ar-EG"/>
              </w:rPr>
              <w:t xml:space="preserve"> </w:t>
            </w:r>
            <w:proofErr w:type="spellStart"/>
            <w:r w:rsidRPr="00080105">
              <w:rPr>
                <w:rFonts w:ascii="Arabic Typesetting" w:hAnsi="Arabic Typesetting" w:cs="Arabic Typesetting"/>
                <w:b/>
                <w:color w:val="000000"/>
                <w:sz w:val="28"/>
                <w:szCs w:val="28"/>
                <w:rtl/>
                <w:lang w:bidi="ar-EG"/>
              </w:rPr>
              <w:t>بوكش</w:t>
            </w:r>
            <w:proofErr w:type="spellEnd"/>
          </w:p>
        </w:tc>
        <w:tc>
          <w:tcPr>
            <w:tcW w:w="1666" w:type="pct"/>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زيادة دورة حياة نظام التبريد في مبنى البراءات</w:t>
            </w:r>
          </w:p>
        </w:tc>
      </w:tr>
      <w:tr w:rsidR="00F96634" w:rsidRPr="00080105" w:rsidTr="00F96634">
        <w:trPr>
          <w:trHeight w:val="564"/>
        </w:trPr>
        <w:tc>
          <w:tcPr>
            <w:tcW w:w="1667" w:type="pct"/>
            <w:tcMar>
              <w:top w:w="113" w:type="dxa"/>
              <w:bottom w:w="113" w:type="dxa"/>
            </w:tcMar>
          </w:tcPr>
          <w:p w:rsidR="00F96634" w:rsidRPr="00080105" w:rsidRDefault="00F96634" w:rsidP="00F96634">
            <w:pPr>
              <w:bidi/>
              <w:spacing w:line="300" w:lineRule="exact"/>
              <w:rPr>
                <w:rFonts w:ascii="Arabic Typesetting" w:hAnsi="Arabic Typesetting" w:cs="Arabic Typesetting"/>
                <w:b/>
                <w:sz w:val="28"/>
                <w:szCs w:val="28"/>
                <w:u w:val="single"/>
              </w:rPr>
            </w:pPr>
          </w:p>
        </w:tc>
        <w:tc>
          <w:tcPr>
            <w:tcW w:w="1667" w:type="pct"/>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 xml:space="preserve">تركيب نظام تبريد أكثر محافظة على البيئة وصيانته في مبنى </w:t>
            </w:r>
            <w:proofErr w:type="spellStart"/>
            <w:r w:rsidRPr="00080105">
              <w:rPr>
                <w:rFonts w:ascii="Arabic Typesetting" w:hAnsi="Arabic Typesetting" w:cs="Arabic Typesetting"/>
                <w:b/>
                <w:color w:val="000000"/>
                <w:sz w:val="28"/>
                <w:szCs w:val="28"/>
                <w:rtl/>
                <w:lang w:bidi="ar-EG"/>
              </w:rPr>
              <w:t>أرباد</w:t>
            </w:r>
            <w:proofErr w:type="spellEnd"/>
            <w:r w:rsidRPr="00080105">
              <w:rPr>
                <w:rFonts w:ascii="Arabic Typesetting" w:hAnsi="Arabic Typesetting" w:cs="Arabic Typesetting"/>
                <w:b/>
                <w:color w:val="000000"/>
                <w:sz w:val="28"/>
                <w:szCs w:val="28"/>
                <w:rtl/>
                <w:lang w:bidi="ar-EG"/>
              </w:rPr>
              <w:t xml:space="preserve"> </w:t>
            </w:r>
            <w:proofErr w:type="spellStart"/>
            <w:r w:rsidRPr="00080105">
              <w:rPr>
                <w:rFonts w:ascii="Arabic Typesetting" w:hAnsi="Arabic Typesetting" w:cs="Arabic Typesetting"/>
                <w:b/>
                <w:color w:val="000000"/>
                <w:sz w:val="28"/>
                <w:szCs w:val="28"/>
                <w:rtl/>
                <w:lang w:bidi="ar-EG"/>
              </w:rPr>
              <w:t>بوكش</w:t>
            </w:r>
            <w:proofErr w:type="spellEnd"/>
          </w:p>
        </w:tc>
        <w:tc>
          <w:tcPr>
            <w:tcW w:w="1666" w:type="pct"/>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تركيب نظام تبريد أكثر محافظة على البيئة وصيانته في مبنى البراءات</w:t>
            </w:r>
          </w:p>
        </w:tc>
      </w:tr>
      <w:tr w:rsidR="00F96634" w:rsidRPr="00080105" w:rsidTr="00F96634">
        <w:trPr>
          <w:trHeight w:val="564"/>
        </w:trPr>
        <w:tc>
          <w:tcPr>
            <w:tcW w:w="1667" w:type="pct"/>
            <w:tcMar>
              <w:top w:w="113" w:type="dxa"/>
              <w:bottom w:w="113" w:type="dxa"/>
            </w:tcMar>
          </w:tcPr>
          <w:p w:rsidR="00F96634" w:rsidRPr="00080105" w:rsidRDefault="00F96634" w:rsidP="00F96634">
            <w:pPr>
              <w:bidi/>
              <w:spacing w:line="300" w:lineRule="exact"/>
              <w:rPr>
                <w:rFonts w:ascii="Arabic Typesetting" w:hAnsi="Arabic Typesetting" w:cs="Arabic Typesetting"/>
                <w:b/>
                <w:sz w:val="28"/>
                <w:szCs w:val="28"/>
                <w:u w:val="single"/>
              </w:rPr>
            </w:pPr>
          </w:p>
        </w:tc>
        <w:tc>
          <w:tcPr>
            <w:tcW w:w="1667" w:type="pct"/>
          </w:tcPr>
          <w:p w:rsidR="00F96634" w:rsidRPr="00080105" w:rsidRDefault="00F96634" w:rsidP="00F96634">
            <w:pPr>
              <w:bidi/>
              <w:spacing w:line="30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تكليف أعمال نظام التبريد بمبنى البراءات في أكتوبر 2015 وتقليل جزئي في استهلاك الطاقة الكهربائية</w:t>
            </w:r>
          </w:p>
        </w:tc>
        <w:tc>
          <w:tcPr>
            <w:tcW w:w="1666" w:type="pct"/>
          </w:tcPr>
          <w:p w:rsidR="00F96634" w:rsidRPr="00080105" w:rsidRDefault="00F96634" w:rsidP="00F96634">
            <w:pPr>
              <w:bidi/>
              <w:spacing w:line="300" w:lineRule="exact"/>
              <w:rPr>
                <w:rFonts w:ascii="Arabic Typesetting" w:hAnsi="Arabic Typesetting" w:cs="Arabic Typesetting"/>
                <w:b/>
                <w:sz w:val="28"/>
                <w:szCs w:val="28"/>
                <w:rtl/>
                <w:lang w:bidi="ar-EG"/>
              </w:rPr>
            </w:pPr>
          </w:p>
        </w:tc>
      </w:tr>
    </w:tbl>
    <w:p w:rsidR="00F96634" w:rsidRPr="00080105" w:rsidRDefault="00F96634" w:rsidP="00F96634">
      <w:pPr>
        <w:bidi/>
        <w:spacing w:before="120" w:after="120"/>
        <w:rPr>
          <w:rFonts w:ascii="Arabic Typesetting" w:hAnsi="Arabic Typesetting" w:cs="Arabic Typesetting"/>
          <w:sz w:val="34"/>
          <w:szCs w:val="34"/>
          <w:lang w:bidi="ar-EG"/>
        </w:rPr>
      </w:pPr>
      <w:r w:rsidRPr="00080105">
        <w:rPr>
          <w:rFonts w:ascii="Arabic Typesetting" w:hAnsi="Arabic Typesetting" w:cs="Arabic Typesetting"/>
          <w:color w:val="000000"/>
          <w:sz w:val="34"/>
          <w:szCs w:val="34"/>
          <w:rtl/>
          <w:lang w:bidi="ar-EG"/>
        </w:rPr>
        <w:t>استخدام الموارد</w:t>
      </w:r>
      <w:r w:rsidRPr="00F96634">
        <w:rPr>
          <w:rStyle w:val="FootnoteReference"/>
          <w:rFonts w:ascii="Arabic Typesetting" w:hAnsi="Arabic Typesetting" w:cs="Arabic Typesetting"/>
          <w:color w:val="000000"/>
          <w:sz w:val="28"/>
          <w:szCs w:val="28"/>
          <w:rtl/>
          <w:lang w:bidi="ar-EG"/>
        </w:rPr>
        <w:footnoteReference w:id="176"/>
      </w:r>
    </w:p>
    <w:p w:rsidR="00F96634" w:rsidRPr="00080105" w:rsidRDefault="00F96634" w:rsidP="00F96634">
      <w:pPr>
        <w:keepNext/>
        <w:keepLines/>
        <w:tabs>
          <w:tab w:val="left" w:pos="3261"/>
        </w:tabs>
        <w:autoSpaceDE w:val="0"/>
        <w:autoSpaceDN w:val="0"/>
        <w:bidi/>
        <w:adjustRightInd w:val="0"/>
        <w:jc w:val="center"/>
        <w:rPr>
          <w:rFonts w:ascii="Arabic Typesetting" w:hAnsi="Arabic Typesetting" w:cs="Arabic Typesetting"/>
          <w:bCs/>
          <w:sz w:val="34"/>
          <w:szCs w:val="34"/>
          <w:rtl/>
          <w:lang w:bidi="ar-EG"/>
        </w:rPr>
      </w:pPr>
      <w:r w:rsidRPr="00080105">
        <w:rPr>
          <w:rFonts w:ascii="Arabic Typesetting" w:hAnsi="Arabic Typesetting" w:cs="Arabic Typesetting"/>
          <w:bCs/>
          <w:color w:val="000000"/>
          <w:sz w:val="34"/>
          <w:szCs w:val="34"/>
          <w:rtl/>
          <w:lang w:bidi="ar-EG"/>
        </w:rPr>
        <w:t>استخدام ميزانية المشروع</w:t>
      </w:r>
    </w:p>
    <w:p w:rsidR="00F96634" w:rsidRPr="00080105" w:rsidRDefault="00F96634" w:rsidP="00F96634">
      <w:pPr>
        <w:keepNext/>
        <w:keepLines/>
        <w:tabs>
          <w:tab w:val="left" w:pos="3261"/>
        </w:tabs>
        <w:autoSpaceDE w:val="0"/>
        <w:autoSpaceDN w:val="0"/>
        <w:bidi/>
        <w:adjustRightInd w:val="0"/>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(بالفرنك السويسري، في 31 ديسمبر 2015)</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564"/>
        <w:gridCol w:w="1565"/>
        <w:gridCol w:w="1565"/>
        <w:gridCol w:w="1564"/>
      </w:tblGrid>
      <w:tr w:rsidR="00F96634" w:rsidRPr="00080105" w:rsidTr="00F96634">
        <w:trPr>
          <w:trHeight w:val="410"/>
        </w:trPr>
        <w:tc>
          <w:tcPr>
            <w:tcW w:w="1598" w:type="pct"/>
            <w:shd w:val="clear" w:color="auto" w:fill="C6D9F1"/>
            <w:vAlign w:val="center"/>
          </w:tcPr>
          <w:p w:rsidR="00F96634" w:rsidRPr="00080105" w:rsidRDefault="00F96634" w:rsidP="00F96634">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اسم المشروع</w:t>
            </w:r>
          </w:p>
        </w:tc>
        <w:tc>
          <w:tcPr>
            <w:tcW w:w="850" w:type="pct"/>
            <w:shd w:val="clear" w:color="auto" w:fill="C6D9F1"/>
            <w:vAlign w:val="center"/>
          </w:tcPr>
          <w:p w:rsidR="00F96634" w:rsidRPr="00080105" w:rsidRDefault="00F96634" w:rsidP="00F96634">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851" w:type="pct"/>
            <w:shd w:val="clear" w:color="auto" w:fill="C6D9F1"/>
            <w:vAlign w:val="center"/>
          </w:tcPr>
          <w:p w:rsidR="00F96634" w:rsidRPr="00080105" w:rsidRDefault="00F96634" w:rsidP="00F96634">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p>
        </w:tc>
        <w:tc>
          <w:tcPr>
            <w:tcW w:w="851"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c>
          <w:tcPr>
            <w:tcW w:w="850"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معدل التقدم المحرز في تنفيذ المشروع</w:t>
            </w:r>
          </w:p>
        </w:tc>
      </w:tr>
      <w:tr w:rsidR="00F96634" w:rsidRPr="00080105" w:rsidTr="00F96634">
        <w:trPr>
          <w:trHeight w:val="389"/>
        </w:trPr>
        <w:tc>
          <w:tcPr>
            <w:tcW w:w="1598" w:type="pct"/>
            <w:vAlign w:val="center"/>
          </w:tcPr>
          <w:p w:rsidR="00F96634" w:rsidRPr="00080105" w:rsidRDefault="00F96634" w:rsidP="00F96634">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 xml:space="preserve">تطبيق نظام التبريد بمياه بحيرة جنيف في مبنى </w:t>
            </w:r>
            <w:proofErr w:type="spellStart"/>
            <w:r w:rsidRPr="00080105">
              <w:rPr>
                <w:rFonts w:ascii="Arabic Typesetting" w:hAnsi="Arabic Typesetting" w:cs="Arabic Typesetting"/>
                <w:sz w:val="28"/>
                <w:szCs w:val="28"/>
                <w:rtl/>
                <w:lang w:bidi="ar-EG"/>
              </w:rPr>
              <w:t>أرباد</w:t>
            </w:r>
            <w:proofErr w:type="spellEnd"/>
            <w:r w:rsidRPr="00080105">
              <w:rPr>
                <w:rFonts w:ascii="Arabic Typesetting" w:hAnsi="Arabic Typesetting" w:cs="Arabic Typesetting"/>
                <w:sz w:val="28"/>
                <w:szCs w:val="28"/>
                <w:rtl/>
                <w:lang w:bidi="ar-EG"/>
              </w:rPr>
              <w:t xml:space="preserve"> </w:t>
            </w:r>
            <w:proofErr w:type="spellStart"/>
            <w:r w:rsidRPr="00080105">
              <w:rPr>
                <w:rFonts w:ascii="Arabic Typesetting" w:hAnsi="Arabic Typesetting" w:cs="Arabic Typesetting"/>
                <w:sz w:val="28"/>
                <w:szCs w:val="28"/>
                <w:rtl/>
                <w:lang w:bidi="ar-EG"/>
              </w:rPr>
              <w:t>بوكش</w:t>
            </w:r>
            <w:proofErr w:type="spellEnd"/>
            <w:r w:rsidRPr="00080105">
              <w:rPr>
                <w:rFonts w:ascii="Arabic Typesetting" w:hAnsi="Arabic Typesetting" w:cs="Arabic Typesetting"/>
                <w:sz w:val="28"/>
                <w:szCs w:val="28"/>
                <w:rtl/>
                <w:lang w:bidi="ar-EG"/>
              </w:rPr>
              <w:t xml:space="preserve"> ومبنى البراءات</w:t>
            </w:r>
          </w:p>
        </w:tc>
        <w:tc>
          <w:tcPr>
            <w:tcW w:w="850" w:type="pct"/>
            <w:vAlign w:val="center"/>
          </w:tcPr>
          <w:p w:rsidR="00F96634" w:rsidRPr="00080105" w:rsidRDefault="00F96634" w:rsidP="00F96634">
            <w:pPr>
              <w:keepNext/>
              <w:keepLines/>
              <w:autoSpaceDE w:val="0"/>
              <w:autoSpaceDN w:val="0"/>
              <w:adjustRightInd w:val="0"/>
              <w:spacing w:before="40" w:after="40"/>
              <w:jc w:val="center"/>
              <w:rPr>
                <w:rFonts w:ascii="Arabic Typesetting" w:hAnsi="Arabic Typesetting" w:cs="Arabic Typesetting"/>
                <w:sz w:val="28"/>
                <w:szCs w:val="28"/>
              </w:rPr>
            </w:pPr>
            <w:r w:rsidRPr="00080105">
              <w:rPr>
                <w:rFonts w:ascii="Arabic Typesetting" w:hAnsi="Arabic Typesetting" w:cs="Arabic Typesetting"/>
                <w:sz w:val="28"/>
                <w:szCs w:val="28"/>
              </w:rPr>
              <w:t>750,000</w:t>
            </w:r>
          </w:p>
        </w:tc>
        <w:tc>
          <w:tcPr>
            <w:tcW w:w="851" w:type="pct"/>
            <w:vAlign w:val="center"/>
          </w:tcPr>
          <w:p w:rsidR="00F96634" w:rsidRPr="00080105" w:rsidRDefault="00F96634" w:rsidP="00F96634">
            <w:pPr>
              <w:keepNext/>
              <w:keepLines/>
              <w:autoSpaceDE w:val="0"/>
              <w:autoSpaceDN w:val="0"/>
              <w:adjustRightInd w:val="0"/>
              <w:spacing w:before="40" w:after="40"/>
              <w:jc w:val="center"/>
              <w:rPr>
                <w:rFonts w:ascii="Arabic Typesetting" w:hAnsi="Arabic Typesetting" w:cs="Arabic Typesetting"/>
                <w:sz w:val="28"/>
                <w:szCs w:val="28"/>
              </w:rPr>
            </w:pPr>
            <w:r w:rsidRPr="00080105">
              <w:rPr>
                <w:rFonts w:ascii="Arabic Typesetting" w:hAnsi="Arabic Typesetting" w:cs="Arabic Typesetting"/>
                <w:sz w:val="28"/>
                <w:szCs w:val="28"/>
              </w:rPr>
              <w:t>262,727</w:t>
            </w:r>
          </w:p>
        </w:tc>
        <w:tc>
          <w:tcPr>
            <w:tcW w:w="851" w:type="pct"/>
            <w:vAlign w:val="center"/>
          </w:tcPr>
          <w:p w:rsidR="00F96634" w:rsidRPr="00080105" w:rsidRDefault="00F96634" w:rsidP="00F96634">
            <w:pPr>
              <w:keepNext/>
              <w:keepLines/>
              <w:autoSpaceDE w:val="0"/>
              <w:autoSpaceDN w:val="0"/>
              <w:adjustRightInd w:val="0"/>
              <w:spacing w:before="40" w:after="40"/>
              <w:jc w:val="center"/>
              <w:rPr>
                <w:rFonts w:ascii="Arabic Typesetting" w:hAnsi="Arabic Typesetting" w:cs="Arabic Typesetting"/>
                <w:sz w:val="28"/>
                <w:szCs w:val="28"/>
              </w:rPr>
            </w:pPr>
            <w:r w:rsidRPr="00080105">
              <w:rPr>
                <w:rFonts w:ascii="Arabic Typesetting" w:hAnsi="Arabic Typesetting" w:cs="Arabic Typesetting"/>
                <w:sz w:val="28"/>
                <w:szCs w:val="28"/>
              </w:rPr>
              <w:t>35%</w:t>
            </w:r>
          </w:p>
        </w:tc>
        <w:tc>
          <w:tcPr>
            <w:tcW w:w="850" w:type="pct"/>
            <w:vAlign w:val="center"/>
          </w:tcPr>
          <w:p w:rsidR="00F96634" w:rsidRPr="00080105" w:rsidRDefault="00F96634" w:rsidP="00F96634">
            <w:pPr>
              <w:keepNext/>
              <w:keepLines/>
              <w:autoSpaceDE w:val="0"/>
              <w:autoSpaceDN w:val="0"/>
              <w:bidi/>
              <w:adjustRightInd w:val="0"/>
              <w:spacing w:before="40" w:after="40" w:line="260" w:lineRule="exact"/>
              <w:jc w:val="center"/>
              <w:rPr>
                <w:rFonts w:ascii="Arabic Typesetting" w:hAnsi="Arabic Typesetting" w:cs="Arabic Typesetting"/>
                <w:sz w:val="28"/>
                <w:szCs w:val="28"/>
                <w:rtl/>
                <w:lang w:bidi="ar-EG"/>
              </w:rPr>
            </w:pPr>
            <w:proofErr w:type="spellStart"/>
            <w:r w:rsidRPr="00080105">
              <w:rPr>
                <w:rFonts w:ascii="Arabic Typesetting" w:hAnsi="Arabic Typesetting" w:cs="Arabic Typesetting"/>
                <w:sz w:val="28"/>
                <w:szCs w:val="28"/>
                <w:rtl/>
                <w:lang w:bidi="ar-EG"/>
              </w:rPr>
              <w:t>أرباد</w:t>
            </w:r>
            <w:proofErr w:type="spellEnd"/>
            <w:r w:rsidRPr="00080105">
              <w:rPr>
                <w:rFonts w:ascii="Arabic Typesetting" w:hAnsi="Arabic Typesetting" w:cs="Arabic Typesetting"/>
                <w:sz w:val="28"/>
                <w:szCs w:val="28"/>
                <w:rtl/>
                <w:lang w:bidi="ar-EG"/>
              </w:rPr>
              <w:t xml:space="preserve"> </w:t>
            </w:r>
            <w:proofErr w:type="spellStart"/>
            <w:r w:rsidRPr="00080105">
              <w:rPr>
                <w:rFonts w:ascii="Arabic Typesetting" w:hAnsi="Arabic Typesetting" w:cs="Arabic Typesetting"/>
                <w:sz w:val="28"/>
                <w:szCs w:val="28"/>
                <w:rtl/>
                <w:lang w:bidi="ar-EG"/>
              </w:rPr>
              <w:t>بوكش</w:t>
            </w:r>
            <w:proofErr w:type="spellEnd"/>
            <w:r w:rsidRPr="00080105">
              <w:rPr>
                <w:rFonts w:ascii="Arabic Typesetting" w:hAnsi="Arabic Typesetting" w:cs="Arabic Typesetting"/>
                <w:sz w:val="28"/>
                <w:szCs w:val="28"/>
                <w:rtl/>
                <w:lang w:bidi="ar-EG"/>
              </w:rPr>
              <w:t xml:space="preserve"> 100%</w:t>
            </w:r>
          </w:p>
          <w:p w:rsidR="00F96634" w:rsidRPr="00080105" w:rsidRDefault="00F96634" w:rsidP="00F96634">
            <w:pPr>
              <w:keepNext/>
              <w:keepLines/>
              <w:autoSpaceDE w:val="0"/>
              <w:autoSpaceDN w:val="0"/>
              <w:bidi/>
              <w:adjustRightInd w:val="0"/>
              <w:spacing w:before="40" w:after="40" w:line="260" w:lineRule="exact"/>
              <w:jc w:val="center"/>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البراءات 90%</w:t>
            </w:r>
          </w:p>
        </w:tc>
      </w:tr>
    </w:tbl>
    <w:p w:rsidR="00F96634" w:rsidRPr="00080105" w:rsidRDefault="00F96634" w:rsidP="008E0018">
      <w:pPr>
        <w:keepNext/>
        <w:keepLines/>
        <w:pageBreakBefore/>
        <w:tabs>
          <w:tab w:val="left" w:pos="3261"/>
        </w:tabs>
        <w:autoSpaceDE w:val="0"/>
        <w:autoSpaceDN w:val="0"/>
        <w:bidi/>
        <w:adjustRightInd w:val="0"/>
        <w:spacing w:before="240"/>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lastRenderedPageBreak/>
        <w:t>استخدام ميزانية المشروع (حسب المعالم)</w:t>
      </w:r>
    </w:p>
    <w:p w:rsidR="00F96634" w:rsidRPr="00080105" w:rsidRDefault="00F96634" w:rsidP="00F96634">
      <w:pPr>
        <w:keepNext/>
        <w:keepLines/>
        <w:tabs>
          <w:tab w:val="left" w:pos="3261"/>
        </w:tabs>
        <w:autoSpaceDE w:val="0"/>
        <w:autoSpaceDN w:val="0"/>
        <w:bidi/>
        <w:adjustRightInd w:val="0"/>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tblpPr w:leftFromText="180" w:rightFromText="180" w:vertAnchor="text" w:horzAnchor="margin" w:tblpX="69" w:tblpY="17"/>
        <w:bidiVisual/>
        <w:tblW w:w="46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1517"/>
        <w:gridCol w:w="1517"/>
        <w:gridCol w:w="1517"/>
        <w:gridCol w:w="1517"/>
      </w:tblGrid>
      <w:tr w:rsidR="00F96634" w:rsidRPr="00080105" w:rsidTr="00F96634">
        <w:trPr>
          <w:trHeight w:val="389"/>
        </w:trPr>
        <w:tc>
          <w:tcPr>
            <w:tcW w:w="1575" w:type="pct"/>
            <w:shd w:val="clear" w:color="auto" w:fill="C6D9F1"/>
            <w:vAlign w:val="center"/>
          </w:tcPr>
          <w:p w:rsidR="00F96634" w:rsidRPr="00080105" w:rsidRDefault="00F96634" w:rsidP="008E0018">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المعالم الرئيسية</w:t>
            </w:r>
          </w:p>
        </w:tc>
        <w:tc>
          <w:tcPr>
            <w:tcW w:w="856" w:type="pct"/>
            <w:shd w:val="clear" w:color="auto" w:fill="C6D9F1"/>
            <w:vAlign w:val="center"/>
          </w:tcPr>
          <w:p w:rsidR="00F96634" w:rsidRPr="00080105" w:rsidRDefault="00F96634" w:rsidP="008E0018">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856" w:type="pct"/>
            <w:shd w:val="clear" w:color="auto" w:fill="C6D9F1"/>
            <w:vAlign w:val="center"/>
          </w:tcPr>
          <w:p w:rsidR="00F96634" w:rsidRPr="00080105" w:rsidRDefault="00F96634" w:rsidP="008E0018">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p>
        </w:tc>
        <w:tc>
          <w:tcPr>
            <w:tcW w:w="856" w:type="pct"/>
            <w:shd w:val="clear" w:color="auto" w:fill="C6D9F1"/>
            <w:vAlign w:val="center"/>
          </w:tcPr>
          <w:p w:rsidR="00F96634" w:rsidRPr="00080105" w:rsidRDefault="00F96634" w:rsidP="008E0018">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c>
          <w:tcPr>
            <w:tcW w:w="856" w:type="pct"/>
            <w:shd w:val="clear" w:color="auto" w:fill="C6D9F1"/>
            <w:vAlign w:val="center"/>
          </w:tcPr>
          <w:p w:rsidR="00F96634" w:rsidRPr="00080105" w:rsidRDefault="00F96634" w:rsidP="008E0018">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معدل التقدم المحرز في تنفيذ المشروع حسب المعالم</w:t>
            </w:r>
          </w:p>
        </w:tc>
      </w:tr>
      <w:tr w:rsidR="00F96634" w:rsidRPr="00080105" w:rsidTr="00F96634">
        <w:trPr>
          <w:trHeight w:val="369"/>
        </w:trPr>
        <w:tc>
          <w:tcPr>
            <w:tcW w:w="1575" w:type="pct"/>
            <w:vAlign w:val="center"/>
          </w:tcPr>
          <w:p w:rsidR="00F96634" w:rsidRPr="00080105" w:rsidRDefault="00F96634" w:rsidP="008E0018">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منح العقد لمهندس التدفئة والتهوية وتكييف الهواء بشأن مبنى </w:t>
            </w:r>
            <w:proofErr w:type="spellStart"/>
            <w:r w:rsidRPr="00080105">
              <w:rPr>
                <w:rFonts w:ascii="Arabic Typesetting" w:hAnsi="Arabic Typesetting" w:cs="Arabic Typesetting"/>
                <w:color w:val="000000"/>
                <w:sz w:val="28"/>
                <w:szCs w:val="28"/>
                <w:rtl/>
                <w:lang w:bidi="ar-EG"/>
              </w:rPr>
              <w:t>أرباد</w:t>
            </w:r>
            <w:proofErr w:type="spellEnd"/>
            <w:r w:rsidRPr="00080105">
              <w:rPr>
                <w:rFonts w:ascii="Arabic Typesetting" w:hAnsi="Arabic Typesetting" w:cs="Arabic Typesetting"/>
                <w:color w:val="000000"/>
                <w:sz w:val="28"/>
                <w:szCs w:val="28"/>
                <w:rtl/>
                <w:lang w:bidi="ar-EG"/>
              </w:rPr>
              <w:t xml:space="preserve"> </w:t>
            </w:r>
            <w:proofErr w:type="spellStart"/>
            <w:r w:rsidRPr="00080105">
              <w:rPr>
                <w:rFonts w:ascii="Arabic Typesetting" w:hAnsi="Arabic Typesetting" w:cs="Arabic Typesetting"/>
                <w:color w:val="000000"/>
                <w:sz w:val="28"/>
                <w:szCs w:val="28"/>
                <w:rtl/>
                <w:lang w:bidi="ar-EG"/>
              </w:rPr>
              <w:t>بوكش</w:t>
            </w:r>
            <w:proofErr w:type="spellEnd"/>
          </w:p>
        </w:tc>
        <w:tc>
          <w:tcPr>
            <w:tcW w:w="856" w:type="pct"/>
            <w:vAlign w:val="center"/>
          </w:tcPr>
          <w:p w:rsidR="00F96634" w:rsidRPr="00E32074" w:rsidRDefault="00F96634" w:rsidP="008E0018">
            <w:pPr>
              <w:keepNext/>
              <w:autoSpaceDE w:val="0"/>
              <w:autoSpaceDN w:val="0"/>
              <w:adjustRightInd w:val="0"/>
              <w:spacing w:before="40" w:after="40"/>
              <w:jc w:val="center"/>
              <w:rPr>
                <w:sz w:val="16"/>
                <w:szCs w:val="16"/>
              </w:rPr>
            </w:pPr>
            <w:r w:rsidRPr="00E32074">
              <w:rPr>
                <w:sz w:val="16"/>
                <w:szCs w:val="16"/>
              </w:rPr>
              <w:t>30</w:t>
            </w:r>
            <w:r>
              <w:rPr>
                <w:sz w:val="16"/>
                <w:szCs w:val="16"/>
              </w:rPr>
              <w:t>,00</w:t>
            </w:r>
            <w:r w:rsidRPr="00E32074">
              <w:rPr>
                <w:sz w:val="16"/>
                <w:szCs w:val="16"/>
              </w:rPr>
              <w:t>0</w:t>
            </w:r>
          </w:p>
        </w:tc>
        <w:tc>
          <w:tcPr>
            <w:tcW w:w="856" w:type="pct"/>
            <w:vAlign w:val="center"/>
          </w:tcPr>
          <w:p w:rsidR="00F96634" w:rsidRPr="00445ECA" w:rsidRDefault="00F96634" w:rsidP="008E0018">
            <w:pPr>
              <w:keepNext/>
              <w:autoSpaceDE w:val="0"/>
              <w:autoSpaceDN w:val="0"/>
              <w:adjustRightInd w:val="0"/>
              <w:spacing w:before="40" w:after="40"/>
              <w:jc w:val="center"/>
              <w:rPr>
                <w:sz w:val="16"/>
                <w:szCs w:val="16"/>
              </w:rPr>
            </w:pPr>
            <w:r w:rsidRPr="00445ECA">
              <w:rPr>
                <w:sz w:val="16"/>
                <w:szCs w:val="16"/>
              </w:rPr>
              <w:t>16,200</w:t>
            </w:r>
          </w:p>
        </w:tc>
        <w:tc>
          <w:tcPr>
            <w:tcW w:w="856" w:type="pct"/>
            <w:vAlign w:val="center"/>
          </w:tcPr>
          <w:p w:rsidR="00F96634" w:rsidRPr="00445ECA" w:rsidRDefault="00F96634" w:rsidP="008E0018">
            <w:pPr>
              <w:keepNext/>
              <w:autoSpaceDE w:val="0"/>
              <w:autoSpaceDN w:val="0"/>
              <w:adjustRightInd w:val="0"/>
              <w:spacing w:before="40" w:after="40"/>
              <w:jc w:val="center"/>
              <w:rPr>
                <w:sz w:val="16"/>
                <w:szCs w:val="16"/>
              </w:rPr>
            </w:pPr>
            <w:r w:rsidRPr="00445ECA">
              <w:rPr>
                <w:sz w:val="16"/>
                <w:szCs w:val="16"/>
              </w:rPr>
              <w:t>54%</w:t>
            </w:r>
          </w:p>
        </w:tc>
        <w:tc>
          <w:tcPr>
            <w:tcW w:w="856" w:type="pct"/>
            <w:vAlign w:val="center"/>
          </w:tcPr>
          <w:p w:rsidR="00F96634" w:rsidRPr="00445ECA" w:rsidRDefault="00F96634" w:rsidP="008E0018">
            <w:pPr>
              <w:keepNext/>
              <w:autoSpaceDE w:val="0"/>
              <w:autoSpaceDN w:val="0"/>
              <w:adjustRightInd w:val="0"/>
              <w:spacing w:before="40" w:after="40"/>
              <w:jc w:val="center"/>
              <w:rPr>
                <w:sz w:val="16"/>
                <w:szCs w:val="16"/>
              </w:rPr>
            </w:pPr>
            <w:r w:rsidRPr="00445ECA">
              <w:rPr>
                <w:sz w:val="16"/>
                <w:szCs w:val="16"/>
              </w:rPr>
              <w:t>100%</w:t>
            </w:r>
          </w:p>
        </w:tc>
      </w:tr>
      <w:tr w:rsidR="00F96634" w:rsidRPr="00080105" w:rsidTr="00F96634">
        <w:trPr>
          <w:trHeight w:val="369"/>
        </w:trPr>
        <w:tc>
          <w:tcPr>
            <w:tcW w:w="1575" w:type="pct"/>
            <w:vAlign w:val="center"/>
          </w:tcPr>
          <w:p w:rsidR="00F96634" w:rsidRPr="00080105" w:rsidRDefault="00F96634" w:rsidP="008E0018">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منح ا</w:t>
            </w:r>
            <w:r>
              <w:rPr>
                <w:rFonts w:ascii="Arabic Typesetting" w:hAnsi="Arabic Typesetting" w:cs="Arabic Typesetting"/>
                <w:color w:val="000000"/>
                <w:sz w:val="28"/>
                <w:szCs w:val="28"/>
                <w:rtl/>
                <w:lang w:bidi="ar-EG"/>
              </w:rPr>
              <w:t>لعقد للمهندس بشأن مبنى البراءات</w:t>
            </w:r>
          </w:p>
        </w:tc>
        <w:tc>
          <w:tcPr>
            <w:tcW w:w="856" w:type="pct"/>
            <w:vAlign w:val="center"/>
          </w:tcPr>
          <w:p w:rsidR="00F96634" w:rsidRPr="00E32074" w:rsidRDefault="00F96634" w:rsidP="008E0018">
            <w:pPr>
              <w:keepNext/>
              <w:autoSpaceDE w:val="0"/>
              <w:autoSpaceDN w:val="0"/>
              <w:adjustRightInd w:val="0"/>
              <w:spacing w:before="40" w:after="40"/>
              <w:jc w:val="center"/>
              <w:rPr>
                <w:sz w:val="16"/>
                <w:szCs w:val="16"/>
              </w:rPr>
            </w:pPr>
            <w:r w:rsidRPr="00E32074">
              <w:rPr>
                <w:sz w:val="16"/>
                <w:szCs w:val="16"/>
              </w:rPr>
              <w:t>83</w:t>
            </w:r>
            <w:r>
              <w:rPr>
                <w:sz w:val="16"/>
                <w:szCs w:val="16"/>
              </w:rPr>
              <w:t>,00</w:t>
            </w:r>
            <w:r w:rsidRPr="00E32074">
              <w:rPr>
                <w:sz w:val="16"/>
                <w:szCs w:val="16"/>
              </w:rPr>
              <w:t>0</w:t>
            </w:r>
          </w:p>
        </w:tc>
        <w:tc>
          <w:tcPr>
            <w:tcW w:w="856" w:type="pct"/>
            <w:vAlign w:val="center"/>
          </w:tcPr>
          <w:p w:rsidR="00F96634" w:rsidRPr="008A011F" w:rsidRDefault="00F96634" w:rsidP="008E0018">
            <w:pPr>
              <w:keepNext/>
              <w:autoSpaceDE w:val="0"/>
              <w:autoSpaceDN w:val="0"/>
              <w:adjustRightInd w:val="0"/>
              <w:spacing w:before="40" w:after="40"/>
              <w:jc w:val="center"/>
              <w:rPr>
                <w:sz w:val="16"/>
                <w:szCs w:val="16"/>
              </w:rPr>
            </w:pPr>
            <w:r w:rsidRPr="008A011F">
              <w:rPr>
                <w:sz w:val="16"/>
                <w:szCs w:val="16"/>
              </w:rPr>
              <w:t>43,440</w:t>
            </w:r>
          </w:p>
        </w:tc>
        <w:tc>
          <w:tcPr>
            <w:tcW w:w="856" w:type="pct"/>
            <w:vAlign w:val="center"/>
          </w:tcPr>
          <w:p w:rsidR="00F96634" w:rsidRPr="008A011F" w:rsidRDefault="00F96634" w:rsidP="008E0018">
            <w:pPr>
              <w:keepNext/>
              <w:autoSpaceDE w:val="0"/>
              <w:autoSpaceDN w:val="0"/>
              <w:adjustRightInd w:val="0"/>
              <w:spacing w:before="40" w:after="40"/>
              <w:jc w:val="center"/>
              <w:rPr>
                <w:sz w:val="16"/>
                <w:szCs w:val="16"/>
              </w:rPr>
            </w:pPr>
            <w:r w:rsidRPr="008A011F">
              <w:rPr>
                <w:sz w:val="16"/>
                <w:szCs w:val="16"/>
              </w:rPr>
              <w:t>52.3%</w:t>
            </w:r>
          </w:p>
        </w:tc>
        <w:tc>
          <w:tcPr>
            <w:tcW w:w="856" w:type="pct"/>
            <w:vAlign w:val="center"/>
          </w:tcPr>
          <w:p w:rsidR="00F96634" w:rsidRPr="008A011F" w:rsidRDefault="00F96634" w:rsidP="008E0018">
            <w:pPr>
              <w:keepNext/>
              <w:autoSpaceDE w:val="0"/>
              <w:autoSpaceDN w:val="0"/>
              <w:adjustRightInd w:val="0"/>
              <w:spacing w:before="40" w:after="40"/>
              <w:jc w:val="center"/>
              <w:rPr>
                <w:sz w:val="16"/>
                <w:szCs w:val="16"/>
              </w:rPr>
            </w:pPr>
            <w:r w:rsidRPr="008A011F">
              <w:rPr>
                <w:sz w:val="16"/>
                <w:szCs w:val="16"/>
              </w:rPr>
              <w:t>100%</w:t>
            </w:r>
          </w:p>
        </w:tc>
      </w:tr>
      <w:tr w:rsidR="00F96634" w:rsidRPr="00080105" w:rsidTr="00F96634">
        <w:trPr>
          <w:trHeight w:val="369"/>
        </w:trPr>
        <w:tc>
          <w:tcPr>
            <w:tcW w:w="1575" w:type="pct"/>
            <w:vAlign w:val="center"/>
          </w:tcPr>
          <w:p w:rsidR="00F96634" w:rsidRPr="00080105" w:rsidRDefault="00F96634" w:rsidP="00F96634">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تكليف أعمال مرافق مياه بحيرة جنيف في مبنى </w:t>
            </w:r>
            <w:proofErr w:type="spellStart"/>
            <w:r w:rsidRPr="00080105">
              <w:rPr>
                <w:rFonts w:ascii="Arabic Typesetting" w:hAnsi="Arabic Typesetting" w:cs="Arabic Typesetting"/>
                <w:color w:val="000000"/>
                <w:sz w:val="28"/>
                <w:szCs w:val="28"/>
                <w:rtl/>
                <w:lang w:bidi="ar-EG"/>
              </w:rPr>
              <w:t>أرباد</w:t>
            </w:r>
            <w:proofErr w:type="spellEnd"/>
            <w:r w:rsidRPr="00080105">
              <w:rPr>
                <w:rFonts w:ascii="Arabic Typesetting" w:hAnsi="Arabic Typesetting" w:cs="Arabic Typesetting"/>
                <w:color w:val="000000"/>
                <w:sz w:val="28"/>
                <w:szCs w:val="28"/>
                <w:rtl/>
                <w:lang w:bidi="ar-EG"/>
              </w:rPr>
              <w:t xml:space="preserve"> </w:t>
            </w:r>
            <w:proofErr w:type="spellStart"/>
            <w:r w:rsidRPr="00080105">
              <w:rPr>
                <w:rFonts w:ascii="Arabic Typesetting" w:hAnsi="Arabic Typesetting" w:cs="Arabic Typesetting"/>
                <w:color w:val="000000"/>
                <w:sz w:val="28"/>
                <w:szCs w:val="28"/>
                <w:rtl/>
                <w:lang w:bidi="ar-EG"/>
              </w:rPr>
              <w:t>بوكش</w:t>
            </w:r>
            <w:proofErr w:type="spellEnd"/>
          </w:p>
        </w:tc>
        <w:tc>
          <w:tcPr>
            <w:tcW w:w="856" w:type="pct"/>
            <w:vAlign w:val="center"/>
          </w:tcPr>
          <w:p w:rsidR="00F96634" w:rsidRPr="00E32074" w:rsidRDefault="00F96634" w:rsidP="00F96634">
            <w:pPr>
              <w:autoSpaceDE w:val="0"/>
              <w:autoSpaceDN w:val="0"/>
              <w:adjustRightInd w:val="0"/>
              <w:spacing w:before="40" w:after="40"/>
              <w:jc w:val="center"/>
              <w:rPr>
                <w:sz w:val="16"/>
                <w:szCs w:val="16"/>
              </w:rPr>
            </w:pPr>
            <w:r w:rsidRPr="00E32074">
              <w:rPr>
                <w:sz w:val="16"/>
                <w:szCs w:val="16"/>
              </w:rPr>
              <w:t>170</w:t>
            </w:r>
            <w:r>
              <w:rPr>
                <w:sz w:val="16"/>
                <w:szCs w:val="16"/>
              </w:rPr>
              <w:t>,00</w:t>
            </w:r>
            <w:r w:rsidRPr="00E32074">
              <w:rPr>
                <w:sz w:val="16"/>
                <w:szCs w:val="16"/>
              </w:rPr>
              <w:t>0</w:t>
            </w:r>
          </w:p>
        </w:tc>
        <w:tc>
          <w:tcPr>
            <w:tcW w:w="856" w:type="pct"/>
            <w:vAlign w:val="center"/>
          </w:tcPr>
          <w:p w:rsidR="00F96634" w:rsidRPr="008A011F" w:rsidRDefault="00F96634" w:rsidP="00F96634">
            <w:pPr>
              <w:autoSpaceDE w:val="0"/>
              <w:autoSpaceDN w:val="0"/>
              <w:adjustRightInd w:val="0"/>
              <w:spacing w:before="40" w:after="40"/>
              <w:jc w:val="center"/>
              <w:rPr>
                <w:sz w:val="16"/>
                <w:szCs w:val="16"/>
              </w:rPr>
            </w:pPr>
            <w:r w:rsidRPr="008A011F">
              <w:rPr>
                <w:sz w:val="16"/>
                <w:szCs w:val="16"/>
              </w:rPr>
              <w:t>61,791</w:t>
            </w:r>
          </w:p>
        </w:tc>
        <w:tc>
          <w:tcPr>
            <w:tcW w:w="856" w:type="pct"/>
            <w:vAlign w:val="center"/>
          </w:tcPr>
          <w:p w:rsidR="00F96634" w:rsidRPr="008A011F" w:rsidRDefault="00F96634" w:rsidP="00F96634">
            <w:pPr>
              <w:autoSpaceDE w:val="0"/>
              <w:autoSpaceDN w:val="0"/>
              <w:adjustRightInd w:val="0"/>
              <w:spacing w:before="40" w:after="40"/>
              <w:jc w:val="center"/>
              <w:rPr>
                <w:sz w:val="16"/>
                <w:szCs w:val="16"/>
              </w:rPr>
            </w:pPr>
            <w:r w:rsidRPr="008A011F">
              <w:rPr>
                <w:sz w:val="16"/>
                <w:szCs w:val="16"/>
              </w:rPr>
              <w:t>36.3%</w:t>
            </w:r>
          </w:p>
        </w:tc>
        <w:tc>
          <w:tcPr>
            <w:tcW w:w="856" w:type="pct"/>
            <w:vAlign w:val="center"/>
          </w:tcPr>
          <w:p w:rsidR="00F96634" w:rsidRPr="008A011F" w:rsidRDefault="00F96634" w:rsidP="00F96634">
            <w:pPr>
              <w:autoSpaceDE w:val="0"/>
              <w:autoSpaceDN w:val="0"/>
              <w:adjustRightInd w:val="0"/>
              <w:spacing w:before="40" w:after="40"/>
              <w:jc w:val="center"/>
              <w:rPr>
                <w:sz w:val="16"/>
                <w:szCs w:val="16"/>
              </w:rPr>
            </w:pPr>
            <w:r w:rsidRPr="008A011F">
              <w:rPr>
                <w:sz w:val="16"/>
                <w:szCs w:val="16"/>
              </w:rPr>
              <w:t>100%</w:t>
            </w:r>
          </w:p>
        </w:tc>
      </w:tr>
      <w:tr w:rsidR="00F96634" w:rsidRPr="00080105" w:rsidTr="00F96634">
        <w:trPr>
          <w:trHeight w:val="369"/>
        </w:trPr>
        <w:tc>
          <w:tcPr>
            <w:tcW w:w="1575" w:type="pct"/>
            <w:vAlign w:val="center"/>
          </w:tcPr>
          <w:p w:rsidR="00F96634" w:rsidRPr="00080105" w:rsidRDefault="00F96634" w:rsidP="00F96634">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تكليف أعمال مرافق نظام التبريد بمياه بحيرة جنيف في مبنى </w:t>
            </w:r>
            <w:proofErr w:type="spellStart"/>
            <w:r w:rsidRPr="00080105">
              <w:rPr>
                <w:rFonts w:ascii="Arabic Typesetting" w:hAnsi="Arabic Typesetting" w:cs="Arabic Typesetting"/>
                <w:color w:val="000000"/>
                <w:sz w:val="28"/>
                <w:szCs w:val="28"/>
                <w:rtl/>
                <w:lang w:bidi="ar-EG"/>
              </w:rPr>
              <w:t>أرباد</w:t>
            </w:r>
            <w:proofErr w:type="spellEnd"/>
            <w:r w:rsidRPr="00080105">
              <w:rPr>
                <w:rFonts w:ascii="Arabic Typesetting" w:hAnsi="Arabic Typesetting" w:cs="Arabic Typesetting"/>
                <w:color w:val="000000"/>
                <w:sz w:val="28"/>
                <w:szCs w:val="28"/>
                <w:rtl/>
                <w:lang w:bidi="ar-EG"/>
              </w:rPr>
              <w:t xml:space="preserve"> </w:t>
            </w:r>
            <w:proofErr w:type="spellStart"/>
            <w:r w:rsidRPr="00080105">
              <w:rPr>
                <w:rFonts w:ascii="Arabic Typesetting" w:hAnsi="Arabic Typesetting" w:cs="Arabic Typesetting"/>
                <w:color w:val="000000"/>
                <w:sz w:val="28"/>
                <w:szCs w:val="28"/>
                <w:rtl/>
                <w:lang w:bidi="ar-EG"/>
              </w:rPr>
              <w:t>بوكش</w:t>
            </w:r>
            <w:proofErr w:type="spellEnd"/>
          </w:p>
        </w:tc>
        <w:tc>
          <w:tcPr>
            <w:tcW w:w="856" w:type="pct"/>
            <w:vAlign w:val="center"/>
          </w:tcPr>
          <w:p w:rsidR="00F96634" w:rsidRPr="00E32074" w:rsidRDefault="00F96634" w:rsidP="00F96634">
            <w:pPr>
              <w:autoSpaceDE w:val="0"/>
              <w:autoSpaceDN w:val="0"/>
              <w:adjustRightInd w:val="0"/>
              <w:spacing w:before="40" w:after="40"/>
              <w:jc w:val="center"/>
              <w:rPr>
                <w:sz w:val="16"/>
                <w:szCs w:val="16"/>
              </w:rPr>
            </w:pPr>
            <w:r w:rsidRPr="00E32074">
              <w:rPr>
                <w:sz w:val="16"/>
                <w:szCs w:val="16"/>
              </w:rPr>
              <w:t>46</w:t>
            </w:r>
            <w:r>
              <w:rPr>
                <w:sz w:val="16"/>
                <w:szCs w:val="16"/>
              </w:rPr>
              <w:t>7,00</w:t>
            </w:r>
            <w:r w:rsidRPr="00E32074">
              <w:rPr>
                <w:sz w:val="16"/>
                <w:szCs w:val="16"/>
              </w:rPr>
              <w:t>0</w:t>
            </w:r>
          </w:p>
        </w:tc>
        <w:tc>
          <w:tcPr>
            <w:tcW w:w="856" w:type="pct"/>
            <w:vAlign w:val="center"/>
          </w:tcPr>
          <w:p w:rsidR="00F96634" w:rsidRPr="008A011F" w:rsidRDefault="00F96634" w:rsidP="00F96634">
            <w:pPr>
              <w:autoSpaceDE w:val="0"/>
              <w:autoSpaceDN w:val="0"/>
              <w:adjustRightInd w:val="0"/>
              <w:spacing w:before="40" w:after="40"/>
              <w:jc w:val="center"/>
              <w:rPr>
                <w:sz w:val="16"/>
                <w:szCs w:val="16"/>
              </w:rPr>
            </w:pPr>
            <w:r w:rsidRPr="008A011F">
              <w:rPr>
                <w:sz w:val="16"/>
                <w:szCs w:val="16"/>
              </w:rPr>
              <w:t>141,296</w:t>
            </w:r>
          </w:p>
        </w:tc>
        <w:tc>
          <w:tcPr>
            <w:tcW w:w="856" w:type="pct"/>
            <w:vAlign w:val="center"/>
          </w:tcPr>
          <w:p w:rsidR="00F96634" w:rsidRPr="008A011F" w:rsidRDefault="00F96634" w:rsidP="00F96634">
            <w:pPr>
              <w:autoSpaceDE w:val="0"/>
              <w:autoSpaceDN w:val="0"/>
              <w:adjustRightInd w:val="0"/>
              <w:spacing w:before="40" w:after="40"/>
              <w:jc w:val="center"/>
              <w:rPr>
                <w:sz w:val="16"/>
                <w:szCs w:val="16"/>
              </w:rPr>
            </w:pPr>
            <w:r w:rsidRPr="008A011F">
              <w:rPr>
                <w:sz w:val="16"/>
                <w:szCs w:val="16"/>
              </w:rPr>
              <w:t>30.3%</w:t>
            </w:r>
          </w:p>
        </w:tc>
        <w:tc>
          <w:tcPr>
            <w:tcW w:w="856" w:type="pct"/>
            <w:vAlign w:val="center"/>
          </w:tcPr>
          <w:p w:rsidR="00F96634" w:rsidRPr="008A011F" w:rsidRDefault="00F96634" w:rsidP="00F96634">
            <w:pPr>
              <w:autoSpaceDE w:val="0"/>
              <w:autoSpaceDN w:val="0"/>
              <w:adjustRightInd w:val="0"/>
              <w:spacing w:before="40" w:after="40"/>
              <w:jc w:val="center"/>
              <w:rPr>
                <w:sz w:val="16"/>
                <w:szCs w:val="16"/>
              </w:rPr>
            </w:pPr>
            <w:r w:rsidRPr="008A011F">
              <w:rPr>
                <w:sz w:val="16"/>
                <w:szCs w:val="16"/>
              </w:rPr>
              <w:t>90%</w:t>
            </w:r>
          </w:p>
        </w:tc>
      </w:tr>
      <w:tr w:rsidR="00F96634" w:rsidRPr="00080105" w:rsidTr="00F96634">
        <w:trPr>
          <w:trHeight w:val="369"/>
        </w:trPr>
        <w:tc>
          <w:tcPr>
            <w:tcW w:w="1575"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المجموع</w:t>
            </w:r>
          </w:p>
        </w:tc>
        <w:tc>
          <w:tcPr>
            <w:tcW w:w="856" w:type="pct"/>
            <w:shd w:val="clear" w:color="auto" w:fill="C6D9F1"/>
            <w:vAlign w:val="center"/>
          </w:tcPr>
          <w:p w:rsidR="00F96634" w:rsidRPr="008A011F" w:rsidRDefault="00F96634" w:rsidP="00F96634">
            <w:pPr>
              <w:autoSpaceDE w:val="0"/>
              <w:autoSpaceDN w:val="0"/>
              <w:adjustRightInd w:val="0"/>
              <w:spacing w:before="40" w:after="40"/>
              <w:jc w:val="center"/>
              <w:rPr>
                <w:b/>
                <w:sz w:val="16"/>
                <w:szCs w:val="16"/>
              </w:rPr>
            </w:pPr>
            <w:r w:rsidRPr="008A011F">
              <w:rPr>
                <w:b/>
                <w:sz w:val="16"/>
                <w:szCs w:val="16"/>
              </w:rPr>
              <w:t>750,000</w:t>
            </w:r>
          </w:p>
        </w:tc>
        <w:tc>
          <w:tcPr>
            <w:tcW w:w="856" w:type="pct"/>
            <w:shd w:val="clear" w:color="auto" w:fill="C6D9F1"/>
            <w:vAlign w:val="center"/>
          </w:tcPr>
          <w:p w:rsidR="00F96634" w:rsidRPr="008A011F" w:rsidRDefault="00F96634" w:rsidP="00F96634">
            <w:pPr>
              <w:autoSpaceDE w:val="0"/>
              <w:autoSpaceDN w:val="0"/>
              <w:adjustRightInd w:val="0"/>
              <w:spacing w:before="40" w:after="40"/>
              <w:jc w:val="center"/>
              <w:rPr>
                <w:b/>
                <w:sz w:val="16"/>
                <w:szCs w:val="16"/>
              </w:rPr>
            </w:pPr>
            <w:r w:rsidRPr="008A011F">
              <w:rPr>
                <w:b/>
                <w:sz w:val="16"/>
                <w:szCs w:val="16"/>
              </w:rPr>
              <w:t>262,727</w:t>
            </w:r>
          </w:p>
        </w:tc>
        <w:tc>
          <w:tcPr>
            <w:tcW w:w="856" w:type="pct"/>
            <w:shd w:val="clear" w:color="auto" w:fill="C6D9F1"/>
          </w:tcPr>
          <w:p w:rsidR="00F96634" w:rsidRPr="008A011F" w:rsidRDefault="00F96634" w:rsidP="00F96634">
            <w:pPr>
              <w:autoSpaceDE w:val="0"/>
              <w:autoSpaceDN w:val="0"/>
              <w:adjustRightInd w:val="0"/>
              <w:spacing w:before="40" w:after="40"/>
              <w:jc w:val="center"/>
              <w:rPr>
                <w:b/>
                <w:sz w:val="16"/>
                <w:szCs w:val="16"/>
              </w:rPr>
            </w:pPr>
          </w:p>
        </w:tc>
        <w:tc>
          <w:tcPr>
            <w:tcW w:w="856" w:type="pct"/>
            <w:shd w:val="clear" w:color="auto" w:fill="C6D9F1"/>
          </w:tcPr>
          <w:p w:rsidR="00F96634" w:rsidRPr="008A011F" w:rsidRDefault="00F96634" w:rsidP="00F96634">
            <w:pPr>
              <w:autoSpaceDE w:val="0"/>
              <w:autoSpaceDN w:val="0"/>
              <w:adjustRightInd w:val="0"/>
              <w:spacing w:before="40" w:after="40"/>
              <w:jc w:val="center"/>
              <w:rPr>
                <w:b/>
                <w:sz w:val="16"/>
                <w:szCs w:val="16"/>
              </w:rPr>
            </w:pPr>
          </w:p>
        </w:tc>
      </w:tr>
    </w:tbl>
    <w:p w:rsidR="00F96634" w:rsidRPr="00080105" w:rsidRDefault="00F96634" w:rsidP="00F96634">
      <w:pPr>
        <w:tabs>
          <w:tab w:val="left" w:pos="3261"/>
        </w:tabs>
        <w:autoSpaceDE w:val="0"/>
        <w:autoSpaceDN w:val="0"/>
        <w:bidi/>
        <w:adjustRightInd w:val="0"/>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t>استخدام ميزانية المشروع (حسب فئة التكلفة)</w:t>
      </w:r>
    </w:p>
    <w:p w:rsidR="00F96634" w:rsidRPr="00080105" w:rsidRDefault="00F96634" w:rsidP="00F96634">
      <w:pPr>
        <w:tabs>
          <w:tab w:val="left" w:pos="3261"/>
        </w:tabs>
        <w:autoSpaceDE w:val="0"/>
        <w:autoSpaceDN w:val="0"/>
        <w:bidi/>
        <w:adjustRightInd w:val="0"/>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bidiVisual/>
        <w:tblW w:w="4581" w:type="pct"/>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1"/>
        <w:gridCol w:w="1840"/>
        <w:gridCol w:w="1840"/>
        <w:gridCol w:w="1838"/>
      </w:tblGrid>
      <w:tr w:rsidR="00F96634" w:rsidRPr="00080105" w:rsidTr="00F96634">
        <w:trPr>
          <w:trHeight w:val="569"/>
          <w:jc w:val="center"/>
        </w:trPr>
        <w:tc>
          <w:tcPr>
            <w:tcW w:w="1854"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فئة التكلفة</w:t>
            </w:r>
          </w:p>
        </w:tc>
        <w:tc>
          <w:tcPr>
            <w:tcW w:w="1049"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1049"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r w:rsidRPr="00080105">
              <w:rPr>
                <w:rFonts w:ascii="Arabic Typesetting" w:hAnsi="Arabic Typesetting" w:cs="Arabic Typesetting"/>
                <w:b/>
                <w:sz w:val="28"/>
                <w:szCs w:val="28"/>
              </w:rPr>
              <w:t xml:space="preserve"> </w:t>
            </w:r>
          </w:p>
        </w:tc>
        <w:tc>
          <w:tcPr>
            <w:tcW w:w="1048"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r>
      <w:tr w:rsidR="00F96634" w:rsidRPr="00080105" w:rsidTr="00F96634">
        <w:trPr>
          <w:jc w:val="center"/>
        </w:trPr>
        <w:tc>
          <w:tcPr>
            <w:tcW w:w="1854" w:type="pct"/>
            <w:vAlign w:val="center"/>
          </w:tcPr>
          <w:p w:rsidR="00F96634" w:rsidRPr="00080105" w:rsidRDefault="00F96634"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التكاليف المتعلقة بالبناء</w:t>
            </w:r>
          </w:p>
        </w:tc>
        <w:tc>
          <w:tcPr>
            <w:tcW w:w="1049" w:type="pct"/>
            <w:vAlign w:val="center"/>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585,000</w:t>
            </w:r>
          </w:p>
        </w:tc>
        <w:tc>
          <w:tcPr>
            <w:tcW w:w="1049" w:type="pct"/>
            <w:vAlign w:val="center"/>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203,087</w:t>
            </w:r>
          </w:p>
        </w:tc>
        <w:tc>
          <w:tcPr>
            <w:tcW w:w="1048" w:type="pct"/>
            <w:vAlign w:val="center"/>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34.7%</w:t>
            </w:r>
          </w:p>
        </w:tc>
      </w:tr>
      <w:tr w:rsidR="00F96634" w:rsidRPr="00080105" w:rsidTr="00F96634">
        <w:trPr>
          <w:jc w:val="center"/>
        </w:trPr>
        <w:tc>
          <w:tcPr>
            <w:tcW w:w="1854" w:type="pct"/>
            <w:vAlign w:val="center"/>
          </w:tcPr>
          <w:p w:rsidR="00F96634" w:rsidRPr="00080105" w:rsidRDefault="00F96634"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الأتعاب</w:t>
            </w:r>
          </w:p>
        </w:tc>
        <w:tc>
          <w:tcPr>
            <w:tcW w:w="1049" w:type="pct"/>
            <w:vAlign w:val="center"/>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113,000</w:t>
            </w:r>
          </w:p>
        </w:tc>
        <w:tc>
          <w:tcPr>
            <w:tcW w:w="1049" w:type="pct"/>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59,640</w:t>
            </w:r>
          </w:p>
        </w:tc>
        <w:tc>
          <w:tcPr>
            <w:tcW w:w="1048" w:type="pct"/>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52.8%</w:t>
            </w:r>
          </w:p>
        </w:tc>
      </w:tr>
      <w:tr w:rsidR="00F96634" w:rsidRPr="00080105" w:rsidTr="00F96634">
        <w:trPr>
          <w:jc w:val="center"/>
        </w:trPr>
        <w:tc>
          <w:tcPr>
            <w:tcW w:w="1854" w:type="pct"/>
            <w:vAlign w:val="center"/>
          </w:tcPr>
          <w:p w:rsidR="00F96634" w:rsidRPr="00080105" w:rsidRDefault="00F96634"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الأمور النثرية وغير المتوقعة</w:t>
            </w:r>
          </w:p>
        </w:tc>
        <w:tc>
          <w:tcPr>
            <w:tcW w:w="1049" w:type="pct"/>
            <w:vAlign w:val="center"/>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52,000</w:t>
            </w:r>
          </w:p>
        </w:tc>
        <w:tc>
          <w:tcPr>
            <w:tcW w:w="1049" w:type="pct"/>
            <w:vAlign w:val="center"/>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0</w:t>
            </w:r>
          </w:p>
        </w:tc>
        <w:tc>
          <w:tcPr>
            <w:tcW w:w="1048" w:type="pct"/>
            <w:vAlign w:val="center"/>
          </w:tcPr>
          <w:p w:rsidR="00F96634" w:rsidRPr="008A011F" w:rsidRDefault="00F96634" w:rsidP="00F96634">
            <w:pPr>
              <w:autoSpaceDE w:val="0"/>
              <w:autoSpaceDN w:val="0"/>
              <w:adjustRightInd w:val="0"/>
              <w:spacing w:before="40" w:after="40" w:line="260" w:lineRule="exact"/>
              <w:jc w:val="center"/>
              <w:rPr>
                <w:sz w:val="16"/>
                <w:szCs w:val="16"/>
              </w:rPr>
            </w:pPr>
            <w:r w:rsidRPr="008A011F">
              <w:rPr>
                <w:sz w:val="16"/>
                <w:szCs w:val="16"/>
              </w:rPr>
              <w:t>0%</w:t>
            </w:r>
          </w:p>
        </w:tc>
      </w:tr>
      <w:tr w:rsidR="00F96634" w:rsidRPr="00080105" w:rsidTr="00F96634">
        <w:trPr>
          <w:jc w:val="center"/>
        </w:trPr>
        <w:tc>
          <w:tcPr>
            <w:tcW w:w="1854" w:type="pct"/>
            <w:shd w:val="clear" w:color="auto" w:fill="C6D9F1"/>
            <w:vAlign w:val="center"/>
          </w:tcPr>
          <w:p w:rsidR="00F96634" w:rsidRPr="00080105" w:rsidRDefault="00F96634"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المجموع</w:t>
            </w:r>
          </w:p>
        </w:tc>
        <w:tc>
          <w:tcPr>
            <w:tcW w:w="1049" w:type="pct"/>
            <w:shd w:val="clear" w:color="auto" w:fill="C6D9F1"/>
            <w:vAlign w:val="center"/>
          </w:tcPr>
          <w:p w:rsidR="00F96634" w:rsidRPr="008A011F" w:rsidRDefault="00F96634" w:rsidP="00F96634">
            <w:pPr>
              <w:autoSpaceDE w:val="0"/>
              <w:autoSpaceDN w:val="0"/>
              <w:adjustRightInd w:val="0"/>
              <w:spacing w:before="40" w:after="40" w:line="260" w:lineRule="exact"/>
              <w:jc w:val="center"/>
              <w:rPr>
                <w:b/>
                <w:sz w:val="16"/>
                <w:szCs w:val="16"/>
              </w:rPr>
            </w:pPr>
            <w:r w:rsidRPr="008A011F">
              <w:rPr>
                <w:b/>
                <w:sz w:val="16"/>
                <w:szCs w:val="16"/>
              </w:rPr>
              <w:t>750,000</w:t>
            </w:r>
          </w:p>
        </w:tc>
        <w:tc>
          <w:tcPr>
            <w:tcW w:w="1049" w:type="pct"/>
            <w:shd w:val="clear" w:color="auto" w:fill="C6D9F1"/>
          </w:tcPr>
          <w:p w:rsidR="00F96634" w:rsidRPr="008A011F" w:rsidRDefault="00F96634" w:rsidP="00F96634">
            <w:pPr>
              <w:autoSpaceDE w:val="0"/>
              <w:autoSpaceDN w:val="0"/>
              <w:adjustRightInd w:val="0"/>
              <w:spacing w:before="40" w:after="40" w:line="260" w:lineRule="exact"/>
              <w:jc w:val="center"/>
              <w:rPr>
                <w:b/>
                <w:sz w:val="16"/>
                <w:szCs w:val="16"/>
              </w:rPr>
            </w:pPr>
            <w:r w:rsidRPr="008A011F">
              <w:rPr>
                <w:b/>
                <w:sz w:val="16"/>
                <w:szCs w:val="16"/>
              </w:rPr>
              <w:t>262,727</w:t>
            </w:r>
          </w:p>
        </w:tc>
        <w:tc>
          <w:tcPr>
            <w:tcW w:w="1048" w:type="pct"/>
            <w:shd w:val="clear" w:color="auto" w:fill="C6D9F1"/>
          </w:tcPr>
          <w:p w:rsidR="00F96634" w:rsidRPr="008A011F" w:rsidRDefault="00F96634" w:rsidP="00F96634">
            <w:pPr>
              <w:autoSpaceDE w:val="0"/>
              <w:autoSpaceDN w:val="0"/>
              <w:adjustRightInd w:val="0"/>
              <w:spacing w:before="40" w:after="40" w:line="260" w:lineRule="exact"/>
              <w:jc w:val="center"/>
              <w:rPr>
                <w:b/>
                <w:sz w:val="16"/>
                <w:szCs w:val="16"/>
              </w:rPr>
            </w:pPr>
          </w:p>
        </w:tc>
      </w:tr>
    </w:tbl>
    <w:p w:rsidR="00F96634" w:rsidRPr="00080105" w:rsidRDefault="00F96634" w:rsidP="00F96634">
      <w:pPr>
        <w:keepNext/>
        <w:bidi/>
        <w:spacing w:before="120" w:after="120"/>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t>المخاطر واستراتيجيات التخفيف من آثارها</w:t>
      </w:r>
    </w:p>
    <w:tbl>
      <w:tblPr>
        <w:bidiVisual/>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1"/>
        <w:gridCol w:w="3072"/>
        <w:gridCol w:w="3070"/>
      </w:tblGrid>
      <w:tr w:rsidR="00F96634" w:rsidRPr="00080105" w:rsidTr="00F96634">
        <w:trPr>
          <w:trHeight w:val="308"/>
          <w:tblHeader/>
          <w:jc w:val="center"/>
        </w:trPr>
        <w:tc>
          <w:tcPr>
            <w:tcW w:w="1667" w:type="pct"/>
            <w:shd w:val="clear" w:color="auto" w:fill="C6D9F1"/>
            <w:vAlign w:val="center"/>
          </w:tcPr>
          <w:p w:rsidR="00F96634" w:rsidRPr="00F96634" w:rsidRDefault="00F96634" w:rsidP="00F96634">
            <w:pPr>
              <w:autoSpaceDE w:val="0"/>
              <w:autoSpaceDN w:val="0"/>
              <w:bidi/>
              <w:adjustRightInd w:val="0"/>
              <w:spacing w:before="40" w:after="40" w:line="260" w:lineRule="exact"/>
              <w:ind w:left="-74" w:right="-60"/>
              <w:jc w:val="center"/>
              <w:rPr>
                <w:rFonts w:ascii="Arabic Typesetting" w:hAnsi="Arabic Typesetting" w:cs="Arabic Typesetting"/>
                <w:bCs/>
                <w:sz w:val="28"/>
                <w:szCs w:val="28"/>
                <w:rtl/>
                <w:lang w:bidi="ar-EG"/>
              </w:rPr>
            </w:pPr>
            <w:r w:rsidRPr="00F96634">
              <w:rPr>
                <w:rFonts w:ascii="Arabic Typesetting" w:hAnsi="Arabic Typesetting" w:cs="Arabic Typesetting"/>
                <w:bCs/>
                <w:sz w:val="28"/>
                <w:szCs w:val="28"/>
                <w:rtl/>
                <w:lang w:bidi="ar-EG"/>
              </w:rPr>
              <w:t>المخاطر</w:t>
            </w:r>
            <w:r w:rsidRPr="00F96634">
              <w:rPr>
                <w:rFonts w:ascii="Arabic Typesetting" w:hAnsi="Arabic Typesetting" w:cs="Arabic Typesetting" w:hint="cs"/>
                <w:bCs/>
                <w:sz w:val="28"/>
                <w:szCs w:val="28"/>
                <w:rtl/>
              </w:rPr>
              <w:t>/الوصف</w:t>
            </w:r>
          </w:p>
        </w:tc>
        <w:tc>
          <w:tcPr>
            <w:tcW w:w="1667" w:type="pct"/>
            <w:shd w:val="clear" w:color="auto" w:fill="C6D9F1"/>
            <w:vAlign w:val="center"/>
          </w:tcPr>
          <w:p w:rsidR="00F96634" w:rsidRPr="00080105" w:rsidRDefault="00F96634" w:rsidP="00F96634">
            <w:pPr>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Pr>
                <w:rFonts w:ascii="Arabic Typesetting" w:hAnsi="Arabic Typesetting" w:cs="Arabic Typesetting" w:hint="cs"/>
                <w:bCs/>
                <w:sz w:val="28"/>
                <w:szCs w:val="28"/>
                <w:rtl/>
                <w:lang w:bidi="ar-EG"/>
              </w:rPr>
              <w:t>استراتيجية التخفيف من آثار المخاطر</w:t>
            </w:r>
          </w:p>
        </w:tc>
        <w:tc>
          <w:tcPr>
            <w:tcW w:w="1666" w:type="pct"/>
            <w:shd w:val="clear" w:color="auto" w:fill="C6D9F1"/>
            <w:vAlign w:val="center"/>
          </w:tcPr>
          <w:p w:rsidR="00F96634" w:rsidRPr="00080105" w:rsidRDefault="00F96634" w:rsidP="00F96634">
            <w:pPr>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Pr>
                <w:rFonts w:ascii="Arabic Typesetting" w:hAnsi="Arabic Typesetting" w:cs="Arabic Typesetting" w:hint="cs"/>
                <w:bCs/>
                <w:sz w:val="28"/>
                <w:szCs w:val="28"/>
                <w:rtl/>
                <w:lang w:bidi="ar-EG"/>
              </w:rPr>
              <w:t>التعليقات</w:t>
            </w:r>
          </w:p>
        </w:tc>
      </w:tr>
      <w:tr w:rsidR="00F96634" w:rsidRPr="00080105" w:rsidTr="00F96634">
        <w:trPr>
          <w:trHeight w:val="776"/>
          <w:jc w:val="center"/>
        </w:trPr>
        <w:tc>
          <w:tcPr>
            <w:tcW w:w="1667" w:type="pct"/>
          </w:tcPr>
          <w:p w:rsidR="00F96634" w:rsidRPr="00080105" w:rsidRDefault="00E14A59" w:rsidP="00F96634">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color w:val="000000"/>
                <w:sz w:val="28"/>
                <w:szCs w:val="28"/>
                <w:rtl/>
                <w:lang w:bidi="ar-EG"/>
              </w:rPr>
              <w:t>العجز عن</w:t>
            </w:r>
            <w:r w:rsidR="00F96634" w:rsidRPr="00080105">
              <w:rPr>
                <w:rFonts w:ascii="Arabic Typesetting" w:hAnsi="Arabic Typesetting" w:cs="Arabic Typesetting"/>
                <w:color w:val="000000"/>
                <w:sz w:val="28"/>
                <w:szCs w:val="28"/>
                <w:rtl/>
                <w:lang w:bidi="ar-EG"/>
              </w:rPr>
              <w:t xml:space="preserve"> إتمام الأعمال قبل صيف 2015 في مبنى البراءات</w:t>
            </w:r>
            <w:r w:rsidR="00F96634">
              <w:rPr>
                <w:rFonts w:ascii="Arabic Typesetting" w:hAnsi="Arabic Typesetting" w:cs="Arabic Typesetting" w:hint="cs"/>
                <w:color w:val="000000"/>
                <w:sz w:val="28"/>
                <w:szCs w:val="28"/>
                <w:rtl/>
                <w:lang w:bidi="ar-EG"/>
              </w:rPr>
              <w:t xml:space="preserve"> بسب عدم وجود شركات متاحة وفق الجدول الزمني للويبو</w:t>
            </w:r>
          </w:p>
        </w:tc>
        <w:tc>
          <w:tcPr>
            <w:tcW w:w="1667" w:type="pct"/>
          </w:tcPr>
          <w:p w:rsidR="00F96634" w:rsidRPr="00080105" w:rsidRDefault="00F96634" w:rsidP="00F96634">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تأخر الأعمال حتى أكتوبر/نوفمبر 2015</w:t>
            </w:r>
          </w:p>
        </w:tc>
        <w:tc>
          <w:tcPr>
            <w:tcW w:w="1666" w:type="pct"/>
          </w:tcPr>
          <w:p w:rsidR="00F96634" w:rsidRPr="00080105" w:rsidRDefault="003212C1" w:rsidP="00F96634">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وقع</w:t>
            </w:r>
            <w:r w:rsidR="00F96634">
              <w:rPr>
                <w:rFonts w:ascii="Arabic Typesetting" w:hAnsi="Arabic Typesetting" w:cs="Arabic Typesetting" w:hint="cs"/>
                <w:sz w:val="28"/>
                <w:szCs w:val="28"/>
                <w:rtl/>
                <w:lang w:bidi="ar-EG"/>
              </w:rPr>
              <w:t xml:space="preserve"> هذا الخطر. وتأخر الجدول الزمني العام للمشروع.</w:t>
            </w:r>
          </w:p>
        </w:tc>
      </w:tr>
      <w:tr w:rsidR="00F96634" w:rsidRPr="00080105" w:rsidTr="00F96634">
        <w:trPr>
          <w:trHeight w:val="776"/>
          <w:jc w:val="center"/>
        </w:trPr>
        <w:tc>
          <w:tcPr>
            <w:tcW w:w="1667" w:type="pct"/>
          </w:tcPr>
          <w:p w:rsidR="00F96634" w:rsidRPr="00080105" w:rsidRDefault="00F96634" w:rsidP="00E14A59">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ظروف غير متوقعة في موقع البناء الخاص بمبنى البراءات</w:t>
            </w:r>
            <w:r>
              <w:rPr>
                <w:rFonts w:ascii="Arabic Typesetting" w:hAnsi="Arabic Typesetting" w:cs="Arabic Typesetting" w:hint="cs"/>
                <w:color w:val="000000"/>
                <w:sz w:val="28"/>
                <w:szCs w:val="28"/>
                <w:rtl/>
                <w:lang w:bidi="ar-EG"/>
              </w:rPr>
              <w:t xml:space="preserve"> مثل </w:t>
            </w:r>
            <w:r w:rsidRPr="00080105">
              <w:rPr>
                <w:rFonts w:ascii="Arabic Typesetting" w:hAnsi="Arabic Typesetting" w:cs="Arabic Typesetting"/>
                <w:color w:val="000000"/>
                <w:sz w:val="28"/>
                <w:szCs w:val="28"/>
                <w:rtl/>
                <w:lang w:bidi="ar-EG"/>
              </w:rPr>
              <w:t xml:space="preserve">تأخر </w:t>
            </w:r>
            <w:r w:rsidR="00E14A59" w:rsidRPr="00080105">
              <w:rPr>
                <w:rFonts w:ascii="Arabic Typesetting" w:hAnsi="Arabic Typesetting" w:cs="Arabic Typesetting"/>
                <w:color w:val="000000"/>
                <w:sz w:val="28"/>
                <w:szCs w:val="28"/>
                <w:rtl/>
                <w:lang w:bidi="ar-EG"/>
              </w:rPr>
              <w:t xml:space="preserve">شركة </w:t>
            </w:r>
            <w:r w:rsidR="00E14A59" w:rsidRPr="00080105">
              <w:rPr>
                <w:rFonts w:ascii="Arabic Typesetting" w:hAnsi="Arabic Typesetting" w:cs="Arabic Typesetting"/>
                <w:color w:val="000000"/>
                <w:sz w:val="28"/>
                <w:szCs w:val="28"/>
                <w:lang w:bidi="ar-EG"/>
              </w:rPr>
              <w:t>SIG</w:t>
            </w:r>
            <w:r w:rsidR="00E14A59" w:rsidRPr="00080105">
              <w:rPr>
                <w:rFonts w:ascii="Arabic Typesetting" w:hAnsi="Arabic Typesetting" w:cs="Arabic Typesetting"/>
                <w:color w:val="000000"/>
                <w:sz w:val="28"/>
                <w:szCs w:val="28"/>
                <w:rtl/>
                <w:lang w:bidi="ar-EG"/>
              </w:rPr>
              <w:t xml:space="preserve"> </w:t>
            </w:r>
            <w:r w:rsidR="00E14A59">
              <w:rPr>
                <w:rFonts w:ascii="Arabic Typesetting" w:hAnsi="Arabic Typesetting" w:cs="Arabic Typesetting" w:hint="cs"/>
                <w:color w:val="000000"/>
                <w:sz w:val="28"/>
                <w:szCs w:val="28"/>
                <w:rtl/>
                <w:lang w:bidi="ar-EG"/>
              </w:rPr>
              <w:t xml:space="preserve">في </w:t>
            </w:r>
            <w:r w:rsidRPr="00080105">
              <w:rPr>
                <w:rFonts w:ascii="Arabic Typesetting" w:hAnsi="Arabic Typesetting" w:cs="Arabic Typesetting"/>
                <w:color w:val="000000"/>
                <w:sz w:val="28"/>
                <w:szCs w:val="28"/>
                <w:rtl/>
                <w:lang w:bidi="ar-EG"/>
              </w:rPr>
              <w:t xml:space="preserve">أعمال تجهيزات المعدات الداخلية بمبنى البراءات و/أو نشوء </w:t>
            </w:r>
            <w:r w:rsidR="00E14A59">
              <w:rPr>
                <w:rFonts w:ascii="Arabic Typesetting" w:hAnsi="Arabic Typesetting" w:cs="Arabic Typesetting" w:hint="cs"/>
                <w:color w:val="000000"/>
                <w:sz w:val="28"/>
                <w:szCs w:val="28"/>
                <w:rtl/>
                <w:lang w:bidi="ar-EG"/>
              </w:rPr>
              <w:t>مشكلات</w:t>
            </w:r>
            <w:r w:rsidRPr="00080105">
              <w:rPr>
                <w:rFonts w:ascii="Arabic Typesetting" w:hAnsi="Arabic Typesetting" w:cs="Arabic Typesetting"/>
                <w:color w:val="000000"/>
                <w:sz w:val="28"/>
                <w:szCs w:val="28"/>
                <w:rtl/>
                <w:lang w:bidi="ar-EG"/>
              </w:rPr>
              <w:t xml:space="preserve"> تقنية أثناء تفكيك الأنابيب الحالية أو بسبب التفكيك</w:t>
            </w:r>
          </w:p>
        </w:tc>
        <w:tc>
          <w:tcPr>
            <w:tcW w:w="1667" w:type="pct"/>
          </w:tcPr>
          <w:p w:rsidR="00F96634" w:rsidRPr="00080105" w:rsidRDefault="00F96634" w:rsidP="00F96634">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إجراء أية إصلاحات وتحديث الجدول الزمني للأعمال حسب الحاجة بما في ذلك حتى 2016</w:t>
            </w:r>
          </w:p>
        </w:tc>
        <w:tc>
          <w:tcPr>
            <w:tcW w:w="1666" w:type="pct"/>
          </w:tcPr>
          <w:p w:rsidR="00F96634" w:rsidRPr="00080105" w:rsidRDefault="00F96634" w:rsidP="00F96634">
            <w:pPr>
              <w:autoSpaceDE w:val="0"/>
              <w:autoSpaceDN w:val="0"/>
              <w:bidi/>
              <w:adjustRightInd w:val="0"/>
              <w:spacing w:before="40" w:after="40"/>
              <w:rPr>
                <w:rFonts w:ascii="Arabic Typesetting" w:hAnsi="Arabic Typesetting" w:cs="Arabic Typesetting"/>
                <w:sz w:val="28"/>
                <w:szCs w:val="28"/>
                <w:rtl/>
                <w:lang w:bidi="ar-EG"/>
              </w:rPr>
            </w:pPr>
          </w:p>
        </w:tc>
      </w:tr>
      <w:tr w:rsidR="00F96634" w:rsidRPr="00080105" w:rsidTr="00F96634">
        <w:trPr>
          <w:trHeight w:val="776"/>
          <w:jc w:val="center"/>
        </w:trPr>
        <w:tc>
          <w:tcPr>
            <w:tcW w:w="1667" w:type="pct"/>
          </w:tcPr>
          <w:p w:rsidR="00F96634" w:rsidRPr="00080105" w:rsidRDefault="00F96634" w:rsidP="00F96634">
            <w:pPr>
              <w:autoSpaceDE w:val="0"/>
              <w:autoSpaceDN w:val="0"/>
              <w:bidi/>
              <w:adjustRightInd w:val="0"/>
              <w:spacing w:before="40" w:after="40"/>
              <w:rPr>
                <w:rFonts w:ascii="Arabic Typesetting" w:hAnsi="Arabic Typesetting" w:cs="Arabic Typesetting"/>
                <w:color w:val="000000"/>
                <w:sz w:val="28"/>
                <w:szCs w:val="28"/>
                <w:rtl/>
                <w:lang w:bidi="ar-EG"/>
              </w:rPr>
            </w:pPr>
            <w:r>
              <w:rPr>
                <w:rFonts w:ascii="Arabic Typesetting" w:hAnsi="Arabic Typesetting" w:cs="Arabic Typesetting" w:hint="cs"/>
                <w:color w:val="000000"/>
                <w:sz w:val="28"/>
                <w:szCs w:val="28"/>
                <w:rtl/>
                <w:lang w:bidi="ar-EG"/>
              </w:rPr>
              <w:t>ظروف غير متوقعة أثناء فترة ضمان التجهيزات مثل تعطل المعدات بسبب عيب فيها أو خطأ في التركيب</w:t>
            </w:r>
          </w:p>
        </w:tc>
        <w:tc>
          <w:tcPr>
            <w:tcW w:w="1667" w:type="pct"/>
          </w:tcPr>
          <w:p w:rsidR="00F96634" w:rsidRPr="00080105" w:rsidRDefault="00F96634" w:rsidP="00F96634">
            <w:pPr>
              <w:autoSpaceDE w:val="0"/>
              <w:autoSpaceDN w:val="0"/>
              <w:bidi/>
              <w:adjustRightInd w:val="0"/>
              <w:spacing w:before="40" w:after="40"/>
              <w:rPr>
                <w:rFonts w:ascii="Arabic Typesetting" w:hAnsi="Arabic Typesetting" w:cs="Arabic Typesetting"/>
                <w:color w:val="000000"/>
                <w:sz w:val="28"/>
                <w:szCs w:val="28"/>
                <w:rtl/>
                <w:lang w:bidi="ar-EG"/>
              </w:rPr>
            </w:pPr>
            <w:r w:rsidRPr="00080105">
              <w:rPr>
                <w:rFonts w:ascii="Arabic Typesetting" w:hAnsi="Arabic Typesetting" w:cs="Arabic Typesetting"/>
                <w:color w:val="000000"/>
                <w:sz w:val="28"/>
                <w:szCs w:val="28"/>
                <w:rtl/>
                <w:lang w:bidi="ar-EG"/>
              </w:rPr>
              <w:t xml:space="preserve">إجراء </w:t>
            </w:r>
            <w:r>
              <w:rPr>
                <w:rFonts w:ascii="Arabic Typesetting" w:hAnsi="Arabic Typesetting" w:cs="Arabic Typesetting" w:hint="cs"/>
                <w:color w:val="000000"/>
                <w:sz w:val="28"/>
                <w:szCs w:val="28"/>
                <w:rtl/>
                <w:lang w:bidi="ar-EG"/>
              </w:rPr>
              <w:t>الإصلاحات المحتملة خلال فترة الضمان</w:t>
            </w:r>
          </w:p>
        </w:tc>
        <w:tc>
          <w:tcPr>
            <w:tcW w:w="1666" w:type="pct"/>
          </w:tcPr>
          <w:p w:rsidR="00F96634" w:rsidRPr="00080105" w:rsidRDefault="00F96634" w:rsidP="00F96634">
            <w:pPr>
              <w:autoSpaceDE w:val="0"/>
              <w:autoSpaceDN w:val="0"/>
              <w:bidi/>
              <w:adjustRightInd w:val="0"/>
              <w:spacing w:before="40" w:after="40"/>
              <w:rPr>
                <w:rFonts w:ascii="Arabic Typesetting" w:hAnsi="Arabic Typesetting" w:cs="Arabic Typesetting"/>
                <w:sz w:val="28"/>
                <w:szCs w:val="28"/>
                <w:rtl/>
                <w:lang w:bidi="ar-EG"/>
              </w:rPr>
            </w:pPr>
          </w:p>
        </w:tc>
      </w:tr>
    </w:tbl>
    <w:p w:rsidR="00F96634" w:rsidRPr="00080105" w:rsidRDefault="00F96634" w:rsidP="008E0018">
      <w:pPr>
        <w:keepNext/>
        <w:bidi/>
        <w:spacing w:before="120" w:after="100" w:afterAutospacing="1"/>
        <w:rPr>
          <w:rFonts w:ascii="Arabic Typesetting" w:hAnsi="Arabic Typesetting" w:cs="Arabic Typesetting"/>
          <w:color w:val="000000"/>
          <w:sz w:val="34"/>
          <w:szCs w:val="34"/>
          <w:rtl/>
          <w:lang w:bidi="ar-EG"/>
        </w:rPr>
      </w:pPr>
      <w:r w:rsidRPr="00080105">
        <w:rPr>
          <w:rFonts w:ascii="Arabic Typesetting" w:hAnsi="Arabic Typesetting" w:cs="Arabic Typesetting"/>
          <w:color w:val="000000"/>
          <w:sz w:val="34"/>
          <w:szCs w:val="34"/>
          <w:rtl/>
          <w:lang w:bidi="ar-EG"/>
        </w:rPr>
        <w:lastRenderedPageBreak/>
        <w:t>الجدول الزمني للمشروع حسب المعالم</w:t>
      </w:r>
    </w:p>
    <w:tbl>
      <w:tblPr>
        <w:bidiVisual/>
        <w:tblW w:w="9052" w:type="dxa"/>
        <w:jc w:val="center"/>
        <w:tblLook w:val="04A0" w:firstRow="1" w:lastRow="0" w:firstColumn="1" w:lastColumn="0" w:noHBand="0" w:noVBand="1"/>
      </w:tblPr>
      <w:tblGrid>
        <w:gridCol w:w="4167"/>
        <w:gridCol w:w="495"/>
        <w:gridCol w:w="495"/>
        <w:gridCol w:w="495"/>
        <w:gridCol w:w="495"/>
        <w:gridCol w:w="495"/>
        <w:gridCol w:w="495"/>
        <w:gridCol w:w="495"/>
        <w:gridCol w:w="560"/>
        <w:gridCol w:w="479"/>
        <w:gridCol w:w="479"/>
      </w:tblGrid>
      <w:tr w:rsidR="00F96634" w:rsidRPr="00E32074" w:rsidTr="00F96634">
        <w:trPr>
          <w:trHeight w:val="299"/>
          <w:jc w:val="center"/>
        </w:trPr>
        <w:tc>
          <w:tcPr>
            <w:tcW w:w="4167" w:type="dxa"/>
            <w:tcBorders>
              <w:top w:val="nil"/>
              <w:left w:val="nil"/>
              <w:bottom w:val="nil"/>
              <w:right w:val="nil"/>
            </w:tcBorders>
            <w:shd w:val="clear" w:color="auto" w:fill="auto"/>
            <w:noWrap/>
            <w:vAlign w:val="center"/>
            <w:hideMark/>
          </w:tcPr>
          <w:p w:rsidR="00F96634" w:rsidRPr="00341D60" w:rsidRDefault="00F96634" w:rsidP="008E0018">
            <w:pPr>
              <w:keepNext/>
              <w:jc w:val="center"/>
              <w:rPr>
                <w:b/>
                <w:bCs/>
                <w:color w:val="000000"/>
                <w:sz w:val="16"/>
                <w:szCs w:val="16"/>
              </w:rPr>
            </w:pPr>
          </w:p>
        </w:tc>
        <w:tc>
          <w:tcPr>
            <w:tcW w:w="1980" w:type="dxa"/>
            <w:gridSpan w:val="4"/>
            <w:tcBorders>
              <w:top w:val="single" w:sz="8" w:space="0" w:color="auto"/>
              <w:left w:val="single" w:sz="8" w:space="0" w:color="auto"/>
              <w:bottom w:val="single" w:sz="4" w:space="0" w:color="auto"/>
              <w:right w:val="single" w:sz="8" w:space="0" w:color="000000"/>
            </w:tcBorders>
            <w:shd w:val="clear" w:color="auto" w:fill="C6D9F1" w:themeFill="text2" w:themeFillTint="33"/>
            <w:noWrap/>
            <w:vAlign w:val="bottom"/>
            <w:hideMark/>
          </w:tcPr>
          <w:p w:rsidR="00F96634" w:rsidRPr="003962D0" w:rsidRDefault="00F96634" w:rsidP="008E0018">
            <w:pPr>
              <w:keepNext/>
              <w:jc w:val="center"/>
              <w:rPr>
                <w:b/>
                <w:bCs/>
                <w:color w:val="000000"/>
                <w:sz w:val="16"/>
                <w:szCs w:val="16"/>
              </w:rPr>
            </w:pPr>
            <w:r w:rsidRPr="003962D0">
              <w:rPr>
                <w:b/>
                <w:bCs/>
                <w:color w:val="000000"/>
                <w:sz w:val="16"/>
                <w:szCs w:val="16"/>
              </w:rPr>
              <w:t>2014</w:t>
            </w:r>
          </w:p>
        </w:tc>
        <w:tc>
          <w:tcPr>
            <w:tcW w:w="2045" w:type="dxa"/>
            <w:gridSpan w:val="4"/>
            <w:tcBorders>
              <w:top w:val="single" w:sz="8" w:space="0" w:color="auto"/>
              <w:left w:val="nil"/>
              <w:bottom w:val="single" w:sz="4" w:space="0" w:color="auto"/>
              <w:right w:val="single" w:sz="8" w:space="0" w:color="000000"/>
            </w:tcBorders>
            <w:shd w:val="clear" w:color="auto" w:fill="C6D9F1" w:themeFill="text2" w:themeFillTint="33"/>
            <w:noWrap/>
            <w:vAlign w:val="bottom"/>
            <w:hideMark/>
          </w:tcPr>
          <w:p w:rsidR="00F96634" w:rsidRPr="003962D0" w:rsidRDefault="00F96634" w:rsidP="008E0018">
            <w:pPr>
              <w:keepNext/>
              <w:jc w:val="center"/>
              <w:rPr>
                <w:b/>
                <w:bCs/>
                <w:color w:val="000000"/>
                <w:sz w:val="16"/>
                <w:szCs w:val="16"/>
              </w:rPr>
            </w:pPr>
            <w:r w:rsidRPr="003962D0">
              <w:rPr>
                <w:b/>
                <w:bCs/>
                <w:color w:val="000000"/>
                <w:sz w:val="16"/>
                <w:szCs w:val="16"/>
              </w:rPr>
              <w:t>2015</w:t>
            </w:r>
          </w:p>
        </w:tc>
        <w:tc>
          <w:tcPr>
            <w:tcW w:w="860" w:type="dxa"/>
            <w:gridSpan w:val="2"/>
            <w:tcBorders>
              <w:top w:val="single" w:sz="4" w:space="0" w:color="auto"/>
              <w:bottom w:val="single" w:sz="4" w:space="0" w:color="auto"/>
              <w:right w:val="single" w:sz="4" w:space="0" w:color="auto"/>
            </w:tcBorders>
            <w:shd w:val="clear" w:color="auto" w:fill="C6D9F1" w:themeFill="text2" w:themeFillTint="33"/>
            <w:vAlign w:val="bottom"/>
          </w:tcPr>
          <w:p w:rsidR="00F96634" w:rsidRPr="00341D60" w:rsidRDefault="00F96634" w:rsidP="008E0018">
            <w:pPr>
              <w:keepNext/>
              <w:jc w:val="center"/>
              <w:rPr>
                <w:b/>
              </w:rPr>
            </w:pPr>
            <w:r w:rsidRPr="00341D60">
              <w:rPr>
                <w:b/>
                <w:sz w:val="16"/>
              </w:rPr>
              <w:t>2016</w:t>
            </w:r>
          </w:p>
        </w:tc>
      </w:tr>
      <w:tr w:rsidR="00F96634" w:rsidRPr="00E32074" w:rsidTr="00F96634">
        <w:trPr>
          <w:cantSplit/>
          <w:trHeight w:val="337"/>
          <w:jc w:val="center"/>
        </w:trPr>
        <w:tc>
          <w:tcPr>
            <w:tcW w:w="0" w:type="auto"/>
            <w:tcBorders>
              <w:top w:val="single" w:sz="8" w:space="0" w:color="auto"/>
              <w:left w:val="single" w:sz="8" w:space="0" w:color="auto"/>
              <w:bottom w:val="single" w:sz="4" w:space="0" w:color="auto"/>
              <w:right w:val="single" w:sz="8" w:space="0" w:color="auto"/>
            </w:tcBorders>
            <w:shd w:val="clear" w:color="auto" w:fill="C6D9F1" w:themeFill="text2" w:themeFillTint="33"/>
            <w:noWrap/>
            <w:tcMar>
              <w:top w:w="0" w:type="dxa"/>
            </w:tcMar>
            <w:vAlign w:val="bottom"/>
            <w:hideMark/>
          </w:tcPr>
          <w:p w:rsidR="00F96634" w:rsidRPr="00080105" w:rsidRDefault="00F96634" w:rsidP="008E0018">
            <w:pPr>
              <w:keepNext/>
              <w:bidi/>
              <w:rPr>
                <w:rFonts w:ascii="Arabic Typesetting" w:hAnsi="Arabic Typesetting" w:cs="Arabic Typesetting"/>
                <w:sz w:val="28"/>
                <w:szCs w:val="28"/>
                <w:rtl/>
                <w:lang w:bidi="ar-EG"/>
              </w:rPr>
            </w:pPr>
            <w:r w:rsidRPr="00080105">
              <w:rPr>
                <w:rFonts w:ascii="Arabic Typesetting" w:hAnsi="Arabic Typesetting" w:cs="Arabic Typesetting"/>
                <w:bCs/>
                <w:color w:val="000000"/>
                <w:sz w:val="28"/>
                <w:szCs w:val="28"/>
                <w:rtl/>
                <w:lang w:bidi="ar-EG"/>
              </w:rPr>
              <w:t>المعالم الرئيسية</w:t>
            </w:r>
          </w:p>
        </w:tc>
        <w:tc>
          <w:tcPr>
            <w:tcW w:w="0" w:type="auto"/>
            <w:tcBorders>
              <w:top w:val="nil"/>
              <w:left w:val="nil"/>
              <w:bottom w:val="single" w:sz="4" w:space="0" w:color="auto"/>
              <w:right w:val="single" w:sz="4" w:space="0" w:color="auto"/>
            </w:tcBorders>
            <w:shd w:val="clear" w:color="auto" w:fill="C6D9F1" w:themeFill="text2" w:themeFillTint="33"/>
            <w:noWrap/>
            <w:tcMar>
              <w:top w:w="0" w:type="dxa"/>
            </w:tcMar>
            <w:vAlign w:val="bottom"/>
            <w:hideMark/>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0" w:type="auto"/>
            <w:tcBorders>
              <w:top w:val="nil"/>
              <w:left w:val="nil"/>
              <w:bottom w:val="single" w:sz="4" w:space="0" w:color="auto"/>
              <w:right w:val="single" w:sz="4" w:space="0" w:color="auto"/>
            </w:tcBorders>
            <w:shd w:val="clear" w:color="auto" w:fill="C6D9F1" w:themeFill="text2" w:themeFillTint="33"/>
            <w:noWrap/>
            <w:tcMar>
              <w:top w:w="0" w:type="dxa"/>
            </w:tcMar>
            <w:vAlign w:val="bottom"/>
            <w:hideMark/>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0" w:type="auto"/>
            <w:tcBorders>
              <w:top w:val="nil"/>
              <w:left w:val="nil"/>
              <w:bottom w:val="single" w:sz="4" w:space="0" w:color="auto"/>
              <w:right w:val="single" w:sz="4" w:space="0" w:color="auto"/>
            </w:tcBorders>
            <w:shd w:val="clear" w:color="auto" w:fill="C6D9F1" w:themeFill="text2" w:themeFillTint="33"/>
            <w:noWrap/>
            <w:tcMar>
              <w:top w:w="0" w:type="dxa"/>
            </w:tcMar>
            <w:vAlign w:val="bottom"/>
            <w:hideMark/>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0" w:type="auto"/>
            <w:tcBorders>
              <w:top w:val="nil"/>
              <w:left w:val="nil"/>
              <w:bottom w:val="single" w:sz="4" w:space="0" w:color="auto"/>
              <w:right w:val="single" w:sz="8" w:space="0" w:color="auto"/>
            </w:tcBorders>
            <w:shd w:val="clear" w:color="auto" w:fill="C6D9F1" w:themeFill="text2" w:themeFillTint="33"/>
            <w:noWrap/>
            <w:tcMar>
              <w:top w:w="0" w:type="dxa"/>
            </w:tcMar>
            <w:vAlign w:val="bottom"/>
            <w:hideMark/>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c>
          <w:tcPr>
            <w:tcW w:w="0" w:type="auto"/>
            <w:tcBorders>
              <w:top w:val="nil"/>
              <w:left w:val="nil"/>
              <w:bottom w:val="single" w:sz="4" w:space="0" w:color="auto"/>
              <w:right w:val="single" w:sz="4" w:space="0" w:color="auto"/>
            </w:tcBorders>
            <w:shd w:val="clear" w:color="auto" w:fill="C6D9F1" w:themeFill="text2" w:themeFillTint="33"/>
            <w:noWrap/>
            <w:tcMar>
              <w:top w:w="0" w:type="dxa"/>
            </w:tcMar>
            <w:vAlign w:val="bottom"/>
            <w:hideMark/>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0" w:type="auto"/>
            <w:tcBorders>
              <w:top w:val="nil"/>
              <w:left w:val="nil"/>
              <w:bottom w:val="single" w:sz="4" w:space="0" w:color="auto"/>
              <w:right w:val="single" w:sz="4" w:space="0" w:color="auto"/>
            </w:tcBorders>
            <w:shd w:val="clear" w:color="auto" w:fill="C6D9F1" w:themeFill="text2" w:themeFillTint="33"/>
            <w:noWrap/>
            <w:tcMar>
              <w:top w:w="0" w:type="dxa"/>
            </w:tcMar>
            <w:vAlign w:val="bottom"/>
            <w:hideMark/>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0" w:type="auto"/>
            <w:tcBorders>
              <w:top w:val="nil"/>
              <w:left w:val="nil"/>
              <w:bottom w:val="single" w:sz="4" w:space="0" w:color="auto"/>
              <w:right w:val="single" w:sz="4" w:space="0" w:color="auto"/>
            </w:tcBorders>
            <w:shd w:val="clear" w:color="auto" w:fill="C6D9F1" w:themeFill="text2" w:themeFillTint="33"/>
            <w:noWrap/>
            <w:tcMar>
              <w:top w:w="0" w:type="dxa"/>
            </w:tcMar>
            <w:vAlign w:val="bottom"/>
            <w:hideMark/>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0" w:type="auto"/>
            <w:tcBorders>
              <w:top w:val="nil"/>
              <w:left w:val="nil"/>
              <w:bottom w:val="single" w:sz="4" w:space="0" w:color="auto"/>
              <w:right w:val="single" w:sz="8" w:space="0" w:color="auto"/>
            </w:tcBorders>
            <w:shd w:val="clear" w:color="auto" w:fill="C6D9F1" w:themeFill="text2" w:themeFillTint="33"/>
            <w:noWrap/>
            <w:tcMar>
              <w:top w:w="0" w:type="dxa"/>
            </w:tcMar>
            <w:vAlign w:val="bottom"/>
            <w:hideMark/>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c>
          <w:tcPr>
            <w:tcW w:w="0" w:type="auto"/>
            <w:tcBorders>
              <w:top w:val="single" w:sz="4" w:space="0" w:color="auto"/>
              <w:bottom w:val="single" w:sz="4" w:space="0" w:color="auto"/>
              <w:right w:val="single" w:sz="4" w:space="0" w:color="auto"/>
            </w:tcBorders>
            <w:shd w:val="clear" w:color="auto" w:fill="C6D9F1" w:themeFill="text2" w:themeFillTint="33"/>
            <w:tcMar>
              <w:top w:w="0" w:type="dxa"/>
            </w:tcMar>
            <w:vAlign w:val="bottom"/>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0" w:type="auto"/>
            <w:tcBorders>
              <w:top w:val="single" w:sz="4" w:space="0" w:color="auto"/>
              <w:bottom w:val="single" w:sz="4" w:space="0" w:color="auto"/>
              <w:right w:val="single" w:sz="4" w:space="0" w:color="auto"/>
            </w:tcBorders>
            <w:shd w:val="clear" w:color="auto" w:fill="C6D9F1" w:themeFill="text2" w:themeFillTint="33"/>
            <w:tcMar>
              <w:top w:w="0" w:type="dxa"/>
            </w:tcMar>
            <w:vAlign w:val="bottom"/>
          </w:tcPr>
          <w:p w:rsidR="00F96634" w:rsidRPr="00080105" w:rsidRDefault="00F96634" w:rsidP="008E0018">
            <w:pPr>
              <w:keepNext/>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r>
      <w:tr w:rsidR="00F96634" w:rsidRPr="00E32074" w:rsidTr="00F96634">
        <w:trPr>
          <w:trHeight w:val="425"/>
          <w:jc w:val="center"/>
        </w:trPr>
        <w:tc>
          <w:tcPr>
            <w:tcW w:w="4167" w:type="dxa"/>
            <w:tcBorders>
              <w:top w:val="nil"/>
              <w:left w:val="single" w:sz="8" w:space="0" w:color="auto"/>
              <w:bottom w:val="single" w:sz="4" w:space="0" w:color="auto"/>
              <w:right w:val="single" w:sz="8" w:space="0" w:color="auto"/>
            </w:tcBorders>
            <w:shd w:val="clear" w:color="auto" w:fill="auto"/>
            <w:noWrap/>
            <w:vAlign w:val="center"/>
            <w:hideMark/>
          </w:tcPr>
          <w:p w:rsidR="00F96634" w:rsidRPr="00080105" w:rsidRDefault="00F96634" w:rsidP="00F96634">
            <w:pPr>
              <w:bidi/>
              <w:rPr>
                <w:rFonts w:ascii="Arabic Typesetting" w:hAnsi="Arabic Typesetting" w:cs="Arabic Typesetting"/>
                <w:sz w:val="28"/>
                <w:szCs w:val="28"/>
                <w:rtl/>
              </w:rPr>
            </w:pPr>
            <w:r w:rsidRPr="00080105">
              <w:rPr>
                <w:rFonts w:ascii="Arabic Typesetting" w:hAnsi="Arabic Typesetting" w:cs="Arabic Typesetting"/>
                <w:color w:val="000000"/>
                <w:sz w:val="28"/>
                <w:szCs w:val="28"/>
                <w:rtl/>
                <w:lang w:bidi="ar-EG"/>
              </w:rPr>
              <w:t>منح العقد لمهندس التدفئة والتهوية وتكييف الهواء (</w:t>
            </w:r>
            <w:proofErr w:type="spellStart"/>
            <w:r w:rsidRPr="00080105">
              <w:rPr>
                <w:rFonts w:ascii="Arabic Typesetting" w:hAnsi="Arabic Typesetting" w:cs="Arabic Typesetting"/>
                <w:color w:val="000000"/>
                <w:sz w:val="28"/>
                <w:szCs w:val="28"/>
                <w:rtl/>
                <w:lang w:bidi="ar-EG"/>
              </w:rPr>
              <w:t>أرباد</w:t>
            </w:r>
            <w:proofErr w:type="spellEnd"/>
            <w:r w:rsidRPr="00080105">
              <w:rPr>
                <w:rFonts w:ascii="Arabic Typesetting" w:hAnsi="Arabic Typesetting" w:cs="Arabic Typesetting"/>
                <w:color w:val="000000"/>
                <w:sz w:val="28"/>
                <w:szCs w:val="28"/>
                <w:rtl/>
                <w:lang w:bidi="ar-EG"/>
              </w:rPr>
              <w:t xml:space="preserve"> </w:t>
            </w:r>
            <w:proofErr w:type="spellStart"/>
            <w:r w:rsidRPr="00080105">
              <w:rPr>
                <w:rFonts w:ascii="Arabic Typesetting" w:hAnsi="Arabic Typesetting" w:cs="Arabic Typesetting"/>
                <w:color w:val="000000"/>
                <w:sz w:val="28"/>
                <w:szCs w:val="28"/>
                <w:rtl/>
                <w:lang w:bidi="ar-EG"/>
              </w:rPr>
              <w:t>بوكش</w:t>
            </w:r>
            <w:proofErr w:type="spellEnd"/>
            <w:r w:rsidRPr="00080105">
              <w:rPr>
                <w:rFonts w:ascii="Arabic Typesetting" w:hAnsi="Arabic Typesetting" w:cs="Arabic Typesetting"/>
                <w:color w:val="000000"/>
                <w:sz w:val="28"/>
                <w:szCs w:val="28"/>
                <w:rtl/>
                <w:lang w:bidi="ar-EG"/>
              </w:rPr>
              <w:t xml:space="preserve"> والبراءات)</w:t>
            </w:r>
          </w:p>
        </w:tc>
        <w:tc>
          <w:tcPr>
            <w:tcW w:w="495" w:type="dxa"/>
            <w:tcBorders>
              <w:top w:val="nil"/>
              <w:left w:val="nil"/>
              <w:bottom w:val="single" w:sz="4" w:space="0" w:color="auto"/>
              <w:right w:val="single" w:sz="4" w:space="0" w:color="auto"/>
            </w:tcBorders>
            <w:shd w:val="clear" w:color="auto" w:fill="auto"/>
            <w:noWrap/>
            <w:vAlign w:val="bottom"/>
            <w:hideMark/>
          </w:tcPr>
          <w:p w:rsidR="00F96634" w:rsidRPr="003962D0" w:rsidRDefault="00F96634" w:rsidP="00F96634">
            <w:pPr>
              <w:spacing w:before="40" w:after="40"/>
              <w:rPr>
                <w:color w:val="000000"/>
                <w:sz w:val="16"/>
                <w:szCs w:val="16"/>
              </w:rPr>
            </w:pPr>
            <w:r w:rsidRPr="003962D0">
              <w:rPr>
                <w:color w:val="000000"/>
                <w:sz w:val="16"/>
                <w:szCs w:val="16"/>
              </w:rPr>
              <w:t> </w:t>
            </w: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r w:rsidRPr="003962D0">
              <w:rPr>
                <w:color w:val="000000"/>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560" w:type="dxa"/>
            <w:tcBorders>
              <w:top w:val="nil"/>
              <w:left w:val="nil"/>
              <w:bottom w:val="single" w:sz="4" w:space="0" w:color="auto"/>
              <w:right w:val="single" w:sz="8"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r>
      <w:tr w:rsidR="00F96634" w:rsidRPr="00E32074" w:rsidTr="00F96634">
        <w:trPr>
          <w:trHeight w:val="377"/>
          <w:jc w:val="center"/>
        </w:trPr>
        <w:tc>
          <w:tcPr>
            <w:tcW w:w="4167" w:type="dxa"/>
            <w:tcBorders>
              <w:top w:val="nil"/>
              <w:left w:val="single" w:sz="8" w:space="0" w:color="auto"/>
              <w:bottom w:val="single" w:sz="4" w:space="0" w:color="auto"/>
              <w:right w:val="single" w:sz="8" w:space="0" w:color="auto"/>
            </w:tcBorders>
            <w:shd w:val="clear" w:color="auto" w:fill="auto"/>
            <w:noWrap/>
            <w:vAlign w:val="center"/>
            <w:hideMark/>
          </w:tcPr>
          <w:p w:rsidR="00F96634" w:rsidRPr="00080105" w:rsidRDefault="00F96634" w:rsidP="00F9663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طلب عروض من الشركات (</w:t>
            </w:r>
            <w:proofErr w:type="spellStart"/>
            <w:r w:rsidRPr="00080105">
              <w:rPr>
                <w:rFonts w:ascii="Arabic Typesetting" w:hAnsi="Arabic Typesetting" w:cs="Arabic Typesetting"/>
                <w:color w:val="000000"/>
                <w:sz w:val="28"/>
                <w:szCs w:val="28"/>
                <w:rtl/>
                <w:lang w:bidi="ar-EG"/>
              </w:rPr>
              <w:t>أرباد</w:t>
            </w:r>
            <w:proofErr w:type="spellEnd"/>
            <w:r w:rsidRPr="00080105">
              <w:rPr>
                <w:rFonts w:ascii="Arabic Typesetting" w:hAnsi="Arabic Typesetting" w:cs="Arabic Typesetting"/>
                <w:color w:val="000000"/>
                <w:sz w:val="28"/>
                <w:szCs w:val="28"/>
                <w:rtl/>
                <w:lang w:bidi="ar-EG"/>
              </w:rPr>
              <w:t xml:space="preserve"> </w:t>
            </w:r>
            <w:proofErr w:type="spellStart"/>
            <w:r w:rsidRPr="00080105">
              <w:rPr>
                <w:rFonts w:ascii="Arabic Typesetting" w:hAnsi="Arabic Typesetting" w:cs="Arabic Typesetting"/>
                <w:color w:val="000000"/>
                <w:sz w:val="28"/>
                <w:szCs w:val="28"/>
                <w:rtl/>
                <w:lang w:bidi="ar-EG"/>
              </w:rPr>
              <w:t>بوكش</w:t>
            </w:r>
            <w:proofErr w:type="spellEnd"/>
            <w:r w:rsidRPr="00080105">
              <w:rPr>
                <w:rFonts w:ascii="Arabic Typesetting" w:hAnsi="Arabic Typesetting" w:cs="Arabic Typesetting"/>
                <w:color w:val="000000"/>
                <w:sz w:val="28"/>
                <w:szCs w:val="28"/>
                <w:rtl/>
                <w:lang w:bidi="ar-EG"/>
              </w:rPr>
              <w:t>)</w:t>
            </w:r>
          </w:p>
        </w:tc>
        <w:tc>
          <w:tcPr>
            <w:tcW w:w="495" w:type="dxa"/>
            <w:tcBorders>
              <w:top w:val="nil"/>
              <w:left w:val="nil"/>
              <w:bottom w:val="single" w:sz="4" w:space="0" w:color="auto"/>
              <w:right w:val="single" w:sz="4" w:space="0" w:color="auto"/>
            </w:tcBorders>
            <w:shd w:val="clear" w:color="auto" w:fill="auto"/>
            <w:noWrap/>
            <w:vAlign w:val="bottom"/>
            <w:hideMark/>
          </w:tcPr>
          <w:p w:rsidR="00F96634" w:rsidRPr="003962D0" w:rsidRDefault="00F96634" w:rsidP="00F96634">
            <w:pPr>
              <w:spacing w:before="40" w:after="40"/>
              <w:rPr>
                <w:color w:val="000000"/>
                <w:sz w:val="16"/>
                <w:szCs w:val="16"/>
              </w:rPr>
            </w:pPr>
            <w:r w:rsidRPr="003962D0">
              <w:rPr>
                <w:color w:val="000000"/>
                <w:sz w:val="16"/>
                <w:szCs w:val="16"/>
              </w:rPr>
              <w:t> </w:t>
            </w: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r w:rsidRPr="003962D0">
              <w:rPr>
                <w:color w:val="000000"/>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560" w:type="dxa"/>
            <w:tcBorders>
              <w:top w:val="nil"/>
              <w:left w:val="nil"/>
              <w:bottom w:val="single" w:sz="4" w:space="0" w:color="auto"/>
              <w:right w:val="single" w:sz="8"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r>
      <w:tr w:rsidR="00F96634" w:rsidRPr="00E32074" w:rsidTr="00F96634">
        <w:trPr>
          <w:trHeight w:val="412"/>
          <w:jc w:val="center"/>
        </w:trPr>
        <w:tc>
          <w:tcPr>
            <w:tcW w:w="4167" w:type="dxa"/>
            <w:tcBorders>
              <w:top w:val="nil"/>
              <w:left w:val="single" w:sz="8" w:space="0" w:color="auto"/>
              <w:bottom w:val="single" w:sz="4" w:space="0" w:color="auto"/>
              <w:right w:val="single" w:sz="8" w:space="0" w:color="auto"/>
            </w:tcBorders>
            <w:shd w:val="clear" w:color="auto" w:fill="auto"/>
            <w:noWrap/>
            <w:vAlign w:val="center"/>
            <w:hideMark/>
          </w:tcPr>
          <w:p w:rsidR="00F96634" w:rsidRPr="00080105" w:rsidRDefault="00F96634" w:rsidP="00F9663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تنفيذ الأعمال وتكليفها (</w:t>
            </w:r>
            <w:proofErr w:type="spellStart"/>
            <w:r w:rsidRPr="00080105">
              <w:rPr>
                <w:rFonts w:ascii="Arabic Typesetting" w:hAnsi="Arabic Typesetting" w:cs="Arabic Typesetting"/>
                <w:color w:val="000000"/>
                <w:sz w:val="28"/>
                <w:szCs w:val="28"/>
                <w:rtl/>
                <w:lang w:bidi="ar-EG"/>
              </w:rPr>
              <w:t>أرباد</w:t>
            </w:r>
            <w:proofErr w:type="spellEnd"/>
            <w:r w:rsidRPr="00080105">
              <w:rPr>
                <w:rFonts w:ascii="Arabic Typesetting" w:hAnsi="Arabic Typesetting" w:cs="Arabic Typesetting"/>
                <w:color w:val="000000"/>
                <w:sz w:val="28"/>
                <w:szCs w:val="28"/>
                <w:rtl/>
                <w:lang w:bidi="ar-EG"/>
              </w:rPr>
              <w:t xml:space="preserve"> </w:t>
            </w:r>
            <w:proofErr w:type="spellStart"/>
            <w:r w:rsidRPr="00080105">
              <w:rPr>
                <w:rFonts w:ascii="Arabic Typesetting" w:hAnsi="Arabic Typesetting" w:cs="Arabic Typesetting"/>
                <w:color w:val="000000"/>
                <w:sz w:val="28"/>
                <w:szCs w:val="28"/>
                <w:rtl/>
                <w:lang w:bidi="ar-EG"/>
              </w:rPr>
              <w:t>بوكش</w:t>
            </w:r>
            <w:proofErr w:type="spellEnd"/>
            <w:r w:rsidRPr="00080105">
              <w:rPr>
                <w:rFonts w:ascii="Arabic Typesetting" w:hAnsi="Arabic Typesetting" w:cs="Arabic Typesetting"/>
                <w:color w:val="000000"/>
                <w:sz w:val="28"/>
                <w:szCs w:val="28"/>
                <w:rtl/>
                <w:lang w:bidi="ar-EG"/>
              </w:rPr>
              <w:t>)</w:t>
            </w:r>
          </w:p>
        </w:tc>
        <w:tc>
          <w:tcPr>
            <w:tcW w:w="495" w:type="dxa"/>
            <w:tcBorders>
              <w:top w:val="nil"/>
              <w:left w:val="nil"/>
              <w:bottom w:val="single" w:sz="4" w:space="0" w:color="auto"/>
              <w:right w:val="single" w:sz="4" w:space="0" w:color="auto"/>
            </w:tcBorders>
            <w:shd w:val="clear" w:color="auto" w:fill="auto"/>
            <w:noWrap/>
            <w:vAlign w:val="bottom"/>
            <w:hideMark/>
          </w:tcPr>
          <w:p w:rsidR="00F96634" w:rsidRPr="003962D0" w:rsidRDefault="00F96634" w:rsidP="00F96634">
            <w:pPr>
              <w:spacing w:before="40" w:after="40"/>
              <w:rPr>
                <w:color w:val="000000"/>
                <w:sz w:val="16"/>
                <w:szCs w:val="16"/>
              </w:rPr>
            </w:pPr>
            <w:r w:rsidRPr="003962D0">
              <w:rPr>
                <w:color w:val="000000"/>
                <w:sz w:val="16"/>
                <w:szCs w:val="16"/>
              </w:rPr>
              <w:t> </w:t>
            </w: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r w:rsidRPr="003962D0">
              <w:rPr>
                <w:color w:val="000000"/>
                <w:sz w:val="16"/>
                <w:szCs w:val="16"/>
              </w:rPr>
              <w:t>X</w:t>
            </w:r>
          </w:p>
        </w:tc>
        <w:tc>
          <w:tcPr>
            <w:tcW w:w="495" w:type="dxa"/>
            <w:tcBorders>
              <w:top w:val="nil"/>
              <w:left w:val="nil"/>
              <w:bottom w:val="single" w:sz="4" w:space="0" w:color="auto"/>
              <w:right w:val="single" w:sz="8"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560" w:type="dxa"/>
            <w:tcBorders>
              <w:top w:val="nil"/>
              <w:left w:val="nil"/>
              <w:bottom w:val="single" w:sz="4" w:space="0" w:color="auto"/>
              <w:right w:val="single" w:sz="8"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r>
      <w:tr w:rsidR="00F96634" w:rsidRPr="00E32074" w:rsidTr="00F96634">
        <w:trPr>
          <w:trHeight w:val="417"/>
          <w:jc w:val="center"/>
        </w:trPr>
        <w:tc>
          <w:tcPr>
            <w:tcW w:w="4167" w:type="dxa"/>
            <w:tcBorders>
              <w:top w:val="nil"/>
              <w:left w:val="single" w:sz="8" w:space="0" w:color="auto"/>
              <w:bottom w:val="single" w:sz="4" w:space="0" w:color="auto"/>
              <w:right w:val="single" w:sz="8" w:space="0" w:color="auto"/>
            </w:tcBorders>
            <w:shd w:val="clear" w:color="auto" w:fill="auto"/>
            <w:noWrap/>
            <w:vAlign w:val="center"/>
            <w:hideMark/>
          </w:tcPr>
          <w:p w:rsidR="00F96634" w:rsidRPr="00080105" w:rsidRDefault="00F96634" w:rsidP="003212C1">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تثبيت المشروع مع مهندس التدفئة والتهوية وتكييف الهواء (مبنى</w:t>
            </w:r>
            <w:r w:rsidR="003212C1">
              <w:rPr>
                <w:rFonts w:ascii="Arabic Typesetting" w:hAnsi="Arabic Typesetting" w:cs="Arabic Typesetting" w:hint="cs"/>
                <w:color w:val="000000"/>
                <w:sz w:val="28"/>
                <w:szCs w:val="28"/>
                <w:rtl/>
                <w:lang w:bidi="ar-EG"/>
              </w:rPr>
              <w:t> </w:t>
            </w:r>
            <w:r w:rsidRPr="00080105">
              <w:rPr>
                <w:rFonts w:ascii="Arabic Typesetting" w:hAnsi="Arabic Typesetting" w:cs="Arabic Typesetting"/>
                <w:color w:val="000000"/>
                <w:sz w:val="28"/>
                <w:szCs w:val="28"/>
                <w:rtl/>
                <w:lang w:bidi="ar-EG"/>
              </w:rPr>
              <w:t>البراءات)</w:t>
            </w:r>
          </w:p>
        </w:tc>
        <w:tc>
          <w:tcPr>
            <w:tcW w:w="495" w:type="dxa"/>
            <w:tcBorders>
              <w:top w:val="nil"/>
              <w:left w:val="nil"/>
              <w:bottom w:val="single" w:sz="4" w:space="0" w:color="auto"/>
              <w:right w:val="single" w:sz="4" w:space="0" w:color="auto"/>
            </w:tcBorders>
            <w:shd w:val="clear" w:color="auto" w:fill="auto"/>
            <w:noWrap/>
            <w:vAlign w:val="bottom"/>
            <w:hideMark/>
          </w:tcPr>
          <w:p w:rsidR="00F96634" w:rsidRPr="003962D0" w:rsidRDefault="00F96634" w:rsidP="00F96634">
            <w:pPr>
              <w:spacing w:before="40" w:after="40"/>
              <w:rPr>
                <w:color w:val="000000"/>
                <w:sz w:val="16"/>
                <w:szCs w:val="16"/>
              </w:rPr>
            </w:pPr>
            <w:r w:rsidRPr="003962D0">
              <w:rPr>
                <w:color w:val="000000"/>
                <w:sz w:val="16"/>
                <w:szCs w:val="16"/>
              </w:rPr>
              <w:t> </w:t>
            </w: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r w:rsidRPr="003962D0">
              <w:rPr>
                <w:color w:val="000000"/>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560" w:type="dxa"/>
            <w:tcBorders>
              <w:top w:val="nil"/>
              <w:left w:val="nil"/>
              <w:bottom w:val="single" w:sz="4" w:space="0" w:color="auto"/>
              <w:right w:val="single" w:sz="8" w:space="0" w:color="auto"/>
            </w:tcBorders>
            <w:shd w:val="clear" w:color="auto" w:fill="auto"/>
            <w:noWrap/>
            <w:vAlign w:val="center"/>
            <w:hideMark/>
          </w:tcPr>
          <w:p w:rsidR="00F96634" w:rsidRPr="003962D0" w:rsidRDefault="00F96634" w:rsidP="00F96634">
            <w:pPr>
              <w:spacing w:before="40" w:after="40"/>
              <w:jc w:val="center"/>
              <w:rPr>
                <w:color w:val="000000"/>
                <w:sz w:val="16"/>
                <w:szCs w:val="16"/>
              </w:rP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r>
      <w:tr w:rsidR="00F96634" w:rsidRPr="00E32074" w:rsidTr="00F96634">
        <w:trPr>
          <w:trHeight w:val="410"/>
          <w:jc w:val="center"/>
        </w:trPr>
        <w:tc>
          <w:tcPr>
            <w:tcW w:w="4167" w:type="dxa"/>
            <w:tcBorders>
              <w:top w:val="nil"/>
              <w:left w:val="single" w:sz="8" w:space="0" w:color="auto"/>
              <w:bottom w:val="single" w:sz="4" w:space="0" w:color="auto"/>
              <w:right w:val="single" w:sz="8" w:space="0" w:color="auto"/>
            </w:tcBorders>
            <w:shd w:val="clear" w:color="auto" w:fill="auto"/>
            <w:noWrap/>
            <w:vAlign w:val="center"/>
          </w:tcPr>
          <w:p w:rsidR="00F96634" w:rsidRPr="00080105" w:rsidRDefault="00F96634" w:rsidP="00F9663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طرح مناقصة على الشركات (مبنى البراءات)</w:t>
            </w:r>
          </w:p>
        </w:tc>
        <w:tc>
          <w:tcPr>
            <w:tcW w:w="495" w:type="dxa"/>
            <w:tcBorders>
              <w:top w:val="nil"/>
              <w:left w:val="nil"/>
              <w:bottom w:val="single" w:sz="4" w:space="0" w:color="auto"/>
              <w:right w:val="single" w:sz="4" w:space="0" w:color="auto"/>
            </w:tcBorders>
            <w:shd w:val="clear" w:color="auto" w:fill="auto"/>
            <w:noWrap/>
            <w:vAlign w:val="bottom"/>
          </w:tcPr>
          <w:p w:rsidR="00F96634" w:rsidRPr="003962D0" w:rsidRDefault="00F96634" w:rsidP="00F96634">
            <w:pPr>
              <w:spacing w:before="40" w:after="40"/>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r w:rsidRPr="003962D0">
              <w:rPr>
                <w:color w:val="000000"/>
                <w:sz w:val="16"/>
                <w:szCs w:val="16"/>
              </w:rPr>
              <w:t>X</w:t>
            </w: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r w:rsidRPr="003962D0">
              <w:rPr>
                <w:color w:val="000000"/>
                <w:sz w:val="16"/>
                <w:szCs w:val="16"/>
              </w:rPr>
              <w:t>X</w:t>
            </w: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560" w:type="dxa"/>
            <w:tcBorders>
              <w:top w:val="nil"/>
              <w:left w:val="nil"/>
              <w:bottom w:val="single" w:sz="4" w:space="0" w:color="auto"/>
              <w:right w:val="single" w:sz="8"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r>
      <w:tr w:rsidR="00F96634" w:rsidRPr="008A011F" w:rsidTr="00F96634">
        <w:trPr>
          <w:trHeight w:val="413"/>
          <w:jc w:val="center"/>
        </w:trPr>
        <w:tc>
          <w:tcPr>
            <w:tcW w:w="4167" w:type="dxa"/>
            <w:tcBorders>
              <w:top w:val="nil"/>
              <w:left w:val="single" w:sz="8" w:space="0" w:color="auto"/>
              <w:bottom w:val="single" w:sz="4" w:space="0" w:color="auto"/>
              <w:right w:val="single" w:sz="8" w:space="0" w:color="auto"/>
            </w:tcBorders>
            <w:shd w:val="clear" w:color="auto" w:fill="auto"/>
            <w:noWrap/>
            <w:vAlign w:val="center"/>
          </w:tcPr>
          <w:p w:rsidR="00F96634" w:rsidRPr="00080105" w:rsidRDefault="00F96634" w:rsidP="00F9663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تنفيذ الأعمال وتكليفها (مبنى البراءات)</w:t>
            </w:r>
          </w:p>
        </w:tc>
        <w:tc>
          <w:tcPr>
            <w:tcW w:w="495" w:type="dxa"/>
            <w:tcBorders>
              <w:top w:val="nil"/>
              <w:left w:val="nil"/>
              <w:bottom w:val="single" w:sz="4" w:space="0" w:color="auto"/>
              <w:right w:val="single" w:sz="4" w:space="0" w:color="auto"/>
            </w:tcBorders>
            <w:shd w:val="clear" w:color="auto" w:fill="auto"/>
            <w:noWrap/>
            <w:vAlign w:val="bottom"/>
          </w:tcPr>
          <w:p w:rsidR="00F96634" w:rsidRPr="003962D0" w:rsidRDefault="00F96634" w:rsidP="00F96634">
            <w:pPr>
              <w:spacing w:before="40" w:after="40"/>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r w:rsidRPr="003962D0">
              <w:rPr>
                <w:color w:val="000000"/>
                <w:sz w:val="16"/>
                <w:szCs w:val="16"/>
              </w:rPr>
              <w:t>X</w:t>
            </w:r>
          </w:p>
        </w:tc>
        <w:tc>
          <w:tcPr>
            <w:tcW w:w="495" w:type="dxa"/>
            <w:tcBorders>
              <w:top w:val="nil"/>
              <w:left w:val="nil"/>
              <w:bottom w:val="single" w:sz="4" w:space="0" w:color="auto"/>
              <w:right w:val="single" w:sz="4" w:space="0" w:color="auto"/>
            </w:tcBorders>
            <w:shd w:val="clear" w:color="auto" w:fill="auto"/>
            <w:noWrap/>
            <w:vAlign w:val="center"/>
          </w:tcPr>
          <w:p w:rsidR="00F96634" w:rsidRPr="003962D0" w:rsidRDefault="00F96634" w:rsidP="00F96634">
            <w:pPr>
              <w:spacing w:before="40" w:after="40"/>
              <w:jc w:val="center"/>
              <w:rPr>
                <w:color w:val="000000"/>
                <w:sz w:val="16"/>
                <w:szCs w:val="16"/>
              </w:rPr>
            </w:pPr>
            <w:r w:rsidRPr="003962D0">
              <w:rPr>
                <w:color w:val="000000"/>
                <w:sz w:val="16"/>
                <w:szCs w:val="16"/>
              </w:rPr>
              <w:t>X</w:t>
            </w:r>
          </w:p>
        </w:tc>
        <w:tc>
          <w:tcPr>
            <w:tcW w:w="560" w:type="dxa"/>
            <w:tcBorders>
              <w:top w:val="nil"/>
              <w:left w:val="nil"/>
              <w:bottom w:val="single" w:sz="4" w:space="0" w:color="auto"/>
              <w:right w:val="single" w:sz="8" w:space="0" w:color="auto"/>
            </w:tcBorders>
            <w:shd w:val="clear" w:color="auto" w:fill="auto"/>
            <w:noWrap/>
            <w:vAlign w:val="center"/>
          </w:tcPr>
          <w:p w:rsidR="00F96634" w:rsidRPr="008A011F" w:rsidRDefault="00F96634" w:rsidP="00F96634">
            <w:pPr>
              <w:spacing w:before="40" w:after="40"/>
              <w:jc w:val="center"/>
              <w:rPr>
                <w:sz w:val="16"/>
                <w:szCs w:val="16"/>
              </w:rPr>
            </w:pPr>
            <w:r w:rsidRPr="008A011F">
              <w:rPr>
                <w:sz w:val="16"/>
                <w:szCs w:val="16"/>
              </w:rPr>
              <w:t>X</w:t>
            </w: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rPr>
                <w:sz w:val="16"/>
                <w:szCs w:val="16"/>
              </w:rPr>
            </w:pPr>
            <w:r w:rsidRPr="008A011F">
              <w:rPr>
                <w:sz w:val="16"/>
                <w:szCs w:val="16"/>
              </w:rPr>
              <w:t>X</w:t>
            </w:r>
          </w:p>
        </w:tc>
        <w:tc>
          <w:tcPr>
            <w:tcW w:w="430" w:type="dxa"/>
            <w:tcBorders>
              <w:top w:val="single" w:sz="4" w:space="0" w:color="auto"/>
              <w:bottom w:val="single" w:sz="4" w:space="0" w:color="auto"/>
              <w:right w:val="single" w:sz="4" w:space="0" w:color="auto"/>
            </w:tcBorders>
            <w:shd w:val="clear" w:color="auto" w:fill="auto"/>
            <w:vAlign w:val="center"/>
          </w:tcPr>
          <w:p w:rsidR="00F96634" w:rsidRPr="008A011F" w:rsidRDefault="00F96634" w:rsidP="00F96634">
            <w:pPr>
              <w:spacing w:before="40" w:after="40"/>
              <w:jc w:val="center"/>
            </w:pPr>
          </w:p>
        </w:tc>
      </w:tr>
    </w:tbl>
    <w:p w:rsidR="00F96634" w:rsidRPr="00080105" w:rsidRDefault="00F96634" w:rsidP="00F96634">
      <w:pPr>
        <w:keepNext/>
        <w:pageBreakBefore/>
        <w:bidi/>
        <w:spacing w:after="120" w:line="340" w:lineRule="exact"/>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lastRenderedPageBreak/>
        <w:t>المشروعات المتصلة بالمباني</w:t>
      </w:r>
    </w:p>
    <w:p w:rsidR="00F96634" w:rsidRPr="00F96634" w:rsidRDefault="00F96634" w:rsidP="00F96634">
      <w:pPr>
        <w:pStyle w:val="Heading4AR"/>
        <w:pageBreakBefore w:val="0"/>
        <w:ind w:left="0" w:firstLine="0"/>
        <w:rPr>
          <w:i/>
          <w:sz w:val="34"/>
          <w:szCs w:val="34"/>
        </w:rPr>
      </w:pPr>
      <w:bookmarkStart w:id="162" w:name="_Toc450635445"/>
      <w:bookmarkStart w:id="163" w:name="_Toc455393414"/>
      <w:r w:rsidRPr="00F96634">
        <w:rPr>
          <w:i/>
          <w:sz w:val="34"/>
          <w:szCs w:val="34"/>
          <w:rtl/>
        </w:rPr>
        <w:t xml:space="preserve">المشروع 5: مبنى </w:t>
      </w:r>
      <w:proofErr w:type="spellStart"/>
      <w:r w:rsidRPr="00F96634">
        <w:rPr>
          <w:i/>
          <w:sz w:val="34"/>
          <w:szCs w:val="34"/>
          <w:rtl/>
        </w:rPr>
        <w:t>أرباد</w:t>
      </w:r>
      <w:proofErr w:type="spellEnd"/>
      <w:r w:rsidRPr="00F96634">
        <w:rPr>
          <w:i/>
          <w:sz w:val="34"/>
          <w:szCs w:val="34"/>
          <w:rtl/>
        </w:rPr>
        <w:t xml:space="preserve"> </w:t>
      </w:r>
      <w:proofErr w:type="spellStart"/>
      <w:r w:rsidRPr="00F96634">
        <w:rPr>
          <w:i/>
          <w:sz w:val="34"/>
          <w:szCs w:val="34"/>
          <w:rtl/>
        </w:rPr>
        <w:t>بوكش</w:t>
      </w:r>
      <w:proofErr w:type="spellEnd"/>
      <w:r w:rsidRPr="00F96634">
        <w:rPr>
          <w:i/>
          <w:sz w:val="34"/>
          <w:szCs w:val="34"/>
          <w:rtl/>
        </w:rPr>
        <w:t xml:space="preserve"> المرحلة الأولى من تجديد القبو (تغيير حجم مركز البيانات وتجديد المطبعة) (</w:t>
      </w:r>
      <w:r w:rsidRPr="00F96634">
        <w:rPr>
          <w:i/>
          <w:sz w:val="34"/>
          <w:szCs w:val="34"/>
        </w:rPr>
        <w:t>CMP 5</w:t>
      </w:r>
      <w:r w:rsidRPr="00F96634">
        <w:rPr>
          <w:i/>
          <w:sz w:val="34"/>
          <w:szCs w:val="34"/>
          <w:rtl/>
        </w:rPr>
        <w:t>)</w:t>
      </w:r>
      <w:bookmarkEnd w:id="162"/>
      <w:bookmarkEnd w:id="163"/>
    </w:p>
    <w:p w:rsidR="00F96634" w:rsidRPr="00495D3F" w:rsidRDefault="00F96634" w:rsidP="00495D3F">
      <w:pPr>
        <w:keepNext/>
        <w:bidi/>
        <w:spacing w:after="240" w:line="340" w:lineRule="exact"/>
        <w:ind w:left="1417" w:hanging="1417"/>
        <w:rPr>
          <w:rFonts w:ascii="Arabic Typesetting" w:hAnsi="Arabic Typesetting" w:cs="Arabic Typesetting"/>
          <w:bCs/>
          <w:sz w:val="34"/>
          <w:szCs w:val="36"/>
          <w:rtl/>
          <w:lang w:val="fr-CH"/>
        </w:rPr>
      </w:pPr>
      <w:r w:rsidRPr="00495D3F">
        <w:rPr>
          <w:rFonts w:ascii="Arabic Typesetting" w:hAnsi="Arabic Typesetting" w:cs="Arabic Typesetting"/>
          <w:bCs/>
          <w:sz w:val="34"/>
          <w:szCs w:val="36"/>
          <w:rtl/>
          <w:lang w:val="fr-CH"/>
        </w:rPr>
        <w:t>مدير المشروع</w:t>
      </w:r>
      <w:r w:rsidRPr="00495D3F">
        <w:rPr>
          <w:rFonts w:ascii="Arabic Typesetting" w:hAnsi="Arabic Typesetting" w:cs="Arabic Typesetting" w:hint="cs"/>
          <w:bCs/>
          <w:sz w:val="34"/>
          <w:szCs w:val="36"/>
          <w:rtl/>
          <w:lang w:val="fr-CH"/>
        </w:rPr>
        <w:t>:</w:t>
      </w:r>
      <w:r w:rsidRPr="00495D3F">
        <w:rPr>
          <w:rFonts w:ascii="Arabic Typesetting" w:hAnsi="Arabic Typesetting" w:cs="Arabic Typesetting"/>
          <w:bCs/>
          <w:sz w:val="34"/>
          <w:szCs w:val="36"/>
          <w:rtl/>
          <w:lang w:val="fr-CH"/>
        </w:rPr>
        <w:tab/>
        <w:t xml:space="preserve">السيد </w:t>
      </w:r>
      <w:proofErr w:type="spellStart"/>
      <w:r w:rsidRPr="00495D3F">
        <w:rPr>
          <w:rFonts w:ascii="Arabic Typesetting" w:hAnsi="Arabic Typesetting" w:cs="Arabic Typesetting"/>
          <w:bCs/>
          <w:sz w:val="34"/>
          <w:szCs w:val="36"/>
          <w:rtl/>
          <w:lang w:val="fr-CH"/>
        </w:rPr>
        <w:t>ألفيو</w:t>
      </w:r>
      <w:proofErr w:type="spellEnd"/>
      <w:r w:rsidRPr="00495D3F">
        <w:rPr>
          <w:rFonts w:ascii="Arabic Typesetting" w:hAnsi="Arabic Typesetting" w:cs="Arabic Typesetting"/>
          <w:bCs/>
          <w:sz w:val="34"/>
          <w:szCs w:val="36"/>
          <w:rtl/>
          <w:lang w:val="fr-CH"/>
        </w:rPr>
        <w:t xml:space="preserve"> </w:t>
      </w:r>
      <w:proofErr w:type="spellStart"/>
      <w:r w:rsidRPr="00495D3F">
        <w:rPr>
          <w:rFonts w:ascii="Arabic Typesetting" w:hAnsi="Arabic Typesetting" w:cs="Arabic Typesetting"/>
          <w:bCs/>
          <w:sz w:val="34"/>
          <w:szCs w:val="36"/>
          <w:rtl/>
          <w:lang w:val="fr-CH"/>
        </w:rPr>
        <w:t>فافيرو</w:t>
      </w:r>
      <w:proofErr w:type="spellEnd"/>
    </w:p>
    <w:p w:rsidR="00F96634" w:rsidRPr="00080105" w:rsidRDefault="00F96634" w:rsidP="00F96634">
      <w:pPr>
        <w:keepNext/>
        <w:bidi/>
        <w:spacing w:after="120" w:line="340" w:lineRule="exact"/>
        <w:rPr>
          <w:rFonts w:ascii="Arabic Typesetting" w:hAnsi="Arabic Typesetting" w:cs="Arabic Typesetting"/>
          <w:sz w:val="34"/>
          <w:szCs w:val="34"/>
          <w:lang w:bidi="ar-EG"/>
        </w:rPr>
      </w:pPr>
      <w:r w:rsidRPr="00080105">
        <w:rPr>
          <w:rFonts w:ascii="Arabic Typesetting" w:hAnsi="Arabic Typesetting" w:cs="Arabic Typesetting"/>
          <w:sz w:val="34"/>
          <w:szCs w:val="34"/>
          <w:rtl/>
          <w:lang w:bidi="ar-EG"/>
        </w:rPr>
        <w:t>النتيجة المرتقبة</w:t>
      </w:r>
    </w:p>
    <w:p w:rsidR="00F96634" w:rsidRPr="00080105" w:rsidRDefault="00ED2EEA" w:rsidP="00F96634">
      <w:pPr>
        <w:bidi/>
        <w:spacing w:after="120" w:line="340" w:lineRule="exact"/>
        <w:rPr>
          <w:rFonts w:ascii="Arabic Typesetting" w:hAnsi="Arabic Typesetting" w:cs="Arabic Typesetting"/>
          <w:iCs/>
          <w:sz w:val="34"/>
          <w:szCs w:val="34"/>
          <w:lang w:bidi="ar-EG"/>
        </w:rPr>
      </w:pPr>
      <w:r w:rsidRPr="00ED2EEA">
        <w:rPr>
          <w:rFonts w:ascii="Arabic Typesetting" w:hAnsi="Arabic Typesetting" w:cs="Arabic Typesetting"/>
          <w:i/>
          <w:iCs/>
          <w:sz w:val="34"/>
          <w:szCs w:val="34"/>
          <w:rtl/>
          <w:lang w:bidi="ar-EG"/>
        </w:rPr>
        <w:t>ه1.9</w:t>
      </w:r>
      <w:r w:rsidRPr="00ED2EEA">
        <w:rPr>
          <w:rFonts w:ascii="Arabic Typesetting" w:hAnsi="Arabic Typesetting" w:cs="Arabic Typesetting"/>
          <w:i/>
          <w:iCs/>
          <w:sz w:val="34"/>
          <w:szCs w:val="34"/>
          <w:rtl/>
          <w:lang w:bidi="ar-EG"/>
        </w:rPr>
        <w:tab/>
        <w:t>خدمات دعم فعالة وناجعة وذات جودة موجهة نحو الزبائن لفائدة الزبائن الداخليين وأصحاب المصالح الخارجيين</w:t>
      </w:r>
    </w:p>
    <w:p w:rsidR="00F96634" w:rsidRPr="00080105" w:rsidRDefault="00F96634" w:rsidP="00ED2EEA">
      <w:pPr>
        <w:bidi/>
        <w:spacing w:after="120" w:line="340" w:lineRule="exact"/>
        <w:rPr>
          <w:rFonts w:ascii="Arabic Typesetting" w:hAnsi="Arabic Typesetting" w:cs="Arabic Typesetting"/>
          <w:bCs/>
          <w:sz w:val="34"/>
          <w:szCs w:val="34"/>
          <w:lang w:bidi="ar-EG"/>
        </w:rPr>
      </w:pPr>
      <w:r w:rsidRPr="00080105">
        <w:rPr>
          <w:rFonts w:ascii="Arabic Typesetting" w:hAnsi="Arabic Typesetting" w:cs="Arabic Typesetting"/>
          <w:sz w:val="34"/>
          <w:szCs w:val="34"/>
          <w:rtl/>
          <w:lang w:bidi="ar-EG"/>
        </w:rPr>
        <w:t xml:space="preserve">الأهداف والنطاق والنهج </w:t>
      </w:r>
      <w:r w:rsidR="00ED2EEA">
        <w:rPr>
          <w:rFonts w:ascii="Arabic Typesetting" w:hAnsi="Arabic Typesetting" w:cs="Arabic Typesetting"/>
          <w:sz w:val="34"/>
          <w:szCs w:val="34"/>
          <w:rtl/>
          <w:lang w:bidi="ar-EG"/>
        </w:rPr>
        <w:t>–</w:t>
      </w:r>
      <w:r w:rsidRPr="00080105">
        <w:rPr>
          <w:rFonts w:ascii="Arabic Typesetting" w:hAnsi="Arabic Typesetting" w:cs="Arabic Typesetting"/>
          <w:sz w:val="34"/>
          <w:szCs w:val="34"/>
          <w:rtl/>
          <w:lang w:bidi="ar-EG"/>
        </w:rPr>
        <w:t xml:space="preserve"> معلومات</w:t>
      </w:r>
      <w:r w:rsidR="00ED2EEA">
        <w:rPr>
          <w:rFonts w:ascii="Arabic Typesetting" w:hAnsi="Arabic Typesetting" w:cs="Arabic Typesetting" w:hint="cs"/>
          <w:sz w:val="34"/>
          <w:szCs w:val="34"/>
          <w:rtl/>
          <w:lang w:bidi="ar-EG"/>
        </w:rPr>
        <w:t xml:space="preserve"> </w:t>
      </w:r>
      <w:r w:rsidRPr="00080105">
        <w:rPr>
          <w:rFonts w:ascii="Arabic Typesetting" w:hAnsi="Arabic Typesetting" w:cs="Arabic Typesetting"/>
          <w:sz w:val="34"/>
          <w:szCs w:val="34"/>
          <w:rtl/>
          <w:lang w:bidi="ar-EG"/>
        </w:rPr>
        <w:t>أساسية</w:t>
      </w:r>
    </w:p>
    <w:p w:rsidR="00F96634" w:rsidRPr="00080105" w:rsidRDefault="00F96634" w:rsidP="0099688F">
      <w:pPr>
        <w:numPr>
          <w:ilvl w:val="0"/>
          <w:numId w:val="55"/>
        </w:numPr>
        <w:bidi/>
        <w:spacing w:after="120" w:line="340" w:lineRule="exact"/>
        <w:rPr>
          <w:rFonts w:ascii="Arabic Typesetting" w:hAnsi="Arabic Typesetting" w:cs="Arabic Typesetting"/>
          <w:sz w:val="34"/>
          <w:szCs w:val="34"/>
        </w:rPr>
      </w:pPr>
      <w:r w:rsidRPr="00080105">
        <w:rPr>
          <w:rFonts w:ascii="Arabic Typesetting" w:hAnsi="Arabic Typesetting" w:cs="Arabic Typesetting"/>
          <w:sz w:val="34"/>
          <w:szCs w:val="34"/>
          <w:rtl/>
        </w:rPr>
        <w:t xml:space="preserve">يحتاج مركز البيانات الحالي الموجود في قبو مبنى </w:t>
      </w:r>
      <w:proofErr w:type="spellStart"/>
      <w:r w:rsidRPr="00080105">
        <w:rPr>
          <w:rFonts w:ascii="Arabic Typesetting" w:hAnsi="Arabic Typesetting" w:cs="Arabic Typesetting"/>
          <w:sz w:val="34"/>
          <w:szCs w:val="34"/>
          <w:rtl/>
        </w:rPr>
        <w:t>أرباد</w:t>
      </w:r>
      <w:proofErr w:type="spellEnd"/>
      <w:r w:rsidRPr="00080105">
        <w:rPr>
          <w:rFonts w:ascii="Arabic Typesetting" w:hAnsi="Arabic Typesetting" w:cs="Arabic Typesetting"/>
          <w:sz w:val="34"/>
          <w:szCs w:val="34"/>
          <w:rtl/>
        </w:rPr>
        <w:t xml:space="preserve"> </w:t>
      </w:r>
      <w:proofErr w:type="spellStart"/>
      <w:r w:rsidRPr="00080105">
        <w:rPr>
          <w:rFonts w:ascii="Arabic Typesetting" w:hAnsi="Arabic Typesetting" w:cs="Arabic Typesetting"/>
          <w:sz w:val="34"/>
          <w:szCs w:val="34"/>
          <w:rtl/>
        </w:rPr>
        <w:t>بوكش</w:t>
      </w:r>
      <w:proofErr w:type="spellEnd"/>
      <w:r w:rsidRPr="00080105">
        <w:rPr>
          <w:rFonts w:ascii="Arabic Typesetting" w:hAnsi="Arabic Typesetting" w:cs="Arabic Typesetting"/>
          <w:sz w:val="34"/>
          <w:szCs w:val="34"/>
          <w:rtl/>
        </w:rPr>
        <w:t xml:space="preserve"> إلى تغيير حجمه بحيث يناسب الغرض منه بعد أن تطور وأصبح يقتصر على غرفة للحاسوب تخدم مبنى </w:t>
      </w:r>
      <w:proofErr w:type="spellStart"/>
      <w:r w:rsidRPr="00080105">
        <w:rPr>
          <w:rFonts w:ascii="Arabic Typesetting" w:hAnsi="Arabic Typesetting" w:cs="Arabic Typesetting"/>
          <w:sz w:val="34"/>
          <w:szCs w:val="34"/>
          <w:rtl/>
        </w:rPr>
        <w:t>أرباد</w:t>
      </w:r>
      <w:proofErr w:type="spellEnd"/>
      <w:r w:rsidRPr="00080105">
        <w:rPr>
          <w:rFonts w:ascii="Arabic Typesetting" w:hAnsi="Arabic Typesetting" w:cs="Arabic Typesetting"/>
          <w:sz w:val="34"/>
          <w:szCs w:val="34"/>
          <w:rtl/>
        </w:rPr>
        <w:t xml:space="preserve"> </w:t>
      </w:r>
      <w:proofErr w:type="spellStart"/>
      <w:r w:rsidRPr="00080105">
        <w:rPr>
          <w:rFonts w:ascii="Arabic Typesetting" w:hAnsi="Arabic Typesetting" w:cs="Arabic Typesetting"/>
          <w:sz w:val="34"/>
          <w:szCs w:val="34"/>
          <w:rtl/>
        </w:rPr>
        <w:t>بوكش</w:t>
      </w:r>
      <w:proofErr w:type="spellEnd"/>
      <w:r w:rsidRPr="00080105">
        <w:rPr>
          <w:rFonts w:ascii="Arabic Typesetting" w:hAnsi="Arabic Typesetting" w:cs="Arabic Typesetting"/>
          <w:sz w:val="34"/>
          <w:szCs w:val="34"/>
          <w:rtl/>
        </w:rPr>
        <w:t xml:space="preserve"> وحده. ومن المتوقع لعملية تغيير الحجم هذه أن توفر مساحة أرضية كبيرة يمكن الاستفادة منها بالتالي في توسعة المطبعة الموجودة حاليا والتي تحتاج إلى التجديد.</w:t>
      </w:r>
    </w:p>
    <w:p w:rsidR="00F96634" w:rsidRPr="00080105" w:rsidRDefault="00F96634" w:rsidP="0099688F">
      <w:pPr>
        <w:numPr>
          <w:ilvl w:val="0"/>
          <w:numId w:val="55"/>
        </w:numPr>
        <w:bidi/>
        <w:spacing w:after="120" w:line="340" w:lineRule="exact"/>
        <w:rPr>
          <w:rFonts w:ascii="Arabic Typesetting" w:hAnsi="Arabic Typesetting" w:cs="Arabic Typesetting"/>
          <w:noProof/>
          <w:sz w:val="34"/>
          <w:szCs w:val="34"/>
        </w:rPr>
      </w:pPr>
      <w:r w:rsidRPr="00080105">
        <w:rPr>
          <w:rFonts w:ascii="Arabic Typesetting" w:hAnsi="Arabic Typesetting" w:cs="Arabic Typesetting"/>
          <w:sz w:val="34"/>
          <w:szCs w:val="34"/>
          <w:rtl/>
        </w:rPr>
        <w:t>وأهداف المشروع هي كما يلي: "1" تحديد مساحة الأرضية المناسبة للمطبعة والوثائق وغرفة الحاسوب عن طريق تقليل مساحة مركز البيانات لتوفير مساحة كبيرة نسبيًا للسماح بتوسعة المطبعة وتجديدها؛ "2" تقليل استهلاك الطاقة من خلال إزالة معدات تقنية محددة من مركز البيانات؛ "3" تحسين مساحات العمل الخاصة بالمطبعة وموظفي الوثائق.</w:t>
      </w:r>
    </w:p>
    <w:p w:rsidR="00F96634" w:rsidRPr="00080105" w:rsidRDefault="00ED2EEA" w:rsidP="00F96634">
      <w:pPr>
        <w:bidi/>
        <w:spacing w:after="120" w:line="340" w:lineRule="exact"/>
        <w:rPr>
          <w:rFonts w:ascii="Arabic Typesetting" w:hAnsi="Arabic Typesetting" w:cs="Arabic Typesetting"/>
          <w:b/>
          <w:sz w:val="34"/>
          <w:szCs w:val="34"/>
          <w:lang w:bidi="ar-EG"/>
        </w:rPr>
      </w:pPr>
      <w:r>
        <w:rPr>
          <w:rFonts w:ascii="Arabic Typesetting" w:hAnsi="Arabic Typesetting" w:cs="Arabic Typesetting"/>
          <w:b/>
          <w:sz w:val="34"/>
          <w:szCs w:val="34"/>
          <w:rtl/>
          <w:lang w:bidi="ar-EG"/>
        </w:rPr>
        <w:t>استعراض التقدم المحرز في 2015 (المعالم الرئيسية)</w:t>
      </w:r>
    </w:p>
    <w:p w:rsidR="00F96634" w:rsidRPr="00080105" w:rsidRDefault="003212C1" w:rsidP="0099688F">
      <w:pPr>
        <w:numPr>
          <w:ilvl w:val="0"/>
          <w:numId w:val="55"/>
        </w:numPr>
        <w:bidi/>
        <w:spacing w:after="120" w:line="340" w:lineRule="exact"/>
        <w:rPr>
          <w:rFonts w:ascii="Arabic Typesetting" w:hAnsi="Arabic Typesetting" w:cs="Arabic Typesetting"/>
          <w:noProof/>
          <w:sz w:val="34"/>
          <w:szCs w:val="34"/>
        </w:rPr>
      </w:pPr>
      <w:r>
        <w:rPr>
          <w:rFonts w:ascii="Arabic Typesetting" w:hAnsi="Arabic Typesetting" w:cs="Arabic Typesetting"/>
          <w:sz w:val="34"/>
          <w:szCs w:val="34"/>
          <w:rtl/>
        </w:rPr>
        <w:t>في عام 2014، أحرز التقدم التالي:</w:t>
      </w:r>
    </w:p>
    <w:p w:rsidR="00F96634" w:rsidRPr="00080105" w:rsidRDefault="00F96634" w:rsidP="0099688F">
      <w:pPr>
        <w:numPr>
          <w:ilvl w:val="0"/>
          <w:numId w:val="51"/>
        </w:numPr>
        <w:bidi/>
        <w:spacing w:after="120" w:line="340" w:lineRule="exact"/>
        <w:ind w:left="1134" w:hanging="567"/>
        <w:rPr>
          <w:rFonts w:ascii="Arabic Typesetting" w:hAnsi="Arabic Typesetting" w:cs="Arabic Typesetting"/>
          <w:b/>
          <w:noProof/>
          <w:sz w:val="34"/>
          <w:szCs w:val="34"/>
          <w:lang w:bidi="ar-EG"/>
        </w:rPr>
      </w:pPr>
      <w:r w:rsidRPr="00080105">
        <w:rPr>
          <w:rFonts w:ascii="Arabic Typesetting" w:hAnsi="Arabic Typesetting" w:cs="Arabic Typesetting"/>
          <w:b/>
          <w:sz w:val="34"/>
          <w:szCs w:val="34"/>
          <w:rtl/>
          <w:lang w:bidi="ar-EG"/>
        </w:rPr>
        <w:t xml:space="preserve">صياغة </w:t>
      </w:r>
      <w:r w:rsidRPr="00ED2EEA">
        <w:rPr>
          <w:rFonts w:ascii="Arabic Typesetting" w:hAnsi="Arabic Typesetting" w:cs="Arabic Typesetting"/>
          <w:b/>
          <w:color w:val="000000"/>
          <w:sz w:val="34"/>
          <w:szCs w:val="34"/>
          <w:rtl/>
          <w:lang w:bidi="ar-EG"/>
        </w:rPr>
        <w:t>المواصفات</w:t>
      </w:r>
      <w:r w:rsidRPr="00080105">
        <w:rPr>
          <w:rFonts w:ascii="Arabic Typesetting" w:hAnsi="Arabic Typesetting" w:cs="Arabic Typesetting"/>
          <w:b/>
          <w:sz w:val="34"/>
          <w:szCs w:val="34"/>
          <w:rtl/>
          <w:lang w:bidi="ar-EG"/>
        </w:rPr>
        <w:t xml:space="preserve"> للمهندس المعماري؛</w:t>
      </w:r>
    </w:p>
    <w:p w:rsidR="00F96634" w:rsidRPr="00080105" w:rsidRDefault="00F96634" w:rsidP="0099688F">
      <w:pPr>
        <w:numPr>
          <w:ilvl w:val="0"/>
          <w:numId w:val="51"/>
        </w:numPr>
        <w:bidi/>
        <w:spacing w:after="120" w:line="340" w:lineRule="exact"/>
        <w:ind w:left="1134" w:hanging="567"/>
        <w:rPr>
          <w:rFonts w:ascii="Arabic Typesetting" w:hAnsi="Arabic Typesetting" w:cs="Arabic Typesetting"/>
          <w:b/>
          <w:noProof/>
          <w:sz w:val="34"/>
          <w:szCs w:val="34"/>
          <w:lang w:bidi="ar-EG"/>
        </w:rPr>
      </w:pPr>
      <w:r w:rsidRPr="00080105">
        <w:rPr>
          <w:rFonts w:ascii="Arabic Typesetting" w:hAnsi="Arabic Typesetting" w:cs="Arabic Typesetting"/>
          <w:b/>
          <w:color w:val="000000"/>
          <w:sz w:val="34"/>
          <w:szCs w:val="34"/>
          <w:rtl/>
          <w:lang w:bidi="ar-EG"/>
        </w:rPr>
        <w:t>طرح مناقصة بشأن المهندس المعماري؛</w:t>
      </w:r>
    </w:p>
    <w:p w:rsidR="00F96634" w:rsidRPr="00080105" w:rsidRDefault="00F96634" w:rsidP="0099688F">
      <w:pPr>
        <w:numPr>
          <w:ilvl w:val="0"/>
          <w:numId w:val="51"/>
        </w:numPr>
        <w:bidi/>
        <w:spacing w:after="120" w:line="340" w:lineRule="exact"/>
        <w:ind w:left="1134" w:hanging="567"/>
        <w:rPr>
          <w:rFonts w:ascii="Arabic Typesetting" w:hAnsi="Arabic Typesetting" w:cs="Arabic Typesetting"/>
          <w:b/>
          <w:noProof/>
          <w:sz w:val="34"/>
          <w:szCs w:val="34"/>
          <w:lang w:bidi="ar-EG"/>
        </w:rPr>
      </w:pPr>
      <w:r w:rsidRPr="00080105">
        <w:rPr>
          <w:rFonts w:ascii="Arabic Typesetting" w:hAnsi="Arabic Typesetting" w:cs="Arabic Typesetting"/>
          <w:b/>
          <w:color w:val="000000"/>
          <w:sz w:val="34"/>
          <w:szCs w:val="34"/>
          <w:rtl/>
          <w:lang w:bidi="ar-EG"/>
        </w:rPr>
        <w:t>منح عقدي المهندس المعماري ومهندس التدفئة والتهوية وتكييف الهواء.</w:t>
      </w:r>
    </w:p>
    <w:p w:rsidR="00F96634" w:rsidRDefault="00F96634" w:rsidP="0099688F">
      <w:pPr>
        <w:numPr>
          <w:ilvl w:val="0"/>
          <w:numId w:val="55"/>
        </w:numPr>
        <w:bidi/>
        <w:spacing w:after="120" w:line="340" w:lineRule="exact"/>
        <w:rPr>
          <w:rFonts w:ascii="Arabic Typesetting" w:hAnsi="Arabic Typesetting" w:cs="Arabic Typesetting"/>
          <w:sz w:val="34"/>
          <w:szCs w:val="34"/>
        </w:rPr>
      </w:pPr>
      <w:r w:rsidRPr="00080105">
        <w:rPr>
          <w:rFonts w:ascii="Arabic Typesetting" w:hAnsi="Arabic Typesetting" w:cs="Arabic Typesetting"/>
          <w:sz w:val="34"/>
          <w:szCs w:val="34"/>
          <w:rtl/>
        </w:rPr>
        <w:t xml:space="preserve">بسبب تأخر اكتمال قاعة مؤتمرات الويبو الجديدة (من بداية 2014 </w:t>
      </w:r>
      <w:r w:rsidR="00ED2EEA">
        <w:rPr>
          <w:rFonts w:ascii="Arabic Typesetting" w:hAnsi="Arabic Typesetting" w:cs="Arabic Typesetting" w:hint="cs"/>
          <w:sz w:val="34"/>
          <w:szCs w:val="34"/>
          <w:rtl/>
        </w:rPr>
        <w:t>إلى</w:t>
      </w:r>
      <w:r w:rsidRPr="00080105">
        <w:rPr>
          <w:rFonts w:ascii="Arabic Typesetting" w:hAnsi="Arabic Typesetting" w:cs="Arabic Typesetting"/>
          <w:sz w:val="34"/>
          <w:szCs w:val="34"/>
          <w:rtl/>
        </w:rPr>
        <w:t xml:space="preserve"> سبتمبر 2014)، تأخر بدء المشروع </w:t>
      </w:r>
      <w:r w:rsidR="00ED2EEA">
        <w:rPr>
          <w:rFonts w:ascii="Arabic Typesetting" w:hAnsi="Arabic Typesetting" w:cs="Arabic Typesetting" w:hint="cs"/>
          <w:sz w:val="34"/>
          <w:szCs w:val="34"/>
          <w:rtl/>
        </w:rPr>
        <w:t>ستة</w:t>
      </w:r>
      <w:r w:rsidRPr="00080105">
        <w:rPr>
          <w:rFonts w:ascii="Arabic Typesetting" w:hAnsi="Arabic Typesetting" w:cs="Arabic Typesetting"/>
          <w:sz w:val="34"/>
          <w:szCs w:val="34"/>
          <w:rtl/>
        </w:rPr>
        <w:t xml:space="preserve"> أشهر </w:t>
      </w:r>
      <w:r w:rsidR="00ED2EEA">
        <w:rPr>
          <w:rFonts w:ascii="Arabic Typesetting" w:hAnsi="Arabic Typesetting" w:cs="Arabic Typesetting" w:hint="cs"/>
          <w:sz w:val="34"/>
          <w:szCs w:val="34"/>
          <w:rtl/>
        </w:rPr>
        <w:t>عن</w:t>
      </w:r>
      <w:r w:rsidRPr="00080105">
        <w:rPr>
          <w:rFonts w:ascii="Arabic Typesetting" w:hAnsi="Arabic Typesetting" w:cs="Arabic Typesetting"/>
          <w:sz w:val="34"/>
          <w:szCs w:val="34"/>
          <w:rtl/>
        </w:rPr>
        <w:t xml:space="preserve"> الخطة الأصلية. ومن </w:t>
      </w:r>
      <w:r w:rsidR="00ED2EEA">
        <w:rPr>
          <w:rFonts w:ascii="Arabic Typesetting" w:hAnsi="Arabic Typesetting" w:cs="Arabic Typesetting"/>
          <w:sz w:val="34"/>
          <w:szCs w:val="34"/>
          <w:rtl/>
        </w:rPr>
        <w:t>ثم عُدّل الجدول الزمني للمشروع.</w:t>
      </w:r>
    </w:p>
    <w:p w:rsidR="00ED2EEA" w:rsidRPr="00080105" w:rsidRDefault="00ED2EEA" w:rsidP="0099688F">
      <w:pPr>
        <w:numPr>
          <w:ilvl w:val="0"/>
          <w:numId w:val="55"/>
        </w:numPr>
        <w:bidi/>
        <w:spacing w:after="120" w:line="340" w:lineRule="exact"/>
        <w:rPr>
          <w:rFonts w:ascii="Arabic Typesetting" w:hAnsi="Arabic Typesetting" w:cs="Arabic Typesetting"/>
          <w:noProof/>
          <w:sz w:val="34"/>
          <w:szCs w:val="34"/>
        </w:rPr>
      </w:pPr>
      <w:r>
        <w:rPr>
          <w:rFonts w:ascii="Arabic Typesetting" w:hAnsi="Arabic Typesetting" w:cs="Arabic Typesetting" w:hint="cs"/>
          <w:sz w:val="34"/>
          <w:szCs w:val="34"/>
          <w:rtl/>
        </w:rPr>
        <w:t>و</w:t>
      </w:r>
      <w:r w:rsidR="003212C1">
        <w:rPr>
          <w:rFonts w:ascii="Arabic Typesetting" w:hAnsi="Arabic Typesetting" w:cs="Arabic Typesetting"/>
          <w:sz w:val="34"/>
          <w:szCs w:val="34"/>
          <w:rtl/>
        </w:rPr>
        <w:t>في عام 2015، أحرز التقدم التالي</w:t>
      </w:r>
      <w:r>
        <w:rPr>
          <w:rFonts w:ascii="Arabic Typesetting" w:hAnsi="Arabic Typesetting" w:cs="Arabic Typesetting"/>
          <w:sz w:val="34"/>
          <w:szCs w:val="34"/>
          <w:rtl/>
        </w:rPr>
        <w:t>:</w:t>
      </w:r>
    </w:p>
    <w:p w:rsidR="00ED2EEA" w:rsidRDefault="00ED2EEA" w:rsidP="0099688F">
      <w:pPr>
        <w:numPr>
          <w:ilvl w:val="0"/>
          <w:numId w:val="51"/>
        </w:numPr>
        <w:bidi/>
        <w:spacing w:after="120" w:line="340" w:lineRule="exact"/>
        <w:ind w:left="1134" w:hanging="567"/>
        <w:rPr>
          <w:rFonts w:ascii="Arabic Typesetting" w:hAnsi="Arabic Typesetting" w:cs="Arabic Typesetting"/>
          <w:sz w:val="34"/>
          <w:szCs w:val="34"/>
        </w:rPr>
      </w:pPr>
      <w:r>
        <w:rPr>
          <w:rFonts w:ascii="Arabic Typesetting" w:hAnsi="Arabic Typesetting" w:cs="Arabic Typesetting" w:hint="cs"/>
          <w:sz w:val="34"/>
          <w:szCs w:val="34"/>
          <w:rtl/>
        </w:rPr>
        <w:t>بدء دراسة المهندس؛</w:t>
      </w:r>
    </w:p>
    <w:p w:rsidR="00ED2EEA" w:rsidRDefault="00ED2EEA" w:rsidP="0099688F">
      <w:pPr>
        <w:numPr>
          <w:ilvl w:val="0"/>
          <w:numId w:val="51"/>
        </w:numPr>
        <w:bidi/>
        <w:spacing w:after="120" w:line="340" w:lineRule="exact"/>
        <w:ind w:left="1134" w:hanging="567"/>
        <w:rPr>
          <w:rFonts w:ascii="Arabic Typesetting" w:hAnsi="Arabic Typesetting" w:cs="Arabic Typesetting"/>
          <w:sz w:val="34"/>
          <w:szCs w:val="34"/>
        </w:rPr>
      </w:pPr>
      <w:r>
        <w:rPr>
          <w:rFonts w:ascii="Arabic Typesetting" w:hAnsi="Arabic Typesetting" w:cs="Arabic Typesetting" w:hint="cs"/>
          <w:sz w:val="34"/>
          <w:szCs w:val="34"/>
          <w:rtl/>
        </w:rPr>
        <w:t>نقل المعدات الحاسوبية إلى مركز البيانات الجديد لتحديد المساحة المتوفرة للمطبعة ال</w:t>
      </w:r>
      <w:r w:rsidR="0086174B">
        <w:rPr>
          <w:rFonts w:ascii="Arabic Typesetting" w:hAnsi="Arabic Typesetting" w:cs="Arabic Typesetting" w:hint="cs"/>
          <w:sz w:val="34"/>
          <w:szCs w:val="34"/>
          <w:rtl/>
        </w:rPr>
        <w:t>جديدة.</w:t>
      </w:r>
    </w:p>
    <w:p w:rsidR="0086174B" w:rsidRPr="00080105" w:rsidRDefault="0086174B" w:rsidP="0099688F">
      <w:pPr>
        <w:numPr>
          <w:ilvl w:val="0"/>
          <w:numId w:val="55"/>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وفي نهاية 2015، كانت المساحة اللازمة للمطبعة الموسعة والجديدة لا تزال قيد التصديق الداخلي ما أدى إلى المزيد من التأخر في تنفيذ المشروع. ومن ثم عُدّل الجدول الزمني للمشروع.</w:t>
      </w:r>
    </w:p>
    <w:p w:rsidR="00F96634" w:rsidRPr="00080105" w:rsidRDefault="00F96634" w:rsidP="0086174B">
      <w:pPr>
        <w:bidi/>
        <w:spacing w:after="120"/>
        <w:rPr>
          <w:rFonts w:ascii="Arabic Typesetting" w:hAnsi="Arabic Typesetting" w:cs="Arabic Typesetting"/>
          <w:b/>
          <w:sz w:val="34"/>
          <w:szCs w:val="34"/>
          <w:lang w:bidi="ar-EG"/>
        </w:rPr>
      </w:pPr>
      <w:r w:rsidRPr="00080105">
        <w:rPr>
          <w:rFonts w:ascii="Arabic Typesetting" w:hAnsi="Arabic Typesetting" w:cs="Arabic Typesetting"/>
          <w:b/>
          <w:sz w:val="34"/>
          <w:szCs w:val="34"/>
          <w:rtl/>
          <w:lang w:bidi="ar-EG"/>
        </w:rPr>
        <w:t>تحقيق المنافع</w:t>
      </w:r>
    </w:p>
    <w:tbl>
      <w:tblPr>
        <w:tblW w:w="26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9"/>
      </w:tblGrid>
      <w:tr w:rsidR="00F96634" w:rsidRPr="00080105" w:rsidTr="0086174B">
        <w:trPr>
          <w:trHeight w:val="442"/>
          <w:tblHeader/>
          <w:jc w:val="center"/>
        </w:trPr>
        <w:tc>
          <w:tcPr>
            <w:tcW w:w="5000" w:type="pct"/>
            <w:shd w:val="clear" w:color="auto" w:fill="C6D9F1"/>
            <w:vAlign w:val="center"/>
          </w:tcPr>
          <w:p w:rsidR="00F96634" w:rsidRPr="00080105" w:rsidRDefault="00F96634" w:rsidP="00EA0606">
            <w:pPr>
              <w:bidi/>
              <w:spacing w:line="280" w:lineRule="exact"/>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المنافع المتوقعة 2017</w:t>
            </w:r>
          </w:p>
        </w:tc>
      </w:tr>
      <w:tr w:rsidR="00F96634" w:rsidRPr="00080105" w:rsidTr="0086174B">
        <w:trPr>
          <w:trHeight w:val="564"/>
          <w:jc w:val="center"/>
        </w:trPr>
        <w:tc>
          <w:tcPr>
            <w:tcW w:w="5000" w:type="pct"/>
            <w:vAlign w:val="center"/>
          </w:tcPr>
          <w:p w:rsidR="00F96634" w:rsidRPr="00080105" w:rsidRDefault="00F96634" w:rsidP="00F96634">
            <w:pPr>
              <w:bidi/>
              <w:spacing w:line="280" w:lineRule="exact"/>
              <w:rPr>
                <w:rFonts w:ascii="Arabic Typesetting" w:hAnsi="Arabic Typesetting" w:cs="Arabic Typesetting"/>
                <w:b/>
                <w:i/>
                <w:sz w:val="28"/>
                <w:szCs w:val="28"/>
                <w:rtl/>
                <w:lang w:bidi="ar-EG"/>
              </w:rPr>
            </w:pPr>
            <w:r w:rsidRPr="00080105">
              <w:rPr>
                <w:rFonts w:ascii="Arabic Typesetting" w:hAnsi="Arabic Typesetting" w:cs="Arabic Typesetting"/>
                <w:b/>
                <w:i/>
                <w:color w:val="000000"/>
                <w:sz w:val="28"/>
                <w:szCs w:val="28"/>
                <w:rtl/>
                <w:lang w:bidi="ar-EG"/>
              </w:rPr>
              <w:t>تحسين تخصيص المساحات حسب كل استخدام</w:t>
            </w:r>
          </w:p>
        </w:tc>
      </w:tr>
      <w:tr w:rsidR="00F96634" w:rsidRPr="00080105" w:rsidTr="0086174B">
        <w:trPr>
          <w:trHeight w:val="839"/>
          <w:jc w:val="center"/>
        </w:trPr>
        <w:tc>
          <w:tcPr>
            <w:tcW w:w="5000" w:type="pct"/>
            <w:vAlign w:val="center"/>
          </w:tcPr>
          <w:p w:rsidR="00F96634" w:rsidRPr="00080105" w:rsidRDefault="00F96634" w:rsidP="00F96634">
            <w:pPr>
              <w:bidi/>
              <w:spacing w:line="280" w:lineRule="exact"/>
              <w:rPr>
                <w:rFonts w:ascii="Arabic Typesetting" w:hAnsi="Arabic Typesetting" w:cs="Arabic Typesetting"/>
                <w:b/>
                <w:i/>
                <w:sz w:val="28"/>
                <w:szCs w:val="28"/>
                <w:rtl/>
                <w:lang w:bidi="ar-EG"/>
              </w:rPr>
            </w:pPr>
            <w:r w:rsidRPr="00080105">
              <w:rPr>
                <w:rFonts w:ascii="Arabic Typesetting" w:hAnsi="Arabic Typesetting" w:cs="Arabic Typesetting"/>
                <w:b/>
                <w:i/>
                <w:color w:val="000000"/>
                <w:sz w:val="28"/>
                <w:szCs w:val="28"/>
                <w:rtl/>
                <w:lang w:bidi="ar-EG"/>
              </w:rPr>
              <w:t xml:space="preserve">تقليل جزئي لاستهلاك الطاقة في المنطقة التي تستفيد من أعمال مبنى </w:t>
            </w:r>
            <w:proofErr w:type="spellStart"/>
            <w:r w:rsidRPr="00080105">
              <w:rPr>
                <w:rFonts w:ascii="Arabic Typesetting" w:hAnsi="Arabic Typesetting" w:cs="Arabic Typesetting"/>
                <w:b/>
                <w:i/>
                <w:color w:val="000000"/>
                <w:sz w:val="28"/>
                <w:szCs w:val="28"/>
                <w:rtl/>
                <w:lang w:bidi="ar-EG"/>
              </w:rPr>
              <w:t>أرباد</w:t>
            </w:r>
            <w:proofErr w:type="spellEnd"/>
            <w:r w:rsidRPr="00080105">
              <w:rPr>
                <w:rFonts w:ascii="Arabic Typesetting" w:hAnsi="Arabic Typesetting" w:cs="Arabic Typesetting"/>
                <w:b/>
                <w:i/>
                <w:color w:val="000000"/>
                <w:sz w:val="28"/>
                <w:szCs w:val="28"/>
                <w:rtl/>
                <w:lang w:bidi="ar-EG"/>
              </w:rPr>
              <w:t xml:space="preserve"> </w:t>
            </w:r>
            <w:proofErr w:type="spellStart"/>
            <w:r w:rsidRPr="00080105">
              <w:rPr>
                <w:rFonts w:ascii="Arabic Typesetting" w:hAnsi="Arabic Typesetting" w:cs="Arabic Typesetting"/>
                <w:b/>
                <w:i/>
                <w:color w:val="000000"/>
                <w:sz w:val="28"/>
                <w:szCs w:val="28"/>
                <w:rtl/>
                <w:lang w:bidi="ar-EG"/>
              </w:rPr>
              <w:t>بوكش</w:t>
            </w:r>
            <w:proofErr w:type="spellEnd"/>
          </w:p>
        </w:tc>
      </w:tr>
      <w:tr w:rsidR="00F96634" w:rsidRPr="00080105" w:rsidTr="0086174B">
        <w:trPr>
          <w:trHeight w:val="564"/>
          <w:jc w:val="center"/>
        </w:trPr>
        <w:tc>
          <w:tcPr>
            <w:tcW w:w="5000" w:type="pct"/>
            <w:vAlign w:val="center"/>
          </w:tcPr>
          <w:p w:rsidR="00F96634" w:rsidRPr="00080105" w:rsidRDefault="00F96634" w:rsidP="00F96634">
            <w:pPr>
              <w:bidi/>
              <w:spacing w:line="280" w:lineRule="exact"/>
              <w:rPr>
                <w:rFonts w:ascii="Arabic Typesetting" w:hAnsi="Arabic Typesetting" w:cs="Arabic Typesetting"/>
                <w:b/>
                <w:i/>
                <w:sz w:val="28"/>
                <w:szCs w:val="28"/>
                <w:rtl/>
                <w:lang w:bidi="ar-EG"/>
              </w:rPr>
            </w:pPr>
            <w:r w:rsidRPr="00080105">
              <w:rPr>
                <w:rFonts w:ascii="Arabic Typesetting" w:hAnsi="Arabic Typesetting" w:cs="Arabic Typesetting"/>
                <w:b/>
                <w:i/>
                <w:color w:val="000000"/>
                <w:sz w:val="28"/>
                <w:szCs w:val="28"/>
                <w:rtl/>
                <w:lang w:bidi="ar-EG"/>
              </w:rPr>
              <w:t>تحسين أماكن العمل الخاصة بالمطبعة وموظفي الوثائق</w:t>
            </w:r>
          </w:p>
        </w:tc>
      </w:tr>
    </w:tbl>
    <w:p w:rsidR="00ED2EEA" w:rsidRPr="00080105" w:rsidRDefault="00ED2EEA" w:rsidP="00ED2EEA">
      <w:pPr>
        <w:bidi/>
        <w:spacing w:before="120" w:after="120"/>
        <w:rPr>
          <w:rFonts w:ascii="Arabic Typesetting" w:hAnsi="Arabic Typesetting" w:cs="Arabic Typesetting"/>
          <w:sz w:val="34"/>
          <w:szCs w:val="34"/>
          <w:lang w:bidi="ar-EG"/>
        </w:rPr>
      </w:pPr>
      <w:r w:rsidRPr="00080105">
        <w:rPr>
          <w:rFonts w:ascii="Arabic Typesetting" w:hAnsi="Arabic Typesetting" w:cs="Arabic Typesetting"/>
          <w:color w:val="000000"/>
          <w:sz w:val="34"/>
          <w:szCs w:val="34"/>
          <w:rtl/>
          <w:lang w:bidi="ar-EG"/>
        </w:rPr>
        <w:lastRenderedPageBreak/>
        <w:t>استخدام الموارد</w:t>
      </w:r>
      <w:r w:rsidRPr="00F96634">
        <w:rPr>
          <w:rStyle w:val="FootnoteReference"/>
          <w:rFonts w:ascii="Arabic Typesetting" w:hAnsi="Arabic Typesetting" w:cs="Arabic Typesetting"/>
          <w:color w:val="000000"/>
          <w:sz w:val="28"/>
          <w:szCs w:val="28"/>
          <w:rtl/>
          <w:lang w:bidi="ar-EG"/>
        </w:rPr>
        <w:footnoteReference w:id="177"/>
      </w:r>
    </w:p>
    <w:p w:rsidR="00F96634" w:rsidRPr="00080105" w:rsidRDefault="00F96634" w:rsidP="00F96634">
      <w:pPr>
        <w:keepNext/>
        <w:keepLines/>
        <w:tabs>
          <w:tab w:val="left" w:pos="3261"/>
        </w:tabs>
        <w:autoSpaceDE w:val="0"/>
        <w:autoSpaceDN w:val="0"/>
        <w:bidi/>
        <w:adjustRightInd w:val="0"/>
        <w:spacing w:line="340" w:lineRule="exact"/>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t>استخدام ميزانية المشروع</w:t>
      </w:r>
    </w:p>
    <w:p w:rsidR="00F96634" w:rsidRPr="00080105" w:rsidRDefault="00F96634" w:rsidP="0086174B">
      <w:pPr>
        <w:keepNext/>
        <w:keepLines/>
        <w:tabs>
          <w:tab w:val="left" w:pos="3261"/>
        </w:tabs>
        <w:autoSpaceDE w:val="0"/>
        <w:autoSpaceDN w:val="0"/>
        <w:bidi/>
        <w:adjustRightInd w:val="0"/>
        <w:spacing w:after="120" w:line="340" w:lineRule="exact"/>
        <w:jc w:val="center"/>
        <w:rPr>
          <w:rFonts w:ascii="Arabic Typesetting" w:hAnsi="Arabic Typesetting" w:cs="Arabic Typesetting"/>
          <w:iCs/>
          <w:sz w:val="34"/>
          <w:szCs w:val="34"/>
          <w:rtl/>
          <w:lang w:bidi="ar-EG"/>
        </w:rPr>
      </w:pPr>
      <w:r w:rsidRPr="00080105">
        <w:rPr>
          <w:rFonts w:ascii="Arabic Typesetting" w:hAnsi="Arabic Typesetting" w:cs="Arabic Typesetting"/>
          <w:iCs/>
          <w:sz w:val="34"/>
          <w:szCs w:val="34"/>
          <w:rtl/>
          <w:lang w:bidi="ar-EG"/>
        </w:rPr>
        <w:t xml:space="preserve">(بالفرنك السويسري، في 31 ديسمبر </w:t>
      </w:r>
      <w:r w:rsidR="0086174B">
        <w:rPr>
          <w:rFonts w:ascii="Arabic Typesetting" w:hAnsi="Arabic Typesetting" w:cs="Arabic Typesetting" w:hint="cs"/>
          <w:iCs/>
          <w:sz w:val="34"/>
          <w:szCs w:val="34"/>
          <w:rtl/>
          <w:lang w:bidi="ar-EG"/>
        </w:rPr>
        <w:t>2015</w:t>
      </w:r>
      <w:r w:rsidRPr="00080105">
        <w:rPr>
          <w:rFonts w:ascii="Arabic Typesetting" w:hAnsi="Arabic Typesetting" w:cs="Arabic Typesetting"/>
          <w:iCs/>
          <w:sz w:val="34"/>
          <w:szCs w:val="34"/>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564"/>
        <w:gridCol w:w="1565"/>
        <w:gridCol w:w="1565"/>
        <w:gridCol w:w="1564"/>
      </w:tblGrid>
      <w:tr w:rsidR="00F96634" w:rsidRPr="00080105" w:rsidTr="00F96634">
        <w:trPr>
          <w:trHeight w:val="410"/>
        </w:trPr>
        <w:tc>
          <w:tcPr>
            <w:tcW w:w="1598" w:type="pct"/>
            <w:shd w:val="clear" w:color="auto" w:fill="C6D9F1"/>
            <w:vAlign w:val="center"/>
          </w:tcPr>
          <w:p w:rsidR="00F96634" w:rsidRPr="00080105" w:rsidRDefault="00F96634" w:rsidP="00F96634">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اسم المشروع</w:t>
            </w:r>
          </w:p>
        </w:tc>
        <w:tc>
          <w:tcPr>
            <w:tcW w:w="850" w:type="pct"/>
            <w:shd w:val="clear" w:color="auto" w:fill="C6D9F1"/>
            <w:vAlign w:val="center"/>
          </w:tcPr>
          <w:p w:rsidR="00F96634" w:rsidRPr="00080105" w:rsidRDefault="00F96634" w:rsidP="00F96634">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851" w:type="pct"/>
            <w:shd w:val="clear" w:color="auto" w:fill="C6D9F1"/>
            <w:vAlign w:val="center"/>
          </w:tcPr>
          <w:p w:rsidR="00F96634" w:rsidRPr="00080105" w:rsidRDefault="00F96634" w:rsidP="00F96634">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p>
        </w:tc>
        <w:tc>
          <w:tcPr>
            <w:tcW w:w="851"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c>
          <w:tcPr>
            <w:tcW w:w="850"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معدل التقدم المحرز في تنفيذ المشروع</w:t>
            </w:r>
          </w:p>
        </w:tc>
      </w:tr>
      <w:tr w:rsidR="0086174B" w:rsidRPr="00080105" w:rsidTr="00F96634">
        <w:trPr>
          <w:trHeight w:val="389"/>
        </w:trPr>
        <w:tc>
          <w:tcPr>
            <w:tcW w:w="1598" w:type="pct"/>
            <w:vAlign w:val="center"/>
          </w:tcPr>
          <w:p w:rsidR="0086174B" w:rsidRPr="00080105" w:rsidRDefault="0086174B" w:rsidP="0086174B">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 xml:space="preserve">مبنى </w:t>
            </w:r>
            <w:proofErr w:type="spellStart"/>
            <w:r w:rsidRPr="00080105">
              <w:rPr>
                <w:rFonts w:ascii="Arabic Typesetting" w:hAnsi="Arabic Typesetting" w:cs="Arabic Typesetting"/>
                <w:sz w:val="28"/>
                <w:szCs w:val="28"/>
                <w:rtl/>
                <w:lang w:bidi="ar-EG"/>
              </w:rPr>
              <w:t>أرباد</w:t>
            </w:r>
            <w:proofErr w:type="spellEnd"/>
            <w:r w:rsidRPr="00080105">
              <w:rPr>
                <w:rFonts w:ascii="Arabic Typesetting" w:hAnsi="Arabic Typesetting" w:cs="Arabic Typesetting"/>
                <w:sz w:val="28"/>
                <w:szCs w:val="28"/>
                <w:rtl/>
                <w:lang w:bidi="ar-EG"/>
              </w:rPr>
              <w:t xml:space="preserve"> </w:t>
            </w:r>
            <w:proofErr w:type="spellStart"/>
            <w:r w:rsidRPr="00080105">
              <w:rPr>
                <w:rFonts w:ascii="Arabic Typesetting" w:hAnsi="Arabic Typesetting" w:cs="Arabic Typesetting"/>
                <w:sz w:val="28"/>
                <w:szCs w:val="28"/>
                <w:rtl/>
                <w:lang w:bidi="ar-EG"/>
              </w:rPr>
              <w:t>بوكش</w:t>
            </w:r>
            <w:proofErr w:type="spellEnd"/>
            <w:r w:rsidRPr="00080105">
              <w:rPr>
                <w:rFonts w:ascii="Arabic Typesetting" w:hAnsi="Arabic Typesetting" w:cs="Arabic Typesetting"/>
                <w:sz w:val="28"/>
                <w:szCs w:val="28"/>
                <w:rtl/>
                <w:lang w:bidi="ar-EG"/>
              </w:rPr>
              <w:t xml:space="preserve"> المرحلة الأولى من تجديد القبو (تغيير حجم مركز البيانات وتجديد المطبعة)</w:t>
            </w:r>
          </w:p>
        </w:tc>
        <w:tc>
          <w:tcPr>
            <w:tcW w:w="850" w:type="pct"/>
            <w:vAlign w:val="center"/>
          </w:tcPr>
          <w:p w:rsidR="0086174B" w:rsidRPr="004E3CEE" w:rsidRDefault="0086174B" w:rsidP="0086174B">
            <w:pPr>
              <w:keepNext/>
              <w:keepLines/>
              <w:autoSpaceDE w:val="0"/>
              <w:autoSpaceDN w:val="0"/>
              <w:adjustRightInd w:val="0"/>
              <w:spacing w:before="40" w:after="40"/>
              <w:jc w:val="center"/>
              <w:rPr>
                <w:noProof/>
                <w:sz w:val="16"/>
                <w:szCs w:val="16"/>
              </w:rPr>
            </w:pPr>
            <w:r w:rsidRPr="004E3CEE">
              <w:rPr>
                <w:noProof/>
                <w:sz w:val="16"/>
                <w:szCs w:val="16"/>
              </w:rPr>
              <w:t>960</w:t>
            </w:r>
            <w:r>
              <w:rPr>
                <w:noProof/>
                <w:sz w:val="16"/>
                <w:szCs w:val="16"/>
              </w:rPr>
              <w:t>,</w:t>
            </w:r>
            <w:r w:rsidRPr="004E3CEE">
              <w:rPr>
                <w:noProof/>
                <w:sz w:val="16"/>
                <w:szCs w:val="16"/>
              </w:rPr>
              <w:t>000</w:t>
            </w:r>
          </w:p>
        </w:tc>
        <w:tc>
          <w:tcPr>
            <w:tcW w:w="851"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sidRPr="00BD06DF">
              <w:rPr>
                <w:noProof/>
                <w:sz w:val="16"/>
                <w:szCs w:val="16"/>
              </w:rPr>
              <w:t>5,000</w:t>
            </w:r>
          </w:p>
        </w:tc>
        <w:tc>
          <w:tcPr>
            <w:tcW w:w="851"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sidRPr="00BD06DF">
              <w:rPr>
                <w:noProof/>
                <w:sz w:val="16"/>
                <w:szCs w:val="16"/>
              </w:rPr>
              <w:t>0.5%</w:t>
            </w:r>
          </w:p>
        </w:tc>
        <w:tc>
          <w:tcPr>
            <w:tcW w:w="850"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sidRPr="00BD06DF">
              <w:rPr>
                <w:noProof/>
                <w:sz w:val="16"/>
                <w:szCs w:val="16"/>
              </w:rPr>
              <w:t>15%</w:t>
            </w:r>
          </w:p>
        </w:tc>
      </w:tr>
    </w:tbl>
    <w:p w:rsidR="00F96634" w:rsidRPr="00080105" w:rsidRDefault="00F96634" w:rsidP="0086174B">
      <w:pPr>
        <w:keepNext/>
        <w:keepLines/>
        <w:tabs>
          <w:tab w:val="left" w:pos="3261"/>
        </w:tabs>
        <w:autoSpaceDE w:val="0"/>
        <w:autoSpaceDN w:val="0"/>
        <w:bidi/>
        <w:adjustRightInd w:val="0"/>
        <w:spacing w:before="120" w:line="340" w:lineRule="exact"/>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t>استخدام ميزانية المشروع (حسب المعالم)</w:t>
      </w:r>
    </w:p>
    <w:p w:rsidR="00F96634" w:rsidRPr="00080105" w:rsidRDefault="00F96634" w:rsidP="0086174B">
      <w:pPr>
        <w:keepNext/>
        <w:keepLines/>
        <w:tabs>
          <w:tab w:val="left" w:pos="3261"/>
        </w:tabs>
        <w:autoSpaceDE w:val="0"/>
        <w:autoSpaceDN w:val="0"/>
        <w:bidi/>
        <w:adjustRightInd w:val="0"/>
        <w:spacing w:after="120" w:line="340" w:lineRule="exact"/>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 xml:space="preserve">(بالفرنك السويسري، في 31 ديسمبر </w:t>
      </w:r>
      <w:r w:rsidR="0086174B">
        <w:rPr>
          <w:rFonts w:ascii="Arabic Typesetting" w:hAnsi="Arabic Typesetting" w:cs="Arabic Typesetting" w:hint="cs"/>
          <w:iCs/>
          <w:sz w:val="34"/>
          <w:szCs w:val="34"/>
          <w:rtl/>
          <w:lang w:bidi="ar-EG"/>
        </w:rPr>
        <w:t>2015</w:t>
      </w:r>
      <w:r w:rsidRPr="00080105">
        <w:rPr>
          <w:rFonts w:ascii="Arabic Typesetting" w:hAnsi="Arabic Typesetting" w:cs="Arabic Typesetting"/>
          <w:iCs/>
          <w:sz w:val="34"/>
          <w:szCs w:val="34"/>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8"/>
        <w:gridCol w:w="1575"/>
        <w:gridCol w:w="1575"/>
        <w:gridCol w:w="1575"/>
        <w:gridCol w:w="1575"/>
      </w:tblGrid>
      <w:tr w:rsidR="00F96634" w:rsidRPr="00080105" w:rsidTr="00F96634">
        <w:trPr>
          <w:trHeight w:val="410"/>
        </w:trPr>
        <w:tc>
          <w:tcPr>
            <w:tcW w:w="1575" w:type="pct"/>
            <w:shd w:val="clear" w:color="auto" w:fill="C6D9F1"/>
            <w:vAlign w:val="center"/>
          </w:tcPr>
          <w:p w:rsidR="00F96634" w:rsidRPr="00080105" w:rsidRDefault="00F96634" w:rsidP="00F96634">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المعالم الرئيسية</w:t>
            </w:r>
          </w:p>
        </w:tc>
        <w:tc>
          <w:tcPr>
            <w:tcW w:w="856" w:type="pct"/>
            <w:shd w:val="clear" w:color="auto" w:fill="C6D9F1"/>
            <w:vAlign w:val="center"/>
          </w:tcPr>
          <w:p w:rsidR="00F96634" w:rsidRPr="00080105" w:rsidRDefault="00F96634" w:rsidP="00F96634">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856" w:type="pct"/>
            <w:shd w:val="clear" w:color="auto" w:fill="C6D9F1"/>
            <w:vAlign w:val="center"/>
          </w:tcPr>
          <w:p w:rsidR="00F96634" w:rsidRPr="00080105" w:rsidRDefault="00F96634" w:rsidP="00F96634">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p>
        </w:tc>
        <w:tc>
          <w:tcPr>
            <w:tcW w:w="856"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108"/>
              <w:jc w:val="center"/>
              <w:rPr>
                <w:rFonts w:ascii="Arabic Typesetting" w:hAnsi="Arabic Typesetting" w:cs="Arabic Typesetting"/>
                <w:sz w:val="28"/>
                <w:szCs w:val="28"/>
              </w:rPr>
            </w:pPr>
            <w:r w:rsidRPr="00080105">
              <w:rPr>
                <w:rFonts w:ascii="Arabic Typesetting" w:hAnsi="Arabic Typesetting" w:cs="Arabic Typesetting"/>
                <w:bCs/>
                <w:sz w:val="28"/>
                <w:szCs w:val="28"/>
                <w:rtl/>
                <w:lang w:bidi="ar-EG"/>
              </w:rPr>
              <w:t>الاستخدام الفعلي للميزانية</w:t>
            </w:r>
          </w:p>
        </w:tc>
        <w:tc>
          <w:tcPr>
            <w:tcW w:w="856"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معدل التقدم المحرز في تنفيذ المشروع حسب المعالم</w:t>
            </w:r>
          </w:p>
        </w:tc>
      </w:tr>
      <w:tr w:rsidR="0086174B" w:rsidRPr="00080105" w:rsidTr="00F96634">
        <w:trPr>
          <w:trHeight w:val="389"/>
        </w:trPr>
        <w:tc>
          <w:tcPr>
            <w:tcW w:w="1575" w:type="pct"/>
            <w:vAlign w:val="center"/>
          </w:tcPr>
          <w:p w:rsidR="0086174B" w:rsidRPr="00080105" w:rsidRDefault="0086174B" w:rsidP="0086174B">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منح العقود للمهندس المعماري والمهندسين الفنيين</w:t>
            </w:r>
            <w:r w:rsidRPr="00080105">
              <w:rPr>
                <w:rFonts w:ascii="Arabic Typesetting" w:hAnsi="Arabic Typesetting" w:cs="Arabic Typesetting"/>
                <w:noProof/>
                <w:color w:val="000000"/>
                <w:sz w:val="28"/>
                <w:szCs w:val="28"/>
              </w:rPr>
              <w:t xml:space="preserve"> </w:t>
            </w:r>
          </w:p>
        </w:tc>
        <w:tc>
          <w:tcPr>
            <w:tcW w:w="856" w:type="pct"/>
            <w:vAlign w:val="center"/>
          </w:tcPr>
          <w:p w:rsidR="0086174B" w:rsidRPr="004E3CEE" w:rsidRDefault="0086174B" w:rsidP="0086174B">
            <w:pPr>
              <w:keepNext/>
              <w:keepLines/>
              <w:autoSpaceDE w:val="0"/>
              <w:autoSpaceDN w:val="0"/>
              <w:adjustRightInd w:val="0"/>
              <w:spacing w:before="40" w:after="40"/>
              <w:jc w:val="center"/>
              <w:rPr>
                <w:noProof/>
                <w:sz w:val="16"/>
                <w:szCs w:val="16"/>
              </w:rPr>
            </w:pPr>
            <w:r w:rsidRPr="004E3CEE">
              <w:rPr>
                <w:noProof/>
                <w:sz w:val="16"/>
                <w:szCs w:val="16"/>
              </w:rPr>
              <w:t>144</w:t>
            </w:r>
            <w:r>
              <w:rPr>
                <w:noProof/>
                <w:sz w:val="16"/>
                <w:szCs w:val="16"/>
              </w:rPr>
              <w:t>,</w:t>
            </w:r>
            <w:r w:rsidRPr="004E3CEE">
              <w:rPr>
                <w:noProof/>
                <w:sz w:val="16"/>
                <w:szCs w:val="16"/>
              </w:rPr>
              <w:t>000</w:t>
            </w:r>
          </w:p>
        </w:tc>
        <w:tc>
          <w:tcPr>
            <w:tcW w:w="856"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sidRPr="00BD06DF">
              <w:rPr>
                <w:noProof/>
                <w:sz w:val="16"/>
                <w:szCs w:val="16"/>
              </w:rPr>
              <w:t>5,000</w:t>
            </w:r>
            <w:r>
              <w:rPr>
                <w:rStyle w:val="FootnoteReference"/>
                <w:noProof/>
                <w:sz w:val="16"/>
                <w:szCs w:val="16"/>
              </w:rPr>
              <w:footnoteReference w:id="178"/>
            </w:r>
          </w:p>
        </w:tc>
        <w:tc>
          <w:tcPr>
            <w:tcW w:w="856"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sidRPr="00BD06DF">
              <w:rPr>
                <w:noProof/>
                <w:sz w:val="16"/>
                <w:szCs w:val="16"/>
              </w:rPr>
              <w:t>3.5%</w:t>
            </w:r>
          </w:p>
        </w:tc>
        <w:tc>
          <w:tcPr>
            <w:tcW w:w="856"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sidRPr="00BD06DF">
              <w:rPr>
                <w:noProof/>
                <w:sz w:val="16"/>
                <w:szCs w:val="16"/>
              </w:rPr>
              <w:t>100%</w:t>
            </w:r>
          </w:p>
        </w:tc>
      </w:tr>
      <w:tr w:rsidR="0086174B" w:rsidRPr="00080105" w:rsidTr="00F96634">
        <w:trPr>
          <w:trHeight w:val="389"/>
        </w:trPr>
        <w:tc>
          <w:tcPr>
            <w:tcW w:w="1575" w:type="pct"/>
            <w:vAlign w:val="center"/>
          </w:tcPr>
          <w:p w:rsidR="0086174B" w:rsidRPr="00080105" w:rsidRDefault="0086174B" w:rsidP="0086174B">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الأعمال والتكليف</w:t>
            </w:r>
          </w:p>
        </w:tc>
        <w:tc>
          <w:tcPr>
            <w:tcW w:w="856" w:type="pct"/>
            <w:vAlign w:val="center"/>
          </w:tcPr>
          <w:p w:rsidR="0086174B" w:rsidRPr="004E3CEE" w:rsidRDefault="0086174B" w:rsidP="0086174B">
            <w:pPr>
              <w:keepNext/>
              <w:keepLines/>
              <w:autoSpaceDE w:val="0"/>
              <w:autoSpaceDN w:val="0"/>
              <w:adjustRightInd w:val="0"/>
              <w:spacing w:before="40" w:after="40"/>
              <w:jc w:val="center"/>
              <w:rPr>
                <w:noProof/>
                <w:sz w:val="16"/>
                <w:szCs w:val="16"/>
              </w:rPr>
            </w:pPr>
            <w:r w:rsidRPr="004E3CEE">
              <w:rPr>
                <w:noProof/>
                <w:sz w:val="16"/>
                <w:szCs w:val="16"/>
              </w:rPr>
              <w:t>816</w:t>
            </w:r>
            <w:r>
              <w:rPr>
                <w:noProof/>
                <w:sz w:val="16"/>
                <w:szCs w:val="16"/>
              </w:rPr>
              <w:t>,</w:t>
            </w:r>
            <w:r w:rsidRPr="004E3CEE">
              <w:rPr>
                <w:noProof/>
                <w:sz w:val="16"/>
                <w:szCs w:val="16"/>
              </w:rPr>
              <w:t>000</w:t>
            </w:r>
          </w:p>
        </w:tc>
        <w:tc>
          <w:tcPr>
            <w:tcW w:w="856"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sidRPr="00BD06DF">
              <w:rPr>
                <w:noProof/>
                <w:sz w:val="16"/>
                <w:szCs w:val="16"/>
              </w:rPr>
              <w:t>0</w:t>
            </w:r>
          </w:p>
        </w:tc>
        <w:tc>
          <w:tcPr>
            <w:tcW w:w="856"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sidRPr="00BD06DF">
              <w:rPr>
                <w:noProof/>
                <w:sz w:val="16"/>
                <w:szCs w:val="16"/>
              </w:rPr>
              <w:t>0</w:t>
            </w:r>
            <w:r>
              <w:rPr>
                <w:noProof/>
                <w:sz w:val="16"/>
                <w:szCs w:val="16"/>
              </w:rPr>
              <w:t>%</w:t>
            </w:r>
          </w:p>
        </w:tc>
        <w:tc>
          <w:tcPr>
            <w:tcW w:w="856" w:type="pct"/>
            <w:vAlign w:val="center"/>
          </w:tcPr>
          <w:p w:rsidR="0086174B" w:rsidRPr="00BD06DF" w:rsidRDefault="0086174B" w:rsidP="0086174B">
            <w:pPr>
              <w:keepNext/>
              <w:keepLines/>
              <w:autoSpaceDE w:val="0"/>
              <w:autoSpaceDN w:val="0"/>
              <w:adjustRightInd w:val="0"/>
              <w:spacing w:before="40" w:after="40"/>
              <w:jc w:val="center"/>
              <w:rPr>
                <w:noProof/>
                <w:sz w:val="16"/>
                <w:szCs w:val="16"/>
              </w:rPr>
            </w:pPr>
            <w:r>
              <w:rPr>
                <w:noProof/>
                <w:sz w:val="16"/>
                <w:szCs w:val="16"/>
              </w:rPr>
              <w:t>-</w:t>
            </w:r>
          </w:p>
        </w:tc>
      </w:tr>
      <w:tr w:rsidR="0086174B" w:rsidRPr="00080105" w:rsidTr="001D7014">
        <w:trPr>
          <w:trHeight w:val="389"/>
        </w:trPr>
        <w:tc>
          <w:tcPr>
            <w:tcW w:w="1575" w:type="pct"/>
            <w:shd w:val="clear" w:color="auto" w:fill="C6D9F1"/>
            <w:vAlign w:val="center"/>
          </w:tcPr>
          <w:p w:rsidR="0086174B" w:rsidRPr="00080105" w:rsidRDefault="0086174B" w:rsidP="0086174B">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المجموع</w:t>
            </w:r>
          </w:p>
        </w:tc>
        <w:tc>
          <w:tcPr>
            <w:tcW w:w="856" w:type="pct"/>
            <w:shd w:val="clear" w:color="auto" w:fill="C6D9F1"/>
            <w:vAlign w:val="bottom"/>
          </w:tcPr>
          <w:p w:rsidR="0086174B" w:rsidRPr="004E3CEE" w:rsidRDefault="0086174B" w:rsidP="0086174B">
            <w:pPr>
              <w:keepNext/>
              <w:keepLines/>
              <w:autoSpaceDE w:val="0"/>
              <w:autoSpaceDN w:val="0"/>
              <w:adjustRightInd w:val="0"/>
              <w:spacing w:before="40" w:after="40"/>
              <w:jc w:val="center"/>
              <w:rPr>
                <w:b/>
                <w:noProof/>
                <w:sz w:val="16"/>
                <w:szCs w:val="16"/>
              </w:rPr>
            </w:pPr>
            <w:r w:rsidRPr="004E3CEE">
              <w:rPr>
                <w:b/>
                <w:noProof/>
                <w:sz w:val="16"/>
                <w:szCs w:val="16"/>
              </w:rPr>
              <w:t>960</w:t>
            </w:r>
            <w:r>
              <w:rPr>
                <w:b/>
                <w:noProof/>
                <w:sz w:val="16"/>
                <w:szCs w:val="16"/>
              </w:rPr>
              <w:t>,</w:t>
            </w:r>
            <w:r w:rsidRPr="004E3CEE">
              <w:rPr>
                <w:b/>
                <w:noProof/>
                <w:sz w:val="16"/>
                <w:szCs w:val="16"/>
              </w:rPr>
              <w:t>000</w:t>
            </w:r>
          </w:p>
        </w:tc>
        <w:tc>
          <w:tcPr>
            <w:tcW w:w="856" w:type="pct"/>
            <w:shd w:val="clear" w:color="auto" w:fill="C6D9F1"/>
            <w:vAlign w:val="bottom"/>
          </w:tcPr>
          <w:p w:rsidR="0086174B" w:rsidRPr="00BD06DF" w:rsidRDefault="0086174B" w:rsidP="0086174B">
            <w:pPr>
              <w:keepNext/>
              <w:keepLines/>
              <w:autoSpaceDE w:val="0"/>
              <w:autoSpaceDN w:val="0"/>
              <w:adjustRightInd w:val="0"/>
              <w:spacing w:before="40" w:after="40"/>
              <w:jc w:val="center"/>
              <w:rPr>
                <w:b/>
                <w:noProof/>
                <w:sz w:val="16"/>
                <w:szCs w:val="16"/>
              </w:rPr>
            </w:pPr>
            <w:r w:rsidRPr="00BD06DF">
              <w:rPr>
                <w:b/>
                <w:noProof/>
                <w:sz w:val="16"/>
                <w:szCs w:val="16"/>
              </w:rPr>
              <w:t>5,000</w:t>
            </w:r>
          </w:p>
        </w:tc>
        <w:tc>
          <w:tcPr>
            <w:tcW w:w="856" w:type="pct"/>
            <w:shd w:val="clear" w:color="auto" w:fill="C6D9F1"/>
            <w:vAlign w:val="bottom"/>
          </w:tcPr>
          <w:p w:rsidR="0086174B" w:rsidRPr="00BD06DF" w:rsidRDefault="0086174B" w:rsidP="0086174B">
            <w:pPr>
              <w:keepNext/>
              <w:keepLines/>
              <w:autoSpaceDE w:val="0"/>
              <w:autoSpaceDN w:val="0"/>
              <w:adjustRightInd w:val="0"/>
              <w:spacing w:before="40" w:after="40"/>
              <w:jc w:val="center"/>
              <w:rPr>
                <w:b/>
                <w:noProof/>
                <w:sz w:val="16"/>
                <w:szCs w:val="16"/>
              </w:rPr>
            </w:pPr>
            <w:r w:rsidRPr="00BD06DF">
              <w:rPr>
                <w:b/>
                <w:noProof/>
                <w:sz w:val="16"/>
                <w:szCs w:val="16"/>
              </w:rPr>
              <w:t>0.5%</w:t>
            </w:r>
          </w:p>
        </w:tc>
        <w:tc>
          <w:tcPr>
            <w:tcW w:w="856" w:type="pct"/>
            <w:shd w:val="clear" w:color="auto" w:fill="C6D9F1"/>
            <w:vAlign w:val="bottom"/>
          </w:tcPr>
          <w:p w:rsidR="0086174B" w:rsidRPr="00BD06DF" w:rsidRDefault="0086174B" w:rsidP="0086174B">
            <w:pPr>
              <w:keepNext/>
              <w:keepLines/>
              <w:autoSpaceDE w:val="0"/>
              <w:autoSpaceDN w:val="0"/>
              <w:adjustRightInd w:val="0"/>
              <w:spacing w:before="40" w:after="40"/>
              <w:jc w:val="center"/>
              <w:rPr>
                <w:b/>
                <w:noProof/>
                <w:sz w:val="16"/>
                <w:szCs w:val="16"/>
              </w:rPr>
            </w:pPr>
          </w:p>
        </w:tc>
      </w:tr>
    </w:tbl>
    <w:p w:rsidR="00F96634" w:rsidRPr="00080105" w:rsidRDefault="00F96634" w:rsidP="0086174B">
      <w:pPr>
        <w:keepNext/>
        <w:keepLines/>
        <w:tabs>
          <w:tab w:val="left" w:pos="3261"/>
        </w:tabs>
        <w:autoSpaceDE w:val="0"/>
        <w:autoSpaceDN w:val="0"/>
        <w:bidi/>
        <w:adjustRightInd w:val="0"/>
        <w:spacing w:before="120" w:line="340" w:lineRule="exact"/>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t>استخدام ميزانية المشروع (حسب فئة التكلفة)</w:t>
      </w:r>
    </w:p>
    <w:p w:rsidR="00F96634" w:rsidRPr="00080105" w:rsidRDefault="00F96634" w:rsidP="00F96634">
      <w:pPr>
        <w:keepNext/>
        <w:keepLines/>
        <w:tabs>
          <w:tab w:val="left" w:pos="3261"/>
        </w:tabs>
        <w:autoSpaceDE w:val="0"/>
        <w:autoSpaceDN w:val="0"/>
        <w:bidi/>
        <w:adjustRightInd w:val="0"/>
        <w:spacing w:after="120" w:line="340" w:lineRule="exact"/>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bidiVisual/>
        <w:tblW w:w="4581"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1"/>
        <w:gridCol w:w="1840"/>
        <w:gridCol w:w="1840"/>
        <w:gridCol w:w="1838"/>
      </w:tblGrid>
      <w:tr w:rsidR="00F96634" w:rsidRPr="00080105" w:rsidTr="00F96634">
        <w:trPr>
          <w:trHeight w:val="569"/>
        </w:trPr>
        <w:tc>
          <w:tcPr>
            <w:tcW w:w="1854"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فئة التكلفة</w:t>
            </w:r>
          </w:p>
        </w:tc>
        <w:tc>
          <w:tcPr>
            <w:tcW w:w="1049"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1049"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r w:rsidRPr="00080105">
              <w:rPr>
                <w:rFonts w:ascii="Arabic Typesetting" w:hAnsi="Arabic Typesetting" w:cs="Arabic Typesetting"/>
                <w:b/>
                <w:noProof/>
                <w:sz w:val="28"/>
                <w:szCs w:val="28"/>
              </w:rPr>
              <w:t xml:space="preserve"> </w:t>
            </w:r>
          </w:p>
        </w:tc>
        <w:tc>
          <w:tcPr>
            <w:tcW w:w="1048"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r>
      <w:tr w:rsidR="0086174B" w:rsidRPr="00080105" w:rsidTr="00F96634">
        <w:tc>
          <w:tcPr>
            <w:tcW w:w="1854" w:type="pct"/>
            <w:vAlign w:val="center"/>
          </w:tcPr>
          <w:p w:rsidR="0086174B" w:rsidRPr="00080105" w:rsidRDefault="0086174B"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التكاليف المتعلقة بالبناء</w:t>
            </w:r>
          </w:p>
        </w:tc>
        <w:tc>
          <w:tcPr>
            <w:tcW w:w="1049" w:type="pct"/>
            <w:vAlign w:val="center"/>
          </w:tcPr>
          <w:p w:rsidR="0086174B" w:rsidRPr="004E3CEE" w:rsidRDefault="0086174B" w:rsidP="001D7014">
            <w:pPr>
              <w:autoSpaceDE w:val="0"/>
              <w:autoSpaceDN w:val="0"/>
              <w:adjustRightInd w:val="0"/>
              <w:spacing w:before="40" w:after="40"/>
              <w:jc w:val="center"/>
              <w:rPr>
                <w:noProof/>
                <w:sz w:val="16"/>
                <w:szCs w:val="16"/>
              </w:rPr>
            </w:pPr>
            <w:r w:rsidRPr="004E3CEE">
              <w:rPr>
                <w:noProof/>
                <w:sz w:val="16"/>
                <w:szCs w:val="16"/>
              </w:rPr>
              <w:t>759</w:t>
            </w:r>
            <w:r>
              <w:rPr>
                <w:noProof/>
                <w:sz w:val="16"/>
                <w:szCs w:val="16"/>
              </w:rPr>
              <w:t>,</w:t>
            </w:r>
            <w:r w:rsidRPr="004E3CEE">
              <w:rPr>
                <w:noProof/>
                <w:sz w:val="16"/>
                <w:szCs w:val="16"/>
              </w:rPr>
              <w:t>000</w:t>
            </w:r>
          </w:p>
        </w:tc>
        <w:tc>
          <w:tcPr>
            <w:tcW w:w="1049" w:type="pct"/>
          </w:tcPr>
          <w:p w:rsidR="0086174B" w:rsidRPr="004E3CEE" w:rsidRDefault="0086174B" w:rsidP="001D7014">
            <w:pPr>
              <w:autoSpaceDE w:val="0"/>
              <w:autoSpaceDN w:val="0"/>
              <w:adjustRightInd w:val="0"/>
              <w:spacing w:before="40" w:after="40"/>
              <w:jc w:val="center"/>
              <w:rPr>
                <w:noProof/>
                <w:sz w:val="16"/>
                <w:szCs w:val="16"/>
              </w:rPr>
            </w:pPr>
            <w:r>
              <w:rPr>
                <w:noProof/>
                <w:sz w:val="16"/>
                <w:szCs w:val="16"/>
              </w:rPr>
              <w:t>0</w:t>
            </w:r>
          </w:p>
        </w:tc>
        <w:tc>
          <w:tcPr>
            <w:tcW w:w="1048" w:type="pct"/>
          </w:tcPr>
          <w:p w:rsidR="0086174B" w:rsidRPr="004E3CEE" w:rsidRDefault="0086174B" w:rsidP="001D7014">
            <w:pPr>
              <w:autoSpaceDE w:val="0"/>
              <w:autoSpaceDN w:val="0"/>
              <w:adjustRightInd w:val="0"/>
              <w:spacing w:before="40" w:after="40"/>
              <w:jc w:val="center"/>
              <w:rPr>
                <w:noProof/>
                <w:sz w:val="16"/>
                <w:szCs w:val="16"/>
              </w:rPr>
            </w:pPr>
            <w:r>
              <w:rPr>
                <w:noProof/>
                <w:sz w:val="16"/>
                <w:szCs w:val="16"/>
              </w:rPr>
              <w:t>0%</w:t>
            </w:r>
          </w:p>
        </w:tc>
      </w:tr>
      <w:tr w:rsidR="0086174B" w:rsidRPr="00080105" w:rsidTr="00F96634">
        <w:tc>
          <w:tcPr>
            <w:tcW w:w="1854" w:type="pct"/>
            <w:vAlign w:val="center"/>
          </w:tcPr>
          <w:p w:rsidR="0086174B" w:rsidRPr="00080105" w:rsidRDefault="0086174B"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الأتعاب</w:t>
            </w:r>
          </w:p>
        </w:tc>
        <w:tc>
          <w:tcPr>
            <w:tcW w:w="1049" w:type="pct"/>
            <w:vAlign w:val="center"/>
          </w:tcPr>
          <w:p w:rsidR="0086174B" w:rsidRPr="004E3CEE" w:rsidRDefault="0086174B" w:rsidP="001D7014">
            <w:pPr>
              <w:autoSpaceDE w:val="0"/>
              <w:autoSpaceDN w:val="0"/>
              <w:adjustRightInd w:val="0"/>
              <w:spacing w:before="40" w:after="40"/>
              <w:jc w:val="center"/>
              <w:rPr>
                <w:noProof/>
                <w:sz w:val="16"/>
                <w:szCs w:val="16"/>
              </w:rPr>
            </w:pPr>
            <w:r w:rsidRPr="004E3CEE">
              <w:rPr>
                <w:noProof/>
                <w:sz w:val="16"/>
                <w:szCs w:val="16"/>
              </w:rPr>
              <w:t>144</w:t>
            </w:r>
            <w:r>
              <w:rPr>
                <w:noProof/>
                <w:sz w:val="16"/>
                <w:szCs w:val="16"/>
              </w:rPr>
              <w:t>,</w:t>
            </w:r>
            <w:r w:rsidRPr="004E3CEE">
              <w:rPr>
                <w:noProof/>
                <w:sz w:val="16"/>
                <w:szCs w:val="16"/>
              </w:rPr>
              <w:t>000</w:t>
            </w:r>
          </w:p>
        </w:tc>
        <w:tc>
          <w:tcPr>
            <w:tcW w:w="1049" w:type="pct"/>
            <w:vAlign w:val="center"/>
          </w:tcPr>
          <w:p w:rsidR="0086174B" w:rsidRPr="00BD06DF" w:rsidRDefault="0086174B" w:rsidP="001D7014">
            <w:pPr>
              <w:spacing w:before="40" w:after="40"/>
              <w:jc w:val="center"/>
              <w:rPr>
                <w:noProof/>
                <w:sz w:val="16"/>
                <w:szCs w:val="16"/>
              </w:rPr>
            </w:pPr>
            <w:r w:rsidRPr="00BD06DF">
              <w:rPr>
                <w:noProof/>
                <w:sz w:val="16"/>
                <w:szCs w:val="16"/>
              </w:rPr>
              <w:t>5,000</w:t>
            </w:r>
            <w:r>
              <w:rPr>
                <w:rStyle w:val="FootnoteReference"/>
                <w:noProof/>
                <w:sz w:val="16"/>
                <w:szCs w:val="16"/>
              </w:rPr>
              <w:footnoteReference w:id="179"/>
            </w:r>
          </w:p>
        </w:tc>
        <w:tc>
          <w:tcPr>
            <w:tcW w:w="1048" w:type="pct"/>
            <w:vAlign w:val="center"/>
          </w:tcPr>
          <w:p w:rsidR="0086174B" w:rsidRPr="00BD06DF" w:rsidRDefault="0086174B" w:rsidP="001D7014">
            <w:pPr>
              <w:spacing w:before="40" w:after="40"/>
              <w:jc w:val="center"/>
              <w:rPr>
                <w:noProof/>
                <w:sz w:val="16"/>
                <w:szCs w:val="16"/>
              </w:rPr>
            </w:pPr>
            <w:r w:rsidRPr="00BD06DF">
              <w:rPr>
                <w:noProof/>
                <w:sz w:val="16"/>
                <w:szCs w:val="16"/>
              </w:rPr>
              <w:t>3.5%</w:t>
            </w:r>
          </w:p>
        </w:tc>
      </w:tr>
      <w:tr w:rsidR="0086174B" w:rsidRPr="00080105" w:rsidTr="00F96634">
        <w:tc>
          <w:tcPr>
            <w:tcW w:w="1854" w:type="pct"/>
            <w:vAlign w:val="center"/>
          </w:tcPr>
          <w:p w:rsidR="0086174B" w:rsidRPr="00080105" w:rsidRDefault="0086174B"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الأمور النثرية وغير المتوقعة</w:t>
            </w:r>
          </w:p>
        </w:tc>
        <w:tc>
          <w:tcPr>
            <w:tcW w:w="1049" w:type="pct"/>
            <w:vAlign w:val="center"/>
          </w:tcPr>
          <w:p w:rsidR="0086174B" w:rsidRPr="004E3CEE" w:rsidRDefault="0086174B" w:rsidP="001D7014">
            <w:pPr>
              <w:autoSpaceDE w:val="0"/>
              <w:autoSpaceDN w:val="0"/>
              <w:adjustRightInd w:val="0"/>
              <w:spacing w:before="40" w:after="40"/>
              <w:jc w:val="center"/>
              <w:rPr>
                <w:noProof/>
                <w:sz w:val="16"/>
                <w:szCs w:val="16"/>
              </w:rPr>
            </w:pPr>
            <w:r w:rsidRPr="004E3CEE">
              <w:rPr>
                <w:noProof/>
                <w:sz w:val="16"/>
                <w:szCs w:val="16"/>
              </w:rPr>
              <w:t>67</w:t>
            </w:r>
            <w:r>
              <w:rPr>
                <w:noProof/>
                <w:sz w:val="16"/>
                <w:szCs w:val="16"/>
              </w:rPr>
              <w:t>,</w:t>
            </w:r>
            <w:r w:rsidRPr="004E3CEE">
              <w:rPr>
                <w:noProof/>
                <w:sz w:val="16"/>
                <w:szCs w:val="16"/>
              </w:rPr>
              <w:t>000</w:t>
            </w:r>
          </w:p>
        </w:tc>
        <w:tc>
          <w:tcPr>
            <w:tcW w:w="1049" w:type="pct"/>
            <w:vAlign w:val="center"/>
          </w:tcPr>
          <w:p w:rsidR="0086174B" w:rsidRPr="00BD06DF" w:rsidRDefault="0086174B" w:rsidP="001D7014">
            <w:pPr>
              <w:spacing w:before="40" w:after="40"/>
              <w:jc w:val="center"/>
              <w:rPr>
                <w:noProof/>
                <w:sz w:val="16"/>
                <w:szCs w:val="16"/>
              </w:rPr>
            </w:pPr>
            <w:r w:rsidRPr="00BD06DF">
              <w:rPr>
                <w:noProof/>
                <w:sz w:val="16"/>
                <w:szCs w:val="16"/>
              </w:rPr>
              <w:t>0</w:t>
            </w:r>
          </w:p>
        </w:tc>
        <w:tc>
          <w:tcPr>
            <w:tcW w:w="1048" w:type="pct"/>
            <w:vAlign w:val="center"/>
          </w:tcPr>
          <w:p w:rsidR="0086174B" w:rsidRPr="00BD06DF" w:rsidRDefault="0086174B" w:rsidP="001D7014">
            <w:pPr>
              <w:spacing w:before="40" w:after="40"/>
              <w:jc w:val="center"/>
              <w:rPr>
                <w:noProof/>
                <w:sz w:val="16"/>
                <w:szCs w:val="16"/>
              </w:rPr>
            </w:pPr>
            <w:r w:rsidRPr="00BD06DF">
              <w:rPr>
                <w:noProof/>
                <w:sz w:val="16"/>
                <w:szCs w:val="16"/>
              </w:rPr>
              <w:t>0%</w:t>
            </w:r>
          </w:p>
        </w:tc>
      </w:tr>
      <w:tr w:rsidR="0086174B" w:rsidRPr="00080105" w:rsidTr="00F96634">
        <w:tc>
          <w:tcPr>
            <w:tcW w:w="1854" w:type="pct"/>
            <w:shd w:val="clear" w:color="auto" w:fill="C6D9F1"/>
            <w:vAlign w:val="center"/>
          </w:tcPr>
          <w:p w:rsidR="0086174B" w:rsidRPr="00080105" w:rsidRDefault="0086174B"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المجموع</w:t>
            </w:r>
          </w:p>
        </w:tc>
        <w:tc>
          <w:tcPr>
            <w:tcW w:w="1049" w:type="pct"/>
            <w:shd w:val="clear" w:color="auto" w:fill="C6D9F1"/>
            <w:vAlign w:val="center"/>
          </w:tcPr>
          <w:p w:rsidR="0086174B" w:rsidRPr="004E3CEE" w:rsidRDefault="0086174B" w:rsidP="001D7014">
            <w:pPr>
              <w:autoSpaceDE w:val="0"/>
              <w:autoSpaceDN w:val="0"/>
              <w:adjustRightInd w:val="0"/>
              <w:spacing w:before="40" w:after="40"/>
              <w:jc w:val="center"/>
              <w:rPr>
                <w:b/>
                <w:noProof/>
                <w:sz w:val="16"/>
                <w:szCs w:val="16"/>
              </w:rPr>
            </w:pPr>
            <w:r w:rsidRPr="004E3CEE">
              <w:rPr>
                <w:b/>
                <w:noProof/>
                <w:sz w:val="16"/>
                <w:szCs w:val="16"/>
              </w:rPr>
              <w:t>960</w:t>
            </w:r>
            <w:r>
              <w:rPr>
                <w:b/>
                <w:noProof/>
                <w:sz w:val="16"/>
                <w:szCs w:val="16"/>
              </w:rPr>
              <w:t>,</w:t>
            </w:r>
            <w:r w:rsidRPr="004E3CEE">
              <w:rPr>
                <w:b/>
                <w:noProof/>
                <w:sz w:val="16"/>
                <w:szCs w:val="16"/>
              </w:rPr>
              <w:t>000</w:t>
            </w:r>
          </w:p>
        </w:tc>
        <w:tc>
          <w:tcPr>
            <w:tcW w:w="1049" w:type="pct"/>
            <w:shd w:val="clear" w:color="auto" w:fill="C6D9F1"/>
          </w:tcPr>
          <w:p w:rsidR="0086174B" w:rsidRPr="00BD06DF" w:rsidRDefault="0086174B" w:rsidP="001D7014">
            <w:pPr>
              <w:autoSpaceDE w:val="0"/>
              <w:autoSpaceDN w:val="0"/>
              <w:adjustRightInd w:val="0"/>
              <w:spacing w:before="40" w:after="40"/>
              <w:jc w:val="center"/>
              <w:rPr>
                <w:b/>
                <w:noProof/>
                <w:sz w:val="16"/>
                <w:szCs w:val="16"/>
              </w:rPr>
            </w:pPr>
            <w:r w:rsidRPr="00BD06DF">
              <w:rPr>
                <w:b/>
                <w:noProof/>
                <w:sz w:val="16"/>
                <w:szCs w:val="16"/>
              </w:rPr>
              <w:t>5,000</w:t>
            </w:r>
          </w:p>
        </w:tc>
        <w:tc>
          <w:tcPr>
            <w:tcW w:w="1048" w:type="pct"/>
            <w:shd w:val="clear" w:color="auto" w:fill="C6D9F1"/>
          </w:tcPr>
          <w:p w:rsidR="0086174B" w:rsidRPr="00BD06DF" w:rsidRDefault="0086174B" w:rsidP="001D7014">
            <w:pPr>
              <w:autoSpaceDE w:val="0"/>
              <w:autoSpaceDN w:val="0"/>
              <w:adjustRightInd w:val="0"/>
              <w:spacing w:before="40" w:after="40"/>
              <w:jc w:val="center"/>
              <w:rPr>
                <w:b/>
                <w:noProof/>
                <w:sz w:val="16"/>
                <w:szCs w:val="16"/>
              </w:rPr>
            </w:pPr>
            <w:r w:rsidRPr="00BD06DF">
              <w:rPr>
                <w:b/>
                <w:noProof/>
                <w:sz w:val="16"/>
                <w:szCs w:val="16"/>
              </w:rPr>
              <w:t>0.5%</w:t>
            </w:r>
          </w:p>
        </w:tc>
      </w:tr>
    </w:tbl>
    <w:p w:rsidR="00F96634" w:rsidRPr="00080105" w:rsidRDefault="00F96634" w:rsidP="008E0018">
      <w:pPr>
        <w:pageBreakBefore/>
        <w:bidi/>
        <w:spacing w:before="120" w:after="120"/>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lastRenderedPageBreak/>
        <w:t>المخاطر واستراتيجيات التخفيف من آثارها</w:t>
      </w:r>
    </w:p>
    <w:tbl>
      <w:tblPr>
        <w:bidiVisual/>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1"/>
        <w:gridCol w:w="3072"/>
        <w:gridCol w:w="3070"/>
      </w:tblGrid>
      <w:tr w:rsidR="00737EDC" w:rsidRPr="00080105" w:rsidTr="00F96634">
        <w:trPr>
          <w:trHeight w:val="308"/>
          <w:tblHeader/>
          <w:jc w:val="center"/>
        </w:trPr>
        <w:tc>
          <w:tcPr>
            <w:tcW w:w="1667" w:type="pct"/>
            <w:shd w:val="clear" w:color="auto" w:fill="C6D9F1"/>
            <w:vAlign w:val="center"/>
          </w:tcPr>
          <w:p w:rsidR="00737EDC" w:rsidRPr="006D69DC" w:rsidRDefault="00737EDC" w:rsidP="009E1288">
            <w:pPr>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المخاطر</w:t>
            </w:r>
            <w:r w:rsidRPr="006D69DC">
              <w:rPr>
                <w:rFonts w:ascii="Arabic Typesetting" w:hAnsi="Arabic Typesetting" w:cs="Arabic Typesetting" w:hint="cs"/>
                <w:bCs/>
                <w:sz w:val="28"/>
                <w:szCs w:val="28"/>
                <w:rtl/>
                <w:lang w:bidi="ar-EG"/>
              </w:rPr>
              <w:t>/وصف المخاطر</w:t>
            </w:r>
          </w:p>
        </w:tc>
        <w:tc>
          <w:tcPr>
            <w:tcW w:w="1667" w:type="pct"/>
            <w:shd w:val="clear" w:color="auto" w:fill="C6D9F1"/>
            <w:vAlign w:val="center"/>
          </w:tcPr>
          <w:p w:rsidR="00737EDC" w:rsidRPr="006D69DC" w:rsidRDefault="00737EDC" w:rsidP="009E1288">
            <w:pPr>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التخفيف من آثار المخاطر</w:t>
            </w:r>
          </w:p>
        </w:tc>
        <w:tc>
          <w:tcPr>
            <w:tcW w:w="1666" w:type="pct"/>
            <w:shd w:val="clear" w:color="auto" w:fill="C6D9F1"/>
            <w:vAlign w:val="center"/>
          </w:tcPr>
          <w:p w:rsidR="00737EDC" w:rsidRPr="006D69DC" w:rsidRDefault="00737EDC" w:rsidP="009E1288">
            <w:pPr>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Pr>
                <w:rFonts w:ascii="Arabic Typesetting" w:hAnsi="Arabic Typesetting" w:cs="Arabic Typesetting" w:hint="cs"/>
                <w:bCs/>
                <w:sz w:val="28"/>
                <w:szCs w:val="28"/>
                <w:rtl/>
                <w:lang w:bidi="ar-EG"/>
              </w:rPr>
              <w:t>ال</w:t>
            </w:r>
            <w:r w:rsidRPr="006D69DC">
              <w:rPr>
                <w:rFonts w:ascii="Arabic Typesetting" w:hAnsi="Arabic Typesetting" w:cs="Arabic Typesetting" w:hint="cs"/>
                <w:bCs/>
                <w:sz w:val="28"/>
                <w:szCs w:val="28"/>
                <w:rtl/>
                <w:lang w:bidi="ar-EG"/>
              </w:rPr>
              <w:t>تعليق</w:t>
            </w:r>
            <w:r>
              <w:rPr>
                <w:rFonts w:ascii="Arabic Typesetting" w:hAnsi="Arabic Typesetting" w:cs="Arabic Typesetting" w:hint="cs"/>
                <w:bCs/>
                <w:sz w:val="28"/>
                <w:szCs w:val="28"/>
                <w:rtl/>
                <w:lang w:bidi="ar-EG"/>
              </w:rPr>
              <w:t>ات</w:t>
            </w:r>
          </w:p>
        </w:tc>
      </w:tr>
      <w:tr w:rsidR="00F96634" w:rsidRPr="00080105" w:rsidTr="00F96634">
        <w:trPr>
          <w:trHeight w:val="776"/>
          <w:jc w:val="center"/>
        </w:trPr>
        <w:tc>
          <w:tcPr>
            <w:tcW w:w="1667" w:type="pct"/>
          </w:tcPr>
          <w:p w:rsidR="00F96634" w:rsidRPr="00080105" w:rsidRDefault="00F96634" w:rsidP="0086174B">
            <w:pPr>
              <w:autoSpaceDE w:val="0"/>
              <w:autoSpaceDN w:val="0"/>
              <w:bidi/>
              <w:adjustRightInd w:val="0"/>
              <w:spacing w:before="40" w:after="40" w:line="30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التأخر في بدء المشروع</w:t>
            </w:r>
            <w:r w:rsidR="0086174B" w:rsidRPr="00080105">
              <w:rPr>
                <w:rFonts w:ascii="Arabic Typesetting" w:hAnsi="Arabic Typesetting" w:cs="Arabic Typesetting"/>
                <w:color w:val="000000"/>
                <w:sz w:val="28"/>
                <w:szCs w:val="28"/>
                <w:rtl/>
                <w:lang w:bidi="ar-EG"/>
              </w:rPr>
              <w:t xml:space="preserve"> </w:t>
            </w:r>
            <w:r w:rsidR="0086174B">
              <w:rPr>
                <w:rFonts w:ascii="Arabic Typesetting" w:hAnsi="Arabic Typesetting" w:cs="Arabic Typesetting"/>
                <w:color w:val="000000"/>
                <w:sz w:val="28"/>
                <w:szCs w:val="28"/>
                <w:rtl/>
                <w:lang w:bidi="ar-EG"/>
              </w:rPr>
              <w:t>لفترة من 6 أشهر</w:t>
            </w:r>
            <w:r w:rsidR="0086174B">
              <w:rPr>
                <w:rFonts w:ascii="Arabic Typesetting" w:hAnsi="Arabic Typesetting" w:cs="Arabic Typesetting" w:hint="cs"/>
                <w:color w:val="000000"/>
                <w:sz w:val="28"/>
                <w:szCs w:val="28"/>
                <w:rtl/>
              </w:rPr>
              <w:t xml:space="preserve"> إلى</w:t>
            </w:r>
            <w:r w:rsidR="0086174B" w:rsidRPr="00080105">
              <w:rPr>
                <w:rFonts w:ascii="Arabic Typesetting" w:hAnsi="Arabic Typesetting" w:cs="Arabic Typesetting"/>
                <w:color w:val="000000"/>
                <w:sz w:val="28"/>
                <w:szCs w:val="28"/>
                <w:rtl/>
                <w:lang w:bidi="ar-EG"/>
              </w:rPr>
              <w:t xml:space="preserve"> سنة نتيجة لتأخر اكتمال قاعة مؤتمرات الويبو الجديدة</w:t>
            </w:r>
          </w:p>
        </w:tc>
        <w:tc>
          <w:tcPr>
            <w:tcW w:w="1667" w:type="pct"/>
          </w:tcPr>
          <w:p w:rsidR="00F96634" w:rsidRPr="00080105" w:rsidRDefault="003212C1"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r>
              <w:rPr>
                <w:rFonts w:ascii="Arabic Typesetting" w:hAnsi="Arabic Typesetting" w:cs="Arabic Typesetting" w:hint="cs"/>
                <w:color w:val="000000"/>
                <w:sz w:val="28"/>
                <w:szCs w:val="28"/>
                <w:rtl/>
                <w:lang w:bidi="ar-EG"/>
              </w:rPr>
              <w:t>تعديل</w:t>
            </w:r>
            <w:r w:rsidR="0086174B" w:rsidRPr="00080105">
              <w:rPr>
                <w:rFonts w:ascii="Arabic Typesetting" w:hAnsi="Arabic Typesetting" w:cs="Arabic Typesetting"/>
                <w:color w:val="000000"/>
                <w:sz w:val="28"/>
                <w:szCs w:val="28"/>
                <w:rtl/>
                <w:lang w:bidi="ar-EG"/>
              </w:rPr>
              <w:t xml:space="preserve"> الجدول الزمني العام للمشروع</w:t>
            </w:r>
          </w:p>
        </w:tc>
        <w:tc>
          <w:tcPr>
            <w:tcW w:w="1666" w:type="pct"/>
          </w:tcPr>
          <w:p w:rsidR="00F96634" w:rsidRPr="00080105" w:rsidRDefault="0086174B" w:rsidP="0086174B">
            <w:pPr>
              <w:autoSpaceDE w:val="0"/>
              <w:autoSpaceDN w:val="0"/>
              <w:bidi/>
              <w:adjustRightInd w:val="0"/>
              <w:spacing w:before="40" w:after="40" w:line="30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 xml:space="preserve">تعرضت المنظمة لهذا الخطر في عام 2014. وتأخر الجدول الزمني العام للمشروع ستة أشهر عن الخطة الأصلية. وعدل الجدول الزمني للمشروع وفقاً لاستراتيجية التخفيف من آثار المخاطر. </w:t>
            </w:r>
            <w:r w:rsidR="00737EDC" w:rsidRPr="006D69DC">
              <w:rPr>
                <w:rFonts w:ascii="Arabic Typesetting" w:hAnsi="Arabic Typesetting" w:cs="Arabic Typesetting" w:hint="cs"/>
                <w:sz w:val="28"/>
                <w:szCs w:val="28"/>
                <w:rtl/>
              </w:rPr>
              <w:t xml:space="preserve">ولم تُسجّل أية </w:t>
            </w:r>
            <w:r w:rsidR="00737EDC">
              <w:rPr>
                <w:rFonts w:ascii="Arabic Typesetting" w:hAnsi="Arabic Typesetting" w:cs="Arabic Typesetting" w:hint="cs"/>
                <w:sz w:val="28"/>
                <w:szCs w:val="28"/>
                <w:rtl/>
              </w:rPr>
              <w:t>آ</w:t>
            </w:r>
            <w:r w:rsidR="00737EDC" w:rsidRPr="006D69DC">
              <w:rPr>
                <w:rFonts w:ascii="Arabic Typesetting" w:hAnsi="Arabic Typesetting" w:cs="Arabic Typesetting" w:hint="cs"/>
                <w:sz w:val="28"/>
                <w:szCs w:val="28"/>
                <w:rtl/>
              </w:rPr>
              <w:t>ثار مادية على نتائج المشروع الممكن تحقيقها.</w:t>
            </w:r>
          </w:p>
        </w:tc>
      </w:tr>
      <w:tr w:rsidR="00F96634" w:rsidRPr="00080105" w:rsidTr="00F96634">
        <w:trPr>
          <w:trHeight w:val="776"/>
          <w:jc w:val="center"/>
        </w:trPr>
        <w:tc>
          <w:tcPr>
            <w:tcW w:w="1667" w:type="pct"/>
          </w:tcPr>
          <w:p w:rsidR="00F96634" w:rsidRPr="00080105" w:rsidRDefault="00F96634" w:rsidP="00E14A59">
            <w:pPr>
              <w:autoSpaceDE w:val="0"/>
              <w:autoSpaceDN w:val="0"/>
              <w:bidi/>
              <w:adjustRightInd w:val="0"/>
              <w:spacing w:before="40" w:after="40" w:line="30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التأخر في بدء الأعمال</w:t>
            </w:r>
            <w:r w:rsidR="0086174B" w:rsidRPr="00080105">
              <w:rPr>
                <w:rFonts w:ascii="Arabic Typesetting" w:hAnsi="Arabic Typesetting" w:cs="Arabic Typesetting"/>
                <w:color w:val="000000"/>
                <w:sz w:val="28"/>
                <w:szCs w:val="28"/>
                <w:rtl/>
                <w:lang w:bidi="ar-EG"/>
              </w:rPr>
              <w:t xml:space="preserve"> </w:t>
            </w:r>
            <w:r w:rsidR="0086174B">
              <w:rPr>
                <w:rFonts w:ascii="Arabic Typesetting" w:hAnsi="Arabic Typesetting" w:cs="Arabic Typesetting" w:hint="cs"/>
                <w:color w:val="000000"/>
                <w:sz w:val="28"/>
                <w:szCs w:val="28"/>
                <w:rtl/>
                <w:lang w:bidi="ar-EG"/>
              </w:rPr>
              <w:t xml:space="preserve">بسبب </w:t>
            </w:r>
            <w:r w:rsidR="0086174B" w:rsidRPr="00080105">
              <w:rPr>
                <w:rFonts w:ascii="Arabic Typesetting" w:hAnsi="Arabic Typesetting" w:cs="Arabic Typesetting"/>
                <w:color w:val="000000"/>
                <w:sz w:val="28"/>
                <w:szCs w:val="28"/>
                <w:rtl/>
                <w:lang w:bidi="ar-EG"/>
              </w:rPr>
              <w:t xml:space="preserve">عدم اليقين بشأن اتخاذ قرارات داخلية </w:t>
            </w:r>
            <w:r w:rsidR="00E14A59">
              <w:rPr>
                <w:rFonts w:ascii="Arabic Typesetting" w:hAnsi="Arabic Typesetting" w:cs="Arabic Typesetting" w:hint="cs"/>
                <w:color w:val="000000"/>
                <w:sz w:val="28"/>
                <w:szCs w:val="28"/>
                <w:rtl/>
                <w:lang w:bidi="ar-EG"/>
              </w:rPr>
              <w:t>في</w:t>
            </w:r>
            <w:r w:rsidR="0086174B" w:rsidRPr="00080105">
              <w:rPr>
                <w:rFonts w:ascii="Arabic Typesetting" w:hAnsi="Arabic Typesetting" w:cs="Arabic Typesetting"/>
                <w:color w:val="000000"/>
                <w:sz w:val="28"/>
                <w:szCs w:val="28"/>
                <w:rtl/>
                <w:lang w:bidi="ar-EG"/>
              </w:rPr>
              <w:t xml:space="preserve"> خيارات آلات التركيب والموظفين في المطبعة المخطط لها </w:t>
            </w:r>
            <w:r w:rsidR="00E14A59">
              <w:rPr>
                <w:rFonts w:ascii="Arabic Typesetting" w:hAnsi="Arabic Typesetting" w:cs="Arabic Typesetting" w:hint="cs"/>
                <w:color w:val="000000"/>
                <w:sz w:val="28"/>
                <w:szCs w:val="28"/>
                <w:rtl/>
                <w:lang w:bidi="ar-EG"/>
              </w:rPr>
              <w:t>كي تستخدم الوحدات المعنية</w:t>
            </w:r>
            <w:r w:rsidR="00E14A59">
              <w:rPr>
                <w:rFonts w:ascii="Arabic Typesetting" w:hAnsi="Arabic Typesetting" w:cs="Arabic Typesetting"/>
                <w:color w:val="000000"/>
                <w:sz w:val="28"/>
                <w:szCs w:val="28"/>
                <w:rtl/>
                <w:lang w:bidi="ar-EG"/>
              </w:rPr>
              <w:t xml:space="preserve"> المساحة على نحو أفضل</w:t>
            </w:r>
          </w:p>
        </w:tc>
        <w:tc>
          <w:tcPr>
            <w:tcW w:w="1667" w:type="pct"/>
          </w:tcPr>
          <w:p w:rsidR="00F96634" w:rsidRPr="00080105" w:rsidRDefault="0086174B"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مراجعة </w:t>
            </w:r>
            <w:r>
              <w:rPr>
                <w:rFonts w:ascii="Arabic Typesetting" w:hAnsi="Arabic Typesetting" w:cs="Arabic Typesetting" w:hint="cs"/>
                <w:color w:val="000000"/>
                <w:sz w:val="28"/>
                <w:szCs w:val="28"/>
                <w:rtl/>
                <w:lang w:bidi="ar-EG"/>
              </w:rPr>
              <w:t>ال</w:t>
            </w:r>
            <w:r w:rsidRPr="00080105">
              <w:rPr>
                <w:rFonts w:ascii="Arabic Typesetting" w:hAnsi="Arabic Typesetting" w:cs="Arabic Typesetting"/>
                <w:color w:val="000000"/>
                <w:sz w:val="28"/>
                <w:szCs w:val="28"/>
                <w:rtl/>
                <w:lang w:bidi="ar-EG"/>
              </w:rPr>
              <w:t>مساحة الأرضية المطلوبة</w:t>
            </w:r>
            <w:r>
              <w:rPr>
                <w:rFonts w:ascii="Arabic Typesetting" w:hAnsi="Arabic Typesetting" w:cs="Arabic Typesetting" w:hint="cs"/>
                <w:color w:val="000000"/>
                <w:sz w:val="28"/>
                <w:szCs w:val="28"/>
                <w:rtl/>
                <w:lang w:bidi="ar-EG"/>
              </w:rPr>
              <w:t xml:space="preserve"> لتقييم الاحتياجات على نحو أفضل.</w:t>
            </w:r>
          </w:p>
        </w:tc>
        <w:tc>
          <w:tcPr>
            <w:tcW w:w="1666" w:type="pct"/>
          </w:tcPr>
          <w:p w:rsidR="00F96634" w:rsidRPr="00080105" w:rsidRDefault="0086174B"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تعرضت المنظمة لهذا الخطر في عام 2015 ما أدى إلى المزيد من التأخر في تنفيذ المشروع. وفي نهاية السنة، كانت مراجعة المساحة الأرضية المطلوبة قيد الاستكمال وفقاً لاستراتيجية التخفيف من آثار المخاطر. ومن ثم، عدِّل الجدول الزمني للمشروع مجدداً.</w:t>
            </w:r>
          </w:p>
        </w:tc>
      </w:tr>
      <w:tr w:rsidR="00F96634" w:rsidRPr="00080105" w:rsidTr="00F96634">
        <w:trPr>
          <w:trHeight w:val="776"/>
          <w:jc w:val="center"/>
        </w:trPr>
        <w:tc>
          <w:tcPr>
            <w:tcW w:w="1667" w:type="pct"/>
          </w:tcPr>
          <w:p w:rsidR="00F96634" w:rsidRPr="00080105" w:rsidRDefault="00F96634"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التأخر في إنهاء الأعمال</w:t>
            </w:r>
            <w:r w:rsidR="0086174B">
              <w:rPr>
                <w:rFonts w:ascii="Arabic Typesetting" w:hAnsi="Arabic Typesetting" w:cs="Arabic Typesetting" w:hint="cs"/>
                <w:color w:val="000000"/>
                <w:sz w:val="28"/>
                <w:szCs w:val="28"/>
                <w:rtl/>
                <w:lang w:bidi="ar-EG"/>
              </w:rPr>
              <w:t xml:space="preserve"> بسبب </w:t>
            </w:r>
            <w:r w:rsidR="0086174B" w:rsidRPr="00080105">
              <w:rPr>
                <w:rFonts w:ascii="Arabic Typesetting" w:hAnsi="Arabic Typesetting" w:cs="Arabic Typesetting"/>
                <w:color w:val="000000"/>
                <w:sz w:val="28"/>
                <w:szCs w:val="28"/>
                <w:rtl/>
                <w:lang w:bidi="ar-EG"/>
              </w:rPr>
              <w:t>اكتشاف مشكلة تقنية أثناء تفكيك التركيبات الحالية أو بسبب التفكيك</w:t>
            </w:r>
          </w:p>
        </w:tc>
        <w:tc>
          <w:tcPr>
            <w:tcW w:w="1667" w:type="pct"/>
          </w:tcPr>
          <w:p w:rsidR="00F96634" w:rsidRPr="00080105" w:rsidRDefault="0086174B"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إجراء أية إصلاحات وتحديث الجدول الزمني للأعمال حسب الحاجة</w:t>
            </w:r>
          </w:p>
        </w:tc>
        <w:tc>
          <w:tcPr>
            <w:tcW w:w="1666" w:type="pct"/>
          </w:tcPr>
          <w:p w:rsidR="00F96634" w:rsidRPr="00080105" w:rsidRDefault="00F96634"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p>
        </w:tc>
      </w:tr>
      <w:tr w:rsidR="00F96634" w:rsidRPr="00080105" w:rsidTr="00F96634">
        <w:trPr>
          <w:trHeight w:val="776"/>
          <w:jc w:val="center"/>
        </w:trPr>
        <w:tc>
          <w:tcPr>
            <w:tcW w:w="1667" w:type="pct"/>
          </w:tcPr>
          <w:p w:rsidR="00F96634" w:rsidRPr="00080105" w:rsidRDefault="00F96634"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المخاطر المالية</w:t>
            </w:r>
            <w:r w:rsidR="0086174B">
              <w:rPr>
                <w:rFonts w:ascii="Arabic Typesetting" w:hAnsi="Arabic Typesetting" w:cs="Arabic Typesetting" w:hint="cs"/>
                <w:color w:val="000000"/>
                <w:sz w:val="28"/>
                <w:szCs w:val="28"/>
                <w:rtl/>
                <w:lang w:bidi="ar-EG"/>
              </w:rPr>
              <w:t xml:space="preserve"> الناجمة عن </w:t>
            </w:r>
            <w:r w:rsidR="0086174B" w:rsidRPr="00080105">
              <w:rPr>
                <w:rFonts w:ascii="Arabic Typesetting" w:hAnsi="Arabic Typesetting" w:cs="Arabic Typesetting"/>
                <w:color w:val="000000"/>
                <w:sz w:val="28"/>
                <w:szCs w:val="28"/>
                <w:rtl/>
                <w:lang w:bidi="ar-EG"/>
              </w:rPr>
              <w:t>تكلفة نقل مقر المطبعة وموظفي الوثائق مؤقتًا وبشكل جزئي</w:t>
            </w:r>
          </w:p>
        </w:tc>
        <w:tc>
          <w:tcPr>
            <w:tcW w:w="1667" w:type="pct"/>
          </w:tcPr>
          <w:p w:rsidR="00F96634" w:rsidRPr="00080105" w:rsidRDefault="0086174B"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الاستعانة ببند "الأمور النثرية وغير</w:t>
            </w:r>
            <w:r>
              <w:rPr>
                <w:rFonts w:ascii="Arabic Typesetting" w:hAnsi="Arabic Typesetting" w:cs="Arabic Typesetting"/>
                <w:color w:val="000000"/>
                <w:sz w:val="28"/>
                <w:szCs w:val="28"/>
                <w:rtl/>
                <w:lang w:bidi="ar-EG"/>
              </w:rPr>
              <w:t xml:space="preserve"> المتوقعة" في الميزانية المعتمد</w:t>
            </w:r>
            <w:r>
              <w:rPr>
                <w:rFonts w:ascii="Arabic Typesetting" w:hAnsi="Arabic Typesetting" w:cs="Arabic Typesetting" w:hint="cs"/>
                <w:color w:val="000000"/>
                <w:sz w:val="28"/>
                <w:szCs w:val="28"/>
                <w:rtl/>
                <w:lang w:bidi="ar-EG"/>
              </w:rPr>
              <w:t>ة</w:t>
            </w:r>
          </w:p>
        </w:tc>
        <w:tc>
          <w:tcPr>
            <w:tcW w:w="1666" w:type="pct"/>
          </w:tcPr>
          <w:p w:rsidR="00F96634" w:rsidRPr="00080105" w:rsidRDefault="00F96634" w:rsidP="00F96634">
            <w:pPr>
              <w:autoSpaceDE w:val="0"/>
              <w:autoSpaceDN w:val="0"/>
              <w:bidi/>
              <w:adjustRightInd w:val="0"/>
              <w:spacing w:before="40" w:after="40" w:line="300" w:lineRule="exact"/>
              <w:rPr>
                <w:rFonts w:ascii="Arabic Typesetting" w:hAnsi="Arabic Typesetting" w:cs="Arabic Typesetting"/>
                <w:sz w:val="28"/>
                <w:szCs w:val="28"/>
                <w:rtl/>
                <w:lang w:bidi="ar-EG"/>
              </w:rPr>
            </w:pPr>
          </w:p>
        </w:tc>
      </w:tr>
    </w:tbl>
    <w:p w:rsidR="00F96634" w:rsidRPr="00080105" w:rsidRDefault="00F96634" w:rsidP="006C56E9">
      <w:pPr>
        <w:bidi/>
        <w:spacing w:before="120" w:after="120"/>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t>الجدول الزمني للمشروع حسب المعالم</w:t>
      </w:r>
    </w:p>
    <w:tbl>
      <w:tblPr>
        <w:bidiVisual/>
        <w:tblW w:w="9387" w:type="dxa"/>
        <w:jc w:val="center"/>
        <w:tblInd w:w="4048" w:type="dxa"/>
        <w:tblLayout w:type="fixed"/>
        <w:tblLook w:val="04A0" w:firstRow="1" w:lastRow="0" w:firstColumn="1" w:lastColumn="0" w:noHBand="0" w:noVBand="1"/>
      </w:tblPr>
      <w:tblGrid>
        <w:gridCol w:w="1467"/>
        <w:gridCol w:w="495"/>
        <w:gridCol w:w="495"/>
        <w:gridCol w:w="495"/>
        <w:gridCol w:w="495"/>
        <w:gridCol w:w="495"/>
        <w:gridCol w:w="495"/>
        <w:gridCol w:w="495"/>
        <w:gridCol w:w="495"/>
        <w:gridCol w:w="495"/>
        <w:gridCol w:w="495"/>
        <w:gridCol w:w="495"/>
        <w:gridCol w:w="495"/>
        <w:gridCol w:w="495"/>
        <w:gridCol w:w="495"/>
        <w:gridCol w:w="495"/>
        <w:gridCol w:w="495"/>
      </w:tblGrid>
      <w:tr w:rsidR="006C56E9" w:rsidRPr="004E3CEE" w:rsidTr="006C56E9">
        <w:trPr>
          <w:trHeight w:val="270"/>
          <w:jc w:val="center"/>
        </w:trPr>
        <w:tc>
          <w:tcPr>
            <w:tcW w:w="1467" w:type="dxa"/>
            <w:tcBorders>
              <w:top w:val="nil"/>
              <w:left w:val="nil"/>
              <w:bottom w:val="nil"/>
              <w:right w:val="nil"/>
            </w:tcBorders>
            <w:shd w:val="clear" w:color="auto" w:fill="auto"/>
            <w:noWrap/>
            <w:vAlign w:val="bottom"/>
            <w:hideMark/>
          </w:tcPr>
          <w:p w:rsidR="006C56E9" w:rsidRPr="003962D0" w:rsidRDefault="006C56E9" w:rsidP="001D7014">
            <w:pPr>
              <w:rPr>
                <w:noProof/>
                <w:color w:val="000000"/>
                <w:sz w:val="16"/>
                <w:szCs w:val="16"/>
              </w:rPr>
            </w:pPr>
          </w:p>
        </w:tc>
        <w:tc>
          <w:tcPr>
            <w:tcW w:w="1980" w:type="dxa"/>
            <w:gridSpan w:val="4"/>
            <w:tcBorders>
              <w:top w:val="single" w:sz="8" w:space="0" w:color="auto"/>
              <w:left w:val="single" w:sz="8" w:space="0" w:color="auto"/>
              <w:bottom w:val="single" w:sz="4" w:space="0" w:color="auto"/>
              <w:right w:val="single" w:sz="8" w:space="0" w:color="000000"/>
            </w:tcBorders>
            <w:shd w:val="clear" w:color="auto" w:fill="C6D9F1" w:themeFill="text2" w:themeFillTint="33"/>
            <w:noWrap/>
            <w:vAlign w:val="bottom"/>
            <w:hideMark/>
          </w:tcPr>
          <w:p w:rsidR="006C56E9" w:rsidRPr="003962D0" w:rsidRDefault="006C56E9" w:rsidP="001D7014">
            <w:pPr>
              <w:jc w:val="center"/>
              <w:rPr>
                <w:b/>
                <w:bCs/>
                <w:noProof/>
                <w:color w:val="000000"/>
                <w:sz w:val="16"/>
                <w:szCs w:val="16"/>
              </w:rPr>
            </w:pPr>
            <w:r w:rsidRPr="003962D0">
              <w:rPr>
                <w:b/>
                <w:bCs/>
                <w:noProof/>
                <w:color w:val="000000"/>
                <w:sz w:val="16"/>
                <w:szCs w:val="16"/>
              </w:rPr>
              <w:t>2014</w:t>
            </w:r>
          </w:p>
        </w:tc>
        <w:tc>
          <w:tcPr>
            <w:tcW w:w="1980" w:type="dxa"/>
            <w:gridSpan w:val="4"/>
            <w:tcBorders>
              <w:top w:val="single" w:sz="8" w:space="0" w:color="auto"/>
              <w:left w:val="nil"/>
              <w:bottom w:val="single" w:sz="4" w:space="0" w:color="auto"/>
              <w:right w:val="single" w:sz="8" w:space="0" w:color="000000"/>
            </w:tcBorders>
            <w:shd w:val="clear" w:color="auto" w:fill="C6D9F1" w:themeFill="text2" w:themeFillTint="33"/>
            <w:noWrap/>
            <w:vAlign w:val="bottom"/>
            <w:hideMark/>
          </w:tcPr>
          <w:p w:rsidR="006C56E9" w:rsidRPr="003962D0" w:rsidRDefault="006C56E9" w:rsidP="001D7014">
            <w:pPr>
              <w:jc w:val="center"/>
              <w:rPr>
                <w:b/>
                <w:bCs/>
                <w:noProof/>
                <w:color w:val="000000"/>
                <w:sz w:val="16"/>
                <w:szCs w:val="16"/>
              </w:rPr>
            </w:pPr>
            <w:r w:rsidRPr="003962D0">
              <w:rPr>
                <w:b/>
                <w:bCs/>
                <w:noProof/>
                <w:color w:val="000000"/>
                <w:sz w:val="16"/>
                <w:szCs w:val="16"/>
              </w:rPr>
              <w:t>2015</w:t>
            </w:r>
          </w:p>
        </w:tc>
        <w:tc>
          <w:tcPr>
            <w:tcW w:w="1980" w:type="dxa"/>
            <w:gridSpan w:val="4"/>
            <w:tcBorders>
              <w:top w:val="single" w:sz="8" w:space="0" w:color="auto"/>
              <w:left w:val="nil"/>
              <w:bottom w:val="single" w:sz="4" w:space="0" w:color="auto"/>
              <w:right w:val="single" w:sz="8" w:space="0" w:color="000000"/>
            </w:tcBorders>
            <w:shd w:val="clear" w:color="auto" w:fill="C6D9F1" w:themeFill="text2" w:themeFillTint="33"/>
            <w:noWrap/>
            <w:vAlign w:val="bottom"/>
            <w:hideMark/>
          </w:tcPr>
          <w:p w:rsidR="006C56E9" w:rsidRPr="003962D0" w:rsidRDefault="006C56E9" w:rsidP="001D7014">
            <w:pPr>
              <w:jc w:val="center"/>
              <w:rPr>
                <w:b/>
                <w:bCs/>
                <w:noProof/>
                <w:color w:val="000000"/>
                <w:sz w:val="16"/>
                <w:szCs w:val="16"/>
              </w:rPr>
            </w:pPr>
            <w:r w:rsidRPr="003962D0">
              <w:rPr>
                <w:b/>
                <w:bCs/>
                <w:noProof/>
                <w:color w:val="000000"/>
                <w:sz w:val="16"/>
                <w:szCs w:val="16"/>
              </w:rPr>
              <w:t>2016</w:t>
            </w:r>
          </w:p>
        </w:tc>
        <w:tc>
          <w:tcPr>
            <w:tcW w:w="1980" w:type="dxa"/>
            <w:gridSpan w:val="4"/>
            <w:tcBorders>
              <w:top w:val="single" w:sz="8" w:space="0" w:color="auto"/>
              <w:left w:val="nil"/>
              <w:bottom w:val="single" w:sz="4" w:space="0" w:color="auto"/>
              <w:right w:val="single" w:sz="8" w:space="0" w:color="000000"/>
            </w:tcBorders>
            <w:shd w:val="clear" w:color="auto" w:fill="C6D9F1" w:themeFill="text2" w:themeFillTint="33"/>
            <w:noWrap/>
            <w:vAlign w:val="bottom"/>
            <w:hideMark/>
          </w:tcPr>
          <w:p w:rsidR="006C56E9" w:rsidRPr="003962D0" w:rsidRDefault="006C56E9" w:rsidP="001D7014">
            <w:pPr>
              <w:jc w:val="center"/>
              <w:rPr>
                <w:b/>
                <w:bCs/>
                <w:noProof/>
                <w:color w:val="000000"/>
                <w:sz w:val="16"/>
                <w:szCs w:val="16"/>
              </w:rPr>
            </w:pPr>
            <w:r w:rsidRPr="003962D0">
              <w:rPr>
                <w:b/>
                <w:bCs/>
                <w:noProof/>
                <w:color w:val="000000"/>
                <w:sz w:val="16"/>
                <w:szCs w:val="16"/>
              </w:rPr>
              <w:t>2017</w:t>
            </w:r>
          </w:p>
        </w:tc>
      </w:tr>
      <w:tr w:rsidR="006C56E9" w:rsidRPr="004E3CEE" w:rsidTr="006C56E9">
        <w:trPr>
          <w:trHeight w:val="375"/>
          <w:jc w:val="center"/>
        </w:trPr>
        <w:tc>
          <w:tcPr>
            <w:tcW w:w="1467" w:type="dxa"/>
            <w:tcBorders>
              <w:top w:val="single" w:sz="8" w:space="0" w:color="auto"/>
              <w:left w:val="single" w:sz="8" w:space="0" w:color="auto"/>
              <w:bottom w:val="single" w:sz="4" w:space="0" w:color="auto"/>
              <w:right w:val="single" w:sz="8" w:space="0" w:color="auto"/>
            </w:tcBorders>
            <w:shd w:val="clear" w:color="auto" w:fill="C6D9F1" w:themeFill="text2" w:themeFillTint="33"/>
            <w:noWrap/>
            <w:vAlign w:val="bottom"/>
            <w:hideMark/>
          </w:tcPr>
          <w:p w:rsidR="006C56E9" w:rsidRPr="00080105" w:rsidRDefault="006C56E9" w:rsidP="001D7014">
            <w:pPr>
              <w:bidi/>
              <w:rPr>
                <w:rFonts w:ascii="Arabic Typesetting" w:hAnsi="Arabic Typesetting" w:cs="Arabic Typesetting"/>
                <w:sz w:val="28"/>
                <w:szCs w:val="28"/>
                <w:rtl/>
                <w:lang w:bidi="ar-EG"/>
              </w:rPr>
            </w:pPr>
            <w:r w:rsidRPr="00080105">
              <w:rPr>
                <w:rFonts w:ascii="Arabic Typesetting" w:hAnsi="Arabic Typesetting" w:cs="Arabic Typesetting"/>
                <w:bCs/>
                <w:color w:val="000000"/>
                <w:sz w:val="28"/>
                <w:szCs w:val="28"/>
                <w:rtl/>
                <w:lang w:bidi="ar-EG"/>
              </w:rPr>
              <w:t>المعالم الرئيسية</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495" w:type="dxa"/>
            <w:tcBorders>
              <w:top w:val="nil"/>
              <w:left w:val="nil"/>
              <w:bottom w:val="single" w:sz="4" w:space="0" w:color="auto"/>
              <w:right w:val="single" w:sz="8"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495" w:type="dxa"/>
            <w:tcBorders>
              <w:top w:val="nil"/>
              <w:left w:val="nil"/>
              <w:bottom w:val="single" w:sz="4" w:space="0" w:color="auto"/>
              <w:right w:val="single" w:sz="8"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495" w:type="dxa"/>
            <w:tcBorders>
              <w:top w:val="nil"/>
              <w:left w:val="nil"/>
              <w:bottom w:val="single" w:sz="4" w:space="0" w:color="auto"/>
              <w:right w:val="single" w:sz="8"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495" w:type="dxa"/>
            <w:tcBorders>
              <w:top w:val="nil"/>
              <w:left w:val="nil"/>
              <w:bottom w:val="single" w:sz="4" w:space="0" w:color="auto"/>
              <w:right w:val="single" w:sz="8" w:space="0" w:color="auto"/>
            </w:tcBorders>
            <w:shd w:val="clear" w:color="auto" w:fill="C6D9F1" w:themeFill="text2" w:themeFillTint="33"/>
            <w:noWrap/>
            <w:vAlign w:val="bottom"/>
            <w:hideMark/>
          </w:tcPr>
          <w:p w:rsidR="006C56E9" w:rsidRPr="00080105" w:rsidRDefault="006C56E9"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r>
      <w:tr w:rsidR="006C56E9" w:rsidRPr="00BD06DF" w:rsidTr="006C56E9">
        <w:trPr>
          <w:trHeight w:val="615"/>
          <w:jc w:val="center"/>
        </w:trPr>
        <w:tc>
          <w:tcPr>
            <w:tcW w:w="1467" w:type="dxa"/>
            <w:tcBorders>
              <w:top w:val="nil"/>
              <w:left w:val="single" w:sz="8" w:space="0" w:color="auto"/>
              <w:bottom w:val="single" w:sz="4" w:space="0" w:color="auto"/>
              <w:right w:val="single" w:sz="8" w:space="0" w:color="auto"/>
            </w:tcBorders>
            <w:shd w:val="clear" w:color="auto" w:fill="auto"/>
            <w:noWrap/>
            <w:vAlign w:val="bottom"/>
            <w:hideMark/>
          </w:tcPr>
          <w:p w:rsidR="006C56E9" w:rsidRPr="00080105" w:rsidRDefault="003212C1" w:rsidP="001D7014">
            <w:pPr>
              <w:bidi/>
              <w:rPr>
                <w:rFonts w:ascii="Arabic Typesetting" w:hAnsi="Arabic Typesetting" w:cs="Arabic Typesetting"/>
                <w:sz w:val="28"/>
                <w:szCs w:val="28"/>
                <w:rtl/>
                <w:lang w:bidi="ar-EG"/>
              </w:rPr>
            </w:pPr>
            <w:r>
              <w:rPr>
                <w:rFonts w:ascii="Arabic Typesetting" w:hAnsi="Arabic Typesetting" w:cs="Arabic Typesetting"/>
                <w:color w:val="000000"/>
                <w:sz w:val="28"/>
                <w:szCs w:val="28"/>
                <w:rtl/>
                <w:lang w:bidi="ar-EG"/>
              </w:rPr>
              <w:t>تحديد أهداف المشروع داخلي</w:t>
            </w:r>
            <w:r w:rsidR="006C56E9" w:rsidRPr="00080105">
              <w:rPr>
                <w:rFonts w:ascii="Arabic Typesetting" w:hAnsi="Arabic Typesetting" w:cs="Arabic Typesetting"/>
                <w:color w:val="000000"/>
                <w:sz w:val="28"/>
                <w:szCs w:val="28"/>
                <w:rtl/>
                <w:lang w:bidi="ar-EG"/>
              </w:rPr>
              <w:t>ا</w:t>
            </w:r>
          </w:p>
        </w:tc>
        <w:tc>
          <w:tcPr>
            <w:tcW w:w="495" w:type="dxa"/>
            <w:tcBorders>
              <w:top w:val="nil"/>
              <w:left w:val="nil"/>
              <w:bottom w:val="single" w:sz="4" w:space="0" w:color="auto"/>
              <w:right w:val="single" w:sz="4" w:space="0" w:color="auto"/>
            </w:tcBorders>
            <w:shd w:val="clear" w:color="auto" w:fill="auto"/>
            <w:noWrap/>
            <w:vAlign w:val="bottom"/>
            <w:hideMark/>
          </w:tcPr>
          <w:p w:rsidR="006C56E9" w:rsidRPr="00BD06DF" w:rsidRDefault="006C56E9" w:rsidP="001D7014">
            <w:pPr>
              <w:spacing w:before="40" w:after="40"/>
              <w:rPr>
                <w:noProof/>
                <w:sz w:val="16"/>
                <w:szCs w:val="16"/>
              </w:rPr>
            </w:pPr>
            <w:r w:rsidRPr="00BD06DF">
              <w:rPr>
                <w:noProof/>
                <w:sz w:val="16"/>
                <w:szCs w:val="16"/>
              </w:rPr>
              <w:t> </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r>
      <w:tr w:rsidR="006C56E9" w:rsidRPr="00BD06DF" w:rsidTr="006C56E9">
        <w:trPr>
          <w:trHeight w:val="615"/>
          <w:jc w:val="center"/>
        </w:trPr>
        <w:tc>
          <w:tcPr>
            <w:tcW w:w="1467" w:type="dxa"/>
            <w:tcBorders>
              <w:top w:val="nil"/>
              <w:left w:val="single" w:sz="8" w:space="0" w:color="auto"/>
              <w:bottom w:val="single" w:sz="4" w:space="0" w:color="auto"/>
              <w:right w:val="single" w:sz="8" w:space="0" w:color="auto"/>
            </w:tcBorders>
            <w:shd w:val="clear" w:color="auto" w:fill="auto"/>
            <w:noWrap/>
            <w:vAlign w:val="bottom"/>
          </w:tcPr>
          <w:p w:rsidR="006C56E9" w:rsidRPr="00080105" w:rsidRDefault="006C56E9"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منح العقد للمهندس المعماري</w:t>
            </w:r>
          </w:p>
        </w:tc>
        <w:tc>
          <w:tcPr>
            <w:tcW w:w="495" w:type="dxa"/>
            <w:tcBorders>
              <w:top w:val="nil"/>
              <w:left w:val="nil"/>
              <w:bottom w:val="single" w:sz="4" w:space="0" w:color="auto"/>
              <w:right w:val="single" w:sz="4" w:space="0" w:color="auto"/>
            </w:tcBorders>
            <w:shd w:val="clear" w:color="auto" w:fill="auto"/>
            <w:noWrap/>
            <w:vAlign w:val="bottom"/>
          </w:tcPr>
          <w:p w:rsidR="006C56E9" w:rsidRPr="00BD06DF" w:rsidRDefault="006C56E9" w:rsidP="001D7014">
            <w:pPr>
              <w:spacing w:before="40" w:after="40"/>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color w:val="243F60" w:themeColor="accent1" w:themeShade="7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color w:val="243F60" w:themeColor="accent1" w:themeShade="7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color w:val="243F60" w:themeColor="accent1" w:themeShade="7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b/>
                <w:bCs/>
                <w:noProof/>
                <w:kern w:val="32"/>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r>
      <w:tr w:rsidR="006C56E9" w:rsidRPr="00BD06DF" w:rsidTr="006C56E9">
        <w:trPr>
          <w:trHeight w:val="615"/>
          <w:jc w:val="center"/>
        </w:trPr>
        <w:tc>
          <w:tcPr>
            <w:tcW w:w="1467" w:type="dxa"/>
            <w:tcBorders>
              <w:top w:val="nil"/>
              <w:left w:val="single" w:sz="8" w:space="0" w:color="auto"/>
              <w:bottom w:val="single" w:sz="4" w:space="0" w:color="auto"/>
              <w:right w:val="single" w:sz="8" w:space="0" w:color="auto"/>
            </w:tcBorders>
            <w:shd w:val="clear" w:color="auto" w:fill="auto"/>
            <w:noWrap/>
            <w:vAlign w:val="bottom"/>
            <w:hideMark/>
          </w:tcPr>
          <w:p w:rsidR="006C56E9" w:rsidRPr="00080105" w:rsidRDefault="006C56E9"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منح العقود للمهندسين الفنيين</w:t>
            </w:r>
          </w:p>
        </w:tc>
        <w:tc>
          <w:tcPr>
            <w:tcW w:w="495" w:type="dxa"/>
            <w:tcBorders>
              <w:top w:val="nil"/>
              <w:left w:val="nil"/>
              <w:bottom w:val="single" w:sz="4" w:space="0" w:color="auto"/>
              <w:right w:val="single" w:sz="4" w:space="0" w:color="auto"/>
            </w:tcBorders>
            <w:shd w:val="clear" w:color="auto" w:fill="auto"/>
            <w:noWrap/>
            <w:vAlign w:val="bottom"/>
            <w:hideMark/>
          </w:tcPr>
          <w:p w:rsidR="006C56E9" w:rsidRPr="00BD06DF" w:rsidRDefault="006C56E9" w:rsidP="001D7014">
            <w:pPr>
              <w:spacing w:before="40" w:after="40"/>
              <w:rPr>
                <w:noProof/>
                <w:sz w:val="16"/>
                <w:szCs w:val="16"/>
              </w:rPr>
            </w:pPr>
            <w:r w:rsidRPr="00BD06DF">
              <w:rPr>
                <w:noProof/>
                <w:sz w:val="16"/>
                <w:szCs w:val="16"/>
              </w:rPr>
              <w:t> </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r>
      <w:tr w:rsidR="006C56E9" w:rsidRPr="00BD06DF" w:rsidTr="006C56E9">
        <w:trPr>
          <w:trHeight w:val="615"/>
          <w:jc w:val="center"/>
        </w:trPr>
        <w:tc>
          <w:tcPr>
            <w:tcW w:w="1467" w:type="dxa"/>
            <w:tcBorders>
              <w:top w:val="nil"/>
              <w:left w:val="single" w:sz="8" w:space="0" w:color="auto"/>
              <w:bottom w:val="single" w:sz="4" w:space="0" w:color="auto"/>
              <w:right w:val="single" w:sz="8" w:space="0" w:color="auto"/>
            </w:tcBorders>
            <w:shd w:val="clear" w:color="auto" w:fill="auto"/>
            <w:noWrap/>
            <w:vAlign w:val="bottom"/>
            <w:hideMark/>
          </w:tcPr>
          <w:p w:rsidR="006C56E9" w:rsidRPr="00080105" w:rsidRDefault="006C56E9"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مراجعة شاملة لتنفيذ الأعمال</w:t>
            </w:r>
            <w:r w:rsidRPr="00080105">
              <w:rPr>
                <w:rFonts w:ascii="Arabic Typesetting" w:hAnsi="Arabic Typesetting" w:cs="Arabic Typesetting"/>
                <w:noProof/>
                <w:color w:val="000000"/>
                <w:sz w:val="28"/>
                <w:szCs w:val="28"/>
              </w:rPr>
              <w:t xml:space="preserve"> </w:t>
            </w:r>
          </w:p>
        </w:tc>
        <w:tc>
          <w:tcPr>
            <w:tcW w:w="495" w:type="dxa"/>
            <w:tcBorders>
              <w:top w:val="nil"/>
              <w:left w:val="nil"/>
              <w:bottom w:val="single" w:sz="4" w:space="0" w:color="auto"/>
              <w:right w:val="single" w:sz="4" w:space="0" w:color="auto"/>
            </w:tcBorders>
            <w:shd w:val="clear" w:color="auto" w:fill="auto"/>
            <w:noWrap/>
            <w:vAlign w:val="bottom"/>
            <w:hideMark/>
          </w:tcPr>
          <w:p w:rsidR="006C56E9" w:rsidRPr="00BD06DF" w:rsidRDefault="006C56E9" w:rsidP="001D7014">
            <w:pPr>
              <w:spacing w:before="40" w:after="40"/>
              <w:rPr>
                <w:noProof/>
                <w:sz w:val="16"/>
                <w:szCs w:val="16"/>
              </w:rPr>
            </w:pPr>
            <w:r w:rsidRPr="00BD06DF">
              <w:rPr>
                <w:noProof/>
                <w:sz w:val="16"/>
                <w:szCs w:val="16"/>
              </w:rPr>
              <w:t> </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r>
      <w:tr w:rsidR="006C56E9" w:rsidRPr="00BD06DF" w:rsidTr="006C56E9">
        <w:trPr>
          <w:trHeight w:val="615"/>
          <w:jc w:val="center"/>
        </w:trPr>
        <w:tc>
          <w:tcPr>
            <w:tcW w:w="1467" w:type="dxa"/>
            <w:tcBorders>
              <w:top w:val="nil"/>
              <w:left w:val="single" w:sz="8" w:space="0" w:color="auto"/>
              <w:bottom w:val="single" w:sz="4" w:space="0" w:color="auto"/>
              <w:right w:val="single" w:sz="8" w:space="0" w:color="auto"/>
            </w:tcBorders>
            <w:shd w:val="clear" w:color="auto" w:fill="auto"/>
            <w:noWrap/>
            <w:vAlign w:val="bottom"/>
          </w:tcPr>
          <w:p w:rsidR="006C56E9" w:rsidRPr="00080105" w:rsidRDefault="006C56E9"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طرح مناقصة على الشركات والاختيار من بينها</w:t>
            </w:r>
          </w:p>
        </w:tc>
        <w:tc>
          <w:tcPr>
            <w:tcW w:w="495" w:type="dxa"/>
            <w:tcBorders>
              <w:top w:val="nil"/>
              <w:left w:val="nil"/>
              <w:bottom w:val="single" w:sz="4" w:space="0" w:color="auto"/>
              <w:right w:val="single" w:sz="4" w:space="0" w:color="auto"/>
            </w:tcBorders>
            <w:shd w:val="clear" w:color="auto" w:fill="auto"/>
            <w:noWrap/>
            <w:vAlign w:val="bottom"/>
          </w:tcPr>
          <w:p w:rsidR="006C56E9" w:rsidRPr="00BD06DF" w:rsidRDefault="006C56E9" w:rsidP="001D7014">
            <w:pPr>
              <w:spacing w:before="40" w:after="40"/>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p>
        </w:tc>
      </w:tr>
      <w:tr w:rsidR="006C56E9" w:rsidRPr="00BD06DF" w:rsidTr="006C56E9">
        <w:trPr>
          <w:trHeight w:val="425"/>
          <w:jc w:val="center"/>
        </w:trPr>
        <w:tc>
          <w:tcPr>
            <w:tcW w:w="1467" w:type="dxa"/>
            <w:tcBorders>
              <w:top w:val="nil"/>
              <w:left w:val="single" w:sz="8" w:space="0" w:color="auto"/>
              <w:bottom w:val="single" w:sz="4" w:space="0" w:color="auto"/>
              <w:right w:val="single" w:sz="8" w:space="0" w:color="auto"/>
            </w:tcBorders>
            <w:shd w:val="clear" w:color="auto" w:fill="auto"/>
            <w:noWrap/>
            <w:vAlign w:val="bottom"/>
          </w:tcPr>
          <w:p w:rsidR="006C56E9" w:rsidRPr="00080105" w:rsidRDefault="006C56E9" w:rsidP="001D7014">
            <w:pPr>
              <w:bidi/>
              <w:rPr>
                <w:rFonts w:ascii="Arabic Typesetting" w:hAnsi="Arabic Typesetting" w:cs="Arabic Typesetting"/>
                <w:color w:val="000000"/>
                <w:sz w:val="28"/>
                <w:szCs w:val="28"/>
                <w:lang w:bidi="ar-EG"/>
              </w:rPr>
            </w:pPr>
            <w:r>
              <w:rPr>
                <w:rFonts w:ascii="Arabic Typesetting" w:hAnsi="Arabic Typesetting" w:cs="Arabic Typesetting"/>
                <w:color w:val="000000"/>
                <w:sz w:val="28"/>
                <w:szCs w:val="28"/>
                <w:rtl/>
                <w:lang w:bidi="ar-EG"/>
              </w:rPr>
              <w:t>الأعمال</w:t>
            </w:r>
          </w:p>
        </w:tc>
        <w:tc>
          <w:tcPr>
            <w:tcW w:w="495" w:type="dxa"/>
            <w:tcBorders>
              <w:top w:val="nil"/>
              <w:left w:val="nil"/>
              <w:bottom w:val="single" w:sz="4" w:space="0" w:color="auto"/>
              <w:right w:val="single" w:sz="4" w:space="0" w:color="auto"/>
            </w:tcBorders>
            <w:shd w:val="clear" w:color="auto" w:fill="auto"/>
            <w:noWrap/>
            <w:vAlign w:val="bottom"/>
          </w:tcPr>
          <w:p w:rsidR="006C56E9" w:rsidRPr="00BD06DF" w:rsidRDefault="006C56E9" w:rsidP="001D7014">
            <w:pPr>
              <w:spacing w:before="40" w:after="40"/>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p>
        </w:tc>
      </w:tr>
      <w:tr w:rsidR="006C56E9" w:rsidRPr="00BD06DF" w:rsidTr="006C56E9">
        <w:trPr>
          <w:trHeight w:val="397"/>
          <w:jc w:val="center"/>
        </w:trPr>
        <w:tc>
          <w:tcPr>
            <w:tcW w:w="1467" w:type="dxa"/>
            <w:tcBorders>
              <w:top w:val="nil"/>
              <w:left w:val="single" w:sz="8" w:space="0" w:color="auto"/>
              <w:bottom w:val="single" w:sz="4" w:space="0" w:color="auto"/>
              <w:right w:val="single" w:sz="8" w:space="0" w:color="auto"/>
            </w:tcBorders>
            <w:shd w:val="clear" w:color="auto" w:fill="auto"/>
            <w:noWrap/>
            <w:vAlign w:val="bottom"/>
            <w:hideMark/>
          </w:tcPr>
          <w:p w:rsidR="006C56E9" w:rsidRPr="00080105" w:rsidRDefault="006C56E9" w:rsidP="001D7014">
            <w:pPr>
              <w:bidi/>
              <w:rPr>
                <w:rFonts w:ascii="Arabic Typesetting" w:hAnsi="Arabic Typesetting" w:cs="Arabic Typesetting"/>
                <w:color w:val="000000"/>
                <w:sz w:val="28"/>
                <w:szCs w:val="28"/>
                <w:lang w:bidi="ar-EG"/>
              </w:rPr>
            </w:pPr>
            <w:r w:rsidRPr="00080105">
              <w:rPr>
                <w:rFonts w:ascii="Arabic Typesetting" w:hAnsi="Arabic Typesetting" w:cs="Arabic Typesetting"/>
                <w:sz w:val="28"/>
                <w:szCs w:val="28"/>
                <w:rtl/>
                <w:lang w:bidi="ar-EG"/>
              </w:rPr>
              <w:t>التكليف</w:t>
            </w:r>
          </w:p>
        </w:tc>
        <w:tc>
          <w:tcPr>
            <w:tcW w:w="495" w:type="dxa"/>
            <w:tcBorders>
              <w:top w:val="nil"/>
              <w:left w:val="nil"/>
              <w:bottom w:val="single" w:sz="4" w:space="0" w:color="auto"/>
              <w:right w:val="single" w:sz="4" w:space="0" w:color="auto"/>
            </w:tcBorders>
            <w:shd w:val="clear" w:color="auto" w:fill="auto"/>
            <w:noWrap/>
            <w:vAlign w:val="bottom"/>
            <w:hideMark/>
          </w:tcPr>
          <w:p w:rsidR="006C56E9" w:rsidRPr="00BD06DF" w:rsidRDefault="006C56E9" w:rsidP="001D7014">
            <w:pPr>
              <w:spacing w:before="40" w:after="40"/>
              <w:rPr>
                <w:noProof/>
                <w:sz w:val="16"/>
                <w:szCs w:val="16"/>
              </w:rPr>
            </w:pPr>
            <w:r w:rsidRPr="00BD06DF">
              <w:rPr>
                <w:noProof/>
                <w:sz w:val="16"/>
                <w:szCs w:val="16"/>
              </w:rPr>
              <w:t> </w:t>
            </w: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6C56E9" w:rsidRPr="00BD06DF" w:rsidRDefault="006C56E9" w:rsidP="001D7014">
            <w:pPr>
              <w:spacing w:before="40" w:after="40"/>
              <w:jc w:val="center"/>
              <w:rPr>
                <w:noProof/>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6C56E9" w:rsidRPr="00BD06DF" w:rsidRDefault="006C56E9" w:rsidP="001D7014">
            <w:pPr>
              <w:spacing w:before="40" w:after="40"/>
              <w:jc w:val="center"/>
              <w:rPr>
                <w:noProof/>
                <w:sz w:val="16"/>
                <w:szCs w:val="16"/>
              </w:rPr>
            </w:pPr>
            <w:r w:rsidRPr="00BD06DF">
              <w:rPr>
                <w:noProof/>
                <w:sz w:val="16"/>
                <w:szCs w:val="16"/>
              </w:rPr>
              <w:t>X</w:t>
            </w:r>
          </w:p>
        </w:tc>
      </w:tr>
    </w:tbl>
    <w:p w:rsidR="00F96634" w:rsidRPr="00080105" w:rsidRDefault="00F96634" w:rsidP="006C56E9">
      <w:pPr>
        <w:keepNext/>
        <w:pageBreakBefore/>
        <w:bidi/>
        <w:spacing w:after="120" w:line="340" w:lineRule="exact"/>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lastRenderedPageBreak/>
        <w:t>المشروعات المتصلة بالمباني</w:t>
      </w:r>
    </w:p>
    <w:p w:rsidR="00F96634" w:rsidRPr="007C51AF" w:rsidRDefault="00F96634" w:rsidP="006C56E9">
      <w:pPr>
        <w:pStyle w:val="Heading4AR"/>
        <w:pageBreakBefore w:val="0"/>
        <w:spacing w:after="120"/>
        <w:ind w:left="0" w:firstLine="0"/>
        <w:rPr>
          <w:i/>
          <w:sz w:val="34"/>
          <w:szCs w:val="34"/>
        </w:rPr>
      </w:pPr>
      <w:bookmarkStart w:id="164" w:name="_Toc450635446"/>
      <w:bookmarkStart w:id="165" w:name="_Toc455393415"/>
      <w:r w:rsidRPr="007C51AF">
        <w:rPr>
          <w:i/>
          <w:sz w:val="34"/>
          <w:szCs w:val="34"/>
          <w:rtl/>
        </w:rPr>
        <w:t xml:space="preserve">المشروع 6: مبنى </w:t>
      </w:r>
      <w:proofErr w:type="spellStart"/>
      <w:r w:rsidRPr="007C51AF">
        <w:rPr>
          <w:i/>
          <w:sz w:val="34"/>
          <w:szCs w:val="34"/>
          <w:rtl/>
        </w:rPr>
        <w:t>أرباد</w:t>
      </w:r>
      <w:proofErr w:type="spellEnd"/>
      <w:r w:rsidRPr="007C51AF">
        <w:rPr>
          <w:i/>
          <w:sz w:val="34"/>
          <w:szCs w:val="34"/>
          <w:rtl/>
        </w:rPr>
        <w:t xml:space="preserve"> </w:t>
      </w:r>
      <w:proofErr w:type="spellStart"/>
      <w:r w:rsidRPr="007C51AF">
        <w:rPr>
          <w:i/>
          <w:sz w:val="34"/>
          <w:szCs w:val="34"/>
          <w:rtl/>
        </w:rPr>
        <w:t>بوكش</w:t>
      </w:r>
      <w:proofErr w:type="spellEnd"/>
      <w:r w:rsidRPr="007C51AF">
        <w:rPr>
          <w:i/>
          <w:sz w:val="34"/>
          <w:szCs w:val="34"/>
          <w:rtl/>
        </w:rPr>
        <w:t xml:space="preserve"> استبدال بعض النوافذ (</w:t>
      </w:r>
      <w:r w:rsidRPr="007C51AF">
        <w:rPr>
          <w:i/>
          <w:sz w:val="34"/>
          <w:szCs w:val="34"/>
        </w:rPr>
        <w:t>CMP 6</w:t>
      </w:r>
      <w:r w:rsidRPr="007C51AF">
        <w:rPr>
          <w:i/>
          <w:sz w:val="34"/>
          <w:szCs w:val="34"/>
          <w:rtl/>
        </w:rPr>
        <w:t>)</w:t>
      </w:r>
      <w:bookmarkEnd w:id="164"/>
      <w:bookmarkEnd w:id="165"/>
    </w:p>
    <w:p w:rsidR="00F96634" w:rsidRPr="00495D3F" w:rsidRDefault="00F96634" w:rsidP="00495D3F">
      <w:pPr>
        <w:keepNext/>
        <w:bidi/>
        <w:spacing w:after="240" w:line="340" w:lineRule="exact"/>
        <w:ind w:left="1417" w:hanging="1417"/>
        <w:rPr>
          <w:rFonts w:ascii="Arabic Typesetting" w:hAnsi="Arabic Typesetting" w:cs="Arabic Typesetting"/>
          <w:bCs/>
          <w:sz w:val="34"/>
          <w:szCs w:val="36"/>
          <w:rtl/>
          <w:lang w:val="fr-CH"/>
        </w:rPr>
      </w:pPr>
      <w:r w:rsidRPr="00495D3F">
        <w:rPr>
          <w:rFonts w:ascii="Arabic Typesetting" w:hAnsi="Arabic Typesetting" w:cs="Arabic Typesetting"/>
          <w:bCs/>
          <w:sz w:val="34"/>
          <w:szCs w:val="36"/>
          <w:rtl/>
          <w:lang w:val="fr-CH"/>
        </w:rPr>
        <w:t>مدير المشروع</w:t>
      </w:r>
      <w:r w:rsidRPr="00495D3F">
        <w:rPr>
          <w:rFonts w:ascii="Arabic Typesetting" w:hAnsi="Arabic Typesetting" w:cs="Arabic Typesetting"/>
          <w:bCs/>
          <w:sz w:val="34"/>
          <w:szCs w:val="36"/>
          <w:rtl/>
          <w:lang w:val="fr-CH"/>
        </w:rPr>
        <w:tab/>
        <w:t xml:space="preserve">السيد </w:t>
      </w:r>
      <w:proofErr w:type="spellStart"/>
      <w:r w:rsidRPr="00495D3F">
        <w:rPr>
          <w:rFonts w:ascii="Arabic Typesetting" w:hAnsi="Arabic Typesetting" w:cs="Arabic Typesetting"/>
          <w:bCs/>
          <w:sz w:val="34"/>
          <w:szCs w:val="36"/>
          <w:rtl/>
          <w:lang w:val="fr-CH"/>
        </w:rPr>
        <w:t>ألفيو</w:t>
      </w:r>
      <w:proofErr w:type="spellEnd"/>
      <w:r w:rsidRPr="00495D3F">
        <w:rPr>
          <w:rFonts w:ascii="Arabic Typesetting" w:hAnsi="Arabic Typesetting" w:cs="Arabic Typesetting"/>
          <w:bCs/>
          <w:sz w:val="34"/>
          <w:szCs w:val="36"/>
          <w:rtl/>
          <w:lang w:val="fr-CH"/>
        </w:rPr>
        <w:t xml:space="preserve"> </w:t>
      </w:r>
      <w:proofErr w:type="spellStart"/>
      <w:r w:rsidRPr="00495D3F">
        <w:rPr>
          <w:rFonts w:ascii="Arabic Typesetting" w:hAnsi="Arabic Typesetting" w:cs="Arabic Typesetting"/>
          <w:bCs/>
          <w:sz w:val="34"/>
          <w:szCs w:val="36"/>
          <w:rtl/>
          <w:lang w:val="fr-CH"/>
        </w:rPr>
        <w:t>فافيرو</w:t>
      </w:r>
      <w:proofErr w:type="spellEnd"/>
    </w:p>
    <w:p w:rsidR="00F96634" w:rsidRPr="00080105" w:rsidRDefault="00F96634" w:rsidP="006C56E9">
      <w:pPr>
        <w:bidi/>
        <w:spacing w:after="120" w:line="340" w:lineRule="exact"/>
        <w:rPr>
          <w:rFonts w:ascii="Arabic Typesetting" w:hAnsi="Arabic Typesetting" w:cs="Arabic Typesetting"/>
          <w:b/>
          <w:sz w:val="34"/>
          <w:szCs w:val="34"/>
          <w:lang w:bidi="ar-EG"/>
        </w:rPr>
      </w:pPr>
      <w:r w:rsidRPr="00080105">
        <w:rPr>
          <w:rFonts w:ascii="Arabic Typesetting" w:hAnsi="Arabic Typesetting" w:cs="Arabic Typesetting"/>
          <w:b/>
          <w:sz w:val="34"/>
          <w:szCs w:val="34"/>
          <w:rtl/>
          <w:lang w:bidi="ar-EG"/>
        </w:rPr>
        <w:t>النتيجة المرتقبة</w:t>
      </w:r>
    </w:p>
    <w:p w:rsidR="00F96634" w:rsidRPr="00080105" w:rsidRDefault="00F96634" w:rsidP="006C56E9">
      <w:pPr>
        <w:bidi/>
        <w:spacing w:after="120" w:line="340" w:lineRule="exact"/>
        <w:rPr>
          <w:rFonts w:ascii="Arabic Typesetting" w:hAnsi="Arabic Typesetting" w:cs="Arabic Typesetting"/>
          <w:b/>
          <w:iCs/>
          <w:sz w:val="34"/>
          <w:szCs w:val="34"/>
          <w:rtl/>
          <w:lang w:bidi="ar-EG"/>
        </w:rPr>
      </w:pPr>
      <w:r w:rsidRPr="00080105">
        <w:rPr>
          <w:rFonts w:ascii="Arabic Typesetting" w:hAnsi="Arabic Typesetting" w:cs="Arabic Typesetting"/>
          <w:b/>
          <w:iCs/>
          <w:sz w:val="34"/>
          <w:szCs w:val="34"/>
          <w:rtl/>
          <w:lang w:bidi="ar-EG"/>
        </w:rPr>
        <w:t>ه1.9 خدمات دعم فعالة وناجعة وذات جودة موجهة نحو الزبائن لفائدة الزبائن الداخليين وأصحاب المصالح الخارجيين</w:t>
      </w:r>
    </w:p>
    <w:p w:rsidR="00F96634" w:rsidRPr="00080105" w:rsidRDefault="00F96634" w:rsidP="00F96634">
      <w:pPr>
        <w:keepNext/>
        <w:bidi/>
        <w:spacing w:after="120" w:line="340" w:lineRule="exact"/>
        <w:rPr>
          <w:rFonts w:ascii="Arabic Typesetting" w:hAnsi="Arabic Typesetting" w:cs="Arabic Typesetting"/>
          <w:b/>
          <w:sz w:val="34"/>
          <w:szCs w:val="34"/>
          <w:lang w:bidi="ar-EG"/>
        </w:rPr>
      </w:pPr>
      <w:r w:rsidRPr="00080105">
        <w:rPr>
          <w:rFonts w:ascii="Arabic Typesetting" w:hAnsi="Arabic Typesetting" w:cs="Arabic Typesetting"/>
          <w:b/>
          <w:sz w:val="34"/>
          <w:szCs w:val="34"/>
          <w:rtl/>
          <w:lang w:bidi="ar-EG"/>
        </w:rPr>
        <w:t>الأهداف والنطاق والنهج – معلومات أساسية</w:t>
      </w:r>
    </w:p>
    <w:p w:rsidR="00F96634" w:rsidRPr="00080105" w:rsidRDefault="00F96634" w:rsidP="0099688F">
      <w:pPr>
        <w:numPr>
          <w:ilvl w:val="0"/>
          <w:numId w:val="54"/>
        </w:numPr>
        <w:bidi/>
        <w:spacing w:after="120" w:line="340" w:lineRule="exact"/>
        <w:rPr>
          <w:rFonts w:ascii="Arabic Typesetting" w:hAnsi="Arabic Typesetting" w:cs="Arabic Typesetting"/>
          <w:sz w:val="34"/>
          <w:szCs w:val="34"/>
        </w:rPr>
      </w:pPr>
      <w:r w:rsidRPr="00080105">
        <w:rPr>
          <w:rFonts w:ascii="Arabic Typesetting" w:hAnsi="Arabic Typesetting" w:cs="Arabic Typesetting"/>
          <w:sz w:val="34"/>
          <w:szCs w:val="34"/>
          <w:rtl/>
        </w:rPr>
        <w:t xml:space="preserve">خلال العقود الثلاثة الماضية، كانت نوافذ الواجهة الجنوبية الغربية من مبنى </w:t>
      </w:r>
      <w:proofErr w:type="spellStart"/>
      <w:r w:rsidRPr="00080105">
        <w:rPr>
          <w:rFonts w:ascii="Arabic Typesetting" w:hAnsi="Arabic Typesetting" w:cs="Arabic Typesetting"/>
          <w:sz w:val="34"/>
          <w:szCs w:val="34"/>
          <w:rtl/>
        </w:rPr>
        <w:t>أرباد</w:t>
      </w:r>
      <w:proofErr w:type="spellEnd"/>
      <w:r w:rsidRPr="00080105">
        <w:rPr>
          <w:rFonts w:ascii="Arabic Typesetting" w:hAnsi="Arabic Typesetting" w:cs="Arabic Typesetting"/>
          <w:sz w:val="34"/>
          <w:szCs w:val="34"/>
          <w:rtl/>
        </w:rPr>
        <w:t xml:space="preserve"> </w:t>
      </w:r>
      <w:proofErr w:type="spellStart"/>
      <w:r w:rsidRPr="00080105">
        <w:rPr>
          <w:rFonts w:ascii="Arabic Typesetting" w:hAnsi="Arabic Typesetting" w:cs="Arabic Typesetting"/>
          <w:sz w:val="34"/>
          <w:szCs w:val="34"/>
          <w:rtl/>
        </w:rPr>
        <w:t>بوكش</w:t>
      </w:r>
      <w:proofErr w:type="spellEnd"/>
      <w:r w:rsidRPr="00080105">
        <w:rPr>
          <w:rFonts w:ascii="Arabic Typesetting" w:hAnsi="Arabic Typesetting" w:cs="Arabic Typesetting"/>
          <w:sz w:val="34"/>
          <w:szCs w:val="34"/>
          <w:rtl/>
        </w:rPr>
        <w:t xml:space="preserve"> هي الأكثر تعرضا للشمس وللحرارة ولأكبر تفاوت في درجات الحرارة كل عام بين الشتاء والصيف، وأدى ذلك إلى تدهور خصائصها الحرارية </w:t>
      </w:r>
      <w:r w:rsidR="003212C1">
        <w:rPr>
          <w:rFonts w:ascii="Arabic Typesetting" w:hAnsi="Arabic Typesetting" w:cs="Arabic Typesetting" w:hint="cs"/>
          <w:sz w:val="34"/>
          <w:szCs w:val="34"/>
          <w:rtl/>
        </w:rPr>
        <w:t>تدهوراً</w:t>
      </w:r>
      <w:r w:rsidRPr="00080105">
        <w:rPr>
          <w:rFonts w:ascii="Arabic Typesetting" w:hAnsi="Arabic Typesetting" w:cs="Arabic Typesetting"/>
          <w:sz w:val="34"/>
          <w:szCs w:val="34"/>
          <w:rtl/>
        </w:rPr>
        <w:t xml:space="preserve"> كبير</w:t>
      </w:r>
      <w:r w:rsidR="003212C1">
        <w:rPr>
          <w:rFonts w:ascii="Arabic Typesetting" w:hAnsi="Arabic Typesetting" w:cs="Arabic Typesetting" w:hint="cs"/>
          <w:sz w:val="34"/>
          <w:szCs w:val="34"/>
          <w:rtl/>
        </w:rPr>
        <w:t>اً</w:t>
      </w:r>
      <w:r w:rsidRPr="00080105">
        <w:rPr>
          <w:rFonts w:ascii="Arabic Typesetting" w:hAnsi="Arabic Typesetting" w:cs="Arabic Typesetting"/>
          <w:sz w:val="34"/>
          <w:szCs w:val="34"/>
          <w:rtl/>
        </w:rPr>
        <w:t xml:space="preserve">. وإضافة إلى ذلك، فإن عددا من </w:t>
      </w:r>
      <w:r w:rsidR="003212C1">
        <w:rPr>
          <w:rFonts w:ascii="Arabic Typesetting" w:hAnsi="Arabic Typesetting" w:cs="Arabic Typesetting"/>
          <w:sz w:val="34"/>
          <w:szCs w:val="34"/>
          <w:rtl/>
        </w:rPr>
        <w:t>هذه النوافذ ونوافذ أخرى</w:t>
      </w:r>
      <w:r w:rsidR="003212C1">
        <w:rPr>
          <w:rFonts w:ascii="Arabic Typesetting" w:hAnsi="Arabic Typesetting" w:cs="Arabic Typesetting" w:hint="cs"/>
          <w:sz w:val="34"/>
          <w:szCs w:val="34"/>
          <w:rtl/>
        </w:rPr>
        <w:t xml:space="preserve"> في </w:t>
      </w:r>
      <w:r w:rsidRPr="00080105">
        <w:rPr>
          <w:rFonts w:ascii="Arabic Typesetting" w:hAnsi="Arabic Typesetting" w:cs="Arabic Typesetting"/>
          <w:sz w:val="34"/>
          <w:szCs w:val="34"/>
          <w:rtl/>
        </w:rPr>
        <w:t>الواجهة</w:t>
      </w:r>
      <w:r w:rsidR="003212C1">
        <w:rPr>
          <w:rFonts w:ascii="Arabic Typesetting" w:hAnsi="Arabic Typesetting" w:cs="Arabic Typesetting" w:hint="cs"/>
          <w:sz w:val="34"/>
          <w:szCs w:val="34"/>
          <w:rtl/>
        </w:rPr>
        <w:t xml:space="preserve"> نفسها</w:t>
      </w:r>
      <w:r w:rsidRPr="00080105">
        <w:rPr>
          <w:rFonts w:ascii="Arabic Typesetting" w:hAnsi="Arabic Typesetting" w:cs="Arabic Typesetting"/>
          <w:sz w:val="34"/>
          <w:szCs w:val="34"/>
          <w:rtl/>
        </w:rPr>
        <w:t xml:space="preserve"> طرأ عليها تغير في لونها الأزرق (فتحولت إلى مجموعة من أطياف اللونين الوردي والأرجواني) بسبب تقادم مكونات الغاز التي تملأ الفراغ بين طبقات الزجاج.</w:t>
      </w:r>
    </w:p>
    <w:p w:rsidR="00F96634" w:rsidRPr="00080105" w:rsidRDefault="003212C1" w:rsidP="0099688F">
      <w:pPr>
        <w:numPr>
          <w:ilvl w:val="0"/>
          <w:numId w:val="54"/>
        </w:numPr>
        <w:bidi/>
        <w:spacing w:after="120" w:line="340" w:lineRule="exact"/>
        <w:rPr>
          <w:rFonts w:ascii="Arabic Typesetting" w:hAnsi="Arabic Typesetting" w:cs="Arabic Typesetting"/>
          <w:sz w:val="34"/>
          <w:szCs w:val="34"/>
        </w:rPr>
      </w:pPr>
      <w:r>
        <w:rPr>
          <w:rFonts w:ascii="Arabic Typesetting" w:hAnsi="Arabic Typesetting" w:cs="Arabic Typesetting"/>
          <w:sz w:val="34"/>
          <w:szCs w:val="34"/>
          <w:rtl/>
        </w:rPr>
        <w:t>وس</w:t>
      </w:r>
      <w:r>
        <w:rPr>
          <w:rFonts w:ascii="Arabic Typesetting" w:hAnsi="Arabic Typesetting" w:cs="Arabic Typesetting" w:hint="cs"/>
          <w:sz w:val="34"/>
          <w:szCs w:val="34"/>
          <w:rtl/>
        </w:rPr>
        <w:t>يؤدي</w:t>
      </w:r>
      <w:r w:rsidR="00F96634" w:rsidRPr="00080105">
        <w:rPr>
          <w:rFonts w:ascii="Arabic Typesetting" w:hAnsi="Arabic Typesetting" w:cs="Arabic Typesetting"/>
          <w:sz w:val="34"/>
          <w:szCs w:val="34"/>
          <w:rtl/>
        </w:rPr>
        <w:t xml:space="preserve"> استبدال هذه النوافذ </w:t>
      </w:r>
      <w:r>
        <w:rPr>
          <w:rFonts w:ascii="Arabic Typesetting" w:hAnsi="Arabic Typesetting" w:cs="Arabic Typesetting" w:hint="cs"/>
          <w:sz w:val="34"/>
          <w:szCs w:val="34"/>
          <w:rtl/>
        </w:rPr>
        <w:t xml:space="preserve">إلى انخفاض كبير في </w:t>
      </w:r>
      <w:r w:rsidR="00F96634" w:rsidRPr="00080105">
        <w:rPr>
          <w:rFonts w:ascii="Arabic Typesetting" w:hAnsi="Arabic Typesetting" w:cs="Arabic Typesetting"/>
          <w:sz w:val="34"/>
          <w:szCs w:val="34"/>
          <w:rtl/>
        </w:rPr>
        <w:t>استهلاك طاقة تبريد المكاتب المعنية</w:t>
      </w:r>
      <w:r>
        <w:rPr>
          <w:rFonts w:ascii="Arabic Typesetting" w:hAnsi="Arabic Typesetting" w:cs="Arabic Typesetting"/>
          <w:sz w:val="34"/>
          <w:szCs w:val="34"/>
          <w:rtl/>
        </w:rPr>
        <w:t xml:space="preserve"> في فترات الطقس الدافئ. </w:t>
      </w:r>
      <w:r>
        <w:rPr>
          <w:rFonts w:ascii="Arabic Typesetting" w:hAnsi="Arabic Typesetting" w:cs="Arabic Typesetting" w:hint="cs"/>
          <w:sz w:val="34"/>
          <w:szCs w:val="34"/>
          <w:rtl/>
        </w:rPr>
        <w:t>و</w:t>
      </w:r>
      <w:r w:rsidR="00F96634" w:rsidRPr="00080105">
        <w:rPr>
          <w:rFonts w:ascii="Arabic Typesetting" w:hAnsi="Arabic Typesetting" w:cs="Arabic Typesetting"/>
          <w:sz w:val="34"/>
          <w:szCs w:val="34"/>
          <w:rtl/>
        </w:rPr>
        <w:t xml:space="preserve">سيتيح الفرصة لتحسين المظهر الجمالي لمبنى </w:t>
      </w:r>
      <w:proofErr w:type="spellStart"/>
      <w:r w:rsidR="00F96634" w:rsidRPr="00080105">
        <w:rPr>
          <w:rFonts w:ascii="Arabic Typesetting" w:hAnsi="Arabic Typesetting" w:cs="Arabic Typesetting"/>
          <w:sz w:val="34"/>
          <w:szCs w:val="34"/>
          <w:rtl/>
        </w:rPr>
        <w:t>أرباد</w:t>
      </w:r>
      <w:proofErr w:type="spellEnd"/>
      <w:r w:rsidR="00F96634" w:rsidRPr="00080105">
        <w:rPr>
          <w:rFonts w:ascii="Arabic Typesetting" w:hAnsi="Arabic Typesetting" w:cs="Arabic Typesetting"/>
          <w:sz w:val="34"/>
          <w:szCs w:val="34"/>
          <w:rtl/>
        </w:rPr>
        <w:t xml:space="preserve"> </w:t>
      </w:r>
      <w:proofErr w:type="spellStart"/>
      <w:r w:rsidR="00F96634" w:rsidRPr="00080105">
        <w:rPr>
          <w:rFonts w:ascii="Arabic Typesetting" w:hAnsi="Arabic Typesetting" w:cs="Arabic Typesetting"/>
          <w:sz w:val="34"/>
          <w:szCs w:val="34"/>
          <w:rtl/>
        </w:rPr>
        <w:t>بوكش</w:t>
      </w:r>
      <w:proofErr w:type="spellEnd"/>
      <w:r>
        <w:rPr>
          <w:rFonts w:ascii="Arabic Typesetting" w:hAnsi="Arabic Typesetting" w:cs="Arabic Typesetting" w:hint="cs"/>
          <w:sz w:val="34"/>
          <w:szCs w:val="34"/>
          <w:rtl/>
        </w:rPr>
        <w:t xml:space="preserve"> بوصفه معلماً</w:t>
      </w:r>
      <w:r w:rsidR="00F96634" w:rsidRPr="00080105">
        <w:rPr>
          <w:rFonts w:ascii="Arabic Typesetting" w:hAnsi="Arabic Typesetting" w:cs="Arabic Typesetting"/>
          <w:sz w:val="34"/>
          <w:szCs w:val="34"/>
          <w:rtl/>
        </w:rPr>
        <w:t xml:space="preserve"> من معالم جنيف.</w:t>
      </w:r>
    </w:p>
    <w:p w:rsidR="00F96634" w:rsidRPr="00080105" w:rsidRDefault="00F96634" w:rsidP="0099688F">
      <w:pPr>
        <w:numPr>
          <w:ilvl w:val="0"/>
          <w:numId w:val="54"/>
        </w:numPr>
        <w:bidi/>
        <w:spacing w:after="120" w:line="340" w:lineRule="exact"/>
        <w:rPr>
          <w:rFonts w:ascii="Arabic Typesetting" w:hAnsi="Arabic Typesetting" w:cs="Arabic Typesetting"/>
          <w:sz w:val="34"/>
          <w:szCs w:val="34"/>
        </w:rPr>
      </w:pPr>
      <w:r w:rsidRPr="00080105">
        <w:rPr>
          <w:rFonts w:ascii="Arabic Typesetting" w:hAnsi="Arabic Typesetting" w:cs="Arabic Typesetting"/>
          <w:sz w:val="34"/>
          <w:szCs w:val="34"/>
          <w:rtl/>
        </w:rPr>
        <w:t>وأهداف المشروع هي</w:t>
      </w:r>
      <w:r w:rsidRPr="00080105">
        <w:rPr>
          <w:rFonts w:ascii="Arabic Typesetting" w:hAnsi="Arabic Typesetting" w:cs="Arabic Typesetting"/>
          <w:color w:val="000000"/>
          <w:sz w:val="34"/>
          <w:szCs w:val="34"/>
        </w:rPr>
        <w:t xml:space="preserve"> </w:t>
      </w:r>
      <w:r w:rsidRPr="00080105">
        <w:rPr>
          <w:rFonts w:ascii="Arabic Typesetting" w:hAnsi="Arabic Typesetting" w:cs="Arabic Typesetting"/>
          <w:sz w:val="34"/>
          <w:szCs w:val="34"/>
          <w:rtl/>
        </w:rPr>
        <w:t xml:space="preserve">"1" تحسين الجودة الحرارية وفعالية استهلاك الطاقة للواجهة الجنوبية الغربية لمبنى </w:t>
      </w:r>
      <w:proofErr w:type="spellStart"/>
      <w:r w:rsidRPr="00080105">
        <w:rPr>
          <w:rFonts w:ascii="Arabic Typesetting" w:hAnsi="Arabic Typesetting" w:cs="Arabic Typesetting"/>
          <w:sz w:val="34"/>
          <w:szCs w:val="34"/>
          <w:rtl/>
        </w:rPr>
        <w:t>أرباد</w:t>
      </w:r>
      <w:proofErr w:type="spellEnd"/>
      <w:r w:rsidRPr="00080105">
        <w:rPr>
          <w:rFonts w:ascii="Arabic Typesetting" w:hAnsi="Arabic Typesetting" w:cs="Arabic Typesetting"/>
          <w:sz w:val="34"/>
          <w:szCs w:val="34"/>
          <w:rtl/>
        </w:rPr>
        <w:t xml:space="preserve"> </w:t>
      </w:r>
      <w:proofErr w:type="spellStart"/>
      <w:r w:rsidRPr="00080105">
        <w:rPr>
          <w:rFonts w:ascii="Arabic Typesetting" w:hAnsi="Arabic Typesetting" w:cs="Arabic Typesetting"/>
          <w:sz w:val="34"/>
          <w:szCs w:val="34"/>
          <w:rtl/>
        </w:rPr>
        <w:t>بوكش</w:t>
      </w:r>
      <w:proofErr w:type="spellEnd"/>
      <w:r w:rsidRPr="00080105">
        <w:rPr>
          <w:rFonts w:ascii="Arabic Typesetting" w:hAnsi="Arabic Typesetting" w:cs="Arabic Typesetting"/>
          <w:sz w:val="34"/>
          <w:szCs w:val="34"/>
          <w:rtl/>
        </w:rPr>
        <w:t>؛ "2"</w:t>
      </w:r>
      <w:r w:rsidR="003212C1">
        <w:rPr>
          <w:rFonts w:ascii="Arabic Typesetting" w:hAnsi="Arabic Typesetting" w:cs="Arabic Typesetting" w:hint="cs"/>
          <w:sz w:val="34"/>
          <w:szCs w:val="34"/>
          <w:rtl/>
        </w:rPr>
        <w:t> و</w:t>
      </w:r>
      <w:r w:rsidRPr="00080105">
        <w:rPr>
          <w:rFonts w:ascii="Arabic Typesetting" w:hAnsi="Arabic Typesetting" w:cs="Arabic Typesetting"/>
          <w:sz w:val="34"/>
          <w:szCs w:val="34"/>
          <w:rtl/>
        </w:rPr>
        <w:t xml:space="preserve">تقليل استهلاك الطاقة؛ "3" </w:t>
      </w:r>
      <w:r w:rsidR="003212C1">
        <w:rPr>
          <w:rFonts w:ascii="Arabic Typesetting" w:hAnsi="Arabic Typesetting" w:cs="Arabic Typesetting" w:hint="cs"/>
          <w:sz w:val="34"/>
          <w:szCs w:val="34"/>
          <w:rtl/>
        </w:rPr>
        <w:t>و</w:t>
      </w:r>
      <w:r w:rsidRPr="00080105">
        <w:rPr>
          <w:rFonts w:ascii="Arabic Typesetting" w:hAnsi="Arabic Typesetting" w:cs="Arabic Typesetting"/>
          <w:sz w:val="34"/>
          <w:szCs w:val="34"/>
          <w:rtl/>
        </w:rPr>
        <w:t>تحسي</w:t>
      </w:r>
      <w:r w:rsidR="003212C1">
        <w:rPr>
          <w:rFonts w:ascii="Arabic Typesetting" w:hAnsi="Arabic Typesetting" w:cs="Arabic Typesetting"/>
          <w:sz w:val="34"/>
          <w:szCs w:val="34"/>
          <w:rtl/>
        </w:rPr>
        <w:t>ن الراحة الحرارية للعاملين؛ "4"</w:t>
      </w:r>
      <w:r w:rsidR="003212C1">
        <w:rPr>
          <w:rFonts w:ascii="Arabic Typesetting" w:hAnsi="Arabic Typesetting" w:cs="Arabic Typesetting" w:hint="cs"/>
          <w:sz w:val="34"/>
          <w:szCs w:val="34"/>
          <w:rtl/>
        </w:rPr>
        <w:t> و</w:t>
      </w:r>
      <w:r w:rsidRPr="00080105">
        <w:rPr>
          <w:rFonts w:ascii="Arabic Typesetting" w:hAnsi="Arabic Typesetting" w:cs="Arabic Typesetting"/>
          <w:sz w:val="34"/>
          <w:szCs w:val="34"/>
          <w:rtl/>
        </w:rPr>
        <w:t xml:space="preserve">تحسين المظهر الجمالي لمبنى </w:t>
      </w:r>
      <w:proofErr w:type="spellStart"/>
      <w:r w:rsidRPr="00080105">
        <w:rPr>
          <w:rFonts w:ascii="Arabic Typesetting" w:hAnsi="Arabic Typesetting" w:cs="Arabic Typesetting"/>
          <w:sz w:val="34"/>
          <w:szCs w:val="34"/>
          <w:rtl/>
        </w:rPr>
        <w:t>أرباد</w:t>
      </w:r>
      <w:proofErr w:type="spellEnd"/>
      <w:r w:rsidRPr="00080105">
        <w:rPr>
          <w:rFonts w:ascii="Arabic Typesetting" w:hAnsi="Arabic Typesetting" w:cs="Arabic Typesetting"/>
          <w:sz w:val="34"/>
          <w:szCs w:val="34"/>
          <w:rtl/>
        </w:rPr>
        <w:t xml:space="preserve"> </w:t>
      </w:r>
      <w:proofErr w:type="spellStart"/>
      <w:r w:rsidRPr="00080105">
        <w:rPr>
          <w:rFonts w:ascii="Arabic Typesetting" w:hAnsi="Arabic Typesetting" w:cs="Arabic Typesetting"/>
          <w:sz w:val="34"/>
          <w:szCs w:val="34"/>
          <w:rtl/>
        </w:rPr>
        <w:t>بوكش</w:t>
      </w:r>
      <w:proofErr w:type="spellEnd"/>
      <w:r w:rsidRPr="00080105">
        <w:rPr>
          <w:rFonts w:ascii="Arabic Typesetting" w:hAnsi="Arabic Typesetting" w:cs="Arabic Typesetting"/>
          <w:sz w:val="34"/>
          <w:szCs w:val="34"/>
          <w:rtl/>
        </w:rPr>
        <w:t>.</w:t>
      </w:r>
    </w:p>
    <w:p w:rsidR="00F96634" w:rsidRPr="00080105" w:rsidRDefault="00ED2EEA" w:rsidP="00F96634">
      <w:pPr>
        <w:bidi/>
        <w:spacing w:after="120" w:line="340" w:lineRule="exact"/>
        <w:jc w:val="both"/>
        <w:rPr>
          <w:rFonts w:ascii="Arabic Typesetting" w:hAnsi="Arabic Typesetting" w:cs="Arabic Typesetting"/>
          <w:b/>
          <w:sz w:val="34"/>
          <w:szCs w:val="34"/>
          <w:lang w:bidi="ar-EG"/>
        </w:rPr>
      </w:pPr>
      <w:r>
        <w:rPr>
          <w:rFonts w:ascii="Arabic Typesetting" w:hAnsi="Arabic Typesetting" w:cs="Arabic Typesetting"/>
          <w:b/>
          <w:sz w:val="34"/>
          <w:szCs w:val="34"/>
          <w:rtl/>
          <w:lang w:bidi="ar-EG"/>
        </w:rPr>
        <w:t>استعراض التقدم المحرز في 2015 (المعالم الرئيسية)</w:t>
      </w:r>
    </w:p>
    <w:p w:rsidR="00ED2EEA" w:rsidRPr="00080105" w:rsidRDefault="003212C1" w:rsidP="0099688F">
      <w:pPr>
        <w:numPr>
          <w:ilvl w:val="0"/>
          <w:numId w:val="54"/>
        </w:numPr>
        <w:bidi/>
        <w:spacing w:after="120" w:line="340" w:lineRule="exact"/>
        <w:rPr>
          <w:rFonts w:ascii="Arabic Typesetting" w:hAnsi="Arabic Typesetting" w:cs="Arabic Typesetting"/>
          <w:noProof/>
          <w:sz w:val="34"/>
          <w:szCs w:val="34"/>
        </w:rPr>
      </w:pPr>
      <w:r>
        <w:rPr>
          <w:rFonts w:ascii="Arabic Typesetting" w:hAnsi="Arabic Typesetting" w:cs="Arabic Typesetting"/>
          <w:sz w:val="34"/>
          <w:szCs w:val="34"/>
          <w:rtl/>
        </w:rPr>
        <w:t>في عام 2014، أحرز التقدم التالي:</w:t>
      </w:r>
    </w:p>
    <w:p w:rsidR="00F96634" w:rsidRPr="00080105" w:rsidRDefault="00F96634" w:rsidP="0099688F">
      <w:pPr>
        <w:numPr>
          <w:ilvl w:val="0"/>
          <w:numId w:val="52"/>
        </w:numPr>
        <w:bidi/>
        <w:spacing w:after="120" w:line="340" w:lineRule="exact"/>
        <w:ind w:left="1134" w:hanging="567"/>
        <w:jc w:val="both"/>
        <w:rPr>
          <w:rFonts w:ascii="Arabic Typesetting" w:hAnsi="Arabic Typesetting" w:cs="Arabic Typesetting"/>
          <w:b/>
          <w:sz w:val="34"/>
          <w:szCs w:val="34"/>
          <w:lang w:bidi="ar-EG"/>
        </w:rPr>
      </w:pPr>
      <w:r w:rsidRPr="00080105">
        <w:rPr>
          <w:rFonts w:ascii="Arabic Typesetting" w:hAnsi="Arabic Typesetting" w:cs="Arabic Typesetting"/>
          <w:b/>
          <w:color w:val="000000"/>
          <w:sz w:val="34"/>
          <w:szCs w:val="34"/>
          <w:rtl/>
          <w:lang w:bidi="ar-EG"/>
        </w:rPr>
        <w:t>صياغة مواصفات ولاية مهندس الواجهة؛</w:t>
      </w:r>
    </w:p>
    <w:p w:rsidR="00F96634" w:rsidRPr="00080105" w:rsidRDefault="00F96634" w:rsidP="0099688F">
      <w:pPr>
        <w:numPr>
          <w:ilvl w:val="0"/>
          <w:numId w:val="52"/>
        </w:numPr>
        <w:bidi/>
        <w:spacing w:after="120" w:line="340" w:lineRule="exact"/>
        <w:ind w:left="1134" w:hanging="567"/>
        <w:jc w:val="both"/>
        <w:rPr>
          <w:rFonts w:ascii="Arabic Typesetting" w:hAnsi="Arabic Typesetting" w:cs="Arabic Typesetting"/>
          <w:b/>
          <w:sz w:val="34"/>
          <w:szCs w:val="34"/>
          <w:lang w:bidi="ar-EG"/>
        </w:rPr>
      </w:pPr>
      <w:r w:rsidRPr="00080105">
        <w:rPr>
          <w:rFonts w:ascii="Arabic Typesetting" w:hAnsi="Arabic Typesetting" w:cs="Arabic Typesetting"/>
          <w:b/>
          <w:color w:val="000000"/>
          <w:sz w:val="34"/>
          <w:szCs w:val="34"/>
          <w:rtl/>
          <w:lang w:bidi="ar-EG"/>
        </w:rPr>
        <w:t>طرح مناقصة بشأن مهندس الواجهة؛</w:t>
      </w:r>
    </w:p>
    <w:p w:rsidR="00F96634" w:rsidRPr="00080105" w:rsidRDefault="00F96634" w:rsidP="0099688F">
      <w:pPr>
        <w:numPr>
          <w:ilvl w:val="0"/>
          <w:numId w:val="52"/>
        </w:numPr>
        <w:bidi/>
        <w:spacing w:after="120" w:line="340" w:lineRule="exact"/>
        <w:ind w:left="1134" w:hanging="567"/>
        <w:jc w:val="both"/>
        <w:rPr>
          <w:rFonts w:ascii="Arabic Typesetting" w:hAnsi="Arabic Typesetting" w:cs="Arabic Typesetting"/>
          <w:b/>
          <w:sz w:val="34"/>
          <w:szCs w:val="34"/>
          <w:lang w:bidi="ar-EG"/>
        </w:rPr>
      </w:pPr>
      <w:r w:rsidRPr="00080105">
        <w:rPr>
          <w:rFonts w:ascii="Arabic Typesetting" w:hAnsi="Arabic Typesetting" w:cs="Arabic Typesetting"/>
          <w:b/>
          <w:color w:val="000000"/>
          <w:sz w:val="34"/>
          <w:szCs w:val="34"/>
          <w:rtl/>
          <w:lang w:bidi="ar-EG"/>
        </w:rPr>
        <w:t>منح العقد لمهندس الواجهة؛</w:t>
      </w:r>
    </w:p>
    <w:p w:rsidR="00F96634" w:rsidRPr="00080105" w:rsidRDefault="00F96634" w:rsidP="0099688F">
      <w:pPr>
        <w:numPr>
          <w:ilvl w:val="0"/>
          <w:numId w:val="52"/>
        </w:numPr>
        <w:bidi/>
        <w:spacing w:after="120" w:line="340" w:lineRule="exact"/>
        <w:ind w:left="1134" w:hanging="567"/>
        <w:jc w:val="both"/>
        <w:rPr>
          <w:rFonts w:ascii="Arabic Typesetting" w:hAnsi="Arabic Typesetting" w:cs="Arabic Typesetting"/>
          <w:b/>
          <w:sz w:val="34"/>
          <w:szCs w:val="34"/>
          <w:lang w:bidi="ar-EG"/>
        </w:rPr>
      </w:pPr>
      <w:r w:rsidRPr="00080105">
        <w:rPr>
          <w:rFonts w:ascii="Arabic Typesetting" w:hAnsi="Arabic Typesetting" w:cs="Arabic Typesetting"/>
          <w:b/>
          <w:color w:val="000000"/>
          <w:sz w:val="34"/>
          <w:szCs w:val="34"/>
          <w:rtl/>
          <w:lang w:bidi="ar-EG"/>
        </w:rPr>
        <w:t>مراجعة المشروع وتثبيته مع مهندس الواجهة.</w:t>
      </w:r>
    </w:p>
    <w:p w:rsidR="00F96634" w:rsidRDefault="006C56E9" w:rsidP="0099688F">
      <w:pPr>
        <w:numPr>
          <w:ilvl w:val="0"/>
          <w:numId w:val="54"/>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و</w:t>
      </w:r>
      <w:r w:rsidR="00F96634" w:rsidRPr="00080105">
        <w:rPr>
          <w:rFonts w:ascii="Arabic Typesetting" w:hAnsi="Arabic Typesetting" w:cs="Arabic Typesetting"/>
          <w:sz w:val="34"/>
          <w:szCs w:val="34"/>
          <w:rtl/>
        </w:rPr>
        <w:t xml:space="preserve">بسبب تأخر اكتمال قاعة مؤتمرات الويبو الجديدة (من بداية 2014 حتى سبتمبر 2014)، تأخر بدء المشروع سنة </w:t>
      </w:r>
      <w:r w:rsidR="003212C1">
        <w:rPr>
          <w:rFonts w:ascii="Arabic Typesetting" w:hAnsi="Arabic Typesetting" w:cs="Arabic Typesetting" w:hint="cs"/>
          <w:sz w:val="34"/>
          <w:szCs w:val="34"/>
          <w:rtl/>
        </w:rPr>
        <w:t>عن</w:t>
      </w:r>
      <w:r w:rsidR="00F96634" w:rsidRPr="00080105">
        <w:rPr>
          <w:rFonts w:ascii="Arabic Typesetting" w:hAnsi="Arabic Typesetting" w:cs="Arabic Typesetting"/>
          <w:sz w:val="34"/>
          <w:szCs w:val="34"/>
          <w:rtl/>
        </w:rPr>
        <w:t xml:space="preserve"> الخطة الأصلية. ومن </w:t>
      </w:r>
      <w:r>
        <w:rPr>
          <w:rFonts w:ascii="Arabic Typesetting" w:hAnsi="Arabic Typesetting" w:cs="Arabic Typesetting"/>
          <w:sz w:val="34"/>
          <w:szCs w:val="34"/>
          <w:rtl/>
        </w:rPr>
        <w:t>ثم عُدّل الجدول الزمني للمشروع.</w:t>
      </w:r>
    </w:p>
    <w:p w:rsidR="006C56E9" w:rsidRDefault="006C56E9" w:rsidP="0099688F">
      <w:pPr>
        <w:numPr>
          <w:ilvl w:val="0"/>
          <w:numId w:val="54"/>
        </w:numPr>
        <w:bidi/>
        <w:spacing w:after="120" w:line="340" w:lineRule="exact"/>
        <w:rPr>
          <w:rFonts w:ascii="Arabic Typesetting" w:hAnsi="Arabic Typesetting" w:cs="Arabic Typesetting"/>
          <w:sz w:val="34"/>
          <w:szCs w:val="34"/>
        </w:rPr>
      </w:pPr>
      <w:r>
        <w:rPr>
          <w:rFonts w:ascii="Arabic Typesetting" w:hAnsi="Arabic Typesetting" w:cs="Arabic Typesetting" w:hint="cs"/>
          <w:sz w:val="34"/>
          <w:szCs w:val="34"/>
          <w:rtl/>
        </w:rPr>
        <w:t>و</w:t>
      </w:r>
      <w:r w:rsidR="003212C1">
        <w:rPr>
          <w:rFonts w:ascii="Arabic Typesetting" w:hAnsi="Arabic Typesetting" w:cs="Arabic Typesetting"/>
          <w:sz w:val="34"/>
          <w:szCs w:val="34"/>
          <w:rtl/>
        </w:rPr>
        <w:t>في عام 2015، أحرز التقدم التالي</w:t>
      </w:r>
      <w:r>
        <w:rPr>
          <w:rFonts w:ascii="Arabic Typesetting" w:hAnsi="Arabic Typesetting" w:cs="Arabic Typesetting" w:hint="cs"/>
          <w:sz w:val="34"/>
          <w:szCs w:val="34"/>
          <w:rtl/>
        </w:rPr>
        <w:t>:</w:t>
      </w:r>
    </w:p>
    <w:p w:rsidR="006C56E9" w:rsidRDefault="00324187" w:rsidP="0099688F">
      <w:pPr>
        <w:numPr>
          <w:ilvl w:val="0"/>
          <w:numId w:val="52"/>
        </w:numPr>
        <w:bidi/>
        <w:spacing w:after="120" w:line="340" w:lineRule="exact"/>
        <w:ind w:left="1134" w:hanging="567"/>
        <w:jc w:val="both"/>
        <w:rPr>
          <w:rFonts w:ascii="Arabic Typesetting" w:hAnsi="Arabic Typesetting" w:cs="Arabic Typesetting"/>
          <w:sz w:val="34"/>
          <w:szCs w:val="34"/>
        </w:rPr>
      </w:pPr>
      <w:r>
        <w:rPr>
          <w:rFonts w:ascii="Arabic Typesetting" w:hAnsi="Arabic Typesetting" w:cs="Arabic Typesetting" w:hint="cs"/>
          <w:sz w:val="34"/>
          <w:szCs w:val="34"/>
          <w:rtl/>
        </w:rPr>
        <w:t>تنفيذ العمل التحضيري (في يوليو وأغسطس 2015) لطلب النوافذ؛</w:t>
      </w:r>
    </w:p>
    <w:p w:rsidR="00324187" w:rsidRDefault="00324187" w:rsidP="0099688F">
      <w:pPr>
        <w:numPr>
          <w:ilvl w:val="0"/>
          <w:numId w:val="52"/>
        </w:numPr>
        <w:bidi/>
        <w:spacing w:after="120" w:line="340" w:lineRule="exact"/>
        <w:ind w:left="1134" w:hanging="567"/>
        <w:jc w:val="both"/>
        <w:rPr>
          <w:rFonts w:ascii="Arabic Typesetting" w:hAnsi="Arabic Typesetting" w:cs="Arabic Typesetting"/>
          <w:sz w:val="34"/>
          <w:szCs w:val="34"/>
        </w:rPr>
      </w:pPr>
      <w:r>
        <w:rPr>
          <w:rFonts w:ascii="Arabic Typesetting" w:hAnsi="Arabic Typesetting" w:cs="Arabic Typesetting" w:hint="cs"/>
          <w:sz w:val="34"/>
          <w:szCs w:val="34"/>
          <w:rtl/>
        </w:rPr>
        <w:t>اكتشاف مشكلات فنية</w:t>
      </w:r>
      <w:r w:rsidRPr="003212C1">
        <w:rPr>
          <w:rStyle w:val="FootnoteReference"/>
          <w:rFonts w:ascii="Arabic Typesetting" w:hAnsi="Arabic Typesetting" w:cs="Arabic Typesetting"/>
          <w:sz w:val="28"/>
          <w:szCs w:val="28"/>
          <w:rtl/>
        </w:rPr>
        <w:footnoteReference w:id="180"/>
      </w:r>
      <w:r>
        <w:rPr>
          <w:rFonts w:ascii="Arabic Typesetting" w:hAnsi="Arabic Typesetting" w:cs="Arabic Typesetting" w:hint="cs"/>
          <w:sz w:val="34"/>
          <w:szCs w:val="34"/>
          <w:rtl/>
        </w:rPr>
        <w:t xml:space="preserve"> </w:t>
      </w:r>
      <w:r w:rsidR="003212C1">
        <w:rPr>
          <w:rFonts w:ascii="Arabic Typesetting" w:hAnsi="Arabic Typesetting" w:cs="Arabic Typesetting" w:hint="cs"/>
          <w:sz w:val="34"/>
          <w:szCs w:val="34"/>
          <w:rtl/>
        </w:rPr>
        <w:t>أثناء</w:t>
      </w:r>
      <w:r>
        <w:rPr>
          <w:rFonts w:ascii="Arabic Typesetting" w:hAnsi="Arabic Typesetting" w:cs="Arabic Typesetting" w:hint="cs"/>
          <w:sz w:val="34"/>
          <w:szCs w:val="34"/>
          <w:rtl/>
        </w:rPr>
        <w:t xml:space="preserve"> العمل على عينات محدودة ما أدى إلى توقف العمل؛</w:t>
      </w:r>
    </w:p>
    <w:p w:rsidR="00324187" w:rsidRDefault="00324187" w:rsidP="0099688F">
      <w:pPr>
        <w:numPr>
          <w:ilvl w:val="0"/>
          <w:numId w:val="52"/>
        </w:numPr>
        <w:bidi/>
        <w:spacing w:after="120" w:line="340" w:lineRule="exact"/>
        <w:ind w:left="1134" w:hanging="567"/>
        <w:jc w:val="both"/>
        <w:rPr>
          <w:rFonts w:ascii="Arabic Typesetting" w:hAnsi="Arabic Typesetting" w:cs="Arabic Typesetting"/>
          <w:sz w:val="34"/>
          <w:szCs w:val="34"/>
        </w:rPr>
      </w:pPr>
      <w:r>
        <w:rPr>
          <w:rFonts w:ascii="Arabic Typesetting" w:hAnsi="Arabic Typesetting" w:cs="Arabic Typesetting" w:hint="cs"/>
          <w:sz w:val="34"/>
          <w:szCs w:val="34"/>
          <w:rtl/>
        </w:rPr>
        <w:t xml:space="preserve">الاستعانة بخبراء لإعادة التقييم الوضع الفني الذي سيتطلب تنفيذ عملية أكثر تعقيداً لفك النوافذ وأطرها، </w:t>
      </w:r>
      <w:r w:rsidR="004C1072">
        <w:rPr>
          <w:rFonts w:ascii="Arabic Typesetting" w:hAnsi="Arabic Typesetting" w:cs="Arabic Typesetting" w:hint="cs"/>
          <w:sz w:val="34"/>
          <w:szCs w:val="34"/>
          <w:rtl/>
        </w:rPr>
        <w:t>لإرشاد المنظمة إلى</w:t>
      </w:r>
      <w:r>
        <w:rPr>
          <w:rFonts w:ascii="Arabic Typesetting" w:hAnsi="Arabic Typesetting" w:cs="Arabic Typesetting" w:hint="cs"/>
          <w:sz w:val="34"/>
          <w:szCs w:val="34"/>
          <w:rtl/>
        </w:rPr>
        <w:t xml:space="preserve"> الخطوات المقبلة؛</w:t>
      </w:r>
    </w:p>
    <w:p w:rsidR="00324187" w:rsidRPr="00080105" w:rsidRDefault="00324187" w:rsidP="0099688F">
      <w:pPr>
        <w:numPr>
          <w:ilvl w:val="0"/>
          <w:numId w:val="52"/>
        </w:numPr>
        <w:bidi/>
        <w:spacing w:after="120" w:line="340" w:lineRule="exact"/>
        <w:ind w:left="1134" w:hanging="567"/>
        <w:jc w:val="both"/>
        <w:rPr>
          <w:rFonts w:ascii="Arabic Typesetting" w:hAnsi="Arabic Typesetting" w:cs="Arabic Typesetting"/>
          <w:sz w:val="34"/>
          <w:szCs w:val="34"/>
        </w:rPr>
      </w:pPr>
      <w:r>
        <w:rPr>
          <w:rFonts w:ascii="Arabic Typesetting" w:hAnsi="Arabic Typesetting" w:cs="Arabic Typesetting" w:hint="cs"/>
          <w:sz w:val="34"/>
          <w:szCs w:val="34"/>
          <w:rtl/>
        </w:rPr>
        <w:t>تأجيل تنفيذ المشروع حتى تحل المشكلات الفنية.</w:t>
      </w:r>
    </w:p>
    <w:p w:rsidR="00F96634" w:rsidRPr="00080105" w:rsidRDefault="00F96634" w:rsidP="00324187">
      <w:pPr>
        <w:keepNext/>
        <w:bidi/>
        <w:spacing w:after="120" w:line="340" w:lineRule="exact"/>
        <w:jc w:val="both"/>
        <w:rPr>
          <w:rFonts w:ascii="Arabic Typesetting" w:hAnsi="Arabic Typesetting" w:cs="Arabic Typesetting"/>
          <w:b/>
          <w:sz w:val="34"/>
          <w:szCs w:val="34"/>
          <w:lang w:bidi="ar-EG"/>
        </w:rPr>
      </w:pPr>
      <w:r w:rsidRPr="00080105">
        <w:rPr>
          <w:rFonts w:ascii="Arabic Typesetting" w:hAnsi="Arabic Typesetting" w:cs="Arabic Typesetting"/>
          <w:b/>
          <w:sz w:val="34"/>
          <w:szCs w:val="34"/>
          <w:rtl/>
          <w:lang w:bidi="ar-EG"/>
        </w:rPr>
        <w:lastRenderedPageBreak/>
        <w:t>تحقيق المنافع</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8"/>
        <w:gridCol w:w="4653"/>
      </w:tblGrid>
      <w:tr w:rsidR="00F96634" w:rsidRPr="00080105" w:rsidTr="00324187">
        <w:trPr>
          <w:trHeight w:val="314"/>
          <w:tblHeader/>
          <w:jc w:val="center"/>
        </w:trPr>
        <w:tc>
          <w:tcPr>
            <w:tcW w:w="2569" w:type="pct"/>
            <w:shd w:val="clear" w:color="auto" w:fill="C6D9F1"/>
            <w:vAlign w:val="center"/>
          </w:tcPr>
          <w:p w:rsidR="00F96634" w:rsidRPr="00080105" w:rsidRDefault="00F96634" w:rsidP="00324187">
            <w:pPr>
              <w:keepNext/>
              <w:bidi/>
              <w:spacing w:line="280" w:lineRule="exact"/>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 xml:space="preserve">المنافع </w:t>
            </w:r>
            <w:r w:rsidR="00324187">
              <w:rPr>
                <w:rFonts w:ascii="Arabic Typesetting" w:hAnsi="Arabic Typesetting" w:cs="Arabic Typesetting" w:hint="cs"/>
                <w:bCs/>
                <w:sz w:val="28"/>
                <w:szCs w:val="28"/>
                <w:rtl/>
              </w:rPr>
              <w:t>المحققة</w:t>
            </w:r>
            <w:r w:rsidRPr="00080105">
              <w:rPr>
                <w:rFonts w:ascii="Arabic Typesetting" w:hAnsi="Arabic Typesetting" w:cs="Arabic Typesetting"/>
                <w:bCs/>
                <w:sz w:val="28"/>
                <w:szCs w:val="28"/>
                <w:rtl/>
                <w:lang w:bidi="ar-EG"/>
              </w:rPr>
              <w:t xml:space="preserve"> 2015</w:t>
            </w:r>
          </w:p>
        </w:tc>
        <w:tc>
          <w:tcPr>
            <w:tcW w:w="2431" w:type="pct"/>
            <w:shd w:val="clear" w:color="auto" w:fill="C6D9F1"/>
            <w:vAlign w:val="center"/>
          </w:tcPr>
          <w:p w:rsidR="00F96634" w:rsidRPr="00080105" w:rsidRDefault="00F96634" w:rsidP="00324187">
            <w:pPr>
              <w:keepNext/>
              <w:bidi/>
              <w:spacing w:line="280" w:lineRule="exact"/>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المنافع المتوقعة 2016</w:t>
            </w:r>
          </w:p>
        </w:tc>
      </w:tr>
      <w:tr w:rsidR="00F96634" w:rsidRPr="00080105" w:rsidTr="004C1072">
        <w:trPr>
          <w:trHeight w:val="417"/>
          <w:jc w:val="center"/>
        </w:trPr>
        <w:tc>
          <w:tcPr>
            <w:tcW w:w="2569" w:type="pct"/>
            <w:vAlign w:val="center"/>
          </w:tcPr>
          <w:p w:rsidR="00F96634" w:rsidRPr="004C1072" w:rsidRDefault="00324187" w:rsidP="00F96634">
            <w:pPr>
              <w:bidi/>
              <w:spacing w:line="280" w:lineRule="exact"/>
              <w:rPr>
                <w:rFonts w:ascii="Arabic Typesetting" w:hAnsi="Arabic Typesetting" w:cs="Arabic Typesetting"/>
                <w:b/>
                <w:color w:val="000000"/>
                <w:sz w:val="28"/>
                <w:szCs w:val="28"/>
                <w:rtl/>
                <w:lang w:bidi="ar-EG"/>
              </w:rPr>
            </w:pPr>
            <w:r w:rsidRPr="004C1072">
              <w:rPr>
                <w:rFonts w:ascii="Arabic Typesetting" w:hAnsi="Arabic Typesetting" w:cs="Arabic Typesetting" w:hint="cs"/>
                <w:b/>
                <w:color w:val="000000"/>
                <w:sz w:val="28"/>
                <w:szCs w:val="28"/>
                <w:rtl/>
                <w:lang w:bidi="ar-EG"/>
              </w:rPr>
              <w:t>لم تحقق أي منافع في عام 2015 نظراً إلى توقف العمل عقب اكتشاف مشكلات فنية.</w:t>
            </w:r>
          </w:p>
        </w:tc>
        <w:tc>
          <w:tcPr>
            <w:tcW w:w="2431" w:type="pct"/>
            <w:vAlign w:val="center"/>
          </w:tcPr>
          <w:p w:rsidR="00F96634" w:rsidRPr="004C1072" w:rsidRDefault="00F96634" w:rsidP="00F96634">
            <w:pPr>
              <w:bidi/>
              <w:spacing w:line="280" w:lineRule="exact"/>
              <w:rPr>
                <w:rFonts w:ascii="Arabic Typesetting" w:hAnsi="Arabic Typesetting" w:cs="Arabic Typesetting"/>
                <w:b/>
                <w:color w:val="000000"/>
                <w:sz w:val="28"/>
                <w:szCs w:val="28"/>
                <w:rtl/>
                <w:lang w:bidi="ar-EG"/>
              </w:rPr>
            </w:pPr>
            <w:r w:rsidRPr="00080105">
              <w:rPr>
                <w:rFonts w:ascii="Arabic Typesetting" w:hAnsi="Arabic Typesetting" w:cs="Arabic Typesetting"/>
                <w:b/>
                <w:color w:val="000000"/>
                <w:sz w:val="28"/>
                <w:szCs w:val="28"/>
                <w:rtl/>
                <w:lang w:bidi="ar-EG"/>
              </w:rPr>
              <w:t xml:space="preserve">تقليل تام للطاقة المهدرة بواسطة الواجهة الجنوبية الغربية لمبنى </w:t>
            </w:r>
            <w:proofErr w:type="spellStart"/>
            <w:r w:rsidRPr="00080105">
              <w:rPr>
                <w:rFonts w:ascii="Arabic Typesetting" w:hAnsi="Arabic Typesetting" w:cs="Arabic Typesetting"/>
                <w:b/>
                <w:color w:val="000000"/>
                <w:sz w:val="28"/>
                <w:szCs w:val="28"/>
                <w:rtl/>
                <w:lang w:bidi="ar-EG"/>
              </w:rPr>
              <w:t>أرباد</w:t>
            </w:r>
            <w:proofErr w:type="spellEnd"/>
            <w:r w:rsidRPr="00080105">
              <w:rPr>
                <w:rFonts w:ascii="Arabic Typesetting" w:hAnsi="Arabic Typesetting" w:cs="Arabic Typesetting"/>
                <w:b/>
                <w:color w:val="000000"/>
                <w:sz w:val="28"/>
                <w:szCs w:val="28"/>
                <w:rtl/>
                <w:lang w:bidi="ar-EG"/>
              </w:rPr>
              <w:t xml:space="preserve"> </w:t>
            </w:r>
            <w:proofErr w:type="spellStart"/>
            <w:r w:rsidRPr="00080105">
              <w:rPr>
                <w:rFonts w:ascii="Arabic Typesetting" w:hAnsi="Arabic Typesetting" w:cs="Arabic Typesetting"/>
                <w:b/>
                <w:color w:val="000000"/>
                <w:sz w:val="28"/>
                <w:szCs w:val="28"/>
                <w:rtl/>
                <w:lang w:bidi="ar-EG"/>
              </w:rPr>
              <w:t>بوكش</w:t>
            </w:r>
            <w:proofErr w:type="spellEnd"/>
          </w:p>
        </w:tc>
      </w:tr>
      <w:tr w:rsidR="00F96634" w:rsidRPr="00080105" w:rsidTr="00324187">
        <w:trPr>
          <w:trHeight w:val="564"/>
          <w:jc w:val="center"/>
        </w:trPr>
        <w:tc>
          <w:tcPr>
            <w:tcW w:w="2569" w:type="pct"/>
            <w:vAlign w:val="center"/>
          </w:tcPr>
          <w:p w:rsidR="00F96634" w:rsidRPr="00080105" w:rsidRDefault="00F96634" w:rsidP="00F96634">
            <w:pPr>
              <w:bidi/>
              <w:spacing w:line="280" w:lineRule="exact"/>
              <w:rPr>
                <w:rFonts w:ascii="Arabic Typesetting" w:hAnsi="Arabic Typesetting" w:cs="Arabic Typesetting"/>
                <w:b/>
                <w:sz w:val="28"/>
                <w:szCs w:val="28"/>
                <w:rtl/>
                <w:lang w:bidi="ar-EG"/>
              </w:rPr>
            </w:pPr>
          </w:p>
        </w:tc>
        <w:tc>
          <w:tcPr>
            <w:tcW w:w="2431" w:type="pct"/>
            <w:vAlign w:val="center"/>
          </w:tcPr>
          <w:p w:rsidR="00F96634" w:rsidRPr="00080105" w:rsidRDefault="00324187" w:rsidP="00F96634">
            <w:pPr>
              <w:bidi/>
              <w:spacing w:line="280" w:lineRule="exact"/>
              <w:rPr>
                <w:rFonts w:ascii="Arabic Typesetting" w:hAnsi="Arabic Typesetting" w:cs="Arabic Typesetting"/>
                <w:b/>
                <w:sz w:val="28"/>
                <w:szCs w:val="28"/>
                <w:rtl/>
                <w:lang w:bidi="ar-EG"/>
              </w:rPr>
            </w:pPr>
            <w:r w:rsidRPr="00080105">
              <w:rPr>
                <w:rFonts w:ascii="Arabic Typesetting" w:hAnsi="Arabic Typesetting" w:cs="Arabic Typesetting"/>
                <w:b/>
                <w:color w:val="000000"/>
                <w:sz w:val="28"/>
                <w:szCs w:val="28"/>
                <w:rtl/>
                <w:lang w:bidi="ar-EG"/>
              </w:rPr>
              <w:t>راحة حرارية أفضل طوال السنة</w:t>
            </w:r>
          </w:p>
        </w:tc>
      </w:tr>
      <w:tr w:rsidR="00324187" w:rsidRPr="00080105" w:rsidTr="00324187">
        <w:trPr>
          <w:trHeight w:val="564"/>
          <w:jc w:val="center"/>
        </w:trPr>
        <w:tc>
          <w:tcPr>
            <w:tcW w:w="2569" w:type="pct"/>
            <w:vAlign w:val="center"/>
          </w:tcPr>
          <w:p w:rsidR="00324187" w:rsidRPr="00080105" w:rsidRDefault="00324187" w:rsidP="00F96634">
            <w:pPr>
              <w:bidi/>
              <w:spacing w:line="280" w:lineRule="exact"/>
              <w:rPr>
                <w:rFonts w:ascii="Arabic Typesetting" w:hAnsi="Arabic Typesetting" w:cs="Arabic Typesetting"/>
                <w:b/>
                <w:color w:val="000000"/>
                <w:sz w:val="28"/>
                <w:szCs w:val="28"/>
                <w:rtl/>
                <w:lang w:bidi="ar-EG"/>
              </w:rPr>
            </w:pPr>
          </w:p>
        </w:tc>
        <w:tc>
          <w:tcPr>
            <w:tcW w:w="2431" w:type="pct"/>
            <w:vAlign w:val="center"/>
          </w:tcPr>
          <w:p w:rsidR="00324187" w:rsidRPr="00080105" w:rsidRDefault="004C1072" w:rsidP="004C1072">
            <w:pPr>
              <w:bidi/>
              <w:spacing w:line="280" w:lineRule="exact"/>
              <w:rPr>
                <w:rFonts w:ascii="Arabic Typesetting" w:hAnsi="Arabic Typesetting" w:cs="Arabic Typesetting"/>
                <w:b/>
                <w:color w:val="000000"/>
                <w:sz w:val="28"/>
                <w:szCs w:val="28"/>
                <w:rtl/>
                <w:lang w:bidi="ar-EG"/>
              </w:rPr>
            </w:pPr>
            <w:r>
              <w:rPr>
                <w:rFonts w:ascii="Arabic Typesetting" w:hAnsi="Arabic Typesetting" w:cs="Arabic Typesetting"/>
                <w:b/>
                <w:color w:val="000000"/>
                <w:sz w:val="28"/>
                <w:szCs w:val="28"/>
                <w:rtl/>
                <w:lang w:bidi="ar-EG"/>
              </w:rPr>
              <w:t>إعادة تدوير النوافذ الأقل ضر</w:t>
            </w:r>
            <w:r>
              <w:rPr>
                <w:rFonts w:ascii="Arabic Typesetting" w:hAnsi="Arabic Typesetting" w:cs="Arabic Typesetting" w:hint="cs"/>
                <w:b/>
                <w:color w:val="000000"/>
                <w:sz w:val="28"/>
                <w:szCs w:val="28"/>
                <w:rtl/>
                <w:lang w:bidi="ar-EG"/>
              </w:rPr>
              <w:t>ر</w:t>
            </w:r>
            <w:r w:rsidR="00324187" w:rsidRPr="00080105">
              <w:rPr>
                <w:rFonts w:ascii="Arabic Typesetting" w:hAnsi="Arabic Typesetting" w:cs="Arabic Typesetting"/>
                <w:b/>
                <w:color w:val="000000"/>
                <w:sz w:val="28"/>
                <w:szCs w:val="28"/>
                <w:rtl/>
                <w:lang w:bidi="ar-EG"/>
              </w:rPr>
              <w:t xml:space="preserve">ا لاستخدامها في واجهات أخرى </w:t>
            </w:r>
            <w:r>
              <w:rPr>
                <w:rFonts w:ascii="Arabic Typesetting" w:hAnsi="Arabic Typesetting" w:cs="Arabic Typesetting" w:hint="cs"/>
                <w:b/>
                <w:color w:val="000000"/>
                <w:sz w:val="28"/>
                <w:szCs w:val="28"/>
                <w:rtl/>
                <w:lang w:bidi="ar-EG"/>
              </w:rPr>
              <w:t>من</w:t>
            </w:r>
            <w:r w:rsidR="00324187" w:rsidRPr="00080105">
              <w:rPr>
                <w:rFonts w:ascii="Arabic Typesetting" w:hAnsi="Arabic Typesetting" w:cs="Arabic Typesetting"/>
                <w:b/>
                <w:color w:val="000000"/>
                <w:sz w:val="28"/>
                <w:szCs w:val="28"/>
                <w:rtl/>
                <w:lang w:bidi="ar-EG"/>
              </w:rPr>
              <w:t xml:space="preserve"> مبنى </w:t>
            </w:r>
            <w:proofErr w:type="spellStart"/>
            <w:r w:rsidR="00324187" w:rsidRPr="00080105">
              <w:rPr>
                <w:rFonts w:ascii="Arabic Typesetting" w:hAnsi="Arabic Typesetting" w:cs="Arabic Typesetting"/>
                <w:b/>
                <w:color w:val="000000"/>
                <w:sz w:val="28"/>
                <w:szCs w:val="28"/>
                <w:rtl/>
                <w:lang w:bidi="ar-EG"/>
              </w:rPr>
              <w:t>أرباد</w:t>
            </w:r>
            <w:proofErr w:type="spellEnd"/>
            <w:r w:rsidR="00324187" w:rsidRPr="00080105">
              <w:rPr>
                <w:rFonts w:ascii="Arabic Typesetting" w:hAnsi="Arabic Typesetting" w:cs="Arabic Typesetting"/>
                <w:b/>
                <w:color w:val="000000"/>
                <w:sz w:val="28"/>
                <w:szCs w:val="28"/>
                <w:rtl/>
                <w:lang w:bidi="ar-EG"/>
              </w:rPr>
              <w:t xml:space="preserve"> </w:t>
            </w:r>
            <w:proofErr w:type="spellStart"/>
            <w:r w:rsidR="00324187" w:rsidRPr="00080105">
              <w:rPr>
                <w:rFonts w:ascii="Arabic Typesetting" w:hAnsi="Arabic Typesetting" w:cs="Arabic Typesetting"/>
                <w:b/>
                <w:color w:val="000000"/>
                <w:sz w:val="28"/>
                <w:szCs w:val="28"/>
                <w:rtl/>
                <w:lang w:bidi="ar-EG"/>
              </w:rPr>
              <w:t>بوكش</w:t>
            </w:r>
            <w:proofErr w:type="spellEnd"/>
          </w:p>
        </w:tc>
      </w:tr>
      <w:tr w:rsidR="00F96634" w:rsidRPr="00080105" w:rsidTr="00324187">
        <w:trPr>
          <w:trHeight w:val="564"/>
          <w:jc w:val="center"/>
        </w:trPr>
        <w:tc>
          <w:tcPr>
            <w:tcW w:w="2569" w:type="pct"/>
            <w:vAlign w:val="center"/>
          </w:tcPr>
          <w:p w:rsidR="00F96634" w:rsidRPr="00080105" w:rsidRDefault="00F96634" w:rsidP="00F96634">
            <w:pPr>
              <w:bidi/>
              <w:spacing w:line="280" w:lineRule="exact"/>
              <w:rPr>
                <w:rFonts w:ascii="Arabic Typesetting" w:hAnsi="Arabic Typesetting" w:cs="Arabic Typesetting"/>
                <w:b/>
                <w:sz w:val="28"/>
                <w:szCs w:val="28"/>
                <w:rtl/>
                <w:lang w:bidi="ar-EG"/>
              </w:rPr>
            </w:pPr>
          </w:p>
        </w:tc>
        <w:tc>
          <w:tcPr>
            <w:tcW w:w="2431" w:type="pct"/>
            <w:vAlign w:val="center"/>
          </w:tcPr>
          <w:p w:rsidR="00F96634" w:rsidRPr="004C1072" w:rsidRDefault="00324187" w:rsidP="00F96634">
            <w:pPr>
              <w:bidi/>
              <w:spacing w:line="280" w:lineRule="exact"/>
              <w:rPr>
                <w:rFonts w:ascii="Arabic Typesetting" w:hAnsi="Arabic Typesetting" w:cs="Arabic Typesetting"/>
                <w:b/>
                <w:color w:val="000000"/>
                <w:sz w:val="28"/>
                <w:szCs w:val="28"/>
                <w:rtl/>
                <w:lang w:bidi="ar-EG"/>
              </w:rPr>
            </w:pPr>
            <w:r w:rsidRPr="00080105">
              <w:rPr>
                <w:rFonts w:ascii="Arabic Typesetting" w:hAnsi="Arabic Typesetting" w:cs="Arabic Typesetting"/>
                <w:b/>
                <w:color w:val="000000"/>
                <w:sz w:val="28"/>
                <w:szCs w:val="28"/>
                <w:rtl/>
                <w:lang w:bidi="ar-EG"/>
              </w:rPr>
              <w:t xml:space="preserve">تحسين المظهر الجمالي للواجهة الجنوبية الغربية لمبنى </w:t>
            </w:r>
            <w:proofErr w:type="spellStart"/>
            <w:r w:rsidRPr="00080105">
              <w:rPr>
                <w:rFonts w:ascii="Arabic Typesetting" w:hAnsi="Arabic Typesetting" w:cs="Arabic Typesetting"/>
                <w:b/>
                <w:color w:val="000000"/>
                <w:sz w:val="28"/>
                <w:szCs w:val="28"/>
                <w:rtl/>
                <w:lang w:bidi="ar-EG"/>
              </w:rPr>
              <w:t>أرباد</w:t>
            </w:r>
            <w:proofErr w:type="spellEnd"/>
            <w:r w:rsidRPr="00080105">
              <w:rPr>
                <w:rFonts w:ascii="Arabic Typesetting" w:hAnsi="Arabic Typesetting" w:cs="Arabic Typesetting"/>
                <w:b/>
                <w:color w:val="000000"/>
                <w:sz w:val="28"/>
                <w:szCs w:val="28"/>
                <w:rtl/>
                <w:lang w:bidi="ar-EG"/>
              </w:rPr>
              <w:t xml:space="preserve"> </w:t>
            </w:r>
            <w:proofErr w:type="spellStart"/>
            <w:r w:rsidRPr="00080105">
              <w:rPr>
                <w:rFonts w:ascii="Arabic Typesetting" w:hAnsi="Arabic Typesetting" w:cs="Arabic Typesetting"/>
                <w:b/>
                <w:color w:val="000000"/>
                <w:sz w:val="28"/>
                <w:szCs w:val="28"/>
                <w:rtl/>
                <w:lang w:bidi="ar-EG"/>
              </w:rPr>
              <w:t>بوكش</w:t>
            </w:r>
            <w:proofErr w:type="spellEnd"/>
          </w:p>
        </w:tc>
      </w:tr>
      <w:tr w:rsidR="00F96634" w:rsidRPr="00080105" w:rsidTr="00324187">
        <w:trPr>
          <w:trHeight w:val="564"/>
          <w:jc w:val="center"/>
        </w:trPr>
        <w:tc>
          <w:tcPr>
            <w:tcW w:w="2569" w:type="pct"/>
            <w:vAlign w:val="center"/>
          </w:tcPr>
          <w:p w:rsidR="00F96634" w:rsidRPr="00080105" w:rsidRDefault="00F96634" w:rsidP="00F96634">
            <w:pPr>
              <w:bidi/>
              <w:spacing w:line="280" w:lineRule="exact"/>
              <w:rPr>
                <w:rFonts w:ascii="Arabic Typesetting" w:hAnsi="Arabic Typesetting" w:cs="Arabic Typesetting"/>
                <w:b/>
                <w:sz w:val="28"/>
                <w:szCs w:val="28"/>
                <w:rtl/>
                <w:lang w:bidi="ar-EG"/>
              </w:rPr>
            </w:pPr>
          </w:p>
        </w:tc>
        <w:tc>
          <w:tcPr>
            <w:tcW w:w="2431" w:type="pct"/>
            <w:vAlign w:val="center"/>
          </w:tcPr>
          <w:p w:rsidR="00F96634" w:rsidRPr="004C1072" w:rsidRDefault="00324187" w:rsidP="00F96634">
            <w:pPr>
              <w:bidi/>
              <w:spacing w:line="280" w:lineRule="exact"/>
              <w:rPr>
                <w:rFonts w:ascii="Arabic Typesetting" w:hAnsi="Arabic Typesetting" w:cs="Arabic Typesetting"/>
                <w:b/>
                <w:color w:val="000000"/>
                <w:sz w:val="28"/>
                <w:szCs w:val="28"/>
                <w:lang w:bidi="ar-EG"/>
              </w:rPr>
            </w:pPr>
            <w:r w:rsidRPr="004C1072">
              <w:rPr>
                <w:rFonts w:ascii="Arabic Typesetting" w:hAnsi="Arabic Typesetting" w:cs="Arabic Typesetting"/>
                <w:b/>
                <w:color w:val="000000"/>
                <w:sz w:val="28"/>
                <w:szCs w:val="28"/>
                <w:rtl/>
                <w:lang w:bidi="ar-EG"/>
              </w:rPr>
              <w:t>فعالية أفضل في استهلاك الطاقة</w:t>
            </w:r>
          </w:p>
        </w:tc>
      </w:tr>
    </w:tbl>
    <w:p w:rsidR="00ED2EEA" w:rsidRPr="00080105" w:rsidRDefault="00ED2EEA" w:rsidP="00ED2EEA">
      <w:pPr>
        <w:bidi/>
        <w:spacing w:before="120" w:after="120"/>
        <w:rPr>
          <w:rFonts w:ascii="Arabic Typesetting" w:hAnsi="Arabic Typesetting" w:cs="Arabic Typesetting"/>
          <w:sz w:val="34"/>
          <w:szCs w:val="34"/>
          <w:lang w:bidi="ar-EG"/>
        </w:rPr>
      </w:pPr>
      <w:r w:rsidRPr="00080105">
        <w:rPr>
          <w:rFonts w:ascii="Arabic Typesetting" w:hAnsi="Arabic Typesetting" w:cs="Arabic Typesetting"/>
          <w:color w:val="000000"/>
          <w:sz w:val="34"/>
          <w:szCs w:val="34"/>
          <w:rtl/>
          <w:lang w:bidi="ar-EG"/>
        </w:rPr>
        <w:t>استخدام الموارد</w:t>
      </w:r>
      <w:r w:rsidRPr="00F96634">
        <w:rPr>
          <w:rStyle w:val="FootnoteReference"/>
          <w:rFonts w:ascii="Arabic Typesetting" w:hAnsi="Arabic Typesetting" w:cs="Arabic Typesetting"/>
          <w:color w:val="000000"/>
          <w:sz w:val="28"/>
          <w:szCs w:val="28"/>
          <w:rtl/>
          <w:lang w:bidi="ar-EG"/>
        </w:rPr>
        <w:footnoteReference w:id="181"/>
      </w:r>
    </w:p>
    <w:p w:rsidR="00F96634" w:rsidRPr="00080105" w:rsidRDefault="00F96634" w:rsidP="00F96634">
      <w:pPr>
        <w:keepNext/>
        <w:keepLines/>
        <w:tabs>
          <w:tab w:val="left" w:pos="3261"/>
        </w:tabs>
        <w:autoSpaceDE w:val="0"/>
        <w:autoSpaceDN w:val="0"/>
        <w:bidi/>
        <w:adjustRightInd w:val="0"/>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t>استخدام ميزانية المشروع</w:t>
      </w:r>
    </w:p>
    <w:p w:rsidR="00F96634" w:rsidRPr="00080105" w:rsidRDefault="00F96634" w:rsidP="00F96634">
      <w:pPr>
        <w:keepNext/>
        <w:keepLines/>
        <w:tabs>
          <w:tab w:val="left" w:pos="3261"/>
        </w:tabs>
        <w:autoSpaceDE w:val="0"/>
        <w:autoSpaceDN w:val="0"/>
        <w:bidi/>
        <w:adjustRightInd w:val="0"/>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564"/>
        <w:gridCol w:w="1565"/>
        <w:gridCol w:w="1565"/>
        <w:gridCol w:w="1564"/>
      </w:tblGrid>
      <w:tr w:rsidR="00F96634" w:rsidRPr="00080105" w:rsidTr="00F96634">
        <w:trPr>
          <w:trHeight w:val="410"/>
        </w:trPr>
        <w:tc>
          <w:tcPr>
            <w:tcW w:w="1598" w:type="pct"/>
            <w:shd w:val="clear" w:color="auto" w:fill="C6D9F1"/>
            <w:vAlign w:val="center"/>
          </w:tcPr>
          <w:p w:rsidR="00F96634" w:rsidRPr="00080105" w:rsidRDefault="00F96634" w:rsidP="00F96634">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اسم المشروع</w:t>
            </w:r>
          </w:p>
        </w:tc>
        <w:tc>
          <w:tcPr>
            <w:tcW w:w="850" w:type="pct"/>
            <w:shd w:val="clear" w:color="auto" w:fill="C6D9F1"/>
            <w:vAlign w:val="center"/>
          </w:tcPr>
          <w:p w:rsidR="00F96634" w:rsidRPr="00080105" w:rsidRDefault="00F96634" w:rsidP="00F96634">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851" w:type="pct"/>
            <w:shd w:val="clear" w:color="auto" w:fill="C6D9F1"/>
            <w:vAlign w:val="center"/>
          </w:tcPr>
          <w:p w:rsidR="00F96634" w:rsidRPr="00080105" w:rsidRDefault="00F96634" w:rsidP="00F96634">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p>
        </w:tc>
        <w:tc>
          <w:tcPr>
            <w:tcW w:w="851"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c>
          <w:tcPr>
            <w:tcW w:w="850"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معدل التقدم المحرز في تنفيذ المشروع</w:t>
            </w:r>
          </w:p>
        </w:tc>
      </w:tr>
      <w:tr w:rsidR="00324187" w:rsidRPr="00080105" w:rsidTr="00F96634">
        <w:trPr>
          <w:trHeight w:val="389"/>
        </w:trPr>
        <w:tc>
          <w:tcPr>
            <w:tcW w:w="1598" w:type="pct"/>
            <w:vAlign w:val="center"/>
          </w:tcPr>
          <w:p w:rsidR="00324187" w:rsidRPr="00080105" w:rsidRDefault="00324187" w:rsidP="00324187">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 xml:space="preserve">مبنى </w:t>
            </w:r>
            <w:proofErr w:type="spellStart"/>
            <w:r w:rsidRPr="00080105">
              <w:rPr>
                <w:rFonts w:ascii="Arabic Typesetting" w:hAnsi="Arabic Typesetting" w:cs="Arabic Typesetting"/>
                <w:sz w:val="28"/>
                <w:szCs w:val="28"/>
                <w:rtl/>
                <w:lang w:bidi="ar-EG"/>
              </w:rPr>
              <w:t>أرباد</w:t>
            </w:r>
            <w:proofErr w:type="spellEnd"/>
            <w:r w:rsidRPr="00080105">
              <w:rPr>
                <w:rFonts w:ascii="Arabic Typesetting" w:hAnsi="Arabic Typesetting" w:cs="Arabic Typesetting"/>
                <w:sz w:val="28"/>
                <w:szCs w:val="28"/>
                <w:rtl/>
                <w:lang w:bidi="ar-EG"/>
              </w:rPr>
              <w:t xml:space="preserve"> </w:t>
            </w:r>
            <w:proofErr w:type="spellStart"/>
            <w:r w:rsidRPr="00080105">
              <w:rPr>
                <w:rFonts w:ascii="Arabic Typesetting" w:hAnsi="Arabic Typesetting" w:cs="Arabic Typesetting"/>
                <w:sz w:val="28"/>
                <w:szCs w:val="28"/>
                <w:rtl/>
                <w:lang w:bidi="ar-EG"/>
              </w:rPr>
              <w:t>بوكش</w:t>
            </w:r>
            <w:proofErr w:type="spellEnd"/>
            <w:r w:rsidR="004C1072">
              <w:rPr>
                <w:rFonts w:ascii="Arabic Typesetting" w:hAnsi="Arabic Typesetting" w:cs="Arabic Typesetting" w:hint="cs"/>
                <w:sz w:val="28"/>
                <w:szCs w:val="28"/>
                <w:rtl/>
                <w:lang w:bidi="ar-EG"/>
              </w:rPr>
              <w:t>:</w:t>
            </w:r>
            <w:r w:rsidRPr="00080105">
              <w:rPr>
                <w:rFonts w:ascii="Arabic Typesetting" w:hAnsi="Arabic Typesetting" w:cs="Arabic Typesetting"/>
                <w:sz w:val="28"/>
                <w:szCs w:val="28"/>
                <w:rtl/>
                <w:lang w:bidi="ar-EG"/>
              </w:rPr>
              <w:t xml:space="preserve"> استبدال بعض النوافذ</w:t>
            </w:r>
          </w:p>
        </w:tc>
        <w:tc>
          <w:tcPr>
            <w:tcW w:w="850" w:type="pct"/>
            <w:vAlign w:val="center"/>
          </w:tcPr>
          <w:p w:rsidR="00324187" w:rsidRPr="00E04EBD" w:rsidRDefault="00324187" w:rsidP="00324187">
            <w:pPr>
              <w:keepNext/>
              <w:keepLines/>
              <w:autoSpaceDE w:val="0"/>
              <w:autoSpaceDN w:val="0"/>
              <w:adjustRightInd w:val="0"/>
              <w:spacing w:before="40" w:after="40"/>
              <w:jc w:val="center"/>
              <w:rPr>
                <w:sz w:val="16"/>
                <w:szCs w:val="16"/>
              </w:rPr>
            </w:pPr>
            <w:r w:rsidRPr="00E04EBD">
              <w:rPr>
                <w:sz w:val="16"/>
                <w:szCs w:val="16"/>
              </w:rPr>
              <w:t>300</w:t>
            </w:r>
            <w:r>
              <w:rPr>
                <w:sz w:val="16"/>
                <w:szCs w:val="16"/>
              </w:rPr>
              <w:t>,</w:t>
            </w:r>
            <w:r w:rsidRPr="00E04EBD">
              <w:rPr>
                <w:sz w:val="16"/>
                <w:szCs w:val="16"/>
              </w:rPr>
              <w:t>000</w:t>
            </w:r>
          </w:p>
        </w:tc>
        <w:tc>
          <w:tcPr>
            <w:tcW w:w="851" w:type="pct"/>
            <w:vAlign w:val="center"/>
          </w:tcPr>
          <w:p w:rsidR="00324187" w:rsidRPr="00723CCF" w:rsidRDefault="00324187" w:rsidP="00324187">
            <w:pPr>
              <w:keepNext/>
              <w:keepLines/>
              <w:autoSpaceDE w:val="0"/>
              <w:autoSpaceDN w:val="0"/>
              <w:adjustRightInd w:val="0"/>
              <w:spacing w:before="40" w:after="40"/>
              <w:jc w:val="center"/>
              <w:rPr>
                <w:sz w:val="16"/>
                <w:szCs w:val="16"/>
              </w:rPr>
            </w:pPr>
            <w:r w:rsidRPr="00723CCF">
              <w:rPr>
                <w:sz w:val="16"/>
                <w:szCs w:val="16"/>
              </w:rPr>
              <w:t>47,042</w:t>
            </w:r>
          </w:p>
        </w:tc>
        <w:tc>
          <w:tcPr>
            <w:tcW w:w="851" w:type="pct"/>
            <w:vAlign w:val="center"/>
          </w:tcPr>
          <w:p w:rsidR="00324187" w:rsidRPr="00723CCF" w:rsidRDefault="00324187" w:rsidP="00324187">
            <w:pPr>
              <w:keepNext/>
              <w:keepLines/>
              <w:autoSpaceDE w:val="0"/>
              <w:autoSpaceDN w:val="0"/>
              <w:adjustRightInd w:val="0"/>
              <w:spacing w:before="40" w:after="40"/>
              <w:jc w:val="center"/>
              <w:rPr>
                <w:sz w:val="16"/>
                <w:szCs w:val="16"/>
              </w:rPr>
            </w:pPr>
            <w:r w:rsidRPr="00723CCF">
              <w:rPr>
                <w:sz w:val="16"/>
                <w:szCs w:val="16"/>
              </w:rPr>
              <w:t>15.7%</w:t>
            </w:r>
          </w:p>
        </w:tc>
        <w:tc>
          <w:tcPr>
            <w:tcW w:w="850" w:type="pct"/>
            <w:vAlign w:val="center"/>
          </w:tcPr>
          <w:p w:rsidR="00324187" w:rsidRPr="00723CCF" w:rsidRDefault="00324187" w:rsidP="00324187">
            <w:pPr>
              <w:keepNext/>
              <w:keepLines/>
              <w:autoSpaceDE w:val="0"/>
              <w:autoSpaceDN w:val="0"/>
              <w:adjustRightInd w:val="0"/>
              <w:spacing w:before="40" w:after="40"/>
              <w:jc w:val="center"/>
              <w:rPr>
                <w:sz w:val="16"/>
                <w:szCs w:val="16"/>
              </w:rPr>
            </w:pPr>
            <w:r w:rsidRPr="00723CCF">
              <w:rPr>
                <w:sz w:val="16"/>
                <w:szCs w:val="16"/>
              </w:rPr>
              <w:t>15%</w:t>
            </w:r>
          </w:p>
        </w:tc>
      </w:tr>
    </w:tbl>
    <w:p w:rsidR="00F96634" w:rsidRPr="00080105" w:rsidRDefault="00F96634" w:rsidP="00F96634">
      <w:pPr>
        <w:keepNext/>
        <w:keepLines/>
        <w:tabs>
          <w:tab w:val="left" w:pos="3261"/>
        </w:tabs>
        <w:autoSpaceDE w:val="0"/>
        <w:autoSpaceDN w:val="0"/>
        <w:bidi/>
        <w:adjustRightInd w:val="0"/>
        <w:rPr>
          <w:rFonts w:ascii="Arabic Typesetting" w:hAnsi="Arabic Typesetting" w:cs="Arabic Typesetting"/>
          <w:b/>
          <w:sz w:val="34"/>
          <w:szCs w:val="34"/>
        </w:rPr>
      </w:pPr>
    </w:p>
    <w:p w:rsidR="00F96634" w:rsidRPr="00080105" w:rsidRDefault="00F96634" w:rsidP="00F96634">
      <w:pPr>
        <w:keepNext/>
        <w:keepLines/>
        <w:tabs>
          <w:tab w:val="left" w:pos="3261"/>
        </w:tabs>
        <w:autoSpaceDE w:val="0"/>
        <w:autoSpaceDN w:val="0"/>
        <w:bidi/>
        <w:adjustRightInd w:val="0"/>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t>استخدام ميزانية المشروع (حسب المعالم)</w:t>
      </w:r>
    </w:p>
    <w:p w:rsidR="00F96634" w:rsidRPr="00080105" w:rsidRDefault="00F96634" w:rsidP="00F96634">
      <w:pPr>
        <w:keepNext/>
        <w:keepLines/>
        <w:tabs>
          <w:tab w:val="left" w:pos="3261"/>
        </w:tabs>
        <w:autoSpaceDE w:val="0"/>
        <w:autoSpaceDN w:val="0"/>
        <w:bidi/>
        <w:adjustRightInd w:val="0"/>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8"/>
        <w:gridCol w:w="1575"/>
        <w:gridCol w:w="1575"/>
        <w:gridCol w:w="1575"/>
        <w:gridCol w:w="1575"/>
      </w:tblGrid>
      <w:tr w:rsidR="00F96634" w:rsidRPr="00080105" w:rsidTr="00F96634">
        <w:trPr>
          <w:trHeight w:val="410"/>
        </w:trPr>
        <w:tc>
          <w:tcPr>
            <w:tcW w:w="1575" w:type="pct"/>
            <w:shd w:val="clear" w:color="auto" w:fill="C6D9F1"/>
            <w:vAlign w:val="center"/>
          </w:tcPr>
          <w:p w:rsidR="00F96634" w:rsidRPr="00080105" w:rsidRDefault="00F96634" w:rsidP="00F96634">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المعالم الرئيسية</w:t>
            </w:r>
          </w:p>
        </w:tc>
        <w:tc>
          <w:tcPr>
            <w:tcW w:w="856" w:type="pct"/>
            <w:shd w:val="clear" w:color="auto" w:fill="C6D9F1"/>
            <w:vAlign w:val="center"/>
          </w:tcPr>
          <w:p w:rsidR="00F96634" w:rsidRPr="00080105" w:rsidRDefault="00F96634" w:rsidP="00F96634">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856" w:type="pct"/>
            <w:shd w:val="clear" w:color="auto" w:fill="C6D9F1"/>
            <w:vAlign w:val="center"/>
          </w:tcPr>
          <w:p w:rsidR="00F96634" w:rsidRPr="00080105" w:rsidRDefault="00F96634" w:rsidP="00F96634">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p>
        </w:tc>
        <w:tc>
          <w:tcPr>
            <w:tcW w:w="856"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c>
          <w:tcPr>
            <w:tcW w:w="856" w:type="pct"/>
            <w:shd w:val="clear" w:color="auto" w:fill="C6D9F1"/>
            <w:vAlign w:val="center"/>
          </w:tcPr>
          <w:p w:rsidR="00F96634" w:rsidRPr="00080105" w:rsidRDefault="00F96634" w:rsidP="00F96634">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معدل التقدم المحرز في تنفيذ المشروع حسب المعالم</w:t>
            </w:r>
          </w:p>
        </w:tc>
      </w:tr>
      <w:tr w:rsidR="00324187" w:rsidRPr="00080105" w:rsidTr="00F96634">
        <w:trPr>
          <w:trHeight w:val="389"/>
        </w:trPr>
        <w:tc>
          <w:tcPr>
            <w:tcW w:w="1575" w:type="pct"/>
            <w:vAlign w:val="center"/>
          </w:tcPr>
          <w:p w:rsidR="00324187" w:rsidRPr="00080105" w:rsidRDefault="00324187" w:rsidP="00324187">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منح العقد لمهندس الواجهة</w:t>
            </w:r>
          </w:p>
        </w:tc>
        <w:tc>
          <w:tcPr>
            <w:tcW w:w="856" w:type="pct"/>
            <w:vAlign w:val="center"/>
          </w:tcPr>
          <w:p w:rsidR="00324187" w:rsidRPr="00E04EBD" w:rsidRDefault="00324187" w:rsidP="00324187">
            <w:pPr>
              <w:keepNext/>
              <w:keepLines/>
              <w:autoSpaceDE w:val="0"/>
              <w:autoSpaceDN w:val="0"/>
              <w:adjustRightInd w:val="0"/>
              <w:spacing w:before="40" w:after="40" w:line="260" w:lineRule="exact"/>
              <w:jc w:val="center"/>
              <w:rPr>
                <w:sz w:val="16"/>
                <w:szCs w:val="16"/>
              </w:rPr>
            </w:pPr>
            <w:r w:rsidRPr="00E04EBD">
              <w:rPr>
                <w:sz w:val="16"/>
                <w:szCs w:val="16"/>
              </w:rPr>
              <w:t>45</w:t>
            </w:r>
            <w:r>
              <w:rPr>
                <w:sz w:val="16"/>
                <w:szCs w:val="16"/>
              </w:rPr>
              <w:t>,</w:t>
            </w:r>
            <w:r w:rsidRPr="00E04EBD">
              <w:rPr>
                <w:sz w:val="16"/>
                <w:szCs w:val="16"/>
              </w:rPr>
              <w:t>000</w:t>
            </w:r>
          </w:p>
        </w:tc>
        <w:tc>
          <w:tcPr>
            <w:tcW w:w="856" w:type="pct"/>
            <w:vAlign w:val="center"/>
          </w:tcPr>
          <w:p w:rsidR="00324187" w:rsidRPr="00723CCF" w:rsidRDefault="00324187" w:rsidP="00324187">
            <w:pPr>
              <w:keepNext/>
              <w:keepLines/>
              <w:autoSpaceDE w:val="0"/>
              <w:autoSpaceDN w:val="0"/>
              <w:adjustRightInd w:val="0"/>
              <w:spacing w:before="40" w:after="40" w:line="260" w:lineRule="exact"/>
              <w:jc w:val="center"/>
              <w:rPr>
                <w:sz w:val="16"/>
                <w:szCs w:val="16"/>
              </w:rPr>
            </w:pPr>
            <w:r w:rsidRPr="00723CCF">
              <w:rPr>
                <w:sz w:val="16"/>
                <w:szCs w:val="16"/>
              </w:rPr>
              <w:t>36,812</w:t>
            </w:r>
          </w:p>
        </w:tc>
        <w:tc>
          <w:tcPr>
            <w:tcW w:w="856" w:type="pct"/>
            <w:vAlign w:val="center"/>
          </w:tcPr>
          <w:p w:rsidR="00324187" w:rsidRPr="00723CCF" w:rsidRDefault="00324187" w:rsidP="00324187">
            <w:pPr>
              <w:keepNext/>
              <w:keepLines/>
              <w:autoSpaceDE w:val="0"/>
              <w:autoSpaceDN w:val="0"/>
              <w:adjustRightInd w:val="0"/>
              <w:spacing w:before="40" w:after="40" w:line="260" w:lineRule="exact"/>
              <w:jc w:val="center"/>
              <w:rPr>
                <w:sz w:val="16"/>
                <w:szCs w:val="16"/>
              </w:rPr>
            </w:pPr>
            <w:r w:rsidRPr="00723CCF">
              <w:rPr>
                <w:sz w:val="16"/>
                <w:szCs w:val="16"/>
              </w:rPr>
              <w:t>81.8%</w:t>
            </w:r>
          </w:p>
        </w:tc>
        <w:tc>
          <w:tcPr>
            <w:tcW w:w="856" w:type="pct"/>
            <w:vAlign w:val="center"/>
          </w:tcPr>
          <w:p w:rsidR="00324187" w:rsidRPr="00723CCF" w:rsidRDefault="00324187" w:rsidP="00324187">
            <w:pPr>
              <w:keepNext/>
              <w:keepLines/>
              <w:autoSpaceDE w:val="0"/>
              <w:autoSpaceDN w:val="0"/>
              <w:adjustRightInd w:val="0"/>
              <w:spacing w:before="40" w:after="40" w:line="260" w:lineRule="exact"/>
              <w:jc w:val="center"/>
              <w:rPr>
                <w:sz w:val="16"/>
                <w:szCs w:val="16"/>
              </w:rPr>
            </w:pPr>
            <w:r w:rsidRPr="00723CCF">
              <w:rPr>
                <w:sz w:val="16"/>
                <w:szCs w:val="16"/>
              </w:rPr>
              <w:t>90%</w:t>
            </w:r>
          </w:p>
        </w:tc>
      </w:tr>
      <w:tr w:rsidR="00324187" w:rsidRPr="00080105" w:rsidTr="00F96634">
        <w:trPr>
          <w:trHeight w:val="389"/>
        </w:trPr>
        <w:tc>
          <w:tcPr>
            <w:tcW w:w="1575" w:type="pct"/>
            <w:vAlign w:val="center"/>
          </w:tcPr>
          <w:p w:rsidR="00324187" w:rsidRPr="00080105" w:rsidRDefault="00324187" w:rsidP="00324187">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الأعمال والتكليف</w:t>
            </w:r>
          </w:p>
        </w:tc>
        <w:tc>
          <w:tcPr>
            <w:tcW w:w="856" w:type="pct"/>
            <w:vAlign w:val="center"/>
          </w:tcPr>
          <w:p w:rsidR="00324187" w:rsidRPr="00E04EBD" w:rsidRDefault="00324187" w:rsidP="00324187">
            <w:pPr>
              <w:keepNext/>
              <w:keepLines/>
              <w:autoSpaceDE w:val="0"/>
              <w:autoSpaceDN w:val="0"/>
              <w:adjustRightInd w:val="0"/>
              <w:spacing w:before="40" w:after="40" w:line="260" w:lineRule="exact"/>
              <w:jc w:val="center"/>
              <w:rPr>
                <w:sz w:val="16"/>
                <w:szCs w:val="16"/>
              </w:rPr>
            </w:pPr>
            <w:r w:rsidRPr="00E04EBD">
              <w:rPr>
                <w:sz w:val="16"/>
                <w:szCs w:val="16"/>
              </w:rPr>
              <w:t>255</w:t>
            </w:r>
            <w:r>
              <w:rPr>
                <w:sz w:val="16"/>
                <w:szCs w:val="16"/>
              </w:rPr>
              <w:t>,</w:t>
            </w:r>
            <w:r w:rsidRPr="00E04EBD">
              <w:rPr>
                <w:sz w:val="16"/>
                <w:szCs w:val="16"/>
              </w:rPr>
              <w:t>000</w:t>
            </w:r>
          </w:p>
        </w:tc>
        <w:tc>
          <w:tcPr>
            <w:tcW w:w="856" w:type="pct"/>
            <w:vAlign w:val="center"/>
          </w:tcPr>
          <w:p w:rsidR="00324187" w:rsidRPr="00723CCF" w:rsidRDefault="00324187" w:rsidP="00324187">
            <w:pPr>
              <w:keepNext/>
              <w:keepLines/>
              <w:autoSpaceDE w:val="0"/>
              <w:autoSpaceDN w:val="0"/>
              <w:adjustRightInd w:val="0"/>
              <w:spacing w:before="40" w:after="40" w:line="260" w:lineRule="exact"/>
              <w:jc w:val="center"/>
              <w:rPr>
                <w:sz w:val="16"/>
                <w:szCs w:val="16"/>
              </w:rPr>
            </w:pPr>
            <w:r w:rsidRPr="00723CCF">
              <w:rPr>
                <w:sz w:val="16"/>
                <w:szCs w:val="16"/>
              </w:rPr>
              <w:t>10,230</w:t>
            </w:r>
          </w:p>
        </w:tc>
        <w:tc>
          <w:tcPr>
            <w:tcW w:w="856" w:type="pct"/>
            <w:vAlign w:val="center"/>
          </w:tcPr>
          <w:p w:rsidR="00324187" w:rsidRPr="00723CCF" w:rsidRDefault="00324187" w:rsidP="00324187">
            <w:pPr>
              <w:keepNext/>
              <w:keepLines/>
              <w:autoSpaceDE w:val="0"/>
              <w:autoSpaceDN w:val="0"/>
              <w:adjustRightInd w:val="0"/>
              <w:spacing w:before="40" w:after="40" w:line="260" w:lineRule="exact"/>
              <w:jc w:val="center"/>
              <w:rPr>
                <w:sz w:val="16"/>
                <w:szCs w:val="16"/>
              </w:rPr>
            </w:pPr>
            <w:r w:rsidRPr="00723CCF">
              <w:rPr>
                <w:sz w:val="16"/>
                <w:szCs w:val="16"/>
              </w:rPr>
              <w:t>4%</w:t>
            </w:r>
          </w:p>
        </w:tc>
        <w:tc>
          <w:tcPr>
            <w:tcW w:w="856" w:type="pct"/>
            <w:vAlign w:val="center"/>
          </w:tcPr>
          <w:p w:rsidR="00324187" w:rsidRPr="00723CCF" w:rsidRDefault="00324187" w:rsidP="00324187">
            <w:pPr>
              <w:keepNext/>
              <w:keepLines/>
              <w:autoSpaceDE w:val="0"/>
              <w:autoSpaceDN w:val="0"/>
              <w:adjustRightInd w:val="0"/>
              <w:spacing w:before="40" w:after="40" w:line="260" w:lineRule="exact"/>
              <w:jc w:val="center"/>
              <w:rPr>
                <w:sz w:val="16"/>
                <w:szCs w:val="16"/>
              </w:rPr>
            </w:pPr>
            <w:r w:rsidRPr="00723CCF">
              <w:rPr>
                <w:sz w:val="16"/>
                <w:szCs w:val="16"/>
              </w:rPr>
              <w:t>6%</w:t>
            </w:r>
          </w:p>
        </w:tc>
      </w:tr>
      <w:tr w:rsidR="00324187" w:rsidRPr="00080105" w:rsidTr="00F96634">
        <w:trPr>
          <w:trHeight w:val="389"/>
        </w:trPr>
        <w:tc>
          <w:tcPr>
            <w:tcW w:w="1575" w:type="pct"/>
            <w:shd w:val="clear" w:color="auto" w:fill="C6D9F1"/>
            <w:vAlign w:val="center"/>
          </w:tcPr>
          <w:p w:rsidR="00324187" w:rsidRPr="00080105" w:rsidRDefault="00324187" w:rsidP="00324187">
            <w:pPr>
              <w:keepNext/>
              <w:keepLines/>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المجموع</w:t>
            </w:r>
          </w:p>
        </w:tc>
        <w:tc>
          <w:tcPr>
            <w:tcW w:w="856" w:type="pct"/>
            <w:shd w:val="clear" w:color="auto" w:fill="C6D9F1"/>
            <w:vAlign w:val="center"/>
          </w:tcPr>
          <w:p w:rsidR="00324187" w:rsidRPr="00E04EBD" w:rsidRDefault="00324187" w:rsidP="00324187">
            <w:pPr>
              <w:keepNext/>
              <w:keepLines/>
              <w:autoSpaceDE w:val="0"/>
              <w:autoSpaceDN w:val="0"/>
              <w:adjustRightInd w:val="0"/>
              <w:spacing w:before="40" w:after="40" w:line="260" w:lineRule="exact"/>
              <w:jc w:val="center"/>
              <w:rPr>
                <w:b/>
                <w:sz w:val="16"/>
                <w:szCs w:val="16"/>
              </w:rPr>
            </w:pPr>
            <w:r w:rsidRPr="00E04EBD">
              <w:rPr>
                <w:b/>
                <w:sz w:val="16"/>
                <w:szCs w:val="16"/>
              </w:rPr>
              <w:t>300</w:t>
            </w:r>
            <w:r>
              <w:rPr>
                <w:b/>
                <w:sz w:val="16"/>
                <w:szCs w:val="16"/>
              </w:rPr>
              <w:t>,</w:t>
            </w:r>
            <w:r w:rsidRPr="00E04EBD">
              <w:rPr>
                <w:b/>
                <w:sz w:val="16"/>
                <w:szCs w:val="16"/>
              </w:rPr>
              <w:t>000</w:t>
            </w:r>
          </w:p>
        </w:tc>
        <w:tc>
          <w:tcPr>
            <w:tcW w:w="856" w:type="pct"/>
            <w:shd w:val="clear" w:color="auto" w:fill="C6D9F1"/>
          </w:tcPr>
          <w:p w:rsidR="00324187" w:rsidRPr="00723CCF" w:rsidRDefault="00324187" w:rsidP="00324187">
            <w:pPr>
              <w:keepNext/>
              <w:keepLines/>
              <w:autoSpaceDE w:val="0"/>
              <w:autoSpaceDN w:val="0"/>
              <w:adjustRightInd w:val="0"/>
              <w:spacing w:before="40" w:after="40" w:line="260" w:lineRule="exact"/>
              <w:jc w:val="center"/>
              <w:rPr>
                <w:b/>
                <w:sz w:val="16"/>
                <w:szCs w:val="16"/>
              </w:rPr>
            </w:pPr>
            <w:r w:rsidRPr="00723CCF">
              <w:rPr>
                <w:b/>
                <w:sz w:val="16"/>
                <w:szCs w:val="16"/>
              </w:rPr>
              <w:t>47,042</w:t>
            </w:r>
          </w:p>
        </w:tc>
        <w:tc>
          <w:tcPr>
            <w:tcW w:w="856" w:type="pct"/>
            <w:shd w:val="clear" w:color="auto" w:fill="C6D9F1"/>
          </w:tcPr>
          <w:p w:rsidR="00324187" w:rsidRPr="00723CCF" w:rsidRDefault="00324187" w:rsidP="00324187">
            <w:pPr>
              <w:keepNext/>
              <w:keepLines/>
              <w:autoSpaceDE w:val="0"/>
              <w:autoSpaceDN w:val="0"/>
              <w:adjustRightInd w:val="0"/>
              <w:spacing w:before="40" w:after="40" w:line="260" w:lineRule="exact"/>
              <w:jc w:val="center"/>
              <w:rPr>
                <w:b/>
                <w:sz w:val="16"/>
                <w:szCs w:val="16"/>
              </w:rPr>
            </w:pPr>
          </w:p>
        </w:tc>
        <w:tc>
          <w:tcPr>
            <w:tcW w:w="856" w:type="pct"/>
            <w:shd w:val="clear" w:color="auto" w:fill="C6D9F1"/>
          </w:tcPr>
          <w:p w:rsidR="00324187" w:rsidRPr="00723CCF" w:rsidRDefault="00324187" w:rsidP="00324187">
            <w:pPr>
              <w:keepNext/>
              <w:keepLines/>
              <w:autoSpaceDE w:val="0"/>
              <w:autoSpaceDN w:val="0"/>
              <w:adjustRightInd w:val="0"/>
              <w:spacing w:before="40" w:after="40" w:line="260" w:lineRule="exact"/>
              <w:jc w:val="center"/>
              <w:rPr>
                <w:b/>
                <w:sz w:val="16"/>
                <w:szCs w:val="16"/>
              </w:rPr>
            </w:pPr>
          </w:p>
        </w:tc>
      </w:tr>
    </w:tbl>
    <w:p w:rsidR="00F96634" w:rsidRPr="00080105" w:rsidRDefault="00F96634" w:rsidP="00324187">
      <w:pPr>
        <w:keepNext/>
        <w:keepLines/>
        <w:tabs>
          <w:tab w:val="left" w:pos="3261"/>
        </w:tabs>
        <w:autoSpaceDE w:val="0"/>
        <w:autoSpaceDN w:val="0"/>
        <w:bidi/>
        <w:adjustRightInd w:val="0"/>
        <w:spacing w:before="120"/>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t>استخدام ميزانية المشروع (حسب فئة التكلفة)</w:t>
      </w:r>
    </w:p>
    <w:p w:rsidR="00F96634" w:rsidRPr="00080105" w:rsidRDefault="00F96634" w:rsidP="00F96634">
      <w:pPr>
        <w:keepNext/>
        <w:keepLines/>
        <w:tabs>
          <w:tab w:val="left" w:pos="3261"/>
        </w:tabs>
        <w:autoSpaceDE w:val="0"/>
        <w:autoSpaceDN w:val="0"/>
        <w:bidi/>
        <w:adjustRightInd w:val="0"/>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bidiVisual/>
        <w:tblW w:w="4581"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1"/>
        <w:gridCol w:w="1840"/>
        <w:gridCol w:w="1840"/>
        <w:gridCol w:w="1838"/>
      </w:tblGrid>
      <w:tr w:rsidR="00F96634" w:rsidRPr="00080105" w:rsidTr="00324187">
        <w:trPr>
          <w:trHeight w:val="569"/>
        </w:trPr>
        <w:tc>
          <w:tcPr>
            <w:tcW w:w="1854"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فئة التكلفة</w:t>
            </w:r>
          </w:p>
        </w:tc>
        <w:tc>
          <w:tcPr>
            <w:tcW w:w="1049"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1049"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r w:rsidRPr="00080105">
              <w:rPr>
                <w:rFonts w:ascii="Arabic Typesetting" w:hAnsi="Arabic Typesetting" w:cs="Arabic Typesetting"/>
                <w:b/>
                <w:sz w:val="28"/>
                <w:szCs w:val="28"/>
              </w:rPr>
              <w:t xml:space="preserve"> </w:t>
            </w:r>
          </w:p>
        </w:tc>
        <w:tc>
          <w:tcPr>
            <w:tcW w:w="1048" w:type="pct"/>
            <w:shd w:val="clear" w:color="auto" w:fill="C6D9F1"/>
            <w:vAlign w:val="center"/>
          </w:tcPr>
          <w:p w:rsidR="00F96634" w:rsidRPr="00080105" w:rsidRDefault="00F96634" w:rsidP="00F96634">
            <w:pPr>
              <w:keepNext/>
              <w:keepLines/>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r>
      <w:tr w:rsidR="00324187" w:rsidRPr="00080105" w:rsidTr="00324187">
        <w:tc>
          <w:tcPr>
            <w:tcW w:w="1854" w:type="pct"/>
            <w:vAlign w:val="center"/>
          </w:tcPr>
          <w:p w:rsidR="00324187" w:rsidRPr="00080105" w:rsidRDefault="00324187"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التكاليف المتعلقة بالبناء</w:t>
            </w:r>
          </w:p>
        </w:tc>
        <w:tc>
          <w:tcPr>
            <w:tcW w:w="1049" w:type="pct"/>
            <w:vAlign w:val="center"/>
          </w:tcPr>
          <w:p w:rsidR="00324187" w:rsidRPr="00E04EBD" w:rsidRDefault="00324187" w:rsidP="001D7014">
            <w:pPr>
              <w:autoSpaceDE w:val="0"/>
              <w:autoSpaceDN w:val="0"/>
              <w:adjustRightInd w:val="0"/>
              <w:spacing w:before="40" w:after="40" w:line="260" w:lineRule="exact"/>
              <w:jc w:val="center"/>
              <w:rPr>
                <w:sz w:val="16"/>
                <w:szCs w:val="16"/>
              </w:rPr>
            </w:pPr>
            <w:r w:rsidRPr="00E04EBD">
              <w:rPr>
                <w:sz w:val="16"/>
                <w:szCs w:val="16"/>
              </w:rPr>
              <w:t>234</w:t>
            </w:r>
            <w:r>
              <w:rPr>
                <w:sz w:val="16"/>
                <w:szCs w:val="16"/>
              </w:rPr>
              <w:t>,</w:t>
            </w:r>
            <w:r w:rsidRPr="00E04EBD">
              <w:rPr>
                <w:sz w:val="16"/>
                <w:szCs w:val="16"/>
              </w:rPr>
              <w:t>000</w:t>
            </w:r>
          </w:p>
        </w:tc>
        <w:tc>
          <w:tcPr>
            <w:tcW w:w="1049" w:type="pct"/>
          </w:tcPr>
          <w:p w:rsidR="00324187" w:rsidRPr="00723CCF" w:rsidRDefault="00324187" w:rsidP="001D7014">
            <w:pPr>
              <w:autoSpaceDE w:val="0"/>
              <w:autoSpaceDN w:val="0"/>
              <w:adjustRightInd w:val="0"/>
              <w:spacing w:before="40" w:after="40" w:line="260" w:lineRule="exact"/>
              <w:jc w:val="center"/>
              <w:rPr>
                <w:sz w:val="16"/>
                <w:szCs w:val="16"/>
              </w:rPr>
            </w:pPr>
            <w:r w:rsidRPr="00723CCF">
              <w:rPr>
                <w:sz w:val="16"/>
                <w:szCs w:val="16"/>
              </w:rPr>
              <w:t>10,230</w:t>
            </w:r>
          </w:p>
        </w:tc>
        <w:tc>
          <w:tcPr>
            <w:tcW w:w="1048" w:type="pct"/>
          </w:tcPr>
          <w:p w:rsidR="00324187" w:rsidRPr="00723CCF" w:rsidRDefault="00324187" w:rsidP="001D7014">
            <w:pPr>
              <w:autoSpaceDE w:val="0"/>
              <w:autoSpaceDN w:val="0"/>
              <w:adjustRightInd w:val="0"/>
              <w:spacing w:before="40" w:after="40" w:line="260" w:lineRule="exact"/>
              <w:jc w:val="center"/>
              <w:rPr>
                <w:sz w:val="16"/>
                <w:szCs w:val="16"/>
              </w:rPr>
            </w:pPr>
            <w:r w:rsidRPr="00723CCF">
              <w:rPr>
                <w:sz w:val="16"/>
                <w:szCs w:val="16"/>
              </w:rPr>
              <w:t>4.4%</w:t>
            </w:r>
          </w:p>
        </w:tc>
      </w:tr>
      <w:tr w:rsidR="00324187" w:rsidRPr="00080105" w:rsidTr="00324187">
        <w:tc>
          <w:tcPr>
            <w:tcW w:w="1854" w:type="pct"/>
            <w:vAlign w:val="center"/>
          </w:tcPr>
          <w:p w:rsidR="00324187" w:rsidRPr="00080105" w:rsidRDefault="00324187"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الأتعاب</w:t>
            </w:r>
          </w:p>
        </w:tc>
        <w:tc>
          <w:tcPr>
            <w:tcW w:w="1049" w:type="pct"/>
            <w:vAlign w:val="center"/>
          </w:tcPr>
          <w:p w:rsidR="00324187" w:rsidRPr="00E04EBD" w:rsidRDefault="00324187" w:rsidP="001D7014">
            <w:pPr>
              <w:autoSpaceDE w:val="0"/>
              <w:autoSpaceDN w:val="0"/>
              <w:adjustRightInd w:val="0"/>
              <w:spacing w:before="40" w:after="40" w:line="260" w:lineRule="exact"/>
              <w:jc w:val="center"/>
              <w:rPr>
                <w:sz w:val="16"/>
                <w:szCs w:val="16"/>
              </w:rPr>
            </w:pPr>
            <w:r w:rsidRPr="00E04EBD">
              <w:rPr>
                <w:sz w:val="16"/>
                <w:szCs w:val="16"/>
              </w:rPr>
              <w:t>45</w:t>
            </w:r>
            <w:r>
              <w:rPr>
                <w:sz w:val="16"/>
                <w:szCs w:val="16"/>
              </w:rPr>
              <w:t>,</w:t>
            </w:r>
            <w:r w:rsidRPr="00E04EBD">
              <w:rPr>
                <w:sz w:val="16"/>
                <w:szCs w:val="16"/>
              </w:rPr>
              <w:t>000</w:t>
            </w:r>
          </w:p>
        </w:tc>
        <w:tc>
          <w:tcPr>
            <w:tcW w:w="1049" w:type="pct"/>
          </w:tcPr>
          <w:p w:rsidR="00324187" w:rsidRPr="00723CCF" w:rsidRDefault="00324187" w:rsidP="001D7014">
            <w:pPr>
              <w:autoSpaceDE w:val="0"/>
              <w:autoSpaceDN w:val="0"/>
              <w:adjustRightInd w:val="0"/>
              <w:spacing w:before="40" w:after="40" w:line="260" w:lineRule="exact"/>
              <w:jc w:val="center"/>
              <w:rPr>
                <w:sz w:val="16"/>
                <w:szCs w:val="16"/>
              </w:rPr>
            </w:pPr>
            <w:r w:rsidRPr="00723CCF">
              <w:rPr>
                <w:sz w:val="16"/>
                <w:szCs w:val="16"/>
              </w:rPr>
              <w:t>36,812</w:t>
            </w:r>
          </w:p>
        </w:tc>
        <w:tc>
          <w:tcPr>
            <w:tcW w:w="1048" w:type="pct"/>
          </w:tcPr>
          <w:p w:rsidR="00324187" w:rsidRPr="00723CCF" w:rsidRDefault="00324187" w:rsidP="001D7014">
            <w:pPr>
              <w:autoSpaceDE w:val="0"/>
              <w:autoSpaceDN w:val="0"/>
              <w:adjustRightInd w:val="0"/>
              <w:spacing w:before="40" w:after="40" w:line="260" w:lineRule="exact"/>
              <w:jc w:val="center"/>
              <w:rPr>
                <w:sz w:val="16"/>
                <w:szCs w:val="16"/>
              </w:rPr>
            </w:pPr>
            <w:r w:rsidRPr="00723CCF">
              <w:rPr>
                <w:sz w:val="16"/>
                <w:szCs w:val="16"/>
              </w:rPr>
              <w:t>81.8%</w:t>
            </w:r>
          </w:p>
        </w:tc>
      </w:tr>
      <w:tr w:rsidR="00324187" w:rsidRPr="00080105" w:rsidTr="00324187">
        <w:tc>
          <w:tcPr>
            <w:tcW w:w="1854" w:type="pct"/>
            <w:vAlign w:val="center"/>
          </w:tcPr>
          <w:p w:rsidR="00324187" w:rsidRPr="00080105" w:rsidRDefault="00324187"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الأمور النثرية وغير المتوقعة</w:t>
            </w:r>
          </w:p>
        </w:tc>
        <w:tc>
          <w:tcPr>
            <w:tcW w:w="1049" w:type="pct"/>
            <w:vAlign w:val="center"/>
          </w:tcPr>
          <w:p w:rsidR="00324187" w:rsidRPr="00E04EBD" w:rsidRDefault="00324187" w:rsidP="001D7014">
            <w:pPr>
              <w:autoSpaceDE w:val="0"/>
              <w:autoSpaceDN w:val="0"/>
              <w:adjustRightInd w:val="0"/>
              <w:spacing w:before="40" w:after="40" w:line="260" w:lineRule="exact"/>
              <w:jc w:val="center"/>
              <w:rPr>
                <w:sz w:val="16"/>
                <w:szCs w:val="16"/>
              </w:rPr>
            </w:pPr>
            <w:r w:rsidRPr="00E04EBD">
              <w:rPr>
                <w:sz w:val="16"/>
                <w:szCs w:val="16"/>
              </w:rPr>
              <w:t>21</w:t>
            </w:r>
            <w:r>
              <w:rPr>
                <w:sz w:val="16"/>
                <w:szCs w:val="16"/>
              </w:rPr>
              <w:t>,</w:t>
            </w:r>
            <w:r w:rsidRPr="00E04EBD">
              <w:rPr>
                <w:sz w:val="16"/>
                <w:szCs w:val="16"/>
              </w:rPr>
              <w:t>000</w:t>
            </w:r>
          </w:p>
        </w:tc>
        <w:tc>
          <w:tcPr>
            <w:tcW w:w="1049" w:type="pct"/>
          </w:tcPr>
          <w:p w:rsidR="00324187" w:rsidRPr="00723CCF" w:rsidRDefault="00324187" w:rsidP="001D7014">
            <w:pPr>
              <w:autoSpaceDE w:val="0"/>
              <w:autoSpaceDN w:val="0"/>
              <w:adjustRightInd w:val="0"/>
              <w:spacing w:before="40" w:after="40" w:line="260" w:lineRule="exact"/>
              <w:jc w:val="center"/>
              <w:rPr>
                <w:sz w:val="16"/>
                <w:szCs w:val="16"/>
              </w:rPr>
            </w:pPr>
            <w:r w:rsidRPr="00723CCF">
              <w:rPr>
                <w:sz w:val="16"/>
                <w:szCs w:val="16"/>
              </w:rPr>
              <w:t>0</w:t>
            </w:r>
          </w:p>
        </w:tc>
        <w:tc>
          <w:tcPr>
            <w:tcW w:w="1048" w:type="pct"/>
          </w:tcPr>
          <w:p w:rsidR="00324187" w:rsidRPr="00723CCF" w:rsidRDefault="00324187" w:rsidP="001D7014">
            <w:pPr>
              <w:autoSpaceDE w:val="0"/>
              <w:autoSpaceDN w:val="0"/>
              <w:adjustRightInd w:val="0"/>
              <w:spacing w:before="40" w:after="40" w:line="260" w:lineRule="exact"/>
              <w:jc w:val="center"/>
              <w:rPr>
                <w:sz w:val="16"/>
                <w:szCs w:val="16"/>
              </w:rPr>
            </w:pPr>
            <w:r w:rsidRPr="00723CCF">
              <w:rPr>
                <w:sz w:val="16"/>
                <w:szCs w:val="16"/>
              </w:rPr>
              <w:t>0%</w:t>
            </w:r>
          </w:p>
        </w:tc>
      </w:tr>
      <w:tr w:rsidR="00324187" w:rsidRPr="00080105" w:rsidTr="004C1072">
        <w:tc>
          <w:tcPr>
            <w:tcW w:w="1854" w:type="pct"/>
            <w:shd w:val="clear" w:color="auto" w:fill="C6D9F1" w:themeFill="text2" w:themeFillTint="33"/>
            <w:vAlign w:val="center"/>
          </w:tcPr>
          <w:p w:rsidR="00324187" w:rsidRPr="00080105" w:rsidRDefault="00324187"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المجموع</w:t>
            </w:r>
          </w:p>
        </w:tc>
        <w:tc>
          <w:tcPr>
            <w:tcW w:w="1049" w:type="pct"/>
            <w:shd w:val="clear" w:color="auto" w:fill="C6D9F1" w:themeFill="text2" w:themeFillTint="33"/>
            <w:vAlign w:val="center"/>
          </w:tcPr>
          <w:p w:rsidR="00324187" w:rsidRPr="00E04EBD" w:rsidRDefault="00324187" w:rsidP="001D7014">
            <w:pPr>
              <w:autoSpaceDE w:val="0"/>
              <w:autoSpaceDN w:val="0"/>
              <w:adjustRightInd w:val="0"/>
              <w:spacing w:before="40" w:after="40" w:line="260" w:lineRule="exact"/>
              <w:jc w:val="center"/>
              <w:rPr>
                <w:b/>
                <w:sz w:val="16"/>
                <w:szCs w:val="16"/>
              </w:rPr>
            </w:pPr>
            <w:r w:rsidRPr="00E04EBD">
              <w:rPr>
                <w:b/>
                <w:sz w:val="16"/>
                <w:szCs w:val="16"/>
              </w:rPr>
              <w:t>300</w:t>
            </w:r>
            <w:r>
              <w:rPr>
                <w:b/>
                <w:sz w:val="16"/>
                <w:szCs w:val="16"/>
              </w:rPr>
              <w:t>,</w:t>
            </w:r>
            <w:r w:rsidRPr="00E04EBD">
              <w:rPr>
                <w:b/>
                <w:sz w:val="16"/>
                <w:szCs w:val="16"/>
              </w:rPr>
              <w:t>000</w:t>
            </w:r>
          </w:p>
        </w:tc>
        <w:tc>
          <w:tcPr>
            <w:tcW w:w="1049" w:type="pct"/>
            <w:shd w:val="clear" w:color="auto" w:fill="C6D9F1" w:themeFill="text2" w:themeFillTint="33"/>
          </w:tcPr>
          <w:p w:rsidR="00324187" w:rsidRPr="00723CCF" w:rsidRDefault="00324187" w:rsidP="001D7014">
            <w:pPr>
              <w:autoSpaceDE w:val="0"/>
              <w:autoSpaceDN w:val="0"/>
              <w:adjustRightInd w:val="0"/>
              <w:spacing w:before="40" w:after="40" w:line="260" w:lineRule="exact"/>
              <w:jc w:val="center"/>
              <w:rPr>
                <w:b/>
                <w:sz w:val="16"/>
                <w:szCs w:val="16"/>
              </w:rPr>
            </w:pPr>
            <w:r w:rsidRPr="00723CCF">
              <w:rPr>
                <w:b/>
                <w:sz w:val="16"/>
                <w:szCs w:val="16"/>
              </w:rPr>
              <w:t>47,042</w:t>
            </w:r>
          </w:p>
        </w:tc>
        <w:tc>
          <w:tcPr>
            <w:tcW w:w="1048" w:type="pct"/>
            <w:shd w:val="clear" w:color="auto" w:fill="C6D9F1" w:themeFill="text2" w:themeFillTint="33"/>
          </w:tcPr>
          <w:p w:rsidR="00324187" w:rsidRPr="00723CCF" w:rsidRDefault="00324187" w:rsidP="001D7014">
            <w:pPr>
              <w:autoSpaceDE w:val="0"/>
              <w:autoSpaceDN w:val="0"/>
              <w:adjustRightInd w:val="0"/>
              <w:spacing w:before="40" w:after="40" w:line="260" w:lineRule="exact"/>
              <w:jc w:val="center"/>
              <w:rPr>
                <w:b/>
                <w:sz w:val="16"/>
                <w:szCs w:val="16"/>
              </w:rPr>
            </w:pPr>
          </w:p>
        </w:tc>
      </w:tr>
    </w:tbl>
    <w:p w:rsidR="00F96634" w:rsidRPr="00080105" w:rsidRDefault="00F96634" w:rsidP="00324187">
      <w:pPr>
        <w:keepNext/>
        <w:bidi/>
        <w:spacing w:before="120" w:after="120"/>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lastRenderedPageBreak/>
        <w:t>المخاطر واستراتيجيات التخفيف من آثارها</w:t>
      </w:r>
    </w:p>
    <w:tbl>
      <w:tblPr>
        <w:bidiVisual/>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1"/>
        <w:gridCol w:w="3072"/>
        <w:gridCol w:w="3070"/>
      </w:tblGrid>
      <w:tr w:rsidR="00737EDC" w:rsidRPr="00080105" w:rsidTr="0086174B">
        <w:trPr>
          <w:trHeight w:val="308"/>
          <w:tblHeader/>
          <w:jc w:val="center"/>
        </w:trPr>
        <w:tc>
          <w:tcPr>
            <w:tcW w:w="1667" w:type="pct"/>
            <w:shd w:val="clear" w:color="auto" w:fill="C6D9F1"/>
            <w:vAlign w:val="center"/>
          </w:tcPr>
          <w:p w:rsidR="00737EDC" w:rsidRPr="006D69DC" w:rsidRDefault="00737EDC" w:rsidP="009E1288">
            <w:pPr>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6D69DC">
              <w:rPr>
                <w:rFonts w:ascii="Arabic Typesetting" w:hAnsi="Arabic Typesetting" w:cs="Arabic Typesetting"/>
                <w:bCs/>
                <w:sz w:val="28"/>
                <w:szCs w:val="28"/>
                <w:rtl/>
                <w:lang w:bidi="ar-EG"/>
              </w:rPr>
              <w:t>المخاطر</w:t>
            </w:r>
            <w:r w:rsidRPr="006D69DC">
              <w:rPr>
                <w:rFonts w:ascii="Arabic Typesetting" w:hAnsi="Arabic Typesetting" w:cs="Arabic Typesetting" w:hint="cs"/>
                <w:bCs/>
                <w:sz w:val="28"/>
                <w:szCs w:val="28"/>
                <w:rtl/>
                <w:lang w:bidi="ar-EG"/>
              </w:rPr>
              <w:t>/وصف المخاطر</w:t>
            </w:r>
          </w:p>
        </w:tc>
        <w:tc>
          <w:tcPr>
            <w:tcW w:w="1667" w:type="pct"/>
            <w:shd w:val="clear" w:color="auto" w:fill="C6D9F1"/>
            <w:vAlign w:val="center"/>
          </w:tcPr>
          <w:p w:rsidR="00737EDC" w:rsidRPr="006D69DC" w:rsidRDefault="00737EDC" w:rsidP="009E1288">
            <w:pPr>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6D69DC">
              <w:rPr>
                <w:rFonts w:ascii="Arabic Typesetting" w:hAnsi="Arabic Typesetting" w:cs="Arabic Typesetting" w:hint="cs"/>
                <w:bCs/>
                <w:sz w:val="28"/>
                <w:szCs w:val="28"/>
                <w:rtl/>
                <w:lang w:bidi="ar-EG"/>
              </w:rPr>
              <w:t>التخفيف من آثار المخاطر</w:t>
            </w:r>
          </w:p>
        </w:tc>
        <w:tc>
          <w:tcPr>
            <w:tcW w:w="1666" w:type="pct"/>
            <w:shd w:val="clear" w:color="auto" w:fill="C6D9F1"/>
            <w:vAlign w:val="center"/>
          </w:tcPr>
          <w:p w:rsidR="00737EDC" w:rsidRPr="006D69DC" w:rsidRDefault="00737EDC" w:rsidP="009E1288">
            <w:pPr>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Pr>
                <w:rFonts w:ascii="Arabic Typesetting" w:hAnsi="Arabic Typesetting" w:cs="Arabic Typesetting" w:hint="cs"/>
                <w:bCs/>
                <w:sz w:val="28"/>
                <w:szCs w:val="28"/>
                <w:rtl/>
                <w:lang w:bidi="ar-EG"/>
              </w:rPr>
              <w:t>ال</w:t>
            </w:r>
            <w:r w:rsidRPr="006D69DC">
              <w:rPr>
                <w:rFonts w:ascii="Arabic Typesetting" w:hAnsi="Arabic Typesetting" w:cs="Arabic Typesetting" w:hint="cs"/>
                <w:bCs/>
                <w:sz w:val="28"/>
                <w:szCs w:val="28"/>
                <w:rtl/>
                <w:lang w:bidi="ar-EG"/>
              </w:rPr>
              <w:t>تعليق</w:t>
            </w:r>
            <w:r>
              <w:rPr>
                <w:rFonts w:ascii="Arabic Typesetting" w:hAnsi="Arabic Typesetting" w:cs="Arabic Typesetting" w:hint="cs"/>
                <w:bCs/>
                <w:sz w:val="28"/>
                <w:szCs w:val="28"/>
                <w:rtl/>
                <w:lang w:bidi="ar-EG"/>
              </w:rPr>
              <w:t>ات</w:t>
            </w:r>
          </w:p>
        </w:tc>
      </w:tr>
      <w:tr w:rsidR="00F96634" w:rsidRPr="00080105" w:rsidTr="0086174B">
        <w:trPr>
          <w:trHeight w:val="776"/>
          <w:jc w:val="center"/>
        </w:trPr>
        <w:tc>
          <w:tcPr>
            <w:tcW w:w="1667" w:type="pct"/>
          </w:tcPr>
          <w:p w:rsidR="00F96634" w:rsidRPr="00080105" w:rsidRDefault="00F96634" w:rsidP="00324187">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التأخر في بدء المشروع</w:t>
            </w:r>
            <w:r w:rsidR="00324187" w:rsidRPr="00080105">
              <w:rPr>
                <w:rFonts w:ascii="Arabic Typesetting" w:hAnsi="Arabic Typesetting" w:cs="Arabic Typesetting"/>
                <w:color w:val="000000"/>
                <w:sz w:val="28"/>
                <w:szCs w:val="28"/>
                <w:rtl/>
                <w:lang w:bidi="ar-EG"/>
              </w:rPr>
              <w:t xml:space="preserve"> سنة</w:t>
            </w:r>
            <w:r w:rsidR="00324187">
              <w:rPr>
                <w:rFonts w:ascii="Arabic Typesetting" w:hAnsi="Arabic Typesetting" w:cs="Arabic Typesetting" w:hint="cs"/>
                <w:color w:val="000000"/>
                <w:sz w:val="28"/>
                <w:szCs w:val="28"/>
                <w:rtl/>
                <w:lang w:bidi="ar-EG"/>
              </w:rPr>
              <w:t xml:space="preserve"> على الأكثر</w:t>
            </w:r>
            <w:r w:rsidR="00324187" w:rsidRPr="00080105">
              <w:rPr>
                <w:rFonts w:ascii="Arabic Typesetting" w:hAnsi="Arabic Typesetting" w:cs="Arabic Typesetting"/>
                <w:color w:val="000000"/>
                <w:sz w:val="28"/>
                <w:szCs w:val="28"/>
                <w:rtl/>
                <w:lang w:bidi="ar-EG"/>
              </w:rPr>
              <w:t xml:space="preserve"> كنتيجة لتأخر اكتمال قاعة مؤتمرات الويبو الجديدة</w:t>
            </w:r>
          </w:p>
        </w:tc>
        <w:tc>
          <w:tcPr>
            <w:tcW w:w="1667" w:type="pct"/>
          </w:tcPr>
          <w:p w:rsidR="00F96634" w:rsidRPr="00080105" w:rsidRDefault="00324187" w:rsidP="00324187">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color w:val="000000"/>
                <w:sz w:val="28"/>
                <w:szCs w:val="28"/>
                <w:rtl/>
                <w:lang w:bidi="ar-EG"/>
              </w:rPr>
              <w:t>تعديل الجدول الزمني وتنفيذ الأعمال قدر المستطاع خلال الصيف</w:t>
            </w:r>
          </w:p>
        </w:tc>
        <w:tc>
          <w:tcPr>
            <w:tcW w:w="1666" w:type="pct"/>
          </w:tcPr>
          <w:p w:rsidR="00F96634" w:rsidRPr="00080105" w:rsidRDefault="00324187" w:rsidP="00324187">
            <w:pPr>
              <w:autoSpaceDE w:val="0"/>
              <w:autoSpaceDN w:val="0"/>
              <w:bidi/>
              <w:adjustRightInd w:val="0"/>
              <w:spacing w:before="40" w:after="40"/>
              <w:rPr>
                <w:rFonts w:ascii="Arabic Typesetting" w:hAnsi="Arabic Typesetting" w:cs="Arabic Typesetting"/>
                <w:sz w:val="28"/>
                <w:szCs w:val="28"/>
                <w:rtl/>
              </w:rPr>
            </w:pPr>
            <w:r>
              <w:rPr>
                <w:rFonts w:ascii="Arabic Typesetting" w:hAnsi="Arabic Typesetting" w:cs="Arabic Typesetting" w:hint="cs"/>
                <w:color w:val="000000"/>
                <w:sz w:val="28"/>
                <w:szCs w:val="28"/>
                <w:rtl/>
                <w:lang w:bidi="ar-EG"/>
              </w:rPr>
              <w:t xml:space="preserve">تعرضت المنظمة لهذا الخطر في عام 2014. ورحِّل الجدول الزمني العام للمشروع 12 شهراً مقارنة بالخطة الأصلية. وعدِّل الجدول الزمني للمشروع وفقاً لاستراتيجية التخفيف من آثار المخاطر. </w:t>
            </w:r>
            <w:r w:rsidR="00737EDC" w:rsidRPr="006D69DC">
              <w:rPr>
                <w:rFonts w:ascii="Arabic Typesetting" w:hAnsi="Arabic Typesetting" w:cs="Arabic Typesetting" w:hint="cs"/>
                <w:sz w:val="28"/>
                <w:szCs w:val="28"/>
                <w:rtl/>
              </w:rPr>
              <w:t xml:space="preserve">ولم تُسجّل أية </w:t>
            </w:r>
            <w:r w:rsidR="00737EDC">
              <w:rPr>
                <w:rFonts w:ascii="Arabic Typesetting" w:hAnsi="Arabic Typesetting" w:cs="Arabic Typesetting" w:hint="cs"/>
                <w:sz w:val="28"/>
                <w:szCs w:val="28"/>
                <w:rtl/>
              </w:rPr>
              <w:t>آ</w:t>
            </w:r>
            <w:r w:rsidR="00737EDC" w:rsidRPr="006D69DC">
              <w:rPr>
                <w:rFonts w:ascii="Arabic Typesetting" w:hAnsi="Arabic Typesetting" w:cs="Arabic Typesetting" w:hint="cs"/>
                <w:sz w:val="28"/>
                <w:szCs w:val="28"/>
                <w:rtl/>
              </w:rPr>
              <w:t>ثار مادية على نتائج المشروع الممكن تحقيقها.</w:t>
            </w:r>
          </w:p>
        </w:tc>
      </w:tr>
      <w:tr w:rsidR="00F96634" w:rsidRPr="00080105" w:rsidTr="0086174B">
        <w:trPr>
          <w:trHeight w:val="776"/>
          <w:jc w:val="center"/>
        </w:trPr>
        <w:tc>
          <w:tcPr>
            <w:tcW w:w="1667" w:type="pct"/>
          </w:tcPr>
          <w:p w:rsidR="00F96634" w:rsidRPr="00080105" w:rsidRDefault="00F96634" w:rsidP="00E14A59">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تضارب الأولويات بين التقدم في الأعمال </w:t>
            </w:r>
            <w:r w:rsidR="00E14A59">
              <w:rPr>
                <w:rFonts w:ascii="Arabic Typesetting" w:hAnsi="Arabic Typesetting" w:cs="Arabic Typesetting" w:hint="cs"/>
                <w:color w:val="000000"/>
                <w:sz w:val="28"/>
                <w:szCs w:val="28"/>
                <w:rtl/>
                <w:lang w:bidi="ar-EG"/>
              </w:rPr>
              <w:t>وشغل</w:t>
            </w:r>
            <w:r w:rsidRPr="00080105">
              <w:rPr>
                <w:rFonts w:ascii="Arabic Typesetting" w:hAnsi="Arabic Typesetting" w:cs="Arabic Typesetting"/>
                <w:color w:val="000000"/>
                <w:sz w:val="28"/>
                <w:szCs w:val="28"/>
                <w:rtl/>
                <w:lang w:bidi="ar-EG"/>
              </w:rPr>
              <w:t xml:space="preserve"> </w:t>
            </w:r>
            <w:r w:rsidR="00E14A59">
              <w:rPr>
                <w:rFonts w:ascii="Arabic Typesetting" w:hAnsi="Arabic Typesetting" w:cs="Arabic Typesetting" w:hint="cs"/>
                <w:color w:val="000000"/>
                <w:sz w:val="28"/>
                <w:szCs w:val="28"/>
                <w:rtl/>
                <w:lang w:bidi="ar-EG"/>
              </w:rPr>
              <w:t>العاملين للمكاتب</w:t>
            </w:r>
            <w:r w:rsidR="00324187">
              <w:rPr>
                <w:rFonts w:ascii="Arabic Typesetting" w:hAnsi="Arabic Typesetting" w:cs="Arabic Typesetting" w:hint="cs"/>
                <w:color w:val="000000"/>
                <w:sz w:val="28"/>
                <w:szCs w:val="28"/>
                <w:rtl/>
                <w:lang w:bidi="ar-EG"/>
              </w:rPr>
              <w:t xml:space="preserve"> ما يؤدي إلى </w:t>
            </w:r>
            <w:r w:rsidR="00E14A59">
              <w:rPr>
                <w:rFonts w:ascii="Arabic Typesetting" w:hAnsi="Arabic Typesetting" w:cs="Arabic Typesetting" w:hint="cs"/>
                <w:color w:val="000000"/>
                <w:sz w:val="28"/>
                <w:szCs w:val="28"/>
                <w:rtl/>
                <w:lang w:bidi="ar-EG"/>
              </w:rPr>
              <w:t>العجز عن</w:t>
            </w:r>
            <w:r w:rsidR="00324187" w:rsidRPr="00080105">
              <w:rPr>
                <w:rFonts w:ascii="Arabic Typesetting" w:hAnsi="Arabic Typesetting" w:cs="Arabic Typesetting"/>
                <w:sz w:val="28"/>
                <w:szCs w:val="28"/>
                <w:rtl/>
                <w:lang w:bidi="ar-EG"/>
              </w:rPr>
              <w:t xml:space="preserve"> </w:t>
            </w:r>
            <w:r w:rsidR="00E14A59">
              <w:rPr>
                <w:rFonts w:ascii="Arabic Typesetting" w:hAnsi="Arabic Typesetting" w:cs="Arabic Typesetting" w:hint="cs"/>
                <w:sz w:val="28"/>
                <w:szCs w:val="28"/>
                <w:rtl/>
                <w:lang w:bidi="ar-EG"/>
              </w:rPr>
              <w:t>إخلاء</w:t>
            </w:r>
            <w:r w:rsidR="00324187" w:rsidRPr="00080105">
              <w:rPr>
                <w:rFonts w:ascii="Arabic Typesetting" w:hAnsi="Arabic Typesetting" w:cs="Arabic Typesetting"/>
                <w:sz w:val="28"/>
                <w:szCs w:val="28"/>
                <w:rtl/>
                <w:lang w:bidi="ar-EG"/>
              </w:rPr>
              <w:t xml:space="preserve"> المكاتب من العاملين بها </w:t>
            </w:r>
            <w:r w:rsidR="00E14A59">
              <w:rPr>
                <w:rFonts w:ascii="Arabic Typesetting" w:hAnsi="Arabic Typesetting" w:cs="Arabic Typesetting" w:hint="cs"/>
                <w:sz w:val="28"/>
                <w:szCs w:val="28"/>
                <w:rtl/>
                <w:lang w:bidi="ar-EG"/>
              </w:rPr>
              <w:t>ل</w:t>
            </w:r>
            <w:r w:rsidR="00324187" w:rsidRPr="00080105">
              <w:rPr>
                <w:rFonts w:ascii="Arabic Typesetting" w:hAnsi="Arabic Typesetting" w:cs="Arabic Typesetting"/>
                <w:sz w:val="28"/>
                <w:szCs w:val="28"/>
                <w:rtl/>
                <w:lang w:bidi="ar-EG"/>
              </w:rPr>
              <w:t>بدء العمل في الطابق المعني</w:t>
            </w:r>
          </w:p>
        </w:tc>
        <w:tc>
          <w:tcPr>
            <w:tcW w:w="1667" w:type="pct"/>
          </w:tcPr>
          <w:p w:rsidR="00F96634" w:rsidRPr="00080105" w:rsidRDefault="00324187" w:rsidP="00F96634">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إعادة ترتيب أعمال البناء حيثما أمكن ومراجعة الجدول الزمني للأعمال</w:t>
            </w:r>
          </w:p>
        </w:tc>
        <w:tc>
          <w:tcPr>
            <w:tcW w:w="1666" w:type="pct"/>
          </w:tcPr>
          <w:p w:rsidR="00F96634" w:rsidRPr="00080105" w:rsidRDefault="00F96634" w:rsidP="00F96634">
            <w:pPr>
              <w:autoSpaceDE w:val="0"/>
              <w:autoSpaceDN w:val="0"/>
              <w:bidi/>
              <w:adjustRightInd w:val="0"/>
              <w:spacing w:before="40" w:after="40"/>
              <w:rPr>
                <w:rFonts w:ascii="Arabic Typesetting" w:hAnsi="Arabic Typesetting" w:cs="Arabic Typesetting"/>
                <w:sz w:val="28"/>
                <w:szCs w:val="28"/>
                <w:rtl/>
                <w:lang w:bidi="ar-EG"/>
              </w:rPr>
            </w:pPr>
          </w:p>
        </w:tc>
      </w:tr>
      <w:tr w:rsidR="00F96634" w:rsidRPr="00080105" w:rsidTr="0086174B">
        <w:trPr>
          <w:trHeight w:val="479"/>
          <w:jc w:val="center"/>
        </w:trPr>
        <w:tc>
          <w:tcPr>
            <w:tcW w:w="1667" w:type="pct"/>
          </w:tcPr>
          <w:p w:rsidR="00F96634" w:rsidRPr="00080105" w:rsidRDefault="00E14A59" w:rsidP="00F96634">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color w:val="000000"/>
                <w:sz w:val="28"/>
                <w:szCs w:val="28"/>
                <w:rtl/>
                <w:lang w:bidi="ar-EG"/>
              </w:rPr>
              <w:t>العجز عن</w:t>
            </w:r>
            <w:r w:rsidR="00F96634" w:rsidRPr="00080105">
              <w:rPr>
                <w:rFonts w:ascii="Arabic Typesetting" w:hAnsi="Arabic Typesetting" w:cs="Arabic Typesetting"/>
                <w:color w:val="000000"/>
                <w:sz w:val="28"/>
                <w:szCs w:val="28"/>
                <w:rtl/>
                <w:lang w:bidi="ar-EG"/>
              </w:rPr>
              <w:t xml:space="preserve"> إتمام الأعمال خلال صيف 2015</w:t>
            </w:r>
            <w:r w:rsidR="00324187" w:rsidRPr="00080105">
              <w:rPr>
                <w:rFonts w:ascii="Arabic Typesetting" w:hAnsi="Arabic Typesetting" w:cs="Arabic Typesetting"/>
                <w:color w:val="000000"/>
                <w:sz w:val="28"/>
                <w:szCs w:val="28"/>
                <w:rtl/>
                <w:lang w:bidi="ar-EG"/>
              </w:rPr>
              <w:t xml:space="preserve"> </w:t>
            </w:r>
            <w:r w:rsidR="00324187">
              <w:rPr>
                <w:rFonts w:ascii="Arabic Typesetting" w:hAnsi="Arabic Typesetting" w:cs="Arabic Typesetting" w:hint="cs"/>
                <w:color w:val="000000"/>
                <w:sz w:val="28"/>
                <w:szCs w:val="28"/>
                <w:rtl/>
                <w:lang w:bidi="ar-EG"/>
              </w:rPr>
              <w:t xml:space="preserve">بسبب </w:t>
            </w:r>
            <w:r w:rsidR="00324187" w:rsidRPr="00080105">
              <w:rPr>
                <w:rFonts w:ascii="Arabic Typesetting" w:hAnsi="Arabic Typesetting" w:cs="Arabic Typesetting"/>
                <w:color w:val="000000"/>
                <w:sz w:val="28"/>
                <w:szCs w:val="28"/>
                <w:rtl/>
                <w:lang w:bidi="ar-EG"/>
              </w:rPr>
              <w:t>عدم وجود شركات متاحة تلبي الموعد النهائي الذي تطلبه الويبو</w:t>
            </w:r>
          </w:p>
        </w:tc>
        <w:tc>
          <w:tcPr>
            <w:tcW w:w="1667" w:type="pct"/>
          </w:tcPr>
          <w:p w:rsidR="00F96634" w:rsidRPr="00080105" w:rsidRDefault="00324187" w:rsidP="00F96634">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تأجيل الأعمال حتى صيف 2016</w:t>
            </w:r>
          </w:p>
        </w:tc>
        <w:tc>
          <w:tcPr>
            <w:tcW w:w="1666" w:type="pct"/>
          </w:tcPr>
          <w:p w:rsidR="00F96634" w:rsidRPr="00080105" w:rsidRDefault="00F96634" w:rsidP="00F96634">
            <w:pPr>
              <w:autoSpaceDE w:val="0"/>
              <w:autoSpaceDN w:val="0"/>
              <w:bidi/>
              <w:adjustRightInd w:val="0"/>
              <w:spacing w:before="40" w:after="40"/>
              <w:rPr>
                <w:rFonts w:ascii="Arabic Typesetting" w:hAnsi="Arabic Typesetting" w:cs="Arabic Typesetting"/>
                <w:sz w:val="28"/>
                <w:szCs w:val="28"/>
                <w:rtl/>
                <w:lang w:bidi="ar-EG"/>
              </w:rPr>
            </w:pPr>
          </w:p>
        </w:tc>
      </w:tr>
      <w:tr w:rsidR="00F96634" w:rsidRPr="00080105" w:rsidTr="0086174B">
        <w:trPr>
          <w:trHeight w:val="776"/>
          <w:jc w:val="center"/>
        </w:trPr>
        <w:tc>
          <w:tcPr>
            <w:tcW w:w="1667" w:type="pct"/>
          </w:tcPr>
          <w:p w:rsidR="00F96634" w:rsidRPr="00080105" w:rsidRDefault="00F96634" w:rsidP="00F96634">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تأخر الأعمال أو تعطلها</w:t>
            </w:r>
            <w:r w:rsidR="007C51AF">
              <w:rPr>
                <w:rFonts w:ascii="Arabic Typesetting" w:hAnsi="Arabic Typesetting" w:cs="Arabic Typesetting" w:hint="cs"/>
                <w:sz w:val="28"/>
                <w:szCs w:val="28"/>
                <w:rtl/>
                <w:lang w:bidi="ar-EG"/>
              </w:rPr>
              <w:t xml:space="preserve"> بسبب </w:t>
            </w:r>
            <w:r w:rsidR="007C51AF" w:rsidRPr="00080105">
              <w:rPr>
                <w:rFonts w:ascii="Arabic Typesetting" w:hAnsi="Arabic Typesetting" w:cs="Arabic Typesetting"/>
                <w:sz w:val="28"/>
                <w:szCs w:val="28"/>
                <w:rtl/>
                <w:lang w:bidi="ar-EG"/>
              </w:rPr>
              <w:t>حوادث بالموقع</w:t>
            </w:r>
          </w:p>
        </w:tc>
        <w:tc>
          <w:tcPr>
            <w:tcW w:w="1667" w:type="pct"/>
          </w:tcPr>
          <w:p w:rsidR="00F96634" w:rsidRPr="00080105" w:rsidRDefault="007C51AF" w:rsidP="007C51AF">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الاستعانة بالخبراء اللازمين لمعالجة المشكلات المواجهة على أفضل وجه</w:t>
            </w:r>
          </w:p>
        </w:tc>
        <w:tc>
          <w:tcPr>
            <w:tcW w:w="1666" w:type="pct"/>
          </w:tcPr>
          <w:p w:rsidR="00F96634" w:rsidRPr="00080105" w:rsidRDefault="007C51AF" w:rsidP="00F96634">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color w:val="000000"/>
                <w:sz w:val="28"/>
                <w:szCs w:val="28"/>
                <w:rtl/>
                <w:lang w:bidi="ar-EG"/>
              </w:rPr>
              <w:t>تعرضت المنظمة لهذا الخطر في عام 2015. واستعين بخبراء إضافيين لإجراء دراسات وإرشاد الأمانة إلى أفضل سبيل للحد من أثر هذا الخطر.</w:t>
            </w:r>
          </w:p>
        </w:tc>
      </w:tr>
    </w:tbl>
    <w:p w:rsidR="00F96634" w:rsidRPr="00080105" w:rsidRDefault="00F96634" w:rsidP="007C51AF">
      <w:pPr>
        <w:bidi/>
        <w:spacing w:before="120" w:after="120"/>
        <w:rPr>
          <w:rFonts w:ascii="Arabic Typesetting" w:hAnsi="Arabic Typesetting" w:cs="Arabic Typesetting"/>
          <w:color w:val="000000"/>
          <w:sz w:val="34"/>
          <w:szCs w:val="34"/>
          <w:rtl/>
          <w:lang w:bidi="ar-EG"/>
        </w:rPr>
      </w:pPr>
      <w:r w:rsidRPr="00080105">
        <w:rPr>
          <w:rFonts w:ascii="Arabic Typesetting" w:hAnsi="Arabic Typesetting" w:cs="Arabic Typesetting"/>
          <w:color w:val="000000"/>
          <w:sz w:val="34"/>
          <w:szCs w:val="34"/>
          <w:rtl/>
          <w:lang w:bidi="ar-EG"/>
        </w:rPr>
        <w:t>الجدول الزمني للمشروع حسب المعالم</w:t>
      </w:r>
    </w:p>
    <w:tbl>
      <w:tblPr>
        <w:bidiVisual/>
        <w:tblW w:w="9182" w:type="dxa"/>
        <w:jc w:val="center"/>
        <w:tblInd w:w="483" w:type="dxa"/>
        <w:tblLook w:val="04A0" w:firstRow="1" w:lastRow="0" w:firstColumn="1" w:lastColumn="0" w:noHBand="0" w:noVBand="1"/>
      </w:tblPr>
      <w:tblGrid>
        <w:gridCol w:w="3168"/>
        <w:gridCol w:w="569"/>
        <w:gridCol w:w="495"/>
        <w:gridCol w:w="495"/>
        <w:gridCol w:w="495"/>
        <w:gridCol w:w="495"/>
        <w:gridCol w:w="495"/>
        <w:gridCol w:w="495"/>
        <w:gridCol w:w="495"/>
        <w:gridCol w:w="495"/>
        <w:gridCol w:w="495"/>
        <w:gridCol w:w="495"/>
        <w:gridCol w:w="495"/>
      </w:tblGrid>
      <w:tr w:rsidR="007C51AF" w:rsidRPr="00723CCF" w:rsidTr="007C51AF">
        <w:trPr>
          <w:trHeight w:val="244"/>
          <w:jc w:val="center"/>
        </w:trPr>
        <w:tc>
          <w:tcPr>
            <w:tcW w:w="3168" w:type="dxa"/>
            <w:tcBorders>
              <w:top w:val="nil"/>
              <w:left w:val="nil"/>
              <w:bottom w:val="nil"/>
              <w:right w:val="nil"/>
            </w:tcBorders>
            <w:shd w:val="clear" w:color="auto" w:fill="auto"/>
            <w:noWrap/>
            <w:vAlign w:val="bottom"/>
            <w:hideMark/>
          </w:tcPr>
          <w:p w:rsidR="007C51AF" w:rsidRPr="00723CCF" w:rsidRDefault="007C51AF" w:rsidP="001D7014">
            <w:pPr>
              <w:rPr>
                <w:sz w:val="16"/>
                <w:szCs w:val="16"/>
              </w:rPr>
            </w:pPr>
          </w:p>
        </w:tc>
        <w:tc>
          <w:tcPr>
            <w:tcW w:w="2054" w:type="dxa"/>
            <w:gridSpan w:val="4"/>
            <w:tcBorders>
              <w:top w:val="single" w:sz="8" w:space="0" w:color="auto"/>
              <w:left w:val="single" w:sz="8" w:space="0" w:color="auto"/>
              <w:bottom w:val="single" w:sz="4" w:space="0" w:color="auto"/>
              <w:right w:val="single" w:sz="4" w:space="0" w:color="auto"/>
            </w:tcBorders>
            <w:shd w:val="clear" w:color="auto" w:fill="C6D9F1" w:themeFill="text2" w:themeFillTint="33"/>
            <w:vAlign w:val="bottom"/>
          </w:tcPr>
          <w:p w:rsidR="007C51AF" w:rsidRPr="00723CCF" w:rsidRDefault="007C51AF" w:rsidP="001D7014">
            <w:pPr>
              <w:jc w:val="center"/>
              <w:rPr>
                <w:b/>
                <w:bCs/>
                <w:sz w:val="16"/>
                <w:szCs w:val="16"/>
              </w:rPr>
            </w:pPr>
            <w:r w:rsidRPr="00723CCF">
              <w:rPr>
                <w:b/>
                <w:bCs/>
                <w:sz w:val="16"/>
                <w:szCs w:val="16"/>
              </w:rPr>
              <w:t>2014</w:t>
            </w:r>
          </w:p>
        </w:tc>
        <w:tc>
          <w:tcPr>
            <w:tcW w:w="1980" w:type="dxa"/>
            <w:gridSpan w:val="4"/>
            <w:tcBorders>
              <w:top w:val="single" w:sz="8" w:space="0" w:color="auto"/>
              <w:left w:val="single" w:sz="4" w:space="0" w:color="auto"/>
              <w:bottom w:val="single" w:sz="4" w:space="0" w:color="auto"/>
              <w:right w:val="single" w:sz="8" w:space="0" w:color="000000"/>
            </w:tcBorders>
            <w:shd w:val="clear" w:color="auto" w:fill="C6D9F1" w:themeFill="text2" w:themeFillTint="33"/>
            <w:noWrap/>
            <w:vAlign w:val="bottom"/>
            <w:hideMark/>
          </w:tcPr>
          <w:p w:rsidR="007C51AF" w:rsidRPr="00723CCF" w:rsidRDefault="007C51AF" w:rsidP="001D7014">
            <w:pPr>
              <w:jc w:val="center"/>
              <w:rPr>
                <w:b/>
                <w:bCs/>
                <w:sz w:val="16"/>
                <w:szCs w:val="16"/>
              </w:rPr>
            </w:pPr>
            <w:r w:rsidRPr="00723CCF">
              <w:rPr>
                <w:b/>
                <w:bCs/>
                <w:sz w:val="16"/>
                <w:szCs w:val="16"/>
              </w:rPr>
              <w:t>2015</w:t>
            </w:r>
          </w:p>
        </w:tc>
        <w:tc>
          <w:tcPr>
            <w:tcW w:w="1980" w:type="dxa"/>
            <w:gridSpan w:val="4"/>
            <w:tcBorders>
              <w:top w:val="single" w:sz="8" w:space="0" w:color="auto"/>
              <w:left w:val="nil"/>
              <w:bottom w:val="single" w:sz="4" w:space="0" w:color="auto"/>
              <w:right w:val="single" w:sz="8" w:space="0" w:color="000000"/>
            </w:tcBorders>
            <w:shd w:val="clear" w:color="auto" w:fill="C6D9F1" w:themeFill="text2" w:themeFillTint="33"/>
            <w:noWrap/>
            <w:vAlign w:val="bottom"/>
            <w:hideMark/>
          </w:tcPr>
          <w:p w:rsidR="007C51AF" w:rsidRPr="00723CCF" w:rsidRDefault="007C51AF" w:rsidP="001D7014">
            <w:pPr>
              <w:jc w:val="center"/>
              <w:rPr>
                <w:b/>
                <w:bCs/>
                <w:sz w:val="16"/>
                <w:szCs w:val="16"/>
              </w:rPr>
            </w:pPr>
            <w:r w:rsidRPr="00723CCF">
              <w:rPr>
                <w:b/>
                <w:bCs/>
                <w:sz w:val="16"/>
                <w:szCs w:val="16"/>
              </w:rPr>
              <w:t>2016</w:t>
            </w:r>
          </w:p>
        </w:tc>
      </w:tr>
      <w:tr w:rsidR="007C51AF" w:rsidRPr="00723CCF" w:rsidTr="007C51AF">
        <w:trPr>
          <w:trHeight w:val="499"/>
          <w:jc w:val="center"/>
        </w:trPr>
        <w:tc>
          <w:tcPr>
            <w:tcW w:w="3168" w:type="dxa"/>
            <w:tcBorders>
              <w:top w:val="single" w:sz="8" w:space="0" w:color="auto"/>
              <w:left w:val="single" w:sz="8" w:space="0" w:color="auto"/>
              <w:bottom w:val="single" w:sz="4" w:space="0" w:color="auto"/>
              <w:right w:val="single" w:sz="8" w:space="0" w:color="auto"/>
            </w:tcBorders>
            <w:shd w:val="clear" w:color="auto" w:fill="C6D9F1" w:themeFill="text2" w:themeFillTint="33"/>
            <w:noWrap/>
            <w:vAlign w:val="bottom"/>
            <w:hideMark/>
          </w:tcPr>
          <w:p w:rsidR="007C51AF" w:rsidRPr="00080105" w:rsidRDefault="007C51AF" w:rsidP="001D7014">
            <w:pPr>
              <w:bidi/>
              <w:rPr>
                <w:rFonts w:ascii="Arabic Typesetting" w:hAnsi="Arabic Typesetting" w:cs="Arabic Typesetting"/>
                <w:sz w:val="28"/>
                <w:szCs w:val="28"/>
                <w:rtl/>
                <w:lang w:bidi="ar-EG"/>
              </w:rPr>
            </w:pPr>
            <w:r w:rsidRPr="00080105">
              <w:rPr>
                <w:rFonts w:ascii="Arabic Typesetting" w:hAnsi="Arabic Typesetting" w:cs="Arabic Typesetting"/>
                <w:bCs/>
                <w:color w:val="000000"/>
                <w:sz w:val="28"/>
                <w:szCs w:val="28"/>
                <w:rtl/>
                <w:lang w:bidi="ar-EG"/>
              </w:rPr>
              <w:t>المعالم الرئيسية</w:t>
            </w:r>
          </w:p>
        </w:tc>
        <w:tc>
          <w:tcPr>
            <w:tcW w:w="569" w:type="dxa"/>
            <w:tcBorders>
              <w:top w:val="nil"/>
              <w:left w:val="nil"/>
              <w:bottom w:val="single" w:sz="4" w:space="0" w:color="auto"/>
              <w:right w:val="single" w:sz="4" w:space="0" w:color="auto"/>
            </w:tcBorders>
            <w:shd w:val="clear" w:color="auto" w:fill="C6D9F1" w:themeFill="text2" w:themeFillTint="33"/>
            <w:vAlign w:val="bottom"/>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495" w:type="dxa"/>
            <w:tcBorders>
              <w:top w:val="nil"/>
              <w:left w:val="nil"/>
              <w:bottom w:val="single" w:sz="4" w:space="0" w:color="auto"/>
              <w:right w:val="single" w:sz="4" w:space="0" w:color="auto"/>
            </w:tcBorders>
            <w:shd w:val="clear" w:color="auto" w:fill="C6D9F1" w:themeFill="text2" w:themeFillTint="33"/>
            <w:vAlign w:val="bottom"/>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495" w:type="dxa"/>
            <w:tcBorders>
              <w:top w:val="nil"/>
              <w:left w:val="nil"/>
              <w:bottom w:val="single" w:sz="4" w:space="0" w:color="auto"/>
              <w:right w:val="single" w:sz="4" w:space="0" w:color="auto"/>
            </w:tcBorders>
            <w:shd w:val="clear" w:color="auto" w:fill="C6D9F1" w:themeFill="text2" w:themeFillTint="33"/>
            <w:vAlign w:val="bottom"/>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495" w:type="dxa"/>
            <w:tcBorders>
              <w:top w:val="nil"/>
              <w:left w:val="nil"/>
              <w:bottom w:val="single" w:sz="4" w:space="0" w:color="auto"/>
              <w:right w:val="single" w:sz="4" w:space="0" w:color="auto"/>
            </w:tcBorders>
            <w:shd w:val="clear" w:color="auto" w:fill="C6D9F1" w:themeFill="text2" w:themeFillTint="33"/>
            <w:vAlign w:val="bottom"/>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c>
          <w:tcPr>
            <w:tcW w:w="495" w:type="dxa"/>
            <w:tcBorders>
              <w:top w:val="nil"/>
              <w:left w:val="single" w:sz="4" w:space="0" w:color="auto"/>
              <w:bottom w:val="single" w:sz="4" w:space="0" w:color="auto"/>
              <w:right w:val="single" w:sz="4" w:space="0" w:color="auto"/>
            </w:tcBorders>
            <w:shd w:val="clear" w:color="auto" w:fill="C6D9F1" w:themeFill="text2" w:themeFillTint="33"/>
            <w:noWrap/>
            <w:vAlign w:val="bottom"/>
            <w:hideMark/>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495" w:type="dxa"/>
            <w:tcBorders>
              <w:top w:val="nil"/>
              <w:left w:val="nil"/>
              <w:bottom w:val="single" w:sz="4" w:space="0" w:color="auto"/>
              <w:right w:val="single" w:sz="8" w:space="0" w:color="auto"/>
            </w:tcBorders>
            <w:shd w:val="clear" w:color="auto" w:fill="C6D9F1" w:themeFill="text2" w:themeFillTint="33"/>
            <w:noWrap/>
            <w:vAlign w:val="bottom"/>
            <w:hideMark/>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ف1</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ف2</w:t>
            </w:r>
          </w:p>
        </w:tc>
        <w:tc>
          <w:tcPr>
            <w:tcW w:w="495" w:type="dxa"/>
            <w:tcBorders>
              <w:top w:val="nil"/>
              <w:left w:val="nil"/>
              <w:bottom w:val="single" w:sz="4" w:space="0" w:color="auto"/>
              <w:right w:val="single" w:sz="4" w:space="0" w:color="auto"/>
            </w:tcBorders>
            <w:shd w:val="clear" w:color="auto" w:fill="C6D9F1" w:themeFill="text2" w:themeFillTint="33"/>
            <w:noWrap/>
            <w:vAlign w:val="bottom"/>
            <w:hideMark/>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ف3</w:t>
            </w:r>
          </w:p>
        </w:tc>
        <w:tc>
          <w:tcPr>
            <w:tcW w:w="495" w:type="dxa"/>
            <w:tcBorders>
              <w:top w:val="nil"/>
              <w:left w:val="nil"/>
              <w:bottom w:val="single" w:sz="4" w:space="0" w:color="auto"/>
              <w:right w:val="single" w:sz="8" w:space="0" w:color="auto"/>
            </w:tcBorders>
            <w:shd w:val="clear" w:color="auto" w:fill="C6D9F1" w:themeFill="text2" w:themeFillTint="33"/>
            <w:noWrap/>
            <w:vAlign w:val="bottom"/>
            <w:hideMark/>
          </w:tcPr>
          <w:p w:rsidR="007C51AF" w:rsidRPr="00080105" w:rsidRDefault="007C51AF" w:rsidP="001D7014">
            <w:pPr>
              <w:bidi/>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ف4</w:t>
            </w:r>
          </w:p>
        </w:tc>
      </w:tr>
      <w:tr w:rsidR="007C51AF" w:rsidRPr="00723CCF" w:rsidTr="007C51AF">
        <w:trPr>
          <w:trHeight w:val="416"/>
          <w:jc w:val="center"/>
        </w:trPr>
        <w:tc>
          <w:tcPr>
            <w:tcW w:w="3168" w:type="dxa"/>
            <w:tcBorders>
              <w:top w:val="nil"/>
              <w:left w:val="single" w:sz="8" w:space="0" w:color="auto"/>
              <w:bottom w:val="single" w:sz="4" w:space="0" w:color="auto"/>
              <w:right w:val="single" w:sz="8" w:space="0" w:color="auto"/>
            </w:tcBorders>
            <w:shd w:val="clear" w:color="auto" w:fill="auto"/>
            <w:noWrap/>
            <w:vAlign w:val="center"/>
            <w:hideMark/>
          </w:tcPr>
          <w:p w:rsidR="007C51AF" w:rsidRPr="00080105" w:rsidRDefault="007C51AF"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منح العقد لمهندس الواجهة</w:t>
            </w:r>
          </w:p>
        </w:tc>
        <w:tc>
          <w:tcPr>
            <w:tcW w:w="569"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color w:val="243F60" w:themeColor="accent1" w:themeShade="7F"/>
                <w:sz w:val="16"/>
                <w:szCs w:val="16"/>
              </w:rPr>
            </w:pPr>
            <w:r w:rsidRPr="00723CCF">
              <w:rPr>
                <w:sz w:val="16"/>
                <w:szCs w:val="16"/>
              </w:rPr>
              <w:t>X</w:t>
            </w: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color w:val="243F60" w:themeColor="accent1" w:themeShade="7F"/>
                <w:sz w:val="16"/>
                <w:szCs w:val="16"/>
              </w:rPr>
            </w:pPr>
            <w:r w:rsidRPr="00723CCF">
              <w:rPr>
                <w:sz w:val="16"/>
                <w:szCs w:val="16"/>
              </w:rPr>
              <w:t>X</w:t>
            </w:r>
          </w:p>
        </w:tc>
        <w:tc>
          <w:tcPr>
            <w:tcW w:w="495" w:type="dxa"/>
            <w:tcBorders>
              <w:top w:val="nil"/>
              <w:left w:val="single" w:sz="4" w:space="0" w:color="auto"/>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8" w:space="0" w:color="auto"/>
            </w:tcBorders>
            <w:shd w:val="clear" w:color="auto" w:fill="auto"/>
            <w:noWrap/>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8" w:space="0" w:color="auto"/>
            </w:tcBorders>
            <w:shd w:val="clear" w:color="auto" w:fill="auto"/>
            <w:noWrap/>
            <w:vAlign w:val="bottom"/>
            <w:hideMark/>
          </w:tcPr>
          <w:p w:rsidR="007C51AF" w:rsidRPr="00723CCF" w:rsidRDefault="007C51AF" w:rsidP="001D7014">
            <w:pPr>
              <w:spacing w:before="40" w:after="40"/>
              <w:rPr>
                <w:sz w:val="16"/>
                <w:szCs w:val="16"/>
              </w:rPr>
            </w:pPr>
            <w:r w:rsidRPr="00723CCF">
              <w:rPr>
                <w:sz w:val="16"/>
                <w:szCs w:val="16"/>
              </w:rPr>
              <w:t> </w:t>
            </w:r>
          </w:p>
        </w:tc>
      </w:tr>
      <w:tr w:rsidR="007C51AF" w:rsidRPr="00723CCF" w:rsidTr="007C51AF">
        <w:trPr>
          <w:trHeight w:val="416"/>
          <w:jc w:val="center"/>
        </w:trPr>
        <w:tc>
          <w:tcPr>
            <w:tcW w:w="3168" w:type="dxa"/>
            <w:tcBorders>
              <w:top w:val="nil"/>
              <w:left w:val="single" w:sz="8" w:space="0" w:color="auto"/>
              <w:bottom w:val="single" w:sz="4" w:space="0" w:color="auto"/>
              <w:right w:val="single" w:sz="8" w:space="0" w:color="auto"/>
            </w:tcBorders>
            <w:shd w:val="clear" w:color="auto" w:fill="auto"/>
            <w:noWrap/>
            <w:vAlign w:val="center"/>
            <w:hideMark/>
          </w:tcPr>
          <w:p w:rsidR="007C51AF" w:rsidRPr="00080105" w:rsidRDefault="007C51AF"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تطوير المشروع وتثبيته مع مهندس الواجهة</w:t>
            </w:r>
            <w:r w:rsidRPr="00080105">
              <w:rPr>
                <w:rFonts w:ascii="Arabic Typesetting" w:hAnsi="Arabic Typesetting" w:cs="Arabic Typesetting"/>
                <w:color w:val="000000"/>
                <w:sz w:val="28"/>
                <w:szCs w:val="28"/>
              </w:rPr>
              <w:t xml:space="preserve"> </w:t>
            </w:r>
          </w:p>
        </w:tc>
        <w:tc>
          <w:tcPr>
            <w:tcW w:w="569"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sz w:val="16"/>
                <w:szCs w:val="16"/>
              </w:rPr>
            </w:pPr>
          </w:p>
        </w:tc>
        <w:tc>
          <w:tcPr>
            <w:tcW w:w="495" w:type="dxa"/>
            <w:tcBorders>
              <w:top w:val="nil"/>
              <w:left w:val="single" w:sz="4" w:space="0" w:color="auto"/>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color w:val="243F60" w:themeColor="accent1" w:themeShade="7F"/>
                <w:sz w:val="16"/>
                <w:szCs w:val="16"/>
              </w:rPr>
            </w:pPr>
            <w:r w:rsidRPr="00723CCF">
              <w:rPr>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8" w:space="0" w:color="auto"/>
            </w:tcBorders>
            <w:shd w:val="clear" w:color="auto" w:fill="auto"/>
            <w:noWrap/>
            <w:vAlign w:val="bottom"/>
            <w:hideMark/>
          </w:tcPr>
          <w:p w:rsidR="007C51AF" w:rsidRPr="00723CCF" w:rsidRDefault="007C51AF" w:rsidP="001D7014">
            <w:pPr>
              <w:spacing w:before="40" w:after="40"/>
              <w:rPr>
                <w:sz w:val="16"/>
                <w:szCs w:val="16"/>
              </w:rPr>
            </w:pPr>
            <w:r w:rsidRPr="00723CCF">
              <w:rPr>
                <w:sz w:val="16"/>
                <w:szCs w:val="16"/>
              </w:rPr>
              <w:t> </w:t>
            </w:r>
          </w:p>
        </w:tc>
      </w:tr>
      <w:tr w:rsidR="007C51AF" w:rsidRPr="00723CCF" w:rsidTr="007C51AF">
        <w:trPr>
          <w:trHeight w:val="416"/>
          <w:jc w:val="center"/>
        </w:trPr>
        <w:tc>
          <w:tcPr>
            <w:tcW w:w="3168" w:type="dxa"/>
            <w:tcBorders>
              <w:top w:val="nil"/>
              <w:left w:val="single" w:sz="8" w:space="0" w:color="auto"/>
              <w:bottom w:val="single" w:sz="4" w:space="0" w:color="auto"/>
              <w:right w:val="single" w:sz="8" w:space="0" w:color="auto"/>
            </w:tcBorders>
            <w:shd w:val="clear" w:color="auto" w:fill="auto"/>
            <w:noWrap/>
            <w:vAlign w:val="center"/>
            <w:hideMark/>
          </w:tcPr>
          <w:p w:rsidR="007C51AF" w:rsidRPr="00080105" w:rsidRDefault="007C51AF"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طرح مناقصة واختيار الشركات</w:t>
            </w:r>
          </w:p>
        </w:tc>
        <w:tc>
          <w:tcPr>
            <w:tcW w:w="569"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sz w:val="16"/>
                <w:szCs w:val="16"/>
              </w:rPr>
            </w:pPr>
          </w:p>
        </w:tc>
        <w:tc>
          <w:tcPr>
            <w:tcW w:w="495" w:type="dxa"/>
            <w:tcBorders>
              <w:top w:val="nil"/>
              <w:left w:val="single" w:sz="4" w:space="0" w:color="auto"/>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color w:val="243F60" w:themeColor="accent1" w:themeShade="7F"/>
                <w:sz w:val="16"/>
                <w:szCs w:val="16"/>
              </w:rPr>
            </w:pPr>
            <w:r w:rsidRPr="00723CCF">
              <w:rPr>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8" w:space="0" w:color="auto"/>
            </w:tcBorders>
            <w:shd w:val="clear" w:color="auto" w:fill="auto"/>
            <w:noWrap/>
            <w:vAlign w:val="bottom"/>
            <w:hideMark/>
          </w:tcPr>
          <w:p w:rsidR="007C51AF" w:rsidRPr="00723CCF" w:rsidRDefault="007C51AF" w:rsidP="001D7014">
            <w:pPr>
              <w:spacing w:before="40" w:after="40"/>
              <w:rPr>
                <w:sz w:val="16"/>
                <w:szCs w:val="16"/>
              </w:rPr>
            </w:pPr>
            <w:r w:rsidRPr="00723CCF">
              <w:rPr>
                <w:sz w:val="16"/>
                <w:szCs w:val="16"/>
              </w:rPr>
              <w:t> </w:t>
            </w:r>
          </w:p>
        </w:tc>
      </w:tr>
      <w:tr w:rsidR="007C51AF" w:rsidRPr="00723CCF" w:rsidTr="007C51AF">
        <w:trPr>
          <w:trHeight w:val="416"/>
          <w:jc w:val="center"/>
        </w:trPr>
        <w:tc>
          <w:tcPr>
            <w:tcW w:w="3168" w:type="dxa"/>
            <w:tcBorders>
              <w:top w:val="nil"/>
              <w:left w:val="single" w:sz="8" w:space="0" w:color="auto"/>
              <w:bottom w:val="single" w:sz="4" w:space="0" w:color="auto"/>
              <w:right w:val="single" w:sz="8" w:space="0" w:color="auto"/>
            </w:tcBorders>
            <w:shd w:val="clear" w:color="auto" w:fill="auto"/>
            <w:noWrap/>
            <w:vAlign w:val="center"/>
          </w:tcPr>
          <w:p w:rsidR="007C51AF" w:rsidRPr="00080105" w:rsidRDefault="007C51AF"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تنفيذ الأعمال وتكليفها</w:t>
            </w:r>
          </w:p>
        </w:tc>
        <w:tc>
          <w:tcPr>
            <w:tcW w:w="569"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sz w:val="16"/>
                <w:szCs w:val="16"/>
              </w:rPr>
            </w:pPr>
          </w:p>
        </w:tc>
        <w:tc>
          <w:tcPr>
            <w:tcW w:w="495" w:type="dxa"/>
            <w:tcBorders>
              <w:top w:val="nil"/>
              <w:left w:val="single" w:sz="4" w:space="0" w:color="auto"/>
              <w:bottom w:val="single" w:sz="4" w:space="0" w:color="auto"/>
              <w:right w:val="single" w:sz="4" w:space="0" w:color="auto"/>
            </w:tcBorders>
            <w:shd w:val="clear" w:color="auto" w:fill="auto"/>
            <w:noWrap/>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7C51AF" w:rsidRPr="00723CCF" w:rsidRDefault="007C51AF" w:rsidP="001D7014">
            <w:pPr>
              <w:spacing w:before="40" w:after="40"/>
              <w:jc w:val="center"/>
              <w:rPr>
                <w:color w:val="243F60" w:themeColor="accent1" w:themeShade="7F"/>
                <w:sz w:val="16"/>
                <w:szCs w:val="16"/>
              </w:rPr>
            </w:pPr>
            <w:r w:rsidRPr="00723CCF">
              <w:rPr>
                <w:sz w:val="16"/>
                <w:szCs w:val="16"/>
              </w:rPr>
              <w:t>X</w:t>
            </w:r>
          </w:p>
        </w:tc>
        <w:tc>
          <w:tcPr>
            <w:tcW w:w="495" w:type="dxa"/>
            <w:tcBorders>
              <w:top w:val="nil"/>
              <w:left w:val="nil"/>
              <w:bottom w:val="single" w:sz="4" w:space="0" w:color="auto"/>
              <w:right w:val="single" w:sz="8" w:space="0" w:color="auto"/>
            </w:tcBorders>
            <w:shd w:val="clear" w:color="auto" w:fill="auto"/>
            <w:noWrap/>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tcPr>
          <w:p w:rsidR="007C51AF" w:rsidRPr="00723CCF" w:rsidRDefault="007C51AF" w:rsidP="001D7014">
            <w:pPr>
              <w:spacing w:before="40" w:after="40"/>
              <w:jc w:val="center"/>
              <w:rPr>
                <w:sz w:val="16"/>
                <w:szCs w:val="16"/>
              </w:rPr>
            </w:pPr>
            <w:r w:rsidRPr="00723CCF">
              <w:rPr>
                <w:sz w:val="16"/>
                <w:szCs w:val="16"/>
              </w:rPr>
              <w:t>X</w:t>
            </w:r>
          </w:p>
        </w:tc>
        <w:tc>
          <w:tcPr>
            <w:tcW w:w="495" w:type="dxa"/>
            <w:tcBorders>
              <w:top w:val="nil"/>
              <w:left w:val="nil"/>
              <w:bottom w:val="single" w:sz="4" w:space="0" w:color="auto"/>
              <w:right w:val="single" w:sz="4" w:space="0" w:color="auto"/>
            </w:tcBorders>
            <w:shd w:val="clear" w:color="auto" w:fill="auto"/>
            <w:noWrap/>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8" w:space="0" w:color="auto"/>
            </w:tcBorders>
            <w:shd w:val="clear" w:color="auto" w:fill="auto"/>
            <w:noWrap/>
            <w:vAlign w:val="bottom"/>
          </w:tcPr>
          <w:p w:rsidR="007C51AF" w:rsidRPr="00723CCF" w:rsidRDefault="007C51AF" w:rsidP="001D7014">
            <w:pPr>
              <w:spacing w:before="40" w:after="40"/>
              <w:rPr>
                <w:sz w:val="16"/>
                <w:szCs w:val="16"/>
              </w:rPr>
            </w:pPr>
          </w:p>
        </w:tc>
      </w:tr>
      <w:tr w:rsidR="007C51AF" w:rsidRPr="00723CCF" w:rsidTr="007C51AF">
        <w:trPr>
          <w:trHeight w:val="416"/>
          <w:jc w:val="center"/>
        </w:trPr>
        <w:tc>
          <w:tcPr>
            <w:tcW w:w="3168" w:type="dxa"/>
            <w:tcBorders>
              <w:top w:val="nil"/>
              <w:left w:val="single" w:sz="8" w:space="0" w:color="auto"/>
              <w:bottom w:val="single" w:sz="4" w:space="0" w:color="auto"/>
              <w:right w:val="single" w:sz="8" w:space="0" w:color="auto"/>
            </w:tcBorders>
            <w:shd w:val="clear" w:color="auto" w:fill="auto"/>
            <w:noWrap/>
            <w:vAlign w:val="center"/>
            <w:hideMark/>
          </w:tcPr>
          <w:p w:rsidR="007C51AF" w:rsidRPr="001D571D" w:rsidRDefault="007C51AF" w:rsidP="001D7014">
            <w:pPr>
              <w:bidi/>
              <w:rPr>
                <w:sz w:val="16"/>
                <w:szCs w:val="16"/>
                <w:highlight w:val="yellow"/>
              </w:rPr>
            </w:pPr>
            <w:r w:rsidRPr="001D571D">
              <w:rPr>
                <w:rFonts w:ascii="Arabic Typesetting" w:hAnsi="Arabic Typesetting" w:cs="Arabic Typesetting" w:hint="cs"/>
                <w:color w:val="000000"/>
                <w:sz w:val="28"/>
                <w:szCs w:val="28"/>
                <w:rtl/>
                <w:lang w:bidi="ar-EG"/>
              </w:rPr>
              <w:t>منح العقد لخبراء لإجراء دراسات وإرشاد الأمانة إلى أفضل التدابير</w:t>
            </w:r>
          </w:p>
        </w:tc>
        <w:tc>
          <w:tcPr>
            <w:tcW w:w="569"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vAlign w:val="center"/>
          </w:tcPr>
          <w:p w:rsidR="007C51AF" w:rsidRPr="00723CCF" w:rsidRDefault="007C51AF" w:rsidP="001D7014">
            <w:pPr>
              <w:spacing w:before="40" w:after="40"/>
              <w:jc w:val="center"/>
              <w:rPr>
                <w:sz w:val="16"/>
                <w:szCs w:val="16"/>
              </w:rPr>
            </w:pPr>
          </w:p>
        </w:tc>
        <w:tc>
          <w:tcPr>
            <w:tcW w:w="495" w:type="dxa"/>
            <w:tcBorders>
              <w:top w:val="nil"/>
              <w:left w:val="single" w:sz="4" w:space="0" w:color="auto"/>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8"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sz w:val="16"/>
                <w:szCs w:val="16"/>
              </w:rPr>
            </w:pPr>
            <w:r w:rsidRPr="00723CCF">
              <w:rPr>
                <w:sz w:val="16"/>
                <w:szCs w:val="16"/>
              </w:rPr>
              <w:t>X</w:t>
            </w:r>
          </w:p>
        </w:tc>
        <w:tc>
          <w:tcPr>
            <w:tcW w:w="495" w:type="dxa"/>
            <w:tcBorders>
              <w:top w:val="nil"/>
              <w:left w:val="nil"/>
              <w:bottom w:val="single" w:sz="4" w:space="0" w:color="auto"/>
              <w:right w:val="single" w:sz="4" w:space="0" w:color="auto"/>
            </w:tcBorders>
            <w:shd w:val="clear" w:color="auto" w:fill="auto"/>
            <w:noWrap/>
            <w:vAlign w:val="center"/>
            <w:hideMark/>
          </w:tcPr>
          <w:p w:rsidR="007C51AF" w:rsidRPr="00723CCF" w:rsidRDefault="007C51AF" w:rsidP="001D7014">
            <w:pPr>
              <w:spacing w:before="40" w:after="40"/>
              <w:jc w:val="center"/>
              <w:rPr>
                <w:color w:val="243F60" w:themeColor="accent1" w:themeShade="7F"/>
                <w:sz w:val="16"/>
                <w:szCs w:val="16"/>
              </w:rPr>
            </w:pPr>
            <w:r w:rsidRPr="00723CCF">
              <w:rPr>
                <w:sz w:val="16"/>
                <w:szCs w:val="16"/>
              </w:rPr>
              <w:t>X</w:t>
            </w:r>
          </w:p>
        </w:tc>
        <w:tc>
          <w:tcPr>
            <w:tcW w:w="495" w:type="dxa"/>
            <w:tcBorders>
              <w:top w:val="nil"/>
              <w:left w:val="nil"/>
              <w:bottom w:val="single" w:sz="4" w:space="0" w:color="auto"/>
              <w:right w:val="single" w:sz="8" w:space="0" w:color="auto"/>
            </w:tcBorders>
            <w:shd w:val="clear" w:color="auto" w:fill="auto"/>
            <w:noWrap/>
            <w:vAlign w:val="bottom"/>
            <w:hideMark/>
          </w:tcPr>
          <w:p w:rsidR="007C51AF" w:rsidRPr="00723CCF" w:rsidRDefault="007C51AF" w:rsidP="001D7014">
            <w:pPr>
              <w:spacing w:before="40" w:after="40"/>
              <w:rPr>
                <w:sz w:val="16"/>
                <w:szCs w:val="16"/>
              </w:rPr>
            </w:pPr>
            <w:r w:rsidRPr="00723CCF">
              <w:rPr>
                <w:sz w:val="16"/>
                <w:szCs w:val="16"/>
              </w:rPr>
              <w:t> </w:t>
            </w:r>
          </w:p>
        </w:tc>
      </w:tr>
    </w:tbl>
    <w:p w:rsidR="00F96634" w:rsidRPr="00080105" w:rsidRDefault="00F96634" w:rsidP="007C51AF">
      <w:pPr>
        <w:keepNext/>
        <w:pageBreakBefore/>
        <w:bidi/>
        <w:spacing w:after="120" w:line="340" w:lineRule="exact"/>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lastRenderedPageBreak/>
        <w:t>المشروعات المتصلة بالسلامة/الأمن</w:t>
      </w:r>
    </w:p>
    <w:p w:rsidR="00F96634" w:rsidRPr="007C51AF" w:rsidRDefault="00F96634" w:rsidP="007C51AF">
      <w:pPr>
        <w:pStyle w:val="Heading4AR"/>
        <w:pageBreakBefore w:val="0"/>
        <w:spacing w:after="120"/>
        <w:ind w:left="0" w:firstLine="0"/>
        <w:rPr>
          <w:i/>
          <w:sz w:val="34"/>
          <w:szCs w:val="34"/>
        </w:rPr>
      </w:pPr>
      <w:bookmarkStart w:id="166" w:name="_Toc450635447"/>
      <w:bookmarkStart w:id="167" w:name="_Toc455393416"/>
      <w:r w:rsidRPr="007C51AF">
        <w:rPr>
          <w:i/>
          <w:sz w:val="34"/>
          <w:szCs w:val="34"/>
          <w:rtl/>
        </w:rPr>
        <w:t>المشروع 7: تدابير السلامة والحماية من الحريق (</w:t>
      </w:r>
      <w:r w:rsidRPr="007C51AF">
        <w:rPr>
          <w:i/>
          <w:sz w:val="34"/>
          <w:szCs w:val="34"/>
        </w:rPr>
        <w:t>CMP 7</w:t>
      </w:r>
      <w:r w:rsidRPr="007C51AF">
        <w:rPr>
          <w:i/>
          <w:sz w:val="34"/>
          <w:szCs w:val="34"/>
          <w:rtl/>
        </w:rPr>
        <w:t>)</w:t>
      </w:r>
      <w:bookmarkEnd w:id="166"/>
      <w:bookmarkEnd w:id="167"/>
    </w:p>
    <w:p w:rsidR="00F96634" w:rsidRPr="00495D3F" w:rsidRDefault="00F96634" w:rsidP="00495D3F">
      <w:pPr>
        <w:keepNext/>
        <w:bidi/>
        <w:spacing w:after="240" w:line="340" w:lineRule="exact"/>
        <w:ind w:left="1417" w:hanging="1417"/>
        <w:rPr>
          <w:rFonts w:ascii="Arabic Typesetting" w:hAnsi="Arabic Typesetting" w:cs="Arabic Typesetting"/>
          <w:bCs/>
          <w:sz w:val="34"/>
          <w:szCs w:val="36"/>
          <w:lang w:val="fr-CH"/>
        </w:rPr>
      </w:pPr>
      <w:r w:rsidRPr="00495D3F">
        <w:rPr>
          <w:rFonts w:ascii="Arabic Typesetting" w:hAnsi="Arabic Typesetting" w:cs="Arabic Typesetting"/>
          <w:bCs/>
          <w:sz w:val="34"/>
          <w:szCs w:val="36"/>
          <w:rtl/>
          <w:lang w:val="fr-CH"/>
        </w:rPr>
        <w:t>مدير المشروع</w:t>
      </w:r>
      <w:r w:rsidR="007C51AF" w:rsidRPr="00495D3F">
        <w:rPr>
          <w:rFonts w:ascii="Arabic Typesetting" w:hAnsi="Arabic Typesetting" w:cs="Arabic Typesetting" w:hint="cs"/>
          <w:bCs/>
          <w:sz w:val="34"/>
          <w:szCs w:val="36"/>
          <w:rtl/>
          <w:lang w:val="fr-CH"/>
        </w:rPr>
        <w:t>:</w:t>
      </w:r>
      <w:r w:rsidR="007C51AF" w:rsidRPr="00495D3F">
        <w:rPr>
          <w:rFonts w:ascii="Arabic Typesetting" w:hAnsi="Arabic Typesetting" w:cs="Arabic Typesetting"/>
          <w:bCs/>
          <w:sz w:val="34"/>
          <w:szCs w:val="36"/>
          <w:rtl/>
          <w:lang w:val="fr-CH"/>
        </w:rPr>
        <w:tab/>
      </w:r>
      <w:r w:rsidRPr="00495D3F">
        <w:rPr>
          <w:rFonts w:ascii="Arabic Typesetting" w:hAnsi="Arabic Typesetting" w:cs="Arabic Typesetting"/>
          <w:bCs/>
          <w:sz w:val="34"/>
          <w:szCs w:val="36"/>
          <w:rtl/>
          <w:lang w:val="fr-CH"/>
        </w:rPr>
        <w:t xml:space="preserve">السيد </w:t>
      </w:r>
      <w:r w:rsidR="007C51AF" w:rsidRPr="00495D3F">
        <w:rPr>
          <w:rFonts w:ascii="Arabic Typesetting" w:hAnsi="Arabic Typesetting" w:cs="Arabic Typesetting" w:hint="cs"/>
          <w:bCs/>
          <w:sz w:val="34"/>
          <w:szCs w:val="36"/>
          <w:rtl/>
          <w:lang w:val="fr-CH"/>
        </w:rPr>
        <w:t>مارك غيب</w:t>
      </w:r>
    </w:p>
    <w:p w:rsidR="00F96634" w:rsidRPr="00080105" w:rsidRDefault="00F96634" w:rsidP="007C51AF">
      <w:pPr>
        <w:bidi/>
        <w:spacing w:after="120" w:line="340" w:lineRule="exact"/>
        <w:rPr>
          <w:rFonts w:ascii="Arabic Typesetting" w:hAnsi="Arabic Typesetting" w:cs="Arabic Typesetting"/>
          <w:b/>
          <w:sz w:val="34"/>
          <w:szCs w:val="34"/>
          <w:lang w:bidi="ar-EG"/>
        </w:rPr>
      </w:pPr>
      <w:r w:rsidRPr="00080105">
        <w:rPr>
          <w:rFonts w:ascii="Arabic Typesetting" w:hAnsi="Arabic Typesetting" w:cs="Arabic Typesetting"/>
          <w:b/>
          <w:sz w:val="34"/>
          <w:szCs w:val="34"/>
          <w:rtl/>
          <w:lang w:bidi="ar-EG"/>
        </w:rPr>
        <w:t>النتيجة المرتقبة</w:t>
      </w:r>
    </w:p>
    <w:p w:rsidR="00F96634" w:rsidRPr="00080105" w:rsidRDefault="00ED2EEA" w:rsidP="007C51AF">
      <w:pPr>
        <w:bidi/>
        <w:spacing w:after="120" w:line="340" w:lineRule="exact"/>
        <w:rPr>
          <w:rFonts w:ascii="Arabic Typesetting" w:hAnsi="Arabic Typesetting" w:cs="Arabic Typesetting"/>
          <w:bCs/>
          <w:sz w:val="34"/>
          <w:szCs w:val="34"/>
          <w:rtl/>
          <w:lang w:bidi="ar-EG"/>
        </w:rPr>
      </w:pPr>
      <w:r>
        <w:rPr>
          <w:rFonts w:ascii="Arabic Typesetting" w:hAnsi="Arabic Typesetting" w:cs="Arabic Typesetting" w:hint="cs"/>
          <w:iCs/>
          <w:sz w:val="34"/>
          <w:szCs w:val="34"/>
          <w:rtl/>
        </w:rPr>
        <w:t>ه4.9</w:t>
      </w:r>
      <w:r w:rsidR="00F96634" w:rsidRPr="00080105">
        <w:rPr>
          <w:rFonts w:ascii="Arabic Typesetting" w:hAnsi="Arabic Typesetting" w:cs="Arabic Typesetting"/>
          <w:iCs/>
          <w:sz w:val="34"/>
          <w:szCs w:val="34"/>
          <w:rtl/>
          <w:lang w:bidi="ar-EG"/>
        </w:rPr>
        <w:tab/>
      </w:r>
      <w:r w:rsidRPr="00ED2EEA">
        <w:rPr>
          <w:rFonts w:ascii="Arabic Typesetting" w:hAnsi="Arabic Typesetting" w:cs="Arabic Typesetting"/>
          <w:iCs/>
          <w:sz w:val="34"/>
          <w:szCs w:val="34"/>
          <w:rtl/>
          <w:lang w:bidi="ar-EG"/>
        </w:rPr>
        <w:t>منظمة ذات مسؤولية بيئية واجتماعية تكفل سلامة وأمن موظفي الويبو والمندوبين والزائرين والممتلكات المادية والمعلومات</w:t>
      </w:r>
    </w:p>
    <w:p w:rsidR="00F96634" w:rsidRPr="00080105" w:rsidRDefault="00F96634" w:rsidP="007C51AF">
      <w:pPr>
        <w:bidi/>
        <w:spacing w:after="120" w:line="340" w:lineRule="exact"/>
        <w:rPr>
          <w:rFonts w:ascii="Arabic Typesetting" w:hAnsi="Arabic Typesetting" w:cs="Arabic Typesetting"/>
          <w:b/>
          <w:sz w:val="34"/>
          <w:szCs w:val="34"/>
          <w:lang w:bidi="ar-EG"/>
        </w:rPr>
      </w:pPr>
      <w:r w:rsidRPr="00080105">
        <w:rPr>
          <w:rFonts w:ascii="Arabic Typesetting" w:hAnsi="Arabic Typesetting" w:cs="Arabic Typesetting"/>
          <w:b/>
          <w:sz w:val="34"/>
          <w:szCs w:val="34"/>
          <w:rtl/>
          <w:lang w:bidi="ar-EG"/>
        </w:rPr>
        <w:t>الأهداف والنطاق والنهج - معلومات أساسية</w:t>
      </w:r>
    </w:p>
    <w:p w:rsidR="00F96634" w:rsidRPr="00080105" w:rsidRDefault="00F96634" w:rsidP="0099688F">
      <w:pPr>
        <w:numPr>
          <w:ilvl w:val="0"/>
          <w:numId w:val="56"/>
        </w:numPr>
        <w:bidi/>
        <w:spacing w:after="120" w:line="340" w:lineRule="exact"/>
        <w:rPr>
          <w:rFonts w:ascii="Arabic Typesetting" w:hAnsi="Arabic Typesetting" w:cs="Arabic Typesetting"/>
          <w:sz w:val="34"/>
          <w:szCs w:val="34"/>
        </w:rPr>
      </w:pPr>
      <w:r w:rsidRPr="00080105">
        <w:rPr>
          <w:rFonts w:ascii="Arabic Typesetting" w:hAnsi="Arabic Typesetting" w:cs="Arabic Typesetting"/>
          <w:sz w:val="34"/>
          <w:szCs w:val="34"/>
          <w:rtl/>
        </w:rPr>
        <w:t xml:space="preserve">استنادا إلى تدقيق السلامة والأمن الذي أجراه معهد متخصص بناء على طلب الأمانة، </w:t>
      </w:r>
      <w:r w:rsidR="00920A2F">
        <w:rPr>
          <w:rFonts w:ascii="Arabic Typesetting" w:hAnsi="Arabic Typesetting" w:cs="Arabic Typesetting" w:hint="cs"/>
          <w:sz w:val="34"/>
          <w:szCs w:val="34"/>
          <w:rtl/>
        </w:rPr>
        <w:t>يتعين تنفيذ</w:t>
      </w:r>
      <w:r w:rsidRPr="00080105">
        <w:rPr>
          <w:rFonts w:ascii="Arabic Typesetting" w:hAnsi="Arabic Typesetting" w:cs="Arabic Typesetting"/>
          <w:sz w:val="34"/>
          <w:szCs w:val="34"/>
          <w:rtl/>
        </w:rPr>
        <w:t xml:space="preserve"> عدد من التوصيات المتصلة بتدابير السلامة والحماية من الحريق في مباني الويبو القديمة </w:t>
      </w:r>
      <w:r w:rsidR="00920A2F">
        <w:rPr>
          <w:rFonts w:ascii="Arabic Typesetting" w:hAnsi="Arabic Typesetting" w:cs="Arabic Typesetting" w:hint="cs"/>
          <w:sz w:val="34"/>
          <w:szCs w:val="34"/>
          <w:rtl/>
        </w:rPr>
        <w:t>لاستيفاء</w:t>
      </w:r>
      <w:r w:rsidRPr="00080105">
        <w:rPr>
          <w:rFonts w:ascii="Arabic Typesetting" w:hAnsi="Arabic Typesetting" w:cs="Arabic Typesetting"/>
          <w:sz w:val="34"/>
          <w:szCs w:val="34"/>
          <w:rtl/>
        </w:rPr>
        <w:t xml:space="preserve"> مستوى الامتثال الجديد (ويلاحظ أن المبنى الجديد وقاعة مؤتمرات الويبو الجديدة مستبعدان من هذا المشروع لأن مواصفاتهما التقنية </w:t>
      </w:r>
      <w:r w:rsidR="00920A2F">
        <w:rPr>
          <w:rFonts w:ascii="Arabic Typesetting" w:hAnsi="Arabic Typesetting" w:cs="Arabic Typesetting" w:hint="cs"/>
          <w:sz w:val="34"/>
          <w:szCs w:val="34"/>
          <w:rtl/>
        </w:rPr>
        <w:t>تستوفي</w:t>
      </w:r>
      <w:r w:rsidRPr="00080105">
        <w:rPr>
          <w:rFonts w:ascii="Arabic Typesetting" w:hAnsi="Arabic Typesetting" w:cs="Arabic Typesetting"/>
          <w:sz w:val="34"/>
          <w:szCs w:val="34"/>
          <w:rtl/>
        </w:rPr>
        <w:t xml:space="preserve"> مستوى الامتثال الجديد). </w:t>
      </w:r>
      <w:r w:rsidR="00920A2F">
        <w:rPr>
          <w:rFonts w:ascii="Arabic Typesetting" w:hAnsi="Arabic Typesetting" w:cs="Arabic Typesetting" w:hint="cs"/>
          <w:sz w:val="34"/>
          <w:szCs w:val="34"/>
          <w:rtl/>
        </w:rPr>
        <w:t>وإن</w:t>
      </w:r>
      <w:r w:rsidRPr="00080105">
        <w:rPr>
          <w:rFonts w:ascii="Arabic Typesetting" w:hAnsi="Arabic Typesetting" w:cs="Arabic Typesetting"/>
          <w:sz w:val="34"/>
          <w:szCs w:val="34"/>
          <w:rtl/>
        </w:rPr>
        <w:t xml:space="preserve"> تدابير السلامة والحماية من الحريق التي يجب تنفيذها في مباني الويبو القديمة </w:t>
      </w:r>
      <w:r w:rsidR="00920A2F">
        <w:rPr>
          <w:rFonts w:ascii="Arabic Typesetting" w:hAnsi="Arabic Typesetting" w:cs="Arabic Typesetting" w:hint="cs"/>
          <w:sz w:val="34"/>
          <w:szCs w:val="34"/>
          <w:rtl/>
        </w:rPr>
        <w:t>هي</w:t>
      </w:r>
      <w:r w:rsidR="007C51AF">
        <w:rPr>
          <w:rFonts w:ascii="Arabic Typesetting" w:hAnsi="Arabic Typesetting" w:cs="Arabic Typesetting" w:hint="cs"/>
          <w:sz w:val="34"/>
          <w:szCs w:val="34"/>
          <w:rtl/>
        </w:rPr>
        <w:t xml:space="preserve"> "1" </w:t>
      </w:r>
      <w:r w:rsidRPr="00080105">
        <w:rPr>
          <w:rFonts w:ascii="Arabic Typesetting" w:hAnsi="Arabic Typesetting" w:cs="Arabic Typesetting"/>
          <w:sz w:val="34"/>
          <w:szCs w:val="34"/>
          <w:rtl/>
        </w:rPr>
        <w:t>الفصل بين المباني</w:t>
      </w:r>
      <w:r w:rsidR="007C51AF">
        <w:rPr>
          <w:rFonts w:ascii="Arabic Typesetting" w:hAnsi="Arabic Typesetting" w:cs="Arabic Typesetting" w:hint="cs"/>
          <w:sz w:val="34"/>
          <w:szCs w:val="34"/>
          <w:rtl/>
        </w:rPr>
        <w:t>؛ "2" والفصل</w:t>
      </w:r>
      <w:r w:rsidRPr="00080105">
        <w:rPr>
          <w:rFonts w:ascii="Arabic Typesetting" w:hAnsi="Arabic Typesetting" w:cs="Arabic Typesetting"/>
          <w:sz w:val="34"/>
          <w:szCs w:val="34"/>
          <w:rtl/>
        </w:rPr>
        <w:t xml:space="preserve"> بين المناطق الواقعة داخل كل مبنى (تقسيم المبنى إلى أجزاء)</w:t>
      </w:r>
      <w:r w:rsidR="007C51AF">
        <w:rPr>
          <w:rFonts w:ascii="Arabic Typesetting" w:hAnsi="Arabic Typesetting" w:cs="Arabic Typesetting" w:hint="cs"/>
          <w:sz w:val="34"/>
          <w:szCs w:val="34"/>
          <w:rtl/>
        </w:rPr>
        <w:t>. ويهدف مستويا الفصل إلى</w:t>
      </w:r>
      <w:r w:rsidRPr="00080105">
        <w:rPr>
          <w:rFonts w:ascii="Arabic Typesetting" w:hAnsi="Arabic Typesetting" w:cs="Arabic Typesetting"/>
          <w:sz w:val="34"/>
          <w:szCs w:val="34"/>
          <w:rtl/>
        </w:rPr>
        <w:t xml:space="preserve"> عزل كل مبنى عن غيره من المباني وكل منطقة عن غيرها من المناطق بشكل أفضل كي لا ينتشر الحريق أو الدخان عند وقوع أي حادث. وسوف تقسَّم المباني إلى أجزاء باستخدام عناصر البنية التحتية للمباني أو الأبواب بالإضافة إلى، الأبواب الموجودة حاليا </w:t>
      </w:r>
      <w:r w:rsidR="00920A2F">
        <w:rPr>
          <w:rFonts w:ascii="Arabic Typesetting" w:hAnsi="Arabic Typesetting" w:cs="Arabic Typesetting" w:hint="cs"/>
          <w:sz w:val="34"/>
          <w:szCs w:val="34"/>
          <w:rtl/>
        </w:rPr>
        <w:t>أو بدلاً منها، وستركَّب</w:t>
      </w:r>
      <w:r w:rsidRPr="00080105">
        <w:rPr>
          <w:rFonts w:ascii="Arabic Typesetting" w:hAnsi="Arabic Typesetting" w:cs="Arabic Typesetting"/>
          <w:sz w:val="34"/>
          <w:szCs w:val="34"/>
          <w:rtl/>
        </w:rPr>
        <w:t xml:space="preserve"> في بعض الحالات أبواب جديدة في الأ</w:t>
      </w:r>
      <w:r w:rsidR="00920A2F">
        <w:rPr>
          <w:rFonts w:ascii="Arabic Typesetting" w:hAnsi="Arabic Typesetting" w:cs="Arabic Typesetting"/>
          <w:sz w:val="34"/>
          <w:szCs w:val="34"/>
          <w:rtl/>
        </w:rPr>
        <w:t>روقة أو الممرات ال</w:t>
      </w:r>
      <w:r w:rsidR="00920A2F">
        <w:rPr>
          <w:rFonts w:ascii="Arabic Typesetting" w:hAnsi="Arabic Typesetting" w:cs="Arabic Typesetting" w:hint="cs"/>
          <w:sz w:val="34"/>
          <w:szCs w:val="34"/>
          <w:rtl/>
        </w:rPr>
        <w:t>حالية</w:t>
      </w:r>
      <w:r w:rsidR="007C51AF">
        <w:rPr>
          <w:rFonts w:ascii="Arabic Typesetting" w:hAnsi="Arabic Typesetting" w:cs="Arabic Typesetting"/>
          <w:sz w:val="34"/>
          <w:szCs w:val="34"/>
          <w:rtl/>
        </w:rPr>
        <w:t>.</w:t>
      </w:r>
    </w:p>
    <w:p w:rsidR="00F96634" w:rsidRPr="00080105" w:rsidRDefault="00F96634" w:rsidP="0099688F">
      <w:pPr>
        <w:numPr>
          <w:ilvl w:val="0"/>
          <w:numId w:val="56"/>
        </w:numPr>
        <w:bidi/>
        <w:spacing w:after="120" w:line="340" w:lineRule="exact"/>
        <w:rPr>
          <w:rFonts w:ascii="Arabic Typesetting" w:hAnsi="Arabic Typesetting" w:cs="Arabic Typesetting"/>
          <w:sz w:val="34"/>
          <w:szCs w:val="34"/>
        </w:rPr>
      </w:pPr>
      <w:r w:rsidRPr="00080105">
        <w:rPr>
          <w:rFonts w:ascii="Arabic Typesetting" w:hAnsi="Arabic Typesetting" w:cs="Arabic Typesetting"/>
          <w:sz w:val="34"/>
          <w:szCs w:val="34"/>
          <w:rtl/>
        </w:rPr>
        <w:t>وسينتج عن تنفيذ المشروع ما يلي:</w:t>
      </w:r>
    </w:p>
    <w:p w:rsidR="00F96634" w:rsidRPr="00080105" w:rsidRDefault="00F96634" w:rsidP="0099688F">
      <w:pPr>
        <w:numPr>
          <w:ilvl w:val="0"/>
          <w:numId w:val="53"/>
        </w:numPr>
        <w:bidi/>
        <w:spacing w:after="120" w:line="340" w:lineRule="exact"/>
        <w:ind w:left="1134" w:hanging="567"/>
        <w:jc w:val="both"/>
        <w:rPr>
          <w:rFonts w:ascii="Arabic Typesetting" w:hAnsi="Arabic Typesetting" w:cs="Arabic Typesetting"/>
          <w:sz w:val="34"/>
          <w:szCs w:val="34"/>
          <w:lang w:bidi="ar-EG"/>
        </w:rPr>
      </w:pPr>
      <w:r w:rsidRPr="00080105">
        <w:rPr>
          <w:rFonts w:ascii="Arabic Typesetting" w:hAnsi="Arabic Typesetting" w:cs="Arabic Typesetting"/>
          <w:sz w:val="34"/>
          <w:szCs w:val="34"/>
          <w:rtl/>
          <w:lang w:bidi="ar-EG"/>
        </w:rPr>
        <w:t xml:space="preserve">تخفيض التكاليف </w:t>
      </w:r>
      <w:r w:rsidR="00920A2F">
        <w:rPr>
          <w:rFonts w:ascii="Arabic Typesetting" w:hAnsi="Arabic Typesetting" w:cs="Arabic Typesetting" w:hint="cs"/>
          <w:sz w:val="34"/>
          <w:szCs w:val="34"/>
          <w:rtl/>
          <w:lang w:bidi="ar-EG"/>
        </w:rPr>
        <w:t>الخاصة بما يلي</w:t>
      </w:r>
      <w:r w:rsidRPr="00080105">
        <w:rPr>
          <w:rFonts w:ascii="Arabic Typesetting" w:hAnsi="Arabic Typesetting" w:cs="Arabic Typesetting"/>
          <w:sz w:val="34"/>
          <w:szCs w:val="34"/>
          <w:rtl/>
          <w:lang w:bidi="ar-EG"/>
        </w:rPr>
        <w:t>:</w:t>
      </w:r>
      <w:r w:rsidRPr="00080105">
        <w:rPr>
          <w:rFonts w:ascii="Arabic Typesetting" w:hAnsi="Arabic Typesetting" w:cs="Arabic Typesetting"/>
          <w:sz w:val="34"/>
          <w:szCs w:val="34"/>
          <w:lang w:bidi="ar-EG"/>
        </w:rPr>
        <w:t xml:space="preserve"> </w:t>
      </w:r>
      <w:r w:rsidRPr="00080105">
        <w:rPr>
          <w:rFonts w:ascii="Arabic Typesetting" w:hAnsi="Arabic Typesetting" w:cs="Arabic Typesetting"/>
          <w:sz w:val="34"/>
          <w:szCs w:val="34"/>
          <w:rtl/>
          <w:lang w:bidi="ar-EG"/>
        </w:rPr>
        <w:t>"1" الأضرار التي تلحق بالمباني أو الممتلكات الداخلية عن طريق تقليل احتمالات الحوادث؛ "2" الإصلاح والاستبدال والتنظيف؛</w:t>
      </w:r>
    </w:p>
    <w:p w:rsidR="00F96634" w:rsidRPr="00080105" w:rsidRDefault="00F96634" w:rsidP="0099688F">
      <w:pPr>
        <w:numPr>
          <w:ilvl w:val="0"/>
          <w:numId w:val="53"/>
        </w:numPr>
        <w:bidi/>
        <w:spacing w:after="120" w:line="340" w:lineRule="exact"/>
        <w:ind w:left="1134" w:hanging="567"/>
        <w:jc w:val="both"/>
        <w:rPr>
          <w:rFonts w:ascii="Arabic Typesetting" w:hAnsi="Arabic Typesetting" w:cs="Arabic Typesetting"/>
          <w:sz w:val="34"/>
          <w:szCs w:val="34"/>
          <w:lang w:bidi="ar-EG"/>
        </w:rPr>
      </w:pPr>
      <w:r w:rsidRPr="00080105">
        <w:rPr>
          <w:rFonts w:ascii="Arabic Typesetting" w:hAnsi="Arabic Typesetting" w:cs="Arabic Typesetting"/>
          <w:sz w:val="34"/>
          <w:szCs w:val="34"/>
          <w:rtl/>
          <w:lang w:bidi="ar-EG"/>
        </w:rPr>
        <w:t>تعزيز حماية البيا</w:t>
      </w:r>
      <w:r w:rsidR="00920A2F">
        <w:rPr>
          <w:rFonts w:ascii="Arabic Typesetting" w:hAnsi="Arabic Typesetting" w:cs="Arabic Typesetting"/>
          <w:sz w:val="34"/>
          <w:szCs w:val="34"/>
          <w:rtl/>
          <w:lang w:bidi="ar-EG"/>
        </w:rPr>
        <w:t>نات المتعلقة بإيداع الطلبات وفق</w:t>
      </w:r>
      <w:r w:rsidRPr="00080105">
        <w:rPr>
          <w:rFonts w:ascii="Arabic Typesetting" w:hAnsi="Arabic Typesetting" w:cs="Arabic Typesetting"/>
          <w:sz w:val="34"/>
          <w:szCs w:val="34"/>
          <w:rtl/>
          <w:lang w:bidi="ar-EG"/>
        </w:rPr>
        <w:t>ا لأنظمة التسجيل المختلفة؛</w:t>
      </w:r>
    </w:p>
    <w:p w:rsidR="00F96634" w:rsidRPr="00080105" w:rsidRDefault="00920A2F" w:rsidP="0099688F">
      <w:pPr>
        <w:numPr>
          <w:ilvl w:val="0"/>
          <w:numId w:val="53"/>
        </w:numPr>
        <w:bidi/>
        <w:spacing w:after="120" w:line="340" w:lineRule="exact"/>
        <w:ind w:left="1134" w:hanging="567"/>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تهيئة</w:t>
      </w:r>
      <w:r>
        <w:rPr>
          <w:rFonts w:ascii="Arabic Typesetting" w:hAnsi="Arabic Typesetting" w:cs="Arabic Typesetting"/>
          <w:sz w:val="34"/>
          <w:szCs w:val="34"/>
          <w:rtl/>
          <w:lang w:bidi="ar-EG"/>
        </w:rPr>
        <w:t xml:space="preserve"> بيئة عمل أكثر أما</w:t>
      </w:r>
      <w:r>
        <w:rPr>
          <w:rFonts w:ascii="Arabic Typesetting" w:hAnsi="Arabic Typesetting" w:cs="Arabic Typesetting" w:hint="cs"/>
          <w:sz w:val="34"/>
          <w:szCs w:val="34"/>
          <w:rtl/>
          <w:lang w:bidi="ar-EG"/>
        </w:rPr>
        <w:t>ن</w:t>
      </w:r>
      <w:r>
        <w:rPr>
          <w:rFonts w:ascii="Arabic Typesetting" w:hAnsi="Arabic Typesetting" w:cs="Arabic Typesetting"/>
          <w:sz w:val="34"/>
          <w:szCs w:val="34"/>
          <w:rtl/>
          <w:lang w:bidi="ar-EG"/>
        </w:rPr>
        <w:t>ا</w:t>
      </w:r>
      <w:r>
        <w:rPr>
          <w:rFonts w:ascii="Arabic Typesetting" w:hAnsi="Arabic Typesetting" w:cs="Arabic Typesetting" w:hint="cs"/>
          <w:sz w:val="34"/>
          <w:szCs w:val="34"/>
          <w:rtl/>
          <w:lang w:bidi="ar-EG"/>
        </w:rPr>
        <w:t xml:space="preserve"> </w:t>
      </w:r>
      <w:r w:rsidR="00F96634" w:rsidRPr="00080105">
        <w:rPr>
          <w:rFonts w:ascii="Arabic Typesetting" w:hAnsi="Arabic Typesetting" w:cs="Arabic Typesetting"/>
          <w:sz w:val="34"/>
          <w:szCs w:val="34"/>
          <w:rtl/>
          <w:lang w:bidi="ar-EG"/>
        </w:rPr>
        <w:t xml:space="preserve">في حالة وقوع حادث، وتعزيز الأمن وتدابير حماية الموظفين وغيرهم </w:t>
      </w:r>
      <w:r>
        <w:rPr>
          <w:rFonts w:ascii="Arabic Typesetting" w:hAnsi="Arabic Typesetting" w:cs="Arabic Typesetting" w:hint="cs"/>
          <w:sz w:val="34"/>
          <w:szCs w:val="34"/>
          <w:rtl/>
          <w:lang w:bidi="ar-EG"/>
        </w:rPr>
        <w:t>من العاملين</w:t>
      </w:r>
      <w:r w:rsidR="00F96634" w:rsidRPr="00080105">
        <w:rPr>
          <w:rFonts w:ascii="Arabic Typesetting" w:hAnsi="Arabic Typesetting" w:cs="Arabic Typesetting"/>
          <w:sz w:val="34"/>
          <w:szCs w:val="34"/>
          <w:rtl/>
          <w:lang w:bidi="ar-EG"/>
        </w:rPr>
        <w:t xml:space="preserve"> في </w:t>
      </w:r>
      <w:r>
        <w:rPr>
          <w:rFonts w:ascii="Arabic Typesetting" w:hAnsi="Arabic Typesetting" w:cs="Arabic Typesetting"/>
          <w:sz w:val="34"/>
          <w:szCs w:val="34"/>
          <w:rtl/>
          <w:lang w:bidi="ar-EG"/>
        </w:rPr>
        <w:t>المباني، وتحسين تدابير الإجلاء؛</w:t>
      </w:r>
    </w:p>
    <w:p w:rsidR="00F96634" w:rsidRDefault="00F96634" w:rsidP="0099688F">
      <w:pPr>
        <w:numPr>
          <w:ilvl w:val="0"/>
          <w:numId w:val="53"/>
        </w:numPr>
        <w:bidi/>
        <w:spacing w:after="120" w:line="340" w:lineRule="exact"/>
        <w:ind w:left="1134" w:hanging="567"/>
        <w:jc w:val="both"/>
        <w:rPr>
          <w:rFonts w:ascii="Arabic Typesetting" w:hAnsi="Arabic Typesetting" w:cs="Arabic Typesetting"/>
          <w:sz w:val="34"/>
          <w:szCs w:val="34"/>
          <w:lang w:bidi="ar-EG"/>
        </w:rPr>
      </w:pPr>
      <w:r w:rsidRPr="00080105">
        <w:rPr>
          <w:rFonts w:ascii="Arabic Typesetting" w:hAnsi="Arabic Typesetting" w:cs="Arabic Typesetting"/>
          <w:sz w:val="34"/>
          <w:szCs w:val="34"/>
          <w:rtl/>
          <w:lang w:bidi="ar-EG"/>
        </w:rPr>
        <w:t>حماية أفضل وعزل مادي للتركيبات الحساسة في المباني</w:t>
      </w:r>
      <w:r w:rsidR="00920A2F">
        <w:rPr>
          <w:rFonts w:ascii="Arabic Typesetting" w:hAnsi="Arabic Typesetting" w:cs="Arabic Typesetting" w:hint="cs"/>
          <w:sz w:val="34"/>
          <w:szCs w:val="34"/>
          <w:rtl/>
          <w:lang w:bidi="ar-EG"/>
        </w:rPr>
        <w:t>؛</w:t>
      </w:r>
    </w:p>
    <w:p w:rsidR="007C51AF" w:rsidRDefault="007C51AF" w:rsidP="0099688F">
      <w:pPr>
        <w:numPr>
          <w:ilvl w:val="0"/>
          <w:numId w:val="53"/>
        </w:numPr>
        <w:bidi/>
        <w:spacing w:after="120" w:line="340" w:lineRule="exact"/>
        <w:ind w:left="1134" w:hanging="567"/>
        <w:jc w:val="both"/>
        <w:rPr>
          <w:rFonts w:ascii="Arabic Typesetting" w:hAnsi="Arabic Typesetting" w:cs="Arabic Typesetting"/>
          <w:sz w:val="34"/>
          <w:szCs w:val="34"/>
          <w:lang w:bidi="ar-EG"/>
        </w:rPr>
      </w:pPr>
      <w:r>
        <w:rPr>
          <w:rFonts w:ascii="Arabic Typesetting" w:hAnsi="Arabic Typesetting" w:cs="Arabic Typesetting" w:hint="cs"/>
          <w:sz w:val="34"/>
          <w:szCs w:val="34"/>
          <w:rtl/>
          <w:lang w:bidi="ar-EG"/>
        </w:rPr>
        <w:t xml:space="preserve">الامتثال لمعايير الأمن والسلامة من الحرائق في </w:t>
      </w:r>
      <w:proofErr w:type="spellStart"/>
      <w:r>
        <w:rPr>
          <w:rFonts w:ascii="Arabic Typesetting" w:hAnsi="Arabic Typesetting" w:cs="Arabic Typesetting" w:hint="cs"/>
          <w:sz w:val="34"/>
          <w:szCs w:val="34"/>
          <w:rtl/>
          <w:lang w:bidi="ar-EG"/>
        </w:rPr>
        <w:t>كنتون</w:t>
      </w:r>
      <w:proofErr w:type="spellEnd"/>
      <w:r>
        <w:rPr>
          <w:rFonts w:ascii="Arabic Typesetting" w:hAnsi="Arabic Typesetting" w:cs="Arabic Typesetting" w:hint="cs"/>
          <w:sz w:val="34"/>
          <w:szCs w:val="34"/>
          <w:rtl/>
          <w:lang w:bidi="ar-EG"/>
        </w:rPr>
        <w:t xml:space="preserve"> جنيف؛</w:t>
      </w:r>
    </w:p>
    <w:p w:rsidR="007C51AF" w:rsidRPr="00080105" w:rsidRDefault="007C51AF" w:rsidP="0099688F">
      <w:pPr>
        <w:numPr>
          <w:ilvl w:val="0"/>
          <w:numId w:val="53"/>
        </w:numPr>
        <w:bidi/>
        <w:spacing w:after="120" w:line="340" w:lineRule="exact"/>
        <w:ind w:left="1134" w:hanging="567"/>
        <w:jc w:val="both"/>
        <w:rPr>
          <w:rFonts w:ascii="Arabic Typesetting" w:hAnsi="Arabic Typesetting" w:cs="Arabic Typesetting"/>
          <w:sz w:val="34"/>
          <w:szCs w:val="34"/>
          <w:lang w:bidi="ar-EG"/>
        </w:rPr>
      </w:pPr>
      <w:proofErr w:type="spellStart"/>
      <w:r>
        <w:rPr>
          <w:rFonts w:ascii="Arabic Typesetting" w:hAnsi="Arabic Typesetting" w:cs="Arabic Typesetting" w:hint="cs"/>
          <w:sz w:val="34"/>
          <w:szCs w:val="34"/>
          <w:rtl/>
          <w:lang w:bidi="ar-EG"/>
        </w:rPr>
        <w:t>التماشي</w:t>
      </w:r>
      <w:proofErr w:type="spellEnd"/>
      <w:r>
        <w:rPr>
          <w:rFonts w:ascii="Arabic Typesetting" w:hAnsi="Arabic Typesetting" w:cs="Arabic Typesetting" w:hint="cs"/>
          <w:sz w:val="34"/>
          <w:szCs w:val="34"/>
          <w:rtl/>
          <w:lang w:bidi="ar-EG"/>
        </w:rPr>
        <w:t xml:space="preserve"> مع سياسة الأمم المتحدة بشأن السلامة من الحرائق.</w:t>
      </w:r>
    </w:p>
    <w:p w:rsidR="00F96634" w:rsidRDefault="00ED2EEA" w:rsidP="00F96634">
      <w:pPr>
        <w:bidi/>
        <w:spacing w:after="120" w:line="340" w:lineRule="exact"/>
        <w:rPr>
          <w:rFonts w:ascii="Arabic Typesetting" w:hAnsi="Arabic Typesetting" w:cs="Arabic Typesetting"/>
          <w:sz w:val="34"/>
          <w:szCs w:val="34"/>
          <w:rtl/>
          <w:lang w:bidi="ar-EG"/>
        </w:rPr>
      </w:pPr>
      <w:r>
        <w:rPr>
          <w:rFonts w:ascii="Arabic Typesetting" w:hAnsi="Arabic Typesetting" w:cs="Arabic Typesetting"/>
          <w:sz w:val="34"/>
          <w:szCs w:val="34"/>
          <w:rtl/>
          <w:lang w:bidi="ar-EG"/>
        </w:rPr>
        <w:t>استعراض التقدم المحرز في 2015 (المعالم الرئيسية)</w:t>
      </w:r>
    </w:p>
    <w:p w:rsidR="007C51AF" w:rsidRDefault="007C51AF" w:rsidP="0099688F">
      <w:pPr>
        <w:numPr>
          <w:ilvl w:val="0"/>
          <w:numId w:val="56"/>
        </w:numPr>
        <w:bidi/>
        <w:spacing w:after="120" w:line="340" w:lineRule="exact"/>
        <w:rPr>
          <w:rFonts w:ascii="Arabic Typesetting" w:hAnsi="Arabic Typesetting" w:cs="Arabic Typesetting"/>
          <w:noProof/>
          <w:sz w:val="34"/>
          <w:szCs w:val="34"/>
        </w:rPr>
      </w:pPr>
      <w:r>
        <w:rPr>
          <w:rFonts w:ascii="Arabic Typesetting" w:hAnsi="Arabic Typesetting" w:cs="Arabic Typesetting" w:hint="cs"/>
          <w:sz w:val="34"/>
          <w:szCs w:val="34"/>
          <w:rtl/>
        </w:rPr>
        <w:t>أُنجز</w:t>
      </w:r>
      <w:r>
        <w:rPr>
          <w:rFonts w:ascii="Arabic Typesetting" w:hAnsi="Arabic Typesetting" w:cs="Arabic Typesetting" w:hint="cs"/>
          <w:noProof/>
          <w:sz w:val="34"/>
          <w:szCs w:val="34"/>
          <w:rtl/>
        </w:rPr>
        <w:t>ت عملية الفصل في مبنى البراءات في عام 2014 وشملت دراسة جدوى وتركيب أبواب</w:t>
      </w:r>
      <w:r w:rsidR="00934690">
        <w:rPr>
          <w:rFonts w:ascii="Arabic Typesetting" w:hAnsi="Arabic Typesetting" w:cs="Arabic Typesetting" w:hint="cs"/>
          <w:noProof/>
          <w:sz w:val="34"/>
          <w:szCs w:val="34"/>
          <w:rtl/>
        </w:rPr>
        <w:t xml:space="preserve"> مقاومة للحريق وتوصيلها. وفي</w:t>
      </w:r>
      <w:r w:rsidR="00920A2F">
        <w:rPr>
          <w:rFonts w:ascii="Arabic Typesetting" w:hAnsi="Arabic Typesetting" w:cs="Arabic Typesetting" w:hint="eastAsia"/>
          <w:noProof/>
          <w:sz w:val="34"/>
          <w:szCs w:val="34"/>
          <w:rtl/>
        </w:rPr>
        <w:t> </w:t>
      </w:r>
      <w:r w:rsidR="00934690">
        <w:rPr>
          <w:rFonts w:ascii="Arabic Typesetting" w:hAnsi="Arabic Typesetting" w:cs="Arabic Typesetting" w:hint="cs"/>
          <w:noProof/>
          <w:sz w:val="34"/>
          <w:szCs w:val="34"/>
          <w:rtl/>
        </w:rPr>
        <w:t>عام 2014، استهل العمل في مبنى أرباد بوكش (الطابق -2)</w:t>
      </w:r>
      <w:r w:rsidR="00934690" w:rsidRPr="00934690">
        <w:rPr>
          <w:rFonts w:ascii="Arabic Typesetting" w:hAnsi="Arabic Typesetting" w:cs="Arabic Typesetting" w:hint="cs"/>
          <w:noProof/>
          <w:sz w:val="34"/>
          <w:szCs w:val="34"/>
          <w:rtl/>
        </w:rPr>
        <w:t xml:space="preserve"> </w:t>
      </w:r>
      <w:r w:rsidR="00934690">
        <w:rPr>
          <w:rFonts w:ascii="Arabic Typesetting" w:hAnsi="Arabic Typesetting" w:cs="Arabic Typesetting" w:hint="cs"/>
          <w:noProof/>
          <w:sz w:val="34"/>
          <w:szCs w:val="34"/>
          <w:rtl/>
        </w:rPr>
        <w:t>على فاصل الحرائق بين مرآب السيارات تحت الأرضي ومبنى أرباد بوكش، وأنجز هذا العمل وأصبحت معدات مقاومة الحرائق جاهزة تماماً</w:t>
      </w:r>
      <w:r w:rsidR="00920A2F">
        <w:rPr>
          <w:rFonts w:ascii="Arabic Typesetting" w:hAnsi="Arabic Typesetting" w:cs="Arabic Typesetting" w:hint="cs"/>
          <w:noProof/>
          <w:sz w:val="34"/>
          <w:szCs w:val="34"/>
          <w:rtl/>
        </w:rPr>
        <w:t xml:space="preserve"> </w:t>
      </w:r>
      <w:r w:rsidR="00934690">
        <w:rPr>
          <w:rFonts w:ascii="Arabic Typesetting" w:hAnsi="Arabic Typesetting" w:cs="Arabic Typesetting" w:hint="cs"/>
          <w:noProof/>
          <w:sz w:val="34"/>
          <w:szCs w:val="34"/>
          <w:rtl/>
        </w:rPr>
        <w:t>في عام 2015. وتجاوزت التكاليف الفعلية لإنجاز هذا المشروع التكاليف المقدَّرة</w:t>
      </w:r>
      <w:r w:rsidR="00920A2F">
        <w:rPr>
          <w:rFonts w:ascii="Arabic Typesetting" w:hAnsi="Arabic Typesetting" w:cs="Arabic Typesetting" w:hint="cs"/>
          <w:noProof/>
          <w:sz w:val="34"/>
          <w:szCs w:val="34"/>
          <w:rtl/>
        </w:rPr>
        <w:t>؛</w:t>
      </w:r>
      <w:r w:rsidR="00934690">
        <w:rPr>
          <w:rFonts w:ascii="Arabic Typesetting" w:hAnsi="Arabic Typesetting" w:cs="Arabic Typesetting" w:hint="cs"/>
          <w:noProof/>
          <w:sz w:val="34"/>
          <w:szCs w:val="34"/>
          <w:rtl/>
        </w:rPr>
        <w:t xml:space="preserve"> وستغطى بفضل الوفورات المحققة في إطار المشروع المتعلق ب</w:t>
      </w:r>
      <w:r w:rsidR="00934690" w:rsidRPr="00934690">
        <w:rPr>
          <w:rFonts w:ascii="Arabic Typesetting" w:hAnsi="Arabic Typesetting" w:cs="Arabic Typesetting"/>
          <w:noProof/>
          <w:sz w:val="34"/>
          <w:szCs w:val="34"/>
          <w:rtl/>
        </w:rPr>
        <w:t>الفصل بين مبنى بودنهاوزن الأول ومبنى أرباد بوكش</w:t>
      </w:r>
      <w:r w:rsidR="00934690">
        <w:rPr>
          <w:rFonts w:ascii="Arabic Typesetting" w:hAnsi="Arabic Typesetting" w:cs="Arabic Typesetting" w:hint="cs"/>
          <w:noProof/>
          <w:sz w:val="34"/>
          <w:szCs w:val="34"/>
          <w:rtl/>
        </w:rPr>
        <w:t xml:space="preserve"> (فيما يلي تفاصيل هذا المشروع).</w:t>
      </w:r>
    </w:p>
    <w:p w:rsidR="00934690" w:rsidRDefault="00920A2F" w:rsidP="0099688F">
      <w:pPr>
        <w:numPr>
          <w:ilvl w:val="0"/>
          <w:numId w:val="56"/>
        </w:numPr>
        <w:bidi/>
        <w:spacing w:after="120" w:line="340" w:lineRule="exact"/>
        <w:rPr>
          <w:rFonts w:ascii="Arabic Typesetting" w:hAnsi="Arabic Typesetting" w:cs="Arabic Typesetting"/>
          <w:noProof/>
          <w:sz w:val="34"/>
          <w:szCs w:val="34"/>
        </w:rPr>
      </w:pPr>
      <w:r>
        <w:rPr>
          <w:rFonts w:ascii="Arabic Typesetting" w:hAnsi="Arabic Typesetting" w:cs="Arabic Typesetting" w:hint="cs"/>
          <w:noProof/>
          <w:sz w:val="34"/>
          <w:szCs w:val="34"/>
          <w:rtl/>
        </w:rPr>
        <w:t>و</w:t>
      </w:r>
      <w:r w:rsidR="00934690">
        <w:rPr>
          <w:rFonts w:ascii="Arabic Typesetting" w:hAnsi="Arabic Typesetting" w:cs="Arabic Typesetting" w:hint="cs"/>
          <w:noProof/>
          <w:sz w:val="34"/>
          <w:szCs w:val="34"/>
          <w:rtl/>
        </w:rPr>
        <w:t>في إطار المشروع المتعلق بالفصل بين مبنى بودنهاوزن الأول ومبنى أرباد بوكش، أجرت الأمانة</w:t>
      </w:r>
      <w:r>
        <w:rPr>
          <w:rFonts w:ascii="Arabic Typesetting" w:hAnsi="Arabic Typesetting" w:cs="Arabic Typesetting" w:hint="cs"/>
          <w:noProof/>
          <w:sz w:val="34"/>
          <w:szCs w:val="34"/>
          <w:rtl/>
        </w:rPr>
        <w:t xml:space="preserve"> دراسة</w:t>
      </w:r>
      <w:r w:rsidR="00934690">
        <w:rPr>
          <w:rFonts w:ascii="Arabic Typesetting" w:hAnsi="Arabic Typesetting" w:cs="Arabic Typesetting" w:hint="cs"/>
          <w:noProof/>
          <w:sz w:val="34"/>
          <w:szCs w:val="34"/>
          <w:rtl/>
        </w:rPr>
        <w:t xml:space="preserve"> في النصف الثاني من عام 2015 وأعدت مواصفات ثلاثة أبواب إضافية مقاومة للحريق تركب بين مبنى أرباد بوكش ومبنى بودنهاوزن الأول (الطابق -1 والطابق الأرضي والطابق الأول) في عام 2016، ولكن استغرقت هذه العملية فترة أطول من المتوقع بسبب الرحيل غير المتوقع للاستشاري المسؤول عن إجراء الدارسة م</w:t>
      </w:r>
      <w:r w:rsidR="00DD6B26">
        <w:rPr>
          <w:rFonts w:ascii="Arabic Typesetting" w:hAnsi="Arabic Typesetting" w:cs="Arabic Typesetting" w:hint="cs"/>
          <w:noProof/>
          <w:sz w:val="34"/>
          <w:szCs w:val="34"/>
          <w:rtl/>
        </w:rPr>
        <w:t>ا</w:t>
      </w:r>
      <w:r>
        <w:rPr>
          <w:rFonts w:ascii="Arabic Typesetting" w:hAnsi="Arabic Typesetting" w:cs="Arabic Typesetting" w:hint="cs"/>
          <w:noProof/>
          <w:sz w:val="34"/>
          <w:szCs w:val="34"/>
          <w:rtl/>
        </w:rPr>
        <w:t xml:space="preserve"> أدى إلى تأخير </w:t>
      </w:r>
      <w:r w:rsidR="00934690">
        <w:rPr>
          <w:rFonts w:ascii="Arabic Typesetting" w:hAnsi="Arabic Typesetting" w:cs="Arabic Typesetting" w:hint="cs"/>
          <w:noProof/>
          <w:sz w:val="34"/>
          <w:szCs w:val="34"/>
          <w:rtl/>
        </w:rPr>
        <w:t>تسليم المشروع ستة أشهر. ومن ثم، عدِّل الجدول الزمني للمشروع.</w:t>
      </w:r>
    </w:p>
    <w:p w:rsidR="00934690" w:rsidRDefault="00934690" w:rsidP="0099688F">
      <w:pPr>
        <w:numPr>
          <w:ilvl w:val="0"/>
          <w:numId w:val="56"/>
        </w:numPr>
        <w:bidi/>
        <w:spacing w:after="120" w:line="340" w:lineRule="exact"/>
        <w:rPr>
          <w:rFonts w:ascii="Arabic Typesetting" w:hAnsi="Arabic Typesetting" w:cs="Arabic Typesetting"/>
          <w:noProof/>
          <w:sz w:val="34"/>
          <w:szCs w:val="34"/>
        </w:rPr>
      </w:pPr>
      <w:r>
        <w:rPr>
          <w:rFonts w:ascii="Arabic Typesetting" w:hAnsi="Arabic Typesetting" w:cs="Arabic Typesetting" w:hint="cs"/>
          <w:noProof/>
          <w:sz w:val="34"/>
          <w:szCs w:val="34"/>
          <w:rtl/>
        </w:rPr>
        <w:t>وفي نهاية عام 2015، عزز التنسيق والتخطيط لضمان استكمال المشروع في الموعد المحدد وفي حدود الميزانية المخصصة.</w:t>
      </w:r>
    </w:p>
    <w:p w:rsidR="00F96634" w:rsidRPr="00080105" w:rsidRDefault="00F96634" w:rsidP="00934690">
      <w:pPr>
        <w:keepNext/>
        <w:bidi/>
        <w:spacing w:after="120"/>
        <w:rPr>
          <w:rFonts w:ascii="Arabic Typesetting" w:hAnsi="Arabic Typesetting" w:cs="Arabic Typesetting"/>
          <w:sz w:val="34"/>
          <w:szCs w:val="34"/>
          <w:rtl/>
          <w:lang w:bidi="ar-EG"/>
        </w:rPr>
      </w:pPr>
      <w:r w:rsidRPr="00080105">
        <w:rPr>
          <w:rFonts w:ascii="Arabic Typesetting" w:hAnsi="Arabic Typesetting" w:cs="Arabic Typesetting"/>
          <w:sz w:val="34"/>
          <w:szCs w:val="34"/>
          <w:rtl/>
          <w:lang w:bidi="ar-EG"/>
        </w:rPr>
        <w:lastRenderedPageBreak/>
        <w:t>تحقيق المنافع</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4"/>
        <w:gridCol w:w="2175"/>
        <w:gridCol w:w="2171"/>
        <w:gridCol w:w="2171"/>
      </w:tblGrid>
      <w:tr w:rsidR="00934690" w:rsidRPr="00080105" w:rsidTr="007147DB">
        <w:trPr>
          <w:jc w:val="center"/>
        </w:trPr>
        <w:tc>
          <w:tcPr>
            <w:tcW w:w="1596" w:type="pct"/>
            <w:shd w:val="clear" w:color="auto" w:fill="C6D9F1"/>
            <w:tcMar>
              <w:top w:w="113" w:type="dxa"/>
              <w:bottom w:w="113" w:type="dxa"/>
            </w:tcMar>
            <w:vAlign w:val="center"/>
          </w:tcPr>
          <w:p w:rsidR="00934690" w:rsidRPr="00080105" w:rsidRDefault="00934690" w:rsidP="00F96634">
            <w:pPr>
              <w:bidi/>
              <w:spacing w:line="300" w:lineRule="exact"/>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المنافع المحققة 2014</w:t>
            </w:r>
          </w:p>
        </w:tc>
        <w:tc>
          <w:tcPr>
            <w:tcW w:w="1136" w:type="pct"/>
            <w:shd w:val="clear" w:color="auto" w:fill="C6D9F1"/>
            <w:vAlign w:val="center"/>
          </w:tcPr>
          <w:p w:rsidR="00934690" w:rsidRPr="00080105" w:rsidRDefault="00934690" w:rsidP="00934690">
            <w:pPr>
              <w:bidi/>
              <w:spacing w:line="300" w:lineRule="exact"/>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 xml:space="preserve">المنافع </w:t>
            </w:r>
            <w:r>
              <w:rPr>
                <w:rFonts w:ascii="Arabic Typesetting" w:hAnsi="Arabic Typesetting" w:cs="Arabic Typesetting" w:hint="cs"/>
                <w:bCs/>
                <w:sz w:val="28"/>
                <w:szCs w:val="28"/>
                <w:rtl/>
                <w:lang w:bidi="ar-EG"/>
              </w:rPr>
              <w:t>المحققة</w:t>
            </w:r>
            <w:r w:rsidRPr="00080105">
              <w:rPr>
                <w:rFonts w:ascii="Arabic Typesetting" w:hAnsi="Arabic Typesetting" w:cs="Arabic Typesetting"/>
                <w:bCs/>
                <w:sz w:val="28"/>
                <w:szCs w:val="28"/>
                <w:rtl/>
                <w:lang w:bidi="ar-EG"/>
              </w:rPr>
              <w:t xml:space="preserve"> 2015</w:t>
            </w:r>
          </w:p>
        </w:tc>
        <w:tc>
          <w:tcPr>
            <w:tcW w:w="1134" w:type="pct"/>
            <w:shd w:val="clear" w:color="auto" w:fill="C6D9F1"/>
            <w:vAlign w:val="center"/>
          </w:tcPr>
          <w:p w:rsidR="00934690" w:rsidRPr="00080105" w:rsidRDefault="00934690" w:rsidP="00F96634">
            <w:pPr>
              <w:bidi/>
              <w:spacing w:line="300" w:lineRule="exact"/>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المنافع المتوقعة 2016</w:t>
            </w:r>
          </w:p>
        </w:tc>
        <w:tc>
          <w:tcPr>
            <w:tcW w:w="1134" w:type="pct"/>
            <w:shd w:val="clear" w:color="auto" w:fill="C6D9F1"/>
          </w:tcPr>
          <w:p w:rsidR="00934690" w:rsidRPr="00080105" w:rsidRDefault="00934690" w:rsidP="00934690">
            <w:pPr>
              <w:bidi/>
              <w:spacing w:line="300" w:lineRule="exact"/>
              <w:jc w:val="center"/>
              <w:rPr>
                <w:rFonts w:ascii="Arabic Typesetting" w:hAnsi="Arabic Typesetting" w:cs="Arabic Typesetting"/>
                <w:bCs/>
                <w:sz w:val="28"/>
                <w:szCs w:val="28"/>
                <w:rtl/>
                <w:lang w:bidi="ar-EG"/>
              </w:rPr>
            </w:pPr>
            <w:r w:rsidRPr="00080105">
              <w:rPr>
                <w:rFonts w:ascii="Arabic Typesetting" w:hAnsi="Arabic Typesetting" w:cs="Arabic Typesetting"/>
                <w:bCs/>
                <w:sz w:val="28"/>
                <w:szCs w:val="28"/>
                <w:rtl/>
                <w:lang w:bidi="ar-EG"/>
              </w:rPr>
              <w:t xml:space="preserve">المنافع المتوقعة </w:t>
            </w:r>
            <w:r>
              <w:rPr>
                <w:rFonts w:ascii="Arabic Typesetting" w:hAnsi="Arabic Typesetting" w:cs="Arabic Typesetting" w:hint="cs"/>
                <w:bCs/>
                <w:sz w:val="28"/>
                <w:szCs w:val="28"/>
                <w:rtl/>
                <w:lang w:bidi="ar-EG"/>
              </w:rPr>
              <w:t>2017</w:t>
            </w:r>
          </w:p>
        </w:tc>
      </w:tr>
      <w:tr w:rsidR="00934690" w:rsidRPr="00080105" w:rsidTr="007147DB">
        <w:trPr>
          <w:trHeight w:val="151"/>
          <w:jc w:val="center"/>
        </w:trPr>
        <w:tc>
          <w:tcPr>
            <w:tcW w:w="1596" w:type="pct"/>
            <w:tcMar>
              <w:top w:w="113" w:type="dxa"/>
              <w:bottom w:w="113" w:type="dxa"/>
            </w:tcMar>
          </w:tcPr>
          <w:p w:rsidR="00934690" w:rsidRPr="00934690" w:rsidRDefault="00934690" w:rsidP="00F96634">
            <w:pPr>
              <w:bidi/>
              <w:spacing w:line="300" w:lineRule="exact"/>
              <w:rPr>
                <w:rFonts w:ascii="Arabic Typesetting" w:hAnsi="Arabic Typesetting" w:cs="Arabic Typesetting"/>
                <w:sz w:val="28"/>
                <w:szCs w:val="28"/>
                <w:rtl/>
              </w:rPr>
            </w:pPr>
            <w:r w:rsidRPr="00934690">
              <w:rPr>
                <w:rFonts w:ascii="Arabic Typesetting" w:hAnsi="Arabic Typesetting" w:cs="Arabic Typesetting"/>
                <w:sz w:val="28"/>
                <w:szCs w:val="28"/>
                <w:rtl/>
                <w:lang w:bidi="ar-EG"/>
              </w:rPr>
              <w:t>تعزيز الأمن وتدابير حماية الموظفين فور اكتمال أعمال العزل في مبنى البراءات</w:t>
            </w:r>
          </w:p>
        </w:tc>
        <w:tc>
          <w:tcPr>
            <w:tcW w:w="1136" w:type="pct"/>
          </w:tcPr>
          <w:p w:rsidR="00934690" w:rsidRPr="00934690" w:rsidRDefault="00934690" w:rsidP="00F96634">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الحفاظ على مستوى السلامة والأمن في مبنى البراءات</w:t>
            </w:r>
          </w:p>
        </w:tc>
        <w:tc>
          <w:tcPr>
            <w:tcW w:w="1134" w:type="pct"/>
          </w:tcPr>
          <w:p w:rsidR="00934690" w:rsidRPr="00934690" w:rsidRDefault="00934690" w:rsidP="00F96634">
            <w:pPr>
              <w:bidi/>
              <w:spacing w:line="300" w:lineRule="exact"/>
              <w:rPr>
                <w:rFonts w:ascii="Arabic Typesetting" w:hAnsi="Arabic Typesetting" w:cs="Arabic Typesetting"/>
                <w:sz w:val="28"/>
                <w:szCs w:val="28"/>
              </w:rPr>
            </w:pPr>
            <w:r w:rsidRPr="00934690">
              <w:rPr>
                <w:rFonts w:ascii="Arabic Typesetting" w:hAnsi="Arabic Typesetting" w:cs="Arabic Typesetting"/>
                <w:sz w:val="28"/>
                <w:szCs w:val="28"/>
                <w:rtl/>
                <w:lang w:bidi="ar-EG"/>
              </w:rPr>
              <w:t>الحفاظ على مستوى السلامة والأمن في مبنى البراءات</w:t>
            </w:r>
          </w:p>
        </w:tc>
        <w:tc>
          <w:tcPr>
            <w:tcW w:w="1134" w:type="pct"/>
          </w:tcPr>
          <w:p w:rsidR="00934690" w:rsidRPr="00934690" w:rsidRDefault="00934690" w:rsidP="00F96634">
            <w:pPr>
              <w:bidi/>
              <w:spacing w:line="300" w:lineRule="exact"/>
              <w:rPr>
                <w:rFonts w:ascii="Arabic Typesetting" w:hAnsi="Arabic Typesetting" w:cs="Arabic Typesetting"/>
                <w:sz w:val="28"/>
                <w:szCs w:val="28"/>
              </w:rPr>
            </w:pPr>
            <w:r w:rsidRPr="00934690">
              <w:rPr>
                <w:rFonts w:ascii="Arabic Typesetting" w:hAnsi="Arabic Typesetting" w:cs="Arabic Typesetting"/>
                <w:sz w:val="28"/>
                <w:szCs w:val="28"/>
                <w:rtl/>
                <w:lang w:bidi="ar-EG"/>
              </w:rPr>
              <w:t>الحفاظ على مستوى السلامة والأمن في مبنى البراءات</w:t>
            </w:r>
          </w:p>
        </w:tc>
      </w:tr>
      <w:tr w:rsidR="00934690" w:rsidRPr="00080105" w:rsidTr="007147DB">
        <w:trPr>
          <w:trHeight w:val="19"/>
          <w:jc w:val="center"/>
        </w:trPr>
        <w:tc>
          <w:tcPr>
            <w:tcW w:w="1596" w:type="pct"/>
            <w:tcMar>
              <w:top w:w="113" w:type="dxa"/>
              <w:bottom w:w="113" w:type="dxa"/>
            </w:tcMar>
          </w:tcPr>
          <w:p w:rsidR="00934690" w:rsidRPr="00934690" w:rsidRDefault="00934690" w:rsidP="00F96634">
            <w:pPr>
              <w:bidi/>
              <w:spacing w:line="300" w:lineRule="exact"/>
              <w:rPr>
                <w:rFonts w:ascii="Arabic Typesetting" w:hAnsi="Arabic Typesetting" w:cs="Arabic Typesetting"/>
                <w:sz w:val="28"/>
                <w:szCs w:val="28"/>
                <w:u w:val="single"/>
              </w:rPr>
            </w:pPr>
          </w:p>
        </w:tc>
        <w:tc>
          <w:tcPr>
            <w:tcW w:w="1136" w:type="pct"/>
          </w:tcPr>
          <w:p w:rsidR="00934690" w:rsidRPr="00934690" w:rsidRDefault="00934690" w:rsidP="00F96634">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 xml:space="preserve">تعزيز أمن الموظفين والوفود عن طريق إنشاء غرفة ضغط في مهبط مصاعد المنطقة </w:t>
            </w:r>
            <w:r w:rsidRPr="00934690">
              <w:rPr>
                <w:rFonts w:ascii="Arabic Typesetting" w:hAnsi="Arabic Typesetting" w:cs="Arabic Typesetting"/>
                <w:sz w:val="28"/>
                <w:szCs w:val="28"/>
                <w:lang w:bidi="ar-EG"/>
              </w:rPr>
              <w:t>AB -2</w:t>
            </w:r>
          </w:p>
        </w:tc>
        <w:tc>
          <w:tcPr>
            <w:tcW w:w="1134" w:type="pct"/>
          </w:tcPr>
          <w:p w:rsidR="00934690" w:rsidRPr="00934690" w:rsidRDefault="00934690" w:rsidP="00F96634">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 xml:space="preserve">الحفاظ على مستوى الأمن والسلامة عند دخول مهبط المنطقة </w:t>
            </w:r>
            <w:r w:rsidRPr="00934690">
              <w:rPr>
                <w:rFonts w:ascii="Arabic Typesetting" w:hAnsi="Arabic Typesetting" w:cs="Arabic Typesetting"/>
                <w:sz w:val="28"/>
                <w:szCs w:val="28"/>
                <w:lang w:bidi="ar-EG"/>
              </w:rPr>
              <w:t>AB -2</w:t>
            </w:r>
          </w:p>
        </w:tc>
        <w:tc>
          <w:tcPr>
            <w:tcW w:w="1134" w:type="pct"/>
          </w:tcPr>
          <w:p w:rsidR="00934690" w:rsidRPr="00934690" w:rsidRDefault="00934690" w:rsidP="00F96634">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 xml:space="preserve">الحفاظ على مستوى الأمن والسلامة عند دخول مهبط المنطقة </w:t>
            </w:r>
            <w:r w:rsidRPr="00934690">
              <w:rPr>
                <w:rFonts w:ascii="Arabic Typesetting" w:hAnsi="Arabic Typesetting" w:cs="Arabic Typesetting"/>
                <w:sz w:val="28"/>
                <w:szCs w:val="28"/>
                <w:lang w:bidi="ar-EG"/>
              </w:rPr>
              <w:t>AB -2</w:t>
            </w:r>
          </w:p>
        </w:tc>
      </w:tr>
      <w:tr w:rsidR="00934690" w:rsidRPr="00080105" w:rsidTr="007147DB">
        <w:trPr>
          <w:trHeight w:val="21"/>
          <w:jc w:val="center"/>
        </w:trPr>
        <w:tc>
          <w:tcPr>
            <w:tcW w:w="1596" w:type="pct"/>
            <w:tcMar>
              <w:top w:w="113" w:type="dxa"/>
              <w:bottom w:w="113" w:type="dxa"/>
            </w:tcMar>
          </w:tcPr>
          <w:p w:rsidR="00934690" w:rsidRPr="00934690" w:rsidRDefault="00934690" w:rsidP="00F96634">
            <w:pPr>
              <w:bidi/>
              <w:spacing w:line="300" w:lineRule="exact"/>
              <w:rPr>
                <w:rFonts w:ascii="Arabic Typesetting" w:hAnsi="Arabic Typesetting" w:cs="Arabic Typesetting"/>
                <w:sz w:val="28"/>
                <w:szCs w:val="28"/>
                <w:u w:val="single"/>
              </w:rPr>
            </w:pPr>
          </w:p>
        </w:tc>
        <w:tc>
          <w:tcPr>
            <w:tcW w:w="1136" w:type="pct"/>
          </w:tcPr>
          <w:p w:rsidR="00934690" w:rsidRPr="00934690" w:rsidRDefault="00934690" w:rsidP="00F96634">
            <w:pPr>
              <w:bidi/>
              <w:spacing w:line="300" w:lineRule="exact"/>
              <w:rPr>
                <w:rFonts w:ascii="Arabic Typesetting" w:hAnsi="Arabic Typesetting" w:cs="Arabic Typesetting"/>
                <w:sz w:val="28"/>
                <w:szCs w:val="28"/>
                <w:u w:val="single"/>
              </w:rPr>
            </w:pPr>
          </w:p>
        </w:tc>
        <w:tc>
          <w:tcPr>
            <w:tcW w:w="1134" w:type="pct"/>
          </w:tcPr>
          <w:p w:rsidR="00934690" w:rsidRPr="00934690" w:rsidRDefault="00934690" w:rsidP="00F96634">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تحسين مستوى الأمن والسلامة بين مبنى</w:t>
            </w:r>
            <w:r w:rsidRPr="00934690">
              <w:rPr>
                <w:rFonts w:ascii="Arabic Typesetting" w:hAnsi="Arabic Typesetting" w:cs="Arabic Typesetting"/>
                <w:sz w:val="28"/>
                <w:szCs w:val="28"/>
                <w:lang w:bidi="ar-EG"/>
              </w:rPr>
              <w:t xml:space="preserve"> </w:t>
            </w:r>
            <w:proofErr w:type="spellStart"/>
            <w:r w:rsidRPr="00934690">
              <w:rPr>
                <w:rFonts w:ascii="Arabic Typesetting" w:hAnsi="Arabic Typesetting" w:cs="Arabic Typesetting"/>
                <w:sz w:val="28"/>
                <w:szCs w:val="28"/>
                <w:rtl/>
                <w:lang w:bidi="ar-EG"/>
              </w:rPr>
              <w:t>أرباد</w:t>
            </w:r>
            <w:proofErr w:type="spellEnd"/>
            <w:r w:rsidRPr="00934690">
              <w:rPr>
                <w:rFonts w:ascii="Arabic Typesetting" w:hAnsi="Arabic Typesetting" w:cs="Arabic Typesetting"/>
                <w:sz w:val="28"/>
                <w:szCs w:val="28"/>
                <w:rtl/>
                <w:lang w:bidi="ar-EG"/>
              </w:rPr>
              <w:t xml:space="preserve"> </w:t>
            </w:r>
            <w:proofErr w:type="spellStart"/>
            <w:r w:rsidRPr="00934690">
              <w:rPr>
                <w:rFonts w:ascii="Arabic Typesetting" w:hAnsi="Arabic Typesetting" w:cs="Arabic Typesetting"/>
                <w:sz w:val="28"/>
                <w:szCs w:val="28"/>
                <w:rtl/>
                <w:lang w:bidi="ar-EG"/>
              </w:rPr>
              <w:t>بوكش</w:t>
            </w:r>
            <w:proofErr w:type="spellEnd"/>
            <w:r w:rsidRPr="00934690">
              <w:rPr>
                <w:rFonts w:ascii="Arabic Typesetting" w:hAnsi="Arabic Typesetting" w:cs="Arabic Typesetting"/>
                <w:sz w:val="28"/>
                <w:szCs w:val="28"/>
                <w:rtl/>
                <w:lang w:bidi="ar-EG"/>
              </w:rPr>
              <w:t xml:space="preserve"> ومبنى </w:t>
            </w:r>
            <w:proofErr w:type="spellStart"/>
            <w:r w:rsidRPr="00934690">
              <w:rPr>
                <w:rFonts w:ascii="Arabic Typesetting" w:hAnsi="Arabic Typesetting" w:cs="Arabic Typesetting"/>
                <w:sz w:val="28"/>
                <w:szCs w:val="28"/>
                <w:rtl/>
                <w:lang w:bidi="ar-EG"/>
              </w:rPr>
              <w:t>بودنهاوزن</w:t>
            </w:r>
            <w:proofErr w:type="spellEnd"/>
            <w:r w:rsidRPr="00934690">
              <w:rPr>
                <w:rFonts w:ascii="Arabic Typesetting" w:hAnsi="Arabic Typesetting" w:cs="Arabic Typesetting"/>
                <w:sz w:val="28"/>
                <w:szCs w:val="28"/>
                <w:rtl/>
                <w:lang w:bidi="ar-EG"/>
              </w:rPr>
              <w:t xml:space="preserve"> الأول</w:t>
            </w:r>
          </w:p>
        </w:tc>
        <w:tc>
          <w:tcPr>
            <w:tcW w:w="1134" w:type="pct"/>
          </w:tcPr>
          <w:p w:rsidR="00934690" w:rsidRPr="00934690" w:rsidRDefault="00934690" w:rsidP="00F96634">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تحسين مستوى الأمن والسلامة بين مبنى</w:t>
            </w:r>
            <w:r w:rsidRPr="00934690">
              <w:rPr>
                <w:rFonts w:ascii="Arabic Typesetting" w:hAnsi="Arabic Typesetting" w:cs="Arabic Typesetting"/>
                <w:sz w:val="28"/>
                <w:szCs w:val="28"/>
                <w:lang w:bidi="ar-EG"/>
              </w:rPr>
              <w:t xml:space="preserve"> </w:t>
            </w:r>
            <w:proofErr w:type="spellStart"/>
            <w:r w:rsidRPr="00934690">
              <w:rPr>
                <w:rFonts w:ascii="Arabic Typesetting" w:hAnsi="Arabic Typesetting" w:cs="Arabic Typesetting"/>
                <w:sz w:val="28"/>
                <w:szCs w:val="28"/>
                <w:rtl/>
                <w:lang w:bidi="ar-EG"/>
              </w:rPr>
              <w:t>أرباد</w:t>
            </w:r>
            <w:proofErr w:type="spellEnd"/>
            <w:r w:rsidRPr="00934690">
              <w:rPr>
                <w:rFonts w:ascii="Arabic Typesetting" w:hAnsi="Arabic Typesetting" w:cs="Arabic Typesetting"/>
                <w:sz w:val="28"/>
                <w:szCs w:val="28"/>
                <w:rtl/>
                <w:lang w:bidi="ar-EG"/>
              </w:rPr>
              <w:t xml:space="preserve"> </w:t>
            </w:r>
            <w:proofErr w:type="spellStart"/>
            <w:r w:rsidRPr="00934690">
              <w:rPr>
                <w:rFonts w:ascii="Arabic Typesetting" w:hAnsi="Arabic Typesetting" w:cs="Arabic Typesetting"/>
                <w:sz w:val="28"/>
                <w:szCs w:val="28"/>
                <w:rtl/>
                <w:lang w:bidi="ar-EG"/>
              </w:rPr>
              <w:t>بوكش</w:t>
            </w:r>
            <w:proofErr w:type="spellEnd"/>
            <w:r w:rsidRPr="00934690">
              <w:rPr>
                <w:rFonts w:ascii="Arabic Typesetting" w:hAnsi="Arabic Typesetting" w:cs="Arabic Typesetting"/>
                <w:sz w:val="28"/>
                <w:szCs w:val="28"/>
                <w:rtl/>
                <w:lang w:bidi="ar-EG"/>
              </w:rPr>
              <w:t xml:space="preserve"> ومبنى </w:t>
            </w:r>
            <w:proofErr w:type="spellStart"/>
            <w:r w:rsidRPr="00934690">
              <w:rPr>
                <w:rFonts w:ascii="Arabic Typesetting" w:hAnsi="Arabic Typesetting" w:cs="Arabic Typesetting"/>
                <w:sz w:val="28"/>
                <w:szCs w:val="28"/>
                <w:rtl/>
                <w:lang w:bidi="ar-EG"/>
              </w:rPr>
              <w:t>بودنهاوزن</w:t>
            </w:r>
            <w:proofErr w:type="spellEnd"/>
            <w:r w:rsidRPr="00934690">
              <w:rPr>
                <w:rFonts w:ascii="Arabic Typesetting" w:hAnsi="Arabic Typesetting" w:cs="Arabic Typesetting"/>
                <w:sz w:val="28"/>
                <w:szCs w:val="28"/>
                <w:rtl/>
                <w:lang w:bidi="ar-EG"/>
              </w:rPr>
              <w:t xml:space="preserve"> الأول</w:t>
            </w:r>
          </w:p>
        </w:tc>
      </w:tr>
      <w:tr w:rsidR="00934690" w:rsidRPr="00080105" w:rsidTr="007147DB">
        <w:trPr>
          <w:trHeight w:val="21"/>
          <w:jc w:val="center"/>
        </w:trPr>
        <w:tc>
          <w:tcPr>
            <w:tcW w:w="1596" w:type="pct"/>
            <w:tcMar>
              <w:top w:w="113" w:type="dxa"/>
              <w:bottom w:w="113" w:type="dxa"/>
            </w:tcMar>
          </w:tcPr>
          <w:p w:rsidR="00934690" w:rsidRPr="00934690" w:rsidRDefault="00934690" w:rsidP="00F96634">
            <w:pPr>
              <w:bidi/>
              <w:spacing w:line="300" w:lineRule="exact"/>
              <w:rPr>
                <w:rFonts w:ascii="Arabic Typesetting" w:hAnsi="Arabic Typesetting" w:cs="Arabic Typesetting"/>
                <w:sz w:val="28"/>
                <w:szCs w:val="28"/>
                <w:u w:val="single"/>
              </w:rPr>
            </w:pPr>
          </w:p>
        </w:tc>
        <w:tc>
          <w:tcPr>
            <w:tcW w:w="1136" w:type="pct"/>
          </w:tcPr>
          <w:p w:rsidR="00934690" w:rsidRPr="00934690" w:rsidRDefault="00934690" w:rsidP="00F96634">
            <w:pPr>
              <w:bidi/>
              <w:spacing w:line="300" w:lineRule="exact"/>
              <w:rPr>
                <w:rFonts w:ascii="Arabic Typesetting" w:hAnsi="Arabic Typesetting" w:cs="Arabic Typesetting"/>
                <w:sz w:val="28"/>
                <w:szCs w:val="28"/>
                <w:u w:val="single"/>
              </w:rPr>
            </w:pPr>
          </w:p>
        </w:tc>
        <w:tc>
          <w:tcPr>
            <w:tcW w:w="1134" w:type="pct"/>
          </w:tcPr>
          <w:p w:rsidR="00934690" w:rsidRPr="00934690" w:rsidRDefault="00934690" w:rsidP="00F96634">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تحسين مستوى الأمن والسلامة بين مبنى</w:t>
            </w:r>
            <w:r w:rsidRPr="00934690">
              <w:rPr>
                <w:rFonts w:ascii="Arabic Typesetting" w:hAnsi="Arabic Typesetting" w:cs="Arabic Typesetting"/>
                <w:sz w:val="28"/>
                <w:szCs w:val="28"/>
                <w:lang w:bidi="ar-EG"/>
              </w:rPr>
              <w:t xml:space="preserve"> </w:t>
            </w:r>
            <w:proofErr w:type="spellStart"/>
            <w:r w:rsidRPr="00934690">
              <w:rPr>
                <w:rFonts w:ascii="Arabic Typesetting" w:hAnsi="Arabic Typesetting" w:cs="Arabic Typesetting"/>
                <w:sz w:val="28"/>
                <w:szCs w:val="28"/>
                <w:rtl/>
                <w:lang w:bidi="ar-EG"/>
              </w:rPr>
              <w:t>بودنهاوزن</w:t>
            </w:r>
            <w:proofErr w:type="spellEnd"/>
            <w:r w:rsidRPr="00934690">
              <w:rPr>
                <w:rFonts w:ascii="Arabic Typesetting" w:hAnsi="Arabic Typesetting" w:cs="Arabic Typesetting"/>
                <w:sz w:val="28"/>
                <w:szCs w:val="28"/>
                <w:lang w:bidi="ar-EG"/>
              </w:rPr>
              <w:t xml:space="preserve"> </w:t>
            </w:r>
            <w:r w:rsidRPr="00934690">
              <w:rPr>
                <w:rFonts w:ascii="Arabic Typesetting" w:hAnsi="Arabic Typesetting" w:cs="Arabic Typesetting"/>
                <w:sz w:val="28"/>
                <w:szCs w:val="28"/>
                <w:rtl/>
                <w:lang w:bidi="ar-EG"/>
              </w:rPr>
              <w:t>الأول</w:t>
            </w:r>
            <w:r w:rsidRPr="00934690">
              <w:rPr>
                <w:rFonts w:ascii="Arabic Typesetting" w:hAnsi="Arabic Typesetting" w:cs="Arabic Typesetting"/>
                <w:sz w:val="28"/>
                <w:szCs w:val="28"/>
                <w:lang w:bidi="ar-EG"/>
              </w:rPr>
              <w:t xml:space="preserve"> </w:t>
            </w:r>
            <w:r w:rsidRPr="00934690">
              <w:rPr>
                <w:rFonts w:ascii="Arabic Typesetting" w:hAnsi="Arabic Typesetting" w:cs="Arabic Typesetting"/>
                <w:sz w:val="28"/>
                <w:szCs w:val="28"/>
                <w:rtl/>
                <w:lang w:bidi="ar-EG"/>
              </w:rPr>
              <w:t>ومبنى</w:t>
            </w:r>
            <w:r w:rsidRPr="00934690">
              <w:rPr>
                <w:rFonts w:ascii="Arabic Typesetting" w:hAnsi="Arabic Typesetting" w:cs="Arabic Typesetting"/>
                <w:sz w:val="28"/>
                <w:szCs w:val="28"/>
                <w:lang w:bidi="ar-EG"/>
              </w:rPr>
              <w:t xml:space="preserve"> </w:t>
            </w:r>
            <w:proofErr w:type="spellStart"/>
            <w:r w:rsidRPr="00934690">
              <w:rPr>
                <w:rFonts w:ascii="Arabic Typesetting" w:hAnsi="Arabic Typesetting" w:cs="Arabic Typesetting"/>
                <w:sz w:val="28"/>
                <w:szCs w:val="28"/>
                <w:rtl/>
                <w:lang w:bidi="ar-EG"/>
              </w:rPr>
              <w:t>بودنهاوزن</w:t>
            </w:r>
            <w:proofErr w:type="spellEnd"/>
            <w:r w:rsidRPr="00934690">
              <w:rPr>
                <w:rFonts w:ascii="Arabic Typesetting" w:hAnsi="Arabic Typesetting" w:cs="Arabic Typesetting"/>
                <w:sz w:val="28"/>
                <w:szCs w:val="28"/>
                <w:lang w:bidi="ar-EG"/>
              </w:rPr>
              <w:t xml:space="preserve"> </w:t>
            </w:r>
            <w:r w:rsidRPr="00934690">
              <w:rPr>
                <w:rFonts w:ascii="Arabic Typesetting" w:hAnsi="Arabic Typesetting" w:cs="Arabic Typesetting"/>
                <w:sz w:val="28"/>
                <w:szCs w:val="28"/>
                <w:rtl/>
                <w:lang w:bidi="ar-EG"/>
              </w:rPr>
              <w:t>الثاني</w:t>
            </w:r>
          </w:p>
        </w:tc>
        <w:tc>
          <w:tcPr>
            <w:tcW w:w="1134" w:type="pct"/>
          </w:tcPr>
          <w:p w:rsidR="00934690" w:rsidRPr="00934690" w:rsidRDefault="00934690" w:rsidP="00F96634">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تحسين مستوى الأمن والسلامة بين مبنى</w:t>
            </w:r>
            <w:r w:rsidRPr="00934690">
              <w:rPr>
                <w:rFonts w:ascii="Arabic Typesetting" w:hAnsi="Arabic Typesetting" w:cs="Arabic Typesetting"/>
                <w:sz w:val="28"/>
                <w:szCs w:val="28"/>
                <w:lang w:bidi="ar-EG"/>
              </w:rPr>
              <w:t xml:space="preserve"> </w:t>
            </w:r>
            <w:proofErr w:type="spellStart"/>
            <w:r w:rsidRPr="00934690">
              <w:rPr>
                <w:rFonts w:ascii="Arabic Typesetting" w:hAnsi="Arabic Typesetting" w:cs="Arabic Typesetting"/>
                <w:sz w:val="28"/>
                <w:szCs w:val="28"/>
                <w:rtl/>
                <w:lang w:bidi="ar-EG"/>
              </w:rPr>
              <w:t>بودنهاوزن</w:t>
            </w:r>
            <w:proofErr w:type="spellEnd"/>
            <w:r w:rsidRPr="00934690">
              <w:rPr>
                <w:rFonts w:ascii="Arabic Typesetting" w:hAnsi="Arabic Typesetting" w:cs="Arabic Typesetting"/>
                <w:sz w:val="28"/>
                <w:szCs w:val="28"/>
                <w:lang w:bidi="ar-EG"/>
              </w:rPr>
              <w:t xml:space="preserve"> </w:t>
            </w:r>
            <w:r w:rsidRPr="00934690">
              <w:rPr>
                <w:rFonts w:ascii="Arabic Typesetting" w:hAnsi="Arabic Typesetting" w:cs="Arabic Typesetting"/>
                <w:sz w:val="28"/>
                <w:szCs w:val="28"/>
                <w:rtl/>
                <w:lang w:bidi="ar-EG"/>
              </w:rPr>
              <w:t>الأول</w:t>
            </w:r>
            <w:r w:rsidRPr="00934690">
              <w:rPr>
                <w:rFonts w:ascii="Arabic Typesetting" w:hAnsi="Arabic Typesetting" w:cs="Arabic Typesetting"/>
                <w:sz w:val="28"/>
                <w:szCs w:val="28"/>
                <w:lang w:bidi="ar-EG"/>
              </w:rPr>
              <w:t xml:space="preserve"> </w:t>
            </w:r>
            <w:r w:rsidRPr="00934690">
              <w:rPr>
                <w:rFonts w:ascii="Arabic Typesetting" w:hAnsi="Arabic Typesetting" w:cs="Arabic Typesetting"/>
                <w:sz w:val="28"/>
                <w:szCs w:val="28"/>
                <w:rtl/>
                <w:lang w:bidi="ar-EG"/>
              </w:rPr>
              <w:t>ومبنى</w:t>
            </w:r>
            <w:r w:rsidRPr="00934690">
              <w:rPr>
                <w:rFonts w:ascii="Arabic Typesetting" w:hAnsi="Arabic Typesetting" w:cs="Arabic Typesetting"/>
                <w:sz w:val="28"/>
                <w:szCs w:val="28"/>
                <w:lang w:bidi="ar-EG"/>
              </w:rPr>
              <w:t xml:space="preserve"> </w:t>
            </w:r>
            <w:proofErr w:type="spellStart"/>
            <w:r w:rsidRPr="00934690">
              <w:rPr>
                <w:rFonts w:ascii="Arabic Typesetting" w:hAnsi="Arabic Typesetting" w:cs="Arabic Typesetting"/>
                <w:sz w:val="28"/>
                <w:szCs w:val="28"/>
                <w:rtl/>
                <w:lang w:bidi="ar-EG"/>
              </w:rPr>
              <w:t>بودنهاوزن</w:t>
            </w:r>
            <w:proofErr w:type="spellEnd"/>
            <w:r w:rsidRPr="00934690">
              <w:rPr>
                <w:rFonts w:ascii="Arabic Typesetting" w:hAnsi="Arabic Typesetting" w:cs="Arabic Typesetting"/>
                <w:sz w:val="28"/>
                <w:szCs w:val="28"/>
                <w:lang w:bidi="ar-EG"/>
              </w:rPr>
              <w:t xml:space="preserve"> </w:t>
            </w:r>
            <w:r w:rsidRPr="00934690">
              <w:rPr>
                <w:rFonts w:ascii="Arabic Typesetting" w:hAnsi="Arabic Typesetting" w:cs="Arabic Typesetting"/>
                <w:sz w:val="28"/>
                <w:szCs w:val="28"/>
                <w:rtl/>
                <w:lang w:bidi="ar-EG"/>
              </w:rPr>
              <w:t>الثاني</w:t>
            </w:r>
          </w:p>
        </w:tc>
      </w:tr>
      <w:tr w:rsidR="00934690" w:rsidRPr="00080105" w:rsidTr="007147DB">
        <w:trPr>
          <w:jc w:val="center"/>
        </w:trPr>
        <w:tc>
          <w:tcPr>
            <w:tcW w:w="1596" w:type="pct"/>
            <w:tcMar>
              <w:top w:w="113" w:type="dxa"/>
              <w:bottom w:w="113" w:type="dxa"/>
            </w:tcMar>
          </w:tcPr>
          <w:p w:rsidR="00934690" w:rsidRPr="00934690" w:rsidRDefault="00934690" w:rsidP="00F96634">
            <w:pPr>
              <w:bidi/>
              <w:spacing w:line="300" w:lineRule="exact"/>
              <w:rPr>
                <w:rFonts w:ascii="Arabic Typesetting" w:hAnsi="Arabic Typesetting" w:cs="Arabic Typesetting"/>
                <w:sz w:val="28"/>
                <w:szCs w:val="28"/>
                <w:u w:val="single"/>
              </w:rPr>
            </w:pPr>
          </w:p>
        </w:tc>
        <w:tc>
          <w:tcPr>
            <w:tcW w:w="1136" w:type="pct"/>
          </w:tcPr>
          <w:p w:rsidR="00934690" w:rsidRPr="00934690" w:rsidRDefault="00934690" w:rsidP="00F96634">
            <w:pPr>
              <w:bidi/>
              <w:spacing w:line="300" w:lineRule="exact"/>
              <w:rPr>
                <w:rFonts w:ascii="Arabic Typesetting" w:hAnsi="Arabic Typesetting" w:cs="Arabic Typesetting"/>
                <w:sz w:val="28"/>
                <w:szCs w:val="28"/>
                <w:u w:val="single"/>
              </w:rPr>
            </w:pPr>
          </w:p>
        </w:tc>
        <w:tc>
          <w:tcPr>
            <w:tcW w:w="1134" w:type="pct"/>
          </w:tcPr>
          <w:p w:rsidR="00934690" w:rsidRPr="00934690" w:rsidRDefault="00934690" w:rsidP="00F96634">
            <w:pPr>
              <w:bidi/>
              <w:spacing w:line="300" w:lineRule="exact"/>
              <w:rPr>
                <w:rFonts w:ascii="Arabic Typesetting" w:hAnsi="Arabic Typesetting" w:cs="Arabic Typesetting"/>
                <w:sz w:val="28"/>
                <w:szCs w:val="28"/>
                <w:rtl/>
                <w:lang w:bidi="ar-EG"/>
              </w:rPr>
            </w:pPr>
          </w:p>
        </w:tc>
        <w:tc>
          <w:tcPr>
            <w:tcW w:w="1134" w:type="pct"/>
          </w:tcPr>
          <w:p w:rsidR="00934690" w:rsidRPr="00934690" w:rsidRDefault="00934690" w:rsidP="00934690">
            <w:pPr>
              <w:bidi/>
              <w:spacing w:line="300" w:lineRule="exact"/>
              <w:rPr>
                <w:rFonts w:ascii="Arabic Typesetting" w:hAnsi="Arabic Typesetting" w:cs="Arabic Typesetting"/>
                <w:sz w:val="28"/>
                <w:szCs w:val="28"/>
                <w:rtl/>
                <w:lang w:bidi="ar-EG"/>
              </w:rPr>
            </w:pPr>
            <w:r w:rsidRPr="00934690">
              <w:rPr>
                <w:rFonts w:ascii="Arabic Typesetting" w:hAnsi="Arabic Typesetting" w:cs="Arabic Typesetting"/>
                <w:sz w:val="28"/>
                <w:szCs w:val="28"/>
                <w:rtl/>
                <w:lang w:bidi="ar-EG"/>
              </w:rPr>
              <w:t xml:space="preserve">تحسين مستوى الأمن والسلامة بين </w:t>
            </w:r>
            <w:r>
              <w:rPr>
                <w:rFonts w:ascii="Arabic Typesetting" w:hAnsi="Arabic Typesetting" w:cs="Arabic Typesetting" w:hint="cs"/>
                <w:sz w:val="28"/>
                <w:szCs w:val="28"/>
                <w:rtl/>
                <w:lang w:bidi="ar-EG"/>
              </w:rPr>
              <w:t xml:space="preserve">بين مناطق مبنى </w:t>
            </w:r>
            <w:proofErr w:type="spellStart"/>
            <w:r>
              <w:rPr>
                <w:rFonts w:ascii="Arabic Typesetting" w:hAnsi="Arabic Typesetting" w:cs="Arabic Typesetting" w:hint="cs"/>
                <w:sz w:val="28"/>
                <w:szCs w:val="28"/>
                <w:rtl/>
                <w:lang w:bidi="ar-EG"/>
              </w:rPr>
              <w:t>أرباد</w:t>
            </w:r>
            <w:proofErr w:type="spellEnd"/>
            <w:r>
              <w:rPr>
                <w:rFonts w:ascii="Arabic Typesetting" w:hAnsi="Arabic Typesetting" w:cs="Arabic Typesetting" w:hint="cs"/>
                <w:sz w:val="28"/>
                <w:szCs w:val="28"/>
                <w:rtl/>
                <w:lang w:bidi="ar-EG"/>
              </w:rPr>
              <w:t xml:space="preserve"> </w:t>
            </w:r>
            <w:proofErr w:type="spellStart"/>
            <w:r>
              <w:rPr>
                <w:rFonts w:ascii="Arabic Typesetting" w:hAnsi="Arabic Typesetting" w:cs="Arabic Typesetting" w:hint="cs"/>
                <w:sz w:val="28"/>
                <w:szCs w:val="28"/>
                <w:rtl/>
                <w:lang w:bidi="ar-EG"/>
              </w:rPr>
              <w:t>بوكش</w:t>
            </w:r>
            <w:proofErr w:type="spellEnd"/>
          </w:p>
        </w:tc>
      </w:tr>
    </w:tbl>
    <w:p w:rsidR="00ED2EEA" w:rsidRPr="00080105" w:rsidRDefault="00ED2EEA" w:rsidP="00ED2EEA">
      <w:pPr>
        <w:bidi/>
        <w:spacing w:before="120" w:after="120"/>
        <w:rPr>
          <w:rFonts w:ascii="Arabic Typesetting" w:hAnsi="Arabic Typesetting" w:cs="Arabic Typesetting"/>
          <w:sz w:val="34"/>
          <w:szCs w:val="34"/>
          <w:lang w:bidi="ar-EG"/>
        </w:rPr>
      </w:pPr>
      <w:r w:rsidRPr="00080105">
        <w:rPr>
          <w:rFonts w:ascii="Arabic Typesetting" w:hAnsi="Arabic Typesetting" w:cs="Arabic Typesetting"/>
          <w:color w:val="000000"/>
          <w:sz w:val="34"/>
          <w:szCs w:val="34"/>
          <w:rtl/>
          <w:lang w:bidi="ar-EG"/>
        </w:rPr>
        <w:t>استخدام الموارد</w:t>
      </w:r>
      <w:r w:rsidRPr="00F96634">
        <w:rPr>
          <w:rStyle w:val="FootnoteReference"/>
          <w:rFonts w:ascii="Arabic Typesetting" w:hAnsi="Arabic Typesetting" w:cs="Arabic Typesetting"/>
          <w:color w:val="000000"/>
          <w:sz w:val="28"/>
          <w:szCs w:val="28"/>
          <w:rtl/>
          <w:lang w:bidi="ar-EG"/>
        </w:rPr>
        <w:footnoteReference w:id="182"/>
      </w:r>
    </w:p>
    <w:p w:rsidR="00F96634" w:rsidRPr="00080105" w:rsidRDefault="00F96634" w:rsidP="00F96634">
      <w:pPr>
        <w:keepNext/>
        <w:keepLines/>
        <w:tabs>
          <w:tab w:val="left" w:pos="3261"/>
        </w:tabs>
        <w:autoSpaceDE w:val="0"/>
        <w:autoSpaceDN w:val="0"/>
        <w:bidi/>
        <w:adjustRightInd w:val="0"/>
        <w:spacing w:line="340" w:lineRule="exact"/>
        <w:jc w:val="center"/>
        <w:rPr>
          <w:rFonts w:ascii="Arabic Typesetting" w:hAnsi="Arabic Typesetting" w:cs="Arabic Typesetting"/>
          <w:sz w:val="34"/>
          <w:szCs w:val="34"/>
          <w:rtl/>
          <w:lang w:bidi="ar-EG"/>
        </w:rPr>
      </w:pPr>
      <w:r w:rsidRPr="00080105">
        <w:rPr>
          <w:rFonts w:ascii="Arabic Typesetting" w:hAnsi="Arabic Typesetting" w:cs="Arabic Typesetting"/>
          <w:bCs/>
          <w:sz w:val="34"/>
          <w:szCs w:val="34"/>
          <w:rtl/>
          <w:lang w:bidi="ar-EG"/>
        </w:rPr>
        <w:t>استخدام ميزانية المشروع</w:t>
      </w:r>
    </w:p>
    <w:p w:rsidR="00F96634" w:rsidRPr="00080105" w:rsidRDefault="00F96634" w:rsidP="00DD6B26">
      <w:pPr>
        <w:keepNext/>
        <w:keepLines/>
        <w:tabs>
          <w:tab w:val="left" w:pos="3261"/>
        </w:tabs>
        <w:autoSpaceDE w:val="0"/>
        <w:autoSpaceDN w:val="0"/>
        <w:bidi/>
        <w:adjustRightInd w:val="0"/>
        <w:spacing w:after="120" w:line="340" w:lineRule="exact"/>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39"/>
        <w:gridCol w:w="1759"/>
        <w:gridCol w:w="1711"/>
        <w:gridCol w:w="1225"/>
        <w:gridCol w:w="1564"/>
      </w:tblGrid>
      <w:tr w:rsidR="00F96634" w:rsidRPr="00080105" w:rsidTr="00934690">
        <w:trPr>
          <w:trHeight w:val="410"/>
        </w:trPr>
        <w:tc>
          <w:tcPr>
            <w:tcW w:w="1598"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اسم المشروع</w:t>
            </w:r>
          </w:p>
        </w:tc>
        <w:tc>
          <w:tcPr>
            <w:tcW w:w="956"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930"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p>
        </w:tc>
        <w:tc>
          <w:tcPr>
            <w:tcW w:w="666"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c>
          <w:tcPr>
            <w:tcW w:w="850"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معدل التقدم المحرز في تنفيذ المشروع</w:t>
            </w:r>
          </w:p>
        </w:tc>
      </w:tr>
      <w:tr w:rsidR="00934690" w:rsidRPr="00080105" w:rsidTr="00F96634">
        <w:trPr>
          <w:trHeight w:val="389"/>
        </w:trPr>
        <w:tc>
          <w:tcPr>
            <w:tcW w:w="1598" w:type="pct"/>
            <w:vAlign w:val="center"/>
          </w:tcPr>
          <w:p w:rsidR="00934690" w:rsidRPr="00080105" w:rsidRDefault="00934690" w:rsidP="00DD6B26">
            <w:pPr>
              <w:autoSpaceDE w:val="0"/>
              <w:autoSpaceDN w:val="0"/>
              <w:bidi/>
              <w:adjustRightInd w:val="0"/>
              <w:spacing w:before="40" w:after="40" w:line="260" w:lineRule="exact"/>
              <w:jc w:val="center"/>
              <w:rPr>
                <w:rFonts w:ascii="Arabic Typesetting" w:hAnsi="Arabic Typesetting" w:cs="Arabic Typesetting"/>
                <w:sz w:val="28"/>
                <w:szCs w:val="28"/>
                <w:rtl/>
              </w:rPr>
            </w:pPr>
            <w:r w:rsidRPr="00080105">
              <w:rPr>
                <w:rFonts w:ascii="Arabic Typesetting" w:hAnsi="Arabic Typesetting" w:cs="Arabic Typesetting"/>
                <w:sz w:val="28"/>
                <w:szCs w:val="28"/>
                <w:rtl/>
                <w:lang w:bidi="ar-EG"/>
              </w:rPr>
              <w:t>تدابير السلامة والحماية من الحريق</w:t>
            </w:r>
          </w:p>
        </w:tc>
        <w:tc>
          <w:tcPr>
            <w:tcW w:w="956" w:type="pct"/>
            <w:vAlign w:val="center"/>
          </w:tcPr>
          <w:p w:rsidR="00934690" w:rsidRPr="0004498F" w:rsidRDefault="00934690" w:rsidP="00DD6B26">
            <w:pPr>
              <w:autoSpaceDE w:val="0"/>
              <w:autoSpaceDN w:val="0"/>
              <w:adjustRightInd w:val="0"/>
              <w:spacing w:before="40" w:after="40"/>
              <w:jc w:val="center"/>
              <w:rPr>
                <w:sz w:val="16"/>
                <w:szCs w:val="16"/>
                <w:lang w:val="fr-CH"/>
              </w:rPr>
            </w:pPr>
            <w:r w:rsidRPr="0004498F">
              <w:rPr>
                <w:sz w:val="16"/>
                <w:szCs w:val="16"/>
                <w:lang w:val="fr-CH"/>
              </w:rPr>
              <w:t>400,000</w:t>
            </w:r>
          </w:p>
        </w:tc>
        <w:tc>
          <w:tcPr>
            <w:tcW w:w="930" w:type="pct"/>
            <w:vAlign w:val="center"/>
          </w:tcPr>
          <w:p w:rsidR="00934690" w:rsidRPr="0004498F" w:rsidRDefault="00934690" w:rsidP="00DD6B26">
            <w:pPr>
              <w:autoSpaceDE w:val="0"/>
              <w:autoSpaceDN w:val="0"/>
              <w:adjustRightInd w:val="0"/>
              <w:spacing w:before="40" w:after="40"/>
              <w:jc w:val="center"/>
              <w:rPr>
                <w:sz w:val="16"/>
                <w:szCs w:val="16"/>
                <w:lang w:val="fr-CH"/>
              </w:rPr>
            </w:pPr>
            <w:r>
              <w:rPr>
                <w:sz w:val="16"/>
                <w:szCs w:val="16"/>
                <w:lang w:val="fr-CH"/>
              </w:rPr>
              <w:t>122,587</w:t>
            </w:r>
          </w:p>
        </w:tc>
        <w:tc>
          <w:tcPr>
            <w:tcW w:w="666" w:type="pct"/>
            <w:vAlign w:val="center"/>
          </w:tcPr>
          <w:p w:rsidR="00934690" w:rsidRPr="0004498F" w:rsidRDefault="00934690" w:rsidP="00DD6B26">
            <w:pPr>
              <w:autoSpaceDE w:val="0"/>
              <w:autoSpaceDN w:val="0"/>
              <w:adjustRightInd w:val="0"/>
              <w:spacing w:before="40" w:after="40"/>
              <w:jc w:val="center"/>
              <w:rPr>
                <w:sz w:val="16"/>
                <w:szCs w:val="16"/>
                <w:lang w:val="fr-CH"/>
              </w:rPr>
            </w:pPr>
            <w:r>
              <w:rPr>
                <w:sz w:val="16"/>
                <w:szCs w:val="16"/>
                <w:lang w:val="fr-CH"/>
              </w:rPr>
              <w:t>31%</w:t>
            </w:r>
          </w:p>
        </w:tc>
        <w:tc>
          <w:tcPr>
            <w:tcW w:w="850" w:type="pct"/>
            <w:vAlign w:val="center"/>
          </w:tcPr>
          <w:p w:rsidR="00934690" w:rsidRPr="0004498F" w:rsidRDefault="00934690" w:rsidP="00DD6B26">
            <w:pPr>
              <w:autoSpaceDE w:val="0"/>
              <w:autoSpaceDN w:val="0"/>
              <w:adjustRightInd w:val="0"/>
              <w:spacing w:before="40" w:after="40"/>
              <w:jc w:val="center"/>
              <w:rPr>
                <w:sz w:val="16"/>
                <w:szCs w:val="16"/>
                <w:lang w:val="fr-CH"/>
              </w:rPr>
            </w:pPr>
            <w:r>
              <w:rPr>
                <w:sz w:val="16"/>
                <w:szCs w:val="16"/>
                <w:lang w:val="fr-CH"/>
              </w:rPr>
              <w:t>40%</w:t>
            </w:r>
          </w:p>
        </w:tc>
      </w:tr>
    </w:tbl>
    <w:p w:rsidR="00F96634" w:rsidRPr="00080105" w:rsidRDefault="00F96634" w:rsidP="00DD6B26">
      <w:pPr>
        <w:keepNext/>
        <w:pageBreakBefore/>
        <w:tabs>
          <w:tab w:val="left" w:pos="3261"/>
        </w:tabs>
        <w:autoSpaceDE w:val="0"/>
        <w:autoSpaceDN w:val="0"/>
        <w:bidi/>
        <w:adjustRightInd w:val="0"/>
        <w:spacing w:before="120" w:line="340" w:lineRule="exact"/>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lastRenderedPageBreak/>
        <w:t>استخدام ميزانية المشروع (حسب المعالم)</w:t>
      </w:r>
    </w:p>
    <w:p w:rsidR="00F96634" w:rsidRPr="00080105" w:rsidRDefault="00F96634" w:rsidP="00DD6B26">
      <w:pPr>
        <w:keepNext/>
        <w:tabs>
          <w:tab w:val="left" w:pos="3261"/>
        </w:tabs>
        <w:autoSpaceDE w:val="0"/>
        <w:autoSpaceDN w:val="0"/>
        <w:bidi/>
        <w:adjustRightInd w:val="0"/>
        <w:spacing w:after="120" w:line="340" w:lineRule="exact"/>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tblpPr w:leftFromText="180" w:rightFromText="180" w:vertAnchor="text" w:horzAnchor="margin" w:tblpX="69" w:tblpY="17"/>
        <w:bidiVisual/>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5"/>
        <w:gridCol w:w="1387"/>
        <w:gridCol w:w="1589"/>
        <w:gridCol w:w="1562"/>
        <w:gridCol w:w="1575"/>
      </w:tblGrid>
      <w:tr w:rsidR="00F96634" w:rsidRPr="00080105" w:rsidTr="00DD6B26">
        <w:trPr>
          <w:cantSplit/>
          <w:trHeight w:val="410"/>
        </w:trPr>
        <w:tc>
          <w:tcPr>
            <w:tcW w:w="1677" w:type="pct"/>
            <w:shd w:val="clear" w:color="auto" w:fill="C6D9F1" w:themeFill="text2" w:themeFillTint="33"/>
            <w:vAlign w:val="center"/>
          </w:tcPr>
          <w:p w:rsidR="00F96634" w:rsidRPr="00080105" w:rsidRDefault="00F96634" w:rsidP="00DD6B26">
            <w:pPr>
              <w:keepNext/>
              <w:autoSpaceDE w:val="0"/>
              <w:autoSpaceDN w:val="0"/>
              <w:bidi/>
              <w:adjustRightInd w:val="0"/>
              <w:spacing w:before="40" w:after="40"/>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المعالم الرئيسية</w:t>
            </w:r>
          </w:p>
        </w:tc>
        <w:tc>
          <w:tcPr>
            <w:tcW w:w="754" w:type="pct"/>
            <w:shd w:val="clear" w:color="auto" w:fill="C6D9F1" w:themeFill="text2" w:themeFillTint="33"/>
            <w:vAlign w:val="center"/>
          </w:tcPr>
          <w:p w:rsidR="00F96634" w:rsidRPr="00080105" w:rsidRDefault="00F96634" w:rsidP="00DD6B26">
            <w:pPr>
              <w:keepNext/>
              <w:autoSpaceDE w:val="0"/>
              <w:autoSpaceDN w:val="0"/>
              <w:bidi/>
              <w:adjustRightInd w:val="0"/>
              <w:spacing w:before="40" w:after="40"/>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p>
        </w:tc>
        <w:tc>
          <w:tcPr>
            <w:tcW w:w="864" w:type="pct"/>
            <w:shd w:val="clear" w:color="auto" w:fill="C6D9F1" w:themeFill="text2" w:themeFillTint="33"/>
            <w:vAlign w:val="center"/>
          </w:tcPr>
          <w:p w:rsidR="00F96634" w:rsidRPr="00080105" w:rsidRDefault="00F96634" w:rsidP="00DD6B26">
            <w:pPr>
              <w:keepNext/>
              <w:autoSpaceDE w:val="0"/>
              <w:autoSpaceDN w:val="0"/>
              <w:bidi/>
              <w:adjustRightInd w:val="0"/>
              <w:spacing w:before="40" w:after="40"/>
              <w:ind w:left="-108" w:right="-106"/>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p>
        </w:tc>
        <w:tc>
          <w:tcPr>
            <w:tcW w:w="849" w:type="pct"/>
            <w:shd w:val="clear" w:color="auto" w:fill="C6D9F1" w:themeFill="text2" w:themeFillTint="33"/>
            <w:vAlign w:val="center"/>
          </w:tcPr>
          <w:p w:rsidR="00F96634" w:rsidRPr="00080105" w:rsidRDefault="00F96634" w:rsidP="00DD6B26">
            <w:pPr>
              <w:keepNext/>
              <w:autoSpaceDE w:val="0"/>
              <w:autoSpaceDN w:val="0"/>
              <w:bidi/>
              <w:adjustRightInd w:val="0"/>
              <w:spacing w:before="40" w:after="40"/>
              <w:ind w:left="-109"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c>
          <w:tcPr>
            <w:tcW w:w="856" w:type="pct"/>
            <w:shd w:val="clear" w:color="auto" w:fill="C6D9F1" w:themeFill="text2" w:themeFillTint="33"/>
            <w:vAlign w:val="center"/>
          </w:tcPr>
          <w:p w:rsidR="00F96634" w:rsidRPr="00080105" w:rsidRDefault="00F96634" w:rsidP="00DD6B26">
            <w:pPr>
              <w:keepNext/>
              <w:autoSpaceDE w:val="0"/>
              <w:autoSpaceDN w:val="0"/>
              <w:bidi/>
              <w:adjustRightInd w:val="0"/>
              <w:spacing w:before="40" w:after="40"/>
              <w:ind w:left="-109" w:right="-73" w:firstLine="1"/>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معدل التقدم المحرز في تنفيذ المشروع حسب المعالم</w:t>
            </w:r>
          </w:p>
        </w:tc>
      </w:tr>
      <w:tr w:rsidR="00DD6B26" w:rsidRPr="00080105" w:rsidTr="00DD6B26">
        <w:trPr>
          <w:cantSplit/>
          <w:trHeight w:val="389"/>
        </w:trPr>
        <w:tc>
          <w:tcPr>
            <w:tcW w:w="1677" w:type="pct"/>
            <w:vAlign w:val="center"/>
          </w:tcPr>
          <w:p w:rsidR="00DD6B26" w:rsidRPr="00080105" w:rsidRDefault="00DD6B26" w:rsidP="00DD6B26">
            <w:pPr>
              <w:keepNext/>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الفصل بين المناطق في مبنى البراءات</w:t>
            </w:r>
          </w:p>
        </w:tc>
        <w:tc>
          <w:tcPr>
            <w:tcW w:w="754" w:type="pct"/>
            <w:vAlign w:val="center"/>
          </w:tcPr>
          <w:p w:rsidR="00DD6B26" w:rsidRPr="005158E3" w:rsidRDefault="00DD6B26" w:rsidP="00DD6B26">
            <w:pPr>
              <w:keepNext/>
              <w:autoSpaceDE w:val="0"/>
              <w:autoSpaceDN w:val="0"/>
              <w:adjustRightInd w:val="0"/>
              <w:spacing w:before="40" w:after="40"/>
              <w:jc w:val="center"/>
              <w:rPr>
                <w:sz w:val="16"/>
                <w:szCs w:val="16"/>
              </w:rPr>
            </w:pPr>
            <w:r w:rsidRPr="005158E3">
              <w:rPr>
                <w:sz w:val="16"/>
                <w:szCs w:val="16"/>
              </w:rPr>
              <w:t>45,000</w:t>
            </w:r>
          </w:p>
        </w:tc>
        <w:tc>
          <w:tcPr>
            <w:tcW w:w="864"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44,392</w:t>
            </w:r>
          </w:p>
        </w:tc>
        <w:tc>
          <w:tcPr>
            <w:tcW w:w="849"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98%</w:t>
            </w:r>
          </w:p>
        </w:tc>
        <w:tc>
          <w:tcPr>
            <w:tcW w:w="856"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100%</w:t>
            </w:r>
          </w:p>
        </w:tc>
      </w:tr>
      <w:tr w:rsidR="00DD6B26" w:rsidRPr="00080105" w:rsidTr="00DD6B26">
        <w:trPr>
          <w:cantSplit/>
          <w:trHeight w:val="389"/>
        </w:trPr>
        <w:tc>
          <w:tcPr>
            <w:tcW w:w="1677" w:type="pct"/>
            <w:vAlign w:val="center"/>
          </w:tcPr>
          <w:p w:rsidR="00DD6B26" w:rsidRPr="00080105" w:rsidRDefault="00DD6B26" w:rsidP="00DD6B26">
            <w:pPr>
              <w:keepNext/>
              <w:autoSpaceDE w:val="0"/>
              <w:autoSpaceDN w:val="0"/>
              <w:bidi/>
              <w:adjustRightInd w:val="0"/>
              <w:spacing w:before="40" w:after="40" w:line="260" w:lineRule="exact"/>
              <w:rPr>
                <w:rFonts w:ascii="Arabic Typesetting" w:hAnsi="Arabic Typesetting" w:cs="Arabic Typesetting"/>
                <w:sz w:val="28"/>
                <w:szCs w:val="28"/>
                <w:rtl/>
              </w:rPr>
            </w:pPr>
            <w:r w:rsidRPr="00080105">
              <w:rPr>
                <w:rFonts w:ascii="Arabic Typesetting" w:hAnsi="Arabic Typesetting" w:cs="Arabic Typesetting"/>
                <w:sz w:val="28"/>
                <w:szCs w:val="28"/>
                <w:rtl/>
                <w:lang w:bidi="ar-EG"/>
              </w:rPr>
              <w:t xml:space="preserve">تحسين تخطيط المساحة في منطقة الوفود </w:t>
            </w:r>
            <w:r w:rsidRPr="00080105">
              <w:rPr>
                <w:rFonts w:ascii="Arabic Typesetting" w:hAnsi="Arabic Typesetting" w:cs="Arabic Typesetting"/>
                <w:sz w:val="28"/>
                <w:szCs w:val="28"/>
                <w:lang w:bidi="ar-EG"/>
              </w:rPr>
              <w:t>AB -2</w:t>
            </w:r>
            <w:r w:rsidRPr="00080105">
              <w:rPr>
                <w:rFonts w:ascii="Arabic Typesetting" w:hAnsi="Arabic Typesetting" w:cs="Arabic Typesetting"/>
                <w:sz w:val="28"/>
                <w:szCs w:val="28"/>
                <w:rtl/>
                <w:lang w:bidi="ar-EG"/>
              </w:rPr>
              <w:t xml:space="preserve">/إنشاء غرفة ضغط في مهبط المصاعد في المنطقة </w:t>
            </w:r>
            <w:r w:rsidRPr="00080105">
              <w:rPr>
                <w:rFonts w:ascii="Arabic Typesetting" w:hAnsi="Arabic Typesetting" w:cs="Arabic Typesetting"/>
                <w:sz w:val="28"/>
                <w:szCs w:val="28"/>
                <w:lang w:bidi="ar-EG"/>
              </w:rPr>
              <w:t>AB -2</w:t>
            </w:r>
          </w:p>
        </w:tc>
        <w:tc>
          <w:tcPr>
            <w:tcW w:w="754" w:type="pct"/>
            <w:vAlign w:val="center"/>
          </w:tcPr>
          <w:p w:rsidR="00DD6B26" w:rsidRPr="005158E3" w:rsidRDefault="00DD6B26" w:rsidP="00DD6B26">
            <w:pPr>
              <w:keepNext/>
              <w:autoSpaceDE w:val="0"/>
              <w:autoSpaceDN w:val="0"/>
              <w:adjustRightInd w:val="0"/>
              <w:spacing w:before="40" w:after="40"/>
              <w:jc w:val="center"/>
              <w:rPr>
                <w:sz w:val="16"/>
                <w:szCs w:val="16"/>
              </w:rPr>
            </w:pPr>
            <w:r w:rsidRPr="005158E3">
              <w:rPr>
                <w:sz w:val="16"/>
                <w:szCs w:val="16"/>
              </w:rPr>
              <w:t>55,000</w:t>
            </w:r>
          </w:p>
        </w:tc>
        <w:tc>
          <w:tcPr>
            <w:tcW w:w="864"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78,195</w:t>
            </w:r>
          </w:p>
        </w:tc>
        <w:tc>
          <w:tcPr>
            <w:tcW w:w="849"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142%</w:t>
            </w:r>
          </w:p>
        </w:tc>
        <w:tc>
          <w:tcPr>
            <w:tcW w:w="856"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100%</w:t>
            </w:r>
          </w:p>
        </w:tc>
      </w:tr>
      <w:tr w:rsidR="00DD6B26" w:rsidRPr="00080105" w:rsidTr="00DD6B26">
        <w:trPr>
          <w:cantSplit/>
          <w:trHeight w:val="389"/>
        </w:trPr>
        <w:tc>
          <w:tcPr>
            <w:tcW w:w="1677" w:type="pct"/>
            <w:vAlign w:val="center"/>
          </w:tcPr>
          <w:p w:rsidR="00DD6B26" w:rsidRPr="00080105" w:rsidRDefault="00DD6B26" w:rsidP="00DD6B26">
            <w:pPr>
              <w:keepNext/>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 xml:space="preserve">الدراسة والمشروع بخصوص الفصل بين المناطق بين مبنى </w:t>
            </w:r>
            <w:proofErr w:type="spellStart"/>
            <w:r w:rsidRPr="00080105">
              <w:rPr>
                <w:rFonts w:ascii="Arabic Typesetting" w:hAnsi="Arabic Typesetting" w:cs="Arabic Typesetting"/>
                <w:sz w:val="28"/>
                <w:szCs w:val="28"/>
                <w:rtl/>
                <w:lang w:bidi="ar-EG"/>
              </w:rPr>
              <w:t>بودنهاوزن</w:t>
            </w:r>
            <w:proofErr w:type="spellEnd"/>
            <w:r w:rsidRPr="00080105">
              <w:rPr>
                <w:rFonts w:ascii="Arabic Typesetting" w:hAnsi="Arabic Typesetting" w:cs="Arabic Typesetting"/>
                <w:sz w:val="28"/>
                <w:szCs w:val="28"/>
                <w:rtl/>
                <w:lang w:bidi="ar-EG"/>
              </w:rPr>
              <w:t xml:space="preserve"> الأول ومبنى </w:t>
            </w:r>
            <w:proofErr w:type="spellStart"/>
            <w:r w:rsidRPr="00080105">
              <w:rPr>
                <w:rFonts w:ascii="Arabic Typesetting" w:hAnsi="Arabic Typesetting" w:cs="Arabic Typesetting"/>
                <w:sz w:val="28"/>
                <w:szCs w:val="28"/>
                <w:rtl/>
                <w:lang w:bidi="ar-EG"/>
              </w:rPr>
              <w:t>أرباد</w:t>
            </w:r>
            <w:proofErr w:type="spellEnd"/>
            <w:r w:rsidRPr="00080105">
              <w:rPr>
                <w:rFonts w:ascii="Arabic Typesetting" w:hAnsi="Arabic Typesetting" w:cs="Arabic Typesetting"/>
                <w:sz w:val="28"/>
                <w:szCs w:val="28"/>
                <w:rtl/>
                <w:lang w:bidi="ar-EG"/>
              </w:rPr>
              <w:t xml:space="preserve"> </w:t>
            </w:r>
            <w:proofErr w:type="spellStart"/>
            <w:r w:rsidRPr="00080105">
              <w:rPr>
                <w:rFonts w:ascii="Arabic Typesetting" w:hAnsi="Arabic Typesetting" w:cs="Arabic Typesetting"/>
                <w:sz w:val="28"/>
                <w:szCs w:val="28"/>
                <w:rtl/>
                <w:lang w:bidi="ar-EG"/>
              </w:rPr>
              <w:t>بوكش</w:t>
            </w:r>
            <w:proofErr w:type="spellEnd"/>
          </w:p>
        </w:tc>
        <w:tc>
          <w:tcPr>
            <w:tcW w:w="754" w:type="pct"/>
            <w:vAlign w:val="center"/>
          </w:tcPr>
          <w:p w:rsidR="00DD6B26" w:rsidRPr="005158E3" w:rsidRDefault="00DD6B26" w:rsidP="00DD6B26">
            <w:pPr>
              <w:keepNext/>
              <w:autoSpaceDE w:val="0"/>
              <w:autoSpaceDN w:val="0"/>
              <w:adjustRightInd w:val="0"/>
              <w:spacing w:before="40" w:after="40"/>
              <w:jc w:val="center"/>
              <w:rPr>
                <w:sz w:val="16"/>
                <w:szCs w:val="16"/>
              </w:rPr>
            </w:pPr>
            <w:r w:rsidRPr="005158E3">
              <w:rPr>
                <w:sz w:val="16"/>
                <w:szCs w:val="16"/>
              </w:rPr>
              <w:t>175,000</w:t>
            </w:r>
          </w:p>
        </w:tc>
        <w:tc>
          <w:tcPr>
            <w:tcW w:w="864"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0</w:t>
            </w:r>
          </w:p>
        </w:tc>
        <w:tc>
          <w:tcPr>
            <w:tcW w:w="849"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0%</w:t>
            </w:r>
          </w:p>
        </w:tc>
        <w:tc>
          <w:tcPr>
            <w:tcW w:w="856"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10%</w:t>
            </w:r>
          </w:p>
        </w:tc>
      </w:tr>
      <w:tr w:rsidR="00DD6B26" w:rsidRPr="00080105" w:rsidTr="00DD6B26">
        <w:trPr>
          <w:cantSplit/>
          <w:trHeight w:val="389"/>
        </w:trPr>
        <w:tc>
          <w:tcPr>
            <w:tcW w:w="1677" w:type="pct"/>
            <w:vAlign w:val="center"/>
          </w:tcPr>
          <w:p w:rsidR="00DD6B26" w:rsidRPr="00080105" w:rsidRDefault="00DD6B26" w:rsidP="00DD6B26">
            <w:pPr>
              <w:keepNext/>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 xml:space="preserve">المشروع المتعلق بالفصل بين المناطق بين مبنى </w:t>
            </w:r>
            <w:proofErr w:type="spellStart"/>
            <w:r w:rsidRPr="00080105">
              <w:rPr>
                <w:rFonts w:ascii="Arabic Typesetting" w:hAnsi="Arabic Typesetting" w:cs="Arabic Typesetting"/>
                <w:sz w:val="28"/>
                <w:szCs w:val="28"/>
                <w:rtl/>
                <w:lang w:bidi="ar-EG"/>
              </w:rPr>
              <w:t>بودنهاوزن</w:t>
            </w:r>
            <w:proofErr w:type="spellEnd"/>
            <w:r w:rsidRPr="00080105">
              <w:rPr>
                <w:rFonts w:ascii="Arabic Typesetting" w:hAnsi="Arabic Typesetting" w:cs="Arabic Typesetting"/>
                <w:sz w:val="28"/>
                <w:szCs w:val="28"/>
                <w:rtl/>
                <w:lang w:bidi="ar-EG"/>
              </w:rPr>
              <w:t xml:space="preserve"> الأول ومبنى </w:t>
            </w:r>
            <w:proofErr w:type="spellStart"/>
            <w:r w:rsidRPr="00080105">
              <w:rPr>
                <w:rFonts w:ascii="Arabic Typesetting" w:hAnsi="Arabic Typesetting" w:cs="Arabic Typesetting"/>
                <w:sz w:val="28"/>
                <w:szCs w:val="28"/>
                <w:rtl/>
                <w:lang w:bidi="ar-EG"/>
              </w:rPr>
              <w:t>بودنهاوزن</w:t>
            </w:r>
            <w:proofErr w:type="spellEnd"/>
            <w:r w:rsidRPr="00080105">
              <w:rPr>
                <w:rFonts w:ascii="Arabic Typesetting" w:hAnsi="Arabic Typesetting" w:cs="Arabic Typesetting"/>
                <w:sz w:val="28"/>
                <w:szCs w:val="28"/>
                <w:rtl/>
                <w:lang w:bidi="ar-EG"/>
              </w:rPr>
              <w:t xml:space="preserve"> الثاني (جميع المستويات عدا -1)</w:t>
            </w:r>
          </w:p>
        </w:tc>
        <w:tc>
          <w:tcPr>
            <w:tcW w:w="754" w:type="pct"/>
            <w:vAlign w:val="center"/>
          </w:tcPr>
          <w:p w:rsidR="00DD6B26" w:rsidRPr="005158E3" w:rsidRDefault="00DD6B26" w:rsidP="00DD6B26">
            <w:pPr>
              <w:keepNext/>
              <w:autoSpaceDE w:val="0"/>
              <w:autoSpaceDN w:val="0"/>
              <w:adjustRightInd w:val="0"/>
              <w:spacing w:before="40" w:after="40"/>
              <w:jc w:val="center"/>
              <w:rPr>
                <w:sz w:val="16"/>
                <w:szCs w:val="16"/>
              </w:rPr>
            </w:pPr>
            <w:r w:rsidRPr="005158E3">
              <w:rPr>
                <w:sz w:val="16"/>
                <w:szCs w:val="16"/>
              </w:rPr>
              <w:t>65,000</w:t>
            </w:r>
          </w:p>
        </w:tc>
        <w:tc>
          <w:tcPr>
            <w:tcW w:w="864"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0</w:t>
            </w:r>
          </w:p>
        </w:tc>
        <w:tc>
          <w:tcPr>
            <w:tcW w:w="849"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0%</w:t>
            </w:r>
          </w:p>
        </w:tc>
        <w:tc>
          <w:tcPr>
            <w:tcW w:w="856"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w:t>
            </w:r>
          </w:p>
        </w:tc>
      </w:tr>
      <w:tr w:rsidR="00DD6B26" w:rsidRPr="00080105" w:rsidTr="00DD6B26">
        <w:trPr>
          <w:cantSplit/>
          <w:trHeight w:val="389"/>
        </w:trPr>
        <w:tc>
          <w:tcPr>
            <w:tcW w:w="1677" w:type="pct"/>
            <w:vAlign w:val="center"/>
          </w:tcPr>
          <w:p w:rsidR="00DD6B26" w:rsidRPr="00080105" w:rsidRDefault="00DD6B26" w:rsidP="00DD6B26">
            <w:pPr>
              <w:keepNext/>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 xml:space="preserve">المشروع المتعلق بالفصل بين المناطق في مبنى </w:t>
            </w:r>
            <w:proofErr w:type="spellStart"/>
            <w:r w:rsidRPr="00080105">
              <w:rPr>
                <w:rFonts w:ascii="Arabic Typesetting" w:hAnsi="Arabic Typesetting" w:cs="Arabic Typesetting"/>
                <w:sz w:val="28"/>
                <w:szCs w:val="28"/>
                <w:rtl/>
                <w:lang w:bidi="ar-EG"/>
              </w:rPr>
              <w:t>أرباد</w:t>
            </w:r>
            <w:proofErr w:type="spellEnd"/>
            <w:r w:rsidRPr="00080105">
              <w:rPr>
                <w:rFonts w:ascii="Arabic Typesetting" w:hAnsi="Arabic Typesetting" w:cs="Arabic Typesetting"/>
                <w:sz w:val="28"/>
                <w:szCs w:val="28"/>
                <w:rtl/>
                <w:lang w:bidi="ar-EG"/>
              </w:rPr>
              <w:t xml:space="preserve"> </w:t>
            </w:r>
            <w:proofErr w:type="spellStart"/>
            <w:r w:rsidRPr="00080105">
              <w:rPr>
                <w:rFonts w:ascii="Arabic Typesetting" w:hAnsi="Arabic Typesetting" w:cs="Arabic Typesetting"/>
                <w:sz w:val="28"/>
                <w:szCs w:val="28"/>
                <w:rtl/>
                <w:lang w:bidi="ar-EG"/>
              </w:rPr>
              <w:t>بوكش</w:t>
            </w:r>
            <w:proofErr w:type="spellEnd"/>
            <w:r w:rsidRPr="00080105">
              <w:rPr>
                <w:rFonts w:ascii="Arabic Typesetting" w:hAnsi="Arabic Typesetting" w:cs="Arabic Typesetting"/>
                <w:sz w:val="28"/>
                <w:szCs w:val="28"/>
                <w:rtl/>
                <w:lang w:bidi="ar-EG"/>
              </w:rPr>
              <w:t xml:space="preserve"> (عدا -2)</w:t>
            </w:r>
          </w:p>
        </w:tc>
        <w:tc>
          <w:tcPr>
            <w:tcW w:w="754" w:type="pct"/>
            <w:vAlign w:val="center"/>
          </w:tcPr>
          <w:p w:rsidR="00DD6B26" w:rsidRPr="005158E3" w:rsidRDefault="00DD6B26" w:rsidP="00DD6B26">
            <w:pPr>
              <w:keepNext/>
              <w:autoSpaceDE w:val="0"/>
              <w:autoSpaceDN w:val="0"/>
              <w:adjustRightInd w:val="0"/>
              <w:spacing w:before="40" w:after="40"/>
              <w:jc w:val="center"/>
              <w:rPr>
                <w:sz w:val="16"/>
                <w:szCs w:val="16"/>
              </w:rPr>
            </w:pPr>
            <w:r w:rsidRPr="005158E3">
              <w:rPr>
                <w:sz w:val="16"/>
                <w:szCs w:val="16"/>
              </w:rPr>
              <w:t>60,000</w:t>
            </w:r>
          </w:p>
        </w:tc>
        <w:tc>
          <w:tcPr>
            <w:tcW w:w="864"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0</w:t>
            </w:r>
          </w:p>
        </w:tc>
        <w:tc>
          <w:tcPr>
            <w:tcW w:w="849"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0%</w:t>
            </w:r>
          </w:p>
        </w:tc>
        <w:tc>
          <w:tcPr>
            <w:tcW w:w="856" w:type="pct"/>
            <w:vAlign w:val="center"/>
          </w:tcPr>
          <w:p w:rsidR="00DD6B26" w:rsidRPr="005158E3" w:rsidRDefault="00DD6B26" w:rsidP="00DD6B26">
            <w:pPr>
              <w:keepNext/>
              <w:autoSpaceDE w:val="0"/>
              <w:autoSpaceDN w:val="0"/>
              <w:adjustRightInd w:val="0"/>
              <w:spacing w:before="40" w:after="40"/>
              <w:jc w:val="center"/>
              <w:rPr>
                <w:sz w:val="16"/>
                <w:szCs w:val="16"/>
              </w:rPr>
            </w:pPr>
            <w:r>
              <w:rPr>
                <w:sz w:val="16"/>
                <w:szCs w:val="16"/>
              </w:rPr>
              <w:t>-</w:t>
            </w:r>
          </w:p>
        </w:tc>
      </w:tr>
      <w:tr w:rsidR="00DD6B26" w:rsidRPr="00080105" w:rsidTr="00DD6B26">
        <w:trPr>
          <w:cantSplit/>
          <w:trHeight w:val="389"/>
        </w:trPr>
        <w:tc>
          <w:tcPr>
            <w:tcW w:w="1677" w:type="pct"/>
            <w:shd w:val="clear" w:color="auto" w:fill="C6D9F1" w:themeFill="text2" w:themeFillTint="33"/>
            <w:vAlign w:val="center"/>
          </w:tcPr>
          <w:p w:rsidR="00DD6B26" w:rsidRPr="00080105" w:rsidRDefault="00DD6B26" w:rsidP="00DD6B26">
            <w:pPr>
              <w:keepNext/>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المجموع</w:t>
            </w:r>
          </w:p>
        </w:tc>
        <w:tc>
          <w:tcPr>
            <w:tcW w:w="754" w:type="pct"/>
            <w:shd w:val="clear" w:color="auto" w:fill="C6D9F1" w:themeFill="text2" w:themeFillTint="33"/>
            <w:vAlign w:val="center"/>
          </w:tcPr>
          <w:p w:rsidR="00DD6B26" w:rsidRPr="005158E3" w:rsidRDefault="00DD6B26" w:rsidP="00DD6B26">
            <w:pPr>
              <w:keepNext/>
              <w:autoSpaceDE w:val="0"/>
              <w:autoSpaceDN w:val="0"/>
              <w:adjustRightInd w:val="0"/>
              <w:spacing w:before="40" w:after="40"/>
              <w:jc w:val="center"/>
              <w:rPr>
                <w:b/>
                <w:sz w:val="16"/>
                <w:szCs w:val="16"/>
              </w:rPr>
            </w:pPr>
            <w:r w:rsidRPr="005158E3">
              <w:rPr>
                <w:b/>
                <w:sz w:val="16"/>
                <w:szCs w:val="16"/>
              </w:rPr>
              <w:t>400,000</w:t>
            </w:r>
          </w:p>
        </w:tc>
        <w:tc>
          <w:tcPr>
            <w:tcW w:w="864" w:type="pct"/>
            <w:shd w:val="clear" w:color="auto" w:fill="C6D9F1" w:themeFill="text2" w:themeFillTint="33"/>
          </w:tcPr>
          <w:p w:rsidR="00DD6B26" w:rsidRPr="00E63242" w:rsidRDefault="00DD6B26" w:rsidP="00DD6B26">
            <w:pPr>
              <w:keepNext/>
              <w:autoSpaceDE w:val="0"/>
              <w:autoSpaceDN w:val="0"/>
              <w:adjustRightInd w:val="0"/>
              <w:spacing w:before="40" w:after="40"/>
              <w:jc w:val="center"/>
              <w:rPr>
                <w:b/>
                <w:sz w:val="16"/>
                <w:szCs w:val="16"/>
              </w:rPr>
            </w:pPr>
            <w:r w:rsidRPr="00F80A65">
              <w:rPr>
                <w:b/>
                <w:sz w:val="16"/>
                <w:szCs w:val="16"/>
                <w:lang w:val="fr-CH"/>
              </w:rPr>
              <w:t>122,587</w:t>
            </w:r>
          </w:p>
        </w:tc>
        <w:tc>
          <w:tcPr>
            <w:tcW w:w="849" w:type="pct"/>
            <w:shd w:val="clear" w:color="auto" w:fill="C6D9F1" w:themeFill="text2" w:themeFillTint="33"/>
          </w:tcPr>
          <w:p w:rsidR="00DD6B26" w:rsidRPr="00E63242" w:rsidRDefault="00DD6B26" w:rsidP="00DD6B26">
            <w:pPr>
              <w:keepNext/>
              <w:autoSpaceDE w:val="0"/>
              <w:autoSpaceDN w:val="0"/>
              <w:adjustRightInd w:val="0"/>
              <w:spacing w:before="40" w:after="40"/>
              <w:jc w:val="center"/>
              <w:rPr>
                <w:b/>
                <w:sz w:val="16"/>
                <w:szCs w:val="16"/>
              </w:rPr>
            </w:pPr>
          </w:p>
        </w:tc>
        <w:tc>
          <w:tcPr>
            <w:tcW w:w="856" w:type="pct"/>
            <w:shd w:val="clear" w:color="auto" w:fill="C6D9F1" w:themeFill="text2" w:themeFillTint="33"/>
          </w:tcPr>
          <w:p w:rsidR="00DD6B26" w:rsidRPr="005158E3" w:rsidRDefault="00DD6B26" w:rsidP="00DD6B26">
            <w:pPr>
              <w:keepNext/>
              <w:autoSpaceDE w:val="0"/>
              <w:autoSpaceDN w:val="0"/>
              <w:adjustRightInd w:val="0"/>
              <w:spacing w:before="40" w:after="40"/>
              <w:jc w:val="center"/>
              <w:rPr>
                <w:b/>
                <w:sz w:val="16"/>
                <w:szCs w:val="16"/>
              </w:rPr>
            </w:pPr>
          </w:p>
        </w:tc>
      </w:tr>
    </w:tbl>
    <w:p w:rsidR="00F96634" w:rsidRPr="00080105" w:rsidRDefault="00F96634" w:rsidP="00DD6B26">
      <w:pPr>
        <w:keepNext/>
        <w:keepLines/>
        <w:tabs>
          <w:tab w:val="left" w:pos="3261"/>
        </w:tabs>
        <w:autoSpaceDE w:val="0"/>
        <w:autoSpaceDN w:val="0"/>
        <w:bidi/>
        <w:adjustRightInd w:val="0"/>
        <w:spacing w:before="120" w:line="340" w:lineRule="exact"/>
        <w:jc w:val="center"/>
        <w:rPr>
          <w:rFonts w:ascii="Arabic Typesetting" w:hAnsi="Arabic Typesetting" w:cs="Arabic Typesetting"/>
          <w:bCs/>
          <w:sz w:val="34"/>
          <w:szCs w:val="34"/>
          <w:rtl/>
          <w:lang w:bidi="ar-EG"/>
        </w:rPr>
      </w:pPr>
      <w:r w:rsidRPr="00080105">
        <w:rPr>
          <w:rFonts w:ascii="Arabic Typesetting" w:hAnsi="Arabic Typesetting" w:cs="Arabic Typesetting"/>
          <w:bCs/>
          <w:sz w:val="34"/>
          <w:szCs w:val="34"/>
          <w:rtl/>
          <w:lang w:bidi="ar-EG"/>
        </w:rPr>
        <w:t>استخدام ميزانية المشروع (حسب فئة التكلفة)</w:t>
      </w:r>
    </w:p>
    <w:p w:rsidR="00F96634" w:rsidRPr="00080105" w:rsidRDefault="00F96634" w:rsidP="00DD6B26">
      <w:pPr>
        <w:keepNext/>
        <w:keepLines/>
        <w:tabs>
          <w:tab w:val="left" w:pos="3261"/>
        </w:tabs>
        <w:autoSpaceDE w:val="0"/>
        <w:autoSpaceDN w:val="0"/>
        <w:bidi/>
        <w:adjustRightInd w:val="0"/>
        <w:spacing w:after="120" w:line="340" w:lineRule="exact"/>
        <w:jc w:val="center"/>
        <w:rPr>
          <w:rFonts w:ascii="Arabic Typesetting" w:hAnsi="Arabic Typesetting" w:cs="Arabic Typesetting"/>
          <w:iCs/>
          <w:sz w:val="34"/>
          <w:szCs w:val="34"/>
          <w:lang w:bidi="ar-EG"/>
        </w:rPr>
      </w:pPr>
      <w:r w:rsidRPr="00080105">
        <w:rPr>
          <w:rFonts w:ascii="Arabic Typesetting" w:hAnsi="Arabic Typesetting" w:cs="Arabic Typesetting"/>
          <w:iCs/>
          <w:sz w:val="34"/>
          <w:szCs w:val="34"/>
          <w:rtl/>
          <w:lang w:bidi="ar-EG"/>
        </w:rPr>
        <w:t>(</w:t>
      </w:r>
      <w:r w:rsidR="0086174B">
        <w:rPr>
          <w:rFonts w:ascii="Arabic Typesetting" w:hAnsi="Arabic Typesetting" w:cs="Arabic Typesetting"/>
          <w:iCs/>
          <w:sz w:val="34"/>
          <w:szCs w:val="34"/>
          <w:rtl/>
          <w:lang w:bidi="ar-EG"/>
        </w:rPr>
        <w:t>بالفرنك السويسري، في 31 ديسمبر 2015</w:t>
      </w:r>
      <w:r w:rsidRPr="00080105">
        <w:rPr>
          <w:rFonts w:ascii="Arabic Typesetting" w:hAnsi="Arabic Typesetting" w:cs="Arabic Typesetting"/>
          <w:iCs/>
          <w:sz w:val="34"/>
          <w:szCs w:val="34"/>
          <w:rtl/>
          <w:lang w:bidi="ar-EG"/>
        </w:rPr>
        <w:t>)</w:t>
      </w:r>
    </w:p>
    <w:tbl>
      <w:tblPr>
        <w:bidiVisual/>
        <w:tblW w:w="4581"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1"/>
        <w:gridCol w:w="1840"/>
        <w:gridCol w:w="1840"/>
        <w:gridCol w:w="1838"/>
      </w:tblGrid>
      <w:tr w:rsidR="00F96634" w:rsidRPr="00080105" w:rsidTr="00DD6B26">
        <w:trPr>
          <w:trHeight w:val="569"/>
        </w:trPr>
        <w:tc>
          <w:tcPr>
            <w:tcW w:w="1854"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line="260" w:lineRule="exact"/>
              <w:ind w:left="-74" w:right="-60"/>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فئة التكلفة</w:t>
            </w:r>
          </w:p>
        </w:tc>
        <w:tc>
          <w:tcPr>
            <w:tcW w:w="1049"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ميزانية المشروع</w:t>
            </w:r>
            <w:r w:rsidRPr="00080105">
              <w:rPr>
                <w:rFonts w:ascii="Arabic Typesetting" w:hAnsi="Arabic Typesetting" w:cs="Arabic Typesetting"/>
                <w:b/>
                <w:sz w:val="28"/>
                <w:szCs w:val="28"/>
                <w:lang w:val="fr-CH"/>
              </w:rPr>
              <w:t xml:space="preserve"> </w:t>
            </w:r>
          </w:p>
        </w:tc>
        <w:tc>
          <w:tcPr>
            <w:tcW w:w="1049"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line="260" w:lineRule="exact"/>
              <w:ind w:left="-108"/>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النفقات الفعلية حتى تاريخه</w:t>
            </w:r>
            <w:r w:rsidRPr="00080105">
              <w:rPr>
                <w:rFonts w:ascii="Arabic Typesetting" w:hAnsi="Arabic Typesetting" w:cs="Arabic Typesetting"/>
                <w:b/>
                <w:sz w:val="28"/>
                <w:szCs w:val="28"/>
                <w:lang w:val="fr-CH"/>
              </w:rPr>
              <w:t xml:space="preserve"> </w:t>
            </w:r>
          </w:p>
        </w:tc>
        <w:tc>
          <w:tcPr>
            <w:tcW w:w="1048" w:type="pct"/>
            <w:shd w:val="clear" w:color="auto" w:fill="C6D9F1" w:themeFill="text2" w:themeFillTint="33"/>
            <w:vAlign w:val="center"/>
          </w:tcPr>
          <w:p w:rsidR="00F96634" w:rsidRPr="00080105" w:rsidRDefault="00F96634" w:rsidP="00F96634">
            <w:pPr>
              <w:keepNext/>
              <w:keepLines/>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الاستخدام الفعلي للميزانية</w:t>
            </w:r>
          </w:p>
        </w:tc>
      </w:tr>
      <w:tr w:rsidR="00DD6B26" w:rsidRPr="00080105" w:rsidTr="00DD6B26">
        <w:tc>
          <w:tcPr>
            <w:tcW w:w="1854" w:type="pct"/>
            <w:vAlign w:val="center"/>
          </w:tcPr>
          <w:p w:rsidR="00DD6B26" w:rsidRPr="00080105" w:rsidRDefault="00DD6B26"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التكاليف المتعلقة بالبناء</w:t>
            </w:r>
          </w:p>
        </w:tc>
        <w:tc>
          <w:tcPr>
            <w:tcW w:w="1049" w:type="pct"/>
            <w:vAlign w:val="center"/>
          </w:tcPr>
          <w:p w:rsidR="00DD6B26" w:rsidRPr="005158E3" w:rsidRDefault="00DD6B26" w:rsidP="001D7014">
            <w:pPr>
              <w:autoSpaceDE w:val="0"/>
              <w:autoSpaceDN w:val="0"/>
              <w:adjustRightInd w:val="0"/>
              <w:spacing w:before="40" w:after="40"/>
              <w:jc w:val="center"/>
              <w:rPr>
                <w:sz w:val="16"/>
                <w:szCs w:val="16"/>
              </w:rPr>
            </w:pPr>
            <w:r w:rsidRPr="005158E3">
              <w:rPr>
                <w:sz w:val="16"/>
                <w:szCs w:val="16"/>
              </w:rPr>
              <w:t>312,000</w:t>
            </w:r>
          </w:p>
        </w:tc>
        <w:tc>
          <w:tcPr>
            <w:tcW w:w="1049" w:type="pct"/>
          </w:tcPr>
          <w:p w:rsidR="00DD6B26" w:rsidRPr="005158E3" w:rsidRDefault="00DD6B26" w:rsidP="001D7014">
            <w:pPr>
              <w:autoSpaceDE w:val="0"/>
              <w:autoSpaceDN w:val="0"/>
              <w:adjustRightInd w:val="0"/>
              <w:spacing w:before="40" w:after="40"/>
              <w:jc w:val="center"/>
              <w:rPr>
                <w:sz w:val="16"/>
                <w:szCs w:val="16"/>
              </w:rPr>
            </w:pPr>
            <w:r>
              <w:rPr>
                <w:sz w:val="16"/>
                <w:szCs w:val="16"/>
                <w:lang w:val="fr-CH"/>
              </w:rPr>
              <w:t>122,587</w:t>
            </w:r>
          </w:p>
        </w:tc>
        <w:tc>
          <w:tcPr>
            <w:tcW w:w="1048" w:type="pct"/>
          </w:tcPr>
          <w:p w:rsidR="00DD6B26" w:rsidRPr="005158E3" w:rsidRDefault="00DD6B26" w:rsidP="001D7014">
            <w:pPr>
              <w:autoSpaceDE w:val="0"/>
              <w:autoSpaceDN w:val="0"/>
              <w:adjustRightInd w:val="0"/>
              <w:spacing w:before="40" w:after="40"/>
              <w:jc w:val="center"/>
              <w:rPr>
                <w:sz w:val="16"/>
                <w:szCs w:val="16"/>
              </w:rPr>
            </w:pPr>
            <w:r>
              <w:rPr>
                <w:sz w:val="16"/>
                <w:szCs w:val="16"/>
              </w:rPr>
              <w:t>39%</w:t>
            </w:r>
          </w:p>
        </w:tc>
      </w:tr>
      <w:tr w:rsidR="00DD6B26" w:rsidRPr="00080105" w:rsidTr="00DD6B26">
        <w:tc>
          <w:tcPr>
            <w:tcW w:w="1854" w:type="pct"/>
            <w:vAlign w:val="center"/>
          </w:tcPr>
          <w:p w:rsidR="00DD6B26" w:rsidRPr="00080105" w:rsidRDefault="00DD6B26"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الأتعاب</w:t>
            </w:r>
          </w:p>
        </w:tc>
        <w:tc>
          <w:tcPr>
            <w:tcW w:w="1049" w:type="pct"/>
            <w:vAlign w:val="center"/>
          </w:tcPr>
          <w:p w:rsidR="00DD6B26" w:rsidRPr="005158E3" w:rsidRDefault="00DD6B26" w:rsidP="001D7014">
            <w:pPr>
              <w:autoSpaceDE w:val="0"/>
              <w:autoSpaceDN w:val="0"/>
              <w:adjustRightInd w:val="0"/>
              <w:spacing w:before="40" w:after="40"/>
              <w:jc w:val="center"/>
              <w:rPr>
                <w:sz w:val="16"/>
                <w:szCs w:val="16"/>
              </w:rPr>
            </w:pPr>
            <w:r w:rsidRPr="005158E3">
              <w:rPr>
                <w:sz w:val="16"/>
                <w:szCs w:val="16"/>
              </w:rPr>
              <w:t>60,000</w:t>
            </w:r>
          </w:p>
        </w:tc>
        <w:tc>
          <w:tcPr>
            <w:tcW w:w="1049" w:type="pct"/>
          </w:tcPr>
          <w:p w:rsidR="00DD6B26" w:rsidRPr="005158E3" w:rsidRDefault="00DD6B26" w:rsidP="001D7014">
            <w:pPr>
              <w:autoSpaceDE w:val="0"/>
              <w:autoSpaceDN w:val="0"/>
              <w:adjustRightInd w:val="0"/>
              <w:spacing w:before="40" w:after="40"/>
              <w:jc w:val="center"/>
              <w:rPr>
                <w:sz w:val="16"/>
                <w:szCs w:val="16"/>
              </w:rPr>
            </w:pPr>
            <w:r>
              <w:rPr>
                <w:sz w:val="16"/>
                <w:szCs w:val="16"/>
              </w:rPr>
              <w:t>0</w:t>
            </w:r>
          </w:p>
        </w:tc>
        <w:tc>
          <w:tcPr>
            <w:tcW w:w="1048" w:type="pct"/>
          </w:tcPr>
          <w:p w:rsidR="00DD6B26" w:rsidRPr="005158E3" w:rsidRDefault="00DD6B26" w:rsidP="001D7014">
            <w:pPr>
              <w:autoSpaceDE w:val="0"/>
              <w:autoSpaceDN w:val="0"/>
              <w:adjustRightInd w:val="0"/>
              <w:spacing w:before="40" w:after="40"/>
              <w:jc w:val="center"/>
              <w:rPr>
                <w:sz w:val="16"/>
                <w:szCs w:val="16"/>
              </w:rPr>
            </w:pPr>
            <w:r>
              <w:rPr>
                <w:sz w:val="16"/>
                <w:szCs w:val="16"/>
              </w:rPr>
              <w:t>0%</w:t>
            </w:r>
          </w:p>
        </w:tc>
      </w:tr>
      <w:tr w:rsidR="00DD6B26" w:rsidRPr="00080105" w:rsidTr="00DD6B26">
        <w:tc>
          <w:tcPr>
            <w:tcW w:w="1854" w:type="pct"/>
            <w:vAlign w:val="center"/>
          </w:tcPr>
          <w:p w:rsidR="00DD6B26" w:rsidRPr="00080105" w:rsidRDefault="00DD6B26"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الأمور النثرية وغير المتوقعة</w:t>
            </w:r>
          </w:p>
        </w:tc>
        <w:tc>
          <w:tcPr>
            <w:tcW w:w="1049" w:type="pct"/>
            <w:vAlign w:val="center"/>
          </w:tcPr>
          <w:p w:rsidR="00DD6B26" w:rsidRPr="005158E3" w:rsidRDefault="00DD6B26" w:rsidP="001D7014">
            <w:pPr>
              <w:autoSpaceDE w:val="0"/>
              <w:autoSpaceDN w:val="0"/>
              <w:adjustRightInd w:val="0"/>
              <w:spacing w:before="40" w:after="40"/>
              <w:jc w:val="center"/>
              <w:rPr>
                <w:sz w:val="16"/>
                <w:szCs w:val="16"/>
              </w:rPr>
            </w:pPr>
            <w:r w:rsidRPr="005158E3">
              <w:rPr>
                <w:sz w:val="16"/>
                <w:szCs w:val="16"/>
              </w:rPr>
              <w:t>28,000</w:t>
            </w:r>
          </w:p>
        </w:tc>
        <w:tc>
          <w:tcPr>
            <w:tcW w:w="1049" w:type="pct"/>
          </w:tcPr>
          <w:p w:rsidR="00DD6B26" w:rsidRPr="005158E3" w:rsidRDefault="00DD6B26" w:rsidP="001D7014">
            <w:pPr>
              <w:autoSpaceDE w:val="0"/>
              <w:autoSpaceDN w:val="0"/>
              <w:adjustRightInd w:val="0"/>
              <w:spacing w:before="40" w:after="40"/>
              <w:jc w:val="center"/>
              <w:rPr>
                <w:sz w:val="16"/>
                <w:szCs w:val="16"/>
              </w:rPr>
            </w:pPr>
            <w:r>
              <w:rPr>
                <w:sz w:val="16"/>
                <w:szCs w:val="16"/>
              </w:rPr>
              <w:t>0</w:t>
            </w:r>
          </w:p>
        </w:tc>
        <w:tc>
          <w:tcPr>
            <w:tcW w:w="1048" w:type="pct"/>
          </w:tcPr>
          <w:p w:rsidR="00DD6B26" w:rsidRPr="005158E3" w:rsidRDefault="00DD6B26" w:rsidP="001D7014">
            <w:pPr>
              <w:autoSpaceDE w:val="0"/>
              <w:autoSpaceDN w:val="0"/>
              <w:adjustRightInd w:val="0"/>
              <w:spacing w:before="40" w:after="40"/>
              <w:jc w:val="center"/>
              <w:rPr>
                <w:sz w:val="16"/>
                <w:szCs w:val="16"/>
              </w:rPr>
            </w:pPr>
            <w:r>
              <w:rPr>
                <w:sz w:val="16"/>
                <w:szCs w:val="16"/>
              </w:rPr>
              <w:t>0%</w:t>
            </w:r>
          </w:p>
        </w:tc>
      </w:tr>
      <w:tr w:rsidR="00DD6B26" w:rsidRPr="00080105" w:rsidTr="00DD6B26">
        <w:tc>
          <w:tcPr>
            <w:tcW w:w="1854" w:type="pct"/>
            <w:shd w:val="clear" w:color="auto" w:fill="C6D9F1" w:themeFill="text2" w:themeFillTint="33"/>
            <w:vAlign w:val="center"/>
          </w:tcPr>
          <w:p w:rsidR="00DD6B26" w:rsidRPr="00080105" w:rsidRDefault="00DD6B26" w:rsidP="00F96634">
            <w:pPr>
              <w:autoSpaceDE w:val="0"/>
              <w:autoSpaceDN w:val="0"/>
              <w:bidi/>
              <w:adjustRightInd w:val="0"/>
              <w:spacing w:before="40" w:after="40" w:line="260" w:lineRule="exact"/>
              <w:rPr>
                <w:rFonts w:ascii="Arabic Typesetting" w:hAnsi="Arabic Typesetting" w:cs="Arabic Typesetting"/>
                <w:sz w:val="28"/>
                <w:szCs w:val="28"/>
                <w:rtl/>
                <w:lang w:bidi="ar-EG"/>
              </w:rPr>
            </w:pPr>
            <w:r w:rsidRPr="00080105">
              <w:rPr>
                <w:rFonts w:ascii="Arabic Typesetting" w:hAnsi="Arabic Typesetting" w:cs="Arabic Typesetting"/>
                <w:bCs/>
                <w:sz w:val="28"/>
                <w:szCs w:val="28"/>
                <w:rtl/>
                <w:lang w:bidi="ar-EG"/>
              </w:rPr>
              <w:t>المجموع</w:t>
            </w:r>
          </w:p>
        </w:tc>
        <w:tc>
          <w:tcPr>
            <w:tcW w:w="1049" w:type="pct"/>
            <w:shd w:val="clear" w:color="auto" w:fill="C6D9F1" w:themeFill="text2" w:themeFillTint="33"/>
            <w:vAlign w:val="center"/>
          </w:tcPr>
          <w:p w:rsidR="00DD6B26" w:rsidRPr="005158E3" w:rsidRDefault="00DD6B26" w:rsidP="001D7014">
            <w:pPr>
              <w:autoSpaceDE w:val="0"/>
              <w:autoSpaceDN w:val="0"/>
              <w:adjustRightInd w:val="0"/>
              <w:spacing w:before="40" w:after="40"/>
              <w:jc w:val="center"/>
              <w:rPr>
                <w:b/>
                <w:sz w:val="16"/>
                <w:szCs w:val="16"/>
              </w:rPr>
            </w:pPr>
            <w:r w:rsidRPr="005158E3">
              <w:rPr>
                <w:b/>
                <w:sz w:val="16"/>
                <w:szCs w:val="16"/>
              </w:rPr>
              <w:t>400,000</w:t>
            </w:r>
          </w:p>
        </w:tc>
        <w:tc>
          <w:tcPr>
            <w:tcW w:w="1049" w:type="pct"/>
            <w:shd w:val="clear" w:color="auto" w:fill="C6D9F1" w:themeFill="text2" w:themeFillTint="33"/>
          </w:tcPr>
          <w:p w:rsidR="00DD6B26" w:rsidRPr="005158E3" w:rsidRDefault="00DD6B26" w:rsidP="001D7014">
            <w:pPr>
              <w:autoSpaceDE w:val="0"/>
              <w:autoSpaceDN w:val="0"/>
              <w:adjustRightInd w:val="0"/>
              <w:spacing w:before="40" w:after="40"/>
              <w:jc w:val="center"/>
              <w:rPr>
                <w:b/>
                <w:sz w:val="16"/>
                <w:szCs w:val="16"/>
              </w:rPr>
            </w:pPr>
            <w:r>
              <w:rPr>
                <w:b/>
                <w:sz w:val="16"/>
                <w:szCs w:val="16"/>
              </w:rPr>
              <w:t>122,587</w:t>
            </w:r>
          </w:p>
        </w:tc>
        <w:tc>
          <w:tcPr>
            <w:tcW w:w="1048" w:type="pct"/>
            <w:shd w:val="clear" w:color="auto" w:fill="C6D9F1" w:themeFill="text2" w:themeFillTint="33"/>
          </w:tcPr>
          <w:p w:rsidR="00DD6B26" w:rsidRPr="005158E3" w:rsidRDefault="00DD6B26" w:rsidP="001D7014">
            <w:pPr>
              <w:autoSpaceDE w:val="0"/>
              <w:autoSpaceDN w:val="0"/>
              <w:adjustRightInd w:val="0"/>
              <w:spacing w:before="40" w:after="40"/>
              <w:jc w:val="center"/>
              <w:rPr>
                <w:b/>
                <w:sz w:val="16"/>
                <w:szCs w:val="16"/>
              </w:rPr>
            </w:pPr>
          </w:p>
        </w:tc>
      </w:tr>
    </w:tbl>
    <w:p w:rsidR="00F96634" w:rsidRPr="00080105" w:rsidRDefault="00F96634" w:rsidP="00DD6B26">
      <w:pPr>
        <w:bidi/>
        <w:spacing w:before="120" w:after="120"/>
        <w:rPr>
          <w:rFonts w:ascii="Arabic Typesetting" w:hAnsi="Arabic Typesetting" w:cs="Arabic Typesetting"/>
          <w:color w:val="000000"/>
          <w:sz w:val="34"/>
          <w:szCs w:val="34"/>
          <w:lang w:bidi="ar-EG"/>
        </w:rPr>
      </w:pPr>
      <w:r w:rsidRPr="00080105">
        <w:rPr>
          <w:rFonts w:ascii="Arabic Typesetting" w:hAnsi="Arabic Typesetting" w:cs="Arabic Typesetting"/>
          <w:color w:val="000000"/>
          <w:sz w:val="34"/>
          <w:szCs w:val="34"/>
          <w:rtl/>
          <w:lang w:bidi="ar-EG"/>
        </w:rPr>
        <w:t>المخاطر واستراتيجيات التخفيف من آثارها</w:t>
      </w:r>
    </w:p>
    <w:tbl>
      <w:tblPr>
        <w:bidiVisual/>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71"/>
        <w:gridCol w:w="3072"/>
        <w:gridCol w:w="3070"/>
      </w:tblGrid>
      <w:tr w:rsidR="0086174B" w:rsidRPr="00080105" w:rsidTr="00934690">
        <w:trPr>
          <w:trHeight w:val="308"/>
          <w:tblHeader/>
          <w:jc w:val="center"/>
        </w:trPr>
        <w:tc>
          <w:tcPr>
            <w:tcW w:w="1667" w:type="pct"/>
            <w:shd w:val="clear" w:color="auto" w:fill="C6D9F1" w:themeFill="text2" w:themeFillTint="33"/>
            <w:vAlign w:val="center"/>
          </w:tcPr>
          <w:p w:rsidR="0086174B" w:rsidRPr="00F96634" w:rsidRDefault="0086174B" w:rsidP="001D7014">
            <w:pPr>
              <w:autoSpaceDE w:val="0"/>
              <w:autoSpaceDN w:val="0"/>
              <w:bidi/>
              <w:adjustRightInd w:val="0"/>
              <w:spacing w:before="40" w:after="40" w:line="260" w:lineRule="exact"/>
              <w:ind w:left="-74" w:right="-60"/>
              <w:jc w:val="center"/>
              <w:rPr>
                <w:rFonts w:ascii="Arabic Typesetting" w:hAnsi="Arabic Typesetting" w:cs="Arabic Typesetting"/>
                <w:bCs/>
                <w:sz w:val="28"/>
                <w:szCs w:val="28"/>
                <w:rtl/>
                <w:lang w:bidi="ar-EG"/>
              </w:rPr>
            </w:pPr>
            <w:r w:rsidRPr="00F96634">
              <w:rPr>
                <w:rFonts w:ascii="Arabic Typesetting" w:hAnsi="Arabic Typesetting" w:cs="Arabic Typesetting"/>
                <w:bCs/>
                <w:sz w:val="28"/>
                <w:szCs w:val="28"/>
                <w:rtl/>
                <w:lang w:bidi="ar-EG"/>
              </w:rPr>
              <w:t>المخاطر</w:t>
            </w:r>
            <w:r w:rsidRPr="00F96634">
              <w:rPr>
                <w:rFonts w:ascii="Arabic Typesetting" w:hAnsi="Arabic Typesetting" w:cs="Arabic Typesetting" w:hint="cs"/>
                <w:bCs/>
                <w:sz w:val="28"/>
                <w:szCs w:val="28"/>
                <w:rtl/>
              </w:rPr>
              <w:t>/الوصف</w:t>
            </w:r>
          </w:p>
        </w:tc>
        <w:tc>
          <w:tcPr>
            <w:tcW w:w="1667" w:type="pct"/>
            <w:shd w:val="clear" w:color="auto" w:fill="C6D9F1" w:themeFill="text2" w:themeFillTint="33"/>
            <w:vAlign w:val="center"/>
          </w:tcPr>
          <w:p w:rsidR="0086174B" w:rsidRPr="00080105" w:rsidRDefault="0086174B" w:rsidP="001D7014">
            <w:pPr>
              <w:autoSpaceDE w:val="0"/>
              <w:autoSpaceDN w:val="0"/>
              <w:bidi/>
              <w:adjustRightInd w:val="0"/>
              <w:spacing w:before="40" w:after="40" w:line="260" w:lineRule="exact"/>
              <w:ind w:left="-107" w:right="-108"/>
              <w:jc w:val="center"/>
              <w:rPr>
                <w:rFonts w:ascii="Arabic Typesetting" w:hAnsi="Arabic Typesetting" w:cs="Arabic Typesetting"/>
                <w:sz w:val="28"/>
                <w:szCs w:val="28"/>
                <w:rtl/>
                <w:lang w:bidi="ar-EG"/>
              </w:rPr>
            </w:pPr>
            <w:r>
              <w:rPr>
                <w:rFonts w:ascii="Arabic Typesetting" w:hAnsi="Arabic Typesetting" w:cs="Arabic Typesetting" w:hint="cs"/>
                <w:bCs/>
                <w:sz w:val="28"/>
                <w:szCs w:val="28"/>
                <w:rtl/>
                <w:lang w:bidi="ar-EG"/>
              </w:rPr>
              <w:t>استراتيجية التخفيف من آثار المخاطر</w:t>
            </w:r>
          </w:p>
        </w:tc>
        <w:tc>
          <w:tcPr>
            <w:tcW w:w="1666" w:type="pct"/>
            <w:shd w:val="clear" w:color="auto" w:fill="C6D9F1" w:themeFill="text2" w:themeFillTint="33"/>
            <w:vAlign w:val="center"/>
          </w:tcPr>
          <w:p w:rsidR="0086174B" w:rsidRPr="00080105" w:rsidRDefault="0086174B" w:rsidP="001D7014">
            <w:pPr>
              <w:autoSpaceDE w:val="0"/>
              <w:autoSpaceDN w:val="0"/>
              <w:bidi/>
              <w:adjustRightInd w:val="0"/>
              <w:spacing w:before="40" w:after="40" w:line="260" w:lineRule="exact"/>
              <w:ind w:left="-109"/>
              <w:jc w:val="center"/>
              <w:rPr>
                <w:rFonts w:ascii="Arabic Typesetting" w:hAnsi="Arabic Typesetting" w:cs="Arabic Typesetting"/>
                <w:sz w:val="28"/>
                <w:szCs w:val="28"/>
                <w:rtl/>
                <w:lang w:bidi="ar-EG"/>
              </w:rPr>
            </w:pPr>
            <w:r>
              <w:rPr>
                <w:rFonts w:ascii="Arabic Typesetting" w:hAnsi="Arabic Typesetting" w:cs="Arabic Typesetting" w:hint="cs"/>
                <w:bCs/>
                <w:sz w:val="28"/>
                <w:szCs w:val="28"/>
                <w:rtl/>
                <w:lang w:bidi="ar-EG"/>
              </w:rPr>
              <w:t>التعليقات</w:t>
            </w:r>
          </w:p>
        </w:tc>
      </w:tr>
      <w:tr w:rsidR="00F96634" w:rsidRPr="00080105" w:rsidTr="00F96634">
        <w:trPr>
          <w:trHeight w:val="776"/>
          <w:jc w:val="center"/>
        </w:trPr>
        <w:tc>
          <w:tcPr>
            <w:tcW w:w="1667" w:type="pct"/>
            <w:shd w:val="clear" w:color="auto" w:fill="FFFFFF"/>
          </w:tcPr>
          <w:p w:rsidR="00F96634" w:rsidRPr="00080105" w:rsidRDefault="00E14A59" w:rsidP="00F96634">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العجز عن</w:t>
            </w:r>
            <w:r w:rsidR="00F96634" w:rsidRPr="00080105">
              <w:rPr>
                <w:rFonts w:ascii="Arabic Typesetting" w:hAnsi="Arabic Typesetting" w:cs="Arabic Typesetting"/>
                <w:sz w:val="28"/>
                <w:szCs w:val="28"/>
                <w:rtl/>
                <w:lang w:bidi="ar-EG"/>
              </w:rPr>
              <w:t xml:space="preserve"> إتمام الأعمال خلال الجدول الزمني المخطط له</w:t>
            </w:r>
            <w:r w:rsidR="00DD6B26">
              <w:rPr>
                <w:rFonts w:ascii="Arabic Typesetting" w:hAnsi="Arabic Typesetting" w:cs="Arabic Typesetting" w:hint="cs"/>
                <w:sz w:val="28"/>
                <w:szCs w:val="28"/>
                <w:rtl/>
                <w:lang w:bidi="ar-EG"/>
              </w:rPr>
              <w:t xml:space="preserve"> بسبب </w:t>
            </w:r>
            <w:r w:rsidR="00DD6B26" w:rsidRPr="00080105">
              <w:rPr>
                <w:rFonts w:ascii="Arabic Typesetting" w:hAnsi="Arabic Typesetting" w:cs="Arabic Typesetting"/>
                <w:sz w:val="28"/>
                <w:szCs w:val="28"/>
                <w:rtl/>
                <w:lang w:bidi="ar-EG"/>
              </w:rPr>
              <w:t>عدم وجود بائع متاح يلبي الجدول الزمني الذي تطلبه الويبو</w:t>
            </w:r>
          </w:p>
        </w:tc>
        <w:tc>
          <w:tcPr>
            <w:tcW w:w="1667" w:type="pct"/>
            <w:shd w:val="clear" w:color="auto" w:fill="FFFFFF"/>
          </w:tcPr>
          <w:p w:rsidR="00F96634" w:rsidRPr="00080105" w:rsidRDefault="00DD6B26" w:rsidP="00F96634">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الاستعانة بموظفي الويبو لسد الفجوات عند الاقتضاء</w:t>
            </w:r>
          </w:p>
        </w:tc>
        <w:tc>
          <w:tcPr>
            <w:tcW w:w="1666" w:type="pct"/>
            <w:shd w:val="clear" w:color="auto" w:fill="FFFFFF"/>
          </w:tcPr>
          <w:p w:rsidR="00F96634" w:rsidRPr="00080105" w:rsidRDefault="00DD6B26" w:rsidP="00DD6B26">
            <w:pPr>
              <w:autoSpaceDE w:val="0"/>
              <w:autoSpaceDN w:val="0"/>
              <w:bidi/>
              <w:adjustRightInd w:val="0"/>
              <w:spacing w:before="40" w:after="40"/>
              <w:rPr>
                <w:rFonts w:ascii="Arabic Typesetting" w:hAnsi="Arabic Typesetting" w:cs="Arabic Typesetting"/>
                <w:sz w:val="28"/>
                <w:szCs w:val="28"/>
                <w:rtl/>
                <w:lang w:bidi="ar-EG"/>
              </w:rPr>
            </w:pPr>
            <w:r>
              <w:rPr>
                <w:rFonts w:ascii="Arabic Typesetting" w:hAnsi="Arabic Typesetting" w:cs="Arabic Typesetting" w:hint="cs"/>
                <w:sz w:val="28"/>
                <w:szCs w:val="28"/>
                <w:rtl/>
                <w:lang w:bidi="ar-EG"/>
              </w:rPr>
              <w:t xml:space="preserve">في عام 2015، تأخر إنجاز دراسة المشروع المتعلق بالفصل بين مبنى </w:t>
            </w:r>
            <w:proofErr w:type="spellStart"/>
            <w:r>
              <w:rPr>
                <w:rFonts w:ascii="Arabic Typesetting" w:hAnsi="Arabic Typesetting" w:cs="Arabic Typesetting" w:hint="cs"/>
                <w:sz w:val="28"/>
                <w:szCs w:val="28"/>
                <w:rtl/>
                <w:lang w:bidi="ar-EG"/>
              </w:rPr>
              <w:t>بودنهاوزن</w:t>
            </w:r>
            <w:proofErr w:type="spellEnd"/>
            <w:r>
              <w:rPr>
                <w:rFonts w:ascii="Arabic Typesetting" w:hAnsi="Arabic Typesetting" w:cs="Arabic Typesetting" w:hint="cs"/>
                <w:sz w:val="28"/>
                <w:szCs w:val="28"/>
                <w:rtl/>
                <w:lang w:bidi="ar-EG"/>
              </w:rPr>
              <w:t xml:space="preserve"> الأول </w:t>
            </w:r>
            <w:proofErr w:type="spellStart"/>
            <w:r>
              <w:rPr>
                <w:rFonts w:ascii="Arabic Typesetting" w:hAnsi="Arabic Typesetting" w:cs="Arabic Typesetting" w:hint="cs"/>
                <w:sz w:val="28"/>
                <w:szCs w:val="28"/>
                <w:rtl/>
                <w:lang w:bidi="ar-EG"/>
              </w:rPr>
              <w:t>وأرباد</w:t>
            </w:r>
            <w:proofErr w:type="spellEnd"/>
            <w:r>
              <w:rPr>
                <w:rFonts w:ascii="Arabic Typesetting" w:hAnsi="Arabic Typesetting" w:cs="Arabic Typesetting" w:hint="cs"/>
                <w:sz w:val="28"/>
                <w:szCs w:val="28"/>
                <w:rtl/>
                <w:lang w:bidi="ar-EG"/>
              </w:rPr>
              <w:t xml:space="preserve"> </w:t>
            </w:r>
            <w:proofErr w:type="spellStart"/>
            <w:r>
              <w:rPr>
                <w:rFonts w:ascii="Arabic Typesetting" w:hAnsi="Arabic Typesetting" w:cs="Arabic Typesetting" w:hint="cs"/>
                <w:sz w:val="28"/>
                <w:szCs w:val="28"/>
                <w:rtl/>
                <w:lang w:bidi="ar-EG"/>
              </w:rPr>
              <w:t>بوكش</w:t>
            </w:r>
            <w:proofErr w:type="spellEnd"/>
            <w:r>
              <w:rPr>
                <w:rFonts w:ascii="Arabic Typesetting" w:hAnsi="Arabic Typesetting" w:cs="Arabic Typesetting" w:hint="cs"/>
                <w:sz w:val="28"/>
                <w:szCs w:val="28"/>
                <w:rtl/>
                <w:lang w:bidi="ar-EG"/>
              </w:rPr>
              <w:t xml:space="preserve"> ستة أشهر </w:t>
            </w:r>
            <w:r w:rsidRPr="00DD6B26">
              <w:rPr>
                <w:rFonts w:ascii="Arabic Typesetting" w:hAnsi="Arabic Typesetting" w:cs="Arabic Typesetting" w:hint="cs"/>
                <w:sz w:val="28"/>
                <w:szCs w:val="28"/>
                <w:rtl/>
                <w:lang w:bidi="ar-EG"/>
              </w:rPr>
              <w:t>بسبب الرحيل غير المتوقع للاست</w:t>
            </w:r>
            <w:r>
              <w:rPr>
                <w:rFonts w:ascii="Arabic Typesetting" w:hAnsi="Arabic Typesetting" w:cs="Arabic Typesetting" w:hint="cs"/>
                <w:sz w:val="28"/>
                <w:szCs w:val="28"/>
                <w:rtl/>
                <w:lang w:bidi="ar-EG"/>
              </w:rPr>
              <w:t>شاري المسؤول عن إجراء الدارسة. ولذلك أجرت الأمانة الدراسة بالاستعانة بموظفي الويبو للتخفيف من أثر هذا الخطر في تنفيذ المشروع.</w:t>
            </w:r>
          </w:p>
        </w:tc>
      </w:tr>
      <w:tr w:rsidR="00F96634" w:rsidRPr="00080105" w:rsidTr="00F96634">
        <w:trPr>
          <w:trHeight w:val="776"/>
          <w:jc w:val="center"/>
        </w:trPr>
        <w:tc>
          <w:tcPr>
            <w:tcW w:w="1667" w:type="pct"/>
            <w:shd w:val="clear" w:color="auto" w:fill="FFFFFF"/>
          </w:tcPr>
          <w:p w:rsidR="00F96634" w:rsidRPr="00080105" w:rsidRDefault="00F96634" w:rsidP="00F96634">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تأخر الأعمال أو تعطلها</w:t>
            </w:r>
            <w:r w:rsidR="00DD6B26">
              <w:rPr>
                <w:rFonts w:ascii="Arabic Typesetting" w:hAnsi="Arabic Typesetting" w:cs="Arabic Typesetting" w:hint="cs"/>
                <w:sz w:val="28"/>
                <w:szCs w:val="28"/>
                <w:rtl/>
                <w:lang w:bidi="ar-EG"/>
              </w:rPr>
              <w:t xml:space="preserve"> بسبب </w:t>
            </w:r>
            <w:r w:rsidR="00DD6B26" w:rsidRPr="00080105">
              <w:rPr>
                <w:rFonts w:ascii="Arabic Typesetting" w:hAnsi="Arabic Typesetting" w:cs="Arabic Typesetting"/>
                <w:sz w:val="28"/>
                <w:szCs w:val="28"/>
                <w:rtl/>
                <w:lang w:bidi="ar-EG"/>
              </w:rPr>
              <w:t>حوادث بالموقع</w:t>
            </w:r>
          </w:p>
        </w:tc>
        <w:tc>
          <w:tcPr>
            <w:tcW w:w="1667" w:type="pct"/>
            <w:shd w:val="clear" w:color="auto" w:fill="FFFFFF"/>
          </w:tcPr>
          <w:p w:rsidR="00F96634" w:rsidRPr="00080105" w:rsidRDefault="00DD6B26" w:rsidP="00F96634">
            <w:pPr>
              <w:autoSpaceDE w:val="0"/>
              <w:autoSpaceDN w:val="0"/>
              <w:bidi/>
              <w:adjustRightInd w:val="0"/>
              <w:spacing w:before="40" w:after="40"/>
              <w:rPr>
                <w:rFonts w:ascii="Arabic Typesetting" w:hAnsi="Arabic Typesetting" w:cs="Arabic Typesetting"/>
                <w:sz w:val="28"/>
                <w:szCs w:val="28"/>
                <w:rtl/>
                <w:lang w:bidi="ar-EG"/>
              </w:rPr>
            </w:pPr>
            <w:r w:rsidRPr="00080105">
              <w:rPr>
                <w:rFonts w:ascii="Arabic Typesetting" w:hAnsi="Arabic Typesetting" w:cs="Arabic Typesetting"/>
                <w:sz w:val="28"/>
                <w:szCs w:val="28"/>
                <w:rtl/>
                <w:lang w:bidi="ar-EG"/>
              </w:rPr>
              <w:t>إعادة تثبيت التدابير الأمنية وتعزيزها</w:t>
            </w:r>
            <w:r>
              <w:rPr>
                <w:rFonts w:ascii="Arabic Typesetting" w:hAnsi="Arabic Typesetting" w:cs="Arabic Typesetting" w:hint="cs"/>
                <w:sz w:val="28"/>
                <w:szCs w:val="28"/>
                <w:rtl/>
              </w:rPr>
              <w:t xml:space="preserve"> و</w:t>
            </w:r>
            <w:r w:rsidRPr="00080105">
              <w:rPr>
                <w:rFonts w:ascii="Arabic Typesetting" w:hAnsi="Arabic Typesetting" w:cs="Arabic Typesetting"/>
                <w:sz w:val="28"/>
                <w:szCs w:val="28"/>
                <w:rtl/>
                <w:lang w:bidi="ar-EG"/>
              </w:rPr>
              <w:t>مراجعة الجدول الزمني للأعمال</w:t>
            </w:r>
          </w:p>
        </w:tc>
        <w:tc>
          <w:tcPr>
            <w:tcW w:w="1666" w:type="pct"/>
            <w:shd w:val="clear" w:color="auto" w:fill="FFFFFF"/>
          </w:tcPr>
          <w:p w:rsidR="00F96634" w:rsidRPr="00080105" w:rsidRDefault="00F96634" w:rsidP="00DD6B26">
            <w:pPr>
              <w:autoSpaceDE w:val="0"/>
              <w:autoSpaceDN w:val="0"/>
              <w:bidi/>
              <w:adjustRightInd w:val="0"/>
              <w:spacing w:before="40" w:after="40"/>
              <w:rPr>
                <w:rFonts w:ascii="Arabic Typesetting" w:hAnsi="Arabic Typesetting" w:cs="Arabic Typesetting"/>
                <w:sz w:val="28"/>
                <w:szCs w:val="28"/>
                <w:rtl/>
              </w:rPr>
            </w:pPr>
          </w:p>
        </w:tc>
      </w:tr>
    </w:tbl>
    <w:p w:rsidR="00F96634" w:rsidRDefault="00F96634" w:rsidP="00DD6B26">
      <w:pPr>
        <w:keepNext/>
        <w:bidi/>
        <w:spacing w:before="120" w:after="120"/>
        <w:rPr>
          <w:rFonts w:ascii="Arabic Typesetting" w:hAnsi="Arabic Typesetting" w:cs="Arabic Typesetting"/>
          <w:color w:val="000000"/>
          <w:sz w:val="34"/>
          <w:szCs w:val="34"/>
          <w:rtl/>
          <w:lang w:bidi="ar-EG"/>
        </w:rPr>
      </w:pPr>
      <w:r w:rsidRPr="00080105">
        <w:rPr>
          <w:rFonts w:ascii="Arabic Typesetting" w:hAnsi="Arabic Typesetting" w:cs="Arabic Typesetting"/>
          <w:color w:val="000000"/>
          <w:sz w:val="34"/>
          <w:szCs w:val="34"/>
          <w:rtl/>
          <w:lang w:bidi="ar-EG"/>
        </w:rPr>
        <w:lastRenderedPageBreak/>
        <w:t>الجدول الزمني للمشروع حسب المعالم</w:t>
      </w:r>
    </w:p>
    <w:tbl>
      <w:tblPr>
        <w:bidiVisual/>
        <w:tblW w:w="5000" w:type="pct"/>
        <w:jc w:val="center"/>
        <w:tblLook w:val="04A0" w:firstRow="1" w:lastRow="0" w:firstColumn="1" w:lastColumn="0" w:noHBand="0" w:noVBand="1"/>
      </w:tblPr>
      <w:tblGrid>
        <w:gridCol w:w="3838"/>
        <w:gridCol w:w="359"/>
        <w:gridCol w:w="359"/>
        <w:gridCol w:w="359"/>
        <w:gridCol w:w="359"/>
        <w:gridCol w:w="359"/>
        <w:gridCol w:w="358"/>
        <w:gridCol w:w="358"/>
        <w:gridCol w:w="358"/>
        <w:gridCol w:w="358"/>
        <w:gridCol w:w="358"/>
        <w:gridCol w:w="358"/>
        <w:gridCol w:w="358"/>
        <w:gridCol w:w="358"/>
        <w:gridCol w:w="358"/>
        <w:gridCol w:w="358"/>
        <w:gridCol w:w="358"/>
      </w:tblGrid>
      <w:tr w:rsidR="00995B0F" w:rsidRPr="005158E3" w:rsidTr="00995B0F">
        <w:trPr>
          <w:cantSplit/>
          <w:trHeight w:val="270"/>
          <w:tblHeader/>
          <w:jc w:val="center"/>
        </w:trPr>
        <w:tc>
          <w:tcPr>
            <w:tcW w:w="140" w:type="pct"/>
            <w:tcBorders>
              <w:top w:val="nil"/>
              <w:left w:val="nil"/>
              <w:bottom w:val="nil"/>
              <w:right w:val="nil"/>
            </w:tcBorders>
            <w:shd w:val="clear" w:color="auto" w:fill="auto"/>
            <w:noWrap/>
            <w:vAlign w:val="bottom"/>
            <w:hideMark/>
          </w:tcPr>
          <w:p w:rsidR="00DD6B26" w:rsidRPr="00ED7C01" w:rsidRDefault="00DD6B26" w:rsidP="00DD6B26">
            <w:pPr>
              <w:keepNext/>
              <w:rPr>
                <w:color w:val="000000"/>
                <w:sz w:val="18"/>
                <w:szCs w:val="18"/>
              </w:rPr>
            </w:pPr>
          </w:p>
        </w:tc>
        <w:tc>
          <w:tcPr>
            <w:tcW w:w="1516" w:type="pct"/>
            <w:gridSpan w:val="4"/>
            <w:tcBorders>
              <w:top w:val="single" w:sz="8" w:space="0" w:color="auto"/>
              <w:left w:val="single" w:sz="8" w:space="0" w:color="auto"/>
              <w:bottom w:val="single" w:sz="4" w:space="0" w:color="auto"/>
              <w:right w:val="single" w:sz="8" w:space="0" w:color="000000"/>
            </w:tcBorders>
            <w:shd w:val="clear" w:color="auto" w:fill="C6D9F1" w:themeFill="text2" w:themeFillTint="33"/>
            <w:noWrap/>
            <w:vAlign w:val="bottom"/>
            <w:hideMark/>
          </w:tcPr>
          <w:p w:rsidR="00DD6B26" w:rsidRPr="00ED7C01" w:rsidRDefault="00DD6B26" w:rsidP="00DD6B26">
            <w:pPr>
              <w:keepNext/>
              <w:jc w:val="center"/>
              <w:rPr>
                <w:b/>
                <w:bCs/>
                <w:color w:val="000000"/>
                <w:sz w:val="18"/>
                <w:szCs w:val="18"/>
              </w:rPr>
            </w:pPr>
            <w:r w:rsidRPr="00ED7C01">
              <w:rPr>
                <w:b/>
                <w:bCs/>
                <w:color w:val="000000"/>
                <w:sz w:val="18"/>
                <w:szCs w:val="18"/>
              </w:rPr>
              <w:t>2014</w:t>
            </w:r>
          </w:p>
        </w:tc>
        <w:tc>
          <w:tcPr>
            <w:tcW w:w="1112" w:type="pct"/>
            <w:gridSpan w:val="4"/>
            <w:tcBorders>
              <w:top w:val="single" w:sz="8" w:space="0" w:color="auto"/>
              <w:left w:val="nil"/>
              <w:bottom w:val="single" w:sz="4" w:space="0" w:color="auto"/>
              <w:right w:val="single" w:sz="8" w:space="0" w:color="000000"/>
            </w:tcBorders>
            <w:shd w:val="clear" w:color="auto" w:fill="C6D9F1" w:themeFill="text2" w:themeFillTint="33"/>
            <w:noWrap/>
            <w:vAlign w:val="bottom"/>
            <w:hideMark/>
          </w:tcPr>
          <w:p w:rsidR="00DD6B26" w:rsidRPr="00ED7C01" w:rsidRDefault="00DD6B26" w:rsidP="00DD6B26">
            <w:pPr>
              <w:keepNext/>
              <w:jc w:val="center"/>
              <w:rPr>
                <w:b/>
                <w:bCs/>
                <w:color w:val="000000"/>
                <w:sz w:val="18"/>
                <w:szCs w:val="18"/>
              </w:rPr>
            </w:pPr>
            <w:r w:rsidRPr="00ED7C01">
              <w:rPr>
                <w:b/>
                <w:bCs/>
                <w:color w:val="000000"/>
                <w:sz w:val="18"/>
                <w:szCs w:val="18"/>
              </w:rPr>
              <w:t>2015</w:t>
            </w:r>
          </w:p>
        </w:tc>
        <w:tc>
          <w:tcPr>
            <w:tcW w:w="1114" w:type="pct"/>
            <w:gridSpan w:val="4"/>
            <w:tcBorders>
              <w:top w:val="single" w:sz="8" w:space="0" w:color="auto"/>
              <w:left w:val="nil"/>
              <w:bottom w:val="single" w:sz="4" w:space="0" w:color="auto"/>
              <w:right w:val="single" w:sz="8" w:space="0" w:color="000000"/>
            </w:tcBorders>
            <w:shd w:val="clear" w:color="auto" w:fill="C6D9F1" w:themeFill="text2" w:themeFillTint="33"/>
            <w:noWrap/>
            <w:vAlign w:val="bottom"/>
            <w:hideMark/>
          </w:tcPr>
          <w:p w:rsidR="00DD6B26" w:rsidRPr="00ED7C01" w:rsidRDefault="00DD6B26" w:rsidP="00DD6B26">
            <w:pPr>
              <w:keepNext/>
              <w:jc w:val="center"/>
              <w:rPr>
                <w:b/>
                <w:bCs/>
                <w:color w:val="000000"/>
                <w:sz w:val="18"/>
                <w:szCs w:val="18"/>
              </w:rPr>
            </w:pPr>
            <w:r w:rsidRPr="00ED7C01">
              <w:rPr>
                <w:b/>
                <w:bCs/>
                <w:color w:val="000000"/>
                <w:sz w:val="18"/>
                <w:szCs w:val="18"/>
              </w:rPr>
              <w:t>2016</w:t>
            </w:r>
          </w:p>
        </w:tc>
        <w:tc>
          <w:tcPr>
            <w:tcW w:w="1118" w:type="pct"/>
            <w:gridSpan w:val="4"/>
            <w:tcBorders>
              <w:top w:val="single" w:sz="8" w:space="0" w:color="auto"/>
              <w:left w:val="nil"/>
              <w:bottom w:val="single" w:sz="4" w:space="0" w:color="auto"/>
              <w:right w:val="single" w:sz="8" w:space="0" w:color="000000"/>
            </w:tcBorders>
            <w:shd w:val="clear" w:color="auto" w:fill="C6D9F1" w:themeFill="text2" w:themeFillTint="33"/>
            <w:noWrap/>
            <w:vAlign w:val="bottom"/>
            <w:hideMark/>
          </w:tcPr>
          <w:p w:rsidR="00DD6B26" w:rsidRPr="00ED7C01" w:rsidRDefault="00DD6B26" w:rsidP="00DD6B26">
            <w:pPr>
              <w:keepNext/>
              <w:jc w:val="center"/>
              <w:rPr>
                <w:b/>
                <w:bCs/>
                <w:color w:val="000000"/>
                <w:sz w:val="18"/>
                <w:szCs w:val="18"/>
              </w:rPr>
            </w:pPr>
            <w:r w:rsidRPr="00ED7C01">
              <w:rPr>
                <w:b/>
                <w:bCs/>
                <w:color w:val="000000"/>
                <w:sz w:val="18"/>
                <w:szCs w:val="18"/>
              </w:rPr>
              <w:t>2017</w:t>
            </w:r>
          </w:p>
        </w:tc>
      </w:tr>
      <w:tr w:rsidR="00995B0F" w:rsidRPr="005158E3" w:rsidTr="00995B0F">
        <w:trPr>
          <w:cantSplit/>
          <w:trHeight w:val="375"/>
          <w:tblHeader/>
          <w:jc w:val="center"/>
        </w:trPr>
        <w:tc>
          <w:tcPr>
            <w:tcW w:w="140" w:type="pct"/>
            <w:tcBorders>
              <w:top w:val="single" w:sz="8" w:space="0" w:color="auto"/>
              <w:left w:val="single" w:sz="8" w:space="0" w:color="auto"/>
              <w:bottom w:val="single" w:sz="4" w:space="0" w:color="auto"/>
              <w:right w:val="single" w:sz="8" w:space="0" w:color="auto"/>
            </w:tcBorders>
            <w:shd w:val="clear" w:color="auto" w:fill="C6D9F1" w:themeFill="text2" w:themeFillTint="33"/>
            <w:noWrap/>
            <w:vAlign w:val="bottom"/>
            <w:hideMark/>
          </w:tcPr>
          <w:p w:rsidR="00DD6B26" w:rsidRPr="00080105" w:rsidRDefault="00DD6B26" w:rsidP="001D7014">
            <w:pPr>
              <w:bidi/>
              <w:rPr>
                <w:rFonts w:ascii="Arabic Typesetting" w:hAnsi="Arabic Typesetting" w:cs="Arabic Typesetting"/>
                <w:sz w:val="28"/>
                <w:szCs w:val="28"/>
                <w:rtl/>
                <w:lang w:bidi="ar-EG"/>
              </w:rPr>
            </w:pPr>
            <w:r w:rsidRPr="00080105">
              <w:rPr>
                <w:rFonts w:ascii="Arabic Typesetting" w:hAnsi="Arabic Typesetting" w:cs="Arabic Typesetting"/>
                <w:bCs/>
                <w:color w:val="000000"/>
                <w:sz w:val="28"/>
                <w:szCs w:val="28"/>
                <w:rtl/>
                <w:lang w:bidi="ar-EG"/>
              </w:rPr>
              <w:t>المعالم الرئيسية</w:t>
            </w:r>
          </w:p>
        </w:tc>
        <w:tc>
          <w:tcPr>
            <w:tcW w:w="668"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ف1</w:t>
            </w:r>
          </w:p>
        </w:tc>
        <w:tc>
          <w:tcPr>
            <w:tcW w:w="288"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ف2</w:t>
            </w:r>
          </w:p>
        </w:tc>
        <w:tc>
          <w:tcPr>
            <w:tcW w:w="277"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ف3</w:t>
            </w:r>
          </w:p>
        </w:tc>
        <w:tc>
          <w:tcPr>
            <w:tcW w:w="284" w:type="pct"/>
            <w:tcBorders>
              <w:top w:val="nil"/>
              <w:left w:val="nil"/>
              <w:bottom w:val="single" w:sz="4" w:space="0" w:color="auto"/>
              <w:right w:val="single" w:sz="8"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ف4</w:t>
            </w:r>
          </w:p>
        </w:tc>
        <w:tc>
          <w:tcPr>
            <w:tcW w:w="278"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ف1</w:t>
            </w:r>
          </w:p>
        </w:tc>
        <w:tc>
          <w:tcPr>
            <w:tcW w:w="277"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ف2</w:t>
            </w:r>
          </w:p>
        </w:tc>
        <w:tc>
          <w:tcPr>
            <w:tcW w:w="277"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ف3</w:t>
            </w:r>
          </w:p>
        </w:tc>
        <w:tc>
          <w:tcPr>
            <w:tcW w:w="280" w:type="pct"/>
            <w:tcBorders>
              <w:top w:val="nil"/>
              <w:left w:val="nil"/>
              <w:bottom w:val="single" w:sz="4" w:space="0" w:color="auto"/>
              <w:right w:val="single" w:sz="8"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ف4</w:t>
            </w:r>
          </w:p>
        </w:tc>
        <w:tc>
          <w:tcPr>
            <w:tcW w:w="277"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ف1</w:t>
            </w:r>
          </w:p>
        </w:tc>
        <w:tc>
          <w:tcPr>
            <w:tcW w:w="277"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ف2</w:t>
            </w:r>
          </w:p>
        </w:tc>
        <w:tc>
          <w:tcPr>
            <w:tcW w:w="277"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ف3</w:t>
            </w:r>
          </w:p>
        </w:tc>
        <w:tc>
          <w:tcPr>
            <w:tcW w:w="283" w:type="pct"/>
            <w:tcBorders>
              <w:top w:val="nil"/>
              <w:left w:val="nil"/>
              <w:bottom w:val="single" w:sz="4" w:space="0" w:color="auto"/>
              <w:right w:val="single" w:sz="8"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ف4</w:t>
            </w:r>
          </w:p>
        </w:tc>
        <w:tc>
          <w:tcPr>
            <w:tcW w:w="273"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ف1</w:t>
            </w:r>
          </w:p>
        </w:tc>
        <w:tc>
          <w:tcPr>
            <w:tcW w:w="288"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ف2</w:t>
            </w:r>
          </w:p>
        </w:tc>
        <w:tc>
          <w:tcPr>
            <w:tcW w:w="288" w:type="pct"/>
            <w:tcBorders>
              <w:top w:val="nil"/>
              <w:left w:val="nil"/>
              <w:bottom w:val="single" w:sz="4" w:space="0" w:color="auto"/>
              <w:right w:val="single" w:sz="4"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ف3</w:t>
            </w:r>
          </w:p>
        </w:tc>
        <w:tc>
          <w:tcPr>
            <w:tcW w:w="269" w:type="pct"/>
            <w:tcBorders>
              <w:top w:val="nil"/>
              <w:left w:val="nil"/>
              <w:bottom w:val="single" w:sz="4" w:space="0" w:color="auto"/>
              <w:right w:val="single" w:sz="8" w:space="0" w:color="auto"/>
            </w:tcBorders>
            <w:shd w:val="clear" w:color="auto" w:fill="C6D9F1" w:themeFill="text2" w:themeFillTint="33"/>
            <w:noWrap/>
            <w:vAlign w:val="bottom"/>
            <w:hideMark/>
          </w:tcPr>
          <w:p w:rsidR="00DD6B26" w:rsidRPr="00995B0F" w:rsidRDefault="00DD6B26" w:rsidP="001D7014">
            <w:pPr>
              <w:bidi/>
              <w:rPr>
                <w:rFonts w:ascii="Arabic Typesetting" w:hAnsi="Arabic Typesetting" w:cs="Arabic Typesetting"/>
                <w:sz w:val="28"/>
                <w:szCs w:val="28"/>
                <w:rtl/>
                <w:lang w:bidi="ar-EG"/>
              </w:rPr>
            </w:pPr>
            <w:r w:rsidRPr="00995B0F">
              <w:rPr>
                <w:rFonts w:ascii="Arabic Typesetting" w:hAnsi="Arabic Typesetting" w:cs="Arabic Typesetting"/>
                <w:bCs/>
                <w:color w:val="000000"/>
                <w:sz w:val="28"/>
                <w:szCs w:val="28"/>
                <w:rtl/>
                <w:lang w:bidi="ar-EG"/>
              </w:rPr>
              <w:t>ف4</w:t>
            </w:r>
          </w:p>
        </w:tc>
      </w:tr>
      <w:tr w:rsidR="00995B0F" w:rsidRPr="003962D0" w:rsidTr="00995B0F">
        <w:trPr>
          <w:cantSplit/>
          <w:trHeight w:val="615"/>
          <w:jc w:val="center"/>
        </w:trPr>
        <w:tc>
          <w:tcPr>
            <w:tcW w:w="140" w:type="pct"/>
            <w:tcBorders>
              <w:top w:val="nil"/>
              <w:left w:val="single" w:sz="8" w:space="0" w:color="auto"/>
              <w:bottom w:val="single" w:sz="4" w:space="0" w:color="auto"/>
              <w:right w:val="single" w:sz="8" w:space="0" w:color="auto"/>
            </w:tcBorders>
            <w:shd w:val="clear" w:color="auto" w:fill="auto"/>
            <w:noWrap/>
            <w:vAlign w:val="center"/>
            <w:hideMark/>
          </w:tcPr>
          <w:p w:rsidR="00DD6B26" w:rsidRPr="00080105" w:rsidRDefault="00DD6B26" w:rsidP="001D7014">
            <w:pPr>
              <w:bidi/>
              <w:rPr>
                <w:rFonts w:ascii="Arabic Typesetting" w:hAnsi="Arabic Typesetting" w:cs="Arabic Typesetting"/>
                <w:color w:val="000000"/>
                <w:sz w:val="28"/>
                <w:szCs w:val="28"/>
                <w:rtl/>
                <w:lang w:bidi="ar-EG"/>
              </w:rPr>
            </w:pPr>
            <w:r w:rsidRPr="00080105">
              <w:rPr>
                <w:rFonts w:ascii="Arabic Typesetting" w:hAnsi="Arabic Typesetting" w:cs="Arabic Typesetting"/>
                <w:color w:val="000000"/>
                <w:sz w:val="28"/>
                <w:szCs w:val="28"/>
                <w:rtl/>
                <w:lang w:bidi="ar-EG"/>
              </w:rPr>
              <w:t>الفصل بين المناطق في مبنى البراءات</w:t>
            </w:r>
          </w:p>
          <w:p w:rsidR="00DD6B26" w:rsidRPr="00080105" w:rsidRDefault="00DD6B26"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إكمال العمل</w:t>
            </w:r>
          </w:p>
        </w:tc>
        <w:tc>
          <w:tcPr>
            <w:tcW w:w="66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4"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0"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3"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3"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69"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r>
      <w:tr w:rsidR="00995B0F" w:rsidRPr="003962D0" w:rsidTr="00995B0F">
        <w:trPr>
          <w:cantSplit/>
          <w:trHeight w:val="615"/>
          <w:jc w:val="center"/>
        </w:trPr>
        <w:tc>
          <w:tcPr>
            <w:tcW w:w="140" w:type="pct"/>
            <w:tcBorders>
              <w:top w:val="nil"/>
              <w:left w:val="single" w:sz="8" w:space="0" w:color="auto"/>
              <w:bottom w:val="single" w:sz="4" w:space="0" w:color="auto"/>
              <w:right w:val="single" w:sz="8" w:space="0" w:color="auto"/>
            </w:tcBorders>
            <w:shd w:val="clear" w:color="auto" w:fill="auto"/>
            <w:noWrap/>
            <w:vAlign w:val="center"/>
            <w:hideMark/>
          </w:tcPr>
          <w:p w:rsidR="00DD6B26" w:rsidRPr="00080105" w:rsidRDefault="00DD6B26"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الفصل بين المناطق في المنطقة </w:t>
            </w:r>
            <w:r w:rsidRPr="00080105">
              <w:rPr>
                <w:rFonts w:ascii="Arabic Typesetting" w:hAnsi="Arabic Typesetting" w:cs="Arabic Typesetting"/>
                <w:color w:val="000000"/>
                <w:sz w:val="28"/>
                <w:szCs w:val="28"/>
                <w:lang w:bidi="ar-EG"/>
              </w:rPr>
              <w:t>AB -2</w:t>
            </w:r>
            <w:r w:rsidRPr="00080105">
              <w:rPr>
                <w:rFonts w:ascii="Arabic Typesetting" w:hAnsi="Arabic Typesetting" w:cs="Arabic Typesetting"/>
                <w:color w:val="000000"/>
                <w:sz w:val="28"/>
                <w:szCs w:val="28"/>
                <w:rtl/>
                <w:lang w:bidi="ar-EG"/>
              </w:rPr>
              <w:t xml:space="preserve"> وإنشاء غرفة ضغط</w:t>
            </w:r>
          </w:p>
        </w:tc>
        <w:tc>
          <w:tcPr>
            <w:tcW w:w="66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84"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0"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3"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73"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69"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r>
      <w:tr w:rsidR="00995B0F" w:rsidRPr="003962D0" w:rsidTr="00995B0F">
        <w:trPr>
          <w:cantSplit/>
          <w:trHeight w:val="615"/>
          <w:jc w:val="center"/>
        </w:trPr>
        <w:tc>
          <w:tcPr>
            <w:tcW w:w="140" w:type="pct"/>
            <w:tcBorders>
              <w:top w:val="nil"/>
              <w:left w:val="single" w:sz="8" w:space="0" w:color="auto"/>
              <w:bottom w:val="single" w:sz="4" w:space="0" w:color="auto"/>
              <w:right w:val="single" w:sz="8" w:space="0" w:color="auto"/>
            </w:tcBorders>
            <w:shd w:val="clear" w:color="auto" w:fill="auto"/>
            <w:noWrap/>
            <w:vAlign w:val="bottom"/>
            <w:hideMark/>
          </w:tcPr>
          <w:p w:rsidR="00DD6B26" w:rsidRPr="00080105" w:rsidRDefault="00DD6B26"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الدراسة والمشروع بخصوص الفصل بين المناطق بين مبنى </w:t>
            </w:r>
            <w:proofErr w:type="spellStart"/>
            <w:r w:rsidRPr="00080105">
              <w:rPr>
                <w:rFonts w:ascii="Arabic Typesetting" w:hAnsi="Arabic Typesetting" w:cs="Arabic Typesetting"/>
                <w:color w:val="000000"/>
                <w:sz w:val="28"/>
                <w:szCs w:val="28"/>
                <w:rtl/>
                <w:lang w:bidi="ar-EG"/>
              </w:rPr>
              <w:t>بودنهاوزن</w:t>
            </w:r>
            <w:proofErr w:type="spellEnd"/>
            <w:r w:rsidRPr="00080105">
              <w:rPr>
                <w:rFonts w:ascii="Arabic Typesetting" w:hAnsi="Arabic Typesetting" w:cs="Arabic Typesetting"/>
                <w:color w:val="000000"/>
                <w:sz w:val="28"/>
                <w:szCs w:val="28"/>
                <w:rtl/>
                <w:lang w:bidi="ar-EG"/>
              </w:rPr>
              <w:t xml:space="preserve"> الأول ومبنى </w:t>
            </w:r>
            <w:proofErr w:type="spellStart"/>
            <w:r w:rsidRPr="00080105">
              <w:rPr>
                <w:rFonts w:ascii="Arabic Typesetting" w:hAnsi="Arabic Typesetting" w:cs="Arabic Typesetting"/>
                <w:color w:val="000000"/>
                <w:sz w:val="28"/>
                <w:szCs w:val="28"/>
                <w:rtl/>
                <w:lang w:bidi="ar-EG"/>
              </w:rPr>
              <w:t>أرباد</w:t>
            </w:r>
            <w:proofErr w:type="spellEnd"/>
            <w:r w:rsidRPr="00080105">
              <w:rPr>
                <w:rFonts w:ascii="Arabic Typesetting" w:hAnsi="Arabic Typesetting" w:cs="Arabic Typesetting"/>
                <w:color w:val="000000"/>
                <w:sz w:val="28"/>
                <w:szCs w:val="28"/>
                <w:rtl/>
                <w:lang w:bidi="ar-EG"/>
              </w:rPr>
              <w:t xml:space="preserve"> </w:t>
            </w:r>
            <w:proofErr w:type="spellStart"/>
            <w:r w:rsidRPr="00080105">
              <w:rPr>
                <w:rFonts w:ascii="Arabic Typesetting" w:hAnsi="Arabic Typesetting" w:cs="Arabic Typesetting"/>
                <w:color w:val="000000"/>
                <w:sz w:val="28"/>
                <w:szCs w:val="28"/>
                <w:rtl/>
                <w:lang w:bidi="ar-EG"/>
              </w:rPr>
              <w:t>بوكش</w:t>
            </w:r>
            <w:proofErr w:type="spellEnd"/>
          </w:p>
        </w:tc>
        <w:tc>
          <w:tcPr>
            <w:tcW w:w="66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4"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80"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83"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3"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69"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r>
      <w:tr w:rsidR="00995B0F" w:rsidRPr="003962D0" w:rsidTr="00995B0F">
        <w:trPr>
          <w:cantSplit/>
          <w:trHeight w:val="615"/>
          <w:jc w:val="center"/>
        </w:trPr>
        <w:tc>
          <w:tcPr>
            <w:tcW w:w="140" w:type="pct"/>
            <w:tcBorders>
              <w:top w:val="nil"/>
              <w:left w:val="single" w:sz="8" w:space="0" w:color="auto"/>
              <w:bottom w:val="single" w:sz="4" w:space="0" w:color="auto"/>
              <w:right w:val="single" w:sz="8" w:space="0" w:color="auto"/>
            </w:tcBorders>
            <w:shd w:val="clear" w:color="auto" w:fill="auto"/>
            <w:noWrap/>
            <w:vAlign w:val="bottom"/>
            <w:hideMark/>
          </w:tcPr>
          <w:p w:rsidR="00DD6B26" w:rsidRPr="00080105" w:rsidRDefault="00DD6B26"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المشروع المتعلق بالفصل بين المناطق بين مبنى </w:t>
            </w:r>
            <w:proofErr w:type="spellStart"/>
            <w:r w:rsidRPr="00080105">
              <w:rPr>
                <w:rFonts w:ascii="Arabic Typesetting" w:hAnsi="Arabic Typesetting" w:cs="Arabic Typesetting"/>
                <w:color w:val="000000"/>
                <w:sz w:val="28"/>
                <w:szCs w:val="28"/>
                <w:rtl/>
                <w:lang w:bidi="ar-EG"/>
              </w:rPr>
              <w:t>بودنهاوزن</w:t>
            </w:r>
            <w:proofErr w:type="spellEnd"/>
            <w:r w:rsidRPr="00080105">
              <w:rPr>
                <w:rFonts w:ascii="Arabic Typesetting" w:hAnsi="Arabic Typesetting" w:cs="Arabic Typesetting"/>
                <w:color w:val="000000"/>
                <w:sz w:val="28"/>
                <w:szCs w:val="28"/>
                <w:rtl/>
                <w:lang w:bidi="ar-EG"/>
              </w:rPr>
              <w:t xml:space="preserve"> الأول ومبنى </w:t>
            </w:r>
            <w:proofErr w:type="spellStart"/>
            <w:r w:rsidRPr="00080105">
              <w:rPr>
                <w:rFonts w:ascii="Arabic Typesetting" w:hAnsi="Arabic Typesetting" w:cs="Arabic Typesetting"/>
                <w:color w:val="000000"/>
                <w:sz w:val="28"/>
                <w:szCs w:val="28"/>
                <w:rtl/>
                <w:lang w:bidi="ar-EG"/>
              </w:rPr>
              <w:t>بودنهاوزن</w:t>
            </w:r>
            <w:proofErr w:type="spellEnd"/>
            <w:r w:rsidRPr="00080105">
              <w:rPr>
                <w:rFonts w:ascii="Arabic Typesetting" w:hAnsi="Arabic Typesetting" w:cs="Arabic Typesetting"/>
                <w:color w:val="000000"/>
                <w:sz w:val="28"/>
                <w:szCs w:val="28"/>
                <w:rtl/>
                <w:lang w:bidi="ar-EG"/>
              </w:rPr>
              <w:t xml:space="preserve"> الثاني (جميع المستويات عدا -1)</w:t>
            </w:r>
          </w:p>
        </w:tc>
        <w:tc>
          <w:tcPr>
            <w:tcW w:w="66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4"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0"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83"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73"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c>
          <w:tcPr>
            <w:tcW w:w="269"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p>
        </w:tc>
      </w:tr>
      <w:tr w:rsidR="00995B0F" w:rsidRPr="003962D0" w:rsidTr="00995B0F">
        <w:trPr>
          <w:cantSplit/>
          <w:trHeight w:val="615"/>
          <w:jc w:val="center"/>
        </w:trPr>
        <w:tc>
          <w:tcPr>
            <w:tcW w:w="140" w:type="pct"/>
            <w:tcBorders>
              <w:top w:val="nil"/>
              <w:left w:val="single" w:sz="8" w:space="0" w:color="auto"/>
              <w:bottom w:val="single" w:sz="4" w:space="0" w:color="auto"/>
              <w:right w:val="single" w:sz="8" w:space="0" w:color="auto"/>
            </w:tcBorders>
            <w:shd w:val="clear" w:color="auto" w:fill="auto"/>
            <w:noWrap/>
            <w:vAlign w:val="bottom"/>
            <w:hideMark/>
          </w:tcPr>
          <w:p w:rsidR="00DD6B26" w:rsidRPr="00080105" w:rsidRDefault="00DD6B26" w:rsidP="001D7014">
            <w:pPr>
              <w:bidi/>
              <w:rPr>
                <w:rFonts w:ascii="Arabic Typesetting" w:hAnsi="Arabic Typesetting" w:cs="Arabic Typesetting"/>
                <w:sz w:val="28"/>
                <w:szCs w:val="28"/>
                <w:rtl/>
                <w:lang w:bidi="ar-EG"/>
              </w:rPr>
            </w:pPr>
            <w:r w:rsidRPr="00080105">
              <w:rPr>
                <w:rFonts w:ascii="Arabic Typesetting" w:hAnsi="Arabic Typesetting" w:cs="Arabic Typesetting"/>
                <w:color w:val="000000"/>
                <w:sz w:val="28"/>
                <w:szCs w:val="28"/>
                <w:rtl/>
                <w:lang w:bidi="ar-EG"/>
              </w:rPr>
              <w:t xml:space="preserve">المشروع المتعلق بالفصل بين المناطق في مبنى </w:t>
            </w:r>
            <w:proofErr w:type="spellStart"/>
            <w:r w:rsidRPr="00080105">
              <w:rPr>
                <w:rFonts w:ascii="Arabic Typesetting" w:hAnsi="Arabic Typesetting" w:cs="Arabic Typesetting"/>
                <w:color w:val="000000"/>
                <w:sz w:val="28"/>
                <w:szCs w:val="28"/>
                <w:rtl/>
                <w:lang w:bidi="ar-EG"/>
              </w:rPr>
              <w:t>أرباد</w:t>
            </w:r>
            <w:proofErr w:type="spellEnd"/>
            <w:r w:rsidRPr="00080105">
              <w:rPr>
                <w:rFonts w:ascii="Arabic Typesetting" w:hAnsi="Arabic Typesetting" w:cs="Arabic Typesetting"/>
                <w:color w:val="000000"/>
                <w:sz w:val="28"/>
                <w:szCs w:val="28"/>
                <w:rtl/>
                <w:lang w:bidi="ar-EG"/>
              </w:rPr>
              <w:t xml:space="preserve"> </w:t>
            </w:r>
            <w:proofErr w:type="spellStart"/>
            <w:r w:rsidRPr="00080105">
              <w:rPr>
                <w:rFonts w:ascii="Arabic Typesetting" w:hAnsi="Arabic Typesetting" w:cs="Arabic Typesetting"/>
                <w:color w:val="000000"/>
                <w:sz w:val="28"/>
                <w:szCs w:val="28"/>
                <w:rtl/>
                <w:lang w:bidi="ar-EG"/>
              </w:rPr>
              <w:t>بوكش</w:t>
            </w:r>
            <w:proofErr w:type="spellEnd"/>
            <w:r w:rsidRPr="00080105">
              <w:rPr>
                <w:rFonts w:ascii="Arabic Typesetting" w:hAnsi="Arabic Typesetting" w:cs="Arabic Typesetting"/>
                <w:color w:val="000000"/>
                <w:sz w:val="28"/>
                <w:szCs w:val="28"/>
                <w:rtl/>
                <w:lang w:bidi="ar-EG"/>
              </w:rPr>
              <w:t xml:space="preserve"> (عدا -2)</w:t>
            </w:r>
          </w:p>
        </w:tc>
        <w:tc>
          <w:tcPr>
            <w:tcW w:w="66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4"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0"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7"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83"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rPr>
            </w:pPr>
          </w:p>
        </w:tc>
        <w:tc>
          <w:tcPr>
            <w:tcW w:w="273"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88" w:type="pct"/>
            <w:tcBorders>
              <w:top w:val="nil"/>
              <w:left w:val="nil"/>
              <w:bottom w:val="single" w:sz="4" w:space="0" w:color="auto"/>
              <w:right w:val="single" w:sz="4"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c>
          <w:tcPr>
            <w:tcW w:w="269" w:type="pct"/>
            <w:tcBorders>
              <w:top w:val="nil"/>
              <w:left w:val="nil"/>
              <w:bottom w:val="single" w:sz="4" w:space="0" w:color="auto"/>
              <w:right w:val="single" w:sz="8" w:space="0" w:color="auto"/>
            </w:tcBorders>
            <w:shd w:val="clear" w:color="auto" w:fill="auto"/>
            <w:noWrap/>
            <w:vAlign w:val="center"/>
            <w:hideMark/>
          </w:tcPr>
          <w:p w:rsidR="00DD6B26" w:rsidRPr="00ED7C01" w:rsidRDefault="00DD6B26" w:rsidP="001D7014">
            <w:pPr>
              <w:spacing w:before="40" w:after="40"/>
              <w:jc w:val="center"/>
              <w:rPr>
                <w:color w:val="000000"/>
                <w:sz w:val="16"/>
                <w:szCs w:val="16"/>
                <w:lang w:val="fr-CH"/>
              </w:rPr>
            </w:pPr>
            <w:r w:rsidRPr="00ED7C01">
              <w:rPr>
                <w:color w:val="000000"/>
                <w:sz w:val="16"/>
                <w:szCs w:val="16"/>
                <w:lang w:val="fr-CH"/>
              </w:rPr>
              <w:t>X</w:t>
            </w:r>
          </w:p>
        </w:tc>
      </w:tr>
    </w:tbl>
    <w:p w:rsidR="00B31868" w:rsidRPr="00D01A8D" w:rsidRDefault="00B31868" w:rsidP="00AF4802">
      <w:pPr>
        <w:bidi/>
        <w:spacing w:before="480" w:after="240" w:line="360" w:lineRule="exact"/>
        <w:ind w:left="5534"/>
        <w:rPr>
          <w:rFonts w:ascii="Arabic Typesetting" w:hAnsi="Arabic Typesetting" w:cs="Arabic Typesetting"/>
          <w:sz w:val="34"/>
          <w:szCs w:val="34"/>
          <w:rtl/>
          <w:lang w:bidi="ar-EG"/>
        </w:rPr>
      </w:pPr>
      <w:r w:rsidRPr="00B31868">
        <w:rPr>
          <w:rFonts w:ascii="Arabic Typesetting" w:hAnsi="Arabic Typesetting" w:cs="Arabic Typesetting" w:hint="cs"/>
          <w:sz w:val="34"/>
          <w:szCs w:val="34"/>
          <w:rtl/>
          <w:lang w:bidi="ar-EG"/>
        </w:rPr>
        <w:t>[يلي ذلك الملحق الرابع]</w:t>
      </w:r>
    </w:p>
    <w:p w:rsidR="00B31868" w:rsidRPr="00365D19" w:rsidRDefault="00B31868" w:rsidP="00A6681C">
      <w:pPr>
        <w:pStyle w:val="Heading3AR"/>
        <w:spacing w:after="240"/>
        <w:ind w:left="0" w:firstLine="0"/>
        <w:rPr>
          <w:rtl/>
        </w:rPr>
      </w:pPr>
      <w:bookmarkStart w:id="168" w:name="_Toc450635448"/>
      <w:bookmarkStart w:id="169" w:name="_Toc455393417"/>
      <w:r w:rsidRPr="00365D19">
        <w:rPr>
          <w:rFonts w:hint="cs"/>
          <w:rtl/>
        </w:rPr>
        <w:lastRenderedPageBreak/>
        <w:t>الملحق الرابع</w:t>
      </w:r>
      <w:r w:rsidR="00365D19">
        <w:rPr>
          <w:rtl/>
        </w:rPr>
        <w:tab/>
      </w:r>
      <w:r w:rsidR="00365D19">
        <w:rPr>
          <w:rFonts w:hint="cs"/>
          <w:rtl/>
        </w:rPr>
        <w:t>قائمة بالمختصرات الواردة في النص الإنكليزي</w:t>
      </w:r>
      <w:bookmarkEnd w:id="168"/>
      <w:bookmarkEnd w:id="169"/>
    </w:p>
    <w:p w:rsidR="00A6681C" w:rsidRPr="00A6681C" w:rsidRDefault="00A6681C" w:rsidP="00A6681C">
      <w:pPr>
        <w:tabs>
          <w:tab w:val="left" w:pos="2127"/>
        </w:tabs>
        <w:spacing w:after="40"/>
        <w:rPr>
          <w:sz w:val="20"/>
          <w:szCs w:val="24"/>
        </w:rPr>
      </w:pPr>
      <w:r w:rsidRPr="00A6681C">
        <w:rPr>
          <w:b/>
          <w:bCs/>
          <w:sz w:val="20"/>
          <w:szCs w:val="24"/>
        </w:rPr>
        <w:t>A</w:t>
      </w:r>
      <w:r w:rsidRPr="00A6681C">
        <w:rPr>
          <w:sz w:val="20"/>
          <w:szCs w:val="24"/>
        </w:rPr>
        <w:t>CE</w:t>
      </w:r>
      <w:r w:rsidRPr="00A6681C">
        <w:rPr>
          <w:sz w:val="20"/>
          <w:szCs w:val="24"/>
        </w:rPr>
        <w:tab/>
        <w:t xml:space="preserve">Advisory Committee on Enforcement </w:t>
      </w:r>
    </w:p>
    <w:p w:rsidR="00A6681C" w:rsidRPr="00A6681C" w:rsidRDefault="00A6681C" w:rsidP="00A6681C">
      <w:pPr>
        <w:tabs>
          <w:tab w:val="left" w:pos="2127"/>
        </w:tabs>
        <w:spacing w:after="40"/>
        <w:rPr>
          <w:sz w:val="20"/>
          <w:szCs w:val="24"/>
        </w:rPr>
      </w:pPr>
      <w:r w:rsidRPr="00A6681C">
        <w:rPr>
          <w:rFonts w:cs="Times New Roman"/>
          <w:sz w:val="20"/>
        </w:rPr>
        <w:t>AADD</w:t>
      </w:r>
      <w:r w:rsidRPr="00A6681C">
        <w:rPr>
          <w:rFonts w:cs="Times New Roman"/>
          <w:sz w:val="20"/>
        </w:rPr>
        <w:tab/>
        <w:t xml:space="preserve">Assemblies Affairs and Documentation Division </w:t>
      </w:r>
    </w:p>
    <w:p w:rsidR="00A6681C" w:rsidRPr="00A6681C" w:rsidRDefault="00A6681C" w:rsidP="00A6681C">
      <w:pPr>
        <w:tabs>
          <w:tab w:val="left" w:pos="2127"/>
        </w:tabs>
        <w:spacing w:after="40"/>
        <w:rPr>
          <w:sz w:val="20"/>
          <w:szCs w:val="24"/>
        </w:rPr>
      </w:pPr>
      <w:r w:rsidRPr="00A6681C">
        <w:rPr>
          <w:sz w:val="20"/>
          <w:szCs w:val="24"/>
        </w:rPr>
        <w:t>ABC</w:t>
      </w:r>
      <w:r w:rsidRPr="00A6681C">
        <w:rPr>
          <w:sz w:val="20"/>
          <w:szCs w:val="24"/>
        </w:rPr>
        <w:tab/>
        <w:t xml:space="preserve">Accessible Books Consortium </w:t>
      </w:r>
    </w:p>
    <w:p w:rsidR="00A6681C" w:rsidRPr="00A6681C" w:rsidRDefault="00A6681C" w:rsidP="00A6681C">
      <w:pPr>
        <w:tabs>
          <w:tab w:val="left" w:pos="2127"/>
        </w:tabs>
        <w:spacing w:after="40"/>
        <w:rPr>
          <w:sz w:val="20"/>
          <w:szCs w:val="24"/>
        </w:rPr>
      </w:pPr>
      <w:r w:rsidRPr="00A6681C">
        <w:rPr>
          <w:sz w:val="20"/>
          <w:szCs w:val="24"/>
        </w:rPr>
        <w:t>AIMS</w:t>
      </w:r>
      <w:r w:rsidRPr="00A6681C">
        <w:rPr>
          <w:sz w:val="20"/>
          <w:szCs w:val="24"/>
        </w:rPr>
        <w:tab/>
      </w:r>
      <w:r w:rsidRPr="00A6681C">
        <w:rPr>
          <w:rFonts w:cs="Times New Roman"/>
          <w:bCs/>
          <w:sz w:val="20"/>
          <w:szCs w:val="22"/>
        </w:rPr>
        <w:t>Administrative Integrated Management System</w:t>
      </w:r>
    </w:p>
    <w:p w:rsidR="00A6681C" w:rsidRPr="00A6681C" w:rsidRDefault="00A6681C" w:rsidP="00A6681C">
      <w:pPr>
        <w:tabs>
          <w:tab w:val="left" w:pos="2127"/>
        </w:tabs>
        <w:spacing w:after="40"/>
        <w:rPr>
          <w:sz w:val="20"/>
          <w:szCs w:val="24"/>
          <w:lang w:val="fr-FR"/>
        </w:rPr>
      </w:pPr>
      <w:r w:rsidRPr="00A6681C">
        <w:rPr>
          <w:sz w:val="20"/>
          <w:szCs w:val="24"/>
          <w:lang w:val="fr-FR"/>
        </w:rPr>
        <w:t>AIPMS</w:t>
      </w:r>
      <w:r w:rsidRPr="00A6681C">
        <w:rPr>
          <w:sz w:val="20"/>
          <w:szCs w:val="24"/>
          <w:lang w:val="fr-FR"/>
        </w:rPr>
        <w:tab/>
      </w:r>
      <w:proofErr w:type="spellStart"/>
      <w:r w:rsidRPr="00A6681C">
        <w:rPr>
          <w:sz w:val="20"/>
          <w:szCs w:val="24"/>
          <w:lang w:val="fr-FR"/>
        </w:rPr>
        <w:t>Arab</w:t>
      </w:r>
      <w:proofErr w:type="spellEnd"/>
      <w:r w:rsidRPr="00A6681C">
        <w:rPr>
          <w:sz w:val="20"/>
          <w:szCs w:val="24"/>
          <w:lang w:val="fr-FR"/>
        </w:rPr>
        <w:t xml:space="preserve"> IP Management System</w:t>
      </w:r>
    </w:p>
    <w:p w:rsidR="00A6681C" w:rsidRPr="00A6681C" w:rsidRDefault="00A6681C" w:rsidP="00A6681C">
      <w:pPr>
        <w:tabs>
          <w:tab w:val="left" w:pos="2127"/>
        </w:tabs>
        <w:spacing w:after="40"/>
        <w:rPr>
          <w:sz w:val="20"/>
          <w:szCs w:val="24"/>
          <w:lang w:val="fr-FR"/>
        </w:rPr>
      </w:pPr>
      <w:r w:rsidRPr="00A6681C">
        <w:rPr>
          <w:sz w:val="20"/>
          <w:szCs w:val="24"/>
          <w:lang w:val="fr-FR"/>
        </w:rPr>
        <w:t>AMFIE</w:t>
      </w:r>
      <w:r w:rsidRPr="00A6681C">
        <w:rPr>
          <w:i/>
          <w:sz w:val="20"/>
          <w:szCs w:val="24"/>
          <w:lang w:val="fr-FR"/>
        </w:rPr>
        <w:tab/>
        <w:t>Association Coopérative Financière des Fonctionnaires Internationaux</w:t>
      </w:r>
    </w:p>
    <w:p w:rsidR="00A6681C" w:rsidRPr="00A6681C" w:rsidRDefault="00A6681C" w:rsidP="00A6681C">
      <w:pPr>
        <w:tabs>
          <w:tab w:val="left" w:pos="2127"/>
        </w:tabs>
        <w:spacing w:after="40"/>
        <w:rPr>
          <w:sz w:val="20"/>
          <w:szCs w:val="24"/>
        </w:rPr>
      </w:pPr>
      <w:r w:rsidRPr="00A6681C">
        <w:rPr>
          <w:sz w:val="20"/>
          <w:szCs w:val="24"/>
        </w:rPr>
        <w:t>ARDI</w:t>
      </w:r>
      <w:r w:rsidRPr="00A6681C">
        <w:rPr>
          <w:sz w:val="20"/>
          <w:szCs w:val="24"/>
        </w:rPr>
        <w:tab/>
      </w:r>
      <w:r w:rsidRPr="00A6681C">
        <w:rPr>
          <w:bCs/>
          <w:sz w:val="20"/>
          <w:szCs w:val="24"/>
        </w:rPr>
        <w:t>Access to Research for Development and Innovation</w:t>
      </w:r>
    </w:p>
    <w:p w:rsidR="00A6681C" w:rsidRPr="00A6681C" w:rsidRDefault="00A6681C" w:rsidP="00A6681C">
      <w:pPr>
        <w:tabs>
          <w:tab w:val="left" w:pos="2127"/>
        </w:tabs>
        <w:spacing w:after="40"/>
        <w:rPr>
          <w:bCs/>
          <w:sz w:val="20"/>
          <w:szCs w:val="24"/>
        </w:rPr>
      </w:pPr>
      <w:r w:rsidRPr="00A6681C">
        <w:rPr>
          <w:bCs/>
          <w:sz w:val="20"/>
          <w:szCs w:val="24"/>
        </w:rPr>
        <w:t>ARIPO</w:t>
      </w:r>
      <w:r w:rsidRPr="00A6681C">
        <w:rPr>
          <w:bCs/>
          <w:sz w:val="20"/>
          <w:szCs w:val="24"/>
        </w:rPr>
        <w:tab/>
      </w:r>
      <w:r w:rsidRPr="00A6681C">
        <w:rPr>
          <w:rFonts w:cs="Times New Roman"/>
          <w:sz w:val="20"/>
          <w:szCs w:val="24"/>
        </w:rPr>
        <w:t>African Regional Intellectual Property Organization</w:t>
      </w:r>
    </w:p>
    <w:p w:rsidR="00A6681C" w:rsidRPr="00A6681C" w:rsidRDefault="00A6681C" w:rsidP="00A6681C">
      <w:pPr>
        <w:tabs>
          <w:tab w:val="left" w:pos="2127"/>
        </w:tabs>
        <w:spacing w:after="40"/>
        <w:rPr>
          <w:sz w:val="20"/>
          <w:szCs w:val="24"/>
        </w:rPr>
      </w:pPr>
      <w:r w:rsidRPr="00A6681C">
        <w:rPr>
          <w:bCs/>
          <w:sz w:val="20"/>
          <w:szCs w:val="24"/>
        </w:rPr>
        <w:t>A</w:t>
      </w:r>
      <w:r w:rsidRPr="00A6681C">
        <w:rPr>
          <w:sz w:val="20"/>
          <w:szCs w:val="24"/>
        </w:rPr>
        <w:t>SEAN</w:t>
      </w:r>
      <w:r w:rsidRPr="00A6681C">
        <w:rPr>
          <w:sz w:val="20"/>
          <w:szCs w:val="24"/>
        </w:rPr>
        <w:tab/>
      </w:r>
      <w:r w:rsidRPr="00A6681C">
        <w:rPr>
          <w:sz w:val="20"/>
          <w:szCs w:val="24"/>
          <w:lang w:val="en"/>
        </w:rPr>
        <w:t>Association of South East Asian Nations</w:t>
      </w:r>
    </w:p>
    <w:p w:rsidR="00A6681C" w:rsidRPr="00A6681C" w:rsidRDefault="00A6681C" w:rsidP="00A6681C">
      <w:pPr>
        <w:tabs>
          <w:tab w:val="left" w:pos="2127"/>
        </w:tabs>
        <w:spacing w:after="40"/>
        <w:rPr>
          <w:sz w:val="20"/>
          <w:szCs w:val="24"/>
        </w:rPr>
      </w:pPr>
      <w:r w:rsidRPr="00A6681C">
        <w:rPr>
          <w:sz w:val="20"/>
          <w:szCs w:val="24"/>
        </w:rPr>
        <w:t>ASHI</w:t>
      </w:r>
      <w:r w:rsidRPr="00A6681C">
        <w:rPr>
          <w:sz w:val="20"/>
          <w:szCs w:val="24"/>
        </w:rPr>
        <w:tab/>
        <w:t>After-Service Health Insurance</w:t>
      </w:r>
    </w:p>
    <w:p w:rsidR="00A6681C" w:rsidRPr="00A6681C" w:rsidRDefault="00A6681C" w:rsidP="00A6681C">
      <w:pPr>
        <w:tabs>
          <w:tab w:val="left" w:pos="2127"/>
        </w:tabs>
        <w:spacing w:after="40"/>
        <w:rPr>
          <w:sz w:val="20"/>
          <w:szCs w:val="24"/>
        </w:rPr>
      </w:pPr>
      <w:r w:rsidRPr="00A6681C">
        <w:rPr>
          <w:sz w:val="20"/>
          <w:szCs w:val="24"/>
        </w:rPr>
        <w:t>ASPI</w:t>
      </w:r>
      <w:r w:rsidRPr="00A6681C">
        <w:rPr>
          <w:sz w:val="20"/>
          <w:szCs w:val="24"/>
        </w:rPr>
        <w:tab/>
        <w:t>Access to Specialized Patent Information</w:t>
      </w:r>
    </w:p>
    <w:p w:rsidR="00A6681C" w:rsidRPr="00A6681C" w:rsidRDefault="00A6681C" w:rsidP="00A6681C">
      <w:pPr>
        <w:spacing w:after="240"/>
        <w:ind w:left="2127" w:hanging="2127"/>
        <w:rPr>
          <w:sz w:val="20"/>
          <w:szCs w:val="24"/>
        </w:rPr>
      </w:pPr>
      <w:r w:rsidRPr="00A6681C">
        <w:rPr>
          <w:sz w:val="20"/>
          <w:szCs w:val="24"/>
        </w:rPr>
        <w:t>ATRIP</w:t>
      </w:r>
      <w:r w:rsidRPr="00A6681C">
        <w:rPr>
          <w:sz w:val="20"/>
          <w:szCs w:val="24"/>
        </w:rPr>
        <w:tab/>
        <w:t>Association for the Advancement of Teaching and Research in Intellectual Property</w:t>
      </w:r>
    </w:p>
    <w:p w:rsidR="00A6681C" w:rsidRPr="00A6681C" w:rsidRDefault="00A6681C" w:rsidP="00A6681C">
      <w:pPr>
        <w:tabs>
          <w:tab w:val="left" w:pos="2127"/>
        </w:tabs>
        <w:spacing w:after="40"/>
        <w:rPr>
          <w:sz w:val="20"/>
          <w:szCs w:val="24"/>
        </w:rPr>
      </w:pPr>
      <w:r w:rsidRPr="00A6681C">
        <w:rPr>
          <w:b/>
          <w:bCs/>
          <w:sz w:val="20"/>
          <w:szCs w:val="24"/>
        </w:rPr>
        <w:t>C</w:t>
      </w:r>
      <w:r w:rsidRPr="00A6681C">
        <w:rPr>
          <w:sz w:val="20"/>
          <w:szCs w:val="24"/>
        </w:rPr>
        <w:t>ASE</w:t>
      </w:r>
      <w:r w:rsidRPr="00A6681C">
        <w:rPr>
          <w:sz w:val="20"/>
          <w:szCs w:val="24"/>
        </w:rPr>
        <w:tab/>
        <w:t>Centralized Access to Search and Examination Results</w:t>
      </w:r>
    </w:p>
    <w:p w:rsidR="00A6681C" w:rsidRPr="00A6681C" w:rsidRDefault="00A6681C" w:rsidP="00A6681C">
      <w:pPr>
        <w:tabs>
          <w:tab w:val="left" w:pos="2127"/>
        </w:tabs>
        <w:spacing w:after="40"/>
        <w:rPr>
          <w:sz w:val="20"/>
          <w:szCs w:val="24"/>
        </w:rPr>
      </w:pPr>
      <w:r w:rsidRPr="00A6681C">
        <w:rPr>
          <w:sz w:val="20"/>
          <w:szCs w:val="24"/>
        </w:rPr>
        <w:t>CATT</w:t>
      </w:r>
      <w:r w:rsidRPr="00A6681C">
        <w:rPr>
          <w:sz w:val="20"/>
          <w:szCs w:val="24"/>
        </w:rPr>
        <w:tab/>
      </w:r>
      <w:r w:rsidRPr="00A6681C">
        <w:rPr>
          <w:bCs/>
          <w:sz w:val="20"/>
          <w:szCs w:val="24"/>
          <w:lang w:eastAsia="zh-CN"/>
        </w:rPr>
        <w:t>Computer-Assisted Translation and Terminological tool</w:t>
      </w:r>
    </w:p>
    <w:p w:rsidR="00A6681C" w:rsidRPr="00A6681C" w:rsidRDefault="00A6681C" w:rsidP="00A6681C">
      <w:pPr>
        <w:tabs>
          <w:tab w:val="left" w:pos="2127"/>
        </w:tabs>
        <w:spacing w:after="40"/>
        <w:rPr>
          <w:sz w:val="20"/>
          <w:szCs w:val="24"/>
        </w:rPr>
      </w:pPr>
      <w:r w:rsidRPr="00A6681C">
        <w:rPr>
          <w:sz w:val="20"/>
          <w:szCs w:val="24"/>
        </w:rPr>
        <w:t>CBD</w:t>
      </w:r>
      <w:r w:rsidRPr="00A6681C">
        <w:rPr>
          <w:sz w:val="20"/>
          <w:szCs w:val="24"/>
        </w:rPr>
        <w:tab/>
        <w:t>Convention on Biological Diversity</w:t>
      </w:r>
    </w:p>
    <w:p w:rsidR="00A6681C" w:rsidRPr="00A6681C" w:rsidRDefault="00A6681C" w:rsidP="00A6681C">
      <w:pPr>
        <w:tabs>
          <w:tab w:val="left" w:pos="2127"/>
        </w:tabs>
        <w:spacing w:after="40"/>
        <w:rPr>
          <w:sz w:val="20"/>
          <w:szCs w:val="24"/>
        </w:rPr>
      </w:pPr>
      <w:proofErr w:type="spellStart"/>
      <w:r w:rsidRPr="00A6681C">
        <w:rPr>
          <w:sz w:val="20"/>
          <w:szCs w:val="24"/>
        </w:rPr>
        <w:t>ccTLDs</w:t>
      </w:r>
      <w:proofErr w:type="spellEnd"/>
      <w:r w:rsidRPr="00A6681C">
        <w:rPr>
          <w:sz w:val="20"/>
          <w:szCs w:val="24"/>
        </w:rPr>
        <w:tab/>
        <w:t>country code Top-Level Domain</w:t>
      </w:r>
    </w:p>
    <w:p w:rsidR="00A6681C" w:rsidRPr="00A6681C" w:rsidRDefault="00A6681C" w:rsidP="00A6681C">
      <w:pPr>
        <w:tabs>
          <w:tab w:val="left" w:pos="2127"/>
        </w:tabs>
        <w:spacing w:before="60" w:after="60"/>
        <w:rPr>
          <w:sz w:val="20"/>
        </w:rPr>
      </w:pPr>
      <w:r w:rsidRPr="00A6681C">
        <w:rPr>
          <w:sz w:val="20"/>
        </w:rPr>
        <w:t>CDIP</w:t>
      </w:r>
      <w:r w:rsidRPr="00A6681C">
        <w:rPr>
          <w:sz w:val="20"/>
        </w:rPr>
        <w:tab/>
        <w:t>Conference on Development and Intellectual Property</w:t>
      </w:r>
    </w:p>
    <w:p w:rsidR="00A6681C" w:rsidRPr="00A6681C" w:rsidRDefault="00A6681C" w:rsidP="00A6681C">
      <w:pPr>
        <w:tabs>
          <w:tab w:val="left" w:pos="2127"/>
        </w:tabs>
        <w:spacing w:after="40"/>
        <w:rPr>
          <w:bCs/>
          <w:sz w:val="20"/>
          <w:szCs w:val="24"/>
          <w:lang w:val="fr-FR"/>
        </w:rPr>
      </w:pPr>
      <w:r w:rsidRPr="00A6681C">
        <w:rPr>
          <w:rFonts w:eastAsiaTheme="minorHAnsi"/>
          <w:color w:val="000000"/>
          <w:sz w:val="20"/>
          <w:szCs w:val="24"/>
          <w:lang w:val="fr-FR"/>
        </w:rPr>
        <w:t>CEIPI</w:t>
      </w:r>
      <w:r w:rsidRPr="00A6681C">
        <w:rPr>
          <w:rFonts w:eastAsiaTheme="minorHAnsi"/>
          <w:i/>
          <w:color w:val="000000"/>
          <w:sz w:val="20"/>
          <w:szCs w:val="24"/>
          <w:lang w:val="fr-FR"/>
        </w:rPr>
        <w:tab/>
        <w:t>Centre d’Études Internationales de la Propriété Intellectuelle</w:t>
      </w:r>
      <w:r w:rsidRPr="00A6681C">
        <w:rPr>
          <w:rFonts w:eastAsiaTheme="minorHAnsi"/>
          <w:color w:val="000000"/>
          <w:sz w:val="20"/>
          <w:szCs w:val="24"/>
          <w:lang w:val="fr-FR"/>
        </w:rPr>
        <w:t xml:space="preserve"> </w:t>
      </w:r>
    </w:p>
    <w:p w:rsidR="00A6681C" w:rsidRPr="00A6681C" w:rsidRDefault="00A6681C" w:rsidP="00A6681C">
      <w:pPr>
        <w:tabs>
          <w:tab w:val="left" w:pos="2127"/>
        </w:tabs>
        <w:spacing w:after="40"/>
        <w:rPr>
          <w:bCs/>
          <w:sz w:val="20"/>
          <w:szCs w:val="24"/>
          <w:lang w:val="es-ES"/>
        </w:rPr>
      </w:pPr>
      <w:r w:rsidRPr="00A6681C">
        <w:rPr>
          <w:rFonts w:eastAsia="SimSun"/>
          <w:bCs/>
          <w:sz w:val="20"/>
          <w:lang w:val="es-ES" w:eastAsia="zh-CN"/>
        </w:rPr>
        <w:t>CERLALC</w:t>
      </w:r>
      <w:r w:rsidRPr="00A6681C">
        <w:rPr>
          <w:rFonts w:eastAsia="SimSun"/>
          <w:bCs/>
          <w:i/>
          <w:sz w:val="20"/>
          <w:lang w:val="es-ES" w:eastAsia="zh-CN"/>
        </w:rPr>
        <w:t xml:space="preserve"> </w:t>
      </w:r>
      <w:r w:rsidRPr="00A6681C">
        <w:rPr>
          <w:rFonts w:eastAsia="SimSun"/>
          <w:bCs/>
          <w:i/>
          <w:sz w:val="20"/>
          <w:lang w:val="es-ES" w:eastAsia="zh-CN"/>
        </w:rPr>
        <w:tab/>
        <w:t>Centro Regional para el Fomento del Libro en América Latina y el Caribe</w:t>
      </w:r>
      <w:r w:rsidRPr="00A6681C">
        <w:rPr>
          <w:rFonts w:eastAsia="SimSun"/>
          <w:bCs/>
          <w:sz w:val="20"/>
          <w:lang w:val="es-ES" w:eastAsia="zh-CN"/>
        </w:rPr>
        <w:t xml:space="preserve"> (</w:t>
      </w:r>
    </w:p>
    <w:p w:rsidR="00A6681C" w:rsidRPr="00A6681C" w:rsidRDefault="00A6681C" w:rsidP="00A6681C">
      <w:pPr>
        <w:tabs>
          <w:tab w:val="left" w:pos="2127"/>
        </w:tabs>
        <w:spacing w:after="40"/>
        <w:rPr>
          <w:bCs/>
          <w:sz w:val="20"/>
          <w:szCs w:val="24"/>
        </w:rPr>
      </w:pPr>
      <w:r w:rsidRPr="00A6681C">
        <w:rPr>
          <w:rFonts w:cs="Times New Roman"/>
          <w:sz w:val="20"/>
        </w:rPr>
        <w:t>CISAC</w:t>
      </w:r>
      <w:r w:rsidRPr="00A6681C">
        <w:rPr>
          <w:rFonts w:cs="Times New Roman"/>
          <w:sz w:val="20"/>
        </w:rPr>
        <w:tab/>
        <w:t xml:space="preserve">Confederation of International Societies of Authors and Composers </w:t>
      </w:r>
    </w:p>
    <w:p w:rsidR="00A6681C" w:rsidRPr="00A6681C" w:rsidRDefault="00A6681C" w:rsidP="00A6681C">
      <w:pPr>
        <w:tabs>
          <w:tab w:val="left" w:pos="2127"/>
        </w:tabs>
        <w:spacing w:after="40"/>
        <w:rPr>
          <w:sz w:val="20"/>
          <w:szCs w:val="24"/>
        </w:rPr>
      </w:pPr>
      <w:r w:rsidRPr="00A6681C">
        <w:rPr>
          <w:bCs/>
          <w:sz w:val="20"/>
          <w:szCs w:val="24"/>
        </w:rPr>
        <w:t>CLIR</w:t>
      </w:r>
      <w:r w:rsidRPr="00A6681C">
        <w:rPr>
          <w:bCs/>
          <w:sz w:val="20"/>
          <w:szCs w:val="24"/>
        </w:rPr>
        <w:tab/>
        <w:t>Cross Lingual Information Retrieval</w:t>
      </w:r>
    </w:p>
    <w:p w:rsidR="00A6681C" w:rsidRPr="00A6681C" w:rsidRDefault="00A6681C" w:rsidP="00A6681C">
      <w:pPr>
        <w:tabs>
          <w:tab w:val="left" w:pos="2127"/>
        </w:tabs>
        <w:spacing w:after="40"/>
        <w:rPr>
          <w:sz w:val="20"/>
          <w:szCs w:val="24"/>
        </w:rPr>
      </w:pPr>
      <w:r w:rsidRPr="00A6681C">
        <w:rPr>
          <w:sz w:val="20"/>
          <w:szCs w:val="24"/>
        </w:rPr>
        <w:t>CMG</w:t>
      </w:r>
      <w:r w:rsidRPr="00A6681C">
        <w:rPr>
          <w:sz w:val="20"/>
          <w:szCs w:val="24"/>
        </w:rPr>
        <w:tab/>
        <w:t>Crisis Management Group</w:t>
      </w:r>
    </w:p>
    <w:p w:rsidR="00A6681C" w:rsidRPr="00A6681C" w:rsidRDefault="00A6681C" w:rsidP="00A6681C">
      <w:pPr>
        <w:tabs>
          <w:tab w:val="left" w:pos="2127"/>
        </w:tabs>
        <w:spacing w:after="40"/>
        <w:rPr>
          <w:sz w:val="20"/>
          <w:szCs w:val="24"/>
        </w:rPr>
      </w:pPr>
      <w:r w:rsidRPr="00A6681C">
        <w:rPr>
          <w:sz w:val="20"/>
          <w:szCs w:val="24"/>
        </w:rPr>
        <w:t>CMOs</w:t>
      </w:r>
      <w:r w:rsidRPr="00A6681C">
        <w:rPr>
          <w:sz w:val="20"/>
          <w:szCs w:val="24"/>
        </w:rPr>
        <w:tab/>
        <w:t>collective management organizations</w:t>
      </w:r>
    </w:p>
    <w:p w:rsidR="00A6681C" w:rsidRPr="00A6681C" w:rsidRDefault="00A6681C" w:rsidP="00A6681C">
      <w:pPr>
        <w:tabs>
          <w:tab w:val="left" w:pos="2127"/>
        </w:tabs>
        <w:spacing w:after="40"/>
        <w:rPr>
          <w:rFonts w:cs="Times New Roman"/>
          <w:sz w:val="20"/>
        </w:rPr>
      </w:pPr>
      <w:r w:rsidRPr="00A6681C">
        <w:rPr>
          <w:rFonts w:cs="Times New Roman"/>
          <w:sz w:val="20"/>
        </w:rPr>
        <w:t>COMESA</w:t>
      </w:r>
      <w:r w:rsidRPr="00A6681C">
        <w:rPr>
          <w:rFonts w:cs="Times New Roman"/>
          <w:sz w:val="20"/>
        </w:rPr>
        <w:tab/>
      </w:r>
      <w:r w:rsidRPr="00A6681C">
        <w:rPr>
          <w:rFonts w:cs="Times New Roman"/>
          <w:bCs/>
          <w:sz w:val="20"/>
          <w:szCs w:val="24"/>
        </w:rPr>
        <w:t xml:space="preserve">Common market for Eastern and Southern Africa </w:t>
      </w:r>
    </w:p>
    <w:p w:rsidR="00A6681C" w:rsidRPr="00A6681C" w:rsidRDefault="00A6681C" w:rsidP="00A6681C">
      <w:pPr>
        <w:tabs>
          <w:tab w:val="left" w:pos="2127"/>
        </w:tabs>
        <w:spacing w:after="40"/>
        <w:rPr>
          <w:sz w:val="20"/>
          <w:szCs w:val="24"/>
        </w:rPr>
      </w:pPr>
      <w:r w:rsidRPr="00A6681C">
        <w:rPr>
          <w:rFonts w:cs="Times New Roman"/>
          <w:sz w:val="20"/>
        </w:rPr>
        <w:t>CTCN</w:t>
      </w:r>
      <w:r w:rsidRPr="00A6681C">
        <w:rPr>
          <w:rFonts w:cs="Times New Roman"/>
          <w:sz w:val="20"/>
        </w:rPr>
        <w:tab/>
        <w:t xml:space="preserve">Climate Technology Center and Network </w:t>
      </w:r>
    </w:p>
    <w:p w:rsidR="00A6681C" w:rsidRPr="00A6681C" w:rsidRDefault="00A6681C" w:rsidP="00A6681C">
      <w:pPr>
        <w:spacing w:after="240"/>
        <w:ind w:left="2127" w:hanging="2127"/>
        <w:rPr>
          <w:sz w:val="20"/>
          <w:szCs w:val="24"/>
        </w:rPr>
      </w:pPr>
      <w:r w:rsidRPr="00A6681C">
        <w:rPr>
          <w:sz w:val="20"/>
          <w:szCs w:val="24"/>
        </w:rPr>
        <w:t>CWS</w:t>
      </w:r>
      <w:r w:rsidRPr="00A6681C">
        <w:rPr>
          <w:sz w:val="20"/>
          <w:szCs w:val="24"/>
        </w:rPr>
        <w:tab/>
        <w:t>Committee on WIPO Standards</w:t>
      </w:r>
    </w:p>
    <w:p w:rsidR="00A6681C" w:rsidRPr="00A6681C" w:rsidRDefault="00A6681C" w:rsidP="00A6681C">
      <w:pPr>
        <w:tabs>
          <w:tab w:val="left" w:pos="2127"/>
        </w:tabs>
        <w:spacing w:after="40"/>
        <w:rPr>
          <w:sz w:val="20"/>
          <w:szCs w:val="24"/>
        </w:rPr>
      </w:pPr>
      <w:r w:rsidRPr="00A6681C">
        <w:rPr>
          <w:b/>
          <w:bCs/>
          <w:sz w:val="20"/>
          <w:szCs w:val="24"/>
        </w:rPr>
        <w:t>D</w:t>
      </w:r>
      <w:r w:rsidRPr="00A6681C">
        <w:rPr>
          <w:sz w:val="20"/>
          <w:szCs w:val="24"/>
        </w:rPr>
        <w:t>A</w:t>
      </w:r>
      <w:r w:rsidRPr="00A6681C">
        <w:rPr>
          <w:sz w:val="20"/>
          <w:szCs w:val="24"/>
        </w:rPr>
        <w:tab/>
        <w:t>Development Agenda</w:t>
      </w:r>
    </w:p>
    <w:p w:rsidR="00A6681C" w:rsidRPr="00A6681C" w:rsidRDefault="00A6681C" w:rsidP="00A6681C">
      <w:pPr>
        <w:tabs>
          <w:tab w:val="left" w:pos="2127"/>
          <w:tab w:val="left" w:pos="2268"/>
        </w:tabs>
        <w:spacing w:after="40"/>
        <w:rPr>
          <w:sz w:val="20"/>
          <w:szCs w:val="24"/>
        </w:rPr>
      </w:pPr>
      <w:r w:rsidRPr="00A6681C">
        <w:rPr>
          <w:sz w:val="20"/>
          <w:szCs w:val="24"/>
        </w:rPr>
        <w:t>DAG</w:t>
      </w:r>
      <w:r w:rsidRPr="00A6681C">
        <w:rPr>
          <w:sz w:val="20"/>
          <w:szCs w:val="24"/>
        </w:rPr>
        <w:tab/>
        <w:t>Development Agenda Group</w:t>
      </w:r>
    </w:p>
    <w:p w:rsidR="00A6681C" w:rsidRPr="00A6681C" w:rsidRDefault="00A6681C" w:rsidP="00A6681C">
      <w:pPr>
        <w:tabs>
          <w:tab w:val="left" w:pos="2127"/>
          <w:tab w:val="left" w:pos="2268"/>
        </w:tabs>
        <w:spacing w:after="40"/>
        <w:rPr>
          <w:sz w:val="20"/>
          <w:szCs w:val="24"/>
        </w:rPr>
      </w:pPr>
      <w:r w:rsidRPr="00A6681C">
        <w:rPr>
          <w:sz w:val="20"/>
          <w:szCs w:val="24"/>
        </w:rPr>
        <w:t>DAS</w:t>
      </w:r>
      <w:r w:rsidRPr="00A6681C">
        <w:rPr>
          <w:sz w:val="20"/>
          <w:szCs w:val="24"/>
        </w:rPr>
        <w:tab/>
        <w:t>Digital Access Service for Priority Documents</w:t>
      </w:r>
    </w:p>
    <w:p w:rsidR="00A6681C" w:rsidRPr="00A6681C" w:rsidRDefault="00A6681C" w:rsidP="00A6681C">
      <w:pPr>
        <w:spacing w:after="240"/>
        <w:ind w:left="2127" w:hanging="2127"/>
        <w:rPr>
          <w:sz w:val="20"/>
          <w:szCs w:val="24"/>
        </w:rPr>
      </w:pPr>
      <w:r w:rsidRPr="00A6681C">
        <w:rPr>
          <w:sz w:val="20"/>
          <w:szCs w:val="24"/>
        </w:rPr>
        <w:t>DL</w:t>
      </w:r>
      <w:r w:rsidRPr="00A6681C">
        <w:rPr>
          <w:sz w:val="20"/>
          <w:szCs w:val="24"/>
        </w:rPr>
        <w:tab/>
        <w:t xml:space="preserve">distance learning </w:t>
      </w:r>
    </w:p>
    <w:p w:rsidR="00A6681C" w:rsidRPr="00A6681C" w:rsidRDefault="00A6681C" w:rsidP="00A6681C">
      <w:pPr>
        <w:tabs>
          <w:tab w:val="left" w:pos="2127"/>
        </w:tabs>
        <w:spacing w:after="40"/>
        <w:rPr>
          <w:b/>
          <w:sz w:val="20"/>
          <w:szCs w:val="24"/>
        </w:rPr>
      </w:pPr>
      <w:r w:rsidRPr="00A6681C">
        <w:rPr>
          <w:b/>
          <w:sz w:val="20"/>
          <w:szCs w:val="24"/>
        </w:rPr>
        <w:t>E</w:t>
      </w:r>
      <w:r w:rsidRPr="00A6681C">
        <w:rPr>
          <w:sz w:val="20"/>
          <w:szCs w:val="24"/>
        </w:rPr>
        <w:t>CAF</w:t>
      </w:r>
      <w:r w:rsidRPr="00A6681C">
        <w:rPr>
          <w:sz w:val="20"/>
          <w:szCs w:val="24"/>
        </w:rPr>
        <w:tab/>
        <w:t>WIPO Electronic Case Facility</w:t>
      </w:r>
    </w:p>
    <w:p w:rsidR="00A6681C" w:rsidRPr="00A6681C" w:rsidRDefault="00A6681C" w:rsidP="00A6681C">
      <w:pPr>
        <w:tabs>
          <w:tab w:val="left" w:pos="2127"/>
        </w:tabs>
        <w:spacing w:after="40"/>
        <w:rPr>
          <w:b/>
          <w:bCs/>
          <w:sz w:val="20"/>
          <w:szCs w:val="24"/>
        </w:rPr>
      </w:pPr>
      <w:r w:rsidRPr="00A6681C">
        <w:rPr>
          <w:sz w:val="20"/>
          <w:szCs w:val="24"/>
        </w:rPr>
        <w:t>ECLA</w:t>
      </w:r>
      <w:r w:rsidRPr="00A6681C">
        <w:rPr>
          <w:sz w:val="20"/>
          <w:szCs w:val="24"/>
        </w:rPr>
        <w:tab/>
        <w:t>patent classification assigned by the European Patent office</w:t>
      </w:r>
    </w:p>
    <w:p w:rsidR="00A6681C" w:rsidRPr="00A6681C" w:rsidRDefault="00A6681C" w:rsidP="00A6681C">
      <w:pPr>
        <w:tabs>
          <w:tab w:val="left" w:pos="2127"/>
        </w:tabs>
        <w:spacing w:after="40"/>
        <w:rPr>
          <w:rFonts w:cs="Times New Roman"/>
          <w:sz w:val="20"/>
        </w:rPr>
      </w:pPr>
      <w:r w:rsidRPr="00A6681C">
        <w:rPr>
          <w:rFonts w:cs="Times New Roman"/>
          <w:sz w:val="20"/>
        </w:rPr>
        <w:t>ECOSOC</w:t>
      </w:r>
      <w:r w:rsidRPr="00A6681C">
        <w:rPr>
          <w:rFonts w:cs="Times New Roman"/>
          <w:sz w:val="20"/>
        </w:rPr>
        <w:tab/>
        <w:t xml:space="preserve">Economic and Social Council </w:t>
      </w:r>
    </w:p>
    <w:p w:rsidR="00A6681C" w:rsidRPr="00A6681C" w:rsidRDefault="00A6681C" w:rsidP="00A6681C">
      <w:pPr>
        <w:tabs>
          <w:tab w:val="left" w:pos="2127"/>
        </w:tabs>
        <w:spacing w:after="40"/>
        <w:rPr>
          <w:sz w:val="20"/>
          <w:szCs w:val="24"/>
        </w:rPr>
      </w:pPr>
      <w:r w:rsidRPr="00A6681C">
        <w:rPr>
          <w:sz w:val="20"/>
          <w:szCs w:val="24"/>
        </w:rPr>
        <w:t>EDMS</w:t>
      </w:r>
      <w:r w:rsidRPr="00A6681C">
        <w:rPr>
          <w:sz w:val="20"/>
          <w:szCs w:val="24"/>
        </w:rPr>
        <w:tab/>
        <w:t>Electronic Document Management System</w:t>
      </w:r>
    </w:p>
    <w:p w:rsidR="00A6681C" w:rsidRPr="00A6681C" w:rsidRDefault="00A6681C" w:rsidP="00A6681C">
      <w:pPr>
        <w:tabs>
          <w:tab w:val="left" w:pos="2127"/>
        </w:tabs>
        <w:spacing w:after="40"/>
        <w:rPr>
          <w:sz w:val="20"/>
          <w:szCs w:val="24"/>
        </w:rPr>
      </w:pPr>
      <w:r w:rsidRPr="00A6681C">
        <w:rPr>
          <w:sz w:val="20"/>
          <w:szCs w:val="24"/>
        </w:rPr>
        <w:t>EPM</w:t>
      </w:r>
      <w:r w:rsidRPr="00A6681C">
        <w:rPr>
          <w:sz w:val="20"/>
          <w:szCs w:val="24"/>
        </w:rPr>
        <w:tab/>
        <w:t>enterprise performance management</w:t>
      </w:r>
    </w:p>
    <w:p w:rsidR="00A6681C" w:rsidRPr="00A6681C" w:rsidRDefault="00A6681C" w:rsidP="00A6681C">
      <w:pPr>
        <w:tabs>
          <w:tab w:val="left" w:pos="2127"/>
        </w:tabs>
        <w:spacing w:after="40"/>
        <w:rPr>
          <w:sz w:val="20"/>
          <w:szCs w:val="24"/>
        </w:rPr>
      </w:pPr>
      <w:r w:rsidRPr="00A6681C">
        <w:rPr>
          <w:sz w:val="20"/>
          <w:szCs w:val="24"/>
        </w:rPr>
        <w:t>EPO</w:t>
      </w:r>
      <w:r w:rsidRPr="00A6681C">
        <w:rPr>
          <w:sz w:val="20"/>
          <w:szCs w:val="24"/>
        </w:rPr>
        <w:tab/>
        <w:t>European Patent Office</w:t>
      </w:r>
    </w:p>
    <w:p w:rsidR="00A6681C" w:rsidRPr="00A6681C" w:rsidRDefault="00A6681C" w:rsidP="00A6681C">
      <w:pPr>
        <w:ind w:left="2127" w:hanging="2127"/>
        <w:rPr>
          <w:sz w:val="20"/>
          <w:szCs w:val="24"/>
        </w:rPr>
      </w:pPr>
      <w:r w:rsidRPr="00A6681C">
        <w:rPr>
          <w:sz w:val="20"/>
          <w:szCs w:val="24"/>
        </w:rPr>
        <w:t>ERM</w:t>
      </w:r>
      <w:r w:rsidRPr="00A6681C">
        <w:rPr>
          <w:sz w:val="20"/>
          <w:szCs w:val="24"/>
        </w:rPr>
        <w:tab/>
        <w:t>enterprise risk management</w:t>
      </w:r>
    </w:p>
    <w:p w:rsidR="00A6681C" w:rsidRPr="00A6681C" w:rsidRDefault="00A6681C" w:rsidP="00A6681C">
      <w:pPr>
        <w:ind w:left="2127" w:hanging="2127"/>
        <w:rPr>
          <w:sz w:val="20"/>
          <w:szCs w:val="24"/>
        </w:rPr>
      </w:pPr>
      <w:r w:rsidRPr="00A6681C">
        <w:rPr>
          <w:sz w:val="20"/>
          <w:szCs w:val="24"/>
        </w:rPr>
        <w:t>ERP</w:t>
      </w:r>
      <w:r w:rsidRPr="00A6681C">
        <w:rPr>
          <w:sz w:val="20"/>
          <w:szCs w:val="24"/>
        </w:rPr>
        <w:tab/>
        <w:t>enterprise resource planning</w:t>
      </w:r>
    </w:p>
    <w:p w:rsidR="00A6681C" w:rsidRPr="00A6681C" w:rsidRDefault="00A6681C" w:rsidP="00A6681C">
      <w:pPr>
        <w:tabs>
          <w:tab w:val="left" w:pos="2127"/>
        </w:tabs>
        <w:spacing w:after="40"/>
        <w:rPr>
          <w:sz w:val="20"/>
          <w:szCs w:val="24"/>
        </w:rPr>
      </w:pPr>
      <w:r w:rsidRPr="00A6681C">
        <w:rPr>
          <w:sz w:val="20"/>
          <w:szCs w:val="24"/>
        </w:rPr>
        <w:t>ETSI</w:t>
      </w:r>
      <w:r w:rsidRPr="00A6681C">
        <w:rPr>
          <w:sz w:val="20"/>
          <w:szCs w:val="24"/>
        </w:rPr>
        <w:tab/>
        <w:t>European Telecommunications Standards Institute</w:t>
      </w:r>
    </w:p>
    <w:p w:rsidR="00A6681C" w:rsidRPr="00A6681C" w:rsidRDefault="00A6681C" w:rsidP="00A6681C">
      <w:pPr>
        <w:spacing w:after="240"/>
        <w:ind w:left="2127" w:hanging="2127"/>
        <w:rPr>
          <w:sz w:val="20"/>
          <w:szCs w:val="24"/>
        </w:rPr>
      </w:pPr>
      <w:r w:rsidRPr="00A6681C">
        <w:rPr>
          <w:sz w:val="20"/>
          <w:szCs w:val="24"/>
        </w:rPr>
        <w:t>EU</w:t>
      </w:r>
      <w:r w:rsidRPr="00A6681C">
        <w:rPr>
          <w:sz w:val="20"/>
          <w:szCs w:val="24"/>
        </w:rPr>
        <w:tab/>
        <w:t>European Union</w:t>
      </w:r>
    </w:p>
    <w:p w:rsidR="00A6681C" w:rsidRPr="00A6681C" w:rsidRDefault="00A6681C" w:rsidP="00A6681C">
      <w:pPr>
        <w:tabs>
          <w:tab w:val="left" w:pos="2127"/>
        </w:tabs>
        <w:spacing w:after="40"/>
        <w:rPr>
          <w:sz w:val="20"/>
          <w:szCs w:val="24"/>
        </w:rPr>
      </w:pPr>
      <w:r w:rsidRPr="00A6681C">
        <w:rPr>
          <w:b/>
          <w:bCs/>
          <w:sz w:val="20"/>
          <w:szCs w:val="24"/>
        </w:rPr>
        <w:t>F</w:t>
      </w:r>
      <w:r w:rsidRPr="00A6681C">
        <w:rPr>
          <w:sz w:val="20"/>
          <w:szCs w:val="24"/>
        </w:rPr>
        <w:t>AO</w:t>
      </w:r>
      <w:r w:rsidRPr="00A6681C">
        <w:rPr>
          <w:sz w:val="20"/>
          <w:szCs w:val="24"/>
        </w:rPr>
        <w:tab/>
        <w:t xml:space="preserve">Food and Agricultural Organization </w:t>
      </w:r>
    </w:p>
    <w:p w:rsidR="00A6681C" w:rsidRPr="00A6681C" w:rsidRDefault="00A6681C" w:rsidP="00A6681C">
      <w:pPr>
        <w:tabs>
          <w:tab w:val="left" w:pos="2127"/>
        </w:tabs>
        <w:spacing w:after="40"/>
        <w:rPr>
          <w:sz w:val="20"/>
          <w:szCs w:val="24"/>
        </w:rPr>
      </w:pPr>
      <w:r w:rsidRPr="00A6681C">
        <w:rPr>
          <w:sz w:val="20"/>
          <w:szCs w:val="24"/>
        </w:rPr>
        <w:t>FI</w:t>
      </w:r>
      <w:r w:rsidRPr="00A6681C">
        <w:rPr>
          <w:sz w:val="20"/>
          <w:szCs w:val="24"/>
        </w:rPr>
        <w:tab/>
        <w:t>patent classification assigned by the Japanese Patent office</w:t>
      </w:r>
    </w:p>
    <w:p w:rsidR="00A6681C" w:rsidRPr="00A6681C" w:rsidRDefault="00A6681C" w:rsidP="00A6681C">
      <w:pPr>
        <w:spacing w:after="240"/>
        <w:ind w:left="2127" w:hanging="2127"/>
        <w:rPr>
          <w:sz w:val="20"/>
          <w:szCs w:val="24"/>
        </w:rPr>
      </w:pPr>
      <w:r w:rsidRPr="00A6681C">
        <w:rPr>
          <w:sz w:val="20"/>
          <w:szCs w:val="24"/>
        </w:rPr>
        <w:t>FIT</w:t>
      </w:r>
      <w:r w:rsidRPr="00A6681C">
        <w:rPr>
          <w:sz w:val="20"/>
          <w:szCs w:val="24"/>
        </w:rPr>
        <w:tab/>
        <w:t>Fund-in-Trust</w:t>
      </w:r>
    </w:p>
    <w:p w:rsidR="00A6681C" w:rsidRPr="00A6681C" w:rsidRDefault="00A6681C" w:rsidP="00F20276">
      <w:pPr>
        <w:pageBreakBefore/>
        <w:tabs>
          <w:tab w:val="left" w:pos="2127"/>
        </w:tabs>
        <w:spacing w:after="40"/>
        <w:rPr>
          <w:bCs/>
          <w:sz w:val="20"/>
          <w:szCs w:val="24"/>
        </w:rPr>
      </w:pPr>
      <w:r w:rsidRPr="00A6681C">
        <w:rPr>
          <w:b/>
          <w:bCs/>
          <w:sz w:val="20"/>
          <w:szCs w:val="24"/>
        </w:rPr>
        <w:lastRenderedPageBreak/>
        <w:t>G</w:t>
      </w:r>
      <w:r w:rsidRPr="00A6681C">
        <w:rPr>
          <w:bCs/>
          <w:sz w:val="20"/>
          <w:szCs w:val="24"/>
        </w:rPr>
        <w:t>CC</w:t>
      </w:r>
      <w:r w:rsidRPr="00A6681C">
        <w:rPr>
          <w:bCs/>
          <w:sz w:val="20"/>
          <w:szCs w:val="24"/>
        </w:rPr>
        <w:tab/>
      </w:r>
      <w:r w:rsidRPr="00A6681C">
        <w:rPr>
          <w:bCs/>
          <w:color w:val="000000"/>
          <w:sz w:val="20"/>
          <w:szCs w:val="24"/>
          <w:lang w:val="en"/>
        </w:rPr>
        <w:t>Cooperation Council for the Arab States of the Gulf</w:t>
      </w:r>
    </w:p>
    <w:p w:rsidR="00A6681C" w:rsidRPr="00A6681C" w:rsidRDefault="00A6681C" w:rsidP="00F20276">
      <w:pPr>
        <w:tabs>
          <w:tab w:val="left" w:pos="2127"/>
        </w:tabs>
        <w:spacing w:after="40"/>
        <w:rPr>
          <w:bCs/>
          <w:sz w:val="20"/>
          <w:szCs w:val="24"/>
        </w:rPr>
      </w:pPr>
      <w:r w:rsidRPr="00A6681C">
        <w:rPr>
          <w:bCs/>
          <w:sz w:val="20"/>
          <w:szCs w:val="24"/>
        </w:rPr>
        <w:t>GDA</w:t>
      </w:r>
      <w:r w:rsidRPr="00A6681C">
        <w:rPr>
          <w:bCs/>
          <w:sz w:val="20"/>
          <w:szCs w:val="24"/>
        </w:rPr>
        <w:tab/>
      </w:r>
      <w:r w:rsidRPr="00A6681C">
        <w:rPr>
          <w:sz w:val="20"/>
          <w:szCs w:val="24"/>
          <w:lang w:val="en"/>
        </w:rPr>
        <w:t>software for collective management of copyright and neighboring rights</w:t>
      </w:r>
    </w:p>
    <w:p w:rsidR="00A6681C" w:rsidRPr="00A6681C" w:rsidRDefault="00A6681C" w:rsidP="00F20276">
      <w:pPr>
        <w:tabs>
          <w:tab w:val="left" w:pos="2127"/>
        </w:tabs>
        <w:spacing w:after="40"/>
        <w:rPr>
          <w:bCs/>
          <w:sz w:val="20"/>
          <w:szCs w:val="24"/>
        </w:rPr>
      </w:pPr>
      <w:r w:rsidRPr="00A6681C">
        <w:rPr>
          <w:bCs/>
          <w:sz w:val="20"/>
          <w:szCs w:val="24"/>
        </w:rPr>
        <w:t>GII</w:t>
      </w:r>
      <w:r w:rsidRPr="00A6681C">
        <w:rPr>
          <w:bCs/>
          <w:sz w:val="20"/>
          <w:szCs w:val="24"/>
        </w:rPr>
        <w:tab/>
        <w:t>Global Innovation Index</w:t>
      </w:r>
    </w:p>
    <w:p w:rsidR="00A6681C" w:rsidRPr="00A6681C" w:rsidRDefault="00A6681C" w:rsidP="00A6681C">
      <w:pPr>
        <w:tabs>
          <w:tab w:val="left" w:pos="2127"/>
        </w:tabs>
        <w:spacing w:after="40"/>
        <w:rPr>
          <w:bCs/>
          <w:sz w:val="20"/>
          <w:szCs w:val="24"/>
        </w:rPr>
      </w:pPr>
      <w:r w:rsidRPr="00A6681C">
        <w:rPr>
          <w:bCs/>
          <w:sz w:val="20"/>
          <w:szCs w:val="24"/>
        </w:rPr>
        <w:t>GIs</w:t>
      </w:r>
      <w:r w:rsidRPr="00A6681C">
        <w:rPr>
          <w:bCs/>
          <w:sz w:val="20"/>
          <w:szCs w:val="24"/>
        </w:rPr>
        <w:tab/>
        <w:t>geographical indications</w:t>
      </w:r>
    </w:p>
    <w:p w:rsidR="00A6681C" w:rsidRPr="00A6681C" w:rsidRDefault="00A6681C" w:rsidP="00A6681C">
      <w:pPr>
        <w:tabs>
          <w:tab w:val="left" w:pos="2127"/>
        </w:tabs>
        <w:spacing w:after="40"/>
        <w:rPr>
          <w:b/>
          <w:bCs/>
          <w:sz w:val="20"/>
          <w:szCs w:val="24"/>
        </w:rPr>
      </w:pPr>
      <w:r w:rsidRPr="00A6681C">
        <w:rPr>
          <w:bCs/>
          <w:sz w:val="20"/>
          <w:szCs w:val="24"/>
        </w:rPr>
        <w:t>G</w:t>
      </w:r>
      <w:r w:rsidRPr="00A6681C">
        <w:rPr>
          <w:sz w:val="20"/>
          <w:szCs w:val="24"/>
        </w:rPr>
        <w:t>NIPA</w:t>
      </w:r>
      <w:r w:rsidRPr="00A6681C">
        <w:rPr>
          <w:sz w:val="20"/>
          <w:szCs w:val="24"/>
        </w:rPr>
        <w:tab/>
        <w:t>Global Network of IP Academies</w:t>
      </w:r>
    </w:p>
    <w:p w:rsidR="00A6681C" w:rsidRPr="00A6681C" w:rsidRDefault="00A6681C" w:rsidP="00A6681C">
      <w:pPr>
        <w:tabs>
          <w:tab w:val="left" w:pos="2127"/>
        </w:tabs>
        <w:spacing w:after="40"/>
        <w:rPr>
          <w:sz w:val="20"/>
          <w:szCs w:val="24"/>
        </w:rPr>
      </w:pPr>
      <w:r w:rsidRPr="00A6681C">
        <w:rPr>
          <w:sz w:val="20"/>
          <w:szCs w:val="24"/>
        </w:rPr>
        <w:t>GRs</w:t>
      </w:r>
      <w:r w:rsidRPr="00A6681C">
        <w:rPr>
          <w:sz w:val="20"/>
          <w:szCs w:val="24"/>
        </w:rPr>
        <w:tab/>
        <w:t>genetic resources</w:t>
      </w:r>
    </w:p>
    <w:p w:rsidR="00A6681C" w:rsidRPr="00A6681C" w:rsidRDefault="00A6681C" w:rsidP="00A6681C">
      <w:pPr>
        <w:spacing w:after="240"/>
        <w:ind w:left="2127" w:hanging="2127"/>
        <w:rPr>
          <w:sz w:val="20"/>
          <w:szCs w:val="24"/>
        </w:rPr>
      </w:pPr>
      <w:proofErr w:type="spellStart"/>
      <w:r w:rsidRPr="00A6681C">
        <w:rPr>
          <w:sz w:val="20"/>
          <w:szCs w:val="24"/>
        </w:rPr>
        <w:t>gTLDs</w:t>
      </w:r>
      <w:proofErr w:type="spellEnd"/>
      <w:r w:rsidRPr="00A6681C">
        <w:rPr>
          <w:sz w:val="20"/>
          <w:szCs w:val="24"/>
        </w:rPr>
        <w:tab/>
        <w:t>generic Top-Level Domains</w:t>
      </w:r>
    </w:p>
    <w:p w:rsidR="00A6681C" w:rsidRPr="00A6681C" w:rsidRDefault="00A6681C" w:rsidP="00A6681C">
      <w:pPr>
        <w:tabs>
          <w:tab w:val="left" w:pos="2127"/>
        </w:tabs>
        <w:spacing w:after="40"/>
        <w:rPr>
          <w:sz w:val="20"/>
          <w:szCs w:val="24"/>
        </w:rPr>
      </w:pPr>
      <w:r w:rsidRPr="00A6681C">
        <w:rPr>
          <w:b/>
          <w:sz w:val="20"/>
          <w:szCs w:val="24"/>
        </w:rPr>
        <w:t>H</w:t>
      </w:r>
      <w:r w:rsidRPr="00A6681C">
        <w:rPr>
          <w:sz w:val="20"/>
          <w:szCs w:val="24"/>
        </w:rPr>
        <w:t>LCM</w:t>
      </w:r>
      <w:r w:rsidRPr="00A6681C">
        <w:rPr>
          <w:sz w:val="20"/>
          <w:szCs w:val="24"/>
        </w:rPr>
        <w:tab/>
        <w:t>High Level Committee on Management</w:t>
      </w:r>
    </w:p>
    <w:p w:rsidR="00A6681C" w:rsidRPr="00A6681C" w:rsidRDefault="00A6681C" w:rsidP="00A6681C">
      <w:pPr>
        <w:tabs>
          <w:tab w:val="left" w:pos="2127"/>
        </w:tabs>
        <w:spacing w:after="40"/>
        <w:rPr>
          <w:sz w:val="20"/>
          <w:szCs w:val="24"/>
        </w:rPr>
      </w:pPr>
      <w:r w:rsidRPr="00A6681C">
        <w:rPr>
          <w:sz w:val="20"/>
          <w:szCs w:val="24"/>
        </w:rPr>
        <w:t>HR</w:t>
      </w:r>
      <w:r w:rsidRPr="00A6681C">
        <w:rPr>
          <w:sz w:val="20"/>
          <w:szCs w:val="24"/>
        </w:rPr>
        <w:tab/>
        <w:t>human resources</w:t>
      </w:r>
    </w:p>
    <w:p w:rsidR="00A6681C" w:rsidRPr="00A6681C" w:rsidRDefault="00A6681C" w:rsidP="00A6681C">
      <w:pPr>
        <w:spacing w:after="240"/>
        <w:ind w:left="2127" w:hanging="2127"/>
        <w:rPr>
          <w:sz w:val="20"/>
          <w:szCs w:val="24"/>
        </w:rPr>
      </w:pPr>
      <w:r w:rsidRPr="00A6681C">
        <w:rPr>
          <w:sz w:val="20"/>
          <w:szCs w:val="24"/>
        </w:rPr>
        <w:t>HRMD</w:t>
      </w:r>
      <w:r w:rsidRPr="00A6681C">
        <w:rPr>
          <w:sz w:val="20"/>
          <w:szCs w:val="24"/>
        </w:rPr>
        <w:tab/>
        <w:t>Human Resources Management Department</w:t>
      </w:r>
    </w:p>
    <w:p w:rsidR="00A6681C" w:rsidRPr="00A6681C" w:rsidRDefault="00A6681C" w:rsidP="00A6681C">
      <w:pPr>
        <w:tabs>
          <w:tab w:val="left" w:pos="2127"/>
        </w:tabs>
        <w:spacing w:after="40"/>
        <w:rPr>
          <w:bCs/>
          <w:sz w:val="20"/>
          <w:szCs w:val="24"/>
        </w:rPr>
      </w:pPr>
      <w:r w:rsidRPr="00A6681C">
        <w:rPr>
          <w:b/>
          <w:bCs/>
          <w:sz w:val="20"/>
          <w:szCs w:val="24"/>
        </w:rPr>
        <w:t>I</w:t>
      </w:r>
      <w:r w:rsidRPr="00A6681C">
        <w:rPr>
          <w:bCs/>
          <w:sz w:val="20"/>
          <w:szCs w:val="24"/>
        </w:rPr>
        <w:t>B</w:t>
      </w:r>
      <w:r w:rsidRPr="00A6681C">
        <w:rPr>
          <w:bCs/>
          <w:sz w:val="20"/>
          <w:szCs w:val="24"/>
        </w:rPr>
        <w:tab/>
        <w:t>International Bureau</w:t>
      </w:r>
    </w:p>
    <w:p w:rsidR="00A6681C" w:rsidRPr="00A6681C" w:rsidRDefault="00A6681C" w:rsidP="00A6681C">
      <w:pPr>
        <w:tabs>
          <w:tab w:val="left" w:pos="2127"/>
        </w:tabs>
        <w:spacing w:after="40"/>
        <w:rPr>
          <w:sz w:val="20"/>
          <w:szCs w:val="24"/>
        </w:rPr>
      </w:pPr>
      <w:r w:rsidRPr="00A6681C">
        <w:rPr>
          <w:bCs/>
          <w:sz w:val="20"/>
          <w:szCs w:val="24"/>
        </w:rPr>
        <w:t>I</w:t>
      </w:r>
      <w:r w:rsidRPr="00A6681C">
        <w:rPr>
          <w:sz w:val="20"/>
          <w:szCs w:val="24"/>
        </w:rPr>
        <w:t>AOC</w:t>
      </w:r>
      <w:r w:rsidRPr="00A6681C">
        <w:rPr>
          <w:sz w:val="20"/>
          <w:szCs w:val="24"/>
        </w:rPr>
        <w:tab/>
        <w:t>Independent Advisory and Oversight Committee</w:t>
      </w:r>
    </w:p>
    <w:p w:rsidR="00A6681C" w:rsidRPr="00A6681C" w:rsidRDefault="00A6681C" w:rsidP="00A6681C">
      <w:pPr>
        <w:tabs>
          <w:tab w:val="left" w:pos="2127"/>
        </w:tabs>
        <w:spacing w:after="40"/>
        <w:rPr>
          <w:sz w:val="20"/>
          <w:szCs w:val="24"/>
        </w:rPr>
      </w:pPr>
      <w:r w:rsidRPr="00A6681C">
        <w:rPr>
          <w:sz w:val="20"/>
          <w:szCs w:val="24"/>
        </w:rPr>
        <w:t>IOD</w:t>
      </w:r>
      <w:r w:rsidRPr="00A6681C">
        <w:rPr>
          <w:sz w:val="20"/>
          <w:szCs w:val="24"/>
        </w:rPr>
        <w:tab/>
        <w:t>Internal Oversight Division</w:t>
      </w:r>
    </w:p>
    <w:p w:rsidR="00A6681C" w:rsidRPr="00A6681C" w:rsidRDefault="00A6681C" w:rsidP="00A6681C">
      <w:pPr>
        <w:tabs>
          <w:tab w:val="left" w:pos="2127"/>
        </w:tabs>
        <w:spacing w:after="40"/>
        <w:rPr>
          <w:sz w:val="20"/>
          <w:szCs w:val="24"/>
        </w:rPr>
      </w:pPr>
      <w:r w:rsidRPr="00A6681C">
        <w:rPr>
          <w:sz w:val="20"/>
          <w:szCs w:val="24"/>
        </w:rPr>
        <w:t>ICANN</w:t>
      </w:r>
      <w:r w:rsidRPr="00A6681C">
        <w:rPr>
          <w:sz w:val="20"/>
          <w:szCs w:val="24"/>
        </w:rPr>
        <w:tab/>
        <w:t xml:space="preserve">Internet Corporation for Assigned Names and Numbers </w:t>
      </w:r>
    </w:p>
    <w:p w:rsidR="00A6681C" w:rsidRPr="00A6681C" w:rsidRDefault="00A6681C" w:rsidP="00A6681C">
      <w:pPr>
        <w:tabs>
          <w:tab w:val="left" w:pos="2127"/>
        </w:tabs>
        <w:spacing w:after="40"/>
        <w:rPr>
          <w:sz w:val="20"/>
          <w:szCs w:val="24"/>
        </w:rPr>
      </w:pPr>
      <w:r w:rsidRPr="00A6681C">
        <w:rPr>
          <w:sz w:val="20"/>
          <w:szCs w:val="24"/>
        </w:rPr>
        <w:t>ICE</w:t>
      </w:r>
      <w:r w:rsidRPr="00A6681C">
        <w:rPr>
          <w:sz w:val="20"/>
          <w:szCs w:val="24"/>
        </w:rPr>
        <w:tab/>
        <w:t>International Cooperation on Examination</w:t>
      </w:r>
    </w:p>
    <w:p w:rsidR="00A6681C" w:rsidRPr="00A6681C" w:rsidRDefault="00A6681C" w:rsidP="00A6681C">
      <w:pPr>
        <w:tabs>
          <w:tab w:val="left" w:pos="2127"/>
        </w:tabs>
        <w:spacing w:after="40"/>
        <w:rPr>
          <w:sz w:val="20"/>
          <w:szCs w:val="24"/>
        </w:rPr>
      </w:pPr>
      <w:r w:rsidRPr="00A6681C">
        <w:rPr>
          <w:rFonts w:cs="Times New Roman"/>
          <w:bCs/>
          <w:sz w:val="20"/>
          <w:szCs w:val="24"/>
        </w:rPr>
        <w:t>ICN</w:t>
      </w:r>
      <w:r w:rsidRPr="00A6681C">
        <w:rPr>
          <w:rFonts w:cs="Times New Roman"/>
          <w:bCs/>
          <w:sz w:val="20"/>
          <w:szCs w:val="24"/>
        </w:rPr>
        <w:tab/>
        <w:t xml:space="preserve">International Competition Network </w:t>
      </w:r>
    </w:p>
    <w:p w:rsidR="00A6681C" w:rsidRPr="00A6681C" w:rsidRDefault="00A6681C" w:rsidP="00A6681C">
      <w:pPr>
        <w:tabs>
          <w:tab w:val="left" w:pos="2127"/>
        </w:tabs>
        <w:spacing w:after="40"/>
        <w:rPr>
          <w:sz w:val="20"/>
          <w:szCs w:val="24"/>
        </w:rPr>
      </w:pPr>
      <w:r w:rsidRPr="00A6681C">
        <w:rPr>
          <w:sz w:val="20"/>
          <w:szCs w:val="24"/>
        </w:rPr>
        <w:t>ICS</w:t>
      </w:r>
      <w:r w:rsidRPr="00A6681C">
        <w:rPr>
          <w:sz w:val="20"/>
          <w:szCs w:val="24"/>
        </w:rPr>
        <w:tab/>
        <w:t xml:space="preserve">Individual Contractual </w:t>
      </w:r>
      <w:proofErr w:type="spellStart"/>
      <w:r w:rsidRPr="00A6681C">
        <w:rPr>
          <w:sz w:val="20"/>
          <w:szCs w:val="24"/>
        </w:rPr>
        <w:t>Servies</w:t>
      </w:r>
      <w:proofErr w:type="spellEnd"/>
    </w:p>
    <w:p w:rsidR="00A6681C" w:rsidRPr="00A6681C" w:rsidRDefault="00A6681C" w:rsidP="00A6681C">
      <w:pPr>
        <w:tabs>
          <w:tab w:val="left" w:pos="2127"/>
        </w:tabs>
        <w:spacing w:after="40"/>
        <w:rPr>
          <w:sz w:val="20"/>
          <w:szCs w:val="24"/>
        </w:rPr>
      </w:pPr>
      <w:r w:rsidRPr="00A6681C">
        <w:rPr>
          <w:sz w:val="20"/>
          <w:szCs w:val="24"/>
        </w:rPr>
        <w:t>ICT</w:t>
      </w:r>
      <w:r w:rsidRPr="00A6681C">
        <w:rPr>
          <w:sz w:val="20"/>
          <w:szCs w:val="24"/>
        </w:rPr>
        <w:tab/>
        <w:t xml:space="preserve">Information and Communication Technology </w:t>
      </w:r>
    </w:p>
    <w:p w:rsidR="00A6681C" w:rsidRPr="00A6681C" w:rsidRDefault="00A6681C" w:rsidP="00A6681C">
      <w:pPr>
        <w:tabs>
          <w:tab w:val="left" w:pos="2127"/>
        </w:tabs>
        <w:spacing w:after="40"/>
        <w:rPr>
          <w:sz w:val="20"/>
          <w:szCs w:val="24"/>
        </w:rPr>
      </w:pPr>
      <w:r w:rsidRPr="00A6681C">
        <w:rPr>
          <w:sz w:val="20"/>
          <w:szCs w:val="24"/>
        </w:rPr>
        <w:t>IEEE</w:t>
      </w:r>
      <w:r w:rsidRPr="00A6681C">
        <w:rPr>
          <w:sz w:val="20"/>
          <w:szCs w:val="24"/>
        </w:rPr>
        <w:tab/>
        <w:t>Institute of Electrical and Electronics Engineers</w:t>
      </w:r>
    </w:p>
    <w:p w:rsidR="00A6681C" w:rsidRPr="00A6681C" w:rsidRDefault="00A6681C" w:rsidP="00A6681C">
      <w:pPr>
        <w:tabs>
          <w:tab w:val="left" w:pos="2127"/>
        </w:tabs>
        <w:spacing w:after="40"/>
        <w:rPr>
          <w:sz w:val="20"/>
          <w:szCs w:val="24"/>
        </w:rPr>
      </w:pPr>
      <w:r w:rsidRPr="00A6681C">
        <w:rPr>
          <w:rFonts w:cs="Times New Roman"/>
          <w:sz w:val="20"/>
          <w:szCs w:val="24"/>
        </w:rPr>
        <w:t>IFFRO</w:t>
      </w:r>
      <w:r w:rsidRPr="00A6681C">
        <w:rPr>
          <w:rFonts w:cs="Times New Roman"/>
          <w:sz w:val="20"/>
          <w:szCs w:val="24"/>
        </w:rPr>
        <w:tab/>
        <w:t xml:space="preserve">International Federation of Reproduction Rights </w:t>
      </w:r>
      <w:proofErr w:type="spellStart"/>
      <w:r w:rsidRPr="00A6681C">
        <w:rPr>
          <w:rFonts w:cs="Times New Roman"/>
          <w:sz w:val="20"/>
          <w:szCs w:val="24"/>
        </w:rPr>
        <w:t>Organisations</w:t>
      </w:r>
      <w:proofErr w:type="spellEnd"/>
    </w:p>
    <w:p w:rsidR="00A6681C" w:rsidRPr="00A6681C" w:rsidRDefault="00A6681C" w:rsidP="00A6681C">
      <w:pPr>
        <w:spacing w:after="40"/>
        <w:ind w:left="2127" w:hanging="2127"/>
        <w:rPr>
          <w:sz w:val="20"/>
          <w:szCs w:val="24"/>
        </w:rPr>
      </w:pPr>
      <w:r w:rsidRPr="00A6681C">
        <w:rPr>
          <w:sz w:val="20"/>
          <w:szCs w:val="24"/>
        </w:rPr>
        <w:t>IGC</w:t>
      </w:r>
      <w:r w:rsidRPr="00A6681C">
        <w:rPr>
          <w:sz w:val="20"/>
          <w:szCs w:val="24"/>
        </w:rPr>
        <w:tab/>
        <w:t>Intergovernmental Committee on Intellectual Property and Genetic Resources, Traditional Knowledge and Folklore</w:t>
      </w:r>
    </w:p>
    <w:p w:rsidR="00A6681C" w:rsidRPr="00A6681C" w:rsidRDefault="00A6681C" w:rsidP="00A6681C">
      <w:pPr>
        <w:tabs>
          <w:tab w:val="left" w:pos="2127"/>
        </w:tabs>
        <w:spacing w:after="40"/>
        <w:rPr>
          <w:sz w:val="20"/>
          <w:szCs w:val="24"/>
        </w:rPr>
      </w:pPr>
      <w:r w:rsidRPr="00A6681C">
        <w:rPr>
          <w:sz w:val="20"/>
          <w:szCs w:val="24"/>
        </w:rPr>
        <w:t>IGF</w:t>
      </w:r>
      <w:r w:rsidRPr="00A6681C">
        <w:rPr>
          <w:sz w:val="20"/>
          <w:szCs w:val="24"/>
        </w:rPr>
        <w:tab/>
        <w:t>Internet Governance Forum</w:t>
      </w:r>
    </w:p>
    <w:p w:rsidR="00A6681C" w:rsidRPr="00A6681C" w:rsidRDefault="00A6681C" w:rsidP="00A6681C">
      <w:pPr>
        <w:tabs>
          <w:tab w:val="left" w:pos="2127"/>
        </w:tabs>
        <w:spacing w:after="40"/>
        <w:rPr>
          <w:sz w:val="20"/>
          <w:szCs w:val="24"/>
        </w:rPr>
      </w:pPr>
      <w:r w:rsidRPr="00A6681C">
        <w:rPr>
          <w:sz w:val="20"/>
          <w:szCs w:val="24"/>
        </w:rPr>
        <w:t>IGOs</w:t>
      </w:r>
      <w:r w:rsidRPr="00A6681C">
        <w:rPr>
          <w:sz w:val="20"/>
          <w:szCs w:val="24"/>
        </w:rPr>
        <w:tab/>
        <w:t>inter-governmental organizations</w:t>
      </w:r>
    </w:p>
    <w:p w:rsidR="00A6681C" w:rsidRPr="00A6681C" w:rsidRDefault="00A6681C" w:rsidP="00A6681C">
      <w:pPr>
        <w:tabs>
          <w:tab w:val="left" w:pos="2127"/>
        </w:tabs>
        <w:spacing w:after="40"/>
        <w:rPr>
          <w:sz w:val="20"/>
          <w:szCs w:val="24"/>
        </w:rPr>
      </w:pPr>
      <w:r w:rsidRPr="00A6681C">
        <w:rPr>
          <w:sz w:val="20"/>
          <w:szCs w:val="24"/>
        </w:rPr>
        <w:t>ICOM</w:t>
      </w:r>
      <w:r w:rsidRPr="00A6681C">
        <w:rPr>
          <w:sz w:val="20"/>
          <w:szCs w:val="24"/>
        </w:rPr>
        <w:tab/>
      </w:r>
      <w:r w:rsidR="00F20276" w:rsidRPr="00F20276">
        <w:rPr>
          <w:sz w:val="20"/>
          <w:szCs w:val="24"/>
        </w:rPr>
        <w:t>International Council of Museums</w:t>
      </w:r>
    </w:p>
    <w:p w:rsidR="00A6681C" w:rsidRPr="00A6681C" w:rsidRDefault="00A6681C" w:rsidP="00A6681C">
      <w:pPr>
        <w:tabs>
          <w:tab w:val="left" w:pos="2127"/>
        </w:tabs>
        <w:spacing w:after="40"/>
        <w:rPr>
          <w:sz w:val="20"/>
          <w:szCs w:val="24"/>
        </w:rPr>
      </w:pPr>
      <w:r w:rsidRPr="00A6681C">
        <w:rPr>
          <w:sz w:val="20"/>
          <w:szCs w:val="24"/>
        </w:rPr>
        <w:t>IIA</w:t>
      </w:r>
      <w:r w:rsidRPr="00A6681C">
        <w:rPr>
          <w:sz w:val="20"/>
          <w:szCs w:val="24"/>
        </w:rPr>
        <w:tab/>
        <w:t>Institute of Internal Auditors</w:t>
      </w:r>
    </w:p>
    <w:p w:rsidR="00A6681C" w:rsidRPr="00A6681C" w:rsidRDefault="00A6681C" w:rsidP="00A6681C">
      <w:pPr>
        <w:tabs>
          <w:tab w:val="left" w:pos="2127"/>
        </w:tabs>
        <w:spacing w:after="40"/>
        <w:rPr>
          <w:sz w:val="20"/>
          <w:szCs w:val="24"/>
        </w:rPr>
      </w:pPr>
      <w:r w:rsidRPr="00A6681C">
        <w:rPr>
          <w:sz w:val="20"/>
          <w:szCs w:val="24"/>
        </w:rPr>
        <w:t>ILO</w:t>
      </w:r>
      <w:r w:rsidRPr="00A6681C">
        <w:rPr>
          <w:sz w:val="20"/>
          <w:szCs w:val="24"/>
        </w:rPr>
        <w:tab/>
        <w:t xml:space="preserve">International </w:t>
      </w:r>
      <w:proofErr w:type="spellStart"/>
      <w:r w:rsidRPr="00A6681C">
        <w:rPr>
          <w:sz w:val="20"/>
          <w:szCs w:val="24"/>
        </w:rPr>
        <w:t>Labour</w:t>
      </w:r>
      <w:proofErr w:type="spellEnd"/>
      <w:r w:rsidRPr="00A6681C">
        <w:rPr>
          <w:sz w:val="20"/>
          <w:szCs w:val="24"/>
        </w:rPr>
        <w:t xml:space="preserve"> </w:t>
      </w:r>
      <w:proofErr w:type="spellStart"/>
      <w:r w:rsidRPr="00A6681C">
        <w:rPr>
          <w:sz w:val="20"/>
          <w:szCs w:val="24"/>
        </w:rPr>
        <w:t>Organisation</w:t>
      </w:r>
      <w:proofErr w:type="spellEnd"/>
    </w:p>
    <w:p w:rsidR="00A6681C" w:rsidRPr="00A6681C" w:rsidRDefault="00A6681C" w:rsidP="00A6681C">
      <w:pPr>
        <w:tabs>
          <w:tab w:val="left" w:pos="2127"/>
        </w:tabs>
        <w:spacing w:after="40"/>
        <w:rPr>
          <w:sz w:val="20"/>
          <w:szCs w:val="24"/>
        </w:rPr>
      </w:pPr>
      <w:r w:rsidRPr="00A6681C">
        <w:rPr>
          <w:sz w:val="20"/>
          <w:szCs w:val="24"/>
        </w:rPr>
        <w:t>IP</w:t>
      </w:r>
      <w:r w:rsidRPr="00A6681C">
        <w:rPr>
          <w:sz w:val="20"/>
          <w:szCs w:val="24"/>
        </w:rPr>
        <w:tab/>
        <w:t>Intellectual Property</w:t>
      </w:r>
    </w:p>
    <w:p w:rsidR="00A6681C" w:rsidRPr="00A6681C" w:rsidRDefault="00A6681C" w:rsidP="00A6681C">
      <w:pPr>
        <w:tabs>
          <w:tab w:val="left" w:pos="2127"/>
        </w:tabs>
        <w:spacing w:after="40"/>
        <w:rPr>
          <w:sz w:val="20"/>
          <w:szCs w:val="24"/>
          <w:lang w:val="en"/>
        </w:rPr>
      </w:pPr>
      <w:r w:rsidRPr="00A6681C">
        <w:rPr>
          <w:sz w:val="20"/>
          <w:szCs w:val="24"/>
          <w:lang w:val="en"/>
        </w:rPr>
        <w:t>IPAS</w:t>
      </w:r>
      <w:r w:rsidRPr="00A6681C">
        <w:rPr>
          <w:sz w:val="20"/>
          <w:szCs w:val="24"/>
          <w:lang w:val="en"/>
        </w:rPr>
        <w:tab/>
        <w:t>IP Office Administration System</w:t>
      </w:r>
    </w:p>
    <w:p w:rsidR="00A6681C" w:rsidRPr="00A6681C" w:rsidRDefault="00A6681C" w:rsidP="00A6681C">
      <w:pPr>
        <w:tabs>
          <w:tab w:val="left" w:pos="2127"/>
        </w:tabs>
        <w:spacing w:after="40"/>
        <w:rPr>
          <w:sz w:val="20"/>
          <w:szCs w:val="24"/>
        </w:rPr>
      </w:pPr>
      <w:r w:rsidRPr="00A6681C">
        <w:rPr>
          <w:sz w:val="20"/>
          <w:szCs w:val="24"/>
        </w:rPr>
        <w:t>IPC</w:t>
      </w:r>
      <w:r w:rsidRPr="00A6681C">
        <w:rPr>
          <w:sz w:val="20"/>
          <w:szCs w:val="24"/>
        </w:rPr>
        <w:tab/>
        <w:t>International Patent Classification</w:t>
      </w:r>
    </w:p>
    <w:p w:rsidR="00A6681C" w:rsidRPr="00A6681C" w:rsidRDefault="00A6681C" w:rsidP="00A6681C">
      <w:pPr>
        <w:tabs>
          <w:tab w:val="left" w:pos="2127"/>
        </w:tabs>
        <w:spacing w:after="40"/>
        <w:rPr>
          <w:sz w:val="20"/>
          <w:szCs w:val="24"/>
        </w:rPr>
      </w:pPr>
      <w:r w:rsidRPr="00A6681C">
        <w:rPr>
          <w:sz w:val="20"/>
          <w:szCs w:val="24"/>
        </w:rPr>
        <w:t>IPO</w:t>
      </w:r>
      <w:r w:rsidRPr="00A6681C">
        <w:rPr>
          <w:sz w:val="20"/>
          <w:szCs w:val="24"/>
        </w:rPr>
        <w:tab/>
        <w:t>Intellectual Property Office</w:t>
      </w:r>
    </w:p>
    <w:p w:rsidR="00A6681C" w:rsidRPr="00A6681C" w:rsidRDefault="00A6681C" w:rsidP="00A6681C">
      <w:pPr>
        <w:tabs>
          <w:tab w:val="left" w:pos="2127"/>
        </w:tabs>
        <w:spacing w:after="40"/>
        <w:rPr>
          <w:sz w:val="20"/>
          <w:szCs w:val="24"/>
        </w:rPr>
      </w:pPr>
      <w:r w:rsidRPr="00A6681C">
        <w:rPr>
          <w:sz w:val="20"/>
          <w:szCs w:val="24"/>
        </w:rPr>
        <w:t>IPRs</w:t>
      </w:r>
      <w:r w:rsidRPr="00A6681C">
        <w:rPr>
          <w:sz w:val="20"/>
          <w:szCs w:val="24"/>
        </w:rPr>
        <w:tab/>
        <w:t>Intellectual Property Rights</w:t>
      </w:r>
    </w:p>
    <w:p w:rsidR="00A6681C" w:rsidRPr="00A6681C" w:rsidRDefault="00A6681C" w:rsidP="00A6681C">
      <w:pPr>
        <w:tabs>
          <w:tab w:val="left" w:pos="2127"/>
        </w:tabs>
        <w:spacing w:after="40"/>
        <w:rPr>
          <w:sz w:val="20"/>
          <w:szCs w:val="24"/>
        </w:rPr>
      </w:pPr>
      <w:r w:rsidRPr="00A6681C">
        <w:rPr>
          <w:sz w:val="20"/>
          <w:szCs w:val="24"/>
        </w:rPr>
        <w:t>IPSAS</w:t>
      </w:r>
      <w:r w:rsidRPr="00A6681C">
        <w:rPr>
          <w:sz w:val="20"/>
          <w:szCs w:val="24"/>
        </w:rPr>
        <w:tab/>
        <w:t>International Public Sector Accounting Standards</w:t>
      </w:r>
    </w:p>
    <w:p w:rsidR="00A6681C" w:rsidRPr="00A6681C" w:rsidRDefault="00A6681C" w:rsidP="00A6681C">
      <w:pPr>
        <w:tabs>
          <w:tab w:val="left" w:pos="2127"/>
        </w:tabs>
        <w:spacing w:after="40"/>
        <w:rPr>
          <w:sz w:val="20"/>
          <w:szCs w:val="24"/>
        </w:rPr>
      </w:pPr>
      <w:r w:rsidRPr="00A6681C">
        <w:rPr>
          <w:sz w:val="20"/>
          <w:szCs w:val="24"/>
        </w:rPr>
        <w:t>IT</w:t>
      </w:r>
      <w:r w:rsidRPr="00A6681C">
        <w:rPr>
          <w:sz w:val="20"/>
          <w:szCs w:val="24"/>
        </w:rPr>
        <w:tab/>
        <w:t>Information Technology</w:t>
      </w:r>
    </w:p>
    <w:p w:rsidR="00A6681C" w:rsidRPr="00A6681C" w:rsidRDefault="00A6681C" w:rsidP="00A6681C">
      <w:pPr>
        <w:tabs>
          <w:tab w:val="left" w:pos="2127"/>
        </w:tabs>
        <w:spacing w:after="40"/>
        <w:rPr>
          <w:sz w:val="20"/>
          <w:szCs w:val="24"/>
        </w:rPr>
      </w:pPr>
      <w:r w:rsidRPr="00A6681C">
        <w:rPr>
          <w:sz w:val="20"/>
          <w:szCs w:val="24"/>
        </w:rPr>
        <w:t>ITIL</w:t>
      </w:r>
      <w:r w:rsidRPr="00A6681C">
        <w:rPr>
          <w:sz w:val="20"/>
          <w:szCs w:val="24"/>
        </w:rPr>
        <w:tab/>
        <w:t>Information Technology Infrastructure Library</w:t>
      </w:r>
    </w:p>
    <w:p w:rsidR="00A6681C" w:rsidRPr="00A6681C" w:rsidRDefault="00A6681C" w:rsidP="00F20276">
      <w:pPr>
        <w:spacing w:after="240"/>
        <w:ind w:left="2127" w:hanging="2127"/>
        <w:rPr>
          <w:sz w:val="20"/>
          <w:szCs w:val="24"/>
        </w:rPr>
      </w:pPr>
      <w:r w:rsidRPr="00A6681C">
        <w:rPr>
          <w:sz w:val="20"/>
          <w:szCs w:val="24"/>
        </w:rPr>
        <w:t>ITU</w:t>
      </w:r>
      <w:r w:rsidRPr="00A6681C">
        <w:rPr>
          <w:sz w:val="20"/>
          <w:szCs w:val="24"/>
        </w:rPr>
        <w:tab/>
      </w:r>
      <w:r w:rsidRPr="00A6681C">
        <w:rPr>
          <w:snapToGrid w:val="0"/>
          <w:sz w:val="20"/>
          <w:szCs w:val="24"/>
        </w:rPr>
        <w:t>International Telecommunications Union</w:t>
      </w:r>
    </w:p>
    <w:p w:rsidR="00A6681C" w:rsidRPr="00A6681C" w:rsidRDefault="00A6681C" w:rsidP="00F20276">
      <w:pPr>
        <w:spacing w:after="240"/>
        <w:ind w:left="2127" w:hanging="2127"/>
        <w:rPr>
          <w:sz w:val="20"/>
          <w:szCs w:val="24"/>
        </w:rPr>
      </w:pPr>
      <w:r w:rsidRPr="00A6681C">
        <w:rPr>
          <w:b/>
          <w:sz w:val="20"/>
          <w:szCs w:val="24"/>
        </w:rPr>
        <w:t>J</w:t>
      </w:r>
      <w:r w:rsidRPr="00A6681C">
        <w:rPr>
          <w:sz w:val="20"/>
          <w:szCs w:val="24"/>
        </w:rPr>
        <w:t>AG</w:t>
      </w:r>
      <w:r w:rsidRPr="00A6681C">
        <w:rPr>
          <w:sz w:val="20"/>
          <w:szCs w:val="24"/>
        </w:rPr>
        <w:tab/>
        <w:t xml:space="preserve">Joint Advisory Group </w:t>
      </w:r>
    </w:p>
    <w:p w:rsidR="00A6681C" w:rsidRPr="00A6681C" w:rsidRDefault="00A6681C" w:rsidP="00A6681C">
      <w:pPr>
        <w:tabs>
          <w:tab w:val="left" w:pos="2127"/>
        </w:tabs>
        <w:spacing w:after="40"/>
        <w:rPr>
          <w:sz w:val="20"/>
          <w:szCs w:val="24"/>
        </w:rPr>
      </w:pPr>
      <w:r w:rsidRPr="00A6681C">
        <w:rPr>
          <w:b/>
          <w:bCs/>
          <w:sz w:val="20"/>
          <w:szCs w:val="24"/>
        </w:rPr>
        <w:t>L</w:t>
      </w:r>
      <w:r w:rsidRPr="00A6681C">
        <w:rPr>
          <w:sz w:val="20"/>
          <w:szCs w:val="24"/>
        </w:rPr>
        <w:t>DCs</w:t>
      </w:r>
      <w:r w:rsidRPr="00A6681C">
        <w:rPr>
          <w:sz w:val="20"/>
          <w:szCs w:val="24"/>
        </w:rPr>
        <w:tab/>
        <w:t>Least Developed Countries</w:t>
      </w:r>
    </w:p>
    <w:p w:rsidR="00A6681C" w:rsidRPr="00A6681C" w:rsidRDefault="00A6681C" w:rsidP="00A6681C">
      <w:pPr>
        <w:tabs>
          <w:tab w:val="left" w:pos="2127"/>
        </w:tabs>
        <w:spacing w:after="180"/>
        <w:rPr>
          <w:sz w:val="20"/>
          <w:szCs w:val="24"/>
        </w:rPr>
      </w:pPr>
      <w:r w:rsidRPr="00A6681C">
        <w:rPr>
          <w:sz w:val="20"/>
          <w:szCs w:val="24"/>
        </w:rPr>
        <w:t>LTSEs</w:t>
      </w:r>
      <w:r w:rsidRPr="00A6681C">
        <w:rPr>
          <w:sz w:val="20"/>
          <w:szCs w:val="24"/>
        </w:rPr>
        <w:tab/>
        <w:t>long-serving temporary employees</w:t>
      </w:r>
    </w:p>
    <w:p w:rsidR="00A6681C" w:rsidRPr="00A6681C" w:rsidRDefault="00A6681C" w:rsidP="00A6681C">
      <w:pPr>
        <w:tabs>
          <w:tab w:val="left" w:pos="2127"/>
        </w:tabs>
        <w:spacing w:after="40"/>
        <w:rPr>
          <w:sz w:val="20"/>
          <w:szCs w:val="24"/>
        </w:rPr>
      </w:pPr>
      <w:r w:rsidRPr="00A6681C">
        <w:rPr>
          <w:b/>
          <w:bCs/>
          <w:sz w:val="20"/>
          <w:szCs w:val="24"/>
        </w:rPr>
        <w:t>M</w:t>
      </w:r>
      <w:r w:rsidRPr="00A6681C">
        <w:rPr>
          <w:sz w:val="20"/>
          <w:szCs w:val="24"/>
        </w:rPr>
        <w:t>DGs</w:t>
      </w:r>
      <w:r w:rsidRPr="00A6681C">
        <w:rPr>
          <w:sz w:val="20"/>
          <w:szCs w:val="24"/>
        </w:rPr>
        <w:tab/>
      </w:r>
      <w:proofErr w:type="spellStart"/>
      <w:r w:rsidRPr="00A6681C">
        <w:rPr>
          <w:sz w:val="20"/>
          <w:szCs w:val="24"/>
        </w:rPr>
        <w:t>Millenium</w:t>
      </w:r>
      <w:proofErr w:type="spellEnd"/>
      <w:r w:rsidRPr="00A6681C">
        <w:rPr>
          <w:sz w:val="20"/>
          <w:szCs w:val="24"/>
        </w:rPr>
        <w:t xml:space="preserve"> Development Goals</w:t>
      </w:r>
    </w:p>
    <w:p w:rsidR="00A6681C" w:rsidRPr="00A6681C" w:rsidRDefault="00A6681C" w:rsidP="00A6681C">
      <w:pPr>
        <w:tabs>
          <w:tab w:val="left" w:pos="2127"/>
        </w:tabs>
        <w:spacing w:after="40"/>
        <w:rPr>
          <w:sz w:val="20"/>
          <w:szCs w:val="24"/>
        </w:rPr>
      </w:pPr>
      <w:r w:rsidRPr="00A6681C">
        <w:rPr>
          <w:sz w:val="20"/>
          <w:szCs w:val="24"/>
        </w:rPr>
        <w:t>MoU</w:t>
      </w:r>
      <w:r w:rsidRPr="00A6681C">
        <w:rPr>
          <w:sz w:val="20"/>
          <w:szCs w:val="24"/>
        </w:rPr>
        <w:tab/>
        <w:t>Memorandum of Understanding</w:t>
      </w:r>
    </w:p>
    <w:p w:rsidR="00A6681C" w:rsidRPr="00A6681C" w:rsidRDefault="00A6681C" w:rsidP="00F20276">
      <w:pPr>
        <w:spacing w:after="240"/>
        <w:ind w:left="2127" w:hanging="2127"/>
        <w:rPr>
          <w:sz w:val="20"/>
          <w:szCs w:val="24"/>
        </w:rPr>
      </w:pPr>
      <w:r w:rsidRPr="00A6681C">
        <w:rPr>
          <w:sz w:val="20"/>
          <w:szCs w:val="24"/>
        </w:rPr>
        <w:t>MTSP</w:t>
      </w:r>
      <w:r w:rsidRPr="00A6681C">
        <w:rPr>
          <w:sz w:val="20"/>
          <w:szCs w:val="24"/>
        </w:rPr>
        <w:tab/>
        <w:t>Medium Term Strategic Plan</w:t>
      </w:r>
    </w:p>
    <w:p w:rsidR="00A6681C" w:rsidRPr="00A6681C" w:rsidRDefault="00A6681C" w:rsidP="00A6681C">
      <w:pPr>
        <w:tabs>
          <w:tab w:val="left" w:pos="2127"/>
        </w:tabs>
        <w:spacing w:after="40"/>
        <w:rPr>
          <w:sz w:val="20"/>
          <w:szCs w:val="24"/>
        </w:rPr>
      </w:pPr>
      <w:r w:rsidRPr="00A6681C">
        <w:rPr>
          <w:b/>
          <w:bCs/>
          <w:sz w:val="20"/>
          <w:szCs w:val="24"/>
        </w:rPr>
        <w:t>N</w:t>
      </w:r>
      <w:r w:rsidRPr="00A6681C">
        <w:rPr>
          <w:sz w:val="20"/>
          <w:szCs w:val="24"/>
        </w:rPr>
        <w:t>GOs</w:t>
      </w:r>
      <w:r w:rsidRPr="00A6681C">
        <w:rPr>
          <w:sz w:val="20"/>
          <w:szCs w:val="24"/>
        </w:rPr>
        <w:tab/>
        <w:t>non-governmental organizations</w:t>
      </w:r>
    </w:p>
    <w:p w:rsidR="00A6681C" w:rsidRPr="00A6681C" w:rsidRDefault="00A6681C" w:rsidP="00F20276">
      <w:pPr>
        <w:spacing w:after="240"/>
        <w:ind w:left="2127" w:hanging="2127"/>
        <w:rPr>
          <w:sz w:val="20"/>
          <w:szCs w:val="24"/>
          <w:lang w:val="fr-FR"/>
        </w:rPr>
      </w:pPr>
      <w:r w:rsidRPr="00A6681C">
        <w:rPr>
          <w:sz w:val="20"/>
          <w:lang w:val="fr-FR"/>
        </w:rPr>
        <w:t>NPO</w:t>
      </w:r>
      <w:r w:rsidRPr="00A6681C">
        <w:rPr>
          <w:sz w:val="20"/>
          <w:lang w:val="fr-FR"/>
        </w:rPr>
        <w:tab/>
        <w:t xml:space="preserve">National Professional </w:t>
      </w:r>
      <w:proofErr w:type="spellStart"/>
      <w:r w:rsidRPr="00A6681C">
        <w:rPr>
          <w:sz w:val="20"/>
          <w:lang w:val="fr-FR"/>
        </w:rPr>
        <w:t>Officer</w:t>
      </w:r>
      <w:proofErr w:type="spellEnd"/>
      <w:r w:rsidRPr="00A6681C">
        <w:rPr>
          <w:sz w:val="20"/>
          <w:lang w:val="fr-FR"/>
        </w:rPr>
        <w:t xml:space="preserve"> </w:t>
      </w:r>
    </w:p>
    <w:p w:rsidR="00A6681C" w:rsidRPr="00A6681C" w:rsidRDefault="00A6681C" w:rsidP="00F20276">
      <w:pPr>
        <w:pageBreakBefore/>
        <w:tabs>
          <w:tab w:val="left" w:pos="2127"/>
        </w:tabs>
        <w:spacing w:after="40"/>
        <w:ind w:left="2127" w:hanging="2127"/>
        <w:rPr>
          <w:sz w:val="20"/>
          <w:szCs w:val="24"/>
          <w:lang w:val="fr-FR"/>
        </w:rPr>
      </w:pPr>
      <w:r w:rsidRPr="00A6681C">
        <w:rPr>
          <w:b/>
          <w:bCs/>
          <w:sz w:val="20"/>
          <w:szCs w:val="24"/>
          <w:lang w:val="fr-FR"/>
        </w:rPr>
        <w:lastRenderedPageBreak/>
        <w:t>O</w:t>
      </w:r>
      <w:r w:rsidRPr="00A6681C">
        <w:rPr>
          <w:sz w:val="20"/>
          <w:szCs w:val="24"/>
          <w:lang w:val="fr-FR"/>
        </w:rPr>
        <w:t>API</w:t>
      </w:r>
      <w:r w:rsidRPr="00A6681C">
        <w:rPr>
          <w:sz w:val="20"/>
          <w:szCs w:val="24"/>
          <w:lang w:val="fr-FR"/>
        </w:rPr>
        <w:tab/>
      </w:r>
      <w:r w:rsidRPr="00A6681C">
        <w:rPr>
          <w:i/>
          <w:sz w:val="20"/>
          <w:szCs w:val="24"/>
          <w:lang w:val="fr-FR"/>
        </w:rPr>
        <w:t>l’Organisation Africaine de la Propriété Intellectuelle</w:t>
      </w:r>
      <w:r w:rsidRPr="00A6681C">
        <w:rPr>
          <w:sz w:val="20"/>
          <w:szCs w:val="24"/>
          <w:lang w:val="fr-FR"/>
        </w:rPr>
        <w:t xml:space="preserve"> (</w:t>
      </w:r>
      <w:proofErr w:type="spellStart"/>
      <w:r w:rsidRPr="00A6681C">
        <w:rPr>
          <w:sz w:val="20"/>
          <w:szCs w:val="24"/>
          <w:lang w:val="fr-FR"/>
        </w:rPr>
        <w:t>African</w:t>
      </w:r>
      <w:proofErr w:type="spellEnd"/>
      <w:r w:rsidRPr="00A6681C">
        <w:rPr>
          <w:sz w:val="20"/>
          <w:szCs w:val="24"/>
          <w:lang w:val="fr-FR"/>
        </w:rPr>
        <w:t xml:space="preserve"> </w:t>
      </w:r>
      <w:proofErr w:type="spellStart"/>
      <w:r w:rsidRPr="00A6681C">
        <w:rPr>
          <w:sz w:val="20"/>
          <w:szCs w:val="24"/>
          <w:lang w:val="fr-FR"/>
        </w:rPr>
        <w:t>Intellectual</w:t>
      </w:r>
      <w:proofErr w:type="spellEnd"/>
      <w:r w:rsidRPr="00A6681C">
        <w:rPr>
          <w:sz w:val="20"/>
          <w:szCs w:val="24"/>
          <w:lang w:val="fr-FR"/>
        </w:rPr>
        <w:t xml:space="preserve"> </w:t>
      </w:r>
      <w:proofErr w:type="spellStart"/>
      <w:r w:rsidRPr="00A6681C">
        <w:rPr>
          <w:sz w:val="20"/>
          <w:szCs w:val="24"/>
          <w:lang w:val="fr-FR"/>
        </w:rPr>
        <w:t>Property</w:t>
      </w:r>
      <w:proofErr w:type="spellEnd"/>
      <w:r w:rsidRPr="00A6681C">
        <w:rPr>
          <w:sz w:val="20"/>
          <w:szCs w:val="24"/>
          <w:lang w:val="fr-FR"/>
        </w:rPr>
        <w:t xml:space="preserve"> </w:t>
      </w:r>
      <w:proofErr w:type="spellStart"/>
      <w:r w:rsidRPr="00A6681C">
        <w:rPr>
          <w:sz w:val="20"/>
          <w:szCs w:val="24"/>
          <w:lang w:val="fr-FR"/>
        </w:rPr>
        <w:t>Organization</w:t>
      </w:r>
      <w:proofErr w:type="spellEnd"/>
      <w:r w:rsidRPr="00A6681C">
        <w:rPr>
          <w:sz w:val="20"/>
          <w:szCs w:val="24"/>
          <w:lang w:val="fr-FR"/>
        </w:rPr>
        <w:t>)</w:t>
      </w:r>
    </w:p>
    <w:p w:rsidR="00A6681C" w:rsidRPr="00A6681C" w:rsidRDefault="00A6681C" w:rsidP="00A6681C">
      <w:pPr>
        <w:tabs>
          <w:tab w:val="left" w:pos="2127"/>
        </w:tabs>
        <w:spacing w:after="40"/>
        <w:rPr>
          <w:rFonts w:eastAsia="SimSun"/>
          <w:color w:val="000000"/>
          <w:sz w:val="20"/>
          <w:shd w:val="clear" w:color="auto" w:fill="FFFFFF"/>
          <w:lang w:eastAsia="zh-CN"/>
        </w:rPr>
      </w:pPr>
      <w:r w:rsidRPr="00A6681C">
        <w:rPr>
          <w:sz w:val="20"/>
          <w:szCs w:val="24"/>
        </w:rPr>
        <w:t>OECD</w:t>
      </w:r>
      <w:r w:rsidRPr="00A6681C">
        <w:rPr>
          <w:sz w:val="20"/>
          <w:szCs w:val="24"/>
        </w:rPr>
        <w:tab/>
      </w:r>
      <w:r w:rsidRPr="00A6681C">
        <w:rPr>
          <w:rFonts w:eastAsia="SimSun"/>
          <w:color w:val="000000"/>
          <w:sz w:val="20"/>
          <w:shd w:val="clear" w:color="auto" w:fill="FFFFFF"/>
          <w:lang w:eastAsia="zh-CN"/>
        </w:rPr>
        <w:t>Organization for Economic Cooperation and Development</w:t>
      </w:r>
    </w:p>
    <w:p w:rsidR="00A6681C" w:rsidRPr="00A6681C" w:rsidRDefault="00A6681C" w:rsidP="00A6681C">
      <w:pPr>
        <w:tabs>
          <w:tab w:val="left" w:pos="2127"/>
        </w:tabs>
        <w:spacing w:after="40"/>
        <w:rPr>
          <w:sz w:val="20"/>
          <w:szCs w:val="24"/>
        </w:rPr>
      </w:pPr>
      <w:r w:rsidRPr="00A6681C">
        <w:rPr>
          <w:rFonts w:eastAsia="SimSun"/>
          <w:bCs/>
          <w:sz w:val="20"/>
          <w:szCs w:val="24"/>
          <w:lang w:eastAsia="zh-CN"/>
        </w:rPr>
        <w:t>OECS</w:t>
      </w:r>
      <w:r w:rsidRPr="00A6681C">
        <w:rPr>
          <w:rFonts w:eastAsia="SimSun"/>
          <w:bCs/>
          <w:sz w:val="20"/>
          <w:szCs w:val="24"/>
          <w:lang w:eastAsia="zh-CN"/>
        </w:rPr>
        <w:tab/>
        <w:t>Organization of the East Caribbean States</w:t>
      </w:r>
    </w:p>
    <w:p w:rsidR="00A6681C" w:rsidRPr="00A6681C" w:rsidRDefault="00A6681C" w:rsidP="00A6681C">
      <w:pPr>
        <w:tabs>
          <w:tab w:val="left" w:pos="2127"/>
        </w:tabs>
        <w:spacing w:after="40"/>
        <w:rPr>
          <w:sz w:val="20"/>
          <w:szCs w:val="24"/>
        </w:rPr>
      </w:pPr>
      <w:r w:rsidRPr="00A6681C">
        <w:rPr>
          <w:sz w:val="20"/>
          <w:szCs w:val="24"/>
        </w:rPr>
        <w:t>OHIM</w:t>
      </w:r>
      <w:r w:rsidRPr="00A6681C">
        <w:rPr>
          <w:sz w:val="20"/>
          <w:szCs w:val="24"/>
        </w:rPr>
        <w:tab/>
        <w:t>Office for Harmonization in the Internal Market (Community Trademarks)</w:t>
      </w:r>
    </w:p>
    <w:p w:rsidR="00A6681C" w:rsidRPr="00A6681C" w:rsidRDefault="00A6681C" w:rsidP="00A6681C">
      <w:pPr>
        <w:tabs>
          <w:tab w:val="left" w:pos="2127"/>
        </w:tabs>
        <w:spacing w:after="40"/>
        <w:rPr>
          <w:sz w:val="20"/>
          <w:szCs w:val="24"/>
          <w:lang w:val="fr-FR"/>
        </w:rPr>
      </w:pPr>
      <w:r w:rsidRPr="00A6681C">
        <w:rPr>
          <w:sz w:val="20"/>
          <w:szCs w:val="24"/>
          <w:lang w:val="fr-FR"/>
        </w:rPr>
        <w:t>OIC</w:t>
      </w:r>
      <w:r w:rsidRPr="00A6681C">
        <w:rPr>
          <w:sz w:val="20"/>
          <w:szCs w:val="24"/>
          <w:lang w:val="fr-FR"/>
        </w:rPr>
        <w:tab/>
      </w:r>
      <w:r w:rsidRPr="00A6681C">
        <w:rPr>
          <w:sz w:val="20"/>
          <w:lang w:val="fr-FR"/>
        </w:rPr>
        <w:t xml:space="preserve">Organisation of </w:t>
      </w:r>
      <w:proofErr w:type="spellStart"/>
      <w:r w:rsidRPr="00A6681C">
        <w:rPr>
          <w:sz w:val="20"/>
          <w:lang w:val="fr-FR"/>
        </w:rPr>
        <w:t>Islamic</w:t>
      </w:r>
      <w:proofErr w:type="spellEnd"/>
      <w:r w:rsidRPr="00A6681C">
        <w:rPr>
          <w:sz w:val="20"/>
          <w:lang w:val="fr-FR"/>
        </w:rPr>
        <w:t xml:space="preserve"> </w:t>
      </w:r>
      <w:proofErr w:type="spellStart"/>
      <w:r w:rsidRPr="00A6681C">
        <w:rPr>
          <w:sz w:val="20"/>
          <w:lang w:val="fr-FR"/>
        </w:rPr>
        <w:t>Cooperation</w:t>
      </w:r>
      <w:proofErr w:type="spellEnd"/>
    </w:p>
    <w:p w:rsidR="00A6681C" w:rsidRPr="00A6681C" w:rsidRDefault="00A6681C" w:rsidP="00A6681C">
      <w:pPr>
        <w:tabs>
          <w:tab w:val="left" w:pos="2127"/>
        </w:tabs>
        <w:spacing w:after="40"/>
        <w:rPr>
          <w:sz w:val="20"/>
          <w:szCs w:val="24"/>
          <w:lang w:val="fr-FR"/>
        </w:rPr>
      </w:pPr>
      <w:r w:rsidRPr="00A6681C">
        <w:rPr>
          <w:sz w:val="20"/>
          <w:szCs w:val="24"/>
          <w:lang w:val="fr-FR"/>
        </w:rPr>
        <w:t>OIF</w:t>
      </w:r>
      <w:r w:rsidRPr="00A6681C">
        <w:rPr>
          <w:sz w:val="20"/>
          <w:szCs w:val="24"/>
          <w:lang w:val="fr-FR"/>
        </w:rPr>
        <w:tab/>
      </w:r>
      <w:r w:rsidRPr="00A6681C">
        <w:rPr>
          <w:rFonts w:eastAsia="SimSun" w:cs="Times New Roman"/>
          <w:bCs/>
          <w:sz w:val="20"/>
          <w:szCs w:val="24"/>
          <w:lang w:val="fr-FR" w:eastAsia="zh-CN"/>
        </w:rPr>
        <w:t>Organisation Internationale de la Francophonie</w:t>
      </w:r>
    </w:p>
    <w:p w:rsidR="00A6681C" w:rsidRPr="00A6681C" w:rsidRDefault="00A6681C" w:rsidP="00F20276">
      <w:pPr>
        <w:spacing w:after="240"/>
        <w:ind w:left="2127" w:hanging="2127"/>
        <w:rPr>
          <w:sz w:val="20"/>
          <w:szCs w:val="24"/>
        </w:rPr>
      </w:pPr>
      <w:r w:rsidRPr="00A6681C">
        <w:rPr>
          <w:sz w:val="20"/>
          <w:szCs w:val="24"/>
        </w:rPr>
        <w:t>OPD</w:t>
      </w:r>
      <w:r w:rsidRPr="00A6681C">
        <w:rPr>
          <w:sz w:val="20"/>
          <w:szCs w:val="24"/>
        </w:rPr>
        <w:tab/>
        <w:t>One Portal Dossier system</w:t>
      </w:r>
    </w:p>
    <w:p w:rsidR="00A6681C" w:rsidRPr="00A6681C" w:rsidRDefault="00A6681C" w:rsidP="00A6681C">
      <w:pPr>
        <w:tabs>
          <w:tab w:val="left" w:pos="2127"/>
        </w:tabs>
        <w:spacing w:after="40"/>
        <w:rPr>
          <w:sz w:val="20"/>
          <w:szCs w:val="24"/>
        </w:rPr>
      </w:pPr>
      <w:r w:rsidRPr="00A6681C">
        <w:rPr>
          <w:b/>
          <w:sz w:val="20"/>
          <w:szCs w:val="24"/>
        </w:rPr>
        <w:t>P</w:t>
      </w:r>
      <w:r w:rsidRPr="00A6681C">
        <w:rPr>
          <w:sz w:val="20"/>
          <w:szCs w:val="24"/>
        </w:rPr>
        <w:t>CT</w:t>
      </w:r>
      <w:r w:rsidRPr="00A6681C">
        <w:rPr>
          <w:sz w:val="20"/>
          <w:szCs w:val="24"/>
        </w:rPr>
        <w:tab/>
        <w:t>Patent Cooperation Treaty</w:t>
      </w:r>
    </w:p>
    <w:p w:rsidR="00A6681C" w:rsidRPr="00A6681C" w:rsidRDefault="00A6681C" w:rsidP="00A6681C">
      <w:pPr>
        <w:tabs>
          <w:tab w:val="left" w:pos="2127"/>
        </w:tabs>
        <w:spacing w:after="40"/>
        <w:rPr>
          <w:sz w:val="20"/>
          <w:szCs w:val="24"/>
        </w:rPr>
      </w:pPr>
      <w:r w:rsidRPr="00A6681C">
        <w:rPr>
          <w:rFonts w:eastAsia="SimSun"/>
          <w:bCs/>
          <w:sz w:val="20"/>
          <w:lang w:eastAsia="zh-CN"/>
        </w:rPr>
        <w:t>PIFS</w:t>
      </w:r>
      <w:r w:rsidRPr="00A6681C">
        <w:rPr>
          <w:rFonts w:eastAsia="SimSun"/>
          <w:bCs/>
          <w:sz w:val="20"/>
          <w:lang w:eastAsia="zh-CN"/>
        </w:rPr>
        <w:tab/>
        <w:t>Pacific Islands Secretariat</w:t>
      </w:r>
    </w:p>
    <w:p w:rsidR="00A6681C" w:rsidRPr="00A6681C" w:rsidRDefault="00A6681C" w:rsidP="00A6681C">
      <w:pPr>
        <w:tabs>
          <w:tab w:val="left" w:pos="2127"/>
        </w:tabs>
        <w:spacing w:after="40"/>
        <w:rPr>
          <w:sz w:val="20"/>
          <w:szCs w:val="24"/>
        </w:rPr>
      </w:pPr>
      <w:r w:rsidRPr="00A6681C">
        <w:rPr>
          <w:sz w:val="20"/>
          <w:szCs w:val="24"/>
        </w:rPr>
        <w:t>PLR</w:t>
      </w:r>
      <w:r w:rsidRPr="00A6681C">
        <w:rPr>
          <w:sz w:val="20"/>
          <w:szCs w:val="24"/>
        </w:rPr>
        <w:tab/>
        <w:t>Patent Landscape Reports</w:t>
      </w:r>
    </w:p>
    <w:p w:rsidR="00A6681C" w:rsidRPr="00A6681C" w:rsidRDefault="00A6681C" w:rsidP="00A6681C">
      <w:pPr>
        <w:tabs>
          <w:tab w:val="left" w:pos="2127"/>
        </w:tabs>
        <w:spacing w:after="40"/>
        <w:rPr>
          <w:sz w:val="20"/>
          <w:szCs w:val="24"/>
        </w:rPr>
      </w:pPr>
      <w:r w:rsidRPr="00A6681C">
        <w:rPr>
          <w:sz w:val="20"/>
          <w:szCs w:val="24"/>
        </w:rPr>
        <w:t>PLT</w:t>
      </w:r>
      <w:r w:rsidRPr="00A6681C">
        <w:rPr>
          <w:sz w:val="20"/>
          <w:szCs w:val="24"/>
        </w:rPr>
        <w:tab/>
        <w:t>Patent Law Treaty</w:t>
      </w:r>
    </w:p>
    <w:p w:rsidR="00A6681C" w:rsidRPr="00A6681C" w:rsidRDefault="00A6681C" w:rsidP="00A6681C">
      <w:pPr>
        <w:tabs>
          <w:tab w:val="left" w:pos="2127"/>
        </w:tabs>
        <w:spacing w:after="40"/>
        <w:rPr>
          <w:sz w:val="20"/>
          <w:szCs w:val="24"/>
        </w:rPr>
      </w:pPr>
      <w:r w:rsidRPr="00A6681C">
        <w:rPr>
          <w:sz w:val="20"/>
          <w:szCs w:val="24"/>
        </w:rPr>
        <w:t>PMSDS</w:t>
      </w:r>
      <w:r w:rsidRPr="00A6681C">
        <w:rPr>
          <w:sz w:val="20"/>
          <w:szCs w:val="24"/>
        </w:rPr>
        <w:tab/>
      </w:r>
      <w:r w:rsidRPr="00A6681C">
        <w:rPr>
          <w:snapToGrid w:val="0"/>
          <w:sz w:val="20"/>
          <w:szCs w:val="24"/>
        </w:rPr>
        <w:t>Performance Management and Staff Development System</w:t>
      </w:r>
    </w:p>
    <w:p w:rsidR="00A6681C" w:rsidRPr="00A6681C" w:rsidRDefault="00A6681C" w:rsidP="00F20276">
      <w:pPr>
        <w:spacing w:after="240"/>
        <w:ind w:left="2127" w:hanging="2127"/>
        <w:rPr>
          <w:sz w:val="20"/>
          <w:szCs w:val="24"/>
        </w:rPr>
      </w:pPr>
      <w:r w:rsidRPr="00A6681C">
        <w:rPr>
          <w:sz w:val="20"/>
          <w:szCs w:val="24"/>
        </w:rPr>
        <w:t>PPR</w:t>
      </w:r>
      <w:r w:rsidRPr="00A6681C">
        <w:rPr>
          <w:sz w:val="20"/>
          <w:szCs w:val="24"/>
        </w:rPr>
        <w:tab/>
        <w:t>Program Performance Report</w:t>
      </w:r>
    </w:p>
    <w:p w:rsidR="00A6681C" w:rsidRPr="00A6681C" w:rsidRDefault="00A6681C" w:rsidP="00A6681C">
      <w:pPr>
        <w:tabs>
          <w:tab w:val="left" w:pos="2127"/>
        </w:tabs>
        <w:spacing w:after="40"/>
        <w:rPr>
          <w:sz w:val="20"/>
          <w:szCs w:val="24"/>
        </w:rPr>
      </w:pPr>
      <w:r w:rsidRPr="00A6681C">
        <w:rPr>
          <w:b/>
          <w:bCs/>
          <w:sz w:val="20"/>
          <w:szCs w:val="24"/>
        </w:rPr>
        <w:t>R</w:t>
      </w:r>
      <w:r w:rsidRPr="00A6681C">
        <w:rPr>
          <w:sz w:val="20"/>
          <w:szCs w:val="24"/>
        </w:rPr>
        <w:t>BM</w:t>
      </w:r>
      <w:r w:rsidRPr="00A6681C">
        <w:rPr>
          <w:sz w:val="20"/>
          <w:szCs w:val="24"/>
        </w:rPr>
        <w:tab/>
        <w:t>Results-based Management</w:t>
      </w:r>
    </w:p>
    <w:p w:rsidR="00A6681C" w:rsidRPr="00A6681C" w:rsidRDefault="00A6681C" w:rsidP="00A6681C">
      <w:pPr>
        <w:tabs>
          <w:tab w:val="left" w:pos="2127"/>
        </w:tabs>
        <w:spacing w:after="40"/>
        <w:rPr>
          <w:sz w:val="20"/>
          <w:szCs w:val="24"/>
        </w:rPr>
      </w:pPr>
      <w:r w:rsidRPr="00A6681C">
        <w:rPr>
          <w:sz w:val="20"/>
          <w:szCs w:val="24"/>
        </w:rPr>
        <w:t>R&amp;D</w:t>
      </w:r>
      <w:r w:rsidRPr="00A6681C">
        <w:rPr>
          <w:sz w:val="20"/>
          <w:szCs w:val="24"/>
        </w:rPr>
        <w:tab/>
        <w:t>research and development</w:t>
      </w:r>
    </w:p>
    <w:p w:rsidR="00A6681C" w:rsidRPr="00A6681C" w:rsidRDefault="00A6681C" w:rsidP="00A6681C">
      <w:pPr>
        <w:tabs>
          <w:tab w:val="left" w:pos="2127"/>
        </w:tabs>
        <w:spacing w:after="40"/>
        <w:rPr>
          <w:sz w:val="20"/>
          <w:szCs w:val="24"/>
        </w:rPr>
      </w:pPr>
      <w:r w:rsidRPr="00A6681C">
        <w:rPr>
          <w:sz w:val="20"/>
          <w:szCs w:val="24"/>
        </w:rPr>
        <w:t>RFPs</w:t>
      </w:r>
      <w:r w:rsidRPr="00A6681C">
        <w:rPr>
          <w:sz w:val="20"/>
          <w:szCs w:val="24"/>
        </w:rPr>
        <w:tab/>
        <w:t>Requests for Proposals</w:t>
      </w:r>
    </w:p>
    <w:p w:rsidR="00A6681C" w:rsidRPr="00A6681C" w:rsidRDefault="00A6681C" w:rsidP="00F20276">
      <w:pPr>
        <w:spacing w:after="240"/>
        <w:ind w:left="2127" w:hanging="2127"/>
        <w:rPr>
          <w:sz w:val="20"/>
          <w:szCs w:val="24"/>
        </w:rPr>
      </w:pPr>
      <w:r w:rsidRPr="00A6681C">
        <w:rPr>
          <w:sz w:val="20"/>
          <w:szCs w:val="24"/>
        </w:rPr>
        <w:t>RO</w:t>
      </w:r>
      <w:r w:rsidRPr="00A6681C">
        <w:rPr>
          <w:sz w:val="20"/>
          <w:szCs w:val="24"/>
        </w:rPr>
        <w:tab/>
        <w:t>Receiving Office</w:t>
      </w:r>
    </w:p>
    <w:p w:rsidR="00A6681C" w:rsidRPr="00A6681C" w:rsidRDefault="00A6681C" w:rsidP="00A6681C">
      <w:pPr>
        <w:tabs>
          <w:tab w:val="left" w:pos="2127"/>
        </w:tabs>
        <w:spacing w:after="40"/>
        <w:rPr>
          <w:sz w:val="20"/>
          <w:szCs w:val="24"/>
        </w:rPr>
      </w:pPr>
      <w:r w:rsidRPr="00A6681C">
        <w:rPr>
          <w:b/>
          <w:bCs/>
          <w:sz w:val="20"/>
          <w:szCs w:val="24"/>
        </w:rPr>
        <w:t>S</w:t>
      </w:r>
      <w:r w:rsidRPr="00A6681C">
        <w:rPr>
          <w:sz w:val="20"/>
          <w:szCs w:val="24"/>
        </w:rPr>
        <w:t>CCR</w:t>
      </w:r>
      <w:r w:rsidRPr="00A6681C">
        <w:rPr>
          <w:sz w:val="20"/>
          <w:szCs w:val="24"/>
        </w:rPr>
        <w:tab/>
        <w:t>Standing Committee on Copyright and Related Rights</w:t>
      </w:r>
    </w:p>
    <w:p w:rsidR="00A6681C" w:rsidRPr="00A6681C" w:rsidRDefault="00A6681C" w:rsidP="00A6681C">
      <w:pPr>
        <w:tabs>
          <w:tab w:val="left" w:pos="2127"/>
        </w:tabs>
        <w:spacing w:after="40"/>
        <w:rPr>
          <w:sz w:val="20"/>
          <w:szCs w:val="24"/>
        </w:rPr>
      </w:pPr>
      <w:r w:rsidRPr="00A6681C">
        <w:rPr>
          <w:sz w:val="20"/>
          <w:szCs w:val="24"/>
        </w:rPr>
        <w:t>SCP</w:t>
      </w:r>
      <w:r w:rsidRPr="00A6681C">
        <w:rPr>
          <w:sz w:val="20"/>
          <w:szCs w:val="24"/>
        </w:rPr>
        <w:tab/>
        <w:t>Standing Committee on the Law of Patents</w:t>
      </w:r>
    </w:p>
    <w:p w:rsidR="00A6681C" w:rsidRPr="00A6681C" w:rsidRDefault="00A6681C" w:rsidP="00F20276">
      <w:pPr>
        <w:tabs>
          <w:tab w:val="left" w:pos="2127"/>
        </w:tabs>
        <w:spacing w:after="40"/>
        <w:ind w:left="2127" w:hanging="2127"/>
        <w:rPr>
          <w:sz w:val="20"/>
          <w:szCs w:val="24"/>
        </w:rPr>
      </w:pPr>
      <w:r w:rsidRPr="00A6681C">
        <w:rPr>
          <w:sz w:val="20"/>
          <w:szCs w:val="24"/>
        </w:rPr>
        <w:t>SCT</w:t>
      </w:r>
      <w:r w:rsidRPr="00A6681C">
        <w:rPr>
          <w:sz w:val="20"/>
          <w:szCs w:val="24"/>
        </w:rPr>
        <w:tab/>
        <w:t>Standing Committee on the Law of Trademarks, Industrial Designs and Geographical Indications</w:t>
      </w:r>
    </w:p>
    <w:p w:rsidR="00A6681C" w:rsidRPr="00A6681C" w:rsidRDefault="00A6681C" w:rsidP="00A6681C">
      <w:pPr>
        <w:tabs>
          <w:tab w:val="left" w:pos="2127"/>
        </w:tabs>
        <w:spacing w:after="40"/>
        <w:rPr>
          <w:sz w:val="20"/>
          <w:szCs w:val="24"/>
        </w:rPr>
      </w:pPr>
      <w:r w:rsidRPr="00A6681C">
        <w:rPr>
          <w:sz w:val="20"/>
          <w:szCs w:val="24"/>
        </w:rPr>
        <w:t>SLC</w:t>
      </w:r>
      <w:r w:rsidRPr="00A6681C">
        <w:rPr>
          <w:sz w:val="20"/>
          <w:szCs w:val="24"/>
        </w:rPr>
        <w:tab/>
        <w:t>Special Labor Contract</w:t>
      </w:r>
    </w:p>
    <w:p w:rsidR="00A6681C" w:rsidRPr="00A6681C" w:rsidRDefault="00A6681C" w:rsidP="00A6681C">
      <w:pPr>
        <w:tabs>
          <w:tab w:val="left" w:pos="2127"/>
        </w:tabs>
        <w:spacing w:after="40"/>
        <w:rPr>
          <w:sz w:val="20"/>
          <w:szCs w:val="24"/>
        </w:rPr>
      </w:pPr>
      <w:r w:rsidRPr="00A6681C">
        <w:rPr>
          <w:sz w:val="20"/>
          <w:szCs w:val="24"/>
        </w:rPr>
        <w:t>SMEs</w:t>
      </w:r>
      <w:r w:rsidRPr="00A6681C">
        <w:rPr>
          <w:sz w:val="20"/>
          <w:szCs w:val="24"/>
        </w:rPr>
        <w:tab/>
        <w:t>small and medium sized enterprises</w:t>
      </w:r>
    </w:p>
    <w:p w:rsidR="00A6681C" w:rsidRPr="00A6681C" w:rsidRDefault="00A6681C" w:rsidP="00A6681C">
      <w:pPr>
        <w:tabs>
          <w:tab w:val="left" w:pos="2127"/>
        </w:tabs>
        <w:spacing w:after="40"/>
        <w:rPr>
          <w:sz w:val="20"/>
          <w:szCs w:val="24"/>
        </w:rPr>
      </w:pPr>
      <w:r w:rsidRPr="00A6681C">
        <w:rPr>
          <w:sz w:val="20"/>
          <w:szCs w:val="24"/>
        </w:rPr>
        <w:t>SSA</w:t>
      </w:r>
      <w:r w:rsidRPr="00A6681C">
        <w:rPr>
          <w:sz w:val="20"/>
          <w:szCs w:val="24"/>
        </w:rPr>
        <w:tab/>
        <w:t>Special Service Agreements</w:t>
      </w:r>
    </w:p>
    <w:p w:rsidR="00A6681C" w:rsidRPr="00A6681C" w:rsidRDefault="00A6681C" w:rsidP="00F20276">
      <w:pPr>
        <w:spacing w:after="240"/>
        <w:ind w:left="2127" w:hanging="2127"/>
        <w:rPr>
          <w:sz w:val="20"/>
          <w:szCs w:val="24"/>
        </w:rPr>
      </w:pPr>
      <w:r w:rsidRPr="00A6681C">
        <w:rPr>
          <w:sz w:val="20"/>
          <w:szCs w:val="24"/>
        </w:rPr>
        <w:t>SRP</w:t>
      </w:r>
      <w:r w:rsidRPr="00A6681C">
        <w:rPr>
          <w:sz w:val="20"/>
          <w:szCs w:val="24"/>
        </w:rPr>
        <w:tab/>
        <w:t>Strategic Realignment Program</w:t>
      </w:r>
    </w:p>
    <w:p w:rsidR="00A6681C" w:rsidRPr="00A6681C" w:rsidRDefault="00A6681C" w:rsidP="00A6681C">
      <w:pPr>
        <w:keepNext/>
        <w:tabs>
          <w:tab w:val="left" w:pos="2127"/>
        </w:tabs>
        <w:spacing w:after="40"/>
        <w:rPr>
          <w:b/>
          <w:bCs/>
          <w:sz w:val="20"/>
          <w:szCs w:val="24"/>
        </w:rPr>
      </w:pPr>
      <w:r w:rsidRPr="00A6681C">
        <w:rPr>
          <w:b/>
          <w:bCs/>
          <w:sz w:val="20"/>
          <w:szCs w:val="24"/>
        </w:rPr>
        <w:t>T</w:t>
      </w:r>
      <w:r w:rsidRPr="00A6681C">
        <w:rPr>
          <w:sz w:val="20"/>
          <w:szCs w:val="24"/>
        </w:rPr>
        <w:t>A</w:t>
      </w:r>
      <w:r w:rsidRPr="00A6681C">
        <w:rPr>
          <w:sz w:val="20"/>
          <w:szCs w:val="24"/>
        </w:rPr>
        <w:tab/>
        <w:t>Travel Authorization</w:t>
      </w:r>
    </w:p>
    <w:p w:rsidR="00A6681C" w:rsidRPr="00A6681C" w:rsidRDefault="00A6681C" w:rsidP="00A6681C">
      <w:pPr>
        <w:keepNext/>
        <w:tabs>
          <w:tab w:val="left" w:pos="2127"/>
        </w:tabs>
        <w:spacing w:after="40"/>
        <w:rPr>
          <w:sz w:val="20"/>
          <w:szCs w:val="24"/>
        </w:rPr>
      </w:pPr>
      <w:r w:rsidRPr="00A6681C">
        <w:rPr>
          <w:rFonts w:cs="Times New Roman"/>
          <w:sz w:val="20"/>
        </w:rPr>
        <w:t>TAPTA</w:t>
      </w:r>
      <w:r w:rsidRPr="00A6681C">
        <w:rPr>
          <w:rFonts w:cs="Times New Roman"/>
          <w:sz w:val="20"/>
        </w:rPr>
        <w:tab/>
        <w:t xml:space="preserve">Translation Assistant for Patent Titles and Abstracts </w:t>
      </w:r>
    </w:p>
    <w:p w:rsidR="00A6681C" w:rsidRPr="00A6681C" w:rsidRDefault="00A6681C" w:rsidP="00A6681C">
      <w:pPr>
        <w:keepNext/>
        <w:tabs>
          <w:tab w:val="left" w:pos="2127"/>
        </w:tabs>
        <w:spacing w:after="40"/>
        <w:rPr>
          <w:sz w:val="20"/>
          <w:szCs w:val="24"/>
          <w:lang w:val="fr-FR"/>
        </w:rPr>
      </w:pPr>
      <w:r w:rsidRPr="00A6681C">
        <w:rPr>
          <w:sz w:val="20"/>
          <w:szCs w:val="24"/>
          <w:lang w:val="fr-FR"/>
        </w:rPr>
        <w:t>TAD</w:t>
      </w:r>
      <w:r w:rsidRPr="00A6681C">
        <w:rPr>
          <w:sz w:val="20"/>
          <w:szCs w:val="24"/>
          <w:lang w:val="fr-FR"/>
        </w:rPr>
        <w:tab/>
      </w:r>
      <w:r w:rsidRPr="00A6681C">
        <w:rPr>
          <w:rFonts w:cs="Tahoma"/>
          <w:sz w:val="20"/>
          <w:szCs w:val="24"/>
          <w:lang w:val="fr-FR"/>
        </w:rPr>
        <w:t xml:space="preserve">IP </w:t>
      </w:r>
      <w:proofErr w:type="spellStart"/>
      <w:r w:rsidRPr="00A6681C">
        <w:rPr>
          <w:rFonts w:cs="Tahoma"/>
          <w:sz w:val="20"/>
          <w:szCs w:val="24"/>
          <w:lang w:val="fr-FR"/>
        </w:rPr>
        <w:t>Technical</w:t>
      </w:r>
      <w:proofErr w:type="spellEnd"/>
      <w:r w:rsidRPr="00A6681C">
        <w:rPr>
          <w:rFonts w:cs="Tahoma"/>
          <w:sz w:val="20"/>
          <w:szCs w:val="24"/>
          <w:lang w:val="fr-FR"/>
        </w:rPr>
        <w:t xml:space="preserve"> Assistance </w:t>
      </w:r>
      <w:proofErr w:type="spellStart"/>
      <w:r w:rsidRPr="00A6681C">
        <w:rPr>
          <w:rFonts w:cs="Tahoma"/>
          <w:sz w:val="20"/>
          <w:szCs w:val="24"/>
          <w:lang w:val="fr-FR"/>
        </w:rPr>
        <w:t>Database</w:t>
      </w:r>
      <w:proofErr w:type="spellEnd"/>
      <w:r w:rsidRPr="00A6681C">
        <w:rPr>
          <w:sz w:val="20"/>
          <w:szCs w:val="24"/>
          <w:lang w:val="fr-FR"/>
        </w:rPr>
        <w:t xml:space="preserve"> </w:t>
      </w:r>
    </w:p>
    <w:p w:rsidR="00A6681C" w:rsidRPr="00A6681C" w:rsidRDefault="00A6681C" w:rsidP="00A6681C">
      <w:pPr>
        <w:keepNext/>
        <w:tabs>
          <w:tab w:val="left" w:pos="2127"/>
        </w:tabs>
        <w:spacing w:after="40"/>
        <w:rPr>
          <w:sz w:val="20"/>
          <w:szCs w:val="24"/>
          <w:lang w:val="fr-FR"/>
        </w:rPr>
      </w:pPr>
      <w:proofErr w:type="spellStart"/>
      <w:r w:rsidRPr="00A6681C">
        <w:rPr>
          <w:sz w:val="20"/>
          <w:szCs w:val="24"/>
          <w:lang w:val="fr-FR"/>
        </w:rPr>
        <w:t>TCEs</w:t>
      </w:r>
      <w:proofErr w:type="spellEnd"/>
      <w:r w:rsidRPr="00A6681C">
        <w:rPr>
          <w:sz w:val="20"/>
          <w:szCs w:val="24"/>
          <w:lang w:val="fr-FR"/>
        </w:rPr>
        <w:tab/>
      </w:r>
      <w:proofErr w:type="spellStart"/>
      <w:r w:rsidRPr="00A6681C">
        <w:rPr>
          <w:sz w:val="20"/>
          <w:szCs w:val="24"/>
          <w:lang w:val="fr-FR"/>
        </w:rPr>
        <w:t>Traditional</w:t>
      </w:r>
      <w:proofErr w:type="spellEnd"/>
      <w:r w:rsidRPr="00A6681C">
        <w:rPr>
          <w:sz w:val="20"/>
          <w:szCs w:val="24"/>
          <w:lang w:val="fr-FR"/>
        </w:rPr>
        <w:t xml:space="preserve"> Cultural Expressions/Folklore</w:t>
      </w:r>
    </w:p>
    <w:p w:rsidR="00A6681C" w:rsidRPr="00A6681C" w:rsidRDefault="00A6681C" w:rsidP="00A6681C">
      <w:pPr>
        <w:tabs>
          <w:tab w:val="left" w:pos="2127"/>
        </w:tabs>
        <w:spacing w:after="40"/>
        <w:rPr>
          <w:sz w:val="20"/>
          <w:szCs w:val="24"/>
        </w:rPr>
      </w:pPr>
      <w:r w:rsidRPr="00A6681C">
        <w:rPr>
          <w:sz w:val="20"/>
          <w:szCs w:val="24"/>
        </w:rPr>
        <w:t>TIGAR</w:t>
      </w:r>
      <w:r w:rsidRPr="00A6681C">
        <w:rPr>
          <w:sz w:val="20"/>
          <w:szCs w:val="24"/>
        </w:rPr>
        <w:tab/>
        <w:t>Trusted Intermediary Global Accessible Resources</w:t>
      </w:r>
    </w:p>
    <w:p w:rsidR="00A6681C" w:rsidRPr="00A6681C" w:rsidRDefault="00A6681C" w:rsidP="00A6681C">
      <w:pPr>
        <w:tabs>
          <w:tab w:val="left" w:pos="2127"/>
        </w:tabs>
        <w:spacing w:after="40"/>
        <w:rPr>
          <w:sz w:val="20"/>
          <w:szCs w:val="24"/>
        </w:rPr>
      </w:pPr>
      <w:r w:rsidRPr="00A6681C">
        <w:rPr>
          <w:sz w:val="20"/>
          <w:szCs w:val="24"/>
        </w:rPr>
        <w:t>TISCs</w:t>
      </w:r>
      <w:r w:rsidRPr="00A6681C">
        <w:rPr>
          <w:sz w:val="20"/>
          <w:szCs w:val="24"/>
        </w:rPr>
        <w:tab/>
        <w:t>Technology Innovation Support Centers</w:t>
      </w:r>
    </w:p>
    <w:p w:rsidR="00A6681C" w:rsidRPr="00A6681C" w:rsidRDefault="00A6681C" w:rsidP="00A6681C">
      <w:pPr>
        <w:tabs>
          <w:tab w:val="left" w:pos="2127"/>
        </w:tabs>
        <w:spacing w:after="40"/>
        <w:rPr>
          <w:sz w:val="20"/>
          <w:szCs w:val="24"/>
        </w:rPr>
      </w:pPr>
      <w:r w:rsidRPr="00A6681C">
        <w:rPr>
          <w:sz w:val="20"/>
          <w:szCs w:val="24"/>
        </w:rPr>
        <w:t>TK</w:t>
      </w:r>
      <w:r w:rsidRPr="00A6681C">
        <w:rPr>
          <w:sz w:val="20"/>
          <w:szCs w:val="24"/>
        </w:rPr>
        <w:tab/>
        <w:t>Traditional Knowledge</w:t>
      </w:r>
    </w:p>
    <w:p w:rsidR="00A6681C" w:rsidRPr="00A6681C" w:rsidRDefault="00A6681C" w:rsidP="00F20276">
      <w:pPr>
        <w:spacing w:after="240"/>
        <w:ind w:left="2127" w:hanging="2127"/>
        <w:rPr>
          <w:sz w:val="20"/>
          <w:szCs w:val="24"/>
        </w:rPr>
      </w:pPr>
      <w:r w:rsidRPr="00A6681C">
        <w:rPr>
          <w:sz w:val="20"/>
          <w:szCs w:val="24"/>
        </w:rPr>
        <w:t>TTO</w:t>
      </w:r>
      <w:r w:rsidRPr="00A6681C">
        <w:rPr>
          <w:sz w:val="20"/>
          <w:szCs w:val="24"/>
        </w:rPr>
        <w:tab/>
        <w:t>Technology Transfer Office</w:t>
      </w:r>
    </w:p>
    <w:p w:rsidR="00A6681C" w:rsidRPr="00A6681C" w:rsidRDefault="00A6681C" w:rsidP="00A6681C">
      <w:pPr>
        <w:tabs>
          <w:tab w:val="left" w:pos="2127"/>
        </w:tabs>
        <w:spacing w:after="40"/>
        <w:rPr>
          <w:sz w:val="20"/>
          <w:szCs w:val="24"/>
        </w:rPr>
      </w:pPr>
      <w:r w:rsidRPr="00A6681C">
        <w:rPr>
          <w:b/>
          <w:bCs/>
          <w:sz w:val="20"/>
          <w:szCs w:val="24"/>
        </w:rPr>
        <w:t>U</w:t>
      </w:r>
      <w:r w:rsidRPr="00A6681C">
        <w:rPr>
          <w:sz w:val="20"/>
          <w:szCs w:val="24"/>
        </w:rPr>
        <w:t>DRP</w:t>
      </w:r>
      <w:r w:rsidRPr="00A6681C">
        <w:rPr>
          <w:sz w:val="20"/>
          <w:szCs w:val="24"/>
        </w:rPr>
        <w:tab/>
        <w:t>Uniform Domain Name Dispute Resolution Policy</w:t>
      </w:r>
    </w:p>
    <w:p w:rsidR="00A6681C" w:rsidRPr="00A6681C" w:rsidRDefault="00A6681C" w:rsidP="00A6681C">
      <w:pPr>
        <w:tabs>
          <w:tab w:val="left" w:pos="2127"/>
        </w:tabs>
        <w:spacing w:after="40"/>
        <w:rPr>
          <w:sz w:val="20"/>
          <w:szCs w:val="24"/>
        </w:rPr>
      </w:pPr>
      <w:r w:rsidRPr="00A6681C">
        <w:rPr>
          <w:sz w:val="20"/>
          <w:szCs w:val="24"/>
        </w:rPr>
        <w:t>UN</w:t>
      </w:r>
      <w:r w:rsidRPr="00A6681C">
        <w:rPr>
          <w:sz w:val="20"/>
          <w:szCs w:val="24"/>
        </w:rPr>
        <w:tab/>
        <w:t>United Nations</w:t>
      </w:r>
    </w:p>
    <w:p w:rsidR="00A6681C" w:rsidRPr="00A6681C" w:rsidRDefault="00A6681C" w:rsidP="00A6681C">
      <w:pPr>
        <w:tabs>
          <w:tab w:val="left" w:pos="2127"/>
        </w:tabs>
        <w:spacing w:after="40"/>
        <w:rPr>
          <w:sz w:val="20"/>
          <w:szCs w:val="24"/>
        </w:rPr>
      </w:pPr>
      <w:r w:rsidRPr="00A6681C">
        <w:rPr>
          <w:rFonts w:eastAsia="SimSun" w:cs="Times New Roman"/>
          <w:bCs/>
          <w:sz w:val="20"/>
          <w:szCs w:val="24"/>
          <w:lang w:eastAsia="zh-CN"/>
        </w:rPr>
        <w:t>UNCDF</w:t>
      </w:r>
      <w:r w:rsidRPr="00A6681C">
        <w:rPr>
          <w:rFonts w:eastAsia="SimSun" w:cs="Times New Roman"/>
          <w:bCs/>
          <w:sz w:val="20"/>
          <w:szCs w:val="24"/>
          <w:lang w:eastAsia="zh-CN"/>
        </w:rPr>
        <w:tab/>
        <w:t>United Nations Capital Development Fund</w:t>
      </w:r>
    </w:p>
    <w:p w:rsidR="00A6681C" w:rsidRPr="00A6681C" w:rsidRDefault="00A6681C" w:rsidP="00A6681C">
      <w:pPr>
        <w:tabs>
          <w:tab w:val="left" w:pos="2127"/>
        </w:tabs>
        <w:spacing w:after="40"/>
        <w:rPr>
          <w:sz w:val="20"/>
          <w:szCs w:val="24"/>
        </w:rPr>
      </w:pPr>
      <w:r w:rsidRPr="00A6681C">
        <w:rPr>
          <w:sz w:val="20"/>
          <w:szCs w:val="24"/>
        </w:rPr>
        <w:t>UNCTAD</w:t>
      </w:r>
      <w:r w:rsidRPr="00A6681C">
        <w:rPr>
          <w:sz w:val="20"/>
          <w:szCs w:val="24"/>
        </w:rPr>
        <w:tab/>
        <w:t>United Nations Conference on Trade and Development</w:t>
      </w:r>
    </w:p>
    <w:p w:rsidR="00A6681C" w:rsidRPr="00A6681C" w:rsidRDefault="00A6681C" w:rsidP="00A6681C">
      <w:pPr>
        <w:tabs>
          <w:tab w:val="left" w:pos="2127"/>
        </w:tabs>
        <w:spacing w:after="40"/>
        <w:rPr>
          <w:sz w:val="20"/>
          <w:szCs w:val="24"/>
        </w:rPr>
      </w:pPr>
      <w:r w:rsidRPr="00A6681C">
        <w:rPr>
          <w:sz w:val="20"/>
          <w:szCs w:val="24"/>
        </w:rPr>
        <w:t>UN CEB</w:t>
      </w:r>
      <w:r w:rsidRPr="00A6681C">
        <w:rPr>
          <w:sz w:val="20"/>
          <w:szCs w:val="24"/>
        </w:rPr>
        <w:tab/>
        <w:t>United Nations Chief Executives Board</w:t>
      </w:r>
    </w:p>
    <w:p w:rsidR="00A6681C" w:rsidRPr="00A6681C" w:rsidRDefault="00A6681C" w:rsidP="00A6681C">
      <w:pPr>
        <w:tabs>
          <w:tab w:val="left" w:pos="2127"/>
        </w:tabs>
        <w:spacing w:after="40"/>
        <w:rPr>
          <w:sz w:val="20"/>
          <w:szCs w:val="24"/>
        </w:rPr>
      </w:pPr>
      <w:r w:rsidRPr="00A6681C">
        <w:rPr>
          <w:noProof/>
          <w:sz w:val="20"/>
          <w:szCs w:val="24"/>
        </w:rPr>
        <mc:AlternateContent>
          <mc:Choice Requires="wps">
            <w:drawing>
              <wp:anchor distT="0" distB="0" distL="114300" distR="114300" simplePos="0" relativeHeight="251661312" behindDoc="0" locked="0" layoutInCell="0" allowOverlap="1" wp14:anchorId="02D20577" wp14:editId="4E284E2B">
                <wp:simplePos x="0" y="0"/>
                <wp:positionH relativeFrom="column">
                  <wp:posOffset>-2118995</wp:posOffset>
                </wp:positionH>
                <wp:positionV relativeFrom="paragraph">
                  <wp:posOffset>83185</wp:posOffset>
                </wp:positionV>
                <wp:extent cx="731520" cy="1097280"/>
                <wp:effectExtent l="10160" t="10795" r="10795" b="6350"/>
                <wp:wrapNone/>
                <wp:docPr id="844" name="Text Box 8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1097280"/>
                        </a:xfrm>
                        <a:prstGeom prst="rect">
                          <a:avLst/>
                        </a:prstGeom>
                        <a:solidFill>
                          <a:srgbClr val="FFFFFF"/>
                        </a:solidFill>
                        <a:ln w="9525">
                          <a:solidFill>
                            <a:srgbClr val="000000"/>
                          </a:solidFill>
                          <a:miter lim="800000"/>
                          <a:headEnd/>
                          <a:tailEnd/>
                        </a:ln>
                      </wps:spPr>
                      <wps:txbx>
                        <w:txbxContent>
                          <w:p w:rsidR="000B5473" w:rsidRDefault="000B5473" w:rsidP="00A6681C">
                            <w:pPr>
                              <w:pStyle w:val="BodyText2"/>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44" o:spid="_x0000_s1042" type="#_x0000_t202" style="position:absolute;margin-left:-166.85pt;margin-top:6.55pt;width:57.6pt;height:86.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" o:allowincell="f">
                <v:textbox>
                  <w:txbxContent>
                    <w:p w:rsidR="000B5473" w:rsidRDefault="000B5473" w:rsidP="00A6681C">
                      <w:pPr>
                        <w:pStyle w:val="BodyText2"/>
                      </w:pPr>
                    </w:p>
                  </w:txbxContent>
                </v:textbox>
              </v:shape>
            </w:pict>
          </mc:Fallback>
        </mc:AlternateContent>
      </w:r>
      <w:r w:rsidRPr="00A6681C">
        <w:rPr>
          <w:sz w:val="20"/>
          <w:szCs w:val="24"/>
        </w:rPr>
        <w:t>UNEP</w:t>
      </w:r>
      <w:r w:rsidRPr="00A6681C">
        <w:rPr>
          <w:sz w:val="20"/>
          <w:szCs w:val="24"/>
        </w:rPr>
        <w:tab/>
        <w:t xml:space="preserve">United Nations Environmental </w:t>
      </w:r>
      <w:proofErr w:type="spellStart"/>
      <w:r w:rsidRPr="00A6681C">
        <w:rPr>
          <w:sz w:val="20"/>
          <w:szCs w:val="24"/>
        </w:rPr>
        <w:t>Programme</w:t>
      </w:r>
      <w:proofErr w:type="spellEnd"/>
    </w:p>
    <w:p w:rsidR="00A6681C" w:rsidRPr="00A6681C" w:rsidRDefault="00A6681C" w:rsidP="00A6681C">
      <w:pPr>
        <w:tabs>
          <w:tab w:val="left" w:pos="2127"/>
        </w:tabs>
        <w:spacing w:after="40"/>
        <w:rPr>
          <w:sz w:val="20"/>
          <w:szCs w:val="24"/>
        </w:rPr>
      </w:pPr>
      <w:r w:rsidRPr="00A6681C">
        <w:rPr>
          <w:sz w:val="20"/>
          <w:szCs w:val="24"/>
        </w:rPr>
        <w:t>UNECA</w:t>
      </w:r>
      <w:r w:rsidRPr="00A6681C">
        <w:rPr>
          <w:sz w:val="20"/>
          <w:szCs w:val="24"/>
        </w:rPr>
        <w:tab/>
      </w:r>
      <w:r w:rsidRPr="00A6681C">
        <w:rPr>
          <w:rFonts w:cs="Times New Roman"/>
          <w:bCs/>
          <w:sz w:val="20"/>
          <w:szCs w:val="24"/>
        </w:rPr>
        <w:t>United Nations Economic Commission for Africa</w:t>
      </w:r>
    </w:p>
    <w:p w:rsidR="00A6681C" w:rsidRPr="00A6681C" w:rsidRDefault="00A6681C" w:rsidP="00A6681C">
      <w:pPr>
        <w:tabs>
          <w:tab w:val="left" w:pos="2127"/>
        </w:tabs>
        <w:spacing w:after="40"/>
        <w:rPr>
          <w:sz w:val="20"/>
          <w:szCs w:val="24"/>
        </w:rPr>
      </w:pPr>
      <w:r w:rsidRPr="00A6681C">
        <w:rPr>
          <w:sz w:val="20"/>
          <w:szCs w:val="24"/>
        </w:rPr>
        <w:t>UNESCAP</w:t>
      </w:r>
      <w:r w:rsidRPr="00A6681C">
        <w:rPr>
          <w:sz w:val="20"/>
          <w:szCs w:val="24"/>
        </w:rPr>
        <w:tab/>
      </w:r>
      <w:r w:rsidRPr="00A6681C">
        <w:rPr>
          <w:rFonts w:cs="Times New Roman"/>
          <w:bCs/>
          <w:sz w:val="20"/>
          <w:szCs w:val="24"/>
        </w:rPr>
        <w:t>United Nations Economic Commission for Asia and the Pacific</w:t>
      </w:r>
    </w:p>
    <w:p w:rsidR="00A6681C" w:rsidRPr="00A6681C" w:rsidRDefault="00A6681C" w:rsidP="00A6681C">
      <w:pPr>
        <w:tabs>
          <w:tab w:val="left" w:pos="2127"/>
        </w:tabs>
        <w:spacing w:after="40"/>
        <w:rPr>
          <w:sz w:val="20"/>
          <w:szCs w:val="24"/>
        </w:rPr>
      </w:pPr>
      <w:r w:rsidRPr="00A6681C">
        <w:rPr>
          <w:sz w:val="20"/>
          <w:szCs w:val="24"/>
        </w:rPr>
        <w:t>UNESCO</w:t>
      </w:r>
      <w:r w:rsidRPr="00A6681C">
        <w:rPr>
          <w:sz w:val="20"/>
          <w:szCs w:val="24"/>
        </w:rPr>
        <w:tab/>
        <w:t>United Nations Educational, Scientific and Cultural Organization</w:t>
      </w:r>
    </w:p>
    <w:p w:rsidR="00A6681C" w:rsidRPr="00A6681C" w:rsidRDefault="00A6681C" w:rsidP="00A6681C">
      <w:pPr>
        <w:tabs>
          <w:tab w:val="left" w:pos="2127"/>
        </w:tabs>
        <w:spacing w:after="40"/>
        <w:rPr>
          <w:sz w:val="20"/>
          <w:szCs w:val="24"/>
          <w:lang w:val="fr-FR"/>
        </w:rPr>
      </w:pPr>
      <w:r w:rsidRPr="00A6681C">
        <w:rPr>
          <w:sz w:val="20"/>
          <w:szCs w:val="24"/>
          <w:lang w:val="fr-FR"/>
        </w:rPr>
        <w:t>UNFCCC</w:t>
      </w:r>
      <w:r w:rsidRPr="00A6681C">
        <w:rPr>
          <w:sz w:val="20"/>
          <w:szCs w:val="24"/>
          <w:lang w:val="fr-FR"/>
        </w:rPr>
        <w:tab/>
      </w:r>
      <w:r w:rsidRPr="00A6681C">
        <w:rPr>
          <w:rFonts w:cs="Times New Roman"/>
          <w:sz w:val="20"/>
          <w:lang w:val="fr-FR"/>
        </w:rPr>
        <w:t xml:space="preserve">UN Framework Convention on </w:t>
      </w:r>
      <w:proofErr w:type="spellStart"/>
      <w:r w:rsidRPr="00A6681C">
        <w:rPr>
          <w:rFonts w:cs="Times New Roman"/>
          <w:sz w:val="20"/>
          <w:lang w:val="fr-FR"/>
        </w:rPr>
        <w:t>Climate</w:t>
      </w:r>
      <w:proofErr w:type="spellEnd"/>
      <w:r w:rsidRPr="00A6681C">
        <w:rPr>
          <w:rFonts w:cs="Times New Roman"/>
          <w:sz w:val="20"/>
          <w:lang w:val="fr-FR"/>
        </w:rPr>
        <w:t xml:space="preserve"> Change </w:t>
      </w:r>
    </w:p>
    <w:p w:rsidR="00A6681C" w:rsidRPr="0009163D" w:rsidRDefault="00A6681C" w:rsidP="00A6681C">
      <w:pPr>
        <w:tabs>
          <w:tab w:val="left" w:pos="2127"/>
        </w:tabs>
        <w:spacing w:after="40"/>
        <w:rPr>
          <w:sz w:val="20"/>
          <w:szCs w:val="24"/>
        </w:rPr>
      </w:pPr>
      <w:r w:rsidRPr="0009163D">
        <w:rPr>
          <w:sz w:val="20"/>
          <w:szCs w:val="24"/>
        </w:rPr>
        <w:t>UNICC</w:t>
      </w:r>
      <w:r w:rsidRPr="0009163D">
        <w:rPr>
          <w:sz w:val="20"/>
          <w:szCs w:val="24"/>
        </w:rPr>
        <w:tab/>
        <w:t>UN International Computing Centre</w:t>
      </w:r>
    </w:p>
    <w:p w:rsidR="00A6681C" w:rsidRPr="00A6681C" w:rsidRDefault="00A6681C" w:rsidP="00A6681C">
      <w:pPr>
        <w:tabs>
          <w:tab w:val="left" w:pos="2127"/>
        </w:tabs>
        <w:spacing w:after="40"/>
        <w:rPr>
          <w:sz w:val="20"/>
          <w:szCs w:val="24"/>
        </w:rPr>
      </w:pPr>
      <w:r w:rsidRPr="00A6681C">
        <w:rPr>
          <w:sz w:val="20"/>
          <w:szCs w:val="24"/>
        </w:rPr>
        <w:t>UNIDO</w:t>
      </w:r>
      <w:r w:rsidRPr="00A6681C">
        <w:rPr>
          <w:sz w:val="20"/>
          <w:szCs w:val="24"/>
        </w:rPr>
        <w:tab/>
        <w:t>United Nations Industrial Development Organization</w:t>
      </w:r>
    </w:p>
    <w:p w:rsidR="00A6681C" w:rsidRPr="00A6681C" w:rsidRDefault="00A6681C" w:rsidP="00A6681C">
      <w:pPr>
        <w:tabs>
          <w:tab w:val="left" w:pos="2127"/>
        </w:tabs>
        <w:spacing w:after="40"/>
        <w:rPr>
          <w:sz w:val="20"/>
          <w:szCs w:val="24"/>
        </w:rPr>
      </w:pPr>
      <w:r w:rsidRPr="00A6681C">
        <w:rPr>
          <w:sz w:val="20"/>
          <w:szCs w:val="24"/>
        </w:rPr>
        <w:t>UNPFII</w:t>
      </w:r>
      <w:r w:rsidRPr="00A6681C">
        <w:rPr>
          <w:sz w:val="20"/>
          <w:szCs w:val="24"/>
        </w:rPr>
        <w:tab/>
        <w:t>United Nations Permanent Forum on Indigenous Issues</w:t>
      </w:r>
    </w:p>
    <w:p w:rsidR="00A6681C" w:rsidRPr="00A6681C" w:rsidRDefault="00A6681C" w:rsidP="00F20276">
      <w:pPr>
        <w:spacing w:after="240"/>
        <w:ind w:left="2127" w:hanging="2127"/>
        <w:rPr>
          <w:sz w:val="20"/>
          <w:szCs w:val="24"/>
        </w:rPr>
      </w:pPr>
      <w:r w:rsidRPr="00A6681C">
        <w:rPr>
          <w:sz w:val="20"/>
          <w:szCs w:val="24"/>
        </w:rPr>
        <w:t>USPTO</w:t>
      </w:r>
      <w:r w:rsidRPr="00A6681C">
        <w:rPr>
          <w:sz w:val="20"/>
          <w:szCs w:val="24"/>
        </w:rPr>
        <w:tab/>
        <w:t>United States Patent and Trademark Office</w:t>
      </w:r>
    </w:p>
    <w:p w:rsidR="00A6681C" w:rsidRPr="00A6681C" w:rsidRDefault="00A6681C" w:rsidP="00925848">
      <w:pPr>
        <w:spacing w:after="240"/>
        <w:ind w:left="2127" w:hanging="2127"/>
        <w:rPr>
          <w:sz w:val="20"/>
          <w:szCs w:val="24"/>
        </w:rPr>
      </w:pPr>
      <w:r w:rsidRPr="00A6681C">
        <w:rPr>
          <w:b/>
          <w:bCs/>
          <w:sz w:val="20"/>
          <w:szCs w:val="24"/>
        </w:rPr>
        <w:lastRenderedPageBreak/>
        <w:t>V</w:t>
      </w:r>
      <w:r w:rsidRPr="00A6681C">
        <w:rPr>
          <w:sz w:val="20"/>
          <w:szCs w:val="24"/>
        </w:rPr>
        <w:t>IP</w:t>
      </w:r>
      <w:r w:rsidRPr="00A6681C">
        <w:rPr>
          <w:sz w:val="20"/>
          <w:szCs w:val="24"/>
        </w:rPr>
        <w:tab/>
        <w:t>Visually Impaired Persons and other persons with print disabilities</w:t>
      </w:r>
    </w:p>
    <w:p w:rsidR="00A6681C" w:rsidRPr="00A6681C" w:rsidRDefault="00A6681C" w:rsidP="00A6681C">
      <w:pPr>
        <w:tabs>
          <w:tab w:val="left" w:pos="2127"/>
        </w:tabs>
        <w:spacing w:after="40"/>
        <w:rPr>
          <w:sz w:val="20"/>
          <w:szCs w:val="24"/>
        </w:rPr>
      </w:pPr>
      <w:r w:rsidRPr="00A6681C">
        <w:rPr>
          <w:b/>
          <w:sz w:val="20"/>
          <w:szCs w:val="24"/>
        </w:rPr>
        <w:t>W</w:t>
      </w:r>
      <w:r w:rsidRPr="00A6681C">
        <w:rPr>
          <w:sz w:val="20"/>
          <w:szCs w:val="24"/>
        </w:rPr>
        <w:t>BO</w:t>
      </w:r>
      <w:r w:rsidRPr="00A6681C">
        <w:rPr>
          <w:sz w:val="20"/>
          <w:szCs w:val="24"/>
        </w:rPr>
        <w:tab/>
        <w:t>WIPO Brazil Office</w:t>
      </w:r>
    </w:p>
    <w:p w:rsidR="00A6681C" w:rsidRPr="00A6681C" w:rsidRDefault="00A6681C" w:rsidP="00A6681C">
      <w:pPr>
        <w:tabs>
          <w:tab w:val="left" w:pos="2127"/>
        </w:tabs>
        <w:spacing w:after="40"/>
        <w:rPr>
          <w:sz w:val="20"/>
          <w:szCs w:val="24"/>
        </w:rPr>
      </w:pPr>
      <w:r w:rsidRPr="00A6681C">
        <w:rPr>
          <w:sz w:val="20"/>
          <w:szCs w:val="24"/>
        </w:rPr>
        <w:t>WCC</w:t>
      </w:r>
      <w:r w:rsidRPr="00A6681C">
        <w:rPr>
          <w:sz w:val="20"/>
          <w:szCs w:val="24"/>
        </w:rPr>
        <w:tab/>
        <w:t>WIPO Copyright Connection</w:t>
      </w:r>
    </w:p>
    <w:p w:rsidR="00A6681C" w:rsidRPr="00A6681C" w:rsidRDefault="00A6681C" w:rsidP="00A6681C">
      <w:pPr>
        <w:tabs>
          <w:tab w:val="left" w:pos="2127"/>
        </w:tabs>
        <w:spacing w:after="40"/>
        <w:rPr>
          <w:sz w:val="20"/>
          <w:szCs w:val="24"/>
        </w:rPr>
      </w:pPr>
      <w:r w:rsidRPr="00A6681C">
        <w:rPr>
          <w:sz w:val="20"/>
          <w:szCs w:val="24"/>
        </w:rPr>
        <w:t>WCT</w:t>
      </w:r>
      <w:r w:rsidRPr="00A6681C">
        <w:rPr>
          <w:sz w:val="20"/>
          <w:szCs w:val="24"/>
        </w:rPr>
        <w:tab/>
        <w:t>WIPO Copyright Treaty</w:t>
      </w:r>
    </w:p>
    <w:p w:rsidR="00A6681C" w:rsidRPr="00A6681C" w:rsidRDefault="00A6681C" w:rsidP="00A6681C">
      <w:pPr>
        <w:tabs>
          <w:tab w:val="left" w:pos="2127"/>
        </w:tabs>
        <w:spacing w:after="40"/>
        <w:rPr>
          <w:sz w:val="20"/>
          <w:szCs w:val="24"/>
        </w:rPr>
      </w:pPr>
      <w:r w:rsidRPr="00A6681C">
        <w:rPr>
          <w:sz w:val="20"/>
          <w:szCs w:val="24"/>
        </w:rPr>
        <w:t>WHO</w:t>
      </w:r>
      <w:r w:rsidRPr="00A6681C">
        <w:rPr>
          <w:sz w:val="20"/>
          <w:szCs w:val="24"/>
        </w:rPr>
        <w:tab/>
        <w:t>World Health Organization</w:t>
      </w:r>
    </w:p>
    <w:p w:rsidR="00A6681C" w:rsidRPr="00A6681C" w:rsidRDefault="00A6681C" w:rsidP="00A6681C">
      <w:pPr>
        <w:tabs>
          <w:tab w:val="left" w:pos="2127"/>
        </w:tabs>
        <w:spacing w:after="40"/>
        <w:rPr>
          <w:sz w:val="20"/>
          <w:szCs w:val="24"/>
        </w:rPr>
      </w:pPr>
      <w:r w:rsidRPr="00A6681C">
        <w:rPr>
          <w:sz w:val="20"/>
          <w:szCs w:val="24"/>
        </w:rPr>
        <w:t>WINS</w:t>
      </w:r>
      <w:r w:rsidRPr="00A6681C">
        <w:rPr>
          <w:sz w:val="20"/>
          <w:szCs w:val="24"/>
        </w:rPr>
        <w:tab/>
        <w:t>WIPO Inquiry Notification System</w:t>
      </w:r>
    </w:p>
    <w:p w:rsidR="00A6681C" w:rsidRPr="00A6681C" w:rsidRDefault="00A6681C" w:rsidP="00A6681C">
      <w:pPr>
        <w:tabs>
          <w:tab w:val="left" w:pos="2127"/>
        </w:tabs>
        <w:spacing w:after="40"/>
        <w:rPr>
          <w:sz w:val="20"/>
          <w:szCs w:val="24"/>
        </w:rPr>
      </w:pPr>
      <w:r w:rsidRPr="00A6681C">
        <w:rPr>
          <w:sz w:val="20"/>
          <w:szCs w:val="24"/>
        </w:rPr>
        <w:t>WIPOCOS</w:t>
      </w:r>
      <w:r w:rsidRPr="00A6681C">
        <w:rPr>
          <w:sz w:val="20"/>
          <w:szCs w:val="24"/>
        </w:rPr>
        <w:tab/>
      </w:r>
      <w:r w:rsidRPr="00A6681C">
        <w:rPr>
          <w:sz w:val="20"/>
          <w:szCs w:val="24"/>
          <w:lang w:val="en"/>
        </w:rPr>
        <w:t>software for collective management of copyright and neighboring rights</w:t>
      </w:r>
    </w:p>
    <w:p w:rsidR="00A6681C" w:rsidRPr="00A6681C" w:rsidRDefault="00A6681C" w:rsidP="00A6681C">
      <w:pPr>
        <w:tabs>
          <w:tab w:val="left" w:pos="2127"/>
        </w:tabs>
        <w:spacing w:after="40"/>
        <w:rPr>
          <w:sz w:val="20"/>
          <w:szCs w:val="24"/>
        </w:rPr>
      </w:pPr>
      <w:r w:rsidRPr="00A6681C">
        <w:rPr>
          <w:sz w:val="20"/>
          <w:szCs w:val="24"/>
        </w:rPr>
        <w:t>WWIEA</w:t>
      </w:r>
      <w:r w:rsidRPr="00A6681C">
        <w:rPr>
          <w:sz w:val="20"/>
          <w:szCs w:val="24"/>
        </w:rPr>
        <w:tab/>
        <w:t>World Women Inventors and Entrepreneurs Association</w:t>
      </w:r>
    </w:p>
    <w:p w:rsidR="00A6681C" w:rsidRPr="00A6681C" w:rsidRDefault="00A6681C" w:rsidP="00A6681C">
      <w:pPr>
        <w:tabs>
          <w:tab w:val="left" w:pos="2127"/>
        </w:tabs>
        <w:spacing w:after="40"/>
        <w:rPr>
          <w:sz w:val="20"/>
          <w:szCs w:val="24"/>
        </w:rPr>
      </w:pPr>
      <w:r w:rsidRPr="00A6681C">
        <w:rPr>
          <w:sz w:val="20"/>
          <w:szCs w:val="24"/>
        </w:rPr>
        <w:t>WJO</w:t>
      </w:r>
      <w:r w:rsidRPr="00A6681C">
        <w:rPr>
          <w:sz w:val="20"/>
          <w:szCs w:val="24"/>
        </w:rPr>
        <w:tab/>
        <w:t>WIPO Japan Office</w:t>
      </w:r>
    </w:p>
    <w:p w:rsidR="00A6681C" w:rsidRPr="00A6681C" w:rsidRDefault="00A6681C" w:rsidP="00A6681C">
      <w:pPr>
        <w:tabs>
          <w:tab w:val="left" w:pos="2127"/>
        </w:tabs>
        <w:spacing w:after="40"/>
        <w:rPr>
          <w:sz w:val="20"/>
          <w:szCs w:val="24"/>
        </w:rPr>
      </w:pPr>
      <w:r w:rsidRPr="00A6681C">
        <w:rPr>
          <w:sz w:val="20"/>
        </w:rPr>
        <w:t>WPIS</w:t>
      </w:r>
      <w:r w:rsidRPr="00A6681C">
        <w:rPr>
          <w:sz w:val="20"/>
        </w:rPr>
        <w:tab/>
        <w:t xml:space="preserve">WIPO Patent Information Services </w:t>
      </w:r>
    </w:p>
    <w:p w:rsidR="00A6681C" w:rsidRPr="00A6681C" w:rsidRDefault="00A6681C" w:rsidP="00A6681C">
      <w:pPr>
        <w:tabs>
          <w:tab w:val="left" w:pos="2127"/>
        </w:tabs>
        <w:spacing w:after="40"/>
        <w:rPr>
          <w:sz w:val="20"/>
          <w:szCs w:val="24"/>
        </w:rPr>
      </w:pPr>
      <w:r w:rsidRPr="00A6681C">
        <w:rPr>
          <w:sz w:val="20"/>
          <w:szCs w:val="24"/>
        </w:rPr>
        <w:t>WPPT</w:t>
      </w:r>
      <w:r w:rsidRPr="00A6681C">
        <w:rPr>
          <w:sz w:val="20"/>
          <w:szCs w:val="24"/>
        </w:rPr>
        <w:tab/>
        <w:t>WIPO Performances and Phonograms Treaty</w:t>
      </w:r>
    </w:p>
    <w:p w:rsidR="00A6681C" w:rsidRPr="00A6681C" w:rsidRDefault="00A6681C" w:rsidP="00A6681C">
      <w:pPr>
        <w:tabs>
          <w:tab w:val="left" w:pos="2127"/>
        </w:tabs>
        <w:spacing w:after="40"/>
        <w:rPr>
          <w:sz w:val="20"/>
          <w:szCs w:val="24"/>
        </w:rPr>
      </w:pPr>
      <w:r w:rsidRPr="00A6681C">
        <w:rPr>
          <w:sz w:val="20"/>
          <w:szCs w:val="24"/>
        </w:rPr>
        <w:t>WSIS</w:t>
      </w:r>
      <w:r w:rsidRPr="00A6681C">
        <w:rPr>
          <w:sz w:val="20"/>
          <w:szCs w:val="24"/>
        </w:rPr>
        <w:tab/>
      </w:r>
      <w:r w:rsidRPr="00A6681C">
        <w:rPr>
          <w:bCs/>
          <w:sz w:val="20"/>
          <w:szCs w:val="24"/>
        </w:rPr>
        <w:t>World Summit on the Information Society</w:t>
      </w:r>
    </w:p>
    <w:p w:rsidR="00A6681C" w:rsidRPr="00A6681C" w:rsidRDefault="00A6681C" w:rsidP="00A6681C">
      <w:pPr>
        <w:tabs>
          <w:tab w:val="left" w:pos="2127"/>
        </w:tabs>
        <w:spacing w:after="40"/>
        <w:rPr>
          <w:sz w:val="20"/>
          <w:szCs w:val="24"/>
        </w:rPr>
      </w:pPr>
      <w:r w:rsidRPr="00A6681C">
        <w:rPr>
          <w:sz w:val="20"/>
          <w:szCs w:val="24"/>
        </w:rPr>
        <w:t>WSO</w:t>
      </w:r>
      <w:r w:rsidRPr="00A6681C">
        <w:rPr>
          <w:sz w:val="20"/>
          <w:szCs w:val="24"/>
        </w:rPr>
        <w:tab/>
        <w:t>WIPO Singapore Office</w:t>
      </w:r>
    </w:p>
    <w:p w:rsidR="00A6681C" w:rsidRPr="00A6681C" w:rsidRDefault="00A6681C" w:rsidP="00F20276">
      <w:pPr>
        <w:spacing w:after="240"/>
        <w:ind w:left="2127" w:hanging="2127"/>
        <w:rPr>
          <w:sz w:val="20"/>
          <w:szCs w:val="24"/>
        </w:rPr>
      </w:pPr>
      <w:r w:rsidRPr="00A6681C">
        <w:rPr>
          <w:sz w:val="20"/>
          <w:szCs w:val="24"/>
        </w:rPr>
        <w:t>WTO</w:t>
      </w:r>
      <w:r w:rsidRPr="00A6681C">
        <w:rPr>
          <w:sz w:val="20"/>
          <w:szCs w:val="24"/>
        </w:rPr>
        <w:tab/>
        <w:t xml:space="preserve">World Trade Organization </w:t>
      </w:r>
    </w:p>
    <w:p w:rsidR="00B31868" w:rsidRPr="00D01A8D" w:rsidRDefault="00B31868" w:rsidP="00AF4802">
      <w:pPr>
        <w:bidi/>
        <w:spacing w:before="480" w:after="240" w:line="360" w:lineRule="exact"/>
        <w:ind w:left="5669"/>
        <w:rPr>
          <w:rFonts w:ascii="Arabic Typesetting" w:hAnsi="Arabic Typesetting" w:cs="Arabic Typesetting"/>
          <w:sz w:val="34"/>
          <w:szCs w:val="34"/>
          <w:rtl/>
          <w:lang w:bidi="ar-EG"/>
        </w:rPr>
      </w:pPr>
      <w:r w:rsidRPr="00D01A8D">
        <w:rPr>
          <w:rFonts w:ascii="Arabic Typesetting" w:hAnsi="Arabic Typesetting" w:cs="Arabic Typesetting" w:hint="cs"/>
          <w:sz w:val="34"/>
          <w:szCs w:val="34"/>
          <w:rtl/>
          <w:lang w:bidi="ar-EG"/>
        </w:rPr>
        <w:t>[نهاية</w:t>
      </w:r>
      <w:r w:rsidR="00A6681C">
        <w:rPr>
          <w:rFonts w:ascii="Arabic Typesetting" w:hAnsi="Arabic Typesetting" w:cs="Arabic Typesetting" w:hint="cs"/>
          <w:sz w:val="34"/>
          <w:szCs w:val="34"/>
          <w:rtl/>
          <w:lang w:bidi="ar-EG"/>
        </w:rPr>
        <w:t xml:space="preserve"> الملحق الرابع و</w:t>
      </w:r>
      <w:r w:rsidRPr="00D01A8D">
        <w:rPr>
          <w:rFonts w:ascii="Arabic Typesetting" w:hAnsi="Arabic Typesetting" w:cs="Arabic Typesetting" w:hint="cs"/>
          <w:sz w:val="34"/>
          <w:szCs w:val="34"/>
          <w:rtl/>
          <w:lang w:bidi="ar-EG"/>
        </w:rPr>
        <w:t>الوثيقة]</w:t>
      </w:r>
    </w:p>
    <w:sectPr w:rsidR="00B31868" w:rsidRPr="00D01A8D" w:rsidSect="00EB7752">
      <w:headerReference w:type="even" r:id="rId128"/>
      <w:headerReference w:type="default" r:id="rId129"/>
      <w:headerReference w:type="first" r:id="rId130"/>
      <w:pgSz w:w="11907" w:h="16840" w:code="9"/>
      <w:pgMar w:top="567" w:right="1418" w:bottom="1418" w:left="1134" w:header="510" w:footer="1021"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2A60" w:rsidRDefault="00812A60">
      <w:r>
        <w:separator/>
      </w:r>
    </w:p>
  </w:endnote>
  <w:endnote w:type="continuationSeparator" w:id="0">
    <w:p w:rsidR="00812A60" w:rsidRDefault="00812A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abic Typesetting">
    <w:panose1 w:val="03020402040406030203"/>
    <w:charset w:val="00"/>
    <w:family w:val="script"/>
    <w:pitch w:val="variable"/>
    <w:sig w:usb0="A000206F" w:usb1="C0000000" w:usb2="00000008" w:usb3="00000000" w:csb0="000000D3"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Black">
    <w:panose1 w:val="020B0A04020102020204"/>
    <w:charset w:val="00"/>
    <w:family w:val="swiss"/>
    <w:pitch w:val="variable"/>
    <w:sig w:usb0="00000287" w:usb1="00000000" w:usb2="00000000" w:usb3="00000000" w:csb0="0000009F" w:csb1="00000000"/>
  </w:font>
  <w:font w:name="PT Bold Heading">
    <w:altName w:val="Courier New"/>
    <w:panose1 w:val="02010400000000000000"/>
    <w:charset w:val="B2"/>
    <w:family w:val="auto"/>
    <w:pitch w:val="variable"/>
    <w:sig w:usb0="00002001" w:usb1="80000000" w:usb2="00000008" w:usb3="00000000" w:csb0="00000040" w:csb1="00000000"/>
  </w:font>
  <w:font w:name="Traditional Arabic">
    <w:panose1 w:val="02020603050405020304"/>
    <w:charset w:val="00"/>
    <w:family w:val="roman"/>
    <w:pitch w:val="variable"/>
    <w:sig w:usb0="00002003" w:usb1="80000000" w:usb2="00000008" w:usb3="00000000" w:csb0="0000004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ヒラギノ角ゴ Pro W3">
    <w:altName w:val="MS Mincho"/>
    <w:charset w:val="80"/>
    <w:family w:val="auto"/>
    <w:pitch w:val="variable"/>
    <w:sig w:usb0="00000001" w:usb1="00000000" w:usb2="01000407" w:usb3="00000000" w:csb0="00020000" w:csb1="00000000"/>
  </w:font>
  <w:font w:name="PMingLiU">
    <w:altName w:val="新細明體"/>
    <w:panose1 w:val="02020500000000000000"/>
    <w:charset w:val="88"/>
    <w:family w:val="roman"/>
    <w:pitch w:val="variable"/>
    <w:sig w:usb0="A00002FF" w:usb1="28CFFCFA" w:usb2="00000016" w:usb3="00000000" w:csb0="00100001" w:csb1="00000000"/>
  </w:font>
  <w:font w:name="Arial Bold">
    <w:panose1 w:val="020B0704020202020204"/>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MT">
    <w:altName w:val="Arial"/>
    <w:panose1 w:val="00000000000000000000"/>
    <w:charset w:val="00"/>
    <w:family w:val="swiss"/>
    <w:notTrueType/>
    <w:pitch w:val="default"/>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993085"/>
      <w:docPartObj>
        <w:docPartGallery w:val="Page Numbers (Bottom of Page)"/>
        <w:docPartUnique/>
      </w:docPartObj>
    </w:sdtPr>
    <w:sdtEndPr>
      <w:rPr>
        <w:noProof/>
      </w:rPr>
    </w:sdtEndPr>
    <w:sdtContent>
      <w:p w:rsidR="000B5473" w:rsidRDefault="000B5473" w:rsidP="00654102">
        <w:pPr>
          <w:jc w:val="center"/>
        </w:pPr>
        <w:r>
          <w:fldChar w:fldCharType="begin"/>
        </w:r>
        <w:r>
          <w:instrText xml:space="preserve"> PAGE   \* MERGEFORMAT </w:instrText>
        </w:r>
        <w:r>
          <w:fldChar w:fldCharType="separate"/>
        </w:r>
        <w:r w:rsidR="002F66B9">
          <w:rPr>
            <w:noProof/>
          </w:rPr>
          <w:t>379</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1929953"/>
      <w:docPartObj>
        <w:docPartGallery w:val="Page Numbers (Bottom of Page)"/>
        <w:docPartUnique/>
      </w:docPartObj>
    </w:sdtPr>
    <w:sdtEndPr>
      <w:rPr>
        <w:noProof/>
      </w:rPr>
    </w:sdtEndPr>
    <w:sdtContent>
      <w:p w:rsidR="000B5473" w:rsidRDefault="000B5473" w:rsidP="00654102">
        <w:pPr>
          <w:jc w:val="center"/>
        </w:pPr>
        <w:r>
          <w:fldChar w:fldCharType="begin"/>
        </w:r>
        <w:r>
          <w:instrText xml:space="preserve"> PAGE   \* MERGEFORMAT </w:instrText>
        </w:r>
        <w:r>
          <w:fldChar w:fldCharType="separate"/>
        </w:r>
        <w:r w:rsidR="002F66B9">
          <w:rPr>
            <w:noProof/>
          </w:rPr>
          <w:t>378</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0840886"/>
      <w:docPartObj>
        <w:docPartGallery w:val="Page Numbers (Bottom of Page)"/>
        <w:docPartUnique/>
      </w:docPartObj>
    </w:sdtPr>
    <w:sdtEndPr>
      <w:rPr>
        <w:noProof/>
      </w:rPr>
    </w:sdtEndPr>
    <w:sdtContent>
      <w:p w:rsidR="000B5473" w:rsidRDefault="000B5473">
        <w:pPr>
          <w:jc w:val="center"/>
        </w:pPr>
        <w:r>
          <w:fldChar w:fldCharType="begin"/>
        </w:r>
        <w:r>
          <w:instrText xml:space="preserve"> PAGE   \* MERGEFORMAT </w:instrText>
        </w:r>
        <w:r>
          <w:fldChar w:fldCharType="separate"/>
        </w:r>
        <w:r w:rsidR="002F66B9">
          <w:rPr>
            <w:noProof/>
          </w:rPr>
          <w:t>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2A60" w:rsidRDefault="00812A60" w:rsidP="009622BF">
      <w:pPr>
        <w:bidi/>
      </w:pPr>
      <w:bookmarkStart w:id="0" w:name="OLE_LINK1"/>
      <w:bookmarkStart w:id="1" w:name="OLE_LINK2"/>
      <w:r>
        <w:separator/>
      </w:r>
      <w:bookmarkEnd w:id="0"/>
      <w:bookmarkEnd w:id="1"/>
    </w:p>
  </w:footnote>
  <w:footnote w:type="continuationSeparator" w:id="0">
    <w:p w:rsidR="00812A60" w:rsidRDefault="00812A60" w:rsidP="009622BF">
      <w:pPr>
        <w:bidi/>
      </w:pPr>
      <w:r>
        <w:separator/>
      </w:r>
    </w:p>
  </w:footnote>
  <w:footnote w:id="1">
    <w:p w:rsidR="000B5473" w:rsidRPr="009178C3" w:rsidRDefault="000B5473" w:rsidP="009178C3">
      <w:pPr>
        <w:pStyle w:val="FootnoteText"/>
        <w:bidi/>
        <w:rPr>
          <w:rFonts w:ascii="Arabic Typesetting" w:hAnsi="Arabic Typesetting" w:cs="Arabic Typesetting"/>
          <w:sz w:val="28"/>
          <w:szCs w:val="28"/>
          <w:lang w:val="fr-FR" w:bidi="ar-EG"/>
        </w:rPr>
      </w:pPr>
      <w:r w:rsidRPr="009178C3">
        <w:rPr>
          <w:rStyle w:val="FootnoteReference"/>
          <w:rFonts w:ascii="Arabic Typesetting" w:hAnsi="Arabic Typesetting" w:cs="Arabic Typesetting"/>
          <w:sz w:val="28"/>
          <w:szCs w:val="28"/>
        </w:rPr>
        <w:footnoteRef/>
      </w:r>
      <w:r w:rsidRPr="009178C3">
        <w:rPr>
          <w:rFonts w:ascii="Arabic Typesetting" w:hAnsi="Arabic Typesetting" w:cs="Arabic Typesetting"/>
          <w:sz w:val="28"/>
          <w:szCs w:val="28"/>
          <w:rtl/>
        </w:rPr>
        <w:t xml:space="preserve"> </w:t>
      </w:r>
      <w:r w:rsidRPr="009178C3">
        <w:rPr>
          <w:rFonts w:ascii="Arabic Typesetting" w:hAnsi="Arabic Typesetting" w:cs="Arabic Typesetting"/>
          <w:sz w:val="28"/>
          <w:szCs w:val="28"/>
          <w:rtl/>
          <w:lang w:bidi="ar-EG"/>
        </w:rPr>
        <w:t>وكقاعدة عامة، عند قياس بيانات الأداء حسب تغير النسبة (بالزيادة أو النقصان)، يقارن تغير النسبة بالسنة السابقة ما لم يذكر عكس ذلك، فيقارن مثلا تغير</w:t>
      </w:r>
      <w:r w:rsidRPr="009178C3">
        <w:rPr>
          <w:rFonts w:ascii="Arabic Typesetting" w:hAnsi="Arabic Typesetting" w:cs="Arabic Typesetting"/>
          <w:sz w:val="28"/>
          <w:szCs w:val="28"/>
          <w:lang w:bidi="ar-EG"/>
        </w:rPr>
        <w:t xml:space="preserve"> </w:t>
      </w:r>
      <w:r w:rsidRPr="009178C3">
        <w:rPr>
          <w:rFonts w:ascii="Arabic Typesetting" w:hAnsi="Arabic Typesetting" w:cs="Arabic Typesetting"/>
          <w:sz w:val="28"/>
          <w:szCs w:val="28"/>
          <w:rtl/>
          <w:lang w:bidi="ar-EG"/>
        </w:rPr>
        <w:t>النسبة في 2014 سنة 2013، وتغير النسبة في 2015 يقارن بسنة 2014.</w:t>
      </w:r>
    </w:p>
  </w:footnote>
  <w:footnote w:id="2">
    <w:p w:rsidR="000B5473" w:rsidRPr="009178C3" w:rsidRDefault="000B5473" w:rsidP="005D6A45">
      <w:pPr>
        <w:pStyle w:val="FootnoteText"/>
        <w:bidi/>
        <w:rPr>
          <w:rFonts w:ascii="Arabic Typesetting" w:hAnsi="Arabic Typesetting" w:cs="Arabic Typesetting"/>
          <w:sz w:val="28"/>
          <w:szCs w:val="28"/>
          <w:lang w:bidi="ar-EG"/>
        </w:rPr>
      </w:pPr>
      <w:r w:rsidRPr="009178C3">
        <w:rPr>
          <w:rStyle w:val="FootnoteReference"/>
          <w:rFonts w:ascii="Arabic Typesetting" w:hAnsi="Arabic Typesetting" w:cs="Arabic Typesetting"/>
          <w:sz w:val="28"/>
          <w:szCs w:val="28"/>
        </w:rPr>
        <w:footnoteRef/>
      </w:r>
      <w:r w:rsidRPr="009178C3">
        <w:rPr>
          <w:rFonts w:ascii="Arabic Typesetting" w:hAnsi="Arabic Typesetting" w:cs="Arabic Typesetting"/>
          <w:sz w:val="28"/>
          <w:szCs w:val="28"/>
          <w:rtl/>
        </w:rPr>
        <w:t xml:space="preserve"> </w:t>
      </w:r>
      <w:r w:rsidRPr="009178C3">
        <w:rPr>
          <w:rFonts w:ascii="Arabic Typesetting" w:hAnsi="Arabic Typesetting" w:cs="Arabic Typesetting"/>
          <w:sz w:val="28"/>
          <w:szCs w:val="28"/>
          <w:rtl/>
          <w:lang w:bidi="ar-EG"/>
        </w:rPr>
        <w:t>استجابة إلى طلبات الدول الأعضاء، حصل البرامج على فرصة لتحديد الأهداف التي لم تحدد في برنامج وميزانية 2014/15 ومنها مثلا الأهداف "التي سيعلن عنها" أثناء تدريب تحديث بيانات الأداء (الذي بدأ في يوليه 2014) باستخدام بيانات نهاية عام 2013 كقاعدة له. ولاتزال الأهداف التي لم تحدد أثناء هذه العملية غير محددة ومن ثم تحصل بيانات الأداء على درجة "</w:t>
      </w:r>
      <w:r>
        <w:rPr>
          <w:rFonts w:ascii="Arabic Typesetting" w:hAnsi="Arabic Typesetting" w:cs="Arabic Typesetting" w:hint="cs"/>
          <w:sz w:val="28"/>
          <w:szCs w:val="28"/>
          <w:rtl/>
          <w:lang w:bidi="ar-EG"/>
        </w:rPr>
        <w:t>غير قابل للقياس</w:t>
      </w:r>
      <w:r w:rsidRPr="009178C3">
        <w:rPr>
          <w:rFonts w:ascii="Arabic Typesetting" w:hAnsi="Arabic Typesetting" w:cs="Arabic Typesetting"/>
          <w:sz w:val="28"/>
          <w:szCs w:val="28"/>
          <w:rtl/>
          <w:lang w:bidi="ar-EG"/>
        </w:rPr>
        <w:t>".</w:t>
      </w:r>
    </w:p>
  </w:footnote>
  <w:footnote w:id="3">
    <w:p w:rsidR="000B5473" w:rsidRPr="00993033" w:rsidRDefault="000B5473" w:rsidP="000B5473">
      <w:pPr>
        <w:pStyle w:val="FootnoteText"/>
        <w:bidi/>
        <w:rPr>
          <w:rFonts w:ascii="Arabic Typesetting" w:hAnsi="Arabic Typesetting" w:cs="Arabic Typesetting"/>
          <w:sz w:val="28"/>
          <w:szCs w:val="28"/>
          <w:lang w:bidi="ar-EG"/>
        </w:rPr>
      </w:pPr>
      <w:r w:rsidRPr="00993033">
        <w:rPr>
          <w:rStyle w:val="FootnoteReference"/>
          <w:rFonts w:ascii="Arabic Typesetting" w:hAnsi="Arabic Typesetting" w:cs="Arabic Typesetting"/>
          <w:sz w:val="28"/>
          <w:szCs w:val="28"/>
        </w:rPr>
        <w:footnoteRef/>
      </w:r>
      <w:r>
        <w:rPr>
          <w:rFonts w:ascii="Arabic Typesetting" w:hAnsi="Arabic Typesetting" w:cs="Arabic Typesetting"/>
          <w:sz w:val="28"/>
          <w:szCs w:val="28"/>
          <w:rtl/>
        </w:rPr>
        <w:t xml:space="preserve"> </w:t>
      </w:r>
      <w:r>
        <w:rPr>
          <w:rFonts w:ascii="Arabic Typesetting" w:hAnsi="Arabic Typesetting" w:cs="Arabic Typesetting" w:hint="cs"/>
          <w:sz w:val="28"/>
          <w:szCs w:val="28"/>
          <w:rtl/>
        </w:rPr>
        <w:t xml:space="preserve">في </w:t>
      </w:r>
      <w:r w:rsidRPr="00993033">
        <w:rPr>
          <w:rFonts w:ascii="Arabic Typesetting" w:hAnsi="Arabic Typesetting" w:cs="Arabic Typesetting"/>
          <w:sz w:val="28"/>
          <w:szCs w:val="28"/>
          <w:rtl/>
        </w:rPr>
        <w:t>نهاية 2015، بلغ إجمالي حالات الحقول العليا المكونة من أسماء عامة</w:t>
      </w:r>
      <w:r>
        <w:rPr>
          <w:rFonts w:ascii="Arabic Typesetting" w:hAnsi="Arabic Typesetting" w:cs="Arabic Typesetting" w:hint="cs"/>
          <w:sz w:val="28"/>
          <w:szCs w:val="28"/>
          <w:rtl/>
        </w:rPr>
        <w:t xml:space="preserve"> </w:t>
      </w:r>
      <w:r w:rsidRPr="00993033">
        <w:rPr>
          <w:rFonts w:ascii="Arabic Typesetting" w:hAnsi="Arabic Typesetting" w:cs="Arabic Typesetting"/>
          <w:sz w:val="28"/>
          <w:szCs w:val="28"/>
          <w:rtl/>
        </w:rPr>
        <w:t>567</w:t>
      </w:r>
      <w:r>
        <w:rPr>
          <w:rFonts w:ascii="Arabic Typesetting" w:hAnsi="Arabic Typesetting" w:cs="Arabic Typesetting" w:hint="cs"/>
          <w:sz w:val="28"/>
          <w:szCs w:val="28"/>
          <w:rtl/>
        </w:rPr>
        <w:t> </w:t>
      </w:r>
      <w:r w:rsidRPr="00993033">
        <w:rPr>
          <w:rFonts w:ascii="Arabic Typesetting" w:hAnsi="Arabic Typesetting" w:cs="Arabic Typesetting"/>
          <w:sz w:val="28"/>
          <w:szCs w:val="28"/>
          <w:rtl/>
        </w:rPr>
        <w:t>29 حالة وعدد حالات الحقول العليا المكونة من رموز البلدان 520</w:t>
      </w:r>
      <w:r>
        <w:rPr>
          <w:rFonts w:ascii="Arabic Typesetting" w:hAnsi="Arabic Typesetting" w:cs="Arabic Typesetting" w:hint="cs"/>
          <w:sz w:val="28"/>
          <w:szCs w:val="28"/>
          <w:rtl/>
        </w:rPr>
        <w:t> </w:t>
      </w:r>
      <w:r w:rsidRPr="00993033">
        <w:rPr>
          <w:rFonts w:ascii="Arabic Typesetting" w:hAnsi="Arabic Typesetting" w:cs="Arabic Typesetting"/>
          <w:sz w:val="28"/>
          <w:szCs w:val="28"/>
          <w:rtl/>
        </w:rPr>
        <w:t>3 حالة.</w:t>
      </w:r>
    </w:p>
  </w:footnote>
  <w:footnote w:id="4">
    <w:p w:rsidR="000B5473" w:rsidRPr="009178C3" w:rsidRDefault="000B5473" w:rsidP="009178C3">
      <w:pPr>
        <w:pStyle w:val="FootnoteText"/>
        <w:bidi/>
        <w:rPr>
          <w:rFonts w:ascii="Arabic Typesetting" w:hAnsi="Arabic Typesetting" w:cs="Arabic Typesetting"/>
          <w:sz w:val="28"/>
          <w:szCs w:val="28"/>
          <w:lang w:bidi="ar-EG"/>
        </w:rPr>
      </w:pPr>
      <w:r w:rsidRPr="009178C3">
        <w:rPr>
          <w:rStyle w:val="FootnoteReference"/>
          <w:rFonts w:ascii="Arabic Typesetting" w:hAnsi="Arabic Typesetting" w:cs="Arabic Typesetting"/>
          <w:sz w:val="28"/>
          <w:szCs w:val="28"/>
        </w:rPr>
        <w:footnoteRef/>
      </w:r>
      <w:r w:rsidRPr="009178C3">
        <w:rPr>
          <w:rFonts w:ascii="Arabic Typesetting" w:hAnsi="Arabic Typesetting" w:cs="Arabic Typesetting"/>
          <w:sz w:val="28"/>
          <w:szCs w:val="28"/>
          <w:rtl/>
        </w:rPr>
        <w:t xml:space="preserve"> </w:t>
      </w:r>
      <w:r w:rsidRPr="009178C3">
        <w:rPr>
          <w:rFonts w:ascii="Arabic Typesetting" w:hAnsi="Arabic Typesetting" w:cs="Arabic Typesetting"/>
          <w:sz w:val="28"/>
          <w:szCs w:val="28"/>
          <w:rtl/>
          <w:lang w:bidi="ar-EG"/>
        </w:rPr>
        <w:t>تعزى الزيادة بنسبة 138 بال</w:t>
      </w:r>
      <w:r>
        <w:rPr>
          <w:rFonts w:ascii="Arabic Typesetting" w:hAnsi="Arabic Typesetting" w:cs="Arabic Typesetting"/>
          <w:sz w:val="28"/>
          <w:szCs w:val="28"/>
          <w:rtl/>
          <w:lang w:bidi="ar-EG"/>
        </w:rPr>
        <w:t>مئة</w:t>
      </w:r>
      <w:r w:rsidRPr="009178C3">
        <w:rPr>
          <w:rFonts w:ascii="Arabic Typesetting" w:hAnsi="Arabic Typesetting" w:cs="Arabic Typesetting"/>
          <w:sz w:val="28"/>
          <w:szCs w:val="28"/>
          <w:rtl/>
          <w:lang w:bidi="ar-EG"/>
        </w:rPr>
        <w:t xml:space="preserve"> في الطلب على الدورات المتقدمة من التعليم عن بعد إلى مشاركة مراكز دعم التكنولوجيا والابتكار على نحو كبير خاصة من المغرب ومدغشقر وجنوب أفريقيا وإلى زيادة إتاحة دورات التعليم عن بعد بلغات الأمم المتحدة الست كلها في نهاية 2015.</w:t>
      </w:r>
    </w:p>
  </w:footnote>
  <w:footnote w:id="5">
    <w:p w:rsidR="000B5473" w:rsidRPr="009178C3" w:rsidRDefault="000B5473" w:rsidP="009178C3">
      <w:pPr>
        <w:pStyle w:val="FootnoteText"/>
        <w:bidi/>
        <w:rPr>
          <w:rFonts w:ascii="Arabic Typesetting" w:hAnsi="Arabic Typesetting" w:cs="Arabic Typesetting"/>
          <w:sz w:val="28"/>
          <w:szCs w:val="28"/>
          <w:lang w:bidi="ar-EG"/>
        </w:rPr>
      </w:pPr>
      <w:r w:rsidRPr="009178C3">
        <w:rPr>
          <w:rStyle w:val="FootnoteReference"/>
          <w:rFonts w:ascii="Arabic Typesetting" w:hAnsi="Arabic Typesetting" w:cs="Arabic Typesetting"/>
          <w:sz w:val="28"/>
          <w:szCs w:val="28"/>
        </w:rPr>
        <w:footnoteRef/>
      </w:r>
      <w:r w:rsidRPr="009178C3">
        <w:rPr>
          <w:rFonts w:ascii="Arabic Typesetting" w:hAnsi="Arabic Typesetting" w:cs="Arabic Typesetting"/>
          <w:sz w:val="28"/>
          <w:szCs w:val="28"/>
          <w:rtl/>
        </w:rPr>
        <w:t xml:space="preserve"> </w:t>
      </w:r>
      <w:r w:rsidRPr="009178C3">
        <w:rPr>
          <w:rFonts w:ascii="Arabic Typesetting" w:hAnsi="Arabic Typesetting" w:cs="Arabic Typesetting"/>
          <w:sz w:val="28"/>
          <w:szCs w:val="28"/>
          <w:rtl/>
          <w:lang w:bidi="ar-EG"/>
        </w:rPr>
        <w:t>كان اسمها في السابق المساعد على ترجمة عناوين وملخصات البراءات (</w:t>
      </w:r>
      <w:r w:rsidRPr="009178C3">
        <w:rPr>
          <w:rFonts w:ascii="Arabic Typesetting" w:hAnsi="Arabic Typesetting" w:cs="Arabic Typesetting"/>
          <w:sz w:val="28"/>
          <w:szCs w:val="28"/>
          <w:lang w:bidi="ar-EG"/>
        </w:rPr>
        <w:t>TAPTA</w:t>
      </w:r>
      <w:r w:rsidRPr="009178C3">
        <w:rPr>
          <w:rFonts w:ascii="Arabic Typesetting" w:hAnsi="Arabic Typesetting" w:cs="Arabic Typesetting"/>
          <w:sz w:val="28"/>
          <w:szCs w:val="28"/>
          <w:rtl/>
          <w:lang w:bidi="ar-EG"/>
        </w:rPr>
        <w:t>).</w:t>
      </w:r>
    </w:p>
  </w:footnote>
  <w:footnote w:id="6">
    <w:p w:rsidR="000B5473" w:rsidRPr="009178C3" w:rsidRDefault="000B5473" w:rsidP="009178C3">
      <w:pPr>
        <w:pStyle w:val="FootnoteText"/>
        <w:bidi/>
        <w:rPr>
          <w:rFonts w:ascii="Arabic Typesetting" w:hAnsi="Arabic Typesetting" w:cs="Arabic Typesetting"/>
          <w:sz w:val="28"/>
          <w:szCs w:val="28"/>
          <w:lang w:bidi="ar-EG"/>
        </w:rPr>
      </w:pPr>
      <w:r w:rsidRPr="009178C3">
        <w:rPr>
          <w:rStyle w:val="FootnoteReference"/>
          <w:rFonts w:ascii="Arabic Typesetting" w:hAnsi="Arabic Typesetting" w:cs="Arabic Typesetting"/>
          <w:sz w:val="28"/>
          <w:szCs w:val="28"/>
        </w:rPr>
        <w:footnoteRef/>
      </w:r>
      <w:r w:rsidRPr="009178C3">
        <w:rPr>
          <w:rFonts w:ascii="Arabic Typesetting" w:hAnsi="Arabic Typesetting" w:cs="Arabic Typesetting"/>
          <w:sz w:val="28"/>
          <w:szCs w:val="28"/>
          <w:rtl/>
        </w:rPr>
        <w:t xml:space="preserve"> </w:t>
      </w:r>
      <w:r w:rsidRPr="009178C3">
        <w:rPr>
          <w:rFonts w:ascii="Arabic Typesetting" w:hAnsi="Arabic Typesetting" w:cs="Arabic Typesetting"/>
          <w:sz w:val="28"/>
          <w:szCs w:val="28"/>
          <w:rtl/>
          <w:lang w:bidi="ar-EG"/>
        </w:rPr>
        <w:t>أوضح تقرير أداء البرنامج 2012/ 13</w:t>
      </w:r>
      <w:r w:rsidRPr="009178C3">
        <w:rPr>
          <w:rFonts w:ascii="Arabic Typesetting" w:hAnsi="Arabic Typesetting" w:cs="Arabic Typesetting"/>
          <w:sz w:val="28"/>
          <w:szCs w:val="28"/>
          <w:lang w:bidi="ar-EG"/>
        </w:rPr>
        <w:t xml:space="preserve"> </w:t>
      </w:r>
      <w:r w:rsidRPr="009178C3">
        <w:rPr>
          <w:rFonts w:ascii="Arabic Typesetting" w:hAnsi="Arabic Typesetting" w:cs="Arabic Typesetting"/>
          <w:sz w:val="28"/>
          <w:szCs w:val="28"/>
          <w:rtl/>
          <w:lang w:bidi="ar-EG"/>
        </w:rPr>
        <w:t>إلى الإشارة إلى الحملة السنوية لليوم العالمي للملكية الفكرية أبلغ في 89 بلدا. والعدد الفعلي للبلدان المبلغة هو 93.</w:t>
      </w:r>
    </w:p>
  </w:footnote>
  <w:footnote w:id="7">
    <w:p w:rsidR="000B5473" w:rsidRPr="004F4A8F" w:rsidRDefault="000B5473" w:rsidP="000363BE">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4F4A8F">
        <w:rPr>
          <w:rFonts w:ascii="Arabic Typesetting" w:hAnsi="Arabic Typesetting" w:cs="Arabic Typesetting"/>
          <w:sz w:val="28"/>
          <w:szCs w:val="28"/>
          <w:rtl/>
        </w:rPr>
        <w:t xml:space="preserve"> </w:t>
      </w:r>
      <w:r>
        <w:rPr>
          <w:rFonts w:ascii="Arabic Typesetting" w:hAnsi="Arabic Typesetting" w:cs="Arabic Typesetting" w:hint="cs"/>
          <w:sz w:val="28"/>
          <w:szCs w:val="28"/>
          <w:rtl/>
        </w:rPr>
        <w:t>كما جرت العادة</w:t>
      </w:r>
      <w:r w:rsidRPr="004F4A8F">
        <w:rPr>
          <w:rFonts w:ascii="Arabic Typesetting" w:hAnsi="Arabic Typesetting" w:cs="Arabic Typesetting"/>
          <w:sz w:val="28"/>
          <w:szCs w:val="28"/>
          <w:rtl/>
        </w:rPr>
        <w:t xml:space="preserve">، </w:t>
      </w:r>
      <w:r>
        <w:rPr>
          <w:rFonts w:ascii="Arabic Typesetting" w:hAnsi="Arabic Typesetting" w:cs="Arabic Typesetting" w:hint="cs"/>
          <w:sz w:val="28"/>
          <w:szCs w:val="28"/>
          <w:rtl/>
        </w:rPr>
        <w:t>أدرجت</w:t>
      </w:r>
      <w:r w:rsidRPr="004F4A8F">
        <w:rPr>
          <w:rFonts w:ascii="Arabic Typesetting" w:hAnsi="Arabic Typesetting" w:cs="Arabic Typesetting"/>
          <w:sz w:val="28"/>
          <w:szCs w:val="28"/>
          <w:rtl/>
        </w:rPr>
        <w:t xml:space="preserve"> البلدان المنتقلة إلى نظام الاقتصاد الحر </w:t>
      </w:r>
      <w:r>
        <w:rPr>
          <w:rFonts w:ascii="Arabic Typesetting" w:hAnsi="Arabic Typesetting" w:cs="Arabic Typesetting" w:hint="cs"/>
          <w:sz w:val="28"/>
          <w:szCs w:val="28"/>
          <w:rtl/>
        </w:rPr>
        <w:t xml:space="preserve">في هذه الفئة </w:t>
      </w:r>
      <w:r w:rsidRPr="004F4A8F">
        <w:rPr>
          <w:rFonts w:ascii="Arabic Typesetting" w:hAnsi="Arabic Typesetting" w:cs="Arabic Typesetting"/>
          <w:sz w:val="28"/>
          <w:szCs w:val="28"/>
          <w:rtl/>
        </w:rPr>
        <w:t>لغرض البرنامج والميزانية.</w:t>
      </w:r>
    </w:p>
  </w:footnote>
  <w:footnote w:id="8">
    <w:p w:rsidR="000B5473" w:rsidRPr="00FA78A4" w:rsidRDefault="000B5473" w:rsidP="00FA78A4">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FA78A4">
        <w:rPr>
          <w:rFonts w:ascii="Arabic Typesetting" w:hAnsi="Arabic Typesetting" w:cs="Arabic Typesetting"/>
          <w:sz w:val="28"/>
          <w:szCs w:val="28"/>
          <w:rtl/>
        </w:rPr>
        <w:t xml:space="preserve"> </w:t>
      </w:r>
      <w:r>
        <w:rPr>
          <w:rFonts w:ascii="Arabic Typesetting" w:hAnsi="Arabic Typesetting" w:cs="Arabic Typesetting" w:hint="cs"/>
          <w:sz w:val="28"/>
          <w:szCs w:val="28"/>
          <w:rtl/>
        </w:rPr>
        <w:t>تستند بيانات عام 2015 إلى منهجية جديدة في حساب نسبة الرضا.</w:t>
      </w:r>
    </w:p>
  </w:footnote>
  <w:footnote w:id="9">
    <w:p w:rsidR="000B5473" w:rsidRPr="00FA78A4" w:rsidRDefault="000B5473" w:rsidP="00FA78A4">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FA78A4">
        <w:rPr>
          <w:rFonts w:ascii="Arabic Typesetting" w:hAnsi="Arabic Typesetting" w:cs="Arabic Typesetting"/>
          <w:sz w:val="28"/>
          <w:szCs w:val="28"/>
          <w:rtl/>
        </w:rPr>
        <w:t xml:space="preserve"> </w:t>
      </w:r>
      <w:r>
        <w:rPr>
          <w:rFonts w:ascii="Arabic Typesetting" w:hAnsi="Arabic Typesetting" w:cs="Arabic Typesetting" w:hint="cs"/>
          <w:sz w:val="28"/>
          <w:szCs w:val="28"/>
          <w:rtl/>
        </w:rPr>
        <w:t xml:space="preserve">تقرير الدورة السابعة والأربعين للجمعية العامة للويبو: </w:t>
      </w:r>
      <w:r>
        <w:rPr>
          <w:rFonts w:ascii="Arabic Typesetting" w:hAnsi="Arabic Typesetting" w:cs="Arabic Typesetting"/>
          <w:sz w:val="28"/>
          <w:szCs w:val="28"/>
        </w:rPr>
        <w:t>WO/GA/47/19</w:t>
      </w:r>
      <w:r>
        <w:rPr>
          <w:rFonts w:ascii="Arabic Typesetting" w:hAnsi="Arabic Typesetting" w:cs="Arabic Typesetting" w:hint="cs"/>
          <w:sz w:val="28"/>
          <w:szCs w:val="28"/>
          <w:rtl/>
        </w:rPr>
        <w:t>.</w:t>
      </w:r>
    </w:p>
  </w:footnote>
  <w:footnote w:id="10">
    <w:p w:rsidR="000B5473" w:rsidRPr="001B6640" w:rsidRDefault="000B5473" w:rsidP="009A48D1">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العدد الحقيقي لطلبات التبليغ المعالجة بموجب المادة 6(ثالثا) في عام 2012 هو 69 كما ورد في تقرير أداء البرنامج 2012/13.</w:t>
      </w:r>
    </w:p>
  </w:footnote>
  <w:footnote w:id="11">
    <w:p w:rsidR="000B5473" w:rsidRPr="001B6640" w:rsidRDefault="000B5473" w:rsidP="009A48D1">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العدد الحقيقي للعلامات المنشورة في قاعدة البيانات الخاصة بالمادة 6(ثالثا) في نهاية عام 2012 هو 84 كما ورد في تقرير أداء البرنامج 2012/13.</w:t>
      </w:r>
    </w:p>
  </w:footnote>
  <w:footnote w:id="12">
    <w:p w:rsidR="000B5473" w:rsidRPr="001B6640" w:rsidRDefault="000B5473" w:rsidP="008518E8">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يشير الهدف إلى عدد العلامات المنشورة خلال الثنائية 2014/2015.</w:t>
      </w:r>
    </w:p>
  </w:footnote>
  <w:footnote w:id="13">
    <w:p w:rsidR="000B5473" w:rsidRPr="001B6640" w:rsidRDefault="000B5473" w:rsidP="00660F20">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1" w:history="1">
        <w:r w:rsidRPr="00D34F9C">
          <w:rPr>
            <w:rStyle w:val="Hyperlink"/>
            <w:rFonts w:ascii="Arabic Typesetting" w:hAnsi="Arabic Typesetting" w:cs="Arabic Typesetting"/>
            <w:sz w:val="28"/>
            <w:szCs w:val="28"/>
          </w:rPr>
          <w:t>http://www.bakermckenzie.com/intellectualproperty/csh2014/</w:t>
        </w:r>
      </w:hyperlink>
    </w:p>
  </w:footnote>
  <w:footnote w:id="14">
    <w:p w:rsidR="000B5473" w:rsidRPr="001B6640" w:rsidRDefault="000B5473" w:rsidP="00CE0429">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w:t>
      </w:r>
      <w:r w:rsidRPr="001B6640">
        <w:rPr>
          <w:rFonts w:ascii="Arabic Typesetting" w:hAnsi="Arabic Typesetting" w:cs="Arabic Typesetting" w:hint="cs"/>
          <w:sz w:val="28"/>
          <w:szCs w:val="28"/>
          <w:rtl/>
        </w:rPr>
        <w:t xml:space="preserve">: البلدان المرصودة آنفاً هي نتيجة نظام تتبع لرصد مبادرة </w:t>
      </w:r>
      <w:r w:rsidRPr="001B6640">
        <w:rPr>
          <w:rFonts w:ascii="Arabic Typesetting" w:hAnsi="Arabic Typesetting" w:cs="Arabic Typesetting"/>
          <w:sz w:val="28"/>
          <w:szCs w:val="28"/>
        </w:rPr>
        <w:t>TAG</w:t>
      </w:r>
      <w:r w:rsidRPr="001B6640">
        <w:rPr>
          <w:rFonts w:ascii="Arabic Typesetting" w:hAnsi="Arabic Typesetting" w:cs="Arabic Typesetting" w:hint="cs"/>
          <w:sz w:val="28"/>
          <w:szCs w:val="28"/>
          <w:rtl/>
        </w:rPr>
        <w:t xml:space="preserve"> رصداً أكثر انتظاماً نُفِّذ في عام 2015. وأما في عام 2014، فلم تكن </w:t>
      </w:r>
      <w:proofErr w:type="spellStart"/>
      <w:r w:rsidRPr="001B6640">
        <w:rPr>
          <w:rFonts w:ascii="Arabic Typesetting" w:hAnsi="Arabic Typesetting" w:cs="Arabic Typesetting" w:hint="cs"/>
          <w:sz w:val="28"/>
          <w:szCs w:val="28"/>
          <w:rtl/>
        </w:rPr>
        <w:t>كابو</w:t>
      </w:r>
      <w:proofErr w:type="spellEnd"/>
      <w:r w:rsidRPr="001B6640">
        <w:rPr>
          <w:rFonts w:ascii="Arabic Typesetting" w:hAnsi="Arabic Typesetting" w:cs="Arabic Typesetting" w:hint="cs"/>
          <w:sz w:val="28"/>
          <w:szCs w:val="28"/>
          <w:rtl/>
        </w:rPr>
        <w:t> فيردي ولا إثيوبيا من البلدان التي وقعت رسمياً مذكرة التعبير عن الاهتمام خلافاً لما ورد في تقرير أداء البرنامج 2014.</w:t>
      </w:r>
    </w:p>
  </w:footnote>
  <w:footnote w:id="15">
    <w:p w:rsidR="000B5473" w:rsidRPr="001B6640" w:rsidRDefault="000B5473" w:rsidP="0055755E">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أبلغ</w:t>
      </w:r>
      <w:r w:rsidRPr="001B6640">
        <w:rPr>
          <w:rFonts w:ascii="Arabic Typesetting" w:hAnsi="Arabic Typesetting" w:cs="Arabic Typesetting" w:hint="cs"/>
          <w:sz w:val="28"/>
          <w:szCs w:val="28"/>
          <w:rtl/>
        </w:rPr>
        <w:t xml:space="preserve"> خطأً</w:t>
      </w:r>
      <w:r w:rsidRPr="001B6640">
        <w:rPr>
          <w:rFonts w:ascii="Arabic Typesetting" w:hAnsi="Arabic Typesetting" w:cs="Arabic Typesetting"/>
          <w:sz w:val="28"/>
          <w:szCs w:val="28"/>
          <w:rtl/>
        </w:rPr>
        <w:t xml:space="preserve"> أن 18 مكتبا من مكاتب حق المؤلف تستخدم البرنامج الحاسوبي </w:t>
      </w:r>
      <w:r w:rsidRPr="001B6640">
        <w:rPr>
          <w:rFonts w:ascii="Arabic Typesetting" w:hAnsi="Arabic Typesetting" w:cs="Arabic Typesetting"/>
          <w:sz w:val="28"/>
          <w:szCs w:val="28"/>
        </w:rPr>
        <w:t>GDA</w:t>
      </w:r>
      <w:r w:rsidRPr="001B6640">
        <w:rPr>
          <w:rFonts w:ascii="Arabic Typesetting" w:hAnsi="Arabic Typesetting" w:cs="Arabic Typesetting"/>
          <w:sz w:val="28"/>
          <w:szCs w:val="28"/>
          <w:rtl/>
        </w:rPr>
        <w:t xml:space="preserve"> في نهاية 2013. والعدد التراكمي لتلك المكاتب هو في الحقيقة 15، مما يتفق مع الهدف المحدّد في ميزانية الثنائية </w:t>
      </w:r>
      <w:r w:rsidRPr="001B6640">
        <w:rPr>
          <w:rFonts w:ascii="Arabic Typesetting" w:hAnsi="Arabic Typesetting" w:cs="Arabic Typesetting" w:hint="cs"/>
          <w:sz w:val="28"/>
          <w:szCs w:val="28"/>
          <w:rtl/>
        </w:rPr>
        <w:t>2012/13</w:t>
      </w:r>
      <w:r w:rsidRPr="001B6640">
        <w:rPr>
          <w:rFonts w:ascii="Arabic Typesetting" w:hAnsi="Arabic Typesetting" w:cs="Arabic Typesetting"/>
          <w:sz w:val="28"/>
          <w:szCs w:val="28"/>
          <w:rtl/>
        </w:rPr>
        <w:t xml:space="preserve"> </w:t>
      </w:r>
      <w:r w:rsidRPr="001B6640">
        <w:rPr>
          <w:rFonts w:ascii="Arabic Typesetting" w:hAnsi="Arabic Typesetting" w:cs="Arabic Typesetting" w:hint="cs"/>
          <w:sz w:val="28"/>
          <w:szCs w:val="28"/>
          <w:rtl/>
        </w:rPr>
        <w:t>وهو</w:t>
      </w:r>
      <w:r w:rsidRPr="001B6640">
        <w:rPr>
          <w:rFonts w:ascii="Arabic Typesetting" w:hAnsi="Arabic Typesetting" w:cs="Arabic Typesetting"/>
          <w:sz w:val="28"/>
          <w:szCs w:val="28"/>
          <w:rtl/>
        </w:rPr>
        <w:t xml:space="preserve"> 15 مكتبا.</w:t>
      </w:r>
    </w:p>
  </w:footnote>
  <w:footnote w:id="16">
    <w:p w:rsidR="000B5473" w:rsidRPr="001B6640" w:rsidRDefault="000B5473" w:rsidP="009E62B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2" w:history="1">
        <w:r w:rsidRPr="003A7D2C">
          <w:rPr>
            <w:rStyle w:val="Hyperlink"/>
            <w:rFonts w:ascii="Arabic Typesetting" w:hAnsi="Arabic Typesetting" w:cs="Arabic Typesetting"/>
            <w:sz w:val="28"/>
            <w:szCs w:val="28"/>
          </w:rPr>
          <w:t>http://www.wipo.int/edocs/pubdocs/en/wipo_pub_1043.pdf</w:t>
        </w:r>
      </w:hyperlink>
    </w:p>
  </w:footnote>
  <w:footnote w:id="17">
    <w:p w:rsidR="000B5473" w:rsidRPr="001B6640" w:rsidRDefault="000B5473" w:rsidP="008518E8">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vertAlign w:val="superscript"/>
          <w:rtl/>
        </w:rPr>
        <w:t xml:space="preserve"> </w:t>
      </w:r>
      <w:r w:rsidRPr="001B6640">
        <w:rPr>
          <w:rFonts w:ascii="Arabic Typesetting" w:hAnsi="Arabic Typesetting" w:cs="Arabic Typesetting"/>
          <w:sz w:val="28"/>
          <w:szCs w:val="28"/>
          <w:rtl/>
        </w:rPr>
        <w:t>عدِّل الهدف الأصلي "قرارات من هيئات المعاهدة المعنية حتى نهاية 2015" استثناءً بهدف تحسين التمكين من قياس التقدم المحرز نحو مواصلة تطوير نظام المعاهدة بما يتماشى وتوصيات خارطة طريق المعاهدة.</w:t>
      </w:r>
    </w:p>
  </w:footnote>
  <w:footnote w:id="18">
    <w:p w:rsidR="000B5473" w:rsidRPr="001B6640" w:rsidRDefault="000B5473" w:rsidP="00121881">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تعزى الزيادة في تكلفة الوحدة في عام 2015 إلى زيادة النفقات المباشرة وغير المباشرة إضافة إلى عدد أقل من الطلبات المنشورة في عام 2015 مقارنة بعام 2014. وللمزيد من التفاصيل، يرجى الاطلاع على القسم المعنون "تكلفة وحدة معالجة الطلب" والوارد في ‏المرفق: مؤشرات قطاع أعمال معاهدة التعاون بشأن البراءات.</w:t>
      </w:r>
    </w:p>
  </w:footnote>
  <w:footnote w:id="19">
    <w:p w:rsidR="000B5473" w:rsidRPr="001B6640" w:rsidRDefault="000B5473" w:rsidP="00121881">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حُسب هذا الرقم المحدَّث مقارنة بالرقم المنشور في تقرير أداء البرنامج لعام 2014 (95.3%) بناء على أحدث البيانات المتوفرة.</w:t>
      </w:r>
    </w:p>
  </w:footnote>
  <w:footnote w:id="20">
    <w:p w:rsidR="000B5473" w:rsidRPr="001B6640" w:rsidRDefault="000B5473" w:rsidP="00A33CD4">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النسخة الأصلية هي طلب مودع بناء على معاهدة التعاون بشأن البراءات يحيله مكتب تسلم الطلبات إلى المكتب الدولي بعد إيداعه لدى هذا المكتب وبعدما يعالجه هذا المكتب. ونظراً </w:t>
      </w:r>
      <w:r w:rsidRPr="001B6640">
        <w:rPr>
          <w:rFonts w:ascii="Arabic Typesetting" w:hAnsi="Arabic Typesetting" w:cs="Arabic Typesetting" w:hint="cs"/>
          <w:sz w:val="28"/>
          <w:szCs w:val="28"/>
          <w:rtl/>
        </w:rPr>
        <w:t xml:space="preserve">إلى </w:t>
      </w:r>
      <w:r w:rsidRPr="001B6640">
        <w:rPr>
          <w:rFonts w:ascii="Arabic Typesetting" w:hAnsi="Arabic Typesetting" w:cs="Arabic Typesetting"/>
          <w:sz w:val="28"/>
          <w:szCs w:val="28"/>
          <w:rtl/>
        </w:rPr>
        <w:t>أن النسخ الأصلية لا يتسلمها المكتب الدولي إلا بعد أن يع</w:t>
      </w:r>
      <w:r w:rsidRPr="001B6640">
        <w:rPr>
          <w:rFonts w:ascii="Arabic Typesetting" w:hAnsi="Arabic Typesetting" w:cs="Arabic Typesetting" w:hint="cs"/>
          <w:sz w:val="28"/>
          <w:szCs w:val="28"/>
          <w:rtl/>
        </w:rPr>
        <w:t>ا</w:t>
      </w:r>
      <w:r w:rsidRPr="001B6640">
        <w:rPr>
          <w:rFonts w:ascii="Arabic Typesetting" w:hAnsi="Arabic Typesetting" w:cs="Arabic Typesetting"/>
          <w:sz w:val="28"/>
          <w:szCs w:val="28"/>
          <w:rtl/>
        </w:rPr>
        <w:t>لجها مكتب تسلم الطلبات، فإن الأرقام تتأثر كثيراً بفترات معالجة الطلبات في هذه المكاتب. ولهذا السبب، فإن توجهات تسلم النسخ الأصلية</w:t>
      </w:r>
      <w:r w:rsidRPr="001B6640">
        <w:rPr>
          <w:rFonts w:ascii="Arabic Typesetting" w:hAnsi="Arabic Typesetting" w:cs="Arabic Typesetting" w:hint="cs"/>
          <w:sz w:val="28"/>
          <w:szCs w:val="28"/>
          <w:rtl/>
        </w:rPr>
        <w:t xml:space="preserve"> </w:t>
      </w:r>
      <w:r w:rsidRPr="001B6640">
        <w:rPr>
          <w:rFonts w:ascii="Arabic Typesetting" w:hAnsi="Arabic Typesetting" w:cs="Arabic Typesetting"/>
          <w:sz w:val="28"/>
          <w:szCs w:val="28"/>
          <w:rtl/>
        </w:rPr>
        <w:t>لا تتوافق بالضبط مع توجهات إيداع الطلبات بناء على معاهدة التعاون بشأن البراءات</w:t>
      </w:r>
      <w:r w:rsidRPr="001B6640">
        <w:rPr>
          <w:rFonts w:ascii="Arabic Typesetting" w:hAnsi="Arabic Typesetting" w:cs="Arabic Typesetting" w:hint="cs"/>
          <w:sz w:val="28"/>
          <w:szCs w:val="28"/>
          <w:rtl/>
        </w:rPr>
        <w:t xml:space="preserve">، </w:t>
      </w:r>
      <w:r w:rsidRPr="001B6640">
        <w:rPr>
          <w:rFonts w:ascii="Arabic Typesetting" w:hAnsi="Arabic Typesetting" w:cs="Arabic Typesetting"/>
          <w:sz w:val="28"/>
          <w:szCs w:val="28"/>
          <w:rtl/>
        </w:rPr>
        <w:t>وإن كانت مؤشرات صالحة لأعباء العمل في المكتب الدولي.</w:t>
      </w:r>
    </w:p>
  </w:footnote>
  <w:footnote w:id="21">
    <w:p w:rsidR="000B5473" w:rsidRPr="001B6640" w:rsidRDefault="000B5473" w:rsidP="006C1221">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عقب إجراء مراجعة مستقلة ل</w:t>
      </w:r>
      <w:r w:rsidRPr="001B6640">
        <w:rPr>
          <w:rFonts w:ascii="Arabic Typesetting" w:hAnsi="Arabic Typesetting" w:cs="Arabic Typesetting" w:hint="cs"/>
          <w:sz w:val="28"/>
          <w:szCs w:val="28"/>
          <w:rtl/>
        </w:rPr>
        <w:t xml:space="preserve">مقاييس </w:t>
      </w:r>
      <w:r w:rsidRPr="001B6640">
        <w:rPr>
          <w:rFonts w:ascii="Arabic Typesetting" w:hAnsi="Arabic Typesetting" w:cs="Arabic Typesetting"/>
          <w:sz w:val="28"/>
          <w:szCs w:val="28"/>
          <w:rtl/>
        </w:rPr>
        <w:t>أداء خدمة المعلومات المتعلقة بنظام التعاون بشأن معاهدة البراءات (</w:t>
      </w:r>
      <w:r w:rsidRPr="001B6640">
        <w:rPr>
          <w:rFonts w:ascii="Arabic Typesetting" w:hAnsi="Arabic Typesetting" w:cs="Arabic Typesetting"/>
          <w:sz w:val="28"/>
          <w:szCs w:val="28"/>
        </w:rPr>
        <w:t>PCTIS</w:t>
      </w:r>
      <w:r w:rsidRPr="001B6640">
        <w:rPr>
          <w:rFonts w:ascii="Arabic Typesetting" w:hAnsi="Arabic Typesetting" w:cs="Arabic Typesetting"/>
          <w:sz w:val="28"/>
          <w:szCs w:val="28"/>
          <w:rtl/>
        </w:rPr>
        <w:t xml:space="preserve">)، تغير تعريفها عن التعريف الوارد في وثيقة البرنامج والميزانية للثنائية </w:t>
      </w:r>
      <w:r w:rsidRPr="001B6640">
        <w:rPr>
          <w:rFonts w:ascii="Arabic Typesetting" w:hAnsi="Arabic Typesetting" w:cs="Arabic Typesetting" w:hint="cs"/>
          <w:sz w:val="28"/>
          <w:szCs w:val="28"/>
          <w:rtl/>
        </w:rPr>
        <w:t>2014/15</w:t>
      </w:r>
      <w:r w:rsidRPr="001B6640">
        <w:rPr>
          <w:rFonts w:ascii="Arabic Typesetting" w:hAnsi="Arabic Typesetting" w:cs="Arabic Typesetting"/>
          <w:sz w:val="28"/>
          <w:szCs w:val="28"/>
          <w:rtl/>
        </w:rPr>
        <w:t>.</w:t>
      </w:r>
    </w:p>
  </w:footnote>
  <w:footnote w:id="22">
    <w:p w:rsidR="000B5473" w:rsidRPr="001B6640" w:rsidRDefault="000B5473" w:rsidP="002F4B3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r w:rsidRPr="001B6640">
        <w:rPr>
          <w:rFonts w:ascii="Arabic Typesetting" w:hAnsi="Arabic Typesetting" w:cs="Arabic Typesetting" w:hint="cs"/>
          <w:sz w:val="28"/>
          <w:szCs w:val="28"/>
          <w:rtl/>
        </w:rPr>
        <w:t>حدثت البيانات استناداً إلى أحدث الأرقام المتاحة منذ إصدار تقرير أداء البرنامج 2014.</w:t>
      </w:r>
    </w:p>
  </w:footnote>
  <w:footnote w:id="23">
    <w:p w:rsidR="000B5473" w:rsidRPr="001B6640" w:rsidRDefault="000B5473" w:rsidP="004021A8">
      <w:pPr>
        <w:tabs>
          <w:tab w:val="left" w:pos="519"/>
        </w:tabs>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hint="cs"/>
          <w:sz w:val="28"/>
          <w:szCs w:val="28"/>
          <w:rtl/>
        </w:rPr>
        <w:t xml:space="preserve"> حسب الرقم المحدث مقارنة بالرقم الوارد في تقرير أداء البرنامج 2014 (95.3%) استناداً إلى أحدث البيانات.</w:t>
      </w:r>
    </w:p>
  </w:footnote>
  <w:footnote w:id="24">
    <w:p w:rsidR="000B5473" w:rsidRPr="007A4D9E" w:rsidRDefault="000B5473" w:rsidP="007A4D9E">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7A4D9E">
        <w:rPr>
          <w:rFonts w:ascii="Arabic Typesetting" w:hAnsi="Arabic Typesetting" w:cs="Arabic Typesetting"/>
          <w:sz w:val="28"/>
          <w:szCs w:val="28"/>
          <w:rtl/>
        </w:rPr>
        <w:t xml:space="preserve"> تصويب: كانت النسبة المئوية للمخالفات في نهاية عام 2013 تبلغ 32% وليس 36% كما هو وارد في تقرير أداء البرنامج 2014.</w:t>
      </w:r>
    </w:p>
  </w:footnote>
  <w:footnote w:id="25">
    <w:p w:rsidR="000B5473" w:rsidRPr="007A4D9E" w:rsidRDefault="000B5473" w:rsidP="00831241">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7A4D9E">
        <w:rPr>
          <w:rFonts w:ascii="Arabic Typesetting" w:hAnsi="Arabic Typesetting" w:cs="Arabic Typesetting"/>
          <w:sz w:val="28"/>
          <w:szCs w:val="28"/>
          <w:rtl/>
        </w:rPr>
        <w:t xml:space="preserve"> تصويب: كانت النسبة المئوية للمخالفات في نهاية عام 2012 تبلغ 32% وليس 34% كما هو وارد في تقرير أداء البرنامج 2014 وبرنامج</w:t>
      </w:r>
      <w:r>
        <w:rPr>
          <w:rFonts w:ascii="Arabic Typesetting" w:hAnsi="Arabic Typesetting" w:cs="Arabic Typesetting" w:hint="cs"/>
          <w:sz w:val="28"/>
          <w:szCs w:val="28"/>
          <w:rtl/>
        </w:rPr>
        <w:t> </w:t>
      </w:r>
      <w:r w:rsidRPr="007A4D9E">
        <w:rPr>
          <w:rFonts w:ascii="Arabic Typesetting" w:hAnsi="Arabic Typesetting" w:cs="Arabic Typesetting"/>
          <w:sz w:val="28"/>
          <w:szCs w:val="28"/>
          <w:rtl/>
        </w:rPr>
        <w:t>وميزانية 2014/15.</w:t>
      </w:r>
    </w:p>
  </w:footnote>
  <w:footnote w:id="26">
    <w:p w:rsidR="000B5473" w:rsidRPr="007A4D9E" w:rsidRDefault="000B5473" w:rsidP="007A4D9E">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7A4D9E">
        <w:rPr>
          <w:rFonts w:ascii="Arabic Typesetting" w:hAnsi="Arabic Typesetting" w:cs="Arabic Typesetting"/>
          <w:sz w:val="28"/>
          <w:szCs w:val="28"/>
          <w:rtl/>
        </w:rPr>
        <w:t xml:space="preserve"> تصويب: ورد، خطأً، في جدول بيانات الأداء لتقرير أداء البرنامج 2014، بأن النسبة المئوية للمخالفات تبلغ 36%، بينما تبلغ النسبة الصحيحة لتلك المخالفات 34%.</w:t>
      </w:r>
    </w:p>
  </w:footnote>
  <w:footnote w:id="27">
    <w:p w:rsidR="000B5473" w:rsidRPr="007A4D9E" w:rsidRDefault="000B5473" w:rsidP="007A4D9E">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7A4D9E">
        <w:rPr>
          <w:rFonts w:ascii="Arabic Typesetting" w:hAnsi="Arabic Typesetting" w:cs="Arabic Typesetting"/>
          <w:sz w:val="28"/>
          <w:szCs w:val="28"/>
          <w:rtl/>
        </w:rPr>
        <w:t xml:space="preserve"> الرقم المستهدف في عام 2014: التسجيلات والتجديدات (676 71).</w:t>
      </w:r>
    </w:p>
  </w:footnote>
  <w:footnote w:id="28">
    <w:p w:rsidR="000B5473" w:rsidRPr="007A4D9E" w:rsidRDefault="000B5473" w:rsidP="007A4D9E">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7A4D9E">
        <w:rPr>
          <w:rFonts w:ascii="Arabic Typesetting" w:hAnsi="Arabic Typesetting" w:cs="Arabic Typesetting"/>
          <w:sz w:val="28"/>
          <w:szCs w:val="28"/>
          <w:rtl/>
        </w:rPr>
        <w:t xml:space="preserve"> حُسب التغير في النسبة المئوية والدرجة لعام 2015 باستخدام الرقم المستهدف في عام 2014، أي بافتراض أن الهدف لعام 2014 قد بُلغ. وكان التغير الفعلي في النسبة المئوية من 2014 إلى 2015 زيادة في التسجيلات والتجديدات قدرها 18%.</w:t>
      </w:r>
    </w:p>
  </w:footnote>
  <w:footnote w:id="29">
    <w:p w:rsidR="000B5473" w:rsidRPr="007A4D9E" w:rsidRDefault="000B5473" w:rsidP="007A4D9E">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7A4D9E">
        <w:rPr>
          <w:rFonts w:ascii="Arabic Typesetting" w:hAnsi="Arabic Typesetting" w:cs="Arabic Typesetting"/>
          <w:sz w:val="28"/>
          <w:szCs w:val="28"/>
          <w:rtl/>
        </w:rPr>
        <w:t xml:space="preserve"> حُسب التغير في النسبة المئوية والدرجة لعام 2015 باستخدام الرقم المستهدف في عام 2014، أي بافتراض أن الهدف لعام 2014 قد بُلغ. وكان التغير الفعلي في النسبة المئوية من 2014 إلى 2015 زيادة في التصويبات قدرها 0.9%.</w:t>
      </w:r>
    </w:p>
  </w:footnote>
  <w:footnote w:id="30">
    <w:p w:rsidR="000B5473" w:rsidRPr="007A4D9E" w:rsidRDefault="000B5473" w:rsidP="007A4D9E">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7A4D9E">
        <w:rPr>
          <w:rFonts w:ascii="Arabic Typesetting" w:hAnsi="Arabic Typesetting" w:cs="Arabic Typesetting"/>
          <w:sz w:val="28"/>
          <w:szCs w:val="28"/>
          <w:rtl/>
        </w:rPr>
        <w:t xml:space="preserve"> استخدم المقياس في عام 2012 مجموعة مختلفة من المعايير. وتم صقل مجموعة المعايير لعام 2013 لتراعي عوامل أكثر أهمية. ويفسر هذا التغيير الاختلافات في درجات 2013 و2014 (على سبيل المثال 38 و39 على التوالي) و2012 (79).</w:t>
      </w:r>
    </w:p>
  </w:footnote>
  <w:footnote w:id="31">
    <w:p w:rsidR="000B5473" w:rsidRPr="005852E0" w:rsidRDefault="000B5473" w:rsidP="005852E0">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5852E0">
        <w:rPr>
          <w:rFonts w:ascii="Arabic Typesetting" w:hAnsi="Arabic Typesetting" w:cs="Arabic Typesetting"/>
          <w:sz w:val="28"/>
          <w:szCs w:val="28"/>
          <w:rtl/>
        </w:rPr>
        <w:t xml:space="preserve"> تُعد النفقات الخاصة بالترجمة وتطويرات تكنولوجيا المعلومات لنظامي لاهاي ولشبونة جزءا لا يتجزأ من نفقات البرنامج 6. ولا توجد حاليا طريقة لفصل تلك النفقات عن نفقات نظام مدريد.</w:t>
      </w:r>
    </w:p>
  </w:footnote>
  <w:footnote w:id="32">
    <w:p w:rsidR="000B5473" w:rsidRPr="005852E0" w:rsidRDefault="000B5473" w:rsidP="005852E0">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5852E0">
        <w:rPr>
          <w:rFonts w:ascii="Arabic Typesetting" w:hAnsi="Arabic Typesetting" w:cs="Arabic Typesetting"/>
          <w:sz w:val="28"/>
          <w:szCs w:val="28"/>
          <w:rtl/>
        </w:rPr>
        <w:t xml:space="preserve"> لم يُنشأ سجل لشبونة كوحدة منفصلة من وحدات الميزانية سوى في عام 2015. وفيما يخص الأعوام السابقة لعام 2015، فإن نفقات نظام لشبونة مُدرجة في تكلفة الإنتاج الإجمالية لنظام مدريد.</w:t>
      </w:r>
    </w:p>
  </w:footnote>
  <w:footnote w:id="33">
    <w:p w:rsidR="000B5473" w:rsidRPr="005852E0" w:rsidRDefault="000B5473" w:rsidP="005852E0">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5852E0">
        <w:rPr>
          <w:rFonts w:ascii="Arabic Typesetting" w:hAnsi="Arabic Typesetting" w:cs="Arabic Typesetting"/>
          <w:sz w:val="28"/>
          <w:szCs w:val="28"/>
          <w:rtl/>
        </w:rPr>
        <w:t xml:space="preserve"> انظر "عبء العمل الإجمالي" أعلاه.</w:t>
      </w:r>
    </w:p>
  </w:footnote>
  <w:footnote w:id="34">
    <w:p w:rsidR="000B5473" w:rsidRPr="005852E0" w:rsidRDefault="000B5473" w:rsidP="005852E0">
      <w:pPr>
        <w:bidi/>
        <w:rPr>
          <w:rFonts w:ascii="Arabic Typesetting" w:hAnsi="Arabic Typesetting" w:cs="Arabic Typesetting"/>
          <w:sz w:val="28"/>
          <w:szCs w:val="28"/>
          <w:rtl/>
          <w:lang w:val="fr-CH"/>
        </w:rPr>
      </w:pPr>
      <w:r w:rsidRPr="00F96634">
        <w:rPr>
          <w:rFonts w:ascii="Arabic Typesetting" w:hAnsi="Arabic Typesetting" w:cs="Arabic Typesetting"/>
          <w:sz w:val="28"/>
          <w:szCs w:val="28"/>
          <w:vertAlign w:val="superscript"/>
        </w:rPr>
        <w:footnoteRef/>
      </w:r>
      <w:r w:rsidRPr="005852E0">
        <w:rPr>
          <w:rFonts w:ascii="Arabic Typesetting" w:hAnsi="Arabic Typesetting" w:cs="Arabic Typesetting"/>
          <w:sz w:val="28"/>
          <w:szCs w:val="28"/>
          <w:rtl/>
        </w:rPr>
        <w:t xml:space="preserve"> </w:t>
      </w:r>
      <w:r w:rsidRPr="005852E0">
        <w:rPr>
          <w:rFonts w:ascii="Arabic Typesetting" w:hAnsi="Arabic Typesetting" w:cs="Arabic Typesetting"/>
          <w:sz w:val="28"/>
          <w:szCs w:val="28"/>
          <w:rtl/>
          <w:lang w:val="fr-CH"/>
        </w:rPr>
        <w:t>انظر "عبء العمل الإجمالي" أعلاه.</w:t>
      </w:r>
    </w:p>
  </w:footnote>
  <w:footnote w:id="35">
    <w:p w:rsidR="000B5473" w:rsidRPr="005852E0" w:rsidRDefault="000B5473" w:rsidP="005852E0">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5852E0">
        <w:rPr>
          <w:rFonts w:ascii="Arabic Typesetting" w:hAnsi="Arabic Typesetting" w:cs="Arabic Typesetting"/>
          <w:sz w:val="28"/>
          <w:szCs w:val="28"/>
          <w:rtl/>
        </w:rPr>
        <w:t xml:space="preserve"> يمكن طلب إطار إدارة الجودة ضمن سجل مدريد من العنوان التالي: </w:t>
      </w:r>
      <w:r w:rsidRPr="005852E0">
        <w:rPr>
          <w:rFonts w:ascii="Arabic Typesetting" w:hAnsi="Arabic Typesetting" w:cs="Arabic Typesetting"/>
          <w:sz w:val="28"/>
          <w:szCs w:val="28"/>
        </w:rPr>
        <w:t>madrid.qp@wipo.int</w:t>
      </w:r>
      <w:r w:rsidRPr="005852E0">
        <w:rPr>
          <w:rFonts w:ascii="Arabic Typesetting" w:hAnsi="Arabic Typesetting" w:cs="Arabic Typesetting"/>
          <w:sz w:val="28"/>
          <w:szCs w:val="28"/>
          <w:rtl/>
        </w:rPr>
        <w:t>.</w:t>
      </w:r>
    </w:p>
  </w:footnote>
  <w:footnote w:id="36">
    <w:p w:rsidR="000B5473" w:rsidRPr="001B6640" w:rsidRDefault="000B5473" w:rsidP="009F5F08">
      <w:pPr>
        <w:bidi/>
        <w:rPr>
          <w:rFonts w:ascii="Arabic Typesetting" w:hAnsi="Arabic Typesetting" w:cs="Arabic Typesetting"/>
          <w:sz w:val="28"/>
          <w:szCs w:val="28"/>
          <w:rtl/>
          <w:lang w:bidi="ar-EG"/>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العدد الفعلي للتصاميم الواردة في عام 2012 بلغ 454 12 وليس 506 12 كما ورد في البرنامج والميزانية 2014/15 ولا 971 11 (عدد التسجيلات الدولية في عام 2012)، كما </w:t>
      </w:r>
      <w:r w:rsidRPr="001B6640">
        <w:rPr>
          <w:rFonts w:ascii="Arabic Typesetting" w:hAnsi="Arabic Typesetting" w:cs="Arabic Typesetting" w:hint="cs"/>
          <w:sz w:val="28"/>
          <w:szCs w:val="28"/>
          <w:rtl/>
        </w:rPr>
        <w:t>ورد</w:t>
      </w:r>
      <w:r w:rsidRPr="001B6640">
        <w:rPr>
          <w:rFonts w:ascii="Arabic Typesetting" w:hAnsi="Arabic Typesetting" w:cs="Arabic Typesetting"/>
          <w:sz w:val="28"/>
          <w:szCs w:val="28"/>
          <w:rtl/>
        </w:rPr>
        <w:t xml:space="preserve"> في تقرير أداء البرنامج 2012/13</w:t>
      </w:r>
      <w:r w:rsidRPr="001B6640">
        <w:rPr>
          <w:rFonts w:ascii="Arabic Typesetting" w:hAnsi="Arabic Typesetting" w:cs="Arabic Typesetting"/>
          <w:sz w:val="28"/>
          <w:szCs w:val="28"/>
        </w:rPr>
        <w:t>.</w:t>
      </w:r>
    </w:p>
  </w:footnote>
  <w:footnote w:id="37">
    <w:p w:rsidR="000B5473" w:rsidRPr="001B6640" w:rsidRDefault="000B5473" w:rsidP="002830A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الأعداد المنشودة في عام 2014: الطلبات (4004)؛ التصاميم الواردة (519 17)؛ التجديدات (2942).</w:t>
      </w:r>
    </w:p>
  </w:footnote>
  <w:footnote w:id="38">
    <w:p w:rsidR="000B5473" w:rsidRPr="001B6640" w:rsidRDefault="000B5473" w:rsidP="002830A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يستند تغير النسب المئوية والدرجات في عام 2015 إلى الأرقام المنشودة في عام 2014 بافتراض تحقيق أهداف عام 2014. وفيما يلي التغير الفعلي في النسب المئوية بين عامي 2014 و2015: الطلبات (زيادة بنسبة 41%)؛ التصاميم الواردة (زيادة بنسبة 14%)؛ التجديدات (زيادة بنسبة 18%).</w:t>
      </w:r>
    </w:p>
  </w:footnote>
  <w:footnote w:id="39">
    <w:p w:rsidR="000B5473" w:rsidRPr="001B6640" w:rsidRDefault="000B5473" w:rsidP="004507DB">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جاء في تقرير أداء البرنامج 2012/13 أن التجديدات ومنح الحماية إجراءان مؤتمتان. ولكن إجراء منح الحماية لم يكن مؤتمتاً في نهاية عام 2013</w:t>
      </w:r>
      <w:r w:rsidRPr="001B6640">
        <w:rPr>
          <w:rFonts w:ascii="Arabic Typesetting" w:hAnsi="Arabic Typesetting" w:cs="Arabic Typesetting"/>
          <w:sz w:val="28"/>
          <w:szCs w:val="28"/>
        </w:rPr>
        <w:t>.</w:t>
      </w:r>
    </w:p>
  </w:footnote>
  <w:footnote w:id="40">
    <w:p w:rsidR="000B5473" w:rsidRPr="001B6640" w:rsidRDefault="000B5473" w:rsidP="00034586">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حدثت البيانات استناداً إلى أحدث الأرقام المتاحة منذ إعداد تقرير أداء البرنامج 2014.</w:t>
      </w:r>
    </w:p>
  </w:footnote>
  <w:footnote w:id="41">
    <w:p w:rsidR="000B5473" w:rsidRPr="001B6640" w:rsidRDefault="000B5473" w:rsidP="00080E30">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في الرسوم البيانية لتكلفة الإنتاج الإجمالية وتكلفة الوحدة، ترد النفقات المتعلقة بنظام لاهاي حصراً في بند "التكاليف المباشرة" والنفقات المتعلقة بأنشطة دعم النظام في بند "التكاليف غير المباشرة".</w:t>
      </w:r>
    </w:p>
  </w:footnote>
  <w:footnote w:id="42">
    <w:p w:rsidR="000B5473" w:rsidRPr="001B6640" w:rsidRDefault="000B5473" w:rsidP="00080E30">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يقدم نظام مدريد الدعم إلى نظام لاهاي، وخاصة في أنشطة الترجمة وتكنولوجيا المعلومات. ولا يمكن تمييز النفقات الخاصة بهذه الخدمات بسهولة عن التكاليف الإجمالية الخاصة بأنشطة الترجمة وتطوير تكنولوجيا المعلومات في إطار البرنامج 6 (نظاما مدريد ولشبونة) ومن ثم لم تُدرج هذه التكاليف.</w:t>
      </w:r>
    </w:p>
  </w:footnote>
  <w:footnote w:id="43">
    <w:p w:rsidR="000B5473" w:rsidRPr="001B6640" w:rsidRDefault="000B5473" w:rsidP="001A641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وردت تفاصيل عمليات التنقيح المذكورة في </w:t>
      </w:r>
      <w:hyperlink r:id="rId3" w:history="1">
        <w:r w:rsidRPr="001B6640">
          <w:rPr>
            <w:rFonts w:ascii="Arabic Typesetting" w:hAnsi="Arabic Typesetting" w:cs="Arabic Typesetting"/>
            <w:sz w:val="28"/>
            <w:szCs w:val="28"/>
            <w:rtl/>
          </w:rPr>
          <w:t>تقرير أداء البرنامج 2014</w:t>
        </w:r>
      </w:hyperlink>
      <w:r w:rsidRPr="001B6640">
        <w:rPr>
          <w:rFonts w:ascii="Arabic Typesetting" w:hAnsi="Arabic Typesetting" w:cs="Arabic Typesetting"/>
          <w:sz w:val="28"/>
          <w:szCs w:val="28"/>
          <w:rtl/>
        </w:rPr>
        <w:t xml:space="preserve"> وشملت بخاصة مواءمة منهجية حساب التكاليف المباشرة وغير المباشرة </w:t>
      </w:r>
      <w:proofErr w:type="spellStart"/>
      <w:r w:rsidRPr="001B6640">
        <w:rPr>
          <w:rFonts w:ascii="Arabic Typesetting" w:hAnsi="Arabic Typesetting" w:cs="Arabic Typesetting"/>
          <w:sz w:val="28"/>
          <w:szCs w:val="28"/>
          <w:rtl/>
        </w:rPr>
        <w:t>للاهاي</w:t>
      </w:r>
      <w:proofErr w:type="spellEnd"/>
      <w:r w:rsidRPr="001B6640">
        <w:rPr>
          <w:rFonts w:ascii="Arabic Typesetting" w:hAnsi="Arabic Typesetting" w:cs="Arabic Typesetting"/>
          <w:sz w:val="28"/>
          <w:szCs w:val="28"/>
          <w:rtl/>
        </w:rPr>
        <w:t xml:space="preserve"> مع منهجيات حساب تكلفة الوحدة في نظام معاهدة البراءات ونظام مدريد.</w:t>
      </w:r>
    </w:p>
  </w:footnote>
  <w:footnote w:id="44">
    <w:p w:rsidR="000B5473" w:rsidRPr="001B6640" w:rsidRDefault="000B5473" w:rsidP="00B275A9">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انظر نسب الطلبات والتجديدات في الجزء السابق "عبء العمل الإجمالي.</w:t>
      </w:r>
    </w:p>
  </w:footnote>
  <w:footnote w:id="45">
    <w:p w:rsidR="000B5473" w:rsidRPr="001B6640" w:rsidRDefault="000B5473" w:rsidP="00C352F0">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حدثت البيانات استناداً إلى أحدث الأرقام المتاحة منذ إعداد تقرير أداء البرنامج 2014.</w:t>
      </w:r>
    </w:p>
  </w:footnote>
  <w:footnote w:id="46">
    <w:p w:rsidR="000B5473" w:rsidRPr="001B6640" w:rsidRDefault="000B5473" w:rsidP="00660F20">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4" w:history="1">
        <w:r w:rsidRPr="00D34F9C">
          <w:rPr>
            <w:rStyle w:val="Hyperlink"/>
            <w:rFonts w:ascii="Arabic Typesetting" w:hAnsi="Arabic Typesetting" w:cs="Arabic Typesetting"/>
            <w:sz w:val="28"/>
            <w:szCs w:val="28"/>
          </w:rPr>
          <w:t>http://www.wipo.int/amc/en/rules/newrules.html</w:t>
        </w:r>
      </w:hyperlink>
    </w:p>
  </w:footnote>
  <w:footnote w:id="47">
    <w:p w:rsidR="000B5473" w:rsidRPr="001B6640" w:rsidRDefault="000B5473" w:rsidP="00660F20">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5" w:history="1">
        <w:r w:rsidRPr="00D34F9C">
          <w:rPr>
            <w:rStyle w:val="Hyperlink"/>
            <w:rFonts w:ascii="Arabic Typesetting" w:hAnsi="Arabic Typesetting" w:cs="Arabic Typesetting"/>
            <w:sz w:val="28"/>
            <w:szCs w:val="28"/>
          </w:rPr>
          <w:t>http://www.wipo.int/amc-apps/clause-generator/</w:t>
        </w:r>
      </w:hyperlink>
    </w:p>
  </w:footnote>
  <w:footnote w:id="48">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سجل في نهاية عام 2015 ما مجموعه </w:t>
      </w:r>
      <w:r w:rsidRPr="001B6640">
        <w:rPr>
          <w:rFonts w:ascii="Arabic Typesetting" w:hAnsi="Arabic Typesetting" w:cs="Arabic Typesetting"/>
          <w:sz w:val="28"/>
          <w:szCs w:val="28"/>
          <w:rtl/>
          <w:lang w:val="fr-CH"/>
        </w:rPr>
        <w:t>567 29 من حالات الحقول العليا المكونة من أسماء عامة و520 3 من حالات الحقول العليا المكونة من رموز البلدان.</w:t>
      </w:r>
    </w:p>
  </w:footnote>
  <w:footnote w:id="49">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انخفض مجموع الحقول العليا المكونة من رموز البلدان التي تقدم لها الويبو هذه الخدمات ليبلغ 71 حقلا عقب وقف مسؤول عن الإدارة في عام 2015.</w:t>
      </w:r>
    </w:p>
  </w:footnote>
  <w:footnote w:id="50">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العدد التراكمي للبرامج المعتمدة بحلول نهاية عام 2013 كان 12 وليس 10 كما ورد في تقرير أداء البرنامج 2012/13 أو كما ورد في أساس المقارنة المحدَّث في تقرير أداء البرنامج 2014.</w:t>
      </w:r>
    </w:p>
  </w:footnote>
  <w:footnote w:id="51">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العدد التراكمي لحالات تسجيل الحقول العليا المكونة من رموز البلدان بحلول نهاية عام 2013 كان 2798 وليس 2788 كما ورد في تقرير أداء البرنامج 2012/13 أو كما ورد في أساس المقارنة المحدَّث في تقرير أداء البرنامج 2014.</w:t>
      </w:r>
    </w:p>
  </w:footnote>
  <w:footnote w:id="52">
    <w:p w:rsidR="000B5473" w:rsidRPr="001B6640" w:rsidRDefault="000B5473" w:rsidP="00660F20">
      <w:pPr>
        <w:tabs>
          <w:tab w:val="left" w:pos="284"/>
        </w:tabs>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Pr>
        <w:tab/>
      </w:r>
      <w:hyperlink r:id="rId6" w:history="1">
        <w:r w:rsidRPr="00D34F9C">
          <w:rPr>
            <w:rStyle w:val="Hyperlink"/>
            <w:rFonts w:ascii="Arabic Typesetting" w:hAnsi="Arabic Typesetting" w:cs="Arabic Typesetting"/>
            <w:sz w:val="28"/>
            <w:szCs w:val="28"/>
          </w:rPr>
          <w:t>http://www.wipo.int/meetings/en/doc_details.jsp?doc_id=208882</w:t>
        </w:r>
      </w:hyperlink>
    </w:p>
    <w:p w:rsidR="000B5473" w:rsidRPr="00660F20" w:rsidRDefault="000B5473" w:rsidP="00660F20">
      <w:pPr>
        <w:tabs>
          <w:tab w:val="left" w:pos="284"/>
        </w:tabs>
        <w:bidi/>
        <w:rPr>
          <w:rFonts w:ascii="Arabic Typesetting" w:hAnsi="Arabic Typesetting" w:cs="Arabic Typesetting"/>
          <w:sz w:val="28"/>
          <w:szCs w:val="28"/>
          <w:rtl/>
        </w:rPr>
      </w:pPr>
      <w:r w:rsidRPr="001B6640">
        <w:rPr>
          <w:rFonts w:ascii="Arabic Typesetting" w:hAnsi="Arabic Typesetting" w:cs="Arabic Typesetting"/>
          <w:sz w:val="28"/>
          <w:szCs w:val="28"/>
        </w:rPr>
        <w:tab/>
      </w:r>
      <w:r w:rsidRPr="001B6640">
        <w:rPr>
          <w:rFonts w:ascii="Arabic Typesetting" w:hAnsi="Arabic Typesetting" w:cs="Arabic Typesetting"/>
          <w:sz w:val="28"/>
          <w:szCs w:val="28"/>
          <w:rtl/>
        </w:rPr>
        <w:t>و</w:t>
      </w:r>
      <w:hyperlink r:id="rId7" w:history="1">
        <w:r w:rsidRPr="00660F20">
          <w:rPr>
            <w:rStyle w:val="Hyperlink"/>
            <w:rFonts w:ascii="Arabic Typesetting" w:hAnsi="Arabic Typesetting" w:cs="Arabic Typesetting"/>
            <w:sz w:val="28"/>
            <w:szCs w:val="28"/>
          </w:rPr>
          <w:t>http://www.wipo.int/meetings/en/doc_details.jsp?doc_id=23980</w:t>
        </w:r>
      </w:hyperlink>
    </w:p>
  </w:footnote>
  <w:footnote w:id="53">
    <w:p w:rsidR="000B5473" w:rsidRPr="00BE2585" w:rsidRDefault="002F66B9" w:rsidP="00BE2585">
      <w:pPr>
        <w:bidi/>
        <w:rPr>
          <w:rFonts w:ascii="Arabic Typesetting" w:hAnsi="Arabic Typesetting" w:cs="Arabic Typesetting"/>
          <w:sz w:val="28"/>
          <w:szCs w:val="28"/>
        </w:rPr>
      </w:pPr>
      <w:hyperlink r:id="rId8" w:history="1">
        <w:r w:rsidR="000B5473" w:rsidRPr="00F96634">
          <w:rPr>
            <w:rStyle w:val="Hyperlink"/>
            <w:rFonts w:ascii="Arabic Typesetting" w:hAnsi="Arabic Typesetting" w:cs="Arabic Typesetting"/>
            <w:sz w:val="28"/>
            <w:szCs w:val="28"/>
            <w:vertAlign w:val="superscript"/>
          </w:rPr>
          <w:footnoteRef/>
        </w:r>
        <w:r w:rsidR="000B5473" w:rsidRPr="00CE2695">
          <w:rPr>
            <w:rStyle w:val="Hyperlink"/>
            <w:rFonts w:ascii="Arabic Typesetting" w:hAnsi="Arabic Typesetting" w:cs="Arabic Typesetting"/>
            <w:sz w:val="28"/>
            <w:szCs w:val="28"/>
            <w:rtl/>
          </w:rPr>
          <w:t xml:space="preserve"> تقييم الوكالة السويدية للتعاون الإنمائي الدولي لبرامج التدريب الدولية في مجال الملكية الفكرية – التقرير النهائي</w:t>
        </w:r>
      </w:hyperlink>
    </w:p>
  </w:footnote>
  <w:footnote w:id="54">
    <w:p w:rsidR="000B5473" w:rsidRPr="00BE2585" w:rsidRDefault="000B5473" w:rsidP="00EE484E">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BE2585">
        <w:rPr>
          <w:rFonts w:ascii="Arabic Typesetting" w:hAnsi="Arabic Typesetting" w:cs="Arabic Typesetting"/>
          <w:sz w:val="28"/>
          <w:szCs w:val="28"/>
          <w:rtl/>
        </w:rPr>
        <w:t xml:space="preserve"> </w:t>
      </w:r>
      <w:hyperlink r:id="rId9" w:history="1">
        <w:r w:rsidRPr="00D34F9C">
          <w:rPr>
            <w:rStyle w:val="Hyperlink"/>
            <w:rFonts w:ascii="Arabic Typesetting" w:hAnsi="Arabic Typesetting" w:cs="Arabic Typesetting"/>
            <w:sz w:val="28"/>
            <w:szCs w:val="28"/>
          </w:rPr>
          <w:t>http://www.wipo.int/cooperation/ar/south_south/</w:t>
        </w:r>
      </w:hyperlink>
    </w:p>
  </w:footnote>
  <w:footnote w:id="55">
    <w:p w:rsidR="000B5473" w:rsidRPr="00BE2585" w:rsidRDefault="000B5473" w:rsidP="00BE258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BE2585">
        <w:rPr>
          <w:rFonts w:ascii="Arabic Typesetting" w:hAnsi="Arabic Typesetting" w:cs="Arabic Typesetting"/>
          <w:sz w:val="28"/>
          <w:szCs w:val="28"/>
          <w:rtl/>
        </w:rPr>
        <w:t xml:space="preserve"> سيُعرض الجرد الخاص بأنشطة الويبو في مجال التعاون فيما بين بلدان الجنوب ويُناقش في الدورة السابعة عشرة للجنة المعنية بالتنمية والملكية الفكرية في أبريل 2016.</w:t>
      </w:r>
    </w:p>
  </w:footnote>
  <w:footnote w:id="56">
    <w:p w:rsidR="000B5473" w:rsidRPr="00EF1D89" w:rsidRDefault="000B5473" w:rsidP="00CE269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EF1D89">
        <w:rPr>
          <w:rFonts w:ascii="Arabic Typesetting" w:hAnsi="Arabic Typesetting" w:cs="Arabic Typesetting"/>
          <w:sz w:val="28"/>
          <w:szCs w:val="28"/>
          <w:rtl/>
        </w:rPr>
        <w:t xml:space="preserve"> </w:t>
      </w:r>
      <w:hyperlink r:id="rId10" w:history="1">
        <w:r w:rsidRPr="00D34F9C">
          <w:rPr>
            <w:rStyle w:val="Hyperlink"/>
            <w:rFonts w:ascii="Arabic Typesetting" w:hAnsi="Arabic Typesetting" w:cs="Arabic Typesetting"/>
            <w:sz w:val="28"/>
            <w:szCs w:val="28"/>
          </w:rPr>
          <w:t>http://www.wipo.int/edocs/mdocs/mdocs/en/ompi_pi_dak_15/ompi_pi_dak_15_www_319536.pdf</w:t>
        </w:r>
      </w:hyperlink>
    </w:p>
  </w:footnote>
  <w:footnote w:id="57">
    <w:p w:rsidR="000B5473" w:rsidRPr="00EF1D89" w:rsidRDefault="000B5473" w:rsidP="00CE269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EF1D89">
        <w:rPr>
          <w:rFonts w:ascii="Arabic Typesetting" w:hAnsi="Arabic Typesetting" w:cs="Arabic Typesetting"/>
          <w:sz w:val="28"/>
          <w:szCs w:val="28"/>
          <w:rtl/>
        </w:rPr>
        <w:t xml:space="preserve"> </w:t>
      </w:r>
      <w:hyperlink r:id="rId11" w:history="1">
        <w:r w:rsidRPr="00D34F9C">
          <w:rPr>
            <w:rStyle w:val="Hyperlink"/>
            <w:rFonts w:ascii="Arabic Typesetting" w:hAnsi="Arabic Typesetting" w:cs="Arabic Typesetting"/>
            <w:sz w:val="28"/>
            <w:szCs w:val="28"/>
          </w:rPr>
          <w:t>http://www.wipo.int/export/sites/www/cooperation/ar/pdf/ta_manual.pdf</w:t>
        </w:r>
      </w:hyperlink>
    </w:p>
  </w:footnote>
  <w:footnote w:id="58">
    <w:p w:rsidR="000B5473" w:rsidRPr="00C277B1" w:rsidRDefault="000B5473" w:rsidP="00C277B1">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C277B1">
        <w:rPr>
          <w:rFonts w:ascii="Arabic Typesetting" w:hAnsi="Arabic Typesetting" w:cs="Arabic Typesetting"/>
          <w:sz w:val="28"/>
          <w:szCs w:val="28"/>
          <w:rtl/>
        </w:rPr>
        <w:t xml:space="preserve"> تجسّد البيانات المبلّغ عنها في عام 2015 منهجية جديدة لحساب نسبة الرضا.</w:t>
      </w:r>
    </w:p>
  </w:footnote>
  <w:footnote w:id="59">
    <w:p w:rsidR="000B5473" w:rsidRPr="00D62C15" w:rsidRDefault="000B5473" w:rsidP="00D62C1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D62C15">
        <w:rPr>
          <w:rFonts w:ascii="Arabic Typesetting" w:hAnsi="Arabic Typesetting" w:cs="Arabic Typesetting"/>
          <w:sz w:val="28"/>
          <w:szCs w:val="28"/>
          <w:rtl/>
        </w:rPr>
        <w:t xml:space="preserve"> تصويب: أشير، في تقرير أداء البرنامج 2012/13، إلى أن إثيوبيا قد اعتمدت سياسة بشأن الملكية الفكرية في الثنائية 2012/13. وفي الواقع، استُكملت تلك السياسة في عام</w:t>
      </w:r>
      <w:r w:rsidRPr="00D62C15">
        <w:rPr>
          <w:rFonts w:ascii="Arabic Typesetting" w:hAnsi="Arabic Typesetting" w:cs="Arabic Typesetting"/>
          <w:sz w:val="28"/>
          <w:szCs w:val="28"/>
        </w:rPr>
        <w:t> </w:t>
      </w:r>
      <w:r w:rsidRPr="00D62C15">
        <w:rPr>
          <w:rFonts w:ascii="Arabic Typesetting" w:hAnsi="Arabic Typesetting" w:cs="Arabic Typesetting"/>
          <w:sz w:val="28"/>
          <w:szCs w:val="28"/>
          <w:rtl/>
        </w:rPr>
        <w:t>2014 كي يُنظر فيها في إطار إجراء الموافقة الوطني.</w:t>
      </w:r>
    </w:p>
  </w:footnote>
  <w:footnote w:id="60">
    <w:p w:rsidR="000B5473" w:rsidRPr="00D62C15" w:rsidRDefault="000B5473" w:rsidP="00BA356F">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D62C15">
        <w:rPr>
          <w:rFonts w:ascii="Arabic Typesetting" w:hAnsi="Arabic Typesetting" w:cs="Arabic Typesetting"/>
          <w:sz w:val="28"/>
          <w:szCs w:val="28"/>
          <w:rtl/>
        </w:rPr>
        <w:t xml:space="preserve"> تصويب: أشير، في تقرير أداء البرنامج 2012/13، إلى أن استراتيجية ابتكار وطنية في مجال الملكية الفكرية قيد الإعداد في تونس. وفي الواقع، استهلت تونس، في عام 2014، مناقشات حول إمكانية وضع استراتيجية من هذا القبيل، ولكن العملية لم تشهد تقدما بعد.</w:t>
      </w:r>
    </w:p>
  </w:footnote>
  <w:footnote w:id="61">
    <w:p w:rsidR="000B5473" w:rsidRPr="00D62C15" w:rsidRDefault="000B5473" w:rsidP="00D62C1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D62C15">
        <w:rPr>
          <w:rFonts w:ascii="Arabic Typesetting" w:hAnsi="Arabic Typesetting" w:cs="Arabic Typesetting"/>
          <w:sz w:val="28"/>
          <w:szCs w:val="28"/>
          <w:rtl/>
        </w:rPr>
        <w:t xml:space="preserve">. تصويب: أشير، في تقرير أداء البرنامج 2012/13، إلى أن الجزائر كانت بصدد اعتماد استراتيجية وطنية بشأن الملكية الفكرية. وتعاونت </w:t>
      </w:r>
      <w:proofErr w:type="spellStart"/>
      <w:r w:rsidRPr="00D62C15">
        <w:rPr>
          <w:rFonts w:ascii="Arabic Typesetting" w:hAnsi="Arabic Typesetting" w:cs="Arabic Typesetting"/>
          <w:sz w:val="28"/>
          <w:szCs w:val="28"/>
          <w:rtl/>
        </w:rPr>
        <w:t>الوييو</w:t>
      </w:r>
      <w:proofErr w:type="spellEnd"/>
      <w:r w:rsidRPr="00D62C15">
        <w:rPr>
          <w:rFonts w:ascii="Arabic Typesetting" w:hAnsi="Arabic Typesetting" w:cs="Arabic Typesetting"/>
          <w:sz w:val="28"/>
          <w:szCs w:val="28"/>
          <w:rtl/>
        </w:rPr>
        <w:t xml:space="preserve"> مع الجزائر على إعداد مشروع استراتيجية وطنية بشِأن الملكية الفكرية، ولا تزال تلك الوثيقة قيد البحث.</w:t>
      </w:r>
    </w:p>
  </w:footnote>
  <w:footnote w:id="62">
    <w:p w:rsidR="000B5473" w:rsidRDefault="000B5473" w:rsidP="00D62C15">
      <w:pPr>
        <w:bidi/>
      </w:pPr>
      <w:r w:rsidRPr="00F96634">
        <w:rPr>
          <w:rFonts w:ascii="Arabic Typesetting" w:hAnsi="Arabic Typesetting" w:cs="Arabic Typesetting"/>
          <w:sz w:val="28"/>
          <w:szCs w:val="28"/>
          <w:vertAlign w:val="superscript"/>
        </w:rPr>
        <w:footnoteRef/>
      </w:r>
      <w:r w:rsidRPr="00D62C15">
        <w:rPr>
          <w:rFonts w:ascii="Arabic Typesetting" w:hAnsi="Arabic Typesetting" w:cs="Arabic Typesetting"/>
          <w:sz w:val="28"/>
          <w:szCs w:val="28"/>
          <w:rtl/>
        </w:rPr>
        <w:t>.أرجئت العملية بسبب تغييرات هيكلية في الحكومة.</w:t>
      </w:r>
    </w:p>
  </w:footnote>
  <w:footnote w:id="63">
    <w:p w:rsidR="000B5473" w:rsidRPr="00D62C15"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D62C15">
        <w:rPr>
          <w:rFonts w:ascii="Arabic Typesetting" w:hAnsi="Arabic Typesetting" w:cs="Arabic Typesetting"/>
          <w:sz w:val="28"/>
          <w:szCs w:val="28"/>
          <w:rtl/>
        </w:rPr>
        <w:t xml:space="preserve"> توقفت العملية في عام 2011. وفي عام 2014، استُهلت عملية تشاورية من جديد.</w:t>
      </w:r>
    </w:p>
  </w:footnote>
  <w:footnote w:id="64">
    <w:p w:rsidR="000B5473" w:rsidRPr="00D62C15" w:rsidRDefault="000B5473" w:rsidP="00D62C1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D62C15">
        <w:rPr>
          <w:rFonts w:ascii="Arabic Typesetting" w:hAnsi="Arabic Typesetting" w:cs="Arabic Typesetting"/>
          <w:sz w:val="28"/>
          <w:szCs w:val="28"/>
          <w:rtl/>
        </w:rPr>
        <w:t xml:space="preserve"> بنغلاديش بصدد صياغة استراتيجيتها الوطنية للملكية الفكرية ولم تعتمدها بعد كما أبلغ عنه في الثنائية السابقة، لذا أزيلت من أساس المقارنة المعني.</w:t>
      </w:r>
    </w:p>
  </w:footnote>
  <w:footnote w:id="65">
    <w:p w:rsidR="000B5473" w:rsidRPr="006274DE" w:rsidRDefault="000B5473" w:rsidP="00D62C1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6274DE">
        <w:rPr>
          <w:rFonts w:ascii="Arabic Typesetting" w:hAnsi="Arabic Typesetting" w:cs="Arabic Typesetting"/>
          <w:sz w:val="28"/>
          <w:szCs w:val="28"/>
          <w:rtl/>
        </w:rPr>
        <w:t xml:space="preserve"> لا توجد أية آلية متاحة. وستوضع آلية مناسبة خلال الثنائية 2016/17.</w:t>
      </w:r>
    </w:p>
  </w:footnote>
  <w:footnote w:id="66">
    <w:p w:rsidR="000B5473" w:rsidRPr="006274DE" w:rsidRDefault="000B5473" w:rsidP="00CE2695">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6274DE">
        <w:rPr>
          <w:rFonts w:ascii="Arabic Typesetting" w:hAnsi="Arabic Typesetting" w:cs="Arabic Typesetting"/>
          <w:sz w:val="28"/>
          <w:szCs w:val="28"/>
          <w:rtl/>
        </w:rPr>
        <w:t xml:space="preserve"> </w:t>
      </w:r>
      <w:hyperlink r:id="rId12" w:history="1">
        <w:r w:rsidRPr="00D34F9C">
          <w:rPr>
            <w:rStyle w:val="Hyperlink"/>
            <w:rFonts w:ascii="Arabic Typesetting" w:hAnsi="Arabic Typesetting" w:cs="Arabic Typesetting"/>
            <w:sz w:val="28"/>
            <w:szCs w:val="28"/>
          </w:rPr>
          <w:t>http://www.wipo.int/edocs/mdocs/africa/en/ompi_pi_dak_15/ompi_pi_dak_15_declaration.pdf</w:t>
        </w:r>
      </w:hyperlink>
    </w:p>
  </w:footnote>
  <w:footnote w:id="67">
    <w:p w:rsidR="000B5473" w:rsidRPr="006274DE" w:rsidRDefault="000B5473" w:rsidP="006274DE">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6274DE">
        <w:rPr>
          <w:rFonts w:ascii="Arabic Typesetting" w:hAnsi="Arabic Typesetting" w:cs="Arabic Typesetting"/>
          <w:sz w:val="28"/>
          <w:szCs w:val="28"/>
          <w:rtl/>
        </w:rPr>
        <w:t xml:space="preserve"> تصويب: نُفذ برنامج تعزيز الوعي القائم على</w:t>
      </w:r>
      <w:r w:rsidRPr="006274DE">
        <w:rPr>
          <w:rFonts w:ascii="Arabic Typesetting" w:hAnsi="Arabic Typesetting" w:cs="Arabic Typesetting"/>
          <w:sz w:val="28"/>
          <w:szCs w:val="28"/>
          <w:rtl/>
          <w:lang w:bidi="ar-EG"/>
        </w:rPr>
        <w:t xml:space="preserve"> فيلم الرسوم المتحركة حول إذكاء الاحترام للملكية الفكرية بالتعاون مع جامعة الدول العربية، والمُبلّغ عنه في تقرير أداء البرنامج 2014، بناء على مذكرة تفاهم وُقّع عليها مع الجامعة المذكورة قبل الثنائية 2014/15.</w:t>
      </w:r>
    </w:p>
  </w:footnote>
  <w:footnote w:id="68">
    <w:p w:rsidR="000B5473" w:rsidRPr="006274DE" w:rsidRDefault="000B5473" w:rsidP="00CE2695">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6274DE">
        <w:rPr>
          <w:rFonts w:ascii="Arabic Typesetting" w:hAnsi="Arabic Typesetting" w:cs="Arabic Typesetting"/>
          <w:sz w:val="28"/>
          <w:szCs w:val="28"/>
          <w:rtl/>
        </w:rPr>
        <w:t xml:space="preserve"> تصويب: نُفذ التعاون مع </w:t>
      </w:r>
      <w:r w:rsidRPr="006274DE">
        <w:rPr>
          <w:rFonts w:ascii="Arabic Typesetting" w:hAnsi="Arabic Typesetting" w:cs="Arabic Typesetting"/>
          <w:sz w:val="28"/>
          <w:szCs w:val="28"/>
          <w:rtl/>
          <w:lang w:bidi="ar-EG"/>
        </w:rPr>
        <w:t>رابطة جنوب آسيا للتعاون الإقليمي، المُبلّغ عنه في تقرير أداء البرنامج 2014، بموجب اتفاق يرجع تاريخه إلى ما قبل الثنائية 2014/15.</w:t>
      </w:r>
    </w:p>
  </w:footnote>
  <w:footnote w:id="69">
    <w:p w:rsidR="000B5473" w:rsidRPr="006274DE" w:rsidRDefault="000B5473" w:rsidP="00CE269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6274DE">
        <w:rPr>
          <w:rFonts w:ascii="Arabic Typesetting" w:hAnsi="Arabic Typesetting" w:cs="Arabic Typesetting"/>
          <w:sz w:val="28"/>
          <w:szCs w:val="28"/>
          <w:rtl/>
        </w:rPr>
        <w:t xml:space="preserve"> </w:t>
      </w:r>
      <w:r w:rsidRPr="006274DE">
        <w:rPr>
          <w:rFonts w:ascii="Arabic Typesetting" w:hAnsi="Arabic Typesetting" w:cs="Arabic Typesetting"/>
          <w:sz w:val="28"/>
          <w:szCs w:val="28"/>
          <w:rtl/>
          <w:lang w:bidi="ar-EG"/>
        </w:rPr>
        <w:t xml:space="preserve">"1" </w:t>
      </w:r>
      <w:r>
        <w:rPr>
          <w:rFonts w:ascii="Arabic Typesetting" w:hAnsi="Arabic Typesetting" w:cs="Arabic Typesetting"/>
          <w:sz w:val="28"/>
          <w:szCs w:val="28"/>
          <w:rtl/>
          <w:lang w:bidi="ar-EG"/>
        </w:rPr>
        <w:t>مشروعات</w:t>
      </w:r>
      <w:r w:rsidRPr="006274DE">
        <w:rPr>
          <w:rFonts w:ascii="Arabic Typesetting" w:hAnsi="Arabic Typesetting" w:cs="Arabic Typesetting"/>
          <w:sz w:val="28"/>
          <w:szCs w:val="28"/>
          <w:rtl/>
          <w:lang w:bidi="ar-EG"/>
        </w:rPr>
        <w:t xml:space="preserve"> لمواءمة البراءات والعلامات التجارية في أمريكا الوسطى بالاشتراك مع المكتب الأوروبي للبراءات (</w:t>
      </w:r>
      <w:r w:rsidRPr="006274DE">
        <w:rPr>
          <w:rFonts w:ascii="Arabic Typesetting" w:hAnsi="Arabic Typesetting" w:cs="Arabic Typesetting"/>
          <w:sz w:val="28"/>
          <w:szCs w:val="28"/>
        </w:rPr>
        <w:t>EPO</w:t>
      </w:r>
      <w:r w:rsidRPr="006274DE">
        <w:rPr>
          <w:rFonts w:ascii="Arabic Typesetting" w:hAnsi="Arabic Typesetting" w:cs="Arabic Typesetting"/>
          <w:sz w:val="28"/>
          <w:szCs w:val="28"/>
          <w:rtl/>
          <w:lang w:bidi="ar-EG"/>
        </w:rPr>
        <w:t>) والمكتب الإسباني للبراءات والعلامات التجارية (</w:t>
      </w:r>
      <w:r w:rsidRPr="006274DE">
        <w:rPr>
          <w:rFonts w:ascii="Arabic Typesetting" w:hAnsi="Arabic Typesetting" w:cs="Arabic Typesetting"/>
          <w:sz w:val="28"/>
          <w:szCs w:val="28"/>
        </w:rPr>
        <w:t>OEPM</w:t>
      </w:r>
      <w:r w:rsidRPr="006274DE">
        <w:rPr>
          <w:rFonts w:ascii="Arabic Typesetting" w:hAnsi="Arabic Typesetting" w:cs="Arabic Typesetting"/>
          <w:sz w:val="28"/>
          <w:szCs w:val="28"/>
          <w:rtl/>
          <w:lang w:bidi="ar-EG"/>
        </w:rPr>
        <w:t>) وبالتعاون مع المعهد المكسيكي للملكية الصناعية (</w:t>
      </w:r>
      <w:r w:rsidRPr="006274DE">
        <w:rPr>
          <w:rFonts w:ascii="Arabic Typesetting" w:hAnsi="Arabic Typesetting" w:cs="Arabic Typesetting"/>
          <w:sz w:val="28"/>
          <w:szCs w:val="28"/>
        </w:rPr>
        <w:t>IMPI</w:t>
      </w:r>
      <w:r w:rsidRPr="006274DE">
        <w:rPr>
          <w:rFonts w:ascii="Arabic Typesetting" w:hAnsi="Arabic Typesetting" w:cs="Arabic Typesetting"/>
          <w:sz w:val="28"/>
          <w:szCs w:val="28"/>
          <w:rtl/>
          <w:lang w:bidi="ar-EG"/>
        </w:rPr>
        <w:t xml:space="preserve">)؛ "2" ومشروع </w:t>
      </w:r>
      <w:r w:rsidRPr="006274DE">
        <w:rPr>
          <w:rFonts w:ascii="Arabic Typesetting" w:hAnsi="Arabic Typesetting" w:cs="Arabic Typesetting"/>
          <w:sz w:val="28"/>
          <w:szCs w:val="28"/>
        </w:rPr>
        <w:t>LATIPAT</w:t>
      </w:r>
      <w:r w:rsidRPr="006274DE">
        <w:rPr>
          <w:rFonts w:ascii="Arabic Typesetting" w:hAnsi="Arabic Typesetting" w:cs="Arabic Typesetting"/>
          <w:sz w:val="28"/>
          <w:szCs w:val="28"/>
          <w:rtl/>
          <w:lang w:bidi="ar-EG"/>
        </w:rPr>
        <w:t xml:space="preserve"> بالاشتراك مع المكتب الأوروبي للبراءات (</w:t>
      </w:r>
      <w:r w:rsidRPr="006274DE">
        <w:rPr>
          <w:rFonts w:ascii="Arabic Typesetting" w:hAnsi="Arabic Typesetting" w:cs="Arabic Typesetting"/>
          <w:sz w:val="28"/>
          <w:szCs w:val="28"/>
        </w:rPr>
        <w:t>EPO</w:t>
      </w:r>
      <w:r w:rsidRPr="006274DE">
        <w:rPr>
          <w:rFonts w:ascii="Arabic Typesetting" w:hAnsi="Arabic Typesetting" w:cs="Arabic Typesetting"/>
          <w:sz w:val="28"/>
          <w:szCs w:val="28"/>
          <w:rtl/>
          <w:lang w:bidi="ar-EG"/>
        </w:rPr>
        <w:t>) والمكتب الإسباني للبراءات والعلامات التجارية (</w:t>
      </w:r>
      <w:r w:rsidRPr="006274DE">
        <w:rPr>
          <w:rFonts w:ascii="Arabic Typesetting" w:hAnsi="Arabic Typesetting" w:cs="Arabic Typesetting"/>
          <w:sz w:val="28"/>
          <w:szCs w:val="28"/>
        </w:rPr>
        <w:t>OEPM</w:t>
      </w:r>
      <w:r w:rsidRPr="006274DE">
        <w:rPr>
          <w:rFonts w:ascii="Arabic Typesetting" w:hAnsi="Arabic Typesetting" w:cs="Arabic Typesetting"/>
          <w:sz w:val="28"/>
          <w:szCs w:val="28"/>
          <w:rtl/>
          <w:lang w:bidi="ar-EG"/>
        </w:rPr>
        <w:t>)؛ "3" ومشروع بشأن المؤشرات الجغرافية والمنتجات المرتبطة بالمنشأ والتوسيم بالاشتراك مع بنك التنمية للبلدان الأمريكية (</w:t>
      </w:r>
      <w:r w:rsidRPr="006274DE">
        <w:rPr>
          <w:rFonts w:ascii="Arabic Typesetting" w:hAnsi="Arabic Typesetting" w:cs="Arabic Typesetting"/>
          <w:sz w:val="28"/>
          <w:szCs w:val="28"/>
          <w:lang w:bidi="ar-EG"/>
        </w:rPr>
        <w:t>IDB</w:t>
      </w:r>
      <w:r w:rsidRPr="006274DE">
        <w:rPr>
          <w:rFonts w:ascii="Arabic Typesetting" w:hAnsi="Arabic Typesetting" w:cs="Arabic Typesetting"/>
          <w:sz w:val="28"/>
          <w:szCs w:val="28"/>
          <w:rtl/>
          <w:lang w:bidi="ar-EG"/>
        </w:rPr>
        <w:t>) والوكالة الكاريبية لتنمية الصادرات (</w:t>
      </w:r>
      <w:r w:rsidRPr="006274DE">
        <w:rPr>
          <w:rFonts w:ascii="Arabic Typesetting" w:hAnsi="Arabic Typesetting" w:cs="Arabic Typesetting"/>
          <w:sz w:val="28"/>
          <w:szCs w:val="28"/>
          <w:lang w:bidi="ar-EG"/>
        </w:rPr>
        <w:t>CEDA</w:t>
      </w:r>
      <w:r w:rsidRPr="006274DE">
        <w:rPr>
          <w:rFonts w:ascii="Arabic Typesetting" w:hAnsi="Arabic Typesetting" w:cs="Arabic Typesetting"/>
          <w:sz w:val="28"/>
          <w:szCs w:val="28"/>
          <w:rtl/>
          <w:lang w:bidi="ar-EG"/>
        </w:rPr>
        <w:t>) والمركز التقني للتعاون الزراعي والريفي (</w:t>
      </w:r>
      <w:r w:rsidRPr="006274DE">
        <w:rPr>
          <w:rFonts w:ascii="Arabic Typesetting" w:hAnsi="Arabic Typesetting" w:cs="Arabic Typesetting"/>
          <w:sz w:val="28"/>
          <w:szCs w:val="28"/>
          <w:lang w:bidi="ar-EG"/>
        </w:rPr>
        <w:t>CTA</w:t>
      </w:r>
      <w:r w:rsidRPr="006274DE">
        <w:rPr>
          <w:rFonts w:ascii="Arabic Typesetting" w:hAnsi="Arabic Typesetting" w:cs="Arabic Typesetting"/>
          <w:sz w:val="28"/>
          <w:szCs w:val="28"/>
          <w:rtl/>
          <w:lang w:bidi="ar-EG"/>
        </w:rPr>
        <w:t>)؛ "4" والمكتب الإقليمي للبراءات في منطقة الكاريبي مع الإدارة الكاريبية للبراءات (</w:t>
      </w:r>
      <w:r w:rsidRPr="006274DE">
        <w:rPr>
          <w:rFonts w:ascii="Arabic Typesetting" w:hAnsi="Arabic Typesetting" w:cs="Arabic Typesetting"/>
          <w:sz w:val="28"/>
          <w:szCs w:val="28"/>
          <w:lang w:bidi="ar-EG"/>
        </w:rPr>
        <w:t>CPAS</w:t>
      </w:r>
      <w:r w:rsidRPr="006274DE">
        <w:rPr>
          <w:rFonts w:ascii="Arabic Typesetting" w:hAnsi="Arabic Typesetting" w:cs="Arabic Typesetting"/>
          <w:sz w:val="28"/>
          <w:szCs w:val="28"/>
          <w:rtl/>
          <w:lang w:bidi="ar-EG"/>
        </w:rPr>
        <w:t xml:space="preserve">)؛ "5" والبرنامج </w:t>
      </w:r>
      <w:proofErr w:type="spellStart"/>
      <w:r w:rsidRPr="006274DE">
        <w:rPr>
          <w:rFonts w:ascii="Arabic Typesetting" w:hAnsi="Arabic Typesetting" w:cs="Arabic Typesetting"/>
          <w:sz w:val="28"/>
          <w:szCs w:val="28"/>
          <w:rtl/>
          <w:lang w:bidi="ar-EG"/>
        </w:rPr>
        <w:t>الأيبيري</w:t>
      </w:r>
      <w:proofErr w:type="spellEnd"/>
      <w:r w:rsidRPr="006274DE">
        <w:rPr>
          <w:rFonts w:ascii="Arabic Typesetting" w:hAnsi="Arabic Typesetting" w:cs="Arabic Typesetting"/>
          <w:sz w:val="28"/>
          <w:szCs w:val="28"/>
          <w:rtl/>
          <w:lang w:bidi="ar-EG"/>
        </w:rPr>
        <w:t xml:space="preserve">-الأمريكي في إطار الصندوق </w:t>
      </w:r>
      <w:proofErr w:type="spellStart"/>
      <w:r w:rsidRPr="006274DE">
        <w:rPr>
          <w:rFonts w:ascii="Arabic Typesetting" w:hAnsi="Arabic Typesetting" w:cs="Arabic Typesetting"/>
          <w:sz w:val="28"/>
          <w:szCs w:val="28"/>
          <w:rtl/>
          <w:lang w:bidi="ar-EG"/>
        </w:rPr>
        <w:t>الاستئماني</w:t>
      </w:r>
      <w:proofErr w:type="spellEnd"/>
      <w:r w:rsidRPr="006274DE">
        <w:rPr>
          <w:rFonts w:ascii="Arabic Typesetting" w:hAnsi="Arabic Typesetting" w:cs="Arabic Typesetting"/>
          <w:sz w:val="28"/>
          <w:szCs w:val="28"/>
          <w:rtl/>
          <w:lang w:bidi="ar-EG"/>
        </w:rPr>
        <w:t>؛ "6" واستمرار التعاون على إنشاء شبكة تسويق الأصول الإقليمية في مجال المقاولة (</w:t>
      </w:r>
      <w:r w:rsidRPr="006274DE">
        <w:rPr>
          <w:rFonts w:ascii="Arabic Typesetting" w:hAnsi="Arabic Typesetting" w:cs="Arabic Typesetting"/>
          <w:sz w:val="28"/>
          <w:szCs w:val="28"/>
          <w:lang w:bidi="ar-EG"/>
        </w:rPr>
        <w:t>REACH</w:t>
      </w:r>
      <w:r w:rsidRPr="006274DE">
        <w:rPr>
          <w:rFonts w:ascii="Arabic Typesetting" w:hAnsi="Arabic Typesetting" w:cs="Arabic Typesetting"/>
          <w:sz w:val="28"/>
          <w:szCs w:val="28"/>
          <w:rtl/>
          <w:lang w:bidi="ar-EG"/>
        </w:rPr>
        <w:t xml:space="preserve">) مع بنك التنمية للبلدان الأمريكية ومنظمة شباب </w:t>
      </w:r>
      <w:proofErr w:type="spellStart"/>
      <w:r w:rsidRPr="006274DE">
        <w:rPr>
          <w:rFonts w:ascii="Arabic Typesetting" w:hAnsi="Arabic Typesetting" w:cs="Arabic Typesetting"/>
          <w:sz w:val="28"/>
          <w:szCs w:val="28"/>
          <w:rtl/>
          <w:lang w:bidi="ar-EG"/>
        </w:rPr>
        <w:t>الأمريكتين</w:t>
      </w:r>
      <w:proofErr w:type="spellEnd"/>
      <w:r w:rsidRPr="006274DE">
        <w:rPr>
          <w:rFonts w:ascii="Arabic Typesetting" w:hAnsi="Arabic Typesetting" w:cs="Arabic Typesetting"/>
          <w:sz w:val="28"/>
          <w:szCs w:val="28"/>
          <w:rtl/>
          <w:lang w:bidi="ar-EG"/>
        </w:rPr>
        <w:t xml:space="preserve"> للأعمال (</w:t>
      </w:r>
      <w:r w:rsidRPr="006274DE">
        <w:rPr>
          <w:rFonts w:ascii="Arabic Typesetting" w:hAnsi="Arabic Typesetting" w:cs="Arabic Typesetting"/>
          <w:sz w:val="28"/>
          <w:szCs w:val="28"/>
          <w:lang w:bidi="ar-EG"/>
        </w:rPr>
        <w:t>YABT</w:t>
      </w:r>
      <w:r w:rsidRPr="006274DE">
        <w:rPr>
          <w:rFonts w:ascii="Arabic Typesetting" w:hAnsi="Arabic Typesetting" w:cs="Arabic Typesetting"/>
          <w:sz w:val="28"/>
          <w:szCs w:val="28"/>
          <w:rtl/>
          <w:lang w:bidi="ar-EG"/>
        </w:rPr>
        <w:t>)</w:t>
      </w:r>
    </w:p>
  </w:footnote>
  <w:footnote w:id="70">
    <w:p w:rsidR="000B5473" w:rsidRPr="008E0975" w:rsidRDefault="000B5473" w:rsidP="008E0975">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Pr>
          <w:rFonts w:ascii="Arabic Typesetting" w:hAnsi="Arabic Typesetting" w:cs="Arabic Typesetting" w:hint="cs"/>
          <w:sz w:val="28"/>
          <w:szCs w:val="28"/>
          <w:rtl/>
        </w:rPr>
        <w:t xml:space="preserve"> تصويب: كان عدد المشاركين في برنامج التنمية المهنية 226 مشاركاً في عام 2014 وليس 216 كما ورد في تقرير أداء البرنامج 2014.</w:t>
      </w:r>
    </w:p>
  </w:footnote>
  <w:footnote w:id="71">
    <w:p w:rsidR="000B5473" w:rsidRPr="00326D25" w:rsidRDefault="000B5473" w:rsidP="00326D25">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Pr>
          <w:rFonts w:ascii="Arabic Typesetting" w:hAnsi="Arabic Typesetting" w:cs="Arabic Typesetting" w:hint="cs"/>
          <w:sz w:val="28"/>
          <w:szCs w:val="28"/>
          <w:rtl/>
        </w:rPr>
        <w:t xml:space="preserve"> من أصل 12 دورة رسمية وفرت خلال الثنائيتين، أتيحت 11 منها باللغات الست للأمم المتحدة إضافة إلى البرتغالية، ودورة واحدة بثلاث من لغات الأمم</w:t>
      </w:r>
      <w:r>
        <w:rPr>
          <w:rFonts w:ascii="Arabic Typesetting" w:hAnsi="Arabic Typesetting" w:cs="Arabic Typesetting" w:hint="eastAsia"/>
          <w:sz w:val="28"/>
          <w:szCs w:val="28"/>
          <w:rtl/>
        </w:rPr>
        <w:t> </w:t>
      </w:r>
      <w:r>
        <w:rPr>
          <w:rFonts w:ascii="Arabic Typesetting" w:hAnsi="Arabic Typesetting" w:cs="Arabic Typesetting" w:hint="cs"/>
          <w:sz w:val="28"/>
          <w:szCs w:val="28"/>
          <w:rtl/>
        </w:rPr>
        <w:t>المتحدة.</w:t>
      </w:r>
    </w:p>
  </w:footnote>
  <w:footnote w:id="72">
    <w:p w:rsidR="000B5473" w:rsidRPr="00326D25" w:rsidRDefault="000B5473" w:rsidP="00326D25">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Pr>
          <w:rFonts w:ascii="Arabic Typesetting" w:hAnsi="Arabic Typesetting" w:cs="Arabic Typesetting" w:hint="cs"/>
          <w:sz w:val="28"/>
          <w:szCs w:val="28"/>
          <w:rtl/>
        </w:rPr>
        <w:t xml:space="preserve"> تعزى الزيادة البالغة 138 بالمئة في الطلب على الدورات المتقدمة للتعلّم عن بعد إلى المشاركة العالية لمراكز التكنولوجيا والابتكار والعلوم وبخاصة من المغرب ومدغشقر وجنوب أفريقيا، وزيادة الدورات المتاحة باللغات الست للأمم المتحدة بحلول نهاية عام 2015.</w:t>
      </w:r>
    </w:p>
  </w:footnote>
  <w:footnote w:id="73">
    <w:p w:rsidR="000B5473" w:rsidRPr="000656B7" w:rsidRDefault="000B5473" w:rsidP="00FE0236">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Pr>
          <w:rFonts w:ascii="Arabic Typesetting" w:hAnsi="Arabic Typesetting" w:cs="Arabic Typesetting" w:hint="cs"/>
          <w:sz w:val="28"/>
          <w:szCs w:val="28"/>
          <w:rtl/>
        </w:rPr>
        <w:t xml:space="preserve"> </w:t>
      </w:r>
      <w:r w:rsidRPr="000656B7">
        <w:rPr>
          <w:rFonts w:ascii="Arabic Typesetting" w:hAnsi="Arabic Typesetting" w:cs="Arabic Typesetting"/>
          <w:sz w:val="28"/>
          <w:szCs w:val="28"/>
          <w:rtl/>
        </w:rPr>
        <w:t>يعزى ارتفاع مستوى المشاركة من أمريكا اللاتينية والكاريبي أساساً إلى النسخ</w:t>
      </w:r>
      <w:r>
        <w:rPr>
          <w:rFonts w:ascii="Arabic Typesetting" w:hAnsi="Arabic Typesetting" w:cs="Arabic Typesetting" w:hint="cs"/>
          <w:sz w:val="28"/>
          <w:szCs w:val="28"/>
          <w:rtl/>
        </w:rPr>
        <w:t>ة</w:t>
      </w:r>
      <w:r w:rsidRPr="000656B7">
        <w:rPr>
          <w:rFonts w:ascii="Arabic Typesetting" w:hAnsi="Arabic Typesetting" w:cs="Arabic Typesetting"/>
          <w:sz w:val="28"/>
          <w:szCs w:val="28"/>
          <w:rtl/>
        </w:rPr>
        <w:t xml:space="preserve"> المخصصة من الدورة العامة عن الملكية الفكرية (</w:t>
      </w:r>
      <w:r w:rsidRPr="000656B7">
        <w:rPr>
          <w:rFonts w:ascii="Arabic Typesetting" w:hAnsi="Arabic Typesetting" w:cs="Arabic Typesetting"/>
          <w:sz w:val="28"/>
          <w:szCs w:val="28"/>
        </w:rPr>
        <w:t>DL-101</w:t>
      </w:r>
      <w:r w:rsidRPr="000656B7">
        <w:rPr>
          <w:rFonts w:ascii="Arabic Typesetting" w:hAnsi="Arabic Typesetting" w:cs="Arabic Typesetting"/>
          <w:sz w:val="28"/>
          <w:szCs w:val="28"/>
          <w:rtl/>
        </w:rPr>
        <w:t>) باللغتين البرتغالية</w:t>
      </w:r>
      <w:r>
        <w:rPr>
          <w:rFonts w:ascii="Arabic Typesetting" w:hAnsi="Arabic Typesetting" w:cs="Arabic Typesetting" w:hint="cs"/>
          <w:sz w:val="28"/>
          <w:szCs w:val="28"/>
          <w:rtl/>
        </w:rPr>
        <w:t> </w:t>
      </w:r>
      <w:r w:rsidRPr="000656B7">
        <w:rPr>
          <w:rFonts w:ascii="Arabic Typesetting" w:hAnsi="Arabic Typesetting" w:cs="Arabic Typesetting"/>
          <w:sz w:val="28"/>
          <w:szCs w:val="28"/>
          <w:rtl/>
        </w:rPr>
        <w:t>والإسبانية.</w:t>
      </w:r>
    </w:p>
  </w:footnote>
  <w:footnote w:id="74">
    <w:p w:rsidR="000B5473" w:rsidRPr="008A2DBA" w:rsidRDefault="000B5473" w:rsidP="002330E3">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8A2DBA">
        <w:rPr>
          <w:rFonts w:ascii="Arabic Typesetting" w:hAnsi="Arabic Typesetting" w:cs="Arabic Typesetting"/>
          <w:sz w:val="28"/>
          <w:szCs w:val="28"/>
          <w:rtl/>
        </w:rPr>
        <w:t xml:space="preserve"> تصويب: كان عدد اللغات التي أتيحت بها الدورات العامة 13 لغة (منها الإنكليزية) </w:t>
      </w:r>
      <w:r>
        <w:rPr>
          <w:rFonts w:ascii="Arabic Typesetting" w:hAnsi="Arabic Typesetting" w:cs="Arabic Typesetting" w:hint="cs"/>
          <w:sz w:val="28"/>
          <w:szCs w:val="28"/>
          <w:rtl/>
        </w:rPr>
        <w:t xml:space="preserve">في عام 2014 </w:t>
      </w:r>
      <w:r w:rsidRPr="008A2DBA">
        <w:rPr>
          <w:rFonts w:ascii="Arabic Typesetting" w:hAnsi="Arabic Typesetting" w:cs="Arabic Typesetting"/>
          <w:sz w:val="28"/>
          <w:szCs w:val="28"/>
          <w:rtl/>
        </w:rPr>
        <w:t>وليس 12 كما ورد في تقرير أداء البرنامج 2014.</w:t>
      </w:r>
    </w:p>
  </w:footnote>
  <w:footnote w:id="75">
    <w:p w:rsidR="000B5473" w:rsidRPr="008A2DBA" w:rsidRDefault="000B5473" w:rsidP="008A2DB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8A2DBA">
        <w:rPr>
          <w:rFonts w:ascii="Arabic Typesetting" w:hAnsi="Arabic Typesetting" w:cs="Arabic Typesetting"/>
          <w:sz w:val="28"/>
          <w:szCs w:val="28"/>
          <w:rtl/>
        </w:rPr>
        <w:t xml:space="preserve"> تجدر الإشارة إلى أن السنة الأكاديمية تتطابق كثيراً مع السنة الميلادية (توفر البرامج من 2013 إلى 2014 و2014 إلى 2015). ومن ثم، لا يمكن الربط بين عدد الطلاب الجدد وعدد المتخرجين. ولكن أدرج معدل نجاح إجمالي عن طريق توحيد نتائج كل دورات ماجستير القانون للسنة الأكاديمية 2014/15.</w:t>
      </w:r>
    </w:p>
  </w:footnote>
  <w:footnote w:id="76">
    <w:p w:rsidR="000B5473" w:rsidRPr="008A2DBA" w:rsidRDefault="000B5473" w:rsidP="008A2DB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Pr>
          <w:rFonts w:ascii="Arabic Typesetting" w:hAnsi="Arabic Typesetting" w:cs="Arabic Typesetting" w:hint="cs"/>
          <w:sz w:val="28"/>
          <w:szCs w:val="28"/>
          <w:rtl/>
        </w:rPr>
        <w:t xml:space="preserve"> توقف برنامج الماجستير المشترك في جامعة حيفا (إسرائيل) في عام 2014.</w:t>
      </w:r>
    </w:p>
  </w:footnote>
  <w:footnote w:id="77">
    <w:p w:rsidR="000B5473" w:rsidRPr="00CA2CFF" w:rsidRDefault="000B5473" w:rsidP="00F265C9">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CA2CFF">
        <w:rPr>
          <w:rFonts w:ascii="Arabic Typesetting" w:hAnsi="Arabic Typesetting" w:cs="Arabic Typesetting"/>
          <w:sz w:val="28"/>
          <w:szCs w:val="28"/>
          <w:rtl/>
        </w:rPr>
        <w:t xml:space="preserve"> تصويب: نظراً إلى خطأ مطبعي، ورد في تقرير أداء البرنامج 2014 أن العدد هو 247 مدرساً.</w:t>
      </w:r>
    </w:p>
  </w:footnote>
  <w:footnote w:id="78">
    <w:p w:rsidR="000B5473" w:rsidRPr="00D12423" w:rsidRDefault="000B5473" w:rsidP="00D12423">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D12423">
        <w:rPr>
          <w:rFonts w:ascii="Arabic Typesetting" w:hAnsi="Arabic Typesetting" w:cs="Arabic Typesetting"/>
          <w:sz w:val="28"/>
          <w:szCs w:val="28"/>
          <w:rtl/>
        </w:rPr>
        <w:t xml:space="preserve"> يُقصد بكلمة "توفر" أن الدورة قد تُرجمت إلى اللغة ويتسنى تقديمها للشركاء من مكاتب الملكية الفكرية. وتجدر الإشارة إلى أن جميع الدورات لا توفر بجميع اللغات في السنة ذاتها، إذ يعتمد ذلك على توفر النسخة المترجمة خلال العام و/أو استعداد الشركاء من مكاتب الملكية الفكرية الذين توفر لهم الدورات.</w:t>
      </w:r>
    </w:p>
  </w:footnote>
  <w:footnote w:id="79">
    <w:p w:rsidR="000B5473" w:rsidRPr="001B6640" w:rsidRDefault="000B5473" w:rsidP="002F2D82">
      <w:pPr>
        <w:bidi/>
        <w:rPr>
          <w:rFonts w:ascii="Arabic Typesetting" w:hAnsi="Arabic Typesetting" w:cs="Arabic Typesetting"/>
          <w:sz w:val="28"/>
          <w:szCs w:val="28"/>
          <w:rtl/>
          <w:lang w:bidi="ar-EG"/>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r w:rsidRPr="001B6640">
        <w:rPr>
          <w:rFonts w:ascii="Arabic Typesetting" w:hAnsi="Arabic Typesetting" w:cs="Arabic Typesetting"/>
          <w:sz w:val="28"/>
          <w:szCs w:val="28"/>
          <w:rtl/>
          <w:lang w:bidi="ar-EG"/>
        </w:rPr>
        <w:t xml:space="preserve">قُدم الإسهام في هذا المطبوع في إطار الصندوق </w:t>
      </w:r>
      <w:proofErr w:type="spellStart"/>
      <w:r w:rsidRPr="001B6640">
        <w:rPr>
          <w:rFonts w:ascii="Arabic Typesetting" w:hAnsi="Arabic Typesetting" w:cs="Arabic Typesetting"/>
          <w:sz w:val="28"/>
          <w:szCs w:val="28"/>
          <w:rtl/>
          <w:lang w:bidi="ar-EG"/>
        </w:rPr>
        <w:t>الاستئماني</w:t>
      </w:r>
      <w:proofErr w:type="spellEnd"/>
      <w:r w:rsidRPr="001B6640">
        <w:rPr>
          <w:rFonts w:ascii="Arabic Typesetting" w:hAnsi="Arabic Typesetting" w:cs="Arabic Typesetting"/>
          <w:sz w:val="28"/>
          <w:szCs w:val="28"/>
          <w:rtl/>
          <w:lang w:bidi="ar-EG"/>
        </w:rPr>
        <w:t>/الولايات المتحدة للشركات الصغيرة والمتوسطة الذي أُغلق خلال الربع الأول من عام 2015.</w:t>
      </w:r>
    </w:p>
  </w:footnote>
  <w:footnote w:id="80">
    <w:p w:rsidR="000B5473" w:rsidRPr="001B6640" w:rsidRDefault="000B5473" w:rsidP="002F2D82">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انظر البرنامج 10.</w:t>
      </w:r>
    </w:p>
  </w:footnote>
  <w:footnote w:id="81">
    <w:p w:rsidR="000B5473" w:rsidRPr="001B6640" w:rsidRDefault="000B5473" w:rsidP="00F417DC">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العدد الإجمالي للتعديلات في عام 2013 كان 423 كما ورد في تقرير أداء البرنامج 2012/13 وليس 432 كما ورد في تقرير أداء البرنامج 2014.</w:t>
      </w:r>
    </w:p>
  </w:footnote>
  <w:footnote w:id="82">
    <w:p w:rsidR="000B5473" w:rsidRPr="001B6640" w:rsidRDefault="000B5473" w:rsidP="00F417DC">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العدد الإجمالي للتعديلات في عام 2014 كان 560 وليس 570 كما ورد في تقرير أداء البرنامج 2014.</w:t>
      </w:r>
    </w:p>
  </w:footnote>
  <w:footnote w:id="83">
    <w:p w:rsidR="000B5473" w:rsidRPr="001B6640" w:rsidRDefault="000B5473" w:rsidP="00A2730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الاسم السابق لهذه الأداة كان "أداة الترجمة المساعدة لترجمة عناوين البراءات وملخصاتها" (</w:t>
      </w:r>
      <w:r w:rsidRPr="001B6640">
        <w:rPr>
          <w:rFonts w:ascii="Arabic Typesetting" w:hAnsi="Arabic Typesetting" w:cs="Arabic Typesetting"/>
          <w:sz w:val="28"/>
          <w:szCs w:val="28"/>
        </w:rPr>
        <w:t>TAPTA</w:t>
      </w:r>
      <w:r w:rsidRPr="001B6640">
        <w:rPr>
          <w:rFonts w:ascii="Arabic Typesetting" w:hAnsi="Arabic Typesetting" w:cs="Arabic Typesetting"/>
          <w:sz w:val="28"/>
          <w:szCs w:val="28"/>
          <w:rtl/>
        </w:rPr>
        <w:t>).</w:t>
      </w:r>
    </w:p>
  </w:footnote>
  <w:footnote w:id="84">
    <w:p w:rsidR="000B5473" w:rsidRPr="001B6640" w:rsidRDefault="000B5473" w:rsidP="00BA502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يشير عدد المستخدمين إلى "المستخدمين" المتفردين وليس إلى "الزوار" المتفردين، وهكذا يمكن تفادي حساب عدد الزوار المتفردين الذين يكتفون بتصفح الصفحة دون إجراء أي بحث، مما يمكن من توفير صورة أدق لمدى استخدام قاعدة البيانات.</w:t>
      </w:r>
    </w:p>
  </w:footnote>
  <w:footnote w:id="85">
    <w:p w:rsidR="000B5473" w:rsidRPr="001B6640" w:rsidRDefault="000B5473" w:rsidP="008518E8">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انظر الحاشية السابقة.</w:t>
      </w:r>
    </w:p>
  </w:footnote>
  <w:footnote w:id="86">
    <w:p w:rsidR="000B5473" w:rsidRPr="001B6640"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13" w:history="1">
        <w:r w:rsidRPr="00D34F9C">
          <w:rPr>
            <w:rStyle w:val="Hyperlink"/>
            <w:rFonts w:ascii="Arabic Typesetting" w:hAnsi="Arabic Typesetting" w:cs="Arabic Typesetting"/>
            <w:sz w:val="28"/>
            <w:szCs w:val="28"/>
          </w:rPr>
          <w:t>http://www.wipo.int/tisc/en/search/</w:t>
        </w:r>
      </w:hyperlink>
    </w:p>
  </w:footnote>
  <w:footnote w:id="87">
    <w:p w:rsidR="000B5473" w:rsidRPr="001B6640" w:rsidRDefault="000B5473" w:rsidP="00A30FDA">
      <w:pPr>
        <w:bidi/>
        <w:rPr>
          <w:rFonts w:ascii="Arabic Typesetting" w:hAnsi="Arabic Typesetting" w:cs="Arabic Typesetting"/>
          <w:sz w:val="28"/>
          <w:szCs w:val="28"/>
          <w:lang w:bidi="ar-TN"/>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14" w:history="1">
        <w:r w:rsidRPr="00D34F9C">
          <w:rPr>
            <w:rStyle w:val="Hyperlink"/>
            <w:rFonts w:ascii="Arabic Typesetting" w:hAnsi="Arabic Typesetting" w:cs="Arabic Typesetting"/>
            <w:sz w:val="28"/>
            <w:szCs w:val="28"/>
          </w:rPr>
          <w:t>http://etisc.wipo.org</w:t>
        </w:r>
      </w:hyperlink>
    </w:p>
  </w:footnote>
  <w:footnote w:id="88">
    <w:p w:rsidR="000B5473" w:rsidRPr="001B6640" w:rsidRDefault="000B5473" w:rsidP="00A30FDA">
      <w:pPr>
        <w:bidi/>
        <w:rPr>
          <w:rFonts w:ascii="Arabic Typesetting" w:hAnsi="Arabic Typesetting" w:cs="Arabic Typesetting"/>
          <w:sz w:val="28"/>
          <w:szCs w:val="28"/>
          <w:rtl/>
          <w:lang w:bidi="ar-TN"/>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15" w:history="1">
        <w:r w:rsidRPr="00D34F9C">
          <w:rPr>
            <w:rStyle w:val="Hyperlink"/>
            <w:rFonts w:ascii="Arabic Typesetting" w:hAnsi="Arabic Typesetting" w:cs="Arabic Typesetting"/>
            <w:sz w:val="28"/>
            <w:szCs w:val="28"/>
          </w:rPr>
          <w:t>http://www.wipo.int/tisc/en/etutorial.html</w:t>
        </w:r>
      </w:hyperlink>
    </w:p>
  </w:footnote>
  <w:footnote w:id="89">
    <w:p w:rsidR="000B5473" w:rsidRPr="001B6640" w:rsidRDefault="000B5473" w:rsidP="00A30FDA">
      <w:pPr>
        <w:bidi/>
        <w:rPr>
          <w:rFonts w:ascii="Arabic Typesetting" w:hAnsi="Arabic Typesetting" w:cs="Arabic Typesetting"/>
          <w:sz w:val="28"/>
          <w:szCs w:val="28"/>
          <w:lang w:bidi="ar-TN"/>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16" w:history="1">
        <w:r w:rsidRPr="00D34F9C">
          <w:rPr>
            <w:rStyle w:val="Hyperlink"/>
            <w:rFonts w:ascii="Arabic Typesetting" w:hAnsi="Arabic Typesetting" w:cs="Arabic Typesetting"/>
            <w:sz w:val="28"/>
            <w:szCs w:val="28"/>
          </w:rPr>
          <w:t>http://www.wipo.int/tisc/fr/etutorial/main.html</w:t>
        </w:r>
      </w:hyperlink>
    </w:p>
  </w:footnote>
  <w:footnote w:id="90">
    <w:p w:rsidR="000B5473" w:rsidRPr="001B6640"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hint="cs"/>
          <w:sz w:val="28"/>
          <w:szCs w:val="28"/>
          <w:rtl/>
        </w:rPr>
        <w:t xml:space="preserve"> </w:t>
      </w:r>
      <w:hyperlink r:id="rId17" w:history="1">
        <w:r w:rsidRPr="00D34F9C">
          <w:rPr>
            <w:rStyle w:val="Hyperlink"/>
            <w:rFonts w:ascii="Arabic Typesetting" w:hAnsi="Arabic Typesetting" w:cs="Arabic Typesetting"/>
            <w:sz w:val="28"/>
            <w:szCs w:val="28"/>
          </w:rPr>
          <w:t>http://poldham.github.io/project_files/</w:t>
        </w:r>
      </w:hyperlink>
    </w:p>
  </w:footnote>
  <w:footnote w:id="91">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حدثت إحصاءات السنوات السابقة بما ورد من معلومات منذ تاريخ نشر التقرير الماضي.</w:t>
      </w:r>
    </w:p>
  </w:footnote>
  <w:footnote w:id="92">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كانت جمهورية كوريا مدرجة في بند "مكاتب أخرى" عوضاً عن منطقة آسيا والمحيط الهادئ في تقرير أداء البرنامج لعام 2014.</w:t>
      </w:r>
    </w:p>
  </w:footnote>
  <w:footnote w:id="93">
    <w:p w:rsidR="000B5473" w:rsidRPr="001B6640" w:rsidRDefault="000B5473" w:rsidP="008518E8">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في يونيو 2014، نُفِّذت نسخة جديدة من مركز البيانات الإحصائية للملكية الفكرية، مما أدى إلى عدم القدرة على تتبع البيانات في النصف الثاني من العام.</w:t>
      </w:r>
    </w:p>
  </w:footnote>
  <w:footnote w:id="94">
    <w:p w:rsidR="000B5473" w:rsidRPr="001B6640"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18" w:history="1">
        <w:r w:rsidRPr="00D34F9C">
          <w:rPr>
            <w:rStyle w:val="Hyperlink"/>
            <w:rFonts w:ascii="Arabic Typesetting" w:hAnsi="Arabic Typesetting" w:cs="Arabic Typesetting"/>
            <w:sz w:val="28"/>
            <w:szCs w:val="28"/>
          </w:rPr>
          <w:t>http://www.wipo.int/econ_stat/ar/economics/gii/</w:t>
        </w:r>
      </w:hyperlink>
    </w:p>
  </w:footnote>
  <w:footnote w:id="95">
    <w:p w:rsidR="000B5473" w:rsidRPr="001B6640"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19" w:history="1">
        <w:r w:rsidRPr="00D34F9C">
          <w:rPr>
            <w:rStyle w:val="Hyperlink"/>
            <w:rFonts w:ascii="Arabic Typesetting" w:hAnsi="Arabic Typesetting" w:cs="Arabic Typesetting"/>
            <w:sz w:val="28"/>
            <w:szCs w:val="28"/>
          </w:rPr>
          <w:t>https://www.globalinnovationindex.org/content/page/GII-Home</w:t>
        </w:r>
      </w:hyperlink>
    </w:p>
  </w:footnote>
  <w:footnote w:id="96">
    <w:p w:rsidR="000B5473" w:rsidRPr="001B6640"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20" w:history="1">
        <w:r w:rsidRPr="00D34F9C">
          <w:rPr>
            <w:rStyle w:val="Hyperlink"/>
            <w:rFonts w:ascii="Arabic Typesetting" w:hAnsi="Arabic Typesetting" w:cs="Arabic Typesetting"/>
            <w:sz w:val="28"/>
            <w:szCs w:val="28"/>
          </w:rPr>
          <w:t>http://www.wipo.int/edocs/pubdocs/en/wipo_rep_rfip_2015_1.pdf</w:t>
        </w:r>
      </w:hyperlink>
    </w:p>
  </w:footnote>
  <w:footnote w:id="97">
    <w:p w:rsidR="000B5473" w:rsidRPr="001B6640" w:rsidRDefault="000B5473" w:rsidP="00C52CF7">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الرقم الفعلي للبلدان المشاركة في برنامج جائزة الويبو في عام 2014 كان 40 بلداً وليس 38 كما ورد في تقرير أداء البرنامج لعام 2014.</w:t>
      </w:r>
    </w:p>
  </w:footnote>
  <w:footnote w:id="98">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تشمل عمليات التعاون الاستراتيجي الشراكات المنتظمة والطويلة المدى ومنها الشراكات التي أقيمت بموجب اتفاقات تعاون والتي تتناول عناصر من موضوع إذكاء الاحترام للملكية الفكرية.</w:t>
      </w:r>
    </w:p>
  </w:footnote>
  <w:footnote w:id="99">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إن مجموع الأنشطة المنظمة بالاشتراك في عام 2014 يبلغ 35 نشاطاً وليس 30 كما ورد في تقرير أداء البرنامج لعام 2014.</w:t>
      </w:r>
    </w:p>
  </w:footnote>
  <w:footnote w:id="100">
    <w:p w:rsidR="000B5473" w:rsidRPr="001B6640"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21" w:history="1">
        <w:r w:rsidRPr="00D34F9C">
          <w:rPr>
            <w:rStyle w:val="Hyperlink"/>
            <w:rFonts w:ascii="Arabic Typesetting" w:hAnsi="Arabic Typesetting" w:cs="Arabic Typesetting"/>
            <w:sz w:val="26"/>
            <w:szCs w:val="26"/>
          </w:rPr>
          <w:t>http://www.wipo.int/export/sites/www/about-wipo/en/oversight/iaod/evaluation/pdf/evaluation_strategic_goal_vi.pdf</w:t>
        </w:r>
      </w:hyperlink>
    </w:p>
  </w:footnote>
  <w:footnote w:id="101">
    <w:p w:rsidR="000B5473" w:rsidRPr="00062F72" w:rsidRDefault="000B5473" w:rsidP="00536DDA">
      <w:pPr>
        <w:bidi/>
        <w:rPr>
          <w:rFonts w:ascii="Arabic Typesetting" w:hAnsi="Arabic Typesetting" w:cs="Arabic Typesetting"/>
          <w:i/>
          <w:iCs/>
          <w:sz w:val="28"/>
          <w:szCs w:val="28"/>
          <w:rtl/>
        </w:rPr>
      </w:pPr>
      <w:r w:rsidRPr="00F96634">
        <w:rPr>
          <w:rFonts w:ascii="Arabic Typesetting" w:hAnsi="Arabic Typesetting" w:cs="Arabic Typesetting"/>
          <w:sz w:val="28"/>
          <w:szCs w:val="28"/>
          <w:vertAlign w:val="superscript"/>
        </w:rPr>
        <w:footnoteRef/>
      </w:r>
      <w:r w:rsidRPr="001B6640">
        <w:rPr>
          <w:rtl/>
        </w:rPr>
        <w:t xml:space="preserve"> </w:t>
      </w:r>
      <w:r w:rsidRPr="001B6640">
        <w:rPr>
          <w:rFonts w:ascii="Arabic Typesetting" w:hAnsi="Arabic Typesetting" w:cs="Arabic Typesetting"/>
          <w:sz w:val="28"/>
          <w:szCs w:val="28"/>
          <w:rtl/>
        </w:rPr>
        <w:t xml:space="preserve">موجزات التحديات العالمية المنشورة في الثنائية 2014/15: </w:t>
      </w:r>
      <w:r w:rsidRPr="00062F72">
        <w:rPr>
          <w:rFonts w:ascii="Arabic Typesetting" w:hAnsi="Arabic Typesetting" w:cs="Arabic Typesetting"/>
          <w:i/>
          <w:iCs/>
          <w:sz w:val="28"/>
          <w:szCs w:val="28"/>
          <w:rtl/>
        </w:rPr>
        <w:t>"1"</w:t>
      </w:r>
      <w:r w:rsidRPr="00062F72">
        <w:rPr>
          <w:rStyle w:val="Hyperlink"/>
          <w:rFonts w:ascii="Arabic Typesetting" w:hAnsi="Arabic Typesetting" w:cs="Arabic Typesetting"/>
          <w:i/>
          <w:iCs/>
          <w:sz w:val="28"/>
          <w:szCs w:val="28"/>
          <w:rtl/>
        </w:rPr>
        <w:t xml:space="preserve"> </w:t>
      </w:r>
      <w:hyperlink r:id="rId22" w:history="1">
        <w:r w:rsidRPr="00062F72">
          <w:rPr>
            <w:rStyle w:val="Hyperlink"/>
            <w:rFonts w:ascii="Arabic Typesetting" w:hAnsi="Arabic Typesetting" w:cs="Arabic Typesetting"/>
            <w:i/>
            <w:iCs/>
            <w:sz w:val="28"/>
            <w:szCs w:val="28"/>
            <w:rtl/>
          </w:rPr>
          <w:t>تسارع تغير المناخ وتكنولوجيات التخفيف من آثاره: توجهات الملكية الفكرية في مجال الطاقة المتجددة</w:t>
        </w:r>
      </w:hyperlink>
      <w:r w:rsidRPr="00062F72">
        <w:rPr>
          <w:rFonts w:ascii="Arabic Typesetting" w:hAnsi="Arabic Typesetting" w:cs="Arabic Typesetting"/>
          <w:i/>
          <w:iCs/>
          <w:sz w:val="28"/>
          <w:szCs w:val="28"/>
          <w:rtl/>
        </w:rPr>
        <w:t xml:space="preserve"> (2014)؛ "2"</w:t>
      </w:r>
      <w:r w:rsidRPr="00062F72">
        <w:rPr>
          <w:rFonts w:ascii="Arabic Typesetting" w:hAnsi="Arabic Typesetting" w:cs="Arabic Typesetting"/>
          <w:i/>
          <w:iCs/>
          <w:color w:val="0000FF"/>
          <w:sz w:val="28"/>
          <w:szCs w:val="28"/>
          <w:rtl/>
        </w:rPr>
        <w:t xml:space="preserve"> </w:t>
      </w:r>
      <w:hyperlink r:id="rId23" w:history="1">
        <w:r w:rsidRPr="00062F72">
          <w:rPr>
            <w:rStyle w:val="Hyperlink"/>
            <w:rFonts w:ascii="Arabic Typesetting" w:hAnsi="Arabic Typesetting" w:cs="Arabic Typesetting"/>
            <w:i/>
            <w:iCs/>
            <w:sz w:val="28"/>
            <w:szCs w:val="28"/>
            <w:rtl/>
          </w:rPr>
          <w:t>تحفيز اعتماد التكنولوجيا الخضراء على الصعيد العالمي</w:t>
        </w:r>
      </w:hyperlink>
      <w:r w:rsidRPr="00062F72">
        <w:rPr>
          <w:rFonts w:ascii="Arabic Typesetting" w:hAnsi="Arabic Typesetting" w:cs="Arabic Typesetting"/>
          <w:i/>
          <w:iCs/>
          <w:sz w:val="28"/>
          <w:szCs w:val="28"/>
          <w:rtl/>
        </w:rPr>
        <w:t>، الصادر في الدورة العشرين لمؤتمر الأطراف في اتفاقية الأمم المتحدة الإطارية بشأن تغير المناخ المعقودة في ليما (2014)؛ "3"</w:t>
      </w:r>
      <w:hyperlink r:id="rId24" w:history="1">
        <w:r w:rsidRPr="00062F72">
          <w:rPr>
            <w:rStyle w:val="Hyperlink"/>
            <w:rFonts w:ascii="Arabic Typesetting" w:hAnsi="Arabic Typesetting" w:cs="Arabic Typesetting"/>
            <w:i/>
            <w:iCs/>
            <w:sz w:val="28"/>
            <w:szCs w:val="28"/>
            <w:rtl/>
          </w:rPr>
          <w:t xml:space="preserve"> المشهد المتغير للابتكار الطبي: كيف استجابت نماذج الأعمال؟</w:t>
        </w:r>
      </w:hyperlink>
      <w:r w:rsidRPr="00062F72">
        <w:rPr>
          <w:rFonts w:ascii="Arabic Typesetting" w:hAnsi="Arabic Typesetting" w:cs="Arabic Typesetting"/>
          <w:i/>
          <w:iCs/>
          <w:sz w:val="28"/>
          <w:szCs w:val="28"/>
          <w:rtl/>
        </w:rPr>
        <w:t xml:space="preserve"> (2014)؛ "4"</w:t>
      </w:r>
      <w:r w:rsidRPr="00062F72">
        <w:rPr>
          <w:rFonts w:ascii="Arabic Typesetting" w:hAnsi="Arabic Typesetting" w:cs="Arabic Typesetting"/>
          <w:i/>
          <w:iCs/>
          <w:color w:val="0000FF"/>
          <w:sz w:val="28"/>
          <w:szCs w:val="28"/>
          <w:rtl/>
        </w:rPr>
        <w:t xml:space="preserve"> </w:t>
      </w:r>
      <w:hyperlink r:id="rId25" w:history="1">
        <w:r w:rsidRPr="00062F72">
          <w:rPr>
            <w:rStyle w:val="Hyperlink"/>
            <w:rFonts w:ascii="Arabic Typesetting" w:hAnsi="Arabic Typesetting" w:cs="Arabic Typesetting"/>
            <w:i/>
            <w:iCs/>
            <w:sz w:val="28"/>
            <w:szCs w:val="28"/>
            <w:rtl/>
          </w:rPr>
          <w:t>النهوض بالابتكار الطبي والنفاذ إلى المنتجات الطبية، جنبا إلى جنب</w:t>
        </w:r>
      </w:hyperlink>
      <w:r w:rsidRPr="00062F72">
        <w:rPr>
          <w:rFonts w:ascii="Arabic Typesetting" w:hAnsi="Arabic Typesetting" w:cs="Arabic Typesetting"/>
          <w:i/>
          <w:iCs/>
          <w:sz w:val="28"/>
          <w:szCs w:val="28"/>
          <w:rtl/>
        </w:rPr>
        <w:t xml:space="preserve"> (2015)</w:t>
      </w:r>
    </w:p>
  </w:footnote>
  <w:footnote w:id="102">
    <w:p w:rsidR="000B5473" w:rsidRPr="001B6640" w:rsidRDefault="000B5473" w:rsidP="00536DDA">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062F72">
        <w:rPr>
          <w:rFonts w:ascii="Arabic Typesetting" w:hAnsi="Arabic Typesetting" w:cs="Arabic Typesetting"/>
          <w:sz w:val="28"/>
          <w:szCs w:val="28"/>
          <w:rtl/>
        </w:rPr>
        <w:t xml:space="preserve"> تقارير التحديات العالمية المنشورة في الثنائية 2014/15: </w:t>
      </w:r>
      <w:r w:rsidRPr="00062F72">
        <w:rPr>
          <w:rFonts w:ascii="Arabic Typesetting" w:hAnsi="Arabic Typesetting" w:cs="Arabic Typesetting"/>
          <w:i/>
          <w:iCs/>
          <w:sz w:val="28"/>
          <w:szCs w:val="28"/>
          <w:rtl/>
        </w:rPr>
        <w:t>"1"</w:t>
      </w:r>
      <w:r w:rsidRPr="00062F72">
        <w:rPr>
          <w:rFonts w:ascii="Arabic Typesetting" w:hAnsi="Arabic Typesetting" w:cs="Arabic Typesetting"/>
          <w:i/>
          <w:iCs/>
          <w:color w:val="0000FF"/>
          <w:sz w:val="28"/>
          <w:szCs w:val="28"/>
          <w:rtl/>
        </w:rPr>
        <w:t xml:space="preserve"> </w:t>
      </w:r>
      <w:hyperlink r:id="rId26" w:history="1">
        <w:r w:rsidRPr="00062F72">
          <w:rPr>
            <w:rStyle w:val="Hyperlink"/>
            <w:rFonts w:ascii="Arabic Typesetting" w:hAnsi="Arabic Typesetting" w:cs="Arabic Typesetting"/>
            <w:i/>
            <w:iCs/>
            <w:sz w:val="28"/>
            <w:szCs w:val="28"/>
            <w:rtl/>
          </w:rPr>
          <w:t>تكنولوجيا الطاقة المتجددة: التطور وآثار السياسة العامة - أدلة من أدبيات البراءات</w:t>
        </w:r>
      </w:hyperlink>
      <w:r w:rsidRPr="00062F72">
        <w:rPr>
          <w:rFonts w:ascii="Arabic Typesetting" w:hAnsi="Arabic Typesetting" w:cs="Arabic Typesetting"/>
          <w:i/>
          <w:iCs/>
          <w:sz w:val="28"/>
          <w:szCs w:val="28"/>
          <w:rtl/>
        </w:rPr>
        <w:t xml:space="preserve"> (2014)؛ "2"</w:t>
      </w:r>
      <w:r w:rsidRPr="00062F72">
        <w:rPr>
          <w:rFonts w:ascii="Arabic Typesetting" w:hAnsi="Arabic Typesetting" w:cs="Arabic Typesetting"/>
          <w:i/>
          <w:iCs/>
          <w:color w:val="0000FF"/>
          <w:sz w:val="28"/>
          <w:szCs w:val="28"/>
          <w:rtl/>
        </w:rPr>
        <w:t xml:space="preserve"> </w:t>
      </w:r>
      <w:hyperlink r:id="rId27" w:history="1">
        <w:r w:rsidRPr="00062F72">
          <w:rPr>
            <w:rStyle w:val="Hyperlink"/>
            <w:rFonts w:ascii="Arabic Typesetting" w:hAnsi="Arabic Typesetting" w:cs="Arabic Typesetting"/>
            <w:i/>
            <w:iCs/>
            <w:sz w:val="28"/>
            <w:szCs w:val="28"/>
            <w:rtl/>
          </w:rPr>
          <w:t>الابتكار ونشر التكنولوجيات الخضراء: دور الملكية الفكرية وعوامل التمكين الأخرى</w:t>
        </w:r>
      </w:hyperlink>
      <w:r w:rsidRPr="00062F72">
        <w:rPr>
          <w:rFonts w:ascii="Arabic Typesetting" w:hAnsi="Arabic Typesetting" w:cs="Arabic Typesetting"/>
          <w:i/>
          <w:iCs/>
          <w:sz w:val="28"/>
          <w:szCs w:val="28"/>
          <w:rtl/>
        </w:rPr>
        <w:t xml:space="preserve"> (2015)؛ "3"</w:t>
      </w:r>
      <w:r w:rsidRPr="00062F72">
        <w:rPr>
          <w:rFonts w:ascii="Arabic Typesetting" w:hAnsi="Arabic Typesetting" w:cs="Arabic Typesetting"/>
          <w:i/>
          <w:iCs/>
          <w:color w:val="0000FF"/>
          <w:sz w:val="28"/>
          <w:szCs w:val="28"/>
          <w:rtl/>
        </w:rPr>
        <w:t xml:space="preserve"> </w:t>
      </w:r>
      <w:hyperlink r:id="rId28" w:history="1">
        <w:r w:rsidRPr="00062F72">
          <w:rPr>
            <w:rStyle w:val="Hyperlink"/>
            <w:rFonts w:ascii="Arabic Typesetting" w:hAnsi="Arabic Typesetting" w:cs="Arabic Typesetting"/>
            <w:i/>
            <w:iCs/>
            <w:sz w:val="28"/>
            <w:szCs w:val="28"/>
            <w:rtl/>
          </w:rPr>
          <w:t xml:space="preserve">الاستعراض الاستراتيجي لقاعدة البيانات </w:t>
        </w:r>
        <w:r w:rsidRPr="00062F72">
          <w:rPr>
            <w:rStyle w:val="Hyperlink"/>
            <w:rFonts w:ascii="Arabic Typesetting" w:hAnsi="Arabic Typesetting" w:cs="Arabic Typesetting"/>
            <w:i/>
            <w:iCs/>
            <w:sz w:val="28"/>
            <w:szCs w:val="28"/>
          </w:rPr>
          <w:t>WIPO </w:t>
        </w:r>
        <w:proofErr w:type="spellStart"/>
        <w:r w:rsidRPr="00062F72">
          <w:rPr>
            <w:rStyle w:val="Hyperlink"/>
            <w:rFonts w:ascii="Arabic Typesetting" w:hAnsi="Arabic Typesetting" w:cs="Arabic Typesetting"/>
            <w:i/>
            <w:iCs/>
            <w:sz w:val="28"/>
            <w:szCs w:val="28"/>
          </w:rPr>
          <w:t>Re:Search</w:t>
        </w:r>
        <w:proofErr w:type="spellEnd"/>
      </w:hyperlink>
      <w:r w:rsidRPr="00062F72">
        <w:rPr>
          <w:rFonts w:ascii="Arabic Typesetting" w:hAnsi="Arabic Typesetting" w:cs="Arabic Typesetting"/>
          <w:i/>
          <w:iCs/>
          <w:sz w:val="28"/>
          <w:szCs w:val="28"/>
          <w:rtl/>
        </w:rPr>
        <w:t xml:space="preserve"> (2015)</w:t>
      </w:r>
    </w:p>
  </w:footnote>
  <w:footnote w:id="103">
    <w:p w:rsidR="000B5473" w:rsidRPr="001B6640" w:rsidRDefault="000B5473" w:rsidP="004226D7">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30FDA">
        <w:rPr>
          <w:rFonts w:ascii="Arabic Typesetting" w:hAnsi="Arabic Typesetting" w:cs="Arabic Typesetting"/>
          <w:sz w:val="28"/>
          <w:szCs w:val="28"/>
          <w:rtl/>
        </w:rPr>
        <w:t xml:space="preserve"> تصويب: عدد الشركاء الفعلي في </w:t>
      </w:r>
      <w:r w:rsidRPr="001B6640">
        <w:rPr>
          <w:rFonts w:ascii="Arabic Typesetting" w:hAnsi="Arabic Typesetting" w:cs="Arabic Typesetting"/>
          <w:sz w:val="28"/>
          <w:szCs w:val="28"/>
          <w:rtl/>
        </w:rPr>
        <w:t>نهاية 2013 يبلغ 36 شريكا، وعدد عمليات التحميل الفعلية تبلغ 820 عملية مقارنة بالعددين الذين أبلغ عنهما في تقرير أداء البرنامج 2012/13 وهما 37 شريكا و800 عليمة تحميل.</w:t>
      </w:r>
    </w:p>
  </w:footnote>
  <w:footnote w:id="104">
    <w:p w:rsidR="000B5473" w:rsidRPr="001B6640" w:rsidRDefault="000B5473" w:rsidP="004226D7">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كان العدد الإجمالي لحالات التحميل، في نهاية 2014، 773 1 وليس 050 2 كما ورد في تقرير أداء البرنامج 2014.</w:t>
      </w:r>
    </w:p>
  </w:footnote>
  <w:footnote w:id="105">
    <w:p w:rsidR="000B5473" w:rsidRPr="001B6640" w:rsidRDefault="000B5473" w:rsidP="00FE7EA6">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نظراً </w:t>
      </w:r>
      <w:r w:rsidRPr="001B6640">
        <w:rPr>
          <w:rFonts w:ascii="Arabic Typesetting" w:hAnsi="Arabic Typesetting" w:cs="Arabic Typesetting" w:hint="cs"/>
          <w:sz w:val="28"/>
          <w:szCs w:val="28"/>
          <w:rtl/>
        </w:rPr>
        <w:t xml:space="preserve">إلى </w:t>
      </w:r>
      <w:r w:rsidRPr="001B6640">
        <w:rPr>
          <w:rFonts w:ascii="Arabic Typesetting" w:hAnsi="Arabic Typesetting" w:cs="Arabic Typesetting"/>
          <w:sz w:val="28"/>
          <w:szCs w:val="28"/>
          <w:rtl/>
        </w:rPr>
        <w:t xml:space="preserve">عدم إجراء استقصاء بشأن تصورات أصحاب المصالح في عام 2013، استُنبطت البيانات الواردة في تقرير أداء البرنامج في الثنائية </w:t>
      </w:r>
      <w:r w:rsidRPr="001B6640">
        <w:rPr>
          <w:rFonts w:ascii="Arabic Typesetting" w:hAnsi="Arabic Typesetting" w:cs="Arabic Typesetting" w:hint="cs"/>
          <w:sz w:val="28"/>
          <w:szCs w:val="28"/>
          <w:rtl/>
        </w:rPr>
        <w:t>2012/13</w:t>
      </w:r>
      <w:r w:rsidRPr="001B6640">
        <w:rPr>
          <w:rFonts w:ascii="Arabic Typesetting" w:hAnsi="Arabic Typesetting" w:cs="Arabic Typesetting"/>
          <w:sz w:val="28"/>
          <w:szCs w:val="28"/>
          <w:rtl/>
        </w:rPr>
        <w:t xml:space="preserve"> من استقصاء الويبو بشأن التوجه نحو تقديم الخدمات الذي يستخدم منهجيةً مختلفةً، ويُرسَل إلى مجموعة مختلفة من أصحاب المصالح. ولذلك فإن أساس المقارنة المُحدَّث لعام 2013 غير قابل للمقارنة ببيانات عام 2014</w:t>
      </w:r>
      <w:r w:rsidRPr="001B6640">
        <w:rPr>
          <w:rFonts w:ascii="Arabic Typesetting" w:hAnsi="Arabic Typesetting" w:cs="Arabic Typesetting"/>
          <w:sz w:val="28"/>
          <w:szCs w:val="28"/>
        </w:rPr>
        <w:t>.</w:t>
      </w:r>
    </w:p>
  </w:footnote>
  <w:footnote w:id="106">
    <w:p w:rsidR="000B5473" w:rsidRPr="001B6640" w:rsidRDefault="000B5473" w:rsidP="00FE7EA6">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بيانات الأداء الخاصة بعام 2014 يمكن مقارنتها بأساس المقارنة الأصلي الوارد في وثيقة البرنامج والميزانية </w:t>
      </w:r>
      <w:r w:rsidRPr="001B6640">
        <w:rPr>
          <w:rFonts w:ascii="Arabic Typesetting" w:hAnsi="Arabic Typesetting" w:cs="Arabic Typesetting" w:hint="cs"/>
          <w:sz w:val="28"/>
          <w:szCs w:val="28"/>
          <w:rtl/>
        </w:rPr>
        <w:t>2014/15</w:t>
      </w:r>
      <w:r w:rsidRPr="001B6640">
        <w:rPr>
          <w:rFonts w:ascii="Arabic Typesetting" w:hAnsi="Arabic Typesetting" w:cs="Arabic Typesetting"/>
          <w:sz w:val="28"/>
          <w:szCs w:val="28"/>
          <w:rtl/>
        </w:rPr>
        <w:t xml:space="preserve"> البالغ 65%، الذي استند إلى استقصاء الويبو بشأن تصورات أصحاب المصالح لعام 2012</w:t>
      </w:r>
      <w:r w:rsidRPr="001B6640">
        <w:rPr>
          <w:rFonts w:ascii="Arabic Typesetting" w:hAnsi="Arabic Typesetting" w:cs="Arabic Typesetting"/>
          <w:sz w:val="28"/>
          <w:szCs w:val="28"/>
        </w:rPr>
        <w:t>.</w:t>
      </w:r>
    </w:p>
  </w:footnote>
  <w:footnote w:id="107">
    <w:p w:rsidR="000B5473" w:rsidRPr="001B6640" w:rsidRDefault="000B5473" w:rsidP="006767AA">
      <w:pPr>
        <w:bidi/>
        <w:rPr>
          <w:rFonts w:ascii="Arabic Typesetting" w:hAnsi="Arabic Typesetting" w:cs="Arabic Typesetting"/>
          <w:sz w:val="28"/>
          <w:szCs w:val="28"/>
          <w:rtl/>
          <w:lang w:bidi="ar-EG"/>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ورد في تقرير أداء البرنامج في الثنائية </w:t>
      </w:r>
      <w:r w:rsidRPr="001B6640">
        <w:rPr>
          <w:rFonts w:ascii="Arabic Typesetting" w:hAnsi="Arabic Typesetting" w:cs="Arabic Typesetting" w:hint="cs"/>
          <w:sz w:val="28"/>
          <w:szCs w:val="28"/>
          <w:rtl/>
        </w:rPr>
        <w:t>2012/13</w:t>
      </w:r>
      <w:r w:rsidRPr="001B6640">
        <w:rPr>
          <w:rFonts w:ascii="Arabic Typesetting" w:hAnsi="Arabic Typesetting" w:cs="Arabic Typesetting"/>
          <w:sz w:val="28"/>
          <w:szCs w:val="28"/>
          <w:rtl/>
        </w:rPr>
        <w:t xml:space="preserve"> أن </w:t>
      </w:r>
      <w:r w:rsidRPr="001B6640">
        <w:rPr>
          <w:rFonts w:ascii="Arabic Typesetting" w:hAnsi="Arabic Typesetting" w:cs="Arabic Typesetting" w:hint="cs"/>
          <w:sz w:val="28"/>
          <w:szCs w:val="28"/>
          <w:rtl/>
        </w:rPr>
        <w:t>عدد مقاطع الفيديو</w:t>
      </w:r>
      <w:r w:rsidRPr="001B6640">
        <w:rPr>
          <w:rFonts w:ascii="Arabic Typesetting" w:hAnsi="Arabic Typesetting" w:cs="Arabic Typesetting"/>
          <w:sz w:val="28"/>
          <w:szCs w:val="28"/>
          <w:rtl/>
        </w:rPr>
        <w:t xml:space="preserve"> 226 مقطع فيديو. </w:t>
      </w:r>
      <w:r w:rsidRPr="001B6640">
        <w:rPr>
          <w:rFonts w:ascii="Arabic Typesetting" w:hAnsi="Arabic Typesetting" w:cs="Arabic Typesetting" w:hint="cs"/>
          <w:sz w:val="28"/>
          <w:szCs w:val="28"/>
          <w:rtl/>
        </w:rPr>
        <w:t>ولكن</w:t>
      </w:r>
      <w:r w:rsidRPr="001B6640">
        <w:rPr>
          <w:rFonts w:ascii="Arabic Typesetting" w:hAnsi="Arabic Typesetting" w:cs="Arabic Typesetting"/>
          <w:sz w:val="28"/>
          <w:szCs w:val="28"/>
          <w:rtl/>
        </w:rPr>
        <w:t xml:space="preserve"> العدد الفعلي لمقاطع الفيديو</w:t>
      </w:r>
      <w:r w:rsidRPr="001B6640">
        <w:rPr>
          <w:rFonts w:ascii="Arabic Typesetting" w:hAnsi="Arabic Typesetting" w:cs="Arabic Typesetting" w:hint="cs"/>
          <w:sz w:val="28"/>
          <w:szCs w:val="28"/>
          <w:rtl/>
        </w:rPr>
        <w:t xml:space="preserve"> هو</w:t>
      </w:r>
      <w:r w:rsidRPr="001B6640">
        <w:rPr>
          <w:rFonts w:ascii="Arabic Typesetting" w:hAnsi="Arabic Typesetting" w:cs="Arabic Typesetting"/>
          <w:sz w:val="28"/>
          <w:szCs w:val="28"/>
          <w:rtl/>
        </w:rPr>
        <w:t xml:space="preserve"> 228 مقطع فيديو في نهاية عام</w:t>
      </w:r>
      <w:r w:rsidRPr="001B6640">
        <w:rPr>
          <w:rFonts w:ascii="Arabic Typesetting" w:hAnsi="Arabic Typesetting" w:cs="Arabic Typesetting" w:hint="cs"/>
          <w:sz w:val="28"/>
          <w:szCs w:val="28"/>
          <w:rtl/>
        </w:rPr>
        <w:t> </w:t>
      </w:r>
      <w:r w:rsidRPr="001B6640">
        <w:rPr>
          <w:rFonts w:ascii="Arabic Typesetting" w:hAnsi="Arabic Typesetting" w:cs="Arabic Typesetting"/>
          <w:sz w:val="28"/>
          <w:szCs w:val="28"/>
          <w:rtl/>
        </w:rPr>
        <w:t xml:space="preserve">2013. </w:t>
      </w:r>
      <w:r w:rsidRPr="001B6640">
        <w:rPr>
          <w:rFonts w:ascii="Arabic Typesetting" w:hAnsi="Arabic Typesetting" w:cs="Arabic Typesetting" w:hint="cs"/>
          <w:sz w:val="28"/>
          <w:szCs w:val="28"/>
          <w:rtl/>
        </w:rPr>
        <w:t>فحدِّث</w:t>
      </w:r>
      <w:r w:rsidRPr="001B6640">
        <w:rPr>
          <w:rFonts w:ascii="Arabic Typesetting" w:hAnsi="Arabic Typesetting" w:cs="Arabic Typesetting"/>
          <w:sz w:val="28"/>
          <w:szCs w:val="28"/>
          <w:rtl/>
        </w:rPr>
        <w:t xml:space="preserve"> متوسط عدد المشاهدات </w:t>
      </w:r>
      <w:r w:rsidRPr="001B6640">
        <w:rPr>
          <w:rFonts w:ascii="Arabic Typesetting" w:hAnsi="Arabic Typesetting" w:cs="Arabic Typesetting" w:hint="cs"/>
          <w:sz w:val="28"/>
          <w:szCs w:val="28"/>
          <w:rtl/>
        </w:rPr>
        <w:t>على هذا الأساس</w:t>
      </w:r>
      <w:r w:rsidRPr="001B6640">
        <w:rPr>
          <w:rFonts w:ascii="Arabic Typesetting" w:hAnsi="Arabic Typesetting" w:cs="Arabic Typesetting"/>
          <w:sz w:val="28"/>
          <w:szCs w:val="28"/>
          <w:rtl/>
        </w:rPr>
        <w:t>.</w:t>
      </w:r>
    </w:p>
  </w:footnote>
  <w:footnote w:id="108">
    <w:p w:rsidR="000B5473" w:rsidRPr="00161D28" w:rsidRDefault="000B5473" w:rsidP="002502E6">
      <w:pPr>
        <w:pStyle w:val="FootnoteText"/>
        <w:bidi/>
        <w:rPr>
          <w:rFonts w:ascii="Arabic Typesetting" w:hAnsi="Arabic Typesetting" w:cs="Arabic Typesetting"/>
          <w:sz w:val="28"/>
          <w:szCs w:val="28"/>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تُحسب النسب المئوية للتغيرات مقارنةً بالعام السابق ما لم يُذكر خلاف ذلك، أيْ أن نسبة التغير في عام 2014 تُحسب مقارنةً بعام 2013، وتُحسب نسبة التغير في عام 2015 مقارنةً بعام 2014.</w:t>
      </w:r>
    </w:p>
  </w:footnote>
  <w:footnote w:id="109">
    <w:p w:rsidR="000B5473" w:rsidRPr="00161D28" w:rsidRDefault="000B5473" w:rsidP="002502E6">
      <w:pPr>
        <w:pStyle w:val="FootnoteText"/>
        <w:bidi/>
        <w:rPr>
          <w:rFonts w:ascii="Arabic Typesetting" w:hAnsi="Arabic Typesetting" w:cs="Arabic Typesetting"/>
          <w:sz w:val="28"/>
          <w:szCs w:val="28"/>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تُحسب نسبة التغير المئوية للثنائية 2014/15 مقارنةً بالثنائية 2012/13.</w:t>
      </w:r>
    </w:p>
  </w:footnote>
  <w:footnote w:id="110">
    <w:p w:rsidR="000B5473" w:rsidRDefault="000B5473" w:rsidP="002502E6">
      <w:pPr>
        <w:pStyle w:val="FootnoteText"/>
        <w:bidi/>
        <w:rPr>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لمّا كانت البيانات الخاصة بمؤشر الأداء هذا في تقرير أداء البرنامج 2014 تستند إلى أرقام مُقدَّرة في وقت النشر، فقد جرى تحديث الأرقام حيثما كان ذلك مناسباً لتعكس أدق بيانات.</w:t>
      </w:r>
    </w:p>
  </w:footnote>
  <w:footnote w:id="111">
    <w:p w:rsidR="000B5473" w:rsidRPr="00161D28" w:rsidRDefault="000B5473" w:rsidP="002502E6">
      <w:pPr>
        <w:pStyle w:val="FootnoteText"/>
        <w:bidi/>
        <w:rPr>
          <w:rFonts w:ascii="Arabic Typesetting" w:hAnsi="Arabic Typesetting" w:cs="Arabic Typesetting"/>
          <w:sz w:val="28"/>
          <w:szCs w:val="28"/>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كان الهدف لعام 2014 هو 354 تسجيلاً جديداً.</w:t>
      </w:r>
    </w:p>
  </w:footnote>
  <w:footnote w:id="112">
    <w:p w:rsidR="000B5473" w:rsidRPr="00161D28" w:rsidRDefault="000B5473" w:rsidP="002502E6">
      <w:pPr>
        <w:pStyle w:val="FootnoteText"/>
        <w:bidi/>
        <w:rPr>
          <w:rFonts w:ascii="Arabic Typesetting" w:hAnsi="Arabic Typesetting" w:cs="Arabic Typesetting"/>
          <w:sz w:val="28"/>
          <w:szCs w:val="28"/>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تُحسَب نسبة التغير المئوية لعام 2015 باستخدام هدف عام 2014، أيْ بافتراض أنه قد تم تحقيق هدف عام 2014.</w:t>
      </w:r>
    </w:p>
  </w:footnote>
  <w:footnote w:id="113">
    <w:p w:rsidR="000B5473" w:rsidRDefault="000B5473" w:rsidP="002502E6">
      <w:pPr>
        <w:pStyle w:val="FootnoteText"/>
        <w:bidi/>
        <w:rPr>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تصويب: في عام 2014، كان عدد تجديدات مدريد في مكتب الويبو في سنغافورة 54، وليس 56، كما ورد في تقرير أداء البرنامج 2014.</w:t>
      </w:r>
    </w:p>
  </w:footnote>
  <w:footnote w:id="114">
    <w:p w:rsidR="000B5473" w:rsidRPr="00161D28" w:rsidRDefault="000B5473" w:rsidP="002502E6">
      <w:pPr>
        <w:pStyle w:val="FootnoteText"/>
        <w:bidi/>
        <w:rPr>
          <w:rFonts w:ascii="Arabic Typesetting" w:hAnsi="Arabic Typesetting" w:cs="Arabic Typesetting"/>
          <w:sz w:val="28"/>
          <w:szCs w:val="28"/>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تُحسب نسبة التغير المئوية للثنائية 2014/15 مقارنةً بالثنائية 2012/13.</w:t>
      </w:r>
    </w:p>
  </w:footnote>
  <w:footnote w:id="115">
    <w:p w:rsidR="000B5473" w:rsidRPr="00161D28" w:rsidRDefault="000B5473" w:rsidP="002502E6">
      <w:pPr>
        <w:pStyle w:val="FootnoteText"/>
        <w:bidi/>
        <w:rPr>
          <w:rFonts w:ascii="Arabic Typesetting" w:hAnsi="Arabic Typesetting" w:cs="Arabic Typesetting"/>
          <w:sz w:val="28"/>
          <w:szCs w:val="28"/>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تم تحديث أساس المقارنة المُحدَّث في نهاية 2013 ليشمل بيانات 2012 بغرض مقارنة الثنائية.</w:t>
      </w:r>
    </w:p>
  </w:footnote>
  <w:footnote w:id="116">
    <w:p w:rsidR="000B5473" w:rsidRPr="00161D28" w:rsidRDefault="000B5473" w:rsidP="002502E6">
      <w:pPr>
        <w:pStyle w:val="FootnoteText"/>
        <w:bidi/>
        <w:rPr>
          <w:rFonts w:ascii="Arabic Typesetting" w:hAnsi="Arabic Typesetting" w:cs="Arabic Typesetting"/>
          <w:sz w:val="28"/>
          <w:szCs w:val="28"/>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هدف 2014 لمكتب الويبو في اليابان هو 651 15.</w:t>
      </w:r>
    </w:p>
  </w:footnote>
  <w:footnote w:id="117">
    <w:p w:rsidR="000B5473" w:rsidRPr="00161D28" w:rsidRDefault="000B5473" w:rsidP="002502E6">
      <w:pPr>
        <w:pStyle w:val="FootnoteText"/>
        <w:bidi/>
        <w:rPr>
          <w:rFonts w:ascii="Arabic Typesetting" w:hAnsi="Arabic Typesetting" w:cs="Arabic Typesetting"/>
          <w:sz w:val="28"/>
          <w:szCs w:val="28"/>
          <w:rtl/>
          <w:lang w:bidi="ar-EG"/>
        </w:rPr>
      </w:pPr>
      <w:r w:rsidRPr="00161D28">
        <w:rPr>
          <w:rStyle w:val="FootnoteReference"/>
          <w:rFonts w:ascii="Arabic Typesetting" w:hAnsi="Arabic Typesetting" w:cs="Arabic Typesetting"/>
          <w:sz w:val="28"/>
          <w:szCs w:val="28"/>
        </w:rPr>
        <w:footnoteRef/>
      </w:r>
      <w:r w:rsidRPr="00161D28">
        <w:rPr>
          <w:rFonts w:ascii="Arabic Typesetting" w:hAnsi="Arabic Typesetting" w:cs="Arabic Typesetting"/>
          <w:sz w:val="28"/>
          <w:szCs w:val="28"/>
          <w:rtl/>
        </w:rPr>
        <w:t xml:space="preserve"> </w:t>
      </w:r>
      <w:r w:rsidRPr="00161D28">
        <w:rPr>
          <w:rFonts w:ascii="Arabic Typesetting" w:hAnsi="Arabic Typesetting" w:cs="Arabic Typesetting"/>
          <w:sz w:val="28"/>
          <w:szCs w:val="28"/>
          <w:rtl/>
          <w:lang w:bidi="ar-EG"/>
        </w:rPr>
        <w:t>تُحسب نسبة التغير المئوية لعام 2015 باستخدام هدف 2014، أيْ بافتراض أنه قد تم تحقيق هدف 2014.</w:t>
      </w:r>
    </w:p>
  </w:footnote>
  <w:footnote w:id="118">
    <w:p w:rsidR="000B5473" w:rsidRPr="0099688F" w:rsidRDefault="000B5473" w:rsidP="002502E6">
      <w:pPr>
        <w:pStyle w:val="FootnoteText"/>
        <w:bidi/>
        <w:rPr>
          <w:rFonts w:ascii="Arabic Typesetting" w:hAnsi="Arabic Typesetting" w:cs="Arabic Typesetting"/>
          <w:sz w:val="28"/>
          <w:szCs w:val="28"/>
          <w:rtl/>
          <w:lang w:bidi="ar-EG"/>
        </w:rPr>
      </w:pPr>
      <w:r w:rsidRPr="0099688F">
        <w:rPr>
          <w:rStyle w:val="FootnoteReference"/>
          <w:rFonts w:ascii="Arabic Typesetting" w:hAnsi="Arabic Typesetting" w:cs="Arabic Typesetting"/>
          <w:sz w:val="28"/>
          <w:szCs w:val="28"/>
        </w:rPr>
        <w:footnoteRef/>
      </w:r>
      <w:r w:rsidRPr="0099688F">
        <w:rPr>
          <w:rFonts w:ascii="Arabic Typesetting" w:hAnsi="Arabic Typesetting" w:cs="Arabic Typesetting"/>
          <w:sz w:val="28"/>
          <w:szCs w:val="28"/>
          <w:rtl/>
        </w:rPr>
        <w:t xml:space="preserve"> </w:t>
      </w:r>
      <w:r w:rsidRPr="0099688F">
        <w:rPr>
          <w:rFonts w:ascii="Arabic Typesetting" w:hAnsi="Arabic Typesetting" w:cs="Arabic Typesetting"/>
          <w:sz w:val="28"/>
          <w:szCs w:val="28"/>
          <w:rtl/>
          <w:lang w:bidi="ar-EG"/>
        </w:rPr>
        <w:t>كان هدف 2014 لمكتب الويبو في اليابان هو 195 6 مشاهدة للصفحات.</w:t>
      </w:r>
    </w:p>
  </w:footnote>
  <w:footnote w:id="119">
    <w:p w:rsidR="000B5473" w:rsidRPr="0099688F" w:rsidRDefault="000B5473" w:rsidP="002502E6">
      <w:pPr>
        <w:pStyle w:val="FootnoteText"/>
        <w:bidi/>
        <w:rPr>
          <w:rFonts w:ascii="Arabic Typesetting" w:hAnsi="Arabic Typesetting" w:cs="Arabic Typesetting"/>
          <w:sz w:val="28"/>
          <w:szCs w:val="28"/>
          <w:rtl/>
          <w:lang w:bidi="ar-EG"/>
        </w:rPr>
      </w:pPr>
      <w:r w:rsidRPr="0099688F">
        <w:rPr>
          <w:rStyle w:val="FootnoteReference"/>
          <w:rFonts w:ascii="Arabic Typesetting" w:hAnsi="Arabic Typesetting" w:cs="Arabic Typesetting"/>
          <w:sz w:val="28"/>
          <w:szCs w:val="28"/>
        </w:rPr>
        <w:footnoteRef/>
      </w:r>
      <w:r w:rsidRPr="0099688F">
        <w:rPr>
          <w:rFonts w:ascii="Arabic Typesetting" w:hAnsi="Arabic Typesetting" w:cs="Arabic Typesetting"/>
          <w:sz w:val="28"/>
          <w:szCs w:val="28"/>
          <w:rtl/>
        </w:rPr>
        <w:t xml:space="preserve"> </w:t>
      </w:r>
      <w:r w:rsidRPr="0099688F">
        <w:rPr>
          <w:rFonts w:ascii="Arabic Typesetting" w:hAnsi="Arabic Typesetting" w:cs="Arabic Typesetting"/>
          <w:sz w:val="28"/>
          <w:szCs w:val="28"/>
          <w:rtl/>
          <w:lang w:bidi="ar-EG"/>
        </w:rPr>
        <w:t>لم تُنشأ صفحة الويب الخاصة بمكتب الويبو البرازيل حتى فبراير 2015.</w:t>
      </w:r>
    </w:p>
  </w:footnote>
  <w:footnote w:id="120">
    <w:p w:rsidR="000B5473" w:rsidRDefault="000B5473" w:rsidP="002502E6">
      <w:pPr>
        <w:pStyle w:val="FootnoteText"/>
        <w:bidi/>
        <w:rPr>
          <w:rtl/>
          <w:lang w:bidi="ar-EG"/>
        </w:rPr>
      </w:pPr>
      <w:r w:rsidRPr="0099688F">
        <w:rPr>
          <w:rStyle w:val="FootnoteReference"/>
          <w:rFonts w:ascii="Arabic Typesetting" w:hAnsi="Arabic Typesetting" w:cs="Arabic Typesetting"/>
          <w:sz w:val="28"/>
          <w:szCs w:val="28"/>
        </w:rPr>
        <w:footnoteRef/>
      </w:r>
      <w:r w:rsidRPr="0099688F">
        <w:rPr>
          <w:rFonts w:ascii="Arabic Typesetting" w:hAnsi="Arabic Typesetting" w:cs="Arabic Typesetting"/>
          <w:sz w:val="28"/>
          <w:szCs w:val="28"/>
          <w:rtl/>
          <w:lang w:bidi="ar-EG"/>
        </w:rPr>
        <w:t xml:space="preserve"> تُقاس نسبة التغير المئوية لعام 2015 مقارنةً بهدف 2014 (195 6 زيارة للصفحات). ونسبة التغير المئوية الفعلية المُقاسة مقارنةً بالعام السابق كانت أقل بمقدار ثمانية </w:t>
      </w:r>
      <w:r>
        <w:rPr>
          <w:rFonts w:ascii="Arabic Typesetting" w:hAnsi="Arabic Typesetting" w:cs="Arabic Typesetting"/>
          <w:sz w:val="28"/>
          <w:szCs w:val="28"/>
          <w:rtl/>
          <w:lang w:bidi="ar-EG"/>
        </w:rPr>
        <w:t>بالمئة</w:t>
      </w:r>
      <w:r w:rsidRPr="0099688F">
        <w:rPr>
          <w:rFonts w:ascii="Arabic Typesetting" w:hAnsi="Arabic Typesetting" w:cs="Arabic Typesetting"/>
          <w:sz w:val="28"/>
          <w:szCs w:val="28"/>
          <w:rtl/>
          <w:lang w:bidi="ar-EG"/>
        </w:rPr>
        <w:t>.</w:t>
      </w:r>
    </w:p>
  </w:footnote>
  <w:footnote w:id="121">
    <w:p w:rsidR="000B5473" w:rsidRPr="001B6640" w:rsidRDefault="000B5473" w:rsidP="00FB2BCA">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حُسب أساسُ المقارنة الأصلي في البرنامج والميزانية 2014/15 </w:t>
      </w:r>
      <w:r w:rsidRPr="001B6640">
        <w:rPr>
          <w:rFonts w:ascii="Arabic Typesetting" w:hAnsi="Arabic Typesetting" w:cs="Arabic Typesetting" w:hint="cs"/>
          <w:sz w:val="28"/>
          <w:szCs w:val="28"/>
          <w:rtl/>
        </w:rPr>
        <w:t>على أساس</w:t>
      </w:r>
      <w:r w:rsidRPr="001B6640">
        <w:rPr>
          <w:rFonts w:ascii="Arabic Typesetting" w:hAnsi="Arabic Typesetting" w:cs="Arabic Typesetting"/>
          <w:sz w:val="28"/>
          <w:szCs w:val="28"/>
          <w:rtl/>
        </w:rPr>
        <w:t xml:space="preserve"> الأرقام المقدّرة في منتصف 2013. وقد حدّثت الآن تلك الأرقام.</w:t>
      </w:r>
    </w:p>
  </w:footnote>
  <w:footnote w:id="122">
    <w:p w:rsidR="000B5473" w:rsidRPr="001B6640" w:rsidRDefault="000B5473" w:rsidP="00A30FDA">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رابط يُفضي إلى استقصاء جمعيات الويبو لعام 2014: </w:t>
      </w:r>
      <w:hyperlink r:id="rId29" w:history="1">
        <w:r w:rsidRPr="00D34F9C">
          <w:rPr>
            <w:rStyle w:val="Hyperlink"/>
            <w:rFonts w:ascii="Arabic Typesetting" w:hAnsi="Arabic Typesetting" w:cs="Arabic Typesetting"/>
            <w:spacing w:val="-14"/>
            <w:sz w:val="28"/>
            <w:szCs w:val="28"/>
          </w:rPr>
          <w:t>http://www.wipo.int/export/sites/www/about-wipo/en/assemblies/pdf/survey_2014.pdf</w:t>
        </w:r>
      </w:hyperlink>
    </w:p>
  </w:footnote>
  <w:footnote w:id="123">
    <w:p w:rsidR="000B5473" w:rsidRPr="001B6640" w:rsidRDefault="000B5473" w:rsidP="008518E8">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انظر أيضا الوثيقة </w:t>
      </w:r>
      <w:r w:rsidRPr="001B6640">
        <w:rPr>
          <w:rFonts w:ascii="Arabic Typesetting" w:hAnsi="Arabic Typesetting" w:cs="Arabic Typesetting"/>
          <w:sz w:val="28"/>
          <w:szCs w:val="28"/>
        </w:rPr>
        <w:t>WO/PBC/22/12</w:t>
      </w:r>
      <w:r w:rsidRPr="001B6640">
        <w:rPr>
          <w:rFonts w:ascii="Arabic Typesetting" w:hAnsi="Arabic Typesetting" w:cs="Arabic Typesetting"/>
          <w:sz w:val="28"/>
          <w:szCs w:val="28"/>
          <w:rtl/>
        </w:rPr>
        <w:t xml:space="preserve"> بشأن إطار المساءلة في الويبو.</w:t>
      </w:r>
    </w:p>
  </w:footnote>
  <w:footnote w:id="124">
    <w:p w:rsidR="000B5473" w:rsidRPr="00802E50" w:rsidRDefault="000B5473" w:rsidP="00802E50">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Pr>
          <w:rFonts w:ascii="Arabic Typesetting" w:hAnsi="Arabic Typesetting" w:cs="Arabic Typesetting" w:hint="cs"/>
          <w:sz w:val="28"/>
          <w:szCs w:val="28"/>
          <w:rtl/>
        </w:rPr>
        <w:t xml:space="preserve"> أجاب 21 برنامج من أصل 31 (67 بالمئة) على استبيان شعبة الرقابة الداخلية لتثبيت تقرير أداء البرنامج 2014/15.</w:t>
      </w:r>
    </w:p>
  </w:footnote>
  <w:footnote w:id="125">
    <w:p w:rsidR="000B5473" w:rsidRPr="001B6640" w:rsidRDefault="000B5473" w:rsidP="00925848">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Pr>
          <w:rFonts w:ascii="Arabic Typesetting" w:hAnsi="Arabic Typesetting" w:cs="Arabic Typesetting" w:hint="cs"/>
          <w:sz w:val="28"/>
          <w:szCs w:val="28"/>
          <w:rtl/>
        </w:rPr>
        <w:t xml:space="preserve"> ت</w:t>
      </w:r>
      <w:r w:rsidRPr="001B6640">
        <w:rPr>
          <w:rFonts w:ascii="Arabic Typesetting" w:hAnsi="Arabic Typesetting" w:cs="Arabic Typesetting"/>
          <w:sz w:val="28"/>
          <w:szCs w:val="28"/>
          <w:rtl/>
        </w:rPr>
        <w:t>صويب: ورد في تقرير أداء البرنامج 2012/13 أن 53% من البرامج تستخدم بيانات الأداء لإدارة أداء البرامج.</w:t>
      </w:r>
    </w:p>
  </w:footnote>
  <w:footnote w:id="126">
    <w:p w:rsidR="000B5473" w:rsidRPr="00925848" w:rsidRDefault="000B5473" w:rsidP="00925848">
      <w:pPr>
        <w:pStyle w:val="FootnoteText"/>
        <w:bidi/>
        <w:rPr>
          <w:rFonts w:ascii="Arabic Typesetting" w:hAnsi="Arabic Typesetting" w:cs="Arabic Typesetting"/>
          <w:sz w:val="28"/>
          <w:szCs w:val="28"/>
          <w:rtl/>
        </w:rPr>
      </w:pPr>
      <w:r w:rsidRPr="00F96634">
        <w:rPr>
          <w:rStyle w:val="FootnoteReference"/>
          <w:rFonts w:ascii="Arabic Typesetting" w:hAnsi="Arabic Typesetting" w:cs="Arabic Typesetting"/>
          <w:sz w:val="28"/>
          <w:szCs w:val="28"/>
        </w:rPr>
        <w:footnoteRef/>
      </w:r>
      <w:r w:rsidRPr="00925848">
        <w:rPr>
          <w:rFonts w:ascii="Arabic Typesetting" w:hAnsi="Arabic Typesetting" w:cs="Arabic Typesetting"/>
          <w:sz w:val="28"/>
          <w:szCs w:val="28"/>
          <w:rtl/>
        </w:rPr>
        <w:t xml:space="preserve"> </w:t>
      </w:r>
      <w:r>
        <w:rPr>
          <w:rFonts w:ascii="Arabic Typesetting" w:hAnsi="Arabic Typesetting" w:cs="Arabic Typesetting" w:hint="cs"/>
          <w:sz w:val="28"/>
          <w:szCs w:val="28"/>
          <w:rtl/>
        </w:rPr>
        <w:t>أجاب 21 برنامج من أصل 31 (67 بالمئة) على استبيان شعبة الرقابة الداخلية لتثبيت تقرير أداء البرنامج 2014/15.</w:t>
      </w:r>
    </w:p>
  </w:footnote>
  <w:footnote w:id="127">
    <w:p w:rsidR="000B5473" w:rsidRPr="00925848" w:rsidRDefault="000B5473" w:rsidP="00925848">
      <w:pPr>
        <w:pStyle w:val="FootnoteText"/>
        <w:bidi/>
        <w:rPr>
          <w:rFonts w:ascii="Arabic Typesetting" w:hAnsi="Arabic Typesetting" w:cs="Arabic Typesetting"/>
          <w:sz w:val="28"/>
          <w:szCs w:val="28"/>
          <w:rtl/>
        </w:rPr>
      </w:pPr>
      <w:r w:rsidRPr="00F96634">
        <w:rPr>
          <w:rStyle w:val="FootnoteReference"/>
          <w:rFonts w:ascii="Arabic Typesetting" w:hAnsi="Arabic Typesetting" w:cs="Arabic Typesetting"/>
          <w:sz w:val="28"/>
          <w:szCs w:val="28"/>
        </w:rPr>
        <w:footnoteRef/>
      </w:r>
      <w:r w:rsidRPr="00925848">
        <w:rPr>
          <w:rFonts w:ascii="Arabic Typesetting" w:hAnsi="Arabic Typesetting" w:cs="Arabic Typesetting"/>
          <w:sz w:val="28"/>
          <w:szCs w:val="28"/>
          <w:rtl/>
        </w:rPr>
        <w:t xml:space="preserve"> </w:t>
      </w:r>
      <w:r>
        <w:rPr>
          <w:rFonts w:ascii="Arabic Typesetting" w:hAnsi="Arabic Typesetting" w:cs="Arabic Typesetting" w:hint="cs"/>
          <w:sz w:val="28"/>
          <w:szCs w:val="28"/>
          <w:rtl/>
        </w:rPr>
        <w:t>انظر الحاشية السابقة.</w:t>
      </w:r>
    </w:p>
  </w:footnote>
  <w:footnote w:id="128">
    <w:p w:rsidR="000B5473" w:rsidRPr="001B6640" w:rsidRDefault="000B5473" w:rsidP="00A30FDA">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hint="cs"/>
          <w:sz w:val="28"/>
          <w:szCs w:val="28"/>
          <w:rtl/>
        </w:rPr>
        <w:t xml:space="preserve"> </w:t>
      </w:r>
      <w:hyperlink r:id="rId30" w:history="1">
        <w:r w:rsidRPr="00D34F9C">
          <w:rPr>
            <w:rStyle w:val="Hyperlink"/>
            <w:rFonts w:ascii="Arabic Typesetting" w:hAnsi="Arabic Typesetting" w:cs="Arabic Typesetting"/>
            <w:sz w:val="28"/>
            <w:szCs w:val="28"/>
          </w:rPr>
          <w:t>http://www.wipo.int/erecruitment/ar/</w:t>
        </w:r>
      </w:hyperlink>
    </w:p>
  </w:footnote>
  <w:footnote w:id="129">
    <w:p w:rsidR="000B5473" w:rsidRPr="001B6640" w:rsidRDefault="000B5473" w:rsidP="001B6640">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tl/>
        </w:rPr>
        <w:t xml:space="preserve"> </w:t>
      </w:r>
      <w:r w:rsidRPr="001B6640">
        <w:rPr>
          <w:rFonts w:ascii="Arabic Typesetting" w:hAnsi="Arabic Typesetting" w:cs="Arabic Typesetting"/>
          <w:sz w:val="28"/>
          <w:szCs w:val="28"/>
          <w:rtl/>
        </w:rPr>
        <w:t>يُحسب بالطريقة التالية: العدد الإجمالي لأيام التدريب (عدد المشاركين * أيام التدريب) مقسوم على العدد الإجمالي للموظفين (في 31 ديسمبر من سنة</w:t>
      </w:r>
      <w:r w:rsidRPr="001B6640">
        <w:rPr>
          <w:rFonts w:ascii="Arabic Typesetting" w:hAnsi="Arabic Typesetting" w:cs="Arabic Typesetting" w:hint="cs"/>
          <w:sz w:val="28"/>
          <w:szCs w:val="28"/>
          <w:rtl/>
        </w:rPr>
        <w:t> </w:t>
      </w:r>
      <w:r w:rsidRPr="001B6640">
        <w:rPr>
          <w:rFonts w:ascii="Arabic Typesetting" w:hAnsi="Arabic Typesetting" w:cs="Arabic Typesetting"/>
          <w:sz w:val="28"/>
          <w:szCs w:val="28"/>
          <w:rtl/>
        </w:rPr>
        <w:t>معيّنة).</w:t>
      </w:r>
    </w:p>
  </w:footnote>
  <w:footnote w:id="130">
    <w:p w:rsidR="000B5473" w:rsidRPr="001B6640" w:rsidRDefault="000B5473" w:rsidP="004226D7">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tl/>
        </w:rPr>
        <w:t xml:space="preserve"> </w:t>
      </w:r>
      <w:r w:rsidRPr="001B6640">
        <w:rPr>
          <w:rFonts w:ascii="Arabic Typesetting" w:hAnsi="Arabic Typesetting" w:cs="Arabic Typesetting"/>
          <w:sz w:val="28"/>
          <w:szCs w:val="28"/>
          <w:rtl/>
        </w:rPr>
        <w:t>تصويب: الرقم الوارد في تقرير أداء البرنامج 2014 والخاص بالوقت المستغرق في التعيين (14.7 أسبوع) حُسب استنادا إلى مسابقات عام 2014 التي كانت قد استُكملت في ذلك التاريخ. ويبيّن الرقم المحدّث الحساب النهائي بعد أن استُكملت الآن جميع مسابقات عام 2014.</w:t>
      </w:r>
    </w:p>
  </w:footnote>
  <w:footnote w:id="131">
    <w:p w:rsidR="000B5473" w:rsidRPr="001B6640" w:rsidRDefault="000B5473" w:rsidP="004226D7">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tl/>
        </w:rPr>
        <w:t xml:space="preserve"> </w:t>
      </w:r>
      <w:r w:rsidRPr="001B6640">
        <w:rPr>
          <w:rFonts w:ascii="Arabic Typesetting" w:hAnsi="Arabic Typesetting" w:cs="Arabic Typesetting"/>
          <w:sz w:val="28"/>
          <w:szCs w:val="28"/>
          <w:rtl/>
        </w:rPr>
        <w:t>يبيّن الرقم الخاص بعام 2015 فيما يتعلق بالوقت المستغرق في التعيين مسابقات عام 2015 التي استُكملت في 19 أبريل 2015.</w:t>
      </w:r>
    </w:p>
  </w:footnote>
  <w:footnote w:id="132">
    <w:p w:rsidR="000B5473" w:rsidRPr="001B6640" w:rsidRDefault="000B5473" w:rsidP="004226D7">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tl/>
        </w:rPr>
        <w:t xml:space="preserve"> </w:t>
      </w:r>
      <w:r w:rsidRPr="001B6640">
        <w:rPr>
          <w:rFonts w:ascii="Arabic Typesetting" w:hAnsi="Arabic Typesetting" w:cs="Arabic Typesetting"/>
          <w:sz w:val="28"/>
          <w:szCs w:val="28"/>
          <w:rtl/>
        </w:rPr>
        <w:t>تصويب: متوسط عدد أيام الإجازات المرضية لكل موظف في عام 2014 هو في الواقع 11.2، استنادا إلى أحدث الإحصاءات، وليس 9 كما ورد في تقرير أداء البرنامج 2014.</w:t>
      </w:r>
    </w:p>
  </w:footnote>
  <w:footnote w:id="133">
    <w:p w:rsidR="000B5473" w:rsidRPr="001B6640" w:rsidRDefault="000B5473" w:rsidP="004226D7">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tl/>
        </w:rPr>
        <w:t xml:space="preserve"> </w:t>
      </w:r>
      <w:r w:rsidRPr="001B6640">
        <w:rPr>
          <w:rFonts w:ascii="Arabic Typesetting" w:hAnsi="Arabic Typesetting" w:cs="Arabic Typesetting"/>
          <w:sz w:val="28"/>
          <w:szCs w:val="28"/>
          <w:rtl/>
        </w:rPr>
        <w:t>فقط الموظفين في الفئة الفنية والفئات العليا.</w:t>
      </w:r>
    </w:p>
  </w:footnote>
  <w:footnote w:id="134">
    <w:p w:rsidR="000B5473" w:rsidRPr="001B6640" w:rsidRDefault="000B5473" w:rsidP="004226D7">
      <w:pPr>
        <w:bidi/>
        <w:rPr>
          <w:rtl/>
          <w:lang w:bidi="ar-EG"/>
        </w:rPr>
      </w:pPr>
      <w:r w:rsidRPr="00F96634">
        <w:rPr>
          <w:rFonts w:ascii="Arabic Typesetting" w:hAnsi="Arabic Typesetting" w:cs="Arabic Typesetting"/>
          <w:sz w:val="28"/>
          <w:szCs w:val="28"/>
          <w:vertAlign w:val="superscript"/>
        </w:rPr>
        <w:footnoteRef/>
      </w:r>
      <w:r w:rsidRPr="001B6640">
        <w:rPr>
          <w:rFonts w:hint="cs"/>
          <w:rtl/>
        </w:rPr>
        <w:t xml:space="preserve"> </w:t>
      </w:r>
      <w:r w:rsidRPr="001B6640">
        <w:rPr>
          <w:rFonts w:ascii="Arabic Typesetting" w:hAnsi="Arabic Typesetting" w:cs="Arabic Typesetting"/>
          <w:sz w:val="28"/>
          <w:szCs w:val="28"/>
          <w:rtl/>
        </w:rPr>
        <w:t>ينتظر أن تصل لجنة التنسيق إلى نتيجة حول مدى الاستعاضة بنظام رسمي عن اتفاق 1975 بشأن التوزيع الجغرافي.</w:t>
      </w:r>
    </w:p>
  </w:footnote>
  <w:footnote w:id="135">
    <w:p w:rsidR="000B5473" w:rsidRPr="001B6640" w:rsidRDefault="000B5473" w:rsidP="005C60D6">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لمزيد من التفاصيل، يرجى الاطلاع على البرنامج 29.</w:t>
      </w:r>
    </w:p>
  </w:footnote>
  <w:footnote w:id="136">
    <w:p w:rsidR="000B5473" w:rsidRPr="001B6640" w:rsidRDefault="000B5473" w:rsidP="00004A86">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نظرا لخطأ مطبعي، ورد في البرنامج والميزانية 2014/15 بأن التاريخ المستهدف هو 31 ديسمبر 2013، بدلا من 31 ديسمبر 2015.</w:t>
      </w:r>
    </w:p>
  </w:footnote>
  <w:footnote w:id="137">
    <w:p w:rsidR="000B5473" w:rsidRPr="001B6640"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في تقرير أداء البرنامج 2014: </w:t>
      </w:r>
      <w:hyperlink r:id="rId31" w:history="1">
        <w:r w:rsidRPr="00D34F9C">
          <w:rPr>
            <w:rStyle w:val="Hyperlink"/>
            <w:rFonts w:ascii="Arabic Typesetting" w:hAnsi="Arabic Typesetting" w:cs="Arabic Typesetting"/>
            <w:sz w:val="28"/>
            <w:szCs w:val="28"/>
          </w:rPr>
          <w:t>http://www.wipo.int/edocs/mdocs/govbody/ar/a_55/a_55_6.pdf</w:t>
        </w:r>
      </w:hyperlink>
    </w:p>
  </w:footnote>
  <w:footnote w:id="138">
    <w:p w:rsidR="000B5473" w:rsidRPr="001B6640" w:rsidRDefault="000B5473" w:rsidP="00A30FDA">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32" w:history="1">
        <w:r w:rsidRPr="00D34F9C">
          <w:rPr>
            <w:rStyle w:val="Hyperlink"/>
            <w:rFonts w:ascii="Arabic Typesetting" w:hAnsi="Arabic Typesetting" w:cs="Arabic Typesetting"/>
            <w:sz w:val="28"/>
            <w:szCs w:val="28"/>
          </w:rPr>
          <w:t>http://www.wipo.int/edocs/mdocs/govbody/ar/a_55/a_55_inf_5.pdf</w:t>
        </w:r>
      </w:hyperlink>
    </w:p>
  </w:footnote>
  <w:footnote w:id="139">
    <w:p w:rsidR="000B5473" w:rsidRPr="001B6640" w:rsidRDefault="000B5473" w:rsidP="00302EEE">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غيرت اصطلاح المقاييس المستخدمة في استقصاء مكتب المساعدة المتعلق بمؤشر الأداء هذا في عام 2015. ويطابق مصطلح "الرضا الكامل" مصطلح "الرضا الكبير" في أساس المقارنة المحدث لنهاية 2013.</w:t>
      </w:r>
    </w:p>
  </w:footnote>
  <w:footnote w:id="140">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vertAlign w:val="superscript"/>
          <w:rtl/>
        </w:rPr>
        <w:t xml:space="preserve"> </w:t>
      </w:r>
      <w:hyperlink r:id="rId33" w:history="1">
        <w:r w:rsidRPr="00950478">
          <w:rPr>
            <w:rStyle w:val="Hyperlink"/>
            <w:rFonts w:ascii="Arabic Typesetting" w:hAnsi="Arabic Typesetting" w:cs="Arabic Typesetting"/>
            <w:sz w:val="28"/>
            <w:szCs w:val="28"/>
            <w:rtl/>
          </w:rPr>
          <w:t>تقرير تقييم الجودة الخارجي لوظيفة التدقيق</w:t>
        </w:r>
      </w:hyperlink>
    </w:p>
  </w:footnote>
  <w:footnote w:id="141">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34" w:history="1">
        <w:r w:rsidRPr="00950478">
          <w:rPr>
            <w:rStyle w:val="Hyperlink"/>
            <w:rFonts w:ascii="Arabic Typesetting" w:hAnsi="Arabic Typesetting" w:cs="Arabic Typesetting"/>
            <w:sz w:val="28"/>
            <w:szCs w:val="28"/>
            <w:rtl/>
          </w:rPr>
          <w:t>تقرير تقييم الجودة الخارجي لوظيفة التقييم</w:t>
        </w:r>
      </w:hyperlink>
    </w:p>
  </w:footnote>
  <w:footnote w:id="142">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w:t>
      </w:r>
      <w:hyperlink r:id="rId35" w:history="1">
        <w:r w:rsidRPr="00950478">
          <w:rPr>
            <w:rStyle w:val="Hyperlink"/>
            <w:rFonts w:ascii="Arabic Typesetting" w:hAnsi="Arabic Typesetting" w:cs="Arabic Typesetting"/>
            <w:sz w:val="28"/>
            <w:szCs w:val="28"/>
            <w:rtl/>
          </w:rPr>
          <w:t>تقرير تقييم الجودة الخارجي لوظيفة التحقيق</w:t>
        </w:r>
      </w:hyperlink>
    </w:p>
  </w:footnote>
  <w:footnote w:id="143">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التدقيق: معهد مراجعي الحسابات الداخليين؛ التقييم: قواعد ومعايير فريق الأمم المتحدة المعني بالتقييم؛ التحقيق: المبادئ التوجيهية الموحدة للتحقيق التي اعتمدها مؤتمر المحققين الدوليين.</w:t>
      </w:r>
    </w:p>
  </w:footnote>
  <w:footnote w:id="144">
    <w:p w:rsidR="000B5473" w:rsidRPr="001B6640" w:rsidRDefault="000B5473" w:rsidP="008518E8">
      <w:pPr>
        <w:bidi/>
        <w:rPr>
          <w:rFonts w:ascii="Arabic Typesetting" w:hAnsi="Arabic Typesetting" w:cs="Arabic Typesetting"/>
          <w:sz w:val="28"/>
          <w:szCs w:val="28"/>
          <w:rtl/>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انبثقت 30 توصية من أصل 186 عن تقريري تقييم الجودة الخارجي لوظيفتي التدقيق والتقييم في شعبة الرقابة الداخلية.</w:t>
      </w:r>
    </w:p>
  </w:footnote>
  <w:footnote w:id="145">
    <w:p w:rsidR="000B5473" w:rsidRPr="001B6640" w:rsidRDefault="000B5473" w:rsidP="00E43EC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"1" المنتدى العالمي للاتحاد الدولي للاتصالات في مايو 2015، "2" والمركز الدولي للأمن الرياضي في سبتمبر 2015، "3" وإطلاق سويسرا لمركز جنيف المعني بالمياه في نوفمبر 2015، "4" وحفل تسليم الشهادات الاتحادية لعناصر الإطفاء (المدرسة اللاتينية) في نوفمبر 2015، "5" والاجتماع السنوي للمنظمة الدولية للهجرة في نوفمبر 2015. انظر البرنامج 19 لمزيد من التفاصيل.</w:t>
      </w:r>
    </w:p>
  </w:footnote>
  <w:footnote w:id="146">
    <w:p w:rsidR="000B5473" w:rsidRPr="001B6640" w:rsidRDefault="000B5473" w:rsidP="00952267">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w:t>
      </w:r>
      <w:r w:rsidRPr="001B6640">
        <w:rPr>
          <w:rFonts w:ascii="Arabic Typesetting" w:hAnsi="Arabic Typesetting" w:cs="Arabic Typesetting" w:hint="cs"/>
          <w:sz w:val="28"/>
          <w:szCs w:val="28"/>
          <w:rtl/>
        </w:rPr>
        <w:t>حدِّث</w:t>
      </w:r>
      <w:r w:rsidRPr="001B6640">
        <w:rPr>
          <w:rFonts w:ascii="Arabic Typesetting" w:hAnsi="Arabic Typesetting" w:cs="Arabic Typesetting"/>
          <w:sz w:val="28"/>
          <w:szCs w:val="28"/>
          <w:rtl/>
        </w:rPr>
        <w:t xml:space="preserve"> أساس المقارنة </w:t>
      </w:r>
      <w:r w:rsidRPr="001B6640">
        <w:rPr>
          <w:rFonts w:ascii="Arabic Typesetting" w:hAnsi="Arabic Typesetting" w:cs="Arabic Typesetting" w:hint="cs"/>
          <w:sz w:val="28"/>
          <w:szCs w:val="28"/>
          <w:rtl/>
        </w:rPr>
        <w:t>استناداً إلى</w:t>
      </w:r>
      <w:r w:rsidRPr="001B6640">
        <w:rPr>
          <w:rFonts w:ascii="Arabic Typesetting" w:hAnsi="Arabic Typesetting" w:cs="Arabic Typesetting"/>
          <w:sz w:val="28"/>
          <w:szCs w:val="28"/>
          <w:rtl/>
        </w:rPr>
        <w:t xml:space="preserve"> أحدث </w:t>
      </w:r>
      <w:r w:rsidRPr="001B6640">
        <w:rPr>
          <w:rFonts w:ascii="Arabic Typesetting" w:hAnsi="Arabic Typesetting" w:cs="Arabic Typesetting" w:hint="cs"/>
          <w:sz w:val="28"/>
          <w:szCs w:val="28"/>
          <w:rtl/>
        </w:rPr>
        <w:t>البيانات</w:t>
      </w:r>
      <w:r w:rsidRPr="001B6640">
        <w:rPr>
          <w:rFonts w:ascii="Arabic Typesetting" w:hAnsi="Arabic Typesetting" w:cs="Arabic Typesetting"/>
          <w:sz w:val="28"/>
          <w:szCs w:val="28"/>
          <w:rtl/>
        </w:rPr>
        <w:t xml:space="preserve">. فقد بلغت تكلفة الطباعة للصفحة الواحدة 0.20 فرنك سويسري في نهاية عام 2013 وليس 0.19 فرنك سويسري كما </w:t>
      </w:r>
      <w:r w:rsidRPr="001B6640">
        <w:rPr>
          <w:rFonts w:ascii="Arabic Typesetting" w:hAnsi="Arabic Typesetting" w:cs="Arabic Typesetting" w:hint="cs"/>
          <w:sz w:val="28"/>
          <w:szCs w:val="28"/>
          <w:rtl/>
        </w:rPr>
        <w:t>ورد</w:t>
      </w:r>
      <w:r w:rsidRPr="001B6640">
        <w:rPr>
          <w:rFonts w:ascii="Arabic Typesetting" w:hAnsi="Arabic Typesetting" w:cs="Arabic Typesetting"/>
          <w:sz w:val="28"/>
          <w:szCs w:val="28"/>
          <w:rtl/>
        </w:rPr>
        <w:t xml:space="preserve"> في تقرير أداء البرنامج 2014.</w:t>
      </w:r>
    </w:p>
  </w:footnote>
  <w:footnote w:id="147">
    <w:p w:rsidR="000B5473" w:rsidRPr="001B6640" w:rsidRDefault="000B5473" w:rsidP="00E43EC5">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الحاشية ذاتها</w:t>
      </w:r>
    </w:p>
  </w:footnote>
  <w:footnote w:id="148">
    <w:p w:rsidR="000B5473" w:rsidRPr="001B6640" w:rsidRDefault="000B5473" w:rsidP="003D0697">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1B6640">
        <w:rPr>
          <w:rFonts w:ascii="Arabic Typesetting" w:hAnsi="Arabic Typesetting" w:cs="Arabic Typesetting"/>
          <w:sz w:val="28"/>
          <w:szCs w:val="28"/>
          <w:rtl/>
        </w:rPr>
        <w:t xml:space="preserve"> تصويب: </w:t>
      </w:r>
      <w:r w:rsidRPr="001B6640">
        <w:rPr>
          <w:rFonts w:ascii="Arabic Typesetting" w:hAnsi="Arabic Typesetting" w:cs="Arabic Typesetting" w:hint="cs"/>
          <w:sz w:val="28"/>
          <w:szCs w:val="28"/>
          <w:rtl/>
        </w:rPr>
        <w:t>حدِّث</w:t>
      </w:r>
      <w:r w:rsidRPr="001B6640">
        <w:rPr>
          <w:rFonts w:ascii="Arabic Typesetting" w:hAnsi="Arabic Typesetting" w:cs="Arabic Typesetting"/>
          <w:sz w:val="28"/>
          <w:szCs w:val="28"/>
          <w:rtl/>
        </w:rPr>
        <w:t xml:space="preserve"> أساس المقارنة </w:t>
      </w:r>
      <w:r w:rsidRPr="001B6640">
        <w:rPr>
          <w:rFonts w:ascii="Arabic Typesetting" w:hAnsi="Arabic Typesetting" w:cs="Arabic Typesetting" w:hint="cs"/>
          <w:sz w:val="28"/>
          <w:szCs w:val="28"/>
          <w:rtl/>
        </w:rPr>
        <w:t>استناداً إلى</w:t>
      </w:r>
      <w:r w:rsidRPr="001B6640">
        <w:rPr>
          <w:rFonts w:ascii="Arabic Typesetting" w:hAnsi="Arabic Typesetting" w:cs="Arabic Typesetting"/>
          <w:sz w:val="28"/>
          <w:szCs w:val="28"/>
          <w:rtl/>
        </w:rPr>
        <w:t xml:space="preserve"> أحدث </w:t>
      </w:r>
      <w:r w:rsidRPr="001B6640">
        <w:rPr>
          <w:rFonts w:ascii="Arabic Typesetting" w:hAnsi="Arabic Typesetting" w:cs="Arabic Typesetting" w:hint="cs"/>
          <w:sz w:val="28"/>
          <w:szCs w:val="28"/>
          <w:rtl/>
        </w:rPr>
        <w:t>البيانات</w:t>
      </w:r>
      <w:r w:rsidRPr="001B6640">
        <w:rPr>
          <w:rFonts w:ascii="Arabic Typesetting" w:hAnsi="Arabic Typesetting" w:cs="Arabic Typesetting"/>
          <w:sz w:val="28"/>
          <w:szCs w:val="28"/>
          <w:rtl/>
        </w:rPr>
        <w:t>. فقد بلغت تكلفة الطباعة للصفحة الواحدة 0.15 فرنك سويسري في عام 2014 وليس 0.14 فرنك سويسري كما ورد في تقرير أداء البرنامج 2014.</w:t>
      </w:r>
    </w:p>
  </w:footnote>
  <w:footnote w:id="149">
    <w:p w:rsidR="000B5473" w:rsidRPr="00A30FDA" w:rsidRDefault="000B5473" w:rsidP="00DC3C7B">
      <w:pPr>
        <w:pStyle w:val="FootnoteText"/>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A30FDA">
        <w:rPr>
          <w:rFonts w:ascii="Arabic Typesetting" w:hAnsi="Arabic Typesetting" w:cs="Arabic Typesetting"/>
          <w:sz w:val="28"/>
          <w:szCs w:val="28"/>
          <w:rtl/>
        </w:rPr>
        <w:t xml:space="preserve"> استعراض عملية </w:t>
      </w:r>
      <w:r>
        <w:rPr>
          <w:rFonts w:ascii="Arabic Typesetting" w:hAnsi="Arabic Typesetting" w:cs="Arabic Typesetting" w:hint="cs"/>
          <w:sz w:val="28"/>
          <w:szCs w:val="28"/>
          <w:rtl/>
        </w:rPr>
        <w:t>إعداد</w:t>
      </w:r>
      <w:r w:rsidRPr="00A30FDA">
        <w:rPr>
          <w:rFonts w:ascii="Arabic Typesetting" w:hAnsi="Arabic Typesetting" w:cs="Arabic Typesetting"/>
          <w:sz w:val="28"/>
          <w:szCs w:val="28"/>
          <w:rtl/>
        </w:rPr>
        <w:t xml:space="preserve"> ميزانية المشروعات </w:t>
      </w:r>
      <w:r>
        <w:rPr>
          <w:rFonts w:ascii="Arabic Typesetting" w:hAnsi="Arabic Typesetting" w:cs="Arabic Typesetting" w:hint="cs"/>
          <w:sz w:val="28"/>
          <w:szCs w:val="28"/>
          <w:rtl/>
        </w:rPr>
        <w:t>التي اقترحتها</w:t>
      </w:r>
      <w:r w:rsidRPr="00A30FDA">
        <w:rPr>
          <w:rFonts w:ascii="Arabic Typesetting" w:hAnsi="Arabic Typesetting" w:cs="Arabic Typesetting"/>
          <w:sz w:val="28"/>
          <w:szCs w:val="28"/>
          <w:rtl/>
        </w:rPr>
        <w:t xml:space="preserve"> اللجنة المعنية بالتنمية والملكية الفكرية لأغراض تنفيذ توصيات جدول أعمال التنمية (الوثيقة </w:t>
      </w:r>
      <w:r w:rsidRPr="00A30FDA">
        <w:rPr>
          <w:rFonts w:ascii="Arabic Typesetting" w:hAnsi="Arabic Typesetting" w:cs="Arabic Typesetting"/>
          <w:sz w:val="28"/>
          <w:szCs w:val="28"/>
        </w:rPr>
        <w:t>A/48/5</w:t>
      </w:r>
      <w:r>
        <w:rPr>
          <w:rFonts w:ascii="Arabic Typesetting" w:hAnsi="Arabic Typesetting" w:cs="Arabic Typesetting"/>
          <w:sz w:val="28"/>
          <w:szCs w:val="28"/>
        </w:rPr>
        <w:t> </w:t>
      </w:r>
      <w:r w:rsidRPr="00A30FDA">
        <w:rPr>
          <w:rFonts w:ascii="Arabic Typesetting" w:hAnsi="Arabic Typesetting" w:cs="Arabic Typesetting"/>
          <w:sz w:val="28"/>
          <w:szCs w:val="28"/>
        </w:rPr>
        <w:t>REV.</w:t>
      </w:r>
      <w:r w:rsidRPr="00A30FDA">
        <w:rPr>
          <w:rFonts w:ascii="Arabic Typesetting" w:hAnsi="Arabic Typesetting" w:cs="Arabic Typesetting"/>
          <w:sz w:val="28"/>
          <w:szCs w:val="28"/>
          <w:rtl/>
        </w:rPr>
        <w:t>).</w:t>
      </w:r>
    </w:p>
  </w:footnote>
  <w:footnote w:id="150">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تاريخ الانتهاء المتوقع: مارس 2016</w:t>
      </w:r>
    </w:p>
  </w:footnote>
  <w:footnote w:id="151">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أنشئ الصندوق </w:t>
      </w:r>
      <w:proofErr w:type="spellStart"/>
      <w:r w:rsidRPr="00AB5249">
        <w:rPr>
          <w:rFonts w:ascii="Arabic Typesetting" w:hAnsi="Arabic Typesetting" w:cs="Arabic Typesetting"/>
          <w:sz w:val="28"/>
          <w:szCs w:val="28"/>
          <w:rtl/>
        </w:rPr>
        <w:t>الاستئماني</w:t>
      </w:r>
      <w:proofErr w:type="spellEnd"/>
      <w:r w:rsidRPr="00AB5249">
        <w:rPr>
          <w:rFonts w:ascii="Arabic Typesetting" w:hAnsi="Arabic Typesetting" w:cs="Arabic Typesetting"/>
          <w:sz w:val="28"/>
          <w:szCs w:val="28"/>
          <w:rtl/>
        </w:rPr>
        <w:t xml:space="preserve"> بموجب مذكرة التفاهم بين الويبو وبرنامج الأمم المتحدة الإنمائي في أكتوبر عام 2015، ونفذ في إطار مشروع مشترك بين وكالة الابتكار البرازيلي (</w:t>
      </w:r>
      <w:r w:rsidRPr="00AB5249">
        <w:rPr>
          <w:rFonts w:ascii="Arabic Typesetting" w:hAnsi="Arabic Typesetting" w:cs="Arabic Typesetting"/>
          <w:sz w:val="28"/>
          <w:szCs w:val="28"/>
        </w:rPr>
        <w:t>FINEP</w:t>
      </w:r>
      <w:r w:rsidRPr="00AB5249">
        <w:rPr>
          <w:rFonts w:ascii="Arabic Typesetting" w:hAnsi="Arabic Typesetting" w:cs="Arabic Typesetting"/>
          <w:sz w:val="28"/>
          <w:szCs w:val="28"/>
          <w:rtl/>
        </w:rPr>
        <w:t>) وبرنامج الأمم المتحدة الإنمائي في البرازيل</w:t>
      </w:r>
      <w:r w:rsidRPr="00AB5249">
        <w:rPr>
          <w:rFonts w:ascii="Arabic Typesetting" w:hAnsi="Arabic Typesetting" w:cs="Arabic Typesetting"/>
          <w:sz w:val="28"/>
          <w:szCs w:val="28"/>
          <w:rtl/>
        </w:rPr>
        <w:br/>
        <w:t>(</w:t>
      </w:r>
      <w:r w:rsidRPr="00AB5249">
        <w:rPr>
          <w:rFonts w:ascii="Arabic Typesetting" w:hAnsi="Arabic Typesetting" w:cs="Arabic Typesetting"/>
          <w:sz w:val="28"/>
          <w:szCs w:val="28"/>
        </w:rPr>
        <w:t xml:space="preserve">(PNUD: BRA 12/001 </w:t>
      </w:r>
      <w:proofErr w:type="spellStart"/>
      <w:r w:rsidRPr="00AB5249">
        <w:rPr>
          <w:rFonts w:ascii="Arabic Typesetting" w:hAnsi="Arabic Typesetting" w:cs="Arabic Typesetting"/>
          <w:i/>
          <w:iCs/>
          <w:sz w:val="28"/>
          <w:szCs w:val="28"/>
        </w:rPr>
        <w:t>Promoção</w:t>
      </w:r>
      <w:proofErr w:type="spellEnd"/>
      <w:r w:rsidRPr="00AB5249">
        <w:rPr>
          <w:rFonts w:ascii="Arabic Typesetting" w:hAnsi="Arabic Typesetting" w:cs="Arabic Typesetting"/>
          <w:i/>
          <w:iCs/>
          <w:sz w:val="28"/>
          <w:szCs w:val="28"/>
        </w:rPr>
        <w:t xml:space="preserve"> da </w:t>
      </w:r>
      <w:proofErr w:type="spellStart"/>
      <w:r w:rsidRPr="00AB5249">
        <w:rPr>
          <w:rFonts w:ascii="Arabic Typesetting" w:hAnsi="Arabic Typesetting" w:cs="Arabic Typesetting"/>
          <w:i/>
          <w:iCs/>
          <w:sz w:val="28"/>
          <w:szCs w:val="28"/>
        </w:rPr>
        <w:t>Inovação</w:t>
      </w:r>
      <w:proofErr w:type="spellEnd"/>
      <w:r w:rsidRPr="00AB5249">
        <w:rPr>
          <w:rFonts w:ascii="Arabic Typesetting" w:hAnsi="Arabic Typesetting" w:cs="Arabic Typesetting"/>
          <w:i/>
          <w:iCs/>
          <w:sz w:val="28"/>
          <w:szCs w:val="28"/>
        </w:rPr>
        <w:t xml:space="preserve"> para o </w:t>
      </w:r>
      <w:proofErr w:type="spellStart"/>
      <w:r w:rsidRPr="00AB5249">
        <w:rPr>
          <w:rFonts w:ascii="Arabic Typesetting" w:hAnsi="Arabic Typesetting" w:cs="Arabic Typesetting"/>
          <w:i/>
          <w:iCs/>
          <w:sz w:val="28"/>
          <w:szCs w:val="28"/>
        </w:rPr>
        <w:t>Desenvolvimento</w:t>
      </w:r>
      <w:proofErr w:type="spellEnd"/>
      <w:r w:rsidRPr="00AB5249">
        <w:rPr>
          <w:rFonts w:ascii="Arabic Typesetting" w:hAnsi="Arabic Typesetting" w:cs="Arabic Typesetting"/>
          <w:i/>
          <w:iCs/>
          <w:sz w:val="28"/>
          <w:szCs w:val="28"/>
        </w:rPr>
        <w:t xml:space="preserve"> </w:t>
      </w:r>
      <w:proofErr w:type="spellStart"/>
      <w:r w:rsidRPr="00AB5249">
        <w:rPr>
          <w:rFonts w:ascii="Arabic Typesetting" w:hAnsi="Arabic Typesetting" w:cs="Arabic Typesetting"/>
          <w:i/>
          <w:iCs/>
          <w:sz w:val="28"/>
          <w:szCs w:val="28"/>
        </w:rPr>
        <w:t>Sustentável</w:t>
      </w:r>
      <w:proofErr w:type="spellEnd"/>
    </w:p>
  </w:footnote>
  <w:footnote w:id="152">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بدأ المشروع في أغسطس 2014.</w:t>
      </w:r>
    </w:p>
  </w:footnote>
  <w:footnote w:id="153">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بدأ المشروع في سبتمبر 2014.</w:t>
      </w:r>
    </w:p>
  </w:footnote>
  <w:footnote w:id="154">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w:t>
      </w:r>
      <w:hyperlink r:id="rId36" w:history="1">
        <w:r w:rsidRPr="00AB5249">
          <w:rPr>
            <w:rFonts w:ascii="Arabic Typesetting" w:hAnsi="Arabic Typesetting" w:cs="Arabic Typesetting"/>
            <w:color w:val="000099"/>
            <w:sz w:val="28"/>
            <w:szCs w:val="28"/>
            <w:u w:val="single"/>
          </w:rPr>
          <w:t>http://www.wipo.int/publications/en/details.jsp?id=259&amp;plang=EN</w:t>
        </w:r>
      </w:hyperlink>
    </w:p>
  </w:footnote>
  <w:footnote w:id="155">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في أكتوبر 2012، تم التوقيع على مذكرة تفاهم بإنشاء صندوق استئماني/</w:t>
      </w:r>
      <w:proofErr w:type="spellStart"/>
      <w:r w:rsidRPr="00AB5249">
        <w:rPr>
          <w:rFonts w:ascii="Arabic Typesetting" w:hAnsi="Arabic Typesetting" w:cs="Arabic Typesetting"/>
          <w:sz w:val="28"/>
          <w:szCs w:val="28"/>
          <w:rtl/>
        </w:rPr>
        <w:t>إيبيري</w:t>
      </w:r>
      <w:proofErr w:type="spellEnd"/>
      <w:r w:rsidRPr="00AB5249">
        <w:rPr>
          <w:rFonts w:ascii="Arabic Typesetting" w:hAnsi="Arabic Typesetting" w:cs="Arabic Typesetting"/>
          <w:sz w:val="28"/>
          <w:szCs w:val="28"/>
          <w:rtl/>
        </w:rPr>
        <w:t xml:space="preserve"> ليكون بمثابة أداة مالية للبرنامج </w:t>
      </w:r>
      <w:proofErr w:type="spellStart"/>
      <w:r w:rsidRPr="00AB5249">
        <w:rPr>
          <w:rFonts w:ascii="Arabic Typesetting" w:hAnsi="Arabic Typesetting" w:cs="Arabic Typesetting"/>
          <w:sz w:val="28"/>
          <w:szCs w:val="28"/>
          <w:rtl/>
        </w:rPr>
        <w:t>الإيبيري</w:t>
      </w:r>
      <w:proofErr w:type="spellEnd"/>
      <w:r w:rsidRPr="00AB5249">
        <w:rPr>
          <w:rFonts w:ascii="Arabic Typesetting" w:hAnsi="Arabic Typesetting" w:cs="Arabic Typesetting"/>
          <w:sz w:val="28"/>
          <w:szCs w:val="28"/>
          <w:rtl/>
        </w:rPr>
        <w:t xml:space="preserve"> الأمريكي للملكية الصناعية. وجددت المذكرة في أكتوبر 2015.</w:t>
      </w:r>
    </w:p>
  </w:footnote>
  <w:footnote w:id="156">
    <w:p w:rsidR="000B5473" w:rsidRPr="00AB5249" w:rsidRDefault="000B5473" w:rsidP="0009163D">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بدأت في يونيو 2013.</w:t>
      </w:r>
    </w:p>
  </w:footnote>
  <w:footnote w:id="157">
    <w:p w:rsidR="000B5473" w:rsidRPr="00AB5249" w:rsidRDefault="000B5473" w:rsidP="0009163D">
      <w:pPr>
        <w:bidi/>
        <w:rPr>
          <w:rFonts w:ascii="Arabic Typesetting" w:hAnsi="Arabic Typesetting" w:cs="Arabic Typesetting"/>
          <w:sz w:val="28"/>
          <w:szCs w:val="28"/>
          <w:rtl/>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w:t>
      </w:r>
      <w:hyperlink r:id="rId37" w:history="1">
        <w:r w:rsidRPr="00AB5249">
          <w:rPr>
            <w:rFonts w:ascii="Arabic Typesetting" w:hAnsi="Arabic Typesetting" w:cs="Arabic Typesetting"/>
            <w:color w:val="000099"/>
            <w:sz w:val="24"/>
            <w:szCs w:val="24"/>
            <w:u w:val="single"/>
          </w:rPr>
          <w:t>http://www.uibm.gov.it/attachments/FINAL%20Guide_for_IP%20Agri-food%20SME%20_Italian_publication_EN_GBA-Jaiya.pdf</w:t>
        </w:r>
      </w:hyperlink>
    </w:p>
  </w:footnote>
  <w:footnote w:id="158">
    <w:p w:rsidR="000B5473" w:rsidRPr="00AB5249" w:rsidRDefault="000B5473" w:rsidP="0009163D">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بدأ في مارس 2014.</w:t>
      </w:r>
    </w:p>
  </w:footnote>
  <w:footnote w:id="159">
    <w:p w:rsidR="000B5473" w:rsidRPr="00AB5249" w:rsidRDefault="000B5473" w:rsidP="0009163D">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w:t>
      </w:r>
      <w:r w:rsidRPr="00AB5249">
        <w:rPr>
          <w:rFonts w:ascii="Arabic Typesetting" w:hAnsi="Arabic Typesetting" w:cs="Arabic Typesetting"/>
          <w:sz w:val="28"/>
          <w:szCs w:val="28"/>
          <w:rtl/>
          <w:lang w:bidi="ar-EG"/>
        </w:rPr>
        <w:t>بدأ في أكتوبر 2014</w:t>
      </w:r>
    </w:p>
  </w:footnote>
  <w:footnote w:id="160">
    <w:p w:rsidR="000B5473" w:rsidRPr="00AB5249" w:rsidRDefault="000B5473" w:rsidP="0009163D">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w:t>
      </w:r>
      <w:r w:rsidRPr="00AB5249">
        <w:rPr>
          <w:rFonts w:ascii="Arabic Typesetting" w:hAnsi="Arabic Typesetting" w:cs="Arabic Typesetting"/>
          <w:sz w:val="28"/>
          <w:szCs w:val="28"/>
          <w:rtl/>
          <w:lang w:bidi="ar-EG"/>
        </w:rPr>
        <w:t>بدأ في فبراير 2013</w:t>
      </w:r>
    </w:p>
  </w:footnote>
  <w:footnote w:id="161">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بدأ في أكتوبر 2014</w:t>
      </w:r>
    </w:p>
  </w:footnote>
  <w:footnote w:id="162">
    <w:p w:rsidR="000B5473" w:rsidRPr="00AB5249" w:rsidRDefault="000B5473" w:rsidP="0009163D">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بدأ في ديسمبر 2014.</w:t>
      </w:r>
    </w:p>
  </w:footnote>
  <w:footnote w:id="163">
    <w:p w:rsidR="000B5473" w:rsidRPr="00AB5249" w:rsidRDefault="000B5473" w:rsidP="0009163D">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بدأ في سبتمبر 2014.</w:t>
      </w:r>
    </w:p>
  </w:footnote>
  <w:footnote w:id="164">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موَّل الصندوق </w:t>
      </w:r>
      <w:proofErr w:type="spellStart"/>
      <w:r w:rsidRPr="00AB5249">
        <w:rPr>
          <w:rFonts w:ascii="Arabic Typesetting" w:hAnsi="Arabic Typesetting" w:cs="Arabic Typesetting"/>
          <w:sz w:val="28"/>
          <w:szCs w:val="28"/>
          <w:rtl/>
        </w:rPr>
        <w:t>الاستئماني</w:t>
      </w:r>
      <w:proofErr w:type="spellEnd"/>
      <w:r w:rsidRPr="00AB5249">
        <w:rPr>
          <w:rFonts w:ascii="Arabic Typesetting" w:hAnsi="Arabic Typesetting" w:cs="Arabic Typesetting"/>
          <w:sz w:val="28"/>
          <w:szCs w:val="28"/>
          <w:rtl/>
        </w:rPr>
        <w:t xml:space="preserve"> للمكسيك نشاطين بالاشتراك مع الصندوق </w:t>
      </w:r>
      <w:proofErr w:type="spellStart"/>
      <w:r w:rsidRPr="00AB5249">
        <w:rPr>
          <w:rFonts w:ascii="Arabic Typesetting" w:hAnsi="Arabic Typesetting" w:cs="Arabic Typesetting"/>
          <w:sz w:val="28"/>
          <w:szCs w:val="28"/>
          <w:rtl/>
        </w:rPr>
        <w:t>الاستئماني</w:t>
      </w:r>
      <w:proofErr w:type="spellEnd"/>
      <w:r w:rsidRPr="00AB5249">
        <w:rPr>
          <w:rFonts w:ascii="Arabic Typesetting" w:hAnsi="Arabic Typesetting" w:cs="Arabic Typesetting"/>
          <w:sz w:val="28"/>
          <w:szCs w:val="28"/>
          <w:rtl/>
        </w:rPr>
        <w:t>/إسبانيا (انظر الصندوق التالي)</w:t>
      </w:r>
    </w:p>
  </w:footnote>
  <w:footnote w:id="165">
    <w:p w:rsidR="000B5473" w:rsidRPr="00AB5249" w:rsidRDefault="000B5473" w:rsidP="0009163D">
      <w:pPr>
        <w:bidi/>
        <w:rPr>
          <w:rFonts w:ascii="Arabic Typesetting" w:hAnsi="Arabic Typesetting" w:cs="Arabic Typesetting"/>
          <w:sz w:val="28"/>
          <w:szCs w:val="28"/>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شهد العام 2015 الذكرى السنوية للصندوق </w:t>
      </w:r>
      <w:proofErr w:type="spellStart"/>
      <w:r w:rsidRPr="00AB5249">
        <w:rPr>
          <w:rFonts w:ascii="Arabic Typesetting" w:hAnsi="Arabic Typesetting" w:cs="Arabic Typesetting"/>
          <w:sz w:val="28"/>
          <w:szCs w:val="28"/>
          <w:rtl/>
        </w:rPr>
        <w:t>الاستئماني</w:t>
      </w:r>
      <w:proofErr w:type="spellEnd"/>
      <w:r w:rsidRPr="00AB5249">
        <w:rPr>
          <w:rFonts w:ascii="Arabic Typesetting" w:hAnsi="Arabic Typesetting" w:cs="Arabic Typesetting"/>
          <w:sz w:val="28"/>
          <w:szCs w:val="28"/>
          <w:rtl/>
        </w:rPr>
        <w:t xml:space="preserve"> الإسباني. والصندوق مخصص لتصميم المشاريع الإقليمية والتخطيط لها وتنفيذها في مجال الملكية الصناعية في الإقليم </w:t>
      </w:r>
      <w:proofErr w:type="spellStart"/>
      <w:r w:rsidRPr="00AB5249">
        <w:rPr>
          <w:rFonts w:ascii="Arabic Typesetting" w:hAnsi="Arabic Typesetting" w:cs="Arabic Typesetting"/>
          <w:sz w:val="28"/>
          <w:szCs w:val="28"/>
          <w:rtl/>
        </w:rPr>
        <w:t>الإيبيري</w:t>
      </w:r>
      <w:proofErr w:type="spellEnd"/>
      <w:r w:rsidRPr="00AB5249">
        <w:rPr>
          <w:rFonts w:ascii="Arabic Typesetting" w:hAnsi="Arabic Typesetting" w:cs="Arabic Typesetting"/>
          <w:sz w:val="28"/>
          <w:szCs w:val="28"/>
          <w:rtl/>
        </w:rPr>
        <w:t xml:space="preserve"> الأمريكي. والملكية الفكرية هي أداة تدمج تدريجيًا في تبني السياسات العام للنهوض بالابتكار ومن ثم في النشاط الاقتصادي ككل لخدمة المجتمع. وفي هذا السياق، تعد أهداف تعاون الصندوق ما يلي: النهوض بالإسبانية كلغة تكنولوجية؛ و(2) دعم تقوية المؤسسات وتدريب الموارد البشرية و(3) نشر الملكية الصناعية في الشركات الصغيرة والمتوسطة والجامعات و(4) تحديث الخبرات وتبادلها فيما بين مكاتب الملكية الصناعية للنهوض بالخدمات العالية الجودة.</w:t>
      </w:r>
    </w:p>
  </w:footnote>
  <w:footnote w:id="166">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موِّل هذا النشاط بالاشتراك مع الصندوق </w:t>
      </w:r>
      <w:proofErr w:type="spellStart"/>
      <w:r w:rsidRPr="00AB5249">
        <w:rPr>
          <w:rFonts w:ascii="Arabic Typesetting" w:hAnsi="Arabic Typesetting" w:cs="Arabic Typesetting"/>
          <w:sz w:val="28"/>
          <w:szCs w:val="28"/>
          <w:rtl/>
        </w:rPr>
        <w:t>الاستئماني</w:t>
      </w:r>
      <w:proofErr w:type="spellEnd"/>
      <w:r w:rsidRPr="00AB5249">
        <w:rPr>
          <w:rFonts w:ascii="Arabic Typesetting" w:hAnsi="Arabic Typesetting" w:cs="Arabic Typesetting"/>
          <w:sz w:val="28"/>
          <w:szCs w:val="28"/>
          <w:rtl/>
        </w:rPr>
        <w:t>/المكسيك.</w:t>
      </w:r>
    </w:p>
  </w:footnote>
  <w:footnote w:id="167">
    <w:p w:rsidR="000B5473" w:rsidRPr="00AB5249" w:rsidRDefault="000B5473" w:rsidP="0009163D">
      <w:pPr>
        <w:bidi/>
        <w:rPr>
          <w:rFonts w:ascii="Arabic Typesetting" w:hAnsi="Arabic Typesetting" w:cs="Arabic Typesetting"/>
          <w:sz w:val="28"/>
          <w:szCs w:val="28"/>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انظر الحاشية السابقة</w:t>
      </w:r>
    </w:p>
  </w:footnote>
  <w:footnote w:id="168">
    <w:p w:rsidR="000B5473" w:rsidRPr="00AB5249" w:rsidRDefault="000B5473" w:rsidP="0009163D">
      <w:pPr>
        <w:bidi/>
        <w:rPr>
          <w:rFonts w:ascii="Arabic Typesetting" w:hAnsi="Arabic Typesetting" w:cs="Arabic Typesetting"/>
          <w:sz w:val="28"/>
          <w:szCs w:val="28"/>
          <w:rtl/>
          <w:lang w:bidi="ar-EG"/>
        </w:rPr>
      </w:pPr>
      <w:r w:rsidRPr="00F96634">
        <w:rPr>
          <w:rFonts w:ascii="Arabic Typesetting" w:hAnsi="Arabic Typesetting" w:cs="Arabic Typesetting"/>
          <w:sz w:val="28"/>
          <w:szCs w:val="28"/>
          <w:vertAlign w:val="superscript"/>
        </w:rPr>
        <w:footnoteRef/>
      </w:r>
      <w:r w:rsidRPr="00AB5249">
        <w:rPr>
          <w:rFonts w:ascii="Arabic Typesetting" w:hAnsi="Arabic Typesetting" w:cs="Arabic Typesetting"/>
          <w:sz w:val="28"/>
          <w:szCs w:val="28"/>
          <w:rtl/>
        </w:rPr>
        <w:t xml:space="preserve"> بدأ في مايو 2014. التاريخ المتوقع للانتهاء هو مايو 2016</w:t>
      </w:r>
    </w:p>
  </w:footnote>
  <w:footnote w:id="169">
    <w:p w:rsidR="000B5473" w:rsidRPr="001D7014" w:rsidRDefault="000B5473" w:rsidP="00180F7E">
      <w:pPr>
        <w:pStyle w:val="FootnoteText"/>
        <w:bidi/>
        <w:rPr>
          <w:rFonts w:ascii="Arabic Typesetting" w:hAnsi="Arabic Typesetting" w:cs="Arabic Typesetting"/>
          <w:sz w:val="28"/>
          <w:szCs w:val="28"/>
        </w:rPr>
      </w:pPr>
      <w:r w:rsidRPr="001D7014">
        <w:rPr>
          <w:rStyle w:val="FootnoteReference"/>
          <w:rFonts w:ascii="Arabic Typesetting" w:hAnsi="Arabic Typesetting" w:cs="Arabic Typesetting"/>
          <w:sz w:val="28"/>
          <w:szCs w:val="28"/>
        </w:rPr>
        <w:footnoteRef/>
      </w:r>
      <w:r w:rsidRPr="001D7014">
        <w:rPr>
          <w:rFonts w:ascii="Arabic Typesetting" w:hAnsi="Arabic Typesetting" w:cs="Arabic Typesetting"/>
          <w:sz w:val="28"/>
          <w:szCs w:val="28"/>
          <w:rtl/>
        </w:rPr>
        <w:t xml:space="preserve"> </w:t>
      </w:r>
      <w:hyperlink r:id="rId38" w:history="1">
        <w:r>
          <w:rPr>
            <w:rStyle w:val="Hyperlink"/>
            <w:rFonts w:ascii="Arabic Typesetting" w:hAnsi="Arabic Typesetting" w:cs="Arabic Typesetting"/>
            <w:sz w:val="28"/>
            <w:szCs w:val="28"/>
          </w:rPr>
          <w:t>http://www.wipo.int/edocs/mdocs/govbody/ar/a_51/a_51_16.pdf</w:t>
        </w:r>
      </w:hyperlink>
    </w:p>
  </w:footnote>
  <w:footnote w:id="170">
    <w:p w:rsidR="000B5473" w:rsidRPr="001D7014" w:rsidRDefault="000B5473" w:rsidP="00180F7E">
      <w:pPr>
        <w:pStyle w:val="FootnoteText"/>
        <w:bidi/>
        <w:rPr>
          <w:rFonts w:ascii="Arabic Typesetting" w:hAnsi="Arabic Typesetting" w:cs="Arabic Typesetting"/>
          <w:sz w:val="28"/>
          <w:szCs w:val="28"/>
        </w:rPr>
      </w:pPr>
      <w:r w:rsidRPr="001D7014">
        <w:rPr>
          <w:rStyle w:val="FootnoteReference"/>
          <w:rFonts w:ascii="Arabic Typesetting" w:hAnsi="Arabic Typesetting" w:cs="Arabic Typesetting"/>
          <w:sz w:val="28"/>
          <w:szCs w:val="28"/>
        </w:rPr>
        <w:footnoteRef/>
      </w:r>
      <w:r w:rsidRPr="001D7014">
        <w:rPr>
          <w:rFonts w:ascii="Arabic Typesetting" w:hAnsi="Arabic Typesetting" w:cs="Arabic Typesetting"/>
          <w:sz w:val="28"/>
          <w:szCs w:val="28"/>
          <w:rtl/>
        </w:rPr>
        <w:t xml:space="preserve"> </w:t>
      </w:r>
      <w:hyperlink r:id="rId39" w:history="1">
        <w:r>
          <w:rPr>
            <w:rStyle w:val="Hyperlink"/>
            <w:rFonts w:ascii="Arabic Typesetting" w:hAnsi="Arabic Typesetting" w:cs="Arabic Typesetting"/>
            <w:sz w:val="28"/>
            <w:szCs w:val="28"/>
          </w:rPr>
          <w:t>http://www.wipo.int/edocs/mdocs/govbody/ar/wo_pbc_22/wo_pbc_22_21.pdf</w:t>
        </w:r>
      </w:hyperlink>
    </w:p>
  </w:footnote>
  <w:footnote w:id="171">
    <w:p w:rsidR="000B5473" w:rsidRPr="00891D2C" w:rsidRDefault="000B5473" w:rsidP="00720203">
      <w:pPr>
        <w:pStyle w:val="FootnoteText"/>
        <w:bidi/>
        <w:rPr>
          <w:rFonts w:ascii="Arabic Typesetting" w:hAnsi="Arabic Typesetting" w:cs="Arabic Typesetting"/>
          <w:sz w:val="28"/>
          <w:szCs w:val="28"/>
        </w:rPr>
      </w:pPr>
      <w:r w:rsidRPr="00891D2C">
        <w:rPr>
          <w:rStyle w:val="FootnoteReference"/>
          <w:rFonts w:ascii="Arabic Typesetting" w:hAnsi="Arabic Typesetting" w:cs="Arabic Typesetting"/>
          <w:sz w:val="28"/>
          <w:szCs w:val="28"/>
        </w:rPr>
        <w:footnoteRef/>
      </w:r>
      <w:r w:rsidRPr="00891D2C">
        <w:rPr>
          <w:rFonts w:ascii="Arabic Typesetting" w:hAnsi="Arabic Typesetting" w:cs="Arabic Typesetting"/>
          <w:sz w:val="28"/>
          <w:szCs w:val="28"/>
          <w:rtl/>
        </w:rPr>
        <w:t xml:space="preserve"> </w:t>
      </w:r>
      <w:r>
        <w:rPr>
          <w:rFonts w:ascii="Arabic Typesetting" w:hAnsi="Arabic Typesetting" w:cs="Arabic Typesetting"/>
          <w:sz w:val="28"/>
          <w:szCs w:val="28"/>
          <w:rtl/>
        </w:rPr>
        <w:t xml:space="preserve">يُرجى الانتباه إلى أن المبالغ الواردة في عمود </w:t>
      </w:r>
      <w:r>
        <w:rPr>
          <w:rFonts w:ascii="Arabic Typesetting" w:hAnsi="Arabic Typesetting" w:cs="Arabic Typesetting" w:hint="cs"/>
          <w:sz w:val="28"/>
          <w:szCs w:val="28"/>
          <w:rtl/>
        </w:rPr>
        <w:t>"</w:t>
      </w:r>
      <w:r>
        <w:rPr>
          <w:rFonts w:ascii="Arabic Typesetting" w:hAnsi="Arabic Typesetting" w:cs="Arabic Typesetting"/>
          <w:sz w:val="28"/>
          <w:szCs w:val="28"/>
          <w:rtl/>
        </w:rPr>
        <w:t>النفقات الفعلية حتى تاريخه</w:t>
      </w:r>
      <w:r>
        <w:rPr>
          <w:rFonts w:ascii="Arabic Typesetting" w:hAnsi="Arabic Typesetting" w:cs="Arabic Typesetting" w:hint="cs"/>
          <w:sz w:val="28"/>
          <w:szCs w:val="28"/>
          <w:rtl/>
        </w:rPr>
        <w:t>"</w:t>
      </w:r>
      <w:r>
        <w:rPr>
          <w:rFonts w:ascii="Arabic Typesetting" w:hAnsi="Arabic Typesetting" w:cs="Arabic Typesetting"/>
          <w:sz w:val="28"/>
          <w:szCs w:val="28"/>
          <w:rtl/>
        </w:rPr>
        <w:t xml:space="preserve"> من الجداول التالية لا تشمل الأعباء المالية.</w:t>
      </w:r>
    </w:p>
  </w:footnote>
  <w:footnote w:id="172">
    <w:p w:rsidR="000B5473" w:rsidRPr="007A4FF9" w:rsidRDefault="000B5473" w:rsidP="007A4FF9">
      <w:pPr>
        <w:pStyle w:val="FootnoteText"/>
        <w:bidi/>
        <w:rPr>
          <w:rFonts w:ascii="Arabic Typesetting" w:hAnsi="Arabic Typesetting" w:cs="Arabic Typesetting"/>
          <w:sz w:val="28"/>
          <w:szCs w:val="28"/>
        </w:rPr>
      </w:pPr>
      <w:r w:rsidRPr="007A4FF9">
        <w:rPr>
          <w:rStyle w:val="FootnoteReference"/>
          <w:rFonts w:ascii="Arabic Typesetting" w:hAnsi="Arabic Typesetting" w:cs="Arabic Typesetting"/>
          <w:sz w:val="28"/>
          <w:szCs w:val="28"/>
        </w:rPr>
        <w:footnoteRef/>
      </w:r>
      <w:r w:rsidRPr="007A4FF9">
        <w:rPr>
          <w:rFonts w:ascii="Arabic Typesetting" w:hAnsi="Arabic Typesetting" w:cs="Arabic Typesetting"/>
          <w:sz w:val="28"/>
          <w:szCs w:val="28"/>
          <w:rtl/>
        </w:rPr>
        <w:t xml:space="preserve"> سيُحدّد تفصيل أدق حسب فئة التكلفة عقب است</w:t>
      </w:r>
      <w:r>
        <w:rPr>
          <w:rFonts w:ascii="Arabic Typesetting" w:hAnsi="Arabic Typesetting" w:cs="Arabic Typesetting"/>
          <w:sz w:val="28"/>
          <w:szCs w:val="28"/>
          <w:rtl/>
        </w:rPr>
        <w:t xml:space="preserve">كمال تقييم الوضع الراهن، عندما </w:t>
      </w:r>
      <w:r w:rsidRPr="007A4FF9">
        <w:rPr>
          <w:rFonts w:ascii="Arabic Typesetting" w:hAnsi="Arabic Typesetting" w:cs="Arabic Typesetting"/>
          <w:sz w:val="28"/>
          <w:szCs w:val="28"/>
          <w:rtl/>
        </w:rPr>
        <w:t>يُحدّد الحل التقني الكامل.</w:t>
      </w:r>
    </w:p>
  </w:footnote>
  <w:footnote w:id="173">
    <w:p w:rsidR="000B5473" w:rsidRPr="007A4FF9" w:rsidRDefault="000B5473" w:rsidP="00720203">
      <w:pPr>
        <w:pStyle w:val="FootnoteText"/>
        <w:bidi/>
        <w:rPr>
          <w:rFonts w:ascii="Arabic Typesetting" w:hAnsi="Arabic Typesetting" w:cs="Arabic Typesetting"/>
          <w:sz w:val="28"/>
          <w:szCs w:val="28"/>
        </w:rPr>
      </w:pPr>
      <w:r w:rsidRPr="007A4FF9">
        <w:rPr>
          <w:rStyle w:val="FootnoteReference"/>
          <w:rFonts w:ascii="Arabic Typesetting" w:hAnsi="Arabic Typesetting" w:cs="Arabic Typesetting"/>
          <w:sz w:val="28"/>
          <w:szCs w:val="28"/>
        </w:rPr>
        <w:footnoteRef/>
      </w:r>
      <w:r w:rsidRPr="007A4FF9">
        <w:rPr>
          <w:rFonts w:ascii="Arabic Typesetting" w:hAnsi="Arabic Typesetting" w:cs="Arabic Typesetting"/>
          <w:sz w:val="28"/>
          <w:szCs w:val="28"/>
          <w:rtl/>
        </w:rPr>
        <w:t xml:space="preserve"> </w:t>
      </w:r>
      <w:r>
        <w:rPr>
          <w:rFonts w:ascii="Arabic Typesetting" w:hAnsi="Arabic Typesetting" w:cs="Arabic Typesetting"/>
          <w:sz w:val="28"/>
          <w:szCs w:val="28"/>
          <w:rtl/>
        </w:rPr>
        <w:t xml:space="preserve">يُرجى الانتباه إلى أن المبالغ الواردة في عمود </w:t>
      </w:r>
      <w:r>
        <w:rPr>
          <w:rFonts w:ascii="Arabic Typesetting" w:hAnsi="Arabic Typesetting" w:cs="Arabic Typesetting" w:hint="cs"/>
          <w:sz w:val="28"/>
          <w:szCs w:val="28"/>
          <w:rtl/>
        </w:rPr>
        <w:t>"</w:t>
      </w:r>
      <w:r>
        <w:rPr>
          <w:rFonts w:ascii="Arabic Typesetting" w:hAnsi="Arabic Typesetting" w:cs="Arabic Typesetting"/>
          <w:sz w:val="28"/>
          <w:szCs w:val="28"/>
          <w:rtl/>
        </w:rPr>
        <w:t>النفقات الفعلية حتى تاريخه</w:t>
      </w:r>
      <w:r>
        <w:rPr>
          <w:rFonts w:ascii="Arabic Typesetting" w:hAnsi="Arabic Typesetting" w:cs="Arabic Typesetting" w:hint="cs"/>
          <w:sz w:val="28"/>
          <w:szCs w:val="28"/>
          <w:rtl/>
        </w:rPr>
        <w:t>"</w:t>
      </w:r>
      <w:r>
        <w:rPr>
          <w:rFonts w:ascii="Arabic Typesetting" w:hAnsi="Arabic Typesetting" w:cs="Arabic Typesetting"/>
          <w:sz w:val="28"/>
          <w:szCs w:val="28"/>
          <w:rtl/>
        </w:rPr>
        <w:t xml:space="preserve"> من الجداول التالية لا تشمل الأعباء المالية.</w:t>
      </w:r>
    </w:p>
  </w:footnote>
  <w:footnote w:id="174">
    <w:p w:rsidR="000B5473" w:rsidRPr="00DA5B03" w:rsidRDefault="000B5473" w:rsidP="00720203">
      <w:pPr>
        <w:pStyle w:val="FootnoteText"/>
        <w:bidi/>
        <w:rPr>
          <w:rFonts w:ascii="Arabic Typesetting" w:hAnsi="Arabic Typesetting" w:cs="Arabic Typesetting"/>
          <w:sz w:val="28"/>
          <w:szCs w:val="28"/>
        </w:rPr>
      </w:pPr>
      <w:r w:rsidRPr="00DA5B03">
        <w:rPr>
          <w:rStyle w:val="FootnoteReference"/>
          <w:rFonts w:ascii="Arabic Typesetting" w:hAnsi="Arabic Typesetting" w:cs="Arabic Typesetting"/>
          <w:sz w:val="28"/>
          <w:szCs w:val="28"/>
        </w:rPr>
        <w:footnoteRef/>
      </w:r>
      <w:r w:rsidRPr="00DA5B03">
        <w:rPr>
          <w:rFonts w:ascii="Arabic Typesetting" w:hAnsi="Arabic Typesetting" w:cs="Arabic Typesetting"/>
          <w:sz w:val="28"/>
          <w:szCs w:val="28"/>
          <w:rtl/>
        </w:rPr>
        <w:t xml:space="preserve"> بالنظر إلى استكمال عملية اختيار القيادة/المهندس المعماري في ديسمبر 2015، لم </w:t>
      </w:r>
      <w:r>
        <w:rPr>
          <w:rFonts w:ascii="Arabic Typesetting" w:hAnsi="Arabic Typesetting" w:cs="Arabic Typesetting" w:hint="cs"/>
          <w:sz w:val="28"/>
          <w:szCs w:val="28"/>
          <w:rtl/>
        </w:rPr>
        <w:t>يباشر</w:t>
      </w:r>
      <w:r w:rsidRPr="00DA5B03">
        <w:rPr>
          <w:rFonts w:ascii="Arabic Typesetting" w:hAnsi="Arabic Typesetting" w:cs="Arabic Typesetting"/>
          <w:sz w:val="28"/>
          <w:szCs w:val="28"/>
          <w:rtl/>
        </w:rPr>
        <w:t xml:space="preserve"> المرشح المختار مهامه </w:t>
      </w:r>
      <w:r>
        <w:rPr>
          <w:rFonts w:ascii="Arabic Typesetting" w:hAnsi="Arabic Typesetting" w:cs="Arabic Typesetting" w:hint="cs"/>
          <w:sz w:val="28"/>
          <w:szCs w:val="28"/>
          <w:rtl/>
        </w:rPr>
        <w:t>قبل</w:t>
      </w:r>
      <w:r w:rsidRPr="00DA5B03">
        <w:rPr>
          <w:rFonts w:ascii="Arabic Typesetting" w:hAnsi="Arabic Typesetting" w:cs="Arabic Typesetting"/>
          <w:sz w:val="28"/>
          <w:szCs w:val="28"/>
          <w:rtl/>
        </w:rPr>
        <w:t xml:space="preserve"> الفصل الأول من عام 2016.</w:t>
      </w:r>
    </w:p>
  </w:footnote>
  <w:footnote w:id="175">
    <w:p w:rsidR="000B5473" w:rsidRPr="00DA5B03" w:rsidRDefault="000B5473" w:rsidP="00720203">
      <w:pPr>
        <w:pStyle w:val="FootnoteText"/>
        <w:bidi/>
        <w:rPr>
          <w:rFonts w:ascii="Arabic Typesetting" w:hAnsi="Arabic Typesetting" w:cs="Arabic Typesetting"/>
          <w:sz w:val="28"/>
          <w:szCs w:val="28"/>
        </w:rPr>
      </w:pPr>
      <w:r w:rsidRPr="00DA5B03">
        <w:rPr>
          <w:rStyle w:val="FootnoteReference"/>
          <w:rFonts w:ascii="Arabic Typesetting" w:hAnsi="Arabic Typesetting" w:cs="Arabic Typesetting"/>
          <w:sz w:val="28"/>
          <w:szCs w:val="28"/>
        </w:rPr>
        <w:footnoteRef/>
      </w:r>
      <w:r w:rsidRPr="00DA5B03">
        <w:rPr>
          <w:rFonts w:ascii="Arabic Typesetting" w:hAnsi="Arabic Typesetting" w:cs="Arabic Typesetting"/>
          <w:sz w:val="28"/>
          <w:szCs w:val="28"/>
          <w:rtl/>
        </w:rPr>
        <w:t xml:space="preserve"> </w:t>
      </w:r>
      <w:r>
        <w:rPr>
          <w:rFonts w:ascii="Arabic Typesetting" w:hAnsi="Arabic Typesetting" w:cs="Arabic Typesetting"/>
          <w:sz w:val="28"/>
          <w:szCs w:val="28"/>
          <w:rtl/>
        </w:rPr>
        <w:t xml:space="preserve">يُرجى الانتباه إلى أن المبالغ الواردة في عمود </w:t>
      </w:r>
      <w:r>
        <w:rPr>
          <w:rFonts w:ascii="Arabic Typesetting" w:hAnsi="Arabic Typesetting" w:cs="Arabic Typesetting" w:hint="cs"/>
          <w:sz w:val="28"/>
          <w:szCs w:val="28"/>
          <w:rtl/>
        </w:rPr>
        <w:t>"</w:t>
      </w:r>
      <w:r>
        <w:rPr>
          <w:rFonts w:ascii="Arabic Typesetting" w:hAnsi="Arabic Typesetting" w:cs="Arabic Typesetting"/>
          <w:sz w:val="28"/>
          <w:szCs w:val="28"/>
          <w:rtl/>
        </w:rPr>
        <w:t>النفقات الفعلية حتى تاريخه</w:t>
      </w:r>
      <w:r>
        <w:rPr>
          <w:rFonts w:ascii="Arabic Typesetting" w:hAnsi="Arabic Typesetting" w:cs="Arabic Typesetting" w:hint="cs"/>
          <w:sz w:val="28"/>
          <w:szCs w:val="28"/>
          <w:rtl/>
        </w:rPr>
        <w:t>"</w:t>
      </w:r>
      <w:r>
        <w:rPr>
          <w:rFonts w:ascii="Arabic Typesetting" w:hAnsi="Arabic Typesetting" w:cs="Arabic Typesetting"/>
          <w:sz w:val="28"/>
          <w:szCs w:val="28"/>
          <w:rtl/>
        </w:rPr>
        <w:t xml:space="preserve"> من الجداول التالية لا تشمل الأعباء المالية.</w:t>
      </w:r>
    </w:p>
  </w:footnote>
  <w:footnote w:id="176">
    <w:p w:rsidR="000B5473" w:rsidRPr="007B1109" w:rsidRDefault="000B5473" w:rsidP="00720203">
      <w:pPr>
        <w:pStyle w:val="FootnoteText"/>
        <w:bidi/>
        <w:rPr>
          <w:rFonts w:ascii="Arabic Typesetting" w:hAnsi="Arabic Typesetting" w:cs="Arabic Typesetting"/>
          <w:sz w:val="28"/>
          <w:szCs w:val="28"/>
          <w:rtl/>
        </w:rPr>
      </w:pPr>
      <w:r w:rsidRPr="00F96634">
        <w:rPr>
          <w:rStyle w:val="FootnoteReference"/>
          <w:rFonts w:ascii="Arabic Typesetting" w:hAnsi="Arabic Typesetting" w:cs="Arabic Typesetting"/>
          <w:sz w:val="28"/>
          <w:szCs w:val="28"/>
        </w:rPr>
        <w:footnoteRef/>
      </w:r>
      <w:r w:rsidRPr="007B1109">
        <w:rPr>
          <w:rFonts w:ascii="Arabic Typesetting" w:hAnsi="Arabic Typesetting" w:cs="Arabic Typesetting"/>
          <w:sz w:val="28"/>
          <w:szCs w:val="28"/>
          <w:rtl/>
        </w:rPr>
        <w:t xml:space="preserve"> </w:t>
      </w:r>
      <w:r>
        <w:rPr>
          <w:rFonts w:ascii="Arabic Typesetting" w:hAnsi="Arabic Typesetting" w:cs="Arabic Typesetting"/>
          <w:sz w:val="28"/>
          <w:szCs w:val="28"/>
          <w:rtl/>
        </w:rPr>
        <w:t xml:space="preserve">يُرجى الانتباه إلى أن المبالغ الواردة في عمود </w:t>
      </w:r>
      <w:r>
        <w:rPr>
          <w:rFonts w:ascii="Arabic Typesetting" w:hAnsi="Arabic Typesetting" w:cs="Arabic Typesetting" w:hint="cs"/>
          <w:sz w:val="28"/>
          <w:szCs w:val="28"/>
          <w:rtl/>
        </w:rPr>
        <w:t>"</w:t>
      </w:r>
      <w:r>
        <w:rPr>
          <w:rFonts w:ascii="Arabic Typesetting" w:hAnsi="Arabic Typesetting" w:cs="Arabic Typesetting"/>
          <w:sz w:val="28"/>
          <w:szCs w:val="28"/>
          <w:rtl/>
        </w:rPr>
        <w:t>النفقات الفعلية حتى تاريخه</w:t>
      </w:r>
      <w:r>
        <w:rPr>
          <w:rFonts w:ascii="Arabic Typesetting" w:hAnsi="Arabic Typesetting" w:cs="Arabic Typesetting" w:hint="cs"/>
          <w:sz w:val="28"/>
          <w:szCs w:val="28"/>
          <w:rtl/>
        </w:rPr>
        <w:t>"</w:t>
      </w:r>
      <w:r>
        <w:rPr>
          <w:rFonts w:ascii="Arabic Typesetting" w:hAnsi="Arabic Typesetting" w:cs="Arabic Typesetting"/>
          <w:sz w:val="28"/>
          <w:szCs w:val="28"/>
          <w:rtl/>
        </w:rPr>
        <w:t xml:space="preserve"> من الجداول التالية لا تشمل الأعباء المالية.</w:t>
      </w:r>
    </w:p>
  </w:footnote>
  <w:footnote w:id="177">
    <w:p w:rsidR="000B5473" w:rsidRPr="007B1109" w:rsidRDefault="000B5473" w:rsidP="00720203">
      <w:pPr>
        <w:pStyle w:val="FootnoteText"/>
        <w:bidi/>
        <w:rPr>
          <w:rFonts w:ascii="Arabic Typesetting" w:hAnsi="Arabic Typesetting" w:cs="Arabic Typesetting"/>
          <w:sz w:val="28"/>
          <w:szCs w:val="28"/>
          <w:rtl/>
        </w:rPr>
      </w:pPr>
      <w:r w:rsidRPr="00F96634">
        <w:rPr>
          <w:rStyle w:val="FootnoteReference"/>
          <w:rFonts w:ascii="Arabic Typesetting" w:hAnsi="Arabic Typesetting" w:cs="Arabic Typesetting"/>
          <w:sz w:val="28"/>
          <w:szCs w:val="28"/>
        </w:rPr>
        <w:footnoteRef/>
      </w:r>
      <w:r w:rsidRPr="007B1109">
        <w:rPr>
          <w:rFonts w:ascii="Arabic Typesetting" w:hAnsi="Arabic Typesetting" w:cs="Arabic Typesetting"/>
          <w:sz w:val="28"/>
          <w:szCs w:val="28"/>
          <w:rtl/>
        </w:rPr>
        <w:t xml:space="preserve"> </w:t>
      </w:r>
      <w:r>
        <w:rPr>
          <w:rFonts w:ascii="Arabic Typesetting" w:hAnsi="Arabic Typesetting" w:cs="Arabic Typesetting"/>
          <w:sz w:val="28"/>
          <w:szCs w:val="28"/>
          <w:rtl/>
        </w:rPr>
        <w:t xml:space="preserve">يُرجى الانتباه إلى أن المبالغ الواردة في عمود </w:t>
      </w:r>
      <w:r>
        <w:rPr>
          <w:rFonts w:ascii="Arabic Typesetting" w:hAnsi="Arabic Typesetting" w:cs="Arabic Typesetting" w:hint="cs"/>
          <w:sz w:val="28"/>
          <w:szCs w:val="28"/>
          <w:rtl/>
        </w:rPr>
        <w:t>"</w:t>
      </w:r>
      <w:r>
        <w:rPr>
          <w:rFonts w:ascii="Arabic Typesetting" w:hAnsi="Arabic Typesetting" w:cs="Arabic Typesetting"/>
          <w:sz w:val="28"/>
          <w:szCs w:val="28"/>
          <w:rtl/>
        </w:rPr>
        <w:t>النفقات الفعلية حتى تاريخه</w:t>
      </w:r>
      <w:r>
        <w:rPr>
          <w:rFonts w:ascii="Arabic Typesetting" w:hAnsi="Arabic Typesetting" w:cs="Arabic Typesetting" w:hint="cs"/>
          <w:sz w:val="28"/>
          <w:szCs w:val="28"/>
          <w:rtl/>
        </w:rPr>
        <w:t>"</w:t>
      </w:r>
      <w:r>
        <w:rPr>
          <w:rFonts w:ascii="Arabic Typesetting" w:hAnsi="Arabic Typesetting" w:cs="Arabic Typesetting"/>
          <w:sz w:val="28"/>
          <w:szCs w:val="28"/>
          <w:rtl/>
        </w:rPr>
        <w:t xml:space="preserve"> من الجداول التالية لا تشمل الأعباء المالية.</w:t>
      </w:r>
    </w:p>
  </w:footnote>
  <w:footnote w:id="178">
    <w:p w:rsidR="000B5473" w:rsidRPr="0086174B" w:rsidRDefault="000B5473" w:rsidP="0086174B">
      <w:pPr>
        <w:pStyle w:val="FootnoteText"/>
        <w:bidi/>
        <w:rPr>
          <w:rFonts w:ascii="Arabic Typesetting" w:hAnsi="Arabic Typesetting" w:cs="Arabic Typesetting"/>
          <w:sz w:val="28"/>
          <w:szCs w:val="28"/>
        </w:rPr>
      </w:pPr>
      <w:r w:rsidRPr="0086174B">
        <w:rPr>
          <w:rStyle w:val="FootnoteReference"/>
          <w:rFonts w:ascii="Arabic Typesetting" w:hAnsi="Arabic Typesetting" w:cs="Arabic Typesetting"/>
          <w:sz w:val="28"/>
          <w:szCs w:val="28"/>
        </w:rPr>
        <w:footnoteRef/>
      </w:r>
      <w:r w:rsidRPr="0086174B">
        <w:rPr>
          <w:rFonts w:ascii="Arabic Typesetting" w:hAnsi="Arabic Typesetting" w:cs="Arabic Typesetting"/>
          <w:sz w:val="28"/>
          <w:szCs w:val="28"/>
          <w:rtl/>
        </w:rPr>
        <w:t xml:space="preserve"> بلغت الالتزامات المتعلقة بأتعاب المهندس المعماري </w:t>
      </w:r>
      <w:proofErr w:type="spellStart"/>
      <w:r w:rsidRPr="0086174B">
        <w:rPr>
          <w:rFonts w:ascii="Arabic Typesetting" w:hAnsi="Arabic Typesetting" w:cs="Arabic Typesetting"/>
          <w:sz w:val="28"/>
          <w:szCs w:val="28"/>
          <w:rtl/>
        </w:rPr>
        <w:t>والمهندسيين</w:t>
      </w:r>
      <w:proofErr w:type="spellEnd"/>
      <w:r w:rsidRPr="0086174B">
        <w:rPr>
          <w:rFonts w:ascii="Arabic Typesetting" w:hAnsi="Arabic Typesetting" w:cs="Arabic Typesetting"/>
          <w:sz w:val="28"/>
          <w:szCs w:val="28"/>
          <w:rtl/>
        </w:rPr>
        <w:t xml:space="preserve"> المدنيين 000 115 فرنك سويسري في عام 2015.</w:t>
      </w:r>
    </w:p>
  </w:footnote>
  <w:footnote w:id="179">
    <w:p w:rsidR="000B5473" w:rsidRPr="0086174B" w:rsidRDefault="000B5473" w:rsidP="0086174B">
      <w:pPr>
        <w:pStyle w:val="FootnoteText"/>
        <w:bidi/>
        <w:rPr>
          <w:rFonts w:ascii="Arabic Typesetting" w:hAnsi="Arabic Typesetting" w:cs="Arabic Typesetting"/>
          <w:sz w:val="28"/>
          <w:szCs w:val="28"/>
        </w:rPr>
      </w:pPr>
      <w:r w:rsidRPr="0086174B">
        <w:rPr>
          <w:rStyle w:val="FootnoteReference"/>
          <w:rFonts w:ascii="Arabic Typesetting" w:hAnsi="Arabic Typesetting" w:cs="Arabic Typesetting"/>
          <w:sz w:val="28"/>
          <w:szCs w:val="28"/>
        </w:rPr>
        <w:footnoteRef/>
      </w:r>
      <w:r w:rsidRPr="0086174B">
        <w:rPr>
          <w:rFonts w:ascii="Arabic Typesetting" w:hAnsi="Arabic Typesetting" w:cs="Arabic Typesetting"/>
          <w:sz w:val="28"/>
          <w:szCs w:val="28"/>
          <w:rtl/>
        </w:rPr>
        <w:t xml:space="preserve"> انظر الحاشية السابقة.</w:t>
      </w:r>
    </w:p>
  </w:footnote>
  <w:footnote w:id="180">
    <w:p w:rsidR="000B5473" w:rsidRPr="00324187" w:rsidRDefault="000B5473" w:rsidP="00324187">
      <w:pPr>
        <w:pStyle w:val="FootnoteText"/>
        <w:bidi/>
        <w:rPr>
          <w:rFonts w:ascii="Arabic Typesetting" w:hAnsi="Arabic Typesetting" w:cs="Arabic Typesetting"/>
          <w:sz w:val="28"/>
          <w:szCs w:val="28"/>
          <w:rtl/>
        </w:rPr>
      </w:pPr>
      <w:r w:rsidRPr="00324187">
        <w:rPr>
          <w:rStyle w:val="FootnoteReference"/>
          <w:rFonts w:ascii="Arabic Typesetting" w:hAnsi="Arabic Typesetting" w:cs="Arabic Typesetting"/>
          <w:sz w:val="28"/>
          <w:szCs w:val="28"/>
        </w:rPr>
        <w:footnoteRef/>
      </w:r>
      <w:r w:rsidRPr="00324187">
        <w:rPr>
          <w:rFonts w:ascii="Arabic Typesetting" w:hAnsi="Arabic Typesetting" w:cs="Arabic Typesetting"/>
          <w:sz w:val="28"/>
          <w:szCs w:val="28"/>
          <w:rtl/>
        </w:rPr>
        <w:t xml:space="preserve"> لوحظ خلال العمل التحضيري أن طريقة تركيب النوافذ الأصلية في أواخر السبعينيات لن تسمح بتنفيذ الخطة المزمعة لفك النوافذ بسهولة من الناحية</w:t>
      </w:r>
      <w:r>
        <w:rPr>
          <w:rFonts w:ascii="Arabic Typesetting" w:hAnsi="Arabic Typesetting" w:cs="Arabic Typesetting" w:hint="cs"/>
          <w:sz w:val="28"/>
          <w:szCs w:val="28"/>
          <w:rtl/>
        </w:rPr>
        <w:t> الفنية</w:t>
      </w:r>
      <w:r w:rsidRPr="00324187">
        <w:rPr>
          <w:rFonts w:ascii="Arabic Typesetting" w:hAnsi="Arabic Typesetting" w:cs="Arabic Typesetting"/>
          <w:sz w:val="28"/>
          <w:szCs w:val="28"/>
          <w:rtl/>
        </w:rPr>
        <w:t>.</w:t>
      </w:r>
    </w:p>
  </w:footnote>
  <w:footnote w:id="181">
    <w:p w:rsidR="000B5473" w:rsidRPr="007B1109" w:rsidRDefault="000B5473" w:rsidP="00720203">
      <w:pPr>
        <w:pStyle w:val="FootnoteText"/>
        <w:bidi/>
        <w:rPr>
          <w:rFonts w:ascii="Arabic Typesetting" w:hAnsi="Arabic Typesetting" w:cs="Arabic Typesetting"/>
          <w:sz w:val="28"/>
          <w:szCs w:val="28"/>
          <w:rtl/>
        </w:rPr>
      </w:pPr>
      <w:r w:rsidRPr="00F96634">
        <w:rPr>
          <w:rStyle w:val="FootnoteReference"/>
          <w:rFonts w:ascii="Arabic Typesetting" w:hAnsi="Arabic Typesetting" w:cs="Arabic Typesetting"/>
          <w:sz w:val="28"/>
          <w:szCs w:val="28"/>
        </w:rPr>
        <w:footnoteRef/>
      </w:r>
      <w:r w:rsidRPr="007B1109">
        <w:rPr>
          <w:rFonts w:ascii="Arabic Typesetting" w:hAnsi="Arabic Typesetting" w:cs="Arabic Typesetting"/>
          <w:sz w:val="28"/>
          <w:szCs w:val="28"/>
          <w:rtl/>
        </w:rPr>
        <w:t xml:space="preserve"> </w:t>
      </w:r>
      <w:r>
        <w:rPr>
          <w:rFonts w:ascii="Arabic Typesetting" w:hAnsi="Arabic Typesetting" w:cs="Arabic Typesetting"/>
          <w:sz w:val="28"/>
          <w:szCs w:val="28"/>
          <w:rtl/>
        </w:rPr>
        <w:t xml:space="preserve">يُرجى الانتباه إلى أن المبالغ الواردة في عمود </w:t>
      </w:r>
      <w:r>
        <w:rPr>
          <w:rFonts w:ascii="Arabic Typesetting" w:hAnsi="Arabic Typesetting" w:cs="Arabic Typesetting" w:hint="cs"/>
          <w:sz w:val="28"/>
          <w:szCs w:val="28"/>
          <w:rtl/>
        </w:rPr>
        <w:t>"</w:t>
      </w:r>
      <w:r>
        <w:rPr>
          <w:rFonts w:ascii="Arabic Typesetting" w:hAnsi="Arabic Typesetting" w:cs="Arabic Typesetting"/>
          <w:sz w:val="28"/>
          <w:szCs w:val="28"/>
          <w:rtl/>
        </w:rPr>
        <w:t>النفقات الفعلية حتى تاريخه</w:t>
      </w:r>
      <w:r>
        <w:rPr>
          <w:rFonts w:ascii="Arabic Typesetting" w:hAnsi="Arabic Typesetting" w:cs="Arabic Typesetting" w:hint="cs"/>
          <w:sz w:val="28"/>
          <w:szCs w:val="28"/>
          <w:rtl/>
        </w:rPr>
        <w:t>"</w:t>
      </w:r>
      <w:r>
        <w:rPr>
          <w:rFonts w:ascii="Arabic Typesetting" w:hAnsi="Arabic Typesetting" w:cs="Arabic Typesetting"/>
          <w:sz w:val="28"/>
          <w:szCs w:val="28"/>
          <w:rtl/>
        </w:rPr>
        <w:t xml:space="preserve"> من الجداول التالية لا تشمل الأعباء المالية.</w:t>
      </w:r>
    </w:p>
  </w:footnote>
  <w:footnote w:id="182">
    <w:p w:rsidR="000B5473" w:rsidRPr="007B1109" w:rsidRDefault="000B5473" w:rsidP="00720203">
      <w:pPr>
        <w:pStyle w:val="FootnoteText"/>
        <w:bidi/>
        <w:rPr>
          <w:rFonts w:ascii="Arabic Typesetting" w:hAnsi="Arabic Typesetting" w:cs="Arabic Typesetting"/>
          <w:sz w:val="28"/>
          <w:szCs w:val="28"/>
          <w:rtl/>
        </w:rPr>
      </w:pPr>
      <w:r w:rsidRPr="00F96634">
        <w:rPr>
          <w:rStyle w:val="FootnoteReference"/>
          <w:rFonts w:ascii="Arabic Typesetting" w:hAnsi="Arabic Typesetting" w:cs="Arabic Typesetting"/>
          <w:sz w:val="28"/>
          <w:szCs w:val="28"/>
        </w:rPr>
        <w:footnoteRef/>
      </w:r>
      <w:r w:rsidRPr="007B1109">
        <w:rPr>
          <w:rFonts w:ascii="Arabic Typesetting" w:hAnsi="Arabic Typesetting" w:cs="Arabic Typesetting"/>
          <w:sz w:val="28"/>
          <w:szCs w:val="28"/>
          <w:rtl/>
        </w:rPr>
        <w:t xml:space="preserve"> </w:t>
      </w:r>
      <w:r>
        <w:rPr>
          <w:rFonts w:ascii="Arabic Typesetting" w:hAnsi="Arabic Typesetting" w:cs="Arabic Typesetting"/>
          <w:sz w:val="28"/>
          <w:szCs w:val="28"/>
          <w:rtl/>
        </w:rPr>
        <w:t xml:space="preserve">يُرجى الانتباه إلى أن المبالغ الواردة في عمود </w:t>
      </w:r>
      <w:r>
        <w:rPr>
          <w:rFonts w:ascii="Arabic Typesetting" w:hAnsi="Arabic Typesetting" w:cs="Arabic Typesetting" w:hint="cs"/>
          <w:sz w:val="28"/>
          <w:szCs w:val="28"/>
          <w:rtl/>
        </w:rPr>
        <w:t>"</w:t>
      </w:r>
      <w:r>
        <w:rPr>
          <w:rFonts w:ascii="Arabic Typesetting" w:hAnsi="Arabic Typesetting" w:cs="Arabic Typesetting"/>
          <w:sz w:val="28"/>
          <w:szCs w:val="28"/>
          <w:rtl/>
        </w:rPr>
        <w:t>النفقات الفعلية حتى تاريخه</w:t>
      </w:r>
      <w:r>
        <w:rPr>
          <w:rFonts w:ascii="Arabic Typesetting" w:hAnsi="Arabic Typesetting" w:cs="Arabic Typesetting" w:hint="cs"/>
          <w:sz w:val="28"/>
          <w:szCs w:val="28"/>
          <w:rtl/>
        </w:rPr>
        <w:t>"</w:t>
      </w:r>
      <w:r>
        <w:rPr>
          <w:rFonts w:ascii="Arabic Typesetting" w:hAnsi="Arabic Typesetting" w:cs="Arabic Typesetting"/>
          <w:sz w:val="28"/>
          <w:szCs w:val="28"/>
          <w:rtl/>
        </w:rPr>
        <w:t xml:space="preserve"> من الجداول التالية لا تشمل الأعباء المالية.</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647020" w:rsidRDefault="000B5473" w:rsidP="00612849">
    <w:pPr>
      <w:bidi/>
      <w:rPr>
        <w:rFonts w:ascii="Arabic Typesetting" w:hAnsi="Arabic Typesetting" w:cs="Arabic Typesetting"/>
        <w:b/>
        <w:bCs/>
        <w:sz w:val="36"/>
        <w:szCs w:val="32"/>
        <w:rtl/>
      </w:rPr>
    </w:pPr>
    <w:r w:rsidRPr="00647020">
      <w:rPr>
        <w:rFonts w:ascii="Arabic Typesetting" w:hAnsi="Arabic Typesetting" w:cs="Arabic Typesetting"/>
        <w:b/>
        <w:bCs/>
        <w:sz w:val="36"/>
        <w:szCs w:val="32"/>
        <w:rtl/>
      </w:rPr>
      <w:t xml:space="preserve">تقرير أداء البرنامج </w:t>
    </w:r>
    <w:r w:rsidRPr="00647020">
      <w:rPr>
        <w:rFonts w:ascii="Arabic Typesetting" w:hAnsi="Arabic Typesetting" w:cs="Arabic Typesetting" w:hint="cs"/>
        <w:b/>
        <w:bCs/>
        <w:sz w:val="36"/>
        <w:szCs w:val="32"/>
        <w:rtl/>
      </w:rPr>
      <w:t>2014/15</w:t>
    </w:r>
  </w:p>
  <w:p w:rsidR="000B5473" w:rsidRPr="00647020" w:rsidRDefault="000B5473" w:rsidP="00612849">
    <w:pPr>
      <w:pStyle w:val="Header"/>
      <w:jc w:val="right"/>
      <w:rPr>
        <w:b/>
        <w:bCs/>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647020" w:rsidRDefault="000B5473" w:rsidP="00497CA5">
    <w:pPr>
      <w:bidi/>
      <w:jc w:val="right"/>
      <w:rPr>
        <w:rFonts w:ascii="Arabic Typesetting" w:hAnsi="Arabic Typesetting" w:cs="Arabic Typesetting"/>
        <w:b/>
        <w:bCs/>
        <w:sz w:val="36"/>
        <w:szCs w:val="32"/>
        <w:rtl/>
      </w:rPr>
    </w:pPr>
    <w:r w:rsidRPr="00647020">
      <w:rPr>
        <w:rFonts w:ascii="Arabic Typesetting" w:hAnsi="Arabic Typesetting" w:cs="Arabic Typesetting"/>
        <w:b/>
        <w:bCs/>
        <w:sz w:val="36"/>
        <w:szCs w:val="32"/>
        <w:rtl/>
      </w:rPr>
      <w:t xml:space="preserve">تقرير أداء البرنامج </w:t>
    </w:r>
    <w:r w:rsidRPr="00647020">
      <w:rPr>
        <w:rFonts w:ascii="Arabic Typesetting" w:hAnsi="Arabic Typesetting" w:cs="Arabic Typesetting" w:hint="cs"/>
        <w:b/>
        <w:bCs/>
        <w:sz w:val="36"/>
        <w:szCs w:val="32"/>
        <w:rtl/>
      </w:rPr>
      <w:t>2014/15</w:t>
    </w:r>
  </w:p>
  <w:p w:rsidR="000B5473" w:rsidRPr="00497CA5" w:rsidRDefault="000B5473" w:rsidP="00497CA5">
    <w:pPr>
      <w:bidi/>
      <w:jc w:val="right"/>
      <w:rPr>
        <w:rFonts w:ascii="Arabic Typesetting" w:hAnsi="Arabic Typesetting" w:cs="Arabic Typesetting"/>
        <w:b/>
        <w:bCs/>
        <w:sz w:val="32"/>
        <w:szCs w:val="32"/>
        <w:rtl/>
      </w:rPr>
    </w:pPr>
    <w:r w:rsidRPr="00497CA5">
      <w:rPr>
        <w:rFonts w:ascii="Arabic Typesetting" w:hAnsi="Arabic Typesetting" w:cs="Arabic Typesetting"/>
        <w:b/>
        <w:bCs/>
        <w:sz w:val="32"/>
        <w:szCs w:val="32"/>
        <w:rtl/>
      </w:rPr>
      <w:t>الملحقات</w:t>
    </w:r>
  </w:p>
  <w:p w:rsidR="000B5473" w:rsidRPr="00647020" w:rsidRDefault="000B5473" w:rsidP="00497CA5">
    <w:pPr>
      <w:bidi/>
      <w:jc w:val="right"/>
      <w:rPr>
        <w:b/>
        <w:bC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F152A2" w:rsidRDefault="000B5473" w:rsidP="009A3092">
    <w:pPr>
      <w:bidi/>
      <w:rPr>
        <w:rFonts w:ascii="Arabic Typesetting" w:hAnsi="Arabic Typesetting" w:cs="Arabic Typesetting"/>
        <w:sz w:val="36"/>
        <w:szCs w:val="32"/>
        <w:rtl/>
      </w:rPr>
    </w:pPr>
    <w:r w:rsidRPr="00F152A2">
      <w:rPr>
        <w:rFonts w:ascii="Arabic Typesetting" w:hAnsi="Arabic Typesetting" w:cs="Arabic Typesetting"/>
        <w:sz w:val="36"/>
        <w:szCs w:val="32"/>
        <w:rtl/>
      </w:rPr>
      <w:t xml:space="preserve">تقرير أداء البرنامج </w:t>
    </w:r>
    <w:r>
      <w:rPr>
        <w:rFonts w:ascii="Arabic Typesetting" w:hAnsi="Arabic Typesetting" w:cs="Arabic Typesetting" w:hint="cs"/>
        <w:sz w:val="36"/>
        <w:szCs w:val="32"/>
        <w:rtl/>
      </w:rPr>
      <w:t>2014/15</w:t>
    </w:r>
  </w:p>
  <w:p w:rsidR="000B5473" w:rsidRDefault="000B5473" w:rsidP="00B31868">
    <w:pPr>
      <w:bid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F152A2" w:rsidRDefault="000B5473" w:rsidP="009A3092">
    <w:pPr>
      <w:bidi/>
      <w:rPr>
        <w:rFonts w:ascii="Arabic Typesetting" w:hAnsi="Arabic Typesetting" w:cs="Arabic Typesetting"/>
        <w:sz w:val="36"/>
        <w:szCs w:val="32"/>
        <w:rtl/>
      </w:rPr>
    </w:pPr>
    <w:r w:rsidRPr="00F152A2">
      <w:rPr>
        <w:rFonts w:ascii="Arabic Typesetting" w:hAnsi="Arabic Typesetting" w:cs="Arabic Typesetting"/>
        <w:sz w:val="36"/>
        <w:szCs w:val="32"/>
        <w:rtl/>
      </w:rPr>
      <w:t xml:space="preserve">تقرير أداء البرنامج </w:t>
    </w:r>
    <w:r>
      <w:rPr>
        <w:rFonts w:ascii="Arabic Typesetting" w:hAnsi="Arabic Typesetting" w:cs="Arabic Typesetting" w:hint="cs"/>
        <w:sz w:val="36"/>
        <w:szCs w:val="32"/>
        <w:rtl/>
      </w:rPr>
      <w:t>2014/15</w:t>
    </w:r>
  </w:p>
  <w:p w:rsidR="000B5473" w:rsidRDefault="000B5473" w:rsidP="00B31868">
    <w:pPr>
      <w:bid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Default="000B5473">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647020" w:rsidRDefault="000B5473" w:rsidP="0059687A">
    <w:pPr>
      <w:bidi/>
      <w:rPr>
        <w:rFonts w:ascii="Arabic Typesetting" w:hAnsi="Arabic Typesetting" w:cs="Arabic Typesetting"/>
        <w:b/>
        <w:bCs/>
        <w:sz w:val="36"/>
        <w:szCs w:val="32"/>
        <w:rtl/>
      </w:rPr>
    </w:pPr>
    <w:r w:rsidRPr="00647020">
      <w:rPr>
        <w:rFonts w:ascii="Arabic Typesetting" w:hAnsi="Arabic Typesetting" w:cs="Arabic Typesetting"/>
        <w:b/>
        <w:bCs/>
        <w:sz w:val="36"/>
        <w:szCs w:val="32"/>
        <w:rtl/>
      </w:rPr>
      <w:t xml:space="preserve">تقرير أداء البرنامج </w:t>
    </w:r>
    <w:r w:rsidRPr="00647020">
      <w:rPr>
        <w:rFonts w:ascii="Arabic Typesetting" w:hAnsi="Arabic Typesetting" w:cs="Arabic Typesetting" w:hint="cs"/>
        <w:b/>
        <w:bCs/>
        <w:sz w:val="36"/>
        <w:szCs w:val="32"/>
        <w:rtl/>
      </w:rPr>
      <w:t>2014/15</w:t>
    </w:r>
  </w:p>
  <w:p w:rsidR="000B5473" w:rsidRPr="00647020" w:rsidRDefault="000B5473" w:rsidP="0059687A">
    <w:pPr>
      <w:pStyle w:val="Header"/>
      <w:jc w:val="right"/>
      <w:rPr>
        <w:b/>
        <w:bC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647020" w:rsidRDefault="000B5473" w:rsidP="0059687A">
    <w:pPr>
      <w:bidi/>
      <w:jc w:val="right"/>
      <w:rPr>
        <w:rFonts w:ascii="Arabic Typesetting" w:hAnsi="Arabic Typesetting" w:cs="Arabic Typesetting"/>
        <w:b/>
        <w:bCs/>
        <w:sz w:val="36"/>
        <w:szCs w:val="32"/>
        <w:rtl/>
      </w:rPr>
    </w:pPr>
    <w:r w:rsidRPr="00647020">
      <w:rPr>
        <w:rFonts w:ascii="Arabic Typesetting" w:hAnsi="Arabic Typesetting" w:cs="Arabic Typesetting"/>
        <w:b/>
        <w:bCs/>
        <w:sz w:val="36"/>
        <w:szCs w:val="32"/>
        <w:rtl/>
      </w:rPr>
      <w:t xml:space="preserve">تقرير أداء البرنامج </w:t>
    </w:r>
    <w:r w:rsidRPr="00647020">
      <w:rPr>
        <w:rFonts w:ascii="Arabic Typesetting" w:hAnsi="Arabic Typesetting" w:cs="Arabic Typesetting" w:hint="cs"/>
        <w:b/>
        <w:bCs/>
        <w:sz w:val="36"/>
        <w:szCs w:val="32"/>
        <w:rtl/>
      </w:rPr>
      <w:t>2014/15</w:t>
    </w:r>
  </w:p>
  <w:p w:rsidR="000B5473" w:rsidRPr="00647020" w:rsidRDefault="000B5473" w:rsidP="0059687A">
    <w:pPr>
      <w:bidi/>
      <w:jc w:val="right"/>
      <w:rPr>
        <w:b/>
        <w:bCs/>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647020" w:rsidRDefault="000B5473" w:rsidP="005F37C8">
    <w:pPr>
      <w:bidi/>
      <w:jc w:val="right"/>
      <w:rPr>
        <w:rFonts w:ascii="Arabic Typesetting" w:hAnsi="Arabic Typesetting" w:cs="Arabic Typesetting"/>
        <w:b/>
        <w:bCs/>
        <w:sz w:val="36"/>
        <w:szCs w:val="32"/>
        <w:rtl/>
      </w:rPr>
    </w:pPr>
    <w:r w:rsidRPr="00647020">
      <w:rPr>
        <w:rFonts w:ascii="Arabic Typesetting" w:hAnsi="Arabic Typesetting" w:cs="Arabic Typesetting"/>
        <w:b/>
        <w:bCs/>
        <w:sz w:val="36"/>
        <w:szCs w:val="32"/>
        <w:rtl/>
      </w:rPr>
      <w:t xml:space="preserve">تقرير أداء البرنامج </w:t>
    </w:r>
    <w:r w:rsidRPr="00647020">
      <w:rPr>
        <w:rFonts w:ascii="Arabic Typesetting" w:hAnsi="Arabic Typesetting" w:cs="Arabic Typesetting" w:hint="cs"/>
        <w:b/>
        <w:bCs/>
        <w:sz w:val="36"/>
        <w:szCs w:val="32"/>
        <w:rtl/>
      </w:rPr>
      <w:t>2014/15</w:t>
    </w:r>
  </w:p>
  <w:p w:rsidR="000B5473" w:rsidRPr="00647020" w:rsidRDefault="000B5473" w:rsidP="009F0E15">
    <w:pPr>
      <w:bidi/>
      <w:jc w:val="right"/>
      <w:rPr>
        <w:b/>
        <w:bC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647020" w:rsidRDefault="000B5473" w:rsidP="006F0AFD">
    <w:pPr>
      <w:bidi/>
      <w:rPr>
        <w:rFonts w:ascii="Arabic Typesetting" w:hAnsi="Arabic Typesetting" w:cs="Arabic Typesetting"/>
        <w:b/>
        <w:bCs/>
        <w:sz w:val="36"/>
        <w:szCs w:val="32"/>
        <w:rtl/>
      </w:rPr>
    </w:pPr>
    <w:r w:rsidRPr="00647020">
      <w:rPr>
        <w:rFonts w:ascii="Arabic Typesetting" w:hAnsi="Arabic Typesetting" w:cs="Arabic Typesetting"/>
        <w:b/>
        <w:bCs/>
        <w:sz w:val="36"/>
        <w:szCs w:val="32"/>
        <w:rtl/>
      </w:rPr>
      <w:t xml:space="preserve">تقرير أداء البرنامج </w:t>
    </w:r>
    <w:r w:rsidRPr="00647020">
      <w:rPr>
        <w:rFonts w:ascii="Arabic Typesetting" w:hAnsi="Arabic Typesetting" w:cs="Arabic Typesetting" w:hint="cs"/>
        <w:b/>
        <w:bCs/>
        <w:sz w:val="36"/>
        <w:szCs w:val="32"/>
        <w:rtl/>
      </w:rPr>
      <w:t>2014/15</w:t>
    </w:r>
  </w:p>
  <w:p w:rsidR="000B5473" w:rsidRPr="00497CA5" w:rsidRDefault="000B5473" w:rsidP="006F0AFD">
    <w:pPr>
      <w:bidi/>
      <w:rPr>
        <w:rFonts w:ascii="Arabic Typesetting" w:hAnsi="Arabic Typesetting" w:cs="Arabic Typesetting"/>
        <w:b/>
        <w:bCs/>
        <w:sz w:val="32"/>
        <w:szCs w:val="32"/>
        <w:rtl/>
      </w:rPr>
    </w:pPr>
    <w:r w:rsidRPr="00497CA5">
      <w:rPr>
        <w:rFonts w:ascii="Arabic Typesetting" w:hAnsi="Arabic Typesetting" w:cs="Arabic Typesetting"/>
        <w:b/>
        <w:bCs/>
        <w:sz w:val="32"/>
        <w:szCs w:val="32"/>
        <w:rtl/>
      </w:rPr>
      <w:t>الملحقات</w:t>
    </w:r>
  </w:p>
  <w:p w:rsidR="000B5473" w:rsidRPr="00647020" w:rsidRDefault="000B5473" w:rsidP="006F0AFD">
    <w:pPr>
      <w:bidi/>
      <w:rPr>
        <w:b/>
        <w:bCs/>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5473" w:rsidRPr="00647020" w:rsidRDefault="000B5473" w:rsidP="006F0AFD">
    <w:pPr>
      <w:bidi/>
      <w:jc w:val="right"/>
      <w:rPr>
        <w:rFonts w:ascii="Arabic Typesetting" w:hAnsi="Arabic Typesetting" w:cs="Arabic Typesetting"/>
        <w:b/>
        <w:bCs/>
        <w:sz w:val="36"/>
        <w:szCs w:val="32"/>
        <w:rtl/>
      </w:rPr>
    </w:pPr>
    <w:r w:rsidRPr="00647020">
      <w:rPr>
        <w:rFonts w:ascii="Arabic Typesetting" w:hAnsi="Arabic Typesetting" w:cs="Arabic Typesetting"/>
        <w:b/>
        <w:bCs/>
        <w:sz w:val="36"/>
        <w:szCs w:val="32"/>
        <w:rtl/>
      </w:rPr>
      <w:t xml:space="preserve">تقرير أداء البرنامج </w:t>
    </w:r>
    <w:r w:rsidRPr="00647020">
      <w:rPr>
        <w:rFonts w:ascii="Arabic Typesetting" w:hAnsi="Arabic Typesetting" w:cs="Arabic Typesetting" w:hint="cs"/>
        <w:b/>
        <w:bCs/>
        <w:sz w:val="36"/>
        <w:szCs w:val="32"/>
        <w:rtl/>
      </w:rPr>
      <w:t>2014/15</w:t>
    </w:r>
  </w:p>
  <w:p w:rsidR="000B5473" w:rsidRPr="00497CA5" w:rsidRDefault="000B5473" w:rsidP="006F0AFD">
    <w:pPr>
      <w:bidi/>
      <w:jc w:val="right"/>
      <w:rPr>
        <w:rFonts w:ascii="Arabic Typesetting" w:hAnsi="Arabic Typesetting" w:cs="Arabic Typesetting"/>
        <w:b/>
        <w:bCs/>
        <w:sz w:val="32"/>
        <w:szCs w:val="32"/>
        <w:rtl/>
      </w:rPr>
    </w:pPr>
    <w:r w:rsidRPr="00497CA5">
      <w:rPr>
        <w:rFonts w:ascii="Arabic Typesetting" w:hAnsi="Arabic Typesetting" w:cs="Arabic Typesetting"/>
        <w:b/>
        <w:bCs/>
        <w:sz w:val="32"/>
        <w:szCs w:val="32"/>
        <w:rtl/>
      </w:rPr>
      <w:t>الملحقات</w:t>
    </w:r>
  </w:p>
  <w:p w:rsidR="000B5473" w:rsidRPr="00647020" w:rsidRDefault="000B5473" w:rsidP="006F0AFD">
    <w:pPr>
      <w:bidi/>
      <w:jc w:val="right"/>
      <w:rPr>
        <w:b/>
        <w:bC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C3D7C"/>
    <w:multiLevelType w:val="hybridMultilevel"/>
    <w:tmpl w:val="D3A84E7E"/>
    <w:lvl w:ilvl="0" w:tplc="913AE5C0">
      <w:start w:val="1"/>
      <w:numFmt w:val="decimal"/>
      <w:lvlText w:val="%1.3."/>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2AE7EB9"/>
    <w:multiLevelType w:val="hybridMultilevel"/>
    <w:tmpl w:val="AB78A68C"/>
    <w:lvl w:ilvl="0" w:tplc="C28E6B1E">
      <w:start w:val="1"/>
      <w:numFmt w:val="bullet"/>
      <w:lvlText w:val=""/>
      <w:lvlJc w:val="left"/>
      <w:pPr>
        <w:ind w:left="720" w:hanging="360"/>
      </w:pPr>
      <w:rPr>
        <w:rFonts w:ascii="Symbol" w:hAnsi="Symbol" w:hint="default"/>
        <w:sz w:val="24"/>
        <w:szCs w:val="2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
    <w:nsid w:val="04887BA0"/>
    <w:multiLevelType w:val="hybridMultilevel"/>
    <w:tmpl w:val="7B18EE76"/>
    <w:lvl w:ilvl="0" w:tplc="D7427B60">
      <w:start w:val="1"/>
      <w:numFmt w:val="bullet"/>
      <w:lvlText w:val=""/>
      <w:lvlJc w:val="left"/>
      <w:pPr>
        <w:ind w:left="720" w:hanging="360"/>
      </w:pPr>
      <w:rPr>
        <w:rFonts w:ascii="Symbol" w:hAnsi="Symbol" w:hint="default"/>
        <w:sz w:val="24"/>
        <w:szCs w:val="2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3">
    <w:nsid w:val="07F20D78"/>
    <w:multiLevelType w:val="hybridMultilevel"/>
    <w:tmpl w:val="A2E26638"/>
    <w:lvl w:ilvl="0" w:tplc="87BCB9A0">
      <w:start w:val="1"/>
      <w:numFmt w:val="decimal"/>
      <w:lvlText w:val="%1.29."/>
      <w:lvlJc w:val="left"/>
      <w:pPr>
        <w:ind w:left="720" w:hanging="360"/>
      </w:pPr>
      <w:rPr>
        <w:rFonts w:ascii="Arabic Typesetting" w:hAnsi="Arabic Typesetting" w:cs="Arabic Typesetting" w:hint="default"/>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162A0A"/>
    <w:multiLevelType w:val="hybridMultilevel"/>
    <w:tmpl w:val="E5B29AA4"/>
    <w:lvl w:ilvl="0" w:tplc="18000884">
      <w:start w:val="1"/>
      <w:numFmt w:val="decimal"/>
      <w:lvlText w:val="%1."/>
      <w:lvlJc w:val="left"/>
      <w:pPr>
        <w:tabs>
          <w:tab w:val="num" w:pos="567"/>
        </w:tabs>
        <w:ind w:left="0" w:firstLine="0"/>
      </w:pPr>
      <w:rPr>
        <w:rFonts w:ascii="Arabic Typesetting" w:hAnsi="Arabic Typesetting" w:cs="Arabic Typesetting"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B963281"/>
    <w:multiLevelType w:val="hybridMultilevel"/>
    <w:tmpl w:val="906C1138"/>
    <w:lvl w:ilvl="0" w:tplc="96D4E6BE">
      <w:start w:val="1"/>
      <w:numFmt w:val="decimal"/>
      <w:lvlText w:val="%1."/>
      <w:lvlJc w:val="left"/>
      <w:pPr>
        <w:tabs>
          <w:tab w:val="num" w:pos="567"/>
        </w:tabs>
        <w:ind w:left="0" w:firstLine="0"/>
      </w:pPr>
      <w:rPr>
        <w:rFonts w:ascii="Arabic Typesetting" w:hAnsi="Arabic Typesetting" w:cs="Arabic Typesetting" w:hint="default"/>
        <w:sz w:val="36"/>
        <w:szCs w:val="36"/>
      </w:rPr>
    </w:lvl>
    <w:lvl w:ilvl="1" w:tplc="F63CFED6">
      <w:start w:val="1"/>
      <w:numFmt w:val="decimal"/>
      <w:lvlText w:val="&quot;%2&quot;"/>
      <w:lvlJc w:val="left"/>
      <w:pPr>
        <w:tabs>
          <w:tab w:val="num" w:pos="1440"/>
        </w:tabs>
        <w:ind w:left="1440" w:hanging="360"/>
      </w:pPr>
      <w:rPr>
        <w:rFonts w:cs="Times New Roman"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BD4753D"/>
    <w:multiLevelType w:val="hybridMultilevel"/>
    <w:tmpl w:val="829C0E5E"/>
    <w:lvl w:ilvl="0" w:tplc="999C81B8">
      <w:start w:val="1"/>
      <w:numFmt w:val="decimal"/>
      <w:lvlText w:val="%1.6."/>
      <w:lvlJc w:val="left"/>
      <w:pPr>
        <w:ind w:left="720" w:hanging="360"/>
      </w:pPr>
      <w:rPr>
        <w:rFonts w:hint="default"/>
        <w:lang w:val="fr-CH"/>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D4B3814"/>
    <w:multiLevelType w:val="hybridMultilevel"/>
    <w:tmpl w:val="435C93EC"/>
    <w:lvl w:ilvl="0" w:tplc="04090001">
      <w:start w:val="1"/>
      <w:numFmt w:val="bullet"/>
      <w:pStyle w:val="StyleHeading214ptAuto"/>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D6C0A9D"/>
    <w:multiLevelType w:val="hybridMultilevel"/>
    <w:tmpl w:val="906C1138"/>
    <w:lvl w:ilvl="0" w:tplc="96D4E6BE">
      <w:start w:val="1"/>
      <w:numFmt w:val="decimal"/>
      <w:lvlText w:val="%1."/>
      <w:lvlJc w:val="left"/>
      <w:pPr>
        <w:tabs>
          <w:tab w:val="num" w:pos="567"/>
        </w:tabs>
        <w:ind w:left="0" w:firstLine="0"/>
      </w:pPr>
      <w:rPr>
        <w:rFonts w:ascii="Arabic Typesetting" w:hAnsi="Arabic Typesetting" w:cs="Arabic Typesetting" w:hint="default"/>
        <w:sz w:val="36"/>
        <w:szCs w:val="36"/>
      </w:rPr>
    </w:lvl>
    <w:lvl w:ilvl="1" w:tplc="F63CFED6">
      <w:start w:val="1"/>
      <w:numFmt w:val="decimal"/>
      <w:lvlText w:val="&quot;%2&quot;"/>
      <w:lvlJc w:val="left"/>
      <w:pPr>
        <w:tabs>
          <w:tab w:val="num" w:pos="1440"/>
        </w:tabs>
        <w:ind w:left="1440" w:hanging="360"/>
      </w:pPr>
      <w:rPr>
        <w:rFonts w:cs="Times New Roman"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ECC662A"/>
    <w:multiLevelType w:val="hybridMultilevel"/>
    <w:tmpl w:val="BA526BAC"/>
    <w:lvl w:ilvl="0" w:tplc="34DC35CE">
      <w:start w:val="1"/>
      <w:numFmt w:val="bullet"/>
      <w:lvlText w:val=""/>
      <w:lvlJc w:val="left"/>
      <w:pPr>
        <w:ind w:left="720" w:hanging="360"/>
      </w:pPr>
      <w:rPr>
        <w:rFonts w:ascii="Symbol" w:hAnsi="Symbol" w:hint="default"/>
        <w:sz w:val="24"/>
        <w:szCs w:val="2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0">
    <w:nsid w:val="0FB95C5D"/>
    <w:multiLevelType w:val="hybridMultilevel"/>
    <w:tmpl w:val="64741866"/>
    <w:lvl w:ilvl="0" w:tplc="011E3F2E">
      <w:start w:val="1"/>
      <w:numFmt w:val="decimal"/>
      <w:lvlText w:val="%1.30."/>
      <w:lvlJc w:val="left"/>
      <w:pPr>
        <w:ind w:left="720" w:hanging="360"/>
      </w:pPr>
      <w:rPr>
        <w:rFonts w:ascii="Arabic Typesetting" w:hAnsi="Arabic Typesetting" w:cs="Arabic Typesetting" w:hint="default"/>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29A5F6B"/>
    <w:multiLevelType w:val="hybridMultilevel"/>
    <w:tmpl w:val="ED5EB35A"/>
    <w:lvl w:ilvl="0" w:tplc="9B6628FE">
      <w:numFmt w:val="bullet"/>
      <w:lvlText w:val="-"/>
      <w:lvlJc w:val="left"/>
      <w:pPr>
        <w:ind w:left="420" w:hanging="360"/>
      </w:pPr>
      <w:rPr>
        <w:rFonts w:ascii="Arial" w:eastAsia="Times New Roman" w:hAnsi="Arial" w:hint="default"/>
      </w:rPr>
    </w:lvl>
    <w:lvl w:ilvl="1" w:tplc="04090003" w:tentative="1">
      <w:start w:val="1"/>
      <w:numFmt w:val="bullet"/>
      <w:lvlText w:val="o"/>
      <w:lvlJc w:val="left"/>
      <w:pPr>
        <w:ind w:left="1140" w:hanging="360"/>
      </w:pPr>
      <w:rPr>
        <w:rFonts w:ascii="Courier New" w:hAnsi="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2">
    <w:nsid w:val="134E4272"/>
    <w:multiLevelType w:val="hybridMultilevel"/>
    <w:tmpl w:val="F670BC62"/>
    <w:lvl w:ilvl="0" w:tplc="792054EA">
      <w:start w:val="1"/>
      <w:numFmt w:val="decimal"/>
      <w:lvlText w:val="%1."/>
      <w:lvlJc w:val="left"/>
      <w:pPr>
        <w:tabs>
          <w:tab w:val="num" w:pos="567"/>
        </w:tabs>
        <w:ind w:left="0" w:firstLine="0"/>
      </w:pPr>
      <w:rPr>
        <w:rFonts w:ascii="Arabic Typesetting" w:hAnsi="Arabic Typesetting" w:cs="Arabic Typesetting" w:hint="default"/>
        <w:sz w:val="34"/>
        <w:szCs w:val="3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41F0DE2"/>
    <w:multiLevelType w:val="hybridMultilevel"/>
    <w:tmpl w:val="98A8DB96"/>
    <w:lvl w:ilvl="0" w:tplc="81808250">
      <w:start w:val="1"/>
      <w:numFmt w:val="decimal"/>
      <w:lvlText w:val="%1.23."/>
      <w:lvlJc w:val="left"/>
      <w:pPr>
        <w:ind w:left="720" w:hanging="360"/>
      </w:pPr>
      <w:rPr>
        <w:rFonts w:ascii="Arabic Typesetting" w:hAnsi="Arabic Typesetting" w:cs="Arabic Typesetting" w:hint="default"/>
        <w:color w:val="auto"/>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8756471"/>
    <w:multiLevelType w:val="hybridMultilevel"/>
    <w:tmpl w:val="234C6FBA"/>
    <w:lvl w:ilvl="0" w:tplc="2D4AE1C4">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AE1548E"/>
    <w:multiLevelType w:val="hybridMultilevel"/>
    <w:tmpl w:val="5B08AAD0"/>
    <w:lvl w:ilvl="0" w:tplc="5BE24F5C">
      <w:start w:val="1"/>
      <w:numFmt w:val="decimal"/>
      <w:lvlText w:val="%1.25"/>
      <w:lvlJc w:val="left"/>
      <w:pPr>
        <w:tabs>
          <w:tab w:val="num" w:pos="1040"/>
        </w:tabs>
        <w:ind w:left="360" w:firstLine="0"/>
      </w:pPr>
      <w:rPr>
        <w:rFonts w:cs="Arabic Typesetting" w:hint="default"/>
        <w:bCs w:val="0"/>
        <w:iCs w:val="0"/>
        <w:sz w:val="34"/>
        <w:szCs w:val="34"/>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B05394F"/>
    <w:multiLevelType w:val="hybridMultilevel"/>
    <w:tmpl w:val="C6F2C612"/>
    <w:lvl w:ilvl="0" w:tplc="57D4F218">
      <w:start w:val="1"/>
      <w:numFmt w:val="decimal"/>
      <w:lvlText w:val="%1.10."/>
      <w:lvlJc w:val="left"/>
      <w:pPr>
        <w:ind w:left="720" w:hanging="360"/>
      </w:pPr>
      <w:rPr>
        <w:rFonts w:cs="Arabic Typesetting" w:hint="default"/>
        <w:bCs w:val="0"/>
        <w:iCs w:val="0"/>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B26288F"/>
    <w:multiLevelType w:val="hybridMultilevel"/>
    <w:tmpl w:val="970A0828"/>
    <w:lvl w:ilvl="0" w:tplc="2EAE1D6C">
      <w:start w:val="1"/>
      <w:numFmt w:val="decimal"/>
      <w:lvlText w:val="%1.14"/>
      <w:lvlJc w:val="left"/>
      <w:pPr>
        <w:ind w:left="720" w:hanging="360"/>
      </w:pPr>
      <w:rPr>
        <w:rFonts w:cs="Arabic Typesetting" w:hint="default"/>
        <w:bCs w:val="0"/>
        <w:iCs w:val="0"/>
        <w:szCs w:val="34"/>
        <w:lang w:bidi="ar-EG"/>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C9358C4"/>
    <w:multiLevelType w:val="hybridMultilevel"/>
    <w:tmpl w:val="4530BF50"/>
    <w:lvl w:ilvl="0" w:tplc="028ACED0">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CC267E7"/>
    <w:multiLevelType w:val="hybridMultilevel"/>
    <w:tmpl w:val="4A8C4EB0"/>
    <w:lvl w:ilvl="0" w:tplc="3DFC6650">
      <w:start w:val="1"/>
      <w:numFmt w:val="decimal"/>
      <w:lvlText w:val="%1.4."/>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E54297B"/>
    <w:multiLevelType w:val="hybridMultilevel"/>
    <w:tmpl w:val="F5ECE9CA"/>
    <w:lvl w:ilvl="0" w:tplc="AEB4DD94">
      <w:start w:val="1"/>
      <w:numFmt w:val="decimal"/>
      <w:lvlText w:val="%1.28"/>
      <w:lvlJc w:val="left"/>
      <w:pPr>
        <w:ind w:left="720" w:hanging="360"/>
      </w:pPr>
      <w:rPr>
        <w:rFonts w:hint="default"/>
        <w:b w:val="0"/>
        <w:bCs w:val="0"/>
        <w:sz w:val="34"/>
        <w:szCs w:val="34"/>
        <w:lang w:bidi="ar-EG"/>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F153255"/>
    <w:multiLevelType w:val="hybridMultilevel"/>
    <w:tmpl w:val="BD02A80E"/>
    <w:lvl w:ilvl="0" w:tplc="A610436A">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FD44917"/>
    <w:multiLevelType w:val="hybridMultilevel"/>
    <w:tmpl w:val="2D2C47FC"/>
    <w:lvl w:ilvl="0" w:tplc="DED0796C">
      <w:start w:val="1"/>
      <w:numFmt w:val="decimal"/>
      <w:lvlText w:val="%1.21"/>
      <w:lvlJc w:val="left"/>
      <w:pPr>
        <w:tabs>
          <w:tab w:val="num" w:pos="680"/>
        </w:tabs>
      </w:pPr>
      <w:rPr>
        <w:rFonts w:hint="default"/>
        <w:bCs w:val="0"/>
        <w:iCs w:val="0"/>
        <w:sz w:val="34"/>
        <w:szCs w:val="34"/>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23">
    <w:nsid w:val="22916058"/>
    <w:multiLevelType w:val="hybridMultilevel"/>
    <w:tmpl w:val="870670C6"/>
    <w:lvl w:ilvl="0" w:tplc="6438198C">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312213C"/>
    <w:multiLevelType w:val="hybridMultilevel"/>
    <w:tmpl w:val="80469EF6"/>
    <w:lvl w:ilvl="0" w:tplc="8534AE9E">
      <w:numFmt w:val="bullet"/>
      <w:lvlText w:val="-"/>
      <w:lvlJc w:val="left"/>
      <w:pPr>
        <w:ind w:left="720" w:hanging="360"/>
      </w:pPr>
      <w:rPr>
        <w:rFonts w:ascii="Arabic Typesetting" w:eastAsia="Times New Roman" w:hAnsi="Arabic Typesetting" w:cs="Arabic Typesetting"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4E63C75"/>
    <w:multiLevelType w:val="hybridMultilevel"/>
    <w:tmpl w:val="541652F4"/>
    <w:lvl w:ilvl="0" w:tplc="5C6AAE96">
      <w:start w:val="20"/>
      <w:numFmt w:val="bullet"/>
      <w:lvlText w:val="-"/>
      <w:lvlJc w:val="left"/>
      <w:pPr>
        <w:ind w:left="450" w:hanging="360"/>
      </w:pPr>
      <w:rPr>
        <w:rFonts w:ascii="Arabic Typesetting" w:eastAsia="Times New Roman" w:hAnsi="Arabic Typesetting" w:cs="Arabic Typesetting"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nsid w:val="25E87973"/>
    <w:multiLevelType w:val="hybridMultilevel"/>
    <w:tmpl w:val="025AB0C2"/>
    <w:lvl w:ilvl="0" w:tplc="D09EF666">
      <w:start w:val="1"/>
      <w:numFmt w:val="decimal"/>
      <w:lvlText w:val="%1."/>
      <w:lvlJc w:val="left"/>
      <w:pPr>
        <w:tabs>
          <w:tab w:val="num" w:pos="567"/>
        </w:tabs>
        <w:ind w:left="0" w:firstLine="0"/>
      </w:pPr>
      <w:rPr>
        <w:rFonts w:ascii="Arabic Typesetting" w:hAnsi="Arabic Typesetting" w:cs="Arabic Typesetting" w:hint="default"/>
        <w:sz w:val="36"/>
        <w:szCs w:val="3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286A13BD"/>
    <w:multiLevelType w:val="hybridMultilevel"/>
    <w:tmpl w:val="30D824CE"/>
    <w:lvl w:ilvl="0" w:tplc="5380D460">
      <w:start w:val="1"/>
      <w:numFmt w:val="decimal"/>
      <w:lvlText w:val="%1.24"/>
      <w:lvlJc w:val="left"/>
      <w:pPr>
        <w:ind w:left="719" w:hanging="360"/>
      </w:pPr>
      <w:rPr>
        <w:rFonts w:ascii="Arabic Typesetting" w:hAnsi="Arabic Typesetting" w:cs="Arabic Typesetting" w:hint="default"/>
        <w:sz w:val="34"/>
        <w:szCs w:val="34"/>
        <w:lang w:val="fr-CH"/>
      </w:r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28">
    <w:nsid w:val="29276FBC"/>
    <w:multiLevelType w:val="hybridMultilevel"/>
    <w:tmpl w:val="931CFCD6"/>
    <w:lvl w:ilvl="0" w:tplc="0340F842">
      <w:start w:val="1"/>
      <w:numFmt w:val="bullet"/>
      <w:lvlText w:val="-"/>
      <w:lvlJc w:val="left"/>
      <w:pPr>
        <w:ind w:left="720" w:hanging="360"/>
      </w:pPr>
      <w:rPr>
        <w:rFonts w:ascii="Arabic Typesetting" w:eastAsia="Times New Roman" w:hAnsi="Arabic Typesetting" w:cs="Arabic Typesetting"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95B3D81"/>
    <w:multiLevelType w:val="hybridMultilevel"/>
    <w:tmpl w:val="97A40646"/>
    <w:lvl w:ilvl="0" w:tplc="2898AC7A">
      <w:start w:val="1"/>
      <w:numFmt w:val="decimal"/>
      <w:lvlText w:val="%1."/>
      <w:lvlJc w:val="left"/>
      <w:pPr>
        <w:tabs>
          <w:tab w:val="num" w:pos="567"/>
        </w:tabs>
        <w:ind w:left="0" w:firstLine="0"/>
      </w:pPr>
      <w:rPr>
        <w:rFonts w:ascii="Arabic Typesetting" w:hAnsi="Arabic Typesetting" w:cs="Arabic Typesetting"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A360C62"/>
    <w:multiLevelType w:val="hybridMultilevel"/>
    <w:tmpl w:val="D2B886E0"/>
    <w:lvl w:ilvl="0" w:tplc="C1600B34">
      <w:start w:val="1"/>
      <w:numFmt w:val="decimal"/>
      <w:lvlText w:val="%1.15"/>
      <w:lvlJc w:val="left"/>
      <w:pPr>
        <w:ind w:left="720" w:hanging="360"/>
      </w:pPr>
      <w:rPr>
        <w:rFonts w:cs="Arabic Typesetting" w:hint="default"/>
        <w:bCs w:val="0"/>
        <w:iCs w:val="0"/>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A467875"/>
    <w:multiLevelType w:val="hybridMultilevel"/>
    <w:tmpl w:val="ED86DFD4"/>
    <w:lvl w:ilvl="0" w:tplc="90382A66">
      <w:start w:val="1"/>
      <w:numFmt w:val="decimal"/>
      <w:lvlText w:val="%1.20."/>
      <w:lvlJc w:val="left"/>
      <w:pPr>
        <w:ind w:left="720" w:hanging="360"/>
      </w:pPr>
      <w:rPr>
        <w:rFonts w:ascii="Arabic Typesetting" w:hAnsi="Arabic Typesetting" w:cs="Arabic Typesetting" w:hint="default"/>
        <w:sz w:val="34"/>
        <w:szCs w:val="3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nsid w:val="2A5A084C"/>
    <w:multiLevelType w:val="hybridMultilevel"/>
    <w:tmpl w:val="36523AB2"/>
    <w:lvl w:ilvl="0" w:tplc="0C5ED54A">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2A8A1C27"/>
    <w:multiLevelType w:val="hybridMultilevel"/>
    <w:tmpl w:val="8758AA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B022C2D"/>
    <w:multiLevelType w:val="hybridMultilevel"/>
    <w:tmpl w:val="DF32100A"/>
    <w:lvl w:ilvl="0" w:tplc="B33812F8">
      <w:start w:val="1"/>
      <w:numFmt w:val="decimal"/>
      <w:lvlText w:val="%1.16."/>
      <w:lvlJc w:val="left"/>
      <w:pPr>
        <w:ind w:left="720" w:hanging="360"/>
      </w:pPr>
      <w:rPr>
        <w:rFonts w:ascii="Arabic Typesetting" w:hAnsi="Arabic Typesetting" w:cs="Arabic Typesetting" w:hint="default"/>
        <w:sz w:val="34"/>
        <w:szCs w:val="34"/>
        <w:lang w:val="en-US" w:bidi="ar-EG"/>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F296868"/>
    <w:multiLevelType w:val="hybridMultilevel"/>
    <w:tmpl w:val="8A544AC8"/>
    <w:lvl w:ilvl="0" w:tplc="913AE5C0">
      <w:start w:val="1"/>
      <w:numFmt w:val="decimal"/>
      <w:lvlText w:val="%1.3."/>
      <w:lvlJc w:val="left"/>
      <w:pPr>
        <w:ind w:left="720" w:hanging="360"/>
      </w:pPr>
      <w:rPr>
        <w:rFonts w:hint="default"/>
      </w:rPr>
    </w:lvl>
    <w:lvl w:ilvl="1" w:tplc="592AF65E">
      <w:start w:val="1"/>
      <w:numFmt w:val="decimal"/>
      <w:lvlText w:val="%2.2"/>
      <w:lvlJc w:val="left"/>
      <w:pPr>
        <w:ind w:left="360" w:hanging="360"/>
      </w:pPr>
      <w:rPr>
        <w:rFonts w:cs="Arabic Typesetting" w:hint="default"/>
        <w:bCs w:val="0"/>
        <w:iCs w:val="0"/>
        <w:szCs w:val="3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33103AF4"/>
    <w:multiLevelType w:val="multilevel"/>
    <w:tmpl w:val="0A56C61A"/>
    <w:lvl w:ilvl="0">
      <w:start w:val="1"/>
      <w:numFmt w:val="decimal"/>
      <w:lvlText w:val="%1."/>
      <w:lvlJc w:val="left"/>
      <w:pPr>
        <w:ind w:left="720" w:hanging="720"/>
      </w:pPr>
      <w:rPr>
        <w:rFonts w:hint="default"/>
      </w:rPr>
    </w:lvl>
    <w:lvl w:ilvl="1">
      <w:start w:val="1"/>
      <w:numFmt w:val="decimal"/>
      <w:lvlText w:val="%2.1."/>
      <w:lvlJc w:val="left"/>
      <w:pPr>
        <w:ind w:left="720" w:hanging="720"/>
      </w:pPr>
      <w:rPr>
        <w:rFonts w:cs="Arabic Typesetting" w:hint="default"/>
        <w:bCs w:val="0"/>
        <w:iCs w:val="0"/>
        <w:sz w:val="34"/>
        <w:szCs w:val="3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34BF3DB7"/>
    <w:multiLevelType w:val="multilevel"/>
    <w:tmpl w:val="076AD3B0"/>
    <w:styleLink w:val="Style1"/>
    <w:lvl w:ilvl="0">
      <w:start w:val="3"/>
      <w:numFmt w:val="lowerRoman"/>
      <w:lvlText w:val="%1."/>
      <w:lvlJc w:val="right"/>
      <w:pPr>
        <w:ind w:left="780" w:hanging="360"/>
      </w:pPr>
      <w:rPr>
        <w:rFonts w:cs="Times New Roman"/>
      </w:rPr>
    </w:lvl>
    <w:lvl w:ilvl="1">
      <w:start w:val="1"/>
      <w:numFmt w:val="lowerLetter"/>
      <w:lvlText w:val="%2."/>
      <w:lvlJc w:val="left"/>
      <w:pPr>
        <w:ind w:left="1500" w:hanging="360"/>
      </w:pPr>
      <w:rPr>
        <w:rFonts w:cs="Times New Roman"/>
      </w:rPr>
    </w:lvl>
    <w:lvl w:ilvl="2">
      <w:start w:val="1"/>
      <w:numFmt w:val="lowerRoman"/>
      <w:lvlText w:val="%3."/>
      <w:lvlJc w:val="right"/>
      <w:pPr>
        <w:ind w:left="2220" w:hanging="180"/>
      </w:pPr>
      <w:rPr>
        <w:rFonts w:cs="Times New Roman"/>
      </w:rPr>
    </w:lvl>
    <w:lvl w:ilvl="3">
      <w:start w:val="1"/>
      <w:numFmt w:val="decimal"/>
      <w:lvlText w:val="%4."/>
      <w:lvlJc w:val="left"/>
      <w:pPr>
        <w:ind w:left="2940" w:hanging="360"/>
      </w:pPr>
      <w:rPr>
        <w:rFonts w:cs="Times New Roman"/>
      </w:rPr>
    </w:lvl>
    <w:lvl w:ilvl="4">
      <w:start w:val="1"/>
      <w:numFmt w:val="lowerLetter"/>
      <w:lvlText w:val="%5."/>
      <w:lvlJc w:val="left"/>
      <w:pPr>
        <w:ind w:left="3660" w:hanging="360"/>
      </w:pPr>
      <w:rPr>
        <w:rFonts w:cs="Times New Roman"/>
      </w:rPr>
    </w:lvl>
    <w:lvl w:ilvl="5">
      <w:start w:val="1"/>
      <w:numFmt w:val="lowerRoman"/>
      <w:lvlText w:val="%6."/>
      <w:lvlJc w:val="right"/>
      <w:pPr>
        <w:ind w:left="4380" w:hanging="180"/>
      </w:pPr>
      <w:rPr>
        <w:rFonts w:cs="Times New Roman"/>
      </w:rPr>
    </w:lvl>
    <w:lvl w:ilvl="6">
      <w:start w:val="1"/>
      <w:numFmt w:val="decimal"/>
      <w:lvlText w:val="%7."/>
      <w:lvlJc w:val="left"/>
      <w:pPr>
        <w:ind w:left="5100" w:hanging="360"/>
      </w:pPr>
      <w:rPr>
        <w:rFonts w:cs="Times New Roman"/>
      </w:rPr>
    </w:lvl>
    <w:lvl w:ilvl="7">
      <w:start w:val="1"/>
      <w:numFmt w:val="lowerLetter"/>
      <w:lvlText w:val="%8."/>
      <w:lvlJc w:val="left"/>
      <w:pPr>
        <w:ind w:left="5820" w:hanging="360"/>
      </w:pPr>
      <w:rPr>
        <w:rFonts w:cs="Times New Roman"/>
      </w:rPr>
    </w:lvl>
    <w:lvl w:ilvl="8">
      <w:start w:val="1"/>
      <w:numFmt w:val="lowerRoman"/>
      <w:lvlText w:val="%9."/>
      <w:lvlJc w:val="right"/>
      <w:pPr>
        <w:ind w:left="6540" w:hanging="180"/>
      </w:pPr>
      <w:rPr>
        <w:rFonts w:cs="Times New Roman"/>
      </w:rPr>
    </w:lvl>
  </w:abstractNum>
  <w:abstractNum w:abstractNumId="38">
    <w:nsid w:val="355F43FD"/>
    <w:multiLevelType w:val="hybridMultilevel"/>
    <w:tmpl w:val="2542DE42"/>
    <w:lvl w:ilvl="0" w:tplc="8FA8A862">
      <w:numFmt w:val="bullet"/>
      <w:lvlText w:val="-"/>
      <w:lvlJc w:val="left"/>
      <w:pPr>
        <w:ind w:left="420" w:hanging="360"/>
      </w:pPr>
      <w:rPr>
        <w:rFonts w:ascii="Arial" w:eastAsia="Times New Roman" w:hAnsi="Arial" w:hint="default"/>
      </w:rPr>
    </w:lvl>
    <w:lvl w:ilvl="1" w:tplc="04090003" w:tentative="1">
      <w:start w:val="1"/>
      <w:numFmt w:val="bullet"/>
      <w:lvlText w:val="o"/>
      <w:lvlJc w:val="left"/>
      <w:pPr>
        <w:ind w:left="1140" w:hanging="360"/>
      </w:pPr>
      <w:rPr>
        <w:rFonts w:ascii="Courier New" w:hAnsi="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9">
    <w:nsid w:val="35A4039D"/>
    <w:multiLevelType w:val="hybridMultilevel"/>
    <w:tmpl w:val="2A2677BC"/>
    <w:lvl w:ilvl="0" w:tplc="0AD4DEF6">
      <w:start w:val="25"/>
      <w:numFmt w:val="bullet"/>
      <w:lvlText w:val="-"/>
      <w:lvlJc w:val="left"/>
      <w:pPr>
        <w:ind w:left="915" w:hanging="360"/>
      </w:pPr>
      <w:rPr>
        <w:rFonts w:ascii="Arabic Typesetting" w:eastAsia="Times New Roman" w:hAnsi="Arabic Typesetting" w:cs="Arabic Typesetting" w:hint="default"/>
      </w:rPr>
    </w:lvl>
    <w:lvl w:ilvl="1" w:tplc="040C0003" w:tentative="1">
      <w:start w:val="1"/>
      <w:numFmt w:val="bullet"/>
      <w:lvlText w:val="o"/>
      <w:lvlJc w:val="left"/>
      <w:pPr>
        <w:ind w:left="1635" w:hanging="360"/>
      </w:pPr>
      <w:rPr>
        <w:rFonts w:ascii="Courier New" w:hAnsi="Courier New" w:cs="Courier New" w:hint="default"/>
      </w:rPr>
    </w:lvl>
    <w:lvl w:ilvl="2" w:tplc="040C0005" w:tentative="1">
      <w:start w:val="1"/>
      <w:numFmt w:val="bullet"/>
      <w:lvlText w:val=""/>
      <w:lvlJc w:val="left"/>
      <w:pPr>
        <w:ind w:left="2355" w:hanging="360"/>
      </w:pPr>
      <w:rPr>
        <w:rFonts w:ascii="Wingdings" w:hAnsi="Wingdings" w:hint="default"/>
      </w:rPr>
    </w:lvl>
    <w:lvl w:ilvl="3" w:tplc="040C0001" w:tentative="1">
      <w:start w:val="1"/>
      <w:numFmt w:val="bullet"/>
      <w:lvlText w:val=""/>
      <w:lvlJc w:val="left"/>
      <w:pPr>
        <w:ind w:left="3075" w:hanging="360"/>
      </w:pPr>
      <w:rPr>
        <w:rFonts w:ascii="Symbol" w:hAnsi="Symbol" w:hint="default"/>
      </w:rPr>
    </w:lvl>
    <w:lvl w:ilvl="4" w:tplc="040C0003" w:tentative="1">
      <w:start w:val="1"/>
      <w:numFmt w:val="bullet"/>
      <w:lvlText w:val="o"/>
      <w:lvlJc w:val="left"/>
      <w:pPr>
        <w:ind w:left="3795" w:hanging="360"/>
      </w:pPr>
      <w:rPr>
        <w:rFonts w:ascii="Courier New" w:hAnsi="Courier New" w:cs="Courier New" w:hint="default"/>
      </w:rPr>
    </w:lvl>
    <w:lvl w:ilvl="5" w:tplc="040C0005" w:tentative="1">
      <w:start w:val="1"/>
      <w:numFmt w:val="bullet"/>
      <w:lvlText w:val=""/>
      <w:lvlJc w:val="left"/>
      <w:pPr>
        <w:ind w:left="4515" w:hanging="360"/>
      </w:pPr>
      <w:rPr>
        <w:rFonts w:ascii="Wingdings" w:hAnsi="Wingdings" w:hint="default"/>
      </w:rPr>
    </w:lvl>
    <w:lvl w:ilvl="6" w:tplc="040C0001" w:tentative="1">
      <w:start w:val="1"/>
      <w:numFmt w:val="bullet"/>
      <w:lvlText w:val=""/>
      <w:lvlJc w:val="left"/>
      <w:pPr>
        <w:ind w:left="5235" w:hanging="360"/>
      </w:pPr>
      <w:rPr>
        <w:rFonts w:ascii="Symbol" w:hAnsi="Symbol" w:hint="default"/>
      </w:rPr>
    </w:lvl>
    <w:lvl w:ilvl="7" w:tplc="040C0003" w:tentative="1">
      <w:start w:val="1"/>
      <w:numFmt w:val="bullet"/>
      <w:lvlText w:val="o"/>
      <w:lvlJc w:val="left"/>
      <w:pPr>
        <w:ind w:left="5955" w:hanging="360"/>
      </w:pPr>
      <w:rPr>
        <w:rFonts w:ascii="Courier New" w:hAnsi="Courier New" w:cs="Courier New" w:hint="default"/>
      </w:rPr>
    </w:lvl>
    <w:lvl w:ilvl="8" w:tplc="040C0005" w:tentative="1">
      <w:start w:val="1"/>
      <w:numFmt w:val="bullet"/>
      <w:lvlText w:val=""/>
      <w:lvlJc w:val="left"/>
      <w:pPr>
        <w:ind w:left="6675" w:hanging="360"/>
      </w:pPr>
      <w:rPr>
        <w:rFonts w:ascii="Wingdings" w:hAnsi="Wingdings" w:hint="default"/>
      </w:rPr>
    </w:lvl>
  </w:abstractNum>
  <w:abstractNum w:abstractNumId="40">
    <w:nsid w:val="37A273F1"/>
    <w:multiLevelType w:val="hybridMultilevel"/>
    <w:tmpl w:val="96DAAC88"/>
    <w:lvl w:ilvl="0" w:tplc="D5583286">
      <w:start w:val="1"/>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AD822D0"/>
    <w:multiLevelType w:val="hybridMultilevel"/>
    <w:tmpl w:val="C8EED86C"/>
    <w:lvl w:ilvl="0" w:tplc="973C6B10">
      <w:numFmt w:val="bullet"/>
      <w:lvlText w:val="-"/>
      <w:lvlJc w:val="left"/>
      <w:pPr>
        <w:ind w:left="720" w:hanging="360"/>
      </w:pPr>
      <w:rPr>
        <w:rFonts w:ascii="Arabic Typesetting" w:eastAsia="Times New Roman" w:hAnsi="Arabic Typesetting" w:cs="Arabic Typesetting"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AFB6F5F"/>
    <w:multiLevelType w:val="hybridMultilevel"/>
    <w:tmpl w:val="906C1138"/>
    <w:lvl w:ilvl="0" w:tplc="96D4E6BE">
      <w:start w:val="1"/>
      <w:numFmt w:val="decimal"/>
      <w:lvlText w:val="%1."/>
      <w:lvlJc w:val="left"/>
      <w:pPr>
        <w:tabs>
          <w:tab w:val="num" w:pos="567"/>
        </w:tabs>
        <w:ind w:left="0" w:firstLine="0"/>
      </w:pPr>
      <w:rPr>
        <w:rFonts w:ascii="Arabic Typesetting" w:hAnsi="Arabic Typesetting" w:cs="Arabic Typesetting" w:hint="default"/>
        <w:sz w:val="36"/>
        <w:szCs w:val="36"/>
      </w:rPr>
    </w:lvl>
    <w:lvl w:ilvl="1" w:tplc="F63CFED6">
      <w:start w:val="1"/>
      <w:numFmt w:val="decimal"/>
      <w:lvlText w:val="&quot;%2&quot;"/>
      <w:lvlJc w:val="left"/>
      <w:pPr>
        <w:tabs>
          <w:tab w:val="num" w:pos="1440"/>
        </w:tabs>
        <w:ind w:left="1440" w:hanging="360"/>
      </w:pPr>
      <w:rPr>
        <w:rFonts w:cs="Times New Roman"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3B8233E1"/>
    <w:multiLevelType w:val="hybridMultilevel"/>
    <w:tmpl w:val="6ED68DFE"/>
    <w:lvl w:ilvl="0" w:tplc="3552032E">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00958DF"/>
    <w:multiLevelType w:val="hybridMultilevel"/>
    <w:tmpl w:val="1B60733E"/>
    <w:lvl w:ilvl="0" w:tplc="4594B53A">
      <w:start w:val="1"/>
      <w:numFmt w:val="decimal"/>
      <w:lvlText w:val="%1.26."/>
      <w:lvlJc w:val="left"/>
      <w:pPr>
        <w:ind w:left="720" w:hanging="360"/>
      </w:pPr>
      <w:rPr>
        <w:rFonts w:ascii="Arabic Typesetting" w:hAnsi="Arabic Typesetting" w:cs="Arabic Typesetting" w:hint="default"/>
        <w:b w:val="0"/>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441178DC"/>
    <w:multiLevelType w:val="hybridMultilevel"/>
    <w:tmpl w:val="E5C2EAE6"/>
    <w:lvl w:ilvl="0" w:tplc="028CF7EA">
      <w:start w:val="1"/>
      <w:numFmt w:val="decimal"/>
      <w:pStyle w:val="NumberedParaA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70E3474"/>
    <w:multiLevelType w:val="hybridMultilevel"/>
    <w:tmpl w:val="0E009330"/>
    <w:lvl w:ilvl="0" w:tplc="A66E4828">
      <w:start w:val="1"/>
      <w:numFmt w:val="decimal"/>
      <w:lvlText w:val="%1.17"/>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49E77A72"/>
    <w:multiLevelType w:val="hybridMultilevel"/>
    <w:tmpl w:val="920C38DE"/>
    <w:lvl w:ilvl="0" w:tplc="7FD8E49A">
      <w:start w:val="2"/>
      <w:numFmt w:val="decimal"/>
      <w:lvlText w:val="%1."/>
      <w:lvlJc w:val="left"/>
      <w:pPr>
        <w:tabs>
          <w:tab w:val="num" w:pos="567"/>
        </w:tabs>
        <w:ind w:left="0" w:firstLine="0"/>
      </w:pPr>
      <w:rPr>
        <w:rFonts w:ascii="Arabic Typesetting" w:hAnsi="Arabic Typesetting" w:cs="Arabic Typesetting"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4B2A47D3"/>
    <w:multiLevelType w:val="hybridMultilevel"/>
    <w:tmpl w:val="0180D168"/>
    <w:lvl w:ilvl="0" w:tplc="F44819C6">
      <w:start w:val="6"/>
      <w:numFmt w:val="bullet"/>
      <w:lvlText w:val="-"/>
      <w:lvlJc w:val="left"/>
      <w:pPr>
        <w:ind w:left="720" w:hanging="360"/>
      </w:pPr>
      <w:rPr>
        <w:rFonts w:ascii="Arabic Typesetting" w:eastAsia="Times New Roman" w:hAnsi="Arabic Typesetting" w:cs="Arabic Typesetting"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nsid w:val="4B9548F6"/>
    <w:multiLevelType w:val="hybridMultilevel"/>
    <w:tmpl w:val="77B8628E"/>
    <w:lvl w:ilvl="0" w:tplc="40E02E52">
      <w:start w:val="1"/>
      <w:numFmt w:val="decimal"/>
      <w:lvlText w:val="%1.8."/>
      <w:lvlJc w:val="left"/>
      <w:pPr>
        <w:ind w:left="540" w:hanging="360"/>
      </w:pPr>
      <w:rPr>
        <w:rFonts w:ascii="Arabic Typesetting" w:hAnsi="Arabic Typesetting" w:cs="Arabic Typesetting" w:hint="default"/>
        <w:sz w:val="34"/>
        <w:szCs w:val="34"/>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0">
    <w:nsid w:val="518A6B9D"/>
    <w:multiLevelType w:val="hybridMultilevel"/>
    <w:tmpl w:val="6BBCA6FA"/>
    <w:lvl w:ilvl="0" w:tplc="2D4AE1C4">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nsid w:val="536475FE"/>
    <w:multiLevelType w:val="hybridMultilevel"/>
    <w:tmpl w:val="BD76F09A"/>
    <w:lvl w:ilvl="0" w:tplc="FDC067F8">
      <w:start w:val="1"/>
      <w:numFmt w:val="decimal"/>
      <w:lvlText w:val="%1.9"/>
      <w:lvlJc w:val="left"/>
      <w:pPr>
        <w:ind w:left="720" w:hanging="360"/>
      </w:pPr>
      <w:rPr>
        <w:rFonts w:cs="Arabic Typesetting" w:hint="default"/>
        <w:bCs w:val="0"/>
        <w:iCs w:val="0"/>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5641547C"/>
    <w:multiLevelType w:val="hybridMultilevel"/>
    <w:tmpl w:val="76365C88"/>
    <w:lvl w:ilvl="0" w:tplc="4D5C1B58">
      <w:start w:val="1"/>
      <w:numFmt w:val="decimal"/>
      <w:lvlText w:val="%1.19."/>
      <w:lvlJc w:val="left"/>
      <w:pPr>
        <w:ind w:left="720" w:hanging="360"/>
      </w:pPr>
      <w:rPr>
        <w:rFonts w:ascii="Arabic Typesetting" w:hAnsi="Arabic Typesetting" w:cs="Arabic Typesetting" w:hint="default"/>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57B92805"/>
    <w:multiLevelType w:val="hybridMultilevel"/>
    <w:tmpl w:val="8FB0BFB8"/>
    <w:lvl w:ilvl="0" w:tplc="89D4FA64">
      <w:start w:val="1"/>
      <w:numFmt w:val="decimal"/>
      <w:lvlText w:val="%1.22"/>
      <w:lvlJc w:val="left"/>
      <w:pPr>
        <w:ind w:left="720" w:hanging="360"/>
      </w:pPr>
      <w:rPr>
        <w:rFonts w:hint="default"/>
        <w:bCs w:val="0"/>
        <w:iCs w:val="0"/>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5E472367"/>
    <w:multiLevelType w:val="hybridMultilevel"/>
    <w:tmpl w:val="F06A9B50"/>
    <w:lvl w:ilvl="0" w:tplc="DE82A5E2">
      <w:start w:val="1"/>
      <w:numFmt w:val="bullet"/>
      <w:lvlText w:val=""/>
      <w:lvlJc w:val="left"/>
      <w:pPr>
        <w:ind w:left="720" w:hanging="360"/>
      </w:pPr>
      <w:rPr>
        <w:rFonts w:ascii="Symbol" w:hAnsi="Symbol" w:hint="default"/>
        <w:sz w:val="24"/>
        <w:szCs w:val="24"/>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55">
    <w:nsid w:val="5E674DF4"/>
    <w:multiLevelType w:val="hybridMultilevel"/>
    <w:tmpl w:val="C1A8F0DC"/>
    <w:lvl w:ilvl="0" w:tplc="E8C4262C">
      <w:start w:val="1"/>
      <w:numFmt w:val="decimal"/>
      <w:lvlText w:val="%1."/>
      <w:lvlJc w:val="left"/>
      <w:pPr>
        <w:tabs>
          <w:tab w:val="num" w:pos="567"/>
        </w:tabs>
        <w:ind w:left="0" w:firstLine="0"/>
      </w:pPr>
      <w:rPr>
        <w:rFonts w:ascii="Arabic Typesetting" w:hAnsi="Arabic Typesetting" w:cs="Arabic Typesetting" w:hint="default"/>
        <w:sz w:val="36"/>
        <w:szCs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5F2F5C0B"/>
    <w:multiLevelType w:val="hybridMultilevel"/>
    <w:tmpl w:val="D312FACC"/>
    <w:lvl w:ilvl="0" w:tplc="0D942E90">
      <w:start w:val="1"/>
      <w:numFmt w:val="decimal"/>
      <w:lvlText w:val="%1.18"/>
      <w:lvlJc w:val="left"/>
      <w:pPr>
        <w:ind w:left="720" w:hanging="360"/>
      </w:pPr>
      <w:rPr>
        <w:rFonts w:cs="Arabic Typesetting"/>
        <w:bCs w:val="0"/>
        <w:iCs w:val="0"/>
        <w:szCs w:val="34"/>
        <w:lang w:val="en-U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nsid w:val="60A738AD"/>
    <w:multiLevelType w:val="hybridMultilevel"/>
    <w:tmpl w:val="CE90F976"/>
    <w:lvl w:ilvl="0" w:tplc="BAFE4496">
      <w:start w:val="1"/>
      <w:numFmt w:val="decimal"/>
      <w:lvlText w:val="%1.7"/>
      <w:lvlJc w:val="left"/>
      <w:pPr>
        <w:ind w:left="720" w:hanging="360"/>
      </w:pPr>
      <w:rPr>
        <w:rFonts w:cs="Arabic Typesetting" w:hint="default"/>
        <w:bCs w:val="0"/>
        <w:iCs w:val="0"/>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5553D6B"/>
    <w:multiLevelType w:val="hybridMultilevel"/>
    <w:tmpl w:val="C6008DEE"/>
    <w:lvl w:ilvl="0" w:tplc="806AFCD4">
      <w:start w:val="1"/>
      <w:numFmt w:val="decimal"/>
      <w:lvlText w:val="%1.27."/>
      <w:lvlJc w:val="left"/>
      <w:pPr>
        <w:ind w:left="720" w:hanging="360"/>
      </w:pPr>
      <w:rPr>
        <w:rFonts w:hint="default"/>
        <w:b w:val="0"/>
        <w:bCs w:val="0"/>
        <w:iCs w:val="0"/>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656C1E57"/>
    <w:multiLevelType w:val="hybridMultilevel"/>
    <w:tmpl w:val="A0264332"/>
    <w:lvl w:ilvl="0" w:tplc="29BA28A2">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75156A7"/>
    <w:multiLevelType w:val="hybridMultilevel"/>
    <w:tmpl w:val="A50C53F8"/>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nsid w:val="68321D13"/>
    <w:multiLevelType w:val="hybridMultilevel"/>
    <w:tmpl w:val="70DAB77A"/>
    <w:lvl w:ilvl="0" w:tplc="4614E298">
      <w:start w:val="1"/>
      <w:numFmt w:val="decimal"/>
      <w:lvlText w:val="%1.31."/>
      <w:lvlJc w:val="left"/>
      <w:pPr>
        <w:ind w:left="720" w:hanging="360"/>
      </w:pPr>
      <w:rPr>
        <w:rFonts w:ascii="Arabic Typesetting" w:hAnsi="Arabic Typesetting" w:cs="Arabic Typesetting" w:hint="default"/>
        <w:b/>
        <w:bCs w:val="0"/>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9373D36"/>
    <w:multiLevelType w:val="hybridMultilevel"/>
    <w:tmpl w:val="2556E1CC"/>
    <w:lvl w:ilvl="0" w:tplc="774E5882">
      <w:start w:val="1"/>
      <w:numFmt w:val="decimal"/>
      <w:lvlText w:val="%1.13."/>
      <w:lvlJc w:val="left"/>
      <w:pPr>
        <w:ind w:left="720" w:hanging="360"/>
      </w:pPr>
      <w:rPr>
        <w:rFonts w:hint="default"/>
        <w:b w:val="0"/>
        <w:bCs w:val="0"/>
        <w:iCs w:val="0"/>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07C1E5E"/>
    <w:multiLevelType w:val="hybridMultilevel"/>
    <w:tmpl w:val="412EE5C8"/>
    <w:lvl w:ilvl="0" w:tplc="DAC42CCC">
      <w:start w:val="1"/>
      <w:numFmt w:val="decimal"/>
      <w:lvlText w:val="%1.5."/>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71615420"/>
    <w:multiLevelType w:val="hybridMultilevel"/>
    <w:tmpl w:val="7AF0BAD4"/>
    <w:lvl w:ilvl="0" w:tplc="EFFE6B4A">
      <w:start w:val="1"/>
      <w:numFmt w:val="decimal"/>
      <w:lvlText w:val="%1.11."/>
      <w:lvlJc w:val="left"/>
      <w:pPr>
        <w:ind w:left="720" w:hanging="360"/>
      </w:pPr>
      <w:rPr>
        <w:rFonts w:ascii="Arabic Typesetting" w:hAnsi="Arabic Typesetting" w:cs="Arabic Typesetting" w:hint="default"/>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71837C56"/>
    <w:multiLevelType w:val="hybridMultilevel"/>
    <w:tmpl w:val="C7EE69AC"/>
    <w:lvl w:ilvl="0" w:tplc="D91221BE">
      <w:start w:val="5"/>
      <w:numFmt w:val="bullet"/>
      <w:lvlText w:val="-"/>
      <w:lvlJc w:val="left"/>
      <w:pPr>
        <w:ind w:left="720" w:hanging="360"/>
      </w:pPr>
      <w:rPr>
        <w:rFonts w:ascii="Arabic Typesetting" w:eastAsia="Times New Roman" w:hAnsi="Arabic Typesetting" w:cs="Arabic Typesetting"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45A662D"/>
    <w:multiLevelType w:val="hybridMultilevel"/>
    <w:tmpl w:val="63BA6656"/>
    <w:lvl w:ilvl="0" w:tplc="FFFFFFFF">
      <w:start w:val="1"/>
      <w:numFmt w:val="decimal"/>
      <w:pStyle w:val="StyleHeading3ComplexItalic"/>
      <w:lvlText w:val="13.%1."/>
      <w:lvlJc w:val="left"/>
      <w:pPr>
        <w:ind w:left="720" w:hanging="360"/>
      </w:pPr>
      <w:rPr>
        <w:rFonts w:ascii="Arial" w:hAnsi="Arial" w:cs="Arial" w:hint="default"/>
        <w:sz w:val="20"/>
        <w:szCs w:val="20"/>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67">
    <w:nsid w:val="78F227BE"/>
    <w:multiLevelType w:val="hybridMultilevel"/>
    <w:tmpl w:val="4AC260D2"/>
    <w:lvl w:ilvl="0" w:tplc="0340F842">
      <w:start w:val="1"/>
      <w:numFmt w:val="bullet"/>
      <w:lvlText w:val="-"/>
      <w:lvlJc w:val="left"/>
      <w:pPr>
        <w:ind w:left="1004" w:hanging="360"/>
      </w:pPr>
      <w:rPr>
        <w:rFonts w:ascii="Arabic Typesetting" w:eastAsia="Times New Roman" w:hAnsi="Arabic Typesetting" w:cs="Arabic Typesetting"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nsid w:val="7A543276"/>
    <w:multiLevelType w:val="hybridMultilevel"/>
    <w:tmpl w:val="906C1138"/>
    <w:lvl w:ilvl="0" w:tplc="96D4E6BE">
      <w:start w:val="1"/>
      <w:numFmt w:val="decimal"/>
      <w:lvlText w:val="%1."/>
      <w:lvlJc w:val="left"/>
      <w:pPr>
        <w:tabs>
          <w:tab w:val="num" w:pos="567"/>
        </w:tabs>
        <w:ind w:left="0" w:firstLine="0"/>
      </w:pPr>
      <w:rPr>
        <w:rFonts w:ascii="Arabic Typesetting" w:hAnsi="Arabic Typesetting" w:cs="Arabic Typesetting" w:hint="default"/>
        <w:sz w:val="36"/>
        <w:szCs w:val="36"/>
      </w:rPr>
    </w:lvl>
    <w:lvl w:ilvl="1" w:tplc="F63CFED6">
      <w:start w:val="1"/>
      <w:numFmt w:val="decimal"/>
      <w:lvlText w:val="&quot;%2&quot;"/>
      <w:lvlJc w:val="left"/>
      <w:pPr>
        <w:tabs>
          <w:tab w:val="num" w:pos="1440"/>
        </w:tabs>
        <w:ind w:left="1440" w:hanging="360"/>
      </w:pPr>
      <w:rPr>
        <w:rFonts w:cs="Times New Roman"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7AEF7B0A"/>
    <w:multiLevelType w:val="hybridMultilevel"/>
    <w:tmpl w:val="B24A4F2E"/>
    <w:lvl w:ilvl="0" w:tplc="61521332">
      <w:start w:val="1"/>
      <w:numFmt w:val="decimal"/>
      <w:lvlRestart w:val="0"/>
      <w:pStyle w:val="ListNumber"/>
      <w:lvlText w:val="03.%1."/>
      <w:lvlJc w:val="left"/>
      <w:pPr>
        <w:tabs>
          <w:tab w:val="num" w:pos="567"/>
        </w:tabs>
        <w:ind w:left="0" w:firstLine="0"/>
      </w:pPr>
      <w:rPr>
        <w:rFonts w:ascii="Times New Roman" w:hAnsi="Times New Roman" w:cs="Simplified Arabic" w:hint="default"/>
        <w:sz w:val="24"/>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7E08448D"/>
    <w:multiLevelType w:val="hybridMultilevel"/>
    <w:tmpl w:val="343E7CBA"/>
    <w:lvl w:ilvl="0" w:tplc="E1AC2CCE">
      <w:start w:val="1"/>
      <w:numFmt w:val="decimal"/>
      <w:lvlText w:val="%1.12."/>
      <w:lvlJc w:val="left"/>
      <w:pPr>
        <w:ind w:left="720" w:hanging="360"/>
      </w:pPr>
      <w:rPr>
        <w:rFonts w:hint="default"/>
        <w:b w:val="0"/>
        <w:bCs w:val="0"/>
        <w:iCs w:val="0"/>
        <w:sz w:val="34"/>
        <w:szCs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6"/>
  </w:num>
  <w:num w:numId="2">
    <w:abstractNumId w:val="28"/>
  </w:num>
  <w:num w:numId="3">
    <w:abstractNumId w:val="35"/>
  </w:num>
  <w:num w:numId="4">
    <w:abstractNumId w:val="0"/>
  </w:num>
  <w:num w:numId="5">
    <w:abstractNumId w:val="19"/>
  </w:num>
  <w:num w:numId="6">
    <w:abstractNumId w:val="63"/>
  </w:num>
  <w:num w:numId="7">
    <w:abstractNumId w:val="6"/>
  </w:num>
  <w:num w:numId="8">
    <w:abstractNumId w:val="22"/>
  </w:num>
  <w:num w:numId="9">
    <w:abstractNumId w:val="20"/>
  </w:num>
  <w:num w:numId="10">
    <w:abstractNumId w:val="57"/>
  </w:num>
  <w:num w:numId="11">
    <w:abstractNumId w:val="30"/>
  </w:num>
  <w:num w:numId="12">
    <w:abstractNumId w:val="15"/>
  </w:num>
  <w:num w:numId="13">
    <w:abstractNumId w:val="60"/>
  </w:num>
  <w:num w:numId="14">
    <w:abstractNumId w:val="49"/>
  </w:num>
  <w:num w:numId="15">
    <w:abstractNumId w:val="65"/>
  </w:num>
  <w:num w:numId="16">
    <w:abstractNumId w:val="70"/>
  </w:num>
  <w:num w:numId="17">
    <w:abstractNumId w:val="41"/>
  </w:num>
  <w:num w:numId="18">
    <w:abstractNumId w:val="34"/>
  </w:num>
  <w:num w:numId="19">
    <w:abstractNumId w:val="52"/>
  </w:num>
  <w:num w:numId="20">
    <w:abstractNumId w:val="53"/>
  </w:num>
  <w:num w:numId="21">
    <w:abstractNumId w:val="44"/>
  </w:num>
  <w:num w:numId="22">
    <w:abstractNumId w:val="24"/>
  </w:num>
  <w:num w:numId="23">
    <w:abstractNumId w:val="3"/>
  </w:num>
  <w:num w:numId="24">
    <w:abstractNumId w:val="61"/>
  </w:num>
  <w:num w:numId="25">
    <w:abstractNumId w:val="9"/>
  </w:num>
  <w:num w:numId="26">
    <w:abstractNumId w:val="2"/>
  </w:num>
  <w:num w:numId="27">
    <w:abstractNumId w:val="1"/>
  </w:num>
  <w:num w:numId="28">
    <w:abstractNumId w:val="54"/>
  </w:num>
  <w:num w:numId="29">
    <w:abstractNumId w:val="12"/>
  </w:num>
  <w:num w:numId="30">
    <w:abstractNumId w:val="59"/>
  </w:num>
  <w:num w:numId="31">
    <w:abstractNumId w:val="18"/>
  </w:num>
  <w:num w:numId="32">
    <w:abstractNumId w:val="62"/>
  </w:num>
  <w:num w:numId="33">
    <w:abstractNumId w:val="33"/>
  </w:num>
  <w:num w:numId="34">
    <w:abstractNumId w:val="27"/>
  </w:num>
  <w:num w:numId="35">
    <w:abstractNumId w:val="16"/>
  </w:num>
  <w:num w:numId="36">
    <w:abstractNumId w:val="10"/>
  </w:num>
  <w:num w:numId="3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8"/>
  </w:num>
  <w:num w:numId="39">
    <w:abstractNumId w:val="50"/>
  </w:num>
  <w:num w:numId="40">
    <w:abstractNumId w:val="13"/>
  </w:num>
  <w:num w:numId="41">
    <w:abstractNumId w:val="17"/>
  </w:num>
  <w:num w:numId="42">
    <w:abstractNumId w:val="58"/>
  </w:num>
  <w:num w:numId="43">
    <w:abstractNumId w:val="64"/>
  </w:num>
  <w:num w:numId="44">
    <w:abstractNumId w:val="32"/>
  </w:num>
  <w:num w:numId="45">
    <w:abstractNumId w:val="26"/>
    <w:lvlOverride w:ilvl="0">
      <w:startOverride w:val="1"/>
    </w:lvlOverride>
  </w:num>
  <w:num w:numId="46">
    <w:abstractNumId w:val="51"/>
  </w:num>
  <w:num w:numId="47">
    <w:abstractNumId w:val="45"/>
  </w:num>
  <w:num w:numId="48">
    <w:abstractNumId w:val="46"/>
  </w:num>
  <w:num w:numId="49">
    <w:abstractNumId w:val="8"/>
  </w:num>
  <w:num w:numId="50">
    <w:abstractNumId w:val="21"/>
  </w:num>
  <w:num w:numId="51">
    <w:abstractNumId w:val="43"/>
  </w:num>
  <w:num w:numId="52">
    <w:abstractNumId w:val="38"/>
  </w:num>
  <w:num w:numId="53">
    <w:abstractNumId w:val="11"/>
  </w:num>
  <w:num w:numId="54">
    <w:abstractNumId w:val="5"/>
  </w:num>
  <w:num w:numId="55">
    <w:abstractNumId w:val="42"/>
  </w:num>
  <w:num w:numId="56">
    <w:abstractNumId w:val="68"/>
  </w:num>
  <w:num w:numId="57">
    <w:abstractNumId w:val="69"/>
  </w:num>
  <w:num w:numId="58">
    <w:abstractNumId w:val="7"/>
  </w:num>
  <w:num w:numId="59">
    <w:abstractNumId w:val="37"/>
  </w:num>
  <w:num w:numId="60">
    <w:abstractNumId w:val="66"/>
  </w:num>
  <w:num w:numId="61">
    <w:abstractNumId w:val="67"/>
  </w:num>
  <w:num w:numId="62">
    <w:abstractNumId w:val="40"/>
  </w:num>
  <w:num w:numId="63">
    <w:abstractNumId w:val="23"/>
  </w:num>
  <w:num w:numId="64">
    <w:abstractNumId w:val="4"/>
  </w:num>
  <w:num w:numId="65">
    <w:abstractNumId w:val="55"/>
  </w:num>
  <w:num w:numId="66">
    <w:abstractNumId w:val="47"/>
  </w:num>
  <w:num w:numId="67">
    <w:abstractNumId w:val="29"/>
  </w:num>
  <w:num w:numId="6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5"/>
  </w:num>
  <w:num w:numId="70">
    <w:abstractNumId w:val="39"/>
  </w:num>
  <w:num w:numId="71">
    <w:abstractNumId w:val="14"/>
  </w:num>
  <w:num w:numId="72">
    <w:abstractNumId w:val="26"/>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hideSpellingErrors/>
  <w:hideGrammaticalErrors/>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567"/>
  <w:evenAndOddHeaders/>
  <w:drawingGridHorizontalSpacing w:val="110"/>
  <w:displayHorizontalDrawingGridEvery w:val="0"/>
  <w:displayVerticalDrawingGridEvery w:val="0"/>
  <w:noPunctuationKerning/>
  <w:characterSpacingControl w:val="doNotCompress"/>
  <w:hdrShapeDefaults>
    <o:shapedefaults v:ext="edit" spidmax="6145"/>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SourceLng" w:val="eng"/>
    <w:docVar w:name="TargetLng" w:val="ara"/>
    <w:docVar w:name="TermBases" w:val="AT.WIPO|WIPONew"/>
    <w:docVar w:name="TermBaseURL" w:val="empty"/>
    <w:docVar w:name="TextBases" w:val="transmlp.wipo.int\TextBase TMs\WorkspaceATS\Financial\Fin.Narrative|transmlp.wipo.int\TextBase TMs\WorkspaceATS\Financial\Fin.Tables|transmlp.wipo.int\TextBase TMs\WorkspaceATS\Financial\FMR_2010_2011|transmlp.wipo.int\TextBase TMs\WorkspaceATS\Financial\FRR|transmlp.wipo.int\TextBase TMs\WorkspaceATS\Financial\Investment|transmlp.wipo.int\TextBase TMs\WorkspaceATS\Financial\PPR|transmlp.wipo.int\TextBase TMs\WorkspaceATS\Financial\Program_&amp;_Budget|transmlp.wipo.int\TextBase TMs\Administrative\Meetings|transmlp.wipo.int\TextBase TMs\Administrative\Other|transmlp.wipo.int\TextBase TMs\Administrative\Publications|transmlp.wipo.int\TextBase TMs\Budget and Finance\Meetings|transmlp.wipo.int\TextBase TMs\Budget and Finance\Other|transmlp.wipo.int\TextBase TMs\Budget and Finance\Publications|transmlp.wipo.int\TextBase TMs\Copyright\Meetings|transmlp.wipo.int\TextBase TMs\Copyright\Other|transmlp.wipo.int\TextBase TMs\Copyright\Publications|transmlp.wipo.int\TextBase TMs\Glossaries\EN-AR|transmlp.wipo.int\TextBase TMs\IP in General\Academy|transmlp.wipo.int\TextBase TMs\IP in General\Arbitration and Mediation|transmlp.wipo.int\TextBase TMs\IP in General\Meetings|transmlp.wipo.int\TextBase TMs\IP in General\Other|transmlp.wipo.int\TextBase TMs\IP in General\Press Room|transmlp.wipo.int\TextBase TMs\IP in General\Publications|transmlp.wipo.int\TextBase TMs\IP in General\SpeechDG2014|transmlp.wipo.int\TextBase TMs\Patents\Meetings|transmlp.wipo.int\TextBase TMs\Patents\Other|transmlp.wipo.int\TextBase TMs\Patents\Publications|transmlp.wipo.int\TextBase TMs\Trademarks\Meetings|transmlp.wipo.int\TextBase TMs\Trademarks\Other|transmlp.wipo.int\TextBase TMs\Trademarks\Publications|transmlp.wipo.int\TextBase TMs\Treaties\Model Laws|transmlp.wipo.int\TextBase TMs\Treaties\Other Laws and Agreements|transmlp.wipo.int\TextBase TMs\Treaties\WIPO-administered|transmlp.wipo.int\TextBase TMs\UPOV\Meetings|transmlp.wipo.int\TextBase TMs\UPOV\Other|transmlp.wipo.int\TextBase TMs\UPOV\Publications|transmlp.wipo.int\TextBase TMs\UPOV\Technical Guidelines|transmlp.wipo.int\TextBase TMs\WorkspaceATS\Communications\Communications|transmlp.wipo.int\TextBase TMs\WorkspaceATS\Draft\Test4|transmlp.wipo.int\TextBase TMs\WorkspaceATS\Draft\TMX v0.3|transmlp.wipo.int\TextBase TMs\WorkspaceATS\Draft\TMX_Test_v0.2|transmlp.wipo.int\TextBase TMs\WorkspaceATS\Legal\Creative_Commons|transmlp.wipo.int\TextBase TMs\WorkspaceATS\Legal\Draft_Texts|transmlp.wipo.int\TextBase TMs\WorkspaceATS\Legal\Forms|transmlp.wipo.int\TextBase TMs\WorkspaceATS\Legal\Joint_Recommendations|transmlp.wipo.int\TextBase TMs\WorkspaceATS\Legal\Models|transmlp.wipo.int\TextBase TMs\WorkspaceATS\Legal\Rules_of_Procedure|transmlp.wipo.int\TextBase TMs\WorkspaceATS\Legal\Staff_Regulations|transmlp.wipo.int\TextBase TMs\WorkspaceATS\Legal\Treaties|transmlp.wipo.int\TextBase TMs\WorkspaceATS\Meetings\Meetings|transmlp.wipo.int\TextBase TMs\WorkspaceATS\Other\Member_States|transmlp.wipo.int\TextBase TMs\WorkspaceATS\Other\Member_States_Paragraph|transmlp.wipo.int\TextBase TMs\WorkspaceATS\Publications\Madrid"/>
    <w:docVar w:name="TextBaseURL" w:val="empty"/>
    <w:docVar w:name="UILng" w:val="en"/>
  </w:docVars>
  <w:rsids>
    <w:rsidRoot w:val="000E3B10"/>
    <w:rsid w:val="00002CBE"/>
    <w:rsid w:val="00003232"/>
    <w:rsid w:val="000033DA"/>
    <w:rsid w:val="000036F7"/>
    <w:rsid w:val="00004A86"/>
    <w:rsid w:val="0000579F"/>
    <w:rsid w:val="000074D1"/>
    <w:rsid w:val="000076BD"/>
    <w:rsid w:val="00010001"/>
    <w:rsid w:val="00010481"/>
    <w:rsid w:val="00010671"/>
    <w:rsid w:val="000114E2"/>
    <w:rsid w:val="00011CBD"/>
    <w:rsid w:val="000122FC"/>
    <w:rsid w:val="00012C70"/>
    <w:rsid w:val="00013347"/>
    <w:rsid w:val="00013D73"/>
    <w:rsid w:val="000142E1"/>
    <w:rsid w:val="000146BD"/>
    <w:rsid w:val="00014B68"/>
    <w:rsid w:val="0001645D"/>
    <w:rsid w:val="00017A43"/>
    <w:rsid w:val="00017B05"/>
    <w:rsid w:val="0002157B"/>
    <w:rsid w:val="000222C9"/>
    <w:rsid w:val="00023101"/>
    <w:rsid w:val="00023A6B"/>
    <w:rsid w:val="0002407C"/>
    <w:rsid w:val="0002476F"/>
    <w:rsid w:val="00024E17"/>
    <w:rsid w:val="000258DB"/>
    <w:rsid w:val="000259E5"/>
    <w:rsid w:val="00026AA7"/>
    <w:rsid w:val="00030552"/>
    <w:rsid w:val="00031B2C"/>
    <w:rsid w:val="00032C94"/>
    <w:rsid w:val="00033D2C"/>
    <w:rsid w:val="0003417D"/>
    <w:rsid w:val="00034586"/>
    <w:rsid w:val="00035CE8"/>
    <w:rsid w:val="00036041"/>
    <w:rsid w:val="000363BE"/>
    <w:rsid w:val="00037135"/>
    <w:rsid w:val="000378E1"/>
    <w:rsid w:val="00037D7F"/>
    <w:rsid w:val="00040637"/>
    <w:rsid w:val="00040688"/>
    <w:rsid w:val="0004070F"/>
    <w:rsid w:val="000409A2"/>
    <w:rsid w:val="0004115B"/>
    <w:rsid w:val="00042F2D"/>
    <w:rsid w:val="000432B2"/>
    <w:rsid w:val="000432CA"/>
    <w:rsid w:val="000432CF"/>
    <w:rsid w:val="000438A8"/>
    <w:rsid w:val="000445CA"/>
    <w:rsid w:val="00044AC0"/>
    <w:rsid w:val="00045B68"/>
    <w:rsid w:val="00045C1C"/>
    <w:rsid w:val="00045E69"/>
    <w:rsid w:val="00046EDC"/>
    <w:rsid w:val="000471B4"/>
    <w:rsid w:val="00047497"/>
    <w:rsid w:val="000500C9"/>
    <w:rsid w:val="0005014C"/>
    <w:rsid w:val="000508E2"/>
    <w:rsid w:val="00050A69"/>
    <w:rsid w:val="00050C55"/>
    <w:rsid w:val="00050F28"/>
    <w:rsid w:val="00050F38"/>
    <w:rsid w:val="00051EFF"/>
    <w:rsid w:val="00051FB9"/>
    <w:rsid w:val="00053836"/>
    <w:rsid w:val="00054659"/>
    <w:rsid w:val="00055FA2"/>
    <w:rsid w:val="0005678D"/>
    <w:rsid w:val="00056B7A"/>
    <w:rsid w:val="000571DD"/>
    <w:rsid w:val="00061233"/>
    <w:rsid w:val="00061FF5"/>
    <w:rsid w:val="000624D1"/>
    <w:rsid w:val="00062502"/>
    <w:rsid w:val="00062F72"/>
    <w:rsid w:val="00063C91"/>
    <w:rsid w:val="000640E7"/>
    <w:rsid w:val="00064B06"/>
    <w:rsid w:val="000656B7"/>
    <w:rsid w:val="00066DC7"/>
    <w:rsid w:val="0006794A"/>
    <w:rsid w:val="00067B20"/>
    <w:rsid w:val="00067F31"/>
    <w:rsid w:val="00070FC4"/>
    <w:rsid w:val="00071138"/>
    <w:rsid w:val="000717BF"/>
    <w:rsid w:val="00073402"/>
    <w:rsid w:val="00075745"/>
    <w:rsid w:val="00075A04"/>
    <w:rsid w:val="00075D39"/>
    <w:rsid w:val="000760C3"/>
    <w:rsid w:val="000763A4"/>
    <w:rsid w:val="0007678E"/>
    <w:rsid w:val="00076901"/>
    <w:rsid w:val="000801D9"/>
    <w:rsid w:val="000806C6"/>
    <w:rsid w:val="00080B95"/>
    <w:rsid w:val="00080E30"/>
    <w:rsid w:val="0008237C"/>
    <w:rsid w:val="00083094"/>
    <w:rsid w:val="000833C3"/>
    <w:rsid w:val="0008373E"/>
    <w:rsid w:val="0008421F"/>
    <w:rsid w:val="0008451C"/>
    <w:rsid w:val="00084A2E"/>
    <w:rsid w:val="000853EC"/>
    <w:rsid w:val="00085A0B"/>
    <w:rsid w:val="000863B7"/>
    <w:rsid w:val="00086C3F"/>
    <w:rsid w:val="00087DB6"/>
    <w:rsid w:val="00090139"/>
    <w:rsid w:val="0009024C"/>
    <w:rsid w:val="00090ADD"/>
    <w:rsid w:val="000913C0"/>
    <w:rsid w:val="0009163D"/>
    <w:rsid w:val="00091F52"/>
    <w:rsid w:val="00092302"/>
    <w:rsid w:val="00092982"/>
    <w:rsid w:val="00092DD6"/>
    <w:rsid w:val="000944D8"/>
    <w:rsid w:val="00094C85"/>
    <w:rsid w:val="00094D7E"/>
    <w:rsid w:val="0009517B"/>
    <w:rsid w:val="00095AE2"/>
    <w:rsid w:val="000962DF"/>
    <w:rsid w:val="0009661E"/>
    <w:rsid w:val="0009764C"/>
    <w:rsid w:val="000A10C7"/>
    <w:rsid w:val="000A12BC"/>
    <w:rsid w:val="000A1306"/>
    <w:rsid w:val="000A1521"/>
    <w:rsid w:val="000A2FC1"/>
    <w:rsid w:val="000A3A57"/>
    <w:rsid w:val="000A5408"/>
    <w:rsid w:val="000A6510"/>
    <w:rsid w:val="000A661C"/>
    <w:rsid w:val="000A7484"/>
    <w:rsid w:val="000A7B1D"/>
    <w:rsid w:val="000A7DC1"/>
    <w:rsid w:val="000B0BB4"/>
    <w:rsid w:val="000B1045"/>
    <w:rsid w:val="000B1BAE"/>
    <w:rsid w:val="000B23B7"/>
    <w:rsid w:val="000B29B3"/>
    <w:rsid w:val="000B2AAC"/>
    <w:rsid w:val="000B2B51"/>
    <w:rsid w:val="000B3889"/>
    <w:rsid w:val="000B3B3B"/>
    <w:rsid w:val="000B42E7"/>
    <w:rsid w:val="000B5473"/>
    <w:rsid w:val="000B6BBC"/>
    <w:rsid w:val="000B70B7"/>
    <w:rsid w:val="000B73E6"/>
    <w:rsid w:val="000B7759"/>
    <w:rsid w:val="000C111E"/>
    <w:rsid w:val="000C1E3C"/>
    <w:rsid w:val="000C1FB4"/>
    <w:rsid w:val="000C2A3E"/>
    <w:rsid w:val="000C2CE8"/>
    <w:rsid w:val="000C335E"/>
    <w:rsid w:val="000C4651"/>
    <w:rsid w:val="000C46EC"/>
    <w:rsid w:val="000C484D"/>
    <w:rsid w:val="000C523D"/>
    <w:rsid w:val="000C52A5"/>
    <w:rsid w:val="000C563F"/>
    <w:rsid w:val="000C57AE"/>
    <w:rsid w:val="000C5DF9"/>
    <w:rsid w:val="000C5F21"/>
    <w:rsid w:val="000C662C"/>
    <w:rsid w:val="000C733A"/>
    <w:rsid w:val="000C76B0"/>
    <w:rsid w:val="000D05C2"/>
    <w:rsid w:val="000D0C07"/>
    <w:rsid w:val="000D0C7C"/>
    <w:rsid w:val="000D1A1D"/>
    <w:rsid w:val="000D26DC"/>
    <w:rsid w:val="000D2765"/>
    <w:rsid w:val="000D5FB7"/>
    <w:rsid w:val="000E06A5"/>
    <w:rsid w:val="000E16EB"/>
    <w:rsid w:val="000E2DC7"/>
    <w:rsid w:val="000E2DE3"/>
    <w:rsid w:val="000E3B10"/>
    <w:rsid w:val="000E3DA7"/>
    <w:rsid w:val="000E4690"/>
    <w:rsid w:val="000E591F"/>
    <w:rsid w:val="000E593C"/>
    <w:rsid w:val="000E5A23"/>
    <w:rsid w:val="000E6045"/>
    <w:rsid w:val="000E783B"/>
    <w:rsid w:val="000E7872"/>
    <w:rsid w:val="000F0772"/>
    <w:rsid w:val="000F0BE5"/>
    <w:rsid w:val="000F0F0D"/>
    <w:rsid w:val="000F1270"/>
    <w:rsid w:val="000F1B52"/>
    <w:rsid w:val="000F1C70"/>
    <w:rsid w:val="000F1EAA"/>
    <w:rsid w:val="000F30D5"/>
    <w:rsid w:val="000F33C5"/>
    <w:rsid w:val="000F3ACF"/>
    <w:rsid w:val="000F49FA"/>
    <w:rsid w:val="000F4BB6"/>
    <w:rsid w:val="000F58C4"/>
    <w:rsid w:val="000F5E56"/>
    <w:rsid w:val="000F70F9"/>
    <w:rsid w:val="001007AB"/>
    <w:rsid w:val="00100F97"/>
    <w:rsid w:val="001012E0"/>
    <w:rsid w:val="001016F2"/>
    <w:rsid w:val="001024C1"/>
    <w:rsid w:val="0010385D"/>
    <w:rsid w:val="001042E0"/>
    <w:rsid w:val="00104C51"/>
    <w:rsid w:val="0010597B"/>
    <w:rsid w:val="0010646F"/>
    <w:rsid w:val="00110107"/>
    <w:rsid w:val="00110531"/>
    <w:rsid w:val="00110794"/>
    <w:rsid w:val="00112524"/>
    <w:rsid w:val="00113649"/>
    <w:rsid w:val="00113769"/>
    <w:rsid w:val="00114141"/>
    <w:rsid w:val="001147A0"/>
    <w:rsid w:val="0011481A"/>
    <w:rsid w:val="00114827"/>
    <w:rsid w:val="00114CD2"/>
    <w:rsid w:val="00115266"/>
    <w:rsid w:val="001154FB"/>
    <w:rsid w:val="00115B51"/>
    <w:rsid w:val="001171EF"/>
    <w:rsid w:val="001173C5"/>
    <w:rsid w:val="001207D7"/>
    <w:rsid w:val="00121092"/>
    <w:rsid w:val="00121881"/>
    <w:rsid w:val="00121AA0"/>
    <w:rsid w:val="00121FE6"/>
    <w:rsid w:val="00123F16"/>
    <w:rsid w:val="0012405D"/>
    <w:rsid w:val="00124584"/>
    <w:rsid w:val="001252B1"/>
    <w:rsid w:val="0012602F"/>
    <w:rsid w:val="00126530"/>
    <w:rsid w:val="00126897"/>
    <w:rsid w:val="0012696D"/>
    <w:rsid w:val="00127F1D"/>
    <w:rsid w:val="0013071B"/>
    <w:rsid w:val="00130FC9"/>
    <w:rsid w:val="001310EE"/>
    <w:rsid w:val="0013191A"/>
    <w:rsid w:val="00131C0E"/>
    <w:rsid w:val="00131E8F"/>
    <w:rsid w:val="001325FA"/>
    <w:rsid w:val="00132621"/>
    <w:rsid w:val="00133615"/>
    <w:rsid w:val="00134225"/>
    <w:rsid w:val="001349FE"/>
    <w:rsid w:val="00135C24"/>
    <w:rsid w:val="00136389"/>
    <w:rsid w:val="00136959"/>
    <w:rsid w:val="00136A1A"/>
    <w:rsid w:val="00136A96"/>
    <w:rsid w:val="001376B6"/>
    <w:rsid w:val="001408CA"/>
    <w:rsid w:val="00140A35"/>
    <w:rsid w:val="00141A0B"/>
    <w:rsid w:val="00141B37"/>
    <w:rsid w:val="00142F4D"/>
    <w:rsid w:val="00143428"/>
    <w:rsid w:val="0014412C"/>
    <w:rsid w:val="00144713"/>
    <w:rsid w:val="00144815"/>
    <w:rsid w:val="00144CC3"/>
    <w:rsid w:val="00145FD6"/>
    <w:rsid w:val="00146AD9"/>
    <w:rsid w:val="001476B0"/>
    <w:rsid w:val="00147EDF"/>
    <w:rsid w:val="0015009D"/>
    <w:rsid w:val="001513A7"/>
    <w:rsid w:val="00151493"/>
    <w:rsid w:val="001519FB"/>
    <w:rsid w:val="00151B18"/>
    <w:rsid w:val="00151BF2"/>
    <w:rsid w:val="00151C68"/>
    <w:rsid w:val="001520DD"/>
    <w:rsid w:val="00152374"/>
    <w:rsid w:val="00153A62"/>
    <w:rsid w:val="00153CD7"/>
    <w:rsid w:val="00154023"/>
    <w:rsid w:val="00154E56"/>
    <w:rsid w:val="00154F32"/>
    <w:rsid w:val="001550DF"/>
    <w:rsid w:val="001550E9"/>
    <w:rsid w:val="00155CBF"/>
    <w:rsid w:val="00155CEA"/>
    <w:rsid w:val="00156153"/>
    <w:rsid w:val="001563D9"/>
    <w:rsid w:val="00156428"/>
    <w:rsid w:val="001568F4"/>
    <w:rsid w:val="001572CE"/>
    <w:rsid w:val="00157A6A"/>
    <w:rsid w:val="001603F7"/>
    <w:rsid w:val="00160C95"/>
    <w:rsid w:val="00161D28"/>
    <w:rsid w:val="00162777"/>
    <w:rsid w:val="0016337E"/>
    <w:rsid w:val="00164691"/>
    <w:rsid w:val="00164BD2"/>
    <w:rsid w:val="00165AC3"/>
    <w:rsid w:val="001665F3"/>
    <w:rsid w:val="001667B6"/>
    <w:rsid w:val="001668D4"/>
    <w:rsid w:val="00166A09"/>
    <w:rsid w:val="00167809"/>
    <w:rsid w:val="00167F30"/>
    <w:rsid w:val="00170666"/>
    <w:rsid w:val="00170EB2"/>
    <w:rsid w:val="00171308"/>
    <w:rsid w:val="00171844"/>
    <w:rsid w:val="0017385A"/>
    <w:rsid w:val="00175448"/>
    <w:rsid w:val="0017568B"/>
    <w:rsid w:val="001757AF"/>
    <w:rsid w:val="00175825"/>
    <w:rsid w:val="001758E9"/>
    <w:rsid w:val="0017666F"/>
    <w:rsid w:val="00176D64"/>
    <w:rsid w:val="00176E2C"/>
    <w:rsid w:val="00177DBF"/>
    <w:rsid w:val="00180A19"/>
    <w:rsid w:val="00180AC7"/>
    <w:rsid w:val="00180F7E"/>
    <w:rsid w:val="001814D1"/>
    <w:rsid w:val="00182417"/>
    <w:rsid w:val="0018242F"/>
    <w:rsid w:val="0018414E"/>
    <w:rsid w:val="00185718"/>
    <w:rsid w:val="001857AF"/>
    <w:rsid w:val="00185BBE"/>
    <w:rsid w:val="00186606"/>
    <w:rsid w:val="00190B6D"/>
    <w:rsid w:val="0019156F"/>
    <w:rsid w:val="001919AF"/>
    <w:rsid w:val="00191E75"/>
    <w:rsid w:val="00192022"/>
    <w:rsid w:val="0019301D"/>
    <w:rsid w:val="001939B6"/>
    <w:rsid w:val="0019454F"/>
    <w:rsid w:val="00194719"/>
    <w:rsid w:val="00194774"/>
    <w:rsid w:val="00195CE0"/>
    <w:rsid w:val="001A098F"/>
    <w:rsid w:val="001A0CAA"/>
    <w:rsid w:val="001A0F0B"/>
    <w:rsid w:val="001A10CB"/>
    <w:rsid w:val="001A110B"/>
    <w:rsid w:val="001A149A"/>
    <w:rsid w:val="001A2AB7"/>
    <w:rsid w:val="001A4A9C"/>
    <w:rsid w:val="001A641A"/>
    <w:rsid w:val="001A6B88"/>
    <w:rsid w:val="001A6C33"/>
    <w:rsid w:val="001A6E68"/>
    <w:rsid w:val="001B1F74"/>
    <w:rsid w:val="001B3131"/>
    <w:rsid w:val="001B4B2F"/>
    <w:rsid w:val="001B6640"/>
    <w:rsid w:val="001B7062"/>
    <w:rsid w:val="001B7C00"/>
    <w:rsid w:val="001C029B"/>
    <w:rsid w:val="001C09D2"/>
    <w:rsid w:val="001C1620"/>
    <w:rsid w:val="001C18B2"/>
    <w:rsid w:val="001C1994"/>
    <w:rsid w:val="001C19E3"/>
    <w:rsid w:val="001C2933"/>
    <w:rsid w:val="001C4272"/>
    <w:rsid w:val="001C506C"/>
    <w:rsid w:val="001C5EEE"/>
    <w:rsid w:val="001C6A73"/>
    <w:rsid w:val="001C73C2"/>
    <w:rsid w:val="001C7B7C"/>
    <w:rsid w:val="001D0474"/>
    <w:rsid w:val="001D141D"/>
    <w:rsid w:val="001D14B8"/>
    <w:rsid w:val="001D1CEA"/>
    <w:rsid w:val="001D1EBD"/>
    <w:rsid w:val="001D2184"/>
    <w:rsid w:val="001D24F3"/>
    <w:rsid w:val="001D2678"/>
    <w:rsid w:val="001D2DC4"/>
    <w:rsid w:val="001D3809"/>
    <w:rsid w:val="001D491F"/>
    <w:rsid w:val="001D5F50"/>
    <w:rsid w:val="001D6A48"/>
    <w:rsid w:val="001D7014"/>
    <w:rsid w:val="001E0CF5"/>
    <w:rsid w:val="001E1043"/>
    <w:rsid w:val="001E10E1"/>
    <w:rsid w:val="001E175F"/>
    <w:rsid w:val="001E186C"/>
    <w:rsid w:val="001E19F7"/>
    <w:rsid w:val="001E2669"/>
    <w:rsid w:val="001E34F5"/>
    <w:rsid w:val="001E3FB9"/>
    <w:rsid w:val="001E4083"/>
    <w:rsid w:val="001E5588"/>
    <w:rsid w:val="001E56CB"/>
    <w:rsid w:val="001E56FC"/>
    <w:rsid w:val="001E582D"/>
    <w:rsid w:val="001E6318"/>
    <w:rsid w:val="001F0AD5"/>
    <w:rsid w:val="001F0C0A"/>
    <w:rsid w:val="001F1509"/>
    <w:rsid w:val="001F18E7"/>
    <w:rsid w:val="001F37CA"/>
    <w:rsid w:val="001F3A75"/>
    <w:rsid w:val="001F3A9D"/>
    <w:rsid w:val="001F3FDB"/>
    <w:rsid w:val="001F6545"/>
    <w:rsid w:val="001F66B5"/>
    <w:rsid w:val="001F6F36"/>
    <w:rsid w:val="001F76FD"/>
    <w:rsid w:val="002004C0"/>
    <w:rsid w:val="002012F2"/>
    <w:rsid w:val="002014D7"/>
    <w:rsid w:val="0020240E"/>
    <w:rsid w:val="00202F07"/>
    <w:rsid w:val="00203030"/>
    <w:rsid w:val="00203D45"/>
    <w:rsid w:val="00205495"/>
    <w:rsid w:val="002061DE"/>
    <w:rsid w:val="002065E2"/>
    <w:rsid w:val="00206C61"/>
    <w:rsid w:val="00206F30"/>
    <w:rsid w:val="002072D8"/>
    <w:rsid w:val="00207616"/>
    <w:rsid w:val="00207C58"/>
    <w:rsid w:val="00207F10"/>
    <w:rsid w:val="00210AA8"/>
    <w:rsid w:val="002112E6"/>
    <w:rsid w:val="00211626"/>
    <w:rsid w:val="00211D55"/>
    <w:rsid w:val="00213213"/>
    <w:rsid w:val="0021457F"/>
    <w:rsid w:val="0021505D"/>
    <w:rsid w:val="0021604B"/>
    <w:rsid w:val="00216545"/>
    <w:rsid w:val="00220227"/>
    <w:rsid w:val="0022145A"/>
    <w:rsid w:val="0022176B"/>
    <w:rsid w:val="00222760"/>
    <w:rsid w:val="00222782"/>
    <w:rsid w:val="0022360A"/>
    <w:rsid w:val="00224009"/>
    <w:rsid w:val="00226B82"/>
    <w:rsid w:val="00227103"/>
    <w:rsid w:val="00230249"/>
    <w:rsid w:val="00230D5F"/>
    <w:rsid w:val="00231BE3"/>
    <w:rsid w:val="00232C51"/>
    <w:rsid w:val="002330E3"/>
    <w:rsid w:val="00233414"/>
    <w:rsid w:val="00233D69"/>
    <w:rsid w:val="00234E82"/>
    <w:rsid w:val="00235159"/>
    <w:rsid w:val="00235C9D"/>
    <w:rsid w:val="0023670E"/>
    <w:rsid w:val="0023721A"/>
    <w:rsid w:val="002412D4"/>
    <w:rsid w:val="0024220D"/>
    <w:rsid w:val="0024250D"/>
    <w:rsid w:val="00242BD3"/>
    <w:rsid w:val="00242C02"/>
    <w:rsid w:val="00243155"/>
    <w:rsid w:val="00246E87"/>
    <w:rsid w:val="00247783"/>
    <w:rsid w:val="002502E6"/>
    <w:rsid w:val="0025172C"/>
    <w:rsid w:val="00252762"/>
    <w:rsid w:val="00252CF8"/>
    <w:rsid w:val="00252E2E"/>
    <w:rsid w:val="00253210"/>
    <w:rsid w:val="00253523"/>
    <w:rsid w:val="0025353E"/>
    <w:rsid w:val="00253DE1"/>
    <w:rsid w:val="0025425F"/>
    <w:rsid w:val="00254468"/>
    <w:rsid w:val="00254DE4"/>
    <w:rsid w:val="002559DA"/>
    <w:rsid w:val="00256955"/>
    <w:rsid w:val="002571BD"/>
    <w:rsid w:val="0026071A"/>
    <w:rsid w:val="00261B27"/>
    <w:rsid w:val="00262B5A"/>
    <w:rsid w:val="0026520E"/>
    <w:rsid w:val="0026553E"/>
    <w:rsid w:val="00265FD2"/>
    <w:rsid w:val="00266486"/>
    <w:rsid w:val="002669EC"/>
    <w:rsid w:val="00266B0A"/>
    <w:rsid w:val="00266C61"/>
    <w:rsid w:val="0026749A"/>
    <w:rsid w:val="00270614"/>
    <w:rsid w:val="00270E72"/>
    <w:rsid w:val="00270EA2"/>
    <w:rsid w:val="0027167E"/>
    <w:rsid w:val="00271F24"/>
    <w:rsid w:val="00272503"/>
    <w:rsid w:val="00272EC9"/>
    <w:rsid w:val="00272F3A"/>
    <w:rsid w:val="002736FD"/>
    <w:rsid w:val="00273941"/>
    <w:rsid w:val="00273D91"/>
    <w:rsid w:val="002743E2"/>
    <w:rsid w:val="00274410"/>
    <w:rsid w:val="0027447E"/>
    <w:rsid w:val="0027520A"/>
    <w:rsid w:val="00275419"/>
    <w:rsid w:val="00275A2D"/>
    <w:rsid w:val="0027655E"/>
    <w:rsid w:val="002772A5"/>
    <w:rsid w:val="002806F8"/>
    <w:rsid w:val="002810B5"/>
    <w:rsid w:val="00281DD6"/>
    <w:rsid w:val="00281F4F"/>
    <w:rsid w:val="002830AA"/>
    <w:rsid w:val="00285760"/>
    <w:rsid w:val="00285F0F"/>
    <w:rsid w:val="00286744"/>
    <w:rsid w:val="002909B9"/>
    <w:rsid w:val="00290A7A"/>
    <w:rsid w:val="00292CEE"/>
    <w:rsid w:val="00292D22"/>
    <w:rsid w:val="00294474"/>
    <w:rsid w:val="0029470D"/>
    <w:rsid w:val="00294C16"/>
    <w:rsid w:val="00297B80"/>
    <w:rsid w:val="002A076C"/>
    <w:rsid w:val="002A1059"/>
    <w:rsid w:val="002A3C9D"/>
    <w:rsid w:val="002A5403"/>
    <w:rsid w:val="002A614F"/>
    <w:rsid w:val="002A6C9F"/>
    <w:rsid w:val="002A77F3"/>
    <w:rsid w:val="002B14F0"/>
    <w:rsid w:val="002B1F0F"/>
    <w:rsid w:val="002B3447"/>
    <w:rsid w:val="002B4408"/>
    <w:rsid w:val="002B53D3"/>
    <w:rsid w:val="002B6202"/>
    <w:rsid w:val="002C014C"/>
    <w:rsid w:val="002C060C"/>
    <w:rsid w:val="002C0BA6"/>
    <w:rsid w:val="002C12A7"/>
    <w:rsid w:val="002C2B6F"/>
    <w:rsid w:val="002C314F"/>
    <w:rsid w:val="002C4AD1"/>
    <w:rsid w:val="002C5322"/>
    <w:rsid w:val="002C6EED"/>
    <w:rsid w:val="002C7177"/>
    <w:rsid w:val="002C7644"/>
    <w:rsid w:val="002C7D29"/>
    <w:rsid w:val="002D0298"/>
    <w:rsid w:val="002D1662"/>
    <w:rsid w:val="002D1DE5"/>
    <w:rsid w:val="002D23CC"/>
    <w:rsid w:val="002D299D"/>
    <w:rsid w:val="002D30F2"/>
    <w:rsid w:val="002D32A9"/>
    <w:rsid w:val="002D3506"/>
    <w:rsid w:val="002D3670"/>
    <w:rsid w:val="002D3BD1"/>
    <w:rsid w:val="002D4807"/>
    <w:rsid w:val="002D5DDC"/>
    <w:rsid w:val="002D5F16"/>
    <w:rsid w:val="002D62F1"/>
    <w:rsid w:val="002D6FD8"/>
    <w:rsid w:val="002D727B"/>
    <w:rsid w:val="002D7EAD"/>
    <w:rsid w:val="002E1169"/>
    <w:rsid w:val="002E1218"/>
    <w:rsid w:val="002E28F3"/>
    <w:rsid w:val="002E439E"/>
    <w:rsid w:val="002E5703"/>
    <w:rsid w:val="002E7615"/>
    <w:rsid w:val="002E7A2A"/>
    <w:rsid w:val="002E7F16"/>
    <w:rsid w:val="002F10E6"/>
    <w:rsid w:val="002F1425"/>
    <w:rsid w:val="002F200B"/>
    <w:rsid w:val="002F204A"/>
    <w:rsid w:val="002F2D82"/>
    <w:rsid w:val="002F2EC8"/>
    <w:rsid w:val="002F4376"/>
    <w:rsid w:val="002F493E"/>
    <w:rsid w:val="002F4B3A"/>
    <w:rsid w:val="002F4CE2"/>
    <w:rsid w:val="002F551C"/>
    <w:rsid w:val="002F5F6A"/>
    <w:rsid w:val="002F60A4"/>
    <w:rsid w:val="002F66B9"/>
    <w:rsid w:val="002F6B0C"/>
    <w:rsid w:val="002F6FBC"/>
    <w:rsid w:val="002F77FC"/>
    <w:rsid w:val="003004A6"/>
    <w:rsid w:val="0030129C"/>
    <w:rsid w:val="003013E2"/>
    <w:rsid w:val="00301FE4"/>
    <w:rsid w:val="00302EEE"/>
    <w:rsid w:val="00303E3A"/>
    <w:rsid w:val="00305417"/>
    <w:rsid w:val="00306127"/>
    <w:rsid w:val="00306215"/>
    <w:rsid w:val="0030641B"/>
    <w:rsid w:val="00306746"/>
    <w:rsid w:val="003067C8"/>
    <w:rsid w:val="00310A31"/>
    <w:rsid w:val="00311453"/>
    <w:rsid w:val="003114C9"/>
    <w:rsid w:val="0031229D"/>
    <w:rsid w:val="00314E12"/>
    <w:rsid w:val="003166A5"/>
    <w:rsid w:val="00316C8C"/>
    <w:rsid w:val="003174C2"/>
    <w:rsid w:val="00317CE4"/>
    <w:rsid w:val="00320546"/>
    <w:rsid w:val="00320DF4"/>
    <w:rsid w:val="003212C1"/>
    <w:rsid w:val="003219A9"/>
    <w:rsid w:val="00321B00"/>
    <w:rsid w:val="00321C54"/>
    <w:rsid w:val="00321DCD"/>
    <w:rsid w:val="00322324"/>
    <w:rsid w:val="0032261F"/>
    <w:rsid w:val="00323420"/>
    <w:rsid w:val="003237A2"/>
    <w:rsid w:val="00324187"/>
    <w:rsid w:val="00324729"/>
    <w:rsid w:val="00324D69"/>
    <w:rsid w:val="00325C8B"/>
    <w:rsid w:val="00326D25"/>
    <w:rsid w:val="00327011"/>
    <w:rsid w:val="00330015"/>
    <w:rsid w:val="00330721"/>
    <w:rsid w:val="00331C24"/>
    <w:rsid w:val="003322B1"/>
    <w:rsid w:val="00332684"/>
    <w:rsid w:val="00334127"/>
    <w:rsid w:val="00335CA6"/>
    <w:rsid w:val="003365F0"/>
    <w:rsid w:val="00336C50"/>
    <w:rsid w:val="00337388"/>
    <w:rsid w:val="00340007"/>
    <w:rsid w:val="0034007D"/>
    <w:rsid w:val="00342BCF"/>
    <w:rsid w:val="003433E5"/>
    <w:rsid w:val="00344082"/>
    <w:rsid w:val="00344145"/>
    <w:rsid w:val="0034582C"/>
    <w:rsid w:val="00345916"/>
    <w:rsid w:val="00345954"/>
    <w:rsid w:val="00345CAC"/>
    <w:rsid w:val="0034789E"/>
    <w:rsid w:val="003501DA"/>
    <w:rsid w:val="003503E2"/>
    <w:rsid w:val="00351DC1"/>
    <w:rsid w:val="003534EE"/>
    <w:rsid w:val="00353C91"/>
    <w:rsid w:val="00357861"/>
    <w:rsid w:val="003600A2"/>
    <w:rsid w:val="00360E76"/>
    <w:rsid w:val="003612D8"/>
    <w:rsid w:val="003633CE"/>
    <w:rsid w:val="003637B6"/>
    <w:rsid w:val="00363F89"/>
    <w:rsid w:val="00363FB0"/>
    <w:rsid w:val="003646D6"/>
    <w:rsid w:val="00364FC6"/>
    <w:rsid w:val="0036541D"/>
    <w:rsid w:val="0036559F"/>
    <w:rsid w:val="00365D19"/>
    <w:rsid w:val="00365E53"/>
    <w:rsid w:val="003667CE"/>
    <w:rsid w:val="0036768F"/>
    <w:rsid w:val="00370504"/>
    <w:rsid w:val="00371814"/>
    <w:rsid w:val="00372BAE"/>
    <w:rsid w:val="00372EE9"/>
    <w:rsid w:val="00373F07"/>
    <w:rsid w:val="00374A60"/>
    <w:rsid w:val="00375181"/>
    <w:rsid w:val="003764C0"/>
    <w:rsid w:val="003767A4"/>
    <w:rsid w:val="003774F6"/>
    <w:rsid w:val="003818B3"/>
    <w:rsid w:val="0038356A"/>
    <w:rsid w:val="0038382F"/>
    <w:rsid w:val="0038443F"/>
    <w:rsid w:val="00385427"/>
    <w:rsid w:val="003857AE"/>
    <w:rsid w:val="00385CA0"/>
    <w:rsid w:val="00387542"/>
    <w:rsid w:val="00387817"/>
    <w:rsid w:val="00387C6B"/>
    <w:rsid w:val="00390257"/>
    <w:rsid w:val="00390FC0"/>
    <w:rsid w:val="003911B2"/>
    <w:rsid w:val="00391AFE"/>
    <w:rsid w:val="00392705"/>
    <w:rsid w:val="00393028"/>
    <w:rsid w:val="00393A79"/>
    <w:rsid w:val="0039419C"/>
    <w:rsid w:val="00395170"/>
    <w:rsid w:val="00395987"/>
    <w:rsid w:val="00396375"/>
    <w:rsid w:val="00396801"/>
    <w:rsid w:val="00396E82"/>
    <w:rsid w:val="00397BF3"/>
    <w:rsid w:val="003A07FF"/>
    <w:rsid w:val="003A0A88"/>
    <w:rsid w:val="003A0D0B"/>
    <w:rsid w:val="003A146E"/>
    <w:rsid w:val="003A26CD"/>
    <w:rsid w:val="003A2EF4"/>
    <w:rsid w:val="003A37F7"/>
    <w:rsid w:val="003A5201"/>
    <w:rsid w:val="003A54E9"/>
    <w:rsid w:val="003A5E7C"/>
    <w:rsid w:val="003A63DC"/>
    <w:rsid w:val="003A78C7"/>
    <w:rsid w:val="003A7E9A"/>
    <w:rsid w:val="003B15FE"/>
    <w:rsid w:val="003B1C41"/>
    <w:rsid w:val="003B2ED5"/>
    <w:rsid w:val="003B4669"/>
    <w:rsid w:val="003B46AD"/>
    <w:rsid w:val="003B526C"/>
    <w:rsid w:val="003B5C96"/>
    <w:rsid w:val="003B65FB"/>
    <w:rsid w:val="003B6A26"/>
    <w:rsid w:val="003C151C"/>
    <w:rsid w:val="003C218D"/>
    <w:rsid w:val="003C2A9C"/>
    <w:rsid w:val="003C3D89"/>
    <w:rsid w:val="003C3EE2"/>
    <w:rsid w:val="003C4224"/>
    <w:rsid w:val="003C426D"/>
    <w:rsid w:val="003C4877"/>
    <w:rsid w:val="003C4B42"/>
    <w:rsid w:val="003C4E91"/>
    <w:rsid w:val="003C6D76"/>
    <w:rsid w:val="003C72F6"/>
    <w:rsid w:val="003C7C62"/>
    <w:rsid w:val="003C7D68"/>
    <w:rsid w:val="003D0697"/>
    <w:rsid w:val="003D073C"/>
    <w:rsid w:val="003D0791"/>
    <w:rsid w:val="003D0B72"/>
    <w:rsid w:val="003D1130"/>
    <w:rsid w:val="003D37D4"/>
    <w:rsid w:val="003D47A7"/>
    <w:rsid w:val="003D56B5"/>
    <w:rsid w:val="003D5DCC"/>
    <w:rsid w:val="003D6B84"/>
    <w:rsid w:val="003D7BDE"/>
    <w:rsid w:val="003E0F61"/>
    <w:rsid w:val="003E1A49"/>
    <w:rsid w:val="003E273C"/>
    <w:rsid w:val="003E2D01"/>
    <w:rsid w:val="003E2ECD"/>
    <w:rsid w:val="003E330E"/>
    <w:rsid w:val="003E3AE3"/>
    <w:rsid w:val="003E47C9"/>
    <w:rsid w:val="003E55BA"/>
    <w:rsid w:val="003E5733"/>
    <w:rsid w:val="003E5E27"/>
    <w:rsid w:val="003E6FD2"/>
    <w:rsid w:val="003E788F"/>
    <w:rsid w:val="003E7A97"/>
    <w:rsid w:val="003E7D3A"/>
    <w:rsid w:val="003F0543"/>
    <w:rsid w:val="003F0950"/>
    <w:rsid w:val="003F09C9"/>
    <w:rsid w:val="003F15BC"/>
    <w:rsid w:val="003F3457"/>
    <w:rsid w:val="003F4C37"/>
    <w:rsid w:val="003F592E"/>
    <w:rsid w:val="003F67AE"/>
    <w:rsid w:val="003F6BBB"/>
    <w:rsid w:val="003F719F"/>
    <w:rsid w:val="003F76B5"/>
    <w:rsid w:val="0040033D"/>
    <w:rsid w:val="0040048A"/>
    <w:rsid w:val="004007E1"/>
    <w:rsid w:val="00400B1F"/>
    <w:rsid w:val="00401D7B"/>
    <w:rsid w:val="004021A8"/>
    <w:rsid w:val="00402507"/>
    <w:rsid w:val="004032D2"/>
    <w:rsid w:val="00403C4F"/>
    <w:rsid w:val="004058B4"/>
    <w:rsid w:val="00405C45"/>
    <w:rsid w:val="004062EF"/>
    <w:rsid w:val="004062F0"/>
    <w:rsid w:val="00406CB5"/>
    <w:rsid w:val="0040724F"/>
    <w:rsid w:val="00410B8F"/>
    <w:rsid w:val="00411141"/>
    <w:rsid w:val="004118F4"/>
    <w:rsid w:val="00412057"/>
    <w:rsid w:val="004126C1"/>
    <w:rsid w:val="00413BA5"/>
    <w:rsid w:val="004142B7"/>
    <w:rsid w:val="00414FD0"/>
    <w:rsid w:val="00417E93"/>
    <w:rsid w:val="004226D7"/>
    <w:rsid w:val="00422A2A"/>
    <w:rsid w:val="00424BB4"/>
    <w:rsid w:val="004258CD"/>
    <w:rsid w:val="004258F0"/>
    <w:rsid w:val="004261D2"/>
    <w:rsid w:val="00426BB2"/>
    <w:rsid w:val="00426CD7"/>
    <w:rsid w:val="004303D1"/>
    <w:rsid w:val="00431E7B"/>
    <w:rsid w:val="004335C7"/>
    <w:rsid w:val="00433C0A"/>
    <w:rsid w:val="004349FA"/>
    <w:rsid w:val="004406BD"/>
    <w:rsid w:val="00440A11"/>
    <w:rsid w:val="00441388"/>
    <w:rsid w:val="00442FBE"/>
    <w:rsid w:val="004433B1"/>
    <w:rsid w:val="00443571"/>
    <w:rsid w:val="00443AFB"/>
    <w:rsid w:val="004444E3"/>
    <w:rsid w:val="004447FD"/>
    <w:rsid w:val="00445032"/>
    <w:rsid w:val="004450CB"/>
    <w:rsid w:val="00446967"/>
    <w:rsid w:val="00446AB6"/>
    <w:rsid w:val="00450018"/>
    <w:rsid w:val="004507DB"/>
    <w:rsid w:val="00450EEE"/>
    <w:rsid w:val="004512B2"/>
    <w:rsid w:val="004528EE"/>
    <w:rsid w:val="00453360"/>
    <w:rsid w:val="004548B8"/>
    <w:rsid w:val="00455893"/>
    <w:rsid w:val="00456409"/>
    <w:rsid w:val="004569C6"/>
    <w:rsid w:val="00456ADC"/>
    <w:rsid w:val="0045768F"/>
    <w:rsid w:val="00457769"/>
    <w:rsid w:val="00457FA0"/>
    <w:rsid w:val="00460504"/>
    <w:rsid w:val="00460886"/>
    <w:rsid w:val="004627AE"/>
    <w:rsid w:val="0046298E"/>
    <w:rsid w:val="004647BB"/>
    <w:rsid w:val="0046482B"/>
    <w:rsid w:val="004648E0"/>
    <w:rsid w:val="0047045E"/>
    <w:rsid w:val="004704D3"/>
    <w:rsid w:val="00472043"/>
    <w:rsid w:val="00472F56"/>
    <w:rsid w:val="0047335E"/>
    <w:rsid w:val="00473CA1"/>
    <w:rsid w:val="0047572C"/>
    <w:rsid w:val="00476407"/>
    <w:rsid w:val="004773F7"/>
    <w:rsid w:val="0048191C"/>
    <w:rsid w:val="00481F5F"/>
    <w:rsid w:val="004821D0"/>
    <w:rsid w:val="00482CB2"/>
    <w:rsid w:val="0048361D"/>
    <w:rsid w:val="00483D06"/>
    <w:rsid w:val="00484355"/>
    <w:rsid w:val="00485A4A"/>
    <w:rsid w:val="00485CF7"/>
    <w:rsid w:val="004862C2"/>
    <w:rsid w:val="004863F7"/>
    <w:rsid w:val="00486CE1"/>
    <w:rsid w:val="00486FFC"/>
    <w:rsid w:val="00490ED4"/>
    <w:rsid w:val="00491B91"/>
    <w:rsid w:val="00491C21"/>
    <w:rsid w:val="00491C66"/>
    <w:rsid w:val="004935D6"/>
    <w:rsid w:val="00494195"/>
    <w:rsid w:val="004942E0"/>
    <w:rsid w:val="004945FB"/>
    <w:rsid w:val="00495D3F"/>
    <w:rsid w:val="00497356"/>
    <w:rsid w:val="0049749E"/>
    <w:rsid w:val="00497CA5"/>
    <w:rsid w:val="00497CD1"/>
    <w:rsid w:val="004A076F"/>
    <w:rsid w:val="004A1DC1"/>
    <w:rsid w:val="004A31A2"/>
    <w:rsid w:val="004A32B7"/>
    <w:rsid w:val="004A48A7"/>
    <w:rsid w:val="004A655D"/>
    <w:rsid w:val="004B01B1"/>
    <w:rsid w:val="004B08D1"/>
    <w:rsid w:val="004B10E6"/>
    <w:rsid w:val="004B198F"/>
    <w:rsid w:val="004B27B7"/>
    <w:rsid w:val="004B357D"/>
    <w:rsid w:val="004B46D0"/>
    <w:rsid w:val="004B49B1"/>
    <w:rsid w:val="004B57B0"/>
    <w:rsid w:val="004B60CE"/>
    <w:rsid w:val="004B61C9"/>
    <w:rsid w:val="004C0B26"/>
    <w:rsid w:val="004C1072"/>
    <w:rsid w:val="004C12FE"/>
    <w:rsid w:val="004C1D57"/>
    <w:rsid w:val="004C279B"/>
    <w:rsid w:val="004C2F7C"/>
    <w:rsid w:val="004C34F8"/>
    <w:rsid w:val="004C375F"/>
    <w:rsid w:val="004C482F"/>
    <w:rsid w:val="004C49C9"/>
    <w:rsid w:val="004C627F"/>
    <w:rsid w:val="004C6CAF"/>
    <w:rsid w:val="004C76C1"/>
    <w:rsid w:val="004C7DDE"/>
    <w:rsid w:val="004D0D1A"/>
    <w:rsid w:val="004D169F"/>
    <w:rsid w:val="004D18CF"/>
    <w:rsid w:val="004D299A"/>
    <w:rsid w:val="004D30CE"/>
    <w:rsid w:val="004D4071"/>
    <w:rsid w:val="004D421A"/>
    <w:rsid w:val="004D4D0C"/>
    <w:rsid w:val="004D6144"/>
    <w:rsid w:val="004D678F"/>
    <w:rsid w:val="004D7D62"/>
    <w:rsid w:val="004E1264"/>
    <w:rsid w:val="004E1F79"/>
    <w:rsid w:val="004E2CBC"/>
    <w:rsid w:val="004E30B6"/>
    <w:rsid w:val="004E3DD4"/>
    <w:rsid w:val="004E4FF2"/>
    <w:rsid w:val="004E5C1A"/>
    <w:rsid w:val="004E5C56"/>
    <w:rsid w:val="004E6C8C"/>
    <w:rsid w:val="004E6CC7"/>
    <w:rsid w:val="004E776F"/>
    <w:rsid w:val="004F111D"/>
    <w:rsid w:val="004F1843"/>
    <w:rsid w:val="004F1EEC"/>
    <w:rsid w:val="004F24C8"/>
    <w:rsid w:val="004F30D6"/>
    <w:rsid w:val="004F34A5"/>
    <w:rsid w:val="004F40D6"/>
    <w:rsid w:val="004F43EA"/>
    <w:rsid w:val="004F45A7"/>
    <w:rsid w:val="004F4A8F"/>
    <w:rsid w:val="004F5434"/>
    <w:rsid w:val="004F61BA"/>
    <w:rsid w:val="004F62C4"/>
    <w:rsid w:val="004F6925"/>
    <w:rsid w:val="005004A2"/>
    <w:rsid w:val="005009B3"/>
    <w:rsid w:val="00502127"/>
    <w:rsid w:val="00502623"/>
    <w:rsid w:val="005027A8"/>
    <w:rsid w:val="00503718"/>
    <w:rsid w:val="00503AE1"/>
    <w:rsid w:val="00503CA6"/>
    <w:rsid w:val="00503FAE"/>
    <w:rsid w:val="00504DC1"/>
    <w:rsid w:val="00505332"/>
    <w:rsid w:val="00505A57"/>
    <w:rsid w:val="00505D37"/>
    <w:rsid w:val="00507D3B"/>
    <w:rsid w:val="00507DE2"/>
    <w:rsid w:val="005104E8"/>
    <w:rsid w:val="005107DB"/>
    <w:rsid w:val="00510DB0"/>
    <w:rsid w:val="005119F6"/>
    <w:rsid w:val="00511B7D"/>
    <w:rsid w:val="00511D00"/>
    <w:rsid w:val="0051292E"/>
    <w:rsid w:val="005137E7"/>
    <w:rsid w:val="00514EB8"/>
    <w:rsid w:val="00516256"/>
    <w:rsid w:val="005162CF"/>
    <w:rsid w:val="00517A63"/>
    <w:rsid w:val="00517C8D"/>
    <w:rsid w:val="00517FD1"/>
    <w:rsid w:val="00520275"/>
    <w:rsid w:val="005219E6"/>
    <w:rsid w:val="00521B4A"/>
    <w:rsid w:val="0052212E"/>
    <w:rsid w:val="00522E91"/>
    <w:rsid w:val="0052302D"/>
    <w:rsid w:val="005236A5"/>
    <w:rsid w:val="005266BD"/>
    <w:rsid w:val="00526915"/>
    <w:rsid w:val="0052772D"/>
    <w:rsid w:val="00527833"/>
    <w:rsid w:val="00530442"/>
    <w:rsid w:val="00531F2E"/>
    <w:rsid w:val="00532F8F"/>
    <w:rsid w:val="00534AF0"/>
    <w:rsid w:val="00535060"/>
    <w:rsid w:val="00535738"/>
    <w:rsid w:val="0053624F"/>
    <w:rsid w:val="00536DDA"/>
    <w:rsid w:val="005409EB"/>
    <w:rsid w:val="00540F30"/>
    <w:rsid w:val="00541DD2"/>
    <w:rsid w:val="00541E4A"/>
    <w:rsid w:val="005432CC"/>
    <w:rsid w:val="00543A63"/>
    <w:rsid w:val="00543AB5"/>
    <w:rsid w:val="00544309"/>
    <w:rsid w:val="005457CF"/>
    <w:rsid w:val="00545976"/>
    <w:rsid w:val="005460B4"/>
    <w:rsid w:val="0054660F"/>
    <w:rsid w:val="00547628"/>
    <w:rsid w:val="00551B5E"/>
    <w:rsid w:val="005533C3"/>
    <w:rsid w:val="005536E6"/>
    <w:rsid w:val="00553AC3"/>
    <w:rsid w:val="00553DBA"/>
    <w:rsid w:val="00554335"/>
    <w:rsid w:val="00554698"/>
    <w:rsid w:val="00555631"/>
    <w:rsid w:val="0055621D"/>
    <w:rsid w:val="0055755E"/>
    <w:rsid w:val="0055764D"/>
    <w:rsid w:val="0055786C"/>
    <w:rsid w:val="005578AA"/>
    <w:rsid w:val="005608F1"/>
    <w:rsid w:val="00560C6A"/>
    <w:rsid w:val="00560F85"/>
    <w:rsid w:val="005610A0"/>
    <w:rsid w:val="00561378"/>
    <w:rsid w:val="0056248F"/>
    <w:rsid w:val="00564985"/>
    <w:rsid w:val="00565379"/>
    <w:rsid w:val="005665B9"/>
    <w:rsid w:val="005674C3"/>
    <w:rsid w:val="00567990"/>
    <w:rsid w:val="00567C4C"/>
    <w:rsid w:val="00567D2C"/>
    <w:rsid w:val="00570B8B"/>
    <w:rsid w:val="005728AA"/>
    <w:rsid w:val="005728C8"/>
    <w:rsid w:val="005733AD"/>
    <w:rsid w:val="0057381A"/>
    <w:rsid w:val="00573ABD"/>
    <w:rsid w:val="00573FC7"/>
    <w:rsid w:val="00574B91"/>
    <w:rsid w:val="00574E5C"/>
    <w:rsid w:val="005750F7"/>
    <w:rsid w:val="0057512C"/>
    <w:rsid w:val="00576319"/>
    <w:rsid w:val="0057648C"/>
    <w:rsid w:val="00576AF3"/>
    <w:rsid w:val="00581FF0"/>
    <w:rsid w:val="005825FC"/>
    <w:rsid w:val="00583437"/>
    <w:rsid w:val="00583CE0"/>
    <w:rsid w:val="00584B4A"/>
    <w:rsid w:val="00584DCB"/>
    <w:rsid w:val="005852E0"/>
    <w:rsid w:val="00585A16"/>
    <w:rsid w:val="00585B98"/>
    <w:rsid w:val="005863D8"/>
    <w:rsid w:val="005865B2"/>
    <w:rsid w:val="00586812"/>
    <w:rsid w:val="00587BC2"/>
    <w:rsid w:val="005918E4"/>
    <w:rsid w:val="00591C6D"/>
    <w:rsid w:val="00591C71"/>
    <w:rsid w:val="00592392"/>
    <w:rsid w:val="00592484"/>
    <w:rsid w:val="0059283D"/>
    <w:rsid w:val="005928D3"/>
    <w:rsid w:val="00592D5D"/>
    <w:rsid w:val="005955C0"/>
    <w:rsid w:val="00595B68"/>
    <w:rsid w:val="00595EAA"/>
    <w:rsid w:val="0059672B"/>
    <w:rsid w:val="0059687A"/>
    <w:rsid w:val="0059728B"/>
    <w:rsid w:val="005A0410"/>
    <w:rsid w:val="005A0C60"/>
    <w:rsid w:val="005A0F03"/>
    <w:rsid w:val="005A210C"/>
    <w:rsid w:val="005A255F"/>
    <w:rsid w:val="005A330E"/>
    <w:rsid w:val="005A5554"/>
    <w:rsid w:val="005A5651"/>
    <w:rsid w:val="005A6AFE"/>
    <w:rsid w:val="005A7BF3"/>
    <w:rsid w:val="005A7D53"/>
    <w:rsid w:val="005A7DE0"/>
    <w:rsid w:val="005B0AEF"/>
    <w:rsid w:val="005B1E75"/>
    <w:rsid w:val="005B242F"/>
    <w:rsid w:val="005B37D9"/>
    <w:rsid w:val="005B445B"/>
    <w:rsid w:val="005B474E"/>
    <w:rsid w:val="005B489A"/>
    <w:rsid w:val="005B4F67"/>
    <w:rsid w:val="005B63A6"/>
    <w:rsid w:val="005B64D1"/>
    <w:rsid w:val="005B6A88"/>
    <w:rsid w:val="005B6E05"/>
    <w:rsid w:val="005B7F42"/>
    <w:rsid w:val="005C1D45"/>
    <w:rsid w:val="005C3C9B"/>
    <w:rsid w:val="005C42AB"/>
    <w:rsid w:val="005C45C0"/>
    <w:rsid w:val="005C5335"/>
    <w:rsid w:val="005C548F"/>
    <w:rsid w:val="005C5D7B"/>
    <w:rsid w:val="005C5E29"/>
    <w:rsid w:val="005C60D6"/>
    <w:rsid w:val="005C6474"/>
    <w:rsid w:val="005C6583"/>
    <w:rsid w:val="005C6A68"/>
    <w:rsid w:val="005C6AD6"/>
    <w:rsid w:val="005C6BEE"/>
    <w:rsid w:val="005D067A"/>
    <w:rsid w:val="005D0838"/>
    <w:rsid w:val="005D0AE3"/>
    <w:rsid w:val="005D1103"/>
    <w:rsid w:val="005D276D"/>
    <w:rsid w:val="005D2C73"/>
    <w:rsid w:val="005D2D05"/>
    <w:rsid w:val="005D47F6"/>
    <w:rsid w:val="005D5912"/>
    <w:rsid w:val="005D6A45"/>
    <w:rsid w:val="005D794C"/>
    <w:rsid w:val="005D7A9F"/>
    <w:rsid w:val="005D7AA2"/>
    <w:rsid w:val="005D7CD2"/>
    <w:rsid w:val="005E0C43"/>
    <w:rsid w:val="005E1E69"/>
    <w:rsid w:val="005E2154"/>
    <w:rsid w:val="005E277C"/>
    <w:rsid w:val="005E2FC7"/>
    <w:rsid w:val="005E37B9"/>
    <w:rsid w:val="005E427F"/>
    <w:rsid w:val="005E4574"/>
    <w:rsid w:val="005E4BBE"/>
    <w:rsid w:val="005E4C97"/>
    <w:rsid w:val="005E5014"/>
    <w:rsid w:val="005E58C5"/>
    <w:rsid w:val="005E684F"/>
    <w:rsid w:val="005E77BA"/>
    <w:rsid w:val="005F0112"/>
    <w:rsid w:val="005F03E3"/>
    <w:rsid w:val="005F0829"/>
    <w:rsid w:val="005F1EE7"/>
    <w:rsid w:val="005F32BE"/>
    <w:rsid w:val="005F34FB"/>
    <w:rsid w:val="005F37C8"/>
    <w:rsid w:val="005F39A0"/>
    <w:rsid w:val="005F6A0E"/>
    <w:rsid w:val="005F6B68"/>
    <w:rsid w:val="005F6F2E"/>
    <w:rsid w:val="005F7D85"/>
    <w:rsid w:val="00601A1F"/>
    <w:rsid w:val="00601E38"/>
    <w:rsid w:val="00602655"/>
    <w:rsid w:val="00603093"/>
    <w:rsid w:val="00603B68"/>
    <w:rsid w:val="00604F08"/>
    <w:rsid w:val="00605297"/>
    <w:rsid w:val="00605CB9"/>
    <w:rsid w:val="006065BF"/>
    <w:rsid w:val="006079CD"/>
    <w:rsid w:val="00607C00"/>
    <w:rsid w:val="00610430"/>
    <w:rsid w:val="006117F4"/>
    <w:rsid w:val="00611858"/>
    <w:rsid w:val="00612849"/>
    <w:rsid w:val="00614EB1"/>
    <w:rsid w:val="00614F67"/>
    <w:rsid w:val="00615277"/>
    <w:rsid w:val="00615519"/>
    <w:rsid w:val="00615CED"/>
    <w:rsid w:val="00615CFC"/>
    <w:rsid w:val="00617A92"/>
    <w:rsid w:val="006204D5"/>
    <w:rsid w:val="00620CEE"/>
    <w:rsid w:val="00621553"/>
    <w:rsid w:val="00622558"/>
    <w:rsid w:val="00622D5F"/>
    <w:rsid w:val="00622DB7"/>
    <w:rsid w:val="00622EAE"/>
    <w:rsid w:val="0062334E"/>
    <w:rsid w:val="00623A4F"/>
    <w:rsid w:val="006241B7"/>
    <w:rsid w:val="00624D17"/>
    <w:rsid w:val="00624F56"/>
    <w:rsid w:val="006255EA"/>
    <w:rsid w:val="00626594"/>
    <w:rsid w:val="006274DE"/>
    <w:rsid w:val="00630442"/>
    <w:rsid w:val="0063048C"/>
    <w:rsid w:val="00630FCD"/>
    <w:rsid w:val="006319C2"/>
    <w:rsid w:val="00631FF6"/>
    <w:rsid w:val="006326AB"/>
    <w:rsid w:val="0063292C"/>
    <w:rsid w:val="0063312C"/>
    <w:rsid w:val="00633634"/>
    <w:rsid w:val="00633DBC"/>
    <w:rsid w:val="00634821"/>
    <w:rsid w:val="00634CA3"/>
    <w:rsid w:val="006351AD"/>
    <w:rsid w:val="00635A2A"/>
    <w:rsid w:val="00636A63"/>
    <w:rsid w:val="00636C79"/>
    <w:rsid w:val="00636DCB"/>
    <w:rsid w:val="00636DE3"/>
    <w:rsid w:val="00636F89"/>
    <w:rsid w:val="0063700D"/>
    <w:rsid w:val="00637470"/>
    <w:rsid w:val="00637E13"/>
    <w:rsid w:val="006406B5"/>
    <w:rsid w:val="00640D89"/>
    <w:rsid w:val="00640F58"/>
    <w:rsid w:val="00641203"/>
    <w:rsid w:val="0064165D"/>
    <w:rsid w:val="00641776"/>
    <w:rsid w:val="0064656E"/>
    <w:rsid w:val="00646DF5"/>
    <w:rsid w:val="00647020"/>
    <w:rsid w:val="00650397"/>
    <w:rsid w:val="00650608"/>
    <w:rsid w:val="006507E8"/>
    <w:rsid w:val="00650B8D"/>
    <w:rsid w:val="00650C73"/>
    <w:rsid w:val="00651143"/>
    <w:rsid w:val="00651959"/>
    <w:rsid w:val="00653149"/>
    <w:rsid w:val="006531E4"/>
    <w:rsid w:val="006536BF"/>
    <w:rsid w:val="006536FC"/>
    <w:rsid w:val="00654102"/>
    <w:rsid w:val="00654505"/>
    <w:rsid w:val="006575ED"/>
    <w:rsid w:val="006578FD"/>
    <w:rsid w:val="00660060"/>
    <w:rsid w:val="006609AA"/>
    <w:rsid w:val="00660AE5"/>
    <w:rsid w:val="00660F20"/>
    <w:rsid w:val="00662EDE"/>
    <w:rsid w:val="006638C7"/>
    <w:rsid w:val="00664AA9"/>
    <w:rsid w:val="00664C9F"/>
    <w:rsid w:val="00666548"/>
    <w:rsid w:val="00666A71"/>
    <w:rsid w:val="00666BBE"/>
    <w:rsid w:val="00667537"/>
    <w:rsid w:val="00670865"/>
    <w:rsid w:val="0067185A"/>
    <w:rsid w:val="00671AED"/>
    <w:rsid w:val="00671C0B"/>
    <w:rsid w:val="00672029"/>
    <w:rsid w:val="006725B5"/>
    <w:rsid w:val="00673521"/>
    <w:rsid w:val="00673767"/>
    <w:rsid w:val="00673AF0"/>
    <w:rsid w:val="00673F39"/>
    <w:rsid w:val="006746AC"/>
    <w:rsid w:val="0067571B"/>
    <w:rsid w:val="00675E37"/>
    <w:rsid w:val="0067663E"/>
    <w:rsid w:val="006767AA"/>
    <w:rsid w:val="00676D5F"/>
    <w:rsid w:val="00676EAF"/>
    <w:rsid w:val="00677850"/>
    <w:rsid w:val="00680657"/>
    <w:rsid w:val="00680BD9"/>
    <w:rsid w:val="00681B4A"/>
    <w:rsid w:val="00681D07"/>
    <w:rsid w:val="00681EDA"/>
    <w:rsid w:val="00682017"/>
    <w:rsid w:val="00682AAD"/>
    <w:rsid w:val="0068388B"/>
    <w:rsid w:val="006868CA"/>
    <w:rsid w:val="00686E32"/>
    <w:rsid w:val="00687B0B"/>
    <w:rsid w:val="00687FC3"/>
    <w:rsid w:val="0069087A"/>
    <w:rsid w:val="00690B4B"/>
    <w:rsid w:val="00690BE4"/>
    <w:rsid w:val="00691077"/>
    <w:rsid w:val="0069149C"/>
    <w:rsid w:val="00691982"/>
    <w:rsid w:val="00691BB0"/>
    <w:rsid w:val="00692777"/>
    <w:rsid w:val="00692BE0"/>
    <w:rsid w:val="00692C98"/>
    <w:rsid w:val="0069322E"/>
    <w:rsid w:val="0069324E"/>
    <w:rsid w:val="00694487"/>
    <w:rsid w:val="00695815"/>
    <w:rsid w:val="0069581B"/>
    <w:rsid w:val="00695D95"/>
    <w:rsid w:val="0069602D"/>
    <w:rsid w:val="00696601"/>
    <w:rsid w:val="006977FA"/>
    <w:rsid w:val="006A1E95"/>
    <w:rsid w:val="006A20FB"/>
    <w:rsid w:val="006A339D"/>
    <w:rsid w:val="006A3B12"/>
    <w:rsid w:val="006A4462"/>
    <w:rsid w:val="006A5B59"/>
    <w:rsid w:val="006A6A14"/>
    <w:rsid w:val="006A753A"/>
    <w:rsid w:val="006A777C"/>
    <w:rsid w:val="006A7C46"/>
    <w:rsid w:val="006A7CB9"/>
    <w:rsid w:val="006B07E2"/>
    <w:rsid w:val="006B0F76"/>
    <w:rsid w:val="006B1CDA"/>
    <w:rsid w:val="006B1F20"/>
    <w:rsid w:val="006B398A"/>
    <w:rsid w:val="006B3E04"/>
    <w:rsid w:val="006B4024"/>
    <w:rsid w:val="006B47D7"/>
    <w:rsid w:val="006B499D"/>
    <w:rsid w:val="006B5041"/>
    <w:rsid w:val="006B643D"/>
    <w:rsid w:val="006B6BAF"/>
    <w:rsid w:val="006B79A4"/>
    <w:rsid w:val="006C1221"/>
    <w:rsid w:val="006C1254"/>
    <w:rsid w:val="006C2DC5"/>
    <w:rsid w:val="006C480B"/>
    <w:rsid w:val="006C4B69"/>
    <w:rsid w:val="006C4C91"/>
    <w:rsid w:val="006C56E9"/>
    <w:rsid w:val="006C570B"/>
    <w:rsid w:val="006C572E"/>
    <w:rsid w:val="006C5997"/>
    <w:rsid w:val="006C5CD2"/>
    <w:rsid w:val="006C5F82"/>
    <w:rsid w:val="006C6B22"/>
    <w:rsid w:val="006D0636"/>
    <w:rsid w:val="006D06DC"/>
    <w:rsid w:val="006D1A45"/>
    <w:rsid w:val="006D2E68"/>
    <w:rsid w:val="006D69DC"/>
    <w:rsid w:val="006D6B70"/>
    <w:rsid w:val="006D6E46"/>
    <w:rsid w:val="006D77A9"/>
    <w:rsid w:val="006D7FA8"/>
    <w:rsid w:val="006E3C88"/>
    <w:rsid w:val="006E40DB"/>
    <w:rsid w:val="006E4601"/>
    <w:rsid w:val="006E5B86"/>
    <w:rsid w:val="006E6296"/>
    <w:rsid w:val="006E63FF"/>
    <w:rsid w:val="006E652D"/>
    <w:rsid w:val="006E665D"/>
    <w:rsid w:val="006E7572"/>
    <w:rsid w:val="006E7FC6"/>
    <w:rsid w:val="006F0AFD"/>
    <w:rsid w:val="006F2B2D"/>
    <w:rsid w:val="006F2F22"/>
    <w:rsid w:val="006F434A"/>
    <w:rsid w:val="006F53B7"/>
    <w:rsid w:val="006F7974"/>
    <w:rsid w:val="00700A60"/>
    <w:rsid w:val="0070121A"/>
    <w:rsid w:val="00701C27"/>
    <w:rsid w:val="007046AA"/>
    <w:rsid w:val="00705027"/>
    <w:rsid w:val="00706246"/>
    <w:rsid w:val="00706F20"/>
    <w:rsid w:val="00710494"/>
    <w:rsid w:val="007117BD"/>
    <w:rsid w:val="007147DB"/>
    <w:rsid w:val="00715129"/>
    <w:rsid w:val="007154CE"/>
    <w:rsid w:val="00715B25"/>
    <w:rsid w:val="00716020"/>
    <w:rsid w:val="00720203"/>
    <w:rsid w:val="00720860"/>
    <w:rsid w:val="00721087"/>
    <w:rsid w:val="00721530"/>
    <w:rsid w:val="007225D3"/>
    <w:rsid w:val="00723422"/>
    <w:rsid w:val="00724C0D"/>
    <w:rsid w:val="007260FE"/>
    <w:rsid w:val="00726DD6"/>
    <w:rsid w:val="0073076E"/>
    <w:rsid w:val="00732280"/>
    <w:rsid w:val="00733416"/>
    <w:rsid w:val="0073377E"/>
    <w:rsid w:val="00733E05"/>
    <w:rsid w:val="00734715"/>
    <w:rsid w:val="00735C8A"/>
    <w:rsid w:val="00735FE2"/>
    <w:rsid w:val="00736D27"/>
    <w:rsid w:val="0073719A"/>
    <w:rsid w:val="00737C62"/>
    <w:rsid w:val="00737C91"/>
    <w:rsid w:val="00737EDC"/>
    <w:rsid w:val="0074130E"/>
    <w:rsid w:val="00743937"/>
    <w:rsid w:val="00744889"/>
    <w:rsid w:val="00744910"/>
    <w:rsid w:val="0074533A"/>
    <w:rsid w:val="00745466"/>
    <w:rsid w:val="00745BA4"/>
    <w:rsid w:val="00745E8A"/>
    <w:rsid w:val="007462E8"/>
    <w:rsid w:val="0074637C"/>
    <w:rsid w:val="00746F2D"/>
    <w:rsid w:val="0074734F"/>
    <w:rsid w:val="00750177"/>
    <w:rsid w:val="0075057F"/>
    <w:rsid w:val="0075066D"/>
    <w:rsid w:val="007511CF"/>
    <w:rsid w:val="00752890"/>
    <w:rsid w:val="00752AEC"/>
    <w:rsid w:val="00752FBA"/>
    <w:rsid w:val="00753324"/>
    <w:rsid w:val="0075458D"/>
    <w:rsid w:val="00754DA1"/>
    <w:rsid w:val="007554A9"/>
    <w:rsid w:val="007556F5"/>
    <w:rsid w:val="007569A2"/>
    <w:rsid w:val="00756EA1"/>
    <w:rsid w:val="00757105"/>
    <w:rsid w:val="00757B82"/>
    <w:rsid w:val="00757F16"/>
    <w:rsid w:val="0076281A"/>
    <w:rsid w:val="00762ADE"/>
    <w:rsid w:val="0076365D"/>
    <w:rsid w:val="007642DC"/>
    <w:rsid w:val="007642ED"/>
    <w:rsid w:val="0076458E"/>
    <w:rsid w:val="007660E6"/>
    <w:rsid w:val="007661A9"/>
    <w:rsid w:val="007662C0"/>
    <w:rsid w:val="00766374"/>
    <w:rsid w:val="00766F0B"/>
    <w:rsid w:val="0076742F"/>
    <w:rsid w:val="00767712"/>
    <w:rsid w:val="007711D0"/>
    <w:rsid w:val="007712E6"/>
    <w:rsid w:val="00771D3D"/>
    <w:rsid w:val="00772342"/>
    <w:rsid w:val="007728AB"/>
    <w:rsid w:val="00772CFE"/>
    <w:rsid w:val="00772E46"/>
    <w:rsid w:val="007730CF"/>
    <w:rsid w:val="007739FE"/>
    <w:rsid w:val="007743C2"/>
    <w:rsid w:val="00774756"/>
    <w:rsid w:val="00774E37"/>
    <w:rsid w:val="00775181"/>
    <w:rsid w:val="007751B6"/>
    <w:rsid w:val="00775345"/>
    <w:rsid w:val="00776A33"/>
    <w:rsid w:val="00776F15"/>
    <w:rsid w:val="007772FC"/>
    <w:rsid w:val="007779ED"/>
    <w:rsid w:val="00780B1A"/>
    <w:rsid w:val="007810D3"/>
    <w:rsid w:val="00781F2F"/>
    <w:rsid w:val="007823F1"/>
    <w:rsid w:val="0078264A"/>
    <w:rsid w:val="00783D11"/>
    <w:rsid w:val="00785E46"/>
    <w:rsid w:val="00787917"/>
    <w:rsid w:val="00791489"/>
    <w:rsid w:val="00791683"/>
    <w:rsid w:val="00792F0C"/>
    <w:rsid w:val="00795460"/>
    <w:rsid w:val="00796CF7"/>
    <w:rsid w:val="00796E70"/>
    <w:rsid w:val="007978E8"/>
    <w:rsid w:val="007A0313"/>
    <w:rsid w:val="007A0848"/>
    <w:rsid w:val="007A0A11"/>
    <w:rsid w:val="007A0A83"/>
    <w:rsid w:val="007A4BB3"/>
    <w:rsid w:val="007A4D9E"/>
    <w:rsid w:val="007A4FF9"/>
    <w:rsid w:val="007A6307"/>
    <w:rsid w:val="007A6822"/>
    <w:rsid w:val="007A724D"/>
    <w:rsid w:val="007A7336"/>
    <w:rsid w:val="007A749D"/>
    <w:rsid w:val="007A7B37"/>
    <w:rsid w:val="007B024C"/>
    <w:rsid w:val="007B1109"/>
    <w:rsid w:val="007B1C4C"/>
    <w:rsid w:val="007B2800"/>
    <w:rsid w:val="007B3486"/>
    <w:rsid w:val="007B38F7"/>
    <w:rsid w:val="007B3AEB"/>
    <w:rsid w:val="007B40D4"/>
    <w:rsid w:val="007B4511"/>
    <w:rsid w:val="007B5B5D"/>
    <w:rsid w:val="007B5C86"/>
    <w:rsid w:val="007B6047"/>
    <w:rsid w:val="007B6071"/>
    <w:rsid w:val="007B6540"/>
    <w:rsid w:val="007B69A2"/>
    <w:rsid w:val="007B6E9E"/>
    <w:rsid w:val="007B7670"/>
    <w:rsid w:val="007B7BE8"/>
    <w:rsid w:val="007C09C4"/>
    <w:rsid w:val="007C236E"/>
    <w:rsid w:val="007C25E9"/>
    <w:rsid w:val="007C2AED"/>
    <w:rsid w:val="007C2F78"/>
    <w:rsid w:val="007C34C5"/>
    <w:rsid w:val="007C4079"/>
    <w:rsid w:val="007C4583"/>
    <w:rsid w:val="007C4827"/>
    <w:rsid w:val="007C4A20"/>
    <w:rsid w:val="007C51AF"/>
    <w:rsid w:val="007D0B7F"/>
    <w:rsid w:val="007D1266"/>
    <w:rsid w:val="007D1B94"/>
    <w:rsid w:val="007D458D"/>
    <w:rsid w:val="007D4E8C"/>
    <w:rsid w:val="007D538F"/>
    <w:rsid w:val="007D668A"/>
    <w:rsid w:val="007E09E2"/>
    <w:rsid w:val="007E0FF5"/>
    <w:rsid w:val="007E1012"/>
    <w:rsid w:val="007E17CD"/>
    <w:rsid w:val="007E1E5F"/>
    <w:rsid w:val="007E20C9"/>
    <w:rsid w:val="007E24ED"/>
    <w:rsid w:val="007E312A"/>
    <w:rsid w:val="007E374B"/>
    <w:rsid w:val="007E39DE"/>
    <w:rsid w:val="007E3F53"/>
    <w:rsid w:val="007E5AD1"/>
    <w:rsid w:val="007E6F48"/>
    <w:rsid w:val="007E7997"/>
    <w:rsid w:val="007E7B47"/>
    <w:rsid w:val="007F04EF"/>
    <w:rsid w:val="007F1507"/>
    <w:rsid w:val="007F342F"/>
    <w:rsid w:val="007F38D1"/>
    <w:rsid w:val="007F47CC"/>
    <w:rsid w:val="007F56BB"/>
    <w:rsid w:val="007F63CE"/>
    <w:rsid w:val="007F6EA4"/>
    <w:rsid w:val="007F7D1A"/>
    <w:rsid w:val="008002A5"/>
    <w:rsid w:val="008003ED"/>
    <w:rsid w:val="0080050E"/>
    <w:rsid w:val="00801329"/>
    <w:rsid w:val="00801424"/>
    <w:rsid w:val="00801AA4"/>
    <w:rsid w:val="00801B7E"/>
    <w:rsid w:val="00801D96"/>
    <w:rsid w:val="008021B9"/>
    <w:rsid w:val="00802E50"/>
    <w:rsid w:val="008039E2"/>
    <w:rsid w:val="00806E68"/>
    <w:rsid w:val="00807FC3"/>
    <w:rsid w:val="00810034"/>
    <w:rsid w:val="008114CF"/>
    <w:rsid w:val="008117CC"/>
    <w:rsid w:val="00811AB3"/>
    <w:rsid w:val="00812A60"/>
    <w:rsid w:val="0081421D"/>
    <w:rsid w:val="00814ADB"/>
    <w:rsid w:val="00815908"/>
    <w:rsid w:val="00815916"/>
    <w:rsid w:val="00815C5D"/>
    <w:rsid w:val="0081618F"/>
    <w:rsid w:val="008173BE"/>
    <w:rsid w:val="008174D1"/>
    <w:rsid w:val="008178B2"/>
    <w:rsid w:val="0082165E"/>
    <w:rsid w:val="00822136"/>
    <w:rsid w:val="00822AAF"/>
    <w:rsid w:val="00822F01"/>
    <w:rsid w:val="008232A6"/>
    <w:rsid w:val="00823698"/>
    <w:rsid w:val="00823898"/>
    <w:rsid w:val="008239D1"/>
    <w:rsid w:val="00824071"/>
    <w:rsid w:val="008246B2"/>
    <w:rsid w:val="0082488A"/>
    <w:rsid w:val="00824BAF"/>
    <w:rsid w:val="00824C08"/>
    <w:rsid w:val="008250F6"/>
    <w:rsid w:val="008257D2"/>
    <w:rsid w:val="00826560"/>
    <w:rsid w:val="00826CBB"/>
    <w:rsid w:val="00827180"/>
    <w:rsid w:val="0082770D"/>
    <w:rsid w:val="00827B6D"/>
    <w:rsid w:val="00827C90"/>
    <w:rsid w:val="00827E3D"/>
    <w:rsid w:val="0083004E"/>
    <w:rsid w:val="00831241"/>
    <w:rsid w:val="00831EAF"/>
    <w:rsid w:val="00831F56"/>
    <w:rsid w:val="00832288"/>
    <w:rsid w:val="008326D6"/>
    <w:rsid w:val="008337EA"/>
    <w:rsid w:val="00833839"/>
    <w:rsid w:val="00833B4A"/>
    <w:rsid w:val="00833BB2"/>
    <w:rsid w:val="00833D15"/>
    <w:rsid w:val="008344C4"/>
    <w:rsid w:val="008348DA"/>
    <w:rsid w:val="00835621"/>
    <w:rsid w:val="008362AE"/>
    <w:rsid w:val="00837719"/>
    <w:rsid w:val="00840419"/>
    <w:rsid w:val="00840A24"/>
    <w:rsid w:val="00840F1B"/>
    <w:rsid w:val="0084117A"/>
    <w:rsid w:val="0084188F"/>
    <w:rsid w:val="00842737"/>
    <w:rsid w:val="00842827"/>
    <w:rsid w:val="00842965"/>
    <w:rsid w:val="00844300"/>
    <w:rsid w:val="00845284"/>
    <w:rsid w:val="008458BD"/>
    <w:rsid w:val="00845C26"/>
    <w:rsid w:val="00846956"/>
    <w:rsid w:val="00846CF1"/>
    <w:rsid w:val="00847622"/>
    <w:rsid w:val="008505B8"/>
    <w:rsid w:val="00851005"/>
    <w:rsid w:val="008518E8"/>
    <w:rsid w:val="00851ADD"/>
    <w:rsid w:val="00855CA6"/>
    <w:rsid w:val="00860323"/>
    <w:rsid w:val="00860F4F"/>
    <w:rsid w:val="008610B9"/>
    <w:rsid w:val="0086174B"/>
    <w:rsid w:val="00861DB7"/>
    <w:rsid w:val="00862656"/>
    <w:rsid w:val="00863013"/>
    <w:rsid w:val="00863F67"/>
    <w:rsid w:val="0086483A"/>
    <w:rsid w:val="00865903"/>
    <w:rsid w:val="00865956"/>
    <w:rsid w:val="008678A4"/>
    <w:rsid w:val="0087049C"/>
    <w:rsid w:val="00870AAD"/>
    <w:rsid w:val="00870EDE"/>
    <w:rsid w:val="00871DA0"/>
    <w:rsid w:val="00872030"/>
    <w:rsid w:val="00872BAE"/>
    <w:rsid w:val="00873973"/>
    <w:rsid w:val="00875C28"/>
    <w:rsid w:val="00875E75"/>
    <w:rsid w:val="0087658F"/>
    <w:rsid w:val="0087762E"/>
    <w:rsid w:val="00877823"/>
    <w:rsid w:val="008803F5"/>
    <w:rsid w:val="008812BF"/>
    <w:rsid w:val="00881341"/>
    <w:rsid w:val="00882931"/>
    <w:rsid w:val="00884939"/>
    <w:rsid w:val="008853E0"/>
    <w:rsid w:val="00885BE2"/>
    <w:rsid w:val="008863C8"/>
    <w:rsid w:val="00886D40"/>
    <w:rsid w:val="00887A0E"/>
    <w:rsid w:val="008906F0"/>
    <w:rsid w:val="008907F3"/>
    <w:rsid w:val="00891D2C"/>
    <w:rsid w:val="008920C2"/>
    <w:rsid w:val="0089473E"/>
    <w:rsid w:val="00895702"/>
    <w:rsid w:val="00897566"/>
    <w:rsid w:val="0089757B"/>
    <w:rsid w:val="008A1594"/>
    <w:rsid w:val="008A1757"/>
    <w:rsid w:val="008A1CE6"/>
    <w:rsid w:val="008A1F25"/>
    <w:rsid w:val="008A1F66"/>
    <w:rsid w:val="008A2DBA"/>
    <w:rsid w:val="008A47FB"/>
    <w:rsid w:val="008A4844"/>
    <w:rsid w:val="008A48B8"/>
    <w:rsid w:val="008A499E"/>
    <w:rsid w:val="008A5234"/>
    <w:rsid w:val="008A5397"/>
    <w:rsid w:val="008A6325"/>
    <w:rsid w:val="008A6861"/>
    <w:rsid w:val="008A6D4E"/>
    <w:rsid w:val="008A7522"/>
    <w:rsid w:val="008A766B"/>
    <w:rsid w:val="008A76B0"/>
    <w:rsid w:val="008A7B55"/>
    <w:rsid w:val="008B0578"/>
    <w:rsid w:val="008B0D7B"/>
    <w:rsid w:val="008B170D"/>
    <w:rsid w:val="008B46A2"/>
    <w:rsid w:val="008B4941"/>
    <w:rsid w:val="008B4984"/>
    <w:rsid w:val="008B4F60"/>
    <w:rsid w:val="008B559A"/>
    <w:rsid w:val="008B598F"/>
    <w:rsid w:val="008B5F77"/>
    <w:rsid w:val="008B66A5"/>
    <w:rsid w:val="008B6CC8"/>
    <w:rsid w:val="008B7F4A"/>
    <w:rsid w:val="008C0D2E"/>
    <w:rsid w:val="008C1056"/>
    <w:rsid w:val="008C2729"/>
    <w:rsid w:val="008C3347"/>
    <w:rsid w:val="008C39D6"/>
    <w:rsid w:val="008C3B96"/>
    <w:rsid w:val="008C43BF"/>
    <w:rsid w:val="008C532F"/>
    <w:rsid w:val="008C55A4"/>
    <w:rsid w:val="008C60C3"/>
    <w:rsid w:val="008C7736"/>
    <w:rsid w:val="008D0948"/>
    <w:rsid w:val="008D311C"/>
    <w:rsid w:val="008D31D2"/>
    <w:rsid w:val="008D3269"/>
    <w:rsid w:val="008D3CC5"/>
    <w:rsid w:val="008D564A"/>
    <w:rsid w:val="008D5E47"/>
    <w:rsid w:val="008D6FB2"/>
    <w:rsid w:val="008D7D8C"/>
    <w:rsid w:val="008E0018"/>
    <w:rsid w:val="008E004E"/>
    <w:rsid w:val="008E04FB"/>
    <w:rsid w:val="008E0975"/>
    <w:rsid w:val="008E390B"/>
    <w:rsid w:val="008E3E79"/>
    <w:rsid w:val="008E5282"/>
    <w:rsid w:val="008E5E2C"/>
    <w:rsid w:val="008E78F1"/>
    <w:rsid w:val="008F03CE"/>
    <w:rsid w:val="008F042E"/>
    <w:rsid w:val="008F075B"/>
    <w:rsid w:val="008F0E9E"/>
    <w:rsid w:val="008F0EE8"/>
    <w:rsid w:val="008F2913"/>
    <w:rsid w:val="008F2A4E"/>
    <w:rsid w:val="008F2AE9"/>
    <w:rsid w:val="008F332B"/>
    <w:rsid w:val="008F4359"/>
    <w:rsid w:val="008F52D0"/>
    <w:rsid w:val="008F54A9"/>
    <w:rsid w:val="008F58BB"/>
    <w:rsid w:val="008F6106"/>
    <w:rsid w:val="008F622F"/>
    <w:rsid w:val="008F791D"/>
    <w:rsid w:val="00900959"/>
    <w:rsid w:val="00901900"/>
    <w:rsid w:val="00901B7A"/>
    <w:rsid w:val="00901EE8"/>
    <w:rsid w:val="00901F6C"/>
    <w:rsid w:val="0090266B"/>
    <w:rsid w:val="00902F06"/>
    <w:rsid w:val="009030B8"/>
    <w:rsid w:val="009035DB"/>
    <w:rsid w:val="00904671"/>
    <w:rsid w:val="00905BC5"/>
    <w:rsid w:val="00905E8B"/>
    <w:rsid w:val="009064AA"/>
    <w:rsid w:val="00907E22"/>
    <w:rsid w:val="00912257"/>
    <w:rsid w:val="00913495"/>
    <w:rsid w:val="00913874"/>
    <w:rsid w:val="009150D8"/>
    <w:rsid w:val="00915D49"/>
    <w:rsid w:val="009163CC"/>
    <w:rsid w:val="0091674C"/>
    <w:rsid w:val="00916862"/>
    <w:rsid w:val="00916B2A"/>
    <w:rsid w:val="00916D96"/>
    <w:rsid w:val="009174F7"/>
    <w:rsid w:val="009178C3"/>
    <w:rsid w:val="00917E76"/>
    <w:rsid w:val="00920167"/>
    <w:rsid w:val="00920A2F"/>
    <w:rsid w:val="00921BB8"/>
    <w:rsid w:val="00921D28"/>
    <w:rsid w:val="00921FC0"/>
    <w:rsid w:val="00922034"/>
    <w:rsid w:val="0092266C"/>
    <w:rsid w:val="009241E8"/>
    <w:rsid w:val="0092544A"/>
    <w:rsid w:val="00925848"/>
    <w:rsid w:val="00925956"/>
    <w:rsid w:val="00925DD2"/>
    <w:rsid w:val="00926344"/>
    <w:rsid w:val="00926929"/>
    <w:rsid w:val="00927301"/>
    <w:rsid w:val="00927E9D"/>
    <w:rsid w:val="00931859"/>
    <w:rsid w:val="0093205C"/>
    <w:rsid w:val="009334FA"/>
    <w:rsid w:val="009343F5"/>
    <w:rsid w:val="0093456A"/>
    <w:rsid w:val="009345AE"/>
    <w:rsid w:val="00934690"/>
    <w:rsid w:val="009350CB"/>
    <w:rsid w:val="00935301"/>
    <w:rsid w:val="00935DBE"/>
    <w:rsid w:val="00936F64"/>
    <w:rsid w:val="00937B8E"/>
    <w:rsid w:val="00940C5B"/>
    <w:rsid w:val="009411F7"/>
    <w:rsid w:val="009417F1"/>
    <w:rsid w:val="00941A84"/>
    <w:rsid w:val="0094204A"/>
    <w:rsid w:val="00942F66"/>
    <w:rsid w:val="009443ED"/>
    <w:rsid w:val="0094449F"/>
    <w:rsid w:val="00945432"/>
    <w:rsid w:val="00945B27"/>
    <w:rsid w:val="00945DBF"/>
    <w:rsid w:val="00946042"/>
    <w:rsid w:val="00946AB3"/>
    <w:rsid w:val="00947074"/>
    <w:rsid w:val="0094752A"/>
    <w:rsid w:val="00947D01"/>
    <w:rsid w:val="009503EA"/>
    <w:rsid w:val="00950478"/>
    <w:rsid w:val="00950B7D"/>
    <w:rsid w:val="0095112D"/>
    <w:rsid w:val="00952124"/>
    <w:rsid w:val="00952267"/>
    <w:rsid w:val="00952D9E"/>
    <w:rsid w:val="009557E7"/>
    <w:rsid w:val="00956244"/>
    <w:rsid w:val="00956A06"/>
    <w:rsid w:val="009573C2"/>
    <w:rsid w:val="00957435"/>
    <w:rsid w:val="009578D0"/>
    <w:rsid w:val="009600C6"/>
    <w:rsid w:val="00960B5E"/>
    <w:rsid w:val="00960D80"/>
    <w:rsid w:val="00960F81"/>
    <w:rsid w:val="0096124E"/>
    <w:rsid w:val="009621CE"/>
    <w:rsid w:val="009622BF"/>
    <w:rsid w:val="009651B8"/>
    <w:rsid w:val="009653F3"/>
    <w:rsid w:val="0096587A"/>
    <w:rsid w:val="009666E7"/>
    <w:rsid w:val="00967278"/>
    <w:rsid w:val="00967AAF"/>
    <w:rsid w:val="00971568"/>
    <w:rsid w:val="009728F2"/>
    <w:rsid w:val="00972BEF"/>
    <w:rsid w:val="00973BCF"/>
    <w:rsid w:val="00973E81"/>
    <w:rsid w:val="009744BC"/>
    <w:rsid w:val="00974E60"/>
    <w:rsid w:val="00975896"/>
    <w:rsid w:val="00975DF1"/>
    <w:rsid w:val="00976425"/>
    <w:rsid w:val="00976AFE"/>
    <w:rsid w:val="00976EF3"/>
    <w:rsid w:val="00983389"/>
    <w:rsid w:val="009839F2"/>
    <w:rsid w:val="00983CEA"/>
    <w:rsid w:val="00984198"/>
    <w:rsid w:val="00984320"/>
    <w:rsid w:val="00984E04"/>
    <w:rsid w:val="00986194"/>
    <w:rsid w:val="009861D2"/>
    <w:rsid w:val="00986E53"/>
    <w:rsid w:val="00987CE5"/>
    <w:rsid w:val="00990AC7"/>
    <w:rsid w:val="00992BD3"/>
    <w:rsid w:val="00992C4D"/>
    <w:rsid w:val="00993033"/>
    <w:rsid w:val="00993CF0"/>
    <w:rsid w:val="0099428D"/>
    <w:rsid w:val="009947B0"/>
    <w:rsid w:val="009949A7"/>
    <w:rsid w:val="009951F7"/>
    <w:rsid w:val="00995B0F"/>
    <w:rsid w:val="00995CDC"/>
    <w:rsid w:val="0099688F"/>
    <w:rsid w:val="009975CA"/>
    <w:rsid w:val="009A0C15"/>
    <w:rsid w:val="009A1088"/>
    <w:rsid w:val="009A14CB"/>
    <w:rsid w:val="009A1FB9"/>
    <w:rsid w:val="009A27C7"/>
    <w:rsid w:val="009A2961"/>
    <w:rsid w:val="009A3092"/>
    <w:rsid w:val="009A344A"/>
    <w:rsid w:val="009A3712"/>
    <w:rsid w:val="009A41C7"/>
    <w:rsid w:val="009A48D1"/>
    <w:rsid w:val="009A4F5A"/>
    <w:rsid w:val="009A5C82"/>
    <w:rsid w:val="009A5E7C"/>
    <w:rsid w:val="009A5F8D"/>
    <w:rsid w:val="009B010D"/>
    <w:rsid w:val="009B0AAB"/>
    <w:rsid w:val="009B0ABA"/>
    <w:rsid w:val="009B0D3E"/>
    <w:rsid w:val="009B25F8"/>
    <w:rsid w:val="009B2AD1"/>
    <w:rsid w:val="009B3224"/>
    <w:rsid w:val="009B3A61"/>
    <w:rsid w:val="009B5204"/>
    <w:rsid w:val="009B528E"/>
    <w:rsid w:val="009B54FE"/>
    <w:rsid w:val="009B77DD"/>
    <w:rsid w:val="009B79A2"/>
    <w:rsid w:val="009B7BD7"/>
    <w:rsid w:val="009C13BF"/>
    <w:rsid w:val="009C2943"/>
    <w:rsid w:val="009C4B2C"/>
    <w:rsid w:val="009C4CB3"/>
    <w:rsid w:val="009C4F15"/>
    <w:rsid w:val="009C511C"/>
    <w:rsid w:val="009C5416"/>
    <w:rsid w:val="009C587B"/>
    <w:rsid w:val="009C64C5"/>
    <w:rsid w:val="009C6F87"/>
    <w:rsid w:val="009C7166"/>
    <w:rsid w:val="009C742C"/>
    <w:rsid w:val="009D2376"/>
    <w:rsid w:val="009D2D48"/>
    <w:rsid w:val="009D3103"/>
    <w:rsid w:val="009D4409"/>
    <w:rsid w:val="009D4724"/>
    <w:rsid w:val="009D4B2F"/>
    <w:rsid w:val="009D4C1B"/>
    <w:rsid w:val="009D500A"/>
    <w:rsid w:val="009D5159"/>
    <w:rsid w:val="009D5EA5"/>
    <w:rsid w:val="009D64DA"/>
    <w:rsid w:val="009D6BEA"/>
    <w:rsid w:val="009D76A3"/>
    <w:rsid w:val="009E09F5"/>
    <w:rsid w:val="009E0DBC"/>
    <w:rsid w:val="009E11BD"/>
    <w:rsid w:val="009E1288"/>
    <w:rsid w:val="009E1DF8"/>
    <w:rsid w:val="009E20D2"/>
    <w:rsid w:val="009E2C1A"/>
    <w:rsid w:val="009E2C4B"/>
    <w:rsid w:val="009E2E0C"/>
    <w:rsid w:val="009E3218"/>
    <w:rsid w:val="009E3248"/>
    <w:rsid w:val="009E3BED"/>
    <w:rsid w:val="009E4506"/>
    <w:rsid w:val="009E455E"/>
    <w:rsid w:val="009E487A"/>
    <w:rsid w:val="009E4FFB"/>
    <w:rsid w:val="009E57D2"/>
    <w:rsid w:val="009E60C0"/>
    <w:rsid w:val="009E62B8"/>
    <w:rsid w:val="009E79FF"/>
    <w:rsid w:val="009E7C4C"/>
    <w:rsid w:val="009F045D"/>
    <w:rsid w:val="009F0E15"/>
    <w:rsid w:val="009F1098"/>
    <w:rsid w:val="009F1458"/>
    <w:rsid w:val="009F1D3A"/>
    <w:rsid w:val="009F2C2E"/>
    <w:rsid w:val="009F4190"/>
    <w:rsid w:val="009F4475"/>
    <w:rsid w:val="009F4911"/>
    <w:rsid w:val="009F4D6C"/>
    <w:rsid w:val="009F513E"/>
    <w:rsid w:val="009F5241"/>
    <w:rsid w:val="009F5F08"/>
    <w:rsid w:val="009F6807"/>
    <w:rsid w:val="009F68DF"/>
    <w:rsid w:val="009F6A24"/>
    <w:rsid w:val="00A0042C"/>
    <w:rsid w:val="00A00495"/>
    <w:rsid w:val="00A01925"/>
    <w:rsid w:val="00A01DEB"/>
    <w:rsid w:val="00A0363B"/>
    <w:rsid w:val="00A03AB2"/>
    <w:rsid w:val="00A062E1"/>
    <w:rsid w:val="00A06D32"/>
    <w:rsid w:val="00A0719D"/>
    <w:rsid w:val="00A07545"/>
    <w:rsid w:val="00A112EC"/>
    <w:rsid w:val="00A11867"/>
    <w:rsid w:val="00A130A2"/>
    <w:rsid w:val="00A13947"/>
    <w:rsid w:val="00A13E2B"/>
    <w:rsid w:val="00A1562A"/>
    <w:rsid w:val="00A15901"/>
    <w:rsid w:val="00A1618E"/>
    <w:rsid w:val="00A161A1"/>
    <w:rsid w:val="00A17F7A"/>
    <w:rsid w:val="00A20562"/>
    <w:rsid w:val="00A20F75"/>
    <w:rsid w:val="00A212B1"/>
    <w:rsid w:val="00A214AF"/>
    <w:rsid w:val="00A25479"/>
    <w:rsid w:val="00A25CA6"/>
    <w:rsid w:val="00A26FFF"/>
    <w:rsid w:val="00A2730A"/>
    <w:rsid w:val="00A27A21"/>
    <w:rsid w:val="00A30FDA"/>
    <w:rsid w:val="00A316EC"/>
    <w:rsid w:val="00A31804"/>
    <w:rsid w:val="00A318AE"/>
    <w:rsid w:val="00A318C5"/>
    <w:rsid w:val="00A320BA"/>
    <w:rsid w:val="00A32283"/>
    <w:rsid w:val="00A32342"/>
    <w:rsid w:val="00A325EC"/>
    <w:rsid w:val="00A32B81"/>
    <w:rsid w:val="00A33501"/>
    <w:rsid w:val="00A337E5"/>
    <w:rsid w:val="00A33CD4"/>
    <w:rsid w:val="00A3658D"/>
    <w:rsid w:val="00A36E51"/>
    <w:rsid w:val="00A377C5"/>
    <w:rsid w:val="00A37B2E"/>
    <w:rsid w:val="00A37D45"/>
    <w:rsid w:val="00A401FD"/>
    <w:rsid w:val="00A40558"/>
    <w:rsid w:val="00A40AF2"/>
    <w:rsid w:val="00A411DC"/>
    <w:rsid w:val="00A41D8B"/>
    <w:rsid w:val="00A43904"/>
    <w:rsid w:val="00A44E49"/>
    <w:rsid w:val="00A4582E"/>
    <w:rsid w:val="00A45BD2"/>
    <w:rsid w:val="00A45DFA"/>
    <w:rsid w:val="00A46A1E"/>
    <w:rsid w:val="00A50595"/>
    <w:rsid w:val="00A50A39"/>
    <w:rsid w:val="00A51DF1"/>
    <w:rsid w:val="00A52AFB"/>
    <w:rsid w:val="00A52C8C"/>
    <w:rsid w:val="00A52ECC"/>
    <w:rsid w:val="00A53967"/>
    <w:rsid w:val="00A5455C"/>
    <w:rsid w:val="00A545EC"/>
    <w:rsid w:val="00A54C5F"/>
    <w:rsid w:val="00A54D3B"/>
    <w:rsid w:val="00A5578A"/>
    <w:rsid w:val="00A55940"/>
    <w:rsid w:val="00A601E3"/>
    <w:rsid w:val="00A61365"/>
    <w:rsid w:val="00A61759"/>
    <w:rsid w:val="00A618F7"/>
    <w:rsid w:val="00A61B88"/>
    <w:rsid w:val="00A62C70"/>
    <w:rsid w:val="00A63982"/>
    <w:rsid w:val="00A640C6"/>
    <w:rsid w:val="00A65845"/>
    <w:rsid w:val="00A65A41"/>
    <w:rsid w:val="00A65F8C"/>
    <w:rsid w:val="00A666AA"/>
    <w:rsid w:val="00A6681C"/>
    <w:rsid w:val="00A671FC"/>
    <w:rsid w:val="00A679B0"/>
    <w:rsid w:val="00A710AF"/>
    <w:rsid w:val="00A71670"/>
    <w:rsid w:val="00A72874"/>
    <w:rsid w:val="00A72E48"/>
    <w:rsid w:val="00A7359C"/>
    <w:rsid w:val="00A73616"/>
    <w:rsid w:val="00A73947"/>
    <w:rsid w:val="00A76648"/>
    <w:rsid w:val="00A76DF7"/>
    <w:rsid w:val="00A77523"/>
    <w:rsid w:val="00A809CF"/>
    <w:rsid w:val="00A83454"/>
    <w:rsid w:val="00A843FC"/>
    <w:rsid w:val="00A84DA5"/>
    <w:rsid w:val="00A85302"/>
    <w:rsid w:val="00A86119"/>
    <w:rsid w:val="00A8649F"/>
    <w:rsid w:val="00A86D25"/>
    <w:rsid w:val="00A8730D"/>
    <w:rsid w:val="00A877BD"/>
    <w:rsid w:val="00A8786B"/>
    <w:rsid w:val="00A903F1"/>
    <w:rsid w:val="00A905CC"/>
    <w:rsid w:val="00A90974"/>
    <w:rsid w:val="00A9197E"/>
    <w:rsid w:val="00A92040"/>
    <w:rsid w:val="00A92065"/>
    <w:rsid w:val="00A92184"/>
    <w:rsid w:val="00A9334F"/>
    <w:rsid w:val="00A93D6F"/>
    <w:rsid w:val="00A9449A"/>
    <w:rsid w:val="00A9614E"/>
    <w:rsid w:val="00A963B5"/>
    <w:rsid w:val="00A96FA8"/>
    <w:rsid w:val="00A97665"/>
    <w:rsid w:val="00AA0504"/>
    <w:rsid w:val="00AA0909"/>
    <w:rsid w:val="00AA0E00"/>
    <w:rsid w:val="00AA1C72"/>
    <w:rsid w:val="00AA1E8D"/>
    <w:rsid w:val="00AA1FDE"/>
    <w:rsid w:val="00AA291C"/>
    <w:rsid w:val="00AA30F6"/>
    <w:rsid w:val="00AA334D"/>
    <w:rsid w:val="00AA37B1"/>
    <w:rsid w:val="00AA47B8"/>
    <w:rsid w:val="00AA550A"/>
    <w:rsid w:val="00AA5EBD"/>
    <w:rsid w:val="00AA623D"/>
    <w:rsid w:val="00AA628B"/>
    <w:rsid w:val="00AA6DE4"/>
    <w:rsid w:val="00AA7408"/>
    <w:rsid w:val="00AA7D1F"/>
    <w:rsid w:val="00AB02C6"/>
    <w:rsid w:val="00AB1187"/>
    <w:rsid w:val="00AB246B"/>
    <w:rsid w:val="00AB2E96"/>
    <w:rsid w:val="00AB36D4"/>
    <w:rsid w:val="00AB5500"/>
    <w:rsid w:val="00AB5564"/>
    <w:rsid w:val="00AB57FB"/>
    <w:rsid w:val="00AB6685"/>
    <w:rsid w:val="00AB7348"/>
    <w:rsid w:val="00AB75D8"/>
    <w:rsid w:val="00AB78B9"/>
    <w:rsid w:val="00AC13B0"/>
    <w:rsid w:val="00AC2FD0"/>
    <w:rsid w:val="00AC3241"/>
    <w:rsid w:val="00AC3DBD"/>
    <w:rsid w:val="00AC404B"/>
    <w:rsid w:val="00AC4867"/>
    <w:rsid w:val="00AC5A12"/>
    <w:rsid w:val="00AC5BCA"/>
    <w:rsid w:val="00AC5E85"/>
    <w:rsid w:val="00AC687C"/>
    <w:rsid w:val="00AD03D8"/>
    <w:rsid w:val="00AD0D5F"/>
    <w:rsid w:val="00AD0EB5"/>
    <w:rsid w:val="00AD11B6"/>
    <w:rsid w:val="00AD17C3"/>
    <w:rsid w:val="00AD2E68"/>
    <w:rsid w:val="00AD34CF"/>
    <w:rsid w:val="00AD36C8"/>
    <w:rsid w:val="00AD37C9"/>
    <w:rsid w:val="00AD47D3"/>
    <w:rsid w:val="00AD652F"/>
    <w:rsid w:val="00AD6E55"/>
    <w:rsid w:val="00AD7D05"/>
    <w:rsid w:val="00AE01F6"/>
    <w:rsid w:val="00AE16F0"/>
    <w:rsid w:val="00AE2328"/>
    <w:rsid w:val="00AE473C"/>
    <w:rsid w:val="00AE55E7"/>
    <w:rsid w:val="00AE6363"/>
    <w:rsid w:val="00AE6CD6"/>
    <w:rsid w:val="00AE7348"/>
    <w:rsid w:val="00AE7394"/>
    <w:rsid w:val="00AE7CD2"/>
    <w:rsid w:val="00AF0B77"/>
    <w:rsid w:val="00AF138B"/>
    <w:rsid w:val="00AF160F"/>
    <w:rsid w:val="00AF1919"/>
    <w:rsid w:val="00AF196E"/>
    <w:rsid w:val="00AF1B7B"/>
    <w:rsid w:val="00AF31D9"/>
    <w:rsid w:val="00AF3291"/>
    <w:rsid w:val="00AF395E"/>
    <w:rsid w:val="00AF4802"/>
    <w:rsid w:val="00AF4D6A"/>
    <w:rsid w:val="00AF580C"/>
    <w:rsid w:val="00AF5D2C"/>
    <w:rsid w:val="00AF5D6E"/>
    <w:rsid w:val="00AF6318"/>
    <w:rsid w:val="00AF7BBE"/>
    <w:rsid w:val="00B0072E"/>
    <w:rsid w:val="00B00CC1"/>
    <w:rsid w:val="00B011A1"/>
    <w:rsid w:val="00B03B63"/>
    <w:rsid w:val="00B0513A"/>
    <w:rsid w:val="00B05B47"/>
    <w:rsid w:val="00B0620B"/>
    <w:rsid w:val="00B06CE2"/>
    <w:rsid w:val="00B06CF9"/>
    <w:rsid w:val="00B072A3"/>
    <w:rsid w:val="00B07FCD"/>
    <w:rsid w:val="00B101A6"/>
    <w:rsid w:val="00B1149C"/>
    <w:rsid w:val="00B11F60"/>
    <w:rsid w:val="00B121EF"/>
    <w:rsid w:val="00B125D6"/>
    <w:rsid w:val="00B127AA"/>
    <w:rsid w:val="00B130CB"/>
    <w:rsid w:val="00B1424D"/>
    <w:rsid w:val="00B14D9D"/>
    <w:rsid w:val="00B14EF5"/>
    <w:rsid w:val="00B14F07"/>
    <w:rsid w:val="00B16048"/>
    <w:rsid w:val="00B16B6B"/>
    <w:rsid w:val="00B20160"/>
    <w:rsid w:val="00B2028C"/>
    <w:rsid w:val="00B203A4"/>
    <w:rsid w:val="00B21771"/>
    <w:rsid w:val="00B2191C"/>
    <w:rsid w:val="00B21B30"/>
    <w:rsid w:val="00B21C0C"/>
    <w:rsid w:val="00B2231E"/>
    <w:rsid w:val="00B22E76"/>
    <w:rsid w:val="00B23016"/>
    <w:rsid w:val="00B23315"/>
    <w:rsid w:val="00B23771"/>
    <w:rsid w:val="00B246E1"/>
    <w:rsid w:val="00B24EA8"/>
    <w:rsid w:val="00B264F9"/>
    <w:rsid w:val="00B26625"/>
    <w:rsid w:val="00B26A0E"/>
    <w:rsid w:val="00B26A5A"/>
    <w:rsid w:val="00B2713B"/>
    <w:rsid w:val="00B2730C"/>
    <w:rsid w:val="00B275A9"/>
    <w:rsid w:val="00B2769B"/>
    <w:rsid w:val="00B27D04"/>
    <w:rsid w:val="00B307D2"/>
    <w:rsid w:val="00B31868"/>
    <w:rsid w:val="00B31F9D"/>
    <w:rsid w:val="00B32938"/>
    <w:rsid w:val="00B33874"/>
    <w:rsid w:val="00B3398B"/>
    <w:rsid w:val="00B33B1E"/>
    <w:rsid w:val="00B362D9"/>
    <w:rsid w:val="00B36B99"/>
    <w:rsid w:val="00B36D20"/>
    <w:rsid w:val="00B36F67"/>
    <w:rsid w:val="00B37577"/>
    <w:rsid w:val="00B40633"/>
    <w:rsid w:val="00B4144D"/>
    <w:rsid w:val="00B42645"/>
    <w:rsid w:val="00B44049"/>
    <w:rsid w:val="00B4424E"/>
    <w:rsid w:val="00B44318"/>
    <w:rsid w:val="00B449D6"/>
    <w:rsid w:val="00B44C4B"/>
    <w:rsid w:val="00B477CB"/>
    <w:rsid w:val="00B508A7"/>
    <w:rsid w:val="00B52081"/>
    <w:rsid w:val="00B52695"/>
    <w:rsid w:val="00B5372F"/>
    <w:rsid w:val="00B53C61"/>
    <w:rsid w:val="00B53E1E"/>
    <w:rsid w:val="00B545AF"/>
    <w:rsid w:val="00B55B09"/>
    <w:rsid w:val="00B56711"/>
    <w:rsid w:val="00B56B8A"/>
    <w:rsid w:val="00B57DFA"/>
    <w:rsid w:val="00B57EF2"/>
    <w:rsid w:val="00B603AE"/>
    <w:rsid w:val="00B604F3"/>
    <w:rsid w:val="00B6101C"/>
    <w:rsid w:val="00B615ED"/>
    <w:rsid w:val="00B61F74"/>
    <w:rsid w:val="00B6234E"/>
    <w:rsid w:val="00B63A9D"/>
    <w:rsid w:val="00B64888"/>
    <w:rsid w:val="00B65A11"/>
    <w:rsid w:val="00B672E3"/>
    <w:rsid w:val="00B675F9"/>
    <w:rsid w:val="00B704A9"/>
    <w:rsid w:val="00B70849"/>
    <w:rsid w:val="00B72C1C"/>
    <w:rsid w:val="00B73BB7"/>
    <w:rsid w:val="00B751C3"/>
    <w:rsid w:val="00B76C0D"/>
    <w:rsid w:val="00B774EF"/>
    <w:rsid w:val="00B77D0D"/>
    <w:rsid w:val="00B80817"/>
    <w:rsid w:val="00B827E6"/>
    <w:rsid w:val="00B82A28"/>
    <w:rsid w:val="00B82B8D"/>
    <w:rsid w:val="00B82C97"/>
    <w:rsid w:val="00B83920"/>
    <w:rsid w:val="00B84D65"/>
    <w:rsid w:val="00B850DD"/>
    <w:rsid w:val="00B851D5"/>
    <w:rsid w:val="00B851E2"/>
    <w:rsid w:val="00B8595A"/>
    <w:rsid w:val="00B85B06"/>
    <w:rsid w:val="00B90558"/>
    <w:rsid w:val="00B9070A"/>
    <w:rsid w:val="00B92319"/>
    <w:rsid w:val="00B92958"/>
    <w:rsid w:val="00B93957"/>
    <w:rsid w:val="00B9404A"/>
    <w:rsid w:val="00B94877"/>
    <w:rsid w:val="00B9491F"/>
    <w:rsid w:val="00B94AB6"/>
    <w:rsid w:val="00B96043"/>
    <w:rsid w:val="00B96D17"/>
    <w:rsid w:val="00B96F5D"/>
    <w:rsid w:val="00BA02F9"/>
    <w:rsid w:val="00BA06C0"/>
    <w:rsid w:val="00BA1987"/>
    <w:rsid w:val="00BA1E55"/>
    <w:rsid w:val="00BA2682"/>
    <w:rsid w:val="00BA31E4"/>
    <w:rsid w:val="00BA356F"/>
    <w:rsid w:val="00BA3959"/>
    <w:rsid w:val="00BA47CC"/>
    <w:rsid w:val="00BA5025"/>
    <w:rsid w:val="00BA524B"/>
    <w:rsid w:val="00BA54F7"/>
    <w:rsid w:val="00BA576C"/>
    <w:rsid w:val="00BA6205"/>
    <w:rsid w:val="00BA6861"/>
    <w:rsid w:val="00BA6CE5"/>
    <w:rsid w:val="00BA6F38"/>
    <w:rsid w:val="00BB1388"/>
    <w:rsid w:val="00BB1DA3"/>
    <w:rsid w:val="00BB2683"/>
    <w:rsid w:val="00BB3998"/>
    <w:rsid w:val="00BB40DF"/>
    <w:rsid w:val="00BB5E2C"/>
    <w:rsid w:val="00BB7D9E"/>
    <w:rsid w:val="00BC16AC"/>
    <w:rsid w:val="00BC2928"/>
    <w:rsid w:val="00BC2B7B"/>
    <w:rsid w:val="00BC3AE8"/>
    <w:rsid w:val="00BC3AF4"/>
    <w:rsid w:val="00BC43A8"/>
    <w:rsid w:val="00BC5C6D"/>
    <w:rsid w:val="00BC7120"/>
    <w:rsid w:val="00BC76A3"/>
    <w:rsid w:val="00BD00D1"/>
    <w:rsid w:val="00BD07A2"/>
    <w:rsid w:val="00BD2603"/>
    <w:rsid w:val="00BD4EEC"/>
    <w:rsid w:val="00BD4F34"/>
    <w:rsid w:val="00BD537C"/>
    <w:rsid w:val="00BD6098"/>
    <w:rsid w:val="00BD6F5B"/>
    <w:rsid w:val="00BD7662"/>
    <w:rsid w:val="00BE05ED"/>
    <w:rsid w:val="00BE2585"/>
    <w:rsid w:val="00BE350E"/>
    <w:rsid w:val="00BE3801"/>
    <w:rsid w:val="00BE38CF"/>
    <w:rsid w:val="00BE394B"/>
    <w:rsid w:val="00BE48A8"/>
    <w:rsid w:val="00BE528F"/>
    <w:rsid w:val="00BE53B2"/>
    <w:rsid w:val="00BE5850"/>
    <w:rsid w:val="00BE58D6"/>
    <w:rsid w:val="00BE5CA6"/>
    <w:rsid w:val="00BE6881"/>
    <w:rsid w:val="00BE6BF4"/>
    <w:rsid w:val="00BE707F"/>
    <w:rsid w:val="00BE7CD1"/>
    <w:rsid w:val="00BE7DA0"/>
    <w:rsid w:val="00BE7F5D"/>
    <w:rsid w:val="00BF0707"/>
    <w:rsid w:val="00BF164F"/>
    <w:rsid w:val="00BF1AAF"/>
    <w:rsid w:val="00BF268B"/>
    <w:rsid w:val="00BF4D03"/>
    <w:rsid w:val="00BF4E85"/>
    <w:rsid w:val="00BF54BD"/>
    <w:rsid w:val="00BF5892"/>
    <w:rsid w:val="00BF5E3B"/>
    <w:rsid w:val="00BF7E3C"/>
    <w:rsid w:val="00C01804"/>
    <w:rsid w:val="00C026BC"/>
    <w:rsid w:val="00C02AD4"/>
    <w:rsid w:val="00C03869"/>
    <w:rsid w:val="00C07988"/>
    <w:rsid w:val="00C07C5E"/>
    <w:rsid w:val="00C10068"/>
    <w:rsid w:val="00C1050D"/>
    <w:rsid w:val="00C10AC5"/>
    <w:rsid w:val="00C10ACB"/>
    <w:rsid w:val="00C12DAD"/>
    <w:rsid w:val="00C12E17"/>
    <w:rsid w:val="00C1315C"/>
    <w:rsid w:val="00C13881"/>
    <w:rsid w:val="00C14741"/>
    <w:rsid w:val="00C1544B"/>
    <w:rsid w:val="00C1665A"/>
    <w:rsid w:val="00C1739F"/>
    <w:rsid w:val="00C177FF"/>
    <w:rsid w:val="00C2163F"/>
    <w:rsid w:val="00C222FF"/>
    <w:rsid w:val="00C2338E"/>
    <w:rsid w:val="00C23864"/>
    <w:rsid w:val="00C23FB0"/>
    <w:rsid w:val="00C24021"/>
    <w:rsid w:val="00C248AF"/>
    <w:rsid w:val="00C24B09"/>
    <w:rsid w:val="00C24BDE"/>
    <w:rsid w:val="00C24C1B"/>
    <w:rsid w:val="00C24E9F"/>
    <w:rsid w:val="00C255AF"/>
    <w:rsid w:val="00C25C25"/>
    <w:rsid w:val="00C277B1"/>
    <w:rsid w:val="00C31BC1"/>
    <w:rsid w:val="00C32151"/>
    <w:rsid w:val="00C3217A"/>
    <w:rsid w:val="00C32761"/>
    <w:rsid w:val="00C329D2"/>
    <w:rsid w:val="00C32BE9"/>
    <w:rsid w:val="00C32D7F"/>
    <w:rsid w:val="00C33551"/>
    <w:rsid w:val="00C3357D"/>
    <w:rsid w:val="00C33586"/>
    <w:rsid w:val="00C33BE9"/>
    <w:rsid w:val="00C33C13"/>
    <w:rsid w:val="00C348C7"/>
    <w:rsid w:val="00C352F0"/>
    <w:rsid w:val="00C35B2A"/>
    <w:rsid w:val="00C36742"/>
    <w:rsid w:val="00C36DB8"/>
    <w:rsid w:val="00C374AD"/>
    <w:rsid w:val="00C4018E"/>
    <w:rsid w:val="00C4041C"/>
    <w:rsid w:val="00C40DE4"/>
    <w:rsid w:val="00C40E63"/>
    <w:rsid w:val="00C41A06"/>
    <w:rsid w:val="00C4261B"/>
    <w:rsid w:val="00C42BFB"/>
    <w:rsid w:val="00C44DDC"/>
    <w:rsid w:val="00C45BBE"/>
    <w:rsid w:val="00C5128B"/>
    <w:rsid w:val="00C51423"/>
    <w:rsid w:val="00C5294D"/>
    <w:rsid w:val="00C52CF7"/>
    <w:rsid w:val="00C52F83"/>
    <w:rsid w:val="00C54C1B"/>
    <w:rsid w:val="00C54DBA"/>
    <w:rsid w:val="00C56FBB"/>
    <w:rsid w:val="00C57ED3"/>
    <w:rsid w:val="00C61640"/>
    <w:rsid w:val="00C61AA7"/>
    <w:rsid w:val="00C61B8E"/>
    <w:rsid w:val="00C64CEC"/>
    <w:rsid w:val="00C668DE"/>
    <w:rsid w:val="00C7044F"/>
    <w:rsid w:val="00C7141C"/>
    <w:rsid w:val="00C71DA8"/>
    <w:rsid w:val="00C720F8"/>
    <w:rsid w:val="00C727B4"/>
    <w:rsid w:val="00C7294B"/>
    <w:rsid w:val="00C75139"/>
    <w:rsid w:val="00C7525C"/>
    <w:rsid w:val="00C7606F"/>
    <w:rsid w:val="00C76CF7"/>
    <w:rsid w:val="00C83A4C"/>
    <w:rsid w:val="00C8533B"/>
    <w:rsid w:val="00C858BA"/>
    <w:rsid w:val="00C85A2A"/>
    <w:rsid w:val="00C86977"/>
    <w:rsid w:val="00C916C8"/>
    <w:rsid w:val="00C9398D"/>
    <w:rsid w:val="00C939EE"/>
    <w:rsid w:val="00C93C6E"/>
    <w:rsid w:val="00C93F93"/>
    <w:rsid w:val="00C94D44"/>
    <w:rsid w:val="00C95EEE"/>
    <w:rsid w:val="00C974CB"/>
    <w:rsid w:val="00C97929"/>
    <w:rsid w:val="00CA0049"/>
    <w:rsid w:val="00CA0980"/>
    <w:rsid w:val="00CA0AFB"/>
    <w:rsid w:val="00CA2A98"/>
    <w:rsid w:val="00CA2BAE"/>
    <w:rsid w:val="00CA2CFF"/>
    <w:rsid w:val="00CA34BA"/>
    <w:rsid w:val="00CA3E64"/>
    <w:rsid w:val="00CA4503"/>
    <w:rsid w:val="00CA5A66"/>
    <w:rsid w:val="00CA651B"/>
    <w:rsid w:val="00CA6EE9"/>
    <w:rsid w:val="00CA70C3"/>
    <w:rsid w:val="00CA7968"/>
    <w:rsid w:val="00CA796A"/>
    <w:rsid w:val="00CB2575"/>
    <w:rsid w:val="00CB3677"/>
    <w:rsid w:val="00CB368F"/>
    <w:rsid w:val="00CB4C42"/>
    <w:rsid w:val="00CB4DFA"/>
    <w:rsid w:val="00CB5117"/>
    <w:rsid w:val="00CB5E67"/>
    <w:rsid w:val="00CB6184"/>
    <w:rsid w:val="00CB79E4"/>
    <w:rsid w:val="00CB7BD7"/>
    <w:rsid w:val="00CC1B2B"/>
    <w:rsid w:val="00CC1D6E"/>
    <w:rsid w:val="00CC2B61"/>
    <w:rsid w:val="00CC2D44"/>
    <w:rsid w:val="00CC3A1A"/>
    <w:rsid w:val="00CC4CB6"/>
    <w:rsid w:val="00CC4DB0"/>
    <w:rsid w:val="00CC5038"/>
    <w:rsid w:val="00CC5326"/>
    <w:rsid w:val="00CC7426"/>
    <w:rsid w:val="00CC7567"/>
    <w:rsid w:val="00CC7910"/>
    <w:rsid w:val="00CC7DBC"/>
    <w:rsid w:val="00CD0C20"/>
    <w:rsid w:val="00CD297A"/>
    <w:rsid w:val="00CD3180"/>
    <w:rsid w:val="00CD3DB0"/>
    <w:rsid w:val="00CD4129"/>
    <w:rsid w:val="00CD5185"/>
    <w:rsid w:val="00CD5DBB"/>
    <w:rsid w:val="00CD5FB4"/>
    <w:rsid w:val="00CD675D"/>
    <w:rsid w:val="00CD67E7"/>
    <w:rsid w:val="00CD7290"/>
    <w:rsid w:val="00CD7388"/>
    <w:rsid w:val="00CD7FF2"/>
    <w:rsid w:val="00CE0429"/>
    <w:rsid w:val="00CE130A"/>
    <w:rsid w:val="00CE23CD"/>
    <w:rsid w:val="00CE247A"/>
    <w:rsid w:val="00CE2695"/>
    <w:rsid w:val="00CE2A1A"/>
    <w:rsid w:val="00CE2F05"/>
    <w:rsid w:val="00CE4683"/>
    <w:rsid w:val="00CE47ED"/>
    <w:rsid w:val="00CE4A51"/>
    <w:rsid w:val="00CE4F80"/>
    <w:rsid w:val="00CE4FBD"/>
    <w:rsid w:val="00CE50E4"/>
    <w:rsid w:val="00CE51E8"/>
    <w:rsid w:val="00CE56A1"/>
    <w:rsid w:val="00CE613B"/>
    <w:rsid w:val="00CE64A5"/>
    <w:rsid w:val="00CE669E"/>
    <w:rsid w:val="00CE66B5"/>
    <w:rsid w:val="00CE6BFE"/>
    <w:rsid w:val="00CE7031"/>
    <w:rsid w:val="00CE71B5"/>
    <w:rsid w:val="00CE7258"/>
    <w:rsid w:val="00CE7D75"/>
    <w:rsid w:val="00CF0B9B"/>
    <w:rsid w:val="00CF0F7C"/>
    <w:rsid w:val="00CF13B8"/>
    <w:rsid w:val="00CF285E"/>
    <w:rsid w:val="00CF3739"/>
    <w:rsid w:val="00CF3E9E"/>
    <w:rsid w:val="00CF5597"/>
    <w:rsid w:val="00CF57B4"/>
    <w:rsid w:val="00CF5CA5"/>
    <w:rsid w:val="00CF6205"/>
    <w:rsid w:val="00CF658A"/>
    <w:rsid w:val="00CF66B6"/>
    <w:rsid w:val="00D007D6"/>
    <w:rsid w:val="00D01A8D"/>
    <w:rsid w:val="00D01A9F"/>
    <w:rsid w:val="00D01CED"/>
    <w:rsid w:val="00D01E38"/>
    <w:rsid w:val="00D022B5"/>
    <w:rsid w:val="00D039B5"/>
    <w:rsid w:val="00D04AA9"/>
    <w:rsid w:val="00D04F76"/>
    <w:rsid w:val="00D053D2"/>
    <w:rsid w:val="00D07943"/>
    <w:rsid w:val="00D07A2F"/>
    <w:rsid w:val="00D07D07"/>
    <w:rsid w:val="00D10F87"/>
    <w:rsid w:val="00D1149D"/>
    <w:rsid w:val="00D11B8E"/>
    <w:rsid w:val="00D11D8D"/>
    <w:rsid w:val="00D12423"/>
    <w:rsid w:val="00D12B12"/>
    <w:rsid w:val="00D12DD7"/>
    <w:rsid w:val="00D13A8C"/>
    <w:rsid w:val="00D149E1"/>
    <w:rsid w:val="00D14A44"/>
    <w:rsid w:val="00D15BCC"/>
    <w:rsid w:val="00D1628F"/>
    <w:rsid w:val="00D21D89"/>
    <w:rsid w:val="00D22522"/>
    <w:rsid w:val="00D225C8"/>
    <w:rsid w:val="00D22657"/>
    <w:rsid w:val="00D228DF"/>
    <w:rsid w:val="00D23557"/>
    <w:rsid w:val="00D2427F"/>
    <w:rsid w:val="00D24BB7"/>
    <w:rsid w:val="00D2506D"/>
    <w:rsid w:val="00D2596E"/>
    <w:rsid w:val="00D263AE"/>
    <w:rsid w:val="00D27855"/>
    <w:rsid w:val="00D27E5A"/>
    <w:rsid w:val="00D31021"/>
    <w:rsid w:val="00D329B9"/>
    <w:rsid w:val="00D33412"/>
    <w:rsid w:val="00D3482C"/>
    <w:rsid w:val="00D3664C"/>
    <w:rsid w:val="00D3683A"/>
    <w:rsid w:val="00D36916"/>
    <w:rsid w:val="00D379C5"/>
    <w:rsid w:val="00D37C36"/>
    <w:rsid w:val="00D4049F"/>
    <w:rsid w:val="00D40559"/>
    <w:rsid w:val="00D405B8"/>
    <w:rsid w:val="00D40AE9"/>
    <w:rsid w:val="00D41493"/>
    <w:rsid w:val="00D41A93"/>
    <w:rsid w:val="00D4200A"/>
    <w:rsid w:val="00D4267F"/>
    <w:rsid w:val="00D441E9"/>
    <w:rsid w:val="00D44425"/>
    <w:rsid w:val="00D44FC8"/>
    <w:rsid w:val="00D45D8F"/>
    <w:rsid w:val="00D47BCE"/>
    <w:rsid w:val="00D50332"/>
    <w:rsid w:val="00D518C9"/>
    <w:rsid w:val="00D52B95"/>
    <w:rsid w:val="00D5362B"/>
    <w:rsid w:val="00D53A09"/>
    <w:rsid w:val="00D54AAB"/>
    <w:rsid w:val="00D552F9"/>
    <w:rsid w:val="00D55B28"/>
    <w:rsid w:val="00D55BFB"/>
    <w:rsid w:val="00D55D19"/>
    <w:rsid w:val="00D55D73"/>
    <w:rsid w:val="00D56EDF"/>
    <w:rsid w:val="00D56F08"/>
    <w:rsid w:val="00D57361"/>
    <w:rsid w:val="00D60E58"/>
    <w:rsid w:val="00D61406"/>
    <w:rsid w:val="00D61541"/>
    <w:rsid w:val="00D61575"/>
    <w:rsid w:val="00D621B7"/>
    <w:rsid w:val="00D6294E"/>
    <w:rsid w:val="00D62C15"/>
    <w:rsid w:val="00D63C9A"/>
    <w:rsid w:val="00D640BC"/>
    <w:rsid w:val="00D654D5"/>
    <w:rsid w:val="00D65A9D"/>
    <w:rsid w:val="00D65BAB"/>
    <w:rsid w:val="00D65CB5"/>
    <w:rsid w:val="00D66D09"/>
    <w:rsid w:val="00D674AB"/>
    <w:rsid w:val="00D677BB"/>
    <w:rsid w:val="00D70544"/>
    <w:rsid w:val="00D71463"/>
    <w:rsid w:val="00D7194A"/>
    <w:rsid w:val="00D72AE4"/>
    <w:rsid w:val="00D73026"/>
    <w:rsid w:val="00D73FA1"/>
    <w:rsid w:val="00D7469D"/>
    <w:rsid w:val="00D7550B"/>
    <w:rsid w:val="00D75EEB"/>
    <w:rsid w:val="00D75F1E"/>
    <w:rsid w:val="00D80F87"/>
    <w:rsid w:val="00D812A5"/>
    <w:rsid w:val="00D81462"/>
    <w:rsid w:val="00D82A5C"/>
    <w:rsid w:val="00D82D11"/>
    <w:rsid w:val="00D836E1"/>
    <w:rsid w:val="00D83CD3"/>
    <w:rsid w:val="00D83E51"/>
    <w:rsid w:val="00D843A0"/>
    <w:rsid w:val="00D84719"/>
    <w:rsid w:val="00D856EA"/>
    <w:rsid w:val="00D85ACD"/>
    <w:rsid w:val="00D86460"/>
    <w:rsid w:val="00D90D65"/>
    <w:rsid w:val="00D912D5"/>
    <w:rsid w:val="00D91AAF"/>
    <w:rsid w:val="00D94564"/>
    <w:rsid w:val="00D9536E"/>
    <w:rsid w:val="00D97426"/>
    <w:rsid w:val="00D97568"/>
    <w:rsid w:val="00DA0531"/>
    <w:rsid w:val="00DA06B0"/>
    <w:rsid w:val="00DA29BA"/>
    <w:rsid w:val="00DA2E88"/>
    <w:rsid w:val="00DA3249"/>
    <w:rsid w:val="00DA38CE"/>
    <w:rsid w:val="00DA44C1"/>
    <w:rsid w:val="00DA4B01"/>
    <w:rsid w:val="00DA5322"/>
    <w:rsid w:val="00DA55AC"/>
    <w:rsid w:val="00DA5600"/>
    <w:rsid w:val="00DA5B03"/>
    <w:rsid w:val="00DA608B"/>
    <w:rsid w:val="00DA7413"/>
    <w:rsid w:val="00DB0066"/>
    <w:rsid w:val="00DB025E"/>
    <w:rsid w:val="00DB0F9E"/>
    <w:rsid w:val="00DB1307"/>
    <w:rsid w:val="00DB1E1A"/>
    <w:rsid w:val="00DB2695"/>
    <w:rsid w:val="00DB2AF6"/>
    <w:rsid w:val="00DB301D"/>
    <w:rsid w:val="00DB364F"/>
    <w:rsid w:val="00DB39E7"/>
    <w:rsid w:val="00DB3B3E"/>
    <w:rsid w:val="00DB71DB"/>
    <w:rsid w:val="00DB71E1"/>
    <w:rsid w:val="00DB7B0F"/>
    <w:rsid w:val="00DB7CB3"/>
    <w:rsid w:val="00DC0D57"/>
    <w:rsid w:val="00DC16F7"/>
    <w:rsid w:val="00DC1AFE"/>
    <w:rsid w:val="00DC1CA3"/>
    <w:rsid w:val="00DC2641"/>
    <w:rsid w:val="00DC2B1E"/>
    <w:rsid w:val="00DC3C7B"/>
    <w:rsid w:val="00DC7481"/>
    <w:rsid w:val="00DC7591"/>
    <w:rsid w:val="00DD0839"/>
    <w:rsid w:val="00DD26D0"/>
    <w:rsid w:val="00DD47D5"/>
    <w:rsid w:val="00DD6729"/>
    <w:rsid w:val="00DD6B26"/>
    <w:rsid w:val="00DD7960"/>
    <w:rsid w:val="00DD7B0D"/>
    <w:rsid w:val="00DE1F29"/>
    <w:rsid w:val="00DE3FEB"/>
    <w:rsid w:val="00DE4905"/>
    <w:rsid w:val="00DE510C"/>
    <w:rsid w:val="00DE522A"/>
    <w:rsid w:val="00DE63AA"/>
    <w:rsid w:val="00DE6751"/>
    <w:rsid w:val="00DE6DD6"/>
    <w:rsid w:val="00DE7822"/>
    <w:rsid w:val="00DF081A"/>
    <w:rsid w:val="00DF265D"/>
    <w:rsid w:val="00DF2EB0"/>
    <w:rsid w:val="00DF31C1"/>
    <w:rsid w:val="00DF427A"/>
    <w:rsid w:val="00DF45C5"/>
    <w:rsid w:val="00DF5A8C"/>
    <w:rsid w:val="00DF71D8"/>
    <w:rsid w:val="00DF7909"/>
    <w:rsid w:val="00E0023B"/>
    <w:rsid w:val="00E00CCA"/>
    <w:rsid w:val="00E00E9F"/>
    <w:rsid w:val="00E01623"/>
    <w:rsid w:val="00E032F8"/>
    <w:rsid w:val="00E03FE3"/>
    <w:rsid w:val="00E057AF"/>
    <w:rsid w:val="00E0588C"/>
    <w:rsid w:val="00E06951"/>
    <w:rsid w:val="00E06F29"/>
    <w:rsid w:val="00E10C94"/>
    <w:rsid w:val="00E10CEA"/>
    <w:rsid w:val="00E10EC4"/>
    <w:rsid w:val="00E118D7"/>
    <w:rsid w:val="00E11D53"/>
    <w:rsid w:val="00E13F46"/>
    <w:rsid w:val="00E14A59"/>
    <w:rsid w:val="00E15BD4"/>
    <w:rsid w:val="00E16458"/>
    <w:rsid w:val="00E16D63"/>
    <w:rsid w:val="00E16FB6"/>
    <w:rsid w:val="00E17001"/>
    <w:rsid w:val="00E17814"/>
    <w:rsid w:val="00E17CEF"/>
    <w:rsid w:val="00E206DD"/>
    <w:rsid w:val="00E20FBC"/>
    <w:rsid w:val="00E21855"/>
    <w:rsid w:val="00E22E36"/>
    <w:rsid w:val="00E232F6"/>
    <w:rsid w:val="00E23F60"/>
    <w:rsid w:val="00E244CA"/>
    <w:rsid w:val="00E2512D"/>
    <w:rsid w:val="00E2548C"/>
    <w:rsid w:val="00E2662B"/>
    <w:rsid w:val="00E26736"/>
    <w:rsid w:val="00E268AC"/>
    <w:rsid w:val="00E27986"/>
    <w:rsid w:val="00E27D23"/>
    <w:rsid w:val="00E304C9"/>
    <w:rsid w:val="00E30A8A"/>
    <w:rsid w:val="00E31BC7"/>
    <w:rsid w:val="00E31E7F"/>
    <w:rsid w:val="00E32E98"/>
    <w:rsid w:val="00E34E49"/>
    <w:rsid w:val="00E363CD"/>
    <w:rsid w:val="00E365C4"/>
    <w:rsid w:val="00E36C7F"/>
    <w:rsid w:val="00E36CD9"/>
    <w:rsid w:val="00E37652"/>
    <w:rsid w:val="00E3768F"/>
    <w:rsid w:val="00E37B17"/>
    <w:rsid w:val="00E402BC"/>
    <w:rsid w:val="00E41403"/>
    <w:rsid w:val="00E418C7"/>
    <w:rsid w:val="00E41BD7"/>
    <w:rsid w:val="00E428D6"/>
    <w:rsid w:val="00E43284"/>
    <w:rsid w:val="00E439F5"/>
    <w:rsid w:val="00E43EC5"/>
    <w:rsid w:val="00E445C9"/>
    <w:rsid w:val="00E447C5"/>
    <w:rsid w:val="00E450C1"/>
    <w:rsid w:val="00E4547F"/>
    <w:rsid w:val="00E4574F"/>
    <w:rsid w:val="00E45C5C"/>
    <w:rsid w:val="00E45FE7"/>
    <w:rsid w:val="00E461BC"/>
    <w:rsid w:val="00E46B7D"/>
    <w:rsid w:val="00E4700C"/>
    <w:rsid w:val="00E474FE"/>
    <w:rsid w:val="00E5091C"/>
    <w:rsid w:val="00E50C06"/>
    <w:rsid w:val="00E50E42"/>
    <w:rsid w:val="00E51009"/>
    <w:rsid w:val="00E511AB"/>
    <w:rsid w:val="00E51350"/>
    <w:rsid w:val="00E517F9"/>
    <w:rsid w:val="00E51C5E"/>
    <w:rsid w:val="00E523FB"/>
    <w:rsid w:val="00E528AF"/>
    <w:rsid w:val="00E52F29"/>
    <w:rsid w:val="00E53629"/>
    <w:rsid w:val="00E5372C"/>
    <w:rsid w:val="00E537A9"/>
    <w:rsid w:val="00E541BF"/>
    <w:rsid w:val="00E541C7"/>
    <w:rsid w:val="00E5480C"/>
    <w:rsid w:val="00E54AB7"/>
    <w:rsid w:val="00E55131"/>
    <w:rsid w:val="00E55F3E"/>
    <w:rsid w:val="00E56392"/>
    <w:rsid w:val="00E5712F"/>
    <w:rsid w:val="00E573C7"/>
    <w:rsid w:val="00E601DA"/>
    <w:rsid w:val="00E60451"/>
    <w:rsid w:val="00E60547"/>
    <w:rsid w:val="00E609FF"/>
    <w:rsid w:val="00E61AA8"/>
    <w:rsid w:val="00E6247F"/>
    <w:rsid w:val="00E62C61"/>
    <w:rsid w:val="00E62E59"/>
    <w:rsid w:val="00E63E99"/>
    <w:rsid w:val="00E63EDB"/>
    <w:rsid w:val="00E6454D"/>
    <w:rsid w:val="00E65301"/>
    <w:rsid w:val="00E6598A"/>
    <w:rsid w:val="00E667A7"/>
    <w:rsid w:val="00E66CF1"/>
    <w:rsid w:val="00E679B3"/>
    <w:rsid w:val="00E7190A"/>
    <w:rsid w:val="00E71CAD"/>
    <w:rsid w:val="00E71E5C"/>
    <w:rsid w:val="00E7245E"/>
    <w:rsid w:val="00E73831"/>
    <w:rsid w:val="00E73B66"/>
    <w:rsid w:val="00E73BFA"/>
    <w:rsid w:val="00E7498E"/>
    <w:rsid w:val="00E74BB9"/>
    <w:rsid w:val="00E74FF5"/>
    <w:rsid w:val="00E7584A"/>
    <w:rsid w:val="00E760D0"/>
    <w:rsid w:val="00E76D85"/>
    <w:rsid w:val="00E77C2E"/>
    <w:rsid w:val="00E77C35"/>
    <w:rsid w:val="00E8091F"/>
    <w:rsid w:val="00E80A1A"/>
    <w:rsid w:val="00E8146B"/>
    <w:rsid w:val="00E81987"/>
    <w:rsid w:val="00E82018"/>
    <w:rsid w:val="00E8292A"/>
    <w:rsid w:val="00E82944"/>
    <w:rsid w:val="00E829B9"/>
    <w:rsid w:val="00E82AE9"/>
    <w:rsid w:val="00E82DE7"/>
    <w:rsid w:val="00E840AD"/>
    <w:rsid w:val="00E84116"/>
    <w:rsid w:val="00E84C5C"/>
    <w:rsid w:val="00E85533"/>
    <w:rsid w:val="00E86343"/>
    <w:rsid w:val="00E866CD"/>
    <w:rsid w:val="00E871C8"/>
    <w:rsid w:val="00E877ED"/>
    <w:rsid w:val="00E901FD"/>
    <w:rsid w:val="00E91964"/>
    <w:rsid w:val="00E91FB1"/>
    <w:rsid w:val="00E939CF"/>
    <w:rsid w:val="00E94468"/>
    <w:rsid w:val="00E94A0E"/>
    <w:rsid w:val="00E96226"/>
    <w:rsid w:val="00E96DDE"/>
    <w:rsid w:val="00EA04AE"/>
    <w:rsid w:val="00EA0606"/>
    <w:rsid w:val="00EA062F"/>
    <w:rsid w:val="00EA17A9"/>
    <w:rsid w:val="00EA27CA"/>
    <w:rsid w:val="00EA311B"/>
    <w:rsid w:val="00EA36CA"/>
    <w:rsid w:val="00EA3D9C"/>
    <w:rsid w:val="00EA43C0"/>
    <w:rsid w:val="00EA45DB"/>
    <w:rsid w:val="00EA4CB0"/>
    <w:rsid w:val="00EA50DF"/>
    <w:rsid w:val="00EA566F"/>
    <w:rsid w:val="00EA5BAC"/>
    <w:rsid w:val="00EA5CA3"/>
    <w:rsid w:val="00EA6528"/>
    <w:rsid w:val="00EA79AD"/>
    <w:rsid w:val="00EB1149"/>
    <w:rsid w:val="00EB2857"/>
    <w:rsid w:val="00EB30B7"/>
    <w:rsid w:val="00EB3F8A"/>
    <w:rsid w:val="00EB416F"/>
    <w:rsid w:val="00EB43B9"/>
    <w:rsid w:val="00EB4482"/>
    <w:rsid w:val="00EB4C01"/>
    <w:rsid w:val="00EB4D59"/>
    <w:rsid w:val="00EB4E58"/>
    <w:rsid w:val="00EB573D"/>
    <w:rsid w:val="00EB583A"/>
    <w:rsid w:val="00EB7752"/>
    <w:rsid w:val="00EC0725"/>
    <w:rsid w:val="00EC0889"/>
    <w:rsid w:val="00EC0C13"/>
    <w:rsid w:val="00EC148C"/>
    <w:rsid w:val="00EC2791"/>
    <w:rsid w:val="00EC2D7D"/>
    <w:rsid w:val="00EC36AD"/>
    <w:rsid w:val="00EC3B6C"/>
    <w:rsid w:val="00EC3BCF"/>
    <w:rsid w:val="00EC56B1"/>
    <w:rsid w:val="00EC664F"/>
    <w:rsid w:val="00EC6749"/>
    <w:rsid w:val="00EC724E"/>
    <w:rsid w:val="00EC72F5"/>
    <w:rsid w:val="00EC7334"/>
    <w:rsid w:val="00ED1877"/>
    <w:rsid w:val="00ED1A91"/>
    <w:rsid w:val="00ED247F"/>
    <w:rsid w:val="00ED27E4"/>
    <w:rsid w:val="00ED2EEA"/>
    <w:rsid w:val="00ED2F27"/>
    <w:rsid w:val="00ED3370"/>
    <w:rsid w:val="00ED3FA6"/>
    <w:rsid w:val="00ED4D96"/>
    <w:rsid w:val="00ED5A40"/>
    <w:rsid w:val="00ED5F21"/>
    <w:rsid w:val="00ED602C"/>
    <w:rsid w:val="00ED62B5"/>
    <w:rsid w:val="00ED6DDB"/>
    <w:rsid w:val="00ED7985"/>
    <w:rsid w:val="00EE0207"/>
    <w:rsid w:val="00EE270D"/>
    <w:rsid w:val="00EE484E"/>
    <w:rsid w:val="00EE6989"/>
    <w:rsid w:val="00EE6C77"/>
    <w:rsid w:val="00EE7604"/>
    <w:rsid w:val="00EE7912"/>
    <w:rsid w:val="00EE7915"/>
    <w:rsid w:val="00EF0465"/>
    <w:rsid w:val="00EF13C5"/>
    <w:rsid w:val="00EF15D7"/>
    <w:rsid w:val="00EF16D8"/>
    <w:rsid w:val="00EF1D89"/>
    <w:rsid w:val="00EF28EF"/>
    <w:rsid w:val="00EF2EB9"/>
    <w:rsid w:val="00EF40E7"/>
    <w:rsid w:val="00EF4529"/>
    <w:rsid w:val="00EF4FAA"/>
    <w:rsid w:val="00EF5B34"/>
    <w:rsid w:val="00EF657C"/>
    <w:rsid w:val="00EF7501"/>
    <w:rsid w:val="00F004D1"/>
    <w:rsid w:val="00F00553"/>
    <w:rsid w:val="00F00C0D"/>
    <w:rsid w:val="00F0128B"/>
    <w:rsid w:val="00F01B80"/>
    <w:rsid w:val="00F02663"/>
    <w:rsid w:val="00F02758"/>
    <w:rsid w:val="00F02993"/>
    <w:rsid w:val="00F03369"/>
    <w:rsid w:val="00F04E62"/>
    <w:rsid w:val="00F050AA"/>
    <w:rsid w:val="00F05E6D"/>
    <w:rsid w:val="00F0601A"/>
    <w:rsid w:val="00F101DD"/>
    <w:rsid w:val="00F11800"/>
    <w:rsid w:val="00F11B61"/>
    <w:rsid w:val="00F135D6"/>
    <w:rsid w:val="00F13922"/>
    <w:rsid w:val="00F13DBC"/>
    <w:rsid w:val="00F15926"/>
    <w:rsid w:val="00F15FCF"/>
    <w:rsid w:val="00F16613"/>
    <w:rsid w:val="00F1738D"/>
    <w:rsid w:val="00F20276"/>
    <w:rsid w:val="00F20706"/>
    <w:rsid w:val="00F21496"/>
    <w:rsid w:val="00F21E77"/>
    <w:rsid w:val="00F22FCF"/>
    <w:rsid w:val="00F24D27"/>
    <w:rsid w:val="00F2520C"/>
    <w:rsid w:val="00F25BCB"/>
    <w:rsid w:val="00F25ECC"/>
    <w:rsid w:val="00F264C1"/>
    <w:rsid w:val="00F265C9"/>
    <w:rsid w:val="00F26D7F"/>
    <w:rsid w:val="00F27305"/>
    <w:rsid w:val="00F30650"/>
    <w:rsid w:val="00F30790"/>
    <w:rsid w:val="00F31570"/>
    <w:rsid w:val="00F33355"/>
    <w:rsid w:val="00F34363"/>
    <w:rsid w:val="00F34CE9"/>
    <w:rsid w:val="00F354B9"/>
    <w:rsid w:val="00F35705"/>
    <w:rsid w:val="00F35B93"/>
    <w:rsid w:val="00F3697D"/>
    <w:rsid w:val="00F36A0D"/>
    <w:rsid w:val="00F37899"/>
    <w:rsid w:val="00F37C30"/>
    <w:rsid w:val="00F37CFD"/>
    <w:rsid w:val="00F37D33"/>
    <w:rsid w:val="00F40178"/>
    <w:rsid w:val="00F40DB9"/>
    <w:rsid w:val="00F40ED1"/>
    <w:rsid w:val="00F415A3"/>
    <w:rsid w:val="00F41778"/>
    <w:rsid w:val="00F417DC"/>
    <w:rsid w:val="00F41895"/>
    <w:rsid w:val="00F41B3E"/>
    <w:rsid w:val="00F421D1"/>
    <w:rsid w:val="00F4323B"/>
    <w:rsid w:val="00F43B8E"/>
    <w:rsid w:val="00F45196"/>
    <w:rsid w:val="00F45D51"/>
    <w:rsid w:val="00F466DA"/>
    <w:rsid w:val="00F46842"/>
    <w:rsid w:val="00F4765F"/>
    <w:rsid w:val="00F479B5"/>
    <w:rsid w:val="00F47A1B"/>
    <w:rsid w:val="00F47C4B"/>
    <w:rsid w:val="00F53775"/>
    <w:rsid w:val="00F53833"/>
    <w:rsid w:val="00F539A6"/>
    <w:rsid w:val="00F55E0E"/>
    <w:rsid w:val="00F5611D"/>
    <w:rsid w:val="00F56E3E"/>
    <w:rsid w:val="00F578A8"/>
    <w:rsid w:val="00F57EEB"/>
    <w:rsid w:val="00F57F67"/>
    <w:rsid w:val="00F60996"/>
    <w:rsid w:val="00F60B5D"/>
    <w:rsid w:val="00F60B87"/>
    <w:rsid w:val="00F611E4"/>
    <w:rsid w:val="00F613D4"/>
    <w:rsid w:val="00F61FB0"/>
    <w:rsid w:val="00F61FE7"/>
    <w:rsid w:val="00F62AFE"/>
    <w:rsid w:val="00F633E5"/>
    <w:rsid w:val="00F63958"/>
    <w:rsid w:val="00F64381"/>
    <w:rsid w:val="00F64A3A"/>
    <w:rsid w:val="00F64F35"/>
    <w:rsid w:val="00F64FC4"/>
    <w:rsid w:val="00F65021"/>
    <w:rsid w:val="00F65DE3"/>
    <w:rsid w:val="00F6792A"/>
    <w:rsid w:val="00F67E6A"/>
    <w:rsid w:val="00F70472"/>
    <w:rsid w:val="00F71430"/>
    <w:rsid w:val="00F71A8A"/>
    <w:rsid w:val="00F73A65"/>
    <w:rsid w:val="00F745D6"/>
    <w:rsid w:val="00F75896"/>
    <w:rsid w:val="00F76666"/>
    <w:rsid w:val="00F76ECB"/>
    <w:rsid w:val="00F76EF7"/>
    <w:rsid w:val="00F776B7"/>
    <w:rsid w:val="00F77758"/>
    <w:rsid w:val="00F77BDB"/>
    <w:rsid w:val="00F8031F"/>
    <w:rsid w:val="00F80C5C"/>
    <w:rsid w:val="00F818A5"/>
    <w:rsid w:val="00F8197C"/>
    <w:rsid w:val="00F84614"/>
    <w:rsid w:val="00F8465D"/>
    <w:rsid w:val="00F848B3"/>
    <w:rsid w:val="00F85755"/>
    <w:rsid w:val="00F86A0B"/>
    <w:rsid w:val="00F86D4D"/>
    <w:rsid w:val="00F87431"/>
    <w:rsid w:val="00F8765C"/>
    <w:rsid w:val="00F87A53"/>
    <w:rsid w:val="00F9031B"/>
    <w:rsid w:val="00F91DA4"/>
    <w:rsid w:val="00F92728"/>
    <w:rsid w:val="00F937AF"/>
    <w:rsid w:val="00F9400E"/>
    <w:rsid w:val="00F94059"/>
    <w:rsid w:val="00F94494"/>
    <w:rsid w:val="00F96483"/>
    <w:rsid w:val="00F9648C"/>
    <w:rsid w:val="00F96634"/>
    <w:rsid w:val="00F96671"/>
    <w:rsid w:val="00F9680E"/>
    <w:rsid w:val="00F96E21"/>
    <w:rsid w:val="00F97993"/>
    <w:rsid w:val="00FA0053"/>
    <w:rsid w:val="00FA00AF"/>
    <w:rsid w:val="00FA0A0A"/>
    <w:rsid w:val="00FA0C9D"/>
    <w:rsid w:val="00FA156B"/>
    <w:rsid w:val="00FA169B"/>
    <w:rsid w:val="00FA2C4B"/>
    <w:rsid w:val="00FA5CC6"/>
    <w:rsid w:val="00FA64D5"/>
    <w:rsid w:val="00FA6760"/>
    <w:rsid w:val="00FA70F6"/>
    <w:rsid w:val="00FA7420"/>
    <w:rsid w:val="00FA756C"/>
    <w:rsid w:val="00FA75E4"/>
    <w:rsid w:val="00FA776B"/>
    <w:rsid w:val="00FA78A4"/>
    <w:rsid w:val="00FB0873"/>
    <w:rsid w:val="00FB0AB1"/>
    <w:rsid w:val="00FB2BCA"/>
    <w:rsid w:val="00FB2BEF"/>
    <w:rsid w:val="00FB3090"/>
    <w:rsid w:val="00FB36CA"/>
    <w:rsid w:val="00FB4BB0"/>
    <w:rsid w:val="00FB72AC"/>
    <w:rsid w:val="00FB7706"/>
    <w:rsid w:val="00FB7EC9"/>
    <w:rsid w:val="00FB7F82"/>
    <w:rsid w:val="00FC0DAF"/>
    <w:rsid w:val="00FC11F5"/>
    <w:rsid w:val="00FC126D"/>
    <w:rsid w:val="00FC3387"/>
    <w:rsid w:val="00FC382F"/>
    <w:rsid w:val="00FC3B9C"/>
    <w:rsid w:val="00FC4236"/>
    <w:rsid w:val="00FC52F3"/>
    <w:rsid w:val="00FC615D"/>
    <w:rsid w:val="00FC7CCF"/>
    <w:rsid w:val="00FD01CC"/>
    <w:rsid w:val="00FD08AF"/>
    <w:rsid w:val="00FD1E7A"/>
    <w:rsid w:val="00FD2672"/>
    <w:rsid w:val="00FD28F4"/>
    <w:rsid w:val="00FD2CE2"/>
    <w:rsid w:val="00FD3F5C"/>
    <w:rsid w:val="00FD4A1E"/>
    <w:rsid w:val="00FD66A9"/>
    <w:rsid w:val="00FD6712"/>
    <w:rsid w:val="00FD6853"/>
    <w:rsid w:val="00FD6E54"/>
    <w:rsid w:val="00FD7897"/>
    <w:rsid w:val="00FE01B5"/>
    <w:rsid w:val="00FE0236"/>
    <w:rsid w:val="00FE03BB"/>
    <w:rsid w:val="00FE0770"/>
    <w:rsid w:val="00FE0BF0"/>
    <w:rsid w:val="00FE15A2"/>
    <w:rsid w:val="00FE19F8"/>
    <w:rsid w:val="00FE3B37"/>
    <w:rsid w:val="00FE3B98"/>
    <w:rsid w:val="00FE4B40"/>
    <w:rsid w:val="00FE5DC4"/>
    <w:rsid w:val="00FE685B"/>
    <w:rsid w:val="00FE6E94"/>
    <w:rsid w:val="00FE76CB"/>
    <w:rsid w:val="00FE7BD8"/>
    <w:rsid w:val="00FE7EA6"/>
    <w:rsid w:val="00FF12EF"/>
    <w:rsid w:val="00FF1783"/>
    <w:rsid w:val="00FF1820"/>
    <w:rsid w:val="00FF1D76"/>
    <w:rsid w:val="00FF2962"/>
    <w:rsid w:val="00FF309E"/>
    <w:rsid w:val="00FF3EE6"/>
    <w:rsid w:val="00FF434C"/>
    <w:rsid w:val="00FF55F5"/>
    <w:rsid w:val="00FF5A4C"/>
    <w:rsid w:val="00FF621C"/>
    <w:rsid w:val="00FF6259"/>
    <w:rsid w:val="00FF682B"/>
    <w:rsid w:val="00FF6902"/>
    <w:rsid w:val="00FF766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atentStyles>
  <w:style w:type="paragraph" w:default="1" w:styleId="Normal">
    <w:name w:val="Normal"/>
    <w:qFormat/>
    <w:rPr>
      <w:rFonts w:ascii="Arial" w:hAnsi="Arial" w:cs="Arial"/>
      <w:sz w:val="22"/>
    </w:rPr>
  </w:style>
  <w:style w:type="paragraph" w:styleId="Heading1">
    <w:name w:val="heading 1"/>
    <w:basedOn w:val="Normal"/>
    <w:next w:val="Normal"/>
    <w:link w:val="Heading1Char"/>
    <w:qFormat/>
    <w:rsid w:val="00744889"/>
    <w:pPr>
      <w:keepNext/>
      <w:spacing w:before="240" w:after="60"/>
      <w:outlineLvl w:val="0"/>
    </w:pPr>
    <w:rPr>
      <w:rFonts w:eastAsia="SimSun"/>
      <w:b/>
      <w:bCs/>
      <w:caps/>
      <w:kern w:val="32"/>
      <w:szCs w:val="32"/>
    </w:rPr>
  </w:style>
  <w:style w:type="paragraph" w:styleId="Heading2">
    <w:name w:val="heading 2"/>
    <w:basedOn w:val="Normal"/>
    <w:next w:val="Normal"/>
    <w:link w:val="Heading2Char"/>
    <w:qFormat/>
    <w:rsid w:val="00744889"/>
    <w:pPr>
      <w:keepNext/>
      <w:spacing w:before="240" w:after="60"/>
      <w:outlineLvl w:val="1"/>
    </w:pPr>
    <w:rPr>
      <w:rFonts w:eastAsia="SimSun"/>
      <w:bCs/>
      <w:iCs/>
      <w:caps/>
      <w:szCs w:val="28"/>
    </w:rPr>
  </w:style>
  <w:style w:type="paragraph" w:styleId="Heading3">
    <w:name w:val="heading 3"/>
    <w:basedOn w:val="Normal"/>
    <w:next w:val="Normal"/>
    <w:link w:val="Heading3Char"/>
    <w:qFormat/>
    <w:rsid w:val="00744889"/>
    <w:pPr>
      <w:keepNext/>
      <w:spacing w:before="240" w:after="60"/>
      <w:outlineLvl w:val="2"/>
    </w:pPr>
    <w:rPr>
      <w:rFonts w:eastAsia="SimSun"/>
      <w:bCs/>
      <w:szCs w:val="26"/>
      <w:u w:val="single"/>
    </w:rPr>
  </w:style>
  <w:style w:type="paragraph" w:styleId="Heading4">
    <w:name w:val="heading 4"/>
    <w:basedOn w:val="Normal"/>
    <w:next w:val="Normal"/>
    <w:link w:val="Heading4Char"/>
    <w:qFormat/>
    <w:rsid w:val="00744889"/>
    <w:pPr>
      <w:keepNext/>
      <w:spacing w:before="240" w:after="60"/>
      <w:outlineLvl w:val="3"/>
    </w:pPr>
    <w:rPr>
      <w:rFonts w:eastAsia="SimSun"/>
      <w:bCs/>
      <w:i/>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144815"/>
    <w:rPr>
      <w:rFonts w:ascii="Arial" w:eastAsia="SimSun" w:hAnsi="Arial" w:cs="Arial"/>
      <w:b/>
      <w:bCs/>
      <w:caps/>
      <w:kern w:val="32"/>
      <w:sz w:val="22"/>
      <w:szCs w:val="32"/>
    </w:rPr>
  </w:style>
  <w:style w:type="character" w:customStyle="1" w:styleId="Heading2Char">
    <w:name w:val="Heading 2 Char"/>
    <w:link w:val="Heading2"/>
    <w:rsid w:val="00BE7DA0"/>
    <w:rPr>
      <w:rFonts w:ascii="Arial" w:eastAsia="SimSun" w:hAnsi="Arial" w:cs="Arial"/>
      <w:bCs/>
      <w:iCs/>
      <w:caps/>
      <w:sz w:val="22"/>
      <w:szCs w:val="28"/>
    </w:rPr>
  </w:style>
  <w:style w:type="character" w:customStyle="1" w:styleId="Heading3Char">
    <w:name w:val="Heading 3 Char"/>
    <w:basedOn w:val="DefaultParagraphFont"/>
    <w:link w:val="Heading3"/>
    <w:locked/>
    <w:rsid w:val="000E3B10"/>
    <w:rPr>
      <w:rFonts w:ascii="Arial" w:eastAsia="SimSun" w:hAnsi="Arial" w:cs="Arial"/>
      <w:bCs/>
      <w:sz w:val="22"/>
      <w:szCs w:val="26"/>
      <w:u w:val="single"/>
    </w:rPr>
  </w:style>
  <w:style w:type="character" w:customStyle="1" w:styleId="Heading4Char">
    <w:name w:val="Heading 4 Char"/>
    <w:basedOn w:val="DefaultParagraphFont"/>
    <w:link w:val="Heading4"/>
    <w:locked/>
    <w:rsid w:val="00B31868"/>
    <w:rPr>
      <w:rFonts w:ascii="Arial" w:eastAsia="SimSun" w:hAnsi="Arial" w:cs="Arial"/>
      <w:bCs/>
      <w:i/>
      <w:sz w:val="22"/>
      <w:szCs w:val="28"/>
    </w:rPr>
  </w:style>
  <w:style w:type="paragraph" w:styleId="TOC1">
    <w:name w:val="toc 1"/>
    <w:basedOn w:val="Heading1AR"/>
    <w:next w:val="Normal"/>
    <w:autoRedefine/>
    <w:uiPriority w:val="39"/>
    <w:qFormat/>
    <w:rsid w:val="00365D19"/>
    <w:pPr>
      <w:keepNext w:val="0"/>
      <w:tabs>
        <w:tab w:val="left" w:pos="566"/>
        <w:tab w:val="right" w:leader="dot" w:pos="9345"/>
      </w:tabs>
      <w:spacing w:before="0" w:after="0" w:line="240" w:lineRule="auto"/>
    </w:pPr>
    <w:rPr>
      <w:b/>
      <w:noProof/>
      <w:sz w:val="30"/>
      <w:szCs w:val="30"/>
    </w:rPr>
  </w:style>
  <w:style w:type="paragraph" w:customStyle="1" w:styleId="Heading1AR">
    <w:name w:val="Heading_1_AR"/>
    <w:basedOn w:val="NormalParaAR"/>
    <w:next w:val="NormalParaAR"/>
    <w:rsid w:val="00967AAF"/>
    <w:pPr>
      <w:keepNext/>
      <w:spacing w:before="240" w:after="60" w:line="400" w:lineRule="exact"/>
    </w:pPr>
    <w:rPr>
      <w:rFonts w:eastAsia="SimSun"/>
      <w:bCs/>
      <w:sz w:val="40"/>
      <w:szCs w:val="40"/>
    </w:rPr>
  </w:style>
  <w:style w:type="paragraph" w:customStyle="1" w:styleId="NormalParaAR">
    <w:name w:val="Normal_Para_AR"/>
    <w:rsid w:val="009622BF"/>
    <w:pPr>
      <w:bidi/>
      <w:spacing w:after="240" w:line="360" w:lineRule="exact"/>
    </w:pPr>
    <w:rPr>
      <w:rFonts w:ascii="Arabic Typesetting" w:hAnsi="Arabic Typesetting" w:cs="Arabic Typesetting"/>
      <w:sz w:val="36"/>
      <w:szCs w:val="36"/>
    </w:rPr>
  </w:style>
  <w:style w:type="paragraph" w:styleId="TOC2">
    <w:name w:val="toc 2"/>
    <w:basedOn w:val="Heading2AR"/>
    <w:next w:val="Normal"/>
    <w:autoRedefine/>
    <w:uiPriority w:val="39"/>
    <w:qFormat/>
    <w:rsid w:val="00365D19"/>
    <w:pPr>
      <w:pageBreakBefore w:val="0"/>
      <w:tabs>
        <w:tab w:val="left" w:pos="566"/>
        <w:tab w:val="right" w:leader="dot" w:pos="9345"/>
      </w:tabs>
      <w:spacing w:after="0" w:line="240" w:lineRule="auto"/>
      <w:ind w:left="221"/>
      <w:jc w:val="right"/>
    </w:pPr>
    <w:rPr>
      <w:noProof/>
      <w:sz w:val="30"/>
      <w:szCs w:val="30"/>
    </w:rPr>
  </w:style>
  <w:style w:type="paragraph" w:customStyle="1" w:styleId="Heading2AR">
    <w:name w:val="Heading_2_AR"/>
    <w:basedOn w:val="Heading1AR"/>
    <w:next w:val="NormalParaAR"/>
    <w:rsid w:val="00F3697D"/>
    <w:pPr>
      <w:pageBreakBefore/>
      <w:spacing w:before="0" w:after="240" w:line="360" w:lineRule="exact"/>
      <w:jc w:val="center"/>
    </w:pPr>
    <w:rPr>
      <w:b/>
      <w:sz w:val="36"/>
      <w:szCs w:val="36"/>
    </w:rPr>
  </w:style>
  <w:style w:type="paragraph" w:styleId="BalloonText">
    <w:name w:val="Balloon Text"/>
    <w:basedOn w:val="Normal"/>
    <w:link w:val="BalloonTextChar"/>
    <w:rsid w:val="004F43EA"/>
    <w:rPr>
      <w:rFonts w:ascii="Tahoma" w:hAnsi="Tahoma" w:cs="Tahoma"/>
      <w:sz w:val="16"/>
      <w:szCs w:val="16"/>
    </w:rPr>
  </w:style>
  <w:style w:type="character" w:customStyle="1" w:styleId="BalloonTextChar">
    <w:name w:val="Balloon Text Char"/>
    <w:basedOn w:val="DefaultParagraphFont"/>
    <w:link w:val="BalloonText"/>
    <w:rsid w:val="004F43EA"/>
    <w:rPr>
      <w:rFonts w:ascii="Tahoma" w:hAnsi="Tahoma" w:cs="Tahoma"/>
      <w:sz w:val="16"/>
      <w:szCs w:val="16"/>
    </w:rPr>
  </w:style>
  <w:style w:type="paragraph" w:styleId="TOC3">
    <w:name w:val="toc 3"/>
    <w:basedOn w:val="Heading3AR"/>
    <w:next w:val="Normal"/>
    <w:autoRedefine/>
    <w:uiPriority w:val="39"/>
    <w:qFormat/>
    <w:rsid w:val="00365D19"/>
    <w:pPr>
      <w:keepNext w:val="0"/>
      <w:pageBreakBefore w:val="0"/>
      <w:tabs>
        <w:tab w:val="left" w:pos="1700"/>
        <w:tab w:val="left" w:pos="2129"/>
        <w:tab w:val="right" w:leader="dot" w:pos="9345"/>
      </w:tabs>
      <w:ind w:left="442" w:firstLine="0"/>
    </w:pPr>
    <w:rPr>
      <w:b w:val="0"/>
      <w:bCs w:val="0"/>
      <w:noProof/>
      <w:sz w:val="30"/>
      <w:szCs w:val="30"/>
    </w:rPr>
  </w:style>
  <w:style w:type="paragraph" w:customStyle="1" w:styleId="Heading3AR">
    <w:name w:val="Heading_3_AR"/>
    <w:basedOn w:val="Heading2AR"/>
    <w:next w:val="NormalParaAR"/>
    <w:rsid w:val="00A44E49"/>
    <w:pPr>
      <w:spacing w:after="0" w:line="240" w:lineRule="auto"/>
      <w:ind w:left="-1" w:firstLine="1"/>
      <w:jc w:val="left"/>
    </w:pPr>
    <w:rPr>
      <w:lang w:val="fr-CH"/>
    </w:rPr>
  </w:style>
  <w:style w:type="paragraph" w:styleId="TOC4">
    <w:name w:val="toc 4"/>
    <w:basedOn w:val="Normal"/>
    <w:next w:val="Normal"/>
    <w:autoRedefine/>
    <w:uiPriority w:val="39"/>
    <w:unhideWhenUsed/>
    <w:rsid w:val="00F84614"/>
    <w:pPr>
      <w:tabs>
        <w:tab w:val="left" w:pos="2267"/>
        <w:tab w:val="left" w:pos="3962"/>
        <w:tab w:val="right" w:leader="dot" w:pos="9345"/>
      </w:tabs>
      <w:bidi/>
      <w:ind w:left="658"/>
    </w:pPr>
    <w:rPr>
      <w:rFonts w:ascii="Arabic Typesetting" w:eastAsiaTheme="minorEastAsia" w:hAnsi="Arabic Typesetting" w:cs="Arabic Typesetting"/>
      <w:i/>
      <w:iCs/>
      <w:szCs w:val="30"/>
    </w:rPr>
  </w:style>
  <w:style w:type="paragraph" w:styleId="TOC5">
    <w:name w:val="toc 5"/>
    <w:basedOn w:val="Normal"/>
    <w:next w:val="Normal"/>
    <w:autoRedefine/>
    <w:uiPriority w:val="39"/>
    <w:unhideWhenUsed/>
    <w:rsid w:val="001C19E3"/>
    <w:pPr>
      <w:spacing w:after="100" w:line="276" w:lineRule="auto"/>
      <w:ind w:left="880"/>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1C19E3"/>
    <w:pPr>
      <w:spacing w:after="100" w:line="276" w:lineRule="auto"/>
      <w:ind w:left="1100"/>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1C19E3"/>
    <w:pPr>
      <w:spacing w:after="100" w:line="276" w:lineRule="auto"/>
      <w:ind w:left="1320"/>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1C19E3"/>
    <w:pPr>
      <w:spacing w:after="100" w:line="276" w:lineRule="auto"/>
      <w:ind w:left="1540"/>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1C19E3"/>
    <w:pPr>
      <w:spacing w:after="100" w:line="276" w:lineRule="auto"/>
      <w:ind w:left="1760"/>
    </w:pPr>
    <w:rPr>
      <w:rFonts w:asciiTheme="minorHAnsi" w:eastAsiaTheme="minorEastAsia" w:hAnsiTheme="minorHAnsi" w:cstheme="minorBidi"/>
      <w:szCs w:val="22"/>
    </w:rPr>
  </w:style>
  <w:style w:type="paragraph" w:customStyle="1" w:styleId="DocumentCodeAR">
    <w:name w:val="Document_Code_AR"/>
    <w:basedOn w:val="Normal"/>
    <w:next w:val="DocumentLanguageAR"/>
    <w:rsid w:val="00FB7EC9"/>
    <w:pPr>
      <w:jc w:val="right"/>
    </w:pPr>
    <w:rPr>
      <w:rFonts w:ascii="Arial Black" w:hAnsi="Arial Black" w:cs="Arabic Typesetting"/>
      <w:b/>
      <w:bCs/>
      <w:sz w:val="16"/>
      <w:szCs w:val="16"/>
    </w:rPr>
  </w:style>
  <w:style w:type="paragraph" w:customStyle="1" w:styleId="DocumentLanguageAR">
    <w:name w:val="Document_Language_AR"/>
    <w:basedOn w:val="Normal"/>
    <w:next w:val="DocumentDateAR"/>
    <w:rsid w:val="00FB7EC9"/>
    <w:pPr>
      <w:spacing w:line="240" w:lineRule="exact"/>
      <w:jc w:val="right"/>
    </w:pPr>
    <w:rPr>
      <w:rFonts w:ascii="Arabic Typesetting" w:hAnsi="Arabic Typesetting" w:cs="Arabic Typesetting"/>
      <w:b/>
      <w:bCs/>
      <w:sz w:val="30"/>
      <w:szCs w:val="30"/>
    </w:rPr>
  </w:style>
  <w:style w:type="paragraph" w:customStyle="1" w:styleId="DocumentDateAR">
    <w:name w:val="Document_Date_AR"/>
    <w:basedOn w:val="Normal"/>
    <w:next w:val="NormalParaAR"/>
    <w:rsid w:val="00FB7EC9"/>
    <w:pPr>
      <w:jc w:val="right"/>
    </w:pPr>
    <w:rPr>
      <w:rFonts w:ascii="Arabic Typesetting" w:hAnsi="Arabic Typesetting" w:cs="Arabic Typesetting"/>
      <w:b/>
      <w:bCs/>
      <w:sz w:val="30"/>
      <w:szCs w:val="30"/>
    </w:rPr>
  </w:style>
  <w:style w:type="paragraph" w:customStyle="1" w:styleId="MeetingTitleAR">
    <w:name w:val="Meeting_Title_AR"/>
    <w:basedOn w:val="Normal"/>
    <w:next w:val="NormalParaAR"/>
    <w:rsid w:val="00EE7604"/>
    <w:pPr>
      <w:spacing w:line="360" w:lineRule="exact"/>
    </w:pPr>
    <w:rPr>
      <w:rFonts w:ascii="Arial Black" w:hAnsi="Arial Black" w:cs="PT Bold Heading"/>
      <w:sz w:val="34"/>
      <w:szCs w:val="34"/>
    </w:rPr>
  </w:style>
  <w:style w:type="paragraph" w:customStyle="1" w:styleId="MeetingSessionAR">
    <w:name w:val="Meeting_Session_AR"/>
    <w:basedOn w:val="Normal"/>
    <w:next w:val="NormalParaAR"/>
    <w:rsid w:val="00EE7604"/>
    <w:pPr>
      <w:spacing w:line="360" w:lineRule="exact"/>
    </w:pPr>
    <w:rPr>
      <w:rFonts w:ascii="Arial Black" w:hAnsi="Arial Black" w:cs="PT Bold Heading"/>
      <w:sz w:val="30"/>
      <w:szCs w:val="30"/>
    </w:rPr>
  </w:style>
  <w:style w:type="paragraph" w:customStyle="1" w:styleId="MeetingDatesAR">
    <w:name w:val="Meeting_Dates_AR"/>
    <w:basedOn w:val="Normal"/>
    <w:next w:val="NormalParaAR"/>
    <w:rsid w:val="00FB7EC9"/>
    <w:pPr>
      <w:spacing w:line="360" w:lineRule="exact"/>
    </w:pPr>
    <w:rPr>
      <w:rFonts w:ascii="Arabic Typesetting" w:hAnsi="Arabic Typesetting" w:cs="Arabic Typesetting"/>
      <w:b/>
      <w:bCs/>
      <w:sz w:val="36"/>
      <w:szCs w:val="36"/>
    </w:rPr>
  </w:style>
  <w:style w:type="paragraph" w:customStyle="1" w:styleId="DocumentTitleAR">
    <w:name w:val="Document_Title_AR"/>
    <w:basedOn w:val="Normal"/>
    <w:next w:val="PreparedbyAR"/>
    <w:rsid w:val="00EE7604"/>
    <w:pPr>
      <w:spacing w:line="360" w:lineRule="exact"/>
    </w:pPr>
    <w:rPr>
      <w:rFonts w:ascii="Arial Black" w:hAnsi="Arial Black" w:cs="PT Bold Heading"/>
      <w:sz w:val="26"/>
      <w:szCs w:val="26"/>
    </w:rPr>
  </w:style>
  <w:style w:type="paragraph" w:customStyle="1" w:styleId="PreparedbyAR">
    <w:name w:val="Prepared_by_AR"/>
    <w:basedOn w:val="Normal"/>
    <w:next w:val="NormalParaAR"/>
    <w:rsid w:val="00931859"/>
    <w:pPr>
      <w:spacing w:before="240" w:after="840" w:line="360" w:lineRule="exact"/>
    </w:pPr>
    <w:rPr>
      <w:rFonts w:ascii="Arabic Typesetting" w:hAnsi="Arabic Typesetting" w:cs="Arabic Typesetting"/>
      <w:i/>
      <w:iCs/>
      <w:sz w:val="36"/>
      <w:szCs w:val="36"/>
    </w:rPr>
  </w:style>
  <w:style w:type="paragraph" w:customStyle="1" w:styleId="DecisionParaAR">
    <w:name w:val="Decision_Para_AR"/>
    <w:basedOn w:val="NumberedParaAR"/>
    <w:rsid w:val="00BE7CD1"/>
    <w:pPr>
      <w:ind w:left="5534"/>
    </w:pPr>
    <w:rPr>
      <w:i/>
      <w:iCs/>
    </w:rPr>
  </w:style>
  <w:style w:type="paragraph" w:customStyle="1" w:styleId="EndofDocumentAR">
    <w:name w:val="End_of_Document_AR"/>
    <w:basedOn w:val="NormalParaAR"/>
    <w:next w:val="NormalParaAR"/>
    <w:rsid w:val="00075D39"/>
    <w:pPr>
      <w:ind w:left="5534"/>
    </w:pPr>
  </w:style>
  <w:style w:type="paragraph" w:customStyle="1" w:styleId="Heading4AR">
    <w:name w:val="Heading_4_AR"/>
    <w:basedOn w:val="Heading3AR"/>
    <w:next w:val="NormalParaAR"/>
    <w:rsid w:val="0073076E"/>
    <w:rPr>
      <w:iCs/>
    </w:rPr>
  </w:style>
  <w:style w:type="paragraph" w:styleId="Revision">
    <w:name w:val="Revision"/>
    <w:hidden/>
    <w:semiHidden/>
    <w:rsid w:val="00567D2C"/>
    <w:rPr>
      <w:rFonts w:ascii="Arial" w:hAnsi="Arial" w:cs="Arial"/>
      <w:sz w:val="22"/>
    </w:rPr>
  </w:style>
  <w:style w:type="character" w:styleId="FollowedHyperlink">
    <w:name w:val="FollowedHyperlink"/>
    <w:basedOn w:val="DefaultParagraphFont"/>
    <w:rsid w:val="003F76B5"/>
    <w:rPr>
      <w:color w:val="800080" w:themeColor="followedHyperlink"/>
      <w:u w:val="single"/>
    </w:rPr>
  </w:style>
  <w:style w:type="paragraph" w:styleId="Header">
    <w:name w:val="header"/>
    <w:basedOn w:val="Normal"/>
    <w:link w:val="HeaderChar"/>
    <w:rsid w:val="00455893"/>
    <w:pPr>
      <w:tabs>
        <w:tab w:val="center" w:pos="4680"/>
        <w:tab w:val="right" w:pos="9360"/>
      </w:tabs>
    </w:pPr>
  </w:style>
  <w:style w:type="character" w:customStyle="1" w:styleId="HeaderChar">
    <w:name w:val="Header Char"/>
    <w:basedOn w:val="DefaultParagraphFont"/>
    <w:link w:val="Header"/>
    <w:rsid w:val="00455893"/>
    <w:rPr>
      <w:rFonts w:ascii="Arial" w:hAnsi="Arial" w:cs="Arial"/>
      <w:sz w:val="22"/>
    </w:rPr>
  </w:style>
  <w:style w:type="paragraph" w:customStyle="1" w:styleId="NumberedParaAR">
    <w:name w:val="Numbered_Para_AR"/>
    <w:basedOn w:val="NormalParaAR"/>
    <w:rsid w:val="00BE7CD1"/>
    <w:pPr>
      <w:numPr>
        <w:numId w:val="47"/>
      </w:numPr>
      <w:tabs>
        <w:tab w:val="left" w:pos="567"/>
      </w:tabs>
      <w:ind w:left="0" w:firstLine="0"/>
    </w:pPr>
  </w:style>
  <w:style w:type="character" w:styleId="EndnoteReference">
    <w:name w:val="endnote reference"/>
    <w:rsid w:val="007A4D9E"/>
    <w:rPr>
      <w:vertAlign w:val="superscript"/>
    </w:rPr>
  </w:style>
  <w:style w:type="paragraph" w:styleId="FootnoteText">
    <w:name w:val="footnote text"/>
    <w:basedOn w:val="Normal"/>
    <w:link w:val="FootnoteTextChar"/>
    <w:rsid w:val="00A30FDA"/>
    <w:rPr>
      <w:sz w:val="20"/>
    </w:rPr>
  </w:style>
  <w:style w:type="character" w:customStyle="1" w:styleId="FootnoteTextChar">
    <w:name w:val="Footnote Text Char"/>
    <w:basedOn w:val="DefaultParagraphFont"/>
    <w:link w:val="FootnoteText"/>
    <w:rsid w:val="00A30FDA"/>
    <w:rPr>
      <w:rFonts w:ascii="Arial" w:hAnsi="Arial" w:cs="Arial"/>
    </w:rPr>
  </w:style>
  <w:style w:type="character" w:styleId="Hyperlink">
    <w:name w:val="Hyperlink"/>
    <w:aliases w:val="Body Text Char2,Body Text Char1 Char"/>
    <w:basedOn w:val="DefaultParagraphFont"/>
    <w:link w:val="BodyText"/>
    <w:uiPriority w:val="99"/>
    <w:rsid w:val="00A30FDA"/>
    <w:rPr>
      <w:color w:val="0000FF" w:themeColor="hyperlink"/>
      <w:u w:val="single"/>
    </w:rPr>
  </w:style>
  <w:style w:type="character" w:styleId="CommentReference">
    <w:name w:val="annotation reference"/>
    <w:basedOn w:val="DefaultParagraphFont"/>
    <w:rsid w:val="00E62C61"/>
    <w:rPr>
      <w:sz w:val="16"/>
      <w:szCs w:val="16"/>
    </w:rPr>
  </w:style>
  <w:style w:type="paragraph" w:styleId="CommentText">
    <w:name w:val="annotation text"/>
    <w:basedOn w:val="Normal"/>
    <w:link w:val="CommentTextChar"/>
    <w:rsid w:val="00E62C61"/>
    <w:rPr>
      <w:sz w:val="20"/>
    </w:rPr>
  </w:style>
  <w:style w:type="character" w:customStyle="1" w:styleId="CommentTextChar">
    <w:name w:val="Comment Text Char"/>
    <w:basedOn w:val="DefaultParagraphFont"/>
    <w:link w:val="CommentText"/>
    <w:rsid w:val="00E62C61"/>
    <w:rPr>
      <w:rFonts w:ascii="Arial" w:hAnsi="Arial" w:cs="Arial"/>
    </w:rPr>
  </w:style>
  <w:style w:type="paragraph" w:styleId="CommentSubject">
    <w:name w:val="annotation subject"/>
    <w:basedOn w:val="CommentText"/>
    <w:next w:val="CommentText"/>
    <w:link w:val="CommentSubjectChar"/>
    <w:rsid w:val="00E62C61"/>
    <w:rPr>
      <w:b/>
      <w:bCs/>
    </w:rPr>
  </w:style>
  <w:style w:type="character" w:customStyle="1" w:styleId="CommentSubjectChar">
    <w:name w:val="Comment Subject Char"/>
    <w:basedOn w:val="CommentTextChar"/>
    <w:link w:val="CommentSubject"/>
    <w:rsid w:val="00E62C61"/>
    <w:rPr>
      <w:rFonts w:ascii="Arial" w:hAnsi="Arial" w:cs="Arial"/>
      <w:b/>
      <w:bCs/>
    </w:rPr>
  </w:style>
  <w:style w:type="paragraph" w:styleId="Footer">
    <w:name w:val="footer"/>
    <w:basedOn w:val="Normal"/>
    <w:link w:val="FooterChar"/>
    <w:rsid w:val="008A1F66"/>
    <w:pPr>
      <w:tabs>
        <w:tab w:val="center" w:pos="4680"/>
        <w:tab w:val="right" w:pos="9360"/>
      </w:tabs>
    </w:pPr>
  </w:style>
  <w:style w:type="character" w:customStyle="1" w:styleId="FooterChar">
    <w:name w:val="Footer Char"/>
    <w:basedOn w:val="DefaultParagraphFont"/>
    <w:link w:val="Footer"/>
    <w:rsid w:val="008A1F66"/>
    <w:rPr>
      <w:rFonts w:ascii="Arial" w:hAnsi="Arial" w:cs="Arial"/>
      <w:sz w:val="22"/>
    </w:rPr>
  </w:style>
  <w:style w:type="paragraph" w:styleId="ListParagraph">
    <w:name w:val="List Paragraph"/>
    <w:basedOn w:val="Normal"/>
    <w:qFormat/>
    <w:rsid w:val="00FE0236"/>
    <w:pPr>
      <w:ind w:left="720"/>
      <w:contextualSpacing/>
    </w:pPr>
  </w:style>
  <w:style w:type="paragraph" w:styleId="BodyText2">
    <w:name w:val="Body Text 2"/>
    <w:basedOn w:val="Normal"/>
    <w:link w:val="BodyText2Char"/>
    <w:rsid w:val="00A6681C"/>
    <w:pPr>
      <w:spacing w:after="120" w:line="480" w:lineRule="auto"/>
    </w:pPr>
    <w:rPr>
      <w:rFonts w:cs="Times New Roman"/>
      <w:sz w:val="20"/>
      <w:szCs w:val="24"/>
    </w:rPr>
  </w:style>
  <w:style w:type="character" w:customStyle="1" w:styleId="BodyText2Char">
    <w:name w:val="Body Text 2 Char"/>
    <w:basedOn w:val="DefaultParagraphFont"/>
    <w:link w:val="BodyText2"/>
    <w:rsid w:val="00A6681C"/>
    <w:rPr>
      <w:rFonts w:ascii="Arial" w:hAnsi="Arial"/>
      <w:szCs w:val="24"/>
    </w:rPr>
  </w:style>
  <w:style w:type="character" w:styleId="FootnoteReference">
    <w:name w:val="footnote reference"/>
    <w:aliases w:val="Footnote"/>
    <w:basedOn w:val="DefaultParagraphFont"/>
    <w:rsid w:val="00925848"/>
    <w:rPr>
      <w:vertAlign w:val="superscript"/>
    </w:rPr>
  </w:style>
  <w:style w:type="paragraph" w:styleId="Salutation">
    <w:name w:val="Salutation"/>
    <w:basedOn w:val="Normal"/>
    <w:next w:val="Normal"/>
    <w:link w:val="SalutationChar"/>
    <w:rsid w:val="006D69DC"/>
  </w:style>
  <w:style w:type="character" w:customStyle="1" w:styleId="SalutationChar">
    <w:name w:val="Salutation Char"/>
    <w:basedOn w:val="DefaultParagraphFont"/>
    <w:link w:val="Salutation"/>
    <w:rsid w:val="006D69DC"/>
    <w:rPr>
      <w:rFonts w:ascii="Arial" w:hAnsi="Arial" w:cs="Arial"/>
      <w:sz w:val="22"/>
    </w:rPr>
  </w:style>
  <w:style w:type="paragraph" w:styleId="Signature">
    <w:name w:val="Signature"/>
    <w:basedOn w:val="Normal"/>
    <w:link w:val="SignatureChar"/>
    <w:rsid w:val="006D69DC"/>
    <w:pPr>
      <w:ind w:left="5250"/>
    </w:pPr>
  </w:style>
  <w:style w:type="character" w:customStyle="1" w:styleId="SignatureChar">
    <w:name w:val="Signature Char"/>
    <w:basedOn w:val="DefaultParagraphFont"/>
    <w:link w:val="Signature"/>
    <w:rsid w:val="006D69DC"/>
    <w:rPr>
      <w:rFonts w:ascii="Arial" w:hAnsi="Arial" w:cs="Arial"/>
      <w:sz w:val="22"/>
    </w:rPr>
  </w:style>
  <w:style w:type="paragraph" w:styleId="EndnoteText">
    <w:name w:val="endnote text"/>
    <w:basedOn w:val="Normal"/>
    <w:link w:val="EndnoteTextChar"/>
    <w:rsid w:val="006D69DC"/>
    <w:rPr>
      <w:sz w:val="18"/>
    </w:rPr>
  </w:style>
  <w:style w:type="character" w:customStyle="1" w:styleId="EndnoteTextChar">
    <w:name w:val="Endnote Text Char"/>
    <w:basedOn w:val="DefaultParagraphFont"/>
    <w:link w:val="EndnoteText"/>
    <w:rsid w:val="006D69DC"/>
    <w:rPr>
      <w:rFonts w:ascii="Arial" w:hAnsi="Arial" w:cs="Arial"/>
      <w:sz w:val="18"/>
    </w:rPr>
  </w:style>
  <w:style w:type="paragraph" w:styleId="Caption">
    <w:name w:val="caption"/>
    <w:basedOn w:val="Normal"/>
    <w:next w:val="Normal"/>
    <w:qFormat/>
    <w:rsid w:val="006D69DC"/>
    <w:rPr>
      <w:b/>
      <w:bCs/>
      <w:sz w:val="18"/>
    </w:rPr>
  </w:style>
  <w:style w:type="paragraph" w:styleId="ListNumber">
    <w:name w:val="List Number"/>
    <w:basedOn w:val="Normal"/>
    <w:rsid w:val="006D69DC"/>
    <w:pPr>
      <w:numPr>
        <w:numId w:val="57"/>
      </w:numPr>
    </w:pPr>
  </w:style>
  <w:style w:type="table" w:styleId="TableGrid">
    <w:name w:val="Table Grid"/>
    <w:basedOn w:val="TableNormal"/>
    <w:rsid w:val="006D69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semiHidden/>
    <w:rsid w:val="006D69DC"/>
  </w:style>
  <w:style w:type="paragraph" w:customStyle="1" w:styleId="NormalAR">
    <w:name w:val="Normal AR"/>
    <w:basedOn w:val="Normal"/>
    <w:rsid w:val="006D69DC"/>
    <w:pPr>
      <w:bidi/>
      <w:spacing w:after="120" w:line="340" w:lineRule="exact"/>
      <w:ind w:left="1021"/>
    </w:pPr>
    <w:rPr>
      <w:rFonts w:ascii="Arabic Typesetting" w:hAnsi="Arabic Typesetting" w:cs="Arabic Typesetting"/>
      <w:sz w:val="34"/>
      <w:szCs w:val="34"/>
      <w:lang w:bidi="ar-EG"/>
    </w:rPr>
  </w:style>
  <w:style w:type="character" w:styleId="PageNumber">
    <w:name w:val="page number"/>
    <w:rsid w:val="006D69DC"/>
    <w:rPr>
      <w:rFonts w:ascii="Arial" w:hAnsi="Arial" w:cs="Arial"/>
      <w:sz w:val="20"/>
      <w:szCs w:val="20"/>
    </w:rPr>
  </w:style>
  <w:style w:type="character" w:customStyle="1" w:styleId="FootnoteRefAR">
    <w:name w:val="Footnote Ref AR"/>
    <w:rsid w:val="006D69DC"/>
    <w:rPr>
      <w:rFonts w:ascii="Arabic Typesetting" w:hAnsi="Arabic Typesetting" w:cs="Arabic Typesetting"/>
      <w:sz w:val="34"/>
      <w:szCs w:val="34"/>
      <w:vertAlign w:val="superscript"/>
    </w:rPr>
  </w:style>
  <w:style w:type="paragraph" w:customStyle="1" w:styleId="FootnoteTextAR">
    <w:name w:val="Footnote Text AR"/>
    <w:basedOn w:val="NormalAR"/>
    <w:rsid w:val="006D69DC"/>
    <w:pPr>
      <w:spacing w:after="60" w:line="280" w:lineRule="exact"/>
    </w:pPr>
    <w:rPr>
      <w:sz w:val="28"/>
      <w:szCs w:val="28"/>
    </w:rPr>
  </w:style>
  <w:style w:type="paragraph" w:customStyle="1" w:styleId="DecisionParagraphAR">
    <w:name w:val="Decision Paragraph AR"/>
    <w:basedOn w:val="NormalAR"/>
    <w:rsid w:val="006D69DC"/>
    <w:pPr>
      <w:ind w:left="5534"/>
    </w:pPr>
    <w:rPr>
      <w:i/>
      <w:iCs/>
    </w:rPr>
  </w:style>
  <w:style w:type="paragraph" w:customStyle="1" w:styleId="EndofDocument">
    <w:name w:val="End of Document"/>
    <w:basedOn w:val="DecisionParagraphAR"/>
    <w:rsid w:val="006D69DC"/>
    <w:rPr>
      <w:i w:val="0"/>
      <w:iCs w:val="0"/>
      <w:lang w:bidi="ar-SA"/>
    </w:rPr>
  </w:style>
  <w:style w:type="paragraph" w:customStyle="1" w:styleId="MeetingTitleAR0">
    <w:name w:val="Meeting Title AR"/>
    <w:basedOn w:val="NormalAR"/>
    <w:next w:val="SessionTitleAR"/>
    <w:rsid w:val="006D69DC"/>
    <w:pPr>
      <w:spacing w:after="360" w:line="360" w:lineRule="exact"/>
    </w:pPr>
    <w:rPr>
      <w:rFonts w:ascii="Arial Black" w:hAnsi="Arial Black" w:cs="PT Bold Heading"/>
      <w:sz w:val="28"/>
      <w:szCs w:val="28"/>
      <w:lang w:bidi="ar-SA"/>
    </w:rPr>
  </w:style>
  <w:style w:type="paragraph" w:customStyle="1" w:styleId="SessionTitleAR">
    <w:name w:val="Session Title AR"/>
    <w:basedOn w:val="NormalAR"/>
    <w:next w:val="MeetingDatePlace"/>
    <w:rsid w:val="006D69DC"/>
    <w:pPr>
      <w:spacing w:after="0"/>
    </w:pPr>
    <w:rPr>
      <w:rFonts w:ascii="Arial Black" w:hAnsi="Arial Black" w:cs="PT Bold Heading"/>
      <w:sz w:val="28"/>
      <w:szCs w:val="28"/>
      <w:lang w:bidi="ar-SA"/>
    </w:rPr>
  </w:style>
  <w:style w:type="paragraph" w:customStyle="1" w:styleId="MeetingDatePlace">
    <w:name w:val="Meeting Date &amp; Place"/>
    <w:basedOn w:val="NormalAR"/>
    <w:next w:val="DocumentTitleAR0"/>
    <w:rsid w:val="006D69DC"/>
    <w:pPr>
      <w:spacing w:after="0"/>
    </w:pPr>
    <w:rPr>
      <w:b/>
      <w:bCs/>
      <w:lang w:bidi="ar-SA"/>
    </w:rPr>
  </w:style>
  <w:style w:type="paragraph" w:customStyle="1" w:styleId="DocumentTitleAR0">
    <w:name w:val="Document Title AR"/>
    <w:basedOn w:val="NormalAR"/>
    <w:next w:val="preparedbyAR0"/>
    <w:rsid w:val="006D69DC"/>
    <w:pPr>
      <w:spacing w:before="1200" w:after="0"/>
    </w:pPr>
    <w:rPr>
      <w:rFonts w:ascii="Arial Black" w:hAnsi="Arial Black" w:cs="PT Bold Heading"/>
      <w:sz w:val="24"/>
      <w:szCs w:val="24"/>
      <w:lang w:bidi="ar-SA"/>
    </w:rPr>
  </w:style>
  <w:style w:type="paragraph" w:customStyle="1" w:styleId="preparedbyAR0">
    <w:name w:val="prepared by AR"/>
    <w:basedOn w:val="NormalAR"/>
    <w:next w:val="NormalAR"/>
    <w:rsid w:val="006D69DC"/>
    <w:pPr>
      <w:spacing w:after="480"/>
    </w:pPr>
    <w:rPr>
      <w:i/>
      <w:iCs/>
      <w:lang w:bidi="ar-SA"/>
    </w:rPr>
  </w:style>
  <w:style w:type="paragraph" w:customStyle="1" w:styleId="DocumentCodeAR0">
    <w:name w:val="Document Code AR"/>
    <w:basedOn w:val="NormalAR"/>
    <w:next w:val="DocumentLanguageAR0"/>
    <w:rsid w:val="006D69DC"/>
    <w:pPr>
      <w:spacing w:before="300" w:after="0" w:line="160" w:lineRule="exact"/>
      <w:jc w:val="right"/>
    </w:pPr>
    <w:rPr>
      <w:rFonts w:ascii="Arial Black" w:hAnsi="Arial Black" w:cs="Arial"/>
      <w:bCs/>
      <w:sz w:val="15"/>
      <w:szCs w:val="15"/>
      <w:lang w:bidi="ar-SA"/>
    </w:rPr>
  </w:style>
  <w:style w:type="paragraph" w:customStyle="1" w:styleId="DocumentLanguageAR0">
    <w:name w:val="Document Language AR"/>
    <w:basedOn w:val="NormalAR"/>
    <w:next w:val="DocumentDateAR0"/>
    <w:rsid w:val="006D69DC"/>
    <w:pPr>
      <w:spacing w:after="0" w:line="220" w:lineRule="exact"/>
      <w:jc w:val="right"/>
    </w:pPr>
    <w:rPr>
      <w:b/>
      <w:bCs/>
      <w:sz w:val="28"/>
      <w:szCs w:val="28"/>
      <w:lang w:bidi="ar-SA"/>
    </w:rPr>
  </w:style>
  <w:style w:type="paragraph" w:customStyle="1" w:styleId="DocumentDateAR0">
    <w:name w:val="Document Date AR"/>
    <w:basedOn w:val="DocumentLanguageAR0"/>
    <w:next w:val="MeetingTitleAR0"/>
    <w:rsid w:val="006D69DC"/>
    <w:pPr>
      <w:spacing w:after="1680"/>
    </w:pPr>
  </w:style>
  <w:style w:type="paragraph" w:customStyle="1" w:styleId="AutomaticparagraphNoAR">
    <w:name w:val="Automatic paragraph No AR"/>
    <w:basedOn w:val="NormalAR"/>
    <w:rsid w:val="006D69DC"/>
    <w:pPr>
      <w:ind w:left="1701" w:hanging="680"/>
    </w:pPr>
    <w:rPr>
      <w:lang w:bidi="ar-SA"/>
    </w:rPr>
  </w:style>
  <w:style w:type="paragraph" w:customStyle="1" w:styleId="language">
    <w:name w:val="language"/>
    <w:basedOn w:val="Normal"/>
    <w:next w:val="Normal"/>
    <w:autoRedefine/>
    <w:rsid w:val="006D69DC"/>
    <w:pPr>
      <w:framePr w:w="266" w:h="363" w:hRule="exact" w:hSpace="181" w:wrap="notBeside" w:vAnchor="page" w:hAnchor="page" w:x="10774" w:y="568" w:anchorLock="1"/>
      <w:spacing w:after="120" w:line="340" w:lineRule="atLeast"/>
      <w:ind w:right="42"/>
    </w:pPr>
    <w:rPr>
      <w:rFonts w:cs="Times New Roman"/>
      <w:b/>
      <w:caps/>
      <w:sz w:val="40"/>
      <w:lang w:val="pt-BR"/>
    </w:rPr>
  </w:style>
  <w:style w:type="table" w:customStyle="1" w:styleId="TableGrid1">
    <w:name w:val="Table Grid1"/>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rsid w:val="006D69DC"/>
    <w:pPr>
      <w:spacing w:before="100" w:beforeAutospacing="1" w:after="100" w:afterAutospacing="1"/>
    </w:pPr>
    <w:rPr>
      <w:rFonts w:ascii="Times New Roman" w:hAnsi="Times New Roman" w:cs="Times New Roman"/>
      <w:sz w:val="24"/>
      <w:szCs w:val="24"/>
    </w:rPr>
  </w:style>
  <w:style w:type="character" w:styleId="Emphasis">
    <w:name w:val="Emphasis"/>
    <w:qFormat/>
    <w:rsid w:val="006D69DC"/>
    <w:rPr>
      <w:b/>
      <w:bCs/>
      <w:i w:val="0"/>
      <w:iCs w:val="0"/>
    </w:rPr>
  </w:style>
  <w:style w:type="character" w:customStyle="1" w:styleId="ft">
    <w:name w:val="ft"/>
    <w:basedOn w:val="DefaultParagraphFont"/>
    <w:rsid w:val="006D69DC"/>
  </w:style>
  <w:style w:type="paragraph" w:styleId="BodyText">
    <w:name w:val="Body Text"/>
    <w:aliases w:val="Body Text Char1"/>
    <w:basedOn w:val="Normal"/>
    <w:link w:val="Hyperlink"/>
    <w:rsid w:val="006D69DC"/>
    <w:rPr>
      <w:rFonts w:ascii="Times New Roman" w:hAnsi="Times New Roman" w:cs="Times New Roman"/>
      <w:color w:val="0000FF" w:themeColor="hyperlink"/>
      <w:sz w:val="20"/>
      <w:u w:val="single"/>
    </w:rPr>
  </w:style>
  <w:style w:type="character" w:customStyle="1" w:styleId="BodyTextChar">
    <w:name w:val="Body Text Char"/>
    <w:basedOn w:val="DefaultParagraphFont"/>
    <w:rsid w:val="006D69DC"/>
    <w:rPr>
      <w:rFonts w:ascii="Arial" w:hAnsi="Arial" w:cs="Arial"/>
      <w:sz w:val="22"/>
    </w:rPr>
  </w:style>
  <w:style w:type="paragraph" w:customStyle="1" w:styleId="Indicators">
    <w:name w:val="Indicators"/>
    <w:basedOn w:val="Normal"/>
    <w:link w:val="IndicatorsChar"/>
    <w:rsid w:val="006D69DC"/>
    <w:pPr>
      <w:spacing w:before="120"/>
      <w:ind w:left="284" w:right="170"/>
    </w:pPr>
    <w:rPr>
      <w:rFonts w:cs="Times New Roman"/>
      <w:snapToGrid w:val="0"/>
      <w:sz w:val="20"/>
    </w:rPr>
  </w:style>
  <w:style w:type="paragraph" w:customStyle="1" w:styleId="Default">
    <w:name w:val="Default"/>
    <w:rsid w:val="006D69DC"/>
    <w:pPr>
      <w:autoSpaceDE w:val="0"/>
      <w:autoSpaceDN w:val="0"/>
      <w:adjustRightInd w:val="0"/>
    </w:pPr>
    <w:rPr>
      <w:rFonts w:ascii="Arial" w:eastAsia="Batang" w:hAnsi="Arial" w:cs="Arial"/>
      <w:snapToGrid w:val="0"/>
      <w:color w:val="000000"/>
      <w:sz w:val="24"/>
      <w:szCs w:val="24"/>
    </w:rPr>
  </w:style>
  <w:style w:type="paragraph" w:customStyle="1" w:styleId="ONUMFS">
    <w:name w:val="ONUM FS"/>
    <w:basedOn w:val="BodyText"/>
    <w:rsid w:val="006D69DC"/>
    <w:pPr>
      <w:tabs>
        <w:tab w:val="num" w:pos="567"/>
      </w:tabs>
      <w:bidi/>
      <w:spacing w:after="220"/>
    </w:pPr>
    <w:rPr>
      <w:rFonts w:cs="Traditional Arabic"/>
      <w:szCs w:val="24"/>
      <w:lang w:bidi="ar-EG"/>
    </w:rPr>
  </w:style>
  <w:style w:type="paragraph" w:customStyle="1" w:styleId="ONUME">
    <w:name w:val="ONUM E"/>
    <w:basedOn w:val="BodyText"/>
    <w:rsid w:val="006D69DC"/>
    <w:pPr>
      <w:tabs>
        <w:tab w:val="num" w:pos="567"/>
      </w:tabs>
      <w:bidi/>
      <w:spacing w:after="220"/>
    </w:pPr>
    <w:rPr>
      <w:rFonts w:cs="Traditional Arabic"/>
      <w:szCs w:val="24"/>
      <w:lang w:bidi="ar-EG"/>
    </w:rPr>
  </w:style>
  <w:style w:type="paragraph" w:customStyle="1" w:styleId="CharCharCharChar">
    <w:name w:val="Char Char Char Char"/>
    <w:basedOn w:val="Normal"/>
    <w:rsid w:val="006D69DC"/>
    <w:pPr>
      <w:spacing w:after="160" w:line="240" w:lineRule="exact"/>
    </w:pPr>
    <w:rPr>
      <w:rFonts w:ascii="Verdana" w:hAnsi="Verdana" w:cs="Times New Roman"/>
      <w:sz w:val="20"/>
      <w:lang w:val="en-GB"/>
    </w:rPr>
  </w:style>
  <w:style w:type="paragraph" w:styleId="BlockText">
    <w:name w:val="Block Text"/>
    <w:basedOn w:val="Normal"/>
    <w:rsid w:val="006D69DC"/>
    <w:pPr>
      <w:spacing w:before="60" w:after="60"/>
      <w:ind w:left="266" w:right="142"/>
    </w:pPr>
    <w:rPr>
      <w:rFonts w:ascii="Times New Roman" w:hAnsi="Times New Roman" w:cs="Times New Roman"/>
    </w:rPr>
  </w:style>
  <w:style w:type="table" w:customStyle="1" w:styleId="TableGrid11">
    <w:name w:val="Table Grid11"/>
    <w:basedOn w:val="TableNormal"/>
    <w:next w:val="TableGrid"/>
    <w:uiPriority w:val="59"/>
    <w:rsid w:val="006D69DC"/>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semiHidden/>
    <w:rsid w:val="006D69DC"/>
  </w:style>
  <w:style w:type="table" w:customStyle="1" w:styleId="TableGrid2">
    <w:name w:val="Table Grid2"/>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6D69DC"/>
  </w:style>
  <w:style w:type="character" w:customStyle="1" w:styleId="Style5">
    <w:name w:val="Style5"/>
    <w:basedOn w:val="DefaultParagraphFont"/>
    <w:rsid w:val="006D69DC"/>
    <w:rPr>
      <w:rFonts w:asciiTheme="minorHAnsi" w:hAnsiTheme="minorHAnsi"/>
      <w:sz w:val="20"/>
    </w:rPr>
  </w:style>
  <w:style w:type="character" w:customStyle="1" w:styleId="apple-converted-space">
    <w:name w:val="apple-converted-space"/>
    <w:basedOn w:val="DefaultParagraphFont"/>
    <w:rsid w:val="006D69DC"/>
  </w:style>
  <w:style w:type="table" w:customStyle="1" w:styleId="TableGrid3">
    <w:name w:val="Table Grid3"/>
    <w:basedOn w:val="TableNormal"/>
    <w:next w:val="TableGrid"/>
    <w:uiPriority w:val="59"/>
    <w:rsid w:val="006D69DC"/>
    <w:rPr>
      <w:rFonts w:asciiTheme="minorHAnsi" w:eastAsiaTheme="minorHAnsi" w:hAnsiTheme="minorHAnsi" w:cstheme="minorBidi"/>
      <w:sz w:val="22"/>
      <w:szCs w:val="22"/>
      <w:lang w:val="fr-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6D69DC"/>
  </w:style>
  <w:style w:type="table" w:customStyle="1" w:styleId="TableGrid4">
    <w:name w:val="Table Grid4"/>
    <w:basedOn w:val="TableNormal"/>
    <w:next w:val="TableGrid"/>
    <w:uiPriority w:val="59"/>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rsid w:val="006D69DC"/>
    <w:pPr>
      <w:numPr>
        <w:numId w:val="59"/>
      </w:numPr>
    </w:pPr>
  </w:style>
  <w:style w:type="numbering" w:customStyle="1" w:styleId="NoList5">
    <w:name w:val="No List5"/>
    <w:next w:val="NoList"/>
    <w:semiHidden/>
    <w:rsid w:val="006D69DC"/>
  </w:style>
  <w:style w:type="table" w:customStyle="1" w:styleId="TableGrid5">
    <w:name w:val="Table Grid5"/>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Normal">
    <w:name w:val="AR_Normal"/>
    <w:basedOn w:val="Normal"/>
    <w:rsid w:val="006D69DC"/>
    <w:pPr>
      <w:bidi/>
      <w:spacing w:after="120" w:line="340" w:lineRule="exact"/>
      <w:jc w:val="both"/>
    </w:pPr>
    <w:rPr>
      <w:rFonts w:ascii="Arabic Typesetting" w:hAnsi="Arabic Typesetting" w:cs="Arabic Typesetting"/>
      <w:sz w:val="34"/>
      <w:szCs w:val="34"/>
      <w:lang w:bidi="ar-EG"/>
    </w:rPr>
  </w:style>
  <w:style w:type="paragraph" w:customStyle="1" w:styleId="ARSGTableText">
    <w:name w:val="AR_SG_Table_Text"/>
    <w:basedOn w:val="Normal"/>
    <w:rsid w:val="006D69DC"/>
    <w:pPr>
      <w:bidi/>
      <w:spacing w:before="60" w:after="60" w:line="280" w:lineRule="exact"/>
    </w:pPr>
    <w:rPr>
      <w:rFonts w:ascii="Arabic Typesetting" w:hAnsi="Arabic Typesetting" w:cs="Arabic Typesetting"/>
      <w:sz w:val="30"/>
      <w:szCs w:val="30"/>
      <w:lang w:bidi="ar-EG"/>
    </w:rPr>
  </w:style>
  <w:style w:type="paragraph" w:customStyle="1" w:styleId="ARProgramTableHeading">
    <w:name w:val="AR_Program_Table_Heading"/>
    <w:basedOn w:val="Normal"/>
    <w:rsid w:val="006D69DC"/>
    <w:pPr>
      <w:bidi/>
      <w:spacing w:before="60" w:after="60" w:line="280" w:lineRule="exact"/>
      <w:jc w:val="center"/>
    </w:pPr>
    <w:rPr>
      <w:rFonts w:ascii="Arabic Typesetting" w:hAnsi="Arabic Typesetting" w:cs="Arabic Typesetting"/>
      <w:b/>
      <w:bCs/>
      <w:sz w:val="30"/>
      <w:szCs w:val="30"/>
      <w:lang w:bidi="ar-EG"/>
    </w:rPr>
  </w:style>
  <w:style w:type="paragraph" w:customStyle="1" w:styleId="ARProgramTableText">
    <w:name w:val="AR_Program_Table_Text"/>
    <w:basedOn w:val="Normal"/>
    <w:rsid w:val="006D69DC"/>
    <w:pPr>
      <w:bidi/>
      <w:spacing w:before="60" w:after="60" w:line="280" w:lineRule="exact"/>
    </w:pPr>
    <w:rPr>
      <w:rFonts w:ascii="Arabic Typesetting" w:hAnsi="Arabic Typesetting" w:cs="Arabic Typesetting"/>
      <w:sz w:val="30"/>
      <w:szCs w:val="30"/>
      <w:lang w:bidi="ar-EG"/>
    </w:rPr>
  </w:style>
  <w:style w:type="numbering" w:customStyle="1" w:styleId="NoList6">
    <w:name w:val="No List6"/>
    <w:next w:val="NoList"/>
    <w:semiHidden/>
    <w:rsid w:val="006D69DC"/>
  </w:style>
  <w:style w:type="table" w:customStyle="1" w:styleId="TableGrid6">
    <w:name w:val="Table Grid6"/>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dicatorsChar">
    <w:name w:val="Indicators Char"/>
    <w:link w:val="Indicators"/>
    <w:locked/>
    <w:rsid w:val="006D69DC"/>
    <w:rPr>
      <w:rFonts w:ascii="Arial" w:hAnsi="Arial"/>
      <w:snapToGrid w:val="0"/>
    </w:rPr>
  </w:style>
  <w:style w:type="character" w:customStyle="1" w:styleId="CharChar11">
    <w:name w:val="Char Char11"/>
    <w:basedOn w:val="DefaultParagraphFont"/>
    <w:locked/>
    <w:rsid w:val="006D69DC"/>
    <w:rPr>
      <w:rFonts w:ascii="Arial" w:hAnsi="Arial"/>
      <w:lang w:val="en-US" w:eastAsia="en-US" w:bidi="ar-SA"/>
    </w:rPr>
  </w:style>
  <w:style w:type="paragraph" w:styleId="BodyTextIndent">
    <w:name w:val="Body Text Indent"/>
    <w:basedOn w:val="Normal"/>
    <w:link w:val="BodyTextIndentChar"/>
    <w:rsid w:val="006D69DC"/>
    <w:pPr>
      <w:ind w:left="567"/>
    </w:pPr>
    <w:rPr>
      <w:rFonts w:cs="Times New Roman"/>
      <w:sz w:val="20"/>
    </w:rPr>
  </w:style>
  <w:style w:type="character" w:customStyle="1" w:styleId="BodyTextIndentChar">
    <w:name w:val="Body Text Indent Char"/>
    <w:basedOn w:val="DefaultParagraphFont"/>
    <w:link w:val="BodyTextIndent"/>
    <w:rsid w:val="006D69DC"/>
    <w:rPr>
      <w:rFonts w:ascii="Arial" w:hAnsi="Arial"/>
    </w:rPr>
  </w:style>
  <w:style w:type="character" w:customStyle="1" w:styleId="CharChar">
    <w:name w:val="Char Char"/>
    <w:locked/>
    <w:rsid w:val="006D69DC"/>
    <w:rPr>
      <w:rFonts w:ascii="Arial" w:hAnsi="Arial"/>
      <w:lang w:val="en-US" w:eastAsia="en-US"/>
    </w:rPr>
  </w:style>
  <w:style w:type="paragraph" w:customStyle="1" w:styleId="CarCar">
    <w:name w:val="Car Car"/>
    <w:basedOn w:val="Normal"/>
    <w:rsid w:val="006D69DC"/>
    <w:pPr>
      <w:spacing w:after="160" w:line="240" w:lineRule="exact"/>
    </w:pPr>
    <w:rPr>
      <w:rFonts w:ascii="Verdana" w:hAnsi="Verdana" w:cs="Times New Roman"/>
      <w:sz w:val="20"/>
      <w:lang w:val="en-GB"/>
    </w:rPr>
  </w:style>
  <w:style w:type="character" w:customStyle="1" w:styleId="CommentTextChar1">
    <w:name w:val="Comment Text Char1"/>
    <w:basedOn w:val="DefaultParagraphFont"/>
    <w:rsid w:val="006D69DC"/>
    <w:rPr>
      <w:rFonts w:ascii="Arial" w:hAnsi="Arial" w:cs="Arial"/>
      <w:sz w:val="18"/>
    </w:rPr>
  </w:style>
  <w:style w:type="character" w:customStyle="1" w:styleId="CharChar2">
    <w:name w:val="Char Char2"/>
    <w:rsid w:val="006D69DC"/>
    <w:rPr>
      <w:rFonts w:ascii="Arial" w:hAnsi="Arial"/>
      <w:lang w:val="en-US" w:eastAsia="en-US"/>
    </w:rPr>
  </w:style>
  <w:style w:type="paragraph" w:customStyle="1" w:styleId="DecisionInvitingPara">
    <w:name w:val="Decision Inviting Para."/>
    <w:basedOn w:val="Normal"/>
    <w:rsid w:val="006D69DC"/>
    <w:pPr>
      <w:spacing w:after="120" w:line="260" w:lineRule="exact"/>
      <w:ind w:left="5534"/>
    </w:pPr>
    <w:rPr>
      <w:rFonts w:cs="Times New Roman"/>
      <w:i/>
      <w:sz w:val="20"/>
    </w:rPr>
  </w:style>
  <w:style w:type="paragraph" w:customStyle="1" w:styleId="preparedby">
    <w:name w:val="prepared by"/>
    <w:basedOn w:val="Normal"/>
    <w:next w:val="Normal"/>
    <w:rsid w:val="006D69DC"/>
    <w:pPr>
      <w:spacing w:after="480" w:line="260" w:lineRule="exact"/>
      <w:ind w:left="1021"/>
    </w:pPr>
    <w:rPr>
      <w:rFonts w:cs="Times New Roman"/>
      <w:i/>
      <w:sz w:val="20"/>
    </w:rPr>
  </w:style>
  <w:style w:type="paragraph" w:customStyle="1" w:styleId="Documenttitle">
    <w:name w:val="Document title"/>
    <w:basedOn w:val="Normal"/>
    <w:rsid w:val="006D69DC"/>
    <w:pPr>
      <w:spacing w:before="1200" w:after="120" w:line="260" w:lineRule="exact"/>
      <w:ind w:left="1021"/>
    </w:pPr>
    <w:rPr>
      <w:rFonts w:cs="Times New Roman"/>
      <w:b/>
      <w:caps/>
      <w:sz w:val="20"/>
    </w:rPr>
  </w:style>
  <w:style w:type="paragraph" w:customStyle="1" w:styleId="MeetinglanguageDate">
    <w:name w:val="Meeting language &amp; Date"/>
    <w:basedOn w:val="Normal"/>
    <w:next w:val="Meetingtitle"/>
    <w:rsid w:val="006D69DC"/>
    <w:pPr>
      <w:spacing w:after="1680" w:line="160" w:lineRule="exact"/>
      <w:ind w:left="1021"/>
      <w:contextualSpacing/>
      <w:jc w:val="right"/>
    </w:pPr>
    <w:rPr>
      <w:rFonts w:ascii="Arial Black" w:hAnsi="Arial Black" w:cs="Times New Roman"/>
      <w:b/>
      <w:caps/>
      <w:sz w:val="15"/>
      <w:lang w:val="fr-FR"/>
    </w:rPr>
  </w:style>
  <w:style w:type="paragraph" w:customStyle="1" w:styleId="Meetingtitle">
    <w:name w:val="Meeting title"/>
    <w:basedOn w:val="Normal"/>
    <w:next w:val="Sessiontitle"/>
    <w:rsid w:val="006D69DC"/>
    <w:pPr>
      <w:spacing w:after="360" w:line="336" w:lineRule="exact"/>
      <w:ind w:left="1021"/>
    </w:pPr>
    <w:rPr>
      <w:rFonts w:cs="Times New Roman"/>
      <w:b/>
      <w:sz w:val="28"/>
      <w:lang w:val="fr-FR"/>
    </w:rPr>
  </w:style>
  <w:style w:type="paragraph" w:customStyle="1" w:styleId="Sessiontitle">
    <w:name w:val="Session title"/>
    <w:basedOn w:val="Meetingtitle"/>
    <w:next w:val="Meetingdateplace0"/>
    <w:rsid w:val="006D69DC"/>
    <w:pPr>
      <w:spacing w:after="0"/>
    </w:pPr>
    <w:rPr>
      <w:sz w:val="24"/>
    </w:rPr>
  </w:style>
  <w:style w:type="paragraph" w:customStyle="1" w:styleId="Meetingdateplace0">
    <w:name w:val="Meeting date &amp; place"/>
    <w:basedOn w:val="Sessiontitle"/>
    <w:next w:val="Documenttitle"/>
    <w:rsid w:val="006D69DC"/>
    <w:rPr>
      <w:lang w:val="en-US"/>
    </w:rPr>
  </w:style>
  <w:style w:type="paragraph" w:customStyle="1" w:styleId="Language0">
    <w:name w:val="Language"/>
    <w:basedOn w:val="Normal"/>
    <w:next w:val="Normal"/>
    <w:autoRedefine/>
    <w:rsid w:val="006D69DC"/>
    <w:pPr>
      <w:spacing w:after="120" w:line="340" w:lineRule="atLeast"/>
      <w:ind w:left="1021"/>
      <w:jc w:val="right"/>
    </w:pPr>
    <w:rPr>
      <w:rFonts w:cs="Times New Roman"/>
      <w:b/>
      <w:caps/>
      <w:sz w:val="40"/>
      <w:lang w:val="pt-BR"/>
    </w:rPr>
  </w:style>
  <w:style w:type="paragraph" w:customStyle="1" w:styleId="MeetingCode">
    <w:name w:val="Meeting Code"/>
    <w:basedOn w:val="MeetinglanguageDate"/>
    <w:rsid w:val="006D69DC"/>
    <w:pPr>
      <w:spacing w:before="300" w:after="0"/>
    </w:pPr>
  </w:style>
  <w:style w:type="character" w:customStyle="1" w:styleId="CharChar3">
    <w:name w:val="Char Char3"/>
    <w:rsid w:val="006D69DC"/>
    <w:rPr>
      <w:rFonts w:ascii="Arial" w:hAnsi="Arial"/>
      <w:lang w:val="en-US" w:eastAsia="en-US"/>
    </w:rPr>
  </w:style>
  <w:style w:type="paragraph" w:customStyle="1" w:styleId="BoxText1">
    <w:name w:val="Box Text1"/>
    <w:basedOn w:val="Normal"/>
    <w:rsid w:val="006D69DC"/>
    <w:pPr>
      <w:ind w:left="284"/>
    </w:pPr>
    <w:rPr>
      <w:rFonts w:cs="Times New Roman"/>
    </w:rPr>
  </w:style>
  <w:style w:type="paragraph" w:customStyle="1" w:styleId="Normal1">
    <w:name w:val="Normal+1"/>
    <w:basedOn w:val="Normal"/>
    <w:next w:val="Normal"/>
    <w:rsid w:val="006D69DC"/>
    <w:pPr>
      <w:autoSpaceDE w:val="0"/>
      <w:autoSpaceDN w:val="0"/>
      <w:adjustRightInd w:val="0"/>
    </w:pPr>
    <w:rPr>
      <w:rFonts w:cs="Times New Roman"/>
      <w:sz w:val="20"/>
      <w:szCs w:val="24"/>
    </w:rPr>
  </w:style>
  <w:style w:type="character" w:customStyle="1" w:styleId="CharChar4">
    <w:name w:val="Char Char4"/>
    <w:rsid w:val="006D69DC"/>
    <w:rPr>
      <w:rFonts w:ascii="Arial" w:hAnsi="Arial"/>
      <w:lang w:val="en-US" w:eastAsia="en-US"/>
    </w:rPr>
  </w:style>
  <w:style w:type="paragraph" w:customStyle="1" w:styleId="Meetingplacedate">
    <w:name w:val="Meeting place &amp; date"/>
    <w:basedOn w:val="Sessiontitle"/>
    <w:next w:val="Documenttitle"/>
    <w:rsid w:val="006D69DC"/>
    <w:rPr>
      <w:lang w:val="en-US"/>
    </w:rPr>
  </w:style>
  <w:style w:type="character" w:customStyle="1" w:styleId="CharChar6">
    <w:name w:val="Char Char6"/>
    <w:rsid w:val="006D69DC"/>
    <w:rPr>
      <w:rFonts w:ascii="Arial" w:hAnsi="Arial"/>
      <w:lang w:val="en-US" w:eastAsia="en-US"/>
    </w:rPr>
  </w:style>
  <w:style w:type="character" w:customStyle="1" w:styleId="description">
    <w:name w:val="description"/>
    <w:basedOn w:val="DefaultParagraphFont"/>
    <w:rsid w:val="006D69DC"/>
    <w:rPr>
      <w:rFonts w:cs="Times New Roman"/>
    </w:rPr>
  </w:style>
  <w:style w:type="paragraph" w:customStyle="1" w:styleId="FreeFormA">
    <w:name w:val="Free Form A"/>
    <w:rsid w:val="006D69DC"/>
    <w:rPr>
      <w:rFonts w:ascii="Helvetica" w:eastAsia="ヒラギノ角ゴ Pro W3" w:hAnsi="Helvetica"/>
      <w:color w:val="000000"/>
      <w:sz w:val="24"/>
    </w:rPr>
  </w:style>
  <w:style w:type="paragraph" w:customStyle="1" w:styleId="Char">
    <w:name w:val="Char 字元 字元"/>
    <w:basedOn w:val="Normal"/>
    <w:rsid w:val="006D69DC"/>
    <w:pPr>
      <w:spacing w:after="160" w:line="240" w:lineRule="exact"/>
    </w:pPr>
    <w:rPr>
      <w:rFonts w:ascii="Verdana" w:eastAsia="PMingLiU" w:hAnsi="Verdana" w:cs="Times New Roman"/>
      <w:sz w:val="20"/>
    </w:rPr>
  </w:style>
  <w:style w:type="character" w:customStyle="1" w:styleId="underline">
    <w:name w:val="underline"/>
    <w:rsid w:val="006D69DC"/>
    <w:rPr>
      <w:u w:val="single"/>
    </w:rPr>
  </w:style>
  <w:style w:type="paragraph" w:customStyle="1" w:styleId="FreeForm">
    <w:name w:val="Free Form"/>
    <w:rsid w:val="006D69DC"/>
    <w:rPr>
      <w:rFonts w:eastAsia="ヒラギノ角ゴ Pro W3"/>
      <w:color w:val="000000"/>
    </w:rPr>
  </w:style>
  <w:style w:type="paragraph" w:customStyle="1" w:styleId="Heading2A">
    <w:name w:val="Heading 2 A"/>
    <w:next w:val="Normal"/>
    <w:rsid w:val="006D69DC"/>
    <w:pPr>
      <w:keepNext/>
      <w:tabs>
        <w:tab w:val="left" w:pos="567"/>
        <w:tab w:val="right" w:pos="9072"/>
      </w:tabs>
      <w:ind w:left="1701" w:hanging="1701"/>
      <w:outlineLvl w:val="1"/>
    </w:pPr>
    <w:rPr>
      <w:rFonts w:ascii="Arial Bold" w:eastAsia="ヒラギノ角ゴ Pro W3" w:hAnsi="Arial Bold"/>
      <w:color w:val="000000"/>
      <w:sz w:val="22"/>
    </w:rPr>
  </w:style>
  <w:style w:type="paragraph" w:customStyle="1" w:styleId="Normal-Header">
    <w:name w:val="Normal-Header"/>
    <w:rsid w:val="006D69DC"/>
    <w:rPr>
      <w:rFonts w:ascii="Arial" w:hAnsi="Arial"/>
      <w:sz w:val="16"/>
    </w:rPr>
  </w:style>
  <w:style w:type="paragraph" w:customStyle="1" w:styleId="StyleStyleHeading3ComplexItalicLatin12pt">
    <w:name w:val="Style Style Heading 3 + (Complex) Italic + (Latin) 12 pt"/>
    <w:basedOn w:val="Normal"/>
    <w:link w:val="StyleStyleHeading3ComplexItalicLatin12ptChar"/>
    <w:rsid w:val="006D69DC"/>
    <w:pPr>
      <w:keepNext/>
      <w:tabs>
        <w:tab w:val="left" w:pos="1985"/>
      </w:tabs>
      <w:outlineLvl w:val="2"/>
    </w:pPr>
    <w:rPr>
      <w:rFonts w:cs="Times New Roman"/>
      <w:b/>
      <w:iCs/>
      <w:caps/>
      <w:sz w:val="20"/>
      <w:szCs w:val="22"/>
    </w:rPr>
  </w:style>
  <w:style w:type="character" w:customStyle="1" w:styleId="StyleStyleHeading3ComplexItalicLatin12ptChar">
    <w:name w:val="Style Style Heading 3 + (Complex) Italic + (Latin) 12 pt Char"/>
    <w:basedOn w:val="DefaultParagraphFont"/>
    <w:link w:val="StyleStyleHeading3ComplexItalicLatin12pt"/>
    <w:locked/>
    <w:rsid w:val="006D69DC"/>
    <w:rPr>
      <w:rFonts w:ascii="Arial" w:hAnsi="Arial"/>
      <w:b/>
      <w:iCs/>
      <w:caps/>
      <w:szCs w:val="22"/>
    </w:rPr>
  </w:style>
  <w:style w:type="character" w:customStyle="1" w:styleId="st">
    <w:name w:val="st"/>
    <w:basedOn w:val="DefaultParagraphFont"/>
    <w:rsid w:val="006D69DC"/>
    <w:rPr>
      <w:rFonts w:cs="Times New Roman"/>
    </w:rPr>
  </w:style>
  <w:style w:type="paragraph" w:styleId="PlainText">
    <w:name w:val="Plain Text"/>
    <w:basedOn w:val="Normal"/>
    <w:link w:val="PlainTextChar"/>
    <w:unhideWhenUsed/>
    <w:rsid w:val="006D69DC"/>
    <w:rPr>
      <w:rFonts w:ascii="Courier New" w:hAnsi="Courier New"/>
      <w:szCs w:val="21"/>
    </w:rPr>
  </w:style>
  <w:style w:type="character" w:customStyle="1" w:styleId="PlainTextChar">
    <w:name w:val="Plain Text Char"/>
    <w:basedOn w:val="DefaultParagraphFont"/>
    <w:link w:val="PlainText"/>
    <w:rsid w:val="006D69DC"/>
    <w:rPr>
      <w:rFonts w:ascii="Courier New" w:hAnsi="Courier New" w:cs="Arial"/>
      <w:sz w:val="22"/>
      <w:szCs w:val="21"/>
    </w:rPr>
  </w:style>
  <w:style w:type="paragraph" w:styleId="NoSpacing">
    <w:name w:val="No Spacing"/>
    <w:qFormat/>
    <w:rsid w:val="006D69DC"/>
    <w:rPr>
      <w:rFonts w:ascii="Calibri" w:hAnsi="Calibri" w:cs="Arial"/>
      <w:sz w:val="22"/>
      <w:szCs w:val="22"/>
    </w:rPr>
  </w:style>
  <w:style w:type="paragraph" w:customStyle="1" w:styleId="CharCharCharChar2">
    <w:name w:val="Char Char Char Char2"/>
    <w:basedOn w:val="Normal"/>
    <w:rsid w:val="006D69DC"/>
    <w:pPr>
      <w:spacing w:after="160" w:line="240" w:lineRule="exact"/>
    </w:pPr>
    <w:rPr>
      <w:rFonts w:ascii="Verdana" w:hAnsi="Verdana" w:cs="Times New Roman"/>
      <w:sz w:val="20"/>
      <w:lang w:val="en-GB"/>
    </w:rPr>
  </w:style>
  <w:style w:type="paragraph" w:customStyle="1" w:styleId="StyleHeading214ptAuto">
    <w:name w:val="Style Heading 2 + 14 pt Auto"/>
    <w:basedOn w:val="Heading2"/>
    <w:rsid w:val="006D69DC"/>
    <w:pPr>
      <w:keepNext w:val="0"/>
      <w:widowControl w:val="0"/>
      <w:numPr>
        <w:numId w:val="58"/>
      </w:numPr>
      <w:tabs>
        <w:tab w:val="num" w:pos="567"/>
      </w:tabs>
      <w:spacing w:before="0" w:after="0" w:line="300" w:lineRule="atLeast"/>
      <w:ind w:left="567" w:hanging="567"/>
      <w:jc w:val="center"/>
    </w:pPr>
    <w:rPr>
      <w:rFonts w:ascii="Arial Bold" w:eastAsia="Times New Roman" w:hAnsi="Arial Bold"/>
      <w:b/>
      <w:sz w:val="24"/>
      <w:lang w:val="en-GB" w:eastAsia="da-DK"/>
    </w:rPr>
  </w:style>
  <w:style w:type="paragraph" w:customStyle="1" w:styleId="StyleHeading3ComplexItalic">
    <w:name w:val="Style Heading 3 + (Complex) Italic"/>
    <w:basedOn w:val="Heading3"/>
    <w:link w:val="StyleHeading3ComplexItalicChar"/>
    <w:rsid w:val="006D69DC"/>
    <w:pPr>
      <w:numPr>
        <w:numId w:val="60"/>
      </w:numPr>
      <w:tabs>
        <w:tab w:val="left" w:pos="1985"/>
      </w:tabs>
      <w:spacing w:before="0" w:after="0"/>
      <w:ind w:left="0" w:firstLine="0"/>
    </w:pPr>
    <w:rPr>
      <w:rFonts w:eastAsia="Times New Roman" w:cs="Times New Roman"/>
      <w:b/>
      <w:bCs w:val="0"/>
      <w:caps/>
      <w:szCs w:val="20"/>
      <w:u w:val="none"/>
      <w:lang w:val="x-none" w:eastAsia="x-none"/>
    </w:rPr>
  </w:style>
  <w:style w:type="character" w:customStyle="1" w:styleId="StyleHeading3ComplexItalicChar">
    <w:name w:val="Style Heading 3 + (Complex) Italic Char"/>
    <w:link w:val="StyleHeading3ComplexItalic"/>
    <w:locked/>
    <w:rsid w:val="006D69DC"/>
    <w:rPr>
      <w:rFonts w:ascii="Arial" w:hAnsi="Arial"/>
      <w:b/>
      <w:caps/>
      <w:sz w:val="22"/>
      <w:lang w:val="x-none" w:eastAsia="x-none"/>
    </w:rPr>
  </w:style>
  <w:style w:type="paragraph" w:customStyle="1" w:styleId="Test">
    <w:name w:val="Test"/>
    <w:basedOn w:val="Normal"/>
    <w:qFormat/>
    <w:rsid w:val="006D69DC"/>
    <w:pPr>
      <w:tabs>
        <w:tab w:val="num" w:pos="567"/>
      </w:tabs>
    </w:pPr>
    <w:rPr>
      <w:szCs w:val="22"/>
    </w:rPr>
  </w:style>
  <w:style w:type="paragraph" w:customStyle="1" w:styleId="CharCharCharChar1">
    <w:name w:val="Char Char Char Char1"/>
    <w:basedOn w:val="Normal"/>
    <w:rsid w:val="006D69DC"/>
    <w:pPr>
      <w:spacing w:after="160" w:line="240" w:lineRule="exact"/>
    </w:pPr>
    <w:rPr>
      <w:rFonts w:ascii="Verdana" w:hAnsi="Verdana" w:cs="Times New Roman"/>
      <w:sz w:val="20"/>
      <w:lang w:val="en-GB"/>
    </w:rPr>
  </w:style>
  <w:style w:type="character" w:customStyle="1" w:styleId="CharChar1">
    <w:name w:val="Char Char1"/>
    <w:locked/>
    <w:rsid w:val="006D69DC"/>
    <w:rPr>
      <w:rFonts w:ascii="Arial" w:hAnsi="Arial"/>
      <w:lang w:val="en-US" w:eastAsia="en-US"/>
    </w:rPr>
  </w:style>
  <w:style w:type="paragraph" w:customStyle="1" w:styleId="CarCar1">
    <w:name w:val="Car Car1"/>
    <w:basedOn w:val="Normal"/>
    <w:rsid w:val="006D69DC"/>
    <w:pPr>
      <w:spacing w:after="160" w:line="240" w:lineRule="exact"/>
    </w:pPr>
    <w:rPr>
      <w:rFonts w:ascii="Verdana" w:hAnsi="Verdana" w:cs="Times New Roman"/>
      <w:sz w:val="20"/>
      <w:lang w:val="en-GB"/>
    </w:rPr>
  </w:style>
  <w:style w:type="character" w:customStyle="1" w:styleId="CharChar21">
    <w:name w:val="Char Char21"/>
    <w:rsid w:val="006D69DC"/>
    <w:rPr>
      <w:rFonts w:ascii="Arial" w:hAnsi="Arial"/>
      <w:lang w:val="en-US" w:eastAsia="en-US"/>
    </w:rPr>
  </w:style>
  <w:style w:type="character" w:customStyle="1" w:styleId="CharChar31">
    <w:name w:val="Char Char31"/>
    <w:rsid w:val="006D69DC"/>
    <w:rPr>
      <w:rFonts w:ascii="Arial" w:hAnsi="Arial"/>
      <w:lang w:val="en-US" w:eastAsia="en-US"/>
    </w:rPr>
  </w:style>
  <w:style w:type="character" w:customStyle="1" w:styleId="CharChar41">
    <w:name w:val="Char Char41"/>
    <w:rsid w:val="006D69DC"/>
    <w:rPr>
      <w:rFonts w:ascii="Arial" w:hAnsi="Arial"/>
      <w:lang w:val="en-US" w:eastAsia="en-US"/>
    </w:rPr>
  </w:style>
  <w:style w:type="character" w:customStyle="1" w:styleId="CharChar61">
    <w:name w:val="Char Char61"/>
    <w:rsid w:val="006D69DC"/>
    <w:rPr>
      <w:rFonts w:ascii="Arial" w:hAnsi="Arial"/>
      <w:lang w:val="en-US" w:eastAsia="en-US"/>
    </w:rPr>
  </w:style>
  <w:style w:type="paragraph" w:customStyle="1" w:styleId="Char1">
    <w:name w:val="Char 字元 字元1"/>
    <w:basedOn w:val="Normal"/>
    <w:rsid w:val="006D69DC"/>
    <w:pPr>
      <w:spacing w:after="160" w:line="240" w:lineRule="exact"/>
    </w:pPr>
    <w:rPr>
      <w:rFonts w:ascii="Verdana" w:eastAsia="PMingLiU" w:hAnsi="Verdana" w:cs="Times New Roman"/>
      <w:sz w:val="20"/>
    </w:rPr>
  </w:style>
  <w:style w:type="paragraph" w:customStyle="1" w:styleId="Endofdocument0">
    <w:name w:val="End of document"/>
    <w:basedOn w:val="Normal"/>
    <w:rsid w:val="006D69DC"/>
    <w:pPr>
      <w:ind w:left="4536"/>
      <w:jc w:val="center"/>
    </w:pPr>
    <w:rPr>
      <w:rFonts w:ascii="Times New Roman" w:hAnsi="Times New Roman" w:cs="Times New Roman"/>
      <w:sz w:val="24"/>
    </w:rPr>
  </w:style>
  <w:style w:type="numbering" w:customStyle="1" w:styleId="NoList7">
    <w:name w:val="No List7"/>
    <w:next w:val="NoList"/>
    <w:semiHidden/>
    <w:rsid w:val="006D69DC"/>
  </w:style>
  <w:style w:type="table" w:customStyle="1" w:styleId="TableGrid7">
    <w:name w:val="Table Grid7"/>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nhideWhenUsed/>
    <w:qFormat/>
    <w:rsid w:val="006D69DC"/>
    <w:pPr>
      <w:keepLines/>
      <w:spacing w:before="480" w:after="0" w:line="276" w:lineRule="auto"/>
      <w:outlineLvl w:val="9"/>
    </w:pPr>
    <w:rPr>
      <w:rFonts w:asciiTheme="majorHAnsi" w:eastAsiaTheme="majorEastAsia" w:hAnsiTheme="majorHAnsi" w:cstheme="majorBidi"/>
      <w:caps w:val="0"/>
      <w:color w:val="365F91" w:themeColor="accent1" w:themeShade="BF"/>
      <w:kern w:val="0"/>
      <w:sz w:val="28"/>
      <w:szCs w:val="28"/>
      <w:lang w:eastAsia="ja-JP"/>
    </w:rPr>
  </w:style>
  <w:style w:type="character" w:customStyle="1" w:styleId="CharChar5">
    <w:name w:val="Char Char5"/>
    <w:locked/>
    <w:rsid w:val="006D69DC"/>
    <w:rPr>
      <w:rFonts w:ascii="Arial" w:hAnsi="Arial"/>
      <w:sz w:val="22"/>
    </w:rPr>
  </w:style>
  <w:style w:type="character" w:customStyle="1" w:styleId="Novruzova">
    <w:name w:val="Novruzova"/>
    <w:semiHidden/>
    <w:rsid w:val="006D69DC"/>
    <w:rPr>
      <w:rFonts w:ascii="Arial" w:hAnsi="Arial"/>
      <w:color w:val="000080"/>
      <w:sz w:val="20"/>
    </w:rPr>
  </w:style>
  <w:style w:type="paragraph" w:customStyle="1" w:styleId="Char0">
    <w:name w:val="Char ?? ??"/>
    <w:basedOn w:val="Normal"/>
    <w:rsid w:val="006D69DC"/>
    <w:pPr>
      <w:spacing w:after="160" w:line="240" w:lineRule="exact"/>
    </w:pPr>
    <w:rPr>
      <w:rFonts w:ascii="Times New Roman" w:hAnsi="Times New Roman" w:cs="Times New Roman"/>
      <w:snapToGrid w:val="0"/>
      <w:sz w:val="20"/>
    </w:rPr>
  </w:style>
  <w:style w:type="character" w:customStyle="1" w:styleId="CharChar8">
    <w:name w:val="Char Char8"/>
    <w:locked/>
    <w:rsid w:val="006D69DC"/>
    <w:rPr>
      <w:rFonts w:ascii="Arial" w:hAnsi="Arial"/>
      <w:sz w:val="18"/>
    </w:rPr>
  </w:style>
  <w:style w:type="character" w:styleId="PlaceholderText">
    <w:name w:val="Placeholder Text"/>
    <w:semiHidden/>
    <w:rsid w:val="006D69DC"/>
    <w:rPr>
      <w:color w:val="808080"/>
    </w:rPr>
  </w:style>
  <w:style w:type="character" w:customStyle="1" w:styleId="CharChar14">
    <w:name w:val="Char Char14"/>
    <w:locked/>
    <w:rsid w:val="006D69DC"/>
    <w:rPr>
      <w:rFonts w:ascii="Arial" w:eastAsia="SimSun" w:hAnsi="Arial"/>
      <w:caps/>
      <w:sz w:val="28"/>
    </w:rPr>
  </w:style>
  <w:style w:type="character" w:customStyle="1" w:styleId="DecisionInvitingParaChar">
    <w:name w:val="Decision Inviting Para. Char"/>
    <w:locked/>
    <w:rsid w:val="006D69DC"/>
    <w:rPr>
      <w:rFonts w:ascii="Arial" w:hAnsi="Arial"/>
      <w:i/>
    </w:rPr>
  </w:style>
  <w:style w:type="character" w:customStyle="1" w:styleId="CharChar12">
    <w:name w:val="Char Char12"/>
    <w:locked/>
    <w:rsid w:val="006D69DC"/>
    <w:rPr>
      <w:rFonts w:ascii="Arial" w:hAnsi="Arial"/>
      <w:sz w:val="22"/>
    </w:rPr>
  </w:style>
  <w:style w:type="character" w:customStyle="1" w:styleId="CharChar13">
    <w:name w:val="Char Char13"/>
    <w:locked/>
    <w:rsid w:val="006D69DC"/>
    <w:rPr>
      <w:rFonts w:ascii="Arial" w:eastAsia="SimSun" w:hAnsi="Arial"/>
      <w:sz w:val="26"/>
      <w:u w:val="single"/>
    </w:rPr>
  </w:style>
  <w:style w:type="character" w:customStyle="1" w:styleId="ONUMEChar">
    <w:name w:val="ONUM E Char"/>
    <w:locked/>
    <w:rsid w:val="006D69DC"/>
    <w:rPr>
      <w:rFonts w:ascii="Arial" w:hAnsi="Arial"/>
      <w:sz w:val="24"/>
    </w:rPr>
  </w:style>
  <w:style w:type="paragraph" w:customStyle="1" w:styleId="StyleHeading3BoldNounderline">
    <w:name w:val="Style Heading 3 + Bold No underline"/>
    <w:basedOn w:val="Heading3"/>
    <w:rsid w:val="006D69DC"/>
    <w:rPr>
      <w:rFonts w:cs="Times New Roman"/>
      <w:i/>
      <w:snapToGrid w:val="0"/>
      <w:sz w:val="20"/>
      <w:u w:val="none"/>
    </w:rPr>
  </w:style>
  <w:style w:type="character" w:customStyle="1" w:styleId="CharChar10">
    <w:name w:val="Char Char10"/>
    <w:locked/>
    <w:rsid w:val="006D69DC"/>
    <w:rPr>
      <w:rFonts w:ascii="Arial" w:hAnsi="Arial"/>
      <w:sz w:val="22"/>
    </w:rPr>
  </w:style>
  <w:style w:type="character" w:customStyle="1" w:styleId="CharChar9">
    <w:name w:val="Char Char9"/>
    <w:locked/>
    <w:rsid w:val="006D69DC"/>
    <w:rPr>
      <w:rFonts w:ascii="Arial" w:hAnsi="Arial"/>
      <w:sz w:val="22"/>
    </w:rPr>
  </w:style>
  <w:style w:type="character" w:customStyle="1" w:styleId="CharChar7">
    <w:name w:val="Char Char7"/>
    <w:locked/>
    <w:rsid w:val="006D69DC"/>
    <w:rPr>
      <w:rFonts w:ascii="Arial" w:hAnsi="Arial"/>
      <w:sz w:val="18"/>
    </w:rPr>
  </w:style>
  <w:style w:type="character" w:customStyle="1" w:styleId="tw4winMark">
    <w:name w:val="tw4winMark"/>
    <w:rsid w:val="006D69DC"/>
    <w:rPr>
      <w:rFonts w:ascii="Courier New" w:hAnsi="Courier New"/>
      <w:vanish/>
      <w:color w:val="800080"/>
      <w:sz w:val="24"/>
      <w:vertAlign w:val="subscript"/>
    </w:rPr>
  </w:style>
  <w:style w:type="character" w:customStyle="1" w:styleId="tw4winError">
    <w:name w:val="tw4winError"/>
    <w:rsid w:val="006D69DC"/>
    <w:rPr>
      <w:rFonts w:ascii="Courier New" w:hAnsi="Courier New"/>
      <w:color w:val="00FF00"/>
      <w:sz w:val="40"/>
    </w:rPr>
  </w:style>
  <w:style w:type="character" w:customStyle="1" w:styleId="tw4winTerm">
    <w:name w:val="tw4winTerm"/>
    <w:rsid w:val="006D69DC"/>
    <w:rPr>
      <w:color w:val="0000FF"/>
    </w:rPr>
  </w:style>
  <w:style w:type="character" w:customStyle="1" w:styleId="tw4winPopup">
    <w:name w:val="tw4winPopup"/>
    <w:rsid w:val="006D69DC"/>
    <w:rPr>
      <w:rFonts w:ascii="Courier New" w:hAnsi="Courier New"/>
      <w:noProof/>
      <w:color w:val="008000"/>
    </w:rPr>
  </w:style>
  <w:style w:type="character" w:customStyle="1" w:styleId="tw4winJump">
    <w:name w:val="tw4winJump"/>
    <w:rsid w:val="006D69DC"/>
    <w:rPr>
      <w:rFonts w:ascii="Courier New" w:hAnsi="Courier New"/>
      <w:noProof/>
      <w:color w:val="008080"/>
    </w:rPr>
  </w:style>
  <w:style w:type="character" w:customStyle="1" w:styleId="tw4winExternal">
    <w:name w:val="tw4winExternal"/>
    <w:rsid w:val="006D69DC"/>
    <w:rPr>
      <w:rFonts w:ascii="Courier New" w:hAnsi="Courier New"/>
      <w:noProof/>
      <w:color w:val="808080"/>
    </w:rPr>
  </w:style>
  <w:style w:type="character" w:customStyle="1" w:styleId="tw4winInternal">
    <w:name w:val="tw4winInternal"/>
    <w:rsid w:val="006D69DC"/>
    <w:rPr>
      <w:rFonts w:ascii="Courier New" w:hAnsi="Courier New"/>
      <w:noProof/>
      <w:color w:val="FF0000"/>
    </w:rPr>
  </w:style>
  <w:style w:type="character" w:customStyle="1" w:styleId="DONOTTRANSLATE">
    <w:name w:val="DO_NOT_TRANSLATE"/>
    <w:rsid w:val="006D69DC"/>
    <w:rPr>
      <w:rFonts w:ascii="Courier New" w:hAnsi="Courier New"/>
      <w:noProof/>
      <w:color w:val="8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atentStyles>
  <w:style w:type="paragraph" w:default="1" w:styleId="Normal">
    <w:name w:val="Normal"/>
    <w:qFormat/>
    <w:rPr>
      <w:rFonts w:ascii="Arial" w:hAnsi="Arial" w:cs="Arial"/>
      <w:sz w:val="22"/>
    </w:rPr>
  </w:style>
  <w:style w:type="paragraph" w:styleId="Heading1">
    <w:name w:val="heading 1"/>
    <w:basedOn w:val="Normal"/>
    <w:next w:val="Normal"/>
    <w:link w:val="Heading1Char"/>
    <w:qFormat/>
    <w:rsid w:val="00744889"/>
    <w:pPr>
      <w:keepNext/>
      <w:spacing w:before="240" w:after="60"/>
      <w:outlineLvl w:val="0"/>
    </w:pPr>
    <w:rPr>
      <w:rFonts w:eastAsia="SimSun"/>
      <w:b/>
      <w:bCs/>
      <w:caps/>
      <w:kern w:val="32"/>
      <w:szCs w:val="32"/>
    </w:rPr>
  </w:style>
  <w:style w:type="paragraph" w:styleId="Heading2">
    <w:name w:val="heading 2"/>
    <w:basedOn w:val="Normal"/>
    <w:next w:val="Normal"/>
    <w:link w:val="Heading2Char"/>
    <w:qFormat/>
    <w:rsid w:val="00744889"/>
    <w:pPr>
      <w:keepNext/>
      <w:spacing w:before="240" w:after="60"/>
      <w:outlineLvl w:val="1"/>
    </w:pPr>
    <w:rPr>
      <w:rFonts w:eastAsia="SimSun"/>
      <w:bCs/>
      <w:iCs/>
      <w:caps/>
      <w:szCs w:val="28"/>
    </w:rPr>
  </w:style>
  <w:style w:type="paragraph" w:styleId="Heading3">
    <w:name w:val="heading 3"/>
    <w:basedOn w:val="Normal"/>
    <w:next w:val="Normal"/>
    <w:link w:val="Heading3Char"/>
    <w:qFormat/>
    <w:rsid w:val="00744889"/>
    <w:pPr>
      <w:keepNext/>
      <w:spacing w:before="240" w:after="60"/>
      <w:outlineLvl w:val="2"/>
    </w:pPr>
    <w:rPr>
      <w:rFonts w:eastAsia="SimSun"/>
      <w:bCs/>
      <w:szCs w:val="26"/>
      <w:u w:val="single"/>
    </w:rPr>
  </w:style>
  <w:style w:type="paragraph" w:styleId="Heading4">
    <w:name w:val="heading 4"/>
    <w:basedOn w:val="Normal"/>
    <w:next w:val="Normal"/>
    <w:link w:val="Heading4Char"/>
    <w:qFormat/>
    <w:rsid w:val="00744889"/>
    <w:pPr>
      <w:keepNext/>
      <w:spacing w:before="240" w:after="60"/>
      <w:outlineLvl w:val="3"/>
    </w:pPr>
    <w:rPr>
      <w:rFonts w:eastAsia="SimSun"/>
      <w:bCs/>
      <w:i/>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144815"/>
    <w:rPr>
      <w:rFonts w:ascii="Arial" w:eastAsia="SimSun" w:hAnsi="Arial" w:cs="Arial"/>
      <w:b/>
      <w:bCs/>
      <w:caps/>
      <w:kern w:val="32"/>
      <w:sz w:val="22"/>
      <w:szCs w:val="32"/>
    </w:rPr>
  </w:style>
  <w:style w:type="character" w:customStyle="1" w:styleId="Heading2Char">
    <w:name w:val="Heading 2 Char"/>
    <w:link w:val="Heading2"/>
    <w:rsid w:val="00BE7DA0"/>
    <w:rPr>
      <w:rFonts w:ascii="Arial" w:eastAsia="SimSun" w:hAnsi="Arial" w:cs="Arial"/>
      <w:bCs/>
      <w:iCs/>
      <w:caps/>
      <w:sz w:val="22"/>
      <w:szCs w:val="28"/>
    </w:rPr>
  </w:style>
  <w:style w:type="character" w:customStyle="1" w:styleId="Heading3Char">
    <w:name w:val="Heading 3 Char"/>
    <w:basedOn w:val="DefaultParagraphFont"/>
    <w:link w:val="Heading3"/>
    <w:locked/>
    <w:rsid w:val="000E3B10"/>
    <w:rPr>
      <w:rFonts w:ascii="Arial" w:eastAsia="SimSun" w:hAnsi="Arial" w:cs="Arial"/>
      <w:bCs/>
      <w:sz w:val="22"/>
      <w:szCs w:val="26"/>
      <w:u w:val="single"/>
    </w:rPr>
  </w:style>
  <w:style w:type="character" w:customStyle="1" w:styleId="Heading4Char">
    <w:name w:val="Heading 4 Char"/>
    <w:basedOn w:val="DefaultParagraphFont"/>
    <w:link w:val="Heading4"/>
    <w:locked/>
    <w:rsid w:val="00B31868"/>
    <w:rPr>
      <w:rFonts w:ascii="Arial" w:eastAsia="SimSun" w:hAnsi="Arial" w:cs="Arial"/>
      <w:bCs/>
      <w:i/>
      <w:sz w:val="22"/>
      <w:szCs w:val="28"/>
    </w:rPr>
  </w:style>
  <w:style w:type="paragraph" w:styleId="TOC1">
    <w:name w:val="toc 1"/>
    <w:basedOn w:val="Heading1AR"/>
    <w:next w:val="Normal"/>
    <w:autoRedefine/>
    <w:uiPriority w:val="39"/>
    <w:qFormat/>
    <w:rsid w:val="00365D19"/>
    <w:pPr>
      <w:keepNext w:val="0"/>
      <w:tabs>
        <w:tab w:val="left" w:pos="566"/>
        <w:tab w:val="right" w:leader="dot" w:pos="9345"/>
      </w:tabs>
      <w:spacing w:before="0" w:after="0" w:line="240" w:lineRule="auto"/>
    </w:pPr>
    <w:rPr>
      <w:b/>
      <w:noProof/>
      <w:sz w:val="30"/>
      <w:szCs w:val="30"/>
    </w:rPr>
  </w:style>
  <w:style w:type="paragraph" w:customStyle="1" w:styleId="Heading1AR">
    <w:name w:val="Heading_1_AR"/>
    <w:basedOn w:val="NormalParaAR"/>
    <w:next w:val="NormalParaAR"/>
    <w:rsid w:val="00967AAF"/>
    <w:pPr>
      <w:keepNext/>
      <w:spacing w:before="240" w:after="60" w:line="400" w:lineRule="exact"/>
    </w:pPr>
    <w:rPr>
      <w:rFonts w:eastAsia="SimSun"/>
      <w:bCs/>
      <w:sz w:val="40"/>
      <w:szCs w:val="40"/>
    </w:rPr>
  </w:style>
  <w:style w:type="paragraph" w:customStyle="1" w:styleId="NormalParaAR">
    <w:name w:val="Normal_Para_AR"/>
    <w:rsid w:val="009622BF"/>
    <w:pPr>
      <w:bidi/>
      <w:spacing w:after="240" w:line="360" w:lineRule="exact"/>
    </w:pPr>
    <w:rPr>
      <w:rFonts w:ascii="Arabic Typesetting" w:hAnsi="Arabic Typesetting" w:cs="Arabic Typesetting"/>
      <w:sz w:val="36"/>
      <w:szCs w:val="36"/>
    </w:rPr>
  </w:style>
  <w:style w:type="paragraph" w:styleId="TOC2">
    <w:name w:val="toc 2"/>
    <w:basedOn w:val="Heading2AR"/>
    <w:next w:val="Normal"/>
    <w:autoRedefine/>
    <w:uiPriority w:val="39"/>
    <w:qFormat/>
    <w:rsid w:val="00365D19"/>
    <w:pPr>
      <w:pageBreakBefore w:val="0"/>
      <w:tabs>
        <w:tab w:val="left" w:pos="566"/>
        <w:tab w:val="right" w:leader="dot" w:pos="9345"/>
      </w:tabs>
      <w:spacing w:after="0" w:line="240" w:lineRule="auto"/>
      <w:ind w:left="221"/>
      <w:jc w:val="right"/>
    </w:pPr>
    <w:rPr>
      <w:noProof/>
      <w:sz w:val="30"/>
      <w:szCs w:val="30"/>
    </w:rPr>
  </w:style>
  <w:style w:type="paragraph" w:customStyle="1" w:styleId="Heading2AR">
    <w:name w:val="Heading_2_AR"/>
    <w:basedOn w:val="Heading1AR"/>
    <w:next w:val="NormalParaAR"/>
    <w:rsid w:val="00F3697D"/>
    <w:pPr>
      <w:pageBreakBefore/>
      <w:spacing w:before="0" w:after="240" w:line="360" w:lineRule="exact"/>
      <w:jc w:val="center"/>
    </w:pPr>
    <w:rPr>
      <w:b/>
      <w:sz w:val="36"/>
      <w:szCs w:val="36"/>
    </w:rPr>
  </w:style>
  <w:style w:type="paragraph" w:styleId="BalloonText">
    <w:name w:val="Balloon Text"/>
    <w:basedOn w:val="Normal"/>
    <w:link w:val="BalloonTextChar"/>
    <w:rsid w:val="004F43EA"/>
    <w:rPr>
      <w:rFonts w:ascii="Tahoma" w:hAnsi="Tahoma" w:cs="Tahoma"/>
      <w:sz w:val="16"/>
      <w:szCs w:val="16"/>
    </w:rPr>
  </w:style>
  <w:style w:type="character" w:customStyle="1" w:styleId="BalloonTextChar">
    <w:name w:val="Balloon Text Char"/>
    <w:basedOn w:val="DefaultParagraphFont"/>
    <w:link w:val="BalloonText"/>
    <w:rsid w:val="004F43EA"/>
    <w:rPr>
      <w:rFonts w:ascii="Tahoma" w:hAnsi="Tahoma" w:cs="Tahoma"/>
      <w:sz w:val="16"/>
      <w:szCs w:val="16"/>
    </w:rPr>
  </w:style>
  <w:style w:type="paragraph" w:styleId="TOC3">
    <w:name w:val="toc 3"/>
    <w:basedOn w:val="Heading3AR"/>
    <w:next w:val="Normal"/>
    <w:autoRedefine/>
    <w:uiPriority w:val="39"/>
    <w:qFormat/>
    <w:rsid w:val="00365D19"/>
    <w:pPr>
      <w:keepNext w:val="0"/>
      <w:pageBreakBefore w:val="0"/>
      <w:tabs>
        <w:tab w:val="left" w:pos="1700"/>
        <w:tab w:val="left" w:pos="2129"/>
        <w:tab w:val="right" w:leader="dot" w:pos="9345"/>
      </w:tabs>
      <w:ind w:left="442" w:firstLine="0"/>
    </w:pPr>
    <w:rPr>
      <w:b w:val="0"/>
      <w:bCs w:val="0"/>
      <w:noProof/>
      <w:sz w:val="30"/>
      <w:szCs w:val="30"/>
    </w:rPr>
  </w:style>
  <w:style w:type="paragraph" w:customStyle="1" w:styleId="Heading3AR">
    <w:name w:val="Heading_3_AR"/>
    <w:basedOn w:val="Heading2AR"/>
    <w:next w:val="NormalParaAR"/>
    <w:rsid w:val="00A44E49"/>
    <w:pPr>
      <w:spacing w:after="0" w:line="240" w:lineRule="auto"/>
      <w:ind w:left="-1" w:firstLine="1"/>
      <w:jc w:val="left"/>
    </w:pPr>
    <w:rPr>
      <w:lang w:val="fr-CH"/>
    </w:rPr>
  </w:style>
  <w:style w:type="paragraph" w:styleId="TOC4">
    <w:name w:val="toc 4"/>
    <w:basedOn w:val="Normal"/>
    <w:next w:val="Normal"/>
    <w:autoRedefine/>
    <w:uiPriority w:val="39"/>
    <w:unhideWhenUsed/>
    <w:rsid w:val="00F84614"/>
    <w:pPr>
      <w:tabs>
        <w:tab w:val="left" w:pos="2267"/>
        <w:tab w:val="left" w:pos="3962"/>
        <w:tab w:val="right" w:leader="dot" w:pos="9345"/>
      </w:tabs>
      <w:bidi/>
      <w:ind w:left="658"/>
    </w:pPr>
    <w:rPr>
      <w:rFonts w:ascii="Arabic Typesetting" w:eastAsiaTheme="minorEastAsia" w:hAnsi="Arabic Typesetting" w:cs="Arabic Typesetting"/>
      <w:i/>
      <w:iCs/>
      <w:szCs w:val="30"/>
    </w:rPr>
  </w:style>
  <w:style w:type="paragraph" w:styleId="TOC5">
    <w:name w:val="toc 5"/>
    <w:basedOn w:val="Normal"/>
    <w:next w:val="Normal"/>
    <w:autoRedefine/>
    <w:uiPriority w:val="39"/>
    <w:unhideWhenUsed/>
    <w:rsid w:val="001C19E3"/>
    <w:pPr>
      <w:spacing w:after="100" w:line="276" w:lineRule="auto"/>
      <w:ind w:left="880"/>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1C19E3"/>
    <w:pPr>
      <w:spacing w:after="100" w:line="276" w:lineRule="auto"/>
      <w:ind w:left="1100"/>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1C19E3"/>
    <w:pPr>
      <w:spacing w:after="100" w:line="276" w:lineRule="auto"/>
      <w:ind w:left="1320"/>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1C19E3"/>
    <w:pPr>
      <w:spacing w:after="100" w:line="276" w:lineRule="auto"/>
      <w:ind w:left="1540"/>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1C19E3"/>
    <w:pPr>
      <w:spacing w:after="100" w:line="276" w:lineRule="auto"/>
      <w:ind w:left="1760"/>
    </w:pPr>
    <w:rPr>
      <w:rFonts w:asciiTheme="minorHAnsi" w:eastAsiaTheme="minorEastAsia" w:hAnsiTheme="minorHAnsi" w:cstheme="minorBidi"/>
      <w:szCs w:val="22"/>
    </w:rPr>
  </w:style>
  <w:style w:type="paragraph" w:customStyle="1" w:styleId="DocumentCodeAR">
    <w:name w:val="Document_Code_AR"/>
    <w:basedOn w:val="Normal"/>
    <w:next w:val="DocumentLanguageAR"/>
    <w:rsid w:val="00FB7EC9"/>
    <w:pPr>
      <w:jc w:val="right"/>
    </w:pPr>
    <w:rPr>
      <w:rFonts w:ascii="Arial Black" w:hAnsi="Arial Black" w:cs="Arabic Typesetting"/>
      <w:b/>
      <w:bCs/>
      <w:sz w:val="16"/>
      <w:szCs w:val="16"/>
    </w:rPr>
  </w:style>
  <w:style w:type="paragraph" w:customStyle="1" w:styleId="DocumentLanguageAR">
    <w:name w:val="Document_Language_AR"/>
    <w:basedOn w:val="Normal"/>
    <w:next w:val="DocumentDateAR"/>
    <w:rsid w:val="00FB7EC9"/>
    <w:pPr>
      <w:spacing w:line="240" w:lineRule="exact"/>
      <w:jc w:val="right"/>
    </w:pPr>
    <w:rPr>
      <w:rFonts w:ascii="Arabic Typesetting" w:hAnsi="Arabic Typesetting" w:cs="Arabic Typesetting"/>
      <w:b/>
      <w:bCs/>
      <w:sz w:val="30"/>
      <w:szCs w:val="30"/>
    </w:rPr>
  </w:style>
  <w:style w:type="paragraph" w:customStyle="1" w:styleId="DocumentDateAR">
    <w:name w:val="Document_Date_AR"/>
    <w:basedOn w:val="Normal"/>
    <w:next w:val="NormalParaAR"/>
    <w:rsid w:val="00FB7EC9"/>
    <w:pPr>
      <w:jc w:val="right"/>
    </w:pPr>
    <w:rPr>
      <w:rFonts w:ascii="Arabic Typesetting" w:hAnsi="Arabic Typesetting" w:cs="Arabic Typesetting"/>
      <w:b/>
      <w:bCs/>
      <w:sz w:val="30"/>
      <w:szCs w:val="30"/>
    </w:rPr>
  </w:style>
  <w:style w:type="paragraph" w:customStyle="1" w:styleId="MeetingTitleAR">
    <w:name w:val="Meeting_Title_AR"/>
    <w:basedOn w:val="Normal"/>
    <w:next w:val="NormalParaAR"/>
    <w:rsid w:val="00EE7604"/>
    <w:pPr>
      <w:spacing w:line="360" w:lineRule="exact"/>
    </w:pPr>
    <w:rPr>
      <w:rFonts w:ascii="Arial Black" w:hAnsi="Arial Black" w:cs="PT Bold Heading"/>
      <w:sz w:val="34"/>
      <w:szCs w:val="34"/>
    </w:rPr>
  </w:style>
  <w:style w:type="paragraph" w:customStyle="1" w:styleId="MeetingSessionAR">
    <w:name w:val="Meeting_Session_AR"/>
    <w:basedOn w:val="Normal"/>
    <w:next w:val="NormalParaAR"/>
    <w:rsid w:val="00EE7604"/>
    <w:pPr>
      <w:spacing w:line="360" w:lineRule="exact"/>
    </w:pPr>
    <w:rPr>
      <w:rFonts w:ascii="Arial Black" w:hAnsi="Arial Black" w:cs="PT Bold Heading"/>
      <w:sz w:val="30"/>
      <w:szCs w:val="30"/>
    </w:rPr>
  </w:style>
  <w:style w:type="paragraph" w:customStyle="1" w:styleId="MeetingDatesAR">
    <w:name w:val="Meeting_Dates_AR"/>
    <w:basedOn w:val="Normal"/>
    <w:next w:val="NormalParaAR"/>
    <w:rsid w:val="00FB7EC9"/>
    <w:pPr>
      <w:spacing w:line="360" w:lineRule="exact"/>
    </w:pPr>
    <w:rPr>
      <w:rFonts w:ascii="Arabic Typesetting" w:hAnsi="Arabic Typesetting" w:cs="Arabic Typesetting"/>
      <w:b/>
      <w:bCs/>
      <w:sz w:val="36"/>
      <w:szCs w:val="36"/>
    </w:rPr>
  </w:style>
  <w:style w:type="paragraph" w:customStyle="1" w:styleId="DocumentTitleAR">
    <w:name w:val="Document_Title_AR"/>
    <w:basedOn w:val="Normal"/>
    <w:next w:val="PreparedbyAR"/>
    <w:rsid w:val="00EE7604"/>
    <w:pPr>
      <w:spacing w:line="360" w:lineRule="exact"/>
    </w:pPr>
    <w:rPr>
      <w:rFonts w:ascii="Arial Black" w:hAnsi="Arial Black" w:cs="PT Bold Heading"/>
      <w:sz w:val="26"/>
      <w:szCs w:val="26"/>
    </w:rPr>
  </w:style>
  <w:style w:type="paragraph" w:customStyle="1" w:styleId="PreparedbyAR">
    <w:name w:val="Prepared_by_AR"/>
    <w:basedOn w:val="Normal"/>
    <w:next w:val="NormalParaAR"/>
    <w:rsid w:val="00931859"/>
    <w:pPr>
      <w:spacing w:before="240" w:after="840" w:line="360" w:lineRule="exact"/>
    </w:pPr>
    <w:rPr>
      <w:rFonts w:ascii="Arabic Typesetting" w:hAnsi="Arabic Typesetting" w:cs="Arabic Typesetting"/>
      <w:i/>
      <w:iCs/>
      <w:sz w:val="36"/>
      <w:szCs w:val="36"/>
    </w:rPr>
  </w:style>
  <w:style w:type="paragraph" w:customStyle="1" w:styleId="DecisionParaAR">
    <w:name w:val="Decision_Para_AR"/>
    <w:basedOn w:val="NumberedParaAR"/>
    <w:rsid w:val="00BE7CD1"/>
    <w:pPr>
      <w:ind w:left="5534"/>
    </w:pPr>
    <w:rPr>
      <w:i/>
      <w:iCs/>
    </w:rPr>
  </w:style>
  <w:style w:type="paragraph" w:customStyle="1" w:styleId="EndofDocumentAR">
    <w:name w:val="End_of_Document_AR"/>
    <w:basedOn w:val="NormalParaAR"/>
    <w:next w:val="NormalParaAR"/>
    <w:rsid w:val="00075D39"/>
    <w:pPr>
      <w:ind w:left="5534"/>
    </w:pPr>
  </w:style>
  <w:style w:type="paragraph" w:customStyle="1" w:styleId="Heading4AR">
    <w:name w:val="Heading_4_AR"/>
    <w:basedOn w:val="Heading3AR"/>
    <w:next w:val="NormalParaAR"/>
    <w:rsid w:val="0073076E"/>
    <w:rPr>
      <w:iCs/>
    </w:rPr>
  </w:style>
  <w:style w:type="paragraph" w:styleId="Revision">
    <w:name w:val="Revision"/>
    <w:hidden/>
    <w:semiHidden/>
    <w:rsid w:val="00567D2C"/>
    <w:rPr>
      <w:rFonts w:ascii="Arial" w:hAnsi="Arial" w:cs="Arial"/>
      <w:sz w:val="22"/>
    </w:rPr>
  </w:style>
  <w:style w:type="character" w:styleId="FollowedHyperlink">
    <w:name w:val="FollowedHyperlink"/>
    <w:basedOn w:val="DefaultParagraphFont"/>
    <w:rsid w:val="003F76B5"/>
    <w:rPr>
      <w:color w:val="800080" w:themeColor="followedHyperlink"/>
      <w:u w:val="single"/>
    </w:rPr>
  </w:style>
  <w:style w:type="paragraph" w:styleId="Header">
    <w:name w:val="header"/>
    <w:basedOn w:val="Normal"/>
    <w:link w:val="HeaderChar"/>
    <w:rsid w:val="00455893"/>
    <w:pPr>
      <w:tabs>
        <w:tab w:val="center" w:pos="4680"/>
        <w:tab w:val="right" w:pos="9360"/>
      </w:tabs>
    </w:pPr>
  </w:style>
  <w:style w:type="character" w:customStyle="1" w:styleId="HeaderChar">
    <w:name w:val="Header Char"/>
    <w:basedOn w:val="DefaultParagraphFont"/>
    <w:link w:val="Header"/>
    <w:rsid w:val="00455893"/>
    <w:rPr>
      <w:rFonts w:ascii="Arial" w:hAnsi="Arial" w:cs="Arial"/>
      <w:sz w:val="22"/>
    </w:rPr>
  </w:style>
  <w:style w:type="paragraph" w:customStyle="1" w:styleId="NumberedParaAR">
    <w:name w:val="Numbered_Para_AR"/>
    <w:basedOn w:val="NormalParaAR"/>
    <w:rsid w:val="00BE7CD1"/>
    <w:pPr>
      <w:numPr>
        <w:numId w:val="47"/>
      </w:numPr>
      <w:tabs>
        <w:tab w:val="left" w:pos="567"/>
      </w:tabs>
      <w:ind w:left="0" w:firstLine="0"/>
    </w:pPr>
  </w:style>
  <w:style w:type="character" w:styleId="EndnoteReference">
    <w:name w:val="endnote reference"/>
    <w:rsid w:val="007A4D9E"/>
    <w:rPr>
      <w:vertAlign w:val="superscript"/>
    </w:rPr>
  </w:style>
  <w:style w:type="paragraph" w:styleId="FootnoteText">
    <w:name w:val="footnote text"/>
    <w:basedOn w:val="Normal"/>
    <w:link w:val="FootnoteTextChar"/>
    <w:rsid w:val="00A30FDA"/>
    <w:rPr>
      <w:sz w:val="20"/>
    </w:rPr>
  </w:style>
  <w:style w:type="character" w:customStyle="1" w:styleId="FootnoteTextChar">
    <w:name w:val="Footnote Text Char"/>
    <w:basedOn w:val="DefaultParagraphFont"/>
    <w:link w:val="FootnoteText"/>
    <w:rsid w:val="00A30FDA"/>
    <w:rPr>
      <w:rFonts w:ascii="Arial" w:hAnsi="Arial" w:cs="Arial"/>
    </w:rPr>
  </w:style>
  <w:style w:type="character" w:styleId="Hyperlink">
    <w:name w:val="Hyperlink"/>
    <w:aliases w:val="Body Text Char2,Body Text Char1 Char"/>
    <w:basedOn w:val="DefaultParagraphFont"/>
    <w:link w:val="BodyText"/>
    <w:uiPriority w:val="99"/>
    <w:rsid w:val="00A30FDA"/>
    <w:rPr>
      <w:color w:val="0000FF" w:themeColor="hyperlink"/>
      <w:u w:val="single"/>
    </w:rPr>
  </w:style>
  <w:style w:type="character" w:styleId="CommentReference">
    <w:name w:val="annotation reference"/>
    <w:basedOn w:val="DefaultParagraphFont"/>
    <w:rsid w:val="00E62C61"/>
    <w:rPr>
      <w:sz w:val="16"/>
      <w:szCs w:val="16"/>
    </w:rPr>
  </w:style>
  <w:style w:type="paragraph" w:styleId="CommentText">
    <w:name w:val="annotation text"/>
    <w:basedOn w:val="Normal"/>
    <w:link w:val="CommentTextChar"/>
    <w:rsid w:val="00E62C61"/>
    <w:rPr>
      <w:sz w:val="20"/>
    </w:rPr>
  </w:style>
  <w:style w:type="character" w:customStyle="1" w:styleId="CommentTextChar">
    <w:name w:val="Comment Text Char"/>
    <w:basedOn w:val="DefaultParagraphFont"/>
    <w:link w:val="CommentText"/>
    <w:rsid w:val="00E62C61"/>
    <w:rPr>
      <w:rFonts w:ascii="Arial" w:hAnsi="Arial" w:cs="Arial"/>
    </w:rPr>
  </w:style>
  <w:style w:type="paragraph" w:styleId="CommentSubject">
    <w:name w:val="annotation subject"/>
    <w:basedOn w:val="CommentText"/>
    <w:next w:val="CommentText"/>
    <w:link w:val="CommentSubjectChar"/>
    <w:rsid w:val="00E62C61"/>
    <w:rPr>
      <w:b/>
      <w:bCs/>
    </w:rPr>
  </w:style>
  <w:style w:type="character" w:customStyle="1" w:styleId="CommentSubjectChar">
    <w:name w:val="Comment Subject Char"/>
    <w:basedOn w:val="CommentTextChar"/>
    <w:link w:val="CommentSubject"/>
    <w:rsid w:val="00E62C61"/>
    <w:rPr>
      <w:rFonts w:ascii="Arial" w:hAnsi="Arial" w:cs="Arial"/>
      <w:b/>
      <w:bCs/>
    </w:rPr>
  </w:style>
  <w:style w:type="paragraph" w:styleId="Footer">
    <w:name w:val="footer"/>
    <w:basedOn w:val="Normal"/>
    <w:link w:val="FooterChar"/>
    <w:rsid w:val="008A1F66"/>
    <w:pPr>
      <w:tabs>
        <w:tab w:val="center" w:pos="4680"/>
        <w:tab w:val="right" w:pos="9360"/>
      </w:tabs>
    </w:pPr>
  </w:style>
  <w:style w:type="character" w:customStyle="1" w:styleId="FooterChar">
    <w:name w:val="Footer Char"/>
    <w:basedOn w:val="DefaultParagraphFont"/>
    <w:link w:val="Footer"/>
    <w:rsid w:val="008A1F66"/>
    <w:rPr>
      <w:rFonts w:ascii="Arial" w:hAnsi="Arial" w:cs="Arial"/>
      <w:sz w:val="22"/>
    </w:rPr>
  </w:style>
  <w:style w:type="paragraph" w:styleId="ListParagraph">
    <w:name w:val="List Paragraph"/>
    <w:basedOn w:val="Normal"/>
    <w:qFormat/>
    <w:rsid w:val="00FE0236"/>
    <w:pPr>
      <w:ind w:left="720"/>
      <w:contextualSpacing/>
    </w:pPr>
  </w:style>
  <w:style w:type="paragraph" w:styleId="BodyText2">
    <w:name w:val="Body Text 2"/>
    <w:basedOn w:val="Normal"/>
    <w:link w:val="BodyText2Char"/>
    <w:rsid w:val="00A6681C"/>
    <w:pPr>
      <w:spacing w:after="120" w:line="480" w:lineRule="auto"/>
    </w:pPr>
    <w:rPr>
      <w:rFonts w:cs="Times New Roman"/>
      <w:sz w:val="20"/>
      <w:szCs w:val="24"/>
    </w:rPr>
  </w:style>
  <w:style w:type="character" w:customStyle="1" w:styleId="BodyText2Char">
    <w:name w:val="Body Text 2 Char"/>
    <w:basedOn w:val="DefaultParagraphFont"/>
    <w:link w:val="BodyText2"/>
    <w:rsid w:val="00A6681C"/>
    <w:rPr>
      <w:rFonts w:ascii="Arial" w:hAnsi="Arial"/>
      <w:szCs w:val="24"/>
    </w:rPr>
  </w:style>
  <w:style w:type="character" w:styleId="FootnoteReference">
    <w:name w:val="footnote reference"/>
    <w:aliases w:val="Footnote"/>
    <w:basedOn w:val="DefaultParagraphFont"/>
    <w:rsid w:val="00925848"/>
    <w:rPr>
      <w:vertAlign w:val="superscript"/>
    </w:rPr>
  </w:style>
  <w:style w:type="paragraph" w:styleId="Salutation">
    <w:name w:val="Salutation"/>
    <w:basedOn w:val="Normal"/>
    <w:next w:val="Normal"/>
    <w:link w:val="SalutationChar"/>
    <w:rsid w:val="006D69DC"/>
  </w:style>
  <w:style w:type="character" w:customStyle="1" w:styleId="SalutationChar">
    <w:name w:val="Salutation Char"/>
    <w:basedOn w:val="DefaultParagraphFont"/>
    <w:link w:val="Salutation"/>
    <w:rsid w:val="006D69DC"/>
    <w:rPr>
      <w:rFonts w:ascii="Arial" w:hAnsi="Arial" w:cs="Arial"/>
      <w:sz w:val="22"/>
    </w:rPr>
  </w:style>
  <w:style w:type="paragraph" w:styleId="Signature">
    <w:name w:val="Signature"/>
    <w:basedOn w:val="Normal"/>
    <w:link w:val="SignatureChar"/>
    <w:rsid w:val="006D69DC"/>
    <w:pPr>
      <w:ind w:left="5250"/>
    </w:pPr>
  </w:style>
  <w:style w:type="character" w:customStyle="1" w:styleId="SignatureChar">
    <w:name w:val="Signature Char"/>
    <w:basedOn w:val="DefaultParagraphFont"/>
    <w:link w:val="Signature"/>
    <w:rsid w:val="006D69DC"/>
    <w:rPr>
      <w:rFonts w:ascii="Arial" w:hAnsi="Arial" w:cs="Arial"/>
      <w:sz w:val="22"/>
    </w:rPr>
  </w:style>
  <w:style w:type="paragraph" w:styleId="EndnoteText">
    <w:name w:val="endnote text"/>
    <w:basedOn w:val="Normal"/>
    <w:link w:val="EndnoteTextChar"/>
    <w:rsid w:val="006D69DC"/>
    <w:rPr>
      <w:sz w:val="18"/>
    </w:rPr>
  </w:style>
  <w:style w:type="character" w:customStyle="1" w:styleId="EndnoteTextChar">
    <w:name w:val="Endnote Text Char"/>
    <w:basedOn w:val="DefaultParagraphFont"/>
    <w:link w:val="EndnoteText"/>
    <w:rsid w:val="006D69DC"/>
    <w:rPr>
      <w:rFonts w:ascii="Arial" w:hAnsi="Arial" w:cs="Arial"/>
      <w:sz w:val="18"/>
    </w:rPr>
  </w:style>
  <w:style w:type="paragraph" w:styleId="Caption">
    <w:name w:val="caption"/>
    <w:basedOn w:val="Normal"/>
    <w:next w:val="Normal"/>
    <w:qFormat/>
    <w:rsid w:val="006D69DC"/>
    <w:rPr>
      <w:b/>
      <w:bCs/>
      <w:sz w:val="18"/>
    </w:rPr>
  </w:style>
  <w:style w:type="paragraph" w:styleId="ListNumber">
    <w:name w:val="List Number"/>
    <w:basedOn w:val="Normal"/>
    <w:rsid w:val="006D69DC"/>
    <w:pPr>
      <w:numPr>
        <w:numId w:val="57"/>
      </w:numPr>
    </w:pPr>
  </w:style>
  <w:style w:type="table" w:styleId="TableGrid">
    <w:name w:val="Table Grid"/>
    <w:basedOn w:val="TableNormal"/>
    <w:rsid w:val="006D69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semiHidden/>
    <w:rsid w:val="006D69DC"/>
  </w:style>
  <w:style w:type="paragraph" w:customStyle="1" w:styleId="NormalAR">
    <w:name w:val="Normal AR"/>
    <w:basedOn w:val="Normal"/>
    <w:rsid w:val="006D69DC"/>
    <w:pPr>
      <w:bidi/>
      <w:spacing w:after="120" w:line="340" w:lineRule="exact"/>
      <w:ind w:left="1021"/>
    </w:pPr>
    <w:rPr>
      <w:rFonts w:ascii="Arabic Typesetting" w:hAnsi="Arabic Typesetting" w:cs="Arabic Typesetting"/>
      <w:sz w:val="34"/>
      <w:szCs w:val="34"/>
      <w:lang w:bidi="ar-EG"/>
    </w:rPr>
  </w:style>
  <w:style w:type="character" w:styleId="PageNumber">
    <w:name w:val="page number"/>
    <w:rsid w:val="006D69DC"/>
    <w:rPr>
      <w:rFonts w:ascii="Arial" w:hAnsi="Arial" w:cs="Arial"/>
      <w:sz w:val="20"/>
      <w:szCs w:val="20"/>
    </w:rPr>
  </w:style>
  <w:style w:type="character" w:customStyle="1" w:styleId="FootnoteRefAR">
    <w:name w:val="Footnote Ref AR"/>
    <w:rsid w:val="006D69DC"/>
    <w:rPr>
      <w:rFonts w:ascii="Arabic Typesetting" w:hAnsi="Arabic Typesetting" w:cs="Arabic Typesetting"/>
      <w:sz w:val="34"/>
      <w:szCs w:val="34"/>
      <w:vertAlign w:val="superscript"/>
    </w:rPr>
  </w:style>
  <w:style w:type="paragraph" w:customStyle="1" w:styleId="FootnoteTextAR">
    <w:name w:val="Footnote Text AR"/>
    <w:basedOn w:val="NormalAR"/>
    <w:rsid w:val="006D69DC"/>
    <w:pPr>
      <w:spacing w:after="60" w:line="280" w:lineRule="exact"/>
    </w:pPr>
    <w:rPr>
      <w:sz w:val="28"/>
      <w:szCs w:val="28"/>
    </w:rPr>
  </w:style>
  <w:style w:type="paragraph" w:customStyle="1" w:styleId="DecisionParagraphAR">
    <w:name w:val="Decision Paragraph AR"/>
    <w:basedOn w:val="NormalAR"/>
    <w:rsid w:val="006D69DC"/>
    <w:pPr>
      <w:ind w:left="5534"/>
    </w:pPr>
    <w:rPr>
      <w:i/>
      <w:iCs/>
    </w:rPr>
  </w:style>
  <w:style w:type="paragraph" w:customStyle="1" w:styleId="EndofDocument">
    <w:name w:val="End of Document"/>
    <w:basedOn w:val="DecisionParagraphAR"/>
    <w:rsid w:val="006D69DC"/>
    <w:rPr>
      <w:i w:val="0"/>
      <w:iCs w:val="0"/>
      <w:lang w:bidi="ar-SA"/>
    </w:rPr>
  </w:style>
  <w:style w:type="paragraph" w:customStyle="1" w:styleId="MeetingTitleAR0">
    <w:name w:val="Meeting Title AR"/>
    <w:basedOn w:val="NormalAR"/>
    <w:next w:val="SessionTitleAR"/>
    <w:rsid w:val="006D69DC"/>
    <w:pPr>
      <w:spacing w:after="360" w:line="360" w:lineRule="exact"/>
    </w:pPr>
    <w:rPr>
      <w:rFonts w:ascii="Arial Black" w:hAnsi="Arial Black" w:cs="PT Bold Heading"/>
      <w:sz w:val="28"/>
      <w:szCs w:val="28"/>
      <w:lang w:bidi="ar-SA"/>
    </w:rPr>
  </w:style>
  <w:style w:type="paragraph" w:customStyle="1" w:styleId="SessionTitleAR">
    <w:name w:val="Session Title AR"/>
    <w:basedOn w:val="NormalAR"/>
    <w:next w:val="MeetingDatePlace"/>
    <w:rsid w:val="006D69DC"/>
    <w:pPr>
      <w:spacing w:after="0"/>
    </w:pPr>
    <w:rPr>
      <w:rFonts w:ascii="Arial Black" w:hAnsi="Arial Black" w:cs="PT Bold Heading"/>
      <w:sz w:val="28"/>
      <w:szCs w:val="28"/>
      <w:lang w:bidi="ar-SA"/>
    </w:rPr>
  </w:style>
  <w:style w:type="paragraph" w:customStyle="1" w:styleId="MeetingDatePlace">
    <w:name w:val="Meeting Date &amp; Place"/>
    <w:basedOn w:val="NormalAR"/>
    <w:next w:val="DocumentTitleAR0"/>
    <w:rsid w:val="006D69DC"/>
    <w:pPr>
      <w:spacing w:after="0"/>
    </w:pPr>
    <w:rPr>
      <w:b/>
      <w:bCs/>
      <w:lang w:bidi="ar-SA"/>
    </w:rPr>
  </w:style>
  <w:style w:type="paragraph" w:customStyle="1" w:styleId="DocumentTitleAR0">
    <w:name w:val="Document Title AR"/>
    <w:basedOn w:val="NormalAR"/>
    <w:next w:val="preparedbyAR0"/>
    <w:rsid w:val="006D69DC"/>
    <w:pPr>
      <w:spacing w:before="1200" w:after="0"/>
    </w:pPr>
    <w:rPr>
      <w:rFonts w:ascii="Arial Black" w:hAnsi="Arial Black" w:cs="PT Bold Heading"/>
      <w:sz w:val="24"/>
      <w:szCs w:val="24"/>
      <w:lang w:bidi="ar-SA"/>
    </w:rPr>
  </w:style>
  <w:style w:type="paragraph" w:customStyle="1" w:styleId="preparedbyAR0">
    <w:name w:val="prepared by AR"/>
    <w:basedOn w:val="NormalAR"/>
    <w:next w:val="NormalAR"/>
    <w:rsid w:val="006D69DC"/>
    <w:pPr>
      <w:spacing w:after="480"/>
    </w:pPr>
    <w:rPr>
      <w:i/>
      <w:iCs/>
      <w:lang w:bidi="ar-SA"/>
    </w:rPr>
  </w:style>
  <w:style w:type="paragraph" w:customStyle="1" w:styleId="DocumentCodeAR0">
    <w:name w:val="Document Code AR"/>
    <w:basedOn w:val="NormalAR"/>
    <w:next w:val="DocumentLanguageAR0"/>
    <w:rsid w:val="006D69DC"/>
    <w:pPr>
      <w:spacing w:before="300" w:after="0" w:line="160" w:lineRule="exact"/>
      <w:jc w:val="right"/>
    </w:pPr>
    <w:rPr>
      <w:rFonts w:ascii="Arial Black" w:hAnsi="Arial Black" w:cs="Arial"/>
      <w:bCs/>
      <w:sz w:val="15"/>
      <w:szCs w:val="15"/>
      <w:lang w:bidi="ar-SA"/>
    </w:rPr>
  </w:style>
  <w:style w:type="paragraph" w:customStyle="1" w:styleId="DocumentLanguageAR0">
    <w:name w:val="Document Language AR"/>
    <w:basedOn w:val="NormalAR"/>
    <w:next w:val="DocumentDateAR0"/>
    <w:rsid w:val="006D69DC"/>
    <w:pPr>
      <w:spacing w:after="0" w:line="220" w:lineRule="exact"/>
      <w:jc w:val="right"/>
    </w:pPr>
    <w:rPr>
      <w:b/>
      <w:bCs/>
      <w:sz w:val="28"/>
      <w:szCs w:val="28"/>
      <w:lang w:bidi="ar-SA"/>
    </w:rPr>
  </w:style>
  <w:style w:type="paragraph" w:customStyle="1" w:styleId="DocumentDateAR0">
    <w:name w:val="Document Date AR"/>
    <w:basedOn w:val="DocumentLanguageAR0"/>
    <w:next w:val="MeetingTitleAR0"/>
    <w:rsid w:val="006D69DC"/>
    <w:pPr>
      <w:spacing w:after="1680"/>
    </w:pPr>
  </w:style>
  <w:style w:type="paragraph" w:customStyle="1" w:styleId="AutomaticparagraphNoAR">
    <w:name w:val="Automatic paragraph No AR"/>
    <w:basedOn w:val="NormalAR"/>
    <w:rsid w:val="006D69DC"/>
    <w:pPr>
      <w:ind w:left="1701" w:hanging="680"/>
    </w:pPr>
    <w:rPr>
      <w:lang w:bidi="ar-SA"/>
    </w:rPr>
  </w:style>
  <w:style w:type="paragraph" w:customStyle="1" w:styleId="language">
    <w:name w:val="language"/>
    <w:basedOn w:val="Normal"/>
    <w:next w:val="Normal"/>
    <w:autoRedefine/>
    <w:rsid w:val="006D69DC"/>
    <w:pPr>
      <w:framePr w:w="266" w:h="363" w:hRule="exact" w:hSpace="181" w:wrap="notBeside" w:vAnchor="page" w:hAnchor="page" w:x="10774" w:y="568" w:anchorLock="1"/>
      <w:spacing w:after="120" w:line="340" w:lineRule="atLeast"/>
      <w:ind w:right="42"/>
    </w:pPr>
    <w:rPr>
      <w:rFonts w:cs="Times New Roman"/>
      <w:b/>
      <w:caps/>
      <w:sz w:val="40"/>
      <w:lang w:val="pt-BR"/>
    </w:rPr>
  </w:style>
  <w:style w:type="table" w:customStyle="1" w:styleId="TableGrid1">
    <w:name w:val="Table Grid1"/>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rsid w:val="006D69DC"/>
    <w:pPr>
      <w:spacing w:before="100" w:beforeAutospacing="1" w:after="100" w:afterAutospacing="1"/>
    </w:pPr>
    <w:rPr>
      <w:rFonts w:ascii="Times New Roman" w:hAnsi="Times New Roman" w:cs="Times New Roman"/>
      <w:sz w:val="24"/>
      <w:szCs w:val="24"/>
    </w:rPr>
  </w:style>
  <w:style w:type="character" w:styleId="Emphasis">
    <w:name w:val="Emphasis"/>
    <w:qFormat/>
    <w:rsid w:val="006D69DC"/>
    <w:rPr>
      <w:b/>
      <w:bCs/>
      <w:i w:val="0"/>
      <w:iCs w:val="0"/>
    </w:rPr>
  </w:style>
  <w:style w:type="character" w:customStyle="1" w:styleId="ft">
    <w:name w:val="ft"/>
    <w:basedOn w:val="DefaultParagraphFont"/>
    <w:rsid w:val="006D69DC"/>
  </w:style>
  <w:style w:type="paragraph" w:styleId="BodyText">
    <w:name w:val="Body Text"/>
    <w:aliases w:val="Body Text Char1"/>
    <w:basedOn w:val="Normal"/>
    <w:link w:val="Hyperlink"/>
    <w:rsid w:val="006D69DC"/>
    <w:rPr>
      <w:rFonts w:ascii="Times New Roman" w:hAnsi="Times New Roman" w:cs="Times New Roman"/>
      <w:color w:val="0000FF" w:themeColor="hyperlink"/>
      <w:sz w:val="20"/>
      <w:u w:val="single"/>
    </w:rPr>
  </w:style>
  <w:style w:type="character" w:customStyle="1" w:styleId="BodyTextChar">
    <w:name w:val="Body Text Char"/>
    <w:basedOn w:val="DefaultParagraphFont"/>
    <w:rsid w:val="006D69DC"/>
    <w:rPr>
      <w:rFonts w:ascii="Arial" w:hAnsi="Arial" w:cs="Arial"/>
      <w:sz w:val="22"/>
    </w:rPr>
  </w:style>
  <w:style w:type="paragraph" w:customStyle="1" w:styleId="Indicators">
    <w:name w:val="Indicators"/>
    <w:basedOn w:val="Normal"/>
    <w:link w:val="IndicatorsChar"/>
    <w:rsid w:val="006D69DC"/>
    <w:pPr>
      <w:spacing w:before="120"/>
      <w:ind w:left="284" w:right="170"/>
    </w:pPr>
    <w:rPr>
      <w:rFonts w:cs="Times New Roman"/>
      <w:snapToGrid w:val="0"/>
      <w:sz w:val="20"/>
    </w:rPr>
  </w:style>
  <w:style w:type="paragraph" w:customStyle="1" w:styleId="Default">
    <w:name w:val="Default"/>
    <w:rsid w:val="006D69DC"/>
    <w:pPr>
      <w:autoSpaceDE w:val="0"/>
      <w:autoSpaceDN w:val="0"/>
      <w:adjustRightInd w:val="0"/>
    </w:pPr>
    <w:rPr>
      <w:rFonts w:ascii="Arial" w:eastAsia="Batang" w:hAnsi="Arial" w:cs="Arial"/>
      <w:snapToGrid w:val="0"/>
      <w:color w:val="000000"/>
      <w:sz w:val="24"/>
      <w:szCs w:val="24"/>
    </w:rPr>
  </w:style>
  <w:style w:type="paragraph" w:customStyle="1" w:styleId="ONUMFS">
    <w:name w:val="ONUM FS"/>
    <w:basedOn w:val="BodyText"/>
    <w:rsid w:val="006D69DC"/>
    <w:pPr>
      <w:tabs>
        <w:tab w:val="num" w:pos="567"/>
      </w:tabs>
      <w:bidi/>
      <w:spacing w:after="220"/>
    </w:pPr>
    <w:rPr>
      <w:rFonts w:cs="Traditional Arabic"/>
      <w:szCs w:val="24"/>
      <w:lang w:bidi="ar-EG"/>
    </w:rPr>
  </w:style>
  <w:style w:type="paragraph" w:customStyle="1" w:styleId="ONUME">
    <w:name w:val="ONUM E"/>
    <w:basedOn w:val="BodyText"/>
    <w:rsid w:val="006D69DC"/>
    <w:pPr>
      <w:tabs>
        <w:tab w:val="num" w:pos="567"/>
      </w:tabs>
      <w:bidi/>
      <w:spacing w:after="220"/>
    </w:pPr>
    <w:rPr>
      <w:rFonts w:cs="Traditional Arabic"/>
      <w:szCs w:val="24"/>
      <w:lang w:bidi="ar-EG"/>
    </w:rPr>
  </w:style>
  <w:style w:type="paragraph" w:customStyle="1" w:styleId="CharCharCharChar">
    <w:name w:val="Char Char Char Char"/>
    <w:basedOn w:val="Normal"/>
    <w:rsid w:val="006D69DC"/>
    <w:pPr>
      <w:spacing w:after="160" w:line="240" w:lineRule="exact"/>
    </w:pPr>
    <w:rPr>
      <w:rFonts w:ascii="Verdana" w:hAnsi="Verdana" w:cs="Times New Roman"/>
      <w:sz w:val="20"/>
      <w:lang w:val="en-GB"/>
    </w:rPr>
  </w:style>
  <w:style w:type="paragraph" w:styleId="BlockText">
    <w:name w:val="Block Text"/>
    <w:basedOn w:val="Normal"/>
    <w:rsid w:val="006D69DC"/>
    <w:pPr>
      <w:spacing w:before="60" w:after="60"/>
      <w:ind w:left="266" w:right="142"/>
    </w:pPr>
    <w:rPr>
      <w:rFonts w:ascii="Times New Roman" w:hAnsi="Times New Roman" w:cs="Times New Roman"/>
    </w:rPr>
  </w:style>
  <w:style w:type="table" w:customStyle="1" w:styleId="TableGrid11">
    <w:name w:val="Table Grid11"/>
    <w:basedOn w:val="TableNormal"/>
    <w:next w:val="TableGrid"/>
    <w:uiPriority w:val="59"/>
    <w:rsid w:val="006D69DC"/>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semiHidden/>
    <w:rsid w:val="006D69DC"/>
  </w:style>
  <w:style w:type="table" w:customStyle="1" w:styleId="TableGrid2">
    <w:name w:val="Table Grid2"/>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6D69DC"/>
  </w:style>
  <w:style w:type="character" w:customStyle="1" w:styleId="Style5">
    <w:name w:val="Style5"/>
    <w:basedOn w:val="DefaultParagraphFont"/>
    <w:rsid w:val="006D69DC"/>
    <w:rPr>
      <w:rFonts w:asciiTheme="minorHAnsi" w:hAnsiTheme="minorHAnsi"/>
      <w:sz w:val="20"/>
    </w:rPr>
  </w:style>
  <w:style w:type="character" w:customStyle="1" w:styleId="apple-converted-space">
    <w:name w:val="apple-converted-space"/>
    <w:basedOn w:val="DefaultParagraphFont"/>
    <w:rsid w:val="006D69DC"/>
  </w:style>
  <w:style w:type="table" w:customStyle="1" w:styleId="TableGrid3">
    <w:name w:val="Table Grid3"/>
    <w:basedOn w:val="TableNormal"/>
    <w:next w:val="TableGrid"/>
    <w:uiPriority w:val="59"/>
    <w:rsid w:val="006D69DC"/>
    <w:rPr>
      <w:rFonts w:asciiTheme="minorHAnsi" w:eastAsiaTheme="minorHAnsi" w:hAnsiTheme="minorHAnsi" w:cstheme="minorBidi"/>
      <w:sz w:val="22"/>
      <w:szCs w:val="22"/>
      <w:lang w:val="fr-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6D69DC"/>
  </w:style>
  <w:style w:type="table" w:customStyle="1" w:styleId="TableGrid4">
    <w:name w:val="Table Grid4"/>
    <w:basedOn w:val="TableNormal"/>
    <w:next w:val="TableGrid"/>
    <w:uiPriority w:val="59"/>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rsid w:val="006D69DC"/>
    <w:pPr>
      <w:numPr>
        <w:numId w:val="59"/>
      </w:numPr>
    </w:pPr>
  </w:style>
  <w:style w:type="numbering" w:customStyle="1" w:styleId="NoList5">
    <w:name w:val="No List5"/>
    <w:next w:val="NoList"/>
    <w:semiHidden/>
    <w:rsid w:val="006D69DC"/>
  </w:style>
  <w:style w:type="table" w:customStyle="1" w:styleId="TableGrid5">
    <w:name w:val="Table Grid5"/>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Normal">
    <w:name w:val="AR_Normal"/>
    <w:basedOn w:val="Normal"/>
    <w:rsid w:val="006D69DC"/>
    <w:pPr>
      <w:bidi/>
      <w:spacing w:after="120" w:line="340" w:lineRule="exact"/>
      <w:jc w:val="both"/>
    </w:pPr>
    <w:rPr>
      <w:rFonts w:ascii="Arabic Typesetting" w:hAnsi="Arabic Typesetting" w:cs="Arabic Typesetting"/>
      <w:sz w:val="34"/>
      <w:szCs w:val="34"/>
      <w:lang w:bidi="ar-EG"/>
    </w:rPr>
  </w:style>
  <w:style w:type="paragraph" w:customStyle="1" w:styleId="ARSGTableText">
    <w:name w:val="AR_SG_Table_Text"/>
    <w:basedOn w:val="Normal"/>
    <w:rsid w:val="006D69DC"/>
    <w:pPr>
      <w:bidi/>
      <w:spacing w:before="60" w:after="60" w:line="280" w:lineRule="exact"/>
    </w:pPr>
    <w:rPr>
      <w:rFonts w:ascii="Arabic Typesetting" w:hAnsi="Arabic Typesetting" w:cs="Arabic Typesetting"/>
      <w:sz w:val="30"/>
      <w:szCs w:val="30"/>
      <w:lang w:bidi="ar-EG"/>
    </w:rPr>
  </w:style>
  <w:style w:type="paragraph" w:customStyle="1" w:styleId="ARProgramTableHeading">
    <w:name w:val="AR_Program_Table_Heading"/>
    <w:basedOn w:val="Normal"/>
    <w:rsid w:val="006D69DC"/>
    <w:pPr>
      <w:bidi/>
      <w:spacing w:before="60" w:after="60" w:line="280" w:lineRule="exact"/>
      <w:jc w:val="center"/>
    </w:pPr>
    <w:rPr>
      <w:rFonts w:ascii="Arabic Typesetting" w:hAnsi="Arabic Typesetting" w:cs="Arabic Typesetting"/>
      <w:b/>
      <w:bCs/>
      <w:sz w:val="30"/>
      <w:szCs w:val="30"/>
      <w:lang w:bidi="ar-EG"/>
    </w:rPr>
  </w:style>
  <w:style w:type="paragraph" w:customStyle="1" w:styleId="ARProgramTableText">
    <w:name w:val="AR_Program_Table_Text"/>
    <w:basedOn w:val="Normal"/>
    <w:rsid w:val="006D69DC"/>
    <w:pPr>
      <w:bidi/>
      <w:spacing w:before="60" w:after="60" w:line="280" w:lineRule="exact"/>
    </w:pPr>
    <w:rPr>
      <w:rFonts w:ascii="Arabic Typesetting" w:hAnsi="Arabic Typesetting" w:cs="Arabic Typesetting"/>
      <w:sz w:val="30"/>
      <w:szCs w:val="30"/>
      <w:lang w:bidi="ar-EG"/>
    </w:rPr>
  </w:style>
  <w:style w:type="numbering" w:customStyle="1" w:styleId="NoList6">
    <w:name w:val="No List6"/>
    <w:next w:val="NoList"/>
    <w:semiHidden/>
    <w:rsid w:val="006D69DC"/>
  </w:style>
  <w:style w:type="table" w:customStyle="1" w:styleId="TableGrid6">
    <w:name w:val="Table Grid6"/>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dicatorsChar">
    <w:name w:val="Indicators Char"/>
    <w:link w:val="Indicators"/>
    <w:locked/>
    <w:rsid w:val="006D69DC"/>
    <w:rPr>
      <w:rFonts w:ascii="Arial" w:hAnsi="Arial"/>
      <w:snapToGrid w:val="0"/>
    </w:rPr>
  </w:style>
  <w:style w:type="character" w:customStyle="1" w:styleId="CharChar11">
    <w:name w:val="Char Char11"/>
    <w:basedOn w:val="DefaultParagraphFont"/>
    <w:locked/>
    <w:rsid w:val="006D69DC"/>
    <w:rPr>
      <w:rFonts w:ascii="Arial" w:hAnsi="Arial"/>
      <w:lang w:val="en-US" w:eastAsia="en-US" w:bidi="ar-SA"/>
    </w:rPr>
  </w:style>
  <w:style w:type="paragraph" w:styleId="BodyTextIndent">
    <w:name w:val="Body Text Indent"/>
    <w:basedOn w:val="Normal"/>
    <w:link w:val="BodyTextIndentChar"/>
    <w:rsid w:val="006D69DC"/>
    <w:pPr>
      <w:ind w:left="567"/>
    </w:pPr>
    <w:rPr>
      <w:rFonts w:cs="Times New Roman"/>
      <w:sz w:val="20"/>
    </w:rPr>
  </w:style>
  <w:style w:type="character" w:customStyle="1" w:styleId="BodyTextIndentChar">
    <w:name w:val="Body Text Indent Char"/>
    <w:basedOn w:val="DefaultParagraphFont"/>
    <w:link w:val="BodyTextIndent"/>
    <w:rsid w:val="006D69DC"/>
    <w:rPr>
      <w:rFonts w:ascii="Arial" w:hAnsi="Arial"/>
    </w:rPr>
  </w:style>
  <w:style w:type="character" w:customStyle="1" w:styleId="CharChar">
    <w:name w:val="Char Char"/>
    <w:locked/>
    <w:rsid w:val="006D69DC"/>
    <w:rPr>
      <w:rFonts w:ascii="Arial" w:hAnsi="Arial"/>
      <w:lang w:val="en-US" w:eastAsia="en-US"/>
    </w:rPr>
  </w:style>
  <w:style w:type="paragraph" w:customStyle="1" w:styleId="CarCar">
    <w:name w:val="Car Car"/>
    <w:basedOn w:val="Normal"/>
    <w:rsid w:val="006D69DC"/>
    <w:pPr>
      <w:spacing w:after="160" w:line="240" w:lineRule="exact"/>
    </w:pPr>
    <w:rPr>
      <w:rFonts w:ascii="Verdana" w:hAnsi="Verdana" w:cs="Times New Roman"/>
      <w:sz w:val="20"/>
      <w:lang w:val="en-GB"/>
    </w:rPr>
  </w:style>
  <w:style w:type="character" w:customStyle="1" w:styleId="CommentTextChar1">
    <w:name w:val="Comment Text Char1"/>
    <w:basedOn w:val="DefaultParagraphFont"/>
    <w:rsid w:val="006D69DC"/>
    <w:rPr>
      <w:rFonts w:ascii="Arial" w:hAnsi="Arial" w:cs="Arial"/>
      <w:sz w:val="18"/>
    </w:rPr>
  </w:style>
  <w:style w:type="character" w:customStyle="1" w:styleId="CharChar2">
    <w:name w:val="Char Char2"/>
    <w:rsid w:val="006D69DC"/>
    <w:rPr>
      <w:rFonts w:ascii="Arial" w:hAnsi="Arial"/>
      <w:lang w:val="en-US" w:eastAsia="en-US"/>
    </w:rPr>
  </w:style>
  <w:style w:type="paragraph" w:customStyle="1" w:styleId="DecisionInvitingPara">
    <w:name w:val="Decision Inviting Para."/>
    <w:basedOn w:val="Normal"/>
    <w:rsid w:val="006D69DC"/>
    <w:pPr>
      <w:spacing w:after="120" w:line="260" w:lineRule="exact"/>
      <w:ind w:left="5534"/>
    </w:pPr>
    <w:rPr>
      <w:rFonts w:cs="Times New Roman"/>
      <w:i/>
      <w:sz w:val="20"/>
    </w:rPr>
  </w:style>
  <w:style w:type="paragraph" w:customStyle="1" w:styleId="preparedby">
    <w:name w:val="prepared by"/>
    <w:basedOn w:val="Normal"/>
    <w:next w:val="Normal"/>
    <w:rsid w:val="006D69DC"/>
    <w:pPr>
      <w:spacing w:after="480" w:line="260" w:lineRule="exact"/>
      <w:ind w:left="1021"/>
    </w:pPr>
    <w:rPr>
      <w:rFonts w:cs="Times New Roman"/>
      <w:i/>
      <w:sz w:val="20"/>
    </w:rPr>
  </w:style>
  <w:style w:type="paragraph" w:customStyle="1" w:styleId="Documenttitle">
    <w:name w:val="Document title"/>
    <w:basedOn w:val="Normal"/>
    <w:rsid w:val="006D69DC"/>
    <w:pPr>
      <w:spacing w:before="1200" w:after="120" w:line="260" w:lineRule="exact"/>
      <w:ind w:left="1021"/>
    </w:pPr>
    <w:rPr>
      <w:rFonts w:cs="Times New Roman"/>
      <w:b/>
      <w:caps/>
      <w:sz w:val="20"/>
    </w:rPr>
  </w:style>
  <w:style w:type="paragraph" w:customStyle="1" w:styleId="MeetinglanguageDate">
    <w:name w:val="Meeting language &amp; Date"/>
    <w:basedOn w:val="Normal"/>
    <w:next w:val="Meetingtitle"/>
    <w:rsid w:val="006D69DC"/>
    <w:pPr>
      <w:spacing w:after="1680" w:line="160" w:lineRule="exact"/>
      <w:ind w:left="1021"/>
      <w:contextualSpacing/>
      <w:jc w:val="right"/>
    </w:pPr>
    <w:rPr>
      <w:rFonts w:ascii="Arial Black" w:hAnsi="Arial Black" w:cs="Times New Roman"/>
      <w:b/>
      <w:caps/>
      <w:sz w:val="15"/>
      <w:lang w:val="fr-FR"/>
    </w:rPr>
  </w:style>
  <w:style w:type="paragraph" w:customStyle="1" w:styleId="Meetingtitle">
    <w:name w:val="Meeting title"/>
    <w:basedOn w:val="Normal"/>
    <w:next w:val="Sessiontitle"/>
    <w:rsid w:val="006D69DC"/>
    <w:pPr>
      <w:spacing w:after="360" w:line="336" w:lineRule="exact"/>
      <w:ind w:left="1021"/>
    </w:pPr>
    <w:rPr>
      <w:rFonts w:cs="Times New Roman"/>
      <w:b/>
      <w:sz w:val="28"/>
      <w:lang w:val="fr-FR"/>
    </w:rPr>
  </w:style>
  <w:style w:type="paragraph" w:customStyle="1" w:styleId="Sessiontitle">
    <w:name w:val="Session title"/>
    <w:basedOn w:val="Meetingtitle"/>
    <w:next w:val="Meetingdateplace0"/>
    <w:rsid w:val="006D69DC"/>
    <w:pPr>
      <w:spacing w:after="0"/>
    </w:pPr>
    <w:rPr>
      <w:sz w:val="24"/>
    </w:rPr>
  </w:style>
  <w:style w:type="paragraph" w:customStyle="1" w:styleId="Meetingdateplace0">
    <w:name w:val="Meeting date &amp; place"/>
    <w:basedOn w:val="Sessiontitle"/>
    <w:next w:val="Documenttitle"/>
    <w:rsid w:val="006D69DC"/>
    <w:rPr>
      <w:lang w:val="en-US"/>
    </w:rPr>
  </w:style>
  <w:style w:type="paragraph" w:customStyle="1" w:styleId="Language0">
    <w:name w:val="Language"/>
    <w:basedOn w:val="Normal"/>
    <w:next w:val="Normal"/>
    <w:autoRedefine/>
    <w:rsid w:val="006D69DC"/>
    <w:pPr>
      <w:spacing w:after="120" w:line="340" w:lineRule="atLeast"/>
      <w:ind w:left="1021"/>
      <w:jc w:val="right"/>
    </w:pPr>
    <w:rPr>
      <w:rFonts w:cs="Times New Roman"/>
      <w:b/>
      <w:caps/>
      <w:sz w:val="40"/>
      <w:lang w:val="pt-BR"/>
    </w:rPr>
  </w:style>
  <w:style w:type="paragraph" w:customStyle="1" w:styleId="MeetingCode">
    <w:name w:val="Meeting Code"/>
    <w:basedOn w:val="MeetinglanguageDate"/>
    <w:rsid w:val="006D69DC"/>
    <w:pPr>
      <w:spacing w:before="300" w:after="0"/>
    </w:pPr>
  </w:style>
  <w:style w:type="character" w:customStyle="1" w:styleId="CharChar3">
    <w:name w:val="Char Char3"/>
    <w:rsid w:val="006D69DC"/>
    <w:rPr>
      <w:rFonts w:ascii="Arial" w:hAnsi="Arial"/>
      <w:lang w:val="en-US" w:eastAsia="en-US"/>
    </w:rPr>
  </w:style>
  <w:style w:type="paragraph" w:customStyle="1" w:styleId="BoxText1">
    <w:name w:val="Box Text1"/>
    <w:basedOn w:val="Normal"/>
    <w:rsid w:val="006D69DC"/>
    <w:pPr>
      <w:ind w:left="284"/>
    </w:pPr>
    <w:rPr>
      <w:rFonts w:cs="Times New Roman"/>
    </w:rPr>
  </w:style>
  <w:style w:type="paragraph" w:customStyle="1" w:styleId="Normal1">
    <w:name w:val="Normal+1"/>
    <w:basedOn w:val="Normal"/>
    <w:next w:val="Normal"/>
    <w:rsid w:val="006D69DC"/>
    <w:pPr>
      <w:autoSpaceDE w:val="0"/>
      <w:autoSpaceDN w:val="0"/>
      <w:adjustRightInd w:val="0"/>
    </w:pPr>
    <w:rPr>
      <w:rFonts w:cs="Times New Roman"/>
      <w:sz w:val="20"/>
      <w:szCs w:val="24"/>
    </w:rPr>
  </w:style>
  <w:style w:type="character" w:customStyle="1" w:styleId="CharChar4">
    <w:name w:val="Char Char4"/>
    <w:rsid w:val="006D69DC"/>
    <w:rPr>
      <w:rFonts w:ascii="Arial" w:hAnsi="Arial"/>
      <w:lang w:val="en-US" w:eastAsia="en-US"/>
    </w:rPr>
  </w:style>
  <w:style w:type="paragraph" w:customStyle="1" w:styleId="Meetingplacedate">
    <w:name w:val="Meeting place &amp; date"/>
    <w:basedOn w:val="Sessiontitle"/>
    <w:next w:val="Documenttitle"/>
    <w:rsid w:val="006D69DC"/>
    <w:rPr>
      <w:lang w:val="en-US"/>
    </w:rPr>
  </w:style>
  <w:style w:type="character" w:customStyle="1" w:styleId="CharChar6">
    <w:name w:val="Char Char6"/>
    <w:rsid w:val="006D69DC"/>
    <w:rPr>
      <w:rFonts w:ascii="Arial" w:hAnsi="Arial"/>
      <w:lang w:val="en-US" w:eastAsia="en-US"/>
    </w:rPr>
  </w:style>
  <w:style w:type="character" w:customStyle="1" w:styleId="description">
    <w:name w:val="description"/>
    <w:basedOn w:val="DefaultParagraphFont"/>
    <w:rsid w:val="006D69DC"/>
    <w:rPr>
      <w:rFonts w:cs="Times New Roman"/>
    </w:rPr>
  </w:style>
  <w:style w:type="paragraph" w:customStyle="1" w:styleId="FreeFormA">
    <w:name w:val="Free Form A"/>
    <w:rsid w:val="006D69DC"/>
    <w:rPr>
      <w:rFonts w:ascii="Helvetica" w:eastAsia="ヒラギノ角ゴ Pro W3" w:hAnsi="Helvetica"/>
      <w:color w:val="000000"/>
      <w:sz w:val="24"/>
    </w:rPr>
  </w:style>
  <w:style w:type="paragraph" w:customStyle="1" w:styleId="Char">
    <w:name w:val="Char 字元 字元"/>
    <w:basedOn w:val="Normal"/>
    <w:rsid w:val="006D69DC"/>
    <w:pPr>
      <w:spacing w:after="160" w:line="240" w:lineRule="exact"/>
    </w:pPr>
    <w:rPr>
      <w:rFonts w:ascii="Verdana" w:eastAsia="PMingLiU" w:hAnsi="Verdana" w:cs="Times New Roman"/>
      <w:sz w:val="20"/>
    </w:rPr>
  </w:style>
  <w:style w:type="character" w:customStyle="1" w:styleId="underline">
    <w:name w:val="underline"/>
    <w:rsid w:val="006D69DC"/>
    <w:rPr>
      <w:u w:val="single"/>
    </w:rPr>
  </w:style>
  <w:style w:type="paragraph" w:customStyle="1" w:styleId="FreeForm">
    <w:name w:val="Free Form"/>
    <w:rsid w:val="006D69DC"/>
    <w:rPr>
      <w:rFonts w:eastAsia="ヒラギノ角ゴ Pro W3"/>
      <w:color w:val="000000"/>
    </w:rPr>
  </w:style>
  <w:style w:type="paragraph" w:customStyle="1" w:styleId="Heading2A">
    <w:name w:val="Heading 2 A"/>
    <w:next w:val="Normal"/>
    <w:rsid w:val="006D69DC"/>
    <w:pPr>
      <w:keepNext/>
      <w:tabs>
        <w:tab w:val="left" w:pos="567"/>
        <w:tab w:val="right" w:pos="9072"/>
      </w:tabs>
      <w:ind w:left="1701" w:hanging="1701"/>
      <w:outlineLvl w:val="1"/>
    </w:pPr>
    <w:rPr>
      <w:rFonts w:ascii="Arial Bold" w:eastAsia="ヒラギノ角ゴ Pro W3" w:hAnsi="Arial Bold"/>
      <w:color w:val="000000"/>
      <w:sz w:val="22"/>
    </w:rPr>
  </w:style>
  <w:style w:type="paragraph" w:customStyle="1" w:styleId="Normal-Header">
    <w:name w:val="Normal-Header"/>
    <w:rsid w:val="006D69DC"/>
    <w:rPr>
      <w:rFonts w:ascii="Arial" w:hAnsi="Arial"/>
      <w:sz w:val="16"/>
    </w:rPr>
  </w:style>
  <w:style w:type="paragraph" w:customStyle="1" w:styleId="StyleStyleHeading3ComplexItalicLatin12pt">
    <w:name w:val="Style Style Heading 3 + (Complex) Italic + (Latin) 12 pt"/>
    <w:basedOn w:val="Normal"/>
    <w:link w:val="StyleStyleHeading3ComplexItalicLatin12ptChar"/>
    <w:rsid w:val="006D69DC"/>
    <w:pPr>
      <w:keepNext/>
      <w:tabs>
        <w:tab w:val="left" w:pos="1985"/>
      </w:tabs>
      <w:outlineLvl w:val="2"/>
    </w:pPr>
    <w:rPr>
      <w:rFonts w:cs="Times New Roman"/>
      <w:b/>
      <w:iCs/>
      <w:caps/>
      <w:sz w:val="20"/>
      <w:szCs w:val="22"/>
    </w:rPr>
  </w:style>
  <w:style w:type="character" w:customStyle="1" w:styleId="StyleStyleHeading3ComplexItalicLatin12ptChar">
    <w:name w:val="Style Style Heading 3 + (Complex) Italic + (Latin) 12 pt Char"/>
    <w:basedOn w:val="DefaultParagraphFont"/>
    <w:link w:val="StyleStyleHeading3ComplexItalicLatin12pt"/>
    <w:locked/>
    <w:rsid w:val="006D69DC"/>
    <w:rPr>
      <w:rFonts w:ascii="Arial" w:hAnsi="Arial"/>
      <w:b/>
      <w:iCs/>
      <w:caps/>
      <w:szCs w:val="22"/>
    </w:rPr>
  </w:style>
  <w:style w:type="character" w:customStyle="1" w:styleId="st">
    <w:name w:val="st"/>
    <w:basedOn w:val="DefaultParagraphFont"/>
    <w:rsid w:val="006D69DC"/>
    <w:rPr>
      <w:rFonts w:cs="Times New Roman"/>
    </w:rPr>
  </w:style>
  <w:style w:type="paragraph" w:styleId="PlainText">
    <w:name w:val="Plain Text"/>
    <w:basedOn w:val="Normal"/>
    <w:link w:val="PlainTextChar"/>
    <w:unhideWhenUsed/>
    <w:rsid w:val="006D69DC"/>
    <w:rPr>
      <w:rFonts w:ascii="Courier New" w:hAnsi="Courier New"/>
      <w:szCs w:val="21"/>
    </w:rPr>
  </w:style>
  <w:style w:type="character" w:customStyle="1" w:styleId="PlainTextChar">
    <w:name w:val="Plain Text Char"/>
    <w:basedOn w:val="DefaultParagraphFont"/>
    <w:link w:val="PlainText"/>
    <w:rsid w:val="006D69DC"/>
    <w:rPr>
      <w:rFonts w:ascii="Courier New" w:hAnsi="Courier New" w:cs="Arial"/>
      <w:sz w:val="22"/>
      <w:szCs w:val="21"/>
    </w:rPr>
  </w:style>
  <w:style w:type="paragraph" w:styleId="NoSpacing">
    <w:name w:val="No Spacing"/>
    <w:qFormat/>
    <w:rsid w:val="006D69DC"/>
    <w:rPr>
      <w:rFonts w:ascii="Calibri" w:hAnsi="Calibri" w:cs="Arial"/>
      <w:sz w:val="22"/>
      <w:szCs w:val="22"/>
    </w:rPr>
  </w:style>
  <w:style w:type="paragraph" w:customStyle="1" w:styleId="CharCharCharChar2">
    <w:name w:val="Char Char Char Char2"/>
    <w:basedOn w:val="Normal"/>
    <w:rsid w:val="006D69DC"/>
    <w:pPr>
      <w:spacing w:after="160" w:line="240" w:lineRule="exact"/>
    </w:pPr>
    <w:rPr>
      <w:rFonts w:ascii="Verdana" w:hAnsi="Verdana" w:cs="Times New Roman"/>
      <w:sz w:val="20"/>
      <w:lang w:val="en-GB"/>
    </w:rPr>
  </w:style>
  <w:style w:type="paragraph" w:customStyle="1" w:styleId="StyleHeading214ptAuto">
    <w:name w:val="Style Heading 2 + 14 pt Auto"/>
    <w:basedOn w:val="Heading2"/>
    <w:rsid w:val="006D69DC"/>
    <w:pPr>
      <w:keepNext w:val="0"/>
      <w:widowControl w:val="0"/>
      <w:numPr>
        <w:numId w:val="58"/>
      </w:numPr>
      <w:tabs>
        <w:tab w:val="num" w:pos="567"/>
      </w:tabs>
      <w:spacing w:before="0" w:after="0" w:line="300" w:lineRule="atLeast"/>
      <w:ind w:left="567" w:hanging="567"/>
      <w:jc w:val="center"/>
    </w:pPr>
    <w:rPr>
      <w:rFonts w:ascii="Arial Bold" w:eastAsia="Times New Roman" w:hAnsi="Arial Bold"/>
      <w:b/>
      <w:sz w:val="24"/>
      <w:lang w:val="en-GB" w:eastAsia="da-DK"/>
    </w:rPr>
  </w:style>
  <w:style w:type="paragraph" w:customStyle="1" w:styleId="StyleHeading3ComplexItalic">
    <w:name w:val="Style Heading 3 + (Complex) Italic"/>
    <w:basedOn w:val="Heading3"/>
    <w:link w:val="StyleHeading3ComplexItalicChar"/>
    <w:rsid w:val="006D69DC"/>
    <w:pPr>
      <w:numPr>
        <w:numId w:val="60"/>
      </w:numPr>
      <w:tabs>
        <w:tab w:val="left" w:pos="1985"/>
      </w:tabs>
      <w:spacing w:before="0" w:after="0"/>
      <w:ind w:left="0" w:firstLine="0"/>
    </w:pPr>
    <w:rPr>
      <w:rFonts w:eastAsia="Times New Roman" w:cs="Times New Roman"/>
      <w:b/>
      <w:bCs w:val="0"/>
      <w:caps/>
      <w:szCs w:val="20"/>
      <w:u w:val="none"/>
      <w:lang w:val="x-none" w:eastAsia="x-none"/>
    </w:rPr>
  </w:style>
  <w:style w:type="character" w:customStyle="1" w:styleId="StyleHeading3ComplexItalicChar">
    <w:name w:val="Style Heading 3 + (Complex) Italic Char"/>
    <w:link w:val="StyleHeading3ComplexItalic"/>
    <w:locked/>
    <w:rsid w:val="006D69DC"/>
    <w:rPr>
      <w:rFonts w:ascii="Arial" w:hAnsi="Arial"/>
      <w:b/>
      <w:caps/>
      <w:sz w:val="22"/>
      <w:lang w:val="x-none" w:eastAsia="x-none"/>
    </w:rPr>
  </w:style>
  <w:style w:type="paragraph" w:customStyle="1" w:styleId="Test">
    <w:name w:val="Test"/>
    <w:basedOn w:val="Normal"/>
    <w:qFormat/>
    <w:rsid w:val="006D69DC"/>
    <w:pPr>
      <w:tabs>
        <w:tab w:val="num" w:pos="567"/>
      </w:tabs>
    </w:pPr>
    <w:rPr>
      <w:szCs w:val="22"/>
    </w:rPr>
  </w:style>
  <w:style w:type="paragraph" w:customStyle="1" w:styleId="CharCharCharChar1">
    <w:name w:val="Char Char Char Char1"/>
    <w:basedOn w:val="Normal"/>
    <w:rsid w:val="006D69DC"/>
    <w:pPr>
      <w:spacing w:after="160" w:line="240" w:lineRule="exact"/>
    </w:pPr>
    <w:rPr>
      <w:rFonts w:ascii="Verdana" w:hAnsi="Verdana" w:cs="Times New Roman"/>
      <w:sz w:val="20"/>
      <w:lang w:val="en-GB"/>
    </w:rPr>
  </w:style>
  <w:style w:type="character" w:customStyle="1" w:styleId="CharChar1">
    <w:name w:val="Char Char1"/>
    <w:locked/>
    <w:rsid w:val="006D69DC"/>
    <w:rPr>
      <w:rFonts w:ascii="Arial" w:hAnsi="Arial"/>
      <w:lang w:val="en-US" w:eastAsia="en-US"/>
    </w:rPr>
  </w:style>
  <w:style w:type="paragraph" w:customStyle="1" w:styleId="CarCar1">
    <w:name w:val="Car Car1"/>
    <w:basedOn w:val="Normal"/>
    <w:rsid w:val="006D69DC"/>
    <w:pPr>
      <w:spacing w:after="160" w:line="240" w:lineRule="exact"/>
    </w:pPr>
    <w:rPr>
      <w:rFonts w:ascii="Verdana" w:hAnsi="Verdana" w:cs="Times New Roman"/>
      <w:sz w:val="20"/>
      <w:lang w:val="en-GB"/>
    </w:rPr>
  </w:style>
  <w:style w:type="character" w:customStyle="1" w:styleId="CharChar21">
    <w:name w:val="Char Char21"/>
    <w:rsid w:val="006D69DC"/>
    <w:rPr>
      <w:rFonts w:ascii="Arial" w:hAnsi="Arial"/>
      <w:lang w:val="en-US" w:eastAsia="en-US"/>
    </w:rPr>
  </w:style>
  <w:style w:type="character" w:customStyle="1" w:styleId="CharChar31">
    <w:name w:val="Char Char31"/>
    <w:rsid w:val="006D69DC"/>
    <w:rPr>
      <w:rFonts w:ascii="Arial" w:hAnsi="Arial"/>
      <w:lang w:val="en-US" w:eastAsia="en-US"/>
    </w:rPr>
  </w:style>
  <w:style w:type="character" w:customStyle="1" w:styleId="CharChar41">
    <w:name w:val="Char Char41"/>
    <w:rsid w:val="006D69DC"/>
    <w:rPr>
      <w:rFonts w:ascii="Arial" w:hAnsi="Arial"/>
      <w:lang w:val="en-US" w:eastAsia="en-US"/>
    </w:rPr>
  </w:style>
  <w:style w:type="character" w:customStyle="1" w:styleId="CharChar61">
    <w:name w:val="Char Char61"/>
    <w:rsid w:val="006D69DC"/>
    <w:rPr>
      <w:rFonts w:ascii="Arial" w:hAnsi="Arial"/>
      <w:lang w:val="en-US" w:eastAsia="en-US"/>
    </w:rPr>
  </w:style>
  <w:style w:type="paragraph" w:customStyle="1" w:styleId="Char1">
    <w:name w:val="Char 字元 字元1"/>
    <w:basedOn w:val="Normal"/>
    <w:rsid w:val="006D69DC"/>
    <w:pPr>
      <w:spacing w:after="160" w:line="240" w:lineRule="exact"/>
    </w:pPr>
    <w:rPr>
      <w:rFonts w:ascii="Verdana" w:eastAsia="PMingLiU" w:hAnsi="Verdana" w:cs="Times New Roman"/>
      <w:sz w:val="20"/>
    </w:rPr>
  </w:style>
  <w:style w:type="paragraph" w:customStyle="1" w:styleId="Endofdocument0">
    <w:name w:val="End of document"/>
    <w:basedOn w:val="Normal"/>
    <w:rsid w:val="006D69DC"/>
    <w:pPr>
      <w:ind w:left="4536"/>
      <w:jc w:val="center"/>
    </w:pPr>
    <w:rPr>
      <w:rFonts w:ascii="Times New Roman" w:hAnsi="Times New Roman" w:cs="Times New Roman"/>
      <w:sz w:val="24"/>
    </w:rPr>
  </w:style>
  <w:style w:type="numbering" w:customStyle="1" w:styleId="NoList7">
    <w:name w:val="No List7"/>
    <w:next w:val="NoList"/>
    <w:semiHidden/>
    <w:rsid w:val="006D69DC"/>
  </w:style>
  <w:style w:type="table" w:customStyle="1" w:styleId="TableGrid7">
    <w:name w:val="Table Grid7"/>
    <w:basedOn w:val="TableNormal"/>
    <w:next w:val="TableGrid"/>
    <w:rsid w:val="006D69DC"/>
    <w:pPr>
      <w:bidi/>
    </w:pPr>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nhideWhenUsed/>
    <w:qFormat/>
    <w:rsid w:val="006D69DC"/>
    <w:pPr>
      <w:keepLines/>
      <w:spacing w:before="480" w:after="0" w:line="276" w:lineRule="auto"/>
      <w:outlineLvl w:val="9"/>
    </w:pPr>
    <w:rPr>
      <w:rFonts w:asciiTheme="majorHAnsi" w:eastAsiaTheme="majorEastAsia" w:hAnsiTheme="majorHAnsi" w:cstheme="majorBidi"/>
      <w:caps w:val="0"/>
      <w:color w:val="365F91" w:themeColor="accent1" w:themeShade="BF"/>
      <w:kern w:val="0"/>
      <w:sz w:val="28"/>
      <w:szCs w:val="28"/>
      <w:lang w:eastAsia="ja-JP"/>
    </w:rPr>
  </w:style>
  <w:style w:type="character" w:customStyle="1" w:styleId="CharChar5">
    <w:name w:val="Char Char5"/>
    <w:locked/>
    <w:rsid w:val="006D69DC"/>
    <w:rPr>
      <w:rFonts w:ascii="Arial" w:hAnsi="Arial"/>
      <w:sz w:val="22"/>
    </w:rPr>
  </w:style>
  <w:style w:type="character" w:customStyle="1" w:styleId="Novruzova">
    <w:name w:val="Novruzova"/>
    <w:semiHidden/>
    <w:rsid w:val="006D69DC"/>
    <w:rPr>
      <w:rFonts w:ascii="Arial" w:hAnsi="Arial"/>
      <w:color w:val="000080"/>
      <w:sz w:val="20"/>
    </w:rPr>
  </w:style>
  <w:style w:type="paragraph" w:customStyle="1" w:styleId="Char0">
    <w:name w:val="Char ?? ??"/>
    <w:basedOn w:val="Normal"/>
    <w:rsid w:val="006D69DC"/>
    <w:pPr>
      <w:spacing w:after="160" w:line="240" w:lineRule="exact"/>
    </w:pPr>
    <w:rPr>
      <w:rFonts w:ascii="Times New Roman" w:hAnsi="Times New Roman" w:cs="Times New Roman"/>
      <w:snapToGrid w:val="0"/>
      <w:sz w:val="20"/>
    </w:rPr>
  </w:style>
  <w:style w:type="character" w:customStyle="1" w:styleId="CharChar8">
    <w:name w:val="Char Char8"/>
    <w:locked/>
    <w:rsid w:val="006D69DC"/>
    <w:rPr>
      <w:rFonts w:ascii="Arial" w:hAnsi="Arial"/>
      <w:sz w:val="18"/>
    </w:rPr>
  </w:style>
  <w:style w:type="character" w:styleId="PlaceholderText">
    <w:name w:val="Placeholder Text"/>
    <w:semiHidden/>
    <w:rsid w:val="006D69DC"/>
    <w:rPr>
      <w:color w:val="808080"/>
    </w:rPr>
  </w:style>
  <w:style w:type="character" w:customStyle="1" w:styleId="CharChar14">
    <w:name w:val="Char Char14"/>
    <w:locked/>
    <w:rsid w:val="006D69DC"/>
    <w:rPr>
      <w:rFonts w:ascii="Arial" w:eastAsia="SimSun" w:hAnsi="Arial"/>
      <w:caps/>
      <w:sz w:val="28"/>
    </w:rPr>
  </w:style>
  <w:style w:type="character" w:customStyle="1" w:styleId="DecisionInvitingParaChar">
    <w:name w:val="Decision Inviting Para. Char"/>
    <w:locked/>
    <w:rsid w:val="006D69DC"/>
    <w:rPr>
      <w:rFonts w:ascii="Arial" w:hAnsi="Arial"/>
      <w:i/>
    </w:rPr>
  </w:style>
  <w:style w:type="character" w:customStyle="1" w:styleId="CharChar12">
    <w:name w:val="Char Char12"/>
    <w:locked/>
    <w:rsid w:val="006D69DC"/>
    <w:rPr>
      <w:rFonts w:ascii="Arial" w:hAnsi="Arial"/>
      <w:sz w:val="22"/>
    </w:rPr>
  </w:style>
  <w:style w:type="character" w:customStyle="1" w:styleId="CharChar13">
    <w:name w:val="Char Char13"/>
    <w:locked/>
    <w:rsid w:val="006D69DC"/>
    <w:rPr>
      <w:rFonts w:ascii="Arial" w:eastAsia="SimSun" w:hAnsi="Arial"/>
      <w:sz w:val="26"/>
      <w:u w:val="single"/>
    </w:rPr>
  </w:style>
  <w:style w:type="character" w:customStyle="1" w:styleId="ONUMEChar">
    <w:name w:val="ONUM E Char"/>
    <w:locked/>
    <w:rsid w:val="006D69DC"/>
    <w:rPr>
      <w:rFonts w:ascii="Arial" w:hAnsi="Arial"/>
      <w:sz w:val="24"/>
    </w:rPr>
  </w:style>
  <w:style w:type="paragraph" w:customStyle="1" w:styleId="StyleHeading3BoldNounderline">
    <w:name w:val="Style Heading 3 + Bold No underline"/>
    <w:basedOn w:val="Heading3"/>
    <w:rsid w:val="006D69DC"/>
    <w:rPr>
      <w:rFonts w:cs="Times New Roman"/>
      <w:i/>
      <w:snapToGrid w:val="0"/>
      <w:sz w:val="20"/>
      <w:u w:val="none"/>
    </w:rPr>
  </w:style>
  <w:style w:type="character" w:customStyle="1" w:styleId="CharChar10">
    <w:name w:val="Char Char10"/>
    <w:locked/>
    <w:rsid w:val="006D69DC"/>
    <w:rPr>
      <w:rFonts w:ascii="Arial" w:hAnsi="Arial"/>
      <w:sz w:val="22"/>
    </w:rPr>
  </w:style>
  <w:style w:type="character" w:customStyle="1" w:styleId="CharChar9">
    <w:name w:val="Char Char9"/>
    <w:locked/>
    <w:rsid w:val="006D69DC"/>
    <w:rPr>
      <w:rFonts w:ascii="Arial" w:hAnsi="Arial"/>
      <w:sz w:val="22"/>
    </w:rPr>
  </w:style>
  <w:style w:type="character" w:customStyle="1" w:styleId="CharChar7">
    <w:name w:val="Char Char7"/>
    <w:locked/>
    <w:rsid w:val="006D69DC"/>
    <w:rPr>
      <w:rFonts w:ascii="Arial" w:hAnsi="Arial"/>
      <w:sz w:val="18"/>
    </w:rPr>
  </w:style>
  <w:style w:type="character" w:customStyle="1" w:styleId="tw4winMark">
    <w:name w:val="tw4winMark"/>
    <w:rsid w:val="006D69DC"/>
    <w:rPr>
      <w:rFonts w:ascii="Courier New" w:hAnsi="Courier New"/>
      <w:vanish/>
      <w:color w:val="800080"/>
      <w:sz w:val="24"/>
      <w:vertAlign w:val="subscript"/>
    </w:rPr>
  </w:style>
  <w:style w:type="character" w:customStyle="1" w:styleId="tw4winError">
    <w:name w:val="tw4winError"/>
    <w:rsid w:val="006D69DC"/>
    <w:rPr>
      <w:rFonts w:ascii="Courier New" w:hAnsi="Courier New"/>
      <w:color w:val="00FF00"/>
      <w:sz w:val="40"/>
    </w:rPr>
  </w:style>
  <w:style w:type="character" w:customStyle="1" w:styleId="tw4winTerm">
    <w:name w:val="tw4winTerm"/>
    <w:rsid w:val="006D69DC"/>
    <w:rPr>
      <w:color w:val="0000FF"/>
    </w:rPr>
  </w:style>
  <w:style w:type="character" w:customStyle="1" w:styleId="tw4winPopup">
    <w:name w:val="tw4winPopup"/>
    <w:rsid w:val="006D69DC"/>
    <w:rPr>
      <w:rFonts w:ascii="Courier New" w:hAnsi="Courier New"/>
      <w:noProof/>
      <w:color w:val="008000"/>
    </w:rPr>
  </w:style>
  <w:style w:type="character" w:customStyle="1" w:styleId="tw4winJump">
    <w:name w:val="tw4winJump"/>
    <w:rsid w:val="006D69DC"/>
    <w:rPr>
      <w:rFonts w:ascii="Courier New" w:hAnsi="Courier New"/>
      <w:noProof/>
      <w:color w:val="008080"/>
    </w:rPr>
  </w:style>
  <w:style w:type="character" w:customStyle="1" w:styleId="tw4winExternal">
    <w:name w:val="tw4winExternal"/>
    <w:rsid w:val="006D69DC"/>
    <w:rPr>
      <w:rFonts w:ascii="Courier New" w:hAnsi="Courier New"/>
      <w:noProof/>
      <w:color w:val="808080"/>
    </w:rPr>
  </w:style>
  <w:style w:type="character" w:customStyle="1" w:styleId="tw4winInternal">
    <w:name w:val="tw4winInternal"/>
    <w:rsid w:val="006D69DC"/>
    <w:rPr>
      <w:rFonts w:ascii="Courier New" w:hAnsi="Courier New"/>
      <w:noProof/>
      <w:color w:val="FF0000"/>
    </w:rPr>
  </w:style>
  <w:style w:type="character" w:customStyle="1" w:styleId="DONOTTRANSLATE">
    <w:name w:val="DO_NOT_TRANSLATE"/>
    <w:rsid w:val="006D69DC"/>
    <w:rPr>
      <w:rFonts w:ascii="Courier New" w:hAnsi="Courier New"/>
      <w:noProof/>
      <w:color w:val="8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5702225">
      <w:bodyDiv w:val="1"/>
      <w:marLeft w:val="0"/>
      <w:marRight w:val="0"/>
      <w:marTop w:val="0"/>
      <w:marBottom w:val="0"/>
      <w:divBdr>
        <w:top w:val="none" w:sz="0" w:space="0" w:color="auto"/>
        <w:left w:val="none" w:sz="0" w:space="0" w:color="auto"/>
        <w:bottom w:val="none" w:sz="0" w:space="0" w:color="auto"/>
        <w:right w:val="none" w:sz="0" w:space="0" w:color="auto"/>
      </w:divBdr>
    </w:div>
    <w:div w:id="620184535">
      <w:bodyDiv w:val="1"/>
      <w:marLeft w:val="0"/>
      <w:marRight w:val="0"/>
      <w:marTop w:val="0"/>
      <w:marBottom w:val="0"/>
      <w:divBdr>
        <w:top w:val="none" w:sz="0" w:space="0" w:color="auto"/>
        <w:left w:val="none" w:sz="0" w:space="0" w:color="auto"/>
        <w:bottom w:val="none" w:sz="0" w:space="0" w:color="auto"/>
        <w:right w:val="none" w:sz="0" w:space="0" w:color="auto"/>
      </w:divBdr>
    </w:div>
    <w:div w:id="717314997">
      <w:bodyDiv w:val="1"/>
      <w:marLeft w:val="0"/>
      <w:marRight w:val="0"/>
      <w:marTop w:val="0"/>
      <w:marBottom w:val="0"/>
      <w:divBdr>
        <w:top w:val="none" w:sz="0" w:space="0" w:color="auto"/>
        <w:left w:val="none" w:sz="0" w:space="0" w:color="auto"/>
        <w:bottom w:val="none" w:sz="0" w:space="0" w:color="auto"/>
        <w:right w:val="none" w:sz="0" w:space="0" w:color="auto"/>
      </w:divBdr>
    </w:div>
    <w:div w:id="1050574106">
      <w:bodyDiv w:val="1"/>
      <w:marLeft w:val="0"/>
      <w:marRight w:val="0"/>
      <w:marTop w:val="0"/>
      <w:marBottom w:val="0"/>
      <w:divBdr>
        <w:top w:val="none" w:sz="0" w:space="0" w:color="auto"/>
        <w:left w:val="none" w:sz="0" w:space="0" w:color="auto"/>
        <w:bottom w:val="none" w:sz="0" w:space="0" w:color="auto"/>
        <w:right w:val="none" w:sz="0" w:space="0" w:color="auto"/>
      </w:divBdr>
    </w:div>
    <w:div w:id="1113594544">
      <w:bodyDiv w:val="1"/>
      <w:marLeft w:val="0"/>
      <w:marRight w:val="0"/>
      <w:marTop w:val="0"/>
      <w:marBottom w:val="0"/>
      <w:divBdr>
        <w:top w:val="none" w:sz="0" w:space="0" w:color="auto"/>
        <w:left w:val="none" w:sz="0" w:space="0" w:color="auto"/>
        <w:bottom w:val="none" w:sz="0" w:space="0" w:color="auto"/>
        <w:right w:val="none" w:sz="0" w:space="0" w:color="auto"/>
      </w:divBdr>
    </w:div>
    <w:div w:id="1220750389">
      <w:bodyDiv w:val="1"/>
      <w:marLeft w:val="0"/>
      <w:marRight w:val="0"/>
      <w:marTop w:val="0"/>
      <w:marBottom w:val="0"/>
      <w:divBdr>
        <w:top w:val="none" w:sz="0" w:space="0" w:color="auto"/>
        <w:left w:val="none" w:sz="0" w:space="0" w:color="auto"/>
        <w:bottom w:val="none" w:sz="0" w:space="0" w:color="auto"/>
        <w:right w:val="none" w:sz="0" w:space="0" w:color="auto"/>
      </w:divBdr>
    </w:div>
    <w:div w:id="1330525174">
      <w:bodyDiv w:val="1"/>
      <w:marLeft w:val="0"/>
      <w:marRight w:val="0"/>
      <w:marTop w:val="0"/>
      <w:marBottom w:val="0"/>
      <w:divBdr>
        <w:top w:val="none" w:sz="0" w:space="0" w:color="auto"/>
        <w:left w:val="none" w:sz="0" w:space="0" w:color="auto"/>
        <w:bottom w:val="none" w:sz="0" w:space="0" w:color="auto"/>
        <w:right w:val="none" w:sz="0" w:space="0" w:color="auto"/>
      </w:divBdr>
    </w:div>
    <w:div w:id="1349677878">
      <w:bodyDiv w:val="1"/>
      <w:marLeft w:val="0"/>
      <w:marRight w:val="0"/>
      <w:marTop w:val="0"/>
      <w:marBottom w:val="0"/>
      <w:divBdr>
        <w:top w:val="none" w:sz="0" w:space="0" w:color="auto"/>
        <w:left w:val="none" w:sz="0" w:space="0" w:color="auto"/>
        <w:bottom w:val="none" w:sz="0" w:space="0" w:color="auto"/>
        <w:right w:val="none" w:sz="0" w:space="0" w:color="auto"/>
      </w:divBdr>
    </w:div>
    <w:div w:id="1392651529">
      <w:bodyDiv w:val="1"/>
      <w:marLeft w:val="0"/>
      <w:marRight w:val="0"/>
      <w:marTop w:val="0"/>
      <w:marBottom w:val="0"/>
      <w:divBdr>
        <w:top w:val="none" w:sz="0" w:space="0" w:color="auto"/>
        <w:left w:val="none" w:sz="0" w:space="0" w:color="auto"/>
        <w:bottom w:val="none" w:sz="0" w:space="0" w:color="auto"/>
        <w:right w:val="none" w:sz="0" w:space="0" w:color="auto"/>
      </w:divBdr>
    </w:div>
    <w:div w:id="1643346834">
      <w:bodyDiv w:val="1"/>
      <w:marLeft w:val="0"/>
      <w:marRight w:val="0"/>
      <w:marTop w:val="0"/>
      <w:marBottom w:val="0"/>
      <w:divBdr>
        <w:top w:val="none" w:sz="0" w:space="0" w:color="auto"/>
        <w:left w:val="none" w:sz="0" w:space="0" w:color="auto"/>
        <w:bottom w:val="none" w:sz="0" w:space="0" w:color="auto"/>
        <w:right w:val="none" w:sz="0" w:space="0" w:color="auto"/>
      </w:divBdr>
    </w:div>
    <w:div w:id="1789812321">
      <w:bodyDiv w:val="1"/>
      <w:marLeft w:val="0"/>
      <w:marRight w:val="0"/>
      <w:marTop w:val="0"/>
      <w:marBottom w:val="0"/>
      <w:divBdr>
        <w:top w:val="none" w:sz="0" w:space="0" w:color="auto"/>
        <w:left w:val="none" w:sz="0" w:space="0" w:color="auto"/>
        <w:bottom w:val="none" w:sz="0" w:space="0" w:color="auto"/>
        <w:right w:val="none" w:sz="0" w:space="0" w:color="auto"/>
      </w:divBdr>
    </w:div>
    <w:div w:id="1864857065">
      <w:bodyDiv w:val="1"/>
      <w:marLeft w:val="0"/>
      <w:marRight w:val="0"/>
      <w:marTop w:val="0"/>
      <w:marBottom w:val="0"/>
      <w:divBdr>
        <w:top w:val="none" w:sz="0" w:space="0" w:color="auto"/>
        <w:left w:val="none" w:sz="0" w:space="0" w:color="auto"/>
        <w:bottom w:val="none" w:sz="0" w:space="0" w:color="auto"/>
        <w:right w:val="none" w:sz="0" w:space="0" w:color="auto"/>
      </w:divBdr>
    </w:div>
    <w:div w:id="2016569133">
      <w:bodyDiv w:val="1"/>
      <w:marLeft w:val="0"/>
      <w:marRight w:val="0"/>
      <w:marTop w:val="0"/>
      <w:marBottom w:val="0"/>
      <w:divBdr>
        <w:top w:val="none" w:sz="0" w:space="0" w:color="auto"/>
        <w:left w:val="none" w:sz="0" w:space="0" w:color="auto"/>
        <w:bottom w:val="none" w:sz="0" w:space="0" w:color="auto"/>
        <w:right w:val="none" w:sz="0" w:space="0" w:color="auto"/>
      </w:divBdr>
    </w:div>
    <w:div w:id="2046514406">
      <w:bodyDiv w:val="1"/>
      <w:marLeft w:val="0"/>
      <w:marRight w:val="0"/>
      <w:marTop w:val="0"/>
      <w:marBottom w:val="0"/>
      <w:divBdr>
        <w:top w:val="none" w:sz="0" w:space="0" w:color="auto"/>
        <w:left w:val="none" w:sz="0" w:space="0" w:color="auto"/>
        <w:bottom w:val="none" w:sz="0" w:space="0" w:color="auto"/>
        <w:right w:val="none" w:sz="0" w:space="0" w:color="auto"/>
      </w:divBdr>
    </w:div>
    <w:div w:id="2087529069">
      <w:bodyDiv w:val="1"/>
      <w:marLeft w:val="0"/>
      <w:marRight w:val="0"/>
      <w:marTop w:val="0"/>
      <w:marBottom w:val="0"/>
      <w:divBdr>
        <w:top w:val="none" w:sz="0" w:space="0" w:color="auto"/>
        <w:left w:val="none" w:sz="0" w:space="0" w:color="auto"/>
        <w:bottom w:val="none" w:sz="0" w:space="0" w:color="auto"/>
        <w:right w:val="none" w:sz="0" w:space="0" w:color="auto"/>
      </w:divBdr>
    </w:div>
    <w:div w:id="20890380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chart" Target="charts/chart28.xml"/><Relationship Id="rId21" Type="http://schemas.openxmlformats.org/officeDocument/2006/relationships/image" Target="media/image6.png"/><Relationship Id="rId42" Type="http://schemas.openxmlformats.org/officeDocument/2006/relationships/image" Target="media/image27.emf"/><Relationship Id="rId47" Type="http://schemas.openxmlformats.org/officeDocument/2006/relationships/image" Target="media/image28.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5.png"/><Relationship Id="rId89" Type="http://schemas.openxmlformats.org/officeDocument/2006/relationships/image" Target="media/image60.png"/><Relationship Id="rId112" Type="http://schemas.openxmlformats.org/officeDocument/2006/relationships/image" Target="media/image72.png"/><Relationship Id="rId16" Type="http://schemas.openxmlformats.org/officeDocument/2006/relationships/footer" Target="footer3.xml"/><Relationship Id="rId107" Type="http://schemas.openxmlformats.org/officeDocument/2006/relationships/image" Target="media/image68.png"/><Relationship Id="rId11" Type="http://schemas.openxmlformats.org/officeDocument/2006/relationships/header" Target="header2.xml"/><Relationship Id="rId32" Type="http://schemas.openxmlformats.org/officeDocument/2006/relationships/image" Target="media/image17.png"/><Relationship Id="rId37" Type="http://schemas.openxmlformats.org/officeDocument/2006/relationships/image" Target="media/image22.emf"/><Relationship Id="rId53" Type="http://schemas.openxmlformats.org/officeDocument/2006/relationships/chart" Target="charts/chart9.xml"/><Relationship Id="rId58" Type="http://schemas.openxmlformats.org/officeDocument/2006/relationships/chart" Target="charts/chart14.xml"/><Relationship Id="rId74" Type="http://schemas.openxmlformats.org/officeDocument/2006/relationships/image" Target="media/image45.png"/><Relationship Id="rId79" Type="http://schemas.openxmlformats.org/officeDocument/2006/relationships/image" Target="media/image50.png"/><Relationship Id="rId102" Type="http://schemas.openxmlformats.org/officeDocument/2006/relationships/chart" Target="charts/chart23.xml"/><Relationship Id="rId123" Type="http://schemas.openxmlformats.org/officeDocument/2006/relationships/image" Target="media/image78.png"/><Relationship Id="rId128" Type="http://schemas.openxmlformats.org/officeDocument/2006/relationships/header" Target="header8.xml"/><Relationship Id="rId5" Type="http://schemas.openxmlformats.org/officeDocument/2006/relationships/settings" Target="settings.xml"/><Relationship Id="rId90" Type="http://schemas.openxmlformats.org/officeDocument/2006/relationships/image" Target="media/image61.png"/><Relationship Id="rId95" Type="http://schemas.openxmlformats.org/officeDocument/2006/relationships/chart" Target="charts/chart16.xml"/><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chart" Target="charts/chart1.xml"/><Relationship Id="rId48" Type="http://schemas.openxmlformats.org/officeDocument/2006/relationships/image" Target="media/image29.png"/><Relationship Id="rId56" Type="http://schemas.openxmlformats.org/officeDocument/2006/relationships/chart" Target="charts/chart12.xml"/><Relationship Id="rId64" Type="http://schemas.openxmlformats.org/officeDocument/2006/relationships/image" Target="media/image35.png"/><Relationship Id="rId69" Type="http://schemas.openxmlformats.org/officeDocument/2006/relationships/image" Target="media/image40.png"/><Relationship Id="rId77" Type="http://schemas.openxmlformats.org/officeDocument/2006/relationships/image" Target="media/image48.png"/><Relationship Id="rId100" Type="http://schemas.openxmlformats.org/officeDocument/2006/relationships/chart" Target="charts/chart21.xml"/><Relationship Id="rId105" Type="http://schemas.openxmlformats.org/officeDocument/2006/relationships/image" Target="media/image66.png"/><Relationship Id="rId113" Type="http://schemas.openxmlformats.org/officeDocument/2006/relationships/image" Target="media/image73.png"/><Relationship Id="rId118" Type="http://schemas.openxmlformats.org/officeDocument/2006/relationships/image" Target="media/image75.png"/><Relationship Id="rId126" Type="http://schemas.openxmlformats.org/officeDocument/2006/relationships/header" Target="header6.xml"/><Relationship Id="rId8" Type="http://schemas.openxmlformats.org/officeDocument/2006/relationships/endnotes" Target="endnotes.xml"/><Relationship Id="rId51" Type="http://schemas.openxmlformats.org/officeDocument/2006/relationships/chart" Target="charts/chart7.xml"/><Relationship Id="rId72" Type="http://schemas.openxmlformats.org/officeDocument/2006/relationships/image" Target="media/image43.png"/><Relationship Id="rId80" Type="http://schemas.openxmlformats.org/officeDocument/2006/relationships/image" Target="media/image51.png"/><Relationship Id="rId85" Type="http://schemas.openxmlformats.org/officeDocument/2006/relationships/image" Target="media/image56.png"/><Relationship Id="rId93" Type="http://schemas.openxmlformats.org/officeDocument/2006/relationships/image" Target="media/image64.png"/><Relationship Id="rId98" Type="http://schemas.openxmlformats.org/officeDocument/2006/relationships/chart" Target="charts/chart19.xml"/><Relationship Id="rId121" Type="http://schemas.openxmlformats.org/officeDocument/2006/relationships/chart" Target="charts/chart30.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emf"/><Relationship Id="rId46" Type="http://schemas.openxmlformats.org/officeDocument/2006/relationships/chart" Target="charts/chart4.xml"/><Relationship Id="rId59" Type="http://schemas.openxmlformats.org/officeDocument/2006/relationships/image" Target="media/image30.png"/><Relationship Id="rId67" Type="http://schemas.openxmlformats.org/officeDocument/2006/relationships/image" Target="media/image38.png"/><Relationship Id="rId103" Type="http://schemas.openxmlformats.org/officeDocument/2006/relationships/chart" Target="charts/chart24.xml"/><Relationship Id="rId108" Type="http://schemas.openxmlformats.org/officeDocument/2006/relationships/chart" Target="charts/chart25.xml"/><Relationship Id="rId116" Type="http://schemas.openxmlformats.org/officeDocument/2006/relationships/chart" Target="charts/chart27.xml"/><Relationship Id="rId124" Type="http://schemas.openxmlformats.org/officeDocument/2006/relationships/image" Target="media/image79.png"/><Relationship Id="rId129" Type="http://schemas.openxmlformats.org/officeDocument/2006/relationships/header" Target="header9.xml"/><Relationship Id="rId20" Type="http://schemas.openxmlformats.org/officeDocument/2006/relationships/image" Target="media/image5.png"/><Relationship Id="rId41" Type="http://schemas.openxmlformats.org/officeDocument/2006/relationships/image" Target="media/image26.emf"/><Relationship Id="rId54" Type="http://schemas.openxmlformats.org/officeDocument/2006/relationships/chart" Target="charts/chart10.xml"/><Relationship Id="rId62" Type="http://schemas.openxmlformats.org/officeDocument/2006/relationships/image" Target="media/image33.png"/><Relationship Id="rId70" Type="http://schemas.openxmlformats.org/officeDocument/2006/relationships/image" Target="media/image41.png"/><Relationship Id="rId75" Type="http://schemas.openxmlformats.org/officeDocument/2006/relationships/image" Target="media/image46.png"/><Relationship Id="rId83" Type="http://schemas.openxmlformats.org/officeDocument/2006/relationships/image" Target="media/image54.png"/><Relationship Id="rId88" Type="http://schemas.openxmlformats.org/officeDocument/2006/relationships/image" Target="media/image59.png"/><Relationship Id="rId91" Type="http://schemas.openxmlformats.org/officeDocument/2006/relationships/image" Target="media/image62.png"/><Relationship Id="rId96" Type="http://schemas.openxmlformats.org/officeDocument/2006/relationships/chart" Target="charts/chart17.xml"/><Relationship Id="rId111" Type="http://schemas.openxmlformats.org/officeDocument/2006/relationships/image" Target="media/image71.png"/><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chart" Target="charts/chart5.xml"/><Relationship Id="rId57" Type="http://schemas.openxmlformats.org/officeDocument/2006/relationships/chart" Target="charts/chart13.xml"/><Relationship Id="rId106" Type="http://schemas.openxmlformats.org/officeDocument/2006/relationships/image" Target="media/image67.png"/><Relationship Id="rId114" Type="http://schemas.openxmlformats.org/officeDocument/2006/relationships/image" Target="media/image74.png"/><Relationship Id="rId119" Type="http://schemas.openxmlformats.org/officeDocument/2006/relationships/image" Target="media/image76.png"/><Relationship Id="rId127" Type="http://schemas.openxmlformats.org/officeDocument/2006/relationships/header" Target="header7.xml"/><Relationship Id="rId10" Type="http://schemas.openxmlformats.org/officeDocument/2006/relationships/header" Target="header1.xml"/><Relationship Id="rId31" Type="http://schemas.openxmlformats.org/officeDocument/2006/relationships/image" Target="media/image16.png"/><Relationship Id="rId44" Type="http://schemas.openxmlformats.org/officeDocument/2006/relationships/chart" Target="charts/chart2.xml"/><Relationship Id="rId52" Type="http://schemas.openxmlformats.org/officeDocument/2006/relationships/chart" Target="charts/chart8.xml"/><Relationship Id="rId60" Type="http://schemas.openxmlformats.org/officeDocument/2006/relationships/image" Target="media/image31.png"/><Relationship Id="rId65" Type="http://schemas.openxmlformats.org/officeDocument/2006/relationships/image" Target="media/image36.png"/><Relationship Id="rId73" Type="http://schemas.openxmlformats.org/officeDocument/2006/relationships/image" Target="media/image44.png"/><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image" Target="media/image57.png"/><Relationship Id="rId94" Type="http://schemas.openxmlformats.org/officeDocument/2006/relationships/chart" Target="charts/chart15.xml"/><Relationship Id="rId99" Type="http://schemas.openxmlformats.org/officeDocument/2006/relationships/chart" Target="charts/chart20.xml"/><Relationship Id="rId101" Type="http://schemas.openxmlformats.org/officeDocument/2006/relationships/chart" Target="charts/chart22.xml"/><Relationship Id="rId122" Type="http://schemas.openxmlformats.org/officeDocument/2006/relationships/image" Target="media/image77.png"/><Relationship Id="rId130" Type="http://schemas.openxmlformats.org/officeDocument/2006/relationships/header" Target="header10.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image" Target="media/image3.png"/><Relationship Id="rId39" Type="http://schemas.openxmlformats.org/officeDocument/2006/relationships/image" Target="media/image24.emf"/><Relationship Id="rId109" Type="http://schemas.openxmlformats.org/officeDocument/2006/relationships/image" Target="media/image69.png"/><Relationship Id="rId34" Type="http://schemas.openxmlformats.org/officeDocument/2006/relationships/image" Target="media/image19.png"/><Relationship Id="rId50" Type="http://schemas.openxmlformats.org/officeDocument/2006/relationships/chart" Target="charts/chart6.xml"/><Relationship Id="rId55" Type="http://schemas.openxmlformats.org/officeDocument/2006/relationships/chart" Target="charts/chart11.xml"/><Relationship Id="rId76" Type="http://schemas.openxmlformats.org/officeDocument/2006/relationships/image" Target="media/image47.png"/><Relationship Id="rId97" Type="http://schemas.openxmlformats.org/officeDocument/2006/relationships/chart" Target="charts/chart18.xml"/><Relationship Id="rId104" Type="http://schemas.openxmlformats.org/officeDocument/2006/relationships/image" Target="media/image65.png"/><Relationship Id="rId120" Type="http://schemas.openxmlformats.org/officeDocument/2006/relationships/chart" Target="charts/chart29.xml"/><Relationship Id="rId125" Type="http://schemas.openxmlformats.org/officeDocument/2006/relationships/header" Target="header5.xml"/><Relationship Id="rId7" Type="http://schemas.openxmlformats.org/officeDocument/2006/relationships/footnotes" Target="footnotes.xml"/><Relationship Id="rId71" Type="http://schemas.openxmlformats.org/officeDocument/2006/relationships/image" Target="media/image42.png"/><Relationship Id="rId92" Type="http://schemas.openxmlformats.org/officeDocument/2006/relationships/image" Target="media/image63.png"/><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emf"/><Relationship Id="rId45" Type="http://schemas.openxmlformats.org/officeDocument/2006/relationships/chart" Target="charts/chart3.xml"/><Relationship Id="rId66" Type="http://schemas.openxmlformats.org/officeDocument/2006/relationships/image" Target="media/image37.png"/><Relationship Id="rId87" Type="http://schemas.openxmlformats.org/officeDocument/2006/relationships/image" Target="media/image58.png"/><Relationship Id="rId110" Type="http://schemas.openxmlformats.org/officeDocument/2006/relationships/image" Target="media/image70.png"/><Relationship Id="rId115" Type="http://schemas.openxmlformats.org/officeDocument/2006/relationships/chart" Target="charts/chart26.xml"/><Relationship Id="rId131" Type="http://schemas.openxmlformats.org/officeDocument/2006/relationships/fontTable" Target="fontTable.xml"/><Relationship Id="rId61" Type="http://schemas.openxmlformats.org/officeDocument/2006/relationships/image" Target="media/image32.png"/><Relationship Id="rId82" Type="http://schemas.openxmlformats.org/officeDocument/2006/relationships/image" Target="media/image53.png"/></Relationships>
</file>

<file path=word/_rels/footnotes.xml.rels><?xml version="1.0" encoding="UTF-8" standalone="yes"?>
<Relationships xmlns="http://schemas.openxmlformats.org/package/2006/relationships"><Relationship Id="rId8" Type="http://schemas.openxmlformats.org/officeDocument/2006/relationships/hyperlink" Target="http://www.sida.se/English/publications/Publication_database/publications-by-year1/2015/march/evaluation-of-sidas-international-training-programmes-in-intellectual-property---final-report/" TargetMode="External"/><Relationship Id="rId13" Type="http://schemas.openxmlformats.org/officeDocument/2006/relationships/hyperlink" Target="http://www.wipo.int/tisc/en/search/" TargetMode="External"/><Relationship Id="rId18" Type="http://schemas.openxmlformats.org/officeDocument/2006/relationships/hyperlink" Target="http://www.wipo.int/econ_stat/ar/economics/gii/" TargetMode="External"/><Relationship Id="rId26" Type="http://schemas.openxmlformats.org/officeDocument/2006/relationships/hyperlink" Target="http://www.wipo.int/publications/en/details.jsp?id=3891&amp;plang=EN" TargetMode="External"/><Relationship Id="rId39" Type="http://schemas.openxmlformats.org/officeDocument/2006/relationships/hyperlink" Target="http://www.wipo.int/edocs/mdocs/govbody/ar/wo_pbc_22/wo_pbc_22_21.pdf" TargetMode="External"/><Relationship Id="rId3" Type="http://schemas.openxmlformats.org/officeDocument/2006/relationships/hyperlink" Target="http://www.wipo.int/edocs/mdocs/govbody/ar/a_55/a_55_6.pdf" TargetMode="External"/><Relationship Id="rId21" Type="http://schemas.openxmlformats.org/officeDocument/2006/relationships/hyperlink" Target="http://www.wipo.int/export/sites/www/about-wipo/en/oversight/iaod/evaluation/pdf/evaluation_strategic_goal_vi.pdf" TargetMode="External"/><Relationship Id="rId34" Type="http://schemas.openxmlformats.org/officeDocument/2006/relationships/hyperlink" Target="http://www.wipo.int/about-wipo/en/oversight/iaod/pdf/eqa_report.pdf" TargetMode="External"/><Relationship Id="rId7" Type="http://schemas.openxmlformats.org/officeDocument/2006/relationships/hyperlink" Target="http://www.wipo.int/meetings/en/doc_details.jsp?doc_id=23980" TargetMode="External"/><Relationship Id="rId12" Type="http://schemas.openxmlformats.org/officeDocument/2006/relationships/hyperlink" Target="http://www.wipo.int/edocs/mdocs/africa/en/ompi_pi_dak_15/ompi_pi_dak_15_declaration.pdf" TargetMode="External"/><Relationship Id="rId17" Type="http://schemas.openxmlformats.org/officeDocument/2006/relationships/hyperlink" Target="http://poldham.github.io/project_files/" TargetMode="External"/><Relationship Id="rId25" Type="http://schemas.openxmlformats.org/officeDocument/2006/relationships/hyperlink" Target="http://www.wipo.int/publications/en/details.jsp?id=3990&amp;plang=EN" TargetMode="External"/><Relationship Id="rId33" Type="http://schemas.openxmlformats.org/officeDocument/2006/relationships/hyperlink" Target="http://www.wipo.int/about-wipo/en/oversight/iaod/pdf/qa_report.pdf" TargetMode="External"/><Relationship Id="rId38" Type="http://schemas.openxmlformats.org/officeDocument/2006/relationships/hyperlink" Target="http://www.wipo.int/edocs/mdocs/govbody/ar/a_51/a_51_16.pdf" TargetMode="External"/><Relationship Id="rId2" Type="http://schemas.openxmlformats.org/officeDocument/2006/relationships/hyperlink" Target="http://www.wipo.int/edocs/pubdocs/en/wipo_pub_1043.pdf" TargetMode="External"/><Relationship Id="rId16" Type="http://schemas.openxmlformats.org/officeDocument/2006/relationships/hyperlink" Target="http://www.wipo.int/tisc/fr/etutorial/main.html" TargetMode="External"/><Relationship Id="rId20" Type="http://schemas.openxmlformats.org/officeDocument/2006/relationships/hyperlink" Target="http://www.wipo.int/edocs/pubdocs/en/wipo_rep_rfip_2015_1.pdf" TargetMode="External"/><Relationship Id="rId29" Type="http://schemas.openxmlformats.org/officeDocument/2006/relationships/hyperlink" Target="http://www.wipo.int/export/sites/www/about-wipo/en/assemblies/pdf/survey_2014.pdf" TargetMode="External"/><Relationship Id="rId1" Type="http://schemas.openxmlformats.org/officeDocument/2006/relationships/hyperlink" Target="http://www.bakermckenzie.com/intellectualproperty/csh2014/" TargetMode="External"/><Relationship Id="rId6" Type="http://schemas.openxmlformats.org/officeDocument/2006/relationships/hyperlink" Target="http://www.wipo.int/meetings/en/doc_details.jsp?doc_id=208882" TargetMode="External"/><Relationship Id="rId11" Type="http://schemas.openxmlformats.org/officeDocument/2006/relationships/hyperlink" Target="http://www.wipo.int/export/sites/www/cooperation/ar/pdf/ta_manual.pdf" TargetMode="External"/><Relationship Id="rId24" Type="http://schemas.openxmlformats.org/officeDocument/2006/relationships/hyperlink" Target="http://www.wipo.int/publications/en/details.jsp?id=3893&amp;plang=EN" TargetMode="External"/><Relationship Id="rId32" Type="http://schemas.openxmlformats.org/officeDocument/2006/relationships/hyperlink" Target="http://www.wipo.int/edocs/mdocs/govbody/ar/a_55/a_55_inf_5.pdf" TargetMode="External"/><Relationship Id="rId37" Type="http://schemas.openxmlformats.org/officeDocument/2006/relationships/hyperlink" Target="http://www.uibm.gov.it/attachments/FINAL%20Guide_for_IP%20Agri-food%20SME%20_Italian_publication_EN_GBA-Jaiya.pdf" TargetMode="External"/><Relationship Id="rId5" Type="http://schemas.openxmlformats.org/officeDocument/2006/relationships/hyperlink" Target="http://www.wipo.int/amc-apps/clause-generator/" TargetMode="External"/><Relationship Id="rId15" Type="http://schemas.openxmlformats.org/officeDocument/2006/relationships/hyperlink" Target="http://www.wipo.int/tisc/en/etutorial.html" TargetMode="External"/><Relationship Id="rId23" Type="http://schemas.openxmlformats.org/officeDocument/2006/relationships/hyperlink" Target="http://www.wipo.int/publications/en/details.jsp?id=3912&amp;plang=EN" TargetMode="External"/><Relationship Id="rId28" Type="http://schemas.openxmlformats.org/officeDocument/2006/relationships/hyperlink" Target="http://www.wipo.int/export/sites/www/research/en/docs/wipo_research_external_review.pdf" TargetMode="External"/><Relationship Id="rId36" Type="http://schemas.openxmlformats.org/officeDocument/2006/relationships/hyperlink" Target="http://www.wipo.int/publications/en/details.jsp?id=259&amp;plang=EN" TargetMode="External"/><Relationship Id="rId10" Type="http://schemas.openxmlformats.org/officeDocument/2006/relationships/hyperlink" Target="http://www.wipo.int/edocs/mdocs/mdocs/en/ompi_pi_dak_15/ompi_pi_dak_15_www_319536.pdf" TargetMode="External"/><Relationship Id="rId19" Type="http://schemas.openxmlformats.org/officeDocument/2006/relationships/hyperlink" Target="https://www.globalinnovationindex.org/content/page/GII-Home" TargetMode="External"/><Relationship Id="rId31" Type="http://schemas.openxmlformats.org/officeDocument/2006/relationships/hyperlink" Target="http://www.wipo.int/edocs/mdocs/govbody/ar/a_55/a_55_6.pdf" TargetMode="External"/><Relationship Id="rId4" Type="http://schemas.openxmlformats.org/officeDocument/2006/relationships/hyperlink" Target="http://www.wipo.int/amc/en/rules/newrules.html" TargetMode="External"/><Relationship Id="rId9" Type="http://schemas.openxmlformats.org/officeDocument/2006/relationships/hyperlink" Target="http://www.wipo.int/cooperation/ar/south_south/" TargetMode="External"/><Relationship Id="rId14" Type="http://schemas.openxmlformats.org/officeDocument/2006/relationships/hyperlink" Target="http://etisc.wipo.org" TargetMode="External"/><Relationship Id="rId22" Type="http://schemas.openxmlformats.org/officeDocument/2006/relationships/hyperlink" Target="http://www.wipo.int/publications/en/details.jsp?id=3887&amp;plang=EN" TargetMode="External"/><Relationship Id="rId27" Type="http://schemas.openxmlformats.org/officeDocument/2006/relationships/hyperlink" Target="http://www.wipo.int/publications/en/details.jsp?id=3924&amp;plang=EN" TargetMode="External"/><Relationship Id="rId30" Type="http://schemas.openxmlformats.org/officeDocument/2006/relationships/hyperlink" Target="http://www.wipo.int/erecruitment/ar/" TargetMode="External"/><Relationship Id="rId35" Type="http://schemas.openxmlformats.org/officeDocument/2006/relationships/hyperlink" Target="http://www.wipo.int/about-wipo/en/oversight/pdf/external_quality_assessment_wipo_investigation_function.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N:\ORGLAN\SHARED\LANA\basic\templates\WO_PBC_25_AR.dotx"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package" Target="../embeddings/Microsoft_Excel_Worksheet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package" Target="../embeddings/Microsoft_Excel_Worksheet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3" Type="http://schemas.openxmlformats.org/officeDocument/2006/relationships/chartUserShapes" Target="../drawings/drawing12.xml"/><Relationship Id="rId2" Type="http://schemas.openxmlformats.org/officeDocument/2006/relationships/package" Target="../embeddings/Microsoft_Excel_Worksheet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13.xml"/><Relationship Id="rId2" Type="http://schemas.openxmlformats.org/officeDocument/2006/relationships/package" Target="../embeddings/Microsoft_Excel_Worksheet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3" Type="http://schemas.openxmlformats.org/officeDocument/2006/relationships/chartUserShapes" Target="../drawings/drawing14.xml"/><Relationship Id="rId2" Type="http://schemas.openxmlformats.org/officeDocument/2006/relationships/package" Target="../embeddings/Microsoft_Excel_Worksheet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3" Type="http://schemas.openxmlformats.org/officeDocument/2006/relationships/chartUserShapes" Target="../drawings/drawing15.xml"/><Relationship Id="rId2" Type="http://schemas.openxmlformats.org/officeDocument/2006/relationships/package" Target="../embeddings/Microsoft_Excel_Worksheet24.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30.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package" Target="../embeddings/Microsoft_Excel_Worksheet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8.xml"/><Relationship Id="rId2" Type="http://schemas.openxmlformats.org/officeDocument/2006/relationships/package" Target="../embeddings/Microsoft_Excel_Worksheet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3" Type="http://schemas.openxmlformats.org/officeDocument/2006/relationships/chartUserShapes" Target="../drawings/drawing9.xml"/><Relationship Id="rId2" Type="http://schemas.openxmlformats.org/officeDocument/2006/relationships/package" Target="../embeddings/Microsoft_Excel_Worksheet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1724853323503"/>
          <c:y val="0.2060953685137184"/>
          <c:w val="0.82114329816127307"/>
          <c:h val="0.54440690565853178"/>
        </c:manualLayout>
      </c:layout>
      <c:barChart>
        <c:barDir val="col"/>
        <c:grouping val="stacked"/>
        <c:varyColors val="0"/>
        <c:ser>
          <c:idx val="0"/>
          <c:order val="0"/>
          <c:tx>
            <c:strRef>
              <c:f>'Filing Method'!$A$8</c:f>
              <c:strCache>
                <c:ptCount val="1"/>
                <c:pt idx="0">
                  <c:v>إيداع ورقي</c:v>
                </c:pt>
              </c:strCache>
            </c:strRef>
          </c:tx>
          <c:spPr>
            <a:solidFill>
              <a:srgbClr val="C0C0C0"/>
            </a:solidFill>
            <a:ln w="25400">
              <a:noFill/>
            </a:ln>
          </c:spPr>
          <c:invertIfNegative val="0"/>
          <c:cat>
            <c:numRef>
              <c:f>'Filing Method'!$F$7:$Q$7</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'Filing Method'!$F$8:$Q$8</c:f>
              <c:numCache>
                <c:formatCode>#,##0</c:formatCode>
                <c:ptCount val="12"/>
                <c:pt idx="0">
                  <c:v>63648</c:v>
                </c:pt>
                <c:pt idx="1">
                  <c:v>61742</c:v>
                </c:pt>
                <c:pt idx="2">
                  <c:v>64129</c:v>
                </c:pt>
                <c:pt idx="3">
                  <c:v>53366</c:v>
                </c:pt>
                <c:pt idx="4">
                  <c:v>45709</c:v>
                </c:pt>
                <c:pt idx="5">
                  <c:v>32928</c:v>
                </c:pt>
                <c:pt idx="6">
                  <c:v>26548</c:v>
                </c:pt>
                <c:pt idx="7" formatCode="_-* #,##0_-;\-* #,##0_-;_-* &quot;-&quot;??_-;_-@_-">
                  <c:v>23251</c:v>
                </c:pt>
                <c:pt idx="8" formatCode="_-* #,##0_-;\-* #,##0_-;_-* &quot;-&quot;??_-;_-@_-">
                  <c:v>18938</c:v>
                </c:pt>
                <c:pt idx="9" formatCode="_-* #,##0_-;\-* #,##0_-;_-* &quot;-&quot;??_-;_-@_-">
                  <c:v>15655</c:v>
                </c:pt>
                <c:pt idx="10" formatCode="_-* #,##0_-;\-* #,##0_-;_-* &quot;-&quot;??_-;_-@_-">
                  <c:v>14062</c:v>
                </c:pt>
                <c:pt idx="11" formatCode="_-* #,##0_-;\-* #,##0_-;_-* &quot;-&quot;??_-;_-@_-">
                  <c:v>11838</c:v>
                </c:pt>
              </c:numCache>
            </c:numRef>
          </c:val>
        </c:ser>
        <c:ser>
          <c:idx val="1"/>
          <c:order val="1"/>
          <c:tx>
            <c:strRef>
              <c:f>'Filing Method'!$A$9</c:f>
              <c:strCache>
                <c:ptCount val="1"/>
                <c:pt idx="0">
                  <c:v>(EASY) إيداع ورقي وإلكتروني</c:v>
                </c:pt>
              </c:strCache>
            </c:strRef>
          </c:tx>
          <c:spPr>
            <a:solidFill>
              <a:srgbClr val="CCCCFF"/>
            </a:solidFill>
            <a:ln w="25400">
              <a:noFill/>
            </a:ln>
          </c:spPr>
          <c:invertIfNegative val="0"/>
          <c:dLbls>
            <c:dLbl>
              <c:idx val="0"/>
              <c:layout>
                <c:manualLayout>
                  <c:x val="1.5007499062617174E-3"/>
                  <c:y val="-0.1252217002286479"/>
                </c:manualLayout>
              </c:layout>
              <c:tx>
                <c:rich>
                  <a:bodyPr/>
                  <a:lstStyle/>
                  <a:p>
                    <a:pPr algn="ctr" rtl="1">
                      <a:defRPr/>
                    </a:pPr>
                    <a:r>
                      <a:rPr lang="en-US"/>
                      <a:t>12%</a:t>
                    </a:r>
                  </a:p>
                </c:rich>
              </c:tx>
              <c:spPr>
                <a:noFill/>
                <a:ln w="25400">
                  <a:noFill/>
                </a:ln>
              </c:spPr>
              <c:dLblPos val="ctr"/>
              <c:showLegendKey val="0"/>
              <c:showVal val="0"/>
              <c:showCatName val="0"/>
              <c:showSerName val="0"/>
              <c:showPercent val="0"/>
              <c:showBubbleSize val="0"/>
            </c:dLbl>
            <c:dLbl>
              <c:idx val="3"/>
              <c:layout>
                <c:manualLayout>
                  <c:x val="-2.1075511704474019E-3"/>
                  <c:y val="-0.25137423859753377"/>
                </c:manualLayout>
              </c:layout>
              <c:tx>
                <c:rich>
                  <a:bodyPr/>
                  <a:lstStyle/>
                  <a:p>
                    <a:pPr>
                      <a:defRPr/>
                    </a:pPr>
                    <a:r>
                      <a:rPr lang="en-US"/>
                      <a:t>5%</a:t>
                    </a:r>
                  </a:p>
                </c:rich>
              </c:tx>
              <c:spPr>
                <a:noFill/>
                <a:ln w="25400">
                  <a:noFill/>
                </a:ln>
              </c:spPr>
              <c:dLblPos val="ctr"/>
              <c:showLegendKey val="0"/>
              <c:showVal val="0"/>
              <c:showCatName val="0"/>
              <c:showSerName val="0"/>
              <c:showPercent val="0"/>
              <c:showBubbleSize val="0"/>
            </c:dLbl>
            <c:showLegendKey val="0"/>
            <c:showVal val="0"/>
            <c:showCatName val="0"/>
            <c:showSerName val="0"/>
            <c:showPercent val="0"/>
            <c:showBubbleSize val="0"/>
          </c:dLbls>
          <c:cat>
            <c:numRef>
              <c:f>'Filing Method'!$F$7:$Q$7</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'Filing Method'!$F$9:$Q$9</c:f>
              <c:numCache>
                <c:formatCode>#,##0</c:formatCode>
                <c:ptCount val="12"/>
                <c:pt idx="0">
                  <c:v>44225</c:v>
                </c:pt>
                <c:pt idx="1">
                  <c:v>37204</c:v>
                </c:pt>
                <c:pt idx="2">
                  <c:v>38933</c:v>
                </c:pt>
                <c:pt idx="3">
                  <c:v>25118</c:v>
                </c:pt>
                <c:pt idx="4">
                  <c:v>18683</c:v>
                </c:pt>
                <c:pt idx="5">
                  <c:v>11830</c:v>
                </c:pt>
                <c:pt idx="6">
                  <c:v>9117</c:v>
                </c:pt>
                <c:pt idx="7" formatCode="_-* #,##0_-;\-* #,##0_-;_-* &quot;-&quot;??_-;_-@_-">
                  <c:v>8281</c:v>
                </c:pt>
                <c:pt idx="8" formatCode="_-* #,##0_-;\-* #,##0_-;_-* &quot;-&quot;??_-;_-@_-">
                  <c:v>6499</c:v>
                </c:pt>
                <c:pt idx="9" formatCode="_-* #,##0_-;\-* #,##0_-;_-* &quot;-&quot;??_-;_-@_-">
                  <c:v>6023</c:v>
                </c:pt>
                <c:pt idx="10" formatCode="_-* #,##0_-;\-* #,##0_-;_-* &quot;-&quot;??_-;_-@_-">
                  <c:v>5167</c:v>
                </c:pt>
                <c:pt idx="11" formatCode="_-* #,##0_-;\-* #,##0_-;_-* &quot;-&quot;??_-;_-@_-">
                  <c:v>2225</c:v>
                </c:pt>
              </c:numCache>
            </c:numRef>
          </c:val>
        </c:ser>
        <c:ser>
          <c:idx val="2"/>
          <c:order val="2"/>
          <c:tx>
            <c:strRef>
              <c:f>'Filing Method'!$A$10</c:f>
              <c:strCache>
                <c:ptCount val="1"/>
                <c:pt idx="0">
                  <c:v>إيداع إلكتروني بالكامل</c:v>
                </c:pt>
              </c:strCache>
            </c:strRef>
          </c:tx>
          <c:spPr>
            <a:solidFill>
              <a:srgbClr val="3366FF"/>
            </a:solidFill>
            <a:ln w="25400">
              <a:noFill/>
            </a:ln>
          </c:spPr>
          <c:invertIfNegative val="0"/>
          <c:dLbls>
            <c:dLbl>
              <c:idx val="0"/>
              <c:delete val="1"/>
            </c:dLbl>
            <c:dLbl>
              <c:idx val="1"/>
              <c:layout>
                <c:manualLayout>
                  <c:x val="1.0755827375434634E-3"/>
                  <c:y val="-6.8796447613859585E-2"/>
                </c:manualLayout>
              </c:layout>
              <c:tx>
                <c:rich>
                  <a:bodyPr/>
                  <a:lstStyle/>
                  <a:p>
                    <a:pPr algn="ctr" rtl="1">
                      <a:defRPr/>
                    </a:pPr>
                    <a:r>
                      <a:rPr lang="en-US"/>
                      <a:t>8% </a:t>
                    </a:r>
                  </a:p>
                </c:rich>
              </c:tx>
              <c:spPr>
                <a:noFill/>
                <a:ln w="25400">
                  <a:noFill/>
                </a:ln>
              </c:spPr>
              <c:dLblPos val="ctr"/>
              <c:showLegendKey val="0"/>
              <c:showVal val="0"/>
              <c:showCatName val="0"/>
              <c:showSerName val="0"/>
              <c:showPercent val="0"/>
              <c:showBubbleSize val="0"/>
            </c:dLbl>
            <c:dLbl>
              <c:idx val="2"/>
              <c:layout>
                <c:manualLayout>
                  <c:x val="1.2585034013605442E-3"/>
                  <c:y val="-8.4241234551563404E-2"/>
                </c:manualLayout>
              </c:layout>
              <c:tx>
                <c:rich>
                  <a:bodyPr/>
                  <a:lstStyle/>
                  <a:p>
                    <a:pPr algn="ctr" rtl="1">
                      <a:defRPr/>
                    </a:pPr>
                    <a:r>
                      <a:rPr lang="en-US"/>
                      <a:t>12%</a:t>
                    </a:r>
                  </a:p>
                </c:rich>
              </c:tx>
              <c:spPr>
                <a:noFill/>
                <a:ln w="25400">
                  <a:noFill/>
                </a:ln>
              </c:spPr>
              <c:dLblPos val="ctr"/>
              <c:showLegendKey val="0"/>
              <c:showVal val="0"/>
              <c:showCatName val="0"/>
              <c:showSerName val="0"/>
              <c:showPercent val="0"/>
              <c:showBubbleSize val="0"/>
            </c:dLbl>
            <c:dLbl>
              <c:idx val="3"/>
              <c:delete val="1"/>
            </c:dLbl>
            <c:dLbl>
              <c:idx val="4"/>
              <c:layout>
                <c:manualLayout>
                  <c:x val="6.9299373292630367E-4"/>
                  <c:y val="-0.1664991876015498"/>
                </c:manualLayout>
              </c:layout>
              <c:tx>
                <c:rich>
                  <a:bodyPr/>
                  <a:lstStyle/>
                  <a:p>
                    <a:pPr algn="ctr" rtl="1">
                      <a:defRPr/>
                    </a:pPr>
                    <a:r>
                      <a:rPr lang="en-US"/>
                      <a:t>11%</a:t>
                    </a:r>
                  </a:p>
                </c:rich>
              </c:tx>
              <c:spPr>
                <a:noFill/>
                <a:ln w="25400">
                  <a:noFill/>
                </a:ln>
              </c:spPr>
              <c:dLblPos val="ctr"/>
              <c:showLegendKey val="0"/>
              <c:showVal val="0"/>
              <c:showCatName val="0"/>
              <c:showSerName val="0"/>
              <c:showPercent val="0"/>
              <c:showBubbleSize val="0"/>
            </c:dLbl>
            <c:dLbl>
              <c:idx val="5"/>
              <c:layout>
                <c:manualLayout>
                  <c:x val="-1.0927205527880444E-3"/>
                  <c:y val="-0.17603064322841996"/>
                </c:manualLayout>
              </c:layout>
              <c:tx>
                <c:rich>
                  <a:bodyPr/>
                  <a:lstStyle/>
                  <a:p>
                    <a:pPr algn="ctr" rtl="1">
                      <a:defRPr/>
                    </a:pPr>
                    <a:r>
                      <a:rPr lang="en-US"/>
                      <a:t>-9%</a:t>
                    </a:r>
                  </a:p>
                </c:rich>
              </c:tx>
              <c:spPr>
                <a:noFill/>
                <a:ln w="25400">
                  <a:noFill/>
                </a:ln>
              </c:spPr>
              <c:dLblPos val="ctr"/>
              <c:showLegendKey val="0"/>
              <c:showVal val="0"/>
              <c:showCatName val="0"/>
              <c:showSerName val="0"/>
              <c:showPercent val="0"/>
              <c:showBubbleSize val="0"/>
            </c:dLbl>
            <c:dLbl>
              <c:idx val="6"/>
              <c:layout>
                <c:manualLayout>
                  <c:x val="2.6782366489903046E-4"/>
                  <c:y val="-0.19425777660145424"/>
                </c:manualLayout>
              </c:layout>
              <c:tx>
                <c:rich>
                  <a:bodyPr/>
                  <a:lstStyle/>
                  <a:p>
                    <a:pPr algn="ctr" rtl="1">
                      <a:defRPr/>
                    </a:pPr>
                    <a:r>
                      <a:rPr lang="en-US"/>
                      <a:t>2%</a:t>
                    </a:r>
                  </a:p>
                </c:rich>
              </c:tx>
              <c:spPr>
                <a:noFill/>
                <a:ln w="25400">
                  <a:noFill/>
                </a:ln>
              </c:spPr>
              <c:dLblPos val="ctr"/>
              <c:showLegendKey val="0"/>
              <c:showVal val="0"/>
              <c:showCatName val="0"/>
              <c:showSerName val="0"/>
              <c:showPercent val="0"/>
              <c:showBubbleSize val="0"/>
            </c:dLbl>
            <c:dLbl>
              <c:idx val="7"/>
              <c:layout>
                <c:manualLayout>
                  <c:x val="2.7762564862071539E-3"/>
                  <c:y val="-0.20315587910001817"/>
                </c:manualLayout>
              </c:layout>
              <c:tx>
                <c:rich>
                  <a:bodyPr/>
                  <a:lstStyle/>
                  <a:p>
                    <a:pPr algn="ctr" rtl="1">
                      <a:defRPr/>
                    </a:pPr>
                    <a:r>
                      <a:rPr lang="en-US"/>
                      <a:t>11%</a:t>
                    </a:r>
                  </a:p>
                </c:rich>
              </c:tx>
              <c:spPr>
                <a:noFill/>
                <a:ln w="25400">
                  <a:noFill/>
                </a:ln>
              </c:spPr>
              <c:dLblPos val="ctr"/>
              <c:showLegendKey val="0"/>
              <c:showVal val="0"/>
              <c:showCatName val="0"/>
              <c:showSerName val="0"/>
              <c:showPercent val="0"/>
              <c:showBubbleSize val="0"/>
            </c:dLbl>
            <c:dLbl>
              <c:idx val="8"/>
              <c:layout>
                <c:manualLayout>
                  <c:x val="-2.5679875265930052E-3"/>
                  <c:y val="-0.23444229848627413"/>
                </c:manualLayout>
              </c:layout>
              <c:tx>
                <c:rich>
                  <a:bodyPr/>
                  <a:lstStyle/>
                  <a:p>
                    <a:pPr algn="ctr" rtl="1">
                      <a:defRPr/>
                    </a:pPr>
                    <a:r>
                      <a:rPr lang="en-US"/>
                      <a:t>9%</a:t>
                    </a:r>
                  </a:p>
                </c:rich>
              </c:tx>
              <c:spPr>
                <a:noFill/>
                <a:ln w="25400">
                  <a:noFill/>
                </a:ln>
              </c:spPr>
              <c:dLblPos val="ctr"/>
              <c:showLegendKey val="0"/>
              <c:showVal val="0"/>
              <c:showCatName val="0"/>
              <c:showSerName val="0"/>
              <c:showPercent val="0"/>
              <c:showBubbleSize val="0"/>
            </c:dLbl>
            <c:dLbl>
              <c:idx val="9"/>
              <c:layout>
                <c:manualLayout>
                  <c:x val="-4.7890495420142848E-4"/>
                  <c:y val="-0.25244490665081959"/>
                </c:manualLayout>
              </c:layout>
              <c:tx>
                <c:rich>
                  <a:bodyPr/>
                  <a:lstStyle/>
                  <a:p>
                    <a:pPr algn="ctr" rtl="1">
                      <a:defRPr/>
                    </a:pPr>
                    <a:r>
                      <a:rPr lang="en-US"/>
                      <a:t>3%</a:t>
                    </a:r>
                  </a:p>
                </c:rich>
              </c:tx>
              <c:spPr>
                <a:noFill/>
                <a:ln w="25400">
                  <a:noFill/>
                </a:ln>
              </c:spPr>
              <c:dLblPos val="ctr"/>
              <c:showLegendKey val="0"/>
              <c:showVal val="0"/>
              <c:showCatName val="0"/>
              <c:showSerName val="0"/>
              <c:showPercent val="0"/>
              <c:showBubbleSize val="0"/>
            </c:dLbl>
            <c:dLbl>
              <c:idx val="10"/>
              <c:layout>
                <c:manualLayout>
                  <c:x val="1.5006446251052178E-3"/>
                  <c:y val="-0.2613407286353357"/>
                </c:manualLayout>
              </c:layout>
              <c:tx>
                <c:rich>
                  <a:bodyPr/>
                  <a:lstStyle/>
                  <a:p>
                    <a:pPr algn="ctr" rtl="1">
                      <a:defRPr/>
                    </a:pPr>
                    <a:r>
                      <a:rPr lang="en-US"/>
                      <a:t>7% </a:t>
                    </a:r>
                  </a:p>
                </c:rich>
              </c:tx>
              <c:spPr>
                <a:noFill/>
                <a:ln w="25400">
                  <a:noFill/>
                </a:ln>
              </c:spPr>
              <c:dLblPos val="ctr"/>
              <c:showLegendKey val="0"/>
              <c:showVal val="0"/>
              <c:showCatName val="0"/>
              <c:showSerName val="0"/>
              <c:showPercent val="0"/>
              <c:showBubbleSize val="0"/>
            </c:dLbl>
            <c:dLbl>
              <c:idx val="11"/>
              <c:layout>
                <c:manualLayout>
                  <c:x val="4.0944025124122554E-3"/>
                  <c:y val="-0.26449965939174541"/>
                </c:manualLayout>
              </c:layout>
              <c:tx>
                <c:rich>
                  <a:bodyPr/>
                  <a:lstStyle/>
                  <a:p>
                    <a:pPr algn="ctr" rtl="1">
                      <a:defRPr/>
                    </a:pPr>
                    <a:r>
                      <a:rPr lang="en-US"/>
                      <a:t>-0.3%</a:t>
                    </a:r>
                  </a:p>
                </c:rich>
              </c:tx>
              <c:spPr>
                <a:noFill/>
                <a:ln w="25400">
                  <a:noFill/>
                </a:ln>
              </c:spPr>
              <c:dLblPos val="ctr"/>
              <c:showLegendKey val="0"/>
              <c:showVal val="0"/>
              <c:showCatName val="0"/>
              <c:showSerName val="0"/>
              <c:showPercent val="0"/>
              <c:showBubbleSize val="0"/>
            </c:dLbl>
            <c:dLbl>
              <c:idx val="12"/>
              <c:layout>
                <c:manualLayout>
                  <c:x val="0"/>
                  <c:y val="-0.26890756302521007"/>
                </c:manualLayout>
              </c:layout>
              <c:tx>
                <c:rich>
                  <a:bodyPr/>
                  <a:lstStyle/>
                  <a:p>
                    <a:r>
                      <a:rPr lang="en-US" sz="1500"/>
                      <a:t>3%</a:t>
                    </a:r>
                    <a:endParaRPr lang="en-US"/>
                  </a:p>
                </c:rich>
              </c:tx>
              <c:showLegendKey val="0"/>
              <c:showVal val="1"/>
              <c:showCatName val="0"/>
              <c:showSerName val="0"/>
              <c:showPercent val="0"/>
              <c:showBubbleSize val="0"/>
            </c:dLbl>
            <c:numFmt formatCode="0_ ;\-0\ " sourceLinked="0"/>
            <c:spPr>
              <a:noFill/>
              <a:ln w="25400">
                <a:noFill/>
              </a:ln>
            </c:spPr>
            <c:txPr>
              <a:bodyPr/>
              <a:lstStyle/>
              <a:p>
                <a:pPr algn="ctr" rtl="1">
                  <a:defRPr/>
                </a:pPr>
                <a:endParaRPr lang="en-US"/>
              </a:p>
            </c:txPr>
            <c:showLegendKey val="0"/>
            <c:showVal val="1"/>
            <c:showCatName val="0"/>
            <c:showSerName val="0"/>
            <c:showPercent val="0"/>
            <c:showBubbleSize val="0"/>
            <c:showLeaderLines val="0"/>
          </c:dLbls>
          <c:cat>
            <c:numRef>
              <c:f>'Filing Method'!$F$7:$Q$7</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'Filing Method'!$F$10:$Q$10</c:f>
              <c:numCache>
                <c:formatCode>#,##0</c:formatCode>
                <c:ptCount val="12"/>
                <c:pt idx="0">
                  <c:v>15512</c:v>
                </c:pt>
                <c:pt idx="1">
                  <c:v>34585</c:v>
                </c:pt>
                <c:pt idx="2">
                  <c:v>45849</c:v>
                </c:pt>
                <c:pt idx="3">
                  <c:v>77710</c:v>
                </c:pt>
                <c:pt idx="4">
                  <c:v>109477</c:v>
                </c:pt>
                <c:pt idx="5">
                  <c:v>114006</c:v>
                </c:pt>
                <c:pt idx="6">
                  <c:v>126723</c:v>
                </c:pt>
                <c:pt idx="7" formatCode="_-* #,##0_-;\-* #,##0_-;_-* &quot;-&quot;??_-;_-@_-">
                  <c:v>148542</c:v>
                </c:pt>
                <c:pt idx="8" formatCode="_-* #,##0_-;\-* #,##0_-;_-* &quot;-&quot;??_-;_-@_-">
                  <c:v>170743</c:v>
                </c:pt>
                <c:pt idx="9" formatCode="_-* #,##0_-;\-* #,##0_-;_-* &quot;-&quot;??_-;_-@_-">
                  <c:v>180896</c:v>
                </c:pt>
                <c:pt idx="10" formatCode="_-* #,##0_-;\-* #,##0_-;_-* &quot;-&quot;??_-;_-@_-">
                  <c:v>198473</c:v>
                </c:pt>
                <c:pt idx="11" formatCode="_-* #,##0_-;\-* #,##0_-;_-* &quot;-&quot;??_-;_-@_-">
                  <c:v>202981</c:v>
                </c:pt>
              </c:numCache>
            </c:numRef>
          </c:val>
        </c:ser>
        <c:dLbls>
          <c:showLegendKey val="0"/>
          <c:showVal val="0"/>
          <c:showCatName val="0"/>
          <c:showSerName val="0"/>
          <c:showPercent val="0"/>
          <c:showBubbleSize val="0"/>
        </c:dLbls>
        <c:gapWidth val="150"/>
        <c:overlap val="100"/>
        <c:axId val="111267840"/>
        <c:axId val="111270144"/>
      </c:barChart>
      <c:catAx>
        <c:axId val="111267840"/>
        <c:scaling>
          <c:orientation val="minMax"/>
        </c:scaling>
        <c:delete val="0"/>
        <c:axPos val="b"/>
        <c:title>
          <c:tx>
            <c:rich>
              <a:bodyPr/>
              <a:lstStyle/>
              <a:p>
                <a:pPr>
                  <a:defRPr/>
                </a:pPr>
                <a:r>
                  <a:rPr lang="ar-SA" b="1"/>
                  <a:t>سنة التسلّم في المكتب الدولي</a:t>
                </a:r>
                <a:endParaRPr lang="en-US" b="1"/>
              </a:p>
            </c:rich>
          </c:tx>
          <c:layout>
            <c:manualLayout>
              <c:xMode val="edge"/>
              <c:yMode val="edge"/>
              <c:x val="0.43457290833298245"/>
              <c:y val="0.86077372756249271"/>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111270144"/>
        <c:crosses val="autoZero"/>
        <c:auto val="1"/>
        <c:lblAlgn val="ctr"/>
        <c:lblOffset val="100"/>
        <c:tickLblSkip val="1"/>
        <c:tickMarkSkip val="1"/>
        <c:noMultiLvlLbl val="0"/>
      </c:catAx>
      <c:valAx>
        <c:axId val="111270144"/>
        <c:scaling>
          <c:orientation val="minMax"/>
        </c:scaling>
        <c:delete val="0"/>
        <c:axPos val="l"/>
        <c:majorGridlines>
          <c:spPr>
            <a:ln w="3175">
              <a:solidFill>
                <a:srgbClr val="000000"/>
              </a:solidFill>
              <a:prstDash val="sysDash"/>
            </a:ln>
          </c:spPr>
        </c:majorGridlines>
        <c:title>
          <c:tx>
            <c:rich>
              <a:bodyPr/>
              <a:lstStyle/>
              <a:p>
                <a:pPr>
                  <a:defRPr/>
                </a:pPr>
                <a:r>
                  <a:rPr lang="ar-SA" b="1"/>
                  <a:t>عدد النسخ الأصلية المتسلّمة</a:t>
                </a:r>
              </a:p>
            </c:rich>
          </c:tx>
          <c:layout>
            <c:manualLayout>
              <c:xMode val="edge"/>
              <c:yMode val="edge"/>
              <c:x val="1.1828383238270299E-3"/>
              <c:y val="0.22591793417127207"/>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111267840"/>
        <c:crosses val="autoZero"/>
        <c:crossBetween val="between"/>
        <c:majorUnit val="50000"/>
      </c:valAx>
      <c:spPr>
        <a:noFill/>
        <a:ln w="25400">
          <a:noFill/>
        </a:ln>
      </c:spPr>
    </c:plotArea>
    <c:legend>
      <c:legendPos val="t"/>
      <c:layout>
        <c:manualLayout>
          <c:xMode val="edge"/>
          <c:yMode val="edge"/>
          <c:x val="0.2207273605636956"/>
          <c:y val="6.4340000978138606E-2"/>
          <c:w val="0.59540330881641257"/>
          <c:h val="5.6022562211578177E-2"/>
        </c:manualLayout>
      </c:layout>
      <c:overlay val="0"/>
      <c:spPr>
        <a:solidFill>
          <a:srgbClr val="FFFFFF"/>
        </a:solidFill>
        <a:ln w="25400">
          <a:noFill/>
        </a:ln>
      </c:spPr>
      <c:txPr>
        <a:bodyPr/>
        <a:lstStyle/>
        <a:p>
          <a:pPr rtl="0">
            <a:defRPr/>
          </a:pPr>
          <a:endParaRPr lang="en-US"/>
        </a:p>
      </c:txPr>
    </c:legend>
    <c:plotVisOnly val="1"/>
    <c:dispBlanksAs val="gap"/>
    <c:showDLblsOverMax val="0"/>
  </c:chart>
  <c:spPr>
    <a:solidFill>
      <a:srgbClr val="FFFFFF"/>
    </a:solidFill>
    <a:ln w="9525">
      <a:noFill/>
    </a:ln>
  </c:spPr>
  <c:txPr>
    <a:bodyPr/>
    <a:lstStyle/>
    <a:p>
      <a:pPr>
        <a:defRPr sz="12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378046039883141"/>
          <c:y val="0.16550654663869022"/>
          <c:w val="0.83360324237937511"/>
          <c:h val="0.68987163489809677"/>
        </c:manualLayout>
      </c:layout>
      <c:barChart>
        <c:barDir val="col"/>
        <c:grouping val="percentStacked"/>
        <c:varyColors val="0"/>
        <c:ser>
          <c:idx val="0"/>
          <c:order val="0"/>
          <c:tx>
            <c:strRef>
              <c:f>'Trans Quality'!$B$7</c:f>
              <c:strCache>
                <c:ptCount val="1"/>
                <c:pt idx="0">
                  <c:v>مقبولة</c:v>
                </c:pt>
              </c:strCache>
            </c:strRef>
          </c:tx>
          <c:spPr>
            <a:solidFill>
              <a:schemeClr val="tx2">
                <a:lumMod val="60000"/>
                <a:lumOff val="40000"/>
              </a:schemeClr>
            </a:solidFill>
            <a:ln w="25400">
              <a:noFill/>
            </a:ln>
          </c:spPr>
          <c:invertIfNegative val="0"/>
          <c:dLbls>
            <c:dLbl>
              <c:idx val="0"/>
              <c:layout/>
              <c:tx>
                <c:rich>
                  <a:bodyPr/>
                  <a:lstStyle/>
                  <a:p>
                    <a:r>
                      <a:rPr lang="en-GB"/>
                      <a:t>87.4%</a:t>
                    </a:r>
                  </a:p>
                </c:rich>
              </c:tx>
              <c:showLegendKey val="0"/>
              <c:showVal val="0"/>
              <c:showCatName val="0"/>
              <c:showSerName val="0"/>
              <c:showPercent val="0"/>
              <c:showBubbleSize val="0"/>
            </c:dLbl>
            <c:dLbl>
              <c:idx val="1"/>
              <c:layout/>
              <c:tx>
                <c:rich>
                  <a:bodyPr/>
                  <a:lstStyle/>
                  <a:p>
                    <a:r>
                      <a:rPr lang="en-GB"/>
                      <a:t>86.5%</a:t>
                    </a:r>
                  </a:p>
                </c:rich>
              </c:tx>
              <c:showLegendKey val="0"/>
              <c:showVal val="0"/>
              <c:showCatName val="0"/>
              <c:showSerName val="0"/>
              <c:showPercent val="0"/>
              <c:showBubbleSize val="0"/>
            </c:dLbl>
            <c:dLbl>
              <c:idx val="2"/>
              <c:layout/>
              <c:tx>
                <c:rich>
                  <a:bodyPr/>
                  <a:lstStyle/>
                  <a:p>
                    <a:r>
                      <a:rPr lang="en-GB"/>
                      <a:t>84.5%</a:t>
                    </a:r>
                  </a:p>
                </c:rich>
              </c:tx>
              <c:showLegendKey val="0"/>
              <c:showVal val="0"/>
              <c:showCatName val="0"/>
              <c:showSerName val="0"/>
              <c:showPercent val="0"/>
              <c:showBubbleSize val="0"/>
            </c:dLbl>
            <c:dLbl>
              <c:idx val="3"/>
              <c:layout/>
              <c:tx>
                <c:rich>
                  <a:bodyPr/>
                  <a:lstStyle/>
                  <a:p>
                    <a:r>
                      <a:rPr lang="en-GB"/>
                      <a:t>87.2%</a:t>
                    </a:r>
                  </a:p>
                </c:rich>
              </c:tx>
              <c:showLegendKey val="0"/>
              <c:showVal val="0"/>
              <c:showCatName val="0"/>
              <c:showSerName val="0"/>
              <c:showPercent val="0"/>
              <c:showBubbleSize val="0"/>
            </c:dLbl>
            <c:dLbl>
              <c:idx val="4"/>
              <c:layout/>
              <c:tx>
                <c:rich>
                  <a:bodyPr/>
                  <a:lstStyle/>
                  <a:p>
                    <a:r>
                      <a:rPr lang="en-US"/>
                      <a:t>87.1%</a:t>
                    </a:r>
                  </a:p>
                </c:rich>
              </c:tx>
              <c:showLegendKey val="0"/>
              <c:showVal val="1"/>
              <c:showCatName val="0"/>
              <c:showSerName val="0"/>
              <c:showPercent val="0"/>
              <c:showBubbleSize val="0"/>
            </c:dLbl>
            <c:dLbl>
              <c:idx val="5"/>
              <c:layout/>
              <c:tx>
                <c:rich>
                  <a:bodyPr/>
                  <a:lstStyle/>
                  <a:p>
                    <a:r>
                      <a:rPr lang="en-US"/>
                      <a:t>86.0%</a:t>
                    </a:r>
                  </a:p>
                </c:rich>
              </c:tx>
              <c:showLegendKey val="0"/>
              <c:showVal val="1"/>
              <c:showCatName val="0"/>
              <c:showSerName val="0"/>
              <c:showPercent val="0"/>
              <c:showBubbleSize val="0"/>
            </c:dLbl>
            <c:dLbl>
              <c:idx val="6"/>
              <c:layout/>
              <c:tx>
                <c:rich>
                  <a:bodyPr/>
                  <a:lstStyle/>
                  <a:p>
                    <a:r>
                      <a:rPr lang="en-US"/>
                      <a:t>87.6%</a:t>
                    </a:r>
                  </a:p>
                </c:rich>
              </c:tx>
              <c:showLegendKey val="0"/>
              <c:showVal val="1"/>
              <c:showCatName val="0"/>
              <c:showSerName val="0"/>
              <c:showPercent val="0"/>
              <c:showBubbleSize val="0"/>
            </c:dLbl>
            <c:spPr>
              <a:noFill/>
              <a:ln w="25400">
                <a:noFill/>
              </a:ln>
            </c:spPr>
            <c:showLegendKey val="0"/>
            <c:showVal val="1"/>
            <c:showCatName val="0"/>
            <c:showSerName val="0"/>
            <c:showPercent val="0"/>
            <c:showBubbleSize val="0"/>
            <c:showLeaderLines val="0"/>
          </c:dLbls>
          <c:cat>
            <c:numRef>
              <c:f>'Trans Quality'!$C$6:$I$6</c:f>
              <c:numCache>
                <c:formatCode>General</c:formatCode>
                <c:ptCount val="7"/>
                <c:pt idx="0">
                  <c:v>2009</c:v>
                </c:pt>
                <c:pt idx="1">
                  <c:v>2010</c:v>
                </c:pt>
                <c:pt idx="2">
                  <c:v>2011</c:v>
                </c:pt>
                <c:pt idx="3">
                  <c:v>2012</c:v>
                </c:pt>
                <c:pt idx="4">
                  <c:v>2013</c:v>
                </c:pt>
                <c:pt idx="5">
                  <c:v>2014</c:v>
                </c:pt>
                <c:pt idx="6">
                  <c:v>2015</c:v>
                </c:pt>
              </c:numCache>
            </c:numRef>
          </c:cat>
          <c:val>
            <c:numRef>
              <c:f>'Trans Quality'!$C$7:$I$7</c:f>
              <c:numCache>
                <c:formatCode>General</c:formatCode>
                <c:ptCount val="7"/>
                <c:pt idx="0">
                  <c:v>87.4</c:v>
                </c:pt>
                <c:pt idx="1">
                  <c:v>86.5</c:v>
                </c:pt>
                <c:pt idx="2">
                  <c:v>84.5</c:v>
                </c:pt>
                <c:pt idx="3">
                  <c:v>87.2</c:v>
                </c:pt>
                <c:pt idx="4">
                  <c:v>87.1</c:v>
                </c:pt>
                <c:pt idx="5" formatCode="0.0">
                  <c:v>86</c:v>
                </c:pt>
                <c:pt idx="6">
                  <c:v>87.6</c:v>
                </c:pt>
              </c:numCache>
            </c:numRef>
          </c:val>
        </c:ser>
        <c:ser>
          <c:idx val="1"/>
          <c:order val="1"/>
          <c:tx>
            <c:strRef>
              <c:f>'Trans Quality'!$B$8</c:f>
              <c:strCache>
                <c:ptCount val="1"/>
                <c:pt idx="0">
                  <c:v>غير مقبولة</c:v>
                </c:pt>
              </c:strCache>
            </c:strRef>
          </c:tx>
          <c:spPr>
            <a:solidFill>
              <a:schemeClr val="accent1">
                <a:lumMod val="40000"/>
                <a:lumOff val="60000"/>
              </a:schemeClr>
            </a:solidFill>
            <a:ln w="25400">
              <a:noFill/>
            </a:ln>
          </c:spPr>
          <c:invertIfNegative val="0"/>
          <c:dLbls>
            <c:dLbl>
              <c:idx val="0"/>
              <c:layout/>
              <c:tx>
                <c:rich>
                  <a:bodyPr/>
                  <a:lstStyle/>
                  <a:p>
                    <a:r>
                      <a:rPr lang="en-GB"/>
                      <a:t>12.6%</a:t>
                    </a:r>
                  </a:p>
                </c:rich>
              </c:tx>
              <c:showLegendKey val="0"/>
              <c:showVal val="0"/>
              <c:showCatName val="0"/>
              <c:showSerName val="0"/>
              <c:showPercent val="0"/>
              <c:showBubbleSize val="0"/>
            </c:dLbl>
            <c:dLbl>
              <c:idx val="1"/>
              <c:layout/>
              <c:tx>
                <c:rich>
                  <a:bodyPr/>
                  <a:lstStyle/>
                  <a:p>
                    <a:r>
                      <a:rPr lang="en-GB"/>
                      <a:t>13.5%</a:t>
                    </a:r>
                  </a:p>
                </c:rich>
              </c:tx>
              <c:showLegendKey val="0"/>
              <c:showVal val="0"/>
              <c:showCatName val="0"/>
              <c:showSerName val="0"/>
              <c:showPercent val="0"/>
              <c:showBubbleSize val="0"/>
            </c:dLbl>
            <c:dLbl>
              <c:idx val="2"/>
              <c:layout/>
              <c:tx>
                <c:rich>
                  <a:bodyPr/>
                  <a:lstStyle/>
                  <a:p>
                    <a:r>
                      <a:rPr lang="en-GB"/>
                      <a:t>15.5%</a:t>
                    </a:r>
                  </a:p>
                </c:rich>
              </c:tx>
              <c:showLegendKey val="0"/>
              <c:showVal val="0"/>
              <c:showCatName val="0"/>
              <c:showSerName val="0"/>
              <c:showPercent val="0"/>
              <c:showBubbleSize val="0"/>
            </c:dLbl>
            <c:dLbl>
              <c:idx val="3"/>
              <c:layout/>
              <c:tx>
                <c:rich>
                  <a:bodyPr/>
                  <a:lstStyle/>
                  <a:p>
                    <a:r>
                      <a:rPr lang="en-GB"/>
                      <a:t>12.8%</a:t>
                    </a:r>
                  </a:p>
                </c:rich>
              </c:tx>
              <c:showLegendKey val="0"/>
              <c:showVal val="0"/>
              <c:showCatName val="0"/>
              <c:showSerName val="0"/>
              <c:showPercent val="0"/>
              <c:showBubbleSize val="0"/>
            </c:dLbl>
            <c:dLbl>
              <c:idx val="4"/>
              <c:layout/>
              <c:tx>
                <c:rich>
                  <a:bodyPr/>
                  <a:lstStyle/>
                  <a:p>
                    <a:r>
                      <a:rPr lang="en-US"/>
                      <a:t>12.9%</a:t>
                    </a:r>
                  </a:p>
                </c:rich>
              </c:tx>
              <c:showLegendKey val="0"/>
              <c:showVal val="1"/>
              <c:showCatName val="0"/>
              <c:showSerName val="0"/>
              <c:showPercent val="0"/>
              <c:showBubbleSize val="0"/>
            </c:dLbl>
            <c:dLbl>
              <c:idx val="5"/>
              <c:layout/>
              <c:tx>
                <c:rich>
                  <a:bodyPr/>
                  <a:lstStyle/>
                  <a:p>
                    <a:r>
                      <a:rPr lang="en-US"/>
                      <a:t>14.0%</a:t>
                    </a:r>
                  </a:p>
                </c:rich>
              </c:tx>
              <c:showLegendKey val="0"/>
              <c:showVal val="1"/>
              <c:showCatName val="0"/>
              <c:showSerName val="0"/>
              <c:showPercent val="0"/>
              <c:showBubbleSize val="0"/>
            </c:dLbl>
            <c:dLbl>
              <c:idx val="6"/>
              <c:layout/>
              <c:tx>
                <c:rich>
                  <a:bodyPr/>
                  <a:lstStyle/>
                  <a:p>
                    <a:r>
                      <a:rPr lang="en-US"/>
                      <a:t>12.4%</a:t>
                    </a:r>
                  </a:p>
                </c:rich>
              </c:tx>
              <c:showLegendKey val="0"/>
              <c:showVal val="1"/>
              <c:showCatName val="0"/>
              <c:showSerName val="0"/>
              <c:showPercent val="0"/>
              <c:showBubbleSize val="0"/>
            </c:dLbl>
            <c:spPr>
              <a:noFill/>
              <a:ln w="25400">
                <a:noFill/>
              </a:ln>
            </c:spPr>
            <c:showLegendKey val="0"/>
            <c:showVal val="1"/>
            <c:showCatName val="0"/>
            <c:showSerName val="0"/>
            <c:showPercent val="0"/>
            <c:showBubbleSize val="0"/>
            <c:showLeaderLines val="0"/>
          </c:dLbls>
          <c:cat>
            <c:numRef>
              <c:f>'Trans Quality'!$C$6:$I$6</c:f>
              <c:numCache>
                <c:formatCode>General</c:formatCode>
                <c:ptCount val="7"/>
                <c:pt idx="0">
                  <c:v>2009</c:v>
                </c:pt>
                <c:pt idx="1">
                  <c:v>2010</c:v>
                </c:pt>
                <c:pt idx="2">
                  <c:v>2011</c:v>
                </c:pt>
                <c:pt idx="3">
                  <c:v>2012</c:v>
                </c:pt>
                <c:pt idx="4">
                  <c:v>2013</c:v>
                </c:pt>
                <c:pt idx="5">
                  <c:v>2014</c:v>
                </c:pt>
                <c:pt idx="6">
                  <c:v>2015</c:v>
                </c:pt>
              </c:numCache>
            </c:numRef>
          </c:cat>
          <c:val>
            <c:numRef>
              <c:f>'Trans Quality'!$C$8:$I$8</c:f>
              <c:numCache>
                <c:formatCode>General</c:formatCode>
                <c:ptCount val="7"/>
                <c:pt idx="0">
                  <c:v>12.599999999999994</c:v>
                </c:pt>
                <c:pt idx="1">
                  <c:v>13.5</c:v>
                </c:pt>
                <c:pt idx="2">
                  <c:v>15.5</c:v>
                </c:pt>
                <c:pt idx="3">
                  <c:v>12.799999999999997</c:v>
                </c:pt>
                <c:pt idx="4">
                  <c:v>12.900000000000006</c:v>
                </c:pt>
                <c:pt idx="5" formatCode="0.0">
                  <c:v>14</c:v>
                </c:pt>
                <c:pt idx="6">
                  <c:v>12.400000000000006</c:v>
                </c:pt>
              </c:numCache>
            </c:numRef>
          </c:val>
        </c:ser>
        <c:dLbls>
          <c:showLegendKey val="0"/>
          <c:showVal val="0"/>
          <c:showCatName val="0"/>
          <c:showSerName val="0"/>
          <c:showPercent val="0"/>
          <c:showBubbleSize val="0"/>
        </c:dLbls>
        <c:gapWidth val="150"/>
        <c:overlap val="100"/>
        <c:axId val="72170880"/>
        <c:axId val="72205824"/>
      </c:barChart>
      <c:catAx>
        <c:axId val="72170880"/>
        <c:scaling>
          <c:orientation val="minMax"/>
        </c:scaling>
        <c:delete val="0"/>
        <c:axPos val="b"/>
        <c:title>
          <c:tx>
            <c:rich>
              <a:bodyPr/>
              <a:lstStyle/>
              <a:p>
                <a:pPr>
                  <a:defRPr/>
                </a:pPr>
                <a:r>
                  <a:rPr lang="ar-SA" b="1"/>
                  <a:t>السنة</a:t>
                </a:r>
                <a:endParaRPr lang="en-GB" b="1"/>
              </a:p>
            </c:rich>
          </c:tx>
          <c:layout>
            <c:manualLayout>
              <c:xMode val="edge"/>
              <c:yMode val="edge"/>
              <c:x val="0.5422729913203499"/>
              <c:y val="0.9155177522580451"/>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72205824"/>
        <c:crossesAt val="0"/>
        <c:auto val="1"/>
        <c:lblAlgn val="ctr"/>
        <c:lblOffset val="100"/>
        <c:tickLblSkip val="1"/>
        <c:tickMarkSkip val="1"/>
        <c:noMultiLvlLbl val="0"/>
      </c:catAx>
      <c:valAx>
        <c:axId val="72205824"/>
        <c:scaling>
          <c:orientation val="minMax"/>
          <c:max val="1"/>
          <c:min val="0"/>
        </c:scaling>
        <c:delete val="0"/>
        <c:axPos val="l"/>
        <c:title>
          <c:tx>
            <c:rich>
              <a:bodyPr/>
              <a:lstStyle/>
              <a:p>
                <a:pPr>
                  <a:defRPr/>
                </a:pPr>
                <a:r>
                  <a:rPr lang="ar-SA" b="1"/>
                  <a:t>توزيع نتيجة الجودة</a:t>
                </a:r>
                <a:endParaRPr lang="en-GB" b="1"/>
              </a:p>
            </c:rich>
          </c:tx>
          <c:layout>
            <c:manualLayout>
              <c:xMode val="edge"/>
              <c:yMode val="edge"/>
              <c:x val="1.4001077005923533E-2"/>
              <c:y val="0.35563657694650636"/>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72170880"/>
        <c:crosses val="autoZero"/>
        <c:crossBetween val="between"/>
        <c:majorUnit val="0.2"/>
        <c:minorUnit val="0.05"/>
      </c:valAx>
      <c:spPr>
        <a:solidFill>
          <a:srgbClr val="FFFFFF"/>
        </a:solidFill>
        <a:ln w="12700">
          <a:solidFill>
            <a:srgbClr val="C0C0C0"/>
          </a:solidFill>
          <a:prstDash val="solid"/>
        </a:ln>
      </c:spPr>
    </c:plotArea>
    <c:legend>
      <c:legendPos val="b"/>
      <c:layout>
        <c:manualLayout>
          <c:xMode val="edge"/>
          <c:yMode val="edge"/>
          <c:x val="0.3618743295214108"/>
          <c:y val="5.9334796265220938E-2"/>
          <c:w val="0.33602611320718995"/>
          <c:h val="5.4726501104101329E-2"/>
        </c:manualLayout>
      </c:layout>
      <c:overlay val="0"/>
      <c:spPr>
        <a:solidFill>
          <a:srgbClr val="FFFFFF"/>
        </a:solidFill>
        <a:ln w="25400">
          <a:noFill/>
        </a:ln>
      </c:spPr>
    </c:legend>
    <c:plotVisOnly val="1"/>
    <c:dispBlanksAs val="gap"/>
    <c:showDLblsOverMax val="0"/>
  </c:chart>
  <c:spPr>
    <a:solidFill>
      <a:srgbClr val="FFFFFF"/>
    </a:solidFill>
    <a:ln w="3175">
      <a:noFill/>
      <a:prstDash val="solid"/>
    </a:ln>
  </c:spPr>
  <c:txPr>
    <a:bodyPr/>
    <a:lstStyle/>
    <a:p>
      <a:pPr>
        <a:defRPr sz="14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16297262059975"/>
          <c:y val="0.20738665131537881"/>
          <c:w val="0.86049543676662321"/>
          <c:h val="0.58238717150209118"/>
        </c:manualLayout>
      </c:layout>
      <c:barChart>
        <c:barDir val="col"/>
        <c:grouping val="percentStacked"/>
        <c:varyColors val="0"/>
        <c:ser>
          <c:idx val="0"/>
          <c:order val="0"/>
          <c:tx>
            <c:strRef>
              <c:f>'Time Report trans'!$C$7</c:f>
              <c:strCache>
                <c:ptCount val="1"/>
                <c:pt idx="0">
                  <c:v>30 شهرا</c:v>
                </c:pt>
              </c:strCache>
            </c:strRef>
          </c:tx>
          <c:spPr>
            <a:solidFill>
              <a:srgbClr val="FFCC99"/>
            </a:solidFill>
            <a:ln w="25400">
              <a:noFill/>
            </a:ln>
          </c:spPr>
          <c:invertIfNegative val="0"/>
          <c:cat>
            <c:numRef>
              <c:f>'Time Report trans'!$D$6:$I$6</c:f>
              <c:numCache>
                <c:formatCode>General</c:formatCode>
                <c:ptCount val="6"/>
                <c:pt idx="0">
                  <c:v>2010</c:v>
                </c:pt>
                <c:pt idx="1">
                  <c:v>2011</c:v>
                </c:pt>
                <c:pt idx="2">
                  <c:v>2012</c:v>
                </c:pt>
                <c:pt idx="3">
                  <c:v>2013</c:v>
                </c:pt>
                <c:pt idx="4">
                  <c:v>2014</c:v>
                </c:pt>
                <c:pt idx="5">
                  <c:v>2015</c:v>
                </c:pt>
              </c:numCache>
            </c:numRef>
          </c:cat>
          <c:val>
            <c:numRef>
              <c:f>'Time Report trans'!$D$7:$I$7</c:f>
              <c:numCache>
                <c:formatCode>0.0%</c:formatCode>
                <c:ptCount val="6"/>
                <c:pt idx="0">
                  <c:v>0.10084081679345649</c:v>
                </c:pt>
                <c:pt idx="1">
                  <c:v>0.25421203244323282</c:v>
                </c:pt>
                <c:pt idx="2">
                  <c:v>0.32691902943564149</c:v>
                </c:pt>
                <c:pt idx="3">
                  <c:v>0.6397629057106301</c:v>
                </c:pt>
                <c:pt idx="4">
                  <c:v>0.82507094176711693</c:v>
                </c:pt>
                <c:pt idx="5">
                  <c:v>0.89626963752717625</c:v>
                </c:pt>
              </c:numCache>
            </c:numRef>
          </c:val>
        </c:ser>
        <c:ser>
          <c:idx val="1"/>
          <c:order val="1"/>
          <c:tx>
            <c:strRef>
              <c:f>'Time Report trans'!$C$8</c:f>
              <c:strCache>
                <c:ptCount val="1"/>
                <c:pt idx="0">
                  <c:v>بين 30 و31 شهرا</c:v>
                </c:pt>
              </c:strCache>
            </c:strRef>
          </c:tx>
          <c:spPr>
            <a:solidFill>
              <a:srgbClr val="FF6600"/>
            </a:solidFill>
            <a:ln w="25400">
              <a:noFill/>
            </a:ln>
          </c:spPr>
          <c:invertIfNegative val="0"/>
          <c:cat>
            <c:numRef>
              <c:f>'Time Report trans'!$D$6:$I$6</c:f>
              <c:numCache>
                <c:formatCode>General</c:formatCode>
                <c:ptCount val="6"/>
                <c:pt idx="0">
                  <c:v>2010</c:v>
                </c:pt>
                <c:pt idx="1">
                  <c:v>2011</c:v>
                </c:pt>
                <c:pt idx="2">
                  <c:v>2012</c:v>
                </c:pt>
                <c:pt idx="3">
                  <c:v>2013</c:v>
                </c:pt>
                <c:pt idx="4">
                  <c:v>2014</c:v>
                </c:pt>
                <c:pt idx="5">
                  <c:v>2015</c:v>
                </c:pt>
              </c:numCache>
            </c:numRef>
          </c:cat>
          <c:val>
            <c:numRef>
              <c:f>'Time Report trans'!$D$8:$I$8</c:f>
              <c:numCache>
                <c:formatCode>0.0%</c:formatCode>
                <c:ptCount val="6"/>
                <c:pt idx="0">
                  <c:v>0.45613834391504127</c:v>
                </c:pt>
                <c:pt idx="1">
                  <c:v>0.41045092029733987</c:v>
                </c:pt>
                <c:pt idx="2">
                  <c:v>0.46434047926876937</c:v>
                </c:pt>
                <c:pt idx="3">
                  <c:v>0.30468444003446743</c:v>
                </c:pt>
                <c:pt idx="4">
                  <c:v>0.16475467488055104</c:v>
                </c:pt>
                <c:pt idx="5">
                  <c:v>9.324063724466608E-2</c:v>
                </c:pt>
              </c:numCache>
            </c:numRef>
          </c:val>
        </c:ser>
        <c:ser>
          <c:idx val="2"/>
          <c:order val="2"/>
          <c:tx>
            <c:strRef>
              <c:f>'Time Report trans'!$C$9</c:f>
              <c:strCache>
                <c:ptCount val="1"/>
                <c:pt idx="0">
                  <c:v>بين 31 و32 شهرا</c:v>
                </c:pt>
              </c:strCache>
            </c:strRef>
          </c:tx>
          <c:spPr>
            <a:solidFill>
              <a:srgbClr val="99CCFF"/>
            </a:solidFill>
            <a:ln w="25400">
              <a:noFill/>
            </a:ln>
          </c:spPr>
          <c:invertIfNegative val="0"/>
          <c:cat>
            <c:numRef>
              <c:f>'Time Report trans'!$D$6:$I$6</c:f>
              <c:numCache>
                <c:formatCode>General</c:formatCode>
                <c:ptCount val="6"/>
                <c:pt idx="0">
                  <c:v>2010</c:v>
                </c:pt>
                <c:pt idx="1">
                  <c:v>2011</c:v>
                </c:pt>
                <c:pt idx="2">
                  <c:v>2012</c:v>
                </c:pt>
                <c:pt idx="3">
                  <c:v>2013</c:v>
                </c:pt>
                <c:pt idx="4">
                  <c:v>2014</c:v>
                </c:pt>
                <c:pt idx="5">
                  <c:v>2015</c:v>
                </c:pt>
              </c:numCache>
            </c:numRef>
          </c:cat>
          <c:val>
            <c:numRef>
              <c:f>'Time Report trans'!$D$9:$I$9</c:f>
              <c:numCache>
                <c:formatCode>0.0%</c:formatCode>
                <c:ptCount val="6"/>
                <c:pt idx="0">
                  <c:v>0.32799481400980002</c:v>
                </c:pt>
                <c:pt idx="1">
                  <c:v>0.29645935282862318</c:v>
                </c:pt>
                <c:pt idx="2">
                  <c:v>0.18924200968158994</c:v>
                </c:pt>
                <c:pt idx="3">
                  <c:v>4.461184949212732E-2</c:v>
                </c:pt>
                <c:pt idx="4">
                  <c:v>8.246222502485993E-4</c:v>
                </c:pt>
                <c:pt idx="5">
                  <c:v>3.2181592620343187E-3</c:v>
                </c:pt>
              </c:numCache>
            </c:numRef>
          </c:val>
        </c:ser>
        <c:ser>
          <c:idx val="3"/>
          <c:order val="3"/>
          <c:tx>
            <c:strRef>
              <c:f>'Time Report trans'!$C$10</c:f>
              <c:strCache>
                <c:ptCount val="1"/>
                <c:pt idx="0">
                  <c:v>بين 32 و33 شهرا</c:v>
                </c:pt>
              </c:strCache>
            </c:strRef>
          </c:tx>
          <c:spPr>
            <a:solidFill>
              <a:srgbClr val="339966"/>
            </a:solidFill>
            <a:ln w="25400">
              <a:noFill/>
            </a:ln>
          </c:spPr>
          <c:invertIfNegative val="0"/>
          <c:cat>
            <c:numRef>
              <c:f>'Time Report trans'!$D$6:$I$6</c:f>
              <c:numCache>
                <c:formatCode>General</c:formatCode>
                <c:ptCount val="6"/>
                <c:pt idx="0">
                  <c:v>2010</c:v>
                </c:pt>
                <c:pt idx="1">
                  <c:v>2011</c:v>
                </c:pt>
                <c:pt idx="2">
                  <c:v>2012</c:v>
                </c:pt>
                <c:pt idx="3">
                  <c:v>2013</c:v>
                </c:pt>
                <c:pt idx="4">
                  <c:v>2014</c:v>
                </c:pt>
                <c:pt idx="5">
                  <c:v>2015</c:v>
                </c:pt>
              </c:numCache>
            </c:numRef>
          </c:cat>
          <c:val>
            <c:numRef>
              <c:f>'Time Report trans'!$D$10:$I$10</c:f>
              <c:numCache>
                <c:formatCode>0.0%</c:formatCode>
                <c:ptCount val="6"/>
                <c:pt idx="0">
                  <c:v>6.6884020667696234E-2</c:v>
                </c:pt>
                <c:pt idx="1">
                  <c:v>2.3536583300878811E-2</c:v>
                </c:pt>
                <c:pt idx="2">
                  <c:v>1.0553534381671127E-2</c:v>
                </c:pt>
                <c:pt idx="3">
                  <c:v>3.4467451758623392E-3</c:v>
                </c:pt>
                <c:pt idx="4">
                  <c:v>4.5596759719628436E-3</c:v>
                </c:pt>
                <c:pt idx="5">
                  <c:v>2.0389864026629655E-3</c:v>
                </c:pt>
              </c:numCache>
            </c:numRef>
          </c:val>
        </c:ser>
        <c:ser>
          <c:idx val="4"/>
          <c:order val="4"/>
          <c:tx>
            <c:strRef>
              <c:f>'Time Report trans'!$C$11</c:f>
              <c:strCache>
                <c:ptCount val="1"/>
                <c:pt idx="0">
                  <c:v>أكثر من 33 شهرا</c:v>
                </c:pt>
              </c:strCache>
            </c:strRef>
          </c:tx>
          <c:spPr>
            <a:solidFill>
              <a:srgbClr val="969696"/>
            </a:solidFill>
            <a:ln w="25400">
              <a:noFill/>
            </a:ln>
          </c:spPr>
          <c:invertIfNegative val="0"/>
          <c:cat>
            <c:numRef>
              <c:f>'Time Report trans'!$D$6:$I$6</c:f>
              <c:numCache>
                <c:formatCode>General</c:formatCode>
                <c:ptCount val="6"/>
                <c:pt idx="0">
                  <c:v>2010</c:v>
                </c:pt>
                <c:pt idx="1">
                  <c:v>2011</c:v>
                </c:pt>
                <c:pt idx="2">
                  <c:v>2012</c:v>
                </c:pt>
                <c:pt idx="3">
                  <c:v>2013</c:v>
                </c:pt>
                <c:pt idx="4">
                  <c:v>2014</c:v>
                </c:pt>
                <c:pt idx="5">
                  <c:v>2015</c:v>
                </c:pt>
              </c:numCache>
            </c:numRef>
          </c:cat>
          <c:val>
            <c:numRef>
              <c:f>'Time Report trans'!$D$11:$I$11</c:f>
              <c:numCache>
                <c:formatCode>0.0%</c:formatCode>
                <c:ptCount val="6"/>
                <c:pt idx="0">
                  <c:v>4.8142004614005987E-2</c:v>
                </c:pt>
                <c:pt idx="1">
                  <c:v>1.5341111129925327E-2</c:v>
                </c:pt>
                <c:pt idx="2">
                  <c:v>8.9449472323280925E-3</c:v>
                </c:pt>
                <c:pt idx="3">
                  <c:v>7.4940595869128126E-3</c:v>
                </c:pt>
                <c:pt idx="4">
                  <c:v>4.7900851301205406E-3</c:v>
                </c:pt>
                <c:pt idx="5">
                  <c:v>5.232579563460381E-3</c:v>
                </c:pt>
              </c:numCache>
            </c:numRef>
          </c:val>
        </c:ser>
        <c:dLbls>
          <c:showLegendKey val="0"/>
          <c:showVal val="0"/>
          <c:showCatName val="0"/>
          <c:showSerName val="0"/>
          <c:showPercent val="0"/>
          <c:showBubbleSize val="0"/>
        </c:dLbls>
        <c:gapWidth val="150"/>
        <c:overlap val="100"/>
        <c:axId val="78677504"/>
        <c:axId val="78679424"/>
      </c:barChart>
      <c:catAx>
        <c:axId val="78677504"/>
        <c:scaling>
          <c:orientation val="minMax"/>
        </c:scaling>
        <c:delete val="0"/>
        <c:axPos val="b"/>
        <c:title>
          <c:tx>
            <c:rich>
              <a:bodyPr/>
              <a:lstStyle/>
              <a:p>
                <a:pPr>
                  <a:defRPr b="1"/>
                </a:pPr>
                <a:r>
                  <a:rPr lang="ar-SA" b="1"/>
                  <a:t>السنة</a:t>
                </a:r>
              </a:p>
            </c:rich>
          </c:tx>
          <c:layout>
            <c:manualLayout>
              <c:xMode val="edge"/>
              <c:yMode val="edge"/>
              <c:x val="0.54083400356796507"/>
              <c:y val="0.8702663445478405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78679424"/>
        <c:crosses val="autoZero"/>
        <c:auto val="1"/>
        <c:lblAlgn val="ctr"/>
        <c:lblOffset val="100"/>
        <c:tickLblSkip val="1"/>
        <c:tickMarkSkip val="1"/>
        <c:noMultiLvlLbl val="0"/>
      </c:catAx>
      <c:valAx>
        <c:axId val="78679424"/>
        <c:scaling>
          <c:orientation val="minMax"/>
        </c:scaling>
        <c:delete val="0"/>
        <c:axPos val="l"/>
        <c:majorGridlines>
          <c:spPr>
            <a:ln w="3175">
              <a:solidFill>
                <a:srgbClr val="000000"/>
              </a:solidFill>
              <a:prstDash val="sysDash"/>
            </a:ln>
          </c:spPr>
        </c:majorGridlines>
        <c:title>
          <c:tx>
            <c:rich>
              <a:bodyPr/>
              <a:lstStyle/>
              <a:p>
                <a:pPr rtl="1">
                  <a:defRPr b="1"/>
                </a:pPr>
                <a:r>
                  <a:rPr lang="ar-SA" b="1"/>
                  <a:t>التوزيع بحسب التأخر (%)</a:t>
                </a:r>
              </a:p>
            </c:rich>
          </c:tx>
          <c:layout>
            <c:manualLayout>
              <c:xMode val="edge"/>
              <c:yMode val="edge"/>
              <c:x val="5.0912182209185376E-3"/>
              <c:y val="0.30397759167387312"/>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78677504"/>
        <c:crosses val="autoZero"/>
        <c:crossBetween val="between"/>
        <c:majorUnit val="0.25"/>
      </c:valAx>
      <c:spPr>
        <a:noFill/>
        <a:ln w="25400">
          <a:noFill/>
        </a:ln>
      </c:spPr>
    </c:plotArea>
    <c:legend>
      <c:legendPos val="b"/>
      <c:layout>
        <c:manualLayout>
          <c:xMode val="edge"/>
          <c:yMode val="edge"/>
          <c:x val="0.1807909604519774"/>
          <c:y val="9.6590909090909088E-2"/>
          <c:w val="0.72012168622338113"/>
          <c:h val="9.6591043078395611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5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365184081719515"/>
          <c:y val="0.10719160104986877"/>
          <c:w val="0.84252819748882746"/>
          <c:h val="0.67405033194380115"/>
        </c:manualLayout>
      </c:layout>
      <c:barChart>
        <c:barDir val="col"/>
        <c:grouping val="clustered"/>
        <c:varyColors val="0"/>
        <c:ser>
          <c:idx val="0"/>
          <c:order val="0"/>
          <c:tx>
            <c:strRef>
              <c:f>'PCTIS-QSD'!$H$10</c:f>
              <c:strCache>
                <c:ptCount val="1"/>
                <c:pt idx="0">
                  <c:v>share</c:v>
                </c:pt>
              </c:strCache>
            </c:strRef>
          </c:tx>
          <c:invertIfNegative val="0"/>
          <c:dLbls>
            <c:dLbl>
              <c:idx val="1"/>
              <c:layout>
                <c:manualLayout>
                  <c:x val="0"/>
                  <c:y val="3.199213972598975E-2"/>
                </c:manualLayout>
              </c:layout>
              <c:showLegendKey val="0"/>
              <c:showVal val="1"/>
              <c:showCatName val="0"/>
              <c:showSerName val="0"/>
              <c:showPercent val="0"/>
              <c:showBubbleSize val="0"/>
            </c:dLbl>
            <c:dLbl>
              <c:idx val="2"/>
              <c:layout>
                <c:manualLayout>
                  <c:x val="0"/>
                  <c:y val="2.0942408376963352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'PCTIS-QSD'!$I$9:$K$9</c:f>
              <c:numCache>
                <c:formatCode>General</c:formatCode>
                <c:ptCount val="3"/>
                <c:pt idx="0">
                  <c:v>2013</c:v>
                </c:pt>
                <c:pt idx="1">
                  <c:v>2014</c:v>
                </c:pt>
                <c:pt idx="2">
                  <c:v>2015</c:v>
                </c:pt>
              </c:numCache>
            </c:numRef>
          </c:cat>
          <c:val>
            <c:numRef>
              <c:f>'PCTIS-QSD'!$I$10:$K$10</c:f>
              <c:numCache>
                <c:formatCode>0.0%</c:formatCode>
                <c:ptCount val="3"/>
                <c:pt idx="0">
                  <c:v>0.89439999999999997</c:v>
                </c:pt>
                <c:pt idx="1">
                  <c:v>0.94530000000000003</c:v>
                </c:pt>
                <c:pt idx="2">
                  <c:v>0.91869999999999996</c:v>
                </c:pt>
              </c:numCache>
            </c:numRef>
          </c:val>
        </c:ser>
        <c:dLbls>
          <c:showLegendKey val="0"/>
          <c:showVal val="0"/>
          <c:showCatName val="0"/>
          <c:showSerName val="0"/>
          <c:showPercent val="0"/>
          <c:showBubbleSize val="0"/>
        </c:dLbls>
        <c:gapWidth val="150"/>
        <c:axId val="80743424"/>
        <c:axId val="80872576"/>
      </c:barChart>
      <c:catAx>
        <c:axId val="80743424"/>
        <c:scaling>
          <c:orientation val="minMax"/>
        </c:scaling>
        <c:delete val="0"/>
        <c:axPos val="b"/>
        <c:title>
          <c:tx>
            <c:rich>
              <a:bodyPr/>
              <a:lstStyle/>
              <a:p>
                <a:pPr>
                  <a:defRPr/>
                </a:pPr>
                <a:r>
                  <a:rPr lang="ar-SA"/>
                  <a:t>سنة الإصدار</a:t>
                </a:r>
              </a:p>
            </c:rich>
          </c:tx>
          <c:layout>
            <c:manualLayout>
              <c:xMode val="edge"/>
              <c:yMode val="edge"/>
              <c:x val="0.49099220705519919"/>
              <c:y val="0.86423467654778452"/>
            </c:manualLayout>
          </c:layout>
          <c:overlay val="0"/>
        </c:title>
        <c:numFmt formatCode="General" sourceLinked="1"/>
        <c:majorTickMark val="out"/>
        <c:minorTickMark val="none"/>
        <c:tickLblPos val="nextTo"/>
        <c:crossAx val="80872576"/>
        <c:crosses val="autoZero"/>
        <c:auto val="1"/>
        <c:lblAlgn val="ctr"/>
        <c:lblOffset val="100"/>
        <c:noMultiLvlLbl val="0"/>
      </c:catAx>
      <c:valAx>
        <c:axId val="80872576"/>
        <c:scaling>
          <c:orientation val="minMax"/>
          <c:max val="1"/>
          <c:min val="0"/>
        </c:scaling>
        <c:delete val="0"/>
        <c:axPos val="l"/>
        <c:majorGridlines/>
        <c:title>
          <c:tx>
            <c:rich>
              <a:bodyPr rot="-5400000" vert="horz"/>
              <a:lstStyle/>
              <a:p>
                <a:pPr>
                  <a:defRPr/>
                </a:pPr>
                <a:r>
                  <a:rPr lang="ar-SA"/>
                  <a:t>جودة تطوير البرمجيات</a:t>
                </a:r>
                <a:endParaRPr lang="en-US"/>
              </a:p>
            </c:rich>
          </c:tx>
          <c:layout>
            <c:manualLayout>
              <c:xMode val="edge"/>
              <c:yMode val="edge"/>
              <c:x val="0"/>
              <c:y val="0.31089331480623744"/>
            </c:manualLayout>
          </c:layout>
          <c:overlay val="0"/>
        </c:title>
        <c:numFmt formatCode="0%" sourceLinked="0"/>
        <c:majorTickMark val="out"/>
        <c:minorTickMark val="none"/>
        <c:tickLblPos val="nextTo"/>
        <c:crossAx val="80743424"/>
        <c:crosses val="autoZero"/>
        <c:crossBetween val="between"/>
        <c:majorUnit val="0.25"/>
      </c:valAx>
    </c:plotArea>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userShapes r:id="rId3"/>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16297262059975"/>
          <c:y val="0.17708363159150561"/>
          <c:w val="0.86049543676662321"/>
          <c:h val="0.61269028871391074"/>
        </c:manualLayout>
      </c:layout>
      <c:barChart>
        <c:barDir val="col"/>
        <c:grouping val="percentStacked"/>
        <c:varyColors val="0"/>
        <c:ser>
          <c:idx val="0"/>
          <c:order val="0"/>
          <c:tx>
            <c:strRef>
              <c:f>RO_IB_time_notif!$C$7</c:f>
              <c:strCache>
                <c:ptCount val="1"/>
                <c:pt idx="0">
                  <c:v>في غضون أسبوع</c:v>
                </c:pt>
              </c:strCache>
            </c:strRef>
          </c:tx>
          <c:spPr>
            <a:solidFill>
              <a:srgbClr val="FFCC99"/>
            </a:solidFill>
            <a:ln w="25400">
              <a:noFill/>
            </a:ln>
          </c:spPr>
          <c:invertIfNegative val="0"/>
          <c:cat>
            <c:numRef>
              <c:f>RO_IB_time_notif!$D$6:$L$6</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RO_IB_time_notif!$D$7:$L$7</c:f>
              <c:numCache>
                <c:formatCode>0.0%</c:formatCode>
                <c:ptCount val="9"/>
                <c:pt idx="0">
                  <c:v>9.1977516607051613E-3</c:v>
                </c:pt>
                <c:pt idx="1">
                  <c:v>1.8026196342886786E-2</c:v>
                </c:pt>
                <c:pt idx="2">
                  <c:v>0.55160831933858678</c:v>
                </c:pt>
                <c:pt idx="3">
                  <c:v>0.64110908617547513</c:v>
                </c:pt>
                <c:pt idx="4">
                  <c:v>0.30599162742019886</c:v>
                </c:pt>
                <c:pt idx="5">
                  <c:v>0.28611046914721516</c:v>
                </c:pt>
                <c:pt idx="6">
                  <c:v>0.22180242249138793</c:v>
                </c:pt>
                <c:pt idx="7">
                  <c:v>0.43683510638297873</c:v>
                </c:pt>
                <c:pt idx="8">
                  <c:v>0.61523788150807901</c:v>
                </c:pt>
              </c:numCache>
            </c:numRef>
          </c:val>
        </c:ser>
        <c:ser>
          <c:idx val="1"/>
          <c:order val="1"/>
          <c:tx>
            <c:strRef>
              <c:f>RO_IB_time_notif!$C$8</c:f>
              <c:strCache>
                <c:ptCount val="1"/>
                <c:pt idx="0">
                  <c:v>بين أسبوع وأسبوعين</c:v>
                </c:pt>
              </c:strCache>
            </c:strRef>
          </c:tx>
          <c:spPr>
            <a:solidFill>
              <a:srgbClr val="FF6600"/>
            </a:solidFill>
            <a:ln w="25400">
              <a:noFill/>
            </a:ln>
          </c:spPr>
          <c:invertIfNegative val="0"/>
          <c:cat>
            <c:numRef>
              <c:f>RO_IB_time_notif!$D$6:$L$6</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RO_IB_time_notif!$D$8:$L$8</c:f>
              <c:numCache>
                <c:formatCode>0.0%</c:formatCode>
                <c:ptCount val="9"/>
                <c:pt idx="0">
                  <c:v>3.3725089422585591E-2</c:v>
                </c:pt>
                <c:pt idx="1">
                  <c:v>6.1859680975230188E-2</c:v>
                </c:pt>
                <c:pt idx="2">
                  <c:v>0.28678465314558843</c:v>
                </c:pt>
                <c:pt idx="3">
                  <c:v>0.27076282218172348</c:v>
                </c:pt>
                <c:pt idx="4">
                  <c:v>0.42543171114599687</c:v>
                </c:pt>
                <c:pt idx="5">
                  <c:v>0.20198752022186273</c:v>
                </c:pt>
                <c:pt idx="6">
                  <c:v>3.4559395488387601E-2</c:v>
                </c:pt>
                <c:pt idx="7">
                  <c:v>0.2646276595744681</c:v>
                </c:pt>
                <c:pt idx="8">
                  <c:v>0.13038599640933574</c:v>
                </c:pt>
              </c:numCache>
            </c:numRef>
          </c:val>
        </c:ser>
        <c:ser>
          <c:idx val="2"/>
          <c:order val="2"/>
          <c:tx>
            <c:strRef>
              <c:f>RO_IB_time_notif!$C$9</c:f>
              <c:strCache>
                <c:ptCount val="1"/>
                <c:pt idx="0">
                  <c:v>بين أسبوعين و3 أسابيع</c:v>
                </c:pt>
              </c:strCache>
            </c:strRef>
          </c:tx>
          <c:spPr>
            <a:solidFill>
              <a:srgbClr val="99CCFF"/>
            </a:solidFill>
            <a:ln w="25400">
              <a:noFill/>
            </a:ln>
          </c:spPr>
          <c:invertIfNegative val="0"/>
          <c:cat>
            <c:numRef>
              <c:f>RO_IB_time_notif!$D$6:$L$6</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RO_IB_time_notif!$D$9:$L$9</c:f>
              <c:numCache>
                <c:formatCode>0.0%</c:formatCode>
                <c:ptCount val="9"/>
                <c:pt idx="0">
                  <c:v>4.3178334184977005E-2</c:v>
                </c:pt>
                <c:pt idx="1">
                  <c:v>0.13253793282323953</c:v>
                </c:pt>
                <c:pt idx="2">
                  <c:v>8.642294277225164E-2</c:v>
                </c:pt>
                <c:pt idx="3">
                  <c:v>2.5904712314501432E-2</c:v>
                </c:pt>
                <c:pt idx="4">
                  <c:v>0.15881737310308738</c:v>
                </c:pt>
                <c:pt idx="5">
                  <c:v>0.14767737462445113</c:v>
                </c:pt>
                <c:pt idx="6">
                  <c:v>3.3892654739415488E-2</c:v>
                </c:pt>
                <c:pt idx="7">
                  <c:v>8.8652482269503549E-2</c:v>
                </c:pt>
                <c:pt idx="8">
                  <c:v>7.1925493716337524E-2</c:v>
                </c:pt>
              </c:numCache>
            </c:numRef>
          </c:val>
        </c:ser>
        <c:ser>
          <c:idx val="3"/>
          <c:order val="3"/>
          <c:tx>
            <c:strRef>
              <c:f>RO_IB_time_notif!$C$10</c:f>
              <c:strCache>
                <c:ptCount val="1"/>
                <c:pt idx="0">
                  <c:v>بين 3 و4 أسابيع</c:v>
                </c:pt>
              </c:strCache>
            </c:strRef>
          </c:tx>
          <c:spPr>
            <a:solidFill>
              <a:srgbClr val="339966"/>
            </a:solidFill>
            <a:ln w="25400">
              <a:noFill/>
            </a:ln>
          </c:spPr>
          <c:invertIfNegative val="0"/>
          <c:cat>
            <c:numRef>
              <c:f>RO_IB_time_notif!$D$6:$L$6</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RO_IB_time_notif!$D$10:$L$10</c:f>
              <c:numCache>
                <c:formatCode>0.0%</c:formatCode>
                <c:ptCount val="9"/>
                <c:pt idx="0">
                  <c:v>8.0735820132856406E-2</c:v>
                </c:pt>
                <c:pt idx="1">
                  <c:v>0.20879263389962391</c:v>
                </c:pt>
                <c:pt idx="2">
                  <c:v>2.9195194419325669E-2</c:v>
                </c:pt>
                <c:pt idx="3">
                  <c:v>3.2153085134079669E-2</c:v>
                </c:pt>
                <c:pt idx="4">
                  <c:v>0.10060177917320774</c:v>
                </c:pt>
                <c:pt idx="5">
                  <c:v>6.4016639704183032E-2</c:v>
                </c:pt>
                <c:pt idx="6">
                  <c:v>3.4226025113901541E-2</c:v>
                </c:pt>
                <c:pt idx="7">
                  <c:v>5.5851063829787231E-2</c:v>
                </c:pt>
                <c:pt idx="8">
                  <c:v>7.8545780969479354E-2</c:v>
                </c:pt>
              </c:numCache>
            </c:numRef>
          </c:val>
        </c:ser>
        <c:ser>
          <c:idx val="4"/>
          <c:order val="4"/>
          <c:tx>
            <c:strRef>
              <c:f>RO_IB_time_notif!$C$11</c:f>
              <c:strCache>
                <c:ptCount val="1"/>
                <c:pt idx="0">
                  <c:v>أكثر من 4 أسابيع</c:v>
                </c:pt>
              </c:strCache>
            </c:strRef>
          </c:tx>
          <c:spPr>
            <a:solidFill>
              <a:srgbClr val="969696"/>
            </a:solidFill>
            <a:ln w="25400">
              <a:noFill/>
            </a:ln>
          </c:spPr>
          <c:invertIfNegative val="0"/>
          <c:cat>
            <c:numRef>
              <c:f>RO_IB_time_notif!$D$6:$L$6</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RO_IB_time_notif!$D$11:$L$11</c:f>
              <c:numCache>
                <c:formatCode>0.0%</c:formatCode>
                <c:ptCount val="9"/>
                <c:pt idx="0">
                  <c:v>0.83316300459887582</c:v>
                </c:pt>
                <c:pt idx="1">
                  <c:v>0.57878355595901954</c:v>
                </c:pt>
                <c:pt idx="2">
                  <c:v>4.5988890324247515E-2</c:v>
                </c:pt>
                <c:pt idx="3">
                  <c:v>3.0070294194220255E-2</c:v>
                </c:pt>
                <c:pt idx="4">
                  <c:v>9.1575091575091579E-3</c:v>
                </c:pt>
                <c:pt idx="5">
                  <c:v>0.30020799630228795</c:v>
                </c:pt>
                <c:pt idx="6">
                  <c:v>0.67551950216690748</c:v>
                </c:pt>
                <c:pt idx="7">
                  <c:v>0.15403368794326242</c:v>
                </c:pt>
                <c:pt idx="8">
                  <c:v>0.1039048473967684</c:v>
                </c:pt>
              </c:numCache>
            </c:numRef>
          </c:val>
        </c:ser>
        <c:dLbls>
          <c:showLegendKey val="0"/>
          <c:showVal val="0"/>
          <c:showCatName val="0"/>
          <c:showSerName val="0"/>
          <c:showPercent val="0"/>
          <c:showBubbleSize val="0"/>
        </c:dLbls>
        <c:gapWidth val="150"/>
        <c:overlap val="100"/>
        <c:axId val="82358656"/>
        <c:axId val="82360576"/>
      </c:barChart>
      <c:catAx>
        <c:axId val="82358656"/>
        <c:scaling>
          <c:orientation val="minMax"/>
        </c:scaling>
        <c:delete val="0"/>
        <c:axPos val="b"/>
        <c:title>
          <c:tx>
            <c:rich>
              <a:bodyPr/>
              <a:lstStyle/>
              <a:p>
                <a:pPr>
                  <a:defRPr b="1"/>
                </a:pPr>
                <a:r>
                  <a:rPr lang="ar-SA" b="1"/>
                  <a:t>سنة التسلّم في المكتب الدولي بوصفه مكتب تسلم الطلبات</a:t>
                </a:r>
                <a:endParaRPr lang="en-US" b="1"/>
              </a:p>
            </c:rich>
          </c:tx>
          <c:layout>
            <c:manualLayout>
              <c:xMode val="edge"/>
              <c:yMode val="edge"/>
              <c:x val="0.35338616344790147"/>
              <c:y val="0.8892058536361673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82360576"/>
        <c:crosses val="autoZero"/>
        <c:auto val="1"/>
        <c:lblAlgn val="ctr"/>
        <c:lblOffset val="100"/>
        <c:tickLblSkip val="1"/>
        <c:tickMarkSkip val="1"/>
        <c:noMultiLvlLbl val="0"/>
      </c:catAx>
      <c:valAx>
        <c:axId val="82360576"/>
        <c:scaling>
          <c:orientation val="minMax"/>
        </c:scaling>
        <c:delete val="0"/>
        <c:axPos val="l"/>
        <c:majorGridlines>
          <c:spPr>
            <a:ln w="3175">
              <a:solidFill>
                <a:srgbClr val="000000"/>
              </a:solidFill>
              <a:prstDash val="sysDash"/>
            </a:ln>
          </c:spPr>
        </c:majorGridlines>
        <c:title>
          <c:tx>
            <c:rich>
              <a:bodyPr/>
              <a:lstStyle/>
              <a:p>
                <a:pPr>
                  <a:defRPr b="1"/>
                </a:pPr>
                <a:r>
                  <a:rPr lang="ar-SA" b="1"/>
                  <a:t>التوزيع بحسب التأخر (%)</a:t>
                </a:r>
                <a:endParaRPr lang="en-US" b="1"/>
              </a:p>
            </c:rich>
          </c:tx>
          <c:layout>
            <c:manualLayout>
              <c:xMode val="edge"/>
              <c:yMode val="edge"/>
              <c:x val="1.2569517671367426E-2"/>
              <c:y val="0.30776544977332376"/>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82358656"/>
        <c:crosses val="autoZero"/>
        <c:crossBetween val="between"/>
        <c:majorUnit val="0.25"/>
      </c:valAx>
      <c:spPr>
        <a:noFill/>
        <a:ln w="25400">
          <a:noFill/>
        </a:ln>
      </c:spPr>
    </c:plotArea>
    <c:legend>
      <c:legendPos val="b"/>
      <c:layout>
        <c:manualLayout>
          <c:xMode val="edge"/>
          <c:yMode val="edge"/>
          <c:x val="0.16905699052950046"/>
          <c:y val="6.25E-2"/>
          <c:w val="0.71316818774445889"/>
          <c:h val="9.6591043078395611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2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30082443596208"/>
          <c:y val="0.19310615523164426"/>
          <c:w val="0.83270287900276496"/>
          <c:h val="0.56871559818125472"/>
        </c:manualLayout>
      </c:layout>
      <c:barChart>
        <c:barDir val="col"/>
        <c:grouping val="percentStacked"/>
        <c:varyColors val="0"/>
        <c:ser>
          <c:idx val="0"/>
          <c:order val="0"/>
          <c:tx>
            <c:strRef>
              <c:f>RO_IB_time_SC!$C$7</c:f>
              <c:strCache>
                <c:ptCount val="1"/>
                <c:pt idx="0">
                  <c:v>أقل من 5 أسابيع</c:v>
                </c:pt>
              </c:strCache>
            </c:strRef>
          </c:tx>
          <c:spPr>
            <a:solidFill>
              <a:srgbClr val="FFCC99"/>
            </a:solidFill>
            <a:ln w="25400">
              <a:noFill/>
            </a:ln>
          </c:spPr>
          <c:invertIfNegative val="0"/>
          <c:cat>
            <c:numRef>
              <c:f>RO_IB_time_SC!$D$6:$L$6</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RO_IB_time_SC!$D$7:$L$7</c:f>
              <c:numCache>
                <c:formatCode>_-* #,##0.0_-;\-* #,##0.0_-;_-* "-"??_-;_-@_-</c:formatCode>
                <c:ptCount val="9"/>
                <c:pt idx="0">
                  <c:v>1.2808662353096527</c:v>
                </c:pt>
                <c:pt idx="1">
                  <c:v>2.1415017619951207</c:v>
                </c:pt>
                <c:pt idx="2">
                  <c:v>37.407711238720267</c:v>
                </c:pt>
                <c:pt idx="3">
                  <c:v>36.792682926829265</c:v>
                </c:pt>
                <c:pt idx="4">
                  <c:v>19.954702586720703</c:v>
                </c:pt>
                <c:pt idx="5">
                  <c:v>24.652555056660251</c:v>
                </c:pt>
                <c:pt idx="6">
                  <c:v>6.9992930007069996</c:v>
                </c:pt>
                <c:pt idx="7">
                  <c:v>30.244195356285029</c:v>
                </c:pt>
                <c:pt idx="8">
                  <c:v>40.573727109135177</c:v>
                </c:pt>
              </c:numCache>
            </c:numRef>
          </c:val>
        </c:ser>
        <c:ser>
          <c:idx val="1"/>
          <c:order val="1"/>
          <c:tx>
            <c:strRef>
              <c:f>RO_IB_time_SC!$C$8</c:f>
              <c:strCache>
                <c:ptCount val="1"/>
                <c:pt idx="0">
                  <c:v>بين 5 و8 أسابيع</c:v>
                </c:pt>
              </c:strCache>
            </c:strRef>
          </c:tx>
          <c:spPr>
            <a:solidFill>
              <a:srgbClr val="FF6600"/>
            </a:solidFill>
            <a:ln w="25400">
              <a:noFill/>
            </a:ln>
          </c:spPr>
          <c:invertIfNegative val="0"/>
          <c:cat>
            <c:numRef>
              <c:f>RO_IB_time_SC!$D$6:$L$6</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RO_IB_time_SC!$D$8:$L$8</c:f>
              <c:numCache>
                <c:formatCode>_-* #,##0.0_-;\-* #,##0.0_-;_-* "-"??_-;_-@_-</c:formatCode>
                <c:ptCount val="9"/>
                <c:pt idx="0">
                  <c:v>16.426779347682558</c:v>
                </c:pt>
                <c:pt idx="1">
                  <c:v>39.86175115207373</c:v>
                </c:pt>
                <c:pt idx="2">
                  <c:v>39.691003554826359</c:v>
                </c:pt>
                <c:pt idx="3">
                  <c:v>37.975609756097562</c:v>
                </c:pt>
                <c:pt idx="4">
                  <c:v>53.748956967457381</c:v>
                </c:pt>
                <c:pt idx="5">
                  <c:v>52.619200342099639</c:v>
                </c:pt>
                <c:pt idx="6">
                  <c:v>41.359458640541355</c:v>
                </c:pt>
                <c:pt idx="7">
                  <c:v>42.363891112890315</c:v>
                </c:pt>
                <c:pt idx="8">
                  <c:v>43.495289509897326</c:v>
                </c:pt>
              </c:numCache>
            </c:numRef>
          </c:val>
        </c:ser>
        <c:ser>
          <c:idx val="2"/>
          <c:order val="2"/>
          <c:tx>
            <c:strRef>
              <c:f>RO_IB_time_SC!$C$9</c:f>
              <c:strCache>
                <c:ptCount val="1"/>
                <c:pt idx="0">
                  <c:v>أكثر من 8 أسابيع</c:v>
                </c:pt>
              </c:strCache>
            </c:strRef>
          </c:tx>
          <c:spPr>
            <a:solidFill>
              <a:srgbClr val="99CCFF"/>
            </a:solidFill>
            <a:ln w="25400">
              <a:noFill/>
            </a:ln>
          </c:spPr>
          <c:invertIfNegative val="0"/>
          <c:cat>
            <c:numRef>
              <c:f>RO_IB_time_SC!$D$6:$L$6</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RO_IB_time_SC!$D$9:$L$9</c:f>
              <c:numCache>
                <c:formatCode>_-* #,##0.0_-;\-* #,##0.0_-;_-* "-"??_-;_-@_-</c:formatCode>
                <c:ptCount val="9"/>
                <c:pt idx="0">
                  <c:v>82.2923544170078</c:v>
                </c:pt>
                <c:pt idx="1">
                  <c:v>57.996747085931148</c:v>
                </c:pt>
                <c:pt idx="2">
                  <c:v>22.901285206453377</c:v>
                </c:pt>
                <c:pt idx="3">
                  <c:v>25.23170731707317</c:v>
                </c:pt>
                <c:pt idx="4">
                  <c:v>26.296340445821908</c:v>
                </c:pt>
                <c:pt idx="5">
                  <c:v>22.72824460124011</c:v>
                </c:pt>
                <c:pt idx="6">
                  <c:v>51.641248358751646</c:v>
                </c:pt>
                <c:pt idx="7">
                  <c:v>27.391913530824656</c:v>
                </c:pt>
                <c:pt idx="8">
                  <c:v>15.930983380967504</c:v>
                </c:pt>
              </c:numCache>
            </c:numRef>
          </c:val>
        </c:ser>
        <c:dLbls>
          <c:showLegendKey val="0"/>
          <c:showVal val="0"/>
          <c:showCatName val="0"/>
          <c:showSerName val="0"/>
          <c:showPercent val="0"/>
          <c:showBubbleSize val="0"/>
        </c:dLbls>
        <c:gapWidth val="150"/>
        <c:overlap val="100"/>
        <c:axId val="82928000"/>
        <c:axId val="82929920"/>
      </c:barChart>
      <c:catAx>
        <c:axId val="82928000"/>
        <c:scaling>
          <c:orientation val="minMax"/>
        </c:scaling>
        <c:delete val="0"/>
        <c:axPos val="b"/>
        <c:title>
          <c:tx>
            <c:rich>
              <a:bodyPr/>
              <a:lstStyle/>
              <a:p>
                <a:pPr>
                  <a:defRPr b="1"/>
                </a:pPr>
                <a:r>
                  <a:rPr lang="ar-SA" b="1"/>
                  <a:t>سنة الإيداع</a:t>
                </a:r>
                <a:endParaRPr lang="en-US" b="1"/>
              </a:p>
            </c:rich>
          </c:tx>
          <c:layout>
            <c:manualLayout>
              <c:xMode val="edge"/>
              <c:yMode val="edge"/>
              <c:x val="0.48631024455420074"/>
              <c:y val="0.84823820502521041"/>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82929920"/>
        <c:crosses val="autoZero"/>
        <c:auto val="1"/>
        <c:lblAlgn val="ctr"/>
        <c:lblOffset val="100"/>
        <c:tickLblSkip val="1"/>
        <c:tickMarkSkip val="1"/>
        <c:noMultiLvlLbl val="0"/>
      </c:catAx>
      <c:valAx>
        <c:axId val="82929920"/>
        <c:scaling>
          <c:orientation val="minMax"/>
        </c:scaling>
        <c:delete val="0"/>
        <c:axPos val="l"/>
        <c:majorGridlines>
          <c:spPr>
            <a:ln w="3175">
              <a:solidFill>
                <a:srgbClr val="000000"/>
              </a:solidFill>
              <a:prstDash val="sysDash"/>
            </a:ln>
          </c:spPr>
        </c:majorGridlines>
        <c:title>
          <c:tx>
            <c:rich>
              <a:bodyPr/>
              <a:lstStyle/>
              <a:p>
                <a:pPr>
                  <a:defRPr b="1"/>
                </a:pPr>
                <a:r>
                  <a:rPr lang="ar-SA" b="1"/>
                  <a:t>التوزيع بحسب التأخر (%)</a:t>
                </a:r>
                <a:endParaRPr lang="en-US" b="1"/>
              </a:p>
            </c:rich>
          </c:tx>
          <c:layout>
            <c:manualLayout>
              <c:xMode val="edge"/>
              <c:yMode val="edge"/>
              <c:x val="3.259452411994785E-2"/>
              <c:y val="0.30397769439377442"/>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82928000"/>
        <c:crosses val="autoZero"/>
        <c:crossBetween val="between"/>
        <c:majorUnit val="0.25"/>
      </c:valAx>
      <c:spPr>
        <a:noFill/>
        <a:ln w="25400">
          <a:noFill/>
        </a:ln>
      </c:spPr>
    </c:plotArea>
    <c:legend>
      <c:legendPos val="b"/>
      <c:layout>
        <c:manualLayout>
          <c:xMode val="edge"/>
          <c:yMode val="edge"/>
          <c:x val="0.16905693176879619"/>
          <c:y val="5.4924242424242424E-2"/>
          <c:w val="0.71316818774445889"/>
          <c:h val="9.6591043078395611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2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الطلبات الدولية</a:t>
            </a:r>
            <a:endParaRPr lang="en-US"/>
          </a:p>
        </c:rich>
      </c:tx>
      <c:layout/>
      <c:overlay val="0"/>
    </c:title>
    <c:autoTitleDeleted val="0"/>
    <c:plotArea>
      <c:layout>
        <c:manualLayout>
          <c:layoutTarget val="inner"/>
          <c:xMode val="edge"/>
          <c:yMode val="edge"/>
          <c:x val="0.12770793934229802"/>
          <c:y val="0.21074591024263953"/>
          <c:w val="0.84354689257942872"/>
          <c:h val="0.63610119346598093"/>
        </c:manualLayout>
      </c:layout>
      <c:barChart>
        <c:barDir val="col"/>
        <c:grouping val="stacked"/>
        <c:varyColors val="0"/>
        <c:ser>
          <c:idx val="0"/>
          <c:order val="0"/>
          <c:tx>
            <c:strRef>
              <c:f>'Hague Input'!$A$6</c:f>
              <c:strCache>
                <c:ptCount val="1"/>
                <c:pt idx="0">
                  <c:v>إلكتروني</c:v>
                </c:pt>
              </c:strCache>
            </c:strRef>
          </c:tx>
          <c:spPr>
            <a:solidFill>
              <a:srgbClr val="0070C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Input'!$G$6:$K$6</c:f>
              <c:numCache>
                <c:formatCode>#,##0</c:formatCode>
                <c:ptCount val="5"/>
                <c:pt idx="0">
                  <c:v>1999</c:v>
                </c:pt>
                <c:pt idx="1">
                  <c:v>2116</c:v>
                </c:pt>
                <c:pt idx="2">
                  <c:v>2622</c:v>
                </c:pt>
                <c:pt idx="3">
                  <c:v>2604</c:v>
                </c:pt>
                <c:pt idx="4" formatCode="_(* #,##0_);_(* \(#,##0\);_(* &quot;-&quot;??_);_(@_)">
                  <c:v>3811</c:v>
                </c:pt>
              </c:numCache>
            </c:numRef>
          </c:val>
        </c:ser>
        <c:ser>
          <c:idx val="1"/>
          <c:order val="1"/>
          <c:tx>
            <c:strRef>
              <c:f>'Hague Input'!$A$7</c:f>
              <c:strCache>
                <c:ptCount val="1"/>
                <c:pt idx="0">
                  <c:v>ورقي</c:v>
                </c:pt>
              </c:strCache>
            </c:strRef>
          </c:tx>
          <c:spPr>
            <a:solidFill>
              <a:srgbClr val="00B0F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Input'!$G$7:$K$7</c:f>
              <c:numCache>
                <c:formatCode>#,##0</c:formatCode>
                <c:ptCount val="5"/>
                <c:pt idx="0">
                  <c:v>522</c:v>
                </c:pt>
                <c:pt idx="1">
                  <c:v>488</c:v>
                </c:pt>
                <c:pt idx="2">
                  <c:v>368</c:v>
                </c:pt>
                <c:pt idx="3">
                  <c:v>320</c:v>
                </c:pt>
                <c:pt idx="4" formatCode="_(* #,##0_);_(* \(#,##0\);_(* &quot;-&quot;??_);_(@_)">
                  <c:v>300</c:v>
                </c:pt>
              </c:numCache>
            </c:numRef>
          </c:val>
        </c:ser>
        <c:dLbls>
          <c:showLegendKey val="0"/>
          <c:showVal val="0"/>
          <c:showCatName val="0"/>
          <c:showSerName val="0"/>
          <c:showPercent val="0"/>
          <c:showBubbleSize val="0"/>
        </c:dLbls>
        <c:gapWidth val="150"/>
        <c:overlap val="100"/>
        <c:axId val="83705856"/>
        <c:axId val="83707776"/>
      </c:barChart>
      <c:catAx>
        <c:axId val="83705856"/>
        <c:scaling>
          <c:orientation val="minMax"/>
        </c:scaling>
        <c:delete val="0"/>
        <c:axPos val="b"/>
        <c:title>
          <c:tx>
            <c:rich>
              <a:bodyPr/>
              <a:lstStyle/>
              <a:p>
                <a:pPr>
                  <a:defRPr/>
                </a:pPr>
                <a:r>
                  <a:rPr lang="ar-SA"/>
                  <a:t>سنة الإيداع</a:t>
                </a:r>
                <a:endParaRPr lang="en-US"/>
              </a:p>
            </c:rich>
          </c:tx>
          <c:layout/>
          <c:overlay val="0"/>
        </c:title>
        <c:numFmt formatCode="0" sourceLinked="1"/>
        <c:majorTickMark val="out"/>
        <c:minorTickMark val="none"/>
        <c:tickLblPos val="nextTo"/>
        <c:crossAx val="83707776"/>
        <c:crosses val="autoZero"/>
        <c:auto val="1"/>
        <c:lblAlgn val="ctr"/>
        <c:lblOffset val="100"/>
        <c:noMultiLvlLbl val="0"/>
      </c:catAx>
      <c:valAx>
        <c:axId val="83707776"/>
        <c:scaling>
          <c:orientation val="minMax"/>
        </c:scaling>
        <c:delete val="0"/>
        <c:axPos val="l"/>
        <c:majorGridlines/>
        <c:title>
          <c:tx>
            <c:rich>
              <a:bodyPr rot="-5400000" vert="horz"/>
              <a:lstStyle/>
              <a:p>
                <a:pPr>
                  <a:defRPr/>
                </a:pPr>
                <a:r>
                  <a:rPr lang="ar-SA"/>
                  <a:t>الطلبات</a:t>
                </a:r>
                <a:endParaRPr lang="en-US"/>
              </a:p>
            </c:rich>
          </c:tx>
          <c:layout/>
          <c:overlay val="0"/>
        </c:title>
        <c:numFmt formatCode="#,##0" sourceLinked="1"/>
        <c:majorTickMark val="out"/>
        <c:minorTickMark val="none"/>
        <c:tickLblPos val="nextTo"/>
        <c:crossAx val="83705856"/>
        <c:crosses val="autoZero"/>
        <c:crossBetween val="between"/>
      </c:valAx>
    </c:plotArea>
    <c:legend>
      <c:legendPos val="t"/>
      <c:layout/>
      <c:overlay val="0"/>
    </c:legend>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متوسط عدد التصاميم لكل طلب</a:t>
            </a:r>
            <a:endParaRPr lang="en-US"/>
          </a:p>
        </c:rich>
      </c:tx>
      <c:layout>
        <c:manualLayout>
          <c:xMode val="edge"/>
          <c:yMode val="edge"/>
          <c:x val="0.36165826365256198"/>
          <c:y val="4.0609126234961102E-2"/>
        </c:manualLayout>
      </c:layout>
      <c:overlay val="0"/>
    </c:title>
    <c:autoTitleDeleted val="0"/>
    <c:plotArea>
      <c:layout>
        <c:manualLayout>
          <c:layoutTarget val="inner"/>
          <c:xMode val="edge"/>
          <c:yMode val="edge"/>
          <c:x val="0.12770793934229802"/>
          <c:y val="0.21074591024263953"/>
          <c:w val="0.84354689257942872"/>
          <c:h val="0.63610119346598093"/>
        </c:manualLayout>
      </c:layout>
      <c:barChart>
        <c:barDir val="col"/>
        <c:grouping val="stacked"/>
        <c:varyColors val="0"/>
        <c:ser>
          <c:idx val="0"/>
          <c:order val="0"/>
          <c:tx>
            <c:strRef>
              <c:f>'Hague Input'!$A$13</c:f>
              <c:strCache>
                <c:ptCount val="1"/>
                <c:pt idx="0">
                  <c:v>Average nb of designs</c:v>
                </c:pt>
              </c:strCache>
            </c:strRef>
          </c:tx>
          <c:spPr>
            <a:solidFill>
              <a:srgbClr val="0070C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Input'!$G$13:$K$13</c:f>
              <c:numCache>
                <c:formatCode>#,##0.00</c:formatCode>
                <c:ptCount val="5"/>
                <c:pt idx="0">
                  <c:v>4.7731059103530349</c:v>
                </c:pt>
                <c:pt idx="1">
                  <c:v>4.7826420890937023</c:v>
                </c:pt>
                <c:pt idx="2">
                  <c:v>4.4053511705685615</c:v>
                </c:pt>
                <c:pt idx="3">
                  <c:v>4.938782489740082</c:v>
                </c:pt>
                <c:pt idx="4" formatCode="_(* #,##0.00_);_(* \(#,##0.00\);_(* &quot;-&quot;??_);_(@_)">
                  <c:v>3.9978107516419361</c:v>
                </c:pt>
              </c:numCache>
            </c:numRef>
          </c:val>
        </c:ser>
        <c:dLbls>
          <c:showLegendKey val="0"/>
          <c:showVal val="0"/>
          <c:showCatName val="0"/>
          <c:showSerName val="0"/>
          <c:showPercent val="0"/>
          <c:showBubbleSize val="0"/>
        </c:dLbls>
        <c:gapWidth val="150"/>
        <c:overlap val="100"/>
        <c:axId val="83831040"/>
        <c:axId val="83833216"/>
      </c:barChart>
      <c:catAx>
        <c:axId val="83831040"/>
        <c:scaling>
          <c:orientation val="minMax"/>
        </c:scaling>
        <c:delete val="0"/>
        <c:axPos val="b"/>
        <c:title>
          <c:tx>
            <c:rich>
              <a:bodyPr/>
              <a:lstStyle/>
              <a:p>
                <a:pPr>
                  <a:defRPr/>
                </a:pPr>
                <a:r>
                  <a:rPr lang="ar-SA"/>
                  <a:t>سنة الإيداع</a:t>
                </a:r>
                <a:endParaRPr lang="en-US"/>
              </a:p>
            </c:rich>
          </c:tx>
          <c:layout/>
          <c:overlay val="0"/>
        </c:title>
        <c:numFmt formatCode="0" sourceLinked="1"/>
        <c:majorTickMark val="out"/>
        <c:minorTickMark val="none"/>
        <c:tickLblPos val="nextTo"/>
        <c:crossAx val="83833216"/>
        <c:crosses val="autoZero"/>
        <c:auto val="1"/>
        <c:lblAlgn val="ctr"/>
        <c:lblOffset val="100"/>
        <c:noMultiLvlLbl val="0"/>
      </c:catAx>
      <c:valAx>
        <c:axId val="83833216"/>
        <c:scaling>
          <c:orientation val="minMax"/>
          <c:min val="0"/>
        </c:scaling>
        <c:delete val="0"/>
        <c:axPos val="l"/>
        <c:majorGridlines/>
        <c:title>
          <c:tx>
            <c:rich>
              <a:bodyPr rot="-5400000" vert="horz"/>
              <a:lstStyle/>
              <a:p>
                <a:pPr>
                  <a:defRPr/>
                </a:pPr>
                <a:r>
                  <a:rPr lang="ar-SA"/>
                  <a:t>متوسط عدد التصاميم</a:t>
                </a:r>
                <a:endParaRPr lang="en-US"/>
              </a:p>
            </c:rich>
          </c:tx>
          <c:layout>
            <c:manualLayout>
              <c:xMode val="edge"/>
              <c:yMode val="edge"/>
              <c:x val="2.8092960933383988E-2"/>
              <c:y val="0.30634309755436601"/>
            </c:manualLayout>
          </c:layout>
          <c:overlay val="0"/>
        </c:title>
        <c:numFmt formatCode="#,##0" sourceLinked="0"/>
        <c:majorTickMark val="out"/>
        <c:minorTickMark val="none"/>
        <c:tickLblPos val="nextTo"/>
        <c:crossAx val="83831040"/>
        <c:crosses val="autoZero"/>
        <c:crossBetween val="between"/>
        <c:majorUnit val="1"/>
      </c:valAx>
    </c:plotArea>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متوسط عدد التعيينات في كل طلب</a:t>
            </a:r>
            <a:endParaRPr lang="en-US"/>
          </a:p>
        </c:rich>
      </c:tx>
      <c:layout>
        <c:manualLayout>
          <c:xMode val="edge"/>
          <c:yMode val="edge"/>
          <c:x val="0.3727140975288209"/>
          <c:y val="4.0609126234961102E-2"/>
        </c:manualLayout>
      </c:layout>
      <c:overlay val="0"/>
    </c:title>
    <c:autoTitleDeleted val="0"/>
    <c:plotArea>
      <c:layout>
        <c:manualLayout>
          <c:layoutTarget val="inner"/>
          <c:xMode val="edge"/>
          <c:yMode val="edge"/>
          <c:x val="0.12770793934229802"/>
          <c:y val="0.21074591024263953"/>
          <c:w val="0.84354689257942872"/>
          <c:h val="0.63610119346598093"/>
        </c:manualLayout>
      </c:layout>
      <c:barChart>
        <c:barDir val="col"/>
        <c:grouping val="stacked"/>
        <c:varyColors val="0"/>
        <c:ser>
          <c:idx val="0"/>
          <c:order val="0"/>
          <c:spPr>
            <a:solidFill>
              <a:srgbClr val="0070C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Input'!$G$16:$K$16</c:f>
              <c:numCache>
                <c:formatCode>#,##0.00</c:formatCode>
                <c:ptCount val="5"/>
                <c:pt idx="0">
                  <c:v>4.935343117810393</c:v>
                </c:pt>
                <c:pt idx="1">
                  <c:v>5.4473886328725039</c:v>
                </c:pt>
                <c:pt idx="2">
                  <c:v>5.4043478260869566</c:v>
                </c:pt>
                <c:pt idx="3">
                  <c:v>4.9165526675786593</c:v>
                </c:pt>
                <c:pt idx="4" formatCode="_(* #,##0.00_);_(* \(#,##0.00\);_(* &quot;-&quot;??_);_(@_)">
                  <c:v>4.5538798345901244</c:v>
                </c:pt>
              </c:numCache>
            </c:numRef>
          </c:val>
        </c:ser>
        <c:dLbls>
          <c:showLegendKey val="0"/>
          <c:showVal val="0"/>
          <c:showCatName val="0"/>
          <c:showSerName val="0"/>
          <c:showPercent val="0"/>
          <c:showBubbleSize val="0"/>
        </c:dLbls>
        <c:gapWidth val="150"/>
        <c:overlap val="100"/>
        <c:axId val="84205952"/>
        <c:axId val="84207872"/>
      </c:barChart>
      <c:catAx>
        <c:axId val="84205952"/>
        <c:scaling>
          <c:orientation val="minMax"/>
        </c:scaling>
        <c:delete val="0"/>
        <c:axPos val="b"/>
        <c:title>
          <c:tx>
            <c:rich>
              <a:bodyPr/>
              <a:lstStyle/>
              <a:p>
                <a:pPr>
                  <a:defRPr/>
                </a:pPr>
                <a:r>
                  <a:rPr lang="ar-SA"/>
                  <a:t>سنة الإيداع</a:t>
                </a:r>
                <a:endParaRPr lang="en-US"/>
              </a:p>
            </c:rich>
          </c:tx>
          <c:layout/>
          <c:overlay val="0"/>
        </c:title>
        <c:numFmt formatCode="0" sourceLinked="1"/>
        <c:majorTickMark val="out"/>
        <c:minorTickMark val="none"/>
        <c:tickLblPos val="nextTo"/>
        <c:crossAx val="84207872"/>
        <c:crosses val="autoZero"/>
        <c:auto val="1"/>
        <c:lblAlgn val="ctr"/>
        <c:lblOffset val="100"/>
        <c:noMultiLvlLbl val="0"/>
      </c:catAx>
      <c:valAx>
        <c:axId val="84207872"/>
        <c:scaling>
          <c:orientation val="minMax"/>
          <c:min val="0"/>
        </c:scaling>
        <c:delete val="0"/>
        <c:axPos val="l"/>
        <c:majorGridlines/>
        <c:title>
          <c:tx>
            <c:rich>
              <a:bodyPr rot="-5400000" vert="horz"/>
              <a:lstStyle/>
              <a:p>
                <a:pPr>
                  <a:defRPr/>
                </a:pPr>
                <a:r>
                  <a:rPr lang="ar-SA"/>
                  <a:t>متوسط عدد التعيينات</a:t>
                </a:r>
                <a:endParaRPr lang="en-US"/>
              </a:p>
            </c:rich>
          </c:tx>
          <c:layout>
            <c:manualLayout>
              <c:xMode val="edge"/>
              <c:yMode val="edge"/>
              <c:x val="2.8092960933383988E-2"/>
              <c:y val="0.30634309755436601"/>
            </c:manualLayout>
          </c:layout>
          <c:overlay val="0"/>
        </c:title>
        <c:numFmt formatCode="#,##0" sourceLinked="0"/>
        <c:majorTickMark val="out"/>
        <c:minorTickMark val="none"/>
        <c:tickLblPos val="nextTo"/>
        <c:crossAx val="84205952"/>
        <c:crosses val="autoZero"/>
        <c:crossBetween val="between"/>
        <c:majorUnit val="1"/>
      </c:valAx>
    </c:plotArea>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المخالفات في الطلبات</a:t>
            </a:r>
            <a:endParaRPr lang="en-US"/>
          </a:p>
        </c:rich>
      </c:tx>
      <c:layout>
        <c:manualLayout>
          <c:xMode val="edge"/>
          <c:yMode val="edge"/>
          <c:x val="0.3845688960826133"/>
          <c:y val="2.492767602565445E-2"/>
        </c:manualLayout>
      </c:layout>
      <c:overlay val="0"/>
    </c:title>
    <c:autoTitleDeleted val="0"/>
    <c:plotArea>
      <c:layout>
        <c:manualLayout>
          <c:layoutTarget val="inner"/>
          <c:xMode val="edge"/>
          <c:yMode val="edge"/>
          <c:x val="0.11605904528780242"/>
          <c:y val="0.31296555106472912"/>
          <c:w val="0.86257654750873736"/>
          <c:h val="0.54018784147285548"/>
        </c:manualLayout>
      </c:layout>
      <c:barChart>
        <c:barDir val="col"/>
        <c:grouping val="stacked"/>
        <c:varyColors val="0"/>
        <c:ser>
          <c:idx val="0"/>
          <c:order val="0"/>
          <c:tx>
            <c:strRef>
              <c:f>Irregularities!$A$11</c:f>
              <c:strCache>
                <c:ptCount val="1"/>
                <c:pt idx="0">
                  <c:v>الدفع</c:v>
                </c:pt>
              </c:strCache>
            </c:strRef>
          </c:tx>
          <c:spPr>
            <a:solidFill>
              <a:srgbClr val="0070C0"/>
            </a:solidFill>
          </c:spPr>
          <c:invertIfNegative val="0"/>
          <c:cat>
            <c:numRef>
              <c:f>Irregularities!$G$3:$K$3</c:f>
              <c:numCache>
                <c:formatCode>0</c:formatCode>
                <c:ptCount val="5"/>
                <c:pt idx="0">
                  <c:v>2011</c:v>
                </c:pt>
                <c:pt idx="1">
                  <c:v>2012</c:v>
                </c:pt>
                <c:pt idx="2">
                  <c:v>2013</c:v>
                </c:pt>
                <c:pt idx="3">
                  <c:v>2014</c:v>
                </c:pt>
                <c:pt idx="4">
                  <c:v>2015</c:v>
                </c:pt>
              </c:numCache>
            </c:numRef>
          </c:cat>
          <c:val>
            <c:numRef>
              <c:f>Irregularities!$G$11:$K$11</c:f>
              <c:numCache>
                <c:formatCode>0</c:formatCode>
                <c:ptCount val="5"/>
                <c:pt idx="0">
                  <c:v>366</c:v>
                </c:pt>
                <c:pt idx="1">
                  <c:v>413</c:v>
                </c:pt>
                <c:pt idx="2">
                  <c:v>546</c:v>
                </c:pt>
                <c:pt idx="3">
                  <c:v>432</c:v>
                </c:pt>
                <c:pt idx="4">
                  <c:v>527</c:v>
                </c:pt>
              </c:numCache>
            </c:numRef>
          </c:val>
        </c:ser>
        <c:ser>
          <c:idx val="1"/>
          <c:order val="1"/>
          <c:tx>
            <c:strRef>
              <c:f>Irregularities!$A$12</c:f>
              <c:strCache>
                <c:ptCount val="1"/>
                <c:pt idx="0">
                  <c:v>بيان المنتج</c:v>
                </c:pt>
              </c:strCache>
            </c:strRef>
          </c:tx>
          <c:spPr>
            <a:solidFill>
              <a:srgbClr val="00B0F0"/>
            </a:solidFill>
          </c:spPr>
          <c:invertIfNegative val="0"/>
          <c:cat>
            <c:numRef>
              <c:f>Irregularities!$G$3:$K$3</c:f>
              <c:numCache>
                <c:formatCode>0</c:formatCode>
                <c:ptCount val="5"/>
                <c:pt idx="0">
                  <c:v>2011</c:v>
                </c:pt>
                <c:pt idx="1">
                  <c:v>2012</c:v>
                </c:pt>
                <c:pt idx="2">
                  <c:v>2013</c:v>
                </c:pt>
                <c:pt idx="3">
                  <c:v>2014</c:v>
                </c:pt>
                <c:pt idx="4">
                  <c:v>2015</c:v>
                </c:pt>
              </c:numCache>
            </c:numRef>
          </c:cat>
          <c:val>
            <c:numRef>
              <c:f>Irregularities!$G$12:$K$12</c:f>
              <c:numCache>
                <c:formatCode>0</c:formatCode>
                <c:ptCount val="5"/>
                <c:pt idx="0">
                  <c:v>150</c:v>
                </c:pt>
                <c:pt idx="1">
                  <c:v>216</c:v>
                </c:pt>
                <c:pt idx="2">
                  <c:v>254</c:v>
                </c:pt>
                <c:pt idx="3">
                  <c:v>307</c:v>
                </c:pt>
                <c:pt idx="4">
                  <c:v>412</c:v>
                </c:pt>
              </c:numCache>
            </c:numRef>
          </c:val>
        </c:ser>
        <c:ser>
          <c:idx val="2"/>
          <c:order val="2"/>
          <c:tx>
            <c:strRef>
              <c:f>Irregularities!$A$13</c:f>
              <c:strCache>
                <c:ptCount val="1"/>
                <c:pt idx="0">
                  <c:v>النسخ</c:v>
                </c:pt>
              </c:strCache>
            </c:strRef>
          </c:tx>
          <c:invertIfNegative val="0"/>
          <c:cat>
            <c:numRef>
              <c:f>Irregularities!$G$3:$K$3</c:f>
              <c:numCache>
                <c:formatCode>0</c:formatCode>
                <c:ptCount val="5"/>
                <c:pt idx="0">
                  <c:v>2011</c:v>
                </c:pt>
                <c:pt idx="1">
                  <c:v>2012</c:v>
                </c:pt>
                <c:pt idx="2">
                  <c:v>2013</c:v>
                </c:pt>
                <c:pt idx="3">
                  <c:v>2014</c:v>
                </c:pt>
                <c:pt idx="4">
                  <c:v>2015</c:v>
                </c:pt>
              </c:numCache>
            </c:numRef>
          </c:cat>
          <c:val>
            <c:numRef>
              <c:f>Irregularities!$G$13:$K$13</c:f>
              <c:numCache>
                <c:formatCode>0</c:formatCode>
                <c:ptCount val="5"/>
                <c:pt idx="0">
                  <c:v>169</c:v>
                </c:pt>
                <c:pt idx="1">
                  <c:v>284</c:v>
                </c:pt>
                <c:pt idx="2">
                  <c:v>228</c:v>
                </c:pt>
                <c:pt idx="3">
                  <c:v>253</c:v>
                </c:pt>
                <c:pt idx="4">
                  <c:v>382</c:v>
                </c:pt>
              </c:numCache>
            </c:numRef>
          </c:val>
        </c:ser>
        <c:ser>
          <c:idx val="3"/>
          <c:order val="3"/>
          <c:tx>
            <c:strRef>
              <c:f>Irregularities!$A$14</c:f>
              <c:strCache>
                <c:ptCount val="1"/>
                <c:pt idx="0">
                  <c:v>التوكيل</c:v>
                </c:pt>
              </c:strCache>
            </c:strRef>
          </c:tx>
          <c:invertIfNegative val="0"/>
          <c:cat>
            <c:numRef>
              <c:f>Irregularities!$G$3:$K$3</c:f>
              <c:numCache>
                <c:formatCode>0</c:formatCode>
                <c:ptCount val="5"/>
                <c:pt idx="0">
                  <c:v>2011</c:v>
                </c:pt>
                <c:pt idx="1">
                  <c:v>2012</c:v>
                </c:pt>
                <c:pt idx="2">
                  <c:v>2013</c:v>
                </c:pt>
                <c:pt idx="3">
                  <c:v>2014</c:v>
                </c:pt>
                <c:pt idx="4">
                  <c:v>2015</c:v>
                </c:pt>
              </c:numCache>
            </c:numRef>
          </c:cat>
          <c:val>
            <c:numRef>
              <c:f>Irregularities!$G$14:$K$14</c:f>
              <c:numCache>
                <c:formatCode>0</c:formatCode>
                <c:ptCount val="5"/>
                <c:pt idx="0">
                  <c:v>377</c:v>
                </c:pt>
                <c:pt idx="1">
                  <c:v>429</c:v>
                </c:pt>
                <c:pt idx="2">
                  <c:v>393</c:v>
                </c:pt>
                <c:pt idx="3">
                  <c:v>239</c:v>
                </c:pt>
                <c:pt idx="4">
                  <c:v>338</c:v>
                </c:pt>
              </c:numCache>
            </c:numRef>
          </c:val>
        </c:ser>
        <c:ser>
          <c:idx val="4"/>
          <c:order val="4"/>
          <c:tx>
            <c:strRef>
              <c:f>Irregularities!$A$15</c:f>
              <c:strCache>
                <c:ptCount val="1"/>
                <c:pt idx="0">
                  <c:v>الترقيم</c:v>
                </c:pt>
              </c:strCache>
            </c:strRef>
          </c:tx>
          <c:invertIfNegative val="0"/>
          <c:cat>
            <c:numRef>
              <c:f>Irregularities!$G$3:$K$3</c:f>
              <c:numCache>
                <c:formatCode>0</c:formatCode>
                <c:ptCount val="5"/>
                <c:pt idx="0">
                  <c:v>2011</c:v>
                </c:pt>
                <c:pt idx="1">
                  <c:v>2012</c:v>
                </c:pt>
                <c:pt idx="2">
                  <c:v>2013</c:v>
                </c:pt>
                <c:pt idx="3">
                  <c:v>2014</c:v>
                </c:pt>
                <c:pt idx="4">
                  <c:v>2015</c:v>
                </c:pt>
              </c:numCache>
            </c:numRef>
          </c:cat>
          <c:val>
            <c:numRef>
              <c:f>Irregularities!$G$15:$K$15</c:f>
              <c:numCache>
                <c:formatCode>0</c:formatCode>
                <c:ptCount val="5"/>
                <c:pt idx="0">
                  <c:v>81</c:v>
                </c:pt>
                <c:pt idx="1">
                  <c:v>9</c:v>
                </c:pt>
                <c:pt idx="2">
                  <c:v>137</c:v>
                </c:pt>
                <c:pt idx="3">
                  <c:v>149</c:v>
                </c:pt>
                <c:pt idx="4">
                  <c:v>224</c:v>
                </c:pt>
              </c:numCache>
            </c:numRef>
          </c:val>
        </c:ser>
        <c:ser>
          <c:idx val="5"/>
          <c:order val="5"/>
          <c:tx>
            <c:strRef>
              <c:f>Irregularities!$A$16</c:f>
              <c:strCache>
                <c:ptCount val="1"/>
                <c:pt idx="0">
                  <c:v>الوصف</c:v>
                </c:pt>
              </c:strCache>
            </c:strRef>
          </c:tx>
          <c:invertIfNegative val="0"/>
          <c:cat>
            <c:numRef>
              <c:f>Irregularities!$G$3:$K$3</c:f>
              <c:numCache>
                <c:formatCode>0</c:formatCode>
                <c:ptCount val="5"/>
                <c:pt idx="0">
                  <c:v>2011</c:v>
                </c:pt>
                <c:pt idx="1">
                  <c:v>2012</c:v>
                </c:pt>
                <c:pt idx="2">
                  <c:v>2013</c:v>
                </c:pt>
                <c:pt idx="3">
                  <c:v>2014</c:v>
                </c:pt>
                <c:pt idx="4">
                  <c:v>2015</c:v>
                </c:pt>
              </c:numCache>
            </c:numRef>
          </c:cat>
          <c:val>
            <c:numRef>
              <c:f>Irregularities!$G$16:$K$16</c:f>
              <c:numCache>
                <c:formatCode>0</c:formatCode>
                <c:ptCount val="5"/>
                <c:pt idx="0">
                  <c:v>59</c:v>
                </c:pt>
                <c:pt idx="1">
                  <c:v>111</c:v>
                </c:pt>
                <c:pt idx="2">
                  <c:v>88</c:v>
                </c:pt>
                <c:pt idx="3">
                  <c:v>92</c:v>
                </c:pt>
                <c:pt idx="4">
                  <c:v>133</c:v>
                </c:pt>
              </c:numCache>
            </c:numRef>
          </c:val>
        </c:ser>
        <c:ser>
          <c:idx val="6"/>
          <c:order val="6"/>
          <c:tx>
            <c:strRef>
              <c:f>Irregularities!$A$17</c:f>
              <c:strCache>
                <c:ptCount val="1"/>
                <c:pt idx="0">
                  <c:v>التصنيف</c:v>
                </c:pt>
              </c:strCache>
            </c:strRef>
          </c:tx>
          <c:invertIfNegative val="0"/>
          <c:cat>
            <c:numRef>
              <c:f>Irregularities!$G$3:$K$3</c:f>
              <c:numCache>
                <c:formatCode>0</c:formatCode>
                <c:ptCount val="5"/>
                <c:pt idx="0">
                  <c:v>2011</c:v>
                </c:pt>
                <c:pt idx="1">
                  <c:v>2012</c:v>
                </c:pt>
                <c:pt idx="2">
                  <c:v>2013</c:v>
                </c:pt>
                <c:pt idx="3">
                  <c:v>2014</c:v>
                </c:pt>
                <c:pt idx="4">
                  <c:v>2015</c:v>
                </c:pt>
              </c:numCache>
            </c:numRef>
          </c:cat>
          <c:val>
            <c:numRef>
              <c:f>Irregularities!$G$17:$K$17</c:f>
              <c:numCache>
                <c:formatCode>0</c:formatCode>
                <c:ptCount val="5"/>
                <c:pt idx="0">
                  <c:v>59</c:v>
                </c:pt>
                <c:pt idx="1">
                  <c:v>52</c:v>
                </c:pt>
                <c:pt idx="2">
                  <c:v>61</c:v>
                </c:pt>
                <c:pt idx="3">
                  <c:v>43</c:v>
                </c:pt>
                <c:pt idx="4">
                  <c:v>27</c:v>
                </c:pt>
              </c:numCache>
            </c:numRef>
          </c:val>
        </c:ser>
        <c:ser>
          <c:idx val="7"/>
          <c:order val="7"/>
          <c:tx>
            <c:strRef>
              <c:f>Irregularities!$A$18</c:f>
              <c:strCache>
                <c:ptCount val="1"/>
                <c:pt idx="0">
                  <c:v>المبدع</c:v>
                </c:pt>
              </c:strCache>
            </c:strRef>
          </c:tx>
          <c:invertIfNegative val="0"/>
          <c:cat>
            <c:numRef>
              <c:f>Irregularities!$G$3:$K$3</c:f>
              <c:numCache>
                <c:formatCode>0</c:formatCode>
                <c:ptCount val="5"/>
                <c:pt idx="0">
                  <c:v>2011</c:v>
                </c:pt>
                <c:pt idx="1">
                  <c:v>2012</c:v>
                </c:pt>
                <c:pt idx="2">
                  <c:v>2013</c:v>
                </c:pt>
                <c:pt idx="3">
                  <c:v>2014</c:v>
                </c:pt>
                <c:pt idx="4">
                  <c:v>2015</c:v>
                </c:pt>
              </c:numCache>
            </c:numRef>
          </c:cat>
          <c:val>
            <c:numRef>
              <c:f>Irregularities!$G$18:$K$18</c:f>
              <c:numCache>
                <c:formatCode>0</c:formatCode>
                <c:ptCount val="5"/>
                <c:pt idx="0">
                  <c:v>17</c:v>
                </c:pt>
                <c:pt idx="1">
                  <c:v>35</c:v>
                </c:pt>
                <c:pt idx="2">
                  <c:v>13</c:v>
                </c:pt>
                <c:pt idx="3">
                  <c:v>25</c:v>
                </c:pt>
                <c:pt idx="4">
                  <c:v>25</c:v>
                </c:pt>
              </c:numCache>
            </c:numRef>
          </c:val>
        </c:ser>
        <c:ser>
          <c:idx val="8"/>
          <c:order val="8"/>
          <c:tx>
            <c:strRef>
              <c:f>Irregularities!$A$19</c:f>
              <c:strCache>
                <c:ptCount val="1"/>
                <c:pt idx="0">
                  <c:v>الطرف المتعاقد للمودع</c:v>
                </c:pt>
              </c:strCache>
            </c:strRef>
          </c:tx>
          <c:invertIfNegative val="0"/>
          <c:cat>
            <c:numRef>
              <c:f>Irregularities!$G$3:$K$3</c:f>
              <c:numCache>
                <c:formatCode>0</c:formatCode>
                <c:ptCount val="5"/>
                <c:pt idx="0">
                  <c:v>2011</c:v>
                </c:pt>
                <c:pt idx="1">
                  <c:v>2012</c:v>
                </c:pt>
                <c:pt idx="2">
                  <c:v>2013</c:v>
                </c:pt>
                <c:pt idx="3">
                  <c:v>2014</c:v>
                </c:pt>
                <c:pt idx="4">
                  <c:v>2015</c:v>
                </c:pt>
              </c:numCache>
            </c:numRef>
          </c:cat>
          <c:val>
            <c:numRef>
              <c:f>Irregularities!$G$19:$K$19</c:f>
              <c:numCache>
                <c:formatCode>0</c:formatCode>
                <c:ptCount val="5"/>
                <c:pt idx="0">
                  <c:v>11</c:v>
                </c:pt>
                <c:pt idx="1">
                  <c:v>4</c:v>
                </c:pt>
                <c:pt idx="2">
                  <c:v>7</c:v>
                </c:pt>
                <c:pt idx="3">
                  <c:v>9</c:v>
                </c:pt>
                <c:pt idx="4">
                  <c:v>10</c:v>
                </c:pt>
              </c:numCache>
            </c:numRef>
          </c:val>
        </c:ser>
        <c:ser>
          <c:idx val="9"/>
          <c:order val="9"/>
          <c:tx>
            <c:strRef>
              <c:f>Irregularities!$A$20</c:f>
              <c:strCache>
                <c:ptCount val="1"/>
                <c:pt idx="0">
                  <c:v>التأجيل</c:v>
                </c:pt>
              </c:strCache>
            </c:strRef>
          </c:tx>
          <c:invertIfNegative val="0"/>
          <c:cat>
            <c:numRef>
              <c:f>Irregularities!$G$3:$K$3</c:f>
              <c:numCache>
                <c:formatCode>0</c:formatCode>
                <c:ptCount val="5"/>
                <c:pt idx="0">
                  <c:v>2011</c:v>
                </c:pt>
                <c:pt idx="1">
                  <c:v>2012</c:v>
                </c:pt>
                <c:pt idx="2">
                  <c:v>2013</c:v>
                </c:pt>
                <c:pt idx="3">
                  <c:v>2014</c:v>
                </c:pt>
                <c:pt idx="4">
                  <c:v>2015</c:v>
                </c:pt>
              </c:numCache>
            </c:numRef>
          </c:cat>
          <c:val>
            <c:numRef>
              <c:f>Irregularities!$G$20:$K$20</c:f>
              <c:numCache>
                <c:formatCode>0</c:formatCode>
                <c:ptCount val="5"/>
                <c:pt idx="0">
                  <c:v>26</c:v>
                </c:pt>
                <c:pt idx="1">
                  <c:v>40</c:v>
                </c:pt>
                <c:pt idx="2">
                  <c:v>79</c:v>
                </c:pt>
                <c:pt idx="3">
                  <c:v>8</c:v>
                </c:pt>
                <c:pt idx="4">
                  <c:v>5</c:v>
                </c:pt>
              </c:numCache>
            </c:numRef>
          </c:val>
        </c:ser>
        <c:dLbls>
          <c:showLegendKey val="0"/>
          <c:showVal val="0"/>
          <c:showCatName val="0"/>
          <c:showSerName val="0"/>
          <c:showPercent val="0"/>
          <c:showBubbleSize val="0"/>
        </c:dLbls>
        <c:gapWidth val="150"/>
        <c:overlap val="100"/>
        <c:axId val="84993152"/>
        <c:axId val="84995072"/>
      </c:barChart>
      <c:catAx>
        <c:axId val="84993152"/>
        <c:scaling>
          <c:orientation val="minMax"/>
        </c:scaling>
        <c:delete val="0"/>
        <c:axPos val="b"/>
        <c:title>
          <c:tx>
            <c:rich>
              <a:bodyPr/>
              <a:lstStyle/>
              <a:p>
                <a:pPr>
                  <a:defRPr/>
                </a:pPr>
                <a:r>
                  <a:rPr lang="ar-SA"/>
                  <a:t>سنة المعالجة</a:t>
                </a:r>
                <a:endParaRPr lang="en-US"/>
              </a:p>
            </c:rich>
          </c:tx>
          <c:layout/>
          <c:overlay val="0"/>
        </c:title>
        <c:numFmt formatCode="0" sourceLinked="1"/>
        <c:majorTickMark val="out"/>
        <c:minorTickMark val="none"/>
        <c:tickLblPos val="nextTo"/>
        <c:crossAx val="84995072"/>
        <c:crosses val="autoZero"/>
        <c:auto val="1"/>
        <c:lblAlgn val="ctr"/>
        <c:lblOffset val="100"/>
        <c:noMultiLvlLbl val="0"/>
      </c:catAx>
      <c:valAx>
        <c:axId val="84995072"/>
        <c:scaling>
          <c:orientation val="minMax"/>
        </c:scaling>
        <c:delete val="0"/>
        <c:axPos val="l"/>
        <c:majorGridlines/>
        <c:title>
          <c:tx>
            <c:rich>
              <a:bodyPr rot="-5400000" vert="horz"/>
              <a:lstStyle/>
              <a:p>
                <a:pPr>
                  <a:defRPr/>
                </a:pPr>
                <a:r>
                  <a:rPr lang="ar-SA"/>
                  <a:t>المخالفات</a:t>
                </a:r>
                <a:endParaRPr lang="en-US"/>
              </a:p>
            </c:rich>
          </c:tx>
          <c:layout>
            <c:manualLayout>
              <c:xMode val="edge"/>
              <c:yMode val="edge"/>
              <c:x val="3.8107084142383354E-3"/>
              <c:y val="0.50352001124138845"/>
            </c:manualLayout>
          </c:layout>
          <c:overlay val="0"/>
        </c:title>
        <c:numFmt formatCode="#,##0" sourceLinked="0"/>
        <c:majorTickMark val="out"/>
        <c:minorTickMark val="none"/>
        <c:tickLblPos val="nextTo"/>
        <c:crossAx val="84993152"/>
        <c:crosses val="autoZero"/>
        <c:crossBetween val="between"/>
        <c:majorUnit val="250"/>
      </c:valAx>
    </c:plotArea>
    <c:legend>
      <c:legendPos val="t"/>
      <c:layout>
        <c:manualLayout>
          <c:xMode val="edge"/>
          <c:yMode val="edge"/>
          <c:x val="0.11809623403767568"/>
          <c:y val="0.12844241258782338"/>
          <c:w val="0.82401616293105595"/>
          <c:h val="0.15961625806367752"/>
        </c:manualLayout>
      </c:layout>
      <c:overlay val="0"/>
    </c:legend>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حصة الطلبات التي تنطوي على مخالفات أو ملاحظات</a:t>
            </a:r>
            <a:endParaRPr lang="en-US"/>
          </a:p>
        </c:rich>
      </c:tx>
      <c:layout>
        <c:manualLayout>
          <c:xMode val="edge"/>
          <c:yMode val="edge"/>
          <c:x val="0.27959202168186226"/>
          <c:y val="5.452213501619034E-2"/>
        </c:manualLayout>
      </c:layout>
      <c:overlay val="0"/>
    </c:title>
    <c:autoTitleDeleted val="0"/>
    <c:plotArea>
      <c:layout>
        <c:manualLayout>
          <c:layoutTarget val="inner"/>
          <c:xMode val="edge"/>
          <c:yMode val="edge"/>
          <c:x val="0.12770793934229802"/>
          <c:y val="0.21074591024263953"/>
          <c:w val="0.84354689257942872"/>
          <c:h val="0.63610119346598093"/>
        </c:manualLayout>
      </c:layout>
      <c:barChart>
        <c:barDir val="col"/>
        <c:grouping val="stacked"/>
        <c:varyColors val="0"/>
        <c:ser>
          <c:idx val="0"/>
          <c:order val="0"/>
          <c:tx>
            <c:strRef>
              <c:f>'Share of irregular'!$C$10:$C$14</c:f>
              <c:strCache>
                <c:ptCount val="1"/>
              </c:strCache>
            </c:strRef>
          </c:tx>
          <c:invertIfNegative val="0"/>
          <c:cat>
            <c:numRef>
              <c:f>'Share of irregular'!$A$4:$A$8</c:f>
              <c:numCache>
                <c:formatCode>0</c:formatCode>
                <c:ptCount val="5"/>
                <c:pt idx="0">
                  <c:v>2011</c:v>
                </c:pt>
                <c:pt idx="1">
                  <c:v>2012</c:v>
                </c:pt>
                <c:pt idx="2">
                  <c:v>2013</c:v>
                </c:pt>
                <c:pt idx="3">
                  <c:v>2014</c:v>
                </c:pt>
                <c:pt idx="4">
                  <c:v>2015</c:v>
                </c:pt>
              </c:numCache>
            </c:numRef>
          </c:cat>
          <c:val>
            <c:numRef>
              <c:f>'Share of irregular'!$D$4:$D$8</c:f>
              <c:numCache>
                <c:formatCode>0%</c:formatCode>
                <c:ptCount val="5"/>
                <c:pt idx="0">
                  <c:v>0.61870503597122306</c:v>
                </c:pt>
                <c:pt idx="1">
                  <c:v>0.62213114754098364</c:v>
                </c:pt>
                <c:pt idx="2">
                  <c:v>0.61887344550109724</c:v>
                </c:pt>
                <c:pt idx="3">
                  <c:v>0.5997040325564188</c:v>
                </c:pt>
                <c:pt idx="4">
                  <c:v>0.63055012566322255</c:v>
                </c:pt>
              </c:numCache>
            </c:numRef>
          </c:val>
        </c:ser>
        <c:dLbls>
          <c:showLegendKey val="0"/>
          <c:showVal val="0"/>
          <c:showCatName val="0"/>
          <c:showSerName val="0"/>
          <c:showPercent val="0"/>
          <c:showBubbleSize val="0"/>
        </c:dLbls>
        <c:gapWidth val="150"/>
        <c:overlap val="100"/>
        <c:axId val="85007744"/>
        <c:axId val="85566976"/>
      </c:barChart>
      <c:catAx>
        <c:axId val="85007744"/>
        <c:scaling>
          <c:orientation val="minMax"/>
        </c:scaling>
        <c:delete val="0"/>
        <c:axPos val="b"/>
        <c:title>
          <c:tx>
            <c:rich>
              <a:bodyPr/>
              <a:lstStyle/>
              <a:p>
                <a:pPr>
                  <a:defRPr/>
                </a:pPr>
                <a:r>
                  <a:rPr lang="ar-SA"/>
                  <a:t>سنة الإيداع</a:t>
                </a:r>
                <a:endParaRPr lang="en-US"/>
              </a:p>
            </c:rich>
          </c:tx>
          <c:layout/>
          <c:overlay val="0"/>
        </c:title>
        <c:numFmt formatCode="0" sourceLinked="1"/>
        <c:majorTickMark val="out"/>
        <c:minorTickMark val="none"/>
        <c:tickLblPos val="nextTo"/>
        <c:crossAx val="85566976"/>
        <c:crosses val="autoZero"/>
        <c:auto val="1"/>
        <c:lblAlgn val="ctr"/>
        <c:lblOffset val="100"/>
        <c:noMultiLvlLbl val="0"/>
      </c:catAx>
      <c:valAx>
        <c:axId val="85566976"/>
        <c:scaling>
          <c:orientation val="minMax"/>
          <c:max val="0.70000000000000007"/>
          <c:min val="0.5"/>
        </c:scaling>
        <c:delete val="0"/>
        <c:axPos val="l"/>
        <c:majorGridlines/>
        <c:title>
          <c:tx>
            <c:rich>
              <a:bodyPr rot="-5400000" vert="horz"/>
              <a:lstStyle/>
              <a:p>
                <a:pPr>
                  <a:defRPr/>
                </a:pPr>
                <a:r>
                  <a:rPr lang="ar-SA"/>
                  <a:t>حصة الطلبات</a:t>
                </a:r>
                <a:endParaRPr lang="en-US"/>
              </a:p>
            </c:rich>
          </c:tx>
          <c:layout>
            <c:manualLayout>
              <c:xMode val="edge"/>
              <c:yMode val="edge"/>
              <c:x val="1.3304987458660868E-3"/>
              <c:y val="0.39332003832457924"/>
            </c:manualLayout>
          </c:layout>
          <c:overlay val="0"/>
        </c:title>
        <c:numFmt formatCode="0%" sourceLinked="0"/>
        <c:majorTickMark val="out"/>
        <c:minorTickMark val="none"/>
        <c:tickLblPos val="nextTo"/>
        <c:crossAx val="85007744"/>
        <c:crosses val="autoZero"/>
        <c:crossBetween val="between"/>
        <c:majorUnit val="2.5000000000000005E-2"/>
      </c:valAx>
    </c:plotArea>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000521080519573"/>
          <c:y val="0.13691897907075584"/>
          <c:w val="0.86263736263736268"/>
          <c:h val="0.59677419354838712"/>
        </c:manualLayout>
      </c:layout>
      <c:lineChart>
        <c:grouping val="standard"/>
        <c:varyColors val="0"/>
        <c:ser>
          <c:idx val="0"/>
          <c:order val="0"/>
          <c:tx>
            <c:strRef>
              <c:f>Languages!$B$42</c:f>
              <c:strCache>
                <c:ptCount val="1"/>
                <c:pt idx="0">
                  <c:v>الإنكليزية</c:v>
                </c:pt>
              </c:strCache>
            </c:strRef>
          </c:tx>
          <c:spPr>
            <a:ln w="12700">
              <a:solidFill>
                <a:srgbClr val="00008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Languages!$F$42:$Q$42</c:f>
              <c:numCache>
                <c:formatCode>#,##0</c:formatCode>
                <c:ptCount val="12"/>
                <c:pt idx="0">
                  <c:v>77841</c:v>
                </c:pt>
                <c:pt idx="1">
                  <c:v>84665</c:v>
                </c:pt>
                <c:pt idx="2">
                  <c:v>91704</c:v>
                </c:pt>
                <c:pt idx="3">
                  <c:v>96846</c:v>
                </c:pt>
                <c:pt idx="4">
                  <c:v>97179</c:v>
                </c:pt>
                <c:pt idx="5">
                  <c:v>87513</c:v>
                </c:pt>
                <c:pt idx="6">
                  <c:v>87452</c:v>
                </c:pt>
                <c:pt idx="7">
                  <c:v>93064</c:v>
                </c:pt>
                <c:pt idx="8">
                  <c:v>98317</c:v>
                </c:pt>
                <c:pt idx="9" formatCode="_-* #,##0_-;\-* #,##0_-;_-* &quot;-&quot;??_-;_-@_-">
                  <c:v>104100</c:v>
                </c:pt>
                <c:pt idx="10" formatCode="General">
                  <c:v>110172</c:v>
                </c:pt>
                <c:pt idx="11" formatCode="_-* #,##0_-;\-* #,##0_-;_-* &quot;-&quot;??_-;_-@_-">
                  <c:v>105376</c:v>
                </c:pt>
              </c:numCache>
            </c:numRef>
          </c:val>
          <c:smooth val="0"/>
        </c:ser>
        <c:ser>
          <c:idx val="1"/>
          <c:order val="1"/>
          <c:tx>
            <c:strRef>
              <c:f>Languages!$B$43</c:f>
              <c:strCache>
                <c:ptCount val="1"/>
                <c:pt idx="0">
                  <c:v>اليابانية</c:v>
                </c:pt>
              </c:strCache>
            </c:strRef>
          </c:tx>
          <c:spPr>
            <a:ln w="12700">
              <a:solidFill>
                <a:srgbClr val="FF00FF"/>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Languages!$F$43:$Q$43</c:f>
              <c:numCache>
                <c:formatCode>#,##0</c:formatCode>
                <c:ptCount val="12"/>
                <c:pt idx="0">
                  <c:v>18263</c:v>
                </c:pt>
                <c:pt idx="1">
                  <c:v>22150</c:v>
                </c:pt>
                <c:pt idx="2">
                  <c:v>24293</c:v>
                </c:pt>
                <c:pt idx="3">
                  <c:v>25308</c:v>
                </c:pt>
                <c:pt idx="4">
                  <c:v>26454</c:v>
                </c:pt>
                <c:pt idx="5">
                  <c:v>27686</c:v>
                </c:pt>
                <c:pt idx="6">
                  <c:v>29733</c:v>
                </c:pt>
                <c:pt idx="7">
                  <c:v>35832</c:v>
                </c:pt>
                <c:pt idx="8">
                  <c:v>40488</c:v>
                </c:pt>
                <c:pt idx="9" formatCode="_-* #,##0_-;\-* #,##0_-;_-* &quot;-&quot;??_-;_-@_-">
                  <c:v>41254</c:v>
                </c:pt>
                <c:pt idx="10" formatCode="General">
                  <c:v>39848</c:v>
                </c:pt>
                <c:pt idx="11" formatCode="_-* #,##0_-;\-* #,##0_-;_-* &quot;-&quot;??_-;_-@_-">
                  <c:v>41895</c:v>
                </c:pt>
              </c:numCache>
            </c:numRef>
          </c:val>
          <c:smooth val="0"/>
        </c:ser>
        <c:ser>
          <c:idx val="2"/>
          <c:order val="2"/>
          <c:tx>
            <c:strRef>
              <c:f>Languages!$B$44</c:f>
              <c:strCache>
                <c:ptCount val="1"/>
                <c:pt idx="0">
                  <c:v>الصينية</c:v>
                </c:pt>
              </c:strCache>
            </c:strRef>
          </c:tx>
          <c:spPr>
            <a:ln w="12700">
              <a:solidFill>
                <a:srgbClr val="FF000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Languages!$F$44:$Q$44</c:f>
              <c:numCache>
                <c:formatCode>#,##0</c:formatCode>
                <c:ptCount val="12"/>
                <c:pt idx="0">
                  <c:v>1428</c:v>
                </c:pt>
                <c:pt idx="1">
                  <c:v>2232</c:v>
                </c:pt>
                <c:pt idx="2">
                  <c:v>3475</c:v>
                </c:pt>
                <c:pt idx="3">
                  <c:v>4819</c:v>
                </c:pt>
                <c:pt idx="4">
                  <c:v>5491</c:v>
                </c:pt>
                <c:pt idx="5">
                  <c:v>7250</c:v>
                </c:pt>
                <c:pt idx="6">
                  <c:v>11398</c:v>
                </c:pt>
                <c:pt idx="7">
                  <c:v>15306</c:v>
                </c:pt>
                <c:pt idx="8">
                  <c:v>17287</c:v>
                </c:pt>
                <c:pt idx="9" formatCode="_-* #,##0_-;\-* #,##0_-;_-* &quot;-&quot;??_-;_-@_-">
                  <c:v>19311</c:v>
                </c:pt>
                <c:pt idx="10" formatCode="General">
                  <c:v>22931</c:v>
                </c:pt>
                <c:pt idx="11" formatCode="_-* #,##0_-;\-* #,##0_-;_-* &quot;-&quot;??_-;_-@_-">
                  <c:v>27072</c:v>
                </c:pt>
              </c:numCache>
            </c:numRef>
          </c:val>
          <c:smooth val="0"/>
        </c:ser>
        <c:ser>
          <c:idx val="3"/>
          <c:order val="3"/>
          <c:tx>
            <c:strRef>
              <c:f>Languages!$B$45</c:f>
              <c:strCache>
                <c:ptCount val="1"/>
                <c:pt idx="0">
                  <c:v>الألمانية</c:v>
                </c:pt>
              </c:strCache>
            </c:strRef>
          </c:tx>
          <c:spPr>
            <a:ln w="12700">
              <a:solidFill>
                <a:srgbClr val="00CCFF"/>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Languages!$F$45:$Q$45</c:f>
              <c:numCache>
                <c:formatCode>#,##0</c:formatCode>
                <c:ptCount val="12"/>
                <c:pt idx="0">
                  <c:v>14605</c:v>
                </c:pt>
                <c:pt idx="1">
                  <c:v>15870</c:v>
                </c:pt>
                <c:pt idx="2">
                  <c:v>16728</c:v>
                </c:pt>
                <c:pt idx="3">
                  <c:v>17771</c:v>
                </c:pt>
                <c:pt idx="4">
                  <c:v>18448</c:v>
                </c:pt>
                <c:pt idx="5">
                  <c:v>16201</c:v>
                </c:pt>
                <c:pt idx="6">
                  <c:v>16823</c:v>
                </c:pt>
                <c:pt idx="7">
                  <c:v>17706</c:v>
                </c:pt>
                <c:pt idx="8">
                  <c:v>17432</c:v>
                </c:pt>
                <c:pt idx="9" formatCode="_-* #,##0_-;\-* #,##0_-;_-* &quot;-&quot;??_-;_-@_-">
                  <c:v>16531</c:v>
                </c:pt>
                <c:pt idx="10" formatCode="General">
                  <c:v>16535</c:v>
                </c:pt>
                <c:pt idx="11" formatCode="_-* #,##0_-;\-* #,##0_-;_-* &quot;-&quot;??_-;_-@_-">
                  <c:v>16834</c:v>
                </c:pt>
              </c:numCache>
            </c:numRef>
          </c:val>
          <c:smooth val="0"/>
        </c:ser>
        <c:ser>
          <c:idx val="4"/>
          <c:order val="4"/>
          <c:tx>
            <c:strRef>
              <c:f>Languages!$B$46</c:f>
              <c:strCache>
                <c:ptCount val="1"/>
                <c:pt idx="0">
                  <c:v>الكورية</c:v>
                </c:pt>
              </c:strCache>
            </c:strRef>
          </c:tx>
          <c:spPr>
            <a:ln w="12700">
              <a:solidFill>
                <a:srgbClr val="80008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Languages!$F$46:$Q$46</c:f>
              <c:numCache>
                <c:formatCode>#,##0</c:formatCode>
                <c:ptCount val="12"/>
                <c:pt idx="0">
                  <c:v>2093</c:v>
                </c:pt>
                <c:pt idx="1">
                  <c:v>2667</c:v>
                </c:pt>
                <c:pt idx="2">
                  <c:v>3544</c:v>
                </c:pt>
                <c:pt idx="3">
                  <c:v>4594</c:v>
                </c:pt>
                <c:pt idx="4">
                  <c:v>4989</c:v>
                </c:pt>
                <c:pt idx="5">
                  <c:v>5806</c:v>
                </c:pt>
                <c:pt idx="6">
                  <c:v>7337</c:v>
                </c:pt>
                <c:pt idx="7">
                  <c:v>8399</c:v>
                </c:pt>
                <c:pt idx="8">
                  <c:v>9631</c:v>
                </c:pt>
                <c:pt idx="9" formatCode="_-* #,##0_-;\-* #,##0_-;_-* &quot;-&quot;??_-;_-@_-">
                  <c:v>10229</c:v>
                </c:pt>
                <c:pt idx="10" formatCode="General">
                  <c:v>10894</c:v>
                </c:pt>
                <c:pt idx="11" formatCode="_-* #,##0_-;\-* #,##0_-;_-* &quot;-&quot;??_-;_-@_-">
                  <c:v>12530</c:v>
                </c:pt>
              </c:numCache>
            </c:numRef>
          </c:val>
          <c:smooth val="0"/>
        </c:ser>
        <c:ser>
          <c:idx val="5"/>
          <c:order val="5"/>
          <c:tx>
            <c:strRef>
              <c:f>Languages!$B$47</c:f>
              <c:strCache>
                <c:ptCount val="1"/>
                <c:pt idx="0">
                  <c:v>الفرنسية</c:v>
                </c:pt>
              </c:strCache>
            </c:strRef>
          </c:tx>
          <c:spPr>
            <a:ln w="12700">
              <a:solidFill>
                <a:srgbClr val="80000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Languages!$F$47:$Q$47</c:f>
              <c:numCache>
                <c:formatCode>#,##0</c:formatCode>
                <c:ptCount val="12"/>
                <c:pt idx="0">
                  <c:v>4505</c:v>
                </c:pt>
                <c:pt idx="1">
                  <c:v>4867</c:v>
                </c:pt>
                <c:pt idx="2">
                  <c:v>5168</c:v>
                </c:pt>
                <c:pt idx="3">
                  <c:v>5308</c:v>
                </c:pt>
                <c:pt idx="4">
                  <c:v>5416</c:v>
                </c:pt>
                <c:pt idx="5">
                  <c:v>5513</c:v>
                </c:pt>
                <c:pt idx="6">
                  <c:v>5498</c:v>
                </c:pt>
                <c:pt idx="7">
                  <c:v>5715</c:v>
                </c:pt>
                <c:pt idx="8">
                  <c:v>5891</c:v>
                </c:pt>
                <c:pt idx="9" formatCode="_-* #,##0_-;\-* #,##0_-;_-* &quot;-&quot;??_-;_-@_-">
                  <c:v>6158</c:v>
                </c:pt>
                <c:pt idx="10" formatCode="General">
                  <c:v>6468</c:v>
                </c:pt>
                <c:pt idx="11" formatCode="_-* #,##0_-;\-* #,##0_-;_-* &quot;-&quot;??_-;_-@_-">
                  <c:v>6433</c:v>
                </c:pt>
              </c:numCache>
            </c:numRef>
          </c:val>
          <c:smooth val="0"/>
        </c:ser>
        <c:ser>
          <c:idx val="6"/>
          <c:order val="6"/>
          <c:tx>
            <c:strRef>
              <c:f>Languages!$B$48</c:f>
              <c:strCache>
                <c:ptCount val="1"/>
                <c:pt idx="0">
                  <c:v>الإيطالية</c:v>
                </c:pt>
              </c:strCache>
            </c:strRef>
          </c:tx>
          <c:spPr>
            <a:ln w="12700">
              <a:solidFill>
                <a:srgbClr val="00808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Languages!$F$48:$Q$48</c:f>
              <c:numCache>
                <c:formatCode>#,##0</c:formatCode>
                <c:ptCount val="12"/>
                <c:pt idx="0">
                  <c:v>632</c:v>
                </c:pt>
                <c:pt idx="1">
                  <c:v>707</c:v>
                </c:pt>
                <c:pt idx="2">
                  <c:v>1022</c:v>
                </c:pt>
                <c:pt idx="3">
                  <c:v>1358</c:v>
                </c:pt>
                <c:pt idx="4">
                  <c:v>1288</c:v>
                </c:pt>
                <c:pt idx="5">
                  <c:v>1291</c:v>
                </c:pt>
                <c:pt idx="6">
                  <c:v>1477</c:v>
                </c:pt>
                <c:pt idx="7">
                  <c:v>1632</c:v>
                </c:pt>
                <c:pt idx="8">
                  <c:v>1786</c:v>
                </c:pt>
                <c:pt idx="9" formatCode="_-* #,##0_-;\-* #,##0_-;_-* &quot;-&quot;??_-;_-@_-">
                  <c:v>1848</c:v>
                </c:pt>
                <c:pt idx="10" formatCode="General">
                  <c:v>1986</c:v>
                </c:pt>
                <c:pt idx="11" formatCode="_-* #,##0_-;\-* #,##0_-;_-* &quot;-&quot;??_-;_-@_-">
                  <c:v>2040</c:v>
                </c:pt>
              </c:numCache>
            </c:numRef>
          </c:val>
          <c:smooth val="0"/>
        </c:ser>
        <c:ser>
          <c:idx val="7"/>
          <c:order val="7"/>
          <c:tx>
            <c:strRef>
              <c:f>Languages!$B$49</c:f>
              <c:strCache>
                <c:ptCount val="1"/>
                <c:pt idx="0">
                  <c:v>لغات أخرى</c:v>
                </c:pt>
              </c:strCache>
            </c:strRef>
          </c:tx>
          <c:spPr>
            <a:ln w="12700">
              <a:solidFill>
                <a:srgbClr val="0000FF"/>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Languages!$F$49:$Q$49</c:f>
              <c:numCache>
                <c:formatCode>#,##0</c:formatCode>
                <c:ptCount val="12"/>
                <c:pt idx="0">
                  <c:v>3264</c:v>
                </c:pt>
                <c:pt idx="1">
                  <c:v>3593</c:v>
                </c:pt>
                <c:pt idx="2">
                  <c:v>3709</c:v>
                </c:pt>
                <c:pt idx="3">
                  <c:v>3929</c:v>
                </c:pt>
                <c:pt idx="4">
                  <c:v>3976</c:v>
                </c:pt>
                <c:pt idx="5">
                  <c:v>4142</c:v>
                </c:pt>
                <c:pt idx="6">
                  <c:v>4623</c:v>
                </c:pt>
                <c:pt idx="7">
                  <c:v>4782</c:v>
                </c:pt>
                <c:pt idx="8">
                  <c:v>4502</c:v>
                </c:pt>
                <c:pt idx="9" formatCode="_-* #,##0_-;\-* #,##0_-;_-* &quot;-&quot;??_-;_-@_-">
                  <c:v>5861</c:v>
                </c:pt>
                <c:pt idx="10" formatCode="_-* #,##0_-;\-* #,##0_-;_-* &quot;-&quot;??_-;_-@_-">
                  <c:v>5480</c:v>
                </c:pt>
                <c:pt idx="11" formatCode="_-* #,##0_-;\-* #,##0_-;_-* &quot;-&quot;??_-;_-@_-">
                  <c:v>4464</c:v>
                </c:pt>
              </c:numCache>
            </c:numRef>
          </c:val>
          <c:smooth val="0"/>
        </c:ser>
        <c:dLbls>
          <c:showLegendKey val="0"/>
          <c:showVal val="0"/>
          <c:showCatName val="0"/>
          <c:showSerName val="0"/>
          <c:showPercent val="0"/>
          <c:showBubbleSize val="0"/>
        </c:dLbls>
        <c:marker val="1"/>
        <c:smooth val="0"/>
        <c:axId val="120272384"/>
        <c:axId val="138979200"/>
      </c:lineChart>
      <c:catAx>
        <c:axId val="120272384"/>
        <c:scaling>
          <c:orientation val="minMax"/>
        </c:scaling>
        <c:delete val="0"/>
        <c:axPos val="b"/>
        <c:title>
          <c:tx>
            <c:rich>
              <a:bodyPr/>
              <a:lstStyle/>
              <a:p>
                <a:pPr>
                  <a:defRPr/>
                </a:pPr>
                <a:r>
                  <a:rPr lang="ar-SA" b="1"/>
                  <a:t>سنة الإيداع</a:t>
                </a:r>
                <a:endParaRPr lang="en-US" b="1"/>
              </a:p>
            </c:rich>
          </c:tx>
          <c:layout>
            <c:manualLayout>
              <c:xMode val="edge"/>
              <c:yMode val="edge"/>
              <c:x val="0.50504306240402363"/>
              <c:y val="0.82448861074071556"/>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138979200"/>
        <c:crosses val="autoZero"/>
        <c:auto val="1"/>
        <c:lblAlgn val="ctr"/>
        <c:lblOffset val="100"/>
        <c:tickLblSkip val="1"/>
        <c:tickMarkSkip val="1"/>
        <c:noMultiLvlLbl val="0"/>
      </c:catAx>
      <c:valAx>
        <c:axId val="138979200"/>
        <c:scaling>
          <c:orientation val="minMax"/>
          <c:max val="120000"/>
        </c:scaling>
        <c:delete val="0"/>
        <c:axPos val="l"/>
        <c:majorGridlines>
          <c:spPr>
            <a:ln w="3175">
              <a:solidFill>
                <a:srgbClr val="000000"/>
              </a:solidFill>
              <a:prstDash val="sysDash"/>
            </a:ln>
          </c:spPr>
        </c:majorGridlines>
        <c:title>
          <c:tx>
            <c:rich>
              <a:bodyPr/>
              <a:lstStyle/>
              <a:p>
                <a:pPr>
                  <a:defRPr/>
                </a:pPr>
                <a:r>
                  <a:rPr lang="ar-SA" b="1"/>
                  <a:t>عدد النسخ الأصلية المتسلمة</a:t>
                </a:r>
                <a:endParaRPr lang="en-US" b="1"/>
              </a:p>
            </c:rich>
          </c:tx>
          <c:layout>
            <c:manualLayout>
              <c:xMode val="edge"/>
              <c:yMode val="edge"/>
              <c:x val="3.9138613819718277E-3"/>
              <c:y val="0.25063929740550051"/>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120272384"/>
        <c:crosses val="autoZero"/>
        <c:crossBetween val="between"/>
        <c:majorUnit val="20000"/>
      </c:valAx>
      <c:spPr>
        <a:noFill/>
        <a:ln w="25400">
          <a:noFill/>
        </a:ln>
      </c:spPr>
    </c:plotArea>
    <c:legend>
      <c:legendPos val="t"/>
      <c:layout>
        <c:manualLayout>
          <c:xMode val="edge"/>
          <c:yMode val="edge"/>
          <c:x val="0.10206003642511144"/>
          <c:y val="4.1786788394343168E-2"/>
          <c:w val="0.83024598408363037"/>
          <c:h val="4.6082949308755762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4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تجديدات التسجلات الدولية</a:t>
            </a:r>
            <a:endParaRPr lang="en-US"/>
          </a:p>
        </c:rich>
      </c:tx>
      <c:layout/>
      <c:overlay val="0"/>
    </c:title>
    <c:autoTitleDeleted val="0"/>
    <c:plotArea>
      <c:layout>
        <c:manualLayout>
          <c:layoutTarget val="inner"/>
          <c:xMode val="edge"/>
          <c:yMode val="edge"/>
          <c:x val="0.14618819221712992"/>
          <c:y val="0.21076874584318026"/>
          <c:w val="0.84354689257942872"/>
          <c:h val="0.63610119346598093"/>
        </c:manualLayout>
      </c:layout>
      <c:barChart>
        <c:barDir val="col"/>
        <c:grouping val="stacked"/>
        <c:varyColors val="0"/>
        <c:ser>
          <c:idx val="0"/>
          <c:order val="0"/>
          <c:tx>
            <c:strRef>
              <c:f>'Hague Input'!$A$18</c:f>
              <c:strCache>
                <c:ptCount val="1"/>
                <c:pt idx="0">
                  <c:v>إلكترونية</c:v>
                </c:pt>
              </c:strCache>
            </c:strRef>
          </c:tx>
          <c:spPr>
            <a:solidFill>
              <a:srgbClr val="0070C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Input'!$G$18:$K$18</c:f>
              <c:numCache>
                <c:formatCode>#,##0</c:formatCode>
                <c:ptCount val="5"/>
                <c:pt idx="0">
                  <c:v>1034</c:v>
                </c:pt>
                <c:pt idx="1">
                  <c:v>1696</c:v>
                </c:pt>
                <c:pt idx="2">
                  <c:v>1864</c:v>
                </c:pt>
                <c:pt idx="3">
                  <c:v>1852</c:v>
                </c:pt>
                <c:pt idx="4">
                  <c:v>2338</c:v>
                </c:pt>
              </c:numCache>
            </c:numRef>
          </c:val>
        </c:ser>
        <c:ser>
          <c:idx val="1"/>
          <c:order val="1"/>
          <c:tx>
            <c:strRef>
              <c:f>'Hague Input'!$A$19</c:f>
              <c:strCache>
                <c:ptCount val="1"/>
                <c:pt idx="0">
                  <c:v>يدوية</c:v>
                </c:pt>
              </c:strCache>
            </c:strRef>
          </c:tx>
          <c:spPr>
            <a:solidFill>
              <a:srgbClr val="00B0F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Input'!$G$19:$K$19</c:f>
              <c:numCache>
                <c:formatCode>#,##0</c:formatCode>
                <c:ptCount val="5"/>
                <c:pt idx="0">
                  <c:v>1787</c:v>
                </c:pt>
                <c:pt idx="1">
                  <c:v>1424</c:v>
                </c:pt>
                <c:pt idx="2">
                  <c:v>995</c:v>
                </c:pt>
                <c:pt idx="3">
                  <c:v>851</c:v>
                </c:pt>
                <c:pt idx="4">
                  <c:v>856</c:v>
                </c:pt>
              </c:numCache>
            </c:numRef>
          </c:val>
        </c:ser>
        <c:dLbls>
          <c:showLegendKey val="0"/>
          <c:showVal val="0"/>
          <c:showCatName val="0"/>
          <c:showSerName val="0"/>
          <c:showPercent val="0"/>
          <c:showBubbleSize val="0"/>
        </c:dLbls>
        <c:gapWidth val="150"/>
        <c:overlap val="100"/>
        <c:axId val="85809408"/>
        <c:axId val="85811584"/>
      </c:barChart>
      <c:catAx>
        <c:axId val="85809408"/>
        <c:scaling>
          <c:orientation val="minMax"/>
        </c:scaling>
        <c:delete val="0"/>
        <c:axPos val="b"/>
        <c:title>
          <c:tx>
            <c:rich>
              <a:bodyPr/>
              <a:lstStyle/>
              <a:p>
                <a:pPr>
                  <a:defRPr/>
                </a:pPr>
                <a:r>
                  <a:rPr lang="ar-SA"/>
                  <a:t>سنة التسلّم</a:t>
                </a:r>
                <a:endParaRPr lang="en-US"/>
              </a:p>
            </c:rich>
          </c:tx>
          <c:layout/>
          <c:overlay val="0"/>
        </c:title>
        <c:numFmt formatCode="0" sourceLinked="1"/>
        <c:majorTickMark val="out"/>
        <c:minorTickMark val="none"/>
        <c:tickLblPos val="nextTo"/>
        <c:crossAx val="85811584"/>
        <c:crosses val="autoZero"/>
        <c:auto val="1"/>
        <c:lblAlgn val="ctr"/>
        <c:lblOffset val="100"/>
        <c:noMultiLvlLbl val="0"/>
      </c:catAx>
      <c:valAx>
        <c:axId val="85811584"/>
        <c:scaling>
          <c:orientation val="minMax"/>
        </c:scaling>
        <c:delete val="0"/>
        <c:axPos val="l"/>
        <c:majorGridlines/>
        <c:title>
          <c:tx>
            <c:rich>
              <a:bodyPr rot="-5400000" vert="horz"/>
              <a:lstStyle/>
              <a:p>
                <a:pPr>
                  <a:defRPr/>
                </a:pPr>
                <a:r>
                  <a:rPr lang="ar-SA"/>
                  <a:t>التجديدات</a:t>
                </a:r>
                <a:endParaRPr lang="en-US"/>
              </a:p>
            </c:rich>
          </c:tx>
          <c:layout>
            <c:manualLayout>
              <c:xMode val="edge"/>
              <c:yMode val="edge"/>
              <c:x val="5.2804893588847312E-3"/>
              <c:y val="0.45083528512201632"/>
            </c:manualLayout>
          </c:layout>
          <c:overlay val="0"/>
        </c:title>
        <c:numFmt formatCode="#,##0" sourceLinked="1"/>
        <c:majorTickMark val="out"/>
        <c:minorTickMark val="none"/>
        <c:tickLblPos val="nextTo"/>
        <c:crossAx val="85809408"/>
        <c:crosses val="autoZero"/>
        <c:crossBetween val="between"/>
      </c:valAx>
    </c:plotArea>
    <c:legend>
      <c:legendPos val="t"/>
      <c:layout>
        <c:manualLayout>
          <c:xMode val="edge"/>
          <c:yMode val="edge"/>
          <c:x val="0.37773064515223764"/>
          <c:y val="0.12452849510454152"/>
          <c:w val="0.23925843922974974"/>
          <c:h val="9.3168119276697811E-2"/>
        </c:manualLayout>
      </c:layout>
      <c:overlay val="0"/>
    </c:legend>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التغييرات المطلوبة في التسجيلات الدولية</a:t>
            </a:r>
          </a:p>
        </c:rich>
      </c:tx>
      <c:layout>
        <c:manualLayout>
          <c:xMode val="edge"/>
          <c:yMode val="edge"/>
          <c:x val="0.31490213235804898"/>
          <c:y val="4.3899158053406204E-2"/>
        </c:manualLayout>
      </c:layout>
      <c:overlay val="0"/>
    </c:title>
    <c:autoTitleDeleted val="0"/>
    <c:plotArea>
      <c:layout>
        <c:manualLayout>
          <c:layoutTarget val="inner"/>
          <c:xMode val="edge"/>
          <c:yMode val="edge"/>
          <c:x val="0.13594493409166136"/>
          <c:y val="0.18773612533566736"/>
          <c:w val="0.84354689257942872"/>
          <c:h val="0.63610119346598093"/>
        </c:manualLayout>
      </c:layout>
      <c:barChart>
        <c:barDir val="col"/>
        <c:grouping val="stacked"/>
        <c:varyColors val="0"/>
        <c:ser>
          <c:idx val="0"/>
          <c:order val="0"/>
          <c:tx>
            <c:strRef>
              <c:f>'Hague Input'!$A$43</c:f>
              <c:strCache>
                <c:ptCount val="1"/>
                <c:pt idx="0">
                  <c:v>Total received</c:v>
                </c:pt>
              </c:strCache>
            </c:strRef>
          </c:tx>
          <c:spPr>
            <a:solidFill>
              <a:srgbClr val="0070C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Input'!$G$43:$K$43</c:f>
              <c:numCache>
                <c:formatCode>#,##0</c:formatCode>
                <c:ptCount val="5"/>
                <c:pt idx="0">
                  <c:v>1167</c:v>
                </c:pt>
                <c:pt idx="1">
                  <c:v>1161</c:v>
                </c:pt>
                <c:pt idx="2">
                  <c:v>984</c:v>
                </c:pt>
                <c:pt idx="3">
                  <c:v>1063</c:v>
                </c:pt>
                <c:pt idx="4">
                  <c:v>1018</c:v>
                </c:pt>
              </c:numCache>
            </c:numRef>
          </c:val>
        </c:ser>
        <c:dLbls>
          <c:showLegendKey val="0"/>
          <c:showVal val="0"/>
          <c:showCatName val="0"/>
          <c:showSerName val="0"/>
          <c:showPercent val="0"/>
          <c:showBubbleSize val="0"/>
        </c:dLbls>
        <c:gapWidth val="150"/>
        <c:overlap val="100"/>
        <c:axId val="85910656"/>
        <c:axId val="85912576"/>
      </c:barChart>
      <c:catAx>
        <c:axId val="85910656"/>
        <c:scaling>
          <c:orientation val="minMax"/>
        </c:scaling>
        <c:delete val="0"/>
        <c:axPos val="b"/>
        <c:title>
          <c:tx>
            <c:rich>
              <a:bodyPr/>
              <a:lstStyle/>
              <a:p>
                <a:pPr>
                  <a:defRPr/>
                </a:pPr>
                <a:r>
                  <a:rPr lang="ar-SA"/>
                  <a:t>سنة التسلّم</a:t>
                </a:r>
                <a:endParaRPr lang="en-US"/>
              </a:p>
            </c:rich>
          </c:tx>
          <c:layout/>
          <c:overlay val="0"/>
        </c:title>
        <c:numFmt formatCode="0" sourceLinked="1"/>
        <c:majorTickMark val="out"/>
        <c:minorTickMark val="none"/>
        <c:tickLblPos val="nextTo"/>
        <c:crossAx val="85912576"/>
        <c:crosses val="autoZero"/>
        <c:auto val="1"/>
        <c:lblAlgn val="ctr"/>
        <c:lblOffset val="100"/>
        <c:noMultiLvlLbl val="0"/>
      </c:catAx>
      <c:valAx>
        <c:axId val="85912576"/>
        <c:scaling>
          <c:orientation val="minMax"/>
          <c:min val="0"/>
        </c:scaling>
        <c:delete val="0"/>
        <c:axPos val="l"/>
        <c:majorGridlines/>
        <c:title>
          <c:tx>
            <c:rich>
              <a:bodyPr rot="-5400000" vert="horz"/>
              <a:lstStyle/>
              <a:p>
                <a:pPr>
                  <a:defRPr/>
                </a:pPr>
                <a:r>
                  <a:rPr lang="ar-SA"/>
                  <a:t>التغييرات</a:t>
                </a:r>
                <a:endParaRPr lang="en-US"/>
              </a:p>
            </c:rich>
          </c:tx>
          <c:layout>
            <c:manualLayout>
              <c:xMode val="edge"/>
              <c:yMode val="edge"/>
              <c:x val="0"/>
              <c:y val="0.4682185266871059"/>
            </c:manualLayout>
          </c:layout>
          <c:overlay val="0"/>
        </c:title>
        <c:numFmt formatCode="#,##0" sourceLinked="0"/>
        <c:majorTickMark val="out"/>
        <c:minorTickMark val="none"/>
        <c:tickLblPos val="nextTo"/>
        <c:crossAx val="85910656"/>
        <c:crosses val="autoZero"/>
        <c:crossBetween val="between"/>
      </c:valAx>
    </c:plotArea>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القرارات</a:t>
            </a:r>
            <a:endParaRPr lang="en-US"/>
          </a:p>
        </c:rich>
      </c:tx>
      <c:layout/>
      <c:overlay val="0"/>
    </c:title>
    <c:autoTitleDeleted val="0"/>
    <c:plotArea>
      <c:layout>
        <c:manualLayout>
          <c:layoutTarget val="inner"/>
          <c:xMode val="edge"/>
          <c:yMode val="edge"/>
          <c:x val="0.14071912600460831"/>
          <c:y val="0.21830501450476586"/>
          <c:w val="0.84354689257942872"/>
          <c:h val="0.63610119346598093"/>
        </c:manualLayout>
      </c:layout>
      <c:barChart>
        <c:barDir val="col"/>
        <c:grouping val="stacked"/>
        <c:varyColors val="0"/>
        <c:ser>
          <c:idx val="0"/>
          <c:order val="0"/>
          <c:tx>
            <c:strRef>
              <c:f>'Hague Input'!$A$37</c:f>
              <c:strCache>
                <c:ptCount val="1"/>
                <c:pt idx="0">
                  <c:v>مؤتمتة</c:v>
                </c:pt>
              </c:strCache>
            </c:strRef>
          </c:tx>
          <c:spPr>
            <a:solidFill>
              <a:srgbClr val="0070C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Input'!$G$37:$K$37</c:f>
              <c:numCache>
                <c:formatCode>#,##0</c:formatCode>
                <c:ptCount val="5"/>
                <c:pt idx="0">
                  <c:v>1654</c:v>
                </c:pt>
                <c:pt idx="1">
                  <c:v>2055</c:v>
                </c:pt>
                <c:pt idx="2">
                  <c:v>2090</c:v>
                </c:pt>
                <c:pt idx="3">
                  <c:v>2159</c:v>
                </c:pt>
                <c:pt idx="4">
                  <c:v>2553</c:v>
                </c:pt>
              </c:numCache>
            </c:numRef>
          </c:val>
        </c:ser>
        <c:ser>
          <c:idx val="1"/>
          <c:order val="1"/>
          <c:tx>
            <c:strRef>
              <c:f>'Hague Input'!$A$38</c:f>
              <c:strCache>
                <c:ptCount val="1"/>
                <c:pt idx="0">
                  <c:v>يدوية</c:v>
                </c:pt>
              </c:strCache>
            </c:strRef>
          </c:tx>
          <c:spPr>
            <a:solidFill>
              <a:srgbClr val="00B0F0"/>
            </a:solidFill>
          </c:spPr>
          <c:invertIfNegative val="0"/>
          <c:cat>
            <c:numRef>
              <c:f>'Hague Input'!$G$3:$K$3</c:f>
              <c:numCache>
                <c:formatCode>0</c:formatCode>
                <c:ptCount val="5"/>
                <c:pt idx="0">
                  <c:v>2011</c:v>
                </c:pt>
                <c:pt idx="1">
                  <c:v>2012</c:v>
                </c:pt>
                <c:pt idx="2">
                  <c:v>2013</c:v>
                </c:pt>
                <c:pt idx="3">
                  <c:v>2014</c:v>
                </c:pt>
                <c:pt idx="4">
                  <c:v>2015</c:v>
                </c:pt>
              </c:numCache>
            </c:numRef>
          </c:cat>
          <c:val>
            <c:numRef>
              <c:f>'Hague Input'!$G$38:$K$38</c:f>
              <c:numCache>
                <c:formatCode>#,##0</c:formatCode>
                <c:ptCount val="5"/>
                <c:pt idx="0">
                  <c:v>774</c:v>
                </c:pt>
                <c:pt idx="1">
                  <c:v>807</c:v>
                </c:pt>
                <c:pt idx="2">
                  <c:v>801</c:v>
                </c:pt>
                <c:pt idx="3">
                  <c:v>1010</c:v>
                </c:pt>
                <c:pt idx="4">
                  <c:v>1408</c:v>
                </c:pt>
              </c:numCache>
            </c:numRef>
          </c:val>
        </c:ser>
        <c:dLbls>
          <c:showLegendKey val="0"/>
          <c:showVal val="0"/>
          <c:showCatName val="0"/>
          <c:showSerName val="0"/>
          <c:showPercent val="0"/>
          <c:showBubbleSize val="0"/>
        </c:dLbls>
        <c:gapWidth val="150"/>
        <c:overlap val="100"/>
        <c:axId val="90791936"/>
        <c:axId val="90793856"/>
      </c:barChart>
      <c:catAx>
        <c:axId val="90791936"/>
        <c:scaling>
          <c:orientation val="minMax"/>
        </c:scaling>
        <c:delete val="0"/>
        <c:axPos val="b"/>
        <c:title>
          <c:tx>
            <c:rich>
              <a:bodyPr/>
              <a:lstStyle/>
              <a:p>
                <a:pPr>
                  <a:defRPr/>
                </a:pPr>
                <a:r>
                  <a:rPr lang="ar-SA"/>
                  <a:t>سنة التسلّم</a:t>
                </a:r>
                <a:endParaRPr lang="en-US"/>
              </a:p>
            </c:rich>
          </c:tx>
          <c:layout/>
          <c:overlay val="0"/>
        </c:title>
        <c:numFmt formatCode="0" sourceLinked="1"/>
        <c:majorTickMark val="out"/>
        <c:minorTickMark val="none"/>
        <c:tickLblPos val="nextTo"/>
        <c:crossAx val="90793856"/>
        <c:crosses val="autoZero"/>
        <c:auto val="1"/>
        <c:lblAlgn val="ctr"/>
        <c:lblOffset val="100"/>
        <c:noMultiLvlLbl val="0"/>
      </c:catAx>
      <c:valAx>
        <c:axId val="90793856"/>
        <c:scaling>
          <c:orientation val="minMax"/>
        </c:scaling>
        <c:delete val="0"/>
        <c:axPos val="l"/>
        <c:majorGridlines/>
        <c:title>
          <c:tx>
            <c:rich>
              <a:bodyPr rot="-5400000" vert="horz"/>
              <a:lstStyle/>
              <a:p>
                <a:pPr>
                  <a:defRPr/>
                </a:pPr>
                <a:r>
                  <a:rPr lang="ar-SA"/>
                  <a:t>التجديدات</a:t>
                </a:r>
                <a:endParaRPr lang="en-US"/>
              </a:p>
            </c:rich>
          </c:tx>
          <c:layout/>
          <c:overlay val="0"/>
        </c:title>
        <c:numFmt formatCode="#,##0" sourceLinked="1"/>
        <c:majorTickMark val="out"/>
        <c:minorTickMark val="none"/>
        <c:tickLblPos val="nextTo"/>
        <c:crossAx val="90791936"/>
        <c:crosses val="autoZero"/>
        <c:crossBetween val="between"/>
      </c:valAx>
    </c:plotArea>
    <c:legend>
      <c:legendPos val="t"/>
      <c:layout>
        <c:manualLayout>
          <c:xMode val="edge"/>
          <c:yMode val="edge"/>
          <c:x val="0.38726124021531949"/>
          <c:y val="0.13292291938843967"/>
          <c:w val="0.22547758010984681"/>
          <c:h val="0.10279827689700223"/>
        </c:manualLayout>
      </c:layout>
      <c:overlay val="0"/>
    </c:legend>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عبء العمل الإجمالي</a:t>
            </a:r>
            <a:endParaRPr lang="en-US"/>
          </a:p>
        </c:rich>
      </c:tx>
      <c:layout>
        <c:manualLayout>
          <c:xMode val="edge"/>
          <c:yMode val="edge"/>
          <c:x val="0.42529386951631049"/>
          <c:y val="2.0618562280099111E-2"/>
        </c:manualLayout>
      </c:layout>
      <c:overlay val="0"/>
    </c:title>
    <c:autoTitleDeleted val="0"/>
    <c:plotArea>
      <c:layout/>
      <c:barChart>
        <c:barDir val="col"/>
        <c:grouping val="stacked"/>
        <c:varyColors val="0"/>
        <c:ser>
          <c:idx val="0"/>
          <c:order val="0"/>
          <c:tx>
            <c:strRef>
              <c:f>Sheet1!$B$92</c:f>
              <c:strCache>
                <c:ptCount val="1"/>
                <c:pt idx="0">
                  <c:v>الطلب</c:v>
                </c:pt>
              </c:strCache>
            </c:strRef>
          </c:tx>
          <c:invertIfNegative val="0"/>
          <c:cat>
            <c:numRef>
              <c:f>Sheet1!$C$78:$G$78</c:f>
              <c:numCache>
                <c:formatCode>General</c:formatCode>
                <c:ptCount val="5"/>
                <c:pt idx="0">
                  <c:v>2011</c:v>
                </c:pt>
                <c:pt idx="1">
                  <c:v>2012</c:v>
                </c:pt>
                <c:pt idx="2">
                  <c:v>2013</c:v>
                </c:pt>
                <c:pt idx="3">
                  <c:v>2014</c:v>
                </c:pt>
                <c:pt idx="4">
                  <c:v>2015</c:v>
                </c:pt>
              </c:numCache>
            </c:numRef>
          </c:cat>
          <c:val>
            <c:numRef>
              <c:f>Sheet1!$C$92:$G$92</c:f>
              <c:numCache>
                <c:formatCode>#,##0</c:formatCode>
                <c:ptCount val="5"/>
                <c:pt idx="0">
                  <c:v>2521</c:v>
                </c:pt>
                <c:pt idx="1">
                  <c:v>2604</c:v>
                </c:pt>
                <c:pt idx="2">
                  <c:v>2990</c:v>
                </c:pt>
                <c:pt idx="3">
                  <c:v>2924</c:v>
                </c:pt>
                <c:pt idx="4">
                  <c:v>4111</c:v>
                </c:pt>
              </c:numCache>
            </c:numRef>
          </c:val>
        </c:ser>
        <c:ser>
          <c:idx val="1"/>
          <c:order val="1"/>
          <c:tx>
            <c:strRef>
              <c:f>Sheet1!$B$93</c:f>
              <c:strCache>
                <c:ptCount val="1"/>
                <c:pt idx="0">
                  <c:v>القرار</c:v>
                </c:pt>
              </c:strCache>
            </c:strRef>
          </c:tx>
          <c:invertIfNegative val="0"/>
          <c:cat>
            <c:numRef>
              <c:f>Sheet1!$C$78:$G$78</c:f>
              <c:numCache>
                <c:formatCode>General</c:formatCode>
                <c:ptCount val="5"/>
                <c:pt idx="0">
                  <c:v>2011</c:v>
                </c:pt>
                <c:pt idx="1">
                  <c:v>2012</c:v>
                </c:pt>
                <c:pt idx="2">
                  <c:v>2013</c:v>
                </c:pt>
                <c:pt idx="3">
                  <c:v>2014</c:v>
                </c:pt>
                <c:pt idx="4">
                  <c:v>2015</c:v>
                </c:pt>
              </c:numCache>
            </c:numRef>
          </c:cat>
          <c:val>
            <c:numRef>
              <c:f>Sheet1!$C$93:$G$93</c:f>
              <c:numCache>
                <c:formatCode>#,##0</c:formatCode>
                <c:ptCount val="5"/>
                <c:pt idx="0">
                  <c:v>317.20979805534779</c:v>
                </c:pt>
                <c:pt idx="1">
                  <c:v>355.45231862378461</c:v>
                </c:pt>
                <c:pt idx="2">
                  <c:v>356.570119670905</c:v>
                </c:pt>
                <c:pt idx="3">
                  <c:v>413.98092744951384</c:v>
                </c:pt>
                <c:pt idx="4">
                  <c:v>542.94988780852657</c:v>
                </c:pt>
              </c:numCache>
            </c:numRef>
          </c:val>
        </c:ser>
        <c:ser>
          <c:idx val="2"/>
          <c:order val="2"/>
          <c:tx>
            <c:strRef>
              <c:f>Sheet1!$B$94</c:f>
              <c:strCache>
                <c:ptCount val="1"/>
                <c:pt idx="0">
                  <c:v>التغييرات</c:v>
                </c:pt>
              </c:strCache>
            </c:strRef>
          </c:tx>
          <c:invertIfNegative val="0"/>
          <c:cat>
            <c:numRef>
              <c:f>Sheet1!$C$78:$G$78</c:f>
              <c:numCache>
                <c:formatCode>General</c:formatCode>
                <c:ptCount val="5"/>
                <c:pt idx="0">
                  <c:v>2011</c:v>
                </c:pt>
                <c:pt idx="1">
                  <c:v>2012</c:v>
                </c:pt>
                <c:pt idx="2">
                  <c:v>2013</c:v>
                </c:pt>
                <c:pt idx="3">
                  <c:v>2014</c:v>
                </c:pt>
                <c:pt idx="4">
                  <c:v>2015</c:v>
                </c:pt>
              </c:numCache>
            </c:numRef>
          </c:cat>
          <c:val>
            <c:numRef>
              <c:f>Sheet1!$C$94:$G$94</c:f>
              <c:numCache>
                <c:formatCode>#,##0</c:formatCode>
                <c:ptCount val="5"/>
                <c:pt idx="0">
                  <c:v>291.75</c:v>
                </c:pt>
                <c:pt idx="1">
                  <c:v>290.25</c:v>
                </c:pt>
                <c:pt idx="2">
                  <c:v>246</c:v>
                </c:pt>
                <c:pt idx="3">
                  <c:v>265.75</c:v>
                </c:pt>
                <c:pt idx="4">
                  <c:v>254.5</c:v>
                </c:pt>
              </c:numCache>
            </c:numRef>
          </c:val>
        </c:ser>
        <c:ser>
          <c:idx val="3"/>
          <c:order val="3"/>
          <c:tx>
            <c:strRef>
              <c:f>Sheet1!$B$95</c:f>
              <c:strCache>
                <c:ptCount val="1"/>
                <c:pt idx="0">
                  <c:v>التجديد</c:v>
                </c:pt>
              </c:strCache>
            </c:strRef>
          </c:tx>
          <c:invertIfNegative val="0"/>
          <c:cat>
            <c:numRef>
              <c:f>Sheet1!$C$78:$G$78</c:f>
              <c:numCache>
                <c:formatCode>General</c:formatCode>
                <c:ptCount val="5"/>
                <c:pt idx="0">
                  <c:v>2011</c:v>
                </c:pt>
                <c:pt idx="1">
                  <c:v>2012</c:v>
                </c:pt>
                <c:pt idx="2">
                  <c:v>2013</c:v>
                </c:pt>
                <c:pt idx="3">
                  <c:v>2014</c:v>
                </c:pt>
                <c:pt idx="4">
                  <c:v>2015</c:v>
                </c:pt>
              </c:numCache>
            </c:numRef>
          </c:cat>
          <c:val>
            <c:numRef>
              <c:f>Sheet1!$C$95:$G$95</c:f>
              <c:numCache>
                <c:formatCode>#,##0</c:formatCode>
                <c:ptCount val="5"/>
                <c:pt idx="0">
                  <c:v>300.71232236350039</c:v>
                </c:pt>
                <c:pt idx="1">
                  <c:v>304.85115931189227</c:v>
                </c:pt>
                <c:pt idx="2">
                  <c:v>263.79160433807033</c:v>
                </c:pt>
                <c:pt idx="3">
                  <c:v>244.89407255048616</c:v>
                </c:pt>
                <c:pt idx="4">
                  <c:v>281.86910994764401</c:v>
                </c:pt>
              </c:numCache>
            </c:numRef>
          </c:val>
        </c:ser>
        <c:dLbls>
          <c:showLegendKey val="0"/>
          <c:showVal val="0"/>
          <c:showCatName val="0"/>
          <c:showSerName val="0"/>
          <c:showPercent val="0"/>
          <c:showBubbleSize val="0"/>
        </c:dLbls>
        <c:gapWidth val="150"/>
        <c:overlap val="100"/>
        <c:axId val="92840704"/>
        <c:axId val="92842624"/>
      </c:barChart>
      <c:catAx>
        <c:axId val="92840704"/>
        <c:scaling>
          <c:orientation val="minMax"/>
        </c:scaling>
        <c:delete val="0"/>
        <c:axPos val="b"/>
        <c:title>
          <c:tx>
            <c:rich>
              <a:bodyPr/>
              <a:lstStyle/>
              <a:p>
                <a:pPr>
                  <a:defRPr/>
                </a:pPr>
                <a:r>
                  <a:rPr lang="ar-SA"/>
                  <a:t>سنة التسلّم</a:t>
                </a:r>
                <a:endParaRPr lang="en-US"/>
              </a:p>
            </c:rich>
          </c:tx>
          <c:layout/>
          <c:overlay val="0"/>
        </c:title>
        <c:numFmt formatCode="General" sourceLinked="1"/>
        <c:majorTickMark val="out"/>
        <c:minorTickMark val="none"/>
        <c:tickLblPos val="nextTo"/>
        <c:crossAx val="92842624"/>
        <c:crosses val="autoZero"/>
        <c:auto val="1"/>
        <c:lblAlgn val="ctr"/>
        <c:lblOffset val="100"/>
        <c:noMultiLvlLbl val="0"/>
      </c:catAx>
      <c:valAx>
        <c:axId val="92842624"/>
        <c:scaling>
          <c:orientation val="minMax"/>
        </c:scaling>
        <c:delete val="0"/>
        <c:axPos val="l"/>
        <c:majorGridlines/>
        <c:title>
          <c:tx>
            <c:rich>
              <a:bodyPr rot="-5400000" vert="horz"/>
              <a:lstStyle/>
              <a:p>
                <a:pPr>
                  <a:defRPr/>
                </a:pPr>
                <a:r>
                  <a:rPr lang="ar-SA"/>
                  <a:t>الحجم</a:t>
                </a:r>
                <a:endParaRPr lang="en-US"/>
              </a:p>
            </c:rich>
          </c:tx>
          <c:layout/>
          <c:overlay val="0"/>
        </c:title>
        <c:numFmt formatCode="#,##0" sourceLinked="1"/>
        <c:majorTickMark val="out"/>
        <c:minorTickMark val="none"/>
        <c:tickLblPos val="nextTo"/>
        <c:crossAx val="92840704"/>
        <c:crosses val="autoZero"/>
        <c:crossBetween val="between"/>
      </c:valAx>
    </c:plotArea>
    <c:legend>
      <c:legendPos val="t"/>
      <c:layout>
        <c:manualLayout>
          <c:xMode val="edge"/>
          <c:yMode val="edge"/>
          <c:x val="0.32658581739782527"/>
          <c:y val="0.12706202534351418"/>
          <c:w val="0.38254253374578179"/>
          <c:h val="6.2140612641884523E-2"/>
        </c:manualLayout>
      </c:layout>
      <c:overlay val="0"/>
    </c:legend>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ar-SA"/>
              <a:t>تكاليف الإنتاج الإجمالية</a:t>
            </a:r>
            <a:endParaRPr lang="en-US"/>
          </a:p>
        </c:rich>
      </c:tx>
      <c:layout/>
      <c:overlay val="0"/>
    </c:title>
    <c:autoTitleDeleted val="0"/>
    <c:plotArea>
      <c:layout/>
      <c:barChart>
        <c:barDir val="col"/>
        <c:grouping val="stacked"/>
        <c:varyColors val="0"/>
        <c:ser>
          <c:idx val="0"/>
          <c:order val="0"/>
          <c:tx>
            <c:strRef>
              <c:f>Sheet1!$E$14</c:f>
              <c:strCache>
                <c:ptCount val="1"/>
                <c:pt idx="0">
                  <c:v>التكاليف المباشرة</c:v>
                </c:pt>
              </c:strCache>
            </c:strRef>
          </c:tx>
          <c:spPr>
            <a:solidFill>
              <a:srgbClr val="0070C0"/>
            </a:solidFill>
          </c:spPr>
          <c:invertIfNegative val="0"/>
          <c:dLbls>
            <c:txPr>
              <a:bodyPr/>
              <a:lstStyle/>
              <a:p>
                <a:pPr>
                  <a:defRPr sz="1300">
                    <a:solidFill>
                      <a:schemeClr val="bg1"/>
                    </a:solidFill>
                  </a:defRPr>
                </a:pPr>
                <a:endParaRPr lang="en-US"/>
              </a:p>
            </c:txPr>
            <c:showLegendKey val="0"/>
            <c:showVal val="1"/>
            <c:showCatName val="0"/>
            <c:showSerName val="0"/>
            <c:showPercent val="0"/>
            <c:showBubbleSize val="0"/>
            <c:showLeaderLines val="0"/>
          </c:dLbls>
          <c:cat>
            <c:numRef>
              <c:f>Sheet1!$F$3:$I$3</c:f>
              <c:numCache>
                <c:formatCode>General</c:formatCode>
                <c:ptCount val="4"/>
                <c:pt idx="0">
                  <c:v>2012</c:v>
                </c:pt>
                <c:pt idx="1">
                  <c:v>2013</c:v>
                </c:pt>
                <c:pt idx="2">
                  <c:v>2014</c:v>
                </c:pt>
                <c:pt idx="3">
                  <c:v>2015</c:v>
                </c:pt>
              </c:numCache>
            </c:numRef>
          </c:cat>
          <c:val>
            <c:numRef>
              <c:f>Sheet1!$F$14:$I$14</c:f>
              <c:numCache>
                <c:formatCode>_ * #,##0_ ;_ * \-#,##0_ ;_ * "-"??_ ;_ @_ </c:formatCode>
                <c:ptCount val="4"/>
                <c:pt idx="0">
                  <c:v>3359454.75367</c:v>
                </c:pt>
                <c:pt idx="1">
                  <c:v>3722827.4036699999</c:v>
                </c:pt>
                <c:pt idx="2">
                  <c:v>3423089.6536699994</c:v>
                </c:pt>
                <c:pt idx="3">
                  <c:v>3635037.7734499988</c:v>
                </c:pt>
              </c:numCache>
            </c:numRef>
          </c:val>
        </c:ser>
        <c:ser>
          <c:idx val="1"/>
          <c:order val="1"/>
          <c:tx>
            <c:strRef>
              <c:f>Sheet1!$E$15</c:f>
              <c:strCache>
                <c:ptCount val="1"/>
                <c:pt idx="0">
                  <c:v>التكاليف غير المباشرة</c:v>
                </c:pt>
              </c:strCache>
            </c:strRef>
          </c:tx>
          <c:spPr>
            <a:solidFill>
              <a:srgbClr val="00B0F0"/>
            </a:solidFill>
          </c:spPr>
          <c:invertIfNegative val="0"/>
          <c:dLbls>
            <c:txPr>
              <a:bodyPr/>
              <a:lstStyle/>
              <a:p>
                <a:pPr>
                  <a:defRPr sz="1300">
                    <a:solidFill>
                      <a:schemeClr val="bg1"/>
                    </a:solidFill>
                  </a:defRPr>
                </a:pPr>
                <a:endParaRPr lang="en-US"/>
              </a:p>
            </c:txPr>
            <c:showLegendKey val="0"/>
            <c:showVal val="1"/>
            <c:showCatName val="0"/>
            <c:showSerName val="0"/>
            <c:showPercent val="0"/>
            <c:showBubbleSize val="0"/>
            <c:showLeaderLines val="0"/>
          </c:dLbls>
          <c:cat>
            <c:numRef>
              <c:f>Sheet1!$F$3:$I$3</c:f>
              <c:numCache>
                <c:formatCode>General</c:formatCode>
                <c:ptCount val="4"/>
                <c:pt idx="0">
                  <c:v>2012</c:v>
                </c:pt>
                <c:pt idx="1">
                  <c:v>2013</c:v>
                </c:pt>
                <c:pt idx="2">
                  <c:v>2014</c:v>
                </c:pt>
                <c:pt idx="3">
                  <c:v>2015</c:v>
                </c:pt>
              </c:numCache>
            </c:numRef>
          </c:cat>
          <c:val>
            <c:numRef>
              <c:f>Sheet1!$F$15:$I$15</c:f>
              <c:numCache>
                <c:formatCode>_ * #,##0_ ;_ * \-#,##0_ ;_ * "-"??_ ;_ @_ </c:formatCode>
                <c:ptCount val="4"/>
                <c:pt idx="0">
                  <c:v>2042615.393648379</c:v>
                </c:pt>
                <c:pt idx="1">
                  <c:v>2329998.5058090687</c:v>
                </c:pt>
                <c:pt idx="2">
                  <c:v>2283913.0588890328</c:v>
                </c:pt>
                <c:pt idx="3">
                  <c:v>2351539.354495849</c:v>
                </c:pt>
              </c:numCache>
            </c:numRef>
          </c:val>
        </c:ser>
        <c:dLbls>
          <c:showLegendKey val="0"/>
          <c:showVal val="0"/>
          <c:showCatName val="0"/>
          <c:showSerName val="0"/>
          <c:showPercent val="0"/>
          <c:showBubbleSize val="0"/>
        </c:dLbls>
        <c:gapWidth val="150"/>
        <c:overlap val="100"/>
        <c:axId val="94246016"/>
        <c:axId val="94247936"/>
      </c:barChart>
      <c:catAx>
        <c:axId val="94246016"/>
        <c:scaling>
          <c:orientation val="minMax"/>
        </c:scaling>
        <c:delete val="0"/>
        <c:axPos val="b"/>
        <c:title>
          <c:tx>
            <c:rich>
              <a:bodyPr/>
              <a:lstStyle/>
              <a:p>
                <a:pPr>
                  <a:defRPr/>
                </a:pPr>
                <a:r>
                  <a:rPr lang="ar-SA"/>
                  <a:t>سنة المعالجة</a:t>
                </a:r>
              </a:p>
            </c:rich>
          </c:tx>
          <c:layout/>
          <c:overlay val="0"/>
        </c:title>
        <c:numFmt formatCode="General" sourceLinked="1"/>
        <c:majorTickMark val="out"/>
        <c:minorTickMark val="none"/>
        <c:tickLblPos val="nextTo"/>
        <c:crossAx val="94247936"/>
        <c:crosses val="autoZero"/>
        <c:auto val="1"/>
        <c:lblAlgn val="ctr"/>
        <c:lblOffset val="100"/>
        <c:noMultiLvlLbl val="0"/>
      </c:catAx>
      <c:valAx>
        <c:axId val="94247936"/>
        <c:scaling>
          <c:orientation val="minMax"/>
          <c:max val="8000000"/>
        </c:scaling>
        <c:delete val="0"/>
        <c:axPos val="l"/>
        <c:majorGridlines>
          <c:spPr>
            <a:ln>
              <a:noFill/>
            </a:ln>
          </c:spPr>
        </c:majorGridlines>
        <c:title>
          <c:tx>
            <c:rich>
              <a:bodyPr rot="-5400000" vert="horz"/>
              <a:lstStyle/>
              <a:p>
                <a:pPr>
                  <a:defRPr/>
                </a:pPr>
                <a:r>
                  <a:rPr lang="ar-SA"/>
                  <a:t>تكلفة الإنتاج (بالفرنك السويسري)</a:t>
                </a:r>
                <a:endParaRPr lang="en-US"/>
              </a:p>
            </c:rich>
          </c:tx>
          <c:layout>
            <c:manualLayout>
              <c:xMode val="edge"/>
              <c:yMode val="edge"/>
              <c:x val="1.4787720225067713E-2"/>
              <c:y val="0.35747033520457477"/>
            </c:manualLayout>
          </c:layout>
          <c:overlay val="0"/>
        </c:title>
        <c:numFmt formatCode="#,##0" sourceLinked="0"/>
        <c:majorTickMark val="out"/>
        <c:minorTickMark val="none"/>
        <c:tickLblPos val="nextTo"/>
        <c:crossAx val="94246016"/>
        <c:crosses val="autoZero"/>
        <c:crossBetween val="between"/>
        <c:majorUnit val="2000000"/>
      </c:valAx>
    </c:plotArea>
    <c:legend>
      <c:legendPos val="t"/>
      <c:layout>
        <c:manualLayout>
          <c:xMode val="edge"/>
          <c:yMode val="edge"/>
          <c:x val="0.32403607485996372"/>
          <c:y val="0.1120935191635723"/>
          <c:w val="0.36259993943064811"/>
          <c:h val="6.027636213218842E-2"/>
        </c:manualLayout>
      </c:layout>
      <c:overlay val="0"/>
    </c:legend>
    <c:plotVisOnly val="1"/>
    <c:dispBlanksAs val="gap"/>
    <c:showDLblsOverMax val="0"/>
  </c:chart>
  <c:spPr>
    <a:ln>
      <a:noFill/>
    </a:ln>
  </c:spPr>
  <c:txPr>
    <a:bodyPr/>
    <a:lstStyle/>
    <a:p>
      <a:pPr>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userShapes r:id="rId3"/>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rtl="1">
              <a:defRPr/>
            </a:pPr>
            <a:r>
              <a:rPr lang="ar-SA" b="1"/>
              <a:t>توقيت معالجة الطلبات الدولية الصحيحة</a:t>
            </a:r>
            <a:endParaRPr lang="en-US" b="1"/>
          </a:p>
        </c:rich>
      </c:tx>
      <c:layout>
        <c:manualLayout>
          <c:xMode val="edge"/>
          <c:yMode val="edge"/>
          <c:x val="0.39239030961837734"/>
          <c:y val="5.6333607154067565E-2"/>
        </c:manualLayout>
      </c:layout>
      <c:overlay val="0"/>
      <c:spPr>
        <a:noFill/>
        <a:ln w="25400">
          <a:noFill/>
        </a:ln>
      </c:spPr>
    </c:title>
    <c:autoTitleDeleted val="0"/>
    <c:plotArea>
      <c:layout>
        <c:manualLayout>
          <c:layoutTarget val="inner"/>
          <c:xMode val="edge"/>
          <c:yMode val="edge"/>
          <c:x val="0.15858201148769446"/>
          <c:y val="0.27231183152986033"/>
          <c:w val="0.84021632251720746"/>
          <c:h val="0.55901851963161098"/>
        </c:manualLayout>
      </c:layout>
      <c:barChart>
        <c:barDir val="col"/>
        <c:grouping val="percentStacked"/>
        <c:varyColors val="0"/>
        <c:ser>
          <c:idx val="0"/>
          <c:order val="0"/>
          <c:tx>
            <c:strRef>
              <c:f>'Hague Timeliness'!$B$6</c:f>
              <c:strCache>
                <c:ptCount val="1"/>
                <c:pt idx="0">
                  <c:v>أقل من أسبوع</c:v>
                </c:pt>
              </c:strCache>
            </c:strRef>
          </c:tx>
          <c:spPr>
            <a:solidFill>
              <a:schemeClr val="accent6">
                <a:lumMod val="60000"/>
                <a:lumOff val="40000"/>
              </a:schemeClr>
            </a:solidFill>
            <a:ln w="25400">
              <a:noFill/>
            </a:ln>
          </c:spPr>
          <c:invertIfNegative val="0"/>
          <c:cat>
            <c:numRef>
              <c:f>'Hague Timeliness'!$A$10:$A$14</c:f>
              <c:numCache>
                <c:formatCode>General</c:formatCode>
                <c:ptCount val="5"/>
                <c:pt idx="0">
                  <c:v>2011</c:v>
                </c:pt>
                <c:pt idx="1">
                  <c:v>2012</c:v>
                </c:pt>
                <c:pt idx="2">
                  <c:v>2013</c:v>
                </c:pt>
                <c:pt idx="3">
                  <c:v>2014</c:v>
                </c:pt>
                <c:pt idx="4">
                  <c:v>2015</c:v>
                </c:pt>
              </c:numCache>
            </c:numRef>
          </c:cat>
          <c:val>
            <c:numRef>
              <c:f>'Hague Timeliness'!$B$10:$B$14</c:f>
              <c:numCache>
                <c:formatCode>General</c:formatCode>
                <c:ptCount val="5"/>
                <c:pt idx="0">
                  <c:v>138</c:v>
                </c:pt>
                <c:pt idx="1">
                  <c:v>318</c:v>
                </c:pt>
                <c:pt idx="2">
                  <c:v>488</c:v>
                </c:pt>
                <c:pt idx="3">
                  <c:v>778</c:v>
                </c:pt>
                <c:pt idx="4">
                  <c:v>544</c:v>
                </c:pt>
              </c:numCache>
            </c:numRef>
          </c:val>
        </c:ser>
        <c:ser>
          <c:idx val="1"/>
          <c:order val="1"/>
          <c:tx>
            <c:strRef>
              <c:f>'Hague Timeliness'!$C$6</c:f>
              <c:strCache>
                <c:ptCount val="1"/>
                <c:pt idx="0">
                  <c:v>بين أسبوع وأسبوعين</c:v>
                </c:pt>
              </c:strCache>
            </c:strRef>
          </c:tx>
          <c:spPr>
            <a:solidFill>
              <a:srgbClr val="FF6600"/>
            </a:solidFill>
            <a:ln w="25400">
              <a:noFill/>
            </a:ln>
          </c:spPr>
          <c:invertIfNegative val="0"/>
          <c:cat>
            <c:numRef>
              <c:f>'Hague Timeliness'!$A$10:$A$14</c:f>
              <c:numCache>
                <c:formatCode>General</c:formatCode>
                <c:ptCount val="5"/>
                <c:pt idx="0">
                  <c:v>2011</c:v>
                </c:pt>
                <c:pt idx="1">
                  <c:v>2012</c:v>
                </c:pt>
                <c:pt idx="2">
                  <c:v>2013</c:v>
                </c:pt>
                <c:pt idx="3">
                  <c:v>2014</c:v>
                </c:pt>
                <c:pt idx="4">
                  <c:v>2015</c:v>
                </c:pt>
              </c:numCache>
            </c:numRef>
          </c:cat>
          <c:val>
            <c:numRef>
              <c:f>'Hague Timeliness'!$C$10:$C$14</c:f>
              <c:numCache>
                <c:formatCode>General</c:formatCode>
                <c:ptCount val="5"/>
                <c:pt idx="0">
                  <c:v>545</c:v>
                </c:pt>
                <c:pt idx="1">
                  <c:v>736</c:v>
                </c:pt>
                <c:pt idx="2">
                  <c:v>719</c:v>
                </c:pt>
                <c:pt idx="3">
                  <c:v>675</c:v>
                </c:pt>
                <c:pt idx="4">
                  <c:v>933</c:v>
                </c:pt>
              </c:numCache>
            </c:numRef>
          </c:val>
        </c:ser>
        <c:ser>
          <c:idx val="2"/>
          <c:order val="2"/>
          <c:tx>
            <c:strRef>
              <c:f>'Hague Timeliness'!$D$6</c:f>
              <c:strCache>
                <c:ptCount val="1"/>
                <c:pt idx="0">
                  <c:v>بين أسبوعين و3 أسابيع</c:v>
                </c:pt>
              </c:strCache>
            </c:strRef>
          </c:tx>
          <c:spPr>
            <a:solidFill>
              <a:srgbClr val="99CCFF"/>
            </a:solidFill>
            <a:ln w="25400">
              <a:noFill/>
            </a:ln>
          </c:spPr>
          <c:invertIfNegative val="0"/>
          <c:cat>
            <c:numRef>
              <c:f>'Hague Timeliness'!$A$10:$A$14</c:f>
              <c:numCache>
                <c:formatCode>General</c:formatCode>
                <c:ptCount val="5"/>
                <c:pt idx="0">
                  <c:v>2011</c:v>
                </c:pt>
                <c:pt idx="1">
                  <c:v>2012</c:v>
                </c:pt>
                <c:pt idx="2">
                  <c:v>2013</c:v>
                </c:pt>
                <c:pt idx="3">
                  <c:v>2014</c:v>
                </c:pt>
                <c:pt idx="4">
                  <c:v>2015</c:v>
                </c:pt>
              </c:numCache>
            </c:numRef>
          </c:cat>
          <c:val>
            <c:numRef>
              <c:f>'Hague Timeliness'!$D$10:$D$14</c:f>
              <c:numCache>
                <c:formatCode>General</c:formatCode>
                <c:ptCount val="5"/>
                <c:pt idx="0">
                  <c:v>371</c:v>
                </c:pt>
                <c:pt idx="1">
                  <c:v>181</c:v>
                </c:pt>
                <c:pt idx="2">
                  <c:v>175</c:v>
                </c:pt>
                <c:pt idx="3">
                  <c:v>157</c:v>
                </c:pt>
                <c:pt idx="4">
                  <c:v>371</c:v>
                </c:pt>
              </c:numCache>
            </c:numRef>
          </c:val>
        </c:ser>
        <c:ser>
          <c:idx val="3"/>
          <c:order val="3"/>
          <c:tx>
            <c:strRef>
              <c:f>'Hague Timeliness'!$E$6</c:f>
              <c:strCache>
                <c:ptCount val="1"/>
                <c:pt idx="0">
                  <c:v>بين 3 و4 أسابيع</c:v>
                </c:pt>
              </c:strCache>
            </c:strRef>
          </c:tx>
          <c:spPr>
            <a:solidFill>
              <a:srgbClr val="339966"/>
            </a:solidFill>
            <a:ln w="25400">
              <a:noFill/>
            </a:ln>
          </c:spPr>
          <c:invertIfNegative val="0"/>
          <c:cat>
            <c:numRef>
              <c:f>'Hague Timeliness'!$A$10:$A$14</c:f>
              <c:numCache>
                <c:formatCode>General</c:formatCode>
                <c:ptCount val="5"/>
                <c:pt idx="0">
                  <c:v>2011</c:v>
                </c:pt>
                <c:pt idx="1">
                  <c:v>2012</c:v>
                </c:pt>
                <c:pt idx="2">
                  <c:v>2013</c:v>
                </c:pt>
                <c:pt idx="3">
                  <c:v>2014</c:v>
                </c:pt>
                <c:pt idx="4">
                  <c:v>2015</c:v>
                </c:pt>
              </c:numCache>
            </c:numRef>
          </c:cat>
          <c:val>
            <c:numRef>
              <c:f>'Hague Timeliness'!$E$10:$E$14</c:f>
              <c:numCache>
                <c:formatCode>General</c:formatCode>
                <c:ptCount val="5"/>
                <c:pt idx="0">
                  <c:v>194</c:v>
                </c:pt>
                <c:pt idx="1">
                  <c:v>52</c:v>
                </c:pt>
                <c:pt idx="2">
                  <c:v>69</c:v>
                </c:pt>
                <c:pt idx="3">
                  <c:v>73</c:v>
                </c:pt>
                <c:pt idx="4">
                  <c:v>140</c:v>
                </c:pt>
              </c:numCache>
            </c:numRef>
          </c:val>
        </c:ser>
        <c:ser>
          <c:idx val="4"/>
          <c:order val="4"/>
          <c:tx>
            <c:strRef>
              <c:f>'Hague Timeliness'!$F$6</c:f>
              <c:strCache>
                <c:ptCount val="1"/>
                <c:pt idx="0">
                  <c:v>أكثر من 4 أسابيع</c:v>
                </c:pt>
              </c:strCache>
            </c:strRef>
          </c:tx>
          <c:spPr>
            <a:solidFill>
              <a:schemeClr val="bg1">
                <a:lumMod val="65000"/>
              </a:schemeClr>
            </a:solidFill>
            <a:ln w="25400">
              <a:noFill/>
            </a:ln>
          </c:spPr>
          <c:invertIfNegative val="0"/>
          <c:cat>
            <c:numRef>
              <c:f>'Hague Timeliness'!$A$10:$A$14</c:f>
              <c:numCache>
                <c:formatCode>General</c:formatCode>
                <c:ptCount val="5"/>
                <c:pt idx="0">
                  <c:v>2011</c:v>
                </c:pt>
                <c:pt idx="1">
                  <c:v>2012</c:v>
                </c:pt>
                <c:pt idx="2">
                  <c:v>2013</c:v>
                </c:pt>
                <c:pt idx="3">
                  <c:v>2014</c:v>
                </c:pt>
                <c:pt idx="4">
                  <c:v>2015</c:v>
                </c:pt>
              </c:numCache>
            </c:numRef>
          </c:cat>
          <c:val>
            <c:numRef>
              <c:f>'Hague Timeliness'!$F$10:$F$14</c:f>
              <c:numCache>
                <c:formatCode>General</c:formatCode>
                <c:ptCount val="5"/>
                <c:pt idx="0">
                  <c:v>251</c:v>
                </c:pt>
                <c:pt idx="1">
                  <c:v>127</c:v>
                </c:pt>
                <c:pt idx="2">
                  <c:v>156</c:v>
                </c:pt>
                <c:pt idx="3">
                  <c:v>85</c:v>
                </c:pt>
                <c:pt idx="4">
                  <c:v>193</c:v>
                </c:pt>
              </c:numCache>
            </c:numRef>
          </c:val>
        </c:ser>
        <c:dLbls>
          <c:showLegendKey val="0"/>
          <c:showVal val="0"/>
          <c:showCatName val="0"/>
          <c:showSerName val="0"/>
          <c:showPercent val="0"/>
          <c:showBubbleSize val="0"/>
        </c:dLbls>
        <c:gapWidth val="150"/>
        <c:overlap val="100"/>
        <c:axId val="95471488"/>
        <c:axId val="95473664"/>
      </c:barChart>
      <c:catAx>
        <c:axId val="95471488"/>
        <c:scaling>
          <c:orientation val="minMax"/>
        </c:scaling>
        <c:delete val="0"/>
        <c:axPos val="b"/>
        <c:title>
          <c:tx>
            <c:rich>
              <a:bodyPr/>
              <a:lstStyle/>
              <a:p>
                <a:pPr>
                  <a:defRPr/>
                </a:pPr>
                <a:r>
                  <a:rPr lang="ar-SA"/>
                  <a:t>سنة المعالجة</a:t>
                </a:r>
                <a:endParaRPr lang="en-US"/>
              </a:p>
            </c:rich>
          </c:tx>
          <c:layout>
            <c:manualLayout>
              <c:xMode val="edge"/>
              <c:yMode val="edge"/>
              <c:x val="0.46306893054297416"/>
              <c:y val="0.9090314092417837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95473664"/>
        <c:crosses val="autoZero"/>
        <c:auto val="1"/>
        <c:lblAlgn val="ctr"/>
        <c:lblOffset val="100"/>
        <c:tickLblSkip val="1"/>
        <c:tickMarkSkip val="1"/>
        <c:noMultiLvlLbl val="0"/>
      </c:catAx>
      <c:valAx>
        <c:axId val="95473664"/>
        <c:scaling>
          <c:orientation val="minMax"/>
        </c:scaling>
        <c:delete val="0"/>
        <c:axPos val="l"/>
        <c:majorGridlines>
          <c:spPr>
            <a:ln w="3175">
              <a:solidFill>
                <a:srgbClr val="000000"/>
              </a:solidFill>
              <a:prstDash val="solid"/>
            </a:ln>
          </c:spPr>
        </c:majorGridlines>
        <c:title>
          <c:tx>
            <c:rich>
              <a:bodyPr/>
              <a:lstStyle/>
              <a:p>
                <a:pPr>
                  <a:defRPr/>
                </a:pPr>
                <a:r>
                  <a:rPr lang="ar-SA"/>
                  <a:t>التوزيع (%)</a:t>
                </a:r>
                <a:endParaRPr lang="en-US"/>
              </a:p>
            </c:rich>
          </c:tx>
          <c:layout>
            <c:manualLayout>
              <c:xMode val="edge"/>
              <c:yMode val="edge"/>
              <c:x val="2.5500209212978814E-3"/>
              <c:y val="0.41927624371284433"/>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95471488"/>
        <c:crosses val="autoZero"/>
        <c:crossBetween val="between"/>
        <c:majorUnit val="0.25"/>
      </c:valAx>
      <c:spPr>
        <a:noFill/>
        <a:ln w="12700">
          <a:solidFill>
            <a:srgbClr val="808080"/>
          </a:solidFill>
          <a:prstDash val="solid"/>
        </a:ln>
      </c:spPr>
    </c:plotArea>
    <c:legend>
      <c:legendPos val="t"/>
      <c:layout>
        <c:manualLayout>
          <c:xMode val="edge"/>
          <c:yMode val="edge"/>
          <c:x val="0.1074722390470422"/>
          <c:y val="0.15760927338896361"/>
          <c:w val="0.84787923144222355"/>
          <c:h val="9.5703685894225052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5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GDD!$A$2</c:f>
              <c:strCache>
                <c:ptCount val="1"/>
                <c:pt idx="0">
                  <c:v>لاهاي</c:v>
                </c:pt>
              </c:strCache>
            </c:strRef>
          </c:tx>
          <c:invertIfNegative val="0"/>
          <c:cat>
            <c:numRef>
              <c:f>GDD!$B$1:$I$1</c:f>
              <c:numCache>
                <c:formatCode>m/d/yyyy</c:formatCode>
                <c:ptCount val="8"/>
                <c:pt idx="0" formatCode="[$-1010000]d/m/yyyy;@">
                  <c:v>41699</c:v>
                </c:pt>
                <c:pt idx="1">
                  <c:v>41791</c:v>
                </c:pt>
                <c:pt idx="2">
                  <c:v>41883</c:v>
                </c:pt>
                <c:pt idx="3">
                  <c:v>41974</c:v>
                </c:pt>
                <c:pt idx="4">
                  <c:v>42064</c:v>
                </c:pt>
                <c:pt idx="5">
                  <c:v>42156</c:v>
                </c:pt>
                <c:pt idx="6">
                  <c:v>42248</c:v>
                </c:pt>
                <c:pt idx="7">
                  <c:v>42339</c:v>
                </c:pt>
              </c:numCache>
            </c:numRef>
          </c:cat>
          <c:val>
            <c:numRef>
              <c:f>GDD!$B$2:$I$2</c:f>
              <c:numCache>
                <c:formatCode>#,##0</c:formatCode>
                <c:ptCount val="8"/>
                <c:pt idx="0">
                  <c:v>0</c:v>
                </c:pt>
                <c:pt idx="1">
                  <c:v>0</c:v>
                </c:pt>
                <c:pt idx="2">
                  <c:v>0</c:v>
                </c:pt>
                <c:pt idx="3">
                  <c:v>0</c:v>
                </c:pt>
                <c:pt idx="4">
                  <c:v>37054</c:v>
                </c:pt>
                <c:pt idx="5">
                  <c:v>40480</c:v>
                </c:pt>
                <c:pt idx="6">
                  <c:v>41293</c:v>
                </c:pt>
                <c:pt idx="7">
                  <c:v>42347</c:v>
                </c:pt>
              </c:numCache>
            </c:numRef>
          </c:val>
        </c:ser>
        <c:ser>
          <c:idx val="1"/>
          <c:order val="1"/>
          <c:tx>
            <c:strRef>
              <c:f>GDD!$A$3</c:f>
              <c:strCache>
                <c:ptCount val="1"/>
                <c:pt idx="0">
                  <c:v>خلاف لاهاي</c:v>
                </c:pt>
              </c:strCache>
            </c:strRef>
          </c:tx>
          <c:spPr>
            <a:solidFill>
              <a:srgbClr val="00B050"/>
            </a:solidFill>
          </c:spPr>
          <c:invertIfNegative val="0"/>
          <c:cat>
            <c:numRef>
              <c:f>GDD!$B$1:$I$1</c:f>
              <c:numCache>
                <c:formatCode>m/d/yyyy</c:formatCode>
                <c:ptCount val="8"/>
                <c:pt idx="0" formatCode="[$-1010000]d/m/yyyy;@">
                  <c:v>41699</c:v>
                </c:pt>
                <c:pt idx="1">
                  <c:v>41791</c:v>
                </c:pt>
                <c:pt idx="2">
                  <c:v>41883</c:v>
                </c:pt>
                <c:pt idx="3">
                  <c:v>41974</c:v>
                </c:pt>
                <c:pt idx="4">
                  <c:v>42064</c:v>
                </c:pt>
                <c:pt idx="5">
                  <c:v>42156</c:v>
                </c:pt>
                <c:pt idx="6">
                  <c:v>42248</c:v>
                </c:pt>
                <c:pt idx="7">
                  <c:v>42339</c:v>
                </c:pt>
              </c:numCache>
            </c:numRef>
          </c:cat>
          <c:val>
            <c:numRef>
              <c:f>GDD!$B$3:$I$3</c:f>
              <c:numCache>
                <c:formatCode>#,##0</c:formatCode>
                <c:ptCount val="8"/>
                <c:pt idx="0">
                  <c:v>0</c:v>
                </c:pt>
                <c:pt idx="1">
                  <c:v>0</c:v>
                </c:pt>
                <c:pt idx="2">
                  <c:v>0</c:v>
                </c:pt>
                <c:pt idx="3">
                  <c:v>0</c:v>
                </c:pt>
                <c:pt idx="4">
                  <c:v>189147</c:v>
                </c:pt>
                <c:pt idx="5">
                  <c:v>196052</c:v>
                </c:pt>
                <c:pt idx="6">
                  <c:v>1255042</c:v>
                </c:pt>
                <c:pt idx="7">
                  <c:v>1532209</c:v>
                </c:pt>
              </c:numCache>
            </c:numRef>
          </c:val>
        </c:ser>
        <c:dLbls>
          <c:showLegendKey val="0"/>
          <c:showVal val="0"/>
          <c:showCatName val="0"/>
          <c:showSerName val="0"/>
          <c:showPercent val="0"/>
          <c:showBubbleSize val="0"/>
        </c:dLbls>
        <c:gapWidth val="0"/>
        <c:overlap val="100"/>
        <c:axId val="95868032"/>
        <c:axId val="95869568"/>
      </c:barChart>
      <c:dateAx>
        <c:axId val="95868032"/>
        <c:scaling>
          <c:orientation val="minMax"/>
          <c:max val="42370"/>
          <c:min val="41699"/>
        </c:scaling>
        <c:delete val="0"/>
        <c:axPos val="b"/>
        <c:numFmt formatCode="[$-10B0000]\ mmmm\ yyyy;@" sourceLinked="0"/>
        <c:majorTickMark val="out"/>
        <c:minorTickMark val="none"/>
        <c:tickLblPos val="nextTo"/>
        <c:txPr>
          <a:bodyPr rot="-2880000"/>
          <a:lstStyle/>
          <a:p>
            <a:pPr>
              <a:defRPr/>
            </a:pPr>
            <a:endParaRPr lang="en-US"/>
          </a:p>
        </c:txPr>
        <c:crossAx val="95869568"/>
        <c:crosses val="autoZero"/>
        <c:auto val="0"/>
        <c:lblOffset val="100"/>
        <c:baseTimeUnit val="months"/>
        <c:majorUnit val="3"/>
        <c:majorTimeUnit val="months"/>
      </c:dateAx>
      <c:valAx>
        <c:axId val="95869568"/>
        <c:scaling>
          <c:orientation val="minMax"/>
        </c:scaling>
        <c:delete val="0"/>
        <c:axPos val="l"/>
        <c:majorGridlines/>
        <c:numFmt formatCode="#,##0_);\(#,##0\)" sourceLinked="0"/>
        <c:majorTickMark val="out"/>
        <c:minorTickMark val="none"/>
        <c:tickLblPos val="nextTo"/>
        <c:crossAx val="95868032"/>
        <c:crosses val="autoZero"/>
        <c:crossBetween val="between"/>
        <c:dispUnits>
          <c:builtInUnit val="thousands"/>
          <c:dispUnitsLbl>
            <c:layout>
              <c:manualLayout>
                <c:xMode val="edge"/>
                <c:yMode val="edge"/>
                <c:x val="1.3687237210253849E-2"/>
                <c:y val="0.35307671351207687"/>
              </c:manualLayout>
            </c:layout>
            <c:tx>
              <c:rich>
                <a:bodyPr/>
                <a:lstStyle/>
                <a:p>
                  <a:pPr>
                    <a:defRPr/>
                  </a:pPr>
                  <a:r>
                    <a:rPr lang="ar-SA"/>
                    <a:t>بالآلاف</a:t>
                  </a:r>
                  <a:endParaRPr lang="en-US"/>
                </a:p>
              </c:rich>
            </c:tx>
          </c:dispUnitsLbl>
        </c:dispUnits>
      </c:valAx>
    </c:plotArea>
    <c:legend>
      <c:legendPos val="t"/>
      <c:layout/>
      <c:overlay val="0"/>
      <c:spPr>
        <a:solidFill>
          <a:sysClr val="window" lastClr="FFFFFF"/>
        </a:solidFill>
      </c:spPr>
    </c:legend>
    <c:plotVisOnly val="1"/>
    <c:dispBlanksAs val="gap"/>
    <c:showDLblsOverMax val="0"/>
  </c:chart>
  <c:txPr>
    <a:bodyPr/>
    <a:lstStyle/>
    <a:p>
      <a:pPr>
        <a:defRPr sz="16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GBD!$A$2</c:f>
              <c:strCache>
                <c:ptCount val="1"/>
                <c:pt idx="0">
                  <c:v>مدريد</c:v>
                </c:pt>
              </c:strCache>
            </c:strRef>
          </c:tx>
          <c:invertIfNegative val="0"/>
          <c:cat>
            <c:numRef>
              <c:f>GBD!$B$1:$I$1</c:f>
              <c:numCache>
                <c:formatCode>m/d/yyyy</c:formatCode>
                <c:ptCount val="8"/>
                <c:pt idx="0">
                  <c:v>41699</c:v>
                </c:pt>
                <c:pt idx="1">
                  <c:v>41791</c:v>
                </c:pt>
                <c:pt idx="2">
                  <c:v>41883</c:v>
                </c:pt>
                <c:pt idx="3">
                  <c:v>41974</c:v>
                </c:pt>
                <c:pt idx="4">
                  <c:v>42064</c:v>
                </c:pt>
                <c:pt idx="5">
                  <c:v>42156</c:v>
                </c:pt>
                <c:pt idx="6">
                  <c:v>42248</c:v>
                </c:pt>
                <c:pt idx="7">
                  <c:v>42339</c:v>
                </c:pt>
              </c:numCache>
            </c:numRef>
          </c:cat>
          <c:val>
            <c:numRef>
              <c:f>GBD!$B$2:$I$2</c:f>
              <c:numCache>
                <c:formatCode>#,##0</c:formatCode>
                <c:ptCount val="8"/>
                <c:pt idx="0">
                  <c:v>771267</c:v>
                </c:pt>
                <c:pt idx="1">
                  <c:v>782338</c:v>
                </c:pt>
                <c:pt idx="2">
                  <c:v>793490</c:v>
                </c:pt>
                <c:pt idx="3">
                  <c:v>804983</c:v>
                </c:pt>
                <c:pt idx="4">
                  <c:v>811243</c:v>
                </c:pt>
                <c:pt idx="5">
                  <c:v>821894</c:v>
                </c:pt>
                <c:pt idx="6">
                  <c:v>835379</c:v>
                </c:pt>
                <c:pt idx="7">
                  <c:v>852833</c:v>
                </c:pt>
              </c:numCache>
            </c:numRef>
          </c:val>
        </c:ser>
        <c:ser>
          <c:idx val="1"/>
          <c:order val="1"/>
          <c:tx>
            <c:strRef>
              <c:f>GBD!$A$3</c:f>
              <c:strCache>
                <c:ptCount val="1"/>
                <c:pt idx="0">
                  <c:v>خلاف مدريد</c:v>
                </c:pt>
              </c:strCache>
            </c:strRef>
          </c:tx>
          <c:spPr>
            <a:solidFill>
              <a:srgbClr val="00B050"/>
            </a:solidFill>
          </c:spPr>
          <c:invertIfNegative val="0"/>
          <c:cat>
            <c:numRef>
              <c:f>GBD!$B$1:$I$1</c:f>
              <c:numCache>
                <c:formatCode>m/d/yyyy</c:formatCode>
                <c:ptCount val="8"/>
                <c:pt idx="0">
                  <c:v>41699</c:v>
                </c:pt>
                <c:pt idx="1">
                  <c:v>41791</c:v>
                </c:pt>
                <c:pt idx="2">
                  <c:v>41883</c:v>
                </c:pt>
                <c:pt idx="3">
                  <c:v>41974</c:v>
                </c:pt>
                <c:pt idx="4">
                  <c:v>42064</c:v>
                </c:pt>
                <c:pt idx="5">
                  <c:v>42156</c:v>
                </c:pt>
                <c:pt idx="6">
                  <c:v>42248</c:v>
                </c:pt>
                <c:pt idx="7">
                  <c:v>42339</c:v>
                </c:pt>
              </c:numCache>
            </c:numRef>
          </c:cat>
          <c:val>
            <c:numRef>
              <c:f>GBD!$B$3:$I$3</c:f>
              <c:numCache>
                <c:formatCode>#,##0</c:formatCode>
                <c:ptCount val="8"/>
                <c:pt idx="0">
                  <c:v>11969051</c:v>
                </c:pt>
                <c:pt idx="1">
                  <c:v>12699281</c:v>
                </c:pt>
                <c:pt idx="2">
                  <c:v>13178154</c:v>
                </c:pt>
                <c:pt idx="3">
                  <c:v>13228231</c:v>
                </c:pt>
                <c:pt idx="4">
                  <c:v>15378895</c:v>
                </c:pt>
                <c:pt idx="5">
                  <c:v>15799735</c:v>
                </c:pt>
                <c:pt idx="6">
                  <c:v>17433349</c:v>
                </c:pt>
                <c:pt idx="7">
                  <c:v>23866129</c:v>
                </c:pt>
              </c:numCache>
            </c:numRef>
          </c:val>
        </c:ser>
        <c:dLbls>
          <c:showLegendKey val="0"/>
          <c:showVal val="0"/>
          <c:showCatName val="0"/>
          <c:showSerName val="0"/>
          <c:showPercent val="0"/>
          <c:showBubbleSize val="0"/>
        </c:dLbls>
        <c:gapWidth val="0"/>
        <c:overlap val="100"/>
        <c:axId val="107490688"/>
        <c:axId val="107512960"/>
      </c:barChart>
      <c:dateAx>
        <c:axId val="107490688"/>
        <c:scaling>
          <c:orientation val="minMax"/>
          <c:max val="42370"/>
          <c:min val="41699"/>
        </c:scaling>
        <c:delete val="0"/>
        <c:axPos val="b"/>
        <c:numFmt formatCode="[$-10B0000]\ mmmm\ yyyy;@" sourceLinked="0"/>
        <c:majorTickMark val="out"/>
        <c:minorTickMark val="none"/>
        <c:tickLblPos val="nextTo"/>
        <c:txPr>
          <a:bodyPr rot="-2880000"/>
          <a:lstStyle/>
          <a:p>
            <a:pPr>
              <a:defRPr/>
            </a:pPr>
            <a:endParaRPr lang="en-US"/>
          </a:p>
        </c:txPr>
        <c:crossAx val="107512960"/>
        <c:crosses val="autoZero"/>
        <c:auto val="0"/>
        <c:lblOffset val="100"/>
        <c:baseTimeUnit val="months"/>
        <c:majorUnit val="3"/>
        <c:majorTimeUnit val="months"/>
      </c:dateAx>
      <c:valAx>
        <c:axId val="107512960"/>
        <c:scaling>
          <c:orientation val="minMax"/>
        </c:scaling>
        <c:delete val="0"/>
        <c:axPos val="l"/>
        <c:majorGridlines/>
        <c:numFmt formatCode="#,##0_);\(#,##0\)" sourceLinked="0"/>
        <c:majorTickMark val="out"/>
        <c:minorTickMark val="none"/>
        <c:tickLblPos val="nextTo"/>
        <c:crossAx val="107490688"/>
        <c:crosses val="autoZero"/>
        <c:crossBetween val="between"/>
        <c:dispUnits>
          <c:builtInUnit val="millions"/>
          <c:dispUnitsLbl>
            <c:layout>
              <c:manualLayout>
                <c:xMode val="edge"/>
                <c:yMode val="edge"/>
                <c:x val="8.4106505436889467E-3"/>
                <c:y val="0.26193747300574771"/>
              </c:manualLayout>
            </c:layout>
            <c:tx>
              <c:rich>
                <a:bodyPr/>
                <a:lstStyle/>
                <a:p>
                  <a:pPr>
                    <a:defRPr/>
                  </a:pPr>
                  <a:r>
                    <a:rPr lang="ar-SA"/>
                    <a:t>بالملايين</a:t>
                  </a:r>
                  <a:endParaRPr lang="en-US"/>
                </a:p>
              </c:rich>
            </c:tx>
          </c:dispUnitsLbl>
        </c:dispUnits>
      </c:valAx>
    </c:plotArea>
    <c:legend>
      <c:legendPos val="t"/>
      <c:layout/>
      <c:overlay val="0"/>
      <c:spPr>
        <a:solidFill>
          <a:sysClr val="window" lastClr="FFFFFF"/>
        </a:solidFill>
      </c:spPr>
    </c:legend>
    <c:plotVisOnly val="1"/>
    <c:dispBlanksAs val="gap"/>
    <c:showDLblsOverMax val="0"/>
  </c:chart>
  <c:txPr>
    <a:bodyPr/>
    <a:lstStyle/>
    <a:p>
      <a:pPr>
        <a:defRPr sz="16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PATENTSCOPE!$A$2</c:f>
              <c:strCache>
                <c:ptCount val="1"/>
                <c:pt idx="0">
                  <c:v>معاهدة البراءات</c:v>
                </c:pt>
              </c:strCache>
            </c:strRef>
          </c:tx>
          <c:invertIfNegative val="0"/>
          <c:cat>
            <c:numRef>
              <c:f>PATENTSCOPE!$B$1:$I$1</c:f>
              <c:numCache>
                <c:formatCode>m/d/yyyy</c:formatCode>
                <c:ptCount val="8"/>
                <c:pt idx="0">
                  <c:v>41699</c:v>
                </c:pt>
                <c:pt idx="1">
                  <c:v>41791</c:v>
                </c:pt>
                <c:pt idx="2">
                  <c:v>41883</c:v>
                </c:pt>
                <c:pt idx="3">
                  <c:v>41974</c:v>
                </c:pt>
                <c:pt idx="4">
                  <c:v>42064</c:v>
                </c:pt>
                <c:pt idx="5">
                  <c:v>42156</c:v>
                </c:pt>
                <c:pt idx="6">
                  <c:v>42248</c:v>
                </c:pt>
                <c:pt idx="7">
                  <c:v>42339</c:v>
                </c:pt>
              </c:numCache>
            </c:numRef>
          </c:cat>
          <c:val>
            <c:numRef>
              <c:f>PATENTSCOPE!$B$2:$I$2</c:f>
              <c:numCache>
                <c:formatCode>#,##0</c:formatCode>
                <c:ptCount val="8"/>
                <c:pt idx="0">
                  <c:v>2392506</c:v>
                </c:pt>
                <c:pt idx="1">
                  <c:v>2461282</c:v>
                </c:pt>
                <c:pt idx="2">
                  <c:v>2514010</c:v>
                </c:pt>
                <c:pt idx="3">
                  <c:v>2571054</c:v>
                </c:pt>
                <c:pt idx="4">
                  <c:v>2613672</c:v>
                </c:pt>
                <c:pt idx="5">
                  <c:v>2666953</c:v>
                </c:pt>
                <c:pt idx="6">
                  <c:v>2702260</c:v>
                </c:pt>
                <c:pt idx="7">
                  <c:v>2771982</c:v>
                </c:pt>
              </c:numCache>
            </c:numRef>
          </c:val>
        </c:ser>
        <c:ser>
          <c:idx val="1"/>
          <c:order val="1"/>
          <c:tx>
            <c:strRef>
              <c:f>PATENTSCOPE!$A$3</c:f>
              <c:strCache>
                <c:ptCount val="1"/>
                <c:pt idx="0">
                  <c:v>خلاف معاهدة البراءات</c:v>
                </c:pt>
              </c:strCache>
            </c:strRef>
          </c:tx>
          <c:invertIfNegative val="0"/>
          <c:cat>
            <c:numRef>
              <c:f>PATENTSCOPE!$B$1:$I$1</c:f>
              <c:numCache>
                <c:formatCode>m/d/yyyy</c:formatCode>
                <c:ptCount val="8"/>
                <c:pt idx="0">
                  <c:v>41699</c:v>
                </c:pt>
                <c:pt idx="1">
                  <c:v>41791</c:v>
                </c:pt>
                <c:pt idx="2">
                  <c:v>41883</c:v>
                </c:pt>
                <c:pt idx="3">
                  <c:v>41974</c:v>
                </c:pt>
                <c:pt idx="4">
                  <c:v>42064</c:v>
                </c:pt>
                <c:pt idx="5">
                  <c:v>42156</c:v>
                </c:pt>
                <c:pt idx="6">
                  <c:v>42248</c:v>
                </c:pt>
                <c:pt idx="7">
                  <c:v>42339</c:v>
                </c:pt>
              </c:numCache>
            </c:numRef>
          </c:cat>
          <c:val>
            <c:numRef>
              <c:f>PATENTSCOPE!$B$3:$I$3</c:f>
              <c:numCache>
                <c:formatCode>#,##0</c:formatCode>
                <c:ptCount val="8"/>
                <c:pt idx="0">
                  <c:v>32797121</c:v>
                </c:pt>
                <c:pt idx="1">
                  <c:v>34122863</c:v>
                </c:pt>
                <c:pt idx="2">
                  <c:v>37163236</c:v>
                </c:pt>
                <c:pt idx="3">
                  <c:v>41228001</c:v>
                </c:pt>
                <c:pt idx="4">
                  <c:v>41646680</c:v>
                </c:pt>
                <c:pt idx="5">
                  <c:v>42373047</c:v>
                </c:pt>
                <c:pt idx="6">
                  <c:v>45773270</c:v>
                </c:pt>
                <c:pt idx="7">
                  <c:v>47818407</c:v>
                </c:pt>
              </c:numCache>
            </c:numRef>
          </c:val>
        </c:ser>
        <c:dLbls>
          <c:showLegendKey val="0"/>
          <c:showVal val="0"/>
          <c:showCatName val="0"/>
          <c:showSerName val="0"/>
          <c:showPercent val="0"/>
          <c:showBubbleSize val="0"/>
        </c:dLbls>
        <c:gapWidth val="0"/>
        <c:overlap val="100"/>
        <c:axId val="107865984"/>
        <c:axId val="107867520"/>
      </c:barChart>
      <c:dateAx>
        <c:axId val="107865984"/>
        <c:scaling>
          <c:orientation val="minMax"/>
          <c:max val="42370"/>
          <c:min val="41699"/>
        </c:scaling>
        <c:delete val="0"/>
        <c:axPos val="b"/>
        <c:numFmt formatCode="[$-10B0000]\ mmmm\ yyyy;@" sourceLinked="0"/>
        <c:majorTickMark val="out"/>
        <c:minorTickMark val="none"/>
        <c:tickLblPos val="nextTo"/>
        <c:txPr>
          <a:bodyPr rot="-2880000"/>
          <a:lstStyle/>
          <a:p>
            <a:pPr>
              <a:defRPr/>
            </a:pPr>
            <a:endParaRPr lang="en-US"/>
          </a:p>
        </c:txPr>
        <c:crossAx val="107867520"/>
        <c:crosses val="autoZero"/>
        <c:auto val="0"/>
        <c:lblOffset val="100"/>
        <c:baseTimeUnit val="months"/>
        <c:majorUnit val="3"/>
        <c:majorTimeUnit val="months"/>
      </c:dateAx>
      <c:valAx>
        <c:axId val="107867520"/>
        <c:scaling>
          <c:orientation val="minMax"/>
        </c:scaling>
        <c:delete val="0"/>
        <c:axPos val="l"/>
        <c:majorGridlines/>
        <c:numFmt formatCode="#,##0_);\(#,##0\)" sourceLinked="0"/>
        <c:majorTickMark val="out"/>
        <c:minorTickMark val="none"/>
        <c:tickLblPos val="nextTo"/>
        <c:crossAx val="107865984"/>
        <c:crosses val="autoZero"/>
        <c:crossBetween val="between"/>
        <c:dispUnits>
          <c:builtInUnit val="millions"/>
          <c:dispUnitsLbl>
            <c:layout>
              <c:manualLayout>
                <c:xMode val="edge"/>
                <c:yMode val="edge"/>
                <c:x val="1.666663710331151E-2"/>
                <c:y val="0.32750791460345807"/>
              </c:manualLayout>
            </c:layout>
            <c:tx>
              <c:rich>
                <a:bodyPr/>
                <a:lstStyle/>
                <a:p>
                  <a:pPr>
                    <a:defRPr/>
                  </a:pPr>
                  <a:r>
                    <a:rPr lang="ar-SA"/>
                    <a:t>بالملايين</a:t>
                  </a:r>
                  <a:endParaRPr lang="en-US"/>
                </a:p>
              </c:rich>
            </c:tx>
          </c:dispUnitsLbl>
        </c:dispUnits>
      </c:valAx>
    </c:plotArea>
    <c:legend>
      <c:legendPos val="t"/>
      <c:layout/>
      <c:overlay val="0"/>
    </c:legend>
    <c:plotVisOnly val="1"/>
    <c:dispBlanksAs val="gap"/>
    <c:showDLblsOverMax val="0"/>
  </c:chart>
  <c:txPr>
    <a:bodyPr/>
    <a:lstStyle/>
    <a:p>
      <a:pPr>
        <a:defRPr sz="16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percentStacked"/>
        <c:varyColors val="0"/>
        <c:ser>
          <c:idx val="0"/>
          <c:order val="0"/>
          <c:tx>
            <c:strRef>
              <c:f>'Program 23 Geo Diversity'!$A$10</c:f>
              <c:strCache>
                <c:ptCount val="1"/>
                <c:pt idx="0">
                  <c:v>أوروبا الغربية</c:v>
                </c:pt>
              </c:strCache>
            </c:strRef>
          </c:tx>
          <c:invertIfNegative val="0"/>
          <c:dLbls>
            <c:dLbl>
              <c:idx val="0"/>
              <c:layout>
                <c:manualLayout>
                  <c:x val="-1.1560390211339189E-2"/>
                  <c:y val="1.2213738500332432E-2"/>
                </c:manualLayout>
              </c:layout>
              <c:showLegendKey val="0"/>
              <c:showVal val="1"/>
              <c:showCatName val="0"/>
              <c:showSerName val="0"/>
              <c:showPercent val="0"/>
              <c:showBubbleSize val="0"/>
            </c:dLbl>
            <c:dLbl>
              <c:idx val="1"/>
              <c:layout>
                <c:manualLayout>
                  <c:x val="-9.6337596528757608E-3"/>
                  <c:y val="0"/>
                </c:manualLayout>
              </c:layout>
              <c:showLegendKey val="0"/>
              <c:showVal val="1"/>
              <c:showCatName val="0"/>
              <c:showSerName val="0"/>
              <c:showPercent val="0"/>
              <c:showBubbleSize val="0"/>
            </c:dLbl>
            <c:dLbl>
              <c:idx val="2"/>
              <c:layout>
                <c:manualLayout>
                  <c:x val="-9.6337596528757608E-3"/>
                  <c:y val="-3.205705643131872E-7"/>
                </c:manualLayout>
              </c:layout>
              <c:showLegendKey val="0"/>
              <c:showVal val="1"/>
              <c:showCatName val="0"/>
              <c:showSerName val="0"/>
              <c:showPercent val="0"/>
              <c:showBubbleSize val="0"/>
            </c:dLbl>
            <c:dLbl>
              <c:idx val="3"/>
              <c:layout>
                <c:manualLayout>
                  <c:x val="-9.6336079377361064E-3"/>
                  <c:y val="-4.071246166777477E-3"/>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numRef>
              <c:f>'Program 23 Geo Diversity'!$B$9:$E$9</c:f>
              <c:numCache>
                <c:formatCode>General</c:formatCode>
                <c:ptCount val="4"/>
                <c:pt idx="0">
                  <c:v>2012</c:v>
                </c:pt>
                <c:pt idx="1">
                  <c:v>2013</c:v>
                </c:pt>
                <c:pt idx="2">
                  <c:v>2014</c:v>
                </c:pt>
                <c:pt idx="3">
                  <c:v>2015</c:v>
                </c:pt>
              </c:numCache>
            </c:numRef>
          </c:cat>
          <c:val>
            <c:numRef>
              <c:f>'Program 23 Geo Diversity'!$B$10:$E$10</c:f>
              <c:numCache>
                <c:formatCode>0.0%</c:formatCode>
                <c:ptCount val="4"/>
                <c:pt idx="0">
                  <c:v>0.51200000000000001</c:v>
                </c:pt>
                <c:pt idx="1">
                  <c:v>0.51</c:v>
                </c:pt>
                <c:pt idx="2">
                  <c:v>0.51200000000000001</c:v>
                </c:pt>
                <c:pt idx="3">
                  <c:v>0.495</c:v>
                </c:pt>
              </c:numCache>
            </c:numRef>
          </c:val>
        </c:ser>
        <c:ser>
          <c:idx val="1"/>
          <c:order val="1"/>
          <c:tx>
            <c:strRef>
              <c:f>'Program 23 Geo Diversity'!$A$11</c:f>
              <c:strCache>
                <c:ptCount val="1"/>
                <c:pt idx="0">
                  <c:v>أمريكا الشمالية</c:v>
                </c:pt>
              </c:strCache>
            </c:strRef>
          </c:tx>
          <c:invertIfNegative val="0"/>
          <c:dLbls>
            <c:dLbl>
              <c:idx val="0"/>
              <c:layout>
                <c:manualLayout>
                  <c:x val="-9.6337596528756897E-3"/>
                  <c:y val="8.1424923335549539E-3"/>
                </c:manualLayout>
              </c:layout>
              <c:showLegendKey val="0"/>
              <c:showVal val="1"/>
              <c:showCatName val="0"/>
              <c:showSerName val="0"/>
              <c:showPercent val="0"/>
              <c:showBubbleSize val="0"/>
            </c:dLbl>
            <c:dLbl>
              <c:idx val="1"/>
              <c:layout>
                <c:manualLayout>
                  <c:x val="-9.6337596528757608E-3"/>
                  <c:y val="4.071246166777477E-3"/>
                </c:manualLayout>
              </c:layout>
              <c:showLegendKey val="0"/>
              <c:showVal val="1"/>
              <c:showCatName val="0"/>
              <c:showSerName val="0"/>
              <c:showPercent val="0"/>
              <c:showBubbleSize val="0"/>
            </c:dLbl>
            <c:dLbl>
              <c:idx val="2"/>
              <c:layout>
                <c:manualLayout>
                  <c:x val="-7.7069773792726778E-3"/>
                  <c:y val="8.1424923335549539E-3"/>
                </c:manualLayout>
              </c:layout>
              <c:showLegendKey val="0"/>
              <c:showVal val="1"/>
              <c:showCatName val="0"/>
              <c:showSerName val="0"/>
              <c:showPercent val="0"/>
              <c:showBubbleSize val="0"/>
            </c:dLbl>
            <c:dLbl>
              <c:idx val="3"/>
              <c:layout>
                <c:manualLayout>
                  <c:x val="-1.1560541926478844E-2"/>
                  <c:y val="1.6284984667109908E-2"/>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numRef>
              <c:f>'Program 23 Geo Diversity'!$B$9:$E$9</c:f>
              <c:numCache>
                <c:formatCode>General</c:formatCode>
                <c:ptCount val="4"/>
                <c:pt idx="0">
                  <c:v>2012</c:v>
                </c:pt>
                <c:pt idx="1">
                  <c:v>2013</c:v>
                </c:pt>
                <c:pt idx="2">
                  <c:v>2014</c:v>
                </c:pt>
                <c:pt idx="3">
                  <c:v>2015</c:v>
                </c:pt>
              </c:numCache>
            </c:numRef>
          </c:cat>
          <c:val>
            <c:numRef>
              <c:f>'Program 23 Geo Diversity'!$B$11:$E$11</c:f>
              <c:numCache>
                <c:formatCode>0.0%</c:formatCode>
                <c:ptCount val="4"/>
                <c:pt idx="0">
                  <c:v>0.08</c:v>
                </c:pt>
                <c:pt idx="1">
                  <c:v>8.2000000000000003E-2</c:v>
                </c:pt>
                <c:pt idx="2">
                  <c:v>8.4000000000000005E-2</c:v>
                </c:pt>
                <c:pt idx="3">
                  <c:v>0.09</c:v>
                </c:pt>
              </c:numCache>
            </c:numRef>
          </c:val>
        </c:ser>
        <c:ser>
          <c:idx val="2"/>
          <c:order val="2"/>
          <c:tx>
            <c:strRef>
              <c:f>'Program 23 Geo Diversity'!$A$12</c:f>
              <c:strCache>
                <c:ptCount val="1"/>
                <c:pt idx="0">
                  <c:v>الشرق الأوسط</c:v>
                </c:pt>
              </c:strCache>
            </c:strRef>
          </c:tx>
          <c:invertIfNegative val="0"/>
          <c:dLbls>
            <c:dLbl>
              <c:idx val="0"/>
              <c:layout>
                <c:manualLayout>
                  <c:x val="-9.6336079377361064E-3"/>
                  <c:y val="0"/>
                </c:manualLayout>
              </c:layout>
              <c:showLegendKey val="0"/>
              <c:showVal val="1"/>
              <c:showCatName val="0"/>
              <c:showSerName val="0"/>
              <c:showPercent val="0"/>
              <c:showBubbleSize val="0"/>
            </c:dLbl>
            <c:dLbl>
              <c:idx val="1"/>
              <c:layout>
                <c:manualLayout>
                  <c:x val="-9.6337596528757608E-3"/>
                  <c:y val="0"/>
                </c:manualLayout>
              </c:layout>
              <c:showLegendKey val="0"/>
              <c:showVal val="1"/>
              <c:showCatName val="0"/>
              <c:showSerName val="0"/>
              <c:showPercent val="0"/>
              <c:showBubbleSize val="0"/>
            </c:dLbl>
            <c:dLbl>
              <c:idx val="2"/>
              <c:layout>
                <c:manualLayout>
                  <c:x val="-1.1560390211339189E-2"/>
                  <c:y val="0"/>
                </c:manualLayout>
              </c:layout>
              <c:showLegendKey val="0"/>
              <c:showVal val="1"/>
              <c:showCatName val="0"/>
              <c:showSerName val="0"/>
              <c:showPercent val="0"/>
              <c:showBubbleSize val="0"/>
            </c:dLbl>
            <c:dLbl>
              <c:idx val="3"/>
              <c:layout>
                <c:manualLayout>
                  <c:x val="-1.1560390211339189E-2"/>
                  <c:y val="0"/>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numRef>
              <c:f>'Program 23 Geo Diversity'!$B$9:$E$9</c:f>
              <c:numCache>
                <c:formatCode>General</c:formatCode>
                <c:ptCount val="4"/>
                <c:pt idx="0">
                  <c:v>2012</c:v>
                </c:pt>
                <c:pt idx="1">
                  <c:v>2013</c:v>
                </c:pt>
                <c:pt idx="2">
                  <c:v>2014</c:v>
                </c:pt>
                <c:pt idx="3">
                  <c:v>2015</c:v>
                </c:pt>
              </c:numCache>
            </c:numRef>
          </c:cat>
          <c:val>
            <c:numRef>
              <c:f>'Program 23 Geo Diversity'!$B$12:$E$12</c:f>
              <c:numCache>
                <c:formatCode>0.0%</c:formatCode>
                <c:ptCount val="4"/>
                <c:pt idx="0">
                  <c:v>1.2E-2</c:v>
                </c:pt>
                <c:pt idx="1">
                  <c:v>1.2E-2</c:v>
                </c:pt>
                <c:pt idx="2">
                  <c:v>1.2E-2</c:v>
                </c:pt>
                <c:pt idx="3">
                  <c:v>1.0999999999999999E-2</c:v>
                </c:pt>
              </c:numCache>
            </c:numRef>
          </c:val>
        </c:ser>
        <c:ser>
          <c:idx val="3"/>
          <c:order val="3"/>
          <c:tx>
            <c:strRef>
              <c:f>'Program 23 Geo Diversity'!$A$13</c:f>
              <c:strCache>
                <c:ptCount val="1"/>
                <c:pt idx="0">
                  <c:v>أمريكا اللاتينية والكاريبي</c:v>
                </c:pt>
              </c:strCache>
            </c:strRef>
          </c:tx>
          <c:invertIfNegative val="0"/>
          <c:dLbls>
            <c:dLbl>
              <c:idx val="0"/>
              <c:layout>
                <c:manualLayout>
                  <c:x val="-9.6336079377361064E-3"/>
                  <c:y val="-1.2214059070896744E-2"/>
                </c:manualLayout>
              </c:layout>
              <c:showLegendKey val="0"/>
              <c:showVal val="1"/>
              <c:showCatName val="0"/>
              <c:showSerName val="0"/>
              <c:showPercent val="0"/>
              <c:showBubbleSize val="0"/>
            </c:dLbl>
            <c:dLbl>
              <c:idx val="1"/>
              <c:layout>
                <c:manualLayout>
                  <c:x val="-9.6337596528757608E-3"/>
                  <c:y val="-8.1424923335549539E-3"/>
                </c:manualLayout>
              </c:layout>
              <c:showLegendKey val="0"/>
              <c:showVal val="1"/>
              <c:showCatName val="0"/>
              <c:showSerName val="0"/>
              <c:showPercent val="0"/>
              <c:showBubbleSize val="0"/>
            </c:dLbl>
            <c:dLbl>
              <c:idx val="2"/>
              <c:layout>
                <c:manualLayout>
                  <c:x val="-9.6336079377361064E-3"/>
                  <c:y val="-4.071246166777477E-3"/>
                </c:manualLayout>
              </c:layout>
              <c:showLegendKey val="0"/>
              <c:showVal val="1"/>
              <c:showCatName val="0"/>
              <c:showSerName val="0"/>
              <c:showPercent val="0"/>
              <c:showBubbleSize val="0"/>
            </c:dLbl>
            <c:dLbl>
              <c:idx val="3"/>
              <c:layout>
                <c:manualLayout>
                  <c:x val="-9.6337596528757608E-3"/>
                  <c:y val="-8.1424923335549539E-3"/>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numRef>
              <c:f>'Program 23 Geo Diversity'!$B$9:$E$9</c:f>
              <c:numCache>
                <c:formatCode>General</c:formatCode>
                <c:ptCount val="4"/>
                <c:pt idx="0">
                  <c:v>2012</c:v>
                </c:pt>
                <c:pt idx="1">
                  <c:v>2013</c:v>
                </c:pt>
                <c:pt idx="2">
                  <c:v>2014</c:v>
                </c:pt>
                <c:pt idx="3">
                  <c:v>2015</c:v>
                </c:pt>
              </c:numCache>
            </c:numRef>
          </c:cat>
          <c:val>
            <c:numRef>
              <c:f>'Program 23 Geo Diversity'!$B$13:$E$13</c:f>
              <c:numCache>
                <c:formatCode>0.0%</c:formatCode>
                <c:ptCount val="4"/>
                <c:pt idx="0">
                  <c:v>8.5999999999999993E-2</c:v>
                </c:pt>
                <c:pt idx="1">
                  <c:v>8.5999999999999993E-2</c:v>
                </c:pt>
                <c:pt idx="2">
                  <c:v>8.2000000000000003E-2</c:v>
                </c:pt>
                <c:pt idx="3">
                  <c:v>8.4000000000000005E-2</c:v>
                </c:pt>
              </c:numCache>
            </c:numRef>
          </c:val>
        </c:ser>
        <c:ser>
          <c:idx val="4"/>
          <c:order val="4"/>
          <c:tx>
            <c:strRef>
              <c:f>'Program 23 Geo Diversity'!$A$14</c:f>
              <c:strCache>
                <c:ptCount val="1"/>
                <c:pt idx="0">
                  <c:v>أوروبا الشرقية والوسطى وآسيا الوسطى</c:v>
                </c:pt>
              </c:strCache>
            </c:strRef>
          </c:tx>
          <c:invertIfNegative val="0"/>
          <c:dLbls>
            <c:dLbl>
              <c:idx val="0"/>
              <c:layout>
                <c:manualLayout>
                  <c:x val="-9.6336079377361064E-3"/>
                  <c:y val="0"/>
                </c:manualLayout>
              </c:layout>
              <c:showLegendKey val="0"/>
              <c:showVal val="1"/>
              <c:showCatName val="0"/>
              <c:showSerName val="0"/>
              <c:showPercent val="0"/>
              <c:showBubbleSize val="0"/>
            </c:dLbl>
            <c:dLbl>
              <c:idx val="1"/>
              <c:layout>
                <c:manualLayout>
                  <c:x val="-1.1560541926478844E-2"/>
                  <c:y val="0"/>
                </c:manualLayout>
              </c:layout>
              <c:showLegendKey val="0"/>
              <c:showVal val="1"/>
              <c:showCatName val="0"/>
              <c:showSerName val="0"/>
              <c:showPercent val="0"/>
              <c:showBubbleSize val="0"/>
            </c:dLbl>
            <c:dLbl>
              <c:idx val="2"/>
              <c:layout>
                <c:manualLayout>
                  <c:x val="-7.7068256641330242E-3"/>
                  <c:y val="0"/>
                </c:manualLayout>
              </c:layout>
              <c:showLegendKey val="0"/>
              <c:showVal val="1"/>
              <c:showCatName val="0"/>
              <c:showSerName val="0"/>
              <c:showPercent val="0"/>
              <c:showBubbleSize val="0"/>
            </c:dLbl>
            <c:dLbl>
              <c:idx val="3"/>
              <c:layout>
                <c:manualLayout>
                  <c:x val="-1.1560390211339189E-2"/>
                  <c:y val="0"/>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numRef>
              <c:f>'Program 23 Geo Diversity'!$B$9:$E$9</c:f>
              <c:numCache>
                <c:formatCode>General</c:formatCode>
                <c:ptCount val="4"/>
                <c:pt idx="0">
                  <c:v>2012</c:v>
                </c:pt>
                <c:pt idx="1">
                  <c:v>2013</c:v>
                </c:pt>
                <c:pt idx="2">
                  <c:v>2014</c:v>
                </c:pt>
                <c:pt idx="3">
                  <c:v>2015</c:v>
                </c:pt>
              </c:numCache>
            </c:numRef>
          </c:cat>
          <c:val>
            <c:numRef>
              <c:f>'Program 23 Geo Diversity'!$B$14:$E$14</c:f>
              <c:numCache>
                <c:formatCode>0.0%</c:formatCode>
                <c:ptCount val="4"/>
                <c:pt idx="0">
                  <c:v>6.2E-2</c:v>
                </c:pt>
                <c:pt idx="1">
                  <c:v>5.8999999999999997E-2</c:v>
                </c:pt>
                <c:pt idx="2">
                  <c:v>6.7000000000000004E-2</c:v>
                </c:pt>
                <c:pt idx="3">
                  <c:v>6.9000000000000006E-2</c:v>
                </c:pt>
              </c:numCache>
            </c:numRef>
          </c:val>
        </c:ser>
        <c:ser>
          <c:idx val="5"/>
          <c:order val="5"/>
          <c:tx>
            <c:strRef>
              <c:f>'Program 23 Geo Diversity'!$A$15</c:f>
              <c:strCache>
                <c:ptCount val="1"/>
                <c:pt idx="0">
                  <c:v>آسيا والمحيط الهادئ</c:v>
                </c:pt>
              </c:strCache>
            </c:strRef>
          </c:tx>
          <c:invertIfNegative val="0"/>
          <c:dLbls>
            <c:dLbl>
              <c:idx val="0"/>
              <c:layout>
                <c:manualLayout>
                  <c:x val="-9.6337596528758319E-3"/>
                  <c:y val="0"/>
                </c:manualLayout>
              </c:layout>
              <c:showLegendKey val="0"/>
              <c:showVal val="1"/>
              <c:showCatName val="0"/>
              <c:showSerName val="0"/>
              <c:showPercent val="0"/>
              <c:showBubbleSize val="0"/>
            </c:dLbl>
            <c:dLbl>
              <c:idx val="1"/>
              <c:layout>
                <c:manualLayout>
                  <c:x val="-9.6337596528757608E-3"/>
                  <c:y val="-4.071246166777477E-3"/>
                </c:manualLayout>
              </c:layout>
              <c:showLegendKey val="0"/>
              <c:showVal val="1"/>
              <c:showCatName val="0"/>
              <c:showSerName val="0"/>
              <c:showPercent val="0"/>
              <c:showBubbleSize val="0"/>
            </c:dLbl>
            <c:dLbl>
              <c:idx val="2"/>
              <c:layout>
                <c:manualLayout>
                  <c:x val="-9.6336079377361064E-3"/>
                  <c:y val="0"/>
                </c:manualLayout>
              </c:layout>
              <c:showLegendKey val="0"/>
              <c:showVal val="1"/>
              <c:showCatName val="0"/>
              <c:showSerName val="0"/>
              <c:showPercent val="0"/>
              <c:showBubbleSize val="0"/>
            </c:dLbl>
            <c:dLbl>
              <c:idx val="3"/>
              <c:layout>
                <c:manualLayout>
                  <c:x val="-9.6336079377361064E-3"/>
                  <c:y val="4.071246166777477E-3"/>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numRef>
              <c:f>'Program 23 Geo Diversity'!$B$9:$E$9</c:f>
              <c:numCache>
                <c:formatCode>General</c:formatCode>
                <c:ptCount val="4"/>
                <c:pt idx="0">
                  <c:v>2012</c:v>
                </c:pt>
                <c:pt idx="1">
                  <c:v>2013</c:v>
                </c:pt>
                <c:pt idx="2">
                  <c:v>2014</c:v>
                </c:pt>
                <c:pt idx="3">
                  <c:v>2015</c:v>
                </c:pt>
              </c:numCache>
            </c:numRef>
          </c:cat>
          <c:val>
            <c:numRef>
              <c:f>'Program 23 Geo Diversity'!$B$15:$E$15</c:f>
              <c:numCache>
                <c:formatCode>0.0%</c:formatCode>
                <c:ptCount val="4"/>
                <c:pt idx="0">
                  <c:v>0.13700000000000001</c:v>
                </c:pt>
                <c:pt idx="1">
                  <c:v>0.13700000000000001</c:v>
                </c:pt>
                <c:pt idx="2">
                  <c:v>0.13500000000000001</c:v>
                </c:pt>
                <c:pt idx="3">
                  <c:v>0.14299999999999999</c:v>
                </c:pt>
              </c:numCache>
            </c:numRef>
          </c:val>
        </c:ser>
        <c:ser>
          <c:idx val="6"/>
          <c:order val="6"/>
          <c:tx>
            <c:strRef>
              <c:f>'Program 23 Geo Diversity'!$A$16</c:f>
              <c:strCache>
                <c:ptCount val="1"/>
                <c:pt idx="0">
                  <c:v>أفريقيا</c:v>
                </c:pt>
              </c:strCache>
            </c:strRef>
          </c:tx>
          <c:invertIfNegative val="0"/>
          <c:dLbls>
            <c:dLbl>
              <c:idx val="0"/>
              <c:layout>
                <c:manualLayout>
                  <c:x val="-1.5414106473685079E-2"/>
                  <c:y val="1.2213738500332413E-2"/>
                </c:manualLayout>
              </c:layout>
              <c:showLegendKey val="0"/>
              <c:showVal val="1"/>
              <c:showCatName val="0"/>
              <c:showSerName val="0"/>
              <c:showPercent val="0"/>
              <c:showBubbleSize val="0"/>
            </c:dLbl>
            <c:dLbl>
              <c:idx val="1"/>
              <c:layout>
                <c:manualLayout>
                  <c:x val="-1.1560541926478844E-2"/>
                  <c:y val="0"/>
                </c:manualLayout>
              </c:layout>
              <c:showLegendKey val="0"/>
              <c:showVal val="1"/>
              <c:showCatName val="0"/>
              <c:showSerName val="0"/>
              <c:showPercent val="0"/>
              <c:showBubbleSize val="0"/>
            </c:dLbl>
            <c:dLbl>
              <c:idx val="2"/>
              <c:layout>
                <c:manualLayout>
                  <c:x val="-7.7068256641330242E-3"/>
                  <c:y val="8.1424923335549539E-3"/>
                </c:manualLayout>
              </c:layout>
              <c:showLegendKey val="0"/>
              <c:showVal val="1"/>
              <c:showCatName val="0"/>
              <c:showSerName val="0"/>
              <c:showPercent val="0"/>
              <c:showBubbleSize val="0"/>
            </c:dLbl>
            <c:dLbl>
              <c:idx val="3"/>
              <c:layout>
                <c:manualLayout>
                  <c:x val="-7.7068256641330242E-3"/>
                  <c:y val="0"/>
                </c:manualLayout>
              </c:layout>
              <c:showLegendKey val="0"/>
              <c:showVal val="1"/>
              <c:showCatName val="0"/>
              <c:showSerName val="0"/>
              <c:showPercent val="0"/>
              <c:showBubbleSize val="0"/>
            </c:dLbl>
            <c:txPr>
              <a:bodyPr/>
              <a:lstStyle/>
              <a:p>
                <a:pPr>
                  <a:defRPr>
                    <a:solidFill>
                      <a:schemeClr val="bg1"/>
                    </a:solidFill>
                  </a:defRPr>
                </a:pPr>
                <a:endParaRPr lang="en-US"/>
              </a:p>
            </c:txPr>
            <c:showLegendKey val="0"/>
            <c:showVal val="1"/>
            <c:showCatName val="0"/>
            <c:showSerName val="0"/>
            <c:showPercent val="0"/>
            <c:showBubbleSize val="0"/>
            <c:showLeaderLines val="0"/>
          </c:dLbls>
          <c:cat>
            <c:numRef>
              <c:f>'Program 23 Geo Diversity'!$B$9:$E$9</c:f>
              <c:numCache>
                <c:formatCode>General</c:formatCode>
                <c:ptCount val="4"/>
                <c:pt idx="0">
                  <c:v>2012</c:v>
                </c:pt>
                <c:pt idx="1">
                  <c:v>2013</c:v>
                </c:pt>
                <c:pt idx="2">
                  <c:v>2014</c:v>
                </c:pt>
                <c:pt idx="3">
                  <c:v>2015</c:v>
                </c:pt>
              </c:numCache>
            </c:numRef>
          </c:cat>
          <c:val>
            <c:numRef>
              <c:f>'Program 23 Geo Diversity'!$B$16:$E$16</c:f>
              <c:numCache>
                <c:formatCode>0.0%</c:formatCode>
                <c:ptCount val="4"/>
                <c:pt idx="0">
                  <c:v>0.11</c:v>
                </c:pt>
                <c:pt idx="1">
                  <c:v>0.114</c:v>
                </c:pt>
                <c:pt idx="2">
                  <c:v>0.108</c:v>
                </c:pt>
                <c:pt idx="3">
                  <c:v>0.107</c:v>
                </c:pt>
              </c:numCache>
            </c:numRef>
          </c:val>
        </c:ser>
        <c:dLbls>
          <c:showLegendKey val="0"/>
          <c:showVal val="1"/>
          <c:showCatName val="0"/>
          <c:showSerName val="0"/>
          <c:showPercent val="0"/>
          <c:showBubbleSize val="0"/>
        </c:dLbls>
        <c:gapWidth val="150"/>
        <c:shape val="cylinder"/>
        <c:axId val="109789184"/>
        <c:axId val="109790720"/>
        <c:axId val="0"/>
      </c:bar3DChart>
      <c:catAx>
        <c:axId val="109789184"/>
        <c:scaling>
          <c:orientation val="maxMin"/>
        </c:scaling>
        <c:delete val="0"/>
        <c:axPos val="b"/>
        <c:numFmt formatCode="General" sourceLinked="1"/>
        <c:majorTickMark val="out"/>
        <c:minorTickMark val="none"/>
        <c:tickLblPos val="nextTo"/>
        <c:crossAx val="109790720"/>
        <c:crosses val="autoZero"/>
        <c:auto val="1"/>
        <c:lblAlgn val="ctr"/>
        <c:lblOffset val="100"/>
        <c:noMultiLvlLbl val="0"/>
      </c:catAx>
      <c:valAx>
        <c:axId val="109790720"/>
        <c:scaling>
          <c:orientation val="minMax"/>
        </c:scaling>
        <c:delete val="0"/>
        <c:axPos val="r"/>
        <c:majorGridlines/>
        <c:numFmt formatCode="0%" sourceLinked="1"/>
        <c:majorTickMark val="out"/>
        <c:minorTickMark val="none"/>
        <c:tickLblPos val="nextTo"/>
        <c:crossAx val="109789184"/>
        <c:crosses val="autoZero"/>
        <c:crossBetween val="between"/>
      </c:valAx>
    </c:plotArea>
    <c:legend>
      <c:legendPos val="r"/>
      <c:layout>
        <c:manualLayout>
          <c:xMode val="edge"/>
          <c:yMode val="edge"/>
          <c:x val="0.69679492628894402"/>
          <c:y val="4.9799996024925006E-2"/>
          <c:w val="0.28971765488159523"/>
          <c:h val="0.8596875462823752"/>
        </c:manualLayout>
      </c:layout>
      <c:overlay val="0"/>
      <c:txPr>
        <a:bodyPr/>
        <a:lstStyle/>
        <a:p>
          <a:pPr>
            <a:defRPr sz="1400">
              <a:latin typeface="Arabic Typesetting" panose="03020402040406030203" pitchFamily="66" charset="-78"/>
              <a:cs typeface="Arabic Typesetting" panose="03020402040406030203" pitchFamily="66" charset="-78"/>
            </a:defRPr>
          </a:pPr>
          <a:endParaRPr lang="en-US"/>
        </a:p>
      </c:tx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43393510779159"/>
          <c:y val="0.14779765617701918"/>
          <c:w val="0.87105740828806622"/>
          <c:h val="0.5977024912502048"/>
        </c:manualLayout>
      </c:layout>
      <c:lineChart>
        <c:grouping val="standard"/>
        <c:varyColors val="0"/>
        <c:ser>
          <c:idx val="0"/>
          <c:order val="0"/>
          <c:tx>
            <c:strRef>
              <c:f>Languages!$B$43</c:f>
              <c:strCache>
                <c:ptCount val="1"/>
                <c:pt idx="0">
                  <c:v>اليابانية</c:v>
                </c:pt>
              </c:strCache>
            </c:strRef>
          </c:tx>
          <c:spPr>
            <a:ln w="12700">
              <a:solidFill>
                <a:srgbClr val="00008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Languages!$F$43:$Q$43</c:f>
              <c:numCache>
                <c:formatCode>#,##0</c:formatCode>
                <c:ptCount val="12"/>
                <c:pt idx="0">
                  <c:v>18263</c:v>
                </c:pt>
                <c:pt idx="1">
                  <c:v>22150</c:v>
                </c:pt>
                <c:pt idx="2">
                  <c:v>24293</c:v>
                </c:pt>
                <c:pt idx="3">
                  <c:v>25308</c:v>
                </c:pt>
                <c:pt idx="4">
                  <c:v>26454</c:v>
                </c:pt>
                <c:pt idx="5">
                  <c:v>27686</c:v>
                </c:pt>
                <c:pt idx="6">
                  <c:v>29733</c:v>
                </c:pt>
                <c:pt idx="7">
                  <c:v>35832</c:v>
                </c:pt>
                <c:pt idx="8">
                  <c:v>40488</c:v>
                </c:pt>
                <c:pt idx="9" formatCode="_-* #,##0_-;\-* #,##0_-;_-* &quot;-&quot;??_-;_-@_-">
                  <c:v>41254</c:v>
                </c:pt>
                <c:pt idx="10" formatCode="General">
                  <c:v>39848</c:v>
                </c:pt>
                <c:pt idx="11" formatCode="_-* #,##0_-;\-* #,##0_-;_-* &quot;-&quot;??_-;_-@_-">
                  <c:v>41895</c:v>
                </c:pt>
              </c:numCache>
            </c:numRef>
          </c:val>
          <c:smooth val="0"/>
        </c:ser>
        <c:ser>
          <c:idx val="1"/>
          <c:order val="1"/>
          <c:tx>
            <c:strRef>
              <c:f>Languages!$B$44</c:f>
              <c:strCache>
                <c:ptCount val="1"/>
                <c:pt idx="0">
                  <c:v>الصينية</c:v>
                </c:pt>
              </c:strCache>
            </c:strRef>
          </c:tx>
          <c:spPr>
            <a:ln w="12700">
              <a:solidFill>
                <a:srgbClr val="FF00FF"/>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Languages!$F$44:$Q$44</c:f>
              <c:numCache>
                <c:formatCode>#,##0</c:formatCode>
                <c:ptCount val="12"/>
                <c:pt idx="0">
                  <c:v>1428</c:v>
                </c:pt>
                <c:pt idx="1">
                  <c:v>2232</c:v>
                </c:pt>
                <c:pt idx="2">
                  <c:v>3475</c:v>
                </c:pt>
                <c:pt idx="3">
                  <c:v>4819</c:v>
                </c:pt>
                <c:pt idx="4">
                  <c:v>5491</c:v>
                </c:pt>
                <c:pt idx="5">
                  <c:v>7250</c:v>
                </c:pt>
                <c:pt idx="6">
                  <c:v>11398</c:v>
                </c:pt>
                <c:pt idx="7">
                  <c:v>15306</c:v>
                </c:pt>
                <c:pt idx="8">
                  <c:v>17287</c:v>
                </c:pt>
                <c:pt idx="9" formatCode="_-* #,##0_-;\-* #,##0_-;_-* &quot;-&quot;??_-;_-@_-">
                  <c:v>19311</c:v>
                </c:pt>
                <c:pt idx="10" formatCode="General">
                  <c:v>22931</c:v>
                </c:pt>
                <c:pt idx="11" formatCode="_-* #,##0_-;\-* #,##0_-;_-* &quot;-&quot;??_-;_-@_-">
                  <c:v>27072</c:v>
                </c:pt>
              </c:numCache>
            </c:numRef>
          </c:val>
          <c:smooth val="0"/>
        </c:ser>
        <c:ser>
          <c:idx val="2"/>
          <c:order val="2"/>
          <c:tx>
            <c:strRef>
              <c:f>Languages!$B$45</c:f>
              <c:strCache>
                <c:ptCount val="1"/>
                <c:pt idx="0">
                  <c:v>الألمانية</c:v>
                </c:pt>
              </c:strCache>
            </c:strRef>
          </c:tx>
          <c:spPr>
            <a:ln w="12700">
              <a:solidFill>
                <a:srgbClr val="FF000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Languages!$F$45:$Q$45</c:f>
              <c:numCache>
                <c:formatCode>#,##0</c:formatCode>
                <c:ptCount val="12"/>
                <c:pt idx="0">
                  <c:v>14605</c:v>
                </c:pt>
                <c:pt idx="1">
                  <c:v>15870</c:v>
                </c:pt>
                <c:pt idx="2">
                  <c:v>16728</c:v>
                </c:pt>
                <c:pt idx="3">
                  <c:v>17771</c:v>
                </c:pt>
                <c:pt idx="4">
                  <c:v>18448</c:v>
                </c:pt>
                <c:pt idx="5">
                  <c:v>16201</c:v>
                </c:pt>
                <c:pt idx="6">
                  <c:v>16823</c:v>
                </c:pt>
                <c:pt idx="7">
                  <c:v>17706</c:v>
                </c:pt>
                <c:pt idx="8">
                  <c:v>17432</c:v>
                </c:pt>
                <c:pt idx="9" formatCode="_-* #,##0_-;\-* #,##0_-;_-* &quot;-&quot;??_-;_-@_-">
                  <c:v>16531</c:v>
                </c:pt>
                <c:pt idx="10" formatCode="General">
                  <c:v>16535</c:v>
                </c:pt>
                <c:pt idx="11" formatCode="_-* #,##0_-;\-* #,##0_-;_-* &quot;-&quot;??_-;_-@_-">
                  <c:v>16834</c:v>
                </c:pt>
              </c:numCache>
            </c:numRef>
          </c:val>
          <c:smooth val="0"/>
        </c:ser>
        <c:ser>
          <c:idx val="3"/>
          <c:order val="3"/>
          <c:tx>
            <c:strRef>
              <c:f>Languages!$B$46</c:f>
              <c:strCache>
                <c:ptCount val="1"/>
                <c:pt idx="0">
                  <c:v>الكورية</c:v>
                </c:pt>
              </c:strCache>
            </c:strRef>
          </c:tx>
          <c:spPr>
            <a:ln w="12700">
              <a:solidFill>
                <a:srgbClr val="00CCFF"/>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Languages!$F$46:$Q$46</c:f>
              <c:numCache>
                <c:formatCode>#,##0</c:formatCode>
                <c:ptCount val="12"/>
                <c:pt idx="0">
                  <c:v>2093</c:v>
                </c:pt>
                <c:pt idx="1">
                  <c:v>2667</c:v>
                </c:pt>
                <c:pt idx="2">
                  <c:v>3544</c:v>
                </c:pt>
                <c:pt idx="3">
                  <c:v>4594</c:v>
                </c:pt>
                <c:pt idx="4">
                  <c:v>4989</c:v>
                </c:pt>
                <c:pt idx="5">
                  <c:v>5806</c:v>
                </c:pt>
                <c:pt idx="6">
                  <c:v>7337</c:v>
                </c:pt>
                <c:pt idx="7">
                  <c:v>8399</c:v>
                </c:pt>
                <c:pt idx="8">
                  <c:v>9631</c:v>
                </c:pt>
                <c:pt idx="9" formatCode="_-* #,##0_-;\-* #,##0_-;_-* &quot;-&quot;??_-;_-@_-">
                  <c:v>10229</c:v>
                </c:pt>
                <c:pt idx="10" formatCode="General">
                  <c:v>10894</c:v>
                </c:pt>
                <c:pt idx="11" formatCode="_-* #,##0_-;\-* #,##0_-;_-* &quot;-&quot;??_-;_-@_-">
                  <c:v>12530</c:v>
                </c:pt>
              </c:numCache>
            </c:numRef>
          </c:val>
          <c:smooth val="0"/>
        </c:ser>
        <c:ser>
          <c:idx val="4"/>
          <c:order val="4"/>
          <c:tx>
            <c:strRef>
              <c:f>Languages!$B$47</c:f>
              <c:strCache>
                <c:ptCount val="1"/>
                <c:pt idx="0">
                  <c:v>الفرنسية</c:v>
                </c:pt>
              </c:strCache>
            </c:strRef>
          </c:tx>
          <c:spPr>
            <a:ln w="12700">
              <a:solidFill>
                <a:srgbClr val="80008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Languages!$F$47:$Q$47</c:f>
              <c:numCache>
                <c:formatCode>#,##0</c:formatCode>
                <c:ptCount val="12"/>
                <c:pt idx="0">
                  <c:v>4505</c:v>
                </c:pt>
                <c:pt idx="1">
                  <c:v>4867</c:v>
                </c:pt>
                <c:pt idx="2">
                  <c:v>5168</c:v>
                </c:pt>
                <c:pt idx="3">
                  <c:v>5308</c:v>
                </c:pt>
                <c:pt idx="4">
                  <c:v>5416</c:v>
                </c:pt>
                <c:pt idx="5">
                  <c:v>5513</c:v>
                </c:pt>
                <c:pt idx="6">
                  <c:v>5498</c:v>
                </c:pt>
                <c:pt idx="7">
                  <c:v>5715</c:v>
                </c:pt>
                <c:pt idx="8">
                  <c:v>5891</c:v>
                </c:pt>
                <c:pt idx="9" formatCode="_-* #,##0_-;\-* #,##0_-;_-* &quot;-&quot;??_-;_-@_-">
                  <c:v>6158</c:v>
                </c:pt>
                <c:pt idx="10" formatCode="General">
                  <c:v>6468</c:v>
                </c:pt>
                <c:pt idx="11" formatCode="_-* #,##0_-;\-* #,##0_-;_-* &quot;-&quot;??_-;_-@_-">
                  <c:v>6433</c:v>
                </c:pt>
              </c:numCache>
            </c:numRef>
          </c:val>
          <c:smooth val="0"/>
        </c:ser>
        <c:ser>
          <c:idx val="5"/>
          <c:order val="5"/>
          <c:tx>
            <c:strRef>
              <c:f>Languages!$B$48</c:f>
              <c:strCache>
                <c:ptCount val="1"/>
                <c:pt idx="0">
                  <c:v>الإيطالية</c:v>
                </c:pt>
              </c:strCache>
            </c:strRef>
          </c:tx>
          <c:spPr>
            <a:ln w="12700">
              <a:solidFill>
                <a:srgbClr val="80000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Languages!$F$48:$Q$48</c:f>
              <c:numCache>
                <c:formatCode>#,##0</c:formatCode>
                <c:ptCount val="12"/>
                <c:pt idx="0">
                  <c:v>632</c:v>
                </c:pt>
                <c:pt idx="1">
                  <c:v>707</c:v>
                </c:pt>
                <c:pt idx="2">
                  <c:v>1022</c:v>
                </c:pt>
                <c:pt idx="3">
                  <c:v>1358</c:v>
                </c:pt>
                <c:pt idx="4">
                  <c:v>1288</c:v>
                </c:pt>
                <c:pt idx="5">
                  <c:v>1291</c:v>
                </c:pt>
                <c:pt idx="6">
                  <c:v>1477</c:v>
                </c:pt>
                <c:pt idx="7">
                  <c:v>1632</c:v>
                </c:pt>
                <c:pt idx="8">
                  <c:v>1786</c:v>
                </c:pt>
                <c:pt idx="9" formatCode="_-* #,##0_-;\-* #,##0_-;_-* &quot;-&quot;??_-;_-@_-">
                  <c:v>1848</c:v>
                </c:pt>
                <c:pt idx="10" formatCode="General">
                  <c:v>1986</c:v>
                </c:pt>
                <c:pt idx="11" formatCode="_-* #,##0_-;\-* #,##0_-;_-* &quot;-&quot;??_-;_-@_-">
                  <c:v>2040</c:v>
                </c:pt>
              </c:numCache>
            </c:numRef>
          </c:val>
          <c:smooth val="0"/>
        </c:ser>
        <c:ser>
          <c:idx val="6"/>
          <c:order val="6"/>
          <c:tx>
            <c:strRef>
              <c:f>Languages!$B$49</c:f>
              <c:strCache>
                <c:ptCount val="1"/>
                <c:pt idx="0">
                  <c:v>لغات أخرى</c:v>
                </c:pt>
              </c:strCache>
            </c:strRef>
          </c:tx>
          <c:spPr>
            <a:ln w="12700">
              <a:solidFill>
                <a:srgbClr val="008080"/>
              </a:solidFill>
              <a:prstDash val="solid"/>
            </a:ln>
          </c:spPr>
          <c:marker>
            <c:symbol val="none"/>
          </c:marker>
          <c:cat>
            <c:numRef>
              <c:f>Languages!$F$41:$Q$41</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Languages!$F$49:$Q$49</c:f>
              <c:numCache>
                <c:formatCode>#,##0</c:formatCode>
                <c:ptCount val="12"/>
                <c:pt idx="0">
                  <c:v>3264</c:v>
                </c:pt>
                <c:pt idx="1">
                  <c:v>3593</c:v>
                </c:pt>
                <c:pt idx="2">
                  <c:v>3709</c:v>
                </c:pt>
                <c:pt idx="3">
                  <c:v>3929</c:v>
                </c:pt>
                <c:pt idx="4">
                  <c:v>3976</c:v>
                </c:pt>
                <c:pt idx="5">
                  <c:v>4142</c:v>
                </c:pt>
                <c:pt idx="6">
                  <c:v>4623</c:v>
                </c:pt>
                <c:pt idx="7">
                  <c:v>4782</c:v>
                </c:pt>
                <c:pt idx="8">
                  <c:v>4502</c:v>
                </c:pt>
                <c:pt idx="9" formatCode="_-* #,##0_-;\-* #,##0_-;_-* &quot;-&quot;??_-;_-@_-">
                  <c:v>5861</c:v>
                </c:pt>
                <c:pt idx="10" formatCode="_-* #,##0_-;\-* #,##0_-;_-* &quot;-&quot;??_-;_-@_-">
                  <c:v>5480</c:v>
                </c:pt>
                <c:pt idx="11" formatCode="_-* #,##0_-;\-* #,##0_-;_-* &quot;-&quot;??_-;_-@_-">
                  <c:v>4464</c:v>
                </c:pt>
              </c:numCache>
            </c:numRef>
          </c:val>
          <c:smooth val="0"/>
        </c:ser>
        <c:dLbls>
          <c:showLegendKey val="0"/>
          <c:showVal val="0"/>
          <c:showCatName val="0"/>
          <c:showSerName val="0"/>
          <c:showPercent val="0"/>
          <c:showBubbleSize val="0"/>
        </c:dLbls>
        <c:marker val="1"/>
        <c:smooth val="0"/>
        <c:axId val="23254528"/>
        <c:axId val="23256448"/>
      </c:lineChart>
      <c:catAx>
        <c:axId val="23254528"/>
        <c:scaling>
          <c:orientation val="minMax"/>
        </c:scaling>
        <c:delete val="0"/>
        <c:axPos val="b"/>
        <c:title>
          <c:tx>
            <c:rich>
              <a:bodyPr/>
              <a:lstStyle/>
              <a:p>
                <a:pPr>
                  <a:defRPr/>
                </a:pPr>
                <a:r>
                  <a:rPr lang="ar-SA" b="1"/>
                  <a:t>سنة الإيداع</a:t>
                </a:r>
                <a:endParaRPr lang="en-US" b="1"/>
              </a:p>
            </c:rich>
          </c:tx>
          <c:layout>
            <c:manualLayout>
              <c:xMode val="edge"/>
              <c:yMode val="edge"/>
              <c:x val="0.49382782202158088"/>
              <c:y val="0.8620709008416416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23256448"/>
        <c:crosses val="autoZero"/>
        <c:auto val="1"/>
        <c:lblAlgn val="ctr"/>
        <c:lblOffset val="100"/>
        <c:tickLblSkip val="1"/>
        <c:tickMarkSkip val="1"/>
        <c:noMultiLvlLbl val="0"/>
      </c:catAx>
      <c:valAx>
        <c:axId val="23256448"/>
        <c:scaling>
          <c:orientation val="minMax"/>
          <c:max val="45000"/>
        </c:scaling>
        <c:delete val="0"/>
        <c:axPos val="l"/>
        <c:majorGridlines>
          <c:spPr>
            <a:ln w="3175">
              <a:solidFill>
                <a:srgbClr val="000000"/>
              </a:solidFill>
              <a:prstDash val="sysDash"/>
            </a:ln>
          </c:spPr>
        </c:majorGridlines>
        <c:title>
          <c:tx>
            <c:rich>
              <a:bodyPr/>
              <a:lstStyle/>
              <a:p>
                <a:pPr>
                  <a:defRPr/>
                </a:pPr>
                <a:r>
                  <a:rPr lang="ar-SA" b="1"/>
                  <a:t>عدد النسخ الأصلية المتسلمة</a:t>
                </a:r>
                <a:endParaRPr lang="en-US" b="1"/>
              </a:p>
            </c:rich>
          </c:tx>
          <c:layout>
            <c:manualLayout>
              <c:xMode val="edge"/>
              <c:yMode val="edge"/>
              <c:x val="5.6857396059256996E-4"/>
              <c:y val="0.31447095232498923"/>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23254528"/>
        <c:crosses val="autoZero"/>
        <c:crossBetween val="between"/>
        <c:majorUnit val="15000"/>
      </c:valAx>
      <c:spPr>
        <a:noFill/>
        <a:ln w="25400">
          <a:noFill/>
        </a:ln>
      </c:spPr>
    </c:plotArea>
    <c:legend>
      <c:legendPos val="t"/>
      <c:layout>
        <c:manualLayout>
          <c:xMode val="edge"/>
          <c:yMode val="edge"/>
          <c:x val="0.15720665810886508"/>
          <c:y val="3.9178125122419395E-2"/>
          <c:w val="0.74972430423749148"/>
          <c:h val="4.5977114711554218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4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791962174940899"/>
          <c:y val="5.9978808394126365E-2"/>
          <c:w val="0.82553191489361699"/>
          <c:h val="0.60106098681619569"/>
        </c:manualLayout>
      </c:layout>
      <c:lineChart>
        <c:grouping val="standard"/>
        <c:varyColors val="0"/>
        <c:ser>
          <c:idx val="0"/>
          <c:order val="0"/>
          <c:tx>
            <c:strRef>
              <c:f>'Program 23 Gender Diversity'!$A$2</c:f>
              <c:strCache>
                <c:ptCount val="1"/>
                <c:pt idx="0">
                  <c:v>ف-4</c:v>
                </c:pt>
              </c:strCache>
            </c:strRef>
          </c:tx>
          <c:cat>
            <c:numRef>
              <c:f>'Program 23 Gender Diversity'!$B$1:$E$1</c:f>
              <c:numCache>
                <c:formatCode>General</c:formatCode>
                <c:ptCount val="4"/>
                <c:pt idx="0">
                  <c:v>2012</c:v>
                </c:pt>
                <c:pt idx="1">
                  <c:v>2013</c:v>
                </c:pt>
                <c:pt idx="2">
                  <c:v>2014</c:v>
                </c:pt>
                <c:pt idx="3">
                  <c:v>2015</c:v>
                </c:pt>
              </c:numCache>
            </c:numRef>
          </c:cat>
          <c:val>
            <c:numRef>
              <c:f>'Program 23 Gender Diversity'!$B$2:$E$2</c:f>
              <c:numCache>
                <c:formatCode>0.0%</c:formatCode>
                <c:ptCount val="4"/>
                <c:pt idx="0">
                  <c:v>0.44400000000000001</c:v>
                </c:pt>
                <c:pt idx="1">
                  <c:v>0.434</c:v>
                </c:pt>
                <c:pt idx="2">
                  <c:v>0.44400000000000001</c:v>
                </c:pt>
                <c:pt idx="3">
                  <c:v>0.46100000000000002</c:v>
                </c:pt>
              </c:numCache>
            </c:numRef>
          </c:val>
          <c:smooth val="0"/>
        </c:ser>
        <c:ser>
          <c:idx val="1"/>
          <c:order val="1"/>
          <c:tx>
            <c:strRef>
              <c:f>'Program 23 Gender Diversity'!$A$3</c:f>
              <c:strCache>
                <c:ptCount val="1"/>
                <c:pt idx="0">
                  <c:v>ف-5</c:v>
                </c:pt>
              </c:strCache>
            </c:strRef>
          </c:tx>
          <c:cat>
            <c:numRef>
              <c:f>'Program 23 Gender Diversity'!$B$1:$E$1</c:f>
              <c:numCache>
                <c:formatCode>General</c:formatCode>
                <c:ptCount val="4"/>
                <c:pt idx="0">
                  <c:v>2012</c:v>
                </c:pt>
                <c:pt idx="1">
                  <c:v>2013</c:v>
                </c:pt>
                <c:pt idx="2">
                  <c:v>2014</c:v>
                </c:pt>
                <c:pt idx="3">
                  <c:v>2015</c:v>
                </c:pt>
              </c:numCache>
            </c:numRef>
          </c:cat>
          <c:val>
            <c:numRef>
              <c:f>'Program 23 Gender Diversity'!$B$3:$E$3</c:f>
              <c:numCache>
                <c:formatCode>0.0%</c:formatCode>
                <c:ptCount val="4"/>
                <c:pt idx="0">
                  <c:v>0.30299999999999999</c:v>
                </c:pt>
                <c:pt idx="1">
                  <c:v>0.34300000000000003</c:v>
                </c:pt>
                <c:pt idx="2">
                  <c:v>0.34399999999999997</c:v>
                </c:pt>
                <c:pt idx="3">
                  <c:v>0.34100000000000003</c:v>
                </c:pt>
              </c:numCache>
            </c:numRef>
          </c:val>
          <c:smooth val="0"/>
        </c:ser>
        <c:ser>
          <c:idx val="2"/>
          <c:order val="2"/>
          <c:tx>
            <c:strRef>
              <c:f>'Program 23 Gender Diversity'!$A$4</c:f>
              <c:strCache>
                <c:ptCount val="1"/>
                <c:pt idx="0">
                  <c:v>د-1</c:v>
                </c:pt>
              </c:strCache>
            </c:strRef>
          </c:tx>
          <c:cat>
            <c:numRef>
              <c:f>'Program 23 Gender Diversity'!$B$1:$E$1</c:f>
              <c:numCache>
                <c:formatCode>General</c:formatCode>
                <c:ptCount val="4"/>
                <c:pt idx="0">
                  <c:v>2012</c:v>
                </c:pt>
                <c:pt idx="1">
                  <c:v>2013</c:v>
                </c:pt>
                <c:pt idx="2">
                  <c:v>2014</c:v>
                </c:pt>
                <c:pt idx="3">
                  <c:v>2015</c:v>
                </c:pt>
              </c:numCache>
            </c:numRef>
          </c:cat>
          <c:val>
            <c:numRef>
              <c:f>'Program 23 Gender Diversity'!$B$4:$E$4</c:f>
              <c:numCache>
                <c:formatCode>0.0%</c:formatCode>
                <c:ptCount val="4"/>
                <c:pt idx="0">
                  <c:v>0.24399999999999999</c:v>
                </c:pt>
                <c:pt idx="1">
                  <c:v>0.26800000000000002</c:v>
                </c:pt>
                <c:pt idx="2">
                  <c:v>0.26700000000000002</c:v>
                </c:pt>
                <c:pt idx="3">
                  <c:v>0.26500000000000001</c:v>
                </c:pt>
              </c:numCache>
            </c:numRef>
          </c:val>
          <c:smooth val="0"/>
        </c:ser>
        <c:ser>
          <c:idx val="3"/>
          <c:order val="3"/>
          <c:tx>
            <c:strRef>
              <c:f>'Program 23 Gender Diversity'!$A$5</c:f>
              <c:strCache>
                <c:ptCount val="1"/>
                <c:pt idx="0">
                  <c:v>د-2</c:v>
                </c:pt>
              </c:strCache>
            </c:strRef>
          </c:tx>
          <c:cat>
            <c:numRef>
              <c:f>'Program 23 Gender Diversity'!$B$1:$E$1</c:f>
              <c:numCache>
                <c:formatCode>General</c:formatCode>
                <c:ptCount val="4"/>
                <c:pt idx="0">
                  <c:v>2012</c:v>
                </c:pt>
                <c:pt idx="1">
                  <c:v>2013</c:v>
                </c:pt>
                <c:pt idx="2">
                  <c:v>2014</c:v>
                </c:pt>
                <c:pt idx="3">
                  <c:v>2015</c:v>
                </c:pt>
              </c:numCache>
            </c:numRef>
          </c:cat>
          <c:val>
            <c:numRef>
              <c:f>'Program 23 Gender Diversity'!$B$5:$E$5</c:f>
              <c:numCache>
                <c:formatCode>0.0%</c:formatCode>
                <c:ptCount val="4"/>
                <c:pt idx="0">
                  <c:v>0.23100000000000001</c:v>
                </c:pt>
                <c:pt idx="1">
                  <c:v>0.33300000000000002</c:v>
                </c:pt>
                <c:pt idx="2">
                  <c:v>0.222</c:v>
                </c:pt>
                <c:pt idx="3">
                  <c:v>0.222</c:v>
                </c:pt>
              </c:numCache>
            </c:numRef>
          </c:val>
          <c:smooth val="0"/>
        </c:ser>
        <c:dLbls>
          <c:showLegendKey val="0"/>
          <c:showVal val="0"/>
          <c:showCatName val="0"/>
          <c:showSerName val="0"/>
          <c:showPercent val="0"/>
          <c:showBubbleSize val="0"/>
        </c:dLbls>
        <c:marker val="1"/>
        <c:smooth val="0"/>
        <c:axId val="109870464"/>
        <c:axId val="109872256"/>
      </c:lineChart>
      <c:catAx>
        <c:axId val="109870464"/>
        <c:scaling>
          <c:orientation val="maxMin"/>
        </c:scaling>
        <c:delete val="0"/>
        <c:axPos val="b"/>
        <c:numFmt formatCode="General" sourceLinked="1"/>
        <c:majorTickMark val="none"/>
        <c:minorTickMark val="none"/>
        <c:tickLblPos val="nextTo"/>
        <c:crossAx val="109872256"/>
        <c:crosses val="autoZero"/>
        <c:auto val="1"/>
        <c:lblAlgn val="ctr"/>
        <c:lblOffset val="100"/>
        <c:noMultiLvlLbl val="0"/>
      </c:catAx>
      <c:valAx>
        <c:axId val="109872256"/>
        <c:scaling>
          <c:orientation val="minMax"/>
          <c:min val="0.2"/>
        </c:scaling>
        <c:delete val="0"/>
        <c:axPos val="r"/>
        <c:majorGridlines/>
        <c:numFmt formatCode="0.0%" sourceLinked="1"/>
        <c:majorTickMark val="none"/>
        <c:minorTickMark val="none"/>
        <c:tickLblPos val="nextTo"/>
        <c:crossAx val="109870464"/>
        <c:crosses val="autoZero"/>
        <c:crossBetween val="between"/>
        <c:majorUnit val="0.1"/>
      </c:valAx>
      <c:dTable>
        <c:showHorzBorder val="1"/>
        <c:showVertBorder val="1"/>
        <c:showOutline val="1"/>
        <c:showKeys val="1"/>
      </c:dTable>
    </c:plotArea>
    <c:plotVisOnly val="1"/>
    <c:dispBlanksAs val="gap"/>
    <c:showDLblsOverMax val="0"/>
  </c:chart>
  <c:txPr>
    <a:bodyPr/>
    <a:lstStyle/>
    <a:p>
      <a:pPr>
        <a:defRPr sz="1400">
          <a:latin typeface="Arabic Typesetting" panose="03020402040406030203" pitchFamily="66" charset="-78"/>
          <a:cs typeface="Arabic Typesetting" panose="03020402040406030203" pitchFamily="66" charset="-78"/>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rtl="1">
              <a:defRPr/>
            </a:pPr>
            <a:r>
              <a:rPr lang="ar-SA" sz="1500" b="1"/>
              <a:t>عدد الموظفين في عمليات المعاهدة</a:t>
            </a:r>
          </a:p>
        </c:rich>
      </c:tx>
      <c:layout/>
      <c:overlay val="1"/>
    </c:title>
    <c:autoTitleDeleted val="0"/>
    <c:plotArea>
      <c:layout>
        <c:manualLayout>
          <c:layoutTarget val="inner"/>
          <c:xMode val="edge"/>
          <c:yMode val="edge"/>
          <c:x val="9.1426963624396188E-2"/>
          <c:y val="8.8287028550234667E-2"/>
          <c:w val="0.83831968377649668"/>
          <c:h val="0.47132517450343747"/>
        </c:manualLayout>
      </c:layout>
      <c:lineChart>
        <c:grouping val="standard"/>
        <c:varyColors val="0"/>
        <c:ser>
          <c:idx val="0"/>
          <c:order val="0"/>
          <c:spPr>
            <a:ln w="25400">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2.6371308016877658E-3"/>
                  <c:y val="-5.240983664700441E-2"/>
                </c:manualLayout>
              </c:layout>
              <c:dLblPos val="r"/>
              <c:showLegendKey val="0"/>
              <c:showVal val="1"/>
              <c:showCatName val="0"/>
              <c:showSerName val="0"/>
              <c:showPercent val="0"/>
              <c:showBubbleSize val="0"/>
            </c:dLbl>
            <c:dLbl>
              <c:idx val="1"/>
              <c:layout>
                <c:manualLayout>
                  <c:x val="-2.24874580550849E-2"/>
                  <c:y val="4.3242608021373835E-2"/>
                </c:manualLayout>
              </c:layout>
              <c:spPr>
                <a:noFill/>
                <a:ln w="25400">
                  <a:noFill/>
                </a:ln>
              </c:spPr>
              <c:txPr>
                <a:bodyPr/>
                <a:lstStyle/>
                <a:p>
                  <a:pPr algn="ctr" rtl="1">
                    <a:defRPr/>
                  </a:pPr>
                  <a:endParaRPr lang="en-US"/>
                </a:p>
              </c:txPr>
              <c:dLblPos val="r"/>
              <c:showLegendKey val="0"/>
              <c:showVal val="1"/>
              <c:showCatName val="0"/>
              <c:showSerName val="0"/>
              <c:showPercent val="0"/>
              <c:showBubbleSize val="0"/>
            </c:dLbl>
            <c:dLbl>
              <c:idx val="2"/>
              <c:layout>
                <c:manualLayout>
                  <c:x val="-2.8097445097843787E-2"/>
                  <c:y val="-3.8563074533814856E-2"/>
                </c:manualLayout>
              </c:layout>
              <c:spPr>
                <a:noFill/>
                <a:ln w="25400">
                  <a:noFill/>
                </a:ln>
              </c:spPr>
              <c:txPr>
                <a:bodyPr/>
                <a:lstStyle/>
                <a:p>
                  <a:pPr algn="ctr" rtl="1">
                    <a:defRPr/>
                  </a:pPr>
                  <a:endParaRPr lang="en-US"/>
                </a:p>
              </c:txPr>
              <c:dLblPos val="r"/>
              <c:showLegendKey val="0"/>
              <c:showVal val="1"/>
              <c:showCatName val="0"/>
              <c:showSerName val="0"/>
              <c:showPercent val="0"/>
              <c:showBubbleSize val="0"/>
            </c:dLbl>
            <c:dLbl>
              <c:idx val="4"/>
              <c:layout>
                <c:manualLayout>
                  <c:x val="6.568822884481215E-3"/>
                  <c:y val="-1.4281532018802031E-2"/>
                </c:manualLayout>
              </c:layout>
              <c:dLblPos val="r"/>
              <c:showLegendKey val="0"/>
              <c:showVal val="1"/>
              <c:showCatName val="0"/>
              <c:showSerName val="0"/>
              <c:showPercent val="0"/>
              <c:showBubbleSize val="0"/>
            </c:dLbl>
            <c:dLbl>
              <c:idx val="5"/>
              <c:layout>
                <c:manualLayout>
                  <c:x val="-4.0180238546131085E-2"/>
                  <c:y val="3.9664976595737533E-2"/>
                </c:manualLayout>
              </c:layout>
              <c:dLblPos val="r"/>
              <c:showLegendKey val="0"/>
              <c:showVal val="1"/>
              <c:showCatName val="0"/>
              <c:showSerName val="0"/>
              <c:showPercent val="0"/>
              <c:showBubbleSize val="0"/>
            </c:dLbl>
            <c:dLbl>
              <c:idx val="6"/>
              <c:layout>
                <c:manualLayout>
                  <c:x val="-3.3131997740788753E-2"/>
                  <c:y val="3.0439257795772789E-2"/>
                </c:manualLayout>
              </c:layout>
              <c:dLblPos val="r"/>
              <c:showLegendKey val="0"/>
              <c:showVal val="1"/>
              <c:showCatName val="0"/>
              <c:showSerName val="0"/>
              <c:showPercent val="0"/>
              <c:showBubbleSize val="0"/>
            </c:dLbl>
            <c:dLbl>
              <c:idx val="7"/>
              <c:layout>
                <c:manualLayout>
                  <c:x val="-2.1336755373932665E-2"/>
                  <c:y val="3.8869913577841989E-2"/>
                </c:manualLayout>
              </c:layout>
              <c:dLblPos val="r"/>
              <c:showLegendKey val="0"/>
              <c:showVal val="1"/>
              <c:showCatName val="0"/>
              <c:showSerName val="0"/>
              <c:showPercent val="0"/>
              <c:showBubbleSize val="0"/>
            </c:dLbl>
            <c:dLbl>
              <c:idx val="8"/>
              <c:layout>
                <c:manualLayout>
                  <c:x val="-2.5364463935678896E-2"/>
                  <c:y val="-5.3155240472234064E-2"/>
                </c:manualLayout>
              </c:layout>
              <c:tx>
                <c:rich>
                  <a:bodyPr/>
                  <a:lstStyle/>
                  <a:p>
                    <a:r>
                      <a:rPr lang="en-US"/>
                      <a:t>367*</a:t>
                    </a:r>
                  </a:p>
                </c:rich>
              </c:tx>
              <c:dLblPos val="r"/>
              <c:showLegendKey val="0"/>
              <c:showVal val="0"/>
              <c:showCatName val="0"/>
              <c:showSerName val="0"/>
              <c:showPercent val="0"/>
              <c:showBubbleSize val="0"/>
            </c:dLbl>
            <c:dLbl>
              <c:idx val="9"/>
              <c:layout>
                <c:manualLayout>
                  <c:x val="-2.7809727897936856E-2"/>
                  <c:y val="-6.2198941731443934E-2"/>
                </c:manualLayout>
              </c:layout>
              <c:tx>
                <c:rich>
                  <a:bodyPr/>
                  <a:lstStyle/>
                  <a:p>
                    <a:r>
                      <a:rPr lang="en-US"/>
                      <a:t>318</a:t>
                    </a:r>
                  </a:p>
                </c:rich>
              </c:tx>
              <c:dLblPos val="r"/>
              <c:showLegendKey val="0"/>
              <c:showVal val="0"/>
              <c:showCatName val="0"/>
              <c:showSerName val="0"/>
              <c:showPercent val="0"/>
              <c:showBubbleSize val="0"/>
            </c:dLbl>
            <c:dLbl>
              <c:idx val="10"/>
              <c:layout>
                <c:manualLayout>
                  <c:x val="-3.3419714940695705E-2"/>
                  <c:y val="-5.3998250218722586E-2"/>
                </c:manualLayout>
              </c:layout>
              <c:dLblPos val="r"/>
              <c:showLegendKey val="0"/>
              <c:showVal val="1"/>
              <c:showCatName val="0"/>
              <c:showSerName val="0"/>
              <c:showPercent val="0"/>
              <c:showBubbleSize val="0"/>
            </c:dLbl>
            <c:dLbl>
              <c:idx val="11"/>
              <c:layout>
                <c:manualLayout>
                  <c:x val="-3.6181434599156119E-2"/>
                  <c:y val="-4.7904751036555143E-2"/>
                </c:manualLayout>
              </c:layout>
              <c:dLblPos val="r"/>
              <c:showLegendKey val="0"/>
              <c:showVal val="1"/>
              <c:showCatName val="0"/>
              <c:showSerName val="0"/>
              <c:showPercent val="0"/>
              <c:showBubbleSize val="0"/>
            </c:dLbl>
            <c:dLbl>
              <c:idx val="12"/>
              <c:layout>
                <c:manualLayout>
                  <c:x val="-3.7974683544303799E-2"/>
                  <c:y val="-5.0241545893719805E-2"/>
                </c:manualLayout>
              </c:layout>
              <c:showLegendKey val="0"/>
              <c:showVal val="1"/>
              <c:showCatName val="0"/>
              <c:showSerName val="0"/>
              <c:showPercent val="0"/>
              <c:showBubbleSize val="0"/>
            </c:dLbl>
            <c:dLbl>
              <c:idx val="13"/>
              <c:layout>
                <c:manualLayout>
                  <c:x val="-2.5316455696202531E-2"/>
                  <c:y val="-5.0241545893719736E-2"/>
                </c:manualLayout>
              </c:layout>
              <c:tx>
                <c:rich>
                  <a:bodyPr/>
                  <a:lstStyle/>
                  <a:p>
                    <a:r>
                      <a:rPr lang="en-US"/>
                      <a:t> 302</a:t>
                    </a:r>
                  </a:p>
                </c:rich>
              </c:tx>
              <c:showLegendKey val="0"/>
              <c:showVal val="1"/>
              <c:showCatName val="0"/>
              <c:showSerName val="0"/>
              <c:showPercent val="0"/>
              <c:showBubbleSize val="0"/>
            </c:dLbl>
            <c:dLbl>
              <c:idx val="14"/>
              <c:layout>
                <c:manualLayout>
                  <c:x val="-1.4767932489451477E-2"/>
                  <c:y val="-4.2512077294685993E-2"/>
                </c:manualLayout>
              </c:layout>
              <c:showLegendKey val="0"/>
              <c:showVal val="1"/>
              <c:showCatName val="0"/>
              <c:showSerName val="0"/>
              <c:showPercent val="0"/>
              <c:showBubbleSize val="0"/>
            </c:dLbl>
            <c:spPr>
              <a:noFill/>
              <a:ln w="25400">
                <a:noFill/>
              </a:ln>
            </c:spPr>
            <c:showLegendKey val="0"/>
            <c:showVal val="1"/>
            <c:showCatName val="0"/>
            <c:showSerName val="0"/>
            <c:showPercent val="0"/>
            <c:showBubbleSize val="0"/>
            <c:showLeaderLines val="0"/>
          </c:dLbls>
          <c:cat>
            <c:numRef>
              <c:f>Personnel!$C$6:$Q$6</c:f>
              <c:numCache>
                <c:formatCode>General</c:formatCode>
                <c:ptCount val="15"/>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numCache>
            </c:numRef>
          </c:cat>
          <c:val>
            <c:numRef>
              <c:f>Personnel!$C$10:$Q$10</c:f>
              <c:numCache>
                <c:formatCode>General</c:formatCode>
                <c:ptCount val="15"/>
                <c:pt idx="0">
                  <c:v>422</c:v>
                </c:pt>
                <c:pt idx="1">
                  <c:v>422</c:v>
                </c:pt>
                <c:pt idx="2">
                  <c:v>456</c:v>
                </c:pt>
                <c:pt idx="3">
                  <c:v>409</c:v>
                </c:pt>
                <c:pt idx="4">
                  <c:v>385</c:v>
                </c:pt>
                <c:pt idx="5">
                  <c:v>368</c:v>
                </c:pt>
                <c:pt idx="6">
                  <c:v>360</c:v>
                </c:pt>
                <c:pt idx="7">
                  <c:v>356</c:v>
                </c:pt>
                <c:pt idx="8">
                  <c:v>367</c:v>
                </c:pt>
                <c:pt idx="9">
                  <c:v>318</c:v>
                </c:pt>
                <c:pt idx="10" formatCode="_-* #,##0_-;\-* #,##0_-;_-* &quot;-&quot;??_-;_-@_-">
                  <c:v>314.89999999999998</c:v>
                </c:pt>
                <c:pt idx="11">
                  <c:v>315</c:v>
                </c:pt>
                <c:pt idx="12" formatCode="_-* #,##0_-;\-* #,##0_-;_-* &quot;-&quot;??_-;_-@_-">
                  <c:v>305.79999999999995</c:v>
                </c:pt>
                <c:pt idx="13" formatCode="_-* #,##0.0_-;\-* #,##0.0_-;_-* &quot;-&quot;??_-;_-@_-">
                  <c:v>302.39999999999998</c:v>
                </c:pt>
                <c:pt idx="14" formatCode="0">
                  <c:v>296</c:v>
                </c:pt>
              </c:numCache>
            </c:numRef>
          </c:val>
          <c:smooth val="0"/>
        </c:ser>
        <c:dLbls>
          <c:showLegendKey val="0"/>
          <c:showVal val="1"/>
          <c:showCatName val="0"/>
          <c:showSerName val="0"/>
          <c:showPercent val="0"/>
          <c:showBubbleSize val="0"/>
        </c:dLbls>
        <c:marker val="1"/>
        <c:smooth val="0"/>
        <c:axId val="23213568"/>
        <c:axId val="23215104"/>
      </c:lineChart>
      <c:catAx>
        <c:axId val="23213568"/>
        <c:scaling>
          <c:orientation val="minMax"/>
        </c:scaling>
        <c:delete val="0"/>
        <c:axPos val="b"/>
        <c:title>
          <c:tx>
            <c:rich>
              <a:bodyPr/>
              <a:lstStyle/>
              <a:p>
                <a:pPr>
                  <a:defRPr/>
                </a:pPr>
                <a:r>
                  <a:rPr lang="ar-SA" b="1"/>
                  <a:t>السنة</a:t>
                </a:r>
                <a:endParaRPr lang="en-US" b="1"/>
              </a:p>
            </c:rich>
          </c:tx>
          <c:layout>
            <c:manualLayout>
              <c:xMode val="edge"/>
              <c:yMode val="edge"/>
              <c:x val="0.48482298994068435"/>
              <c:y val="0.6375417609885932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23215104"/>
        <c:crosses val="autoZero"/>
        <c:auto val="1"/>
        <c:lblAlgn val="ctr"/>
        <c:lblOffset val="100"/>
        <c:tickLblSkip val="1"/>
        <c:tickMarkSkip val="1"/>
        <c:noMultiLvlLbl val="0"/>
      </c:catAx>
      <c:valAx>
        <c:axId val="23215104"/>
        <c:scaling>
          <c:orientation val="minMax"/>
          <c:max val="475"/>
          <c:min val="250"/>
        </c:scaling>
        <c:delete val="0"/>
        <c:axPos val="l"/>
        <c:majorGridlines>
          <c:spPr>
            <a:ln w="3175">
              <a:solidFill>
                <a:srgbClr val="FFFFFF"/>
              </a:solidFill>
              <a:prstDash val="sysDash"/>
            </a:ln>
          </c:spPr>
        </c:majorGridlines>
        <c:title>
          <c:tx>
            <c:rich>
              <a:bodyPr/>
              <a:lstStyle/>
              <a:p>
                <a:pPr>
                  <a:defRPr/>
                </a:pPr>
                <a:r>
                  <a:rPr lang="ar-SA" b="1"/>
                  <a:t>عدد الموظفين</a:t>
                </a:r>
                <a:endParaRPr lang="en-US" b="1"/>
              </a:p>
            </c:rich>
          </c:tx>
          <c:layout>
            <c:manualLayout>
              <c:xMode val="edge"/>
              <c:yMode val="edge"/>
              <c:x val="2.5316455696202531E-2"/>
              <c:y val="0.18550777147806691"/>
            </c:manualLayout>
          </c:layout>
          <c:overlay val="0"/>
          <c:spPr>
            <a:noFill/>
            <a:ln w="25400">
              <a:noFill/>
            </a:ln>
          </c:spPr>
        </c:title>
        <c:numFmt formatCode="General" sourceLinked="1"/>
        <c:majorTickMark val="none"/>
        <c:minorTickMark val="none"/>
        <c:tickLblPos val="none"/>
        <c:spPr>
          <a:ln w="3175">
            <a:solidFill>
              <a:srgbClr val="000000"/>
            </a:solidFill>
            <a:prstDash val="solid"/>
          </a:ln>
        </c:spPr>
        <c:crossAx val="23213568"/>
        <c:crosses val="autoZero"/>
        <c:crossBetween val="midCat"/>
        <c:majorUnit val="75"/>
      </c:valAx>
      <c:spPr>
        <a:noFill/>
        <a:ln w="25400">
          <a:noFill/>
        </a:ln>
      </c:spPr>
    </c:plotArea>
    <c:plotVisOnly val="1"/>
    <c:dispBlanksAs val="gap"/>
    <c:showDLblsOverMax val="0"/>
  </c:chart>
  <c:spPr>
    <a:solidFill>
      <a:srgbClr val="FFFFFF"/>
    </a:solidFill>
    <a:ln w="9525">
      <a:noFill/>
    </a:ln>
  </c:spPr>
  <c:txPr>
    <a:bodyPr/>
    <a:lstStyle/>
    <a:p>
      <a:pPr>
        <a:defRPr sz="14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668583940376437"/>
          <c:y val="0.20172708521464441"/>
          <c:w val="0.84915726977978023"/>
          <c:h val="0.55473124048237088"/>
        </c:manualLayout>
      </c:layout>
      <c:lineChart>
        <c:grouping val="standard"/>
        <c:varyColors val="0"/>
        <c:ser>
          <c:idx val="0"/>
          <c:order val="0"/>
          <c:tx>
            <c:strRef>
              <c:f>Productivity!$A$11</c:f>
              <c:strCache>
                <c:ptCount val="1"/>
                <c:pt idx="0">
                  <c:v>إنتاجية الموظفين</c:v>
                </c:pt>
              </c:strCache>
            </c:strRef>
          </c:tx>
          <c:spPr>
            <a:ln w="12700">
              <a:solidFill>
                <a:schemeClr val="tx2"/>
              </a:solidFill>
              <a:prstDash val="solid"/>
            </a:ln>
          </c:spPr>
          <c:marker>
            <c:symbol val="diamond"/>
            <c:size val="5"/>
            <c:spPr>
              <a:solidFill>
                <a:schemeClr val="tx2"/>
              </a:solidFill>
            </c:spPr>
          </c:marker>
          <c:dLbls>
            <c:dLbl>
              <c:idx val="0"/>
              <c:layout>
                <c:manualLayout>
                  <c:x val="-1.794526693584567E-3"/>
                  <c:y val="3.864734299516908E-2"/>
                </c:manualLayout>
              </c:layout>
              <c:showLegendKey val="0"/>
              <c:showVal val="1"/>
              <c:showCatName val="0"/>
              <c:showSerName val="0"/>
              <c:showPercent val="0"/>
              <c:showBubbleSize val="0"/>
            </c:dLbl>
            <c:dLbl>
              <c:idx val="1"/>
              <c:layout>
                <c:manualLayout>
                  <c:x val="-3.4096007178106777E-2"/>
                  <c:y val="-3.4782608695652174E-2"/>
                </c:manualLayout>
              </c:layout>
              <c:showLegendKey val="0"/>
              <c:showVal val="1"/>
              <c:showCatName val="0"/>
              <c:showSerName val="0"/>
              <c:showPercent val="0"/>
              <c:showBubbleSize val="0"/>
            </c:dLbl>
            <c:dLbl>
              <c:idx val="2"/>
              <c:layout>
                <c:manualLayout>
                  <c:x val="-2.6917900403768538E-2"/>
                  <c:y val="3.4782608695652174E-2"/>
                </c:manualLayout>
              </c:layout>
              <c:showLegendKey val="0"/>
              <c:showVal val="1"/>
              <c:showCatName val="0"/>
              <c:showSerName val="0"/>
              <c:showPercent val="0"/>
              <c:showBubbleSize val="0"/>
            </c:dLbl>
            <c:dLbl>
              <c:idx val="3"/>
              <c:layout>
                <c:manualLayout>
                  <c:x val="-3.0506953790937642E-2"/>
                  <c:y val="4.6376811594202899E-2"/>
                </c:manualLayout>
              </c:layout>
              <c:showLegendKey val="0"/>
              <c:showVal val="1"/>
              <c:showCatName val="0"/>
              <c:showSerName val="0"/>
              <c:showPercent val="0"/>
              <c:showBubbleSize val="0"/>
            </c:dLbl>
            <c:dLbl>
              <c:idx val="4"/>
              <c:layout>
                <c:manualLayout>
                  <c:x val="-2.8712427097353072E-2"/>
                  <c:y val="4.6376811594202899E-2"/>
                </c:manualLayout>
              </c:layout>
              <c:showLegendKey val="0"/>
              <c:showVal val="1"/>
              <c:showCatName val="0"/>
              <c:showSerName val="0"/>
              <c:showPercent val="0"/>
              <c:showBubbleSize val="0"/>
            </c:dLbl>
            <c:dLbl>
              <c:idx val="5"/>
              <c:layout>
                <c:manualLayout>
                  <c:x val="-3.0506953790937642E-2"/>
                  <c:y val="4.2512077294685993E-2"/>
                </c:manualLayout>
              </c:layout>
              <c:showLegendKey val="0"/>
              <c:showVal val="1"/>
              <c:showCatName val="0"/>
              <c:showSerName val="0"/>
              <c:showPercent val="0"/>
              <c:showBubbleSize val="0"/>
            </c:dLbl>
            <c:dLbl>
              <c:idx val="6"/>
              <c:layout>
                <c:manualLayout>
                  <c:x val="-3.0506953790937642E-2"/>
                  <c:y val="-4.6376811594202899E-2"/>
                </c:manualLayout>
              </c:layout>
              <c:showLegendKey val="0"/>
              <c:showVal val="1"/>
              <c:showCatName val="0"/>
              <c:showSerName val="0"/>
              <c:showPercent val="0"/>
              <c:showBubbleSize val="0"/>
            </c:dLbl>
            <c:dLbl>
              <c:idx val="7"/>
              <c:layout>
                <c:manualLayout>
                  <c:x val="-3.2301480484522208E-2"/>
                  <c:y val="-3.864734299516908E-2"/>
                </c:manualLayout>
              </c:layout>
              <c:showLegendKey val="0"/>
              <c:showVal val="1"/>
              <c:showCatName val="0"/>
              <c:showSerName val="0"/>
              <c:showPercent val="0"/>
              <c:showBubbleSize val="0"/>
            </c:dLbl>
            <c:dLbl>
              <c:idx val="8"/>
              <c:layout>
                <c:manualLayout>
                  <c:x val="-2.8712427097353072E-2"/>
                  <c:y val="4.2512077294685993E-2"/>
                </c:manualLayout>
              </c:layout>
              <c:showLegendKey val="0"/>
              <c:showVal val="1"/>
              <c:showCatName val="0"/>
              <c:showSerName val="0"/>
              <c:showPercent val="0"/>
              <c:showBubbleSize val="0"/>
            </c:dLbl>
            <c:dLbl>
              <c:idx val="9"/>
              <c:layout>
                <c:manualLayout>
                  <c:x val="-3.4096007178106777E-2"/>
                  <c:y val="4.2512077294685993E-2"/>
                </c:manualLayout>
              </c:layout>
              <c:showLegendKey val="0"/>
              <c:showVal val="1"/>
              <c:showCatName val="0"/>
              <c:showSerName val="0"/>
              <c:showPercent val="0"/>
              <c:showBubbleSize val="0"/>
            </c:dLbl>
            <c:dLbl>
              <c:idx val="10"/>
              <c:layout>
                <c:manualLayout>
                  <c:x val="-4.6501239007407116E-2"/>
                  <c:y val="5.488379773401586E-2"/>
                </c:manualLayout>
              </c:layout>
              <c:showLegendKey val="0"/>
              <c:showVal val="1"/>
              <c:showCatName val="0"/>
              <c:showSerName val="0"/>
              <c:showPercent val="0"/>
              <c:showBubbleSize val="0"/>
            </c:dLbl>
            <c:dLbl>
              <c:idx val="11"/>
              <c:layout>
                <c:manualLayout>
                  <c:x val="-1.9739793629430239E-2"/>
                  <c:y val="4.6376811594202899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Productivity!$B$6:$M$6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Productivity!$B$9:$M$9</c:f>
              <c:numCache>
                <c:formatCode>_-* #,##0_-;\-* #,##0_-;_-* "-"??_-;_-@_-</c:formatCode>
                <c:ptCount val="12"/>
                <c:pt idx="0">
                  <c:v>501.22494432071272</c:v>
                </c:pt>
                <c:pt idx="1">
                  <c:v>530.44453852667232</c:v>
                </c:pt>
                <c:pt idx="2">
                  <c:v>622.14349775784751</c:v>
                </c:pt>
                <c:pt idx="3">
                  <c:v>673.57719928186714</c:v>
                </c:pt>
                <c:pt idx="4">
                  <c:v>730.9487063095778</c:v>
                </c:pt>
                <c:pt idx="5">
                  <c:v>730.11267605633805</c:v>
                </c:pt>
                <c:pt idx="6">
                  <c:v>781.77045805455475</c:v>
                </c:pt>
                <c:pt idx="7">
                  <c:v>840.19507186858311</c:v>
                </c:pt>
                <c:pt idx="8">
                  <c:v>928.1875</c:v>
                </c:pt>
                <c:pt idx="9">
                  <c:v>1003.2864583333334</c:v>
                </c:pt>
                <c:pt idx="10">
                  <c:v>1179.2217245240761</c:v>
                </c:pt>
                <c:pt idx="11">
                  <c:v>1168.1860465116279</c:v>
                </c:pt>
              </c:numCache>
            </c:numRef>
          </c:val>
          <c:smooth val="0"/>
        </c:ser>
        <c:dLbls>
          <c:showLegendKey val="0"/>
          <c:showVal val="0"/>
          <c:showCatName val="0"/>
          <c:showSerName val="0"/>
          <c:showPercent val="0"/>
          <c:showBubbleSize val="0"/>
        </c:dLbls>
        <c:marker val="1"/>
        <c:smooth val="0"/>
        <c:axId val="24615168"/>
        <c:axId val="24625536"/>
      </c:lineChart>
      <c:catAx>
        <c:axId val="24615168"/>
        <c:scaling>
          <c:orientation val="minMax"/>
        </c:scaling>
        <c:delete val="0"/>
        <c:axPos val="b"/>
        <c:title>
          <c:tx>
            <c:rich>
              <a:bodyPr/>
              <a:lstStyle/>
              <a:p>
                <a:pPr>
                  <a:defRPr/>
                </a:pPr>
                <a:r>
                  <a:rPr lang="ar-SA" b="1"/>
                  <a:t>السنة</a:t>
                </a:r>
              </a:p>
            </c:rich>
          </c:tx>
          <c:layout>
            <c:manualLayout>
              <c:xMode val="edge"/>
              <c:yMode val="edge"/>
              <c:x val="0.46642740161757956"/>
              <c:y val="0.8464790572189835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24625536"/>
        <c:crosses val="autoZero"/>
        <c:auto val="1"/>
        <c:lblAlgn val="ctr"/>
        <c:lblOffset val="100"/>
        <c:tickLblSkip val="1"/>
        <c:tickMarkSkip val="1"/>
        <c:noMultiLvlLbl val="0"/>
      </c:catAx>
      <c:valAx>
        <c:axId val="24625536"/>
        <c:scaling>
          <c:orientation val="minMax"/>
          <c:max val="1250"/>
        </c:scaling>
        <c:delete val="0"/>
        <c:axPos val="l"/>
        <c:majorGridlines>
          <c:spPr>
            <a:ln w="3175">
              <a:solidFill>
                <a:srgbClr val="000000"/>
              </a:solidFill>
              <a:prstDash val="sysDash"/>
            </a:ln>
          </c:spPr>
        </c:majorGridlines>
        <c:title>
          <c:tx>
            <c:rich>
              <a:bodyPr/>
              <a:lstStyle/>
              <a:p>
                <a:pPr>
                  <a:defRPr/>
                </a:pPr>
                <a:r>
                  <a:rPr lang="ar-SA" b="1"/>
                  <a:t>المنشورات بحسب الموظفين</a:t>
                </a:r>
                <a:endParaRPr lang="en-US" b="1"/>
              </a:p>
            </c:rich>
          </c:tx>
          <c:layout>
            <c:manualLayout>
              <c:xMode val="edge"/>
              <c:yMode val="edge"/>
              <c:x val="1.7171249315760663E-3"/>
              <c:y val="0.27444693619814664"/>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24615168"/>
        <c:crosses val="autoZero"/>
        <c:crossBetween val="midCat"/>
        <c:majorUnit val="250"/>
      </c:valAx>
      <c:spPr>
        <a:noFill/>
        <a:ln w="25400">
          <a:noFill/>
        </a:ln>
      </c:spPr>
    </c:plotArea>
    <c:legend>
      <c:legendPos val="t"/>
      <c:layout>
        <c:manualLayout>
          <c:xMode val="edge"/>
          <c:yMode val="edge"/>
          <c:x val="0.36330984198980509"/>
          <c:y val="8.0906234546768624E-2"/>
          <c:w val="0.26019215119172379"/>
          <c:h val="5.4644954547031215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5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Total!$C$7</c:f>
              <c:strCache>
                <c:ptCount val="1"/>
                <c:pt idx="0">
                  <c:v>مؤشر جودة فحص الإجراءات الشكلية</c:v>
                </c:pt>
              </c:strCache>
            </c:strRef>
          </c:tx>
          <c:dLbls>
            <c:dLbl>
              <c:idx val="0"/>
              <c:layout>
                <c:manualLayout>
                  <c:x val="0"/>
                  <c:y val="1.8834172158422081E-2"/>
                </c:manualLayout>
              </c:layout>
              <c:showLegendKey val="0"/>
              <c:showVal val="1"/>
              <c:showCatName val="0"/>
              <c:showSerName val="0"/>
              <c:showPercent val="0"/>
              <c:showBubbleSize val="0"/>
            </c:dLbl>
            <c:dLbl>
              <c:idx val="1"/>
              <c:layout>
                <c:manualLayout>
                  <c:x val="-6.4130121194146622E-3"/>
                  <c:y val="3.2959801277238646E-2"/>
                </c:manualLayout>
              </c:layout>
              <c:showLegendKey val="0"/>
              <c:showVal val="1"/>
              <c:showCatName val="0"/>
              <c:showSerName val="0"/>
              <c:showPercent val="0"/>
              <c:showBubbleSize val="0"/>
            </c:dLbl>
            <c:dLbl>
              <c:idx val="2"/>
              <c:layout>
                <c:manualLayout>
                  <c:x val="-8.5506828258862157E-3"/>
                  <c:y val="3.7668344316844161E-2"/>
                </c:manualLayout>
              </c:layout>
              <c:showLegendKey val="0"/>
              <c:showVal val="1"/>
              <c:showCatName val="0"/>
              <c:showSerName val="0"/>
              <c:showPercent val="0"/>
              <c:showBubbleSize val="0"/>
            </c:dLbl>
            <c:dLbl>
              <c:idx val="3"/>
              <c:layout>
                <c:manualLayout>
                  <c:x val="-3.7081817138527817E-2"/>
                  <c:y val="-3.2000000000000001E-2"/>
                </c:manualLayout>
              </c:layout>
              <c:showLegendKey val="0"/>
              <c:showVal val="1"/>
              <c:showCatName val="0"/>
              <c:showSerName val="0"/>
              <c:showPercent val="0"/>
              <c:showBubbleSize val="0"/>
            </c:dLbl>
            <c:dLbl>
              <c:idx val="4"/>
              <c:layout>
                <c:manualLayout>
                  <c:x val="-3.5469564219461389E-2"/>
                  <c:y val="4.9777777777777775E-2"/>
                </c:manualLayout>
              </c:layout>
              <c:showLegendKey val="0"/>
              <c:showVal val="1"/>
              <c:showCatName val="0"/>
              <c:showSerName val="0"/>
              <c:showPercent val="0"/>
              <c:showBubbleSize val="0"/>
            </c:dLbl>
            <c:dLbl>
              <c:idx val="5"/>
              <c:layout>
                <c:manualLayout>
                  <c:x val="-3.3857311300394967E-2"/>
                  <c:y val="4.2666666666666665E-2"/>
                </c:manualLayout>
              </c:layout>
              <c:showLegendKey val="0"/>
              <c:showVal val="1"/>
              <c:showCatName val="0"/>
              <c:showSerName val="0"/>
              <c:showPercent val="0"/>
              <c:showBubbleSize val="0"/>
            </c:dLbl>
            <c:dLbl>
              <c:idx val="6"/>
              <c:layout>
                <c:manualLayout>
                  <c:x val="-3.3857337579948042E-2"/>
                  <c:y val="5.2083901046445884E-2"/>
                </c:manualLayout>
              </c:layout>
              <c:showLegendKey val="0"/>
              <c:showVal val="1"/>
              <c:showCatName val="0"/>
              <c:showSerName val="0"/>
              <c:showPercent val="0"/>
              <c:showBubbleSize val="0"/>
            </c:dLbl>
            <c:dLbl>
              <c:idx val="7"/>
              <c:layout>
                <c:manualLayout>
                  <c:x val="-3.5469511597789348E-2"/>
                  <c:y val="-4.358294172714549E-2"/>
                </c:manualLayout>
              </c:layout>
              <c:showLegendKey val="0"/>
              <c:showVal val="1"/>
              <c:showCatName val="0"/>
              <c:showSerName val="0"/>
              <c:showPercent val="0"/>
              <c:showBubbleSize val="0"/>
            </c:dLbl>
            <c:dLbl>
              <c:idx val="8"/>
              <c:layout>
                <c:manualLayout>
                  <c:x val="-1.6121740178413027E-3"/>
                  <c:y val="3.766834431684421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Total!$D$2:$L$2</c:f>
              <c:numCache>
                <c:formatCode>General</c:formatCode>
                <c:ptCount val="9"/>
                <c:pt idx="0">
                  <c:v>2007</c:v>
                </c:pt>
                <c:pt idx="1">
                  <c:v>2008</c:v>
                </c:pt>
                <c:pt idx="2">
                  <c:v>2009</c:v>
                </c:pt>
                <c:pt idx="3">
                  <c:v>2010</c:v>
                </c:pt>
                <c:pt idx="4">
                  <c:v>2011</c:v>
                </c:pt>
                <c:pt idx="5">
                  <c:v>2012</c:v>
                </c:pt>
                <c:pt idx="6">
                  <c:v>2013</c:v>
                </c:pt>
                <c:pt idx="7">
                  <c:v>2014</c:v>
                </c:pt>
                <c:pt idx="8">
                  <c:v>2015</c:v>
                </c:pt>
              </c:numCache>
            </c:numRef>
          </c:cat>
          <c:val>
            <c:numRef>
              <c:f>Total!$D$7:$L$7</c:f>
              <c:numCache>
                <c:formatCode>0.0%</c:formatCode>
                <c:ptCount val="9"/>
                <c:pt idx="0">
                  <c:v>0.81005938713706604</c:v>
                </c:pt>
                <c:pt idx="1">
                  <c:v>0.85005353919880533</c:v>
                </c:pt>
                <c:pt idx="2">
                  <c:v>0.88975194470231689</c:v>
                </c:pt>
                <c:pt idx="3">
                  <c:v>0.91756335023015567</c:v>
                </c:pt>
                <c:pt idx="4">
                  <c:v>0.9015626667365999</c:v>
                </c:pt>
                <c:pt idx="5">
                  <c:v>0.88177429530755769</c:v>
                </c:pt>
                <c:pt idx="6">
                  <c:v>0.87488156950829121</c:v>
                </c:pt>
                <c:pt idx="7">
                  <c:v>0.93069243373808619</c:v>
                </c:pt>
                <c:pt idx="8">
                  <c:v>0.92800901613707243</c:v>
                </c:pt>
              </c:numCache>
            </c:numRef>
          </c:val>
          <c:smooth val="0"/>
        </c:ser>
        <c:dLbls>
          <c:showLegendKey val="0"/>
          <c:showVal val="0"/>
          <c:showCatName val="0"/>
          <c:showSerName val="0"/>
          <c:showPercent val="0"/>
          <c:showBubbleSize val="0"/>
        </c:dLbls>
        <c:marker val="1"/>
        <c:smooth val="0"/>
        <c:axId val="25650688"/>
        <c:axId val="25652608"/>
      </c:lineChart>
      <c:catAx>
        <c:axId val="25650688"/>
        <c:scaling>
          <c:orientation val="minMax"/>
        </c:scaling>
        <c:delete val="0"/>
        <c:axPos val="b"/>
        <c:title>
          <c:tx>
            <c:rich>
              <a:bodyPr/>
              <a:lstStyle/>
              <a:p>
                <a:pPr>
                  <a:defRPr/>
                </a:pPr>
                <a:r>
                  <a:rPr lang="ar-SA" b="1"/>
                  <a:t>السنة</a:t>
                </a:r>
                <a:endParaRPr lang="en-US" b="1"/>
              </a:p>
            </c:rich>
          </c:tx>
          <c:layout/>
          <c:overlay val="0"/>
        </c:title>
        <c:numFmt formatCode="General" sourceLinked="1"/>
        <c:majorTickMark val="out"/>
        <c:minorTickMark val="none"/>
        <c:tickLblPos val="nextTo"/>
        <c:crossAx val="25652608"/>
        <c:crosses val="autoZero"/>
        <c:auto val="1"/>
        <c:lblAlgn val="ctr"/>
        <c:lblOffset val="100"/>
        <c:noMultiLvlLbl val="0"/>
      </c:catAx>
      <c:valAx>
        <c:axId val="25652608"/>
        <c:scaling>
          <c:orientation val="minMax"/>
          <c:max val="1"/>
          <c:min val="0.75000000000000011"/>
        </c:scaling>
        <c:delete val="0"/>
        <c:axPos val="l"/>
        <c:majorGridlines/>
        <c:title>
          <c:tx>
            <c:rich>
              <a:bodyPr rot="-5400000" vert="horz"/>
              <a:lstStyle/>
              <a:p>
                <a:pPr>
                  <a:defRPr/>
                </a:pPr>
                <a:r>
                  <a:rPr lang="ar-SA" b="1"/>
                  <a:t>مؤشر الجودة</a:t>
                </a:r>
                <a:endParaRPr lang="en-US" b="1"/>
              </a:p>
            </c:rich>
          </c:tx>
          <c:layout/>
          <c:overlay val="0"/>
        </c:title>
        <c:numFmt formatCode="0%" sourceLinked="0"/>
        <c:majorTickMark val="out"/>
        <c:minorTickMark val="none"/>
        <c:tickLblPos val="nextTo"/>
        <c:crossAx val="25650688"/>
        <c:crosses val="autoZero"/>
        <c:crossBetween val="between"/>
      </c:valAx>
    </c:plotArea>
    <c:legend>
      <c:legendPos val="t"/>
      <c:layout/>
      <c:overlay val="0"/>
    </c:legend>
    <c:plotVisOnly val="1"/>
    <c:dispBlanksAs val="gap"/>
    <c:showDLblsOverMax val="0"/>
  </c:chart>
  <c:spPr>
    <a:ln>
      <a:noFill/>
    </a:ln>
  </c:spPr>
  <c:txPr>
    <a:bodyPr/>
    <a:lstStyle/>
    <a:p>
      <a:pPr rtl="1">
        <a:defRPr sz="1500">
          <a:latin typeface="Arabic Typesetting" panose="03020402040406030203" pitchFamily="66" charset="-78"/>
          <a:cs typeface="Arabic Typesetting" panose="03020402040406030203" pitchFamily="66" charset="-78"/>
        </a:defRPr>
      </a:pPr>
      <a:endParaRPr lang="en-US"/>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r" rtl="1">
              <a:defRPr/>
            </a:pPr>
            <a:r>
              <a:rPr lang="ar-SA" sz="1200" b="1"/>
              <a:t>توقيت فحص الإجراءات الشكلية</a:t>
            </a:r>
            <a:endParaRPr lang="en-US" sz="1200" b="1"/>
          </a:p>
        </c:rich>
      </c:tx>
      <c:layout>
        <c:manualLayout>
          <c:xMode val="edge"/>
          <c:yMode val="edge"/>
          <c:x val="0.40973313680617507"/>
          <c:y val="0"/>
        </c:manualLayout>
      </c:layout>
      <c:overlay val="1"/>
    </c:title>
    <c:autoTitleDeleted val="0"/>
    <c:plotArea>
      <c:layout>
        <c:manualLayout>
          <c:layoutTarget val="inner"/>
          <c:xMode val="edge"/>
          <c:yMode val="edge"/>
          <c:x val="0.13780201271632489"/>
          <c:y val="0.23254386050079129"/>
          <c:w val="0.83155029685460435"/>
          <c:h val="0.55130576618736471"/>
        </c:manualLayout>
      </c:layout>
      <c:barChart>
        <c:barDir val="col"/>
        <c:grouping val="percentStacked"/>
        <c:varyColors val="0"/>
        <c:ser>
          <c:idx val="0"/>
          <c:order val="0"/>
          <c:tx>
            <c:strRef>
              <c:f>'Time Exam'!$C$7</c:f>
              <c:strCache>
                <c:ptCount val="1"/>
                <c:pt idx="0">
                  <c:v>أقل من أسبوع</c:v>
                </c:pt>
              </c:strCache>
            </c:strRef>
          </c:tx>
          <c:spPr>
            <a:solidFill>
              <a:srgbClr val="FFCC99"/>
            </a:solidFill>
            <a:ln w="25400">
              <a:noFill/>
            </a:ln>
          </c:spPr>
          <c:invertIfNegative val="0"/>
          <c:cat>
            <c:numRef>
              <c:f>'Time Exam'!$H$6:$S$6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Exam'!$H$7:$S$7</c:f>
              <c:numCache>
                <c:formatCode>_-* #,##0.00_-;\-* #,##0.00_-;_-* "-"??_-;_-@_-</c:formatCode>
                <c:ptCount val="12"/>
                <c:pt idx="0">
                  <c:v>0.1686</c:v>
                </c:pt>
                <c:pt idx="1">
                  <c:v>9.9000000000000005E-2</c:v>
                </c:pt>
                <c:pt idx="2">
                  <c:v>7.5600000000000001E-2</c:v>
                </c:pt>
                <c:pt idx="3">
                  <c:v>18.304343693565251</c:v>
                </c:pt>
                <c:pt idx="4">
                  <c:v>26.128063833288877</c:v>
                </c:pt>
                <c:pt idx="5">
                  <c:v>40.037016495397864</c:v>
                </c:pt>
                <c:pt idx="6">
                  <c:v>31.122055202322763</c:v>
                </c:pt>
                <c:pt idx="7">
                  <c:v>28.090207299525655</c:v>
                </c:pt>
                <c:pt idx="8">
                  <c:v>32.576256257014727</c:v>
                </c:pt>
                <c:pt idx="9">
                  <c:v>55.531222768189139</c:v>
                </c:pt>
                <c:pt idx="10">
                  <c:v>61.217646012127183</c:v>
                </c:pt>
                <c:pt idx="11">
                  <c:v>64.143079640473687</c:v>
                </c:pt>
              </c:numCache>
            </c:numRef>
          </c:val>
        </c:ser>
        <c:ser>
          <c:idx val="1"/>
          <c:order val="1"/>
          <c:tx>
            <c:strRef>
              <c:f>'Time Exam'!$C$8</c:f>
              <c:strCache>
                <c:ptCount val="1"/>
                <c:pt idx="0">
                  <c:v>بين أسبوع وأسبوعين</c:v>
                </c:pt>
              </c:strCache>
            </c:strRef>
          </c:tx>
          <c:spPr>
            <a:solidFill>
              <a:srgbClr val="FF6600"/>
            </a:solidFill>
            <a:ln w="25400">
              <a:noFill/>
            </a:ln>
          </c:spPr>
          <c:invertIfNegative val="0"/>
          <c:cat>
            <c:numRef>
              <c:f>'Time Exam'!$H$6:$S$6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Exam'!$H$8:$S$8</c:f>
              <c:numCache>
                <c:formatCode>_-* #,##0.00_-;\-* #,##0.00_-;_-* "-"??_-;_-@_-</c:formatCode>
                <c:ptCount val="12"/>
                <c:pt idx="0">
                  <c:v>0.25409999999999999</c:v>
                </c:pt>
                <c:pt idx="1">
                  <c:v>0.23760000000000001</c:v>
                </c:pt>
                <c:pt idx="2">
                  <c:v>0.1832</c:v>
                </c:pt>
                <c:pt idx="3">
                  <c:v>26.019706618509016</c:v>
                </c:pt>
                <c:pt idx="4">
                  <c:v>27.748298895062113</c:v>
                </c:pt>
                <c:pt idx="5">
                  <c:v>22.935894160242789</c:v>
                </c:pt>
                <c:pt idx="6">
                  <c:v>26.297058571306064</c:v>
                </c:pt>
                <c:pt idx="7">
                  <c:v>25.781955257442046</c:v>
                </c:pt>
                <c:pt idx="8">
                  <c:v>21.827214047915593</c:v>
                </c:pt>
                <c:pt idx="9">
                  <c:v>16.546447489084464</c:v>
                </c:pt>
                <c:pt idx="10">
                  <c:v>20.130761895636859</c:v>
                </c:pt>
                <c:pt idx="11">
                  <c:v>16.616780795099583</c:v>
                </c:pt>
              </c:numCache>
            </c:numRef>
          </c:val>
        </c:ser>
        <c:ser>
          <c:idx val="2"/>
          <c:order val="2"/>
          <c:tx>
            <c:strRef>
              <c:f>'Time Exam'!$C$9</c:f>
              <c:strCache>
                <c:ptCount val="1"/>
                <c:pt idx="0">
                  <c:v>بين أسبوعين و3 أسابيع</c:v>
                </c:pt>
              </c:strCache>
            </c:strRef>
          </c:tx>
          <c:spPr>
            <a:solidFill>
              <a:srgbClr val="99CCFF"/>
            </a:solidFill>
            <a:ln w="25400">
              <a:noFill/>
            </a:ln>
          </c:spPr>
          <c:invertIfNegative val="0"/>
          <c:cat>
            <c:numRef>
              <c:f>'Time Exam'!$H$6:$S$6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Exam'!$H$9:$S$9</c:f>
              <c:numCache>
                <c:formatCode>_-* #,##0.00_-;\-* #,##0.00_-;_-* "-"??_-;_-@_-</c:formatCode>
                <c:ptCount val="12"/>
                <c:pt idx="0">
                  <c:v>0.2122</c:v>
                </c:pt>
                <c:pt idx="1">
                  <c:v>0.22209999999999999</c:v>
                </c:pt>
                <c:pt idx="2">
                  <c:v>0.16159999999999999</c:v>
                </c:pt>
                <c:pt idx="3">
                  <c:v>18.56667617146659</c:v>
                </c:pt>
                <c:pt idx="4">
                  <c:v>20.072187005204047</c:v>
                </c:pt>
                <c:pt idx="5">
                  <c:v>13.988371585789155</c:v>
                </c:pt>
                <c:pt idx="6">
                  <c:v>21.725654501574233</c:v>
                </c:pt>
                <c:pt idx="7">
                  <c:v>17.496539536817686</c:v>
                </c:pt>
                <c:pt idx="8">
                  <c:v>15.058982871052221</c:v>
                </c:pt>
                <c:pt idx="9">
                  <c:v>10.50127062774029</c:v>
                </c:pt>
                <c:pt idx="10">
                  <c:v>9.8413610917203904</c:v>
                </c:pt>
                <c:pt idx="11">
                  <c:v>10.419476372369028</c:v>
                </c:pt>
              </c:numCache>
            </c:numRef>
          </c:val>
        </c:ser>
        <c:ser>
          <c:idx val="3"/>
          <c:order val="3"/>
          <c:tx>
            <c:strRef>
              <c:f>'Time Exam'!$C$10</c:f>
              <c:strCache>
                <c:ptCount val="1"/>
                <c:pt idx="0">
                  <c:v>بين 3 و4 أسابيع</c:v>
                </c:pt>
              </c:strCache>
            </c:strRef>
          </c:tx>
          <c:spPr>
            <a:solidFill>
              <a:srgbClr val="339966"/>
            </a:solidFill>
            <a:ln w="25400">
              <a:noFill/>
            </a:ln>
          </c:spPr>
          <c:invertIfNegative val="0"/>
          <c:cat>
            <c:numRef>
              <c:f>'Time Exam'!$H$6:$S$6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Exam'!$H$10:$S$10</c:f>
              <c:numCache>
                <c:formatCode>_-* #,##0.00_-;\-* #,##0.00_-;_-* "-"??_-;_-@_-</c:formatCode>
                <c:ptCount val="12"/>
                <c:pt idx="0">
                  <c:v>0.16339999999999999</c:v>
                </c:pt>
                <c:pt idx="1">
                  <c:v>0.17</c:v>
                </c:pt>
                <c:pt idx="2">
                  <c:v>0.1636</c:v>
                </c:pt>
                <c:pt idx="3">
                  <c:v>13.780692583087792</c:v>
                </c:pt>
                <c:pt idx="4">
                  <c:v>12.515251774880964</c:v>
                </c:pt>
                <c:pt idx="5">
                  <c:v>8.5536770341935195</c:v>
                </c:pt>
                <c:pt idx="6">
                  <c:v>10.508165190439438</c:v>
                </c:pt>
                <c:pt idx="7">
                  <c:v>11.83560474671598</c:v>
                </c:pt>
                <c:pt idx="8">
                  <c:v>9.7687568371352942</c:v>
                </c:pt>
                <c:pt idx="9">
                  <c:v>6.9047325750628472</c:v>
                </c:pt>
                <c:pt idx="10">
                  <c:v>4.3079337704229914</c:v>
                </c:pt>
                <c:pt idx="11">
                  <c:v>5.2580288699979985</c:v>
                </c:pt>
              </c:numCache>
            </c:numRef>
          </c:val>
        </c:ser>
        <c:ser>
          <c:idx val="4"/>
          <c:order val="4"/>
          <c:tx>
            <c:strRef>
              <c:f>'Time Exam'!$C$11</c:f>
              <c:strCache>
                <c:ptCount val="1"/>
                <c:pt idx="0">
                  <c:v>أكثر من 4 أسابيع</c:v>
                </c:pt>
              </c:strCache>
            </c:strRef>
          </c:tx>
          <c:spPr>
            <a:solidFill>
              <a:srgbClr val="969696"/>
            </a:solidFill>
            <a:ln w="25400">
              <a:noFill/>
            </a:ln>
          </c:spPr>
          <c:invertIfNegative val="0"/>
          <c:cat>
            <c:numRef>
              <c:f>'Time Exam'!$H$6:$S$6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Exam'!$H$11:$S$11</c:f>
              <c:numCache>
                <c:formatCode>_-* #,##0.00_-;\-* #,##0.00_-;_-* "-"??_-;_-@_-</c:formatCode>
                <c:ptCount val="12"/>
                <c:pt idx="0">
                  <c:v>0.2016</c:v>
                </c:pt>
                <c:pt idx="1">
                  <c:v>0.27129999999999999</c:v>
                </c:pt>
                <c:pt idx="2">
                  <c:v>0.41599999999999998</c:v>
                </c:pt>
                <c:pt idx="3">
                  <c:v>23.328580933371352</c:v>
                </c:pt>
                <c:pt idx="4">
                  <c:v>13.536198491563994</c:v>
                </c:pt>
                <c:pt idx="5">
                  <c:v>14.485040724376672</c:v>
                </c:pt>
                <c:pt idx="6">
                  <c:v>10.347066534357504</c:v>
                </c:pt>
                <c:pt idx="7">
                  <c:v>16.795693159498629</c:v>
                </c:pt>
                <c:pt idx="8">
                  <c:v>20.768789986882172</c:v>
                </c:pt>
                <c:pt idx="9">
                  <c:v>10.516326539923261</c:v>
                </c:pt>
                <c:pt idx="10">
                  <c:v>4.5022972300925739</c:v>
                </c:pt>
                <c:pt idx="11">
                  <c:v>3.5626343220597065</c:v>
                </c:pt>
              </c:numCache>
            </c:numRef>
          </c:val>
        </c:ser>
        <c:dLbls>
          <c:showLegendKey val="0"/>
          <c:showVal val="0"/>
          <c:showCatName val="0"/>
          <c:showSerName val="0"/>
          <c:showPercent val="0"/>
          <c:showBubbleSize val="0"/>
        </c:dLbls>
        <c:gapWidth val="150"/>
        <c:overlap val="100"/>
        <c:axId val="26840064"/>
        <c:axId val="26846336"/>
      </c:barChart>
      <c:catAx>
        <c:axId val="26840064"/>
        <c:scaling>
          <c:orientation val="minMax"/>
        </c:scaling>
        <c:delete val="0"/>
        <c:axPos val="b"/>
        <c:title>
          <c:tx>
            <c:rich>
              <a:bodyPr/>
              <a:lstStyle/>
              <a:p>
                <a:pPr>
                  <a:defRPr b="1"/>
                </a:pPr>
                <a:r>
                  <a:rPr lang="ar-SA" b="1"/>
                  <a:t>سنة تسلم النسخة الأصلية</a:t>
                </a:r>
                <a:endParaRPr lang="en-US" b="1"/>
              </a:p>
            </c:rich>
          </c:tx>
          <c:layout>
            <c:manualLayout>
              <c:xMode val="edge"/>
              <c:yMode val="edge"/>
              <c:x val="0.44006568144499181"/>
              <c:y val="0.87405422333571936"/>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26846336"/>
        <c:crosses val="autoZero"/>
        <c:auto val="1"/>
        <c:lblAlgn val="ctr"/>
        <c:lblOffset val="100"/>
        <c:tickLblSkip val="1"/>
        <c:tickMarkSkip val="1"/>
        <c:noMultiLvlLbl val="0"/>
      </c:catAx>
      <c:valAx>
        <c:axId val="26846336"/>
        <c:scaling>
          <c:orientation val="minMax"/>
        </c:scaling>
        <c:delete val="0"/>
        <c:axPos val="l"/>
        <c:majorGridlines>
          <c:spPr>
            <a:ln w="3175">
              <a:solidFill>
                <a:srgbClr val="000000"/>
              </a:solidFill>
              <a:prstDash val="sysDash"/>
            </a:ln>
          </c:spPr>
        </c:majorGridlines>
        <c:title>
          <c:tx>
            <c:rich>
              <a:bodyPr/>
              <a:lstStyle/>
              <a:p>
                <a:pPr>
                  <a:defRPr/>
                </a:pPr>
                <a:r>
                  <a:rPr lang="ar-SA" b="1"/>
                  <a:t>التوزيع بحسب التأخر(%)</a:t>
                </a:r>
                <a:endParaRPr lang="en-US" b="1"/>
              </a:p>
            </c:rich>
          </c:tx>
          <c:layout>
            <c:manualLayout>
              <c:xMode val="edge"/>
              <c:yMode val="edge"/>
              <c:x val="8.6206896551724137E-3"/>
              <c:y val="0.30018969219756619"/>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26840064"/>
        <c:crosses val="autoZero"/>
        <c:crossBetween val="between"/>
        <c:majorUnit val="0.25"/>
      </c:valAx>
      <c:spPr>
        <a:noFill/>
        <a:ln w="25400">
          <a:noFill/>
        </a:ln>
      </c:spPr>
    </c:plotArea>
    <c:legend>
      <c:legendPos val="b"/>
      <c:layout>
        <c:manualLayout>
          <c:xMode val="edge"/>
          <c:yMode val="edge"/>
          <c:x val="0.19334978314876416"/>
          <c:y val="0.10356884181092653"/>
          <c:w val="0.69827586206896552"/>
          <c:h val="9.6591043078395611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2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b="1"/>
            </a:pPr>
            <a:r>
              <a:rPr lang="ar-SA" sz="1500" b="1"/>
              <a:t>توقيت النشر</a:t>
            </a:r>
            <a:endParaRPr lang="en-US" sz="1500" b="1"/>
          </a:p>
        </c:rich>
      </c:tx>
      <c:layout>
        <c:manualLayout>
          <c:xMode val="edge"/>
          <c:yMode val="edge"/>
          <c:x val="0.46233811386353751"/>
          <c:y val="7.575757575757576E-3"/>
        </c:manualLayout>
      </c:layout>
      <c:overlay val="1"/>
    </c:title>
    <c:autoTitleDeleted val="0"/>
    <c:plotArea>
      <c:layout>
        <c:manualLayout>
          <c:layoutTarget val="inner"/>
          <c:xMode val="edge"/>
          <c:yMode val="edge"/>
          <c:x val="0.13799722093561834"/>
          <c:y val="0.22119839841822708"/>
          <c:w val="0.82413187923702047"/>
          <c:h val="0.58809488436586932"/>
        </c:manualLayout>
      </c:layout>
      <c:barChart>
        <c:barDir val="col"/>
        <c:grouping val="percentStacked"/>
        <c:varyColors val="0"/>
        <c:ser>
          <c:idx val="0"/>
          <c:order val="0"/>
          <c:tx>
            <c:strRef>
              <c:f>'Time Pub'!$C$7</c:f>
              <c:strCache>
                <c:ptCount val="1"/>
                <c:pt idx="0">
                  <c:v>أقل من أسبوع</c:v>
                </c:pt>
              </c:strCache>
            </c:strRef>
          </c:tx>
          <c:spPr>
            <a:solidFill>
              <a:srgbClr val="FFCC99"/>
            </a:solidFill>
            <a:ln w="25400">
              <a:noFill/>
            </a:ln>
          </c:spPr>
          <c:invertIfNegative val="0"/>
          <c:cat>
            <c:numRef>
              <c:f>'Time 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Pub'!$G$7:$R$7</c:f>
              <c:numCache>
                <c:formatCode>_-* #,##0.0_-;\-* #,##0.0_-;_-* "-"??_-;_-@_-</c:formatCode>
                <c:ptCount val="12"/>
                <c:pt idx="0">
                  <c:v>7.4107976005332148</c:v>
                </c:pt>
                <c:pt idx="1">
                  <c:v>8.4219935989017571</c:v>
                </c:pt>
                <c:pt idx="2">
                  <c:v>49.068748288140235</c:v>
                </c:pt>
                <c:pt idx="3">
                  <c:v>43.09931233008156</c:v>
                </c:pt>
                <c:pt idx="4">
                  <c:v>54.781777082246563</c:v>
                </c:pt>
                <c:pt idx="5">
                  <c:v>65.889464038838696</c:v>
                </c:pt>
                <c:pt idx="6">
                  <c:v>74.239292156578756</c:v>
                </c:pt>
                <c:pt idx="7">
                  <c:v>75.049031887529097</c:v>
                </c:pt>
                <c:pt idx="8">
                  <c:v>77.303436356698768</c:v>
                </c:pt>
                <c:pt idx="9">
                  <c:v>76.356076061733972</c:v>
                </c:pt>
                <c:pt idx="10">
                  <c:v>74.850313617306199</c:v>
                </c:pt>
                <c:pt idx="11">
                  <c:v>77.872670807453417</c:v>
                </c:pt>
              </c:numCache>
            </c:numRef>
          </c:val>
        </c:ser>
        <c:ser>
          <c:idx val="1"/>
          <c:order val="1"/>
          <c:tx>
            <c:strRef>
              <c:f>'Time Pub'!$C$8</c:f>
              <c:strCache>
                <c:ptCount val="1"/>
                <c:pt idx="0">
                  <c:v>بين أسبوع وأسبوعين</c:v>
                </c:pt>
              </c:strCache>
            </c:strRef>
          </c:tx>
          <c:spPr>
            <a:solidFill>
              <a:srgbClr val="FF6600"/>
            </a:solidFill>
            <a:ln w="25400">
              <a:noFill/>
            </a:ln>
          </c:spPr>
          <c:invertIfNegative val="0"/>
          <c:cat>
            <c:numRef>
              <c:f>'Time 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Pub'!$G$8:$R$8</c:f>
              <c:numCache>
                <c:formatCode>_-* #,##0.0_-;\-* #,##0.0_-;_-* "-"??_-;_-@_-</c:formatCode>
                <c:ptCount val="12"/>
                <c:pt idx="0">
                  <c:v>54.88113752499445</c:v>
                </c:pt>
                <c:pt idx="1">
                  <c:v>50.729900790958652</c:v>
                </c:pt>
                <c:pt idx="2">
                  <c:v>41.484668944341131</c:v>
                </c:pt>
                <c:pt idx="3">
                  <c:v>47.912335412335409</c:v>
                </c:pt>
                <c:pt idx="4">
                  <c:v>36.999155426385471</c:v>
                </c:pt>
                <c:pt idx="5">
                  <c:v>28.039738931935826</c:v>
                </c:pt>
                <c:pt idx="6">
                  <c:v>22.006873033219659</c:v>
                </c:pt>
                <c:pt idx="7">
                  <c:v>22.263226389847805</c:v>
                </c:pt>
                <c:pt idx="8">
                  <c:v>20.691087019953763</c:v>
                </c:pt>
                <c:pt idx="9">
                  <c:v>22.34715754829131</c:v>
                </c:pt>
                <c:pt idx="10">
                  <c:v>22.257569786379371</c:v>
                </c:pt>
                <c:pt idx="11">
                  <c:v>21.203615225354355</c:v>
                </c:pt>
              </c:numCache>
            </c:numRef>
          </c:val>
        </c:ser>
        <c:ser>
          <c:idx val="2"/>
          <c:order val="2"/>
          <c:tx>
            <c:strRef>
              <c:f>'Time Pub'!$C$9</c:f>
              <c:strCache>
                <c:ptCount val="1"/>
                <c:pt idx="0">
                  <c:v>بين أسبوعين و3 أسابيع</c:v>
                </c:pt>
              </c:strCache>
            </c:strRef>
          </c:tx>
          <c:spPr>
            <a:solidFill>
              <a:srgbClr val="99CCFF"/>
            </a:solidFill>
            <a:ln w="25400">
              <a:noFill/>
            </a:ln>
          </c:spPr>
          <c:invertIfNegative val="0"/>
          <c:cat>
            <c:numRef>
              <c:f>'Time 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Pub'!$G$9:$R$9</c:f>
              <c:numCache>
                <c:formatCode>_-* #,##0.0_-;\-* #,##0.0_-;_-* "-"??_-;_-@_-</c:formatCode>
                <c:ptCount val="12"/>
                <c:pt idx="0">
                  <c:v>28.971339702288379</c:v>
                </c:pt>
                <c:pt idx="1">
                  <c:v>25.089591431148289</c:v>
                </c:pt>
                <c:pt idx="2">
                  <c:v>2.5011172137410083</c:v>
                </c:pt>
                <c:pt idx="3">
                  <c:v>3.9607654992270378</c:v>
                </c:pt>
                <c:pt idx="4">
                  <c:v>2.2964950194997145</c:v>
                </c:pt>
                <c:pt idx="5">
                  <c:v>1.8165450278108219</c:v>
                </c:pt>
                <c:pt idx="6">
                  <c:v>1.0375383481020157</c:v>
                </c:pt>
                <c:pt idx="7">
                  <c:v>0.75823766259951486</c:v>
                </c:pt>
                <c:pt idx="8">
                  <c:v>0.59086930173052321</c:v>
                </c:pt>
                <c:pt idx="9">
                  <c:v>0.14327763155845571</c:v>
                </c:pt>
                <c:pt idx="10">
                  <c:v>1.15713152934138</c:v>
                </c:pt>
                <c:pt idx="11">
                  <c:v>0.10750119445771619</c:v>
                </c:pt>
              </c:numCache>
            </c:numRef>
          </c:val>
        </c:ser>
        <c:ser>
          <c:idx val="3"/>
          <c:order val="3"/>
          <c:tx>
            <c:strRef>
              <c:f>'Time Pub'!$C$10</c:f>
              <c:strCache>
                <c:ptCount val="1"/>
                <c:pt idx="0">
                  <c:v>بين 3 و4 أسابيع</c:v>
                </c:pt>
              </c:strCache>
            </c:strRef>
          </c:tx>
          <c:spPr>
            <a:solidFill>
              <a:srgbClr val="339966"/>
            </a:solidFill>
            <a:ln w="25400">
              <a:noFill/>
            </a:ln>
          </c:spPr>
          <c:invertIfNegative val="0"/>
          <c:cat>
            <c:numRef>
              <c:f>'Time 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Pub'!$G$10:$R$10</c:f>
              <c:numCache>
                <c:formatCode>_-* #,##0.0_-;\-* #,##0.0_-;_-* "-"??_-;_-@_-</c:formatCode>
                <c:ptCount val="12"/>
                <c:pt idx="0">
                  <c:v>4.0106642968229282</c:v>
                </c:pt>
                <c:pt idx="1">
                  <c:v>6.949421746174905</c:v>
                </c:pt>
                <c:pt idx="2">
                  <c:v>1.0033300177312632</c:v>
                </c:pt>
                <c:pt idx="3">
                  <c:v>1.1194626579241964</c:v>
                </c:pt>
                <c:pt idx="4">
                  <c:v>1.1420374096430435</c:v>
                </c:pt>
                <c:pt idx="5">
                  <c:v>1.0314117609233837</c:v>
                </c:pt>
                <c:pt idx="6">
                  <c:v>1.0138382335514622</c:v>
                </c:pt>
                <c:pt idx="7">
                  <c:v>0.92625970709175232</c:v>
                </c:pt>
                <c:pt idx="8">
                  <c:v>0.35519493636792132</c:v>
                </c:pt>
                <c:pt idx="9">
                  <c:v>0.11784066073829509</c:v>
                </c:pt>
                <c:pt idx="10">
                  <c:v>0.82808263732924348</c:v>
                </c:pt>
                <c:pt idx="11">
                  <c:v>7.9630514413123119E-2</c:v>
                </c:pt>
              </c:numCache>
            </c:numRef>
          </c:val>
        </c:ser>
        <c:ser>
          <c:idx val="4"/>
          <c:order val="4"/>
          <c:tx>
            <c:strRef>
              <c:f>'Time Pub'!$C$11</c:f>
              <c:strCache>
                <c:ptCount val="1"/>
                <c:pt idx="0">
                  <c:v>أكثر من 4 أسابيع</c:v>
                </c:pt>
              </c:strCache>
            </c:strRef>
          </c:tx>
          <c:spPr>
            <a:solidFill>
              <a:srgbClr val="969696"/>
            </a:solidFill>
            <a:ln w="25400">
              <a:noFill/>
            </a:ln>
          </c:spPr>
          <c:invertIfNegative val="0"/>
          <c:cat>
            <c:numRef>
              <c:f>'Time 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Pub'!$G$11:$R$11</c:f>
              <c:numCache>
                <c:formatCode>_-* #,##0.0_-;\-* #,##0.0_-;_-* "-"??_-;_-@_-</c:formatCode>
                <c:ptCount val="12"/>
                <c:pt idx="0">
                  <c:v>4.7260608753610311</c:v>
                </c:pt>
                <c:pt idx="1">
                  <c:v>8.8090924328164046</c:v>
                </c:pt>
                <c:pt idx="2">
                  <c:v>5.9421355360463606</c:v>
                </c:pt>
                <c:pt idx="3">
                  <c:v>3.908124100431793</c:v>
                </c:pt>
                <c:pt idx="4">
                  <c:v>4.7805350622252032</c:v>
                </c:pt>
                <c:pt idx="5">
                  <c:v>3.222840240491271</c:v>
                </c:pt>
                <c:pt idx="6">
                  <c:v>1.7024582285481045</c:v>
                </c:pt>
                <c:pt idx="7">
                  <c:v>1.0032443529318318</c:v>
                </c:pt>
                <c:pt idx="8">
                  <c:v>1.0594123852490291</c:v>
                </c:pt>
                <c:pt idx="9">
                  <c:v>1.0356480976779678</c:v>
                </c:pt>
                <c:pt idx="10">
                  <c:v>0.90690242964383894</c:v>
                </c:pt>
                <c:pt idx="11">
                  <c:v>0.73658225832138879</c:v>
                </c:pt>
              </c:numCache>
            </c:numRef>
          </c:val>
        </c:ser>
        <c:dLbls>
          <c:showLegendKey val="0"/>
          <c:showVal val="0"/>
          <c:showCatName val="0"/>
          <c:showSerName val="0"/>
          <c:showPercent val="0"/>
          <c:showBubbleSize val="0"/>
        </c:dLbls>
        <c:gapWidth val="150"/>
        <c:overlap val="100"/>
        <c:axId val="39687680"/>
        <c:axId val="39689600"/>
      </c:barChart>
      <c:catAx>
        <c:axId val="39687680"/>
        <c:scaling>
          <c:orientation val="minMax"/>
        </c:scaling>
        <c:delete val="0"/>
        <c:axPos val="b"/>
        <c:title>
          <c:tx>
            <c:rich>
              <a:bodyPr/>
              <a:lstStyle/>
              <a:p>
                <a:pPr>
                  <a:defRPr b="1"/>
                </a:pPr>
                <a:r>
                  <a:rPr lang="ar-SA" b="1"/>
                  <a:t>سنة النشر</a:t>
                </a:r>
                <a:endParaRPr lang="en-US" b="1"/>
              </a:p>
            </c:rich>
          </c:tx>
          <c:layout>
            <c:manualLayout>
              <c:xMode val="edge"/>
              <c:yMode val="edge"/>
              <c:x val="0.49022164276401564"/>
              <c:y val="0.90056937485087096"/>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39689600"/>
        <c:crosses val="autoZero"/>
        <c:auto val="1"/>
        <c:lblAlgn val="ctr"/>
        <c:lblOffset val="100"/>
        <c:tickLblSkip val="1"/>
        <c:tickMarkSkip val="1"/>
        <c:noMultiLvlLbl val="0"/>
      </c:catAx>
      <c:valAx>
        <c:axId val="39689600"/>
        <c:scaling>
          <c:orientation val="minMax"/>
        </c:scaling>
        <c:delete val="0"/>
        <c:axPos val="l"/>
        <c:majorGridlines>
          <c:spPr>
            <a:ln w="3175">
              <a:solidFill>
                <a:srgbClr val="000000"/>
              </a:solidFill>
              <a:prstDash val="sysDash"/>
            </a:ln>
          </c:spPr>
        </c:majorGridlines>
        <c:title>
          <c:tx>
            <c:rich>
              <a:bodyPr/>
              <a:lstStyle/>
              <a:p>
                <a:pPr>
                  <a:defRPr b="1"/>
                </a:pPr>
                <a:r>
                  <a:rPr lang="ar-SA" b="1"/>
                  <a:t>التوزيع بحسب التأخر (%)</a:t>
                </a:r>
                <a:endParaRPr lang="en-US" b="1"/>
              </a:p>
            </c:rich>
          </c:tx>
          <c:layout>
            <c:manualLayout>
              <c:xMode val="edge"/>
              <c:yMode val="edge"/>
              <c:x val="1.6949152542372881E-2"/>
              <c:y val="0.29640181340968741"/>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39687680"/>
        <c:crosses val="autoZero"/>
        <c:crossBetween val="between"/>
        <c:majorUnit val="0.25"/>
      </c:valAx>
      <c:spPr>
        <a:noFill/>
        <a:ln w="25400">
          <a:noFill/>
        </a:ln>
      </c:spPr>
    </c:plotArea>
    <c:legend>
      <c:legendPos val="b"/>
      <c:layout>
        <c:manualLayout>
          <c:xMode val="edge"/>
          <c:yMode val="edge"/>
          <c:x val="0.15244700829508612"/>
          <c:y val="9.7396787665692736E-2"/>
          <c:w val="0.79070984041433323"/>
          <c:h val="9.6591043078395611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4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b="1"/>
            </a:pPr>
            <a:r>
              <a:rPr lang="ar-SA" b="1"/>
              <a:t>توقيت إعادة النشر</a:t>
            </a:r>
            <a:endParaRPr lang="en-US" b="1"/>
          </a:p>
        </c:rich>
      </c:tx>
      <c:layout/>
      <c:overlay val="1"/>
    </c:title>
    <c:autoTitleDeleted val="0"/>
    <c:plotArea>
      <c:layout>
        <c:manualLayout>
          <c:layoutTarget val="inner"/>
          <c:xMode val="edge"/>
          <c:yMode val="edge"/>
          <c:x val="0.12516297262059975"/>
          <c:y val="0.24526544977332379"/>
          <c:w val="0.79965232507605388"/>
          <c:h val="0.5445084705320925"/>
        </c:manualLayout>
      </c:layout>
      <c:barChart>
        <c:barDir val="col"/>
        <c:grouping val="percentStacked"/>
        <c:varyColors val="0"/>
        <c:ser>
          <c:idx val="0"/>
          <c:order val="0"/>
          <c:tx>
            <c:strRef>
              <c:f>'Time Repub'!$C$7</c:f>
              <c:strCache>
                <c:ptCount val="1"/>
                <c:pt idx="0">
                  <c:v>أقل من شهرين</c:v>
                </c:pt>
              </c:strCache>
            </c:strRef>
          </c:tx>
          <c:spPr>
            <a:solidFill>
              <a:srgbClr val="FFCC99"/>
            </a:solidFill>
            <a:ln w="25400">
              <a:noFill/>
            </a:ln>
          </c:spPr>
          <c:invertIfNegative val="0"/>
          <c:cat>
            <c:numRef>
              <c:f>'Time Repub'!$G$6:$R$6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Repub'!$G$7:$R$7</c:f>
              <c:numCache>
                <c:formatCode>_-* #,##0.00_-;\-* #,##0.00_-;_-* "-"??_-;_-@_-</c:formatCode>
                <c:ptCount val="12"/>
                <c:pt idx="0">
                  <c:v>46.078512283018348</c:v>
                </c:pt>
                <c:pt idx="1">
                  <c:v>52.641979812720422</c:v>
                </c:pt>
                <c:pt idx="2">
                  <c:v>43.11798162461718</c:v>
                </c:pt>
                <c:pt idx="3">
                  <c:v>45.275926875106784</c:v>
                </c:pt>
                <c:pt idx="4">
                  <c:v>54.319825621718024</c:v>
                </c:pt>
                <c:pt idx="5">
                  <c:v>71.099360745008283</c:v>
                </c:pt>
                <c:pt idx="6">
                  <c:v>76.329852163298511</c:v>
                </c:pt>
                <c:pt idx="7">
                  <c:v>73.734933066711108</c:v>
                </c:pt>
                <c:pt idx="8">
                  <c:v>69.931674750951856</c:v>
                </c:pt>
                <c:pt idx="9">
                  <c:v>58.437557307903909</c:v>
                </c:pt>
                <c:pt idx="10">
                  <c:v>77.331176372988224</c:v>
                </c:pt>
                <c:pt idx="11">
                  <c:v>73.797944069857408</c:v>
                </c:pt>
              </c:numCache>
            </c:numRef>
          </c:val>
        </c:ser>
        <c:ser>
          <c:idx val="1"/>
          <c:order val="1"/>
          <c:tx>
            <c:strRef>
              <c:f>'Time Repub'!$C$8</c:f>
              <c:strCache>
                <c:ptCount val="1"/>
                <c:pt idx="0">
                  <c:v>بين شهرين و3 أشهر</c:v>
                </c:pt>
              </c:strCache>
            </c:strRef>
          </c:tx>
          <c:spPr>
            <a:solidFill>
              <a:srgbClr val="FF6600"/>
            </a:solidFill>
            <a:ln w="25400">
              <a:noFill/>
            </a:ln>
          </c:spPr>
          <c:invertIfNegative val="0"/>
          <c:cat>
            <c:numRef>
              <c:f>'Time Repub'!$G$6:$R$6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Repub'!$G$8:$R$8</c:f>
              <c:numCache>
                <c:formatCode>_-* #,##0.00_-;\-* #,##0.00_-;_-* "-"??_-;_-@_-</c:formatCode>
                <c:ptCount val="12"/>
                <c:pt idx="0">
                  <c:v>26.997881763912961</c:v>
                </c:pt>
                <c:pt idx="1">
                  <c:v>35.005472455308286</c:v>
                </c:pt>
                <c:pt idx="2">
                  <c:v>37.914539886247631</c:v>
                </c:pt>
                <c:pt idx="3">
                  <c:v>36.237826755509992</c:v>
                </c:pt>
                <c:pt idx="4">
                  <c:v>36.875392186003502</c:v>
                </c:pt>
                <c:pt idx="5">
                  <c:v>22.551495540999131</c:v>
                </c:pt>
                <c:pt idx="6">
                  <c:v>19.831818798318189</c:v>
                </c:pt>
                <c:pt idx="7">
                  <c:v>22.160195522968394</c:v>
                </c:pt>
                <c:pt idx="8">
                  <c:v>26.315652219266678</c:v>
                </c:pt>
                <c:pt idx="9">
                  <c:v>27.867229048230328</c:v>
                </c:pt>
                <c:pt idx="10">
                  <c:v>20.69437531110005</c:v>
                </c:pt>
                <c:pt idx="11">
                  <c:v>17.685420581408202</c:v>
                </c:pt>
              </c:numCache>
            </c:numRef>
          </c:val>
        </c:ser>
        <c:ser>
          <c:idx val="2"/>
          <c:order val="2"/>
          <c:tx>
            <c:strRef>
              <c:f>'Time Repub'!$C$9</c:f>
              <c:strCache>
                <c:ptCount val="1"/>
                <c:pt idx="0">
                  <c:v>بين 3 و4 أشهر</c:v>
                </c:pt>
              </c:strCache>
            </c:strRef>
          </c:tx>
          <c:spPr>
            <a:solidFill>
              <a:srgbClr val="99CCFF"/>
            </a:solidFill>
            <a:ln w="25400">
              <a:noFill/>
            </a:ln>
          </c:spPr>
          <c:invertIfNegative val="0"/>
          <c:cat>
            <c:numRef>
              <c:f>'Time Repub'!$G$6:$R$6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Repub'!$G$9:$R$9</c:f>
              <c:numCache>
                <c:formatCode>_-* #,##0.00_-;\-* #,##0.00_-;_-* "-"??_-;_-@_-</c:formatCode>
                <c:ptCount val="12"/>
                <c:pt idx="0">
                  <c:v>7.9227531567219609</c:v>
                </c:pt>
                <c:pt idx="1">
                  <c:v>7.521585795938222</c:v>
                </c:pt>
                <c:pt idx="2">
                  <c:v>11.436488260172087</c:v>
                </c:pt>
                <c:pt idx="3">
                  <c:v>11.242098069366136</c:v>
                </c:pt>
                <c:pt idx="4">
                  <c:v>6.4136860530400606</c:v>
                </c:pt>
                <c:pt idx="5">
                  <c:v>0.89377318285849583</c:v>
                </c:pt>
                <c:pt idx="6">
                  <c:v>2.4521904245219042</c:v>
                </c:pt>
                <c:pt idx="7">
                  <c:v>3.4577570404932514</c:v>
                </c:pt>
                <c:pt idx="8">
                  <c:v>2.7695196369895165</c:v>
                </c:pt>
                <c:pt idx="9">
                  <c:v>11.006785255822484</c:v>
                </c:pt>
                <c:pt idx="10">
                  <c:v>1.5513522482163598</c:v>
                </c:pt>
                <c:pt idx="11">
                  <c:v>7.4555101138498951</c:v>
                </c:pt>
              </c:numCache>
            </c:numRef>
          </c:val>
        </c:ser>
        <c:ser>
          <c:idx val="3"/>
          <c:order val="3"/>
          <c:tx>
            <c:strRef>
              <c:f>'Time Repub'!$C$10</c:f>
              <c:strCache>
                <c:ptCount val="1"/>
                <c:pt idx="0">
                  <c:v>بين 4 و5 أشهر</c:v>
                </c:pt>
              </c:strCache>
            </c:strRef>
          </c:tx>
          <c:spPr>
            <a:solidFill>
              <a:srgbClr val="339966"/>
            </a:solidFill>
            <a:ln w="25400">
              <a:noFill/>
            </a:ln>
          </c:spPr>
          <c:invertIfNegative val="0"/>
          <c:cat>
            <c:numRef>
              <c:f>'Time Repub'!$G$6:$R$6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Repub'!$G$10:$R$10</c:f>
              <c:numCache>
                <c:formatCode>_-* #,##0.00_-;\-* #,##0.00_-;_-* "-"??_-;_-@_-</c:formatCode>
                <c:ptCount val="12"/>
                <c:pt idx="0">
                  <c:v>3.361668179692443</c:v>
                </c:pt>
                <c:pt idx="1">
                  <c:v>1.8788763225100327</c:v>
                </c:pt>
                <c:pt idx="2">
                  <c:v>3.6634096543677996</c:v>
                </c:pt>
                <c:pt idx="3">
                  <c:v>3.8878447899462767</c:v>
                </c:pt>
                <c:pt idx="4">
                  <c:v>0.97262128868192477</c:v>
                </c:pt>
                <c:pt idx="5">
                  <c:v>0.19730092336832139</c:v>
                </c:pt>
                <c:pt idx="6">
                  <c:v>1.163705411637054</c:v>
                </c:pt>
                <c:pt idx="7">
                  <c:v>0.4915847358773538</c:v>
                </c:pt>
                <c:pt idx="8">
                  <c:v>0.70150732801335203</c:v>
                </c:pt>
                <c:pt idx="9">
                  <c:v>2.1272693929946818</c:v>
                </c:pt>
                <c:pt idx="10">
                  <c:v>0.13688402190144353</c:v>
                </c:pt>
                <c:pt idx="11">
                  <c:v>0.82347739582181934</c:v>
                </c:pt>
              </c:numCache>
            </c:numRef>
          </c:val>
        </c:ser>
        <c:ser>
          <c:idx val="4"/>
          <c:order val="4"/>
          <c:tx>
            <c:strRef>
              <c:f>'Time Repub'!$C$11</c:f>
              <c:strCache>
                <c:ptCount val="1"/>
                <c:pt idx="0">
                  <c:v>أكثر من 5 أشهر</c:v>
                </c:pt>
              </c:strCache>
            </c:strRef>
          </c:tx>
          <c:spPr>
            <a:solidFill>
              <a:srgbClr val="969696"/>
            </a:solidFill>
            <a:ln w="25400">
              <a:noFill/>
            </a:ln>
          </c:spPr>
          <c:invertIfNegative val="0"/>
          <c:cat>
            <c:numRef>
              <c:f>'Time Repub'!$G$6:$R$6</c:f>
              <c:numCache>
                <c:formatCode>General</c:formatCod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numCache>
            </c:numRef>
          </c:cat>
          <c:val>
            <c:numRef>
              <c:f>'Time Repub'!$G$11:$R$11</c:f>
              <c:numCache>
                <c:formatCode>_-* #,##0.00_-;\-* #,##0.00_-;_-* "-"??_-;_-@_-</c:formatCode>
                <c:ptCount val="12"/>
                <c:pt idx="0">
                  <c:v>15.639184616654287</c:v>
                </c:pt>
                <c:pt idx="1">
                  <c:v>2.9520856135230451</c:v>
                </c:pt>
                <c:pt idx="2">
                  <c:v>3.8675805745953045</c:v>
                </c:pt>
                <c:pt idx="3">
                  <c:v>3.3563035100708087</c:v>
                </c:pt>
                <c:pt idx="4">
                  <c:v>1.4184748505564913</c:v>
                </c:pt>
                <c:pt idx="5">
                  <c:v>5.2580696077657638</c:v>
                </c:pt>
                <c:pt idx="6">
                  <c:v>0.22243320222433202</c:v>
                </c:pt>
                <c:pt idx="7">
                  <c:v>0.15552963394989724</c:v>
                </c:pt>
                <c:pt idx="8">
                  <c:v>0.28164606477859488</c:v>
                </c:pt>
                <c:pt idx="9">
                  <c:v>0.56115899504859712</c:v>
                </c:pt>
                <c:pt idx="10">
                  <c:v>0.28621204579392734</c:v>
                </c:pt>
                <c:pt idx="11">
                  <c:v>0.23764783906267273</c:v>
                </c:pt>
              </c:numCache>
            </c:numRef>
          </c:val>
        </c:ser>
        <c:dLbls>
          <c:showLegendKey val="0"/>
          <c:showVal val="0"/>
          <c:showCatName val="0"/>
          <c:showSerName val="0"/>
          <c:showPercent val="0"/>
          <c:showBubbleSize val="0"/>
        </c:dLbls>
        <c:gapWidth val="150"/>
        <c:overlap val="100"/>
        <c:axId val="40221696"/>
        <c:axId val="40227968"/>
      </c:barChart>
      <c:catAx>
        <c:axId val="40221696"/>
        <c:scaling>
          <c:orientation val="minMax"/>
        </c:scaling>
        <c:delete val="0"/>
        <c:axPos val="b"/>
        <c:title>
          <c:tx>
            <c:rich>
              <a:bodyPr/>
              <a:lstStyle/>
              <a:p>
                <a:pPr>
                  <a:defRPr b="1"/>
                </a:pPr>
                <a:r>
                  <a:rPr lang="ar-SA" b="1"/>
                  <a:t>سنة إعادة النشر</a:t>
                </a:r>
                <a:endParaRPr lang="en-US" b="1"/>
              </a:p>
            </c:rich>
          </c:tx>
          <c:layout>
            <c:manualLayout>
              <c:xMode val="edge"/>
              <c:yMode val="edge"/>
              <c:x val="0.46493138117222255"/>
              <c:y val="0.87579597623672301"/>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40227968"/>
        <c:crosses val="autoZero"/>
        <c:auto val="1"/>
        <c:lblAlgn val="ctr"/>
        <c:lblOffset val="100"/>
        <c:tickLblSkip val="1"/>
        <c:tickMarkSkip val="1"/>
        <c:noMultiLvlLbl val="0"/>
      </c:catAx>
      <c:valAx>
        <c:axId val="40227968"/>
        <c:scaling>
          <c:orientation val="minMax"/>
        </c:scaling>
        <c:delete val="0"/>
        <c:axPos val="l"/>
        <c:majorGridlines>
          <c:spPr>
            <a:ln w="3175">
              <a:solidFill>
                <a:srgbClr val="000000"/>
              </a:solidFill>
              <a:prstDash val="sysDash"/>
            </a:ln>
          </c:spPr>
        </c:majorGridlines>
        <c:title>
          <c:tx>
            <c:rich>
              <a:bodyPr/>
              <a:lstStyle/>
              <a:p>
                <a:pPr rtl="1">
                  <a:defRPr b="1"/>
                </a:pPr>
                <a:r>
                  <a:rPr lang="ar-SA" b="1"/>
                  <a:t>التوزيع بحسب التأخر (%)</a:t>
                </a:r>
                <a:endParaRPr lang="en-US" b="1"/>
              </a:p>
            </c:rich>
          </c:tx>
          <c:layout>
            <c:manualLayout>
              <c:xMode val="edge"/>
              <c:yMode val="edge"/>
              <c:x val="6.9261021516695441E-3"/>
              <c:y val="0.31287373145442776"/>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a:pPr>
            <a:endParaRPr lang="en-US"/>
          </a:p>
        </c:txPr>
        <c:crossAx val="40221696"/>
        <c:crosses val="autoZero"/>
        <c:crossBetween val="between"/>
        <c:majorUnit val="0.25"/>
      </c:valAx>
      <c:spPr>
        <a:noFill/>
        <a:ln w="25400">
          <a:noFill/>
        </a:ln>
      </c:spPr>
    </c:plotArea>
    <c:legend>
      <c:legendPos val="b"/>
      <c:layout>
        <c:manualLayout>
          <c:xMode val="edge"/>
          <c:yMode val="edge"/>
          <c:x val="0.16036505867014342"/>
          <c:y val="0.13068181818181818"/>
          <c:w val="0.71316818774445889"/>
          <c:h val="9.6591043078395611E-2"/>
        </c:manualLayout>
      </c:layout>
      <c:overlay val="0"/>
      <c:spPr>
        <a:solidFill>
          <a:srgbClr val="FFFFFF"/>
        </a:solidFill>
        <a:ln w="25400">
          <a:noFill/>
        </a:ln>
      </c:spPr>
    </c:legend>
    <c:plotVisOnly val="1"/>
    <c:dispBlanksAs val="gap"/>
    <c:showDLblsOverMax val="0"/>
  </c:chart>
  <c:spPr>
    <a:solidFill>
      <a:srgbClr val="FFFFFF"/>
    </a:solidFill>
    <a:ln w="9525">
      <a:noFill/>
    </a:ln>
  </c:spPr>
  <c:txPr>
    <a:bodyPr/>
    <a:lstStyle/>
    <a:p>
      <a:pPr>
        <a:defRPr sz="1400" b="0" i="0" u="none" strike="noStrike" baseline="0">
          <a:solidFill>
            <a:srgbClr val="000000"/>
          </a:solidFill>
          <a:latin typeface="Arabic Typesetting" panose="03020402040406030203" pitchFamily="66" charset="-78"/>
          <a:ea typeface="Arial"/>
          <a:cs typeface="Arabic Typesetting" panose="03020402040406030203" pitchFamily="66" charset="-78"/>
        </a:defRPr>
      </a:pPr>
      <a:endParaRPr lang="en-US"/>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0.65494</cdr:x>
      <cdr:y>0.92106</cdr:y>
    </cdr:from>
    <cdr:to>
      <cdr:x>0.99323</cdr:x>
      <cdr:y>0.99556</cdr:y>
    </cdr:to>
    <cdr:sp macro="" textlink="">
      <cdr:nvSpPr>
        <cdr:cNvPr id="2050" name="Text Box 2"/>
        <cdr:cNvSpPr txBox="1">
          <a:spLocks xmlns:a="http://schemas.openxmlformats.org/drawingml/2006/main" noChangeArrowheads="1"/>
        </cdr:cNvSpPr>
      </cdr:nvSpPr>
      <cdr:spPr bwMode="auto">
        <a:xfrm xmlns:a="http://schemas.openxmlformats.org/drawingml/2006/main">
          <a:off x="3888543" y="2411432"/>
          <a:ext cx="2008512" cy="195053"/>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square" lIns="18288" tIns="18288" rIns="0" bIns="0" anchor="t" upright="1">
          <a:spAutoFit/>
        </a:bodyPr>
        <a:lstStyle xmlns:a="http://schemas.openxmlformats.org/drawingml/2006/main"/>
        <a:p xmlns:a="http://schemas.openxmlformats.org/drawingml/2006/main">
          <a:pPr algn="r" rtl="1">
            <a:defRPr sz="1000"/>
          </a:pPr>
          <a:r>
            <a:rPr lang="ar-SA" sz="1200" b="0" i="0" u="none" strike="noStrike" baseline="0">
              <a:solidFill>
                <a:srgbClr val="000000"/>
              </a:solidFill>
              <a:latin typeface="Arabic Typesetting" panose="03020402040406030203" pitchFamily="66" charset="-78"/>
              <a:cs typeface="Arabic Typesetting" panose="03020402040406030203" pitchFamily="66" charset="-78"/>
            </a:rPr>
            <a:t>المصدر: قاعدة بيانات إحصاءات الويبو، فبراير 2016</a:t>
          </a:r>
          <a:endParaRPr lang="en-US" sz="1200" b="0" i="0" u="none" strike="noStrike" baseline="0">
            <a:solidFill>
              <a:srgbClr val="000000"/>
            </a:solidFill>
            <a:latin typeface="Arabic Typesetting" panose="03020402040406030203" pitchFamily="66" charset="-78"/>
            <a:cs typeface="Arabic Typesetting" panose="03020402040406030203" pitchFamily="66" charset="-78"/>
          </a:endParaRPr>
        </a:p>
      </cdr:txBody>
    </cdr:sp>
  </cdr:relSizeAnchor>
  <cdr:relSizeAnchor xmlns:cdr="http://schemas.openxmlformats.org/drawingml/2006/chartDrawing">
    <cdr:from>
      <cdr:x>0.13128</cdr:x>
      <cdr:y>0.20088</cdr:y>
    </cdr:from>
    <cdr:to>
      <cdr:x>0.33394</cdr:x>
      <cdr:y>0.28353</cdr:y>
    </cdr:to>
    <cdr:sp macro="" textlink="">
      <cdr:nvSpPr>
        <cdr:cNvPr id="2" name="TextBox 1"/>
        <cdr:cNvSpPr txBox="1"/>
      </cdr:nvSpPr>
      <cdr:spPr>
        <a:xfrm xmlns:a="http://schemas.openxmlformats.org/drawingml/2006/main">
          <a:off x="779450" y="525934"/>
          <a:ext cx="1203243" cy="21638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ar-SA" sz="1200">
              <a:latin typeface="Arabic Typesetting" panose="03020402040406030203" pitchFamily="66" charset="-78"/>
              <a:cs typeface="Arabic Typesetting" panose="03020402040406030203" pitchFamily="66" charset="-78"/>
            </a:rPr>
            <a:t>معدلات النمو السنوي (%)</a:t>
          </a:r>
          <a:endParaRPr lang="en-US" sz="1200">
            <a:latin typeface="Arabic Typesetting" panose="03020402040406030203" pitchFamily="66" charset="-78"/>
            <a:cs typeface="Arabic Typesetting" panose="03020402040406030203" pitchFamily="66" charset="-78"/>
          </a:endParaRPr>
        </a:p>
      </cdr:txBody>
    </cdr:sp>
  </cdr:relSizeAnchor>
</c:userShapes>
</file>

<file path=word/drawings/drawing10.xml><?xml version="1.0" encoding="utf-8"?>
<c:userShapes xmlns:c="http://schemas.openxmlformats.org/drawingml/2006/chart">
  <cdr:relSizeAnchor xmlns:cdr="http://schemas.openxmlformats.org/drawingml/2006/chartDrawing">
    <cdr:from>
      <cdr:x>0.63221</cdr:x>
      <cdr:y>0.94269</cdr:y>
    </cdr:from>
    <cdr:to>
      <cdr:x>0.99516</cdr:x>
      <cdr:y>0.9914</cdr:y>
    </cdr:to>
    <cdr:sp macro="" textlink="">
      <cdr:nvSpPr>
        <cdr:cNvPr id="2" name="Text Box 1"/>
        <cdr:cNvSpPr txBox="1">
          <a:spLocks xmlns:a="http://schemas.openxmlformats.org/drawingml/2006/main" noChangeArrowheads="1"/>
        </cdr:cNvSpPr>
      </cdr:nvSpPr>
      <cdr:spPr bwMode="auto">
        <a:xfrm xmlns:a="http://schemas.openxmlformats.org/drawingml/2006/main">
          <a:off x="3727467" y="3133727"/>
          <a:ext cx="2139944" cy="161923"/>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rtl="1">
            <a:defRPr sz="1000"/>
          </a:pPr>
          <a:r>
            <a:rPr lang="ar-SA" sz="1500" b="0" i="0" u="none" strike="noStrike" baseline="0">
              <a:solidFill>
                <a:srgbClr val="000000"/>
              </a:solidFill>
              <a:latin typeface="Arabic Typesetting" panose="03020402040406030203" pitchFamily="66" charset="-78"/>
              <a:cs typeface="Arabic Typesetting" panose="03020402040406030203" pitchFamily="66" charset="-78"/>
            </a:rPr>
            <a:t>المصدر: عمليات معاهدة البراءات، فبراير 2016</a:t>
          </a:r>
          <a:endParaRPr lang="en-US" sz="1500" b="0" i="0" u="none" strike="noStrike" baseline="0">
            <a:solidFill>
              <a:srgbClr val="000000"/>
            </a:solidFill>
            <a:latin typeface="Arabic Typesetting" panose="03020402040406030203" pitchFamily="66" charset="-78"/>
            <a:cs typeface="Arabic Typesetting" panose="03020402040406030203" pitchFamily="66" charset="-78"/>
          </a:endParaRPr>
        </a:p>
      </cdr:txBody>
    </cdr:sp>
  </cdr:relSizeAnchor>
</c:userShapes>
</file>

<file path=word/drawings/drawing11.xml><?xml version="1.0" encoding="utf-8"?>
<c:userShapes xmlns:c="http://schemas.openxmlformats.org/drawingml/2006/chart">
  <cdr:relSizeAnchor xmlns:cdr="http://schemas.openxmlformats.org/drawingml/2006/chartDrawing">
    <cdr:from>
      <cdr:x>0.70366</cdr:x>
      <cdr:y>0.92329</cdr:y>
    </cdr:from>
    <cdr:to>
      <cdr:x>0.98697</cdr:x>
      <cdr:y>0.97159</cdr:y>
    </cdr:to>
    <cdr:sp macro="" textlink="">
      <cdr:nvSpPr>
        <cdr:cNvPr id="2" name="Text Box 1"/>
        <cdr:cNvSpPr txBox="1">
          <a:spLocks xmlns:a="http://schemas.openxmlformats.org/drawingml/2006/main" noChangeArrowheads="1"/>
        </cdr:cNvSpPr>
      </cdr:nvSpPr>
      <cdr:spPr bwMode="auto">
        <a:xfrm xmlns:a="http://schemas.openxmlformats.org/drawingml/2006/main">
          <a:off x="5314950" y="3095610"/>
          <a:ext cx="2139933" cy="161940"/>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rtl="1"/>
          <a:r>
            <a:rPr lang="ar-SA" sz="1500" b="0" i="0" baseline="0">
              <a:effectLst/>
              <a:latin typeface="Arabic Typesetting" panose="03020402040406030203" pitchFamily="66" charset="-78"/>
              <a:ea typeface="+mn-ea"/>
              <a:cs typeface="Arabic Typesetting" panose="03020402040406030203" pitchFamily="66" charset="-78"/>
            </a:rPr>
            <a:t>المصدر: عمليات معاهدة البراءات، فبراير 2016</a:t>
          </a:r>
          <a:endParaRPr lang="en-US" sz="1500">
            <a:effectLst/>
            <a:latin typeface="Arabic Typesetting" panose="03020402040406030203" pitchFamily="66" charset="-78"/>
            <a:cs typeface="Arabic Typesetting" panose="03020402040406030203" pitchFamily="66" charset="-78"/>
          </a:endParaRPr>
        </a:p>
      </cdr:txBody>
    </cdr:sp>
  </cdr:relSizeAnchor>
</c:userShapes>
</file>

<file path=word/drawings/drawing12.xml><?xml version="1.0" encoding="utf-8"?>
<c:userShapes xmlns:c="http://schemas.openxmlformats.org/drawingml/2006/chart">
  <cdr:relSizeAnchor xmlns:cdr="http://schemas.openxmlformats.org/drawingml/2006/chartDrawing">
    <cdr:from>
      <cdr:x>0.63469</cdr:x>
      <cdr:y>0.93194</cdr:y>
    </cdr:from>
    <cdr:to>
      <cdr:x>1</cdr:x>
      <cdr:y>0.97644</cdr:y>
    </cdr:to>
    <cdr:sp macro="" textlink="">
      <cdr:nvSpPr>
        <cdr:cNvPr id="2" name="Text Box 1"/>
        <cdr:cNvSpPr txBox="1">
          <a:spLocks xmlns:a="http://schemas.openxmlformats.org/drawingml/2006/main" noChangeArrowheads="1"/>
        </cdr:cNvSpPr>
      </cdr:nvSpPr>
      <cdr:spPr bwMode="auto">
        <a:xfrm xmlns:a="http://schemas.openxmlformats.org/drawingml/2006/main">
          <a:off x="3717935" y="3390910"/>
          <a:ext cx="2139940" cy="161915"/>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rtl="1"/>
          <a:r>
            <a:rPr lang="ar-SA" sz="1500" b="0" i="0" baseline="0">
              <a:effectLst/>
              <a:latin typeface="Arabic Typesetting" panose="03020402040406030203" pitchFamily="66" charset="-78"/>
              <a:ea typeface="+mn-ea"/>
              <a:cs typeface="Arabic Typesetting" panose="03020402040406030203" pitchFamily="66" charset="-78"/>
            </a:rPr>
            <a:t>المصدر: عمليات معاهدة البراءات، فبراير 2016</a:t>
          </a:r>
          <a:endParaRPr lang="en-US" sz="1500">
            <a:effectLst/>
            <a:latin typeface="Arabic Typesetting" panose="03020402040406030203" pitchFamily="66" charset="-78"/>
            <a:cs typeface="Arabic Typesetting" panose="03020402040406030203" pitchFamily="66" charset="-78"/>
          </a:endParaRPr>
        </a:p>
      </cdr:txBody>
    </cdr:sp>
  </cdr:relSizeAnchor>
</c:userShapes>
</file>

<file path=word/drawings/drawing13.xml><?xml version="1.0" encoding="utf-8"?>
<c:userShapes xmlns:c="http://schemas.openxmlformats.org/drawingml/2006/chart">
  <cdr:relSizeAnchor xmlns:cdr="http://schemas.openxmlformats.org/drawingml/2006/chartDrawing">
    <cdr:from>
      <cdr:x>0.6952</cdr:x>
      <cdr:y>0.92514</cdr:y>
    </cdr:from>
    <cdr:to>
      <cdr:x>0.9903</cdr:x>
      <cdr:y>0.99967</cdr:y>
    </cdr:to>
    <cdr:sp macro="" textlink="">
      <cdr:nvSpPr>
        <cdr:cNvPr id="35841" name="Text Box 1"/>
        <cdr:cNvSpPr txBox="1">
          <a:spLocks xmlns:a="http://schemas.openxmlformats.org/drawingml/2006/main" noChangeArrowheads="1"/>
        </cdr:cNvSpPr>
      </cdr:nvSpPr>
      <cdr:spPr bwMode="auto">
        <a:xfrm xmlns:a="http://schemas.openxmlformats.org/drawingml/2006/main">
          <a:off x="4129759" y="2420926"/>
          <a:ext cx="1753044" cy="195053"/>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spAutoFit/>
        </a:bodyPr>
        <a:lstStyle xmlns:a="http://schemas.openxmlformats.org/drawingml/2006/main"/>
        <a:p xmlns:a="http://schemas.openxmlformats.org/drawingml/2006/main">
          <a:pPr algn="r" rtl="1">
            <a:defRPr sz="1000"/>
          </a:pPr>
          <a:r>
            <a:rPr lang="ar-SA" sz="1200" b="0" i="0" u="none" strike="noStrike" baseline="0">
              <a:solidFill>
                <a:srgbClr val="000000"/>
              </a:solidFill>
              <a:latin typeface="Arabic Typesetting" panose="03020402040406030203" pitchFamily="66" charset="-78"/>
              <a:cs typeface="Arabic Typesetting" panose="03020402040406030203" pitchFamily="66" charset="-78"/>
            </a:rPr>
            <a:t>المصدر: قاعدة بيانات إحصاءات الويبو، فبراير 2016</a:t>
          </a:r>
          <a:endParaRPr lang="en-US" sz="1200" b="0" i="0" u="none" strike="noStrike" baseline="0">
            <a:solidFill>
              <a:srgbClr val="000000"/>
            </a:solidFill>
            <a:latin typeface="Arabic Typesetting" panose="03020402040406030203" pitchFamily="66" charset="-78"/>
            <a:cs typeface="Arabic Typesetting" panose="03020402040406030203" pitchFamily="66" charset="-78"/>
          </a:endParaRPr>
        </a:p>
      </cdr:txBody>
    </cdr:sp>
  </cdr:relSizeAnchor>
</c:userShapes>
</file>

<file path=word/drawings/drawing14.xml><?xml version="1.0" encoding="utf-8"?>
<c:userShapes xmlns:c="http://schemas.openxmlformats.org/drawingml/2006/chart">
  <cdr:relSizeAnchor xmlns:cdr="http://schemas.openxmlformats.org/drawingml/2006/chartDrawing">
    <cdr:from>
      <cdr:x>0.69445</cdr:x>
      <cdr:y>0.87795</cdr:y>
    </cdr:from>
    <cdr:to>
      <cdr:x>0.98955</cdr:x>
      <cdr:y>1</cdr:y>
    </cdr:to>
    <cdr:sp macro="" textlink="">
      <cdr:nvSpPr>
        <cdr:cNvPr id="35841" name="Text Box 1"/>
        <cdr:cNvSpPr txBox="1">
          <a:spLocks xmlns:a="http://schemas.openxmlformats.org/drawingml/2006/main" noChangeArrowheads="1"/>
        </cdr:cNvSpPr>
      </cdr:nvSpPr>
      <cdr:spPr bwMode="auto">
        <a:xfrm xmlns:a="http://schemas.openxmlformats.org/drawingml/2006/main">
          <a:off x="4125322" y="2393343"/>
          <a:ext cx="1753044" cy="33271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noAutofit/>
        </a:bodyPr>
        <a:lstStyle xmlns:a="http://schemas.openxmlformats.org/drawingml/2006/main"/>
        <a:p xmlns:a="http://schemas.openxmlformats.org/drawingml/2006/main">
          <a:pPr rtl="1"/>
          <a:r>
            <a:rPr lang="ar-SA" sz="1200" b="0" i="0" baseline="0">
              <a:effectLst/>
              <a:latin typeface="Arabic Typesetting" panose="03020402040406030203" pitchFamily="66" charset="-78"/>
              <a:ea typeface="+mn-ea"/>
              <a:cs typeface="Arabic Typesetting" panose="03020402040406030203" pitchFamily="66" charset="-78"/>
            </a:rPr>
            <a:t>المصدر: قاعدة بيانات إحصاءات الويبو، فبراير 2016</a:t>
          </a:r>
          <a:endParaRPr lang="en-US" sz="1200" b="0" i="0" baseline="0">
            <a:effectLst/>
            <a:latin typeface="Arabic Typesetting" panose="03020402040406030203" pitchFamily="66" charset="-78"/>
            <a:ea typeface="+mn-ea"/>
            <a:cs typeface="Arabic Typesetting" panose="03020402040406030203" pitchFamily="66" charset="-78"/>
          </a:endParaRPr>
        </a:p>
        <a:p xmlns:a="http://schemas.openxmlformats.org/drawingml/2006/main">
          <a:pPr rtl="1"/>
          <a:r>
            <a:rPr lang="ar-SA" sz="1200" b="0" i="0" baseline="0">
              <a:effectLst/>
              <a:latin typeface="Arabic Typesetting" panose="03020402040406030203" pitchFamily="66" charset="-78"/>
              <a:ea typeface="+mn-ea"/>
              <a:cs typeface="Arabic Typesetting" panose="03020402040406030203" pitchFamily="66" charset="-78"/>
            </a:rPr>
            <a:t>ملاحظة: بيانات 2015 مؤقتة وغير كاملة.</a:t>
          </a:r>
          <a:endParaRPr lang="en-US" sz="1200">
            <a:effectLst/>
            <a:latin typeface="Arabic Typesetting" panose="03020402040406030203" pitchFamily="66" charset="-78"/>
            <a:cs typeface="Arabic Typesetting" panose="03020402040406030203" pitchFamily="66" charset="-78"/>
          </a:endParaRPr>
        </a:p>
      </cdr:txBody>
    </cdr:sp>
  </cdr:relSizeAnchor>
</c:userShapes>
</file>

<file path=word/drawings/drawing15.xml><?xml version="1.0" encoding="utf-8"?>
<c:userShapes xmlns:c="http://schemas.openxmlformats.org/drawingml/2006/chart">
  <cdr:relSizeAnchor xmlns:cdr="http://schemas.openxmlformats.org/drawingml/2006/chartDrawing">
    <cdr:from>
      <cdr:x>0.15663</cdr:x>
      <cdr:y>0.21324</cdr:y>
    </cdr:from>
    <cdr:to>
      <cdr:x>0.96537</cdr:x>
      <cdr:y>0.21324</cdr:y>
    </cdr:to>
    <cdr:sp macro="" textlink="">
      <cdr:nvSpPr>
        <cdr:cNvPr id="2" name="Line 3"/>
        <cdr:cNvSpPr>
          <a:spLocks xmlns:a="http://schemas.openxmlformats.org/drawingml/2006/main" noChangeShapeType="1"/>
        </cdr:cNvSpPr>
      </cdr:nvSpPr>
      <cdr:spPr bwMode="auto">
        <a:xfrm xmlns:a="http://schemas.openxmlformats.org/drawingml/2006/main">
          <a:off x="990599" y="828675"/>
          <a:ext cx="5114953" cy="14"/>
        </a:xfrm>
        <a:prstGeom xmlns:a="http://schemas.openxmlformats.org/drawingml/2006/main" prst="line">
          <a:avLst/>
        </a:prstGeom>
        <a:noFill xmlns:a="http://schemas.openxmlformats.org/drawingml/2006/main"/>
        <a:ln xmlns:a="http://schemas.openxmlformats.org/drawingml/2006/main" w="9525">
          <a:solidFill>
            <a:srgbClr xmlns:mc="http://schemas.openxmlformats.org/markup-compatibility/2006" xmlns:a14="http://schemas.microsoft.com/office/drawing/2010/main" val="000000" mc:Ignorable="a14" a14:legacySpreadsheetColorIndex="64"/>
          </a:solidFill>
          <a:round/>
          <a:headEnd/>
          <a:tailEnd/>
        </a:ln>
        <a:extLst xmlns:a="http://schemas.openxmlformats.org/drawingml/2006/main">
          <a:ext uri="{909E8E84-426E-40DD-AFC4-6F175D3DCCD1}">
            <a14:hiddenFill xmlns:a14="http://schemas.microsoft.com/office/drawing/2010/main">
              <a:noFill/>
            </a14:hiddenFill>
          </a:ext>
        </a:extLst>
      </cdr:spPr>
      <cdr:txBody>
        <a:bodyPr xmlns:a="http://schemas.openxmlformats.org/drawingml/2006/main"/>
        <a:lstStyle xmlns:a="http://schemas.openxmlformats.org/drawingml/2006/main"/>
        <a:p xmlns:a="http://schemas.openxmlformats.org/drawingml/2006/main">
          <a:endParaRPr lang="en-US"/>
        </a:p>
      </cdr:txBody>
    </cdr:sp>
  </cdr:relSizeAnchor>
  <cdr:relSizeAnchor xmlns:cdr="http://schemas.openxmlformats.org/drawingml/2006/chartDrawing">
    <cdr:from>
      <cdr:x>0.15512</cdr:x>
      <cdr:y>0.27451</cdr:y>
    </cdr:from>
    <cdr:to>
      <cdr:x>0.96988</cdr:x>
      <cdr:y>0.27451</cdr:y>
    </cdr:to>
    <cdr:sp macro="" textlink="">
      <cdr:nvSpPr>
        <cdr:cNvPr id="3" name="Line 3"/>
        <cdr:cNvSpPr>
          <a:spLocks xmlns:a="http://schemas.openxmlformats.org/drawingml/2006/main" noChangeShapeType="1"/>
        </cdr:cNvSpPr>
      </cdr:nvSpPr>
      <cdr:spPr bwMode="auto">
        <a:xfrm xmlns:a="http://schemas.openxmlformats.org/drawingml/2006/main">
          <a:off x="981075" y="1066799"/>
          <a:ext cx="5153028" cy="1"/>
        </a:xfrm>
        <a:prstGeom xmlns:a="http://schemas.openxmlformats.org/drawingml/2006/main" prst="line">
          <a:avLst/>
        </a:prstGeom>
        <a:noFill xmlns:a="http://schemas.openxmlformats.org/drawingml/2006/main"/>
        <a:ln xmlns:a="http://schemas.openxmlformats.org/drawingml/2006/main" w="9525">
          <a:solidFill>
            <a:srgbClr xmlns:mc="http://schemas.openxmlformats.org/markup-compatibility/2006" xmlns:a14="http://schemas.microsoft.com/office/drawing/2010/main" val="000000" mc:Ignorable="a14" a14:legacySpreadsheetColorIndex="64"/>
          </a:solidFill>
          <a:round/>
          <a:headEnd/>
          <a:tailEnd/>
        </a:ln>
        <a:extLst xmlns:a="http://schemas.openxmlformats.org/drawingml/2006/main">
          <a:ext uri="{909E8E84-426E-40DD-AFC4-6F175D3DCCD1}">
            <a14:hiddenFill xmlns:a14="http://schemas.microsoft.com/office/drawing/2010/main">
              <a:noFill/>
            </a14:hiddenFill>
          </a:ext>
        </a:extLst>
      </cdr:spPr>
      <cdr:txBody>
        <a:bodyPr xmlns:a="http://schemas.openxmlformats.org/drawingml/2006/main"/>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en-US"/>
        </a:p>
      </cdr:txBody>
    </cdr:sp>
  </cdr:relSizeAnchor>
  <cdr:relSizeAnchor xmlns:cdr="http://schemas.openxmlformats.org/drawingml/2006/chartDrawing">
    <cdr:from>
      <cdr:x>0.19548</cdr:x>
      <cdr:y>0.20767</cdr:y>
    </cdr:from>
    <cdr:to>
      <cdr:x>0.31596</cdr:x>
      <cdr:y>0.26405</cdr:y>
    </cdr:to>
    <cdr:sp macro="" textlink="">
      <cdr:nvSpPr>
        <cdr:cNvPr id="4" name="TextBox 3"/>
        <cdr:cNvSpPr txBox="1"/>
      </cdr:nvSpPr>
      <cdr:spPr>
        <a:xfrm xmlns:a="http://schemas.openxmlformats.org/drawingml/2006/main">
          <a:off x="1243355" y="791240"/>
          <a:ext cx="766323" cy="21480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a:t>5,402,070</a:t>
          </a:r>
        </a:p>
      </cdr:txBody>
    </cdr:sp>
  </cdr:relSizeAnchor>
  <cdr:relSizeAnchor xmlns:cdr="http://schemas.openxmlformats.org/drawingml/2006/chartDrawing">
    <cdr:from>
      <cdr:x>0.40487</cdr:x>
      <cdr:y>0.20604</cdr:y>
    </cdr:from>
    <cdr:to>
      <cdr:x>0.5128</cdr:x>
      <cdr:y>0.26895</cdr:y>
    </cdr:to>
    <cdr:sp macro="" textlink="">
      <cdr:nvSpPr>
        <cdr:cNvPr id="5" name="TextBox 1"/>
        <cdr:cNvSpPr txBox="1"/>
      </cdr:nvSpPr>
      <cdr:spPr>
        <a:xfrm xmlns:a="http://schemas.openxmlformats.org/drawingml/2006/main">
          <a:off x="2575200" y="785029"/>
          <a:ext cx="686498" cy="23968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t>6,052,826</a:t>
          </a:r>
        </a:p>
      </cdr:txBody>
    </cdr:sp>
  </cdr:relSizeAnchor>
  <cdr:relSizeAnchor xmlns:cdr="http://schemas.openxmlformats.org/drawingml/2006/chartDrawing">
    <cdr:from>
      <cdr:x>0.60576</cdr:x>
      <cdr:y>0.20882</cdr:y>
    </cdr:from>
    <cdr:to>
      <cdr:x>0.73211</cdr:x>
      <cdr:y>0.27745</cdr:y>
    </cdr:to>
    <cdr:sp macro="" textlink="">
      <cdr:nvSpPr>
        <cdr:cNvPr id="6" name="TextBox 1"/>
        <cdr:cNvSpPr txBox="1"/>
      </cdr:nvSpPr>
      <cdr:spPr>
        <a:xfrm xmlns:a="http://schemas.openxmlformats.org/drawingml/2006/main">
          <a:off x="3852970" y="795613"/>
          <a:ext cx="803696" cy="26148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t>5,707,003</a:t>
          </a:r>
        </a:p>
      </cdr:txBody>
    </cdr:sp>
  </cdr:relSizeAnchor>
  <cdr:relSizeAnchor xmlns:cdr="http://schemas.openxmlformats.org/drawingml/2006/chartDrawing">
    <cdr:from>
      <cdr:x>0.69705</cdr:x>
      <cdr:y>0.14673</cdr:y>
    </cdr:from>
    <cdr:to>
      <cdr:x>0.85748</cdr:x>
      <cdr:y>0.19755</cdr:y>
    </cdr:to>
    <cdr:sp macro="" textlink="">
      <cdr:nvSpPr>
        <cdr:cNvPr id="7" name="TextBox 1"/>
        <cdr:cNvSpPr txBox="1"/>
      </cdr:nvSpPr>
      <cdr:spPr>
        <a:xfrm xmlns:a="http://schemas.openxmlformats.org/drawingml/2006/main">
          <a:off x="4140760" y="536027"/>
          <a:ext cx="953022" cy="18565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ar-SA" sz="1500">
              <a:latin typeface="Arabic Typesetting" panose="03020402040406030203" pitchFamily="66" charset="-78"/>
              <a:cs typeface="Arabic Typesetting" panose="03020402040406030203" pitchFamily="66" charset="-78"/>
            </a:rPr>
            <a:t>التكلفة الإجمالية (بالفرنك السويسري)</a:t>
          </a:r>
          <a:endParaRPr lang="en-US" sz="1500">
            <a:latin typeface="Arabic Typesetting" panose="03020402040406030203" pitchFamily="66" charset="-78"/>
            <a:cs typeface="Arabic Typesetting" panose="03020402040406030203" pitchFamily="66" charset="-78"/>
          </a:endParaRPr>
        </a:p>
      </cdr:txBody>
    </cdr:sp>
  </cdr:relSizeAnchor>
  <cdr:relSizeAnchor xmlns:cdr="http://schemas.openxmlformats.org/drawingml/2006/chartDrawing">
    <cdr:from>
      <cdr:x>0.81331</cdr:x>
      <cdr:y>0.21056</cdr:y>
    </cdr:from>
    <cdr:to>
      <cdr:x>0.93967</cdr:x>
      <cdr:y>0.27919</cdr:y>
    </cdr:to>
    <cdr:sp macro="" textlink="">
      <cdr:nvSpPr>
        <cdr:cNvPr id="8" name="TextBox 1"/>
        <cdr:cNvSpPr txBox="1"/>
      </cdr:nvSpPr>
      <cdr:spPr>
        <a:xfrm xmlns:a="http://schemas.openxmlformats.org/drawingml/2006/main">
          <a:off x="5173134" y="802216"/>
          <a:ext cx="803696" cy="26148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100"/>
            <a:t>5,986,577</a:t>
          </a:r>
        </a:p>
      </cdr:txBody>
    </cdr:sp>
  </cdr:relSizeAnchor>
</c:userShapes>
</file>

<file path=word/drawings/drawing2.xml><?xml version="1.0" encoding="utf-8"?>
<c:userShapes xmlns:c="http://schemas.openxmlformats.org/drawingml/2006/chart">
  <cdr:relSizeAnchor xmlns:cdr="http://schemas.openxmlformats.org/drawingml/2006/chartDrawing">
    <cdr:from>
      <cdr:x>0.75037</cdr:x>
      <cdr:y>0.86519</cdr:y>
    </cdr:from>
    <cdr:to>
      <cdr:x>0.99953</cdr:x>
      <cdr:y>0.96638</cdr:y>
    </cdr:to>
    <cdr:sp macro="" textlink="">
      <cdr:nvSpPr>
        <cdr:cNvPr id="6145" name="Text Box 1"/>
        <cdr:cNvSpPr txBox="1">
          <a:spLocks xmlns:a="http://schemas.openxmlformats.org/drawingml/2006/main" noChangeArrowheads="1"/>
        </cdr:cNvSpPr>
      </cdr:nvSpPr>
      <cdr:spPr bwMode="auto">
        <a:xfrm xmlns:a="http://schemas.openxmlformats.org/drawingml/2006/main">
          <a:off x="4457546" y="2666760"/>
          <a:ext cx="1480116" cy="311897"/>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spAutoFit/>
        </a:bodyPr>
        <a:lstStyle xmlns:a="http://schemas.openxmlformats.org/drawingml/2006/main"/>
        <a:p xmlns:a="http://schemas.openxmlformats.org/drawingml/2006/main">
          <a:pPr algn="r" rtl="1">
            <a:defRPr sz="1000"/>
          </a:pPr>
          <a:r>
            <a:rPr lang="ar-SA" sz="1400" b="0" i="0" u="none" strike="noStrike" baseline="0">
              <a:solidFill>
                <a:srgbClr val="000000"/>
              </a:solidFill>
              <a:latin typeface="Arabic Typesetting" panose="03020402040406030203" pitchFamily="66" charset="-78"/>
              <a:cs typeface="Arabic Typesetting" panose="03020402040406030203" pitchFamily="66" charset="-78"/>
            </a:rPr>
            <a:t>المصدر: قاعدة بيانات إحصاءات الويبو، فبراير 2016</a:t>
          </a:r>
        </a:p>
        <a:p xmlns:a="http://schemas.openxmlformats.org/drawingml/2006/main">
          <a:pPr algn="r" rtl="1">
            <a:defRPr sz="1000"/>
          </a:pPr>
          <a:r>
            <a:rPr lang="ar-SA" sz="1400" b="0" i="0" u="none" strike="noStrike" baseline="0">
              <a:solidFill>
                <a:srgbClr val="000000"/>
              </a:solidFill>
              <a:latin typeface="Arabic Typesetting" panose="03020402040406030203" pitchFamily="66" charset="-78"/>
              <a:cs typeface="Arabic Typesetting" panose="03020402040406030203" pitchFamily="66" charset="-78"/>
            </a:rPr>
            <a:t>ملاحظة: بيانات 2015 بيانات مؤقتة وغير كاملة.</a:t>
          </a:r>
        </a:p>
      </cdr:txBody>
    </cdr:sp>
  </cdr:relSizeAnchor>
</c:userShapes>
</file>

<file path=word/drawings/drawing3.xml><?xml version="1.0" encoding="utf-8"?>
<c:userShapes xmlns:c="http://schemas.openxmlformats.org/drawingml/2006/chart">
  <cdr:relSizeAnchor xmlns:cdr="http://schemas.openxmlformats.org/drawingml/2006/chartDrawing">
    <cdr:from>
      <cdr:x>0.64775</cdr:x>
      <cdr:y>0.87031</cdr:y>
    </cdr:from>
    <cdr:to>
      <cdr:x>0.99154</cdr:x>
      <cdr:y>1</cdr:y>
    </cdr:to>
    <cdr:sp macro="" textlink="">
      <cdr:nvSpPr>
        <cdr:cNvPr id="7170" name="Text Box 2"/>
        <cdr:cNvSpPr txBox="1">
          <a:spLocks xmlns:a="http://schemas.openxmlformats.org/drawingml/2006/main" noChangeArrowheads="1"/>
        </cdr:cNvSpPr>
      </cdr:nvSpPr>
      <cdr:spPr bwMode="auto">
        <a:xfrm xmlns:a="http://schemas.openxmlformats.org/drawingml/2006/main">
          <a:off x="3847935" y="2890715"/>
          <a:ext cx="2042226" cy="430374"/>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spAutoFit/>
        </a:bodyPr>
        <a:lstStyle xmlns:a="http://schemas.openxmlformats.org/drawingml/2006/main"/>
        <a:p xmlns:a="http://schemas.openxmlformats.org/drawingml/2006/main">
          <a:pPr rtl="1"/>
          <a:r>
            <a:rPr lang="ar-SA" sz="1400" b="0" i="0" baseline="0">
              <a:effectLst/>
              <a:latin typeface="Arabic Typesetting" panose="03020402040406030203" pitchFamily="66" charset="-78"/>
              <a:ea typeface="+mn-ea"/>
              <a:cs typeface="Arabic Typesetting" panose="03020402040406030203" pitchFamily="66" charset="-78"/>
            </a:rPr>
            <a:t>المصدر: قاعدة بيانات إحصاءات الويبو، فبراير 2016</a:t>
          </a:r>
          <a:endParaRPr lang="en-US" sz="1400">
            <a:effectLst/>
            <a:latin typeface="Arabic Typesetting" panose="03020402040406030203" pitchFamily="66" charset="-78"/>
            <a:cs typeface="Arabic Typesetting" panose="03020402040406030203" pitchFamily="66" charset="-78"/>
          </a:endParaRPr>
        </a:p>
        <a:p xmlns:a="http://schemas.openxmlformats.org/drawingml/2006/main">
          <a:pPr rtl="1"/>
          <a:r>
            <a:rPr lang="ar-SA" sz="1400" b="0" i="0" baseline="0">
              <a:effectLst/>
              <a:latin typeface="Arabic Typesetting" panose="03020402040406030203" pitchFamily="66" charset="-78"/>
              <a:ea typeface="+mn-ea"/>
              <a:cs typeface="Arabic Typesetting" panose="03020402040406030203" pitchFamily="66" charset="-78"/>
            </a:rPr>
            <a:t>ملاحظة: بيانات 2015 بيانات مؤقتة وغير كاملة.</a:t>
          </a:r>
          <a:endParaRPr lang="en-US" sz="1400">
            <a:effectLst/>
            <a:latin typeface="Arabic Typesetting" panose="03020402040406030203" pitchFamily="66" charset="-78"/>
            <a:cs typeface="Arabic Typesetting" panose="03020402040406030203" pitchFamily="66" charset="-78"/>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0.15329</cdr:x>
      <cdr:y>0.69856</cdr:y>
    </cdr:from>
    <cdr:to>
      <cdr:x>0.98548</cdr:x>
      <cdr:y>0.98131</cdr:y>
    </cdr:to>
    <cdr:sp macro="" textlink="">
      <cdr:nvSpPr>
        <cdr:cNvPr id="2" name="Text Box 1"/>
        <cdr:cNvSpPr txBox="1">
          <a:spLocks xmlns:a="http://schemas.openxmlformats.org/drawingml/2006/main" noChangeArrowheads="1"/>
        </cdr:cNvSpPr>
      </cdr:nvSpPr>
      <cdr:spPr bwMode="auto">
        <a:xfrm xmlns:a="http://schemas.openxmlformats.org/drawingml/2006/main">
          <a:off x="907104" y="2457908"/>
          <a:ext cx="4924538" cy="99486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18288" rIns="0" bIns="0" anchor="t" upright="1"/>
        <a:lstStyle xmlns:a="http://schemas.openxmlformats.org/drawingml/2006/main"/>
        <a:p xmlns:a="http://schemas.openxmlformats.org/drawingml/2006/main">
          <a:pPr algn="r" rtl="1">
            <a:defRPr sz="1000"/>
          </a:pPr>
          <a:r>
            <a:rPr lang="ar-SA" sz="1100" b="0" i="0" u="none" strike="noStrike" baseline="0">
              <a:solidFill>
                <a:srgbClr val="000000"/>
              </a:solidFill>
              <a:latin typeface="Arabic Typesetting" panose="03020402040406030203" pitchFamily="66" charset="-78"/>
              <a:cs typeface="Arabic Typesetting" panose="03020402040406030203" pitchFamily="66" charset="-78"/>
            </a:rPr>
            <a:t>المصدر: قاعدة بيانات إحصاءات الويبو، فبراير 2016</a:t>
          </a:r>
        </a:p>
        <a:p xmlns:a="http://schemas.openxmlformats.org/drawingml/2006/main">
          <a:pPr algn="r" rtl="1">
            <a:defRPr sz="1000"/>
          </a:pPr>
          <a:r>
            <a:rPr lang="ar-SA" sz="1100" b="0" i="0" u="none" strike="noStrike" baseline="0">
              <a:solidFill>
                <a:srgbClr val="000000"/>
              </a:solidFill>
              <a:latin typeface="Arabic Typesetting" panose="03020402040406030203" pitchFamily="66" charset="-78"/>
              <a:cs typeface="Arabic Typesetting" panose="03020402040406030203" pitchFamily="66" charset="-78"/>
            </a:rPr>
            <a:t>ملاحظة: حُسب عدد الموظفين على أساس عدد الموظفين غير المتفرغين الذي يكافئ عدد الموظفين المتفرغين من قوائم الموظفين في ديسمبر.</a:t>
          </a:r>
        </a:p>
        <a:p xmlns:a="http://schemas.openxmlformats.org/drawingml/2006/main">
          <a:pPr algn="r" rtl="1">
            <a:defRPr sz="1000"/>
          </a:pPr>
          <a:r>
            <a:rPr lang="ar-SA" sz="1100" b="0" i="0" u="none" strike="noStrike" baseline="0">
              <a:solidFill>
                <a:srgbClr val="000000"/>
              </a:solidFill>
              <a:latin typeface="Arabic Typesetting" panose="03020402040406030203" pitchFamily="66" charset="-78"/>
              <a:cs typeface="Arabic Typesetting" panose="03020402040406030203" pitchFamily="66" charset="-78"/>
            </a:rPr>
            <a:t>* يرجى الانتباه إلى أن الزيادة في عدد الموظفين في سنة 2009 تعزى إلى دمج وحدتين في شعبة قطاع أعمال معاهدة التعاون بشأن البراءات لم تكونا جزءاً منها قبل سنة 2009 (وعليه لم يُحسب موظفو هاتين الوحدتين كجزء من موظفي الشعبة قبل ذلك الوقت). وهاتان الوحدتان هما خدمة أنظمة المعلومات في قطاع معاهدة التعاون بشأن البراءات (30 موظفا) وفريق معالجة الرسوم في قطاع معاهدة التعاون بشأن البراءات (موظفان). ولولا إدماج هاتين الوحدتين، لانخفض عدد الموظفين في تلك الشعبة من 356 موظفا في سنة 2008 إلى 335 موظفا في سنة 2009.</a:t>
          </a:r>
        </a:p>
      </cdr:txBody>
    </cdr:sp>
  </cdr:relSizeAnchor>
</c:userShapes>
</file>

<file path=word/drawings/drawing5.xml><?xml version="1.0" encoding="utf-8"?>
<c:userShapes xmlns:c="http://schemas.openxmlformats.org/drawingml/2006/chart">
  <cdr:relSizeAnchor xmlns:cdr="http://schemas.openxmlformats.org/drawingml/2006/chartDrawing">
    <cdr:from>
      <cdr:x>0.55486</cdr:x>
      <cdr:y>0.87794</cdr:y>
    </cdr:from>
    <cdr:to>
      <cdr:x>0.99326</cdr:x>
      <cdr:y>0.97017</cdr:y>
    </cdr:to>
    <cdr:sp macro="" textlink="">
      <cdr:nvSpPr>
        <cdr:cNvPr id="13313" name="Text Box 1"/>
        <cdr:cNvSpPr txBox="1">
          <a:spLocks xmlns:a="http://schemas.openxmlformats.org/drawingml/2006/main" noChangeArrowheads="1"/>
        </cdr:cNvSpPr>
      </cdr:nvSpPr>
      <cdr:spPr bwMode="auto">
        <a:xfrm xmlns:a="http://schemas.openxmlformats.org/drawingml/2006/main">
          <a:off x="3296104" y="2634718"/>
          <a:ext cx="2604283" cy="276783"/>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noAutofit/>
        </a:bodyPr>
        <a:lstStyle xmlns:a="http://schemas.openxmlformats.org/drawingml/2006/main"/>
        <a:p xmlns:a="http://schemas.openxmlformats.org/drawingml/2006/main">
          <a:pPr algn="r" rtl="1">
            <a:defRPr sz="1000"/>
          </a:pPr>
          <a:r>
            <a:rPr lang="ar-SA" sz="1200" b="0" i="0" u="none" strike="noStrike" baseline="0">
              <a:solidFill>
                <a:srgbClr val="000000"/>
              </a:solidFill>
              <a:latin typeface="Arabic Typesetting" panose="03020402040406030203" pitchFamily="66" charset="-78"/>
              <a:cs typeface="Arabic Typesetting" panose="03020402040406030203" pitchFamily="66" charset="-78"/>
            </a:rPr>
            <a:t>المصدر: قاعدة بيانات إحصاءات الويبو، فبراير 2016</a:t>
          </a:r>
        </a:p>
        <a:p xmlns:a="http://schemas.openxmlformats.org/drawingml/2006/main">
          <a:pPr algn="r" rtl="1">
            <a:defRPr sz="1000"/>
          </a:pPr>
          <a:r>
            <a:rPr lang="ar-SA" sz="1200" b="0" i="0" u="none" strike="noStrike" baseline="0">
              <a:solidFill>
                <a:srgbClr val="000000"/>
              </a:solidFill>
              <a:latin typeface="Arabic Typesetting" panose="03020402040406030203" pitchFamily="66" charset="-78"/>
              <a:cs typeface="Arabic Typesetting" panose="03020402040406030203" pitchFamily="66" charset="-78"/>
            </a:rPr>
            <a:t>ملاحظة: حُسب عدد الموظفين على أساس عدد الموظفين غير المتفرغين من قوائم الموظفين في ديسمبر.</a:t>
          </a:r>
          <a:endParaRPr lang="en-US" sz="1200" b="0" i="0" u="none" strike="noStrike" baseline="0">
            <a:solidFill>
              <a:srgbClr val="000000"/>
            </a:solidFill>
            <a:latin typeface="Arabic Typesetting" panose="03020402040406030203" pitchFamily="66" charset="-78"/>
            <a:cs typeface="Arabic Typesetting" panose="03020402040406030203" pitchFamily="66" charset="-78"/>
          </a:endParaRPr>
        </a:p>
      </cdr:txBody>
    </cdr:sp>
  </cdr:relSizeAnchor>
  <cdr:relSizeAnchor xmlns:cdr="http://schemas.openxmlformats.org/drawingml/2006/chartDrawing">
    <cdr:from>
      <cdr:x>0.77326</cdr:x>
      <cdr:y>0.33922</cdr:y>
    </cdr:from>
    <cdr:to>
      <cdr:x>0.81163</cdr:x>
      <cdr:y>0.41572</cdr:y>
    </cdr:to>
    <cdr:sp macro="" textlink="">
      <cdr:nvSpPr>
        <cdr:cNvPr id="3" name="TextBox 2"/>
        <cdr:cNvSpPr txBox="1"/>
      </cdr:nvSpPr>
      <cdr:spPr>
        <a:xfrm xmlns:a="http://schemas.openxmlformats.org/drawingml/2006/main">
          <a:off x="5472435" y="1176119"/>
          <a:ext cx="271547" cy="26523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US" sz="800">
            <a:latin typeface="Arial" panose="020B0604020202020204" pitchFamily="34" charset="0"/>
            <a:cs typeface="Arial" panose="020B0604020202020204" pitchFamily="34" charset="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0.63141</cdr:x>
      <cdr:y>0.91098</cdr:y>
    </cdr:from>
    <cdr:to>
      <cdr:x>0.99947</cdr:x>
      <cdr:y>0.99976</cdr:y>
    </cdr:to>
    <cdr:sp macro="" textlink="">
      <cdr:nvSpPr>
        <cdr:cNvPr id="2" name="Text Box 1"/>
        <cdr:cNvSpPr txBox="1">
          <a:spLocks xmlns:a="http://schemas.openxmlformats.org/drawingml/2006/main" noChangeArrowheads="1"/>
        </cdr:cNvSpPr>
      </cdr:nvSpPr>
      <cdr:spPr bwMode="auto">
        <a:xfrm xmlns:a="http://schemas.openxmlformats.org/drawingml/2006/main">
          <a:off x="3750818" y="2453296"/>
          <a:ext cx="2186432" cy="239104"/>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rtl="1">
            <a:defRPr sz="1000"/>
          </a:pPr>
          <a:r>
            <a:rPr lang="ar-SA" sz="1500" b="0" i="0" u="none" strike="noStrike" baseline="0">
              <a:solidFill>
                <a:srgbClr val="000000"/>
              </a:solidFill>
              <a:latin typeface="Arabic Typesetting" panose="03020402040406030203" pitchFamily="66" charset="-78"/>
              <a:cs typeface="Arabic Typesetting" panose="03020402040406030203" pitchFamily="66" charset="-78"/>
            </a:rPr>
            <a:t>المصدر: قاعدة بيانات إحصاءات الويبو، فبراير 2016</a:t>
          </a:r>
          <a:endParaRPr lang="en-US" sz="1500" b="0" i="0" u="none" strike="noStrike" baseline="0">
            <a:solidFill>
              <a:srgbClr val="000000"/>
            </a:solidFill>
            <a:latin typeface="Arabic Typesetting" panose="03020402040406030203" pitchFamily="66" charset="-78"/>
            <a:cs typeface="Arabic Typesetting" panose="03020402040406030203" pitchFamily="66" charset="-78"/>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0.69795</cdr:x>
      <cdr:y>0.90591</cdr:y>
    </cdr:from>
    <cdr:to>
      <cdr:x>0.99305</cdr:x>
      <cdr:y>0.98166</cdr:y>
    </cdr:to>
    <cdr:sp macro="" textlink="">
      <cdr:nvSpPr>
        <cdr:cNvPr id="18433" name="Text Box 1"/>
        <cdr:cNvSpPr txBox="1">
          <a:spLocks xmlns:a="http://schemas.openxmlformats.org/drawingml/2006/main" noChangeArrowheads="1"/>
        </cdr:cNvSpPr>
      </cdr:nvSpPr>
      <cdr:spPr bwMode="auto">
        <a:xfrm xmlns:a="http://schemas.openxmlformats.org/drawingml/2006/main">
          <a:off x="4146106" y="2332646"/>
          <a:ext cx="1753044" cy="195053"/>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spAutoFit/>
        </a:bodyPr>
        <a:lstStyle xmlns:a="http://schemas.openxmlformats.org/drawingml/2006/main"/>
        <a:p xmlns:a="http://schemas.openxmlformats.org/drawingml/2006/main">
          <a:pPr algn="r" rtl="1">
            <a:defRPr sz="1000"/>
          </a:pPr>
          <a:r>
            <a:rPr lang="ar-SA" sz="1200" b="0" i="0" u="none" strike="noStrike" baseline="0">
              <a:solidFill>
                <a:srgbClr val="000000"/>
              </a:solidFill>
              <a:latin typeface="Arabic Typesetting" panose="03020402040406030203" pitchFamily="66" charset="-78"/>
              <a:cs typeface="Arabic Typesetting" panose="03020402040406030203" pitchFamily="66" charset="-78"/>
            </a:rPr>
            <a:t>المصدر: قاعدة بيانات إحصاءات الويبو، فبراير 2016</a:t>
          </a:r>
          <a:endParaRPr lang="en-US" sz="1200" b="0" i="0" u="none" strike="noStrike" baseline="0">
            <a:solidFill>
              <a:srgbClr val="000000"/>
            </a:solidFill>
            <a:latin typeface="Arabic Typesetting" panose="03020402040406030203" pitchFamily="66" charset="-78"/>
            <a:cs typeface="Arabic Typesetting" panose="03020402040406030203" pitchFamily="66" charset="-78"/>
          </a:endParaRPr>
        </a:p>
      </cdr:txBody>
    </cdr:sp>
  </cdr:relSizeAnchor>
</c:userShapes>
</file>

<file path=word/drawings/drawing8.xml><?xml version="1.0" encoding="utf-8"?>
<c:userShapes xmlns:c="http://schemas.openxmlformats.org/drawingml/2006/chart">
  <cdr:relSizeAnchor xmlns:cdr="http://schemas.openxmlformats.org/drawingml/2006/chartDrawing">
    <cdr:from>
      <cdr:x>0.67497</cdr:x>
      <cdr:y>0.90926</cdr:y>
    </cdr:from>
    <cdr:to>
      <cdr:x>0.97007</cdr:x>
      <cdr:y>0.98081</cdr:y>
    </cdr:to>
    <cdr:sp macro="" textlink="">
      <cdr:nvSpPr>
        <cdr:cNvPr id="22529" name="Text Box 1"/>
        <cdr:cNvSpPr txBox="1">
          <a:spLocks xmlns:a="http://schemas.openxmlformats.org/drawingml/2006/main" noChangeArrowheads="1"/>
        </cdr:cNvSpPr>
      </cdr:nvSpPr>
      <cdr:spPr bwMode="auto">
        <a:xfrm xmlns:a="http://schemas.openxmlformats.org/drawingml/2006/main">
          <a:off x="4009581" y="2478696"/>
          <a:ext cx="1753044" cy="195053"/>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spAutoFit/>
        </a:bodyPr>
        <a:lstStyle xmlns:a="http://schemas.openxmlformats.org/drawingml/2006/main"/>
        <a:p xmlns:a="http://schemas.openxmlformats.org/drawingml/2006/main">
          <a:pPr algn="r" rtl="1">
            <a:defRPr sz="1000"/>
          </a:pPr>
          <a:r>
            <a:rPr lang="ar-SA" sz="1200" b="0" i="0" u="none" strike="noStrike" baseline="0">
              <a:solidFill>
                <a:srgbClr val="000000"/>
              </a:solidFill>
              <a:latin typeface="Arabic Typesetting" panose="03020402040406030203" pitchFamily="66" charset="-78"/>
              <a:cs typeface="Arabic Typesetting" panose="03020402040406030203" pitchFamily="66" charset="-78"/>
            </a:rPr>
            <a:t>المصدر: قاعدة بيانات إحصاءات الويبو، فبراير 2016</a:t>
          </a:r>
          <a:endParaRPr lang="en-US" sz="1200" b="0" i="0" u="none" strike="noStrike" baseline="0">
            <a:solidFill>
              <a:srgbClr val="000000"/>
            </a:solidFill>
            <a:latin typeface="Arabic Typesetting" panose="03020402040406030203" pitchFamily="66" charset="-78"/>
            <a:cs typeface="Arabic Typesetting" panose="03020402040406030203" pitchFamily="66" charset="-78"/>
          </a:endParaRPr>
        </a:p>
      </cdr:txBody>
    </cdr:sp>
  </cdr:relSizeAnchor>
</c:userShapes>
</file>

<file path=word/drawings/drawing9.xml><?xml version="1.0" encoding="utf-8"?>
<c:userShapes xmlns:c="http://schemas.openxmlformats.org/drawingml/2006/chart">
  <cdr:relSizeAnchor xmlns:cdr="http://schemas.openxmlformats.org/drawingml/2006/chartDrawing">
    <cdr:from>
      <cdr:x>0.59933</cdr:x>
      <cdr:y>0.91525</cdr:y>
    </cdr:from>
    <cdr:to>
      <cdr:x>0.87887</cdr:x>
      <cdr:y>0.98218</cdr:y>
    </cdr:to>
    <cdr:sp macro="" textlink="">
      <cdr:nvSpPr>
        <cdr:cNvPr id="35841" name="Text Box 1"/>
        <cdr:cNvSpPr txBox="1">
          <a:spLocks xmlns:a="http://schemas.openxmlformats.org/drawingml/2006/main" noChangeArrowheads="1"/>
        </cdr:cNvSpPr>
      </cdr:nvSpPr>
      <cdr:spPr bwMode="auto">
        <a:xfrm xmlns:a="http://schemas.openxmlformats.org/drawingml/2006/main">
          <a:off x="3560259" y="2495031"/>
          <a:ext cx="1660586" cy="182455"/>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18288" tIns="18288" rIns="0" bIns="0" anchor="t" upright="1">
          <a:spAutoFit/>
        </a:bodyPr>
        <a:lstStyle xmlns:a="http://schemas.openxmlformats.org/drawingml/2006/main"/>
        <a:p xmlns:a="http://schemas.openxmlformats.org/drawingml/2006/main">
          <a:pPr rtl="0"/>
          <a:r>
            <a:rPr lang="ar-SA" sz="1400" b="0" i="0" baseline="0">
              <a:effectLst/>
              <a:latin typeface="Arabic Typesetting" panose="03020402040406030203" pitchFamily="66" charset="-78"/>
              <a:ea typeface="+mn-ea"/>
              <a:cs typeface="Arabic Typesetting" panose="03020402040406030203" pitchFamily="66" charset="-78"/>
            </a:rPr>
            <a:t>المصدر: قاعدة بيانات إحصاءات الويبو، فبراير 2016</a:t>
          </a:r>
          <a:endParaRPr lang="en-US" sz="1400">
            <a:effectLst/>
            <a:latin typeface="Arabic Typesetting" panose="03020402040406030203" pitchFamily="66" charset="-78"/>
            <a:cs typeface="Arabic Typesetting" panose="03020402040406030203" pitchFamily="66" charset="-78"/>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D9C794-18D6-4166-84E7-B86EA482A1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WO_PBC_25_AR.dotx</Template>
  <TotalTime>7</TotalTime>
  <Pages>388</Pages>
  <Words>116861</Words>
  <Characters>642446</Characters>
  <Application>Microsoft Office Word</Application>
  <DocSecurity>0</DocSecurity>
  <Lines>5353</Lines>
  <Paragraphs>1515</Paragraphs>
  <ScaleCrop>false</ScaleCrop>
  <HeadingPairs>
    <vt:vector size="2" baseType="variant">
      <vt:variant>
        <vt:lpstr>Title</vt:lpstr>
      </vt:variant>
      <vt:variant>
        <vt:i4>1</vt:i4>
      </vt:variant>
    </vt:vector>
  </HeadingPairs>
  <TitlesOfParts>
    <vt:vector size="1" baseType="lpstr">
      <vt:lpstr>A/56/5 (Arabic)</vt:lpstr>
    </vt:vector>
  </TitlesOfParts>
  <Company>World Intellectual Property Organization</Company>
  <LinksUpToDate>false</LinksUpToDate>
  <CharactersWithSpaces>757792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A/56/5 (Arabic)</dc:title>
  <dc:creator>Ahmed Hassan</dc:creator>
  <cp:lastModifiedBy>YOUSSEF Randa</cp:lastModifiedBy>
  <cp:revision>6</cp:revision>
  <cp:lastPrinted>2016-07-06T07:24:00Z</cp:lastPrinted>
  <dcterms:created xsi:type="dcterms:W3CDTF">2016-07-05T15:29:00Z</dcterms:created>
  <dcterms:modified xsi:type="dcterms:W3CDTF">2016-07-06T07:26:00Z</dcterms:modified>
</cp:coreProperties>
</file>